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82C6" w14:textId="78A9C27A" w:rsidR="00910891" w:rsidRDefault="1B91FD13" w:rsidP="29B75351">
      <w:pPr>
        <w:pStyle w:val="Crestwithrule"/>
      </w:pPr>
      <w:r>
        <w:rPr>
          <w:lang w:eastAsia="en-AU"/>
        </w:rPr>
        <w:drawing>
          <wp:inline distT="0" distB="0" distL="0" distR="0" wp14:anchorId="66D06B5F" wp14:editId="205AFEC9">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2E111669" w14:textId="360FEE95" w:rsidR="00910891" w:rsidRPr="00595509" w:rsidRDefault="35C788D1" w:rsidP="00627D55">
      <w:pPr>
        <w:pStyle w:val="Heading1"/>
        <w:spacing w:before="2000"/>
        <w:ind w:right="-286"/>
      </w:pPr>
      <w:r>
        <w:t xml:space="preserve">Inclusive Employment Australia </w:t>
      </w:r>
      <w:r w:rsidR="00910891">
        <w:t>Guidelines</w:t>
      </w:r>
    </w:p>
    <w:p w14:paraId="60959196" w14:textId="77777777" w:rsidR="00910891" w:rsidRDefault="00910891" w:rsidP="001A0261">
      <w:pPr>
        <w:pStyle w:val="Subtitle"/>
        <w:spacing w:before="240" w:after="720"/>
      </w:pPr>
      <w:bookmarkStart w:id="0" w:name="_Toc395536189"/>
      <w:r>
        <w:t>Part B: Servicing Requirements</w:t>
      </w:r>
    </w:p>
    <w:p w14:paraId="64FF0BDB" w14:textId="77777777" w:rsidR="00910891" w:rsidRPr="00F5215E" w:rsidRDefault="00910891" w:rsidP="00910891">
      <w:pPr>
        <w:rPr>
          <w:b/>
          <w:bCs/>
        </w:rPr>
      </w:pPr>
      <w:r w:rsidRPr="00F5215E">
        <w:rPr>
          <w:b/>
          <w:bCs/>
        </w:rPr>
        <w:t>Disclaimer  </w:t>
      </w:r>
    </w:p>
    <w:p w14:paraId="2776C958" w14:textId="396CF5BF" w:rsidR="00910891" w:rsidRPr="003E1393" w:rsidRDefault="00910891" w:rsidP="00910891">
      <w:r>
        <w:t>These Guidelines are not a stand-alone document and do not contain the entirety of a</w:t>
      </w:r>
      <w:r w:rsidR="5865C505">
        <w:t>n</w:t>
      </w:r>
      <w:r>
        <w:t xml:space="preserve"> </w:t>
      </w:r>
      <w:r w:rsidR="5F87A14F">
        <w:t>Inclusive Employment Australia</w:t>
      </w:r>
      <w:r>
        <w:t xml:space="preserve"> Provider’s obligations. It must be read in conjunction with the </w:t>
      </w:r>
      <w:r w:rsidR="047ED5CB">
        <w:t>Inclusive Employment Australia</w:t>
      </w:r>
      <w:r>
        <w:t xml:space="preserve"> Deed 2025-2030 (the Deed), including any other relevant Guidelines and reference </w:t>
      </w:r>
      <w:r w:rsidR="0074126E">
        <w:t>M</w:t>
      </w:r>
      <w:r>
        <w:t>aterial issued by the Department of Social Services under or in connection with the Deed.</w:t>
      </w:r>
    </w:p>
    <w:p w14:paraId="0F13ADE2" w14:textId="3C72DBDA" w:rsidR="00C135E6" w:rsidRDefault="00910891" w:rsidP="00510C86">
      <w:pPr>
        <w:sectPr w:rsidR="00C135E6" w:rsidSect="00AC21A0">
          <w:headerReference w:type="default" r:id="rId12"/>
          <w:footerReference w:type="default" r:id="rId13"/>
          <w:headerReference w:type="first" r:id="rId14"/>
          <w:footerReference w:type="first" r:id="rId15"/>
          <w:pgSz w:w="11906" w:h="16838"/>
          <w:pgMar w:top="851" w:right="851" w:bottom="1134" w:left="851" w:header="0" w:footer="281" w:gutter="0"/>
          <w:pgNumType w:start="0"/>
          <w:cols w:space="708"/>
          <w:titlePg/>
          <w:docGrid w:linePitch="360"/>
        </w:sectPr>
      </w:pPr>
      <w:r w:rsidRPr="003E1393">
        <w:t>Th</w:t>
      </w:r>
      <w:r>
        <w:t>ese</w:t>
      </w:r>
      <w:r w:rsidRPr="003E1393">
        <w:t xml:space="preserve"> Guideline</w:t>
      </w:r>
      <w:r>
        <w:t>s are</w:t>
      </w:r>
      <w:r w:rsidRPr="003E1393">
        <w:t xml:space="preserve"> not legal advice, and the Commonwealth accepts no liability for any action purportedly taken in reliance upon it and assumes no responsibility for the delivery of the Services. Th</w:t>
      </w:r>
      <w:r>
        <w:t>ese</w:t>
      </w:r>
      <w:r w:rsidRPr="003E1393">
        <w:t xml:space="preserve"> Guideline</w:t>
      </w:r>
      <w:r>
        <w:t>s do</w:t>
      </w:r>
      <w:r w:rsidRPr="003E1393">
        <w:t xml:space="preserve"> not reduce the obligation of Providers to comply with their relevant legal obligations and, to the extent that th</w:t>
      </w:r>
      <w:r>
        <w:t>ese</w:t>
      </w:r>
      <w:r w:rsidRPr="003E1393">
        <w:t xml:space="preserve"> Guideline</w:t>
      </w:r>
      <w:r>
        <w:t>s</w:t>
      </w:r>
      <w:r w:rsidRPr="003E1393">
        <w:t xml:space="preserve"> </w:t>
      </w:r>
      <w:r>
        <w:t>are</w:t>
      </w:r>
      <w:r w:rsidRPr="003E1393">
        <w:t xml:space="preserve"> inconsistent with obligations under </w:t>
      </w:r>
      <w:r>
        <w:t xml:space="preserve">the </w:t>
      </w:r>
      <w:r w:rsidRPr="006457FE">
        <w:rPr>
          <w:i/>
        </w:rPr>
        <w:t>Disability Services and Inclusion Act</w:t>
      </w:r>
      <w:r w:rsidR="008524F5" w:rsidRPr="006457FE">
        <w:rPr>
          <w:i/>
        </w:rPr>
        <w:t xml:space="preserve"> </w:t>
      </w:r>
      <w:r w:rsidR="00D46616" w:rsidRPr="006457FE">
        <w:rPr>
          <w:i/>
          <w:iCs/>
        </w:rPr>
        <w:t>2023</w:t>
      </w:r>
      <w:r w:rsidR="00D46616" w:rsidRPr="006457FE">
        <w:t xml:space="preserve"> (Cth)</w:t>
      </w:r>
      <w:r w:rsidR="00D46616" w:rsidRPr="006457FE">
        <w:rPr>
          <w:i/>
          <w:iCs/>
        </w:rPr>
        <w:t xml:space="preserve"> </w:t>
      </w:r>
      <w:r w:rsidR="008524F5">
        <w:t>(DSI Act)</w:t>
      </w:r>
      <w:r>
        <w:t xml:space="preserve">, </w:t>
      </w:r>
      <w:r w:rsidRPr="003E1393">
        <w:t xml:space="preserve">Social Security Law, </w:t>
      </w:r>
      <w:r w:rsidRPr="006457FE">
        <w:rPr>
          <w:i/>
        </w:rPr>
        <w:t>the Privacy Act</w:t>
      </w:r>
      <w:r w:rsidR="00D46616" w:rsidRPr="006457FE">
        <w:rPr>
          <w:i/>
          <w:iCs/>
        </w:rPr>
        <w:t xml:space="preserve"> 1998</w:t>
      </w:r>
      <w:r>
        <w:t>, Work Health and Safety</w:t>
      </w:r>
      <w:r w:rsidRPr="003E1393">
        <w:t xml:space="preserve"> </w:t>
      </w:r>
      <w:r w:rsidR="002C45AE">
        <w:t xml:space="preserve">(WHS) </w:t>
      </w:r>
      <w:r w:rsidRPr="003E1393">
        <w:t>Laws or any other legislation or laws relevant to the respective jurisdictions in which Providers operate, the relevant legislation or laws will prevai</w:t>
      </w:r>
      <w:r w:rsidR="00C52142">
        <w:t>l</w:t>
      </w:r>
      <w:r w:rsidRPr="003E1393">
        <w:t>.</w:t>
      </w:r>
    </w:p>
    <w:p w14:paraId="758079CD" w14:textId="77777777" w:rsidR="00910891" w:rsidRPr="00F5215E" w:rsidRDefault="00910891" w:rsidP="00D24F8E">
      <w:pPr>
        <w:pageBreakBefore/>
        <w:rPr>
          <w:b/>
          <w:bCs/>
        </w:rPr>
      </w:pPr>
      <w:r w:rsidRPr="00F5215E">
        <w:rPr>
          <w:b/>
          <w:bCs/>
        </w:rPr>
        <w:lastRenderedPageBreak/>
        <w:t>Version History  </w:t>
      </w:r>
    </w:p>
    <w:p w14:paraId="52F9AD72" w14:textId="000E9DE1" w:rsidR="00134DBF" w:rsidRDefault="00910891" w:rsidP="00910891">
      <w:pPr>
        <w:spacing w:before="200"/>
      </w:pPr>
      <w:r>
        <w:t xml:space="preserve">Version </w:t>
      </w:r>
      <w:r w:rsidR="00415825">
        <w:t>1.0</w:t>
      </w:r>
      <w:r w:rsidR="00F34CD4">
        <w:tab/>
      </w:r>
      <w:r w:rsidR="00415825">
        <w:t>Published</w:t>
      </w:r>
      <w:r>
        <w:t xml:space="preserve"> on: </w:t>
      </w:r>
      <w:r w:rsidR="00A56354">
        <w:t>17</w:t>
      </w:r>
      <w:r w:rsidR="00050822">
        <w:t xml:space="preserve"> July 2025</w:t>
      </w:r>
      <w:r w:rsidR="00FF67C9">
        <w:tab/>
      </w:r>
      <w:r>
        <w:t xml:space="preserve">Effective from: </w:t>
      </w:r>
      <w:bookmarkEnd w:id="0"/>
      <w:r w:rsidR="00050822">
        <w:t>1 November 2025</w:t>
      </w:r>
    </w:p>
    <w:p w14:paraId="57FFE971" w14:textId="31F6E585" w:rsidR="00910891" w:rsidRPr="008A5005" w:rsidRDefault="00910891" w:rsidP="000335E0">
      <w:pPr>
        <w:pStyle w:val="TOCHeading"/>
      </w:pPr>
      <w:r w:rsidRPr="008A5005">
        <w:lastRenderedPageBreak/>
        <w:t>Contents</w:t>
      </w:r>
    </w:p>
    <w:sdt>
      <w:sdtPr>
        <w:rPr>
          <w:b w:val="0"/>
          <w:color w:val="auto"/>
        </w:rPr>
        <w:id w:val="-89402440"/>
        <w:docPartObj>
          <w:docPartGallery w:val="Table of Contents"/>
          <w:docPartUnique/>
        </w:docPartObj>
      </w:sdtPr>
      <w:sdtEndPr>
        <w:rPr>
          <w:noProof/>
        </w:rPr>
      </w:sdtEndPr>
      <w:sdtContent>
        <w:p w14:paraId="6AAB3333" w14:textId="331C8CCC" w:rsidR="00420D51" w:rsidRDefault="00910891">
          <w:pPr>
            <w:pStyle w:val="TOC1"/>
            <w:rPr>
              <w:rFonts w:eastAsiaTheme="minorEastAsia"/>
              <w:b w:val="0"/>
              <w:noProof/>
              <w:color w:val="auto"/>
              <w:spacing w:val="0"/>
              <w:kern w:val="2"/>
              <w:sz w:val="24"/>
              <w:lang w:eastAsia="en-AU"/>
              <w14:ligatures w14:val="standardContextual"/>
            </w:rPr>
          </w:pPr>
          <w:r>
            <w:fldChar w:fldCharType="begin"/>
          </w:r>
          <w:r>
            <w:instrText xml:space="preserve"> TOC \h \z \t "Heading 2,1,Heading 3,2,Heading 4,3" </w:instrText>
          </w:r>
          <w:r>
            <w:fldChar w:fldCharType="separate"/>
          </w:r>
          <w:hyperlink w:anchor="_Toc202899861" w:history="1">
            <w:r w:rsidR="00420D51" w:rsidRPr="00492332">
              <w:rPr>
                <w:rStyle w:val="Hyperlink"/>
                <w:noProof/>
              </w:rPr>
              <w:t>Guideline Interpretation and Glossary</w:t>
            </w:r>
            <w:r w:rsidR="00420D51">
              <w:rPr>
                <w:noProof/>
                <w:webHidden/>
              </w:rPr>
              <w:tab/>
            </w:r>
            <w:r w:rsidR="00420D51">
              <w:rPr>
                <w:noProof/>
                <w:webHidden/>
              </w:rPr>
              <w:fldChar w:fldCharType="begin"/>
            </w:r>
            <w:r w:rsidR="00420D51">
              <w:rPr>
                <w:noProof/>
                <w:webHidden/>
              </w:rPr>
              <w:instrText xml:space="preserve"> PAGEREF _Toc202899861 \h </w:instrText>
            </w:r>
            <w:r w:rsidR="00420D51">
              <w:rPr>
                <w:noProof/>
                <w:webHidden/>
              </w:rPr>
            </w:r>
            <w:r w:rsidR="00420D51">
              <w:rPr>
                <w:noProof/>
                <w:webHidden/>
              </w:rPr>
              <w:fldChar w:fldCharType="separate"/>
            </w:r>
            <w:r w:rsidR="000D75AE">
              <w:rPr>
                <w:noProof/>
                <w:webHidden/>
              </w:rPr>
              <w:t>11</w:t>
            </w:r>
            <w:r w:rsidR="00420D51">
              <w:rPr>
                <w:noProof/>
                <w:webHidden/>
              </w:rPr>
              <w:fldChar w:fldCharType="end"/>
            </w:r>
          </w:hyperlink>
        </w:p>
        <w:p w14:paraId="44D8212A" w14:textId="30BB506B" w:rsidR="00420D51" w:rsidRDefault="00420D51">
          <w:pPr>
            <w:pStyle w:val="TOC2"/>
            <w:rPr>
              <w:rFonts w:eastAsiaTheme="minorEastAsia"/>
              <w:noProof/>
              <w:spacing w:val="0"/>
              <w:kern w:val="2"/>
              <w:sz w:val="24"/>
              <w:lang w:eastAsia="en-AU"/>
              <w14:ligatures w14:val="standardContextual"/>
            </w:rPr>
          </w:pPr>
          <w:hyperlink w:anchor="_Toc202899862" w:history="1">
            <w:r w:rsidRPr="00492332">
              <w:rPr>
                <w:rStyle w:val="Hyperlink"/>
                <w:noProof/>
              </w:rPr>
              <w:t>Reading notes</w:t>
            </w:r>
            <w:r>
              <w:rPr>
                <w:noProof/>
                <w:webHidden/>
              </w:rPr>
              <w:tab/>
            </w:r>
            <w:r>
              <w:rPr>
                <w:noProof/>
                <w:webHidden/>
              </w:rPr>
              <w:fldChar w:fldCharType="begin"/>
            </w:r>
            <w:r>
              <w:rPr>
                <w:noProof/>
                <w:webHidden/>
              </w:rPr>
              <w:instrText xml:space="preserve"> PAGEREF _Toc202899862 \h </w:instrText>
            </w:r>
            <w:r>
              <w:rPr>
                <w:noProof/>
                <w:webHidden/>
              </w:rPr>
            </w:r>
            <w:r>
              <w:rPr>
                <w:noProof/>
                <w:webHidden/>
              </w:rPr>
              <w:fldChar w:fldCharType="separate"/>
            </w:r>
            <w:r w:rsidR="000D75AE">
              <w:rPr>
                <w:noProof/>
                <w:webHidden/>
              </w:rPr>
              <w:t>11</w:t>
            </w:r>
            <w:r>
              <w:rPr>
                <w:noProof/>
                <w:webHidden/>
              </w:rPr>
              <w:fldChar w:fldCharType="end"/>
            </w:r>
          </w:hyperlink>
        </w:p>
        <w:p w14:paraId="327D28D7" w14:textId="1E3844B2" w:rsidR="00420D51" w:rsidRDefault="00420D51">
          <w:pPr>
            <w:pStyle w:val="TOC2"/>
            <w:rPr>
              <w:rFonts w:eastAsiaTheme="minorEastAsia"/>
              <w:noProof/>
              <w:spacing w:val="0"/>
              <w:kern w:val="2"/>
              <w:sz w:val="24"/>
              <w:lang w:eastAsia="en-AU"/>
              <w14:ligatures w14:val="standardContextual"/>
            </w:rPr>
          </w:pPr>
          <w:hyperlink w:anchor="_Toc202899863" w:history="1">
            <w:r w:rsidRPr="00492332">
              <w:rPr>
                <w:rStyle w:val="Hyperlink"/>
                <w:noProof/>
              </w:rPr>
              <w:t>Related information</w:t>
            </w:r>
            <w:r>
              <w:rPr>
                <w:noProof/>
                <w:webHidden/>
              </w:rPr>
              <w:tab/>
            </w:r>
            <w:r>
              <w:rPr>
                <w:noProof/>
                <w:webHidden/>
              </w:rPr>
              <w:fldChar w:fldCharType="begin"/>
            </w:r>
            <w:r>
              <w:rPr>
                <w:noProof/>
                <w:webHidden/>
              </w:rPr>
              <w:instrText xml:space="preserve"> PAGEREF _Toc202899863 \h </w:instrText>
            </w:r>
            <w:r>
              <w:rPr>
                <w:noProof/>
                <w:webHidden/>
              </w:rPr>
            </w:r>
            <w:r>
              <w:rPr>
                <w:noProof/>
                <w:webHidden/>
              </w:rPr>
              <w:fldChar w:fldCharType="separate"/>
            </w:r>
            <w:r w:rsidR="000D75AE">
              <w:rPr>
                <w:noProof/>
                <w:webHidden/>
              </w:rPr>
              <w:t>11</w:t>
            </w:r>
            <w:r>
              <w:rPr>
                <w:noProof/>
                <w:webHidden/>
              </w:rPr>
              <w:fldChar w:fldCharType="end"/>
            </w:r>
          </w:hyperlink>
        </w:p>
        <w:p w14:paraId="06949F1E" w14:textId="6B83A790" w:rsidR="00420D51" w:rsidRDefault="00420D51">
          <w:pPr>
            <w:pStyle w:val="TOC2"/>
            <w:rPr>
              <w:rFonts w:eastAsiaTheme="minorEastAsia"/>
              <w:noProof/>
              <w:spacing w:val="0"/>
              <w:kern w:val="2"/>
              <w:sz w:val="24"/>
              <w:lang w:eastAsia="en-AU"/>
              <w14:ligatures w14:val="standardContextual"/>
            </w:rPr>
          </w:pPr>
          <w:hyperlink w:anchor="_Toc202899864" w:history="1">
            <w:r w:rsidRPr="00492332">
              <w:rPr>
                <w:rStyle w:val="Hyperlink"/>
                <w:noProof/>
              </w:rPr>
              <w:t>Glossary</w:t>
            </w:r>
            <w:r>
              <w:rPr>
                <w:noProof/>
                <w:webHidden/>
              </w:rPr>
              <w:tab/>
            </w:r>
            <w:r>
              <w:rPr>
                <w:noProof/>
                <w:webHidden/>
              </w:rPr>
              <w:fldChar w:fldCharType="begin"/>
            </w:r>
            <w:r>
              <w:rPr>
                <w:noProof/>
                <w:webHidden/>
              </w:rPr>
              <w:instrText xml:space="preserve"> PAGEREF _Toc202899864 \h </w:instrText>
            </w:r>
            <w:r>
              <w:rPr>
                <w:noProof/>
                <w:webHidden/>
              </w:rPr>
            </w:r>
            <w:r>
              <w:rPr>
                <w:noProof/>
                <w:webHidden/>
              </w:rPr>
              <w:fldChar w:fldCharType="separate"/>
            </w:r>
            <w:r w:rsidR="000D75AE">
              <w:rPr>
                <w:noProof/>
                <w:webHidden/>
              </w:rPr>
              <w:t>11</w:t>
            </w:r>
            <w:r>
              <w:rPr>
                <w:noProof/>
                <w:webHidden/>
              </w:rPr>
              <w:fldChar w:fldCharType="end"/>
            </w:r>
          </w:hyperlink>
        </w:p>
        <w:p w14:paraId="0EA901AA" w14:textId="45A9BF03"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865" w:history="1">
            <w:r w:rsidRPr="00492332">
              <w:rPr>
                <w:rStyle w:val="Hyperlink"/>
                <w:noProof/>
              </w:rPr>
              <w:t>Chapter 1:</w:t>
            </w:r>
            <w:r>
              <w:rPr>
                <w:rFonts w:eastAsiaTheme="minorEastAsia"/>
                <w:b w:val="0"/>
                <w:noProof/>
                <w:color w:val="auto"/>
                <w:spacing w:val="0"/>
                <w:kern w:val="2"/>
                <w:sz w:val="24"/>
                <w:lang w:eastAsia="en-AU"/>
                <w14:ligatures w14:val="standardContextual"/>
              </w:rPr>
              <w:tab/>
            </w:r>
            <w:r w:rsidRPr="00492332">
              <w:rPr>
                <w:rStyle w:val="Hyperlink"/>
                <w:noProof/>
              </w:rPr>
              <w:t>Eligibility, Referrals and Direct Registration</w:t>
            </w:r>
            <w:r>
              <w:rPr>
                <w:noProof/>
                <w:webHidden/>
              </w:rPr>
              <w:tab/>
            </w:r>
            <w:r>
              <w:rPr>
                <w:noProof/>
                <w:webHidden/>
              </w:rPr>
              <w:fldChar w:fldCharType="begin"/>
            </w:r>
            <w:r>
              <w:rPr>
                <w:noProof/>
                <w:webHidden/>
              </w:rPr>
              <w:instrText xml:space="preserve"> PAGEREF _Toc202899865 \h </w:instrText>
            </w:r>
            <w:r>
              <w:rPr>
                <w:noProof/>
                <w:webHidden/>
              </w:rPr>
            </w:r>
            <w:r>
              <w:rPr>
                <w:noProof/>
                <w:webHidden/>
              </w:rPr>
              <w:fldChar w:fldCharType="separate"/>
            </w:r>
            <w:r w:rsidR="000D75AE">
              <w:rPr>
                <w:noProof/>
                <w:webHidden/>
              </w:rPr>
              <w:t>17</w:t>
            </w:r>
            <w:r>
              <w:rPr>
                <w:noProof/>
                <w:webHidden/>
              </w:rPr>
              <w:fldChar w:fldCharType="end"/>
            </w:r>
          </w:hyperlink>
        </w:p>
        <w:p w14:paraId="04B1A057" w14:textId="052A5D15" w:rsidR="00420D51" w:rsidRDefault="00420D51">
          <w:pPr>
            <w:pStyle w:val="TOC2"/>
            <w:rPr>
              <w:rFonts w:eastAsiaTheme="minorEastAsia"/>
              <w:noProof/>
              <w:spacing w:val="0"/>
              <w:kern w:val="2"/>
              <w:sz w:val="24"/>
              <w:lang w:eastAsia="en-AU"/>
              <w14:ligatures w14:val="standardContextual"/>
            </w:rPr>
          </w:pPr>
          <w:hyperlink w:anchor="_Toc202899866" w:history="1">
            <w:r w:rsidRPr="00492332">
              <w:rPr>
                <w:rStyle w:val="Hyperlink"/>
                <w:bCs/>
                <w:noProof/>
              </w:rPr>
              <w:t>1.1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_Toc202899866 \h </w:instrText>
            </w:r>
            <w:r>
              <w:rPr>
                <w:noProof/>
                <w:webHidden/>
              </w:rPr>
            </w:r>
            <w:r>
              <w:rPr>
                <w:noProof/>
                <w:webHidden/>
              </w:rPr>
              <w:fldChar w:fldCharType="separate"/>
            </w:r>
            <w:r w:rsidR="000D75AE">
              <w:rPr>
                <w:noProof/>
                <w:webHidden/>
              </w:rPr>
              <w:t>17</w:t>
            </w:r>
            <w:r>
              <w:rPr>
                <w:noProof/>
                <w:webHidden/>
              </w:rPr>
              <w:fldChar w:fldCharType="end"/>
            </w:r>
          </w:hyperlink>
        </w:p>
        <w:p w14:paraId="2D60EB52" w14:textId="14F03AD5" w:rsidR="00420D51" w:rsidRDefault="00420D51">
          <w:pPr>
            <w:pStyle w:val="TOC2"/>
            <w:rPr>
              <w:rFonts w:eastAsiaTheme="minorEastAsia"/>
              <w:noProof/>
              <w:spacing w:val="0"/>
              <w:kern w:val="2"/>
              <w:sz w:val="24"/>
              <w:lang w:eastAsia="en-AU"/>
              <w14:ligatures w14:val="standardContextual"/>
            </w:rPr>
          </w:pPr>
          <w:hyperlink w:anchor="_Toc202899867" w:history="1">
            <w:r w:rsidRPr="00492332">
              <w:rPr>
                <w:rStyle w:val="Hyperlink"/>
                <w:noProof/>
              </w:rPr>
              <w:t>1.2</w:t>
            </w:r>
            <w:r>
              <w:rPr>
                <w:rFonts w:eastAsiaTheme="minorEastAsia"/>
                <w:noProof/>
                <w:spacing w:val="0"/>
                <w:kern w:val="2"/>
                <w:sz w:val="24"/>
                <w:lang w:eastAsia="en-AU"/>
                <w14:ligatures w14:val="standardContextual"/>
              </w:rPr>
              <w:tab/>
            </w:r>
            <w:r w:rsidRPr="00492332">
              <w:rPr>
                <w:rStyle w:val="Hyperlink"/>
                <w:noProof/>
              </w:rPr>
              <w:t>General eligibility criteria</w:t>
            </w:r>
            <w:r>
              <w:rPr>
                <w:noProof/>
                <w:webHidden/>
              </w:rPr>
              <w:tab/>
            </w:r>
            <w:r>
              <w:rPr>
                <w:noProof/>
                <w:webHidden/>
              </w:rPr>
              <w:fldChar w:fldCharType="begin"/>
            </w:r>
            <w:r>
              <w:rPr>
                <w:noProof/>
                <w:webHidden/>
              </w:rPr>
              <w:instrText xml:space="preserve"> PAGEREF _Toc202899867 \h </w:instrText>
            </w:r>
            <w:r>
              <w:rPr>
                <w:noProof/>
                <w:webHidden/>
              </w:rPr>
            </w:r>
            <w:r>
              <w:rPr>
                <w:noProof/>
                <w:webHidden/>
              </w:rPr>
              <w:fldChar w:fldCharType="separate"/>
            </w:r>
            <w:r w:rsidR="000D75AE">
              <w:rPr>
                <w:noProof/>
                <w:webHidden/>
              </w:rPr>
              <w:t>17</w:t>
            </w:r>
            <w:r>
              <w:rPr>
                <w:noProof/>
                <w:webHidden/>
              </w:rPr>
              <w:fldChar w:fldCharType="end"/>
            </w:r>
          </w:hyperlink>
        </w:p>
        <w:p w14:paraId="7A3067BA" w14:textId="7B5AE912" w:rsidR="00420D51" w:rsidRDefault="00420D51">
          <w:pPr>
            <w:pStyle w:val="TOC2"/>
            <w:rPr>
              <w:rFonts w:eastAsiaTheme="minorEastAsia"/>
              <w:noProof/>
              <w:spacing w:val="0"/>
              <w:kern w:val="2"/>
              <w:sz w:val="24"/>
              <w:lang w:eastAsia="en-AU"/>
              <w14:ligatures w14:val="standardContextual"/>
            </w:rPr>
          </w:pPr>
          <w:hyperlink w:anchor="_Toc202899868" w:history="1">
            <w:r w:rsidRPr="00492332">
              <w:rPr>
                <w:rStyle w:val="Hyperlink"/>
                <w:noProof/>
              </w:rPr>
              <w:t>1.3</w:t>
            </w:r>
            <w:r>
              <w:rPr>
                <w:rFonts w:eastAsiaTheme="minorEastAsia"/>
                <w:noProof/>
                <w:spacing w:val="0"/>
                <w:kern w:val="2"/>
                <w:sz w:val="24"/>
                <w:lang w:eastAsia="en-AU"/>
                <w14:ligatures w14:val="standardContextual"/>
              </w:rPr>
              <w:tab/>
            </w:r>
            <w:r w:rsidRPr="00492332">
              <w:rPr>
                <w:rStyle w:val="Hyperlink"/>
                <w:noProof/>
              </w:rPr>
              <w:t>Special eligibility criteria</w:t>
            </w:r>
            <w:r>
              <w:rPr>
                <w:noProof/>
                <w:webHidden/>
              </w:rPr>
              <w:tab/>
            </w:r>
            <w:r>
              <w:rPr>
                <w:noProof/>
                <w:webHidden/>
              </w:rPr>
              <w:fldChar w:fldCharType="begin"/>
            </w:r>
            <w:r>
              <w:rPr>
                <w:noProof/>
                <w:webHidden/>
              </w:rPr>
              <w:instrText xml:space="preserve"> PAGEREF _Toc202899868 \h </w:instrText>
            </w:r>
            <w:r>
              <w:rPr>
                <w:noProof/>
                <w:webHidden/>
              </w:rPr>
            </w:r>
            <w:r>
              <w:rPr>
                <w:noProof/>
                <w:webHidden/>
              </w:rPr>
              <w:fldChar w:fldCharType="separate"/>
            </w:r>
            <w:r w:rsidR="000D75AE">
              <w:rPr>
                <w:noProof/>
                <w:webHidden/>
              </w:rPr>
              <w:t>19</w:t>
            </w:r>
            <w:r>
              <w:rPr>
                <w:noProof/>
                <w:webHidden/>
              </w:rPr>
              <w:fldChar w:fldCharType="end"/>
            </w:r>
          </w:hyperlink>
        </w:p>
        <w:p w14:paraId="2E083A97" w14:textId="5537C8C4" w:rsidR="00420D51" w:rsidRDefault="00420D51">
          <w:pPr>
            <w:pStyle w:val="TOC3"/>
            <w:rPr>
              <w:rFonts w:eastAsiaTheme="minorEastAsia"/>
              <w:noProof/>
              <w:spacing w:val="0"/>
              <w:kern w:val="2"/>
              <w:sz w:val="24"/>
              <w:lang w:eastAsia="en-AU"/>
              <w14:ligatures w14:val="standardContextual"/>
            </w:rPr>
          </w:pPr>
          <w:hyperlink w:anchor="_Toc202899869" w:history="1">
            <w:r w:rsidRPr="00492332">
              <w:rPr>
                <w:rStyle w:val="Hyperlink"/>
                <w:noProof/>
              </w:rPr>
              <w:t>1.3.1</w:t>
            </w:r>
            <w:r>
              <w:rPr>
                <w:rFonts w:eastAsiaTheme="minorEastAsia"/>
                <w:noProof/>
                <w:spacing w:val="0"/>
                <w:kern w:val="2"/>
                <w:sz w:val="24"/>
                <w:lang w:eastAsia="en-AU"/>
                <w14:ligatures w14:val="standardContextual"/>
              </w:rPr>
              <w:tab/>
            </w:r>
            <w:r w:rsidRPr="00492332">
              <w:rPr>
                <w:rStyle w:val="Hyperlink"/>
                <w:noProof/>
              </w:rPr>
              <w:t>Eligible School Leavers</w:t>
            </w:r>
            <w:r>
              <w:rPr>
                <w:noProof/>
                <w:webHidden/>
              </w:rPr>
              <w:tab/>
            </w:r>
            <w:r>
              <w:rPr>
                <w:noProof/>
                <w:webHidden/>
              </w:rPr>
              <w:fldChar w:fldCharType="begin"/>
            </w:r>
            <w:r>
              <w:rPr>
                <w:noProof/>
                <w:webHidden/>
              </w:rPr>
              <w:instrText xml:space="preserve"> PAGEREF _Toc202899869 \h </w:instrText>
            </w:r>
            <w:r>
              <w:rPr>
                <w:noProof/>
                <w:webHidden/>
              </w:rPr>
            </w:r>
            <w:r>
              <w:rPr>
                <w:noProof/>
                <w:webHidden/>
              </w:rPr>
              <w:fldChar w:fldCharType="separate"/>
            </w:r>
            <w:r w:rsidR="000D75AE">
              <w:rPr>
                <w:noProof/>
                <w:webHidden/>
              </w:rPr>
              <w:t>19</w:t>
            </w:r>
            <w:r>
              <w:rPr>
                <w:noProof/>
                <w:webHidden/>
              </w:rPr>
              <w:fldChar w:fldCharType="end"/>
            </w:r>
          </w:hyperlink>
        </w:p>
        <w:p w14:paraId="0CBC7B9D" w14:textId="1AC90427" w:rsidR="00420D51" w:rsidRDefault="00420D51">
          <w:pPr>
            <w:pStyle w:val="TOC3"/>
            <w:rPr>
              <w:rFonts w:eastAsiaTheme="minorEastAsia"/>
              <w:noProof/>
              <w:spacing w:val="0"/>
              <w:kern w:val="2"/>
              <w:sz w:val="24"/>
              <w:lang w:eastAsia="en-AU"/>
              <w14:ligatures w14:val="standardContextual"/>
            </w:rPr>
          </w:pPr>
          <w:hyperlink w:anchor="_Toc202899870" w:history="1">
            <w:r w:rsidRPr="00492332">
              <w:rPr>
                <w:rStyle w:val="Hyperlink"/>
                <w:noProof/>
              </w:rPr>
              <w:t>1.3.2</w:t>
            </w:r>
            <w:r>
              <w:rPr>
                <w:rFonts w:eastAsiaTheme="minorEastAsia"/>
                <w:noProof/>
                <w:spacing w:val="0"/>
                <w:kern w:val="2"/>
                <w:sz w:val="24"/>
                <w:lang w:eastAsia="en-AU"/>
                <w14:ligatures w14:val="standardContextual"/>
              </w:rPr>
              <w:tab/>
            </w:r>
            <w:r w:rsidRPr="00492332">
              <w:rPr>
                <w:rStyle w:val="Hyperlink"/>
                <w:noProof/>
              </w:rPr>
              <w:t>Special Class Clients</w:t>
            </w:r>
            <w:r>
              <w:rPr>
                <w:noProof/>
                <w:webHidden/>
              </w:rPr>
              <w:tab/>
            </w:r>
            <w:r>
              <w:rPr>
                <w:noProof/>
                <w:webHidden/>
              </w:rPr>
              <w:fldChar w:fldCharType="begin"/>
            </w:r>
            <w:r>
              <w:rPr>
                <w:noProof/>
                <w:webHidden/>
              </w:rPr>
              <w:instrText xml:space="preserve"> PAGEREF _Toc202899870 \h </w:instrText>
            </w:r>
            <w:r>
              <w:rPr>
                <w:noProof/>
                <w:webHidden/>
              </w:rPr>
            </w:r>
            <w:r>
              <w:rPr>
                <w:noProof/>
                <w:webHidden/>
              </w:rPr>
              <w:fldChar w:fldCharType="separate"/>
            </w:r>
            <w:r w:rsidR="000D75AE">
              <w:rPr>
                <w:noProof/>
                <w:webHidden/>
              </w:rPr>
              <w:t>23</w:t>
            </w:r>
            <w:r>
              <w:rPr>
                <w:noProof/>
                <w:webHidden/>
              </w:rPr>
              <w:fldChar w:fldCharType="end"/>
            </w:r>
          </w:hyperlink>
        </w:p>
        <w:p w14:paraId="35DEF7D3" w14:textId="56ED7F13" w:rsidR="00420D51" w:rsidRDefault="00420D51">
          <w:pPr>
            <w:pStyle w:val="TOC3"/>
            <w:rPr>
              <w:rFonts w:eastAsiaTheme="minorEastAsia"/>
              <w:noProof/>
              <w:spacing w:val="0"/>
              <w:kern w:val="2"/>
              <w:sz w:val="24"/>
              <w:lang w:eastAsia="en-AU"/>
              <w14:ligatures w14:val="standardContextual"/>
            </w:rPr>
          </w:pPr>
          <w:hyperlink w:anchor="_Toc202899871" w:history="1">
            <w:r w:rsidRPr="00492332">
              <w:rPr>
                <w:rStyle w:val="Hyperlink"/>
                <w:noProof/>
              </w:rPr>
              <w:t>1.3.3</w:t>
            </w:r>
            <w:r>
              <w:rPr>
                <w:rFonts w:eastAsiaTheme="minorEastAsia"/>
                <w:noProof/>
                <w:spacing w:val="0"/>
                <w:kern w:val="2"/>
                <w:sz w:val="24"/>
                <w:lang w:eastAsia="en-AU"/>
                <w14:ligatures w14:val="standardContextual"/>
              </w:rPr>
              <w:tab/>
            </w:r>
            <w:r w:rsidRPr="00492332">
              <w:rPr>
                <w:rStyle w:val="Hyperlink"/>
                <w:noProof/>
              </w:rPr>
              <w:t>NDIS participants</w:t>
            </w:r>
            <w:r>
              <w:rPr>
                <w:noProof/>
                <w:webHidden/>
              </w:rPr>
              <w:tab/>
            </w:r>
            <w:r>
              <w:rPr>
                <w:noProof/>
                <w:webHidden/>
              </w:rPr>
              <w:fldChar w:fldCharType="begin"/>
            </w:r>
            <w:r>
              <w:rPr>
                <w:noProof/>
                <w:webHidden/>
              </w:rPr>
              <w:instrText xml:space="preserve"> PAGEREF _Toc202899871 \h </w:instrText>
            </w:r>
            <w:r>
              <w:rPr>
                <w:noProof/>
                <w:webHidden/>
              </w:rPr>
            </w:r>
            <w:r>
              <w:rPr>
                <w:noProof/>
                <w:webHidden/>
              </w:rPr>
              <w:fldChar w:fldCharType="separate"/>
            </w:r>
            <w:r w:rsidR="000D75AE">
              <w:rPr>
                <w:noProof/>
                <w:webHidden/>
              </w:rPr>
              <w:t>23</w:t>
            </w:r>
            <w:r>
              <w:rPr>
                <w:noProof/>
                <w:webHidden/>
              </w:rPr>
              <w:fldChar w:fldCharType="end"/>
            </w:r>
          </w:hyperlink>
        </w:p>
        <w:p w14:paraId="45D61F8F" w14:textId="19304C84" w:rsidR="00420D51" w:rsidRDefault="00420D51">
          <w:pPr>
            <w:pStyle w:val="TOC3"/>
            <w:rPr>
              <w:rFonts w:eastAsiaTheme="minorEastAsia"/>
              <w:noProof/>
              <w:spacing w:val="0"/>
              <w:kern w:val="2"/>
              <w:sz w:val="24"/>
              <w:lang w:eastAsia="en-AU"/>
              <w14:ligatures w14:val="standardContextual"/>
            </w:rPr>
          </w:pPr>
          <w:hyperlink w:anchor="_Toc202899872" w:history="1">
            <w:r w:rsidRPr="00492332">
              <w:rPr>
                <w:rStyle w:val="Hyperlink"/>
                <w:noProof/>
              </w:rPr>
              <w:t>1.3.4</w:t>
            </w:r>
            <w:r>
              <w:rPr>
                <w:rFonts w:eastAsiaTheme="minorEastAsia"/>
                <w:noProof/>
                <w:spacing w:val="0"/>
                <w:kern w:val="2"/>
                <w:sz w:val="24"/>
                <w:lang w:eastAsia="en-AU"/>
                <w14:ligatures w14:val="standardContextual"/>
              </w:rPr>
              <w:tab/>
            </w:r>
            <w:r w:rsidRPr="00492332">
              <w:rPr>
                <w:rStyle w:val="Hyperlink"/>
                <w:noProof/>
              </w:rPr>
              <w:t>DSP recipients</w:t>
            </w:r>
            <w:r>
              <w:rPr>
                <w:noProof/>
                <w:webHidden/>
              </w:rPr>
              <w:tab/>
            </w:r>
            <w:r>
              <w:rPr>
                <w:noProof/>
                <w:webHidden/>
              </w:rPr>
              <w:fldChar w:fldCharType="begin"/>
            </w:r>
            <w:r>
              <w:rPr>
                <w:noProof/>
                <w:webHidden/>
              </w:rPr>
              <w:instrText xml:space="preserve"> PAGEREF _Toc202899872 \h </w:instrText>
            </w:r>
            <w:r>
              <w:rPr>
                <w:noProof/>
                <w:webHidden/>
              </w:rPr>
            </w:r>
            <w:r>
              <w:rPr>
                <w:noProof/>
                <w:webHidden/>
              </w:rPr>
              <w:fldChar w:fldCharType="separate"/>
            </w:r>
            <w:r w:rsidR="000D75AE">
              <w:rPr>
                <w:noProof/>
                <w:webHidden/>
              </w:rPr>
              <w:t>24</w:t>
            </w:r>
            <w:r>
              <w:rPr>
                <w:noProof/>
                <w:webHidden/>
              </w:rPr>
              <w:fldChar w:fldCharType="end"/>
            </w:r>
          </w:hyperlink>
        </w:p>
        <w:p w14:paraId="42859CD9" w14:textId="04F03E10" w:rsidR="00420D51" w:rsidRDefault="00420D51">
          <w:pPr>
            <w:pStyle w:val="TOC3"/>
            <w:rPr>
              <w:rFonts w:eastAsiaTheme="minorEastAsia"/>
              <w:noProof/>
              <w:spacing w:val="0"/>
              <w:kern w:val="2"/>
              <w:sz w:val="24"/>
              <w:lang w:eastAsia="en-AU"/>
              <w14:ligatures w14:val="standardContextual"/>
            </w:rPr>
          </w:pPr>
          <w:hyperlink w:anchor="_Toc202899873" w:history="1">
            <w:r w:rsidRPr="00492332">
              <w:rPr>
                <w:rStyle w:val="Hyperlink"/>
                <w:noProof/>
              </w:rPr>
              <w:t>1.3.5</w:t>
            </w:r>
            <w:r>
              <w:rPr>
                <w:rFonts w:eastAsiaTheme="minorEastAsia"/>
                <w:noProof/>
                <w:spacing w:val="0"/>
                <w:kern w:val="2"/>
                <w:sz w:val="24"/>
                <w:lang w:eastAsia="en-AU"/>
                <w14:ligatures w14:val="standardContextual"/>
              </w:rPr>
              <w:tab/>
            </w:r>
            <w:r w:rsidRPr="00492332">
              <w:rPr>
                <w:rStyle w:val="Hyperlink"/>
                <w:noProof/>
              </w:rPr>
              <w:t>Pre-Release Prisoners</w:t>
            </w:r>
            <w:r>
              <w:rPr>
                <w:noProof/>
                <w:webHidden/>
              </w:rPr>
              <w:tab/>
            </w:r>
            <w:r>
              <w:rPr>
                <w:noProof/>
                <w:webHidden/>
              </w:rPr>
              <w:fldChar w:fldCharType="begin"/>
            </w:r>
            <w:r>
              <w:rPr>
                <w:noProof/>
                <w:webHidden/>
              </w:rPr>
              <w:instrText xml:space="preserve"> PAGEREF _Toc202899873 \h </w:instrText>
            </w:r>
            <w:r>
              <w:rPr>
                <w:noProof/>
                <w:webHidden/>
              </w:rPr>
            </w:r>
            <w:r>
              <w:rPr>
                <w:noProof/>
                <w:webHidden/>
              </w:rPr>
              <w:fldChar w:fldCharType="separate"/>
            </w:r>
            <w:r w:rsidR="000D75AE">
              <w:rPr>
                <w:noProof/>
                <w:webHidden/>
              </w:rPr>
              <w:t>25</w:t>
            </w:r>
            <w:r>
              <w:rPr>
                <w:noProof/>
                <w:webHidden/>
              </w:rPr>
              <w:fldChar w:fldCharType="end"/>
            </w:r>
          </w:hyperlink>
        </w:p>
        <w:p w14:paraId="1ADEF9E4" w14:textId="054FE194" w:rsidR="00420D51" w:rsidRDefault="00420D51">
          <w:pPr>
            <w:pStyle w:val="TOC3"/>
            <w:rPr>
              <w:rFonts w:eastAsiaTheme="minorEastAsia"/>
              <w:noProof/>
              <w:spacing w:val="0"/>
              <w:kern w:val="2"/>
              <w:sz w:val="24"/>
              <w:lang w:eastAsia="en-AU"/>
              <w14:ligatures w14:val="standardContextual"/>
            </w:rPr>
          </w:pPr>
          <w:hyperlink w:anchor="_Toc202899874" w:history="1">
            <w:r w:rsidRPr="00492332">
              <w:rPr>
                <w:rStyle w:val="Hyperlink"/>
                <w:noProof/>
              </w:rPr>
              <w:t>1.3.6</w:t>
            </w:r>
            <w:r>
              <w:rPr>
                <w:rFonts w:eastAsiaTheme="minorEastAsia"/>
                <w:noProof/>
                <w:spacing w:val="0"/>
                <w:kern w:val="2"/>
                <w:sz w:val="24"/>
                <w:lang w:eastAsia="en-AU"/>
                <w14:ligatures w14:val="standardContextual"/>
              </w:rPr>
              <w:tab/>
            </w:r>
            <w:r w:rsidRPr="00492332">
              <w:rPr>
                <w:rStyle w:val="Hyperlink"/>
                <w:noProof/>
              </w:rPr>
              <w:t>Ongoing Support (Work Assist) Participants</w:t>
            </w:r>
            <w:r>
              <w:rPr>
                <w:noProof/>
                <w:webHidden/>
              </w:rPr>
              <w:tab/>
            </w:r>
            <w:r>
              <w:rPr>
                <w:noProof/>
                <w:webHidden/>
              </w:rPr>
              <w:fldChar w:fldCharType="begin"/>
            </w:r>
            <w:r>
              <w:rPr>
                <w:noProof/>
                <w:webHidden/>
              </w:rPr>
              <w:instrText xml:space="preserve"> PAGEREF _Toc202899874 \h </w:instrText>
            </w:r>
            <w:r>
              <w:rPr>
                <w:noProof/>
                <w:webHidden/>
              </w:rPr>
            </w:r>
            <w:r>
              <w:rPr>
                <w:noProof/>
                <w:webHidden/>
              </w:rPr>
              <w:fldChar w:fldCharType="separate"/>
            </w:r>
            <w:r w:rsidR="000D75AE">
              <w:rPr>
                <w:noProof/>
                <w:webHidden/>
              </w:rPr>
              <w:t>25</w:t>
            </w:r>
            <w:r>
              <w:rPr>
                <w:noProof/>
                <w:webHidden/>
              </w:rPr>
              <w:fldChar w:fldCharType="end"/>
            </w:r>
          </w:hyperlink>
        </w:p>
        <w:p w14:paraId="7725571F" w14:textId="5F42D3DC" w:rsidR="00420D51" w:rsidRDefault="00420D51">
          <w:pPr>
            <w:pStyle w:val="TOC2"/>
            <w:rPr>
              <w:rFonts w:eastAsiaTheme="minorEastAsia"/>
              <w:noProof/>
              <w:spacing w:val="0"/>
              <w:kern w:val="2"/>
              <w:sz w:val="24"/>
              <w:lang w:eastAsia="en-AU"/>
              <w14:ligatures w14:val="standardContextual"/>
            </w:rPr>
          </w:pPr>
          <w:hyperlink w:anchor="_Toc202899875" w:history="1">
            <w:r w:rsidRPr="00492332">
              <w:rPr>
                <w:rStyle w:val="Hyperlink"/>
                <w:noProof/>
              </w:rPr>
              <w:t>1.4</w:t>
            </w:r>
            <w:r>
              <w:rPr>
                <w:rFonts w:eastAsiaTheme="minorEastAsia"/>
                <w:noProof/>
                <w:spacing w:val="0"/>
                <w:kern w:val="2"/>
                <w:sz w:val="24"/>
                <w:lang w:eastAsia="en-AU"/>
                <w14:ligatures w14:val="standardContextual"/>
              </w:rPr>
              <w:tab/>
            </w:r>
            <w:r w:rsidRPr="00492332">
              <w:rPr>
                <w:rStyle w:val="Hyperlink"/>
                <w:noProof/>
              </w:rPr>
              <w:t>Referral of Participants</w:t>
            </w:r>
            <w:r>
              <w:rPr>
                <w:noProof/>
                <w:webHidden/>
              </w:rPr>
              <w:tab/>
            </w:r>
            <w:r>
              <w:rPr>
                <w:noProof/>
                <w:webHidden/>
              </w:rPr>
              <w:fldChar w:fldCharType="begin"/>
            </w:r>
            <w:r>
              <w:rPr>
                <w:noProof/>
                <w:webHidden/>
              </w:rPr>
              <w:instrText xml:space="preserve"> PAGEREF _Toc202899875 \h </w:instrText>
            </w:r>
            <w:r>
              <w:rPr>
                <w:noProof/>
                <w:webHidden/>
              </w:rPr>
            </w:r>
            <w:r>
              <w:rPr>
                <w:noProof/>
                <w:webHidden/>
              </w:rPr>
              <w:fldChar w:fldCharType="separate"/>
            </w:r>
            <w:r w:rsidR="000D75AE">
              <w:rPr>
                <w:noProof/>
                <w:webHidden/>
              </w:rPr>
              <w:t>27</w:t>
            </w:r>
            <w:r>
              <w:rPr>
                <w:noProof/>
                <w:webHidden/>
              </w:rPr>
              <w:fldChar w:fldCharType="end"/>
            </w:r>
          </w:hyperlink>
        </w:p>
        <w:p w14:paraId="6E8C4269" w14:textId="255E64F6" w:rsidR="00420D51" w:rsidRDefault="00420D51">
          <w:pPr>
            <w:pStyle w:val="TOC3"/>
            <w:rPr>
              <w:rFonts w:eastAsiaTheme="minorEastAsia"/>
              <w:noProof/>
              <w:spacing w:val="0"/>
              <w:kern w:val="2"/>
              <w:sz w:val="24"/>
              <w:lang w:eastAsia="en-AU"/>
              <w14:ligatures w14:val="standardContextual"/>
            </w:rPr>
          </w:pPr>
          <w:hyperlink w:anchor="_Toc202899876" w:history="1">
            <w:r w:rsidRPr="00492332">
              <w:rPr>
                <w:rStyle w:val="Hyperlink"/>
                <w:noProof/>
              </w:rPr>
              <w:t>1.4.1</w:t>
            </w:r>
            <w:r>
              <w:rPr>
                <w:rFonts w:eastAsiaTheme="minorEastAsia"/>
                <w:noProof/>
                <w:spacing w:val="0"/>
                <w:kern w:val="2"/>
                <w:sz w:val="24"/>
                <w:lang w:eastAsia="en-AU"/>
                <w14:ligatures w14:val="standardContextual"/>
              </w:rPr>
              <w:tab/>
            </w:r>
            <w:r w:rsidRPr="00492332">
              <w:rPr>
                <w:rStyle w:val="Hyperlink"/>
                <w:noProof/>
              </w:rPr>
              <w:t>Referral processes</w:t>
            </w:r>
            <w:r>
              <w:rPr>
                <w:noProof/>
                <w:webHidden/>
              </w:rPr>
              <w:tab/>
            </w:r>
            <w:r>
              <w:rPr>
                <w:noProof/>
                <w:webHidden/>
              </w:rPr>
              <w:fldChar w:fldCharType="begin"/>
            </w:r>
            <w:r>
              <w:rPr>
                <w:noProof/>
                <w:webHidden/>
              </w:rPr>
              <w:instrText xml:space="preserve"> PAGEREF _Toc202899876 \h </w:instrText>
            </w:r>
            <w:r>
              <w:rPr>
                <w:noProof/>
                <w:webHidden/>
              </w:rPr>
            </w:r>
            <w:r>
              <w:rPr>
                <w:noProof/>
                <w:webHidden/>
              </w:rPr>
              <w:fldChar w:fldCharType="separate"/>
            </w:r>
            <w:r w:rsidR="000D75AE">
              <w:rPr>
                <w:noProof/>
                <w:webHidden/>
              </w:rPr>
              <w:t>27</w:t>
            </w:r>
            <w:r>
              <w:rPr>
                <w:noProof/>
                <w:webHidden/>
              </w:rPr>
              <w:fldChar w:fldCharType="end"/>
            </w:r>
          </w:hyperlink>
        </w:p>
        <w:p w14:paraId="15DCA39E" w14:textId="0CFCF308" w:rsidR="00420D51" w:rsidRDefault="00420D51">
          <w:pPr>
            <w:pStyle w:val="TOC3"/>
            <w:rPr>
              <w:rFonts w:eastAsiaTheme="minorEastAsia"/>
              <w:noProof/>
              <w:spacing w:val="0"/>
              <w:kern w:val="2"/>
              <w:sz w:val="24"/>
              <w:lang w:eastAsia="en-AU"/>
              <w14:ligatures w14:val="standardContextual"/>
            </w:rPr>
          </w:pPr>
          <w:hyperlink w:anchor="_Toc202899877" w:history="1">
            <w:r w:rsidRPr="00492332">
              <w:rPr>
                <w:rStyle w:val="Hyperlink"/>
                <w:noProof/>
              </w:rPr>
              <w:t>1.4.2</w:t>
            </w:r>
            <w:r>
              <w:rPr>
                <w:rFonts w:eastAsiaTheme="minorEastAsia"/>
                <w:noProof/>
                <w:spacing w:val="0"/>
                <w:kern w:val="2"/>
                <w:sz w:val="24"/>
                <w:lang w:eastAsia="en-AU"/>
                <w14:ligatures w14:val="standardContextual"/>
              </w:rPr>
              <w:tab/>
            </w:r>
            <w:r w:rsidRPr="00492332">
              <w:rPr>
                <w:rStyle w:val="Hyperlink"/>
                <w:noProof/>
              </w:rPr>
              <w:t>Receiving Referrals</w:t>
            </w:r>
            <w:r>
              <w:rPr>
                <w:noProof/>
                <w:webHidden/>
              </w:rPr>
              <w:tab/>
            </w:r>
            <w:r>
              <w:rPr>
                <w:noProof/>
                <w:webHidden/>
              </w:rPr>
              <w:fldChar w:fldCharType="begin"/>
            </w:r>
            <w:r>
              <w:rPr>
                <w:noProof/>
                <w:webHidden/>
              </w:rPr>
              <w:instrText xml:space="preserve"> PAGEREF _Toc202899877 \h </w:instrText>
            </w:r>
            <w:r>
              <w:rPr>
                <w:noProof/>
                <w:webHidden/>
              </w:rPr>
            </w:r>
            <w:r>
              <w:rPr>
                <w:noProof/>
                <w:webHidden/>
              </w:rPr>
              <w:fldChar w:fldCharType="separate"/>
            </w:r>
            <w:r w:rsidR="000D75AE">
              <w:rPr>
                <w:noProof/>
                <w:webHidden/>
              </w:rPr>
              <w:t>28</w:t>
            </w:r>
            <w:r>
              <w:rPr>
                <w:noProof/>
                <w:webHidden/>
              </w:rPr>
              <w:fldChar w:fldCharType="end"/>
            </w:r>
          </w:hyperlink>
        </w:p>
        <w:p w14:paraId="4C7DA669" w14:textId="4B08445B" w:rsidR="00420D51" w:rsidRDefault="00420D51">
          <w:pPr>
            <w:pStyle w:val="TOC2"/>
            <w:rPr>
              <w:rFonts w:eastAsiaTheme="minorEastAsia"/>
              <w:noProof/>
              <w:spacing w:val="0"/>
              <w:kern w:val="2"/>
              <w:sz w:val="24"/>
              <w:lang w:eastAsia="en-AU"/>
              <w14:ligatures w14:val="standardContextual"/>
            </w:rPr>
          </w:pPr>
          <w:hyperlink w:anchor="_Toc202899878" w:history="1">
            <w:r w:rsidRPr="00492332">
              <w:rPr>
                <w:rStyle w:val="Hyperlink"/>
                <w:noProof/>
              </w:rPr>
              <w:t>1.5</w:t>
            </w:r>
            <w:r>
              <w:rPr>
                <w:rFonts w:eastAsiaTheme="minorEastAsia"/>
                <w:noProof/>
                <w:spacing w:val="0"/>
                <w:kern w:val="2"/>
                <w:sz w:val="24"/>
                <w:lang w:eastAsia="en-AU"/>
                <w14:ligatures w14:val="standardContextual"/>
              </w:rPr>
              <w:tab/>
            </w:r>
            <w:r w:rsidRPr="00492332">
              <w:rPr>
                <w:rStyle w:val="Hyperlink"/>
                <w:noProof/>
              </w:rPr>
              <w:t>Direct Registration of Participants</w:t>
            </w:r>
            <w:r>
              <w:rPr>
                <w:noProof/>
                <w:webHidden/>
              </w:rPr>
              <w:tab/>
            </w:r>
            <w:r>
              <w:rPr>
                <w:noProof/>
                <w:webHidden/>
              </w:rPr>
              <w:fldChar w:fldCharType="begin"/>
            </w:r>
            <w:r>
              <w:rPr>
                <w:noProof/>
                <w:webHidden/>
              </w:rPr>
              <w:instrText xml:space="preserve"> PAGEREF _Toc202899878 \h </w:instrText>
            </w:r>
            <w:r>
              <w:rPr>
                <w:noProof/>
                <w:webHidden/>
              </w:rPr>
            </w:r>
            <w:r>
              <w:rPr>
                <w:noProof/>
                <w:webHidden/>
              </w:rPr>
              <w:fldChar w:fldCharType="separate"/>
            </w:r>
            <w:r w:rsidR="000D75AE">
              <w:rPr>
                <w:noProof/>
                <w:webHidden/>
              </w:rPr>
              <w:t>29</w:t>
            </w:r>
            <w:r>
              <w:rPr>
                <w:noProof/>
                <w:webHidden/>
              </w:rPr>
              <w:fldChar w:fldCharType="end"/>
            </w:r>
          </w:hyperlink>
        </w:p>
        <w:p w14:paraId="0B65E4F6" w14:textId="7F63015C" w:rsidR="00420D51" w:rsidRDefault="00420D51">
          <w:pPr>
            <w:pStyle w:val="TOC3"/>
            <w:rPr>
              <w:rFonts w:eastAsiaTheme="minorEastAsia"/>
              <w:noProof/>
              <w:spacing w:val="0"/>
              <w:kern w:val="2"/>
              <w:sz w:val="24"/>
              <w:lang w:eastAsia="en-AU"/>
              <w14:ligatures w14:val="standardContextual"/>
            </w:rPr>
          </w:pPr>
          <w:hyperlink w:anchor="_Toc202899879" w:history="1">
            <w:r w:rsidRPr="00492332">
              <w:rPr>
                <w:rStyle w:val="Hyperlink"/>
                <w:noProof/>
              </w:rPr>
              <w:t>1.5.1</w:t>
            </w:r>
            <w:r>
              <w:rPr>
                <w:rFonts w:eastAsiaTheme="minorEastAsia"/>
                <w:noProof/>
                <w:spacing w:val="0"/>
                <w:kern w:val="2"/>
                <w:sz w:val="24"/>
                <w:lang w:eastAsia="en-AU"/>
                <w14:ligatures w14:val="standardContextual"/>
              </w:rPr>
              <w:tab/>
            </w:r>
            <w:r w:rsidRPr="00492332">
              <w:rPr>
                <w:rStyle w:val="Hyperlink"/>
                <w:noProof/>
              </w:rPr>
              <w:t>Participant Registration</w:t>
            </w:r>
            <w:r>
              <w:rPr>
                <w:noProof/>
                <w:webHidden/>
              </w:rPr>
              <w:tab/>
            </w:r>
            <w:r>
              <w:rPr>
                <w:noProof/>
                <w:webHidden/>
              </w:rPr>
              <w:fldChar w:fldCharType="begin"/>
            </w:r>
            <w:r>
              <w:rPr>
                <w:noProof/>
                <w:webHidden/>
              </w:rPr>
              <w:instrText xml:space="preserve"> PAGEREF _Toc202899879 \h </w:instrText>
            </w:r>
            <w:r>
              <w:rPr>
                <w:noProof/>
                <w:webHidden/>
              </w:rPr>
            </w:r>
            <w:r>
              <w:rPr>
                <w:noProof/>
                <w:webHidden/>
              </w:rPr>
              <w:fldChar w:fldCharType="separate"/>
            </w:r>
            <w:r w:rsidR="000D75AE">
              <w:rPr>
                <w:noProof/>
                <w:webHidden/>
              </w:rPr>
              <w:t>29</w:t>
            </w:r>
            <w:r>
              <w:rPr>
                <w:noProof/>
                <w:webHidden/>
              </w:rPr>
              <w:fldChar w:fldCharType="end"/>
            </w:r>
          </w:hyperlink>
        </w:p>
        <w:p w14:paraId="5F0D6A89" w14:textId="07AE08AF" w:rsidR="00420D51" w:rsidRDefault="00420D51">
          <w:pPr>
            <w:pStyle w:val="TOC3"/>
            <w:rPr>
              <w:rFonts w:eastAsiaTheme="minorEastAsia"/>
              <w:noProof/>
              <w:spacing w:val="0"/>
              <w:kern w:val="2"/>
              <w:sz w:val="24"/>
              <w:lang w:eastAsia="en-AU"/>
              <w14:ligatures w14:val="standardContextual"/>
            </w:rPr>
          </w:pPr>
          <w:hyperlink w:anchor="_Toc202899880" w:history="1">
            <w:r w:rsidRPr="00492332">
              <w:rPr>
                <w:rStyle w:val="Hyperlink"/>
                <w:noProof/>
              </w:rPr>
              <w:t>1.5.2</w:t>
            </w:r>
            <w:r>
              <w:rPr>
                <w:rFonts w:eastAsiaTheme="minorEastAsia"/>
                <w:noProof/>
                <w:spacing w:val="0"/>
                <w:kern w:val="2"/>
                <w:sz w:val="24"/>
                <w:lang w:eastAsia="en-AU"/>
                <w14:ligatures w14:val="standardContextual"/>
              </w:rPr>
              <w:tab/>
            </w:r>
            <w:r w:rsidRPr="00492332">
              <w:rPr>
                <w:rStyle w:val="Hyperlink"/>
                <w:noProof/>
              </w:rPr>
              <w:t>Direct Registration Form</w:t>
            </w:r>
            <w:r>
              <w:rPr>
                <w:noProof/>
                <w:webHidden/>
              </w:rPr>
              <w:tab/>
            </w:r>
            <w:r>
              <w:rPr>
                <w:noProof/>
                <w:webHidden/>
              </w:rPr>
              <w:fldChar w:fldCharType="begin"/>
            </w:r>
            <w:r>
              <w:rPr>
                <w:noProof/>
                <w:webHidden/>
              </w:rPr>
              <w:instrText xml:space="preserve"> PAGEREF _Toc202899880 \h </w:instrText>
            </w:r>
            <w:r>
              <w:rPr>
                <w:noProof/>
                <w:webHidden/>
              </w:rPr>
            </w:r>
            <w:r>
              <w:rPr>
                <w:noProof/>
                <w:webHidden/>
              </w:rPr>
              <w:fldChar w:fldCharType="separate"/>
            </w:r>
            <w:r w:rsidR="000D75AE">
              <w:rPr>
                <w:noProof/>
                <w:webHidden/>
              </w:rPr>
              <w:t>30</w:t>
            </w:r>
            <w:r>
              <w:rPr>
                <w:noProof/>
                <w:webHidden/>
              </w:rPr>
              <w:fldChar w:fldCharType="end"/>
            </w:r>
          </w:hyperlink>
        </w:p>
        <w:p w14:paraId="20BCFA50" w14:textId="072143F9" w:rsidR="00420D51" w:rsidRDefault="00420D51">
          <w:pPr>
            <w:pStyle w:val="TOC3"/>
            <w:rPr>
              <w:rFonts w:eastAsiaTheme="minorEastAsia"/>
              <w:noProof/>
              <w:spacing w:val="0"/>
              <w:kern w:val="2"/>
              <w:sz w:val="24"/>
              <w:lang w:eastAsia="en-AU"/>
              <w14:ligatures w14:val="standardContextual"/>
            </w:rPr>
          </w:pPr>
          <w:hyperlink w:anchor="_Toc202899881" w:history="1">
            <w:r w:rsidRPr="00492332">
              <w:rPr>
                <w:rStyle w:val="Hyperlink"/>
                <w:noProof/>
              </w:rPr>
              <w:t>1.5.3</w:t>
            </w:r>
            <w:r>
              <w:rPr>
                <w:rFonts w:eastAsiaTheme="minorEastAsia"/>
                <w:noProof/>
                <w:spacing w:val="0"/>
                <w:kern w:val="2"/>
                <w:sz w:val="24"/>
                <w:lang w:eastAsia="en-AU"/>
                <w14:ligatures w14:val="standardContextual"/>
              </w:rPr>
              <w:tab/>
            </w:r>
            <w:r w:rsidRPr="00492332">
              <w:rPr>
                <w:rStyle w:val="Hyperlink"/>
                <w:noProof/>
              </w:rPr>
              <w:t>Proof of Identity</w:t>
            </w:r>
            <w:r>
              <w:rPr>
                <w:noProof/>
                <w:webHidden/>
              </w:rPr>
              <w:tab/>
            </w:r>
            <w:r>
              <w:rPr>
                <w:noProof/>
                <w:webHidden/>
              </w:rPr>
              <w:fldChar w:fldCharType="begin"/>
            </w:r>
            <w:r>
              <w:rPr>
                <w:noProof/>
                <w:webHidden/>
              </w:rPr>
              <w:instrText xml:space="preserve"> PAGEREF _Toc202899881 \h </w:instrText>
            </w:r>
            <w:r>
              <w:rPr>
                <w:noProof/>
                <w:webHidden/>
              </w:rPr>
            </w:r>
            <w:r>
              <w:rPr>
                <w:noProof/>
                <w:webHidden/>
              </w:rPr>
              <w:fldChar w:fldCharType="separate"/>
            </w:r>
            <w:r w:rsidR="000D75AE">
              <w:rPr>
                <w:noProof/>
                <w:webHidden/>
              </w:rPr>
              <w:t>30</w:t>
            </w:r>
            <w:r>
              <w:rPr>
                <w:noProof/>
                <w:webHidden/>
              </w:rPr>
              <w:fldChar w:fldCharType="end"/>
            </w:r>
          </w:hyperlink>
        </w:p>
        <w:p w14:paraId="0CDBA229" w14:textId="12F6ABB6" w:rsidR="00420D51" w:rsidRDefault="00420D51">
          <w:pPr>
            <w:pStyle w:val="TOC3"/>
            <w:rPr>
              <w:rFonts w:eastAsiaTheme="minorEastAsia"/>
              <w:noProof/>
              <w:spacing w:val="0"/>
              <w:kern w:val="2"/>
              <w:sz w:val="24"/>
              <w:lang w:eastAsia="en-AU"/>
              <w14:ligatures w14:val="standardContextual"/>
            </w:rPr>
          </w:pPr>
          <w:hyperlink w:anchor="_Toc202899882" w:history="1">
            <w:r w:rsidRPr="00492332">
              <w:rPr>
                <w:rStyle w:val="Hyperlink"/>
                <w:noProof/>
              </w:rPr>
              <w:t>1.5.4</w:t>
            </w:r>
            <w:r>
              <w:rPr>
                <w:rFonts w:eastAsiaTheme="minorEastAsia"/>
                <w:noProof/>
                <w:spacing w:val="0"/>
                <w:kern w:val="2"/>
                <w:sz w:val="24"/>
                <w:lang w:eastAsia="en-AU"/>
                <w14:ligatures w14:val="standardContextual"/>
              </w:rPr>
              <w:tab/>
            </w:r>
            <w:r w:rsidRPr="00492332">
              <w:rPr>
                <w:rStyle w:val="Hyperlink"/>
                <w:noProof/>
              </w:rPr>
              <w:t>Job Seeker ID search</w:t>
            </w:r>
            <w:r>
              <w:rPr>
                <w:noProof/>
                <w:webHidden/>
              </w:rPr>
              <w:tab/>
            </w:r>
            <w:r>
              <w:rPr>
                <w:noProof/>
                <w:webHidden/>
              </w:rPr>
              <w:fldChar w:fldCharType="begin"/>
            </w:r>
            <w:r>
              <w:rPr>
                <w:noProof/>
                <w:webHidden/>
              </w:rPr>
              <w:instrText xml:space="preserve"> PAGEREF _Toc202899882 \h </w:instrText>
            </w:r>
            <w:r>
              <w:rPr>
                <w:noProof/>
                <w:webHidden/>
              </w:rPr>
            </w:r>
            <w:r>
              <w:rPr>
                <w:noProof/>
                <w:webHidden/>
              </w:rPr>
              <w:fldChar w:fldCharType="separate"/>
            </w:r>
            <w:r w:rsidR="000D75AE">
              <w:rPr>
                <w:noProof/>
                <w:webHidden/>
              </w:rPr>
              <w:t>31</w:t>
            </w:r>
            <w:r>
              <w:rPr>
                <w:noProof/>
                <w:webHidden/>
              </w:rPr>
              <w:fldChar w:fldCharType="end"/>
            </w:r>
          </w:hyperlink>
        </w:p>
        <w:p w14:paraId="60E8C33A" w14:textId="51787B79" w:rsidR="00420D51" w:rsidRDefault="00420D51">
          <w:pPr>
            <w:pStyle w:val="TOC3"/>
            <w:rPr>
              <w:rFonts w:eastAsiaTheme="minorEastAsia"/>
              <w:noProof/>
              <w:spacing w:val="0"/>
              <w:kern w:val="2"/>
              <w:sz w:val="24"/>
              <w:lang w:eastAsia="en-AU"/>
              <w14:ligatures w14:val="standardContextual"/>
            </w:rPr>
          </w:pPr>
          <w:hyperlink w:anchor="_Toc202899883" w:history="1">
            <w:r w:rsidRPr="00492332">
              <w:rPr>
                <w:rStyle w:val="Hyperlink"/>
                <w:noProof/>
              </w:rPr>
              <w:t>1.5.5</w:t>
            </w:r>
            <w:r>
              <w:rPr>
                <w:rFonts w:eastAsiaTheme="minorEastAsia"/>
                <w:noProof/>
                <w:spacing w:val="0"/>
                <w:kern w:val="2"/>
                <w:sz w:val="24"/>
                <w:lang w:eastAsia="en-AU"/>
                <w14:ligatures w14:val="standardContextual"/>
              </w:rPr>
              <w:tab/>
            </w:r>
            <w:r w:rsidRPr="00492332">
              <w:rPr>
                <w:rStyle w:val="Hyperlink"/>
                <w:noProof/>
              </w:rPr>
              <w:t>Linking the Customer Reference Number to the Registration record</w:t>
            </w:r>
            <w:r>
              <w:rPr>
                <w:noProof/>
                <w:webHidden/>
              </w:rPr>
              <w:tab/>
            </w:r>
            <w:r>
              <w:rPr>
                <w:noProof/>
                <w:webHidden/>
              </w:rPr>
              <w:fldChar w:fldCharType="begin"/>
            </w:r>
            <w:r>
              <w:rPr>
                <w:noProof/>
                <w:webHidden/>
              </w:rPr>
              <w:instrText xml:space="preserve"> PAGEREF _Toc202899883 \h </w:instrText>
            </w:r>
            <w:r>
              <w:rPr>
                <w:noProof/>
                <w:webHidden/>
              </w:rPr>
            </w:r>
            <w:r>
              <w:rPr>
                <w:noProof/>
                <w:webHidden/>
              </w:rPr>
              <w:fldChar w:fldCharType="separate"/>
            </w:r>
            <w:r w:rsidR="000D75AE">
              <w:rPr>
                <w:noProof/>
                <w:webHidden/>
              </w:rPr>
              <w:t>31</w:t>
            </w:r>
            <w:r>
              <w:rPr>
                <w:noProof/>
                <w:webHidden/>
              </w:rPr>
              <w:fldChar w:fldCharType="end"/>
            </w:r>
          </w:hyperlink>
        </w:p>
        <w:p w14:paraId="5C967B15" w14:textId="4B136D8C" w:rsidR="00420D51" w:rsidRDefault="00420D51">
          <w:pPr>
            <w:pStyle w:val="TOC3"/>
            <w:rPr>
              <w:rFonts w:eastAsiaTheme="minorEastAsia"/>
              <w:noProof/>
              <w:spacing w:val="0"/>
              <w:kern w:val="2"/>
              <w:sz w:val="24"/>
              <w:lang w:eastAsia="en-AU"/>
              <w14:ligatures w14:val="standardContextual"/>
            </w:rPr>
          </w:pPr>
          <w:hyperlink w:anchor="_Toc202899884" w:history="1">
            <w:r w:rsidRPr="00492332">
              <w:rPr>
                <w:rStyle w:val="Hyperlink"/>
                <w:noProof/>
              </w:rPr>
              <w:t>1.5.6</w:t>
            </w:r>
            <w:r>
              <w:rPr>
                <w:rFonts w:eastAsiaTheme="minorEastAsia"/>
                <w:noProof/>
                <w:spacing w:val="0"/>
                <w:kern w:val="2"/>
                <w:sz w:val="24"/>
                <w:lang w:eastAsia="en-AU"/>
                <w14:ligatures w14:val="standardContextual"/>
              </w:rPr>
              <w:tab/>
            </w:r>
            <w:r w:rsidRPr="00492332">
              <w:rPr>
                <w:rStyle w:val="Hyperlink"/>
                <w:noProof/>
              </w:rPr>
              <w:t>Submitting the Job Seeker Registration</w:t>
            </w:r>
            <w:r>
              <w:rPr>
                <w:noProof/>
                <w:webHidden/>
              </w:rPr>
              <w:tab/>
            </w:r>
            <w:r>
              <w:rPr>
                <w:noProof/>
                <w:webHidden/>
              </w:rPr>
              <w:fldChar w:fldCharType="begin"/>
            </w:r>
            <w:r>
              <w:rPr>
                <w:noProof/>
                <w:webHidden/>
              </w:rPr>
              <w:instrText xml:space="preserve"> PAGEREF _Toc202899884 \h </w:instrText>
            </w:r>
            <w:r>
              <w:rPr>
                <w:noProof/>
                <w:webHidden/>
              </w:rPr>
            </w:r>
            <w:r>
              <w:rPr>
                <w:noProof/>
                <w:webHidden/>
              </w:rPr>
              <w:fldChar w:fldCharType="separate"/>
            </w:r>
            <w:r w:rsidR="000D75AE">
              <w:rPr>
                <w:noProof/>
                <w:webHidden/>
              </w:rPr>
              <w:t>32</w:t>
            </w:r>
            <w:r>
              <w:rPr>
                <w:noProof/>
                <w:webHidden/>
              </w:rPr>
              <w:fldChar w:fldCharType="end"/>
            </w:r>
          </w:hyperlink>
        </w:p>
        <w:p w14:paraId="13FCCDDE" w14:textId="2958FE9B"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885" w:history="1">
            <w:r w:rsidRPr="00492332">
              <w:rPr>
                <w:rStyle w:val="Hyperlink"/>
                <w:noProof/>
              </w:rPr>
              <w:t>Chapter 2:</w:t>
            </w:r>
            <w:r>
              <w:rPr>
                <w:rFonts w:eastAsiaTheme="minorEastAsia"/>
                <w:b w:val="0"/>
                <w:noProof/>
                <w:color w:val="auto"/>
                <w:spacing w:val="0"/>
                <w:kern w:val="2"/>
                <w:sz w:val="24"/>
                <w:lang w:eastAsia="en-AU"/>
                <w14:ligatures w14:val="standardContextual"/>
              </w:rPr>
              <w:tab/>
            </w:r>
            <w:r w:rsidRPr="00492332">
              <w:rPr>
                <w:rStyle w:val="Hyperlink"/>
                <w:noProof/>
              </w:rPr>
              <w:t>Assessments</w:t>
            </w:r>
            <w:r>
              <w:rPr>
                <w:noProof/>
                <w:webHidden/>
              </w:rPr>
              <w:tab/>
            </w:r>
            <w:r>
              <w:rPr>
                <w:noProof/>
                <w:webHidden/>
              </w:rPr>
              <w:fldChar w:fldCharType="begin"/>
            </w:r>
            <w:r>
              <w:rPr>
                <w:noProof/>
                <w:webHidden/>
              </w:rPr>
              <w:instrText xml:space="preserve"> PAGEREF _Toc202899885 \h </w:instrText>
            </w:r>
            <w:r>
              <w:rPr>
                <w:noProof/>
                <w:webHidden/>
              </w:rPr>
            </w:r>
            <w:r>
              <w:rPr>
                <w:noProof/>
                <w:webHidden/>
              </w:rPr>
              <w:fldChar w:fldCharType="separate"/>
            </w:r>
            <w:r w:rsidR="000D75AE">
              <w:rPr>
                <w:noProof/>
                <w:webHidden/>
              </w:rPr>
              <w:t>33</w:t>
            </w:r>
            <w:r>
              <w:rPr>
                <w:noProof/>
                <w:webHidden/>
              </w:rPr>
              <w:fldChar w:fldCharType="end"/>
            </w:r>
          </w:hyperlink>
        </w:p>
        <w:p w14:paraId="64726D13" w14:textId="14D5648F" w:rsidR="00420D51" w:rsidRDefault="00420D51">
          <w:pPr>
            <w:pStyle w:val="TOC2"/>
            <w:rPr>
              <w:rFonts w:eastAsiaTheme="minorEastAsia"/>
              <w:noProof/>
              <w:spacing w:val="0"/>
              <w:kern w:val="2"/>
              <w:sz w:val="24"/>
              <w:lang w:eastAsia="en-AU"/>
              <w14:ligatures w14:val="standardContextual"/>
            </w:rPr>
          </w:pPr>
          <w:hyperlink w:anchor="_Toc202899886" w:history="1">
            <w:r w:rsidRPr="00492332">
              <w:rPr>
                <w:rStyle w:val="Hyperlink"/>
                <w:noProof/>
              </w:rPr>
              <w:t>2.1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_Toc202899886 \h </w:instrText>
            </w:r>
            <w:r>
              <w:rPr>
                <w:noProof/>
                <w:webHidden/>
              </w:rPr>
            </w:r>
            <w:r>
              <w:rPr>
                <w:noProof/>
                <w:webHidden/>
              </w:rPr>
              <w:fldChar w:fldCharType="separate"/>
            </w:r>
            <w:r w:rsidR="000D75AE">
              <w:rPr>
                <w:noProof/>
                <w:webHidden/>
              </w:rPr>
              <w:t>33</w:t>
            </w:r>
            <w:r>
              <w:rPr>
                <w:noProof/>
                <w:webHidden/>
              </w:rPr>
              <w:fldChar w:fldCharType="end"/>
            </w:r>
          </w:hyperlink>
        </w:p>
        <w:p w14:paraId="14CF7149" w14:textId="373E19A4" w:rsidR="00420D51" w:rsidRDefault="00420D51">
          <w:pPr>
            <w:pStyle w:val="TOC2"/>
            <w:rPr>
              <w:rFonts w:eastAsiaTheme="minorEastAsia"/>
              <w:noProof/>
              <w:spacing w:val="0"/>
              <w:kern w:val="2"/>
              <w:sz w:val="24"/>
              <w:lang w:eastAsia="en-AU"/>
              <w14:ligatures w14:val="standardContextual"/>
            </w:rPr>
          </w:pPr>
          <w:hyperlink w:anchor="_Toc202899887" w:history="1">
            <w:r w:rsidRPr="00492332">
              <w:rPr>
                <w:rStyle w:val="Hyperlink"/>
                <w:noProof/>
              </w:rPr>
              <w:t>2.2</w:t>
            </w:r>
            <w:r>
              <w:rPr>
                <w:rFonts w:eastAsiaTheme="minorEastAsia"/>
                <w:noProof/>
                <w:spacing w:val="0"/>
                <w:kern w:val="2"/>
                <w:sz w:val="24"/>
                <w:lang w:eastAsia="en-AU"/>
                <w14:ligatures w14:val="standardContextual"/>
              </w:rPr>
              <w:tab/>
            </w:r>
            <w:r w:rsidRPr="00492332">
              <w:rPr>
                <w:rStyle w:val="Hyperlink"/>
                <w:noProof/>
              </w:rPr>
              <w:t>Job Seeker Assessment Framework</w:t>
            </w:r>
            <w:r>
              <w:rPr>
                <w:noProof/>
                <w:webHidden/>
              </w:rPr>
              <w:tab/>
            </w:r>
            <w:r>
              <w:rPr>
                <w:noProof/>
                <w:webHidden/>
              </w:rPr>
              <w:fldChar w:fldCharType="begin"/>
            </w:r>
            <w:r>
              <w:rPr>
                <w:noProof/>
                <w:webHidden/>
              </w:rPr>
              <w:instrText xml:space="preserve"> PAGEREF _Toc202899887 \h </w:instrText>
            </w:r>
            <w:r>
              <w:rPr>
                <w:noProof/>
                <w:webHidden/>
              </w:rPr>
            </w:r>
            <w:r>
              <w:rPr>
                <w:noProof/>
                <w:webHidden/>
              </w:rPr>
              <w:fldChar w:fldCharType="separate"/>
            </w:r>
            <w:r w:rsidR="000D75AE">
              <w:rPr>
                <w:noProof/>
                <w:webHidden/>
              </w:rPr>
              <w:t>34</w:t>
            </w:r>
            <w:r>
              <w:rPr>
                <w:noProof/>
                <w:webHidden/>
              </w:rPr>
              <w:fldChar w:fldCharType="end"/>
            </w:r>
          </w:hyperlink>
        </w:p>
        <w:p w14:paraId="7539A8E6" w14:textId="33C33258" w:rsidR="00420D51" w:rsidRDefault="00420D51">
          <w:pPr>
            <w:pStyle w:val="TOC2"/>
            <w:rPr>
              <w:rFonts w:eastAsiaTheme="minorEastAsia"/>
              <w:noProof/>
              <w:spacing w:val="0"/>
              <w:kern w:val="2"/>
              <w:sz w:val="24"/>
              <w:lang w:eastAsia="en-AU"/>
              <w14:ligatures w14:val="standardContextual"/>
            </w:rPr>
          </w:pPr>
          <w:hyperlink w:anchor="_Toc202899888" w:history="1">
            <w:r w:rsidRPr="00492332">
              <w:rPr>
                <w:rStyle w:val="Hyperlink"/>
                <w:noProof/>
              </w:rPr>
              <w:t>2.3</w:t>
            </w:r>
            <w:r>
              <w:rPr>
                <w:rFonts w:eastAsiaTheme="minorEastAsia"/>
                <w:noProof/>
                <w:spacing w:val="0"/>
                <w:kern w:val="2"/>
                <w:sz w:val="24"/>
                <w:lang w:eastAsia="en-AU"/>
                <w14:ligatures w14:val="standardContextual"/>
              </w:rPr>
              <w:tab/>
            </w:r>
            <w:r w:rsidRPr="00492332">
              <w:rPr>
                <w:rStyle w:val="Hyperlink"/>
                <w:noProof/>
              </w:rPr>
              <w:t>Job Seeker Snapshot and Job Seeker Classification Instrument</w:t>
            </w:r>
            <w:r>
              <w:rPr>
                <w:noProof/>
                <w:webHidden/>
              </w:rPr>
              <w:tab/>
            </w:r>
            <w:r>
              <w:rPr>
                <w:noProof/>
                <w:webHidden/>
              </w:rPr>
              <w:fldChar w:fldCharType="begin"/>
            </w:r>
            <w:r>
              <w:rPr>
                <w:noProof/>
                <w:webHidden/>
              </w:rPr>
              <w:instrText xml:space="preserve"> PAGEREF _Toc202899888 \h </w:instrText>
            </w:r>
            <w:r>
              <w:rPr>
                <w:noProof/>
                <w:webHidden/>
              </w:rPr>
            </w:r>
            <w:r>
              <w:rPr>
                <w:noProof/>
                <w:webHidden/>
              </w:rPr>
              <w:fldChar w:fldCharType="separate"/>
            </w:r>
            <w:r w:rsidR="000D75AE">
              <w:rPr>
                <w:noProof/>
                <w:webHidden/>
              </w:rPr>
              <w:t>34</w:t>
            </w:r>
            <w:r>
              <w:rPr>
                <w:noProof/>
                <w:webHidden/>
              </w:rPr>
              <w:fldChar w:fldCharType="end"/>
            </w:r>
          </w:hyperlink>
        </w:p>
        <w:p w14:paraId="40118647" w14:textId="470E0A1C" w:rsidR="00420D51" w:rsidRDefault="00420D51">
          <w:pPr>
            <w:pStyle w:val="TOC3"/>
            <w:rPr>
              <w:rFonts w:eastAsiaTheme="minorEastAsia"/>
              <w:noProof/>
              <w:spacing w:val="0"/>
              <w:kern w:val="2"/>
              <w:sz w:val="24"/>
              <w:lang w:eastAsia="en-AU"/>
              <w14:ligatures w14:val="standardContextual"/>
            </w:rPr>
          </w:pPr>
          <w:hyperlink w:anchor="_Toc202899889" w:history="1">
            <w:r w:rsidRPr="00492332">
              <w:rPr>
                <w:rStyle w:val="Hyperlink"/>
                <w:noProof/>
              </w:rPr>
              <w:t>2.3.1</w:t>
            </w:r>
            <w:r>
              <w:rPr>
                <w:rFonts w:eastAsiaTheme="minorEastAsia"/>
                <w:noProof/>
                <w:spacing w:val="0"/>
                <w:kern w:val="2"/>
                <w:sz w:val="24"/>
                <w:lang w:eastAsia="en-AU"/>
                <w14:ligatures w14:val="standardContextual"/>
              </w:rPr>
              <w:tab/>
            </w:r>
            <w:r w:rsidRPr="00492332">
              <w:rPr>
                <w:rStyle w:val="Hyperlink"/>
                <w:noProof/>
              </w:rPr>
              <w:t>Conducting the Job Seeker Snapshot</w:t>
            </w:r>
            <w:r>
              <w:rPr>
                <w:noProof/>
                <w:webHidden/>
              </w:rPr>
              <w:tab/>
            </w:r>
            <w:r>
              <w:rPr>
                <w:noProof/>
                <w:webHidden/>
              </w:rPr>
              <w:fldChar w:fldCharType="begin"/>
            </w:r>
            <w:r>
              <w:rPr>
                <w:noProof/>
                <w:webHidden/>
              </w:rPr>
              <w:instrText xml:space="preserve"> PAGEREF _Toc202899889 \h </w:instrText>
            </w:r>
            <w:r>
              <w:rPr>
                <w:noProof/>
                <w:webHidden/>
              </w:rPr>
            </w:r>
            <w:r>
              <w:rPr>
                <w:noProof/>
                <w:webHidden/>
              </w:rPr>
              <w:fldChar w:fldCharType="separate"/>
            </w:r>
            <w:r w:rsidR="000D75AE">
              <w:rPr>
                <w:noProof/>
                <w:webHidden/>
              </w:rPr>
              <w:t>34</w:t>
            </w:r>
            <w:r>
              <w:rPr>
                <w:noProof/>
                <w:webHidden/>
              </w:rPr>
              <w:fldChar w:fldCharType="end"/>
            </w:r>
          </w:hyperlink>
        </w:p>
        <w:p w14:paraId="7B591C0B" w14:textId="726D3281" w:rsidR="00420D51" w:rsidRDefault="00420D51">
          <w:pPr>
            <w:pStyle w:val="TOC2"/>
            <w:rPr>
              <w:rFonts w:eastAsiaTheme="minorEastAsia"/>
              <w:noProof/>
              <w:spacing w:val="0"/>
              <w:kern w:val="2"/>
              <w:sz w:val="24"/>
              <w:lang w:eastAsia="en-AU"/>
              <w14:ligatures w14:val="standardContextual"/>
            </w:rPr>
          </w:pPr>
          <w:hyperlink w:anchor="_Toc202899890" w:history="1">
            <w:r w:rsidRPr="00492332">
              <w:rPr>
                <w:rStyle w:val="Hyperlink"/>
                <w:noProof/>
              </w:rPr>
              <w:t>2.4</w:t>
            </w:r>
            <w:r>
              <w:rPr>
                <w:rFonts w:eastAsiaTheme="minorEastAsia"/>
                <w:noProof/>
                <w:spacing w:val="0"/>
                <w:kern w:val="2"/>
                <w:sz w:val="24"/>
                <w:lang w:eastAsia="en-AU"/>
                <w14:ligatures w14:val="standardContextual"/>
              </w:rPr>
              <w:tab/>
            </w:r>
            <w:r w:rsidRPr="00492332">
              <w:rPr>
                <w:rStyle w:val="Hyperlink"/>
                <w:noProof/>
              </w:rPr>
              <w:t>Employment Services Assessment</w:t>
            </w:r>
            <w:r>
              <w:rPr>
                <w:noProof/>
                <w:webHidden/>
              </w:rPr>
              <w:tab/>
            </w:r>
            <w:r>
              <w:rPr>
                <w:noProof/>
                <w:webHidden/>
              </w:rPr>
              <w:fldChar w:fldCharType="begin"/>
            </w:r>
            <w:r>
              <w:rPr>
                <w:noProof/>
                <w:webHidden/>
              </w:rPr>
              <w:instrText xml:space="preserve"> PAGEREF _Toc202899890 \h </w:instrText>
            </w:r>
            <w:r>
              <w:rPr>
                <w:noProof/>
                <w:webHidden/>
              </w:rPr>
            </w:r>
            <w:r>
              <w:rPr>
                <w:noProof/>
                <w:webHidden/>
              </w:rPr>
              <w:fldChar w:fldCharType="separate"/>
            </w:r>
            <w:r w:rsidR="000D75AE">
              <w:rPr>
                <w:noProof/>
                <w:webHidden/>
              </w:rPr>
              <w:t>36</w:t>
            </w:r>
            <w:r>
              <w:rPr>
                <w:noProof/>
                <w:webHidden/>
              </w:rPr>
              <w:fldChar w:fldCharType="end"/>
            </w:r>
          </w:hyperlink>
        </w:p>
        <w:p w14:paraId="2495D26D" w14:textId="7907FDB4" w:rsidR="00420D51" w:rsidRDefault="00420D51">
          <w:pPr>
            <w:pStyle w:val="TOC3"/>
            <w:rPr>
              <w:rFonts w:eastAsiaTheme="minorEastAsia"/>
              <w:noProof/>
              <w:spacing w:val="0"/>
              <w:kern w:val="2"/>
              <w:sz w:val="24"/>
              <w:lang w:eastAsia="en-AU"/>
              <w14:ligatures w14:val="standardContextual"/>
            </w:rPr>
          </w:pPr>
          <w:hyperlink w:anchor="_Toc202899891" w:history="1">
            <w:r w:rsidRPr="00492332">
              <w:rPr>
                <w:rStyle w:val="Hyperlink"/>
                <w:noProof/>
                <w:lang w:val="en-GB"/>
              </w:rPr>
              <w:t>2.4.1</w:t>
            </w:r>
            <w:r>
              <w:rPr>
                <w:rFonts w:eastAsiaTheme="minorEastAsia"/>
                <w:noProof/>
                <w:spacing w:val="0"/>
                <w:kern w:val="2"/>
                <w:sz w:val="24"/>
                <w:lang w:eastAsia="en-AU"/>
                <w14:ligatures w14:val="standardContextual"/>
              </w:rPr>
              <w:tab/>
            </w:r>
            <w:r w:rsidRPr="00492332">
              <w:rPr>
                <w:rStyle w:val="Hyperlink"/>
                <w:noProof/>
                <w:lang w:val="en-GB"/>
              </w:rPr>
              <w:t>When is an ESAt required?</w:t>
            </w:r>
            <w:r>
              <w:rPr>
                <w:noProof/>
                <w:webHidden/>
              </w:rPr>
              <w:tab/>
            </w:r>
            <w:r>
              <w:rPr>
                <w:noProof/>
                <w:webHidden/>
              </w:rPr>
              <w:fldChar w:fldCharType="begin"/>
            </w:r>
            <w:r>
              <w:rPr>
                <w:noProof/>
                <w:webHidden/>
              </w:rPr>
              <w:instrText xml:space="preserve"> PAGEREF _Toc202899891 \h </w:instrText>
            </w:r>
            <w:r>
              <w:rPr>
                <w:noProof/>
                <w:webHidden/>
              </w:rPr>
            </w:r>
            <w:r>
              <w:rPr>
                <w:noProof/>
                <w:webHidden/>
              </w:rPr>
              <w:fldChar w:fldCharType="separate"/>
            </w:r>
            <w:r w:rsidR="000D75AE">
              <w:rPr>
                <w:noProof/>
                <w:webHidden/>
              </w:rPr>
              <w:t>36</w:t>
            </w:r>
            <w:r>
              <w:rPr>
                <w:noProof/>
                <w:webHidden/>
              </w:rPr>
              <w:fldChar w:fldCharType="end"/>
            </w:r>
          </w:hyperlink>
        </w:p>
        <w:p w14:paraId="22B65FF7" w14:textId="132F4BF0" w:rsidR="00420D51" w:rsidRDefault="00420D51">
          <w:pPr>
            <w:pStyle w:val="TOC3"/>
            <w:rPr>
              <w:rFonts w:eastAsiaTheme="minorEastAsia"/>
              <w:noProof/>
              <w:spacing w:val="0"/>
              <w:kern w:val="2"/>
              <w:sz w:val="24"/>
              <w:lang w:eastAsia="en-AU"/>
              <w14:ligatures w14:val="standardContextual"/>
            </w:rPr>
          </w:pPr>
          <w:hyperlink w:anchor="_Toc202899892" w:history="1">
            <w:r w:rsidRPr="00492332">
              <w:rPr>
                <w:rStyle w:val="Hyperlink"/>
                <w:noProof/>
                <w:lang w:val="en-GB"/>
              </w:rPr>
              <w:t>2.4.2</w:t>
            </w:r>
            <w:r>
              <w:rPr>
                <w:rFonts w:eastAsiaTheme="minorEastAsia"/>
                <w:noProof/>
                <w:spacing w:val="0"/>
                <w:kern w:val="2"/>
                <w:sz w:val="24"/>
                <w:lang w:eastAsia="en-AU"/>
                <w14:ligatures w14:val="standardContextual"/>
              </w:rPr>
              <w:tab/>
            </w:r>
            <w:r w:rsidRPr="00492332">
              <w:rPr>
                <w:rStyle w:val="Hyperlink"/>
                <w:noProof/>
                <w:lang w:val="en-GB"/>
              </w:rPr>
              <w:t>When is an ESAt not required?</w:t>
            </w:r>
            <w:r>
              <w:rPr>
                <w:noProof/>
                <w:webHidden/>
              </w:rPr>
              <w:tab/>
            </w:r>
            <w:r>
              <w:rPr>
                <w:noProof/>
                <w:webHidden/>
              </w:rPr>
              <w:fldChar w:fldCharType="begin"/>
            </w:r>
            <w:r>
              <w:rPr>
                <w:noProof/>
                <w:webHidden/>
              </w:rPr>
              <w:instrText xml:space="preserve"> PAGEREF _Toc202899892 \h </w:instrText>
            </w:r>
            <w:r>
              <w:rPr>
                <w:noProof/>
                <w:webHidden/>
              </w:rPr>
            </w:r>
            <w:r>
              <w:rPr>
                <w:noProof/>
                <w:webHidden/>
              </w:rPr>
              <w:fldChar w:fldCharType="separate"/>
            </w:r>
            <w:r w:rsidR="000D75AE">
              <w:rPr>
                <w:noProof/>
                <w:webHidden/>
              </w:rPr>
              <w:t>38</w:t>
            </w:r>
            <w:r>
              <w:rPr>
                <w:noProof/>
                <w:webHidden/>
              </w:rPr>
              <w:fldChar w:fldCharType="end"/>
            </w:r>
          </w:hyperlink>
        </w:p>
        <w:p w14:paraId="498C3B54" w14:textId="242E14A4" w:rsidR="00420D51" w:rsidRDefault="00420D51">
          <w:pPr>
            <w:pStyle w:val="TOC3"/>
            <w:rPr>
              <w:rFonts w:eastAsiaTheme="minorEastAsia"/>
              <w:noProof/>
              <w:spacing w:val="0"/>
              <w:kern w:val="2"/>
              <w:sz w:val="24"/>
              <w:lang w:eastAsia="en-AU"/>
              <w14:ligatures w14:val="standardContextual"/>
            </w:rPr>
          </w:pPr>
          <w:hyperlink w:anchor="_Toc202899893" w:history="1">
            <w:r w:rsidRPr="00492332">
              <w:rPr>
                <w:rStyle w:val="Hyperlink"/>
                <w:noProof/>
                <w:lang w:val="en-GB"/>
              </w:rPr>
              <w:t>2.4.3</w:t>
            </w:r>
            <w:r>
              <w:rPr>
                <w:rFonts w:eastAsiaTheme="minorEastAsia"/>
                <w:noProof/>
                <w:spacing w:val="0"/>
                <w:kern w:val="2"/>
                <w:sz w:val="24"/>
                <w:lang w:eastAsia="en-AU"/>
                <w14:ligatures w14:val="standardContextual"/>
              </w:rPr>
              <w:tab/>
            </w:r>
            <w:r w:rsidRPr="00492332">
              <w:rPr>
                <w:rStyle w:val="Hyperlink"/>
                <w:noProof/>
                <w:lang w:val="en-GB"/>
              </w:rPr>
              <w:t>ESAt requirements for DSP recipients and NDIS participants</w:t>
            </w:r>
            <w:r>
              <w:rPr>
                <w:noProof/>
                <w:webHidden/>
              </w:rPr>
              <w:tab/>
            </w:r>
            <w:r>
              <w:rPr>
                <w:noProof/>
                <w:webHidden/>
              </w:rPr>
              <w:fldChar w:fldCharType="begin"/>
            </w:r>
            <w:r>
              <w:rPr>
                <w:noProof/>
                <w:webHidden/>
              </w:rPr>
              <w:instrText xml:space="preserve"> PAGEREF _Toc202899893 \h </w:instrText>
            </w:r>
            <w:r>
              <w:rPr>
                <w:noProof/>
                <w:webHidden/>
              </w:rPr>
            </w:r>
            <w:r>
              <w:rPr>
                <w:noProof/>
                <w:webHidden/>
              </w:rPr>
              <w:fldChar w:fldCharType="separate"/>
            </w:r>
            <w:r w:rsidR="000D75AE">
              <w:rPr>
                <w:noProof/>
                <w:webHidden/>
              </w:rPr>
              <w:t>38</w:t>
            </w:r>
            <w:r>
              <w:rPr>
                <w:noProof/>
                <w:webHidden/>
              </w:rPr>
              <w:fldChar w:fldCharType="end"/>
            </w:r>
          </w:hyperlink>
        </w:p>
        <w:p w14:paraId="23CCF2FD" w14:textId="528D2A3F" w:rsidR="00420D51" w:rsidRDefault="00420D51">
          <w:pPr>
            <w:pStyle w:val="TOC3"/>
            <w:rPr>
              <w:rFonts w:eastAsiaTheme="minorEastAsia"/>
              <w:noProof/>
              <w:spacing w:val="0"/>
              <w:kern w:val="2"/>
              <w:sz w:val="24"/>
              <w:lang w:eastAsia="en-AU"/>
              <w14:ligatures w14:val="standardContextual"/>
            </w:rPr>
          </w:pPr>
          <w:hyperlink w:anchor="_Toc202899894" w:history="1">
            <w:r w:rsidRPr="00492332">
              <w:rPr>
                <w:rStyle w:val="Hyperlink"/>
                <w:noProof/>
                <w:lang w:val="en-GB"/>
              </w:rPr>
              <w:t>2.4.4</w:t>
            </w:r>
            <w:r>
              <w:rPr>
                <w:rFonts w:eastAsiaTheme="minorEastAsia"/>
                <w:noProof/>
                <w:spacing w:val="0"/>
                <w:kern w:val="2"/>
                <w:sz w:val="24"/>
                <w:lang w:eastAsia="en-AU"/>
                <w14:ligatures w14:val="standardContextual"/>
              </w:rPr>
              <w:tab/>
            </w:r>
            <w:r w:rsidRPr="00492332">
              <w:rPr>
                <w:rStyle w:val="Hyperlink"/>
                <w:noProof/>
                <w:lang w:val="en-GB"/>
              </w:rPr>
              <w:t>Medical evidence for ESAts</w:t>
            </w:r>
            <w:r>
              <w:rPr>
                <w:noProof/>
                <w:webHidden/>
              </w:rPr>
              <w:tab/>
            </w:r>
            <w:r>
              <w:rPr>
                <w:noProof/>
                <w:webHidden/>
              </w:rPr>
              <w:fldChar w:fldCharType="begin"/>
            </w:r>
            <w:r>
              <w:rPr>
                <w:noProof/>
                <w:webHidden/>
              </w:rPr>
              <w:instrText xml:space="preserve"> PAGEREF _Toc202899894 \h </w:instrText>
            </w:r>
            <w:r>
              <w:rPr>
                <w:noProof/>
                <w:webHidden/>
              </w:rPr>
            </w:r>
            <w:r>
              <w:rPr>
                <w:noProof/>
                <w:webHidden/>
              </w:rPr>
              <w:fldChar w:fldCharType="separate"/>
            </w:r>
            <w:r w:rsidR="000D75AE">
              <w:rPr>
                <w:noProof/>
                <w:webHidden/>
              </w:rPr>
              <w:t>38</w:t>
            </w:r>
            <w:r>
              <w:rPr>
                <w:noProof/>
                <w:webHidden/>
              </w:rPr>
              <w:fldChar w:fldCharType="end"/>
            </w:r>
          </w:hyperlink>
        </w:p>
        <w:p w14:paraId="089295DA" w14:textId="2554AC7D" w:rsidR="00420D51" w:rsidRDefault="00420D51">
          <w:pPr>
            <w:pStyle w:val="TOC3"/>
            <w:rPr>
              <w:rFonts w:eastAsiaTheme="minorEastAsia"/>
              <w:noProof/>
              <w:spacing w:val="0"/>
              <w:kern w:val="2"/>
              <w:sz w:val="24"/>
              <w:lang w:eastAsia="en-AU"/>
              <w14:ligatures w14:val="standardContextual"/>
            </w:rPr>
          </w:pPr>
          <w:hyperlink w:anchor="_Toc202899895" w:history="1">
            <w:r w:rsidRPr="00492332">
              <w:rPr>
                <w:rStyle w:val="Hyperlink"/>
                <w:noProof/>
              </w:rPr>
              <w:t>2.4.5</w:t>
            </w:r>
            <w:r>
              <w:rPr>
                <w:rFonts w:eastAsiaTheme="minorEastAsia"/>
                <w:noProof/>
                <w:spacing w:val="0"/>
                <w:kern w:val="2"/>
                <w:sz w:val="24"/>
                <w:lang w:eastAsia="en-AU"/>
                <w14:ligatures w14:val="standardContextual"/>
              </w:rPr>
              <w:tab/>
            </w:r>
            <w:r w:rsidRPr="00492332">
              <w:rPr>
                <w:rStyle w:val="Hyperlink"/>
                <w:noProof/>
              </w:rPr>
              <w:t>Requesting an ESAt appointment</w:t>
            </w:r>
            <w:r>
              <w:rPr>
                <w:noProof/>
                <w:webHidden/>
              </w:rPr>
              <w:tab/>
            </w:r>
            <w:r>
              <w:rPr>
                <w:noProof/>
                <w:webHidden/>
              </w:rPr>
              <w:fldChar w:fldCharType="begin"/>
            </w:r>
            <w:r>
              <w:rPr>
                <w:noProof/>
                <w:webHidden/>
              </w:rPr>
              <w:instrText xml:space="preserve"> PAGEREF _Toc202899895 \h </w:instrText>
            </w:r>
            <w:r>
              <w:rPr>
                <w:noProof/>
                <w:webHidden/>
              </w:rPr>
            </w:r>
            <w:r>
              <w:rPr>
                <w:noProof/>
                <w:webHidden/>
              </w:rPr>
              <w:fldChar w:fldCharType="separate"/>
            </w:r>
            <w:r w:rsidR="000D75AE">
              <w:rPr>
                <w:noProof/>
                <w:webHidden/>
              </w:rPr>
              <w:t>40</w:t>
            </w:r>
            <w:r>
              <w:rPr>
                <w:noProof/>
                <w:webHidden/>
              </w:rPr>
              <w:fldChar w:fldCharType="end"/>
            </w:r>
          </w:hyperlink>
        </w:p>
        <w:p w14:paraId="7A8B79AC" w14:textId="5115E60D" w:rsidR="00420D51" w:rsidRDefault="00420D51">
          <w:pPr>
            <w:pStyle w:val="TOC3"/>
            <w:rPr>
              <w:rFonts w:eastAsiaTheme="minorEastAsia"/>
              <w:noProof/>
              <w:spacing w:val="0"/>
              <w:kern w:val="2"/>
              <w:sz w:val="24"/>
              <w:lang w:eastAsia="en-AU"/>
              <w14:ligatures w14:val="standardContextual"/>
            </w:rPr>
          </w:pPr>
          <w:hyperlink w:anchor="_Toc202899896" w:history="1">
            <w:r w:rsidRPr="00492332">
              <w:rPr>
                <w:rStyle w:val="Hyperlink"/>
                <w:noProof/>
              </w:rPr>
              <w:t>2.4.6</w:t>
            </w:r>
            <w:r>
              <w:rPr>
                <w:rFonts w:eastAsiaTheme="minorEastAsia"/>
                <w:noProof/>
                <w:spacing w:val="0"/>
                <w:kern w:val="2"/>
                <w:sz w:val="24"/>
                <w:lang w:eastAsia="en-AU"/>
                <w14:ligatures w14:val="standardContextual"/>
              </w:rPr>
              <w:tab/>
            </w:r>
            <w:r w:rsidRPr="00492332">
              <w:rPr>
                <w:rStyle w:val="Hyperlink"/>
                <w:noProof/>
              </w:rPr>
              <w:t>Preparing a person for the ESAt</w:t>
            </w:r>
            <w:r>
              <w:rPr>
                <w:noProof/>
                <w:webHidden/>
              </w:rPr>
              <w:tab/>
            </w:r>
            <w:r>
              <w:rPr>
                <w:noProof/>
                <w:webHidden/>
              </w:rPr>
              <w:fldChar w:fldCharType="begin"/>
            </w:r>
            <w:r>
              <w:rPr>
                <w:noProof/>
                <w:webHidden/>
              </w:rPr>
              <w:instrText xml:space="preserve"> PAGEREF _Toc202899896 \h </w:instrText>
            </w:r>
            <w:r>
              <w:rPr>
                <w:noProof/>
                <w:webHidden/>
              </w:rPr>
            </w:r>
            <w:r>
              <w:rPr>
                <w:noProof/>
                <w:webHidden/>
              </w:rPr>
              <w:fldChar w:fldCharType="separate"/>
            </w:r>
            <w:r w:rsidR="000D75AE">
              <w:rPr>
                <w:noProof/>
                <w:webHidden/>
              </w:rPr>
              <w:t>41</w:t>
            </w:r>
            <w:r>
              <w:rPr>
                <w:noProof/>
                <w:webHidden/>
              </w:rPr>
              <w:fldChar w:fldCharType="end"/>
            </w:r>
          </w:hyperlink>
        </w:p>
        <w:p w14:paraId="53C7C580" w14:textId="14BC7045" w:rsidR="00420D51" w:rsidRDefault="00420D51">
          <w:pPr>
            <w:pStyle w:val="TOC3"/>
            <w:rPr>
              <w:rFonts w:eastAsiaTheme="minorEastAsia"/>
              <w:noProof/>
              <w:spacing w:val="0"/>
              <w:kern w:val="2"/>
              <w:sz w:val="24"/>
              <w:lang w:eastAsia="en-AU"/>
              <w14:ligatures w14:val="standardContextual"/>
            </w:rPr>
          </w:pPr>
          <w:hyperlink w:anchor="_Toc202899897" w:history="1">
            <w:r w:rsidRPr="00492332">
              <w:rPr>
                <w:rStyle w:val="Hyperlink"/>
                <w:noProof/>
              </w:rPr>
              <w:t>2.4.7</w:t>
            </w:r>
            <w:r>
              <w:rPr>
                <w:rFonts w:eastAsiaTheme="minorEastAsia"/>
                <w:noProof/>
                <w:spacing w:val="0"/>
                <w:kern w:val="2"/>
                <w:sz w:val="24"/>
                <w:lang w:eastAsia="en-AU"/>
                <w14:ligatures w14:val="standardContextual"/>
              </w:rPr>
              <w:tab/>
            </w:r>
            <w:r w:rsidRPr="00492332">
              <w:rPr>
                <w:rStyle w:val="Hyperlink"/>
                <w:noProof/>
              </w:rPr>
              <w:t>Actioning the outcomes of the ESAt report</w:t>
            </w:r>
            <w:r>
              <w:rPr>
                <w:noProof/>
                <w:webHidden/>
              </w:rPr>
              <w:tab/>
            </w:r>
            <w:r>
              <w:rPr>
                <w:noProof/>
                <w:webHidden/>
              </w:rPr>
              <w:fldChar w:fldCharType="begin"/>
            </w:r>
            <w:r>
              <w:rPr>
                <w:noProof/>
                <w:webHidden/>
              </w:rPr>
              <w:instrText xml:space="preserve"> PAGEREF _Toc202899897 \h </w:instrText>
            </w:r>
            <w:r>
              <w:rPr>
                <w:noProof/>
                <w:webHidden/>
              </w:rPr>
            </w:r>
            <w:r>
              <w:rPr>
                <w:noProof/>
                <w:webHidden/>
              </w:rPr>
              <w:fldChar w:fldCharType="separate"/>
            </w:r>
            <w:r w:rsidR="000D75AE">
              <w:rPr>
                <w:noProof/>
                <w:webHidden/>
              </w:rPr>
              <w:t>42</w:t>
            </w:r>
            <w:r>
              <w:rPr>
                <w:noProof/>
                <w:webHidden/>
              </w:rPr>
              <w:fldChar w:fldCharType="end"/>
            </w:r>
          </w:hyperlink>
        </w:p>
        <w:p w14:paraId="31F0AFD2" w14:textId="1C907513" w:rsidR="00420D51" w:rsidRDefault="00420D51">
          <w:pPr>
            <w:pStyle w:val="TOC2"/>
            <w:rPr>
              <w:rFonts w:eastAsiaTheme="minorEastAsia"/>
              <w:noProof/>
              <w:spacing w:val="0"/>
              <w:kern w:val="2"/>
              <w:sz w:val="24"/>
              <w:lang w:eastAsia="en-AU"/>
              <w14:ligatures w14:val="standardContextual"/>
            </w:rPr>
          </w:pPr>
          <w:hyperlink w:anchor="_Toc202899898" w:history="1">
            <w:r w:rsidRPr="00492332">
              <w:rPr>
                <w:rStyle w:val="Hyperlink"/>
                <w:noProof/>
              </w:rPr>
              <w:t>2.5</w:t>
            </w:r>
            <w:r>
              <w:rPr>
                <w:rFonts w:eastAsiaTheme="minorEastAsia"/>
                <w:noProof/>
                <w:spacing w:val="0"/>
                <w:kern w:val="2"/>
                <w:sz w:val="24"/>
                <w:lang w:eastAsia="en-AU"/>
                <w14:ligatures w14:val="standardContextual"/>
              </w:rPr>
              <w:tab/>
            </w:r>
            <w:r w:rsidRPr="00492332">
              <w:rPr>
                <w:rStyle w:val="Hyperlink"/>
                <w:noProof/>
              </w:rPr>
              <w:t>Skills Assessment</w:t>
            </w:r>
            <w:r>
              <w:rPr>
                <w:noProof/>
                <w:webHidden/>
              </w:rPr>
              <w:tab/>
            </w:r>
            <w:r>
              <w:rPr>
                <w:noProof/>
                <w:webHidden/>
              </w:rPr>
              <w:fldChar w:fldCharType="begin"/>
            </w:r>
            <w:r>
              <w:rPr>
                <w:noProof/>
                <w:webHidden/>
              </w:rPr>
              <w:instrText xml:space="preserve"> PAGEREF _Toc202899898 \h </w:instrText>
            </w:r>
            <w:r>
              <w:rPr>
                <w:noProof/>
                <w:webHidden/>
              </w:rPr>
            </w:r>
            <w:r>
              <w:rPr>
                <w:noProof/>
                <w:webHidden/>
              </w:rPr>
              <w:fldChar w:fldCharType="separate"/>
            </w:r>
            <w:r w:rsidR="000D75AE">
              <w:rPr>
                <w:noProof/>
                <w:webHidden/>
              </w:rPr>
              <w:t>43</w:t>
            </w:r>
            <w:r>
              <w:rPr>
                <w:noProof/>
                <w:webHidden/>
              </w:rPr>
              <w:fldChar w:fldCharType="end"/>
            </w:r>
          </w:hyperlink>
        </w:p>
        <w:p w14:paraId="7995C97A" w14:textId="7FA250C7" w:rsidR="00420D51" w:rsidRDefault="00420D51">
          <w:pPr>
            <w:pStyle w:val="TOC2"/>
            <w:rPr>
              <w:rFonts w:eastAsiaTheme="minorEastAsia"/>
              <w:noProof/>
              <w:spacing w:val="0"/>
              <w:kern w:val="2"/>
              <w:sz w:val="24"/>
              <w:lang w:eastAsia="en-AU"/>
              <w14:ligatures w14:val="standardContextual"/>
            </w:rPr>
          </w:pPr>
          <w:hyperlink w:anchor="_Toc202899899" w:history="1">
            <w:r w:rsidRPr="00492332">
              <w:rPr>
                <w:rStyle w:val="Hyperlink"/>
                <w:noProof/>
              </w:rPr>
              <w:t>2.6</w:t>
            </w:r>
            <w:r>
              <w:rPr>
                <w:rFonts w:eastAsiaTheme="minorEastAsia"/>
                <w:noProof/>
                <w:spacing w:val="0"/>
                <w:kern w:val="2"/>
                <w:sz w:val="24"/>
                <w:lang w:eastAsia="en-AU"/>
                <w14:ligatures w14:val="standardContextual"/>
              </w:rPr>
              <w:tab/>
            </w:r>
            <w:r w:rsidRPr="00492332">
              <w:rPr>
                <w:rStyle w:val="Hyperlink"/>
                <w:noProof/>
              </w:rPr>
              <w:t>Ongoing Support Assessments</w:t>
            </w:r>
            <w:r>
              <w:rPr>
                <w:noProof/>
                <w:webHidden/>
              </w:rPr>
              <w:tab/>
            </w:r>
            <w:r>
              <w:rPr>
                <w:noProof/>
                <w:webHidden/>
              </w:rPr>
              <w:fldChar w:fldCharType="begin"/>
            </w:r>
            <w:r>
              <w:rPr>
                <w:noProof/>
                <w:webHidden/>
              </w:rPr>
              <w:instrText xml:space="preserve"> PAGEREF _Toc202899899 \h </w:instrText>
            </w:r>
            <w:r>
              <w:rPr>
                <w:noProof/>
                <w:webHidden/>
              </w:rPr>
            </w:r>
            <w:r>
              <w:rPr>
                <w:noProof/>
                <w:webHidden/>
              </w:rPr>
              <w:fldChar w:fldCharType="separate"/>
            </w:r>
            <w:r w:rsidR="000D75AE">
              <w:rPr>
                <w:noProof/>
                <w:webHidden/>
              </w:rPr>
              <w:t>44</w:t>
            </w:r>
            <w:r>
              <w:rPr>
                <w:noProof/>
                <w:webHidden/>
              </w:rPr>
              <w:fldChar w:fldCharType="end"/>
            </w:r>
          </w:hyperlink>
        </w:p>
        <w:p w14:paraId="025F4463" w14:textId="6374E579" w:rsidR="00420D51" w:rsidRDefault="00420D51">
          <w:pPr>
            <w:pStyle w:val="TOC2"/>
            <w:rPr>
              <w:rFonts w:eastAsiaTheme="minorEastAsia"/>
              <w:noProof/>
              <w:spacing w:val="0"/>
              <w:kern w:val="2"/>
              <w:sz w:val="24"/>
              <w:lang w:eastAsia="en-AU"/>
              <w14:ligatures w14:val="standardContextual"/>
            </w:rPr>
          </w:pPr>
          <w:hyperlink w:anchor="_Toc202899900" w:history="1">
            <w:r w:rsidRPr="00492332">
              <w:rPr>
                <w:rStyle w:val="Hyperlink"/>
                <w:noProof/>
              </w:rPr>
              <w:t>2.7</w:t>
            </w:r>
            <w:r>
              <w:rPr>
                <w:rFonts w:eastAsiaTheme="minorEastAsia"/>
                <w:noProof/>
                <w:spacing w:val="0"/>
                <w:kern w:val="2"/>
                <w:sz w:val="24"/>
                <w:lang w:eastAsia="en-AU"/>
                <w14:ligatures w14:val="standardContextual"/>
              </w:rPr>
              <w:tab/>
            </w:r>
            <w:r w:rsidRPr="00492332">
              <w:rPr>
                <w:rStyle w:val="Hyperlink"/>
                <w:noProof/>
              </w:rPr>
              <w:t>Workplace Modification Services Assessment</w:t>
            </w:r>
            <w:r>
              <w:rPr>
                <w:noProof/>
                <w:webHidden/>
              </w:rPr>
              <w:tab/>
            </w:r>
            <w:r>
              <w:rPr>
                <w:noProof/>
                <w:webHidden/>
              </w:rPr>
              <w:fldChar w:fldCharType="begin"/>
            </w:r>
            <w:r>
              <w:rPr>
                <w:noProof/>
                <w:webHidden/>
              </w:rPr>
              <w:instrText xml:space="preserve"> PAGEREF _Toc202899900 \h </w:instrText>
            </w:r>
            <w:r>
              <w:rPr>
                <w:noProof/>
                <w:webHidden/>
              </w:rPr>
            </w:r>
            <w:r>
              <w:rPr>
                <w:noProof/>
                <w:webHidden/>
              </w:rPr>
              <w:fldChar w:fldCharType="separate"/>
            </w:r>
            <w:r w:rsidR="000D75AE">
              <w:rPr>
                <w:noProof/>
                <w:webHidden/>
              </w:rPr>
              <w:t>45</w:t>
            </w:r>
            <w:r>
              <w:rPr>
                <w:noProof/>
                <w:webHidden/>
              </w:rPr>
              <w:fldChar w:fldCharType="end"/>
            </w:r>
          </w:hyperlink>
        </w:p>
        <w:p w14:paraId="1BCF2F35" w14:textId="5CFD1940" w:rsidR="00420D51" w:rsidRDefault="00420D51">
          <w:pPr>
            <w:pStyle w:val="TOC2"/>
            <w:rPr>
              <w:rFonts w:eastAsiaTheme="minorEastAsia"/>
              <w:noProof/>
              <w:spacing w:val="0"/>
              <w:kern w:val="2"/>
              <w:sz w:val="24"/>
              <w:lang w:eastAsia="en-AU"/>
              <w14:ligatures w14:val="standardContextual"/>
            </w:rPr>
          </w:pPr>
          <w:hyperlink w:anchor="_Toc202899901" w:history="1">
            <w:r w:rsidRPr="00492332">
              <w:rPr>
                <w:rStyle w:val="Hyperlink"/>
                <w:noProof/>
              </w:rPr>
              <w:t>2.8</w:t>
            </w:r>
            <w:r>
              <w:rPr>
                <w:rFonts w:eastAsiaTheme="minorEastAsia"/>
                <w:noProof/>
                <w:spacing w:val="0"/>
                <w:kern w:val="2"/>
                <w:sz w:val="24"/>
                <w:lang w:eastAsia="en-AU"/>
                <w14:ligatures w14:val="standardContextual"/>
              </w:rPr>
              <w:tab/>
            </w:r>
            <w:r w:rsidRPr="00492332">
              <w:rPr>
                <w:rStyle w:val="Hyperlink"/>
                <w:noProof/>
              </w:rPr>
              <w:t>Supported Wage System Assessment</w:t>
            </w:r>
            <w:r>
              <w:rPr>
                <w:noProof/>
                <w:webHidden/>
              </w:rPr>
              <w:tab/>
            </w:r>
            <w:r>
              <w:rPr>
                <w:noProof/>
                <w:webHidden/>
              </w:rPr>
              <w:fldChar w:fldCharType="begin"/>
            </w:r>
            <w:r>
              <w:rPr>
                <w:noProof/>
                <w:webHidden/>
              </w:rPr>
              <w:instrText xml:space="preserve"> PAGEREF _Toc202899901 \h </w:instrText>
            </w:r>
            <w:r>
              <w:rPr>
                <w:noProof/>
                <w:webHidden/>
              </w:rPr>
            </w:r>
            <w:r>
              <w:rPr>
                <w:noProof/>
                <w:webHidden/>
              </w:rPr>
              <w:fldChar w:fldCharType="separate"/>
            </w:r>
            <w:r w:rsidR="000D75AE">
              <w:rPr>
                <w:noProof/>
                <w:webHidden/>
              </w:rPr>
              <w:t>45</w:t>
            </w:r>
            <w:r>
              <w:rPr>
                <w:noProof/>
                <w:webHidden/>
              </w:rPr>
              <w:fldChar w:fldCharType="end"/>
            </w:r>
          </w:hyperlink>
        </w:p>
        <w:p w14:paraId="7652C24B" w14:textId="060767C4"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902" w:history="1">
            <w:r w:rsidRPr="00492332">
              <w:rPr>
                <w:rStyle w:val="Hyperlink"/>
                <w:noProof/>
              </w:rPr>
              <w:t>Chapter 3:</w:t>
            </w:r>
            <w:r>
              <w:rPr>
                <w:rFonts w:eastAsiaTheme="minorEastAsia"/>
                <w:b w:val="0"/>
                <w:noProof/>
                <w:color w:val="auto"/>
                <w:spacing w:val="0"/>
                <w:kern w:val="2"/>
                <w:sz w:val="24"/>
                <w:lang w:eastAsia="en-AU"/>
                <w14:ligatures w14:val="standardContextual"/>
              </w:rPr>
              <w:tab/>
            </w:r>
            <w:r w:rsidRPr="00492332">
              <w:rPr>
                <w:rStyle w:val="Hyperlink"/>
                <w:noProof/>
              </w:rPr>
              <w:t>Commencements, Transfers, Suspensions and Exits</w:t>
            </w:r>
            <w:r>
              <w:rPr>
                <w:noProof/>
                <w:webHidden/>
              </w:rPr>
              <w:tab/>
            </w:r>
            <w:r>
              <w:rPr>
                <w:noProof/>
                <w:webHidden/>
              </w:rPr>
              <w:fldChar w:fldCharType="begin"/>
            </w:r>
            <w:r>
              <w:rPr>
                <w:noProof/>
                <w:webHidden/>
              </w:rPr>
              <w:instrText xml:space="preserve"> PAGEREF _Toc202899902 \h </w:instrText>
            </w:r>
            <w:r>
              <w:rPr>
                <w:noProof/>
                <w:webHidden/>
              </w:rPr>
            </w:r>
            <w:r>
              <w:rPr>
                <w:noProof/>
                <w:webHidden/>
              </w:rPr>
              <w:fldChar w:fldCharType="separate"/>
            </w:r>
            <w:r w:rsidR="000D75AE">
              <w:rPr>
                <w:noProof/>
                <w:webHidden/>
              </w:rPr>
              <w:t>46</w:t>
            </w:r>
            <w:r>
              <w:rPr>
                <w:noProof/>
                <w:webHidden/>
              </w:rPr>
              <w:fldChar w:fldCharType="end"/>
            </w:r>
          </w:hyperlink>
        </w:p>
        <w:p w14:paraId="5FF4B75F" w14:textId="56353380" w:rsidR="00420D51" w:rsidRDefault="00420D51">
          <w:pPr>
            <w:pStyle w:val="TOC2"/>
            <w:rPr>
              <w:rFonts w:eastAsiaTheme="minorEastAsia"/>
              <w:noProof/>
              <w:spacing w:val="0"/>
              <w:kern w:val="2"/>
              <w:sz w:val="24"/>
              <w:lang w:eastAsia="en-AU"/>
              <w14:ligatures w14:val="standardContextual"/>
            </w:rPr>
          </w:pPr>
          <w:hyperlink w:anchor="_Toc202899903" w:history="1">
            <w:r w:rsidRPr="00492332">
              <w:rPr>
                <w:rStyle w:val="Hyperlink"/>
                <w:noProof/>
              </w:rPr>
              <w:t>3.1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_Toc202899903 \h </w:instrText>
            </w:r>
            <w:r>
              <w:rPr>
                <w:noProof/>
                <w:webHidden/>
              </w:rPr>
            </w:r>
            <w:r>
              <w:rPr>
                <w:noProof/>
                <w:webHidden/>
              </w:rPr>
              <w:fldChar w:fldCharType="separate"/>
            </w:r>
            <w:r w:rsidR="000D75AE">
              <w:rPr>
                <w:noProof/>
                <w:webHidden/>
              </w:rPr>
              <w:t>46</w:t>
            </w:r>
            <w:r>
              <w:rPr>
                <w:noProof/>
                <w:webHidden/>
              </w:rPr>
              <w:fldChar w:fldCharType="end"/>
            </w:r>
          </w:hyperlink>
        </w:p>
        <w:p w14:paraId="4A2BA8BA" w14:textId="1744C126" w:rsidR="00420D51" w:rsidRDefault="00420D51">
          <w:pPr>
            <w:pStyle w:val="TOC2"/>
            <w:rPr>
              <w:rFonts w:eastAsiaTheme="minorEastAsia"/>
              <w:noProof/>
              <w:spacing w:val="0"/>
              <w:kern w:val="2"/>
              <w:sz w:val="24"/>
              <w:lang w:eastAsia="en-AU"/>
              <w14:ligatures w14:val="standardContextual"/>
            </w:rPr>
          </w:pPr>
          <w:hyperlink w:anchor="_Toc202899904" w:history="1">
            <w:r w:rsidRPr="00492332">
              <w:rPr>
                <w:rStyle w:val="Hyperlink"/>
                <w:noProof/>
              </w:rPr>
              <w:t>3.2</w:t>
            </w:r>
            <w:r>
              <w:rPr>
                <w:rFonts w:eastAsiaTheme="minorEastAsia"/>
                <w:noProof/>
                <w:spacing w:val="0"/>
                <w:kern w:val="2"/>
                <w:sz w:val="24"/>
                <w:lang w:eastAsia="en-AU"/>
                <w14:ligatures w14:val="standardContextual"/>
              </w:rPr>
              <w:tab/>
            </w:r>
            <w:r w:rsidRPr="00492332">
              <w:rPr>
                <w:rStyle w:val="Hyperlink"/>
                <w:noProof/>
              </w:rPr>
              <w:t>Commencements</w:t>
            </w:r>
            <w:r>
              <w:rPr>
                <w:noProof/>
                <w:webHidden/>
              </w:rPr>
              <w:tab/>
            </w:r>
            <w:r>
              <w:rPr>
                <w:noProof/>
                <w:webHidden/>
              </w:rPr>
              <w:fldChar w:fldCharType="begin"/>
            </w:r>
            <w:r>
              <w:rPr>
                <w:noProof/>
                <w:webHidden/>
              </w:rPr>
              <w:instrText xml:space="preserve"> PAGEREF _Toc202899904 \h </w:instrText>
            </w:r>
            <w:r>
              <w:rPr>
                <w:noProof/>
                <w:webHidden/>
              </w:rPr>
            </w:r>
            <w:r>
              <w:rPr>
                <w:noProof/>
                <w:webHidden/>
              </w:rPr>
              <w:fldChar w:fldCharType="separate"/>
            </w:r>
            <w:r w:rsidR="000D75AE">
              <w:rPr>
                <w:noProof/>
                <w:webHidden/>
              </w:rPr>
              <w:t>46</w:t>
            </w:r>
            <w:r>
              <w:rPr>
                <w:noProof/>
                <w:webHidden/>
              </w:rPr>
              <w:fldChar w:fldCharType="end"/>
            </w:r>
          </w:hyperlink>
        </w:p>
        <w:p w14:paraId="07F4D305" w14:textId="660C3615" w:rsidR="00420D51" w:rsidRDefault="00420D51">
          <w:pPr>
            <w:pStyle w:val="TOC3"/>
            <w:rPr>
              <w:rFonts w:eastAsiaTheme="minorEastAsia"/>
              <w:noProof/>
              <w:spacing w:val="0"/>
              <w:kern w:val="2"/>
              <w:sz w:val="24"/>
              <w:lang w:eastAsia="en-AU"/>
              <w14:ligatures w14:val="standardContextual"/>
            </w:rPr>
          </w:pPr>
          <w:hyperlink w:anchor="_Toc202899905" w:history="1">
            <w:r w:rsidRPr="00492332">
              <w:rPr>
                <w:rStyle w:val="Hyperlink"/>
                <w:noProof/>
              </w:rPr>
              <w:t>3.2.1</w:t>
            </w:r>
            <w:r>
              <w:rPr>
                <w:rFonts w:eastAsiaTheme="minorEastAsia"/>
                <w:noProof/>
                <w:spacing w:val="0"/>
                <w:kern w:val="2"/>
                <w:sz w:val="24"/>
                <w:lang w:eastAsia="en-AU"/>
                <w14:ligatures w14:val="standardContextual"/>
              </w:rPr>
              <w:tab/>
            </w:r>
            <w:r w:rsidRPr="00492332">
              <w:rPr>
                <w:rStyle w:val="Hyperlink"/>
                <w:noProof/>
              </w:rPr>
              <w:t>Commencing Participants in Inclusive Employment Australia</w:t>
            </w:r>
            <w:r>
              <w:rPr>
                <w:noProof/>
                <w:webHidden/>
              </w:rPr>
              <w:tab/>
            </w:r>
            <w:r>
              <w:rPr>
                <w:noProof/>
                <w:webHidden/>
              </w:rPr>
              <w:fldChar w:fldCharType="begin"/>
            </w:r>
            <w:r>
              <w:rPr>
                <w:noProof/>
                <w:webHidden/>
              </w:rPr>
              <w:instrText xml:space="preserve"> PAGEREF _Toc202899905 \h </w:instrText>
            </w:r>
            <w:r>
              <w:rPr>
                <w:noProof/>
                <w:webHidden/>
              </w:rPr>
            </w:r>
            <w:r>
              <w:rPr>
                <w:noProof/>
                <w:webHidden/>
              </w:rPr>
              <w:fldChar w:fldCharType="separate"/>
            </w:r>
            <w:r w:rsidR="000D75AE">
              <w:rPr>
                <w:noProof/>
                <w:webHidden/>
              </w:rPr>
              <w:t>46</w:t>
            </w:r>
            <w:r>
              <w:rPr>
                <w:noProof/>
                <w:webHidden/>
              </w:rPr>
              <w:fldChar w:fldCharType="end"/>
            </w:r>
          </w:hyperlink>
        </w:p>
        <w:p w14:paraId="56502C6C" w14:textId="03AA8554" w:rsidR="00420D51" w:rsidRDefault="00420D51">
          <w:pPr>
            <w:pStyle w:val="TOC3"/>
            <w:rPr>
              <w:rFonts w:eastAsiaTheme="minorEastAsia"/>
              <w:noProof/>
              <w:spacing w:val="0"/>
              <w:kern w:val="2"/>
              <w:sz w:val="24"/>
              <w:lang w:eastAsia="en-AU"/>
              <w14:ligatures w14:val="standardContextual"/>
            </w:rPr>
          </w:pPr>
          <w:hyperlink w:anchor="_Toc202899906" w:history="1">
            <w:r w:rsidRPr="00492332">
              <w:rPr>
                <w:rStyle w:val="Hyperlink"/>
                <w:noProof/>
              </w:rPr>
              <w:t>3.2.2</w:t>
            </w:r>
            <w:r>
              <w:rPr>
                <w:rFonts w:eastAsiaTheme="minorEastAsia"/>
                <w:noProof/>
                <w:spacing w:val="0"/>
                <w:kern w:val="2"/>
                <w:sz w:val="24"/>
                <w:lang w:eastAsia="en-AU"/>
                <w14:ligatures w14:val="standardContextual"/>
              </w:rPr>
              <w:tab/>
            </w:r>
            <w:r w:rsidRPr="00492332">
              <w:rPr>
                <w:rStyle w:val="Hyperlink"/>
                <w:noProof/>
              </w:rPr>
              <w:t>Initial Interview</w:t>
            </w:r>
            <w:r>
              <w:rPr>
                <w:noProof/>
                <w:webHidden/>
              </w:rPr>
              <w:tab/>
            </w:r>
            <w:r>
              <w:rPr>
                <w:noProof/>
                <w:webHidden/>
              </w:rPr>
              <w:fldChar w:fldCharType="begin"/>
            </w:r>
            <w:r>
              <w:rPr>
                <w:noProof/>
                <w:webHidden/>
              </w:rPr>
              <w:instrText xml:space="preserve"> PAGEREF _Toc202899906 \h </w:instrText>
            </w:r>
            <w:r>
              <w:rPr>
                <w:noProof/>
                <w:webHidden/>
              </w:rPr>
            </w:r>
            <w:r>
              <w:rPr>
                <w:noProof/>
                <w:webHidden/>
              </w:rPr>
              <w:fldChar w:fldCharType="separate"/>
            </w:r>
            <w:r w:rsidR="000D75AE">
              <w:rPr>
                <w:noProof/>
                <w:webHidden/>
              </w:rPr>
              <w:t>48</w:t>
            </w:r>
            <w:r>
              <w:rPr>
                <w:noProof/>
                <w:webHidden/>
              </w:rPr>
              <w:fldChar w:fldCharType="end"/>
            </w:r>
          </w:hyperlink>
        </w:p>
        <w:p w14:paraId="5CC5219F" w14:textId="1F69E17E" w:rsidR="00420D51" w:rsidRDefault="00420D51">
          <w:pPr>
            <w:pStyle w:val="TOC3"/>
            <w:rPr>
              <w:rFonts w:eastAsiaTheme="minorEastAsia"/>
              <w:noProof/>
              <w:spacing w:val="0"/>
              <w:kern w:val="2"/>
              <w:sz w:val="24"/>
              <w:lang w:eastAsia="en-AU"/>
              <w14:ligatures w14:val="standardContextual"/>
            </w:rPr>
          </w:pPr>
          <w:hyperlink w:anchor="_Toc202899907" w:history="1">
            <w:r w:rsidRPr="00492332">
              <w:rPr>
                <w:rStyle w:val="Hyperlink"/>
                <w:noProof/>
              </w:rPr>
              <w:t>3.2.3</w:t>
            </w:r>
            <w:r>
              <w:rPr>
                <w:rFonts w:eastAsiaTheme="minorEastAsia"/>
                <w:noProof/>
                <w:spacing w:val="0"/>
                <w:kern w:val="2"/>
                <w:sz w:val="24"/>
                <w:lang w:eastAsia="en-AU"/>
                <w14:ligatures w14:val="standardContextual"/>
              </w:rPr>
              <w:tab/>
            </w:r>
            <w:r w:rsidRPr="00492332">
              <w:rPr>
                <w:rStyle w:val="Hyperlink"/>
                <w:noProof/>
              </w:rPr>
              <w:t>Steps when a Participant fails to Commence</w:t>
            </w:r>
            <w:r>
              <w:rPr>
                <w:noProof/>
                <w:webHidden/>
              </w:rPr>
              <w:tab/>
            </w:r>
            <w:r>
              <w:rPr>
                <w:noProof/>
                <w:webHidden/>
              </w:rPr>
              <w:fldChar w:fldCharType="begin"/>
            </w:r>
            <w:r>
              <w:rPr>
                <w:noProof/>
                <w:webHidden/>
              </w:rPr>
              <w:instrText xml:space="preserve"> PAGEREF _Toc202899907 \h </w:instrText>
            </w:r>
            <w:r>
              <w:rPr>
                <w:noProof/>
                <w:webHidden/>
              </w:rPr>
            </w:r>
            <w:r>
              <w:rPr>
                <w:noProof/>
                <w:webHidden/>
              </w:rPr>
              <w:fldChar w:fldCharType="separate"/>
            </w:r>
            <w:r w:rsidR="000D75AE">
              <w:rPr>
                <w:noProof/>
                <w:webHidden/>
              </w:rPr>
              <w:t>53</w:t>
            </w:r>
            <w:r>
              <w:rPr>
                <w:noProof/>
                <w:webHidden/>
              </w:rPr>
              <w:fldChar w:fldCharType="end"/>
            </w:r>
          </w:hyperlink>
        </w:p>
        <w:p w14:paraId="11A7AA4E" w14:textId="047CCEDB" w:rsidR="00420D51" w:rsidRDefault="00420D51">
          <w:pPr>
            <w:pStyle w:val="TOC2"/>
            <w:rPr>
              <w:rFonts w:eastAsiaTheme="minorEastAsia"/>
              <w:noProof/>
              <w:spacing w:val="0"/>
              <w:kern w:val="2"/>
              <w:sz w:val="24"/>
              <w:lang w:eastAsia="en-AU"/>
              <w14:ligatures w14:val="standardContextual"/>
            </w:rPr>
          </w:pPr>
          <w:hyperlink w:anchor="_Toc202899908" w:history="1">
            <w:r w:rsidRPr="00492332">
              <w:rPr>
                <w:rStyle w:val="Hyperlink"/>
                <w:noProof/>
              </w:rPr>
              <w:t>3.3</w:t>
            </w:r>
            <w:r>
              <w:rPr>
                <w:rFonts w:eastAsiaTheme="minorEastAsia"/>
                <w:noProof/>
                <w:spacing w:val="0"/>
                <w:kern w:val="2"/>
                <w:sz w:val="24"/>
                <w:lang w:eastAsia="en-AU"/>
                <w14:ligatures w14:val="standardContextual"/>
              </w:rPr>
              <w:tab/>
            </w:r>
            <w:r w:rsidRPr="00492332">
              <w:rPr>
                <w:rStyle w:val="Hyperlink"/>
                <w:noProof/>
              </w:rPr>
              <w:t>The Initial Engagement Period</w:t>
            </w:r>
            <w:r>
              <w:rPr>
                <w:noProof/>
                <w:webHidden/>
              </w:rPr>
              <w:tab/>
            </w:r>
            <w:r>
              <w:rPr>
                <w:noProof/>
                <w:webHidden/>
              </w:rPr>
              <w:fldChar w:fldCharType="begin"/>
            </w:r>
            <w:r>
              <w:rPr>
                <w:noProof/>
                <w:webHidden/>
              </w:rPr>
              <w:instrText xml:space="preserve"> PAGEREF _Toc202899908 \h </w:instrText>
            </w:r>
            <w:r>
              <w:rPr>
                <w:noProof/>
                <w:webHidden/>
              </w:rPr>
            </w:r>
            <w:r>
              <w:rPr>
                <w:noProof/>
                <w:webHidden/>
              </w:rPr>
              <w:fldChar w:fldCharType="separate"/>
            </w:r>
            <w:r w:rsidR="000D75AE">
              <w:rPr>
                <w:noProof/>
                <w:webHidden/>
              </w:rPr>
              <w:t>54</w:t>
            </w:r>
            <w:r>
              <w:rPr>
                <w:noProof/>
                <w:webHidden/>
              </w:rPr>
              <w:fldChar w:fldCharType="end"/>
            </w:r>
          </w:hyperlink>
        </w:p>
        <w:p w14:paraId="683D2822" w14:textId="4397D548" w:rsidR="00420D51" w:rsidRDefault="00420D51">
          <w:pPr>
            <w:pStyle w:val="TOC3"/>
            <w:rPr>
              <w:rFonts w:eastAsiaTheme="minorEastAsia"/>
              <w:noProof/>
              <w:spacing w:val="0"/>
              <w:kern w:val="2"/>
              <w:sz w:val="24"/>
              <w:lang w:eastAsia="en-AU"/>
              <w14:ligatures w14:val="standardContextual"/>
            </w:rPr>
          </w:pPr>
          <w:hyperlink w:anchor="_Toc202899909" w:history="1">
            <w:r w:rsidRPr="00492332">
              <w:rPr>
                <w:rStyle w:val="Hyperlink"/>
                <w:noProof/>
              </w:rPr>
              <w:t>3.3.1</w:t>
            </w:r>
            <w:r>
              <w:rPr>
                <w:rFonts w:eastAsiaTheme="minorEastAsia"/>
                <w:noProof/>
                <w:spacing w:val="0"/>
                <w:kern w:val="2"/>
                <w:sz w:val="24"/>
                <w:lang w:eastAsia="en-AU"/>
                <w14:ligatures w14:val="standardContextual"/>
              </w:rPr>
              <w:tab/>
            </w:r>
            <w:r w:rsidRPr="00492332">
              <w:rPr>
                <w:rStyle w:val="Hyperlink"/>
                <w:noProof/>
              </w:rPr>
              <w:t>Connecting Participants to Workforce Australia Online profiles</w:t>
            </w:r>
            <w:r>
              <w:rPr>
                <w:noProof/>
                <w:webHidden/>
              </w:rPr>
              <w:tab/>
            </w:r>
            <w:r>
              <w:rPr>
                <w:noProof/>
                <w:webHidden/>
              </w:rPr>
              <w:fldChar w:fldCharType="begin"/>
            </w:r>
            <w:r>
              <w:rPr>
                <w:noProof/>
                <w:webHidden/>
              </w:rPr>
              <w:instrText xml:space="preserve"> PAGEREF _Toc202899909 \h </w:instrText>
            </w:r>
            <w:r>
              <w:rPr>
                <w:noProof/>
                <w:webHidden/>
              </w:rPr>
            </w:r>
            <w:r>
              <w:rPr>
                <w:noProof/>
                <w:webHidden/>
              </w:rPr>
              <w:fldChar w:fldCharType="separate"/>
            </w:r>
            <w:r w:rsidR="000D75AE">
              <w:rPr>
                <w:noProof/>
                <w:webHidden/>
              </w:rPr>
              <w:t>56</w:t>
            </w:r>
            <w:r>
              <w:rPr>
                <w:noProof/>
                <w:webHidden/>
              </w:rPr>
              <w:fldChar w:fldCharType="end"/>
            </w:r>
          </w:hyperlink>
        </w:p>
        <w:p w14:paraId="0D398A3B" w14:textId="46A272B3" w:rsidR="00420D51" w:rsidRDefault="00420D51">
          <w:pPr>
            <w:pStyle w:val="TOC2"/>
            <w:rPr>
              <w:rFonts w:eastAsiaTheme="minorEastAsia"/>
              <w:noProof/>
              <w:spacing w:val="0"/>
              <w:kern w:val="2"/>
              <w:sz w:val="24"/>
              <w:lang w:eastAsia="en-AU"/>
              <w14:ligatures w14:val="standardContextual"/>
            </w:rPr>
          </w:pPr>
          <w:hyperlink w:anchor="_Toc202899910" w:history="1">
            <w:r w:rsidRPr="00492332">
              <w:rPr>
                <w:rStyle w:val="Hyperlink"/>
                <w:noProof/>
              </w:rPr>
              <w:t>3.4</w:t>
            </w:r>
            <w:r>
              <w:rPr>
                <w:rFonts w:eastAsiaTheme="minorEastAsia"/>
                <w:noProof/>
                <w:spacing w:val="0"/>
                <w:kern w:val="2"/>
                <w:sz w:val="24"/>
                <w:lang w:eastAsia="en-AU"/>
                <w14:ligatures w14:val="standardContextual"/>
              </w:rPr>
              <w:tab/>
            </w:r>
            <w:r w:rsidRPr="00492332">
              <w:rPr>
                <w:rStyle w:val="Hyperlink"/>
                <w:noProof/>
              </w:rPr>
              <w:t>Transfers</w:t>
            </w:r>
            <w:r>
              <w:rPr>
                <w:noProof/>
                <w:webHidden/>
              </w:rPr>
              <w:tab/>
            </w:r>
            <w:r>
              <w:rPr>
                <w:noProof/>
                <w:webHidden/>
              </w:rPr>
              <w:fldChar w:fldCharType="begin"/>
            </w:r>
            <w:r>
              <w:rPr>
                <w:noProof/>
                <w:webHidden/>
              </w:rPr>
              <w:instrText xml:space="preserve"> PAGEREF _Toc202899910 \h </w:instrText>
            </w:r>
            <w:r>
              <w:rPr>
                <w:noProof/>
                <w:webHidden/>
              </w:rPr>
            </w:r>
            <w:r>
              <w:rPr>
                <w:noProof/>
                <w:webHidden/>
              </w:rPr>
              <w:fldChar w:fldCharType="separate"/>
            </w:r>
            <w:r w:rsidR="000D75AE">
              <w:rPr>
                <w:noProof/>
                <w:webHidden/>
              </w:rPr>
              <w:t>56</w:t>
            </w:r>
            <w:r>
              <w:rPr>
                <w:noProof/>
                <w:webHidden/>
              </w:rPr>
              <w:fldChar w:fldCharType="end"/>
            </w:r>
          </w:hyperlink>
        </w:p>
        <w:p w14:paraId="73789FCB" w14:textId="7FB444DD" w:rsidR="00420D51" w:rsidRDefault="00420D51">
          <w:pPr>
            <w:pStyle w:val="TOC3"/>
            <w:rPr>
              <w:rFonts w:eastAsiaTheme="minorEastAsia"/>
              <w:noProof/>
              <w:spacing w:val="0"/>
              <w:kern w:val="2"/>
              <w:sz w:val="24"/>
              <w:lang w:eastAsia="en-AU"/>
              <w14:ligatures w14:val="standardContextual"/>
            </w:rPr>
          </w:pPr>
          <w:hyperlink w:anchor="_Toc202899911" w:history="1">
            <w:r w:rsidRPr="00492332">
              <w:rPr>
                <w:rStyle w:val="Hyperlink"/>
                <w:noProof/>
              </w:rPr>
              <w:t>3.4.1</w:t>
            </w:r>
            <w:r>
              <w:rPr>
                <w:rFonts w:eastAsiaTheme="minorEastAsia"/>
                <w:noProof/>
                <w:spacing w:val="0"/>
                <w:kern w:val="2"/>
                <w:sz w:val="24"/>
                <w:lang w:eastAsia="en-AU"/>
                <w14:ligatures w14:val="standardContextual"/>
              </w:rPr>
              <w:tab/>
            </w:r>
            <w:r w:rsidRPr="00492332">
              <w:rPr>
                <w:rStyle w:val="Hyperlink"/>
                <w:noProof/>
              </w:rPr>
              <w:t>General considerations for transfers</w:t>
            </w:r>
            <w:r>
              <w:rPr>
                <w:noProof/>
                <w:webHidden/>
              </w:rPr>
              <w:tab/>
            </w:r>
            <w:r>
              <w:rPr>
                <w:noProof/>
                <w:webHidden/>
              </w:rPr>
              <w:fldChar w:fldCharType="begin"/>
            </w:r>
            <w:r>
              <w:rPr>
                <w:noProof/>
                <w:webHidden/>
              </w:rPr>
              <w:instrText xml:space="preserve"> PAGEREF _Toc202899911 \h </w:instrText>
            </w:r>
            <w:r>
              <w:rPr>
                <w:noProof/>
                <w:webHidden/>
              </w:rPr>
            </w:r>
            <w:r>
              <w:rPr>
                <w:noProof/>
                <w:webHidden/>
              </w:rPr>
              <w:fldChar w:fldCharType="separate"/>
            </w:r>
            <w:r w:rsidR="000D75AE">
              <w:rPr>
                <w:noProof/>
                <w:webHidden/>
              </w:rPr>
              <w:t>56</w:t>
            </w:r>
            <w:r>
              <w:rPr>
                <w:noProof/>
                <w:webHidden/>
              </w:rPr>
              <w:fldChar w:fldCharType="end"/>
            </w:r>
          </w:hyperlink>
        </w:p>
        <w:p w14:paraId="75972EF2" w14:textId="27EBAABF" w:rsidR="00420D51" w:rsidRDefault="00420D51">
          <w:pPr>
            <w:pStyle w:val="TOC3"/>
            <w:rPr>
              <w:rFonts w:eastAsiaTheme="minorEastAsia"/>
              <w:noProof/>
              <w:spacing w:val="0"/>
              <w:kern w:val="2"/>
              <w:sz w:val="24"/>
              <w:lang w:eastAsia="en-AU"/>
              <w14:ligatures w14:val="standardContextual"/>
            </w:rPr>
          </w:pPr>
          <w:hyperlink w:anchor="_Toc202899912" w:history="1">
            <w:r w:rsidRPr="00492332">
              <w:rPr>
                <w:rStyle w:val="Hyperlink"/>
                <w:noProof/>
              </w:rPr>
              <w:t>3.4.2</w:t>
            </w:r>
            <w:r>
              <w:rPr>
                <w:rFonts w:eastAsiaTheme="minorEastAsia"/>
                <w:noProof/>
                <w:spacing w:val="0"/>
                <w:kern w:val="2"/>
                <w:sz w:val="24"/>
                <w:lang w:eastAsia="en-AU"/>
                <w14:ligatures w14:val="standardContextual"/>
              </w:rPr>
              <w:tab/>
            </w:r>
            <w:r w:rsidRPr="00492332">
              <w:rPr>
                <w:rStyle w:val="Hyperlink"/>
                <w:noProof/>
              </w:rPr>
              <w:t>Transfer types</w:t>
            </w:r>
            <w:r>
              <w:rPr>
                <w:noProof/>
                <w:webHidden/>
              </w:rPr>
              <w:tab/>
            </w:r>
            <w:r>
              <w:rPr>
                <w:noProof/>
                <w:webHidden/>
              </w:rPr>
              <w:fldChar w:fldCharType="begin"/>
            </w:r>
            <w:r>
              <w:rPr>
                <w:noProof/>
                <w:webHidden/>
              </w:rPr>
              <w:instrText xml:space="preserve"> PAGEREF _Toc202899912 \h </w:instrText>
            </w:r>
            <w:r>
              <w:rPr>
                <w:noProof/>
                <w:webHidden/>
              </w:rPr>
            </w:r>
            <w:r>
              <w:rPr>
                <w:noProof/>
                <w:webHidden/>
              </w:rPr>
              <w:fldChar w:fldCharType="separate"/>
            </w:r>
            <w:r w:rsidR="000D75AE">
              <w:rPr>
                <w:noProof/>
                <w:webHidden/>
              </w:rPr>
              <w:t>58</w:t>
            </w:r>
            <w:r>
              <w:rPr>
                <w:noProof/>
                <w:webHidden/>
              </w:rPr>
              <w:fldChar w:fldCharType="end"/>
            </w:r>
          </w:hyperlink>
        </w:p>
        <w:p w14:paraId="43F0F206" w14:textId="072474F2" w:rsidR="00420D51" w:rsidRDefault="00420D51">
          <w:pPr>
            <w:pStyle w:val="TOC2"/>
            <w:rPr>
              <w:rFonts w:eastAsiaTheme="minorEastAsia"/>
              <w:noProof/>
              <w:spacing w:val="0"/>
              <w:kern w:val="2"/>
              <w:sz w:val="24"/>
              <w:lang w:eastAsia="en-AU"/>
              <w14:ligatures w14:val="standardContextual"/>
            </w:rPr>
          </w:pPr>
          <w:hyperlink w:anchor="_Toc202899913" w:history="1">
            <w:r w:rsidRPr="00492332">
              <w:rPr>
                <w:rStyle w:val="Hyperlink"/>
                <w:noProof/>
              </w:rPr>
              <w:t>3.5</w:t>
            </w:r>
            <w:r>
              <w:rPr>
                <w:rFonts w:eastAsiaTheme="minorEastAsia"/>
                <w:noProof/>
                <w:spacing w:val="0"/>
                <w:kern w:val="2"/>
                <w:sz w:val="24"/>
                <w:lang w:eastAsia="en-AU"/>
                <w14:ligatures w14:val="standardContextual"/>
              </w:rPr>
              <w:tab/>
            </w:r>
            <w:r w:rsidRPr="00492332">
              <w:rPr>
                <w:rStyle w:val="Hyperlink"/>
                <w:noProof/>
              </w:rPr>
              <w:t>Suspensions and Volunteer Periods</w:t>
            </w:r>
            <w:r>
              <w:rPr>
                <w:noProof/>
                <w:webHidden/>
              </w:rPr>
              <w:tab/>
            </w:r>
            <w:r>
              <w:rPr>
                <w:noProof/>
                <w:webHidden/>
              </w:rPr>
              <w:fldChar w:fldCharType="begin"/>
            </w:r>
            <w:r>
              <w:rPr>
                <w:noProof/>
                <w:webHidden/>
              </w:rPr>
              <w:instrText xml:space="preserve"> PAGEREF _Toc202899913 \h </w:instrText>
            </w:r>
            <w:r>
              <w:rPr>
                <w:noProof/>
                <w:webHidden/>
              </w:rPr>
            </w:r>
            <w:r>
              <w:rPr>
                <w:noProof/>
                <w:webHidden/>
              </w:rPr>
              <w:fldChar w:fldCharType="separate"/>
            </w:r>
            <w:r w:rsidR="000D75AE">
              <w:rPr>
                <w:noProof/>
                <w:webHidden/>
              </w:rPr>
              <w:t>60</w:t>
            </w:r>
            <w:r>
              <w:rPr>
                <w:noProof/>
                <w:webHidden/>
              </w:rPr>
              <w:fldChar w:fldCharType="end"/>
            </w:r>
          </w:hyperlink>
        </w:p>
        <w:p w14:paraId="0D81B09E" w14:textId="2690C41D" w:rsidR="00420D51" w:rsidRDefault="00420D51">
          <w:pPr>
            <w:pStyle w:val="TOC3"/>
            <w:rPr>
              <w:rFonts w:eastAsiaTheme="minorEastAsia"/>
              <w:noProof/>
              <w:spacing w:val="0"/>
              <w:kern w:val="2"/>
              <w:sz w:val="24"/>
              <w:lang w:eastAsia="en-AU"/>
              <w14:ligatures w14:val="standardContextual"/>
            </w:rPr>
          </w:pPr>
          <w:hyperlink w:anchor="_Toc202899914" w:history="1">
            <w:r w:rsidRPr="00492332">
              <w:rPr>
                <w:rStyle w:val="Hyperlink"/>
                <w:noProof/>
              </w:rPr>
              <w:t>3.5.1</w:t>
            </w:r>
            <w:r>
              <w:rPr>
                <w:rFonts w:eastAsiaTheme="minorEastAsia"/>
                <w:noProof/>
                <w:spacing w:val="0"/>
                <w:kern w:val="2"/>
                <w:sz w:val="24"/>
                <w:lang w:eastAsia="en-AU"/>
                <w14:ligatures w14:val="standardContextual"/>
              </w:rPr>
              <w:tab/>
            </w:r>
            <w:r w:rsidRPr="00492332">
              <w:rPr>
                <w:rStyle w:val="Hyperlink"/>
                <w:noProof/>
              </w:rPr>
              <w:t>When are Participants Suspended?</w:t>
            </w:r>
            <w:r>
              <w:rPr>
                <w:noProof/>
                <w:webHidden/>
              </w:rPr>
              <w:tab/>
            </w:r>
            <w:r>
              <w:rPr>
                <w:noProof/>
                <w:webHidden/>
              </w:rPr>
              <w:fldChar w:fldCharType="begin"/>
            </w:r>
            <w:r>
              <w:rPr>
                <w:noProof/>
                <w:webHidden/>
              </w:rPr>
              <w:instrText xml:space="preserve"> PAGEREF _Toc202899914 \h </w:instrText>
            </w:r>
            <w:r>
              <w:rPr>
                <w:noProof/>
                <w:webHidden/>
              </w:rPr>
            </w:r>
            <w:r>
              <w:rPr>
                <w:noProof/>
                <w:webHidden/>
              </w:rPr>
              <w:fldChar w:fldCharType="separate"/>
            </w:r>
            <w:r w:rsidR="000D75AE">
              <w:rPr>
                <w:noProof/>
                <w:webHidden/>
              </w:rPr>
              <w:t>61</w:t>
            </w:r>
            <w:r>
              <w:rPr>
                <w:noProof/>
                <w:webHidden/>
              </w:rPr>
              <w:fldChar w:fldCharType="end"/>
            </w:r>
          </w:hyperlink>
        </w:p>
        <w:p w14:paraId="4361481C" w14:textId="114D34EA" w:rsidR="00420D51" w:rsidRDefault="00420D51">
          <w:pPr>
            <w:pStyle w:val="TOC3"/>
            <w:rPr>
              <w:rFonts w:eastAsiaTheme="minorEastAsia"/>
              <w:noProof/>
              <w:spacing w:val="0"/>
              <w:kern w:val="2"/>
              <w:sz w:val="24"/>
              <w:lang w:eastAsia="en-AU"/>
              <w14:ligatures w14:val="standardContextual"/>
            </w:rPr>
          </w:pPr>
          <w:hyperlink w:anchor="_Toc202899915" w:history="1">
            <w:r w:rsidRPr="00492332">
              <w:rPr>
                <w:rStyle w:val="Hyperlink"/>
                <w:noProof/>
              </w:rPr>
              <w:t>3.5.2</w:t>
            </w:r>
            <w:r>
              <w:rPr>
                <w:rFonts w:eastAsiaTheme="minorEastAsia"/>
                <w:noProof/>
                <w:spacing w:val="0"/>
                <w:kern w:val="2"/>
                <w:sz w:val="24"/>
                <w:lang w:eastAsia="en-AU"/>
                <w14:ligatures w14:val="standardContextual"/>
              </w:rPr>
              <w:tab/>
            </w:r>
            <w:r w:rsidRPr="00492332">
              <w:rPr>
                <w:rStyle w:val="Hyperlink"/>
                <w:noProof/>
              </w:rPr>
              <w:t>Volunteering during a Suspension</w:t>
            </w:r>
            <w:r>
              <w:rPr>
                <w:noProof/>
                <w:webHidden/>
              </w:rPr>
              <w:tab/>
            </w:r>
            <w:r>
              <w:rPr>
                <w:noProof/>
                <w:webHidden/>
              </w:rPr>
              <w:fldChar w:fldCharType="begin"/>
            </w:r>
            <w:r>
              <w:rPr>
                <w:noProof/>
                <w:webHidden/>
              </w:rPr>
              <w:instrText xml:space="preserve"> PAGEREF _Toc202899915 \h </w:instrText>
            </w:r>
            <w:r>
              <w:rPr>
                <w:noProof/>
                <w:webHidden/>
              </w:rPr>
            </w:r>
            <w:r>
              <w:rPr>
                <w:noProof/>
                <w:webHidden/>
              </w:rPr>
              <w:fldChar w:fldCharType="separate"/>
            </w:r>
            <w:r w:rsidR="000D75AE">
              <w:rPr>
                <w:noProof/>
                <w:webHidden/>
              </w:rPr>
              <w:t>62</w:t>
            </w:r>
            <w:r>
              <w:rPr>
                <w:noProof/>
                <w:webHidden/>
              </w:rPr>
              <w:fldChar w:fldCharType="end"/>
            </w:r>
          </w:hyperlink>
        </w:p>
        <w:p w14:paraId="0618222F" w14:textId="7201221D" w:rsidR="00420D51" w:rsidRDefault="00420D51">
          <w:pPr>
            <w:pStyle w:val="TOC2"/>
            <w:rPr>
              <w:rFonts w:eastAsiaTheme="minorEastAsia"/>
              <w:noProof/>
              <w:spacing w:val="0"/>
              <w:kern w:val="2"/>
              <w:sz w:val="24"/>
              <w:lang w:eastAsia="en-AU"/>
              <w14:ligatures w14:val="standardContextual"/>
            </w:rPr>
          </w:pPr>
          <w:hyperlink w:anchor="_Toc202899916" w:history="1">
            <w:r w:rsidRPr="00492332">
              <w:rPr>
                <w:rStyle w:val="Hyperlink"/>
                <w:noProof/>
              </w:rPr>
              <w:t>3.6</w:t>
            </w:r>
            <w:r>
              <w:rPr>
                <w:rFonts w:eastAsiaTheme="minorEastAsia"/>
                <w:noProof/>
                <w:spacing w:val="0"/>
                <w:kern w:val="2"/>
                <w:sz w:val="24"/>
                <w:lang w:eastAsia="en-AU"/>
                <w14:ligatures w14:val="standardContextual"/>
              </w:rPr>
              <w:tab/>
            </w:r>
            <w:r w:rsidRPr="00492332">
              <w:rPr>
                <w:rStyle w:val="Hyperlink"/>
                <w:noProof/>
              </w:rPr>
              <w:t>Exits</w:t>
            </w:r>
            <w:r>
              <w:rPr>
                <w:noProof/>
                <w:webHidden/>
              </w:rPr>
              <w:tab/>
            </w:r>
            <w:r>
              <w:rPr>
                <w:noProof/>
                <w:webHidden/>
              </w:rPr>
              <w:fldChar w:fldCharType="begin"/>
            </w:r>
            <w:r>
              <w:rPr>
                <w:noProof/>
                <w:webHidden/>
              </w:rPr>
              <w:instrText xml:space="preserve"> PAGEREF _Toc202899916 \h </w:instrText>
            </w:r>
            <w:r>
              <w:rPr>
                <w:noProof/>
                <w:webHidden/>
              </w:rPr>
            </w:r>
            <w:r>
              <w:rPr>
                <w:noProof/>
                <w:webHidden/>
              </w:rPr>
              <w:fldChar w:fldCharType="separate"/>
            </w:r>
            <w:r w:rsidR="000D75AE">
              <w:rPr>
                <w:noProof/>
                <w:webHidden/>
              </w:rPr>
              <w:t>62</w:t>
            </w:r>
            <w:r>
              <w:rPr>
                <w:noProof/>
                <w:webHidden/>
              </w:rPr>
              <w:fldChar w:fldCharType="end"/>
            </w:r>
          </w:hyperlink>
        </w:p>
        <w:p w14:paraId="66E4078A" w14:textId="483EC647" w:rsidR="00420D51" w:rsidRDefault="00420D51">
          <w:pPr>
            <w:pStyle w:val="TOC3"/>
            <w:rPr>
              <w:rFonts w:eastAsiaTheme="minorEastAsia"/>
              <w:noProof/>
              <w:spacing w:val="0"/>
              <w:kern w:val="2"/>
              <w:sz w:val="24"/>
              <w:lang w:eastAsia="en-AU"/>
              <w14:ligatures w14:val="standardContextual"/>
            </w:rPr>
          </w:pPr>
          <w:hyperlink w:anchor="_Toc202899917" w:history="1">
            <w:r w:rsidRPr="00492332">
              <w:rPr>
                <w:rStyle w:val="Hyperlink"/>
                <w:noProof/>
              </w:rPr>
              <w:t>3.6.1</w:t>
            </w:r>
            <w:r>
              <w:rPr>
                <w:rFonts w:eastAsiaTheme="minorEastAsia"/>
                <w:noProof/>
                <w:spacing w:val="0"/>
                <w:kern w:val="2"/>
                <w:sz w:val="24"/>
                <w:lang w:eastAsia="en-AU"/>
                <w14:ligatures w14:val="standardContextual"/>
              </w:rPr>
              <w:tab/>
            </w:r>
            <w:r w:rsidRPr="00492332">
              <w:rPr>
                <w:rStyle w:val="Hyperlink"/>
                <w:noProof/>
              </w:rPr>
              <w:t>Effective Exits</w:t>
            </w:r>
            <w:r>
              <w:rPr>
                <w:noProof/>
                <w:webHidden/>
              </w:rPr>
              <w:tab/>
            </w:r>
            <w:r>
              <w:rPr>
                <w:noProof/>
                <w:webHidden/>
              </w:rPr>
              <w:fldChar w:fldCharType="begin"/>
            </w:r>
            <w:r>
              <w:rPr>
                <w:noProof/>
                <w:webHidden/>
              </w:rPr>
              <w:instrText xml:space="preserve"> PAGEREF _Toc202899917 \h </w:instrText>
            </w:r>
            <w:r>
              <w:rPr>
                <w:noProof/>
                <w:webHidden/>
              </w:rPr>
            </w:r>
            <w:r>
              <w:rPr>
                <w:noProof/>
                <w:webHidden/>
              </w:rPr>
              <w:fldChar w:fldCharType="separate"/>
            </w:r>
            <w:r w:rsidR="000D75AE">
              <w:rPr>
                <w:noProof/>
                <w:webHidden/>
              </w:rPr>
              <w:t>63</w:t>
            </w:r>
            <w:r>
              <w:rPr>
                <w:noProof/>
                <w:webHidden/>
              </w:rPr>
              <w:fldChar w:fldCharType="end"/>
            </w:r>
          </w:hyperlink>
        </w:p>
        <w:p w14:paraId="55022840" w14:textId="2794FA10" w:rsidR="00420D51" w:rsidRDefault="00420D51">
          <w:pPr>
            <w:pStyle w:val="TOC3"/>
            <w:rPr>
              <w:rFonts w:eastAsiaTheme="minorEastAsia"/>
              <w:noProof/>
              <w:spacing w:val="0"/>
              <w:kern w:val="2"/>
              <w:sz w:val="24"/>
              <w:lang w:eastAsia="en-AU"/>
              <w14:ligatures w14:val="standardContextual"/>
            </w:rPr>
          </w:pPr>
          <w:hyperlink w:anchor="_Toc202899918" w:history="1">
            <w:r w:rsidRPr="00492332">
              <w:rPr>
                <w:rStyle w:val="Hyperlink"/>
                <w:noProof/>
              </w:rPr>
              <w:t>3.6.2</w:t>
            </w:r>
            <w:r>
              <w:rPr>
                <w:rFonts w:eastAsiaTheme="minorEastAsia"/>
                <w:noProof/>
                <w:spacing w:val="0"/>
                <w:kern w:val="2"/>
                <w:sz w:val="24"/>
                <w:lang w:eastAsia="en-AU"/>
                <w14:ligatures w14:val="standardContextual"/>
              </w:rPr>
              <w:tab/>
            </w:r>
            <w:r w:rsidRPr="00492332">
              <w:rPr>
                <w:rStyle w:val="Hyperlink"/>
                <w:noProof/>
              </w:rPr>
              <w:t>Provider Exits</w:t>
            </w:r>
            <w:r>
              <w:rPr>
                <w:noProof/>
                <w:webHidden/>
              </w:rPr>
              <w:tab/>
            </w:r>
            <w:r>
              <w:rPr>
                <w:noProof/>
                <w:webHidden/>
              </w:rPr>
              <w:fldChar w:fldCharType="begin"/>
            </w:r>
            <w:r>
              <w:rPr>
                <w:noProof/>
                <w:webHidden/>
              </w:rPr>
              <w:instrText xml:space="preserve"> PAGEREF _Toc202899918 \h </w:instrText>
            </w:r>
            <w:r>
              <w:rPr>
                <w:noProof/>
                <w:webHidden/>
              </w:rPr>
            </w:r>
            <w:r>
              <w:rPr>
                <w:noProof/>
                <w:webHidden/>
              </w:rPr>
              <w:fldChar w:fldCharType="separate"/>
            </w:r>
            <w:r w:rsidR="000D75AE">
              <w:rPr>
                <w:noProof/>
                <w:webHidden/>
              </w:rPr>
              <w:t>63</w:t>
            </w:r>
            <w:r>
              <w:rPr>
                <w:noProof/>
                <w:webHidden/>
              </w:rPr>
              <w:fldChar w:fldCharType="end"/>
            </w:r>
          </w:hyperlink>
        </w:p>
        <w:p w14:paraId="4ECF0766" w14:textId="4E22E8EE" w:rsidR="00420D51" w:rsidRDefault="00420D51">
          <w:pPr>
            <w:pStyle w:val="TOC3"/>
            <w:rPr>
              <w:rFonts w:eastAsiaTheme="minorEastAsia"/>
              <w:noProof/>
              <w:spacing w:val="0"/>
              <w:kern w:val="2"/>
              <w:sz w:val="24"/>
              <w:lang w:eastAsia="en-AU"/>
              <w14:ligatures w14:val="standardContextual"/>
            </w:rPr>
          </w:pPr>
          <w:hyperlink w:anchor="_Toc202899919" w:history="1">
            <w:r w:rsidRPr="00492332">
              <w:rPr>
                <w:rStyle w:val="Hyperlink"/>
                <w:noProof/>
              </w:rPr>
              <w:t>3.6.3</w:t>
            </w:r>
            <w:r>
              <w:rPr>
                <w:rFonts w:eastAsiaTheme="minorEastAsia"/>
                <w:noProof/>
                <w:spacing w:val="0"/>
                <w:kern w:val="2"/>
                <w:sz w:val="24"/>
                <w:lang w:eastAsia="en-AU"/>
                <w14:ligatures w14:val="standardContextual"/>
              </w:rPr>
              <w:tab/>
            </w:r>
            <w:r w:rsidRPr="00492332">
              <w:rPr>
                <w:rStyle w:val="Hyperlink"/>
                <w:noProof/>
              </w:rPr>
              <w:t>Departmental Exits</w:t>
            </w:r>
            <w:r>
              <w:rPr>
                <w:noProof/>
                <w:webHidden/>
              </w:rPr>
              <w:tab/>
            </w:r>
            <w:r>
              <w:rPr>
                <w:noProof/>
                <w:webHidden/>
              </w:rPr>
              <w:fldChar w:fldCharType="begin"/>
            </w:r>
            <w:r>
              <w:rPr>
                <w:noProof/>
                <w:webHidden/>
              </w:rPr>
              <w:instrText xml:space="preserve"> PAGEREF _Toc202899919 \h </w:instrText>
            </w:r>
            <w:r>
              <w:rPr>
                <w:noProof/>
                <w:webHidden/>
              </w:rPr>
            </w:r>
            <w:r>
              <w:rPr>
                <w:noProof/>
                <w:webHidden/>
              </w:rPr>
              <w:fldChar w:fldCharType="separate"/>
            </w:r>
            <w:r w:rsidR="000D75AE">
              <w:rPr>
                <w:noProof/>
                <w:webHidden/>
              </w:rPr>
              <w:t>65</w:t>
            </w:r>
            <w:r>
              <w:rPr>
                <w:noProof/>
                <w:webHidden/>
              </w:rPr>
              <w:fldChar w:fldCharType="end"/>
            </w:r>
          </w:hyperlink>
        </w:p>
        <w:p w14:paraId="775BC053" w14:textId="6EEAE38E" w:rsidR="00420D51" w:rsidRDefault="00420D51">
          <w:pPr>
            <w:pStyle w:val="TOC3"/>
            <w:rPr>
              <w:rFonts w:eastAsiaTheme="minorEastAsia"/>
              <w:noProof/>
              <w:spacing w:val="0"/>
              <w:kern w:val="2"/>
              <w:sz w:val="24"/>
              <w:lang w:eastAsia="en-AU"/>
              <w14:ligatures w14:val="standardContextual"/>
            </w:rPr>
          </w:pPr>
          <w:hyperlink w:anchor="_Toc202899920" w:history="1">
            <w:r w:rsidRPr="00492332">
              <w:rPr>
                <w:rStyle w:val="Hyperlink"/>
                <w:noProof/>
              </w:rPr>
              <w:t>3.6.4</w:t>
            </w:r>
            <w:r>
              <w:rPr>
                <w:rFonts w:eastAsiaTheme="minorEastAsia"/>
                <w:noProof/>
                <w:spacing w:val="0"/>
                <w:kern w:val="2"/>
                <w:sz w:val="24"/>
                <w:lang w:eastAsia="en-AU"/>
                <w14:ligatures w14:val="standardContextual"/>
              </w:rPr>
              <w:tab/>
            </w:r>
            <w:r w:rsidRPr="00492332">
              <w:rPr>
                <w:rStyle w:val="Hyperlink"/>
                <w:noProof/>
              </w:rPr>
              <w:t>Participants resuming their Period of Service after Exit</w:t>
            </w:r>
            <w:r>
              <w:rPr>
                <w:noProof/>
                <w:webHidden/>
              </w:rPr>
              <w:tab/>
            </w:r>
            <w:r>
              <w:rPr>
                <w:noProof/>
                <w:webHidden/>
              </w:rPr>
              <w:fldChar w:fldCharType="begin"/>
            </w:r>
            <w:r>
              <w:rPr>
                <w:noProof/>
                <w:webHidden/>
              </w:rPr>
              <w:instrText xml:space="preserve"> PAGEREF _Toc202899920 \h </w:instrText>
            </w:r>
            <w:r>
              <w:rPr>
                <w:noProof/>
                <w:webHidden/>
              </w:rPr>
            </w:r>
            <w:r>
              <w:rPr>
                <w:noProof/>
                <w:webHidden/>
              </w:rPr>
              <w:fldChar w:fldCharType="separate"/>
            </w:r>
            <w:r w:rsidR="000D75AE">
              <w:rPr>
                <w:noProof/>
                <w:webHidden/>
              </w:rPr>
              <w:t>65</w:t>
            </w:r>
            <w:r>
              <w:rPr>
                <w:noProof/>
                <w:webHidden/>
              </w:rPr>
              <w:fldChar w:fldCharType="end"/>
            </w:r>
          </w:hyperlink>
        </w:p>
        <w:p w14:paraId="15EE1C0D" w14:textId="6917E4D1"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921" w:history="1">
            <w:r w:rsidRPr="00492332">
              <w:rPr>
                <w:rStyle w:val="Hyperlink"/>
                <w:noProof/>
              </w:rPr>
              <w:t>Chapter 4:</w:t>
            </w:r>
            <w:r>
              <w:rPr>
                <w:rFonts w:eastAsiaTheme="minorEastAsia"/>
                <w:b w:val="0"/>
                <w:noProof/>
                <w:color w:val="auto"/>
                <w:spacing w:val="0"/>
                <w:kern w:val="2"/>
                <w:sz w:val="24"/>
                <w:lang w:eastAsia="en-AU"/>
                <w14:ligatures w14:val="standardContextual"/>
              </w:rPr>
              <w:tab/>
            </w:r>
            <w:r w:rsidRPr="00492332">
              <w:rPr>
                <w:rStyle w:val="Hyperlink"/>
                <w:noProof/>
              </w:rPr>
              <w:t>Job Plans</w:t>
            </w:r>
            <w:r>
              <w:rPr>
                <w:noProof/>
                <w:webHidden/>
              </w:rPr>
              <w:tab/>
            </w:r>
            <w:r>
              <w:rPr>
                <w:noProof/>
                <w:webHidden/>
              </w:rPr>
              <w:fldChar w:fldCharType="begin"/>
            </w:r>
            <w:r>
              <w:rPr>
                <w:noProof/>
                <w:webHidden/>
              </w:rPr>
              <w:instrText xml:space="preserve"> PAGEREF _Toc202899921 \h </w:instrText>
            </w:r>
            <w:r>
              <w:rPr>
                <w:noProof/>
                <w:webHidden/>
              </w:rPr>
            </w:r>
            <w:r>
              <w:rPr>
                <w:noProof/>
                <w:webHidden/>
              </w:rPr>
              <w:fldChar w:fldCharType="separate"/>
            </w:r>
            <w:r w:rsidR="000D75AE">
              <w:rPr>
                <w:noProof/>
                <w:webHidden/>
              </w:rPr>
              <w:t>66</w:t>
            </w:r>
            <w:r>
              <w:rPr>
                <w:noProof/>
                <w:webHidden/>
              </w:rPr>
              <w:fldChar w:fldCharType="end"/>
            </w:r>
          </w:hyperlink>
        </w:p>
        <w:p w14:paraId="6AB6E7C7" w14:textId="57B4566D" w:rsidR="00420D51" w:rsidRDefault="00420D51">
          <w:pPr>
            <w:pStyle w:val="TOC2"/>
            <w:rPr>
              <w:rFonts w:eastAsiaTheme="minorEastAsia"/>
              <w:noProof/>
              <w:spacing w:val="0"/>
              <w:kern w:val="2"/>
              <w:sz w:val="24"/>
              <w:lang w:eastAsia="en-AU"/>
              <w14:ligatures w14:val="standardContextual"/>
            </w:rPr>
          </w:pPr>
          <w:hyperlink w:anchor="_Toc202899922" w:history="1">
            <w:r w:rsidRPr="00492332">
              <w:rPr>
                <w:rStyle w:val="Hyperlink"/>
                <w:noProof/>
              </w:rPr>
              <w:t>4.1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_Toc202899922 \h </w:instrText>
            </w:r>
            <w:r>
              <w:rPr>
                <w:noProof/>
                <w:webHidden/>
              </w:rPr>
            </w:r>
            <w:r>
              <w:rPr>
                <w:noProof/>
                <w:webHidden/>
              </w:rPr>
              <w:fldChar w:fldCharType="separate"/>
            </w:r>
            <w:r w:rsidR="000D75AE">
              <w:rPr>
                <w:noProof/>
                <w:webHidden/>
              </w:rPr>
              <w:t>66</w:t>
            </w:r>
            <w:r>
              <w:rPr>
                <w:noProof/>
                <w:webHidden/>
              </w:rPr>
              <w:fldChar w:fldCharType="end"/>
            </w:r>
          </w:hyperlink>
        </w:p>
        <w:p w14:paraId="05E69AF5" w14:textId="20C138F3" w:rsidR="00420D51" w:rsidRDefault="00420D51">
          <w:pPr>
            <w:pStyle w:val="TOC2"/>
            <w:rPr>
              <w:rFonts w:eastAsiaTheme="minorEastAsia"/>
              <w:noProof/>
              <w:spacing w:val="0"/>
              <w:kern w:val="2"/>
              <w:sz w:val="24"/>
              <w:lang w:eastAsia="en-AU"/>
              <w14:ligatures w14:val="standardContextual"/>
            </w:rPr>
          </w:pPr>
          <w:hyperlink w:anchor="_Toc202899923" w:history="1">
            <w:r w:rsidRPr="00492332">
              <w:rPr>
                <w:rStyle w:val="Hyperlink"/>
                <w:noProof/>
              </w:rPr>
              <w:t>4.2</w:t>
            </w:r>
            <w:r>
              <w:rPr>
                <w:rFonts w:eastAsiaTheme="minorEastAsia"/>
                <w:noProof/>
                <w:spacing w:val="0"/>
                <w:kern w:val="2"/>
                <w:sz w:val="24"/>
                <w:lang w:eastAsia="en-AU"/>
                <w14:ligatures w14:val="standardContextual"/>
              </w:rPr>
              <w:tab/>
            </w:r>
            <w:r w:rsidRPr="00492332">
              <w:rPr>
                <w:rStyle w:val="Hyperlink"/>
                <w:noProof/>
              </w:rPr>
              <w:t>What is a Job Plan?</w:t>
            </w:r>
            <w:r>
              <w:rPr>
                <w:noProof/>
                <w:webHidden/>
              </w:rPr>
              <w:tab/>
            </w:r>
            <w:r>
              <w:rPr>
                <w:noProof/>
                <w:webHidden/>
              </w:rPr>
              <w:fldChar w:fldCharType="begin"/>
            </w:r>
            <w:r>
              <w:rPr>
                <w:noProof/>
                <w:webHidden/>
              </w:rPr>
              <w:instrText xml:space="preserve"> PAGEREF _Toc202899923 \h </w:instrText>
            </w:r>
            <w:r>
              <w:rPr>
                <w:noProof/>
                <w:webHidden/>
              </w:rPr>
            </w:r>
            <w:r>
              <w:rPr>
                <w:noProof/>
                <w:webHidden/>
              </w:rPr>
              <w:fldChar w:fldCharType="separate"/>
            </w:r>
            <w:r w:rsidR="000D75AE">
              <w:rPr>
                <w:noProof/>
                <w:webHidden/>
              </w:rPr>
              <w:t>66</w:t>
            </w:r>
            <w:r>
              <w:rPr>
                <w:noProof/>
                <w:webHidden/>
              </w:rPr>
              <w:fldChar w:fldCharType="end"/>
            </w:r>
          </w:hyperlink>
        </w:p>
        <w:p w14:paraId="7AD35E6D" w14:textId="09DA438C" w:rsidR="00420D51" w:rsidRDefault="00420D51">
          <w:pPr>
            <w:pStyle w:val="TOC3"/>
            <w:rPr>
              <w:rFonts w:eastAsiaTheme="minorEastAsia"/>
              <w:noProof/>
              <w:spacing w:val="0"/>
              <w:kern w:val="2"/>
              <w:sz w:val="24"/>
              <w:lang w:eastAsia="en-AU"/>
              <w14:ligatures w14:val="standardContextual"/>
            </w:rPr>
          </w:pPr>
          <w:hyperlink w:anchor="_Toc202899924" w:history="1">
            <w:r w:rsidRPr="00492332">
              <w:rPr>
                <w:rStyle w:val="Hyperlink"/>
                <w:noProof/>
              </w:rPr>
              <w:t>4.2.1</w:t>
            </w:r>
            <w:r>
              <w:rPr>
                <w:rFonts w:eastAsiaTheme="minorEastAsia"/>
                <w:noProof/>
                <w:spacing w:val="0"/>
                <w:kern w:val="2"/>
                <w:sz w:val="24"/>
                <w:lang w:eastAsia="en-AU"/>
                <w14:ligatures w14:val="standardContextual"/>
              </w:rPr>
              <w:tab/>
            </w:r>
            <w:r w:rsidRPr="00492332">
              <w:rPr>
                <w:rStyle w:val="Hyperlink"/>
                <w:noProof/>
              </w:rPr>
              <w:t>Job Plans for Participants (Mutual Obligation)</w:t>
            </w:r>
            <w:r>
              <w:rPr>
                <w:noProof/>
                <w:webHidden/>
              </w:rPr>
              <w:tab/>
            </w:r>
            <w:r>
              <w:rPr>
                <w:noProof/>
                <w:webHidden/>
              </w:rPr>
              <w:fldChar w:fldCharType="begin"/>
            </w:r>
            <w:r>
              <w:rPr>
                <w:noProof/>
                <w:webHidden/>
              </w:rPr>
              <w:instrText xml:space="preserve"> PAGEREF _Toc202899924 \h </w:instrText>
            </w:r>
            <w:r>
              <w:rPr>
                <w:noProof/>
                <w:webHidden/>
              </w:rPr>
            </w:r>
            <w:r>
              <w:rPr>
                <w:noProof/>
                <w:webHidden/>
              </w:rPr>
              <w:fldChar w:fldCharType="separate"/>
            </w:r>
            <w:r w:rsidR="000D75AE">
              <w:rPr>
                <w:noProof/>
                <w:webHidden/>
              </w:rPr>
              <w:t>67</w:t>
            </w:r>
            <w:r>
              <w:rPr>
                <w:noProof/>
                <w:webHidden/>
              </w:rPr>
              <w:fldChar w:fldCharType="end"/>
            </w:r>
          </w:hyperlink>
        </w:p>
        <w:p w14:paraId="19DA68FF" w14:textId="0979753C" w:rsidR="00420D51" w:rsidRDefault="00420D51">
          <w:pPr>
            <w:pStyle w:val="TOC3"/>
            <w:rPr>
              <w:rFonts w:eastAsiaTheme="minorEastAsia"/>
              <w:noProof/>
              <w:spacing w:val="0"/>
              <w:kern w:val="2"/>
              <w:sz w:val="24"/>
              <w:lang w:eastAsia="en-AU"/>
              <w14:ligatures w14:val="standardContextual"/>
            </w:rPr>
          </w:pPr>
          <w:hyperlink w:anchor="_Toc202899925" w:history="1">
            <w:r w:rsidRPr="00492332">
              <w:rPr>
                <w:rStyle w:val="Hyperlink"/>
                <w:noProof/>
              </w:rPr>
              <w:t>4.2.2</w:t>
            </w:r>
            <w:r>
              <w:rPr>
                <w:rFonts w:eastAsiaTheme="minorEastAsia"/>
                <w:noProof/>
                <w:spacing w:val="0"/>
                <w:kern w:val="2"/>
                <w:sz w:val="24"/>
                <w:lang w:eastAsia="en-AU"/>
                <w14:ligatures w14:val="standardContextual"/>
              </w:rPr>
              <w:tab/>
            </w:r>
            <w:r w:rsidRPr="00492332">
              <w:rPr>
                <w:rStyle w:val="Hyperlink"/>
                <w:noProof/>
              </w:rPr>
              <w:t>Job Plans for DSP Recipients (Compulsory Requirement)</w:t>
            </w:r>
            <w:r>
              <w:rPr>
                <w:noProof/>
                <w:webHidden/>
              </w:rPr>
              <w:tab/>
            </w:r>
            <w:r>
              <w:rPr>
                <w:noProof/>
                <w:webHidden/>
              </w:rPr>
              <w:fldChar w:fldCharType="begin"/>
            </w:r>
            <w:r>
              <w:rPr>
                <w:noProof/>
                <w:webHidden/>
              </w:rPr>
              <w:instrText xml:space="preserve"> PAGEREF _Toc202899925 \h </w:instrText>
            </w:r>
            <w:r>
              <w:rPr>
                <w:noProof/>
                <w:webHidden/>
              </w:rPr>
            </w:r>
            <w:r>
              <w:rPr>
                <w:noProof/>
                <w:webHidden/>
              </w:rPr>
              <w:fldChar w:fldCharType="separate"/>
            </w:r>
            <w:r w:rsidR="000D75AE">
              <w:rPr>
                <w:noProof/>
                <w:webHidden/>
              </w:rPr>
              <w:t>67</w:t>
            </w:r>
            <w:r>
              <w:rPr>
                <w:noProof/>
                <w:webHidden/>
              </w:rPr>
              <w:fldChar w:fldCharType="end"/>
            </w:r>
          </w:hyperlink>
        </w:p>
        <w:p w14:paraId="6AFAB99A" w14:textId="479D5D33" w:rsidR="00420D51" w:rsidRDefault="00420D51">
          <w:pPr>
            <w:pStyle w:val="TOC3"/>
            <w:rPr>
              <w:rFonts w:eastAsiaTheme="minorEastAsia"/>
              <w:noProof/>
              <w:spacing w:val="0"/>
              <w:kern w:val="2"/>
              <w:sz w:val="24"/>
              <w:lang w:eastAsia="en-AU"/>
              <w14:ligatures w14:val="standardContextual"/>
            </w:rPr>
          </w:pPr>
          <w:hyperlink w:anchor="_Toc202899926" w:history="1">
            <w:r w:rsidRPr="00492332">
              <w:rPr>
                <w:rStyle w:val="Hyperlink"/>
                <w:noProof/>
              </w:rPr>
              <w:t>4.2.3</w:t>
            </w:r>
            <w:r>
              <w:rPr>
                <w:rFonts w:eastAsiaTheme="minorEastAsia"/>
                <w:noProof/>
                <w:spacing w:val="0"/>
                <w:kern w:val="2"/>
                <w:sz w:val="24"/>
                <w:lang w:eastAsia="en-AU"/>
                <w14:ligatures w14:val="standardContextual"/>
              </w:rPr>
              <w:tab/>
            </w:r>
            <w:r w:rsidRPr="00492332">
              <w:rPr>
                <w:rStyle w:val="Hyperlink"/>
                <w:noProof/>
              </w:rPr>
              <w:t>Job Plans for Volunteers</w:t>
            </w:r>
            <w:r>
              <w:rPr>
                <w:noProof/>
                <w:webHidden/>
              </w:rPr>
              <w:tab/>
            </w:r>
            <w:r>
              <w:rPr>
                <w:noProof/>
                <w:webHidden/>
              </w:rPr>
              <w:fldChar w:fldCharType="begin"/>
            </w:r>
            <w:r>
              <w:rPr>
                <w:noProof/>
                <w:webHidden/>
              </w:rPr>
              <w:instrText xml:space="preserve"> PAGEREF _Toc202899926 \h </w:instrText>
            </w:r>
            <w:r>
              <w:rPr>
                <w:noProof/>
                <w:webHidden/>
              </w:rPr>
            </w:r>
            <w:r>
              <w:rPr>
                <w:noProof/>
                <w:webHidden/>
              </w:rPr>
              <w:fldChar w:fldCharType="separate"/>
            </w:r>
            <w:r w:rsidR="000D75AE">
              <w:rPr>
                <w:noProof/>
                <w:webHidden/>
              </w:rPr>
              <w:t>67</w:t>
            </w:r>
            <w:r>
              <w:rPr>
                <w:noProof/>
                <w:webHidden/>
              </w:rPr>
              <w:fldChar w:fldCharType="end"/>
            </w:r>
          </w:hyperlink>
        </w:p>
        <w:p w14:paraId="2FAF4747" w14:textId="53E9C0FD" w:rsidR="00420D51" w:rsidRDefault="00420D51">
          <w:pPr>
            <w:pStyle w:val="TOC2"/>
            <w:rPr>
              <w:rFonts w:eastAsiaTheme="minorEastAsia"/>
              <w:noProof/>
              <w:spacing w:val="0"/>
              <w:kern w:val="2"/>
              <w:sz w:val="24"/>
              <w:lang w:eastAsia="en-AU"/>
              <w14:ligatures w14:val="standardContextual"/>
            </w:rPr>
          </w:pPr>
          <w:hyperlink w:anchor="_Toc202899927" w:history="1">
            <w:r w:rsidRPr="00492332">
              <w:rPr>
                <w:rStyle w:val="Hyperlink"/>
                <w:noProof/>
              </w:rPr>
              <w:t>4.3</w:t>
            </w:r>
            <w:r>
              <w:rPr>
                <w:rFonts w:eastAsiaTheme="minorEastAsia"/>
                <w:noProof/>
                <w:spacing w:val="0"/>
                <w:kern w:val="2"/>
                <w:sz w:val="24"/>
                <w:lang w:eastAsia="en-AU"/>
                <w14:ligatures w14:val="standardContextual"/>
              </w:rPr>
              <w:tab/>
            </w:r>
            <w:r w:rsidRPr="00492332">
              <w:rPr>
                <w:rStyle w:val="Hyperlink"/>
                <w:noProof/>
              </w:rPr>
              <w:t>Provider obligations</w:t>
            </w:r>
            <w:r>
              <w:rPr>
                <w:noProof/>
                <w:webHidden/>
              </w:rPr>
              <w:tab/>
            </w:r>
            <w:r>
              <w:rPr>
                <w:noProof/>
                <w:webHidden/>
              </w:rPr>
              <w:fldChar w:fldCharType="begin"/>
            </w:r>
            <w:r>
              <w:rPr>
                <w:noProof/>
                <w:webHidden/>
              </w:rPr>
              <w:instrText xml:space="preserve"> PAGEREF _Toc202899927 \h </w:instrText>
            </w:r>
            <w:r>
              <w:rPr>
                <w:noProof/>
                <w:webHidden/>
              </w:rPr>
            </w:r>
            <w:r>
              <w:rPr>
                <w:noProof/>
                <w:webHidden/>
              </w:rPr>
              <w:fldChar w:fldCharType="separate"/>
            </w:r>
            <w:r w:rsidR="000D75AE">
              <w:rPr>
                <w:noProof/>
                <w:webHidden/>
              </w:rPr>
              <w:t>67</w:t>
            </w:r>
            <w:r>
              <w:rPr>
                <w:noProof/>
                <w:webHidden/>
              </w:rPr>
              <w:fldChar w:fldCharType="end"/>
            </w:r>
          </w:hyperlink>
        </w:p>
        <w:p w14:paraId="724E2BDB" w14:textId="2BB8FA1D" w:rsidR="00420D51" w:rsidRDefault="00420D51">
          <w:pPr>
            <w:pStyle w:val="TOC3"/>
            <w:rPr>
              <w:rFonts w:eastAsiaTheme="minorEastAsia"/>
              <w:noProof/>
              <w:spacing w:val="0"/>
              <w:kern w:val="2"/>
              <w:sz w:val="24"/>
              <w:lang w:eastAsia="en-AU"/>
              <w14:ligatures w14:val="standardContextual"/>
            </w:rPr>
          </w:pPr>
          <w:hyperlink w:anchor="_Toc202899928" w:history="1">
            <w:r w:rsidRPr="00492332">
              <w:rPr>
                <w:rStyle w:val="Hyperlink"/>
                <w:noProof/>
              </w:rPr>
              <w:t>4.3.1</w:t>
            </w:r>
            <w:r>
              <w:rPr>
                <w:rFonts w:eastAsiaTheme="minorEastAsia"/>
                <w:noProof/>
                <w:spacing w:val="0"/>
                <w:kern w:val="2"/>
                <w:sz w:val="24"/>
                <w:lang w:eastAsia="en-AU"/>
                <w14:ligatures w14:val="standardContextual"/>
              </w:rPr>
              <w:tab/>
            </w:r>
            <w:r w:rsidRPr="00492332">
              <w:rPr>
                <w:rStyle w:val="Hyperlink"/>
                <w:noProof/>
              </w:rPr>
              <w:t>Training</w:t>
            </w:r>
            <w:r>
              <w:rPr>
                <w:noProof/>
                <w:webHidden/>
              </w:rPr>
              <w:tab/>
            </w:r>
            <w:r>
              <w:rPr>
                <w:noProof/>
                <w:webHidden/>
              </w:rPr>
              <w:fldChar w:fldCharType="begin"/>
            </w:r>
            <w:r>
              <w:rPr>
                <w:noProof/>
                <w:webHidden/>
              </w:rPr>
              <w:instrText xml:space="preserve"> PAGEREF _Toc202899928 \h </w:instrText>
            </w:r>
            <w:r>
              <w:rPr>
                <w:noProof/>
                <w:webHidden/>
              </w:rPr>
            </w:r>
            <w:r>
              <w:rPr>
                <w:noProof/>
                <w:webHidden/>
              </w:rPr>
              <w:fldChar w:fldCharType="separate"/>
            </w:r>
            <w:r w:rsidR="000D75AE">
              <w:rPr>
                <w:noProof/>
                <w:webHidden/>
              </w:rPr>
              <w:t>68</w:t>
            </w:r>
            <w:r>
              <w:rPr>
                <w:noProof/>
                <w:webHidden/>
              </w:rPr>
              <w:fldChar w:fldCharType="end"/>
            </w:r>
          </w:hyperlink>
        </w:p>
        <w:p w14:paraId="3BF5722F" w14:textId="27AFC9D8" w:rsidR="00420D51" w:rsidRDefault="00420D51">
          <w:pPr>
            <w:pStyle w:val="TOC3"/>
            <w:rPr>
              <w:rFonts w:eastAsiaTheme="minorEastAsia"/>
              <w:noProof/>
              <w:spacing w:val="0"/>
              <w:kern w:val="2"/>
              <w:sz w:val="24"/>
              <w:lang w:eastAsia="en-AU"/>
              <w14:ligatures w14:val="standardContextual"/>
            </w:rPr>
          </w:pPr>
          <w:hyperlink w:anchor="_Toc202899929" w:history="1">
            <w:r w:rsidRPr="00492332">
              <w:rPr>
                <w:rStyle w:val="Hyperlink"/>
                <w:noProof/>
              </w:rPr>
              <w:t>4.3.2</w:t>
            </w:r>
            <w:r>
              <w:rPr>
                <w:rFonts w:eastAsiaTheme="minorEastAsia"/>
                <w:noProof/>
                <w:spacing w:val="0"/>
                <w:kern w:val="2"/>
                <w:sz w:val="24"/>
                <w:lang w:eastAsia="en-AU"/>
                <w14:ligatures w14:val="standardContextual"/>
              </w:rPr>
              <w:tab/>
            </w:r>
            <w:r w:rsidRPr="00492332">
              <w:rPr>
                <w:rStyle w:val="Hyperlink"/>
                <w:noProof/>
              </w:rPr>
              <w:t>Ensuring Participants understand their rights and responsibilities</w:t>
            </w:r>
            <w:r>
              <w:rPr>
                <w:noProof/>
                <w:webHidden/>
              </w:rPr>
              <w:tab/>
            </w:r>
            <w:r>
              <w:rPr>
                <w:noProof/>
                <w:webHidden/>
              </w:rPr>
              <w:fldChar w:fldCharType="begin"/>
            </w:r>
            <w:r>
              <w:rPr>
                <w:noProof/>
                <w:webHidden/>
              </w:rPr>
              <w:instrText xml:space="preserve"> PAGEREF _Toc202899929 \h </w:instrText>
            </w:r>
            <w:r>
              <w:rPr>
                <w:noProof/>
                <w:webHidden/>
              </w:rPr>
            </w:r>
            <w:r>
              <w:rPr>
                <w:noProof/>
                <w:webHidden/>
              </w:rPr>
              <w:fldChar w:fldCharType="separate"/>
            </w:r>
            <w:r w:rsidR="000D75AE">
              <w:rPr>
                <w:noProof/>
                <w:webHidden/>
              </w:rPr>
              <w:t>68</w:t>
            </w:r>
            <w:r>
              <w:rPr>
                <w:noProof/>
                <w:webHidden/>
              </w:rPr>
              <w:fldChar w:fldCharType="end"/>
            </w:r>
          </w:hyperlink>
        </w:p>
        <w:p w14:paraId="522A5834" w14:textId="4868EA29" w:rsidR="00420D51" w:rsidRDefault="00420D51">
          <w:pPr>
            <w:pStyle w:val="TOC3"/>
            <w:rPr>
              <w:rFonts w:eastAsiaTheme="minorEastAsia"/>
              <w:noProof/>
              <w:spacing w:val="0"/>
              <w:kern w:val="2"/>
              <w:sz w:val="24"/>
              <w:lang w:eastAsia="en-AU"/>
              <w14:ligatures w14:val="standardContextual"/>
            </w:rPr>
          </w:pPr>
          <w:hyperlink w:anchor="_Toc202899930" w:history="1">
            <w:r w:rsidRPr="00492332">
              <w:rPr>
                <w:rStyle w:val="Hyperlink"/>
                <w:noProof/>
              </w:rPr>
              <w:t>4.3.3</w:t>
            </w:r>
            <w:r>
              <w:rPr>
                <w:rFonts w:eastAsiaTheme="minorEastAsia"/>
                <w:noProof/>
                <w:spacing w:val="0"/>
                <w:kern w:val="2"/>
                <w:sz w:val="24"/>
                <w:lang w:eastAsia="en-AU"/>
                <w14:ligatures w14:val="standardContextual"/>
              </w:rPr>
              <w:tab/>
            </w:r>
            <w:r w:rsidRPr="00492332">
              <w:rPr>
                <w:rStyle w:val="Hyperlink"/>
                <w:noProof/>
              </w:rPr>
              <w:t>Interpreters, nominees, and support persons</w:t>
            </w:r>
            <w:r>
              <w:rPr>
                <w:noProof/>
                <w:webHidden/>
              </w:rPr>
              <w:tab/>
            </w:r>
            <w:r>
              <w:rPr>
                <w:noProof/>
                <w:webHidden/>
              </w:rPr>
              <w:fldChar w:fldCharType="begin"/>
            </w:r>
            <w:r>
              <w:rPr>
                <w:noProof/>
                <w:webHidden/>
              </w:rPr>
              <w:instrText xml:space="preserve"> PAGEREF _Toc202899930 \h </w:instrText>
            </w:r>
            <w:r>
              <w:rPr>
                <w:noProof/>
                <w:webHidden/>
              </w:rPr>
            </w:r>
            <w:r>
              <w:rPr>
                <w:noProof/>
                <w:webHidden/>
              </w:rPr>
              <w:fldChar w:fldCharType="separate"/>
            </w:r>
            <w:r w:rsidR="000D75AE">
              <w:rPr>
                <w:noProof/>
                <w:webHidden/>
              </w:rPr>
              <w:t>69</w:t>
            </w:r>
            <w:r>
              <w:rPr>
                <w:noProof/>
                <w:webHidden/>
              </w:rPr>
              <w:fldChar w:fldCharType="end"/>
            </w:r>
          </w:hyperlink>
        </w:p>
        <w:p w14:paraId="3D86A8A5" w14:textId="0FD6BEA6" w:rsidR="00420D51" w:rsidRDefault="00420D51">
          <w:pPr>
            <w:pStyle w:val="TOC2"/>
            <w:rPr>
              <w:rFonts w:eastAsiaTheme="minorEastAsia"/>
              <w:noProof/>
              <w:spacing w:val="0"/>
              <w:kern w:val="2"/>
              <w:sz w:val="24"/>
              <w:lang w:eastAsia="en-AU"/>
              <w14:ligatures w14:val="standardContextual"/>
            </w:rPr>
          </w:pPr>
          <w:hyperlink w:anchor="_Toc202899931" w:history="1">
            <w:r w:rsidRPr="00492332">
              <w:rPr>
                <w:rStyle w:val="Hyperlink"/>
                <w:noProof/>
              </w:rPr>
              <w:t>4.4</w:t>
            </w:r>
            <w:r>
              <w:rPr>
                <w:rFonts w:eastAsiaTheme="minorEastAsia"/>
                <w:noProof/>
                <w:spacing w:val="0"/>
                <w:kern w:val="2"/>
                <w:sz w:val="24"/>
                <w:lang w:eastAsia="en-AU"/>
                <w14:ligatures w14:val="standardContextual"/>
              </w:rPr>
              <w:tab/>
            </w:r>
            <w:r w:rsidRPr="00492332">
              <w:rPr>
                <w:rStyle w:val="Hyperlink"/>
                <w:noProof/>
              </w:rPr>
              <w:t>Entering into a Job Plan</w:t>
            </w:r>
            <w:r>
              <w:rPr>
                <w:noProof/>
                <w:webHidden/>
              </w:rPr>
              <w:tab/>
            </w:r>
            <w:r>
              <w:rPr>
                <w:noProof/>
                <w:webHidden/>
              </w:rPr>
              <w:fldChar w:fldCharType="begin"/>
            </w:r>
            <w:r>
              <w:rPr>
                <w:noProof/>
                <w:webHidden/>
              </w:rPr>
              <w:instrText xml:space="preserve"> PAGEREF _Toc202899931 \h </w:instrText>
            </w:r>
            <w:r>
              <w:rPr>
                <w:noProof/>
                <w:webHidden/>
              </w:rPr>
            </w:r>
            <w:r>
              <w:rPr>
                <w:noProof/>
                <w:webHidden/>
              </w:rPr>
              <w:fldChar w:fldCharType="separate"/>
            </w:r>
            <w:r w:rsidR="000D75AE">
              <w:rPr>
                <w:noProof/>
                <w:webHidden/>
              </w:rPr>
              <w:t>69</w:t>
            </w:r>
            <w:r>
              <w:rPr>
                <w:noProof/>
                <w:webHidden/>
              </w:rPr>
              <w:fldChar w:fldCharType="end"/>
            </w:r>
          </w:hyperlink>
        </w:p>
        <w:p w14:paraId="72008F0A" w14:textId="20E026A6" w:rsidR="00420D51" w:rsidRDefault="00420D51">
          <w:pPr>
            <w:pStyle w:val="TOC3"/>
            <w:rPr>
              <w:rFonts w:eastAsiaTheme="minorEastAsia"/>
              <w:noProof/>
              <w:spacing w:val="0"/>
              <w:kern w:val="2"/>
              <w:sz w:val="24"/>
              <w:lang w:eastAsia="en-AU"/>
              <w14:ligatures w14:val="standardContextual"/>
            </w:rPr>
          </w:pPr>
          <w:hyperlink w:anchor="_Toc202899932" w:history="1">
            <w:r w:rsidRPr="00492332">
              <w:rPr>
                <w:rStyle w:val="Hyperlink"/>
                <w:noProof/>
              </w:rPr>
              <w:t>4.4.1</w:t>
            </w:r>
            <w:r>
              <w:rPr>
                <w:rFonts w:eastAsiaTheme="minorEastAsia"/>
                <w:noProof/>
                <w:spacing w:val="0"/>
                <w:kern w:val="2"/>
                <w:sz w:val="24"/>
                <w:lang w:eastAsia="en-AU"/>
                <w14:ligatures w14:val="standardContextual"/>
              </w:rPr>
              <w:tab/>
            </w:r>
            <w:r w:rsidRPr="00492332">
              <w:rPr>
                <w:rStyle w:val="Hyperlink"/>
                <w:noProof/>
              </w:rPr>
              <w:t>Determining the appropriate Job Plan type</w:t>
            </w:r>
            <w:r>
              <w:rPr>
                <w:noProof/>
                <w:webHidden/>
              </w:rPr>
              <w:tab/>
            </w:r>
            <w:r>
              <w:rPr>
                <w:noProof/>
                <w:webHidden/>
              </w:rPr>
              <w:fldChar w:fldCharType="begin"/>
            </w:r>
            <w:r>
              <w:rPr>
                <w:noProof/>
                <w:webHidden/>
              </w:rPr>
              <w:instrText xml:space="preserve"> PAGEREF _Toc202899932 \h </w:instrText>
            </w:r>
            <w:r>
              <w:rPr>
                <w:noProof/>
                <w:webHidden/>
              </w:rPr>
            </w:r>
            <w:r>
              <w:rPr>
                <w:noProof/>
                <w:webHidden/>
              </w:rPr>
              <w:fldChar w:fldCharType="separate"/>
            </w:r>
            <w:r w:rsidR="000D75AE">
              <w:rPr>
                <w:noProof/>
                <w:webHidden/>
              </w:rPr>
              <w:t>70</w:t>
            </w:r>
            <w:r>
              <w:rPr>
                <w:noProof/>
                <w:webHidden/>
              </w:rPr>
              <w:fldChar w:fldCharType="end"/>
            </w:r>
          </w:hyperlink>
        </w:p>
        <w:p w14:paraId="1A7C6F51" w14:textId="760D48F7" w:rsidR="00420D51" w:rsidRDefault="00420D51">
          <w:pPr>
            <w:pStyle w:val="TOC3"/>
            <w:rPr>
              <w:rFonts w:eastAsiaTheme="minorEastAsia"/>
              <w:noProof/>
              <w:spacing w:val="0"/>
              <w:kern w:val="2"/>
              <w:sz w:val="24"/>
              <w:lang w:eastAsia="en-AU"/>
              <w14:ligatures w14:val="standardContextual"/>
            </w:rPr>
          </w:pPr>
          <w:hyperlink w:anchor="_Toc202899933" w:history="1">
            <w:r w:rsidRPr="00492332">
              <w:rPr>
                <w:rStyle w:val="Hyperlink"/>
                <w:noProof/>
              </w:rPr>
              <w:t>4.4.2</w:t>
            </w:r>
            <w:r>
              <w:rPr>
                <w:rFonts w:eastAsiaTheme="minorEastAsia"/>
                <w:noProof/>
                <w:spacing w:val="0"/>
                <w:kern w:val="2"/>
                <w:sz w:val="24"/>
                <w:lang w:eastAsia="en-AU"/>
                <w14:ligatures w14:val="standardContextual"/>
              </w:rPr>
              <w:tab/>
            </w:r>
            <w:r w:rsidRPr="00492332">
              <w:rPr>
                <w:rStyle w:val="Hyperlink"/>
                <w:noProof/>
              </w:rPr>
              <w:t>Explaining the Job Plan to the Participant</w:t>
            </w:r>
            <w:r>
              <w:rPr>
                <w:noProof/>
                <w:webHidden/>
              </w:rPr>
              <w:tab/>
            </w:r>
            <w:r>
              <w:rPr>
                <w:noProof/>
                <w:webHidden/>
              </w:rPr>
              <w:fldChar w:fldCharType="begin"/>
            </w:r>
            <w:r>
              <w:rPr>
                <w:noProof/>
                <w:webHidden/>
              </w:rPr>
              <w:instrText xml:space="preserve"> PAGEREF _Toc202899933 \h </w:instrText>
            </w:r>
            <w:r>
              <w:rPr>
                <w:noProof/>
                <w:webHidden/>
              </w:rPr>
            </w:r>
            <w:r>
              <w:rPr>
                <w:noProof/>
                <w:webHidden/>
              </w:rPr>
              <w:fldChar w:fldCharType="separate"/>
            </w:r>
            <w:r w:rsidR="000D75AE">
              <w:rPr>
                <w:noProof/>
                <w:webHidden/>
              </w:rPr>
              <w:t>72</w:t>
            </w:r>
            <w:r>
              <w:rPr>
                <w:noProof/>
                <w:webHidden/>
              </w:rPr>
              <w:fldChar w:fldCharType="end"/>
            </w:r>
          </w:hyperlink>
        </w:p>
        <w:p w14:paraId="32C7337E" w14:textId="7D4A10E1" w:rsidR="00420D51" w:rsidRDefault="00420D51">
          <w:pPr>
            <w:pStyle w:val="TOC3"/>
            <w:rPr>
              <w:rFonts w:eastAsiaTheme="minorEastAsia"/>
              <w:noProof/>
              <w:spacing w:val="0"/>
              <w:kern w:val="2"/>
              <w:sz w:val="24"/>
              <w:lang w:eastAsia="en-AU"/>
              <w14:ligatures w14:val="standardContextual"/>
            </w:rPr>
          </w:pPr>
          <w:hyperlink w:anchor="_Toc202899934" w:history="1">
            <w:r w:rsidRPr="00492332">
              <w:rPr>
                <w:rStyle w:val="Hyperlink"/>
                <w:noProof/>
              </w:rPr>
              <w:t>4.4.3</w:t>
            </w:r>
            <w:r>
              <w:rPr>
                <w:rFonts w:eastAsiaTheme="minorEastAsia"/>
                <w:noProof/>
                <w:spacing w:val="0"/>
                <w:kern w:val="2"/>
                <w:sz w:val="24"/>
                <w:lang w:eastAsia="en-AU"/>
                <w14:ligatures w14:val="standardContextual"/>
              </w:rPr>
              <w:tab/>
            </w:r>
            <w:r w:rsidRPr="00492332">
              <w:rPr>
                <w:rStyle w:val="Hyperlink"/>
                <w:noProof/>
              </w:rPr>
              <w:t>Communicating Meaningful Engagement Requirements</w:t>
            </w:r>
            <w:r>
              <w:rPr>
                <w:noProof/>
                <w:webHidden/>
              </w:rPr>
              <w:tab/>
            </w:r>
            <w:r>
              <w:rPr>
                <w:noProof/>
                <w:webHidden/>
              </w:rPr>
              <w:fldChar w:fldCharType="begin"/>
            </w:r>
            <w:r>
              <w:rPr>
                <w:noProof/>
                <w:webHidden/>
              </w:rPr>
              <w:instrText xml:space="preserve"> PAGEREF _Toc202899934 \h </w:instrText>
            </w:r>
            <w:r>
              <w:rPr>
                <w:noProof/>
                <w:webHidden/>
              </w:rPr>
            </w:r>
            <w:r>
              <w:rPr>
                <w:noProof/>
                <w:webHidden/>
              </w:rPr>
              <w:fldChar w:fldCharType="separate"/>
            </w:r>
            <w:r w:rsidR="000D75AE">
              <w:rPr>
                <w:noProof/>
                <w:webHidden/>
              </w:rPr>
              <w:t>72</w:t>
            </w:r>
            <w:r>
              <w:rPr>
                <w:noProof/>
                <w:webHidden/>
              </w:rPr>
              <w:fldChar w:fldCharType="end"/>
            </w:r>
          </w:hyperlink>
        </w:p>
        <w:p w14:paraId="1F0F440A" w14:textId="617D3730" w:rsidR="00420D51" w:rsidRDefault="00420D51">
          <w:pPr>
            <w:pStyle w:val="TOC3"/>
            <w:rPr>
              <w:rFonts w:eastAsiaTheme="minorEastAsia"/>
              <w:noProof/>
              <w:spacing w:val="0"/>
              <w:kern w:val="2"/>
              <w:sz w:val="24"/>
              <w:lang w:eastAsia="en-AU"/>
              <w14:ligatures w14:val="standardContextual"/>
            </w:rPr>
          </w:pPr>
          <w:hyperlink w:anchor="_Toc202899935" w:history="1">
            <w:r w:rsidRPr="00492332">
              <w:rPr>
                <w:rStyle w:val="Hyperlink"/>
                <w:noProof/>
              </w:rPr>
              <w:t>4.4.4</w:t>
            </w:r>
            <w:r>
              <w:rPr>
                <w:rFonts w:eastAsiaTheme="minorEastAsia"/>
                <w:noProof/>
                <w:spacing w:val="0"/>
                <w:kern w:val="2"/>
                <w:sz w:val="24"/>
                <w:lang w:eastAsia="en-AU"/>
                <w14:ligatures w14:val="standardContextual"/>
              </w:rPr>
              <w:tab/>
            </w:r>
            <w:r w:rsidRPr="00492332">
              <w:rPr>
                <w:rStyle w:val="Hyperlink"/>
                <w:noProof/>
              </w:rPr>
              <w:t>Requirements that a Job Plan must not contain</w:t>
            </w:r>
            <w:r>
              <w:rPr>
                <w:noProof/>
                <w:webHidden/>
              </w:rPr>
              <w:tab/>
            </w:r>
            <w:r>
              <w:rPr>
                <w:noProof/>
                <w:webHidden/>
              </w:rPr>
              <w:fldChar w:fldCharType="begin"/>
            </w:r>
            <w:r>
              <w:rPr>
                <w:noProof/>
                <w:webHidden/>
              </w:rPr>
              <w:instrText xml:space="preserve"> PAGEREF _Toc202899935 \h </w:instrText>
            </w:r>
            <w:r>
              <w:rPr>
                <w:noProof/>
                <w:webHidden/>
              </w:rPr>
            </w:r>
            <w:r>
              <w:rPr>
                <w:noProof/>
                <w:webHidden/>
              </w:rPr>
              <w:fldChar w:fldCharType="separate"/>
            </w:r>
            <w:r w:rsidR="000D75AE">
              <w:rPr>
                <w:noProof/>
                <w:webHidden/>
              </w:rPr>
              <w:t>73</w:t>
            </w:r>
            <w:r>
              <w:rPr>
                <w:noProof/>
                <w:webHidden/>
              </w:rPr>
              <w:fldChar w:fldCharType="end"/>
            </w:r>
          </w:hyperlink>
        </w:p>
        <w:p w14:paraId="27B1F040" w14:textId="00217ADD" w:rsidR="00420D51" w:rsidRDefault="00420D51">
          <w:pPr>
            <w:pStyle w:val="TOC2"/>
            <w:rPr>
              <w:rFonts w:eastAsiaTheme="minorEastAsia"/>
              <w:noProof/>
              <w:spacing w:val="0"/>
              <w:kern w:val="2"/>
              <w:sz w:val="24"/>
              <w:lang w:eastAsia="en-AU"/>
              <w14:ligatures w14:val="standardContextual"/>
            </w:rPr>
          </w:pPr>
          <w:hyperlink w:anchor="_Toc202899936" w:history="1">
            <w:r w:rsidRPr="00492332">
              <w:rPr>
                <w:rStyle w:val="Hyperlink"/>
                <w:noProof/>
              </w:rPr>
              <w:t>4.5</w:t>
            </w:r>
            <w:r>
              <w:rPr>
                <w:rFonts w:eastAsiaTheme="minorEastAsia"/>
                <w:noProof/>
                <w:spacing w:val="0"/>
                <w:kern w:val="2"/>
                <w:sz w:val="24"/>
                <w:lang w:eastAsia="en-AU"/>
                <w14:ligatures w14:val="standardContextual"/>
              </w:rPr>
              <w:tab/>
            </w:r>
            <w:r w:rsidRPr="00492332">
              <w:rPr>
                <w:rStyle w:val="Hyperlink"/>
                <w:noProof/>
              </w:rPr>
              <w:t>Setting an Employment Goal</w:t>
            </w:r>
            <w:r>
              <w:rPr>
                <w:noProof/>
                <w:webHidden/>
              </w:rPr>
              <w:tab/>
            </w:r>
            <w:r>
              <w:rPr>
                <w:noProof/>
                <w:webHidden/>
              </w:rPr>
              <w:fldChar w:fldCharType="begin"/>
            </w:r>
            <w:r>
              <w:rPr>
                <w:noProof/>
                <w:webHidden/>
              </w:rPr>
              <w:instrText xml:space="preserve"> PAGEREF _Toc202899936 \h </w:instrText>
            </w:r>
            <w:r>
              <w:rPr>
                <w:noProof/>
                <w:webHidden/>
              </w:rPr>
            </w:r>
            <w:r>
              <w:rPr>
                <w:noProof/>
                <w:webHidden/>
              </w:rPr>
              <w:fldChar w:fldCharType="separate"/>
            </w:r>
            <w:r w:rsidR="000D75AE">
              <w:rPr>
                <w:noProof/>
                <w:webHidden/>
              </w:rPr>
              <w:t>73</w:t>
            </w:r>
            <w:r>
              <w:rPr>
                <w:noProof/>
                <w:webHidden/>
              </w:rPr>
              <w:fldChar w:fldCharType="end"/>
            </w:r>
          </w:hyperlink>
        </w:p>
        <w:p w14:paraId="705A9F10" w14:textId="374B3824" w:rsidR="00420D51" w:rsidRDefault="00420D51">
          <w:pPr>
            <w:pStyle w:val="TOC2"/>
            <w:rPr>
              <w:rFonts w:eastAsiaTheme="minorEastAsia"/>
              <w:noProof/>
              <w:spacing w:val="0"/>
              <w:kern w:val="2"/>
              <w:sz w:val="24"/>
              <w:lang w:eastAsia="en-AU"/>
              <w14:ligatures w14:val="standardContextual"/>
            </w:rPr>
          </w:pPr>
          <w:hyperlink w:anchor="_Toc202899937" w:history="1">
            <w:r w:rsidRPr="00492332">
              <w:rPr>
                <w:rStyle w:val="Hyperlink"/>
                <w:noProof/>
              </w:rPr>
              <w:t>4.6</w:t>
            </w:r>
            <w:r>
              <w:rPr>
                <w:rFonts w:eastAsiaTheme="minorEastAsia"/>
                <w:noProof/>
                <w:spacing w:val="0"/>
                <w:kern w:val="2"/>
                <w:sz w:val="24"/>
                <w:lang w:eastAsia="en-AU"/>
                <w14:ligatures w14:val="standardContextual"/>
              </w:rPr>
              <w:tab/>
            </w:r>
            <w:r w:rsidRPr="00492332">
              <w:rPr>
                <w:rStyle w:val="Hyperlink"/>
                <w:noProof/>
              </w:rPr>
              <w:t>Contents of a Meaningful Engagement Job Plan</w:t>
            </w:r>
            <w:r>
              <w:rPr>
                <w:noProof/>
                <w:webHidden/>
              </w:rPr>
              <w:tab/>
            </w:r>
            <w:r>
              <w:rPr>
                <w:noProof/>
                <w:webHidden/>
              </w:rPr>
              <w:fldChar w:fldCharType="begin"/>
            </w:r>
            <w:r>
              <w:rPr>
                <w:noProof/>
                <w:webHidden/>
              </w:rPr>
              <w:instrText xml:space="preserve"> PAGEREF _Toc202899937 \h </w:instrText>
            </w:r>
            <w:r>
              <w:rPr>
                <w:noProof/>
                <w:webHidden/>
              </w:rPr>
            </w:r>
            <w:r>
              <w:rPr>
                <w:noProof/>
                <w:webHidden/>
              </w:rPr>
              <w:fldChar w:fldCharType="separate"/>
            </w:r>
            <w:r w:rsidR="000D75AE">
              <w:rPr>
                <w:noProof/>
                <w:webHidden/>
              </w:rPr>
              <w:t>74</w:t>
            </w:r>
            <w:r>
              <w:rPr>
                <w:noProof/>
                <w:webHidden/>
              </w:rPr>
              <w:fldChar w:fldCharType="end"/>
            </w:r>
          </w:hyperlink>
        </w:p>
        <w:p w14:paraId="5F952484" w14:textId="4BEF4491" w:rsidR="00420D51" w:rsidRDefault="00420D51">
          <w:pPr>
            <w:pStyle w:val="TOC3"/>
            <w:rPr>
              <w:rFonts w:eastAsiaTheme="minorEastAsia"/>
              <w:noProof/>
              <w:spacing w:val="0"/>
              <w:kern w:val="2"/>
              <w:sz w:val="24"/>
              <w:lang w:eastAsia="en-AU"/>
              <w14:ligatures w14:val="standardContextual"/>
            </w:rPr>
          </w:pPr>
          <w:hyperlink w:anchor="_Toc202899938" w:history="1">
            <w:r w:rsidRPr="00492332">
              <w:rPr>
                <w:rStyle w:val="Hyperlink"/>
                <w:noProof/>
              </w:rPr>
              <w:t>4.6.1</w:t>
            </w:r>
            <w:r>
              <w:rPr>
                <w:rFonts w:eastAsiaTheme="minorEastAsia"/>
                <w:noProof/>
                <w:spacing w:val="0"/>
                <w:kern w:val="2"/>
                <w:sz w:val="24"/>
                <w:lang w:eastAsia="en-AU"/>
                <w14:ligatures w14:val="standardContextual"/>
              </w:rPr>
              <w:tab/>
            </w:r>
            <w:r w:rsidRPr="00492332">
              <w:rPr>
                <w:rStyle w:val="Hyperlink"/>
                <w:noProof/>
              </w:rPr>
              <w:t>Arrangements for Participants with Mutual Obligation Requirements</w:t>
            </w:r>
            <w:r>
              <w:rPr>
                <w:noProof/>
                <w:webHidden/>
              </w:rPr>
              <w:tab/>
            </w:r>
            <w:r>
              <w:rPr>
                <w:noProof/>
                <w:webHidden/>
              </w:rPr>
              <w:fldChar w:fldCharType="begin"/>
            </w:r>
            <w:r>
              <w:rPr>
                <w:noProof/>
                <w:webHidden/>
              </w:rPr>
              <w:instrText xml:space="preserve"> PAGEREF _Toc202899938 \h </w:instrText>
            </w:r>
            <w:r>
              <w:rPr>
                <w:noProof/>
                <w:webHidden/>
              </w:rPr>
            </w:r>
            <w:r>
              <w:rPr>
                <w:noProof/>
                <w:webHidden/>
              </w:rPr>
              <w:fldChar w:fldCharType="separate"/>
            </w:r>
            <w:r w:rsidR="000D75AE">
              <w:rPr>
                <w:noProof/>
                <w:webHidden/>
              </w:rPr>
              <w:t>74</w:t>
            </w:r>
            <w:r>
              <w:rPr>
                <w:noProof/>
                <w:webHidden/>
              </w:rPr>
              <w:fldChar w:fldCharType="end"/>
            </w:r>
          </w:hyperlink>
        </w:p>
        <w:p w14:paraId="77A6D7F5" w14:textId="296AAC4D" w:rsidR="00420D51" w:rsidRDefault="00420D51">
          <w:pPr>
            <w:pStyle w:val="TOC3"/>
            <w:rPr>
              <w:rFonts w:eastAsiaTheme="minorEastAsia"/>
              <w:noProof/>
              <w:spacing w:val="0"/>
              <w:kern w:val="2"/>
              <w:sz w:val="24"/>
              <w:lang w:eastAsia="en-AU"/>
              <w14:ligatures w14:val="standardContextual"/>
            </w:rPr>
          </w:pPr>
          <w:hyperlink w:anchor="_Toc202899939" w:history="1">
            <w:r w:rsidRPr="00492332">
              <w:rPr>
                <w:rStyle w:val="Hyperlink"/>
                <w:noProof/>
              </w:rPr>
              <w:t>4.6.2</w:t>
            </w:r>
            <w:r>
              <w:rPr>
                <w:rFonts w:eastAsiaTheme="minorEastAsia"/>
                <w:noProof/>
                <w:spacing w:val="0"/>
                <w:kern w:val="2"/>
                <w:sz w:val="24"/>
                <w:lang w:eastAsia="en-AU"/>
                <w14:ligatures w14:val="standardContextual"/>
              </w:rPr>
              <w:tab/>
            </w:r>
            <w:r w:rsidRPr="00492332">
              <w:rPr>
                <w:rStyle w:val="Hyperlink"/>
                <w:noProof/>
              </w:rPr>
              <w:t>Arrangements for DSP Recipients with compulsory participation requirements</w:t>
            </w:r>
            <w:r>
              <w:rPr>
                <w:noProof/>
                <w:webHidden/>
              </w:rPr>
              <w:tab/>
            </w:r>
            <w:r>
              <w:rPr>
                <w:noProof/>
                <w:webHidden/>
              </w:rPr>
              <w:fldChar w:fldCharType="begin"/>
            </w:r>
            <w:r>
              <w:rPr>
                <w:noProof/>
                <w:webHidden/>
              </w:rPr>
              <w:instrText xml:space="preserve"> PAGEREF _Toc202899939 \h </w:instrText>
            </w:r>
            <w:r>
              <w:rPr>
                <w:noProof/>
                <w:webHidden/>
              </w:rPr>
            </w:r>
            <w:r>
              <w:rPr>
                <w:noProof/>
                <w:webHidden/>
              </w:rPr>
              <w:fldChar w:fldCharType="separate"/>
            </w:r>
            <w:r w:rsidR="000D75AE">
              <w:rPr>
                <w:noProof/>
                <w:webHidden/>
              </w:rPr>
              <w:t>75</w:t>
            </w:r>
            <w:r>
              <w:rPr>
                <w:noProof/>
                <w:webHidden/>
              </w:rPr>
              <w:fldChar w:fldCharType="end"/>
            </w:r>
          </w:hyperlink>
        </w:p>
        <w:p w14:paraId="56B7C372" w14:textId="0BFD9986" w:rsidR="00420D51" w:rsidRDefault="00420D51">
          <w:pPr>
            <w:pStyle w:val="TOC3"/>
            <w:rPr>
              <w:rFonts w:eastAsiaTheme="minorEastAsia"/>
              <w:noProof/>
              <w:spacing w:val="0"/>
              <w:kern w:val="2"/>
              <w:sz w:val="24"/>
              <w:lang w:eastAsia="en-AU"/>
              <w14:ligatures w14:val="standardContextual"/>
            </w:rPr>
          </w:pPr>
          <w:hyperlink w:anchor="_Toc202899940" w:history="1">
            <w:r w:rsidRPr="00492332">
              <w:rPr>
                <w:rStyle w:val="Hyperlink"/>
                <w:noProof/>
              </w:rPr>
              <w:t>4.6.3</w:t>
            </w:r>
            <w:r>
              <w:rPr>
                <w:rFonts w:eastAsiaTheme="minorEastAsia"/>
                <w:noProof/>
                <w:spacing w:val="0"/>
                <w:kern w:val="2"/>
                <w:sz w:val="24"/>
                <w:lang w:eastAsia="en-AU"/>
                <w14:ligatures w14:val="standardContextual"/>
              </w:rPr>
              <w:tab/>
            </w:r>
            <w:r w:rsidRPr="00492332">
              <w:rPr>
                <w:rStyle w:val="Hyperlink"/>
                <w:noProof/>
              </w:rPr>
              <w:t>Arrangements for Participants (Voluntary)</w:t>
            </w:r>
            <w:r>
              <w:rPr>
                <w:noProof/>
                <w:webHidden/>
              </w:rPr>
              <w:tab/>
            </w:r>
            <w:r>
              <w:rPr>
                <w:noProof/>
                <w:webHidden/>
              </w:rPr>
              <w:fldChar w:fldCharType="begin"/>
            </w:r>
            <w:r>
              <w:rPr>
                <w:noProof/>
                <w:webHidden/>
              </w:rPr>
              <w:instrText xml:space="preserve"> PAGEREF _Toc202899940 \h </w:instrText>
            </w:r>
            <w:r>
              <w:rPr>
                <w:noProof/>
                <w:webHidden/>
              </w:rPr>
            </w:r>
            <w:r>
              <w:rPr>
                <w:noProof/>
                <w:webHidden/>
              </w:rPr>
              <w:fldChar w:fldCharType="separate"/>
            </w:r>
            <w:r w:rsidR="000D75AE">
              <w:rPr>
                <w:noProof/>
                <w:webHidden/>
              </w:rPr>
              <w:t>75</w:t>
            </w:r>
            <w:r>
              <w:rPr>
                <w:noProof/>
                <w:webHidden/>
              </w:rPr>
              <w:fldChar w:fldCharType="end"/>
            </w:r>
          </w:hyperlink>
        </w:p>
        <w:p w14:paraId="62D1C68D" w14:textId="682817E3" w:rsidR="00420D51" w:rsidRDefault="00420D51">
          <w:pPr>
            <w:pStyle w:val="TOC3"/>
            <w:rPr>
              <w:rFonts w:eastAsiaTheme="minorEastAsia"/>
              <w:noProof/>
              <w:spacing w:val="0"/>
              <w:kern w:val="2"/>
              <w:sz w:val="24"/>
              <w:lang w:eastAsia="en-AU"/>
              <w14:ligatures w14:val="standardContextual"/>
            </w:rPr>
          </w:pPr>
          <w:hyperlink w:anchor="_Toc202899941" w:history="1">
            <w:r w:rsidRPr="00492332">
              <w:rPr>
                <w:rStyle w:val="Hyperlink"/>
                <w:noProof/>
              </w:rPr>
              <w:t>4.6.4</w:t>
            </w:r>
            <w:r>
              <w:rPr>
                <w:rFonts w:eastAsiaTheme="minorEastAsia"/>
                <w:noProof/>
                <w:spacing w:val="0"/>
                <w:kern w:val="2"/>
                <w:sz w:val="24"/>
                <w:lang w:eastAsia="en-AU"/>
                <w14:ligatures w14:val="standardContextual"/>
              </w:rPr>
              <w:tab/>
            </w:r>
            <w:r w:rsidRPr="00492332">
              <w:rPr>
                <w:rStyle w:val="Hyperlink"/>
                <w:noProof/>
              </w:rPr>
              <w:t>Arrangements for Participants eligible for Mobility Allowance</w:t>
            </w:r>
            <w:r>
              <w:rPr>
                <w:noProof/>
                <w:webHidden/>
              </w:rPr>
              <w:tab/>
            </w:r>
            <w:r>
              <w:rPr>
                <w:noProof/>
                <w:webHidden/>
              </w:rPr>
              <w:fldChar w:fldCharType="begin"/>
            </w:r>
            <w:r>
              <w:rPr>
                <w:noProof/>
                <w:webHidden/>
              </w:rPr>
              <w:instrText xml:space="preserve"> PAGEREF _Toc202899941 \h </w:instrText>
            </w:r>
            <w:r>
              <w:rPr>
                <w:noProof/>
                <w:webHidden/>
              </w:rPr>
            </w:r>
            <w:r>
              <w:rPr>
                <w:noProof/>
                <w:webHidden/>
              </w:rPr>
              <w:fldChar w:fldCharType="separate"/>
            </w:r>
            <w:r w:rsidR="000D75AE">
              <w:rPr>
                <w:noProof/>
                <w:webHidden/>
              </w:rPr>
              <w:t>76</w:t>
            </w:r>
            <w:r>
              <w:rPr>
                <w:noProof/>
                <w:webHidden/>
              </w:rPr>
              <w:fldChar w:fldCharType="end"/>
            </w:r>
          </w:hyperlink>
        </w:p>
        <w:p w14:paraId="24BAFCC5" w14:textId="4D7C8FEA" w:rsidR="00420D51" w:rsidRDefault="00420D51">
          <w:pPr>
            <w:pStyle w:val="TOC2"/>
            <w:rPr>
              <w:rFonts w:eastAsiaTheme="minorEastAsia"/>
              <w:noProof/>
              <w:spacing w:val="0"/>
              <w:kern w:val="2"/>
              <w:sz w:val="24"/>
              <w:lang w:eastAsia="en-AU"/>
              <w14:ligatures w14:val="standardContextual"/>
            </w:rPr>
          </w:pPr>
          <w:hyperlink w:anchor="_Toc202899942" w:history="1">
            <w:r w:rsidRPr="00492332">
              <w:rPr>
                <w:rStyle w:val="Hyperlink"/>
                <w:noProof/>
              </w:rPr>
              <w:t>4.7</w:t>
            </w:r>
            <w:r>
              <w:rPr>
                <w:rFonts w:eastAsiaTheme="minorEastAsia"/>
                <w:noProof/>
                <w:spacing w:val="0"/>
                <w:kern w:val="2"/>
                <w:sz w:val="24"/>
                <w:lang w:eastAsia="en-AU"/>
                <w14:ligatures w14:val="standardContextual"/>
              </w:rPr>
              <w:tab/>
            </w:r>
            <w:r w:rsidRPr="00492332">
              <w:rPr>
                <w:rStyle w:val="Hyperlink"/>
                <w:noProof/>
              </w:rPr>
              <w:t>Contents of a Detailed Job Plan</w:t>
            </w:r>
            <w:r>
              <w:rPr>
                <w:noProof/>
                <w:webHidden/>
              </w:rPr>
              <w:tab/>
            </w:r>
            <w:r>
              <w:rPr>
                <w:noProof/>
                <w:webHidden/>
              </w:rPr>
              <w:fldChar w:fldCharType="begin"/>
            </w:r>
            <w:r>
              <w:rPr>
                <w:noProof/>
                <w:webHidden/>
              </w:rPr>
              <w:instrText xml:space="preserve"> PAGEREF _Toc202899942 \h </w:instrText>
            </w:r>
            <w:r>
              <w:rPr>
                <w:noProof/>
                <w:webHidden/>
              </w:rPr>
            </w:r>
            <w:r>
              <w:rPr>
                <w:noProof/>
                <w:webHidden/>
              </w:rPr>
              <w:fldChar w:fldCharType="separate"/>
            </w:r>
            <w:r w:rsidR="000D75AE">
              <w:rPr>
                <w:noProof/>
                <w:webHidden/>
              </w:rPr>
              <w:t>77</w:t>
            </w:r>
            <w:r>
              <w:rPr>
                <w:noProof/>
                <w:webHidden/>
              </w:rPr>
              <w:fldChar w:fldCharType="end"/>
            </w:r>
          </w:hyperlink>
        </w:p>
        <w:p w14:paraId="347FDA79" w14:textId="14056DE0" w:rsidR="00420D51" w:rsidRDefault="00420D51">
          <w:pPr>
            <w:pStyle w:val="TOC3"/>
            <w:rPr>
              <w:rFonts w:eastAsiaTheme="minorEastAsia"/>
              <w:noProof/>
              <w:spacing w:val="0"/>
              <w:kern w:val="2"/>
              <w:sz w:val="24"/>
              <w:lang w:eastAsia="en-AU"/>
              <w14:ligatures w14:val="standardContextual"/>
            </w:rPr>
          </w:pPr>
          <w:hyperlink w:anchor="_Toc202899943" w:history="1">
            <w:r w:rsidRPr="00492332">
              <w:rPr>
                <w:rStyle w:val="Hyperlink"/>
                <w:noProof/>
              </w:rPr>
              <w:t>4.7.1</w:t>
            </w:r>
            <w:r>
              <w:rPr>
                <w:rFonts w:eastAsiaTheme="minorEastAsia"/>
                <w:noProof/>
                <w:spacing w:val="0"/>
                <w:kern w:val="2"/>
                <w:sz w:val="24"/>
                <w:lang w:eastAsia="en-AU"/>
                <w14:ligatures w14:val="standardContextual"/>
              </w:rPr>
              <w:tab/>
            </w:r>
            <w:r w:rsidRPr="00492332">
              <w:rPr>
                <w:rStyle w:val="Hyperlink"/>
                <w:noProof/>
              </w:rPr>
              <w:t>Notification of requirements</w:t>
            </w:r>
            <w:r>
              <w:rPr>
                <w:noProof/>
                <w:webHidden/>
              </w:rPr>
              <w:tab/>
            </w:r>
            <w:r>
              <w:rPr>
                <w:noProof/>
                <w:webHidden/>
              </w:rPr>
              <w:fldChar w:fldCharType="begin"/>
            </w:r>
            <w:r>
              <w:rPr>
                <w:noProof/>
                <w:webHidden/>
              </w:rPr>
              <w:instrText xml:space="preserve"> PAGEREF _Toc202899943 \h </w:instrText>
            </w:r>
            <w:r>
              <w:rPr>
                <w:noProof/>
                <w:webHidden/>
              </w:rPr>
            </w:r>
            <w:r>
              <w:rPr>
                <w:noProof/>
                <w:webHidden/>
              </w:rPr>
              <w:fldChar w:fldCharType="separate"/>
            </w:r>
            <w:r w:rsidR="000D75AE">
              <w:rPr>
                <w:noProof/>
                <w:webHidden/>
              </w:rPr>
              <w:t>79</w:t>
            </w:r>
            <w:r>
              <w:rPr>
                <w:noProof/>
                <w:webHidden/>
              </w:rPr>
              <w:fldChar w:fldCharType="end"/>
            </w:r>
          </w:hyperlink>
        </w:p>
        <w:p w14:paraId="27ED23AF" w14:textId="17B08070" w:rsidR="00420D51" w:rsidRDefault="00420D51">
          <w:pPr>
            <w:pStyle w:val="TOC3"/>
            <w:rPr>
              <w:rFonts w:eastAsiaTheme="minorEastAsia"/>
              <w:noProof/>
              <w:spacing w:val="0"/>
              <w:kern w:val="2"/>
              <w:sz w:val="24"/>
              <w:lang w:eastAsia="en-AU"/>
              <w14:ligatures w14:val="standardContextual"/>
            </w:rPr>
          </w:pPr>
          <w:hyperlink w:anchor="_Toc202899944" w:history="1">
            <w:r w:rsidRPr="00492332">
              <w:rPr>
                <w:rStyle w:val="Hyperlink"/>
                <w:noProof/>
              </w:rPr>
              <w:t>4.7.2</w:t>
            </w:r>
            <w:r>
              <w:rPr>
                <w:rFonts w:eastAsiaTheme="minorEastAsia"/>
                <w:noProof/>
                <w:spacing w:val="0"/>
                <w:kern w:val="2"/>
                <w:sz w:val="24"/>
                <w:lang w:eastAsia="en-AU"/>
                <w14:ligatures w14:val="standardContextual"/>
              </w:rPr>
              <w:tab/>
            </w:r>
            <w:r w:rsidRPr="00492332">
              <w:rPr>
                <w:rStyle w:val="Hyperlink"/>
                <w:noProof/>
              </w:rPr>
              <w:t>Arrangements for Participants eligible for Mobility Allowance</w:t>
            </w:r>
            <w:r>
              <w:rPr>
                <w:noProof/>
                <w:webHidden/>
              </w:rPr>
              <w:tab/>
            </w:r>
            <w:r>
              <w:rPr>
                <w:noProof/>
                <w:webHidden/>
              </w:rPr>
              <w:fldChar w:fldCharType="begin"/>
            </w:r>
            <w:r>
              <w:rPr>
                <w:noProof/>
                <w:webHidden/>
              </w:rPr>
              <w:instrText xml:space="preserve"> PAGEREF _Toc202899944 \h </w:instrText>
            </w:r>
            <w:r>
              <w:rPr>
                <w:noProof/>
                <w:webHidden/>
              </w:rPr>
            </w:r>
            <w:r>
              <w:rPr>
                <w:noProof/>
                <w:webHidden/>
              </w:rPr>
              <w:fldChar w:fldCharType="separate"/>
            </w:r>
            <w:r w:rsidR="000D75AE">
              <w:rPr>
                <w:noProof/>
                <w:webHidden/>
              </w:rPr>
              <w:t>80</w:t>
            </w:r>
            <w:r>
              <w:rPr>
                <w:noProof/>
                <w:webHidden/>
              </w:rPr>
              <w:fldChar w:fldCharType="end"/>
            </w:r>
          </w:hyperlink>
        </w:p>
        <w:p w14:paraId="4F7EAE3D" w14:textId="0366EF85" w:rsidR="00420D51" w:rsidRDefault="00420D51">
          <w:pPr>
            <w:pStyle w:val="TOC2"/>
            <w:rPr>
              <w:rFonts w:eastAsiaTheme="minorEastAsia"/>
              <w:noProof/>
              <w:spacing w:val="0"/>
              <w:kern w:val="2"/>
              <w:sz w:val="24"/>
              <w:lang w:eastAsia="en-AU"/>
              <w14:ligatures w14:val="standardContextual"/>
            </w:rPr>
          </w:pPr>
          <w:hyperlink w:anchor="_Toc202899945" w:history="1">
            <w:r w:rsidRPr="00492332">
              <w:rPr>
                <w:rStyle w:val="Hyperlink"/>
                <w:noProof/>
              </w:rPr>
              <w:t>4.8</w:t>
            </w:r>
            <w:r>
              <w:rPr>
                <w:rFonts w:eastAsiaTheme="minorEastAsia"/>
                <w:noProof/>
                <w:spacing w:val="0"/>
                <w:kern w:val="2"/>
                <w:sz w:val="24"/>
                <w:lang w:eastAsia="en-AU"/>
                <w14:ligatures w14:val="standardContextual"/>
              </w:rPr>
              <w:tab/>
            </w:r>
            <w:r w:rsidRPr="00492332">
              <w:rPr>
                <w:rStyle w:val="Hyperlink"/>
                <w:noProof/>
              </w:rPr>
              <w:t>Review and Agreement of the Job Plan</w:t>
            </w:r>
            <w:r>
              <w:rPr>
                <w:noProof/>
                <w:webHidden/>
              </w:rPr>
              <w:tab/>
            </w:r>
            <w:r>
              <w:rPr>
                <w:noProof/>
                <w:webHidden/>
              </w:rPr>
              <w:fldChar w:fldCharType="begin"/>
            </w:r>
            <w:r>
              <w:rPr>
                <w:noProof/>
                <w:webHidden/>
              </w:rPr>
              <w:instrText xml:space="preserve"> PAGEREF _Toc202899945 \h </w:instrText>
            </w:r>
            <w:r>
              <w:rPr>
                <w:noProof/>
                <w:webHidden/>
              </w:rPr>
            </w:r>
            <w:r>
              <w:rPr>
                <w:noProof/>
                <w:webHidden/>
              </w:rPr>
              <w:fldChar w:fldCharType="separate"/>
            </w:r>
            <w:r w:rsidR="000D75AE">
              <w:rPr>
                <w:noProof/>
                <w:webHidden/>
              </w:rPr>
              <w:t>80</w:t>
            </w:r>
            <w:r>
              <w:rPr>
                <w:noProof/>
                <w:webHidden/>
              </w:rPr>
              <w:fldChar w:fldCharType="end"/>
            </w:r>
          </w:hyperlink>
        </w:p>
        <w:p w14:paraId="49EF46CE" w14:textId="10D1772A" w:rsidR="00420D51" w:rsidRDefault="00420D51">
          <w:pPr>
            <w:pStyle w:val="TOC3"/>
            <w:rPr>
              <w:rFonts w:eastAsiaTheme="minorEastAsia"/>
              <w:noProof/>
              <w:spacing w:val="0"/>
              <w:kern w:val="2"/>
              <w:sz w:val="24"/>
              <w:lang w:eastAsia="en-AU"/>
              <w14:ligatures w14:val="standardContextual"/>
            </w:rPr>
          </w:pPr>
          <w:hyperlink w:anchor="_Toc202899946" w:history="1">
            <w:r w:rsidRPr="00492332">
              <w:rPr>
                <w:rStyle w:val="Hyperlink"/>
                <w:noProof/>
              </w:rPr>
              <w:t>4.8.1</w:t>
            </w:r>
            <w:r>
              <w:rPr>
                <w:rFonts w:eastAsiaTheme="minorEastAsia"/>
                <w:noProof/>
                <w:spacing w:val="0"/>
                <w:kern w:val="2"/>
                <w:sz w:val="24"/>
                <w:lang w:eastAsia="en-AU"/>
                <w14:ligatures w14:val="standardContextual"/>
              </w:rPr>
              <w:tab/>
            </w:r>
            <w:r w:rsidRPr="00492332">
              <w:rPr>
                <w:rStyle w:val="Hyperlink"/>
                <w:noProof/>
              </w:rPr>
              <w:t>Think time</w:t>
            </w:r>
            <w:r>
              <w:rPr>
                <w:noProof/>
                <w:webHidden/>
              </w:rPr>
              <w:tab/>
            </w:r>
            <w:r>
              <w:rPr>
                <w:noProof/>
                <w:webHidden/>
              </w:rPr>
              <w:fldChar w:fldCharType="begin"/>
            </w:r>
            <w:r>
              <w:rPr>
                <w:noProof/>
                <w:webHidden/>
              </w:rPr>
              <w:instrText xml:space="preserve"> PAGEREF _Toc202899946 \h </w:instrText>
            </w:r>
            <w:r>
              <w:rPr>
                <w:noProof/>
                <w:webHidden/>
              </w:rPr>
            </w:r>
            <w:r>
              <w:rPr>
                <w:noProof/>
                <w:webHidden/>
              </w:rPr>
              <w:fldChar w:fldCharType="separate"/>
            </w:r>
            <w:r w:rsidR="000D75AE">
              <w:rPr>
                <w:noProof/>
                <w:webHidden/>
              </w:rPr>
              <w:t>81</w:t>
            </w:r>
            <w:r>
              <w:rPr>
                <w:noProof/>
                <w:webHidden/>
              </w:rPr>
              <w:fldChar w:fldCharType="end"/>
            </w:r>
          </w:hyperlink>
        </w:p>
        <w:p w14:paraId="7B7C3535" w14:textId="2FE5F1BB" w:rsidR="00420D51" w:rsidRDefault="00420D51">
          <w:pPr>
            <w:pStyle w:val="TOC3"/>
            <w:rPr>
              <w:rFonts w:eastAsiaTheme="minorEastAsia"/>
              <w:noProof/>
              <w:spacing w:val="0"/>
              <w:kern w:val="2"/>
              <w:sz w:val="24"/>
              <w:lang w:eastAsia="en-AU"/>
              <w14:ligatures w14:val="standardContextual"/>
            </w:rPr>
          </w:pPr>
          <w:hyperlink w:anchor="_Toc202899947" w:history="1">
            <w:r w:rsidRPr="00492332">
              <w:rPr>
                <w:rStyle w:val="Hyperlink"/>
                <w:noProof/>
              </w:rPr>
              <w:t>4.8.2</w:t>
            </w:r>
            <w:r>
              <w:rPr>
                <w:rFonts w:eastAsiaTheme="minorEastAsia"/>
                <w:noProof/>
                <w:spacing w:val="0"/>
                <w:kern w:val="2"/>
                <w:sz w:val="24"/>
                <w:lang w:eastAsia="en-AU"/>
                <w14:ligatures w14:val="standardContextual"/>
              </w:rPr>
              <w:tab/>
            </w:r>
            <w:r w:rsidRPr="00492332">
              <w:rPr>
                <w:rStyle w:val="Hyperlink"/>
                <w:noProof/>
              </w:rPr>
              <w:t>Participants agreeing to the Job Plan online</w:t>
            </w:r>
            <w:r>
              <w:rPr>
                <w:noProof/>
                <w:webHidden/>
              </w:rPr>
              <w:tab/>
            </w:r>
            <w:r>
              <w:rPr>
                <w:noProof/>
                <w:webHidden/>
              </w:rPr>
              <w:fldChar w:fldCharType="begin"/>
            </w:r>
            <w:r>
              <w:rPr>
                <w:noProof/>
                <w:webHidden/>
              </w:rPr>
              <w:instrText xml:space="preserve"> PAGEREF _Toc202899947 \h </w:instrText>
            </w:r>
            <w:r>
              <w:rPr>
                <w:noProof/>
                <w:webHidden/>
              </w:rPr>
            </w:r>
            <w:r>
              <w:rPr>
                <w:noProof/>
                <w:webHidden/>
              </w:rPr>
              <w:fldChar w:fldCharType="separate"/>
            </w:r>
            <w:r w:rsidR="000D75AE">
              <w:rPr>
                <w:noProof/>
                <w:webHidden/>
              </w:rPr>
              <w:t>81</w:t>
            </w:r>
            <w:r>
              <w:rPr>
                <w:noProof/>
                <w:webHidden/>
              </w:rPr>
              <w:fldChar w:fldCharType="end"/>
            </w:r>
          </w:hyperlink>
        </w:p>
        <w:p w14:paraId="6712336E" w14:textId="590FCDD3" w:rsidR="00420D51" w:rsidRDefault="00420D51">
          <w:pPr>
            <w:pStyle w:val="TOC3"/>
            <w:rPr>
              <w:rFonts w:eastAsiaTheme="minorEastAsia"/>
              <w:noProof/>
              <w:spacing w:val="0"/>
              <w:kern w:val="2"/>
              <w:sz w:val="24"/>
              <w:lang w:eastAsia="en-AU"/>
              <w14:ligatures w14:val="standardContextual"/>
            </w:rPr>
          </w:pPr>
          <w:hyperlink w:anchor="_Toc202899948" w:history="1">
            <w:r w:rsidRPr="00492332">
              <w:rPr>
                <w:rStyle w:val="Hyperlink"/>
                <w:noProof/>
              </w:rPr>
              <w:t>4.8.3</w:t>
            </w:r>
            <w:r>
              <w:rPr>
                <w:rFonts w:eastAsiaTheme="minorEastAsia"/>
                <w:noProof/>
                <w:spacing w:val="0"/>
                <w:kern w:val="2"/>
                <w:sz w:val="24"/>
                <w:lang w:eastAsia="en-AU"/>
                <w14:ligatures w14:val="standardContextual"/>
              </w:rPr>
              <w:tab/>
            </w:r>
            <w:r w:rsidRPr="00492332">
              <w:rPr>
                <w:rStyle w:val="Hyperlink"/>
                <w:noProof/>
              </w:rPr>
              <w:t>Participants agreeing to the Job Plan via signed copy or verbally</w:t>
            </w:r>
            <w:r>
              <w:rPr>
                <w:noProof/>
                <w:webHidden/>
              </w:rPr>
              <w:tab/>
            </w:r>
            <w:r>
              <w:rPr>
                <w:noProof/>
                <w:webHidden/>
              </w:rPr>
              <w:fldChar w:fldCharType="begin"/>
            </w:r>
            <w:r>
              <w:rPr>
                <w:noProof/>
                <w:webHidden/>
              </w:rPr>
              <w:instrText xml:space="preserve"> PAGEREF _Toc202899948 \h </w:instrText>
            </w:r>
            <w:r>
              <w:rPr>
                <w:noProof/>
                <w:webHidden/>
              </w:rPr>
            </w:r>
            <w:r>
              <w:rPr>
                <w:noProof/>
                <w:webHidden/>
              </w:rPr>
              <w:fldChar w:fldCharType="separate"/>
            </w:r>
            <w:r w:rsidR="000D75AE">
              <w:rPr>
                <w:noProof/>
                <w:webHidden/>
              </w:rPr>
              <w:t>81</w:t>
            </w:r>
            <w:r>
              <w:rPr>
                <w:noProof/>
                <w:webHidden/>
              </w:rPr>
              <w:fldChar w:fldCharType="end"/>
            </w:r>
          </w:hyperlink>
        </w:p>
        <w:p w14:paraId="404BE27F" w14:textId="13AFDB07" w:rsidR="00420D51" w:rsidRDefault="00420D51">
          <w:pPr>
            <w:pStyle w:val="TOC2"/>
            <w:rPr>
              <w:rFonts w:eastAsiaTheme="minorEastAsia"/>
              <w:noProof/>
              <w:spacing w:val="0"/>
              <w:kern w:val="2"/>
              <w:sz w:val="24"/>
              <w:lang w:eastAsia="en-AU"/>
              <w14:ligatures w14:val="standardContextual"/>
            </w:rPr>
          </w:pPr>
          <w:hyperlink w:anchor="_Toc202899949" w:history="1">
            <w:r w:rsidRPr="00492332">
              <w:rPr>
                <w:rStyle w:val="Hyperlink"/>
                <w:noProof/>
              </w:rPr>
              <w:t>4.9</w:t>
            </w:r>
            <w:r>
              <w:rPr>
                <w:rFonts w:eastAsiaTheme="minorEastAsia"/>
                <w:noProof/>
                <w:spacing w:val="0"/>
                <w:kern w:val="2"/>
                <w:sz w:val="24"/>
                <w:lang w:eastAsia="en-AU"/>
                <w14:ligatures w14:val="standardContextual"/>
              </w:rPr>
              <w:tab/>
            </w:r>
            <w:r w:rsidRPr="00492332">
              <w:rPr>
                <w:rStyle w:val="Hyperlink"/>
                <w:noProof/>
              </w:rPr>
              <w:t>Updating a Job Plan</w:t>
            </w:r>
            <w:r>
              <w:rPr>
                <w:noProof/>
                <w:webHidden/>
              </w:rPr>
              <w:tab/>
            </w:r>
            <w:r>
              <w:rPr>
                <w:noProof/>
                <w:webHidden/>
              </w:rPr>
              <w:fldChar w:fldCharType="begin"/>
            </w:r>
            <w:r>
              <w:rPr>
                <w:noProof/>
                <w:webHidden/>
              </w:rPr>
              <w:instrText xml:space="preserve"> PAGEREF _Toc202899949 \h </w:instrText>
            </w:r>
            <w:r>
              <w:rPr>
                <w:noProof/>
                <w:webHidden/>
              </w:rPr>
            </w:r>
            <w:r>
              <w:rPr>
                <w:noProof/>
                <w:webHidden/>
              </w:rPr>
              <w:fldChar w:fldCharType="separate"/>
            </w:r>
            <w:r w:rsidR="000D75AE">
              <w:rPr>
                <w:noProof/>
                <w:webHidden/>
              </w:rPr>
              <w:t>82</w:t>
            </w:r>
            <w:r>
              <w:rPr>
                <w:noProof/>
                <w:webHidden/>
              </w:rPr>
              <w:fldChar w:fldCharType="end"/>
            </w:r>
          </w:hyperlink>
        </w:p>
        <w:p w14:paraId="3A3CEC51" w14:textId="44934D85"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950" w:history="1">
            <w:r w:rsidRPr="00492332">
              <w:rPr>
                <w:rStyle w:val="Hyperlink"/>
                <w:noProof/>
              </w:rPr>
              <w:t>Chapter 5:</w:t>
            </w:r>
            <w:r>
              <w:rPr>
                <w:rFonts w:eastAsiaTheme="minorEastAsia"/>
                <w:b w:val="0"/>
                <w:noProof/>
                <w:color w:val="auto"/>
                <w:spacing w:val="0"/>
                <w:kern w:val="2"/>
                <w:sz w:val="24"/>
                <w:lang w:eastAsia="en-AU"/>
                <w14:ligatures w14:val="standardContextual"/>
              </w:rPr>
              <w:tab/>
            </w:r>
            <w:r w:rsidRPr="00492332">
              <w:rPr>
                <w:rStyle w:val="Hyperlink"/>
                <w:noProof/>
              </w:rPr>
              <w:t>Participation requirements</w:t>
            </w:r>
            <w:r>
              <w:rPr>
                <w:noProof/>
                <w:webHidden/>
              </w:rPr>
              <w:tab/>
            </w:r>
            <w:r>
              <w:rPr>
                <w:noProof/>
                <w:webHidden/>
              </w:rPr>
              <w:fldChar w:fldCharType="begin"/>
            </w:r>
            <w:r>
              <w:rPr>
                <w:noProof/>
                <w:webHidden/>
              </w:rPr>
              <w:instrText xml:space="preserve"> PAGEREF _Toc202899950 \h </w:instrText>
            </w:r>
            <w:r>
              <w:rPr>
                <w:noProof/>
                <w:webHidden/>
              </w:rPr>
            </w:r>
            <w:r>
              <w:rPr>
                <w:noProof/>
                <w:webHidden/>
              </w:rPr>
              <w:fldChar w:fldCharType="separate"/>
            </w:r>
            <w:r w:rsidR="000D75AE">
              <w:rPr>
                <w:noProof/>
                <w:webHidden/>
              </w:rPr>
              <w:t>84</w:t>
            </w:r>
            <w:r>
              <w:rPr>
                <w:noProof/>
                <w:webHidden/>
              </w:rPr>
              <w:fldChar w:fldCharType="end"/>
            </w:r>
          </w:hyperlink>
        </w:p>
        <w:p w14:paraId="4E42B285" w14:textId="1681E021" w:rsidR="00420D51" w:rsidRDefault="00420D51">
          <w:pPr>
            <w:pStyle w:val="TOC2"/>
            <w:rPr>
              <w:rFonts w:eastAsiaTheme="minorEastAsia"/>
              <w:noProof/>
              <w:spacing w:val="0"/>
              <w:kern w:val="2"/>
              <w:sz w:val="24"/>
              <w:lang w:eastAsia="en-AU"/>
              <w14:ligatures w14:val="standardContextual"/>
            </w:rPr>
          </w:pPr>
          <w:hyperlink w:anchor="_Toc202899951" w:history="1">
            <w:r w:rsidRPr="00492332">
              <w:rPr>
                <w:rStyle w:val="Hyperlink"/>
                <w:noProof/>
              </w:rPr>
              <w:t>5.1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_Toc202899951 \h </w:instrText>
            </w:r>
            <w:r>
              <w:rPr>
                <w:noProof/>
                <w:webHidden/>
              </w:rPr>
            </w:r>
            <w:r>
              <w:rPr>
                <w:noProof/>
                <w:webHidden/>
              </w:rPr>
              <w:fldChar w:fldCharType="separate"/>
            </w:r>
            <w:r w:rsidR="000D75AE">
              <w:rPr>
                <w:noProof/>
                <w:webHidden/>
              </w:rPr>
              <w:t>84</w:t>
            </w:r>
            <w:r>
              <w:rPr>
                <w:noProof/>
                <w:webHidden/>
              </w:rPr>
              <w:fldChar w:fldCharType="end"/>
            </w:r>
          </w:hyperlink>
        </w:p>
        <w:p w14:paraId="6FC78303" w14:textId="45F5964C" w:rsidR="00420D51" w:rsidRDefault="00420D51">
          <w:pPr>
            <w:pStyle w:val="TOC2"/>
            <w:rPr>
              <w:rFonts w:eastAsiaTheme="minorEastAsia"/>
              <w:noProof/>
              <w:spacing w:val="0"/>
              <w:kern w:val="2"/>
              <w:sz w:val="24"/>
              <w:lang w:eastAsia="en-AU"/>
              <w14:ligatures w14:val="standardContextual"/>
            </w:rPr>
          </w:pPr>
          <w:hyperlink w:anchor="_Toc202899952" w:history="1">
            <w:r w:rsidRPr="00492332">
              <w:rPr>
                <w:rStyle w:val="Hyperlink"/>
                <w:noProof/>
              </w:rPr>
              <w:t>5.2</w:t>
            </w:r>
            <w:r>
              <w:rPr>
                <w:rFonts w:eastAsiaTheme="minorEastAsia"/>
                <w:noProof/>
                <w:spacing w:val="0"/>
                <w:kern w:val="2"/>
                <w:sz w:val="24"/>
                <w:lang w:eastAsia="en-AU"/>
                <w14:ligatures w14:val="standardContextual"/>
              </w:rPr>
              <w:tab/>
            </w:r>
            <w:r w:rsidRPr="00492332">
              <w:rPr>
                <w:rStyle w:val="Hyperlink"/>
                <w:noProof/>
              </w:rPr>
              <w:t>What are participation requirements?</w:t>
            </w:r>
            <w:r>
              <w:rPr>
                <w:noProof/>
                <w:webHidden/>
              </w:rPr>
              <w:tab/>
            </w:r>
            <w:r>
              <w:rPr>
                <w:noProof/>
                <w:webHidden/>
              </w:rPr>
              <w:fldChar w:fldCharType="begin"/>
            </w:r>
            <w:r>
              <w:rPr>
                <w:noProof/>
                <w:webHidden/>
              </w:rPr>
              <w:instrText xml:space="preserve"> PAGEREF _Toc202899952 \h </w:instrText>
            </w:r>
            <w:r>
              <w:rPr>
                <w:noProof/>
                <w:webHidden/>
              </w:rPr>
            </w:r>
            <w:r>
              <w:rPr>
                <w:noProof/>
                <w:webHidden/>
              </w:rPr>
              <w:fldChar w:fldCharType="separate"/>
            </w:r>
            <w:r w:rsidR="000D75AE">
              <w:rPr>
                <w:noProof/>
                <w:webHidden/>
              </w:rPr>
              <w:t>84</w:t>
            </w:r>
            <w:r>
              <w:rPr>
                <w:noProof/>
                <w:webHidden/>
              </w:rPr>
              <w:fldChar w:fldCharType="end"/>
            </w:r>
          </w:hyperlink>
        </w:p>
        <w:p w14:paraId="53F9FD1B" w14:textId="2133DDD8" w:rsidR="00420D51" w:rsidRDefault="00420D51">
          <w:pPr>
            <w:pStyle w:val="TOC3"/>
            <w:rPr>
              <w:rFonts w:eastAsiaTheme="minorEastAsia"/>
              <w:noProof/>
              <w:spacing w:val="0"/>
              <w:kern w:val="2"/>
              <w:sz w:val="24"/>
              <w:lang w:eastAsia="en-AU"/>
              <w14:ligatures w14:val="standardContextual"/>
            </w:rPr>
          </w:pPr>
          <w:hyperlink w:anchor="_Toc202899953" w:history="1">
            <w:r w:rsidRPr="00492332">
              <w:rPr>
                <w:rStyle w:val="Hyperlink"/>
                <w:noProof/>
              </w:rPr>
              <w:t>5.2.1</w:t>
            </w:r>
            <w:r>
              <w:rPr>
                <w:rFonts w:eastAsiaTheme="minorEastAsia"/>
                <w:noProof/>
                <w:spacing w:val="0"/>
                <w:kern w:val="2"/>
                <w:sz w:val="24"/>
                <w:lang w:eastAsia="en-AU"/>
                <w14:ligatures w14:val="standardContextual"/>
              </w:rPr>
              <w:tab/>
            </w:r>
            <w:r w:rsidRPr="00492332">
              <w:rPr>
                <w:rStyle w:val="Hyperlink"/>
                <w:noProof/>
              </w:rPr>
              <w:t>Mutual Obligation Requirements</w:t>
            </w:r>
            <w:r>
              <w:rPr>
                <w:noProof/>
                <w:webHidden/>
              </w:rPr>
              <w:tab/>
            </w:r>
            <w:r>
              <w:rPr>
                <w:noProof/>
                <w:webHidden/>
              </w:rPr>
              <w:fldChar w:fldCharType="begin"/>
            </w:r>
            <w:r>
              <w:rPr>
                <w:noProof/>
                <w:webHidden/>
              </w:rPr>
              <w:instrText xml:space="preserve"> PAGEREF _Toc202899953 \h </w:instrText>
            </w:r>
            <w:r>
              <w:rPr>
                <w:noProof/>
                <w:webHidden/>
              </w:rPr>
            </w:r>
            <w:r>
              <w:rPr>
                <w:noProof/>
                <w:webHidden/>
              </w:rPr>
              <w:fldChar w:fldCharType="separate"/>
            </w:r>
            <w:r w:rsidR="000D75AE">
              <w:rPr>
                <w:noProof/>
                <w:webHidden/>
              </w:rPr>
              <w:t>85</w:t>
            </w:r>
            <w:r>
              <w:rPr>
                <w:noProof/>
                <w:webHidden/>
              </w:rPr>
              <w:fldChar w:fldCharType="end"/>
            </w:r>
          </w:hyperlink>
        </w:p>
        <w:p w14:paraId="386FC7C1" w14:textId="353E581E" w:rsidR="00420D51" w:rsidRDefault="00420D51">
          <w:pPr>
            <w:pStyle w:val="TOC3"/>
            <w:rPr>
              <w:rFonts w:eastAsiaTheme="minorEastAsia"/>
              <w:noProof/>
              <w:spacing w:val="0"/>
              <w:kern w:val="2"/>
              <w:sz w:val="24"/>
              <w:lang w:eastAsia="en-AU"/>
              <w14:ligatures w14:val="standardContextual"/>
            </w:rPr>
          </w:pPr>
          <w:hyperlink w:anchor="_Toc202899954" w:history="1">
            <w:r w:rsidRPr="00492332">
              <w:rPr>
                <w:rStyle w:val="Hyperlink"/>
                <w:noProof/>
              </w:rPr>
              <w:t>5.2.2</w:t>
            </w:r>
            <w:r>
              <w:rPr>
                <w:rFonts w:eastAsiaTheme="minorEastAsia"/>
                <w:noProof/>
                <w:spacing w:val="0"/>
                <w:kern w:val="2"/>
                <w:sz w:val="24"/>
                <w:lang w:eastAsia="en-AU"/>
                <w14:ligatures w14:val="standardContextual"/>
              </w:rPr>
              <w:tab/>
            </w:r>
            <w:r w:rsidRPr="00492332">
              <w:rPr>
                <w:rStyle w:val="Hyperlink"/>
                <w:noProof/>
              </w:rPr>
              <w:t>DSP compulsory participation requirements</w:t>
            </w:r>
            <w:r>
              <w:rPr>
                <w:noProof/>
                <w:webHidden/>
              </w:rPr>
              <w:tab/>
            </w:r>
            <w:r>
              <w:rPr>
                <w:noProof/>
                <w:webHidden/>
              </w:rPr>
              <w:fldChar w:fldCharType="begin"/>
            </w:r>
            <w:r>
              <w:rPr>
                <w:noProof/>
                <w:webHidden/>
              </w:rPr>
              <w:instrText xml:space="preserve"> PAGEREF _Toc202899954 \h </w:instrText>
            </w:r>
            <w:r>
              <w:rPr>
                <w:noProof/>
                <w:webHidden/>
              </w:rPr>
            </w:r>
            <w:r>
              <w:rPr>
                <w:noProof/>
                <w:webHidden/>
              </w:rPr>
              <w:fldChar w:fldCharType="separate"/>
            </w:r>
            <w:r w:rsidR="000D75AE">
              <w:rPr>
                <w:noProof/>
                <w:webHidden/>
              </w:rPr>
              <w:t>90</w:t>
            </w:r>
            <w:r>
              <w:rPr>
                <w:noProof/>
                <w:webHidden/>
              </w:rPr>
              <w:fldChar w:fldCharType="end"/>
            </w:r>
          </w:hyperlink>
        </w:p>
        <w:p w14:paraId="334F13E0" w14:textId="607F4A94" w:rsidR="00420D51" w:rsidRDefault="00420D51">
          <w:pPr>
            <w:pStyle w:val="TOC3"/>
            <w:rPr>
              <w:rFonts w:eastAsiaTheme="minorEastAsia"/>
              <w:noProof/>
              <w:spacing w:val="0"/>
              <w:kern w:val="2"/>
              <w:sz w:val="24"/>
              <w:lang w:eastAsia="en-AU"/>
              <w14:ligatures w14:val="standardContextual"/>
            </w:rPr>
          </w:pPr>
          <w:hyperlink w:anchor="_Toc202899955" w:history="1">
            <w:r w:rsidRPr="00492332">
              <w:rPr>
                <w:rStyle w:val="Hyperlink"/>
                <w:noProof/>
              </w:rPr>
              <w:t>5.2.3</w:t>
            </w:r>
            <w:r>
              <w:rPr>
                <w:rFonts w:eastAsiaTheme="minorEastAsia"/>
                <w:noProof/>
                <w:spacing w:val="0"/>
                <w:kern w:val="2"/>
                <w:sz w:val="24"/>
                <w:lang w:eastAsia="en-AU"/>
                <w14:ligatures w14:val="standardContextual"/>
              </w:rPr>
              <w:tab/>
            </w:r>
            <w:r w:rsidRPr="00492332">
              <w:rPr>
                <w:rStyle w:val="Hyperlink"/>
                <w:noProof/>
              </w:rPr>
              <w:t>Requirements for Participants undertaking a Program of Support</w:t>
            </w:r>
            <w:r>
              <w:rPr>
                <w:noProof/>
                <w:webHidden/>
              </w:rPr>
              <w:tab/>
            </w:r>
            <w:r>
              <w:rPr>
                <w:noProof/>
                <w:webHidden/>
              </w:rPr>
              <w:fldChar w:fldCharType="begin"/>
            </w:r>
            <w:r>
              <w:rPr>
                <w:noProof/>
                <w:webHidden/>
              </w:rPr>
              <w:instrText xml:space="preserve"> PAGEREF _Toc202899955 \h </w:instrText>
            </w:r>
            <w:r>
              <w:rPr>
                <w:noProof/>
                <w:webHidden/>
              </w:rPr>
            </w:r>
            <w:r>
              <w:rPr>
                <w:noProof/>
                <w:webHidden/>
              </w:rPr>
              <w:fldChar w:fldCharType="separate"/>
            </w:r>
            <w:r w:rsidR="000D75AE">
              <w:rPr>
                <w:noProof/>
                <w:webHidden/>
              </w:rPr>
              <w:t>92</w:t>
            </w:r>
            <w:r>
              <w:rPr>
                <w:noProof/>
                <w:webHidden/>
              </w:rPr>
              <w:fldChar w:fldCharType="end"/>
            </w:r>
          </w:hyperlink>
        </w:p>
        <w:p w14:paraId="7BBA4D44" w14:textId="0FD0EC89" w:rsidR="00420D51" w:rsidRDefault="00420D51">
          <w:pPr>
            <w:pStyle w:val="TOC2"/>
            <w:rPr>
              <w:rFonts w:eastAsiaTheme="minorEastAsia"/>
              <w:noProof/>
              <w:spacing w:val="0"/>
              <w:kern w:val="2"/>
              <w:sz w:val="24"/>
              <w:lang w:eastAsia="en-AU"/>
              <w14:ligatures w14:val="standardContextual"/>
            </w:rPr>
          </w:pPr>
          <w:hyperlink w:anchor="_Toc202899956" w:history="1">
            <w:r w:rsidRPr="00492332">
              <w:rPr>
                <w:rStyle w:val="Hyperlink"/>
                <w:noProof/>
              </w:rPr>
              <w:t>5.3</w:t>
            </w:r>
            <w:r>
              <w:rPr>
                <w:rFonts w:eastAsiaTheme="minorEastAsia"/>
                <w:noProof/>
                <w:spacing w:val="0"/>
                <w:kern w:val="2"/>
                <w:sz w:val="24"/>
                <w:lang w:eastAsia="en-AU"/>
                <w14:ligatures w14:val="standardContextual"/>
              </w:rPr>
              <w:tab/>
            </w:r>
            <w:r w:rsidRPr="00492332">
              <w:rPr>
                <w:rStyle w:val="Hyperlink"/>
                <w:noProof/>
              </w:rPr>
              <w:t>Provider obligations</w:t>
            </w:r>
            <w:r>
              <w:rPr>
                <w:noProof/>
                <w:webHidden/>
              </w:rPr>
              <w:tab/>
            </w:r>
            <w:r>
              <w:rPr>
                <w:noProof/>
                <w:webHidden/>
              </w:rPr>
              <w:fldChar w:fldCharType="begin"/>
            </w:r>
            <w:r>
              <w:rPr>
                <w:noProof/>
                <w:webHidden/>
              </w:rPr>
              <w:instrText xml:space="preserve"> PAGEREF _Toc202899956 \h </w:instrText>
            </w:r>
            <w:r>
              <w:rPr>
                <w:noProof/>
                <w:webHidden/>
              </w:rPr>
            </w:r>
            <w:r>
              <w:rPr>
                <w:noProof/>
                <w:webHidden/>
              </w:rPr>
              <w:fldChar w:fldCharType="separate"/>
            </w:r>
            <w:r w:rsidR="000D75AE">
              <w:rPr>
                <w:noProof/>
                <w:webHidden/>
              </w:rPr>
              <w:t>93</w:t>
            </w:r>
            <w:r>
              <w:rPr>
                <w:noProof/>
                <w:webHidden/>
              </w:rPr>
              <w:fldChar w:fldCharType="end"/>
            </w:r>
          </w:hyperlink>
        </w:p>
        <w:p w14:paraId="35332230" w14:textId="144DD805" w:rsidR="00420D51" w:rsidRDefault="00420D51">
          <w:pPr>
            <w:pStyle w:val="TOC3"/>
            <w:rPr>
              <w:rFonts w:eastAsiaTheme="minorEastAsia"/>
              <w:noProof/>
              <w:spacing w:val="0"/>
              <w:kern w:val="2"/>
              <w:sz w:val="24"/>
              <w:lang w:eastAsia="en-AU"/>
              <w14:ligatures w14:val="standardContextual"/>
            </w:rPr>
          </w:pPr>
          <w:hyperlink w:anchor="_Toc202899957" w:history="1">
            <w:r w:rsidRPr="00492332">
              <w:rPr>
                <w:rStyle w:val="Hyperlink"/>
                <w:noProof/>
              </w:rPr>
              <w:t>5.3.1</w:t>
            </w:r>
            <w:r>
              <w:rPr>
                <w:rFonts w:eastAsiaTheme="minorEastAsia"/>
                <w:noProof/>
                <w:spacing w:val="0"/>
                <w:kern w:val="2"/>
                <w:sz w:val="24"/>
                <w:lang w:eastAsia="en-AU"/>
                <w14:ligatures w14:val="standardContextual"/>
              </w:rPr>
              <w:tab/>
            </w:r>
            <w:r w:rsidRPr="00492332">
              <w:rPr>
                <w:rStyle w:val="Hyperlink"/>
                <w:noProof/>
              </w:rPr>
              <w:t>Training</w:t>
            </w:r>
            <w:r>
              <w:rPr>
                <w:noProof/>
                <w:webHidden/>
              </w:rPr>
              <w:tab/>
            </w:r>
            <w:r>
              <w:rPr>
                <w:noProof/>
                <w:webHidden/>
              </w:rPr>
              <w:fldChar w:fldCharType="begin"/>
            </w:r>
            <w:r>
              <w:rPr>
                <w:noProof/>
                <w:webHidden/>
              </w:rPr>
              <w:instrText xml:space="preserve"> PAGEREF _Toc202899957 \h </w:instrText>
            </w:r>
            <w:r>
              <w:rPr>
                <w:noProof/>
                <w:webHidden/>
              </w:rPr>
            </w:r>
            <w:r>
              <w:rPr>
                <w:noProof/>
                <w:webHidden/>
              </w:rPr>
              <w:fldChar w:fldCharType="separate"/>
            </w:r>
            <w:r w:rsidR="000D75AE">
              <w:rPr>
                <w:noProof/>
                <w:webHidden/>
              </w:rPr>
              <w:t>93</w:t>
            </w:r>
            <w:r>
              <w:rPr>
                <w:noProof/>
                <w:webHidden/>
              </w:rPr>
              <w:fldChar w:fldCharType="end"/>
            </w:r>
          </w:hyperlink>
        </w:p>
        <w:p w14:paraId="05B36847" w14:textId="723036A5" w:rsidR="00420D51" w:rsidRDefault="00420D51">
          <w:pPr>
            <w:pStyle w:val="TOC3"/>
            <w:rPr>
              <w:rFonts w:eastAsiaTheme="minorEastAsia"/>
              <w:noProof/>
              <w:spacing w:val="0"/>
              <w:kern w:val="2"/>
              <w:sz w:val="24"/>
              <w:lang w:eastAsia="en-AU"/>
              <w14:ligatures w14:val="standardContextual"/>
            </w:rPr>
          </w:pPr>
          <w:hyperlink w:anchor="_Toc202899958" w:history="1">
            <w:r w:rsidRPr="00492332">
              <w:rPr>
                <w:rStyle w:val="Hyperlink"/>
                <w:noProof/>
              </w:rPr>
              <w:t>5.3.2</w:t>
            </w:r>
            <w:r>
              <w:rPr>
                <w:rFonts w:eastAsiaTheme="minorEastAsia"/>
                <w:noProof/>
                <w:spacing w:val="0"/>
                <w:kern w:val="2"/>
                <w:sz w:val="24"/>
                <w:lang w:eastAsia="en-AU"/>
                <w14:ligatures w14:val="standardContextual"/>
              </w:rPr>
              <w:tab/>
            </w:r>
            <w:r w:rsidRPr="00492332">
              <w:rPr>
                <w:rStyle w:val="Hyperlink"/>
                <w:noProof/>
              </w:rPr>
              <w:t>Notifications to Participants of their requirements</w:t>
            </w:r>
            <w:r>
              <w:rPr>
                <w:noProof/>
                <w:webHidden/>
              </w:rPr>
              <w:tab/>
            </w:r>
            <w:r>
              <w:rPr>
                <w:noProof/>
                <w:webHidden/>
              </w:rPr>
              <w:fldChar w:fldCharType="begin"/>
            </w:r>
            <w:r>
              <w:rPr>
                <w:noProof/>
                <w:webHidden/>
              </w:rPr>
              <w:instrText xml:space="preserve"> PAGEREF _Toc202899958 \h </w:instrText>
            </w:r>
            <w:r>
              <w:rPr>
                <w:noProof/>
                <w:webHidden/>
              </w:rPr>
            </w:r>
            <w:r>
              <w:rPr>
                <w:noProof/>
                <w:webHidden/>
              </w:rPr>
              <w:fldChar w:fldCharType="separate"/>
            </w:r>
            <w:r w:rsidR="000D75AE">
              <w:rPr>
                <w:noProof/>
                <w:webHidden/>
              </w:rPr>
              <w:t>94</w:t>
            </w:r>
            <w:r>
              <w:rPr>
                <w:noProof/>
                <w:webHidden/>
              </w:rPr>
              <w:fldChar w:fldCharType="end"/>
            </w:r>
          </w:hyperlink>
        </w:p>
        <w:p w14:paraId="4EB4214B" w14:textId="5650DC47" w:rsidR="00420D51" w:rsidRDefault="00420D51">
          <w:pPr>
            <w:pStyle w:val="TOC3"/>
            <w:rPr>
              <w:rFonts w:eastAsiaTheme="minorEastAsia"/>
              <w:noProof/>
              <w:spacing w:val="0"/>
              <w:kern w:val="2"/>
              <w:sz w:val="24"/>
              <w:lang w:eastAsia="en-AU"/>
              <w14:ligatures w14:val="standardContextual"/>
            </w:rPr>
          </w:pPr>
          <w:hyperlink w:anchor="_Toc202899959" w:history="1">
            <w:r w:rsidRPr="00492332">
              <w:rPr>
                <w:rStyle w:val="Hyperlink"/>
                <w:noProof/>
              </w:rPr>
              <w:t>5.3.</w:t>
            </w:r>
            <w:r w:rsidR="006C4DBB">
              <w:rPr>
                <w:rStyle w:val="Hyperlink"/>
                <w:noProof/>
              </w:rPr>
              <w:t>3</w:t>
            </w:r>
            <w:r>
              <w:rPr>
                <w:rFonts w:eastAsiaTheme="minorEastAsia"/>
                <w:noProof/>
                <w:spacing w:val="0"/>
                <w:kern w:val="2"/>
                <w:sz w:val="24"/>
                <w:lang w:eastAsia="en-AU"/>
                <w14:ligatures w14:val="standardContextual"/>
              </w:rPr>
              <w:tab/>
            </w:r>
            <w:r w:rsidRPr="00492332">
              <w:rPr>
                <w:rStyle w:val="Hyperlink"/>
                <w:noProof/>
              </w:rPr>
              <w:t>Capturing Personal Events</w:t>
            </w:r>
            <w:r>
              <w:rPr>
                <w:noProof/>
                <w:webHidden/>
              </w:rPr>
              <w:tab/>
            </w:r>
            <w:r>
              <w:rPr>
                <w:noProof/>
                <w:webHidden/>
              </w:rPr>
              <w:fldChar w:fldCharType="begin"/>
            </w:r>
            <w:r>
              <w:rPr>
                <w:noProof/>
                <w:webHidden/>
              </w:rPr>
              <w:instrText xml:space="preserve"> PAGEREF _Toc202899959 \h </w:instrText>
            </w:r>
            <w:r>
              <w:rPr>
                <w:noProof/>
                <w:webHidden/>
              </w:rPr>
            </w:r>
            <w:r>
              <w:rPr>
                <w:noProof/>
                <w:webHidden/>
              </w:rPr>
              <w:fldChar w:fldCharType="separate"/>
            </w:r>
            <w:r w:rsidR="000D75AE">
              <w:rPr>
                <w:noProof/>
                <w:webHidden/>
              </w:rPr>
              <w:t>95</w:t>
            </w:r>
            <w:r>
              <w:rPr>
                <w:noProof/>
                <w:webHidden/>
              </w:rPr>
              <w:fldChar w:fldCharType="end"/>
            </w:r>
          </w:hyperlink>
        </w:p>
        <w:p w14:paraId="6F6E083E" w14:textId="20C0F0AB" w:rsidR="00420D51" w:rsidRDefault="00420D51">
          <w:pPr>
            <w:pStyle w:val="TOC2"/>
            <w:rPr>
              <w:rFonts w:eastAsiaTheme="minorEastAsia"/>
              <w:noProof/>
              <w:spacing w:val="0"/>
              <w:kern w:val="2"/>
              <w:sz w:val="24"/>
              <w:lang w:eastAsia="en-AU"/>
              <w14:ligatures w14:val="standardContextual"/>
            </w:rPr>
          </w:pPr>
          <w:hyperlink w:anchor="_Toc202899960" w:history="1">
            <w:r w:rsidRPr="00492332">
              <w:rPr>
                <w:rStyle w:val="Hyperlink"/>
                <w:noProof/>
              </w:rPr>
              <w:t>5.4</w:t>
            </w:r>
            <w:r>
              <w:rPr>
                <w:rFonts w:eastAsiaTheme="minorEastAsia"/>
                <w:noProof/>
                <w:spacing w:val="0"/>
                <w:kern w:val="2"/>
                <w:sz w:val="24"/>
                <w:lang w:eastAsia="en-AU"/>
                <w14:ligatures w14:val="standardContextual"/>
              </w:rPr>
              <w:tab/>
            </w:r>
            <w:r w:rsidRPr="00492332">
              <w:rPr>
                <w:rStyle w:val="Hyperlink"/>
                <w:noProof/>
              </w:rPr>
              <w:t>Capability Management Tool</w:t>
            </w:r>
            <w:r>
              <w:rPr>
                <w:noProof/>
                <w:webHidden/>
              </w:rPr>
              <w:tab/>
            </w:r>
            <w:r>
              <w:rPr>
                <w:noProof/>
                <w:webHidden/>
              </w:rPr>
              <w:fldChar w:fldCharType="begin"/>
            </w:r>
            <w:r>
              <w:rPr>
                <w:noProof/>
                <w:webHidden/>
              </w:rPr>
              <w:instrText xml:space="preserve"> PAGEREF _Toc202899960 \h </w:instrText>
            </w:r>
            <w:r>
              <w:rPr>
                <w:noProof/>
                <w:webHidden/>
              </w:rPr>
            </w:r>
            <w:r>
              <w:rPr>
                <w:noProof/>
                <w:webHidden/>
              </w:rPr>
              <w:fldChar w:fldCharType="separate"/>
            </w:r>
            <w:r w:rsidR="000D75AE">
              <w:rPr>
                <w:noProof/>
                <w:webHidden/>
              </w:rPr>
              <w:t>96</w:t>
            </w:r>
            <w:r>
              <w:rPr>
                <w:noProof/>
                <w:webHidden/>
              </w:rPr>
              <w:fldChar w:fldCharType="end"/>
            </w:r>
          </w:hyperlink>
        </w:p>
        <w:p w14:paraId="6B3F3618" w14:textId="6A54BEFD" w:rsidR="00420D51" w:rsidRDefault="00420D51">
          <w:pPr>
            <w:pStyle w:val="TOC2"/>
            <w:rPr>
              <w:rFonts w:eastAsiaTheme="minorEastAsia"/>
              <w:noProof/>
              <w:spacing w:val="0"/>
              <w:kern w:val="2"/>
              <w:sz w:val="24"/>
              <w:lang w:eastAsia="en-AU"/>
              <w14:ligatures w14:val="standardContextual"/>
            </w:rPr>
          </w:pPr>
          <w:hyperlink w:anchor="_Toc202899961" w:history="1">
            <w:r w:rsidRPr="00492332">
              <w:rPr>
                <w:rStyle w:val="Hyperlink"/>
                <w:noProof/>
              </w:rPr>
              <w:t>5.5</w:t>
            </w:r>
            <w:r>
              <w:rPr>
                <w:rFonts w:eastAsiaTheme="minorEastAsia"/>
                <w:noProof/>
                <w:spacing w:val="0"/>
                <w:kern w:val="2"/>
                <w:sz w:val="24"/>
                <w:lang w:eastAsia="en-AU"/>
                <w14:ligatures w14:val="standardContextual"/>
              </w:rPr>
              <w:tab/>
            </w:r>
            <w:r w:rsidRPr="00492332">
              <w:rPr>
                <w:rStyle w:val="Hyperlink"/>
                <w:noProof/>
              </w:rPr>
              <w:t>Meaningful Engagement Requirement</w:t>
            </w:r>
            <w:r>
              <w:rPr>
                <w:noProof/>
                <w:webHidden/>
              </w:rPr>
              <w:tab/>
            </w:r>
            <w:r>
              <w:rPr>
                <w:noProof/>
                <w:webHidden/>
              </w:rPr>
              <w:fldChar w:fldCharType="begin"/>
            </w:r>
            <w:r>
              <w:rPr>
                <w:noProof/>
                <w:webHidden/>
              </w:rPr>
              <w:instrText xml:space="preserve"> PAGEREF _Toc202899961 \h </w:instrText>
            </w:r>
            <w:r>
              <w:rPr>
                <w:noProof/>
                <w:webHidden/>
              </w:rPr>
            </w:r>
            <w:r>
              <w:rPr>
                <w:noProof/>
                <w:webHidden/>
              </w:rPr>
              <w:fldChar w:fldCharType="separate"/>
            </w:r>
            <w:r w:rsidR="000D75AE">
              <w:rPr>
                <w:noProof/>
                <w:webHidden/>
              </w:rPr>
              <w:t>96</w:t>
            </w:r>
            <w:r>
              <w:rPr>
                <w:noProof/>
                <w:webHidden/>
              </w:rPr>
              <w:fldChar w:fldCharType="end"/>
            </w:r>
          </w:hyperlink>
        </w:p>
        <w:p w14:paraId="730B356B" w14:textId="33FB5687" w:rsidR="00420D51" w:rsidRDefault="00420D51">
          <w:pPr>
            <w:pStyle w:val="TOC3"/>
            <w:rPr>
              <w:rFonts w:eastAsiaTheme="minorEastAsia"/>
              <w:noProof/>
              <w:spacing w:val="0"/>
              <w:kern w:val="2"/>
              <w:sz w:val="24"/>
              <w:lang w:eastAsia="en-AU"/>
              <w14:ligatures w14:val="standardContextual"/>
            </w:rPr>
          </w:pPr>
          <w:hyperlink w:anchor="_Toc202899962" w:history="1">
            <w:r w:rsidRPr="00492332">
              <w:rPr>
                <w:rStyle w:val="Hyperlink"/>
                <w:noProof/>
              </w:rPr>
              <w:t>5.5.1</w:t>
            </w:r>
            <w:r>
              <w:rPr>
                <w:rFonts w:eastAsiaTheme="minorEastAsia"/>
                <w:noProof/>
                <w:spacing w:val="0"/>
                <w:kern w:val="2"/>
                <w:sz w:val="24"/>
                <w:lang w:eastAsia="en-AU"/>
                <w14:ligatures w14:val="standardContextual"/>
              </w:rPr>
              <w:tab/>
            </w:r>
            <w:r w:rsidRPr="00492332">
              <w:rPr>
                <w:rStyle w:val="Hyperlink"/>
                <w:noProof/>
              </w:rPr>
              <w:t>Arrangements for Participants with Mutual Obligation Requirements</w:t>
            </w:r>
            <w:r>
              <w:rPr>
                <w:noProof/>
                <w:webHidden/>
              </w:rPr>
              <w:tab/>
            </w:r>
            <w:r>
              <w:rPr>
                <w:noProof/>
                <w:webHidden/>
              </w:rPr>
              <w:fldChar w:fldCharType="begin"/>
            </w:r>
            <w:r>
              <w:rPr>
                <w:noProof/>
                <w:webHidden/>
              </w:rPr>
              <w:instrText xml:space="preserve"> PAGEREF _Toc202899962 \h </w:instrText>
            </w:r>
            <w:r>
              <w:rPr>
                <w:noProof/>
                <w:webHidden/>
              </w:rPr>
            </w:r>
            <w:r>
              <w:rPr>
                <w:noProof/>
                <w:webHidden/>
              </w:rPr>
              <w:fldChar w:fldCharType="separate"/>
            </w:r>
            <w:r w:rsidR="000D75AE">
              <w:rPr>
                <w:noProof/>
                <w:webHidden/>
              </w:rPr>
              <w:t>98</w:t>
            </w:r>
            <w:r>
              <w:rPr>
                <w:noProof/>
                <w:webHidden/>
              </w:rPr>
              <w:fldChar w:fldCharType="end"/>
            </w:r>
          </w:hyperlink>
        </w:p>
        <w:p w14:paraId="100D5012" w14:textId="49DA7A29" w:rsidR="00420D51" w:rsidRDefault="00420D51">
          <w:pPr>
            <w:pStyle w:val="TOC3"/>
            <w:rPr>
              <w:rFonts w:eastAsiaTheme="minorEastAsia"/>
              <w:noProof/>
              <w:spacing w:val="0"/>
              <w:kern w:val="2"/>
              <w:sz w:val="24"/>
              <w:lang w:eastAsia="en-AU"/>
              <w14:ligatures w14:val="standardContextual"/>
            </w:rPr>
          </w:pPr>
          <w:hyperlink w:anchor="_Toc202899963" w:history="1">
            <w:r w:rsidRPr="00492332">
              <w:rPr>
                <w:rStyle w:val="Hyperlink"/>
                <w:noProof/>
              </w:rPr>
              <w:t>5.5.2</w:t>
            </w:r>
            <w:r>
              <w:rPr>
                <w:rFonts w:eastAsiaTheme="minorEastAsia"/>
                <w:noProof/>
                <w:spacing w:val="0"/>
                <w:kern w:val="2"/>
                <w:sz w:val="24"/>
                <w:lang w:eastAsia="en-AU"/>
                <w14:ligatures w14:val="standardContextual"/>
              </w:rPr>
              <w:tab/>
            </w:r>
            <w:r w:rsidRPr="00492332">
              <w:rPr>
                <w:rStyle w:val="Hyperlink"/>
                <w:noProof/>
              </w:rPr>
              <w:t>Arrangements for DSP Recipients with compulsory participation requirements</w:t>
            </w:r>
            <w:r>
              <w:rPr>
                <w:noProof/>
                <w:webHidden/>
              </w:rPr>
              <w:tab/>
            </w:r>
            <w:r>
              <w:rPr>
                <w:noProof/>
                <w:webHidden/>
              </w:rPr>
              <w:fldChar w:fldCharType="begin"/>
            </w:r>
            <w:r>
              <w:rPr>
                <w:noProof/>
                <w:webHidden/>
              </w:rPr>
              <w:instrText xml:space="preserve"> PAGEREF _Toc202899963 \h </w:instrText>
            </w:r>
            <w:r>
              <w:rPr>
                <w:noProof/>
                <w:webHidden/>
              </w:rPr>
            </w:r>
            <w:r>
              <w:rPr>
                <w:noProof/>
                <w:webHidden/>
              </w:rPr>
              <w:fldChar w:fldCharType="separate"/>
            </w:r>
            <w:r w:rsidR="000D75AE">
              <w:rPr>
                <w:noProof/>
                <w:webHidden/>
              </w:rPr>
              <w:t>98</w:t>
            </w:r>
            <w:r>
              <w:rPr>
                <w:noProof/>
                <w:webHidden/>
              </w:rPr>
              <w:fldChar w:fldCharType="end"/>
            </w:r>
          </w:hyperlink>
        </w:p>
        <w:p w14:paraId="69C5824D" w14:textId="61464E17" w:rsidR="00420D51" w:rsidRDefault="00420D51">
          <w:pPr>
            <w:pStyle w:val="TOC3"/>
            <w:rPr>
              <w:rFonts w:eastAsiaTheme="minorEastAsia"/>
              <w:noProof/>
              <w:spacing w:val="0"/>
              <w:kern w:val="2"/>
              <w:sz w:val="24"/>
              <w:lang w:eastAsia="en-AU"/>
              <w14:ligatures w14:val="standardContextual"/>
            </w:rPr>
          </w:pPr>
          <w:hyperlink w:anchor="_Toc202899964" w:history="1">
            <w:r w:rsidRPr="00492332">
              <w:rPr>
                <w:rStyle w:val="Hyperlink"/>
                <w:noProof/>
              </w:rPr>
              <w:t>5.5.3</w:t>
            </w:r>
            <w:r>
              <w:rPr>
                <w:rFonts w:eastAsiaTheme="minorEastAsia"/>
                <w:noProof/>
                <w:spacing w:val="0"/>
                <w:kern w:val="2"/>
                <w:sz w:val="24"/>
                <w:lang w:eastAsia="en-AU"/>
                <w14:ligatures w14:val="standardContextual"/>
              </w:rPr>
              <w:tab/>
            </w:r>
            <w:r w:rsidRPr="00492332">
              <w:rPr>
                <w:rStyle w:val="Hyperlink"/>
                <w:noProof/>
              </w:rPr>
              <w:t>Arrangements for Participants (Voluntary)</w:t>
            </w:r>
            <w:r>
              <w:rPr>
                <w:noProof/>
                <w:webHidden/>
              </w:rPr>
              <w:tab/>
            </w:r>
            <w:r>
              <w:rPr>
                <w:noProof/>
                <w:webHidden/>
              </w:rPr>
              <w:fldChar w:fldCharType="begin"/>
            </w:r>
            <w:r>
              <w:rPr>
                <w:noProof/>
                <w:webHidden/>
              </w:rPr>
              <w:instrText xml:space="preserve"> PAGEREF _Toc202899964 \h </w:instrText>
            </w:r>
            <w:r>
              <w:rPr>
                <w:noProof/>
                <w:webHidden/>
              </w:rPr>
            </w:r>
            <w:r>
              <w:rPr>
                <w:noProof/>
                <w:webHidden/>
              </w:rPr>
              <w:fldChar w:fldCharType="separate"/>
            </w:r>
            <w:r w:rsidR="000D75AE">
              <w:rPr>
                <w:noProof/>
                <w:webHidden/>
              </w:rPr>
              <w:t>99</w:t>
            </w:r>
            <w:r>
              <w:rPr>
                <w:noProof/>
                <w:webHidden/>
              </w:rPr>
              <w:fldChar w:fldCharType="end"/>
            </w:r>
          </w:hyperlink>
        </w:p>
        <w:p w14:paraId="5924B3EA" w14:textId="15D5C66A" w:rsidR="00420D51" w:rsidRDefault="00420D51">
          <w:pPr>
            <w:pStyle w:val="TOC3"/>
            <w:rPr>
              <w:rFonts w:eastAsiaTheme="minorEastAsia"/>
              <w:noProof/>
              <w:spacing w:val="0"/>
              <w:kern w:val="2"/>
              <w:sz w:val="24"/>
              <w:lang w:eastAsia="en-AU"/>
              <w14:ligatures w14:val="standardContextual"/>
            </w:rPr>
          </w:pPr>
          <w:hyperlink w:anchor="_Toc202899965" w:history="1">
            <w:r w:rsidRPr="00492332">
              <w:rPr>
                <w:rStyle w:val="Hyperlink"/>
                <w:noProof/>
              </w:rPr>
              <w:t>5.5.4</w:t>
            </w:r>
            <w:r>
              <w:rPr>
                <w:rFonts w:eastAsiaTheme="minorEastAsia"/>
                <w:noProof/>
                <w:spacing w:val="0"/>
                <w:kern w:val="2"/>
                <w:sz w:val="24"/>
                <w:lang w:eastAsia="en-AU"/>
                <w14:ligatures w14:val="standardContextual"/>
              </w:rPr>
              <w:tab/>
            </w:r>
            <w:r w:rsidRPr="00492332">
              <w:rPr>
                <w:rStyle w:val="Hyperlink"/>
                <w:noProof/>
              </w:rPr>
              <w:t>Determining if a Participant is meeting the Meaningful Engagement Requirement</w:t>
            </w:r>
            <w:r>
              <w:rPr>
                <w:noProof/>
                <w:webHidden/>
              </w:rPr>
              <w:tab/>
            </w:r>
            <w:r>
              <w:rPr>
                <w:noProof/>
                <w:webHidden/>
              </w:rPr>
              <w:fldChar w:fldCharType="begin"/>
            </w:r>
            <w:r>
              <w:rPr>
                <w:noProof/>
                <w:webHidden/>
              </w:rPr>
              <w:instrText xml:space="preserve"> PAGEREF _Toc202899965 \h </w:instrText>
            </w:r>
            <w:r>
              <w:rPr>
                <w:noProof/>
                <w:webHidden/>
              </w:rPr>
            </w:r>
            <w:r>
              <w:rPr>
                <w:noProof/>
                <w:webHidden/>
              </w:rPr>
              <w:fldChar w:fldCharType="separate"/>
            </w:r>
            <w:r w:rsidR="000D75AE">
              <w:rPr>
                <w:noProof/>
                <w:webHidden/>
              </w:rPr>
              <w:t>99</w:t>
            </w:r>
            <w:r>
              <w:rPr>
                <w:noProof/>
                <w:webHidden/>
              </w:rPr>
              <w:fldChar w:fldCharType="end"/>
            </w:r>
          </w:hyperlink>
        </w:p>
        <w:p w14:paraId="70170015" w14:textId="6DD32294" w:rsidR="00420D51" w:rsidRDefault="00420D51">
          <w:pPr>
            <w:pStyle w:val="TOC2"/>
            <w:rPr>
              <w:rFonts w:eastAsiaTheme="minorEastAsia"/>
              <w:noProof/>
              <w:spacing w:val="0"/>
              <w:kern w:val="2"/>
              <w:sz w:val="24"/>
              <w:lang w:eastAsia="en-AU"/>
              <w14:ligatures w14:val="standardContextual"/>
            </w:rPr>
          </w:pPr>
          <w:hyperlink w:anchor="_Toc202899966" w:history="1">
            <w:r w:rsidRPr="00492332">
              <w:rPr>
                <w:rStyle w:val="Hyperlink"/>
                <w:noProof/>
              </w:rPr>
              <w:t>5.6</w:t>
            </w:r>
            <w:r>
              <w:rPr>
                <w:rFonts w:eastAsiaTheme="minorEastAsia"/>
                <w:noProof/>
                <w:spacing w:val="0"/>
                <w:kern w:val="2"/>
                <w:sz w:val="24"/>
                <w:lang w:eastAsia="en-AU"/>
                <w14:ligatures w14:val="standardContextual"/>
              </w:rPr>
              <w:tab/>
            </w:r>
            <w:r w:rsidRPr="00492332">
              <w:rPr>
                <w:rStyle w:val="Hyperlink"/>
                <w:noProof/>
              </w:rPr>
              <w:t>Attendance-based Engagement</w:t>
            </w:r>
            <w:r>
              <w:rPr>
                <w:noProof/>
                <w:webHidden/>
              </w:rPr>
              <w:tab/>
            </w:r>
            <w:r>
              <w:rPr>
                <w:noProof/>
                <w:webHidden/>
              </w:rPr>
              <w:fldChar w:fldCharType="begin"/>
            </w:r>
            <w:r>
              <w:rPr>
                <w:noProof/>
                <w:webHidden/>
              </w:rPr>
              <w:instrText xml:space="preserve"> PAGEREF _Toc202899966 \h </w:instrText>
            </w:r>
            <w:r>
              <w:rPr>
                <w:noProof/>
                <w:webHidden/>
              </w:rPr>
            </w:r>
            <w:r>
              <w:rPr>
                <w:noProof/>
                <w:webHidden/>
              </w:rPr>
              <w:fldChar w:fldCharType="separate"/>
            </w:r>
            <w:r w:rsidR="000D75AE">
              <w:rPr>
                <w:noProof/>
                <w:webHidden/>
              </w:rPr>
              <w:t>101</w:t>
            </w:r>
            <w:r>
              <w:rPr>
                <w:noProof/>
                <w:webHidden/>
              </w:rPr>
              <w:fldChar w:fldCharType="end"/>
            </w:r>
          </w:hyperlink>
        </w:p>
        <w:p w14:paraId="3D6B0AEF" w14:textId="2E1AADBE" w:rsidR="00420D51" w:rsidRDefault="00420D51">
          <w:pPr>
            <w:pStyle w:val="TOC3"/>
            <w:rPr>
              <w:rFonts w:eastAsiaTheme="minorEastAsia"/>
              <w:noProof/>
              <w:spacing w:val="0"/>
              <w:kern w:val="2"/>
              <w:sz w:val="24"/>
              <w:lang w:eastAsia="en-AU"/>
              <w14:ligatures w14:val="standardContextual"/>
            </w:rPr>
          </w:pPr>
          <w:hyperlink w:anchor="_Toc202899967" w:history="1">
            <w:r w:rsidRPr="00492332">
              <w:rPr>
                <w:rStyle w:val="Hyperlink"/>
                <w:noProof/>
              </w:rPr>
              <w:t>5.6.1</w:t>
            </w:r>
            <w:r>
              <w:rPr>
                <w:rFonts w:eastAsiaTheme="minorEastAsia"/>
                <w:noProof/>
                <w:spacing w:val="0"/>
                <w:kern w:val="2"/>
                <w:sz w:val="24"/>
                <w:lang w:eastAsia="en-AU"/>
                <w14:ligatures w14:val="standardContextual"/>
              </w:rPr>
              <w:tab/>
            </w:r>
            <w:r w:rsidRPr="00492332">
              <w:rPr>
                <w:rStyle w:val="Hyperlink"/>
                <w:noProof/>
              </w:rPr>
              <w:t>Appointments</w:t>
            </w:r>
            <w:r>
              <w:rPr>
                <w:noProof/>
                <w:webHidden/>
              </w:rPr>
              <w:tab/>
            </w:r>
            <w:r>
              <w:rPr>
                <w:noProof/>
                <w:webHidden/>
              </w:rPr>
              <w:fldChar w:fldCharType="begin"/>
            </w:r>
            <w:r>
              <w:rPr>
                <w:noProof/>
                <w:webHidden/>
              </w:rPr>
              <w:instrText xml:space="preserve"> PAGEREF _Toc202899967 \h </w:instrText>
            </w:r>
            <w:r>
              <w:rPr>
                <w:noProof/>
                <w:webHidden/>
              </w:rPr>
            </w:r>
            <w:r>
              <w:rPr>
                <w:noProof/>
                <w:webHidden/>
              </w:rPr>
              <w:fldChar w:fldCharType="separate"/>
            </w:r>
            <w:r w:rsidR="000D75AE">
              <w:rPr>
                <w:noProof/>
                <w:webHidden/>
              </w:rPr>
              <w:t>101</w:t>
            </w:r>
            <w:r>
              <w:rPr>
                <w:noProof/>
                <w:webHidden/>
              </w:rPr>
              <w:fldChar w:fldCharType="end"/>
            </w:r>
          </w:hyperlink>
        </w:p>
        <w:p w14:paraId="4E8F3C7A" w14:textId="3CAEF6C0" w:rsidR="00420D51" w:rsidRDefault="00420D51">
          <w:pPr>
            <w:pStyle w:val="TOC3"/>
            <w:rPr>
              <w:rFonts w:eastAsiaTheme="minorEastAsia"/>
              <w:noProof/>
              <w:spacing w:val="0"/>
              <w:kern w:val="2"/>
              <w:sz w:val="24"/>
              <w:lang w:eastAsia="en-AU"/>
              <w14:ligatures w14:val="standardContextual"/>
            </w:rPr>
          </w:pPr>
          <w:hyperlink w:anchor="_Toc202899968" w:history="1">
            <w:r w:rsidRPr="00492332">
              <w:rPr>
                <w:rStyle w:val="Hyperlink"/>
                <w:noProof/>
              </w:rPr>
              <w:t>5.6.2</w:t>
            </w:r>
            <w:r>
              <w:rPr>
                <w:rFonts w:eastAsiaTheme="minorEastAsia"/>
                <w:noProof/>
                <w:spacing w:val="0"/>
                <w:kern w:val="2"/>
                <w:sz w:val="24"/>
                <w:lang w:eastAsia="en-AU"/>
                <w14:ligatures w14:val="standardContextual"/>
              </w:rPr>
              <w:tab/>
            </w:r>
            <w:r w:rsidRPr="00492332">
              <w:rPr>
                <w:rStyle w:val="Hyperlink"/>
                <w:noProof/>
              </w:rPr>
              <w:t>Activities</w:t>
            </w:r>
            <w:r>
              <w:rPr>
                <w:noProof/>
                <w:webHidden/>
              </w:rPr>
              <w:tab/>
            </w:r>
            <w:r>
              <w:rPr>
                <w:noProof/>
                <w:webHidden/>
              </w:rPr>
              <w:fldChar w:fldCharType="begin"/>
            </w:r>
            <w:r>
              <w:rPr>
                <w:noProof/>
                <w:webHidden/>
              </w:rPr>
              <w:instrText xml:space="preserve"> PAGEREF _Toc202899968 \h </w:instrText>
            </w:r>
            <w:r>
              <w:rPr>
                <w:noProof/>
                <w:webHidden/>
              </w:rPr>
            </w:r>
            <w:r>
              <w:rPr>
                <w:noProof/>
                <w:webHidden/>
              </w:rPr>
              <w:fldChar w:fldCharType="separate"/>
            </w:r>
            <w:r w:rsidR="000D75AE">
              <w:rPr>
                <w:noProof/>
                <w:webHidden/>
              </w:rPr>
              <w:t>103</w:t>
            </w:r>
            <w:r>
              <w:rPr>
                <w:noProof/>
                <w:webHidden/>
              </w:rPr>
              <w:fldChar w:fldCharType="end"/>
            </w:r>
          </w:hyperlink>
        </w:p>
        <w:p w14:paraId="6810035D" w14:textId="162EDDD7" w:rsidR="00420D51" w:rsidRDefault="00420D51">
          <w:pPr>
            <w:pStyle w:val="TOC2"/>
            <w:rPr>
              <w:rFonts w:eastAsiaTheme="minorEastAsia"/>
              <w:noProof/>
              <w:spacing w:val="0"/>
              <w:kern w:val="2"/>
              <w:sz w:val="24"/>
              <w:lang w:eastAsia="en-AU"/>
              <w14:ligatures w14:val="standardContextual"/>
            </w:rPr>
          </w:pPr>
          <w:hyperlink w:anchor="_Toc202899969" w:history="1">
            <w:r w:rsidRPr="00492332">
              <w:rPr>
                <w:rStyle w:val="Hyperlink"/>
                <w:noProof/>
              </w:rPr>
              <w:t>5.7</w:t>
            </w:r>
            <w:r>
              <w:rPr>
                <w:rFonts w:eastAsiaTheme="minorEastAsia"/>
                <w:noProof/>
                <w:spacing w:val="0"/>
                <w:kern w:val="2"/>
                <w:sz w:val="24"/>
                <w:lang w:eastAsia="en-AU"/>
                <w14:ligatures w14:val="standardContextual"/>
              </w:rPr>
              <w:tab/>
            </w:r>
            <w:r w:rsidRPr="00492332">
              <w:rPr>
                <w:rStyle w:val="Hyperlink"/>
                <w:noProof/>
              </w:rPr>
              <w:t>Job Search</w:t>
            </w:r>
            <w:r>
              <w:rPr>
                <w:noProof/>
                <w:webHidden/>
              </w:rPr>
              <w:tab/>
            </w:r>
            <w:r>
              <w:rPr>
                <w:noProof/>
                <w:webHidden/>
              </w:rPr>
              <w:fldChar w:fldCharType="begin"/>
            </w:r>
            <w:r>
              <w:rPr>
                <w:noProof/>
                <w:webHidden/>
              </w:rPr>
              <w:instrText xml:space="preserve"> PAGEREF _Toc202899969 \h </w:instrText>
            </w:r>
            <w:r>
              <w:rPr>
                <w:noProof/>
                <w:webHidden/>
              </w:rPr>
            </w:r>
            <w:r>
              <w:rPr>
                <w:noProof/>
                <w:webHidden/>
              </w:rPr>
              <w:fldChar w:fldCharType="separate"/>
            </w:r>
            <w:r w:rsidR="000D75AE">
              <w:rPr>
                <w:noProof/>
                <w:webHidden/>
              </w:rPr>
              <w:t>104</w:t>
            </w:r>
            <w:r>
              <w:rPr>
                <w:noProof/>
                <w:webHidden/>
              </w:rPr>
              <w:fldChar w:fldCharType="end"/>
            </w:r>
          </w:hyperlink>
        </w:p>
        <w:p w14:paraId="495DE7F8" w14:textId="421CB2A9" w:rsidR="00420D51" w:rsidRDefault="00420D51">
          <w:pPr>
            <w:pStyle w:val="TOC3"/>
            <w:rPr>
              <w:rFonts w:eastAsiaTheme="minorEastAsia"/>
              <w:noProof/>
              <w:spacing w:val="0"/>
              <w:kern w:val="2"/>
              <w:sz w:val="24"/>
              <w:lang w:eastAsia="en-AU"/>
              <w14:ligatures w14:val="standardContextual"/>
            </w:rPr>
          </w:pPr>
          <w:hyperlink w:anchor="_Toc202899970" w:history="1">
            <w:r w:rsidRPr="00492332">
              <w:rPr>
                <w:rStyle w:val="Hyperlink"/>
                <w:noProof/>
              </w:rPr>
              <w:t>5.7.1</w:t>
            </w:r>
            <w:r>
              <w:rPr>
                <w:rFonts w:eastAsiaTheme="minorEastAsia"/>
                <w:noProof/>
                <w:spacing w:val="0"/>
                <w:kern w:val="2"/>
                <w:sz w:val="24"/>
                <w:lang w:eastAsia="en-AU"/>
                <w14:ligatures w14:val="standardContextual"/>
              </w:rPr>
              <w:tab/>
            </w:r>
            <w:r w:rsidRPr="00492332">
              <w:rPr>
                <w:rStyle w:val="Hyperlink"/>
                <w:noProof/>
              </w:rPr>
              <w:t>General considerations when setting a Job Search Requirement</w:t>
            </w:r>
            <w:r>
              <w:rPr>
                <w:noProof/>
                <w:webHidden/>
              </w:rPr>
              <w:tab/>
            </w:r>
            <w:r>
              <w:rPr>
                <w:noProof/>
                <w:webHidden/>
              </w:rPr>
              <w:fldChar w:fldCharType="begin"/>
            </w:r>
            <w:r>
              <w:rPr>
                <w:noProof/>
                <w:webHidden/>
              </w:rPr>
              <w:instrText xml:space="preserve"> PAGEREF _Toc202899970 \h </w:instrText>
            </w:r>
            <w:r>
              <w:rPr>
                <w:noProof/>
                <w:webHidden/>
              </w:rPr>
            </w:r>
            <w:r>
              <w:rPr>
                <w:noProof/>
                <w:webHidden/>
              </w:rPr>
              <w:fldChar w:fldCharType="separate"/>
            </w:r>
            <w:r w:rsidR="000D75AE">
              <w:rPr>
                <w:noProof/>
                <w:webHidden/>
              </w:rPr>
              <w:t>104</w:t>
            </w:r>
            <w:r>
              <w:rPr>
                <w:noProof/>
                <w:webHidden/>
              </w:rPr>
              <w:fldChar w:fldCharType="end"/>
            </w:r>
          </w:hyperlink>
        </w:p>
        <w:p w14:paraId="3298DF20" w14:textId="2EB2A269" w:rsidR="00420D51" w:rsidRDefault="00420D51">
          <w:pPr>
            <w:pStyle w:val="TOC3"/>
            <w:rPr>
              <w:rFonts w:eastAsiaTheme="minorEastAsia"/>
              <w:noProof/>
              <w:spacing w:val="0"/>
              <w:kern w:val="2"/>
              <w:sz w:val="24"/>
              <w:lang w:eastAsia="en-AU"/>
              <w14:ligatures w14:val="standardContextual"/>
            </w:rPr>
          </w:pPr>
          <w:hyperlink w:anchor="_Toc202899971" w:history="1">
            <w:r w:rsidRPr="00492332">
              <w:rPr>
                <w:rStyle w:val="Hyperlink"/>
                <w:noProof/>
              </w:rPr>
              <w:t>5.7.2</w:t>
            </w:r>
            <w:r>
              <w:rPr>
                <w:rFonts w:eastAsiaTheme="minorEastAsia"/>
                <w:noProof/>
                <w:spacing w:val="0"/>
                <w:kern w:val="2"/>
                <w:sz w:val="24"/>
                <w:lang w:eastAsia="en-AU"/>
                <w14:ligatures w14:val="standardContextual"/>
              </w:rPr>
              <w:tab/>
            </w:r>
            <w:r w:rsidRPr="00492332">
              <w:rPr>
                <w:rStyle w:val="Hyperlink"/>
                <w:noProof/>
              </w:rPr>
              <w:t>Arrangements for Participants (Mutual Obligation)</w:t>
            </w:r>
            <w:r>
              <w:rPr>
                <w:noProof/>
                <w:webHidden/>
              </w:rPr>
              <w:tab/>
            </w:r>
            <w:r>
              <w:rPr>
                <w:noProof/>
                <w:webHidden/>
              </w:rPr>
              <w:fldChar w:fldCharType="begin"/>
            </w:r>
            <w:r>
              <w:rPr>
                <w:noProof/>
                <w:webHidden/>
              </w:rPr>
              <w:instrText xml:space="preserve"> PAGEREF _Toc202899971 \h </w:instrText>
            </w:r>
            <w:r>
              <w:rPr>
                <w:noProof/>
                <w:webHidden/>
              </w:rPr>
            </w:r>
            <w:r>
              <w:rPr>
                <w:noProof/>
                <w:webHidden/>
              </w:rPr>
              <w:fldChar w:fldCharType="separate"/>
            </w:r>
            <w:r w:rsidR="000D75AE">
              <w:rPr>
                <w:noProof/>
                <w:webHidden/>
              </w:rPr>
              <w:t>108</w:t>
            </w:r>
            <w:r>
              <w:rPr>
                <w:noProof/>
                <w:webHidden/>
              </w:rPr>
              <w:fldChar w:fldCharType="end"/>
            </w:r>
          </w:hyperlink>
        </w:p>
        <w:p w14:paraId="2DB493C9" w14:textId="15664EC5" w:rsidR="00420D51" w:rsidRDefault="00420D51">
          <w:pPr>
            <w:pStyle w:val="TOC3"/>
            <w:rPr>
              <w:rFonts w:eastAsiaTheme="minorEastAsia"/>
              <w:noProof/>
              <w:spacing w:val="0"/>
              <w:kern w:val="2"/>
              <w:sz w:val="24"/>
              <w:lang w:eastAsia="en-AU"/>
              <w14:ligatures w14:val="standardContextual"/>
            </w:rPr>
          </w:pPr>
          <w:hyperlink w:anchor="_Toc202899972" w:history="1">
            <w:r w:rsidRPr="00492332">
              <w:rPr>
                <w:rStyle w:val="Hyperlink"/>
                <w:noProof/>
              </w:rPr>
              <w:t>5.7.3</w:t>
            </w:r>
            <w:r>
              <w:rPr>
                <w:rFonts w:eastAsiaTheme="minorEastAsia"/>
                <w:noProof/>
                <w:spacing w:val="0"/>
                <w:kern w:val="2"/>
                <w:sz w:val="24"/>
                <w:lang w:eastAsia="en-AU"/>
                <w14:ligatures w14:val="standardContextual"/>
              </w:rPr>
              <w:tab/>
            </w:r>
            <w:r w:rsidRPr="00492332">
              <w:rPr>
                <w:rStyle w:val="Hyperlink"/>
                <w:noProof/>
              </w:rPr>
              <w:t>Arrangements for DSP Recipients (Compulsory Requirement)</w:t>
            </w:r>
            <w:r>
              <w:rPr>
                <w:noProof/>
                <w:webHidden/>
              </w:rPr>
              <w:tab/>
            </w:r>
            <w:r>
              <w:rPr>
                <w:noProof/>
                <w:webHidden/>
              </w:rPr>
              <w:fldChar w:fldCharType="begin"/>
            </w:r>
            <w:r>
              <w:rPr>
                <w:noProof/>
                <w:webHidden/>
              </w:rPr>
              <w:instrText xml:space="preserve"> PAGEREF _Toc202899972 \h </w:instrText>
            </w:r>
            <w:r>
              <w:rPr>
                <w:noProof/>
                <w:webHidden/>
              </w:rPr>
            </w:r>
            <w:r>
              <w:rPr>
                <w:noProof/>
                <w:webHidden/>
              </w:rPr>
              <w:fldChar w:fldCharType="separate"/>
            </w:r>
            <w:r w:rsidR="000D75AE">
              <w:rPr>
                <w:noProof/>
                <w:webHidden/>
              </w:rPr>
              <w:t>110</w:t>
            </w:r>
            <w:r>
              <w:rPr>
                <w:noProof/>
                <w:webHidden/>
              </w:rPr>
              <w:fldChar w:fldCharType="end"/>
            </w:r>
          </w:hyperlink>
        </w:p>
        <w:p w14:paraId="0396529A" w14:textId="5993EFD9" w:rsidR="00420D51" w:rsidRDefault="00420D51">
          <w:pPr>
            <w:pStyle w:val="TOC2"/>
            <w:rPr>
              <w:rFonts w:eastAsiaTheme="minorEastAsia"/>
              <w:noProof/>
              <w:spacing w:val="0"/>
              <w:kern w:val="2"/>
              <w:sz w:val="24"/>
              <w:lang w:eastAsia="en-AU"/>
              <w14:ligatures w14:val="standardContextual"/>
            </w:rPr>
          </w:pPr>
          <w:hyperlink w:anchor="_Toc202899973" w:history="1">
            <w:r w:rsidRPr="00492332">
              <w:rPr>
                <w:rStyle w:val="Hyperlink"/>
                <w:noProof/>
              </w:rPr>
              <w:t>5.8</w:t>
            </w:r>
            <w:r>
              <w:rPr>
                <w:rFonts w:eastAsiaTheme="minorEastAsia"/>
                <w:noProof/>
                <w:spacing w:val="0"/>
                <w:kern w:val="2"/>
                <w:sz w:val="24"/>
                <w:lang w:eastAsia="en-AU"/>
                <w14:ligatures w14:val="standardContextual"/>
              </w:rPr>
              <w:tab/>
            </w:r>
            <w:r w:rsidRPr="00492332">
              <w:rPr>
                <w:rStyle w:val="Hyperlink"/>
                <w:noProof/>
              </w:rPr>
              <w:t>Job Interviews</w:t>
            </w:r>
            <w:r>
              <w:rPr>
                <w:noProof/>
                <w:webHidden/>
              </w:rPr>
              <w:tab/>
            </w:r>
            <w:r>
              <w:rPr>
                <w:noProof/>
                <w:webHidden/>
              </w:rPr>
              <w:fldChar w:fldCharType="begin"/>
            </w:r>
            <w:r>
              <w:rPr>
                <w:noProof/>
                <w:webHidden/>
              </w:rPr>
              <w:instrText xml:space="preserve"> PAGEREF _Toc202899973 \h </w:instrText>
            </w:r>
            <w:r>
              <w:rPr>
                <w:noProof/>
                <w:webHidden/>
              </w:rPr>
            </w:r>
            <w:r>
              <w:rPr>
                <w:noProof/>
                <w:webHidden/>
              </w:rPr>
              <w:fldChar w:fldCharType="separate"/>
            </w:r>
            <w:r w:rsidR="000D75AE">
              <w:rPr>
                <w:noProof/>
                <w:webHidden/>
              </w:rPr>
              <w:t>110</w:t>
            </w:r>
            <w:r>
              <w:rPr>
                <w:noProof/>
                <w:webHidden/>
              </w:rPr>
              <w:fldChar w:fldCharType="end"/>
            </w:r>
          </w:hyperlink>
        </w:p>
        <w:p w14:paraId="38EB837C" w14:textId="6ACD0BD9" w:rsidR="00420D51" w:rsidRDefault="00420D51">
          <w:pPr>
            <w:pStyle w:val="TOC2"/>
            <w:rPr>
              <w:rFonts w:eastAsiaTheme="minorEastAsia"/>
              <w:noProof/>
              <w:spacing w:val="0"/>
              <w:kern w:val="2"/>
              <w:sz w:val="24"/>
              <w:lang w:eastAsia="en-AU"/>
              <w14:ligatures w14:val="standardContextual"/>
            </w:rPr>
          </w:pPr>
          <w:hyperlink w:anchor="_Toc202899974" w:history="1">
            <w:r w:rsidRPr="00492332">
              <w:rPr>
                <w:rStyle w:val="Hyperlink"/>
                <w:noProof/>
              </w:rPr>
              <w:t>5.9</w:t>
            </w:r>
            <w:r>
              <w:rPr>
                <w:rFonts w:eastAsiaTheme="minorEastAsia"/>
                <w:noProof/>
                <w:spacing w:val="0"/>
                <w:kern w:val="2"/>
                <w:sz w:val="24"/>
                <w:lang w:eastAsia="en-AU"/>
                <w14:ligatures w14:val="standardContextual"/>
              </w:rPr>
              <w:tab/>
            </w:r>
            <w:r w:rsidRPr="00492332">
              <w:rPr>
                <w:rStyle w:val="Hyperlink"/>
                <w:noProof/>
              </w:rPr>
              <w:t>Job Referrals</w:t>
            </w:r>
            <w:r>
              <w:rPr>
                <w:noProof/>
                <w:webHidden/>
              </w:rPr>
              <w:tab/>
            </w:r>
            <w:r>
              <w:rPr>
                <w:noProof/>
                <w:webHidden/>
              </w:rPr>
              <w:fldChar w:fldCharType="begin"/>
            </w:r>
            <w:r>
              <w:rPr>
                <w:noProof/>
                <w:webHidden/>
              </w:rPr>
              <w:instrText xml:space="preserve"> PAGEREF _Toc202899974 \h </w:instrText>
            </w:r>
            <w:r>
              <w:rPr>
                <w:noProof/>
                <w:webHidden/>
              </w:rPr>
            </w:r>
            <w:r>
              <w:rPr>
                <w:noProof/>
                <w:webHidden/>
              </w:rPr>
              <w:fldChar w:fldCharType="separate"/>
            </w:r>
            <w:r w:rsidR="000D75AE">
              <w:rPr>
                <w:noProof/>
                <w:webHidden/>
              </w:rPr>
              <w:t>111</w:t>
            </w:r>
            <w:r>
              <w:rPr>
                <w:noProof/>
                <w:webHidden/>
              </w:rPr>
              <w:fldChar w:fldCharType="end"/>
            </w:r>
          </w:hyperlink>
        </w:p>
        <w:p w14:paraId="3E2005F6" w14:textId="6964B97B" w:rsidR="00420D51" w:rsidRDefault="00420D51">
          <w:pPr>
            <w:pStyle w:val="TOC2"/>
            <w:rPr>
              <w:rFonts w:eastAsiaTheme="minorEastAsia"/>
              <w:noProof/>
              <w:spacing w:val="0"/>
              <w:kern w:val="2"/>
              <w:sz w:val="24"/>
              <w:lang w:eastAsia="en-AU"/>
              <w14:ligatures w14:val="standardContextual"/>
            </w:rPr>
          </w:pPr>
          <w:hyperlink w:anchor="_Toc202899975" w:history="1">
            <w:r w:rsidRPr="00492332">
              <w:rPr>
                <w:rStyle w:val="Hyperlink"/>
                <w:noProof/>
              </w:rPr>
              <w:t>5.10</w:t>
            </w:r>
            <w:r>
              <w:rPr>
                <w:rFonts w:eastAsiaTheme="minorEastAsia"/>
                <w:noProof/>
                <w:spacing w:val="0"/>
                <w:kern w:val="2"/>
                <w:sz w:val="24"/>
                <w:lang w:eastAsia="en-AU"/>
                <w14:ligatures w14:val="standardContextual"/>
              </w:rPr>
              <w:tab/>
            </w:r>
            <w:r w:rsidRPr="00492332">
              <w:rPr>
                <w:rStyle w:val="Hyperlink"/>
                <w:noProof/>
              </w:rPr>
              <w:t>Personal responsibility for reporting attendance</w:t>
            </w:r>
            <w:r>
              <w:rPr>
                <w:noProof/>
                <w:webHidden/>
              </w:rPr>
              <w:tab/>
            </w:r>
            <w:r>
              <w:rPr>
                <w:noProof/>
                <w:webHidden/>
              </w:rPr>
              <w:fldChar w:fldCharType="begin"/>
            </w:r>
            <w:r>
              <w:rPr>
                <w:noProof/>
                <w:webHidden/>
              </w:rPr>
              <w:instrText xml:space="preserve"> PAGEREF _Toc202899975 \h </w:instrText>
            </w:r>
            <w:r>
              <w:rPr>
                <w:noProof/>
                <w:webHidden/>
              </w:rPr>
            </w:r>
            <w:r>
              <w:rPr>
                <w:noProof/>
                <w:webHidden/>
              </w:rPr>
              <w:fldChar w:fldCharType="separate"/>
            </w:r>
            <w:r w:rsidR="000D75AE">
              <w:rPr>
                <w:noProof/>
                <w:webHidden/>
              </w:rPr>
              <w:t>112</w:t>
            </w:r>
            <w:r>
              <w:rPr>
                <w:noProof/>
                <w:webHidden/>
              </w:rPr>
              <w:fldChar w:fldCharType="end"/>
            </w:r>
          </w:hyperlink>
        </w:p>
        <w:p w14:paraId="6D918701" w14:textId="2EBE10AD" w:rsidR="00420D51" w:rsidRDefault="00420D51">
          <w:pPr>
            <w:pStyle w:val="TOC3"/>
            <w:rPr>
              <w:rFonts w:eastAsiaTheme="minorEastAsia"/>
              <w:noProof/>
              <w:spacing w:val="0"/>
              <w:kern w:val="2"/>
              <w:sz w:val="24"/>
              <w:lang w:eastAsia="en-AU"/>
              <w14:ligatures w14:val="standardContextual"/>
            </w:rPr>
          </w:pPr>
          <w:hyperlink w:anchor="_Toc202899976" w:history="1">
            <w:r w:rsidRPr="00492332">
              <w:rPr>
                <w:rStyle w:val="Hyperlink"/>
                <w:noProof/>
              </w:rPr>
              <w:t>5.10.1</w:t>
            </w:r>
            <w:r>
              <w:rPr>
                <w:rFonts w:eastAsiaTheme="minorEastAsia"/>
                <w:noProof/>
                <w:spacing w:val="0"/>
                <w:kern w:val="2"/>
                <w:sz w:val="24"/>
                <w:lang w:eastAsia="en-AU"/>
                <w14:ligatures w14:val="standardContextual"/>
              </w:rPr>
              <w:tab/>
            </w:r>
            <w:r w:rsidRPr="00492332">
              <w:rPr>
                <w:rStyle w:val="Hyperlink"/>
                <w:noProof/>
              </w:rPr>
              <w:t>Determining a Participant’s capability to self-report attendance online</w:t>
            </w:r>
            <w:r>
              <w:rPr>
                <w:noProof/>
                <w:webHidden/>
              </w:rPr>
              <w:tab/>
            </w:r>
            <w:r>
              <w:rPr>
                <w:noProof/>
                <w:webHidden/>
              </w:rPr>
              <w:fldChar w:fldCharType="begin"/>
            </w:r>
            <w:r>
              <w:rPr>
                <w:noProof/>
                <w:webHidden/>
              </w:rPr>
              <w:instrText xml:space="preserve"> PAGEREF _Toc202899976 \h </w:instrText>
            </w:r>
            <w:r>
              <w:rPr>
                <w:noProof/>
                <w:webHidden/>
              </w:rPr>
            </w:r>
            <w:r>
              <w:rPr>
                <w:noProof/>
                <w:webHidden/>
              </w:rPr>
              <w:fldChar w:fldCharType="separate"/>
            </w:r>
            <w:r w:rsidR="000D75AE">
              <w:rPr>
                <w:noProof/>
                <w:webHidden/>
              </w:rPr>
              <w:t>112</w:t>
            </w:r>
            <w:r>
              <w:rPr>
                <w:noProof/>
                <w:webHidden/>
              </w:rPr>
              <w:fldChar w:fldCharType="end"/>
            </w:r>
          </w:hyperlink>
        </w:p>
        <w:p w14:paraId="02F52D00" w14:textId="6A6D47B5"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899977" w:history="1">
            <w:r w:rsidRPr="00492332">
              <w:rPr>
                <w:rStyle w:val="Hyperlink"/>
                <w:noProof/>
              </w:rPr>
              <w:t>Chapter 6:</w:t>
            </w:r>
            <w:r>
              <w:rPr>
                <w:rFonts w:eastAsiaTheme="minorEastAsia"/>
                <w:b w:val="0"/>
                <w:noProof/>
                <w:color w:val="auto"/>
                <w:spacing w:val="0"/>
                <w:kern w:val="2"/>
                <w:sz w:val="24"/>
                <w:lang w:eastAsia="en-AU"/>
                <w14:ligatures w14:val="standardContextual"/>
              </w:rPr>
              <w:tab/>
            </w:r>
            <w:r w:rsidRPr="00492332">
              <w:rPr>
                <w:rStyle w:val="Hyperlink"/>
                <w:noProof/>
              </w:rPr>
              <w:t>Pre-Employment Support</w:t>
            </w:r>
            <w:r>
              <w:rPr>
                <w:noProof/>
                <w:webHidden/>
              </w:rPr>
              <w:tab/>
            </w:r>
            <w:r>
              <w:rPr>
                <w:noProof/>
                <w:webHidden/>
              </w:rPr>
              <w:fldChar w:fldCharType="begin"/>
            </w:r>
            <w:r>
              <w:rPr>
                <w:noProof/>
                <w:webHidden/>
              </w:rPr>
              <w:instrText xml:space="preserve"> PAGEREF _Toc202899977 \h </w:instrText>
            </w:r>
            <w:r>
              <w:rPr>
                <w:noProof/>
                <w:webHidden/>
              </w:rPr>
            </w:r>
            <w:r>
              <w:rPr>
                <w:noProof/>
                <w:webHidden/>
              </w:rPr>
              <w:fldChar w:fldCharType="separate"/>
            </w:r>
            <w:r w:rsidR="000D75AE">
              <w:rPr>
                <w:noProof/>
                <w:webHidden/>
              </w:rPr>
              <w:t>114</w:t>
            </w:r>
            <w:r>
              <w:rPr>
                <w:noProof/>
                <w:webHidden/>
              </w:rPr>
              <w:fldChar w:fldCharType="end"/>
            </w:r>
          </w:hyperlink>
        </w:p>
        <w:p w14:paraId="12CC0164" w14:textId="495F12F0" w:rsidR="00420D51" w:rsidRDefault="00420D51">
          <w:pPr>
            <w:pStyle w:val="TOC2"/>
            <w:rPr>
              <w:rFonts w:eastAsiaTheme="minorEastAsia"/>
              <w:noProof/>
              <w:spacing w:val="0"/>
              <w:kern w:val="2"/>
              <w:sz w:val="24"/>
              <w:lang w:eastAsia="en-AU"/>
              <w14:ligatures w14:val="standardContextual"/>
            </w:rPr>
          </w:pPr>
          <w:hyperlink w:anchor="_Toc202899978" w:history="1">
            <w:r w:rsidRPr="00492332">
              <w:rPr>
                <w:rStyle w:val="Hyperlink"/>
                <w:noProof/>
              </w:rPr>
              <w:t>6.1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_Toc202899978 \h </w:instrText>
            </w:r>
            <w:r>
              <w:rPr>
                <w:noProof/>
                <w:webHidden/>
              </w:rPr>
            </w:r>
            <w:r>
              <w:rPr>
                <w:noProof/>
                <w:webHidden/>
              </w:rPr>
              <w:fldChar w:fldCharType="separate"/>
            </w:r>
            <w:r w:rsidR="000D75AE">
              <w:rPr>
                <w:noProof/>
                <w:webHidden/>
              </w:rPr>
              <w:t>114</w:t>
            </w:r>
            <w:r>
              <w:rPr>
                <w:noProof/>
                <w:webHidden/>
              </w:rPr>
              <w:fldChar w:fldCharType="end"/>
            </w:r>
          </w:hyperlink>
        </w:p>
        <w:p w14:paraId="375E0923" w14:textId="0F94A355" w:rsidR="00420D51" w:rsidRDefault="00420D51">
          <w:pPr>
            <w:pStyle w:val="TOC2"/>
            <w:rPr>
              <w:rFonts w:eastAsiaTheme="minorEastAsia"/>
              <w:noProof/>
              <w:spacing w:val="0"/>
              <w:kern w:val="2"/>
              <w:sz w:val="24"/>
              <w:lang w:eastAsia="en-AU"/>
              <w14:ligatures w14:val="standardContextual"/>
            </w:rPr>
          </w:pPr>
          <w:hyperlink w:anchor="_Toc202899979" w:history="1">
            <w:r w:rsidRPr="00492332">
              <w:rPr>
                <w:rStyle w:val="Hyperlink"/>
                <w:noProof/>
              </w:rPr>
              <w:t>6.2</w:t>
            </w:r>
            <w:r>
              <w:rPr>
                <w:rFonts w:eastAsiaTheme="minorEastAsia"/>
                <w:noProof/>
                <w:spacing w:val="0"/>
                <w:kern w:val="2"/>
                <w:sz w:val="24"/>
                <w:lang w:eastAsia="en-AU"/>
                <w14:ligatures w14:val="standardContextual"/>
              </w:rPr>
              <w:tab/>
            </w:r>
            <w:r w:rsidRPr="00492332">
              <w:rPr>
                <w:rStyle w:val="Hyperlink"/>
                <w:noProof/>
              </w:rPr>
              <w:t>Pre-Employment Support</w:t>
            </w:r>
            <w:r>
              <w:rPr>
                <w:noProof/>
                <w:webHidden/>
              </w:rPr>
              <w:tab/>
            </w:r>
            <w:r>
              <w:rPr>
                <w:noProof/>
                <w:webHidden/>
              </w:rPr>
              <w:fldChar w:fldCharType="begin"/>
            </w:r>
            <w:r>
              <w:rPr>
                <w:noProof/>
                <w:webHidden/>
              </w:rPr>
              <w:instrText xml:space="preserve"> PAGEREF _Toc202899979 \h </w:instrText>
            </w:r>
            <w:r>
              <w:rPr>
                <w:noProof/>
                <w:webHidden/>
              </w:rPr>
            </w:r>
            <w:r>
              <w:rPr>
                <w:noProof/>
                <w:webHidden/>
              </w:rPr>
              <w:fldChar w:fldCharType="separate"/>
            </w:r>
            <w:r w:rsidR="000D75AE">
              <w:rPr>
                <w:noProof/>
                <w:webHidden/>
              </w:rPr>
              <w:t>114</w:t>
            </w:r>
            <w:r>
              <w:rPr>
                <w:noProof/>
                <w:webHidden/>
              </w:rPr>
              <w:fldChar w:fldCharType="end"/>
            </w:r>
          </w:hyperlink>
        </w:p>
        <w:p w14:paraId="2D9149D9" w14:textId="406C5453" w:rsidR="00420D51" w:rsidRDefault="00420D51">
          <w:pPr>
            <w:pStyle w:val="TOC3"/>
            <w:rPr>
              <w:rFonts w:eastAsiaTheme="minorEastAsia"/>
              <w:noProof/>
              <w:spacing w:val="0"/>
              <w:kern w:val="2"/>
              <w:sz w:val="24"/>
              <w:lang w:eastAsia="en-AU"/>
              <w14:ligatures w14:val="standardContextual"/>
            </w:rPr>
          </w:pPr>
          <w:hyperlink w:anchor="_Toc202899980" w:history="1">
            <w:r w:rsidRPr="00492332">
              <w:rPr>
                <w:rStyle w:val="Hyperlink"/>
                <w:noProof/>
              </w:rPr>
              <w:t>6.2.1</w:t>
            </w:r>
            <w:r>
              <w:rPr>
                <w:rFonts w:eastAsiaTheme="minorEastAsia"/>
                <w:noProof/>
                <w:spacing w:val="0"/>
                <w:kern w:val="2"/>
                <w:sz w:val="24"/>
                <w:lang w:eastAsia="en-AU"/>
                <w14:ligatures w14:val="standardContextual"/>
              </w:rPr>
              <w:tab/>
            </w:r>
            <w:r w:rsidRPr="00492332">
              <w:rPr>
                <w:rStyle w:val="Hyperlink"/>
                <w:noProof/>
              </w:rPr>
              <w:t>Intensive Service</w:t>
            </w:r>
            <w:r>
              <w:rPr>
                <w:noProof/>
                <w:webHidden/>
              </w:rPr>
              <w:tab/>
            </w:r>
            <w:r>
              <w:rPr>
                <w:noProof/>
                <w:webHidden/>
              </w:rPr>
              <w:fldChar w:fldCharType="begin"/>
            </w:r>
            <w:r>
              <w:rPr>
                <w:noProof/>
                <w:webHidden/>
              </w:rPr>
              <w:instrText xml:space="preserve"> PAGEREF _Toc202899980 \h </w:instrText>
            </w:r>
            <w:r>
              <w:rPr>
                <w:noProof/>
                <w:webHidden/>
              </w:rPr>
            </w:r>
            <w:r>
              <w:rPr>
                <w:noProof/>
                <w:webHidden/>
              </w:rPr>
              <w:fldChar w:fldCharType="separate"/>
            </w:r>
            <w:r w:rsidR="000D75AE">
              <w:rPr>
                <w:noProof/>
                <w:webHidden/>
              </w:rPr>
              <w:t>115</w:t>
            </w:r>
            <w:r>
              <w:rPr>
                <w:noProof/>
                <w:webHidden/>
              </w:rPr>
              <w:fldChar w:fldCharType="end"/>
            </w:r>
          </w:hyperlink>
        </w:p>
        <w:p w14:paraId="39CAE445" w14:textId="30FB7A7C" w:rsidR="00420D51" w:rsidRDefault="00420D51">
          <w:pPr>
            <w:pStyle w:val="TOC3"/>
            <w:rPr>
              <w:rFonts w:eastAsiaTheme="minorEastAsia"/>
              <w:noProof/>
              <w:spacing w:val="0"/>
              <w:kern w:val="2"/>
              <w:sz w:val="24"/>
              <w:lang w:eastAsia="en-AU"/>
              <w14:ligatures w14:val="standardContextual"/>
            </w:rPr>
          </w:pPr>
          <w:hyperlink w:anchor="_Toc202899981" w:history="1">
            <w:r w:rsidRPr="00492332">
              <w:rPr>
                <w:rStyle w:val="Hyperlink"/>
                <w:noProof/>
              </w:rPr>
              <w:t>6.2.2</w:t>
            </w:r>
            <w:r>
              <w:rPr>
                <w:rFonts w:eastAsiaTheme="minorEastAsia"/>
                <w:noProof/>
                <w:spacing w:val="0"/>
                <w:kern w:val="2"/>
                <w:sz w:val="24"/>
                <w:lang w:eastAsia="en-AU"/>
                <w14:ligatures w14:val="standardContextual"/>
              </w:rPr>
              <w:tab/>
            </w:r>
            <w:r w:rsidRPr="00492332">
              <w:rPr>
                <w:rStyle w:val="Hyperlink"/>
                <w:noProof/>
              </w:rPr>
              <w:t>Flexible Service</w:t>
            </w:r>
            <w:r>
              <w:rPr>
                <w:noProof/>
                <w:webHidden/>
              </w:rPr>
              <w:tab/>
            </w:r>
            <w:r>
              <w:rPr>
                <w:noProof/>
                <w:webHidden/>
              </w:rPr>
              <w:fldChar w:fldCharType="begin"/>
            </w:r>
            <w:r>
              <w:rPr>
                <w:noProof/>
                <w:webHidden/>
              </w:rPr>
              <w:instrText xml:space="preserve"> PAGEREF _Toc202899981 \h </w:instrText>
            </w:r>
            <w:r>
              <w:rPr>
                <w:noProof/>
                <w:webHidden/>
              </w:rPr>
            </w:r>
            <w:r>
              <w:rPr>
                <w:noProof/>
                <w:webHidden/>
              </w:rPr>
              <w:fldChar w:fldCharType="separate"/>
            </w:r>
            <w:r w:rsidR="000D75AE">
              <w:rPr>
                <w:noProof/>
                <w:webHidden/>
              </w:rPr>
              <w:t>116</w:t>
            </w:r>
            <w:r>
              <w:rPr>
                <w:noProof/>
                <w:webHidden/>
              </w:rPr>
              <w:fldChar w:fldCharType="end"/>
            </w:r>
          </w:hyperlink>
        </w:p>
        <w:p w14:paraId="37A40E1F" w14:textId="72D29186" w:rsidR="00420D51" w:rsidRDefault="00420D51">
          <w:pPr>
            <w:pStyle w:val="TOC2"/>
            <w:rPr>
              <w:rFonts w:eastAsiaTheme="minorEastAsia"/>
              <w:noProof/>
              <w:spacing w:val="0"/>
              <w:kern w:val="2"/>
              <w:sz w:val="24"/>
              <w:lang w:eastAsia="en-AU"/>
              <w14:ligatures w14:val="standardContextual"/>
            </w:rPr>
          </w:pPr>
          <w:hyperlink w:anchor="_Toc202899982" w:history="1">
            <w:r w:rsidRPr="00492332">
              <w:rPr>
                <w:rStyle w:val="Hyperlink"/>
                <w:noProof/>
              </w:rPr>
              <w:t>6.3</w:t>
            </w:r>
            <w:r>
              <w:rPr>
                <w:rFonts w:eastAsiaTheme="minorEastAsia"/>
                <w:noProof/>
                <w:spacing w:val="0"/>
                <w:kern w:val="2"/>
                <w:sz w:val="24"/>
                <w:lang w:eastAsia="en-AU"/>
                <w14:ligatures w14:val="standardContextual"/>
              </w:rPr>
              <w:tab/>
            </w:r>
            <w:r w:rsidRPr="00492332">
              <w:rPr>
                <w:rStyle w:val="Hyperlink"/>
                <w:noProof/>
              </w:rPr>
              <w:t>Movement within Pre-Employment Support</w:t>
            </w:r>
            <w:r>
              <w:rPr>
                <w:noProof/>
                <w:webHidden/>
              </w:rPr>
              <w:tab/>
            </w:r>
            <w:r>
              <w:rPr>
                <w:noProof/>
                <w:webHidden/>
              </w:rPr>
              <w:fldChar w:fldCharType="begin"/>
            </w:r>
            <w:r>
              <w:rPr>
                <w:noProof/>
                <w:webHidden/>
              </w:rPr>
              <w:instrText xml:space="preserve"> PAGEREF _Toc202899982 \h </w:instrText>
            </w:r>
            <w:r>
              <w:rPr>
                <w:noProof/>
                <w:webHidden/>
              </w:rPr>
            </w:r>
            <w:r>
              <w:rPr>
                <w:noProof/>
                <w:webHidden/>
              </w:rPr>
              <w:fldChar w:fldCharType="separate"/>
            </w:r>
            <w:r w:rsidR="000D75AE">
              <w:rPr>
                <w:noProof/>
                <w:webHidden/>
              </w:rPr>
              <w:t>116</w:t>
            </w:r>
            <w:r>
              <w:rPr>
                <w:noProof/>
                <w:webHidden/>
              </w:rPr>
              <w:fldChar w:fldCharType="end"/>
            </w:r>
          </w:hyperlink>
        </w:p>
        <w:p w14:paraId="2BBE9A0C" w14:textId="6E88128F" w:rsidR="00420D51" w:rsidRDefault="00420D51">
          <w:pPr>
            <w:pStyle w:val="TOC2"/>
            <w:rPr>
              <w:rFonts w:eastAsiaTheme="minorEastAsia"/>
              <w:noProof/>
              <w:spacing w:val="0"/>
              <w:kern w:val="2"/>
              <w:sz w:val="24"/>
              <w:lang w:eastAsia="en-AU"/>
              <w14:ligatures w14:val="standardContextual"/>
            </w:rPr>
          </w:pPr>
          <w:hyperlink w:anchor="_Toc202899983" w:history="1">
            <w:r w:rsidRPr="00492332">
              <w:rPr>
                <w:rStyle w:val="Hyperlink"/>
                <w:noProof/>
              </w:rPr>
              <w:t>6.4</w:t>
            </w:r>
            <w:r>
              <w:rPr>
                <w:rFonts w:eastAsiaTheme="minorEastAsia"/>
                <w:noProof/>
                <w:spacing w:val="0"/>
                <w:kern w:val="2"/>
                <w:sz w:val="24"/>
                <w:lang w:eastAsia="en-AU"/>
                <w14:ligatures w14:val="standardContextual"/>
              </w:rPr>
              <w:tab/>
            </w:r>
            <w:r w:rsidRPr="00492332">
              <w:rPr>
                <w:rStyle w:val="Hyperlink"/>
                <w:noProof/>
              </w:rPr>
              <w:t>Movement between Pre-Employment Support and In-Employment Support</w:t>
            </w:r>
            <w:r>
              <w:rPr>
                <w:noProof/>
                <w:webHidden/>
              </w:rPr>
              <w:tab/>
            </w:r>
            <w:r>
              <w:rPr>
                <w:noProof/>
                <w:webHidden/>
              </w:rPr>
              <w:fldChar w:fldCharType="begin"/>
            </w:r>
            <w:r>
              <w:rPr>
                <w:noProof/>
                <w:webHidden/>
              </w:rPr>
              <w:instrText xml:space="preserve"> PAGEREF _Toc202899983 \h </w:instrText>
            </w:r>
            <w:r>
              <w:rPr>
                <w:noProof/>
                <w:webHidden/>
              </w:rPr>
            </w:r>
            <w:r>
              <w:rPr>
                <w:noProof/>
                <w:webHidden/>
              </w:rPr>
              <w:fldChar w:fldCharType="separate"/>
            </w:r>
            <w:r w:rsidR="000D75AE">
              <w:rPr>
                <w:noProof/>
                <w:webHidden/>
              </w:rPr>
              <w:t>117</w:t>
            </w:r>
            <w:r>
              <w:rPr>
                <w:noProof/>
                <w:webHidden/>
              </w:rPr>
              <w:fldChar w:fldCharType="end"/>
            </w:r>
          </w:hyperlink>
        </w:p>
        <w:p w14:paraId="4A288F95" w14:textId="074E3AD1" w:rsidR="00420D51" w:rsidRDefault="00420D51">
          <w:pPr>
            <w:pStyle w:val="TOC2"/>
            <w:rPr>
              <w:rFonts w:eastAsiaTheme="minorEastAsia"/>
              <w:noProof/>
              <w:spacing w:val="0"/>
              <w:kern w:val="2"/>
              <w:sz w:val="24"/>
              <w:lang w:eastAsia="en-AU"/>
              <w14:ligatures w14:val="standardContextual"/>
            </w:rPr>
          </w:pPr>
          <w:hyperlink w:anchor="_Toc202899984" w:history="1">
            <w:r w:rsidRPr="00492332">
              <w:rPr>
                <w:rStyle w:val="Hyperlink"/>
                <w:noProof/>
              </w:rPr>
              <w:t>6.5</w:t>
            </w:r>
            <w:r>
              <w:rPr>
                <w:rFonts w:eastAsiaTheme="minorEastAsia"/>
                <w:noProof/>
                <w:spacing w:val="0"/>
                <w:kern w:val="2"/>
                <w:sz w:val="24"/>
                <w:lang w:eastAsia="en-AU"/>
                <w14:ligatures w14:val="standardContextual"/>
              </w:rPr>
              <w:tab/>
            </w:r>
            <w:r w:rsidRPr="00492332">
              <w:rPr>
                <w:rStyle w:val="Hyperlink"/>
                <w:noProof/>
              </w:rPr>
              <w:t>Support to be provided to Participants</w:t>
            </w:r>
            <w:r>
              <w:rPr>
                <w:noProof/>
                <w:webHidden/>
              </w:rPr>
              <w:tab/>
            </w:r>
            <w:r>
              <w:rPr>
                <w:noProof/>
                <w:webHidden/>
              </w:rPr>
              <w:fldChar w:fldCharType="begin"/>
            </w:r>
            <w:r>
              <w:rPr>
                <w:noProof/>
                <w:webHidden/>
              </w:rPr>
              <w:instrText xml:space="preserve"> PAGEREF _Toc202899984 \h </w:instrText>
            </w:r>
            <w:r>
              <w:rPr>
                <w:noProof/>
                <w:webHidden/>
              </w:rPr>
            </w:r>
            <w:r>
              <w:rPr>
                <w:noProof/>
                <w:webHidden/>
              </w:rPr>
              <w:fldChar w:fldCharType="separate"/>
            </w:r>
            <w:r w:rsidR="000D75AE">
              <w:rPr>
                <w:noProof/>
                <w:webHidden/>
              </w:rPr>
              <w:t>117</w:t>
            </w:r>
            <w:r>
              <w:rPr>
                <w:noProof/>
                <w:webHidden/>
              </w:rPr>
              <w:fldChar w:fldCharType="end"/>
            </w:r>
          </w:hyperlink>
        </w:p>
        <w:p w14:paraId="11191D13" w14:textId="55FD1A0C" w:rsidR="00420D51" w:rsidRDefault="00420D51">
          <w:pPr>
            <w:pStyle w:val="TOC2"/>
            <w:rPr>
              <w:rFonts w:eastAsiaTheme="minorEastAsia"/>
              <w:noProof/>
              <w:spacing w:val="0"/>
              <w:kern w:val="2"/>
              <w:sz w:val="24"/>
              <w:lang w:eastAsia="en-AU"/>
              <w14:ligatures w14:val="standardContextual"/>
            </w:rPr>
          </w:pPr>
          <w:hyperlink w:anchor="_Toc202899985" w:history="1">
            <w:r w:rsidRPr="00492332">
              <w:rPr>
                <w:rStyle w:val="Hyperlink"/>
                <w:noProof/>
              </w:rPr>
              <w:t>6.6</w:t>
            </w:r>
            <w:r>
              <w:rPr>
                <w:rFonts w:eastAsiaTheme="minorEastAsia"/>
                <w:noProof/>
                <w:spacing w:val="0"/>
                <w:kern w:val="2"/>
                <w:sz w:val="24"/>
                <w:lang w:eastAsia="en-AU"/>
                <w14:ligatures w14:val="standardContextual"/>
              </w:rPr>
              <w:tab/>
            </w:r>
            <w:r w:rsidRPr="00492332">
              <w:rPr>
                <w:rStyle w:val="Hyperlink"/>
                <w:noProof/>
              </w:rPr>
              <w:t>Participant Contact</w:t>
            </w:r>
            <w:r>
              <w:rPr>
                <w:noProof/>
                <w:webHidden/>
              </w:rPr>
              <w:tab/>
            </w:r>
            <w:r>
              <w:rPr>
                <w:noProof/>
                <w:webHidden/>
              </w:rPr>
              <w:fldChar w:fldCharType="begin"/>
            </w:r>
            <w:r>
              <w:rPr>
                <w:noProof/>
                <w:webHidden/>
              </w:rPr>
              <w:instrText xml:space="preserve"> PAGEREF _Toc202899985 \h </w:instrText>
            </w:r>
            <w:r>
              <w:rPr>
                <w:noProof/>
                <w:webHidden/>
              </w:rPr>
            </w:r>
            <w:r>
              <w:rPr>
                <w:noProof/>
                <w:webHidden/>
              </w:rPr>
              <w:fldChar w:fldCharType="separate"/>
            </w:r>
            <w:r w:rsidR="000D75AE">
              <w:rPr>
                <w:noProof/>
                <w:webHidden/>
              </w:rPr>
              <w:t>120</w:t>
            </w:r>
            <w:r>
              <w:rPr>
                <w:noProof/>
                <w:webHidden/>
              </w:rPr>
              <w:fldChar w:fldCharType="end"/>
            </w:r>
          </w:hyperlink>
        </w:p>
        <w:p w14:paraId="0B7D227E" w14:textId="571DF93E" w:rsidR="00420D51" w:rsidRDefault="00420D51">
          <w:pPr>
            <w:pStyle w:val="TOC2"/>
            <w:rPr>
              <w:rFonts w:eastAsiaTheme="minorEastAsia"/>
              <w:noProof/>
              <w:spacing w:val="0"/>
              <w:kern w:val="2"/>
              <w:sz w:val="24"/>
              <w:lang w:eastAsia="en-AU"/>
              <w14:ligatures w14:val="standardContextual"/>
            </w:rPr>
          </w:pPr>
          <w:hyperlink w:anchor="_Toc202899986" w:history="1">
            <w:r w:rsidRPr="00492332">
              <w:rPr>
                <w:rStyle w:val="Hyperlink"/>
                <w:noProof/>
              </w:rPr>
              <w:t>6.7</w:t>
            </w:r>
            <w:r>
              <w:rPr>
                <w:rFonts w:eastAsiaTheme="minorEastAsia"/>
                <w:noProof/>
                <w:spacing w:val="0"/>
                <w:kern w:val="2"/>
                <w:sz w:val="24"/>
                <w:lang w:eastAsia="en-AU"/>
                <w14:ligatures w14:val="standardContextual"/>
              </w:rPr>
              <w:tab/>
            </w:r>
            <w:r w:rsidRPr="00492332">
              <w:rPr>
                <w:rStyle w:val="Hyperlink"/>
                <w:noProof/>
              </w:rPr>
              <w:t>Relocation Assistance</w:t>
            </w:r>
            <w:r>
              <w:rPr>
                <w:noProof/>
                <w:webHidden/>
              </w:rPr>
              <w:tab/>
            </w:r>
            <w:r>
              <w:rPr>
                <w:noProof/>
                <w:webHidden/>
              </w:rPr>
              <w:fldChar w:fldCharType="begin"/>
            </w:r>
            <w:r>
              <w:rPr>
                <w:noProof/>
                <w:webHidden/>
              </w:rPr>
              <w:instrText xml:space="preserve"> PAGEREF _Toc202899986 \h </w:instrText>
            </w:r>
            <w:r>
              <w:rPr>
                <w:noProof/>
                <w:webHidden/>
              </w:rPr>
            </w:r>
            <w:r>
              <w:rPr>
                <w:noProof/>
                <w:webHidden/>
              </w:rPr>
              <w:fldChar w:fldCharType="separate"/>
            </w:r>
            <w:r w:rsidR="000D75AE">
              <w:rPr>
                <w:noProof/>
                <w:webHidden/>
              </w:rPr>
              <w:t>123</w:t>
            </w:r>
            <w:r>
              <w:rPr>
                <w:noProof/>
                <w:webHidden/>
              </w:rPr>
              <w:fldChar w:fldCharType="end"/>
            </w:r>
          </w:hyperlink>
        </w:p>
        <w:p w14:paraId="5AA10547" w14:textId="5D303B85" w:rsidR="00420D51" w:rsidRDefault="00420D51">
          <w:pPr>
            <w:pStyle w:val="TOC3"/>
            <w:rPr>
              <w:rFonts w:eastAsiaTheme="minorEastAsia"/>
              <w:noProof/>
              <w:spacing w:val="0"/>
              <w:kern w:val="2"/>
              <w:sz w:val="24"/>
              <w:lang w:eastAsia="en-AU"/>
              <w14:ligatures w14:val="standardContextual"/>
            </w:rPr>
          </w:pPr>
          <w:hyperlink w:anchor="_Toc202899987" w:history="1">
            <w:r w:rsidRPr="00492332">
              <w:rPr>
                <w:rStyle w:val="Hyperlink"/>
                <w:noProof/>
              </w:rPr>
              <w:t>6.7.1</w:t>
            </w:r>
            <w:r>
              <w:rPr>
                <w:rFonts w:eastAsiaTheme="minorEastAsia"/>
                <w:noProof/>
                <w:spacing w:val="0"/>
                <w:kern w:val="2"/>
                <w:sz w:val="24"/>
                <w:lang w:eastAsia="en-AU"/>
                <w14:ligatures w14:val="standardContextual"/>
              </w:rPr>
              <w:tab/>
            </w:r>
            <w:r w:rsidRPr="00492332">
              <w:rPr>
                <w:rStyle w:val="Hyperlink"/>
                <w:noProof/>
              </w:rPr>
              <w:t>Eligibility</w:t>
            </w:r>
            <w:r>
              <w:rPr>
                <w:noProof/>
                <w:webHidden/>
              </w:rPr>
              <w:tab/>
            </w:r>
            <w:r>
              <w:rPr>
                <w:noProof/>
                <w:webHidden/>
              </w:rPr>
              <w:fldChar w:fldCharType="begin"/>
            </w:r>
            <w:r>
              <w:rPr>
                <w:noProof/>
                <w:webHidden/>
              </w:rPr>
              <w:instrText xml:space="preserve"> PAGEREF _Toc202899987 \h </w:instrText>
            </w:r>
            <w:r>
              <w:rPr>
                <w:noProof/>
                <w:webHidden/>
              </w:rPr>
            </w:r>
            <w:r>
              <w:rPr>
                <w:noProof/>
                <w:webHidden/>
              </w:rPr>
              <w:fldChar w:fldCharType="separate"/>
            </w:r>
            <w:r w:rsidR="000D75AE">
              <w:rPr>
                <w:noProof/>
                <w:webHidden/>
              </w:rPr>
              <w:t>124</w:t>
            </w:r>
            <w:r>
              <w:rPr>
                <w:noProof/>
                <w:webHidden/>
              </w:rPr>
              <w:fldChar w:fldCharType="end"/>
            </w:r>
          </w:hyperlink>
        </w:p>
        <w:p w14:paraId="6E5455E6" w14:textId="28567DA7" w:rsidR="00420D51" w:rsidRDefault="00420D51">
          <w:pPr>
            <w:pStyle w:val="TOC3"/>
            <w:rPr>
              <w:rFonts w:eastAsiaTheme="minorEastAsia"/>
              <w:noProof/>
              <w:spacing w:val="0"/>
              <w:kern w:val="2"/>
              <w:sz w:val="24"/>
              <w:lang w:eastAsia="en-AU"/>
              <w14:ligatures w14:val="standardContextual"/>
            </w:rPr>
          </w:pPr>
          <w:hyperlink w:anchor="_Toc202899988" w:history="1">
            <w:r w:rsidRPr="00492332">
              <w:rPr>
                <w:rStyle w:val="Hyperlink"/>
                <w:noProof/>
              </w:rPr>
              <w:t>6.7.2</w:t>
            </w:r>
            <w:r>
              <w:rPr>
                <w:rFonts w:eastAsiaTheme="minorEastAsia"/>
                <w:noProof/>
                <w:spacing w:val="0"/>
                <w:kern w:val="2"/>
                <w:sz w:val="24"/>
                <w:lang w:eastAsia="en-AU"/>
                <w14:ligatures w14:val="standardContextual"/>
              </w:rPr>
              <w:tab/>
            </w:r>
            <w:r w:rsidRPr="00492332">
              <w:rPr>
                <w:rStyle w:val="Hyperlink"/>
                <w:noProof/>
              </w:rPr>
              <w:t>Relocation Assistance Agreement</w:t>
            </w:r>
            <w:r>
              <w:rPr>
                <w:noProof/>
                <w:webHidden/>
              </w:rPr>
              <w:tab/>
            </w:r>
            <w:r>
              <w:rPr>
                <w:noProof/>
                <w:webHidden/>
              </w:rPr>
              <w:fldChar w:fldCharType="begin"/>
            </w:r>
            <w:r>
              <w:rPr>
                <w:noProof/>
                <w:webHidden/>
              </w:rPr>
              <w:instrText xml:space="preserve"> PAGEREF _Toc202899988 \h </w:instrText>
            </w:r>
            <w:r>
              <w:rPr>
                <w:noProof/>
                <w:webHidden/>
              </w:rPr>
            </w:r>
            <w:r>
              <w:rPr>
                <w:noProof/>
                <w:webHidden/>
              </w:rPr>
              <w:fldChar w:fldCharType="separate"/>
            </w:r>
            <w:r w:rsidR="000D75AE">
              <w:rPr>
                <w:noProof/>
                <w:webHidden/>
              </w:rPr>
              <w:t>124</w:t>
            </w:r>
            <w:r>
              <w:rPr>
                <w:noProof/>
                <w:webHidden/>
              </w:rPr>
              <w:fldChar w:fldCharType="end"/>
            </w:r>
          </w:hyperlink>
        </w:p>
        <w:p w14:paraId="347041FB" w14:textId="2B24C802" w:rsidR="00420D51" w:rsidRDefault="00420D51">
          <w:pPr>
            <w:pStyle w:val="TOC3"/>
            <w:rPr>
              <w:rFonts w:eastAsiaTheme="minorEastAsia"/>
              <w:noProof/>
              <w:spacing w:val="0"/>
              <w:kern w:val="2"/>
              <w:sz w:val="24"/>
              <w:lang w:eastAsia="en-AU"/>
              <w14:ligatures w14:val="standardContextual"/>
            </w:rPr>
          </w:pPr>
          <w:hyperlink w:anchor="_Toc202899989" w:history="1">
            <w:r w:rsidRPr="00492332">
              <w:rPr>
                <w:rStyle w:val="Hyperlink"/>
                <w:noProof/>
              </w:rPr>
              <w:t>6.7.3</w:t>
            </w:r>
            <w:r>
              <w:rPr>
                <w:rFonts w:eastAsiaTheme="minorEastAsia"/>
                <w:noProof/>
                <w:spacing w:val="0"/>
                <w:kern w:val="2"/>
                <w:sz w:val="24"/>
                <w:lang w:eastAsia="en-AU"/>
                <w14:ligatures w14:val="standardContextual"/>
              </w:rPr>
              <w:tab/>
            </w:r>
            <w:r w:rsidRPr="00492332">
              <w:rPr>
                <w:rStyle w:val="Hyperlink"/>
                <w:noProof/>
              </w:rPr>
              <w:t>Allowable expenses</w:t>
            </w:r>
            <w:r>
              <w:rPr>
                <w:noProof/>
                <w:webHidden/>
              </w:rPr>
              <w:tab/>
            </w:r>
            <w:r>
              <w:rPr>
                <w:noProof/>
                <w:webHidden/>
              </w:rPr>
              <w:fldChar w:fldCharType="begin"/>
            </w:r>
            <w:r>
              <w:rPr>
                <w:noProof/>
                <w:webHidden/>
              </w:rPr>
              <w:instrText xml:space="preserve"> PAGEREF _Toc202899989 \h </w:instrText>
            </w:r>
            <w:r>
              <w:rPr>
                <w:noProof/>
                <w:webHidden/>
              </w:rPr>
            </w:r>
            <w:r>
              <w:rPr>
                <w:noProof/>
                <w:webHidden/>
              </w:rPr>
              <w:fldChar w:fldCharType="separate"/>
            </w:r>
            <w:r w:rsidR="000D75AE">
              <w:rPr>
                <w:noProof/>
                <w:webHidden/>
              </w:rPr>
              <w:t>125</w:t>
            </w:r>
            <w:r>
              <w:rPr>
                <w:noProof/>
                <w:webHidden/>
              </w:rPr>
              <w:fldChar w:fldCharType="end"/>
            </w:r>
          </w:hyperlink>
        </w:p>
        <w:p w14:paraId="51A0038A" w14:textId="73AE0100" w:rsidR="00420D51" w:rsidRDefault="00420D51">
          <w:pPr>
            <w:pStyle w:val="TOC3"/>
            <w:rPr>
              <w:rFonts w:eastAsiaTheme="minorEastAsia"/>
              <w:noProof/>
              <w:spacing w:val="0"/>
              <w:kern w:val="2"/>
              <w:sz w:val="24"/>
              <w:lang w:eastAsia="en-AU"/>
              <w14:ligatures w14:val="standardContextual"/>
            </w:rPr>
          </w:pPr>
          <w:hyperlink w:anchor="_Toc202899990" w:history="1">
            <w:r w:rsidRPr="00492332">
              <w:rPr>
                <w:rStyle w:val="Hyperlink"/>
                <w:noProof/>
              </w:rPr>
              <w:t>6.7.4</w:t>
            </w:r>
            <w:r>
              <w:rPr>
                <w:rFonts w:eastAsiaTheme="minorEastAsia"/>
                <w:noProof/>
                <w:spacing w:val="0"/>
                <w:kern w:val="2"/>
                <w:sz w:val="24"/>
                <w:lang w:eastAsia="en-AU"/>
                <w14:ligatures w14:val="standardContextual"/>
              </w:rPr>
              <w:tab/>
            </w:r>
            <w:r w:rsidRPr="00492332">
              <w:rPr>
                <w:rStyle w:val="Hyperlink"/>
                <w:noProof/>
              </w:rPr>
              <w:t>Upfront payments</w:t>
            </w:r>
            <w:r>
              <w:rPr>
                <w:noProof/>
                <w:webHidden/>
              </w:rPr>
              <w:tab/>
            </w:r>
            <w:r>
              <w:rPr>
                <w:noProof/>
                <w:webHidden/>
              </w:rPr>
              <w:fldChar w:fldCharType="begin"/>
            </w:r>
            <w:r>
              <w:rPr>
                <w:noProof/>
                <w:webHidden/>
              </w:rPr>
              <w:instrText xml:space="preserve"> PAGEREF _Toc202899990 \h </w:instrText>
            </w:r>
            <w:r>
              <w:rPr>
                <w:noProof/>
                <w:webHidden/>
              </w:rPr>
            </w:r>
            <w:r>
              <w:rPr>
                <w:noProof/>
                <w:webHidden/>
              </w:rPr>
              <w:fldChar w:fldCharType="separate"/>
            </w:r>
            <w:r w:rsidR="000D75AE">
              <w:rPr>
                <w:noProof/>
                <w:webHidden/>
              </w:rPr>
              <w:t>127</w:t>
            </w:r>
            <w:r>
              <w:rPr>
                <w:noProof/>
                <w:webHidden/>
              </w:rPr>
              <w:fldChar w:fldCharType="end"/>
            </w:r>
          </w:hyperlink>
        </w:p>
        <w:p w14:paraId="02B4984F" w14:textId="30CEE0AB" w:rsidR="00420D51" w:rsidRDefault="00420D51">
          <w:pPr>
            <w:pStyle w:val="TOC3"/>
            <w:rPr>
              <w:rFonts w:eastAsiaTheme="minorEastAsia"/>
              <w:noProof/>
              <w:spacing w:val="0"/>
              <w:kern w:val="2"/>
              <w:sz w:val="24"/>
              <w:lang w:eastAsia="en-AU"/>
              <w14:ligatures w14:val="standardContextual"/>
            </w:rPr>
          </w:pPr>
          <w:hyperlink w:anchor="_Toc202899991" w:history="1">
            <w:r w:rsidRPr="00492332">
              <w:rPr>
                <w:rStyle w:val="Hyperlink"/>
                <w:noProof/>
              </w:rPr>
              <w:t>6.7.5</w:t>
            </w:r>
            <w:r>
              <w:rPr>
                <w:rFonts w:eastAsiaTheme="minorEastAsia"/>
                <w:noProof/>
                <w:spacing w:val="0"/>
                <w:kern w:val="2"/>
                <w:sz w:val="24"/>
                <w:lang w:eastAsia="en-AU"/>
                <w14:ligatures w14:val="standardContextual"/>
              </w:rPr>
              <w:tab/>
            </w:r>
            <w:r w:rsidRPr="00492332">
              <w:rPr>
                <w:rStyle w:val="Hyperlink"/>
                <w:noProof/>
              </w:rPr>
              <w:t>Claims for Reimbursement</w:t>
            </w:r>
            <w:r>
              <w:rPr>
                <w:noProof/>
                <w:webHidden/>
              </w:rPr>
              <w:tab/>
            </w:r>
            <w:r>
              <w:rPr>
                <w:noProof/>
                <w:webHidden/>
              </w:rPr>
              <w:fldChar w:fldCharType="begin"/>
            </w:r>
            <w:r>
              <w:rPr>
                <w:noProof/>
                <w:webHidden/>
              </w:rPr>
              <w:instrText xml:space="preserve"> PAGEREF _Toc202899991 \h </w:instrText>
            </w:r>
            <w:r>
              <w:rPr>
                <w:noProof/>
                <w:webHidden/>
              </w:rPr>
            </w:r>
            <w:r>
              <w:rPr>
                <w:noProof/>
                <w:webHidden/>
              </w:rPr>
              <w:fldChar w:fldCharType="separate"/>
            </w:r>
            <w:r w:rsidR="000D75AE">
              <w:rPr>
                <w:noProof/>
                <w:webHidden/>
              </w:rPr>
              <w:t>127</w:t>
            </w:r>
            <w:r>
              <w:rPr>
                <w:noProof/>
                <w:webHidden/>
              </w:rPr>
              <w:fldChar w:fldCharType="end"/>
            </w:r>
          </w:hyperlink>
        </w:p>
        <w:p w14:paraId="6543B3A3" w14:textId="59F73A58" w:rsidR="00420D51" w:rsidRDefault="00420D51">
          <w:pPr>
            <w:pStyle w:val="TOC2"/>
            <w:rPr>
              <w:rFonts w:eastAsiaTheme="minorEastAsia"/>
              <w:noProof/>
              <w:spacing w:val="0"/>
              <w:kern w:val="2"/>
              <w:sz w:val="24"/>
              <w:lang w:eastAsia="en-AU"/>
              <w14:ligatures w14:val="standardContextual"/>
            </w:rPr>
          </w:pPr>
          <w:hyperlink w:anchor="_Toc202899992" w:history="1">
            <w:r w:rsidRPr="00492332">
              <w:rPr>
                <w:rStyle w:val="Hyperlink"/>
                <w:noProof/>
              </w:rPr>
              <w:t>6.8</w:t>
            </w:r>
            <w:r>
              <w:rPr>
                <w:rFonts w:eastAsiaTheme="minorEastAsia"/>
                <w:noProof/>
                <w:spacing w:val="0"/>
                <w:kern w:val="2"/>
                <w:sz w:val="24"/>
                <w:lang w:eastAsia="en-AU"/>
                <w14:ligatures w14:val="standardContextual"/>
              </w:rPr>
              <w:tab/>
            </w:r>
            <w:r w:rsidRPr="00492332">
              <w:rPr>
                <w:rStyle w:val="Hyperlink"/>
                <w:noProof/>
              </w:rPr>
              <w:t>Employer Engagement and Support</w:t>
            </w:r>
            <w:r>
              <w:rPr>
                <w:noProof/>
                <w:webHidden/>
              </w:rPr>
              <w:tab/>
            </w:r>
            <w:r>
              <w:rPr>
                <w:noProof/>
                <w:webHidden/>
              </w:rPr>
              <w:fldChar w:fldCharType="begin"/>
            </w:r>
            <w:r>
              <w:rPr>
                <w:noProof/>
                <w:webHidden/>
              </w:rPr>
              <w:instrText xml:space="preserve"> PAGEREF _Toc202899992 \h </w:instrText>
            </w:r>
            <w:r>
              <w:rPr>
                <w:noProof/>
                <w:webHidden/>
              </w:rPr>
            </w:r>
            <w:r>
              <w:rPr>
                <w:noProof/>
                <w:webHidden/>
              </w:rPr>
              <w:fldChar w:fldCharType="separate"/>
            </w:r>
            <w:r w:rsidR="000D75AE">
              <w:rPr>
                <w:noProof/>
                <w:webHidden/>
              </w:rPr>
              <w:t>128</w:t>
            </w:r>
            <w:r>
              <w:rPr>
                <w:noProof/>
                <w:webHidden/>
              </w:rPr>
              <w:fldChar w:fldCharType="end"/>
            </w:r>
          </w:hyperlink>
        </w:p>
        <w:p w14:paraId="714F631C" w14:textId="641479D0" w:rsidR="00420D51" w:rsidRDefault="00420D51">
          <w:pPr>
            <w:pStyle w:val="TOC1"/>
            <w:rPr>
              <w:rFonts w:eastAsiaTheme="minorEastAsia"/>
              <w:b w:val="0"/>
              <w:noProof/>
              <w:color w:val="auto"/>
              <w:spacing w:val="0"/>
              <w:kern w:val="2"/>
              <w:sz w:val="24"/>
              <w:lang w:eastAsia="en-AU"/>
              <w14:ligatures w14:val="standardContextual"/>
            </w:rPr>
          </w:pPr>
          <w:hyperlink w:anchor="_Toc202899993" w:history="1">
            <w:r w:rsidRPr="00492332">
              <w:rPr>
                <w:rStyle w:val="Hyperlink"/>
                <w:noProof/>
              </w:rPr>
              <w:t>Chapter 7: Activities</w:t>
            </w:r>
            <w:r>
              <w:rPr>
                <w:noProof/>
                <w:webHidden/>
              </w:rPr>
              <w:tab/>
            </w:r>
            <w:r>
              <w:rPr>
                <w:noProof/>
                <w:webHidden/>
              </w:rPr>
              <w:fldChar w:fldCharType="begin"/>
            </w:r>
            <w:r>
              <w:rPr>
                <w:noProof/>
                <w:webHidden/>
              </w:rPr>
              <w:instrText xml:space="preserve"> PAGEREF _Toc202899993 \h </w:instrText>
            </w:r>
            <w:r>
              <w:rPr>
                <w:noProof/>
                <w:webHidden/>
              </w:rPr>
            </w:r>
            <w:r>
              <w:rPr>
                <w:noProof/>
                <w:webHidden/>
              </w:rPr>
              <w:fldChar w:fldCharType="separate"/>
            </w:r>
            <w:r w:rsidR="000D75AE">
              <w:rPr>
                <w:noProof/>
                <w:webHidden/>
              </w:rPr>
              <w:t>130</w:t>
            </w:r>
            <w:r>
              <w:rPr>
                <w:noProof/>
                <w:webHidden/>
              </w:rPr>
              <w:fldChar w:fldCharType="end"/>
            </w:r>
          </w:hyperlink>
        </w:p>
        <w:p w14:paraId="0D9A136C" w14:textId="4C39E5B2" w:rsidR="00420D51" w:rsidRDefault="00420D51">
          <w:pPr>
            <w:pStyle w:val="TOC2"/>
            <w:rPr>
              <w:rFonts w:eastAsiaTheme="minorEastAsia"/>
              <w:noProof/>
              <w:spacing w:val="0"/>
              <w:kern w:val="2"/>
              <w:sz w:val="24"/>
              <w:lang w:eastAsia="en-AU"/>
              <w14:ligatures w14:val="standardContextual"/>
            </w:rPr>
          </w:pPr>
          <w:hyperlink w:anchor="_Toc202899994" w:history="1">
            <w:r w:rsidRPr="00492332">
              <w:rPr>
                <w:rStyle w:val="Hyperlink"/>
                <w:noProof/>
              </w:rPr>
              <w:t>7.1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_Toc202899994 \h </w:instrText>
            </w:r>
            <w:r>
              <w:rPr>
                <w:noProof/>
                <w:webHidden/>
              </w:rPr>
            </w:r>
            <w:r>
              <w:rPr>
                <w:noProof/>
                <w:webHidden/>
              </w:rPr>
              <w:fldChar w:fldCharType="separate"/>
            </w:r>
            <w:r w:rsidR="000D75AE">
              <w:rPr>
                <w:noProof/>
                <w:webHidden/>
              </w:rPr>
              <w:t>130</w:t>
            </w:r>
            <w:r>
              <w:rPr>
                <w:noProof/>
                <w:webHidden/>
              </w:rPr>
              <w:fldChar w:fldCharType="end"/>
            </w:r>
          </w:hyperlink>
        </w:p>
        <w:p w14:paraId="6AE7DF96" w14:textId="007ABBFB" w:rsidR="00420D51" w:rsidRDefault="00420D51">
          <w:pPr>
            <w:pStyle w:val="TOC2"/>
            <w:rPr>
              <w:rFonts w:eastAsiaTheme="minorEastAsia"/>
              <w:noProof/>
              <w:spacing w:val="0"/>
              <w:kern w:val="2"/>
              <w:sz w:val="24"/>
              <w:lang w:eastAsia="en-AU"/>
              <w14:ligatures w14:val="standardContextual"/>
            </w:rPr>
          </w:pPr>
          <w:hyperlink w:anchor="_Toc202899995" w:history="1">
            <w:r w:rsidRPr="00492332">
              <w:rPr>
                <w:rStyle w:val="Hyperlink"/>
                <w:noProof/>
              </w:rPr>
              <w:t>7.2</w:t>
            </w:r>
            <w:r>
              <w:rPr>
                <w:rFonts w:eastAsiaTheme="minorEastAsia"/>
                <w:noProof/>
                <w:spacing w:val="0"/>
                <w:kern w:val="2"/>
                <w:sz w:val="24"/>
                <w:lang w:eastAsia="en-AU"/>
                <w14:ligatures w14:val="standardContextual"/>
              </w:rPr>
              <w:tab/>
            </w:r>
            <w:r w:rsidRPr="00492332">
              <w:rPr>
                <w:rStyle w:val="Hyperlink"/>
                <w:noProof/>
              </w:rPr>
              <w:t>Types of Activities</w:t>
            </w:r>
            <w:r>
              <w:rPr>
                <w:noProof/>
                <w:webHidden/>
              </w:rPr>
              <w:tab/>
            </w:r>
            <w:r>
              <w:rPr>
                <w:noProof/>
                <w:webHidden/>
              </w:rPr>
              <w:fldChar w:fldCharType="begin"/>
            </w:r>
            <w:r>
              <w:rPr>
                <w:noProof/>
                <w:webHidden/>
              </w:rPr>
              <w:instrText xml:space="preserve"> PAGEREF _Toc202899995 \h </w:instrText>
            </w:r>
            <w:r>
              <w:rPr>
                <w:noProof/>
                <w:webHidden/>
              </w:rPr>
            </w:r>
            <w:r>
              <w:rPr>
                <w:noProof/>
                <w:webHidden/>
              </w:rPr>
              <w:fldChar w:fldCharType="separate"/>
            </w:r>
            <w:r w:rsidR="000D75AE">
              <w:rPr>
                <w:noProof/>
                <w:webHidden/>
              </w:rPr>
              <w:t>131</w:t>
            </w:r>
            <w:r>
              <w:rPr>
                <w:noProof/>
                <w:webHidden/>
              </w:rPr>
              <w:fldChar w:fldCharType="end"/>
            </w:r>
          </w:hyperlink>
        </w:p>
        <w:p w14:paraId="5C797706" w14:textId="5D4067DD" w:rsidR="00420D51" w:rsidRDefault="00420D51">
          <w:pPr>
            <w:pStyle w:val="TOC2"/>
            <w:rPr>
              <w:rFonts w:eastAsiaTheme="minorEastAsia"/>
              <w:noProof/>
              <w:spacing w:val="0"/>
              <w:kern w:val="2"/>
              <w:sz w:val="24"/>
              <w:lang w:eastAsia="en-AU"/>
              <w14:ligatures w14:val="standardContextual"/>
            </w:rPr>
          </w:pPr>
          <w:hyperlink w:anchor="_Toc202899996" w:history="1">
            <w:r w:rsidRPr="00492332">
              <w:rPr>
                <w:rStyle w:val="Hyperlink"/>
                <w:noProof/>
              </w:rPr>
              <w:t>7.3</w:t>
            </w:r>
            <w:r>
              <w:rPr>
                <w:rFonts w:eastAsiaTheme="minorEastAsia"/>
                <w:noProof/>
                <w:spacing w:val="0"/>
                <w:kern w:val="2"/>
                <w:sz w:val="24"/>
                <w:lang w:eastAsia="en-AU"/>
                <w14:ligatures w14:val="standardContextual"/>
              </w:rPr>
              <w:tab/>
            </w:r>
            <w:r w:rsidRPr="00492332">
              <w:rPr>
                <w:rStyle w:val="Hyperlink"/>
                <w:noProof/>
              </w:rPr>
              <w:t>Identifying suitable Activities</w:t>
            </w:r>
            <w:r>
              <w:rPr>
                <w:noProof/>
                <w:webHidden/>
              </w:rPr>
              <w:tab/>
            </w:r>
            <w:r>
              <w:rPr>
                <w:noProof/>
                <w:webHidden/>
              </w:rPr>
              <w:fldChar w:fldCharType="begin"/>
            </w:r>
            <w:r>
              <w:rPr>
                <w:noProof/>
                <w:webHidden/>
              </w:rPr>
              <w:instrText xml:space="preserve"> PAGEREF _Toc202899996 \h </w:instrText>
            </w:r>
            <w:r>
              <w:rPr>
                <w:noProof/>
                <w:webHidden/>
              </w:rPr>
            </w:r>
            <w:r>
              <w:rPr>
                <w:noProof/>
                <w:webHidden/>
              </w:rPr>
              <w:fldChar w:fldCharType="separate"/>
            </w:r>
            <w:r w:rsidR="000D75AE">
              <w:rPr>
                <w:noProof/>
                <w:webHidden/>
              </w:rPr>
              <w:t>131</w:t>
            </w:r>
            <w:r>
              <w:rPr>
                <w:noProof/>
                <w:webHidden/>
              </w:rPr>
              <w:fldChar w:fldCharType="end"/>
            </w:r>
          </w:hyperlink>
        </w:p>
        <w:p w14:paraId="3AD812FF" w14:textId="1D4450A6" w:rsidR="00420D51" w:rsidRDefault="00420D51">
          <w:pPr>
            <w:pStyle w:val="TOC3"/>
            <w:rPr>
              <w:rFonts w:eastAsiaTheme="minorEastAsia"/>
              <w:noProof/>
              <w:spacing w:val="0"/>
              <w:kern w:val="2"/>
              <w:sz w:val="24"/>
              <w:lang w:eastAsia="en-AU"/>
              <w14:ligatures w14:val="standardContextual"/>
            </w:rPr>
          </w:pPr>
          <w:hyperlink w:anchor="_Toc202899997" w:history="1">
            <w:r w:rsidRPr="00492332">
              <w:rPr>
                <w:rStyle w:val="Hyperlink"/>
                <w:noProof/>
              </w:rPr>
              <w:t>7.3.1</w:t>
            </w:r>
            <w:r>
              <w:rPr>
                <w:rFonts w:eastAsiaTheme="minorEastAsia"/>
                <w:noProof/>
                <w:spacing w:val="0"/>
                <w:kern w:val="2"/>
                <w:sz w:val="24"/>
                <w:lang w:eastAsia="en-AU"/>
                <w14:ligatures w14:val="standardContextual"/>
              </w:rPr>
              <w:tab/>
            </w:r>
            <w:r w:rsidRPr="00492332">
              <w:rPr>
                <w:rStyle w:val="Hyperlink"/>
                <w:noProof/>
              </w:rPr>
              <w:t>Inappropriate Activities</w:t>
            </w:r>
            <w:r>
              <w:rPr>
                <w:noProof/>
                <w:webHidden/>
              </w:rPr>
              <w:tab/>
            </w:r>
            <w:r>
              <w:rPr>
                <w:noProof/>
                <w:webHidden/>
              </w:rPr>
              <w:fldChar w:fldCharType="begin"/>
            </w:r>
            <w:r>
              <w:rPr>
                <w:noProof/>
                <w:webHidden/>
              </w:rPr>
              <w:instrText xml:space="preserve"> PAGEREF _Toc202899997 \h </w:instrText>
            </w:r>
            <w:r>
              <w:rPr>
                <w:noProof/>
                <w:webHidden/>
              </w:rPr>
            </w:r>
            <w:r>
              <w:rPr>
                <w:noProof/>
                <w:webHidden/>
              </w:rPr>
              <w:fldChar w:fldCharType="separate"/>
            </w:r>
            <w:r w:rsidR="000D75AE">
              <w:rPr>
                <w:noProof/>
                <w:webHidden/>
              </w:rPr>
              <w:t>132</w:t>
            </w:r>
            <w:r>
              <w:rPr>
                <w:noProof/>
                <w:webHidden/>
              </w:rPr>
              <w:fldChar w:fldCharType="end"/>
            </w:r>
          </w:hyperlink>
        </w:p>
        <w:p w14:paraId="0E5D971B" w14:textId="0D420A1B" w:rsidR="00420D51" w:rsidRDefault="00420D51">
          <w:pPr>
            <w:pStyle w:val="TOC2"/>
            <w:rPr>
              <w:rFonts w:eastAsiaTheme="minorEastAsia"/>
              <w:noProof/>
              <w:spacing w:val="0"/>
              <w:kern w:val="2"/>
              <w:sz w:val="24"/>
              <w:lang w:eastAsia="en-AU"/>
              <w14:ligatures w14:val="standardContextual"/>
            </w:rPr>
          </w:pPr>
          <w:hyperlink w:anchor="_Toc202899998" w:history="1">
            <w:r w:rsidRPr="00492332">
              <w:rPr>
                <w:rStyle w:val="Hyperlink"/>
                <w:noProof/>
              </w:rPr>
              <w:t>7.4</w:t>
            </w:r>
            <w:r>
              <w:rPr>
                <w:rFonts w:eastAsiaTheme="minorEastAsia"/>
                <w:noProof/>
                <w:spacing w:val="0"/>
                <w:kern w:val="2"/>
                <w:sz w:val="24"/>
                <w:lang w:eastAsia="en-AU"/>
                <w14:ligatures w14:val="standardContextual"/>
              </w:rPr>
              <w:tab/>
            </w:r>
            <w:r w:rsidRPr="00492332">
              <w:rPr>
                <w:rStyle w:val="Hyperlink"/>
                <w:noProof/>
              </w:rPr>
              <w:t>Managing Participants in Activities</w:t>
            </w:r>
            <w:r>
              <w:rPr>
                <w:noProof/>
                <w:webHidden/>
              </w:rPr>
              <w:tab/>
            </w:r>
            <w:r>
              <w:rPr>
                <w:noProof/>
                <w:webHidden/>
              </w:rPr>
              <w:fldChar w:fldCharType="begin"/>
            </w:r>
            <w:r>
              <w:rPr>
                <w:noProof/>
                <w:webHidden/>
              </w:rPr>
              <w:instrText xml:space="preserve"> PAGEREF _Toc202899998 \h </w:instrText>
            </w:r>
            <w:r>
              <w:rPr>
                <w:noProof/>
                <w:webHidden/>
              </w:rPr>
            </w:r>
            <w:r>
              <w:rPr>
                <w:noProof/>
                <w:webHidden/>
              </w:rPr>
              <w:fldChar w:fldCharType="separate"/>
            </w:r>
            <w:r w:rsidR="000D75AE">
              <w:rPr>
                <w:noProof/>
                <w:webHidden/>
              </w:rPr>
              <w:t>133</w:t>
            </w:r>
            <w:r>
              <w:rPr>
                <w:noProof/>
                <w:webHidden/>
              </w:rPr>
              <w:fldChar w:fldCharType="end"/>
            </w:r>
          </w:hyperlink>
        </w:p>
        <w:p w14:paraId="377AB1D0" w14:textId="7E408F47" w:rsidR="00420D51" w:rsidRDefault="00420D51">
          <w:pPr>
            <w:pStyle w:val="TOC2"/>
            <w:rPr>
              <w:rFonts w:eastAsiaTheme="minorEastAsia"/>
              <w:noProof/>
              <w:spacing w:val="0"/>
              <w:kern w:val="2"/>
              <w:sz w:val="24"/>
              <w:lang w:eastAsia="en-AU"/>
              <w14:ligatures w14:val="standardContextual"/>
            </w:rPr>
          </w:pPr>
          <w:hyperlink w:anchor="_Toc202899999" w:history="1">
            <w:r w:rsidRPr="00492332">
              <w:rPr>
                <w:rStyle w:val="Hyperlink"/>
                <w:noProof/>
              </w:rPr>
              <w:t>7.5</w:t>
            </w:r>
            <w:r>
              <w:rPr>
                <w:rFonts w:eastAsiaTheme="minorEastAsia"/>
                <w:noProof/>
                <w:spacing w:val="0"/>
                <w:kern w:val="2"/>
                <w:sz w:val="24"/>
                <w:lang w:eastAsia="en-AU"/>
                <w14:ligatures w14:val="standardContextual"/>
              </w:rPr>
              <w:tab/>
            </w:r>
            <w:r w:rsidRPr="00492332">
              <w:rPr>
                <w:rStyle w:val="Hyperlink"/>
                <w:noProof/>
              </w:rPr>
              <w:t>Complementary Activities</w:t>
            </w:r>
            <w:r>
              <w:rPr>
                <w:noProof/>
                <w:webHidden/>
              </w:rPr>
              <w:tab/>
            </w:r>
            <w:r>
              <w:rPr>
                <w:noProof/>
                <w:webHidden/>
              </w:rPr>
              <w:fldChar w:fldCharType="begin"/>
            </w:r>
            <w:r>
              <w:rPr>
                <w:noProof/>
                <w:webHidden/>
              </w:rPr>
              <w:instrText xml:space="preserve"> PAGEREF _Toc202899999 \h </w:instrText>
            </w:r>
            <w:r>
              <w:rPr>
                <w:noProof/>
                <w:webHidden/>
              </w:rPr>
            </w:r>
            <w:r>
              <w:rPr>
                <w:noProof/>
                <w:webHidden/>
              </w:rPr>
              <w:fldChar w:fldCharType="separate"/>
            </w:r>
            <w:r w:rsidR="000D75AE">
              <w:rPr>
                <w:noProof/>
                <w:webHidden/>
              </w:rPr>
              <w:t>134</w:t>
            </w:r>
            <w:r>
              <w:rPr>
                <w:noProof/>
                <w:webHidden/>
              </w:rPr>
              <w:fldChar w:fldCharType="end"/>
            </w:r>
          </w:hyperlink>
        </w:p>
        <w:p w14:paraId="79044B94" w14:textId="6E1DB666" w:rsidR="00420D51" w:rsidRDefault="00420D51">
          <w:pPr>
            <w:pStyle w:val="TOC3"/>
            <w:rPr>
              <w:rFonts w:eastAsiaTheme="minorEastAsia"/>
              <w:noProof/>
              <w:spacing w:val="0"/>
              <w:kern w:val="2"/>
              <w:sz w:val="24"/>
              <w:lang w:eastAsia="en-AU"/>
              <w14:ligatures w14:val="standardContextual"/>
            </w:rPr>
          </w:pPr>
          <w:hyperlink w:anchor="_Toc202900000" w:history="1">
            <w:r w:rsidRPr="00492332">
              <w:rPr>
                <w:rStyle w:val="Hyperlink"/>
                <w:noProof/>
              </w:rPr>
              <w:t>7.5.1</w:t>
            </w:r>
            <w:r>
              <w:rPr>
                <w:rFonts w:eastAsiaTheme="minorEastAsia"/>
                <w:noProof/>
                <w:spacing w:val="0"/>
                <w:kern w:val="2"/>
                <w:sz w:val="24"/>
                <w:lang w:eastAsia="en-AU"/>
                <w14:ligatures w14:val="standardContextual"/>
              </w:rPr>
              <w:tab/>
            </w:r>
            <w:r w:rsidRPr="00492332">
              <w:rPr>
                <w:rStyle w:val="Hyperlink"/>
                <w:noProof/>
              </w:rPr>
              <w:t>Skills for Education and Employment</w:t>
            </w:r>
            <w:r>
              <w:rPr>
                <w:noProof/>
                <w:webHidden/>
              </w:rPr>
              <w:tab/>
            </w:r>
            <w:r>
              <w:rPr>
                <w:noProof/>
                <w:webHidden/>
              </w:rPr>
              <w:fldChar w:fldCharType="begin"/>
            </w:r>
            <w:r>
              <w:rPr>
                <w:noProof/>
                <w:webHidden/>
              </w:rPr>
              <w:instrText xml:space="preserve"> PAGEREF _Toc202900000 \h </w:instrText>
            </w:r>
            <w:r>
              <w:rPr>
                <w:noProof/>
                <w:webHidden/>
              </w:rPr>
            </w:r>
            <w:r>
              <w:rPr>
                <w:noProof/>
                <w:webHidden/>
              </w:rPr>
              <w:fldChar w:fldCharType="separate"/>
            </w:r>
            <w:r w:rsidR="000D75AE">
              <w:rPr>
                <w:noProof/>
                <w:webHidden/>
              </w:rPr>
              <w:t>135</w:t>
            </w:r>
            <w:r>
              <w:rPr>
                <w:noProof/>
                <w:webHidden/>
              </w:rPr>
              <w:fldChar w:fldCharType="end"/>
            </w:r>
          </w:hyperlink>
        </w:p>
        <w:p w14:paraId="34D476DC" w14:textId="657F913A" w:rsidR="00420D51" w:rsidRDefault="00420D51">
          <w:pPr>
            <w:pStyle w:val="TOC3"/>
            <w:rPr>
              <w:rFonts w:eastAsiaTheme="minorEastAsia"/>
              <w:noProof/>
              <w:spacing w:val="0"/>
              <w:kern w:val="2"/>
              <w:sz w:val="24"/>
              <w:lang w:eastAsia="en-AU"/>
              <w14:ligatures w14:val="standardContextual"/>
            </w:rPr>
          </w:pPr>
          <w:hyperlink w:anchor="_Toc202900001" w:history="1">
            <w:r w:rsidRPr="00492332">
              <w:rPr>
                <w:rStyle w:val="Hyperlink"/>
                <w:noProof/>
              </w:rPr>
              <w:t>7.5.2</w:t>
            </w:r>
            <w:r>
              <w:rPr>
                <w:rFonts w:eastAsiaTheme="minorEastAsia"/>
                <w:noProof/>
                <w:spacing w:val="0"/>
                <w:kern w:val="2"/>
                <w:sz w:val="24"/>
                <w:lang w:eastAsia="en-AU"/>
                <w14:ligatures w14:val="standardContextual"/>
              </w:rPr>
              <w:tab/>
            </w:r>
            <w:r w:rsidRPr="00492332">
              <w:rPr>
                <w:rStyle w:val="Hyperlink"/>
                <w:noProof/>
              </w:rPr>
              <w:t>Adult Migrant Education Program</w:t>
            </w:r>
            <w:r>
              <w:rPr>
                <w:noProof/>
                <w:webHidden/>
              </w:rPr>
              <w:tab/>
            </w:r>
            <w:r>
              <w:rPr>
                <w:noProof/>
                <w:webHidden/>
              </w:rPr>
              <w:fldChar w:fldCharType="begin"/>
            </w:r>
            <w:r>
              <w:rPr>
                <w:noProof/>
                <w:webHidden/>
              </w:rPr>
              <w:instrText xml:space="preserve"> PAGEREF _Toc202900001 \h </w:instrText>
            </w:r>
            <w:r>
              <w:rPr>
                <w:noProof/>
                <w:webHidden/>
              </w:rPr>
            </w:r>
            <w:r>
              <w:rPr>
                <w:noProof/>
                <w:webHidden/>
              </w:rPr>
              <w:fldChar w:fldCharType="separate"/>
            </w:r>
            <w:r w:rsidR="000D75AE">
              <w:rPr>
                <w:noProof/>
                <w:webHidden/>
              </w:rPr>
              <w:t>136</w:t>
            </w:r>
            <w:r>
              <w:rPr>
                <w:noProof/>
                <w:webHidden/>
              </w:rPr>
              <w:fldChar w:fldCharType="end"/>
            </w:r>
          </w:hyperlink>
        </w:p>
        <w:p w14:paraId="55E0A6C5" w14:textId="6FF2AB5A" w:rsidR="00420D51" w:rsidRDefault="00420D51">
          <w:pPr>
            <w:pStyle w:val="TOC3"/>
            <w:rPr>
              <w:rFonts w:eastAsiaTheme="minorEastAsia"/>
              <w:noProof/>
              <w:spacing w:val="0"/>
              <w:kern w:val="2"/>
              <w:sz w:val="24"/>
              <w:lang w:eastAsia="en-AU"/>
              <w14:ligatures w14:val="standardContextual"/>
            </w:rPr>
          </w:pPr>
          <w:hyperlink w:anchor="_Toc202900002" w:history="1">
            <w:r w:rsidRPr="00492332">
              <w:rPr>
                <w:rStyle w:val="Hyperlink"/>
                <w:noProof/>
              </w:rPr>
              <w:t>7.5.3</w:t>
            </w:r>
            <w:r>
              <w:rPr>
                <w:rFonts w:eastAsiaTheme="minorEastAsia"/>
                <w:noProof/>
                <w:spacing w:val="0"/>
                <w:kern w:val="2"/>
                <w:sz w:val="24"/>
                <w:lang w:eastAsia="en-AU"/>
                <w14:ligatures w14:val="standardContextual"/>
              </w:rPr>
              <w:tab/>
            </w:r>
            <w:r w:rsidRPr="00492332">
              <w:rPr>
                <w:rStyle w:val="Hyperlink"/>
                <w:noProof/>
              </w:rPr>
              <w:t>Employability Skills Training</w:t>
            </w:r>
            <w:r>
              <w:rPr>
                <w:noProof/>
                <w:webHidden/>
              </w:rPr>
              <w:tab/>
            </w:r>
            <w:r>
              <w:rPr>
                <w:noProof/>
                <w:webHidden/>
              </w:rPr>
              <w:fldChar w:fldCharType="begin"/>
            </w:r>
            <w:r>
              <w:rPr>
                <w:noProof/>
                <w:webHidden/>
              </w:rPr>
              <w:instrText xml:space="preserve"> PAGEREF _Toc202900002 \h </w:instrText>
            </w:r>
            <w:r>
              <w:rPr>
                <w:noProof/>
                <w:webHidden/>
              </w:rPr>
            </w:r>
            <w:r>
              <w:rPr>
                <w:noProof/>
                <w:webHidden/>
              </w:rPr>
              <w:fldChar w:fldCharType="separate"/>
            </w:r>
            <w:r w:rsidR="000D75AE">
              <w:rPr>
                <w:noProof/>
                <w:webHidden/>
              </w:rPr>
              <w:t>138</w:t>
            </w:r>
            <w:r>
              <w:rPr>
                <w:noProof/>
                <w:webHidden/>
              </w:rPr>
              <w:fldChar w:fldCharType="end"/>
            </w:r>
          </w:hyperlink>
        </w:p>
        <w:p w14:paraId="266AAD08" w14:textId="29B45772" w:rsidR="00420D51" w:rsidRDefault="00420D51">
          <w:pPr>
            <w:pStyle w:val="TOC3"/>
            <w:rPr>
              <w:rFonts w:eastAsiaTheme="minorEastAsia"/>
              <w:noProof/>
              <w:spacing w:val="0"/>
              <w:kern w:val="2"/>
              <w:sz w:val="24"/>
              <w:lang w:eastAsia="en-AU"/>
              <w14:ligatures w14:val="standardContextual"/>
            </w:rPr>
          </w:pPr>
          <w:hyperlink w:anchor="_Toc202900003" w:history="1">
            <w:r w:rsidRPr="00492332">
              <w:rPr>
                <w:rStyle w:val="Hyperlink"/>
                <w:noProof/>
              </w:rPr>
              <w:t>7.5.4</w:t>
            </w:r>
            <w:r>
              <w:rPr>
                <w:rFonts w:eastAsiaTheme="minorEastAsia"/>
                <w:noProof/>
                <w:spacing w:val="0"/>
                <w:kern w:val="2"/>
                <w:sz w:val="24"/>
                <w:lang w:eastAsia="en-AU"/>
                <w14:ligatures w14:val="standardContextual"/>
              </w:rPr>
              <w:tab/>
            </w:r>
            <w:r w:rsidRPr="00492332">
              <w:rPr>
                <w:rStyle w:val="Hyperlink"/>
                <w:noProof/>
              </w:rPr>
              <w:t>Career Transition Assistance</w:t>
            </w:r>
            <w:r>
              <w:rPr>
                <w:noProof/>
                <w:webHidden/>
              </w:rPr>
              <w:tab/>
            </w:r>
            <w:r>
              <w:rPr>
                <w:noProof/>
                <w:webHidden/>
              </w:rPr>
              <w:fldChar w:fldCharType="begin"/>
            </w:r>
            <w:r>
              <w:rPr>
                <w:noProof/>
                <w:webHidden/>
              </w:rPr>
              <w:instrText xml:space="preserve"> PAGEREF _Toc202900003 \h </w:instrText>
            </w:r>
            <w:r>
              <w:rPr>
                <w:noProof/>
                <w:webHidden/>
              </w:rPr>
            </w:r>
            <w:r>
              <w:rPr>
                <w:noProof/>
                <w:webHidden/>
              </w:rPr>
              <w:fldChar w:fldCharType="separate"/>
            </w:r>
            <w:r w:rsidR="000D75AE">
              <w:rPr>
                <w:noProof/>
                <w:webHidden/>
              </w:rPr>
              <w:t>139</w:t>
            </w:r>
            <w:r>
              <w:rPr>
                <w:noProof/>
                <w:webHidden/>
              </w:rPr>
              <w:fldChar w:fldCharType="end"/>
            </w:r>
          </w:hyperlink>
        </w:p>
        <w:p w14:paraId="657CE119" w14:textId="30AD6298" w:rsidR="00420D51" w:rsidRDefault="00420D51">
          <w:pPr>
            <w:pStyle w:val="TOC3"/>
            <w:rPr>
              <w:rFonts w:eastAsiaTheme="minorEastAsia"/>
              <w:noProof/>
              <w:spacing w:val="0"/>
              <w:kern w:val="2"/>
              <w:sz w:val="24"/>
              <w:lang w:eastAsia="en-AU"/>
              <w14:ligatures w14:val="standardContextual"/>
            </w:rPr>
          </w:pPr>
          <w:hyperlink w:anchor="_Toc202900004" w:history="1">
            <w:r w:rsidRPr="00492332">
              <w:rPr>
                <w:rStyle w:val="Hyperlink"/>
                <w:noProof/>
              </w:rPr>
              <w:t>7.5.5</w:t>
            </w:r>
            <w:r>
              <w:rPr>
                <w:rFonts w:eastAsiaTheme="minorEastAsia"/>
                <w:noProof/>
                <w:spacing w:val="0"/>
                <w:kern w:val="2"/>
                <w:sz w:val="24"/>
                <w:lang w:eastAsia="en-AU"/>
                <w14:ligatures w14:val="standardContextual"/>
              </w:rPr>
              <w:tab/>
            </w:r>
            <w:r w:rsidRPr="00492332">
              <w:rPr>
                <w:rStyle w:val="Hyperlink"/>
                <w:noProof/>
              </w:rPr>
              <w:t>Self-Employment Assistance</w:t>
            </w:r>
            <w:r>
              <w:rPr>
                <w:noProof/>
                <w:webHidden/>
              </w:rPr>
              <w:tab/>
            </w:r>
            <w:r>
              <w:rPr>
                <w:noProof/>
                <w:webHidden/>
              </w:rPr>
              <w:fldChar w:fldCharType="begin"/>
            </w:r>
            <w:r>
              <w:rPr>
                <w:noProof/>
                <w:webHidden/>
              </w:rPr>
              <w:instrText xml:space="preserve"> PAGEREF _Toc202900004 \h </w:instrText>
            </w:r>
            <w:r>
              <w:rPr>
                <w:noProof/>
                <w:webHidden/>
              </w:rPr>
            </w:r>
            <w:r>
              <w:rPr>
                <w:noProof/>
                <w:webHidden/>
              </w:rPr>
              <w:fldChar w:fldCharType="separate"/>
            </w:r>
            <w:r w:rsidR="000D75AE">
              <w:rPr>
                <w:noProof/>
                <w:webHidden/>
              </w:rPr>
              <w:t>141</w:t>
            </w:r>
            <w:r>
              <w:rPr>
                <w:noProof/>
                <w:webHidden/>
              </w:rPr>
              <w:fldChar w:fldCharType="end"/>
            </w:r>
          </w:hyperlink>
        </w:p>
        <w:p w14:paraId="02D46A15" w14:textId="2A6D076E" w:rsidR="00420D51" w:rsidRDefault="00420D51">
          <w:pPr>
            <w:pStyle w:val="TOC2"/>
            <w:rPr>
              <w:rFonts w:eastAsiaTheme="minorEastAsia"/>
              <w:noProof/>
              <w:spacing w:val="0"/>
              <w:kern w:val="2"/>
              <w:sz w:val="24"/>
              <w:lang w:eastAsia="en-AU"/>
              <w14:ligatures w14:val="standardContextual"/>
            </w:rPr>
          </w:pPr>
          <w:hyperlink w:anchor="_Toc202900005" w:history="1">
            <w:r w:rsidRPr="00492332">
              <w:rPr>
                <w:rStyle w:val="Hyperlink"/>
                <w:noProof/>
              </w:rPr>
              <w:t>7.6</w:t>
            </w:r>
            <w:r>
              <w:rPr>
                <w:rFonts w:eastAsiaTheme="minorEastAsia"/>
                <w:noProof/>
                <w:spacing w:val="0"/>
                <w:kern w:val="2"/>
                <w:sz w:val="24"/>
                <w:lang w:eastAsia="en-AU"/>
                <w14:ligatures w14:val="standardContextual"/>
              </w:rPr>
              <w:tab/>
            </w:r>
            <w:r w:rsidRPr="00492332">
              <w:rPr>
                <w:rStyle w:val="Hyperlink"/>
                <w:noProof/>
              </w:rPr>
              <w:t>Specified Activities</w:t>
            </w:r>
            <w:r>
              <w:rPr>
                <w:noProof/>
                <w:webHidden/>
              </w:rPr>
              <w:tab/>
            </w:r>
            <w:r>
              <w:rPr>
                <w:noProof/>
                <w:webHidden/>
              </w:rPr>
              <w:fldChar w:fldCharType="begin"/>
            </w:r>
            <w:r>
              <w:rPr>
                <w:noProof/>
                <w:webHidden/>
              </w:rPr>
              <w:instrText xml:space="preserve"> PAGEREF _Toc202900005 \h </w:instrText>
            </w:r>
            <w:r>
              <w:rPr>
                <w:noProof/>
                <w:webHidden/>
              </w:rPr>
            </w:r>
            <w:r>
              <w:rPr>
                <w:noProof/>
                <w:webHidden/>
              </w:rPr>
              <w:fldChar w:fldCharType="separate"/>
            </w:r>
            <w:r w:rsidR="000D75AE">
              <w:rPr>
                <w:noProof/>
                <w:webHidden/>
              </w:rPr>
              <w:t>143</w:t>
            </w:r>
            <w:r>
              <w:rPr>
                <w:noProof/>
                <w:webHidden/>
              </w:rPr>
              <w:fldChar w:fldCharType="end"/>
            </w:r>
          </w:hyperlink>
        </w:p>
        <w:p w14:paraId="29F64D9F" w14:textId="54E9CE04" w:rsidR="00420D51" w:rsidRDefault="00420D51">
          <w:pPr>
            <w:pStyle w:val="TOC3"/>
            <w:rPr>
              <w:rFonts w:eastAsiaTheme="minorEastAsia"/>
              <w:noProof/>
              <w:spacing w:val="0"/>
              <w:kern w:val="2"/>
              <w:sz w:val="24"/>
              <w:lang w:eastAsia="en-AU"/>
              <w14:ligatures w14:val="standardContextual"/>
            </w:rPr>
          </w:pPr>
          <w:hyperlink w:anchor="_Toc202900006" w:history="1">
            <w:r w:rsidRPr="00492332">
              <w:rPr>
                <w:rStyle w:val="Hyperlink"/>
                <w:noProof/>
              </w:rPr>
              <w:t>7.6.1</w:t>
            </w:r>
            <w:r>
              <w:rPr>
                <w:rFonts w:eastAsiaTheme="minorEastAsia"/>
                <w:noProof/>
                <w:spacing w:val="0"/>
                <w:kern w:val="2"/>
                <w:sz w:val="24"/>
                <w:lang w:eastAsia="en-AU"/>
                <w14:ligatures w14:val="standardContextual"/>
              </w:rPr>
              <w:tab/>
            </w:r>
            <w:r w:rsidRPr="00492332">
              <w:rPr>
                <w:rStyle w:val="Hyperlink"/>
                <w:noProof/>
              </w:rPr>
              <w:t>Provider Sourced Voluntary Work</w:t>
            </w:r>
            <w:r>
              <w:rPr>
                <w:noProof/>
                <w:webHidden/>
              </w:rPr>
              <w:tab/>
            </w:r>
            <w:r>
              <w:rPr>
                <w:noProof/>
                <w:webHidden/>
              </w:rPr>
              <w:fldChar w:fldCharType="begin"/>
            </w:r>
            <w:r>
              <w:rPr>
                <w:noProof/>
                <w:webHidden/>
              </w:rPr>
              <w:instrText xml:space="preserve"> PAGEREF _Toc202900006 \h </w:instrText>
            </w:r>
            <w:r>
              <w:rPr>
                <w:noProof/>
                <w:webHidden/>
              </w:rPr>
            </w:r>
            <w:r>
              <w:rPr>
                <w:noProof/>
                <w:webHidden/>
              </w:rPr>
              <w:fldChar w:fldCharType="separate"/>
            </w:r>
            <w:r w:rsidR="000D75AE">
              <w:rPr>
                <w:noProof/>
                <w:webHidden/>
              </w:rPr>
              <w:t>143</w:t>
            </w:r>
            <w:r>
              <w:rPr>
                <w:noProof/>
                <w:webHidden/>
              </w:rPr>
              <w:fldChar w:fldCharType="end"/>
            </w:r>
          </w:hyperlink>
        </w:p>
        <w:p w14:paraId="690C83C2" w14:textId="32680B23" w:rsidR="00420D51" w:rsidRDefault="00420D51">
          <w:pPr>
            <w:pStyle w:val="TOC3"/>
            <w:rPr>
              <w:rFonts w:eastAsiaTheme="minorEastAsia"/>
              <w:noProof/>
              <w:spacing w:val="0"/>
              <w:kern w:val="2"/>
              <w:sz w:val="24"/>
              <w:lang w:eastAsia="en-AU"/>
              <w14:ligatures w14:val="standardContextual"/>
            </w:rPr>
          </w:pPr>
          <w:hyperlink w:anchor="_Toc202900007" w:history="1">
            <w:r w:rsidRPr="00492332">
              <w:rPr>
                <w:rStyle w:val="Hyperlink"/>
                <w:noProof/>
              </w:rPr>
              <w:t>7.6.2</w:t>
            </w:r>
            <w:r>
              <w:rPr>
                <w:rFonts w:eastAsiaTheme="minorEastAsia"/>
                <w:noProof/>
                <w:spacing w:val="0"/>
                <w:kern w:val="2"/>
                <w:sz w:val="24"/>
                <w:lang w:eastAsia="en-AU"/>
                <w14:ligatures w14:val="standardContextual"/>
              </w:rPr>
              <w:tab/>
            </w:r>
            <w:r w:rsidRPr="00492332">
              <w:rPr>
                <w:rStyle w:val="Hyperlink"/>
                <w:noProof/>
              </w:rPr>
              <w:t>Observational Work Experience</w:t>
            </w:r>
            <w:r>
              <w:rPr>
                <w:noProof/>
                <w:webHidden/>
              </w:rPr>
              <w:tab/>
            </w:r>
            <w:r>
              <w:rPr>
                <w:noProof/>
                <w:webHidden/>
              </w:rPr>
              <w:fldChar w:fldCharType="begin"/>
            </w:r>
            <w:r>
              <w:rPr>
                <w:noProof/>
                <w:webHidden/>
              </w:rPr>
              <w:instrText xml:space="preserve"> PAGEREF _Toc202900007 \h </w:instrText>
            </w:r>
            <w:r>
              <w:rPr>
                <w:noProof/>
                <w:webHidden/>
              </w:rPr>
            </w:r>
            <w:r>
              <w:rPr>
                <w:noProof/>
                <w:webHidden/>
              </w:rPr>
              <w:fldChar w:fldCharType="separate"/>
            </w:r>
            <w:r w:rsidR="000D75AE">
              <w:rPr>
                <w:noProof/>
                <w:webHidden/>
              </w:rPr>
              <w:t>145</w:t>
            </w:r>
            <w:r>
              <w:rPr>
                <w:noProof/>
                <w:webHidden/>
              </w:rPr>
              <w:fldChar w:fldCharType="end"/>
            </w:r>
          </w:hyperlink>
        </w:p>
        <w:p w14:paraId="2027A6C2" w14:textId="40A5593F" w:rsidR="00420D51" w:rsidRDefault="00420D51">
          <w:pPr>
            <w:pStyle w:val="TOC3"/>
            <w:rPr>
              <w:rFonts w:eastAsiaTheme="minorEastAsia"/>
              <w:noProof/>
              <w:spacing w:val="0"/>
              <w:kern w:val="2"/>
              <w:sz w:val="24"/>
              <w:lang w:eastAsia="en-AU"/>
              <w14:ligatures w14:val="standardContextual"/>
            </w:rPr>
          </w:pPr>
          <w:hyperlink w:anchor="_Toc202900008" w:history="1">
            <w:r w:rsidRPr="00492332">
              <w:rPr>
                <w:rStyle w:val="Hyperlink"/>
                <w:noProof/>
              </w:rPr>
              <w:t>7.6.3</w:t>
            </w:r>
            <w:r>
              <w:rPr>
                <w:rFonts w:eastAsiaTheme="minorEastAsia"/>
                <w:noProof/>
                <w:spacing w:val="0"/>
                <w:kern w:val="2"/>
                <w:sz w:val="24"/>
                <w:lang w:eastAsia="en-AU"/>
                <w14:ligatures w14:val="standardContextual"/>
              </w:rPr>
              <w:tab/>
            </w:r>
            <w:r w:rsidRPr="00492332">
              <w:rPr>
                <w:rStyle w:val="Hyperlink"/>
                <w:noProof/>
              </w:rPr>
              <w:t>Eligible Host Organisations</w:t>
            </w:r>
            <w:r>
              <w:rPr>
                <w:noProof/>
                <w:webHidden/>
              </w:rPr>
              <w:tab/>
            </w:r>
            <w:r>
              <w:rPr>
                <w:noProof/>
                <w:webHidden/>
              </w:rPr>
              <w:fldChar w:fldCharType="begin"/>
            </w:r>
            <w:r>
              <w:rPr>
                <w:noProof/>
                <w:webHidden/>
              </w:rPr>
              <w:instrText xml:space="preserve"> PAGEREF _Toc202900008 \h </w:instrText>
            </w:r>
            <w:r>
              <w:rPr>
                <w:noProof/>
                <w:webHidden/>
              </w:rPr>
            </w:r>
            <w:r>
              <w:rPr>
                <w:noProof/>
                <w:webHidden/>
              </w:rPr>
              <w:fldChar w:fldCharType="separate"/>
            </w:r>
            <w:r w:rsidR="000D75AE">
              <w:rPr>
                <w:noProof/>
                <w:webHidden/>
              </w:rPr>
              <w:t>147</w:t>
            </w:r>
            <w:r>
              <w:rPr>
                <w:noProof/>
                <w:webHidden/>
              </w:rPr>
              <w:fldChar w:fldCharType="end"/>
            </w:r>
          </w:hyperlink>
        </w:p>
        <w:p w14:paraId="2C352EEE" w14:textId="186D8C5C" w:rsidR="00420D51" w:rsidRDefault="00420D51">
          <w:pPr>
            <w:pStyle w:val="TOC3"/>
            <w:rPr>
              <w:rFonts w:eastAsiaTheme="minorEastAsia"/>
              <w:noProof/>
              <w:spacing w:val="0"/>
              <w:kern w:val="2"/>
              <w:sz w:val="24"/>
              <w:lang w:eastAsia="en-AU"/>
              <w14:ligatures w14:val="standardContextual"/>
            </w:rPr>
          </w:pPr>
          <w:hyperlink w:anchor="_Toc202900009" w:history="1">
            <w:r w:rsidRPr="00492332">
              <w:rPr>
                <w:rStyle w:val="Hyperlink"/>
                <w:noProof/>
              </w:rPr>
              <w:t>7.6.4</w:t>
            </w:r>
            <w:r>
              <w:rPr>
                <w:rFonts w:eastAsiaTheme="minorEastAsia"/>
                <w:noProof/>
                <w:spacing w:val="0"/>
                <w:kern w:val="2"/>
                <w:sz w:val="24"/>
                <w:lang w:eastAsia="en-AU"/>
                <w14:ligatures w14:val="standardContextual"/>
              </w:rPr>
              <w:tab/>
            </w:r>
            <w:r w:rsidRPr="00492332">
              <w:rPr>
                <w:rStyle w:val="Hyperlink"/>
                <w:noProof/>
              </w:rPr>
              <w:t>Host Agreements</w:t>
            </w:r>
            <w:r>
              <w:rPr>
                <w:noProof/>
                <w:webHidden/>
              </w:rPr>
              <w:tab/>
            </w:r>
            <w:r>
              <w:rPr>
                <w:noProof/>
                <w:webHidden/>
              </w:rPr>
              <w:fldChar w:fldCharType="begin"/>
            </w:r>
            <w:r>
              <w:rPr>
                <w:noProof/>
                <w:webHidden/>
              </w:rPr>
              <w:instrText xml:space="preserve"> PAGEREF _Toc202900009 \h </w:instrText>
            </w:r>
            <w:r>
              <w:rPr>
                <w:noProof/>
                <w:webHidden/>
              </w:rPr>
            </w:r>
            <w:r>
              <w:rPr>
                <w:noProof/>
                <w:webHidden/>
              </w:rPr>
              <w:fldChar w:fldCharType="separate"/>
            </w:r>
            <w:r w:rsidR="000D75AE">
              <w:rPr>
                <w:noProof/>
                <w:webHidden/>
              </w:rPr>
              <w:t>147</w:t>
            </w:r>
            <w:r>
              <w:rPr>
                <w:noProof/>
                <w:webHidden/>
              </w:rPr>
              <w:fldChar w:fldCharType="end"/>
            </w:r>
          </w:hyperlink>
        </w:p>
        <w:p w14:paraId="0F561AC2" w14:textId="38905710" w:rsidR="00420D51" w:rsidRDefault="00420D51">
          <w:pPr>
            <w:pStyle w:val="TOC2"/>
            <w:rPr>
              <w:rFonts w:eastAsiaTheme="minorEastAsia"/>
              <w:noProof/>
              <w:spacing w:val="0"/>
              <w:kern w:val="2"/>
              <w:sz w:val="24"/>
              <w:lang w:eastAsia="en-AU"/>
              <w14:ligatures w14:val="standardContextual"/>
            </w:rPr>
          </w:pPr>
          <w:hyperlink w:anchor="_Toc202900010" w:history="1">
            <w:r w:rsidRPr="00492332">
              <w:rPr>
                <w:rStyle w:val="Hyperlink"/>
                <w:noProof/>
              </w:rPr>
              <w:t>7.7</w:t>
            </w:r>
            <w:r>
              <w:rPr>
                <w:rFonts w:eastAsiaTheme="minorEastAsia"/>
                <w:noProof/>
                <w:spacing w:val="0"/>
                <w:kern w:val="2"/>
                <w:sz w:val="24"/>
                <w:lang w:eastAsia="en-AU"/>
                <w14:ligatures w14:val="standardContextual"/>
              </w:rPr>
              <w:tab/>
            </w:r>
            <w:r w:rsidRPr="00492332">
              <w:rPr>
                <w:rStyle w:val="Hyperlink"/>
                <w:noProof/>
              </w:rPr>
              <w:t>Other Activities</w:t>
            </w:r>
            <w:r>
              <w:rPr>
                <w:noProof/>
                <w:webHidden/>
              </w:rPr>
              <w:tab/>
            </w:r>
            <w:r>
              <w:rPr>
                <w:noProof/>
                <w:webHidden/>
              </w:rPr>
              <w:fldChar w:fldCharType="begin"/>
            </w:r>
            <w:r>
              <w:rPr>
                <w:noProof/>
                <w:webHidden/>
              </w:rPr>
              <w:instrText xml:space="preserve"> PAGEREF _Toc202900010 \h </w:instrText>
            </w:r>
            <w:r>
              <w:rPr>
                <w:noProof/>
                <w:webHidden/>
              </w:rPr>
            </w:r>
            <w:r>
              <w:rPr>
                <w:noProof/>
                <w:webHidden/>
              </w:rPr>
              <w:fldChar w:fldCharType="separate"/>
            </w:r>
            <w:r w:rsidR="000D75AE">
              <w:rPr>
                <w:noProof/>
                <w:webHidden/>
              </w:rPr>
              <w:t>148</w:t>
            </w:r>
            <w:r>
              <w:rPr>
                <w:noProof/>
                <w:webHidden/>
              </w:rPr>
              <w:fldChar w:fldCharType="end"/>
            </w:r>
          </w:hyperlink>
        </w:p>
        <w:p w14:paraId="754D4416" w14:textId="5E87B4BB" w:rsidR="00420D51" w:rsidRDefault="00420D51">
          <w:pPr>
            <w:pStyle w:val="TOC3"/>
            <w:rPr>
              <w:rFonts w:eastAsiaTheme="minorEastAsia"/>
              <w:noProof/>
              <w:spacing w:val="0"/>
              <w:kern w:val="2"/>
              <w:sz w:val="24"/>
              <w:lang w:eastAsia="en-AU"/>
              <w14:ligatures w14:val="standardContextual"/>
            </w:rPr>
          </w:pPr>
          <w:hyperlink w:anchor="_Toc202900011" w:history="1">
            <w:r w:rsidRPr="00492332">
              <w:rPr>
                <w:rStyle w:val="Hyperlink"/>
                <w:noProof/>
              </w:rPr>
              <w:t>7.7.1</w:t>
            </w:r>
            <w:r>
              <w:rPr>
                <w:rFonts w:eastAsiaTheme="minorEastAsia"/>
                <w:noProof/>
                <w:spacing w:val="0"/>
                <w:kern w:val="2"/>
                <w:sz w:val="24"/>
                <w:lang w:eastAsia="en-AU"/>
                <w14:ligatures w14:val="standardContextual"/>
              </w:rPr>
              <w:tab/>
            </w:r>
            <w:r w:rsidRPr="00492332">
              <w:rPr>
                <w:rStyle w:val="Hyperlink"/>
                <w:noProof/>
              </w:rPr>
              <w:t>Paid Employment</w:t>
            </w:r>
            <w:r>
              <w:rPr>
                <w:noProof/>
                <w:webHidden/>
              </w:rPr>
              <w:tab/>
            </w:r>
            <w:r>
              <w:rPr>
                <w:noProof/>
                <w:webHidden/>
              </w:rPr>
              <w:fldChar w:fldCharType="begin"/>
            </w:r>
            <w:r>
              <w:rPr>
                <w:noProof/>
                <w:webHidden/>
              </w:rPr>
              <w:instrText xml:space="preserve"> PAGEREF _Toc202900011 \h </w:instrText>
            </w:r>
            <w:r>
              <w:rPr>
                <w:noProof/>
                <w:webHidden/>
              </w:rPr>
            </w:r>
            <w:r>
              <w:rPr>
                <w:noProof/>
                <w:webHidden/>
              </w:rPr>
              <w:fldChar w:fldCharType="separate"/>
            </w:r>
            <w:r w:rsidR="000D75AE">
              <w:rPr>
                <w:noProof/>
                <w:webHidden/>
              </w:rPr>
              <w:t>149</w:t>
            </w:r>
            <w:r>
              <w:rPr>
                <w:noProof/>
                <w:webHidden/>
              </w:rPr>
              <w:fldChar w:fldCharType="end"/>
            </w:r>
          </w:hyperlink>
        </w:p>
        <w:p w14:paraId="303A085D" w14:textId="6FF0AFF1" w:rsidR="00420D51" w:rsidRDefault="00420D51">
          <w:pPr>
            <w:pStyle w:val="TOC3"/>
            <w:rPr>
              <w:rFonts w:eastAsiaTheme="minorEastAsia"/>
              <w:noProof/>
              <w:spacing w:val="0"/>
              <w:kern w:val="2"/>
              <w:sz w:val="24"/>
              <w:lang w:eastAsia="en-AU"/>
              <w14:ligatures w14:val="standardContextual"/>
            </w:rPr>
          </w:pPr>
          <w:hyperlink w:anchor="_Toc202900012" w:history="1">
            <w:r w:rsidRPr="00492332">
              <w:rPr>
                <w:rStyle w:val="Hyperlink"/>
                <w:noProof/>
              </w:rPr>
              <w:t>7.7.2</w:t>
            </w:r>
            <w:r>
              <w:rPr>
                <w:rFonts w:eastAsiaTheme="minorEastAsia"/>
                <w:noProof/>
                <w:spacing w:val="0"/>
                <w:kern w:val="2"/>
                <w:sz w:val="24"/>
                <w:lang w:eastAsia="en-AU"/>
                <w14:ligatures w14:val="standardContextual"/>
              </w:rPr>
              <w:tab/>
            </w:r>
            <w:r w:rsidRPr="00492332">
              <w:rPr>
                <w:rStyle w:val="Hyperlink"/>
                <w:noProof/>
              </w:rPr>
              <w:t>Education and Training</w:t>
            </w:r>
            <w:r>
              <w:rPr>
                <w:noProof/>
                <w:webHidden/>
              </w:rPr>
              <w:tab/>
            </w:r>
            <w:r>
              <w:rPr>
                <w:noProof/>
                <w:webHidden/>
              </w:rPr>
              <w:fldChar w:fldCharType="begin"/>
            </w:r>
            <w:r>
              <w:rPr>
                <w:noProof/>
                <w:webHidden/>
              </w:rPr>
              <w:instrText xml:space="preserve"> PAGEREF _Toc202900012 \h </w:instrText>
            </w:r>
            <w:r>
              <w:rPr>
                <w:noProof/>
                <w:webHidden/>
              </w:rPr>
            </w:r>
            <w:r>
              <w:rPr>
                <w:noProof/>
                <w:webHidden/>
              </w:rPr>
              <w:fldChar w:fldCharType="separate"/>
            </w:r>
            <w:r w:rsidR="000D75AE">
              <w:rPr>
                <w:noProof/>
                <w:webHidden/>
              </w:rPr>
              <w:t>150</w:t>
            </w:r>
            <w:r>
              <w:rPr>
                <w:noProof/>
                <w:webHidden/>
              </w:rPr>
              <w:fldChar w:fldCharType="end"/>
            </w:r>
          </w:hyperlink>
        </w:p>
        <w:p w14:paraId="3D5FA1BD" w14:textId="4ACAF1A5" w:rsidR="00420D51" w:rsidRDefault="00420D51">
          <w:pPr>
            <w:pStyle w:val="TOC3"/>
            <w:rPr>
              <w:rFonts w:eastAsiaTheme="minorEastAsia"/>
              <w:noProof/>
              <w:spacing w:val="0"/>
              <w:kern w:val="2"/>
              <w:sz w:val="24"/>
              <w:lang w:eastAsia="en-AU"/>
              <w14:ligatures w14:val="standardContextual"/>
            </w:rPr>
          </w:pPr>
          <w:hyperlink w:anchor="_Toc202900013" w:history="1">
            <w:r w:rsidRPr="00492332">
              <w:rPr>
                <w:rStyle w:val="Hyperlink"/>
                <w:noProof/>
              </w:rPr>
              <w:t>7.7.3</w:t>
            </w:r>
            <w:r>
              <w:rPr>
                <w:rFonts w:eastAsiaTheme="minorEastAsia"/>
                <w:noProof/>
                <w:spacing w:val="0"/>
                <w:kern w:val="2"/>
                <w:sz w:val="24"/>
                <w:lang w:eastAsia="en-AU"/>
                <w14:ligatures w14:val="standardContextual"/>
              </w:rPr>
              <w:tab/>
            </w:r>
            <w:r w:rsidRPr="00492332">
              <w:rPr>
                <w:rStyle w:val="Hyperlink"/>
                <w:noProof/>
              </w:rPr>
              <w:t>Participant Sourced Voluntary Work</w:t>
            </w:r>
            <w:r>
              <w:rPr>
                <w:noProof/>
                <w:webHidden/>
              </w:rPr>
              <w:tab/>
            </w:r>
            <w:r>
              <w:rPr>
                <w:noProof/>
                <w:webHidden/>
              </w:rPr>
              <w:fldChar w:fldCharType="begin"/>
            </w:r>
            <w:r>
              <w:rPr>
                <w:noProof/>
                <w:webHidden/>
              </w:rPr>
              <w:instrText xml:space="preserve"> PAGEREF _Toc202900013 \h </w:instrText>
            </w:r>
            <w:r>
              <w:rPr>
                <w:noProof/>
                <w:webHidden/>
              </w:rPr>
            </w:r>
            <w:r>
              <w:rPr>
                <w:noProof/>
                <w:webHidden/>
              </w:rPr>
              <w:fldChar w:fldCharType="separate"/>
            </w:r>
            <w:r w:rsidR="000D75AE">
              <w:rPr>
                <w:noProof/>
                <w:webHidden/>
              </w:rPr>
              <w:t>151</w:t>
            </w:r>
            <w:r>
              <w:rPr>
                <w:noProof/>
                <w:webHidden/>
              </w:rPr>
              <w:fldChar w:fldCharType="end"/>
            </w:r>
          </w:hyperlink>
        </w:p>
        <w:p w14:paraId="18CCB437" w14:textId="2B267585" w:rsidR="00420D51" w:rsidRDefault="00420D51">
          <w:pPr>
            <w:pStyle w:val="TOC3"/>
            <w:rPr>
              <w:rFonts w:eastAsiaTheme="minorEastAsia"/>
              <w:noProof/>
              <w:spacing w:val="0"/>
              <w:kern w:val="2"/>
              <w:sz w:val="24"/>
              <w:lang w:eastAsia="en-AU"/>
              <w14:ligatures w14:val="standardContextual"/>
            </w:rPr>
          </w:pPr>
          <w:hyperlink w:anchor="_Toc202900014" w:history="1">
            <w:r w:rsidRPr="00492332">
              <w:rPr>
                <w:rStyle w:val="Hyperlink"/>
                <w:noProof/>
              </w:rPr>
              <w:t>7.7.4</w:t>
            </w:r>
            <w:r>
              <w:rPr>
                <w:rFonts w:eastAsiaTheme="minorEastAsia"/>
                <w:noProof/>
                <w:spacing w:val="0"/>
                <w:kern w:val="2"/>
                <w:sz w:val="24"/>
                <w:lang w:eastAsia="en-AU"/>
                <w14:ligatures w14:val="standardContextual"/>
              </w:rPr>
              <w:tab/>
            </w:r>
            <w:r w:rsidRPr="00492332">
              <w:rPr>
                <w:rStyle w:val="Hyperlink"/>
                <w:noProof/>
              </w:rPr>
              <w:t>Other government programs</w:t>
            </w:r>
            <w:r>
              <w:rPr>
                <w:noProof/>
                <w:webHidden/>
              </w:rPr>
              <w:tab/>
            </w:r>
            <w:r>
              <w:rPr>
                <w:noProof/>
                <w:webHidden/>
              </w:rPr>
              <w:fldChar w:fldCharType="begin"/>
            </w:r>
            <w:r>
              <w:rPr>
                <w:noProof/>
                <w:webHidden/>
              </w:rPr>
              <w:instrText xml:space="preserve"> PAGEREF _Toc202900014 \h </w:instrText>
            </w:r>
            <w:r>
              <w:rPr>
                <w:noProof/>
                <w:webHidden/>
              </w:rPr>
            </w:r>
            <w:r>
              <w:rPr>
                <w:noProof/>
                <w:webHidden/>
              </w:rPr>
              <w:fldChar w:fldCharType="separate"/>
            </w:r>
            <w:r w:rsidR="000D75AE">
              <w:rPr>
                <w:noProof/>
                <w:webHidden/>
              </w:rPr>
              <w:t>152</w:t>
            </w:r>
            <w:r>
              <w:rPr>
                <w:noProof/>
                <w:webHidden/>
              </w:rPr>
              <w:fldChar w:fldCharType="end"/>
            </w:r>
          </w:hyperlink>
        </w:p>
        <w:p w14:paraId="002A72AF" w14:textId="2B86FA99" w:rsidR="00420D51" w:rsidRDefault="00420D51">
          <w:pPr>
            <w:pStyle w:val="TOC3"/>
            <w:rPr>
              <w:rFonts w:eastAsiaTheme="minorEastAsia"/>
              <w:noProof/>
              <w:spacing w:val="0"/>
              <w:kern w:val="2"/>
              <w:sz w:val="24"/>
              <w:lang w:eastAsia="en-AU"/>
              <w14:ligatures w14:val="standardContextual"/>
            </w:rPr>
          </w:pPr>
          <w:hyperlink w:anchor="_Toc202900015" w:history="1">
            <w:r w:rsidRPr="00492332">
              <w:rPr>
                <w:rStyle w:val="Hyperlink"/>
                <w:noProof/>
                <w:lang w:val="en-GB"/>
              </w:rPr>
              <w:t>7.7.5</w:t>
            </w:r>
            <w:r>
              <w:rPr>
                <w:rFonts w:eastAsiaTheme="minorEastAsia"/>
                <w:noProof/>
                <w:spacing w:val="0"/>
                <w:kern w:val="2"/>
                <w:sz w:val="24"/>
                <w:lang w:eastAsia="en-AU"/>
                <w14:ligatures w14:val="standardContextual"/>
              </w:rPr>
              <w:tab/>
            </w:r>
            <w:r w:rsidRPr="00492332">
              <w:rPr>
                <w:rStyle w:val="Hyperlink"/>
                <w:noProof/>
                <w:lang w:val="en-GB"/>
              </w:rPr>
              <w:t>Interventions and other non-vocational supports</w:t>
            </w:r>
            <w:r>
              <w:rPr>
                <w:noProof/>
                <w:webHidden/>
              </w:rPr>
              <w:tab/>
            </w:r>
            <w:r>
              <w:rPr>
                <w:noProof/>
                <w:webHidden/>
              </w:rPr>
              <w:fldChar w:fldCharType="begin"/>
            </w:r>
            <w:r>
              <w:rPr>
                <w:noProof/>
                <w:webHidden/>
              </w:rPr>
              <w:instrText xml:space="preserve"> PAGEREF _Toc202900015 \h </w:instrText>
            </w:r>
            <w:r>
              <w:rPr>
                <w:noProof/>
                <w:webHidden/>
              </w:rPr>
            </w:r>
            <w:r>
              <w:rPr>
                <w:noProof/>
                <w:webHidden/>
              </w:rPr>
              <w:fldChar w:fldCharType="separate"/>
            </w:r>
            <w:r w:rsidR="000D75AE">
              <w:rPr>
                <w:noProof/>
                <w:webHidden/>
              </w:rPr>
              <w:t>152</w:t>
            </w:r>
            <w:r>
              <w:rPr>
                <w:noProof/>
                <w:webHidden/>
              </w:rPr>
              <w:fldChar w:fldCharType="end"/>
            </w:r>
          </w:hyperlink>
        </w:p>
        <w:p w14:paraId="777E48BC" w14:textId="1ECCCF19" w:rsidR="00420D51" w:rsidRDefault="00420D51">
          <w:pPr>
            <w:pStyle w:val="TOC2"/>
            <w:rPr>
              <w:rFonts w:eastAsiaTheme="minorEastAsia"/>
              <w:noProof/>
              <w:spacing w:val="0"/>
              <w:kern w:val="2"/>
              <w:sz w:val="24"/>
              <w:lang w:eastAsia="en-AU"/>
              <w14:ligatures w14:val="standardContextual"/>
            </w:rPr>
          </w:pPr>
          <w:hyperlink w:anchor="_Toc202900016" w:history="1">
            <w:r w:rsidRPr="00492332">
              <w:rPr>
                <w:rStyle w:val="Hyperlink"/>
                <w:noProof/>
              </w:rPr>
              <w:t>7.8</w:t>
            </w:r>
            <w:r>
              <w:rPr>
                <w:rFonts w:eastAsiaTheme="minorEastAsia"/>
                <w:noProof/>
                <w:spacing w:val="0"/>
                <w:kern w:val="2"/>
                <w:sz w:val="24"/>
                <w:lang w:eastAsia="en-AU"/>
                <w14:ligatures w14:val="standardContextual"/>
              </w:rPr>
              <w:tab/>
            </w:r>
            <w:r w:rsidRPr="00492332">
              <w:rPr>
                <w:rStyle w:val="Hyperlink"/>
                <w:noProof/>
              </w:rPr>
              <w:t>Ensuring Participant safety</w:t>
            </w:r>
            <w:r>
              <w:rPr>
                <w:noProof/>
                <w:webHidden/>
              </w:rPr>
              <w:tab/>
            </w:r>
            <w:r>
              <w:rPr>
                <w:noProof/>
                <w:webHidden/>
              </w:rPr>
              <w:fldChar w:fldCharType="begin"/>
            </w:r>
            <w:r>
              <w:rPr>
                <w:noProof/>
                <w:webHidden/>
              </w:rPr>
              <w:instrText xml:space="preserve"> PAGEREF _Toc202900016 \h </w:instrText>
            </w:r>
            <w:r>
              <w:rPr>
                <w:noProof/>
                <w:webHidden/>
              </w:rPr>
            </w:r>
            <w:r>
              <w:rPr>
                <w:noProof/>
                <w:webHidden/>
              </w:rPr>
              <w:fldChar w:fldCharType="separate"/>
            </w:r>
            <w:r w:rsidR="000D75AE">
              <w:rPr>
                <w:noProof/>
                <w:webHidden/>
              </w:rPr>
              <w:t>154</w:t>
            </w:r>
            <w:r>
              <w:rPr>
                <w:noProof/>
                <w:webHidden/>
              </w:rPr>
              <w:fldChar w:fldCharType="end"/>
            </w:r>
          </w:hyperlink>
        </w:p>
        <w:p w14:paraId="42B95819" w14:textId="729BC962" w:rsidR="00420D51" w:rsidRDefault="00420D51">
          <w:pPr>
            <w:pStyle w:val="TOC3"/>
            <w:rPr>
              <w:rFonts w:eastAsiaTheme="minorEastAsia"/>
              <w:noProof/>
              <w:spacing w:val="0"/>
              <w:kern w:val="2"/>
              <w:sz w:val="24"/>
              <w:lang w:eastAsia="en-AU"/>
              <w14:ligatures w14:val="standardContextual"/>
            </w:rPr>
          </w:pPr>
          <w:hyperlink w:anchor="_Toc202900017" w:history="1">
            <w:r w:rsidRPr="00492332">
              <w:rPr>
                <w:rStyle w:val="Hyperlink"/>
                <w:noProof/>
              </w:rPr>
              <w:t>7.8.1</w:t>
            </w:r>
            <w:r>
              <w:rPr>
                <w:rFonts w:eastAsiaTheme="minorEastAsia"/>
                <w:noProof/>
                <w:spacing w:val="0"/>
                <w:kern w:val="2"/>
                <w:sz w:val="24"/>
                <w:lang w:eastAsia="en-AU"/>
                <w14:ligatures w14:val="standardContextual"/>
              </w:rPr>
              <w:tab/>
            </w:r>
            <w:r w:rsidRPr="00492332">
              <w:rPr>
                <w:rStyle w:val="Hyperlink"/>
                <w:noProof/>
              </w:rPr>
              <w:t>Risk Assessments</w:t>
            </w:r>
            <w:r>
              <w:rPr>
                <w:noProof/>
                <w:webHidden/>
              </w:rPr>
              <w:tab/>
            </w:r>
            <w:r>
              <w:rPr>
                <w:noProof/>
                <w:webHidden/>
              </w:rPr>
              <w:fldChar w:fldCharType="begin"/>
            </w:r>
            <w:r>
              <w:rPr>
                <w:noProof/>
                <w:webHidden/>
              </w:rPr>
              <w:instrText xml:space="preserve"> PAGEREF _Toc202900017 \h </w:instrText>
            </w:r>
            <w:r>
              <w:rPr>
                <w:noProof/>
                <w:webHidden/>
              </w:rPr>
            </w:r>
            <w:r>
              <w:rPr>
                <w:noProof/>
                <w:webHidden/>
              </w:rPr>
              <w:fldChar w:fldCharType="separate"/>
            </w:r>
            <w:r w:rsidR="000D75AE">
              <w:rPr>
                <w:noProof/>
                <w:webHidden/>
              </w:rPr>
              <w:t>155</w:t>
            </w:r>
            <w:r>
              <w:rPr>
                <w:noProof/>
                <w:webHidden/>
              </w:rPr>
              <w:fldChar w:fldCharType="end"/>
            </w:r>
          </w:hyperlink>
        </w:p>
        <w:p w14:paraId="5B758C6D" w14:textId="42637D09" w:rsidR="00420D51" w:rsidRDefault="00420D51">
          <w:pPr>
            <w:pStyle w:val="TOC3"/>
            <w:rPr>
              <w:rFonts w:eastAsiaTheme="minorEastAsia"/>
              <w:noProof/>
              <w:spacing w:val="0"/>
              <w:kern w:val="2"/>
              <w:sz w:val="24"/>
              <w:lang w:eastAsia="en-AU"/>
              <w14:ligatures w14:val="standardContextual"/>
            </w:rPr>
          </w:pPr>
          <w:hyperlink w:anchor="_Toc202900018" w:history="1">
            <w:r w:rsidRPr="00492332">
              <w:rPr>
                <w:rStyle w:val="Hyperlink"/>
                <w:noProof/>
              </w:rPr>
              <w:t>7.8.2</w:t>
            </w:r>
            <w:r>
              <w:rPr>
                <w:rFonts w:eastAsiaTheme="minorEastAsia"/>
                <w:noProof/>
                <w:spacing w:val="0"/>
                <w:kern w:val="2"/>
                <w:sz w:val="24"/>
                <w:lang w:eastAsia="en-AU"/>
                <w14:ligatures w14:val="standardContextual"/>
              </w:rPr>
              <w:tab/>
            </w:r>
            <w:r w:rsidRPr="00492332">
              <w:rPr>
                <w:rStyle w:val="Hyperlink"/>
                <w:noProof/>
              </w:rPr>
              <w:t>Supervision</w:t>
            </w:r>
            <w:r>
              <w:rPr>
                <w:noProof/>
                <w:webHidden/>
              </w:rPr>
              <w:tab/>
            </w:r>
            <w:r>
              <w:rPr>
                <w:noProof/>
                <w:webHidden/>
              </w:rPr>
              <w:fldChar w:fldCharType="begin"/>
            </w:r>
            <w:r>
              <w:rPr>
                <w:noProof/>
                <w:webHidden/>
              </w:rPr>
              <w:instrText xml:space="preserve"> PAGEREF _Toc202900018 \h </w:instrText>
            </w:r>
            <w:r>
              <w:rPr>
                <w:noProof/>
                <w:webHidden/>
              </w:rPr>
            </w:r>
            <w:r>
              <w:rPr>
                <w:noProof/>
                <w:webHidden/>
              </w:rPr>
              <w:fldChar w:fldCharType="separate"/>
            </w:r>
            <w:r w:rsidR="000D75AE">
              <w:rPr>
                <w:noProof/>
                <w:webHidden/>
              </w:rPr>
              <w:t>157</w:t>
            </w:r>
            <w:r>
              <w:rPr>
                <w:noProof/>
                <w:webHidden/>
              </w:rPr>
              <w:fldChar w:fldCharType="end"/>
            </w:r>
          </w:hyperlink>
        </w:p>
        <w:p w14:paraId="4799072A" w14:textId="27A666C9" w:rsidR="00420D51" w:rsidRDefault="00420D51">
          <w:pPr>
            <w:pStyle w:val="TOC3"/>
            <w:rPr>
              <w:rFonts w:eastAsiaTheme="minorEastAsia"/>
              <w:noProof/>
              <w:spacing w:val="0"/>
              <w:kern w:val="2"/>
              <w:sz w:val="24"/>
              <w:lang w:eastAsia="en-AU"/>
              <w14:ligatures w14:val="standardContextual"/>
            </w:rPr>
          </w:pPr>
          <w:hyperlink w:anchor="_Toc202900019" w:history="1">
            <w:r w:rsidRPr="00492332">
              <w:rPr>
                <w:rStyle w:val="Hyperlink"/>
                <w:noProof/>
              </w:rPr>
              <w:t>7.8.3</w:t>
            </w:r>
            <w:r>
              <w:rPr>
                <w:rFonts w:eastAsiaTheme="minorEastAsia"/>
                <w:noProof/>
                <w:spacing w:val="0"/>
                <w:kern w:val="2"/>
                <w:sz w:val="24"/>
                <w:lang w:eastAsia="en-AU"/>
                <w14:ligatures w14:val="standardContextual"/>
              </w:rPr>
              <w:tab/>
            </w:r>
            <w:r w:rsidRPr="00492332">
              <w:rPr>
                <w:rStyle w:val="Hyperlink"/>
                <w:noProof/>
              </w:rPr>
              <w:t>Background checks</w:t>
            </w:r>
            <w:r>
              <w:rPr>
                <w:noProof/>
                <w:webHidden/>
              </w:rPr>
              <w:tab/>
            </w:r>
            <w:r>
              <w:rPr>
                <w:noProof/>
                <w:webHidden/>
              </w:rPr>
              <w:fldChar w:fldCharType="begin"/>
            </w:r>
            <w:r>
              <w:rPr>
                <w:noProof/>
                <w:webHidden/>
              </w:rPr>
              <w:instrText xml:space="preserve"> PAGEREF _Toc202900019 \h </w:instrText>
            </w:r>
            <w:r>
              <w:rPr>
                <w:noProof/>
                <w:webHidden/>
              </w:rPr>
            </w:r>
            <w:r>
              <w:rPr>
                <w:noProof/>
                <w:webHidden/>
              </w:rPr>
              <w:fldChar w:fldCharType="separate"/>
            </w:r>
            <w:r w:rsidR="000D75AE">
              <w:rPr>
                <w:noProof/>
                <w:webHidden/>
              </w:rPr>
              <w:t>158</w:t>
            </w:r>
            <w:r>
              <w:rPr>
                <w:noProof/>
                <w:webHidden/>
              </w:rPr>
              <w:fldChar w:fldCharType="end"/>
            </w:r>
          </w:hyperlink>
        </w:p>
        <w:p w14:paraId="54B4C0BB" w14:textId="011B7839" w:rsidR="00420D51" w:rsidRDefault="00420D51">
          <w:pPr>
            <w:pStyle w:val="TOC3"/>
            <w:rPr>
              <w:rFonts w:eastAsiaTheme="minorEastAsia"/>
              <w:noProof/>
              <w:spacing w:val="0"/>
              <w:kern w:val="2"/>
              <w:sz w:val="24"/>
              <w:lang w:eastAsia="en-AU"/>
              <w14:ligatures w14:val="standardContextual"/>
            </w:rPr>
          </w:pPr>
          <w:hyperlink w:anchor="_Toc202900020" w:history="1">
            <w:r w:rsidRPr="00492332">
              <w:rPr>
                <w:rStyle w:val="Hyperlink"/>
                <w:noProof/>
              </w:rPr>
              <w:t>7.8.4</w:t>
            </w:r>
            <w:r>
              <w:rPr>
                <w:rFonts w:eastAsiaTheme="minorEastAsia"/>
                <w:noProof/>
                <w:spacing w:val="0"/>
                <w:kern w:val="2"/>
                <w:sz w:val="24"/>
                <w:lang w:eastAsia="en-AU"/>
                <w14:ligatures w14:val="standardContextual"/>
              </w:rPr>
              <w:tab/>
            </w:r>
            <w:r w:rsidRPr="00492332">
              <w:rPr>
                <w:rStyle w:val="Hyperlink"/>
                <w:noProof/>
              </w:rPr>
              <w:t>WHS Incident management</w:t>
            </w:r>
            <w:r>
              <w:rPr>
                <w:noProof/>
                <w:webHidden/>
              </w:rPr>
              <w:tab/>
            </w:r>
            <w:r>
              <w:rPr>
                <w:noProof/>
                <w:webHidden/>
              </w:rPr>
              <w:fldChar w:fldCharType="begin"/>
            </w:r>
            <w:r>
              <w:rPr>
                <w:noProof/>
                <w:webHidden/>
              </w:rPr>
              <w:instrText xml:space="preserve"> PAGEREF _Toc202900020 \h </w:instrText>
            </w:r>
            <w:r>
              <w:rPr>
                <w:noProof/>
                <w:webHidden/>
              </w:rPr>
            </w:r>
            <w:r>
              <w:rPr>
                <w:noProof/>
                <w:webHidden/>
              </w:rPr>
              <w:fldChar w:fldCharType="separate"/>
            </w:r>
            <w:r w:rsidR="000D75AE">
              <w:rPr>
                <w:noProof/>
                <w:webHidden/>
              </w:rPr>
              <w:t>159</w:t>
            </w:r>
            <w:r>
              <w:rPr>
                <w:noProof/>
                <w:webHidden/>
              </w:rPr>
              <w:fldChar w:fldCharType="end"/>
            </w:r>
          </w:hyperlink>
        </w:p>
        <w:p w14:paraId="3552A40B" w14:textId="78425762" w:rsidR="00420D51" w:rsidRDefault="00420D51">
          <w:pPr>
            <w:pStyle w:val="TOC3"/>
            <w:rPr>
              <w:rFonts w:eastAsiaTheme="minorEastAsia"/>
              <w:noProof/>
              <w:spacing w:val="0"/>
              <w:kern w:val="2"/>
              <w:sz w:val="24"/>
              <w:lang w:eastAsia="en-AU"/>
              <w14:ligatures w14:val="standardContextual"/>
            </w:rPr>
          </w:pPr>
          <w:hyperlink w:anchor="_Toc202900021" w:history="1">
            <w:r w:rsidRPr="00492332">
              <w:rPr>
                <w:rStyle w:val="Hyperlink"/>
                <w:noProof/>
              </w:rPr>
              <w:t>7.8.5</w:t>
            </w:r>
            <w:r>
              <w:rPr>
                <w:rFonts w:eastAsiaTheme="minorEastAsia"/>
                <w:noProof/>
                <w:spacing w:val="0"/>
                <w:kern w:val="2"/>
                <w:sz w:val="24"/>
                <w:lang w:eastAsia="en-AU"/>
                <w14:ligatures w14:val="standardContextual"/>
              </w:rPr>
              <w:tab/>
            </w:r>
            <w:r w:rsidRPr="00492332">
              <w:rPr>
                <w:rStyle w:val="Hyperlink"/>
                <w:noProof/>
              </w:rPr>
              <w:t>Insurance for Activities</w:t>
            </w:r>
            <w:r>
              <w:rPr>
                <w:noProof/>
                <w:webHidden/>
              </w:rPr>
              <w:tab/>
            </w:r>
            <w:r>
              <w:rPr>
                <w:noProof/>
                <w:webHidden/>
              </w:rPr>
              <w:fldChar w:fldCharType="begin"/>
            </w:r>
            <w:r>
              <w:rPr>
                <w:noProof/>
                <w:webHidden/>
              </w:rPr>
              <w:instrText xml:space="preserve"> PAGEREF _Toc202900021 \h </w:instrText>
            </w:r>
            <w:r>
              <w:rPr>
                <w:noProof/>
                <w:webHidden/>
              </w:rPr>
            </w:r>
            <w:r>
              <w:rPr>
                <w:noProof/>
                <w:webHidden/>
              </w:rPr>
              <w:fldChar w:fldCharType="separate"/>
            </w:r>
            <w:r w:rsidR="000D75AE">
              <w:rPr>
                <w:noProof/>
                <w:webHidden/>
              </w:rPr>
              <w:t>160</w:t>
            </w:r>
            <w:r>
              <w:rPr>
                <w:noProof/>
                <w:webHidden/>
              </w:rPr>
              <w:fldChar w:fldCharType="end"/>
            </w:r>
          </w:hyperlink>
        </w:p>
        <w:p w14:paraId="3E6C193B" w14:textId="1A7B2227" w:rsidR="00420D51" w:rsidRDefault="00420D51">
          <w:pPr>
            <w:pStyle w:val="TOC1"/>
            <w:tabs>
              <w:tab w:val="left" w:pos="1540"/>
            </w:tabs>
            <w:rPr>
              <w:rFonts w:eastAsiaTheme="minorEastAsia"/>
              <w:b w:val="0"/>
              <w:noProof/>
              <w:color w:val="auto"/>
              <w:spacing w:val="0"/>
              <w:kern w:val="2"/>
              <w:sz w:val="24"/>
              <w:lang w:eastAsia="en-AU"/>
              <w14:ligatures w14:val="standardContextual"/>
            </w:rPr>
          </w:pPr>
          <w:hyperlink w:anchor="_Toc202900022" w:history="1">
            <w:r w:rsidRPr="00492332">
              <w:rPr>
                <w:rStyle w:val="Hyperlink"/>
                <w:noProof/>
                <w:lang w:eastAsia="en-AU"/>
              </w:rPr>
              <w:t>Chapter</w:t>
            </w:r>
            <w:r w:rsidRPr="00492332">
              <w:rPr>
                <w:rStyle w:val="Hyperlink"/>
                <w:iCs/>
                <w:noProof/>
                <w:spacing w:val="10"/>
              </w:rPr>
              <w:t xml:space="preserve"> </w:t>
            </w:r>
            <w:r w:rsidRPr="00492332">
              <w:rPr>
                <w:rStyle w:val="Hyperlink"/>
                <w:noProof/>
                <w:lang w:eastAsia="en-AU"/>
              </w:rPr>
              <w:t>8:</w:t>
            </w:r>
            <w:r>
              <w:rPr>
                <w:rFonts w:eastAsiaTheme="minorEastAsia"/>
                <w:b w:val="0"/>
                <w:noProof/>
                <w:color w:val="auto"/>
                <w:spacing w:val="0"/>
                <w:kern w:val="2"/>
                <w:sz w:val="24"/>
                <w:lang w:eastAsia="en-AU"/>
                <w14:ligatures w14:val="standardContextual"/>
              </w:rPr>
              <w:tab/>
            </w:r>
            <w:r w:rsidRPr="00492332">
              <w:rPr>
                <w:rStyle w:val="Hyperlink"/>
                <w:noProof/>
                <w:lang w:eastAsia="en-AU"/>
              </w:rPr>
              <w:t>Wage Subsidies</w:t>
            </w:r>
            <w:r>
              <w:rPr>
                <w:noProof/>
                <w:webHidden/>
              </w:rPr>
              <w:tab/>
            </w:r>
            <w:r>
              <w:rPr>
                <w:noProof/>
                <w:webHidden/>
              </w:rPr>
              <w:fldChar w:fldCharType="begin"/>
            </w:r>
            <w:r>
              <w:rPr>
                <w:noProof/>
                <w:webHidden/>
              </w:rPr>
              <w:instrText xml:space="preserve"> PAGEREF _Toc202900022 \h </w:instrText>
            </w:r>
            <w:r>
              <w:rPr>
                <w:noProof/>
                <w:webHidden/>
              </w:rPr>
            </w:r>
            <w:r>
              <w:rPr>
                <w:noProof/>
                <w:webHidden/>
              </w:rPr>
              <w:fldChar w:fldCharType="separate"/>
            </w:r>
            <w:r w:rsidR="000D75AE">
              <w:rPr>
                <w:noProof/>
                <w:webHidden/>
              </w:rPr>
              <w:t>162</w:t>
            </w:r>
            <w:r>
              <w:rPr>
                <w:noProof/>
                <w:webHidden/>
              </w:rPr>
              <w:fldChar w:fldCharType="end"/>
            </w:r>
          </w:hyperlink>
        </w:p>
        <w:p w14:paraId="5410C11A" w14:textId="082DE19D" w:rsidR="00420D51" w:rsidRDefault="00420D51">
          <w:pPr>
            <w:pStyle w:val="TOC2"/>
            <w:rPr>
              <w:rFonts w:eastAsiaTheme="minorEastAsia"/>
              <w:noProof/>
              <w:spacing w:val="0"/>
              <w:kern w:val="2"/>
              <w:sz w:val="24"/>
              <w:lang w:eastAsia="en-AU"/>
              <w14:ligatures w14:val="standardContextual"/>
            </w:rPr>
          </w:pPr>
          <w:hyperlink w:anchor="_Toc202900023" w:history="1">
            <w:r w:rsidRPr="00492332">
              <w:rPr>
                <w:rStyle w:val="Hyperlink"/>
                <w:noProof/>
                <w:lang w:eastAsia="en-AU"/>
              </w:rPr>
              <w:t>8.1</w:t>
            </w:r>
            <w:r>
              <w:rPr>
                <w:rFonts w:eastAsiaTheme="minorEastAsia"/>
                <w:noProof/>
                <w:spacing w:val="0"/>
                <w:kern w:val="2"/>
                <w:sz w:val="24"/>
                <w:lang w:eastAsia="en-AU"/>
                <w14:ligatures w14:val="standardContextual"/>
              </w:rPr>
              <w:tab/>
            </w:r>
            <w:r w:rsidRPr="00492332">
              <w:rPr>
                <w:rStyle w:val="Hyperlink"/>
                <w:noProof/>
              </w:rPr>
              <w:t xml:space="preserve">Chapter </w:t>
            </w:r>
            <w:r w:rsidRPr="00492332">
              <w:rPr>
                <w:rStyle w:val="Hyperlink"/>
                <w:noProof/>
                <w:lang w:eastAsia="en-AU"/>
              </w:rPr>
              <w:t>Overview</w:t>
            </w:r>
            <w:r>
              <w:rPr>
                <w:noProof/>
                <w:webHidden/>
              </w:rPr>
              <w:tab/>
            </w:r>
            <w:r>
              <w:rPr>
                <w:noProof/>
                <w:webHidden/>
              </w:rPr>
              <w:fldChar w:fldCharType="begin"/>
            </w:r>
            <w:r>
              <w:rPr>
                <w:noProof/>
                <w:webHidden/>
              </w:rPr>
              <w:instrText xml:space="preserve"> PAGEREF _Toc202900023 \h </w:instrText>
            </w:r>
            <w:r>
              <w:rPr>
                <w:noProof/>
                <w:webHidden/>
              </w:rPr>
            </w:r>
            <w:r>
              <w:rPr>
                <w:noProof/>
                <w:webHidden/>
              </w:rPr>
              <w:fldChar w:fldCharType="separate"/>
            </w:r>
            <w:r w:rsidR="000D75AE">
              <w:rPr>
                <w:noProof/>
                <w:webHidden/>
              </w:rPr>
              <w:t>162</w:t>
            </w:r>
            <w:r>
              <w:rPr>
                <w:noProof/>
                <w:webHidden/>
              </w:rPr>
              <w:fldChar w:fldCharType="end"/>
            </w:r>
          </w:hyperlink>
        </w:p>
        <w:p w14:paraId="21CCE607" w14:textId="49E150DE" w:rsidR="00420D51" w:rsidRDefault="00420D51">
          <w:pPr>
            <w:pStyle w:val="TOC2"/>
            <w:rPr>
              <w:rFonts w:eastAsiaTheme="minorEastAsia"/>
              <w:noProof/>
              <w:spacing w:val="0"/>
              <w:kern w:val="2"/>
              <w:sz w:val="24"/>
              <w:lang w:eastAsia="en-AU"/>
              <w14:ligatures w14:val="standardContextual"/>
            </w:rPr>
          </w:pPr>
          <w:hyperlink w:anchor="_Toc202900024" w:history="1">
            <w:r w:rsidRPr="00492332">
              <w:rPr>
                <w:rStyle w:val="Hyperlink"/>
                <w:noProof/>
              </w:rPr>
              <w:t>8.2</w:t>
            </w:r>
            <w:r>
              <w:rPr>
                <w:rFonts w:eastAsiaTheme="minorEastAsia"/>
                <w:noProof/>
                <w:spacing w:val="0"/>
                <w:kern w:val="2"/>
                <w:sz w:val="24"/>
                <w:lang w:eastAsia="en-AU"/>
                <w14:ligatures w14:val="standardContextual"/>
              </w:rPr>
              <w:tab/>
            </w:r>
            <w:r w:rsidRPr="00492332">
              <w:rPr>
                <w:rStyle w:val="Hyperlink"/>
                <w:noProof/>
              </w:rPr>
              <w:t>Eligibility</w:t>
            </w:r>
            <w:r>
              <w:rPr>
                <w:noProof/>
                <w:webHidden/>
              </w:rPr>
              <w:tab/>
            </w:r>
            <w:r>
              <w:rPr>
                <w:noProof/>
                <w:webHidden/>
              </w:rPr>
              <w:fldChar w:fldCharType="begin"/>
            </w:r>
            <w:r>
              <w:rPr>
                <w:noProof/>
                <w:webHidden/>
              </w:rPr>
              <w:instrText xml:space="preserve"> PAGEREF _Toc202900024 \h </w:instrText>
            </w:r>
            <w:r>
              <w:rPr>
                <w:noProof/>
                <w:webHidden/>
              </w:rPr>
            </w:r>
            <w:r>
              <w:rPr>
                <w:noProof/>
                <w:webHidden/>
              </w:rPr>
              <w:fldChar w:fldCharType="separate"/>
            </w:r>
            <w:r w:rsidR="000D75AE">
              <w:rPr>
                <w:noProof/>
                <w:webHidden/>
              </w:rPr>
              <w:t>162</w:t>
            </w:r>
            <w:r>
              <w:rPr>
                <w:noProof/>
                <w:webHidden/>
              </w:rPr>
              <w:fldChar w:fldCharType="end"/>
            </w:r>
          </w:hyperlink>
        </w:p>
        <w:p w14:paraId="4CA15D61" w14:textId="2E4E11AF" w:rsidR="00420D51" w:rsidRDefault="00420D51">
          <w:pPr>
            <w:pStyle w:val="TOC3"/>
            <w:rPr>
              <w:rFonts w:eastAsiaTheme="minorEastAsia"/>
              <w:noProof/>
              <w:spacing w:val="0"/>
              <w:kern w:val="2"/>
              <w:sz w:val="24"/>
              <w:lang w:eastAsia="en-AU"/>
              <w14:ligatures w14:val="standardContextual"/>
            </w:rPr>
          </w:pPr>
          <w:hyperlink w:anchor="_Toc202900025" w:history="1">
            <w:r w:rsidRPr="00492332">
              <w:rPr>
                <w:rStyle w:val="Hyperlink"/>
                <w:noProof/>
              </w:rPr>
              <w:t>8.2.1</w:t>
            </w:r>
            <w:r>
              <w:rPr>
                <w:rFonts w:eastAsiaTheme="minorEastAsia"/>
                <w:noProof/>
                <w:spacing w:val="0"/>
                <w:kern w:val="2"/>
                <w:sz w:val="24"/>
                <w:lang w:eastAsia="en-AU"/>
                <w14:ligatures w14:val="standardContextual"/>
              </w:rPr>
              <w:tab/>
            </w:r>
            <w:r w:rsidRPr="00492332">
              <w:rPr>
                <w:rStyle w:val="Hyperlink"/>
                <w:noProof/>
              </w:rPr>
              <w:t>Participant Eligibility</w:t>
            </w:r>
            <w:r>
              <w:rPr>
                <w:noProof/>
                <w:webHidden/>
              </w:rPr>
              <w:tab/>
            </w:r>
            <w:r>
              <w:rPr>
                <w:noProof/>
                <w:webHidden/>
              </w:rPr>
              <w:fldChar w:fldCharType="begin"/>
            </w:r>
            <w:r>
              <w:rPr>
                <w:noProof/>
                <w:webHidden/>
              </w:rPr>
              <w:instrText xml:space="preserve"> PAGEREF _Toc202900025 \h </w:instrText>
            </w:r>
            <w:r>
              <w:rPr>
                <w:noProof/>
                <w:webHidden/>
              </w:rPr>
            </w:r>
            <w:r>
              <w:rPr>
                <w:noProof/>
                <w:webHidden/>
              </w:rPr>
              <w:fldChar w:fldCharType="separate"/>
            </w:r>
            <w:r w:rsidR="000D75AE">
              <w:rPr>
                <w:noProof/>
                <w:webHidden/>
              </w:rPr>
              <w:t>162</w:t>
            </w:r>
            <w:r>
              <w:rPr>
                <w:noProof/>
                <w:webHidden/>
              </w:rPr>
              <w:fldChar w:fldCharType="end"/>
            </w:r>
          </w:hyperlink>
        </w:p>
        <w:p w14:paraId="65882CF9" w14:textId="57DEC0BB" w:rsidR="00420D51" w:rsidRDefault="00420D51">
          <w:pPr>
            <w:pStyle w:val="TOC3"/>
            <w:rPr>
              <w:rFonts w:eastAsiaTheme="minorEastAsia"/>
              <w:noProof/>
              <w:spacing w:val="0"/>
              <w:kern w:val="2"/>
              <w:sz w:val="24"/>
              <w:lang w:eastAsia="en-AU"/>
              <w14:ligatures w14:val="standardContextual"/>
            </w:rPr>
          </w:pPr>
          <w:hyperlink w:anchor="_Toc202900026" w:history="1">
            <w:r w:rsidRPr="00492332">
              <w:rPr>
                <w:rStyle w:val="Hyperlink"/>
                <w:noProof/>
              </w:rPr>
              <w:t>8.2.2</w:t>
            </w:r>
            <w:r>
              <w:rPr>
                <w:rFonts w:eastAsiaTheme="minorEastAsia"/>
                <w:noProof/>
                <w:spacing w:val="0"/>
                <w:kern w:val="2"/>
                <w:sz w:val="24"/>
                <w:lang w:eastAsia="en-AU"/>
                <w14:ligatures w14:val="standardContextual"/>
              </w:rPr>
              <w:tab/>
            </w:r>
            <w:r w:rsidRPr="00492332">
              <w:rPr>
                <w:rStyle w:val="Hyperlink"/>
                <w:noProof/>
              </w:rPr>
              <w:t>Employer Eligibility</w:t>
            </w:r>
            <w:r>
              <w:rPr>
                <w:noProof/>
                <w:webHidden/>
              </w:rPr>
              <w:tab/>
            </w:r>
            <w:r>
              <w:rPr>
                <w:noProof/>
                <w:webHidden/>
              </w:rPr>
              <w:fldChar w:fldCharType="begin"/>
            </w:r>
            <w:r>
              <w:rPr>
                <w:noProof/>
                <w:webHidden/>
              </w:rPr>
              <w:instrText xml:space="preserve"> PAGEREF _Toc202900026 \h </w:instrText>
            </w:r>
            <w:r>
              <w:rPr>
                <w:noProof/>
                <w:webHidden/>
              </w:rPr>
            </w:r>
            <w:r>
              <w:rPr>
                <w:noProof/>
                <w:webHidden/>
              </w:rPr>
              <w:fldChar w:fldCharType="separate"/>
            </w:r>
            <w:r w:rsidR="000D75AE">
              <w:rPr>
                <w:noProof/>
                <w:webHidden/>
              </w:rPr>
              <w:t>163</w:t>
            </w:r>
            <w:r>
              <w:rPr>
                <w:noProof/>
                <w:webHidden/>
              </w:rPr>
              <w:fldChar w:fldCharType="end"/>
            </w:r>
          </w:hyperlink>
        </w:p>
        <w:p w14:paraId="34324B63" w14:textId="279C0E8B" w:rsidR="00420D51" w:rsidRDefault="00420D51">
          <w:pPr>
            <w:pStyle w:val="TOC3"/>
            <w:rPr>
              <w:rFonts w:eastAsiaTheme="minorEastAsia"/>
              <w:noProof/>
              <w:spacing w:val="0"/>
              <w:kern w:val="2"/>
              <w:sz w:val="24"/>
              <w:lang w:eastAsia="en-AU"/>
              <w14:ligatures w14:val="standardContextual"/>
            </w:rPr>
          </w:pPr>
          <w:hyperlink w:anchor="_Toc202900027" w:history="1">
            <w:r w:rsidRPr="00492332">
              <w:rPr>
                <w:rStyle w:val="Hyperlink"/>
                <w:noProof/>
              </w:rPr>
              <w:t>8.3.3</w:t>
            </w:r>
            <w:r>
              <w:rPr>
                <w:rFonts w:eastAsiaTheme="minorEastAsia"/>
                <w:noProof/>
                <w:spacing w:val="0"/>
                <w:kern w:val="2"/>
                <w:sz w:val="24"/>
                <w:lang w:eastAsia="en-AU"/>
                <w14:ligatures w14:val="standardContextual"/>
              </w:rPr>
              <w:tab/>
            </w:r>
            <w:r w:rsidRPr="00492332">
              <w:rPr>
                <w:rStyle w:val="Hyperlink"/>
                <w:noProof/>
              </w:rPr>
              <w:t>Placement Eligibility</w:t>
            </w:r>
            <w:r>
              <w:rPr>
                <w:noProof/>
                <w:webHidden/>
              </w:rPr>
              <w:tab/>
            </w:r>
            <w:r>
              <w:rPr>
                <w:noProof/>
                <w:webHidden/>
              </w:rPr>
              <w:fldChar w:fldCharType="begin"/>
            </w:r>
            <w:r>
              <w:rPr>
                <w:noProof/>
                <w:webHidden/>
              </w:rPr>
              <w:instrText xml:space="preserve"> PAGEREF _Toc202900027 \h </w:instrText>
            </w:r>
            <w:r>
              <w:rPr>
                <w:noProof/>
                <w:webHidden/>
              </w:rPr>
            </w:r>
            <w:r>
              <w:rPr>
                <w:noProof/>
                <w:webHidden/>
              </w:rPr>
              <w:fldChar w:fldCharType="separate"/>
            </w:r>
            <w:r w:rsidR="000D75AE">
              <w:rPr>
                <w:noProof/>
                <w:webHidden/>
              </w:rPr>
              <w:t>165</w:t>
            </w:r>
            <w:r>
              <w:rPr>
                <w:noProof/>
                <w:webHidden/>
              </w:rPr>
              <w:fldChar w:fldCharType="end"/>
            </w:r>
          </w:hyperlink>
        </w:p>
        <w:p w14:paraId="0882E345" w14:textId="467F4209" w:rsidR="00420D51" w:rsidRDefault="00420D51">
          <w:pPr>
            <w:pStyle w:val="TOC2"/>
            <w:rPr>
              <w:rFonts w:eastAsiaTheme="minorEastAsia"/>
              <w:noProof/>
              <w:spacing w:val="0"/>
              <w:kern w:val="2"/>
              <w:sz w:val="24"/>
              <w:lang w:eastAsia="en-AU"/>
              <w14:ligatures w14:val="standardContextual"/>
            </w:rPr>
          </w:pPr>
          <w:hyperlink w:anchor="_Toc202900028" w:history="1">
            <w:r w:rsidRPr="00492332">
              <w:rPr>
                <w:rStyle w:val="Hyperlink"/>
                <w:noProof/>
              </w:rPr>
              <w:t>8.3</w:t>
            </w:r>
            <w:r>
              <w:rPr>
                <w:rFonts w:eastAsiaTheme="minorEastAsia"/>
                <w:noProof/>
                <w:spacing w:val="0"/>
                <w:kern w:val="2"/>
                <w:sz w:val="24"/>
                <w:lang w:eastAsia="en-AU"/>
                <w14:ligatures w14:val="standardContextual"/>
              </w:rPr>
              <w:tab/>
            </w:r>
            <w:r w:rsidRPr="00492332">
              <w:rPr>
                <w:rStyle w:val="Hyperlink"/>
                <w:noProof/>
              </w:rPr>
              <w:t>Wage Subsidy Levels and Participant Employment Benchmarks</w:t>
            </w:r>
            <w:r>
              <w:rPr>
                <w:noProof/>
                <w:webHidden/>
              </w:rPr>
              <w:tab/>
            </w:r>
            <w:r>
              <w:rPr>
                <w:noProof/>
                <w:webHidden/>
              </w:rPr>
              <w:fldChar w:fldCharType="begin"/>
            </w:r>
            <w:r>
              <w:rPr>
                <w:noProof/>
                <w:webHidden/>
              </w:rPr>
              <w:instrText xml:space="preserve"> PAGEREF _Toc202900028 \h </w:instrText>
            </w:r>
            <w:r>
              <w:rPr>
                <w:noProof/>
                <w:webHidden/>
              </w:rPr>
            </w:r>
            <w:r>
              <w:rPr>
                <w:noProof/>
                <w:webHidden/>
              </w:rPr>
              <w:fldChar w:fldCharType="separate"/>
            </w:r>
            <w:r w:rsidR="000D75AE">
              <w:rPr>
                <w:noProof/>
                <w:webHidden/>
              </w:rPr>
              <w:t>166</w:t>
            </w:r>
            <w:r>
              <w:rPr>
                <w:noProof/>
                <w:webHidden/>
              </w:rPr>
              <w:fldChar w:fldCharType="end"/>
            </w:r>
          </w:hyperlink>
        </w:p>
        <w:p w14:paraId="20557A6D" w14:textId="0B306F62" w:rsidR="00420D51" w:rsidRDefault="00420D51">
          <w:pPr>
            <w:pStyle w:val="TOC2"/>
            <w:rPr>
              <w:rFonts w:eastAsiaTheme="minorEastAsia"/>
              <w:noProof/>
              <w:spacing w:val="0"/>
              <w:kern w:val="2"/>
              <w:sz w:val="24"/>
              <w:lang w:eastAsia="en-AU"/>
              <w14:ligatures w14:val="standardContextual"/>
            </w:rPr>
          </w:pPr>
          <w:hyperlink w:anchor="_Toc202900029" w:history="1">
            <w:r w:rsidRPr="00492332">
              <w:rPr>
                <w:rStyle w:val="Hyperlink"/>
                <w:noProof/>
              </w:rPr>
              <w:t>8.4</w:t>
            </w:r>
            <w:r>
              <w:rPr>
                <w:rFonts w:eastAsiaTheme="minorEastAsia"/>
                <w:noProof/>
                <w:spacing w:val="0"/>
                <w:kern w:val="2"/>
                <w:sz w:val="24"/>
                <w:lang w:eastAsia="en-AU"/>
                <w14:ligatures w14:val="standardContextual"/>
              </w:rPr>
              <w:tab/>
            </w:r>
            <w:r w:rsidRPr="00492332">
              <w:rPr>
                <w:rStyle w:val="Hyperlink"/>
                <w:noProof/>
              </w:rPr>
              <w:t>Negotiating the Inclusive Employment Australia Wage Subsidy</w:t>
            </w:r>
            <w:r>
              <w:rPr>
                <w:noProof/>
                <w:webHidden/>
              </w:rPr>
              <w:tab/>
            </w:r>
            <w:r>
              <w:rPr>
                <w:noProof/>
                <w:webHidden/>
              </w:rPr>
              <w:fldChar w:fldCharType="begin"/>
            </w:r>
            <w:r>
              <w:rPr>
                <w:noProof/>
                <w:webHidden/>
              </w:rPr>
              <w:instrText xml:space="preserve"> PAGEREF _Toc202900029 \h </w:instrText>
            </w:r>
            <w:r>
              <w:rPr>
                <w:noProof/>
                <w:webHidden/>
              </w:rPr>
            </w:r>
            <w:r>
              <w:rPr>
                <w:noProof/>
                <w:webHidden/>
              </w:rPr>
              <w:fldChar w:fldCharType="separate"/>
            </w:r>
            <w:r w:rsidR="000D75AE">
              <w:rPr>
                <w:noProof/>
                <w:webHidden/>
              </w:rPr>
              <w:t>168</w:t>
            </w:r>
            <w:r>
              <w:rPr>
                <w:noProof/>
                <w:webHidden/>
              </w:rPr>
              <w:fldChar w:fldCharType="end"/>
            </w:r>
          </w:hyperlink>
        </w:p>
        <w:p w14:paraId="0A466F75" w14:textId="5F44F2DB" w:rsidR="00420D51" w:rsidRDefault="00420D51">
          <w:pPr>
            <w:pStyle w:val="TOC3"/>
            <w:rPr>
              <w:rFonts w:eastAsiaTheme="minorEastAsia"/>
              <w:noProof/>
              <w:spacing w:val="0"/>
              <w:kern w:val="2"/>
              <w:sz w:val="24"/>
              <w:lang w:eastAsia="en-AU"/>
              <w14:ligatures w14:val="standardContextual"/>
            </w:rPr>
          </w:pPr>
          <w:hyperlink w:anchor="_Toc202900030" w:history="1">
            <w:r w:rsidRPr="00492332">
              <w:rPr>
                <w:rStyle w:val="Hyperlink"/>
                <w:noProof/>
              </w:rPr>
              <w:t>8.4.1</w:t>
            </w:r>
            <w:r>
              <w:rPr>
                <w:rFonts w:eastAsiaTheme="minorEastAsia"/>
                <w:noProof/>
                <w:spacing w:val="0"/>
                <w:kern w:val="2"/>
                <w:sz w:val="24"/>
                <w:lang w:eastAsia="en-AU"/>
                <w14:ligatures w14:val="standardContextual"/>
              </w:rPr>
              <w:tab/>
            </w:r>
            <w:r w:rsidRPr="00492332">
              <w:rPr>
                <w:rStyle w:val="Hyperlink"/>
                <w:noProof/>
              </w:rPr>
              <w:t>Offering and Negotiating Wage Subsidy Agreements</w:t>
            </w:r>
            <w:r>
              <w:rPr>
                <w:noProof/>
                <w:webHidden/>
              </w:rPr>
              <w:tab/>
            </w:r>
            <w:r>
              <w:rPr>
                <w:noProof/>
                <w:webHidden/>
              </w:rPr>
              <w:fldChar w:fldCharType="begin"/>
            </w:r>
            <w:r>
              <w:rPr>
                <w:noProof/>
                <w:webHidden/>
              </w:rPr>
              <w:instrText xml:space="preserve"> PAGEREF _Toc202900030 \h </w:instrText>
            </w:r>
            <w:r>
              <w:rPr>
                <w:noProof/>
                <w:webHidden/>
              </w:rPr>
            </w:r>
            <w:r>
              <w:rPr>
                <w:noProof/>
                <w:webHidden/>
              </w:rPr>
              <w:fldChar w:fldCharType="separate"/>
            </w:r>
            <w:r w:rsidR="000D75AE">
              <w:rPr>
                <w:noProof/>
                <w:webHidden/>
              </w:rPr>
              <w:t>168</w:t>
            </w:r>
            <w:r>
              <w:rPr>
                <w:noProof/>
                <w:webHidden/>
              </w:rPr>
              <w:fldChar w:fldCharType="end"/>
            </w:r>
          </w:hyperlink>
        </w:p>
        <w:p w14:paraId="4B2E9666" w14:textId="2C11CAC2" w:rsidR="00420D51" w:rsidRDefault="00420D51">
          <w:pPr>
            <w:pStyle w:val="TOC3"/>
            <w:rPr>
              <w:rFonts w:eastAsiaTheme="minorEastAsia"/>
              <w:noProof/>
              <w:spacing w:val="0"/>
              <w:kern w:val="2"/>
              <w:sz w:val="24"/>
              <w:lang w:eastAsia="en-AU"/>
              <w14:ligatures w14:val="standardContextual"/>
            </w:rPr>
          </w:pPr>
          <w:hyperlink w:anchor="_Toc202900031" w:history="1">
            <w:r w:rsidRPr="00492332">
              <w:rPr>
                <w:rStyle w:val="Hyperlink"/>
                <w:noProof/>
              </w:rPr>
              <w:t>8.4.2</w:t>
            </w:r>
            <w:r>
              <w:rPr>
                <w:rFonts w:eastAsiaTheme="minorEastAsia"/>
                <w:noProof/>
                <w:spacing w:val="0"/>
                <w:kern w:val="2"/>
                <w:sz w:val="24"/>
                <w:lang w:eastAsia="en-AU"/>
                <w14:ligatures w14:val="standardContextual"/>
              </w:rPr>
              <w:tab/>
            </w:r>
            <w:r w:rsidRPr="00492332">
              <w:rPr>
                <w:rStyle w:val="Hyperlink"/>
                <w:noProof/>
              </w:rPr>
              <w:t>Entering into Wage Subsidy Agreements</w:t>
            </w:r>
            <w:r>
              <w:rPr>
                <w:noProof/>
                <w:webHidden/>
              </w:rPr>
              <w:tab/>
            </w:r>
            <w:r>
              <w:rPr>
                <w:noProof/>
                <w:webHidden/>
              </w:rPr>
              <w:fldChar w:fldCharType="begin"/>
            </w:r>
            <w:r>
              <w:rPr>
                <w:noProof/>
                <w:webHidden/>
              </w:rPr>
              <w:instrText xml:space="preserve"> PAGEREF _Toc202900031 \h </w:instrText>
            </w:r>
            <w:r>
              <w:rPr>
                <w:noProof/>
                <w:webHidden/>
              </w:rPr>
            </w:r>
            <w:r>
              <w:rPr>
                <w:noProof/>
                <w:webHidden/>
              </w:rPr>
              <w:fldChar w:fldCharType="separate"/>
            </w:r>
            <w:r w:rsidR="000D75AE">
              <w:rPr>
                <w:noProof/>
                <w:webHidden/>
              </w:rPr>
              <w:t>170</w:t>
            </w:r>
            <w:r>
              <w:rPr>
                <w:noProof/>
                <w:webHidden/>
              </w:rPr>
              <w:fldChar w:fldCharType="end"/>
            </w:r>
          </w:hyperlink>
        </w:p>
        <w:p w14:paraId="554C980D" w14:textId="327C14EB" w:rsidR="00420D51" w:rsidRDefault="00420D51">
          <w:pPr>
            <w:pStyle w:val="TOC2"/>
            <w:rPr>
              <w:rFonts w:eastAsiaTheme="minorEastAsia"/>
              <w:noProof/>
              <w:spacing w:val="0"/>
              <w:kern w:val="2"/>
              <w:sz w:val="24"/>
              <w:lang w:eastAsia="en-AU"/>
              <w14:ligatures w14:val="standardContextual"/>
            </w:rPr>
          </w:pPr>
          <w:hyperlink w:anchor="_Toc202900032" w:history="1">
            <w:r w:rsidRPr="00492332">
              <w:rPr>
                <w:rStyle w:val="Hyperlink"/>
                <w:noProof/>
              </w:rPr>
              <w:t>8.5</w:t>
            </w:r>
            <w:r>
              <w:rPr>
                <w:rFonts w:eastAsiaTheme="minorEastAsia"/>
                <w:noProof/>
                <w:spacing w:val="0"/>
                <w:kern w:val="2"/>
                <w:sz w:val="24"/>
                <w:lang w:eastAsia="en-AU"/>
                <w14:ligatures w14:val="standardContextual"/>
              </w:rPr>
              <w:tab/>
            </w:r>
            <w:r w:rsidRPr="00492332">
              <w:rPr>
                <w:rStyle w:val="Hyperlink"/>
                <w:noProof/>
              </w:rPr>
              <w:t>Payments to Wage Subsidy Employers</w:t>
            </w:r>
            <w:r>
              <w:rPr>
                <w:noProof/>
                <w:webHidden/>
              </w:rPr>
              <w:tab/>
            </w:r>
            <w:r>
              <w:rPr>
                <w:noProof/>
                <w:webHidden/>
              </w:rPr>
              <w:fldChar w:fldCharType="begin"/>
            </w:r>
            <w:r>
              <w:rPr>
                <w:noProof/>
                <w:webHidden/>
              </w:rPr>
              <w:instrText xml:space="preserve"> PAGEREF _Toc202900032 \h </w:instrText>
            </w:r>
            <w:r>
              <w:rPr>
                <w:noProof/>
                <w:webHidden/>
              </w:rPr>
            </w:r>
            <w:r>
              <w:rPr>
                <w:noProof/>
                <w:webHidden/>
              </w:rPr>
              <w:fldChar w:fldCharType="separate"/>
            </w:r>
            <w:r w:rsidR="000D75AE">
              <w:rPr>
                <w:noProof/>
                <w:webHidden/>
              </w:rPr>
              <w:t>172</w:t>
            </w:r>
            <w:r>
              <w:rPr>
                <w:noProof/>
                <w:webHidden/>
              </w:rPr>
              <w:fldChar w:fldCharType="end"/>
            </w:r>
          </w:hyperlink>
        </w:p>
        <w:p w14:paraId="7672121F" w14:textId="2C5E055C" w:rsidR="00420D51" w:rsidRDefault="00420D51">
          <w:pPr>
            <w:pStyle w:val="TOC3"/>
            <w:rPr>
              <w:rFonts w:eastAsiaTheme="minorEastAsia"/>
              <w:noProof/>
              <w:spacing w:val="0"/>
              <w:kern w:val="2"/>
              <w:sz w:val="24"/>
              <w:lang w:eastAsia="en-AU"/>
              <w14:ligatures w14:val="standardContextual"/>
            </w:rPr>
          </w:pPr>
          <w:hyperlink w:anchor="_Toc202900033" w:history="1">
            <w:r w:rsidRPr="00492332">
              <w:rPr>
                <w:rStyle w:val="Hyperlink"/>
                <w:noProof/>
              </w:rPr>
              <w:t>8.5.1</w:t>
            </w:r>
            <w:r>
              <w:rPr>
                <w:rFonts w:eastAsiaTheme="minorEastAsia"/>
                <w:noProof/>
                <w:spacing w:val="0"/>
                <w:kern w:val="2"/>
                <w:sz w:val="24"/>
                <w:lang w:eastAsia="en-AU"/>
                <w14:ligatures w14:val="standardContextual"/>
              </w:rPr>
              <w:tab/>
            </w:r>
            <w:r w:rsidRPr="00492332">
              <w:rPr>
                <w:rStyle w:val="Hyperlink"/>
                <w:noProof/>
              </w:rPr>
              <w:t>Assessing Periods of Leave</w:t>
            </w:r>
            <w:r>
              <w:rPr>
                <w:noProof/>
                <w:webHidden/>
              </w:rPr>
              <w:tab/>
            </w:r>
            <w:r>
              <w:rPr>
                <w:noProof/>
                <w:webHidden/>
              </w:rPr>
              <w:fldChar w:fldCharType="begin"/>
            </w:r>
            <w:r>
              <w:rPr>
                <w:noProof/>
                <w:webHidden/>
              </w:rPr>
              <w:instrText xml:space="preserve"> PAGEREF _Toc202900033 \h </w:instrText>
            </w:r>
            <w:r>
              <w:rPr>
                <w:noProof/>
                <w:webHidden/>
              </w:rPr>
            </w:r>
            <w:r>
              <w:rPr>
                <w:noProof/>
                <w:webHidden/>
              </w:rPr>
              <w:fldChar w:fldCharType="separate"/>
            </w:r>
            <w:r w:rsidR="000D75AE">
              <w:rPr>
                <w:noProof/>
                <w:webHidden/>
              </w:rPr>
              <w:t>173</w:t>
            </w:r>
            <w:r>
              <w:rPr>
                <w:noProof/>
                <w:webHidden/>
              </w:rPr>
              <w:fldChar w:fldCharType="end"/>
            </w:r>
          </w:hyperlink>
        </w:p>
        <w:p w14:paraId="112E2294" w14:textId="73DA5749" w:rsidR="00420D51" w:rsidRDefault="00420D51">
          <w:pPr>
            <w:pStyle w:val="TOC3"/>
            <w:rPr>
              <w:rFonts w:eastAsiaTheme="minorEastAsia"/>
              <w:noProof/>
              <w:spacing w:val="0"/>
              <w:kern w:val="2"/>
              <w:sz w:val="24"/>
              <w:lang w:eastAsia="en-AU"/>
              <w14:ligatures w14:val="standardContextual"/>
            </w:rPr>
          </w:pPr>
          <w:hyperlink w:anchor="_Toc202900034" w:history="1">
            <w:r w:rsidRPr="00492332">
              <w:rPr>
                <w:rStyle w:val="Hyperlink"/>
                <w:noProof/>
              </w:rPr>
              <w:t>8.5.2</w:t>
            </w:r>
            <w:r>
              <w:rPr>
                <w:rFonts w:eastAsiaTheme="minorEastAsia"/>
                <w:noProof/>
                <w:spacing w:val="0"/>
                <w:kern w:val="2"/>
                <w:sz w:val="24"/>
                <w:lang w:eastAsia="en-AU"/>
                <w14:ligatures w14:val="standardContextual"/>
              </w:rPr>
              <w:tab/>
            </w:r>
            <w:r w:rsidRPr="00492332">
              <w:rPr>
                <w:rStyle w:val="Hyperlink"/>
                <w:noProof/>
              </w:rPr>
              <w:t>Change of Business Ownership</w:t>
            </w:r>
            <w:r>
              <w:rPr>
                <w:noProof/>
                <w:webHidden/>
              </w:rPr>
              <w:tab/>
            </w:r>
            <w:r>
              <w:rPr>
                <w:noProof/>
                <w:webHidden/>
              </w:rPr>
              <w:fldChar w:fldCharType="begin"/>
            </w:r>
            <w:r>
              <w:rPr>
                <w:noProof/>
                <w:webHidden/>
              </w:rPr>
              <w:instrText xml:space="preserve"> PAGEREF _Toc202900034 \h </w:instrText>
            </w:r>
            <w:r>
              <w:rPr>
                <w:noProof/>
                <w:webHidden/>
              </w:rPr>
            </w:r>
            <w:r>
              <w:rPr>
                <w:noProof/>
                <w:webHidden/>
              </w:rPr>
              <w:fldChar w:fldCharType="separate"/>
            </w:r>
            <w:r w:rsidR="000D75AE">
              <w:rPr>
                <w:noProof/>
                <w:webHidden/>
              </w:rPr>
              <w:t>173</w:t>
            </w:r>
            <w:r>
              <w:rPr>
                <w:noProof/>
                <w:webHidden/>
              </w:rPr>
              <w:fldChar w:fldCharType="end"/>
            </w:r>
          </w:hyperlink>
        </w:p>
        <w:p w14:paraId="31F15039" w14:textId="36236669" w:rsidR="00420D51" w:rsidRDefault="00420D51">
          <w:pPr>
            <w:pStyle w:val="TOC3"/>
            <w:rPr>
              <w:rFonts w:eastAsiaTheme="minorEastAsia"/>
              <w:noProof/>
              <w:spacing w:val="0"/>
              <w:kern w:val="2"/>
              <w:sz w:val="24"/>
              <w:lang w:eastAsia="en-AU"/>
              <w14:ligatures w14:val="standardContextual"/>
            </w:rPr>
          </w:pPr>
          <w:hyperlink w:anchor="_Toc202900035" w:history="1">
            <w:r w:rsidRPr="00492332">
              <w:rPr>
                <w:rStyle w:val="Hyperlink"/>
                <w:noProof/>
              </w:rPr>
              <w:t>8.5.3</w:t>
            </w:r>
            <w:r>
              <w:rPr>
                <w:rFonts w:eastAsiaTheme="minorEastAsia"/>
                <w:noProof/>
                <w:spacing w:val="0"/>
                <w:kern w:val="2"/>
                <w:sz w:val="24"/>
                <w:lang w:eastAsia="en-AU"/>
                <w14:ligatures w14:val="standardContextual"/>
              </w:rPr>
              <w:tab/>
            </w:r>
            <w:r w:rsidRPr="00492332">
              <w:rPr>
                <w:rStyle w:val="Hyperlink"/>
                <w:noProof/>
              </w:rPr>
              <w:t>Calculating Wage Subsidy Payments for Employers</w:t>
            </w:r>
            <w:r>
              <w:rPr>
                <w:noProof/>
                <w:webHidden/>
              </w:rPr>
              <w:tab/>
            </w:r>
            <w:r>
              <w:rPr>
                <w:noProof/>
                <w:webHidden/>
              </w:rPr>
              <w:fldChar w:fldCharType="begin"/>
            </w:r>
            <w:r>
              <w:rPr>
                <w:noProof/>
                <w:webHidden/>
              </w:rPr>
              <w:instrText xml:space="preserve"> PAGEREF _Toc202900035 \h </w:instrText>
            </w:r>
            <w:r>
              <w:rPr>
                <w:noProof/>
                <w:webHidden/>
              </w:rPr>
            </w:r>
            <w:r>
              <w:rPr>
                <w:noProof/>
                <w:webHidden/>
              </w:rPr>
              <w:fldChar w:fldCharType="separate"/>
            </w:r>
            <w:r w:rsidR="000D75AE">
              <w:rPr>
                <w:noProof/>
                <w:webHidden/>
              </w:rPr>
              <w:t>173</w:t>
            </w:r>
            <w:r>
              <w:rPr>
                <w:noProof/>
                <w:webHidden/>
              </w:rPr>
              <w:fldChar w:fldCharType="end"/>
            </w:r>
          </w:hyperlink>
        </w:p>
        <w:p w14:paraId="119F66FD" w14:textId="46F2EFEE" w:rsidR="00420D51" w:rsidRDefault="00420D51">
          <w:pPr>
            <w:pStyle w:val="TOC3"/>
            <w:rPr>
              <w:rFonts w:eastAsiaTheme="minorEastAsia"/>
              <w:noProof/>
              <w:spacing w:val="0"/>
              <w:kern w:val="2"/>
              <w:sz w:val="24"/>
              <w:lang w:eastAsia="en-AU"/>
              <w14:ligatures w14:val="standardContextual"/>
            </w:rPr>
          </w:pPr>
          <w:hyperlink w:anchor="_Toc202900036" w:history="1">
            <w:r w:rsidRPr="00492332">
              <w:rPr>
                <w:rStyle w:val="Hyperlink"/>
                <w:noProof/>
              </w:rPr>
              <w:t>8.5.4</w:t>
            </w:r>
            <w:r>
              <w:rPr>
                <w:rFonts w:eastAsiaTheme="minorEastAsia"/>
                <w:noProof/>
                <w:spacing w:val="0"/>
                <w:kern w:val="2"/>
                <w:sz w:val="24"/>
                <w:lang w:eastAsia="en-AU"/>
                <w14:ligatures w14:val="standardContextual"/>
              </w:rPr>
              <w:tab/>
            </w:r>
            <w:r w:rsidRPr="00492332">
              <w:rPr>
                <w:rStyle w:val="Hyperlink"/>
                <w:noProof/>
              </w:rPr>
              <w:t>Concurrent funding</w:t>
            </w:r>
            <w:r>
              <w:rPr>
                <w:noProof/>
                <w:webHidden/>
              </w:rPr>
              <w:tab/>
            </w:r>
            <w:r>
              <w:rPr>
                <w:noProof/>
                <w:webHidden/>
              </w:rPr>
              <w:fldChar w:fldCharType="begin"/>
            </w:r>
            <w:r>
              <w:rPr>
                <w:noProof/>
                <w:webHidden/>
              </w:rPr>
              <w:instrText xml:space="preserve"> PAGEREF _Toc202900036 \h </w:instrText>
            </w:r>
            <w:r>
              <w:rPr>
                <w:noProof/>
                <w:webHidden/>
              </w:rPr>
            </w:r>
            <w:r>
              <w:rPr>
                <w:noProof/>
                <w:webHidden/>
              </w:rPr>
              <w:fldChar w:fldCharType="separate"/>
            </w:r>
            <w:r w:rsidR="000D75AE">
              <w:rPr>
                <w:noProof/>
                <w:webHidden/>
              </w:rPr>
              <w:t>175</w:t>
            </w:r>
            <w:r>
              <w:rPr>
                <w:noProof/>
                <w:webHidden/>
              </w:rPr>
              <w:fldChar w:fldCharType="end"/>
            </w:r>
          </w:hyperlink>
        </w:p>
        <w:p w14:paraId="2B3EA7F1" w14:textId="154E0277" w:rsidR="00420D51" w:rsidRDefault="00420D51">
          <w:pPr>
            <w:pStyle w:val="TOC3"/>
            <w:rPr>
              <w:rFonts w:eastAsiaTheme="minorEastAsia"/>
              <w:noProof/>
              <w:spacing w:val="0"/>
              <w:kern w:val="2"/>
              <w:sz w:val="24"/>
              <w:lang w:eastAsia="en-AU"/>
              <w14:ligatures w14:val="standardContextual"/>
            </w:rPr>
          </w:pPr>
          <w:hyperlink w:anchor="_Toc202900037" w:history="1">
            <w:r w:rsidRPr="00492332">
              <w:rPr>
                <w:rStyle w:val="Hyperlink"/>
                <w:noProof/>
                <w:lang w:eastAsia="en-AU"/>
              </w:rPr>
              <w:t>8.5.5</w:t>
            </w:r>
            <w:r>
              <w:rPr>
                <w:rFonts w:eastAsiaTheme="minorEastAsia"/>
                <w:noProof/>
                <w:spacing w:val="0"/>
                <w:kern w:val="2"/>
                <w:sz w:val="24"/>
                <w:lang w:eastAsia="en-AU"/>
                <w14:ligatures w14:val="standardContextual"/>
              </w:rPr>
              <w:tab/>
            </w:r>
            <w:r w:rsidRPr="00492332">
              <w:rPr>
                <w:rStyle w:val="Hyperlink"/>
                <w:noProof/>
                <w:lang w:eastAsia="en-AU"/>
              </w:rPr>
              <w:t>Wage Subsidy Employers not registered for GST</w:t>
            </w:r>
            <w:r>
              <w:rPr>
                <w:noProof/>
                <w:webHidden/>
              </w:rPr>
              <w:tab/>
            </w:r>
            <w:r>
              <w:rPr>
                <w:noProof/>
                <w:webHidden/>
              </w:rPr>
              <w:fldChar w:fldCharType="begin"/>
            </w:r>
            <w:r>
              <w:rPr>
                <w:noProof/>
                <w:webHidden/>
              </w:rPr>
              <w:instrText xml:space="preserve"> PAGEREF _Toc202900037 \h </w:instrText>
            </w:r>
            <w:r>
              <w:rPr>
                <w:noProof/>
                <w:webHidden/>
              </w:rPr>
            </w:r>
            <w:r>
              <w:rPr>
                <w:noProof/>
                <w:webHidden/>
              </w:rPr>
              <w:fldChar w:fldCharType="separate"/>
            </w:r>
            <w:r w:rsidR="000D75AE">
              <w:rPr>
                <w:noProof/>
                <w:webHidden/>
              </w:rPr>
              <w:t>175</w:t>
            </w:r>
            <w:r>
              <w:rPr>
                <w:noProof/>
                <w:webHidden/>
              </w:rPr>
              <w:fldChar w:fldCharType="end"/>
            </w:r>
          </w:hyperlink>
        </w:p>
        <w:p w14:paraId="1DBD8C97" w14:textId="42C72599" w:rsidR="00420D51" w:rsidRDefault="00420D51">
          <w:pPr>
            <w:pStyle w:val="TOC2"/>
            <w:rPr>
              <w:rFonts w:eastAsiaTheme="minorEastAsia"/>
              <w:noProof/>
              <w:spacing w:val="0"/>
              <w:kern w:val="2"/>
              <w:sz w:val="24"/>
              <w:lang w:eastAsia="en-AU"/>
              <w14:ligatures w14:val="standardContextual"/>
            </w:rPr>
          </w:pPr>
          <w:hyperlink w:anchor="_Toc202900038" w:history="1">
            <w:r w:rsidRPr="00492332">
              <w:rPr>
                <w:rStyle w:val="Hyperlink"/>
                <w:noProof/>
              </w:rPr>
              <w:t>8.6</w:t>
            </w:r>
            <w:r>
              <w:rPr>
                <w:rFonts w:eastAsiaTheme="minorEastAsia"/>
                <w:noProof/>
                <w:spacing w:val="0"/>
                <w:kern w:val="2"/>
                <w:sz w:val="24"/>
                <w:lang w:eastAsia="en-AU"/>
                <w14:ligatures w14:val="standardContextual"/>
              </w:rPr>
              <w:tab/>
            </w:r>
            <w:r w:rsidRPr="00492332">
              <w:rPr>
                <w:rStyle w:val="Hyperlink"/>
                <w:noProof/>
              </w:rPr>
              <w:t>Claims for Reimbursement</w:t>
            </w:r>
            <w:r>
              <w:rPr>
                <w:noProof/>
                <w:webHidden/>
              </w:rPr>
              <w:tab/>
            </w:r>
            <w:r>
              <w:rPr>
                <w:noProof/>
                <w:webHidden/>
              </w:rPr>
              <w:fldChar w:fldCharType="begin"/>
            </w:r>
            <w:r>
              <w:rPr>
                <w:noProof/>
                <w:webHidden/>
              </w:rPr>
              <w:instrText xml:space="preserve"> PAGEREF _Toc202900038 \h </w:instrText>
            </w:r>
            <w:r>
              <w:rPr>
                <w:noProof/>
                <w:webHidden/>
              </w:rPr>
            </w:r>
            <w:r>
              <w:rPr>
                <w:noProof/>
                <w:webHidden/>
              </w:rPr>
              <w:fldChar w:fldCharType="separate"/>
            </w:r>
            <w:r w:rsidR="000D75AE">
              <w:rPr>
                <w:noProof/>
                <w:webHidden/>
              </w:rPr>
              <w:t>175</w:t>
            </w:r>
            <w:r>
              <w:rPr>
                <w:noProof/>
                <w:webHidden/>
              </w:rPr>
              <w:fldChar w:fldCharType="end"/>
            </w:r>
          </w:hyperlink>
        </w:p>
        <w:p w14:paraId="0BC72DA3" w14:textId="0D98A714" w:rsidR="00420D51" w:rsidRDefault="00420D51">
          <w:pPr>
            <w:pStyle w:val="TOC3"/>
            <w:rPr>
              <w:rFonts w:eastAsiaTheme="minorEastAsia"/>
              <w:noProof/>
              <w:spacing w:val="0"/>
              <w:kern w:val="2"/>
              <w:sz w:val="24"/>
              <w:lang w:eastAsia="en-AU"/>
              <w14:ligatures w14:val="standardContextual"/>
            </w:rPr>
          </w:pPr>
          <w:hyperlink w:anchor="_Toc202900039" w:history="1">
            <w:r w:rsidRPr="00492332">
              <w:rPr>
                <w:rStyle w:val="Hyperlink"/>
                <w:noProof/>
                <w:lang w:eastAsia="en-AU"/>
              </w:rPr>
              <w:t>8.6.1</w:t>
            </w:r>
            <w:r>
              <w:rPr>
                <w:rFonts w:eastAsiaTheme="minorEastAsia"/>
                <w:noProof/>
                <w:spacing w:val="0"/>
                <w:kern w:val="2"/>
                <w:sz w:val="24"/>
                <w:lang w:eastAsia="en-AU"/>
                <w14:ligatures w14:val="standardContextual"/>
              </w:rPr>
              <w:tab/>
            </w:r>
            <w:r w:rsidRPr="00492332">
              <w:rPr>
                <w:rStyle w:val="Hyperlink"/>
                <w:noProof/>
                <w:lang w:eastAsia="en-AU"/>
              </w:rPr>
              <w:t>Time requirements for claiming a Reimbursement</w:t>
            </w:r>
            <w:r>
              <w:rPr>
                <w:noProof/>
                <w:webHidden/>
              </w:rPr>
              <w:tab/>
            </w:r>
            <w:r>
              <w:rPr>
                <w:noProof/>
                <w:webHidden/>
              </w:rPr>
              <w:fldChar w:fldCharType="begin"/>
            </w:r>
            <w:r>
              <w:rPr>
                <w:noProof/>
                <w:webHidden/>
              </w:rPr>
              <w:instrText xml:space="preserve"> PAGEREF _Toc202900039 \h </w:instrText>
            </w:r>
            <w:r>
              <w:rPr>
                <w:noProof/>
                <w:webHidden/>
              </w:rPr>
            </w:r>
            <w:r>
              <w:rPr>
                <w:noProof/>
                <w:webHidden/>
              </w:rPr>
              <w:fldChar w:fldCharType="separate"/>
            </w:r>
            <w:r w:rsidR="000D75AE">
              <w:rPr>
                <w:noProof/>
                <w:webHidden/>
              </w:rPr>
              <w:t>175</w:t>
            </w:r>
            <w:r>
              <w:rPr>
                <w:noProof/>
                <w:webHidden/>
              </w:rPr>
              <w:fldChar w:fldCharType="end"/>
            </w:r>
          </w:hyperlink>
        </w:p>
        <w:p w14:paraId="732E8334" w14:textId="13CAC5F4" w:rsidR="00420D51" w:rsidRDefault="00420D51">
          <w:pPr>
            <w:pStyle w:val="TOC2"/>
            <w:rPr>
              <w:rFonts w:eastAsiaTheme="minorEastAsia"/>
              <w:noProof/>
              <w:spacing w:val="0"/>
              <w:kern w:val="2"/>
              <w:sz w:val="24"/>
              <w:lang w:eastAsia="en-AU"/>
              <w14:ligatures w14:val="standardContextual"/>
            </w:rPr>
          </w:pPr>
          <w:hyperlink w:anchor="_Toc202900040" w:history="1">
            <w:r w:rsidRPr="00492332">
              <w:rPr>
                <w:rStyle w:val="Hyperlink"/>
                <w:noProof/>
                <w:lang w:eastAsia="en-AU"/>
              </w:rPr>
              <w:t>8.7</w:t>
            </w:r>
            <w:r>
              <w:rPr>
                <w:rFonts w:eastAsiaTheme="minorEastAsia"/>
                <w:noProof/>
                <w:spacing w:val="0"/>
                <w:kern w:val="2"/>
                <w:sz w:val="24"/>
                <w:lang w:eastAsia="en-AU"/>
                <w14:ligatures w14:val="standardContextual"/>
              </w:rPr>
              <w:tab/>
            </w:r>
            <w:r w:rsidRPr="00492332">
              <w:rPr>
                <w:rStyle w:val="Hyperlink"/>
                <w:noProof/>
                <w:lang w:eastAsia="en-AU"/>
              </w:rPr>
              <w:t>Managing Wage Subsidy Agreements for Wage Subsidy Participants</w:t>
            </w:r>
            <w:r>
              <w:rPr>
                <w:noProof/>
                <w:webHidden/>
              </w:rPr>
              <w:tab/>
            </w:r>
            <w:r>
              <w:rPr>
                <w:noProof/>
                <w:webHidden/>
              </w:rPr>
              <w:fldChar w:fldCharType="begin"/>
            </w:r>
            <w:r>
              <w:rPr>
                <w:noProof/>
                <w:webHidden/>
              </w:rPr>
              <w:instrText xml:space="preserve"> PAGEREF _Toc202900040 \h </w:instrText>
            </w:r>
            <w:r>
              <w:rPr>
                <w:noProof/>
                <w:webHidden/>
              </w:rPr>
            </w:r>
            <w:r>
              <w:rPr>
                <w:noProof/>
                <w:webHidden/>
              </w:rPr>
              <w:fldChar w:fldCharType="separate"/>
            </w:r>
            <w:r w:rsidR="000D75AE">
              <w:rPr>
                <w:noProof/>
                <w:webHidden/>
              </w:rPr>
              <w:t>176</w:t>
            </w:r>
            <w:r>
              <w:rPr>
                <w:noProof/>
                <w:webHidden/>
              </w:rPr>
              <w:fldChar w:fldCharType="end"/>
            </w:r>
          </w:hyperlink>
        </w:p>
        <w:p w14:paraId="5A6C5C8C" w14:textId="0255AFFE" w:rsidR="00420D51" w:rsidRDefault="00420D51">
          <w:pPr>
            <w:pStyle w:val="TOC3"/>
            <w:rPr>
              <w:rFonts w:eastAsiaTheme="minorEastAsia"/>
              <w:noProof/>
              <w:spacing w:val="0"/>
              <w:kern w:val="2"/>
              <w:sz w:val="24"/>
              <w:lang w:eastAsia="en-AU"/>
              <w14:ligatures w14:val="standardContextual"/>
            </w:rPr>
          </w:pPr>
          <w:hyperlink w:anchor="_Toc202900041" w:history="1">
            <w:r w:rsidRPr="00492332">
              <w:rPr>
                <w:rStyle w:val="Hyperlink"/>
                <w:noProof/>
                <w:lang w:eastAsia="en-AU"/>
              </w:rPr>
              <w:t>8.7.1</w:t>
            </w:r>
            <w:r>
              <w:rPr>
                <w:rFonts w:eastAsiaTheme="minorEastAsia"/>
                <w:noProof/>
                <w:spacing w:val="0"/>
                <w:kern w:val="2"/>
                <w:sz w:val="24"/>
                <w:lang w:eastAsia="en-AU"/>
                <w14:ligatures w14:val="standardContextual"/>
              </w:rPr>
              <w:tab/>
            </w:r>
            <w:r w:rsidRPr="00492332">
              <w:rPr>
                <w:rStyle w:val="Hyperlink"/>
                <w:noProof/>
                <w:lang w:eastAsia="en-AU"/>
              </w:rPr>
              <w:t>Supporting Participants on Wage Subsidies</w:t>
            </w:r>
            <w:r>
              <w:rPr>
                <w:noProof/>
                <w:webHidden/>
              </w:rPr>
              <w:tab/>
            </w:r>
            <w:r>
              <w:rPr>
                <w:noProof/>
                <w:webHidden/>
              </w:rPr>
              <w:fldChar w:fldCharType="begin"/>
            </w:r>
            <w:r>
              <w:rPr>
                <w:noProof/>
                <w:webHidden/>
              </w:rPr>
              <w:instrText xml:space="preserve"> PAGEREF _Toc202900041 \h </w:instrText>
            </w:r>
            <w:r>
              <w:rPr>
                <w:noProof/>
                <w:webHidden/>
              </w:rPr>
            </w:r>
            <w:r>
              <w:rPr>
                <w:noProof/>
                <w:webHidden/>
              </w:rPr>
              <w:fldChar w:fldCharType="separate"/>
            </w:r>
            <w:r w:rsidR="000D75AE">
              <w:rPr>
                <w:noProof/>
                <w:webHidden/>
              </w:rPr>
              <w:t>176</w:t>
            </w:r>
            <w:r>
              <w:rPr>
                <w:noProof/>
                <w:webHidden/>
              </w:rPr>
              <w:fldChar w:fldCharType="end"/>
            </w:r>
          </w:hyperlink>
        </w:p>
        <w:p w14:paraId="0A274E0A" w14:textId="36F246DD" w:rsidR="00420D51" w:rsidRDefault="00420D51">
          <w:pPr>
            <w:pStyle w:val="TOC3"/>
            <w:rPr>
              <w:rFonts w:eastAsiaTheme="minorEastAsia"/>
              <w:noProof/>
              <w:spacing w:val="0"/>
              <w:kern w:val="2"/>
              <w:sz w:val="24"/>
              <w:lang w:eastAsia="en-AU"/>
              <w14:ligatures w14:val="standardContextual"/>
            </w:rPr>
          </w:pPr>
          <w:hyperlink w:anchor="_Toc202900042" w:history="1">
            <w:r w:rsidRPr="00492332">
              <w:rPr>
                <w:rStyle w:val="Hyperlink"/>
                <w:noProof/>
                <w:lang w:eastAsia="en-AU"/>
              </w:rPr>
              <w:t>8.7.2</w:t>
            </w:r>
            <w:r>
              <w:rPr>
                <w:rFonts w:eastAsiaTheme="minorEastAsia"/>
                <w:noProof/>
                <w:spacing w:val="0"/>
                <w:kern w:val="2"/>
                <w:sz w:val="24"/>
                <w:lang w:eastAsia="en-AU"/>
                <w14:ligatures w14:val="standardContextual"/>
              </w:rPr>
              <w:tab/>
            </w:r>
            <w:r w:rsidRPr="00492332">
              <w:rPr>
                <w:rStyle w:val="Hyperlink"/>
                <w:noProof/>
                <w:lang w:eastAsia="en-AU"/>
              </w:rPr>
              <w:t>Managing Wage Subsidy Agreements for Transferred Participants</w:t>
            </w:r>
            <w:r>
              <w:rPr>
                <w:noProof/>
                <w:webHidden/>
              </w:rPr>
              <w:tab/>
            </w:r>
            <w:r>
              <w:rPr>
                <w:noProof/>
                <w:webHidden/>
              </w:rPr>
              <w:fldChar w:fldCharType="begin"/>
            </w:r>
            <w:r>
              <w:rPr>
                <w:noProof/>
                <w:webHidden/>
              </w:rPr>
              <w:instrText xml:space="preserve"> PAGEREF _Toc202900042 \h </w:instrText>
            </w:r>
            <w:r>
              <w:rPr>
                <w:noProof/>
                <w:webHidden/>
              </w:rPr>
            </w:r>
            <w:r>
              <w:rPr>
                <w:noProof/>
                <w:webHidden/>
              </w:rPr>
              <w:fldChar w:fldCharType="separate"/>
            </w:r>
            <w:r w:rsidR="000D75AE">
              <w:rPr>
                <w:noProof/>
                <w:webHidden/>
              </w:rPr>
              <w:t>177</w:t>
            </w:r>
            <w:r>
              <w:rPr>
                <w:noProof/>
                <w:webHidden/>
              </w:rPr>
              <w:fldChar w:fldCharType="end"/>
            </w:r>
          </w:hyperlink>
        </w:p>
        <w:p w14:paraId="20E98DAE" w14:textId="0F0DD4FA" w:rsidR="00420D51" w:rsidRDefault="00420D51">
          <w:pPr>
            <w:pStyle w:val="TOC2"/>
            <w:rPr>
              <w:rFonts w:eastAsiaTheme="minorEastAsia"/>
              <w:noProof/>
              <w:spacing w:val="0"/>
              <w:kern w:val="2"/>
              <w:sz w:val="24"/>
              <w:lang w:eastAsia="en-AU"/>
              <w14:ligatures w14:val="standardContextual"/>
            </w:rPr>
          </w:pPr>
          <w:hyperlink w:anchor="_Toc202900043" w:history="1">
            <w:r w:rsidRPr="00492332">
              <w:rPr>
                <w:rStyle w:val="Hyperlink"/>
                <w:noProof/>
              </w:rPr>
              <w:t>8.8</w:t>
            </w:r>
            <w:r>
              <w:rPr>
                <w:rFonts w:eastAsiaTheme="minorEastAsia"/>
                <w:noProof/>
                <w:spacing w:val="0"/>
                <w:kern w:val="2"/>
                <w:sz w:val="24"/>
                <w:lang w:eastAsia="en-AU"/>
                <w14:ligatures w14:val="standardContextual"/>
              </w:rPr>
              <w:tab/>
            </w:r>
            <w:r w:rsidRPr="00492332">
              <w:rPr>
                <w:rStyle w:val="Hyperlink"/>
                <w:noProof/>
              </w:rPr>
              <w:t>Record Keeping</w:t>
            </w:r>
            <w:r>
              <w:rPr>
                <w:noProof/>
                <w:webHidden/>
              </w:rPr>
              <w:tab/>
            </w:r>
            <w:r>
              <w:rPr>
                <w:noProof/>
                <w:webHidden/>
              </w:rPr>
              <w:fldChar w:fldCharType="begin"/>
            </w:r>
            <w:r>
              <w:rPr>
                <w:noProof/>
                <w:webHidden/>
              </w:rPr>
              <w:instrText xml:space="preserve"> PAGEREF _Toc202900043 \h </w:instrText>
            </w:r>
            <w:r>
              <w:rPr>
                <w:noProof/>
                <w:webHidden/>
              </w:rPr>
            </w:r>
            <w:r>
              <w:rPr>
                <w:noProof/>
                <w:webHidden/>
              </w:rPr>
              <w:fldChar w:fldCharType="separate"/>
            </w:r>
            <w:r w:rsidR="000D75AE">
              <w:rPr>
                <w:noProof/>
                <w:webHidden/>
              </w:rPr>
              <w:t>177</w:t>
            </w:r>
            <w:r>
              <w:rPr>
                <w:noProof/>
                <w:webHidden/>
              </w:rPr>
              <w:fldChar w:fldCharType="end"/>
            </w:r>
          </w:hyperlink>
        </w:p>
        <w:p w14:paraId="3AED20F5" w14:textId="4DF43AF4" w:rsidR="00420D51" w:rsidRDefault="00420D51">
          <w:pPr>
            <w:pStyle w:val="TOC1"/>
            <w:tabs>
              <w:tab w:val="left" w:pos="1320"/>
            </w:tabs>
            <w:rPr>
              <w:rFonts w:eastAsiaTheme="minorEastAsia"/>
              <w:b w:val="0"/>
              <w:noProof/>
              <w:color w:val="auto"/>
              <w:spacing w:val="0"/>
              <w:kern w:val="2"/>
              <w:sz w:val="24"/>
              <w:lang w:eastAsia="en-AU"/>
              <w14:ligatures w14:val="standardContextual"/>
            </w:rPr>
          </w:pPr>
          <w:hyperlink w:anchor="_Toc202900044" w:history="1">
            <w:r w:rsidRPr="00492332">
              <w:rPr>
                <w:rStyle w:val="Hyperlink"/>
                <w:noProof/>
              </w:rPr>
              <w:t>Chapter 9:</w:t>
            </w:r>
            <w:r>
              <w:rPr>
                <w:rFonts w:eastAsiaTheme="minorEastAsia"/>
                <w:b w:val="0"/>
                <w:noProof/>
                <w:color w:val="auto"/>
                <w:spacing w:val="0"/>
                <w:kern w:val="2"/>
                <w:sz w:val="24"/>
                <w:lang w:eastAsia="en-AU"/>
                <w14:ligatures w14:val="standardContextual"/>
              </w:rPr>
              <w:tab/>
            </w:r>
            <w:r w:rsidRPr="00492332">
              <w:rPr>
                <w:rStyle w:val="Hyperlink"/>
                <w:noProof/>
              </w:rPr>
              <w:t>Post Placement Support</w:t>
            </w:r>
            <w:r>
              <w:rPr>
                <w:noProof/>
                <w:webHidden/>
              </w:rPr>
              <w:tab/>
            </w:r>
            <w:r>
              <w:rPr>
                <w:noProof/>
                <w:webHidden/>
              </w:rPr>
              <w:fldChar w:fldCharType="begin"/>
            </w:r>
            <w:r>
              <w:rPr>
                <w:noProof/>
                <w:webHidden/>
              </w:rPr>
              <w:instrText xml:space="preserve"> PAGEREF _Toc202900044 \h </w:instrText>
            </w:r>
            <w:r>
              <w:rPr>
                <w:noProof/>
                <w:webHidden/>
              </w:rPr>
            </w:r>
            <w:r>
              <w:rPr>
                <w:noProof/>
                <w:webHidden/>
              </w:rPr>
              <w:fldChar w:fldCharType="separate"/>
            </w:r>
            <w:r w:rsidR="000D75AE">
              <w:rPr>
                <w:noProof/>
                <w:webHidden/>
              </w:rPr>
              <w:t>179</w:t>
            </w:r>
            <w:r>
              <w:rPr>
                <w:noProof/>
                <w:webHidden/>
              </w:rPr>
              <w:fldChar w:fldCharType="end"/>
            </w:r>
          </w:hyperlink>
        </w:p>
        <w:p w14:paraId="36161B31" w14:textId="54640BCA" w:rsidR="00420D51" w:rsidRDefault="00420D51">
          <w:pPr>
            <w:pStyle w:val="TOC2"/>
            <w:rPr>
              <w:rFonts w:eastAsiaTheme="minorEastAsia"/>
              <w:noProof/>
              <w:spacing w:val="0"/>
              <w:kern w:val="2"/>
              <w:sz w:val="24"/>
              <w:lang w:eastAsia="en-AU"/>
              <w14:ligatures w14:val="standardContextual"/>
            </w:rPr>
          </w:pPr>
          <w:hyperlink w:anchor="_Toc202900045" w:history="1">
            <w:r w:rsidRPr="00492332">
              <w:rPr>
                <w:rStyle w:val="Hyperlink"/>
                <w:noProof/>
              </w:rPr>
              <w:t>9.1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_Toc202900045 \h </w:instrText>
            </w:r>
            <w:r>
              <w:rPr>
                <w:noProof/>
                <w:webHidden/>
              </w:rPr>
            </w:r>
            <w:r>
              <w:rPr>
                <w:noProof/>
                <w:webHidden/>
              </w:rPr>
              <w:fldChar w:fldCharType="separate"/>
            </w:r>
            <w:r w:rsidR="000D75AE">
              <w:rPr>
                <w:noProof/>
                <w:webHidden/>
              </w:rPr>
              <w:t>179</w:t>
            </w:r>
            <w:r>
              <w:rPr>
                <w:noProof/>
                <w:webHidden/>
              </w:rPr>
              <w:fldChar w:fldCharType="end"/>
            </w:r>
          </w:hyperlink>
        </w:p>
        <w:p w14:paraId="091DE585" w14:textId="1755DB95" w:rsidR="00420D51" w:rsidRDefault="00420D51">
          <w:pPr>
            <w:pStyle w:val="TOC2"/>
            <w:rPr>
              <w:rFonts w:eastAsiaTheme="minorEastAsia"/>
              <w:noProof/>
              <w:spacing w:val="0"/>
              <w:kern w:val="2"/>
              <w:sz w:val="24"/>
              <w:lang w:eastAsia="en-AU"/>
              <w14:ligatures w14:val="standardContextual"/>
            </w:rPr>
          </w:pPr>
          <w:hyperlink w:anchor="_Toc202900046" w:history="1">
            <w:r w:rsidRPr="00492332">
              <w:rPr>
                <w:rStyle w:val="Hyperlink"/>
                <w:noProof/>
              </w:rPr>
              <w:t>9.2</w:t>
            </w:r>
            <w:r>
              <w:rPr>
                <w:rFonts w:eastAsiaTheme="minorEastAsia"/>
                <w:noProof/>
                <w:spacing w:val="0"/>
                <w:kern w:val="2"/>
                <w:sz w:val="24"/>
                <w:lang w:eastAsia="en-AU"/>
                <w14:ligatures w14:val="standardContextual"/>
              </w:rPr>
              <w:tab/>
            </w:r>
            <w:r w:rsidRPr="00492332">
              <w:rPr>
                <w:rStyle w:val="Hyperlink"/>
                <w:noProof/>
              </w:rPr>
              <w:t>Post Placement Support</w:t>
            </w:r>
            <w:r>
              <w:rPr>
                <w:noProof/>
                <w:webHidden/>
              </w:rPr>
              <w:tab/>
            </w:r>
            <w:r>
              <w:rPr>
                <w:noProof/>
                <w:webHidden/>
              </w:rPr>
              <w:fldChar w:fldCharType="begin"/>
            </w:r>
            <w:r>
              <w:rPr>
                <w:noProof/>
                <w:webHidden/>
              </w:rPr>
              <w:instrText xml:space="preserve"> PAGEREF _Toc202900046 \h </w:instrText>
            </w:r>
            <w:r>
              <w:rPr>
                <w:noProof/>
                <w:webHidden/>
              </w:rPr>
            </w:r>
            <w:r>
              <w:rPr>
                <w:noProof/>
                <w:webHidden/>
              </w:rPr>
              <w:fldChar w:fldCharType="separate"/>
            </w:r>
            <w:r w:rsidR="000D75AE">
              <w:rPr>
                <w:noProof/>
                <w:webHidden/>
              </w:rPr>
              <w:t>180</w:t>
            </w:r>
            <w:r>
              <w:rPr>
                <w:noProof/>
                <w:webHidden/>
              </w:rPr>
              <w:fldChar w:fldCharType="end"/>
            </w:r>
          </w:hyperlink>
        </w:p>
        <w:p w14:paraId="5AFAD411" w14:textId="1991098D" w:rsidR="00420D51" w:rsidRDefault="00420D51">
          <w:pPr>
            <w:pStyle w:val="TOC2"/>
            <w:rPr>
              <w:rFonts w:eastAsiaTheme="minorEastAsia"/>
              <w:noProof/>
              <w:spacing w:val="0"/>
              <w:kern w:val="2"/>
              <w:sz w:val="24"/>
              <w:lang w:eastAsia="en-AU"/>
              <w14:ligatures w14:val="standardContextual"/>
            </w:rPr>
          </w:pPr>
          <w:hyperlink w:anchor="_Toc202900047" w:history="1">
            <w:r w:rsidRPr="00492332">
              <w:rPr>
                <w:rStyle w:val="Hyperlink"/>
                <w:noProof/>
              </w:rPr>
              <w:t>9.3</w:t>
            </w:r>
            <w:r>
              <w:rPr>
                <w:rFonts w:eastAsiaTheme="minorEastAsia"/>
                <w:noProof/>
                <w:spacing w:val="0"/>
                <w:kern w:val="2"/>
                <w:sz w:val="24"/>
                <w:lang w:eastAsia="en-AU"/>
                <w14:ligatures w14:val="standardContextual"/>
              </w:rPr>
              <w:tab/>
            </w:r>
            <w:r w:rsidRPr="00492332">
              <w:rPr>
                <w:rStyle w:val="Hyperlink"/>
                <w:noProof/>
              </w:rPr>
              <w:t>Movement to Post Placement Support</w:t>
            </w:r>
            <w:r>
              <w:rPr>
                <w:noProof/>
                <w:webHidden/>
              </w:rPr>
              <w:tab/>
            </w:r>
            <w:r>
              <w:rPr>
                <w:noProof/>
                <w:webHidden/>
              </w:rPr>
              <w:fldChar w:fldCharType="begin"/>
            </w:r>
            <w:r>
              <w:rPr>
                <w:noProof/>
                <w:webHidden/>
              </w:rPr>
              <w:instrText xml:space="preserve"> PAGEREF _Toc202900047 \h </w:instrText>
            </w:r>
            <w:r>
              <w:rPr>
                <w:noProof/>
                <w:webHidden/>
              </w:rPr>
            </w:r>
            <w:r>
              <w:rPr>
                <w:noProof/>
                <w:webHidden/>
              </w:rPr>
              <w:fldChar w:fldCharType="separate"/>
            </w:r>
            <w:r w:rsidR="000D75AE">
              <w:rPr>
                <w:noProof/>
                <w:webHidden/>
              </w:rPr>
              <w:t>180</w:t>
            </w:r>
            <w:r>
              <w:rPr>
                <w:noProof/>
                <w:webHidden/>
              </w:rPr>
              <w:fldChar w:fldCharType="end"/>
            </w:r>
          </w:hyperlink>
        </w:p>
        <w:p w14:paraId="63A66538" w14:textId="4B6D89EC" w:rsidR="00420D51" w:rsidRDefault="00420D51">
          <w:pPr>
            <w:pStyle w:val="TOC3"/>
            <w:rPr>
              <w:rFonts w:eastAsiaTheme="minorEastAsia"/>
              <w:noProof/>
              <w:spacing w:val="0"/>
              <w:kern w:val="2"/>
              <w:sz w:val="24"/>
              <w:lang w:eastAsia="en-AU"/>
              <w14:ligatures w14:val="standardContextual"/>
            </w:rPr>
          </w:pPr>
          <w:hyperlink w:anchor="_Toc202900048" w:history="1">
            <w:r w:rsidRPr="00492332">
              <w:rPr>
                <w:rStyle w:val="Hyperlink"/>
                <w:noProof/>
              </w:rPr>
              <w:t>9.3.1</w:t>
            </w:r>
            <w:r>
              <w:rPr>
                <w:rFonts w:eastAsiaTheme="minorEastAsia"/>
                <w:noProof/>
                <w:spacing w:val="0"/>
                <w:kern w:val="2"/>
                <w:sz w:val="24"/>
                <w:lang w:eastAsia="en-AU"/>
                <w14:ligatures w14:val="standardContextual"/>
              </w:rPr>
              <w:tab/>
            </w:r>
            <w:r w:rsidRPr="00492332">
              <w:rPr>
                <w:rStyle w:val="Hyperlink"/>
                <w:noProof/>
              </w:rPr>
              <w:t>Vacancy management</w:t>
            </w:r>
            <w:r>
              <w:rPr>
                <w:noProof/>
                <w:webHidden/>
              </w:rPr>
              <w:tab/>
            </w:r>
            <w:r>
              <w:rPr>
                <w:noProof/>
                <w:webHidden/>
              </w:rPr>
              <w:fldChar w:fldCharType="begin"/>
            </w:r>
            <w:r>
              <w:rPr>
                <w:noProof/>
                <w:webHidden/>
              </w:rPr>
              <w:instrText xml:space="preserve"> PAGEREF _Toc202900048 \h </w:instrText>
            </w:r>
            <w:r>
              <w:rPr>
                <w:noProof/>
                <w:webHidden/>
              </w:rPr>
            </w:r>
            <w:r>
              <w:rPr>
                <w:noProof/>
                <w:webHidden/>
              </w:rPr>
              <w:fldChar w:fldCharType="separate"/>
            </w:r>
            <w:r w:rsidR="000D75AE">
              <w:rPr>
                <w:noProof/>
                <w:webHidden/>
              </w:rPr>
              <w:t>180</w:t>
            </w:r>
            <w:r>
              <w:rPr>
                <w:noProof/>
                <w:webHidden/>
              </w:rPr>
              <w:fldChar w:fldCharType="end"/>
            </w:r>
          </w:hyperlink>
        </w:p>
        <w:p w14:paraId="0185F568" w14:textId="0E2ED38B" w:rsidR="00420D51" w:rsidRDefault="00420D51">
          <w:pPr>
            <w:pStyle w:val="TOC3"/>
            <w:rPr>
              <w:rFonts w:eastAsiaTheme="minorEastAsia"/>
              <w:noProof/>
              <w:spacing w:val="0"/>
              <w:kern w:val="2"/>
              <w:sz w:val="24"/>
              <w:lang w:eastAsia="en-AU"/>
              <w14:ligatures w14:val="standardContextual"/>
            </w:rPr>
          </w:pPr>
          <w:hyperlink w:anchor="_Toc202900049" w:history="1">
            <w:r w:rsidRPr="00492332">
              <w:rPr>
                <w:rStyle w:val="Hyperlink"/>
                <w:noProof/>
              </w:rPr>
              <w:t>9.3.2</w:t>
            </w:r>
            <w:r>
              <w:rPr>
                <w:rFonts w:eastAsiaTheme="minorEastAsia"/>
                <w:noProof/>
                <w:spacing w:val="0"/>
                <w:kern w:val="2"/>
                <w:sz w:val="24"/>
                <w:lang w:eastAsia="en-AU"/>
                <w14:ligatures w14:val="standardContextual"/>
              </w:rPr>
              <w:tab/>
            </w:r>
            <w:r w:rsidRPr="00492332">
              <w:rPr>
                <w:rStyle w:val="Hyperlink"/>
                <w:noProof/>
              </w:rPr>
              <w:t>Anchoring a Job Placement</w:t>
            </w:r>
            <w:r>
              <w:rPr>
                <w:noProof/>
                <w:webHidden/>
              </w:rPr>
              <w:tab/>
            </w:r>
            <w:r>
              <w:rPr>
                <w:noProof/>
                <w:webHidden/>
              </w:rPr>
              <w:fldChar w:fldCharType="begin"/>
            </w:r>
            <w:r>
              <w:rPr>
                <w:noProof/>
                <w:webHidden/>
              </w:rPr>
              <w:instrText xml:space="preserve"> PAGEREF _Toc202900049 \h </w:instrText>
            </w:r>
            <w:r>
              <w:rPr>
                <w:noProof/>
                <w:webHidden/>
              </w:rPr>
            </w:r>
            <w:r>
              <w:rPr>
                <w:noProof/>
                <w:webHidden/>
              </w:rPr>
              <w:fldChar w:fldCharType="separate"/>
            </w:r>
            <w:r w:rsidR="000D75AE">
              <w:rPr>
                <w:noProof/>
                <w:webHidden/>
              </w:rPr>
              <w:t>181</w:t>
            </w:r>
            <w:r>
              <w:rPr>
                <w:noProof/>
                <w:webHidden/>
              </w:rPr>
              <w:fldChar w:fldCharType="end"/>
            </w:r>
          </w:hyperlink>
        </w:p>
        <w:p w14:paraId="0B244504" w14:textId="1B1F1D87" w:rsidR="00420D51" w:rsidRDefault="00420D51">
          <w:pPr>
            <w:pStyle w:val="TOC2"/>
            <w:rPr>
              <w:rFonts w:eastAsiaTheme="minorEastAsia"/>
              <w:noProof/>
              <w:spacing w:val="0"/>
              <w:kern w:val="2"/>
              <w:sz w:val="24"/>
              <w:lang w:eastAsia="en-AU"/>
              <w14:ligatures w14:val="standardContextual"/>
            </w:rPr>
          </w:pPr>
          <w:hyperlink w:anchor="_Toc202900050" w:history="1">
            <w:r w:rsidRPr="00492332">
              <w:rPr>
                <w:rStyle w:val="Hyperlink"/>
                <w:noProof/>
              </w:rPr>
              <w:t>9.4</w:t>
            </w:r>
            <w:r>
              <w:rPr>
                <w:rFonts w:eastAsiaTheme="minorEastAsia"/>
                <w:noProof/>
                <w:spacing w:val="0"/>
                <w:kern w:val="2"/>
                <w:sz w:val="24"/>
                <w:lang w:eastAsia="en-AU"/>
                <w14:ligatures w14:val="standardContextual"/>
              </w:rPr>
              <w:tab/>
            </w:r>
            <w:r w:rsidRPr="00492332">
              <w:rPr>
                <w:rStyle w:val="Hyperlink"/>
                <w:noProof/>
              </w:rPr>
              <w:t>Participant Contact</w:t>
            </w:r>
            <w:r>
              <w:rPr>
                <w:noProof/>
                <w:webHidden/>
              </w:rPr>
              <w:tab/>
            </w:r>
            <w:r>
              <w:rPr>
                <w:noProof/>
                <w:webHidden/>
              </w:rPr>
              <w:fldChar w:fldCharType="begin"/>
            </w:r>
            <w:r>
              <w:rPr>
                <w:noProof/>
                <w:webHidden/>
              </w:rPr>
              <w:instrText xml:space="preserve"> PAGEREF _Toc202900050 \h </w:instrText>
            </w:r>
            <w:r>
              <w:rPr>
                <w:noProof/>
                <w:webHidden/>
              </w:rPr>
            </w:r>
            <w:r>
              <w:rPr>
                <w:noProof/>
                <w:webHidden/>
              </w:rPr>
              <w:fldChar w:fldCharType="separate"/>
            </w:r>
            <w:r w:rsidR="000D75AE">
              <w:rPr>
                <w:noProof/>
                <w:webHidden/>
              </w:rPr>
              <w:t>182</w:t>
            </w:r>
            <w:r>
              <w:rPr>
                <w:noProof/>
                <w:webHidden/>
              </w:rPr>
              <w:fldChar w:fldCharType="end"/>
            </w:r>
          </w:hyperlink>
        </w:p>
        <w:p w14:paraId="097860B5" w14:textId="45F8421F" w:rsidR="00420D51" w:rsidRDefault="00420D51">
          <w:pPr>
            <w:pStyle w:val="TOC2"/>
            <w:rPr>
              <w:rFonts w:eastAsiaTheme="minorEastAsia"/>
              <w:noProof/>
              <w:spacing w:val="0"/>
              <w:kern w:val="2"/>
              <w:sz w:val="24"/>
              <w:lang w:eastAsia="en-AU"/>
              <w14:ligatures w14:val="standardContextual"/>
            </w:rPr>
          </w:pPr>
          <w:hyperlink w:anchor="_Toc202900051" w:history="1">
            <w:r w:rsidRPr="00492332">
              <w:rPr>
                <w:rStyle w:val="Hyperlink"/>
                <w:noProof/>
              </w:rPr>
              <w:t>9.5</w:t>
            </w:r>
            <w:r>
              <w:rPr>
                <w:rFonts w:eastAsiaTheme="minorEastAsia"/>
                <w:noProof/>
                <w:spacing w:val="0"/>
                <w:kern w:val="2"/>
                <w:sz w:val="24"/>
                <w:lang w:eastAsia="en-AU"/>
                <w14:ligatures w14:val="standardContextual"/>
              </w:rPr>
              <w:tab/>
            </w:r>
            <w:r w:rsidRPr="00492332">
              <w:rPr>
                <w:rStyle w:val="Hyperlink"/>
                <w:noProof/>
              </w:rPr>
              <w:t>Employment Outcome conditions</w:t>
            </w:r>
            <w:r>
              <w:rPr>
                <w:noProof/>
                <w:webHidden/>
              </w:rPr>
              <w:tab/>
            </w:r>
            <w:r>
              <w:rPr>
                <w:noProof/>
                <w:webHidden/>
              </w:rPr>
              <w:fldChar w:fldCharType="begin"/>
            </w:r>
            <w:r>
              <w:rPr>
                <w:noProof/>
                <w:webHidden/>
              </w:rPr>
              <w:instrText xml:space="preserve"> PAGEREF _Toc202900051 \h </w:instrText>
            </w:r>
            <w:r>
              <w:rPr>
                <w:noProof/>
                <w:webHidden/>
              </w:rPr>
            </w:r>
            <w:r>
              <w:rPr>
                <w:noProof/>
                <w:webHidden/>
              </w:rPr>
              <w:fldChar w:fldCharType="separate"/>
            </w:r>
            <w:r w:rsidR="000D75AE">
              <w:rPr>
                <w:noProof/>
                <w:webHidden/>
              </w:rPr>
              <w:t>183</w:t>
            </w:r>
            <w:r>
              <w:rPr>
                <w:noProof/>
                <w:webHidden/>
              </w:rPr>
              <w:fldChar w:fldCharType="end"/>
            </w:r>
          </w:hyperlink>
        </w:p>
        <w:p w14:paraId="6A22ABD9" w14:textId="1779BF03" w:rsidR="00420D51" w:rsidRDefault="00420D51">
          <w:pPr>
            <w:pStyle w:val="TOC3"/>
            <w:rPr>
              <w:rFonts w:eastAsiaTheme="minorEastAsia"/>
              <w:noProof/>
              <w:spacing w:val="0"/>
              <w:kern w:val="2"/>
              <w:sz w:val="24"/>
              <w:lang w:eastAsia="en-AU"/>
              <w14:ligatures w14:val="standardContextual"/>
            </w:rPr>
          </w:pPr>
          <w:hyperlink w:anchor="_Toc202900052" w:history="1">
            <w:r w:rsidRPr="00492332">
              <w:rPr>
                <w:rStyle w:val="Hyperlink"/>
                <w:noProof/>
              </w:rPr>
              <w:t>9.5.1</w:t>
            </w:r>
            <w:r>
              <w:rPr>
                <w:rFonts w:eastAsiaTheme="minorEastAsia"/>
                <w:noProof/>
                <w:spacing w:val="0"/>
                <w:kern w:val="2"/>
                <w:sz w:val="24"/>
                <w:lang w:eastAsia="en-AU"/>
                <w14:ligatures w14:val="standardContextual"/>
              </w:rPr>
              <w:tab/>
            </w:r>
            <w:r w:rsidRPr="00492332">
              <w:rPr>
                <w:rStyle w:val="Hyperlink"/>
                <w:noProof/>
              </w:rPr>
              <w:t>Full or Partial Outcome requirements</w:t>
            </w:r>
            <w:r>
              <w:rPr>
                <w:noProof/>
                <w:webHidden/>
              </w:rPr>
              <w:tab/>
            </w:r>
            <w:r>
              <w:rPr>
                <w:noProof/>
                <w:webHidden/>
              </w:rPr>
              <w:fldChar w:fldCharType="begin"/>
            </w:r>
            <w:r>
              <w:rPr>
                <w:noProof/>
                <w:webHidden/>
              </w:rPr>
              <w:instrText xml:space="preserve"> PAGEREF _Toc202900052 \h </w:instrText>
            </w:r>
            <w:r>
              <w:rPr>
                <w:noProof/>
                <w:webHidden/>
              </w:rPr>
            </w:r>
            <w:r>
              <w:rPr>
                <w:noProof/>
                <w:webHidden/>
              </w:rPr>
              <w:fldChar w:fldCharType="separate"/>
            </w:r>
            <w:r w:rsidR="000D75AE">
              <w:rPr>
                <w:noProof/>
                <w:webHidden/>
              </w:rPr>
              <w:t>183</w:t>
            </w:r>
            <w:r>
              <w:rPr>
                <w:noProof/>
                <w:webHidden/>
              </w:rPr>
              <w:fldChar w:fldCharType="end"/>
            </w:r>
          </w:hyperlink>
        </w:p>
        <w:p w14:paraId="4F278CD8" w14:textId="279ACA1B" w:rsidR="00420D51" w:rsidRDefault="00420D51">
          <w:pPr>
            <w:pStyle w:val="TOC3"/>
            <w:rPr>
              <w:rFonts w:eastAsiaTheme="minorEastAsia"/>
              <w:noProof/>
              <w:spacing w:val="0"/>
              <w:kern w:val="2"/>
              <w:sz w:val="24"/>
              <w:lang w:eastAsia="en-AU"/>
              <w14:ligatures w14:val="standardContextual"/>
            </w:rPr>
          </w:pPr>
          <w:hyperlink w:anchor="_Toc202900053" w:history="1">
            <w:r w:rsidRPr="00492332">
              <w:rPr>
                <w:rStyle w:val="Hyperlink"/>
                <w:noProof/>
              </w:rPr>
              <w:t>9.5.2</w:t>
            </w:r>
            <w:r>
              <w:rPr>
                <w:rFonts w:eastAsiaTheme="minorEastAsia"/>
                <w:noProof/>
                <w:spacing w:val="0"/>
                <w:kern w:val="2"/>
                <w:sz w:val="24"/>
                <w:lang w:eastAsia="en-AU"/>
                <w14:ligatures w14:val="standardContextual"/>
              </w:rPr>
              <w:tab/>
            </w:r>
            <w:r w:rsidRPr="00492332">
              <w:rPr>
                <w:rStyle w:val="Hyperlink"/>
                <w:noProof/>
              </w:rPr>
              <w:t>Outcome Periods</w:t>
            </w:r>
            <w:r>
              <w:rPr>
                <w:noProof/>
                <w:webHidden/>
              </w:rPr>
              <w:tab/>
            </w:r>
            <w:r>
              <w:rPr>
                <w:noProof/>
                <w:webHidden/>
              </w:rPr>
              <w:fldChar w:fldCharType="begin"/>
            </w:r>
            <w:r>
              <w:rPr>
                <w:noProof/>
                <w:webHidden/>
              </w:rPr>
              <w:instrText xml:space="preserve"> PAGEREF _Toc202900053 \h </w:instrText>
            </w:r>
            <w:r>
              <w:rPr>
                <w:noProof/>
                <w:webHidden/>
              </w:rPr>
            </w:r>
            <w:r>
              <w:rPr>
                <w:noProof/>
                <w:webHidden/>
              </w:rPr>
              <w:fldChar w:fldCharType="separate"/>
            </w:r>
            <w:r w:rsidR="000D75AE">
              <w:rPr>
                <w:noProof/>
                <w:webHidden/>
              </w:rPr>
              <w:t>184</w:t>
            </w:r>
            <w:r>
              <w:rPr>
                <w:noProof/>
                <w:webHidden/>
              </w:rPr>
              <w:fldChar w:fldCharType="end"/>
            </w:r>
          </w:hyperlink>
        </w:p>
        <w:p w14:paraId="3B5316EE" w14:textId="095322D7" w:rsidR="00420D51" w:rsidRDefault="00420D51">
          <w:pPr>
            <w:pStyle w:val="TOC3"/>
            <w:rPr>
              <w:rFonts w:eastAsiaTheme="minorEastAsia"/>
              <w:noProof/>
              <w:spacing w:val="0"/>
              <w:kern w:val="2"/>
              <w:sz w:val="24"/>
              <w:lang w:eastAsia="en-AU"/>
              <w14:ligatures w14:val="standardContextual"/>
            </w:rPr>
          </w:pPr>
          <w:hyperlink w:anchor="_Toc202900054" w:history="1">
            <w:r w:rsidRPr="00492332">
              <w:rPr>
                <w:rStyle w:val="Hyperlink"/>
                <w:noProof/>
              </w:rPr>
              <w:t>9.5.3</w:t>
            </w:r>
            <w:r>
              <w:rPr>
                <w:rFonts w:eastAsiaTheme="minorEastAsia"/>
                <w:noProof/>
                <w:spacing w:val="0"/>
                <w:kern w:val="2"/>
                <w:sz w:val="24"/>
                <w:lang w:eastAsia="en-AU"/>
                <w14:ligatures w14:val="standardContextual"/>
              </w:rPr>
              <w:tab/>
            </w:r>
            <w:r w:rsidRPr="00492332">
              <w:rPr>
                <w:rStyle w:val="Hyperlink"/>
                <w:noProof/>
              </w:rPr>
              <w:t>Permissible Breaks and Voluntary Changes in Employment</w:t>
            </w:r>
            <w:r>
              <w:rPr>
                <w:noProof/>
                <w:webHidden/>
              </w:rPr>
              <w:tab/>
            </w:r>
            <w:r>
              <w:rPr>
                <w:noProof/>
                <w:webHidden/>
              </w:rPr>
              <w:fldChar w:fldCharType="begin"/>
            </w:r>
            <w:r>
              <w:rPr>
                <w:noProof/>
                <w:webHidden/>
              </w:rPr>
              <w:instrText xml:space="preserve"> PAGEREF _Toc202900054 \h </w:instrText>
            </w:r>
            <w:r>
              <w:rPr>
                <w:noProof/>
                <w:webHidden/>
              </w:rPr>
            </w:r>
            <w:r>
              <w:rPr>
                <w:noProof/>
                <w:webHidden/>
              </w:rPr>
              <w:fldChar w:fldCharType="separate"/>
            </w:r>
            <w:r w:rsidR="000D75AE">
              <w:rPr>
                <w:noProof/>
                <w:webHidden/>
              </w:rPr>
              <w:t>185</w:t>
            </w:r>
            <w:r>
              <w:rPr>
                <w:noProof/>
                <w:webHidden/>
              </w:rPr>
              <w:fldChar w:fldCharType="end"/>
            </w:r>
          </w:hyperlink>
        </w:p>
        <w:p w14:paraId="7DA387D7" w14:textId="430AEC1E" w:rsidR="00420D51" w:rsidRDefault="00420D51">
          <w:pPr>
            <w:pStyle w:val="TOC3"/>
            <w:rPr>
              <w:rFonts w:eastAsiaTheme="minorEastAsia"/>
              <w:noProof/>
              <w:spacing w:val="0"/>
              <w:kern w:val="2"/>
              <w:sz w:val="24"/>
              <w:lang w:eastAsia="en-AU"/>
              <w14:ligatures w14:val="standardContextual"/>
            </w:rPr>
          </w:pPr>
          <w:hyperlink w:anchor="_Toc202900055" w:history="1">
            <w:r w:rsidRPr="00492332">
              <w:rPr>
                <w:rStyle w:val="Hyperlink"/>
                <w:noProof/>
              </w:rPr>
              <w:t>9.5.4</w:t>
            </w:r>
            <w:r>
              <w:rPr>
                <w:rFonts w:eastAsiaTheme="minorEastAsia"/>
                <w:noProof/>
                <w:spacing w:val="0"/>
                <w:kern w:val="2"/>
                <w:sz w:val="24"/>
                <w:lang w:eastAsia="en-AU"/>
                <w14:ligatures w14:val="standardContextual"/>
              </w:rPr>
              <w:tab/>
            </w:r>
            <w:r w:rsidRPr="00492332">
              <w:rPr>
                <w:rStyle w:val="Hyperlink"/>
                <w:noProof/>
              </w:rPr>
              <w:t>Re-anchoring Job Placements</w:t>
            </w:r>
            <w:r>
              <w:rPr>
                <w:noProof/>
                <w:webHidden/>
              </w:rPr>
              <w:tab/>
            </w:r>
            <w:r>
              <w:rPr>
                <w:noProof/>
                <w:webHidden/>
              </w:rPr>
              <w:fldChar w:fldCharType="begin"/>
            </w:r>
            <w:r>
              <w:rPr>
                <w:noProof/>
                <w:webHidden/>
              </w:rPr>
              <w:instrText xml:space="preserve"> PAGEREF _Toc202900055 \h </w:instrText>
            </w:r>
            <w:r>
              <w:rPr>
                <w:noProof/>
                <w:webHidden/>
              </w:rPr>
            </w:r>
            <w:r>
              <w:rPr>
                <w:noProof/>
                <w:webHidden/>
              </w:rPr>
              <w:fldChar w:fldCharType="separate"/>
            </w:r>
            <w:r w:rsidR="000D75AE">
              <w:rPr>
                <w:noProof/>
                <w:webHidden/>
              </w:rPr>
              <w:t>186</w:t>
            </w:r>
            <w:r>
              <w:rPr>
                <w:noProof/>
                <w:webHidden/>
              </w:rPr>
              <w:fldChar w:fldCharType="end"/>
            </w:r>
          </w:hyperlink>
        </w:p>
        <w:p w14:paraId="059F4C14" w14:textId="6E4378B5" w:rsidR="00420D51" w:rsidRDefault="00420D51">
          <w:pPr>
            <w:pStyle w:val="TOC2"/>
            <w:rPr>
              <w:rFonts w:eastAsiaTheme="minorEastAsia"/>
              <w:noProof/>
              <w:spacing w:val="0"/>
              <w:kern w:val="2"/>
              <w:sz w:val="24"/>
              <w:lang w:eastAsia="en-AU"/>
              <w14:ligatures w14:val="standardContextual"/>
            </w:rPr>
          </w:pPr>
          <w:hyperlink w:anchor="_Toc202900056" w:history="1">
            <w:r w:rsidRPr="00492332">
              <w:rPr>
                <w:rStyle w:val="Hyperlink"/>
                <w:noProof/>
              </w:rPr>
              <w:t>9.6</w:t>
            </w:r>
            <w:r>
              <w:rPr>
                <w:rFonts w:eastAsiaTheme="minorEastAsia"/>
                <w:noProof/>
                <w:spacing w:val="0"/>
                <w:kern w:val="2"/>
                <w:sz w:val="24"/>
                <w:lang w:eastAsia="en-AU"/>
                <w14:ligatures w14:val="standardContextual"/>
              </w:rPr>
              <w:tab/>
            </w:r>
            <w:r w:rsidRPr="00492332">
              <w:rPr>
                <w:rStyle w:val="Hyperlink"/>
                <w:noProof/>
              </w:rPr>
              <w:t>Moving between Post Placement Support and other phases</w:t>
            </w:r>
            <w:r>
              <w:rPr>
                <w:noProof/>
                <w:webHidden/>
              </w:rPr>
              <w:tab/>
            </w:r>
            <w:r>
              <w:rPr>
                <w:noProof/>
                <w:webHidden/>
              </w:rPr>
              <w:fldChar w:fldCharType="begin"/>
            </w:r>
            <w:r>
              <w:rPr>
                <w:noProof/>
                <w:webHidden/>
              </w:rPr>
              <w:instrText xml:space="preserve"> PAGEREF _Toc202900056 \h </w:instrText>
            </w:r>
            <w:r>
              <w:rPr>
                <w:noProof/>
                <w:webHidden/>
              </w:rPr>
            </w:r>
            <w:r>
              <w:rPr>
                <w:noProof/>
                <w:webHidden/>
              </w:rPr>
              <w:fldChar w:fldCharType="separate"/>
            </w:r>
            <w:r w:rsidR="000D75AE">
              <w:rPr>
                <w:noProof/>
                <w:webHidden/>
              </w:rPr>
              <w:t>187</w:t>
            </w:r>
            <w:r>
              <w:rPr>
                <w:noProof/>
                <w:webHidden/>
              </w:rPr>
              <w:fldChar w:fldCharType="end"/>
            </w:r>
          </w:hyperlink>
        </w:p>
        <w:p w14:paraId="4B36503D" w14:textId="193AEC94" w:rsidR="00420D51" w:rsidRDefault="00420D51">
          <w:pPr>
            <w:pStyle w:val="TOC3"/>
            <w:rPr>
              <w:rFonts w:eastAsiaTheme="minorEastAsia"/>
              <w:noProof/>
              <w:spacing w:val="0"/>
              <w:kern w:val="2"/>
              <w:sz w:val="24"/>
              <w:lang w:eastAsia="en-AU"/>
              <w14:ligatures w14:val="standardContextual"/>
            </w:rPr>
          </w:pPr>
          <w:hyperlink w:anchor="_Toc202900057" w:history="1">
            <w:r w:rsidRPr="00492332">
              <w:rPr>
                <w:rStyle w:val="Hyperlink"/>
                <w:noProof/>
              </w:rPr>
              <w:t>9.6.1</w:t>
            </w:r>
            <w:r>
              <w:rPr>
                <w:rFonts w:eastAsiaTheme="minorEastAsia"/>
                <w:noProof/>
                <w:spacing w:val="0"/>
                <w:kern w:val="2"/>
                <w:sz w:val="24"/>
                <w:lang w:eastAsia="en-AU"/>
                <w14:ligatures w14:val="standardContextual"/>
              </w:rPr>
              <w:tab/>
            </w:r>
            <w:r w:rsidRPr="00492332">
              <w:rPr>
                <w:rStyle w:val="Hyperlink"/>
                <w:noProof/>
              </w:rPr>
              <w:t>Changing Participant circumstances</w:t>
            </w:r>
            <w:r>
              <w:rPr>
                <w:noProof/>
                <w:webHidden/>
              </w:rPr>
              <w:tab/>
            </w:r>
            <w:r>
              <w:rPr>
                <w:noProof/>
                <w:webHidden/>
              </w:rPr>
              <w:fldChar w:fldCharType="begin"/>
            </w:r>
            <w:r>
              <w:rPr>
                <w:noProof/>
                <w:webHidden/>
              </w:rPr>
              <w:instrText xml:space="preserve"> PAGEREF _Toc202900057 \h </w:instrText>
            </w:r>
            <w:r>
              <w:rPr>
                <w:noProof/>
                <w:webHidden/>
              </w:rPr>
            </w:r>
            <w:r>
              <w:rPr>
                <w:noProof/>
                <w:webHidden/>
              </w:rPr>
              <w:fldChar w:fldCharType="separate"/>
            </w:r>
            <w:r w:rsidR="000D75AE">
              <w:rPr>
                <w:noProof/>
                <w:webHidden/>
              </w:rPr>
              <w:t>187</w:t>
            </w:r>
            <w:r>
              <w:rPr>
                <w:noProof/>
                <w:webHidden/>
              </w:rPr>
              <w:fldChar w:fldCharType="end"/>
            </w:r>
          </w:hyperlink>
        </w:p>
        <w:p w14:paraId="7DB11E1B" w14:textId="348EF0E4" w:rsidR="00420D51" w:rsidRDefault="00420D51">
          <w:pPr>
            <w:pStyle w:val="TOC2"/>
            <w:rPr>
              <w:rFonts w:eastAsiaTheme="minorEastAsia"/>
              <w:noProof/>
              <w:spacing w:val="0"/>
              <w:kern w:val="2"/>
              <w:sz w:val="24"/>
              <w:lang w:eastAsia="en-AU"/>
              <w14:ligatures w14:val="standardContextual"/>
            </w:rPr>
          </w:pPr>
          <w:hyperlink w:anchor="_Toc202900058" w:history="1">
            <w:r w:rsidRPr="00492332">
              <w:rPr>
                <w:rStyle w:val="Hyperlink"/>
                <w:noProof/>
              </w:rPr>
              <w:t>9.7</w:t>
            </w:r>
            <w:r>
              <w:rPr>
                <w:rFonts w:eastAsiaTheme="minorEastAsia"/>
                <w:noProof/>
                <w:spacing w:val="0"/>
                <w:kern w:val="2"/>
                <w:sz w:val="24"/>
                <w:lang w:eastAsia="en-AU"/>
                <w14:ligatures w14:val="standardContextual"/>
              </w:rPr>
              <w:tab/>
            </w:r>
            <w:r w:rsidRPr="00492332">
              <w:rPr>
                <w:rStyle w:val="Hyperlink"/>
                <w:noProof/>
              </w:rPr>
              <w:t>Support to be provided to Employers</w:t>
            </w:r>
            <w:r>
              <w:rPr>
                <w:noProof/>
                <w:webHidden/>
              </w:rPr>
              <w:tab/>
            </w:r>
            <w:r>
              <w:rPr>
                <w:noProof/>
                <w:webHidden/>
              </w:rPr>
              <w:fldChar w:fldCharType="begin"/>
            </w:r>
            <w:r>
              <w:rPr>
                <w:noProof/>
                <w:webHidden/>
              </w:rPr>
              <w:instrText xml:space="preserve"> PAGEREF _Toc202900058 \h </w:instrText>
            </w:r>
            <w:r>
              <w:rPr>
                <w:noProof/>
                <w:webHidden/>
              </w:rPr>
            </w:r>
            <w:r>
              <w:rPr>
                <w:noProof/>
                <w:webHidden/>
              </w:rPr>
              <w:fldChar w:fldCharType="separate"/>
            </w:r>
            <w:r w:rsidR="000D75AE">
              <w:rPr>
                <w:noProof/>
                <w:webHidden/>
              </w:rPr>
              <w:t>188</w:t>
            </w:r>
            <w:r>
              <w:rPr>
                <w:noProof/>
                <w:webHidden/>
              </w:rPr>
              <w:fldChar w:fldCharType="end"/>
            </w:r>
          </w:hyperlink>
        </w:p>
        <w:p w14:paraId="0EDCEBDF" w14:textId="3F151130" w:rsidR="00420D51" w:rsidRDefault="00420D51">
          <w:pPr>
            <w:pStyle w:val="TOC2"/>
            <w:rPr>
              <w:rFonts w:eastAsiaTheme="minorEastAsia"/>
              <w:noProof/>
              <w:spacing w:val="0"/>
              <w:kern w:val="2"/>
              <w:sz w:val="24"/>
              <w:lang w:eastAsia="en-AU"/>
              <w14:ligatures w14:val="standardContextual"/>
            </w:rPr>
          </w:pPr>
          <w:hyperlink w:anchor="_Toc202900059" w:history="1">
            <w:r w:rsidRPr="00492332">
              <w:rPr>
                <w:rStyle w:val="Hyperlink"/>
                <w:noProof/>
              </w:rPr>
              <w:t>9.8</w:t>
            </w:r>
            <w:r>
              <w:rPr>
                <w:rFonts w:eastAsiaTheme="minorEastAsia"/>
                <w:noProof/>
                <w:spacing w:val="0"/>
                <w:kern w:val="2"/>
                <w:sz w:val="24"/>
                <w:lang w:eastAsia="en-AU"/>
                <w14:ligatures w14:val="standardContextual"/>
              </w:rPr>
              <w:tab/>
            </w:r>
            <w:r w:rsidRPr="00492332">
              <w:rPr>
                <w:rStyle w:val="Hyperlink"/>
                <w:noProof/>
              </w:rPr>
              <w:t>Employment Assistance Fund</w:t>
            </w:r>
            <w:r>
              <w:rPr>
                <w:noProof/>
                <w:webHidden/>
              </w:rPr>
              <w:tab/>
            </w:r>
            <w:r>
              <w:rPr>
                <w:noProof/>
                <w:webHidden/>
              </w:rPr>
              <w:fldChar w:fldCharType="begin"/>
            </w:r>
            <w:r>
              <w:rPr>
                <w:noProof/>
                <w:webHidden/>
              </w:rPr>
              <w:instrText xml:space="preserve"> PAGEREF _Toc202900059 \h </w:instrText>
            </w:r>
            <w:r>
              <w:rPr>
                <w:noProof/>
                <w:webHidden/>
              </w:rPr>
            </w:r>
            <w:r>
              <w:rPr>
                <w:noProof/>
                <w:webHidden/>
              </w:rPr>
              <w:fldChar w:fldCharType="separate"/>
            </w:r>
            <w:r w:rsidR="000D75AE">
              <w:rPr>
                <w:noProof/>
                <w:webHidden/>
              </w:rPr>
              <w:t>190</w:t>
            </w:r>
            <w:r>
              <w:rPr>
                <w:noProof/>
                <w:webHidden/>
              </w:rPr>
              <w:fldChar w:fldCharType="end"/>
            </w:r>
          </w:hyperlink>
        </w:p>
        <w:p w14:paraId="4C517971" w14:textId="2B5A7B33" w:rsidR="00420D51" w:rsidRDefault="00420D51">
          <w:pPr>
            <w:pStyle w:val="TOC1"/>
            <w:tabs>
              <w:tab w:val="left" w:pos="1540"/>
            </w:tabs>
            <w:rPr>
              <w:rFonts w:eastAsiaTheme="minorEastAsia"/>
              <w:b w:val="0"/>
              <w:noProof/>
              <w:color w:val="auto"/>
              <w:spacing w:val="0"/>
              <w:kern w:val="2"/>
              <w:sz w:val="24"/>
              <w:lang w:eastAsia="en-AU"/>
              <w14:ligatures w14:val="standardContextual"/>
            </w:rPr>
          </w:pPr>
          <w:hyperlink w:anchor="_Toc202900060" w:history="1">
            <w:r w:rsidRPr="00492332">
              <w:rPr>
                <w:rStyle w:val="Hyperlink"/>
                <w:noProof/>
              </w:rPr>
              <w:t>Chapter 10:</w:t>
            </w:r>
            <w:r>
              <w:rPr>
                <w:rFonts w:eastAsiaTheme="minorEastAsia"/>
                <w:b w:val="0"/>
                <w:noProof/>
                <w:color w:val="auto"/>
                <w:spacing w:val="0"/>
                <w:kern w:val="2"/>
                <w:sz w:val="24"/>
                <w:lang w:eastAsia="en-AU"/>
                <w14:ligatures w14:val="standardContextual"/>
              </w:rPr>
              <w:tab/>
            </w:r>
            <w:r w:rsidRPr="00492332">
              <w:rPr>
                <w:rStyle w:val="Hyperlink"/>
                <w:noProof/>
              </w:rPr>
              <w:t>Ongoing Support</w:t>
            </w:r>
            <w:r>
              <w:rPr>
                <w:noProof/>
                <w:webHidden/>
              </w:rPr>
              <w:tab/>
            </w:r>
            <w:r>
              <w:rPr>
                <w:noProof/>
                <w:webHidden/>
              </w:rPr>
              <w:fldChar w:fldCharType="begin"/>
            </w:r>
            <w:r>
              <w:rPr>
                <w:noProof/>
                <w:webHidden/>
              </w:rPr>
              <w:instrText xml:space="preserve"> PAGEREF _Toc202900060 \h </w:instrText>
            </w:r>
            <w:r>
              <w:rPr>
                <w:noProof/>
                <w:webHidden/>
              </w:rPr>
            </w:r>
            <w:r>
              <w:rPr>
                <w:noProof/>
                <w:webHidden/>
              </w:rPr>
              <w:fldChar w:fldCharType="separate"/>
            </w:r>
            <w:r w:rsidR="000D75AE">
              <w:rPr>
                <w:noProof/>
                <w:webHidden/>
              </w:rPr>
              <w:t>192</w:t>
            </w:r>
            <w:r>
              <w:rPr>
                <w:noProof/>
                <w:webHidden/>
              </w:rPr>
              <w:fldChar w:fldCharType="end"/>
            </w:r>
          </w:hyperlink>
        </w:p>
        <w:p w14:paraId="6CACBD10" w14:textId="504759C6" w:rsidR="00420D51" w:rsidRDefault="00420D51">
          <w:pPr>
            <w:pStyle w:val="TOC2"/>
            <w:rPr>
              <w:rFonts w:eastAsiaTheme="minorEastAsia"/>
              <w:noProof/>
              <w:spacing w:val="0"/>
              <w:kern w:val="2"/>
              <w:sz w:val="24"/>
              <w:lang w:eastAsia="en-AU"/>
              <w14:ligatures w14:val="standardContextual"/>
            </w:rPr>
          </w:pPr>
          <w:hyperlink w:anchor="_Toc202900061" w:history="1">
            <w:r w:rsidRPr="00492332">
              <w:rPr>
                <w:rStyle w:val="Hyperlink"/>
                <w:noProof/>
              </w:rPr>
              <w:t>10.1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_Toc202900061 \h </w:instrText>
            </w:r>
            <w:r>
              <w:rPr>
                <w:noProof/>
                <w:webHidden/>
              </w:rPr>
            </w:r>
            <w:r>
              <w:rPr>
                <w:noProof/>
                <w:webHidden/>
              </w:rPr>
              <w:fldChar w:fldCharType="separate"/>
            </w:r>
            <w:r w:rsidR="000D75AE">
              <w:rPr>
                <w:noProof/>
                <w:webHidden/>
              </w:rPr>
              <w:t>192</w:t>
            </w:r>
            <w:r>
              <w:rPr>
                <w:noProof/>
                <w:webHidden/>
              </w:rPr>
              <w:fldChar w:fldCharType="end"/>
            </w:r>
          </w:hyperlink>
        </w:p>
        <w:p w14:paraId="39DE06EC" w14:textId="42E45EE3" w:rsidR="00420D51" w:rsidRDefault="00420D51">
          <w:pPr>
            <w:pStyle w:val="TOC2"/>
            <w:rPr>
              <w:rFonts w:eastAsiaTheme="minorEastAsia"/>
              <w:noProof/>
              <w:spacing w:val="0"/>
              <w:kern w:val="2"/>
              <w:sz w:val="24"/>
              <w:lang w:eastAsia="en-AU"/>
              <w14:ligatures w14:val="standardContextual"/>
            </w:rPr>
          </w:pPr>
          <w:hyperlink w:anchor="_Toc202900062" w:history="1">
            <w:r w:rsidRPr="00492332">
              <w:rPr>
                <w:rStyle w:val="Hyperlink"/>
                <w:noProof/>
              </w:rPr>
              <w:t>10.2</w:t>
            </w:r>
            <w:r>
              <w:rPr>
                <w:rFonts w:eastAsiaTheme="minorEastAsia"/>
                <w:noProof/>
                <w:spacing w:val="0"/>
                <w:kern w:val="2"/>
                <w:sz w:val="24"/>
                <w:lang w:eastAsia="en-AU"/>
                <w14:ligatures w14:val="standardContextual"/>
              </w:rPr>
              <w:tab/>
            </w:r>
            <w:r w:rsidRPr="00492332">
              <w:rPr>
                <w:rStyle w:val="Hyperlink"/>
                <w:noProof/>
              </w:rPr>
              <w:t>Levels of Ongoing Support</w:t>
            </w:r>
            <w:r>
              <w:rPr>
                <w:noProof/>
                <w:webHidden/>
              </w:rPr>
              <w:tab/>
            </w:r>
            <w:r>
              <w:rPr>
                <w:noProof/>
                <w:webHidden/>
              </w:rPr>
              <w:fldChar w:fldCharType="begin"/>
            </w:r>
            <w:r>
              <w:rPr>
                <w:noProof/>
                <w:webHidden/>
              </w:rPr>
              <w:instrText xml:space="preserve"> PAGEREF _Toc202900062 \h </w:instrText>
            </w:r>
            <w:r>
              <w:rPr>
                <w:noProof/>
                <w:webHidden/>
              </w:rPr>
            </w:r>
            <w:r>
              <w:rPr>
                <w:noProof/>
                <w:webHidden/>
              </w:rPr>
              <w:fldChar w:fldCharType="separate"/>
            </w:r>
            <w:r w:rsidR="000D75AE">
              <w:rPr>
                <w:noProof/>
                <w:webHidden/>
              </w:rPr>
              <w:t>193</w:t>
            </w:r>
            <w:r>
              <w:rPr>
                <w:noProof/>
                <w:webHidden/>
              </w:rPr>
              <w:fldChar w:fldCharType="end"/>
            </w:r>
          </w:hyperlink>
        </w:p>
        <w:p w14:paraId="15BC6C2C" w14:textId="5E72BDD7" w:rsidR="00420D51" w:rsidRDefault="00420D51">
          <w:pPr>
            <w:pStyle w:val="TOC2"/>
            <w:rPr>
              <w:rFonts w:eastAsiaTheme="minorEastAsia"/>
              <w:noProof/>
              <w:spacing w:val="0"/>
              <w:kern w:val="2"/>
              <w:sz w:val="24"/>
              <w:lang w:eastAsia="en-AU"/>
              <w14:ligatures w14:val="standardContextual"/>
            </w:rPr>
          </w:pPr>
          <w:hyperlink w:anchor="_Toc202900063" w:history="1">
            <w:r w:rsidRPr="00492332">
              <w:rPr>
                <w:rStyle w:val="Hyperlink"/>
                <w:noProof/>
              </w:rPr>
              <w:t>10.3</w:t>
            </w:r>
            <w:r>
              <w:rPr>
                <w:rFonts w:eastAsiaTheme="minorEastAsia"/>
                <w:noProof/>
                <w:spacing w:val="0"/>
                <w:kern w:val="2"/>
                <w:sz w:val="24"/>
                <w:lang w:eastAsia="en-AU"/>
                <w14:ligatures w14:val="standardContextual"/>
              </w:rPr>
              <w:tab/>
            </w:r>
            <w:r w:rsidRPr="00492332">
              <w:rPr>
                <w:rStyle w:val="Hyperlink"/>
                <w:noProof/>
              </w:rPr>
              <w:t>Determining the need for Ongoing Support</w:t>
            </w:r>
            <w:r>
              <w:rPr>
                <w:noProof/>
                <w:webHidden/>
              </w:rPr>
              <w:tab/>
            </w:r>
            <w:r>
              <w:rPr>
                <w:noProof/>
                <w:webHidden/>
              </w:rPr>
              <w:fldChar w:fldCharType="begin"/>
            </w:r>
            <w:r>
              <w:rPr>
                <w:noProof/>
                <w:webHidden/>
              </w:rPr>
              <w:instrText xml:space="preserve"> PAGEREF _Toc202900063 \h </w:instrText>
            </w:r>
            <w:r>
              <w:rPr>
                <w:noProof/>
                <w:webHidden/>
              </w:rPr>
            </w:r>
            <w:r>
              <w:rPr>
                <w:noProof/>
                <w:webHidden/>
              </w:rPr>
              <w:fldChar w:fldCharType="separate"/>
            </w:r>
            <w:r w:rsidR="000D75AE">
              <w:rPr>
                <w:noProof/>
                <w:webHidden/>
              </w:rPr>
              <w:t>193</w:t>
            </w:r>
            <w:r>
              <w:rPr>
                <w:noProof/>
                <w:webHidden/>
              </w:rPr>
              <w:fldChar w:fldCharType="end"/>
            </w:r>
          </w:hyperlink>
        </w:p>
        <w:p w14:paraId="788E7EB1" w14:textId="1AAA1130" w:rsidR="00420D51" w:rsidRDefault="00420D51">
          <w:pPr>
            <w:pStyle w:val="TOC3"/>
            <w:rPr>
              <w:rFonts w:eastAsiaTheme="minorEastAsia"/>
              <w:noProof/>
              <w:spacing w:val="0"/>
              <w:kern w:val="2"/>
              <w:sz w:val="24"/>
              <w:lang w:eastAsia="en-AU"/>
              <w14:ligatures w14:val="standardContextual"/>
            </w:rPr>
          </w:pPr>
          <w:hyperlink w:anchor="_Toc202900064" w:history="1">
            <w:r w:rsidRPr="00492332">
              <w:rPr>
                <w:rStyle w:val="Hyperlink"/>
                <w:noProof/>
              </w:rPr>
              <w:t>10.3.1</w:t>
            </w:r>
            <w:r>
              <w:rPr>
                <w:rFonts w:eastAsiaTheme="minorEastAsia"/>
                <w:noProof/>
                <w:spacing w:val="0"/>
                <w:kern w:val="2"/>
                <w:sz w:val="24"/>
                <w:lang w:eastAsia="en-AU"/>
                <w14:ligatures w14:val="standardContextual"/>
              </w:rPr>
              <w:tab/>
            </w:r>
            <w:r w:rsidRPr="00492332">
              <w:rPr>
                <w:rStyle w:val="Hyperlink"/>
                <w:noProof/>
              </w:rPr>
              <w:t>Movement into Ongoing Support</w:t>
            </w:r>
            <w:r>
              <w:rPr>
                <w:noProof/>
                <w:webHidden/>
              </w:rPr>
              <w:tab/>
            </w:r>
            <w:r>
              <w:rPr>
                <w:noProof/>
                <w:webHidden/>
              </w:rPr>
              <w:fldChar w:fldCharType="begin"/>
            </w:r>
            <w:r>
              <w:rPr>
                <w:noProof/>
                <w:webHidden/>
              </w:rPr>
              <w:instrText xml:space="preserve"> PAGEREF _Toc202900064 \h </w:instrText>
            </w:r>
            <w:r>
              <w:rPr>
                <w:noProof/>
                <w:webHidden/>
              </w:rPr>
            </w:r>
            <w:r>
              <w:rPr>
                <w:noProof/>
                <w:webHidden/>
              </w:rPr>
              <w:fldChar w:fldCharType="separate"/>
            </w:r>
            <w:r w:rsidR="000D75AE">
              <w:rPr>
                <w:noProof/>
                <w:webHidden/>
              </w:rPr>
              <w:t>195</w:t>
            </w:r>
            <w:r>
              <w:rPr>
                <w:noProof/>
                <w:webHidden/>
              </w:rPr>
              <w:fldChar w:fldCharType="end"/>
            </w:r>
          </w:hyperlink>
        </w:p>
        <w:p w14:paraId="0D9F3AAC" w14:textId="07C8976C" w:rsidR="00420D51" w:rsidRDefault="00420D51">
          <w:pPr>
            <w:pStyle w:val="TOC2"/>
            <w:rPr>
              <w:rFonts w:eastAsiaTheme="minorEastAsia"/>
              <w:noProof/>
              <w:spacing w:val="0"/>
              <w:kern w:val="2"/>
              <w:sz w:val="24"/>
              <w:lang w:eastAsia="en-AU"/>
              <w14:ligatures w14:val="standardContextual"/>
            </w:rPr>
          </w:pPr>
          <w:hyperlink w:anchor="_Toc202900065" w:history="1">
            <w:r w:rsidRPr="00492332">
              <w:rPr>
                <w:rStyle w:val="Hyperlink"/>
                <w:noProof/>
              </w:rPr>
              <w:t>10.4</w:t>
            </w:r>
            <w:r>
              <w:rPr>
                <w:rFonts w:eastAsiaTheme="minorEastAsia"/>
                <w:noProof/>
                <w:spacing w:val="0"/>
                <w:kern w:val="2"/>
                <w:sz w:val="24"/>
                <w:lang w:eastAsia="en-AU"/>
                <w14:ligatures w14:val="standardContextual"/>
              </w:rPr>
              <w:tab/>
            </w:r>
            <w:r w:rsidRPr="00492332">
              <w:rPr>
                <w:rStyle w:val="Hyperlink"/>
                <w:noProof/>
              </w:rPr>
              <w:t>Ongoing Support Assessments</w:t>
            </w:r>
            <w:r>
              <w:rPr>
                <w:noProof/>
                <w:webHidden/>
              </w:rPr>
              <w:tab/>
            </w:r>
            <w:r>
              <w:rPr>
                <w:noProof/>
                <w:webHidden/>
              </w:rPr>
              <w:fldChar w:fldCharType="begin"/>
            </w:r>
            <w:r>
              <w:rPr>
                <w:noProof/>
                <w:webHidden/>
              </w:rPr>
              <w:instrText xml:space="preserve"> PAGEREF _Toc202900065 \h </w:instrText>
            </w:r>
            <w:r>
              <w:rPr>
                <w:noProof/>
                <w:webHidden/>
              </w:rPr>
            </w:r>
            <w:r>
              <w:rPr>
                <w:noProof/>
                <w:webHidden/>
              </w:rPr>
              <w:fldChar w:fldCharType="separate"/>
            </w:r>
            <w:r w:rsidR="000D75AE">
              <w:rPr>
                <w:noProof/>
                <w:webHidden/>
              </w:rPr>
              <w:t>196</w:t>
            </w:r>
            <w:r>
              <w:rPr>
                <w:noProof/>
                <w:webHidden/>
              </w:rPr>
              <w:fldChar w:fldCharType="end"/>
            </w:r>
          </w:hyperlink>
        </w:p>
        <w:p w14:paraId="309AA164" w14:textId="3505A6AE" w:rsidR="00420D51" w:rsidRDefault="00420D51">
          <w:pPr>
            <w:pStyle w:val="TOC3"/>
            <w:rPr>
              <w:rFonts w:eastAsiaTheme="minorEastAsia"/>
              <w:noProof/>
              <w:spacing w:val="0"/>
              <w:kern w:val="2"/>
              <w:sz w:val="24"/>
              <w:lang w:eastAsia="en-AU"/>
              <w14:ligatures w14:val="standardContextual"/>
            </w:rPr>
          </w:pPr>
          <w:hyperlink w:anchor="_Toc202900066" w:history="1">
            <w:r w:rsidRPr="00492332">
              <w:rPr>
                <w:rStyle w:val="Hyperlink"/>
                <w:noProof/>
              </w:rPr>
              <w:t>10.4.1</w:t>
            </w:r>
            <w:r>
              <w:rPr>
                <w:rFonts w:eastAsiaTheme="minorEastAsia"/>
                <w:noProof/>
                <w:spacing w:val="0"/>
                <w:kern w:val="2"/>
                <w:sz w:val="24"/>
                <w:lang w:eastAsia="en-AU"/>
                <w14:ligatures w14:val="standardContextual"/>
              </w:rPr>
              <w:tab/>
            </w:r>
            <w:r w:rsidRPr="00492332">
              <w:rPr>
                <w:rStyle w:val="Hyperlink"/>
                <w:noProof/>
              </w:rPr>
              <w:t>Requesting an OSA</w:t>
            </w:r>
            <w:r>
              <w:rPr>
                <w:noProof/>
                <w:webHidden/>
              </w:rPr>
              <w:tab/>
            </w:r>
            <w:r>
              <w:rPr>
                <w:noProof/>
                <w:webHidden/>
              </w:rPr>
              <w:fldChar w:fldCharType="begin"/>
            </w:r>
            <w:r>
              <w:rPr>
                <w:noProof/>
                <w:webHidden/>
              </w:rPr>
              <w:instrText xml:space="preserve"> PAGEREF _Toc202900066 \h </w:instrText>
            </w:r>
            <w:r>
              <w:rPr>
                <w:noProof/>
                <w:webHidden/>
              </w:rPr>
            </w:r>
            <w:r>
              <w:rPr>
                <w:noProof/>
                <w:webHidden/>
              </w:rPr>
              <w:fldChar w:fldCharType="separate"/>
            </w:r>
            <w:r w:rsidR="000D75AE">
              <w:rPr>
                <w:noProof/>
                <w:webHidden/>
              </w:rPr>
              <w:t>197</w:t>
            </w:r>
            <w:r>
              <w:rPr>
                <w:noProof/>
                <w:webHidden/>
              </w:rPr>
              <w:fldChar w:fldCharType="end"/>
            </w:r>
          </w:hyperlink>
        </w:p>
        <w:p w14:paraId="372E490D" w14:textId="57763EB9" w:rsidR="00420D51" w:rsidRDefault="00420D51">
          <w:pPr>
            <w:pStyle w:val="TOC3"/>
            <w:rPr>
              <w:rFonts w:eastAsiaTheme="minorEastAsia"/>
              <w:noProof/>
              <w:spacing w:val="0"/>
              <w:kern w:val="2"/>
              <w:sz w:val="24"/>
              <w:lang w:eastAsia="en-AU"/>
              <w14:ligatures w14:val="standardContextual"/>
            </w:rPr>
          </w:pPr>
          <w:hyperlink w:anchor="_Toc202900067" w:history="1">
            <w:r w:rsidRPr="00492332">
              <w:rPr>
                <w:rStyle w:val="Hyperlink"/>
                <w:noProof/>
              </w:rPr>
              <w:t>10.4.2</w:t>
            </w:r>
            <w:r>
              <w:rPr>
                <w:rFonts w:eastAsiaTheme="minorEastAsia"/>
                <w:noProof/>
                <w:spacing w:val="0"/>
                <w:kern w:val="2"/>
                <w:sz w:val="24"/>
                <w:lang w:eastAsia="en-AU"/>
                <w14:ligatures w14:val="standardContextual"/>
              </w:rPr>
              <w:tab/>
            </w:r>
            <w:r w:rsidRPr="00492332">
              <w:rPr>
                <w:rStyle w:val="Hyperlink"/>
                <w:noProof/>
              </w:rPr>
              <w:t>Supporting the OSA</w:t>
            </w:r>
            <w:r>
              <w:rPr>
                <w:noProof/>
                <w:webHidden/>
              </w:rPr>
              <w:tab/>
            </w:r>
            <w:r>
              <w:rPr>
                <w:noProof/>
                <w:webHidden/>
              </w:rPr>
              <w:fldChar w:fldCharType="begin"/>
            </w:r>
            <w:r>
              <w:rPr>
                <w:noProof/>
                <w:webHidden/>
              </w:rPr>
              <w:instrText xml:space="preserve"> PAGEREF _Toc202900067 \h </w:instrText>
            </w:r>
            <w:r>
              <w:rPr>
                <w:noProof/>
                <w:webHidden/>
              </w:rPr>
            </w:r>
            <w:r>
              <w:rPr>
                <w:noProof/>
                <w:webHidden/>
              </w:rPr>
              <w:fldChar w:fldCharType="separate"/>
            </w:r>
            <w:r w:rsidR="000D75AE">
              <w:rPr>
                <w:noProof/>
                <w:webHidden/>
              </w:rPr>
              <w:t>197</w:t>
            </w:r>
            <w:r>
              <w:rPr>
                <w:noProof/>
                <w:webHidden/>
              </w:rPr>
              <w:fldChar w:fldCharType="end"/>
            </w:r>
          </w:hyperlink>
        </w:p>
        <w:p w14:paraId="05B55BC1" w14:textId="48049B15" w:rsidR="00420D51" w:rsidRDefault="00420D51">
          <w:pPr>
            <w:pStyle w:val="TOC3"/>
            <w:rPr>
              <w:rFonts w:eastAsiaTheme="minorEastAsia"/>
              <w:noProof/>
              <w:spacing w:val="0"/>
              <w:kern w:val="2"/>
              <w:sz w:val="24"/>
              <w:lang w:eastAsia="en-AU"/>
              <w14:ligatures w14:val="standardContextual"/>
            </w:rPr>
          </w:pPr>
          <w:hyperlink w:anchor="_Toc202900068" w:history="1">
            <w:r w:rsidRPr="00492332">
              <w:rPr>
                <w:rStyle w:val="Hyperlink"/>
                <w:noProof/>
              </w:rPr>
              <w:t>10.4.3</w:t>
            </w:r>
            <w:r>
              <w:rPr>
                <w:rFonts w:eastAsiaTheme="minorEastAsia"/>
                <w:noProof/>
                <w:spacing w:val="0"/>
                <w:kern w:val="2"/>
                <w:sz w:val="24"/>
                <w:lang w:eastAsia="en-AU"/>
                <w14:ligatures w14:val="standardContextual"/>
              </w:rPr>
              <w:tab/>
            </w:r>
            <w:r w:rsidRPr="00492332">
              <w:rPr>
                <w:rStyle w:val="Hyperlink"/>
                <w:noProof/>
              </w:rPr>
              <w:t>Supporting evidence for OSAs</w:t>
            </w:r>
            <w:r>
              <w:rPr>
                <w:noProof/>
                <w:webHidden/>
              </w:rPr>
              <w:tab/>
            </w:r>
            <w:r>
              <w:rPr>
                <w:noProof/>
                <w:webHidden/>
              </w:rPr>
              <w:fldChar w:fldCharType="begin"/>
            </w:r>
            <w:r>
              <w:rPr>
                <w:noProof/>
                <w:webHidden/>
              </w:rPr>
              <w:instrText xml:space="preserve"> PAGEREF _Toc202900068 \h </w:instrText>
            </w:r>
            <w:r>
              <w:rPr>
                <w:noProof/>
                <w:webHidden/>
              </w:rPr>
            </w:r>
            <w:r>
              <w:rPr>
                <w:noProof/>
                <w:webHidden/>
              </w:rPr>
              <w:fldChar w:fldCharType="separate"/>
            </w:r>
            <w:r w:rsidR="000D75AE">
              <w:rPr>
                <w:noProof/>
                <w:webHidden/>
              </w:rPr>
              <w:t>198</w:t>
            </w:r>
            <w:r>
              <w:rPr>
                <w:noProof/>
                <w:webHidden/>
              </w:rPr>
              <w:fldChar w:fldCharType="end"/>
            </w:r>
          </w:hyperlink>
        </w:p>
        <w:p w14:paraId="198DC166" w14:textId="1C3403FC" w:rsidR="00420D51" w:rsidRDefault="00420D51">
          <w:pPr>
            <w:pStyle w:val="TOC3"/>
            <w:rPr>
              <w:rFonts w:eastAsiaTheme="minorEastAsia"/>
              <w:noProof/>
              <w:spacing w:val="0"/>
              <w:kern w:val="2"/>
              <w:sz w:val="24"/>
              <w:lang w:eastAsia="en-AU"/>
              <w14:ligatures w14:val="standardContextual"/>
            </w:rPr>
          </w:pPr>
          <w:hyperlink w:anchor="_Toc202900069" w:history="1">
            <w:r w:rsidRPr="00492332">
              <w:rPr>
                <w:rStyle w:val="Hyperlink"/>
                <w:noProof/>
              </w:rPr>
              <w:t>10.4.4</w:t>
            </w:r>
            <w:r>
              <w:rPr>
                <w:rFonts w:eastAsiaTheme="minorEastAsia"/>
                <w:noProof/>
                <w:spacing w:val="0"/>
                <w:kern w:val="2"/>
                <w:sz w:val="24"/>
                <w:lang w:eastAsia="en-AU"/>
                <w14:ligatures w14:val="standardContextual"/>
              </w:rPr>
              <w:tab/>
            </w:r>
            <w:r w:rsidRPr="00492332">
              <w:rPr>
                <w:rStyle w:val="Hyperlink"/>
                <w:noProof/>
              </w:rPr>
              <w:t>OSA outcomes</w:t>
            </w:r>
            <w:r>
              <w:rPr>
                <w:noProof/>
                <w:webHidden/>
              </w:rPr>
              <w:tab/>
            </w:r>
            <w:r>
              <w:rPr>
                <w:noProof/>
                <w:webHidden/>
              </w:rPr>
              <w:fldChar w:fldCharType="begin"/>
            </w:r>
            <w:r>
              <w:rPr>
                <w:noProof/>
                <w:webHidden/>
              </w:rPr>
              <w:instrText xml:space="preserve"> PAGEREF _Toc202900069 \h </w:instrText>
            </w:r>
            <w:r>
              <w:rPr>
                <w:noProof/>
                <w:webHidden/>
              </w:rPr>
            </w:r>
            <w:r>
              <w:rPr>
                <w:noProof/>
                <w:webHidden/>
              </w:rPr>
              <w:fldChar w:fldCharType="separate"/>
            </w:r>
            <w:r w:rsidR="000D75AE">
              <w:rPr>
                <w:noProof/>
                <w:webHidden/>
              </w:rPr>
              <w:t>198</w:t>
            </w:r>
            <w:r>
              <w:rPr>
                <w:noProof/>
                <w:webHidden/>
              </w:rPr>
              <w:fldChar w:fldCharType="end"/>
            </w:r>
          </w:hyperlink>
        </w:p>
        <w:p w14:paraId="6E412810" w14:textId="5A705F19" w:rsidR="00420D51" w:rsidRDefault="00420D51">
          <w:pPr>
            <w:pStyle w:val="TOC3"/>
            <w:rPr>
              <w:rFonts w:eastAsiaTheme="minorEastAsia"/>
              <w:noProof/>
              <w:spacing w:val="0"/>
              <w:kern w:val="2"/>
              <w:sz w:val="24"/>
              <w:lang w:eastAsia="en-AU"/>
              <w14:ligatures w14:val="standardContextual"/>
            </w:rPr>
          </w:pPr>
          <w:hyperlink w:anchor="_Toc202900070" w:history="1">
            <w:r w:rsidRPr="00492332">
              <w:rPr>
                <w:rStyle w:val="Hyperlink"/>
                <w:noProof/>
              </w:rPr>
              <w:t>10.4.5</w:t>
            </w:r>
            <w:r>
              <w:rPr>
                <w:rFonts w:eastAsiaTheme="minorEastAsia"/>
                <w:noProof/>
                <w:spacing w:val="0"/>
                <w:kern w:val="2"/>
                <w:sz w:val="24"/>
                <w:lang w:eastAsia="en-AU"/>
                <w14:ligatures w14:val="standardContextual"/>
              </w:rPr>
              <w:tab/>
            </w:r>
            <w:r w:rsidRPr="00492332">
              <w:rPr>
                <w:rStyle w:val="Hyperlink"/>
                <w:noProof/>
              </w:rPr>
              <w:t>Disputing the OSA</w:t>
            </w:r>
            <w:r>
              <w:rPr>
                <w:noProof/>
                <w:webHidden/>
              </w:rPr>
              <w:tab/>
            </w:r>
            <w:r>
              <w:rPr>
                <w:noProof/>
                <w:webHidden/>
              </w:rPr>
              <w:fldChar w:fldCharType="begin"/>
            </w:r>
            <w:r>
              <w:rPr>
                <w:noProof/>
                <w:webHidden/>
              </w:rPr>
              <w:instrText xml:space="preserve"> PAGEREF _Toc202900070 \h </w:instrText>
            </w:r>
            <w:r>
              <w:rPr>
                <w:noProof/>
                <w:webHidden/>
              </w:rPr>
            </w:r>
            <w:r>
              <w:rPr>
                <w:noProof/>
                <w:webHidden/>
              </w:rPr>
              <w:fldChar w:fldCharType="separate"/>
            </w:r>
            <w:r w:rsidR="000D75AE">
              <w:rPr>
                <w:noProof/>
                <w:webHidden/>
              </w:rPr>
              <w:t>200</w:t>
            </w:r>
            <w:r>
              <w:rPr>
                <w:noProof/>
                <w:webHidden/>
              </w:rPr>
              <w:fldChar w:fldCharType="end"/>
            </w:r>
          </w:hyperlink>
        </w:p>
        <w:p w14:paraId="54AAEEFD" w14:textId="2BAFE33B" w:rsidR="00420D51" w:rsidRDefault="00420D51">
          <w:pPr>
            <w:pStyle w:val="TOC2"/>
            <w:rPr>
              <w:rFonts w:eastAsiaTheme="minorEastAsia"/>
              <w:noProof/>
              <w:spacing w:val="0"/>
              <w:kern w:val="2"/>
              <w:sz w:val="24"/>
              <w:lang w:eastAsia="en-AU"/>
              <w14:ligatures w14:val="standardContextual"/>
            </w:rPr>
          </w:pPr>
          <w:hyperlink w:anchor="_Toc202900071" w:history="1">
            <w:r w:rsidRPr="00492332">
              <w:rPr>
                <w:rStyle w:val="Hyperlink"/>
                <w:noProof/>
              </w:rPr>
              <w:t>10.5</w:t>
            </w:r>
            <w:r>
              <w:rPr>
                <w:rFonts w:eastAsiaTheme="minorEastAsia"/>
                <w:noProof/>
                <w:spacing w:val="0"/>
                <w:kern w:val="2"/>
                <w:sz w:val="24"/>
                <w:lang w:eastAsia="en-AU"/>
                <w14:ligatures w14:val="standardContextual"/>
              </w:rPr>
              <w:tab/>
            </w:r>
            <w:r w:rsidRPr="00492332">
              <w:rPr>
                <w:rStyle w:val="Hyperlink"/>
                <w:noProof/>
              </w:rPr>
              <w:t>Support to be provided to Participants</w:t>
            </w:r>
            <w:r>
              <w:rPr>
                <w:noProof/>
                <w:webHidden/>
              </w:rPr>
              <w:tab/>
            </w:r>
            <w:r>
              <w:rPr>
                <w:noProof/>
                <w:webHidden/>
              </w:rPr>
              <w:fldChar w:fldCharType="begin"/>
            </w:r>
            <w:r>
              <w:rPr>
                <w:noProof/>
                <w:webHidden/>
              </w:rPr>
              <w:instrText xml:space="preserve"> PAGEREF _Toc202900071 \h </w:instrText>
            </w:r>
            <w:r>
              <w:rPr>
                <w:noProof/>
                <w:webHidden/>
              </w:rPr>
            </w:r>
            <w:r>
              <w:rPr>
                <w:noProof/>
                <w:webHidden/>
              </w:rPr>
              <w:fldChar w:fldCharType="separate"/>
            </w:r>
            <w:r w:rsidR="000D75AE">
              <w:rPr>
                <w:noProof/>
                <w:webHidden/>
              </w:rPr>
              <w:t>200</w:t>
            </w:r>
            <w:r>
              <w:rPr>
                <w:noProof/>
                <w:webHidden/>
              </w:rPr>
              <w:fldChar w:fldCharType="end"/>
            </w:r>
          </w:hyperlink>
        </w:p>
        <w:p w14:paraId="3C9F3F72" w14:textId="75713D00" w:rsidR="00420D51" w:rsidRDefault="00420D51">
          <w:pPr>
            <w:pStyle w:val="TOC3"/>
            <w:rPr>
              <w:rFonts w:eastAsiaTheme="minorEastAsia"/>
              <w:noProof/>
              <w:spacing w:val="0"/>
              <w:kern w:val="2"/>
              <w:sz w:val="24"/>
              <w:lang w:eastAsia="en-AU"/>
              <w14:ligatures w14:val="standardContextual"/>
            </w:rPr>
          </w:pPr>
          <w:hyperlink w:anchor="_Toc202900072" w:history="1">
            <w:r w:rsidRPr="00492332">
              <w:rPr>
                <w:rStyle w:val="Hyperlink"/>
                <w:noProof/>
              </w:rPr>
              <w:t>10.5.1</w:t>
            </w:r>
            <w:r>
              <w:rPr>
                <w:rFonts w:eastAsiaTheme="minorEastAsia"/>
                <w:noProof/>
                <w:spacing w:val="0"/>
                <w:kern w:val="2"/>
                <w:sz w:val="24"/>
                <w:lang w:eastAsia="en-AU"/>
                <w14:ligatures w14:val="standardContextual"/>
              </w:rPr>
              <w:tab/>
            </w:r>
            <w:r w:rsidRPr="00492332">
              <w:rPr>
                <w:rStyle w:val="Hyperlink"/>
                <w:noProof/>
              </w:rPr>
              <w:t>Provider supports</w:t>
            </w:r>
            <w:r>
              <w:rPr>
                <w:noProof/>
                <w:webHidden/>
              </w:rPr>
              <w:tab/>
            </w:r>
            <w:r>
              <w:rPr>
                <w:noProof/>
                <w:webHidden/>
              </w:rPr>
              <w:fldChar w:fldCharType="begin"/>
            </w:r>
            <w:r>
              <w:rPr>
                <w:noProof/>
                <w:webHidden/>
              </w:rPr>
              <w:instrText xml:space="preserve"> PAGEREF _Toc202900072 \h </w:instrText>
            </w:r>
            <w:r>
              <w:rPr>
                <w:noProof/>
                <w:webHidden/>
              </w:rPr>
            </w:r>
            <w:r>
              <w:rPr>
                <w:noProof/>
                <w:webHidden/>
              </w:rPr>
              <w:fldChar w:fldCharType="separate"/>
            </w:r>
            <w:r w:rsidR="000D75AE">
              <w:rPr>
                <w:noProof/>
                <w:webHidden/>
              </w:rPr>
              <w:t>201</w:t>
            </w:r>
            <w:r>
              <w:rPr>
                <w:noProof/>
                <w:webHidden/>
              </w:rPr>
              <w:fldChar w:fldCharType="end"/>
            </w:r>
          </w:hyperlink>
        </w:p>
        <w:p w14:paraId="4451C298" w14:textId="6AF21043" w:rsidR="00420D51" w:rsidRDefault="00420D51">
          <w:pPr>
            <w:pStyle w:val="TOC3"/>
            <w:rPr>
              <w:rFonts w:eastAsiaTheme="minorEastAsia"/>
              <w:noProof/>
              <w:spacing w:val="0"/>
              <w:kern w:val="2"/>
              <w:sz w:val="24"/>
              <w:lang w:eastAsia="en-AU"/>
              <w14:ligatures w14:val="standardContextual"/>
            </w:rPr>
          </w:pPr>
          <w:hyperlink w:anchor="_Toc202900073" w:history="1">
            <w:r w:rsidRPr="00492332">
              <w:rPr>
                <w:rStyle w:val="Hyperlink"/>
                <w:noProof/>
              </w:rPr>
              <w:t>10.5.2</w:t>
            </w:r>
            <w:r>
              <w:rPr>
                <w:rFonts w:eastAsiaTheme="minorEastAsia"/>
                <w:noProof/>
                <w:spacing w:val="0"/>
                <w:kern w:val="2"/>
                <w:sz w:val="24"/>
                <w:lang w:eastAsia="en-AU"/>
                <w14:ligatures w14:val="standardContextual"/>
              </w:rPr>
              <w:tab/>
            </w:r>
            <w:r w:rsidRPr="00492332">
              <w:rPr>
                <w:rStyle w:val="Hyperlink"/>
                <w:noProof/>
              </w:rPr>
              <w:t>Purchased support</w:t>
            </w:r>
            <w:r>
              <w:rPr>
                <w:noProof/>
                <w:webHidden/>
              </w:rPr>
              <w:tab/>
            </w:r>
            <w:r>
              <w:rPr>
                <w:noProof/>
                <w:webHidden/>
              </w:rPr>
              <w:fldChar w:fldCharType="begin"/>
            </w:r>
            <w:r>
              <w:rPr>
                <w:noProof/>
                <w:webHidden/>
              </w:rPr>
              <w:instrText xml:space="preserve"> PAGEREF _Toc202900073 \h </w:instrText>
            </w:r>
            <w:r>
              <w:rPr>
                <w:noProof/>
                <w:webHidden/>
              </w:rPr>
            </w:r>
            <w:r>
              <w:rPr>
                <w:noProof/>
                <w:webHidden/>
              </w:rPr>
              <w:fldChar w:fldCharType="separate"/>
            </w:r>
            <w:r w:rsidR="000D75AE">
              <w:rPr>
                <w:noProof/>
                <w:webHidden/>
              </w:rPr>
              <w:t>202</w:t>
            </w:r>
            <w:r>
              <w:rPr>
                <w:noProof/>
                <w:webHidden/>
              </w:rPr>
              <w:fldChar w:fldCharType="end"/>
            </w:r>
          </w:hyperlink>
        </w:p>
        <w:p w14:paraId="0FA31451" w14:textId="5B6D4626" w:rsidR="00420D51" w:rsidRDefault="00420D51">
          <w:pPr>
            <w:pStyle w:val="TOC2"/>
            <w:rPr>
              <w:rFonts w:eastAsiaTheme="minorEastAsia"/>
              <w:noProof/>
              <w:spacing w:val="0"/>
              <w:kern w:val="2"/>
              <w:sz w:val="24"/>
              <w:lang w:eastAsia="en-AU"/>
              <w14:ligatures w14:val="standardContextual"/>
            </w:rPr>
          </w:pPr>
          <w:hyperlink w:anchor="_Toc202900074" w:history="1">
            <w:r w:rsidRPr="00492332">
              <w:rPr>
                <w:rStyle w:val="Hyperlink"/>
                <w:noProof/>
              </w:rPr>
              <w:t>10.6</w:t>
            </w:r>
            <w:r>
              <w:rPr>
                <w:rFonts w:eastAsiaTheme="minorEastAsia"/>
                <w:noProof/>
                <w:spacing w:val="0"/>
                <w:kern w:val="2"/>
                <w:sz w:val="24"/>
                <w:lang w:eastAsia="en-AU"/>
                <w14:ligatures w14:val="standardContextual"/>
              </w:rPr>
              <w:tab/>
            </w:r>
            <w:r w:rsidRPr="00492332">
              <w:rPr>
                <w:rStyle w:val="Hyperlink"/>
                <w:noProof/>
              </w:rPr>
              <w:t>Participant Contact</w:t>
            </w:r>
            <w:r>
              <w:rPr>
                <w:noProof/>
                <w:webHidden/>
              </w:rPr>
              <w:tab/>
            </w:r>
            <w:r>
              <w:rPr>
                <w:noProof/>
                <w:webHidden/>
              </w:rPr>
              <w:fldChar w:fldCharType="begin"/>
            </w:r>
            <w:r>
              <w:rPr>
                <w:noProof/>
                <w:webHidden/>
              </w:rPr>
              <w:instrText xml:space="preserve"> PAGEREF _Toc202900074 \h </w:instrText>
            </w:r>
            <w:r>
              <w:rPr>
                <w:noProof/>
                <w:webHidden/>
              </w:rPr>
            </w:r>
            <w:r>
              <w:rPr>
                <w:noProof/>
                <w:webHidden/>
              </w:rPr>
              <w:fldChar w:fldCharType="separate"/>
            </w:r>
            <w:r w:rsidR="000D75AE">
              <w:rPr>
                <w:noProof/>
                <w:webHidden/>
              </w:rPr>
              <w:t>202</w:t>
            </w:r>
            <w:r>
              <w:rPr>
                <w:noProof/>
                <w:webHidden/>
              </w:rPr>
              <w:fldChar w:fldCharType="end"/>
            </w:r>
          </w:hyperlink>
        </w:p>
        <w:p w14:paraId="7E4F2BC2" w14:textId="249914E0" w:rsidR="00420D51" w:rsidRDefault="00420D51">
          <w:pPr>
            <w:pStyle w:val="TOC2"/>
            <w:rPr>
              <w:rFonts w:eastAsiaTheme="minorEastAsia"/>
              <w:noProof/>
              <w:spacing w:val="0"/>
              <w:kern w:val="2"/>
              <w:sz w:val="24"/>
              <w:lang w:eastAsia="en-AU"/>
              <w14:ligatures w14:val="standardContextual"/>
            </w:rPr>
          </w:pPr>
          <w:hyperlink w:anchor="_Toc202900075" w:history="1">
            <w:r w:rsidRPr="00492332">
              <w:rPr>
                <w:rStyle w:val="Hyperlink"/>
                <w:noProof/>
              </w:rPr>
              <w:t>10.7</w:t>
            </w:r>
            <w:r>
              <w:rPr>
                <w:rFonts w:eastAsiaTheme="minorEastAsia"/>
                <w:noProof/>
                <w:spacing w:val="0"/>
                <w:kern w:val="2"/>
                <w:sz w:val="24"/>
                <w:lang w:eastAsia="en-AU"/>
                <w14:ligatures w14:val="standardContextual"/>
              </w:rPr>
              <w:tab/>
            </w:r>
            <w:r w:rsidRPr="00492332">
              <w:rPr>
                <w:rStyle w:val="Hyperlink"/>
                <w:noProof/>
              </w:rPr>
              <w:t>When Ongoing Support can be provided</w:t>
            </w:r>
            <w:r>
              <w:rPr>
                <w:noProof/>
                <w:webHidden/>
              </w:rPr>
              <w:tab/>
            </w:r>
            <w:r>
              <w:rPr>
                <w:noProof/>
                <w:webHidden/>
              </w:rPr>
              <w:fldChar w:fldCharType="begin"/>
            </w:r>
            <w:r>
              <w:rPr>
                <w:noProof/>
                <w:webHidden/>
              </w:rPr>
              <w:instrText xml:space="preserve"> PAGEREF _Toc202900075 \h </w:instrText>
            </w:r>
            <w:r>
              <w:rPr>
                <w:noProof/>
                <w:webHidden/>
              </w:rPr>
            </w:r>
            <w:r>
              <w:rPr>
                <w:noProof/>
                <w:webHidden/>
              </w:rPr>
              <w:fldChar w:fldCharType="separate"/>
            </w:r>
            <w:r w:rsidR="000D75AE">
              <w:rPr>
                <w:noProof/>
                <w:webHidden/>
              </w:rPr>
              <w:t>204</w:t>
            </w:r>
            <w:r>
              <w:rPr>
                <w:noProof/>
                <w:webHidden/>
              </w:rPr>
              <w:fldChar w:fldCharType="end"/>
            </w:r>
          </w:hyperlink>
        </w:p>
        <w:p w14:paraId="3E4EA47E" w14:textId="5ED1AD68" w:rsidR="00420D51" w:rsidRDefault="00420D51">
          <w:pPr>
            <w:pStyle w:val="TOC2"/>
            <w:rPr>
              <w:rFonts w:eastAsiaTheme="minorEastAsia"/>
              <w:noProof/>
              <w:spacing w:val="0"/>
              <w:kern w:val="2"/>
              <w:sz w:val="24"/>
              <w:lang w:eastAsia="en-AU"/>
              <w14:ligatures w14:val="standardContextual"/>
            </w:rPr>
          </w:pPr>
          <w:hyperlink w:anchor="_Toc202900076" w:history="1">
            <w:r w:rsidRPr="00492332">
              <w:rPr>
                <w:rStyle w:val="Hyperlink"/>
                <w:noProof/>
              </w:rPr>
              <w:t>10.8</w:t>
            </w:r>
            <w:r>
              <w:rPr>
                <w:rFonts w:eastAsiaTheme="minorEastAsia"/>
                <w:noProof/>
                <w:spacing w:val="0"/>
                <w:kern w:val="2"/>
                <w:sz w:val="24"/>
                <w:lang w:eastAsia="en-AU"/>
                <w14:ligatures w14:val="standardContextual"/>
              </w:rPr>
              <w:tab/>
            </w:r>
            <w:r w:rsidRPr="00492332">
              <w:rPr>
                <w:rStyle w:val="Hyperlink"/>
                <w:noProof/>
              </w:rPr>
              <w:t>When Ongoing Support is not needed</w:t>
            </w:r>
            <w:r>
              <w:rPr>
                <w:noProof/>
                <w:webHidden/>
              </w:rPr>
              <w:tab/>
            </w:r>
            <w:r>
              <w:rPr>
                <w:noProof/>
                <w:webHidden/>
              </w:rPr>
              <w:fldChar w:fldCharType="begin"/>
            </w:r>
            <w:r>
              <w:rPr>
                <w:noProof/>
                <w:webHidden/>
              </w:rPr>
              <w:instrText xml:space="preserve"> PAGEREF _Toc202900076 \h </w:instrText>
            </w:r>
            <w:r>
              <w:rPr>
                <w:noProof/>
                <w:webHidden/>
              </w:rPr>
            </w:r>
            <w:r>
              <w:rPr>
                <w:noProof/>
                <w:webHidden/>
              </w:rPr>
              <w:fldChar w:fldCharType="separate"/>
            </w:r>
            <w:r w:rsidR="000D75AE">
              <w:rPr>
                <w:noProof/>
                <w:webHidden/>
              </w:rPr>
              <w:t>205</w:t>
            </w:r>
            <w:r>
              <w:rPr>
                <w:noProof/>
                <w:webHidden/>
              </w:rPr>
              <w:fldChar w:fldCharType="end"/>
            </w:r>
          </w:hyperlink>
        </w:p>
        <w:p w14:paraId="6A0948B8" w14:textId="4E36A72F" w:rsidR="00420D51" w:rsidRDefault="00420D51">
          <w:pPr>
            <w:pStyle w:val="TOC3"/>
            <w:rPr>
              <w:rFonts w:eastAsiaTheme="minorEastAsia"/>
              <w:noProof/>
              <w:spacing w:val="0"/>
              <w:kern w:val="2"/>
              <w:sz w:val="24"/>
              <w:lang w:eastAsia="en-AU"/>
              <w14:ligatures w14:val="standardContextual"/>
            </w:rPr>
          </w:pPr>
          <w:hyperlink w:anchor="_Toc202900077" w:history="1">
            <w:r w:rsidRPr="00492332">
              <w:rPr>
                <w:rStyle w:val="Hyperlink"/>
                <w:noProof/>
              </w:rPr>
              <w:t>10.8.1</w:t>
            </w:r>
            <w:r>
              <w:rPr>
                <w:rFonts w:eastAsiaTheme="minorEastAsia"/>
                <w:noProof/>
                <w:spacing w:val="0"/>
                <w:kern w:val="2"/>
                <w:sz w:val="24"/>
                <w:lang w:eastAsia="en-AU"/>
                <w14:ligatures w14:val="standardContextual"/>
              </w:rPr>
              <w:tab/>
            </w:r>
            <w:r w:rsidRPr="00492332">
              <w:rPr>
                <w:rStyle w:val="Hyperlink"/>
                <w:noProof/>
              </w:rPr>
              <w:t>Suspending Ongoing Support</w:t>
            </w:r>
            <w:r>
              <w:rPr>
                <w:noProof/>
                <w:webHidden/>
              </w:rPr>
              <w:tab/>
            </w:r>
            <w:r>
              <w:rPr>
                <w:noProof/>
                <w:webHidden/>
              </w:rPr>
              <w:fldChar w:fldCharType="begin"/>
            </w:r>
            <w:r>
              <w:rPr>
                <w:noProof/>
                <w:webHidden/>
              </w:rPr>
              <w:instrText xml:space="preserve"> PAGEREF _Toc202900077 \h </w:instrText>
            </w:r>
            <w:r>
              <w:rPr>
                <w:noProof/>
                <w:webHidden/>
              </w:rPr>
            </w:r>
            <w:r>
              <w:rPr>
                <w:noProof/>
                <w:webHidden/>
              </w:rPr>
              <w:fldChar w:fldCharType="separate"/>
            </w:r>
            <w:r w:rsidR="000D75AE">
              <w:rPr>
                <w:noProof/>
                <w:webHidden/>
              </w:rPr>
              <w:t>205</w:t>
            </w:r>
            <w:r>
              <w:rPr>
                <w:noProof/>
                <w:webHidden/>
              </w:rPr>
              <w:fldChar w:fldCharType="end"/>
            </w:r>
          </w:hyperlink>
        </w:p>
        <w:p w14:paraId="0137979C" w14:textId="520661AA" w:rsidR="00420D51" w:rsidRDefault="00420D51">
          <w:pPr>
            <w:pStyle w:val="TOC3"/>
            <w:rPr>
              <w:rFonts w:eastAsiaTheme="minorEastAsia"/>
              <w:noProof/>
              <w:spacing w:val="0"/>
              <w:kern w:val="2"/>
              <w:sz w:val="24"/>
              <w:lang w:eastAsia="en-AU"/>
              <w14:ligatures w14:val="standardContextual"/>
            </w:rPr>
          </w:pPr>
          <w:hyperlink w:anchor="_Toc202900078" w:history="1">
            <w:r w:rsidRPr="00492332">
              <w:rPr>
                <w:rStyle w:val="Hyperlink"/>
                <w:noProof/>
              </w:rPr>
              <w:t>10.8.2</w:t>
            </w:r>
            <w:r>
              <w:rPr>
                <w:rFonts w:eastAsiaTheme="minorEastAsia"/>
                <w:noProof/>
                <w:spacing w:val="0"/>
                <w:kern w:val="2"/>
                <w:sz w:val="24"/>
                <w:lang w:eastAsia="en-AU"/>
                <w14:ligatures w14:val="standardContextual"/>
              </w:rPr>
              <w:tab/>
            </w:r>
            <w:r w:rsidRPr="00492332">
              <w:rPr>
                <w:rStyle w:val="Hyperlink"/>
                <w:noProof/>
              </w:rPr>
              <w:t>Exits from Ongoing Support</w:t>
            </w:r>
            <w:r>
              <w:rPr>
                <w:noProof/>
                <w:webHidden/>
              </w:rPr>
              <w:tab/>
            </w:r>
            <w:r>
              <w:rPr>
                <w:noProof/>
                <w:webHidden/>
              </w:rPr>
              <w:fldChar w:fldCharType="begin"/>
            </w:r>
            <w:r>
              <w:rPr>
                <w:noProof/>
                <w:webHidden/>
              </w:rPr>
              <w:instrText xml:space="preserve"> PAGEREF _Toc202900078 \h </w:instrText>
            </w:r>
            <w:r>
              <w:rPr>
                <w:noProof/>
                <w:webHidden/>
              </w:rPr>
            </w:r>
            <w:r>
              <w:rPr>
                <w:noProof/>
                <w:webHidden/>
              </w:rPr>
              <w:fldChar w:fldCharType="separate"/>
            </w:r>
            <w:r w:rsidR="000D75AE">
              <w:rPr>
                <w:noProof/>
                <w:webHidden/>
              </w:rPr>
              <w:t>206</w:t>
            </w:r>
            <w:r>
              <w:rPr>
                <w:noProof/>
                <w:webHidden/>
              </w:rPr>
              <w:fldChar w:fldCharType="end"/>
            </w:r>
          </w:hyperlink>
        </w:p>
        <w:p w14:paraId="4CBFEA34" w14:textId="54D7EA1C" w:rsidR="00420D51" w:rsidRDefault="00420D51">
          <w:pPr>
            <w:pStyle w:val="TOC2"/>
            <w:rPr>
              <w:rFonts w:eastAsiaTheme="minorEastAsia"/>
              <w:noProof/>
              <w:spacing w:val="0"/>
              <w:kern w:val="2"/>
              <w:sz w:val="24"/>
              <w:lang w:eastAsia="en-AU"/>
              <w14:ligatures w14:val="standardContextual"/>
            </w:rPr>
          </w:pPr>
          <w:hyperlink w:anchor="_Toc202900079" w:history="1">
            <w:r w:rsidRPr="00492332">
              <w:rPr>
                <w:rStyle w:val="Hyperlink"/>
                <w:noProof/>
              </w:rPr>
              <w:t>10.9</w:t>
            </w:r>
            <w:r>
              <w:rPr>
                <w:rFonts w:eastAsiaTheme="minorEastAsia"/>
                <w:noProof/>
                <w:spacing w:val="0"/>
                <w:kern w:val="2"/>
                <w:sz w:val="24"/>
                <w:lang w:eastAsia="en-AU"/>
                <w14:ligatures w14:val="standardContextual"/>
              </w:rPr>
              <w:tab/>
            </w:r>
            <w:r w:rsidRPr="00492332">
              <w:rPr>
                <w:rStyle w:val="Hyperlink"/>
                <w:noProof/>
              </w:rPr>
              <w:t>Additional considerations for Ongoing Support (Work Assist) Participants</w:t>
            </w:r>
            <w:r>
              <w:rPr>
                <w:noProof/>
                <w:webHidden/>
              </w:rPr>
              <w:tab/>
            </w:r>
            <w:r>
              <w:rPr>
                <w:noProof/>
                <w:webHidden/>
              </w:rPr>
              <w:fldChar w:fldCharType="begin"/>
            </w:r>
            <w:r>
              <w:rPr>
                <w:noProof/>
                <w:webHidden/>
              </w:rPr>
              <w:instrText xml:space="preserve"> PAGEREF _Toc202900079 \h </w:instrText>
            </w:r>
            <w:r>
              <w:rPr>
                <w:noProof/>
                <w:webHidden/>
              </w:rPr>
            </w:r>
            <w:r>
              <w:rPr>
                <w:noProof/>
                <w:webHidden/>
              </w:rPr>
              <w:fldChar w:fldCharType="separate"/>
            </w:r>
            <w:r w:rsidR="000D75AE">
              <w:rPr>
                <w:noProof/>
                <w:webHidden/>
              </w:rPr>
              <w:t>207</w:t>
            </w:r>
            <w:r>
              <w:rPr>
                <w:noProof/>
                <w:webHidden/>
              </w:rPr>
              <w:fldChar w:fldCharType="end"/>
            </w:r>
          </w:hyperlink>
        </w:p>
        <w:p w14:paraId="79889F03" w14:textId="09A31039" w:rsidR="00420D51" w:rsidRDefault="00420D51">
          <w:pPr>
            <w:pStyle w:val="TOC2"/>
            <w:rPr>
              <w:rFonts w:eastAsiaTheme="minorEastAsia"/>
              <w:noProof/>
              <w:spacing w:val="0"/>
              <w:kern w:val="2"/>
              <w:sz w:val="24"/>
              <w:lang w:eastAsia="en-AU"/>
              <w14:ligatures w14:val="standardContextual"/>
            </w:rPr>
          </w:pPr>
          <w:hyperlink w:anchor="_Toc202900080" w:history="1">
            <w:r w:rsidRPr="00492332">
              <w:rPr>
                <w:rStyle w:val="Hyperlink"/>
                <w:noProof/>
              </w:rPr>
              <w:t>10.10</w:t>
            </w:r>
            <w:r>
              <w:rPr>
                <w:rFonts w:eastAsiaTheme="minorEastAsia"/>
                <w:noProof/>
                <w:spacing w:val="0"/>
                <w:kern w:val="2"/>
                <w:sz w:val="24"/>
                <w:lang w:eastAsia="en-AU"/>
                <w14:ligatures w14:val="standardContextual"/>
              </w:rPr>
              <w:tab/>
            </w:r>
            <w:r w:rsidRPr="00492332">
              <w:rPr>
                <w:rStyle w:val="Hyperlink"/>
                <w:noProof/>
              </w:rPr>
              <w:t>Support to be provided to Employers</w:t>
            </w:r>
            <w:r>
              <w:rPr>
                <w:noProof/>
                <w:webHidden/>
              </w:rPr>
              <w:tab/>
            </w:r>
            <w:r>
              <w:rPr>
                <w:noProof/>
                <w:webHidden/>
              </w:rPr>
              <w:fldChar w:fldCharType="begin"/>
            </w:r>
            <w:r>
              <w:rPr>
                <w:noProof/>
                <w:webHidden/>
              </w:rPr>
              <w:instrText xml:space="preserve"> PAGEREF _Toc202900080 \h </w:instrText>
            </w:r>
            <w:r>
              <w:rPr>
                <w:noProof/>
                <w:webHidden/>
              </w:rPr>
            </w:r>
            <w:r>
              <w:rPr>
                <w:noProof/>
                <w:webHidden/>
              </w:rPr>
              <w:fldChar w:fldCharType="separate"/>
            </w:r>
            <w:r w:rsidR="000D75AE">
              <w:rPr>
                <w:noProof/>
                <w:webHidden/>
              </w:rPr>
              <w:t>208</w:t>
            </w:r>
            <w:r>
              <w:rPr>
                <w:noProof/>
                <w:webHidden/>
              </w:rPr>
              <w:fldChar w:fldCharType="end"/>
            </w:r>
          </w:hyperlink>
        </w:p>
        <w:p w14:paraId="09491E65" w14:textId="2A30CE19" w:rsidR="00420D51" w:rsidRDefault="00420D51">
          <w:pPr>
            <w:pStyle w:val="TOC1"/>
            <w:tabs>
              <w:tab w:val="left" w:pos="1540"/>
            </w:tabs>
            <w:rPr>
              <w:rFonts w:eastAsiaTheme="minorEastAsia"/>
              <w:b w:val="0"/>
              <w:noProof/>
              <w:color w:val="auto"/>
              <w:spacing w:val="0"/>
              <w:kern w:val="2"/>
              <w:sz w:val="24"/>
              <w:lang w:eastAsia="en-AU"/>
              <w14:ligatures w14:val="standardContextual"/>
            </w:rPr>
          </w:pPr>
          <w:hyperlink w:anchor="_Toc202900081" w:history="1">
            <w:r w:rsidRPr="00492332">
              <w:rPr>
                <w:rStyle w:val="Hyperlink"/>
                <w:noProof/>
              </w:rPr>
              <w:t>Chapter 11:</w:t>
            </w:r>
            <w:r>
              <w:rPr>
                <w:rFonts w:eastAsiaTheme="minorEastAsia"/>
                <w:b w:val="0"/>
                <w:noProof/>
                <w:color w:val="auto"/>
                <w:spacing w:val="0"/>
                <w:kern w:val="2"/>
                <w:sz w:val="24"/>
                <w:lang w:eastAsia="en-AU"/>
                <w14:ligatures w14:val="standardContextual"/>
              </w:rPr>
              <w:tab/>
            </w:r>
            <w:r w:rsidRPr="00492332">
              <w:rPr>
                <w:rStyle w:val="Hyperlink"/>
                <w:noProof/>
              </w:rPr>
              <w:t>Payments to Providers</w:t>
            </w:r>
            <w:r>
              <w:rPr>
                <w:noProof/>
                <w:webHidden/>
              </w:rPr>
              <w:tab/>
            </w:r>
            <w:r>
              <w:rPr>
                <w:noProof/>
                <w:webHidden/>
              </w:rPr>
              <w:fldChar w:fldCharType="begin"/>
            </w:r>
            <w:r>
              <w:rPr>
                <w:noProof/>
                <w:webHidden/>
              </w:rPr>
              <w:instrText xml:space="preserve"> PAGEREF _Toc202900081 \h </w:instrText>
            </w:r>
            <w:r>
              <w:rPr>
                <w:noProof/>
                <w:webHidden/>
              </w:rPr>
            </w:r>
            <w:r>
              <w:rPr>
                <w:noProof/>
                <w:webHidden/>
              </w:rPr>
              <w:fldChar w:fldCharType="separate"/>
            </w:r>
            <w:r w:rsidR="000D75AE">
              <w:rPr>
                <w:noProof/>
                <w:webHidden/>
              </w:rPr>
              <w:t>210</w:t>
            </w:r>
            <w:r>
              <w:rPr>
                <w:noProof/>
                <w:webHidden/>
              </w:rPr>
              <w:fldChar w:fldCharType="end"/>
            </w:r>
          </w:hyperlink>
        </w:p>
        <w:p w14:paraId="551FB62C" w14:textId="749A4218" w:rsidR="00420D51" w:rsidRDefault="00420D51">
          <w:pPr>
            <w:pStyle w:val="TOC2"/>
            <w:rPr>
              <w:rFonts w:eastAsiaTheme="minorEastAsia"/>
              <w:noProof/>
              <w:spacing w:val="0"/>
              <w:kern w:val="2"/>
              <w:sz w:val="24"/>
              <w:lang w:eastAsia="en-AU"/>
              <w14:ligatures w14:val="standardContextual"/>
            </w:rPr>
          </w:pPr>
          <w:hyperlink w:anchor="_Toc202900082" w:history="1">
            <w:r w:rsidRPr="00492332">
              <w:rPr>
                <w:rStyle w:val="Hyperlink"/>
                <w:noProof/>
              </w:rPr>
              <w:t>11.1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_Toc202900082 \h </w:instrText>
            </w:r>
            <w:r>
              <w:rPr>
                <w:noProof/>
                <w:webHidden/>
              </w:rPr>
            </w:r>
            <w:r>
              <w:rPr>
                <w:noProof/>
                <w:webHidden/>
              </w:rPr>
              <w:fldChar w:fldCharType="separate"/>
            </w:r>
            <w:r w:rsidR="000D75AE">
              <w:rPr>
                <w:noProof/>
                <w:webHidden/>
              </w:rPr>
              <w:t>210</w:t>
            </w:r>
            <w:r>
              <w:rPr>
                <w:noProof/>
                <w:webHidden/>
              </w:rPr>
              <w:fldChar w:fldCharType="end"/>
            </w:r>
          </w:hyperlink>
        </w:p>
        <w:p w14:paraId="3C9C99A4" w14:textId="49CF554F" w:rsidR="00420D51" w:rsidRDefault="00420D51">
          <w:pPr>
            <w:pStyle w:val="TOC2"/>
            <w:rPr>
              <w:rFonts w:eastAsiaTheme="minorEastAsia"/>
              <w:noProof/>
              <w:spacing w:val="0"/>
              <w:kern w:val="2"/>
              <w:sz w:val="24"/>
              <w:lang w:eastAsia="en-AU"/>
              <w14:ligatures w14:val="standardContextual"/>
            </w:rPr>
          </w:pPr>
          <w:hyperlink w:anchor="_Toc202900083" w:history="1">
            <w:r w:rsidRPr="00492332">
              <w:rPr>
                <w:rStyle w:val="Hyperlink"/>
                <w:noProof/>
                <w:lang w:eastAsia="en-AU"/>
              </w:rPr>
              <w:t>11.2</w:t>
            </w:r>
            <w:r>
              <w:rPr>
                <w:rFonts w:eastAsiaTheme="minorEastAsia"/>
                <w:noProof/>
                <w:spacing w:val="0"/>
                <w:kern w:val="2"/>
                <w:sz w:val="24"/>
                <w:lang w:eastAsia="en-AU"/>
                <w14:ligatures w14:val="standardContextual"/>
              </w:rPr>
              <w:tab/>
            </w:r>
            <w:r w:rsidRPr="00492332">
              <w:rPr>
                <w:rStyle w:val="Hyperlink"/>
                <w:noProof/>
                <w:lang w:eastAsia="en-AU"/>
              </w:rPr>
              <w:t>Employment Benchmarks</w:t>
            </w:r>
            <w:r>
              <w:rPr>
                <w:noProof/>
                <w:webHidden/>
              </w:rPr>
              <w:tab/>
            </w:r>
            <w:r>
              <w:rPr>
                <w:noProof/>
                <w:webHidden/>
              </w:rPr>
              <w:fldChar w:fldCharType="begin"/>
            </w:r>
            <w:r>
              <w:rPr>
                <w:noProof/>
                <w:webHidden/>
              </w:rPr>
              <w:instrText xml:space="preserve"> PAGEREF _Toc202900083 \h </w:instrText>
            </w:r>
            <w:r>
              <w:rPr>
                <w:noProof/>
                <w:webHidden/>
              </w:rPr>
            </w:r>
            <w:r>
              <w:rPr>
                <w:noProof/>
                <w:webHidden/>
              </w:rPr>
              <w:fldChar w:fldCharType="separate"/>
            </w:r>
            <w:r w:rsidR="000D75AE">
              <w:rPr>
                <w:noProof/>
                <w:webHidden/>
              </w:rPr>
              <w:t>210</w:t>
            </w:r>
            <w:r>
              <w:rPr>
                <w:noProof/>
                <w:webHidden/>
              </w:rPr>
              <w:fldChar w:fldCharType="end"/>
            </w:r>
          </w:hyperlink>
        </w:p>
        <w:p w14:paraId="5EBEF262" w14:textId="10653D3C" w:rsidR="00420D51" w:rsidRDefault="00420D51">
          <w:pPr>
            <w:pStyle w:val="TOC2"/>
            <w:rPr>
              <w:rFonts w:eastAsiaTheme="minorEastAsia"/>
              <w:noProof/>
              <w:spacing w:val="0"/>
              <w:kern w:val="2"/>
              <w:sz w:val="24"/>
              <w:lang w:eastAsia="en-AU"/>
              <w14:ligatures w14:val="standardContextual"/>
            </w:rPr>
          </w:pPr>
          <w:hyperlink w:anchor="_Toc202900084" w:history="1">
            <w:r w:rsidRPr="00492332">
              <w:rPr>
                <w:rStyle w:val="Hyperlink"/>
                <w:noProof/>
              </w:rPr>
              <w:t>11.3</w:t>
            </w:r>
            <w:r>
              <w:rPr>
                <w:rFonts w:eastAsiaTheme="minorEastAsia"/>
                <w:noProof/>
                <w:spacing w:val="0"/>
                <w:kern w:val="2"/>
                <w:sz w:val="24"/>
                <w:lang w:eastAsia="en-AU"/>
                <w14:ligatures w14:val="standardContextual"/>
              </w:rPr>
              <w:tab/>
            </w:r>
            <w:r w:rsidRPr="00492332">
              <w:rPr>
                <w:rStyle w:val="Hyperlink"/>
                <w:noProof/>
              </w:rPr>
              <w:t>Service Fees</w:t>
            </w:r>
            <w:r>
              <w:rPr>
                <w:noProof/>
                <w:webHidden/>
              </w:rPr>
              <w:tab/>
            </w:r>
            <w:r>
              <w:rPr>
                <w:noProof/>
                <w:webHidden/>
              </w:rPr>
              <w:fldChar w:fldCharType="begin"/>
            </w:r>
            <w:r>
              <w:rPr>
                <w:noProof/>
                <w:webHidden/>
              </w:rPr>
              <w:instrText xml:space="preserve"> PAGEREF _Toc202900084 \h </w:instrText>
            </w:r>
            <w:r>
              <w:rPr>
                <w:noProof/>
                <w:webHidden/>
              </w:rPr>
            </w:r>
            <w:r>
              <w:rPr>
                <w:noProof/>
                <w:webHidden/>
              </w:rPr>
              <w:fldChar w:fldCharType="separate"/>
            </w:r>
            <w:r w:rsidR="000D75AE">
              <w:rPr>
                <w:noProof/>
                <w:webHidden/>
              </w:rPr>
              <w:t>211</w:t>
            </w:r>
            <w:r>
              <w:rPr>
                <w:noProof/>
                <w:webHidden/>
              </w:rPr>
              <w:fldChar w:fldCharType="end"/>
            </w:r>
          </w:hyperlink>
        </w:p>
        <w:p w14:paraId="5E657038" w14:textId="568DCCF5" w:rsidR="00420D51" w:rsidRDefault="00420D51">
          <w:pPr>
            <w:pStyle w:val="TOC2"/>
            <w:rPr>
              <w:rFonts w:eastAsiaTheme="minorEastAsia"/>
              <w:noProof/>
              <w:spacing w:val="0"/>
              <w:kern w:val="2"/>
              <w:sz w:val="24"/>
              <w:lang w:eastAsia="en-AU"/>
              <w14:ligatures w14:val="standardContextual"/>
            </w:rPr>
          </w:pPr>
          <w:hyperlink w:anchor="_Toc202900085" w:history="1">
            <w:r w:rsidRPr="00492332">
              <w:rPr>
                <w:rStyle w:val="Hyperlink"/>
                <w:noProof/>
              </w:rPr>
              <w:t>11.4</w:t>
            </w:r>
            <w:r>
              <w:rPr>
                <w:rFonts w:eastAsiaTheme="minorEastAsia"/>
                <w:noProof/>
                <w:spacing w:val="0"/>
                <w:kern w:val="2"/>
                <w:sz w:val="24"/>
                <w:lang w:eastAsia="en-AU"/>
                <w14:ligatures w14:val="standardContextual"/>
              </w:rPr>
              <w:tab/>
            </w:r>
            <w:r w:rsidRPr="00492332">
              <w:rPr>
                <w:rStyle w:val="Hyperlink"/>
                <w:noProof/>
              </w:rPr>
              <w:t>Progress Fees</w:t>
            </w:r>
            <w:r>
              <w:rPr>
                <w:noProof/>
                <w:webHidden/>
              </w:rPr>
              <w:tab/>
            </w:r>
            <w:r>
              <w:rPr>
                <w:noProof/>
                <w:webHidden/>
              </w:rPr>
              <w:fldChar w:fldCharType="begin"/>
            </w:r>
            <w:r>
              <w:rPr>
                <w:noProof/>
                <w:webHidden/>
              </w:rPr>
              <w:instrText xml:space="preserve"> PAGEREF _Toc202900085 \h </w:instrText>
            </w:r>
            <w:r>
              <w:rPr>
                <w:noProof/>
                <w:webHidden/>
              </w:rPr>
            </w:r>
            <w:r>
              <w:rPr>
                <w:noProof/>
                <w:webHidden/>
              </w:rPr>
              <w:fldChar w:fldCharType="separate"/>
            </w:r>
            <w:r w:rsidR="000D75AE">
              <w:rPr>
                <w:noProof/>
                <w:webHidden/>
              </w:rPr>
              <w:t>212</w:t>
            </w:r>
            <w:r>
              <w:rPr>
                <w:noProof/>
                <w:webHidden/>
              </w:rPr>
              <w:fldChar w:fldCharType="end"/>
            </w:r>
          </w:hyperlink>
        </w:p>
        <w:p w14:paraId="748EED48" w14:textId="48C94AD8" w:rsidR="00420D51" w:rsidRDefault="00420D51">
          <w:pPr>
            <w:pStyle w:val="TOC3"/>
            <w:rPr>
              <w:rFonts w:eastAsiaTheme="minorEastAsia"/>
              <w:noProof/>
              <w:spacing w:val="0"/>
              <w:kern w:val="2"/>
              <w:sz w:val="24"/>
              <w:lang w:eastAsia="en-AU"/>
              <w14:ligatures w14:val="standardContextual"/>
            </w:rPr>
          </w:pPr>
          <w:hyperlink w:anchor="_Toc202900086" w:history="1">
            <w:r w:rsidRPr="00492332">
              <w:rPr>
                <w:rStyle w:val="Hyperlink"/>
                <w:noProof/>
              </w:rPr>
              <w:t>11.4.1</w:t>
            </w:r>
            <w:r>
              <w:rPr>
                <w:rFonts w:eastAsiaTheme="minorEastAsia"/>
                <w:noProof/>
                <w:spacing w:val="0"/>
                <w:kern w:val="2"/>
                <w:sz w:val="24"/>
                <w:lang w:eastAsia="en-AU"/>
                <w14:ligatures w14:val="standardContextual"/>
              </w:rPr>
              <w:tab/>
            </w:r>
            <w:r w:rsidRPr="00492332">
              <w:rPr>
                <w:rStyle w:val="Hyperlink"/>
                <w:noProof/>
              </w:rPr>
              <w:t>Eligibility for Progress Fees</w:t>
            </w:r>
            <w:r>
              <w:rPr>
                <w:noProof/>
                <w:webHidden/>
              </w:rPr>
              <w:tab/>
            </w:r>
            <w:r>
              <w:rPr>
                <w:noProof/>
                <w:webHidden/>
              </w:rPr>
              <w:fldChar w:fldCharType="begin"/>
            </w:r>
            <w:r>
              <w:rPr>
                <w:noProof/>
                <w:webHidden/>
              </w:rPr>
              <w:instrText xml:space="preserve"> PAGEREF _Toc202900086 \h </w:instrText>
            </w:r>
            <w:r>
              <w:rPr>
                <w:noProof/>
                <w:webHidden/>
              </w:rPr>
            </w:r>
            <w:r>
              <w:rPr>
                <w:noProof/>
                <w:webHidden/>
              </w:rPr>
              <w:fldChar w:fldCharType="separate"/>
            </w:r>
            <w:r w:rsidR="000D75AE">
              <w:rPr>
                <w:noProof/>
                <w:webHidden/>
              </w:rPr>
              <w:t>212</w:t>
            </w:r>
            <w:r>
              <w:rPr>
                <w:noProof/>
                <w:webHidden/>
              </w:rPr>
              <w:fldChar w:fldCharType="end"/>
            </w:r>
          </w:hyperlink>
        </w:p>
        <w:p w14:paraId="2A31D44D" w14:textId="40623C3B" w:rsidR="00420D51" w:rsidRDefault="00420D51">
          <w:pPr>
            <w:pStyle w:val="TOC3"/>
            <w:rPr>
              <w:rFonts w:eastAsiaTheme="minorEastAsia"/>
              <w:noProof/>
              <w:spacing w:val="0"/>
              <w:kern w:val="2"/>
              <w:sz w:val="24"/>
              <w:lang w:eastAsia="en-AU"/>
              <w14:ligatures w14:val="standardContextual"/>
            </w:rPr>
          </w:pPr>
          <w:hyperlink w:anchor="_Toc202900087" w:history="1">
            <w:r w:rsidRPr="00492332">
              <w:rPr>
                <w:rStyle w:val="Hyperlink"/>
                <w:noProof/>
              </w:rPr>
              <w:t>11.4.2</w:t>
            </w:r>
            <w:r>
              <w:rPr>
                <w:rFonts w:eastAsiaTheme="minorEastAsia"/>
                <w:noProof/>
                <w:spacing w:val="0"/>
                <w:kern w:val="2"/>
                <w:sz w:val="24"/>
                <w:lang w:eastAsia="en-AU"/>
                <w14:ligatures w14:val="standardContextual"/>
              </w:rPr>
              <w:tab/>
            </w:r>
            <w:r w:rsidRPr="00492332">
              <w:rPr>
                <w:rStyle w:val="Hyperlink"/>
                <w:noProof/>
              </w:rPr>
              <w:t>Progress Fees for Employment and paid work experience</w:t>
            </w:r>
            <w:r>
              <w:rPr>
                <w:noProof/>
                <w:webHidden/>
              </w:rPr>
              <w:tab/>
            </w:r>
            <w:r>
              <w:rPr>
                <w:noProof/>
                <w:webHidden/>
              </w:rPr>
              <w:fldChar w:fldCharType="begin"/>
            </w:r>
            <w:r>
              <w:rPr>
                <w:noProof/>
                <w:webHidden/>
              </w:rPr>
              <w:instrText xml:space="preserve"> PAGEREF _Toc202900087 \h </w:instrText>
            </w:r>
            <w:r>
              <w:rPr>
                <w:noProof/>
                <w:webHidden/>
              </w:rPr>
            </w:r>
            <w:r>
              <w:rPr>
                <w:noProof/>
                <w:webHidden/>
              </w:rPr>
              <w:fldChar w:fldCharType="separate"/>
            </w:r>
            <w:r w:rsidR="000D75AE">
              <w:rPr>
                <w:noProof/>
                <w:webHidden/>
              </w:rPr>
              <w:t>214</w:t>
            </w:r>
            <w:r>
              <w:rPr>
                <w:noProof/>
                <w:webHidden/>
              </w:rPr>
              <w:fldChar w:fldCharType="end"/>
            </w:r>
          </w:hyperlink>
        </w:p>
        <w:p w14:paraId="54AA4C3D" w14:textId="19087306" w:rsidR="00420D51" w:rsidRDefault="00420D51">
          <w:pPr>
            <w:pStyle w:val="TOC3"/>
            <w:rPr>
              <w:rFonts w:eastAsiaTheme="minorEastAsia"/>
              <w:noProof/>
              <w:spacing w:val="0"/>
              <w:kern w:val="2"/>
              <w:sz w:val="24"/>
              <w:lang w:eastAsia="en-AU"/>
              <w14:ligatures w14:val="standardContextual"/>
            </w:rPr>
          </w:pPr>
          <w:hyperlink w:anchor="_Toc202900088" w:history="1">
            <w:r w:rsidRPr="00492332">
              <w:rPr>
                <w:rStyle w:val="Hyperlink"/>
                <w:noProof/>
              </w:rPr>
              <w:t>11.4.3</w:t>
            </w:r>
            <w:r>
              <w:rPr>
                <w:rFonts w:eastAsiaTheme="minorEastAsia"/>
                <w:noProof/>
                <w:spacing w:val="0"/>
                <w:kern w:val="2"/>
                <w:sz w:val="24"/>
                <w:lang w:eastAsia="en-AU"/>
                <w14:ligatures w14:val="standardContextual"/>
              </w:rPr>
              <w:tab/>
            </w:r>
            <w:r w:rsidRPr="00492332">
              <w:rPr>
                <w:rStyle w:val="Hyperlink"/>
                <w:noProof/>
              </w:rPr>
              <w:t>Progress Fees for Education and Training</w:t>
            </w:r>
            <w:r>
              <w:rPr>
                <w:noProof/>
                <w:webHidden/>
              </w:rPr>
              <w:tab/>
            </w:r>
            <w:r>
              <w:rPr>
                <w:noProof/>
                <w:webHidden/>
              </w:rPr>
              <w:fldChar w:fldCharType="begin"/>
            </w:r>
            <w:r>
              <w:rPr>
                <w:noProof/>
                <w:webHidden/>
              </w:rPr>
              <w:instrText xml:space="preserve"> PAGEREF _Toc202900088 \h </w:instrText>
            </w:r>
            <w:r>
              <w:rPr>
                <w:noProof/>
                <w:webHidden/>
              </w:rPr>
            </w:r>
            <w:r>
              <w:rPr>
                <w:noProof/>
                <w:webHidden/>
              </w:rPr>
              <w:fldChar w:fldCharType="separate"/>
            </w:r>
            <w:r w:rsidR="000D75AE">
              <w:rPr>
                <w:noProof/>
                <w:webHidden/>
              </w:rPr>
              <w:t>215</w:t>
            </w:r>
            <w:r>
              <w:rPr>
                <w:noProof/>
                <w:webHidden/>
              </w:rPr>
              <w:fldChar w:fldCharType="end"/>
            </w:r>
          </w:hyperlink>
        </w:p>
        <w:p w14:paraId="243B97D4" w14:textId="00739346" w:rsidR="00420D51" w:rsidRDefault="00420D51">
          <w:pPr>
            <w:pStyle w:val="TOC3"/>
            <w:rPr>
              <w:rFonts w:eastAsiaTheme="minorEastAsia"/>
              <w:noProof/>
              <w:spacing w:val="0"/>
              <w:kern w:val="2"/>
              <w:sz w:val="24"/>
              <w:lang w:eastAsia="en-AU"/>
              <w14:ligatures w14:val="standardContextual"/>
            </w:rPr>
          </w:pPr>
          <w:hyperlink w:anchor="_Toc202900089" w:history="1">
            <w:r w:rsidRPr="00492332">
              <w:rPr>
                <w:rStyle w:val="Hyperlink"/>
                <w:noProof/>
              </w:rPr>
              <w:t>11.4.4</w:t>
            </w:r>
            <w:r>
              <w:rPr>
                <w:rFonts w:eastAsiaTheme="minorEastAsia"/>
                <w:noProof/>
                <w:spacing w:val="0"/>
                <w:kern w:val="2"/>
                <w:sz w:val="24"/>
                <w:lang w:eastAsia="en-AU"/>
                <w14:ligatures w14:val="standardContextual"/>
              </w:rPr>
              <w:tab/>
            </w:r>
            <w:r w:rsidRPr="00492332">
              <w:rPr>
                <w:rStyle w:val="Hyperlink"/>
                <w:noProof/>
              </w:rPr>
              <w:t>Progress Fees for Activities that address Vocational Barriers</w:t>
            </w:r>
            <w:r>
              <w:rPr>
                <w:noProof/>
                <w:webHidden/>
              </w:rPr>
              <w:tab/>
            </w:r>
            <w:r>
              <w:rPr>
                <w:noProof/>
                <w:webHidden/>
              </w:rPr>
              <w:fldChar w:fldCharType="begin"/>
            </w:r>
            <w:r>
              <w:rPr>
                <w:noProof/>
                <w:webHidden/>
              </w:rPr>
              <w:instrText xml:space="preserve"> PAGEREF _Toc202900089 \h </w:instrText>
            </w:r>
            <w:r>
              <w:rPr>
                <w:noProof/>
                <w:webHidden/>
              </w:rPr>
            </w:r>
            <w:r>
              <w:rPr>
                <w:noProof/>
                <w:webHidden/>
              </w:rPr>
              <w:fldChar w:fldCharType="separate"/>
            </w:r>
            <w:r w:rsidR="000D75AE">
              <w:rPr>
                <w:noProof/>
                <w:webHidden/>
              </w:rPr>
              <w:t>215</w:t>
            </w:r>
            <w:r>
              <w:rPr>
                <w:noProof/>
                <w:webHidden/>
              </w:rPr>
              <w:fldChar w:fldCharType="end"/>
            </w:r>
          </w:hyperlink>
        </w:p>
        <w:p w14:paraId="1D3C676D" w14:textId="01EA5165" w:rsidR="00420D51" w:rsidRDefault="00420D51">
          <w:pPr>
            <w:pStyle w:val="TOC2"/>
            <w:rPr>
              <w:rFonts w:eastAsiaTheme="minorEastAsia"/>
              <w:noProof/>
              <w:spacing w:val="0"/>
              <w:kern w:val="2"/>
              <w:sz w:val="24"/>
              <w:lang w:eastAsia="en-AU"/>
              <w14:ligatures w14:val="standardContextual"/>
            </w:rPr>
          </w:pPr>
          <w:hyperlink w:anchor="_Toc202900090" w:history="1">
            <w:r w:rsidRPr="00492332">
              <w:rPr>
                <w:rStyle w:val="Hyperlink"/>
                <w:noProof/>
              </w:rPr>
              <w:t>11.5</w:t>
            </w:r>
            <w:r>
              <w:rPr>
                <w:rFonts w:eastAsiaTheme="minorEastAsia"/>
                <w:noProof/>
                <w:spacing w:val="0"/>
                <w:kern w:val="2"/>
                <w:sz w:val="24"/>
                <w:lang w:eastAsia="en-AU"/>
                <w14:ligatures w14:val="standardContextual"/>
              </w:rPr>
              <w:tab/>
            </w:r>
            <w:r w:rsidRPr="00492332">
              <w:rPr>
                <w:rStyle w:val="Hyperlink"/>
                <w:noProof/>
              </w:rPr>
              <w:t>Outcome Fees</w:t>
            </w:r>
            <w:r>
              <w:rPr>
                <w:noProof/>
                <w:webHidden/>
              </w:rPr>
              <w:tab/>
            </w:r>
            <w:r>
              <w:rPr>
                <w:noProof/>
                <w:webHidden/>
              </w:rPr>
              <w:fldChar w:fldCharType="begin"/>
            </w:r>
            <w:r>
              <w:rPr>
                <w:noProof/>
                <w:webHidden/>
              </w:rPr>
              <w:instrText xml:space="preserve"> PAGEREF _Toc202900090 \h </w:instrText>
            </w:r>
            <w:r>
              <w:rPr>
                <w:noProof/>
                <w:webHidden/>
              </w:rPr>
            </w:r>
            <w:r>
              <w:rPr>
                <w:noProof/>
                <w:webHidden/>
              </w:rPr>
              <w:fldChar w:fldCharType="separate"/>
            </w:r>
            <w:r w:rsidR="000D75AE">
              <w:rPr>
                <w:noProof/>
                <w:webHidden/>
              </w:rPr>
              <w:t>218</w:t>
            </w:r>
            <w:r>
              <w:rPr>
                <w:noProof/>
                <w:webHidden/>
              </w:rPr>
              <w:fldChar w:fldCharType="end"/>
            </w:r>
          </w:hyperlink>
        </w:p>
        <w:p w14:paraId="3158780C" w14:textId="0BC64AB6" w:rsidR="00420D51" w:rsidRDefault="00420D51">
          <w:pPr>
            <w:pStyle w:val="TOC3"/>
            <w:rPr>
              <w:rFonts w:eastAsiaTheme="minorEastAsia"/>
              <w:noProof/>
              <w:spacing w:val="0"/>
              <w:kern w:val="2"/>
              <w:sz w:val="24"/>
              <w:lang w:eastAsia="en-AU"/>
              <w14:ligatures w14:val="standardContextual"/>
            </w:rPr>
          </w:pPr>
          <w:hyperlink w:anchor="_Toc202900091" w:history="1">
            <w:r w:rsidRPr="00492332">
              <w:rPr>
                <w:rStyle w:val="Hyperlink"/>
                <w:noProof/>
              </w:rPr>
              <w:t>11.5.1</w:t>
            </w:r>
            <w:r>
              <w:rPr>
                <w:rFonts w:eastAsiaTheme="minorEastAsia"/>
                <w:noProof/>
                <w:spacing w:val="0"/>
                <w:kern w:val="2"/>
                <w:sz w:val="24"/>
                <w:lang w:eastAsia="en-AU"/>
                <w14:ligatures w14:val="standardContextual"/>
              </w:rPr>
              <w:tab/>
            </w:r>
            <w:r w:rsidRPr="00492332">
              <w:rPr>
                <w:rStyle w:val="Hyperlink"/>
                <w:noProof/>
              </w:rPr>
              <w:t>Claiming Employment Outcome Fees</w:t>
            </w:r>
            <w:r>
              <w:rPr>
                <w:noProof/>
                <w:webHidden/>
              </w:rPr>
              <w:tab/>
            </w:r>
            <w:r>
              <w:rPr>
                <w:noProof/>
                <w:webHidden/>
              </w:rPr>
              <w:fldChar w:fldCharType="begin"/>
            </w:r>
            <w:r>
              <w:rPr>
                <w:noProof/>
                <w:webHidden/>
              </w:rPr>
              <w:instrText xml:space="preserve"> PAGEREF _Toc202900091 \h </w:instrText>
            </w:r>
            <w:r>
              <w:rPr>
                <w:noProof/>
                <w:webHidden/>
              </w:rPr>
            </w:r>
            <w:r>
              <w:rPr>
                <w:noProof/>
                <w:webHidden/>
              </w:rPr>
              <w:fldChar w:fldCharType="separate"/>
            </w:r>
            <w:r w:rsidR="000D75AE">
              <w:rPr>
                <w:noProof/>
                <w:webHidden/>
              </w:rPr>
              <w:t>218</w:t>
            </w:r>
            <w:r>
              <w:rPr>
                <w:noProof/>
                <w:webHidden/>
              </w:rPr>
              <w:fldChar w:fldCharType="end"/>
            </w:r>
          </w:hyperlink>
        </w:p>
        <w:p w14:paraId="2A0227B9" w14:textId="5A86A1EB" w:rsidR="00420D51" w:rsidRDefault="00420D51">
          <w:pPr>
            <w:pStyle w:val="TOC3"/>
            <w:rPr>
              <w:rFonts w:eastAsiaTheme="minorEastAsia"/>
              <w:noProof/>
              <w:spacing w:val="0"/>
              <w:kern w:val="2"/>
              <w:sz w:val="24"/>
              <w:lang w:eastAsia="en-AU"/>
              <w14:ligatures w14:val="standardContextual"/>
            </w:rPr>
          </w:pPr>
          <w:hyperlink w:anchor="_Toc202900092" w:history="1">
            <w:r w:rsidRPr="00492332">
              <w:rPr>
                <w:rStyle w:val="Hyperlink"/>
                <w:noProof/>
              </w:rPr>
              <w:t>11.5.2</w:t>
            </w:r>
            <w:r>
              <w:rPr>
                <w:rFonts w:eastAsiaTheme="minorEastAsia"/>
                <w:noProof/>
                <w:spacing w:val="0"/>
                <w:kern w:val="2"/>
                <w:sz w:val="24"/>
                <w:lang w:eastAsia="en-AU"/>
                <w14:ligatures w14:val="standardContextual"/>
              </w:rPr>
              <w:tab/>
            </w:r>
            <w:r w:rsidRPr="00492332">
              <w:rPr>
                <w:rStyle w:val="Hyperlink"/>
                <w:noProof/>
              </w:rPr>
              <w:t>Outcome Claiming Methods</w:t>
            </w:r>
            <w:r>
              <w:rPr>
                <w:noProof/>
                <w:webHidden/>
              </w:rPr>
              <w:tab/>
            </w:r>
            <w:r>
              <w:rPr>
                <w:noProof/>
                <w:webHidden/>
              </w:rPr>
              <w:fldChar w:fldCharType="begin"/>
            </w:r>
            <w:r>
              <w:rPr>
                <w:noProof/>
                <w:webHidden/>
              </w:rPr>
              <w:instrText xml:space="preserve"> PAGEREF _Toc202900092 \h </w:instrText>
            </w:r>
            <w:r>
              <w:rPr>
                <w:noProof/>
                <w:webHidden/>
              </w:rPr>
            </w:r>
            <w:r>
              <w:rPr>
                <w:noProof/>
                <w:webHidden/>
              </w:rPr>
              <w:fldChar w:fldCharType="separate"/>
            </w:r>
            <w:r w:rsidR="000D75AE">
              <w:rPr>
                <w:noProof/>
                <w:webHidden/>
              </w:rPr>
              <w:t>221</w:t>
            </w:r>
            <w:r>
              <w:rPr>
                <w:noProof/>
                <w:webHidden/>
              </w:rPr>
              <w:fldChar w:fldCharType="end"/>
            </w:r>
          </w:hyperlink>
        </w:p>
        <w:p w14:paraId="2FBAA300" w14:textId="3747F042" w:rsidR="00420D51" w:rsidRDefault="00420D51">
          <w:pPr>
            <w:pStyle w:val="TOC3"/>
            <w:rPr>
              <w:rFonts w:eastAsiaTheme="minorEastAsia"/>
              <w:noProof/>
              <w:spacing w:val="0"/>
              <w:kern w:val="2"/>
              <w:sz w:val="24"/>
              <w:lang w:eastAsia="en-AU"/>
              <w14:ligatures w14:val="standardContextual"/>
            </w:rPr>
          </w:pPr>
          <w:hyperlink w:anchor="_Toc202900093" w:history="1">
            <w:r w:rsidRPr="00492332">
              <w:rPr>
                <w:rStyle w:val="Hyperlink"/>
                <w:noProof/>
              </w:rPr>
              <w:t>11.5.3</w:t>
            </w:r>
            <w:r>
              <w:rPr>
                <w:rFonts w:eastAsiaTheme="minorEastAsia"/>
                <w:noProof/>
                <w:spacing w:val="0"/>
                <w:kern w:val="2"/>
                <w:sz w:val="24"/>
                <w:lang w:eastAsia="en-AU"/>
                <w14:ligatures w14:val="standardContextual"/>
              </w:rPr>
              <w:tab/>
            </w:r>
            <w:r w:rsidRPr="00492332">
              <w:rPr>
                <w:rStyle w:val="Hyperlink"/>
                <w:noProof/>
              </w:rPr>
              <w:t>Non-Payable Outcomes</w:t>
            </w:r>
            <w:r>
              <w:rPr>
                <w:noProof/>
                <w:webHidden/>
              </w:rPr>
              <w:tab/>
            </w:r>
            <w:r>
              <w:rPr>
                <w:noProof/>
                <w:webHidden/>
              </w:rPr>
              <w:fldChar w:fldCharType="begin"/>
            </w:r>
            <w:r>
              <w:rPr>
                <w:noProof/>
                <w:webHidden/>
              </w:rPr>
              <w:instrText xml:space="preserve"> PAGEREF _Toc202900093 \h </w:instrText>
            </w:r>
            <w:r>
              <w:rPr>
                <w:noProof/>
                <w:webHidden/>
              </w:rPr>
            </w:r>
            <w:r>
              <w:rPr>
                <w:noProof/>
                <w:webHidden/>
              </w:rPr>
              <w:fldChar w:fldCharType="separate"/>
            </w:r>
            <w:r w:rsidR="000D75AE">
              <w:rPr>
                <w:noProof/>
                <w:webHidden/>
              </w:rPr>
              <w:t>224</w:t>
            </w:r>
            <w:r>
              <w:rPr>
                <w:noProof/>
                <w:webHidden/>
              </w:rPr>
              <w:fldChar w:fldCharType="end"/>
            </w:r>
          </w:hyperlink>
        </w:p>
        <w:p w14:paraId="260BF2B8" w14:textId="79A5209B" w:rsidR="00420D51" w:rsidRDefault="00420D51">
          <w:pPr>
            <w:pStyle w:val="TOC2"/>
            <w:rPr>
              <w:rFonts w:eastAsiaTheme="minorEastAsia"/>
              <w:noProof/>
              <w:spacing w:val="0"/>
              <w:kern w:val="2"/>
              <w:sz w:val="24"/>
              <w:lang w:eastAsia="en-AU"/>
              <w14:ligatures w14:val="standardContextual"/>
            </w:rPr>
          </w:pPr>
          <w:hyperlink w:anchor="_Toc202900094" w:history="1">
            <w:r w:rsidRPr="00492332">
              <w:rPr>
                <w:rStyle w:val="Hyperlink"/>
                <w:noProof/>
              </w:rPr>
              <w:t>11.6</w:t>
            </w:r>
            <w:r>
              <w:rPr>
                <w:rFonts w:eastAsiaTheme="minorEastAsia"/>
                <w:noProof/>
                <w:spacing w:val="0"/>
                <w:kern w:val="2"/>
                <w:sz w:val="24"/>
                <w:lang w:eastAsia="en-AU"/>
                <w14:ligatures w14:val="standardContextual"/>
              </w:rPr>
              <w:tab/>
            </w:r>
            <w:r w:rsidRPr="00492332">
              <w:rPr>
                <w:rStyle w:val="Hyperlink"/>
                <w:noProof/>
              </w:rPr>
              <w:t>Moderate Intellectual Disability Payment</w:t>
            </w:r>
            <w:r>
              <w:rPr>
                <w:noProof/>
                <w:webHidden/>
              </w:rPr>
              <w:tab/>
            </w:r>
            <w:r>
              <w:rPr>
                <w:noProof/>
                <w:webHidden/>
              </w:rPr>
              <w:fldChar w:fldCharType="begin"/>
            </w:r>
            <w:r>
              <w:rPr>
                <w:noProof/>
                <w:webHidden/>
              </w:rPr>
              <w:instrText xml:space="preserve"> PAGEREF _Toc202900094 \h </w:instrText>
            </w:r>
            <w:r>
              <w:rPr>
                <w:noProof/>
                <w:webHidden/>
              </w:rPr>
            </w:r>
            <w:r>
              <w:rPr>
                <w:noProof/>
                <w:webHidden/>
              </w:rPr>
              <w:fldChar w:fldCharType="separate"/>
            </w:r>
            <w:r w:rsidR="000D75AE">
              <w:rPr>
                <w:noProof/>
                <w:webHidden/>
              </w:rPr>
              <w:t>226</w:t>
            </w:r>
            <w:r>
              <w:rPr>
                <w:noProof/>
                <w:webHidden/>
              </w:rPr>
              <w:fldChar w:fldCharType="end"/>
            </w:r>
          </w:hyperlink>
        </w:p>
        <w:p w14:paraId="336B4DC4" w14:textId="671F4D5D" w:rsidR="00420D51" w:rsidRDefault="00420D51">
          <w:pPr>
            <w:pStyle w:val="TOC2"/>
            <w:rPr>
              <w:rFonts w:eastAsiaTheme="minorEastAsia"/>
              <w:noProof/>
              <w:spacing w:val="0"/>
              <w:kern w:val="2"/>
              <w:sz w:val="24"/>
              <w:lang w:eastAsia="en-AU"/>
              <w14:ligatures w14:val="standardContextual"/>
            </w:rPr>
          </w:pPr>
          <w:hyperlink w:anchor="_Toc202900095" w:history="1">
            <w:r w:rsidRPr="00492332">
              <w:rPr>
                <w:rStyle w:val="Hyperlink"/>
                <w:noProof/>
              </w:rPr>
              <w:t>11.7</w:t>
            </w:r>
            <w:r>
              <w:rPr>
                <w:rFonts w:eastAsiaTheme="minorEastAsia"/>
                <w:noProof/>
                <w:spacing w:val="0"/>
                <w:kern w:val="2"/>
                <w:sz w:val="24"/>
                <w:lang w:eastAsia="en-AU"/>
                <w14:ligatures w14:val="standardContextual"/>
              </w:rPr>
              <w:tab/>
            </w:r>
            <w:r w:rsidRPr="00492332">
              <w:rPr>
                <w:rStyle w:val="Hyperlink"/>
                <w:noProof/>
              </w:rPr>
              <w:t>Ongoing Support Fees</w:t>
            </w:r>
            <w:r>
              <w:rPr>
                <w:noProof/>
                <w:webHidden/>
              </w:rPr>
              <w:tab/>
            </w:r>
            <w:r>
              <w:rPr>
                <w:noProof/>
                <w:webHidden/>
              </w:rPr>
              <w:fldChar w:fldCharType="begin"/>
            </w:r>
            <w:r>
              <w:rPr>
                <w:noProof/>
                <w:webHidden/>
              </w:rPr>
              <w:instrText xml:space="preserve"> PAGEREF _Toc202900095 \h </w:instrText>
            </w:r>
            <w:r>
              <w:rPr>
                <w:noProof/>
                <w:webHidden/>
              </w:rPr>
            </w:r>
            <w:r>
              <w:rPr>
                <w:noProof/>
                <w:webHidden/>
              </w:rPr>
              <w:fldChar w:fldCharType="separate"/>
            </w:r>
            <w:r w:rsidR="000D75AE">
              <w:rPr>
                <w:noProof/>
                <w:webHidden/>
              </w:rPr>
              <w:t>227</w:t>
            </w:r>
            <w:r>
              <w:rPr>
                <w:noProof/>
                <w:webHidden/>
              </w:rPr>
              <w:fldChar w:fldCharType="end"/>
            </w:r>
          </w:hyperlink>
        </w:p>
        <w:p w14:paraId="369338A3" w14:textId="0872B16E" w:rsidR="00420D51" w:rsidRDefault="00420D51">
          <w:pPr>
            <w:pStyle w:val="TOC3"/>
            <w:rPr>
              <w:rFonts w:eastAsiaTheme="minorEastAsia"/>
              <w:noProof/>
              <w:spacing w:val="0"/>
              <w:kern w:val="2"/>
              <w:sz w:val="24"/>
              <w:lang w:eastAsia="en-AU"/>
              <w14:ligatures w14:val="standardContextual"/>
            </w:rPr>
          </w:pPr>
          <w:hyperlink w:anchor="_Toc202900096" w:history="1">
            <w:r w:rsidRPr="00492332">
              <w:rPr>
                <w:rStyle w:val="Hyperlink"/>
                <w:noProof/>
              </w:rPr>
              <w:t>11.7.1</w:t>
            </w:r>
            <w:r>
              <w:rPr>
                <w:rFonts w:eastAsiaTheme="minorEastAsia"/>
                <w:noProof/>
                <w:spacing w:val="0"/>
                <w:kern w:val="2"/>
                <w:sz w:val="24"/>
                <w:lang w:eastAsia="en-AU"/>
                <w14:ligatures w14:val="standardContextual"/>
              </w:rPr>
              <w:tab/>
            </w:r>
            <w:r w:rsidRPr="00492332">
              <w:rPr>
                <w:rStyle w:val="Hyperlink"/>
                <w:noProof/>
              </w:rPr>
              <w:t>Eligibility for Ongoing Support Fees</w:t>
            </w:r>
            <w:r>
              <w:rPr>
                <w:noProof/>
                <w:webHidden/>
              </w:rPr>
              <w:tab/>
            </w:r>
            <w:r>
              <w:rPr>
                <w:noProof/>
                <w:webHidden/>
              </w:rPr>
              <w:fldChar w:fldCharType="begin"/>
            </w:r>
            <w:r>
              <w:rPr>
                <w:noProof/>
                <w:webHidden/>
              </w:rPr>
              <w:instrText xml:space="preserve"> PAGEREF _Toc202900096 \h </w:instrText>
            </w:r>
            <w:r>
              <w:rPr>
                <w:noProof/>
                <w:webHidden/>
              </w:rPr>
            </w:r>
            <w:r>
              <w:rPr>
                <w:noProof/>
                <w:webHidden/>
              </w:rPr>
              <w:fldChar w:fldCharType="separate"/>
            </w:r>
            <w:r w:rsidR="000D75AE">
              <w:rPr>
                <w:noProof/>
                <w:webHidden/>
              </w:rPr>
              <w:t>227</w:t>
            </w:r>
            <w:r>
              <w:rPr>
                <w:noProof/>
                <w:webHidden/>
              </w:rPr>
              <w:fldChar w:fldCharType="end"/>
            </w:r>
          </w:hyperlink>
        </w:p>
        <w:p w14:paraId="48F09649" w14:textId="223BE839" w:rsidR="00420D51" w:rsidRDefault="00420D51">
          <w:pPr>
            <w:pStyle w:val="TOC3"/>
            <w:rPr>
              <w:rFonts w:eastAsiaTheme="minorEastAsia"/>
              <w:noProof/>
              <w:spacing w:val="0"/>
              <w:kern w:val="2"/>
              <w:sz w:val="24"/>
              <w:lang w:eastAsia="en-AU"/>
              <w14:ligatures w14:val="standardContextual"/>
            </w:rPr>
          </w:pPr>
          <w:hyperlink w:anchor="_Toc202900097" w:history="1">
            <w:r w:rsidRPr="00492332">
              <w:rPr>
                <w:rStyle w:val="Hyperlink"/>
                <w:noProof/>
              </w:rPr>
              <w:t>11.7.2</w:t>
            </w:r>
            <w:r>
              <w:rPr>
                <w:rFonts w:eastAsiaTheme="minorEastAsia"/>
                <w:noProof/>
                <w:spacing w:val="0"/>
                <w:kern w:val="2"/>
                <w:sz w:val="24"/>
                <w:lang w:eastAsia="en-AU"/>
                <w14:ligatures w14:val="standardContextual"/>
              </w:rPr>
              <w:tab/>
            </w:r>
            <w:r w:rsidRPr="00492332">
              <w:rPr>
                <w:rStyle w:val="Hyperlink"/>
                <w:noProof/>
              </w:rPr>
              <w:t>Payment of Ongoing Support Fees</w:t>
            </w:r>
            <w:r>
              <w:rPr>
                <w:noProof/>
                <w:webHidden/>
              </w:rPr>
              <w:tab/>
            </w:r>
            <w:r>
              <w:rPr>
                <w:noProof/>
                <w:webHidden/>
              </w:rPr>
              <w:fldChar w:fldCharType="begin"/>
            </w:r>
            <w:r>
              <w:rPr>
                <w:noProof/>
                <w:webHidden/>
              </w:rPr>
              <w:instrText xml:space="preserve"> PAGEREF _Toc202900097 \h </w:instrText>
            </w:r>
            <w:r>
              <w:rPr>
                <w:noProof/>
                <w:webHidden/>
              </w:rPr>
            </w:r>
            <w:r>
              <w:rPr>
                <w:noProof/>
                <w:webHidden/>
              </w:rPr>
              <w:fldChar w:fldCharType="separate"/>
            </w:r>
            <w:r w:rsidR="000D75AE">
              <w:rPr>
                <w:noProof/>
                <w:webHidden/>
              </w:rPr>
              <w:t>227</w:t>
            </w:r>
            <w:r>
              <w:rPr>
                <w:noProof/>
                <w:webHidden/>
              </w:rPr>
              <w:fldChar w:fldCharType="end"/>
            </w:r>
          </w:hyperlink>
        </w:p>
        <w:p w14:paraId="50C25CE3" w14:textId="007A81DC" w:rsidR="00420D51" w:rsidRDefault="00420D51">
          <w:pPr>
            <w:pStyle w:val="TOC1"/>
            <w:tabs>
              <w:tab w:val="left" w:pos="1540"/>
            </w:tabs>
            <w:rPr>
              <w:rFonts w:eastAsiaTheme="minorEastAsia"/>
              <w:b w:val="0"/>
              <w:noProof/>
              <w:color w:val="auto"/>
              <w:spacing w:val="0"/>
              <w:kern w:val="2"/>
              <w:sz w:val="24"/>
              <w:lang w:eastAsia="en-AU"/>
              <w14:ligatures w14:val="standardContextual"/>
            </w:rPr>
          </w:pPr>
          <w:hyperlink w:anchor="_Toc202900098" w:history="1">
            <w:r w:rsidRPr="00492332">
              <w:rPr>
                <w:rStyle w:val="Hyperlink"/>
                <w:noProof/>
              </w:rPr>
              <w:t>Chapter 12:</w:t>
            </w:r>
            <w:r>
              <w:rPr>
                <w:rFonts w:eastAsiaTheme="minorEastAsia"/>
                <w:b w:val="0"/>
                <w:noProof/>
                <w:color w:val="auto"/>
                <w:spacing w:val="0"/>
                <w:kern w:val="2"/>
                <w:sz w:val="24"/>
                <w:lang w:eastAsia="en-AU"/>
                <w14:ligatures w14:val="standardContextual"/>
              </w:rPr>
              <w:tab/>
            </w:r>
            <w:r w:rsidRPr="00492332">
              <w:rPr>
                <w:rStyle w:val="Hyperlink"/>
                <w:noProof/>
              </w:rPr>
              <w:t>Compliance</w:t>
            </w:r>
            <w:r>
              <w:rPr>
                <w:noProof/>
                <w:webHidden/>
              </w:rPr>
              <w:tab/>
            </w:r>
            <w:r>
              <w:rPr>
                <w:noProof/>
                <w:webHidden/>
              </w:rPr>
              <w:fldChar w:fldCharType="begin"/>
            </w:r>
            <w:r>
              <w:rPr>
                <w:noProof/>
                <w:webHidden/>
              </w:rPr>
              <w:instrText xml:space="preserve"> PAGEREF _Toc202900098 \h </w:instrText>
            </w:r>
            <w:r>
              <w:rPr>
                <w:noProof/>
                <w:webHidden/>
              </w:rPr>
            </w:r>
            <w:r>
              <w:rPr>
                <w:noProof/>
                <w:webHidden/>
              </w:rPr>
              <w:fldChar w:fldCharType="separate"/>
            </w:r>
            <w:r w:rsidR="000D75AE">
              <w:rPr>
                <w:noProof/>
                <w:webHidden/>
              </w:rPr>
              <w:t>231</w:t>
            </w:r>
            <w:r>
              <w:rPr>
                <w:noProof/>
                <w:webHidden/>
              </w:rPr>
              <w:fldChar w:fldCharType="end"/>
            </w:r>
          </w:hyperlink>
        </w:p>
        <w:p w14:paraId="4B725FA8" w14:textId="0B170C30" w:rsidR="00420D51" w:rsidRDefault="00420D51">
          <w:pPr>
            <w:pStyle w:val="TOC2"/>
            <w:rPr>
              <w:rFonts w:eastAsiaTheme="minorEastAsia"/>
              <w:noProof/>
              <w:spacing w:val="0"/>
              <w:kern w:val="2"/>
              <w:sz w:val="24"/>
              <w:lang w:eastAsia="en-AU"/>
              <w14:ligatures w14:val="standardContextual"/>
            </w:rPr>
          </w:pPr>
          <w:hyperlink w:anchor="_Toc202900099" w:history="1">
            <w:r w:rsidRPr="00492332">
              <w:rPr>
                <w:rStyle w:val="Hyperlink"/>
                <w:noProof/>
              </w:rPr>
              <w:t>12.1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_Toc202900099 \h </w:instrText>
            </w:r>
            <w:r>
              <w:rPr>
                <w:noProof/>
                <w:webHidden/>
              </w:rPr>
            </w:r>
            <w:r>
              <w:rPr>
                <w:noProof/>
                <w:webHidden/>
              </w:rPr>
              <w:fldChar w:fldCharType="separate"/>
            </w:r>
            <w:r w:rsidR="000D75AE">
              <w:rPr>
                <w:noProof/>
                <w:webHidden/>
              </w:rPr>
              <w:t>231</w:t>
            </w:r>
            <w:r>
              <w:rPr>
                <w:noProof/>
                <w:webHidden/>
              </w:rPr>
              <w:fldChar w:fldCharType="end"/>
            </w:r>
          </w:hyperlink>
        </w:p>
        <w:p w14:paraId="7DCC9F25" w14:textId="317D7D84" w:rsidR="00420D51" w:rsidRDefault="00420D51">
          <w:pPr>
            <w:pStyle w:val="TOC2"/>
            <w:rPr>
              <w:rFonts w:eastAsiaTheme="minorEastAsia"/>
              <w:noProof/>
              <w:spacing w:val="0"/>
              <w:kern w:val="2"/>
              <w:sz w:val="24"/>
              <w:lang w:eastAsia="en-AU"/>
              <w14:ligatures w14:val="standardContextual"/>
            </w:rPr>
          </w:pPr>
          <w:hyperlink w:anchor="_Toc202900100" w:history="1">
            <w:r w:rsidRPr="00492332">
              <w:rPr>
                <w:rStyle w:val="Hyperlink"/>
                <w:noProof/>
              </w:rPr>
              <w:t>12.2</w:t>
            </w:r>
            <w:r>
              <w:rPr>
                <w:rFonts w:eastAsiaTheme="minorEastAsia"/>
                <w:noProof/>
                <w:spacing w:val="0"/>
                <w:kern w:val="2"/>
                <w:sz w:val="24"/>
                <w:lang w:eastAsia="en-AU"/>
                <w14:ligatures w14:val="standardContextual"/>
              </w:rPr>
              <w:tab/>
            </w:r>
            <w:r w:rsidRPr="00492332">
              <w:rPr>
                <w:rStyle w:val="Hyperlink"/>
                <w:noProof/>
              </w:rPr>
              <w:t>Steps when a Participant has failed to meet the Meaningful Engagement Requirement</w:t>
            </w:r>
            <w:r>
              <w:rPr>
                <w:noProof/>
                <w:webHidden/>
              </w:rPr>
              <w:tab/>
            </w:r>
            <w:r>
              <w:rPr>
                <w:noProof/>
                <w:webHidden/>
              </w:rPr>
              <w:fldChar w:fldCharType="begin"/>
            </w:r>
            <w:r>
              <w:rPr>
                <w:noProof/>
                <w:webHidden/>
              </w:rPr>
              <w:instrText xml:space="preserve"> PAGEREF _Toc202900100 \h </w:instrText>
            </w:r>
            <w:r>
              <w:rPr>
                <w:noProof/>
                <w:webHidden/>
              </w:rPr>
            </w:r>
            <w:r>
              <w:rPr>
                <w:noProof/>
                <w:webHidden/>
              </w:rPr>
              <w:fldChar w:fldCharType="separate"/>
            </w:r>
            <w:r w:rsidR="000D75AE">
              <w:rPr>
                <w:noProof/>
                <w:webHidden/>
              </w:rPr>
              <w:t>232</w:t>
            </w:r>
            <w:r>
              <w:rPr>
                <w:noProof/>
                <w:webHidden/>
              </w:rPr>
              <w:fldChar w:fldCharType="end"/>
            </w:r>
          </w:hyperlink>
        </w:p>
        <w:p w14:paraId="2E025CF5" w14:textId="433291AD" w:rsidR="00420D51" w:rsidRDefault="00420D51">
          <w:pPr>
            <w:pStyle w:val="TOC3"/>
            <w:rPr>
              <w:rFonts w:eastAsiaTheme="minorEastAsia"/>
              <w:noProof/>
              <w:spacing w:val="0"/>
              <w:kern w:val="2"/>
              <w:sz w:val="24"/>
              <w:lang w:eastAsia="en-AU"/>
              <w14:ligatures w14:val="standardContextual"/>
            </w:rPr>
          </w:pPr>
          <w:hyperlink w:anchor="_Toc202900101" w:history="1">
            <w:r w:rsidRPr="00492332">
              <w:rPr>
                <w:rStyle w:val="Hyperlink"/>
                <w:noProof/>
              </w:rPr>
              <w:t>12.2.1</w:t>
            </w:r>
            <w:r>
              <w:rPr>
                <w:rFonts w:eastAsiaTheme="minorEastAsia"/>
                <w:noProof/>
                <w:spacing w:val="0"/>
                <w:kern w:val="2"/>
                <w:sz w:val="24"/>
                <w:lang w:eastAsia="en-AU"/>
                <w14:ligatures w14:val="standardContextual"/>
              </w:rPr>
              <w:tab/>
            </w:r>
            <w:r w:rsidRPr="00492332">
              <w:rPr>
                <w:rStyle w:val="Hyperlink"/>
                <w:noProof/>
              </w:rPr>
              <w:t>Reasonable attempts</w:t>
            </w:r>
            <w:r>
              <w:rPr>
                <w:noProof/>
                <w:webHidden/>
              </w:rPr>
              <w:tab/>
            </w:r>
            <w:r>
              <w:rPr>
                <w:noProof/>
                <w:webHidden/>
              </w:rPr>
              <w:fldChar w:fldCharType="begin"/>
            </w:r>
            <w:r>
              <w:rPr>
                <w:noProof/>
                <w:webHidden/>
              </w:rPr>
              <w:instrText xml:space="preserve"> PAGEREF _Toc202900101 \h </w:instrText>
            </w:r>
            <w:r>
              <w:rPr>
                <w:noProof/>
                <w:webHidden/>
              </w:rPr>
            </w:r>
            <w:r>
              <w:rPr>
                <w:noProof/>
                <w:webHidden/>
              </w:rPr>
              <w:fldChar w:fldCharType="separate"/>
            </w:r>
            <w:r w:rsidR="000D75AE">
              <w:rPr>
                <w:noProof/>
                <w:webHidden/>
              </w:rPr>
              <w:t>233</w:t>
            </w:r>
            <w:r>
              <w:rPr>
                <w:noProof/>
                <w:webHidden/>
              </w:rPr>
              <w:fldChar w:fldCharType="end"/>
            </w:r>
          </w:hyperlink>
        </w:p>
        <w:p w14:paraId="2BB4E910" w14:textId="3EE1B9FC" w:rsidR="00420D51" w:rsidRDefault="00420D51">
          <w:pPr>
            <w:pStyle w:val="TOC3"/>
            <w:rPr>
              <w:rFonts w:eastAsiaTheme="minorEastAsia"/>
              <w:noProof/>
              <w:spacing w:val="0"/>
              <w:kern w:val="2"/>
              <w:sz w:val="24"/>
              <w:lang w:eastAsia="en-AU"/>
              <w14:ligatures w14:val="standardContextual"/>
            </w:rPr>
          </w:pPr>
          <w:hyperlink w:anchor="_Toc202900102" w:history="1">
            <w:r w:rsidRPr="00492332">
              <w:rPr>
                <w:rStyle w:val="Hyperlink"/>
                <w:noProof/>
              </w:rPr>
              <w:t>12.2.2</w:t>
            </w:r>
            <w:r>
              <w:rPr>
                <w:rFonts w:eastAsiaTheme="minorEastAsia"/>
                <w:noProof/>
                <w:spacing w:val="0"/>
                <w:kern w:val="2"/>
                <w:sz w:val="24"/>
                <w:lang w:eastAsia="en-AU"/>
                <w14:ligatures w14:val="standardContextual"/>
              </w:rPr>
              <w:tab/>
            </w:r>
            <w:r w:rsidRPr="00492332">
              <w:rPr>
                <w:rStyle w:val="Hyperlink"/>
                <w:noProof/>
              </w:rPr>
              <w:t>Compellable Contact Appointment</w:t>
            </w:r>
            <w:r>
              <w:rPr>
                <w:noProof/>
                <w:webHidden/>
              </w:rPr>
              <w:tab/>
            </w:r>
            <w:r>
              <w:rPr>
                <w:noProof/>
                <w:webHidden/>
              </w:rPr>
              <w:fldChar w:fldCharType="begin"/>
            </w:r>
            <w:r>
              <w:rPr>
                <w:noProof/>
                <w:webHidden/>
              </w:rPr>
              <w:instrText xml:space="preserve"> PAGEREF _Toc202900102 \h </w:instrText>
            </w:r>
            <w:r>
              <w:rPr>
                <w:noProof/>
                <w:webHidden/>
              </w:rPr>
            </w:r>
            <w:r>
              <w:rPr>
                <w:noProof/>
                <w:webHidden/>
              </w:rPr>
              <w:fldChar w:fldCharType="separate"/>
            </w:r>
            <w:r w:rsidR="000D75AE">
              <w:rPr>
                <w:noProof/>
                <w:webHidden/>
              </w:rPr>
              <w:t>234</w:t>
            </w:r>
            <w:r>
              <w:rPr>
                <w:noProof/>
                <w:webHidden/>
              </w:rPr>
              <w:fldChar w:fldCharType="end"/>
            </w:r>
          </w:hyperlink>
        </w:p>
        <w:p w14:paraId="565DDE48" w14:textId="059C5F0F" w:rsidR="00420D51" w:rsidRDefault="00420D51">
          <w:pPr>
            <w:pStyle w:val="TOC2"/>
            <w:rPr>
              <w:rFonts w:eastAsiaTheme="minorEastAsia"/>
              <w:noProof/>
              <w:spacing w:val="0"/>
              <w:kern w:val="2"/>
              <w:sz w:val="24"/>
              <w:lang w:eastAsia="en-AU"/>
              <w14:ligatures w14:val="standardContextual"/>
            </w:rPr>
          </w:pPr>
          <w:hyperlink w:anchor="_Toc202900103" w:history="1">
            <w:r w:rsidRPr="00492332">
              <w:rPr>
                <w:rStyle w:val="Hyperlink"/>
                <w:noProof/>
              </w:rPr>
              <w:t>12.3</w:t>
            </w:r>
            <w:r>
              <w:rPr>
                <w:rFonts w:eastAsiaTheme="minorEastAsia"/>
                <w:noProof/>
                <w:spacing w:val="0"/>
                <w:kern w:val="2"/>
                <w:sz w:val="24"/>
                <w:lang w:eastAsia="en-AU"/>
                <w14:ligatures w14:val="standardContextual"/>
              </w:rPr>
              <w:tab/>
            </w:r>
            <w:r w:rsidRPr="00492332">
              <w:rPr>
                <w:rStyle w:val="Hyperlink"/>
                <w:noProof/>
              </w:rPr>
              <w:t>Targeted Compliance Framework</w:t>
            </w:r>
            <w:r>
              <w:rPr>
                <w:noProof/>
                <w:webHidden/>
              </w:rPr>
              <w:tab/>
            </w:r>
            <w:r>
              <w:rPr>
                <w:noProof/>
                <w:webHidden/>
              </w:rPr>
              <w:fldChar w:fldCharType="begin"/>
            </w:r>
            <w:r>
              <w:rPr>
                <w:noProof/>
                <w:webHidden/>
              </w:rPr>
              <w:instrText xml:space="preserve"> PAGEREF _Toc202900103 \h </w:instrText>
            </w:r>
            <w:r>
              <w:rPr>
                <w:noProof/>
                <w:webHidden/>
              </w:rPr>
            </w:r>
            <w:r>
              <w:rPr>
                <w:noProof/>
                <w:webHidden/>
              </w:rPr>
              <w:fldChar w:fldCharType="separate"/>
            </w:r>
            <w:r w:rsidR="000D75AE">
              <w:rPr>
                <w:noProof/>
                <w:webHidden/>
              </w:rPr>
              <w:t>235</w:t>
            </w:r>
            <w:r>
              <w:rPr>
                <w:noProof/>
                <w:webHidden/>
              </w:rPr>
              <w:fldChar w:fldCharType="end"/>
            </w:r>
          </w:hyperlink>
        </w:p>
        <w:p w14:paraId="6A255755" w14:textId="5DC393BC" w:rsidR="00420D51" w:rsidRDefault="00420D51">
          <w:pPr>
            <w:pStyle w:val="TOC3"/>
            <w:rPr>
              <w:rFonts w:eastAsiaTheme="minorEastAsia"/>
              <w:noProof/>
              <w:spacing w:val="0"/>
              <w:kern w:val="2"/>
              <w:sz w:val="24"/>
              <w:lang w:eastAsia="en-AU"/>
              <w14:ligatures w14:val="standardContextual"/>
            </w:rPr>
          </w:pPr>
          <w:hyperlink w:anchor="_Toc202900104" w:history="1">
            <w:r w:rsidRPr="00492332">
              <w:rPr>
                <w:rStyle w:val="Hyperlink"/>
                <w:noProof/>
              </w:rPr>
              <w:t>12.3.1</w:t>
            </w:r>
            <w:r>
              <w:rPr>
                <w:rFonts w:eastAsiaTheme="minorEastAsia"/>
                <w:noProof/>
                <w:spacing w:val="0"/>
                <w:kern w:val="2"/>
                <w:sz w:val="24"/>
                <w:lang w:eastAsia="en-AU"/>
                <w14:ligatures w14:val="standardContextual"/>
              </w:rPr>
              <w:tab/>
            </w:r>
            <w:r w:rsidRPr="00492332">
              <w:rPr>
                <w:rStyle w:val="Hyperlink"/>
                <w:noProof/>
              </w:rPr>
              <w:t>Provider Obligations</w:t>
            </w:r>
            <w:r>
              <w:rPr>
                <w:noProof/>
                <w:webHidden/>
              </w:rPr>
              <w:tab/>
            </w:r>
            <w:r>
              <w:rPr>
                <w:noProof/>
                <w:webHidden/>
              </w:rPr>
              <w:fldChar w:fldCharType="begin"/>
            </w:r>
            <w:r>
              <w:rPr>
                <w:noProof/>
                <w:webHidden/>
              </w:rPr>
              <w:instrText xml:space="preserve"> PAGEREF _Toc202900104 \h </w:instrText>
            </w:r>
            <w:r>
              <w:rPr>
                <w:noProof/>
                <w:webHidden/>
              </w:rPr>
            </w:r>
            <w:r>
              <w:rPr>
                <w:noProof/>
                <w:webHidden/>
              </w:rPr>
              <w:fldChar w:fldCharType="separate"/>
            </w:r>
            <w:r w:rsidR="000D75AE">
              <w:rPr>
                <w:noProof/>
                <w:webHidden/>
              </w:rPr>
              <w:t>237</w:t>
            </w:r>
            <w:r>
              <w:rPr>
                <w:noProof/>
                <w:webHidden/>
              </w:rPr>
              <w:fldChar w:fldCharType="end"/>
            </w:r>
          </w:hyperlink>
        </w:p>
        <w:p w14:paraId="3594364A" w14:textId="2302128A" w:rsidR="00420D51" w:rsidRDefault="00420D51">
          <w:pPr>
            <w:pStyle w:val="TOC2"/>
            <w:rPr>
              <w:rFonts w:eastAsiaTheme="minorEastAsia"/>
              <w:noProof/>
              <w:spacing w:val="0"/>
              <w:kern w:val="2"/>
              <w:sz w:val="24"/>
              <w:lang w:eastAsia="en-AU"/>
              <w14:ligatures w14:val="standardContextual"/>
            </w:rPr>
          </w:pPr>
          <w:hyperlink w:anchor="_Toc202900105" w:history="1">
            <w:r w:rsidRPr="00492332">
              <w:rPr>
                <w:rStyle w:val="Hyperlink"/>
                <w:noProof/>
              </w:rPr>
              <w:t>12.4</w:t>
            </w:r>
            <w:r>
              <w:rPr>
                <w:rFonts w:eastAsiaTheme="minorEastAsia"/>
                <w:noProof/>
                <w:spacing w:val="0"/>
                <w:kern w:val="2"/>
                <w:sz w:val="24"/>
                <w:lang w:eastAsia="en-AU"/>
                <w14:ligatures w14:val="standardContextual"/>
              </w:rPr>
              <w:tab/>
            </w:r>
            <w:r w:rsidRPr="00492332">
              <w:rPr>
                <w:rStyle w:val="Hyperlink"/>
                <w:noProof/>
              </w:rPr>
              <w:t>Compliance actions - Mutual Obligation Failures</w:t>
            </w:r>
            <w:r>
              <w:rPr>
                <w:noProof/>
                <w:webHidden/>
              </w:rPr>
              <w:tab/>
            </w:r>
            <w:r>
              <w:rPr>
                <w:noProof/>
                <w:webHidden/>
              </w:rPr>
              <w:fldChar w:fldCharType="begin"/>
            </w:r>
            <w:r>
              <w:rPr>
                <w:noProof/>
                <w:webHidden/>
              </w:rPr>
              <w:instrText xml:space="preserve"> PAGEREF _Toc202900105 \h </w:instrText>
            </w:r>
            <w:r>
              <w:rPr>
                <w:noProof/>
                <w:webHidden/>
              </w:rPr>
            </w:r>
            <w:r>
              <w:rPr>
                <w:noProof/>
                <w:webHidden/>
              </w:rPr>
              <w:fldChar w:fldCharType="separate"/>
            </w:r>
            <w:r w:rsidR="000D75AE">
              <w:rPr>
                <w:noProof/>
                <w:webHidden/>
              </w:rPr>
              <w:t>240</w:t>
            </w:r>
            <w:r>
              <w:rPr>
                <w:noProof/>
                <w:webHidden/>
              </w:rPr>
              <w:fldChar w:fldCharType="end"/>
            </w:r>
          </w:hyperlink>
        </w:p>
        <w:p w14:paraId="11F389A1" w14:textId="370E49FB" w:rsidR="00420D51" w:rsidRDefault="00420D51">
          <w:pPr>
            <w:pStyle w:val="TOC3"/>
            <w:rPr>
              <w:rFonts w:eastAsiaTheme="minorEastAsia"/>
              <w:noProof/>
              <w:spacing w:val="0"/>
              <w:kern w:val="2"/>
              <w:sz w:val="24"/>
              <w:lang w:eastAsia="en-AU"/>
              <w14:ligatures w14:val="standardContextual"/>
            </w:rPr>
          </w:pPr>
          <w:hyperlink w:anchor="_Toc202900106" w:history="1">
            <w:r w:rsidRPr="00492332">
              <w:rPr>
                <w:rStyle w:val="Hyperlink"/>
                <w:noProof/>
              </w:rPr>
              <w:t>12.4.1</w:t>
            </w:r>
            <w:r>
              <w:rPr>
                <w:rFonts w:eastAsiaTheme="minorEastAsia"/>
                <w:noProof/>
                <w:spacing w:val="0"/>
                <w:kern w:val="2"/>
                <w:sz w:val="24"/>
                <w:lang w:eastAsia="en-AU"/>
                <w14:ligatures w14:val="standardContextual"/>
              </w:rPr>
              <w:tab/>
            </w:r>
            <w:r w:rsidRPr="00492332">
              <w:rPr>
                <w:rStyle w:val="Hyperlink"/>
                <w:noProof/>
              </w:rPr>
              <w:t>What are Mutual Obligation Failures</w:t>
            </w:r>
            <w:r>
              <w:rPr>
                <w:noProof/>
                <w:webHidden/>
              </w:rPr>
              <w:tab/>
            </w:r>
            <w:r>
              <w:rPr>
                <w:noProof/>
                <w:webHidden/>
              </w:rPr>
              <w:fldChar w:fldCharType="begin"/>
            </w:r>
            <w:r>
              <w:rPr>
                <w:noProof/>
                <w:webHidden/>
              </w:rPr>
              <w:instrText xml:space="preserve"> PAGEREF _Toc202900106 \h </w:instrText>
            </w:r>
            <w:r>
              <w:rPr>
                <w:noProof/>
                <w:webHidden/>
              </w:rPr>
            </w:r>
            <w:r>
              <w:rPr>
                <w:noProof/>
                <w:webHidden/>
              </w:rPr>
              <w:fldChar w:fldCharType="separate"/>
            </w:r>
            <w:r w:rsidR="000D75AE">
              <w:rPr>
                <w:noProof/>
                <w:webHidden/>
              </w:rPr>
              <w:t>240</w:t>
            </w:r>
            <w:r>
              <w:rPr>
                <w:noProof/>
                <w:webHidden/>
              </w:rPr>
              <w:fldChar w:fldCharType="end"/>
            </w:r>
          </w:hyperlink>
        </w:p>
        <w:p w14:paraId="46F3A9AC" w14:textId="0338987F" w:rsidR="00420D51" w:rsidRDefault="00420D51">
          <w:pPr>
            <w:pStyle w:val="TOC3"/>
            <w:rPr>
              <w:rFonts w:eastAsiaTheme="minorEastAsia"/>
              <w:noProof/>
              <w:spacing w:val="0"/>
              <w:kern w:val="2"/>
              <w:sz w:val="24"/>
              <w:lang w:eastAsia="en-AU"/>
              <w14:ligatures w14:val="standardContextual"/>
            </w:rPr>
          </w:pPr>
          <w:hyperlink w:anchor="_Toc202900107" w:history="1">
            <w:r w:rsidRPr="00492332">
              <w:rPr>
                <w:rStyle w:val="Hyperlink"/>
                <w:noProof/>
              </w:rPr>
              <w:t>12.4.2</w:t>
            </w:r>
            <w:r>
              <w:rPr>
                <w:rFonts w:eastAsiaTheme="minorEastAsia"/>
                <w:noProof/>
                <w:spacing w:val="0"/>
                <w:kern w:val="2"/>
                <w:sz w:val="24"/>
                <w:lang w:eastAsia="en-AU"/>
                <w14:ligatures w14:val="standardContextual"/>
              </w:rPr>
              <w:tab/>
            </w:r>
            <w:r w:rsidRPr="00492332">
              <w:rPr>
                <w:rStyle w:val="Hyperlink"/>
                <w:noProof/>
              </w:rPr>
              <w:t>Identifying Mutual Obligation Failures</w:t>
            </w:r>
            <w:r>
              <w:rPr>
                <w:noProof/>
                <w:webHidden/>
              </w:rPr>
              <w:tab/>
            </w:r>
            <w:r>
              <w:rPr>
                <w:noProof/>
                <w:webHidden/>
              </w:rPr>
              <w:fldChar w:fldCharType="begin"/>
            </w:r>
            <w:r>
              <w:rPr>
                <w:noProof/>
                <w:webHidden/>
              </w:rPr>
              <w:instrText xml:space="preserve"> PAGEREF _Toc202900107 \h </w:instrText>
            </w:r>
            <w:r>
              <w:rPr>
                <w:noProof/>
                <w:webHidden/>
              </w:rPr>
            </w:r>
            <w:r>
              <w:rPr>
                <w:noProof/>
                <w:webHidden/>
              </w:rPr>
              <w:fldChar w:fldCharType="separate"/>
            </w:r>
            <w:r w:rsidR="000D75AE">
              <w:rPr>
                <w:noProof/>
                <w:webHidden/>
              </w:rPr>
              <w:t>241</w:t>
            </w:r>
            <w:r>
              <w:rPr>
                <w:noProof/>
                <w:webHidden/>
              </w:rPr>
              <w:fldChar w:fldCharType="end"/>
            </w:r>
          </w:hyperlink>
        </w:p>
        <w:p w14:paraId="0CC11091" w14:textId="11FFC672" w:rsidR="00420D51" w:rsidRDefault="00420D51">
          <w:pPr>
            <w:pStyle w:val="TOC3"/>
            <w:rPr>
              <w:rFonts w:eastAsiaTheme="minorEastAsia"/>
              <w:noProof/>
              <w:spacing w:val="0"/>
              <w:kern w:val="2"/>
              <w:sz w:val="24"/>
              <w:lang w:eastAsia="en-AU"/>
              <w14:ligatures w14:val="standardContextual"/>
            </w:rPr>
          </w:pPr>
          <w:hyperlink w:anchor="_Toc202900108" w:history="1">
            <w:r w:rsidRPr="00492332">
              <w:rPr>
                <w:rStyle w:val="Hyperlink"/>
                <w:noProof/>
              </w:rPr>
              <w:t>12.4.3</w:t>
            </w:r>
            <w:r>
              <w:rPr>
                <w:rFonts w:eastAsiaTheme="minorEastAsia"/>
                <w:noProof/>
                <w:spacing w:val="0"/>
                <w:kern w:val="2"/>
                <w:sz w:val="24"/>
                <w:lang w:eastAsia="en-AU"/>
                <w14:ligatures w14:val="standardContextual"/>
              </w:rPr>
              <w:tab/>
            </w:r>
            <w:r w:rsidRPr="00492332">
              <w:rPr>
                <w:rStyle w:val="Hyperlink"/>
                <w:noProof/>
              </w:rPr>
              <w:t>Recording if a Participant had a Valid Reason</w:t>
            </w:r>
            <w:r>
              <w:rPr>
                <w:noProof/>
                <w:webHidden/>
              </w:rPr>
              <w:tab/>
            </w:r>
            <w:r>
              <w:rPr>
                <w:noProof/>
                <w:webHidden/>
              </w:rPr>
              <w:fldChar w:fldCharType="begin"/>
            </w:r>
            <w:r>
              <w:rPr>
                <w:noProof/>
                <w:webHidden/>
              </w:rPr>
              <w:instrText xml:space="preserve"> PAGEREF _Toc202900108 \h </w:instrText>
            </w:r>
            <w:r>
              <w:rPr>
                <w:noProof/>
                <w:webHidden/>
              </w:rPr>
            </w:r>
            <w:r>
              <w:rPr>
                <w:noProof/>
                <w:webHidden/>
              </w:rPr>
              <w:fldChar w:fldCharType="separate"/>
            </w:r>
            <w:r w:rsidR="000D75AE">
              <w:rPr>
                <w:noProof/>
                <w:webHidden/>
              </w:rPr>
              <w:t>245</w:t>
            </w:r>
            <w:r>
              <w:rPr>
                <w:noProof/>
                <w:webHidden/>
              </w:rPr>
              <w:fldChar w:fldCharType="end"/>
            </w:r>
          </w:hyperlink>
        </w:p>
        <w:p w14:paraId="65A53F6C" w14:textId="404F7D7B" w:rsidR="00420D51" w:rsidRDefault="00420D51">
          <w:pPr>
            <w:pStyle w:val="TOC3"/>
            <w:rPr>
              <w:rFonts w:eastAsiaTheme="minorEastAsia"/>
              <w:noProof/>
              <w:spacing w:val="0"/>
              <w:kern w:val="2"/>
              <w:sz w:val="24"/>
              <w:lang w:eastAsia="en-AU"/>
              <w14:ligatures w14:val="standardContextual"/>
            </w:rPr>
          </w:pPr>
          <w:hyperlink w:anchor="_Toc202900109" w:history="1">
            <w:r w:rsidRPr="00492332">
              <w:rPr>
                <w:rStyle w:val="Hyperlink"/>
                <w:noProof/>
              </w:rPr>
              <w:t>12.4.4</w:t>
            </w:r>
            <w:r>
              <w:rPr>
                <w:rFonts w:eastAsiaTheme="minorEastAsia"/>
                <w:noProof/>
                <w:spacing w:val="0"/>
                <w:kern w:val="2"/>
                <w:sz w:val="24"/>
                <w:lang w:eastAsia="en-AU"/>
                <w14:ligatures w14:val="standardContextual"/>
              </w:rPr>
              <w:tab/>
            </w:r>
            <w:r w:rsidRPr="00492332">
              <w:rPr>
                <w:rStyle w:val="Hyperlink"/>
                <w:noProof/>
              </w:rPr>
              <w:t>Reporting Mutual Obligation Failures</w:t>
            </w:r>
            <w:r>
              <w:rPr>
                <w:noProof/>
                <w:webHidden/>
              </w:rPr>
              <w:tab/>
            </w:r>
            <w:r>
              <w:rPr>
                <w:noProof/>
                <w:webHidden/>
              </w:rPr>
              <w:fldChar w:fldCharType="begin"/>
            </w:r>
            <w:r>
              <w:rPr>
                <w:noProof/>
                <w:webHidden/>
              </w:rPr>
              <w:instrText xml:space="preserve"> PAGEREF _Toc202900109 \h </w:instrText>
            </w:r>
            <w:r>
              <w:rPr>
                <w:noProof/>
                <w:webHidden/>
              </w:rPr>
            </w:r>
            <w:r>
              <w:rPr>
                <w:noProof/>
                <w:webHidden/>
              </w:rPr>
              <w:fldChar w:fldCharType="separate"/>
            </w:r>
            <w:r w:rsidR="000D75AE">
              <w:rPr>
                <w:noProof/>
                <w:webHidden/>
              </w:rPr>
              <w:t>247</w:t>
            </w:r>
            <w:r>
              <w:rPr>
                <w:noProof/>
                <w:webHidden/>
              </w:rPr>
              <w:fldChar w:fldCharType="end"/>
            </w:r>
          </w:hyperlink>
        </w:p>
        <w:p w14:paraId="0F7F0DA5" w14:textId="23C93D31" w:rsidR="00420D51" w:rsidRDefault="00420D51">
          <w:pPr>
            <w:pStyle w:val="TOC3"/>
            <w:rPr>
              <w:rFonts w:eastAsiaTheme="minorEastAsia"/>
              <w:noProof/>
              <w:spacing w:val="0"/>
              <w:kern w:val="2"/>
              <w:sz w:val="24"/>
              <w:lang w:eastAsia="en-AU"/>
              <w14:ligatures w14:val="standardContextual"/>
            </w:rPr>
          </w:pPr>
          <w:hyperlink w:anchor="_Toc202900110" w:history="1">
            <w:r w:rsidRPr="00492332">
              <w:rPr>
                <w:rStyle w:val="Hyperlink"/>
                <w:noProof/>
              </w:rPr>
              <w:t>12.4.5</w:t>
            </w:r>
            <w:r>
              <w:rPr>
                <w:rFonts w:eastAsiaTheme="minorEastAsia"/>
                <w:noProof/>
                <w:spacing w:val="0"/>
                <w:kern w:val="2"/>
                <w:sz w:val="24"/>
                <w:lang w:eastAsia="en-AU"/>
                <w14:ligatures w14:val="standardContextual"/>
              </w:rPr>
              <w:tab/>
            </w:r>
            <w:r w:rsidRPr="00492332">
              <w:rPr>
                <w:rStyle w:val="Hyperlink"/>
                <w:noProof/>
              </w:rPr>
              <w:t>Notifications to Participants of Mutual Obligation Failures</w:t>
            </w:r>
            <w:r>
              <w:rPr>
                <w:noProof/>
                <w:webHidden/>
              </w:rPr>
              <w:tab/>
            </w:r>
            <w:r>
              <w:rPr>
                <w:noProof/>
                <w:webHidden/>
              </w:rPr>
              <w:fldChar w:fldCharType="begin"/>
            </w:r>
            <w:r>
              <w:rPr>
                <w:noProof/>
                <w:webHidden/>
              </w:rPr>
              <w:instrText xml:space="preserve"> PAGEREF _Toc202900110 \h </w:instrText>
            </w:r>
            <w:r>
              <w:rPr>
                <w:noProof/>
                <w:webHidden/>
              </w:rPr>
            </w:r>
            <w:r>
              <w:rPr>
                <w:noProof/>
                <w:webHidden/>
              </w:rPr>
              <w:fldChar w:fldCharType="separate"/>
            </w:r>
            <w:r w:rsidR="000D75AE">
              <w:rPr>
                <w:noProof/>
                <w:webHidden/>
              </w:rPr>
              <w:t>250</w:t>
            </w:r>
            <w:r>
              <w:rPr>
                <w:noProof/>
                <w:webHidden/>
              </w:rPr>
              <w:fldChar w:fldCharType="end"/>
            </w:r>
          </w:hyperlink>
        </w:p>
        <w:p w14:paraId="183B2CA4" w14:textId="3D41B881" w:rsidR="00420D51" w:rsidRDefault="00420D51">
          <w:pPr>
            <w:pStyle w:val="TOC3"/>
            <w:rPr>
              <w:rFonts w:eastAsiaTheme="minorEastAsia"/>
              <w:noProof/>
              <w:spacing w:val="0"/>
              <w:kern w:val="2"/>
              <w:sz w:val="24"/>
              <w:lang w:eastAsia="en-AU"/>
              <w14:ligatures w14:val="standardContextual"/>
            </w:rPr>
          </w:pPr>
          <w:hyperlink w:anchor="_Toc202900111" w:history="1">
            <w:r w:rsidRPr="00492332">
              <w:rPr>
                <w:rStyle w:val="Hyperlink"/>
                <w:noProof/>
              </w:rPr>
              <w:t>12.4.6</w:t>
            </w:r>
            <w:r>
              <w:rPr>
                <w:rFonts w:eastAsiaTheme="minorEastAsia"/>
                <w:noProof/>
                <w:spacing w:val="0"/>
                <w:kern w:val="2"/>
                <w:sz w:val="24"/>
                <w:lang w:eastAsia="en-AU"/>
                <w14:ligatures w14:val="standardContextual"/>
              </w:rPr>
              <w:tab/>
            </w:r>
            <w:r w:rsidRPr="00492332">
              <w:rPr>
                <w:rStyle w:val="Hyperlink"/>
                <w:noProof/>
              </w:rPr>
              <w:t>Re-engagement Requirements</w:t>
            </w:r>
            <w:r>
              <w:rPr>
                <w:noProof/>
                <w:webHidden/>
              </w:rPr>
              <w:tab/>
            </w:r>
            <w:r>
              <w:rPr>
                <w:noProof/>
                <w:webHidden/>
              </w:rPr>
              <w:fldChar w:fldCharType="begin"/>
            </w:r>
            <w:r>
              <w:rPr>
                <w:noProof/>
                <w:webHidden/>
              </w:rPr>
              <w:instrText xml:space="preserve"> PAGEREF _Toc202900111 \h </w:instrText>
            </w:r>
            <w:r>
              <w:rPr>
                <w:noProof/>
                <w:webHidden/>
              </w:rPr>
            </w:r>
            <w:r>
              <w:rPr>
                <w:noProof/>
                <w:webHidden/>
              </w:rPr>
              <w:fldChar w:fldCharType="separate"/>
            </w:r>
            <w:r w:rsidR="000D75AE">
              <w:rPr>
                <w:noProof/>
                <w:webHidden/>
              </w:rPr>
              <w:t>250</w:t>
            </w:r>
            <w:r>
              <w:rPr>
                <w:noProof/>
                <w:webHidden/>
              </w:rPr>
              <w:fldChar w:fldCharType="end"/>
            </w:r>
          </w:hyperlink>
        </w:p>
        <w:p w14:paraId="312C3DCF" w14:textId="34E92A76" w:rsidR="00420D51" w:rsidRDefault="00420D51">
          <w:pPr>
            <w:pStyle w:val="TOC3"/>
            <w:rPr>
              <w:rFonts w:eastAsiaTheme="minorEastAsia"/>
              <w:noProof/>
              <w:spacing w:val="0"/>
              <w:kern w:val="2"/>
              <w:sz w:val="24"/>
              <w:lang w:eastAsia="en-AU"/>
              <w14:ligatures w14:val="standardContextual"/>
            </w:rPr>
          </w:pPr>
          <w:hyperlink w:anchor="_Toc202900112" w:history="1">
            <w:r w:rsidRPr="00492332">
              <w:rPr>
                <w:rStyle w:val="Hyperlink"/>
                <w:noProof/>
              </w:rPr>
              <w:t>12.4.7</w:t>
            </w:r>
            <w:r>
              <w:rPr>
                <w:rFonts w:eastAsiaTheme="minorEastAsia"/>
                <w:noProof/>
                <w:spacing w:val="0"/>
                <w:kern w:val="2"/>
                <w:sz w:val="24"/>
                <w:lang w:eastAsia="en-AU"/>
                <w14:ligatures w14:val="standardContextual"/>
              </w:rPr>
              <w:tab/>
            </w:r>
            <w:r w:rsidRPr="00492332">
              <w:rPr>
                <w:rStyle w:val="Hyperlink"/>
                <w:noProof/>
              </w:rPr>
              <w:t>Capability Interviews</w:t>
            </w:r>
            <w:r>
              <w:rPr>
                <w:noProof/>
                <w:webHidden/>
              </w:rPr>
              <w:tab/>
            </w:r>
            <w:r>
              <w:rPr>
                <w:noProof/>
                <w:webHidden/>
              </w:rPr>
              <w:fldChar w:fldCharType="begin"/>
            </w:r>
            <w:r>
              <w:rPr>
                <w:noProof/>
                <w:webHidden/>
              </w:rPr>
              <w:instrText xml:space="preserve"> PAGEREF _Toc202900112 \h </w:instrText>
            </w:r>
            <w:r>
              <w:rPr>
                <w:noProof/>
                <w:webHidden/>
              </w:rPr>
            </w:r>
            <w:r>
              <w:rPr>
                <w:noProof/>
                <w:webHidden/>
              </w:rPr>
              <w:fldChar w:fldCharType="separate"/>
            </w:r>
            <w:r w:rsidR="000D75AE">
              <w:rPr>
                <w:noProof/>
                <w:webHidden/>
              </w:rPr>
              <w:t>254</w:t>
            </w:r>
            <w:r>
              <w:rPr>
                <w:noProof/>
                <w:webHidden/>
              </w:rPr>
              <w:fldChar w:fldCharType="end"/>
            </w:r>
          </w:hyperlink>
        </w:p>
        <w:p w14:paraId="094C0AD0" w14:textId="27F5E0FE" w:rsidR="00420D51" w:rsidRDefault="00420D51">
          <w:pPr>
            <w:pStyle w:val="TOC3"/>
            <w:rPr>
              <w:rFonts w:eastAsiaTheme="minorEastAsia"/>
              <w:noProof/>
              <w:spacing w:val="0"/>
              <w:kern w:val="2"/>
              <w:sz w:val="24"/>
              <w:lang w:eastAsia="en-AU"/>
              <w14:ligatures w14:val="standardContextual"/>
            </w:rPr>
          </w:pPr>
          <w:hyperlink w:anchor="_Toc202900113" w:history="1">
            <w:r w:rsidRPr="00492332">
              <w:rPr>
                <w:rStyle w:val="Hyperlink"/>
                <w:noProof/>
              </w:rPr>
              <w:t>12.4.8</w:t>
            </w:r>
            <w:r>
              <w:rPr>
                <w:rFonts w:eastAsiaTheme="minorEastAsia"/>
                <w:noProof/>
                <w:spacing w:val="0"/>
                <w:kern w:val="2"/>
                <w:sz w:val="24"/>
                <w:lang w:eastAsia="en-AU"/>
                <w14:ligatures w14:val="standardContextual"/>
              </w:rPr>
              <w:tab/>
            </w:r>
            <w:r w:rsidRPr="00492332">
              <w:rPr>
                <w:rStyle w:val="Hyperlink"/>
                <w:noProof/>
              </w:rPr>
              <w:t>Capability Assessment</w:t>
            </w:r>
            <w:r>
              <w:rPr>
                <w:noProof/>
                <w:webHidden/>
              </w:rPr>
              <w:tab/>
            </w:r>
            <w:r>
              <w:rPr>
                <w:noProof/>
                <w:webHidden/>
              </w:rPr>
              <w:fldChar w:fldCharType="begin"/>
            </w:r>
            <w:r>
              <w:rPr>
                <w:noProof/>
                <w:webHidden/>
              </w:rPr>
              <w:instrText xml:space="preserve"> PAGEREF _Toc202900113 \h </w:instrText>
            </w:r>
            <w:r>
              <w:rPr>
                <w:noProof/>
                <w:webHidden/>
              </w:rPr>
            </w:r>
            <w:r>
              <w:rPr>
                <w:noProof/>
                <w:webHidden/>
              </w:rPr>
              <w:fldChar w:fldCharType="separate"/>
            </w:r>
            <w:r w:rsidR="000D75AE">
              <w:rPr>
                <w:noProof/>
                <w:webHidden/>
              </w:rPr>
              <w:t>259</w:t>
            </w:r>
            <w:r>
              <w:rPr>
                <w:noProof/>
                <w:webHidden/>
              </w:rPr>
              <w:fldChar w:fldCharType="end"/>
            </w:r>
          </w:hyperlink>
        </w:p>
        <w:p w14:paraId="45479485" w14:textId="32F8623E" w:rsidR="00420D51" w:rsidRDefault="00420D51">
          <w:pPr>
            <w:pStyle w:val="TOC2"/>
            <w:rPr>
              <w:rFonts w:eastAsiaTheme="minorEastAsia"/>
              <w:noProof/>
              <w:spacing w:val="0"/>
              <w:kern w:val="2"/>
              <w:sz w:val="24"/>
              <w:lang w:eastAsia="en-AU"/>
              <w14:ligatures w14:val="standardContextual"/>
            </w:rPr>
          </w:pPr>
          <w:hyperlink w:anchor="_Toc202900114" w:history="1">
            <w:r w:rsidRPr="00492332">
              <w:rPr>
                <w:rStyle w:val="Hyperlink"/>
                <w:noProof/>
              </w:rPr>
              <w:t>12.5</w:t>
            </w:r>
            <w:r>
              <w:rPr>
                <w:rFonts w:eastAsiaTheme="minorEastAsia"/>
                <w:noProof/>
                <w:spacing w:val="0"/>
                <w:kern w:val="2"/>
                <w:sz w:val="24"/>
                <w:lang w:eastAsia="en-AU"/>
                <w14:ligatures w14:val="standardContextual"/>
              </w:rPr>
              <w:tab/>
            </w:r>
            <w:r w:rsidRPr="00492332">
              <w:rPr>
                <w:rStyle w:val="Hyperlink"/>
                <w:noProof/>
              </w:rPr>
              <w:t>Compliance actions - Work Refusal Failures</w:t>
            </w:r>
            <w:r>
              <w:rPr>
                <w:noProof/>
                <w:webHidden/>
              </w:rPr>
              <w:tab/>
            </w:r>
            <w:r>
              <w:rPr>
                <w:noProof/>
                <w:webHidden/>
              </w:rPr>
              <w:fldChar w:fldCharType="begin"/>
            </w:r>
            <w:r>
              <w:rPr>
                <w:noProof/>
                <w:webHidden/>
              </w:rPr>
              <w:instrText xml:space="preserve"> PAGEREF _Toc202900114 \h </w:instrText>
            </w:r>
            <w:r>
              <w:rPr>
                <w:noProof/>
                <w:webHidden/>
              </w:rPr>
            </w:r>
            <w:r>
              <w:rPr>
                <w:noProof/>
                <w:webHidden/>
              </w:rPr>
              <w:fldChar w:fldCharType="separate"/>
            </w:r>
            <w:r w:rsidR="000D75AE">
              <w:rPr>
                <w:noProof/>
                <w:webHidden/>
              </w:rPr>
              <w:t>263</w:t>
            </w:r>
            <w:r>
              <w:rPr>
                <w:noProof/>
                <w:webHidden/>
              </w:rPr>
              <w:fldChar w:fldCharType="end"/>
            </w:r>
          </w:hyperlink>
        </w:p>
        <w:p w14:paraId="66198CAE" w14:textId="3BFDCB6B" w:rsidR="00420D51" w:rsidRDefault="00420D51">
          <w:pPr>
            <w:pStyle w:val="TOC3"/>
            <w:rPr>
              <w:rFonts w:eastAsiaTheme="minorEastAsia"/>
              <w:noProof/>
              <w:spacing w:val="0"/>
              <w:kern w:val="2"/>
              <w:sz w:val="24"/>
              <w:lang w:eastAsia="en-AU"/>
              <w14:ligatures w14:val="standardContextual"/>
            </w:rPr>
          </w:pPr>
          <w:hyperlink w:anchor="_Toc202900115" w:history="1">
            <w:r w:rsidRPr="00492332">
              <w:rPr>
                <w:rStyle w:val="Hyperlink"/>
                <w:noProof/>
              </w:rPr>
              <w:t>12.5.1</w:t>
            </w:r>
            <w:r>
              <w:rPr>
                <w:rFonts w:eastAsiaTheme="minorEastAsia"/>
                <w:noProof/>
                <w:spacing w:val="0"/>
                <w:kern w:val="2"/>
                <w:sz w:val="24"/>
                <w:lang w:eastAsia="en-AU"/>
                <w14:ligatures w14:val="standardContextual"/>
              </w:rPr>
              <w:tab/>
            </w:r>
            <w:r w:rsidRPr="00492332">
              <w:rPr>
                <w:rStyle w:val="Hyperlink"/>
                <w:noProof/>
              </w:rPr>
              <w:t>What is a Work Refusal Failure</w:t>
            </w:r>
            <w:r>
              <w:rPr>
                <w:noProof/>
                <w:webHidden/>
              </w:rPr>
              <w:tab/>
            </w:r>
            <w:r>
              <w:rPr>
                <w:noProof/>
                <w:webHidden/>
              </w:rPr>
              <w:fldChar w:fldCharType="begin"/>
            </w:r>
            <w:r>
              <w:rPr>
                <w:noProof/>
                <w:webHidden/>
              </w:rPr>
              <w:instrText xml:space="preserve"> PAGEREF _Toc202900115 \h </w:instrText>
            </w:r>
            <w:r>
              <w:rPr>
                <w:noProof/>
                <w:webHidden/>
              </w:rPr>
            </w:r>
            <w:r>
              <w:rPr>
                <w:noProof/>
                <w:webHidden/>
              </w:rPr>
              <w:fldChar w:fldCharType="separate"/>
            </w:r>
            <w:r w:rsidR="000D75AE">
              <w:rPr>
                <w:noProof/>
                <w:webHidden/>
              </w:rPr>
              <w:t>263</w:t>
            </w:r>
            <w:r>
              <w:rPr>
                <w:noProof/>
                <w:webHidden/>
              </w:rPr>
              <w:fldChar w:fldCharType="end"/>
            </w:r>
          </w:hyperlink>
        </w:p>
        <w:p w14:paraId="7D36CB4B" w14:textId="1A7BFA2B" w:rsidR="00420D51" w:rsidRDefault="00420D51">
          <w:pPr>
            <w:pStyle w:val="TOC3"/>
            <w:rPr>
              <w:rFonts w:eastAsiaTheme="minorEastAsia"/>
              <w:noProof/>
              <w:spacing w:val="0"/>
              <w:kern w:val="2"/>
              <w:sz w:val="24"/>
              <w:lang w:eastAsia="en-AU"/>
              <w14:ligatures w14:val="standardContextual"/>
            </w:rPr>
          </w:pPr>
          <w:hyperlink w:anchor="_Toc202900116" w:history="1">
            <w:r w:rsidRPr="00492332">
              <w:rPr>
                <w:rStyle w:val="Hyperlink"/>
                <w:noProof/>
              </w:rPr>
              <w:t>12.5.2</w:t>
            </w:r>
            <w:r>
              <w:rPr>
                <w:rFonts w:eastAsiaTheme="minorEastAsia"/>
                <w:noProof/>
                <w:spacing w:val="0"/>
                <w:kern w:val="2"/>
                <w:sz w:val="24"/>
                <w:lang w:eastAsia="en-AU"/>
                <w14:ligatures w14:val="standardContextual"/>
              </w:rPr>
              <w:tab/>
            </w:r>
            <w:r w:rsidRPr="00492332">
              <w:rPr>
                <w:rStyle w:val="Hyperlink"/>
                <w:noProof/>
              </w:rPr>
              <w:t>Identifying a Work Refusal Failure</w:t>
            </w:r>
            <w:r>
              <w:rPr>
                <w:noProof/>
                <w:webHidden/>
              </w:rPr>
              <w:tab/>
            </w:r>
            <w:r>
              <w:rPr>
                <w:noProof/>
                <w:webHidden/>
              </w:rPr>
              <w:fldChar w:fldCharType="begin"/>
            </w:r>
            <w:r>
              <w:rPr>
                <w:noProof/>
                <w:webHidden/>
              </w:rPr>
              <w:instrText xml:space="preserve"> PAGEREF _Toc202900116 \h </w:instrText>
            </w:r>
            <w:r>
              <w:rPr>
                <w:noProof/>
                <w:webHidden/>
              </w:rPr>
            </w:r>
            <w:r>
              <w:rPr>
                <w:noProof/>
                <w:webHidden/>
              </w:rPr>
              <w:fldChar w:fldCharType="separate"/>
            </w:r>
            <w:r w:rsidR="000D75AE">
              <w:rPr>
                <w:noProof/>
                <w:webHidden/>
              </w:rPr>
              <w:t>263</w:t>
            </w:r>
            <w:r>
              <w:rPr>
                <w:noProof/>
                <w:webHidden/>
              </w:rPr>
              <w:fldChar w:fldCharType="end"/>
            </w:r>
          </w:hyperlink>
        </w:p>
        <w:p w14:paraId="3A220584" w14:textId="13A66B55" w:rsidR="00420D51" w:rsidRDefault="00420D51">
          <w:pPr>
            <w:pStyle w:val="TOC3"/>
            <w:rPr>
              <w:rFonts w:eastAsiaTheme="minorEastAsia"/>
              <w:noProof/>
              <w:spacing w:val="0"/>
              <w:kern w:val="2"/>
              <w:sz w:val="24"/>
              <w:lang w:eastAsia="en-AU"/>
              <w14:ligatures w14:val="standardContextual"/>
            </w:rPr>
          </w:pPr>
          <w:hyperlink w:anchor="_Toc202900117" w:history="1">
            <w:r w:rsidRPr="00492332">
              <w:rPr>
                <w:rStyle w:val="Hyperlink"/>
                <w:noProof/>
              </w:rPr>
              <w:t>12.5.3</w:t>
            </w:r>
            <w:r>
              <w:rPr>
                <w:rFonts w:eastAsiaTheme="minorEastAsia"/>
                <w:noProof/>
                <w:spacing w:val="0"/>
                <w:kern w:val="2"/>
                <w:sz w:val="24"/>
                <w:lang w:eastAsia="en-AU"/>
                <w14:ligatures w14:val="standardContextual"/>
              </w:rPr>
              <w:tab/>
            </w:r>
            <w:r w:rsidRPr="00492332">
              <w:rPr>
                <w:rStyle w:val="Hyperlink"/>
                <w:noProof/>
              </w:rPr>
              <w:t>Reporting a Work Refusal Failure</w:t>
            </w:r>
            <w:r>
              <w:rPr>
                <w:noProof/>
                <w:webHidden/>
              </w:rPr>
              <w:tab/>
            </w:r>
            <w:r>
              <w:rPr>
                <w:noProof/>
                <w:webHidden/>
              </w:rPr>
              <w:fldChar w:fldCharType="begin"/>
            </w:r>
            <w:r>
              <w:rPr>
                <w:noProof/>
                <w:webHidden/>
              </w:rPr>
              <w:instrText xml:space="preserve"> PAGEREF _Toc202900117 \h </w:instrText>
            </w:r>
            <w:r>
              <w:rPr>
                <w:noProof/>
                <w:webHidden/>
              </w:rPr>
            </w:r>
            <w:r>
              <w:rPr>
                <w:noProof/>
                <w:webHidden/>
              </w:rPr>
              <w:fldChar w:fldCharType="separate"/>
            </w:r>
            <w:r w:rsidR="000D75AE">
              <w:rPr>
                <w:noProof/>
                <w:webHidden/>
              </w:rPr>
              <w:t>265</w:t>
            </w:r>
            <w:r>
              <w:rPr>
                <w:noProof/>
                <w:webHidden/>
              </w:rPr>
              <w:fldChar w:fldCharType="end"/>
            </w:r>
          </w:hyperlink>
        </w:p>
        <w:p w14:paraId="463A69CD" w14:textId="33CFFBEB" w:rsidR="00420D51" w:rsidRDefault="00420D51">
          <w:pPr>
            <w:pStyle w:val="TOC3"/>
            <w:rPr>
              <w:rFonts w:eastAsiaTheme="minorEastAsia"/>
              <w:noProof/>
              <w:spacing w:val="0"/>
              <w:kern w:val="2"/>
              <w:sz w:val="24"/>
              <w:lang w:eastAsia="en-AU"/>
              <w14:ligatures w14:val="standardContextual"/>
            </w:rPr>
          </w:pPr>
          <w:hyperlink w:anchor="_Toc202900118" w:history="1">
            <w:r w:rsidRPr="00492332">
              <w:rPr>
                <w:rStyle w:val="Hyperlink"/>
                <w:noProof/>
              </w:rPr>
              <w:t>12.5.4</w:t>
            </w:r>
            <w:r>
              <w:rPr>
                <w:rFonts w:eastAsiaTheme="minorEastAsia"/>
                <w:noProof/>
                <w:spacing w:val="0"/>
                <w:kern w:val="2"/>
                <w:sz w:val="24"/>
                <w:lang w:eastAsia="en-AU"/>
                <w14:ligatures w14:val="standardContextual"/>
              </w:rPr>
              <w:tab/>
            </w:r>
            <w:r w:rsidRPr="00492332">
              <w:rPr>
                <w:rStyle w:val="Hyperlink"/>
                <w:noProof/>
              </w:rPr>
              <w:t>Actions after a Work Refusal Failure is applied</w:t>
            </w:r>
            <w:r>
              <w:rPr>
                <w:noProof/>
                <w:webHidden/>
              </w:rPr>
              <w:tab/>
            </w:r>
            <w:r>
              <w:rPr>
                <w:noProof/>
                <w:webHidden/>
              </w:rPr>
              <w:fldChar w:fldCharType="begin"/>
            </w:r>
            <w:r>
              <w:rPr>
                <w:noProof/>
                <w:webHidden/>
              </w:rPr>
              <w:instrText xml:space="preserve"> PAGEREF _Toc202900118 \h </w:instrText>
            </w:r>
            <w:r>
              <w:rPr>
                <w:noProof/>
                <w:webHidden/>
              </w:rPr>
            </w:r>
            <w:r>
              <w:rPr>
                <w:noProof/>
                <w:webHidden/>
              </w:rPr>
              <w:fldChar w:fldCharType="separate"/>
            </w:r>
            <w:r w:rsidR="000D75AE">
              <w:rPr>
                <w:noProof/>
                <w:webHidden/>
              </w:rPr>
              <w:t>268</w:t>
            </w:r>
            <w:r>
              <w:rPr>
                <w:noProof/>
                <w:webHidden/>
              </w:rPr>
              <w:fldChar w:fldCharType="end"/>
            </w:r>
          </w:hyperlink>
        </w:p>
        <w:p w14:paraId="49F9B6F0" w14:textId="32CAE890" w:rsidR="00420D51" w:rsidRDefault="00420D51">
          <w:pPr>
            <w:pStyle w:val="TOC2"/>
            <w:rPr>
              <w:rFonts w:eastAsiaTheme="minorEastAsia"/>
              <w:noProof/>
              <w:spacing w:val="0"/>
              <w:kern w:val="2"/>
              <w:sz w:val="24"/>
              <w:lang w:eastAsia="en-AU"/>
              <w14:ligatures w14:val="standardContextual"/>
            </w:rPr>
          </w:pPr>
          <w:hyperlink w:anchor="_Toc202900119" w:history="1">
            <w:r w:rsidRPr="00492332">
              <w:rPr>
                <w:rStyle w:val="Hyperlink"/>
                <w:noProof/>
              </w:rPr>
              <w:t>12.6</w:t>
            </w:r>
            <w:r>
              <w:rPr>
                <w:rFonts w:eastAsiaTheme="minorEastAsia"/>
                <w:noProof/>
                <w:spacing w:val="0"/>
                <w:kern w:val="2"/>
                <w:sz w:val="24"/>
                <w:lang w:eastAsia="en-AU"/>
                <w14:ligatures w14:val="standardContextual"/>
              </w:rPr>
              <w:tab/>
            </w:r>
            <w:r w:rsidRPr="00492332">
              <w:rPr>
                <w:rStyle w:val="Hyperlink"/>
                <w:noProof/>
              </w:rPr>
              <w:t>Compliance actions - Unemployment Failures</w:t>
            </w:r>
            <w:r>
              <w:rPr>
                <w:noProof/>
                <w:webHidden/>
              </w:rPr>
              <w:tab/>
            </w:r>
            <w:r>
              <w:rPr>
                <w:noProof/>
                <w:webHidden/>
              </w:rPr>
              <w:fldChar w:fldCharType="begin"/>
            </w:r>
            <w:r>
              <w:rPr>
                <w:noProof/>
                <w:webHidden/>
              </w:rPr>
              <w:instrText xml:space="preserve"> PAGEREF _Toc202900119 \h </w:instrText>
            </w:r>
            <w:r>
              <w:rPr>
                <w:noProof/>
                <w:webHidden/>
              </w:rPr>
            </w:r>
            <w:r>
              <w:rPr>
                <w:noProof/>
                <w:webHidden/>
              </w:rPr>
              <w:fldChar w:fldCharType="separate"/>
            </w:r>
            <w:r w:rsidR="000D75AE">
              <w:rPr>
                <w:noProof/>
                <w:webHidden/>
              </w:rPr>
              <w:t>268</w:t>
            </w:r>
            <w:r>
              <w:rPr>
                <w:noProof/>
                <w:webHidden/>
              </w:rPr>
              <w:fldChar w:fldCharType="end"/>
            </w:r>
          </w:hyperlink>
        </w:p>
        <w:p w14:paraId="0BEBEA62" w14:textId="4EDFDF86" w:rsidR="00420D51" w:rsidRDefault="00420D51">
          <w:pPr>
            <w:pStyle w:val="TOC3"/>
            <w:rPr>
              <w:rFonts w:eastAsiaTheme="minorEastAsia"/>
              <w:noProof/>
              <w:spacing w:val="0"/>
              <w:kern w:val="2"/>
              <w:sz w:val="24"/>
              <w:lang w:eastAsia="en-AU"/>
              <w14:ligatures w14:val="standardContextual"/>
            </w:rPr>
          </w:pPr>
          <w:hyperlink w:anchor="_Toc202900120" w:history="1">
            <w:r w:rsidRPr="00492332">
              <w:rPr>
                <w:rStyle w:val="Hyperlink"/>
                <w:noProof/>
              </w:rPr>
              <w:t>12.6.1</w:t>
            </w:r>
            <w:r>
              <w:rPr>
                <w:rFonts w:eastAsiaTheme="minorEastAsia"/>
                <w:noProof/>
                <w:spacing w:val="0"/>
                <w:kern w:val="2"/>
                <w:sz w:val="24"/>
                <w:lang w:eastAsia="en-AU"/>
                <w14:ligatures w14:val="standardContextual"/>
              </w:rPr>
              <w:tab/>
            </w:r>
            <w:r w:rsidRPr="00492332">
              <w:rPr>
                <w:rStyle w:val="Hyperlink"/>
                <w:noProof/>
              </w:rPr>
              <w:t>What is an Unemployment Failure</w:t>
            </w:r>
            <w:r>
              <w:rPr>
                <w:noProof/>
                <w:webHidden/>
              </w:rPr>
              <w:tab/>
            </w:r>
            <w:r>
              <w:rPr>
                <w:noProof/>
                <w:webHidden/>
              </w:rPr>
              <w:fldChar w:fldCharType="begin"/>
            </w:r>
            <w:r>
              <w:rPr>
                <w:noProof/>
                <w:webHidden/>
              </w:rPr>
              <w:instrText xml:space="preserve"> PAGEREF _Toc202900120 \h </w:instrText>
            </w:r>
            <w:r>
              <w:rPr>
                <w:noProof/>
                <w:webHidden/>
              </w:rPr>
            </w:r>
            <w:r>
              <w:rPr>
                <w:noProof/>
                <w:webHidden/>
              </w:rPr>
              <w:fldChar w:fldCharType="separate"/>
            </w:r>
            <w:r w:rsidR="000D75AE">
              <w:rPr>
                <w:noProof/>
                <w:webHidden/>
              </w:rPr>
              <w:t>268</w:t>
            </w:r>
            <w:r>
              <w:rPr>
                <w:noProof/>
                <w:webHidden/>
              </w:rPr>
              <w:fldChar w:fldCharType="end"/>
            </w:r>
          </w:hyperlink>
        </w:p>
        <w:p w14:paraId="748B793B" w14:textId="38C1B2C2" w:rsidR="00420D51" w:rsidRDefault="00420D51">
          <w:pPr>
            <w:pStyle w:val="TOC3"/>
            <w:rPr>
              <w:rFonts w:eastAsiaTheme="minorEastAsia"/>
              <w:noProof/>
              <w:spacing w:val="0"/>
              <w:kern w:val="2"/>
              <w:sz w:val="24"/>
              <w:lang w:eastAsia="en-AU"/>
              <w14:ligatures w14:val="standardContextual"/>
            </w:rPr>
          </w:pPr>
          <w:hyperlink w:anchor="_Toc202900121" w:history="1">
            <w:r w:rsidRPr="00492332">
              <w:rPr>
                <w:rStyle w:val="Hyperlink"/>
                <w:noProof/>
              </w:rPr>
              <w:t>12.6.2</w:t>
            </w:r>
            <w:r>
              <w:rPr>
                <w:rFonts w:eastAsiaTheme="minorEastAsia"/>
                <w:noProof/>
                <w:spacing w:val="0"/>
                <w:kern w:val="2"/>
                <w:sz w:val="24"/>
                <w:lang w:eastAsia="en-AU"/>
                <w14:ligatures w14:val="standardContextual"/>
              </w:rPr>
              <w:tab/>
            </w:r>
            <w:r w:rsidRPr="00492332">
              <w:rPr>
                <w:rStyle w:val="Hyperlink"/>
                <w:noProof/>
              </w:rPr>
              <w:t>Identifying a potential Unemployment Failure</w:t>
            </w:r>
            <w:r>
              <w:rPr>
                <w:noProof/>
                <w:webHidden/>
              </w:rPr>
              <w:tab/>
            </w:r>
            <w:r>
              <w:rPr>
                <w:noProof/>
                <w:webHidden/>
              </w:rPr>
              <w:fldChar w:fldCharType="begin"/>
            </w:r>
            <w:r>
              <w:rPr>
                <w:noProof/>
                <w:webHidden/>
              </w:rPr>
              <w:instrText xml:space="preserve"> PAGEREF _Toc202900121 \h </w:instrText>
            </w:r>
            <w:r>
              <w:rPr>
                <w:noProof/>
                <w:webHidden/>
              </w:rPr>
            </w:r>
            <w:r>
              <w:rPr>
                <w:noProof/>
                <w:webHidden/>
              </w:rPr>
              <w:fldChar w:fldCharType="separate"/>
            </w:r>
            <w:r w:rsidR="000D75AE">
              <w:rPr>
                <w:noProof/>
                <w:webHidden/>
              </w:rPr>
              <w:t>269</w:t>
            </w:r>
            <w:r>
              <w:rPr>
                <w:noProof/>
                <w:webHidden/>
              </w:rPr>
              <w:fldChar w:fldCharType="end"/>
            </w:r>
          </w:hyperlink>
        </w:p>
        <w:p w14:paraId="25B6BF27" w14:textId="08C360CA" w:rsidR="00420D51" w:rsidRDefault="00420D51">
          <w:pPr>
            <w:pStyle w:val="TOC3"/>
            <w:rPr>
              <w:rFonts w:eastAsiaTheme="minorEastAsia"/>
              <w:noProof/>
              <w:spacing w:val="0"/>
              <w:kern w:val="2"/>
              <w:sz w:val="24"/>
              <w:lang w:eastAsia="en-AU"/>
              <w14:ligatures w14:val="standardContextual"/>
            </w:rPr>
          </w:pPr>
          <w:hyperlink w:anchor="_Toc202900122" w:history="1">
            <w:r w:rsidRPr="00492332">
              <w:rPr>
                <w:rStyle w:val="Hyperlink"/>
                <w:noProof/>
              </w:rPr>
              <w:t>12.6.3</w:t>
            </w:r>
            <w:r>
              <w:rPr>
                <w:rFonts w:eastAsiaTheme="minorEastAsia"/>
                <w:noProof/>
                <w:spacing w:val="0"/>
                <w:kern w:val="2"/>
                <w:sz w:val="24"/>
                <w:lang w:eastAsia="en-AU"/>
                <w14:ligatures w14:val="standardContextual"/>
              </w:rPr>
              <w:tab/>
            </w:r>
            <w:r w:rsidRPr="00492332">
              <w:rPr>
                <w:rStyle w:val="Hyperlink"/>
                <w:noProof/>
              </w:rPr>
              <w:t>Reporting a potential Unemployment Failure</w:t>
            </w:r>
            <w:r>
              <w:rPr>
                <w:noProof/>
                <w:webHidden/>
              </w:rPr>
              <w:tab/>
            </w:r>
            <w:r>
              <w:rPr>
                <w:noProof/>
                <w:webHidden/>
              </w:rPr>
              <w:fldChar w:fldCharType="begin"/>
            </w:r>
            <w:r>
              <w:rPr>
                <w:noProof/>
                <w:webHidden/>
              </w:rPr>
              <w:instrText xml:space="preserve"> PAGEREF _Toc202900122 \h </w:instrText>
            </w:r>
            <w:r>
              <w:rPr>
                <w:noProof/>
                <w:webHidden/>
              </w:rPr>
            </w:r>
            <w:r>
              <w:rPr>
                <w:noProof/>
                <w:webHidden/>
              </w:rPr>
              <w:fldChar w:fldCharType="separate"/>
            </w:r>
            <w:r w:rsidR="000D75AE">
              <w:rPr>
                <w:noProof/>
                <w:webHidden/>
              </w:rPr>
              <w:t>271</w:t>
            </w:r>
            <w:r>
              <w:rPr>
                <w:noProof/>
                <w:webHidden/>
              </w:rPr>
              <w:fldChar w:fldCharType="end"/>
            </w:r>
          </w:hyperlink>
        </w:p>
        <w:p w14:paraId="6ECFF23D" w14:textId="62DB9BF3" w:rsidR="00420D51" w:rsidRDefault="00420D51">
          <w:pPr>
            <w:pStyle w:val="TOC3"/>
            <w:rPr>
              <w:rFonts w:eastAsiaTheme="minorEastAsia"/>
              <w:noProof/>
              <w:spacing w:val="0"/>
              <w:kern w:val="2"/>
              <w:sz w:val="24"/>
              <w:lang w:eastAsia="en-AU"/>
              <w14:ligatures w14:val="standardContextual"/>
            </w:rPr>
          </w:pPr>
          <w:hyperlink w:anchor="_Toc202900123" w:history="1">
            <w:r w:rsidRPr="00492332">
              <w:rPr>
                <w:rStyle w:val="Hyperlink"/>
                <w:noProof/>
              </w:rPr>
              <w:t>12.6.4</w:t>
            </w:r>
            <w:r>
              <w:rPr>
                <w:rFonts w:eastAsiaTheme="minorEastAsia"/>
                <w:noProof/>
                <w:spacing w:val="0"/>
                <w:kern w:val="2"/>
                <w:sz w:val="24"/>
                <w:lang w:eastAsia="en-AU"/>
                <w14:ligatures w14:val="standardContextual"/>
              </w:rPr>
              <w:tab/>
            </w:r>
            <w:r w:rsidRPr="00492332">
              <w:rPr>
                <w:rStyle w:val="Hyperlink"/>
                <w:noProof/>
              </w:rPr>
              <w:t>Actions after an Unemployment Failure is applied</w:t>
            </w:r>
            <w:r>
              <w:rPr>
                <w:noProof/>
                <w:webHidden/>
              </w:rPr>
              <w:tab/>
            </w:r>
            <w:r>
              <w:rPr>
                <w:noProof/>
                <w:webHidden/>
              </w:rPr>
              <w:fldChar w:fldCharType="begin"/>
            </w:r>
            <w:r>
              <w:rPr>
                <w:noProof/>
                <w:webHidden/>
              </w:rPr>
              <w:instrText xml:space="preserve"> PAGEREF _Toc202900123 \h </w:instrText>
            </w:r>
            <w:r>
              <w:rPr>
                <w:noProof/>
                <w:webHidden/>
              </w:rPr>
            </w:r>
            <w:r>
              <w:rPr>
                <w:noProof/>
                <w:webHidden/>
              </w:rPr>
              <w:fldChar w:fldCharType="separate"/>
            </w:r>
            <w:r w:rsidR="000D75AE">
              <w:rPr>
                <w:noProof/>
                <w:webHidden/>
              </w:rPr>
              <w:t>273</w:t>
            </w:r>
            <w:r>
              <w:rPr>
                <w:noProof/>
                <w:webHidden/>
              </w:rPr>
              <w:fldChar w:fldCharType="end"/>
            </w:r>
          </w:hyperlink>
        </w:p>
        <w:p w14:paraId="3A8CFB68" w14:textId="1A5B5DEB" w:rsidR="00420D51" w:rsidRDefault="00420D51">
          <w:pPr>
            <w:pStyle w:val="TOC2"/>
            <w:rPr>
              <w:rFonts w:eastAsiaTheme="minorEastAsia"/>
              <w:noProof/>
              <w:spacing w:val="0"/>
              <w:kern w:val="2"/>
              <w:sz w:val="24"/>
              <w:lang w:eastAsia="en-AU"/>
              <w14:ligatures w14:val="standardContextual"/>
            </w:rPr>
          </w:pPr>
          <w:hyperlink w:anchor="_Toc202900124" w:history="1">
            <w:r w:rsidRPr="00492332">
              <w:rPr>
                <w:rStyle w:val="Hyperlink"/>
                <w:noProof/>
              </w:rPr>
              <w:t>12.7</w:t>
            </w:r>
            <w:r>
              <w:rPr>
                <w:rFonts w:eastAsiaTheme="minorEastAsia"/>
                <w:noProof/>
                <w:spacing w:val="0"/>
                <w:kern w:val="2"/>
                <w:sz w:val="24"/>
                <w:lang w:eastAsia="en-AU"/>
                <w14:ligatures w14:val="standardContextual"/>
              </w:rPr>
              <w:tab/>
            </w:r>
            <w:r w:rsidRPr="00492332">
              <w:rPr>
                <w:rStyle w:val="Hyperlink"/>
                <w:noProof/>
              </w:rPr>
              <w:t>DSP non-compliance and associated compliance actions</w:t>
            </w:r>
            <w:r>
              <w:rPr>
                <w:noProof/>
                <w:webHidden/>
              </w:rPr>
              <w:tab/>
            </w:r>
            <w:r>
              <w:rPr>
                <w:noProof/>
                <w:webHidden/>
              </w:rPr>
              <w:fldChar w:fldCharType="begin"/>
            </w:r>
            <w:r>
              <w:rPr>
                <w:noProof/>
                <w:webHidden/>
              </w:rPr>
              <w:instrText xml:space="preserve"> PAGEREF _Toc202900124 \h </w:instrText>
            </w:r>
            <w:r>
              <w:rPr>
                <w:noProof/>
                <w:webHidden/>
              </w:rPr>
            </w:r>
            <w:r>
              <w:rPr>
                <w:noProof/>
                <w:webHidden/>
              </w:rPr>
              <w:fldChar w:fldCharType="separate"/>
            </w:r>
            <w:r w:rsidR="000D75AE">
              <w:rPr>
                <w:noProof/>
                <w:webHidden/>
              </w:rPr>
              <w:t>274</w:t>
            </w:r>
            <w:r>
              <w:rPr>
                <w:noProof/>
                <w:webHidden/>
              </w:rPr>
              <w:fldChar w:fldCharType="end"/>
            </w:r>
          </w:hyperlink>
        </w:p>
        <w:p w14:paraId="4D959853" w14:textId="20E0197F" w:rsidR="00420D51" w:rsidRDefault="00420D51">
          <w:pPr>
            <w:pStyle w:val="TOC3"/>
            <w:rPr>
              <w:rFonts w:eastAsiaTheme="minorEastAsia"/>
              <w:noProof/>
              <w:spacing w:val="0"/>
              <w:kern w:val="2"/>
              <w:sz w:val="24"/>
              <w:lang w:eastAsia="en-AU"/>
              <w14:ligatures w14:val="standardContextual"/>
            </w:rPr>
          </w:pPr>
          <w:hyperlink w:anchor="_Toc202900125" w:history="1">
            <w:r w:rsidRPr="00492332">
              <w:rPr>
                <w:rStyle w:val="Hyperlink"/>
                <w:noProof/>
              </w:rPr>
              <w:t>12.7.1</w:t>
            </w:r>
            <w:r>
              <w:rPr>
                <w:rFonts w:eastAsiaTheme="minorEastAsia"/>
                <w:noProof/>
                <w:spacing w:val="0"/>
                <w:kern w:val="2"/>
                <w:sz w:val="24"/>
                <w:lang w:eastAsia="en-AU"/>
                <w14:ligatures w14:val="standardContextual"/>
              </w:rPr>
              <w:tab/>
            </w:r>
            <w:r w:rsidRPr="00492332">
              <w:rPr>
                <w:rStyle w:val="Hyperlink"/>
                <w:noProof/>
              </w:rPr>
              <w:t>Provider Obligations</w:t>
            </w:r>
            <w:r>
              <w:rPr>
                <w:noProof/>
                <w:webHidden/>
              </w:rPr>
              <w:tab/>
            </w:r>
            <w:r>
              <w:rPr>
                <w:noProof/>
                <w:webHidden/>
              </w:rPr>
              <w:fldChar w:fldCharType="begin"/>
            </w:r>
            <w:r>
              <w:rPr>
                <w:noProof/>
                <w:webHidden/>
              </w:rPr>
              <w:instrText xml:space="preserve"> PAGEREF _Toc202900125 \h </w:instrText>
            </w:r>
            <w:r>
              <w:rPr>
                <w:noProof/>
                <w:webHidden/>
              </w:rPr>
            </w:r>
            <w:r>
              <w:rPr>
                <w:noProof/>
                <w:webHidden/>
              </w:rPr>
              <w:fldChar w:fldCharType="separate"/>
            </w:r>
            <w:r w:rsidR="000D75AE">
              <w:rPr>
                <w:noProof/>
                <w:webHidden/>
              </w:rPr>
              <w:t>275</w:t>
            </w:r>
            <w:r>
              <w:rPr>
                <w:noProof/>
                <w:webHidden/>
              </w:rPr>
              <w:fldChar w:fldCharType="end"/>
            </w:r>
          </w:hyperlink>
        </w:p>
        <w:p w14:paraId="7F01964B" w14:textId="04670A23" w:rsidR="00420D51" w:rsidRDefault="00420D51">
          <w:pPr>
            <w:pStyle w:val="TOC3"/>
            <w:rPr>
              <w:rFonts w:eastAsiaTheme="minorEastAsia"/>
              <w:noProof/>
              <w:spacing w:val="0"/>
              <w:kern w:val="2"/>
              <w:sz w:val="24"/>
              <w:lang w:eastAsia="en-AU"/>
              <w14:ligatures w14:val="standardContextual"/>
            </w:rPr>
          </w:pPr>
          <w:hyperlink w:anchor="_Toc202900126" w:history="1">
            <w:r w:rsidRPr="00492332">
              <w:rPr>
                <w:rStyle w:val="Hyperlink"/>
                <w:noProof/>
              </w:rPr>
              <w:t>12.7.2</w:t>
            </w:r>
            <w:r>
              <w:rPr>
                <w:rFonts w:eastAsiaTheme="minorEastAsia"/>
                <w:noProof/>
                <w:spacing w:val="0"/>
                <w:kern w:val="2"/>
                <w:sz w:val="24"/>
                <w:lang w:eastAsia="en-AU"/>
                <w14:ligatures w14:val="standardContextual"/>
              </w:rPr>
              <w:tab/>
            </w:r>
            <w:r w:rsidRPr="00492332">
              <w:rPr>
                <w:rStyle w:val="Hyperlink"/>
                <w:noProof/>
              </w:rPr>
              <w:t>Identifying DSP non-compliance</w:t>
            </w:r>
            <w:r>
              <w:rPr>
                <w:noProof/>
                <w:webHidden/>
              </w:rPr>
              <w:tab/>
            </w:r>
            <w:r>
              <w:rPr>
                <w:noProof/>
                <w:webHidden/>
              </w:rPr>
              <w:fldChar w:fldCharType="begin"/>
            </w:r>
            <w:r>
              <w:rPr>
                <w:noProof/>
                <w:webHidden/>
              </w:rPr>
              <w:instrText xml:space="preserve"> PAGEREF _Toc202900126 \h </w:instrText>
            </w:r>
            <w:r>
              <w:rPr>
                <w:noProof/>
                <w:webHidden/>
              </w:rPr>
            </w:r>
            <w:r>
              <w:rPr>
                <w:noProof/>
                <w:webHidden/>
              </w:rPr>
              <w:fldChar w:fldCharType="separate"/>
            </w:r>
            <w:r w:rsidR="000D75AE">
              <w:rPr>
                <w:noProof/>
                <w:webHidden/>
              </w:rPr>
              <w:t>275</w:t>
            </w:r>
            <w:r>
              <w:rPr>
                <w:noProof/>
                <w:webHidden/>
              </w:rPr>
              <w:fldChar w:fldCharType="end"/>
            </w:r>
          </w:hyperlink>
        </w:p>
        <w:p w14:paraId="7AEFBBE5" w14:textId="6ADE55A4" w:rsidR="00420D51" w:rsidRDefault="00420D51">
          <w:pPr>
            <w:pStyle w:val="TOC3"/>
            <w:rPr>
              <w:rFonts w:eastAsiaTheme="minorEastAsia"/>
              <w:noProof/>
              <w:spacing w:val="0"/>
              <w:kern w:val="2"/>
              <w:sz w:val="24"/>
              <w:lang w:eastAsia="en-AU"/>
              <w14:ligatures w14:val="standardContextual"/>
            </w:rPr>
          </w:pPr>
          <w:hyperlink w:anchor="_Toc202900127" w:history="1">
            <w:r w:rsidRPr="00492332">
              <w:rPr>
                <w:rStyle w:val="Hyperlink"/>
                <w:noProof/>
              </w:rPr>
              <w:t>12.7.3</w:t>
            </w:r>
            <w:r>
              <w:rPr>
                <w:rFonts w:eastAsiaTheme="minorEastAsia"/>
                <w:noProof/>
                <w:spacing w:val="0"/>
                <w:kern w:val="2"/>
                <w:sz w:val="24"/>
                <w:lang w:eastAsia="en-AU"/>
                <w14:ligatures w14:val="standardContextual"/>
              </w:rPr>
              <w:tab/>
            </w:r>
            <w:r w:rsidRPr="00492332">
              <w:rPr>
                <w:rStyle w:val="Hyperlink"/>
                <w:noProof/>
              </w:rPr>
              <w:t>Reporting DSP non-compliance</w:t>
            </w:r>
            <w:r>
              <w:rPr>
                <w:noProof/>
                <w:webHidden/>
              </w:rPr>
              <w:tab/>
            </w:r>
            <w:r>
              <w:rPr>
                <w:noProof/>
                <w:webHidden/>
              </w:rPr>
              <w:fldChar w:fldCharType="begin"/>
            </w:r>
            <w:r>
              <w:rPr>
                <w:noProof/>
                <w:webHidden/>
              </w:rPr>
              <w:instrText xml:space="preserve"> PAGEREF _Toc202900127 \h </w:instrText>
            </w:r>
            <w:r>
              <w:rPr>
                <w:noProof/>
                <w:webHidden/>
              </w:rPr>
            </w:r>
            <w:r>
              <w:rPr>
                <w:noProof/>
                <w:webHidden/>
              </w:rPr>
              <w:fldChar w:fldCharType="separate"/>
            </w:r>
            <w:r w:rsidR="000D75AE">
              <w:rPr>
                <w:noProof/>
                <w:webHidden/>
              </w:rPr>
              <w:t>276</w:t>
            </w:r>
            <w:r>
              <w:rPr>
                <w:noProof/>
                <w:webHidden/>
              </w:rPr>
              <w:fldChar w:fldCharType="end"/>
            </w:r>
          </w:hyperlink>
        </w:p>
        <w:p w14:paraId="5A083BBF" w14:textId="42571F14" w:rsidR="00420D51" w:rsidRDefault="00420D51">
          <w:pPr>
            <w:pStyle w:val="TOC2"/>
            <w:rPr>
              <w:rFonts w:eastAsiaTheme="minorEastAsia"/>
              <w:noProof/>
              <w:spacing w:val="0"/>
              <w:kern w:val="2"/>
              <w:sz w:val="24"/>
              <w:lang w:eastAsia="en-AU"/>
              <w14:ligatures w14:val="standardContextual"/>
            </w:rPr>
          </w:pPr>
          <w:hyperlink w:anchor="_Toc202900128" w:history="1">
            <w:r w:rsidRPr="00492332">
              <w:rPr>
                <w:rStyle w:val="Hyperlink"/>
                <w:noProof/>
              </w:rPr>
              <w:t>12.8</w:t>
            </w:r>
            <w:r>
              <w:rPr>
                <w:rFonts w:eastAsiaTheme="minorEastAsia"/>
                <w:noProof/>
                <w:spacing w:val="0"/>
                <w:kern w:val="2"/>
                <w:sz w:val="24"/>
                <w:lang w:eastAsia="en-AU"/>
                <w14:ligatures w14:val="standardContextual"/>
              </w:rPr>
              <w:tab/>
            </w:r>
            <w:r w:rsidRPr="00492332">
              <w:rPr>
                <w:rStyle w:val="Hyperlink"/>
                <w:noProof/>
              </w:rPr>
              <w:t>Record Keeping</w:t>
            </w:r>
            <w:r>
              <w:rPr>
                <w:noProof/>
                <w:webHidden/>
              </w:rPr>
              <w:tab/>
            </w:r>
            <w:r>
              <w:rPr>
                <w:noProof/>
                <w:webHidden/>
              </w:rPr>
              <w:fldChar w:fldCharType="begin"/>
            </w:r>
            <w:r>
              <w:rPr>
                <w:noProof/>
                <w:webHidden/>
              </w:rPr>
              <w:instrText xml:space="preserve"> PAGEREF _Toc202900128 \h </w:instrText>
            </w:r>
            <w:r>
              <w:rPr>
                <w:noProof/>
                <w:webHidden/>
              </w:rPr>
            </w:r>
            <w:r>
              <w:rPr>
                <w:noProof/>
                <w:webHidden/>
              </w:rPr>
              <w:fldChar w:fldCharType="separate"/>
            </w:r>
            <w:r w:rsidR="000D75AE">
              <w:rPr>
                <w:noProof/>
                <w:webHidden/>
              </w:rPr>
              <w:t>276</w:t>
            </w:r>
            <w:r>
              <w:rPr>
                <w:noProof/>
                <w:webHidden/>
              </w:rPr>
              <w:fldChar w:fldCharType="end"/>
            </w:r>
          </w:hyperlink>
        </w:p>
        <w:p w14:paraId="08E8FC76" w14:textId="24E16282" w:rsidR="00420D51" w:rsidRDefault="00420D51">
          <w:pPr>
            <w:pStyle w:val="TOC1"/>
            <w:tabs>
              <w:tab w:val="left" w:pos="1540"/>
            </w:tabs>
            <w:rPr>
              <w:rFonts w:eastAsiaTheme="minorEastAsia"/>
              <w:b w:val="0"/>
              <w:noProof/>
              <w:color w:val="auto"/>
              <w:spacing w:val="0"/>
              <w:kern w:val="2"/>
              <w:sz w:val="24"/>
              <w:lang w:eastAsia="en-AU"/>
              <w14:ligatures w14:val="standardContextual"/>
            </w:rPr>
          </w:pPr>
          <w:hyperlink w:anchor="_Toc202900129" w:history="1">
            <w:r w:rsidRPr="00492332">
              <w:rPr>
                <w:rStyle w:val="Hyperlink"/>
                <w:noProof/>
              </w:rPr>
              <w:t>Chapter 13:</w:t>
            </w:r>
            <w:r>
              <w:rPr>
                <w:rFonts w:eastAsiaTheme="minorEastAsia"/>
                <w:b w:val="0"/>
                <w:noProof/>
                <w:color w:val="auto"/>
                <w:spacing w:val="0"/>
                <w:kern w:val="2"/>
                <w:sz w:val="24"/>
                <w:lang w:eastAsia="en-AU"/>
                <w14:ligatures w14:val="standardContextual"/>
              </w:rPr>
              <w:tab/>
            </w:r>
            <w:r w:rsidRPr="00492332">
              <w:rPr>
                <w:rStyle w:val="Hyperlink"/>
                <w:noProof/>
              </w:rPr>
              <w:t>Servicing Participants with challenging behaviours</w:t>
            </w:r>
            <w:r>
              <w:rPr>
                <w:noProof/>
                <w:webHidden/>
              </w:rPr>
              <w:tab/>
            </w:r>
            <w:r>
              <w:rPr>
                <w:noProof/>
                <w:webHidden/>
              </w:rPr>
              <w:fldChar w:fldCharType="begin"/>
            </w:r>
            <w:r>
              <w:rPr>
                <w:noProof/>
                <w:webHidden/>
              </w:rPr>
              <w:instrText xml:space="preserve"> PAGEREF _Toc202900129 \h </w:instrText>
            </w:r>
            <w:r>
              <w:rPr>
                <w:noProof/>
                <w:webHidden/>
              </w:rPr>
            </w:r>
            <w:r>
              <w:rPr>
                <w:noProof/>
                <w:webHidden/>
              </w:rPr>
              <w:fldChar w:fldCharType="separate"/>
            </w:r>
            <w:r w:rsidR="000D75AE">
              <w:rPr>
                <w:noProof/>
                <w:webHidden/>
              </w:rPr>
              <w:t>278</w:t>
            </w:r>
            <w:r>
              <w:rPr>
                <w:noProof/>
                <w:webHidden/>
              </w:rPr>
              <w:fldChar w:fldCharType="end"/>
            </w:r>
          </w:hyperlink>
        </w:p>
        <w:p w14:paraId="6D29E7D2" w14:textId="5FEAB4CB" w:rsidR="00420D51" w:rsidRDefault="00420D51">
          <w:pPr>
            <w:pStyle w:val="TOC2"/>
            <w:rPr>
              <w:rFonts w:eastAsiaTheme="minorEastAsia"/>
              <w:noProof/>
              <w:spacing w:val="0"/>
              <w:kern w:val="2"/>
              <w:sz w:val="24"/>
              <w:lang w:eastAsia="en-AU"/>
              <w14:ligatures w14:val="standardContextual"/>
            </w:rPr>
          </w:pPr>
          <w:hyperlink w:anchor="_Toc202900130" w:history="1">
            <w:r w:rsidRPr="00492332">
              <w:rPr>
                <w:rStyle w:val="Hyperlink"/>
                <w:noProof/>
              </w:rPr>
              <w:t>13.1</w:t>
            </w:r>
            <w:r>
              <w:rPr>
                <w:rFonts w:eastAsiaTheme="minorEastAsia"/>
                <w:noProof/>
                <w:spacing w:val="0"/>
                <w:kern w:val="2"/>
                <w:sz w:val="24"/>
                <w:lang w:eastAsia="en-AU"/>
                <w14:ligatures w14:val="standardContextual"/>
              </w:rPr>
              <w:tab/>
            </w:r>
            <w:r w:rsidRPr="00492332">
              <w:rPr>
                <w:rStyle w:val="Hyperlink"/>
                <w:noProof/>
              </w:rPr>
              <w:t>Chapter Overview</w:t>
            </w:r>
            <w:r>
              <w:rPr>
                <w:noProof/>
                <w:webHidden/>
              </w:rPr>
              <w:tab/>
            </w:r>
            <w:r>
              <w:rPr>
                <w:noProof/>
                <w:webHidden/>
              </w:rPr>
              <w:fldChar w:fldCharType="begin"/>
            </w:r>
            <w:r>
              <w:rPr>
                <w:noProof/>
                <w:webHidden/>
              </w:rPr>
              <w:instrText xml:space="preserve"> PAGEREF _Toc202900130 \h </w:instrText>
            </w:r>
            <w:r>
              <w:rPr>
                <w:noProof/>
                <w:webHidden/>
              </w:rPr>
            </w:r>
            <w:r>
              <w:rPr>
                <w:noProof/>
                <w:webHidden/>
              </w:rPr>
              <w:fldChar w:fldCharType="separate"/>
            </w:r>
            <w:r w:rsidR="000D75AE">
              <w:rPr>
                <w:noProof/>
                <w:webHidden/>
              </w:rPr>
              <w:t>278</w:t>
            </w:r>
            <w:r>
              <w:rPr>
                <w:noProof/>
                <w:webHidden/>
              </w:rPr>
              <w:fldChar w:fldCharType="end"/>
            </w:r>
          </w:hyperlink>
        </w:p>
        <w:p w14:paraId="7BAF62E3" w14:textId="00D2BEC7" w:rsidR="00420D51" w:rsidRDefault="00420D51">
          <w:pPr>
            <w:pStyle w:val="TOC2"/>
            <w:rPr>
              <w:rFonts w:eastAsiaTheme="minorEastAsia"/>
              <w:noProof/>
              <w:spacing w:val="0"/>
              <w:kern w:val="2"/>
              <w:sz w:val="24"/>
              <w:lang w:eastAsia="en-AU"/>
              <w14:ligatures w14:val="standardContextual"/>
            </w:rPr>
          </w:pPr>
          <w:hyperlink w:anchor="_Toc202900131" w:history="1">
            <w:r w:rsidRPr="00492332">
              <w:rPr>
                <w:rStyle w:val="Hyperlink"/>
                <w:noProof/>
              </w:rPr>
              <w:t>13.2</w:t>
            </w:r>
            <w:r>
              <w:rPr>
                <w:rFonts w:eastAsiaTheme="minorEastAsia"/>
                <w:noProof/>
                <w:spacing w:val="0"/>
                <w:kern w:val="2"/>
                <w:sz w:val="24"/>
                <w:lang w:eastAsia="en-AU"/>
                <w14:ligatures w14:val="standardContextual"/>
              </w:rPr>
              <w:tab/>
            </w:r>
            <w:r w:rsidRPr="00492332">
              <w:rPr>
                <w:rStyle w:val="Hyperlink"/>
                <w:noProof/>
              </w:rPr>
              <w:t>Recognising challenging behaviour</w:t>
            </w:r>
            <w:r>
              <w:rPr>
                <w:noProof/>
                <w:webHidden/>
              </w:rPr>
              <w:tab/>
            </w:r>
            <w:r>
              <w:rPr>
                <w:noProof/>
                <w:webHidden/>
              </w:rPr>
              <w:fldChar w:fldCharType="begin"/>
            </w:r>
            <w:r>
              <w:rPr>
                <w:noProof/>
                <w:webHidden/>
              </w:rPr>
              <w:instrText xml:space="preserve"> PAGEREF _Toc202900131 \h </w:instrText>
            </w:r>
            <w:r>
              <w:rPr>
                <w:noProof/>
                <w:webHidden/>
              </w:rPr>
            </w:r>
            <w:r>
              <w:rPr>
                <w:noProof/>
                <w:webHidden/>
              </w:rPr>
              <w:fldChar w:fldCharType="separate"/>
            </w:r>
            <w:r w:rsidR="000D75AE">
              <w:rPr>
                <w:noProof/>
                <w:webHidden/>
              </w:rPr>
              <w:t>278</w:t>
            </w:r>
            <w:r>
              <w:rPr>
                <w:noProof/>
                <w:webHidden/>
              </w:rPr>
              <w:fldChar w:fldCharType="end"/>
            </w:r>
          </w:hyperlink>
        </w:p>
        <w:p w14:paraId="1271AB8F" w14:textId="61256BAA" w:rsidR="00420D51" w:rsidRDefault="00420D51">
          <w:pPr>
            <w:pStyle w:val="TOC2"/>
            <w:rPr>
              <w:rFonts w:eastAsiaTheme="minorEastAsia"/>
              <w:noProof/>
              <w:spacing w:val="0"/>
              <w:kern w:val="2"/>
              <w:sz w:val="24"/>
              <w:lang w:eastAsia="en-AU"/>
              <w14:ligatures w14:val="standardContextual"/>
            </w:rPr>
          </w:pPr>
          <w:hyperlink w:anchor="_Toc202900132" w:history="1">
            <w:r w:rsidRPr="00492332">
              <w:rPr>
                <w:rStyle w:val="Hyperlink"/>
                <w:noProof/>
              </w:rPr>
              <w:t>13.3</w:t>
            </w:r>
            <w:r>
              <w:rPr>
                <w:rFonts w:eastAsiaTheme="minorEastAsia"/>
                <w:noProof/>
                <w:spacing w:val="0"/>
                <w:kern w:val="2"/>
                <w:sz w:val="24"/>
                <w:lang w:eastAsia="en-AU"/>
                <w14:ligatures w14:val="standardContextual"/>
              </w:rPr>
              <w:tab/>
            </w:r>
            <w:r w:rsidRPr="00492332">
              <w:rPr>
                <w:rStyle w:val="Hyperlink"/>
                <w:noProof/>
              </w:rPr>
              <w:t>Managing a challenging behaviour Incident</w:t>
            </w:r>
            <w:r>
              <w:rPr>
                <w:noProof/>
                <w:webHidden/>
              </w:rPr>
              <w:tab/>
            </w:r>
            <w:r>
              <w:rPr>
                <w:noProof/>
                <w:webHidden/>
              </w:rPr>
              <w:fldChar w:fldCharType="begin"/>
            </w:r>
            <w:r>
              <w:rPr>
                <w:noProof/>
                <w:webHidden/>
              </w:rPr>
              <w:instrText xml:space="preserve"> PAGEREF _Toc202900132 \h </w:instrText>
            </w:r>
            <w:r>
              <w:rPr>
                <w:noProof/>
                <w:webHidden/>
              </w:rPr>
            </w:r>
            <w:r>
              <w:rPr>
                <w:noProof/>
                <w:webHidden/>
              </w:rPr>
              <w:fldChar w:fldCharType="separate"/>
            </w:r>
            <w:r w:rsidR="000D75AE">
              <w:rPr>
                <w:noProof/>
                <w:webHidden/>
              </w:rPr>
              <w:t>279</w:t>
            </w:r>
            <w:r>
              <w:rPr>
                <w:noProof/>
                <w:webHidden/>
              </w:rPr>
              <w:fldChar w:fldCharType="end"/>
            </w:r>
          </w:hyperlink>
        </w:p>
        <w:p w14:paraId="2DCF41A0" w14:textId="13DA76AD" w:rsidR="00420D51" w:rsidRDefault="00420D51">
          <w:pPr>
            <w:pStyle w:val="TOC3"/>
            <w:rPr>
              <w:rFonts w:eastAsiaTheme="minorEastAsia"/>
              <w:noProof/>
              <w:spacing w:val="0"/>
              <w:kern w:val="2"/>
              <w:sz w:val="24"/>
              <w:lang w:eastAsia="en-AU"/>
              <w14:ligatures w14:val="standardContextual"/>
            </w:rPr>
          </w:pPr>
          <w:hyperlink w:anchor="_Toc202900133" w:history="1">
            <w:r w:rsidRPr="00492332">
              <w:rPr>
                <w:rStyle w:val="Hyperlink"/>
                <w:noProof/>
              </w:rPr>
              <w:t>13.3.1</w:t>
            </w:r>
            <w:r>
              <w:rPr>
                <w:rFonts w:eastAsiaTheme="minorEastAsia"/>
                <w:noProof/>
                <w:spacing w:val="0"/>
                <w:kern w:val="2"/>
                <w:sz w:val="24"/>
                <w:lang w:eastAsia="en-AU"/>
                <w14:ligatures w14:val="standardContextual"/>
              </w:rPr>
              <w:tab/>
            </w:r>
            <w:r w:rsidRPr="00492332">
              <w:rPr>
                <w:rStyle w:val="Hyperlink"/>
                <w:noProof/>
              </w:rPr>
              <w:t>Maintaining an Incident Management Plan</w:t>
            </w:r>
            <w:r>
              <w:rPr>
                <w:noProof/>
                <w:webHidden/>
              </w:rPr>
              <w:tab/>
            </w:r>
            <w:r>
              <w:rPr>
                <w:noProof/>
                <w:webHidden/>
              </w:rPr>
              <w:fldChar w:fldCharType="begin"/>
            </w:r>
            <w:r>
              <w:rPr>
                <w:noProof/>
                <w:webHidden/>
              </w:rPr>
              <w:instrText xml:space="preserve"> PAGEREF _Toc202900133 \h </w:instrText>
            </w:r>
            <w:r>
              <w:rPr>
                <w:noProof/>
                <w:webHidden/>
              </w:rPr>
            </w:r>
            <w:r>
              <w:rPr>
                <w:noProof/>
                <w:webHidden/>
              </w:rPr>
              <w:fldChar w:fldCharType="separate"/>
            </w:r>
            <w:r w:rsidR="000D75AE">
              <w:rPr>
                <w:noProof/>
                <w:webHidden/>
              </w:rPr>
              <w:t>279</w:t>
            </w:r>
            <w:r>
              <w:rPr>
                <w:noProof/>
                <w:webHidden/>
              </w:rPr>
              <w:fldChar w:fldCharType="end"/>
            </w:r>
          </w:hyperlink>
        </w:p>
        <w:p w14:paraId="03156534" w14:textId="38671829" w:rsidR="00420D51" w:rsidRDefault="00420D51">
          <w:pPr>
            <w:pStyle w:val="TOC3"/>
            <w:rPr>
              <w:rFonts w:eastAsiaTheme="minorEastAsia"/>
              <w:noProof/>
              <w:spacing w:val="0"/>
              <w:kern w:val="2"/>
              <w:sz w:val="24"/>
              <w:lang w:eastAsia="en-AU"/>
              <w14:ligatures w14:val="standardContextual"/>
            </w:rPr>
          </w:pPr>
          <w:hyperlink w:anchor="_Toc202900134" w:history="1">
            <w:r w:rsidRPr="00492332">
              <w:rPr>
                <w:rStyle w:val="Hyperlink"/>
                <w:noProof/>
              </w:rPr>
              <w:t>13.3.2</w:t>
            </w:r>
            <w:r>
              <w:rPr>
                <w:rFonts w:eastAsiaTheme="minorEastAsia"/>
                <w:noProof/>
                <w:spacing w:val="0"/>
                <w:kern w:val="2"/>
                <w:sz w:val="24"/>
                <w:lang w:eastAsia="en-AU"/>
                <w14:ligatures w14:val="standardContextual"/>
              </w:rPr>
              <w:tab/>
            </w:r>
            <w:r w:rsidRPr="00492332">
              <w:rPr>
                <w:rStyle w:val="Hyperlink"/>
                <w:noProof/>
              </w:rPr>
              <w:t>General considerations</w:t>
            </w:r>
            <w:r>
              <w:rPr>
                <w:noProof/>
                <w:webHidden/>
              </w:rPr>
              <w:tab/>
            </w:r>
            <w:r>
              <w:rPr>
                <w:noProof/>
                <w:webHidden/>
              </w:rPr>
              <w:fldChar w:fldCharType="begin"/>
            </w:r>
            <w:r>
              <w:rPr>
                <w:noProof/>
                <w:webHidden/>
              </w:rPr>
              <w:instrText xml:space="preserve"> PAGEREF _Toc202900134 \h </w:instrText>
            </w:r>
            <w:r>
              <w:rPr>
                <w:noProof/>
                <w:webHidden/>
              </w:rPr>
            </w:r>
            <w:r>
              <w:rPr>
                <w:noProof/>
                <w:webHidden/>
              </w:rPr>
              <w:fldChar w:fldCharType="separate"/>
            </w:r>
            <w:r w:rsidR="000D75AE">
              <w:rPr>
                <w:noProof/>
                <w:webHidden/>
              </w:rPr>
              <w:t>279</w:t>
            </w:r>
            <w:r>
              <w:rPr>
                <w:noProof/>
                <w:webHidden/>
              </w:rPr>
              <w:fldChar w:fldCharType="end"/>
            </w:r>
          </w:hyperlink>
        </w:p>
        <w:p w14:paraId="66D839B4" w14:textId="3A47A872" w:rsidR="00420D51" w:rsidRDefault="00420D51">
          <w:pPr>
            <w:pStyle w:val="TOC3"/>
            <w:rPr>
              <w:rFonts w:eastAsiaTheme="minorEastAsia"/>
              <w:noProof/>
              <w:spacing w:val="0"/>
              <w:kern w:val="2"/>
              <w:sz w:val="24"/>
              <w:lang w:eastAsia="en-AU"/>
              <w14:ligatures w14:val="standardContextual"/>
            </w:rPr>
          </w:pPr>
          <w:hyperlink w:anchor="_Toc202900135" w:history="1">
            <w:r w:rsidRPr="00492332">
              <w:rPr>
                <w:rStyle w:val="Hyperlink"/>
                <w:noProof/>
              </w:rPr>
              <w:t>13.3.3</w:t>
            </w:r>
            <w:r>
              <w:rPr>
                <w:rFonts w:eastAsiaTheme="minorEastAsia"/>
                <w:noProof/>
                <w:spacing w:val="0"/>
                <w:kern w:val="2"/>
                <w:sz w:val="24"/>
                <w:lang w:eastAsia="en-AU"/>
                <w14:ligatures w14:val="standardContextual"/>
              </w:rPr>
              <w:tab/>
            </w:r>
            <w:r w:rsidRPr="00492332">
              <w:rPr>
                <w:rStyle w:val="Hyperlink"/>
                <w:noProof/>
              </w:rPr>
              <w:t>Immediate notification requirement</w:t>
            </w:r>
            <w:r>
              <w:rPr>
                <w:noProof/>
                <w:webHidden/>
              </w:rPr>
              <w:tab/>
            </w:r>
            <w:r>
              <w:rPr>
                <w:noProof/>
                <w:webHidden/>
              </w:rPr>
              <w:fldChar w:fldCharType="begin"/>
            </w:r>
            <w:r>
              <w:rPr>
                <w:noProof/>
                <w:webHidden/>
              </w:rPr>
              <w:instrText xml:space="preserve"> PAGEREF _Toc202900135 \h </w:instrText>
            </w:r>
            <w:r>
              <w:rPr>
                <w:noProof/>
                <w:webHidden/>
              </w:rPr>
            </w:r>
            <w:r>
              <w:rPr>
                <w:noProof/>
                <w:webHidden/>
              </w:rPr>
              <w:fldChar w:fldCharType="separate"/>
            </w:r>
            <w:r w:rsidR="000D75AE">
              <w:rPr>
                <w:noProof/>
                <w:webHidden/>
              </w:rPr>
              <w:t>279</w:t>
            </w:r>
            <w:r>
              <w:rPr>
                <w:noProof/>
                <w:webHidden/>
              </w:rPr>
              <w:fldChar w:fldCharType="end"/>
            </w:r>
          </w:hyperlink>
        </w:p>
        <w:p w14:paraId="102AA8FB" w14:textId="06FE52EF" w:rsidR="00420D51" w:rsidRDefault="00420D51">
          <w:pPr>
            <w:pStyle w:val="TOC3"/>
            <w:rPr>
              <w:rFonts w:eastAsiaTheme="minorEastAsia"/>
              <w:noProof/>
              <w:spacing w:val="0"/>
              <w:kern w:val="2"/>
              <w:sz w:val="24"/>
              <w:lang w:eastAsia="en-AU"/>
              <w14:ligatures w14:val="standardContextual"/>
            </w:rPr>
          </w:pPr>
          <w:hyperlink w:anchor="_Toc202900136" w:history="1">
            <w:r w:rsidRPr="00492332">
              <w:rPr>
                <w:rStyle w:val="Hyperlink"/>
                <w:noProof/>
              </w:rPr>
              <w:t>13.3.4</w:t>
            </w:r>
            <w:r>
              <w:rPr>
                <w:rFonts w:eastAsiaTheme="minorEastAsia"/>
                <w:noProof/>
                <w:spacing w:val="0"/>
                <w:kern w:val="2"/>
                <w:sz w:val="24"/>
                <w:lang w:eastAsia="en-AU"/>
                <w14:ligatures w14:val="standardContextual"/>
              </w:rPr>
              <w:tab/>
            </w:r>
            <w:r w:rsidRPr="00492332">
              <w:rPr>
                <w:rStyle w:val="Hyperlink"/>
                <w:noProof/>
              </w:rPr>
              <w:t>Notifying Services Australia</w:t>
            </w:r>
            <w:r>
              <w:rPr>
                <w:noProof/>
                <w:webHidden/>
              </w:rPr>
              <w:tab/>
            </w:r>
            <w:r>
              <w:rPr>
                <w:noProof/>
                <w:webHidden/>
              </w:rPr>
              <w:fldChar w:fldCharType="begin"/>
            </w:r>
            <w:r>
              <w:rPr>
                <w:noProof/>
                <w:webHidden/>
              </w:rPr>
              <w:instrText xml:space="preserve"> PAGEREF _Toc202900136 \h </w:instrText>
            </w:r>
            <w:r>
              <w:rPr>
                <w:noProof/>
                <w:webHidden/>
              </w:rPr>
            </w:r>
            <w:r>
              <w:rPr>
                <w:noProof/>
                <w:webHidden/>
              </w:rPr>
              <w:fldChar w:fldCharType="separate"/>
            </w:r>
            <w:r w:rsidR="000D75AE">
              <w:rPr>
                <w:noProof/>
                <w:webHidden/>
              </w:rPr>
              <w:t>279</w:t>
            </w:r>
            <w:r>
              <w:rPr>
                <w:noProof/>
                <w:webHidden/>
              </w:rPr>
              <w:fldChar w:fldCharType="end"/>
            </w:r>
          </w:hyperlink>
        </w:p>
        <w:p w14:paraId="4FA14F98" w14:textId="2DB8DAE2" w:rsidR="00420D51" w:rsidRDefault="00420D51">
          <w:pPr>
            <w:pStyle w:val="TOC3"/>
            <w:rPr>
              <w:rFonts w:eastAsiaTheme="minorEastAsia"/>
              <w:noProof/>
              <w:spacing w:val="0"/>
              <w:kern w:val="2"/>
              <w:sz w:val="24"/>
              <w:lang w:eastAsia="en-AU"/>
              <w14:ligatures w14:val="standardContextual"/>
            </w:rPr>
          </w:pPr>
          <w:hyperlink w:anchor="_Toc202900137" w:history="1">
            <w:r w:rsidRPr="00492332">
              <w:rPr>
                <w:rStyle w:val="Hyperlink"/>
                <w:noProof/>
              </w:rPr>
              <w:t>13.3.5</w:t>
            </w:r>
            <w:r>
              <w:rPr>
                <w:rFonts w:eastAsiaTheme="minorEastAsia"/>
                <w:noProof/>
                <w:spacing w:val="0"/>
                <w:kern w:val="2"/>
                <w:sz w:val="24"/>
                <w:lang w:eastAsia="en-AU"/>
                <w14:ligatures w14:val="standardContextual"/>
              </w:rPr>
              <w:tab/>
            </w:r>
            <w:r w:rsidRPr="00492332">
              <w:rPr>
                <w:rStyle w:val="Hyperlink"/>
                <w:noProof/>
              </w:rPr>
              <w:t>Temporary Site closures</w:t>
            </w:r>
            <w:r>
              <w:rPr>
                <w:noProof/>
                <w:webHidden/>
              </w:rPr>
              <w:tab/>
            </w:r>
            <w:r>
              <w:rPr>
                <w:noProof/>
                <w:webHidden/>
              </w:rPr>
              <w:fldChar w:fldCharType="begin"/>
            </w:r>
            <w:r>
              <w:rPr>
                <w:noProof/>
                <w:webHidden/>
              </w:rPr>
              <w:instrText xml:space="preserve"> PAGEREF _Toc202900137 \h </w:instrText>
            </w:r>
            <w:r>
              <w:rPr>
                <w:noProof/>
                <w:webHidden/>
              </w:rPr>
            </w:r>
            <w:r>
              <w:rPr>
                <w:noProof/>
                <w:webHidden/>
              </w:rPr>
              <w:fldChar w:fldCharType="separate"/>
            </w:r>
            <w:r w:rsidR="000D75AE">
              <w:rPr>
                <w:noProof/>
                <w:webHidden/>
              </w:rPr>
              <w:t>280</w:t>
            </w:r>
            <w:r>
              <w:rPr>
                <w:noProof/>
                <w:webHidden/>
              </w:rPr>
              <w:fldChar w:fldCharType="end"/>
            </w:r>
          </w:hyperlink>
        </w:p>
        <w:p w14:paraId="7A774CB6" w14:textId="117A52F4" w:rsidR="00420D51" w:rsidRDefault="00420D51">
          <w:pPr>
            <w:pStyle w:val="TOC3"/>
            <w:rPr>
              <w:rFonts w:eastAsiaTheme="minorEastAsia"/>
              <w:noProof/>
              <w:spacing w:val="0"/>
              <w:kern w:val="2"/>
              <w:sz w:val="24"/>
              <w:lang w:eastAsia="en-AU"/>
              <w14:ligatures w14:val="standardContextual"/>
            </w:rPr>
          </w:pPr>
          <w:hyperlink w:anchor="_Toc202900138" w:history="1">
            <w:r w:rsidRPr="00492332">
              <w:rPr>
                <w:rStyle w:val="Hyperlink"/>
                <w:noProof/>
              </w:rPr>
              <w:t>13.3.6</w:t>
            </w:r>
            <w:r>
              <w:rPr>
                <w:rFonts w:eastAsiaTheme="minorEastAsia"/>
                <w:noProof/>
                <w:spacing w:val="0"/>
                <w:kern w:val="2"/>
                <w:sz w:val="24"/>
                <w:lang w:eastAsia="en-AU"/>
                <w14:ligatures w14:val="standardContextual"/>
              </w:rPr>
              <w:tab/>
            </w:r>
            <w:r w:rsidRPr="00492332">
              <w:rPr>
                <w:rStyle w:val="Hyperlink"/>
                <w:noProof/>
              </w:rPr>
              <w:t>Disclosure of Personal and Sensitive Information</w:t>
            </w:r>
            <w:r>
              <w:rPr>
                <w:noProof/>
                <w:webHidden/>
              </w:rPr>
              <w:tab/>
            </w:r>
            <w:r>
              <w:rPr>
                <w:noProof/>
                <w:webHidden/>
              </w:rPr>
              <w:fldChar w:fldCharType="begin"/>
            </w:r>
            <w:r>
              <w:rPr>
                <w:noProof/>
                <w:webHidden/>
              </w:rPr>
              <w:instrText xml:space="preserve"> PAGEREF _Toc202900138 \h </w:instrText>
            </w:r>
            <w:r>
              <w:rPr>
                <w:noProof/>
                <w:webHidden/>
              </w:rPr>
            </w:r>
            <w:r>
              <w:rPr>
                <w:noProof/>
                <w:webHidden/>
              </w:rPr>
              <w:fldChar w:fldCharType="separate"/>
            </w:r>
            <w:r w:rsidR="000D75AE">
              <w:rPr>
                <w:noProof/>
                <w:webHidden/>
              </w:rPr>
              <w:t>280</w:t>
            </w:r>
            <w:r>
              <w:rPr>
                <w:noProof/>
                <w:webHidden/>
              </w:rPr>
              <w:fldChar w:fldCharType="end"/>
            </w:r>
          </w:hyperlink>
        </w:p>
        <w:p w14:paraId="4DC6E1CB" w14:textId="196AC9AC" w:rsidR="00420D51" w:rsidRDefault="00420D51">
          <w:pPr>
            <w:pStyle w:val="TOC2"/>
            <w:rPr>
              <w:rFonts w:eastAsiaTheme="minorEastAsia"/>
              <w:noProof/>
              <w:spacing w:val="0"/>
              <w:kern w:val="2"/>
              <w:sz w:val="24"/>
              <w:lang w:eastAsia="en-AU"/>
              <w14:ligatures w14:val="standardContextual"/>
            </w:rPr>
          </w:pPr>
          <w:hyperlink w:anchor="_Toc202900139" w:history="1">
            <w:r w:rsidRPr="00492332">
              <w:rPr>
                <w:rStyle w:val="Hyperlink"/>
                <w:noProof/>
              </w:rPr>
              <w:t>13.4</w:t>
            </w:r>
            <w:r>
              <w:rPr>
                <w:rFonts w:eastAsiaTheme="minorEastAsia"/>
                <w:noProof/>
                <w:spacing w:val="0"/>
                <w:kern w:val="2"/>
                <w:sz w:val="24"/>
                <w:lang w:eastAsia="en-AU"/>
                <w14:ligatures w14:val="standardContextual"/>
              </w:rPr>
              <w:tab/>
            </w:r>
            <w:r w:rsidRPr="00492332">
              <w:rPr>
                <w:rStyle w:val="Hyperlink"/>
                <w:noProof/>
              </w:rPr>
              <w:t>Reporting Incidents of challenging behaviours</w:t>
            </w:r>
            <w:r>
              <w:rPr>
                <w:noProof/>
                <w:webHidden/>
              </w:rPr>
              <w:tab/>
            </w:r>
            <w:r>
              <w:rPr>
                <w:noProof/>
                <w:webHidden/>
              </w:rPr>
              <w:fldChar w:fldCharType="begin"/>
            </w:r>
            <w:r>
              <w:rPr>
                <w:noProof/>
                <w:webHidden/>
              </w:rPr>
              <w:instrText xml:space="preserve"> PAGEREF _Toc202900139 \h </w:instrText>
            </w:r>
            <w:r>
              <w:rPr>
                <w:noProof/>
                <w:webHidden/>
              </w:rPr>
            </w:r>
            <w:r>
              <w:rPr>
                <w:noProof/>
                <w:webHidden/>
              </w:rPr>
              <w:fldChar w:fldCharType="separate"/>
            </w:r>
            <w:r w:rsidR="000D75AE">
              <w:rPr>
                <w:noProof/>
                <w:webHidden/>
              </w:rPr>
              <w:t>280</w:t>
            </w:r>
            <w:r>
              <w:rPr>
                <w:noProof/>
                <w:webHidden/>
              </w:rPr>
              <w:fldChar w:fldCharType="end"/>
            </w:r>
          </w:hyperlink>
        </w:p>
        <w:p w14:paraId="61D1165D" w14:textId="03272820" w:rsidR="00420D51" w:rsidRDefault="00420D51">
          <w:pPr>
            <w:pStyle w:val="TOC2"/>
            <w:rPr>
              <w:rFonts w:eastAsiaTheme="minorEastAsia"/>
              <w:noProof/>
              <w:spacing w:val="0"/>
              <w:kern w:val="2"/>
              <w:sz w:val="24"/>
              <w:lang w:eastAsia="en-AU"/>
              <w14:ligatures w14:val="standardContextual"/>
            </w:rPr>
          </w:pPr>
          <w:hyperlink w:anchor="_Toc202900140" w:history="1">
            <w:r w:rsidRPr="00492332">
              <w:rPr>
                <w:rStyle w:val="Hyperlink"/>
                <w:noProof/>
              </w:rPr>
              <w:t>13.5</w:t>
            </w:r>
            <w:r>
              <w:rPr>
                <w:rFonts w:eastAsiaTheme="minorEastAsia"/>
                <w:noProof/>
                <w:spacing w:val="0"/>
                <w:kern w:val="2"/>
                <w:sz w:val="24"/>
                <w:lang w:eastAsia="en-AU"/>
                <w14:ligatures w14:val="standardContextual"/>
              </w:rPr>
              <w:tab/>
            </w:r>
            <w:r w:rsidRPr="00492332">
              <w:rPr>
                <w:rStyle w:val="Hyperlink"/>
                <w:noProof/>
              </w:rPr>
              <w:t>Post-Incident contact</w:t>
            </w:r>
            <w:r>
              <w:rPr>
                <w:noProof/>
                <w:webHidden/>
              </w:rPr>
              <w:tab/>
            </w:r>
            <w:r>
              <w:rPr>
                <w:noProof/>
                <w:webHidden/>
              </w:rPr>
              <w:fldChar w:fldCharType="begin"/>
            </w:r>
            <w:r>
              <w:rPr>
                <w:noProof/>
                <w:webHidden/>
              </w:rPr>
              <w:instrText xml:space="preserve"> PAGEREF _Toc202900140 \h </w:instrText>
            </w:r>
            <w:r>
              <w:rPr>
                <w:noProof/>
                <w:webHidden/>
              </w:rPr>
            </w:r>
            <w:r>
              <w:rPr>
                <w:noProof/>
                <w:webHidden/>
              </w:rPr>
              <w:fldChar w:fldCharType="separate"/>
            </w:r>
            <w:r w:rsidR="000D75AE">
              <w:rPr>
                <w:noProof/>
                <w:webHidden/>
              </w:rPr>
              <w:t>281</w:t>
            </w:r>
            <w:r>
              <w:rPr>
                <w:noProof/>
                <w:webHidden/>
              </w:rPr>
              <w:fldChar w:fldCharType="end"/>
            </w:r>
          </w:hyperlink>
        </w:p>
        <w:p w14:paraId="2D53E406" w14:textId="789B31E4" w:rsidR="00420D51" w:rsidRDefault="00420D51">
          <w:pPr>
            <w:pStyle w:val="TOC2"/>
            <w:rPr>
              <w:rFonts w:eastAsiaTheme="minorEastAsia"/>
              <w:noProof/>
              <w:spacing w:val="0"/>
              <w:kern w:val="2"/>
              <w:sz w:val="24"/>
              <w:lang w:eastAsia="en-AU"/>
              <w14:ligatures w14:val="standardContextual"/>
            </w:rPr>
          </w:pPr>
          <w:hyperlink w:anchor="_Toc202900141" w:history="1">
            <w:r w:rsidRPr="00492332">
              <w:rPr>
                <w:rStyle w:val="Hyperlink"/>
                <w:noProof/>
              </w:rPr>
              <w:t>13.6</w:t>
            </w:r>
            <w:r>
              <w:rPr>
                <w:rFonts w:eastAsiaTheme="minorEastAsia"/>
                <w:noProof/>
                <w:spacing w:val="0"/>
                <w:kern w:val="2"/>
                <w:sz w:val="24"/>
                <w:lang w:eastAsia="en-AU"/>
                <w14:ligatures w14:val="standardContextual"/>
              </w:rPr>
              <w:tab/>
            </w:r>
            <w:r w:rsidRPr="00492332">
              <w:rPr>
                <w:rStyle w:val="Hyperlink"/>
                <w:noProof/>
              </w:rPr>
              <w:t>Key steps before applying a Managed Service Plan</w:t>
            </w:r>
            <w:r>
              <w:rPr>
                <w:noProof/>
                <w:webHidden/>
              </w:rPr>
              <w:tab/>
            </w:r>
            <w:r>
              <w:rPr>
                <w:noProof/>
                <w:webHidden/>
              </w:rPr>
              <w:fldChar w:fldCharType="begin"/>
            </w:r>
            <w:r>
              <w:rPr>
                <w:noProof/>
                <w:webHidden/>
              </w:rPr>
              <w:instrText xml:space="preserve"> PAGEREF _Toc202900141 \h </w:instrText>
            </w:r>
            <w:r>
              <w:rPr>
                <w:noProof/>
                <w:webHidden/>
              </w:rPr>
            </w:r>
            <w:r>
              <w:rPr>
                <w:noProof/>
                <w:webHidden/>
              </w:rPr>
              <w:fldChar w:fldCharType="separate"/>
            </w:r>
            <w:r w:rsidR="000D75AE">
              <w:rPr>
                <w:noProof/>
                <w:webHidden/>
              </w:rPr>
              <w:t>281</w:t>
            </w:r>
            <w:r>
              <w:rPr>
                <w:noProof/>
                <w:webHidden/>
              </w:rPr>
              <w:fldChar w:fldCharType="end"/>
            </w:r>
          </w:hyperlink>
        </w:p>
        <w:p w14:paraId="065F85C9" w14:textId="1F9057CE" w:rsidR="00420D51" w:rsidRDefault="00420D51">
          <w:pPr>
            <w:pStyle w:val="TOC3"/>
            <w:rPr>
              <w:rFonts w:eastAsiaTheme="minorEastAsia"/>
              <w:noProof/>
              <w:spacing w:val="0"/>
              <w:kern w:val="2"/>
              <w:sz w:val="24"/>
              <w:lang w:eastAsia="en-AU"/>
              <w14:ligatures w14:val="standardContextual"/>
            </w:rPr>
          </w:pPr>
          <w:hyperlink w:anchor="_Toc202900142" w:history="1">
            <w:r w:rsidRPr="00492332">
              <w:rPr>
                <w:rStyle w:val="Hyperlink"/>
                <w:noProof/>
              </w:rPr>
              <w:t>13.6.1</w:t>
            </w:r>
            <w:r>
              <w:rPr>
                <w:rFonts w:eastAsiaTheme="minorEastAsia"/>
                <w:noProof/>
                <w:spacing w:val="0"/>
                <w:kern w:val="2"/>
                <w:sz w:val="24"/>
                <w:lang w:eastAsia="en-AU"/>
                <w14:ligatures w14:val="standardContextual"/>
              </w:rPr>
              <w:tab/>
            </w:r>
            <w:r w:rsidRPr="00492332">
              <w:rPr>
                <w:rStyle w:val="Hyperlink"/>
                <w:noProof/>
              </w:rPr>
              <w:t>Determining if there were contributing factors</w:t>
            </w:r>
            <w:r>
              <w:rPr>
                <w:noProof/>
                <w:webHidden/>
              </w:rPr>
              <w:tab/>
            </w:r>
            <w:r>
              <w:rPr>
                <w:noProof/>
                <w:webHidden/>
              </w:rPr>
              <w:fldChar w:fldCharType="begin"/>
            </w:r>
            <w:r>
              <w:rPr>
                <w:noProof/>
                <w:webHidden/>
              </w:rPr>
              <w:instrText xml:space="preserve"> PAGEREF _Toc202900142 \h </w:instrText>
            </w:r>
            <w:r>
              <w:rPr>
                <w:noProof/>
                <w:webHidden/>
              </w:rPr>
            </w:r>
            <w:r>
              <w:rPr>
                <w:noProof/>
                <w:webHidden/>
              </w:rPr>
              <w:fldChar w:fldCharType="separate"/>
            </w:r>
            <w:r w:rsidR="000D75AE">
              <w:rPr>
                <w:noProof/>
                <w:webHidden/>
              </w:rPr>
              <w:t>282</w:t>
            </w:r>
            <w:r>
              <w:rPr>
                <w:noProof/>
                <w:webHidden/>
              </w:rPr>
              <w:fldChar w:fldCharType="end"/>
            </w:r>
          </w:hyperlink>
        </w:p>
        <w:p w14:paraId="199C2E10" w14:textId="7D251D2A" w:rsidR="00420D51" w:rsidRDefault="00420D51">
          <w:pPr>
            <w:pStyle w:val="TOC2"/>
            <w:rPr>
              <w:rFonts w:eastAsiaTheme="minorEastAsia"/>
              <w:noProof/>
              <w:spacing w:val="0"/>
              <w:kern w:val="2"/>
              <w:sz w:val="24"/>
              <w:lang w:eastAsia="en-AU"/>
              <w14:ligatures w14:val="standardContextual"/>
            </w:rPr>
          </w:pPr>
          <w:hyperlink w:anchor="_Toc202900143" w:history="1">
            <w:r w:rsidRPr="00492332">
              <w:rPr>
                <w:rStyle w:val="Hyperlink"/>
                <w:noProof/>
              </w:rPr>
              <w:t>13.7</w:t>
            </w:r>
            <w:r>
              <w:rPr>
                <w:rFonts w:eastAsiaTheme="minorEastAsia"/>
                <w:noProof/>
                <w:spacing w:val="0"/>
                <w:kern w:val="2"/>
                <w:sz w:val="24"/>
                <w:lang w:eastAsia="en-AU"/>
                <w14:ligatures w14:val="standardContextual"/>
              </w:rPr>
              <w:tab/>
            </w:r>
            <w:r w:rsidRPr="00492332">
              <w:rPr>
                <w:rStyle w:val="Hyperlink"/>
                <w:noProof/>
              </w:rPr>
              <w:t>Creating a Managed Service Plan</w:t>
            </w:r>
            <w:r>
              <w:rPr>
                <w:noProof/>
                <w:webHidden/>
              </w:rPr>
              <w:tab/>
            </w:r>
            <w:r>
              <w:rPr>
                <w:noProof/>
                <w:webHidden/>
              </w:rPr>
              <w:fldChar w:fldCharType="begin"/>
            </w:r>
            <w:r>
              <w:rPr>
                <w:noProof/>
                <w:webHidden/>
              </w:rPr>
              <w:instrText xml:space="preserve"> PAGEREF _Toc202900143 \h </w:instrText>
            </w:r>
            <w:r>
              <w:rPr>
                <w:noProof/>
                <w:webHidden/>
              </w:rPr>
            </w:r>
            <w:r>
              <w:rPr>
                <w:noProof/>
                <w:webHidden/>
              </w:rPr>
              <w:fldChar w:fldCharType="separate"/>
            </w:r>
            <w:r w:rsidR="000D75AE">
              <w:rPr>
                <w:noProof/>
                <w:webHidden/>
              </w:rPr>
              <w:t>282</w:t>
            </w:r>
            <w:r>
              <w:rPr>
                <w:noProof/>
                <w:webHidden/>
              </w:rPr>
              <w:fldChar w:fldCharType="end"/>
            </w:r>
          </w:hyperlink>
        </w:p>
        <w:p w14:paraId="179FDE94" w14:textId="5B0644AE" w:rsidR="00420D51" w:rsidRDefault="00420D51">
          <w:pPr>
            <w:pStyle w:val="TOC3"/>
            <w:rPr>
              <w:rFonts w:eastAsiaTheme="minorEastAsia"/>
              <w:noProof/>
              <w:spacing w:val="0"/>
              <w:kern w:val="2"/>
              <w:sz w:val="24"/>
              <w:lang w:eastAsia="en-AU"/>
              <w14:ligatures w14:val="standardContextual"/>
            </w:rPr>
          </w:pPr>
          <w:hyperlink w:anchor="_Toc202900144" w:history="1">
            <w:r w:rsidRPr="00492332">
              <w:rPr>
                <w:rStyle w:val="Hyperlink"/>
                <w:noProof/>
              </w:rPr>
              <w:t>13.7.1</w:t>
            </w:r>
            <w:r>
              <w:rPr>
                <w:rFonts w:eastAsiaTheme="minorEastAsia"/>
                <w:noProof/>
                <w:spacing w:val="0"/>
                <w:kern w:val="2"/>
                <w:sz w:val="24"/>
                <w:lang w:eastAsia="en-AU"/>
                <w14:ligatures w14:val="standardContextual"/>
              </w:rPr>
              <w:tab/>
            </w:r>
            <w:r w:rsidRPr="00492332">
              <w:rPr>
                <w:rStyle w:val="Hyperlink"/>
                <w:noProof/>
              </w:rPr>
              <w:t>Report types</w:t>
            </w:r>
            <w:r>
              <w:rPr>
                <w:noProof/>
                <w:webHidden/>
              </w:rPr>
              <w:tab/>
            </w:r>
            <w:r>
              <w:rPr>
                <w:noProof/>
                <w:webHidden/>
              </w:rPr>
              <w:fldChar w:fldCharType="begin"/>
            </w:r>
            <w:r>
              <w:rPr>
                <w:noProof/>
                <w:webHidden/>
              </w:rPr>
              <w:instrText xml:space="preserve"> PAGEREF _Toc202900144 \h </w:instrText>
            </w:r>
            <w:r>
              <w:rPr>
                <w:noProof/>
                <w:webHidden/>
              </w:rPr>
            </w:r>
            <w:r>
              <w:rPr>
                <w:noProof/>
                <w:webHidden/>
              </w:rPr>
              <w:fldChar w:fldCharType="separate"/>
            </w:r>
            <w:r w:rsidR="000D75AE">
              <w:rPr>
                <w:noProof/>
                <w:webHidden/>
              </w:rPr>
              <w:t>282</w:t>
            </w:r>
            <w:r>
              <w:rPr>
                <w:noProof/>
                <w:webHidden/>
              </w:rPr>
              <w:fldChar w:fldCharType="end"/>
            </w:r>
          </w:hyperlink>
        </w:p>
        <w:p w14:paraId="6B2A812B" w14:textId="4FB7C401" w:rsidR="00420D51" w:rsidRDefault="00420D51">
          <w:pPr>
            <w:pStyle w:val="TOC3"/>
            <w:rPr>
              <w:rFonts w:eastAsiaTheme="minorEastAsia"/>
              <w:noProof/>
              <w:spacing w:val="0"/>
              <w:kern w:val="2"/>
              <w:sz w:val="24"/>
              <w:lang w:eastAsia="en-AU"/>
              <w14:ligatures w14:val="standardContextual"/>
            </w:rPr>
          </w:pPr>
          <w:hyperlink w:anchor="_Toc202900145" w:history="1">
            <w:r w:rsidRPr="00492332">
              <w:rPr>
                <w:rStyle w:val="Hyperlink"/>
                <w:noProof/>
              </w:rPr>
              <w:t>13.7.2</w:t>
            </w:r>
            <w:r>
              <w:rPr>
                <w:rFonts w:eastAsiaTheme="minorEastAsia"/>
                <w:noProof/>
                <w:spacing w:val="0"/>
                <w:kern w:val="2"/>
                <w:sz w:val="24"/>
                <w:lang w:eastAsia="en-AU"/>
                <w14:ligatures w14:val="standardContextual"/>
              </w:rPr>
              <w:tab/>
            </w:r>
            <w:r w:rsidRPr="00492332">
              <w:rPr>
                <w:rStyle w:val="Hyperlink"/>
                <w:noProof/>
              </w:rPr>
              <w:t>Timeframes</w:t>
            </w:r>
            <w:r>
              <w:rPr>
                <w:noProof/>
                <w:webHidden/>
              </w:rPr>
              <w:tab/>
            </w:r>
            <w:r>
              <w:rPr>
                <w:noProof/>
                <w:webHidden/>
              </w:rPr>
              <w:fldChar w:fldCharType="begin"/>
            </w:r>
            <w:r>
              <w:rPr>
                <w:noProof/>
                <w:webHidden/>
              </w:rPr>
              <w:instrText xml:space="preserve"> PAGEREF _Toc202900145 \h </w:instrText>
            </w:r>
            <w:r>
              <w:rPr>
                <w:noProof/>
                <w:webHidden/>
              </w:rPr>
            </w:r>
            <w:r>
              <w:rPr>
                <w:noProof/>
                <w:webHidden/>
              </w:rPr>
              <w:fldChar w:fldCharType="separate"/>
            </w:r>
            <w:r w:rsidR="000D75AE">
              <w:rPr>
                <w:noProof/>
                <w:webHidden/>
              </w:rPr>
              <w:t>282</w:t>
            </w:r>
            <w:r>
              <w:rPr>
                <w:noProof/>
                <w:webHidden/>
              </w:rPr>
              <w:fldChar w:fldCharType="end"/>
            </w:r>
          </w:hyperlink>
        </w:p>
        <w:p w14:paraId="58AA51AB" w14:textId="02C3DD73" w:rsidR="00420D51" w:rsidRDefault="00420D51">
          <w:pPr>
            <w:pStyle w:val="TOC3"/>
            <w:rPr>
              <w:rFonts w:eastAsiaTheme="minorEastAsia"/>
              <w:noProof/>
              <w:spacing w:val="0"/>
              <w:kern w:val="2"/>
              <w:sz w:val="24"/>
              <w:lang w:eastAsia="en-AU"/>
              <w14:ligatures w14:val="standardContextual"/>
            </w:rPr>
          </w:pPr>
          <w:hyperlink w:anchor="_Toc202900146" w:history="1">
            <w:r w:rsidRPr="00492332">
              <w:rPr>
                <w:rStyle w:val="Hyperlink"/>
                <w:noProof/>
              </w:rPr>
              <w:t>13.7.3</w:t>
            </w:r>
            <w:r>
              <w:rPr>
                <w:rFonts w:eastAsiaTheme="minorEastAsia"/>
                <w:noProof/>
                <w:spacing w:val="0"/>
                <w:kern w:val="2"/>
                <w:sz w:val="24"/>
                <w:lang w:eastAsia="en-AU"/>
                <w14:ligatures w14:val="standardContextual"/>
              </w:rPr>
              <w:tab/>
            </w:r>
            <w:r w:rsidRPr="00492332">
              <w:rPr>
                <w:rStyle w:val="Hyperlink"/>
                <w:noProof/>
              </w:rPr>
              <w:t>Servicing strategies</w:t>
            </w:r>
            <w:r>
              <w:rPr>
                <w:noProof/>
                <w:webHidden/>
              </w:rPr>
              <w:tab/>
            </w:r>
            <w:r>
              <w:rPr>
                <w:noProof/>
                <w:webHidden/>
              </w:rPr>
              <w:fldChar w:fldCharType="begin"/>
            </w:r>
            <w:r>
              <w:rPr>
                <w:noProof/>
                <w:webHidden/>
              </w:rPr>
              <w:instrText xml:space="preserve"> PAGEREF _Toc202900146 \h </w:instrText>
            </w:r>
            <w:r>
              <w:rPr>
                <w:noProof/>
                <w:webHidden/>
              </w:rPr>
            </w:r>
            <w:r>
              <w:rPr>
                <w:noProof/>
                <w:webHidden/>
              </w:rPr>
              <w:fldChar w:fldCharType="separate"/>
            </w:r>
            <w:r w:rsidR="000D75AE">
              <w:rPr>
                <w:noProof/>
                <w:webHidden/>
              </w:rPr>
              <w:t>283</w:t>
            </w:r>
            <w:r>
              <w:rPr>
                <w:noProof/>
                <w:webHidden/>
              </w:rPr>
              <w:fldChar w:fldCharType="end"/>
            </w:r>
          </w:hyperlink>
        </w:p>
        <w:p w14:paraId="190C017D" w14:textId="50D49EE6" w:rsidR="00420D51" w:rsidRDefault="00420D51">
          <w:pPr>
            <w:pStyle w:val="TOC3"/>
            <w:rPr>
              <w:rFonts w:eastAsiaTheme="minorEastAsia"/>
              <w:noProof/>
              <w:spacing w:val="0"/>
              <w:kern w:val="2"/>
              <w:sz w:val="24"/>
              <w:lang w:eastAsia="en-AU"/>
              <w14:ligatures w14:val="standardContextual"/>
            </w:rPr>
          </w:pPr>
          <w:hyperlink w:anchor="_Toc202900147" w:history="1">
            <w:r w:rsidRPr="00492332">
              <w:rPr>
                <w:rStyle w:val="Hyperlink"/>
                <w:noProof/>
              </w:rPr>
              <w:t>13.7.4</w:t>
            </w:r>
            <w:r>
              <w:rPr>
                <w:rFonts w:eastAsiaTheme="minorEastAsia"/>
                <w:noProof/>
                <w:spacing w:val="0"/>
                <w:kern w:val="2"/>
                <w:sz w:val="24"/>
                <w:lang w:eastAsia="en-AU"/>
                <w14:ligatures w14:val="standardContextual"/>
              </w:rPr>
              <w:tab/>
            </w:r>
            <w:r w:rsidRPr="00492332">
              <w:rPr>
                <w:rStyle w:val="Hyperlink"/>
                <w:noProof/>
              </w:rPr>
              <w:t>Service channel restrictions</w:t>
            </w:r>
            <w:r>
              <w:rPr>
                <w:noProof/>
                <w:webHidden/>
              </w:rPr>
              <w:tab/>
            </w:r>
            <w:r>
              <w:rPr>
                <w:noProof/>
                <w:webHidden/>
              </w:rPr>
              <w:fldChar w:fldCharType="begin"/>
            </w:r>
            <w:r>
              <w:rPr>
                <w:noProof/>
                <w:webHidden/>
              </w:rPr>
              <w:instrText xml:space="preserve"> PAGEREF _Toc202900147 \h </w:instrText>
            </w:r>
            <w:r>
              <w:rPr>
                <w:noProof/>
                <w:webHidden/>
              </w:rPr>
            </w:r>
            <w:r>
              <w:rPr>
                <w:noProof/>
                <w:webHidden/>
              </w:rPr>
              <w:fldChar w:fldCharType="separate"/>
            </w:r>
            <w:r w:rsidR="000D75AE">
              <w:rPr>
                <w:noProof/>
                <w:webHidden/>
              </w:rPr>
              <w:t>283</w:t>
            </w:r>
            <w:r>
              <w:rPr>
                <w:noProof/>
                <w:webHidden/>
              </w:rPr>
              <w:fldChar w:fldCharType="end"/>
            </w:r>
          </w:hyperlink>
        </w:p>
        <w:p w14:paraId="7CA1CF41" w14:textId="13F28254" w:rsidR="00420D51" w:rsidRDefault="00420D51">
          <w:pPr>
            <w:pStyle w:val="TOC3"/>
            <w:rPr>
              <w:rFonts w:eastAsiaTheme="minorEastAsia"/>
              <w:noProof/>
              <w:spacing w:val="0"/>
              <w:kern w:val="2"/>
              <w:sz w:val="24"/>
              <w:lang w:eastAsia="en-AU"/>
              <w14:ligatures w14:val="standardContextual"/>
            </w:rPr>
          </w:pPr>
          <w:hyperlink w:anchor="_Toc202900148" w:history="1">
            <w:r w:rsidRPr="00492332">
              <w:rPr>
                <w:rStyle w:val="Hyperlink"/>
                <w:noProof/>
              </w:rPr>
              <w:t>13.7.5</w:t>
            </w:r>
            <w:r>
              <w:rPr>
                <w:rFonts w:eastAsiaTheme="minorEastAsia"/>
                <w:noProof/>
                <w:spacing w:val="0"/>
                <w:kern w:val="2"/>
                <w:sz w:val="24"/>
                <w:lang w:eastAsia="en-AU"/>
                <w14:ligatures w14:val="standardContextual"/>
              </w:rPr>
              <w:tab/>
            </w:r>
            <w:r w:rsidRPr="00492332">
              <w:rPr>
                <w:rStyle w:val="Hyperlink"/>
                <w:noProof/>
              </w:rPr>
              <w:t>Approval to apply a Managed Service Plan</w:t>
            </w:r>
            <w:r>
              <w:rPr>
                <w:noProof/>
                <w:webHidden/>
              </w:rPr>
              <w:tab/>
            </w:r>
            <w:r>
              <w:rPr>
                <w:noProof/>
                <w:webHidden/>
              </w:rPr>
              <w:fldChar w:fldCharType="begin"/>
            </w:r>
            <w:r>
              <w:rPr>
                <w:noProof/>
                <w:webHidden/>
              </w:rPr>
              <w:instrText xml:space="preserve"> PAGEREF _Toc202900148 \h </w:instrText>
            </w:r>
            <w:r>
              <w:rPr>
                <w:noProof/>
                <w:webHidden/>
              </w:rPr>
            </w:r>
            <w:r>
              <w:rPr>
                <w:noProof/>
                <w:webHidden/>
              </w:rPr>
              <w:fldChar w:fldCharType="separate"/>
            </w:r>
            <w:r w:rsidR="000D75AE">
              <w:rPr>
                <w:noProof/>
                <w:webHidden/>
              </w:rPr>
              <w:t>283</w:t>
            </w:r>
            <w:r>
              <w:rPr>
                <w:noProof/>
                <w:webHidden/>
              </w:rPr>
              <w:fldChar w:fldCharType="end"/>
            </w:r>
          </w:hyperlink>
        </w:p>
        <w:p w14:paraId="6698EF51" w14:textId="778A7D20" w:rsidR="00420D51" w:rsidRDefault="00420D51">
          <w:pPr>
            <w:pStyle w:val="TOC3"/>
            <w:rPr>
              <w:rFonts w:eastAsiaTheme="minorEastAsia"/>
              <w:noProof/>
              <w:spacing w:val="0"/>
              <w:kern w:val="2"/>
              <w:sz w:val="24"/>
              <w:lang w:eastAsia="en-AU"/>
              <w14:ligatures w14:val="standardContextual"/>
            </w:rPr>
          </w:pPr>
          <w:hyperlink w:anchor="_Toc202900149" w:history="1">
            <w:r w:rsidRPr="00492332">
              <w:rPr>
                <w:rStyle w:val="Hyperlink"/>
                <w:noProof/>
              </w:rPr>
              <w:t>13.7.6</w:t>
            </w:r>
            <w:r>
              <w:rPr>
                <w:rFonts w:eastAsiaTheme="minorEastAsia"/>
                <w:noProof/>
                <w:spacing w:val="0"/>
                <w:kern w:val="2"/>
                <w:sz w:val="24"/>
                <w:lang w:eastAsia="en-AU"/>
                <w14:ligatures w14:val="standardContextual"/>
              </w:rPr>
              <w:tab/>
            </w:r>
            <w:r w:rsidRPr="00492332">
              <w:rPr>
                <w:rStyle w:val="Hyperlink"/>
                <w:noProof/>
              </w:rPr>
              <w:t>Advising the Participant of arrangements</w:t>
            </w:r>
            <w:r>
              <w:rPr>
                <w:noProof/>
                <w:webHidden/>
              </w:rPr>
              <w:tab/>
            </w:r>
            <w:r>
              <w:rPr>
                <w:noProof/>
                <w:webHidden/>
              </w:rPr>
              <w:fldChar w:fldCharType="begin"/>
            </w:r>
            <w:r>
              <w:rPr>
                <w:noProof/>
                <w:webHidden/>
              </w:rPr>
              <w:instrText xml:space="preserve"> PAGEREF _Toc202900149 \h </w:instrText>
            </w:r>
            <w:r>
              <w:rPr>
                <w:noProof/>
                <w:webHidden/>
              </w:rPr>
            </w:r>
            <w:r>
              <w:rPr>
                <w:noProof/>
                <w:webHidden/>
              </w:rPr>
              <w:fldChar w:fldCharType="separate"/>
            </w:r>
            <w:r w:rsidR="000D75AE">
              <w:rPr>
                <w:noProof/>
                <w:webHidden/>
              </w:rPr>
              <w:t>283</w:t>
            </w:r>
            <w:r>
              <w:rPr>
                <w:noProof/>
                <w:webHidden/>
              </w:rPr>
              <w:fldChar w:fldCharType="end"/>
            </w:r>
          </w:hyperlink>
        </w:p>
        <w:p w14:paraId="1421D643" w14:textId="5296B234" w:rsidR="00420D51" w:rsidRDefault="00420D51">
          <w:pPr>
            <w:pStyle w:val="TOC3"/>
            <w:rPr>
              <w:rFonts w:eastAsiaTheme="minorEastAsia"/>
              <w:noProof/>
              <w:spacing w:val="0"/>
              <w:kern w:val="2"/>
              <w:sz w:val="24"/>
              <w:lang w:eastAsia="en-AU"/>
              <w14:ligatures w14:val="standardContextual"/>
            </w:rPr>
          </w:pPr>
          <w:hyperlink w:anchor="_Toc202900150" w:history="1">
            <w:r w:rsidRPr="00492332">
              <w:rPr>
                <w:rStyle w:val="Hyperlink"/>
                <w:noProof/>
              </w:rPr>
              <w:t>13.7.7</w:t>
            </w:r>
            <w:r>
              <w:rPr>
                <w:rFonts w:eastAsiaTheme="minorEastAsia"/>
                <w:noProof/>
                <w:spacing w:val="0"/>
                <w:kern w:val="2"/>
                <w:sz w:val="24"/>
                <w:lang w:eastAsia="en-AU"/>
                <w14:ligatures w14:val="standardContextual"/>
              </w:rPr>
              <w:tab/>
            </w:r>
            <w:r w:rsidRPr="00492332">
              <w:rPr>
                <w:rStyle w:val="Hyperlink"/>
                <w:noProof/>
              </w:rPr>
              <w:t>Participant’s request for review or appeal</w:t>
            </w:r>
            <w:r>
              <w:rPr>
                <w:noProof/>
                <w:webHidden/>
              </w:rPr>
              <w:tab/>
            </w:r>
            <w:r>
              <w:rPr>
                <w:noProof/>
                <w:webHidden/>
              </w:rPr>
              <w:fldChar w:fldCharType="begin"/>
            </w:r>
            <w:r>
              <w:rPr>
                <w:noProof/>
                <w:webHidden/>
              </w:rPr>
              <w:instrText xml:space="preserve"> PAGEREF _Toc202900150 \h </w:instrText>
            </w:r>
            <w:r>
              <w:rPr>
                <w:noProof/>
                <w:webHidden/>
              </w:rPr>
            </w:r>
            <w:r>
              <w:rPr>
                <w:noProof/>
                <w:webHidden/>
              </w:rPr>
              <w:fldChar w:fldCharType="separate"/>
            </w:r>
            <w:r w:rsidR="000D75AE">
              <w:rPr>
                <w:noProof/>
                <w:webHidden/>
              </w:rPr>
              <w:t>284</w:t>
            </w:r>
            <w:r>
              <w:rPr>
                <w:noProof/>
                <w:webHidden/>
              </w:rPr>
              <w:fldChar w:fldCharType="end"/>
            </w:r>
          </w:hyperlink>
        </w:p>
        <w:p w14:paraId="71258807" w14:textId="12E26018" w:rsidR="00420D51" w:rsidRDefault="00420D51">
          <w:pPr>
            <w:pStyle w:val="TOC2"/>
            <w:rPr>
              <w:rFonts w:eastAsiaTheme="minorEastAsia"/>
              <w:noProof/>
              <w:spacing w:val="0"/>
              <w:kern w:val="2"/>
              <w:sz w:val="24"/>
              <w:lang w:eastAsia="en-AU"/>
              <w14:ligatures w14:val="standardContextual"/>
            </w:rPr>
          </w:pPr>
          <w:hyperlink w:anchor="_Toc202900151" w:history="1">
            <w:r w:rsidRPr="00492332">
              <w:rPr>
                <w:rStyle w:val="Hyperlink"/>
                <w:noProof/>
              </w:rPr>
              <w:t>13.8</w:t>
            </w:r>
            <w:r>
              <w:rPr>
                <w:rFonts w:eastAsiaTheme="minorEastAsia"/>
                <w:noProof/>
                <w:spacing w:val="0"/>
                <w:kern w:val="2"/>
                <w:sz w:val="24"/>
                <w:lang w:eastAsia="en-AU"/>
                <w14:ligatures w14:val="standardContextual"/>
              </w:rPr>
              <w:tab/>
            </w:r>
            <w:r w:rsidRPr="00492332">
              <w:rPr>
                <w:rStyle w:val="Hyperlink"/>
                <w:noProof/>
              </w:rPr>
              <w:t>Servicing Participants with a Managed Service Plan</w:t>
            </w:r>
            <w:r>
              <w:rPr>
                <w:noProof/>
                <w:webHidden/>
              </w:rPr>
              <w:tab/>
            </w:r>
            <w:r>
              <w:rPr>
                <w:noProof/>
                <w:webHidden/>
              </w:rPr>
              <w:fldChar w:fldCharType="begin"/>
            </w:r>
            <w:r>
              <w:rPr>
                <w:noProof/>
                <w:webHidden/>
              </w:rPr>
              <w:instrText xml:space="preserve"> PAGEREF _Toc202900151 \h </w:instrText>
            </w:r>
            <w:r>
              <w:rPr>
                <w:noProof/>
                <w:webHidden/>
              </w:rPr>
            </w:r>
            <w:r>
              <w:rPr>
                <w:noProof/>
                <w:webHidden/>
              </w:rPr>
              <w:fldChar w:fldCharType="separate"/>
            </w:r>
            <w:r w:rsidR="000D75AE">
              <w:rPr>
                <w:noProof/>
                <w:webHidden/>
              </w:rPr>
              <w:t>284</w:t>
            </w:r>
            <w:r>
              <w:rPr>
                <w:noProof/>
                <w:webHidden/>
              </w:rPr>
              <w:fldChar w:fldCharType="end"/>
            </w:r>
          </w:hyperlink>
        </w:p>
        <w:p w14:paraId="47E05D84" w14:textId="2252FDDF" w:rsidR="00420D51" w:rsidRDefault="00420D51">
          <w:pPr>
            <w:pStyle w:val="TOC3"/>
            <w:rPr>
              <w:rFonts w:eastAsiaTheme="minorEastAsia"/>
              <w:noProof/>
              <w:spacing w:val="0"/>
              <w:kern w:val="2"/>
              <w:sz w:val="24"/>
              <w:lang w:eastAsia="en-AU"/>
              <w14:ligatures w14:val="standardContextual"/>
            </w:rPr>
          </w:pPr>
          <w:hyperlink w:anchor="_Toc202900152" w:history="1">
            <w:r w:rsidRPr="00492332">
              <w:rPr>
                <w:rStyle w:val="Hyperlink"/>
                <w:noProof/>
              </w:rPr>
              <w:t>13.8.1</w:t>
            </w:r>
            <w:r>
              <w:rPr>
                <w:rFonts w:eastAsiaTheme="minorEastAsia"/>
                <w:noProof/>
                <w:spacing w:val="0"/>
                <w:kern w:val="2"/>
                <w:sz w:val="24"/>
                <w:lang w:eastAsia="en-AU"/>
                <w14:ligatures w14:val="standardContextual"/>
              </w:rPr>
              <w:tab/>
            </w:r>
            <w:r w:rsidRPr="00492332">
              <w:rPr>
                <w:rStyle w:val="Hyperlink"/>
                <w:noProof/>
              </w:rPr>
              <w:t>Breach of Managed Service Plan</w:t>
            </w:r>
            <w:r>
              <w:rPr>
                <w:noProof/>
                <w:webHidden/>
              </w:rPr>
              <w:tab/>
            </w:r>
            <w:r>
              <w:rPr>
                <w:noProof/>
                <w:webHidden/>
              </w:rPr>
              <w:fldChar w:fldCharType="begin"/>
            </w:r>
            <w:r>
              <w:rPr>
                <w:noProof/>
                <w:webHidden/>
              </w:rPr>
              <w:instrText xml:space="preserve"> PAGEREF _Toc202900152 \h </w:instrText>
            </w:r>
            <w:r>
              <w:rPr>
                <w:noProof/>
                <w:webHidden/>
              </w:rPr>
            </w:r>
            <w:r>
              <w:rPr>
                <w:noProof/>
                <w:webHidden/>
              </w:rPr>
              <w:fldChar w:fldCharType="separate"/>
            </w:r>
            <w:r w:rsidR="000D75AE">
              <w:rPr>
                <w:noProof/>
                <w:webHidden/>
              </w:rPr>
              <w:t>284</w:t>
            </w:r>
            <w:r>
              <w:rPr>
                <w:noProof/>
                <w:webHidden/>
              </w:rPr>
              <w:fldChar w:fldCharType="end"/>
            </w:r>
          </w:hyperlink>
        </w:p>
        <w:p w14:paraId="05707D3A" w14:textId="7F4B4105" w:rsidR="00420D51" w:rsidRDefault="00420D51">
          <w:pPr>
            <w:pStyle w:val="TOC2"/>
            <w:rPr>
              <w:rFonts w:eastAsiaTheme="minorEastAsia"/>
              <w:noProof/>
              <w:spacing w:val="0"/>
              <w:kern w:val="2"/>
              <w:sz w:val="24"/>
              <w:lang w:eastAsia="en-AU"/>
              <w14:ligatures w14:val="standardContextual"/>
            </w:rPr>
          </w:pPr>
          <w:hyperlink w:anchor="_Toc202900153" w:history="1">
            <w:r w:rsidRPr="00492332">
              <w:rPr>
                <w:rStyle w:val="Hyperlink"/>
                <w:noProof/>
              </w:rPr>
              <w:t>13.9</w:t>
            </w:r>
            <w:r>
              <w:rPr>
                <w:rFonts w:eastAsiaTheme="minorEastAsia"/>
                <w:noProof/>
                <w:spacing w:val="0"/>
                <w:kern w:val="2"/>
                <w:sz w:val="24"/>
                <w:lang w:eastAsia="en-AU"/>
                <w14:ligatures w14:val="standardContextual"/>
              </w:rPr>
              <w:tab/>
            </w:r>
            <w:r w:rsidRPr="00492332">
              <w:rPr>
                <w:rStyle w:val="Hyperlink"/>
                <w:noProof/>
              </w:rPr>
              <w:t>Additional considerations for transfers</w:t>
            </w:r>
            <w:r>
              <w:rPr>
                <w:noProof/>
                <w:webHidden/>
              </w:rPr>
              <w:tab/>
            </w:r>
            <w:r>
              <w:rPr>
                <w:noProof/>
                <w:webHidden/>
              </w:rPr>
              <w:fldChar w:fldCharType="begin"/>
            </w:r>
            <w:r>
              <w:rPr>
                <w:noProof/>
                <w:webHidden/>
              </w:rPr>
              <w:instrText xml:space="preserve"> PAGEREF _Toc202900153 \h </w:instrText>
            </w:r>
            <w:r>
              <w:rPr>
                <w:noProof/>
                <w:webHidden/>
              </w:rPr>
            </w:r>
            <w:r>
              <w:rPr>
                <w:noProof/>
                <w:webHidden/>
              </w:rPr>
              <w:fldChar w:fldCharType="separate"/>
            </w:r>
            <w:r w:rsidR="000D75AE">
              <w:rPr>
                <w:noProof/>
                <w:webHidden/>
              </w:rPr>
              <w:t>285</w:t>
            </w:r>
            <w:r>
              <w:rPr>
                <w:noProof/>
                <w:webHidden/>
              </w:rPr>
              <w:fldChar w:fldCharType="end"/>
            </w:r>
          </w:hyperlink>
        </w:p>
        <w:p w14:paraId="4780DF9B" w14:textId="1793FD4C" w:rsidR="00420D51" w:rsidRDefault="00420D51">
          <w:pPr>
            <w:pStyle w:val="TOC3"/>
            <w:rPr>
              <w:rFonts w:eastAsiaTheme="minorEastAsia"/>
              <w:noProof/>
              <w:spacing w:val="0"/>
              <w:kern w:val="2"/>
              <w:sz w:val="24"/>
              <w:lang w:eastAsia="en-AU"/>
              <w14:ligatures w14:val="standardContextual"/>
            </w:rPr>
          </w:pPr>
          <w:hyperlink w:anchor="_Toc202900154" w:history="1">
            <w:r w:rsidRPr="00492332">
              <w:rPr>
                <w:rStyle w:val="Hyperlink"/>
                <w:noProof/>
              </w:rPr>
              <w:t>13.9.1</w:t>
            </w:r>
            <w:r>
              <w:rPr>
                <w:rFonts w:eastAsiaTheme="minorEastAsia"/>
                <w:noProof/>
                <w:spacing w:val="0"/>
                <w:kern w:val="2"/>
                <w:sz w:val="24"/>
                <w:lang w:eastAsia="en-AU"/>
                <w14:ligatures w14:val="standardContextual"/>
              </w:rPr>
              <w:tab/>
            </w:r>
            <w:r w:rsidRPr="00492332">
              <w:rPr>
                <w:rStyle w:val="Hyperlink"/>
                <w:noProof/>
              </w:rPr>
              <w:t>Notification during transfers and Referrals</w:t>
            </w:r>
            <w:r>
              <w:rPr>
                <w:noProof/>
                <w:webHidden/>
              </w:rPr>
              <w:tab/>
            </w:r>
            <w:r>
              <w:rPr>
                <w:noProof/>
                <w:webHidden/>
              </w:rPr>
              <w:fldChar w:fldCharType="begin"/>
            </w:r>
            <w:r>
              <w:rPr>
                <w:noProof/>
                <w:webHidden/>
              </w:rPr>
              <w:instrText xml:space="preserve"> PAGEREF _Toc202900154 \h </w:instrText>
            </w:r>
            <w:r>
              <w:rPr>
                <w:noProof/>
                <w:webHidden/>
              </w:rPr>
            </w:r>
            <w:r>
              <w:rPr>
                <w:noProof/>
                <w:webHidden/>
              </w:rPr>
              <w:fldChar w:fldCharType="separate"/>
            </w:r>
            <w:r w:rsidR="000D75AE">
              <w:rPr>
                <w:noProof/>
                <w:webHidden/>
              </w:rPr>
              <w:t>285</w:t>
            </w:r>
            <w:r>
              <w:rPr>
                <w:noProof/>
                <w:webHidden/>
              </w:rPr>
              <w:fldChar w:fldCharType="end"/>
            </w:r>
          </w:hyperlink>
        </w:p>
        <w:p w14:paraId="360F065D" w14:textId="07D21219" w:rsidR="00420D51" w:rsidRDefault="00420D51">
          <w:pPr>
            <w:pStyle w:val="TOC3"/>
            <w:rPr>
              <w:rFonts w:eastAsiaTheme="minorEastAsia"/>
              <w:noProof/>
              <w:spacing w:val="0"/>
              <w:kern w:val="2"/>
              <w:sz w:val="24"/>
              <w:lang w:eastAsia="en-AU"/>
              <w14:ligatures w14:val="standardContextual"/>
            </w:rPr>
          </w:pPr>
          <w:hyperlink w:anchor="_Toc202900155" w:history="1">
            <w:r w:rsidRPr="00492332">
              <w:rPr>
                <w:rStyle w:val="Hyperlink"/>
                <w:noProof/>
              </w:rPr>
              <w:t>13.9.2</w:t>
            </w:r>
            <w:r>
              <w:rPr>
                <w:rFonts w:eastAsiaTheme="minorEastAsia"/>
                <w:noProof/>
                <w:spacing w:val="0"/>
                <w:kern w:val="2"/>
                <w:sz w:val="24"/>
                <w:lang w:eastAsia="en-AU"/>
                <w14:ligatures w14:val="standardContextual"/>
              </w:rPr>
              <w:tab/>
            </w:r>
            <w:r w:rsidRPr="00492332">
              <w:rPr>
                <w:rStyle w:val="Hyperlink"/>
                <w:noProof/>
              </w:rPr>
              <w:t>Transfers due to relationship failure</w:t>
            </w:r>
            <w:r>
              <w:rPr>
                <w:noProof/>
                <w:webHidden/>
              </w:rPr>
              <w:tab/>
            </w:r>
            <w:r>
              <w:rPr>
                <w:noProof/>
                <w:webHidden/>
              </w:rPr>
              <w:fldChar w:fldCharType="begin"/>
            </w:r>
            <w:r>
              <w:rPr>
                <w:noProof/>
                <w:webHidden/>
              </w:rPr>
              <w:instrText xml:space="preserve"> PAGEREF _Toc202900155 \h </w:instrText>
            </w:r>
            <w:r>
              <w:rPr>
                <w:noProof/>
                <w:webHidden/>
              </w:rPr>
            </w:r>
            <w:r>
              <w:rPr>
                <w:noProof/>
                <w:webHidden/>
              </w:rPr>
              <w:fldChar w:fldCharType="separate"/>
            </w:r>
            <w:r w:rsidR="000D75AE">
              <w:rPr>
                <w:noProof/>
                <w:webHidden/>
              </w:rPr>
              <w:t>285</w:t>
            </w:r>
            <w:r>
              <w:rPr>
                <w:noProof/>
                <w:webHidden/>
              </w:rPr>
              <w:fldChar w:fldCharType="end"/>
            </w:r>
          </w:hyperlink>
        </w:p>
        <w:p w14:paraId="7973FB71" w14:textId="5B93DFFA" w:rsidR="00420D51" w:rsidRDefault="00420D51">
          <w:pPr>
            <w:pStyle w:val="TOC2"/>
            <w:rPr>
              <w:rFonts w:eastAsiaTheme="minorEastAsia"/>
              <w:noProof/>
              <w:spacing w:val="0"/>
              <w:kern w:val="2"/>
              <w:sz w:val="24"/>
              <w:lang w:eastAsia="en-AU"/>
              <w14:ligatures w14:val="standardContextual"/>
            </w:rPr>
          </w:pPr>
          <w:hyperlink w:anchor="_Toc202900156" w:history="1">
            <w:r w:rsidRPr="00492332">
              <w:rPr>
                <w:rStyle w:val="Hyperlink"/>
                <w:noProof/>
              </w:rPr>
              <w:t>13.10</w:t>
            </w:r>
            <w:r>
              <w:rPr>
                <w:rFonts w:eastAsiaTheme="minorEastAsia"/>
                <w:noProof/>
                <w:spacing w:val="0"/>
                <w:kern w:val="2"/>
                <w:sz w:val="24"/>
                <w:lang w:eastAsia="en-AU"/>
                <w14:ligatures w14:val="standardContextual"/>
              </w:rPr>
              <w:tab/>
            </w:r>
            <w:r w:rsidRPr="00492332">
              <w:rPr>
                <w:rStyle w:val="Hyperlink"/>
                <w:noProof/>
              </w:rPr>
              <w:t>Record Keeping</w:t>
            </w:r>
            <w:r>
              <w:rPr>
                <w:noProof/>
                <w:webHidden/>
              </w:rPr>
              <w:tab/>
            </w:r>
            <w:r>
              <w:rPr>
                <w:noProof/>
                <w:webHidden/>
              </w:rPr>
              <w:fldChar w:fldCharType="begin"/>
            </w:r>
            <w:r>
              <w:rPr>
                <w:noProof/>
                <w:webHidden/>
              </w:rPr>
              <w:instrText xml:space="preserve"> PAGEREF _Toc202900156 \h </w:instrText>
            </w:r>
            <w:r>
              <w:rPr>
                <w:noProof/>
                <w:webHidden/>
              </w:rPr>
            </w:r>
            <w:r>
              <w:rPr>
                <w:noProof/>
                <w:webHidden/>
              </w:rPr>
              <w:fldChar w:fldCharType="separate"/>
            </w:r>
            <w:r w:rsidR="000D75AE">
              <w:rPr>
                <w:noProof/>
                <w:webHidden/>
              </w:rPr>
              <w:t>285</w:t>
            </w:r>
            <w:r>
              <w:rPr>
                <w:noProof/>
                <w:webHidden/>
              </w:rPr>
              <w:fldChar w:fldCharType="end"/>
            </w:r>
          </w:hyperlink>
        </w:p>
        <w:p w14:paraId="742AC521" w14:textId="71822033" w:rsidR="00FB23BF" w:rsidRDefault="00910891" w:rsidP="00FB23BF">
          <w:pPr>
            <w:pStyle w:val="TOC1"/>
            <w:rPr>
              <w:rFonts w:eastAsiaTheme="minorEastAsia"/>
              <w:noProof/>
              <w:spacing w:val="0"/>
              <w:kern w:val="2"/>
              <w:sz w:val="24"/>
              <w:lang w:eastAsia="en-AU"/>
              <w14:ligatures w14:val="standardContextual"/>
            </w:rPr>
          </w:pPr>
          <w:r>
            <w:fldChar w:fldCharType="end"/>
          </w:r>
        </w:p>
        <w:p w14:paraId="7D0030C6" w14:textId="419E8BE9" w:rsidR="00755B6A" w:rsidRDefault="00755B6A">
          <w:pPr>
            <w:pStyle w:val="TOC2"/>
            <w:rPr>
              <w:rFonts w:eastAsiaTheme="minorEastAsia"/>
              <w:noProof/>
              <w:spacing w:val="0"/>
              <w:kern w:val="2"/>
              <w:sz w:val="24"/>
              <w:lang w:eastAsia="en-AU"/>
              <w14:ligatures w14:val="standardContextual"/>
            </w:rPr>
          </w:pPr>
        </w:p>
        <w:p w14:paraId="2DEC8C55" w14:textId="02FE6BD4" w:rsidR="00910891" w:rsidRDefault="00E039A6" w:rsidP="00910891">
          <w:pPr>
            <w:tabs>
              <w:tab w:val="right" w:leader="dot" w:pos="10194"/>
            </w:tabs>
          </w:pPr>
        </w:p>
      </w:sdtContent>
    </w:sdt>
    <w:p w14:paraId="409CA0B5" w14:textId="61B682D3" w:rsidR="0074673F" w:rsidRPr="00BA23D8" w:rsidRDefault="0074673F" w:rsidP="000335E0">
      <w:pPr>
        <w:pStyle w:val="Heading2"/>
      </w:pPr>
      <w:bookmarkStart w:id="1" w:name="_Toc202899861"/>
      <w:r w:rsidRPr="00BA23D8">
        <w:lastRenderedPageBreak/>
        <w:t>Guideline Interpretation and Glossary</w:t>
      </w:r>
      <w:bookmarkEnd w:id="1"/>
    </w:p>
    <w:p w14:paraId="53CE0643" w14:textId="19F9D6EA" w:rsidR="0074673F" w:rsidRDefault="0074673F" w:rsidP="001D0F92">
      <w:pPr>
        <w:pStyle w:val="Heading3"/>
      </w:pPr>
      <w:bookmarkStart w:id="2" w:name="_Toc202899862"/>
      <w:r w:rsidRPr="7DDA17F4">
        <w:t xml:space="preserve">Reading </w:t>
      </w:r>
      <w:r w:rsidR="00765DA1">
        <w:t>n</w:t>
      </w:r>
      <w:r w:rsidRPr="7DDA17F4">
        <w:t>otes</w:t>
      </w:r>
      <w:bookmarkEnd w:id="2"/>
    </w:p>
    <w:p w14:paraId="21D30F42" w14:textId="6630DE54" w:rsidR="0074673F" w:rsidRDefault="16EDC0A0" w:rsidP="009744BE">
      <w:pPr>
        <w:rPr>
          <w:rFonts w:ascii="Tahoma" w:eastAsia="Tahoma" w:hAnsi="Tahoma" w:cs="Tahoma"/>
        </w:rPr>
      </w:pPr>
      <w:r w:rsidRPr="302CBDE2">
        <w:rPr>
          <w:rFonts w:ascii="Tahoma" w:eastAsia="Tahoma" w:hAnsi="Tahoma" w:cs="Tahoma"/>
        </w:rPr>
        <w:t xml:space="preserve">These </w:t>
      </w:r>
      <w:r w:rsidR="533BD8ED" w:rsidRPr="302CBDE2">
        <w:rPr>
          <w:rFonts w:ascii="Tahoma" w:eastAsia="Tahoma" w:hAnsi="Tahoma" w:cs="Tahoma"/>
        </w:rPr>
        <w:t>G</w:t>
      </w:r>
      <w:r w:rsidRPr="302CBDE2">
        <w:rPr>
          <w:rFonts w:ascii="Tahoma" w:eastAsia="Tahoma" w:hAnsi="Tahoma" w:cs="Tahoma"/>
        </w:rPr>
        <w:t xml:space="preserve">uidelines, developed by the Department of Social Services (the Department), detail the </w:t>
      </w:r>
      <w:r w:rsidR="46D5C3F5" w:rsidRPr="302CBDE2">
        <w:rPr>
          <w:rFonts w:ascii="Tahoma" w:eastAsia="Tahoma" w:hAnsi="Tahoma" w:cs="Tahoma"/>
        </w:rPr>
        <w:t>O</w:t>
      </w:r>
      <w:r w:rsidRPr="302CBDE2">
        <w:rPr>
          <w:rFonts w:ascii="Tahoma" w:eastAsia="Tahoma" w:hAnsi="Tahoma" w:cs="Tahoma"/>
        </w:rPr>
        <w:t xml:space="preserve">bjectives and operation of </w:t>
      </w:r>
      <w:r w:rsidR="7A618B2C">
        <w:t>Inclusive Employment Australia</w:t>
      </w:r>
      <w:r w:rsidRPr="302CBDE2">
        <w:rPr>
          <w:rFonts w:ascii="Tahoma" w:eastAsia="Tahoma" w:hAnsi="Tahoma" w:cs="Tahoma"/>
        </w:rPr>
        <w:t>.</w:t>
      </w:r>
    </w:p>
    <w:p w14:paraId="38FD256D" w14:textId="24440D47" w:rsidR="0074673F" w:rsidRDefault="16EDC0A0" w:rsidP="302CBDE2">
      <w:pPr>
        <w:rPr>
          <w:rFonts w:ascii="Tahoma" w:eastAsia="Tahoma" w:hAnsi="Tahoma" w:cs="Tahoma"/>
        </w:rPr>
      </w:pPr>
      <w:r w:rsidRPr="302CBDE2">
        <w:rPr>
          <w:rFonts w:ascii="Tahoma" w:eastAsia="Tahoma" w:hAnsi="Tahoma" w:cs="Tahoma"/>
        </w:rPr>
        <w:t xml:space="preserve">The Guidelines may be updated or varied from time to time. The Department reserves the right to review and amend the Guidelines as deemed necessary and will provide reasonable </w:t>
      </w:r>
      <w:r w:rsidR="07378E4D" w:rsidRPr="302CBDE2">
        <w:rPr>
          <w:rFonts w:ascii="Tahoma" w:eastAsia="Tahoma" w:hAnsi="Tahoma" w:cs="Tahoma"/>
        </w:rPr>
        <w:t>N</w:t>
      </w:r>
      <w:r w:rsidRPr="302CBDE2">
        <w:rPr>
          <w:rFonts w:ascii="Tahoma" w:eastAsia="Tahoma" w:hAnsi="Tahoma" w:cs="Tahoma"/>
        </w:rPr>
        <w:t>otice of any amendments.</w:t>
      </w:r>
    </w:p>
    <w:p w14:paraId="6291A741" w14:textId="77777777" w:rsidR="0074673F" w:rsidRDefault="0074673F" w:rsidP="009744BE">
      <w:pPr>
        <w:rPr>
          <w:rFonts w:ascii="Tahoma" w:eastAsia="Tahoma" w:hAnsi="Tahoma" w:cs="Tahoma"/>
        </w:rPr>
      </w:pPr>
      <w:r w:rsidRPr="001C9E17">
        <w:rPr>
          <w:rFonts w:ascii="Tahoma" w:eastAsia="Tahoma" w:hAnsi="Tahoma" w:cs="Tahoma"/>
        </w:rPr>
        <w:t>The Guidelines use the following symbols to indicate different elements:</w:t>
      </w:r>
    </w:p>
    <w:p w14:paraId="160F111C" w14:textId="3F6872E2" w:rsidR="00C310BC" w:rsidRPr="003E1393" w:rsidRDefault="00C310BC" w:rsidP="006F727E">
      <w:pPr>
        <w:pStyle w:val="SystemStep"/>
      </w:pPr>
      <w:r w:rsidRPr="003E1393">
        <w:t xml:space="preserve">This icon </w:t>
      </w:r>
      <w:r w:rsidRPr="00C310BC">
        <w:t>represents</w:t>
      </w:r>
      <w:r w:rsidRPr="003E1393">
        <w:t xml:space="preserve"> </w:t>
      </w:r>
      <w:r w:rsidR="002605E5">
        <w:t>‘</w:t>
      </w:r>
      <w:r w:rsidRPr="003E1393">
        <w:t>System Steps</w:t>
      </w:r>
      <w:r w:rsidR="002605E5">
        <w:t>’</w:t>
      </w:r>
      <w:r w:rsidRPr="003E1393">
        <w:t xml:space="preserve"> </w:t>
      </w:r>
      <w:r w:rsidR="00375F8E">
        <w:t>—</w:t>
      </w:r>
      <w:r w:rsidRPr="003E1393">
        <w:t xml:space="preserve"> information contained under this dot point will relate to </w:t>
      </w:r>
      <w:r w:rsidRPr="006F727E">
        <w:t>usage</w:t>
      </w:r>
      <w:r w:rsidRPr="003E1393">
        <w:t xml:space="preserve"> of the Department’s </w:t>
      </w:r>
      <w:r w:rsidRPr="00C310BC">
        <w:t>IT</w:t>
      </w:r>
      <w:r w:rsidRPr="003E1393">
        <w:t xml:space="preserve"> Systems. </w:t>
      </w:r>
    </w:p>
    <w:p w14:paraId="5B100FE0" w14:textId="78BCA11F" w:rsidR="00C310BC" w:rsidRPr="003E1393" w:rsidRDefault="00C310BC" w:rsidP="00C310BC">
      <w:pPr>
        <w:pStyle w:val="WorkHealthandSafetyStep"/>
      </w:pPr>
      <w:r w:rsidRPr="003E1393">
        <w:t xml:space="preserve">This icon represents </w:t>
      </w:r>
      <w:r w:rsidR="002605E5">
        <w:t>‘</w:t>
      </w:r>
      <w:r w:rsidRPr="003E1393">
        <w:t>Work Health and Safety Steps</w:t>
      </w:r>
      <w:r w:rsidR="002605E5">
        <w:t>’</w:t>
      </w:r>
      <w:r w:rsidRPr="003E1393">
        <w:t xml:space="preserve"> </w:t>
      </w:r>
      <w:r w:rsidR="00375F8E">
        <w:t>—</w:t>
      </w:r>
      <w:r w:rsidRPr="003E1393">
        <w:t xml:space="preserve"> information contained under this dot point will relate to matters of </w:t>
      </w:r>
      <w:r w:rsidR="00E2308A">
        <w:t xml:space="preserve">WHS </w:t>
      </w:r>
      <w:r>
        <w:t>Law</w:t>
      </w:r>
      <w:r w:rsidRPr="003E1393">
        <w:t>. </w:t>
      </w:r>
    </w:p>
    <w:p w14:paraId="123DE0C4" w14:textId="5EB7227D" w:rsidR="00C310BC" w:rsidRPr="0079424A" w:rsidRDefault="00C310BC" w:rsidP="00E05C79">
      <w:pPr>
        <w:pStyle w:val="DocumentaryEvidenceRequirement"/>
        <w:ind w:left="643"/>
      </w:pPr>
      <w:r w:rsidRPr="0079424A">
        <w:t>This icon represents ‘Documentary Evidence Requirement</w:t>
      </w:r>
      <w:r w:rsidR="005F7BF1">
        <w:t>s</w:t>
      </w:r>
      <w:r w:rsidR="002605E5">
        <w:t>’</w:t>
      </w:r>
      <w:r w:rsidRPr="0079424A">
        <w:t xml:space="preserve"> </w:t>
      </w:r>
      <w:r w:rsidR="00375F8E">
        <w:t>—</w:t>
      </w:r>
      <w:r w:rsidRPr="0079424A">
        <w:t xml:space="preserve"> information contained under this dot point will relate to matters of Documentary Evidence.</w:t>
      </w:r>
    </w:p>
    <w:p w14:paraId="51F1E8B7" w14:textId="77777777" w:rsidR="0074673F" w:rsidRPr="00BA23D8" w:rsidRDefault="0074673F" w:rsidP="001D0F92">
      <w:pPr>
        <w:pStyle w:val="Heading3"/>
      </w:pPr>
      <w:bookmarkStart w:id="3" w:name="_Toc202899863"/>
      <w:r w:rsidRPr="00BA23D8">
        <w:t>Related information</w:t>
      </w:r>
      <w:bookmarkEnd w:id="3"/>
    </w:p>
    <w:p w14:paraId="4879852E" w14:textId="5670B8E8" w:rsidR="0074673F" w:rsidRDefault="0074673F" w:rsidP="009744BE">
      <w:r w:rsidRPr="00D356F2">
        <w:t xml:space="preserve">Reference </w:t>
      </w:r>
      <w:r>
        <w:t>information and websites</w:t>
      </w:r>
      <w:r w:rsidRPr="00D356F2">
        <w:t xml:space="preserve"> relevant to </w:t>
      </w:r>
      <w:r w:rsidR="00DA6009">
        <w:t>these</w:t>
      </w:r>
      <w:r w:rsidRPr="00D356F2">
        <w:t xml:space="preserve"> Guideline</w:t>
      </w:r>
      <w:r w:rsidR="00DA6009">
        <w:t>s</w:t>
      </w:r>
      <w:r w:rsidRPr="00D356F2">
        <w:t xml:space="preserve"> include</w:t>
      </w:r>
      <w:r>
        <w:t>:</w:t>
      </w:r>
    </w:p>
    <w:p w14:paraId="3523E9EB" w14:textId="45AD9BDA" w:rsidR="00102B1F" w:rsidRDefault="00102B1F" w:rsidP="00276384">
      <w:pPr>
        <w:pStyle w:val="Bullet-SupportingDocument"/>
        <w:ind w:left="714" w:hanging="357"/>
        <w:contextualSpacing w:val="0"/>
        <w:rPr>
          <w:i/>
          <w:iCs/>
          <w:color w:val="0070C0"/>
          <w:u w:val="single"/>
        </w:rPr>
      </w:pPr>
      <w:hyperlink r:id="rId16" w:history="1">
        <w:r w:rsidRPr="008B2C89">
          <w:rPr>
            <w:rStyle w:val="Hyperlink"/>
            <w:i/>
            <w:iCs/>
          </w:rPr>
          <w:t>Disability Services and Inclusion Act 2023</w:t>
        </w:r>
      </w:hyperlink>
    </w:p>
    <w:p w14:paraId="1CA0496C" w14:textId="1C01C9A3" w:rsidR="00102B1F" w:rsidRPr="004316DB" w:rsidRDefault="00102B1F" w:rsidP="00276384">
      <w:pPr>
        <w:pStyle w:val="Bullet-SupportingDocument"/>
        <w:ind w:left="714" w:hanging="357"/>
        <w:contextualSpacing w:val="0"/>
        <w:rPr>
          <w:color w:val="0070C0"/>
          <w:u w:val="single"/>
        </w:rPr>
      </w:pPr>
      <w:hyperlink r:id="rId17" w:history="1">
        <w:r w:rsidRPr="00033199">
          <w:rPr>
            <w:rStyle w:val="Hyperlink"/>
          </w:rPr>
          <w:t>National Standards for Disability Services</w:t>
        </w:r>
      </w:hyperlink>
    </w:p>
    <w:p w14:paraId="78F7013C" w14:textId="1F5034E8" w:rsidR="0074673F" w:rsidRPr="00942029" w:rsidRDefault="0074673F" w:rsidP="00276384">
      <w:pPr>
        <w:pStyle w:val="Bullet-SupportingDocument"/>
        <w:ind w:left="714" w:hanging="357"/>
        <w:contextualSpacing w:val="0"/>
        <w:rPr>
          <w:rStyle w:val="Hyperlink"/>
          <w:i/>
          <w:iCs/>
        </w:rPr>
      </w:pPr>
      <w:hyperlink r:id="rId18" w:history="1">
        <w:hyperlink r:id="rId19" w:history="1">
          <w:r w:rsidRPr="00942029">
            <w:rPr>
              <w:rStyle w:val="Hyperlink"/>
              <w:i/>
              <w:iCs/>
            </w:rPr>
            <w:t>Social Security Act 1991</w:t>
          </w:r>
        </w:hyperlink>
      </w:hyperlink>
      <w:r w:rsidRPr="00942029">
        <w:rPr>
          <w:rStyle w:val="Hyperlink"/>
          <w:i/>
          <w:iCs/>
        </w:rPr>
        <w:t xml:space="preserve"> </w:t>
      </w:r>
    </w:p>
    <w:p w14:paraId="36F75E99" w14:textId="4EEFB365" w:rsidR="0074673F" w:rsidRPr="00942029" w:rsidRDefault="0074673F" w:rsidP="00276384">
      <w:pPr>
        <w:pStyle w:val="Bullet-SupportingDocument"/>
        <w:ind w:left="714" w:hanging="357"/>
        <w:contextualSpacing w:val="0"/>
        <w:rPr>
          <w:rStyle w:val="Hyperlink"/>
          <w:i/>
          <w:iCs/>
        </w:rPr>
      </w:pPr>
      <w:hyperlink r:id="rId20">
        <w:r w:rsidRPr="00942029">
          <w:rPr>
            <w:rStyle w:val="Hyperlink"/>
            <w:i/>
            <w:iCs/>
          </w:rPr>
          <w:t>Social Security (Administration) Act 1999</w:t>
        </w:r>
      </w:hyperlink>
    </w:p>
    <w:p w14:paraId="4AF4DA8A" w14:textId="0C45A527" w:rsidR="0074673F" w:rsidRPr="00942029" w:rsidRDefault="0074673F" w:rsidP="00276384">
      <w:pPr>
        <w:pStyle w:val="Bullet-SupportingDocument"/>
        <w:ind w:left="714" w:hanging="357"/>
        <w:contextualSpacing w:val="0"/>
        <w:rPr>
          <w:rStyle w:val="Hyperlink"/>
        </w:rPr>
      </w:pPr>
      <w:hyperlink r:id="rId21" w:history="1">
        <w:r w:rsidRPr="003B7DB9">
          <w:rPr>
            <w:rStyle w:val="Hyperlink"/>
          </w:rPr>
          <w:t>Guide to Social Security Law</w:t>
        </w:r>
      </w:hyperlink>
      <w:r w:rsidRPr="00942029">
        <w:rPr>
          <w:rStyle w:val="Hyperlink"/>
        </w:rPr>
        <w:t xml:space="preserve"> </w:t>
      </w:r>
    </w:p>
    <w:p w14:paraId="2E70BA7F" w14:textId="0175301C" w:rsidR="0074673F" w:rsidRPr="00942029" w:rsidRDefault="0074673F" w:rsidP="00276384">
      <w:pPr>
        <w:pStyle w:val="Bullet-SupportingDocument"/>
        <w:ind w:left="714" w:hanging="357"/>
        <w:contextualSpacing w:val="0"/>
        <w:rPr>
          <w:rStyle w:val="Hyperlink"/>
          <w:i/>
          <w:iCs/>
        </w:rPr>
      </w:pPr>
      <w:hyperlink r:id="rId22" w:history="1">
        <w:r w:rsidRPr="00942029">
          <w:rPr>
            <w:rStyle w:val="Hyperlink"/>
            <w:i/>
            <w:iCs/>
          </w:rPr>
          <w:t>Fair Work Act 2009</w:t>
        </w:r>
      </w:hyperlink>
    </w:p>
    <w:p w14:paraId="35AF7639" w14:textId="77777777" w:rsidR="0074673F" w:rsidRPr="00A84D07" w:rsidRDefault="0074673F" w:rsidP="00276384">
      <w:pPr>
        <w:pStyle w:val="Bullet-SupportingDocument"/>
        <w:ind w:left="714" w:hanging="357"/>
        <w:contextualSpacing w:val="0"/>
        <w:rPr>
          <w:color w:val="0070C0"/>
          <w:u w:val="single"/>
        </w:rPr>
      </w:pPr>
      <w:hyperlink r:id="rId23">
        <w:r w:rsidRPr="00942029">
          <w:rPr>
            <w:rStyle w:val="Hyperlink"/>
          </w:rPr>
          <w:t>Fair Work Ombudsman - Minimum Wages</w:t>
        </w:r>
      </w:hyperlink>
    </w:p>
    <w:p w14:paraId="776F04D0" w14:textId="74085C9B" w:rsidR="00A84D07" w:rsidRDefault="00A84D07" w:rsidP="00276384">
      <w:pPr>
        <w:pStyle w:val="Bullet-SupportingDocument"/>
        <w:ind w:left="714" w:hanging="357"/>
        <w:contextualSpacing w:val="0"/>
        <w:rPr>
          <w:rStyle w:val="Hyperlink"/>
          <w:i/>
          <w:iCs/>
        </w:rPr>
      </w:pPr>
      <w:hyperlink r:id="rId24" w:history="1">
        <w:r w:rsidRPr="00FA5390">
          <w:rPr>
            <w:rStyle w:val="Hyperlink"/>
            <w:i/>
            <w:iCs/>
          </w:rPr>
          <w:t>Superannuation Guarantee (Administration) Act 1992</w:t>
        </w:r>
      </w:hyperlink>
    </w:p>
    <w:p w14:paraId="407C1D10" w14:textId="6B0CF339" w:rsidR="00FD1DB2" w:rsidRDefault="00FD1DB2" w:rsidP="00276384">
      <w:pPr>
        <w:pStyle w:val="Bullet-SupportingDocument"/>
        <w:ind w:left="714" w:hanging="357"/>
        <w:contextualSpacing w:val="0"/>
        <w:rPr>
          <w:rStyle w:val="Hyperlink"/>
          <w:i/>
          <w:iCs/>
        </w:rPr>
      </w:pPr>
      <w:hyperlink r:id="rId25" w:history="1">
        <w:r w:rsidRPr="00053BD3">
          <w:rPr>
            <w:rStyle w:val="Hyperlink"/>
            <w:rFonts w:cstheme="minorHAnsi"/>
            <w:i/>
          </w:rPr>
          <w:t>Disability Discrimination Act 1992</w:t>
        </w:r>
      </w:hyperlink>
    </w:p>
    <w:p w14:paraId="41D27DA0" w14:textId="6B2611AD" w:rsidR="00641221" w:rsidRPr="00A84D07" w:rsidRDefault="0090678A" w:rsidP="00276384">
      <w:pPr>
        <w:pStyle w:val="Bullet-SupportingDocument"/>
        <w:ind w:left="714" w:hanging="357"/>
        <w:contextualSpacing w:val="0"/>
        <w:rPr>
          <w:rStyle w:val="Hyperlink"/>
          <w:i/>
          <w:iCs/>
        </w:rPr>
      </w:pPr>
      <w:hyperlink r:id="rId26" w:history="1">
        <w:r w:rsidRPr="0090678A">
          <w:rPr>
            <w:rStyle w:val="Hyperlink"/>
            <w:i/>
            <w:iCs/>
          </w:rPr>
          <w:t>Privacy Act (1988)</w:t>
        </w:r>
      </w:hyperlink>
    </w:p>
    <w:p w14:paraId="27574B9D" w14:textId="77777777" w:rsidR="0074673F" w:rsidRPr="00271575" w:rsidRDefault="0074673F" w:rsidP="001D0F92">
      <w:pPr>
        <w:pStyle w:val="Heading3"/>
      </w:pPr>
      <w:bookmarkStart w:id="4" w:name="_Toc202899864"/>
      <w:r w:rsidRPr="00BA23D8">
        <w:t>Glossary</w:t>
      </w:r>
      <w:bookmarkEnd w:id="4"/>
    </w:p>
    <w:p w14:paraId="01C888CB" w14:textId="3CF38992" w:rsidR="002671A2" w:rsidRPr="009C0445" w:rsidRDefault="5A1BB69C" w:rsidP="009C0445">
      <w:r w:rsidRPr="0D915B3C">
        <w:rPr>
          <w:lang w:val="en-US"/>
        </w:rPr>
        <w:t>All capitalised terms in these Guidelines have the same meaning as in the Deed unless otherwise defined below.</w:t>
      </w:r>
    </w:p>
    <w:p w14:paraId="05349024" w14:textId="6BE3F71B" w:rsidR="002671A2" w:rsidRPr="0015798F" w:rsidRDefault="002671A2" w:rsidP="0065064C">
      <w:pPr>
        <w:rPr>
          <w:szCs w:val="22"/>
        </w:rPr>
      </w:pPr>
      <w:r w:rsidRPr="0015798F">
        <w:rPr>
          <w:b/>
          <w:bCs/>
          <w:szCs w:val="22"/>
        </w:rPr>
        <w:t>Adult Migrant Education Program</w:t>
      </w:r>
      <w:r w:rsidRPr="0015798F">
        <w:rPr>
          <w:szCs w:val="22"/>
        </w:rPr>
        <w:t xml:space="preserve"> or </w:t>
      </w:r>
      <w:r w:rsidRPr="0015798F">
        <w:rPr>
          <w:b/>
          <w:bCs/>
          <w:szCs w:val="22"/>
        </w:rPr>
        <w:t>AMEP</w:t>
      </w:r>
      <w:r w:rsidRPr="0015798F">
        <w:rPr>
          <w:szCs w:val="22"/>
        </w:rPr>
        <w:t xml:space="preserve"> has the meaning given to AMEP in the Deed, being the Commonwealth program of that name, administered by the Department of Home Affairs.</w:t>
      </w:r>
    </w:p>
    <w:p w14:paraId="4FDCE84F" w14:textId="77777777" w:rsidR="00446B49" w:rsidRPr="0015798F" w:rsidRDefault="00176D37" w:rsidP="00723350">
      <w:pPr>
        <w:rPr>
          <w:szCs w:val="22"/>
        </w:rPr>
      </w:pPr>
      <w:r w:rsidRPr="0015798F">
        <w:rPr>
          <w:b/>
          <w:bCs/>
          <w:szCs w:val="22"/>
        </w:rPr>
        <w:t>Australian Core Skills Framework</w:t>
      </w:r>
      <w:r w:rsidRPr="0015798F">
        <w:rPr>
          <w:szCs w:val="22"/>
        </w:rPr>
        <w:t xml:space="preserve"> means</w:t>
      </w:r>
      <w:r w:rsidR="000B7DBF" w:rsidRPr="0015798F">
        <w:rPr>
          <w:szCs w:val="22"/>
        </w:rPr>
        <w:t xml:space="preserve"> the Commonwealth framework of that name</w:t>
      </w:r>
      <w:r w:rsidR="00A461FC" w:rsidRPr="0015798F">
        <w:rPr>
          <w:szCs w:val="22"/>
        </w:rPr>
        <w:t xml:space="preserve"> used to identify and describe an individual's performance in the core skills of learning, reading, writing, oral communication and numeracy.</w:t>
      </w:r>
    </w:p>
    <w:p w14:paraId="41AD047A" w14:textId="677E4544" w:rsidR="000671D2" w:rsidRPr="0015798F" w:rsidRDefault="000671D2" w:rsidP="00723350">
      <w:pPr>
        <w:rPr>
          <w:szCs w:val="22"/>
        </w:rPr>
      </w:pPr>
      <w:r w:rsidRPr="0015798F">
        <w:rPr>
          <w:b/>
          <w:bCs/>
          <w:szCs w:val="22"/>
        </w:rPr>
        <w:t>Australian School-based Apprenticeship</w:t>
      </w:r>
      <w:r w:rsidRPr="0015798F">
        <w:rPr>
          <w:szCs w:val="22"/>
        </w:rPr>
        <w:t xml:space="preserve"> means the Commonwealth program of that name, administered by the Department of </w:t>
      </w:r>
      <w:r w:rsidR="00BE4CB9" w:rsidRPr="0015798F">
        <w:rPr>
          <w:szCs w:val="22"/>
        </w:rPr>
        <w:t>Employment and Workplace Relations</w:t>
      </w:r>
      <w:r w:rsidRPr="0015798F">
        <w:rPr>
          <w:szCs w:val="22"/>
        </w:rPr>
        <w:t>.</w:t>
      </w:r>
    </w:p>
    <w:p w14:paraId="772A1D9B" w14:textId="15CA6986" w:rsidR="002671A2" w:rsidRPr="0015798F" w:rsidRDefault="002671A2" w:rsidP="00CD504F">
      <w:pPr>
        <w:rPr>
          <w:szCs w:val="22"/>
        </w:rPr>
      </w:pPr>
      <w:r w:rsidRPr="0015798F">
        <w:rPr>
          <w:b/>
          <w:szCs w:val="22"/>
        </w:rPr>
        <w:t>Career Transition Assistance</w:t>
      </w:r>
      <w:r w:rsidRPr="0015798F">
        <w:rPr>
          <w:szCs w:val="22"/>
        </w:rPr>
        <w:t xml:space="preserve"> or </w:t>
      </w:r>
      <w:r w:rsidRPr="0015798F">
        <w:rPr>
          <w:b/>
          <w:szCs w:val="22"/>
        </w:rPr>
        <w:t>CTA</w:t>
      </w:r>
      <w:r w:rsidRPr="0015798F">
        <w:rPr>
          <w:szCs w:val="22"/>
        </w:rPr>
        <w:t xml:space="preserve"> means the Commonwealth program of that name, administered by the Department of Employment and Workplace Relations</w:t>
      </w:r>
      <w:r w:rsidR="00A461FC" w:rsidRPr="0015798F">
        <w:rPr>
          <w:szCs w:val="22"/>
        </w:rPr>
        <w:t>.</w:t>
      </w:r>
    </w:p>
    <w:p w14:paraId="23A9DB8B" w14:textId="77777777" w:rsidR="002671A2" w:rsidRPr="0015798F" w:rsidRDefault="002671A2" w:rsidP="00CD504F">
      <w:pPr>
        <w:rPr>
          <w:szCs w:val="22"/>
        </w:rPr>
      </w:pPr>
      <w:r w:rsidRPr="0015798F">
        <w:rPr>
          <w:b/>
          <w:szCs w:val="22"/>
        </w:rPr>
        <w:t>Centrelink Job Plan</w:t>
      </w:r>
      <w:r w:rsidRPr="0015798F">
        <w:rPr>
          <w:szCs w:val="22"/>
        </w:rPr>
        <w:t xml:space="preserve"> means a Job Plan which a Participant (Mutual Obligation) has entered into with </w:t>
      </w:r>
      <w:r w:rsidRPr="0015798F">
        <w:rPr>
          <w:i/>
          <w:szCs w:val="22"/>
        </w:rPr>
        <w:t>Services Australia under the Social Security Act 1991</w:t>
      </w:r>
      <w:r w:rsidRPr="0015798F">
        <w:rPr>
          <w:szCs w:val="22"/>
        </w:rPr>
        <w:t xml:space="preserve"> (Cth). </w:t>
      </w:r>
    </w:p>
    <w:p w14:paraId="465816E6" w14:textId="55EF226A" w:rsidR="002671A2" w:rsidRPr="0015798F" w:rsidRDefault="002671A2" w:rsidP="004A55FC">
      <w:pPr>
        <w:keepNext/>
        <w:rPr>
          <w:szCs w:val="22"/>
        </w:rPr>
      </w:pPr>
      <w:r w:rsidRPr="0015798F">
        <w:rPr>
          <w:b/>
          <w:szCs w:val="22"/>
        </w:rPr>
        <w:t>Centrelink Managed</w:t>
      </w:r>
      <w:r w:rsidRPr="0015798F">
        <w:rPr>
          <w:szCs w:val="22"/>
        </w:rPr>
        <w:t xml:space="preserve"> means individuals who have a Centrelink Job Plan and report their participation in requirements to Centrelink. Examples of Centrelink Managed people include:</w:t>
      </w:r>
    </w:p>
    <w:p w14:paraId="3C734042" w14:textId="02B58CF3" w:rsidR="002671A2" w:rsidRPr="0015798F" w:rsidRDefault="002671A2" w:rsidP="00532B5B">
      <w:pPr>
        <w:pStyle w:val="GlossaryList-level1"/>
        <w:rPr>
          <w:sz w:val="22"/>
          <w:szCs w:val="22"/>
        </w:rPr>
      </w:pPr>
      <w:r w:rsidRPr="0015798F">
        <w:rPr>
          <w:sz w:val="22"/>
          <w:szCs w:val="22"/>
        </w:rPr>
        <w:t xml:space="preserve">those who are Fully Meeting their Mutual Obligation Requirements and are </w:t>
      </w:r>
      <w:r w:rsidR="00961A91" w:rsidRPr="0015798F">
        <w:rPr>
          <w:sz w:val="22"/>
          <w:szCs w:val="22"/>
        </w:rPr>
        <w:t>S</w:t>
      </w:r>
      <w:r w:rsidRPr="0015798F">
        <w:rPr>
          <w:sz w:val="22"/>
          <w:szCs w:val="22"/>
        </w:rPr>
        <w:t xml:space="preserve">uspended (and potentially </w:t>
      </w:r>
      <w:r w:rsidR="00A636B6" w:rsidRPr="0015798F">
        <w:rPr>
          <w:sz w:val="22"/>
          <w:szCs w:val="22"/>
        </w:rPr>
        <w:t>E</w:t>
      </w:r>
      <w:r w:rsidRPr="0015798F">
        <w:rPr>
          <w:sz w:val="22"/>
          <w:szCs w:val="22"/>
        </w:rPr>
        <w:t xml:space="preserve">xited) from the </w:t>
      </w:r>
      <w:r w:rsidR="00565AA9" w:rsidRPr="0015798F">
        <w:rPr>
          <w:sz w:val="22"/>
          <w:szCs w:val="22"/>
        </w:rPr>
        <w:t>C</w:t>
      </w:r>
      <w:r w:rsidRPr="0015798F">
        <w:rPr>
          <w:sz w:val="22"/>
          <w:szCs w:val="22"/>
        </w:rPr>
        <w:t>aseload and have a Centrelink Job Plan</w:t>
      </w:r>
    </w:p>
    <w:p w14:paraId="2C75017D" w14:textId="21A09D2C" w:rsidR="002671A2" w:rsidRPr="0015798F" w:rsidRDefault="002671A2" w:rsidP="00532B5B">
      <w:pPr>
        <w:pStyle w:val="GlossaryList-level1"/>
        <w:rPr>
          <w:sz w:val="22"/>
          <w:szCs w:val="22"/>
        </w:rPr>
      </w:pPr>
      <w:r w:rsidRPr="0015798F">
        <w:rPr>
          <w:sz w:val="22"/>
          <w:szCs w:val="22"/>
        </w:rPr>
        <w:t>those who have Mutual Obligation Requirements but have not been Referred to an Employment Services Provider</w:t>
      </w:r>
      <w:r w:rsidR="00532B5B" w:rsidRPr="0015798F">
        <w:rPr>
          <w:sz w:val="22"/>
          <w:szCs w:val="22"/>
        </w:rPr>
        <w:t>, or</w:t>
      </w:r>
    </w:p>
    <w:p w14:paraId="1FC6E643" w14:textId="77777777" w:rsidR="002671A2" w:rsidRPr="0015798F" w:rsidRDefault="002671A2" w:rsidP="00532B5B">
      <w:pPr>
        <w:pStyle w:val="GlossaryList-level1"/>
        <w:rPr>
          <w:sz w:val="22"/>
          <w:szCs w:val="22"/>
        </w:rPr>
      </w:pPr>
      <w:r w:rsidRPr="0015798F">
        <w:rPr>
          <w:sz w:val="22"/>
          <w:szCs w:val="22"/>
        </w:rPr>
        <w:t>those who have Quarterly Interview Requirements and are managed by Centrelink. </w:t>
      </w:r>
    </w:p>
    <w:p w14:paraId="2C7C679E" w14:textId="597D3EF0" w:rsidR="002671A2" w:rsidRPr="0015798F" w:rsidRDefault="002671A2" w:rsidP="00CD504F">
      <w:pPr>
        <w:rPr>
          <w:szCs w:val="22"/>
        </w:rPr>
      </w:pPr>
      <w:r w:rsidRPr="0015798F">
        <w:rPr>
          <w:b/>
          <w:szCs w:val="22"/>
        </w:rPr>
        <w:t>Change of Circumstances ESAt</w:t>
      </w:r>
      <w:r w:rsidRPr="0015798F">
        <w:rPr>
          <w:szCs w:val="22"/>
        </w:rPr>
        <w:t xml:space="preserve"> means a reassessment of the Participants medical conditions, barriers and level of disability.</w:t>
      </w:r>
    </w:p>
    <w:p w14:paraId="3B9FD29E" w14:textId="34E46E68" w:rsidR="002671A2" w:rsidRPr="0015798F" w:rsidRDefault="002671A2" w:rsidP="00CD504F">
      <w:pPr>
        <w:rPr>
          <w:szCs w:val="22"/>
        </w:rPr>
      </w:pPr>
      <w:r w:rsidRPr="0015798F">
        <w:rPr>
          <w:b/>
          <w:szCs w:val="22"/>
        </w:rPr>
        <w:t>Change of Circumstances OSA</w:t>
      </w:r>
      <w:r w:rsidRPr="0015798F">
        <w:rPr>
          <w:szCs w:val="22"/>
        </w:rPr>
        <w:t xml:space="preserve"> means a reassessment of the Participants need for Ongoing Support.</w:t>
      </w:r>
    </w:p>
    <w:p w14:paraId="7D5FD667" w14:textId="784D6687" w:rsidR="002671A2" w:rsidRPr="0015798F" w:rsidRDefault="002671A2" w:rsidP="00CD504F">
      <w:pPr>
        <w:rPr>
          <w:szCs w:val="22"/>
        </w:rPr>
      </w:pPr>
      <w:r w:rsidRPr="0015798F">
        <w:rPr>
          <w:b/>
          <w:szCs w:val="22"/>
        </w:rPr>
        <w:t>Communications Method</w:t>
      </w:r>
      <w:r w:rsidRPr="0015798F">
        <w:rPr>
          <w:szCs w:val="22"/>
        </w:rPr>
        <w:t xml:space="preserve"> means the communication channel or mode in which notifications can be provided to the Participant, including their nominee where relevant, these can be both verbal scripts</w:t>
      </w:r>
      <w:r w:rsidR="00822EE7" w:rsidRPr="0015798F">
        <w:rPr>
          <w:szCs w:val="22"/>
        </w:rPr>
        <w:t xml:space="preserve"> for use by the Provider</w:t>
      </w:r>
      <w:r w:rsidRPr="0015798F">
        <w:rPr>
          <w:szCs w:val="22"/>
        </w:rPr>
        <w:t xml:space="preserve"> or in writing when sent via email, to their Workforce Australia inbox or via letter. </w:t>
      </w:r>
    </w:p>
    <w:p w14:paraId="60B139E8" w14:textId="3B4CDC59" w:rsidR="002671A2" w:rsidRPr="0015798F" w:rsidRDefault="002671A2" w:rsidP="00CD504F">
      <w:pPr>
        <w:rPr>
          <w:szCs w:val="22"/>
        </w:rPr>
      </w:pPr>
      <w:r w:rsidRPr="0015798F">
        <w:rPr>
          <w:b/>
          <w:szCs w:val="22"/>
        </w:rPr>
        <w:t>Complementary Activity</w:t>
      </w:r>
      <w:r w:rsidRPr="0015798F">
        <w:rPr>
          <w:szCs w:val="22"/>
        </w:rPr>
        <w:t xml:space="preserve"> means an employment or training program administered by </w:t>
      </w:r>
      <w:r w:rsidR="00B8707B" w:rsidRPr="0015798F">
        <w:rPr>
          <w:szCs w:val="22"/>
        </w:rPr>
        <w:t xml:space="preserve">a Complementary </w:t>
      </w:r>
      <w:r w:rsidR="009B2EAC" w:rsidRPr="0015798F">
        <w:rPr>
          <w:szCs w:val="22"/>
        </w:rPr>
        <w:t>Service</w:t>
      </w:r>
      <w:r w:rsidR="00B8707B" w:rsidRPr="0015798F">
        <w:rPr>
          <w:szCs w:val="22"/>
        </w:rPr>
        <w:t xml:space="preserve"> provider for </w:t>
      </w:r>
      <w:r w:rsidRPr="0015798F">
        <w:rPr>
          <w:szCs w:val="22"/>
        </w:rPr>
        <w:t>the Commonwealth for the purposes of providing additional or alternative spec</w:t>
      </w:r>
      <w:r w:rsidR="002C5EDF" w:rsidRPr="0015798F">
        <w:rPr>
          <w:szCs w:val="22"/>
        </w:rPr>
        <w:t>i</w:t>
      </w:r>
      <w:r w:rsidRPr="0015798F">
        <w:rPr>
          <w:szCs w:val="22"/>
        </w:rPr>
        <w:t xml:space="preserve">alised assistance to Participants. </w:t>
      </w:r>
      <w:r w:rsidR="00A63474" w:rsidRPr="0015798F">
        <w:rPr>
          <w:szCs w:val="22"/>
        </w:rPr>
        <w:t xml:space="preserve">Complementary Activities are a subset of Complementary Services. </w:t>
      </w:r>
      <w:r w:rsidRPr="0015798F">
        <w:rPr>
          <w:szCs w:val="22"/>
        </w:rPr>
        <w:t>The following are Complementary Activities for I</w:t>
      </w:r>
      <w:r w:rsidR="00F92D0E" w:rsidRPr="0015798F">
        <w:rPr>
          <w:szCs w:val="22"/>
        </w:rPr>
        <w:t>nclusive Employment Australia</w:t>
      </w:r>
      <w:r w:rsidR="006435A4" w:rsidRPr="0015798F">
        <w:rPr>
          <w:szCs w:val="22"/>
        </w:rPr>
        <w:t>, listed alphabetically</w:t>
      </w:r>
      <w:r w:rsidRPr="0015798F">
        <w:rPr>
          <w:szCs w:val="22"/>
        </w:rPr>
        <w:t>:</w:t>
      </w:r>
    </w:p>
    <w:p w14:paraId="0A07694D" w14:textId="77777777" w:rsidR="002671A2" w:rsidRPr="0015798F" w:rsidRDefault="002671A2" w:rsidP="00CD504F">
      <w:pPr>
        <w:pStyle w:val="GlossaryList-level1"/>
        <w:rPr>
          <w:sz w:val="22"/>
          <w:szCs w:val="22"/>
        </w:rPr>
      </w:pPr>
      <w:r w:rsidRPr="0015798F">
        <w:rPr>
          <w:sz w:val="22"/>
          <w:szCs w:val="22"/>
        </w:rPr>
        <w:t>Adult Migrant English Program (AMEP) </w:t>
      </w:r>
    </w:p>
    <w:p w14:paraId="595F77A7" w14:textId="77777777" w:rsidR="002671A2" w:rsidRPr="0015798F" w:rsidRDefault="002671A2" w:rsidP="00CD504F">
      <w:pPr>
        <w:pStyle w:val="GlossaryList-level1"/>
        <w:rPr>
          <w:sz w:val="22"/>
          <w:szCs w:val="22"/>
        </w:rPr>
      </w:pPr>
      <w:r w:rsidRPr="0015798F">
        <w:rPr>
          <w:sz w:val="22"/>
          <w:szCs w:val="22"/>
        </w:rPr>
        <w:t>Career Transition Assistance (CTA) </w:t>
      </w:r>
    </w:p>
    <w:p w14:paraId="3E7E22DA" w14:textId="77777777" w:rsidR="002671A2" w:rsidRPr="0015798F" w:rsidRDefault="002671A2" w:rsidP="00CD504F">
      <w:pPr>
        <w:pStyle w:val="GlossaryList-level1"/>
        <w:rPr>
          <w:sz w:val="22"/>
          <w:szCs w:val="22"/>
        </w:rPr>
      </w:pPr>
      <w:r w:rsidRPr="0015798F">
        <w:rPr>
          <w:sz w:val="22"/>
          <w:szCs w:val="22"/>
        </w:rPr>
        <w:t>Employability Skills Training (EST) </w:t>
      </w:r>
    </w:p>
    <w:p w14:paraId="4819A93B" w14:textId="77777777" w:rsidR="002671A2" w:rsidRPr="0015798F" w:rsidRDefault="002671A2" w:rsidP="00CD504F">
      <w:pPr>
        <w:pStyle w:val="GlossaryList-level1"/>
        <w:rPr>
          <w:sz w:val="22"/>
          <w:szCs w:val="22"/>
        </w:rPr>
      </w:pPr>
      <w:r w:rsidRPr="0015798F">
        <w:rPr>
          <w:sz w:val="22"/>
          <w:szCs w:val="22"/>
        </w:rPr>
        <w:t>Self-Employment Assistance (S-EA) </w:t>
      </w:r>
    </w:p>
    <w:p w14:paraId="1B7E0903" w14:textId="38F7CA6C" w:rsidR="002671A2" w:rsidRPr="0015798F" w:rsidRDefault="002671A2" w:rsidP="00CD504F">
      <w:pPr>
        <w:pStyle w:val="GlossaryList-level1"/>
        <w:rPr>
          <w:sz w:val="22"/>
          <w:szCs w:val="22"/>
        </w:rPr>
      </w:pPr>
      <w:r w:rsidRPr="0015798F">
        <w:rPr>
          <w:sz w:val="22"/>
          <w:szCs w:val="22"/>
        </w:rPr>
        <w:t>Skills for Education and Employment (SEE).</w:t>
      </w:r>
    </w:p>
    <w:p w14:paraId="51B82B8A" w14:textId="72BE9B79" w:rsidR="00AA3385" w:rsidRPr="0015798F" w:rsidRDefault="00AA3385" w:rsidP="009F07CB">
      <w:pPr>
        <w:rPr>
          <w:szCs w:val="22"/>
        </w:rPr>
      </w:pPr>
      <w:r w:rsidRPr="0015798F">
        <w:rPr>
          <w:b/>
          <w:bCs/>
          <w:szCs w:val="22"/>
        </w:rPr>
        <w:t>Compliance Improvement Plans</w:t>
      </w:r>
      <w:r w:rsidRPr="0015798F">
        <w:rPr>
          <w:szCs w:val="22"/>
        </w:rPr>
        <w:t xml:space="preserve"> </w:t>
      </w:r>
      <w:r w:rsidR="00532B5B" w:rsidRPr="0015798F">
        <w:rPr>
          <w:szCs w:val="22"/>
        </w:rPr>
        <w:t xml:space="preserve">or </w:t>
      </w:r>
      <w:r w:rsidR="00532B5B" w:rsidRPr="0015798F">
        <w:rPr>
          <w:b/>
          <w:bCs/>
          <w:szCs w:val="22"/>
        </w:rPr>
        <w:t>CIPs</w:t>
      </w:r>
      <w:r w:rsidR="00532B5B" w:rsidRPr="0015798F">
        <w:rPr>
          <w:szCs w:val="22"/>
        </w:rPr>
        <w:t xml:space="preserve"> </w:t>
      </w:r>
      <w:r w:rsidRPr="0015798F">
        <w:rPr>
          <w:szCs w:val="22"/>
        </w:rPr>
        <w:t>are strategic plans developed by Providers to improve compliance with the Deed</w:t>
      </w:r>
    </w:p>
    <w:p w14:paraId="1B3EE9E6" w14:textId="0FBD99EF" w:rsidR="007A0EFA" w:rsidRPr="0015798F" w:rsidRDefault="007A0EFA" w:rsidP="00CD504F">
      <w:pPr>
        <w:rPr>
          <w:bCs/>
          <w:szCs w:val="22"/>
        </w:rPr>
      </w:pPr>
      <w:r w:rsidRPr="0015798F">
        <w:rPr>
          <w:b/>
          <w:szCs w:val="22"/>
        </w:rPr>
        <w:t xml:space="preserve">Contact Appointment </w:t>
      </w:r>
      <w:r w:rsidR="0038527B" w:rsidRPr="0015798F">
        <w:rPr>
          <w:bCs/>
          <w:szCs w:val="22"/>
        </w:rPr>
        <w:t>is a</w:t>
      </w:r>
      <w:r w:rsidR="00EC37B5" w:rsidRPr="0015798F">
        <w:rPr>
          <w:bCs/>
          <w:szCs w:val="22"/>
        </w:rPr>
        <w:t xml:space="preserve"> type of</w:t>
      </w:r>
      <w:r w:rsidR="0038527B" w:rsidRPr="0015798F">
        <w:rPr>
          <w:bCs/>
          <w:szCs w:val="22"/>
        </w:rPr>
        <w:t xml:space="preserve"> </w:t>
      </w:r>
      <w:r w:rsidRPr="0015798F">
        <w:rPr>
          <w:bCs/>
          <w:szCs w:val="22"/>
        </w:rPr>
        <w:t xml:space="preserve">Appointment </w:t>
      </w:r>
      <w:r w:rsidR="0038527B" w:rsidRPr="0015798F">
        <w:rPr>
          <w:bCs/>
          <w:szCs w:val="22"/>
        </w:rPr>
        <w:t>with the Provider</w:t>
      </w:r>
      <w:r w:rsidR="00D95A18" w:rsidRPr="0015798F">
        <w:rPr>
          <w:bCs/>
          <w:szCs w:val="22"/>
        </w:rPr>
        <w:t xml:space="preserve"> for the purpose of a Contact</w:t>
      </w:r>
      <w:r w:rsidR="00554CD4" w:rsidRPr="0015798F">
        <w:rPr>
          <w:bCs/>
          <w:szCs w:val="22"/>
        </w:rPr>
        <w:t>,</w:t>
      </w:r>
      <w:r w:rsidR="000F5135" w:rsidRPr="0015798F">
        <w:rPr>
          <w:bCs/>
          <w:szCs w:val="22"/>
        </w:rPr>
        <w:t xml:space="preserve"> </w:t>
      </w:r>
      <w:r w:rsidR="00EC37B5" w:rsidRPr="0015798F">
        <w:rPr>
          <w:bCs/>
          <w:szCs w:val="22"/>
        </w:rPr>
        <w:t>exclud</w:t>
      </w:r>
      <w:r w:rsidR="00554CD4" w:rsidRPr="0015798F">
        <w:rPr>
          <w:bCs/>
          <w:szCs w:val="22"/>
        </w:rPr>
        <w:t>ing</w:t>
      </w:r>
      <w:r w:rsidR="000F5135" w:rsidRPr="0015798F">
        <w:rPr>
          <w:bCs/>
          <w:szCs w:val="22"/>
        </w:rPr>
        <w:t xml:space="preserve"> any Contact that is for the purpose </w:t>
      </w:r>
      <w:r w:rsidR="00132244" w:rsidRPr="0015798F">
        <w:rPr>
          <w:bCs/>
          <w:szCs w:val="22"/>
        </w:rPr>
        <w:t xml:space="preserve">the </w:t>
      </w:r>
      <w:r w:rsidR="00CF73CB" w:rsidRPr="0015798F">
        <w:rPr>
          <w:bCs/>
          <w:szCs w:val="22"/>
        </w:rPr>
        <w:t>Initial Interview or a Re-engagement Requirement</w:t>
      </w:r>
      <w:r w:rsidRPr="0015798F">
        <w:rPr>
          <w:bCs/>
          <w:szCs w:val="22"/>
        </w:rPr>
        <w:t>.</w:t>
      </w:r>
    </w:p>
    <w:p w14:paraId="7746C191" w14:textId="174F41DE" w:rsidR="00DD5BD7" w:rsidRPr="0015798F" w:rsidRDefault="00DD5BD7" w:rsidP="00CD504F">
      <w:pPr>
        <w:rPr>
          <w:szCs w:val="22"/>
        </w:rPr>
      </w:pPr>
      <w:r w:rsidRPr="0015798F">
        <w:rPr>
          <w:b/>
          <w:bCs/>
          <w:szCs w:val="22"/>
        </w:rPr>
        <w:t>Core Skills</w:t>
      </w:r>
      <w:r w:rsidRPr="0015798F">
        <w:rPr>
          <w:szCs w:val="22"/>
        </w:rPr>
        <w:t xml:space="preserve"> means </w:t>
      </w:r>
      <w:r w:rsidR="00CA37CE" w:rsidRPr="0015798F">
        <w:rPr>
          <w:szCs w:val="22"/>
        </w:rPr>
        <w:t xml:space="preserve">a performance rating of </w:t>
      </w:r>
      <w:r w:rsidR="00CF448B" w:rsidRPr="0015798F">
        <w:rPr>
          <w:szCs w:val="22"/>
        </w:rPr>
        <w:t xml:space="preserve">a person’s skill level </w:t>
      </w:r>
      <w:r w:rsidRPr="0015798F">
        <w:rPr>
          <w:szCs w:val="22"/>
        </w:rPr>
        <w:t>under the Australian Core Skills Framework.</w:t>
      </w:r>
    </w:p>
    <w:p w14:paraId="00A8859C" w14:textId="4E2D9417" w:rsidR="005B54C9" w:rsidRPr="0015798F" w:rsidRDefault="005B54C9" w:rsidP="005B54C9">
      <w:pPr>
        <w:rPr>
          <w:szCs w:val="22"/>
        </w:rPr>
      </w:pPr>
      <w:r w:rsidRPr="0015798F">
        <w:rPr>
          <w:b/>
          <w:szCs w:val="22"/>
        </w:rPr>
        <w:t>Detailed Job Plan</w:t>
      </w:r>
      <w:r w:rsidRPr="0015798F">
        <w:rPr>
          <w:szCs w:val="22"/>
        </w:rPr>
        <w:t xml:space="preserve"> has the meaning given to Job Plan (Detailed) in the Deed. In some cases, this Job Plan type may be shown as Detailed Job Plan (Compulsory) or Detailed Job Plan (DSP U35).</w:t>
      </w:r>
    </w:p>
    <w:p w14:paraId="699177A1" w14:textId="4AF50D7B" w:rsidR="005B54C9" w:rsidRPr="0015798F" w:rsidRDefault="005B54C9" w:rsidP="005B54C9">
      <w:pPr>
        <w:rPr>
          <w:szCs w:val="22"/>
        </w:rPr>
      </w:pPr>
      <w:r w:rsidRPr="0015798F">
        <w:rPr>
          <w:b/>
          <w:bCs/>
          <w:szCs w:val="22"/>
        </w:rPr>
        <w:t xml:space="preserve">Disabled Australian Apprentice Wage Support </w:t>
      </w:r>
      <w:r w:rsidR="00997624" w:rsidRPr="0015798F">
        <w:rPr>
          <w:b/>
          <w:bCs/>
          <w:szCs w:val="22"/>
        </w:rPr>
        <w:t xml:space="preserve">Program </w:t>
      </w:r>
      <w:r w:rsidRPr="0015798F">
        <w:rPr>
          <w:szCs w:val="22"/>
        </w:rPr>
        <w:t>means</w:t>
      </w:r>
      <w:r w:rsidR="00071A91" w:rsidRPr="0015798F">
        <w:rPr>
          <w:szCs w:val="22"/>
        </w:rPr>
        <w:t xml:space="preserve"> the Commonwealth program of that name, administered by the Department of Employment and Workplace Relations. This program</w:t>
      </w:r>
      <w:r w:rsidR="003774BE" w:rsidRPr="0015798F">
        <w:rPr>
          <w:szCs w:val="22"/>
        </w:rPr>
        <w:t xml:space="preserve"> provides a </w:t>
      </w:r>
      <w:r w:rsidR="00205C5D" w:rsidRPr="0015798F">
        <w:rPr>
          <w:szCs w:val="22"/>
        </w:rPr>
        <w:t xml:space="preserve">payment that assists Employers of </w:t>
      </w:r>
      <w:r w:rsidR="003E555E" w:rsidRPr="0015798F">
        <w:rPr>
          <w:szCs w:val="22"/>
        </w:rPr>
        <w:t>eligible</w:t>
      </w:r>
      <w:r w:rsidR="00205C5D" w:rsidRPr="0015798F">
        <w:rPr>
          <w:szCs w:val="22"/>
        </w:rPr>
        <w:t xml:space="preserve"> </w:t>
      </w:r>
      <w:r w:rsidR="00645DAF" w:rsidRPr="0015798F">
        <w:rPr>
          <w:szCs w:val="22"/>
        </w:rPr>
        <w:t>a</w:t>
      </w:r>
      <w:r w:rsidR="00205C5D" w:rsidRPr="0015798F">
        <w:rPr>
          <w:szCs w:val="22"/>
        </w:rPr>
        <w:t>pprentices with disability.</w:t>
      </w:r>
    </w:p>
    <w:p w14:paraId="3CF8E714" w14:textId="5223DAE5" w:rsidR="002671A2" w:rsidRPr="0015798F" w:rsidRDefault="002671A2" w:rsidP="00CD504F">
      <w:pPr>
        <w:rPr>
          <w:szCs w:val="22"/>
        </w:rPr>
      </w:pPr>
      <w:r w:rsidRPr="0015798F">
        <w:rPr>
          <w:b/>
          <w:szCs w:val="22"/>
        </w:rPr>
        <w:t>DSP Recipient (Compulsory Requirements)</w:t>
      </w:r>
      <w:r w:rsidRPr="0015798F">
        <w:rPr>
          <w:szCs w:val="22"/>
        </w:rPr>
        <w:t xml:space="preserve"> means a Participant who is in receipt of the Disability Support Pension (DSP), who is aged less than 35 years and has an assessed </w:t>
      </w:r>
      <w:r w:rsidR="00B75ED5" w:rsidRPr="0015798F">
        <w:rPr>
          <w:szCs w:val="22"/>
        </w:rPr>
        <w:t>f</w:t>
      </w:r>
      <w:r w:rsidRPr="0015798F">
        <w:rPr>
          <w:szCs w:val="22"/>
        </w:rPr>
        <w:t xml:space="preserve">uture </w:t>
      </w:r>
      <w:r w:rsidR="00B75ED5" w:rsidRPr="0015798F">
        <w:rPr>
          <w:szCs w:val="22"/>
        </w:rPr>
        <w:t>w</w:t>
      </w:r>
      <w:r w:rsidRPr="0015798F">
        <w:rPr>
          <w:szCs w:val="22"/>
        </w:rPr>
        <w:t xml:space="preserve">ork </w:t>
      </w:r>
      <w:r w:rsidR="00B75ED5" w:rsidRPr="0015798F">
        <w:rPr>
          <w:szCs w:val="22"/>
        </w:rPr>
        <w:t>c</w:t>
      </w:r>
      <w:r w:rsidRPr="0015798F">
        <w:rPr>
          <w:szCs w:val="22"/>
        </w:rPr>
        <w:t xml:space="preserve">apacity of 8 or more hours work per week, who is participating in </w:t>
      </w:r>
      <w:r w:rsidR="00F92D0E" w:rsidRPr="0015798F">
        <w:rPr>
          <w:szCs w:val="22"/>
        </w:rPr>
        <w:t>Inclusive Employment Australia</w:t>
      </w:r>
      <w:r w:rsidRPr="0015798F">
        <w:rPr>
          <w:szCs w:val="22"/>
        </w:rPr>
        <w:t xml:space="preserve"> to meet the compulsory work focused activity in their Participation Plan in order to receive their Income Support Payment. In some cases, DSP Recipients (Compulsory Requirements) may be referred to as a DSP U35 or DSP Compulsory Participation Client. </w:t>
      </w:r>
    </w:p>
    <w:p w14:paraId="4451B95F" w14:textId="252B6F02" w:rsidR="002671A2" w:rsidRPr="0015798F" w:rsidRDefault="002671A2" w:rsidP="00CD504F">
      <w:pPr>
        <w:rPr>
          <w:szCs w:val="22"/>
        </w:rPr>
      </w:pPr>
      <w:r w:rsidRPr="0015798F">
        <w:rPr>
          <w:b/>
          <w:szCs w:val="22"/>
        </w:rPr>
        <w:t>Engagement Method</w:t>
      </w:r>
      <w:r w:rsidRPr="0015798F">
        <w:rPr>
          <w:szCs w:val="22"/>
        </w:rPr>
        <w:t xml:space="preserve"> means the method in which Appointments and Contacts take place. For example, these can be face-to-face, verbal discussion </w:t>
      </w:r>
      <w:r w:rsidR="00DB289E" w:rsidRPr="0015798F">
        <w:rPr>
          <w:szCs w:val="22"/>
        </w:rPr>
        <w:t>over a</w:t>
      </w:r>
      <w:r w:rsidRPr="0015798F">
        <w:rPr>
          <w:szCs w:val="22"/>
        </w:rPr>
        <w:t xml:space="preserve"> </w:t>
      </w:r>
      <w:r w:rsidR="00D9789A" w:rsidRPr="0015798F">
        <w:rPr>
          <w:szCs w:val="22"/>
        </w:rPr>
        <w:t>phone</w:t>
      </w:r>
      <w:r w:rsidRPr="0015798F">
        <w:rPr>
          <w:szCs w:val="22"/>
        </w:rPr>
        <w:t xml:space="preserve"> </w:t>
      </w:r>
      <w:r w:rsidR="00DB289E" w:rsidRPr="0015798F">
        <w:rPr>
          <w:szCs w:val="22"/>
        </w:rPr>
        <w:t xml:space="preserve">call </w:t>
      </w:r>
      <w:r w:rsidRPr="0015798F">
        <w:rPr>
          <w:szCs w:val="22"/>
        </w:rPr>
        <w:t>or videoconference, or meaningful exchange of email or text messages.</w:t>
      </w:r>
    </w:p>
    <w:p w14:paraId="0E4139BF" w14:textId="77777777" w:rsidR="002671A2" w:rsidRPr="0015798F" w:rsidRDefault="002671A2" w:rsidP="00CD504F">
      <w:pPr>
        <w:rPr>
          <w:szCs w:val="22"/>
        </w:rPr>
      </w:pPr>
      <w:r w:rsidRPr="0015798F">
        <w:rPr>
          <w:b/>
          <w:szCs w:val="22"/>
        </w:rPr>
        <w:t>Employability Skills Training</w:t>
      </w:r>
      <w:r w:rsidRPr="0015798F">
        <w:rPr>
          <w:szCs w:val="22"/>
        </w:rPr>
        <w:t xml:space="preserve"> or </w:t>
      </w:r>
      <w:r w:rsidRPr="0015798F">
        <w:rPr>
          <w:b/>
          <w:szCs w:val="22"/>
        </w:rPr>
        <w:t>EST</w:t>
      </w:r>
      <w:r w:rsidRPr="0015798F">
        <w:rPr>
          <w:szCs w:val="22"/>
        </w:rPr>
        <w:t xml:space="preserve"> means the Commonwealth program of that name, administered by the Department of Employment and Workplace Relations. </w:t>
      </w:r>
    </w:p>
    <w:p w14:paraId="77510BC1" w14:textId="5CB9E6F3" w:rsidR="002671A2" w:rsidRPr="0015798F" w:rsidRDefault="002671A2" w:rsidP="00CD504F">
      <w:pPr>
        <w:rPr>
          <w:szCs w:val="22"/>
        </w:rPr>
      </w:pPr>
      <w:r w:rsidRPr="0015798F">
        <w:rPr>
          <w:b/>
          <w:szCs w:val="22"/>
        </w:rPr>
        <w:t>Employment Goal</w:t>
      </w:r>
      <w:r w:rsidRPr="0015798F">
        <w:rPr>
          <w:szCs w:val="22"/>
        </w:rPr>
        <w:t xml:space="preserve"> means a goal that has been identified by the Participant, which is captured in the Job Plan.</w:t>
      </w:r>
    </w:p>
    <w:p w14:paraId="7B3CF43B" w14:textId="5F185F3E" w:rsidR="002671A2" w:rsidRPr="0015798F" w:rsidRDefault="002671A2" w:rsidP="00CD504F">
      <w:pPr>
        <w:rPr>
          <w:szCs w:val="22"/>
        </w:rPr>
      </w:pPr>
      <w:r w:rsidRPr="0015798F">
        <w:rPr>
          <w:b/>
          <w:szCs w:val="22"/>
        </w:rPr>
        <w:t>Family Member</w:t>
      </w:r>
      <w:r w:rsidRPr="0015798F">
        <w:rPr>
          <w:szCs w:val="22"/>
        </w:rPr>
        <w:t xml:space="preserve"> means, in relation to a particular individual (such as a Participant or an Employer):</w:t>
      </w:r>
      <w:r w:rsidR="0030028C" w:rsidRPr="0015798F">
        <w:rPr>
          <w:szCs w:val="22"/>
        </w:rPr>
        <w:t xml:space="preserve"> </w:t>
      </w:r>
    </w:p>
    <w:p w14:paraId="6C7264DB" w14:textId="10C70004" w:rsidR="002671A2" w:rsidRPr="0015798F" w:rsidRDefault="002671A2" w:rsidP="00CD504F">
      <w:pPr>
        <w:pStyle w:val="GlossaryList-level1"/>
        <w:rPr>
          <w:sz w:val="22"/>
          <w:szCs w:val="22"/>
        </w:rPr>
      </w:pPr>
      <w:r w:rsidRPr="0015798F">
        <w:rPr>
          <w:sz w:val="22"/>
          <w:szCs w:val="22"/>
        </w:rPr>
        <w:t>any spouse, de facto partner, child, parent, grandparent, grandchild or sibling, including where any of these are adopted relations, of the particular individual</w:t>
      </w:r>
    </w:p>
    <w:p w14:paraId="7B941546" w14:textId="7D31F4DD" w:rsidR="002671A2" w:rsidRPr="0015798F" w:rsidRDefault="002671A2" w:rsidP="00CD504F">
      <w:pPr>
        <w:pStyle w:val="GlossaryList-level1"/>
        <w:rPr>
          <w:sz w:val="22"/>
          <w:szCs w:val="22"/>
        </w:rPr>
      </w:pPr>
      <w:r w:rsidRPr="0015798F">
        <w:rPr>
          <w:sz w:val="22"/>
          <w:szCs w:val="22"/>
        </w:rPr>
        <w:t>any child, parent, grandparent, grandchild or sibling, including where any of these are adopted relations, of the spouse or de facto partner of the particular individual</w:t>
      </w:r>
      <w:r w:rsidR="009769F4" w:rsidRPr="0015798F">
        <w:rPr>
          <w:sz w:val="22"/>
          <w:szCs w:val="22"/>
        </w:rPr>
        <w:t>,</w:t>
      </w:r>
      <w:r w:rsidRPr="0015798F">
        <w:rPr>
          <w:sz w:val="22"/>
          <w:szCs w:val="22"/>
        </w:rPr>
        <w:t xml:space="preserve"> or </w:t>
      </w:r>
    </w:p>
    <w:p w14:paraId="7B011809" w14:textId="77777777" w:rsidR="002671A2" w:rsidRPr="0015798F" w:rsidRDefault="002671A2" w:rsidP="00CD504F">
      <w:pPr>
        <w:pStyle w:val="GlossaryList-level1"/>
        <w:rPr>
          <w:sz w:val="22"/>
          <w:szCs w:val="22"/>
        </w:rPr>
      </w:pPr>
      <w:r w:rsidRPr="0015798F">
        <w:rPr>
          <w:sz w:val="22"/>
          <w:szCs w:val="22"/>
        </w:rPr>
        <w:t>any in-law of any individual referred to above, including any in-law of the particular individual. </w:t>
      </w:r>
    </w:p>
    <w:p w14:paraId="59FFADA3" w14:textId="4D99CA33" w:rsidR="002671A2" w:rsidRPr="0015798F" w:rsidRDefault="002671A2" w:rsidP="00CD504F">
      <w:pPr>
        <w:rPr>
          <w:szCs w:val="22"/>
        </w:rPr>
      </w:pPr>
      <w:r w:rsidRPr="0015798F">
        <w:rPr>
          <w:b/>
          <w:szCs w:val="22"/>
        </w:rPr>
        <w:t>Host Agreement</w:t>
      </w:r>
      <w:r w:rsidRPr="0015798F">
        <w:rPr>
          <w:szCs w:val="22"/>
        </w:rPr>
        <w:t xml:space="preserve"> means a written and signed agreement between the Provider, a Host Organisation and a Participant in relation to the provision of Specified Activities.</w:t>
      </w:r>
    </w:p>
    <w:p w14:paraId="40B51CC2" w14:textId="020C67AF" w:rsidR="002671A2" w:rsidRPr="0015798F" w:rsidRDefault="002671A2" w:rsidP="00CD504F">
      <w:pPr>
        <w:rPr>
          <w:szCs w:val="22"/>
        </w:rPr>
      </w:pPr>
      <w:r w:rsidRPr="0015798F">
        <w:rPr>
          <w:b/>
          <w:szCs w:val="22"/>
        </w:rPr>
        <w:t>Host Organisation</w:t>
      </w:r>
      <w:r w:rsidRPr="0015798F">
        <w:rPr>
          <w:szCs w:val="22"/>
        </w:rPr>
        <w:t xml:space="preserve"> has the meaning given to Activity Host Organisation in the Deed.</w:t>
      </w:r>
    </w:p>
    <w:p w14:paraId="009A7B02" w14:textId="60180B90" w:rsidR="00FB5A74" w:rsidRPr="0015798F" w:rsidRDefault="00F92D0E" w:rsidP="00586282">
      <w:pPr>
        <w:rPr>
          <w:szCs w:val="22"/>
        </w:rPr>
      </w:pPr>
      <w:r w:rsidRPr="0015798F">
        <w:rPr>
          <w:b/>
          <w:bCs/>
          <w:szCs w:val="22"/>
        </w:rPr>
        <w:t>Inclusive Employment Australia</w:t>
      </w:r>
      <w:r w:rsidR="00FB5A74" w:rsidRPr="0015798F">
        <w:rPr>
          <w:b/>
          <w:bCs/>
          <w:szCs w:val="22"/>
        </w:rPr>
        <w:t xml:space="preserve"> Provider</w:t>
      </w:r>
      <w:r w:rsidR="00FB5A74" w:rsidRPr="0015798F">
        <w:rPr>
          <w:szCs w:val="22"/>
        </w:rPr>
        <w:t xml:space="preserve"> has the same meaning as Program </w:t>
      </w:r>
      <w:r w:rsidR="00854F82" w:rsidRPr="0015798F">
        <w:rPr>
          <w:szCs w:val="22"/>
        </w:rPr>
        <w:t>Provider in the Deed.</w:t>
      </w:r>
      <w:r w:rsidR="008542C7" w:rsidRPr="0015798F">
        <w:rPr>
          <w:szCs w:val="22"/>
        </w:rPr>
        <w:t xml:space="preserve"> </w:t>
      </w:r>
    </w:p>
    <w:p w14:paraId="7F1D1072" w14:textId="1DAA627F" w:rsidR="002671A2" w:rsidRPr="0015798F" w:rsidRDefault="002671A2" w:rsidP="00CD504F">
      <w:pPr>
        <w:rPr>
          <w:szCs w:val="22"/>
        </w:rPr>
      </w:pPr>
      <w:r w:rsidRPr="0015798F">
        <w:rPr>
          <w:b/>
          <w:szCs w:val="22"/>
        </w:rPr>
        <w:t>Initial Engagement Period</w:t>
      </w:r>
      <w:r w:rsidRPr="0015798F">
        <w:rPr>
          <w:szCs w:val="22"/>
        </w:rPr>
        <w:t xml:space="preserve"> means the first 4 weeks (28 days) during which the Participant is receiving Services from the Provider, including the Initial Interview. The Initial Engagement Period does not apply to Ongoing Support (Work Assist) Participants.</w:t>
      </w:r>
    </w:p>
    <w:p w14:paraId="190CDAAE" w14:textId="444AB1E4" w:rsidR="002671A2" w:rsidRPr="0015798F" w:rsidRDefault="002671A2" w:rsidP="00CD504F">
      <w:pPr>
        <w:rPr>
          <w:szCs w:val="22"/>
        </w:rPr>
      </w:pPr>
      <w:r w:rsidRPr="0015798F">
        <w:rPr>
          <w:b/>
          <w:szCs w:val="22"/>
        </w:rPr>
        <w:t>Incident</w:t>
      </w:r>
      <w:r w:rsidRPr="0015798F">
        <w:rPr>
          <w:szCs w:val="22"/>
        </w:rPr>
        <w:t xml:space="preserve"> means:</w:t>
      </w:r>
      <w:r w:rsidR="0030028C" w:rsidRPr="0015798F">
        <w:rPr>
          <w:szCs w:val="22"/>
        </w:rPr>
        <w:t xml:space="preserve"> </w:t>
      </w:r>
    </w:p>
    <w:p w14:paraId="1D2E0307" w14:textId="7042EF93" w:rsidR="002671A2" w:rsidRPr="0015798F" w:rsidRDefault="002671A2" w:rsidP="00CD504F">
      <w:pPr>
        <w:pStyle w:val="GlossaryList-level1"/>
        <w:rPr>
          <w:sz w:val="22"/>
          <w:szCs w:val="22"/>
        </w:rPr>
      </w:pPr>
      <w:r w:rsidRPr="0015798F">
        <w:rPr>
          <w:sz w:val="22"/>
          <w:szCs w:val="22"/>
        </w:rPr>
        <w:t>an unplanned, accidental or deliberate event or happening resulting in personal injury (physical or mental), illness or damage to equipment, property, plant, site or building</w:t>
      </w:r>
    </w:p>
    <w:p w14:paraId="0936F7C4" w14:textId="3B14747E" w:rsidR="002671A2" w:rsidRPr="0015798F" w:rsidRDefault="002671A2" w:rsidP="00CD504F">
      <w:pPr>
        <w:pStyle w:val="GlossaryList-level1"/>
        <w:rPr>
          <w:sz w:val="22"/>
          <w:szCs w:val="22"/>
        </w:rPr>
      </w:pPr>
      <w:r w:rsidRPr="0015798F">
        <w:rPr>
          <w:sz w:val="22"/>
          <w:szCs w:val="22"/>
        </w:rPr>
        <w:t>an event or happening that had the potential to result in personal injury (physical or mental), illness or damage to equipment, property, plant, site or building</w:t>
      </w:r>
      <w:r w:rsidR="009769F4" w:rsidRPr="0015798F">
        <w:rPr>
          <w:sz w:val="22"/>
          <w:szCs w:val="22"/>
        </w:rPr>
        <w:t>,</w:t>
      </w:r>
      <w:r w:rsidR="0086124E" w:rsidRPr="0015798F">
        <w:rPr>
          <w:sz w:val="22"/>
          <w:szCs w:val="22"/>
        </w:rPr>
        <w:t xml:space="preserve"> or</w:t>
      </w:r>
    </w:p>
    <w:p w14:paraId="1CCBD3FA" w14:textId="77777777" w:rsidR="002671A2" w:rsidRPr="0015798F" w:rsidRDefault="002671A2" w:rsidP="00CD504F">
      <w:pPr>
        <w:pStyle w:val="GlossaryList-level1"/>
        <w:rPr>
          <w:sz w:val="22"/>
          <w:szCs w:val="22"/>
        </w:rPr>
      </w:pPr>
      <w:r w:rsidRPr="0015798F">
        <w:rPr>
          <w:sz w:val="22"/>
          <w:szCs w:val="22"/>
        </w:rPr>
        <w:t>unacceptable or hostile behaviour that could result in legal proceedings or potential personal injury (physical or mental), illness or damage to equipment, property, plant, site or building. </w:t>
      </w:r>
    </w:p>
    <w:p w14:paraId="1ABB88D7" w14:textId="0924CA87" w:rsidR="00F33552" w:rsidRPr="0015798F" w:rsidRDefault="00F33552" w:rsidP="00CD504F">
      <w:pPr>
        <w:rPr>
          <w:bCs/>
          <w:szCs w:val="22"/>
        </w:rPr>
      </w:pPr>
      <w:r w:rsidRPr="0015798F">
        <w:rPr>
          <w:b/>
          <w:szCs w:val="22"/>
        </w:rPr>
        <w:t xml:space="preserve">Incident Management Plan </w:t>
      </w:r>
      <w:r w:rsidR="00615163" w:rsidRPr="0015798F">
        <w:rPr>
          <w:bCs/>
          <w:szCs w:val="22"/>
        </w:rPr>
        <w:t>means</w:t>
      </w:r>
      <w:r w:rsidRPr="0015798F">
        <w:rPr>
          <w:bCs/>
          <w:szCs w:val="22"/>
        </w:rPr>
        <w:t xml:space="preserve"> a plan outlining how Provider Personnel will manage situations where participants, staff or visitors display challenging behaviours and how to prevent or manage Incidents.</w:t>
      </w:r>
    </w:p>
    <w:p w14:paraId="0EC3F1AB" w14:textId="17906D3D" w:rsidR="00F33552" w:rsidRPr="0015798F" w:rsidRDefault="00F33552" w:rsidP="00CD504F">
      <w:pPr>
        <w:rPr>
          <w:bCs/>
          <w:szCs w:val="22"/>
        </w:rPr>
      </w:pPr>
      <w:r w:rsidRPr="0015798F">
        <w:rPr>
          <w:b/>
          <w:szCs w:val="22"/>
        </w:rPr>
        <w:t xml:space="preserve">Incident Report </w:t>
      </w:r>
      <w:r w:rsidRPr="0015798F">
        <w:rPr>
          <w:bCs/>
          <w:szCs w:val="22"/>
        </w:rPr>
        <w:t>means a written account of an incident involving challenging behaviour that is recorded in the Department’s IT System.</w:t>
      </w:r>
    </w:p>
    <w:p w14:paraId="528FD305" w14:textId="7DD54F22" w:rsidR="002671A2" w:rsidRPr="0015798F" w:rsidRDefault="002671A2" w:rsidP="00CD504F">
      <w:pPr>
        <w:rPr>
          <w:szCs w:val="22"/>
        </w:rPr>
      </w:pPr>
      <w:r w:rsidRPr="0015798F">
        <w:rPr>
          <w:b/>
          <w:szCs w:val="22"/>
        </w:rPr>
        <w:t>Job Interview</w:t>
      </w:r>
      <w:r w:rsidRPr="0015798F">
        <w:rPr>
          <w:szCs w:val="22"/>
        </w:rPr>
        <w:t xml:space="preserve"> means any job interview that either the Provider has arranged</w:t>
      </w:r>
      <w:r w:rsidR="00271592" w:rsidRPr="0015798F">
        <w:rPr>
          <w:szCs w:val="22"/>
        </w:rPr>
        <w:t>,</w:t>
      </w:r>
      <w:r w:rsidRPr="0015798F">
        <w:rPr>
          <w:szCs w:val="22"/>
        </w:rPr>
        <w:t xml:space="preserve"> or the Participant has secured for themselves. </w:t>
      </w:r>
    </w:p>
    <w:p w14:paraId="729F3F4E" w14:textId="77777777" w:rsidR="002671A2" w:rsidRPr="0015798F" w:rsidRDefault="002671A2" w:rsidP="00CD504F">
      <w:pPr>
        <w:rPr>
          <w:szCs w:val="22"/>
        </w:rPr>
      </w:pPr>
      <w:r w:rsidRPr="0015798F">
        <w:rPr>
          <w:b/>
          <w:szCs w:val="22"/>
        </w:rPr>
        <w:t>Job Plan</w:t>
      </w:r>
      <w:r w:rsidRPr="0015798F">
        <w:rPr>
          <w:szCs w:val="22"/>
        </w:rPr>
        <w:t xml:space="preserve"> means the employment pathway plan which a Participant (Mutual Obligation) must enter into with their Provider under the </w:t>
      </w:r>
      <w:r w:rsidRPr="0015798F">
        <w:rPr>
          <w:i/>
          <w:iCs/>
          <w:szCs w:val="22"/>
        </w:rPr>
        <w:t>Social Security Act 1991</w:t>
      </w:r>
      <w:r w:rsidRPr="0015798F">
        <w:rPr>
          <w:szCs w:val="22"/>
        </w:rPr>
        <w:t xml:space="preserve"> (Cth) or an agreement between the Provider and Participant that must be entered into by all other Participants in order to receive Services. </w:t>
      </w:r>
    </w:p>
    <w:p w14:paraId="624C8107" w14:textId="67BE0DBC" w:rsidR="002671A2" w:rsidRPr="0015798F" w:rsidRDefault="002671A2" w:rsidP="00CD504F">
      <w:pPr>
        <w:rPr>
          <w:szCs w:val="22"/>
        </w:rPr>
      </w:pPr>
      <w:r w:rsidRPr="0015798F">
        <w:rPr>
          <w:b/>
          <w:szCs w:val="22"/>
        </w:rPr>
        <w:t>Job Search Reporting Period</w:t>
      </w:r>
      <w:r w:rsidRPr="0015798F">
        <w:rPr>
          <w:szCs w:val="22"/>
        </w:rPr>
        <w:t xml:space="preserve"> has the meaning given to Job Search Period in the Deed. </w:t>
      </w:r>
    </w:p>
    <w:p w14:paraId="2BFEE6C0" w14:textId="77777777" w:rsidR="002671A2" w:rsidRPr="0015798F" w:rsidRDefault="002671A2" w:rsidP="00CD504F">
      <w:pPr>
        <w:rPr>
          <w:szCs w:val="22"/>
        </w:rPr>
      </w:pPr>
      <w:r w:rsidRPr="0015798F">
        <w:rPr>
          <w:b/>
          <w:szCs w:val="22"/>
        </w:rPr>
        <w:t>Job Seeker Assessment Framework</w:t>
      </w:r>
      <w:r w:rsidRPr="0015798F">
        <w:rPr>
          <w:szCs w:val="22"/>
        </w:rPr>
        <w:t xml:space="preserve"> means the overarching structure that brings together the full range of assessment processes, tools and resources, including the Job Seeker Snapshot, Employment Services Assessment, Ongoing Support Assessment, and any other relevant assessments. </w:t>
      </w:r>
    </w:p>
    <w:p w14:paraId="790C8B36" w14:textId="4B94E8D7" w:rsidR="002671A2" w:rsidRPr="0015798F" w:rsidRDefault="002671A2" w:rsidP="00CD504F">
      <w:pPr>
        <w:rPr>
          <w:szCs w:val="22"/>
        </w:rPr>
      </w:pPr>
      <w:r w:rsidRPr="0015798F">
        <w:rPr>
          <w:b/>
          <w:szCs w:val="22"/>
        </w:rPr>
        <w:t>Job Seeker Registration</w:t>
      </w:r>
      <w:r w:rsidRPr="0015798F">
        <w:rPr>
          <w:szCs w:val="22"/>
        </w:rPr>
        <w:t xml:space="preserve"> means a registration process </w:t>
      </w:r>
      <w:r w:rsidR="00EB7905" w:rsidRPr="0015798F">
        <w:rPr>
          <w:szCs w:val="22"/>
        </w:rPr>
        <w:t>individuals</w:t>
      </w:r>
      <w:r w:rsidRPr="0015798F">
        <w:rPr>
          <w:szCs w:val="22"/>
        </w:rPr>
        <w:t xml:space="preserve"> are required to complete to access services from Employment Service Providers.</w:t>
      </w:r>
    </w:p>
    <w:p w14:paraId="71457C4B" w14:textId="29C3740D" w:rsidR="002671A2" w:rsidRPr="0015798F" w:rsidRDefault="002671A2" w:rsidP="00CD504F">
      <w:pPr>
        <w:rPr>
          <w:szCs w:val="22"/>
        </w:rPr>
      </w:pPr>
      <w:r w:rsidRPr="0015798F">
        <w:rPr>
          <w:b/>
          <w:szCs w:val="22"/>
        </w:rPr>
        <w:t xml:space="preserve">Managed Service Plan </w:t>
      </w:r>
      <w:r w:rsidR="00442DFD" w:rsidRPr="0015798F">
        <w:rPr>
          <w:b/>
          <w:szCs w:val="22"/>
        </w:rPr>
        <w:t>(MSP)</w:t>
      </w:r>
      <w:r w:rsidRPr="0015798F">
        <w:rPr>
          <w:szCs w:val="22"/>
        </w:rPr>
        <w:t xml:space="preserve"> means an arrangement that a Providers can put in place to tailor the way </w:t>
      </w:r>
      <w:r w:rsidR="00EE707E" w:rsidRPr="0015798F">
        <w:rPr>
          <w:szCs w:val="22"/>
        </w:rPr>
        <w:t>S</w:t>
      </w:r>
      <w:r w:rsidRPr="0015798F">
        <w:rPr>
          <w:szCs w:val="22"/>
        </w:rPr>
        <w:t>ervices are delivered to a Participant who displays challenging behaviours. </w:t>
      </w:r>
    </w:p>
    <w:p w14:paraId="11BE35D2" w14:textId="4C65FADD" w:rsidR="002671A2" w:rsidRPr="0015798F" w:rsidRDefault="002671A2" w:rsidP="00CD504F">
      <w:pPr>
        <w:rPr>
          <w:szCs w:val="22"/>
        </w:rPr>
      </w:pPr>
      <w:r w:rsidRPr="0015798F">
        <w:rPr>
          <w:b/>
          <w:bCs/>
          <w:szCs w:val="22"/>
        </w:rPr>
        <w:t>Meaningful Engagement Job Plan</w:t>
      </w:r>
      <w:r w:rsidRPr="0015798F">
        <w:rPr>
          <w:szCs w:val="22"/>
        </w:rPr>
        <w:t xml:space="preserve"> has the meaning given to Job Plan (</w:t>
      </w:r>
      <w:r w:rsidR="55C36DE3" w:rsidRPr="0015798F">
        <w:rPr>
          <w:szCs w:val="22"/>
        </w:rPr>
        <w:t>Meaningful Engagement</w:t>
      </w:r>
      <w:r w:rsidRPr="0015798F" w:rsidDel="002671A2">
        <w:rPr>
          <w:szCs w:val="22"/>
        </w:rPr>
        <w:t>)</w:t>
      </w:r>
      <w:r w:rsidRPr="0015798F">
        <w:rPr>
          <w:szCs w:val="22"/>
        </w:rPr>
        <w:t xml:space="preserve"> in the Deed. In some cases, this Job Plan type may be shown as Meaningful Engagement Job Plan (Compulsory), Meaningful Engagement Job Plan (DSP U35) and Meaningful Engagement Job Plan (Voluntary). </w:t>
      </w:r>
    </w:p>
    <w:p w14:paraId="49237468" w14:textId="77777777" w:rsidR="002671A2" w:rsidRPr="0015798F" w:rsidRDefault="002671A2" w:rsidP="00CD504F">
      <w:pPr>
        <w:rPr>
          <w:szCs w:val="22"/>
        </w:rPr>
      </w:pPr>
      <w:r w:rsidRPr="0015798F">
        <w:rPr>
          <w:b/>
          <w:szCs w:val="22"/>
        </w:rPr>
        <w:t>Observational Work Experience</w:t>
      </w:r>
      <w:r w:rsidRPr="0015798F">
        <w:rPr>
          <w:szCs w:val="22"/>
        </w:rPr>
        <w:t xml:space="preserve"> or </w:t>
      </w:r>
      <w:r w:rsidRPr="0015798F">
        <w:rPr>
          <w:b/>
          <w:szCs w:val="22"/>
        </w:rPr>
        <w:t xml:space="preserve">OWE </w:t>
      </w:r>
      <w:r w:rsidRPr="0015798F">
        <w:rPr>
          <w:szCs w:val="22"/>
        </w:rPr>
        <w:t>means the Commonwealth program of that name, administered by the Department of Employment and Workplace Relations. </w:t>
      </w:r>
    </w:p>
    <w:p w14:paraId="70359FAE" w14:textId="5583BD7C" w:rsidR="002671A2" w:rsidRPr="0015798F" w:rsidRDefault="002671A2" w:rsidP="00CD504F">
      <w:pPr>
        <w:rPr>
          <w:szCs w:val="22"/>
        </w:rPr>
      </w:pPr>
      <w:r w:rsidRPr="0015798F" w:rsidDel="0026458C">
        <w:rPr>
          <w:b/>
          <w:szCs w:val="22"/>
        </w:rPr>
        <w:t xml:space="preserve">One Main </w:t>
      </w:r>
      <w:r w:rsidRPr="0015798F">
        <w:rPr>
          <w:b/>
          <w:szCs w:val="22"/>
        </w:rPr>
        <w:t>Contact</w:t>
      </w:r>
      <w:r w:rsidRPr="0015798F">
        <w:rPr>
          <w:szCs w:val="22"/>
        </w:rPr>
        <w:t xml:space="preserve"> means a Participant is restricted to communicating with one identified Provider staff member for the purpose of a Managed Service Plan. </w:t>
      </w:r>
    </w:p>
    <w:p w14:paraId="28AE277A" w14:textId="288C6B2E" w:rsidR="009B7214" w:rsidRPr="0015798F" w:rsidRDefault="009B7214" w:rsidP="00CD504F">
      <w:pPr>
        <w:rPr>
          <w:bCs/>
          <w:szCs w:val="22"/>
        </w:rPr>
      </w:pPr>
      <w:r w:rsidRPr="0015798F">
        <w:rPr>
          <w:b/>
          <w:szCs w:val="22"/>
        </w:rPr>
        <w:t>OSA Allocation</w:t>
      </w:r>
      <w:r w:rsidR="00F777B8" w:rsidRPr="0015798F">
        <w:rPr>
          <w:b/>
          <w:szCs w:val="22"/>
        </w:rPr>
        <w:t xml:space="preserve"> </w:t>
      </w:r>
      <w:r w:rsidR="00F777B8" w:rsidRPr="0015798F">
        <w:rPr>
          <w:bCs/>
          <w:szCs w:val="22"/>
        </w:rPr>
        <w:t xml:space="preserve">means a request for </w:t>
      </w:r>
      <w:r w:rsidR="005C7667" w:rsidRPr="0015798F">
        <w:rPr>
          <w:bCs/>
          <w:szCs w:val="22"/>
        </w:rPr>
        <w:t xml:space="preserve">an Ongoing Support Assessment (OSA) </w:t>
      </w:r>
      <w:r w:rsidR="00206BED" w:rsidRPr="0015798F">
        <w:rPr>
          <w:bCs/>
          <w:szCs w:val="22"/>
        </w:rPr>
        <w:t>made</w:t>
      </w:r>
      <w:r w:rsidR="00A1718F" w:rsidRPr="0015798F">
        <w:rPr>
          <w:bCs/>
          <w:szCs w:val="22"/>
        </w:rPr>
        <w:t xml:space="preserve"> by the Provider </w:t>
      </w:r>
      <w:r w:rsidR="005C7667" w:rsidRPr="0015798F">
        <w:rPr>
          <w:bCs/>
          <w:szCs w:val="22"/>
        </w:rPr>
        <w:t xml:space="preserve">in the Department’s IT </w:t>
      </w:r>
      <w:r w:rsidR="3963E3E1" w:rsidRPr="0015798F">
        <w:rPr>
          <w:szCs w:val="22"/>
        </w:rPr>
        <w:t>S</w:t>
      </w:r>
      <w:r w:rsidR="005C7667" w:rsidRPr="0015798F">
        <w:rPr>
          <w:szCs w:val="22"/>
        </w:rPr>
        <w:t>ystem</w:t>
      </w:r>
      <w:r w:rsidR="467EA601" w:rsidRPr="0015798F">
        <w:rPr>
          <w:szCs w:val="22"/>
        </w:rPr>
        <w:t>s</w:t>
      </w:r>
      <w:r w:rsidR="005C7667" w:rsidRPr="0015798F">
        <w:rPr>
          <w:bCs/>
          <w:szCs w:val="22"/>
        </w:rPr>
        <w:t>.</w:t>
      </w:r>
    </w:p>
    <w:p w14:paraId="543BD79C" w14:textId="4A6E2443" w:rsidR="002671A2" w:rsidRPr="0015798F" w:rsidRDefault="002671A2" w:rsidP="00CD504F">
      <w:pPr>
        <w:rPr>
          <w:szCs w:val="22"/>
        </w:rPr>
      </w:pPr>
      <w:r w:rsidRPr="0015798F">
        <w:rPr>
          <w:b/>
          <w:szCs w:val="22"/>
        </w:rPr>
        <w:t>Participant (Mutual Obligation)</w:t>
      </w:r>
      <w:r w:rsidRPr="0015798F">
        <w:rPr>
          <w:szCs w:val="22"/>
        </w:rPr>
        <w:t xml:space="preserve"> means a Participant who is in receipt of</w:t>
      </w:r>
      <w:r w:rsidR="004F0854" w:rsidRPr="0015798F">
        <w:rPr>
          <w:szCs w:val="22"/>
        </w:rPr>
        <w:t xml:space="preserve"> one of the following payment types who has Mutual Obligation Requirements that must be met to receive their Income Support Payment</w:t>
      </w:r>
      <w:r w:rsidRPr="0015798F">
        <w:rPr>
          <w:szCs w:val="22"/>
        </w:rPr>
        <w:t>: </w:t>
      </w:r>
    </w:p>
    <w:p w14:paraId="16CB7030" w14:textId="4544FFE6" w:rsidR="002671A2" w:rsidRPr="0015798F" w:rsidRDefault="002671A2" w:rsidP="00CD504F">
      <w:pPr>
        <w:pStyle w:val="GlossaryList-level1"/>
        <w:rPr>
          <w:sz w:val="22"/>
          <w:szCs w:val="22"/>
        </w:rPr>
      </w:pPr>
      <w:r w:rsidRPr="0015798F">
        <w:rPr>
          <w:sz w:val="22"/>
          <w:szCs w:val="22"/>
        </w:rPr>
        <w:t>JobSeeker Payment</w:t>
      </w:r>
      <w:r w:rsidR="0030028C" w:rsidRPr="0015798F">
        <w:rPr>
          <w:sz w:val="22"/>
          <w:szCs w:val="22"/>
        </w:rPr>
        <w:t xml:space="preserve"> </w:t>
      </w:r>
    </w:p>
    <w:p w14:paraId="159BA639" w14:textId="18904380" w:rsidR="002671A2" w:rsidRPr="0015798F" w:rsidRDefault="002671A2" w:rsidP="00CD504F">
      <w:pPr>
        <w:pStyle w:val="GlossaryList-level1"/>
        <w:rPr>
          <w:sz w:val="22"/>
          <w:szCs w:val="22"/>
        </w:rPr>
      </w:pPr>
      <w:r w:rsidRPr="0015798F">
        <w:rPr>
          <w:sz w:val="22"/>
          <w:szCs w:val="22"/>
        </w:rPr>
        <w:t>Youth Allowance (Other)</w:t>
      </w:r>
      <w:r w:rsidR="0030028C" w:rsidRPr="0015798F">
        <w:rPr>
          <w:sz w:val="22"/>
          <w:szCs w:val="22"/>
        </w:rPr>
        <w:t xml:space="preserve"> </w:t>
      </w:r>
    </w:p>
    <w:p w14:paraId="0F44A8CF" w14:textId="77777777" w:rsidR="002671A2" w:rsidRPr="0015798F" w:rsidRDefault="002671A2" w:rsidP="00CD504F">
      <w:pPr>
        <w:pStyle w:val="GlossaryList-level1"/>
        <w:rPr>
          <w:sz w:val="22"/>
          <w:szCs w:val="22"/>
        </w:rPr>
      </w:pPr>
      <w:r w:rsidRPr="0015798F">
        <w:rPr>
          <w:sz w:val="22"/>
          <w:szCs w:val="22"/>
        </w:rPr>
        <w:t>Parenting Payment (Single), after their youngest child turns 14, or </w:t>
      </w:r>
    </w:p>
    <w:p w14:paraId="580CC758" w14:textId="77777777" w:rsidR="002671A2" w:rsidRPr="0015798F" w:rsidRDefault="002671A2" w:rsidP="00CD504F">
      <w:pPr>
        <w:pStyle w:val="GlossaryList-level1"/>
        <w:rPr>
          <w:sz w:val="22"/>
          <w:szCs w:val="22"/>
        </w:rPr>
      </w:pPr>
      <w:r w:rsidRPr="0015798F">
        <w:rPr>
          <w:sz w:val="22"/>
          <w:szCs w:val="22"/>
        </w:rPr>
        <w:t>Special Benefit (Nominated Visa Holders) </w:t>
      </w:r>
    </w:p>
    <w:p w14:paraId="5AA55DF9" w14:textId="78789C89" w:rsidR="002671A2" w:rsidRPr="0015798F" w:rsidRDefault="002671A2" w:rsidP="004F0854">
      <w:pPr>
        <w:keepNext/>
        <w:rPr>
          <w:rFonts w:ascii="Segoe UI" w:hAnsi="Segoe UI" w:cs="Segoe UI"/>
          <w:szCs w:val="22"/>
        </w:rPr>
      </w:pPr>
      <w:r w:rsidRPr="0015798F">
        <w:rPr>
          <w:rFonts w:ascii="Tahoma" w:hAnsi="Tahoma" w:cs="Tahoma"/>
          <w:b/>
          <w:szCs w:val="22"/>
        </w:rPr>
        <w:t>Participant (Voluntary)</w:t>
      </w:r>
      <w:r w:rsidRPr="0015798F">
        <w:rPr>
          <w:rFonts w:ascii="Tahoma" w:hAnsi="Tahoma" w:cs="Tahoma"/>
          <w:szCs w:val="22"/>
        </w:rPr>
        <w:t xml:space="preserve"> means a Participant who has volunteered to receive Services. This includes:</w:t>
      </w:r>
      <w:r w:rsidR="0030028C" w:rsidRPr="0015798F">
        <w:rPr>
          <w:rFonts w:ascii="Tahoma" w:hAnsi="Tahoma" w:cs="Tahoma"/>
          <w:szCs w:val="22"/>
        </w:rPr>
        <w:t xml:space="preserve"> </w:t>
      </w:r>
    </w:p>
    <w:p w14:paraId="1513092E" w14:textId="75F82CD2" w:rsidR="002671A2" w:rsidRPr="0015798F" w:rsidRDefault="002671A2" w:rsidP="004F0854">
      <w:pPr>
        <w:pStyle w:val="GlossaryList-level1"/>
        <w:keepNext/>
        <w:rPr>
          <w:sz w:val="22"/>
          <w:szCs w:val="22"/>
        </w:rPr>
      </w:pPr>
      <w:r w:rsidRPr="0015798F">
        <w:rPr>
          <w:sz w:val="22"/>
          <w:szCs w:val="22"/>
        </w:rPr>
        <w:t>those who are not in receipt of an Income Support Payment</w:t>
      </w:r>
      <w:r w:rsidR="0030028C" w:rsidRPr="0015798F">
        <w:rPr>
          <w:sz w:val="22"/>
          <w:szCs w:val="22"/>
        </w:rPr>
        <w:t xml:space="preserve"> </w:t>
      </w:r>
    </w:p>
    <w:p w14:paraId="1653D685" w14:textId="41736BD4" w:rsidR="002671A2" w:rsidRPr="0015798F" w:rsidRDefault="002671A2" w:rsidP="00CD504F">
      <w:pPr>
        <w:pStyle w:val="GlossaryList-level1"/>
        <w:rPr>
          <w:sz w:val="22"/>
          <w:szCs w:val="22"/>
        </w:rPr>
      </w:pPr>
      <w:r w:rsidRPr="0015798F">
        <w:rPr>
          <w:sz w:val="22"/>
          <w:szCs w:val="22"/>
        </w:rPr>
        <w:t>Income Support Payment recipients who do not have Mutual Obligation Requirements or Compulsory Participation Requirements</w:t>
      </w:r>
      <w:r w:rsidR="0030028C" w:rsidRPr="0015798F">
        <w:rPr>
          <w:sz w:val="22"/>
          <w:szCs w:val="22"/>
        </w:rPr>
        <w:t xml:space="preserve"> </w:t>
      </w:r>
    </w:p>
    <w:p w14:paraId="2959779F" w14:textId="77777777" w:rsidR="002671A2" w:rsidRPr="0015798F" w:rsidRDefault="002671A2" w:rsidP="00CD504F">
      <w:pPr>
        <w:pStyle w:val="GlossaryList-level1"/>
        <w:rPr>
          <w:sz w:val="22"/>
          <w:szCs w:val="22"/>
        </w:rPr>
      </w:pPr>
      <w:r w:rsidRPr="0015798F">
        <w:rPr>
          <w:sz w:val="22"/>
          <w:szCs w:val="22"/>
        </w:rPr>
        <w:t>Income Support Payment recipients who have an Exemption from their Mutual Obligation Requirements or Compulsory Participation Requirements applied by Services Australia but have volunteered to receive Services </w:t>
      </w:r>
    </w:p>
    <w:p w14:paraId="684ED74A" w14:textId="0605484C" w:rsidR="002671A2" w:rsidRPr="0015798F" w:rsidRDefault="002671A2" w:rsidP="00CD504F">
      <w:pPr>
        <w:pStyle w:val="GlossaryList-level1"/>
        <w:rPr>
          <w:sz w:val="22"/>
          <w:szCs w:val="22"/>
        </w:rPr>
      </w:pPr>
      <w:r w:rsidRPr="0015798F">
        <w:rPr>
          <w:sz w:val="22"/>
          <w:szCs w:val="22"/>
        </w:rPr>
        <w:t>Participants (Mutual Obligation) who are Fully Meeting their Mutual Obligation Requirements but have volunteered to receive Services, and</w:t>
      </w:r>
      <w:r w:rsidR="0030028C" w:rsidRPr="0015798F">
        <w:rPr>
          <w:sz w:val="22"/>
          <w:szCs w:val="22"/>
        </w:rPr>
        <w:t xml:space="preserve"> </w:t>
      </w:r>
    </w:p>
    <w:p w14:paraId="33A62B7E" w14:textId="603FCCE0" w:rsidR="002671A2" w:rsidRPr="0015798F" w:rsidRDefault="002671A2" w:rsidP="00CD504F">
      <w:pPr>
        <w:pStyle w:val="GlossaryList-level1"/>
        <w:rPr>
          <w:sz w:val="22"/>
          <w:szCs w:val="22"/>
        </w:rPr>
      </w:pPr>
      <w:r w:rsidRPr="0015798F">
        <w:rPr>
          <w:sz w:val="22"/>
          <w:szCs w:val="22"/>
        </w:rPr>
        <w:t>Ongoing Support (Work Assist) Participants.</w:t>
      </w:r>
      <w:r w:rsidR="0030028C" w:rsidRPr="0015798F">
        <w:rPr>
          <w:sz w:val="22"/>
          <w:szCs w:val="22"/>
        </w:rPr>
        <w:t xml:space="preserve"> </w:t>
      </w:r>
    </w:p>
    <w:p w14:paraId="08DF530C" w14:textId="46D96389" w:rsidR="002671A2" w:rsidRPr="0015798F" w:rsidRDefault="002671A2" w:rsidP="00CD504F">
      <w:pPr>
        <w:rPr>
          <w:szCs w:val="22"/>
        </w:rPr>
      </w:pPr>
      <w:r w:rsidRPr="0015798F">
        <w:rPr>
          <w:b/>
          <w:szCs w:val="22"/>
        </w:rPr>
        <w:t>Participation Plan</w:t>
      </w:r>
      <w:r w:rsidRPr="0015798F">
        <w:rPr>
          <w:szCs w:val="22"/>
        </w:rPr>
        <w:t xml:space="preserve"> means the individual plan which a DSP Recipient (Compulsory Requirements) </w:t>
      </w:r>
      <w:r w:rsidR="00DB7366" w:rsidRPr="0015798F">
        <w:rPr>
          <w:szCs w:val="22"/>
        </w:rPr>
        <w:t>has</w:t>
      </w:r>
      <w:r w:rsidRPr="0015798F">
        <w:rPr>
          <w:szCs w:val="22"/>
        </w:rPr>
        <w:t xml:space="preserve"> enter</w:t>
      </w:r>
      <w:r w:rsidR="00DB7366" w:rsidRPr="0015798F">
        <w:rPr>
          <w:szCs w:val="22"/>
        </w:rPr>
        <w:t>ed</w:t>
      </w:r>
      <w:r w:rsidRPr="0015798F">
        <w:rPr>
          <w:szCs w:val="22"/>
        </w:rPr>
        <w:t xml:space="preserve"> into with Services Australia</w:t>
      </w:r>
      <w:r w:rsidR="00DF7BE4" w:rsidRPr="0015798F">
        <w:rPr>
          <w:szCs w:val="22"/>
        </w:rPr>
        <w:t>, which</w:t>
      </w:r>
      <w:r w:rsidR="00D54BC8" w:rsidRPr="0015798F">
        <w:rPr>
          <w:szCs w:val="22"/>
        </w:rPr>
        <w:t xml:space="preserve"> has participation in employment services as </w:t>
      </w:r>
      <w:r w:rsidR="00DF7BE4" w:rsidRPr="0015798F">
        <w:rPr>
          <w:szCs w:val="22"/>
        </w:rPr>
        <w:t>a</w:t>
      </w:r>
      <w:r w:rsidR="00D54BC8" w:rsidRPr="0015798F">
        <w:rPr>
          <w:szCs w:val="22"/>
        </w:rPr>
        <w:t xml:space="preserve"> work-related activity</w:t>
      </w:r>
      <w:r w:rsidRPr="0015798F">
        <w:rPr>
          <w:szCs w:val="22"/>
        </w:rPr>
        <w:t>.</w:t>
      </w:r>
    </w:p>
    <w:p w14:paraId="7A81B7C4" w14:textId="73613357" w:rsidR="002671A2" w:rsidRPr="0015798F" w:rsidRDefault="002671A2" w:rsidP="00CD504F">
      <w:pPr>
        <w:rPr>
          <w:szCs w:val="22"/>
        </w:rPr>
      </w:pPr>
      <w:r w:rsidRPr="0015798F">
        <w:rPr>
          <w:b/>
          <w:szCs w:val="22"/>
        </w:rPr>
        <w:t>Participant Sourced Voluntary Work</w:t>
      </w:r>
      <w:r w:rsidRPr="0015798F">
        <w:rPr>
          <w:szCs w:val="22"/>
        </w:rPr>
        <w:t xml:space="preserve"> means voluntary work that a Participant has identified and secured for themselves, including voluntary work that the Participant identifies and </w:t>
      </w:r>
      <w:r w:rsidR="0064431F" w:rsidRPr="0015798F">
        <w:rPr>
          <w:szCs w:val="22"/>
        </w:rPr>
        <w:t>secure</w:t>
      </w:r>
      <w:r w:rsidRPr="0015798F">
        <w:rPr>
          <w:szCs w:val="22"/>
        </w:rPr>
        <w:t xml:space="preserve"> for themselves with a known Host Organisation.</w:t>
      </w:r>
    </w:p>
    <w:p w14:paraId="6FD4EB4C" w14:textId="62C83C35" w:rsidR="00127BFA" w:rsidRPr="0015798F" w:rsidRDefault="00127BFA" w:rsidP="000A797C">
      <w:pPr>
        <w:rPr>
          <w:szCs w:val="22"/>
        </w:rPr>
      </w:pPr>
      <w:r w:rsidRPr="0015798F">
        <w:rPr>
          <w:b/>
          <w:bCs/>
          <w:szCs w:val="22"/>
        </w:rPr>
        <w:t xml:space="preserve">Pattern of Disengagement </w:t>
      </w:r>
      <w:r w:rsidRPr="0015798F">
        <w:rPr>
          <w:szCs w:val="22"/>
        </w:rPr>
        <w:t>mea</w:t>
      </w:r>
      <w:r w:rsidR="00C12072" w:rsidRPr="0015798F">
        <w:rPr>
          <w:szCs w:val="22"/>
        </w:rPr>
        <w:t>ns a pattern, as identified by a Provider, that shows a Participant has not been meaningfully engaging on more than one occasion.</w:t>
      </w:r>
    </w:p>
    <w:p w14:paraId="2E207D4A" w14:textId="00E2F84A" w:rsidR="00FC3D8A" w:rsidRPr="0015798F" w:rsidRDefault="004D29D6" w:rsidP="000A797C">
      <w:pPr>
        <w:rPr>
          <w:szCs w:val="22"/>
        </w:rPr>
      </w:pPr>
      <w:r w:rsidRPr="0015798F">
        <w:rPr>
          <w:b/>
          <w:bCs/>
          <w:szCs w:val="22"/>
        </w:rPr>
        <w:t xml:space="preserve">Pattern of Renewed Engagement </w:t>
      </w:r>
      <w:r w:rsidRPr="0015798F">
        <w:rPr>
          <w:szCs w:val="22"/>
        </w:rPr>
        <w:t xml:space="preserve">means a pattern, as identified by a Provider, that shows a Participant has </w:t>
      </w:r>
      <w:r w:rsidR="00AA433A" w:rsidRPr="0015798F">
        <w:rPr>
          <w:szCs w:val="22"/>
        </w:rPr>
        <w:t xml:space="preserve">been </w:t>
      </w:r>
      <w:r w:rsidRPr="0015798F">
        <w:rPr>
          <w:szCs w:val="22"/>
        </w:rPr>
        <w:t>meaningfully engaging after having entered into a Detailed Job Plan.</w:t>
      </w:r>
    </w:p>
    <w:p w14:paraId="3FA00430" w14:textId="6FBB351C" w:rsidR="002671A2" w:rsidRPr="0015798F" w:rsidRDefault="002671A2" w:rsidP="00CD504F">
      <w:pPr>
        <w:rPr>
          <w:szCs w:val="22"/>
        </w:rPr>
      </w:pPr>
      <w:r w:rsidRPr="0015798F">
        <w:rPr>
          <w:b/>
          <w:szCs w:val="22"/>
        </w:rPr>
        <w:t>Principal Carer Parent</w:t>
      </w:r>
      <w:r w:rsidRPr="0015798F">
        <w:rPr>
          <w:szCs w:val="22"/>
        </w:rPr>
        <w:t xml:space="preserve"> </w:t>
      </w:r>
      <w:r w:rsidR="00865257" w:rsidRPr="0015798F">
        <w:rPr>
          <w:szCs w:val="22"/>
        </w:rPr>
        <w:t>has</w:t>
      </w:r>
      <w:r w:rsidRPr="0015798F">
        <w:rPr>
          <w:szCs w:val="22"/>
        </w:rPr>
        <w:t xml:space="preserve"> the </w:t>
      </w:r>
      <w:r w:rsidR="00865257" w:rsidRPr="0015798F">
        <w:rPr>
          <w:szCs w:val="22"/>
        </w:rPr>
        <w:t>meaning given to</w:t>
      </w:r>
      <w:r w:rsidRPr="0015798F">
        <w:rPr>
          <w:szCs w:val="22"/>
        </w:rPr>
        <w:t xml:space="preserve"> </w:t>
      </w:r>
      <w:r w:rsidR="00865257" w:rsidRPr="0015798F">
        <w:rPr>
          <w:szCs w:val="22"/>
        </w:rPr>
        <w:t>‘</w:t>
      </w:r>
      <w:r w:rsidRPr="0015798F">
        <w:rPr>
          <w:szCs w:val="22"/>
        </w:rPr>
        <w:t>principal carer</w:t>
      </w:r>
      <w:r w:rsidR="00865257" w:rsidRPr="0015798F">
        <w:rPr>
          <w:szCs w:val="22"/>
        </w:rPr>
        <w:t>’</w:t>
      </w:r>
      <w:r w:rsidRPr="0015798F">
        <w:rPr>
          <w:szCs w:val="22"/>
        </w:rPr>
        <w:t xml:space="preserve"> </w:t>
      </w:r>
      <w:r w:rsidR="00295C08" w:rsidRPr="0015798F">
        <w:rPr>
          <w:szCs w:val="22"/>
        </w:rPr>
        <w:t>under section 5 of the</w:t>
      </w:r>
      <w:r w:rsidR="00295C08" w:rsidRPr="0015798F">
        <w:rPr>
          <w:i/>
          <w:iCs/>
          <w:szCs w:val="22"/>
        </w:rPr>
        <w:t xml:space="preserve"> Social Security Act 1991</w:t>
      </w:r>
      <w:r w:rsidR="00295C08" w:rsidRPr="0015798F">
        <w:rPr>
          <w:szCs w:val="22"/>
        </w:rPr>
        <w:t xml:space="preserve"> (Cth) dealing with</w:t>
      </w:r>
      <w:r w:rsidR="005C0F21" w:rsidRPr="0015798F">
        <w:rPr>
          <w:szCs w:val="22"/>
        </w:rPr>
        <w:t xml:space="preserve"> family </w:t>
      </w:r>
      <w:r w:rsidR="00127059" w:rsidRPr="0015798F">
        <w:rPr>
          <w:szCs w:val="22"/>
        </w:rPr>
        <w:t>relationships</w:t>
      </w:r>
      <w:r w:rsidRPr="0015798F">
        <w:rPr>
          <w:szCs w:val="22"/>
        </w:rPr>
        <w:t>. </w:t>
      </w:r>
    </w:p>
    <w:p w14:paraId="78CD7B9A" w14:textId="3D2DBF96" w:rsidR="002671A2" w:rsidRPr="0015798F" w:rsidRDefault="002671A2" w:rsidP="00CD504F">
      <w:pPr>
        <w:rPr>
          <w:szCs w:val="22"/>
        </w:rPr>
      </w:pPr>
      <w:r w:rsidRPr="0015798F">
        <w:rPr>
          <w:b/>
          <w:szCs w:val="22"/>
        </w:rPr>
        <w:t>Private House</w:t>
      </w:r>
      <w:r w:rsidRPr="0015798F">
        <w:rPr>
          <w:szCs w:val="22"/>
        </w:rPr>
        <w:t xml:space="preserve"> or </w:t>
      </w:r>
      <w:r w:rsidRPr="0015798F">
        <w:rPr>
          <w:b/>
          <w:szCs w:val="22"/>
        </w:rPr>
        <w:t>Private Homes</w:t>
      </w:r>
      <w:r w:rsidRPr="0015798F">
        <w:rPr>
          <w:szCs w:val="22"/>
        </w:rPr>
        <w:t xml:space="preserve"> means places of residence where a person currently </w:t>
      </w:r>
      <w:r w:rsidR="004F74E1" w:rsidRPr="0015798F">
        <w:rPr>
          <w:szCs w:val="22"/>
        </w:rPr>
        <w:t>resides</w:t>
      </w:r>
      <w:r w:rsidRPr="0015798F">
        <w:rPr>
          <w:szCs w:val="22"/>
        </w:rPr>
        <w:t xml:space="preserve"> and the ‘grounds’ to which a private home is attached. This may include entry into an apartment, unit, house or boarding facility, or grounds such as courtyards, gardens or balconies that are attached to the main dwelling and privately occupied. </w:t>
      </w:r>
    </w:p>
    <w:p w14:paraId="7E0BBECC" w14:textId="77777777" w:rsidR="002671A2" w:rsidRPr="0015798F" w:rsidRDefault="002671A2" w:rsidP="00CD504F">
      <w:pPr>
        <w:rPr>
          <w:szCs w:val="22"/>
        </w:rPr>
      </w:pPr>
      <w:r w:rsidRPr="0015798F">
        <w:rPr>
          <w:b/>
          <w:szCs w:val="22"/>
        </w:rPr>
        <w:t>Private Property</w:t>
      </w:r>
      <w:r w:rsidRPr="0015798F">
        <w:rPr>
          <w:szCs w:val="22"/>
        </w:rPr>
        <w:t xml:space="preserve"> means privately owned land or privately owned or occupied estate or house acreage. It may also encompass Private Homes. </w:t>
      </w:r>
    </w:p>
    <w:p w14:paraId="23A3A20E" w14:textId="5F6AFAD3" w:rsidR="002671A2" w:rsidRPr="0015798F" w:rsidRDefault="002671A2" w:rsidP="00CD504F">
      <w:pPr>
        <w:rPr>
          <w:szCs w:val="22"/>
        </w:rPr>
      </w:pPr>
      <w:r w:rsidRPr="0015798F">
        <w:rPr>
          <w:b/>
          <w:szCs w:val="22"/>
        </w:rPr>
        <w:t>Provider Sourced Voluntary Work</w:t>
      </w:r>
      <w:r w:rsidRPr="0015798F">
        <w:rPr>
          <w:szCs w:val="22"/>
        </w:rPr>
        <w:t xml:space="preserve"> means </w:t>
      </w:r>
      <w:r w:rsidR="00012522">
        <w:rPr>
          <w:szCs w:val="22"/>
        </w:rPr>
        <w:t>v</w:t>
      </w:r>
      <w:r w:rsidRPr="0015798F">
        <w:rPr>
          <w:szCs w:val="22"/>
        </w:rPr>
        <w:t>oluntary work that the Provider has identified and secured for a Participant, including Voluntary Work that the Provider itself arranges with a Host Organisation. </w:t>
      </w:r>
    </w:p>
    <w:p w14:paraId="1B2D2A94" w14:textId="7181744D" w:rsidR="00E86FA9" w:rsidRPr="0015798F" w:rsidRDefault="00E86FA9" w:rsidP="00E86FA9">
      <w:pPr>
        <w:rPr>
          <w:szCs w:val="22"/>
        </w:rPr>
      </w:pPr>
      <w:r w:rsidRPr="0015798F">
        <w:rPr>
          <w:b/>
          <w:bCs/>
          <w:szCs w:val="22"/>
        </w:rPr>
        <w:t>Re-engagement Appointment</w:t>
      </w:r>
      <w:r w:rsidRPr="0015798F">
        <w:rPr>
          <w:szCs w:val="22"/>
        </w:rPr>
        <w:t xml:space="preserve"> </w:t>
      </w:r>
      <w:r w:rsidR="00FD67B2" w:rsidRPr="0015798F">
        <w:rPr>
          <w:szCs w:val="22"/>
        </w:rPr>
        <w:t xml:space="preserve">is a type of </w:t>
      </w:r>
      <w:r w:rsidRPr="0015798F">
        <w:rPr>
          <w:szCs w:val="22"/>
        </w:rPr>
        <w:t>Appointment</w:t>
      </w:r>
      <w:r w:rsidR="00AC700E" w:rsidRPr="0015798F">
        <w:rPr>
          <w:szCs w:val="22"/>
        </w:rPr>
        <w:t xml:space="preserve"> </w:t>
      </w:r>
      <w:r w:rsidR="00AC700E" w:rsidRPr="0015798F">
        <w:rPr>
          <w:bCs/>
          <w:szCs w:val="22"/>
        </w:rPr>
        <w:t>with the Provider</w:t>
      </w:r>
      <w:r w:rsidRPr="0015798F">
        <w:rPr>
          <w:szCs w:val="22"/>
        </w:rPr>
        <w:t xml:space="preserve"> for the purposes of Re</w:t>
      </w:r>
      <w:r w:rsidR="00AC700E" w:rsidRPr="0015798F">
        <w:rPr>
          <w:szCs w:val="22"/>
        </w:rPr>
        <w:noBreakHyphen/>
      </w:r>
      <w:r w:rsidRPr="0015798F">
        <w:rPr>
          <w:szCs w:val="22"/>
        </w:rPr>
        <w:t>engagement of a Participant (Mutual Obligation) following an incident (or incidents) of non-compliance with their Mutual Obligation Requirements</w:t>
      </w:r>
      <w:r w:rsidR="00DA2431" w:rsidRPr="0015798F">
        <w:rPr>
          <w:szCs w:val="22"/>
        </w:rPr>
        <w:t>.</w:t>
      </w:r>
    </w:p>
    <w:p w14:paraId="578CB5FF" w14:textId="41B4960E" w:rsidR="002671A2" w:rsidRPr="0015798F" w:rsidRDefault="002671A2" w:rsidP="00CD504F">
      <w:pPr>
        <w:rPr>
          <w:szCs w:val="22"/>
        </w:rPr>
      </w:pPr>
      <w:r w:rsidRPr="0015798F">
        <w:rPr>
          <w:b/>
          <w:szCs w:val="22"/>
        </w:rPr>
        <w:t>Re-engagement Requirement</w:t>
      </w:r>
      <w:r w:rsidRPr="0015798F">
        <w:rPr>
          <w:szCs w:val="22"/>
        </w:rPr>
        <w:t xml:space="preserve"> has the meaning given to Reconnection Requirement in the Deed.</w:t>
      </w:r>
      <w:r w:rsidR="0030028C" w:rsidRPr="0015798F">
        <w:rPr>
          <w:szCs w:val="22"/>
        </w:rPr>
        <w:t xml:space="preserve"> </w:t>
      </w:r>
    </w:p>
    <w:p w14:paraId="5B6261F7" w14:textId="148F39B0" w:rsidR="00A96DA3" w:rsidRPr="0015798F" w:rsidRDefault="00627E1B" w:rsidP="00A96DA3">
      <w:pPr>
        <w:rPr>
          <w:szCs w:val="22"/>
        </w:rPr>
      </w:pPr>
      <w:r w:rsidRPr="0015798F">
        <w:rPr>
          <w:b/>
          <w:szCs w:val="22"/>
        </w:rPr>
        <w:t>Relocation</w:t>
      </w:r>
      <w:r w:rsidR="00A96DA3" w:rsidRPr="0015798F">
        <w:rPr>
          <w:b/>
          <w:szCs w:val="22"/>
        </w:rPr>
        <w:t xml:space="preserve"> Assistance Agreement</w:t>
      </w:r>
      <w:r w:rsidR="00A96DA3" w:rsidRPr="0015798F">
        <w:rPr>
          <w:szCs w:val="22"/>
        </w:rPr>
        <w:t xml:space="preserve"> means a written agreement for the purposes of the </w:t>
      </w:r>
      <w:r w:rsidRPr="0015798F">
        <w:rPr>
          <w:szCs w:val="22"/>
        </w:rPr>
        <w:t>Relocation Assistance</w:t>
      </w:r>
      <w:r w:rsidR="00A96DA3" w:rsidRPr="0015798F">
        <w:rPr>
          <w:szCs w:val="22"/>
        </w:rPr>
        <w:t xml:space="preserve"> in a form specified by the Department.</w:t>
      </w:r>
      <w:r w:rsidR="007739F6" w:rsidRPr="0015798F">
        <w:rPr>
          <w:szCs w:val="22"/>
        </w:rPr>
        <w:t xml:space="preserve"> In some cases, this may be referred to as a RATTUAJ Agreement.</w:t>
      </w:r>
    </w:p>
    <w:p w14:paraId="54625C0E" w14:textId="0F995AED" w:rsidR="00A96DA3" w:rsidRPr="0015798F" w:rsidRDefault="007C1BE1" w:rsidP="00CD504F">
      <w:pPr>
        <w:rPr>
          <w:bCs/>
          <w:szCs w:val="22"/>
        </w:rPr>
      </w:pPr>
      <w:r w:rsidRPr="0015798F">
        <w:rPr>
          <w:b/>
          <w:szCs w:val="22"/>
        </w:rPr>
        <w:t xml:space="preserve">Relocation Assistance to </w:t>
      </w:r>
      <w:r w:rsidR="002F04B4" w:rsidRPr="0015798F">
        <w:rPr>
          <w:b/>
          <w:szCs w:val="22"/>
        </w:rPr>
        <w:t>T</w:t>
      </w:r>
      <w:r w:rsidRPr="0015798F">
        <w:rPr>
          <w:b/>
          <w:szCs w:val="22"/>
        </w:rPr>
        <w:t xml:space="preserve">ake </w:t>
      </w:r>
      <w:r w:rsidR="002F04B4" w:rsidRPr="0015798F">
        <w:rPr>
          <w:b/>
          <w:szCs w:val="22"/>
        </w:rPr>
        <w:t>U</w:t>
      </w:r>
      <w:r w:rsidRPr="0015798F">
        <w:rPr>
          <w:b/>
          <w:szCs w:val="22"/>
        </w:rPr>
        <w:t xml:space="preserve">p a Job </w:t>
      </w:r>
      <w:r w:rsidRPr="0015798F">
        <w:rPr>
          <w:bCs/>
          <w:szCs w:val="22"/>
        </w:rPr>
        <w:t xml:space="preserve">or </w:t>
      </w:r>
      <w:r w:rsidRPr="0015798F">
        <w:rPr>
          <w:b/>
          <w:szCs w:val="22"/>
        </w:rPr>
        <w:t>Relocation Assistance</w:t>
      </w:r>
      <w:r w:rsidRPr="0015798F">
        <w:rPr>
          <w:bCs/>
          <w:szCs w:val="22"/>
        </w:rPr>
        <w:t xml:space="preserve"> means </w:t>
      </w:r>
      <w:r w:rsidR="00C21BA0" w:rsidRPr="0015798F">
        <w:rPr>
          <w:bCs/>
          <w:szCs w:val="22"/>
        </w:rPr>
        <w:t xml:space="preserve">a payment made by the Provider to or on behalf of a </w:t>
      </w:r>
      <w:r w:rsidR="007739F6" w:rsidRPr="0015798F">
        <w:rPr>
          <w:bCs/>
          <w:szCs w:val="22"/>
        </w:rPr>
        <w:t>Participant</w:t>
      </w:r>
      <w:r w:rsidR="00C21BA0" w:rsidRPr="0015798F">
        <w:rPr>
          <w:bCs/>
          <w:szCs w:val="22"/>
        </w:rPr>
        <w:t xml:space="preserve"> for the purposes of preparing to </w:t>
      </w:r>
      <w:r w:rsidR="00DE4CB6" w:rsidRPr="0015798F">
        <w:rPr>
          <w:bCs/>
          <w:szCs w:val="22"/>
        </w:rPr>
        <w:t>move</w:t>
      </w:r>
      <w:r w:rsidR="00C21BA0" w:rsidRPr="0015798F">
        <w:rPr>
          <w:bCs/>
          <w:szCs w:val="22"/>
        </w:rPr>
        <w:t>, moving and/or settling in a new location</w:t>
      </w:r>
      <w:r w:rsidR="00DE4CB6" w:rsidRPr="0015798F">
        <w:rPr>
          <w:bCs/>
          <w:szCs w:val="22"/>
        </w:rPr>
        <w:t xml:space="preserve"> in order</w:t>
      </w:r>
      <w:r w:rsidR="00C21BA0" w:rsidRPr="0015798F">
        <w:rPr>
          <w:bCs/>
          <w:szCs w:val="22"/>
        </w:rPr>
        <w:t xml:space="preserve"> to participate in Employment.</w:t>
      </w:r>
    </w:p>
    <w:p w14:paraId="4C2ED958" w14:textId="02C85601" w:rsidR="002671A2" w:rsidRPr="0015798F" w:rsidRDefault="002671A2" w:rsidP="00CD504F">
      <w:pPr>
        <w:rPr>
          <w:szCs w:val="22"/>
        </w:rPr>
      </w:pPr>
      <w:r w:rsidRPr="0015798F">
        <w:rPr>
          <w:b/>
          <w:szCs w:val="22"/>
        </w:rPr>
        <w:t>Risk Assessment</w:t>
      </w:r>
      <w:r w:rsidRPr="0015798F">
        <w:rPr>
          <w:szCs w:val="22"/>
        </w:rPr>
        <w:t xml:space="preserve"> means a risk assessment undertaken for a</w:t>
      </w:r>
      <w:r w:rsidR="00EC0C30" w:rsidRPr="0015798F">
        <w:rPr>
          <w:szCs w:val="22"/>
        </w:rPr>
        <w:t>n</w:t>
      </w:r>
      <w:r w:rsidRPr="0015798F">
        <w:rPr>
          <w:szCs w:val="22"/>
        </w:rPr>
        <w:t xml:space="preserve"> Activity and</w:t>
      </w:r>
      <w:r w:rsidR="00AD4F8E" w:rsidRPr="0015798F">
        <w:rPr>
          <w:szCs w:val="22"/>
        </w:rPr>
        <w:t>/</w:t>
      </w:r>
      <w:r w:rsidRPr="0015798F">
        <w:rPr>
          <w:szCs w:val="22"/>
        </w:rPr>
        <w:t>or a Participant undertaking an Activity.</w:t>
      </w:r>
    </w:p>
    <w:p w14:paraId="3C54D96A" w14:textId="77777777" w:rsidR="002671A2" w:rsidRPr="0015798F" w:rsidRDefault="002671A2" w:rsidP="00CD504F">
      <w:pPr>
        <w:rPr>
          <w:szCs w:val="22"/>
        </w:rPr>
      </w:pPr>
      <w:r w:rsidRPr="0015798F">
        <w:rPr>
          <w:b/>
          <w:szCs w:val="22"/>
        </w:rPr>
        <w:t>Self-Employment Assistance</w:t>
      </w:r>
      <w:r w:rsidRPr="0015798F">
        <w:rPr>
          <w:szCs w:val="22"/>
        </w:rPr>
        <w:t xml:space="preserve"> or </w:t>
      </w:r>
      <w:r w:rsidRPr="0015798F">
        <w:rPr>
          <w:b/>
          <w:szCs w:val="22"/>
        </w:rPr>
        <w:t>S-EA</w:t>
      </w:r>
      <w:r w:rsidRPr="0015798F">
        <w:rPr>
          <w:szCs w:val="22"/>
        </w:rPr>
        <w:t xml:space="preserve"> has the meaning given to Self-Employment Assistance Services in the Deed, being the Commonwealth program of that name, administered by the Department of Employment and Workplace Relations. </w:t>
      </w:r>
    </w:p>
    <w:p w14:paraId="7017B44E" w14:textId="109B5628" w:rsidR="00C15378" w:rsidRPr="0015798F" w:rsidRDefault="00C15378" w:rsidP="00CD504F">
      <w:pPr>
        <w:rPr>
          <w:bCs/>
          <w:szCs w:val="22"/>
        </w:rPr>
      </w:pPr>
      <w:r w:rsidRPr="0015798F">
        <w:rPr>
          <w:b/>
          <w:szCs w:val="22"/>
        </w:rPr>
        <w:t>Sensitive Information</w:t>
      </w:r>
      <w:r w:rsidRPr="0015798F">
        <w:rPr>
          <w:bCs/>
          <w:szCs w:val="22"/>
        </w:rPr>
        <w:t xml:space="preserve"> </w:t>
      </w:r>
      <w:r w:rsidR="0062056C" w:rsidRPr="0015798F">
        <w:rPr>
          <w:bCs/>
          <w:szCs w:val="22"/>
        </w:rPr>
        <w:t>has the</w:t>
      </w:r>
      <w:r w:rsidR="0062056C" w:rsidRPr="0015798F">
        <w:rPr>
          <w:b/>
          <w:szCs w:val="22"/>
        </w:rPr>
        <w:t xml:space="preserve"> </w:t>
      </w:r>
      <w:r w:rsidR="00675768" w:rsidRPr="0015798F">
        <w:rPr>
          <w:bCs/>
          <w:szCs w:val="22"/>
        </w:rPr>
        <w:t xml:space="preserve">same meaning as </w:t>
      </w:r>
      <w:r w:rsidR="007512B1" w:rsidRPr="0015798F">
        <w:rPr>
          <w:bCs/>
          <w:szCs w:val="22"/>
        </w:rPr>
        <w:t xml:space="preserve">in section 6 of the </w:t>
      </w:r>
      <w:r w:rsidR="007512B1" w:rsidRPr="0015798F">
        <w:rPr>
          <w:bCs/>
          <w:i/>
          <w:iCs/>
          <w:szCs w:val="22"/>
        </w:rPr>
        <w:t>Privacy Act</w:t>
      </w:r>
      <w:r w:rsidR="007E14B9" w:rsidRPr="0015798F">
        <w:rPr>
          <w:bCs/>
          <w:i/>
          <w:iCs/>
          <w:szCs w:val="22"/>
        </w:rPr>
        <w:t xml:space="preserve"> 1998</w:t>
      </w:r>
      <w:r w:rsidR="007E14B9" w:rsidRPr="0015798F">
        <w:rPr>
          <w:bCs/>
          <w:szCs w:val="22"/>
        </w:rPr>
        <w:t xml:space="preserve"> (Cth)</w:t>
      </w:r>
      <w:r w:rsidR="007512B1" w:rsidRPr="0015798F">
        <w:rPr>
          <w:bCs/>
          <w:szCs w:val="22"/>
        </w:rPr>
        <w:t>.</w:t>
      </w:r>
    </w:p>
    <w:p w14:paraId="1E25862F" w14:textId="77777777" w:rsidR="002671A2" w:rsidRPr="0015798F" w:rsidRDefault="002671A2" w:rsidP="00CD504F">
      <w:pPr>
        <w:rPr>
          <w:szCs w:val="22"/>
        </w:rPr>
      </w:pPr>
      <w:r w:rsidRPr="0015798F">
        <w:rPr>
          <w:b/>
          <w:bCs/>
          <w:szCs w:val="22"/>
        </w:rPr>
        <w:t>Skills for Education and Employment</w:t>
      </w:r>
      <w:r w:rsidRPr="0015798F">
        <w:rPr>
          <w:szCs w:val="22"/>
        </w:rPr>
        <w:t xml:space="preserve"> or </w:t>
      </w:r>
      <w:r w:rsidRPr="0015798F">
        <w:rPr>
          <w:b/>
          <w:bCs/>
          <w:szCs w:val="22"/>
        </w:rPr>
        <w:t>SEE</w:t>
      </w:r>
      <w:r w:rsidRPr="0015798F">
        <w:rPr>
          <w:szCs w:val="22"/>
        </w:rPr>
        <w:t xml:space="preserve"> has the meaning given to Australian Government Skills for Education and Employment Program in the Deed, being the Commonwealth program of that name, administered by the Department of Employment and Workplace Relations. </w:t>
      </w:r>
    </w:p>
    <w:p w14:paraId="142D036D" w14:textId="42B4223E" w:rsidR="0020780B" w:rsidRPr="0015798F" w:rsidRDefault="0020780B" w:rsidP="008B2E90">
      <w:pPr>
        <w:rPr>
          <w:szCs w:val="22"/>
        </w:rPr>
      </w:pPr>
      <w:r w:rsidRPr="0015798F">
        <w:rPr>
          <w:b/>
          <w:bCs/>
          <w:szCs w:val="22"/>
        </w:rPr>
        <w:t xml:space="preserve">SWS Assessment </w:t>
      </w:r>
      <w:r w:rsidR="00C365D8" w:rsidRPr="0015798F">
        <w:rPr>
          <w:szCs w:val="22"/>
        </w:rPr>
        <w:t xml:space="preserve">means </w:t>
      </w:r>
      <w:r w:rsidR="007B29F5" w:rsidRPr="0015798F">
        <w:rPr>
          <w:szCs w:val="22"/>
        </w:rPr>
        <w:t xml:space="preserve">an assessment </w:t>
      </w:r>
      <w:r w:rsidR="009C4B58" w:rsidRPr="0015798F">
        <w:rPr>
          <w:szCs w:val="22"/>
        </w:rPr>
        <w:t xml:space="preserve">to evaluate work </w:t>
      </w:r>
      <w:r w:rsidR="006866B5" w:rsidRPr="0015798F">
        <w:rPr>
          <w:szCs w:val="22"/>
        </w:rPr>
        <w:t>productivity</w:t>
      </w:r>
      <w:r w:rsidR="00512D76" w:rsidRPr="0015798F">
        <w:rPr>
          <w:szCs w:val="22"/>
        </w:rPr>
        <w:t xml:space="preserve"> </w:t>
      </w:r>
      <w:r w:rsidR="006866B5" w:rsidRPr="0015798F">
        <w:rPr>
          <w:szCs w:val="22"/>
        </w:rPr>
        <w:t>of a person with disability in response to a</w:t>
      </w:r>
      <w:r w:rsidR="00073B15" w:rsidRPr="0015798F">
        <w:rPr>
          <w:szCs w:val="22"/>
        </w:rPr>
        <w:t>n</w:t>
      </w:r>
      <w:r w:rsidR="006866B5" w:rsidRPr="0015798F">
        <w:rPr>
          <w:szCs w:val="22"/>
        </w:rPr>
        <w:t xml:space="preserve"> </w:t>
      </w:r>
      <w:r w:rsidR="00A04988" w:rsidRPr="0015798F">
        <w:rPr>
          <w:szCs w:val="22"/>
        </w:rPr>
        <w:t>application</w:t>
      </w:r>
      <w:r w:rsidR="006866B5" w:rsidRPr="0015798F">
        <w:rPr>
          <w:szCs w:val="22"/>
        </w:rPr>
        <w:t xml:space="preserve"> </w:t>
      </w:r>
      <w:r w:rsidR="00696C06" w:rsidRPr="0015798F">
        <w:rPr>
          <w:szCs w:val="22"/>
        </w:rPr>
        <w:t>under the Supported Wage System (SWS).</w:t>
      </w:r>
    </w:p>
    <w:p w14:paraId="444BBF3D" w14:textId="700F37C3" w:rsidR="00F252E5" w:rsidRPr="0015798F" w:rsidRDefault="00F252E5" w:rsidP="008B2E90">
      <w:pPr>
        <w:rPr>
          <w:b/>
          <w:bCs/>
          <w:szCs w:val="22"/>
        </w:rPr>
      </w:pPr>
      <w:r w:rsidRPr="0015798F">
        <w:rPr>
          <w:b/>
          <w:bCs/>
          <w:szCs w:val="22"/>
        </w:rPr>
        <w:t>Third-Party Appointment</w:t>
      </w:r>
      <w:r w:rsidR="00765EEC" w:rsidRPr="0015798F">
        <w:rPr>
          <w:b/>
          <w:bCs/>
          <w:szCs w:val="22"/>
        </w:rPr>
        <w:t xml:space="preserve"> </w:t>
      </w:r>
      <w:r w:rsidR="00765EEC" w:rsidRPr="0015798F">
        <w:rPr>
          <w:szCs w:val="22"/>
        </w:rPr>
        <w:t xml:space="preserve">means an </w:t>
      </w:r>
      <w:r w:rsidR="00C54742" w:rsidRPr="0015798F">
        <w:rPr>
          <w:szCs w:val="22"/>
        </w:rPr>
        <w:t>a</w:t>
      </w:r>
      <w:r w:rsidR="00765EEC" w:rsidRPr="0015798F">
        <w:rPr>
          <w:szCs w:val="22"/>
        </w:rPr>
        <w:t>ppointment entered into the Participant’s Elec</w:t>
      </w:r>
      <w:r w:rsidR="00AE3721" w:rsidRPr="0015798F">
        <w:rPr>
          <w:szCs w:val="22"/>
        </w:rPr>
        <w:t xml:space="preserve">tronic Calendar that is not </w:t>
      </w:r>
      <w:r w:rsidR="00D50C19" w:rsidRPr="0015798F">
        <w:rPr>
          <w:szCs w:val="22"/>
        </w:rPr>
        <w:t xml:space="preserve">with </w:t>
      </w:r>
      <w:r w:rsidR="00AE3721" w:rsidRPr="0015798F">
        <w:rPr>
          <w:szCs w:val="22"/>
        </w:rPr>
        <w:t xml:space="preserve">the </w:t>
      </w:r>
      <w:r w:rsidR="00F92D0E" w:rsidRPr="0015798F">
        <w:rPr>
          <w:szCs w:val="22"/>
        </w:rPr>
        <w:t>Inclusive Employment Australia</w:t>
      </w:r>
      <w:r w:rsidR="00AE3721" w:rsidRPr="0015798F">
        <w:rPr>
          <w:szCs w:val="22"/>
        </w:rPr>
        <w:t xml:space="preserve"> Provider</w:t>
      </w:r>
      <w:r w:rsidR="00433B03" w:rsidRPr="0015798F">
        <w:rPr>
          <w:szCs w:val="22"/>
        </w:rPr>
        <w:t>.</w:t>
      </w:r>
    </w:p>
    <w:p w14:paraId="76C9220F" w14:textId="6898F446" w:rsidR="009333B6" w:rsidRPr="0015798F" w:rsidRDefault="006E339B" w:rsidP="008B2E90">
      <w:pPr>
        <w:rPr>
          <w:szCs w:val="22"/>
        </w:rPr>
      </w:pPr>
      <w:r w:rsidRPr="0015798F">
        <w:rPr>
          <w:b/>
          <w:bCs/>
          <w:szCs w:val="22"/>
        </w:rPr>
        <w:t>Transferred Participant</w:t>
      </w:r>
      <w:r w:rsidRPr="0015798F">
        <w:rPr>
          <w:szCs w:val="22"/>
        </w:rPr>
        <w:t xml:space="preserve"> means a </w:t>
      </w:r>
      <w:r w:rsidR="009333B6" w:rsidRPr="0015798F">
        <w:rPr>
          <w:szCs w:val="22"/>
        </w:rPr>
        <w:t>Participant</w:t>
      </w:r>
      <w:r w:rsidRPr="0015798F">
        <w:rPr>
          <w:szCs w:val="22"/>
        </w:rPr>
        <w:t xml:space="preserve"> who </w:t>
      </w:r>
      <w:r w:rsidR="009333B6" w:rsidRPr="0015798F">
        <w:rPr>
          <w:szCs w:val="22"/>
        </w:rPr>
        <w:t xml:space="preserve">transfers between </w:t>
      </w:r>
      <w:r w:rsidR="00F92D0E" w:rsidRPr="0015798F">
        <w:rPr>
          <w:szCs w:val="22"/>
        </w:rPr>
        <w:t>Inclusive Employment Australia</w:t>
      </w:r>
      <w:r w:rsidR="009333B6" w:rsidRPr="0015798F">
        <w:rPr>
          <w:szCs w:val="22"/>
        </w:rPr>
        <w:t xml:space="preserve"> Providers during their Period of Service.</w:t>
      </w:r>
    </w:p>
    <w:p w14:paraId="20998847" w14:textId="78B3810E" w:rsidR="002671A2" w:rsidRPr="0015798F" w:rsidRDefault="002671A2" w:rsidP="00CD504F">
      <w:pPr>
        <w:rPr>
          <w:szCs w:val="22"/>
        </w:rPr>
      </w:pPr>
      <w:r w:rsidRPr="0015798F">
        <w:rPr>
          <w:b/>
          <w:szCs w:val="22"/>
        </w:rPr>
        <w:t>Unsubsidised Self-Employment</w:t>
      </w:r>
      <w:r w:rsidRPr="0015798F">
        <w:rPr>
          <w:szCs w:val="22"/>
        </w:rPr>
        <w:t xml:space="preserve"> means self-employment where a Participant does not receive a personal income subsidy of any kind.</w:t>
      </w:r>
      <w:r w:rsidR="0030028C" w:rsidRPr="0015798F">
        <w:rPr>
          <w:szCs w:val="22"/>
        </w:rPr>
        <w:t xml:space="preserve"> </w:t>
      </w:r>
    </w:p>
    <w:p w14:paraId="3D0DBF0B" w14:textId="43AA24A1" w:rsidR="002671A2" w:rsidRPr="0015798F" w:rsidRDefault="009B4B0D" w:rsidP="00CD504F">
      <w:pPr>
        <w:rPr>
          <w:szCs w:val="22"/>
        </w:rPr>
      </w:pPr>
      <w:r w:rsidRPr="0015798F">
        <w:rPr>
          <w:b/>
          <w:bCs/>
          <w:szCs w:val="22"/>
        </w:rPr>
        <w:t>Valid Reason</w:t>
      </w:r>
      <w:r w:rsidRPr="0015798F">
        <w:rPr>
          <w:szCs w:val="22"/>
        </w:rPr>
        <w:t xml:space="preserve"> means a valid reason </w:t>
      </w:r>
      <w:r w:rsidR="0091370D" w:rsidRPr="0015798F">
        <w:rPr>
          <w:szCs w:val="22"/>
        </w:rPr>
        <w:t xml:space="preserve">for non-compliance with Mutual Obligation Requirements </w:t>
      </w:r>
      <w:r w:rsidRPr="0015798F">
        <w:rPr>
          <w:szCs w:val="22"/>
        </w:rPr>
        <w:t>as specified in th</w:t>
      </w:r>
      <w:r w:rsidR="0091370D" w:rsidRPr="0015798F">
        <w:rPr>
          <w:szCs w:val="22"/>
        </w:rPr>
        <w:t>e</w:t>
      </w:r>
      <w:r w:rsidRPr="0015798F">
        <w:rPr>
          <w:szCs w:val="22"/>
        </w:rPr>
        <w:t>s</w:t>
      </w:r>
      <w:r w:rsidR="0091370D" w:rsidRPr="0015798F">
        <w:rPr>
          <w:szCs w:val="22"/>
        </w:rPr>
        <w:t>e</w:t>
      </w:r>
      <w:r w:rsidRPr="0015798F">
        <w:rPr>
          <w:szCs w:val="22"/>
        </w:rPr>
        <w:t xml:space="preserve"> Guideline</w:t>
      </w:r>
      <w:r w:rsidR="0091370D" w:rsidRPr="0015798F">
        <w:rPr>
          <w:szCs w:val="22"/>
        </w:rPr>
        <w:t>s.</w:t>
      </w:r>
    </w:p>
    <w:p w14:paraId="5366EC20" w14:textId="0BD748EA" w:rsidR="002671A2" w:rsidRPr="0015798F" w:rsidRDefault="002671A2" w:rsidP="00CD504F">
      <w:pPr>
        <w:rPr>
          <w:szCs w:val="22"/>
        </w:rPr>
      </w:pPr>
      <w:r w:rsidRPr="0015798F">
        <w:rPr>
          <w:b/>
          <w:szCs w:val="22"/>
        </w:rPr>
        <w:t>Voluntary Work</w:t>
      </w:r>
      <w:r w:rsidRPr="0015798F">
        <w:rPr>
          <w:szCs w:val="22"/>
        </w:rPr>
        <w:t xml:space="preserve"> means both Provider-Sourced Volunteer Work placements and Participant-Sourced Volunteer Work placements.</w:t>
      </w:r>
    </w:p>
    <w:p w14:paraId="2E7D6D61" w14:textId="492EC7C7" w:rsidR="002671A2" w:rsidRPr="0015798F" w:rsidRDefault="002671A2" w:rsidP="00CD504F">
      <w:pPr>
        <w:rPr>
          <w:szCs w:val="22"/>
        </w:rPr>
      </w:pPr>
      <w:r w:rsidRPr="0015798F">
        <w:rPr>
          <w:b/>
          <w:szCs w:val="22"/>
        </w:rPr>
        <w:t>Volunteer Period</w:t>
      </w:r>
      <w:r w:rsidRPr="0015798F">
        <w:rPr>
          <w:szCs w:val="22"/>
        </w:rPr>
        <w:t xml:space="preserve"> means the period of time in which a Participant (Mutual Obligation) or DSP Recipient (Compulsory Requirements) </w:t>
      </w:r>
      <w:r w:rsidR="00B37449" w:rsidRPr="0015798F">
        <w:rPr>
          <w:szCs w:val="22"/>
        </w:rPr>
        <w:t>is</w:t>
      </w:r>
      <w:r w:rsidR="00A17134" w:rsidRPr="0015798F">
        <w:rPr>
          <w:szCs w:val="22"/>
        </w:rPr>
        <w:t xml:space="preserve"> Suspended </w:t>
      </w:r>
      <w:r w:rsidRPr="0015798F">
        <w:rPr>
          <w:szCs w:val="22"/>
        </w:rPr>
        <w:t>and chooses to voluntarily engage in Services.</w:t>
      </w:r>
    </w:p>
    <w:p w14:paraId="1CD9EF58" w14:textId="39EB16A0" w:rsidR="002671A2" w:rsidRPr="0015798F" w:rsidRDefault="002671A2" w:rsidP="00CD504F">
      <w:pPr>
        <w:rPr>
          <w:szCs w:val="22"/>
        </w:rPr>
      </w:pPr>
      <w:r w:rsidRPr="0015798F">
        <w:rPr>
          <w:b/>
          <w:szCs w:val="22"/>
        </w:rPr>
        <w:t>Wage Subsidy Agreement</w:t>
      </w:r>
      <w:r w:rsidRPr="0015798F">
        <w:rPr>
          <w:szCs w:val="22"/>
        </w:rPr>
        <w:t xml:space="preserve"> means a</w:t>
      </w:r>
      <w:r w:rsidR="00A96DA3" w:rsidRPr="0015798F">
        <w:rPr>
          <w:szCs w:val="22"/>
        </w:rPr>
        <w:t xml:space="preserve"> written</w:t>
      </w:r>
      <w:r w:rsidRPr="0015798F">
        <w:rPr>
          <w:szCs w:val="22"/>
        </w:rPr>
        <w:t xml:space="preserve"> agreement for the purposes of the Wage Subsidy in a form specified by the Department.</w:t>
      </w:r>
    </w:p>
    <w:p w14:paraId="4E046D42" w14:textId="20BF2CD2" w:rsidR="1A8FC784" w:rsidRPr="0015798F" w:rsidRDefault="78C5AF65" w:rsidP="1A8FC784">
      <w:pPr>
        <w:rPr>
          <w:szCs w:val="22"/>
        </w:rPr>
      </w:pPr>
      <w:r w:rsidRPr="0015798F">
        <w:rPr>
          <w:b/>
          <w:szCs w:val="22"/>
        </w:rPr>
        <w:t>Wage Subsidy Agreement Term</w:t>
      </w:r>
      <w:r w:rsidRPr="0015798F">
        <w:rPr>
          <w:szCs w:val="22"/>
        </w:rPr>
        <w:t xml:space="preserve"> means the 26-week period from the Job Placement Start Date.</w:t>
      </w:r>
    </w:p>
    <w:p w14:paraId="6FBFB2EC" w14:textId="3441750F" w:rsidR="002671A2" w:rsidRPr="0015798F" w:rsidRDefault="002671A2" w:rsidP="00CD504F">
      <w:pPr>
        <w:rPr>
          <w:szCs w:val="22"/>
        </w:rPr>
      </w:pPr>
      <w:r w:rsidRPr="0015798F">
        <w:rPr>
          <w:b/>
          <w:szCs w:val="22"/>
        </w:rPr>
        <w:t>Wage Subsidy Employer</w:t>
      </w:r>
      <w:r w:rsidRPr="0015798F">
        <w:rPr>
          <w:szCs w:val="22"/>
        </w:rPr>
        <w:t xml:space="preserve"> means an Employer who meets the eligibility requirements for a Wage Subsidy.</w:t>
      </w:r>
    </w:p>
    <w:p w14:paraId="283FEB2A" w14:textId="25E33B0D" w:rsidR="002671A2" w:rsidRDefault="002671A2" w:rsidP="00CD504F">
      <w:pPr>
        <w:rPr>
          <w:szCs w:val="22"/>
        </w:rPr>
      </w:pPr>
      <w:r w:rsidRPr="0015798F">
        <w:rPr>
          <w:b/>
          <w:szCs w:val="22"/>
        </w:rPr>
        <w:t>Wage Subsidy Participant</w:t>
      </w:r>
      <w:r w:rsidRPr="0015798F">
        <w:rPr>
          <w:szCs w:val="22"/>
        </w:rPr>
        <w:t xml:space="preserve"> means a Participant who meets the eligibility requirements for a Wage Subsidy.</w:t>
      </w:r>
    </w:p>
    <w:p w14:paraId="5930BEF3" w14:textId="04C09C6C" w:rsidR="00CD3CBF" w:rsidRPr="0015798F" w:rsidRDefault="00CD3CBF" w:rsidP="00CD504F">
      <w:pPr>
        <w:rPr>
          <w:szCs w:val="22"/>
        </w:rPr>
      </w:pPr>
      <w:r w:rsidRPr="00CD3CBF">
        <w:rPr>
          <w:b/>
          <w:bCs/>
          <w:lang w:eastAsia="en-AU"/>
        </w:rPr>
        <w:t>Wage Subsidy Payment</w:t>
      </w:r>
      <w:r>
        <w:rPr>
          <w:lang w:eastAsia="en-AU"/>
        </w:rPr>
        <w:t xml:space="preserve"> means a payment made to a Wage Subsidy Employer in accordance with a Wage Subsidy Agreement.</w:t>
      </w:r>
    </w:p>
    <w:p w14:paraId="372D8599" w14:textId="320D9129" w:rsidR="002671A2" w:rsidRPr="0015798F" w:rsidRDefault="002671A2" w:rsidP="00CD504F">
      <w:pPr>
        <w:rPr>
          <w:szCs w:val="22"/>
        </w:rPr>
      </w:pPr>
      <w:r w:rsidRPr="0015798F">
        <w:rPr>
          <w:b/>
          <w:szCs w:val="22"/>
        </w:rPr>
        <w:t>Wage Subsidy Placement</w:t>
      </w:r>
      <w:r w:rsidRPr="0015798F">
        <w:rPr>
          <w:szCs w:val="22"/>
        </w:rPr>
        <w:t xml:space="preserve"> means an Employment position that meets the eligibility requirements for a Wage Subsidy.</w:t>
      </w:r>
    </w:p>
    <w:p w14:paraId="686B022A" w14:textId="6E505A46" w:rsidR="002671A2" w:rsidRPr="0015798F" w:rsidRDefault="002671A2" w:rsidP="00CD504F">
      <w:pPr>
        <w:rPr>
          <w:szCs w:val="22"/>
        </w:rPr>
      </w:pPr>
      <w:r w:rsidRPr="0015798F">
        <w:rPr>
          <w:b/>
          <w:szCs w:val="22"/>
        </w:rPr>
        <w:t>Warm Handovers</w:t>
      </w:r>
      <w:r w:rsidRPr="0015798F">
        <w:rPr>
          <w:szCs w:val="22"/>
        </w:rPr>
        <w:t xml:space="preserve"> are part of the </w:t>
      </w:r>
      <w:r w:rsidR="005B2C43" w:rsidRPr="0015798F">
        <w:rPr>
          <w:szCs w:val="22"/>
        </w:rPr>
        <w:t>t</w:t>
      </w:r>
      <w:r w:rsidRPr="0015798F">
        <w:rPr>
          <w:szCs w:val="22"/>
        </w:rPr>
        <w:t xml:space="preserve">ransfer process between </w:t>
      </w:r>
      <w:r w:rsidR="00F92D0E" w:rsidRPr="0015798F">
        <w:rPr>
          <w:szCs w:val="22"/>
        </w:rPr>
        <w:t>Inclusive Employment Australia</w:t>
      </w:r>
      <w:r w:rsidR="00A92504" w:rsidRPr="0015798F">
        <w:rPr>
          <w:szCs w:val="22"/>
        </w:rPr>
        <w:t xml:space="preserve"> </w:t>
      </w:r>
      <w:r w:rsidRPr="0015798F">
        <w:rPr>
          <w:szCs w:val="22"/>
        </w:rPr>
        <w:t xml:space="preserve">Providers. They also are part of the requirements for a </w:t>
      </w:r>
      <w:r w:rsidR="00CD2BB9" w:rsidRPr="0015798F">
        <w:rPr>
          <w:szCs w:val="22"/>
        </w:rPr>
        <w:t>p</w:t>
      </w:r>
      <w:r w:rsidRPr="0015798F">
        <w:rPr>
          <w:szCs w:val="22"/>
        </w:rPr>
        <w:t xml:space="preserve">rovider of the Parent Pathway service, to support a Participant who has Exited Parent Pathways and is Referred to the </w:t>
      </w:r>
      <w:r w:rsidR="00F92D0E" w:rsidRPr="0015798F">
        <w:rPr>
          <w:szCs w:val="22"/>
        </w:rPr>
        <w:t>Inclusive Employment Australia</w:t>
      </w:r>
      <w:r w:rsidRPr="0015798F">
        <w:rPr>
          <w:szCs w:val="22"/>
        </w:rPr>
        <w:t xml:space="preserve">. Warm Handovers occur at the Initial Interview, if the Participant has notified their </w:t>
      </w:r>
      <w:r w:rsidR="00CD2BB9" w:rsidRPr="0015798F">
        <w:rPr>
          <w:szCs w:val="22"/>
        </w:rPr>
        <w:t>p</w:t>
      </w:r>
      <w:r w:rsidRPr="0015798F">
        <w:rPr>
          <w:szCs w:val="22"/>
        </w:rPr>
        <w:t>revious Provider of the Appointment details.</w:t>
      </w:r>
    </w:p>
    <w:p w14:paraId="6D496BCA" w14:textId="19E1B833" w:rsidR="0090582B" w:rsidRPr="0015798F" w:rsidRDefault="0090582B" w:rsidP="00CD504F">
      <w:pPr>
        <w:rPr>
          <w:bCs/>
          <w:szCs w:val="22"/>
        </w:rPr>
      </w:pPr>
      <w:r w:rsidRPr="0015798F">
        <w:rPr>
          <w:b/>
          <w:szCs w:val="22"/>
        </w:rPr>
        <w:t xml:space="preserve">WMS Assessment </w:t>
      </w:r>
      <w:r w:rsidR="001B1DD9" w:rsidRPr="0015798F">
        <w:rPr>
          <w:bCs/>
          <w:szCs w:val="22"/>
        </w:rPr>
        <w:t>means an evaluation of the specific work</w:t>
      </w:r>
      <w:r w:rsidR="00B25E97" w:rsidRPr="0015798F">
        <w:rPr>
          <w:bCs/>
          <w:szCs w:val="22"/>
        </w:rPr>
        <w:t>-</w:t>
      </w:r>
      <w:r w:rsidR="001B1DD9" w:rsidRPr="0015798F">
        <w:rPr>
          <w:bCs/>
          <w:szCs w:val="22"/>
        </w:rPr>
        <w:t xml:space="preserve">related requirements of a person with disability in response to a request for assistance under the </w:t>
      </w:r>
      <w:r w:rsidR="002465CA" w:rsidRPr="0015798F">
        <w:rPr>
          <w:bCs/>
          <w:szCs w:val="22"/>
        </w:rPr>
        <w:t>Employment Assistance Fund (</w:t>
      </w:r>
      <w:r w:rsidR="001B1DD9" w:rsidRPr="0015798F">
        <w:rPr>
          <w:bCs/>
          <w:szCs w:val="22"/>
        </w:rPr>
        <w:t>EAF</w:t>
      </w:r>
      <w:r w:rsidR="002465CA" w:rsidRPr="0015798F">
        <w:rPr>
          <w:bCs/>
          <w:szCs w:val="22"/>
        </w:rPr>
        <w:t>)</w:t>
      </w:r>
      <w:r w:rsidR="001B1DD9" w:rsidRPr="0015798F">
        <w:rPr>
          <w:bCs/>
          <w:szCs w:val="22"/>
        </w:rPr>
        <w:t>.</w:t>
      </w:r>
    </w:p>
    <w:p w14:paraId="20A70344" w14:textId="77777777" w:rsidR="006242A0" w:rsidRPr="0015798F" w:rsidRDefault="002671A2" w:rsidP="00CD504F">
      <w:pPr>
        <w:rPr>
          <w:szCs w:val="22"/>
        </w:rPr>
      </w:pPr>
      <w:r w:rsidRPr="0015798F">
        <w:rPr>
          <w:b/>
          <w:szCs w:val="22"/>
        </w:rPr>
        <w:t xml:space="preserve">Work Readiness </w:t>
      </w:r>
      <w:r w:rsidRPr="0015798F">
        <w:rPr>
          <w:szCs w:val="22"/>
        </w:rPr>
        <w:t>means possessing the core skills and behaviours required by Employers, including teamwork skills, communication skills, and a positive attitude and work ethic, including motivation, reliability and a willingness to work.</w:t>
      </w:r>
    </w:p>
    <w:p w14:paraId="1EE11281" w14:textId="1C7CD95E" w:rsidR="00D74559" w:rsidRPr="00CD7CCA" w:rsidRDefault="00D74559" w:rsidP="000335E0">
      <w:pPr>
        <w:pStyle w:val="Heading2"/>
      </w:pPr>
      <w:bookmarkStart w:id="5" w:name="_Ref202784047"/>
      <w:bookmarkStart w:id="6" w:name="_Toc202899865"/>
      <w:r w:rsidRPr="00CD7CCA">
        <w:t>Chapter 1</w:t>
      </w:r>
      <w:r w:rsidR="00280583">
        <w:t>:</w:t>
      </w:r>
      <w:r w:rsidR="00A61FB9">
        <w:tab/>
      </w:r>
      <w:r w:rsidRPr="00CD7CCA">
        <w:t>Eligibility, Referral</w:t>
      </w:r>
      <w:r w:rsidR="0020093A">
        <w:t>s</w:t>
      </w:r>
      <w:r w:rsidRPr="00CD7CCA">
        <w:t xml:space="preserve"> and Direct Registration</w:t>
      </w:r>
      <w:bookmarkEnd w:id="5"/>
      <w:bookmarkEnd w:id="6"/>
    </w:p>
    <w:p w14:paraId="46D2C82D" w14:textId="77777777" w:rsidR="007E3C59" w:rsidRPr="00276384" w:rsidRDefault="007E3C59" w:rsidP="001D0F92">
      <w:pPr>
        <w:pStyle w:val="Heading-SupportingDocuments"/>
        <w:rPr>
          <w:rStyle w:val="Emphasis"/>
          <w:b/>
          <w:bCs w:val="0"/>
          <w:iCs w:val="0"/>
          <w:spacing w:val="3"/>
        </w:rPr>
      </w:pPr>
      <w:r w:rsidRPr="00276384">
        <w:rPr>
          <w:rStyle w:val="Emphasis"/>
          <w:b/>
          <w:iCs w:val="0"/>
          <w:spacing w:val="3"/>
        </w:rPr>
        <w:t>Supporting Documents for this Chapter</w:t>
      </w:r>
    </w:p>
    <w:p w14:paraId="40BF9187" w14:textId="4EEB57FB" w:rsidR="00DD1F55" w:rsidRDefault="0055216D" w:rsidP="0076500B">
      <w:pPr>
        <w:pStyle w:val="Bullet-SupportingDocument"/>
        <w:rPr>
          <w:rStyle w:val="Hyperlink"/>
          <w:rFonts w:eastAsia="Tahoma"/>
        </w:rPr>
      </w:pPr>
      <w:r>
        <w:rPr>
          <w:rStyle w:val="Hyperlink"/>
          <w:rFonts w:eastAsia="Tahoma"/>
        </w:rPr>
        <w:t>Provider Actions – Steps to ensure Referrals by Services Australia</w:t>
      </w:r>
      <w:r w:rsidR="007D5032">
        <w:rPr>
          <w:rStyle w:val="Hyperlink"/>
          <w:rFonts w:eastAsia="Tahoma"/>
        </w:rPr>
        <w:t xml:space="preserve"> [LINK]</w:t>
      </w:r>
    </w:p>
    <w:p w14:paraId="0FCB0FD0" w14:textId="19C43EEF" w:rsidR="00D74559" w:rsidRPr="00B347F6" w:rsidRDefault="00D74559" w:rsidP="0076500B">
      <w:pPr>
        <w:pStyle w:val="Bullet-SupportingDocument"/>
        <w:rPr>
          <w:rStyle w:val="Hyperlink"/>
          <w:rFonts w:eastAsia="Tahoma"/>
        </w:rPr>
      </w:pPr>
      <w:r w:rsidRPr="00B347F6">
        <w:rPr>
          <w:rStyle w:val="Hyperlink"/>
          <w:rFonts w:eastAsia="Tahoma"/>
        </w:rPr>
        <w:t>Direct Registration Form</w:t>
      </w:r>
      <w:r w:rsidR="007D5032">
        <w:rPr>
          <w:rStyle w:val="Hyperlink"/>
          <w:rFonts w:eastAsia="Tahoma"/>
        </w:rPr>
        <w:t xml:space="preserve"> [LINK]</w:t>
      </w:r>
    </w:p>
    <w:p w14:paraId="7C2A5807" w14:textId="38ECAE7C" w:rsidR="00D74559" w:rsidRPr="00B347F6" w:rsidRDefault="00D74559" w:rsidP="0076500B">
      <w:pPr>
        <w:pStyle w:val="Bullet-SupportingDocument"/>
        <w:rPr>
          <w:rStyle w:val="Hyperlink"/>
          <w:rFonts w:eastAsia="Tahoma"/>
        </w:rPr>
      </w:pPr>
      <w:r w:rsidRPr="00B347F6">
        <w:rPr>
          <w:rStyle w:val="Hyperlink"/>
          <w:rFonts w:eastAsia="Tahoma"/>
        </w:rPr>
        <w:t>State and Territory School Disability Funding Arrangements</w:t>
      </w:r>
      <w:r w:rsidR="00A561F2">
        <w:rPr>
          <w:rStyle w:val="Hyperlink"/>
          <w:rFonts w:eastAsia="Tahoma"/>
        </w:rPr>
        <w:t xml:space="preserve"> [LINK]</w:t>
      </w:r>
    </w:p>
    <w:p w14:paraId="109BF547" w14:textId="7FC19D23" w:rsidR="00700D61" w:rsidRPr="003A3C3E" w:rsidRDefault="00D74559" w:rsidP="001D0F92">
      <w:pPr>
        <w:pStyle w:val="Heading3"/>
      </w:pPr>
      <w:bookmarkStart w:id="7" w:name="_Toc202899866"/>
      <w:r w:rsidRPr="00523649">
        <w:rPr>
          <w:bCs/>
        </w:rPr>
        <w:t>1.1</w:t>
      </w:r>
      <w:r w:rsidR="00DA5B96">
        <w:rPr>
          <w:bCs/>
        </w:rPr>
        <w:tab/>
      </w:r>
      <w:r w:rsidR="00700D61" w:rsidRPr="003A3C3E">
        <w:t>Chapter Overview</w:t>
      </w:r>
      <w:bookmarkEnd w:id="7"/>
    </w:p>
    <w:p w14:paraId="6F177020" w14:textId="03F86AA1" w:rsidR="00D74559" w:rsidRPr="00C70AB8" w:rsidRDefault="00F92D0E" w:rsidP="006E2EF5">
      <w:pPr>
        <w:keepNext/>
      </w:pPr>
      <w:r>
        <w:t>Inclusive Employment Australia</w:t>
      </w:r>
      <w:r w:rsidR="00D74559" w:rsidRPr="6B20C011">
        <w:t xml:space="preserve"> is an employment service that supports people with disability, an injury or a health condition to find and maintain Employment, including people:</w:t>
      </w:r>
    </w:p>
    <w:p w14:paraId="713575D5" w14:textId="77777777" w:rsidR="00D74559" w:rsidRPr="00DD1219" w:rsidRDefault="00D74559" w:rsidP="004E120D">
      <w:pPr>
        <w:pStyle w:val="BulletLevel1"/>
      </w:pPr>
      <w:r w:rsidRPr="00DD1219">
        <w:t>who have an assessed current baseline work capacity, and an assessed future work capacity with intervention, of less than 30 hours per week due to their disability, injury, or health condition, or</w:t>
      </w:r>
    </w:p>
    <w:p w14:paraId="2AF6501C" w14:textId="77777777" w:rsidR="00D74559" w:rsidRPr="00DD1219" w:rsidRDefault="00D74559" w:rsidP="004E120D">
      <w:pPr>
        <w:pStyle w:val="BulletLevel1"/>
      </w:pPr>
      <w:r w:rsidRPr="00DD1219">
        <w:t>whose Employment is at risk as they have difficulty fulfilling the essential requirements of their role due to their disability, injury, or health condition.</w:t>
      </w:r>
    </w:p>
    <w:p w14:paraId="466C1305" w14:textId="77777777" w:rsidR="00D74559" w:rsidRDefault="00D74559" w:rsidP="006E2EF5">
      <w:r w:rsidRPr="6B20C011">
        <w:t>Participants are generally Referred to Services from Services Australia, through the Department’s IT Systems.</w:t>
      </w:r>
    </w:p>
    <w:p w14:paraId="3B228048" w14:textId="77777777" w:rsidR="00D74559" w:rsidRDefault="00D74559" w:rsidP="006E2EF5">
      <w:r>
        <w:t>Some Participants can choose to volunteer to take part in Services and can Directly Register with a Provider.</w:t>
      </w:r>
    </w:p>
    <w:p w14:paraId="35A01F5A" w14:textId="7FDDE106" w:rsidR="00D74559" w:rsidRDefault="00D74559" w:rsidP="006E2EF5">
      <w:r>
        <w:t xml:space="preserve">Providers must confirm that all persons who are Referred or Directly Registered meet the eligibility criteria for </w:t>
      </w:r>
      <w:r w:rsidR="00F92D0E">
        <w:t>Inclusive Employment Australia</w:t>
      </w:r>
      <w:r>
        <w:t xml:space="preserve"> before they are Commenced in Services — either the general eligibility criteria or special eligibility criteria. Participants must be Commenced to receive Services from the Provider.</w:t>
      </w:r>
    </w:p>
    <w:p w14:paraId="5ADF8753" w14:textId="77777777" w:rsidR="00D74559" w:rsidRDefault="00D74559" w:rsidP="006E2EF5">
      <w:r w:rsidRPr="00B860F1">
        <w:t>Th</w:t>
      </w:r>
      <w:r>
        <w:t>is C</w:t>
      </w:r>
      <w:r w:rsidRPr="00B860F1">
        <w:t>hapter outlines</w:t>
      </w:r>
      <w:r>
        <w:t>:</w:t>
      </w:r>
    </w:p>
    <w:p w14:paraId="4C576DDE" w14:textId="7B4A7781" w:rsidR="00D74559" w:rsidRPr="00F1200D" w:rsidRDefault="00D74559" w:rsidP="004E120D">
      <w:pPr>
        <w:pStyle w:val="BulletLevel1"/>
      </w:pPr>
      <w:r w:rsidRPr="00F1200D">
        <w:t xml:space="preserve">general eligibility </w:t>
      </w:r>
      <w:r>
        <w:t>criteria</w:t>
      </w:r>
      <w:r w:rsidRPr="00F1200D">
        <w:t xml:space="preserve"> for </w:t>
      </w:r>
      <w:r w:rsidR="00F92D0E">
        <w:t>Inclusive Employment Australia</w:t>
      </w:r>
    </w:p>
    <w:p w14:paraId="511EBB02" w14:textId="6651CA96" w:rsidR="00D74559" w:rsidRDefault="00D74559" w:rsidP="004E120D">
      <w:pPr>
        <w:pStyle w:val="BulletLevel1"/>
      </w:pPr>
      <w:r>
        <w:t>special</w:t>
      </w:r>
      <w:r w:rsidRPr="00F1200D">
        <w:t xml:space="preserve"> eligibility </w:t>
      </w:r>
      <w:r>
        <w:t>criteria</w:t>
      </w:r>
      <w:r w:rsidRPr="00F1200D">
        <w:t xml:space="preserve"> that allow </w:t>
      </w:r>
      <w:r>
        <w:t>identified</w:t>
      </w:r>
      <w:r w:rsidRPr="00F1200D">
        <w:t xml:space="preserve"> </w:t>
      </w:r>
      <w:r>
        <w:t>cohorts</w:t>
      </w:r>
      <w:r w:rsidRPr="00F1200D">
        <w:t xml:space="preserve"> of Participants to access </w:t>
      </w:r>
      <w:r w:rsidR="00F92D0E">
        <w:t>Inclusive Employment Australia</w:t>
      </w:r>
    </w:p>
    <w:p w14:paraId="22F92201" w14:textId="77777777" w:rsidR="00D74559" w:rsidRDefault="00D74559" w:rsidP="004E120D">
      <w:pPr>
        <w:pStyle w:val="BulletLevel1"/>
      </w:pPr>
      <w:r>
        <w:t>Referral processes, and</w:t>
      </w:r>
    </w:p>
    <w:p w14:paraId="27446305" w14:textId="606E2282" w:rsidR="00C95661" w:rsidRDefault="00D74559" w:rsidP="004E120D">
      <w:pPr>
        <w:pStyle w:val="BulletLevel1"/>
      </w:pPr>
      <w:r w:rsidRPr="006D0FD7">
        <w:t>Direct Registration processes.</w:t>
      </w:r>
    </w:p>
    <w:p w14:paraId="5F1CD7CA" w14:textId="4D3C6FCC" w:rsidR="002B20D2" w:rsidRDefault="00E765FC" w:rsidP="002B20D2">
      <w:r w:rsidRPr="00E765FC">
        <w:rPr>
          <w:b/>
          <w:bCs/>
        </w:rPr>
        <w:t>Note:</w:t>
      </w:r>
      <w:r>
        <w:t xml:space="preserve"> </w:t>
      </w:r>
      <w:r w:rsidR="002B20D2">
        <w:t xml:space="preserve">This Chapter should be read in conjunction with the </w:t>
      </w:r>
      <w:r w:rsidR="002B20D2" w:rsidRPr="00FF048B">
        <w:rPr>
          <w:rStyle w:val="Hyperlink"/>
        </w:rPr>
        <w:t>Provider Transition Advice</w:t>
      </w:r>
      <w:r w:rsidR="00FF048B" w:rsidRPr="00FF048B">
        <w:rPr>
          <w:rStyle w:val="Hyperlink"/>
        </w:rPr>
        <w:t xml:space="preserve"> [LINK]</w:t>
      </w:r>
      <w:r w:rsidR="002B20D2">
        <w:t xml:space="preserve"> </w:t>
      </w:r>
      <w:r w:rsidR="001C3C76">
        <w:t>for</w:t>
      </w:r>
      <w:r w:rsidR="002B20D2">
        <w:t xml:space="preserve"> </w:t>
      </w:r>
      <w:r w:rsidR="00D96D10">
        <w:t xml:space="preserve">guidance on eligibility checks for </w:t>
      </w:r>
      <w:r w:rsidR="002B20D2">
        <w:t>Transitioned Participants</w:t>
      </w:r>
      <w:r w:rsidR="001C3C76">
        <w:t xml:space="preserve"> who were Referred or Directly Registered </w:t>
      </w:r>
      <w:r w:rsidR="00C13E16">
        <w:t>and</w:t>
      </w:r>
      <w:r>
        <w:t xml:space="preserve"> had not </w:t>
      </w:r>
      <w:r w:rsidR="00C13E16">
        <w:t xml:space="preserve">yet </w:t>
      </w:r>
      <w:r w:rsidR="006B2E61">
        <w:t>C</w:t>
      </w:r>
      <w:r>
        <w:t xml:space="preserve">ommenced </w:t>
      </w:r>
      <w:r w:rsidR="001C3C76">
        <w:t>under the former Disability Employment Services (DES) program</w:t>
      </w:r>
      <w:r>
        <w:t>.</w:t>
      </w:r>
    </w:p>
    <w:p w14:paraId="1E2A3293" w14:textId="2E78A80E" w:rsidR="00D74559" w:rsidRDefault="00D74559" w:rsidP="78A28421">
      <w:pPr>
        <w:pStyle w:val="Heading3"/>
      </w:pPr>
      <w:bookmarkStart w:id="8" w:name="_Ref202781975"/>
      <w:bookmarkStart w:id="9" w:name="_Ref202782143"/>
      <w:bookmarkStart w:id="10" w:name="_Toc202899867"/>
      <w:r>
        <w:t>1.2</w:t>
      </w:r>
      <w:r>
        <w:tab/>
        <w:t>General eligibility criteria</w:t>
      </w:r>
      <w:bookmarkEnd w:id="8"/>
      <w:bookmarkEnd w:id="9"/>
      <w:bookmarkEnd w:id="10"/>
    </w:p>
    <w:p w14:paraId="4C3C2F7E" w14:textId="3CF410B5" w:rsidR="003C57AD" w:rsidRDefault="00D74559" w:rsidP="003C57AD">
      <w:r>
        <w:t xml:space="preserve">A person is eligible to receive </w:t>
      </w:r>
      <w:r w:rsidR="00F92D0E">
        <w:t>Inclusive Employment Australia</w:t>
      </w:r>
      <w:r>
        <w:t xml:space="preserve"> Services if they meet the criteria in the </w:t>
      </w:r>
      <w:r w:rsidRPr="005573A8">
        <w:t xml:space="preserve">following table, unless eligible under specific pathways outlined in </w:t>
      </w:r>
      <w:r w:rsidR="00A363CC" w:rsidRPr="00CA591C">
        <w:rPr>
          <w:rStyle w:val="Hyperlink"/>
          <w:u w:val="none"/>
        </w:rPr>
        <w:fldChar w:fldCharType="begin"/>
      </w:r>
      <w:r w:rsidR="00A363CC" w:rsidRPr="00CA591C">
        <w:rPr>
          <w:rStyle w:val="Hyperlink"/>
          <w:u w:val="none"/>
        </w:rPr>
        <w:instrText xml:space="preserve"> REF _Ref202777403 \h </w:instrText>
      </w:r>
      <w:r w:rsidR="005573A8" w:rsidRPr="00CA591C">
        <w:rPr>
          <w:rStyle w:val="Hyperlink"/>
          <w:u w:val="none"/>
        </w:rPr>
        <w:instrText xml:space="preserve"> \* MERGEFORMAT </w:instrText>
      </w:r>
      <w:r w:rsidR="00A363CC" w:rsidRPr="00CA591C">
        <w:rPr>
          <w:rStyle w:val="Hyperlink"/>
          <w:u w:val="none"/>
        </w:rPr>
      </w:r>
      <w:r w:rsidR="00A363CC" w:rsidRPr="00CA591C">
        <w:rPr>
          <w:rStyle w:val="Hyperlink"/>
          <w:u w:val="none"/>
        </w:rPr>
        <w:fldChar w:fldCharType="separate"/>
      </w:r>
      <w:r w:rsidR="000D75AE" w:rsidRPr="000D75AE">
        <w:rPr>
          <w:rStyle w:val="Hyperlink"/>
          <w:u w:val="none"/>
        </w:rPr>
        <w:t>1.3</w:t>
      </w:r>
      <w:r w:rsidR="00E12BF6">
        <w:rPr>
          <w:rStyle w:val="Hyperlink"/>
          <w:u w:val="none"/>
        </w:rPr>
        <w:t xml:space="preserve"> </w:t>
      </w:r>
      <w:r w:rsidR="000D75AE" w:rsidRPr="000D75AE">
        <w:rPr>
          <w:rStyle w:val="Hyperlink"/>
          <w:u w:val="none"/>
        </w:rPr>
        <w:t>Special eligibility criteria</w:t>
      </w:r>
      <w:r w:rsidR="00A363CC" w:rsidRPr="00CA591C">
        <w:rPr>
          <w:rStyle w:val="Hyperlink"/>
          <w:u w:val="none"/>
        </w:rPr>
        <w:fldChar w:fldCharType="end"/>
      </w:r>
      <w:r w:rsidR="003C57AD" w:rsidRPr="005573A8">
        <w:t>, and are not already be receiving support from an Other Employment Service Provider as</w:t>
      </w:r>
      <w:r w:rsidR="003C57AD">
        <w:t xml:space="preserve"> shown on the Department’s IT Systems.</w:t>
      </w:r>
    </w:p>
    <w:p w14:paraId="4447E854" w14:textId="27B10963" w:rsidR="00D74559" w:rsidRDefault="00D74559" w:rsidP="00B014AA">
      <w:pPr>
        <w:rPr>
          <w:rFonts w:ascii="Calibri" w:eastAsia="Calibri" w:hAnsi="Calibri" w:cs="Calibri"/>
          <w:color w:val="000000" w:themeColor="text1"/>
          <w:lang w:val="en-GB"/>
        </w:rPr>
      </w:pPr>
      <w:r w:rsidRPr="0BA3920E">
        <w:rPr>
          <w:lang w:val="en-GB"/>
        </w:rPr>
        <w:t xml:space="preserve">Information </w:t>
      </w:r>
      <w:r w:rsidRPr="00B014AA">
        <w:t>about</w:t>
      </w:r>
      <w:r w:rsidRPr="0BA3920E">
        <w:rPr>
          <w:lang w:val="en-GB"/>
        </w:rPr>
        <w:t xml:space="preserve"> general eligibility will be collected through the Job Seeker Snapshot and </w:t>
      </w:r>
      <w:r>
        <w:rPr>
          <w:lang w:val="en-GB"/>
        </w:rPr>
        <w:t xml:space="preserve">Employment </w:t>
      </w:r>
      <w:r w:rsidRPr="00B014AA">
        <w:t>Services</w:t>
      </w:r>
      <w:r>
        <w:rPr>
          <w:lang w:val="en-GB"/>
        </w:rPr>
        <w:t xml:space="preserve"> Assessment (</w:t>
      </w:r>
      <w:r w:rsidRPr="0BA3920E">
        <w:rPr>
          <w:lang w:val="en-GB"/>
        </w:rPr>
        <w:t>ESAt</w:t>
      </w:r>
      <w:r>
        <w:rPr>
          <w:lang w:val="en-GB"/>
        </w:rPr>
        <w:t>) or Job Capacity Assessment (JCA)</w:t>
      </w:r>
      <w:r w:rsidRPr="0BA3920E">
        <w:rPr>
          <w:lang w:val="en-GB"/>
        </w:rPr>
        <w:t xml:space="preserve">. </w:t>
      </w:r>
      <w:r>
        <w:rPr>
          <w:lang w:val="en-GB"/>
        </w:rPr>
        <w:t xml:space="preserve">In these Guidelines the </w:t>
      </w:r>
      <w:r w:rsidRPr="005573A8">
        <w:rPr>
          <w:lang w:val="en-GB"/>
        </w:rPr>
        <w:t xml:space="preserve">term ‘ESAt’ includes JCAs. For more information about these Assessments including the status of Assessments (Current and Valid), see </w:t>
      </w:r>
      <w:r w:rsidR="00C4391B" w:rsidRPr="003F02BF">
        <w:rPr>
          <w:lang w:val="en-GB"/>
        </w:rPr>
        <w:fldChar w:fldCharType="begin"/>
      </w:r>
      <w:r w:rsidR="00C4391B" w:rsidRPr="003F02BF">
        <w:rPr>
          <w:lang w:val="en-GB"/>
        </w:rPr>
        <w:instrText xml:space="preserve"> REF _Ref202777451 \h </w:instrText>
      </w:r>
      <w:r w:rsidR="005573A8" w:rsidRPr="003F02BF">
        <w:rPr>
          <w:lang w:val="en-GB"/>
        </w:rPr>
        <w:instrText xml:space="preserve"> \* MERGEFORMAT </w:instrText>
      </w:r>
      <w:r w:rsidR="00C4391B" w:rsidRPr="003F02BF">
        <w:rPr>
          <w:lang w:val="en-GB"/>
        </w:rPr>
      </w:r>
      <w:r w:rsidR="00C4391B" w:rsidRPr="003F02BF">
        <w:rPr>
          <w:lang w:val="en-GB"/>
        </w:rPr>
        <w:fldChar w:fldCharType="separate"/>
      </w:r>
      <w:r w:rsidR="000D75AE">
        <w:t>Chapter 2:Assessments</w:t>
      </w:r>
      <w:r w:rsidR="00C4391B" w:rsidRPr="003F02BF">
        <w:rPr>
          <w:lang w:val="en-GB"/>
        </w:rPr>
        <w:fldChar w:fldCharType="end"/>
      </w:r>
      <w:r w:rsidRPr="005573A8">
        <w:rPr>
          <w:lang w:val="en-GB"/>
        </w:rPr>
        <w:t>.</w:t>
      </w:r>
    </w:p>
    <w:p w14:paraId="05E195B1" w14:textId="745B1A31" w:rsidR="003C57AD" w:rsidRDefault="003C57AD" w:rsidP="003C57AD">
      <w:r w:rsidRPr="003C57AD">
        <w:rPr>
          <w:b/>
          <w:bCs/>
        </w:rPr>
        <w:t>Note:</w:t>
      </w:r>
      <w:r>
        <w:t xml:space="preserve"> If a person in an Other Employment Service has a new ESAt that recommends </w:t>
      </w:r>
      <w:r w:rsidR="00F92D0E">
        <w:t>Inclusive Employment Australia</w:t>
      </w:r>
      <w:r>
        <w:t xml:space="preserve">, commencement in </w:t>
      </w:r>
      <w:r w:rsidR="00F92D0E">
        <w:t>Inclusive Employment Australia</w:t>
      </w:r>
      <w:r>
        <w:t xml:space="preserve"> will exit the person from the Other Employment Service</w:t>
      </w:r>
      <w:r w:rsidR="0026505E">
        <w:t>.</w:t>
      </w:r>
    </w:p>
    <w:p w14:paraId="15A8CAB7" w14:textId="7E383B1E" w:rsidR="00D74559" w:rsidRDefault="00D74559" w:rsidP="003C57AD">
      <w:pPr>
        <w:keepNext/>
      </w:pPr>
      <w:r>
        <w:t xml:space="preserve">If a Provider </w:t>
      </w:r>
      <w:r w:rsidR="003A2467">
        <w:t>considers a</w:t>
      </w:r>
      <w:r>
        <w:t xml:space="preserve"> Referred Participant does not meet the general eligibility criteria, the Provider must either:</w:t>
      </w:r>
    </w:p>
    <w:p w14:paraId="07758D0D" w14:textId="07F10663" w:rsidR="00D74559" w:rsidRPr="003F02BF" w:rsidRDefault="00D74559" w:rsidP="004E120D">
      <w:pPr>
        <w:pStyle w:val="BulletLevel1"/>
      </w:pPr>
      <w:r w:rsidRPr="00DD1219">
        <w:t xml:space="preserve">dispute the ESAt by requesting a </w:t>
      </w:r>
      <w:r w:rsidRPr="003F02BF">
        <w:t xml:space="preserve">review of the ESAt report as outlined in </w:t>
      </w:r>
      <w:r w:rsidR="0026505E" w:rsidRPr="003F02BF">
        <w:rPr>
          <w:highlight w:val="yellow"/>
        </w:rPr>
        <w:fldChar w:fldCharType="begin"/>
      </w:r>
      <w:r w:rsidR="0026505E" w:rsidRPr="003F02BF">
        <w:instrText xml:space="preserve"> REF _Ref202777482 \h </w:instrText>
      </w:r>
      <w:r w:rsidR="0026505E" w:rsidRPr="003F02BF">
        <w:rPr>
          <w:highlight w:val="yellow"/>
        </w:rPr>
      </w:r>
      <w:r w:rsidR="0026505E" w:rsidRPr="003F02BF">
        <w:rPr>
          <w:highlight w:val="yellow"/>
        </w:rPr>
        <w:fldChar w:fldCharType="separate"/>
      </w:r>
      <w:r w:rsidR="000D75AE">
        <w:t>Chapter 2:</w:t>
      </w:r>
      <w:r w:rsidR="00E12BF6">
        <w:t xml:space="preserve"> </w:t>
      </w:r>
      <w:r w:rsidR="000D75AE">
        <w:t>Assessments</w:t>
      </w:r>
      <w:r w:rsidR="0026505E" w:rsidRPr="003F02BF">
        <w:rPr>
          <w:highlight w:val="yellow"/>
        </w:rPr>
        <w:fldChar w:fldCharType="end"/>
      </w:r>
      <w:r w:rsidRPr="003F02BF">
        <w:t xml:space="preserve">, or </w:t>
      </w:r>
    </w:p>
    <w:p w14:paraId="43B0D289" w14:textId="77777777" w:rsidR="00D74559" w:rsidRPr="003F02BF" w:rsidRDefault="00D74559" w:rsidP="004E120D">
      <w:pPr>
        <w:pStyle w:val="BulletLevel1"/>
      </w:pPr>
      <w:r w:rsidRPr="003F02BF">
        <w:t>if a student studying full-time, refer the person back to Services Australia.</w:t>
      </w:r>
    </w:p>
    <w:p w14:paraId="7189AF0D" w14:textId="76C3DC57" w:rsidR="00D74559" w:rsidRPr="003F02BF" w:rsidRDefault="00D74559" w:rsidP="006E2EF5">
      <w:r w:rsidRPr="003F02BF">
        <w:rPr>
          <w:b/>
          <w:bCs/>
        </w:rPr>
        <w:t>Note:</w:t>
      </w:r>
      <w:r w:rsidRPr="003F02BF">
        <w:t xml:space="preserve"> A Provider </w:t>
      </w:r>
      <w:r w:rsidR="003778E3" w:rsidRPr="003F02BF">
        <w:t>can</w:t>
      </w:r>
      <w:r w:rsidRPr="003F02BF">
        <w:t xml:space="preserve"> also dispute an aspect of the ESAt for an eligible Participant, such as the assessed level of work capacity. Refer to </w:t>
      </w:r>
      <w:r w:rsidR="00EF78DF" w:rsidRPr="003F02BF">
        <w:fldChar w:fldCharType="begin"/>
      </w:r>
      <w:r w:rsidR="00EF78DF" w:rsidRPr="003F02BF">
        <w:instrText xml:space="preserve"> REF _Ref202777525 \h </w:instrText>
      </w:r>
      <w:r w:rsidR="005573A8" w:rsidRPr="003F02BF">
        <w:instrText xml:space="preserve"> \* MERGEFORMAT </w:instrText>
      </w:r>
      <w:r w:rsidR="00EF78DF" w:rsidRPr="003F02BF">
        <w:fldChar w:fldCharType="separate"/>
      </w:r>
      <w:r w:rsidR="000D75AE" w:rsidRPr="006F727E">
        <w:t>2.4</w:t>
      </w:r>
      <w:r w:rsidR="0097189E">
        <w:t xml:space="preserve"> </w:t>
      </w:r>
      <w:r w:rsidR="000D75AE" w:rsidRPr="006F727E">
        <w:t>Employment Services Assessment</w:t>
      </w:r>
      <w:r w:rsidR="00EF78DF" w:rsidRPr="003F02BF">
        <w:fldChar w:fldCharType="end"/>
      </w:r>
      <w:r w:rsidRPr="003F02BF">
        <w:t xml:space="preserve">. </w:t>
      </w:r>
    </w:p>
    <w:p w14:paraId="4A0D8B65" w14:textId="77777777" w:rsidR="00D74559" w:rsidRPr="003F02BF" w:rsidRDefault="00D74559" w:rsidP="00F02D46">
      <w:pPr>
        <w:keepNext/>
      </w:pPr>
      <w:r w:rsidRPr="003F02BF">
        <w:t>In addition, a Provider that is a Specific Cohort Provider must direct any person who is not a member of their relevant Specific Cohort:</w:t>
      </w:r>
    </w:p>
    <w:p w14:paraId="04A97D55" w14:textId="77777777" w:rsidR="00D74559" w:rsidRPr="003F02BF" w:rsidRDefault="00D74559" w:rsidP="004E120D">
      <w:pPr>
        <w:pStyle w:val="BulletLevel1"/>
      </w:pPr>
      <w:r w:rsidRPr="003F02BF">
        <w:t>back to Services Australia if Referred to the Provider by Services Australia, or</w:t>
      </w:r>
    </w:p>
    <w:p w14:paraId="7539DEF9" w14:textId="0DE3CC58" w:rsidR="00D74559" w:rsidRPr="003F02BF" w:rsidRDefault="00D74559" w:rsidP="004E120D">
      <w:pPr>
        <w:pStyle w:val="BulletLevel1"/>
      </w:pPr>
      <w:r w:rsidRPr="003F02BF">
        <w:t xml:space="preserve">to another </w:t>
      </w:r>
      <w:r w:rsidR="00F92D0E" w:rsidRPr="003F02BF">
        <w:t>Inclusive Employment Australia</w:t>
      </w:r>
      <w:r w:rsidRPr="003F02BF">
        <w:t xml:space="preserve"> Provider that would be able to provide Services to the Participant if trying to Directly</w:t>
      </w:r>
      <w:r w:rsidR="006D27D2" w:rsidRPr="003F02BF">
        <w:t xml:space="preserve"> </w:t>
      </w:r>
      <w:r w:rsidRPr="003F02BF">
        <w:t>Register with the Provider.</w:t>
      </w:r>
    </w:p>
    <w:p w14:paraId="482BE008" w14:textId="494EBC99" w:rsidR="00D74559" w:rsidRPr="003F02BF" w:rsidRDefault="00D74559" w:rsidP="006E2EF5">
      <w:pPr>
        <w:pStyle w:val="DeedReferences"/>
      </w:pPr>
      <w:r w:rsidRPr="003F02BF">
        <w:t>(</w:t>
      </w:r>
      <w:r w:rsidR="00A73420" w:rsidRPr="003F02BF">
        <w:t xml:space="preserve">Deed Reference(s): Clause </w:t>
      </w:r>
      <w:r w:rsidR="00F72A0C" w:rsidRPr="003F02BF">
        <w:t xml:space="preserve">100.2, </w:t>
      </w:r>
      <w:r w:rsidRPr="003F02BF">
        <w:t>10</w:t>
      </w:r>
      <w:r w:rsidR="0699D842" w:rsidRPr="003F02BF">
        <w:t>1</w:t>
      </w:r>
      <w:r w:rsidRPr="003F02BF">
        <w:t>.2, 106.3, 108.1(a))</w:t>
      </w:r>
    </w:p>
    <w:p w14:paraId="563E6A32" w14:textId="446F8205" w:rsidR="00D74559" w:rsidRPr="003F02BF" w:rsidRDefault="00D74559" w:rsidP="006F727E">
      <w:pPr>
        <w:pStyle w:val="SystemStep"/>
      </w:pPr>
      <w:r w:rsidRPr="003F02BF">
        <w:t xml:space="preserve">Providers can check a person’s eligibility by reviewing the </w:t>
      </w:r>
      <w:r w:rsidR="00D35765" w:rsidRPr="003F02BF">
        <w:t>‘</w:t>
      </w:r>
      <w:r w:rsidRPr="003F02BF">
        <w:t>Servicing and Eligibility</w:t>
      </w:r>
      <w:r w:rsidR="00D35765" w:rsidRPr="003F02BF">
        <w:t>’</w:t>
      </w:r>
      <w:r w:rsidRPr="003F02BF">
        <w:t xml:space="preserve"> </w:t>
      </w:r>
      <w:r w:rsidR="00860866" w:rsidRPr="003F02BF">
        <w:t>screen</w:t>
      </w:r>
      <w:r w:rsidRPr="003F02BF">
        <w:t xml:space="preserve"> of the Participant’s record on the Department’s IT Systems. </w:t>
      </w:r>
    </w:p>
    <w:p w14:paraId="337CF175" w14:textId="657E12B7" w:rsidR="00D74559" w:rsidRPr="003F02BF" w:rsidRDefault="00D74559" w:rsidP="006E2EF5">
      <w:pPr>
        <w:tabs>
          <w:tab w:val="right" w:pos="1701"/>
        </w:tabs>
      </w:pPr>
      <w:r w:rsidRPr="003F02BF">
        <w:rPr>
          <w:b/>
          <w:bCs/>
        </w:rPr>
        <w:t xml:space="preserve">Note: </w:t>
      </w:r>
      <w:r w:rsidRPr="003F02BF">
        <w:t xml:space="preserve">The Department’s IT Systems should not allow a person to be Referred to an </w:t>
      </w:r>
      <w:r w:rsidR="00F92D0E" w:rsidRPr="003F02BF">
        <w:t>Inclusive Employment Australia</w:t>
      </w:r>
      <w:r w:rsidRPr="003F02BF">
        <w:t xml:space="preserve"> Provider if the person does not meet the </w:t>
      </w:r>
      <w:r w:rsidR="00B601BF" w:rsidRPr="003F02BF">
        <w:t xml:space="preserve">general </w:t>
      </w:r>
      <w:r w:rsidRPr="003F02BF">
        <w:t xml:space="preserve">eligibility </w:t>
      </w:r>
      <w:r w:rsidR="00B601BF" w:rsidRPr="003F02BF">
        <w:t>criteria</w:t>
      </w:r>
      <w:r w:rsidRPr="003F02BF">
        <w:t>.</w:t>
      </w:r>
    </w:p>
    <w:p w14:paraId="5B47E18E" w14:textId="00B18895" w:rsidR="00D74559" w:rsidRPr="003F02BF" w:rsidRDefault="00D74559" w:rsidP="006E2EF5">
      <w:pPr>
        <w:tabs>
          <w:tab w:val="right" w:pos="1701"/>
        </w:tabs>
      </w:pPr>
      <w:r w:rsidRPr="003F02BF">
        <w:t xml:space="preserve">Once a person is Commenced as an </w:t>
      </w:r>
      <w:r w:rsidR="00F92D0E" w:rsidRPr="003F02BF">
        <w:t>Inclusive Employment Australia</w:t>
      </w:r>
      <w:r w:rsidRPr="003F02BF">
        <w:t xml:space="preserve"> Participant:</w:t>
      </w:r>
    </w:p>
    <w:p w14:paraId="6FA4EC6F" w14:textId="77777777" w:rsidR="00D74559" w:rsidRPr="003F02BF" w:rsidRDefault="00D74559" w:rsidP="004E120D">
      <w:pPr>
        <w:pStyle w:val="BulletLevel1"/>
      </w:pPr>
      <w:r w:rsidRPr="003F02BF">
        <w:t xml:space="preserve">their eligibility will generally not be tested again, and </w:t>
      </w:r>
    </w:p>
    <w:p w14:paraId="250F5516" w14:textId="5DCB9A6C" w:rsidR="00D74559" w:rsidRPr="003F02BF" w:rsidRDefault="00D74559" w:rsidP="004E120D">
      <w:pPr>
        <w:pStyle w:val="BulletLevel1"/>
      </w:pPr>
      <w:r w:rsidRPr="003F02BF">
        <w:t xml:space="preserve">in most instances Participants who cease to meet eligibility </w:t>
      </w:r>
      <w:r w:rsidR="00894DF6" w:rsidRPr="003F02BF">
        <w:t>criteria</w:t>
      </w:r>
      <w:r w:rsidRPr="003F02BF">
        <w:t xml:space="preserve"> are not Exited.</w:t>
      </w:r>
    </w:p>
    <w:p w14:paraId="58400315" w14:textId="2C12640E" w:rsidR="00D74559" w:rsidRPr="003F02BF" w:rsidRDefault="00D74559" w:rsidP="006E2EF5">
      <w:pPr>
        <w:tabs>
          <w:tab w:val="right" w:pos="1701"/>
        </w:tabs>
        <w:rPr>
          <w:rFonts w:ascii="Calibri" w:eastAsia="Calibri" w:hAnsi="Calibri" w:cs="Calibri"/>
        </w:rPr>
      </w:pPr>
      <w:r w:rsidRPr="003F02BF">
        <w:t xml:space="preserve">For more information, </w:t>
      </w:r>
      <w:r w:rsidR="00377EF7" w:rsidRPr="003F02BF">
        <w:t>s</w:t>
      </w:r>
      <w:r w:rsidRPr="003F02BF">
        <w:t>ee</w:t>
      </w:r>
      <w:r w:rsidR="00377EF7" w:rsidRPr="003F02BF">
        <w:t xml:space="preserve"> relevant Sections in</w:t>
      </w:r>
      <w:r w:rsidR="00C5443A" w:rsidRPr="003F02BF">
        <w:t xml:space="preserve"> </w:t>
      </w:r>
      <w:r w:rsidR="00C5443A" w:rsidRPr="003F02BF">
        <w:fldChar w:fldCharType="begin"/>
      </w:r>
      <w:r w:rsidR="00C5443A" w:rsidRPr="003F02BF">
        <w:instrText xml:space="preserve"> REF _Ref202780811 \h </w:instrText>
      </w:r>
      <w:r w:rsidR="00C5443A" w:rsidRPr="003F02BF">
        <w:fldChar w:fldCharType="separate"/>
      </w:r>
      <w:r w:rsidR="000D75AE" w:rsidRPr="00BA23D8">
        <w:t>Chapter 3</w:t>
      </w:r>
      <w:r w:rsidR="000D75AE">
        <w:t>:</w:t>
      </w:r>
      <w:r w:rsidR="00CA26A3">
        <w:t xml:space="preserve"> </w:t>
      </w:r>
      <w:r w:rsidR="000D75AE" w:rsidRPr="00BA23D8">
        <w:t>Commencements, Transfers, Suspensions and Exits</w:t>
      </w:r>
      <w:r w:rsidR="00C5443A" w:rsidRPr="003F02BF">
        <w:fldChar w:fldCharType="end"/>
      </w:r>
      <w:r w:rsidRPr="003F02BF">
        <w:t>.</w:t>
      </w:r>
    </w:p>
    <w:p w14:paraId="2AC33185" w14:textId="79BB4508" w:rsidR="00D74559" w:rsidRPr="00687EBF" w:rsidRDefault="00D74559" w:rsidP="00687EBF">
      <w:pPr>
        <w:pStyle w:val="TableChartHeading"/>
      </w:pPr>
      <w:r w:rsidRPr="00687EBF">
        <w:rPr>
          <w:rStyle w:val="Emphasis"/>
          <w:b/>
          <w:bCs/>
          <w:iCs w:val="0"/>
          <w:spacing w:val="3"/>
        </w:rPr>
        <w:t>General eligibility criteria</w:t>
      </w:r>
    </w:p>
    <w:tbl>
      <w:tblPr>
        <w:tblStyle w:val="DSSTableStyleB"/>
        <w:tblW w:w="1006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8"/>
        <w:gridCol w:w="7797"/>
      </w:tblGrid>
      <w:tr w:rsidR="00FD020B" w:rsidRPr="006540A3" w14:paraId="610F8524" w14:textId="77777777" w:rsidTr="007925A1">
        <w:trPr>
          <w:cnfStyle w:val="100000000000" w:firstRow="1" w:lastRow="0" w:firstColumn="0" w:lastColumn="0" w:oddVBand="0" w:evenVBand="0" w:oddHBand="0" w:evenHBand="0" w:firstRowFirstColumn="0" w:firstRowLastColumn="0" w:lastRowFirstColumn="0" w:lastRowLastColumn="0"/>
          <w:trHeight w:val="300"/>
          <w:jc w:val="center"/>
        </w:trPr>
        <w:tc>
          <w:tcPr>
            <w:tcW w:w="2268" w:type="dxa"/>
          </w:tcPr>
          <w:p w14:paraId="1D4F7C95" w14:textId="206921BC" w:rsidR="00D74559" w:rsidRPr="006540A3" w:rsidRDefault="005E71AC" w:rsidP="00687EBF">
            <w:pPr>
              <w:pStyle w:val="TableText"/>
            </w:pPr>
            <w:r>
              <w:t>Requirement</w:t>
            </w:r>
          </w:p>
        </w:tc>
        <w:tc>
          <w:tcPr>
            <w:tcW w:w="7797" w:type="dxa"/>
          </w:tcPr>
          <w:p w14:paraId="0D6B1BA0" w14:textId="7872699D" w:rsidR="00D74559" w:rsidRPr="006540A3" w:rsidRDefault="005E71AC" w:rsidP="00687EBF">
            <w:pPr>
              <w:pStyle w:val="TableText"/>
            </w:pPr>
            <w:r>
              <w:t>Criteria</w:t>
            </w:r>
          </w:p>
        </w:tc>
      </w:tr>
      <w:tr w:rsidR="00D74559" w14:paraId="37BCB1B9" w14:textId="77777777" w:rsidTr="007925A1">
        <w:trPr>
          <w:cnfStyle w:val="000000100000" w:firstRow="0" w:lastRow="0" w:firstColumn="0" w:lastColumn="0" w:oddVBand="0" w:evenVBand="0" w:oddHBand="1" w:evenHBand="0" w:firstRowFirstColumn="0" w:firstRowLastColumn="0" w:lastRowFirstColumn="0" w:lastRowLastColumn="0"/>
          <w:trHeight w:val="300"/>
          <w:jc w:val="center"/>
        </w:trPr>
        <w:tc>
          <w:tcPr>
            <w:tcW w:w="2268" w:type="dxa"/>
          </w:tcPr>
          <w:p w14:paraId="2B73A2E0" w14:textId="77777777" w:rsidR="00D74559" w:rsidRPr="006540A3" w:rsidRDefault="00D74559" w:rsidP="00687EBF">
            <w:pPr>
              <w:pStyle w:val="TableText"/>
            </w:pPr>
            <w:r w:rsidRPr="6B20C011">
              <w:t>Disability, injury or health condition</w:t>
            </w:r>
          </w:p>
        </w:tc>
        <w:tc>
          <w:tcPr>
            <w:tcW w:w="7797" w:type="dxa"/>
          </w:tcPr>
          <w:p w14:paraId="0E3C3B54" w14:textId="08A20F0F" w:rsidR="00D74559" w:rsidRPr="00036F9D" w:rsidRDefault="00D74559" w:rsidP="007D21CC">
            <w:pPr>
              <w:pStyle w:val="TableList-level1"/>
            </w:pPr>
            <w:r w:rsidRPr="00036F9D">
              <w:t xml:space="preserve">Must be assessed in </w:t>
            </w:r>
            <w:r w:rsidR="00FE0344" w:rsidRPr="00C84BBC">
              <w:t>a Current and Valid</w:t>
            </w:r>
            <w:r w:rsidRPr="00036F9D">
              <w:t xml:space="preserve"> ESAt as having a disability, injury or health condition that impacts capacity to work.</w:t>
            </w:r>
          </w:p>
        </w:tc>
      </w:tr>
      <w:tr w:rsidR="00FD020B" w14:paraId="7ED2E4E4" w14:textId="77777777" w:rsidTr="007925A1">
        <w:trPr>
          <w:cnfStyle w:val="000000010000" w:firstRow="0" w:lastRow="0" w:firstColumn="0" w:lastColumn="0" w:oddVBand="0" w:evenVBand="0" w:oddHBand="0" w:evenHBand="1" w:firstRowFirstColumn="0" w:firstRowLastColumn="0" w:lastRowFirstColumn="0" w:lastRowLastColumn="0"/>
          <w:trHeight w:val="300"/>
          <w:jc w:val="center"/>
        </w:trPr>
        <w:tc>
          <w:tcPr>
            <w:tcW w:w="2268" w:type="dxa"/>
          </w:tcPr>
          <w:p w14:paraId="5CFAE67D" w14:textId="77777777" w:rsidR="00D74559" w:rsidRPr="006540A3" w:rsidRDefault="00D74559" w:rsidP="00687EBF">
            <w:pPr>
              <w:pStyle w:val="TableText"/>
            </w:pPr>
            <w:r w:rsidRPr="6B20C011">
              <w:t>Work capacity</w:t>
            </w:r>
          </w:p>
        </w:tc>
        <w:tc>
          <w:tcPr>
            <w:tcW w:w="7797" w:type="dxa"/>
          </w:tcPr>
          <w:p w14:paraId="206932E9" w14:textId="09065F9D" w:rsidR="00D74559" w:rsidRPr="00C84BBC" w:rsidRDefault="00D74559" w:rsidP="007D21CC">
            <w:pPr>
              <w:pStyle w:val="TableList-level1"/>
            </w:pPr>
            <w:r w:rsidRPr="00C84BBC">
              <w:t>Must be assessed in a Current and Valid ESAt as having a current baseline work capacity of less than 30 hours per week and a future work capacity with intervention of less than 30 hours per week.</w:t>
            </w:r>
          </w:p>
        </w:tc>
      </w:tr>
      <w:tr w:rsidR="00D74559" w14:paraId="27243D81" w14:textId="77777777" w:rsidTr="007925A1">
        <w:trPr>
          <w:cnfStyle w:val="000000100000" w:firstRow="0" w:lastRow="0" w:firstColumn="0" w:lastColumn="0" w:oddVBand="0" w:evenVBand="0" w:oddHBand="1" w:evenHBand="0" w:firstRowFirstColumn="0" w:firstRowLastColumn="0" w:lastRowFirstColumn="0" w:lastRowLastColumn="0"/>
          <w:trHeight w:val="300"/>
          <w:jc w:val="center"/>
        </w:trPr>
        <w:tc>
          <w:tcPr>
            <w:tcW w:w="2268" w:type="dxa"/>
          </w:tcPr>
          <w:p w14:paraId="7BA3ED45" w14:textId="77777777" w:rsidR="00D74559" w:rsidRPr="006540A3" w:rsidRDefault="00D74559" w:rsidP="00687EBF">
            <w:pPr>
              <w:pStyle w:val="TableText"/>
            </w:pPr>
            <w:r w:rsidRPr="006540A3">
              <w:t>Australian Residency or Visa</w:t>
            </w:r>
          </w:p>
        </w:tc>
        <w:tc>
          <w:tcPr>
            <w:tcW w:w="7797" w:type="dxa"/>
          </w:tcPr>
          <w:p w14:paraId="68534F22" w14:textId="77777777" w:rsidR="00DD1219" w:rsidRPr="00C84BBC" w:rsidRDefault="00D74559" w:rsidP="007D21CC">
            <w:pPr>
              <w:pStyle w:val="TableList-level1"/>
              <w:rPr>
                <w:rFonts w:eastAsia="Calibri"/>
              </w:rPr>
            </w:pPr>
            <w:r w:rsidRPr="00C84BBC">
              <w:t>Must be an Australian resident or eligible visa holder. This is a person who resides in Australia and is:</w:t>
            </w:r>
          </w:p>
          <w:p w14:paraId="54AE69E2" w14:textId="2F263887" w:rsidR="00D74559" w:rsidRPr="00DD1219" w:rsidRDefault="00D74559" w:rsidP="005B7467">
            <w:pPr>
              <w:pStyle w:val="TableList-level2"/>
              <w:ind w:left="1361"/>
            </w:pPr>
            <w:r w:rsidRPr="00DD1219">
              <w:t>an Australian citizen</w:t>
            </w:r>
          </w:p>
          <w:p w14:paraId="4220EA5A" w14:textId="77777777" w:rsidR="00D74559" w:rsidRPr="00C84BBC" w:rsidRDefault="00D74559" w:rsidP="005B7467">
            <w:pPr>
              <w:pStyle w:val="TableList-level2"/>
              <w:ind w:left="1361"/>
            </w:pPr>
            <w:r w:rsidRPr="00C84BBC">
              <w:t xml:space="preserve">the holder of a </w:t>
            </w:r>
            <w:hyperlink r:id="rId27">
              <w:r w:rsidRPr="00C84BBC">
                <w:rPr>
                  <w:rStyle w:val="Hyperlink"/>
                  <w:color w:val="auto"/>
                  <w:u w:val="none"/>
                </w:rPr>
                <w:t>permanent resident visa</w:t>
              </w:r>
            </w:hyperlink>
            <w:r w:rsidRPr="00C84BBC">
              <w:t xml:space="preserve"> </w:t>
            </w:r>
          </w:p>
          <w:p w14:paraId="03CB6414" w14:textId="77777777" w:rsidR="00D74559" w:rsidRPr="00C84BBC" w:rsidRDefault="00D74559" w:rsidP="005B7467">
            <w:pPr>
              <w:pStyle w:val="TableList-level2"/>
              <w:ind w:left="1361"/>
            </w:pPr>
            <w:r w:rsidRPr="00C84BBC">
              <w:t xml:space="preserve">the holder of a protected </w:t>
            </w:r>
            <w:hyperlink r:id="rId28">
              <w:r w:rsidRPr="00C84BBC">
                <w:rPr>
                  <w:rStyle w:val="Hyperlink"/>
                  <w:color w:val="auto"/>
                  <w:u w:val="none"/>
                </w:rPr>
                <w:t>Special Category Visa</w:t>
              </w:r>
            </w:hyperlink>
          </w:p>
          <w:p w14:paraId="2CCAFD87" w14:textId="77777777" w:rsidR="00D74559" w:rsidRPr="00C84BBC" w:rsidRDefault="00D74559" w:rsidP="005B7467">
            <w:pPr>
              <w:pStyle w:val="TableList-level2"/>
              <w:ind w:left="1361"/>
            </w:pPr>
            <w:r w:rsidRPr="00C84BBC">
              <w:t xml:space="preserve">the holder of a </w:t>
            </w:r>
            <w:hyperlink r:id="rId29">
              <w:r w:rsidRPr="00C84BBC">
                <w:rPr>
                  <w:rStyle w:val="Hyperlink"/>
                  <w:color w:val="auto"/>
                  <w:u w:val="none"/>
                </w:rPr>
                <w:t>Temporary Protection Visa</w:t>
              </w:r>
            </w:hyperlink>
            <w:r w:rsidRPr="00C84BBC">
              <w:t>, or</w:t>
            </w:r>
          </w:p>
          <w:p w14:paraId="026CE89B" w14:textId="77777777" w:rsidR="00D74559" w:rsidRDefault="00D74559" w:rsidP="005B7467">
            <w:pPr>
              <w:pStyle w:val="TableList-level2"/>
              <w:ind w:left="1361"/>
            </w:pPr>
            <w:r w:rsidRPr="00C84BBC">
              <w:t xml:space="preserve">the holder of a </w:t>
            </w:r>
            <w:hyperlink r:id="rId30">
              <w:r w:rsidRPr="00C84BBC">
                <w:rPr>
                  <w:rStyle w:val="Hyperlink"/>
                  <w:color w:val="auto"/>
                  <w:u w:val="none"/>
                </w:rPr>
                <w:t>Safe Haven Enterprise Visa</w:t>
              </w:r>
            </w:hyperlink>
            <w:r w:rsidRPr="00C84BBC">
              <w:t>.</w:t>
            </w:r>
          </w:p>
        </w:tc>
      </w:tr>
      <w:tr w:rsidR="003D641E" w14:paraId="5EA875C6" w14:textId="77777777" w:rsidTr="007925A1">
        <w:trPr>
          <w:cnfStyle w:val="000000010000" w:firstRow="0" w:lastRow="0" w:firstColumn="0" w:lastColumn="0" w:oddVBand="0" w:evenVBand="0" w:oddHBand="0" w:evenHBand="1" w:firstRowFirstColumn="0" w:firstRowLastColumn="0" w:lastRowFirstColumn="0" w:lastRowLastColumn="0"/>
          <w:trHeight w:val="300"/>
          <w:jc w:val="center"/>
        </w:trPr>
        <w:tc>
          <w:tcPr>
            <w:tcW w:w="2268" w:type="dxa"/>
            <w:tcBorders>
              <w:bottom w:val="single" w:sz="4" w:space="0" w:color="auto"/>
            </w:tcBorders>
          </w:tcPr>
          <w:p w14:paraId="34584460" w14:textId="77777777" w:rsidR="00D74559" w:rsidRPr="006540A3" w:rsidRDefault="00D74559" w:rsidP="00687EBF">
            <w:pPr>
              <w:pStyle w:val="TableText"/>
              <w:rPr>
                <w:rFonts w:ascii="Calibri" w:eastAsia="Calibri" w:hAnsi="Calibri" w:cs="Calibri"/>
              </w:rPr>
            </w:pPr>
            <w:r w:rsidRPr="006540A3">
              <w:t>Age</w:t>
            </w:r>
          </w:p>
        </w:tc>
        <w:tc>
          <w:tcPr>
            <w:tcW w:w="7797" w:type="dxa"/>
            <w:tcBorders>
              <w:bottom w:val="single" w:sz="4" w:space="0" w:color="auto"/>
            </w:tcBorders>
          </w:tcPr>
          <w:p w14:paraId="3943DE6F" w14:textId="77777777" w:rsidR="00D74559" w:rsidRPr="00C84BBC" w:rsidRDefault="00D74559" w:rsidP="007D21CC">
            <w:pPr>
              <w:pStyle w:val="TableList-level1"/>
            </w:pPr>
            <w:r w:rsidRPr="00C84BBC">
              <w:t>Must be of legal working age (at least 14 years).</w:t>
            </w:r>
          </w:p>
          <w:p w14:paraId="7BB90DB4" w14:textId="77A4AE69" w:rsidR="00D74559" w:rsidRPr="00C84BBC" w:rsidRDefault="00D74559" w:rsidP="007D21CC">
            <w:pPr>
              <w:pStyle w:val="TableList-level1"/>
              <w:rPr>
                <w:rFonts w:eastAsia="Calibri"/>
              </w:rPr>
            </w:pPr>
            <w:r w:rsidRPr="00C84BBC">
              <w:t xml:space="preserve">Must not yet be of </w:t>
            </w:r>
            <w:r w:rsidR="00FF5CA2">
              <w:t>A</w:t>
            </w:r>
            <w:r w:rsidR="00FF5CA2" w:rsidRPr="00C84BBC">
              <w:t xml:space="preserve">ge </w:t>
            </w:r>
            <w:r w:rsidR="00FF5CA2">
              <w:t>P</w:t>
            </w:r>
            <w:r w:rsidR="00FF5CA2" w:rsidRPr="00C84BBC">
              <w:t xml:space="preserve">ension </w:t>
            </w:r>
            <w:r w:rsidRPr="00C84BBC">
              <w:t>qualifying age.</w:t>
            </w:r>
          </w:p>
          <w:p w14:paraId="054FBA3D" w14:textId="20A7596B" w:rsidR="00D74559" w:rsidRPr="008C5754" w:rsidRDefault="00D74559" w:rsidP="001951AE">
            <w:pPr>
              <w:pStyle w:val="TableText"/>
              <w:rPr>
                <w:rFonts w:ascii="Calibri" w:eastAsia="Calibri" w:hAnsi="Calibri" w:cs="Calibri"/>
              </w:rPr>
            </w:pPr>
            <w:r w:rsidRPr="00687EBF">
              <w:rPr>
                <w:b/>
              </w:rPr>
              <w:t>Note:</w:t>
            </w:r>
            <w:r w:rsidRPr="00B347F6">
              <w:rPr>
                <w:bCs/>
              </w:rPr>
              <w:t xml:space="preserve"> </w:t>
            </w:r>
            <w:r>
              <w:t>The Department’s IT Systems</w:t>
            </w:r>
            <w:r w:rsidRPr="68A5FFF4">
              <w:t xml:space="preserve"> will not</w:t>
            </w:r>
            <w:r>
              <w:t xml:space="preserve"> </w:t>
            </w:r>
            <w:r w:rsidRPr="00A8548E">
              <w:t xml:space="preserve">allow a person to be Referred to </w:t>
            </w:r>
            <w:r w:rsidR="00F92D0E">
              <w:t>Inclusive Employment Australia</w:t>
            </w:r>
            <w:r>
              <w:t xml:space="preserve"> </w:t>
            </w:r>
            <w:r w:rsidRPr="00A8548E">
              <w:t>outside this age range</w:t>
            </w:r>
            <w:r>
              <w:t xml:space="preserve"> and will Exit a person who does not meet the age restrictions.</w:t>
            </w:r>
          </w:p>
        </w:tc>
      </w:tr>
      <w:tr w:rsidR="00D74559" w14:paraId="29FE4B6C" w14:textId="77777777" w:rsidTr="007925A1">
        <w:trPr>
          <w:cnfStyle w:val="000000100000" w:firstRow="0" w:lastRow="0" w:firstColumn="0" w:lastColumn="0" w:oddVBand="0" w:evenVBand="0" w:oddHBand="1" w:evenHBand="0" w:firstRowFirstColumn="0" w:firstRowLastColumn="0" w:lastRowFirstColumn="0" w:lastRowLastColumn="0"/>
          <w:trHeight w:val="300"/>
          <w:jc w:val="center"/>
        </w:trPr>
        <w:tc>
          <w:tcPr>
            <w:tcW w:w="2268" w:type="dxa"/>
            <w:tcBorders>
              <w:bottom w:val="single" w:sz="4" w:space="0" w:color="auto"/>
            </w:tcBorders>
          </w:tcPr>
          <w:p w14:paraId="7FBB0EEF" w14:textId="77777777" w:rsidR="00D74559" w:rsidRPr="006540A3" w:rsidRDefault="00D74559" w:rsidP="00687EBF">
            <w:pPr>
              <w:pStyle w:val="TableText"/>
              <w:rPr>
                <w:rFonts w:ascii="Calibri" w:eastAsia="Calibri" w:hAnsi="Calibri" w:cs="Calibri"/>
                <w:bCs/>
              </w:rPr>
            </w:pPr>
            <w:r>
              <w:t>Study</w:t>
            </w:r>
          </w:p>
        </w:tc>
        <w:tc>
          <w:tcPr>
            <w:tcW w:w="7797" w:type="dxa"/>
            <w:tcBorders>
              <w:bottom w:val="single" w:sz="4" w:space="0" w:color="auto"/>
            </w:tcBorders>
          </w:tcPr>
          <w:p w14:paraId="4638D724" w14:textId="000C4261" w:rsidR="00D74559" w:rsidRPr="00C84BBC" w:rsidRDefault="00D74559" w:rsidP="007D21CC">
            <w:pPr>
              <w:pStyle w:val="TableList-level1"/>
              <w:rPr>
                <w:rFonts w:eastAsia="Calibri"/>
              </w:rPr>
            </w:pPr>
            <w:r w:rsidRPr="00C84BBC">
              <w:t xml:space="preserve">Must not be studying full-time, unless Services Australia confirms it understood the person was a full-time student when it Referred them to </w:t>
            </w:r>
            <w:r w:rsidR="00F92D0E">
              <w:t>Inclusive Employment Australia</w:t>
            </w:r>
            <w:r w:rsidRPr="00C84BBC">
              <w:t xml:space="preserve">. </w:t>
            </w:r>
          </w:p>
          <w:p w14:paraId="0DA264B6" w14:textId="275EFF8A" w:rsidR="00D74559" w:rsidRPr="00C97220" w:rsidRDefault="00D74559" w:rsidP="001951AE">
            <w:pPr>
              <w:pStyle w:val="TableText"/>
              <w:rPr>
                <w:rFonts w:ascii="Calibri" w:eastAsia="Calibri" w:hAnsi="Calibri" w:cs="Calibri"/>
              </w:rPr>
            </w:pPr>
            <w:r w:rsidRPr="00687EBF">
              <w:rPr>
                <w:b/>
              </w:rPr>
              <w:t>Note:</w:t>
            </w:r>
            <w:r>
              <w:t xml:space="preserve"> </w:t>
            </w:r>
            <w:r w:rsidRPr="68A5FFF4">
              <w:t xml:space="preserve">Part-time students can </w:t>
            </w:r>
            <w:r>
              <w:t>C</w:t>
            </w:r>
            <w:r w:rsidRPr="68A5FFF4">
              <w:t xml:space="preserve">ommence in </w:t>
            </w:r>
            <w:r w:rsidR="00F92D0E">
              <w:t>Inclusive Employment Australia</w:t>
            </w:r>
            <w:r>
              <w:t xml:space="preserve"> </w:t>
            </w:r>
            <w:r w:rsidRPr="68A5FFF4">
              <w:t>to look for work.</w:t>
            </w:r>
          </w:p>
        </w:tc>
      </w:tr>
      <w:tr w:rsidR="003D641E" w14:paraId="096669B1" w14:textId="77777777" w:rsidTr="007925A1">
        <w:trPr>
          <w:cnfStyle w:val="000000010000" w:firstRow="0" w:lastRow="0" w:firstColumn="0" w:lastColumn="0" w:oddVBand="0" w:evenVBand="0" w:oddHBand="0" w:evenHBand="1" w:firstRowFirstColumn="0" w:firstRowLastColumn="0" w:lastRowFirstColumn="0" w:lastRowLastColumn="0"/>
          <w:trHeight w:val="300"/>
          <w:jc w:val="center"/>
        </w:trPr>
        <w:tc>
          <w:tcPr>
            <w:tcW w:w="2268" w:type="dxa"/>
            <w:tcBorders>
              <w:top w:val="single" w:sz="4" w:space="0" w:color="auto"/>
              <w:bottom w:val="single" w:sz="4" w:space="0" w:color="auto"/>
            </w:tcBorders>
          </w:tcPr>
          <w:p w14:paraId="1BA035A5" w14:textId="77777777" w:rsidR="00D74559" w:rsidRPr="006540A3" w:rsidRDefault="00D74559" w:rsidP="00687EBF">
            <w:pPr>
              <w:pStyle w:val="TableText"/>
              <w:rPr>
                <w:rFonts w:ascii="Calibri" w:eastAsia="Calibri" w:hAnsi="Calibri" w:cs="Calibri"/>
                <w:bCs/>
              </w:rPr>
            </w:pPr>
            <w:r w:rsidRPr="006540A3">
              <w:t>Referral</w:t>
            </w:r>
          </w:p>
        </w:tc>
        <w:tc>
          <w:tcPr>
            <w:tcW w:w="7797" w:type="dxa"/>
            <w:tcBorders>
              <w:top w:val="single" w:sz="4" w:space="0" w:color="auto"/>
              <w:bottom w:val="single" w:sz="4" w:space="0" w:color="auto"/>
            </w:tcBorders>
          </w:tcPr>
          <w:p w14:paraId="6C36B263" w14:textId="1C94429E" w:rsidR="00D74559" w:rsidRPr="00C84BBC" w:rsidRDefault="00D74559" w:rsidP="007D21CC">
            <w:pPr>
              <w:pStyle w:val="TableList-level1"/>
              <w:rPr>
                <w:rFonts w:eastAsia="Calibri"/>
              </w:rPr>
            </w:pPr>
            <w:r w:rsidRPr="00C84BBC">
              <w:t xml:space="preserve">Must have </w:t>
            </w:r>
            <w:bookmarkStart w:id="11" w:name="_Int_nxKKddzo"/>
            <w:r w:rsidRPr="00C84BBC">
              <w:t>a</w:t>
            </w:r>
            <w:bookmarkEnd w:id="11"/>
            <w:r w:rsidRPr="00C84BBC">
              <w:t xml:space="preserve">n employment service recommendation for the </w:t>
            </w:r>
            <w:r w:rsidR="00F92D0E">
              <w:t>Inclusive Employment Australia</w:t>
            </w:r>
            <w:r w:rsidRPr="00C84BBC">
              <w:t xml:space="preserve"> (or </w:t>
            </w:r>
            <w:r w:rsidR="005C5886">
              <w:t>the</w:t>
            </w:r>
            <w:r w:rsidRPr="00C84BBC">
              <w:t xml:space="preserve"> former </w:t>
            </w:r>
            <w:r w:rsidR="005C5886">
              <w:t>DES program</w:t>
            </w:r>
            <w:r w:rsidRPr="00C84BBC">
              <w:t>) in a Current and Valid ESAt.</w:t>
            </w:r>
          </w:p>
        </w:tc>
      </w:tr>
      <w:tr w:rsidR="00D74559" w14:paraId="0E64A041" w14:textId="77777777" w:rsidTr="007925A1">
        <w:trPr>
          <w:cnfStyle w:val="000000100000" w:firstRow="0" w:lastRow="0" w:firstColumn="0" w:lastColumn="0" w:oddVBand="0" w:evenVBand="0" w:oddHBand="1" w:evenHBand="0" w:firstRowFirstColumn="0" w:firstRowLastColumn="0" w:lastRowFirstColumn="0" w:lastRowLastColumn="0"/>
          <w:trHeight w:val="300"/>
          <w:jc w:val="center"/>
        </w:trPr>
        <w:tc>
          <w:tcPr>
            <w:tcW w:w="2268" w:type="dxa"/>
            <w:tcBorders>
              <w:top w:val="single" w:sz="4" w:space="0" w:color="auto"/>
              <w:bottom w:val="single" w:sz="4" w:space="0" w:color="auto"/>
            </w:tcBorders>
          </w:tcPr>
          <w:p w14:paraId="38F16A2B" w14:textId="77777777" w:rsidR="00D74559" w:rsidRPr="006540A3" w:rsidRDefault="00D74559" w:rsidP="00687EBF">
            <w:pPr>
              <w:pStyle w:val="TableText"/>
              <w:rPr>
                <w:rFonts w:ascii="Calibri" w:eastAsia="Calibri" w:hAnsi="Calibri" w:cs="Calibri"/>
              </w:rPr>
            </w:pPr>
            <w:r w:rsidRPr="006540A3">
              <w:t>Current work</w:t>
            </w:r>
          </w:p>
        </w:tc>
        <w:tc>
          <w:tcPr>
            <w:tcW w:w="7797" w:type="dxa"/>
            <w:tcBorders>
              <w:top w:val="single" w:sz="4" w:space="0" w:color="auto"/>
              <w:bottom w:val="single" w:sz="4" w:space="0" w:color="auto"/>
            </w:tcBorders>
          </w:tcPr>
          <w:p w14:paraId="2082B64F" w14:textId="3725FA4D" w:rsidR="00D74559" w:rsidRDefault="00D74559" w:rsidP="007D21CC">
            <w:pPr>
              <w:pStyle w:val="TableList-level1"/>
              <w:rPr>
                <w:rFonts w:ascii="Calibri" w:eastAsia="Calibri" w:hAnsi="Calibri" w:cs="Calibri"/>
              </w:rPr>
            </w:pPr>
            <w:r>
              <w:t>Must not already be working in Open Employment at or above their Employment Benchmark (based on usual hours of employment or hours over the preceding 13 weeks).</w:t>
            </w:r>
          </w:p>
          <w:p w14:paraId="5198C180" w14:textId="77777777" w:rsidR="00D74559" w:rsidRPr="001951AE" w:rsidRDefault="00D74559" w:rsidP="001951AE">
            <w:pPr>
              <w:pStyle w:val="TableText"/>
            </w:pPr>
            <w:r w:rsidRPr="001951AE">
              <w:rPr>
                <w:b/>
                <w:bCs/>
              </w:rPr>
              <w:t>Note:</w:t>
            </w:r>
            <w:r w:rsidRPr="001951AE">
              <w:t xml:space="preserve"> Supported Employment undertaken by a Participant is not considered as part of current work. </w:t>
            </w:r>
          </w:p>
          <w:p w14:paraId="6C442C4E" w14:textId="79FA6EDE" w:rsidR="00D74559" w:rsidRDefault="00D74559" w:rsidP="001951AE">
            <w:pPr>
              <w:pStyle w:val="TableText"/>
              <w:rPr>
                <w:rFonts w:ascii="Calibri" w:eastAsia="Calibri" w:hAnsi="Calibri" w:cs="Calibri"/>
              </w:rPr>
            </w:pPr>
            <w:r w:rsidRPr="001951AE">
              <w:rPr>
                <w:b/>
                <w:bCs/>
              </w:rPr>
              <w:t>Note:</w:t>
            </w:r>
            <w:r w:rsidRPr="001951AE">
              <w:t xml:space="preserve"> A Participant’s Employment Benchmark is generally set based on their </w:t>
            </w:r>
            <w:r w:rsidR="00B75ED5">
              <w:t>f</w:t>
            </w:r>
            <w:r w:rsidRPr="001951AE">
              <w:t xml:space="preserve">uture </w:t>
            </w:r>
            <w:r w:rsidR="00B75ED5">
              <w:t>w</w:t>
            </w:r>
            <w:r w:rsidR="00B75ED5" w:rsidRPr="001951AE">
              <w:t xml:space="preserve">ork </w:t>
            </w:r>
            <w:r w:rsidR="00B75ED5">
              <w:t>c</w:t>
            </w:r>
            <w:r w:rsidRPr="001951AE">
              <w:t>apacity</w:t>
            </w:r>
            <w:r w:rsidR="00B75ED5">
              <w:t xml:space="preserve"> with intervention</w:t>
            </w:r>
            <w:r w:rsidRPr="001951AE">
              <w:t xml:space="preserve"> as assessed by an ESAt. ESAt/JCA exempt Participants — that is, Early School Leavers and Special Class Client Participants — will have a default Employment Benchmark of 8</w:t>
            </w:r>
            <w:r w:rsidR="00B3660B">
              <w:t xml:space="preserve"> hours</w:t>
            </w:r>
            <w:r w:rsidRPr="001951AE">
              <w:t>.</w:t>
            </w:r>
            <w:r w:rsidR="008D5E8A">
              <w:t xml:space="preserve"> Ongoing Support (Work Assist) Participants do not have an Employment Benchmark.</w:t>
            </w:r>
          </w:p>
        </w:tc>
      </w:tr>
    </w:tbl>
    <w:p w14:paraId="6C73090C" w14:textId="59A026A6" w:rsidR="00D74559" w:rsidRDefault="00D74559" w:rsidP="006E2EF5">
      <w:pPr>
        <w:tabs>
          <w:tab w:val="right" w:pos="1701"/>
        </w:tabs>
      </w:pPr>
      <w:r w:rsidRPr="001B0841">
        <w:rPr>
          <w:b/>
          <w:bCs/>
        </w:rPr>
        <w:t>Note:</w:t>
      </w:r>
      <w:r>
        <w:t xml:space="preserve"> See </w:t>
      </w:r>
      <w:r w:rsidR="0036526F" w:rsidRPr="003F02BF">
        <w:fldChar w:fldCharType="begin"/>
      </w:r>
      <w:r w:rsidR="0036526F" w:rsidRPr="003F02BF">
        <w:instrText xml:space="preserve"> REF _Ref202780812 \h  \* MERGEFORMAT </w:instrText>
      </w:r>
      <w:r w:rsidR="0036526F" w:rsidRPr="003F02BF">
        <w:fldChar w:fldCharType="separate"/>
      </w:r>
      <w:r w:rsidR="000D75AE" w:rsidRPr="362FEA09">
        <w:t>3.6.4</w:t>
      </w:r>
      <w:r w:rsidR="00F62957">
        <w:t xml:space="preserve"> </w:t>
      </w:r>
      <w:r w:rsidR="000D75AE" w:rsidRPr="362FEA09">
        <w:t>Participants resuming their Period of Service after Exit</w:t>
      </w:r>
      <w:r w:rsidR="0036526F" w:rsidRPr="003F02BF">
        <w:fldChar w:fldCharType="end"/>
      </w:r>
      <w:r w:rsidR="0036526F">
        <w:t xml:space="preserve"> </w:t>
      </w:r>
      <w:r>
        <w:t>for arrangements for Participants who Exit and resume their Period of Service within 13 weeks.</w:t>
      </w:r>
    </w:p>
    <w:p w14:paraId="142F037A" w14:textId="725D036C" w:rsidR="00D74559" w:rsidRPr="00AB7F56" w:rsidRDefault="00D74559" w:rsidP="001D0F92">
      <w:pPr>
        <w:pStyle w:val="Heading3"/>
      </w:pPr>
      <w:bookmarkStart w:id="12" w:name="_Ref202777403"/>
      <w:bookmarkStart w:id="13" w:name="_Toc202899868"/>
      <w:r w:rsidRPr="68A5FFF4">
        <w:t>1</w:t>
      </w:r>
      <w:r w:rsidRPr="00AB7F56">
        <w:t>.3</w:t>
      </w:r>
      <w:r w:rsidR="00DA5B96">
        <w:tab/>
      </w:r>
      <w:r>
        <w:t>Special</w:t>
      </w:r>
      <w:r w:rsidRPr="00AB7F56">
        <w:t xml:space="preserve"> eligibility</w:t>
      </w:r>
      <w:r>
        <w:t xml:space="preserve"> criteria</w:t>
      </w:r>
      <w:bookmarkEnd w:id="12"/>
      <w:bookmarkEnd w:id="13"/>
    </w:p>
    <w:p w14:paraId="6AA52B5F" w14:textId="586C8490" w:rsidR="00D74559" w:rsidRDefault="00D74559" w:rsidP="006E2EF5">
      <w:pPr>
        <w:tabs>
          <w:tab w:val="right" w:pos="1701"/>
        </w:tabs>
        <w:rPr>
          <w:rFonts w:ascii="Calibri" w:eastAsia="Calibri" w:hAnsi="Calibri" w:cs="Calibri"/>
          <w:color w:val="000000" w:themeColor="text1"/>
        </w:rPr>
      </w:pPr>
      <w:r>
        <w:t xml:space="preserve">A person may also be eligible to receive </w:t>
      </w:r>
      <w:r w:rsidR="00F92D0E">
        <w:t>Inclusive Employment Australia</w:t>
      </w:r>
      <w:r>
        <w:t xml:space="preserve"> Services if they meet other eligibility conditions that focus on special eligibility cohorts as outlined in this </w:t>
      </w:r>
      <w:r w:rsidR="007A4B96">
        <w:t>S</w:t>
      </w:r>
      <w:r>
        <w:t xml:space="preserve">ection. Where a person meets special eligibility criteria to access </w:t>
      </w:r>
      <w:r w:rsidR="00F92D0E">
        <w:t>Inclusive Employment Australia</w:t>
      </w:r>
      <w:r>
        <w:t>:</w:t>
      </w:r>
    </w:p>
    <w:p w14:paraId="5D7DC35C" w14:textId="52E8EB78" w:rsidR="00D74559" w:rsidRPr="00C73AAE" w:rsidRDefault="00D74559" w:rsidP="004E120D">
      <w:pPr>
        <w:pStyle w:val="BulletLevel1"/>
      </w:pPr>
      <w:r w:rsidRPr="00C73AAE">
        <w:t xml:space="preserve">the person will be Directly Registered by the Provider — refer </w:t>
      </w:r>
      <w:r w:rsidRPr="009C4786">
        <w:t>to</w:t>
      </w:r>
      <w:r w:rsidR="008B7962" w:rsidRPr="009C4786">
        <w:t xml:space="preserve"> </w:t>
      </w:r>
      <w:r w:rsidR="008B7962" w:rsidRPr="009C4786">
        <w:rPr>
          <w:highlight w:val="yellow"/>
        </w:rPr>
        <w:fldChar w:fldCharType="begin"/>
      </w:r>
      <w:r w:rsidR="008B7962" w:rsidRPr="009C4786">
        <w:instrText xml:space="preserve"> REF _Ref202780813 \h </w:instrText>
      </w:r>
      <w:r w:rsidR="009C4786">
        <w:rPr>
          <w:highlight w:val="yellow"/>
        </w:rPr>
        <w:instrText xml:space="preserve"> \* MERGEFORMAT </w:instrText>
      </w:r>
      <w:r w:rsidR="008B7962" w:rsidRPr="009C4786">
        <w:rPr>
          <w:highlight w:val="yellow"/>
        </w:rPr>
      </w:r>
      <w:r w:rsidR="008B7962" w:rsidRPr="009C4786">
        <w:rPr>
          <w:highlight w:val="yellow"/>
        </w:rPr>
        <w:fldChar w:fldCharType="separate"/>
      </w:r>
      <w:r w:rsidR="000D75AE">
        <w:t>1.5</w:t>
      </w:r>
      <w:r w:rsidR="0097189E">
        <w:t xml:space="preserve"> </w:t>
      </w:r>
      <w:r w:rsidR="000D75AE">
        <w:t>Direct Registration of Participants</w:t>
      </w:r>
      <w:r w:rsidR="008B7962" w:rsidRPr="009C4786">
        <w:rPr>
          <w:highlight w:val="yellow"/>
        </w:rPr>
        <w:fldChar w:fldCharType="end"/>
      </w:r>
      <w:r w:rsidRPr="00C73AAE">
        <w:t>, and</w:t>
      </w:r>
    </w:p>
    <w:p w14:paraId="3CBC972F" w14:textId="77777777" w:rsidR="00D74559" w:rsidRPr="00C73AAE" w:rsidRDefault="00D74559" w:rsidP="004E120D">
      <w:pPr>
        <w:pStyle w:val="BulletLevel1"/>
      </w:pPr>
      <w:r w:rsidRPr="00C73AAE">
        <w:t>the Provider must collect Documentary Evidence to show the person’s eligibility.</w:t>
      </w:r>
    </w:p>
    <w:p w14:paraId="2A00BC18" w14:textId="77777777" w:rsidR="00D74559" w:rsidRDefault="00D74559" w:rsidP="00DD1219">
      <w:pPr>
        <w:tabs>
          <w:tab w:val="right" w:pos="1701"/>
        </w:tabs>
        <w:rPr>
          <w:rFonts w:ascii="Calibri" w:eastAsia="Calibri" w:hAnsi="Calibri" w:cs="Calibri"/>
          <w:color w:val="000000" w:themeColor="text1"/>
        </w:rPr>
      </w:pPr>
      <w:r>
        <w:t>Special eligibility criteria described below include:</w:t>
      </w:r>
    </w:p>
    <w:p w14:paraId="793CAC46" w14:textId="534BBCDB" w:rsidR="00D74559" w:rsidRPr="00C73AAE" w:rsidRDefault="00D74559" w:rsidP="004E120D">
      <w:pPr>
        <w:pStyle w:val="BulletLevel1"/>
      </w:pPr>
      <w:r w:rsidRPr="00C73AAE">
        <w:t xml:space="preserve">changes to general eligibility </w:t>
      </w:r>
      <w:r w:rsidR="00894DF6">
        <w:t>criteria</w:t>
      </w:r>
      <w:r w:rsidRPr="00C73AAE">
        <w:t xml:space="preserve"> for that special eligibility group, and/or</w:t>
      </w:r>
    </w:p>
    <w:p w14:paraId="27A9E52E" w14:textId="205B5504" w:rsidR="00D74559" w:rsidRPr="00C73AAE" w:rsidRDefault="00D74559" w:rsidP="004E120D">
      <w:pPr>
        <w:pStyle w:val="BulletLevel1"/>
      </w:pPr>
      <w:r w:rsidRPr="00C73AAE">
        <w:t xml:space="preserve">additional eligibility </w:t>
      </w:r>
      <w:r w:rsidR="00734A9A">
        <w:t>requirements</w:t>
      </w:r>
      <w:r w:rsidRPr="00C73AAE">
        <w:t xml:space="preserve"> related to that special eligibility group.</w:t>
      </w:r>
    </w:p>
    <w:p w14:paraId="3BC9D0FB" w14:textId="3D321DF7" w:rsidR="00D74559" w:rsidRDefault="00D74559" w:rsidP="001D0F92">
      <w:pPr>
        <w:pStyle w:val="Heading4"/>
        <w:rPr>
          <w:rFonts w:ascii="Calibri" w:eastAsia="Calibri" w:hAnsi="Calibri" w:cs="Calibri"/>
        </w:rPr>
      </w:pPr>
      <w:bookmarkStart w:id="14" w:name="_Ref202783226"/>
      <w:bookmarkStart w:id="15" w:name="_Toc202899869"/>
      <w:r>
        <w:t>1.3.1</w:t>
      </w:r>
      <w:r w:rsidR="00E1472F">
        <w:tab/>
      </w:r>
      <w:r w:rsidRPr="68A5FFF4">
        <w:t>Eligible School Leavers</w:t>
      </w:r>
      <w:bookmarkEnd w:id="14"/>
      <w:bookmarkEnd w:id="15"/>
    </w:p>
    <w:p w14:paraId="4862FAA9" w14:textId="28F7511B" w:rsidR="00D74559" w:rsidRDefault="00D74559" w:rsidP="006E2EF5">
      <w:pPr>
        <w:tabs>
          <w:tab w:val="right" w:pos="1701"/>
        </w:tabs>
      </w:pPr>
      <w:r w:rsidRPr="6B20C011">
        <w:t xml:space="preserve">Eligible School Leaver (ESL) eligibility helps people with who are seeking to transition from study to post-school </w:t>
      </w:r>
      <w:r w:rsidR="00A95125">
        <w:t>O</w:t>
      </w:r>
      <w:r w:rsidRPr="6B20C011">
        <w:t xml:space="preserve">pen </w:t>
      </w:r>
      <w:r w:rsidR="00A95125">
        <w:t>E</w:t>
      </w:r>
      <w:r w:rsidRPr="6B20C011">
        <w:t>mployment</w:t>
      </w:r>
      <w:r w:rsidR="004221B2">
        <w:t xml:space="preserve"> </w:t>
      </w:r>
      <w:r w:rsidR="004221B2" w:rsidRPr="004221B2">
        <w:t xml:space="preserve">and require </w:t>
      </w:r>
      <w:r w:rsidR="004221B2" w:rsidRPr="004221B2" w:rsidDel="2BDD726E">
        <w:t>s</w:t>
      </w:r>
      <w:r w:rsidR="004221B2" w:rsidRPr="004221B2">
        <w:t>upport in Employment</w:t>
      </w:r>
      <w:r w:rsidRPr="6B20C011">
        <w:t>.</w:t>
      </w:r>
    </w:p>
    <w:p w14:paraId="1836F831" w14:textId="1A69CEE8" w:rsidR="00D74559" w:rsidRDefault="00D74559" w:rsidP="006E2EF5">
      <w:r w:rsidRPr="000D232F">
        <w:t xml:space="preserve">On Commencement, an </w:t>
      </w:r>
      <w:r>
        <w:t>ESL</w:t>
      </w:r>
      <w:r w:rsidRPr="000D232F">
        <w:t xml:space="preserve"> Participant will be assigned an Employment Benchmark of 8</w:t>
      </w:r>
      <w:r w:rsidR="00F46100">
        <w:t xml:space="preserve"> hours</w:t>
      </w:r>
      <w:r w:rsidRPr="000D232F">
        <w:t>.</w:t>
      </w:r>
    </w:p>
    <w:p w14:paraId="0FDC3EA1" w14:textId="77777777" w:rsidR="00D74559" w:rsidRPr="00B84B59" w:rsidRDefault="00D74559" w:rsidP="007C6963">
      <w:pPr>
        <w:pStyle w:val="DocumentaryEvidenceRequirement"/>
        <w:ind w:left="643"/>
      </w:pPr>
      <w:r w:rsidRPr="00B84B59">
        <w:t>Providers must keep a copy of the Direct Registration Form that includes information to show the Participant’s eligibility as an ESL Participant, and other evidence of a person’s eligibility as an ESL Participant.</w:t>
      </w:r>
    </w:p>
    <w:p w14:paraId="0F5B5D44" w14:textId="77777777" w:rsidR="00D74559" w:rsidRDefault="00D74559" w:rsidP="006F727E">
      <w:pPr>
        <w:pStyle w:val="SystemStep"/>
      </w:pPr>
      <w:r w:rsidRPr="6B20C011">
        <w:t xml:space="preserve">Providers must Directly Register an ESL Participant on the Department’s IT Systems using the Special Placement Flag for ‘Eligible School Leaver’. </w:t>
      </w:r>
    </w:p>
    <w:p w14:paraId="3F15A4B6" w14:textId="77777777" w:rsidR="00D74559" w:rsidRDefault="00D74559" w:rsidP="006E2EF5">
      <w:pPr>
        <w:tabs>
          <w:tab w:val="right" w:pos="1701"/>
        </w:tabs>
      </w:pPr>
      <w:r w:rsidRPr="77B5DA42">
        <w:rPr>
          <w:b/>
          <w:bCs/>
        </w:rPr>
        <w:t>Note:</w:t>
      </w:r>
      <w:r>
        <w:t xml:space="preserve"> The other evidence needed to show a person’s eligibility as an ESL Participant will depend on their individual circumstances as outlined below.</w:t>
      </w:r>
    </w:p>
    <w:p w14:paraId="3C5CBDFF" w14:textId="64EC3DCD" w:rsidR="00D74559" w:rsidRDefault="00D74559" w:rsidP="006E2EF5">
      <w:pPr>
        <w:pStyle w:val="DeedReferences"/>
      </w:pPr>
      <w:r w:rsidRPr="004B3ACD">
        <w:t>(</w:t>
      </w:r>
      <w:r w:rsidR="00A73420">
        <w:t xml:space="preserve">Deed Reference(s): Clause </w:t>
      </w:r>
      <w:r>
        <w:t>10</w:t>
      </w:r>
      <w:r w:rsidR="00BB6865">
        <w:t>8</w:t>
      </w:r>
      <w:r w:rsidRPr="004B3ACD">
        <w:t>.</w:t>
      </w:r>
      <w:r>
        <w:t>3</w:t>
      </w:r>
      <w:r w:rsidRPr="004B3ACD">
        <w:t>)</w:t>
      </w:r>
    </w:p>
    <w:p w14:paraId="4CF1BE58" w14:textId="461F1068" w:rsidR="00D74559" w:rsidRDefault="00D74559" w:rsidP="006E2EF5">
      <w:pPr>
        <w:pStyle w:val="TableChartHeading"/>
      </w:pPr>
      <w:r>
        <w:t xml:space="preserve">ESL </w:t>
      </w:r>
      <w:r w:rsidR="00846BE3">
        <w:t xml:space="preserve">Participant </w:t>
      </w:r>
      <w:r>
        <w:t>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2"/>
      </w:tblGrid>
      <w:tr w:rsidR="003D641E" w14:paraId="1DBB8851" w14:textId="77777777" w:rsidTr="007925A1">
        <w:trPr>
          <w:cnfStyle w:val="100000000000" w:firstRow="1" w:lastRow="0" w:firstColumn="0" w:lastColumn="0" w:oddVBand="0" w:evenVBand="0" w:oddHBand="0" w:evenHBand="0" w:firstRowFirstColumn="0" w:firstRowLastColumn="0" w:lastRowFirstColumn="0" w:lastRowLastColumn="0"/>
          <w:trHeight w:val="300"/>
          <w:jc w:val="center"/>
        </w:trPr>
        <w:tc>
          <w:tcPr>
            <w:tcW w:w="5032" w:type="dxa"/>
            <w:tcBorders>
              <w:bottom w:val="single" w:sz="4" w:space="0" w:color="auto"/>
            </w:tcBorders>
          </w:tcPr>
          <w:p w14:paraId="71202695" w14:textId="31B3ED4E" w:rsidR="00D74559" w:rsidRDefault="00D74559" w:rsidP="00275975">
            <w:pPr>
              <w:pStyle w:val="TableText"/>
              <w:rPr>
                <w:rFonts w:ascii="Calibri" w:eastAsia="Calibri" w:hAnsi="Calibri" w:cs="Calibri"/>
                <w:szCs w:val="22"/>
              </w:rPr>
            </w:pPr>
            <w:r>
              <w:t xml:space="preserve">Variations to general eligibility </w:t>
            </w:r>
            <w:r w:rsidR="00F54E2C">
              <w:t>criteria</w:t>
            </w:r>
          </w:p>
        </w:tc>
        <w:tc>
          <w:tcPr>
            <w:tcW w:w="5032" w:type="dxa"/>
            <w:tcBorders>
              <w:bottom w:val="single" w:sz="4" w:space="0" w:color="auto"/>
            </w:tcBorders>
          </w:tcPr>
          <w:p w14:paraId="7975228E" w14:textId="195B728D" w:rsidR="00D74559" w:rsidRDefault="00D74559" w:rsidP="00275975">
            <w:pPr>
              <w:pStyle w:val="TableText"/>
              <w:rPr>
                <w:rFonts w:ascii="Calibri" w:eastAsia="Calibri" w:hAnsi="Calibri" w:cs="Calibri"/>
                <w:b w:val="0"/>
              </w:rPr>
            </w:pPr>
            <w:r w:rsidRPr="6B20C011">
              <w:t xml:space="preserve">Additional eligibility </w:t>
            </w:r>
            <w:r w:rsidR="00593018">
              <w:t>requirements</w:t>
            </w:r>
          </w:p>
        </w:tc>
      </w:tr>
      <w:tr w:rsidR="00D74559" w14:paraId="1A3AE0B1" w14:textId="77777777" w:rsidTr="007925A1">
        <w:trPr>
          <w:cnfStyle w:val="000000100000" w:firstRow="0" w:lastRow="0" w:firstColumn="0" w:lastColumn="0" w:oddVBand="0" w:evenVBand="0" w:oddHBand="1" w:evenHBand="0" w:firstRowFirstColumn="0" w:firstRowLastColumn="0" w:lastRowFirstColumn="0" w:lastRowLastColumn="0"/>
          <w:trHeight w:val="300"/>
          <w:jc w:val="center"/>
        </w:trPr>
        <w:tc>
          <w:tcPr>
            <w:tcW w:w="5032" w:type="dxa"/>
            <w:tcBorders>
              <w:bottom w:val="single" w:sz="4" w:space="0" w:color="auto"/>
            </w:tcBorders>
          </w:tcPr>
          <w:p w14:paraId="3E69401A" w14:textId="77777777" w:rsidR="00D74559" w:rsidRDefault="00D74559" w:rsidP="00275975">
            <w:pPr>
              <w:pStyle w:val="TableText"/>
            </w:pPr>
            <w:r w:rsidRPr="6B20C011">
              <w:t>Disability, injury or health condition:</w:t>
            </w:r>
          </w:p>
          <w:p w14:paraId="66CCF385" w14:textId="314A1E1B" w:rsidR="00D74559" w:rsidRPr="00C73AAE" w:rsidRDefault="00D74559" w:rsidP="007D21CC">
            <w:pPr>
              <w:pStyle w:val="TableList-level1"/>
            </w:pPr>
            <w:r w:rsidRPr="00C73AAE">
              <w:t xml:space="preserve">The </w:t>
            </w:r>
            <w:r w:rsidRPr="00E35471">
              <w:t>Provider must confirm the person</w:t>
            </w:r>
            <w:r w:rsidR="00223F76" w:rsidRPr="00E35471">
              <w:t>’s</w:t>
            </w:r>
            <w:r w:rsidRPr="00E35471">
              <w:t xml:space="preserve"> disability</w:t>
            </w:r>
            <w:r w:rsidR="00223F76" w:rsidRPr="00E35471">
              <w:t xml:space="preserve"> has a </w:t>
            </w:r>
            <w:r w:rsidR="00BF339F" w:rsidRPr="00E35471">
              <w:t>major impact on the</w:t>
            </w:r>
            <w:r w:rsidR="00F1358B" w:rsidRPr="00E35471">
              <w:t>ir ability to find and maintain Employment</w:t>
            </w:r>
            <w:r w:rsidRPr="00E35471">
              <w:t>.</w:t>
            </w:r>
          </w:p>
          <w:p w14:paraId="5FA7197E" w14:textId="16CB3FC1" w:rsidR="00D74559" w:rsidRDefault="00D74559" w:rsidP="00275975">
            <w:pPr>
              <w:pStyle w:val="TableText"/>
            </w:pPr>
            <w:r w:rsidRPr="6B20C011">
              <w:t xml:space="preserve">Work </w:t>
            </w:r>
            <w:bookmarkStart w:id="16" w:name="_Int_KuNgRo11"/>
            <w:r w:rsidRPr="6B20C011">
              <w:t>capacity</w:t>
            </w:r>
            <w:bookmarkEnd w:id="16"/>
            <w:r w:rsidRPr="6B20C011">
              <w:t>:</w:t>
            </w:r>
          </w:p>
          <w:p w14:paraId="2889F15C" w14:textId="77777777" w:rsidR="00D74559" w:rsidRDefault="00D74559" w:rsidP="007D21CC">
            <w:pPr>
              <w:pStyle w:val="TableList-level1"/>
            </w:pPr>
            <w:r w:rsidRPr="6B20C011">
              <w:t xml:space="preserve">The person does not require a work </w:t>
            </w:r>
            <w:bookmarkStart w:id="17" w:name="_Int_0g9bZ56W"/>
            <w:r w:rsidRPr="6B20C011">
              <w:t>capacity</w:t>
            </w:r>
            <w:bookmarkEnd w:id="17"/>
            <w:r w:rsidRPr="6B20C011">
              <w:t xml:space="preserve"> assessment (i.e. they are ESAt exempt). </w:t>
            </w:r>
          </w:p>
          <w:p w14:paraId="4EFD1031" w14:textId="0E59873D" w:rsidR="00D74559" w:rsidRDefault="00D74559" w:rsidP="00275975">
            <w:pPr>
              <w:pStyle w:val="TableText"/>
            </w:pPr>
            <w:r>
              <w:t>Age:</w:t>
            </w:r>
          </w:p>
          <w:p w14:paraId="5D63035D" w14:textId="77777777" w:rsidR="00D74559" w:rsidRPr="00D87FA0" w:rsidRDefault="00D74559" w:rsidP="007D21CC">
            <w:pPr>
              <w:pStyle w:val="TableList-level1"/>
            </w:pPr>
            <w:r>
              <w:t>T</w:t>
            </w:r>
            <w:r w:rsidRPr="00DE54C4">
              <w:t>he person must be under 22 years</w:t>
            </w:r>
            <w:r>
              <w:t xml:space="preserve"> of age.</w:t>
            </w:r>
          </w:p>
          <w:p w14:paraId="3A84DF47" w14:textId="27C6C070" w:rsidR="00D74559" w:rsidRDefault="00D74559" w:rsidP="00275975">
            <w:pPr>
              <w:pStyle w:val="TableText"/>
            </w:pPr>
            <w:r>
              <w:t>Referral:</w:t>
            </w:r>
          </w:p>
          <w:p w14:paraId="16766E21" w14:textId="77777777" w:rsidR="00D74559" w:rsidRPr="00504688" w:rsidRDefault="00D74559" w:rsidP="007D21CC">
            <w:pPr>
              <w:pStyle w:val="TableList-level1"/>
            </w:pPr>
            <w:r w:rsidRPr="6B20C011">
              <w:t>The person does not need an employment service referral</w:t>
            </w:r>
            <w:r>
              <w:t xml:space="preserve"> (i.e. they are ESAt-exempt)</w:t>
            </w:r>
            <w:r w:rsidRPr="6B20C011">
              <w:t>.</w:t>
            </w:r>
          </w:p>
        </w:tc>
        <w:tc>
          <w:tcPr>
            <w:tcW w:w="5032" w:type="dxa"/>
            <w:tcBorders>
              <w:bottom w:val="single" w:sz="4" w:space="0" w:color="auto"/>
            </w:tcBorders>
          </w:tcPr>
          <w:p w14:paraId="586B9877" w14:textId="069E4588" w:rsidR="00D74559" w:rsidRPr="00D87FA0" w:rsidRDefault="00D74559" w:rsidP="007D21CC">
            <w:pPr>
              <w:pStyle w:val="TableList-level1"/>
              <w:rPr>
                <w:rFonts w:ascii="Calibri" w:eastAsia="Calibri" w:hAnsi="Calibri" w:cs="Calibri"/>
              </w:rPr>
            </w:pPr>
            <w:r w:rsidRPr="6B20C011">
              <w:t xml:space="preserve">Must be seeking to transition to </w:t>
            </w:r>
            <w:r w:rsidR="0055546F">
              <w:t>O</w:t>
            </w:r>
            <w:r w:rsidRPr="6B20C011">
              <w:t xml:space="preserve">pen </w:t>
            </w:r>
            <w:r w:rsidR="0055546F">
              <w:t>E</w:t>
            </w:r>
            <w:r w:rsidRPr="6B20C011">
              <w:t>mployment and be eligible as an ESL</w:t>
            </w:r>
            <w:r w:rsidR="00846BE3">
              <w:t xml:space="preserve"> Participant</w:t>
            </w:r>
            <w:r w:rsidRPr="6B20C011">
              <w:t>, due to:</w:t>
            </w:r>
          </w:p>
          <w:p w14:paraId="32C4FB14" w14:textId="78CD8F97" w:rsidR="00D74559" w:rsidRPr="008959A1" w:rsidRDefault="00D74559" w:rsidP="008959A1">
            <w:pPr>
              <w:pStyle w:val="TableList-level2"/>
            </w:pPr>
            <w:r w:rsidRPr="00275975">
              <w:t xml:space="preserve">studying full-time in their final year of </w:t>
            </w:r>
            <w:r w:rsidRPr="008959A1">
              <w:t>secondary school</w:t>
            </w:r>
          </w:p>
          <w:p w14:paraId="49E0ECAE" w14:textId="505EE667" w:rsidR="00D74559" w:rsidRPr="008959A1" w:rsidRDefault="00D74559" w:rsidP="008959A1">
            <w:pPr>
              <w:pStyle w:val="TableList-level2"/>
            </w:pPr>
            <w:r w:rsidRPr="008959A1">
              <w:t>participating in or intending to participate in an Australian School</w:t>
            </w:r>
            <w:r w:rsidR="00BE4CB9">
              <w:t>-b</w:t>
            </w:r>
            <w:r w:rsidRPr="008959A1">
              <w:t>ased Apprenticeship that forms part of their secondary school curriculum</w:t>
            </w:r>
          </w:p>
          <w:p w14:paraId="54E4B4D0" w14:textId="609B1FAF" w:rsidR="00D74559" w:rsidRPr="008959A1" w:rsidRDefault="00D74559" w:rsidP="008959A1">
            <w:pPr>
              <w:pStyle w:val="TableList-level2"/>
            </w:pPr>
            <w:r w:rsidRPr="008959A1">
              <w:t xml:space="preserve">exiting an eligible </w:t>
            </w:r>
            <w:r w:rsidR="008959A1" w:rsidRPr="008959A1">
              <w:t>S</w:t>
            </w:r>
            <w:r w:rsidRPr="008959A1">
              <w:t>tate</w:t>
            </w:r>
            <w:r w:rsidR="008959A1" w:rsidRPr="008959A1">
              <w:t xml:space="preserve"> or T</w:t>
            </w:r>
            <w:r w:rsidRPr="008959A1">
              <w:t xml:space="preserve">erritory </w:t>
            </w:r>
            <w:r w:rsidR="008959A1" w:rsidRPr="008959A1">
              <w:t>G</w:t>
            </w:r>
            <w:r w:rsidRPr="008959A1">
              <w:t>overnment post-school employment or work transition program</w:t>
            </w:r>
            <w:r w:rsidR="00BC357C">
              <w:t>, or</w:t>
            </w:r>
          </w:p>
          <w:p w14:paraId="64F97517" w14:textId="77777777" w:rsidR="00D74559" w:rsidRPr="00275975" w:rsidRDefault="00D74559" w:rsidP="008959A1">
            <w:pPr>
              <w:pStyle w:val="TableList-level2"/>
              <w:rPr>
                <w:rFonts w:eastAsia="Tahoma"/>
              </w:rPr>
            </w:pPr>
            <w:r w:rsidRPr="008959A1">
              <w:t>p</w:t>
            </w:r>
            <w:r w:rsidRPr="008959A1">
              <w:rPr>
                <w:rFonts w:eastAsia="Tahoma"/>
              </w:rPr>
              <w:t>articipating</w:t>
            </w:r>
            <w:r w:rsidRPr="00E042B8">
              <w:rPr>
                <w:rFonts w:eastAsia="Tahoma"/>
              </w:rPr>
              <w:t xml:space="preserve"> </w:t>
            </w:r>
            <w:r w:rsidRPr="00275975">
              <w:rPr>
                <w:rFonts w:eastAsia="Tahoma"/>
              </w:rPr>
              <w:t>in or have recently completed NDIS-funded employment assistance.</w:t>
            </w:r>
          </w:p>
          <w:p w14:paraId="510DD1EA" w14:textId="5CC0901A" w:rsidR="00D74559" w:rsidRPr="00BA1EED" w:rsidRDefault="00D74559" w:rsidP="007D21CC">
            <w:pPr>
              <w:pStyle w:val="TableList-level1"/>
              <w:rPr>
                <w:rFonts w:ascii="Calibri" w:eastAsia="Calibri" w:hAnsi="Calibri" w:cs="Calibri"/>
              </w:rPr>
            </w:pPr>
            <w:r w:rsidRPr="00D87FA0">
              <w:t xml:space="preserve">Must need help </w:t>
            </w:r>
            <w:r w:rsidR="008B428E">
              <w:t>finding or maintain Open</w:t>
            </w:r>
            <w:r w:rsidRPr="00D87FA0">
              <w:t xml:space="preserve"> </w:t>
            </w:r>
            <w:r w:rsidR="5BF13978">
              <w:t>E</w:t>
            </w:r>
            <w:r>
              <w:t>mployment.</w:t>
            </w:r>
          </w:p>
        </w:tc>
      </w:tr>
    </w:tbl>
    <w:p w14:paraId="5FCAA23E" w14:textId="5956F5EC" w:rsidR="00D74559" w:rsidRDefault="00D74559" w:rsidP="006E2EF5">
      <w:pPr>
        <w:tabs>
          <w:tab w:val="right" w:pos="1701"/>
        </w:tabs>
      </w:pPr>
      <w:r w:rsidRPr="005D17A7">
        <w:rPr>
          <w:b/>
          <w:bCs/>
        </w:rPr>
        <w:t>Note:</w:t>
      </w:r>
      <w:r>
        <w:t xml:space="preserve"> Refer to the </w:t>
      </w:r>
      <w:r w:rsidR="00A561F2" w:rsidRPr="00A561F2">
        <w:rPr>
          <w:rStyle w:val="Hyperlink"/>
        </w:rPr>
        <w:t>State and Territory School Disability Funding Arrangements</w:t>
      </w:r>
      <w:r w:rsidR="00A561F2">
        <w:rPr>
          <w:rStyle w:val="Hyperlink"/>
        </w:rPr>
        <w:t xml:space="preserve"> [LINK]</w:t>
      </w:r>
      <w:r w:rsidR="00A561F2">
        <w:t xml:space="preserve"> </w:t>
      </w:r>
      <w:r>
        <w:t xml:space="preserve">supporting document on the Provider Portal for information on eligible </w:t>
      </w:r>
      <w:r w:rsidR="001D1D64">
        <w:t>S</w:t>
      </w:r>
      <w:r>
        <w:t>tate</w:t>
      </w:r>
      <w:r w:rsidR="001D1D64">
        <w:t xml:space="preserve"> and T</w:t>
      </w:r>
      <w:r>
        <w:t xml:space="preserve">erritory </w:t>
      </w:r>
      <w:r w:rsidR="001D1D64">
        <w:t>G</w:t>
      </w:r>
      <w:r>
        <w:t>overnment post-school employment and transition to work programs.</w:t>
      </w:r>
    </w:p>
    <w:p w14:paraId="7BBF0A59" w14:textId="2F858EDF" w:rsidR="00D74559" w:rsidRPr="00493638" w:rsidRDefault="00D74559" w:rsidP="006D1645">
      <w:pPr>
        <w:pStyle w:val="Heading5"/>
      </w:pPr>
      <w:r w:rsidRPr="00493638">
        <w:t xml:space="preserve">Single </w:t>
      </w:r>
      <w:r w:rsidR="00AA1489">
        <w:t>P</w:t>
      </w:r>
      <w:r w:rsidRPr="00493638">
        <w:t xml:space="preserve">eriod of </w:t>
      </w:r>
      <w:r w:rsidR="00AA1489">
        <w:t>S</w:t>
      </w:r>
      <w:r w:rsidRPr="00493638">
        <w:t>ervice</w:t>
      </w:r>
    </w:p>
    <w:p w14:paraId="6AFCF2C3" w14:textId="59C56F6F" w:rsidR="00D74559" w:rsidRDefault="00D74559" w:rsidP="006E2EF5">
      <w:r w:rsidRPr="6B20C011">
        <w:t xml:space="preserve">ESL Participants are restricted to a single </w:t>
      </w:r>
      <w:r w:rsidR="00215D78">
        <w:t>P</w:t>
      </w:r>
      <w:r w:rsidRPr="6B20C011">
        <w:t xml:space="preserve">eriod of </w:t>
      </w:r>
      <w:r w:rsidR="00215D78">
        <w:t>S</w:t>
      </w:r>
      <w:r w:rsidRPr="6B20C011">
        <w:t xml:space="preserve">ervice in </w:t>
      </w:r>
      <w:r w:rsidR="00F92D0E">
        <w:t>Inclusive Employment Australia</w:t>
      </w:r>
      <w:r w:rsidRPr="6B20C011">
        <w:t xml:space="preserve">. Once an ESL Participant has Exited </w:t>
      </w:r>
      <w:r w:rsidR="00F92D0E">
        <w:t>Inclusive Employment Australia</w:t>
      </w:r>
      <w:r w:rsidRPr="6B20C011">
        <w:t xml:space="preserve">, they are no longer eligible to access </w:t>
      </w:r>
      <w:r w:rsidR="00F92D0E">
        <w:t>Inclusive Employment Australia</w:t>
      </w:r>
      <w:r>
        <w:t xml:space="preserve"> </w:t>
      </w:r>
      <w:r w:rsidRPr="6B20C011">
        <w:t xml:space="preserve">through </w:t>
      </w:r>
      <w:r w:rsidR="00D125F2">
        <w:t>this ESAt-exempt</w:t>
      </w:r>
      <w:r w:rsidRPr="6B20C011">
        <w:t xml:space="preserve"> pathway and must have an ESAt that is both Current and Valid to confirm their eligibility.</w:t>
      </w:r>
    </w:p>
    <w:p w14:paraId="04FA1B8E" w14:textId="24271B99" w:rsidR="00D74559" w:rsidRPr="00673146" w:rsidRDefault="00492E18" w:rsidP="006D1645">
      <w:pPr>
        <w:pStyle w:val="Heading5"/>
      </w:pPr>
      <w:r>
        <w:t>Major barriers to Employment</w:t>
      </w:r>
    </w:p>
    <w:p w14:paraId="32CFB251" w14:textId="238B6409" w:rsidR="00D74559" w:rsidDel="00504688" w:rsidRDefault="00560DE4" w:rsidP="006E2EF5">
      <w:r>
        <w:t xml:space="preserve">Access </w:t>
      </w:r>
      <w:r w:rsidR="00302CFC">
        <w:t>as an ESL Participant</w:t>
      </w:r>
      <w:r>
        <w:t xml:space="preserve"> </w:t>
      </w:r>
      <w:r w:rsidR="00D74559" w:rsidDel="00504688">
        <w:t xml:space="preserve">is restricted to students with </w:t>
      </w:r>
      <w:r w:rsidR="2BDD726E">
        <w:t xml:space="preserve">major barriers to </w:t>
      </w:r>
      <w:r w:rsidR="00D74559">
        <w:t>e</w:t>
      </w:r>
      <w:r w:rsidR="2BDD726E">
        <w:t xml:space="preserve">mployment </w:t>
      </w:r>
      <w:r w:rsidR="00B155CF">
        <w:t>as a result of their disability. This</w:t>
      </w:r>
      <w:r w:rsidR="006717B8">
        <w:t xml:space="preserve"> includ</w:t>
      </w:r>
      <w:r w:rsidR="00B155CF">
        <w:t>es</w:t>
      </w:r>
      <w:r w:rsidR="2BDD726E">
        <w:t xml:space="preserve"> those with severe physical or mental impairment that limits their functional </w:t>
      </w:r>
      <w:bookmarkStart w:id="18" w:name="_Int_bSCb7v02"/>
      <w:r w:rsidR="2BDD726E">
        <w:t>capacity</w:t>
      </w:r>
      <w:bookmarkEnd w:id="18"/>
      <w:r w:rsidR="2BDD726E">
        <w:t xml:space="preserve"> relating to mobility, communication, self-care, self-direction, interpersonal skills,</w:t>
      </w:r>
      <w:r w:rsidR="2BDD726E" w:rsidDel="00D94691">
        <w:t xml:space="preserve"> </w:t>
      </w:r>
      <w:r w:rsidR="2BDD726E">
        <w:t xml:space="preserve">work tolerance and work skills. </w:t>
      </w:r>
    </w:p>
    <w:p w14:paraId="64F8986D" w14:textId="7630F7C9" w:rsidR="00D74559" w:rsidRDefault="00726C3F" w:rsidP="006E2EF5">
      <w:r>
        <w:t>This</w:t>
      </w:r>
      <w:r w:rsidR="00D74559" w:rsidRPr="6B20C011">
        <w:t xml:space="preserve"> is evidenced by additional education funding needed as part of a person’s secondary schooling or receiving DSP.</w:t>
      </w:r>
    </w:p>
    <w:p w14:paraId="2FFC86FC" w14:textId="77777777" w:rsidR="00D74559" w:rsidRPr="00B84B59" w:rsidRDefault="00D74559" w:rsidP="008B7962">
      <w:pPr>
        <w:pStyle w:val="DocumentaryEvidenceRequirement"/>
        <w:keepNext/>
      </w:pPr>
      <w:r w:rsidRPr="00B84B59">
        <w:t>Providers must keep Documentary Evidence related to the person’s additional education funding needs. This includes:</w:t>
      </w:r>
    </w:p>
    <w:p w14:paraId="78BA5B73" w14:textId="4BBD3129" w:rsidR="00C73AAE" w:rsidRDefault="001746A5" w:rsidP="004E120D">
      <w:pPr>
        <w:pStyle w:val="BulletLevel2"/>
      </w:pPr>
      <w:r>
        <w:t>A</w:t>
      </w:r>
      <w:r w:rsidR="00D74559">
        <w:t xml:space="preserve"> statement from student’s school (or former school) that clearly:</w:t>
      </w:r>
    </w:p>
    <w:p w14:paraId="11BB97C9" w14:textId="4D52B36E" w:rsidR="00D74559" w:rsidRPr="00C73AAE" w:rsidRDefault="00D74559" w:rsidP="00A63421">
      <w:pPr>
        <w:pStyle w:val="BulletLevel3"/>
      </w:pPr>
      <w:r w:rsidRPr="00C73AAE">
        <w:t>names the student</w:t>
      </w:r>
    </w:p>
    <w:p w14:paraId="64BAA626" w14:textId="77777777" w:rsidR="00D74559" w:rsidRPr="009519F0" w:rsidRDefault="00D74559" w:rsidP="00A63421">
      <w:pPr>
        <w:pStyle w:val="BulletLevel3"/>
      </w:pPr>
      <w:r w:rsidRPr="009519F0">
        <w:t>states the student’s identified disability</w:t>
      </w:r>
      <w:r>
        <w:t>, and</w:t>
      </w:r>
    </w:p>
    <w:p w14:paraId="7953781A" w14:textId="77777777" w:rsidR="00A86D30" w:rsidRDefault="00D74559" w:rsidP="00A63421">
      <w:pPr>
        <w:pStyle w:val="BulletLevel3"/>
      </w:pPr>
      <w:r w:rsidRPr="009519F0">
        <w:t>states that due to their disability the student is attending (or previously attended, for secondary students at a TAFE or similar institution):</w:t>
      </w:r>
    </w:p>
    <w:p w14:paraId="7449FF4D" w14:textId="576C85BD" w:rsidR="00D74559" w:rsidRPr="00016975" w:rsidRDefault="00D74559" w:rsidP="00036F9D">
      <w:pPr>
        <w:pStyle w:val="BulletLevel4"/>
      </w:pPr>
      <w:r w:rsidRPr="00A86D30">
        <w:t xml:space="preserve">a mainstream class at a mainstream school, and names the program providing disability funding </w:t>
      </w:r>
      <w:r w:rsidRPr="00016975">
        <w:t>to the school for the student</w:t>
      </w:r>
    </w:p>
    <w:p w14:paraId="55D42335" w14:textId="77777777" w:rsidR="00D74559" w:rsidRPr="00016975" w:rsidRDefault="00D74559" w:rsidP="00036F9D">
      <w:pPr>
        <w:pStyle w:val="BulletLevel4"/>
      </w:pPr>
      <w:r w:rsidRPr="00016975">
        <w:t>a disability special class in a mainstream school</w:t>
      </w:r>
    </w:p>
    <w:p w14:paraId="46579A5F" w14:textId="77777777" w:rsidR="00D74559" w:rsidRPr="00016975" w:rsidRDefault="00D74559" w:rsidP="00036F9D">
      <w:pPr>
        <w:pStyle w:val="BulletLevel4"/>
      </w:pPr>
      <w:r w:rsidRPr="00016975">
        <w:t>a disability special school, or</w:t>
      </w:r>
    </w:p>
    <w:p w14:paraId="29C9FA7E" w14:textId="5AFFE0D1" w:rsidR="00D74559" w:rsidRPr="00D57154" w:rsidRDefault="00D74559" w:rsidP="00036F9D">
      <w:pPr>
        <w:pStyle w:val="BulletLevel4"/>
      </w:pPr>
      <w:r w:rsidRPr="00016975">
        <w:t xml:space="preserve">a mainstream class </w:t>
      </w:r>
      <w:r w:rsidRPr="009519F0">
        <w:t>at a mainstream school, for students who are DSP</w:t>
      </w:r>
      <w:r>
        <w:t xml:space="preserve"> participants</w:t>
      </w:r>
      <w:r w:rsidR="00963773">
        <w:t>.</w:t>
      </w:r>
    </w:p>
    <w:p w14:paraId="449B6E4B" w14:textId="77777777" w:rsidR="00D74559" w:rsidRPr="00FF753D" w:rsidRDefault="00D74559" w:rsidP="004E120D">
      <w:pPr>
        <w:pStyle w:val="BulletLevel2"/>
      </w:pPr>
      <w:r>
        <w:t>If the Participant is a DSP recipient in a mainstream class, either a:</w:t>
      </w:r>
    </w:p>
    <w:p w14:paraId="19E307C5" w14:textId="77777777" w:rsidR="00D74559" w:rsidRPr="00902719" w:rsidRDefault="00D74559" w:rsidP="00A63421">
      <w:pPr>
        <w:pStyle w:val="BulletLevel3"/>
      </w:pPr>
      <w:r>
        <w:t xml:space="preserve">letter </w:t>
      </w:r>
      <w:r w:rsidRPr="00A63421">
        <w:t>from</w:t>
      </w:r>
      <w:r>
        <w:t xml:space="preserve"> Services Australia confirming receipt of the DSP, or</w:t>
      </w:r>
    </w:p>
    <w:p w14:paraId="35ADBFD9" w14:textId="7301154C" w:rsidR="00D74559" w:rsidRPr="00F646BA" w:rsidRDefault="00860866" w:rsidP="00A63421">
      <w:pPr>
        <w:pStyle w:val="BulletLevel3"/>
      </w:pPr>
      <w:r>
        <w:t>screen</w:t>
      </w:r>
      <w:r w:rsidR="00D74559">
        <w:t xml:space="preserve"> print out of the Department’s IT </w:t>
      </w:r>
      <w:r w:rsidR="00D74559" w:rsidRPr="00A63421">
        <w:t xml:space="preserve">Systems </w:t>
      </w:r>
      <w:r w:rsidR="00D35765">
        <w:t>‘</w:t>
      </w:r>
      <w:r w:rsidR="00D74559">
        <w:t xml:space="preserve">Allowance </w:t>
      </w:r>
      <w:r w:rsidR="00D74559" w:rsidRPr="00A63421">
        <w:t>History</w:t>
      </w:r>
      <w:r w:rsidR="00D35765">
        <w:t>’</w:t>
      </w:r>
      <w:r w:rsidR="00D74559">
        <w:t xml:space="preserve"> </w:t>
      </w:r>
      <w:r>
        <w:t>screen</w:t>
      </w:r>
      <w:r w:rsidR="00D74559">
        <w:t xml:space="preserve"> showing the student’s receipt of the DSP.</w:t>
      </w:r>
    </w:p>
    <w:p w14:paraId="65A5B2E9" w14:textId="77777777" w:rsidR="00D74559" w:rsidRPr="00FF753D" w:rsidRDefault="00D74559" w:rsidP="006E2EF5">
      <w:r w:rsidRPr="001B0989">
        <w:rPr>
          <w:b/>
          <w:bCs/>
        </w:rPr>
        <w:t>Note:</w:t>
      </w:r>
      <w:r>
        <w:t xml:space="preserve"> </w:t>
      </w:r>
      <w:r w:rsidRPr="00FF753D">
        <w:t>A statement from the school must:</w:t>
      </w:r>
    </w:p>
    <w:p w14:paraId="20CD6EA3" w14:textId="77777777" w:rsidR="00D74559" w:rsidRPr="00FF753D" w:rsidRDefault="00D74559" w:rsidP="004E120D">
      <w:pPr>
        <w:pStyle w:val="BulletLevel1"/>
      </w:pPr>
      <w:r w:rsidRPr="00FF753D">
        <w:t>be from the school Principal or similar position, or their representative</w:t>
      </w:r>
    </w:p>
    <w:p w14:paraId="041A1C77" w14:textId="77777777" w:rsidR="00D74559" w:rsidRPr="00FF753D" w:rsidRDefault="00D74559" w:rsidP="004E120D">
      <w:pPr>
        <w:pStyle w:val="BulletLevel1"/>
      </w:pPr>
      <w:r w:rsidRPr="00FF753D">
        <w:t>be in the form of a signed letter on the relevant letterhead, or email with identified signature block</w:t>
      </w:r>
      <w:r>
        <w:t>, and</w:t>
      </w:r>
    </w:p>
    <w:p w14:paraId="78C2AC03" w14:textId="77777777" w:rsidR="00D74559" w:rsidRDefault="00D74559" w:rsidP="004E120D">
      <w:pPr>
        <w:pStyle w:val="BulletLevel1"/>
      </w:pPr>
      <w:r w:rsidRPr="00FF753D">
        <w:t>include the date and the name and position of the person making the statement.</w:t>
      </w:r>
    </w:p>
    <w:p w14:paraId="5F4DE46D" w14:textId="77777777" w:rsidR="00D74559" w:rsidRPr="00673146" w:rsidRDefault="00D74559" w:rsidP="006D1645">
      <w:pPr>
        <w:pStyle w:val="Heading5"/>
      </w:pPr>
      <w:r w:rsidRPr="00673146">
        <w:t>Students transitioning from secondary schooling</w:t>
      </w:r>
    </w:p>
    <w:p w14:paraId="4A4114D2" w14:textId="2E3C6CD2" w:rsidR="00D74559" w:rsidRPr="00FF753D" w:rsidRDefault="00D74559" w:rsidP="006E2EF5">
      <w:r>
        <w:t xml:space="preserve">Students can access </w:t>
      </w:r>
      <w:r w:rsidR="00F92D0E">
        <w:t>Inclusive Employment Australia</w:t>
      </w:r>
      <w:r>
        <w:t xml:space="preserve"> as an ESL</w:t>
      </w:r>
      <w:r w:rsidR="00302CFC">
        <w:t xml:space="preserve"> Participant</w:t>
      </w:r>
      <w:r>
        <w:t xml:space="preserve"> to help with transitioning from school to work where they are in either:</w:t>
      </w:r>
    </w:p>
    <w:p w14:paraId="3DC8935B" w14:textId="7E84ACDA" w:rsidR="00D74559" w:rsidRPr="00006E6E" w:rsidRDefault="00D74559" w:rsidP="004E120D">
      <w:pPr>
        <w:pStyle w:val="BulletLevel1"/>
      </w:pPr>
      <w:r w:rsidRPr="00FF753D">
        <w:t>their final year of secondary schooling</w:t>
      </w:r>
      <w:r>
        <w:t xml:space="preserve"> — t</w:t>
      </w:r>
      <w:r w:rsidRPr="00FF753D">
        <w:t xml:space="preserve">his is </w:t>
      </w:r>
      <w:r>
        <w:t>usually</w:t>
      </w:r>
      <w:r w:rsidRPr="00FF753D">
        <w:t xml:space="preserve"> </w:t>
      </w:r>
      <w:r w:rsidR="00C505CC">
        <w:t>Y</w:t>
      </w:r>
      <w:r w:rsidRPr="00FF753D">
        <w:t xml:space="preserve">ear 12, but may be earlier if the student, </w:t>
      </w:r>
      <w:r>
        <w:t>parent or legal guardian,</w:t>
      </w:r>
      <w:r w:rsidRPr="00006E6E">
        <w:t xml:space="preserve"> and school have agreed that this will be the student’s final schooling year, or</w:t>
      </w:r>
    </w:p>
    <w:p w14:paraId="52C9E672" w14:textId="0E57DA19" w:rsidR="00D74559" w:rsidRDefault="00D74559" w:rsidP="004E120D">
      <w:pPr>
        <w:pStyle w:val="BulletLevel1"/>
      </w:pPr>
      <w:r>
        <w:t>an Australian School</w:t>
      </w:r>
      <w:r w:rsidR="00BE4CB9">
        <w:t>-b</w:t>
      </w:r>
      <w:r>
        <w:t>ased Apprenticeship</w:t>
      </w:r>
      <w:r w:rsidR="00BE4CB9">
        <w:t xml:space="preserve"> </w:t>
      </w:r>
      <w:r>
        <w:t>that has been changed to accommodate the job seeker’s accessibility needs.</w:t>
      </w:r>
    </w:p>
    <w:p w14:paraId="48DE3B84" w14:textId="789B419E" w:rsidR="0077531D" w:rsidRDefault="0077531D" w:rsidP="0077531D">
      <w:r w:rsidRPr="77B5DA42">
        <w:rPr>
          <w:b/>
          <w:bCs/>
        </w:rPr>
        <w:t>Note:</w:t>
      </w:r>
      <w:r>
        <w:t xml:space="preserve"> </w:t>
      </w:r>
      <w:r w:rsidRPr="0077531D">
        <w:t xml:space="preserve">Students who are in year 11 and who have registered as continuing students for </w:t>
      </w:r>
      <w:r w:rsidR="00B50451">
        <w:t>Y</w:t>
      </w:r>
      <w:r w:rsidRPr="0077531D">
        <w:t xml:space="preserve">ear 12 are permitted to Directly Register and Commence in DES as an ESL from 1 December in the year prior to </w:t>
      </w:r>
      <w:r w:rsidR="00B50451">
        <w:t>Y</w:t>
      </w:r>
      <w:r w:rsidRPr="0077531D">
        <w:t>ear 12</w:t>
      </w:r>
      <w:r>
        <w:t>.</w:t>
      </w:r>
    </w:p>
    <w:p w14:paraId="269A7BD5" w14:textId="1B2F8FE6" w:rsidR="00D74559" w:rsidRPr="00B84B59" w:rsidRDefault="00D74559" w:rsidP="0079424A">
      <w:pPr>
        <w:pStyle w:val="DocumentaryEvidenceRequirement"/>
      </w:pPr>
      <w:r w:rsidRPr="00B84B59">
        <w:t>Providers must keep Documentary Evidence related to the person’s transition from secondary schooling. This m</w:t>
      </w:r>
      <w:r w:rsidR="00F66BD1">
        <w:t>ust</w:t>
      </w:r>
      <w:r w:rsidRPr="00B84B59">
        <w:t xml:space="preserve"> include</w:t>
      </w:r>
      <w:r w:rsidR="00F66BD1">
        <w:t xml:space="preserve"> one or more of the following</w:t>
      </w:r>
      <w:r w:rsidRPr="00B84B59">
        <w:t>:</w:t>
      </w:r>
    </w:p>
    <w:p w14:paraId="0F8D5ABF" w14:textId="77777777" w:rsidR="00D74559" w:rsidRPr="00791BD0" w:rsidRDefault="00D74559" w:rsidP="004E120D">
      <w:pPr>
        <w:pStyle w:val="BulletLevel2"/>
      </w:pPr>
      <w:r>
        <w:t xml:space="preserve">a statement </w:t>
      </w:r>
      <w:r w:rsidRPr="00791BD0">
        <w:t>from the school confirming that the student is in their final year of school and is leaving school at the end of the current year</w:t>
      </w:r>
    </w:p>
    <w:p w14:paraId="3CDF05FD" w14:textId="77777777" w:rsidR="00D74559" w:rsidRPr="00791BD0" w:rsidRDefault="00D74559" w:rsidP="004E120D">
      <w:pPr>
        <w:pStyle w:val="BulletLevel2"/>
      </w:pPr>
      <w:r>
        <w:t>a copy of student’s most recent school report that shows the school year that the student is currently enrolled in</w:t>
      </w:r>
    </w:p>
    <w:p w14:paraId="52F58204" w14:textId="77777777" w:rsidR="00D74559" w:rsidRPr="00791BD0" w:rsidRDefault="00D74559" w:rsidP="004E120D">
      <w:pPr>
        <w:pStyle w:val="BulletLevel2"/>
      </w:pPr>
      <w:r>
        <w:t>a letter or email from the school Principal (or representative) saying that, after discussing the student’s education requirements with the student and their parents or legal guardian, all parties have agreed that the student is in their final year of secondary school</w:t>
      </w:r>
    </w:p>
    <w:p w14:paraId="2F89BBC1" w14:textId="524C86A4" w:rsidR="00D74559" w:rsidRPr="00791BD0" w:rsidRDefault="00D74559" w:rsidP="004E120D">
      <w:pPr>
        <w:pStyle w:val="BulletLevel2"/>
      </w:pPr>
      <w:r>
        <w:t xml:space="preserve">a statement from the training organisation setting out the accessibility adjustments that have been made to the delivery of </w:t>
      </w:r>
      <w:r w:rsidR="00556D57">
        <w:t>any course as</w:t>
      </w:r>
      <w:r>
        <w:t xml:space="preserve"> part of an Australian School</w:t>
      </w:r>
      <w:r w:rsidR="00BE4CB9">
        <w:t>-b</w:t>
      </w:r>
      <w:r>
        <w:t xml:space="preserve">ased Apprenticeship to accommodate the </w:t>
      </w:r>
      <w:r w:rsidR="00DF7632">
        <w:t>student</w:t>
      </w:r>
      <w:r>
        <w:t>’s disability, and/or</w:t>
      </w:r>
    </w:p>
    <w:p w14:paraId="51F4AEF5" w14:textId="77777777" w:rsidR="00D74559" w:rsidRPr="00FF753D" w:rsidRDefault="00D74559" w:rsidP="004E120D">
      <w:pPr>
        <w:pStyle w:val="BulletLevel2"/>
      </w:pPr>
      <w:r w:rsidRPr="00791BD0">
        <w:t>relevant</w:t>
      </w:r>
      <w:r>
        <w:t xml:space="preserve"> paperwork confirming Disabled Australian Apprentice Wage Support Program approval.</w:t>
      </w:r>
    </w:p>
    <w:p w14:paraId="03D1DF9E" w14:textId="2602440B" w:rsidR="00060609" w:rsidRDefault="00D74559" w:rsidP="006E2EF5">
      <w:r w:rsidRPr="77B5DA42">
        <w:rPr>
          <w:b/>
          <w:bCs/>
        </w:rPr>
        <w:t>Note:</w:t>
      </w:r>
      <w:r>
        <w:t xml:space="preserve"> A Provider must obtain and keep proof of an </w:t>
      </w:r>
      <w:r w:rsidR="00FD5DFD">
        <w:t xml:space="preserve">ESL Participant’s </w:t>
      </w:r>
      <w:r>
        <w:t xml:space="preserve">completion of </w:t>
      </w:r>
      <w:r w:rsidR="00477CDC">
        <w:t xml:space="preserve">their final year of </w:t>
      </w:r>
      <w:r w:rsidR="00016927">
        <w:t xml:space="preserve">secondary </w:t>
      </w:r>
      <w:r w:rsidR="00477CDC">
        <w:t>schooling</w:t>
      </w:r>
      <w:r>
        <w:t>.</w:t>
      </w:r>
    </w:p>
    <w:p w14:paraId="2899AD33" w14:textId="77777777" w:rsidR="00D74559" w:rsidRPr="00F56E35" w:rsidRDefault="00D74559" w:rsidP="006D1645">
      <w:pPr>
        <w:pStyle w:val="Heading5"/>
      </w:pPr>
      <w:r>
        <w:t>School leavers and participants in w</w:t>
      </w:r>
      <w:r w:rsidRPr="00F56E35">
        <w:t>ork transition programs</w:t>
      </w:r>
    </w:p>
    <w:p w14:paraId="2A965425" w14:textId="61F65E37" w:rsidR="00D74559" w:rsidRPr="00FF753D" w:rsidRDefault="00D74559" w:rsidP="006E2EF5">
      <w:pPr>
        <w:keepNext/>
      </w:pPr>
      <w:r w:rsidRPr="00FF753D">
        <w:t xml:space="preserve">A person can access </w:t>
      </w:r>
      <w:r w:rsidR="00F92D0E">
        <w:t>Inclusive Employment Australia</w:t>
      </w:r>
      <w:r w:rsidRPr="00FF753D">
        <w:t xml:space="preserve"> as an ESL</w:t>
      </w:r>
      <w:r w:rsidR="00FF0543">
        <w:t xml:space="preserve"> Participant</w:t>
      </w:r>
      <w:r w:rsidRPr="00FF753D">
        <w:t xml:space="preserve"> to get help finding suitable work if they:</w:t>
      </w:r>
    </w:p>
    <w:p w14:paraId="6426E861" w14:textId="77777777" w:rsidR="00D74559" w:rsidRPr="004E690B" w:rsidRDefault="00D74559" w:rsidP="004E120D">
      <w:pPr>
        <w:pStyle w:val="BulletLevel1"/>
      </w:pPr>
      <w:r w:rsidRPr="004E690B">
        <w:t>previously participated in NDIS-funded employment assistance and exited the program within the past 20 Business Days, or</w:t>
      </w:r>
    </w:p>
    <w:p w14:paraId="43ADC261" w14:textId="77777777" w:rsidR="00D74559" w:rsidRDefault="00D74559" w:rsidP="004E120D">
      <w:pPr>
        <w:pStyle w:val="BulletLevel1"/>
      </w:pPr>
      <w:r w:rsidRPr="004E690B">
        <w:t>are in the final six months of, or exited within the past 20 Business Days, an eligible State or</w:t>
      </w:r>
      <w:r>
        <w:t xml:space="preserve"> Territory Government post-school employment or transition to work program for people with disability</w:t>
      </w:r>
      <w:r w:rsidRPr="6B20C011">
        <w:t>.</w:t>
      </w:r>
    </w:p>
    <w:p w14:paraId="7C06E7B7" w14:textId="30017294" w:rsidR="00D74559" w:rsidRDefault="00D74559" w:rsidP="00A86D30">
      <w:r w:rsidRPr="6B20C011">
        <w:t xml:space="preserve">Providers are encouraged to work in partnership with schools, </w:t>
      </w:r>
      <w:r w:rsidR="006F54F3">
        <w:t>S</w:t>
      </w:r>
      <w:r w:rsidRPr="6B20C011">
        <w:t xml:space="preserve">tate and </w:t>
      </w:r>
      <w:r w:rsidR="006F54F3">
        <w:t>T</w:t>
      </w:r>
      <w:r w:rsidRPr="6B20C011">
        <w:t>erritory</w:t>
      </w:r>
      <w:r w:rsidR="006F54F3">
        <w:t xml:space="preserve"> Government</w:t>
      </w:r>
      <w:r w:rsidRPr="6B20C011">
        <w:t xml:space="preserve"> funded </w:t>
      </w:r>
      <w:r w:rsidR="006F54F3">
        <w:t>T</w:t>
      </w:r>
      <w:r w:rsidRPr="6B20C011">
        <w:t xml:space="preserve">raining organisations and </w:t>
      </w:r>
      <w:r w:rsidR="00D73C56">
        <w:t>other relevant local government or community organisations</w:t>
      </w:r>
      <w:r w:rsidRPr="6B20C011">
        <w:t xml:space="preserve"> to facilitate placements in Australian School</w:t>
      </w:r>
      <w:r w:rsidR="00BE4CB9">
        <w:t>-b</w:t>
      </w:r>
      <w:r w:rsidRPr="6B20C011">
        <w:t>ased Apprenticeships, and support students in both work and study.</w:t>
      </w:r>
    </w:p>
    <w:p w14:paraId="2FF44793" w14:textId="77777777" w:rsidR="00D74559" w:rsidRPr="006A5443" w:rsidRDefault="00D74559" w:rsidP="00A86D30">
      <w:r>
        <w:t>If a Provider cannot Commence a person within 20 Business Days of their exit from NDIS-funded employment assistance or a State or Territory Government post-school employment transition to work program for people with disability, the Provider can seek written approval from their Account Manager to do so after that time.</w:t>
      </w:r>
    </w:p>
    <w:p w14:paraId="1AD7A9C9" w14:textId="64143E55" w:rsidR="00D74559" w:rsidRDefault="00D74559" w:rsidP="006E2EF5">
      <w:r>
        <w:t xml:space="preserve">Other information on eligible programs is included in the </w:t>
      </w:r>
      <w:r w:rsidR="009C4786" w:rsidRPr="00A561F2">
        <w:rPr>
          <w:rStyle w:val="Hyperlink"/>
        </w:rPr>
        <w:t>State and Territory School Disability Funding Arrangements</w:t>
      </w:r>
      <w:r w:rsidR="009C4786">
        <w:rPr>
          <w:rStyle w:val="Hyperlink"/>
        </w:rPr>
        <w:t xml:space="preserve"> [LINK]</w:t>
      </w:r>
      <w:r w:rsidR="009C4786">
        <w:t xml:space="preserve"> </w:t>
      </w:r>
      <w:r>
        <w:t>supporting document on the Provider Portal.</w:t>
      </w:r>
    </w:p>
    <w:p w14:paraId="5E994E6C" w14:textId="0D34F79E" w:rsidR="00D74559" w:rsidRPr="00B84B59" w:rsidRDefault="00D74559" w:rsidP="0079424A">
      <w:pPr>
        <w:pStyle w:val="DocumentaryEvidenceRequirement"/>
      </w:pPr>
      <w:r w:rsidRPr="00B84B59">
        <w:t>Providers must keep Documentary Evidence related to the person’s transition from NDIS funded employment assistance or an eligible State or Territory</w:t>
      </w:r>
      <w:r w:rsidR="00D73C56">
        <w:t xml:space="preserve"> Government</w:t>
      </w:r>
      <w:r w:rsidRPr="00B84B59">
        <w:t xml:space="preserve"> post-school employment or transition to work program. This includes:</w:t>
      </w:r>
    </w:p>
    <w:p w14:paraId="3A626D3C" w14:textId="5B7BF2CC" w:rsidR="00D74559" w:rsidRDefault="001746A5" w:rsidP="004E120D">
      <w:pPr>
        <w:pStyle w:val="BulletLevel2"/>
      </w:pPr>
      <w:r>
        <w:t>A</w:t>
      </w:r>
      <w:r w:rsidR="00D74559">
        <w:t xml:space="preserve"> </w:t>
      </w:r>
      <w:r w:rsidR="00731752">
        <w:t>s</w:t>
      </w:r>
      <w:r w:rsidR="00D74559">
        <w:t>tatement from the NDIS provider that clearly:</w:t>
      </w:r>
    </w:p>
    <w:p w14:paraId="6D057521" w14:textId="77777777" w:rsidR="00D74559" w:rsidRDefault="00D74559" w:rsidP="00A63421">
      <w:pPr>
        <w:pStyle w:val="BulletLevel3"/>
      </w:pPr>
      <w:r>
        <w:t>names the person</w:t>
      </w:r>
    </w:p>
    <w:p w14:paraId="056B6722" w14:textId="77777777" w:rsidR="00D74559" w:rsidRDefault="00D74559" w:rsidP="00A63421">
      <w:pPr>
        <w:pStyle w:val="BulletLevel3"/>
      </w:pPr>
      <w:r>
        <w:t>confirms the person was participating in a NDIS-funded employment assistance program, and</w:t>
      </w:r>
    </w:p>
    <w:p w14:paraId="04602573" w14:textId="66B722E0" w:rsidR="00D74559" w:rsidRDefault="00D74559" w:rsidP="00A63421">
      <w:pPr>
        <w:pStyle w:val="BulletLevel3"/>
      </w:pPr>
      <w:r>
        <w:t>identifies the dates the person started and completed the NDIS-funded employment assistance program</w:t>
      </w:r>
      <w:r w:rsidR="001746A5">
        <w:t>.</w:t>
      </w:r>
    </w:p>
    <w:p w14:paraId="778952B0" w14:textId="5183498D" w:rsidR="00D74559" w:rsidRDefault="001746A5" w:rsidP="004E120D">
      <w:pPr>
        <w:pStyle w:val="BulletLevel2"/>
      </w:pPr>
      <w:r>
        <w:t>A</w:t>
      </w:r>
      <w:r w:rsidR="00D74559">
        <w:t xml:space="preserve"> </w:t>
      </w:r>
      <w:r w:rsidR="00731752">
        <w:t>s</w:t>
      </w:r>
      <w:r w:rsidR="00D74559">
        <w:t xml:space="preserve">tatement from the State or </w:t>
      </w:r>
      <w:r w:rsidR="00D73C56">
        <w:t>T</w:t>
      </w:r>
      <w:r w:rsidR="00D74559">
        <w:t>erritory</w:t>
      </w:r>
      <w:r w:rsidR="00D73C56">
        <w:t xml:space="preserve"> Government</w:t>
      </w:r>
      <w:r w:rsidR="00D74559">
        <w:t xml:space="preserve"> post-school employment or transition to work program provider, that clearly:</w:t>
      </w:r>
    </w:p>
    <w:p w14:paraId="6A3626B1" w14:textId="77777777" w:rsidR="00D74559" w:rsidRDefault="00D74559" w:rsidP="00A63421">
      <w:pPr>
        <w:pStyle w:val="BulletLevel3"/>
      </w:pPr>
      <w:r>
        <w:t>names the person</w:t>
      </w:r>
    </w:p>
    <w:p w14:paraId="3A773EC6" w14:textId="77777777" w:rsidR="00D74559" w:rsidRDefault="00D74559" w:rsidP="00A63421">
      <w:pPr>
        <w:pStyle w:val="BulletLevel3"/>
      </w:pPr>
      <w:r>
        <w:t xml:space="preserve">names </w:t>
      </w:r>
      <w:r w:rsidRPr="003F4498">
        <w:t xml:space="preserve">the </w:t>
      </w:r>
      <w:r>
        <w:t xml:space="preserve">post-school employment or </w:t>
      </w:r>
      <w:r w:rsidRPr="003F4498">
        <w:t>transition to work program</w:t>
      </w:r>
    </w:p>
    <w:p w14:paraId="0BB0100B" w14:textId="77777777" w:rsidR="00D74559" w:rsidRDefault="00D74559" w:rsidP="00A63421">
      <w:pPr>
        <w:pStyle w:val="BulletLevel3"/>
      </w:pPr>
      <w:r>
        <w:t>confirms the person was in the program, and</w:t>
      </w:r>
    </w:p>
    <w:p w14:paraId="7C642EDD" w14:textId="77777777" w:rsidR="00D74559" w:rsidRPr="00FF753D" w:rsidRDefault="00D74559" w:rsidP="00A63421">
      <w:pPr>
        <w:pStyle w:val="BulletLevel3"/>
      </w:pPr>
      <w:r>
        <w:t>identifies the dates the person started and completed, or is expected to complete, the program.</w:t>
      </w:r>
    </w:p>
    <w:p w14:paraId="2A66CF52" w14:textId="4D5E0D1D" w:rsidR="00D74559" w:rsidRPr="00FF753D" w:rsidRDefault="00D74559" w:rsidP="006E2EF5">
      <w:r w:rsidRPr="00B0249E">
        <w:rPr>
          <w:b/>
          <w:bCs/>
        </w:rPr>
        <w:t>Note:</w:t>
      </w:r>
      <w:r>
        <w:t xml:space="preserve"> </w:t>
      </w:r>
      <w:r w:rsidRPr="00FF753D">
        <w:t xml:space="preserve">A statement </w:t>
      </w:r>
      <w:r w:rsidR="00783D6A">
        <w:t>must either</w:t>
      </w:r>
      <w:r w:rsidRPr="00FF753D">
        <w:t xml:space="preserve"> be in the form of a signed letter on the relevant letterhead or an email with identified signature block. It must include the date and the name and position of the person making the statement.</w:t>
      </w:r>
    </w:p>
    <w:p w14:paraId="452C3A28" w14:textId="11851276" w:rsidR="00D74559" w:rsidRPr="00FF753D" w:rsidRDefault="00D74559" w:rsidP="001D0F92">
      <w:pPr>
        <w:pStyle w:val="Heading4"/>
      </w:pPr>
      <w:bookmarkStart w:id="19" w:name="_Ref202783279"/>
      <w:bookmarkStart w:id="20" w:name="_Toc202899870"/>
      <w:r>
        <w:t>1.3.2</w:t>
      </w:r>
      <w:r w:rsidR="00E1472F">
        <w:tab/>
      </w:r>
      <w:r w:rsidRPr="00FF753D">
        <w:t>Special Class Clients</w:t>
      </w:r>
      <w:bookmarkEnd w:id="19"/>
      <w:bookmarkEnd w:id="20"/>
    </w:p>
    <w:p w14:paraId="4CBFE14E" w14:textId="605A69BF" w:rsidR="00D74559" w:rsidRDefault="00D74559" w:rsidP="006E2EF5">
      <w:r w:rsidRPr="6B20C011">
        <w:t xml:space="preserve">Special Class Client (SCC) eligibility provides access to </w:t>
      </w:r>
      <w:r w:rsidR="00F92D0E">
        <w:t>Inclusive Employment Australia</w:t>
      </w:r>
      <w:r w:rsidRPr="6B20C011">
        <w:t xml:space="preserve">, for people who </w:t>
      </w:r>
      <w:bookmarkStart w:id="21" w:name="_Int_ieqQtb3j"/>
      <w:r w:rsidRPr="6B20C011">
        <w:t>acquired</w:t>
      </w:r>
      <w:bookmarkEnd w:id="21"/>
      <w:r w:rsidRPr="6B20C011">
        <w:t xml:space="preserve"> a disability, injury or illness through being present at a specified extreme event.</w:t>
      </w:r>
    </w:p>
    <w:p w14:paraId="78333FD4" w14:textId="3FAA8F99" w:rsidR="00D74559" w:rsidRDefault="00D74559" w:rsidP="006E2EF5">
      <w:r>
        <w:t>On Commencement, an SCC Participant will be assigned an Employment Benchmark of 8</w:t>
      </w:r>
      <w:r w:rsidR="00452F86">
        <w:t xml:space="preserve"> hours</w:t>
      </w:r>
      <w:r>
        <w:t>.</w:t>
      </w:r>
    </w:p>
    <w:p w14:paraId="6124A7B1" w14:textId="77777777" w:rsidR="00D74559" w:rsidRPr="00B84B59" w:rsidRDefault="00D74559" w:rsidP="00C7316D">
      <w:pPr>
        <w:pStyle w:val="DocumentaryEvidenceRequirement"/>
        <w:ind w:left="643"/>
      </w:pPr>
      <w:r w:rsidRPr="00B84B59">
        <w:t>Providers must keep a copy of the Direct Registration Form that includes information to show the Participant’s eligibility as an SCC Participant, and other evidence of a person’s eligibility as a SCC Participant.</w:t>
      </w:r>
    </w:p>
    <w:p w14:paraId="56421EEB" w14:textId="77777777" w:rsidR="00D74559" w:rsidRDefault="00D74559" w:rsidP="006F727E">
      <w:pPr>
        <w:pStyle w:val="SystemStep"/>
      </w:pPr>
      <w:r w:rsidRPr="6B20C011">
        <w:t xml:space="preserve">Providers must Directly Register a SCC Participant on the Department’s IT Systems using the Special Placement Flag for ’Special Class Client’. </w:t>
      </w:r>
    </w:p>
    <w:p w14:paraId="41A9139C" w14:textId="77777777" w:rsidR="00D74559" w:rsidRPr="004B6153" w:rsidRDefault="00D74559" w:rsidP="006E2EF5">
      <w:r w:rsidRPr="77B5DA42">
        <w:rPr>
          <w:b/>
          <w:bCs/>
        </w:rPr>
        <w:t xml:space="preserve">Note: </w:t>
      </w:r>
      <w:r>
        <w:t>SCC eligibility is needed very infrequently. The Department will review use of SCC eligibility and may independently look to confirm that a SCC was present at the declared extreme event.</w:t>
      </w:r>
    </w:p>
    <w:p w14:paraId="0E621347" w14:textId="7A3D1D1C" w:rsidR="00D74559" w:rsidRPr="004B3ACD" w:rsidRDefault="00D74559" w:rsidP="006E2EF5">
      <w:pPr>
        <w:pStyle w:val="DeedReferences"/>
      </w:pPr>
      <w:r w:rsidRPr="004B3ACD">
        <w:t>(</w:t>
      </w:r>
      <w:r w:rsidR="00A73420">
        <w:t xml:space="preserve">Deed Reference(s): Clause </w:t>
      </w:r>
      <w:r>
        <w:t>10</w:t>
      </w:r>
      <w:r w:rsidR="00F3496E">
        <w:t>8</w:t>
      </w:r>
      <w:r w:rsidRPr="004B3ACD">
        <w:t>.2)</w:t>
      </w:r>
    </w:p>
    <w:p w14:paraId="638A48D5" w14:textId="754ED9C5" w:rsidR="00D74559" w:rsidRPr="00FF753D" w:rsidRDefault="00D74559" w:rsidP="006E2EF5">
      <w:pPr>
        <w:pStyle w:val="TableChartHeading"/>
      </w:pPr>
      <w:r>
        <w:t>SCC</w:t>
      </w:r>
      <w:r w:rsidRPr="00AF0A39">
        <w:t xml:space="preserve"> </w:t>
      </w:r>
      <w:r w:rsidR="00106F6F">
        <w:t xml:space="preserve">Participant </w:t>
      </w:r>
      <w:r w:rsidRPr="00AF0A39">
        <w:t>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2"/>
      </w:tblGrid>
      <w:tr w:rsidR="00FD020B" w14:paraId="1E9EE8E0" w14:textId="77777777" w:rsidTr="00731752">
        <w:trPr>
          <w:cnfStyle w:val="100000000000" w:firstRow="1" w:lastRow="0" w:firstColumn="0" w:lastColumn="0" w:oddVBand="0" w:evenVBand="0" w:oddHBand="0" w:evenHBand="0" w:firstRowFirstColumn="0" w:firstRowLastColumn="0" w:lastRowFirstColumn="0" w:lastRowLastColumn="0"/>
          <w:trHeight w:val="300"/>
          <w:jc w:val="center"/>
        </w:trPr>
        <w:tc>
          <w:tcPr>
            <w:tcW w:w="5032" w:type="dxa"/>
            <w:tcBorders>
              <w:bottom w:val="single" w:sz="4" w:space="0" w:color="auto"/>
            </w:tcBorders>
          </w:tcPr>
          <w:p w14:paraId="1884E5CC" w14:textId="77777777" w:rsidR="00593018" w:rsidRDefault="00593018">
            <w:pPr>
              <w:pStyle w:val="TableText"/>
              <w:rPr>
                <w:rFonts w:ascii="Calibri" w:eastAsia="Calibri" w:hAnsi="Calibri" w:cs="Calibri"/>
                <w:szCs w:val="22"/>
              </w:rPr>
            </w:pPr>
            <w:r>
              <w:t>Variations to general eligibility criteria</w:t>
            </w:r>
          </w:p>
        </w:tc>
        <w:tc>
          <w:tcPr>
            <w:tcW w:w="5032" w:type="dxa"/>
            <w:tcBorders>
              <w:bottom w:val="single" w:sz="4" w:space="0" w:color="auto"/>
            </w:tcBorders>
          </w:tcPr>
          <w:p w14:paraId="3D707756" w14:textId="77777777" w:rsidR="00593018" w:rsidRDefault="00593018">
            <w:pPr>
              <w:pStyle w:val="TableText"/>
              <w:rPr>
                <w:rFonts w:ascii="Calibri" w:eastAsia="Calibri" w:hAnsi="Calibri" w:cs="Calibri"/>
                <w:b w:val="0"/>
              </w:rPr>
            </w:pPr>
            <w:r w:rsidRPr="6B20C011">
              <w:t xml:space="preserve">Additional eligibility </w:t>
            </w:r>
            <w:r>
              <w:t>requirements</w:t>
            </w:r>
          </w:p>
        </w:tc>
      </w:tr>
      <w:tr w:rsidR="00D74559" w:rsidRPr="00FF753D" w14:paraId="31D2A5FD" w14:textId="77777777" w:rsidTr="007317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32" w:type="dxa"/>
            <w:tcBorders>
              <w:top w:val="single" w:sz="4" w:space="0" w:color="auto"/>
              <w:left w:val="single" w:sz="0" w:space="0" w:color="000000" w:themeColor="text1"/>
              <w:bottom w:val="single" w:sz="4" w:space="0" w:color="auto"/>
              <w:right w:val="single" w:sz="0" w:space="0" w:color="000000" w:themeColor="text1"/>
            </w:tcBorders>
            <w:hideMark/>
          </w:tcPr>
          <w:p w14:paraId="0CF58710" w14:textId="77777777" w:rsidR="00D74559" w:rsidRDefault="00D74559" w:rsidP="00275975">
            <w:pPr>
              <w:pStyle w:val="TableText"/>
            </w:pPr>
            <w:r w:rsidRPr="6B20C011">
              <w:t>Disability, injury or health condition:</w:t>
            </w:r>
          </w:p>
          <w:p w14:paraId="424B20B1" w14:textId="77777777" w:rsidR="00D74559" w:rsidRPr="003E1E14" w:rsidRDefault="00D74559" w:rsidP="007D21CC">
            <w:pPr>
              <w:pStyle w:val="TableList-level1"/>
            </w:pPr>
            <w:r>
              <w:t>The Provider must confirm the person has disability, injury or health condition based on medical evidence directly provided.</w:t>
            </w:r>
          </w:p>
          <w:p w14:paraId="573202C3" w14:textId="77777777" w:rsidR="00D74559" w:rsidRDefault="00D74559" w:rsidP="00275975">
            <w:pPr>
              <w:pStyle w:val="TableText"/>
            </w:pPr>
            <w:r w:rsidRPr="6B20C011">
              <w:t xml:space="preserve">Work </w:t>
            </w:r>
            <w:bookmarkStart w:id="22" w:name="_Int_Uzg1OrbY"/>
            <w:r w:rsidRPr="6B20C011">
              <w:t>capacity</w:t>
            </w:r>
            <w:bookmarkEnd w:id="22"/>
            <w:r w:rsidRPr="6B20C011">
              <w:t xml:space="preserve">: </w:t>
            </w:r>
          </w:p>
          <w:p w14:paraId="34A0D239" w14:textId="77777777" w:rsidR="00D74559" w:rsidRDefault="00D74559" w:rsidP="007D21CC">
            <w:pPr>
              <w:pStyle w:val="TableList-level1"/>
            </w:pPr>
            <w:r w:rsidRPr="6B20C011">
              <w:t xml:space="preserve">The person does not need to have their work </w:t>
            </w:r>
            <w:bookmarkStart w:id="23" w:name="_Int_5FqdPTAy"/>
            <w:r w:rsidRPr="6B20C011">
              <w:t>capacity</w:t>
            </w:r>
            <w:bookmarkEnd w:id="23"/>
            <w:r w:rsidRPr="6B20C011">
              <w:t xml:space="preserve"> assessed (i.e. they are ESAt exempt). </w:t>
            </w:r>
          </w:p>
          <w:p w14:paraId="18ADB751" w14:textId="77777777" w:rsidR="00D74559" w:rsidRDefault="00D74559" w:rsidP="00275975">
            <w:pPr>
              <w:pStyle w:val="TableText"/>
            </w:pPr>
            <w:r>
              <w:t xml:space="preserve">Referral: </w:t>
            </w:r>
          </w:p>
          <w:p w14:paraId="5B5E5366" w14:textId="7EC6FAEE" w:rsidR="00D74559" w:rsidRPr="001717E6" w:rsidRDefault="00D74559" w:rsidP="007D21CC">
            <w:pPr>
              <w:pStyle w:val="TableList-level1"/>
              <w:rPr>
                <w:bCs/>
              </w:rPr>
            </w:pPr>
            <w:r w:rsidRPr="6B20C011">
              <w:t>The person does not need an employment service referral</w:t>
            </w:r>
            <w:r>
              <w:t xml:space="preserve"> (i.e. they are ESAt-exempt).</w:t>
            </w:r>
          </w:p>
        </w:tc>
        <w:tc>
          <w:tcPr>
            <w:tcW w:w="5032" w:type="dxa"/>
            <w:tcBorders>
              <w:top w:val="single" w:sz="4" w:space="0" w:color="auto"/>
              <w:left w:val="single" w:sz="0" w:space="0" w:color="000000" w:themeColor="text1"/>
              <w:bottom w:val="single" w:sz="4" w:space="0" w:color="auto"/>
              <w:right w:val="single" w:sz="0" w:space="0" w:color="000000" w:themeColor="text1"/>
            </w:tcBorders>
            <w:hideMark/>
          </w:tcPr>
          <w:p w14:paraId="4CB25A01" w14:textId="77777777" w:rsidR="00D74559" w:rsidRPr="00693DF2" w:rsidRDefault="00D74559" w:rsidP="007D21CC">
            <w:pPr>
              <w:pStyle w:val="TableList-level1"/>
            </w:pPr>
            <w:r w:rsidRPr="00693DF2">
              <w:t>Must be an identified SCC, in relation to:</w:t>
            </w:r>
          </w:p>
          <w:p w14:paraId="7133AC0E" w14:textId="77777777" w:rsidR="00D74559" w:rsidRPr="00542E77" w:rsidRDefault="00D74559" w:rsidP="00731752">
            <w:pPr>
              <w:pStyle w:val="TableList-level2"/>
            </w:pPr>
            <w:r w:rsidRPr="00542E77">
              <w:t>October 2002 Bali bombings</w:t>
            </w:r>
          </w:p>
          <w:p w14:paraId="665C912A" w14:textId="77777777" w:rsidR="00D74559" w:rsidRPr="00542E77" w:rsidRDefault="00D74559" w:rsidP="00731752">
            <w:pPr>
              <w:pStyle w:val="TableList-level2"/>
            </w:pPr>
            <w:r w:rsidRPr="00542E77">
              <w:t>December 2004 Asian Tsunami, or</w:t>
            </w:r>
          </w:p>
          <w:p w14:paraId="0839F0AC" w14:textId="77777777" w:rsidR="00D74559" w:rsidRPr="007148A2" w:rsidRDefault="00D74559" w:rsidP="00731752">
            <w:pPr>
              <w:pStyle w:val="TableList-level2"/>
            </w:pPr>
            <w:r w:rsidRPr="00542E77">
              <w:t>July</w:t>
            </w:r>
            <w:r w:rsidRPr="00362628">
              <w:t xml:space="preserve"> 2005</w:t>
            </w:r>
            <w:r w:rsidRPr="00693DF2">
              <w:t xml:space="preserve"> London bombings</w:t>
            </w:r>
            <w:r>
              <w:t>.</w:t>
            </w:r>
          </w:p>
        </w:tc>
      </w:tr>
    </w:tbl>
    <w:p w14:paraId="7936BAE4" w14:textId="77777777" w:rsidR="00D74559" w:rsidRPr="00B84B59" w:rsidRDefault="00D74559" w:rsidP="00771779">
      <w:pPr>
        <w:pStyle w:val="DocumentaryEvidenceRequirement"/>
        <w:ind w:left="643"/>
      </w:pPr>
      <w:r w:rsidRPr="00B84B59">
        <w:t>Providers must obtain and keep the following Documentary Evidence:</w:t>
      </w:r>
    </w:p>
    <w:p w14:paraId="43ACB0D1" w14:textId="77777777" w:rsidR="00D74559" w:rsidRPr="00A86D30" w:rsidRDefault="00D74559" w:rsidP="00731752">
      <w:pPr>
        <w:pStyle w:val="BulletLevel2"/>
      </w:pPr>
      <w:r w:rsidRPr="00A86D30">
        <w:t>A Statutory Declaration from the Participant saying they were present at either the Bali Bombings, Asian Tsunami, or London Bombings.</w:t>
      </w:r>
    </w:p>
    <w:p w14:paraId="530822A8" w14:textId="77777777" w:rsidR="00D74559" w:rsidRPr="00A86D30" w:rsidRDefault="00D74559" w:rsidP="00731752">
      <w:pPr>
        <w:pStyle w:val="BulletLevel2"/>
      </w:pPr>
      <w:r w:rsidRPr="00A86D30">
        <w:t>A Medical Certificate issued by a General Practitioner, or other Record that provides medical evidence verifying the person has a disability, injury or health condition.</w:t>
      </w:r>
    </w:p>
    <w:p w14:paraId="7A2673F9" w14:textId="0707113C" w:rsidR="00D74559" w:rsidRPr="00FF753D" w:rsidRDefault="00D74559" w:rsidP="001D0F92">
      <w:pPr>
        <w:pStyle w:val="Heading4"/>
      </w:pPr>
      <w:bookmarkStart w:id="24" w:name="_Ref202784436"/>
      <w:bookmarkStart w:id="25" w:name="_Toc202899871"/>
      <w:r>
        <w:t>1.3.3</w:t>
      </w:r>
      <w:r w:rsidR="00E1472F">
        <w:tab/>
      </w:r>
      <w:r w:rsidRPr="00FF753D">
        <w:t xml:space="preserve">NDIS </w:t>
      </w:r>
      <w:r>
        <w:t>p</w:t>
      </w:r>
      <w:r w:rsidRPr="00FF753D">
        <w:t>articipants</w:t>
      </w:r>
      <w:bookmarkEnd w:id="24"/>
      <w:bookmarkEnd w:id="25"/>
    </w:p>
    <w:p w14:paraId="303C1BB5" w14:textId="5083DB09" w:rsidR="00D74559" w:rsidRDefault="00D74559" w:rsidP="006E2EF5">
      <w:r w:rsidRPr="6B20C011">
        <w:t xml:space="preserve">NDIS participant eligibility streamlines access to the </w:t>
      </w:r>
      <w:r w:rsidR="00F92D0E">
        <w:t>Inclusive Employment Australia</w:t>
      </w:r>
      <w:r w:rsidRPr="6B20C011">
        <w:t xml:space="preserve"> for those who are receiving NDIS services as it allows access to </w:t>
      </w:r>
      <w:r w:rsidR="00F92D0E">
        <w:t>Inclusive Employment Australia</w:t>
      </w:r>
      <w:r>
        <w:t xml:space="preserve"> for</w:t>
      </w:r>
      <w:r w:rsidRPr="6B20C011">
        <w:t xml:space="preserve"> NDIS participants who have an ESAt that was conducted at any time, and that included a recommendation to another employment service or a recommendation of ‘unable to benefit’. More detail is available in </w:t>
      </w:r>
      <w:r w:rsidR="002466A7">
        <w:fldChar w:fldCharType="begin"/>
      </w:r>
      <w:r w:rsidR="002466A7">
        <w:instrText xml:space="preserve"> REF _Ref202780839 \h </w:instrText>
      </w:r>
      <w:r w:rsidR="002466A7">
        <w:fldChar w:fldCharType="separate"/>
      </w:r>
      <w:r w:rsidR="000D75AE" w:rsidRPr="7374C138">
        <w:rPr>
          <w:lang w:val="en-GB"/>
        </w:rPr>
        <w:t xml:space="preserve">2.4.3ESAt requirements for DSP </w:t>
      </w:r>
      <w:r w:rsidR="000D75AE">
        <w:rPr>
          <w:lang w:val="en-GB"/>
        </w:rPr>
        <w:t>r</w:t>
      </w:r>
      <w:r w:rsidR="000D75AE" w:rsidRPr="7374C138">
        <w:rPr>
          <w:lang w:val="en-GB"/>
        </w:rPr>
        <w:t>ecipients and NDIS participants</w:t>
      </w:r>
      <w:r w:rsidR="002466A7">
        <w:fldChar w:fldCharType="end"/>
      </w:r>
      <w:r w:rsidRPr="6B20C011">
        <w:t>.</w:t>
      </w:r>
    </w:p>
    <w:p w14:paraId="0CFFB929" w14:textId="38D73CC0" w:rsidR="00D74559" w:rsidRDefault="00D74559" w:rsidP="006E2EF5">
      <w:r w:rsidRPr="6B20C011">
        <w:t xml:space="preserve">NDIS participants </w:t>
      </w:r>
      <w:r w:rsidR="00F65E65">
        <w:t>can</w:t>
      </w:r>
      <w:r w:rsidRPr="6B20C011">
        <w:t xml:space="preserve"> be employed at or above their work </w:t>
      </w:r>
      <w:bookmarkStart w:id="26" w:name="_Int_SRMHSLmt"/>
      <w:r w:rsidRPr="6B20C011">
        <w:t>capacity</w:t>
      </w:r>
      <w:bookmarkEnd w:id="26"/>
      <w:r w:rsidRPr="6B20C011">
        <w:t xml:space="preserve"> if in a Supported Employment Service.</w:t>
      </w:r>
    </w:p>
    <w:p w14:paraId="496F1B88" w14:textId="77777777" w:rsidR="00D74559" w:rsidRPr="00FF753D" w:rsidRDefault="00D74559" w:rsidP="006E2EF5">
      <w:pPr>
        <w:pStyle w:val="TableChartHeading"/>
      </w:pPr>
      <w:r>
        <w:t>NDIS participant</w:t>
      </w:r>
      <w:r w:rsidRPr="00AF0A39">
        <w:t xml:space="preserve"> 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FD020B" w:rsidRPr="00FF753D" w14:paraId="706EECC7" w14:textId="77777777" w:rsidTr="00DE7A9B">
        <w:trPr>
          <w:cnfStyle w:val="100000000000" w:firstRow="1" w:lastRow="0" w:firstColumn="0" w:lastColumn="0" w:oddVBand="0" w:evenVBand="0" w:oddHBand="0" w:evenHBand="0" w:firstRowFirstColumn="0" w:firstRowLastColumn="0" w:lastRowFirstColumn="0" w:lastRowLastColumn="0"/>
          <w:trHeight w:val="300"/>
          <w:jc w:val="center"/>
        </w:trPr>
        <w:tc>
          <w:tcPr>
            <w:tcW w:w="5032" w:type="dxa"/>
            <w:tcBorders>
              <w:bottom w:val="single" w:sz="4" w:space="0" w:color="auto"/>
            </w:tcBorders>
            <w:hideMark/>
          </w:tcPr>
          <w:p w14:paraId="46800EBE" w14:textId="68BFF0C9" w:rsidR="00D74559" w:rsidRPr="00FF753D" w:rsidRDefault="00D74559" w:rsidP="00275975">
            <w:pPr>
              <w:pStyle w:val="TableText"/>
            </w:pPr>
            <w:r>
              <w:t xml:space="preserve">Variation to general eligibility </w:t>
            </w:r>
            <w:r w:rsidR="00CE10BE">
              <w:t>criteria</w:t>
            </w:r>
          </w:p>
        </w:tc>
        <w:tc>
          <w:tcPr>
            <w:tcW w:w="5032" w:type="dxa"/>
            <w:tcBorders>
              <w:bottom w:val="single" w:sz="4" w:space="0" w:color="auto"/>
            </w:tcBorders>
            <w:hideMark/>
          </w:tcPr>
          <w:p w14:paraId="39C25CCD" w14:textId="2AB724C1" w:rsidR="00D74559" w:rsidRPr="00FF753D" w:rsidRDefault="00D74559" w:rsidP="00275975">
            <w:pPr>
              <w:pStyle w:val="TableText"/>
            </w:pPr>
            <w:r w:rsidRPr="6B20C011">
              <w:t xml:space="preserve">Additional eligibility </w:t>
            </w:r>
            <w:r w:rsidR="00CE10BE">
              <w:t>criteria</w:t>
            </w:r>
          </w:p>
        </w:tc>
      </w:tr>
      <w:tr w:rsidR="00D74559" w:rsidRPr="00FF753D" w14:paraId="2F31AA0A" w14:textId="77777777" w:rsidTr="005F7D77">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32" w:type="dxa"/>
            <w:tcBorders>
              <w:bottom w:val="single" w:sz="4" w:space="0" w:color="auto"/>
            </w:tcBorders>
            <w:hideMark/>
          </w:tcPr>
          <w:p w14:paraId="6A7E72FF" w14:textId="77777777" w:rsidR="00D74559" w:rsidRDefault="00D74559" w:rsidP="00275975">
            <w:pPr>
              <w:pStyle w:val="TableText"/>
            </w:pPr>
            <w:r w:rsidRPr="6B20C011">
              <w:t xml:space="preserve">Work </w:t>
            </w:r>
            <w:bookmarkStart w:id="27" w:name="_Int_yioQlHdE"/>
            <w:r w:rsidRPr="6B20C011">
              <w:t>capacity</w:t>
            </w:r>
            <w:bookmarkEnd w:id="27"/>
            <w:r w:rsidRPr="6B20C011">
              <w:t>:</w:t>
            </w:r>
          </w:p>
          <w:p w14:paraId="100E7F46" w14:textId="77777777" w:rsidR="00D74559" w:rsidRDefault="00D74559" w:rsidP="007D21CC">
            <w:pPr>
              <w:pStyle w:val="TableList-level1"/>
            </w:pPr>
            <w:r w:rsidRPr="6B20C011">
              <w:t xml:space="preserve">The person does not need a Current or Valid ESAt assessment of their work </w:t>
            </w:r>
            <w:bookmarkStart w:id="28" w:name="_Int_rwQ283EL"/>
            <w:r w:rsidRPr="6B20C011">
              <w:t>capacity</w:t>
            </w:r>
            <w:bookmarkEnd w:id="28"/>
            <w:r w:rsidRPr="6B20C011">
              <w:t>.</w:t>
            </w:r>
          </w:p>
          <w:p w14:paraId="173563B8" w14:textId="77777777" w:rsidR="00D74559" w:rsidRDefault="00D74559" w:rsidP="00275975">
            <w:pPr>
              <w:pStyle w:val="TableText"/>
            </w:pPr>
            <w:r>
              <w:t xml:space="preserve">Referral: </w:t>
            </w:r>
          </w:p>
          <w:p w14:paraId="763F41AA" w14:textId="77777777" w:rsidR="00D74559" w:rsidRPr="0034041E" w:rsidRDefault="00D74559" w:rsidP="007D21CC">
            <w:pPr>
              <w:pStyle w:val="TableList-level1"/>
            </w:pPr>
            <w:r>
              <w:t>The person does not need an employment service referral.</w:t>
            </w:r>
            <w:r w:rsidRPr="0034041E" w:rsidDel="00E2738E">
              <w:t xml:space="preserve"> </w:t>
            </w:r>
          </w:p>
        </w:tc>
        <w:tc>
          <w:tcPr>
            <w:tcW w:w="5032" w:type="dxa"/>
            <w:tcBorders>
              <w:bottom w:val="single" w:sz="4" w:space="0" w:color="auto"/>
            </w:tcBorders>
            <w:hideMark/>
          </w:tcPr>
          <w:p w14:paraId="73C6FCF5" w14:textId="04407E15" w:rsidR="00D74559" w:rsidRDefault="00D74559" w:rsidP="007D21CC">
            <w:pPr>
              <w:pStyle w:val="TableList-level1"/>
            </w:pPr>
            <w:r w:rsidRPr="6B20C011">
              <w:t xml:space="preserve">Must be </w:t>
            </w:r>
            <w:r w:rsidR="00185A14" w:rsidRPr="6B20C011">
              <w:t>a</w:t>
            </w:r>
            <w:r w:rsidRPr="6B20C011">
              <w:t xml:space="preserve"> </w:t>
            </w:r>
            <w:r w:rsidR="00762553">
              <w:t xml:space="preserve">current </w:t>
            </w:r>
            <w:r w:rsidRPr="6B20C011">
              <w:t>NDIS participant.</w:t>
            </w:r>
          </w:p>
          <w:p w14:paraId="33E339EB" w14:textId="77777777" w:rsidR="00D74559" w:rsidRPr="000079A8" w:rsidRDefault="00D74559" w:rsidP="007D21CC">
            <w:pPr>
              <w:pStyle w:val="TableList-level1"/>
            </w:pPr>
            <w:r w:rsidRPr="6B20C011">
              <w:t>Must have a previous ESAt.</w:t>
            </w:r>
          </w:p>
        </w:tc>
      </w:tr>
    </w:tbl>
    <w:p w14:paraId="1F5507EB" w14:textId="46DD32C6" w:rsidR="00D74559" w:rsidRPr="004B5EA4" w:rsidRDefault="00D74559" w:rsidP="006E2EF5">
      <w:pPr>
        <w:rPr>
          <w:b/>
          <w:lang w:val="en-GB"/>
        </w:rPr>
      </w:pPr>
      <w:r w:rsidRPr="358AD25A">
        <w:rPr>
          <w:b/>
          <w:lang w:val="en-GB"/>
        </w:rPr>
        <w:t xml:space="preserve">Note: </w:t>
      </w:r>
      <w:r w:rsidRPr="358AD25A">
        <w:rPr>
          <w:lang w:val="en-GB"/>
        </w:rPr>
        <w:t xml:space="preserve">A person who wishes to access </w:t>
      </w:r>
      <w:r w:rsidR="00F92D0E">
        <w:rPr>
          <w:lang w:val="en-GB"/>
        </w:rPr>
        <w:t>Inclusive Employment Australia</w:t>
      </w:r>
      <w:r w:rsidRPr="358AD25A">
        <w:rPr>
          <w:lang w:val="en-GB"/>
        </w:rPr>
        <w:t xml:space="preserve"> using the special eligibility criteria for NDIS participants, must disclose to the Provider that they are </w:t>
      </w:r>
      <w:r w:rsidR="00C614F5" w:rsidRPr="358AD25A">
        <w:rPr>
          <w:lang w:val="en-GB"/>
        </w:rPr>
        <w:t>a</w:t>
      </w:r>
      <w:r w:rsidRPr="358AD25A">
        <w:rPr>
          <w:lang w:val="en-GB"/>
        </w:rPr>
        <w:t xml:space="preserve"> NDIS participant, and provide Documentary Evidence as outlined below</w:t>
      </w:r>
      <w:r w:rsidR="001746A5">
        <w:rPr>
          <w:lang w:val="en-GB"/>
        </w:rPr>
        <w:t xml:space="preserve">. </w:t>
      </w:r>
      <w:r w:rsidRPr="358AD25A">
        <w:rPr>
          <w:lang w:val="en-GB"/>
        </w:rPr>
        <w:t xml:space="preserve">If </w:t>
      </w:r>
      <w:r w:rsidR="00C614F5" w:rsidRPr="358AD25A">
        <w:rPr>
          <w:lang w:val="en-GB"/>
        </w:rPr>
        <w:t>a</w:t>
      </w:r>
      <w:r w:rsidRPr="358AD25A">
        <w:rPr>
          <w:lang w:val="en-GB"/>
        </w:rPr>
        <w:t xml:space="preserve"> NDIS Participant does not wish to disclose this information, they may enter </w:t>
      </w:r>
      <w:r w:rsidR="00F92D0E">
        <w:rPr>
          <w:lang w:val="en-GB"/>
        </w:rPr>
        <w:t>Inclusive Employment Australia</w:t>
      </w:r>
      <w:r w:rsidRPr="358AD25A">
        <w:rPr>
          <w:lang w:val="en-GB"/>
        </w:rPr>
        <w:t xml:space="preserve"> using the general eligibility criteria, including the requirement to have a Valid ESAt.</w:t>
      </w:r>
    </w:p>
    <w:p w14:paraId="336C7E6A" w14:textId="5F65AC29" w:rsidR="00D74559" w:rsidRPr="00B84B59" w:rsidRDefault="00D74559" w:rsidP="0079424A">
      <w:pPr>
        <w:pStyle w:val="DocumentaryEvidenceRequirement"/>
      </w:pPr>
      <w:r w:rsidRPr="00B84B59">
        <w:t xml:space="preserve">Providers must keep a copy of the Direct Registration Form that includes information to show the Participant’s is </w:t>
      </w:r>
      <w:r w:rsidR="00C614F5" w:rsidRPr="00B84B59">
        <w:t>a</w:t>
      </w:r>
      <w:r w:rsidRPr="00B84B59">
        <w:t xml:space="preserve"> NDIS participant.</w:t>
      </w:r>
    </w:p>
    <w:p w14:paraId="643A880A" w14:textId="52449312" w:rsidR="00D74559" w:rsidRPr="00B84B59" w:rsidRDefault="00D74559" w:rsidP="0079424A">
      <w:pPr>
        <w:pStyle w:val="DocumentaryEvidenceRequirement"/>
      </w:pPr>
      <w:r w:rsidRPr="00B84B59">
        <w:t xml:space="preserve">Providers must obtain and keep </w:t>
      </w:r>
      <w:r w:rsidR="00CE6359">
        <w:t xml:space="preserve">one of </w:t>
      </w:r>
      <w:r w:rsidRPr="00B84B59">
        <w:t xml:space="preserve">the following </w:t>
      </w:r>
      <w:r w:rsidR="00CE6359">
        <w:t xml:space="preserve">forms of </w:t>
      </w:r>
      <w:r w:rsidRPr="00B84B59">
        <w:t>Documentary Evidence:</w:t>
      </w:r>
    </w:p>
    <w:p w14:paraId="3481D82D" w14:textId="11D7F178" w:rsidR="00D74559" w:rsidRPr="004B5EA4" w:rsidRDefault="00D74559" w:rsidP="004E120D">
      <w:pPr>
        <w:pStyle w:val="BulletLevel2"/>
      </w:pPr>
      <w:r>
        <w:t>The c</w:t>
      </w:r>
      <w:r w:rsidRPr="004B5EA4">
        <w:t xml:space="preserve">over letter for the </w:t>
      </w:r>
      <w:r>
        <w:t>person</w:t>
      </w:r>
      <w:r w:rsidRPr="004B5EA4">
        <w:t>’s current NDIS plan</w:t>
      </w:r>
      <w:r>
        <w:t xml:space="preserve"> — a copy of the cover letter can be printed from the NDIS portal</w:t>
      </w:r>
      <w:r w:rsidR="001C223F">
        <w:t>.</w:t>
      </w:r>
    </w:p>
    <w:p w14:paraId="744F0971" w14:textId="6CFFF431" w:rsidR="00D74559" w:rsidRDefault="009D6800" w:rsidP="004E120D">
      <w:pPr>
        <w:pStyle w:val="BulletLevel2"/>
      </w:pPr>
      <w:r>
        <w:t>An</w:t>
      </w:r>
      <w:r w:rsidR="00D74559">
        <w:t xml:space="preserve"> ‘access met’ letter, recognising the person’s eligibility for NDIS supports.</w:t>
      </w:r>
    </w:p>
    <w:p w14:paraId="172A1EC0" w14:textId="77777777" w:rsidR="00D74559" w:rsidRPr="00FF753D" w:rsidRDefault="00D74559" w:rsidP="006E2EF5">
      <w:r w:rsidRPr="77B5DA42">
        <w:rPr>
          <w:b/>
          <w:bCs/>
        </w:rPr>
        <w:t xml:space="preserve">Note: </w:t>
      </w:r>
      <w:r>
        <w:t>A person does not need to provide their NDIS plan, and if they do, a copy of the plan should not be kept.</w:t>
      </w:r>
    </w:p>
    <w:p w14:paraId="45EA7867" w14:textId="4A3AAEC9" w:rsidR="00D74559" w:rsidRPr="00FF753D" w:rsidRDefault="00D74559" w:rsidP="001D0F92">
      <w:pPr>
        <w:pStyle w:val="Heading4"/>
      </w:pPr>
      <w:bookmarkStart w:id="29" w:name="_Toc202899872"/>
      <w:r>
        <w:t>1.3.4</w:t>
      </w:r>
      <w:r w:rsidR="00E1472F">
        <w:tab/>
      </w:r>
      <w:r>
        <w:t xml:space="preserve">DSP </w:t>
      </w:r>
      <w:r w:rsidR="00E1472F">
        <w:t>r</w:t>
      </w:r>
      <w:r>
        <w:t>ecipients</w:t>
      </w:r>
      <w:bookmarkEnd w:id="29"/>
    </w:p>
    <w:p w14:paraId="4F19DA4A" w14:textId="6D76BD89" w:rsidR="00D74559" w:rsidRDefault="00D74559" w:rsidP="006E2EF5">
      <w:r w:rsidRPr="6B20C011">
        <w:t xml:space="preserve">DSP </w:t>
      </w:r>
      <w:r w:rsidR="00E863D7">
        <w:t>recipient</w:t>
      </w:r>
      <w:r w:rsidRPr="6B20C011">
        <w:t xml:space="preserve"> eligibility streamlines access to the </w:t>
      </w:r>
      <w:r w:rsidR="00F92D0E">
        <w:t>Inclusive Employment Australia</w:t>
      </w:r>
      <w:r w:rsidRPr="6B20C011">
        <w:t xml:space="preserve"> for those receiving this Income Support Payment</w:t>
      </w:r>
      <w:r w:rsidR="00AE3CBA">
        <w:t>. I</w:t>
      </w:r>
      <w:r w:rsidRPr="6B20C011">
        <w:t xml:space="preserve">t allows access to </w:t>
      </w:r>
      <w:r w:rsidR="00F92D0E">
        <w:t>Inclusive Employment Australia</w:t>
      </w:r>
      <w:r>
        <w:t xml:space="preserve"> for</w:t>
      </w:r>
      <w:r w:rsidRPr="6B20C011">
        <w:t xml:space="preserve"> DSP </w:t>
      </w:r>
      <w:r w:rsidR="0010289B">
        <w:t>r</w:t>
      </w:r>
      <w:r w:rsidRPr="6B20C011">
        <w:t>ecipients who have an earlier ESAt that was conducted at any time</w:t>
      </w:r>
      <w:r w:rsidR="004A1E7F">
        <w:t xml:space="preserve"> (noting that </w:t>
      </w:r>
      <w:r w:rsidR="00AA3EAC">
        <w:t xml:space="preserve">an assessment </w:t>
      </w:r>
      <w:r w:rsidR="00AA0DDE">
        <w:t>generally will</w:t>
      </w:r>
      <w:r w:rsidR="00AA3EAC">
        <w:t xml:space="preserve"> have been undertaken as part of determining eligibility for DSP)</w:t>
      </w:r>
      <w:r w:rsidR="00037A0C">
        <w:t>,</w:t>
      </w:r>
      <w:r w:rsidR="00AE3CBA">
        <w:t xml:space="preserve"> regardless of whether it</w:t>
      </w:r>
      <w:r w:rsidRPr="6B20C011">
        <w:t xml:space="preserve"> included a recommendation to </w:t>
      </w:r>
      <w:r w:rsidR="0010289B">
        <w:t>Inclusive Employment Australia</w:t>
      </w:r>
      <w:r w:rsidR="004C37FA">
        <w:t xml:space="preserve"> or</w:t>
      </w:r>
      <w:r w:rsidR="0010289B">
        <w:t xml:space="preserve"> DES</w:t>
      </w:r>
      <w:r w:rsidR="004C37FA">
        <w:t>,</w:t>
      </w:r>
      <w:r w:rsidR="0010289B" w:rsidRPr="6B20C011">
        <w:t xml:space="preserve"> </w:t>
      </w:r>
      <w:r w:rsidRPr="6B20C011">
        <w:t>an</w:t>
      </w:r>
      <w:r w:rsidR="004C37FA">
        <w:t xml:space="preserve"> O</w:t>
      </w:r>
      <w:r w:rsidRPr="6B20C011">
        <w:t xml:space="preserve">ther </w:t>
      </w:r>
      <w:r w:rsidR="004C37FA">
        <w:t>E</w:t>
      </w:r>
      <w:r w:rsidRPr="6B20C011">
        <w:t xml:space="preserve">mployment </w:t>
      </w:r>
      <w:r w:rsidR="004C37FA">
        <w:t>S</w:t>
      </w:r>
      <w:r w:rsidRPr="6B20C011">
        <w:t>ervice or a recommendation of ‘unable to benefit’. More detail is available in</w:t>
      </w:r>
      <w:r w:rsidR="006351F8">
        <w:t xml:space="preserve"> </w:t>
      </w:r>
      <w:r w:rsidR="006351F8">
        <w:fldChar w:fldCharType="begin"/>
      </w:r>
      <w:r w:rsidR="006351F8">
        <w:instrText xml:space="preserve"> REF _Ref202780839 \h </w:instrText>
      </w:r>
      <w:r w:rsidR="006351F8">
        <w:fldChar w:fldCharType="separate"/>
      </w:r>
      <w:r w:rsidR="000D75AE" w:rsidRPr="7374C138">
        <w:rPr>
          <w:lang w:val="en-GB"/>
        </w:rPr>
        <w:t xml:space="preserve">2.4.3ESAt requirements for DSP </w:t>
      </w:r>
      <w:r w:rsidR="000D75AE">
        <w:rPr>
          <w:lang w:val="en-GB"/>
        </w:rPr>
        <w:t>r</w:t>
      </w:r>
      <w:r w:rsidR="000D75AE" w:rsidRPr="7374C138">
        <w:rPr>
          <w:lang w:val="en-GB"/>
        </w:rPr>
        <w:t>ecipients and NDIS participants</w:t>
      </w:r>
      <w:r w:rsidR="006351F8">
        <w:fldChar w:fldCharType="end"/>
      </w:r>
      <w:r w:rsidR="006351F8">
        <w:t>.</w:t>
      </w:r>
    </w:p>
    <w:p w14:paraId="2DD81EAD" w14:textId="6526A650" w:rsidR="00D74559" w:rsidRPr="00FF753D" w:rsidRDefault="00D74559" w:rsidP="006E2EF5">
      <w:pPr>
        <w:pStyle w:val="TableChartHeading"/>
      </w:pPr>
      <w:r>
        <w:t xml:space="preserve">DSP </w:t>
      </w:r>
      <w:r w:rsidR="00896747">
        <w:t>r</w:t>
      </w:r>
      <w:r>
        <w:t>ecipient</w:t>
      </w:r>
      <w:r w:rsidRPr="00AF0A39">
        <w:t xml:space="preserve"> 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FD020B" w:rsidRPr="00FF753D" w14:paraId="2EE88644" w14:textId="77777777" w:rsidTr="00DE7A9B">
        <w:trPr>
          <w:cnfStyle w:val="100000000000" w:firstRow="1" w:lastRow="0" w:firstColumn="0" w:lastColumn="0" w:oddVBand="0" w:evenVBand="0" w:oddHBand="0" w:evenHBand="0" w:firstRowFirstColumn="0" w:firstRowLastColumn="0" w:lastRowFirstColumn="0" w:lastRowLastColumn="0"/>
          <w:trHeight w:val="300"/>
          <w:jc w:val="center"/>
        </w:trPr>
        <w:tc>
          <w:tcPr>
            <w:tcW w:w="5032" w:type="dxa"/>
            <w:tcBorders>
              <w:bottom w:val="single" w:sz="4" w:space="0" w:color="auto"/>
            </w:tcBorders>
            <w:hideMark/>
          </w:tcPr>
          <w:p w14:paraId="571DABDD" w14:textId="2D046C5C" w:rsidR="00D74559" w:rsidRPr="005943BD" w:rsidRDefault="00D74559" w:rsidP="005943BD">
            <w:pPr>
              <w:pStyle w:val="TableText"/>
            </w:pPr>
            <w:r w:rsidRPr="005943BD">
              <w:t xml:space="preserve">Variation to general eligibility </w:t>
            </w:r>
            <w:r w:rsidR="00CE10BE">
              <w:t>criteria</w:t>
            </w:r>
          </w:p>
        </w:tc>
        <w:tc>
          <w:tcPr>
            <w:tcW w:w="5032" w:type="dxa"/>
            <w:tcBorders>
              <w:bottom w:val="single" w:sz="4" w:space="0" w:color="auto"/>
            </w:tcBorders>
            <w:hideMark/>
          </w:tcPr>
          <w:p w14:paraId="28570F09" w14:textId="515CF959" w:rsidR="00D74559" w:rsidRPr="005943BD" w:rsidRDefault="00D74559" w:rsidP="005943BD">
            <w:pPr>
              <w:pStyle w:val="TableText"/>
            </w:pPr>
            <w:r w:rsidRPr="005943BD">
              <w:t xml:space="preserve">Additional eligibility </w:t>
            </w:r>
            <w:r w:rsidR="00CE10BE">
              <w:t>criteria</w:t>
            </w:r>
          </w:p>
        </w:tc>
      </w:tr>
      <w:tr w:rsidR="00D74559" w:rsidRPr="00FF753D" w14:paraId="6B453D54"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5032" w:type="dxa"/>
            <w:tcBorders>
              <w:bottom w:val="single" w:sz="4" w:space="0" w:color="auto"/>
            </w:tcBorders>
            <w:hideMark/>
          </w:tcPr>
          <w:p w14:paraId="2973A8CF" w14:textId="77777777" w:rsidR="00D74559" w:rsidRPr="005943BD" w:rsidRDefault="00D74559" w:rsidP="005943BD">
            <w:pPr>
              <w:pStyle w:val="TableText"/>
            </w:pPr>
            <w:r w:rsidRPr="005943BD">
              <w:t xml:space="preserve">Work </w:t>
            </w:r>
            <w:bookmarkStart w:id="30" w:name="_Int_tJaRkZQi"/>
            <w:r w:rsidRPr="005943BD">
              <w:t>capacity</w:t>
            </w:r>
            <w:bookmarkEnd w:id="30"/>
            <w:r w:rsidRPr="005943BD">
              <w:t>:</w:t>
            </w:r>
          </w:p>
          <w:p w14:paraId="551FD953" w14:textId="77777777" w:rsidR="00D74559" w:rsidRDefault="00D74559" w:rsidP="007D21CC">
            <w:pPr>
              <w:pStyle w:val="TableList-level1"/>
            </w:pPr>
            <w:r w:rsidRPr="6B20C011">
              <w:t xml:space="preserve">The person does not need a Current or Valid ESAt assessment of their work </w:t>
            </w:r>
            <w:bookmarkStart w:id="31" w:name="_Int_FwHuI2IV"/>
            <w:r w:rsidRPr="6B20C011">
              <w:t>capacity</w:t>
            </w:r>
            <w:bookmarkEnd w:id="31"/>
            <w:r w:rsidRPr="6B20C011">
              <w:t>.</w:t>
            </w:r>
          </w:p>
          <w:p w14:paraId="41E133F9" w14:textId="77777777" w:rsidR="00D74559" w:rsidRPr="005943BD" w:rsidRDefault="00D74559" w:rsidP="005943BD">
            <w:pPr>
              <w:pStyle w:val="TableText"/>
            </w:pPr>
            <w:r w:rsidRPr="005943BD">
              <w:t xml:space="preserve">Referral: </w:t>
            </w:r>
          </w:p>
          <w:p w14:paraId="7793A3BB" w14:textId="77777777" w:rsidR="00D74559" w:rsidRPr="0034041E" w:rsidRDefault="00D74559" w:rsidP="007D21CC">
            <w:pPr>
              <w:pStyle w:val="TableList-level1"/>
            </w:pPr>
            <w:r>
              <w:t>The person does not need an employment service referral.</w:t>
            </w:r>
          </w:p>
        </w:tc>
        <w:tc>
          <w:tcPr>
            <w:tcW w:w="5032" w:type="dxa"/>
            <w:tcBorders>
              <w:bottom w:val="single" w:sz="4" w:space="0" w:color="auto"/>
            </w:tcBorders>
          </w:tcPr>
          <w:p w14:paraId="75FD39B0" w14:textId="6ED1C7F7" w:rsidR="00D74559" w:rsidRDefault="00D74559" w:rsidP="007D21CC">
            <w:pPr>
              <w:pStyle w:val="TableList-level1"/>
            </w:pPr>
            <w:r w:rsidRPr="6B20C011">
              <w:t>Must be a</w:t>
            </w:r>
            <w:r w:rsidR="001D2243">
              <w:t xml:space="preserve"> current</w:t>
            </w:r>
            <w:r w:rsidRPr="6B20C011">
              <w:t xml:space="preserve"> DSP </w:t>
            </w:r>
            <w:r w:rsidR="004C37FA">
              <w:t>r</w:t>
            </w:r>
            <w:r w:rsidRPr="6B20C011">
              <w:t>ecipient as identified on the Department’s IT Systems.</w:t>
            </w:r>
          </w:p>
          <w:p w14:paraId="0E9AFF6A" w14:textId="77777777" w:rsidR="00D74559" w:rsidRPr="00E74D9E" w:rsidRDefault="00D74559" w:rsidP="007D21CC">
            <w:pPr>
              <w:pStyle w:val="TableList-level1"/>
            </w:pPr>
            <w:r w:rsidRPr="6B20C011">
              <w:t>Must have a previous ESAt.</w:t>
            </w:r>
          </w:p>
        </w:tc>
      </w:tr>
    </w:tbl>
    <w:p w14:paraId="16385465" w14:textId="00ABDAB7" w:rsidR="00D74559" w:rsidRPr="00FF753D" w:rsidRDefault="00D74559" w:rsidP="001D0F92">
      <w:pPr>
        <w:pStyle w:val="Heading4"/>
      </w:pPr>
      <w:bookmarkStart w:id="32" w:name="_Toc202899873"/>
      <w:r>
        <w:t>1.3.5</w:t>
      </w:r>
      <w:r w:rsidR="00E863D7">
        <w:tab/>
      </w:r>
      <w:r>
        <w:t>Pre-Release Prisoners</w:t>
      </w:r>
      <w:bookmarkEnd w:id="32"/>
    </w:p>
    <w:p w14:paraId="0A0A6449" w14:textId="29E66BD2" w:rsidR="00D74559" w:rsidRDefault="00D74559" w:rsidP="006E2EF5">
      <w:r>
        <w:t xml:space="preserve">Pre-Release Prisoner (PRP) eligibility allows eligible prisoners or detainees access to </w:t>
      </w:r>
      <w:r w:rsidR="00F92D0E">
        <w:t>Inclusive Employment Australia</w:t>
      </w:r>
      <w:r>
        <w:t xml:space="preserve"> while they are in custody to maximise their Employment support following their release, this includes those who can leave prison on day release. </w:t>
      </w:r>
    </w:p>
    <w:p w14:paraId="6FEB6F72" w14:textId="747A84F3" w:rsidR="00372349" w:rsidRDefault="00D74559" w:rsidP="006E2EF5">
      <w:r w:rsidRPr="6B20C011">
        <w:t xml:space="preserve">State and territory corrective or youth justice services will refer PRPs they consider suitable to Providers. </w:t>
      </w:r>
      <w:r w:rsidR="00AE611B">
        <w:t xml:space="preserve">Providers should create links with corrective or youth justice services, so that they are ready to receive </w:t>
      </w:r>
      <w:r w:rsidR="00865A24">
        <w:t>R</w:t>
      </w:r>
      <w:r w:rsidR="00AE611B">
        <w:t>eferrals.</w:t>
      </w:r>
    </w:p>
    <w:p w14:paraId="4E597E46" w14:textId="1E259A2B" w:rsidR="00372349" w:rsidRDefault="00372349" w:rsidP="006E2EF5">
      <w:r w:rsidRPr="2672ABBF">
        <w:t>Pre-</w:t>
      </w:r>
      <w:r>
        <w:t>R</w:t>
      </w:r>
      <w:r w:rsidRPr="2672ABBF">
        <w:t>elease Prisoner</w:t>
      </w:r>
      <w:r>
        <w:t>s</w:t>
      </w:r>
      <w:r w:rsidRPr="2672ABBF">
        <w:t xml:space="preserve"> (PRP) must be Directly Registered by the Provider following a referral from the state or territory corrective services agency or youth justice service</w:t>
      </w:r>
      <w:r>
        <w:t xml:space="preserve"> if they meet </w:t>
      </w:r>
      <w:r w:rsidR="00AE611B">
        <w:t xml:space="preserve">the </w:t>
      </w:r>
      <w:r>
        <w:t xml:space="preserve">PRP </w:t>
      </w:r>
      <w:r w:rsidR="00AE611B">
        <w:t xml:space="preserve">Participant </w:t>
      </w:r>
      <w:r>
        <w:t>eligibility</w:t>
      </w:r>
      <w:r w:rsidR="00AE611B">
        <w:t xml:space="preserve"> criteria</w:t>
      </w:r>
      <w:r w:rsidRPr="2672ABBF">
        <w:t>.</w:t>
      </w:r>
    </w:p>
    <w:p w14:paraId="4BB603D5" w14:textId="0099DFA8" w:rsidR="00D74559" w:rsidRDefault="00D74559" w:rsidP="006E2EF5">
      <w:r w:rsidRPr="6B20C011">
        <w:t xml:space="preserve">If a person is </w:t>
      </w:r>
      <w:r w:rsidR="00AB5639">
        <w:t>R</w:t>
      </w:r>
      <w:r w:rsidRPr="6B20C011">
        <w:t xml:space="preserve">eferred to a Provider and does not meet PRP </w:t>
      </w:r>
      <w:r w:rsidR="00AE611B">
        <w:t xml:space="preserve">Participant </w:t>
      </w:r>
      <w:r w:rsidRPr="6B20C011">
        <w:t>eligibility criteria, the Provider must not Directly Register the</w:t>
      </w:r>
      <w:r w:rsidR="00E05B20">
        <w:t xml:space="preserve"> person</w:t>
      </w:r>
      <w:r w:rsidRPr="6B20C011">
        <w:t xml:space="preserve"> and should advise the relevant state or territory corrective or youth justice service accordingly.</w:t>
      </w:r>
    </w:p>
    <w:p w14:paraId="3181E1D1" w14:textId="77777777" w:rsidR="00D74559" w:rsidRDefault="00D74559" w:rsidP="006F727E">
      <w:pPr>
        <w:pStyle w:val="SystemStep"/>
      </w:pPr>
      <w:r>
        <w:t xml:space="preserve">Providers must apply the ‘Pre-Release </w:t>
      </w:r>
      <w:r w:rsidRPr="297AA1F9">
        <w:t xml:space="preserve">Prisoner’ </w:t>
      </w:r>
      <w:r w:rsidRPr="00375B03">
        <w:t>special</w:t>
      </w:r>
      <w:r w:rsidRPr="297AA1F9" w:rsidDel="00DF6C88">
        <w:t xml:space="preserve"> </w:t>
      </w:r>
      <w:r>
        <w:t>c</w:t>
      </w:r>
      <w:r w:rsidRPr="297AA1F9">
        <w:t xml:space="preserve">lient </w:t>
      </w:r>
      <w:r>
        <w:t>t</w:t>
      </w:r>
      <w:r w:rsidRPr="297AA1F9">
        <w:t xml:space="preserve">ype indicator to the </w:t>
      </w:r>
      <w:r>
        <w:t>Participant’s r</w:t>
      </w:r>
      <w:r w:rsidRPr="297AA1F9">
        <w:t>ecord in the Department’s IT Systems</w:t>
      </w:r>
      <w:r>
        <w:t xml:space="preserve">. </w:t>
      </w:r>
    </w:p>
    <w:p w14:paraId="732141B8" w14:textId="77777777" w:rsidR="009D6800" w:rsidRPr="00B84B59" w:rsidRDefault="009D6800" w:rsidP="009D6800">
      <w:pPr>
        <w:pStyle w:val="DocumentaryEvidenceRequirement"/>
      </w:pPr>
      <w:r w:rsidRPr="00B84B59">
        <w:t>Providers must keep the relevant referral of the PRP Participant.</w:t>
      </w:r>
    </w:p>
    <w:p w14:paraId="25504B2F" w14:textId="4C9E29CB" w:rsidR="00D74559" w:rsidRDefault="00D74559" w:rsidP="006E2EF5">
      <w:r w:rsidRPr="6B20C011">
        <w:rPr>
          <w:b/>
          <w:bCs/>
        </w:rPr>
        <w:t>Note:</w:t>
      </w:r>
      <w:r w:rsidRPr="6B20C011">
        <w:t xml:space="preserve"> Refer to</w:t>
      </w:r>
      <w:r w:rsidR="00521DD0">
        <w:t xml:space="preserve"> </w:t>
      </w:r>
      <w:r w:rsidR="00521DD0">
        <w:fldChar w:fldCharType="begin"/>
      </w:r>
      <w:r w:rsidR="00521DD0">
        <w:instrText xml:space="preserve"> REF _Ref202777525 \h </w:instrText>
      </w:r>
      <w:r w:rsidR="00521DD0">
        <w:fldChar w:fldCharType="separate"/>
      </w:r>
      <w:r w:rsidR="000D75AE" w:rsidRPr="006F727E">
        <w:t>2.4</w:t>
      </w:r>
      <w:r w:rsidR="0097189E">
        <w:t xml:space="preserve"> </w:t>
      </w:r>
      <w:r w:rsidR="000D75AE" w:rsidRPr="006F727E">
        <w:t>Employment Services Assessment</w:t>
      </w:r>
      <w:r w:rsidR="00521DD0">
        <w:fldChar w:fldCharType="end"/>
      </w:r>
      <w:r w:rsidR="00521DD0">
        <w:t xml:space="preserve"> </w:t>
      </w:r>
      <w:r w:rsidRPr="6B20C011">
        <w:t xml:space="preserve">for further information about </w:t>
      </w:r>
      <w:r>
        <w:t>ESAt</w:t>
      </w:r>
      <w:r w:rsidR="539D6CC7">
        <w:t xml:space="preserve"> requirement</w:t>
      </w:r>
      <w:r>
        <w:t>s</w:t>
      </w:r>
      <w:r w:rsidRPr="6B20C011">
        <w:t xml:space="preserve"> for </w:t>
      </w:r>
      <w:r w:rsidR="00BB1885">
        <w:t>PRP</w:t>
      </w:r>
      <w:r w:rsidR="00333198">
        <w:t>s</w:t>
      </w:r>
      <w:r w:rsidRPr="6B20C011">
        <w:t>.</w:t>
      </w:r>
    </w:p>
    <w:p w14:paraId="14611B4D" w14:textId="64250EC1" w:rsidR="00D74559" w:rsidRPr="00FF753D" w:rsidRDefault="00D74559" w:rsidP="006E2EF5">
      <w:pPr>
        <w:pStyle w:val="TableChartHeading"/>
      </w:pPr>
      <w:r>
        <w:t>PRP</w:t>
      </w:r>
      <w:r w:rsidRPr="00AF0A39">
        <w:t xml:space="preserve"> </w:t>
      </w:r>
      <w:r w:rsidR="00BB1885">
        <w:t xml:space="preserve">Participant </w:t>
      </w:r>
      <w:r w:rsidRPr="00AF0A39">
        <w:t>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2"/>
      </w:tblGrid>
      <w:tr w:rsidR="00FD020B" w14:paraId="5858ED26" w14:textId="77777777" w:rsidTr="009D6800">
        <w:trPr>
          <w:cnfStyle w:val="100000000000" w:firstRow="1" w:lastRow="0" w:firstColumn="0" w:lastColumn="0" w:oddVBand="0" w:evenVBand="0" w:oddHBand="0" w:evenHBand="0" w:firstRowFirstColumn="0" w:firstRowLastColumn="0" w:lastRowFirstColumn="0" w:lastRowLastColumn="0"/>
          <w:cantSplit/>
          <w:trHeight w:val="300"/>
          <w:jc w:val="center"/>
        </w:trPr>
        <w:tc>
          <w:tcPr>
            <w:tcW w:w="5032" w:type="dxa"/>
            <w:tcBorders>
              <w:bottom w:val="single" w:sz="4" w:space="0" w:color="auto"/>
            </w:tcBorders>
          </w:tcPr>
          <w:p w14:paraId="5409BC03" w14:textId="77777777" w:rsidR="00593018" w:rsidRDefault="00593018">
            <w:pPr>
              <w:pStyle w:val="TableText"/>
              <w:rPr>
                <w:rFonts w:ascii="Calibri" w:eastAsia="Calibri" w:hAnsi="Calibri" w:cs="Calibri"/>
                <w:szCs w:val="22"/>
              </w:rPr>
            </w:pPr>
            <w:r>
              <w:t>Variations to general eligibility criteria</w:t>
            </w:r>
          </w:p>
        </w:tc>
        <w:tc>
          <w:tcPr>
            <w:tcW w:w="5032" w:type="dxa"/>
            <w:tcBorders>
              <w:bottom w:val="single" w:sz="4" w:space="0" w:color="auto"/>
            </w:tcBorders>
          </w:tcPr>
          <w:p w14:paraId="147E9CFA" w14:textId="77777777" w:rsidR="00593018" w:rsidRDefault="00593018">
            <w:pPr>
              <w:pStyle w:val="TableText"/>
              <w:rPr>
                <w:rFonts w:ascii="Calibri" w:eastAsia="Calibri" w:hAnsi="Calibri" w:cs="Calibri"/>
                <w:b w:val="0"/>
              </w:rPr>
            </w:pPr>
            <w:r w:rsidRPr="6B20C011">
              <w:t xml:space="preserve">Additional eligibility </w:t>
            </w:r>
            <w:r>
              <w:t>requirements</w:t>
            </w:r>
          </w:p>
        </w:tc>
      </w:tr>
      <w:tr w:rsidR="00D74559" w:rsidRPr="00FF753D" w14:paraId="6ED6EBD7" w14:textId="77777777" w:rsidTr="009D6800">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32" w:type="dxa"/>
            <w:tcBorders>
              <w:bottom w:val="single" w:sz="4" w:space="0" w:color="auto"/>
            </w:tcBorders>
            <w:hideMark/>
          </w:tcPr>
          <w:p w14:paraId="411AC70B" w14:textId="38F7D8F2" w:rsidR="00D74559" w:rsidRDefault="00D74559" w:rsidP="005943BD">
            <w:pPr>
              <w:pStyle w:val="TableText"/>
            </w:pPr>
            <w:r w:rsidRPr="00566C86">
              <w:t>Age:</w:t>
            </w:r>
          </w:p>
          <w:p w14:paraId="3B52D22E" w14:textId="77777777" w:rsidR="00D74559" w:rsidRPr="003966A3" w:rsidRDefault="00D74559" w:rsidP="007D21CC">
            <w:pPr>
              <w:pStyle w:val="TableList-level1"/>
              <w:rPr>
                <w:b/>
              </w:rPr>
            </w:pPr>
            <w:r>
              <w:t>T</w:t>
            </w:r>
            <w:r w:rsidRPr="00DE54C4">
              <w:t xml:space="preserve">he person must be </w:t>
            </w:r>
            <w:r w:rsidRPr="00566C86">
              <w:t xml:space="preserve">at least 15 years </w:t>
            </w:r>
            <w:r>
              <w:t>of</w:t>
            </w:r>
            <w:r w:rsidRPr="00566C86">
              <w:t xml:space="preserve"> age</w:t>
            </w:r>
            <w:r>
              <w:t>.</w:t>
            </w:r>
          </w:p>
        </w:tc>
        <w:tc>
          <w:tcPr>
            <w:tcW w:w="5032" w:type="dxa"/>
            <w:tcBorders>
              <w:bottom w:val="single" w:sz="4" w:space="0" w:color="auto"/>
            </w:tcBorders>
            <w:hideMark/>
          </w:tcPr>
          <w:p w14:paraId="7355F8BD" w14:textId="77777777" w:rsidR="00D74559" w:rsidRPr="003A5686" w:rsidRDefault="00D74559" w:rsidP="007D21CC">
            <w:pPr>
              <w:pStyle w:val="TableList-level1"/>
              <w:rPr>
                <w:b/>
              </w:rPr>
            </w:pPr>
            <w:r w:rsidRPr="00CB1B9F">
              <w:t>Must be</w:t>
            </w:r>
            <w:r>
              <w:t>:</w:t>
            </w:r>
          </w:p>
          <w:p w14:paraId="4434562F" w14:textId="77777777" w:rsidR="00D74559" w:rsidRPr="009C4786" w:rsidRDefault="00D74559" w:rsidP="009C4786">
            <w:pPr>
              <w:pStyle w:val="TableList-level2"/>
            </w:pPr>
            <w:r w:rsidRPr="00CB1B9F">
              <w:t xml:space="preserve">in the final 12 months of their </w:t>
            </w:r>
            <w:r w:rsidRPr="009C4786">
              <w:t>sentence</w:t>
            </w:r>
          </w:p>
          <w:p w14:paraId="26DB15BA" w14:textId="77777777" w:rsidR="00D74559" w:rsidRPr="009C4786" w:rsidRDefault="00D74559" w:rsidP="009C4786">
            <w:pPr>
              <w:pStyle w:val="TableList-level2"/>
            </w:pPr>
            <w:r w:rsidRPr="009C4786">
              <w:t>licensed to engage in paid work, and</w:t>
            </w:r>
          </w:p>
          <w:p w14:paraId="3DDD5371" w14:textId="77777777" w:rsidR="00D74559" w:rsidRPr="005B25A1" w:rsidRDefault="00D74559" w:rsidP="009C4786">
            <w:pPr>
              <w:pStyle w:val="TableList-level2"/>
            </w:pPr>
            <w:r w:rsidRPr="009C4786">
              <w:t>referred by a state or territory corrective</w:t>
            </w:r>
            <w:r w:rsidRPr="00CB1B9F">
              <w:t xml:space="preserve"> services agency or youth justice service</w:t>
            </w:r>
            <w:r>
              <w:t xml:space="preserve"> provider.</w:t>
            </w:r>
          </w:p>
        </w:tc>
      </w:tr>
    </w:tbl>
    <w:p w14:paraId="2E21EC8C" w14:textId="77777777" w:rsidR="00AE611B" w:rsidRDefault="00AE611B" w:rsidP="00AE611B">
      <w:r w:rsidRPr="6B20C011">
        <w:rPr>
          <w:b/>
          <w:bCs/>
        </w:rPr>
        <w:t xml:space="preserve">Note: </w:t>
      </w:r>
      <w:r w:rsidRPr="6B20C011">
        <w:t>The Department’s IT Systems will remove the PRP special client type indicator after the person’s release, if they are in receipt of an Income Support Payment. Where possible, Providers are encouraged to remove the flag as soon as they become aware the person has been released from custody.</w:t>
      </w:r>
    </w:p>
    <w:p w14:paraId="37F3E4CB" w14:textId="704C8761" w:rsidR="00D74559" w:rsidRPr="00FF753D" w:rsidRDefault="00D74559" w:rsidP="001D0F92">
      <w:pPr>
        <w:pStyle w:val="Heading4"/>
      </w:pPr>
      <w:bookmarkStart w:id="33" w:name="_Ref202783302"/>
      <w:bookmarkStart w:id="34" w:name="_Toc202899874"/>
      <w:r>
        <w:t>1.3.6</w:t>
      </w:r>
      <w:r w:rsidR="00E863D7">
        <w:tab/>
      </w:r>
      <w:r>
        <w:t>Ongoing Support (Work Assist) Participants</w:t>
      </w:r>
      <w:bookmarkEnd w:id="33"/>
      <w:bookmarkEnd w:id="34"/>
    </w:p>
    <w:p w14:paraId="229D201B" w14:textId="50D80D28" w:rsidR="00D74559" w:rsidRDefault="00D74559" w:rsidP="006E2EF5">
      <w:r w:rsidRPr="6B20C011">
        <w:t>Ongoing Support (Work Assist) eligibility allows people already in Employment to access Ongoing Support</w:t>
      </w:r>
      <w:r w:rsidR="001E475C">
        <w:t>. It supports people who</w:t>
      </w:r>
      <w:r w:rsidRPr="6B20C011">
        <w:t xml:space="preserve"> are having difficulty meeting the essential functions of their job because of their disability, injury or health condition. </w:t>
      </w:r>
    </w:p>
    <w:p w14:paraId="00E575EB" w14:textId="544CF05A" w:rsidR="00D74559" w:rsidRDefault="00D74559" w:rsidP="006E2EF5">
      <w:pPr>
        <w:rPr>
          <w:rFonts w:ascii="Tahoma" w:eastAsia="Tahoma" w:hAnsi="Tahoma" w:cs="Tahoma"/>
          <w:szCs w:val="22"/>
        </w:rPr>
      </w:pPr>
      <w:r w:rsidRPr="2CACB997">
        <w:rPr>
          <w:rFonts w:ascii="Tahoma" w:eastAsia="Tahoma" w:hAnsi="Tahoma" w:cs="Tahoma"/>
          <w:szCs w:val="22"/>
        </w:rPr>
        <w:t>Ongoing Support (Work Assist) Participants can either self-refer or</w:t>
      </w:r>
      <w:r w:rsidR="004F6567">
        <w:rPr>
          <w:rFonts w:ascii="Tahoma" w:eastAsia="Tahoma" w:hAnsi="Tahoma" w:cs="Tahoma"/>
          <w:szCs w:val="22"/>
        </w:rPr>
        <w:t>, with their consent, have been referred by</w:t>
      </w:r>
      <w:r w:rsidRPr="2CACB997">
        <w:rPr>
          <w:rFonts w:ascii="Tahoma" w:eastAsia="Tahoma" w:hAnsi="Tahoma" w:cs="Tahoma"/>
          <w:szCs w:val="22"/>
        </w:rPr>
        <w:t xml:space="preserve"> their Employer.</w:t>
      </w:r>
    </w:p>
    <w:p w14:paraId="7DE95E22" w14:textId="0D7E659B" w:rsidR="00D74559" w:rsidRDefault="00D74559" w:rsidP="006E2EF5">
      <w:r w:rsidRPr="6B20C011">
        <w:t xml:space="preserve">When an employee </w:t>
      </w:r>
      <w:r w:rsidR="00036E7C">
        <w:t>c</w:t>
      </w:r>
      <w:r w:rsidRPr="6B20C011">
        <w:t xml:space="preserve">ommences </w:t>
      </w:r>
      <w:r w:rsidR="007A0C39">
        <w:t>as a</w:t>
      </w:r>
      <w:r w:rsidR="003C4B50">
        <w:t>n</w:t>
      </w:r>
      <w:r w:rsidRPr="6B20C011">
        <w:t xml:space="preserve"> Ongoing Support (Work Assist) </w:t>
      </w:r>
      <w:r w:rsidR="007A0C39">
        <w:t>Participant</w:t>
      </w:r>
      <w:r w:rsidRPr="6B20C011">
        <w:t xml:space="preserve">, they immediately start to receive Ongoing Support to maintain their </w:t>
      </w:r>
      <w:r w:rsidR="4555E497">
        <w:t>E</w:t>
      </w:r>
      <w:r>
        <w:t>mployment.</w:t>
      </w:r>
      <w:r w:rsidRPr="6B20C011">
        <w:t xml:space="preserve"> </w:t>
      </w:r>
      <w:r w:rsidR="008F7EB7">
        <w:fldChar w:fldCharType="begin"/>
      </w:r>
      <w:r w:rsidR="008F7EB7">
        <w:instrText xml:space="preserve"> REF _Ref202780074 \h </w:instrText>
      </w:r>
      <w:r w:rsidR="008F7EB7">
        <w:fldChar w:fldCharType="separate"/>
      </w:r>
      <w:r w:rsidR="000D75AE" w:rsidRPr="00BA23D8">
        <w:t>Chapter 10</w:t>
      </w:r>
      <w:r w:rsidR="000D75AE">
        <w:t>:</w:t>
      </w:r>
      <w:r w:rsidR="000D75AE" w:rsidRPr="00BA23D8">
        <w:t>Ongoing Support</w:t>
      </w:r>
      <w:r w:rsidR="008F7EB7">
        <w:fldChar w:fldCharType="end"/>
      </w:r>
      <w:r w:rsidR="008F7EB7">
        <w:t xml:space="preserve"> </w:t>
      </w:r>
      <w:r w:rsidRPr="6B20C011">
        <w:t>describes how a Provider must arrange an Ongoing Support Assessment and deliver Ongoing Support to an Ongoing Support (Work Assist) Participant.</w:t>
      </w:r>
    </w:p>
    <w:p w14:paraId="7CCD2D2B" w14:textId="77777777" w:rsidR="00D74559" w:rsidRPr="00B84B59" w:rsidRDefault="00D74559" w:rsidP="006D3D68">
      <w:pPr>
        <w:pStyle w:val="DocumentaryEvidenceRequirement"/>
        <w:ind w:left="643"/>
      </w:pPr>
      <w:r w:rsidRPr="00B84B59">
        <w:t xml:space="preserve">Providers must keep a copy of the Direct Registration Form that includes information to show the Participant’s eligibility as an Ongoing Support (Work Assist) Participant. </w:t>
      </w:r>
    </w:p>
    <w:p w14:paraId="664AC8E0" w14:textId="77777777" w:rsidR="00D74559" w:rsidRDefault="00D74559" w:rsidP="006F727E">
      <w:pPr>
        <w:pStyle w:val="SystemStep"/>
      </w:pPr>
      <w:r w:rsidRPr="6B20C011">
        <w:t xml:space="preserve">Providers must Directly Register an Ongoing Support (Work Assist) Participant on the Department’s IT Systems using the Special Placement Flag for ‘Work Assist’. </w:t>
      </w:r>
    </w:p>
    <w:p w14:paraId="5E0915C3" w14:textId="273F8D29" w:rsidR="00D74559" w:rsidRDefault="00D74559" w:rsidP="006E2EF5">
      <w:pPr>
        <w:pStyle w:val="DeedReferences"/>
      </w:pPr>
      <w:r w:rsidRPr="004B469E">
        <w:t>(</w:t>
      </w:r>
      <w:r w:rsidR="00A73420">
        <w:t xml:space="preserve">Deed Reference(s): Clause </w:t>
      </w:r>
      <w:r>
        <w:t>10</w:t>
      </w:r>
      <w:r w:rsidR="001C2B3B">
        <w:t>8</w:t>
      </w:r>
      <w:r w:rsidRPr="006349E2">
        <w:t>.4</w:t>
      </w:r>
      <w:r>
        <w:t>)</w:t>
      </w:r>
    </w:p>
    <w:p w14:paraId="1D94B242" w14:textId="77777777" w:rsidR="00D74559" w:rsidRDefault="00D74559" w:rsidP="006E2EF5">
      <w:pPr>
        <w:pStyle w:val="TableChartHeading"/>
      </w:pPr>
      <w:r>
        <w:t>Ongoing Support (Work Assist) Participant</w:t>
      </w:r>
      <w:r w:rsidRPr="00AF0A39">
        <w:t xml:space="preserve"> eligibility criteria</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1"/>
        <w:gridCol w:w="5193"/>
      </w:tblGrid>
      <w:tr w:rsidR="00FD020B" w14:paraId="018C0F16" w14:textId="77777777" w:rsidTr="00414575">
        <w:trPr>
          <w:cnfStyle w:val="100000000000" w:firstRow="1" w:lastRow="0" w:firstColumn="0" w:lastColumn="0" w:oddVBand="0" w:evenVBand="0" w:oddHBand="0" w:evenHBand="0" w:firstRowFirstColumn="0" w:firstRowLastColumn="0" w:lastRowFirstColumn="0" w:lastRowLastColumn="0"/>
          <w:trHeight w:val="300"/>
          <w:jc w:val="center"/>
        </w:trPr>
        <w:tc>
          <w:tcPr>
            <w:tcW w:w="4800" w:type="dxa"/>
            <w:tcBorders>
              <w:bottom w:val="single" w:sz="4" w:space="0" w:color="auto"/>
            </w:tcBorders>
          </w:tcPr>
          <w:p w14:paraId="317C2145" w14:textId="77777777" w:rsidR="00593018" w:rsidRDefault="00593018">
            <w:pPr>
              <w:pStyle w:val="TableText"/>
              <w:rPr>
                <w:rFonts w:ascii="Calibri" w:eastAsia="Calibri" w:hAnsi="Calibri" w:cs="Calibri"/>
                <w:szCs w:val="22"/>
              </w:rPr>
            </w:pPr>
            <w:r>
              <w:t>Variations to general eligibility criteria</w:t>
            </w:r>
          </w:p>
        </w:tc>
        <w:tc>
          <w:tcPr>
            <w:tcW w:w="5118" w:type="dxa"/>
            <w:tcBorders>
              <w:bottom w:val="single" w:sz="4" w:space="0" w:color="auto"/>
            </w:tcBorders>
          </w:tcPr>
          <w:p w14:paraId="02152DD6" w14:textId="77777777" w:rsidR="00593018" w:rsidRDefault="00593018">
            <w:pPr>
              <w:pStyle w:val="TableText"/>
              <w:rPr>
                <w:rFonts w:ascii="Calibri" w:eastAsia="Calibri" w:hAnsi="Calibri" w:cs="Calibri"/>
                <w:b w:val="0"/>
              </w:rPr>
            </w:pPr>
            <w:r w:rsidRPr="6B20C011">
              <w:t xml:space="preserve">Additional eligibility </w:t>
            </w:r>
            <w:r>
              <w:t>requirements</w:t>
            </w:r>
          </w:p>
        </w:tc>
      </w:tr>
      <w:tr w:rsidR="00D74559" w:rsidRPr="00FF753D" w14:paraId="41504C30" w14:textId="77777777" w:rsidTr="00414575">
        <w:trPr>
          <w:cnfStyle w:val="000000100000" w:firstRow="0" w:lastRow="0" w:firstColumn="0" w:lastColumn="0" w:oddVBand="0" w:evenVBand="0" w:oddHBand="1" w:evenHBand="0" w:firstRowFirstColumn="0" w:firstRowLastColumn="0" w:lastRowFirstColumn="0" w:lastRowLastColumn="0"/>
          <w:trHeight w:val="300"/>
          <w:jc w:val="center"/>
        </w:trPr>
        <w:tc>
          <w:tcPr>
            <w:tcW w:w="4800" w:type="dxa"/>
            <w:tcBorders>
              <w:bottom w:val="single" w:sz="4" w:space="0" w:color="auto"/>
            </w:tcBorders>
            <w:hideMark/>
          </w:tcPr>
          <w:p w14:paraId="39DBC57C" w14:textId="77777777" w:rsidR="00D74559" w:rsidRDefault="00D74559" w:rsidP="005943BD">
            <w:pPr>
              <w:pStyle w:val="TableText"/>
            </w:pPr>
            <w:r w:rsidRPr="6B20C011">
              <w:t>Disability, injury or health condition:</w:t>
            </w:r>
          </w:p>
          <w:p w14:paraId="3F33F1A6" w14:textId="77777777" w:rsidR="00D74559" w:rsidRPr="003E1E14" w:rsidRDefault="00D74559" w:rsidP="007D21CC">
            <w:pPr>
              <w:pStyle w:val="TableList-level1"/>
            </w:pPr>
            <w:r w:rsidRPr="6B20C011">
              <w:t>The Provider must confirm the person has a disability, illness or health condition.</w:t>
            </w:r>
          </w:p>
          <w:p w14:paraId="46CA51B5" w14:textId="77777777" w:rsidR="00D74559" w:rsidRDefault="00D74559" w:rsidP="005943BD">
            <w:pPr>
              <w:pStyle w:val="TableText"/>
            </w:pPr>
            <w:r w:rsidRPr="6B20C011">
              <w:t xml:space="preserve">Work </w:t>
            </w:r>
            <w:bookmarkStart w:id="35" w:name="_Int_sagRjsAW"/>
            <w:r w:rsidRPr="6B20C011">
              <w:t>capacity</w:t>
            </w:r>
            <w:bookmarkEnd w:id="35"/>
            <w:r w:rsidRPr="6B20C011">
              <w:t>:</w:t>
            </w:r>
          </w:p>
          <w:p w14:paraId="5AAD75E1" w14:textId="77777777" w:rsidR="00D74559" w:rsidRDefault="00D74559" w:rsidP="007D21CC">
            <w:pPr>
              <w:pStyle w:val="TableList-level1"/>
            </w:pPr>
            <w:r w:rsidRPr="6B20C011">
              <w:t xml:space="preserve">The person does not </w:t>
            </w:r>
            <w:r>
              <w:t>need a</w:t>
            </w:r>
            <w:r w:rsidRPr="6B20C011">
              <w:t xml:space="preserve"> work </w:t>
            </w:r>
            <w:bookmarkStart w:id="36" w:name="_Int_30mjtsEY"/>
            <w:r w:rsidRPr="6B20C011">
              <w:t>capacity</w:t>
            </w:r>
            <w:bookmarkEnd w:id="36"/>
            <w:r>
              <w:t xml:space="preserve"> assessment (i.e.t they are ESAt-exempt)</w:t>
            </w:r>
            <w:r w:rsidRPr="6B20C011">
              <w:t>.</w:t>
            </w:r>
          </w:p>
          <w:p w14:paraId="4B900C82" w14:textId="77777777" w:rsidR="00D74559" w:rsidRDefault="00D74559" w:rsidP="005943BD">
            <w:pPr>
              <w:pStyle w:val="TableText"/>
            </w:pPr>
            <w:r>
              <w:t xml:space="preserve">Referral: </w:t>
            </w:r>
          </w:p>
          <w:p w14:paraId="703CB3E9" w14:textId="77777777" w:rsidR="00D74559" w:rsidRDefault="00D74559" w:rsidP="007D21CC">
            <w:pPr>
              <w:pStyle w:val="TableList-level1"/>
            </w:pPr>
            <w:r w:rsidRPr="6B20C011">
              <w:t>The person does not need an employment service referral</w:t>
            </w:r>
            <w:r>
              <w:t xml:space="preserve"> (i.e. they are ESAt-exempt)</w:t>
            </w:r>
            <w:r w:rsidRPr="6B20C011">
              <w:t>.</w:t>
            </w:r>
          </w:p>
          <w:p w14:paraId="63CEE5EE" w14:textId="77777777" w:rsidR="00D74559" w:rsidRDefault="00D74559" w:rsidP="00DC55FD">
            <w:pPr>
              <w:pStyle w:val="TableText"/>
              <w:keepNext/>
              <w:rPr>
                <w:b/>
                <w:bCs/>
              </w:rPr>
            </w:pPr>
            <w:r w:rsidRPr="006540A3">
              <w:t>Current work</w:t>
            </w:r>
            <w:r>
              <w:t>:</w:t>
            </w:r>
            <w:r w:rsidRPr="0034041E" w:rsidDel="00E2738E">
              <w:rPr>
                <w:b/>
                <w:bCs/>
              </w:rPr>
              <w:t xml:space="preserve"> </w:t>
            </w:r>
          </w:p>
          <w:p w14:paraId="1357D812" w14:textId="77777777" w:rsidR="00D74559" w:rsidRPr="00110DE4" w:rsidRDefault="00D74559" w:rsidP="007D21CC">
            <w:pPr>
              <w:pStyle w:val="TableList-level1"/>
              <w:rPr>
                <w:b/>
                <w:bCs/>
              </w:rPr>
            </w:pPr>
            <w:r>
              <w:t>The person must b</w:t>
            </w:r>
            <w:r w:rsidRPr="00C70AB8">
              <w:t>e working</w:t>
            </w:r>
            <w:r>
              <w:t>.</w:t>
            </w:r>
            <w:r w:rsidRPr="00C70AB8">
              <w:t xml:space="preserve"> </w:t>
            </w:r>
          </w:p>
        </w:tc>
        <w:tc>
          <w:tcPr>
            <w:tcW w:w="5118" w:type="dxa"/>
            <w:tcBorders>
              <w:bottom w:val="single" w:sz="4" w:space="0" w:color="auto"/>
            </w:tcBorders>
          </w:tcPr>
          <w:p w14:paraId="2C08E0A4" w14:textId="77777777" w:rsidR="00D74559" w:rsidRPr="00097D2F" w:rsidRDefault="00D74559" w:rsidP="007D21CC">
            <w:pPr>
              <w:pStyle w:val="TableList-level1"/>
            </w:pPr>
            <w:r>
              <w:t>Must be assessed by the Provider as needing Ongoing Support to keep their job.</w:t>
            </w:r>
          </w:p>
          <w:p w14:paraId="6B9EAC99" w14:textId="77777777" w:rsidR="00D74559" w:rsidRPr="00E74D9E" w:rsidRDefault="00D74559" w:rsidP="007D21CC">
            <w:pPr>
              <w:pStyle w:val="TableList-level1"/>
            </w:pPr>
            <w:r>
              <w:t>Must have been working in that job over a consecutive period of at least 12 weeks, or there is an expectation that the job will last for at least 12 weeks.</w:t>
            </w:r>
          </w:p>
        </w:tc>
      </w:tr>
    </w:tbl>
    <w:p w14:paraId="4087A8C6" w14:textId="77777777" w:rsidR="00D74559" w:rsidRPr="00673146" w:rsidRDefault="00D74559" w:rsidP="006D1645">
      <w:pPr>
        <w:pStyle w:val="Heading5"/>
      </w:pPr>
      <w:r w:rsidRPr="6B20C011">
        <w:t>Disability, illness or health condition</w:t>
      </w:r>
    </w:p>
    <w:p w14:paraId="2F629DE1" w14:textId="17299D74" w:rsidR="00D74559" w:rsidRPr="00B84B59" w:rsidRDefault="00D74559" w:rsidP="0079424A">
      <w:pPr>
        <w:pStyle w:val="DocumentaryEvidenceRequirement"/>
      </w:pPr>
      <w:r w:rsidRPr="00B84B59">
        <w:t xml:space="preserve">Providers must </w:t>
      </w:r>
      <w:r w:rsidR="00AA48D6" w:rsidRPr="00B84B59">
        <w:t xml:space="preserve">obtain and </w:t>
      </w:r>
      <w:r w:rsidRPr="00B84B59">
        <w:t xml:space="preserve">keep </w:t>
      </w:r>
      <w:r w:rsidR="00AA48D6" w:rsidRPr="00B84B59">
        <w:t xml:space="preserve">the following </w:t>
      </w:r>
      <w:r w:rsidRPr="00B84B59">
        <w:t xml:space="preserve">Documentary Evidence </w:t>
      </w:r>
      <w:r w:rsidR="001037EB">
        <w:t>of the Participant’s</w:t>
      </w:r>
      <w:r w:rsidRPr="00B84B59">
        <w:t xml:space="preserve"> disability, </w:t>
      </w:r>
      <w:r w:rsidR="001037EB">
        <w:t>illness</w:t>
      </w:r>
      <w:r w:rsidRPr="00B84B59">
        <w:t xml:space="preserve"> or health condition:</w:t>
      </w:r>
    </w:p>
    <w:p w14:paraId="754F946E" w14:textId="3733F5E8" w:rsidR="00D74559" w:rsidRDefault="00D74559" w:rsidP="004E120D">
      <w:pPr>
        <w:pStyle w:val="BulletLevel2"/>
        <w:rPr>
          <w:rFonts w:ascii="Tahoma" w:eastAsia="Tahoma" w:hAnsi="Tahoma" w:cs="Tahoma"/>
          <w:color w:val="000000" w:themeColor="text1"/>
        </w:rPr>
      </w:pPr>
      <w:r w:rsidRPr="00170764">
        <w:t xml:space="preserve">Recent </w:t>
      </w:r>
      <w:r w:rsidRPr="00E75BF1">
        <w:rPr>
          <w:rFonts w:ascii="Tahoma" w:eastAsia="Tahoma" w:hAnsi="Tahoma" w:cs="Tahoma"/>
        </w:rPr>
        <w:t>medical evidence</w:t>
      </w:r>
      <w:r w:rsidRPr="00070F5B">
        <w:t xml:space="preserve"> from a suitably qualified professional identifying:</w:t>
      </w:r>
    </w:p>
    <w:p w14:paraId="08FE3C0C" w14:textId="77777777" w:rsidR="00D74559" w:rsidRPr="00DC55FD" w:rsidRDefault="00D74559" w:rsidP="00DC55FD">
      <w:pPr>
        <w:pStyle w:val="BulletLevel3"/>
      </w:pPr>
      <w:r w:rsidRPr="2CACB997">
        <w:rPr>
          <w:lang w:val="en-US"/>
        </w:rPr>
        <w:t xml:space="preserve">the nature of the person’s </w:t>
      </w:r>
      <w:r w:rsidRPr="00DC55FD">
        <w:t>disability, injury or illness</w:t>
      </w:r>
    </w:p>
    <w:p w14:paraId="1C52440C" w14:textId="77777777" w:rsidR="00D74559" w:rsidRPr="00DC55FD" w:rsidRDefault="00D74559" w:rsidP="00DC55FD">
      <w:pPr>
        <w:pStyle w:val="BulletLevel3"/>
      </w:pPr>
      <w:r w:rsidRPr="00DC55FD">
        <w:t>how long the condition(s) has lasted / is expected to last</w:t>
      </w:r>
    </w:p>
    <w:p w14:paraId="1B092FDE" w14:textId="5332E7EF" w:rsidR="00D74559" w:rsidRDefault="00D74559" w:rsidP="00DC55FD">
      <w:pPr>
        <w:pStyle w:val="BulletLevel3"/>
        <w:rPr>
          <w:lang w:val="en-US"/>
        </w:rPr>
      </w:pPr>
      <w:r w:rsidRPr="00DC55FD">
        <w:t xml:space="preserve">how the condition affects </w:t>
      </w:r>
      <w:r w:rsidR="00040BAA" w:rsidRPr="00DC55FD">
        <w:t>(or</w:t>
      </w:r>
      <w:r w:rsidR="00040BAA">
        <w:rPr>
          <w:lang w:val="en-US"/>
        </w:rPr>
        <w:t xml:space="preserve"> conditions affect) </w:t>
      </w:r>
      <w:r w:rsidRPr="2CACB997">
        <w:rPr>
          <w:lang w:val="en-US"/>
        </w:rPr>
        <w:t>the person and their ability to do their job</w:t>
      </w:r>
    </w:p>
    <w:p w14:paraId="4A7E1145" w14:textId="77777777" w:rsidR="00D74559" w:rsidRDefault="00D74559" w:rsidP="006E2EF5">
      <w:pPr>
        <w:tabs>
          <w:tab w:val="right" w:pos="1701"/>
        </w:tabs>
        <w:spacing w:after="120"/>
        <w:rPr>
          <w:rFonts w:ascii="Tahoma" w:eastAsia="Tahoma" w:hAnsi="Tahoma" w:cs="Tahoma"/>
          <w:color w:val="000000" w:themeColor="text1"/>
          <w:szCs w:val="22"/>
          <w:lang w:val="en-US"/>
        </w:rPr>
      </w:pPr>
      <w:r w:rsidRPr="00070F5B">
        <w:rPr>
          <w:rFonts w:ascii="Tahoma" w:eastAsia="Tahoma" w:hAnsi="Tahoma" w:cs="Tahoma"/>
          <w:b/>
          <w:bCs/>
          <w:color w:val="000000" w:themeColor="text1"/>
          <w:szCs w:val="22"/>
          <w:lang w:val="en-US"/>
        </w:rPr>
        <w:t xml:space="preserve">Note: </w:t>
      </w:r>
      <w:r w:rsidRPr="2CACB997">
        <w:rPr>
          <w:rFonts w:ascii="Tahoma" w:eastAsia="Tahoma" w:hAnsi="Tahoma" w:cs="Tahoma"/>
          <w:color w:val="000000" w:themeColor="text1"/>
          <w:szCs w:val="22"/>
          <w:lang w:val="en-US"/>
        </w:rPr>
        <w:t xml:space="preserve">Evidence </w:t>
      </w:r>
      <w:r>
        <w:rPr>
          <w:rFonts w:ascii="Tahoma" w:eastAsia="Tahoma" w:hAnsi="Tahoma" w:cs="Tahoma"/>
          <w:color w:val="000000" w:themeColor="text1"/>
          <w:szCs w:val="22"/>
          <w:lang w:val="en-US"/>
        </w:rPr>
        <w:t>should</w:t>
      </w:r>
      <w:r w:rsidRPr="2CACB997">
        <w:rPr>
          <w:rFonts w:ascii="Tahoma" w:eastAsia="Tahoma" w:hAnsi="Tahoma" w:cs="Tahoma"/>
          <w:color w:val="000000" w:themeColor="text1"/>
          <w:szCs w:val="22"/>
          <w:lang w:val="en-US"/>
        </w:rPr>
        <w:t xml:space="preserve"> be from within the last </w:t>
      </w:r>
      <w:r>
        <w:rPr>
          <w:rFonts w:ascii="Tahoma" w:eastAsia="Tahoma" w:hAnsi="Tahoma" w:cs="Tahoma"/>
          <w:color w:val="000000" w:themeColor="text1"/>
          <w:szCs w:val="22"/>
          <w:lang w:val="en-US"/>
        </w:rPr>
        <w:t>2</w:t>
      </w:r>
      <w:r w:rsidRPr="2CACB997">
        <w:rPr>
          <w:rFonts w:ascii="Tahoma" w:eastAsia="Tahoma" w:hAnsi="Tahoma" w:cs="Tahoma"/>
          <w:color w:val="000000" w:themeColor="text1"/>
          <w:szCs w:val="22"/>
          <w:lang w:val="en-US"/>
        </w:rPr>
        <w:t xml:space="preserve"> years. If the condition described is permanent, the Provider can determine that older evidence adequately describes the effect of the injury, disability or health condition</w:t>
      </w:r>
      <w:r>
        <w:rPr>
          <w:rFonts w:ascii="Tahoma" w:eastAsia="Tahoma" w:hAnsi="Tahoma" w:cs="Tahoma"/>
          <w:color w:val="000000" w:themeColor="text1"/>
          <w:szCs w:val="22"/>
          <w:lang w:val="en-US"/>
        </w:rPr>
        <w:t>.</w:t>
      </w:r>
    </w:p>
    <w:p w14:paraId="616951B1" w14:textId="77777777" w:rsidR="00D74559" w:rsidRPr="00673146" w:rsidRDefault="00D74559" w:rsidP="006D1645">
      <w:pPr>
        <w:pStyle w:val="Heading5"/>
      </w:pPr>
      <w:r>
        <w:t>Current work</w:t>
      </w:r>
    </w:p>
    <w:p w14:paraId="206FD409" w14:textId="332E2C7A" w:rsidR="00D74559" w:rsidRDefault="00D74559" w:rsidP="006E2EF5">
      <w:pPr>
        <w:tabs>
          <w:tab w:val="right" w:pos="1701"/>
        </w:tabs>
        <w:spacing w:after="120"/>
        <w:rPr>
          <w:rFonts w:ascii="Tahoma" w:eastAsia="Tahoma" w:hAnsi="Tahoma" w:cs="Tahoma"/>
        </w:rPr>
      </w:pPr>
      <w:r w:rsidRPr="6B20C011">
        <w:rPr>
          <w:rFonts w:ascii="Tahoma" w:eastAsia="Tahoma" w:hAnsi="Tahoma" w:cs="Tahoma"/>
        </w:rPr>
        <w:t xml:space="preserve">Providers should generally work with the person’s Employer to collect appropriate Documentary Evidence of their eligibility and need for Ongoing Support (Work Assist) through the </w:t>
      </w:r>
      <w:r w:rsidRPr="008879EB">
        <w:rPr>
          <w:rStyle w:val="Hyperlink"/>
        </w:rPr>
        <w:t>Employer Form</w:t>
      </w:r>
      <w:r w:rsidR="009C4786" w:rsidRPr="008879EB">
        <w:rPr>
          <w:rStyle w:val="Hyperlink"/>
        </w:rPr>
        <w:t xml:space="preserve"> [LINK]</w:t>
      </w:r>
      <w:r w:rsidR="009C4786">
        <w:rPr>
          <w:rFonts w:ascii="Tahoma" w:eastAsia="Tahoma" w:hAnsi="Tahoma" w:cs="Tahoma"/>
        </w:rPr>
        <w:t xml:space="preserve"> </w:t>
      </w:r>
      <w:r w:rsidR="008879EB">
        <w:rPr>
          <w:rFonts w:ascii="Tahoma" w:eastAsia="Tahoma" w:hAnsi="Tahoma" w:cs="Tahoma"/>
        </w:rPr>
        <w:t xml:space="preserve">available </w:t>
      </w:r>
      <w:r w:rsidR="009C4786">
        <w:rPr>
          <w:rFonts w:ascii="Tahoma" w:eastAsia="Tahoma" w:hAnsi="Tahoma" w:cs="Tahoma"/>
        </w:rPr>
        <w:t>on t</w:t>
      </w:r>
      <w:r w:rsidR="008879EB">
        <w:rPr>
          <w:rFonts w:ascii="Tahoma" w:eastAsia="Tahoma" w:hAnsi="Tahoma" w:cs="Tahoma"/>
        </w:rPr>
        <w:t>he Provider Portal</w:t>
      </w:r>
      <w:r w:rsidRPr="6B20C011">
        <w:rPr>
          <w:rFonts w:ascii="Tahoma" w:eastAsia="Tahoma" w:hAnsi="Tahoma" w:cs="Tahoma"/>
        </w:rPr>
        <w:t>.</w:t>
      </w:r>
    </w:p>
    <w:p w14:paraId="7D2623D9" w14:textId="77777777" w:rsidR="00D74559" w:rsidRPr="006A5443" w:rsidRDefault="00D74559" w:rsidP="006E2EF5">
      <w:pPr>
        <w:rPr>
          <w:rFonts w:ascii="Tahoma" w:eastAsia="Tahoma" w:hAnsi="Tahoma" w:cs="Tahoma"/>
        </w:rPr>
      </w:pPr>
      <w:r w:rsidRPr="10BE64E3">
        <w:rPr>
          <w:rFonts w:ascii="Tahoma" w:eastAsia="Tahoma" w:hAnsi="Tahoma" w:cs="Tahoma"/>
        </w:rPr>
        <w:t xml:space="preserve">If the person has not agreed to disclose their disability or request for support to their Employer, the evidence usually provided through the Employer Form must be collected from the </w:t>
      </w:r>
      <w:r>
        <w:rPr>
          <w:rFonts w:ascii="Tahoma" w:eastAsia="Tahoma" w:hAnsi="Tahoma" w:cs="Tahoma"/>
        </w:rPr>
        <w:t>person</w:t>
      </w:r>
      <w:r w:rsidRPr="10BE64E3">
        <w:rPr>
          <w:rFonts w:ascii="Tahoma" w:eastAsia="Tahoma" w:hAnsi="Tahoma" w:cs="Tahoma"/>
        </w:rPr>
        <w:t xml:space="preserve"> using alternative evidence listed below.</w:t>
      </w:r>
    </w:p>
    <w:p w14:paraId="3B3A4015" w14:textId="0353DFD4" w:rsidR="00D74559" w:rsidRPr="00B84B59" w:rsidRDefault="00D74559" w:rsidP="0079424A">
      <w:pPr>
        <w:pStyle w:val="DocumentaryEvidenceRequirement"/>
      </w:pPr>
      <w:r w:rsidRPr="00B84B59">
        <w:t>A fully completed and signed Employer Form is acceptable Documentary Evidence of the person’s current Employment. Alternatives to the Employer Form include:</w:t>
      </w:r>
    </w:p>
    <w:p w14:paraId="44B93008" w14:textId="4EE5DACA" w:rsidR="00D74559" w:rsidRDefault="00D74559" w:rsidP="004E120D">
      <w:pPr>
        <w:pStyle w:val="BulletLevel2"/>
      </w:pPr>
      <w:r>
        <w:t xml:space="preserve">Evidence of Employment over the past 12 </w:t>
      </w:r>
      <w:r w:rsidR="00F6198E">
        <w:t>C</w:t>
      </w:r>
      <w:r>
        <w:t xml:space="preserve">onsecutive </w:t>
      </w:r>
      <w:r w:rsidR="00F6198E">
        <w:t>W</w:t>
      </w:r>
      <w:r>
        <w:t>eeks, such as Payslips or a signed and dated statement by the employee or their Employer confirming:</w:t>
      </w:r>
    </w:p>
    <w:p w14:paraId="0F748AE9" w14:textId="77777777" w:rsidR="00D74559" w:rsidRPr="00BA23D8" w:rsidRDefault="00D74559" w:rsidP="00A069A9">
      <w:pPr>
        <w:pStyle w:val="BulletLevel3"/>
      </w:pPr>
      <w:r w:rsidRPr="00BA23D8">
        <w:t>Employer name</w:t>
      </w:r>
    </w:p>
    <w:p w14:paraId="0501C49F" w14:textId="0D730005" w:rsidR="00D74559" w:rsidRPr="00BA23D8" w:rsidRDefault="00D74559" w:rsidP="00A069A9">
      <w:pPr>
        <w:pStyle w:val="BulletLevel3"/>
      </w:pPr>
      <w:r w:rsidRPr="00BA23D8">
        <w:t xml:space="preserve">Employment details, including date </w:t>
      </w:r>
      <w:r w:rsidR="00C673C7">
        <w:t>C</w:t>
      </w:r>
      <w:r w:rsidRPr="00BA23D8">
        <w:t>ommenced</w:t>
      </w:r>
    </w:p>
    <w:p w14:paraId="2FE0AF2D" w14:textId="77777777" w:rsidR="00D74559" w:rsidRPr="00BA23D8" w:rsidRDefault="00D74559" w:rsidP="00A069A9">
      <w:pPr>
        <w:pStyle w:val="BulletLevel3"/>
      </w:pPr>
      <w:r w:rsidRPr="00BA23D8">
        <w:t>Employment has lasted/will last for at least 12 weeks, and</w:t>
      </w:r>
    </w:p>
    <w:p w14:paraId="59AD19A7" w14:textId="77777777" w:rsidR="00D74559" w:rsidRPr="00BA23D8" w:rsidRDefault="00D74559" w:rsidP="00A069A9">
      <w:pPr>
        <w:pStyle w:val="BulletLevel3"/>
      </w:pPr>
      <w:r w:rsidRPr="00BA23D8">
        <w:t>employee’s hours of Employment each week (usual and current).</w:t>
      </w:r>
    </w:p>
    <w:p w14:paraId="60BE005F" w14:textId="77777777" w:rsidR="00D74559" w:rsidRDefault="00D74559" w:rsidP="004E120D">
      <w:pPr>
        <w:pStyle w:val="BulletLevel2"/>
      </w:pPr>
      <w:r>
        <w:t xml:space="preserve">Evidence of difficulty carrying </w:t>
      </w:r>
      <w:r w:rsidRPr="001746A5">
        <w:t>out job requirements through a signed and dated statement by either the employee or their Emp</w:t>
      </w:r>
      <w:r>
        <w:t>loyer confirming:</w:t>
      </w:r>
    </w:p>
    <w:p w14:paraId="74211B25" w14:textId="77777777" w:rsidR="00D74559" w:rsidRPr="00A069A9" w:rsidRDefault="00D74559" w:rsidP="00A069A9">
      <w:pPr>
        <w:pStyle w:val="BulletLevel3"/>
      </w:pPr>
      <w:r w:rsidRPr="2CACB997">
        <w:rPr>
          <w:lang w:val="en-US"/>
        </w:rPr>
        <w:t xml:space="preserve">that they are having difficulties fulfilling the essential requirements of their job, due to the </w:t>
      </w:r>
      <w:r w:rsidRPr="00A069A9">
        <w:t>impact of their injury, disability or health condition, and</w:t>
      </w:r>
    </w:p>
    <w:p w14:paraId="351B4417" w14:textId="490E553D" w:rsidR="00D74559" w:rsidRPr="00B55CF9" w:rsidRDefault="00D74559" w:rsidP="00A069A9">
      <w:pPr>
        <w:pStyle w:val="BulletLevel3"/>
      </w:pPr>
      <w:r w:rsidRPr="00A069A9">
        <w:t xml:space="preserve">why </w:t>
      </w:r>
      <w:r w:rsidR="00527C78" w:rsidRPr="00A069A9">
        <w:t>do they</w:t>
      </w:r>
      <w:r w:rsidRPr="2CACB997">
        <w:rPr>
          <w:lang w:val="en-US"/>
        </w:rPr>
        <w:t xml:space="preserve"> </w:t>
      </w:r>
      <w:r w:rsidR="00527C78" w:rsidRPr="2CACB997">
        <w:rPr>
          <w:lang w:val="en-US"/>
        </w:rPr>
        <w:t>consider that</w:t>
      </w:r>
      <w:r w:rsidRPr="2CACB997">
        <w:rPr>
          <w:lang w:val="en-US"/>
        </w:rPr>
        <w:t xml:space="preserve"> they need </w:t>
      </w:r>
      <w:r w:rsidR="00F92D0E">
        <w:rPr>
          <w:lang w:val="en-US"/>
        </w:rPr>
        <w:t>Inclusive Employment Australia</w:t>
      </w:r>
      <w:r w:rsidRPr="2CACB997">
        <w:rPr>
          <w:lang w:val="en-US"/>
        </w:rPr>
        <w:t xml:space="preserve"> assistance</w:t>
      </w:r>
      <w:r>
        <w:rPr>
          <w:lang w:val="en-US"/>
        </w:rPr>
        <w:t>.</w:t>
      </w:r>
    </w:p>
    <w:p w14:paraId="721004B0" w14:textId="77777777" w:rsidR="00D74559" w:rsidRDefault="00D74559" w:rsidP="006E2EF5">
      <w:pPr>
        <w:tabs>
          <w:tab w:val="right" w:pos="1701"/>
        </w:tabs>
        <w:spacing w:after="120"/>
        <w:rPr>
          <w:rFonts w:ascii="Tahoma" w:eastAsia="Tahoma" w:hAnsi="Tahoma" w:cs="Tahoma"/>
          <w:szCs w:val="22"/>
        </w:rPr>
      </w:pPr>
      <w:r w:rsidRPr="2CACB997">
        <w:rPr>
          <w:rFonts w:ascii="Tahoma" w:eastAsia="Tahoma" w:hAnsi="Tahoma" w:cs="Tahoma"/>
          <w:szCs w:val="22"/>
        </w:rPr>
        <w:t>A Participant cannot receive Ongoing Support (Work Assist) if:</w:t>
      </w:r>
    </w:p>
    <w:p w14:paraId="6B90C813" w14:textId="77777777" w:rsidR="00D74559" w:rsidRDefault="00D74559" w:rsidP="004E120D">
      <w:pPr>
        <w:pStyle w:val="BulletLevel1"/>
      </w:pPr>
      <w:r w:rsidRPr="2CACB997">
        <w:t>the only support they need is available through Employment Assistance Fund (EAF)</w:t>
      </w:r>
    </w:p>
    <w:p w14:paraId="2C586FB9" w14:textId="77777777" w:rsidR="00D74559" w:rsidRDefault="00D74559" w:rsidP="004E120D">
      <w:pPr>
        <w:pStyle w:val="BulletLevel1"/>
      </w:pPr>
      <w:r w:rsidRPr="2CACB997">
        <w:t>they are currently being supported in Other Employment Services.</w:t>
      </w:r>
    </w:p>
    <w:p w14:paraId="57C2D88F" w14:textId="77777777" w:rsidR="00D74559" w:rsidRPr="00B84B59" w:rsidRDefault="00D74559" w:rsidP="0079424A">
      <w:pPr>
        <w:pStyle w:val="DocumentaryEvidenceRequirement"/>
      </w:pPr>
      <w:r w:rsidRPr="00B84B59">
        <w:t>Providers must keep a file note stating why they assessed the Participant as requiring Ongoing Support (Work Assist).</w:t>
      </w:r>
    </w:p>
    <w:p w14:paraId="68FAC34F" w14:textId="04FA3E71" w:rsidR="00D74559" w:rsidRPr="00BD7779" w:rsidRDefault="00D74559" w:rsidP="001D0F92">
      <w:pPr>
        <w:pStyle w:val="Heading3"/>
      </w:pPr>
      <w:bookmarkStart w:id="37" w:name="_Toc202899875"/>
      <w:r>
        <w:t>1.4</w:t>
      </w:r>
      <w:r w:rsidR="00D70B8E">
        <w:tab/>
      </w:r>
      <w:r>
        <w:t>Referral of Participants</w:t>
      </w:r>
      <w:bookmarkEnd w:id="37"/>
    </w:p>
    <w:p w14:paraId="4AD6FB65" w14:textId="4DEF7762" w:rsidR="00CF52B3" w:rsidRDefault="00D74559" w:rsidP="00CF52B3">
      <w:pPr>
        <w:tabs>
          <w:tab w:val="right" w:pos="1701"/>
        </w:tabs>
        <w:spacing w:after="120"/>
      </w:pPr>
      <w:r>
        <w:rPr>
          <w:rFonts w:cstheme="minorHAnsi"/>
        </w:rPr>
        <w:t>A</w:t>
      </w:r>
      <w:r w:rsidR="009408D6">
        <w:rPr>
          <w:rFonts w:cstheme="minorHAnsi"/>
        </w:rPr>
        <w:t>n initial</w:t>
      </w:r>
      <w:r>
        <w:rPr>
          <w:rFonts w:cstheme="minorHAnsi"/>
        </w:rPr>
        <w:t xml:space="preserve"> </w:t>
      </w:r>
      <w:r w:rsidR="001746A5">
        <w:rPr>
          <w:rFonts w:cstheme="minorHAnsi"/>
        </w:rPr>
        <w:t>R</w:t>
      </w:r>
      <w:r>
        <w:rPr>
          <w:rFonts w:cstheme="minorHAnsi"/>
        </w:rPr>
        <w:t>eferral connects a person with a Provider</w:t>
      </w:r>
      <w:r w:rsidR="008C6B08">
        <w:rPr>
          <w:rFonts w:cstheme="minorHAnsi"/>
        </w:rPr>
        <w:t xml:space="preserve"> based on </w:t>
      </w:r>
      <w:r w:rsidR="007B0B4F">
        <w:rPr>
          <w:rFonts w:cstheme="minorHAnsi"/>
        </w:rPr>
        <w:t>a</w:t>
      </w:r>
      <w:r w:rsidR="008C6B08">
        <w:rPr>
          <w:rFonts w:cstheme="minorHAnsi"/>
        </w:rPr>
        <w:t xml:space="preserve"> </w:t>
      </w:r>
      <w:r w:rsidR="006B27D1">
        <w:rPr>
          <w:rFonts w:cstheme="minorHAnsi"/>
        </w:rPr>
        <w:t xml:space="preserve">ESAt </w:t>
      </w:r>
      <w:r w:rsidR="003E162A">
        <w:rPr>
          <w:rFonts w:cstheme="minorHAnsi"/>
        </w:rPr>
        <w:t>that has re</w:t>
      </w:r>
      <w:r w:rsidR="00A551A5">
        <w:rPr>
          <w:rFonts w:cstheme="minorHAnsi"/>
        </w:rPr>
        <w:t xml:space="preserve">commended </w:t>
      </w:r>
      <w:r w:rsidR="00F92D0E">
        <w:rPr>
          <w:rFonts w:cstheme="minorHAnsi"/>
        </w:rPr>
        <w:t>Inclusive Employment Australia</w:t>
      </w:r>
      <w:r w:rsidR="00A551A5">
        <w:rPr>
          <w:rFonts w:cstheme="minorHAnsi"/>
        </w:rPr>
        <w:t xml:space="preserve"> </w:t>
      </w:r>
      <w:r w:rsidR="00523941">
        <w:rPr>
          <w:rFonts w:cstheme="minorHAnsi"/>
        </w:rPr>
        <w:t xml:space="preserve">— </w:t>
      </w:r>
      <w:r w:rsidR="00354585">
        <w:rPr>
          <w:rFonts w:cstheme="minorHAnsi"/>
        </w:rPr>
        <w:softHyphen/>
      </w:r>
      <w:r w:rsidR="0029108F" w:rsidRPr="00457A3E">
        <w:t>or Disability Employment Services</w:t>
      </w:r>
      <w:r w:rsidR="0029108F">
        <w:rPr>
          <w:rFonts w:cstheme="minorHAnsi"/>
        </w:rPr>
        <w:t xml:space="preserve"> </w:t>
      </w:r>
      <w:r w:rsidR="00523941">
        <w:rPr>
          <w:rFonts w:cstheme="minorHAnsi"/>
        </w:rPr>
        <w:t xml:space="preserve">— </w:t>
      </w:r>
      <w:r w:rsidR="00A551A5">
        <w:rPr>
          <w:rFonts w:cstheme="minorHAnsi"/>
        </w:rPr>
        <w:t>as the most appropriate employment service</w:t>
      </w:r>
      <w:r>
        <w:rPr>
          <w:rFonts w:cstheme="minorHAnsi"/>
        </w:rPr>
        <w:t>.</w:t>
      </w:r>
      <w:r w:rsidR="00AD5F6D">
        <w:rPr>
          <w:rFonts w:cstheme="minorHAnsi"/>
        </w:rPr>
        <w:t xml:space="preserve"> </w:t>
      </w:r>
      <w:r w:rsidR="00CF52B3">
        <w:rPr>
          <w:rFonts w:cstheme="minorHAnsi"/>
        </w:rPr>
        <w:t xml:space="preserve">Referred Participants </w:t>
      </w:r>
      <w:r w:rsidR="00CF52B3">
        <w:t>will have been assessed under the Job Seeker Assessment Framework (</w:t>
      </w:r>
      <w:r w:rsidR="00F61C4E">
        <w:t>refer to</w:t>
      </w:r>
      <w:r w:rsidR="00CF52B3">
        <w:t xml:space="preserve"> </w:t>
      </w:r>
      <w:r w:rsidR="005E3268">
        <w:fldChar w:fldCharType="begin"/>
      </w:r>
      <w:r w:rsidR="005E3268">
        <w:instrText xml:space="preserve"> REF _Ref202781333 \h </w:instrText>
      </w:r>
      <w:r w:rsidR="005E3268">
        <w:fldChar w:fldCharType="separate"/>
      </w:r>
      <w:r w:rsidR="000D75AE">
        <w:t>2</w:t>
      </w:r>
      <w:r w:rsidR="0097189E">
        <w:t>.</w:t>
      </w:r>
      <w:r w:rsidR="000D75AE">
        <w:t>2</w:t>
      </w:r>
      <w:r w:rsidR="0097189E">
        <w:t xml:space="preserve"> </w:t>
      </w:r>
      <w:r w:rsidR="000D75AE">
        <w:t>Job Seeker Assessment Framework</w:t>
      </w:r>
      <w:r w:rsidR="005E3268">
        <w:fldChar w:fldCharType="end"/>
      </w:r>
      <w:r w:rsidR="005E3268">
        <w:t xml:space="preserve"> </w:t>
      </w:r>
      <w:r w:rsidR="00CF52B3">
        <w:t>for further information).</w:t>
      </w:r>
    </w:p>
    <w:p w14:paraId="2046EB11" w14:textId="3941C79C" w:rsidR="0029108F" w:rsidRPr="005B0772" w:rsidRDefault="0029108F" w:rsidP="0029108F">
      <w:pPr>
        <w:tabs>
          <w:tab w:val="right" w:pos="1701"/>
        </w:tabs>
        <w:spacing w:after="120"/>
      </w:pPr>
      <w:r w:rsidRPr="00457A3E">
        <w:t>This includes people who have a recommended program referral of I</w:t>
      </w:r>
      <w:r w:rsidR="00AC61E7">
        <w:t>nclusive Employment Australia</w:t>
      </w:r>
      <w:r w:rsidRPr="00457A3E">
        <w:t xml:space="preserve"> in their Valid ESAt who have been in Workforce Australia Online for up to 12 months</w:t>
      </w:r>
      <w:r w:rsidRPr="29FB9D5F">
        <w:t>.</w:t>
      </w:r>
    </w:p>
    <w:p w14:paraId="46D3A5DA" w14:textId="77777777" w:rsidR="00FF6F13" w:rsidRDefault="00FF6F13" w:rsidP="00FF6F13">
      <w:pPr>
        <w:tabs>
          <w:tab w:val="right" w:pos="1701"/>
        </w:tabs>
        <w:spacing w:after="120"/>
        <w:rPr>
          <w:rFonts w:cstheme="minorHAnsi"/>
        </w:rPr>
      </w:pPr>
      <w:r>
        <w:t>A Referral</w:t>
      </w:r>
      <w:r w:rsidRPr="0E218120">
        <w:t xml:space="preserve"> may occur </w:t>
      </w:r>
      <w:r>
        <w:t>when</w:t>
      </w:r>
      <w:r w:rsidRPr="0E218120">
        <w:t xml:space="preserve"> the ESAt report has been submitted or after an </w:t>
      </w:r>
      <w:r>
        <w:t>E</w:t>
      </w:r>
      <w:r w:rsidRPr="0E218120">
        <w:t xml:space="preserve">xemption period as part of a deferred </w:t>
      </w:r>
      <w:r>
        <w:t>R</w:t>
      </w:r>
      <w:r w:rsidRPr="0E218120">
        <w:t>eferral.</w:t>
      </w:r>
    </w:p>
    <w:p w14:paraId="2B42A795" w14:textId="4E8445B0" w:rsidR="00B22BF4" w:rsidRDefault="00D20D96" w:rsidP="006E2EF5">
      <w:pPr>
        <w:tabs>
          <w:tab w:val="right" w:pos="1701"/>
        </w:tabs>
        <w:spacing w:after="120"/>
        <w:rPr>
          <w:rFonts w:cstheme="minorHAnsi"/>
        </w:rPr>
      </w:pPr>
      <w:r>
        <w:rPr>
          <w:rFonts w:cstheme="minorHAnsi"/>
        </w:rPr>
        <w:t>Referred Participants are</w:t>
      </w:r>
      <w:r>
        <w:t xml:space="preserve"> already Registered on the Department’s IT Systems. The</w:t>
      </w:r>
      <w:r w:rsidR="00D74559" w:rsidRPr="005B0772">
        <w:rPr>
          <w:rFonts w:cstheme="minorHAnsi"/>
        </w:rPr>
        <w:t xml:space="preserve"> </w:t>
      </w:r>
      <w:r w:rsidR="00D74559">
        <w:rPr>
          <w:rFonts w:cstheme="minorHAnsi"/>
        </w:rPr>
        <w:t>Referral</w:t>
      </w:r>
      <w:r w:rsidR="00D74559" w:rsidRPr="005B0772">
        <w:rPr>
          <w:rFonts w:cstheme="minorHAnsi"/>
        </w:rPr>
        <w:t xml:space="preserve"> </w:t>
      </w:r>
      <w:r w:rsidR="0084535D">
        <w:rPr>
          <w:rFonts w:cstheme="minorHAnsi"/>
        </w:rPr>
        <w:t xml:space="preserve">will </w:t>
      </w:r>
      <w:r w:rsidR="00976B1F">
        <w:rPr>
          <w:rFonts w:cstheme="minorHAnsi"/>
        </w:rPr>
        <w:t xml:space="preserve">have </w:t>
      </w:r>
      <w:r w:rsidR="00F34A36">
        <w:rPr>
          <w:rFonts w:cstheme="minorHAnsi"/>
        </w:rPr>
        <w:t>be</w:t>
      </w:r>
      <w:r w:rsidR="00976B1F">
        <w:rPr>
          <w:rFonts w:cstheme="minorHAnsi"/>
        </w:rPr>
        <w:t>en</w:t>
      </w:r>
      <w:r w:rsidR="00D74559">
        <w:rPr>
          <w:rFonts w:cstheme="minorHAnsi"/>
        </w:rPr>
        <w:t xml:space="preserve"> made </w:t>
      </w:r>
      <w:r w:rsidR="00D74559" w:rsidRPr="005B0772">
        <w:rPr>
          <w:rFonts w:cstheme="minorHAnsi"/>
        </w:rPr>
        <w:t xml:space="preserve">by </w:t>
      </w:r>
      <w:r w:rsidR="00D74559">
        <w:rPr>
          <w:rFonts w:cstheme="minorHAnsi"/>
        </w:rPr>
        <w:t>Services Australia</w:t>
      </w:r>
      <w:r w:rsidR="00D74559" w:rsidRPr="005B0772">
        <w:rPr>
          <w:rFonts w:cstheme="minorHAnsi"/>
        </w:rPr>
        <w:t>, the Department, or the National Customer Service Line</w:t>
      </w:r>
      <w:r w:rsidR="00D74559">
        <w:rPr>
          <w:rFonts w:cstheme="minorHAnsi"/>
        </w:rPr>
        <w:t xml:space="preserve"> </w:t>
      </w:r>
      <w:r w:rsidR="00D74559" w:rsidRPr="006A5443">
        <w:rPr>
          <w:rFonts w:cstheme="minorHAnsi"/>
        </w:rPr>
        <w:t>(NCSL).</w:t>
      </w:r>
      <w:r w:rsidR="006B469E">
        <w:rPr>
          <w:rFonts w:cstheme="minorHAnsi"/>
        </w:rPr>
        <w:t xml:space="preserve"> </w:t>
      </w:r>
      <w:r w:rsidR="00B22BF4">
        <w:rPr>
          <w:rFonts w:cstheme="minorHAnsi"/>
        </w:rPr>
        <w:t xml:space="preserve">A Referral may also be made by </w:t>
      </w:r>
      <w:r w:rsidR="00B22BF4" w:rsidRPr="00B22BF4">
        <w:rPr>
          <w:rFonts w:cstheme="minorHAnsi"/>
        </w:rPr>
        <w:t xml:space="preserve">another </w:t>
      </w:r>
      <w:r w:rsidR="00AC61E7">
        <w:rPr>
          <w:rFonts w:cstheme="minorHAnsi"/>
        </w:rPr>
        <w:t>Inclusive Employment Australia</w:t>
      </w:r>
      <w:r w:rsidR="00B22BF4" w:rsidRPr="00B22BF4">
        <w:rPr>
          <w:rFonts w:cstheme="minorHAnsi"/>
        </w:rPr>
        <w:t xml:space="preserve"> Provider</w:t>
      </w:r>
      <w:r w:rsidR="00522F81">
        <w:rPr>
          <w:rFonts w:cstheme="minorHAnsi"/>
        </w:rPr>
        <w:t xml:space="preserve"> in the case of </w:t>
      </w:r>
      <w:r w:rsidR="00FE191D">
        <w:rPr>
          <w:rFonts w:cstheme="minorHAnsi"/>
        </w:rPr>
        <w:t xml:space="preserve">a </w:t>
      </w:r>
      <w:r w:rsidR="00522F81">
        <w:rPr>
          <w:rFonts w:cstheme="minorHAnsi"/>
        </w:rPr>
        <w:t>Transferred Participant.</w:t>
      </w:r>
    </w:p>
    <w:p w14:paraId="5CEAE9F9" w14:textId="3078D923" w:rsidR="00D74559" w:rsidRPr="006A5443" w:rsidRDefault="00D74559" w:rsidP="001D0F92">
      <w:pPr>
        <w:pStyle w:val="Heading4"/>
      </w:pPr>
      <w:bookmarkStart w:id="38" w:name="_Toc202899876"/>
      <w:r>
        <w:t>1.4.1</w:t>
      </w:r>
      <w:r w:rsidR="00D70B8E">
        <w:tab/>
      </w:r>
      <w:r>
        <w:t xml:space="preserve">Referral </w:t>
      </w:r>
      <w:r w:rsidR="0097204C">
        <w:t>process</w:t>
      </w:r>
      <w:r w:rsidR="002C21EE">
        <w:t>es</w:t>
      </w:r>
      <w:bookmarkEnd w:id="38"/>
    </w:p>
    <w:p w14:paraId="3B1ED225" w14:textId="05637CFB" w:rsidR="00D74559" w:rsidRDefault="00D74559" w:rsidP="006E2EF5">
      <w:pPr>
        <w:tabs>
          <w:tab w:val="right" w:pos="1701"/>
        </w:tabs>
        <w:spacing w:after="120"/>
      </w:pPr>
      <w:r w:rsidRPr="6B20C011">
        <w:t xml:space="preserve">Referral to </w:t>
      </w:r>
      <w:r w:rsidR="00AC61E7">
        <w:t>Inclusive Employment Australia</w:t>
      </w:r>
      <w:r w:rsidRPr="6B20C011">
        <w:t xml:space="preserve"> by Services Australia will occur when there is a Current and Valid ESAt</w:t>
      </w:r>
      <w:r w:rsidR="001151D2">
        <w:t xml:space="preserve"> (</w:t>
      </w:r>
      <w:r w:rsidR="003F4F5A">
        <w:t xml:space="preserve">refer to </w:t>
      </w:r>
      <w:r w:rsidR="003F4F5A">
        <w:fldChar w:fldCharType="begin"/>
      </w:r>
      <w:r w:rsidR="003F4F5A">
        <w:instrText xml:space="preserve"> REF _Ref202777525 \h </w:instrText>
      </w:r>
      <w:r w:rsidR="003F4F5A">
        <w:fldChar w:fldCharType="separate"/>
      </w:r>
      <w:r w:rsidR="000D75AE" w:rsidRPr="006F727E">
        <w:t>2.4</w:t>
      </w:r>
      <w:r w:rsidR="0097189E">
        <w:t xml:space="preserve"> </w:t>
      </w:r>
      <w:r w:rsidR="000D75AE" w:rsidRPr="006F727E">
        <w:t>Employment Services Assessment</w:t>
      </w:r>
      <w:r w:rsidR="003F4F5A">
        <w:fldChar w:fldCharType="end"/>
      </w:r>
      <w:r w:rsidR="003F4F5A">
        <w:t xml:space="preserve"> for further information)</w:t>
      </w:r>
      <w:r w:rsidRPr="6B20C011">
        <w:t>.</w:t>
      </w:r>
    </w:p>
    <w:p w14:paraId="754317C3" w14:textId="23894251" w:rsidR="00D74559" w:rsidRPr="00FB7CD7" w:rsidRDefault="00D74559" w:rsidP="006E2EF5">
      <w:pPr>
        <w:tabs>
          <w:tab w:val="right" w:pos="1701"/>
        </w:tabs>
        <w:spacing w:after="120"/>
      </w:pPr>
      <w:r w:rsidRPr="6B20C011">
        <w:t xml:space="preserve">An ESAt will </w:t>
      </w:r>
      <w:r w:rsidRPr="006A5443">
        <w:t xml:space="preserve">usually refer </w:t>
      </w:r>
      <w:r w:rsidRPr="6B20C011">
        <w:t xml:space="preserve">the person to </w:t>
      </w:r>
      <w:r w:rsidR="00AC61E7">
        <w:t>Inclusive Employment Australia</w:t>
      </w:r>
      <w:r w:rsidRPr="6B20C011">
        <w:t>, rather than an Other Employment Service, if:</w:t>
      </w:r>
    </w:p>
    <w:p w14:paraId="29F39CE3" w14:textId="77777777" w:rsidR="00D74559" w:rsidRPr="00CF0F2E" w:rsidRDefault="00D74559" w:rsidP="004E120D">
      <w:pPr>
        <w:pStyle w:val="BulletLevel1"/>
      </w:pPr>
      <w:r w:rsidRPr="00CF0F2E">
        <w:t>the person’s disability, injury or health condition is their main barrier to work, and</w:t>
      </w:r>
    </w:p>
    <w:p w14:paraId="01D66C7D" w14:textId="3C2E4BA7" w:rsidR="00D74559" w:rsidRPr="00CF0F2E" w:rsidRDefault="00D74559" w:rsidP="004E120D">
      <w:pPr>
        <w:pStyle w:val="BulletLevel1"/>
      </w:pPr>
      <w:r>
        <w:t xml:space="preserve">the person is eligible for </w:t>
      </w:r>
      <w:r w:rsidR="00AC61E7">
        <w:t>Inclusive Employment Australia</w:t>
      </w:r>
      <w:r>
        <w:t xml:space="preserve"> and able to benefit from </w:t>
      </w:r>
      <w:r w:rsidR="00AC61E7">
        <w:t>Inclusive Employment Australia</w:t>
      </w:r>
      <w:r>
        <w:t>.</w:t>
      </w:r>
    </w:p>
    <w:p w14:paraId="67CB81F1" w14:textId="55756E81" w:rsidR="00ED2C50" w:rsidRDefault="00D74559" w:rsidP="006E2EF5">
      <w:pPr>
        <w:tabs>
          <w:tab w:val="right" w:pos="1701"/>
        </w:tabs>
        <w:spacing w:after="120"/>
      </w:pPr>
      <w:r w:rsidRPr="6B20C011">
        <w:t xml:space="preserve">Where the ESAt finds that the person is eligible for and able to benefit from </w:t>
      </w:r>
      <w:r w:rsidR="00AC61E7">
        <w:t>Inclusive Employment Australia</w:t>
      </w:r>
      <w:r w:rsidRPr="6B20C011">
        <w:t xml:space="preserve">, the Services Australia Assessor </w:t>
      </w:r>
      <w:r w:rsidR="00A70053">
        <w:t>will</w:t>
      </w:r>
      <w:r w:rsidRPr="6B20C011">
        <w:t>, as part of the</w:t>
      </w:r>
      <w:r w:rsidR="00010F5F">
        <w:t>ir</w:t>
      </w:r>
      <w:r w:rsidRPr="6B20C011">
        <w:t xml:space="preserve"> recommendations, identify </w:t>
      </w:r>
      <w:r>
        <w:t>a</w:t>
      </w:r>
      <w:r w:rsidRPr="6B20C011">
        <w:t xml:space="preserve"> Provider. </w:t>
      </w:r>
      <w:r w:rsidR="009D1298">
        <w:t>At</w:t>
      </w:r>
      <w:r w:rsidR="005358AE">
        <w:t xml:space="preserve"> this stage </w:t>
      </w:r>
      <w:r w:rsidR="00010F5F">
        <w:t>of</w:t>
      </w:r>
      <w:r w:rsidR="005358AE">
        <w:t xml:space="preserve"> the process</w:t>
      </w:r>
      <w:r w:rsidR="00EF79E4">
        <w:t xml:space="preserve">, the person </w:t>
      </w:r>
      <w:r w:rsidR="007B4621">
        <w:t>is considered to be</w:t>
      </w:r>
      <w:r w:rsidR="00EF79E4">
        <w:t xml:space="preserve"> an </w:t>
      </w:r>
      <w:r w:rsidR="00AC61E7">
        <w:t>Inclusive Employment Australia</w:t>
      </w:r>
      <w:r w:rsidR="00EF79E4">
        <w:t xml:space="preserve"> Participant.</w:t>
      </w:r>
    </w:p>
    <w:p w14:paraId="1A0C977B" w14:textId="1F51CE0B" w:rsidR="00D74559" w:rsidRDefault="00D74559" w:rsidP="006E2EF5">
      <w:pPr>
        <w:tabs>
          <w:tab w:val="right" w:pos="1701"/>
        </w:tabs>
        <w:spacing w:after="120"/>
      </w:pPr>
      <w:r w:rsidRPr="6B20C011">
        <w:t xml:space="preserve">The Assessor will help </w:t>
      </w:r>
      <w:r w:rsidR="00ED2C50">
        <w:t>each</w:t>
      </w:r>
      <w:r w:rsidRPr="6B20C011">
        <w:t xml:space="preserve"> Participant to review local Providers and choose the Provider that best meets their needs and will Refer the Participant to the Provider. If a Participant does not wish to choose their own Provider, they will be allocated a Provider.</w:t>
      </w:r>
    </w:p>
    <w:p w14:paraId="701C19A2" w14:textId="105459E6" w:rsidR="00D74559" w:rsidRDefault="00D74559" w:rsidP="006E2EF5">
      <w:pPr>
        <w:tabs>
          <w:tab w:val="right" w:pos="1701"/>
        </w:tabs>
        <w:spacing w:after="120"/>
      </w:pPr>
      <w:r w:rsidRPr="6B20C011">
        <w:t xml:space="preserve">Participant choice of their Provider is an important element of </w:t>
      </w:r>
      <w:r w:rsidR="00AC61E7">
        <w:t>Inclusive Employment Australia</w:t>
      </w:r>
      <w:r>
        <w:t>.</w:t>
      </w:r>
      <w:r w:rsidRPr="6B20C011">
        <w:t xml:space="preserve"> Participants will be able to choose </w:t>
      </w:r>
      <w:r w:rsidR="00423BA8">
        <w:t>a</w:t>
      </w:r>
      <w:r w:rsidRPr="6B20C011">
        <w:t xml:space="preserve"> Provider delivering Services in their area</w:t>
      </w:r>
      <w:r w:rsidR="00423BA8">
        <w:t xml:space="preserve"> based on where they live</w:t>
      </w:r>
      <w:r w:rsidRPr="6B20C011">
        <w:t>, including any relevant Specific Cohort Providers, if applicable. Participants are encouraged to review Provider options on the JobAccess site, ahead of their ESAt.</w:t>
      </w:r>
    </w:p>
    <w:p w14:paraId="0110456E" w14:textId="57D7731F" w:rsidR="00D74559" w:rsidRDefault="00D74559" w:rsidP="006E2EF5">
      <w:pPr>
        <w:tabs>
          <w:tab w:val="right" w:pos="1701"/>
        </w:tabs>
        <w:spacing w:after="120"/>
      </w:pPr>
      <w:r w:rsidRPr="6B20C011">
        <w:rPr>
          <w:b/>
          <w:bCs/>
        </w:rPr>
        <w:t>Note</w:t>
      </w:r>
      <w:r w:rsidRPr="6B20C011">
        <w:t xml:space="preserve">: Services Australia does not offer a choice of Providers when conducting an ESAt for a person who Directly Registered with a Provider, because the person exercised choice when Directly Registering. The person will be Referred back to the Provider they Directly Registered with. The person can choose </w:t>
      </w:r>
      <w:r w:rsidR="00514B07">
        <w:t>to transfer to</w:t>
      </w:r>
      <w:r w:rsidRPr="6B20C011">
        <w:t xml:space="preserve"> another Provider whenever they wish</w:t>
      </w:r>
      <w:r w:rsidR="00F55550">
        <w:t xml:space="preserve"> after this point</w:t>
      </w:r>
      <w:r w:rsidRPr="6B20C011">
        <w:t>.</w:t>
      </w:r>
    </w:p>
    <w:p w14:paraId="68443DE3" w14:textId="3A0E402F" w:rsidR="00D74559" w:rsidRDefault="00D74559" w:rsidP="006E2EF5">
      <w:pPr>
        <w:tabs>
          <w:tab w:val="right" w:pos="1701"/>
        </w:tabs>
        <w:spacing w:after="120"/>
      </w:pPr>
      <w:r w:rsidRPr="77B5DA42">
        <w:t xml:space="preserve">If the person has transferred from </w:t>
      </w:r>
      <w:r w:rsidR="00F55550">
        <w:t>an</w:t>
      </w:r>
      <w:r w:rsidR="0044775A">
        <w:t xml:space="preserve"> O</w:t>
      </w:r>
      <w:r w:rsidR="00F55550">
        <w:t>ther</w:t>
      </w:r>
      <w:r w:rsidRPr="77B5DA42">
        <w:t xml:space="preserve"> Employment Service to </w:t>
      </w:r>
      <w:r w:rsidR="00AC61E7">
        <w:t>Inclusive Employment Australia</w:t>
      </w:r>
      <w:r w:rsidRPr="77B5DA42">
        <w:t xml:space="preserve">, Services Australia will </w:t>
      </w:r>
      <w:r w:rsidR="00176E6E">
        <w:t>R</w:t>
      </w:r>
      <w:r w:rsidRPr="77B5DA42">
        <w:t xml:space="preserve">efer the Participant to </w:t>
      </w:r>
      <w:r w:rsidR="00801EA5">
        <w:t xml:space="preserve">an </w:t>
      </w:r>
      <w:r w:rsidR="00AC61E7">
        <w:t>Inclusive Employment Australia</w:t>
      </w:r>
      <w:r w:rsidRPr="77B5DA42">
        <w:t xml:space="preserve"> Provider. </w:t>
      </w:r>
      <w:r>
        <w:t>The Provider</w:t>
      </w:r>
      <w:r w:rsidRPr="77B5DA42">
        <w:t xml:space="preserve"> must cooperate and work collaboratively with the Other Employment Service </w:t>
      </w:r>
      <w:r w:rsidR="00E41009">
        <w:t xml:space="preserve">Provider </w:t>
      </w:r>
      <w:r w:rsidRPr="77B5DA42">
        <w:t xml:space="preserve">to support the Participant’s smooth transition into </w:t>
      </w:r>
      <w:r w:rsidR="00AC61E7">
        <w:t>Inclusive Employment Australia</w:t>
      </w:r>
      <w:r w:rsidRPr="77B5DA42">
        <w:t xml:space="preserve">, in the same way that two </w:t>
      </w:r>
      <w:r w:rsidR="00AC61E7">
        <w:t>Inclusive Employment Australia</w:t>
      </w:r>
      <w:r w:rsidRPr="77B5DA42">
        <w:t xml:space="preserve"> Providers must cooperate when a Participant transfers from one Provider to another</w:t>
      </w:r>
      <w:r w:rsidR="00424BE4">
        <w:t>, if requested to do so under these Guidelines</w:t>
      </w:r>
      <w:r w:rsidRPr="77B5DA42">
        <w:t xml:space="preserve">. </w:t>
      </w:r>
      <w:r w:rsidR="001400CA">
        <w:t>Refer to</w:t>
      </w:r>
      <w:r w:rsidR="00561337">
        <w:t xml:space="preserve"> </w:t>
      </w:r>
      <w:r w:rsidR="004F60A7">
        <w:t xml:space="preserve">relevant Sections in </w:t>
      </w:r>
      <w:r w:rsidR="00CA26A3">
        <w:fldChar w:fldCharType="begin"/>
      </w:r>
      <w:r w:rsidR="00CA26A3">
        <w:instrText xml:space="preserve"> REF _Ref202780811 \h </w:instrText>
      </w:r>
      <w:r w:rsidR="00CA26A3">
        <w:fldChar w:fldCharType="separate"/>
      </w:r>
      <w:r w:rsidR="00CA26A3" w:rsidRPr="00BA23D8">
        <w:t>Chapter 3</w:t>
      </w:r>
      <w:r w:rsidR="00CA26A3">
        <w:t>:</w:t>
      </w:r>
      <w:r w:rsidR="00CA26A3">
        <w:tab/>
        <w:t xml:space="preserve"> </w:t>
      </w:r>
      <w:r w:rsidR="00CA26A3" w:rsidRPr="00BA23D8">
        <w:t>Commencements, Transfers, Suspensions and Exits</w:t>
      </w:r>
      <w:r w:rsidR="00CA26A3">
        <w:fldChar w:fldCharType="end"/>
      </w:r>
      <w:r w:rsidR="004F60A7">
        <w:fldChar w:fldCharType="begin"/>
      </w:r>
      <w:r w:rsidR="004F60A7">
        <w:instrText xml:space="preserve"> REF _Ref202781804 \h </w:instrText>
      </w:r>
      <w:r w:rsidR="004F60A7">
        <w:fldChar w:fldCharType="separate"/>
      </w:r>
      <w:r w:rsidR="004F60A7">
        <w:fldChar w:fldCharType="end"/>
      </w:r>
      <w:r w:rsidR="004F60A7">
        <w:t xml:space="preserve"> </w:t>
      </w:r>
      <w:r>
        <w:t xml:space="preserve">for </w:t>
      </w:r>
      <w:r w:rsidR="00707B89">
        <w:t xml:space="preserve">more </w:t>
      </w:r>
      <w:r w:rsidR="002D779D">
        <w:t>information about</w:t>
      </w:r>
      <w:r>
        <w:t xml:space="preserve"> </w:t>
      </w:r>
      <w:r w:rsidR="001B283C">
        <w:t>Commencing P</w:t>
      </w:r>
      <w:r>
        <w:t>articipants transferring from Other Employment Services.</w:t>
      </w:r>
    </w:p>
    <w:p w14:paraId="1D071EC3" w14:textId="4D4FD0FC" w:rsidR="00D74559" w:rsidRPr="00A17D66" w:rsidRDefault="029FFE4E" w:rsidP="006E2EF5">
      <w:pPr>
        <w:tabs>
          <w:tab w:val="right" w:pos="1701"/>
        </w:tabs>
        <w:spacing w:after="120"/>
        <w:rPr>
          <w:sz w:val="20"/>
          <w:szCs w:val="20"/>
        </w:rPr>
      </w:pPr>
      <w:r w:rsidRPr="3FBFA4CD">
        <w:rPr>
          <w:sz w:val="20"/>
          <w:szCs w:val="20"/>
        </w:rPr>
        <w:t>(</w:t>
      </w:r>
      <w:r w:rsidR="00A73420">
        <w:rPr>
          <w:sz w:val="20"/>
          <w:szCs w:val="20"/>
        </w:rPr>
        <w:t xml:space="preserve">Deed Reference(s): Clause </w:t>
      </w:r>
      <w:r w:rsidRPr="3FBFA4CD">
        <w:rPr>
          <w:sz w:val="20"/>
          <w:szCs w:val="20"/>
        </w:rPr>
        <w:t>10</w:t>
      </w:r>
      <w:r w:rsidR="008958E6">
        <w:rPr>
          <w:sz w:val="20"/>
          <w:szCs w:val="20"/>
        </w:rPr>
        <w:t>6</w:t>
      </w:r>
      <w:r w:rsidRPr="3FBFA4CD">
        <w:rPr>
          <w:sz w:val="20"/>
          <w:szCs w:val="20"/>
        </w:rPr>
        <w:t>)</w:t>
      </w:r>
    </w:p>
    <w:p w14:paraId="3533CFFE" w14:textId="7FF7A117" w:rsidR="00D74559" w:rsidRPr="008A0D18" w:rsidRDefault="00D74559" w:rsidP="001D0F92">
      <w:pPr>
        <w:pStyle w:val="Heading4"/>
      </w:pPr>
      <w:bookmarkStart w:id="39" w:name="_Toc202899877"/>
      <w:r w:rsidRPr="008A0D18">
        <w:t>1.</w:t>
      </w:r>
      <w:r>
        <w:t>4</w:t>
      </w:r>
      <w:r w:rsidRPr="008A0D18">
        <w:t>.2</w:t>
      </w:r>
      <w:r w:rsidR="00D70B8E">
        <w:tab/>
      </w:r>
      <w:r w:rsidRPr="008A0D18">
        <w:t>Receiving Referrals</w:t>
      </w:r>
      <w:bookmarkEnd w:id="39"/>
    </w:p>
    <w:p w14:paraId="1FBF231C" w14:textId="77777777" w:rsidR="00D74559" w:rsidRPr="00CD2C13" w:rsidRDefault="00D74559" w:rsidP="006D1645">
      <w:pPr>
        <w:pStyle w:val="Heading5"/>
      </w:pPr>
      <w:r w:rsidRPr="00CD2C13">
        <w:t xml:space="preserve">Creating </w:t>
      </w:r>
      <w:r>
        <w:t>A</w:t>
      </w:r>
      <w:r w:rsidRPr="00CD2C13">
        <w:t>ppointment sessions</w:t>
      </w:r>
    </w:p>
    <w:p w14:paraId="5AFBB836" w14:textId="1F39AAF6" w:rsidR="00E47212" w:rsidRDefault="00E47212" w:rsidP="00E47212">
      <w:pPr>
        <w:tabs>
          <w:tab w:val="right" w:pos="1701"/>
        </w:tabs>
        <w:spacing w:after="120"/>
        <w:rPr>
          <w:rFonts w:cstheme="minorHAnsi"/>
        </w:rPr>
      </w:pPr>
      <w:r>
        <w:rPr>
          <w:rFonts w:cstheme="minorHAnsi"/>
        </w:rPr>
        <w:t xml:space="preserve">A Referral is actioned by Services Australia through scheduling the person in an Initial Interview </w:t>
      </w:r>
      <w:r w:rsidR="001D2D1D">
        <w:rPr>
          <w:rFonts w:cstheme="minorHAnsi"/>
        </w:rPr>
        <w:t>against an available session</w:t>
      </w:r>
      <w:r w:rsidR="00D54AD6">
        <w:rPr>
          <w:rFonts w:cstheme="minorHAnsi"/>
        </w:rPr>
        <w:t xml:space="preserve"> (se</w:t>
      </w:r>
      <w:r w:rsidR="001400CA">
        <w:rPr>
          <w:rFonts w:cstheme="minorHAnsi"/>
        </w:rPr>
        <w:t>e</w:t>
      </w:r>
      <w:r w:rsidR="00CA26A3">
        <w:rPr>
          <w:rFonts w:cstheme="minorHAnsi"/>
        </w:rPr>
        <w:t xml:space="preserve"> </w:t>
      </w:r>
      <w:r w:rsidR="00CA26A3">
        <w:rPr>
          <w:rFonts w:cstheme="minorHAnsi"/>
        </w:rPr>
        <w:fldChar w:fldCharType="begin"/>
      </w:r>
      <w:r w:rsidR="00CA26A3">
        <w:rPr>
          <w:rFonts w:cstheme="minorHAnsi"/>
        </w:rPr>
        <w:instrText xml:space="preserve"> REF _Ref202781902 \h </w:instrText>
      </w:r>
      <w:r w:rsidR="00CA26A3">
        <w:rPr>
          <w:rFonts w:cstheme="minorHAnsi"/>
        </w:rPr>
      </w:r>
      <w:r w:rsidR="00CA26A3">
        <w:rPr>
          <w:rFonts w:cstheme="minorHAnsi"/>
        </w:rPr>
        <w:fldChar w:fldCharType="separate"/>
      </w:r>
      <w:r w:rsidR="00CA26A3" w:rsidRPr="362FEA09">
        <w:t>3.2.2</w:t>
      </w:r>
      <w:r w:rsidR="00CA26A3">
        <w:t xml:space="preserve"> </w:t>
      </w:r>
      <w:r w:rsidR="00CA26A3" w:rsidRPr="362FEA09">
        <w:t>Initial Interview</w:t>
      </w:r>
      <w:r w:rsidR="00CA26A3">
        <w:rPr>
          <w:rFonts w:cstheme="minorHAnsi"/>
        </w:rPr>
        <w:fldChar w:fldCharType="end"/>
      </w:r>
      <w:r w:rsidR="00D625FF">
        <w:rPr>
          <w:rFonts w:cstheme="minorHAnsi"/>
        </w:rPr>
        <w:fldChar w:fldCharType="begin"/>
      </w:r>
      <w:r w:rsidR="00D625FF">
        <w:rPr>
          <w:rFonts w:cstheme="minorHAnsi"/>
        </w:rPr>
        <w:instrText xml:space="preserve"> REF _Ref202781902 \h </w:instrText>
      </w:r>
      <w:r w:rsidR="00D625FF">
        <w:rPr>
          <w:rFonts w:cstheme="minorHAnsi"/>
        </w:rPr>
      </w:r>
      <w:r w:rsidR="00D625FF">
        <w:rPr>
          <w:rFonts w:cstheme="minorHAnsi"/>
        </w:rPr>
        <w:fldChar w:fldCharType="separate"/>
      </w:r>
      <w:r w:rsidR="00D625FF">
        <w:rPr>
          <w:rFonts w:cstheme="minorHAnsi"/>
        </w:rPr>
        <w:fldChar w:fldCharType="end"/>
      </w:r>
      <w:r w:rsidR="00D54AD6">
        <w:t>).</w:t>
      </w:r>
    </w:p>
    <w:p w14:paraId="793AAE75" w14:textId="321B75B4" w:rsidR="00DF407A" w:rsidRPr="00D05EB7" w:rsidRDefault="00DF407A" w:rsidP="00DF407A">
      <w:r w:rsidRPr="00D05EB7">
        <w:t xml:space="preserve">Providers are responsible for </w:t>
      </w:r>
      <w:r>
        <w:t xml:space="preserve">ensuring that </w:t>
      </w:r>
      <w:r w:rsidR="0085332A">
        <w:t xml:space="preserve">Participants can be referred to them by </w:t>
      </w:r>
      <w:r w:rsidR="00795A0B">
        <w:t>having</w:t>
      </w:r>
      <w:r w:rsidR="0085332A">
        <w:t xml:space="preserve"> sessions </w:t>
      </w:r>
      <w:r w:rsidR="00795A0B">
        <w:t xml:space="preserve">available </w:t>
      </w:r>
      <w:r w:rsidR="0085332A">
        <w:t xml:space="preserve">in </w:t>
      </w:r>
      <w:r w:rsidR="00B44268">
        <w:t xml:space="preserve">the </w:t>
      </w:r>
      <w:r w:rsidR="00265FF3">
        <w:rPr>
          <w:rFonts w:cstheme="minorHAnsi"/>
        </w:rPr>
        <w:t>Electronic Calendar on the Department’s IT Systems.</w:t>
      </w:r>
      <w:r w:rsidR="00C40591">
        <w:rPr>
          <w:rFonts w:cstheme="minorHAnsi"/>
        </w:rPr>
        <w:t xml:space="preserve"> It is up to Providers to determine </w:t>
      </w:r>
      <w:r w:rsidRPr="00D05EB7">
        <w:t>how many sessions they</w:t>
      </w:r>
      <w:r>
        <w:t xml:space="preserve"> m</w:t>
      </w:r>
      <w:r w:rsidRPr="00D05EB7">
        <w:t xml:space="preserve">ake available in the Electronic Calendar to manage their current and potential </w:t>
      </w:r>
      <w:r>
        <w:t>C</w:t>
      </w:r>
      <w:r w:rsidRPr="00D05EB7">
        <w:t>aseload.</w:t>
      </w:r>
    </w:p>
    <w:p w14:paraId="02B2A8DD" w14:textId="42A65930" w:rsidR="00D74559" w:rsidRDefault="00D74559" w:rsidP="006E2EF5">
      <w:pPr>
        <w:tabs>
          <w:tab w:val="right" w:pos="1701"/>
        </w:tabs>
        <w:spacing w:after="120"/>
        <w:rPr>
          <w:rFonts w:cstheme="minorHAnsi"/>
        </w:rPr>
      </w:pPr>
      <w:r w:rsidRPr="005B0772">
        <w:rPr>
          <w:rFonts w:cstheme="minorHAnsi"/>
        </w:rPr>
        <w:t xml:space="preserve">If there are no available </w:t>
      </w:r>
      <w:r w:rsidR="00E67E09">
        <w:rPr>
          <w:rFonts w:cstheme="minorHAnsi"/>
        </w:rPr>
        <w:t>appointments</w:t>
      </w:r>
      <w:r>
        <w:rPr>
          <w:rFonts w:cstheme="minorHAnsi"/>
        </w:rPr>
        <w:t xml:space="preserve"> within the next 2 to 5 Business Days</w:t>
      </w:r>
      <w:r w:rsidRPr="005B0772">
        <w:rPr>
          <w:rFonts w:cstheme="minorHAnsi"/>
        </w:rPr>
        <w:t xml:space="preserve">, the person cannot be </w:t>
      </w:r>
      <w:r>
        <w:rPr>
          <w:rFonts w:cstheme="minorHAnsi"/>
        </w:rPr>
        <w:t>R</w:t>
      </w:r>
      <w:r w:rsidRPr="005B0772">
        <w:rPr>
          <w:rFonts w:cstheme="minorHAnsi"/>
        </w:rPr>
        <w:t xml:space="preserve">eferred to that </w:t>
      </w:r>
      <w:r>
        <w:rPr>
          <w:rFonts w:cstheme="minorHAnsi"/>
        </w:rPr>
        <w:t>Provider</w:t>
      </w:r>
      <w:r w:rsidRPr="005B0772">
        <w:rPr>
          <w:rFonts w:cstheme="minorHAnsi"/>
        </w:rPr>
        <w:t>.</w:t>
      </w:r>
    </w:p>
    <w:p w14:paraId="1B04E8E6" w14:textId="4E1AB0AC" w:rsidR="00D74559" w:rsidRDefault="00D74559" w:rsidP="006F727E">
      <w:pPr>
        <w:pStyle w:val="SystemStep"/>
      </w:pPr>
      <w:r w:rsidRPr="6B20C011">
        <w:t xml:space="preserve">Providers must create sessions in the </w:t>
      </w:r>
      <w:r w:rsidR="00B44268">
        <w:rPr>
          <w:rFonts w:cstheme="minorHAnsi"/>
        </w:rPr>
        <w:t>Provider’s</w:t>
      </w:r>
      <w:r>
        <w:rPr>
          <w:rFonts w:cstheme="minorHAnsi"/>
        </w:rPr>
        <w:t xml:space="preserve"> </w:t>
      </w:r>
      <w:r w:rsidRPr="6B20C011">
        <w:t xml:space="preserve">Electronic Calendar to ensure that they can receive a Referral — appropriate </w:t>
      </w:r>
      <w:r w:rsidR="0016282B">
        <w:t>session</w:t>
      </w:r>
      <w:r w:rsidRPr="6B20C011">
        <w:t xml:space="preserve"> types </w:t>
      </w:r>
      <w:r w:rsidR="001E23F8" w:rsidRPr="6B20C011">
        <w:t xml:space="preserve">for Initial Interviews </w:t>
      </w:r>
      <w:r w:rsidRPr="6B20C011">
        <w:t xml:space="preserve">are ‘Initial appointment’ or ‘All Appointment Types’. </w:t>
      </w:r>
    </w:p>
    <w:p w14:paraId="6C7522E5" w14:textId="01545AAA" w:rsidR="00D74559" w:rsidRPr="009A76E9" w:rsidRDefault="029FFE4E" w:rsidP="006E2EF5">
      <w:pPr>
        <w:pStyle w:val="DeedReferences"/>
      </w:pPr>
      <w:r>
        <w:t>(</w:t>
      </w:r>
      <w:r w:rsidR="00A73420">
        <w:t xml:space="preserve">Deed Reference(s): Clause </w:t>
      </w:r>
      <w:r>
        <w:t>11</w:t>
      </w:r>
      <w:r w:rsidR="00A330F3">
        <w:t>2</w:t>
      </w:r>
      <w:r w:rsidR="263AD4A1">
        <w:t>.1</w:t>
      </w:r>
      <w:r>
        <w:t>)</w:t>
      </w:r>
    </w:p>
    <w:p w14:paraId="66482B1F" w14:textId="0662D647" w:rsidR="00FF0A34" w:rsidRPr="009A76E9" w:rsidRDefault="000B518C" w:rsidP="00065E45">
      <w:r>
        <w:t xml:space="preserve">More detailed information is available in the </w:t>
      </w:r>
      <w:r w:rsidRPr="00A53C65">
        <w:rPr>
          <w:rStyle w:val="Hyperlink"/>
        </w:rPr>
        <w:t xml:space="preserve">Provider Actions – Steps to ensure Referrals by Services Australia </w:t>
      </w:r>
      <w:r w:rsidR="00A53C65" w:rsidRPr="00A53C65">
        <w:rPr>
          <w:rStyle w:val="Hyperlink"/>
        </w:rPr>
        <w:t>[LINK]</w:t>
      </w:r>
      <w:r w:rsidR="00A53C65">
        <w:t xml:space="preserve"> </w:t>
      </w:r>
      <w:r>
        <w:t>supporting document.</w:t>
      </w:r>
    </w:p>
    <w:p w14:paraId="64C895AA" w14:textId="72261786" w:rsidR="00D74559" w:rsidRDefault="00D74559" w:rsidP="006D1645">
      <w:pPr>
        <w:pStyle w:val="Heading5"/>
      </w:pPr>
      <w:r w:rsidRPr="6B20C011">
        <w:t xml:space="preserve">Confirming </w:t>
      </w:r>
      <w:r w:rsidR="004A3DBF">
        <w:t>R</w:t>
      </w:r>
      <w:r w:rsidRPr="6B20C011">
        <w:t>egistration details, eligibility and Participant details</w:t>
      </w:r>
    </w:p>
    <w:p w14:paraId="70FACAD5" w14:textId="77777777" w:rsidR="008A710D" w:rsidRDefault="00D74559" w:rsidP="00994202">
      <w:r w:rsidRPr="6B20C011">
        <w:t>When a Provider receives a Referral from Services Australia, the Provider must</w:t>
      </w:r>
      <w:r w:rsidR="008A710D">
        <w:t>:</w:t>
      </w:r>
    </w:p>
    <w:p w14:paraId="51948D38" w14:textId="25BA2BF8" w:rsidR="008A710D" w:rsidRDefault="00D74559" w:rsidP="008A710D">
      <w:pPr>
        <w:pStyle w:val="BulletLevel1"/>
      </w:pPr>
      <w:r w:rsidRPr="6B20C011">
        <w:t xml:space="preserve">review information in the ESAt and </w:t>
      </w:r>
      <w:r w:rsidR="003003EA">
        <w:t>R</w:t>
      </w:r>
      <w:r w:rsidRPr="6B20C011">
        <w:t xml:space="preserve">egistration </w:t>
      </w:r>
      <w:r w:rsidR="00CB6210">
        <w:t>R</w:t>
      </w:r>
      <w:r w:rsidRPr="6B20C011">
        <w:t>ecord to confirm they are current</w:t>
      </w:r>
      <w:r w:rsidR="008A710D">
        <w:t>, and</w:t>
      </w:r>
    </w:p>
    <w:p w14:paraId="0BF55C50" w14:textId="13AF746B" w:rsidR="008A710D" w:rsidRDefault="00D74559" w:rsidP="008A710D">
      <w:pPr>
        <w:pStyle w:val="BulletLevel1"/>
      </w:pPr>
      <w:r w:rsidDel="00AC42A7">
        <w:t xml:space="preserve">confirm that </w:t>
      </w:r>
      <w:r w:rsidR="008A710D" w:rsidDel="00AC42A7">
        <w:t>the</w:t>
      </w:r>
      <w:r w:rsidR="008A710D">
        <w:t xml:space="preserve"> Participant</w:t>
      </w:r>
      <w:r w:rsidR="008A710D" w:rsidDel="00AC42A7">
        <w:t xml:space="preserve"> </w:t>
      </w:r>
      <w:r w:rsidR="008A710D">
        <w:t>is</w:t>
      </w:r>
      <w:r w:rsidDel="00AC42A7">
        <w:t xml:space="preserve"> eligible to Commence.</w:t>
      </w:r>
    </w:p>
    <w:p w14:paraId="0B869BC2" w14:textId="674F50DE" w:rsidR="00D74559" w:rsidRDefault="00994202" w:rsidP="006E2EF5">
      <w:pPr>
        <w:tabs>
          <w:tab w:val="right" w:pos="1701"/>
        </w:tabs>
        <w:spacing w:after="120"/>
      </w:pPr>
      <w:r w:rsidRPr="00994202">
        <w:rPr>
          <w:b/>
          <w:bCs/>
        </w:rPr>
        <w:t>Note:</w:t>
      </w:r>
      <w:r w:rsidR="00D74559" w:rsidDel="00AC42A7">
        <w:t xml:space="preserve"> Although </w:t>
      </w:r>
      <w:r w:rsidR="00D74559">
        <w:t xml:space="preserve">Services Australia and the Department’s IT Systems confirm the person’s eligibility when they are </w:t>
      </w:r>
      <w:r w:rsidR="00F021B4">
        <w:t>R</w:t>
      </w:r>
      <w:r w:rsidR="00D74559">
        <w:t>eferred</w:t>
      </w:r>
      <w:r w:rsidR="00D74559" w:rsidDel="00E53067">
        <w:t>,</w:t>
      </w:r>
      <w:r w:rsidR="00D74559">
        <w:t xml:space="preserve"> the person’s circumstances </w:t>
      </w:r>
      <w:r w:rsidR="00D74559" w:rsidDel="00E53067">
        <w:t xml:space="preserve">may change </w:t>
      </w:r>
      <w:r w:rsidR="00D74559">
        <w:t>before they can be Commenced. For example, if a</w:t>
      </w:r>
      <w:r w:rsidR="00F91BC9">
        <w:t xml:space="preserve"> </w:t>
      </w:r>
      <w:r w:rsidR="00D74559">
        <w:t>person has already started work at an average number of hours per week equal to or greater than their Employment Benchmark, they must not be Commenced.</w:t>
      </w:r>
    </w:p>
    <w:p w14:paraId="46120BA9" w14:textId="59255ABE" w:rsidR="00D74559" w:rsidRDefault="00D74559" w:rsidP="00994202">
      <w:r w:rsidRPr="7AB2FEDD">
        <w:t xml:space="preserve">If a Provider considers that a person is not eligible for </w:t>
      </w:r>
      <w:r w:rsidR="00AC61E7">
        <w:t>Inclusive Employment Australia</w:t>
      </w:r>
      <w:r w:rsidRPr="7AB2FEDD">
        <w:t xml:space="preserve">, the Provider </w:t>
      </w:r>
      <w:r>
        <w:t>must:</w:t>
      </w:r>
    </w:p>
    <w:p w14:paraId="3D563659" w14:textId="77777777" w:rsidR="00D74559" w:rsidRPr="00271575" w:rsidRDefault="00D74559" w:rsidP="004E120D">
      <w:pPr>
        <w:pStyle w:val="BulletLevel1"/>
      </w:pPr>
      <w:r w:rsidRPr="00271575">
        <w:t>advise the person that they are not eligible</w:t>
      </w:r>
    </w:p>
    <w:p w14:paraId="2F6FDA03" w14:textId="10E5EBFB" w:rsidR="00D74559" w:rsidRPr="00271575" w:rsidRDefault="00626E3A" w:rsidP="004E120D">
      <w:pPr>
        <w:pStyle w:val="BulletLevel1"/>
      </w:pPr>
      <w:r>
        <w:t>E</w:t>
      </w:r>
      <w:r w:rsidR="00D74559" w:rsidRPr="00271575">
        <w:t xml:space="preserve">xit the person from the </w:t>
      </w:r>
      <w:r w:rsidR="00AC61E7">
        <w:t>Inclusive Employment Australia</w:t>
      </w:r>
      <w:r w:rsidR="00D74559" w:rsidRPr="00271575">
        <w:t>, and</w:t>
      </w:r>
    </w:p>
    <w:p w14:paraId="710B6B38" w14:textId="3437093C" w:rsidR="00D74559" w:rsidRPr="00271575" w:rsidRDefault="00D74559" w:rsidP="004E120D">
      <w:pPr>
        <w:pStyle w:val="BulletLevel1"/>
      </w:pPr>
      <w:r w:rsidRPr="00271575">
        <w:t xml:space="preserve">if the person has </w:t>
      </w:r>
      <w:r w:rsidR="00056282">
        <w:t>M</w:t>
      </w:r>
      <w:r w:rsidRPr="00271575">
        <w:t xml:space="preserve">utual </w:t>
      </w:r>
      <w:r w:rsidR="00056282">
        <w:t>O</w:t>
      </w:r>
      <w:r w:rsidRPr="00271575">
        <w:t xml:space="preserve">bligation </w:t>
      </w:r>
      <w:r w:rsidR="00056282">
        <w:t>R</w:t>
      </w:r>
      <w:r w:rsidRPr="00271575">
        <w:t>equirements</w:t>
      </w:r>
      <w:r w:rsidR="00251C2C">
        <w:t xml:space="preserve"> and </w:t>
      </w:r>
      <w:r w:rsidR="008D5E8A">
        <w:t>reports</w:t>
      </w:r>
      <w:r w:rsidR="00251C2C">
        <w:t xml:space="preserve"> they have been working </w:t>
      </w:r>
      <w:r w:rsidR="00991988">
        <w:t>at least 15 hours per week</w:t>
      </w:r>
      <w:r w:rsidRPr="00271575">
        <w:t xml:space="preserve">, advise the person to contact Services Australia for an assessment of whether they are </w:t>
      </w:r>
      <w:r w:rsidR="00A144C1">
        <w:t>F</w:t>
      </w:r>
      <w:r w:rsidRPr="00271575">
        <w:t xml:space="preserve">ully </w:t>
      </w:r>
      <w:r w:rsidR="00A144C1">
        <w:t>M</w:t>
      </w:r>
      <w:r w:rsidRPr="00271575">
        <w:t>eeting their requirements.</w:t>
      </w:r>
    </w:p>
    <w:p w14:paraId="5E1D4425" w14:textId="70D897A1" w:rsidR="00D74559" w:rsidRPr="00A17D66" w:rsidRDefault="00D74559" w:rsidP="006E2EF5">
      <w:pPr>
        <w:tabs>
          <w:tab w:val="right" w:pos="1701"/>
        </w:tabs>
        <w:spacing w:after="120"/>
        <w:rPr>
          <w:sz w:val="20"/>
          <w:szCs w:val="20"/>
        </w:rPr>
      </w:pPr>
      <w:r w:rsidRPr="120D9F78">
        <w:rPr>
          <w:sz w:val="20"/>
          <w:szCs w:val="20"/>
        </w:rPr>
        <w:t>(</w:t>
      </w:r>
      <w:r w:rsidR="00A73420">
        <w:rPr>
          <w:sz w:val="20"/>
          <w:szCs w:val="20"/>
        </w:rPr>
        <w:t xml:space="preserve">Deed Reference(s): Clause </w:t>
      </w:r>
      <w:r w:rsidRPr="7FCB19DB">
        <w:rPr>
          <w:sz w:val="20"/>
          <w:szCs w:val="20"/>
        </w:rPr>
        <w:t>10</w:t>
      </w:r>
      <w:r w:rsidR="0033367A">
        <w:rPr>
          <w:sz w:val="20"/>
          <w:szCs w:val="20"/>
        </w:rPr>
        <w:t>6</w:t>
      </w:r>
      <w:r w:rsidR="0C488BA2" w:rsidRPr="7FCB19DB">
        <w:rPr>
          <w:sz w:val="20"/>
          <w:szCs w:val="20"/>
        </w:rPr>
        <w:t>.3</w:t>
      </w:r>
      <w:r w:rsidRPr="120D9F78">
        <w:rPr>
          <w:sz w:val="20"/>
          <w:szCs w:val="20"/>
        </w:rPr>
        <w:t xml:space="preserve">) </w:t>
      </w:r>
    </w:p>
    <w:p w14:paraId="23CC2293" w14:textId="4BDEEC49" w:rsidR="00D74559" w:rsidRPr="006A74F3" w:rsidRDefault="00D74559" w:rsidP="001D0F92">
      <w:pPr>
        <w:pStyle w:val="Heading3"/>
      </w:pPr>
      <w:bookmarkStart w:id="40" w:name="_Ref202780813"/>
      <w:bookmarkStart w:id="41" w:name="_Toc202899878"/>
      <w:r>
        <w:t>1.5</w:t>
      </w:r>
      <w:r w:rsidR="00D70B8E">
        <w:tab/>
      </w:r>
      <w:r>
        <w:t>Direct Registration of Participants</w:t>
      </w:r>
      <w:bookmarkEnd w:id="40"/>
      <w:bookmarkEnd w:id="41"/>
    </w:p>
    <w:p w14:paraId="695720CA" w14:textId="3B1013E1" w:rsidR="00D74559" w:rsidRDefault="00D74559" w:rsidP="006E2EF5">
      <w:r>
        <w:t xml:space="preserve">Providers can </w:t>
      </w:r>
      <w:r w:rsidR="002610E9">
        <w:t>R</w:t>
      </w:r>
      <w:r>
        <w:t xml:space="preserve">egister certain people who approach them directly seeking employment </w:t>
      </w:r>
      <w:r w:rsidR="003A71E7">
        <w:t>s</w:t>
      </w:r>
      <w:r>
        <w:t>ervices. This is known as Direct Registration.</w:t>
      </w:r>
    </w:p>
    <w:p w14:paraId="4E91D8D9" w14:textId="537D796C" w:rsidR="00D74559" w:rsidRDefault="00D74559" w:rsidP="006E2EF5">
      <w:r>
        <w:t>To be eligible for Direct Registration, a person must:</w:t>
      </w:r>
    </w:p>
    <w:p w14:paraId="4C38D326" w14:textId="469A1D27" w:rsidR="00D74559" w:rsidRPr="00271575" w:rsidRDefault="00D74559" w:rsidP="004E120D">
      <w:pPr>
        <w:pStyle w:val="BulletLevel1"/>
      </w:pPr>
      <w:r w:rsidRPr="00271575">
        <w:t>not be currently Referred to a Provider</w:t>
      </w:r>
    </w:p>
    <w:p w14:paraId="3B093C3C" w14:textId="70693665" w:rsidR="00D74559" w:rsidRDefault="00D74559" w:rsidP="004E120D">
      <w:pPr>
        <w:pStyle w:val="BulletLevel1"/>
      </w:pPr>
      <w:r w:rsidRPr="00271575">
        <w:t xml:space="preserve">not be currently Referred to </w:t>
      </w:r>
      <w:r w:rsidR="003928EC">
        <w:t>an Other</w:t>
      </w:r>
      <w:r w:rsidRPr="00271575">
        <w:t xml:space="preserve"> </w:t>
      </w:r>
      <w:r w:rsidR="003928EC">
        <w:t>E</w:t>
      </w:r>
      <w:r w:rsidRPr="00271575">
        <w:t xml:space="preserve">mployment </w:t>
      </w:r>
      <w:r w:rsidR="003928EC">
        <w:t>S</w:t>
      </w:r>
      <w:r w:rsidRPr="00271575">
        <w:t>ervice</w:t>
      </w:r>
      <w:r w:rsidR="00FF435B">
        <w:t>,</w:t>
      </w:r>
      <w:r w:rsidR="003F7439">
        <w:t xml:space="preserve"> and</w:t>
      </w:r>
    </w:p>
    <w:p w14:paraId="34D9A3A0" w14:textId="240CE70E" w:rsidR="00FF435B" w:rsidRDefault="003F7439" w:rsidP="004E120D">
      <w:pPr>
        <w:pStyle w:val="BulletLevel1"/>
      </w:pPr>
      <w:r>
        <w:t xml:space="preserve">meet </w:t>
      </w:r>
      <w:r w:rsidR="007B2BE2">
        <w:t xml:space="preserve">general or special </w:t>
      </w:r>
      <w:r>
        <w:t xml:space="preserve">eligibility criteria for the </w:t>
      </w:r>
      <w:r w:rsidR="00AC61E7">
        <w:t>Inclusive Employment Australia</w:t>
      </w:r>
      <w:r w:rsidR="007B2BE2">
        <w:t xml:space="preserve"> </w:t>
      </w:r>
      <w:r w:rsidR="000E0667">
        <w:t>— refer to</w:t>
      </w:r>
      <w:r w:rsidR="00565441">
        <w:t xml:space="preserve"> </w:t>
      </w:r>
      <w:r w:rsidR="00565441">
        <w:fldChar w:fldCharType="begin"/>
      </w:r>
      <w:r w:rsidR="00565441">
        <w:instrText xml:space="preserve"> REF _Ref202781975 \h </w:instrText>
      </w:r>
      <w:r w:rsidR="00565441">
        <w:fldChar w:fldCharType="separate"/>
      </w:r>
      <w:r w:rsidR="000D75AE">
        <w:t>1.2</w:t>
      </w:r>
      <w:r w:rsidR="0097189E">
        <w:t xml:space="preserve"> </w:t>
      </w:r>
      <w:r w:rsidR="000D75AE">
        <w:t>General eligibility criteria</w:t>
      </w:r>
      <w:r w:rsidR="00565441">
        <w:fldChar w:fldCharType="end"/>
      </w:r>
      <w:r w:rsidR="008A6EC7">
        <w:t xml:space="preserve"> and </w:t>
      </w:r>
      <w:r w:rsidR="008A6EC7">
        <w:fldChar w:fldCharType="begin"/>
      </w:r>
      <w:r w:rsidR="008A6EC7">
        <w:instrText xml:space="preserve"> REF _Ref202777403 \h </w:instrText>
      </w:r>
      <w:r w:rsidR="008A6EC7">
        <w:fldChar w:fldCharType="separate"/>
      </w:r>
      <w:r w:rsidR="000D75AE" w:rsidRPr="68A5FFF4">
        <w:t>1</w:t>
      </w:r>
      <w:r w:rsidR="000D75AE" w:rsidRPr="00AB7F56">
        <w:t>.3</w:t>
      </w:r>
      <w:r w:rsidR="0097189E">
        <w:t xml:space="preserve"> </w:t>
      </w:r>
      <w:r w:rsidR="000D75AE">
        <w:t>Special</w:t>
      </w:r>
      <w:r w:rsidR="000D75AE" w:rsidRPr="00AB7F56">
        <w:t xml:space="preserve"> eligibility</w:t>
      </w:r>
      <w:r w:rsidR="000D75AE">
        <w:t xml:space="preserve"> criteria</w:t>
      </w:r>
      <w:r w:rsidR="008A6EC7">
        <w:fldChar w:fldCharType="end"/>
      </w:r>
      <w:r w:rsidR="007B2BE2">
        <w:t>.</w:t>
      </w:r>
    </w:p>
    <w:p w14:paraId="388247EF" w14:textId="6C0C1DC4" w:rsidR="00690725" w:rsidRDefault="00690725" w:rsidP="009D3821">
      <w:r w:rsidRPr="00FF753D">
        <w:t xml:space="preserve">If the </w:t>
      </w:r>
      <w:r>
        <w:t>P</w:t>
      </w:r>
      <w:r w:rsidRPr="00FF753D">
        <w:t xml:space="preserve">rovider becomes aware that the person does not meet </w:t>
      </w:r>
      <w:r w:rsidR="00BD2424">
        <w:t xml:space="preserve">the </w:t>
      </w:r>
      <w:r w:rsidR="00AC61E7">
        <w:t>Inclusive Employment Australia</w:t>
      </w:r>
      <w:r>
        <w:t xml:space="preserve"> </w:t>
      </w:r>
      <w:r w:rsidR="00BD2424">
        <w:t xml:space="preserve">general or special </w:t>
      </w:r>
      <w:r>
        <w:t>eligibility</w:t>
      </w:r>
      <w:r w:rsidRPr="00FF753D">
        <w:t xml:space="preserve"> </w:t>
      </w:r>
      <w:r w:rsidR="00BD2424">
        <w:t>criteria</w:t>
      </w:r>
      <w:r w:rsidRPr="00FF753D">
        <w:t xml:space="preserve">, the </w:t>
      </w:r>
      <w:r>
        <w:t>Provider</w:t>
      </w:r>
      <w:r w:rsidRPr="00FF753D">
        <w:t xml:space="preserve"> </w:t>
      </w:r>
      <w:r>
        <w:t>must</w:t>
      </w:r>
      <w:r w:rsidRPr="00FF753D">
        <w:t xml:space="preserve"> not </w:t>
      </w:r>
      <w:r>
        <w:t>proceed with the D</w:t>
      </w:r>
      <w:r w:rsidRPr="00FF753D">
        <w:t xml:space="preserve">irect </w:t>
      </w:r>
      <w:r>
        <w:t>Registration process</w:t>
      </w:r>
      <w:r w:rsidRPr="00FF753D">
        <w:t>.</w:t>
      </w:r>
    </w:p>
    <w:p w14:paraId="5D602462" w14:textId="1E08C128" w:rsidR="009A3F5D" w:rsidRPr="00610531" w:rsidRDefault="009F36EE" w:rsidP="00305B6D">
      <w:r w:rsidRPr="00690725">
        <w:rPr>
          <w:b/>
          <w:bCs/>
        </w:rPr>
        <w:t>Note:</w:t>
      </w:r>
      <w:r>
        <w:t xml:space="preserve"> After completing the Direct Registration process, a Provider may need to request an ESAt to confirm eligibility</w:t>
      </w:r>
      <w:r w:rsidR="009A3F5D">
        <w:t xml:space="preserve"> </w:t>
      </w:r>
      <w:r w:rsidR="000B6CD4">
        <w:t>(see</w:t>
      </w:r>
      <w:r w:rsidR="007D185D">
        <w:t xml:space="preserve"> next actions under</w:t>
      </w:r>
      <w:r w:rsidR="00A35D40">
        <w:t xml:space="preserve"> </w:t>
      </w:r>
      <w:r w:rsidR="00A35D40">
        <w:rPr>
          <w:highlight w:val="yellow"/>
        </w:rPr>
        <w:fldChar w:fldCharType="begin"/>
      </w:r>
      <w:r w:rsidR="00A35D40">
        <w:instrText xml:space="preserve"> REF _Ref202782047 \h </w:instrText>
      </w:r>
      <w:r w:rsidR="00A35D40">
        <w:rPr>
          <w:highlight w:val="yellow"/>
        </w:rPr>
      </w:r>
      <w:r w:rsidR="00A35D40">
        <w:rPr>
          <w:highlight w:val="yellow"/>
        </w:rPr>
        <w:fldChar w:fldCharType="separate"/>
      </w:r>
      <w:r w:rsidR="000D75AE">
        <w:t>1.5.6</w:t>
      </w:r>
      <w:r w:rsidR="0097189E">
        <w:t xml:space="preserve"> </w:t>
      </w:r>
      <w:r w:rsidR="000D75AE">
        <w:t>Submitting the Job Seeker Registration</w:t>
      </w:r>
      <w:r w:rsidR="00A35D40">
        <w:rPr>
          <w:highlight w:val="yellow"/>
        </w:rPr>
        <w:fldChar w:fldCharType="end"/>
      </w:r>
      <w:r w:rsidR="000B6CD4">
        <w:t>)</w:t>
      </w:r>
      <w:r w:rsidR="00305B6D">
        <w:t>.</w:t>
      </w:r>
    </w:p>
    <w:p w14:paraId="025071A3" w14:textId="0E05049F" w:rsidR="006C03A6" w:rsidRPr="00776840" w:rsidRDefault="006C03A6" w:rsidP="006C03A6">
      <w:r w:rsidRPr="3FBFA4CD">
        <w:rPr>
          <w:sz w:val="20"/>
          <w:szCs w:val="20"/>
        </w:rPr>
        <w:t>(</w:t>
      </w:r>
      <w:r>
        <w:rPr>
          <w:sz w:val="20"/>
          <w:szCs w:val="20"/>
        </w:rPr>
        <w:t xml:space="preserve">Deed Reference(s): Clause </w:t>
      </w:r>
      <w:r w:rsidR="00304D1D">
        <w:rPr>
          <w:sz w:val="20"/>
          <w:szCs w:val="20"/>
        </w:rPr>
        <w:t>108</w:t>
      </w:r>
      <w:r w:rsidRPr="3FBFA4CD">
        <w:rPr>
          <w:sz w:val="20"/>
          <w:szCs w:val="20"/>
        </w:rPr>
        <w:t>)</w:t>
      </w:r>
    </w:p>
    <w:p w14:paraId="49CC5474" w14:textId="3368FB54" w:rsidR="00D74559" w:rsidRDefault="00D74559" w:rsidP="001D0F92">
      <w:pPr>
        <w:pStyle w:val="Heading4"/>
      </w:pPr>
      <w:bookmarkStart w:id="42" w:name="_Toc202899879"/>
      <w:r>
        <w:t>1.5.1</w:t>
      </w:r>
      <w:r w:rsidR="00D70B8E">
        <w:tab/>
      </w:r>
      <w:r>
        <w:t>Participant Registration</w:t>
      </w:r>
      <w:bookmarkEnd w:id="42"/>
    </w:p>
    <w:p w14:paraId="3ED0B497" w14:textId="77777777" w:rsidR="00D74559" w:rsidRPr="00FF753D" w:rsidRDefault="00D74559" w:rsidP="002708BE">
      <w:pPr>
        <w:keepNext/>
      </w:pPr>
      <w:r w:rsidRPr="00FF753D">
        <w:t xml:space="preserve">A person must be </w:t>
      </w:r>
      <w:r>
        <w:t>R</w:t>
      </w:r>
      <w:r w:rsidRPr="00FF753D">
        <w:t xml:space="preserve">egistered </w:t>
      </w:r>
      <w:r>
        <w:t>on the Department’s IT Systems</w:t>
      </w:r>
      <w:r w:rsidRPr="00FF753D">
        <w:t xml:space="preserve"> before they can receive </w:t>
      </w:r>
      <w:r>
        <w:t>S</w:t>
      </w:r>
      <w:r w:rsidRPr="00FF753D">
        <w:t xml:space="preserve">ervices. The </w:t>
      </w:r>
      <w:r>
        <w:t>Job Seeker</w:t>
      </w:r>
      <w:r w:rsidRPr="00FF753D">
        <w:t xml:space="preserve"> </w:t>
      </w:r>
      <w:r>
        <w:t>R</w:t>
      </w:r>
      <w:r w:rsidRPr="00FF753D">
        <w:t>egistration process:</w:t>
      </w:r>
    </w:p>
    <w:p w14:paraId="67ACE583" w14:textId="77777777" w:rsidR="00D74559" w:rsidRPr="00FF753D" w:rsidRDefault="00D74559" w:rsidP="002708BE">
      <w:pPr>
        <w:pStyle w:val="BulletLevel1"/>
        <w:keepNext/>
      </w:pPr>
      <w:r>
        <w:t>collects information to confirm the person’s identity</w:t>
      </w:r>
    </w:p>
    <w:p w14:paraId="6FE53ECD" w14:textId="5B6A3631" w:rsidR="00D07DDF" w:rsidRPr="00FF753D" w:rsidRDefault="00D07DDF" w:rsidP="004E120D">
      <w:pPr>
        <w:pStyle w:val="BulletLevel1"/>
      </w:pPr>
      <w:r>
        <w:t xml:space="preserve">records any special eligibility </w:t>
      </w:r>
      <w:r w:rsidR="00483B91">
        <w:t>the person meets, if applicable</w:t>
      </w:r>
      <w:r w:rsidR="0091395B">
        <w:t xml:space="preserve"> — when the Registration shows that special eligibility applies, the Department’s IT Systems checks that eligibility instead of general eligibility</w:t>
      </w:r>
    </w:p>
    <w:p w14:paraId="6EEDB891" w14:textId="5F6B0FF7" w:rsidR="00D74559" w:rsidRDefault="00D74559" w:rsidP="004E120D">
      <w:pPr>
        <w:pStyle w:val="BulletLevel1"/>
      </w:pPr>
      <w:r w:rsidRPr="6B20C011">
        <w:t xml:space="preserve">creates a Job Seeker Registration </w:t>
      </w:r>
      <w:r w:rsidR="000B6146">
        <w:t>r</w:t>
      </w:r>
      <w:r w:rsidRPr="6B20C011">
        <w:t xml:space="preserve">ecord or updates an existing Job Seeker Registration record for the person on the Department’s IT Systems and allocates a Job Seeker Identification (JSID) </w:t>
      </w:r>
    </w:p>
    <w:p w14:paraId="30CE74AF" w14:textId="1828A38E" w:rsidR="00D74559" w:rsidRDefault="00D74559" w:rsidP="004E120D">
      <w:pPr>
        <w:pStyle w:val="BulletLevel1"/>
      </w:pPr>
      <w:r>
        <w:t xml:space="preserve">connects the person’s Job Seeker Registration </w:t>
      </w:r>
      <w:r w:rsidR="000B6146">
        <w:t>r</w:t>
      </w:r>
      <w:r>
        <w:t>ecord with their Customer Reference Number (CRN) in Services Australia’s IT system — this provides relevant information about the person’s income support status and participation requirement details, and</w:t>
      </w:r>
    </w:p>
    <w:p w14:paraId="7B5F2786" w14:textId="77777777" w:rsidR="00D74559" w:rsidRPr="00FF753D" w:rsidRDefault="00D74559" w:rsidP="004E120D">
      <w:pPr>
        <w:pStyle w:val="BulletLevel1"/>
      </w:pPr>
      <w:r w:rsidRPr="6B20C011">
        <w:t>allows the person to be referred for an ESAt and/or to be Commenced by the Provider to start receiving Services.</w:t>
      </w:r>
    </w:p>
    <w:p w14:paraId="0C7C4A9A" w14:textId="77777777" w:rsidR="00D74559" w:rsidRPr="00A3209C" w:rsidRDefault="00D74559" w:rsidP="006E2EF5">
      <w:r>
        <w:t>Unlike the Referral process by Services Australia, w</w:t>
      </w:r>
      <w:r w:rsidRPr="00A3209C">
        <w:t>hen a Provider Direct</w:t>
      </w:r>
      <w:r>
        <w:t>ly</w:t>
      </w:r>
      <w:r w:rsidRPr="00A3209C">
        <w:t xml:space="preserve"> Regist</w:t>
      </w:r>
      <w:r>
        <w:t>ers a</w:t>
      </w:r>
      <w:r w:rsidRPr="00A3209C">
        <w:t xml:space="preserve"> Participant:</w:t>
      </w:r>
    </w:p>
    <w:p w14:paraId="1746A06F" w14:textId="391A4D04" w:rsidR="00D74559" w:rsidRDefault="00D74559" w:rsidP="004E120D">
      <w:pPr>
        <w:pStyle w:val="BulletLevel1"/>
      </w:pPr>
      <w:r w:rsidRPr="6B20C011">
        <w:t>the Provider may need to request an ESAt on behalf of the Participant</w:t>
      </w:r>
    </w:p>
    <w:p w14:paraId="0B85756E" w14:textId="77777777" w:rsidR="00D74559" w:rsidRPr="00A3209C" w:rsidRDefault="00D74559" w:rsidP="004E120D">
      <w:pPr>
        <w:pStyle w:val="BulletLevel1"/>
      </w:pPr>
      <w:r w:rsidRPr="6B20C011">
        <w:t>if the Provider referred the person for an ESAt, the person will be Referred back to the Provider if the ESAt confirms the person is eligible to receive Services, and</w:t>
      </w:r>
    </w:p>
    <w:p w14:paraId="19F6ABCB" w14:textId="15529993" w:rsidR="00D74559" w:rsidRDefault="00D74559" w:rsidP="004E120D">
      <w:pPr>
        <w:pStyle w:val="BulletLevel1"/>
      </w:pPr>
      <w:r w:rsidRPr="00A3209C">
        <w:t>if the person meets all general</w:t>
      </w:r>
      <w:r>
        <w:t xml:space="preserve"> eligibility criteria</w:t>
      </w:r>
      <w:r w:rsidRPr="00A3209C">
        <w:t xml:space="preserve"> or </w:t>
      </w:r>
      <w:r>
        <w:t>special</w:t>
      </w:r>
      <w:r w:rsidRPr="00A3209C">
        <w:t xml:space="preserve"> eligibility </w:t>
      </w:r>
      <w:r>
        <w:t>criteria</w:t>
      </w:r>
      <w:r w:rsidRPr="00A3209C">
        <w:t>, the Provider can Commence the person as a</w:t>
      </w:r>
      <w:r w:rsidR="009C1F89">
        <w:t xml:space="preserve">n </w:t>
      </w:r>
      <w:r w:rsidR="00AC61E7">
        <w:t>Inclusive Employment Australia</w:t>
      </w:r>
      <w:r w:rsidRPr="00A3209C">
        <w:t xml:space="preserve"> Participant.</w:t>
      </w:r>
    </w:p>
    <w:p w14:paraId="31C461CE" w14:textId="448EBC29" w:rsidR="007F7CEE" w:rsidRDefault="007F7CEE" w:rsidP="000F1515">
      <w:pPr>
        <w:pStyle w:val="DocumentaryEvidenceRequirement"/>
      </w:pPr>
      <w:r>
        <w:t xml:space="preserve">If a person will be using special eligibility to access </w:t>
      </w:r>
      <w:r w:rsidR="00AC61E7">
        <w:t>Inclusive Employment Australia</w:t>
      </w:r>
      <w:r>
        <w:t>, the Provider must collect information and Documentary Evidence to show the person meets special eligibility as detailed in</w:t>
      </w:r>
      <w:r w:rsidR="0006599F">
        <w:t xml:space="preserve"> </w:t>
      </w:r>
      <w:r w:rsidR="0006599F">
        <w:rPr>
          <w:highlight w:val="yellow"/>
        </w:rPr>
        <w:fldChar w:fldCharType="begin"/>
      </w:r>
      <w:r w:rsidR="0006599F">
        <w:instrText xml:space="preserve"> REF _Ref202777403 \h </w:instrText>
      </w:r>
      <w:r w:rsidR="0006599F">
        <w:rPr>
          <w:highlight w:val="yellow"/>
        </w:rPr>
      </w:r>
      <w:r w:rsidR="0006599F">
        <w:rPr>
          <w:highlight w:val="yellow"/>
        </w:rPr>
        <w:fldChar w:fldCharType="separate"/>
      </w:r>
      <w:r w:rsidR="000D75AE" w:rsidRPr="68A5FFF4">
        <w:t>1</w:t>
      </w:r>
      <w:r w:rsidR="000D75AE" w:rsidRPr="00AB7F56">
        <w:t>.3</w:t>
      </w:r>
      <w:r w:rsidR="00E12BF6">
        <w:t xml:space="preserve"> </w:t>
      </w:r>
      <w:r w:rsidR="000D75AE">
        <w:t>Special</w:t>
      </w:r>
      <w:r w:rsidR="000D75AE" w:rsidRPr="00AB7F56">
        <w:t xml:space="preserve"> eligibility</w:t>
      </w:r>
      <w:r w:rsidR="000D75AE">
        <w:t xml:space="preserve"> criteria</w:t>
      </w:r>
      <w:r w:rsidR="0006599F">
        <w:rPr>
          <w:highlight w:val="yellow"/>
        </w:rPr>
        <w:fldChar w:fldCharType="end"/>
      </w:r>
      <w:r>
        <w:t>.</w:t>
      </w:r>
    </w:p>
    <w:p w14:paraId="55E8E950" w14:textId="61AC3A18" w:rsidR="007F7CEE" w:rsidRPr="00776840" w:rsidRDefault="007F7CEE" w:rsidP="007F7CEE">
      <w:r w:rsidRPr="3FBFA4CD">
        <w:rPr>
          <w:sz w:val="20"/>
          <w:szCs w:val="20"/>
        </w:rPr>
        <w:t>(</w:t>
      </w:r>
      <w:r>
        <w:rPr>
          <w:sz w:val="20"/>
          <w:szCs w:val="20"/>
        </w:rPr>
        <w:t xml:space="preserve">Deed Reference(s): Clause </w:t>
      </w:r>
      <w:r w:rsidRPr="3FBFA4CD">
        <w:rPr>
          <w:sz w:val="20"/>
          <w:szCs w:val="20"/>
        </w:rPr>
        <w:t>10</w:t>
      </w:r>
      <w:r w:rsidR="008E67A8">
        <w:rPr>
          <w:sz w:val="20"/>
          <w:szCs w:val="20"/>
        </w:rPr>
        <w:t>8</w:t>
      </w:r>
      <w:r w:rsidRPr="3FBFA4CD">
        <w:rPr>
          <w:sz w:val="20"/>
          <w:szCs w:val="20"/>
        </w:rPr>
        <w:t>)</w:t>
      </w:r>
    </w:p>
    <w:p w14:paraId="27295261" w14:textId="40B5E95C" w:rsidR="00D74559" w:rsidRPr="00FF753D" w:rsidRDefault="00D74559" w:rsidP="001D0F92">
      <w:pPr>
        <w:pStyle w:val="Heading4"/>
      </w:pPr>
      <w:bookmarkStart w:id="43" w:name="_Toc202899880"/>
      <w:r>
        <w:t>1.5.2</w:t>
      </w:r>
      <w:r w:rsidR="00D70B8E">
        <w:tab/>
      </w:r>
      <w:r>
        <w:t>Direct Registration Form</w:t>
      </w:r>
      <w:bookmarkEnd w:id="43"/>
    </w:p>
    <w:p w14:paraId="6891EFD7" w14:textId="3CC064B3" w:rsidR="0006599F" w:rsidRDefault="00D74559" w:rsidP="006E2EF5">
      <w:r>
        <w:t xml:space="preserve">Providers must collect information about a Directly Registering person using the unaltered, complete </w:t>
      </w:r>
      <w:r w:rsidR="00AC61E7">
        <w:rPr>
          <w:highlight w:val="green"/>
        </w:rPr>
        <w:t>Inclusive Employment Australia</w:t>
      </w:r>
      <w:r w:rsidRPr="001160DE">
        <w:rPr>
          <w:highlight w:val="green"/>
        </w:rPr>
        <w:t xml:space="preserve"> Direct Registration Form</w:t>
      </w:r>
      <w:r>
        <w:t xml:space="preserve"> available on the</w:t>
      </w:r>
      <w:r w:rsidDel="00394E77">
        <w:t xml:space="preserve"> </w:t>
      </w:r>
      <w:r>
        <w:t xml:space="preserve">Provider Portal. </w:t>
      </w:r>
    </w:p>
    <w:p w14:paraId="774A1F96" w14:textId="5AB839E5" w:rsidR="00D74559" w:rsidRPr="00FF753D" w:rsidRDefault="00D74559" w:rsidP="006E2EF5">
      <w:r>
        <w:t>The Direct Registration Form obtains:</w:t>
      </w:r>
    </w:p>
    <w:p w14:paraId="71AAC137" w14:textId="77777777" w:rsidR="00D74559" w:rsidRPr="00271575" w:rsidRDefault="00D74559" w:rsidP="004E120D">
      <w:pPr>
        <w:pStyle w:val="BulletLevel1"/>
      </w:pPr>
      <w:r w:rsidRPr="00271575">
        <w:t>Personal Information so that the person can be Directly Registered, and</w:t>
      </w:r>
    </w:p>
    <w:p w14:paraId="3EC34168" w14:textId="77777777" w:rsidR="00D74559" w:rsidRPr="00271575" w:rsidRDefault="00D74559" w:rsidP="004E120D">
      <w:pPr>
        <w:pStyle w:val="BulletLevel1"/>
      </w:pPr>
      <w:r w:rsidRPr="00271575">
        <w:t>the person’s consent to use that Personal Information.</w:t>
      </w:r>
    </w:p>
    <w:p w14:paraId="63B1184F" w14:textId="3143A101" w:rsidR="00D74559" w:rsidRPr="001160DE" w:rsidRDefault="00D74559" w:rsidP="006E2EF5">
      <w:r>
        <w:t xml:space="preserve">The Provider must ensure the person understands the information contained in the </w:t>
      </w:r>
      <w:r w:rsidRPr="001160DE">
        <w:t xml:space="preserve">Direct Registration Form. This may require use of an interpreter. The person can choose to </w:t>
      </w:r>
      <w:r w:rsidR="00B40585">
        <w:t xml:space="preserve">also </w:t>
      </w:r>
      <w:r w:rsidRPr="001160DE">
        <w:t>have an advocate present.</w:t>
      </w:r>
    </w:p>
    <w:p w14:paraId="1BFE6D43" w14:textId="77777777" w:rsidR="00D74559" w:rsidRPr="00FF753D" w:rsidRDefault="00D74559" w:rsidP="006E2EF5">
      <w:r w:rsidRPr="001160DE">
        <w:t>All relevant Direct Registration Form</w:t>
      </w:r>
      <w:r w:rsidRPr="00FF753D">
        <w:t xml:space="preserve"> questions must be answered. All relevant fields must be correctly completed, including proof of identity checks. The form m</w:t>
      </w:r>
      <w:r>
        <w:t>u</w:t>
      </w:r>
      <w:r w:rsidRPr="00FF753D">
        <w:t xml:space="preserve">st be signed and dated by the person (or their legal guardian) and by the </w:t>
      </w:r>
      <w:r>
        <w:t>P</w:t>
      </w:r>
      <w:r w:rsidRPr="00FF753D">
        <w:t>rovider representative.</w:t>
      </w:r>
    </w:p>
    <w:p w14:paraId="0AB25FA9" w14:textId="6CA00E7B" w:rsidR="00D74559" w:rsidRPr="00B84B59" w:rsidRDefault="00D74559" w:rsidP="0079424A">
      <w:pPr>
        <w:pStyle w:val="DocumentaryEvidenceRequirement"/>
      </w:pPr>
      <w:r w:rsidRPr="00B84B59">
        <w:t xml:space="preserve">The Direct Registration Form must be kept on file as Documentary Evidence to support the Participant’s Direct Registration and Commencement in </w:t>
      </w:r>
      <w:r w:rsidR="00AC61E7">
        <w:t>Inclusive Employment Australia</w:t>
      </w:r>
      <w:r w:rsidRPr="00B84B59">
        <w:t>.</w:t>
      </w:r>
    </w:p>
    <w:p w14:paraId="780C9256" w14:textId="510C1173" w:rsidR="00D74559" w:rsidRPr="00192F64" w:rsidRDefault="00D74559" w:rsidP="001D0F92">
      <w:pPr>
        <w:pStyle w:val="Heading4"/>
      </w:pPr>
      <w:bookmarkStart w:id="44" w:name="_Ref202784370"/>
      <w:bookmarkStart w:id="45" w:name="_Toc202899881"/>
      <w:r>
        <w:t>1.5.3</w:t>
      </w:r>
      <w:r w:rsidR="00D70B8E">
        <w:tab/>
      </w:r>
      <w:r w:rsidRPr="00192F64">
        <w:t>Proof of Identity</w:t>
      </w:r>
      <w:bookmarkEnd w:id="44"/>
      <w:bookmarkEnd w:id="45"/>
    </w:p>
    <w:p w14:paraId="1556D313" w14:textId="77777777" w:rsidR="00D74559" w:rsidRDefault="00D74559" w:rsidP="006E2EF5">
      <w:r>
        <w:t>To confirm the identity of the person, the Provider must sight originals or certified copies of acceptable documentation as outlined in the table below.</w:t>
      </w:r>
    </w:p>
    <w:p w14:paraId="3EEC2DAF" w14:textId="77777777" w:rsidR="00D74559" w:rsidRPr="00FF753D" w:rsidRDefault="00D74559" w:rsidP="006E2EF5">
      <w:pPr>
        <w:pStyle w:val="TableChartHeading"/>
      </w:pPr>
      <w:r>
        <w:t>Acceptable identity documents</w:t>
      </w:r>
    </w:p>
    <w:tbl>
      <w:tblPr>
        <w:tblStyle w:val="DSSTableStyleB"/>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FD020B" w:rsidRPr="00FF753D" w14:paraId="03393517" w14:textId="77777777" w:rsidTr="00DE7A9B">
        <w:trPr>
          <w:cnfStyle w:val="100000000000" w:firstRow="1" w:lastRow="0" w:firstColumn="0" w:lastColumn="0" w:oddVBand="0" w:evenVBand="0" w:oddHBand="0" w:evenHBand="0" w:firstRowFirstColumn="0" w:firstRowLastColumn="0" w:lastRowFirstColumn="0" w:lastRowLastColumn="0"/>
          <w:trHeight w:val="300"/>
          <w:jc w:val="center"/>
        </w:trPr>
        <w:tc>
          <w:tcPr>
            <w:tcW w:w="5032" w:type="dxa"/>
            <w:tcBorders>
              <w:bottom w:val="single" w:sz="4" w:space="0" w:color="auto"/>
            </w:tcBorders>
            <w:hideMark/>
          </w:tcPr>
          <w:p w14:paraId="05A16BBE" w14:textId="1BC70482" w:rsidR="00D74559" w:rsidRPr="00FF753D" w:rsidRDefault="00D74559" w:rsidP="005943BD">
            <w:pPr>
              <w:pStyle w:val="TableText"/>
            </w:pPr>
            <w:r w:rsidRPr="6B20C011">
              <w:t>Option A:</w:t>
            </w:r>
          </w:p>
        </w:tc>
        <w:tc>
          <w:tcPr>
            <w:tcW w:w="5032" w:type="dxa"/>
            <w:tcBorders>
              <w:bottom w:val="single" w:sz="4" w:space="0" w:color="auto"/>
            </w:tcBorders>
            <w:hideMark/>
          </w:tcPr>
          <w:p w14:paraId="1CAF1159" w14:textId="3D04A39A" w:rsidR="00D74559" w:rsidRPr="00FF753D" w:rsidRDefault="00D74559" w:rsidP="005943BD">
            <w:pPr>
              <w:pStyle w:val="TableText"/>
            </w:pPr>
            <w:r w:rsidRPr="6B20C011">
              <w:t>Option B:</w:t>
            </w:r>
          </w:p>
        </w:tc>
      </w:tr>
      <w:tr w:rsidR="00D74559" w:rsidRPr="00FF753D" w14:paraId="3F2FB16B"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5032" w:type="dxa"/>
            <w:tcBorders>
              <w:bottom w:val="single" w:sz="4" w:space="0" w:color="auto"/>
            </w:tcBorders>
            <w:hideMark/>
          </w:tcPr>
          <w:p w14:paraId="44B657D8" w14:textId="6E594837" w:rsidR="00D74559" w:rsidRDefault="00D74559" w:rsidP="007D21CC">
            <w:pPr>
              <w:pStyle w:val="TableList-level1"/>
            </w:pPr>
            <w:r w:rsidRPr="00FF753D">
              <w:t>One of the following</w:t>
            </w:r>
            <w:r w:rsidR="00271575">
              <w:t>:</w:t>
            </w:r>
          </w:p>
          <w:p w14:paraId="2254E4EC" w14:textId="77777777" w:rsidR="00D74559" w:rsidRPr="00536F5B" w:rsidRDefault="00D74559" w:rsidP="001E23F8">
            <w:pPr>
              <w:pStyle w:val="TableList-level2"/>
            </w:pPr>
            <w:r w:rsidRPr="00536F5B">
              <w:t>current passport</w:t>
            </w:r>
          </w:p>
          <w:p w14:paraId="2DDEE7FC" w14:textId="08B65921" w:rsidR="00D74559" w:rsidRPr="00536F5B" w:rsidRDefault="00D74559" w:rsidP="001E23F8">
            <w:pPr>
              <w:pStyle w:val="TableList-level2"/>
            </w:pPr>
            <w:r w:rsidRPr="00536F5B">
              <w:t>current driver’s licence</w:t>
            </w:r>
            <w:r w:rsidR="005803DA">
              <w:t>, or</w:t>
            </w:r>
          </w:p>
          <w:p w14:paraId="5B767581" w14:textId="412FCF40" w:rsidR="00D74559" w:rsidRPr="00FF753D" w:rsidRDefault="00D74559" w:rsidP="001E23F8">
            <w:pPr>
              <w:pStyle w:val="TableList-level2"/>
            </w:pPr>
            <w:r w:rsidRPr="00536F5B">
              <w:t>other form of photo identification from a</w:t>
            </w:r>
            <w:r w:rsidR="001D1D64">
              <w:t>n Australian</w:t>
            </w:r>
            <w:r w:rsidRPr="00536F5B">
              <w:t xml:space="preserve"> </w:t>
            </w:r>
            <w:r w:rsidR="001D1D64">
              <w:t>G</w:t>
            </w:r>
            <w:r w:rsidRPr="00536F5B">
              <w:t>overnment department or agency.</w:t>
            </w:r>
          </w:p>
        </w:tc>
        <w:tc>
          <w:tcPr>
            <w:tcW w:w="5032" w:type="dxa"/>
            <w:tcBorders>
              <w:bottom w:val="single" w:sz="4" w:space="0" w:color="auto"/>
            </w:tcBorders>
            <w:hideMark/>
          </w:tcPr>
          <w:p w14:paraId="6A86B039" w14:textId="77777777" w:rsidR="00D74559" w:rsidRDefault="00D74559" w:rsidP="007D21CC">
            <w:pPr>
              <w:pStyle w:val="TableList-level1"/>
            </w:pPr>
            <w:r>
              <w:t>Two of the following:</w:t>
            </w:r>
          </w:p>
          <w:p w14:paraId="4C237D28" w14:textId="77777777" w:rsidR="00D74559" w:rsidRPr="00FF753D" w:rsidRDefault="00D74559" w:rsidP="001E23F8">
            <w:pPr>
              <w:pStyle w:val="TableList-level2"/>
            </w:pPr>
            <w:r w:rsidRPr="00FF753D">
              <w:t>financial institution (bank) documents showing name and signature or name and address</w:t>
            </w:r>
          </w:p>
          <w:p w14:paraId="08854A71" w14:textId="77777777" w:rsidR="00D74559" w:rsidRPr="00FF753D" w:rsidRDefault="00D74559" w:rsidP="001E23F8">
            <w:pPr>
              <w:pStyle w:val="TableList-level2"/>
            </w:pPr>
            <w:r w:rsidRPr="00FF753D">
              <w:t>birth certificate or extract</w:t>
            </w:r>
          </w:p>
          <w:p w14:paraId="7C857B88" w14:textId="77777777" w:rsidR="00D74559" w:rsidRPr="00FF753D" w:rsidRDefault="00D74559" w:rsidP="001E23F8">
            <w:pPr>
              <w:pStyle w:val="TableList-level2"/>
            </w:pPr>
            <w:r w:rsidRPr="00FF753D">
              <w:t>certificate of Australian citizenship</w:t>
            </w:r>
          </w:p>
          <w:p w14:paraId="27E1103C" w14:textId="77777777" w:rsidR="00D74559" w:rsidRPr="00FF753D" w:rsidRDefault="00D74559" w:rsidP="001E23F8">
            <w:pPr>
              <w:pStyle w:val="TableList-level2"/>
            </w:pPr>
            <w:r w:rsidRPr="00FF753D">
              <w:t>Medicare card</w:t>
            </w:r>
          </w:p>
          <w:p w14:paraId="0038A325" w14:textId="77777777" w:rsidR="00D74559" w:rsidRPr="00FF753D" w:rsidRDefault="00D74559" w:rsidP="001E23F8">
            <w:pPr>
              <w:pStyle w:val="TableList-level2"/>
            </w:pPr>
            <w:r w:rsidRPr="00FF753D">
              <w:t>vehicle registration papers with current address, o</w:t>
            </w:r>
            <w:r>
              <w:t>r</w:t>
            </w:r>
          </w:p>
          <w:p w14:paraId="17D771A6" w14:textId="2AA01529" w:rsidR="00D74559" w:rsidRPr="00FF753D" w:rsidRDefault="00D74559" w:rsidP="001E23F8">
            <w:pPr>
              <w:pStyle w:val="TableList-level2"/>
            </w:pPr>
            <w:r>
              <w:t xml:space="preserve">other identification displaying the person’s name, such as a statement from a community Elder if the person is </w:t>
            </w:r>
            <w:r w:rsidR="00CA7E7A">
              <w:t>a</w:t>
            </w:r>
            <w:r>
              <w:t xml:space="preserve"> </w:t>
            </w:r>
            <w:r w:rsidR="000E0667">
              <w:t>First Nations person</w:t>
            </w:r>
            <w:r>
              <w:t>.</w:t>
            </w:r>
          </w:p>
        </w:tc>
      </w:tr>
    </w:tbl>
    <w:p w14:paraId="23B61BFD" w14:textId="77777777" w:rsidR="00D74559" w:rsidRDefault="00D74559" w:rsidP="006E2EF5">
      <w:r>
        <w:t>A Provider must certify on the Direct Registration Form that they have sighted the proof of identity documents (including any Photo ID). A copy of the documentation must not be kept.</w:t>
      </w:r>
    </w:p>
    <w:p w14:paraId="1C5C74DB" w14:textId="0EE7042D" w:rsidR="00D74559" w:rsidRPr="00776840" w:rsidRDefault="029FFE4E" w:rsidP="006E2EF5">
      <w:pPr>
        <w:rPr>
          <w:sz w:val="20"/>
          <w:szCs w:val="20"/>
        </w:rPr>
      </w:pPr>
      <w:r w:rsidRPr="3FBFA4CD">
        <w:rPr>
          <w:sz w:val="20"/>
          <w:szCs w:val="20"/>
        </w:rPr>
        <w:t>(</w:t>
      </w:r>
      <w:r w:rsidR="00A73420">
        <w:rPr>
          <w:sz w:val="20"/>
          <w:szCs w:val="20"/>
        </w:rPr>
        <w:t xml:space="preserve">Deed Reference(s): Clause </w:t>
      </w:r>
      <w:r w:rsidRPr="3FBFA4CD">
        <w:rPr>
          <w:sz w:val="20"/>
          <w:szCs w:val="20"/>
        </w:rPr>
        <w:t>11</w:t>
      </w:r>
      <w:r w:rsidR="00DD104A">
        <w:rPr>
          <w:sz w:val="20"/>
          <w:szCs w:val="20"/>
        </w:rPr>
        <w:t>3</w:t>
      </w:r>
      <w:r w:rsidRPr="3FBFA4CD">
        <w:rPr>
          <w:sz w:val="20"/>
          <w:szCs w:val="20"/>
        </w:rPr>
        <w:t>.1)</w:t>
      </w:r>
    </w:p>
    <w:p w14:paraId="21FBB506" w14:textId="202AA611" w:rsidR="00D74559" w:rsidRPr="00FF753D" w:rsidRDefault="00D74559" w:rsidP="001D0F92">
      <w:pPr>
        <w:pStyle w:val="Heading4"/>
      </w:pPr>
      <w:bookmarkStart w:id="46" w:name="_Toc202899882"/>
      <w:r>
        <w:t>1.5.4</w:t>
      </w:r>
      <w:r w:rsidR="00D70B8E">
        <w:tab/>
      </w:r>
      <w:r>
        <w:t>Job Seeker ID search</w:t>
      </w:r>
      <w:bookmarkEnd w:id="46"/>
    </w:p>
    <w:p w14:paraId="505C7B40" w14:textId="3D0CBAAB" w:rsidR="00D74559" w:rsidRPr="00FF753D" w:rsidRDefault="00D74559" w:rsidP="006E2EF5">
      <w:r w:rsidRPr="6B20C011">
        <w:t xml:space="preserve">Each Job Seeker Registration </w:t>
      </w:r>
      <w:r w:rsidR="004B09F4">
        <w:t>r</w:t>
      </w:r>
      <w:r w:rsidRPr="6B20C011">
        <w:t xml:space="preserve">ecord has a unique </w:t>
      </w:r>
      <w:r w:rsidR="00AE04E2">
        <w:t>J</w:t>
      </w:r>
      <w:r w:rsidRPr="6B20C011">
        <w:t>SI</w:t>
      </w:r>
      <w:r w:rsidR="007E5827">
        <w:t>D</w:t>
      </w:r>
      <w:r w:rsidRPr="6B20C011">
        <w:t xml:space="preserve">. Providers must search for any existing JSID for the person on the Department’s IT </w:t>
      </w:r>
      <w:r w:rsidR="00AE04E2">
        <w:t>S</w:t>
      </w:r>
      <w:r w:rsidRPr="6B20C011">
        <w:t>ystem</w:t>
      </w:r>
      <w:r w:rsidR="00AE04E2">
        <w:t>s</w:t>
      </w:r>
      <w:r w:rsidRPr="6B20C011">
        <w:t xml:space="preserve"> before creating a new </w:t>
      </w:r>
      <w:r w:rsidR="005A0433">
        <w:t>R</w:t>
      </w:r>
      <w:r w:rsidRPr="6B20C011">
        <w:t xml:space="preserve">egistration </w:t>
      </w:r>
      <w:r w:rsidR="005A0433">
        <w:t>R</w:t>
      </w:r>
      <w:r w:rsidRPr="6B20C011">
        <w:t>ecord. This is important to:</w:t>
      </w:r>
    </w:p>
    <w:p w14:paraId="06F11873" w14:textId="133D4B79" w:rsidR="00D74559" w:rsidRPr="00FF753D" w:rsidRDefault="00D74559" w:rsidP="004E120D">
      <w:pPr>
        <w:pStyle w:val="BulletLevel1"/>
      </w:pPr>
      <w:r w:rsidRPr="00FF753D">
        <w:t xml:space="preserve">reduce unnecessary data entry and minimise duplicate </w:t>
      </w:r>
      <w:r w:rsidR="00BC5D83">
        <w:t>R</w:t>
      </w:r>
      <w:r w:rsidRPr="00FF753D">
        <w:t>ecords</w:t>
      </w:r>
      <w:r>
        <w:t>, and</w:t>
      </w:r>
    </w:p>
    <w:p w14:paraId="6A43B137" w14:textId="77777777" w:rsidR="00D74559" w:rsidRPr="00FF753D" w:rsidRDefault="00D74559" w:rsidP="004E120D">
      <w:pPr>
        <w:pStyle w:val="BulletLevel1"/>
      </w:pPr>
      <w:r>
        <w:t>ensure relevant information about the person’s eligibility and history are considered.</w:t>
      </w:r>
    </w:p>
    <w:p w14:paraId="41F28916" w14:textId="30281E60" w:rsidR="00D74559" w:rsidRPr="00FF753D" w:rsidRDefault="00D74559" w:rsidP="006F727E">
      <w:pPr>
        <w:pStyle w:val="SystemStep"/>
      </w:pPr>
      <w:r>
        <w:t xml:space="preserve">Providers can search for an existing </w:t>
      </w:r>
      <w:r w:rsidR="002F71C2">
        <w:t>R</w:t>
      </w:r>
      <w:r>
        <w:t xml:space="preserve">egistration </w:t>
      </w:r>
      <w:r w:rsidR="002F71C2">
        <w:t>R</w:t>
      </w:r>
      <w:r>
        <w:t xml:space="preserve">ecord on the Department’s IT </w:t>
      </w:r>
      <w:r w:rsidR="3FF0F1B3">
        <w:t>S</w:t>
      </w:r>
      <w:r>
        <w:t>ystem</w:t>
      </w:r>
      <w:r w:rsidR="301B0DFC">
        <w:t>s</w:t>
      </w:r>
      <w:r>
        <w:t xml:space="preserve"> ‘Job Seeker Search’ </w:t>
      </w:r>
      <w:r w:rsidR="00860866">
        <w:t>screen</w:t>
      </w:r>
      <w:r>
        <w:t xml:space="preserve"> by:</w:t>
      </w:r>
    </w:p>
    <w:p w14:paraId="6162F2D6" w14:textId="529B0F16" w:rsidR="00D74559" w:rsidRDefault="00D74559" w:rsidP="004E120D">
      <w:pPr>
        <w:pStyle w:val="BulletLevel2"/>
      </w:pPr>
      <w:r w:rsidRPr="00A850D8">
        <w:t>[RESERVED]</w:t>
      </w:r>
    </w:p>
    <w:p w14:paraId="622305E1" w14:textId="1E372991" w:rsidR="00882BA0" w:rsidRDefault="00882BA0" w:rsidP="00882BA0">
      <w:pPr>
        <w:pStyle w:val="TableChartHeading"/>
      </w:pPr>
      <w:r>
        <w:t xml:space="preserve">Actions </w:t>
      </w:r>
      <w:r w:rsidR="003E6170">
        <w:t xml:space="preserve">following </w:t>
      </w:r>
      <w:r>
        <w:t>Job Seeker ID search</w:t>
      </w:r>
    </w:p>
    <w:tbl>
      <w:tblPr>
        <w:tblStyle w:val="DSSTableStyleB"/>
        <w:tblW w:w="1006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55"/>
        <w:gridCol w:w="7709"/>
      </w:tblGrid>
      <w:tr w:rsidR="00FC127C" w:rsidRPr="00FF753D" w14:paraId="26E00223" w14:textId="77777777" w:rsidTr="00DE7A9B">
        <w:trPr>
          <w:cnfStyle w:val="100000000000" w:firstRow="1" w:lastRow="0" w:firstColumn="0" w:lastColumn="0" w:oddVBand="0" w:evenVBand="0" w:oddHBand="0" w:evenHBand="0" w:firstRowFirstColumn="0" w:firstRowLastColumn="0" w:lastRowFirstColumn="0" w:lastRowLastColumn="0"/>
          <w:trHeight w:val="300"/>
          <w:jc w:val="center"/>
        </w:trPr>
        <w:tc>
          <w:tcPr>
            <w:tcW w:w="2250" w:type="dxa"/>
            <w:hideMark/>
          </w:tcPr>
          <w:p w14:paraId="2C0AE5D8" w14:textId="526288A2" w:rsidR="00D74559" w:rsidRPr="00FF753D" w:rsidRDefault="00D74559" w:rsidP="005943BD">
            <w:pPr>
              <w:pStyle w:val="TableText"/>
            </w:pPr>
            <w:r w:rsidRPr="00FF753D">
              <w:t>Search results</w:t>
            </w:r>
          </w:p>
        </w:tc>
        <w:tc>
          <w:tcPr>
            <w:tcW w:w="7365" w:type="dxa"/>
            <w:hideMark/>
          </w:tcPr>
          <w:p w14:paraId="39204ABD" w14:textId="76052382" w:rsidR="00D74559" w:rsidRPr="00FF753D" w:rsidRDefault="00D74559" w:rsidP="005943BD">
            <w:pPr>
              <w:pStyle w:val="TableText"/>
            </w:pPr>
            <w:r w:rsidRPr="00FF753D">
              <w:t>Action</w:t>
            </w:r>
          </w:p>
        </w:tc>
      </w:tr>
      <w:tr w:rsidR="00D74559" w:rsidRPr="00FF753D" w14:paraId="4D6AD550"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2250" w:type="dxa"/>
            <w:hideMark/>
          </w:tcPr>
          <w:p w14:paraId="7ABECB82" w14:textId="77777777" w:rsidR="00D74559" w:rsidRPr="00FF753D" w:rsidRDefault="00D74559" w:rsidP="005943BD">
            <w:pPr>
              <w:pStyle w:val="TableText"/>
            </w:pPr>
            <w:r w:rsidRPr="00FF753D">
              <w:t>Active record found</w:t>
            </w:r>
          </w:p>
        </w:tc>
        <w:tc>
          <w:tcPr>
            <w:tcW w:w="7365" w:type="dxa"/>
            <w:hideMark/>
          </w:tcPr>
          <w:p w14:paraId="04922F6B" w14:textId="77777777" w:rsidR="00D74559" w:rsidRPr="00FF753D" w:rsidRDefault="00D74559" w:rsidP="005943BD">
            <w:pPr>
              <w:pStyle w:val="TableText"/>
            </w:pPr>
            <w:r>
              <w:t>Review record found and update details as needed on the Department’s IT Systems.</w:t>
            </w:r>
          </w:p>
          <w:p w14:paraId="7731D2A4" w14:textId="77777777" w:rsidR="00D74559" w:rsidRPr="00FF753D" w:rsidRDefault="00D74559" w:rsidP="006F727E">
            <w:pPr>
              <w:pStyle w:val="SystemStep"/>
            </w:pPr>
            <w:r w:rsidRPr="00A850D8">
              <w:t>[RESERVED]</w:t>
            </w:r>
          </w:p>
        </w:tc>
      </w:tr>
      <w:tr w:rsidR="00FD020B" w:rsidRPr="00FF753D" w14:paraId="4A6866B0" w14:textId="77777777" w:rsidTr="00DE7A9B">
        <w:trPr>
          <w:cnfStyle w:val="000000010000" w:firstRow="0" w:lastRow="0" w:firstColumn="0" w:lastColumn="0" w:oddVBand="0" w:evenVBand="0" w:oddHBand="0" w:evenHBand="1" w:firstRowFirstColumn="0" w:firstRowLastColumn="0" w:lastRowFirstColumn="0" w:lastRowLastColumn="0"/>
          <w:trHeight w:val="300"/>
          <w:jc w:val="center"/>
        </w:trPr>
        <w:tc>
          <w:tcPr>
            <w:tcW w:w="2250" w:type="dxa"/>
            <w:tcBorders>
              <w:bottom w:val="single" w:sz="4" w:space="0" w:color="auto"/>
            </w:tcBorders>
            <w:hideMark/>
          </w:tcPr>
          <w:p w14:paraId="16864218" w14:textId="77777777" w:rsidR="00D74559" w:rsidRPr="00FF753D" w:rsidRDefault="00D74559" w:rsidP="005943BD">
            <w:pPr>
              <w:pStyle w:val="TableText"/>
            </w:pPr>
            <w:r w:rsidRPr="00FF753D">
              <w:t>Inactive record found</w:t>
            </w:r>
          </w:p>
        </w:tc>
        <w:tc>
          <w:tcPr>
            <w:tcW w:w="7365" w:type="dxa"/>
            <w:tcBorders>
              <w:bottom w:val="single" w:sz="4" w:space="0" w:color="auto"/>
            </w:tcBorders>
            <w:hideMark/>
          </w:tcPr>
          <w:p w14:paraId="37A25901" w14:textId="77777777" w:rsidR="00D74559" w:rsidRPr="00FF753D" w:rsidRDefault="00D74559" w:rsidP="005943BD">
            <w:pPr>
              <w:pStyle w:val="TableText"/>
            </w:pPr>
            <w:r>
              <w:t>Re-register the person, updating details as required on the Department’s IT Systems.</w:t>
            </w:r>
          </w:p>
          <w:p w14:paraId="6A3D3D5F" w14:textId="77777777" w:rsidR="00D74559" w:rsidRPr="00A850D8" w:rsidRDefault="00D74559" w:rsidP="006F727E">
            <w:pPr>
              <w:pStyle w:val="SystemStep"/>
            </w:pPr>
            <w:r w:rsidRPr="00A850D8">
              <w:t>[RESERVED]</w:t>
            </w:r>
          </w:p>
        </w:tc>
      </w:tr>
      <w:tr w:rsidR="00D74559" w:rsidRPr="00FF753D" w14:paraId="7106E9E5"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2250" w:type="dxa"/>
            <w:tcBorders>
              <w:bottom w:val="single" w:sz="4" w:space="0" w:color="auto"/>
            </w:tcBorders>
            <w:hideMark/>
          </w:tcPr>
          <w:p w14:paraId="22384D79" w14:textId="77777777" w:rsidR="00D74559" w:rsidRPr="00FF753D" w:rsidRDefault="00D74559" w:rsidP="005943BD">
            <w:pPr>
              <w:pStyle w:val="TableText"/>
            </w:pPr>
            <w:r w:rsidRPr="00FF753D">
              <w:t>No record found</w:t>
            </w:r>
          </w:p>
        </w:tc>
        <w:tc>
          <w:tcPr>
            <w:tcW w:w="7365" w:type="dxa"/>
            <w:tcBorders>
              <w:bottom w:val="single" w:sz="4" w:space="0" w:color="auto"/>
            </w:tcBorders>
            <w:hideMark/>
          </w:tcPr>
          <w:p w14:paraId="6500E522" w14:textId="1FEBC81B" w:rsidR="00D74559" w:rsidRPr="00FF753D" w:rsidRDefault="00D74559" w:rsidP="001B283C">
            <w:pPr>
              <w:pStyle w:val="TableText"/>
              <w:keepNext/>
            </w:pPr>
            <w:r w:rsidRPr="6B20C011">
              <w:t xml:space="preserve">Create a new </w:t>
            </w:r>
            <w:r w:rsidR="00A7034D">
              <w:t>R</w:t>
            </w:r>
            <w:r w:rsidRPr="6B20C011">
              <w:t xml:space="preserve">egistration </w:t>
            </w:r>
            <w:r w:rsidR="00A7034D">
              <w:t>R</w:t>
            </w:r>
            <w:r w:rsidRPr="6B20C011">
              <w:t>ecord on the Department’s IT Systems.</w:t>
            </w:r>
          </w:p>
          <w:p w14:paraId="6E6342CF" w14:textId="77777777" w:rsidR="00D74559" w:rsidRPr="00F129C6" w:rsidRDefault="00D74559" w:rsidP="006F727E">
            <w:pPr>
              <w:pStyle w:val="SystemStep"/>
            </w:pPr>
            <w:r w:rsidRPr="00A850D8">
              <w:t xml:space="preserve">[RESERVED] </w:t>
            </w:r>
          </w:p>
        </w:tc>
      </w:tr>
    </w:tbl>
    <w:p w14:paraId="3147E935" w14:textId="23A7FC8C" w:rsidR="00D74559" w:rsidRPr="00FF753D" w:rsidRDefault="00D74559" w:rsidP="001D0F92">
      <w:pPr>
        <w:pStyle w:val="Heading4"/>
      </w:pPr>
      <w:bookmarkStart w:id="47" w:name="_Toc202899883"/>
      <w:r>
        <w:t>1.5.5</w:t>
      </w:r>
      <w:r w:rsidR="00AE04E2">
        <w:tab/>
      </w:r>
      <w:r>
        <w:t xml:space="preserve">Linking the </w:t>
      </w:r>
      <w:r w:rsidR="00067C95">
        <w:t xml:space="preserve">Customer Reference Number </w:t>
      </w:r>
      <w:r>
        <w:t xml:space="preserve">to the </w:t>
      </w:r>
      <w:r w:rsidR="003C17A1">
        <w:t>R</w:t>
      </w:r>
      <w:r>
        <w:t xml:space="preserve">egistration </w:t>
      </w:r>
      <w:r w:rsidR="004B09F4">
        <w:t>r</w:t>
      </w:r>
      <w:r>
        <w:t>ecord</w:t>
      </w:r>
      <w:bookmarkEnd w:id="47"/>
    </w:p>
    <w:p w14:paraId="2ECA6933" w14:textId="77777777" w:rsidR="00D74559" w:rsidRPr="00FF753D" w:rsidRDefault="00D74559" w:rsidP="005803DA">
      <w:pPr>
        <w:keepNext/>
      </w:pPr>
      <w:r>
        <w:t>Providers must obtain and link the person’s CRN to their JSID. This is important because:</w:t>
      </w:r>
    </w:p>
    <w:p w14:paraId="2632A64A" w14:textId="77777777" w:rsidR="00D74559" w:rsidRPr="00FF753D" w:rsidRDefault="00D74559" w:rsidP="004E120D">
      <w:pPr>
        <w:pStyle w:val="BulletLevel1"/>
      </w:pPr>
      <w:r w:rsidRPr="6B20C011">
        <w:t>it transfers important information from Services Australia, such as the person’s Income Support Payment type, recent Referrals and Mutual Obligation Requirements, and</w:t>
      </w:r>
    </w:p>
    <w:p w14:paraId="002239C8" w14:textId="413DA84F" w:rsidR="00D74559" w:rsidRPr="00FF753D" w:rsidRDefault="00D74559" w:rsidP="004E120D">
      <w:pPr>
        <w:pStyle w:val="BulletLevel1"/>
      </w:pPr>
      <w:r>
        <w:t xml:space="preserve">no </w:t>
      </w:r>
      <w:r w:rsidR="00AC61E7">
        <w:t>Inclusive Employment Australia</w:t>
      </w:r>
      <w:r>
        <w:t xml:space="preserve"> claims can be lodged if a CRN is not linked to a Participant’s JSID.</w:t>
      </w:r>
    </w:p>
    <w:p w14:paraId="1CA75E38" w14:textId="77777777" w:rsidR="00D74559" w:rsidRPr="00FF753D" w:rsidRDefault="00D74559" w:rsidP="006E2EF5">
      <w:r w:rsidRPr="29FB9D5F">
        <w:rPr>
          <w:u w:val="single"/>
        </w:rPr>
        <w:t>If a person knows their CRN</w:t>
      </w:r>
      <w:r>
        <w:t>, Providers should ask that they supply it as part of the Direct Registration Form. People already have a CRN if they are receiving (or previously received) an Income Support Payment.</w:t>
      </w:r>
    </w:p>
    <w:p w14:paraId="5BD6538C" w14:textId="4E5F1DB7" w:rsidR="00D74559" w:rsidRDefault="00D74559" w:rsidP="006E2EF5">
      <w:r w:rsidRPr="6B20C011">
        <w:rPr>
          <w:u w:val="single"/>
        </w:rPr>
        <w:t>If the person does not know their CRN or does not have one</w:t>
      </w:r>
      <w:r w:rsidRPr="6B20C011">
        <w:t xml:space="preserve">, Services will need to </w:t>
      </w:r>
      <w:r w:rsidR="00F35EEB" w:rsidRPr="6B20C011">
        <w:t xml:space="preserve">verify the </w:t>
      </w:r>
      <w:r w:rsidR="00F35EEB">
        <w:t>person’s</w:t>
      </w:r>
      <w:r w:rsidR="00F35EEB" w:rsidRPr="6B20C011">
        <w:t xml:space="preserve"> details</w:t>
      </w:r>
      <w:r w:rsidR="00AE69CE">
        <w:t>.</w:t>
      </w:r>
      <w:r w:rsidRPr="6B20C011">
        <w:t xml:space="preserve"> The Provider should contact Services Australia </w:t>
      </w:r>
      <w:r w:rsidR="00AE69CE" w:rsidRPr="6B20C011">
        <w:t>Participation Solutions Team on</w:t>
      </w:r>
      <w:r w:rsidR="00AE69CE">
        <w:t xml:space="preserve"> </w:t>
      </w:r>
      <w:r w:rsidR="00AE69CE" w:rsidRPr="6B20C011">
        <w:t>1300 306 325</w:t>
      </w:r>
      <w:r w:rsidR="00AE69CE">
        <w:t xml:space="preserve"> </w:t>
      </w:r>
      <w:r w:rsidRPr="6B20C011">
        <w:t xml:space="preserve">with the person present, if possible. Otherwise, the Provider must advise the person to contact Services Australia and request a CRN for the purpose of Registering for employment </w:t>
      </w:r>
      <w:r w:rsidR="00FD457D">
        <w:t>s</w:t>
      </w:r>
      <w:r w:rsidRPr="6B20C011">
        <w:t>ervices.</w:t>
      </w:r>
    </w:p>
    <w:p w14:paraId="48500D75" w14:textId="77777777" w:rsidR="00D74559" w:rsidRDefault="00D74559" w:rsidP="006E2EF5">
      <w:r w:rsidRPr="00FF753D">
        <w:t xml:space="preserve">Services Australia will provide the person’s CRN if a record is found. If a record cannot be found, the </w:t>
      </w:r>
      <w:r>
        <w:t>P</w:t>
      </w:r>
      <w:r w:rsidRPr="00FF753D">
        <w:t>rovider must request the creation of a CRN by Services Australia.</w:t>
      </w:r>
    </w:p>
    <w:p w14:paraId="31E289AE" w14:textId="77777777" w:rsidR="00D438D9" w:rsidRPr="00FF753D" w:rsidRDefault="00D438D9" w:rsidP="00D438D9">
      <w:pPr>
        <w:pStyle w:val="SystemStep"/>
      </w:pPr>
      <w:r w:rsidRPr="00FF753D">
        <w:t>To link a CRN and JSID</w:t>
      </w:r>
      <w:r>
        <w:t>,</w:t>
      </w:r>
      <w:r w:rsidRPr="00FF753D">
        <w:t xml:space="preserve"> select the </w:t>
      </w:r>
      <w:r>
        <w:t>‘L</w:t>
      </w:r>
      <w:r w:rsidRPr="00FF753D">
        <w:t xml:space="preserve">ink’ button </w:t>
      </w:r>
      <w:r>
        <w:t xml:space="preserve">found </w:t>
      </w:r>
      <w:r w:rsidRPr="00FF753D">
        <w:t xml:space="preserve">on the </w:t>
      </w:r>
      <w:r>
        <w:t>‘</w:t>
      </w:r>
      <w:r w:rsidRPr="00FF753D">
        <w:t>Registration</w:t>
      </w:r>
      <w:r>
        <w:t>’</w:t>
      </w:r>
      <w:r w:rsidRPr="00FF753D">
        <w:t xml:space="preserve"> </w:t>
      </w:r>
      <w:r>
        <w:t>screen on the Department’s IT Systems.</w:t>
      </w:r>
    </w:p>
    <w:p w14:paraId="5AC8A84F" w14:textId="77777777" w:rsidR="00D438D9" w:rsidRDefault="00D438D9" w:rsidP="00D438D9">
      <w:r w:rsidRPr="6B20C011">
        <w:rPr>
          <w:b/>
          <w:bCs/>
        </w:rPr>
        <w:t>Note</w:t>
      </w:r>
      <w:r w:rsidRPr="6B20C011">
        <w:t xml:space="preserve">: An error message will appear if the data held by Services Australia does not match the CRN and details entered. </w:t>
      </w:r>
    </w:p>
    <w:p w14:paraId="4221150D" w14:textId="7191AD2C" w:rsidR="00D74559" w:rsidRPr="00FF753D" w:rsidRDefault="00D74559" w:rsidP="001D0F92">
      <w:pPr>
        <w:pStyle w:val="Heading4"/>
      </w:pPr>
      <w:bookmarkStart w:id="48" w:name="_Ref202782047"/>
      <w:bookmarkStart w:id="49" w:name="_Toc202899884"/>
      <w:r>
        <w:t>1.5.6</w:t>
      </w:r>
      <w:r w:rsidR="0015685F">
        <w:tab/>
      </w:r>
      <w:r>
        <w:t>Submitting the Job Seeker Registration</w:t>
      </w:r>
      <w:bookmarkEnd w:id="48"/>
      <w:bookmarkEnd w:id="49"/>
    </w:p>
    <w:p w14:paraId="0A315B82" w14:textId="7FF98096" w:rsidR="00D74559" w:rsidRPr="00FF753D" w:rsidRDefault="00D74559" w:rsidP="006E2EF5">
      <w:r>
        <w:t xml:space="preserve">Submitting a Job Seeker Registration </w:t>
      </w:r>
      <w:r w:rsidR="0011662A">
        <w:t>r</w:t>
      </w:r>
      <w:r>
        <w:t>ecord for a person completes their Registration.</w:t>
      </w:r>
    </w:p>
    <w:p w14:paraId="12AD334A" w14:textId="37BD30BE" w:rsidR="00D74559" w:rsidRPr="00FF753D" w:rsidRDefault="00D74559" w:rsidP="006F727E">
      <w:pPr>
        <w:pStyle w:val="SystemStep"/>
      </w:pPr>
      <w:r>
        <w:t xml:space="preserve">The Department’s IT </w:t>
      </w:r>
      <w:r w:rsidR="00AFB076">
        <w:t>S</w:t>
      </w:r>
      <w:r>
        <w:t>ystem</w:t>
      </w:r>
      <w:r w:rsidR="59DB6C10">
        <w:t>s</w:t>
      </w:r>
      <w:r>
        <w:t xml:space="preserve"> will show if a Direct Registration cannot be completed. This can happen if the person is:</w:t>
      </w:r>
    </w:p>
    <w:p w14:paraId="19955E8C" w14:textId="5BDCF9BF" w:rsidR="00D74559" w:rsidRPr="00FF753D" w:rsidRDefault="00D74559" w:rsidP="004E120D">
      <w:pPr>
        <w:pStyle w:val="BulletLevel2"/>
      </w:pPr>
      <w:r w:rsidRPr="6B20C011">
        <w:t xml:space="preserve">ineligible for </w:t>
      </w:r>
      <w:r w:rsidR="00AC61E7">
        <w:t>Inclusive Employment Australia</w:t>
      </w:r>
      <w:r w:rsidR="009B6E3B">
        <w:t xml:space="preserve"> — i</w:t>
      </w:r>
      <w:r w:rsidRPr="6B20C011">
        <w:t xml:space="preserve">n this case, the Provider should advise the person they are not eligible for </w:t>
      </w:r>
      <w:r w:rsidR="00AC61E7">
        <w:t>Inclusive Employment Australia</w:t>
      </w:r>
      <w:r w:rsidRPr="6B20C011">
        <w:t xml:space="preserve"> and that they should contact Services Australia for further help if needed</w:t>
      </w:r>
      <w:r w:rsidR="009B6E3B">
        <w:t>, or</w:t>
      </w:r>
    </w:p>
    <w:p w14:paraId="1258F156" w14:textId="2C1913C5" w:rsidR="00D74559" w:rsidRDefault="00D74559" w:rsidP="004E120D">
      <w:pPr>
        <w:pStyle w:val="BulletLevel2"/>
      </w:pPr>
      <w:r w:rsidRPr="6B20C011">
        <w:t xml:space="preserve">already </w:t>
      </w:r>
      <w:r w:rsidR="00F550CE">
        <w:t>R</w:t>
      </w:r>
      <w:r w:rsidRPr="6B20C011">
        <w:t xml:space="preserve">egistered with </w:t>
      </w:r>
      <w:r w:rsidR="008150BE">
        <w:t>a</w:t>
      </w:r>
      <w:r w:rsidR="007F7802">
        <w:t>n</w:t>
      </w:r>
      <w:r w:rsidR="008150BE">
        <w:t xml:space="preserve"> </w:t>
      </w:r>
      <w:r w:rsidR="00AC61E7">
        <w:t>Inclusive Employment Australia</w:t>
      </w:r>
      <w:r w:rsidR="008150BE">
        <w:t xml:space="preserve"> Provider or </w:t>
      </w:r>
      <w:r w:rsidRPr="6B20C011">
        <w:t>an Other Employment Service</w:t>
      </w:r>
      <w:r w:rsidR="00DF3952">
        <w:t xml:space="preserve"> Provider</w:t>
      </w:r>
      <w:r w:rsidRPr="6B20C011">
        <w:t>.</w:t>
      </w:r>
    </w:p>
    <w:p w14:paraId="792F26DD" w14:textId="1046A9F8" w:rsidR="00D74559" w:rsidRPr="00AC5F48" w:rsidRDefault="00D74559" w:rsidP="007D185D">
      <w:pPr>
        <w:pStyle w:val="Heading5"/>
      </w:pPr>
      <w:r w:rsidRPr="00AC5F48">
        <w:t xml:space="preserve">Next </w:t>
      </w:r>
      <w:r w:rsidR="000B6CD4">
        <w:t>a</w:t>
      </w:r>
      <w:r w:rsidRPr="00AC5F48">
        <w:t>ctions</w:t>
      </w:r>
    </w:p>
    <w:p w14:paraId="23009D1E" w14:textId="4ADC4E80" w:rsidR="00D77D8C" w:rsidRDefault="00D74559" w:rsidP="002E66E2">
      <w:r w:rsidRPr="00AC5F48">
        <w:t xml:space="preserve">If the Provider successfully completes </w:t>
      </w:r>
      <w:r w:rsidR="00356D9B">
        <w:t>the</w:t>
      </w:r>
      <w:r w:rsidRPr="00AC5F48">
        <w:t xml:space="preserve"> Direct Registration</w:t>
      </w:r>
      <w:r w:rsidR="00356D9B">
        <w:t xml:space="preserve"> process</w:t>
      </w:r>
      <w:r w:rsidRPr="00AC5F48">
        <w:t>, the person</w:t>
      </w:r>
      <w:r w:rsidR="008F1CB3">
        <w:t>’s status on the</w:t>
      </w:r>
      <w:r w:rsidR="00AE31E5">
        <w:t xml:space="preserve"> </w:t>
      </w:r>
      <w:r w:rsidR="002305D7">
        <w:t xml:space="preserve">Provider’s </w:t>
      </w:r>
      <w:r w:rsidR="00EF24C7">
        <w:t>C</w:t>
      </w:r>
      <w:r w:rsidR="002305D7">
        <w:t>aseload</w:t>
      </w:r>
      <w:r w:rsidR="008F1CB3">
        <w:t xml:space="preserve"> will either be Pending or Eligibility Not Yet Determined.</w:t>
      </w:r>
      <w:r w:rsidR="00295832">
        <w:t xml:space="preserve"> </w:t>
      </w:r>
      <w:r w:rsidR="002E66E2" w:rsidRPr="00A04B2B">
        <w:t>At this stage of the process,</w:t>
      </w:r>
      <w:r w:rsidR="002E66E2">
        <w:t xml:space="preserve"> </w:t>
      </w:r>
      <w:r w:rsidR="00D77D8C" w:rsidRPr="00A04B2B">
        <w:t xml:space="preserve">the person is considered to be an </w:t>
      </w:r>
      <w:r w:rsidR="00AC61E7">
        <w:t>Inclusive Employment Australia</w:t>
      </w:r>
      <w:r w:rsidR="00D77D8C" w:rsidRPr="00A04B2B">
        <w:t xml:space="preserve"> Participant</w:t>
      </w:r>
      <w:r w:rsidR="002E66E2">
        <w:t>.</w:t>
      </w:r>
    </w:p>
    <w:p w14:paraId="1F0BCFC1" w14:textId="1F8FC05B" w:rsidR="00D74559" w:rsidRPr="00AC5F48" w:rsidRDefault="00D74559" w:rsidP="006E2EF5">
      <w:r w:rsidRPr="00AC5F48">
        <w:t xml:space="preserve">The Provider can Commence the person </w:t>
      </w:r>
      <w:r w:rsidR="006C63C8">
        <w:t>immediately</w:t>
      </w:r>
      <w:r w:rsidR="008D24D0">
        <w:t>, or at the next available Initial Interview opportunity,</w:t>
      </w:r>
      <w:r w:rsidR="006C63C8">
        <w:t xml:space="preserve"> </w:t>
      </w:r>
      <w:r w:rsidRPr="00AC5F48">
        <w:t>if the Participant:</w:t>
      </w:r>
    </w:p>
    <w:p w14:paraId="232DD6B6" w14:textId="014CD23C" w:rsidR="00D74559" w:rsidRPr="00AC5F48" w:rsidRDefault="00D74559" w:rsidP="004E120D">
      <w:pPr>
        <w:pStyle w:val="BulletLevel1"/>
      </w:pPr>
      <w:r w:rsidRPr="6B20C011">
        <w:t>meets the requirements at</w:t>
      </w:r>
      <w:r w:rsidR="00835D86">
        <w:t xml:space="preserve"> </w:t>
      </w:r>
      <w:r w:rsidR="00835D86">
        <w:fldChar w:fldCharType="begin"/>
      </w:r>
      <w:r w:rsidR="00835D86">
        <w:instrText xml:space="preserve"> REF _Ref202782143 \h </w:instrText>
      </w:r>
      <w:r w:rsidR="00835D86">
        <w:fldChar w:fldCharType="separate"/>
      </w:r>
      <w:r w:rsidR="000D75AE">
        <w:t>1.2General eligibility criteria</w:t>
      </w:r>
      <w:r w:rsidR="00835D86">
        <w:fldChar w:fldCharType="end"/>
      </w:r>
      <w:r w:rsidRPr="6B20C011">
        <w:t xml:space="preserve">, including having </w:t>
      </w:r>
      <w:r>
        <w:t xml:space="preserve">an </w:t>
      </w:r>
      <w:r w:rsidR="00AC61E7">
        <w:t>Inclusive Employment Australia</w:t>
      </w:r>
      <w:r w:rsidRPr="6B20C011">
        <w:t xml:space="preserve"> </w:t>
      </w:r>
      <w:r w:rsidR="000F5495">
        <w:t xml:space="preserve">(or the former DES program) </w:t>
      </w:r>
      <w:r w:rsidR="0097607C">
        <w:t xml:space="preserve">employment </w:t>
      </w:r>
      <w:r w:rsidRPr="6B20C011">
        <w:t xml:space="preserve">service </w:t>
      </w:r>
      <w:r w:rsidR="00A47D35">
        <w:t>R</w:t>
      </w:r>
      <w:r w:rsidRPr="6B20C011">
        <w:t>eferral in a Current and Valid ESAt, or</w:t>
      </w:r>
    </w:p>
    <w:p w14:paraId="3092D56A" w14:textId="7B29F92C" w:rsidR="00D74559" w:rsidRDefault="00D74559" w:rsidP="001B283C">
      <w:pPr>
        <w:pStyle w:val="BulletLevel1"/>
        <w:keepNext/>
      </w:pPr>
      <w:r w:rsidRPr="00AC5F48">
        <w:t xml:space="preserve">meets one of the eligibility requirements at </w:t>
      </w:r>
      <w:r w:rsidR="00835D86">
        <w:rPr>
          <w:highlight w:val="yellow"/>
        </w:rPr>
        <w:fldChar w:fldCharType="begin"/>
      </w:r>
      <w:r w:rsidR="00835D86">
        <w:instrText xml:space="preserve"> REF _Ref202777403 \h </w:instrText>
      </w:r>
      <w:r w:rsidR="00835D86">
        <w:rPr>
          <w:highlight w:val="yellow"/>
        </w:rPr>
      </w:r>
      <w:r w:rsidR="00835D86">
        <w:rPr>
          <w:highlight w:val="yellow"/>
        </w:rPr>
        <w:fldChar w:fldCharType="separate"/>
      </w:r>
      <w:r w:rsidR="000D75AE" w:rsidRPr="68A5FFF4">
        <w:t>1</w:t>
      </w:r>
      <w:r w:rsidR="000D75AE" w:rsidRPr="00AB7F56">
        <w:t>.3</w:t>
      </w:r>
      <w:r w:rsidR="000D75AE">
        <w:t>Special</w:t>
      </w:r>
      <w:r w:rsidR="000D75AE" w:rsidRPr="00AB7F56">
        <w:t xml:space="preserve"> eligibility</w:t>
      </w:r>
      <w:r w:rsidR="000D75AE">
        <w:t xml:space="preserve"> criteria</w:t>
      </w:r>
      <w:r w:rsidR="00835D86">
        <w:rPr>
          <w:highlight w:val="yellow"/>
        </w:rPr>
        <w:fldChar w:fldCharType="end"/>
      </w:r>
      <w:r w:rsidR="00835D86">
        <w:t xml:space="preserve"> </w:t>
      </w:r>
      <w:r w:rsidRPr="00AC5F48">
        <w:t>and</w:t>
      </w:r>
      <w:r w:rsidR="0090211D">
        <w:t xml:space="preserve"> </w:t>
      </w:r>
      <w:r w:rsidR="00294B5D">
        <w:t>is:</w:t>
      </w:r>
    </w:p>
    <w:p w14:paraId="01D8B1E5" w14:textId="399CD389" w:rsidR="00294B5D" w:rsidRPr="00610531" w:rsidRDefault="00294B5D" w:rsidP="004E120D">
      <w:pPr>
        <w:pStyle w:val="BulletLevel2"/>
      </w:pPr>
      <w:r w:rsidRPr="6B20C011">
        <w:t xml:space="preserve">ESAt-exempt – includes </w:t>
      </w:r>
      <w:r>
        <w:t>ESL Participants</w:t>
      </w:r>
      <w:r w:rsidRPr="6B20C011">
        <w:t xml:space="preserve">, </w:t>
      </w:r>
      <w:r>
        <w:t>SSC Participants</w:t>
      </w:r>
      <w:r w:rsidRPr="6B20C011">
        <w:t xml:space="preserve"> and Ongoing Support (Work Assist) Participants</w:t>
      </w:r>
    </w:p>
    <w:p w14:paraId="712D5A6F" w14:textId="4EF32745" w:rsidR="00294B5D" w:rsidRPr="00610531" w:rsidRDefault="00294B5D" w:rsidP="004E120D">
      <w:pPr>
        <w:pStyle w:val="BulletLevel2"/>
      </w:pPr>
      <w:r>
        <w:t xml:space="preserve">an </w:t>
      </w:r>
      <w:r w:rsidRPr="6B20C011">
        <w:t xml:space="preserve">NDIS participant with </w:t>
      </w:r>
      <w:bookmarkStart w:id="50" w:name="_Int_AanFAN8y"/>
      <w:r w:rsidRPr="6B20C011">
        <w:t xml:space="preserve">a </w:t>
      </w:r>
      <w:bookmarkEnd w:id="50"/>
      <w:r w:rsidR="00273E1D">
        <w:t>previous</w:t>
      </w:r>
      <w:r w:rsidRPr="6B20C011">
        <w:t xml:space="preserve"> ESAt</w:t>
      </w:r>
    </w:p>
    <w:p w14:paraId="685D8EFD" w14:textId="47E43A81" w:rsidR="00294B5D" w:rsidRDefault="00243C78" w:rsidP="004E120D">
      <w:pPr>
        <w:pStyle w:val="BulletLevel2"/>
      </w:pPr>
      <w:r>
        <w:t xml:space="preserve">a </w:t>
      </w:r>
      <w:r w:rsidR="00294B5D" w:rsidRPr="6B20C011">
        <w:t xml:space="preserve">DSP Recipient with </w:t>
      </w:r>
      <w:bookmarkStart w:id="51" w:name="_Int_r0X4j3Iv"/>
      <w:r w:rsidR="00294B5D" w:rsidRPr="6B20C011">
        <w:t xml:space="preserve">a </w:t>
      </w:r>
      <w:bookmarkEnd w:id="51"/>
      <w:r w:rsidR="00273E1D">
        <w:t>previous</w:t>
      </w:r>
      <w:r w:rsidR="00294B5D" w:rsidRPr="6B20C011">
        <w:t xml:space="preserve"> ESAt</w:t>
      </w:r>
      <w:r>
        <w:t>, or</w:t>
      </w:r>
    </w:p>
    <w:p w14:paraId="6D42BE55" w14:textId="3CD9E039" w:rsidR="00243C78" w:rsidRPr="00AC5F48" w:rsidRDefault="00243C78" w:rsidP="004E120D">
      <w:pPr>
        <w:pStyle w:val="BulletLevel2"/>
      </w:pPr>
      <w:r>
        <w:rPr>
          <w:lang w:val="en-GB"/>
        </w:rPr>
        <w:t xml:space="preserve">a </w:t>
      </w:r>
      <w:r w:rsidRPr="7374C138">
        <w:rPr>
          <w:lang w:val="en-GB"/>
        </w:rPr>
        <w:t xml:space="preserve">PRP Participant </w:t>
      </w:r>
      <w:r>
        <w:rPr>
          <w:lang w:val="en-GB"/>
        </w:rPr>
        <w:t>with</w:t>
      </w:r>
      <w:r w:rsidRPr="7374C138">
        <w:rPr>
          <w:lang w:val="en-GB"/>
        </w:rPr>
        <w:t xml:space="preserve"> a Current and Valid ESAt</w:t>
      </w:r>
      <w:r>
        <w:rPr>
          <w:lang w:val="en-GB"/>
        </w:rPr>
        <w:t>.</w:t>
      </w:r>
    </w:p>
    <w:p w14:paraId="2E728BB4" w14:textId="144901BA" w:rsidR="00D74559" w:rsidRPr="00AC5F48" w:rsidRDefault="00794FC0" w:rsidP="00A04B2B">
      <w:pPr>
        <w:keepLines/>
      </w:pPr>
      <w:r>
        <w:t>Those who</w:t>
      </w:r>
      <w:r w:rsidR="00BA061A">
        <w:t xml:space="preserve"> are </w:t>
      </w:r>
      <w:r w:rsidR="00D74559" w:rsidRPr="6B20C011">
        <w:t>successfully Directly Registered</w:t>
      </w:r>
      <w:r w:rsidR="00BA061A">
        <w:t xml:space="preserve"> </w:t>
      </w:r>
      <w:r w:rsidR="00D74559" w:rsidRPr="6B20C011">
        <w:t xml:space="preserve">but require </w:t>
      </w:r>
      <w:r w:rsidR="003F0E81">
        <w:t>a</w:t>
      </w:r>
      <w:r w:rsidR="00A50860">
        <w:t xml:space="preserve"> Current and Valid</w:t>
      </w:r>
      <w:r w:rsidR="003F0E81">
        <w:t xml:space="preserve"> ESAt </w:t>
      </w:r>
      <w:r w:rsidR="00BA061A">
        <w:t>cannot be immediately Commenced in</w:t>
      </w:r>
      <w:r w:rsidR="00BA061A" w:rsidRPr="6B20C011">
        <w:t xml:space="preserve"> </w:t>
      </w:r>
      <w:r w:rsidR="00AC61E7">
        <w:t>Inclusive Employment Australia</w:t>
      </w:r>
      <w:r w:rsidR="00D74559" w:rsidRPr="6B20C011">
        <w:t xml:space="preserve">. </w:t>
      </w:r>
      <w:r w:rsidR="00BA061A">
        <w:t>However, o</w:t>
      </w:r>
      <w:r w:rsidR="00D74559" w:rsidRPr="6B20C011">
        <w:t xml:space="preserve">nce the person is Directly Registered, the Provider can refer them for an ESAt as described in </w:t>
      </w:r>
      <w:r w:rsidR="00FD020B">
        <w:fldChar w:fldCharType="begin"/>
      </w:r>
      <w:r w:rsidR="00FD020B">
        <w:instrText xml:space="preserve"> REF _Ref202777525 \h </w:instrText>
      </w:r>
      <w:r w:rsidR="00FD020B">
        <w:fldChar w:fldCharType="separate"/>
      </w:r>
      <w:r w:rsidR="000D75AE" w:rsidRPr="006F727E">
        <w:t>2.4Employment Services Assessment</w:t>
      </w:r>
      <w:r w:rsidR="00FD020B">
        <w:fldChar w:fldCharType="end"/>
      </w:r>
      <w:r w:rsidR="00FD020B">
        <w:t xml:space="preserve"> </w:t>
      </w:r>
      <w:r w:rsidR="00D214BE">
        <w:t>to determine their eligibility.</w:t>
      </w:r>
    </w:p>
    <w:p w14:paraId="6E35DE11" w14:textId="5ED0B560" w:rsidR="00B97ADE" w:rsidRDefault="00D74559" w:rsidP="00B97ADE">
      <w:r w:rsidRPr="6B20C011">
        <w:t xml:space="preserve">If </w:t>
      </w:r>
      <w:r w:rsidR="00D946A3">
        <w:t>the</w:t>
      </w:r>
      <w:r w:rsidRPr="6B20C011">
        <w:t xml:space="preserve"> ESAt confirms that </w:t>
      </w:r>
      <w:r w:rsidR="00D946A3">
        <w:t>the</w:t>
      </w:r>
      <w:r w:rsidRPr="6B20C011">
        <w:t xml:space="preserve"> Directly Registered person is eligible to receive </w:t>
      </w:r>
      <w:r w:rsidR="00AC61E7">
        <w:t>Inclusive Employment Australia</w:t>
      </w:r>
      <w:r>
        <w:t xml:space="preserve"> Services</w:t>
      </w:r>
      <w:r w:rsidRPr="6B20C011">
        <w:t>, Services Australia will refer the person back to the Direc</w:t>
      </w:r>
      <w:r w:rsidR="00D214BE">
        <w:t>t</w:t>
      </w:r>
      <w:r w:rsidRPr="6B20C011">
        <w:t xml:space="preserve">ly Registering Provider. </w:t>
      </w:r>
      <w:r w:rsidR="00F55E2B">
        <w:t xml:space="preserve">The person’s status on the Provider’s will change to Pending. </w:t>
      </w:r>
      <w:r w:rsidR="0064072F" w:rsidRPr="0E218120">
        <w:t xml:space="preserve">Providers must confirm that </w:t>
      </w:r>
      <w:r w:rsidR="00295A29">
        <w:t>the</w:t>
      </w:r>
      <w:r w:rsidR="00FE5BE9">
        <w:t xml:space="preserve"> person</w:t>
      </w:r>
      <w:r w:rsidR="0064072F" w:rsidRPr="0E218120">
        <w:t xml:space="preserve"> </w:t>
      </w:r>
      <w:r w:rsidR="008F25B4">
        <w:t>is eligible to be Commenced</w:t>
      </w:r>
      <w:r w:rsidR="00295A29">
        <w:t xml:space="preserve">. </w:t>
      </w:r>
    </w:p>
    <w:p w14:paraId="7B664244" w14:textId="259955BA" w:rsidR="00D74559" w:rsidRDefault="007D7102" w:rsidP="006E2EF5">
      <w:r>
        <w:t>If an ESAt d</w:t>
      </w:r>
      <w:r w:rsidR="00253AFD">
        <w:t xml:space="preserve">etermines that </w:t>
      </w:r>
      <w:r w:rsidR="00D946A3" w:rsidRPr="6B20C011">
        <w:t xml:space="preserve">Directly Registered person </w:t>
      </w:r>
      <w:r w:rsidR="00D946A3">
        <w:t>is</w:t>
      </w:r>
      <w:r w:rsidR="00253AFD">
        <w:t xml:space="preserve"> not eligible for </w:t>
      </w:r>
      <w:r w:rsidR="00AC61E7">
        <w:t>Inclusive Employment Australia</w:t>
      </w:r>
      <w:r w:rsidR="00253AFD">
        <w:t xml:space="preserve">, the </w:t>
      </w:r>
      <w:r w:rsidR="008347EC">
        <w:t>person will be</w:t>
      </w:r>
      <w:r w:rsidR="003C70FA">
        <w:t xml:space="preserve"> Exit</w:t>
      </w:r>
      <w:r w:rsidR="008347EC">
        <w:t>ed</w:t>
      </w:r>
      <w:r w:rsidR="003C70FA">
        <w:t>.</w:t>
      </w:r>
    </w:p>
    <w:p w14:paraId="5A7E5242" w14:textId="02605DF0" w:rsidR="0097607C" w:rsidRDefault="0097607C" w:rsidP="006E2EF5">
      <w:r w:rsidRPr="00AC5F48">
        <w:t xml:space="preserve">For more information about Commencing </w:t>
      </w:r>
      <w:r w:rsidR="00E362DA">
        <w:t xml:space="preserve">or Exiting </w:t>
      </w:r>
      <w:r w:rsidRPr="00AC5F48">
        <w:t>a person, see</w:t>
      </w:r>
      <w:r w:rsidR="00E362DA">
        <w:t xml:space="preserve"> the relevant </w:t>
      </w:r>
      <w:r w:rsidR="007A4B96">
        <w:t>S</w:t>
      </w:r>
      <w:r w:rsidR="00E362DA">
        <w:t>ections in</w:t>
      </w:r>
      <w:r w:rsidR="00FD020B">
        <w:t xml:space="preserve"> </w:t>
      </w:r>
      <w:r w:rsidR="00FD020B" w:rsidRPr="0006423E">
        <w:rPr>
          <w:rStyle w:val="Hyperlink"/>
          <w:highlight w:val="yellow"/>
        </w:rPr>
        <w:fldChar w:fldCharType="begin"/>
      </w:r>
      <w:r w:rsidR="00FD020B" w:rsidRPr="0006423E">
        <w:rPr>
          <w:rStyle w:val="Hyperlink"/>
        </w:rPr>
        <w:instrText xml:space="preserve"> REF _Ref202782242 \h </w:instrText>
      </w:r>
      <w:r w:rsidR="0006423E">
        <w:rPr>
          <w:rStyle w:val="Hyperlink"/>
          <w:highlight w:val="yellow"/>
        </w:rPr>
        <w:instrText xml:space="preserve"> \* MERGEFORMAT </w:instrText>
      </w:r>
      <w:r w:rsidR="00FD020B" w:rsidRPr="0006423E">
        <w:rPr>
          <w:rStyle w:val="Hyperlink"/>
          <w:highlight w:val="yellow"/>
        </w:rPr>
      </w:r>
      <w:r w:rsidR="00FD020B" w:rsidRPr="0006423E">
        <w:rPr>
          <w:rStyle w:val="Hyperlink"/>
          <w:highlight w:val="yellow"/>
        </w:rPr>
        <w:fldChar w:fldCharType="separate"/>
      </w:r>
      <w:r w:rsidR="000D75AE" w:rsidRPr="000D75AE">
        <w:rPr>
          <w:rStyle w:val="Hyperlink"/>
        </w:rPr>
        <w:t>Chapter 3:</w:t>
      </w:r>
      <w:r w:rsidR="00CA26A3">
        <w:rPr>
          <w:rStyle w:val="Hyperlink"/>
        </w:rPr>
        <w:t xml:space="preserve"> </w:t>
      </w:r>
      <w:r w:rsidR="000D75AE" w:rsidRPr="000D75AE">
        <w:rPr>
          <w:rStyle w:val="Hyperlink"/>
        </w:rPr>
        <w:t>Commencements, Transfers, Suspensions and Exits</w:t>
      </w:r>
      <w:r w:rsidR="00FD020B" w:rsidRPr="0006423E">
        <w:rPr>
          <w:rStyle w:val="Hyperlink"/>
          <w:highlight w:val="yellow"/>
        </w:rPr>
        <w:fldChar w:fldCharType="end"/>
      </w:r>
      <w:r w:rsidRPr="00AC5F48">
        <w:t>.</w:t>
      </w:r>
    </w:p>
    <w:p w14:paraId="0DDCB26A" w14:textId="3F1D6767" w:rsidR="00D74559" w:rsidRPr="00BA23D8" w:rsidRDefault="43E041BA" w:rsidP="000335E0">
      <w:pPr>
        <w:pStyle w:val="Heading2"/>
      </w:pPr>
      <w:bookmarkStart w:id="52" w:name="_Ref202777451"/>
      <w:bookmarkStart w:id="53" w:name="_Ref202777482"/>
      <w:bookmarkStart w:id="54" w:name="_Toc202899885"/>
      <w:r>
        <w:t>Chapter 2</w:t>
      </w:r>
      <w:r w:rsidR="00280583">
        <w:t>:</w:t>
      </w:r>
      <w:r w:rsidR="00A61FB9">
        <w:tab/>
      </w:r>
      <w:r>
        <w:t>Assessments</w:t>
      </w:r>
      <w:bookmarkEnd w:id="52"/>
      <w:bookmarkEnd w:id="53"/>
      <w:bookmarkEnd w:id="54"/>
    </w:p>
    <w:p w14:paraId="66B553D6" w14:textId="4BC2DA7C" w:rsidR="00D74559" w:rsidRPr="004C3C3D" w:rsidRDefault="00D74559" w:rsidP="001D0F92">
      <w:pPr>
        <w:pStyle w:val="Heading-SupportingDocuments"/>
        <w:rPr>
          <w:rStyle w:val="Emphasis"/>
          <w:b/>
          <w:bCs w:val="0"/>
          <w:i/>
          <w:iCs w:val="0"/>
          <w:spacing w:val="3"/>
        </w:rPr>
      </w:pPr>
      <w:r w:rsidRPr="004C3C3D">
        <w:rPr>
          <w:rStyle w:val="Emphasis"/>
          <w:b/>
          <w:iCs w:val="0"/>
          <w:spacing w:val="3"/>
        </w:rPr>
        <w:t>Supporting Documents for this Chapter</w:t>
      </w:r>
    </w:p>
    <w:p w14:paraId="555E35F2" w14:textId="2E25F626" w:rsidR="00D74559" w:rsidRPr="001B283C" w:rsidRDefault="00D74559" w:rsidP="00620350">
      <w:pPr>
        <w:pStyle w:val="Bullet-SupportingDocument"/>
        <w:rPr>
          <w:rStyle w:val="Hyperlink"/>
        </w:rPr>
      </w:pPr>
      <w:r w:rsidRPr="001B283C">
        <w:rPr>
          <w:rStyle w:val="Hyperlink"/>
        </w:rPr>
        <w:t>Provider Actions – Completing a Program Summary</w:t>
      </w:r>
      <w:r w:rsidR="00D07CAC">
        <w:rPr>
          <w:rStyle w:val="Hyperlink"/>
        </w:rPr>
        <w:t xml:space="preserve"> [LINK]</w:t>
      </w:r>
    </w:p>
    <w:p w14:paraId="58CE3F78" w14:textId="0D443EE0" w:rsidR="00D74559" w:rsidRPr="002C65B9" w:rsidRDefault="10466960" w:rsidP="002C65B9">
      <w:pPr>
        <w:pStyle w:val="Bullet-SupportingDocument"/>
        <w:rPr>
          <w:rStyle w:val="Hyperlink"/>
        </w:rPr>
      </w:pPr>
      <w:r w:rsidRPr="002C65B9">
        <w:rPr>
          <w:rStyle w:val="Hyperlink"/>
        </w:rPr>
        <w:t>Explanation of Job Seeker Snapshot Questions</w:t>
      </w:r>
      <w:r w:rsidR="00D07CAC" w:rsidRPr="002C65B9">
        <w:rPr>
          <w:rStyle w:val="Hyperlink"/>
        </w:rPr>
        <w:t xml:space="preserve"> [LINK]</w:t>
      </w:r>
    </w:p>
    <w:p w14:paraId="3DB0F0F0" w14:textId="1E5818B1" w:rsidR="002C65B9" w:rsidRDefault="002C65B9" w:rsidP="69AAA37C">
      <w:pPr>
        <w:pStyle w:val="Bullet-SupportingDocument"/>
        <w:rPr>
          <w:rStyle w:val="Hyperlink"/>
        </w:rPr>
      </w:pPr>
      <w:r w:rsidRPr="002C65B9">
        <w:rPr>
          <w:rStyle w:val="Hyperlink"/>
        </w:rPr>
        <w:t>Job Seeker Snapshot Overview and Factors Fact Sheet</w:t>
      </w:r>
      <w:r>
        <w:rPr>
          <w:rStyle w:val="Hyperlink"/>
        </w:rPr>
        <w:t xml:space="preserve"> [LINK]</w:t>
      </w:r>
    </w:p>
    <w:p w14:paraId="610AE037" w14:textId="0EA56935" w:rsidR="00D74559" w:rsidRPr="002C65B9" w:rsidRDefault="00D74559" w:rsidP="00620350">
      <w:pPr>
        <w:pStyle w:val="Bullet-SupportingDocument"/>
        <w:rPr>
          <w:rStyle w:val="Hyperlink"/>
        </w:rPr>
      </w:pPr>
      <w:r w:rsidRPr="002C65B9">
        <w:rPr>
          <w:rStyle w:val="Hyperlink"/>
        </w:rPr>
        <w:t>Job Seeker Snapshot Off-line Form</w:t>
      </w:r>
      <w:r w:rsidR="002C65B9" w:rsidRPr="002C65B9">
        <w:rPr>
          <w:rStyle w:val="Hyperlink"/>
        </w:rPr>
        <w:t xml:space="preserve"> [LINK]</w:t>
      </w:r>
    </w:p>
    <w:p w14:paraId="79488381" w14:textId="1516BE76" w:rsidR="00D74559" w:rsidRPr="002C65B9" w:rsidRDefault="00D74559" w:rsidP="00620350">
      <w:pPr>
        <w:pStyle w:val="Bullet-SupportingDocument"/>
        <w:rPr>
          <w:rStyle w:val="Hyperlink"/>
        </w:rPr>
      </w:pPr>
      <w:r w:rsidRPr="002C65B9">
        <w:rPr>
          <w:rStyle w:val="Hyperlink"/>
        </w:rPr>
        <w:t>Assisting Participants in Crisis Fact Sheet</w:t>
      </w:r>
      <w:r w:rsidR="002C65B9" w:rsidRPr="002C65B9">
        <w:rPr>
          <w:rStyle w:val="Hyperlink"/>
        </w:rPr>
        <w:t xml:space="preserve"> [LINK]</w:t>
      </w:r>
    </w:p>
    <w:p w14:paraId="6DE9F0C9" w14:textId="77777777" w:rsidR="00D74559" w:rsidRPr="00A67F0B" w:rsidRDefault="00D74559" w:rsidP="00620350">
      <w:pPr>
        <w:pStyle w:val="Bullet-SupportingDocument"/>
        <w:rPr>
          <w:rStyle w:val="Hyperlink"/>
        </w:rPr>
      </w:pPr>
      <w:hyperlink r:id="rId31">
        <w:r w:rsidRPr="00A67F0B">
          <w:rPr>
            <w:rStyle w:val="Hyperlink"/>
          </w:rPr>
          <w:t>Verification of medical conditions form (SU684)</w:t>
        </w:r>
      </w:hyperlink>
      <w:r w:rsidRPr="00A67F0B">
        <w:rPr>
          <w:rStyle w:val="Hyperlink"/>
        </w:rPr>
        <w:t xml:space="preserve"> </w:t>
      </w:r>
    </w:p>
    <w:p w14:paraId="42C731DA" w14:textId="3C99CC0B" w:rsidR="00D74559" w:rsidRPr="00A67F0B" w:rsidRDefault="00D74559" w:rsidP="00620350">
      <w:pPr>
        <w:pStyle w:val="Bullet-SupportingDocument"/>
        <w:rPr>
          <w:rStyle w:val="Hyperlink"/>
        </w:rPr>
      </w:pPr>
      <w:r w:rsidRPr="002C65B9">
        <w:rPr>
          <w:rStyle w:val="Hyperlink"/>
        </w:rPr>
        <w:t>Medical Evidence Required for Making an ESAt Referral Fact</w:t>
      </w:r>
      <w:r>
        <w:rPr>
          <w:rStyle w:val="Hyperlink"/>
        </w:rPr>
        <w:t xml:space="preserve"> Sheet</w:t>
      </w:r>
      <w:r w:rsidR="002C65B9">
        <w:rPr>
          <w:rStyle w:val="Hyperlink"/>
        </w:rPr>
        <w:t xml:space="preserve"> [LINK]</w:t>
      </w:r>
    </w:p>
    <w:p w14:paraId="335CEA45" w14:textId="3780FA9E" w:rsidR="00D74559" w:rsidRDefault="00D74559" w:rsidP="00620350">
      <w:pPr>
        <w:pStyle w:val="Bullet-SupportingDocument"/>
        <w:rPr>
          <w:rStyle w:val="Hyperlink"/>
        </w:rPr>
      </w:pPr>
      <w:r w:rsidRPr="534D8722">
        <w:rPr>
          <w:rStyle w:val="Hyperlink"/>
        </w:rPr>
        <w:t>ESAt requirements by cohorts</w:t>
      </w:r>
      <w:r w:rsidR="002C65B9">
        <w:rPr>
          <w:rStyle w:val="Hyperlink"/>
        </w:rPr>
        <w:t xml:space="preserve"> Fact Sheet [LINK]</w:t>
      </w:r>
      <w:r w:rsidRPr="534D8722">
        <w:rPr>
          <w:rStyle w:val="Hyperlink"/>
        </w:rPr>
        <w:t xml:space="preserve"> </w:t>
      </w:r>
    </w:p>
    <w:p w14:paraId="0E943289" w14:textId="20340108" w:rsidR="00D74559" w:rsidRDefault="00D74559" w:rsidP="001D0F92">
      <w:pPr>
        <w:pStyle w:val="Heading3"/>
        <w:rPr>
          <w:rFonts w:ascii="Tahoma" w:eastAsia="Tahoma" w:hAnsi="Tahoma" w:cs="Tahoma"/>
          <w:color w:val="00838A" w:themeColor="accent2" w:themeShade="BF"/>
        </w:rPr>
      </w:pPr>
      <w:bookmarkStart w:id="55" w:name="_Toc202899886"/>
      <w:r>
        <w:t>2.1</w:t>
      </w:r>
      <w:r w:rsidR="00261A8B">
        <w:tab/>
      </w:r>
      <w:r>
        <w:t>Chapter Overview</w:t>
      </w:r>
      <w:bookmarkEnd w:id="55"/>
      <w:r>
        <w:t> </w:t>
      </w:r>
    </w:p>
    <w:p w14:paraId="66636099" w14:textId="5658C16D" w:rsidR="00D74559" w:rsidRDefault="43E041BA">
      <w:r>
        <w:t xml:space="preserve">Assessments are an important tool to understand a Participant’s individual needs and to support tailoring of Services. This Chapter outlines information related to the Job Seeker Assessment Framework and Provider responsibilities for specific assessments. Providers are encouraged to consider other forms of </w:t>
      </w:r>
      <w:r w:rsidR="12E76EEC">
        <w:t>a</w:t>
      </w:r>
      <w:r>
        <w:t>ssessment where appropriate to support tailoring of support to Participants.</w:t>
      </w:r>
    </w:p>
    <w:p w14:paraId="0D7DBB95" w14:textId="77777777" w:rsidR="00D74559" w:rsidRDefault="00D74559" w:rsidP="006E2EF5">
      <w:r>
        <w:t>Assessments related to the Job Seeker Assessment Framework are:</w:t>
      </w:r>
    </w:p>
    <w:p w14:paraId="2B91E91E" w14:textId="77777777" w:rsidR="00D74559" w:rsidRPr="00AF496B" w:rsidRDefault="00D74559" w:rsidP="004E120D">
      <w:pPr>
        <w:pStyle w:val="BulletLevel1"/>
      </w:pPr>
      <w:r w:rsidRPr="4BA2E917">
        <w:t xml:space="preserve">Job </w:t>
      </w:r>
      <w:r w:rsidRPr="00AF496B">
        <w:t>Seeker Snapshot</w:t>
      </w:r>
    </w:p>
    <w:p w14:paraId="17A90143" w14:textId="40F3259F" w:rsidR="00D74559" w:rsidRDefault="43E041BA" w:rsidP="004E120D">
      <w:pPr>
        <w:pStyle w:val="BulletLevel1"/>
      </w:pPr>
      <w:r>
        <w:t>Employment Services Assessments (ESAts)</w:t>
      </w:r>
      <w:r w:rsidR="15169A9B">
        <w:t>, and</w:t>
      </w:r>
    </w:p>
    <w:p w14:paraId="49A22741" w14:textId="77777777" w:rsidR="00D74559" w:rsidRDefault="00D74559" w:rsidP="004E120D">
      <w:pPr>
        <w:pStyle w:val="BulletLevel1"/>
      </w:pPr>
      <w:r w:rsidRPr="520658A2">
        <w:t>Ongoing Support Assessments (OSA).</w:t>
      </w:r>
    </w:p>
    <w:p w14:paraId="6CC8C021" w14:textId="77777777" w:rsidR="00D74559" w:rsidRDefault="00D74559" w:rsidP="006E2EF5">
      <w:pPr>
        <w:rPr>
          <w:rFonts w:eastAsiaTheme="minorEastAsia"/>
        </w:rPr>
      </w:pPr>
      <w:r>
        <w:rPr>
          <w:rFonts w:eastAsiaTheme="minorEastAsia"/>
        </w:rPr>
        <w:t>Other specific assessments outlined in this Chapter are</w:t>
      </w:r>
      <w:r w:rsidRPr="520658A2">
        <w:rPr>
          <w:rFonts w:eastAsiaTheme="minorEastAsia"/>
        </w:rPr>
        <w:t>:</w:t>
      </w:r>
    </w:p>
    <w:p w14:paraId="6C7F91D2" w14:textId="77777777" w:rsidR="00D74559" w:rsidRPr="00AF496B" w:rsidRDefault="00D74559" w:rsidP="004E120D">
      <w:pPr>
        <w:pStyle w:val="BulletLevel1"/>
      </w:pPr>
      <w:r w:rsidRPr="520658A2">
        <w:t>Skills Assessment</w:t>
      </w:r>
    </w:p>
    <w:p w14:paraId="750A0B6A" w14:textId="39C7C181" w:rsidR="00D74559" w:rsidRDefault="00D74559" w:rsidP="004E120D">
      <w:pPr>
        <w:pStyle w:val="BulletLevel1"/>
      </w:pPr>
      <w:r w:rsidRPr="520658A2">
        <w:t xml:space="preserve">Workplace Modification </w:t>
      </w:r>
      <w:r w:rsidR="00A7003F">
        <w:t>Services (</w:t>
      </w:r>
      <w:r w:rsidR="00CF587C">
        <w:t>WMS</w:t>
      </w:r>
      <w:r w:rsidR="00A7003F">
        <w:t xml:space="preserve">) </w:t>
      </w:r>
      <w:r w:rsidRPr="520658A2">
        <w:t>Assessment</w:t>
      </w:r>
      <w:r>
        <w:t>, and</w:t>
      </w:r>
    </w:p>
    <w:p w14:paraId="1D64D187" w14:textId="71BC5CD1" w:rsidR="00D74559" w:rsidRDefault="00D74559" w:rsidP="004E120D">
      <w:pPr>
        <w:pStyle w:val="BulletLevel1"/>
      </w:pPr>
      <w:r w:rsidRPr="520658A2">
        <w:t xml:space="preserve">Supported Wage System </w:t>
      </w:r>
      <w:r w:rsidR="00A7003F">
        <w:t>(</w:t>
      </w:r>
      <w:r w:rsidR="006E5902">
        <w:t>SWS</w:t>
      </w:r>
      <w:r w:rsidR="00A7003F">
        <w:t xml:space="preserve">) </w:t>
      </w:r>
      <w:r w:rsidRPr="520658A2">
        <w:t>Assessment</w:t>
      </w:r>
      <w:r>
        <w:t>.</w:t>
      </w:r>
    </w:p>
    <w:p w14:paraId="3FC6F0CC" w14:textId="77777777" w:rsidR="00D74559" w:rsidRDefault="00D74559" w:rsidP="006E2EF5">
      <w:r>
        <w:t>Providers are also expected to undertake:</w:t>
      </w:r>
    </w:p>
    <w:p w14:paraId="4E10AA42" w14:textId="13531889" w:rsidR="00D74559" w:rsidRDefault="00D74559" w:rsidP="004E120D">
      <w:pPr>
        <w:pStyle w:val="BulletLevel1"/>
      </w:pPr>
      <w:r w:rsidRPr="520658A2">
        <w:rPr>
          <w:lang w:val="en-GB"/>
        </w:rPr>
        <w:t xml:space="preserve">functional capacity evaluation, physical assessment or other assessments to determine the Participant’s </w:t>
      </w:r>
      <w:r w:rsidR="00AD09FB">
        <w:rPr>
          <w:lang w:val="en-GB"/>
        </w:rPr>
        <w:t xml:space="preserve">needs, </w:t>
      </w:r>
      <w:r w:rsidRPr="520658A2">
        <w:rPr>
          <w:lang w:val="en-GB"/>
        </w:rPr>
        <w:t>abilities or limits</w:t>
      </w:r>
      <w:r>
        <w:rPr>
          <w:lang w:val="en-GB"/>
        </w:rPr>
        <w:t>, and</w:t>
      </w:r>
    </w:p>
    <w:p w14:paraId="7060923F" w14:textId="77777777" w:rsidR="00D74559" w:rsidRDefault="00D74559" w:rsidP="004E120D">
      <w:pPr>
        <w:pStyle w:val="BulletLevel1"/>
        <w:rPr>
          <w:lang w:val="en-GB"/>
        </w:rPr>
      </w:pPr>
      <w:r w:rsidRPr="520658A2">
        <w:rPr>
          <w:lang w:val="en-GB"/>
        </w:rPr>
        <w:t xml:space="preserve">any other </w:t>
      </w:r>
      <w:r>
        <w:rPr>
          <w:lang w:val="en-GB"/>
        </w:rPr>
        <w:t>a</w:t>
      </w:r>
      <w:r w:rsidRPr="520658A2">
        <w:rPr>
          <w:lang w:val="en-GB"/>
        </w:rPr>
        <w:t>ssessment they have that is reliable</w:t>
      </w:r>
      <w:r>
        <w:rPr>
          <w:lang w:val="en-GB"/>
        </w:rPr>
        <w:t xml:space="preserve"> that would assist with identifying appropriate supports for a Participant</w:t>
      </w:r>
      <w:r w:rsidRPr="520658A2">
        <w:rPr>
          <w:lang w:val="en-GB"/>
        </w:rPr>
        <w:t>.</w:t>
      </w:r>
    </w:p>
    <w:p w14:paraId="43D766C9" w14:textId="379887B1" w:rsidR="00D74559" w:rsidRDefault="43E041BA" w:rsidP="006E2EF5">
      <w:pPr>
        <w:rPr>
          <w:lang w:val="en-GB"/>
        </w:rPr>
      </w:pPr>
      <w:r w:rsidRPr="3E27A7B0">
        <w:rPr>
          <w:lang w:val="en-GB"/>
        </w:rPr>
        <w:t xml:space="preserve">Providers must consider the results of any </w:t>
      </w:r>
      <w:r w:rsidR="2483DCB5" w:rsidRPr="3E27A7B0">
        <w:rPr>
          <w:lang w:val="en-GB"/>
        </w:rPr>
        <w:t>a</w:t>
      </w:r>
      <w:r w:rsidRPr="3E27A7B0">
        <w:rPr>
          <w:lang w:val="en-GB"/>
        </w:rPr>
        <w:t xml:space="preserve">ssessments, to ensure that the supports and </w:t>
      </w:r>
      <w:r w:rsidR="0F23636E" w:rsidRPr="3E27A7B0">
        <w:rPr>
          <w:lang w:val="en-GB"/>
        </w:rPr>
        <w:t>s</w:t>
      </w:r>
      <w:r w:rsidRPr="3E27A7B0">
        <w:rPr>
          <w:lang w:val="en-GB"/>
        </w:rPr>
        <w:t xml:space="preserve">ervices they provide align with the Participant’s: </w:t>
      </w:r>
    </w:p>
    <w:p w14:paraId="398EF613" w14:textId="77777777" w:rsidR="00D74559" w:rsidRDefault="00D74559" w:rsidP="004E120D">
      <w:pPr>
        <w:pStyle w:val="BulletLevel1"/>
        <w:rPr>
          <w:lang w:val="en-GB"/>
        </w:rPr>
      </w:pPr>
      <w:r w:rsidRPr="520658A2">
        <w:rPr>
          <w:lang w:val="en-GB"/>
        </w:rPr>
        <w:t xml:space="preserve">assessed current baseline work capacity and future work capacity with intervention </w:t>
      </w:r>
    </w:p>
    <w:p w14:paraId="3C831490" w14:textId="77777777" w:rsidR="00D74559" w:rsidRDefault="00D74559" w:rsidP="004E120D">
      <w:pPr>
        <w:pStyle w:val="BulletLevel1"/>
        <w:rPr>
          <w:lang w:val="en-GB"/>
        </w:rPr>
      </w:pPr>
      <w:r w:rsidRPr="520658A2">
        <w:rPr>
          <w:lang w:val="en-GB"/>
        </w:rPr>
        <w:t xml:space="preserve">type and nature of disability, injury, or health condition </w:t>
      </w:r>
    </w:p>
    <w:p w14:paraId="0BB8B41A" w14:textId="3BCDD05F" w:rsidR="00D74559" w:rsidRDefault="43E041BA" w:rsidP="004E120D">
      <w:pPr>
        <w:pStyle w:val="BulletLevel1"/>
        <w:rPr>
          <w:lang w:val="en-GB"/>
        </w:rPr>
      </w:pPr>
      <w:r w:rsidRPr="3E27A7B0">
        <w:rPr>
          <w:lang w:val="en-GB"/>
        </w:rPr>
        <w:t>strengths, skills, experience, and aspirations</w:t>
      </w:r>
      <w:r w:rsidR="675EFF44" w:rsidRPr="3E27A7B0">
        <w:rPr>
          <w:lang w:val="en-GB"/>
        </w:rPr>
        <w:t>,</w:t>
      </w:r>
      <w:r w:rsidRPr="3E27A7B0">
        <w:rPr>
          <w:lang w:val="en-GB"/>
        </w:rPr>
        <w:t xml:space="preserve"> </w:t>
      </w:r>
      <w:r w:rsidR="675EFF44" w:rsidRPr="3E27A7B0">
        <w:rPr>
          <w:lang w:val="en-GB"/>
        </w:rPr>
        <w:t>and</w:t>
      </w:r>
    </w:p>
    <w:p w14:paraId="47E2107A" w14:textId="25D1E5FA" w:rsidR="00D74559" w:rsidRDefault="4D329DE8" w:rsidP="004E120D">
      <w:pPr>
        <w:pStyle w:val="BulletLevel1"/>
        <w:rPr>
          <w:lang w:val="en-GB"/>
        </w:rPr>
      </w:pPr>
      <w:r w:rsidRPr="3E27A7B0">
        <w:rPr>
          <w:lang w:val="en-GB"/>
        </w:rPr>
        <w:t>Vocational</w:t>
      </w:r>
      <w:r w:rsidR="71EF4C28" w:rsidRPr="3E27A7B0">
        <w:rPr>
          <w:lang w:val="en-GB"/>
        </w:rPr>
        <w:t xml:space="preserve"> and </w:t>
      </w:r>
      <w:r w:rsidR="5C3C1AC8" w:rsidRPr="3E27A7B0">
        <w:rPr>
          <w:lang w:val="en-GB"/>
        </w:rPr>
        <w:t>N</w:t>
      </w:r>
      <w:r w:rsidR="71EF4C28" w:rsidRPr="3E27A7B0">
        <w:rPr>
          <w:lang w:val="en-GB"/>
        </w:rPr>
        <w:t>on-</w:t>
      </w:r>
      <w:r w:rsidR="783D1FE9" w:rsidRPr="3E27A7B0">
        <w:rPr>
          <w:lang w:val="en-GB"/>
        </w:rPr>
        <w:t>V</w:t>
      </w:r>
      <w:r w:rsidR="71EF4C28" w:rsidRPr="3E27A7B0">
        <w:rPr>
          <w:lang w:val="en-GB"/>
        </w:rPr>
        <w:t xml:space="preserve">ocational </w:t>
      </w:r>
      <w:r w:rsidR="4C285256" w:rsidRPr="3E27A7B0">
        <w:rPr>
          <w:lang w:val="en-GB"/>
        </w:rPr>
        <w:t>B</w:t>
      </w:r>
      <w:r w:rsidR="71EF4C28" w:rsidRPr="3E27A7B0">
        <w:rPr>
          <w:lang w:val="en-GB"/>
        </w:rPr>
        <w:t>arriers.</w:t>
      </w:r>
    </w:p>
    <w:p w14:paraId="469EF9A7" w14:textId="39932CE4" w:rsidR="00D74559" w:rsidRDefault="00D74559" w:rsidP="006E2EF5">
      <w:r>
        <w:t>This Chapter does not include Compliance-related assessments (i.e. the Capability Interview and Capability Assessment). Details related to these assessments can be found in</w:t>
      </w:r>
      <w:r w:rsidR="003F02BF">
        <w:t xml:space="preserve"> </w:t>
      </w:r>
      <w:r w:rsidR="003F02BF">
        <w:fldChar w:fldCharType="begin"/>
      </w:r>
      <w:r w:rsidR="003F02BF">
        <w:instrText xml:space="preserve"> REF _Ref202782924 \h </w:instrText>
      </w:r>
      <w:r w:rsidR="003F02BF">
        <w:fldChar w:fldCharType="separate"/>
      </w:r>
      <w:r w:rsidR="000D75AE">
        <w:t>Chapter 12:</w:t>
      </w:r>
      <w:r w:rsidR="00F62957">
        <w:t xml:space="preserve"> </w:t>
      </w:r>
      <w:r w:rsidR="000D75AE">
        <w:t>Compliance</w:t>
      </w:r>
      <w:r w:rsidR="003F02BF">
        <w:fldChar w:fldCharType="end"/>
      </w:r>
      <w:r>
        <w:t>.</w:t>
      </w:r>
    </w:p>
    <w:p w14:paraId="5BDC53A2" w14:textId="42AD280D" w:rsidR="00D74559" w:rsidRPr="00B33C7A" w:rsidRDefault="00D74559" w:rsidP="006E2EF5">
      <w:pPr>
        <w:tabs>
          <w:tab w:val="right" w:pos="1701"/>
        </w:tabs>
        <w:spacing w:after="120"/>
        <w:rPr>
          <w:lang w:val="en-GB"/>
        </w:rPr>
      </w:pPr>
      <w:r w:rsidRPr="7374C138">
        <w:rPr>
          <w:b/>
          <w:lang w:val="en-GB"/>
        </w:rPr>
        <w:t>Note:</w:t>
      </w:r>
      <w:r w:rsidRPr="7374C138">
        <w:rPr>
          <w:lang w:val="en-GB"/>
        </w:rPr>
        <w:t xml:space="preserve"> In these Guidelines, the term ‘ESAt’ also includes any relevant Job Capacity Assessment (</w:t>
      </w:r>
      <w:r w:rsidRPr="002C65B9">
        <w:rPr>
          <w:rFonts w:eastAsiaTheme="minorEastAsia"/>
          <w:lang w:val="en-GB"/>
        </w:rPr>
        <w:t>JCA</w:t>
      </w:r>
      <w:r w:rsidR="002C65B9">
        <w:rPr>
          <w:rFonts w:eastAsiaTheme="minorEastAsia"/>
          <w:lang w:val="en-GB"/>
        </w:rPr>
        <w:t>)</w:t>
      </w:r>
      <w:r w:rsidRPr="7374C138">
        <w:rPr>
          <w:lang w:val="en-GB"/>
        </w:rPr>
        <w:t xml:space="preserve">. A JCA is an assessment conducted for a person who is applying for </w:t>
      </w:r>
      <w:r w:rsidR="00955CB6">
        <w:rPr>
          <w:lang w:val="en-GB"/>
        </w:rPr>
        <w:t>DSP</w:t>
      </w:r>
      <w:r w:rsidRPr="7374C138">
        <w:rPr>
          <w:lang w:val="en-GB"/>
        </w:rPr>
        <w:t>. Information about the JCA can be found in the Social Security Guide —</w:t>
      </w:r>
      <w:r w:rsidR="003C498E">
        <w:rPr>
          <w:lang w:val="en-GB"/>
        </w:rPr>
        <w:t xml:space="preserve"> see</w:t>
      </w:r>
      <w:r w:rsidRPr="7374C138">
        <w:rPr>
          <w:lang w:val="en-GB"/>
        </w:rPr>
        <w:t xml:space="preserve"> </w:t>
      </w:r>
      <w:hyperlink r:id="rId32">
        <w:r w:rsidRPr="7374C138">
          <w:rPr>
            <w:rStyle w:val="Hyperlink"/>
            <w:lang w:val="en-GB"/>
          </w:rPr>
          <w:t>1.1.J.10 Job capacity assessment (JCA) | Social Security Guide</w:t>
        </w:r>
      </w:hyperlink>
      <w:r w:rsidRPr="7374C138">
        <w:rPr>
          <w:lang w:val="en-GB"/>
        </w:rPr>
        <w:t>.</w:t>
      </w:r>
    </w:p>
    <w:p w14:paraId="2E815122" w14:textId="6DF48037" w:rsidR="00D74559" w:rsidRPr="006A74F3" w:rsidRDefault="00D74559" w:rsidP="001D0F92">
      <w:pPr>
        <w:pStyle w:val="Heading3"/>
      </w:pPr>
      <w:bookmarkStart w:id="56" w:name="_Toc182576237"/>
      <w:bookmarkStart w:id="57" w:name="_Ref202781159"/>
      <w:bookmarkStart w:id="58" w:name="_Ref202781333"/>
      <w:bookmarkStart w:id="59" w:name="_Toc202899887"/>
      <w:r>
        <w:t>2.2</w:t>
      </w:r>
      <w:r w:rsidR="00261A8B">
        <w:tab/>
      </w:r>
      <w:r>
        <w:t>Job Seeker Assessment</w:t>
      </w:r>
      <w:bookmarkEnd w:id="56"/>
      <w:r>
        <w:t xml:space="preserve"> Framework</w:t>
      </w:r>
      <w:bookmarkEnd w:id="57"/>
      <w:bookmarkEnd w:id="58"/>
      <w:bookmarkEnd w:id="59"/>
    </w:p>
    <w:p w14:paraId="321252AE" w14:textId="77777777" w:rsidR="00D74559" w:rsidRDefault="00D74559" w:rsidP="006E2EF5">
      <w:pPr>
        <w:tabs>
          <w:tab w:val="right" w:pos="1701"/>
        </w:tabs>
        <w:spacing w:after="120"/>
      </w:pPr>
      <w:r w:rsidRPr="4E022D95">
        <w:rPr>
          <w:rFonts w:ascii="Tahoma" w:eastAsia="Tahoma" w:hAnsi="Tahoma" w:cs="Tahoma"/>
        </w:rPr>
        <w:t>The Job Seeker Assessment Framework informs Participants of the employment services they are eligible for and supports them in making relevant choices. The Job Seeker Assessment Framework is intended to be ongoing and dynamic, to support Participant disclosure and engagement, and to minimise reporting duplication for Participants.</w:t>
      </w:r>
    </w:p>
    <w:p w14:paraId="03FAA213" w14:textId="77777777" w:rsidR="00D74559" w:rsidRPr="00FB7CD7" w:rsidRDefault="00D74559" w:rsidP="006E2EF5">
      <w:pPr>
        <w:tabs>
          <w:tab w:val="right" w:pos="1701"/>
        </w:tabs>
        <w:spacing w:after="120"/>
        <w:rPr>
          <w:lang w:val="en-GB"/>
        </w:rPr>
      </w:pPr>
      <w:r w:rsidRPr="7374C138">
        <w:rPr>
          <w:lang w:val="en-GB"/>
        </w:rPr>
        <w:t>A</w:t>
      </w:r>
      <w:r>
        <w:rPr>
          <w:lang w:val="en-GB"/>
        </w:rPr>
        <w:t xml:space="preserve"> person</w:t>
      </w:r>
      <w:r w:rsidRPr="7374C138">
        <w:rPr>
          <w:lang w:val="en-GB"/>
        </w:rPr>
        <w:t xml:space="preserve">’s circumstances must be assessed through the Job Seeker Snapshot, and where relevant an ESAt, to ensure they are referred to an appropriate employment service with suitable supports. </w:t>
      </w:r>
    </w:p>
    <w:p w14:paraId="4128639B" w14:textId="1B41196C" w:rsidR="00D74559" w:rsidRPr="00FB7CD7" w:rsidRDefault="43E041BA" w:rsidP="004E120D">
      <w:pPr>
        <w:pStyle w:val="BulletLevel1"/>
      </w:pPr>
      <w:r>
        <w:t xml:space="preserve">If the person registers with Services Australia, these assessments are conducted before the person is </w:t>
      </w:r>
      <w:r w:rsidR="3FA4ADF3">
        <w:t>R</w:t>
      </w:r>
      <w:r>
        <w:t xml:space="preserve">eferred to </w:t>
      </w:r>
      <w:r w:rsidR="00AC61E7">
        <w:t>Inclusive Employment Australia</w:t>
      </w:r>
      <w:r>
        <w:t>.</w:t>
      </w:r>
    </w:p>
    <w:p w14:paraId="4ED68B67" w14:textId="321A8F82" w:rsidR="00C570BD" w:rsidRPr="00B000BE" w:rsidRDefault="43E041BA" w:rsidP="004E120D">
      <w:pPr>
        <w:pStyle w:val="BulletLevel1"/>
      </w:pPr>
      <w:r w:rsidRPr="3E27A7B0">
        <w:rPr>
          <w:lang w:val="en-GB"/>
        </w:rPr>
        <w:t xml:space="preserve">If the person </w:t>
      </w:r>
      <w:r w:rsidR="7B5A82B3" w:rsidRPr="3E27A7B0">
        <w:rPr>
          <w:lang w:val="en-GB"/>
        </w:rPr>
        <w:t>D</w:t>
      </w:r>
      <w:r w:rsidRPr="3E27A7B0">
        <w:rPr>
          <w:lang w:val="en-GB"/>
        </w:rPr>
        <w:t xml:space="preserve">irectly </w:t>
      </w:r>
      <w:r w:rsidR="36F7E81F" w:rsidRPr="3E27A7B0">
        <w:rPr>
          <w:lang w:val="en-GB"/>
        </w:rPr>
        <w:t>R</w:t>
      </w:r>
      <w:r w:rsidRPr="3E27A7B0">
        <w:rPr>
          <w:lang w:val="en-GB"/>
        </w:rPr>
        <w:t>egisters with the Provider, the Provider is responsible for ensuring that required assessments are undertaken. The Provider is also responsible for updating the Job Seeker Snapshot when there is a change of circumstances.</w:t>
      </w:r>
    </w:p>
    <w:p w14:paraId="4F90D0FD" w14:textId="77777777" w:rsidR="005A32B2" w:rsidRPr="005A32B2" w:rsidRDefault="005A32B2" w:rsidP="005A32B2">
      <w:pPr>
        <w:rPr>
          <w:rFonts w:eastAsiaTheme="minorEastAsia"/>
        </w:rPr>
      </w:pPr>
      <w:r w:rsidRPr="005A32B2">
        <w:rPr>
          <w:rFonts w:eastAsiaTheme="minorEastAsia"/>
        </w:rPr>
        <w:t>An ESAt report will include:</w:t>
      </w:r>
    </w:p>
    <w:p w14:paraId="01AE5973" w14:textId="5AD61653" w:rsidR="005A32B2" w:rsidRPr="005A32B2" w:rsidRDefault="005A32B2" w:rsidP="00994202">
      <w:pPr>
        <w:pStyle w:val="BulletLevel1"/>
      </w:pPr>
      <w:r w:rsidRPr="005A32B2">
        <w:t xml:space="preserve">an employment service referral recommendation – to </w:t>
      </w:r>
      <w:r w:rsidR="00AC61E7">
        <w:t>Inclusive Employment Australia</w:t>
      </w:r>
      <w:r w:rsidRPr="005A32B2">
        <w:t xml:space="preserve"> or another employment service, and</w:t>
      </w:r>
    </w:p>
    <w:p w14:paraId="18AA3499" w14:textId="76558B68" w:rsidR="005A32B2" w:rsidRPr="005A32B2" w:rsidRDefault="005A32B2" w:rsidP="00994202">
      <w:pPr>
        <w:pStyle w:val="BulletLevel1"/>
      </w:pPr>
      <w:r w:rsidRPr="005A32B2">
        <w:t xml:space="preserve">a Provider Referral– to a Provider (of the Participant’s choice wherever possible) that delivers </w:t>
      </w:r>
      <w:r w:rsidR="00AC61E7">
        <w:t>Inclusive Employment Australia</w:t>
      </w:r>
      <w:r w:rsidRPr="005A32B2">
        <w:t xml:space="preserve"> Services in a particular location.</w:t>
      </w:r>
    </w:p>
    <w:p w14:paraId="1799EB1E" w14:textId="68B25F16" w:rsidR="00B000BE" w:rsidRDefault="00B000BE" w:rsidP="00B000BE">
      <w:pPr>
        <w:rPr>
          <w:rFonts w:eastAsiaTheme="minorEastAsia"/>
        </w:rPr>
      </w:pPr>
      <w:r>
        <w:rPr>
          <w:rFonts w:eastAsiaTheme="minorEastAsia"/>
        </w:rPr>
        <w:t>Throughout these Guidelines are references to a Participant’s ‘assessed work capacity’. Assessed work capacity is</w:t>
      </w:r>
      <w:r w:rsidR="00375CA7">
        <w:rPr>
          <w:rFonts w:eastAsiaTheme="minorEastAsia"/>
        </w:rPr>
        <w:t xml:space="preserve"> determined by the ESAt and is</w:t>
      </w:r>
      <w:r>
        <w:rPr>
          <w:rFonts w:eastAsiaTheme="minorEastAsia"/>
        </w:rPr>
        <w:t>:</w:t>
      </w:r>
    </w:p>
    <w:p w14:paraId="06DDA828" w14:textId="77777777" w:rsidR="00B000BE" w:rsidRDefault="00B000BE" w:rsidP="004E120D">
      <w:pPr>
        <w:pStyle w:val="BulletLevel1"/>
      </w:pPr>
      <w:r>
        <w:t xml:space="preserve">the higher of a Participant’s </w:t>
      </w:r>
      <w:r w:rsidRPr="00ED1A09">
        <w:rPr>
          <w:lang w:val="en-GB"/>
        </w:rPr>
        <w:t xml:space="preserve">current baseline work capacity and </w:t>
      </w:r>
      <w:r>
        <w:t>future work capacity with intervention, or</w:t>
      </w:r>
    </w:p>
    <w:p w14:paraId="1F9FCE8B" w14:textId="5B0FC8A8" w:rsidR="00B000BE" w:rsidRPr="00ED1A09" w:rsidRDefault="002358FF" w:rsidP="004E120D">
      <w:pPr>
        <w:pStyle w:val="BulletLevel1"/>
      </w:pPr>
      <w:r>
        <w:t xml:space="preserve">if relevant, </w:t>
      </w:r>
      <w:r w:rsidR="00375CA7">
        <w:t>a Participant’s</w:t>
      </w:r>
      <w:r w:rsidR="00B000BE">
        <w:t xml:space="preserve"> temporary reduced work capacity.</w:t>
      </w:r>
    </w:p>
    <w:p w14:paraId="29543E15" w14:textId="51E0533D" w:rsidR="00D74559" w:rsidRPr="005B6A5D" w:rsidRDefault="00D74559" w:rsidP="001D0F92">
      <w:pPr>
        <w:pStyle w:val="Heading3"/>
      </w:pPr>
      <w:bookmarkStart w:id="60" w:name="_Toc202899888"/>
      <w:bookmarkStart w:id="61" w:name="_Ref202953965"/>
      <w:r>
        <w:t>2.3</w:t>
      </w:r>
      <w:r w:rsidR="008159E5">
        <w:tab/>
      </w:r>
      <w:r>
        <w:t>Job Seeker Snapshot and Job Seeker Classification Instrument</w:t>
      </w:r>
      <w:bookmarkEnd w:id="60"/>
      <w:bookmarkEnd w:id="61"/>
    </w:p>
    <w:p w14:paraId="1FDE6BFF" w14:textId="28031037" w:rsidR="00D74559" w:rsidRDefault="00D74559" w:rsidP="006E2EF5">
      <w:pPr>
        <w:tabs>
          <w:tab w:val="right" w:pos="1701"/>
        </w:tabs>
        <w:spacing w:after="120"/>
        <w:rPr>
          <w:rFonts w:ascii="Tahoma" w:eastAsia="Tahoma" w:hAnsi="Tahoma" w:cs="Tahoma"/>
          <w:lang w:val="en-GB"/>
        </w:rPr>
      </w:pPr>
      <w:r w:rsidRPr="7374C138">
        <w:rPr>
          <w:rFonts w:ascii="Tahoma" w:eastAsia="Tahoma" w:hAnsi="Tahoma" w:cs="Tahoma"/>
          <w:lang w:val="en-GB"/>
        </w:rPr>
        <w:t xml:space="preserve">The Job Seeker Snapshot is a questionnaire completed by Services Australia, or the Provider. The results of the Job Seeker Snapshot will inform the Participant of </w:t>
      </w:r>
      <w:r w:rsidRPr="7374C138" w:rsidDel="00F53312">
        <w:rPr>
          <w:rFonts w:ascii="Tahoma" w:eastAsia="Tahoma" w:hAnsi="Tahoma" w:cs="Tahoma"/>
          <w:lang w:val="en-GB"/>
        </w:rPr>
        <w:t xml:space="preserve">the </w:t>
      </w:r>
      <w:r w:rsidRPr="7374C138">
        <w:rPr>
          <w:rFonts w:ascii="Tahoma" w:eastAsia="Tahoma" w:hAnsi="Tahoma" w:cs="Tahoma"/>
          <w:lang w:val="en-GB"/>
        </w:rPr>
        <w:t xml:space="preserve">employment services </w:t>
      </w:r>
      <w:r w:rsidRPr="7374C138" w:rsidDel="00F53312">
        <w:rPr>
          <w:rFonts w:ascii="Tahoma" w:eastAsia="Tahoma" w:hAnsi="Tahoma" w:cs="Tahoma"/>
          <w:lang w:val="en-GB"/>
        </w:rPr>
        <w:t xml:space="preserve">that they are eligible for </w:t>
      </w:r>
      <w:r w:rsidRPr="7374C138">
        <w:rPr>
          <w:rFonts w:ascii="Tahoma" w:eastAsia="Tahoma" w:hAnsi="Tahoma" w:cs="Tahoma"/>
          <w:lang w:val="en-GB"/>
        </w:rPr>
        <w:t xml:space="preserve">and supports them in making relevant choices. It includes questions that determine the Participant’s Job Seeker Classification Instrument (JSCI) score and helps identify if the Participant requires an ESAt. </w:t>
      </w:r>
    </w:p>
    <w:p w14:paraId="32E1CA3D" w14:textId="395D1E6E" w:rsidR="00D74559" w:rsidRPr="00FB7CD7" w:rsidRDefault="43E041BA" w:rsidP="006E2EF5">
      <w:pPr>
        <w:tabs>
          <w:tab w:val="right" w:pos="1701"/>
        </w:tabs>
        <w:spacing w:after="120"/>
        <w:rPr>
          <w:rFonts w:ascii="Tahoma" w:eastAsia="Tahoma" w:hAnsi="Tahoma" w:cs="Tahoma"/>
          <w:highlight w:val="green"/>
          <w:lang w:val="en-GB"/>
        </w:rPr>
      </w:pPr>
      <w:r w:rsidRPr="3E27A7B0">
        <w:rPr>
          <w:lang w:val="en-GB"/>
        </w:rPr>
        <w:t xml:space="preserve">If the Job Seeker Snapshot identifies that further assessment is needed, the Provider should consider if this is required. If further assessment is needed, the person can be referred to Services Australia for an ESAt. The ESAt can result in the person being </w:t>
      </w:r>
      <w:r w:rsidR="01B503BB" w:rsidRPr="3E27A7B0">
        <w:rPr>
          <w:lang w:val="en-GB"/>
        </w:rPr>
        <w:t>R</w:t>
      </w:r>
      <w:r w:rsidRPr="3E27A7B0">
        <w:rPr>
          <w:lang w:val="en-GB"/>
        </w:rPr>
        <w:t xml:space="preserve">eferred to </w:t>
      </w:r>
      <w:r w:rsidR="00AC61E7">
        <w:rPr>
          <w:lang w:val="en-GB"/>
        </w:rPr>
        <w:t>Inclusive Employment Australia</w:t>
      </w:r>
      <w:r w:rsidRPr="3E27A7B0">
        <w:rPr>
          <w:lang w:val="en-GB"/>
        </w:rPr>
        <w:t xml:space="preserve">. </w:t>
      </w:r>
      <w:r w:rsidRPr="3E27A7B0">
        <w:rPr>
          <w:rFonts w:ascii="Tahoma" w:eastAsia="Tahoma" w:hAnsi="Tahoma" w:cs="Tahoma"/>
          <w:lang w:val="en-GB"/>
        </w:rPr>
        <w:t>For further information, see the</w:t>
      </w:r>
      <w:r w:rsidR="002C65B9">
        <w:rPr>
          <w:rFonts w:ascii="Tahoma" w:eastAsia="Tahoma" w:hAnsi="Tahoma" w:cs="Tahoma"/>
          <w:lang w:val="en-GB"/>
        </w:rPr>
        <w:t xml:space="preserve"> </w:t>
      </w:r>
      <w:r w:rsidR="002C65B9" w:rsidRPr="002C65B9">
        <w:rPr>
          <w:rStyle w:val="Hyperlink"/>
        </w:rPr>
        <w:t>Job Seeker Snapshot Overview and Factors Fact Sheet</w:t>
      </w:r>
      <w:r w:rsidR="002C65B9">
        <w:rPr>
          <w:rStyle w:val="Hyperlink"/>
        </w:rPr>
        <w:t xml:space="preserve"> [LINK]</w:t>
      </w:r>
      <w:r w:rsidR="002C65B9" w:rsidRPr="002C65B9">
        <w:t>.</w:t>
      </w:r>
    </w:p>
    <w:p w14:paraId="1B184D45" w14:textId="46007E01" w:rsidR="00D74559" w:rsidRPr="007351F0" w:rsidRDefault="003A4F5B" w:rsidP="006E2EF5">
      <w:pPr>
        <w:tabs>
          <w:tab w:val="right" w:pos="1701"/>
        </w:tabs>
        <w:spacing w:after="120"/>
        <w:rPr>
          <w:b/>
          <w:bCs/>
          <w:lang w:val="en-GB"/>
        </w:rPr>
      </w:pPr>
      <w:r w:rsidRPr="003A4F5B">
        <w:rPr>
          <w:rFonts w:ascii="Tahoma" w:eastAsia="Tahoma" w:hAnsi="Tahoma" w:cs="Tahoma"/>
          <w:b/>
          <w:bCs/>
          <w:lang w:val="en-GB"/>
        </w:rPr>
        <w:t xml:space="preserve">Note: </w:t>
      </w:r>
      <w:r w:rsidR="43E041BA" w:rsidRPr="3E27A7B0">
        <w:rPr>
          <w:rFonts w:ascii="Tahoma" w:eastAsia="Tahoma" w:hAnsi="Tahoma" w:cs="Tahoma"/>
          <w:lang w:val="en-GB"/>
        </w:rPr>
        <w:t xml:space="preserve">The JSCI is a statistical tool that determines a Participant’s risk of becoming long-term unemployed. The JSCI score is not used in </w:t>
      </w:r>
      <w:r w:rsidR="00AC61E7">
        <w:rPr>
          <w:rFonts w:ascii="Tahoma" w:eastAsia="Tahoma" w:hAnsi="Tahoma" w:cs="Tahoma"/>
          <w:lang w:val="en-GB"/>
        </w:rPr>
        <w:t>Inclusive Employment Australia</w:t>
      </w:r>
      <w:r w:rsidR="43E041BA" w:rsidRPr="3E27A7B0">
        <w:rPr>
          <w:rFonts w:ascii="Tahoma" w:eastAsia="Tahoma" w:hAnsi="Tahoma" w:cs="Tahoma"/>
          <w:lang w:val="en-GB"/>
        </w:rPr>
        <w:t xml:space="preserve">, however information from the Job Seeker Snapshot will help determine the </w:t>
      </w:r>
      <w:r w:rsidR="378552B7" w:rsidRPr="3E27A7B0">
        <w:rPr>
          <w:rFonts w:ascii="Tahoma" w:eastAsia="Tahoma" w:hAnsi="Tahoma" w:cs="Tahoma"/>
          <w:lang w:val="en-GB"/>
        </w:rPr>
        <w:t>F</w:t>
      </w:r>
      <w:r w:rsidR="43E041BA" w:rsidRPr="3E27A7B0">
        <w:rPr>
          <w:rFonts w:ascii="Tahoma" w:eastAsia="Tahoma" w:hAnsi="Tahoma" w:cs="Tahoma"/>
          <w:lang w:val="en-GB"/>
        </w:rPr>
        <w:t>unding</w:t>
      </w:r>
      <w:r w:rsidR="00AC1900">
        <w:rPr>
          <w:rFonts w:ascii="Tahoma" w:eastAsia="Tahoma" w:hAnsi="Tahoma" w:cs="Tahoma"/>
          <w:lang w:val="en-GB"/>
        </w:rPr>
        <w:t xml:space="preserve"> </w:t>
      </w:r>
      <w:r w:rsidR="6837BC4B" w:rsidRPr="3E27A7B0">
        <w:rPr>
          <w:rFonts w:ascii="Tahoma" w:eastAsia="Tahoma" w:hAnsi="Tahoma" w:cs="Tahoma"/>
          <w:lang w:val="en-GB"/>
        </w:rPr>
        <w:t>L</w:t>
      </w:r>
      <w:r w:rsidR="43E041BA" w:rsidRPr="3E27A7B0">
        <w:rPr>
          <w:rFonts w:ascii="Tahoma" w:eastAsia="Tahoma" w:hAnsi="Tahoma" w:cs="Tahoma"/>
          <w:lang w:val="en-GB"/>
        </w:rPr>
        <w:t xml:space="preserve">evel that is assigned for an </w:t>
      </w:r>
      <w:r w:rsidR="00AC61E7">
        <w:rPr>
          <w:rFonts w:ascii="Tahoma" w:eastAsia="Tahoma" w:hAnsi="Tahoma" w:cs="Tahoma"/>
          <w:lang w:val="en-GB"/>
        </w:rPr>
        <w:t>Inclusive Employment Australia</w:t>
      </w:r>
      <w:r w:rsidR="43E041BA" w:rsidRPr="3E27A7B0">
        <w:rPr>
          <w:rFonts w:ascii="Tahoma" w:eastAsia="Tahoma" w:hAnsi="Tahoma" w:cs="Tahoma"/>
          <w:lang w:val="en-GB"/>
        </w:rPr>
        <w:t xml:space="preserve"> Participant, </w:t>
      </w:r>
      <w:r w:rsidR="43E041BA" w:rsidRPr="3E27A7B0">
        <w:rPr>
          <w:lang w:val="en-GB"/>
        </w:rPr>
        <w:t xml:space="preserve">see </w:t>
      </w:r>
      <w:r w:rsidR="00FF1A1B">
        <w:rPr>
          <w:lang w:val="en-GB"/>
        </w:rPr>
        <w:fldChar w:fldCharType="begin"/>
      </w:r>
      <w:r w:rsidR="00FF1A1B">
        <w:rPr>
          <w:lang w:val="en-GB"/>
        </w:rPr>
        <w:instrText xml:space="preserve"> REF _Ref202782945 \h </w:instrText>
      </w:r>
      <w:r w:rsidR="00FF1A1B">
        <w:rPr>
          <w:lang w:val="en-GB"/>
        </w:rPr>
      </w:r>
      <w:r w:rsidR="00FF1A1B">
        <w:rPr>
          <w:lang w:val="en-GB"/>
        </w:rPr>
        <w:fldChar w:fldCharType="separate"/>
      </w:r>
      <w:r w:rsidR="000D75AE">
        <w:t>Chapter 11:</w:t>
      </w:r>
      <w:r w:rsidR="00CA26A3">
        <w:t xml:space="preserve"> </w:t>
      </w:r>
      <w:r w:rsidR="000D75AE">
        <w:t>Payments to Providers</w:t>
      </w:r>
      <w:r w:rsidR="00FF1A1B">
        <w:rPr>
          <w:lang w:val="en-GB"/>
        </w:rPr>
        <w:fldChar w:fldCharType="end"/>
      </w:r>
      <w:r w:rsidR="00FF1A1B">
        <w:rPr>
          <w:lang w:val="en-GB"/>
        </w:rPr>
        <w:t xml:space="preserve"> </w:t>
      </w:r>
      <w:r w:rsidR="43E041BA" w:rsidRPr="3E27A7B0">
        <w:rPr>
          <w:lang w:val="en-GB"/>
        </w:rPr>
        <w:t xml:space="preserve">for more information. Performance and </w:t>
      </w:r>
      <w:r w:rsidR="4A56B4A9" w:rsidRPr="3E27A7B0">
        <w:rPr>
          <w:lang w:val="en-GB"/>
        </w:rPr>
        <w:t>P</w:t>
      </w:r>
      <w:r w:rsidR="43E041BA" w:rsidRPr="3E27A7B0">
        <w:rPr>
          <w:lang w:val="en-GB"/>
        </w:rPr>
        <w:t xml:space="preserve">ayments are informed by broader Participant characteristics, including information in the ESAt. </w:t>
      </w:r>
    </w:p>
    <w:p w14:paraId="0E591202" w14:textId="0A095875" w:rsidR="00D74559" w:rsidRPr="007351F0" w:rsidRDefault="00D74559" w:rsidP="001D0F92">
      <w:pPr>
        <w:pStyle w:val="Heading4"/>
      </w:pPr>
      <w:bookmarkStart w:id="62" w:name="_Ref202784588"/>
      <w:bookmarkStart w:id="63" w:name="_Toc202899889"/>
      <w:r w:rsidRPr="520658A2">
        <w:t>2.3.1</w:t>
      </w:r>
      <w:r w:rsidR="008159E5">
        <w:tab/>
      </w:r>
      <w:r w:rsidRPr="520658A2">
        <w:t>Conducting the Job Seeker Snapshot</w:t>
      </w:r>
      <w:bookmarkEnd w:id="62"/>
      <w:bookmarkEnd w:id="63"/>
    </w:p>
    <w:p w14:paraId="0A148436" w14:textId="77777777" w:rsidR="00D74559" w:rsidRPr="00FB7CD7" w:rsidRDefault="00D74559" w:rsidP="006E2EF5">
      <w:pPr>
        <w:tabs>
          <w:tab w:val="right" w:pos="1701"/>
        </w:tabs>
        <w:spacing w:after="120"/>
        <w:rPr>
          <w:rFonts w:ascii="Tahoma" w:eastAsia="Tahoma" w:hAnsi="Tahoma" w:cs="Tahoma"/>
        </w:rPr>
      </w:pPr>
      <w:r w:rsidRPr="1506B6DC">
        <w:rPr>
          <w:rFonts w:ascii="Tahoma" w:eastAsia="Tahoma" w:hAnsi="Tahoma" w:cs="Tahoma"/>
        </w:rPr>
        <w:t xml:space="preserve">If a Participant does not have a completed Job Seeker Snapshot or has an inactive Job Seeker Snapshot upon Referral, the Provider must </w:t>
      </w:r>
      <w:r>
        <w:t>conduct the Job Seeker Snapshot with the Participant.</w:t>
      </w:r>
    </w:p>
    <w:p w14:paraId="5020C8E8" w14:textId="50E6D06E" w:rsidR="00D74559" w:rsidRDefault="00D74559" w:rsidP="006E2EF5">
      <w:pPr>
        <w:rPr>
          <w:lang w:val="en-GB"/>
        </w:rPr>
      </w:pPr>
      <w:r w:rsidRPr="7374C138">
        <w:rPr>
          <w:lang w:val="en-GB"/>
        </w:rPr>
        <w:t>A Provider must also review the Participant’s Job Seeker Snapshot during each Capability Interview — refer to</w:t>
      </w:r>
      <w:r w:rsidR="004C547B">
        <w:rPr>
          <w:lang w:val="en-GB"/>
        </w:rPr>
        <w:t xml:space="preserve"> </w:t>
      </w:r>
      <w:r w:rsidR="004C547B">
        <w:rPr>
          <w:lang w:val="en-GB"/>
        </w:rPr>
        <w:fldChar w:fldCharType="begin"/>
      </w:r>
      <w:r w:rsidR="004C547B">
        <w:rPr>
          <w:lang w:val="en-GB"/>
        </w:rPr>
        <w:instrText xml:space="preserve"> REF _Ref202782980 \h </w:instrText>
      </w:r>
      <w:r w:rsidR="004C547B">
        <w:rPr>
          <w:lang w:val="en-GB"/>
        </w:rPr>
      </w:r>
      <w:r w:rsidR="004C547B">
        <w:rPr>
          <w:lang w:val="en-GB"/>
        </w:rPr>
        <w:fldChar w:fldCharType="separate"/>
      </w:r>
      <w:r w:rsidR="000D75AE">
        <w:t>12.4.7</w:t>
      </w:r>
      <w:r w:rsidR="0097189E">
        <w:t xml:space="preserve"> </w:t>
      </w:r>
      <w:r w:rsidR="000D75AE">
        <w:t>Capability Interviews</w:t>
      </w:r>
      <w:r w:rsidR="004C547B">
        <w:rPr>
          <w:lang w:val="en-GB"/>
        </w:rPr>
        <w:fldChar w:fldCharType="end"/>
      </w:r>
      <w:r w:rsidRPr="7374C138">
        <w:rPr>
          <w:lang w:val="en-GB"/>
        </w:rPr>
        <w:t>.</w:t>
      </w:r>
    </w:p>
    <w:p w14:paraId="14C85C74" w14:textId="4F256FF1" w:rsidR="00D74559" w:rsidRDefault="029FFE4E" w:rsidP="006E2EF5">
      <w:pPr>
        <w:pStyle w:val="DeedReferences"/>
        <w:rPr>
          <w:lang w:val="en-GB"/>
        </w:rPr>
      </w:pPr>
      <w:r w:rsidRPr="3FBFA4CD">
        <w:rPr>
          <w:lang w:val="en-GB"/>
        </w:rPr>
        <w:t>(</w:t>
      </w:r>
      <w:r w:rsidR="00A73420">
        <w:rPr>
          <w:lang w:val="en-GB"/>
        </w:rPr>
        <w:t xml:space="preserve">Deed Reference(s): Clause </w:t>
      </w:r>
      <w:r w:rsidRPr="3FBFA4CD">
        <w:rPr>
          <w:lang w:val="en-GB"/>
        </w:rPr>
        <w:t>11</w:t>
      </w:r>
      <w:r w:rsidR="00895B15">
        <w:rPr>
          <w:lang w:val="en-GB"/>
        </w:rPr>
        <w:t>3</w:t>
      </w:r>
      <w:r w:rsidRPr="3FBFA4CD">
        <w:rPr>
          <w:lang w:val="en-GB"/>
        </w:rPr>
        <w:t>.1(i), 11</w:t>
      </w:r>
      <w:r w:rsidR="00EE100F">
        <w:rPr>
          <w:lang w:val="en-GB"/>
        </w:rPr>
        <w:t>3</w:t>
      </w:r>
      <w:r w:rsidRPr="3FBFA4CD">
        <w:rPr>
          <w:lang w:val="en-GB"/>
        </w:rPr>
        <w:t>.5(</w:t>
      </w:r>
      <w:r w:rsidR="00EE100F">
        <w:rPr>
          <w:lang w:val="en-GB"/>
        </w:rPr>
        <w:t>b</w:t>
      </w:r>
      <w:r w:rsidRPr="3FBFA4CD">
        <w:rPr>
          <w:lang w:val="en-GB"/>
        </w:rPr>
        <w:t>), 1</w:t>
      </w:r>
      <w:r w:rsidR="000F4536">
        <w:rPr>
          <w:lang w:val="en-GB"/>
        </w:rPr>
        <w:t>39</w:t>
      </w:r>
      <w:r w:rsidR="43AE8438" w:rsidRPr="3FBFA4CD">
        <w:rPr>
          <w:lang w:val="en-GB"/>
        </w:rPr>
        <w:t>.9(b)</w:t>
      </w:r>
      <w:r w:rsidRPr="3FBFA4CD">
        <w:rPr>
          <w:lang w:val="en-GB"/>
        </w:rPr>
        <w:t>)</w:t>
      </w:r>
    </w:p>
    <w:p w14:paraId="658F7E64" w14:textId="679F2AB8" w:rsidR="00D74559" w:rsidRDefault="00D74559" w:rsidP="006E2EF5">
      <w:pPr>
        <w:rPr>
          <w:rFonts w:ascii="Tahoma" w:eastAsia="Tahoma" w:hAnsi="Tahoma" w:cs="Tahoma"/>
        </w:rPr>
      </w:pPr>
      <w:r>
        <w:t xml:space="preserve">The Job Seeker </w:t>
      </w:r>
      <w:bookmarkStart w:id="64" w:name="_Hlk191907372"/>
      <w:r>
        <w:t>Snapshot</w:t>
      </w:r>
      <w:bookmarkEnd w:id="64"/>
      <w:r>
        <w:t xml:space="preserve"> is conducted in the Department’s IT Systems. Providers can use an interim </w:t>
      </w:r>
      <w:r w:rsidRPr="002C65B9">
        <w:rPr>
          <w:rStyle w:val="Hyperlink"/>
        </w:rPr>
        <w:t>Job Seeker Snapshot Off-line Form</w:t>
      </w:r>
      <w:r w:rsidR="002C65B9" w:rsidRPr="002C65B9">
        <w:rPr>
          <w:rStyle w:val="Hyperlink"/>
        </w:rPr>
        <w:t xml:space="preserve"> [LINK]</w:t>
      </w:r>
      <w:r>
        <w:t>, available on the Provider Portal, to record responses if the Department</w:t>
      </w:r>
      <w:r w:rsidR="7CBFCF80">
        <w:t>’</w:t>
      </w:r>
      <w:r>
        <w:t xml:space="preserve">s IT </w:t>
      </w:r>
      <w:r w:rsidR="00756F3F">
        <w:t>S</w:t>
      </w:r>
      <w:r>
        <w:t>ystem</w:t>
      </w:r>
      <w:r w:rsidR="00756F3F">
        <w:t>s</w:t>
      </w:r>
      <w:r>
        <w:t xml:space="preserve"> </w:t>
      </w:r>
      <w:r w:rsidR="00756F3F">
        <w:t>are</w:t>
      </w:r>
      <w:r>
        <w:t xml:space="preserve"> temporarily unavailable. Any information obtained this way must be recorded in the Department</w:t>
      </w:r>
      <w:r w:rsidR="63EE1D31">
        <w:t>’</w:t>
      </w:r>
      <w:r>
        <w:t xml:space="preserve">s IT </w:t>
      </w:r>
      <w:r w:rsidR="00756F3F">
        <w:t>S</w:t>
      </w:r>
      <w:r>
        <w:t>ystem</w:t>
      </w:r>
      <w:r w:rsidR="00756F3F">
        <w:t>s</w:t>
      </w:r>
      <w:r>
        <w:t xml:space="preserve"> as soon as possible.</w:t>
      </w:r>
    </w:p>
    <w:p w14:paraId="4CF0C1A1" w14:textId="6E44017F" w:rsidR="00D74559" w:rsidRDefault="43E041BA" w:rsidP="006E2EF5">
      <w:pPr>
        <w:tabs>
          <w:tab w:val="right" w:pos="1701"/>
        </w:tabs>
        <w:spacing w:after="120"/>
        <w:rPr>
          <w:rFonts w:ascii="Tahoma" w:eastAsia="Tahoma" w:hAnsi="Tahoma" w:cs="Tahoma"/>
        </w:rPr>
      </w:pPr>
      <w:r w:rsidRPr="3E27A7B0">
        <w:rPr>
          <w:rFonts w:ascii="Tahoma" w:eastAsia="Tahoma" w:hAnsi="Tahoma" w:cs="Tahoma"/>
        </w:rPr>
        <w:t xml:space="preserve">If a Provider needs to conduct a Job Seeker Snapshot, the Provider </w:t>
      </w:r>
      <w:r w:rsidR="312930C5" w:rsidRPr="3E27A7B0">
        <w:rPr>
          <w:rFonts w:ascii="Tahoma" w:eastAsia="Tahoma" w:hAnsi="Tahoma" w:cs="Tahoma"/>
        </w:rPr>
        <w:t xml:space="preserve">must </w:t>
      </w:r>
      <w:r w:rsidRPr="3E27A7B0">
        <w:rPr>
          <w:rFonts w:ascii="Tahoma" w:eastAsia="Tahoma" w:hAnsi="Tahoma" w:cs="Tahoma"/>
        </w:rPr>
        <w:t>ensure:</w:t>
      </w:r>
    </w:p>
    <w:p w14:paraId="4B412EA1" w14:textId="77777777" w:rsidR="00D74559" w:rsidRDefault="00D74559" w:rsidP="004E120D">
      <w:pPr>
        <w:pStyle w:val="BulletLevel1"/>
        <w:rPr>
          <w:lang w:val="en-GB"/>
        </w:rPr>
      </w:pPr>
      <w:r w:rsidRPr="534D8722">
        <w:rPr>
          <w:lang w:val="en-GB"/>
        </w:rPr>
        <w:t xml:space="preserve">the Job Seeker Snapshot is conducted privately and in a professional, disability inclusive, culturally appropriate manner </w:t>
      </w:r>
    </w:p>
    <w:p w14:paraId="1EA6BAF8" w14:textId="6DF09953" w:rsidR="00D74559" w:rsidRDefault="43E041BA" w:rsidP="004E120D">
      <w:pPr>
        <w:pStyle w:val="BulletLevel1"/>
      </w:pPr>
      <w:r>
        <w:t xml:space="preserve">the Participant has given their consent for the Provider to collect and use the </w:t>
      </w:r>
      <w:r w:rsidR="1E84A37D">
        <w:t>S</w:t>
      </w:r>
      <w:r>
        <w:t xml:space="preserve">ensitive </w:t>
      </w:r>
      <w:r w:rsidR="1E84A37D">
        <w:t>I</w:t>
      </w:r>
      <w:r>
        <w:t>nformation collected through the Job Seeker Snapshot (</w:t>
      </w:r>
      <w:r w:rsidRPr="0015798F">
        <w:t xml:space="preserve">refer to </w:t>
      </w:r>
      <w:r w:rsidR="00115CE8">
        <w:t xml:space="preserve">relevant Sections in </w:t>
      </w:r>
      <w:r w:rsidRPr="00CB6C7C">
        <w:rPr>
          <w:rStyle w:val="Hyperlink"/>
        </w:rPr>
        <w:t>Part A Guidelines: Chapter </w:t>
      </w:r>
      <w:r w:rsidR="0086302A" w:rsidRPr="00CB6C7C">
        <w:rPr>
          <w:rStyle w:val="Hyperlink"/>
        </w:rPr>
        <w:t>6</w:t>
      </w:r>
      <w:r w:rsidRPr="00CB6C7C">
        <w:rPr>
          <w:rStyle w:val="Hyperlink"/>
        </w:rPr>
        <w:t>: Privacy</w:t>
      </w:r>
      <w:r w:rsidR="00CB6C7C" w:rsidRPr="00CB6C7C">
        <w:rPr>
          <w:rStyle w:val="Hyperlink"/>
        </w:rPr>
        <w:t xml:space="preserve"> [LINK]</w:t>
      </w:r>
      <w:r>
        <w:t>)</w:t>
      </w:r>
    </w:p>
    <w:p w14:paraId="7D5F85D2" w14:textId="7719D6AE" w:rsidR="00D74559" w:rsidRDefault="00D74559" w:rsidP="004E120D">
      <w:pPr>
        <w:pStyle w:val="BulletLevel1"/>
        <w:rPr>
          <w:lang w:val="en-GB"/>
        </w:rPr>
      </w:pPr>
      <w:r w:rsidRPr="7374C138">
        <w:rPr>
          <w:lang w:val="en-GB"/>
        </w:rPr>
        <w:t>an interpreter (including Auslan) is provided when requested by the Participant</w:t>
      </w:r>
    </w:p>
    <w:p w14:paraId="549DBF4D" w14:textId="77777777" w:rsidR="00D74559" w:rsidRDefault="00D74559" w:rsidP="004E120D">
      <w:pPr>
        <w:pStyle w:val="BulletLevel1"/>
      </w:pPr>
      <w:r>
        <w:t>the Participant understands they may have a support person of their choice with them</w:t>
      </w:r>
    </w:p>
    <w:p w14:paraId="42C0CA1C" w14:textId="5B65E751" w:rsidR="00D74559" w:rsidRDefault="43E041BA" w:rsidP="004E120D">
      <w:pPr>
        <w:pStyle w:val="BulletLevel1"/>
      </w:pPr>
      <w:r>
        <w:t xml:space="preserve">the Participant is informed their responses to the questions will not affect their payments in any way and that the questions are designed to ensure they receive the </w:t>
      </w:r>
      <w:r w:rsidR="5B7E9564">
        <w:t>S</w:t>
      </w:r>
      <w:r>
        <w:t>ervices and support best suited to their needs</w:t>
      </w:r>
    </w:p>
    <w:p w14:paraId="7916658A" w14:textId="7EEA790C" w:rsidR="00D74559" w:rsidRDefault="43E041BA" w:rsidP="004E120D">
      <w:pPr>
        <w:pStyle w:val="BulletLevel1"/>
        <w:rPr>
          <w:rFonts w:cs="Tahoma"/>
        </w:rPr>
      </w:pPr>
      <w:r>
        <w:t xml:space="preserve">the Participant is encouraged to provide open and honest responses to all questions so that Providers can deliver tailored </w:t>
      </w:r>
      <w:r w:rsidR="5B7E9564">
        <w:t>S</w:t>
      </w:r>
      <w:r>
        <w:t>ervices to best meet the Participants needs, and</w:t>
      </w:r>
    </w:p>
    <w:p w14:paraId="6B426960" w14:textId="77E8C3E5" w:rsidR="00D74559" w:rsidRDefault="00D74559" w:rsidP="004E120D">
      <w:pPr>
        <w:pStyle w:val="BulletLevel1"/>
      </w:pPr>
      <w:r>
        <w:t>the Participant understands some of the questions in the Job Seeker Snapshot are voluntary questions and the Provider will inform the Participant if a question is voluntary</w:t>
      </w:r>
      <w:r w:rsidR="009C58C7">
        <w:t xml:space="preserve"> </w:t>
      </w:r>
      <w:r>
        <w:t>before the question is asked.</w:t>
      </w:r>
    </w:p>
    <w:p w14:paraId="6DD166A8" w14:textId="77777777" w:rsidR="00D74559" w:rsidRDefault="00D74559" w:rsidP="0079424A">
      <w:pPr>
        <w:pStyle w:val="DocumentaryEvidenceRequirement"/>
        <w:rPr>
          <w:lang w:val="en-GB"/>
        </w:rPr>
      </w:pPr>
      <w:r w:rsidRPr="7374C138">
        <w:rPr>
          <w:lang w:val="en-GB"/>
        </w:rPr>
        <w:t>Where a Participant provides documentation to support their answers in the Job Seeker Snapshot, it is good practice for the Provider to keep a copy of this document, where appropriate.</w:t>
      </w:r>
    </w:p>
    <w:p w14:paraId="155C32B2" w14:textId="13AC6D28" w:rsidR="00D74559" w:rsidRDefault="00D74559" w:rsidP="006E2EF5">
      <w:pPr>
        <w:tabs>
          <w:tab w:val="right" w:pos="1701"/>
        </w:tabs>
        <w:spacing w:after="120"/>
        <w:rPr>
          <w:rFonts w:ascii="Tahoma" w:eastAsia="Tahoma" w:hAnsi="Tahoma" w:cs="Tahoma"/>
          <w:lang w:val="en-GB"/>
        </w:rPr>
      </w:pPr>
      <w:r w:rsidRPr="7374C138">
        <w:rPr>
          <w:rFonts w:ascii="Tahoma" w:eastAsia="Tahoma" w:hAnsi="Tahoma" w:cs="Tahoma"/>
          <w:lang w:val="en-GB"/>
        </w:rPr>
        <w:t xml:space="preserve">If a Participant discloses a need for crisis assistance or other support, the Provider should refer them to appropriate services. Please refer to the </w:t>
      </w:r>
      <w:r w:rsidR="00EE39F3" w:rsidRPr="002C65B9">
        <w:rPr>
          <w:rStyle w:val="Hyperlink"/>
        </w:rPr>
        <w:t>Assisting Participants in Crisis Fact Sheet [LINK]</w:t>
      </w:r>
      <w:r w:rsidR="00EE39F3">
        <w:rPr>
          <w:rFonts w:ascii="Tahoma" w:eastAsia="Tahoma" w:hAnsi="Tahoma" w:cs="Tahoma"/>
          <w:lang w:val="en-GB"/>
        </w:rPr>
        <w:t xml:space="preserve"> o</w:t>
      </w:r>
      <w:r w:rsidRPr="7374C138">
        <w:rPr>
          <w:rFonts w:ascii="Tahoma" w:eastAsia="Tahoma" w:hAnsi="Tahoma" w:cs="Tahoma"/>
          <w:lang w:val="en-GB"/>
        </w:rPr>
        <w:t>n the Provider Portal for further details.</w:t>
      </w:r>
    </w:p>
    <w:p w14:paraId="0D118D4A" w14:textId="7EADC2BB" w:rsidR="00D74559" w:rsidRDefault="00D74559" w:rsidP="006E2EF5">
      <w:pPr>
        <w:tabs>
          <w:tab w:val="right" w:pos="1701"/>
        </w:tabs>
        <w:spacing w:after="120"/>
        <w:rPr>
          <w:rFonts w:ascii="Tahoma" w:eastAsia="Tahoma" w:hAnsi="Tahoma" w:cs="Tahoma"/>
          <w:highlight w:val="green"/>
          <w:lang w:val="en-GB"/>
        </w:rPr>
      </w:pPr>
      <w:r w:rsidRPr="7374C138">
        <w:rPr>
          <w:rFonts w:ascii="Tahoma" w:eastAsia="Tahoma" w:hAnsi="Tahoma" w:cs="Tahoma"/>
          <w:lang w:val="en-GB"/>
        </w:rPr>
        <w:t>Services Australia may also assist with Social Work referrals, child support payments and crisis payments.</w:t>
      </w:r>
    </w:p>
    <w:p w14:paraId="75661351" w14:textId="7A31D594" w:rsidR="00D74559" w:rsidRDefault="00D74559" w:rsidP="006E2EF5">
      <w:pPr>
        <w:tabs>
          <w:tab w:val="right" w:pos="1701"/>
        </w:tabs>
        <w:spacing w:after="120"/>
        <w:rPr>
          <w:rFonts w:ascii="Tahoma" w:eastAsia="Tahoma" w:hAnsi="Tahoma" w:cs="Tahoma"/>
          <w:lang w:val="en-GB"/>
        </w:rPr>
      </w:pPr>
      <w:r w:rsidRPr="7374C138">
        <w:rPr>
          <w:rFonts w:ascii="Tahoma" w:eastAsia="Tahoma" w:hAnsi="Tahoma" w:cs="Tahoma"/>
          <w:lang w:val="en-GB"/>
        </w:rPr>
        <w:t xml:space="preserve">The Provider may, at any time, record changes in the Participant’s personal circumstances (for example a loss of licence) or include </w:t>
      </w:r>
      <w:bookmarkStart w:id="65" w:name="_Int_PiCdG10z"/>
      <w:r w:rsidRPr="7374C138">
        <w:rPr>
          <w:rFonts w:ascii="Tahoma" w:eastAsia="Tahoma" w:hAnsi="Tahoma" w:cs="Tahoma"/>
          <w:lang w:val="en-GB"/>
        </w:rPr>
        <w:t>new information</w:t>
      </w:r>
      <w:bookmarkEnd w:id="65"/>
      <w:r w:rsidRPr="7374C138">
        <w:rPr>
          <w:rFonts w:ascii="Tahoma" w:eastAsia="Tahoma" w:hAnsi="Tahoma" w:cs="Tahoma"/>
          <w:lang w:val="en-GB"/>
        </w:rPr>
        <w:t xml:space="preserve"> (for example education attainment) in a Participant’s record by updating the Job Seeker Snapshot. </w:t>
      </w:r>
      <w:r w:rsidRPr="7374C138">
        <w:rPr>
          <w:lang w:val="en-GB"/>
        </w:rPr>
        <w:t xml:space="preserve">Providers must update the Job Seeker </w:t>
      </w:r>
      <w:r>
        <w:rPr>
          <w:lang w:val="en-GB"/>
        </w:rPr>
        <w:t>S</w:t>
      </w:r>
      <w:r w:rsidRPr="7374C138">
        <w:rPr>
          <w:lang w:val="en-GB"/>
        </w:rPr>
        <w:t>napshot with the change of circumstances within 5 Business Days of the Provider becoming aware of the change in circumstances</w:t>
      </w:r>
      <w:r>
        <w:rPr>
          <w:lang w:val="en-GB"/>
        </w:rPr>
        <w:t xml:space="preserve">. Timely updating is important as the change may result in </w:t>
      </w:r>
      <w:r w:rsidRPr="7374C138">
        <w:rPr>
          <w:lang w:val="en-GB"/>
        </w:rPr>
        <w:t>Change of Circumstance ESAt</w:t>
      </w:r>
      <w:r>
        <w:rPr>
          <w:lang w:val="en-GB"/>
        </w:rPr>
        <w:t xml:space="preserve"> and/or have implications for the Participant’s participation requirements as outlined in</w:t>
      </w:r>
      <w:r w:rsidR="004C547B">
        <w:rPr>
          <w:lang w:val="en-GB"/>
        </w:rPr>
        <w:t xml:space="preserve"> </w:t>
      </w:r>
      <w:r w:rsidR="004C547B">
        <w:rPr>
          <w:highlight w:val="yellow"/>
          <w:lang w:val="en-GB"/>
        </w:rPr>
        <w:fldChar w:fldCharType="begin"/>
      </w:r>
      <w:r w:rsidR="004C547B">
        <w:rPr>
          <w:lang w:val="en-GB"/>
        </w:rPr>
        <w:instrText xml:space="preserve"> REF _Ref202783027 \h </w:instrText>
      </w:r>
      <w:r w:rsidR="004C547B">
        <w:rPr>
          <w:highlight w:val="yellow"/>
          <w:lang w:val="en-GB"/>
        </w:rPr>
      </w:r>
      <w:r w:rsidR="004C547B">
        <w:rPr>
          <w:highlight w:val="yellow"/>
          <w:lang w:val="en-GB"/>
        </w:rPr>
        <w:fldChar w:fldCharType="separate"/>
      </w:r>
      <w:r w:rsidR="000D75AE" w:rsidRPr="00BA23D8">
        <w:t>Chapter 5</w:t>
      </w:r>
      <w:r w:rsidR="000D75AE">
        <w:t>:</w:t>
      </w:r>
      <w:r w:rsidR="00E12BF6">
        <w:t xml:space="preserve"> </w:t>
      </w:r>
      <w:r w:rsidR="000D75AE" w:rsidRPr="00BA23D8">
        <w:t>Participation requirements</w:t>
      </w:r>
      <w:r w:rsidR="004C547B">
        <w:rPr>
          <w:highlight w:val="yellow"/>
          <w:lang w:val="en-GB"/>
        </w:rPr>
        <w:fldChar w:fldCharType="end"/>
      </w:r>
      <w:r>
        <w:rPr>
          <w:lang w:val="en-GB"/>
        </w:rPr>
        <w:t>.</w:t>
      </w:r>
    </w:p>
    <w:p w14:paraId="67FFF68C" w14:textId="5A34FFE7" w:rsidR="00D74559" w:rsidRDefault="00D74559" w:rsidP="007C217D">
      <w:pPr>
        <w:pStyle w:val="DeedReferences"/>
      </w:pPr>
      <w:r>
        <w:t>(</w:t>
      </w:r>
      <w:r w:rsidR="00A73420">
        <w:t xml:space="preserve">Deed Reference(s): Clause </w:t>
      </w:r>
      <w:r>
        <w:t>1</w:t>
      </w:r>
      <w:r w:rsidR="627144E8">
        <w:t>6</w:t>
      </w:r>
      <w:r>
        <w:t>.6, 14</w:t>
      </w:r>
      <w:r w:rsidR="00DE5F8E">
        <w:t>7</w:t>
      </w:r>
      <w:r>
        <w:t>.1)</w:t>
      </w:r>
    </w:p>
    <w:p w14:paraId="61A236E5" w14:textId="77777777" w:rsidR="00D74559" w:rsidRDefault="00D74559" w:rsidP="006F727E">
      <w:pPr>
        <w:pStyle w:val="SystemStep"/>
        <w:rPr>
          <w:lang w:val="en-GB"/>
        </w:rPr>
      </w:pPr>
      <w:r w:rsidRPr="7374C138">
        <w:rPr>
          <w:lang w:val="en-GB"/>
        </w:rPr>
        <w:t xml:space="preserve">Providers must record a detailed description of the changes in the Participant’s circumstances that triggered the need to conduct the update in the appropriate field at the end of the Job Seeker Snapshot in the Department's IT Systems. </w:t>
      </w:r>
    </w:p>
    <w:p w14:paraId="2720C775" w14:textId="53446849" w:rsidR="00D74559" w:rsidRPr="00E521EE" w:rsidRDefault="00D74559" w:rsidP="006E2EF5">
      <w:pPr>
        <w:spacing w:after="120"/>
        <w:rPr>
          <w:rFonts w:ascii="Tahoma" w:eastAsia="Tahoma" w:hAnsi="Tahoma" w:cs="Tahoma"/>
          <w:lang w:val="en-GB"/>
        </w:rPr>
      </w:pPr>
      <w:r w:rsidRPr="534D8722">
        <w:rPr>
          <w:lang w:val="en-GB"/>
        </w:rPr>
        <w:t>The Job Seeker Snapshot may recommend a</w:t>
      </w:r>
      <w:r>
        <w:rPr>
          <w:lang w:val="en-GB"/>
        </w:rPr>
        <w:t xml:space="preserve"> person</w:t>
      </w:r>
      <w:r w:rsidRPr="534D8722">
        <w:rPr>
          <w:lang w:val="en-GB"/>
        </w:rPr>
        <w:t xml:space="preserve"> has a further assessment through an ESAt. </w:t>
      </w:r>
      <w:r w:rsidRPr="534D8722">
        <w:rPr>
          <w:rFonts w:eastAsiaTheme="minorEastAsia"/>
          <w:lang w:val="en-GB"/>
        </w:rPr>
        <w:t xml:space="preserve">If a change of circumstances is likely to change </w:t>
      </w:r>
      <w:r w:rsidR="00745519">
        <w:rPr>
          <w:rFonts w:eastAsiaTheme="minorEastAsia"/>
          <w:lang w:val="en-GB"/>
        </w:rPr>
        <w:t xml:space="preserve">a person’s </w:t>
      </w:r>
      <w:r w:rsidR="001030FF">
        <w:rPr>
          <w:rFonts w:eastAsiaTheme="minorEastAsia"/>
          <w:lang w:val="en-GB"/>
        </w:rPr>
        <w:t xml:space="preserve">assessed </w:t>
      </w:r>
      <w:r w:rsidRPr="534D8722">
        <w:rPr>
          <w:rFonts w:eastAsiaTheme="minorEastAsia"/>
          <w:lang w:val="en-GB"/>
        </w:rPr>
        <w:t>work capacity or employment services referral recommendation from the previous ESAt, then a referral for a Change of Circumstances ESAt should be actioned, even if the Job Seeker Snapshot did not identify the need for further assessment.</w:t>
      </w:r>
    </w:p>
    <w:p w14:paraId="2F90AC4C" w14:textId="2352595C" w:rsidR="00D74559" w:rsidRPr="006F727E" w:rsidRDefault="00D74559" w:rsidP="006F727E">
      <w:pPr>
        <w:pStyle w:val="Heading3"/>
        <w:rPr>
          <w:rStyle w:val="Heading4Char"/>
          <w:bCs w:val="0"/>
          <w:iCs w:val="0"/>
          <w:color w:val="005A70"/>
          <w:sz w:val="32"/>
        </w:rPr>
      </w:pPr>
      <w:bookmarkStart w:id="66" w:name="_Ref202777525"/>
      <w:bookmarkStart w:id="67" w:name="_Toc202899890"/>
      <w:r w:rsidRPr="006F727E">
        <w:t>2.4</w:t>
      </w:r>
      <w:r w:rsidR="006F727E">
        <w:tab/>
      </w:r>
      <w:r w:rsidRPr="006F727E">
        <w:t>Employment Services Assessment</w:t>
      </w:r>
      <w:bookmarkEnd w:id="66"/>
      <w:bookmarkEnd w:id="67"/>
    </w:p>
    <w:p w14:paraId="5C2E9C73" w14:textId="77777777" w:rsidR="00D74559" w:rsidRDefault="00D74559" w:rsidP="006E2EF5">
      <w:pPr>
        <w:tabs>
          <w:tab w:val="right" w:pos="1701"/>
        </w:tabs>
        <w:spacing w:after="120"/>
        <w:rPr>
          <w:lang w:val="en-GB"/>
        </w:rPr>
      </w:pPr>
      <w:r w:rsidRPr="7374C138">
        <w:rPr>
          <w:lang w:val="en-GB"/>
        </w:rPr>
        <w:t xml:space="preserve">An </w:t>
      </w:r>
      <w:r w:rsidRPr="00B529B9">
        <w:rPr>
          <w:bdr w:val="none" w:sz="0" w:space="0" w:color="auto" w:frame="1"/>
          <w:lang w:val="en-GB"/>
        </w:rPr>
        <w:t>ESAt</w:t>
      </w:r>
      <w:r w:rsidRPr="7374C138">
        <w:rPr>
          <w:color w:val="000000"/>
          <w:shd w:val="clear" w:color="auto" w:fill="FFFFFF"/>
          <w:lang w:val="en-GB"/>
        </w:rPr>
        <w:t xml:space="preserve"> is an assessment of a</w:t>
      </w:r>
      <w:r>
        <w:rPr>
          <w:color w:val="000000"/>
          <w:shd w:val="clear" w:color="auto" w:fill="FFFFFF"/>
          <w:lang w:val="en-GB"/>
        </w:rPr>
        <w:t xml:space="preserve"> person</w:t>
      </w:r>
      <w:r w:rsidRPr="7374C138">
        <w:rPr>
          <w:color w:val="000000"/>
          <w:shd w:val="clear" w:color="auto" w:fill="FFFFFF"/>
          <w:lang w:val="en-GB"/>
        </w:rPr>
        <w:t xml:space="preserve">’s medical evidence and other relevant circumstances by a </w:t>
      </w:r>
      <w:r w:rsidRPr="7374C138">
        <w:rPr>
          <w:lang w:val="en-GB"/>
        </w:rPr>
        <w:t xml:space="preserve">Services Australia Health or Allied Health Professional. </w:t>
      </w:r>
    </w:p>
    <w:p w14:paraId="0334D481" w14:textId="77777777" w:rsidR="00D74559" w:rsidRPr="00FB7CD7" w:rsidRDefault="00D74559" w:rsidP="005A05C4">
      <w:pPr>
        <w:rPr>
          <w:lang w:val="en-GB"/>
        </w:rPr>
      </w:pPr>
      <w:r w:rsidRPr="7374C138">
        <w:rPr>
          <w:lang w:val="en-GB"/>
        </w:rPr>
        <w:t>The ESAt:</w:t>
      </w:r>
    </w:p>
    <w:p w14:paraId="1CC8FB7C" w14:textId="6ED324E7" w:rsidR="00D74559" w:rsidRPr="00FB7CD7" w:rsidRDefault="00D74559" w:rsidP="004E120D">
      <w:pPr>
        <w:pStyle w:val="BulletLevel1"/>
      </w:pPr>
      <w:r w:rsidRPr="7DB46766">
        <w:t>considers the person</w:t>
      </w:r>
      <w:r w:rsidR="00372E24">
        <w:t>’</w:t>
      </w:r>
      <w:r w:rsidRPr="7DB46766">
        <w:t>s circumstances, including evidence from medical professionals</w:t>
      </w:r>
    </w:p>
    <w:p w14:paraId="65647460" w14:textId="77777777" w:rsidR="00D74559" w:rsidRPr="00FB7CD7" w:rsidRDefault="00D74559" w:rsidP="004E120D">
      <w:pPr>
        <w:pStyle w:val="BulletLevel1"/>
        <w:rPr>
          <w:lang w:val="en-GB"/>
        </w:rPr>
      </w:pPr>
      <w:r w:rsidRPr="7374C138">
        <w:rPr>
          <w:lang w:val="en-GB"/>
        </w:rPr>
        <w:t>determines how many hours per week the person can work, including both their:</w:t>
      </w:r>
    </w:p>
    <w:p w14:paraId="59D17DC9" w14:textId="77777777" w:rsidR="00D74559" w:rsidRPr="003145A5" w:rsidRDefault="00D74559" w:rsidP="0094262B">
      <w:pPr>
        <w:pStyle w:val="BulletLevel2"/>
        <w:rPr>
          <w:lang w:val="en-GB"/>
        </w:rPr>
      </w:pPr>
      <w:r w:rsidRPr="7374C138">
        <w:rPr>
          <w:lang w:val="en-GB"/>
        </w:rPr>
        <w:t>current baseline work capacity (how many hours the person can currently work), and</w:t>
      </w:r>
    </w:p>
    <w:p w14:paraId="54D36BF9" w14:textId="77777777" w:rsidR="00D74559" w:rsidRPr="00FB7CD7" w:rsidRDefault="00D74559" w:rsidP="0094262B">
      <w:pPr>
        <w:pStyle w:val="BulletLevel2"/>
      </w:pPr>
      <w:r>
        <w:t>future work capacity with intervention (how many hours the person may be able to work within the next 2 years with recommended interventions)</w:t>
      </w:r>
    </w:p>
    <w:p w14:paraId="4DE21522" w14:textId="77777777" w:rsidR="00D74559" w:rsidRDefault="00D74559" w:rsidP="004E120D">
      <w:pPr>
        <w:pStyle w:val="BulletLevel1"/>
        <w:rPr>
          <w:lang w:val="en-GB"/>
        </w:rPr>
      </w:pPr>
      <w:r w:rsidRPr="7374C138">
        <w:rPr>
          <w:lang w:val="en-GB"/>
        </w:rPr>
        <w:t xml:space="preserve">identifies </w:t>
      </w:r>
      <w:r>
        <w:rPr>
          <w:lang w:val="en-GB"/>
        </w:rPr>
        <w:t>Vocational and Non-Vocational B</w:t>
      </w:r>
      <w:r w:rsidRPr="7374C138">
        <w:rPr>
          <w:lang w:val="en-GB"/>
        </w:rPr>
        <w:t>arriers</w:t>
      </w:r>
    </w:p>
    <w:p w14:paraId="7551A5D8" w14:textId="77777777" w:rsidR="00D74559" w:rsidRDefault="00D74559" w:rsidP="004E120D">
      <w:pPr>
        <w:pStyle w:val="BulletLevel1"/>
        <w:rPr>
          <w:lang w:val="en-GB"/>
        </w:rPr>
      </w:pPr>
      <w:r w:rsidRPr="7374C138">
        <w:rPr>
          <w:lang w:val="en-GB"/>
        </w:rPr>
        <w:t>recommend</w:t>
      </w:r>
      <w:r>
        <w:rPr>
          <w:lang w:val="en-GB"/>
        </w:rPr>
        <w:t>s</w:t>
      </w:r>
      <w:r w:rsidRPr="7374C138">
        <w:rPr>
          <w:lang w:val="en-GB"/>
        </w:rPr>
        <w:t xml:space="preserve"> </w:t>
      </w:r>
      <w:r>
        <w:rPr>
          <w:lang w:val="en-GB"/>
        </w:rPr>
        <w:t xml:space="preserve">Interventions and </w:t>
      </w:r>
      <w:r w:rsidRPr="7374C138">
        <w:rPr>
          <w:lang w:val="en-GB"/>
        </w:rPr>
        <w:t>supports, and</w:t>
      </w:r>
    </w:p>
    <w:p w14:paraId="58545045" w14:textId="77777777" w:rsidR="00D74559" w:rsidRDefault="00D74559" w:rsidP="004E120D">
      <w:pPr>
        <w:pStyle w:val="BulletLevel1"/>
        <w:rPr>
          <w:lang w:val="en-GB"/>
        </w:rPr>
      </w:pPr>
      <w:r w:rsidRPr="7374C138">
        <w:rPr>
          <w:lang w:val="en-GB"/>
        </w:rPr>
        <w:t>recommends the most appropriate employment program for the person.</w:t>
      </w:r>
    </w:p>
    <w:p w14:paraId="35984A33" w14:textId="12ACE65B" w:rsidR="00D74559" w:rsidRDefault="00D74559" w:rsidP="006E2EF5">
      <w:pPr>
        <w:rPr>
          <w:lang w:val="en-GB"/>
        </w:rPr>
      </w:pPr>
      <w:r w:rsidRPr="230A783F">
        <w:rPr>
          <w:lang w:val="en-GB"/>
        </w:rPr>
        <w:t xml:space="preserve">The ESAt </w:t>
      </w:r>
      <w:r>
        <w:rPr>
          <w:lang w:val="en-GB"/>
        </w:rPr>
        <w:t>will</w:t>
      </w:r>
      <w:r w:rsidRPr="230A783F">
        <w:rPr>
          <w:lang w:val="en-GB"/>
        </w:rPr>
        <w:t xml:space="preserve"> inform eligibility for </w:t>
      </w:r>
      <w:r w:rsidR="00CB7FD6">
        <w:rPr>
          <w:lang w:val="en-GB"/>
        </w:rPr>
        <w:t xml:space="preserve">Referral to </w:t>
      </w:r>
      <w:r w:rsidRPr="230A783F">
        <w:rPr>
          <w:lang w:val="en-GB"/>
        </w:rPr>
        <w:t xml:space="preserve">some Specific Cohort Providers. </w:t>
      </w:r>
    </w:p>
    <w:p w14:paraId="792B2A11" w14:textId="77777777" w:rsidR="009A14C9" w:rsidRDefault="00D74559" w:rsidP="006E2EF5">
      <w:pPr>
        <w:rPr>
          <w:lang w:val="en-GB"/>
        </w:rPr>
      </w:pPr>
      <w:r w:rsidRPr="230A783F">
        <w:rPr>
          <w:lang w:val="en-GB"/>
        </w:rPr>
        <w:t xml:space="preserve">In addition, Services Australia may use the ESAt to inform decisions about eligibility for payments or allowances, such as Mobility Allowance or Youth Disability Supplement. </w:t>
      </w:r>
    </w:p>
    <w:p w14:paraId="036008D8" w14:textId="77777777" w:rsidR="00B00A37" w:rsidRDefault="00B00A37" w:rsidP="00B00A37">
      <w:pPr>
        <w:tabs>
          <w:tab w:val="right" w:pos="1701"/>
        </w:tabs>
        <w:spacing w:after="120" w:line="276" w:lineRule="auto"/>
        <w:rPr>
          <w:lang w:val="en-GB"/>
        </w:rPr>
      </w:pPr>
      <w:r w:rsidRPr="7374C138">
        <w:rPr>
          <w:lang w:val="en-GB"/>
        </w:rPr>
        <w:t>Information about ESAts can be found in the Social Security Guide —</w:t>
      </w:r>
      <w:r>
        <w:rPr>
          <w:lang w:val="en-GB"/>
        </w:rPr>
        <w:t xml:space="preserve"> see</w:t>
      </w:r>
      <w:r w:rsidRPr="7374C138">
        <w:rPr>
          <w:lang w:val="en-GB"/>
        </w:rPr>
        <w:t xml:space="preserve"> </w:t>
      </w:r>
      <w:hyperlink r:id="rId33">
        <w:r w:rsidRPr="7374C138">
          <w:rPr>
            <w:rStyle w:val="Hyperlink"/>
            <w:lang w:val="en-GB"/>
          </w:rPr>
          <w:t>1.1.E.104 Employment services assessment (ESAt) | Social Security Guide</w:t>
        </w:r>
      </w:hyperlink>
      <w:r w:rsidRPr="7374C138">
        <w:rPr>
          <w:lang w:val="en-GB"/>
        </w:rPr>
        <w:t xml:space="preserve">. </w:t>
      </w:r>
    </w:p>
    <w:p w14:paraId="2E6345EB" w14:textId="31CFA265" w:rsidR="00D74559" w:rsidRDefault="00B00A37" w:rsidP="006E2EF5">
      <w:pPr>
        <w:rPr>
          <w:lang w:val="en-GB"/>
        </w:rPr>
      </w:pPr>
      <w:r w:rsidRPr="7374C138">
        <w:rPr>
          <w:rFonts w:eastAsiaTheme="minorEastAsia"/>
          <w:lang w:val="en-GB"/>
        </w:rPr>
        <w:t xml:space="preserve">Information for Participants about ESAts can be found on </w:t>
      </w:r>
      <w:hyperlink r:id="rId34">
        <w:r w:rsidRPr="7374C138">
          <w:rPr>
            <w:rStyle w:val="Hyperlink"/>
            <w:rFonts w:eastAsiaTheme="minorEastAsia"/>
            <w:lang w:val="en-GB"/>
          </w:rPr>
          <w:t>Services Australia’s website</w:t>
        </w:r>
      </w:hyperlink>
      <w:r w:rsidRPr="7374C138">
        <w:rPr>
          <w:rFonts w:eastAsiaTheme="minorEastAsia"/>
          <w:lang w:val="en-GB"/>
        </w:rPr>
        <w:t>.</w:t>
      </w:r>
      <w:r>
        <w:rPr>
          <w:rFonts w:eastAsiaTheme="minorEastAsia"/>
          <w:lang w:val="en-GB"/>
        </w:rPr>
        <w:t xml:space="preserve"> This includes information </w:t>
      </w:r>
      <w:r w:rsidR="008F36C2">
        <w:rPr>
          <w:rFonts w:eastAsiaTheme="minorEastAsia"/>
          <w:lang w:val="en-GB"/>
        </w:rPr>
        <w:t>about</w:t>
      </w:r>
      <w:r w:rsidR="00D74559">
        <w:rPr>
          <w:lang w:val="en-GB"/>
        </w:rPr>
        <w:t xml:space="preserve"> the impact of ESAt on Income Support Payments</w:t>
      </w:r>
      <w:r w:rsidR="00D74559" w:rsidRPr="230A783F">
        <w:rPr>
          <w:lang w:val="en-GB"/>
        </w:rPr>
        <w:t>.</w:t>
      </w:r>
    </w:p>
    <w:p w14:paraId="317E1579" w14:textId="5920A0F5" w:rsidR="00D74559" w:rsidRDefault="00D74559" w:rsidP="006E2EF5">
      <w:pPr>
        <w:spacing w:after="120"/>
        <w:rPr>
          <w:lang w:val="en-GB"/>
        </w:rPr>
      </w:pPr>
      <w:r w:rsidRPr="7374C138">
        <w:rPr>
          <w:b/>
          <w:lang w:val="en-GB"/>
        </w:rPr>
        <w:t>Note:</w:t>
      </w:r>
      <w:r w:rsidRPr="7374C138">
        <w:rPr>
          <w:lang w:val="en-GB"/>
        </w:rPr>
        <w:t xml:space="preserve"> In these Guidelines, a 'Current' ESAt means an ESAt that has been completed within the last 2 years. A 'Valid' ESAt means </w:t>
      </w:r>
      <w:r w:rsidRPr="3C05881C">
        <w:rPr>
          <w:lang w:val="en-GB"/>
        </w:rPr>
        <w:t>a</w:t>
      </w:r>
      <w:r w:rsidR="5C091D23" w:rsidRPr="3C05881C">
        <w:rPr>
          <w:lang w:val="en-GB"/>
        </w:rPr>
        <w:t>n</w:t>
      </w:r>
      <w:r w:rsidRPr="7374C138">
        <w:rPr>
          <w:lang w:val="en-GB"/>
        </w:rPr>
        <w:t xml:space="preserve"> ESAt that was conducted at any time and the person has not had a </w:t>
      </w:r>
      <w:bookmarkStart w:id="68" w:name="_Int_Ccmo0jvl"/>
      <w:r w:rsidRPr="7374C138">
        <w:rPr>
          <w:lang w:val="en-GB"/>
        </w:rPr>
        <w:t>significant change</w:t>
      </w:r>
      <w:bookmarkEnd w:id="68"/>
      <w:r w:rsidRPr="7374C138">
        <w:rPr>
          <w:lang w:val="en-GB"/>
        </w:rPr>
        <w:t xml:space="preserve"> of circumstances that would make the ESAt invalid.</w:t>
      </w:r>
    </w:p>
    <w:p w14:paraId="4D0A9946" w14:textId="247496F1" w:rsidR="00D74559" w:rsidRPr="00B529B9" w:rsidRDefault="00D74559" w:rsidP="006F727E">
      <w:pPr>
        <w:pStyle w:val="SystemStep"/>
      </w:pPr>
      <w:r w:rsidRPr="7374C138">
        <w:rPr>
          <w:lang w:val="en-GB"/>
        </w:rPr>
        <w:t xml:space="preserve">Providers can view relevant ESAt information via the </w:t>
      </w:r>
      <w:r w:rsidR="7BBFD51E" w:rsidRPr="1924F390">
        <w:rPr>
          <w:lang w:val="en-GB"/>
        </w:rPr>
        <w:t>‘</w:t>
      </w:r>
      <w:r w:rsidRPr="7374C138">
        <w:rPr>
          <w:lang w:val="en-GB"/>
        </w:rPr>
        <w:t xml:space="preserve">Servicing and </w:t>
      </w:r>
      <w:r w:rsidRPr="1924F390">
        <w:rPr>
          <w:lang w:val="en-GB"/>
        </w:rPr>
        <w:t>Eligibility</w:t>
      </w:r>
      <w:r w:rsidR="7BBFD51E" w:rsidRPr="1924F390">
        <w:rPr>
          <w:lang w:val="en-GB"/>
        </w:rPr>
        <w:t>’</w:t>
      </w:r>
      <w:r w:rsidRPr="7374C138">
        <w:rPr>
          <w:lang w:val="en-GB"/>
        </w:rPr>
        <w:t xml:space="preserve"> </w:t>
      </w:r>
      <w:r w:rsidR="00860866">
        <w:rPr>
          <w:lang w:val="en-GB"/>
        </w:rPr>
        <w:t>screen</w:t>
      </w:r>
      <w:r w:rsidRPr="7374C138">
        <w:rPr>
          <w:lang w:val="en-GB"/>
        </w:rPr>
        <w:t xml:space="preserve"> of the Participant’s record on the Department’s IT Systems.</w:t>
      </w:r>
    </w:p>
    <w:p w14:paraId="2AA6F5DC" w14:textId="4ED102D1" w:rsidR="00D74559" w:rsidRDefault="00D74559" w:rsidP="001D0F92">
      <w:pPr>
        <w:pStyle w:val="Heading4"/>
        <w:rPr>
          <w:lang w:val="en-GB"/>
        </w:rPr>
      </w:pPr>
      <w:bookmarkStart w:id="69" w:name="_Toc202899891"/>
      <w:r w:rsidRPr="7374C138">
        <w:rPr>
          <w:lang w:val="en-GB"/>
        </w:rPr>
        <w:t>2.4.1</w:t>
      </w:r>
      <w:r w:rsidR="006F727E">
        <w:rPr>
          <w:lang w:val="en-GB"/>
        </w:rPr>
        <w:tab/>
      </w:r>
      <w:r w:rsidRPr="7374C138">
        <w:rPr>
          <w:lang w:val="en-GB"/>
        </w:rPr>
        <w:t>When is an ESAt required?</w:t>
      </w:r>
      <w:bookmarkEnd w:id="69"/>
    </w:p>
    <w:p w14:paraId="6232D42F" w14:textId="77777777" w:rsidR="00D74559" w:rsidRDefault="00D74559" w:rsidP="005A05C4">
      <w:pPr>
        <w:rPr>
          <w:lang w:val="en-GB"/>
        </w:rPr>
      </w:pPr>
      <w:r w:rsidRPr="7374C138">
        <w:rPr>
          <w:rFonts w:ascii="Arial" w:eastAsia="Arial" w:hAnsi="Arial" w:cs="Arial"/>
          <w:lang w:val="en-GB"/>
        </w:rPr>
        <w:t>A</w:t>
      </w:r>
      <w:r w:rsidRPr="7374C138">
        <w:rPr>
          <w:lang w:val="en-GB"/>
        </w:rPr>
        <w:t>n ESAt is required if the person:</w:t>
      </w:r>
    </w:p>
    <w:p w14:paraId="5302F20E" w14:textId="64DB8932" w:rsidR="00D74559" w:rsidRPr="0035143E" w:rsidRDefault="00D74559" w:rsidP="004E120D">
      <w:pPr>
        <w:pStyle w:val="BulletLevel1"/>
      </w:pPr>
      <w:r w:rsidRPr="0035143E">
        <w:t xml:space="preserve">is a new Participant who does not have a Current and Valid ESAt recommending </w:t>
      </w:r>
      <w:r w:rsidR="00AC61E7">
        <w:t>Inclusive Employment Australia</w:t>
      </w:r>
      <w:r w:rsidRPr="0035143E">
        <w:t xml:space="preserve"> (</w:t>
      </w:r>
      <w:r w:rsidR="0029191C" w:rsidRPr="00C84BBC">
        <w:t xml:space="preserve">or </w:t>
      </w:r>
      <w:r w:rsidR="0029191C">
        <w:t>the</w:t>
      </w:r>
      <w:r w:rsidR="0029191C" w:rsidRPr="00C84BBC">
        <w:t xml:space="preserve"> former </w:t>
      </w:r>
      <w:r w:rsidR="0029191C">
        <w:t>DES program</w:t>
      </w:r>
      <w:r w:rsidRPr="0035143E">
        <w:t xml:space="preserve">), subject to certain </w:t>
      </w:r>
      <w:r w:rsidR="005E26FC">
        <w:t>exceptions</w:t>
      </w:r>
      <w:r w:rsidRPr="0035143E">
        <w:t xml:space="preserve"> as outlined in </w:t>
      </w:r>
      <w:r w:rsidR="004C547B">
        <w:rPr>
          <w:highlight w:val="yellow"/>
        </w:rPr>
        <w:fldChar w:fldCharType="begin"/>
      </w:r>
      <w:r w:rsidR="004C547B">
        <w:instrText xml:space="preserve"> REF _Ref202783046 \h </w:instrText>
      </w:r>
      <w:r w:rsidR="004C547B">
        <w:rPr>
          <w:highlight w:val="yellow"/>
        </w:rPr>
      </w:r>
      <w:r w:rsidR="004C547B">
        <w:rPr>
          <w:highlight w:val="yellow"/>
        </w:rPr>
        <w:fldChar w:fldCharType="separate"/>
      </w:r>
      <w:r w:rsidR="000D75AE" w:rsidRPr="7374C138">
        <w:rPr>
          <w:lang w:val="en-GB"/>
        </w:rPr>
        <w:t>2.4.2</w:t>
      </w:r>
      <w:r w:rsidR="00E12BF6">
        <w:rPr>
          <w:lang w:val="en-GB"/>
        </w:rPr>
        <w:t xml:space="preserve"> </w:t>
      </w:r>
      <w:r w:rsidR="000D75AE" w:rsidRPr="7374C138">
        <w:rPr>
          <w:lang w:val="en-GB"/>
        </w:rPr>
        <w:t>When is an ESAt not required?</w:t>
      </w:r>
      <w:r w:rsidR="004C547B">
        <w:rPr>
          <w:highlight w:val="yellow"/>
        </w:rPr>
        <w:fldChar w:fldCharType="end"/>
      </w:r>
    </w:p>
    <w:p w14:paraId="330CDAE7" w14:textId="5E2DFC65" w:rsidR="00D74559" w:rsidRPr="0035143E" w:rsidRDefault="00D74559" w:rsidP="004E120D">
      <w:pPr>
        <w:pStyle w:val="BulletLevel1"/>
      </w:pPr>
      <w:r w:rsidRPr="0035143E">
        <w:t xml:space="preserve">is returning to </w:t>
      </w:r>
      <w:r w:rsidR="00AC61E7">
        <w:t>Inclusive Employment Australia</w:t>
      </w:r>
      <w:r w:rsidRPr="0035143E">
        <w:t xml:space="preserve"> more than 13 weeks after their Exit and does not have a Current and Valid ESAt recommending </w:t>
      </w:r>
      <w:r w:rsidR="00AC61E7">
        <w:t>Inclusive Employment Australia</w:t>
      </w:r>
      <w:r w:rsidRPr="0035143E">
        <w:t xml:space="preserve"> (</w:t>
      </w:r>
      <w:r w:rsidR="0029191C" w:rsidRPr="00C84BBC">
        <w:t xml:space="preserve">or </w:t>
      </w:r>
      <w:r w:rsidR="0029191C">
        <w:t>the</w:t>
      </w:r>
      <w:r w:rsidR="0029191C" w:rsidRPr="00C84BBC">
        <w:t xml:space="preserve"> former </w:t>
      </w:r>
      <w:r w:rsidR="0029191C">
        <w:t>DES program</w:t>
      </w:r>
      <w:r w:rsidRPr="0035143E">
        <w:t xml:space="preserve">), subject to certain </w:t>
      </w:r>
      <w:r w:rsidR="005E26FC">
        <w:t>exceptions</w:t>
      </w:r>
      <w:r w:rsidR="005E26FC" w:rsidRPr="0035143E">
        <w:t xml:space="preserve"> </w:t>
      </w:r>
      <w:r w:rsidRPr="0035143E">
        <w:t xml:space="preserve">as outlined in </w:t>
      </w:r>
      <w:r w:rsidR="004C547B">
        <w:rPr>
          <w:highlight w:val="yellow"/>
        </w:rPr>
        <w:fldChar w:fldCharType="begin"/>
      </w:r>
      <w:r w:rsidR="004C547B">
        <w:instrText xml:space="preserve"> REF _Ref202783046 \h </w:instrText>
      </w:r>
      <w:r w:rsidR="004C547B">
        <w:rPr>
          <w:highlight w:val="yellow"/>
        </w:rPr>
      </w:r>
      <w:r w:rsidR="004C547B">
        <w:rPr>
          <w:highlight w:val="yellow"/>
        </w:rPr>
        <w:fldChar w:fldCharType="separate"/>
      </w:r>
      <w:r w:rsidR="000D75AE" w:rsidRPr="7374C138">
        <w:rPr>
          <w:lang w:val="en-GB"/>
        </w:rPr>
        <w:t>2.4.2</w:t>
      </w:r>
      <w:r w:rsidR="00F62957">
        <w:rPr>
          <w:lang w:val="en-GB"/>
        </w:rPr>
        <w:t xml:space="preserve"> </w:t>
      </w:r>
      <w:r w:rsidR="000D75AE" w:rsidRPr="7374C138">
        <w:rPr>
          <w:lang w:val="en-GB"/>
        </w:rPr>
        <w:t>When is an ESAt not required?</w:t>
      </w:r>
      <w:r w:rsidR="004C547B">
        <w:rPr>
          <w:highlight w:val="yellow"/>
        </w:rPr>
        <w:fldChar w:fldCharType="end"/>
      </w:r>
    </w:p>
    <w:p w14:paraId="0F36A544" w14:textId="41D6EEF1" w:rsidR="00D74559" w:rsidRPr="009967F9" w:rsidRDefault="00D74559" w:rsidP="004E120D">
      <w:pPr>
        <w:pStyle w:val="BulletLevel1"/>
      </w:pPr>
      <w:r w:rsidRPr="009967F9">
        <w:t>is a DSP Recipient or a NDIS participant without an ESAt — refer to</w:t>
      </w:r>
      <w:r w:rsidR="004C547B">
        <w:t xml:space="preserve"> </w:t>
      </w:r>
      <w:r w:rsidR="004C547B">
        <w:rPr>
          <w:highlight w:val="yellow"/>
        </w:rPr>
        <w:fldChar w:fldCharType="begin"/>
      </w:r>
      <w:r w:rsidR="004C547B">
        <w:instrText xml:space="preserve"> REF _Ref202780839 \h </w:instrText>
      </w:r>
      <w:r w:rsidR="004C547B">
        <w:rPr>
          <w:highlight w:val="yellow"/>
        </w:rPr>
      </w:r>
      <w:r w:rsidR="004C547B">
        <w:rPr>
          <w:highlight w:val="yellow"/>
        </w:rPr>
        <w:fldChar w:fldCharType="separate"/>
      </w:r>
      <w:r w:rsidR="000D75AE" w:rsidRPr="7374C138">
        <w:rPr>
          <w:lang w:val="en-GB"/>
        </w:rPr>
        <w:t>2.4.3</w:t>
      </w:r>
      <w:r w:rsidR="0097189E">
        <w:rPr>
          <w:lang w:val="en-GB"/>
        </w:rPr>
        <w:t xml:space="preserve"> </w:t>
      </w:r>
      <w:r w:rsidR="000D75AE" w:rsidRPr="7374C138">
        <w:rPr>
          <w:lang w:val="en-GB"/>
        </w:rPr>
        <w:t xml:space="preserve">ESAt requirements for DSP </w:t>
      </w:r>
      <w:r w:rsidR="000D75AE">
        <w:rPr>
          <w:lang w:val="en-GB"/>
        </w:rPr>
        <w:t>r</w:t>
      </w:r>
      <w:r w:rsidR="000D75AE" w:rsidRPr="7374C138">
        <w:rPr>
          <w:lang w:val="en-GB"/>
        </w:rPr>
        <w:t>ecipients and NDIS participants</w:t>
      </w:r>
      <w:r w:rsidR="004C547B">
        <w:rPr>
          <w:highlight w:val="yellow"/>
        </w:rPr>
        <w:fldChar w:fldCharType="end"/>
      </w:r>
      <w:r w:rsidR="00B4676D">
        <w:t>, or</w:t>
      </w:r>
    </w:p>
    <w:p w14:paraId="3E6ED0E9" w14:textId="77777777" w:rsidR="00D74559" w:rsidRPr="0035143E" w:rsidRDefault="00D74559" w:rsidP="004E120D">
      <w:pPr>
        <w:pStyle w:val="BulletLevel1"/>
      </w:pPr>
      <w:r w:rsidRPr="009967F9">
        <w:t xml:space="preserve">has a </w:t>
      </w:r>
      <w:bookmarkStart w:id="70" w:name="_Int_FH7RUqwk"/>
      <w:r w:rsidRPr="009967F9">
        <w:t>significant change</w:t>
      </w:r>
      <w:bookmarkEnd w:id="70"/>
      <w:r w:rsidRPr="009967F9">
        <w:t xml:space="preserve"> in circumstances requiring a New ESAt — see Change of Circumstance</w:t>
      </w:r>
      <w:r w:rsidRPr="0035143E">
        <w:t xml:space="preserve"> ESAt outlined below.</w:t>
      </w:r>
    </w:p>
    <w:p w14:paraId="3C513EC1" w14:textId="77777777" w:rsidR="00D74559" w:rsidRDefault="00D74559" w:rsidP="00A17B7B">
      <w:pPr>
        <w:rPr>
          <w:lang w:val="en-GB"/>
        </w:rPr>
      </w:pPr>
      <w:r w:rsidRPr="7374C138">
        <w:rPr>
          <w:lang w:val="en-GB"/>
        </w:rPr>
        <w:t xml:space="preserve">A Provider may need to refer a Participant for an ESAt as part of the Direct Registration process. </w:t>
      </w:r>
    </w:p>
    <w:p w14:paraId="13E1503A" w14:textId="26400233" w:rsidR="00D74559" w:rsidRDefault="00D74559" w:rsidP="00A17B7B">
      <w:pPr>
        <w:rPr>
          <w:lang w:val="en-GB"/>
        </w:rPr>
      </w:pPr>
      <w:r w:rsidRPr="2449CBB8">
        <w:rPr>
          <w:rFonts w:ascii="Tahoma" w:eastAsia="Tahoma" w:hAnsi="Tahoma" w:cs="Tahoma"/>
          <w:szCs w:val="22"/>
        </w:rPr>
        <w:t xml:space="preserve">Where a </w:t>
      </w:r>
      <w:r>
        <w:rPr>
          <w:rFonts w:ascii="Tahoma" w:eastAsia="Tahoma" w:hAnsi="Tahoma" w:cs="Tahoma"/>
          <w:szCs w:val="22"/>
        </w:rPr>
        <w:t>P</w:t>
      </w:r>
      <w:r w:rsidRPr="2449CBB8">
        <w:rPr>
          <w:rFonts w:ascii="Tahoma" w:eastAsia="Tahoma" w:hAnsi="Tahoma" w:cs="Tahoma"/>
          <w:szCs w:val="22"/>
        </w:rPr>
        <w:t>rovider disagrees with the outcomes of an ESAt, they may query this with Services Australia</w:t>
      </w:r>
      <w:r w:rsidRPr="2449CBB8">
        <w:t xml:space="preserve"> </w:t>
      </w:r>
      <w:r w:rsidRPr="7374C138">
        <w:rPr>
          <w:lang w:val="en-GB"/>
        </w:rPr>
        <w:t>– see</w:t>
      </w:r>
      <w:r w:rsidR="004C547B">
        <w:rPr>
          <w:lang w:val="en-GB"/>
        </w:rPr>
        <w:t xml:space="preserve"> </w:t>
      </w:r>
      <w:r w:rsidR="004C547B">
        <w:rPr>
          <w:highlight w:val="yellow"/>
          <w:lang w:val="en-GB"/>
        </w:rPr>
        <w:fldChar w:fldCharType="begin"/>
      </w:r>
      <w:r w:rsidR="004C547B">
        <w:rPr>
          <w:lang w:val="en-GB"/>
        </w:rPr>
        <w:instrText xml:space="preserve"> REF _Ref202783112 \h </w:instrText>
      </w:r>
      <w:r w:rsidR="004C547B">
        <w:rPr>
          <w:highlight w:val="yellow"/>
          <w:lang w:val="en-GB"/>
        </w:rPr>
      </w:r>
      <w:r w:rsidR="004C547B">
        <w:rPr>
          <w:highlight w:val="yellow"/>
          <w:lang w:val="en-GB"/>
        </w:rPr>
        <w:fldChar w:fldCharType="separate"/>
      </w:r>
      <w:r w:rsidR="000D75AE" w:rsidRPr="534D8722">
        <w:t>2.4.7</w:t>
      </w:r>
      <w:r w:rsidR="00CA26A3">
        <w:t xml:space="preserve"> </w:t>
      </w:r>
      <w:r w:rsidR="000D75AE" w:rsidRPr="534D8722">
        <w:t>Actioning the outcomes of the ESAt report</w:t>
      </w:r>
      <w:r w:rsidR="004C547B">
        <w:rPr>
          <w:highlight w:val="yellow"/>
          <w:lang w:val="en-GB"/>
        </w:rPr>
        <w:fldChar w:fldCharType="end"/>
      </w:r>
      <w:r w:rsidRPr="7374C138">
        <w:rPr>
          <w:lang w:val="en-GB"/>
        </w:rPr>
        <w:t xml:space="preserve">. </w:t>
      </w:r>
    </w:p>
    <w:p w14:paraId="45CF79F1" w14:textId="00A137D9" w:rsidR="00D74559" w:rsidRDefault="00D74559" w:rsidP="00A17B7B">
      <w:pPr>
        <w:rPr>
          <w:lang w:val="en-GB"/>
        </w:rPr>
      </w:pPr>
      <w:r w:rsidRPr="123F2485">
        <w:rPr>
          <w:lang w:val="en-GB"/>
        </w:rPr>
        <w:t xml:space="preserve">The Provider must ensure that the Participant has any necessary information and documents and provides them to Services </w:t>
      </w:r>
      <w:r w:rsidRPr="007B7436">
        <w:rPr>
          <w:lang w:val="en-GB"/>
        </w:rPr>
        <w:t xml:space="preserve">Australia </w:t>
      </w:r>
      <w:r w:rsidRPr="007B7436">
        <w:rPr>
          <w:u w:val="single"/>
        </w:rPr>
        <w:t>before</w:t>
      </w:r>
      <w:r w:rsidRPr="007B7436">
        <w:rPr>
          <w:lang w:val="en-GB"/>
        </w:rPr>
        <w:t xml:space="preserve"> the ESAt</w:t>
      </w:r>
      <w:r w:rsidRPr="123F2485">
        <w:rPr>
          <w:lang w:val="en-GB"/>
        </w:rPr>
        <w:t xml:space="preserve"> is requested. An ESAt cannot be conducted without primary medical evidence (see</w:t>
      </w:r>
      <w:r w:rsidR="004C547B">
        <w:rPr>
          <w:lang w:val="en-GB"/>
        </w:rPr>
        <w:t xml:space="preserve"> </w:t>
      </w:r>
      <w:r w:rsidR="004C547B">
        <w:rPr>
          <w:highlight w:val="yellow"/>
          <w:lang w:val="en-GB"/>
        </w:rPr>
        <w:fldChar w:fldCharType="begin"/>
      </w:r>
      <w:r w:rsidR="004C547B">
        <w:rPr>
          <w:lang w:val="en-GB"/>
        </w:rPr>
        <w:instrText xml:space="preserve"> REF _Ref202783134 \h </w:instrText>
      </w:r>
      <w:r w:rsidR="004C547B">
        <w:rPr>
          <w:highlight w:val="yellow"/>
          <w:lang w:val="en-GB"/>
        </w:rPr>
      </w:r>
      <w:r w:rsidR="004C547B">
        <w:rPr>
          <w:highlight w:val="yellow"/>
          <w:lang w:val="en-GB"/>
        </w:rPr>
        <w:fldChar w:fldCharType="separate"/>
      </w:r>
      <w:r w:rsidR="000D75AE" w:rsidRPr="7374C138">
        <w:rPr>
          <w:lang w:val="en-GB"/>
        </w:rPr>
        <w:t>2.4.4</w:t>
      </w:r>
      <w:r w:rsidR="00CA26A3">
        <w:rPr>
          <w:lang w:val="en-GB"/>
        </w:rPr>
        <w:t xml:space="preserve"> </w:t>
      </w:r>
      <w:r w:rsidR="000D75AE" w:rsidRPr="7374C138">
        <w:rPr>
          <w:lang w:val="en-GB"/>
        </w:rPr>
        <w:t>Medical evidence for ESAts</w:t>
      </w:r>
      <w:r w:rsidR="004C547B">
        <w:rPr>
          <w:highlight w:val="yellow"/>
          <w:lang w:val="en-GB"/>
        </w:rPr>
        <w:fldChar w:fldCharType="end"/>
      </w:r>
      <w:r w:rsidRPr="123F2485">
        <w:rPr>
          <w:lang w:val="en-GB"/>
        </w:rPr>
        <w:t xml:space="preserve">). If there has been a </w:t>
      </w:r>
      <w:bookmarkStart w:id="71" w:name="_Int_ScuTb2uQ"/>
      <w:r w:rsidRPr="123F2485">
        <w:rPr>
          <w:lang w:val="en-GB"/>
        </w:rPr>
        <w:t>significant change</w:t>
      </w:r>
      <w:bookmarkEnd w:id="71"/>
      <w:r w:rsidRPr="123F2485">
        <w:rPr>
          <w:lang w:val="en-GB"/>
        </w:rPr>
        <w:t xml:space="preserve"> of circumstances, </w:t>
      </w:r>
      <w:r>
        <w:rPr>
          <w:lang w:val="en-GB"/>
        </w:rPr>
        <w:t xml:space="preserve">new </w:t>
      </w:r>
      <w:r w:rsidRPr="123F2485">
        <w:rPr>
          <w:lang w:val="en-GB"/>
        </w:rPr>
        <w:t>medical evidence should be provided to support the ESAt referral.</w:t>
      </w:r>
    </w:p>
    <w:p w14:paraId="4385E738" w14:textId="61375EE7" w:rsidR="00D74559" w:rsidRDefault="00D74559" w:rsidP="006E2EF5">
      <w:pPr>
        <w:pStyle w:val="DeedReferences"/>
      </w:pPr>
      <w:r>
        <w:t>(</w:t>
      </w:r>
      <w:r w:rsidR="00A73420">
        <w:t xml:space="preserve">Deed Reference(s): Clause </w:t>
      </w:r>
      <w:r w:rsidR="00630970">
        <w:t xml:space="preserve">106.3, </w:t>
      </w:r>
      <w:r>
        <w:t>10</w:t>
      </w:r>
      <w:r w:rsidR="004F6993">
        <w:t>7</w:t>
      </w:r>
      <w:r>
        <w:t>.1,</w:t>
      </w:r>
      <w:r w:rsidR="0572AC3C">
        <w:t xml:space="preserve"> 10</w:t>
      </w:r>
      <w:r w:rsidR="004D190F">
        <w:t>7</w:t>
      </w:r>
      <w:r w:rsidR="0572AC3C">
        <w:t>.2</w:t>
      </w:r>
      <w:r w:rsidR="003A08E1">
        <w:t xml:space="preserve">, </w:t>
      </w:r>
      <w:r>
        <w:t>108.1,</w:t>
      </w:r>
      <w:r w:rsidR="0572AC3C">
        <w:t xml:space="preserve"> </w:t>
      </w:r>
      <w:r w:rsidR="00A670BF">
        <w:t>147.1</w:t>
      </w:r>
      <w:r w:rsidR="00A77379">
        <w:t xml:space="preserve">, </w:t>
      </w:r>
      <w:r>
        <w:t>15</w:t>
      </w:r>
      <w:r w:rsidR="00F51E16">
        <w:t>4</w:t>
      </w:r>
      <w:r>
        <w:t>.5</w:t>
      </w:r>
      <w:r w:rsidR="00F51E16">
        <w:t>, 154.</w:t>
      </w:r>
      <w:r w:rsidR="00560BC0">
        <w:t>6</w:t>
      </w:r>
      <w:r>
        <w:t>)</w:t>
      </w:r>
    </w:p>
    <w:p w14:paraId="6B535B90" w14:textId="0A331792" w:rsidR="00D74559" w:rsidRPr="008F5620" w:rsidRDefault="00D74559" w:rsidP="006D1645">
      <w:pPr>
        <w:pStyle w:val="Heading5"/>
        <w:rPr>
          <w:rFonts w:ascii="Calibri" w:eastAsia="Calibri" w:hAnsi="Calibri" w:cs="Calibri"/>
          <w:lang w:val="en-GB"/>
        </w:rPr>
      </w:pPr>
      <w:r w:rsidRPr="7374C138">
        <w:rPr>
          <w:lang w:val="en-GB"/>
        </w:rPr>
        <w:t>ESAts requirements for Pre-</w:t>
      </w:r>
      <w:r w:rsidR="005041D4">
        <w:rPr>
          <w:lang w:val="en-GB"/>
        </w:rPr>
        <w:t>R</w:t>
      </w:r>
      <w:r w:rsidRPr="7374C138">
        <w:rPr>
          <w:lang w:val="en-GB"/>
        </w:rPr>
        <w:t>elease Prisoners</w:t>
      </w:r>
    </w:p>
    <w:p w14:paraId="49CBAD69" w14:textId="1771C3B3" w:rsidR="00D74559" w:rsidRDefault="00D22F61" w:rsidP="00A17B7B">
      <w:r>
        <w:t xml:space="preserve">As noted in Section 1.3.5 </w:t>
      </w:r>
      <w:r w:rsidRPr="2672ABBF">
        <w:t>Pre-</w:t>
      </w:r>
      <w:r>
        <w:t>R</w:t>
      </w:r>
      <w:r w:rsidRPr="2672ABBF">
        <w:t>elease Prisoner</w:t>
      </w:r>
      <w:r>
        <w:t xml:space="preserve">s, </w:t>
      </w:r>
      <w:r w:rsidR="00E05B20">
        <w:t>Providers must Directly Register Pre-Release Prisoners (PRP) who meet the eligibility criteria as a PRP Participant.</w:t>
      </w:r>
    </w:p>
    <w:p w14:paraId="25C86FBC" w14:textId="2AC47296" w:rsidR="00D74559" w:rsidRDefault="00D74559" w:rsidP="00A17B7B">
      <w:pPr>
        <w:rPr>
          <w:color w:val="000000" w:themeColor="text1"/>
          <w:lang w:val="en-GB"/>
        </w:rPr>
      </w:pPr>
      <w:r w:rsidRPr="7374C138">
        <w:rPr>
          <w:rFonts w:ascii="Tahoma" w:eastAsia="Tahoma" w:hAnsi="Tahoma" w:cs="Tahoma"/>
          <w:color w:val="000000" w:themeColor="text1"/>
          <w:lang w:val="en-GB"/>
        </w:rPr>
        <w:t xml:space="preserve">Providers must check </w:t>
      </w:r>
      <w:r w:rsidR="001301C1">
        <w:rPr>
          <w:rFonts w:ascii="Tahoma" w:eastAsia="Tahoma" w:hAnsi="Tahoma" w:cs="Tahoma"/>
          <w:color w:val="000000" w:themeColor="text1"/>
          <w:lang w:val="en-GB"/>
        </w:rPr>
        <w:t>if</w:t>
      </w:r>
      <w:r w:rsidRPr="7374C138">
        <w:rPr>
          <w:rFonts w:ascii="Tahoma" w:eastAsia="Tahoma" w:hAnsi="Tahoma" w:cs="Tahoma"/>
          <w:color w:val="000000" w:themeColor="text1"/>
          <w:lang w:val="en-GB"/>
        </w:rPr>
        <w:t xml:space="preserve"> the PRP has a Current and Valid ESAt</w:t>
      </w:r>
      <w:r w:rsidRPr="7374C138">
        <w:rPr>
          <w:color w:val="000000" w:themeColor="text1"/>
          <w:lang w:val="en-GB"/>
        </w:rPr>
        <w:t xml:space="preserve">. The Provider should notify </w:t>
      </w:r>
      <w:r w:rsidR="00DC785F">
        <w:rPr>
          <w:color w:val="000000" w:themeColor="text1"/>
          <w:lang w:val="en-GB"/>
        </w:rPr>
        <w:t xml:space="preserve">the </w:t>
      </w:r>
      <w:r w:rsidRPr="7374C138">
        <w:rPr>
          <w:color w:val="000000" w:themeColor="text1"/>
          <w:lang w:val="en-GB"/>
        </w:rPr>
        <w:t xml:space="preserve">corrective </w:t>
      </w:r>
      <w:r w:rsidR="00DC785F">
        <w:t>or youth justice service</w:t>
      </w:r>
      <w:r w:rsidR="00DC785F" w:rsidRPr="7374C138">
        <w:rPr>
          <w:color w:val="000000" w:themeColor="text1"/>
          <w:lang w:val="en-GB"/>
        </w:rPr>
        <w:t xml:space="preserve"> </w:t>
      </w:r>
      <w:r w:rsidRPr="7374C138">
        <w:rPr>
          <w:color w:val="000000" w:themeColor="text1"/>
          <w:lang w:val="en-GB"/>
        </w:rPr>
        <w:t xml:space="preserve">where a PRP requires an ESAt. </w:t>
      </w:r>
      <w:r w:rsidR="000742C6">
        <w:rPr>
          <w:color w:val="000000" w:themeColor="text1"/>
          <w:lang w:val="en-GB"/>
        </w:rPr>
        <w:t xml:space="preserve">The </w:t>
      </w:r>
      <w:r w:rsidR="000742C6">
        <w:t>corrective or youth justice service</w:t>
      </w:r>
      <w:r w:rsidRPr="7374C138">
        <w:rPr>
          <w:color w:val="000000" w:themeColor="text1"/>
          <w:lang w:val="en-GB"/>
        </w:rPr>
        <w:t xml:space="preserve"> must be involved in the process and must agree to the referral for an ESAt.</w:t>
      </w:r>
    </w:p>
    <w:p w14:paraId="157349EE" w14:textId="127D37BA" w:rsidR="00D74559" w:rsidRDefault="00D74559" w:rsidP="00A17B7B">
      <w:pPr>
        <w:rPr>
          <w:rFonts w:ascii="Tahoma" w:eastAsia="Tahoma" w:hAnsi="Tahoma" w:cs="Tahoma"/>
          <w:color w:val="000000" w:themeColor="text1"/>
          <w:lang w:val="en-GB"/>
        </w:rPr>
      </w:pPr>
      <w:r w:rsidRPr="7374C138">
        <w:rPr>
          <w:rFonts w:ascii="Tahoma" w:eastAsia="Tahoma" w:hAnsi="Tahoma" w:cs="Tahoma"/>
          <w:color w:val="000000" w:themeColor="text1"/>
          <w:lang w:val="en-GB"/>
        </w:rPr>
        <w:t xml:space="preserve">The Provider is responsible for coordinating with </w:t>
      </w:r>
      <w:r w:rsidR="000742C6">
        <w:rPr>
          <w:rFonts w:ascii="Tahoma" w:eastAsia="Tahoma" w:hAnsi="Tahoma" w:cs="Tahoma"/>
          <w:color w:val="000000" w:themeColor="text1"/>
          <w:lang w:val="en-GB"/>
        </w:rPr>
        <w:t xml:space="preserve">the </w:t>
      </w:r>
      <w:r w:rsidR="000742C6">
        <w:t>corrective or youth justice service</w:t>
      </w:r>
      <w:r w:rsidRPr="7374C138">
        <w:rPr>
          <w:rFonts w:ascii="Tahoma" w:eastAsia="Tahoma" w:hAnsi="Tahoma" w:cs="Tahoma"/>
          <w:color w:val="000000" w:themeColor="text1"/>
          <w:lang w:val="en-GB"/>
        </w:rPr>
        <w:t>, the Participant and Services Australia to ensure an ESAt is completed. This includes:</w:t>
      </w:r>
    </w:p>
    <w:p w14:paraId="02E7DFA5" w14:textId="77777777" w:rsidR="00D74559" w:rsidRPr="00A17B7B" w:rsidRDefault="00D74559" w:rsidP="004E120D">
      <w:pPr>
        <w:pStyle w:val="BulletLevel1"/>
      </w:pPr>
      <w:r w:rsidRPr="00A17B7B">
        <w:t>establishing when the Participant is available to participate in the ESAt</w:t>
      </w:r>
    </w:p>
    <w:p w14:paraId="147B688D" w14:textId="4D41CC30" w:rsidR="00D74559" w:rsidRPr="00A17B7B" w:rsidRDefault="00D74559" w:rsidP="004E120D">
      <w:pPr>
        <w:pStyle w:val="BulletLevel1"/>
      </w:pPr>
      <w:r w:rsidRPr="00A17B7B">
        <w:t>supporting the Participant to source and provide medical evidence to Services Australia (</w:t>
      </w:r>
      <w:r w:rsidRPr="00B4676D">
        <w:t xml:space="preserve">see </w:t>
      </w:r>
      <w:r w:rsidR="004C547B">
        <w:rPr>
          <w:highlight w:val="yellow"/>
          <w:lang w:val="en-GB"/>
        </w:rPr>
        <w:fldChar w:fldCharType="begin"/>
      </w:r>
      <w:r w:rsidR="004C547B">
        <w:rPr>
          <w:lang w:val="en-GB"/>
        </w:rPr>
        <w:instrText xml:space="preserve"> REF _Ref202783134 \h </w:instrText>
      </w:r>
      <w:r w:rsidR="004C547B">
        <w:rPr>
          <w:highlight w:val="yellow"/>
          <w:lang w:val="en-GB"/>
        </w:rPr>
      </w:r>
      <w:r w:rsidR="004C547B">
        <w:rPr>
          <w:highlight w:val="yellow"/>
          <w:lang w:val="en-GB"/>
        </w:rPr>
        <w:fldChar w:fldCharType="separate"/>
      </w:r>
      <w:r w:rsidR="000D75AE" w:rsidRPr="7374C138">
        <w:rPr>
          <w:lang w:val="en-GB"/>
        </w:rPr>
        <w:t>2.4.4</w:t>
      </w:r>
      <w:r w:rsidR="002E053E">
        <w:rPr>
          <w:lang w:val="en-GB"/>
        </w:rPr>
        <w:t xml:space="preserve"> </w:t>
      </w:r>
      <w:r w:rsidR="000D75AE" w:rsidRPr="7374C138">
        <w:rPr>
          <w:lang w:val="en-GB"/>
        </w:rPr>
        <w:t>Medical evidence for ESAts</w:t>
      </w:r>
      <w:r w:rsidR="004C547B">
        <w:rPr>
          <w:highlight w:val="yellow"/>
          <w:lang w:val="en-GB"/>
        </w:rPr>
        <w:fldChar w:fldCharType="end"/>
      </w:r>
      <w:r w:rsidRPr="00A17B7B">
        <w:t>)</w:t>
      </w:r>
    </w:p>
    <w:p w14:paraId="5D66B81F" w14:textId="70431B83" w:rsidR="00D74559" w:rsidRPr="00B4676D" w:rsidRDefault="00D74559" w:rsidP="004E120D">
      <w:pPr>
        <w:pStyle w:val="BulletLevel1"/>
      </w:pPr>
      <w:r w:rsidRPr="00B4676D">
        <w:t>contacting Services Australia to request an ESAt and book an appointment (see</w:t>
      </w:r>
      <w:r w:rsidR="004C547B">
        <w:t xml:space="preserve"> </w:t>
      </w:r>
      <w:r w:rsidR="004C547B">
        <w:rPr>
          <w:highlight w:val="yellow"/>
        </w:rPr>
        <w:fldChar w:fldCharType="begin"/>
      </w:r>
      <w:r w:rsidR="004C547B">
        <w:instrText xml:space="preserve"> REF _Ref202783172 \h </w:instrText>
      </w:r>
      <w:r w:rsidR="004C547B">
        <w:rPr>
          <w:highlight w:val="yellow"/>
        </w:rPr>
      </w:r>
      <w:r w:rsidR="004C547B">
        <w:rPr>
          <w:highlight w:val="yellow"/>
        </w:rPr>
        <w:fldChar w:fldCharType="separate"/>
      </w:r>
      <w:r w:rsidR="000D75AE" w:rsidRPr="534D8722">
        <w:t>2.4.5</w:t>
      </w:r>
      <w:r w:rsidR="002E053E">
        <w:t xml:space="preserve"> </w:t>
      </w:r>
      <w:r w:rsidR="000D75AE" w:rsidRPr="534D8722">
        <w:t>Requesting an ESAt appointment</w:t>
      </w:r>
      <w:r w:rsidR="004C547B">
        <w:rPr>
          <w:highlight w:val="yellow"/>
        </w:rPr>
        <w:fldChar w:fldCharType="end"/>
      </w:r>
      <w:r w:rsidR="00B4676D" w:rsidRPr="00B4676D">
        <w:t>)</w:t>
      </w:r>
    </w:p>
    <w:p w14:paraId="48B2785E" w14:textId="7B3BEC56" w:rsidR="00D74559" w:rsidRPr="00A17B7B" w:rsidRDefault="00D74559" w:rsidP="004E120D">
      <w:pPr>
        <w:pStyle w:val="BulletLevel1"/>
      </w:pPr>
      <w:r w:rsidRPr="00A17B7B">
        <w:t xml:space="preserve">notifying the </w:t>
      </w:r>
      <w:r w:rsidR="000742C6">
        <w:t xml:space="preserve">corrective or youth justice service </w:t>
      </w:r>
      <w:r w:rsidRPr="00A17B7B">
        <w:t>of the ESAt appointment details</w:t>
      </w:r>
      <w:r w:rsidR="00B4676D">
        <w:t>, and</w:t>
      </w:r>
    </w:p>
    <w:p w14:paraId="01C098B3" w14:textId="77777777" w:rsidR="00D74559" w:rsidRPr="00A17B7B" w:rsidRDefault="00D74559" w:rsidP="004E120D">
      <w:pPr>
        <w:pStyle w:val="BulletLevel1"/>
      </w:pPr>
      <w:r w:rsidRPr="00A17B7B">
        <w:t>continuing to liaise with all parties until the ESAt is completed, including coordinating any rescheduling requirements.</w:t>
      </w:r>
    </w:p>
    <w:p w14:paraId="54AEC9BE" w14:textId="77777777" w:rsidR="00D74559" w:rsidRPr="008F5620" w:rsidRDefault="00D74559" w:rsidP="006D1645">
      <w:pPr>
        <w:pStyle w:val="Heading5"/>
      </w:pPr>
      <w:r w:rsidRPr="534D8722">
        <w:t>Change of Circumstance ESAt</w:t>
      </w:r>
    </w:p>
    <w:p w14:paraId="507E5923" w14:textId="588A6EF6" w:rsidR="00D74559" w:rsidRPr="00A52AFD" w:rsidRDefault="00D74559" w:rsidP="006E2EF5">
      <w:r w:rsidRPr="534D8722">
        <w:t xml:space="preserve">A Change of Circumstances ESAt may be required if the Participants change of circumstances is likely to impact on their </w:t>
      </w:r>
      <w:r w:rsidR="00186E5E">
        <w:t xml:space="preserve">assessed </w:t>
      </w:r>
      <w:r w:rsidRPr="534D8722">
        <w:t>work capacity or employment services referral recommendation. This may include:</w:t>
      </w:r>
    </w:p>
    <w:p w14:paraId="1A2E7FC4" w14:textId="42ECD290" w:rsidR="00D74559" w:rsidRDefault="00D74559" w:rsidP="004E120D">
      <w:pPr>
        <w:pStyle w:val="BulletLevel1"/>
      </w:pPr>
      <w:r>
        <w:t xml:space="preserve">there is a new medical condition that impacts the </w:t>
      </w:r>
      <w:r w:rsidR="00AC61E7">
        <w:t>Inclusive Employment Australia</w:t>
      </w:r>
      <w:r>
        <w:t xml:space="preserve"> Participant’s functional ability, and/or </w:t>
      </w:r>
    </w:p>
    <w:p w14:paraId="04E832D6" w14:textId="77777777" w:rsidR="00D74559" w:rsidRDefault="00D74559" w:rsidP="004E120D">
      <w:pPr>
        <w:pStyle w:val="BulletLevel1"/>
      </w:pPr>
      <w:r w:rsidRPr="534D8722">
        <w:t xml:space="preserve">there is a </w:t>
      </w:r>
      <w:bookmarkStart w:id="72" w:name="_Int_4k6nI7jg"/>
      <w:r w:rsidRPr="534D8722">
        <w:t>significant change</w:t>
      </w:r>
      <w:bookmarkEnd w:id="72"/>
      <w:r w:rsidRPr="534D8722">
        <w:t xml:space="preserve"> to the functional impact of the Participant’s medical condition(s), and/or</w:t>
      </w:r>
    </w:p>
    <w:p w14:paraId="5AF2EACC" w14:textId="77777777" w:rsidR="00D74559" w:rsidRDefault="00D74559" w:rsidP="004E120D">
      <w:pPr>
        <w:pStyle w:val="BulletLevel1"/>
      </w:pPr>
      <w:r w:rsidRPr="534D8722">
        <w:t>the ESAt does not reflect the Participant’s current barriers or circumstances.</w:t>
      </w:r>
    </w:p>
    <w:p w14:paraId="342670A6" w14:textId="77777777" w:rsidR="00D74559" w:rsidRDefault="00D74559" w:rsidP="005A05C4">
      <w:r w:rsidRPr="534D8722">
        <w:t xml:space="preserve">A referral for an ESAt must be of genuine benefit to the Participant and should not be requested if the identified barriers: </w:t>
      </w:r>
    </w:p>
    <w:p w14:paraId="41BC504B" w14:textId="53951CCF" w:rsidR="00D74559" w:rsidRDefault="00D74559" w:rsidP="004E120D">
      <w:pPr>
        <w:pStyle w:val="BulletLevel1"/>
      </w:pPr>
      <w:r w:rsidRPr="230A783F">
        <w:t xml:space="preserve">will not have a significant impact on the Participant’s ability to work or participate in other activities, including </w:t>
      </w:r>
      <w:r w:rsidR="00AC61E7">
        <w:t>Inclusive Employment Australia</w:t>
      </w:r>
      <w:r w:rsidR="00275066">
        <w:t>, or</w:t>
      </w:r>
    </w:p>
    <w:p w14:paraId="70612BBA" w14:textId="196CE3CD" w:rsidR="00D74559" w:rsidRDefault="43E041BA" w:rsidP="004E120D">
      <w:pPr>
        <w:pStyle w:val="BulletLevel1"/>
      </w:pPr>
      <w:r>
        <w:t xml:space="preserve">are being actively addressed by the </w:t>
      </w:r>
      <w:r w:rsidR="71F59E2B">
        <w:t>P</w:t>
      </w:r>
      <w:r>
        <w:t>rovider or other services.</w:t>
      </w:r>
    </w:p>
    <w:p w14:paraId="5AD780A5" w14:textId="3BE0C406" w:rsidR="00D74559" w:rsidRPr="00791F7F" w:rsidRDefault="00D74559" w:rsidP="006E2EF5">
      <w:r w:rsidRPr="534D8722">
        <w:t xml:space="preserve">When requesting an ESAt, Providers are required to complete the Program Summary as part of the referral for a Change a Circumstance ESAt. For further information refer to </w:t>
      </w:r>
      <w:r w:rsidRPr="008F36C2">
        <w:rPr>
          <w:rStyle w:val="Hyperlink"/>
        </w:rPr>
        <w:t xml:space="preserve">Provider Actions: Completing a Program Summary </w:t>
      </w:r>
      <w:r w:rsidR="008F36C2" w:rsidRPr="008F36C2">
        <w:rPr>
          <w:rStyle w:val="Hyperlink"/>
        </w:rPr>
        <w:t>[LINK]</w:t>
      </w:r>
      <w:r w:rsidR="008F36C2">
        <w:t xml:space="preserve"> </w:t>
      </w:r>
      <w:r w:rsidRPr="534D8722">
        <w:t xml:space="preserve">supporting document on the Provider Portal. </w:t>
      </w:r>
    </w:p>
    <w:p w14:paraId="5828E0D9" w14:textId="1D4805FC" w:rsidR="00791F7F" w:rsidRPr="00791F7F" w:rsidRDefault="00DF147F" w:rsidP="00791F7F">
      <w:pPr>
        <w:pStyle w:val="SystemStep"/>
      </w:pPr>
      <w:r>
        <w:t>Providers must</w:t>
      </w:r>
      <w:r w:rsidRPr="00FB7CD7">
        <w:t xml:space="preserve"> </w:t>
      </w:r>
      <w:r>
        <w:t>enter</w:t>
      </w:r>
      <w:r w:rsidR="00791F7F">
        <w:t xml:space="preserve"> or edit comments </w:t>
      </w:r>
      <w:r>
        <w:t xml:space="preserve">included as part of the using comment functionality </w:t>
      </w:r>
      <w:r w:rsidR="00791F7F">
        <w:t>in the Program Summary</w:t>
      </w:r>
      <w:r>
        <w:t xml:space="preserve"> on</w:t>
      </w:r>
      <w:r w:rsidRPr="53BE8163">
        <w:t xml:space="preserve"> the Department’s IT Systems</w:t>
      </w:r>
      <w:r>
        <w:t xml:space="preserve">. </w:t>
      </w:r>
      <w:r w:rsidR="002F1B77">
        <w:t xml:space="preserve">To limit </w:t>
      </w:r>
      <w:r w:rsidR="003F1FAD">
        <w:t>comments provided</w:t>
      </w:r>
      <w:r w:rsidR="002F1B77">
        <w:t xml:space="preserve"> to </w:t>
      </w:r>
      <w:r w:rsidR="003F1FAD">
        <w:t>Services Australia</w:t>
      </w:r>
      <w:r w:rsidR="00791F7F">
        <w:t xml:space="preserve"> </w:t>
      </w:r>
      <w:r w:rsidR="00647BEB">
        <w:t xml:space="preserve">select the </w:t>
      </w:r>
      <w:r w:rsidR="002A4562">
        <w:t xml:space="preserve">relevant comments </w:t>
      </w:r>
      <w:r w:rsidR="003F1FAD">
        <w:t>and</w:t>
      </w:r>
      <w:r w:rsidR="002A4562">
        <w:t xml:space="preserve"> export selected to</w:t>
      </w:r>
      <w:r w:rsidR="003F1FAD">
        <w:t xml:space="preserve"> create</w:t>
      </w:r>
      <w:r w:rsidR="002A4562">
        <w:t xml:space="preserve"> a PDF</w:t>
      </w:r>
      <w:r w:rsidR="003F1FAD">
        <w:t xml:space="preserve"> with the comments</w:t>
      </w:r>
      <w:r w:rsidR="00945766">
        <w:t>.</w:t>
      </w:r>
    </w:p>
    <w:p w14:paraId="186F205F" w14:textId="364AB90A" w:rsidR="00D74559" w:rsidRDefault="00D74559" w:rsidP="001D0F92">
      <w:pPr>
        <w:pStyle w:val="Heading4"/>
        <w:rPr>
          <w:lang w:val="en-GB"/>
        </w:rPr>
      </w:pPr>
      <w:bookmarkStart w:id="73" w:name="_Ref202783046"/>
      <w:bookmarkStart w:id="74" w:name="_Toc202899892"/>
      <w:r w:rsidRPr="7374C138">
        <w:rPr>
          <w:lang w:val="en-GB"/>
        </w:rPr>
        <w:t>2.4.2</w:t>
      </w:r>
      <w:r w:rsidR="006F727E">
        <w:rPr>
          <w:lang w:val="en-GB"/>
        </w:rPr>
        <w:tab/>
      </w:r>
      <w:r w:rsidRPr="7374C138">
        <w:rPr>
          <w:lang w:val="en-GB"/>
        </w:rPr>
        <w:t>When is an ESAt not required?</w:t>
      </w:r>
      <w:bookmarkEnd w:id="73"/>
      <w:bookmarkEnd w:id="74"/>
    </w:p>
    <w:p w14:paraId="7A399B99" w14:textId="77777777" w:rsidR="00D74559" w:rsidRDefault="00D74559" w:rsidP="005A05C4">
      <w:pPr>
        <w:keepNext/>
        <w:tabs>
          <w:tab w:val="right" w:pos="1701"/>
        </w:tabs>
        <w:spacing w:after="120"/>
        <w:rPr>
          <w:rFonts w:eastAsiaTheme="minorEastAsia"/>
          <w:lang w:val="en-GB"/>
        </w:rPr>
      </w:pPr>
      <w:r w:rsidRPr="7374C138">
        <w:rPr>
          <w:rFonts w:eastAsiaTheme="minorEastAsia"/>
          <w:lang w:val="en-GB"/>
        </w:rPr>
        <w:t>An ESAt is not required if the person is:</w:t>
      </w:r>
    </w:p>
    <w:p w14:paraId="0F133A8A" w14:textId="598354C5" w:rsidR="00D74559" w:rsidRDefault="00D74559" w:rsidP="004E120D">
      <w:pPr>
        <w:pStyle w:val="BulletLevel1"/>
        <w:rPr>
          <w:rFonts w:cs="Tahoma"/>
          <w:lang w:val="en-GB"/>
        </w:rPr>
      </w:pPr>
      <w:r w:rsidRPr="230A783F">
        <w:rPr>
          <w:lang w:val="en-GB"/>
        </w:rPr>
        <w:t xml:space="preserve">a Participant commencing a new Period of Service in </w:t>
      </w:r>
      <w:r w:rsidR="00AC61E7">
        <w:rPr>
          <w:lang w:val="en-GB"/>
        </w:rPr>
        <w:t>Inclusive Employment Australia</w:t>
      </w:r>
      <w:r w:rsidRPr="230A783F">
        <w:rPr>
          <w:lang w:val="en-GB"/>
        </w:rPr>
        <w:t xml:space="preserve"> who has a Current ESAt (within the last 2 years) that is still Valid and recommends </w:t>
      </w:r>
      <w:r w:rsidR="00AC61E7">
        <w:rPr>
          <w:lang w:val="en-GB"/>
        </w:rPr>
        <w:t>Inclusive Employment Australia</w:t>
      </w:r>
      <w:r w:rsidRPr="230A783F">
        <w:rPr>
          <w:lang w:val="en-GB"/>
        </w:rPr>
        <w:t xml:space="preserve"> </w:t>
      </w:r>
      <w:r w:rsidRPr="230A783F">
        <w:rPr>
          <w:rFonts w:cs="Tahoma"/>
          <w:color w:val="000000" w:themeColor="text1"/>
          <w:lang w:val="en-GB"/>
        </w:rPr>
        <w:t>(</w:t>
      </w:r>
      <w:r w:rsidR="0029191C" w:rsidRPr="00C84BBC">
        <w:t xml:space="preserve">or </w:t>
      </w:r>
      <w:r w:rsidR="0029191C">
        <w:t>the</w:t>
      </w:r>
      <w:r w:rsidR="0029191C" w:rsidRPr="00C84BBC">
        <w:t xml:space="preserve"> former </w:t>
      </w:r>
      <w:r w:rsidR="0029191C">
        <w:t>DES program</w:t>
      </w:r>
      <w:r w:rsidRPr="230A783F">
        <w:rPr>
          <w:rFonts w:cs="Tahoma"/>
          <w:color w:val="000000" w:themeColor="text1"/>
          <w:lang w:val="en-GB"/>
        </w:rPr>
        <w:t>)</w:t>
      </w:r>
      <w:r w:rsidR="007B39E5">
        <w:rPr>
          <w:rFonts w:cs="Tahoma"/>
          <w:color w:val="000000" w:themeColor="text1"/>
          <w:lang w:val="en-GB"/>
        </w:rPr>
        <w:t xml:space="preserve"> —</w:t>
      </w:r>
      <w:r w:rsidRPr="230A783F">
        <w:rPr>
          <w:rFonts w:cs="Tahoma"/>
          <w:color w:val="000000" w:themeColor="text1"/>
          <w:lang w:val="en-GB"/>
        </w:rPr>
        <w:t xml:space="preserve"> </w:t>
      </w:r>
      <w:r w:rsidR="007B39E5">
        <w:rPr>
          <w:rFonts w:cs="Tahoma"/>
          <w:color w:val="000000" w:themeColor="text1"/>
          <w:lang w:val="en-GB"/>
        </w:rPr>
        <w:t>s</w:t>
      </w:r>
      <w:r w:rsidRPr="230A783F">
        <w:rPr>
          <w:rFonts w:cs="Tahoma"/>
          <w:lang w:val="en-GB"/>
        </w:rPr>
        <w:t xml:space="preserve">ee </w:t>
      </w:r>
      <w:r w:rsidR="001D4E0F">
        <w:rPr>
          <w:highlight w:val="yellow"/>
        </w:rPr>
        <w:fldChar w:fldCharType="begin"/>
      </w:r>
      <w:r w:rsidR="001D4E0F">
        <w:instrText xml:space="preserve"> REF _Ref202780839 \h </w:instrText>
      </w:r>
      <w:r w:rsidR="001D4E0F">
        <w:rPr>
          <w:highlight w:val="yellow"/>
        </w:rPr>
      </w:r>
      <w:r w:rsidR="001D4E0F">
        <w:rPr>
          <w:highlight w:val="yellow"/>
        </w:rPr>
        <w:fldChar w:fldCharType="separate"/>
      </w:r>
      <w:r w:rsidR="000D75AE" w:rsidRPr="7374C138">
        <w:rPr>
          <w:lang w:val="en-GB"/>
        </w:rPr>
        <w:t>2.4.3</w:t>
      </w:r>
      <w:r w:rsidR="002E053E">
        <w:rPr>
          <w:lang w:val="en-GB"/>
        </w:rPr>
        <w:t xml:space="preserve"> </w:t>
      </w:r>
      <w:r w:rsidR="000D75AE" w:rsidRPr="7374C138">
        <w:rPr>
          <w:lang w:val="en-GB"/>
        </w:rPr>
        <w:t xml:space="preserve">ESAt requirements for DSP </w:t>
      </w:r>
      <w:r w:rsidR="000D75AE">
        <w:rPr>
          <w:lang w:val="en-GB"/>
        </w:rPr>
        <w:t>r</w:t>
      </w:r>
      <w:r w:rsidR="000D75AE" w:rsidRPr="7374C138">
        <w:rPr>
          <w:lang w:val="en-GB"/>
        </w:rPr>
        <w:t>ecipients and NDIS participants</w:t>
      </w:r>
      <w:r w:rsidR="001D4E0F">
        <w:rPr>
          <w:highlight w:val="yellow"/>
        </w:rPr>
        <w:fldChar w:fldCharType="end"/>
      </w:r>
      <w:r w:rsidR="001D4E0F">
        <w:t xml:space="preserve"> </w:t>
      </w:r>
      <w:r w:rsidRPr="230A783F">
        <w:rPr>
          <w:rFonts w:cs="Tahoma"/>
          <w:lang w:val="en-GB"/>
        </w:rPr>
        <w:t>for exceptions to this rule</w:t>
      </w:r>
    </w:p>
    <w:p w14:paraId="6FB980A5" w14:textId="72FCD628" w:rsidR="00D74559" w:rsidRPr="00AF2AC0" w:rsidRDefault="00D74559" w:rsidP="004E120D">
      <w:pPr>
        <w:pStyle w:val="BulletLevel1"/>
        <w:rPr>
          <w:rFonts w:eastAsiaTheme="minorEastAsia"/>
          <w:color w:val="000000" w:themeColor="text1"/>
        </w:rPr>
      </w:pPr>
      <w:r w:rsidRPr="534D8722">
        <w:rPr>
          <w:rFonts w:eastAsiaTheme="minorEastAsia"/>
          <w:color w:val="000000" w:themeColor="text1"/>
        </w:rPr>
        <w:t xml:space="preserve">an </w:t>
      </w:r>
      <w:r w:rsidRPr="534D8722">
        <w:rPr>
          <w:rFonts w:eastAsiaTheme="minorEastAsia"/>
        </w:rPr>
        <w:t>Eligible School Leaver</w:t>
      </w:r>
      <w:r w:rsidRPr="534D8722">
        <w:rPr>
          <w:rFonts w:eastAsiaTheme="minorEastAsia"/>
          <w:color w:val="000000" w:themeColor="text1"/>
        </w:rPr>
        <w:t xml:space="preserve"> </w:t>
      </w:r>
      <w:r w:rsidR="00612086">
        <w:rPr>
          <w:rFonts w:eastAsiaTheme="minorEastAsia"/>
          <w:color w:val="000000" w:themeColor="text1"/>
        </w:rPr>
        <w:t xml:space="preserve">(ESL) Participant </w:t>
      </w:r>
      <w:r w:rsidRPr="534D8722">
        <w:t>— see</w:t>
      </w:r>
      <w:r w:rsidR="001D4E0F">
        <w:t xml:space="preserve"> </w:t>
      </w:r>
      <w:r w:rsidR="002E053E">
        <w:fldChar w:fldCharType="begin"/>
      </w:r>
      <w:r w:rsidR="002E053E">
        <w:instrText xml:space="preserve"> REF _Ref202783226 \h </w:instrText>
      </w:r>
      <w:r w:rsidR="002E053E">
        <w:fldChar w:fldCharType="separate"/>
      </w:r>
      <w:r w:rsidR="002E053E">
        <w:t xml:space="preserve">1.3.1 </w:t>
      </w:r>
      <w:r w:rsidR="002E053E" w:rsidRPr="68A5FFF4">
        <w:t>Eligible School Leavers</w:t>
      </w:r>
      <w:r w:rsidR="002E053E">
        <w:fldChar w:fldCharType="end"/>
      </w:r>
      <w:r w:rsidR="00C831E8">
        <w:fldChar w:fldCharType="begin"/>
      </w:r>
      <w:r w:rsidR="00C831E8">
        <w:instrText xml:space="preserve"> REF _Ref202783226 \h </w:instrText>
      </w:r>
      <w:r w:rsidR="00C831E8">
        <w:fldChar w:fldCharType="separate"/>
      </w:r>
      <w:r w:rsidR="00C831E8">
        <w:fldChar w:fldCharType="end"/>
      </w:r>
      <w:r w:rsidR="00335E75">
        <w:rPr>
          <w:highlight w:val="yellow"/>
        </w:rPr>
        <w:fldChar w:fldCharType="begin"/>
      </w:r>
      <w:r w:rsidR="00335E75">
        <w:instrText xml:space="preserve"> REF _Ref202783226 \h </w:instrText>
      </w:r>
      <w:r w:rsidR="00335E75">
        <w:rPr>
          <w:highlight w:val="yellow"/>
        </w:rPr>
      </w:r>
      <w:r w:rsidR="00335E75">
        <w:rPr>
          <w:highlight w:val="yellow"/>
        </w:rPr>
        <w:fldChar w:fldCharType="separate"/>
      </w:r>
      <w:r w:rsidR="00335E75">
        <w:rPr>
          <w:highlight w:val="yellow"/>
        </w:rPr>
        <w:fldChar w:fldCharType="end"/>
      </w:r>
    </w:p>
    <w:p w14:paraId="3A8922D7" w14:textId="40E08B62" w:rsidR="00D74559" w:rsidRDefault="00D74559" w:rsidP="004E120D">
      <w:pPr>
        <w:pStyle w:val="BulletLevel1"/>
        <w:rPr>
          <w:rFonts w:eastAsiaTheme="minorEastAsia"/>
        </w:rPr>
      </w:pPr>
      <w:r w:rsidRPr="230A783F">
        <w:rPr>
          <w:rFonts w:eastAsiaTheme="minorEastAsia"/>
          <w:color w:val="000000" w:themeColor="text1"/>
        </w:rPr>
        <w:t xml:space="preserve">a </w:t>
      </w:r>
      <w:r w:rsidRPr="230A783F">
        <w:rPr>
          <w:rFonts w:eastAsiaTheme="minorEastAsia"/>
        </w:rPr>
        <w:t>Special Class Client</w:t>
      </w:r>
      <w:r w:rsidR="00612086">
        <w:rPr>
          <w:rFonts w:eastAsiaTheme="minorEastAsia"/>
        </w:rPr>
        <w:t xml:space="preserve"> (SCC) Participant </w:t>
      </w:r>
      <w:r>
        <w:t xml:space="preserve">— see </w:t>
      </w:r>
      <w:r w:rsidR="007B39E5">
        <w:fldChar w:fldCharType="begin"/>
      </w:r>
      <w:r w:rsidR="007B39E5">
        <w:instrText xml:space="preserve"> REF _Ref202783279 \h </w:instrText>
      </w:r>
      <w:r w:rsidR="007B39E5">
        <w:fldChar w:fldCharType="separate"/>
      </w:r>
      <w:r w:rsidR="007B39E5">
        <w:fldChar w:fldCharType="end"/>
      </w:r>
      <w:r w:rsidR="002E053E">
        <w:fldChar w:fldCharType="begin"/>
      </w:r>
      <w:r w:rsidR="002E053E">
        <w:instrText xml:space="preserve"> REF _Ref202783279 \h </w:instrText>
      </w:r>
      <w:r w:rsidR="002E053E">
        <w:fldChar w:fldCharType="separate"/>
      </w:r>
      <w:r w:rsidR="002E053E">
        <w:t xml:space="preserve">1.3.2 </w:t>
      </w:r>
      <w:r w:rsidR="002E053E" w:rsidRPr="00FF753D">
        <w:t>Special Class Clients</w:t>
      </w:r>
      <w:r w:rsidR="002E053E">
        <w:fldChar w:fldCharType="end"/>
      </w:r>
    </w:p>
    <w:p w14:paraId="3A0A7756" w14:textId="68B0BF6E" w:rsidR="00D74559" w:rsidRPr="006F0132" w:rsidRDefault="00D74559" w:rsidP="004E120D">
      <w:pPr>
        <w:pStyle w:val="BulletLevel1"/>
      </w:pPr>
      <w:r w:rsidRPr="534D8722">
        <w:t xml:space="preserve">an Ongoing Support (Work Assist) Participant — see </w:t>
      </w:r>
      <w:r w:rsidR="007B39E5">
        <w:fldChar w:fldCharType="begin"/>
      </w:r>
      <w:r w:rsidR="007B39E5">
        <w:instrText xml:space="preserve"> REF _Ref202783302 \h </w:instrText>
      </w:r>
      <w:r w:rsidR="007B39E5">
        <w:fldChar w:fldCharType="separate"/>
      </w:r>
      <w:r w:rsidR="000D75AE">
        <w:t>1.3.6</w:t>
      </w:r>
      <w:r w:rsidR="002E053E">
        <w:t xml:space="preserve"> </w:t>
      </w:r>
      <w:r w:rsidR="000D75AE">
        <w:t>Ongoing Support (Work Assist) Participants</w:t>
      </w:r>
      <w:r w:rsidR="007B39E5">
        <w:fldChar w:fldCharType="end"/>
      </w:r>
    </w:p>
    <w:p w14:paraId="3E90E0EE" w14:textId="014FF69D" w:rsidR="00D74559" w:rsidRDefault="00D74559" w:rsidP="004E120D">
      <w:pPr>
        <w:pStyle w:val="BulletLevel1"/>
        <w:rPr>
          <w:lang w:val="en-GB"/>
        </w:rPr>
      </w:pPr>
      <w:r w:rsidRPr="7374C138">
        <w:rPr>
          <w:lang w:val="en-GB"/>
        </w:rPr>
        <w:t xml:space="preserve">a DSP Recipient or NDIS participant that has a Valid ESAt, regardless of when it was conducted — </w:t>
      </w:r>
      <w:r w:rsidR="001564A4">
        <w:rPr>
          <w:rFonts w:cs="Tahoma"/>
          <w:color w:val="000000" w:themeColor="text1"/>
          <w:lang w:val="en-GB"/>
        </w:rPr>
        <w:t>s</w:t>
      </w:r>
      <w:r w:rsidR="001564A4" w:rsidRPr="7374C138">
        <w:rPr>
          <w:lang w:val="en-GB"/>
        </w:rPr>
        <w:t xml:space="preserve">ee </w:t>
      </w:r>
      <w:r w:rsidR="001564A4">
        <w:rPr>
          <w:highlight w:val="yellow"/>
        </w:rPr>
        <w:fldChar w:fldCharType="begin"/>
      </w:r>
      <w:r w:rsidR="001564A4">
        <w:instrText xml:space="preserve"> REF _Ref202780839 \h </w:instrText>
      </w:r>
      <w:r w:rsidR="001564A4">
        <w:rPr>
          <w:highlight w:val="yellow"/>
        </w:rPr>
      </w:r>
      <w:r w:rsidR="001564A4">
        <w:rPr>
          <w:highlight w:val="yellow"/>
        </w:rPr>
        <w:fldChar w:fldCharType="separate"/>
      </w:r>
      <w:r w:rsidR="000D75AE" w:rsidRPr="7374C138">
        <w:rPr>
          <w:lang w:val="en-GB"/>
        </w:rPr>
        <w:t>2.4.3</w:t>
      </w:r>
      <w:r w:rsidR="002E053E">
        <w:rPr>
          <w:lang w:val="en-GB"/>
        </w:rPr>
        <w:t xml:space="preserve"> </w:t>
      </w:r>
      <w:r w:rsidR="000D75AE" w:rsidRPr="7374C138">
        <w:rPr>
          <w:lang w:val="en-GB"/>
        </w:rPr>
        <w:t xml:space="preserve">ESAt requirements for DSP </w:t>
      </w:r>
      <w:r w:rsidR="000D75AE">
        <w:rPr>
          <w:lang w:val="en-GB"/>
        </w:rPr>
        <w:t>r</w:t>
      </w:r>
      <w:r w:rsidR="000D75AE" w:rsidRPr="7374C138">
        <w:rPr>
          <w:lang w:val="en-GB"/>
        </w:rPr>
        <w:t>ecipients and NDIS participants</w:t>
      </w:r>
      <w:r w:rsidR="001564A4">
        <w:rPr>
          <w:highlight w:val="yellow"/>
        </w:rPr>
        <w:fldChar w:fldCharType="end"/>
      </w:r>
    </w:p>
    <w:p w14:paraId="5711D743" w14:textId="56CB4683" w:rsidR="00D74559" w:rsidRDefault="00D74559" w:rsidP="004E120D">
      <w:pPr>
        <w:pStyle w:val="BulletLevel1"/>
        <w:rPr>
          <w:lang w:val="en-GB"/>
        </w:rPr>
      </w:pPr>
      <w:r w:rsidRPr="230A783F">
        <w:rPr>
          <w:lang w:val="en-GB"/>
        </w:rPr>
        <w:t xml:space="preserve">a Participant who returns to </w:t>
      </w:r>
      <w:r w:rsidR="00AC61E7">
        <w:rPr>
          <w:lang w:val="en-GB"/>
        </w:rPr>
        <w:t>Inclusive Employment Australia</w:t>
      </w:r>
      <w:r w:rsidRPr="230A783F">
        <w:rPr>
          <w:lang w:val="en-GB"/>
        </w:rPr>
        <w:t xml:space="preserve"> within 13 weeks and there has been no </w:t>
      </w:r>
      <w:bookmarkStart w:id="75" w:name="_Int_fTsgpUPA"/>
      <w:r w:rsidRPr="230A783F">
        <w:rPr>
          <w:lang w:val="en-GB"/>
        </w:rPr>
        <w:t>significant change</w:t>
      </w:r>
      <w:bookmarkEnd w:id="75"/>
      <w:r w:rsidRPr="230A783F">
        <w:rPr>
          <w:lang w:val="en-GB"/>
        </w:rPr>
        <w:t xml:space="preserve"> to their circumstances that is likely to impact on their </w:t>
      </w:r>
      <w:r w:rsidR="00430EE4">
        <w:rPr>
          <w:lang w:val="en-GB"/>
        </w:rPr>
        <w:t xml:space="preserve">assessed </w:t>
      </w:r>
      <w:r w:rsidRPr="230A783F">
        <w:rPr>
          <w:lang w:val="en-GB"/>
        </w:rPr>
        <w:t>work capacity or employment services referral recommendation</w:t>
      </w:r>
    </w:p>
    <w:p w14:paraId="627C0625" w14:textId="1955E4BC" w:rsidR="00D74559" w:rsidRDefault="00140FDB" w:rsidP="004E120D">
      <w:pPr>
        <w:pStyle w:val="BulletLevel1"/>
      </w:pPr>
      <w:bookmarkStart w:id="76" w:name="_Int_1HPUkecH"/>
      <w:bookmarkEnd w:id="76"/>
      <w:r w:rsidRPr="534D8722">
        <w:rPr>
          <w:lang w:val="en-GB"/>
        </w:rPr>
        <w:t xml:space="preserve">a Participant (Mutual Obligation) </w:t>
      </w:r>
      <w:r>
        <w:rPr>
          <w:lang w:val="en-GB"/>
        </w:rPr>
        <w:t xml:space="preserve">is </w:t>
      </w:r>
      <w:r w:rsidR="00637662">
        <w:rPr>
          <w:lang w:val="en-GB"/>
        </w:rPr>
        <w:t>Fully M</w:t>
      </w:r>
      <w:r>
        <w:rPr>
          <w:lang w:val="en-GB"/>
        </w:rPr>
        <w:t xml:space="preserve">eeting their </w:t>
      </w:r>
      <w:r w:rsidR="00822CB4">
        <w:rPr>
          <w:lang w:val="en-GB"/>
        </w:rPr>
        <w:t>Mutual Obligation R</w:t>
      </w:r>
      <w:r>
        <w:rPr>
          <w:lang w:val="en-GB"/>
        </w:rPr>
        <w:t xml:space="preserve">equirements </w:t>
      </w:r>
      <w:r w:rsidR="00D74559">
        <w:t xml:space="preserve">via an </w:t>
      </w:r>
      <w:r w:rsidR="004956CA">
        <w:t>a</w:t>
      </w:r>
      <w:r w:rsidR="00D74559">
        <w:t>pproved Activity, or</w:t>
      </w:r>
    </w:p>
    <w:p w14:paraId="4B04AD5B" w14:textId="04D224DD" w:rsidR="00D74559" w:rsidRDefault="00D74559" w:rsidP="004E120D">
      <w:pPr>
        <w:pStyle w:val="BulletLevel1"/>
        <w:rPr>
          <w:lang w:val="en-GB"/>
        </w:rPr>
      </w:pPr>
      <w:r w:rsidRPr="534D8722">
        <w:rPr>
          <w:lang w:val="en-GB"/>
        </w:rPr>
        <w:t xml:space="preserve">a Participant (Mutual Obligation) or DSP Recipient (Compulsory Requirements) who is expected to be granted an </w:t>
      </w:r>
      <w:r w:rsidR="00347303">
        <w:rPr>
          <w:lang w:val="en-GB"/>
        </w:rPr>
        <w:t>E</w:t>
      </w:r>
      <w:r w:rsidRPr="534D8722">
        <w:rPr>
          <w:lang w:val="en-GB"/>
        </w:rPr>
        <w:t xml:space="preserve">xemption from their </w:t>
      </w:r>
      <w:r w:rsidR="009336BC">
        <w:rPr>
          <w:lang w:val="en-GB"/>
        </w:rPr>
        <w:t>participation r</w:t>
      </w:r>
      <w:r w:rsidRPr="534D8722">
        <w:rPr>
          <w:lang w:val="en-GB"/>
        </w:rPr>
        <w:t xml:space="preserve">equirements for an extended period and are unlikely to benefit from an ESAt being conducted while the </w:t>
      </w:r>
      <w:r w:rsidR="00347303">
        <w:rPr>
          <w:lang w:val="en-GB"/>
        </w:rPr>
        <w:t>E</w:t>
      </w:r>
      <w:r w:rsidRPr="534D8722">
        <w:rPr>
          <w:lang w:val="en-GB"/>
        </w:rPr>
        <w:t>xemption is current.</w:t>
      </w:r>
    </w:p>
    <w:p w14:paraId="0D7B55D3" w14:textId="3A51FB6E" w:rsidR="00D74559" w:rsidRDefault="00D74559" w:rsidP="001D0F92">
      <w:pPr>
        <w:pStyle w:val="Heading4"/>
        <w:rPr>
          <w:lang w:val="en-GB"/>
        </w:rPr>
      </w:pPr>
      <w:bookmarkStart w:id="77" w:name="_Ref202780839"/>
      <w:bookmarkStart w:id="78" w:name="_Toc202899893"/>
      <w:r w:rsidRPr="7374C138">
        <w:rPr>
          <w:lang w:val="en-GB"/>
        </w:rPr>
        <w:t>2.4.3</w:t>
      </w:r>
      <w:r w:rsidR="006F727E">
        <w:rPr>
          <w:lang w:val="en-GB"/>
        </w:rPr>
        <w:tab/>
      </w:r>
      <w:r w:rsidRPr="7374C138">
        <w:rPr>
          <w:lang w:val="en-GB"/>
        </w:rPr>
        <w:t xml:space="preserve">ESAt requirements for DSP </w:t>
      </w:r>
      <w:r w:rsidR="006F727E">
        <w:rPr>
          <w:lang w:val="en-GB"/>
        </w:rPr>
        <w:t>r</w:t>
      </w:r>
      <w:r w:rsidRPr="7374C138">
        <w:rPr>
          <w:lang w:val="en-GB"/>
        </w:rPr>
        <w:t>ecipients and NDIS participants</w:t>
      </w:r>
      <w:bookmarkEnd w:id="77"/>
      <w:bookmarkEnd w:id="78"/>
    </w:p>
    <w:p w14:paraId="4F984A5B" w14:textId="482790D5" w:rsidR="00D74559" w:rsidRDefault="00D74559" w:rsidP="00B529B9">
      <w:pPr>
        <w:rPr>
          <w:lang w:val="en-GB"/>
        </w:rPr>
      </w:pPr>
      <w:r w:rsidRPr="230A783F">
        <w:rPr>
          <w:rFonts w:eastAsiaTheme="minorEastAsia"/>
          <w:lang w:val="en-GB"/>
        </w:rPr>
        <w:t xml:space="preserve">If a DSP </w:t>
      </w:r>
      <w:r w:rsidR="00A10707">
        <w:rPr>
          <w:rFonts w:eastAsiaTheme="minorEastAsia"/>
          <w:lang w:val="en-GB"/>
        </w:rPr>
        <w:t>r</w:t>
      </w:r>
      <w:r w:rsidRPr="471F3E0B">
        <w:rPr>
          <w:rFonts w:eastAsiaTheme="minorEastAsia"/>
          <w:lang w:val="en-GB"/>
        </w:rPr>
        <w:t>ecipient</w:t>
      </w:r>
      <w:r w:rsidRPr="230A783F">
        <w:rPr>
          <w:rFonts w:eastAsiaTheme="minorEastAsia"/>
          <w:lang w:val="en-GB"/>
        </w:rPr>
        <w:t xml:space="preserve"> and/or NDIS participant has had a previous ESAt (including </w:t>
      </w:r>
      <w:r w:rsidR="006F727E">
        <w:rPr>
          <w:rFonts w:eastAsiaTheme="minorEastAsia"/>
          <w:lang w:val="en-GB"/>
        </w:rPr>
        <w:t xml:space="preserve">a </w:t>
      </w:r>
      <w:r w:rsidRPr="230A783F">
        <w:rPr>
          <w:rFonts w:eastAsiaTheme="minorEastAsia"/>
          <w:lang w:val="en-GB"/>
        </w:rPr>
        <w:t xml:space="preserve">JCA) they can immediately Commence in </w:t>
      </w:r>
      <w:r w:rsidR="00AC61E7">
        <w:rPr>
          <w:rFonts w:eastAsiaTheme="minorEastAsia"/>
          <w:lang w:val="en-GB"/>
        </w:rPr>
        <w:t>Inclusive Employment Australia</w:t>
      </w:r>
      <w:r w:rsidRPr="230A783F">
        <w:rPr>
          <w:rFonts w:eastAsiaTheme="minorEastAsia"/>
          <w:lang w:val="en-GB"/>
        </w:rPr>
        <w:t>. This includes</w:t>
      </w:r>
      <w:r w:rsidRPr="230A783F">
        <w:rPr>
          <w:lang w:val="en-GB"/>
        </w:rPr>
        <w:t xml:space="preserve"> ESAts that are more than 2</w:t>
      </w:r>
      <w:r w:rsidR="00F5111F">
        <w:rPr>
          <w:lang w:val="en-GB"/>
        </w:rPr>
        <w:t> </w:t>
      </w:r>
      <w:r w:rsidRPr="230A783F">
        <w:rPr>
          <w:lang w:val="en-GB"/>
        </w:rPr>
        <w:t>years old (i.e. does not need to be a Current ESAt).</w:t>
      </w:r>
    </w:p>
    <w:p w14:paraId="20696292" w14:textId="30EC16CB" w:rsidR="00D74559" w:rsidRDefault="00D74559" w:rsidP="00310597">
      <w:pPr>
        <w:rPr>
          <w:lang w:val="en-GB"/>
        </w:rPr>
      </w:pPr>
      <w:r w:rsidRPr="00310597">
        <w:t xml:space="preserve">The previous ESAt can be used to commence a DSP Recipient and/or NDIS participant in </w:t>
      </w:r>
      <w:r w:rsidR="00AC61E7">
        <w:t>Inclusive Employment Australia</w:t>
      </w:r>
      <w:r w:rsidRPr="00310597">
        <w:t xml:space="preserve">, if the baseline work capacity and future work capacity with intervention are less than 30 hours per week, regardless of the referral recommendation. This includes referral recommendations to </w:t>
      </w:r>
      <w:r w:rsidR="00AC61E7">
        <w:t>Inclusive Employment Australia</w:t>
      </w:r>
      <w:r w:rsidR="00351615">
        <w:t>, former disability employment services (including the DES program)</w:t>
      </w:r>
      <w:r w:rsidRPr="00310597">
        <w:t>, other employment services or a recommendation of ‘unable to benefit</w:t>
      </w:r>
      <w:r w:rsidRPr="230A783F">
        <w:rPr>
          <w:lang w:val="en-GB"/>
        </w:rPr>
        <w:t>’</w:t>
      </w:r>
      <w:r w:rsidR="00D555EA">
        <w:rPr>
          <w:lang w:val="en-GB"/>
        </w:rPr>
        <w:t>.</w:t>
      </w:r>
    </w:p>
    <w:p w14:paraId="05F748E5" w14:textId="4D1EA549" w:rsidR="00D74559" w:rsidRDefault="00D74559" w:rsidP="00B529B9">
      <w:pPr>
        <w:rPr>
          <w:rFonts w:eastAsiaTheme="minorEastAsia"/>
          <w:lang w:val="en-GB"/>
        </w:rPr>
      </w:pPr>
      <w:r w:rsidRPr="7374C138">
        <w:rPr>
          <w:rFonts w:eastAsiaTheme="minorEastAsia"/>
          <w:lang w:val="en-GB"/>
        </w:rPr>
        <w:t xml:space="preserve">If the DSP </w:t>
      </w:r>
      <w:r w:rsidR="00F865E7">
        <w:rPr>
          <w:rFonts w:eastAsiaTheme="minorEastAsia"/>
          <w:lang w:val="en-GB"/>
        </w:rPr>
        <w:t>r</w:t>
      </w:r>
      <w:r w:rsidRPr="38F7E55B">
        <w:rPr>
          <w:rFonts w:eastAsiaTheme="minorEastAsia"/>
          <w:lang w:val="en-GB"/>
        </w:rPr>
        <w:t>ecipient</w:t>
      </w:r>
      <w:r w:rsidRPr="7374C138">
        <w:rPr>
          <w:rFonts w:eastAsiaTheme="minorEastAsia"/>
          <w:lang w:val="en-GB"/>
        </w:rPr>
        <w:t xml:space="preserve"> or NDIS participant have had a </w:t>
      </w:r>
      <w:bookmarkStart w:id="79" w:name="_Int_Aq42oydJ"/>
      <w:r w:rsidRPr="7374C138">
        <w:rPr>
          <w:rFonts w:eastAsiaTheme="minorEastAsia"/>
          <w:lang w:val="en-GB"/>
        </w:rPr>
        <w:t>significant change</w:t>
      </w:r>
      <w:bookmarkEnd w:id="79"/>
      <w:r w:rsidRPr="7374C138">
        <w:rPr>
          <w:rFonts w:eastAsiaTheme="minorEastAsia"/>
          <w:lang w:val="en-GB"/>
        </w:rPr>
        <w:t xml:space="preserve"> in circumstances since the previous ESAt, that may change their </w:t>
      </w:r>
      <w:r w:rsidR="00F33F2A">
        <w:rPr>
          <w:rFonts w:eastAsiaTheme="minorEastAsia"/>
          <w:lang w:val="en-GB"/>
        </w:rPr>
        <w:t>assessed</w:t>
      </w:r>
      <w:r w:rsidR="00F33F2A" w:rsidRPr="7374C138">
        <w:rPr>
          <w:rFonts w:eastAsiaTheme="minorEastAsia"/>
          <w:lang w:val="en-GB"/>
        </w:rPr>
        <w:t xml:space="preserve"> </w:t>
      </w:r>
      <w:r w:rsidRPr="7374C138">
        <w:rPr>
          <w:rFonts w:eastAsiaTheme="minorEastAsia"/>
          <w:lang w:val="en-GB"/>
        </w:rPr>
        <w:t>work capacity, a new ESAt should be requested.</w:t>
      </w:r>
    </w:p>
    <w:p w14:paraId="7AB42219" w14:textId="65431A55" w:rsidR="00D74559" w:rsidRDefault="00D74559" w:rsidP="00B529B9">
      <w:pPr>
        <w:rPr>
          <w:rFonts w:eastAsiaTheme="minorEastAsia"/>
          <w:lang w:val="en-GB"/>
        </w:rPr>
      </w:pPr>
      <w:r w:rsidRPr="230A783F">
        <w:rPr>
          <w:rFonts w:eastAsiaTheme="minorEastAsia"/>
          <w:lang w:val="en-GB"/>
        </w:rPr>
        <w:t xml:space="preserve">A DSP </w:t>
      </w:r>
      <w:r w:rsidR="00F865E7">
        <w:rPr>
          <w:rFonts w:eastAsiaTheme="minorEastAsia"/>
          <w:lang w:val="en-GB"/>
        </w:rPr>
        <w:t>r</w:t>
      </w:r>
      <w:r w:rsidRPr="230A783F">
        <w:rPr>
          <w:rFonts w:eastAsiaTheme="minorEastAsia"/>
          <w:lang w:val="en-GB"/>
        </w:rPr>
        <w:t xml:space="preserve">ecipient or NDIS participant can choose to remain in </w:t>
      </w:r>
      <w:r w:rsidR="00AC61E7">
        <w:rPr>
          <w:rFonts w:eastAsiaTheme="minorEastAsia"/>
          <w:lang w:val="en-GB"/>
        </w:rPr>
        <w:t>Inclusive Employment Australia</w:t>
      </w:r>
      <w:r w:rsidRPr="230A783F">
        <w:rPr>
          <w:rFonts w:eastAsiaTheme="minorEastAsia"/>
          <w:lang w:val="en-GB"/>
        </w:rPr>
        <w:t xml:space="preserve"> if they wish to, even if a Change of Circumstances ESAt recommends a different employment service. This applies to DSP </w:t>
      </w:r>
      <w:r w:rsidR="00F865E7">
        <w:rPr>
          <w:rFonts w:eastAsiaTheme="minorEastAsia"/>
          <w:lang w:val="en-GB"/>
        </w:rPr>
        <w:t>r</w:t>
      </w:r>
      <w:r w:rsidRPr="230A783F">
        <w:rPr>
          <w:rFonts w:eastAsiaTheme="minorEastAsia"/>
          <w:lang w:val="en-GB"/>
        </w:rPr>
        <w:t>ecipients and/or NDIS participants who have Mutual Obligation Requirements</w:t>
      </w:r>
      <w:r w:rsidR="00A81172">
        <w:rPr>
          <w:rFonts w:eastAsiaTheme="minorEastAsia"/>
          <w:lang w:val="en-GB"/>
        </w:rPr>
        <w:t>,</w:t>
      </w:r>
      <w:r w:rsidRPr="230A783F" w:rsidDel="00A81172">
        <w:rPr>
          <w:rFonts w:eastAsiaTheme="minorEastAsia"/>
          <w:lang w:val="en-GB"/>
        </w:rPr>
        <w:t xml:space="preserve"> </w:t>
      </w:r>
      <w:r w:rsidRPr="230A783F">
        <w:rPr>
          <w:rFonts w:eastAsiaTheme="minorEastAsia"/>
          <w:lang w:val="en-GB"/>
        </w:rPr>
        <w:t>Compulsory Participation Requirements or are participating voluntarily.</w:t>
      </w:r>
    </w:p>
    <w:p w14:paraId="6B8D2007" w14:textId="57A5FF66" w:rsidR="00D74559" w:rsidRDefault="00D74559" w:rsidP="001D0F92">
      <w:pPr>
        <w:pStyle w:val="Heading4"/>
        <w:rPr>
          <w:lang w:val="en-GB"/>
        </w:rPr>
      </w:pPr>
      <w:bookmarkStart w:id="80" w:name="_Ref202783134"/>
      <w:bookmarkStart w:id="81" w:name="_Toc202899894"/>
      <w:r w:rsidRPr="7374C138">
        <w:rPr>
          <w:lang w:val="en-GB"/>
        </w:rPr>
        <w:t>2.4.4</w:t>
      </w:r>
      <w:r w:rsidR="006F727E">
        <w:rPr>
          <w:lang w:val="en-GB"/>
        </w:rPr>
        <w:tab/>
      </w:r>
      <w:r w:rsidRPr="7374C138">
        <w:rPr>
          <w:lang w:val="en-GB"/>
        </w:rPr>
        <w:t>Medical evidence for ESAts</w:t>
      </w:r>
      <w:bookmarkEnd w:id="80"/>
      <w:bookmarkEnd w:id="81"/>
    </w:p>
    <w:p w14:paraId="20128BA1" w14:textId="77777777" w:rsidR="00D74559" w:rsidRPr="005B0772" w:rsidRDefault="00D74559" w:rsidP="00B529B9">
      <w:pPr>
        <w:rPr>
          <w:lang w:val="en-GB"/>
        </w:rPr>
      </w:pPr>
      <w:r w:rsidRPr="7374C138">
        <w:rPr>
          <w:lang w:val="en-GB"/>
        </w:rPr>
        <w:t xml:space="preserve">Providers must ensure that </w:t>
      </w:r>
      <w:r>
        <w:rPr>
          <w:lang w:val="en-GB"/>
        </w:rPr>
        <w:t>a person has</w:t>
      </w:r>
      <w:r w:rsidRPr="7374C138">
        <w:rPr>
          <w:lang w:val="en-GB"/>
        </w:rPr>
        <w:t xml:space="preserve"> appropriate medical evidence supporting their medical condition(s).</w:t>
      </w:r>
    </w:p>
    <w:p w14:paraId="0283664D" w14:textId="77777777" w:rsidR="00D74559" w:rsidRPr="005B0772" w:rsidRDefault="00D74559" w:rsidP="00B529B9">
      <w:r w:rsidRPr="534D8722">
        <w:t>Medical evidence is required because:</w:t>
      </w:r>
    </w:p>
    <w:p w14:paraId="05F83E0A" w14:textId="59F2C322" w:rsidR="00D74559" w:rsidRPr="00FB7CD7" w:rsidRDefault="43E041BA" w:rsidP="004E120D">
      <w:pPr>
        <w:pStyle w:val="BulletLevel1"/>
      </w:pPr>
      <w:r>
        <w:t xml:space="preserve">Services Australia cannot assess that a person has a </w:t>
      </w:r>
      <w:r w:rsidR="25BE7A38">
        <w:t>P</w:t>
      </w:r>
      <w:r>
        <w:t xml:space="preserve">artial </w:t>
      </w:r>
      <w:r w:rsidR="25BE7A38">
        <w:t>C</w:t>
      </w:r>
      <w:r>
        <w:t xml:space="preserve">apacity </w:t>
      </w:r>
      <w:r w:rsidR="00594704">
        <w:t>to</w:t>
      </w:r>
      <w:r>
        <w:t xml:space="preserve"> </w:t>
      </w:r>
      <w:r w:rsidR="25BE7A38">
        <w:t>W</w:t>
      </w:r>
      <w:r>
        <w:t xml:space="preserve">ork </w:t>
      </w:r>
      <w:r w:rsidR="00594704">
        <w:t xml:space="preserve">(PCW) </w:t>
      </w:r>
      <w:r>
        <w:t xml:space="preserve">unless there is evidence of a verified condition from the person’s treating medical practitioner. </w:t>
      </w:r>
    </w:p>
    <w:p w14:paraId="1F70C39A" w14:textId="770F994D" w:rsidR="00D74559" w:rsidRPr="00FB7CD7" w:rsidRDefault="43E041BA" w:rsidP="004E120D">
      <w:pPr>
        <w:pStyle w:val="BulletLevel1"/>
      </w:pPr>
      <w:r>
        <w:t xml:space="preserve">A person is eligible for </w:t>
      </w:r>
      <w:r w:rsidR="00AC61E7">
        <w:t>Inclusive Employment Australia</w:t>
      </w:r>
      <w:r>
        <w:t xml:space="preserve"> only if they </w:t>
      </w:r>
      <w:r w:rsidR="007C3B0D">
        <w:t>are assessed as having a PCW</w:t>
      </w:r>
      <w:r>
        <w:t xml:space="preserve">. That is, the ESAt must assess the person is not able to work </w:t>
      </w:r>
      <w:r w:rsidR="007C3B0D">
        <w:t xml:space="preserve">for 30 hours or </w:t>
      </w:r>
      <w:r>
        <w:t>more per week.</w:t>
      </w:r>
    </w:p>
    <w:p w14:paraId="440CBDBB" w14:textId="77777777" w:rsidR="00D74559" w:rsidRPr="005B0772" w:rsidRDefault="00D74559" w:rsidP="00B529B9">
      <w:r w:rsidRPr="534D8722">
        <w:t xml:space="preserve">Providers can help to make an ESAt operate effectively and as </w:t>
      </w:r>
      <w:r w:rsidR="00573FA6">
        <w:t>schedule</w:t>
      </w:r>
      <w:r w:rsidRPr="534D8722">
        <w:t>d by:</w:t>
      </w:r>
    </w:p>
    <w:p w14:paraId="37D794E0" w14:textId="77777777" w:rsidR="00D74559" w:rsidRPr="00FB7CD7" w:rsidRDefault="00D74559" w:rsidP="004E120D">
      <w:pPr>
        <w:pStyle w:val="BulletLevel1"/>
      </w:pPr>
      <w:r w:rsidRPr="534D8722">
        <w:t xml:space="preserve">advising the </w:t>
      </w:r>
      <w:r>
        <w:t>person</w:t>
      </w:r>
      <w:r w:rsidRPr="534D8722">
        <w:t xml:space="preserve"> of the need for medical evidence</w:t>
      </w:r>
    </w:p>
    <w:p w14:paraId="647720C0" w14:textId="77777777" w:rsidR="00D74559" w:rsidRDefault="00D74559" w:rsidP="004E120D">
      <w:pPr>
        <w:pStyle w:val="BulletLevel1"/>
      </w:pPr>
      <w:r>
        <w:t xml:space="preserve">checking what medical evidence, the person has supplied to Services Australia </w:t>
      </w:r>
    </w:p>
    <w:p w14:paraId="49305B9D" w14:textId="77777777" w:rsidR="00D74559" w:rsidRDefault="00D74559" w:rsidP="004E120D">
      <w:pPr>
        <w:pStyle w:val="BulletLevel1"/>
      </w:pPr>
      <w:r w:rsidRPr="534D8722">
        <w:t>supporting the person to supply medical evidence to Services Australia before requesting the ESAt</w:t>
      </w:r>
    </w:p>
    <w:p w14:paraId="5F376528" w14:textId="77777777" w:rsidR="00D74559" w:rsidRDefault="00D74559" w:rsidP="004E120D">
      <w:pPr>
        <w:pStyle w:val="BulletLevel1"/>
      </w:pPr>
      <w:r>
        <w:t>helping the person obtain new medical evidence, if needed.</w:t>
      </w:r>
    </w:p>
    <w:p w14:paraId="6B30A88A" w14:textId="77777777" w:rsidR="00D74559" w:rsidRDefault="00D74559" w:rsidP="00B529B9">
      <w:r>
        <w:t>If a Participant is in the Intensive Service and waiting to obtain medical evidence, the Provider (in consultation with the Participant) may decide to move the Participant to the Flexible Service until the ESAt is completed.</w:t>
      </w:r>
    </w:p>
    <w:p w14:paraId="44BE9D62" w14:textId="77777777" w:rsidR="00D74559" w:rsidRPr="00255ACD" w:rsidRDefault="00D74559" w:rsidP="006F727E">
      <w:pPr>
        <w:pStyle w:val="Heading5"/>
      </w:pPr>
      <w:r w:rsidRPr="00255ACD">
        <w:t>Forms of medical evidence</w:t>
      </w:r>
    </w:p>
    <w:p w14:paraId="5FA89E21" w14:textId="77777777" w:rsidR="00D74559" w:rsidRDefault="00D74559" w:rsidP="00B529B9">
      <w:r w:rsidRPr="534D8722">
        <w:t xml:space="preserve">Primary medical evidence must be available to support an ESAt referral. Primary evidence does not need to be complex and can be provided in any format. </w:t>
      </w:r>
    </w:p>
    <w:p w14:paraId="62C7368C" w14:textId="77777777" w:rsidR="00D74559" w:rsidRDefault="00D74559" w:rsidP="00B529B9">
      <w:r w:rsidRPr="534D8722">
        <w:t xml:space="preserve">Primary medical evidence </w:t>
      </w:r>
      <w:r w:rsidRPr="007B7436">
        <w:rPr>
          <w:u w:val="single"/>
        </w:rPr>
        <w:t>mus</w:t>
      </w:r>
      <w:r>
        <w:rPr>
          <w:u w:val="single"/>
        </w:rPr>
        <w:t>t</w:t>
      </w:r>
      <w:r w:rsidRPr="007B7436">
        <w:t xml:space="preserve"> </w:t>
      </w:r>
      <w:r w:rsidRPr="534D8722">
        <w:t xml:space="preserve">contain: </w:t>
      </w:r>
    </w:p>
    <w:p w14:paraId="0F847B8B" w14:textId="77777777" w:rsidR="00D74559" w:rsidRDefault="00D74559" w:rsidP="004E120D">
      <w:pPr>
        <w:pStyle w:val="BulletLevel1"/>
      </w:pPr>
      <w:r w:rsidRPr="7DB46766">
        <w:t xml:space="preserve">the diagnosis </w:t>
      </w:r>
      <w:r>
        <w:t xml:space="preserve">— </w:t>
      </w:r>
      <w:r w:rsidRPr="7DB46766">
        <w:t xml:space="preserve">i.e. the medical condition(s) affecting the Participant </w:t>
      </w:r>
    </w:p>
    <w:p w14:paraId="68843F70" w14:textId="77777777" w:rsidR="00D74559" w:rsidRDefault="00D74559" w:rsidP="004E120D">
      <w:pPr>
        <w:pStyle w:val="BulletLevel1"/>
      </w:pPr>
      <w:r w:rsidRPr="7DB46766">
        <w:t xml:space="preserve">details of the medical practitioner who made the diagnosis </w:t>
      </w:r>
    </w:p>
    <w:p w14:paraId="34829184" w14:textId="77777777" w:rsidR="00D74559" w:rsidRDefault="00D74559" w:rsidP="004E120D">
      <w:pPr>
        <w:pStyle w:val="BulletLevel1"/>
      </w:pPr>
      <w:r w:rsidRPr="534D8722">
        <w:t xml:space="preserve">sufficient information for the ESAt assessor to assess how the medical condition(s) affect the </w:t>
      </w:r>
      <w:r>
        <w:t>person</w:t>
      </w:r>
      <w:r w:rsidRPr="534D8722">
        <w:t>’s capacity to work or take part in other activities.</w:t>
      </w:r>
    </w:p>
    <w:p w14:paraId="10154907" w14:textId="77777777" w:rsidR="00D74559" w:rsidRDefault="00D74559" w:rsidP="006E2EF5">
      <w:pPr>
        <w:spacing w:after="120"/>
        <w:rPr>
          <w:rFonts w:eastAsiaTheme="minorEastAsia"/>
          <w:color w:val="000000" w:themeColor="text1"/>
        </w:rPr>
      </w:pPr>
      <w:r w:rsidRPr="534D8722">
        <w:rPr>
          <w:rFonts w:eastAsiaTheme="minorEastAsia"/>
          <w:color w:val="000000" w:themeColor="text1"/>
        </w:rPr>
        <w:t xml:space="preserve">The </w:t>
      </w:r>
      <w:hyperlink r:id="rId35">
        <w:r w:rsidRPr="001160DE">
          <w:rPr>
            <w:rStyle w:val="Hyperlink"/>
            <w:rFonts w:eastAsiaTheme="minorEastAsia"/>
          </w:rPr>
          <w:t>Verification of medical conditions form (SU684)</w:t>
        </w:r>
      </w:hyperlink>
      <w:r w:rsidRPr="534D8722">
        <w:rPr>
          <w:rFonts w:eastAsiaTheme="minorEastAsia"/>
          <w:color w:val="000000" w:themeColor="text1"/>
        </w:rPr>
        <w:t xml:space="preserve"> can be used to help collect the medical evidence needed. Providers can print this form and give it to the </w:t>
      </w:r>
      <w:r>
        <w:rPr>
          <w:rFonts w:eastAsiaTheme="minorEastAsia"/>
          <w:color w:val="000000" w:themeColor="text1"/>
        </w:rPr>
        <w:t>person</w:t>
      </w:r>
      <w:r w:rsidRPr="534D8722">
        <w:rPr>
          <w:rFonts w:eastAsiaTheme="minorEastAsia"/>
          <w:color w:val="000000" w:themeColor="text1"/>
        </w:rPr>
        <w:t xml:space="preserve"> to take to their next appointment with their medical practitioner.</w:t>
      </w:r>
    </w:p>
    <w:p w14:paraId="1B9F3D61" w14:textId="77777777" w:rsidR="00D74559" w:rsidRDefault="00D74559" w:rsidP="006E2EF5">
      <w:pPr>
        <w:spacing w:after="120"/>
        <w:rPr>
          <w:rFonts w:eastAsiaTheme="minorEastAsia"/>
        </w:rPr>
      </w:pPr>
      <w:r w:rsidRPr="534D8722">
        <w:rPr>
          <w:rFonts w:eastAsiaTheme="minorEastAsia"/>
        </w:rPr>
        <w:t>Supporting medical evidence can also be considered in an ESAt. Supporting evidence may contain information that provides context and additional details but cannot be used instead of the primary medical evidence.</w:t>
      </w:r>
    </w:p>
    <w:p w14:paraId="47026FAE" w14:textId="77777777" w:rsidR="00D74559" w:rsidRPr="00255ACD" w:rsidRDefault="00D74559" w:rsidP="006F727E">
      <w:pPr>
        <w:pStyle w:val="Heading5"/>
      </w:pPr>
      <w:r w:rsidRPr="00255ACD">
        <w:t>Providing medical evidence</w:t>
      </w:r>
    </w:p>
    <w:p w14:paraId="43833DF4" w14:textId="357A7D99" w:rsidR="00D74559" w:rsidRDefault="00D74559" w:rsidP="003024D9">
      <w:pPr>
        <w:rPr>
          <w:rFonts w:eastAsiaTheme="minorEastAsia"/>
        </w:rPr>
      </w:pPr>
      <w:r>
        <w:rPr>
          <w:rFonts w:eastAsiaTheme="minorEastAsia"/>
        </w:rPr>
        <w:t>A person</w:t>
      </w:r>
      <w:r w:rsidRPr="534D8722">
        <w:rPr>
          <w:rFonts w:eastAsiaTheme="minorEastAsia"/>
        </w:rPr>
        <w:t xml:space="preserve"> can </w:t>
      </w:r>
      <w:r w:rsidRPr="534D8722">
        <w:t>securely upload their medical evidence online via Services Australia digital services.</w:t>
      </w:r>
      <w:r w:rsidR="0030028C">
        <w:t xml:space="preserve"> </w:t>
      </w:r>
      <w:r w:rsidRPr="534D8722">
        <w:t xml:space="preserve">Digital services may include the </w:t>
      </w:r>
      <w:r>
        <w:t>person</w:t>
      </w:r>
      <w:r w:rsidRPr="534D8722">
        <w:t xml:space="preserve"> using their Centrelink online account or the Express Plus Centrelink Mobile app. Information on how to do this is available on the </w:t>
      </w:r>
      <w:hyperlink r:id="rId36">
        <w:r w:rsidRPr="534D8722">
          <w:rPr>
            <w:rStyle w:val="Hyperlink"/>
          </w:rPr>
          <w:t>Services Australia website</w:t>
        </w:r>
      </w:hyperlink>
      <w:r w:rsidRPr="534D8722">
        <w:rPr>
          <w:rFonts w:eastAsiaTheme="minorEastAsia"/>
        </w:rPr>
        <w:t>.</w:t>
      </w:r>
    </w:p>
    <w:p w14:paraId="1CEC8805" w14:textId="77777777" w:rsidR="00D74559" w:rsidRPr="00C71B8E" w:rsidRDefault="00D74559" w:rsidP="003024D9">
      <w:pPr>
        <w:rPr>
          <w:rFonts w:eastAsiaTheme="minorEastAsia"/>
        </w:rPr>
      </w:pPr>
      <w:r w:rsidRPr="53D71F0B">
        <w:rPr>
          <w:rFonts w:eastAsiaTheme="minorEastAsia"/>
        </w:rPr>
        <w:t xml:space="preserve">If a person can access digital services, they should be encouraged to do so wherever possible. </w:t>
      </w:r>
    </w:p>
    <w:p w14:paraId="392ADB25" w14:textId="77777777" w:rsidR="00D74559" w:rsidRPr="00C71B8E" w:rsidRDefault="00D74559" w:rsidP="003024D9">
      <w:pPr>
        <w:rPr>
          <w:rFonts w:eastAsiaTheme="minorEastAsia"/>
        </w:rPr>
      </w:pPr>
      <w:r w:rsidRPr="53D71F0B">
        <w:rPr>
          <w:rFonts w:eastAsiaTheme="minorEastAsia"/>
        </w:rPr>
        <w:t>If a person cannot access digital services, options to provide information to Services Australia include:</w:t>
      </w:r>
    </w:p>
    <w:p w14:paraId="3C25DE2D" w14:textId="77777777" w:rsidR="00D74559" w:rsidRPr="00C71B8E" w:rsidRDefault="00D74559" w:rsidP="004E120D">
      <w:pPr>
        <w:pStyle w:val="BulletLevel1"/>
      </w:pPr>
      <w:r>
        <w:t>Participant can visit their local Centrelink Service Centre to hand in documents.</w:t>
      </w:r>
    </w:p>
    <w:p w14:paraId="13C945FB" w14:textId="77777777" w:rsidR="00D74559" w:rsidRPr="00C71B8E" w:rsidRDefault="00D74559" w:rsidP="004E120D">
      <w:pPr>
        <w:pStyle w:val="BulletLevel1"/>
      </w:pPr>
      <w:r w:rsidRPr="7DB46766">
        <w:t>Copy of documents can be posted to:</w:t>
      </w:r>
    </w:p>
    <w:p w14:paraId="2B8E7BA9" w14:textId="77777777" w:rsidR="00D74559" w:rsidRPr="00C71B8E" w:rsidRDefault="00D74559" w:rsidP="004E120D">
      <w:pPr>
        <w:pStyle w:val="BulletLevel2"/>
      </w:pPr>
      <w:r>
        <w:t xml:space="preserve">Services Australia </w:t>
      </w:r>
      <w:r>
        <w:br/>
        <w:t xml:space="preserve">Disability Services </w:t>
      </w:r>
      <w:r>
        <w:br/>
        <w:t xml:space="preserve">PO Box 7806 </w:t>
      </w:r>
      <w:r>
        <w:br/>
        <w:t>CANBERRA BC ACT 2610.</w:t>
      </w:r>
    </w:p>
    <w:p w14:paraId="142AD531" w14:textId="77777777" w:rsidR="00D74559" w:rsidRPr="00C71B8E" w:rsidRDefault="00D74559" w:rsidP="004E120D">
      <w:pPr>
        <w:pStyle w:val="BulletLevel1"/>
      </w:pPr>
      <w:r>
        <w:t>Providers can fax the evidence on the person’s behalf to 1300 786 102, ensuring the person’s name and Customer Reference Number (CRN) are clearly written and visible.</w:t>
      </w:r>
    </w:p>
    <w:p w14:paraId="4A4187A0" w14:textId="77777777" w:rsidR="00D74559" w:rsidRPr="00A57C09" w:rsidRDefault="00D74559" w:rsidP="003024D9">
      <w:r w:rsidRPr="534D8722">
        <w:t xml:space="preserve">Providers must not attempt to email the medical evidence to Services Australia. </w:t>
      </w:r>
    </w:p>
    <w:p w14:paraId="4EFCE243" w14:textId="52146805" w:rsidR="00D74559" w:rsidRPr="00C71B8E" w:rsidRDefault="00D74559" w:rsidP="003024D9">
      <w:pPr>
        <w:rPr>
          <w:highlight w:val="yellow"/>
        </w:rPr>
      </w:pPr>
      <w:r w:rsidRPr="534D8722">
        <w:t xml:space="preserve">If every reasonable effort has been made to support the </w:t>
      </w:r>
      <w:r>
        <w:t>person</w:t>
      </w:r>
      <w:r w:rsidRPr="534D8722">
        <w:t xml:space="preserve"> but medical evidence is still not available, Providers should contact Services Australia. </w:t>
      </w:r>
    </w:p>
    <w:p w14:paraId="5680F5B6" w14:textId="77777777" w:rsidR="00D74559" w:rsidRPr="003335DE" w:rsidRDefault="00D74559" w:rsidP="003024D9">
      <w:r w:rsidRPr="534D8722">
        <w:t>In exceptional circumstances, Services Australia may be able to refer the person to an appropriately qualified health professional within the agency who can assess the impacts of an Intellectual Disability or a suspected mental health condition (e.g. Psychosis). This assessment can then be used as primary medical evidence for an ESAt.</w:t>
      </w:r>
    </w:p>
    <w:p w14:paraId="2C5F2B00" w14:textId="72F26B06" w:rsidR="00D74559" w:rsidRPr="003335DE" w:rsidRDefault="00D74559" w:rsidP="003024D9">
      <w:pPr>
        <w:rPr>
          <w:highlight w:val="green"/>
        </w:rPr>
      </w:pPr>
      <w:r w:rsidRPr="534D8722">
        <w:t xml:space="preserve">For further information on medical evidence for ESAts see the </w:t>
      </w:r>
      <w:r w:rsidR="00E03FC3" w:rsidRPr="002C65B9">
        <w:rPr>
          <w:rStyle w:val="Hyperlink"/>
        </w:rPr>
        <w:t>Medical Evidence Required for Making an ESAt Referral Fact</w:t>
      </w:r>
      <w:r w:rsidR="00E03FC3">
        <w:rPr>
          <w:rStyle w:val="Hyperlink"/>
        </w:rPr>
        <w:t xml:space="preserve"> Sheet [LINK]</w:t>
      </w:r>
      <w:r w:rsidR="00E03FC3">
        <w:t xml:space="preserve"> s</w:t>
      </w:r>
      <w:r w:rsidRPr="534D8722">
        <w:t>upporting document</w:t>
      </w:r>
      <w:r w:rsidR="00E03FC3">
        <w:t xml:space="preserve"> on the Provider Portal</w:t>
      </w:r>
      <w:r w:rsidRPr="534D8722">
        <w:t>.</w:t>
      </w:r>
    </w:p>
    <w:p w14:paraId="5A015758" w14:textId="7505B7B4" w:rsidR="00D74559" w:rsidRPr="00776381" w:rsidRDefault="00D74559" w:rsidP="001D0F92">
      <w:pPr>
        <w:pStyle w:val="Heading4"/>
      </w:pPr>
      <w:bookmarkStart w:id="82" w:name="_Ref202783172"/>
      <w:bookmarkStart w:id="83" w:name="_Toc202899895"/>
      <w:r w:rsidRPr="534D8722">
        <w:t>2.4.5</w:t>
      </w:r>
      <w:r w:rsidR="006F727E">
        <w:tab/>
      </w:r>
      <w:r w:rsidRPr="534D8722">
        <w:t>Requesting an ESAt appointment</w:t>
      </w:r>
      <w:bookmarkEnd w:id="82"/>
      <w:bookmarkEnd w:id="83"/>
    </w:p>
    <w:p w14:paraId="6F284A61" w14:textId="5DD6F6C0" w:rsidR="54E7E35E" w:rsidRDefault="54E7E35E" w:rsidP="211945C0">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 xml:space="preserve">Providers can request an ESAt appointment by sending an email to Services Australia’s FOCUS Response Team, at </w:t>
      </w:r>
      <w:hyperlink r:id="rId37">
        <w:r w:rsidRPr="211945C0">
          <w:rPr>
            <w:rStyle w:val="Hyperlink"/>
            <w:rFonts w:ascii="Tahoma" w:eastAsia="Tahoma" w:hAnsi="Tahoma" w:cs="Tahoma"/>
            <w:szCs w:val="22"/>
          </w:rPr>
          <w:t>FOCUS.RESPONSE.TEAM@servicesaustralia.gov.au</w:t>
        </w:r>
      </w:hyperlink>
      <w:r w:rsidRPr="211945C0">
        <w:rPr>
          <w:rFonts w:ascii="Tahoma" w:eastAsia="Tahoma" w:hAnsi="Tahoma" w:cs="Tahoma"/>
          <w:color w:val="000000" w:themeColor="text1"/>
          <w:szCs w:val="22"/>
        </w:rPr>
        <w:t>.</w:t>
      </w:r>
      <w:r>
        <w:tab/>
      </w:r>
    </w:p>
    <w:p w14:paraId="742EAEB3" w14:textId="64FF82F6" w:rsidR="00D74559" w:rsidRDefault="43E041BA" w:rsidP="3E27A7B0">
      <w:pPr>
        <w:tabs>
          <w:tab w:val="right" w:pos="1701"/>
        </w:tabs>
        <w:spacing w:after="120"/>
        <w:rPr>
          <w:rFonts w:ascii="Tahoma" w:eastAsia="Tahoma" w:hAnsi="Tahoma" w:cs="Tahoma"/>
          <w:color w:val="000000" w:themeColor="text1"/>
        </w:rPr>
      </w:pPr>
      <w:r w:rsidRPr="3E27A7B0">
        <w:rPr>
          <w:rFonts w:ascii="Tahoma" w:eastAsia="Tahoma" w:hAnsi="Tahoma" w:cs="Tahoma"/>
          <w:color w:val="000000" w:themeColor="text1"/>
        </w:rPr>
        <w:t xml:space="preserve">Providers must take due care to ensure that they only include as much information about a Participant as is needed for Services Australia to arrange an ESAt. Protected or </w:t>
      </w:r>
      <w:r w:rsidR="344CABE8" w:rsidRPr="3E27A7B0">
        <w:rPr>
          <w:rFonts w:ascii="Tahoma" w:eastAsia="Tahoma" w:hAnsi="Tahoma" w:cs="Tahoma"/>
          <w:color w:val="000000" w:themeColor="text1"/>
        </w:rPr>
        <w:t>S</w:t>
      </w:r>
      <w:r w:rsidRPr="3E27A7B0">
        <w:rPr>
          <w:rFonts w:ascii="Tahoma" w:eastAsia="Tahoma" w:hAnsi="Tahoma" w:cs="Tahoma"/>
          <w:color w:val="000000" w:themeColor="text1"/>
        </w:rPr>
        <w:t xml:space="preserve">ensitive </w:t>
      </w:r>
      <w:r w:rsidR="344CABE8" w:rsidRPr="3E27A7B0">
        <w:rPr>
          <w:rFonts w:ascii="Tahoma" w:eastAsia="Tahoma" w:hAnsi="Tahoma" w:cs="Tahoma"/>
          <w:color w:val="000000" w:themeColor="text1"/>
        </w:rPr>
        <w:t>I</w:t>
      </w:r>
      <w:r w:rsidRPr="3E27A7B0">
        <w:rPr>
          <w:rFonts w:ascii="Tahoma" w:eastAsia="Tahoma" w:hAnsi="Tahoma" w:cs="Tahoma"/>
          <w:color w:val="000000" w:themeColor="text1"/>
        </w:rPr>
        <w:t xml:space="preserve">nformation must not be included in any emails to Services Australia. This includes information or an opinion about a Participant’s medical conditions or medical evidence. </w:t>
      </w:r>
    </w:p>
    <w:p w14:paraId="04D5A7E8" w14:textId="5CB866FB" w:rsidR="54E7E35E" w:rsidRDefault="54E7E35E" w:rsidP="211945C0">
      <w:pPr>
        <w:spacing w:before="0"/>
        <w:rPr>
          <w:rFonts w:ascii="Tahoma" w:eastAsia="Tahoma" w:hAnsi="Tahoma" w:cs="Tahoma"/>
          <w:color w:val="000000" w:themeColor="text1"/>
          <w:szCs w:val="22"/>
        </w:rPr>
      </w:pPr>
      <w:r w:rsidRPr="211945C0">
        <w:rPr>
          <w:rFonts w:ascii="Tahoma" w:eastAsia="Tahoma" w:hAnsi="Tahoma" w:cs="Tahoma"/>
          <w:color w:val="000000" w:themeColor="text1"/>
          <w:szCs w:val="22"/>
        </w:rPr>
        <w:t xml:space="preserve">To ensure an ESAt request can be processed, Providers must include the following details in their request. </w:t>
      </w:r>
      <w:r w:rsidR="00467E65">
        <w:rPr>
          <w:rFonts w:ascii="Tahoma" w:eastAsia="Tahoma" w:hAnsi="Tahoma" w:cs="Tahoma"/>
          <w:color w:val="000000" w:themeColor="text1"/>
          <w:szCs w:val="22"/>
        </w:rPr>
        <w:t>A</w:t>
      </w:r>
      <w:r w:rsidRPr="211945C0">
        <w:rPr>
          <w:rFonts w:ascii="Tahoma" w:eastAsia="Tahoma" w:hAnsi="Tahoma" w:cs="Tahoma"/>
          <w:color w:val="000000" w:themeColor="text1"/>
          <w:szCs w:val="22"/>
        </w:rPr>
        <w:t>n optional template is available underneath the table below to use in the email request.</w:t>
      </w:r>
    </w:p>
    <w:p w14:paraId="333CD8A6" w14:textId="45E0E403" w:rsidR="211945C0" w:rsidRDefault="001659A0" w:rsidP="001659A0">
      <w:pPr>
        <w:pStyle w:val="TableChartHeading"/>
      </w:pPr>
      <w:r>
        <w:t>Details required in ESAt request</w:t>
      </w:r>
    </w:p>
    <w:tbl>
      <w:tblPr>
        <w:tblStyle w:val="DSSTableStyleB"/>
        <w:tblW w:w="9669" w:type="dxa"/>
        <w:tblBorders>
          <w:top w:val="single" w:sz="4" w:space="0" w:color="auto"/>
          <w:bottom w:val="single" w:sz="4" w:space="0" w:color="auto"/>
          <w:insideH w:val="single" w:sz="4" w:space="0" w:color="auto"/>
        </w:tblBorders>
        <w:tblLook w:val="04A0" w:firstRow="1" w:lastRow="0" w:firstColumn="1" w:lastColumn="0" w:noHBand="0" w:noVBand="1"/>
      </w:tblPr>
      <w:tblGrid>
        <w:gridCol w:w="1740"/>
        <w:gridCol w:w="7929"/>
      </w:tblGrid>
      <w:tr w:rsidR="00FC127C" w:rsidRPr="00CB0106" w14:paraId="42B34979" w14:textId="77777777" w:rsidTr="00DE7A9B">
        <w:trPr>
          <w:cnfStyle w:val="100000000000" w:firstRow="1" w:lastRow="0" w:firstColumn="0" w:lastColumn="0" w:oddVBand="0" w:evenVBand="0" w:oddHBand="0" w:evenHBand="0" w:firstRowFirstColumn="0" w:firstRowLastColumn="0" w:lastRowFirstColumn="0" w:lastRowLastColumn="0"/>
        </w:trPr>
        <w:tc>
          <w:tcPr>
            <w:tcW w:w="1740" w:type="dxa"/>
          </w:tcPr>
          <w:p w14:paraId="4EAE74BF" w14:textId="53B981CA" w:rsidR="00D74559" w:rsidRPr="00CB0106" w:rsidRDefault="07D142F9" w:rsidP="00CB0106">
            <w:pPr>
              <w:pStyle w:val="TableText"/>
            </w:pPr>
            <w:r>
              <w:t>Detail(s)</w:t>
            </w:r>
          </w:p>
        </w:tc>
        <w:tc>
          <w:tcPr>
            <w:tcW w:w="7929" w:type="dxa"/>
          </w:tcPr>
          <w:p w14:paraId="15C1B116" w14:textId="36115E13" w:rsidR="00D74559" w:rsidRPr="00CB0106" w:rsidRDefault="07D142F9" w:rsidP="00CB0106">
            <w:pPr>
              <w:pStyle w:val="TableText"/>
            </w:pPr>
            <w:r>
              <w:t>Explanatory Notes</w:t>
            </w:r>
          </w:p>
        </w:tc>
      </w:tr>
      <w:tr w:rsidR="00D74559" w:rsidRPr="003335DE" w14:paraId="70F99847" w14:textId="77777777" w:rsidTr="00DE7A9B">
        <w:trPr>
          <w:cnfStyle w:val="000000100000" w:firstRow="0" w:lastRow="0" w:firstColumn="0" w:lastColumn="0" w:oddVBand="0" w:evenVBand="0" w:oddHBand="1" w:evenHBand="0" w:firstRowFirstColumn="0" w:firstRowLastColumn="0" w:lastRowFirstColumn="0" w:lastRowLastColumn="0"/>
        </w:trPr>
        <w:tc>
          <w:tcPr>
            <w:tcW w:w="1740" w:type="dxa"/>
          </w:tcPr>
          <w:p w14:paraId="73166E70" w14:textId="47329808" w:rsidR="00D74559" w:rsidRPr="003335DE" w:rsidRDefault="07D142F9" w:rsidP="00310597">
            <w:pPr>
              <w:pStyle w:val="TableText"/>
            </w:pPr>
            <w:r>
              <w:t>Participants JSID or CRN</w:t>
            </w:r>
            <w:r w:rsidR="00D74559">
              <w:t xml:space="preserve"> </w:t>
            </w:r>
          </w:p>
        </w:tc>
        <w:tc>
          <w:tcPr>
            <w:tcW w:w="7929" w:type="dxa"/>
          </w:tcPr>
          <w:p w14:paraId="5DDE72FA" w14:textId="096E1540" w:rsidR="00D74559" w:rsidRPr="000B1030" w:rsidRDefault="1281D068" w:rsidP="007D21CC">
            <w:pPr>
              <w:pStyle w:val="TableList-level1"/>
              <w:rPr>
                <w:rFonts w:eastAsia="Tahoma"/>
              </w:rPr>
            </w:pPr>
            <w:r w:rsidRPr="000B1030">
              <w:rPr>
                <w:rFonts w:eastAsia="Tahoma"/>
              </w:rPr>
              <w:t xml:space="preserve">This will be used by Services Australia to identify the Participant’s Centrelink record and assess your request. </w:t>
            </w:r>
          </w:p>
          <w:p w14:paraId="40ED76F6" w14:textId="179861E9" w:rsidR="00D74559" w:rsidRPr="00776381" w:rsidRDefault="1281D068" w:rsidP="007D21CC">
            <w:pPr>
              <w:pStyle w:val="TableList-level1"/>
              <w:rPr>
                <w:rFonts w:ascii="Tahoma" w:eastAsia="Tahoma" w:hAnsi="Tahoma" w:cs="Tahoma"/>
                <w:color w:val="000000" w:themeColor="text1"/>
                <w:szCs w:val="22"/>
              </w:rPr>
            </w:pPr>
            <w:r w:rsidRPr="000B1030">
              <w:rPr>
                <w:rFonts w:eastAsia="Tahoma"/>
              </w:rPr>
              <w:t>If the JSID or CRN is not correct, your request may be declined</w:t>
            </w:r>
            <w:r w:rsidR="000B1030">
              <w:rPr>
                <w:rFonts w:eastAsia="Tahoma"/>
              </w:rPr>
              <w:t>.</w:t>
            </w:r>
          </w:p>
        </w:tc>
      </w:tr>
      <w:tr w:rsidR="00FC127C" w:rsidRPr="003335DE" w14:paraId="3D48E0C6" w14:textId="77777777" w:rsidTr="00DE7A9B">
        <w:trPr>
          <w:cnfStyle w:val="000000010000" w:firstRow="0" w:lastRow="0" w:firstColumn="0" w:lastColumn="0" w:oddVBand="0" w:evenVBand="0" w:oddHBand="0" w:evenHBand="1" w:firstRowFirstColumn="0" w:firstRowLastColumn="0" w:lastRowFirstColumn="0" w:lastRowLastColumn="0"/>
          <w:trHeight w:val="94"/>
        </w:trPr>
        <w:tc>
          <w:tcPr>
            <w:tcW w:w="1740" w:type="dxa"/>
          </w:tcPr>
          <w:p w14:paraId="3253BEA0" w14:textId="279192FB" w:rsidR="00D74559" w:rsidRPr="003335DE" w:rsidRDefault="1281D068" w:rsidP="00310597">
            <w:pPr>
              <w:pStyle w:val="TableText"/>
            </w:pPr>
            <w:r>
              <w:t>Sta</w:t>
            </w:r>
            <w:r w:rsidR="00D74559">
              <w:t>t</w:t>
            </w:r>
            <w:r w:rsidR="2D021914">
              <w:t>e / Territory</w:t>
            </w:r>
            <w:r w:rsidR="00D74559">
              <w:t xml:space="preserve"> </w:t>
            </w:r>
          </w:p>
        </w:tc>
        <w:tc>
          <w:tcPr>
            <w:tcW w:w="7929" w:type="dxa"/>
          </w:tcPr>
          <w:p w14:paraId="08DDBA83" w14:textId="0FD19149" w:rsidR="00D74559" w:rsidRPr="000B1030" w:rsidRDefault="5F7F55F8" w:rsidP="007D21CC">
            <w:pPr>
              <w:pStyle w:val="TableList-level1"/>
              <w:rPr>
                <w:rFonts w:eastAsia="Tahoma"/>
              </w:rPr>
            </w:pPr>
            <w:r w:rsidRPr="000B1030">
              <w:rPr>
                <w:rFonts w:eastAsia="Tahoma"/>
              </w:rPr>
              <w:t>This information helps Services Australia identify the Participant’s time zone and allocate the request to a suitably skilled staff member.</w:t>
            </w:r>
          </w:p>
        </w:tc>
      </w:tr>
      <w:tr w:rsidR="00D74559" w:rsidRPr="003335DE" w14:paraId="2717B5E7" w14:textId="77777777" w:rsidTr="00DE7A9B">
        <w:trPr>
          <w:cnfStyle w:val="000000100000" w:firstRow="0" w:lastRow="0" w:firstColumn="0" w:lastColumn="0" w:oddVBand="0" w:evenVBand="0" w:oddHBand="1" w:evenHBand="0" w:firstRowFirstColumn="0" w:firstRowLastColumn="0" w:lastRowFirstColumn="0" w:lastRowLastColumn="0"/>
          <w:trHeight w:val="50"/>
        </w:trPr>
        <w:tc>
          <w:tcPr>
            <w:tcW w:w="1740" w:type="dxa"/>
          </w:tcPr>
          <w:p w14:paraId="2FE3D3B6" w14:textId="74A539E8" w:rsidR="00D74559" w:rsidRPr="003335DE" w:rsidRDefault="5F7F55F8" w:rsidP="00310597">
            <w:pPr>
              <w:pStyle w:val="TableText"/>
            </w:pPr>
            <w:r>
              <w:t>Reason for Referral</w:t>
            </w:r>
          </w:p>
        </w:tc>
        <w:tc>
          <w:tcPr>
            <w:tcW w:w="7929" w:type="dxa"/>
          </w:tcPr>
          <w:p w14:paraId="58817AB8" w14:textId="099B3EF0" w:rsidR="00D74559" w:rsidRPr="000B1030" w:rsidRDefault="5F7F55F8" w:rsidP="007D21CC">
            <w:pPr>
              <w:pStyle w:val="TableList-level1"/>
              <w:rPr>
                <w:rFonts w:eastAsia="Tahoma"/>
              </w:rPr>
            </w:pPr>
            <w:r w:rsidRPr="000B1030">
              <w:rPr>
                <w:rFonts w:eastAsia="Tahoma"/>
                <w:b/>
              </w:rPr>
              <w:t>Direct Registration</w:t>
            </w:r>
            <w:r w:rsidRPr="000B1030">
              <w:rPr>
                <w:rFonts w:eastAsia="Tahoma"/>
              </w:rPr>
              <w:t xml:space="preserve"> </w:t>
            </w:r>
            <w:r w:rsidR="000B1030">
              <w:rPr>
                <w:rFonts w:eastAsia="Tahoma"/>
              </w:rPr>
              <w:t xml:space="preserve">— </w:t>
            </w:r>
            <w:r w:rsidRPr="000B1030">
              <w:rPr>
                <w:rFonts w:eastAsia="Tahoma"/>
              </w:rPr>
              <w:t>ESAt is required as part of the Direct Registration process</w:t>
            </w:r>
            <w:r w:rsidR="00A75104">
              <w:rPr>
                <w:rFonts w:eastAsia="Tahoma"/>
              </w:rPr>
              <w:t>.</w:t>
            </w:r>
          </w:p>
          <w:p w14:paraId="6A5A0B5C" w14:textId="23CA280C" w:rsidR="00D74559" w:rsidRPr="000B1030" w:rsidRDefault="0001C0FE" w:rsidP="007D21CC">
            <w:pPr>
              <w:pStyle w:val="TableList-level1"/>
              <w:rPr>
                <w:rFonts w:eastAsia="Tahoma"/>
              </w:rPr>
            </w:pPr>
            <w:r w:rsidRPr="3E27A7B0">
              <w:rPr>
                <w:rFonts w:eastAsia="Tahoma"/>
                <w:b/>
                <w:bCs/>
              </w:rPr>
              <w:t>Change of Circumstances New Condition(s)</w:t>
            </w:r>
            <w:r w:rsidRPr="3E27A7B0">
              <w:rPr>
                <w:rFonts w:eastAsia="Tahoma"/>
              </w:rPr>
              <w:t xml:space="preserve"> </w:t>
            </w:r>
            <w:r w:rsidR="4C168F7F" w:rsidRPr="3E27A7B0">
              <w:rPr>
                <w:rFonts w:eastAsia="Tahoma"/>
              </w:rPr>
              <w:t xml:space="preserve">— </w:t>
            </w:r>
            <w:r w:rsidRPr="3E27A7B0">
              <w:rPr>
                <w:rFonts w:eastAsia="Tahoma"/>
              </w:rPr>
              <w:t xml:space="preserve">existing Participant advises they have new conditions not assessed in their </w:t>
            </w:r>
            <w:r w:rsidR="4AF72C23" w:rsidRPr="3E27A7B0">
              <w:rPr>
                <w:rFonts w:eastAsia="Tahoma"/>
              </w:rPr>
              <w:t>C</w:t>
            </w:r>
            <w:r w:rsidRPr="3E27A7B0">
              <w:rPr>
                <w:rFonts w:eastAsia="Tahoma"/>
              </w:rPr>
              <w:t>urrent ESAt</w:t>
            </w:r>
            <w:r w:rsidR="00A75104">
              <w:rPr>
                <w:rFonts w:eastAsia="Tahoma"/>
              </w:rPr>
              <w:t>.</w:t>
            </w:r>
          </w:p>
          <w:p w14:paraId="0183CA44" w14:textId="1D6F2A4E" w:rsidR="00D74559" w:rsidRPr="000B1030" w:rsidRDefault="5F7F55F8" w:rsidP="007D21CC">
            <w:pPr>
              <w:pStyle w:val="TableList-level1"/>
              <w:rPr>
                <w:rFonts w:eastAsia="Tahoma"/>
              </w:rPr>
            </w:pPr>
            <w:r w:rsidRPr="000B1030">
              <w:rPr>
                <w:rFonts w:eastAsia="Tahoma"/>
                <w:b/>
              </w:rPr>
              <w:t>Change of Circumstances Exacerbation of Existing Condition(s)</w:t>
            </w:r>
            <w:r w:rsidRPr="000B1030">
              <w:rPr>
                <w:rFonts w:eastAsia="Tahoma"/>
              </w:rPr>
              <w:t xml:space="preserve"> </w:t>
            </w:r>
            <w:r w:rsidR="000B1030">
              <w:rPr>
                <w:rFonts w:eastAsia="Tahoma"/>
              </w:rPr>
              <w:t>—</w:t>
            </w:r>
            <w:r>
              <w:rPr>
                <w:rFonts w:eastAsia="Tahoma"/>
              </w:rPr>
              <w:t xml:space="preserve"> </w:t>
            </w:r>
            <w:r w:rsidRPr="000B1030">
              <w:rPr>
                <w:rFonts w:eastAsia="Tahoma"/>
              </w:rPr>
              <w:t>existing Participant advises the impact of their already-assessed conditions have changed significantly</w:t>
            </w:r>
            <w:r w:rsidR="00A75104">
              <w:rPr>
                <w:rFonts w:eastAsia="Tahoma"/>
              </w:rPr>
              <w:t>.</w:t>
            </w:r>
          </w:p>
          <w:p w14:paraId="523DC768" w14:textId="02F420A9" w:rsidR="00D74559" w:rsidRPr="000B1030" w:rsidRDefault="5F7F55F8" w:rsidP="007D21CC">
            <w:pPr>
              <w:pStyle w:val="TableList-level1"/>
              <w:rPr>
                <w:rFonts w:eastAsia="Tahoma"/>
              </w:rPr>
            </w:pPr>
            <w:r w:rsidRPr="000B1030">
              <w:rPr>
                <w:rFonts w:eastAsia="Tahoma"/>
                <w:b/>
              </w:rPr>
              <w:t>Pre-Release Prisoner</w:t>
            </w:r>
            <w:r w:rsidRPr="000B1030">
              <w:rPr>
                <w:rFonts w:eastAsia="Tahoma"/>
              </w:rPr>
              <w:t xml:space="preserve"> </w:t>
            </w:r>
            <w:r w:rsidR="000B1030">
              <w:rPr>
                <w:rFonts w:eastAsia="Tahoma"/>
              </w:rPr>
              <w:t xml:space="preserve">— </w:t>
            </w:r>
            <w:r w:rsidRPr="000B1030">
              <w:rPr>
                <w:rFonts w:eastAsia="Tahoma"/>
              </w:rPr>
              <w:t>when an ESAt is required as part of prison-based employment servicing.</w:t>
            </w:r>
          </w:p>
        </w:tc>
      </w:tr>
      <w:tr w:rsidR="00FC127C" w:rsidRPr="003335DE" w14:paraId="0094A344" w14:textId="77777777" w:rsidTr="00DE7A9B">
        <w:trPr>
          <w:cnfStyle w:val="000000010000" w:firstRow="0" w:lastRow="0" w:firstColumn="0" w:lastColumn="0" w:oddVBand="0" w:evenVBand="0" w:oddHBand="0" w:evenHBand="1" w:firstRowFirstColumn="0" w:firstRowLastColumn="0" w:lastRowFirstColumn="0" w:lastRowLastColumn="0"/>
          <w:trHeight w:val="50"/>
        </w:trPr>
        <w:tc>
          <w:tcPr>
            <w:tcW w:w="1740" w:type="dxa"/>
          </w:tcPr>
          <w:p w14:paraId="53AA1F95" w14:textId="26643AD4" w:rsidR="00D74559" w:rsidRPr="003335DE" w:rsidRDefault="5F7F55F8" w:rsidP="00310597">
            <w:pPr>
              <w:pStyle w:val="TableText"/>
            </w:pPr>
            <w:r>
              <w:t>Interpreter Language</w:t>
            </w:r>
          </w:p>
        </w:tc>
        <w:tc>
          <w:tcPr>
            <w:tcW w:w="7929" w:type="dxa"/>
          </w:tcPr>
          <w:p w14:paraId="18B55BEF" w14:textId="4CB6B2EC" w:rsidR="00D74559" w:rsidRPr="000B1030" w:rsidRDefault="5F7F55F8" w:rsidP="007D21CC">
            <w:pPr>
              <w:pStyle w:val="TableList-level1"/>
              <w:rPr>
                <w:rFonts w:eastAsia="Tahoma"/>
              </w:rPr>
            </w:pPr>
            <w:r w:rsidRPr="000B1030">
              <w:rPr>
                <w:rFonts w:eastAsia="Tahoma"/>
              </w:rPr>
              <w:t>If an interpreter is required, the language required (e.g. Auslan, etc.)</w:t>
            </w:r>
            <w:r w:rsidR="00A75104">
              <w:rPr>
                <w:rFonts w:eastAsia="Tahoma"/>
              </w:rPr>
              <w:t>.</w:t>
            </w:r>
          </w:p>
        </w:tc>
      </w:tr>
      <w:tr w:rsidR="211945C0" w14:paraId="26CBE131" w14:textId="77777777" w:rsidTr="00DE7A9B">
        <w:trPr>
          <w:cnfStyle w:val="000000100000" w:firstRow="0" w:lastRow="0" w:firstColumn="0" w:lastColumn="0" w:oddVBand="0" w:evenVBand="0" w:oddHBand="1" w:evenHBand="0" w:firstRowFirstColumn="0" w:firstRowLastColumn="0" w:lastRowFirstColumn="0" w:lastRowLastColumn="0"/>
          <w:trHeight w:val="50"/>
        </w:trPr>
        <w:tc>
          <w:tcPr>
            <w:tcW w:w="1740" w:type="dxa"/>
            <w:tcBorders>
              <w:bottom w:val="single" w:sz="4" w:space="0" w:color="auto"/>
            </w:tcBorders>
          </w:tcPr>
          <w:p w14:paraId="0C66FE21" w14:textId="36A345BD" w:rsidR="211945C0" w:rsidRDefault="5F7F55F8" w:rsidP="211945C0">
            <w:pPr>
              <w:pStyle w:val="TableText"/>
            </w:pPr>
            <w:r w:rsidRPr="211945C0">
              <w:rPr>
                <w:rFonts w:ascii="Tahoma" w:eastAsia="Tahoma" w:hAnsi="Tahoma" w:cs="Tahoma"/>
                <w:color w:val="000000" w:themeColor="text1"/>
                <w:szCs w:val="22"/>
              </w:rPr>
              <w:t>Special Considerations</w:t>
            </w:r>
          </w:p>
        </w:tc>
        <w:tc>
          <w:tcPr>
            <w:tcW w:w="7929" w:type="dxa"/>
            <w:tcBorders>
              <w:bottom w:val="single" w:sz="4" w:space="0" w:color="auto"/>
            </w:tcBorders>
          </w:tcPr>
          <w:p w14:paraId="1297061A" w14:textId="4FFC4F43" w:rsidR="5F7F55F8" w:rsidRDefault="5F7F55F8" w:rsidP="001659A0">
            <w:pPr>
              <w:pStyle w:val="TableText"/>
              <w:rPr>
                <w:rFonts w:eastAsia="Tahoma"/>
              </w:rPr>
            </w:pPr>
            <w:r w:rsidRPr="211945C0">
              <w:rPr>
                <w:rFonts w:eastAsia="Tahoma"/>
              </w:rPr>
              <w:t>Any special circumstances relating to the request. For example:</w:t>
            </w:r>
          </w:p>
          <w:p w14:paraId="08D956C9" w14:textId="4328F093" w:rsidR="5F7F55F8" w:rsidRPr="000B1030" w:rsidRDefault="5F7F55F8" w:rsidP="007D21CC">
            <w:pPr>
              <w:pStyle w:val="TableList-level1"/>
              <w:rPr>
                <w:rFonts w:eastAsia="Tahoma"/>
              </w:rPr>
            </w:pPr>
            <w:r w:rsidRPr="000B1030">
              <w:rPr>
                <w:rFonts w:eastAsia="Tahoma"/>
              </w:rPr>
              <w:t>the Participant has a confirmed job due to start soon, and an urgent ESAt is required to ensure they receive the right on the job supports</w:t>
            </w:r>
            <w:r w:rsidR="00F0228B">
              <w:rPr>
                <w:rFonts w:eastAsia="Tahoma"/>
              </w:rPr>
              <w:t>, or</w:t>
            </w:r>
          </w:p>
          <w:p w14:paraId="43701F98" w14:textId="5B39B015" w:rsidR="5F7F55F8" w:rsidRPr="000B1030" w:rsidRDefault="0001C0FE" w:rsidP="007D21CC">
            <w:pPr>
              <w:pStyle w:val="TableList-level1"/>
              <w:rPr>
                <w:rFonts w:eastAsia="Tahoma"/>
              </w:rPr>
            </w:pPr>
            <w:r w:rsidRPr="3E27A7B0">
              <w:rPr>
                <w:rFonts w:eastAsia="Tahoma"/>
              </w:rPr>
              <w:t xml:space="preserve">the </w:t>
            </w:r>
            <w:r w:rsidR="5D2EF31D" w:rsidRPr="3E27A7B0">
              <w:rPr>
                <w:rFonts w:eastAsia="Tahoma"/>
              </w:rPr>
              <w:t>P</w:t>
            </w:r>
            <w:r w:rsidRPr="3E27A7B0">
              <w:rPr>
                <w:rFonts w:eastAsia="Tahoma"/>
              </w:rPr>
              <w:t>rovider recommends the ESAt be conducted face-to-face</w:t>
            </w:r>
            <w:r w:rsidR="40A48A55" w:rsidRPr="3E27A7B0">
              <w:rPr>
                <w:rFonts w:eastAsia="Tahoma"/>
              </w:rPr>
              <w:t>.</w:t>
            </w:r>
          </w:p>
          <w:p w14:paraId="0C0B0A08" w14:textId="27FDCEE3" w:rsidR="5F7F55F8" w:rsidRDefault="0001C0FE" w:rsidP="00E03FC3">
            <w:pPr>
              <w:pStyle w:val="TableText"/>
              <w:keepLines/>
              <w:rPr>
                <w:rFonts w:eastAsia="Tahoma"/>
              </w:rPr>
            </w:pPr>
            <w:r w:rsidRPr="3E27A7B0">
              <w:rPr>
                <w:rFonts w:eastAsia="Tahoma"/>
                <w:b/>
                <w:bCs/>
              </w:rPr>
              <w:t xml:space="preserve">Note: </w:t>
            </w:r>
            <w:r w:rsidRPr="3E27A7B0">
              <w:rPr>
                <w:rFonts w:eastAsia="Tahoma"/>
              </w:rPr>
              <w:t xml:space="preserve">Providers should not include any highly </w:t>
            </w:r>
            <w:r w:rsidR="00F0228B">
              <w:rPr>
                <w:rFonts w:eastAsia="Tahoma"/>
              </w:rPr>
              <w:t>S</w:t>
            </w:r>
            <w:r w:rsidRPr="3E27A7B0">
              <w:rPr>
                <w:rFonts w:eastAsia="Tahoma"/>
              </w:rPr>
              <w:t xml:space="preserve">ensitive, </w:t>
            </w:r>
            <w:r w:rsidR="7B949C78" w:rsidRPr="3E27A7B0">
              <w:rPr>
                <w:rFonts w:eastAsia="Tahoma"/>
              </w:rPr>
              <w:t>P</w:t>
            </w:r>
            <w:r w:rsidRPr="3E27A7B0">
              <w:rPr>
                <w:rFonts w:eastAsia="Tahoma"/>
              </w:rPr>
              <w:t xml:space="preserve">ersonal or </w:t>
            </w:r>
            <w:r w:rsidR="7B949C78" w:rsidRPr="3E27A7B0">
              <w:rPr>
                <w:rFonts w:eastAsia="Tahoma"/>
              </w:rPr>
              <w:t>P</w:t>
            </w:r>
            <w:r w:rsidRPr="3E27A7B0">
              <w:rPr>
                <w:rFonts w:eastAsia="Tahoma"/>
              </w:rPr>
              <w:t xml:space="preserve">rotected </w:t>
            </w:r>
            <w:r w:rsidR="6A096EF0" w:rsidRPr="3E27A7B0">
              <w:rPr>
                <w:rFonts w:eastAsia="Tahoma"/>
              </w:rPr>
              <w:t>I</w:t>
            </w:r>
            <w:r w:rsidRPr="3E27A7B0">
              <w:rPr>
                <w:rFonts w:eastAsia="Tahoma"/>
              </w:rPr>
              <w:t xml:space="preserve">nformation in the email. If exceptional circumstances apply (e.g. the Participant has suspected or confirmed mental health conditions and cannot access medical evidence), </w:t>
            </w:r>
            <w:r w:rsidR="2FE7CCDA" w:rsidRPr="3E27A7B0">
              <w:rPr>
                <w:rFonts w:eastAsia="Tahoma"/>
              </w:rPr>
              <w:t>P</w:t>
            </w:r>
            <w:r w:rsidRPr="3E27A7B0">
              <w:rPr>
                <w:rFonts w:eastAsia="Tahoma"/>
              </w:rPr>
              <w:t>roviders should call the FOCUS Response Team on 1800 110 608.</w:t>
            </w:r>
          </w:p>
        </w:tc>
      </w:tr>
      <w:tr w:rsidR="00FD020B" w14:paraId="2DEEA73B" w14:textId="77777777" w:rsidTr="00DE7A9B">
        <w:trPr>
          <w:cnfStyle w:val="000000010000" w:firstRow="0" w:lastRow="0" w:firstColumn="0" w:lastColumn="0" w:oddVBand="0" w:evenVBand="0" w:oddHBand="0" w:evenHBand="1" w:firstRowFirstColumn="0" w:firstRowLastColumn="0" w:lastRowFirstColumn="0" w:lastRowLastColumn="0"/>
          <w:trHeight w:val="50"/>
        </w:trPr>
        <w:tc>
          <w:tcPr>
            <w:tcW w:w="1740" w:type="dxa"/>
            <w:tcBorders>
              <w:bottom w:val="single" w:sz="4" w:space="0" w:color="auto"/>
            </w:tcBorders>
          </w:tcPr>
          <w:p w14:paraId="63E1336F" w14:textId="0C621D1E" w:rsidR="5F7F55F8" w:rsidRDefault="5F7F55F8" w:rsidP="001659A0">
            <w:pPr>
              <w:pStyle w:val="TableText"/>
              <w:rPr>
                <w:rFonts w:ascii="Tahoma" w:eastAsia="Tahoma" w:hAnsi="Tahoma" w:cs="Tahoma"/>
                <w:szCs w:val="22"/>
              </w:rPr>
            </w:pPr>
            <w:r w:rsidRPr="211945C0">
              <w:rPr>
                <w:rFonts w:ascii="Tahoma" w:eastAsia="Tahoma" w:hAnsi="Tahoma" w:cs="Tahoma"/>
                <w:color w:val="000000" w:themeColor="text1"/>
                <w:szCs w:val="22"/>
              </w:rPr>
              <w:t xml:space="preserve">For </w:t>
            </w:r>
            <w:r w:rsidR="001659A0">
              <w:rPr>
                <w:rFonts w:ascii="Tahoma" w:eastAsia="Tahoma" w:hAnsi="Tahoma" w:cs="Tahoma"/>
                <w:color w:val="000000" w:themeColor="text1"/>
                <w:szCs w:val="22"/>
              </w:rPr>
              <w:t>P</w:t>
            </w:r>
            <w:r w:rsidRPr="211945C0">
              <w:rPr>
                <w:rFonts w:ascii="Tahoma" w:eastAsia="Tahoma" w:hAnsi="Tahoma" w:cs="Tahoma"/>
                <w:color w:val="000000" w:themeColor="text1"/>
                <w:szCs w:val="22"/>
              </w:rPr>
              <w:t>re-</w:t>
            </w:r>
            <w:r w:rsidR="001659A0">
              <w:rPr>
                <w:rFonts w:ascii="Tahoma" w:eastAsia="Tahoma" w:hAnsi="Tahoma" w:cs="Tahoma"/>
                <w:color w:val="000000" w:themeColor="text1"/>
                <w:szCs w:val="22"/>
              </w:rPr>
              <w:t>R</w:t>
            </w:r>
            <w:r w:rsidRPr="211945C0">
              <w:rPr>
                <w:rFonts w:ascii="Tahoma" w:eastAsia="Tahoma" w:hAnsi="Tahoma" w:cs="Tahoma"/>
                <w:color w:val="000000" w:themeColor="text1"/>
                <w:szCs w:val="22"/>
              </w:rPr>
              <w:t xml:space="preserve">elease </w:t>
            </w:r>
            <w:r w:rsidR="001659A0">
              <w:rPr>
                <w:rFonts w:ascii="Tahoma" w:eastAsia="Tahoma" w:hAnsi="Tahoma" w:cs="Tahoma"/>
                <w:color w:val="000000" w:themeColor="text1"/>
                <w:szCs w:val="22"/>
              </w:rPr>
              <w:t>P</w:t>
            </w:r>
            <w:r w:rsidRPr="211945C0">
              <w:rPr>
                <w:rFonts w:ascii="Tahoma" w:eastAsia="Tahoma" w:hAnsi="Tahoma" w:cs="Tahoma"/>
                <w:color w:val="000000" w:themeColor="text1"/>
                <w:szCs w:val="22"/>
              </w:rPr>
              <w:t>risoners only</w:t>
            </w:r>
          </w:p>
        </w:tc>
        <w:tc>
          <w:tcPr>
            <w:tcW w:w="7929" w:type="dxa"/>
            <w:tcBorders>
              <w:bottom w:val="single" w:sz="4" w:space="0" w:color="auto"/>
            </w:tcBorders>
          </w:tcPr>
          <w:p w14:paraId="5961E297" w14:textId="5F77CC7C" w:rsidR="5F7F55F8" w:rsidRDefault="5F7F55F8" w:rsidP="007D21CC">
            <w:pPr>
              <w:pStyle w:val="TableList-level1"/>
              <w:rPr>
                <w:rFonts w:eastAsia="Tahoma"/>
              </w:rPr>
            </w:pPr>
            <w:r w:rsidRPr="211945C0">
              <w:rPr>
                <w:rFonts w:eastAsia="Tahoma"/>
              </w:rPr>
              <w:t>Name of the corrections facility or institution</w:t>
            </w:r>
            <w:r w:rsidR="00C63EAD">
              <w:rPr>
                <w:rFonts w:eastAsia="Tahoma"/>
              </w:rPr>
              <w:t>.</w:t>
            </w:r>
          </w:p>
          <w:p w14:paraId="0B3B7663" w14:textId="3F58E16F" w:rsidR="5F7F55F8" w:rsidRDefault="5F7F55F8" w:rsidP="007D21CC">
            <w:pPr>
              <w:pStyle w:val="TableList-level1"/>
              <w:rPr>
                <w:rFonts w:eastAsia="Tahoma"/>
              </w:rPr>
            </w:pPr>
            <w:r w:rsidRPr="211945C0">
              <w:rPr>
                <w:rFonts w:eastAsia="Tahoma"/>
              </w:rPr>
              <w:t>Contact name and number in the corrections facility or institution</w:t>
            </w:r>
            <w:r w:rsidR="00C63EAD">
              <w:rPr>
                <w:rFonts w:eastAsia="Tahoma"/>
              </w:rPr>
              <w:t>.</w:t>
            </w:r>
          </w:p>
          <w:p w14:paraId="729DD6D4" w14:textId="07EB0D26" w:rsidR="5F7F55F8" w:rsidRDefault="5F7F55F8" w:rsidP="007D21CC">
            <w:pPr>
              <w:pStyle w:val="TableList-level1"/>
              <w:rPr>
                <w:rFonts w:eastAsia="Tahoma"/>
              </w:rPr>
            </w:pPr>
            <w:r w:rsidRPr="211945C0">
              <w:rPr>
                <w:rFonts w:eastAsia="Tahoma"/>
              </w:rPr>
              <w:t>Date and time(s) the participant is able to participate in an Assessment.</w:t>
            </w:r>
          </w:p>
        </w:tc>
      </w:tr>
    </w:tbl>
    <w:p w14:paraId="330EAC6D" w14:textId="3DC0CC22" w:rsidR="211945C0" w:rsidRDefault="001659A0" w:rsidP="001659A0">
      <w:pPr>
        <w:pStyle w:val="TableChartHeading"/>
      </w:pPr>
      <w:r>
        <w:t>Template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1"/>
      </w:tblGrid>
      <w:tr w:rsidR="00C32AED" w14:paraId="6D411589" w14:textId="77777777" w:rsidTr="00C32AED">
        <w:trPr>
          <w:trHeight w:val="300"/>
          <w:tblHeader/>
        </w:trPr>
        <w:tc>
          <w:tcPr>
            <w:tcW w:w="9631" w:type="dxa"/>
            <w:tcBorders>
              <w:top w:val="single" w:sz="6" w:space="0" w:color="auto"/>
              <w:left w:val="single" w:sz="6" w:space="0" w:color="auto"/>
              <w:bottom w:val="single" w:sz="6" w:space="0" w:color="auto"/>
              <w:right w:val="single" w:sz="6" w:space="0" w:color="auto"/>
            </w:tcBorders>
            <w:shd w:val="clear" w:color="auto" w:fill="B1E4E3" w:themeFill="accent3"/>
            <w:tcMar>
              <w:left w:w="105" w:type="dxa"/>
              <w:right w:w="105" w:type="dxa"/>
            </w:tcMar>
          </w:tcPr>
          <w:p w14:paraId="72B87971" w14:textId="27A38A1D" w:rsidR="00C32AED" w:rsidRDefault="001910D0" w:rsidP="006365F9">
            <w:pPr>
              <w:tabs>
                <w:tab w:val="right" w:pos="1701"/>
              </w:tabs>
              <w:spacing w:after="120"/>
              <w:rPr>
                <w:rFonts w:ascii="Tahoma" w:eastAsia="Tahoma" w:hAnsi="Tahoma" w:cs="Tahoma"/>
                <w:color w:val="000000" w:themeColor="text1"/>
                <w:szCs w:val="22"/>
              </w:rPr>
            </w:pPr>
            <w:r>
              <w:rPr>
                <w:rFonts w:ascii="Tahoma" w:eastAsia="Tahoma" w:hAnsi="Tahoma" w:cs="Tahoma"/>
                <w:b/>
                <w:bCs/>
                <w:color w:val="000000" w:themeColor="text1"/>
                <w:szCs w:val="22"/>
              </w:rPr>
              <w:t>ESAt request</w:t>
            </w:r>
            <w:r w:rsidR="00C32AED" w:rsidRPr="211945C0">
              <w:rPr>
                <w:rFonts w:ascii="Tahoma" w:eastAsia="Tahoma" w:hAnsi="Tahoma" w:cs="Tahoma"/>
                <w:b/>
                <w:bCs/>
                <w:color w:val="000000" w:themeColor="text1"/>
                <w:szCs w:val="22"/>
              </w:rPr>
              <w:t>:</w:t>
            </w:r>
          </w:p>
        </w:tc>
      </w:tr>
      <w:tr w:rsidR="00C32AED" w14:paraId="14A6DA2B" w14:textId="77777777" w:rsidTr="002914EF">
        <w:trPr>
          <w:trHeight w:val="3856"/>
        </w:trPr>
        <w:tc>
          <w:tcPr>
            <w:tcW w:w="9631" w:type="dxa"/>
            <w:tcBorders>
              <w:top w:val="single" w:sz="6" w:space="0" w:color="auto"/>
              <w:left w:val="single" w:sz="6" w:space="0" w:color="auto"/>
              <w:bottom w:val="single" w:sz="6" w:space="0" w:color="auto"/>
              <w:right w:val="single" w:sz="6" w:space="0" w:color="auto"/>
            </w:tcBorders>
            <w:tcMar>
              <w:left w:w="105" w:type="dxa"/>
              <w:right w:w="105" w:type="dxa"/>
            </w:tcMar>
          </w:tcPr>
          <w:p w14:paraId="74E42333" w14:textId="32758E5E"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Participant’s JSID or CRN:</w:t>
            </w:r>
            <w:r w:rsidR="001910D0">
              <w:rPr>
                <w:rFonts w:ascii="Tahoma" w:eastAsia="Tahoma" w:hAnsi="Tahoma" w:cs="Tahoma"/>
                <w:color w:val="000000" w:themeColor="text1"/>
                <w:szCs w:val="22"/>
              </w:rPr>
              <w:t xml:space="preserve"> </w:t>
            </w:r>
          </w:p>
          <w:p w14:paraId="6F27543C" w14:textId="5B44A63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 xml:space="preserve">Participant’s State / Territory: </w:t>
            </w:r>
          </w:p>
          <w:p w14:paraId="52D7739D"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 xml:space="preserve">Reason for Referral: </w:t>
            </w:r>
          </w:p>
          <w:p w14:paraId="2E7B2494"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Interpreter Language:</w:t>
            </w:r>
          </w:p>
          <w:p w14:paraId="453713BD" w14:textId="6F9F05BF" w:rsidR="00C32AED" w:rsidRDefault="00C32AED" w:rsidP="006365F9">
            <w:pPr>
              <w:pBdr>
                <w:bottom w:val="single" w:sz="8" w:space="1" w:color="000000"/>
              </w:pBdr>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Special Contact Considerations:</w:t>
            </w:r>
            <w:r w:rsidR="002914EF">
              <w:t xml:space="preserve"> </w:t>
            </w:r>
          </w:p>
          <w:p w14:paraId="6CFD088F"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b/>
                <w:bCs/>
                <w:color w:val="000000" w:themeColor="text1"/>
                <w:szCs w:val="22"/>
              </w:rPr>
              <w:t>Pre-Release Prisoners Only:</w:t>
            </w:r>
          </w:p>
          <w:p w14:paraId="423E3A0E"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Faculty Name:</w:t>
            </w:r>
          </w:p>
          <w:p w14:paraId="6845F856"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Faculty Contact:</w:t>
            </w:r>
          </w:p>
          <w:p w14:paraId="5F54DF7F" w14:textId="77777777" w:rsidR="00C32AED" w:rsidRDefault="00C32AED" w:rsidP="006365F9">
            <w:pPr>
              <w:tabs>
                <w:tab w:val="right" w:pos="1701"/>
              </w:tabs>
              <w:spacing w:after="120"/>
              <w:rPr>
                <w:rFonts w:ascii="Tahoma" w:eastAsia="Tahoma" w:hAnsi="Tahoma" w:cs="Tahoma"/>
                <w:color w:val="000000" w:themeColor="text1"/>
                <w:szCs w:val="22"/>
              </w:rPr>
            </w:pPr>
            <w:r w:rsidRPr="211945C0">
              <w:rPr>
                <w:rFonts w:ascii="Tahoma" w:eastAsia="Tahoma" w:hAnsi="Tahoma" w:cs="Tahoma"/>
                <w:color w:val="000000" w:themeColor="text1"/>
                <w:szCs w:val="22"/>
              </w:rPr>
              <w:t>Date / Time Participant is available:</w:t>
            </w:r>
          </w:p>
        </w:tc>
      </w:tr>
    </w:tbl>
    <w:p w14:paraId="572093F0" w14:textId="73B48780" w:rsidR="0C44EDA0" w:rsidRDefault="40F5B9F6" w:rsidP="004E120D">
      <w:pPr>
        <w:pStyle w:val="BulletLevel1"/>
        <w:numPr>
          <w:ilvl w:val="0"/>
          <w:numId w:val="0"/>
        </w:numPr>
      </w:pPr>
      <w:r w:rsidRPr="3E27A7B0">
        <w:t xml:space="preserve">ESAts are conducted as </w:t>
      </w:r>
      <w:r w:rsidR="00D9789A">
        <w:t>phone</w:t>
      </w:r>
      <w:r w:rsidRPr="3E27A7B0">
        <w:t xml:space="preserve"> assessments by default. If a face-to-face ESAt is required, </w:t>
      </w:r>
      <w:r w:rsidR="044C1BAB" w:rsidRPr="3E27A7B0">
        <w:t>P</w:t>
      </w:r>
      <w:r w:rsidRPr="3E27A7B0">
        <w:t>roviders should include this in the ESAt request email. If a face-to-face ESAt cannot be accommodated on site, a videoconference ESAt may be conducted. Providers must advise Services Australia when requesting an ESAt, if relevant, if a Participant has displayed or threatened violent behaviour, as indicated by a Serious Incident Report (see</w:t>
      </w:r>
      <w:r w:rsidR="002E1160">
        <w:t xml:space="preserve"> </w:t>
      </w:r>
      <w:r w:rsidR="002E1160">
        <w:rPr>
          <w:highlight w:val="yellow"/>
        </w:rPr>
        <w:fldChar w:fldCharType="begin"/>
      </w:r>
      <w:r w:rsidR="002E1160">
        <w:instrText xml:space="preserve"> REF _Ref202783502 \h </w:instrText>
      </w:r>
      <w:r w:rsidR="002E1160">
        <w:rPr>
          <w:highlight w:val="yellow"/>
        </w:rPr>
      </w:r>
      <w:r w:rsidR="002E1160">
        <w:rPr>
          <w:highlight w:val="yellow"/>
        </w:rPr>
        <w:fldChar w:fldCharType="separate"/>
      </w:r>
      <w:r w:rsidR="000D75AE" w:rsidRPr="00BA23D8">
        <w:t>Chapter 13</w:t>
      </w:r>
      <w:r w:rsidR="000D75AE">
        <w:t>:</w:t>
      </w:r>
      <w:r w:rsidR="002E053E">
        <w:t xml:space="preserve"> </w:t>
      </w:r>
      <w:r w:rsidR="000D75AE" w:rsidRPr="00BA23D8">
        <w:t>Servicing Participants with challenging behaviours</w:t>
      </w:r>
      <w:r w:rsidR="002E1160">
        <w:rPr>
          <w:highlight w:val="yellow"/>
        </w:rPr>
        <w:fldChar w:fldCharType="end"/>
      </w:r>
      <w:r w:rsidRPr="3E27A7B0">
        <w:t>).</w:t>
      </w:r>
    </w:p>
    <w:p w14:paraId="4C6EF534" w14:textId="5F45F757" w:rsidR="0C44EDA0" w:rsidRDefault="40F5B9F6" w:rsidP="004E120D">
      <w:pPr>
        <w:pStyle w:val="BulletLevel1"/>
        <w:numPr>
          <w:ilvl w:val="0"/>
          <w:numId w:val="0"/>
        </w:numPr>
      </w:pPr>
      <w:r w:rsidRPr="3E27A7B0">
        <w:t xml:space="preserve">If Services Australia determines that an ESAt appointment is appropriate, the FOCUS Response Team will respond within 2 </w:t>
      </w:r>
      <w:r w:rsidR="2609008C" w:rsidRPr="3E27A7B0">
        <w:t>B</w:t>
      </w:r>
      <w:r w:rsidRPr="3E27A7B0">
        <w:t xml:space="preserve">usiness </w:t>
      </w:r>
      <w:r w:rsidR="2609008C" w:rsidRPr="3E27A7B0">
        <w:t>D</w:t>
      </w:r>
      <w:r w:rsidRPr="3E27A7B0">
        <w:t>ays to confirm if the request is appropriate and if the ESAt will proceed.</w:t>
      </w:r>
    </w:p>
    <w:p w14:paraId="4166B661" w14:textId="54FDBEDD" w:rsidR="0C44EDA0" w:rsidRDefault="40F5B9F6" w:rsidP="004E120D">
      <w:pPr>
        <w:pStyle w:val="BulletLevel1"/>
        <w:numPr>
          <w:ilvl w:val="0"/>
          <w:numId w:val="0"/>
        </w:numPr>
      </w:pPr>
      <w:r w:rsidRPr="3E27A7B0">
        <w:t xml:space="preserve">Services Australia will prioritise the ESAt request based on the Participant’s needs. Services Australia will contact the </w:t>
      </w:r>
      <w:r w:rsidR="044C1BAB" w:rsidRPr="3E27A7B0">
        <w:t>P</w:t>
      </w:r>
      <w:r w:rsidRPr="3E27A7B0">
        <w:t xml:space="preserve">rovider again once the ESAt appointment is booked so the </w:t>
      </w:r>
      <w:r w:rsidR="044C1BAB" w:rsidRPr="3E27A7B0">
        <w:t>P</w:t>
      </w:r>
      <w:r w:rsidRPr="3E27A7B0">
        <w:t>rovider is aware of the appointment details.</w:t>
      </w:r>
    </w:p>
    <w:p w14:paraId="40453787" w14:textId="6350120F" w:rsidR="00D74559" w:rsidRDefault="00D74559" w:rsidP="004E120D">
      <w:pPr>
        <w:pStyle w:val="BulletLevel1"/>
        <w:numPr>
          <w:ilvl w:val="0"/>
          <w:numId w:val="0"/>
        </w:numPr>
      </w:pPr>
      <w:r w:rsidRPr="211945C0">
        <w:t>Providers should contact the FOCUS Response Team on 1800 110 608:</w:t>
      </w:r>
    </w:p>
    <w:p w14:paraId="749C8B20" w14:textId="4C96ECDE" w:rsidR="00D74559" w:rsidRDefault="43E041BA" w:rsidP="004E120D">
      <w:pPr>
        <w:pStyle w:val="BulletLevel1"/>
      </w:pPr>
      <w:r w:rsidRPr="3E27A7B0">
        <w:t xml:space="preserve">if the FOCUS Response Team does not </w:t>
      </w:r>
      <w:r w:rsidR="40F5B9F6" w:rsidRPr="3E27A7B0">
        <w:t>respond</w:t>
      </w:r>
      <w:r w:rsidRPr="3E27A7B0">
        <w:t xml:space="preserve"> within </w:t>
      </w:r>
      <w:r w:rsidR="40F5B9F6" w:rsidRPr="3E27A7B0">
        <w:t>2</w:t>
      </w:r>
      <w:r w:rsidRPr="3E27A7B0">
        <w:t xml:space="preserve"> </w:t>
      </w:r>
      <w:r w:rsidR="2609008C" w:rsidRPr="3E27A7B0">
        <w:t>B</w:t>
      </w:r>
      <w:r w:rsidRPr="3E27A7B0">
        <w:t xml:space="preserve">usiness </w:t>
      </w:r>
      <w:r w:rsidR="2609008C" w:rsidRPr="3E27A7B0">
        <w:t>D</w:t>
      </w:r>
      <w:r w:rsidR="40F5B9F6" w:rsidRPr="3E27A7B0">
        <w:t>ays</w:t>
      </w:r>
      <w:r w:rsidRPr="3E27A7B0">
        <w:t xml:space="preserve"> </w:t>
      </w:r>
    </w:p>
    <w:p w14:paraId="1A872148" w14:textId="1C10B088" w:rsidR="00D74559" w:rsidRDefault="00D74559" w:rsidP="004E120D">
      <w:pPr>
        <w:pStyle w:val="BulletLevel1"/>
      </w:pPr>
      <w:r w:rsidRPr="211945C0">
        <w:t>for all urgent enquiries (for example, highly vulnerable Participants).</w:t>
      </w:r>
    </w:p>
    <w:p w14:paraId="1C3533F7" w14:textId="08CC8D44" w:rsidR="00D74559" w:rsidRPr="003B2AAA" w:rsidRDefault="00D74559" w:rsidP="001D0F92">
      <w:pPr>
        <w:pStyle w:val="Heading4"/>
      </w:pPr>
      <w:bookmarkStart w:id="84" w:name="_Toc202899896"/>
      <w:r w:rsidRPr="534D8722">
        <w:t>2.4.6</w:t>
      </w:r>
      <w:r w:rsidR="006F727E">
        <w:tab/>
      </w:r>
      <w:r w:rsidRPr="534D8722">
        <w:t>Preparing a person for the ESAt</w:t>
      </w:r>
      <w:bookmarkEnd w:id="84"/>
    </w:p>
    <w:p w14:paraId="40174420" w14:textId="21D9FC5B" w:rsidR="00D74559" w:rsidRPr="00CD384F" w:rsidRDefault="00D74559" w:rsidP="006E2EF5">
      <w:r w:rsidRPr="534D8722">
        <w:t>When a Provider refers a person to an ESAt appointment</w:t>
      </w:r>
      <w:r w:rsidR="0018412E">
        <w:t>,</w:t>
      </w:r>
      <w:r w:rsidRPr="534D8722">
        <w:t xml:space="preserve"> the Provider must advise the </w:t>
      </w:r>
      <w:r>
        <w:t>person</w:t>
      </w:r>
      <w:r w:rsidRPr="534D8722">
        <w:t xml:space="preserve"> of the following:</w:t>
      </w:r>
    </w:p>
    <w:p w14:paraId="579D5EB5" w14:textId="77777777" w:rsidR="00D74559" w:rsidRPr="00CD384F" w:rsidRDefault="00D74559" w:rsidP="004E120D">
      <w:pPr>
        <w:pStyle w:val="BulletLevel1"/>
      </w:pPr>
      <w:r w:rsidRPr="534D8722">
        <w:t>the reason for the ESAt</w:t>
      </w:r>
    </w:p>
    <w:p w14:paraId="4B4732D9" w14:textId="77777777" w:rsidR="00D74559" w:rsidRPr="00CD384F" w:rsidRDefault="00D74559" w:rsidP="004E120D">
      <w:pPr>
        <w:pStyle w:val="BulletLevel1"/>
      </w:pPr>
      <w:r w:rsidRPr="534D8722">
        <w:t xml:space="preserve">that the ESAt is an interview to assess their work capacity and/or their eligibility for specialist employment services assistance </w:t>
      </w:r>
    </w:p>
    <w:p w14:paraId="05769AA8" w14:textId="77777777" w:rsidR="00D74559" w:rsidRPr="001D7C0A" w:rsidRDefault="00D74559" w:rsidP="004E120D">
      <w:pPr>
        <w:pStyle w:val="BulletLevel1"/>
      </w:pPr>
      <w:r w:rsidRPr="534D8722">
        <w:t>the importance of disclosing all their barriers to employment at the ESAt appointment</w:t>
      </w:r>
    </w:p>
    <w:p w14:paraId="3217E11F" w14:textId="77777777" w:rsidR="00D74559" w:rsidRDefault="00D74559" w:rsidP="004E120D">
      <w:pPr>
        <w:pStyle w:val="BulletLevel1"/>
      </w:pPr>
      <w:r>
        <w:t xml:space="preserve">the importance of providing any new or further medical evidence via their Centrelink online account prior to the appointment </w:t>
      </w:r>
    </w:p>
    <w:p w14:paraId="59241DAE" w14:textId="18FE350F" w:rsidR="00D74559" w:rsidRDefault="00D74559" w:rsidP="004E120D">
      <w:pPr>
        <w:pStyle w:val="BulletLevel1"/>
      </w:pPr>
      <w:r>
        <w:t>they may have a</w:t>
      </w:r>
      <w:r w:rsidR="2C824930">
        <w:t>n</w:t>
      </w:r>
      <w:r w:rsidR="00E67BE5">
        <w:t xml:space="preserve"> </w:t>
      </w:r>
      <w:r w:rsidR="00E67BE5" w:rsidRPr="000B1030">
        <w:rPr>
          <w:rFonts w:eastAsia="Tahoma"/>
        </w:rPr>
        <w:t>interpreter</w:t>
      </w:r>
      <w:r w:rsidR="00E67BE5">
        <w:rPr>
          <w:rFonts w:eastAsia="Tahoma"/>
        </w:rPr>
        <w:t xml:space="preserve"> or</w:t>
      </w:r>
      <w:r>
        <w:t xml:space="preserve"> support person (such as a nominee, medical practitioner, Family Member,</w:t>
      </w:r>
      <w:bookmarkStart w:id="85" w:name="_Hlk191908152"/>
      <w:r>
        <w:t xml:space="preserve"> support worker</w:t>
      </w:r>
      <w:bookmarkEnd w:id="85"/>
      <w:r>
        <w:t>, NDIS provider, advocate) present to assist them, and</w:t>
      </w:r>
    </w:p>
    <w:p w14:paraId="5993779F" w14:textId="22B0699C" w:rsidR="00D74559" w:rsidRPr="001D7C0A" w:rsidRDefault="00D74559" w:rsidP="004E120D">
      <w:pPr>
        <w:pStyle w:val="BulletLevel1"/>
      </w:pPr>
      <w:r>
        <w:t>if applicable, that they may be referred to a different service after the assessment that better meets their needs.</w:t>
      </w:r>
    </w:p>
    <w:p w14:paraId="0960FFAF" w14:textId="77777777" w:rsidR="00D74559" w:rsidRPr="00FB7CD7" w:rsidRDefault="00D74559" w:rsidP="000335E0">
      <w:r w:rsidRPr="534D8722">
        <w:t>Services Australia will review the ESAt request to determine if an ESAt is required. If there is information missing, or an ESAt is not required, Services Australia will reply to the Provider via email to let them know.</w:t>
      </w:r>
    </w:p>
    <w:p w14:paraId="693D85C8" w14:textId="77777777" w:rsidR="00D74559" w:rsidRDefault="00D74559" w:rsidP="00681E35">
      <w:pPr>
        <w:pStyle w:val="SystemStep"/>
      </w:pPr>
      <w:r w:rsidRPr="534D8722">
        <w:t>When Services Australia books an ESAt appointment, they will send the Participant notification of the appointment details, including the contact number if they want to re</w:t>
      </w:r>
      <w:r w:rsidR="00573FA6">
        <w:t>schedule</w:t>
      </w:r>
      <w:r>
        <w:t xml:space="preserve"> the appointment</w:t>
      </w:r>
      <w:r w:rsidRPr="534D8722">
        <w:t xml:space="preserve">. The Provider will be alerted to the ESAt </w:t>
      </w:r>
      <w:r>
        <w:t>appointment</w:t>
      </w:r>
      <w:r w:rsidRPr="534D8722">
        <w:t xml:space="preserve"> in the Department’s IT Systems.</w:t>
      </w:r>
    </w:p>
    <w:p w14:paraId="7842461C" w14:textId="77777777" w:rsidR="00D74559" w:rsidRPr="00FB7CD7" w:rsidRDefault="00D74559" w:rsidP="000335E0">
      <w:r w:rsidRPr="534D8722">
        <w:t xml:space="preserve">When ESAt appointment has been </w:t>
      </w:r>
      <w:r w:rsidR="00573FA6">
        <w:t>schedule</w:t>
      </w:r>
      <w:r w:rsidRPr="534D8722">
        <w:t>d in the Participant’s Electronic Calendar, the Provider must confirm with the person the:</w:t>
      </w:r>
    </w:p>
    <w:p w14:paraId="21889510" w14:textId="77777777" w:rsidR="00D74559" w:rsidRPr="00FB7CD7" w:rsidRDefault="00D74559" w:rsidP="004E120D">
      <w:pPr>
        <w:pStyle w:val="BulletLevel1"/>
      </w:pPr>
      <w:r w:rsidRPr="534D8722">
        <w:t xml:space="preserve">date and </w:t>
      </w:r>
      <w:r w:rsidRPr="00752638">
        <w:t>time</w:t>
      </w:r>
      <w:r w:rsidRPr="534D8722">
        <w:t xml:space="preserve"> of the ESAt appointment </w:t>
      </w:r>
    </w:p>
    <w:p w14:paraId="0FCB4814" w14:textId="77777777" w:rsidR="00D74559" w:rsidRDefault="00D74559" w:rsidP="004E120D">
      <w:pPr>
        <w:pStyle w:val="BulletLevel1"/>
      </w:pPr>
      <w:r>
        <w:t>that they are to contact the Services Australia using the contact information available on their appointment notification at least 24 business hours before the appointment time if they cannot attend</w:t>
      </w:r>
    </w:p>
    <w:p w14:paraId="0498E2C3" w14:textId="77777777" w:rsidR="00D74559" w:rsidRDefault="00D74559" w:rsidP="004E120D">
      <w:pPr>
        <w:pStyle w:val="BulletLevel1"/>
        <w:rPr>
          <w:rFonts w:eastAsiaTheme="minorEastAsia"/>
        </w:rPr>
      </w:pPr>
      <w:r w:rsidRPr="534D8722">
        <w:t xml:space="preserve">if the Participant has Mutual Obligation Requirements, attendance at the ESAt is compulsory and if they do not attend, their </w:t>
      </w:r>
      <w:r>
        <w:t>I</w:t>
      </w:r>
      <w:r w:rsidRPr="534D8722">
        <w:t xml:space="preserve">ncome </w:t>
      </w:r>
      <w:r>
        <w:t>S</w:t>
      </w:r>
      <w:r w:rsidRPr="534D8722">
        <w:t xml:space="preserve">upport </w:t>
      </w:r>
      <w:r>
        <w:t>P</w:t>
      </w:r>
      <w:r w:rsidRPr="534D8722">
        <w:t>ayments may be suspended</w:t>
      </w:r>
      <w:r>
        <w:t xml:space="preserve"> — the Department’s IT Systems will trigger a notification of the requirement to attend</w:t>
      </w:r>
    </w:p>
    <w:p w14:paraId="78400EDB" w14:textId="77777777" w:rsidR="00D74559" w:rsidRPr="00FB7CD7" w:rsidRDefault="00D74559" w:rsidP="004E120D">
      <w:pPr>
        <w:pStyle w:val="BulletLevel1"/>
      </w:pPr>
      <w:r w:rsidRPr="534D8722">
        <w:t>reasons for the ESAt including the importance of collecting information about their circumstances so they get support that matches their needs and capability, and</w:t>
      </w:r>
    </w:p>
    <w:p w14:paraId="4C86D45B" w14:textId="77777777" w:rsidR="00D74559" w:rsidRPr="00FB7CD7" w:rsidRDefault="00D74559" w:rsidP="004E120D">
      <w:pPr>
        <w:pStyle w:val="BulletLevel1"/>
      </w:pPr>
      <w:r w:rsidRPr="534D8722">
        <w:t>need for full disclosure when discussing barriers to employment to ensure they receive the most appropriate assistance.</w:t>
      </w:r>
    </w:p>
    <w:p w14:paraId="6B8D7701" w14:textId="764112C7" w:rsidR="00D74559" w:rsidRPr="00FB7CD7" w:rsidRDefault="00D74559" w:rsidP="001D0F92">
      <w:pPr>
        <w:pStyle w:val="Heading4"/>
      </w:pPr>
      <w:bookmarkStart w:id="86" w:name="_Ref202783112"/>
      <w:bookmarkStart w:id="87" w:name="_Toc202899897"/>
      <w:r w:rsidRPr="534D8722">
        <w:t>2.4.7</w:t>
      </w:r>
      <w:r w:rsidR="006F727E">
        <w:tab/>
      </w:r>
      <w:r w:rsidRPr="534D8722">
        <w:t>Actioning the outcomes of the ESAt report</w:t>
      </w:r>
      <w:bookmarkEnd w:id="86"/>
      <w:bookmarkEnd w:id="87"/>
    </w:p>
    <w:p w14:paraId="2D1B5A4D" w14:textId="4CE17AB8" w:rsidR="00D74559" w:rsidRPr="00FB7CD7" w:rsidRDefault="43E041BA" w:rsidP="003024D9">
      <w:r>
        <w:t>When the ESAt assessor submits the ESAt report, it will appear on the Department’s IT System</w:t>
      </w:r>
      <w:r w:rsidR="65B96884">
        <w:t>s</w:t>
      </w:r>
      <w:r>
        <w:t xml:space="preserve"> with a status of ‘submitted.’ </w:t>
      </w:r>
    </w:p>
    <w:p w14:paraId="0D63F60C" w14:textId="77777777" w:rsidR="00D74559" w:rsidRDefault="00D74559" w:rsidP="003024D9">
      <w:r w:rsidRPr="534D8722">
        <w:t xml:space="preserve">A submitted ESAt takes effect immediately. </w:t>
      </w:r>
    </w:p>
    <w:p w14:paraId="4EE2D511" w14:textId="77777777" w:rsidR="00D74559" w:rsidRPr="00FB7CD7" w:rsidRDefault="00D74559" w:rsidP="003024D9">
      <w:r w:rsidRPr="534D8722">
        <w:t>As the Current ESAt, it may:</w:t>
      </w:r>
    </w:p>
    <w:p w14:paraId="6F14DB8B" w14:textId="77777777" w:rsidR="00D74559" w:rsidRPr="00FB7CD7" w:rsidRDefault="00D74559" w:rsidP="004E120D">
      <w:pPr>
        <w:pStyle w:val="BulletLevel1"/>
      </w:pPr>
      <w:r w:rsidRPr="534D8722">
        <w:t>establish or update the Participant’s current baseline work capacity and/or future work capacity with intervention, that is used to determine their:</w:t>
      </w:r>
    </w:p>
    <w:p w14:paraId="0E3752B1" w14:textId="1074CF9E" w:rsidR="00D74559" w:rsidRPr="00E659EF" w:rsidRDefault="578C0D4F" w:rsidP="004E120D">
      <w:pPr>
        <w:pStyle w:val="BulletLevel2"/>
      </w:pPr>
      <w:r w:rsidRPr="00C404A5">
        <w:t>E</w:t>
      </w:r>
      <w:r w:rsidR="43E041BA" w:rsidRPr="00C404A5">
        <w:t>mployment</w:t>
      </w:r>
      <w:r w:rsidR="43E041BA">
        <w:t xml:space="preserve"> </w:t>
      </w:r>
      <w:r w:rsidR="5FDC6063">
        <w:t>B</w:t>
      </w:r>
      <w:r w:rsidR="43E041BA">
        <w:t>enchmark, and</w:t>
      </w:r>
    </w:p>
    <w:p w14:paraId="7B6C190E" w14:textId="77777777" w:rsidR="00D74559" w:rsidRPr="00E659EF" w:rsidRDefault="00D74559" w:rsidP="004E120D">
      <w:pPr>
        <w:pStyle w:val="BulletLevel2"/>
      </w:pPr>
      <w:r>
        <w:t>Mutual Obligation Requirements or Compulsory Participation Requirements, if applicable</w:t>
      </w:r>
    </w:p>
    <w:p w14:paraId="7D0A163C" w14:textId="77777777" w:rsidR="00D74559" w:rsidRPr="00FB7CD7" w:rsidRDefault="00D74559" w:rsidP="004E120D">
      <w:pPr>
        <w:pStyle w:val="BulletLevel1"/>
      </w:pPr>
      <w:r w:rsidRPr="534D8722">
        <w:t>recommend a temporary reduced work capacity, including the duration of the temporary reduction</w:t>
      </w:r>
    </w:p>
    <w:p w14:paraId="0703E839" w14:textId="77777777" w:rsidR="00D74559" w:rsidRPr="00FB7CD7" w:rsidRDefault="00D74559" w:rsidP="004E120D">
      <w:pPr>
        <w:pStyle w:val="BulletLevel1"/>
      </w:pPr>
      <w:r>
        <w:t>make a referral recommendation, for the employment services the person is eligible to access, and</w:t>
      </w:r>
    </w:p>
    <w:p w14:paraId="3BF07FE4" w14:textId="4D18AA84" w:rsidR="00D74559" w:rsidRPr="00FB7CD7" w:rsidRDefault="43E041BA" w:rsidP="004E120D">
      <w:pPr>
        <w:pStyle w:val="BulletLevel1"/>
      </w:pPr>
      <w:r>
        <w:t xml:space="preserve">support a </w:t>
      </w:r>
      <w:r w:rsidR="5881395E">
        <w:t>R</w:t>
      </w:r>
      <w:r>
        <w:t xml:space="preserve">eferral to a Provider of the person’s choice. For Participants who </w:t>
      </w:r>
      <w:r w:rsidR="510F9056">
        <w:t>D</w:t>
      </w:r>
      <w:r>
        <w:t xml:space="preserve">irectly </w:t>
      </w:r>
      <w:r w:rsidR="21965ED6">
        <w:t>R</w:t>
      </w:r>
      <w:r>
        <w:t xml:space="preserve">egister with a Provider, this </w:t>
      </w:r>
      <w:r w:rsidR="3226A91D">
        <w:t>R</w:t>
      </w:r>
      <w:r>
        <w:t>eferral will be to the Provider who made the Direct Registration ESAt referral.</w:t>
      </w:r>
    </w:p>
    <w:p w14:paraId="1467159D" w14:textId="77777777" w:rsidR="00D74559" w:rsidRPr="00FB7CD7" w:rsidRDefault="00D74559" w:rsidP="003F6B39">
      <w:r w:rsidRPr="534D8722">
        <w:t>Providers must support and action any changes resulting from the ESAt, as needed.</w:t>
      </w:r>
    </w:p>
    <w:p w14:paraId="51B4DBF6" w14:textId="573068E2" w:rsidR="00D74559" w:rsidRPr="00FB7CD7" w:rsidRDefault="00D74559" w:rsidP="003024D9">
      <w:r w:rsidRPr="534D8722">
        <w:t>The ESAt report status will change to ‘finalised’ 28 days after it is submitted.</w:t>
      </w:r>
    </w:p>
    <w:p w14:paraId="2267417D" w14:textId="77777777" w:rsidR="00D74559" w:rsidRPr="003B0D9F" w:rsidRDefault="00D74559" w:rsidP="006D1645">
      <w:pPr>
        <w:pStyle w:val="Heading5"/>
      </w:pPr>
      <w:r w:rsidRPr="534D8722">
        <w:t>Requesting a review of the ESAt report</w:t>
      </w:r>
    </w:p>
    <w:p w14:paraId="6E481912" w14:textId="77777777" w:rsidR="00D74559" w:rsidRDefault="00D74559" w:rsidP="003F6B39">
      <w:r w:rsidRPr="534D8722">
        <w:t xml:space="preserve">Providers can request a review of an ESAt if </w:t>
      </w:r>
      <w:bookmarkStart w:id="88" w:name="_Int_B7DhGPJw"/>
      <w:r w:rsidRPr="534D8722">
        <w:t>new information</w:t>
      </w:r>
      <w:bookmarkEnd w:id="88"/>
      <w:r w:rsidRPr="534D8722">
        <w:t xml:space="preserve"> is made available that might change the outcome of the ESAt (including the employment service referral recommendation), or there appears to be an error in the report. </w:t>
      </w:r>
    </w:p>
    <w:p w14:paraId="5EF6BE60" w14:textId="77777777" w:rsidR="00D74559" w:rsidRDefault="00D74559" w:rsidP="003F6B39">
      <w:r w:rsidRPr="4E022D95">
        <w:t xml:space="preserve">To request a review, Providers must contact Services Australia by sending an email to </w:t>
      </w:r>
      <w:hyperlink r:id="rId38">
        <w:r w:rsidRPr="4E022D95">
          <w:rPr>
            <w:rStyle w:val="Hyperlink"/>
            <w:rFonts w:ascii="Tahoma" w:eastAsia="Tahoma" w:hAnsi="Tahoma" w:cs="Tahoma"/>
          </w:rPr>
          <w:t>FOCUS.RESPONSE.TEAM@servicesaustralia.gov.au</w:t>
        </w:r>
      </w:hyperlink>
      <w:r w:rsidRPr="4E022D95">
        <w:t xml:space="preserve"> and outline the request, including their reason(s).</w:t>
      </w:r>
    </w:p>
    <w:p w14:paraId="3AF24603" w14:textId="77777777" w:rsidR="00D74559" w:rsidRDefault="00D74559" w:rsidP="003F6B39">
      <w:r w:rsidRPr="37BA2187">
        <w:t>If the Services Australia Assessor does not agree to change the recommendations, the Provider must accept the Assessor’s decision as final.</w:t>
      </w:r>
    </w:p>
    <w:p w14:paraId="7B74B275" w14:textId="7EE1151A" w:rsidR="00D74559" w:rsidRDefault="00D74559" w:rsidP="003F6B39">
      <w:r w:rsidRPr="534D8722">
        <w:t xml:space="preserve">A review must be requested within 28 calendar days of the ESAt report being submitted. Once the </w:t>
      </w:r>
      <w:r w:rsidR="004B49AC">
        <w:t>Department’s IT</w:t>
      </w:r>
      <w:r w:rsidRPr="534D8722">
        <w:t xml:space="preserve"> </w:t>
      </w:r>
      <w:r w:rsidR="004B49AC">
        <w:t>S</w:t>
      </w:r>
      <w:r w:rsidRPr="534D8722">
        <w:t>ystem</w:t>
      </w:r>
      <w:r w:rsidR="004B49AC">
        <w:t>s</w:t>
      </w:r>
      <w:r w:rsidRPr="534D8722">
        <w:t xml:space="preserve"> change the ESAt status to ‘</w:t>
      </w:r>
      <w:r w:rsidR="004B49AC">
        <w:t>f</w:t>
      </w:r>
      <w:r w:rsidRPr="534D8722">
        <w:t>inalised,’ Services Australia is not able to make any changes to the report.</w:t>
      </w:r>
    </w:p>
    <w:p w14:paraId="46EF3CBF" w14:textId="77777777" w:rsidR="00D74559" w:rsidRDefault="00D74559" w:rsidP="003F6B39">
      <w:pPr>
        <w:rPr>
          <w:rFonts w:eastAsiaTheme="minorEastAsia"/>
        </w:rPr>
      </w:pPr>
      <w:r w:rsidRPr="534D8722">
        <w:t>If the Participant disagrees with the ESAt, or would like a further explanation of the content, they should contact Services Australia.</w:t>
      </w:r>
      <w:r w:rsidRPr="534D8722">
        <w:rPr>
          <w:rFonts w:eastAsiaTheme="minorEastAsia"/>
        </w:rPr>
        <w:t xml:space="preserve"> </w:t>
      </w:r>
    </w:p>
    <w:p w14:paraId="62FA4A2B" w14:textId="16C4C493" w:rsidR="00D74559" w:rsidRPr="00303AD9" w:rsidRDefault="00D74559" w:rsidP="006E2EF5">
      <w:pPr>
        <w:pStyle w:val="DeedReferences"/>
      </w:pPr>
      <w:r>
        <w:t>(</w:t>
      </w:r>
      <w:r w:rsidR="00A73420">
        <w:t xml:space="preserve">Deed Reference(s): Clause </w:t>
      </w:r>
      <w:r w:rsidR="00817918">
        <w:t>107.1, 107.2</w:t>
      </w:r>
      <w:r>
        <w:t>)</w:t>
      </w:r>
    </w:p>
    <w:p w14:paraId="36FC4B35" w14:textId="77777777" w:rsidR="00D74559" w:rsidRPr="003B0D9F" w:rsidRDefault="00D74559" w:rsidP="006F727E">
      <w:pPr>
        <w:pStyle w:val="Heading5"/>
      </w:pPr>
      <w:r w:rsidRPr="534D8722">
        <w:t>Releasing the ESAt report</w:t>
      </w:r>
    </w:p>
    <w:p w14:paraId="07DE0633" w14:textId="39C12C63" w:rsidR="00D74559" w:rsidRPr="00FA31B1" w:rsidRDefault="00D74559" w:rsidP="003024D9">
      <w:r w:rsidRPr="534D8722">
        <w:t>If a</w:t>
      </w:r>
      <w:r>
        <w:t xml:space="preserve"> person</w:t>
      </w:r>
      <w:r w:rsidRPr="534D8722">
        <w:t xml:space="preserve"> asks to see their ESAt report, they can be given a copy of the report unless it contains a statement like: “This report contains information which if released to the client, might be prejudicial to his/her health”</w:t>
      </w:r>
      <w:r w:rsidR="00CF56BB">
        <w:t>.</w:t>
      </w:r>
      <w:r w:rsidRPr="534D8722">
        <w:t xml:space="preserve"> In this case, Providers should direct the </w:t>
      </w:r>
      <w:r>
        <w:t>person</w:t>
      </w:r>
      <w:r w:rsidRPr="534D8722">
        <w:t xml:space="preserve"> to the Department’s Freedom of Information (FOI) team. The </w:t>
      </w:r>
      <w:hyperlink r:id="rId39" w:tgtFrame="_blank" w:history="1">
        <w:r w:rsidRPr="534D8722">
          <w:rPr>
            <w:rStyle w:val="Hyperlink"/>
          </w:rPr>
          <w:t>Freedom of Information</w:t>
        </w:r>
      </w:hyperlink>
      <w:r w:rsidRPr="534D8722">
        <w:t xml:space="preserve"> page on the Department's website contains information for the public on how to submit an FOI request.</w:t>
      </w:r>
    </w:p>
    <w:p w14:paraId="6BA0931D" w14:textId="7A039D7B" w:rsidR="00D74559" w:rsidRPr="00115CE8" w:rsidRDefault="00D74559" w:rsidP="003024D9">
      <w:r w:rsidRPr="00115CE8">
        <w:t xml:space="preserve">Additional information regarding the disclosure of information and privacy considerations can be found in </w:t>
      </w:r>
      <w:r w:rsidR="00572630" w:rsidRPr="00572630">
        <w:rPr>
          <w:rStyle w:val="Hyperlink"/>
        </w:rPr>
        <w:t>Part A Guidelines: Chapter 6: Privacy [LINK]</w:t>
      </w:r>
      <w:r w:rsidRPr="00115CE8">
        <w:t>.</w:t>
      </w:r>
    </w:p>
    <w:p w14:paraId="0A38AF68" w14:textId="449377B8" w:rsidR="00D74559" w:rsidRPr="003B0D9F" w:rsidRDefault="43E041BA" w:rsidP="003024D9">
      <w:pPr>
        <w:rPr>
          <w:highlight w:val="green"/>
        </w:rPr>
      </w:pPr>
      <w:r w:rsidRPr="3E27A7B0">
        <w:rPr>
          <w:b/>
          <w:bCs/>
        </w:rPr>
        <w:t>Note</w:t>
      </w:r>
      <w:r>
        <w:t>: JCA reports available on the Department’s IT System</w:t>
      </w:r>
      <w:r w:rsidR="6093060B">
        <w:t>s</w:t>
      </w:r>
      <w:r>
        <w:t xml:space="preserve"> include only information relevant to the person's participation in employment services (equivalent to the information contained in an ESAt). If the Participant wishes to view additional JCA information used for DSP claims or reviews, the Provider should direct the person </w:t>
      </w:r>
      <w:r w:rsidRPr="3E27A7B0">
        <w:rPr>
          <w:rFonts w:eastAsiaTheme="minorEastAsia"/>
        </w:rPr>
        <w:t xml:space="preserve">to </w:t>
      </w:r>
      <w:hyperlink r:id="rId40">
        <w:r w:rsidRPr="00115CE8">
          <w:rPr>
            <w:rStyle w:val="Hyperlink"/>
            <w:rFonts w:eastAsiaTheme="minorEastAsia"/>
          </w:rPr>
          <w:t>Services Australia</w:t>
        </w:r>
        <w:r>
          <w:t>.</w:t>
        </w:r>
      </w:hyperlink>
    </w:p>
    <w:p w14:paraId="3BADE39A" w14:textId="2E092E44" w:rsidR="00D74559" w:rsidRPr="00F07215" w:rsidRDefault="00D74559" w:rsidP="001D0F92">
      <w:pPr>
        <w:pStyle w:val="Heading3"/>
      </w:pPr>
      <w:bookmarkStart w:id="89" w:name="_Ref202784620"/>
      <w:bookmarkStart w:id="90" w:name="_Toc202899898"/>
      <w:r w:rsidRPr="00F07215">
        <w:rPr>
          <w:rStyle w:val="Heading2Char1"/>
          <w:rFonts w:asciiTheme="majorHAnsi" w:hAnsiTheme="majorHAnsi"/>
          <w:i w:val="0"/>
          <w:color w:val="005A70" w:themeColor="accent1"/>
          <w:sz w:val="32"/>
          <w:szCs w:val="24"/>
        </w:rPr>
        <w:t>2.5</w:t>
      </w:r>
      <w:r w:rsidR="006F727E">
        <w:tab/>
      </w:r>
      <w:r w:rsidRPr="00F07215">
        <w:t>Skills Assessment</w:t>
      </w:r>
      <w:bookmarkEnd w:id="89"/>
      <w:bookmarkEnd w:id="90"/>
    </w:p>
    <w:p w14:paraId="190154FA" w14:textId="65908A74" w:rsidR="00D74559" w:rsidRDefault="00D74559" w:rsidP="006E2EF5">
      <w:r w:rsidRPr="534D8722">
        <w:t xml:space="preserve">When a Participant commences in Pre-Employment Support, during the </w:t>
      </w:r>
      <w:r>
        <w:t>I</w:t>
      </w:r>
      <w:r w:rsidRPr="534D8722">
        <w:t xml:space="preserve">nitial </w:t>
      </w:r>
      <w:r>
        <w:t>E</w:t>
      </w:r>
      <w:r w:rsidRPr="534D8722">
        <w:t xml:space="preserve">ngagement </w:t>
      </w:r>
      <w:r>
        <w:t>P</w:t>
      </w:r>
      <w:r w:rsidRPr="534D8722">
        <w:t>eriod (see</w:t>
      </w:r>
      <w:r w:rsidR="00115CE8">
        <w:t xml:space="preserve"> </w:t>
      </w:r>
      <w:r w:rsidR="002E053E">
        <w:fldChar w:fldCharType="begin"/>
      </w:r>
      <w:r w:rsidR="002E053E">
        <w:instrText xml:space="preserve"> REF _Ref202783845 \h </w:instrText>
      </w:r>
      <w:r w:rsidR="002E053E">
        <w:fldChar w:fldCharType="separate"/>
      </w:r>
      <w:r w:rsidR="002E053E" w:rsidRPr="0E218120">
        <w:t>3.3</w:t>
      </w:r>
      <w:r w:rsidR="002E053E">
        <w:t xml:space="preserve"> </w:t>
      </w:r>
      <w:r w:rsidR="002E053E" w:rsidRPr="0E218120">
        <w:t xml:space="preserve">The </w:t>
      </w:r>
      <w:r w:rsidR="002E053E">
        <w:t>Initial Engagement Period</w:t>
      </w:r>
      <w:r w:rsidR="002E053E">
        <w:fldChar w:fldCharType="end"/>
      </w:r>
      <w:r w:rsidR="00115CE8">
        <w:fldChar w:fldCharType="begin"/>
      </w:r>
      <w:r w:rsidR="00115CE8">
        <w:instrText xml:space="preserve"> REF _Ref202783845 \h </w:instrText>
      </w:r>
      <w:r w:rsidR="00115CE8">
        <w:fldChar w:fldCharType="separate"/>
      </w:r>
      <w:r w:rsidR="00115CE8">
        <w:fldChar w:fldCharType="end"/>
      </w:r>
      <w:r w:rsidRPr="534D8722">
        <w:t>), a Provider must conduct a Skills Assessment to build their understanding of the Participant’s support needs and servicing requirements. This will assist the Provider to tailor the supports delivered to the Participant.</w:t>
      </w:r>
    </w:p>
    <w:p w14:paraId="6325BFFA" w14:textId="77777777" w:rsidR="00D74559" w:rsidRDefault="00D74559" w:rsidP="006E2EF5">
      <w:r>
        <w:t>There is no formal version of a Skills Assessment, rather Providers must conduct the assessment using their own resources.</w:t>
      </w:r>
    </w:p>
    <w:p w14:paraId="3A42CCC3" w14:textId="0A002F52" w:rsidR="00D74559" w:rsidRDefault="00D74559" w:rsidP="006E2EF5">
      <w:r w:rsidRPr="02870041">
        <w:t xml:space="preserve">The </w:t>
      </w:r>
      <w:r>
        <w:t>S</w:t>
      </w:r>
      <w:r w:rsidRPr="02870041">
        <w:t xml:space="preserve">kills </w:t>
      </w:r>
      <w:r>
        <w:t>A</w:t>
      </w:r>
      <w:r w:rsidRPr="02870041">
        <w:t>ssessment should be comprehensive and consider all the relevant circumstances of the Participant.</w:t>
      </w:r>
    </w:p>
    <w:p w14:paraId="2FB620BE" w14:textId="77777777" w:rsidR="00D74559" w:rsidRDefault="00D74559" w:rsidP="003024D9">
      <w:pPr>
        <w:keepNext/>
      </w:pPr>
      <w:r w:rsidRPr="534D8722">
        <w:t>The Skills Assessment should identify:</w:t>
      </w:r>
    </w:p>
    <w:p w14:paraId="7912F2EF" w14:textId="40C85C6A" w:rsidR="00D74559" w:rsidRDefault="008373BB" w:rsidP="004E120D">
      <w:pPr>
        <w:pStyle w:val="BulletLevel1"/>
      </w:pPr>
      <w:r>
        <w:t>Vocational Barriers and Non-</w:t>
      </w:r>
      <w:r w:rsidR="70E78163">
        <w:t>V</w:t>
      </w:r>
      <w:r w:rsidR="43E041BA">
        <w:t xml:space="preserve">ocational </w:t>
      </w:r>
      <w:r w:rsidR="70E78163">
        <w:t>B</w:t>
      </w:r>
      <w:r w:rsidR="43E041BA">
        <w:t>arriers the Participant may have including skill gaps, if relevant</w:t>
      </w:r>
      <w:r w:rsidR="4AFA8674">
        <w:t>,</w:t>
      </w:r>
      <w:r w:rsidR="43E041BA">
        <w:t xml:space="preserve"> and</w:t>
      </w:r>
    </w:p>
    <w:p w14:paraId="66FEB9D3" w14:textId="02A470F3" w:rsidR="00D74559" w:rsidRDefault="49DE665C" w:rsidP="004E120D">
      <w:pPr>
        <w:pStyle w:val="BulletLevel1"/>
      </w:pPr>
      <w:r>
        <w:t>o</w:t>
      </w:r>
      <w:r w:rsidR="43E041BA">
        <w:t xml:space="preserve">ptions for the Participant’s pathway to employment including appropriate </w:t>
      </w:r>
      <w:r w:rsidR="3C7C13C8">
        <w:t>I</w:t>
      </w:r>
      <w:r w:rsidR="43E041BA">
        <w:t xml:space="preserve">nterventions, </w:t>
      </w:r>
      <w:r w:rsidR="2F549E62">
        <w:t>T</w:t>
      </w:r>
      <w:r w:rsidR="43E041BA">
        <w:t xml:space="preserve">raining, </w:t>
      </w:r>
      <w:r w:rsidR="3810AC9D">
        <w:t>E</w:t>
      </w:r>
      <w:r w:rsidR="43E041BA">
        <w:t>ducation, and work experience activities.</w:t>
      </w:r>
    </w:p>
    <w:p w14:paraId="552BCF5C" w14:textId="77777777" w:rsidR="00D74559" w:rsidRDefault="00D74559" w:rsidP="006E2EF5">
      <w:pPr>
        <w:rPr>
          <w:rFonts w:ascii="Tahoma" w:eastAsia="Tahoma" w:hAnsi="Tahoma" w:cs="Tahoma"/>
          <w:color w:val="000000" w:themeColor="text1"/>
          <w:szCs w:val="22"/>
        </w:rPr>
      </w:pPr>
      <w:r w:rsidRPr="02870041">
        <w:rPr>
          <w:rFonts w:ascii="Tahoma" w:eastAsia="Tahoma" w:hAnsi="Tahoma" w:cs="Tahoma"/>
          <w:color w:val="000000" w:themeColor="text1"/>
          <w:szCs w:val="22"/>
        </w:rPr>
        <w:t>It may include an assessment of the Participant’s:</w:t>
      </w:r>
    </w:p>
    <w:p w14:paraId="0CBED1FE" w14:textId="77777777" w:rsidR="00D74559" w:rsidRDefault="00D74559" w:rsidP="004E120D">
      <w:pPr>
        <w:pStyle w:val="BulletLevel1"/>
      </w:pPr>
      <w:r>
        <w:t>Work R</w:t>
      </w:r>
      <w:r w:rsidRPr="02870041">
        <w:t>eadiness</w:t>
      </w:r>
    </w:p>
    <w:p w14:paraId="0F8AC163" w14:textId="77777777" w:rsidR="00D74559" w:rsidRDefault="00D74559" w:rsidP="004E120D">
      <w:pPr>
        <w:pStyle w:val="BulletLevel1"/>
      </w:pPr>
      <w:r w:rsidRPr="534D8722">
        <w:t>current employment skills and experience, including an assessment of their existing skills set and aptitude for various types of work</w:t>
      </w:r>
    </w:p>
    <w:p w14:paraId="5929AAB6" w14:textId="77777777" w:rsidR="00D74559" w:rsidRDefault="00D74559" w:rsidP="004E120D">
      <w:pPr>
        <w:pStyle w:val="BulletLevel1"/>
      </w:pPr>
      <w:r w:rsidRPr="02870041">
        <w:t>future skill needs</w:t>
      </w:r>
    </w:p>
    <w:p w14:paraId="2E86E75A" w14:textId="77777777" w:rsidR="00D74559" w:rsidRDefault="00D74559" w:rsidP="004E120D">
      <w:pPr>
        <w:pStyle w:val="BulletLevel1"/>
      </w:pPr>
      <w:r w:rsidRPr="02870041">
        <w:t>current educational achievements</w:t>
      </w:r>
    </w:p>
    <w:p w14:paraId="08663C5E" w14:textId="77777777" w:rsidR="00D74559" w:rsidRDefault="00D74559" w:rsidP="004E120D">
      <w:pPr>
        <w:pStyle w:val="BulletLevel1"/>
      </w:pPr>
      <w:r>
        <w:t>skills and experience in direct relation to the local labour market, including areas of skill shortage</w:t>
      </w:r>
    </w:p>
    <w:p w14:paraId="55269F5D" w14:textId="77777777" w:rsidR="00D74559" w:rsidRDefault="00D74559" w:rsidP="004E120D">
      <w:pPr>
        <w:pStyle w:val="BulletLevel1"/>
      </w:pPr>
      <w:r w:rsidRPr="02870041">
        <w:t>job search experience</w:t>
      </w:r>
      <w:r>
        <w:t xml:space="preserve"> and capability</w:t>
      </w:r>
      <w:r w:rsidRPr="02870041">
        <w:t xml:space="preserve">, </w:t>
      </w:r>
      <w:r>
        <w:t xml:space="preserve">including the quality of their </w:t>
      </w:r>
      <w:r w:rsidRPr="02870041">
        <w:t>r</w:t>
      </w:r>
      <w:r>
        <w:rPr>
          <w:rFonts w:cs="Tahoma"/>
        </w:rPr>
        <w:t>é</w:t>
      </w:r>
      <w:r w:rsidRPr="02870041">
        <w:t>sum</w:t>
      </w:r>
      <w:r>
        <w:rPr>
          <w:rFonts w:cs="Tahoma"/>
        </w:rPr>
        <w:t>é</w:t>
      </w:r>
      <w:r w:rsidRPr="02870041">
        <w:t xml:space="preserve"> and any written applications, and</w:t>
      </w:r>
    </w:p>
    <w:p w14:paraId="45BC9BFC" w14:textId="0ED5F62F" w:rsidR="00D74559" w:rsidRDefault="5A5B3EE7" w:rsidP="004E120D">
      <w:pPr>
        <w:pStyle w:val="BulletLevel1"/>
      </w:pPr>
      <w:r>
        <w:t>T</w:t>
      </w:r>
      <w:r w:rsidR="43E041BA">
        <w:t>raining or other support needs that will be required to help the Participant find and keep a job.</w:t>
      </w:r>
    </w:p>
    <w:p w14:paraId="2473E216" w14:textId="18754079" w:rsidR="00D74559" w:rsidRPr="00A863D6" w:rsidRDefault="00D74559" w:rsidP="00E619F8">
      <w:pPr>
        <w:rPr>
          <w:highlight w:val="yellow"/>
        </w:rPr>
      </w:pPr>
      <w:r w:rsidRPr="2672ABBF">
        <w:t xml:space="preserve">If the Skills Assessment identifies that a Participant identified as an Early School Leaver has completed a </w:t>
      </w:r>
      <w:r w:rsidR="009E0417">
        <w:t>Y</w:t>
      </w:r>
      <w:r w:rsidRPr="2672ABBF">
        <w:t xml:space="preserve">ear 12 or equivalent qualification, the Provider must request evidence of the qualification and provide that evidence to Services Australia. If Services Australia accepts the provided evidence the Provider must update the Participant’s Job Seeker Snapshot to reflect the higher educational qualifications. </w:t>
      </w:r>
    </w:p>
    <w:p w14:paraId="0CB53472" w14:textId="6CAB62B9" w:rsidR="00D74559" w:rsidRDefault="00D74559" w:rsidP="006E2EF5">
      <w:r w:rsidRPr="1506B6DC">
        <w:rPr>
          <w:rFonts w:ascii="Tahoma" w:eastAsia="Tahoma" w:hAnsi="Tahoma" w:cs="Tahoma"/>
          <w:b/>
          <w:bCs/>
          <w:color w:val="000000" w:themeColor="text1"/>
        </w:rPr>
        <w:t>Note:</w:t>
      </w:r>
      <w:r w:rsidRPr="1506B6DC">
        <w:rPr>
          <w:rFonts w:ascii="Tahoma" w:eastAsia="Tahoma" w:hAnsi="Tahoma" w:cs="Tahoma"/>
          <w:color w:val="000000" w:themeColor="text1"/>
        </w:rPr>
        <w:t xml:space="preserve"> </w:t>
      </w:r>
      <w:r>
        <w:t xml:space="preserve">An Early School Leaver is a person who receives Youth Allowance (Other), is under 22 years of age and has not completed </w:t>
      </w:r>
      <w:r w:rsidR="009E0417">
        <w:t>Y</w:t>
      </w:r>
      <w:r>
        <w:t>ear 12</w:t>
      </w:r>
      <w:r w:rsidR="00D02D43">
        <w:t>, a senior secondary education qualification,</w:t>
      </w:r>
      <w:r w:rsidR="00B64D61">
        <w:t xml:space="preserve"> </w:t>
      </w:r>
      <w:r>
        <w:t>or a qualification at Certificate III level or above.</w:t>
      </w:r>
    </w:p>
    <w:p w14:paraId="3B63B3B1" w14:textId="32E09054" w:rsidR="00F07215" w:rsidRPr="00981B12" w:rsidRDefault="00F07215" w:rsidP="006F727E">
      <w:pPr>
        <w:pStyle w:val="SystemStep"/>
      </w:pPr>
      <w:r w:rsidRPr="00F07215">
        <w:t>Providers should enter comments on the Participant’s Summary in the Department’s IT Systems with details of the request.</w:t>
      </w:r>
    </w:p>
    <w:p w14:paraId="6F600CBB" w14:textId="77777777" w:rsidR="00D74559" w:rsidRPr="00F07215" w:rsidRDefault="00D74559" w:rsidP="008C1BEF">
      <w:pPr>
        <w:pStyle w:val="DocumentaryEvidenceRequirement"/>
        <w:ind w:left="643"/>
      </w:pPr>
      <w:r w:rsidRPr="00F07215">
        <w:t>Providers may be requested by the Department to provide details regarding the qualification to the Department or Services Australia.</w:t>
      </w:r>
    </w:p>
    <w:p w14:paraId="52D543F0" w14:textId="74BC6B12" w:rsidR="00D74559" w:rsidRPr="003F7B96" w:rsidRDefault="00D74559" w:rsidP="006E2EF5">
      <w:pPr>
        <w:pStyle w:val="DeedReferences"/>
      </w:pPr>
      <w:r w:rsidRPr="003F7B96">
        <w:t>(</w:t>
      </w:r>
      <w:r w:rsidR="00A73420">
        <w:t xml:space="preserve">Deed Reference(s): Clause </w:t>
      </w:r>
      <w:r>
        <w:t>11</w:t>
      </w:r>
      <w:r w:rsidR="007B0B9B">
        <w:t>5</w:t>
      </w:r>
      <w:r w:rsidRPr="003F7B96">
        <w:t>)</w:t>
      </w:r>
    </w:p>
    <w:p w14:paraId="5A9C3E81" w14:textId="009B11CF" w:rsidR="00D74559" w:rsidRPr="00F07215" w:rsidRDefault="43E041BA" w:rsidP="001D0F92">
      <w:pPr>
        <w:pStyle w:val="Heading3"/>
      </w:pPr>
      <w:bookmarkStart w:id="91" w:name="_Ref202887499"/>
      <w:bookmarkStart w:id="92" w:name="_Toc202899899"/>
      <w:r w:rsidRPr="3E27A7B0">
        <w:rPr>
          <w:rStyle w:val="Heading2Char1"/>
          <w:rFonts w:asciiTheme="majorHAnsi" w:hAnsiTheme="majorHAnsi"/>
          <w:i w:val="0"/>
          <w:color w:val="005A70" w:themeColor="accent1"/>
          <w:sz w:val="32"/>
          <w:szCs w:val="32"/>
        </w:rPr>
        <w:t>2.6</w:t>
      </w:r>
      <w:r w:rsidR="00D74559">
        <w:tab/>
      </w:r>
      <w:r>
        <w:t>Ongoing Support Assessments</w:t>
      </w:r>
      <w:bookmarkEnd w:id="91"/>
      <w:bookmarkEnd w:id="92"/>
    </w:p>
    <w:p w14:paraId="3716BF6B" w14:textId="77777777" w:rsidR="00D74559" w:rsidRDefault="00D74559" w:rsidP="00A863D6">
      <w:r>
        <w:t>OSAs provide an independent assessment of a Participant’s need for Ongoing Support, including for Ongoing Support (Work Assist) Participants.</w:t>
      </w:r>
    </w:p>
    <w:p w14:paraId="7EBA3C91" w14:textId="619CB715" w:rsidR="00D74559" w:rsidRDefault="43E041BA" w:rsidP="00A863D6">
      <w:r>
        <w:t xml:space="preserve">OSAs are undertaken by </w:t>
      </w:r>
      <w:r w:rsidR="00020022">
        <w:t>a</w:t>
      </w:r>
      <w:r>
        <w:t xml:space="preserve">ssessors, who are employed by National Panel of Assessors (NPA) Providers, at no cost to Providers. </w:t>
      </w:r>
    </w:p>
    <w:p w14:paraId="49B27891" w14:textId="77777777" w:rsidR="00D74559" w:rsidRDefault="00D74559" w:rsidP="00A863D6">
      <w:r w:rsidRPr="534D8722">
        <w:t>A Provider must request an initial OSA be completed as soon as possible upon identifying that a Participant would benefit from Ongoing Support.</w:t>
      </w:r>
    </w:p>
    <w:p w14:paraId="5EC8301C" w14:textId="77777777" w:rsidR="00D74559" w:rsidRDefault="00D74559" w:rsidP="00A863D6">
      <w:r>
        <w:t>Each OSA will be valid for either 1, 2 or 5-years, as recommended by the assessor. Providers must ensure that the OSA review is completed before its due date to continue providing Ongoing Support.</w:t>
      </w:r>
    </w:p>
    <w:p w14:paraId="40EA8F6B" w14:textId="77777777" w:rsidR="00D74559" w:rsidRDefault="00D74559" w:rsidP="00A863D6">
      <w:r>
        <w:t>Providers must also request a Change of Circumstances OSA if:</w:t>
      </w:r>
    </w:p>
    <w:p w14:paraId="018CCF45" w14:textId="77777777" w:rsidR="00D74559" w:rsidRDefault="00D74559" w:rsidP="004E120D">
      <w:pPr>
        <w:pStyle w:val="BulletLevel1"/>
      </w:pPr>
      <w:r w:rsidRPr="534D8722">
        <w:t>the Participant could benefit from a higher Level of Ongoing Support than their Current Assessment has recommended, or</w:t>
      </w:r>
    </w:p>
    <w:p w14:paraId="11F843EA" w14:textId="17EB26A7" w:rsidR="00D74559" w:rsidRDefault="00D74559" w:rsidP="004E120D">
      <w:pPr>
        <w:pStyle w:val="BulletLevel1"/>
      </w:pPr>
      <w:r w:rsidRPr="534D8722">
        <w:t>if Flexible Ongoing Support may be more appropriate for an Ongoing Support (Work Assist) Participant, having reached 26-weeks in their period of Ongoing Support.</w:t>
      </w:r>
    </w:p>
    <w:p w14:paraId="7C52242C" w14:textId="552B3BDF" w:rsidR="00D74559" w:rsidRDefault="00D74559" w:rsidP="006E2EF5">
      <w:pPr>
        <w:rPr>
          <w:highlight w:val="yellow"/>
        </w:rPr>
      </w:pPr>
      <w:r>
        <w:t xml:space="preserve">Further details of Provider’s requirements in relation to OSAs are </w:t>
      </w:r>
      <w:r w:rsidR="00115CE8">
        <w:t>outlined</w:t>
      </w:r>
      <w:r>
        <w:t xml:space="preserve"> in</w:t>
      </w:r>
      <w:r w:rsidR="00115CE8">
        <w:t xml:space="preserve"> </w:t>
      </w:r>
      <w:r w:rsidR="00115CE8">
        <w:fldChar w:fldCharType="begin"/>
      </w:r>
      <w:r w:rsidR="00115CE8">
        <w:instrText xml:space="preserve"> REF _Ref202783910 \h  \* MERGEFORMAT </w:instrText>
      </w:r>
      <w:r w:rsidR="00115CE8">
        <w:fldChar w:fldCharType="separate"/>
      </w:r>
      <w:r w:rsidR="000D75AE" w:rsidRPr="000D75AE">
        <w:t>10.4</w:t>
      </w:r>
      <w:r w:rsidR="00E12BF6">
        <w:t xml:space="preserve"> </w:t>
      </w:r>
      <w:r w:rsidR="000D75AE" w:rsidRPr="000A5454">
        <w:t>Ongoing Support Assessments</w:t>
      </w:r>
      <w:r w:rsidR="00115CE8">
        <w:fldChar w:fldCharType="end"/>
      </w:r>
      <w:r w:rsidR="00115CE8">
        <w:t>.</w:t>
      </w:r>
    </w:p>
    <w:p w14:paraId="7642B237" w14:textId="7165C016" w:rsidR="00D74559" w:rsidRPr="00756A34" w:rsidRDefault="00D74559" w:rsidP="006E2EF5">
      <w:pPr>
        <w:pStyle w:val="DeedReferences"/>
      </w:pPr>
      <w:r>
        <w:t>(</w:t>
      </w:r>
      <w:r w:rsidR="00A73420">
        <w:t xml:space="preserve">Deed Reference(s): Clause </w:t>
      </w:r>
      <w:r>
        <w:t>12</w:t>
      </w:r>
      <w:r w:rsidR="00010FA7">
        <w:t>5</w:t>
      </w:r>
      <w:r>
        <w:t>.3, 12</w:t>
      </w:r>
      <w:r w:rsidR="003733B3">
        <w:t>5</w:t>
      </w:r>
      <w:r>
        <w:t>.4, 1</w:t>
      </w:r>
      <w:r w:rsidR="00307A5A">
        <w:t>29</w:t>
      </w:r>
      <w:r>
        <w:t>, 1</w:t>
      </w:r>
      <w:r w:rsidR="67B36E7A">
        <w:t>3</w:t>
      </w:r>
      <w:r w:rsidR="00981EDD">
        <w:t>3</w:t>
      </w:r>
      <w:r>
        <w:t>)</w:t>
      </w:r>
    </w:p>
    <w:p w14:paraId="77BBE4BC" w14:textId="2966DB91" w:rsidR="00D74559" w:rsidRPr="00F07215" w:rsidRDefault="43E041BA" w:rsidP="001D0F92">
      <w:pPr>
        <w:pStyle w:val="Heading3"/>
      </w:pPr>
      <w:bookmarkStart w:id="93" w:name="_Toc202899900"/>
      <w:r w:rsidRPr="3E27A7B0">
        <w:rPr>
          <w:rStyle w:val="Heading2Char1"/>
          <w:rFonts w:asciiTheme="majorHAnsi" w:hAnsiTheme="majorHAnsi"/>
          <w:i w:val="0"/>
          <w:color w:val="005A70" w:themeColor="accent1"/>
          <w:sz w:val="32"/>
          <w:szCs w:val="32"/>
        </w:rPr>
        <w:t>2.7</w:t>
      </w:r>
      <w:r w:rsidR="00D74559">
        <w:tab/>
      </w:r>
      <w:r>
        <w:t xml:space="preserve">Workplace Modification </w:t>
      </w:r>
      <w:r w:rsidR="00DB4837">
        <w:t>Services</w:t>
      </w:r>
      <w:r>
        <w:t xml:space="preserve"> Assessment</w:t>
      </w:r>
      <w:bookmarkEnd w:id="93"/>
    </w:p>
    <w:p w14:paraId="7E42EAC4" w14:textId="76A4CBC0" w:rsidR="00D74559" w:rsidRDefault="00D74559" w:rsidP="00A863D6">
      <w:r w:rsidRPr="534D8722">
        <w:t>Providers may assist or act on behalf of a Participant or Employer to make an application in respect to accessing financial support under the Employment Assistance Fund (EAF) for workplace assessments and modifications. The process to make an application for EAF assistance is outlined in</w:t>
      </w:r>
      <w:r w:rsidR="00115CE8">
        <w:t xml:space="preserve"> </w:t>
      </w:r>
      <w:r w:rsidR="00115CE8">
        <w:fldChar w:fldCharType="begin"/>
      </w:r>
      <w:r w:rsidR="00115CE8">
        <w:instrText xml:space="preserve"> REF _Ref202784009 \h </w:instrText>
      </w:r>
      <w:r w:rsidR="00115CE8">
        <w:fldChar w:fldCharType="separate"/>
      </w:r>
      <w:r w:rsidR="000D75AE" w:rsidRPr="539AEF4B">
        <w:t>9.</w:t>
      </w:r>
      <w:r w:rsidR="000D75AE">
        <w:t>8</w:t>
      </w:r>
      <w:r w:rsidR="00E12BF6">
        <w:t xml:space="preserve"> </w:t>
      </w:r>
      <w:r w:rsidR="000D75AE" w:rsidRPr="539AEF4B">
        <w:t>Employment Assistance Fund</w:t>
      </w:r>
      <w:r w:rsidR="00115CE8">
        <w:fldChar w:fldCharType="end"/>
      </w:r>
      <w:r w:rsidRPr="534D8722">
        <w:t>.</w:t>
      </w:r>
    </w:p>
    <w:p w14:paraId="683565C0" w14:textId="002E855B" w:rsidR="00D74559" w:rsidRDefault="00D74559" w:rsidP="00A863D6">
      <w:r w:rsidRPr="4E022D95">
        <w:rPr>
          <w:b/>
          <w:bCs/>
        </w:rPr>
        <w:t>Note:</w:t>
      </w:r>
      <w:r>
        <w:t xml:space="preserve"> </w:t>
      </w:r>
      <w:r w:rsidR="002746F0">
        <w:t xml:space="preserve">A Provider may make an application for a Participant receiving Pre-Employment Support, Post Placement Support or Ongoing Support. </w:t>
      </w:r>
      <w:r>
        <w:t xml:space="preserve">The EAF is available </w:t>
      </w:r>
      <w:r w:rsidR="000D1856">
        <w:t>when a people</w:t>
      </w:r>
      <w:r>
        <w:t xml:space="preserve"> with disability is about to start a job or is currently working, as well as </w:t>
      </w:r>
      <w:r w:rsidR="002746F0">
        <w:t>for</w:t>
      </w:r>
      <w:r>
        <w:t xml:space="preserve"> help to find and prepare for a job.</w:t>
      </w:r>
    </w:p>
    <w:p w14:paraId="638D5D06" w14:textId="1EFCFB66" w:rsidR="00D74559" w:rsidRPr="00FD5233" w:rsidRDefault="43E041BA" w:rsidP="00A863D6">
      <w:r>
        <w:t xml:space="preserve">Where required, a WMS </w:t>
      </w:r>
      <w:r w:rsidR="0090582B">
        <w:t>A</w:t>
      </w:r>
      <w:r>
        <w:t xml:space="preserve">ssessment may be undertaken to assess the application for the EAF. </w:t>
      </w:r>
      <w:r w:rsidR="00881FEA">
        <w:t>WMS</w:t>
      </w:r>
      <w:r w:rsidR="00A7003F">
        <w:t> </w:t>
      </w:r>
      <w:r w:rsidR="00881FEA">
        <w:t>A</w:t>
      </w:r>
      <w:r>
        <w:t>ssessment</w:t>
      </w:r>
      <w:r w:rsidR="00F52DE9">
        <w:t>s</w:t>
      </w:r>
      <w:r>
        <w:t>:</w:t>
      </w:r>
    </w:p>
    <w:p w14:paraId="4136AD0F" w14:textId="77777777" w:rsidR="00D74559" w:rsidRPr="00C70AB8" w:rsidRDefault="00D74559" w:rsidP="004E120D">
      <w:pPr>
        <w:pStyle w:val="BulletLevel1"/>
      </w:pPr>
      <w:r w:rsidRPr="534D8722">
        <w:t>identify the work requirements, work environment, nature of the Participant’s disability and barriers to performing work tasks because of the Participant’s disability</w:t>
      </w:r>
    </w:p>
    <w:p w14:paraId="6999F848" w14:textId="77777777" w:rsidR="00D74559" w:rsidRPr="00C70AB8" w:rsidRDefault="00D74559" w:rsidP="004E120D">
      <w:pPr>
        <w:pStyle w:val="BulletLevel1"/>
      </w:pPr>
      <w:r>
        <w:t>conduct research into available modifications that will be suitable to respond to the identified barriers, and</w:t>
      </w:r>
    </w:p>
    <w:p w14:paraId="52D6C835" w14:textId="77777777" w:rsidR="00D74559" w:rsidRPr="00C70AB8" w:rsidRDefault="00D74559" w:rsidP="004E120D">
      <w:pPr>
        <w:pStyle w:val="BulletLevel1"/>
      </w:pPr>
      <w:r>
        <w:t>discuss and recommend with the Employer and Participant the potential modifications that are available to improve access to an inclusive and accessible workplace and supports work productivity with reasonable adjustments</w:t>
      </w:r>
    </w:p>
    <w:p w14:paraId="14CB823B" w14:textId="1F327006" w:rsidR="00D74559" w:rsidRDefault="43E041BA" w:rsidP="006E2EF5">
      <w:r>
        <w:t xml:space="preserve">WMS Assessments are undertaken by </w:t>
      </w:r>
      <w:r w:rsidR="00F52DE9">
        <w:t>a</w:t>
      </w:r>
      <w:r>
        <w:t xml:space="preserve">ssessors, who are employed by NPA </w:t>
      </w:r>
      <w:r w:rsidR="008401E0">
        <w:t>p</w:t>
      </w:r>
      <w:r>
        <w:t>roviders, at no cost to Providers, Participants or Employers.</w:t>
      </w:r>
    </w:p>
    <w:p w14:paraId="5E4FD744" w14:textId="05B478F1" w:rsidR="00D74559" w:rsidRDefault="00D74559" w:rsidP="006E2EF5">
      <w:r w:rsidRPr="534D8722">
        <w:t xml:space="preserve">During the </w:t>
      </w:r>
      <w:r w:rsidR="00F52DE9">
        <w:t>W</w:t>
      </w:r>
      <w:r w:rsidR="00FC13ED">
        <w:t>M</w:t>
      </w:r>
      <w:r w:rsidR="00F52DE9">
        <w:t>S A</w:t>
      </w:r>
      <w:r w:rsidRPr="534D8722">
        <w:t>ssessment process, a Provider may be contacted by the assessor to provide additional information or clarify any ambiguities in the EAF application.</w:t>
      </w:r>
    </w:p>
    <w:p w14:paraId="380230A2" w14:textId="6A6D2808" w:rsidR="00D74559" w:rsidRPr="00C40E31" w:rsidRDefault="00D74559" w:rsidP="006E2EF5">
      <w:r w:rsidRPr="534D8722">
        <w:t xml:space="preserve">Access to information about the EAF can be found on the </w:t>
      </w:r>
      <w:hyperlink r:id="rId41" w:history="1">
        <w:r w:rsidRPr="00553A86">
          <w:rPr>
            <w:rStyle w:val="Hyperlink"/>
          </w:rPr>
          <w:t>JobAccess website</w:t>
        </w:r>
      </w:hyperlink>
      <w:r w:rsidRPr="534D8722">
        <w:t>.</w:t>
      </w:r>
    </w:p>
    <w:p w14:paraId="47108407" w14:textId="334AB605" w:rsidR="00D74559" w:rsidRPr="00F07215" w:rsidRDefault="00D74559" w:rsidP="001D0F92">
      <w:pPr>
        <w:pStyle w:val="Heading3"/>
      </w:pPr>
      <w:bookmarkStart w:id="94" w:name="_Toc202899901"/>
      <w:r w:rsidRPr="00F07215">
        <w:rPr>
          <w:rStyle w:val="Heading2Char1"/>
          <w:rFonts w:asciiTheme="majorHAnsi" w:hAnsiTheme="majorHAnsi"/>
          <w:i w:val="0"/>
          <w:color w:val="005A70" w:themeColor="accent1"/>
          <w:sz w:val="32"/>
          <w:szCs w:val="24"/>
        </w:rPr>
        <w:t>2.8</w:t>
      </w:r>
      <w:r w:rsidR="006F727E">
        <w:tab/>
      </w:r>
      <w:r w:rsidRPr="00F07215">
        <w:t>Supported Wage System Assessment</w:t>
      </w:r>
      <w:bookmarkEnd w:id="94"/>
    </w:p>
    <w:p w14:paraId="5FA5DDD4" w14:textId="5D8CE0EB" w:rsidR="00D74559" w:rsidRDefault="43E041BA" w:rsidP="00A863D6">
      <w:r>
        <w:t xml:space="preserve">Providers may assist or act on behalf of an Employer to make an application in respect of the SWS for a Participant on their </w:t>
      </w:r>
      <w:r w:rsidR="00A262D5">
        <w:t>C</w:t>
      </w:r>
      <w:r>
        <w:t>aseload.</w:t>
      </w:r>
    </w:p>
    <w:p w14:paraId="793BED52" w14:textId="5008BE07" w:rsidR="00D74559" w:rsidRPr="00FD5233" w:rsidRDefault="43E041BA" w:rsidP="00A863D6">
      <w:r>
        <w:t xml:space="preserve">SWS Assessments are undertaken by </w:t>
      </w:r>
      <w:r w:rsidR="3B8C931C">
        <w:t>a</w:t>
      </w:r>
      <w:r>
        <w:t xml:space="preserve">ssessors, who are employed by NPA </w:t>
      </w:r>
      <w:r w:rsidR="543E6A31">
        <w:t>p</w:t>
      </w:r>
      <w:r>
        <w:t>roviders, at no cost to Providers, Participants or Employers.</w:t>
      </w:r>
    </w:p>
    <w:p w14:paraId="0B0C64CB" w14:textId="77777777" w:rsidR="00D74559" w:rsidRDefault="00D74559" w:rsidP="00A863D6">
      <w:r w:rsidRPr="534D8722">
        <w:t>A Provider may be contacted by the assessor to supply background information about the role and tasks involved. In practice, the Provider may draw upon the job support provided to the Participant/employee to identify and record the key tasks of the Job Placement.</w:t>
      </w:r>
    </w:p>
    <w:p w14:paraId="758378EA" w14:textId="78A5BAE8" w:rsidR="00D74559" w:rsidRDefault="43E041BA" w:rsidP="00A863D6">
      <w:r>
        <w:t xml:space="preserve">Before the </w:t>
      </w:r>
      <w:r w:rsidR="005D17DF">
        <w:t xml:space="preserve">SWS </w:t>
      </w:r>
      <w:r w:rsidR="05B1488D">
        <w:t>A</w:t>
      </w:r>
      <w:r>
        <w:t>ssessment is conducted, the assessor may also seek to confirm with the Provider whether:</w:t>
      </w:r>
    </w:p>
    <w:p w14:paraId="4FC2998D" w14:textId="77777777" w:rsidR="00D74559" w:rsidRPr="005C1016" w:rsidRDefault="00D74559" w:rsidP="004E120D">
      <w:pPr>
        <w:pStyle w:val="BulletLevel1"/>
      </w:pPr>
      <w:r>
        <w:t>all the necessary modifications to the work environment and job have occurred to maximise the employee’s participation</w:t>
      </w:r>
    </w:p>
    <w:p w14:paraId="77898977" w14:textId="77777777" w:rsidR="00D74559" w:rsidRDefault="00D74559" w:rsidP="004E120D">
      <w:pPr>
        <w:pStyle w:val="BulletLevel1"/>
      </w:pPr>
      <w:r w:rsidRPr="534D8722">
        <w:t>that appropriate training has been provided to the employee in all duties to be performed, and</w:t>
      </w:r>
    </w:p>
    <w:p w14:paraId="726B92DD" w14:textId="77777777" w:rsidR="00D74559" w:rsidRDefault="00D74559" w:rsidP="004E120D">
      <w:pPr>
        <w:pStyle w:val="BulletLevel1"/>
      </w:pPr>
      <w:r w:rsidRPr="534D8722">
        <w:t>agreement has been reached that the employee is unable to work at the productivity level that would be expected by the minimum standards for that position.</w:t>
      </w:r>
    </w:p>
    <w:p w14:paraId="23EE1336" w14:textId="3882D7E2" w:rsidR="00D74559" w:rsidRPr="00971F6C" w:rsidRDefault="00D74559" w:rsidP="00A863D6">
      <w:r w:rsidRPr="534D8722">
        <w:t xml:space="preserve">Information about </w:t>
      </w:r>
      <w:r w:rsidR="00904BBF">
        <w:t>SWS</w:t>
      </w:r>
      <w:r w:rsidRPr="534D8722">
        <w:t xml:space="preserve"> can be found on the </w:t>
      </w:r>
      <w:hyperlink r:id="rId42" w:history="1">
        <w:r w:rsidRPr="005F4779">
          <w:rPr>
            <w:rStyle w:val="Hyperlink"/>
          </w:rPr>
          <w:t>JobAccess website</w:t>
        </w:r>
      </w:hyperlink>
      <w:r w:rsidRPr="534D8722">
        <w:t>.</w:t>
      </w:r>
    </w:p>
    <w:p w14:paraId="7F63B9E2" w14:textId="17DDA9A7" w:rsidR="00D74559" w:rsidRDefault="00D74559" w:rsidP="006E2EF5">
      <w:pPr>
        <w:pStyle w:val="DeedReferences"/>
      </w:pPr>
      <w:r>
        <w:t>(</w:t>
      </w:r>
      <w:r w:rsidR="00A73420">
        <w:t xml:space="preserve">Deed Reference(s): Clause </w:t>
      </w:r>
      <w:r>
        <w:t>121</w:t>
      </w:r>
      <w:r w:rsidR="00A3006E">
        <w:t>.3</w:t>
      </w:r>
      <w:r>
        <w:t>)</w:t>
      </w:r>
    </w:p>
    <w:p w14:paraId="1133EADC" w14:textId="5794D634" w:rsidR="00D74559" w:rsidRPr="00BA23D8" w:rsidRDefault="00D74559" w:rsidP="000335E0">
      <w:pPr>
        <w:pStyle w:val="Heading2"/>
      </w:pPr>
      <w:bookmarkStart w:id="95" w:name="_Ref202780811"/>
      <w:bookmarkStart w:id="96" w:name="_Ref202782242"/>
      <w:bookmarkStart w:id="97" w:name="_Toc202899902"/>
      <w:r w:rsidRPr="00BA23D8">
        <w:t>Chapter 3</w:t>
      </w:r>
      <w:r w:rsidR="00280583">
        <w:t>:</w:t>
      </w:r>
      <w:r w:rsidR="00A61FB9">
        <w:tab/>
      </w:r>
      <w:r w:rsidRPr="00BA23D8">
        <w:t>Commencements, Transfers, Suspensions and Exits</w:t>
      </w:r>
      <w:bookmarkEnd w:id="95"/>
      <w:bookmarkEnd w:id="96"/>
      <w:bookmarkEnd w:id="97"/>
    </w:p>
    <w:p w14:paraId="0FC5C5AD" w14:textId="1457BA5B" w:rsidR="00D74559" w:rsidRPr="005E0CF8" w:rsidRDefault="007E3C59" w:rsidP="001D0F92">
      <w:pPr>
        <w:pStyle w:val="Heading-SupportingDocuments"/>
        <w:rPr>
          <w:rStyle w:val="Emphasis"/>
          <w:b/>
          <w:bCs w:val="0"/>
          <w:iCs w:val="0"/>
          <w:spacing w:val="3"/>
        </w:rPr>
      </w:pPr>
      <w:r w:rsidRPr="005E0CF8">
        <w:rPr>
          <w:rStyle w:val="Emphasis"/>
          <w:b/>
          <w:iCs w:val="0"/>
          <w:spacing w:val="3"/>
        </w:rPr>
        <w:t>Supporting Documents for this Chapter</w:t>
      </w:r>
    </w:p>
    <w:p w14:paraId="313D49D4" w14:textId="3A8ACFEB" w:rsidR="00D74559" w:rsidRPr="0035143E" w:rsidRDefault="00D74559" w:rsidP="00620350">
      <w:pPr>
        <w:pStyle w:val="Bullet-SupportingDocument"/>
        <w:rPr>
          <w:rStyle w:val="Hyperlink"/>
        </w:rPr>
      </w:pPr>
      <w:r w:rsidRPr="0035143E">
        <w:rPr>
          <w:rStyle w:val="Hyperlink"/>
        </w:rPr>
        <w:t>Provider Actions – Completing a Program Summary</w:t>
      </w:r>
      <w:r w:rsidR="005F4779">
        <w:rPr>
          <w:rStyle w:val="Hyperlink"/>
        </w:rPr>
        <w:t xml:space="preserve"> [LINK]</w:t>
      </w:r>
    </w:p>
    <w:p w14:paraId="7428D049" w14:textId="36464D73" w:rsidR="00D74559" w:rsidRDefault="00D74559" w:rsidP="00620350">
      <w:pPr>
        <w:pStyle w:val="Bullet-SupportingDocument"/>
        <w:rPr>
          <w:rStyle w:val="Hyperlink"/>
        </w:rPr>
      </w:pPr>
      <w:r w:rsidRPr="0035143E">
        <w:rPr>
          <w:rStyle w:val="Hyperlink"/>
        </w:rPr>
        <w:t>Privacy Notification and Consent Form</w:t>
      </w:r>
      <w:r w:rsidR="005F4779">
        <w:rPr>
          <w:rStyle w:val="Hyperlink"/>
        </w:rPr>
        <w:t xml:space="preserve"> [LINK]</w:t>
      </w:r>
    </w:p>
    <w:p w14:paraId="447EC911" w14:textId="2ACCB623" w:rsidR="000B37DD" w:rsidRDefault="00C2408B" w:rsidP="00620350">
      <w:pPr>
        <w:pStyle w:val="Bullet-SupportingDocument"/>
        <w:rPr>
          <w:rStyle w:val="Hyperlink"/>
        </w:rPr>
      </w:pPr>
      <w:r w:rsidRPr="787D274A">
        <w:rPr>
          <w:color w:val="0070C0"/>
          <w:u w:val="single"/>
        </w:rPr>
        <w:t xml:space="preserve">Inclusive Employment Australia </w:t>
      </w:r>
      <w:r w:rsidR="000B37DD">
        <w:rPr>
          <w:rStyle w:val="Hyperlink"/>
        </w:rPr>
        <w:t>Service Guarantee</w:t>
      </w:r>
      <w:r w:rsidR="005F4779">
        <w:rPr>
          <w:rStyle w:val="Hyperlink"/>
        </w:rPr>
        <w:t xml:space="preserve"> [LINK]</w:t>
      </w:r>
    </w:p>
    <w:p w14:paraId="5D50FB4C" w14:textId="0A17346C" w:rsidR="000B37DD" w:rsidRDefault="004A4B8C" w:rsidP="00620350">
      <w:pPr>
        <w:pStyle w:val="Bullet-SupportingDocument"/>
        <w:rPr>
          <w:rStyle w:val="Hyperlink"/>
        </w:rPr>
      </w:pPr>
      <w:r w:rsidRPr="787D274A">
        <w:rPr>
          <w:color w:val="0070C0"/>
          <w:u w:val="single"/>
        </w:rPr>
        <w:t xml:space="preserve">Inclusive Employment Australia </w:t>
      </w:r>
      <w:r w:rsidR="000B37DD">
        <w:rPr>
          <w:rStyle w:val="Hyperlink"/>
        </w:rPr>
        <w:t>Code of Conduct</w:t>
      </w:r>
      <w:r w:rsidR="005F4779">
        <w:rPr>
          <w:rStyle w:val="Hyperlink"/>
        </w:rPr>
        <w:t xml:space="preserve"> [LINK]</w:t>
      </w:r>
    </w:p>
    <w:p w14:paraId="1F598C8E" w14:textId="0C3290E3" w:rsidR="00355679" w:rsidRDefault="00355679" w:rsidP="00355679">
      <w:pPr>
        <w:pStyle w:val="Bullet-SupportingDocument"/>
        <w:rPr>
          <w:rStyle w:val="Hyperlink"/>
        </w:rPr>
      </w:pPr>
      <w:r>
        <w:rPr>
          <w:rStyle w:val="Hyperlink"/>
        </w:rPr>
        <w:t>Meaningful Engagement Participant Fact Sheet</w:t>
      </w:r>
      <w:r w:rsidR="005F4779">
        <w:rPr>
          <w:rStyle w:val="Hyperlink"/>
        </w:rPr>
        <w:t xml:space="preserve"> [LINK]</w:t>
      </w:r>
    </w:p>
    <w:p w14:paraId="5CCB7C86" w14:textId="2BDA143C" w:rsidR="00D74559" w:rsidRPr="0035143E" w:rsidRDefault="00D74559" w:rsidP="00620350">
      <w:pPr>
        <w:pStyle w:val="Bullet-SupportingDocument"/>
        <w:rPr>
          <w:rStyle w:val="Hyperlink"/>
        </w:rPr>
      </w:pPr>
      <w:r w:rsidRPr="0035143E">
        <w:rPr>
          <w:rStyle w:val="Hyperlink"/>
        </w:rPr>
        <w:t>Transfer by Agreement Form</w:t>
      </w:r>
      <w:r w:rsidR="005F4779">
        <w:rPr>
          <w:rStyle w:val="Hyperlink"/>
        </w:rPr>
        <w:t xml:space="preserve"> [LINK]</w:t>
      </w:r>
    </w:p>
    <w:p w14:paraId="05751233" w14:textId="2087DD1C" w:rsidR="00D74559" w:rsidRPr="0035143E" w:rsidRDefault="00D74559" w:rsidP="00620350">
      <w:pPr>
        <w:pStyle w:val="Bullet-SupportingDocument"/>
        <w:rPr>
          <w:rStyle w:val="Hyperlink"/>
        </w:rPr>
      </w:pPr>
      <w:r w:rsidRPr="0035143E">
        <w:rPr>
          <w:rStyle w:val="Hyperlink"/>
        </w:rPr>
        <w:t>Transfer Due to Relationship Failure Form</w:t>
      </w:r>
      <w:r w:rsidR="005F4779">
        <w:rPr>
          <w:rStyle w:val="Hyperlink"/>
        </w:rPr>
        <w:t xml:space="preserve"> [LINK]</w:t>
      </w:r>
    </w:p>
    <w:p w14:paraId="7747E91E" w14:textId="75ECC5B0" w:rsidR="00D74559" w:rsidRPr="00F07215" w:rsidRDefault="00D74559" w:rsidP="001D0F92">
      <w:pPr>
        <w:pStyle w:val="Heading3"/>
      </w:pPr>
      <w:bookmarkStart w:id="98" w:name="_Toc202899903"/>
      <w:r w:rsidRPr="00F07215">
        <w:t>3.1</w:t>
      </w:r>
      <w:r w:rsidR="003F6B39">
        <w:tab/>
      </w:r>
      <w:r w:rsidRPr="00F07215">
        <w:t>Chapter Overview</w:t>
      </w:r>
      <w:bookmarkEnd w:id="98"/>
    </w:p>
    <w:p w14:paraId="1CC725C0" w14:textId="77777777" w:rsidR="00D74559" w:rsidRDefault="00D74559" w:rsidP="006E2EF5">
      <w:pPr>
        <w:rPr>
          <w:rFonts w:ascii="Tahoma" w:eastAsia="Tahoma" w:hAnsi="Tahoma" w:cs="Tahoma"/>
          <w:color w:val="000000" w:themeColor="text1"/>
        </w:rPr>
      </w:pPr>
      <w:r w:rsidRPr="0040D3D9">
        <w:rPr>
          <w:rFonts w:ascii="Tahoma" w:eastAsia="Tahoma" w:hAnsi="Tahoma" w:cs="Tahoma"/>
          <w:color w:val="000000" w:themeColor="text1"/>
        </w:rPr>
        <w:t>This Chapter:</w:t>
      </w:r>
    </w:p>
    <w:p w14:paraId="1F000859" w14:textId="77777777" w:rsidR="00D74559" w:rsidRPr="0035143E" w:rsidRDefault="00D74559" w:rsidP="004E120D">
      <w:pPr>
        <w:pStyle w:val="BulletLevel1"/>
      </w:pPr>
      <w:r w:rsidRPr="0035143E">
        <w:t>outlines the processes for Commencing an eligible person as a Participant, and what Providers should be aware of when undertaking this action</w:t>
      </w:r>
    </w:p>
    <w:p w14:paraId="5F4D10C0" w14:textId="77777777" w:rsidR="00D74559" w:rsidRPr="0035143E" w:rsidRDefault="00D74559" w:rsidP="004E120D">
      <w:pPr>
        <w:pStyle w:val="BulletLevel1"/>
      </w:pPr>
      <w:r w:rsidRPr="0035143E">
        <w:t>describes the Participant’s Period of Service and Period of Registration, and the relationship a Participant has with their Provider during their Period of Registration</w:t>
      </w:r>
    </w:p>
    <w:p w14:paraId="2A888E76" w14:textId="18C7AE7E" w:rsidR="00D74559" w:rsidRPr="0035143E" w:rsidRDefault="00D74559" w:rsidP="004E120D">
      <w:pPr>
        <w:pStyle w:val="BulletLevel1"/>
      </w:pPr>
      <w:r w:rsidRPr="0035143E">
        <w:t xml:space="preserve">explains when and how a Participant can transfer or be transferred to another </w:t>
      </w:r>
    </w:p>
    <w:p w14:paraId="53CE103F" w14:textId="77777777" w:rsidR="00D74559" w:rsidRPr="0035143E" w:rsidRDefault="00D74559" w:rsidP="004E120D">
      <w:pPr>
        <w:pStyle w:val="BulletLevel1"/>
      </w:pPr>
      <w:r w:rsidRPr="0035143E">
        <w:t>outlines how a Participant can be Suspended, and how a Participant (Mutual Obligation) or DSP Recipient (Compulsory Requirements) can volunteer to continue receiving Services during the Suspension, and</w:t>
      </w:r>
    </w:p>
    <w:p w14:paraId="23521063" w14:textId="77777777" w:rsidR="00D74559" w:rsidRPr="0035143E" w:rsidRDefault="00D74559" w:rsidP="004E120D">
      <w:pPr>
        <w:pStyle w:val="BulletLevel1"/>
      </w:pPr>
      <w:r w:rsidRPr="0035143E">
        <w:t>outlines how and when the Participant can be Exited, including a Provider’s responsibilities for Exiting Participants.</w:t>
      </w:r>
    </w:p>
    <w:p w14:paraId="1E4B7517" w14:textId="6F3FBB9D" w:rsidR="00D74559" w:rsidRDefault="00D74559" w:rsidP="006E2EF5">
      <w:pPr>
        <w:rPr>
          <w:rFonts w:eastAsia="Tahoma"/>
        </w:rPr>
      </w:pPr>
      <w:r w:rsidRPr="36CEDF1A">
        <w:rPr>
          <w:rFonts w:eastAsia="Tahoma"/>
        </w:rPr>
        <w:t>This Chapter should be read in conjunction with</w:t>
      </w:r>
      <w:r w:rsidR="00115CE8">
        <w:rPr>
          <w:rFonts w:eastAsia="Tahoma"/>
        </w:rPr>
        <w:t xml:space="preserve"> </w:t>
      </w:r>
      <w:r w:rsidR="00115CE8">
        <w:rPr>
          <w:rFonts w:eastAsia="Tahoma"/>
        </w:rPr>
        <w:fldChar w:fldCharType="begin"/>
      </w:r>
      <w:r w:rsidR="00115CE8">
        <w:rPr>
          <w:rFonts w:eastAsia="Tahoma"/>
        </w:rPr>
        <w:instrText xml:space="preserve"> REF _Ref202784047 \h </w:instrText>
      </w:r>
      <w:r w:rsidR="00115CE8">
        <w:rPr>
          <w:rFonts w:eastAsia="Tahoma"/>
        </w:rPr>
      </w:r>
      <w:r w:rsidR="00115CE8">
        <w:rPr>
          <w:rFonts w:eastAsia="Tahoma"/>
        </w:rPr>
        <w:fldChar w:fldCharType="separate"/>
      </w:r>
      <w:r w:rsidR="000D75AE" w:rsidRPr="00CD7CCA">
        <w:t>Chapter 1</w:t>
      </w:r>
      <w:r w:rsidR="000D75AE">
        <w:t>:</w:t>
      </w:r>
      <w:r w:rsidR="0097189E">
        <w:t xml:space="preserve"> </w:t>
      </w:r>
      <w:r w:rsidR="000D75AE" w:rsidRPr="00CD7CCA">
        <w:t>Eligibility, Referral</w:t>
      </w:r>
      <w:r w:rsidR="000D75AE">
        <w:t>s</w:t>
      </w:r>
      <w:r w:rsidR="000D75AE" w:rsidRPr="00CD7CCA">
        <w:t xml:space="preserve"> and Direct Registration</w:t>
      </w:r>
      <w:r w:rsidR="00115CE8">
        <w:rPr>
          <w:rFonts w:eastAsia="Tahoma"/>
        </w:rPr>
        <w:fldChar w:fldCharType="end"/>
      </w:r>
      <w:r w:rsidR="00115CE8">
        <w:rPr>
          <w:rFonts w:eastAsia="Tahoma"/>
        </w:rPr>
        <w:t xml:space="preserve">, </w:t>
      </w:r>
      <w:r w:rsidR="00115CE8">
        <w:rPr>
          <w:rFonts w:eastAsia="Tahoma"/>
        </w:rPr>
        <w:fldChar w:fldCharType="begin"/>
      </w:r>
      <w:r w:rsidR="00115CE8">
        <w:rPr>
          <w:rFonts w:eastAsia="Tahoma"/>
        </w:rPr>
        <w:instrText xml:space="preserve"> REF _Ref202777451 \h </w:instrText>
      </w:r>
      <w:r w:rsidR="00115CE8">
        <w:rPr>
          <w:rFonts w:eastAsia="Tahoma"/>
        </w:rPr>
      </w:r>
      <w:r w:rsidR="00115CE8">
        <w:rPr>
          <w:rFonts w:eastAsia="Tahoma"/>
        </w:rPr>
        <w:fldChar w:fldCharType="separate"/>
      </w:r>
      <w:r w:rsidR="000D75AE">
        <w:t>Chapter 2:</w:t>
      </w:r>
      <w:r w:rsidR="0097189E">
        <w:t xml:space="preserve"> </w:t>
      </w:r>
      <w:r w:rsidR="000D75AE">
        <w:t>Assessments</w:t>
      </w:r>
      <w:r w:rsidR="00115CE8">
        <w:rPr>
          <w:rFonts w:eastAsia="Tahoma"/>
        </w:rPr>
        <w:fldChar w:fldCharType="end"/>
      </w:r>
      <w:r w:rsidR="00115CE8">
        <w:rPr>
          <w:rFonts w:eastAsia="Tahoma"/>
        </w:rPr>
        <w:t xml:space="preserve"> and </w:t>
      </w:r>
      <w:r w:rsidR="00115CE8">
        <w:rPr>
          <w:rFonts w:eastAsia="Tahoma"/>
        </w:rPr>
        <w:fldChar w:fldCharType="begin"/>
      </w:r>
      <w:r w:rsidR="00115CE8">
        <w:rPr>
          <w:rFonts w:eastAsia="Tahoma"/>
        </w:rPr>
        <w:instrText xml:space="preserve"> REF _Ref202784061 \h </w:instrText>
      </w:r>
      <w:r w:rsidR="00115CE8">
        <w:rPr>
          <w:rFonts w:eastAsia="Tahoma"/>
        </w:rPr>
      </w:r>
      <w:r w:rsidR="00115CE8">
        <w:rPr>
          <w:rFonts w:eastAsia="Tahoma"/>
        </w:rPr>
        <w:fldChar w:fldCharType="separate"/>
      </w:r>
      <w:r w:rsidR="000D75AE" w:rsidRPr="00BA23D8">
        <w:t>Chapter 4</w:t>
      </w:r>
      <w:r w:rsidR="000D75AE">
        <w:t>:</w:t>
      </w:r>
      <w:r w:rsidR="0097189E">
        <w:t xml:space="preserve"> </w:t>
      </w:r>
      <w:r w:rsidR="000D75AE" w:rsidRPr="00BA23D8">
        <w:t>Job Plans</w:t>
      </w:r>
      <w:r w:rsidR="00115CE8">
        <w:rPr>
          <w:rFonts w:eastAsia="Tahoma"/>
        </w:rPr>
        <w:fldChar w:fldCharType="end"/>
      </w:r>
      <w:r w:rsidR="00115CE8">
        <w:rPr>
          <w:rFonts w:eastAsia="Tahoma"/>
        </w:rPr>
        <w:t>.</w:t>
      </w:r>
      <w:r w:rsidRPr="36CEDF1A">
        <w:rPr>
          <w:rFonts w:eastAsia="Tahoma"/>
        </w:rPr>
        <w:t xml:space="preserve"> </w:t>
      </w:r>
    </w:p>
    <w:p w14:paraId="78931BB9" w14:textId="77196B9B" w:rsidR="00C95661" w:rsidRPr="00C95661" w:rsidRDefault="00C95661" w:rsidP="006E2EF5">
      <w:r>
        <w:t xml:space="preserve">Providers should refer to the </w:t>
      </w:r>
      <w:r w:rsidR="00FF048B" w:rsidRPr="00FF048B">
        <w:rPr>
          <w:rStyle w:val="Hyperlink"/>
        </w:rPr>
        <w:t>Provider Transition Advice [LINK]</w:t>
      </w:r>
      <w:r w:rsidR="00FF048B">
        <w:t xml:space="preserve"> i</w:t>
      </w:r>
      <w:r>
        <w:t>n relation to Commencement of Transitioned Participants.</w:t>
      </w:r>
    </w:p>
    <w:p w14:paraId="4FD7C600" w14:textId="2E769528" w:rsidR="00D74559" w:rsidRDefault="00D74559" w:rsidP="001D0F92">
      <w:pPr>
        <w:pStyle w:val="Heading3"/>
      </w:pPr>
      <w:bookmarkStart w:id="99" w:name="_Ref202781804"/>
      <w:bookmarkStart w:id="100" w:name="_Toc202899904"/>
      <w:r>
        <w:t>3.2</w:t>
      </w:r>
      <w:r w:rsidR="003F6B39">
        <w:tab/>
      </w:r>
      <w:r>
        <w:t>Commencements</w:t>
      </w:r>
      <w:bookmarkEnd w:id="99"/>
      <w:bookmarkEnd w:id="100"/>
    </w:p>
    <w:p w14:paraId="23D3D541" w14:textId="59D51382" w:rsidR="00D74559" w:rsidRPr="008C7948" w:rsidRDefault="00D74559" w:rsidP="001D0F92">
      <w:pPr>
        <w:pStyle w:val="Heading4"/>
      </w:pPr>
      <w:bookmarkStart w:id="101" w:name="_Ref202781651"/>
      <w:bookmarkStart w:id="102" w:name="_Toc202899905"/>
      <w:r w:rsidRPr="7333E4C7">
        <w:t>3.2.1</w:t>
      </w:r>
      <w:r w:rsidR="003F6B39">
        <w:tab/>
      </w:r>
      <w:r w:rsidRPr="7333E4C7">
        <w:t xml:space="preserve">Commencing Participants in </w:t>
      </w:r>
      <w:r w:rsidR="00C74C33">
        <w:t>Inclusive Employment Australia</w:t>
      </w:r>
      <w:bookmarkEnd w:id="101"/>
      <w:bookmarkEnd w:id="102"/>
    </w:p>
    <w:p w14:paraId="14F2DD8A" w14:textId="6BFE0DCF" w:rsidR="00331B28" w:rsidRDefault="00E970FB" w:rsidP="000D6FDB">
      <w:pPr>
        <w:rPr>
          <w:rFonts w:ascii="Tahoma" w:eastAsia="Tahoma" w:hAnsi="Tahoma" w:cs="Tahoma"/>
          <w:color w:val="000000" w:themeColor="text1"/>
        </w:rPr>
      </w:pPr>
      <w:r>
        <w:rPr>
          <w:rFonts w:ascii="Tahoma" w:eastAsia="Tahoma" w:hAnsi="Tahoma" w:cs="Tahoma"/>
          <w:color w:val="000000" w:themeColor="text1"/>
        </w:rPr>
        <w:t xml:space="preserve">To Commence a </w:t>
      </w:r>
      <w:r w:rsidR="0044425A">
        <w:rPr>
          <w:rFonts w:ascii="Tahoma" w:eastAsia="Tahoma" w:hAnsi="Tahoma" w:cs="Tahoma"/>
          <w:color w:val="000000" w:themeColor="text1"/>
        </w:rPr>
        <w:t xml:space="preserve">Participant, </w:t>
      </w:r>
      <w:r w:rsidR="00871F55">
        <w:rPr>
          <w:rFonts w:ascii="Tahoma" w:eastAsia="Tahoma" w:hAnsi="Tahoma" w:cs="Tahoma"/>
          <w:color w:val="000000" w:themeColor="text1"/>
        </w:rPr>
        <w:t>the Participant must</w:t>
      </w:r>
      <w:r w:rsidR="00331B28">
        <w:rPr>
          <w:rFonts w:ascii="Tahoma" w:eastAsia="Tahoma" w:hAnsi="Tahoma" w:cs="Tahoma"/>
          <w:color w:val="000000" w:themeColor="text1"/>
        </w:rPr>
        <w:t>:</w:t>
      </w:r>
    </w:p>
    <w:p w14:paraId="75988C32" w14:textId="751C7EF2" w:rsidR="00331B28" w:rsidRDefault="00871F55" w:rsidP="00331B28">
      <w:pPr>
        <w:pStyle w:val="BulletLevel1"/>
      </w:pPr>
      <w:r>
        <w:t>attend</w:t>
      </w:r>
      <w:r w:rsidR="0044425A">
        <w:t xml:space="preserve"> </w:t>
      </w:r>
      <w:r w:rsidR="00B81652">
        <w:t>an</w:t>
      </w:r>
      <w:r w:rsidR="0044425A">
        <w:t xml:space="preserve"> Initial Interview </w:t>
      </w:r>
      <w:r w:rsidR="00331B28">
        <w:t>(see</w:t>
      </w:r>
      <w:r w:rsidR="00E83638">
        <w:t xml:space="preserve"> </w:t>
      </w:r>
      <w:r w:rsidR="00E83638">
        <w:rPr>
          <w:highlight w:val="yellow"/>
        </w:rPr>
        <w:fldChar w:fldCharType="begin"/>
      </w:r>
      <w:r w:rsidR="00E83638">
        <w:instrText xml:space="preserve"> REF _Ref202781902 \h </w:instrText>
      </w:r>
      <w:r w:rsidR="00E83638">
        <w:rPr>
          <w:highlight w:val="yellow"/>
        </w:rPr>
      </w:r>
      <w:r w:rsidR="00E83638">
        <w:rPr>
          <w:highlight w:val="yellow"/>
        </w:rPr>
        <w:fldChar w:fldCharType="separate"/>
      </w:r>
      <w:r w:rsidR="000D75AE" w:rsidRPr="362FEA09">
        <w:t>3.2.2</w:t>
      </w:r>
      <w:r w:rsidR="002E053E">
        <w:t xml:space="preserve"> </w:t>
      </w:r>
      <w:r w:rsidR="000D75AE" w:rsidRPr="362FEA09">
        <w:t>Initial Interview</w:t>
      </w:r>
      <w:r w:rsidR="00E83638">
        <w:rPr>
          <w:highlight w:val="yellow"/>
        </w:rPr>
        <w:fldChar w:fldCharType="end"/>
      </w:r>
      <w:r w:rsidR="00331B28">
        <w:t xml:space="preserve">), </w:t>
      </w:r>
      <w:r w:rsidR="0044425A">
        <w:t xml:space="preserve">and </w:t>
      </w:r>
    </w:p>
    <w:p w14:paraId="66C389E0" w14:textId="613EFEF3" w:rsidR="000D6FDB" w:rsidRDefault="004F215E" w:rsidP="00331B28">
      <w:pPr>
        <w:pStyle w:val="BulletLevel1"/>
      </w:pPr>
      <w:r>
        <w:t>sign a Job Plan</w:t>
      </w:r>
      <w:r w:rsidR="00484411">
        <w:t xml:space="preserve"> </w:t>
      </w:r>
      <w:r w:rsidR="00331B28">
        <w:t>(see</w:t>
      </w:r>
      <w:r w:rsidR="00E83638">
        <w:t xml:space="preserve"> </w:t>
      </w:r>
      <w:r w:rsidR="00E83638">
        <w:rPr>
          <w:highlight w:val="yellow"/>
        </w:rPr>
        <w:fldChar w:fldCharType="begin"/>
      </w:r>
      <w:r w:rsidR="00E83638">
        <w:instrText xml:space="preserve"> REF _Ref202784119 \h </w:instrText>
      </w:r>
      <w:r w:rsidR="00E83638">
        <w:rPr>
          <w:highlight w:val="yellow"/>
        </w:rPr>
      </w:r>
      <w:r w:rsidR="00E83638">
        <w:rPr>
          <w:highlight w:val="yellow"/>
        </w:rPr>
        <w:fldChar w:fldCharType="separate"/>
      </w:r>
      <w:r w:rsidR="000D75AE" w:rsidRPr="00BA23D8">
        <w:t>Chapter 4</w:t>
      </w:r>
      <w:r w:rsidR="000D75AE">
        <w:t>:</w:t>
      </w:r>
      <w:r w:rsidR="002E053E">
        <w:t xml:space="preserve"> </w:t>
      </w:r>
      <w:r w:rsidR="000D75AE" w:rsidRPr="00BA23D8">
        <w:t>Job Plans</w:t>
      </w:r>
      <w:r w:rsidR="00E83638">
        <w:rPr>
          <w:highlight w:val="yellow"/>
        </w:rPr>
        <w:fldChar w:fldCharType="end"/>
      </w:r>
      <w:r w:rsidR="00331B28">
        <w:t>)</w:t>
      </w:r>
      <w:r w:rsidR="00E94D1C">
        <w:t>,</w:t>
      </w:r>
      <w:r w:rsidR="00331B28">
        <w:t xml:space="preserve"> </w:t>
      </w:r>
      <w:r w:rsidR="00484411">
        <w:t>unless</w:t>
      </w:r>
      <w:r w:rsidR="000D6FDB">
        <w:t>:</w:t>
      </w:r>
    </w:p>
    <w:p w14:paraId="54AB9E16" w14:textId="5BA61BE3" w:rsidR="00484411" w:rsidRPr="003F0DB4" w:rsidRDefault="000D6FDB" w:rsidP="00331B28">
      <w:pPr>
        <w:pStyle w:val="BulletLevel2"/>
      </w:pPr>
      <w:r>
        <w:rPr>
          <w:rFonts w:ascii="Tahoma" w:eastAsia="Tahoma" w:hAnsi="Tahoma" w:cs="Tahoma"/>
          <w:color w:val="000000" w:themeColor="text1"/>
        </w:rPr>
        <w:t xml:space="preserve">the </w:t>
      </w:r>
      <w:r w:rsidR="00484411">
        <w:t xml:space="preserve">Participant </w:t>
      </w:r>
      <w:r>
        <w:t>transfer</w:t>
      </w:r>
      <w:r w:rsidR="001F319C">
        <w:t>s</w:t>
      </w:r>
      <w:r w:rsidR="00484411">
        <w:t xml:space="preserve"> </w:t>
      </w:r>
      <w:r>
        <w:t>from</w:t>
      </w:r>
      <w:r w:rsidR="00484411">
        <w:t xml:space="preserve"> an alternative Site with the same Provider</w:t>
      </w:r>
      <w:r>
        <w:t xml:space="preserve"> —</w:t>
      </w:r>
      <w:r w:rsidR="00484411">
        <w:t xml:space="preserve"> </w:t>
      </w:r>
      <w:r>
        <w:t>t</w:t>
      </w:r>
      <w:r w:rsidR="00484411">
        <w:t>he Participant does not require a new Job Plan if there is an approved Job Plan.</w:t>
      </w:r>
    </w:p>
    <w:p w14:paraId="5FDF93C2" w14:textId="00B89B89" w:rsidR="00ED6AA0" w:rsidRDefault="00ED6AA0" w:rsidP="00331B28">
      <w:pPr>
        <w:pStyle w:val="BulletLevel2"/>
      </w:pPr>
      <w:r>
        <w:t>the</w:t>
      </w:r>
      <w:r w:rsidR="00484411" w:rsidRPr="003F0DB4">
        <w:t xml:space="preserve"> Participant </w:t>
      </w:r>
      <w:r>
        <w:t>has</w:t>
      </w:r>
      <w:r w:rsidR="00484411" w:rsidRPr="003F0DB4">
        <w:t xml:space="preserve"> a Centrelink Job Plan </w:t>
      </w:r>
      <w:r>
        <w:t xml:space="preserve">— the </w:t>
      </w:r>
      <w:r w:rsidRPr="003F0DB4">
        <w:t>Participant’s Centrelink Job Plan must be left in place</w:t>
      </w:r>
      <w:r w:rsidR="004C5CB8">
        <w:t xml:space="preserve"> and they will be </w:t>
      </w:r>
      <w:r w:rsidR="004C5CB8" w:rsidRPr="003F0DB4">
        <w:t>Commenced when the Provider records attendance at the Initial Interview</w:t>
      </w:r>
      <w:r w:rsidR="004C5CB8">
        <w:t>.</w:t>
      </w:r>
    </w:p>
    <w:p w14:paraId="2A83CCEC" w14:textId="166AAFAC" w:rsidR="00E970FB" w:rsidRDefault="00F80041" w:rsidP="006E2EF5">
      <w:pPr>
        <w:rPr>
          <w:rFonts w:ascii="Tahoma" w:eastAsia="Tahoma" w:hAnsi="Tahoma" w:cs="Tahoma"/>
          <w:color w:val="000000" w:themeColor="text1"/>
        </w:rPr>
      </w:pPr>
      <w:r>
        <w:rPr>
          <w:rFonts w:ascii="Tahoma" w:eastAsia="Tahoma" w:hAnsi="Tahoma" w:cs="Tahoma"/>
          <w:color w:val="000000" w:themeColor="text1"/>
        </w:rPr>
        <w:t>Once these actions have been completed, the Participant</w:t>
      </w:r>
      <w:r w:rsidR="000753D3">
        <w:rPr>
          <w:rFonts w:ascii="Tahoma" w:eastAsia="Tahoma" w:hAnsi="Tahoma" w:cs="Tahoma"/>
          <w:color w:val="000000" w:themeColor="text1"/>
        </w:rPr>
        <w:t>’s</w:t>
      </w:r>
      <w:r>
        <w:rPr>
          <w:rFonts w:ascii="Tahoma" w:eastAsia="Tahoma" w:hAnsi="Tahoma" w:cs="Tahoma"/>
          <w:color w:val="000000" w:themeColor="text1"/>
        </w:rPr>
        <w:t xml:space="preserve"> </w:t>
      </w:r>
      <w:r w:rsidR="000753D3">
        <w:rPr>
          <w:rFonts w:ascii="Tahoma" w:eastAsia="Tahoma" w:hAnsi="Tahoma" w:cs="Tahoma"/>
          <w:color w:val="000000" w:themeColor="text1"/>
        </w:rPr>
        <w:t>s</w:t>
      </w:r>
      <w:r>
        <w:rPr>
          <w:rFonts w:ascii="Tahoma" w:eastAsia="Tahoma" w:hAnsi="Tahoma" w:cs="Tahoma"/>
          <w:color w:val="000000" w:themeColor="text1"/>
        </w:rPr>
        <w:t xml:space="preserve">tatus </w:t>
      </w:r>
      <w:r w:rsidR="000753D3">
        <w:rPr>
          <w:rFonts w:ascii="Tahoma" w:eastAsia="Tahoma" w:hAnsi="Tahoma" w:cs="Tahoma"/>
          <w:color w:val="000000" w:themeColor="text1"/>
        </w:rPr>
        <w:t>on the Provider’s Caseload will change to</w:t>
      </w:r>
      <w:r>
        <w:rPr>
          <w:rFonts w:ascii="Tahoma" w:eastAsia="Tahoma" w:hAnsi="Tahoma" w:cs="Tahoma"/>
          <w:color w:val="000000" w:themeColor="text1"/>
        </w:rPr>
        <w:t xml:space="preserve"> </w:t>
      </w:r>
      <w:r w:rsidR="008F1033">
        <w:rPr>
          <w:rFonts w:ascii="Tahoma" w:eastAsia="Tahoma" w:hAnsi="Tahoma" w:cs="Tahoma"/>
          <w:color w:val="000000" w:themeColor="text1"/>
        </w:rPr>
        <w:t xml:space="preserve">from Pending to </w:t>
      </w:r>
      <w:r>
        <w:rPr>
          <w:rFonts w:ascii="Tahoma" w:eastAsia="Tahoma" w:hAnsi="Tahoma" w:cs="Tahoma"/>
          <w:color w:val="000000" w:themeColor="text1"/>
        </w:rPr>
        <w:t>Commenced.</w:t>
      </w:r>
    </w:p>
    <w:p w14:paraId="16012F19" w14:textId="1ACD4E60" w:rsidR="00D74559" w:rsidRPr="00914A3F" w:rsidRDefault="00D74559" w:rsidP="006E2EF5">
      <w:pPr>
        <w:pStyle w:val="DeedReferences"/>
      </w:pPr>
      <w:r w:rsidRPr="00914A3F">
        <w:t>(</w:t>
      </w:r>
      <w:r w:rsidR="00A73420">
        <w:t xml:space="preserve">Deed Reference(s): Clause </w:t>
      </w:r>
      <w:r w:rsidRPr="00914A3F">
        <w:t>108.1(d), 108.2(c), 108.3(c), 108.4(c))</w:t>
      </w:r>
    </w:p>
    <w:p w14:paraId="19D0A34E" w14:textId="397EF1A2" w:rsidR="00D74559" w:rsidRDefault="00D74559" w:rsidP="00945A1B">
      <w:pPr>
        <w:pStyle w:val="SystemStep"/>
        <w:keepNext/>
        <w:ind w:left="641" w:hanging="357"/>
      </w:pPr>
      <w:r>
        <w:t>To Commence a Participant, a Provider must</w:t>
      </w:r>
      <w:r w:rsidR="003F6B39">
        <w:t xml:space="preserve"> undertake the following steps in the Department’s IT Systems</w:t>
      </w:r>
      <w:r>
        <w:t>:</w:t>
      </w:r>
    </w:p>
    <w:p w14:paraId="741597E3" w14:textId="01DA7354" w:rsidR="00D74559" w:rsidRPr="003F0DB4" w:rsidRDefault="003F6B39" w:rsidP="004E120D">
      <w:pPr>
        <w:pStyle w:val="BulletLevel2"/>
      </w:pPr>
      <w:r>
        <w:t xml:space="preserve">Step 1: </w:t>
      </w:r>
      <w:r w:rsidR="00573FA6">
        <w:t>Schedule</w:t>
      </w:r>
      <w:r w:rsidR="00D74559" w:rsidRPr="003F0DB4">
        <w:t xml:space="preserve"> and conduct an Initial Interview with the Participant</w:t>
      </w:r>
      <w:r w:rsidR="0093082B">
        <w:t>.</w:t>
      </w:r>
    </w:p>
    <w:p w14:paraId="7B70D446" w14:textId="3C2E4252" w:rsidR="00D74559" w:rsidRPr="003F0DB4" w:rsidRDefault="003F6B39" w:rsidP="004E120D">
      <w:pPr>
        <w:pStyle w:val="BulletLevel2"/>
      </w:pPr>
      <w:r>
        <w:t>Step</w:t>
      </w:r>
      <w:r w:rsidR="00BF73CC">
        <w:t xml:space="preserve"> </w:t>
      </w:r>
      <w:r>
        <w:t>2: R</w:t>
      </w:r>
      <w:r w:rsidR="00D74559" w:rsidRPr="003F0DB4">
        <w:t>esult the Initial Interview as ‘Attended’ in the Participant’s Electronic Calendar</w:t>
      </w:r>
      <w:r>
        <w:t>.</w:t>
      </w:r>
    </w:p>
    <w:p w14:paraId="328C8887" w14:textId="3C38217C" w:rsidR="00D74559" w:rsidRPr="003F0DB4" w:rsidRDefault="003F6B39" w:rsidP="004E120D">
      <w:pPr>
        <w:pStyle w:val="BulletLevel2"/>
      </w:pPr>
      <w:r>
        <w:t>Step 3: C</w:t>
      </w:r>
      <w:r w:rsidR="00D74559" w:rsidRPr="003F0DB4">
        <w:t>reate and approve a Meaningful Engagement Job Plan, unless:</w:t>
      </w:r>
    </w:p>
    <w:p w14:paraId="545E69B3" w14:textId="77777777" w:rsidR="00D74559" w:rsidRPr="003F0DB4" w:rsidRDefault="00D74559" w:rsidP="004E120D">
      <w:pPr>
        <w:pStyle w:val="BulletLevel3"/>
      </w:pPr>
      <w:r w:rsidRPr="003F0DB4">
        <w:t xml:space="preserve">the Participant already has a Centrelink Job Plan, or </w:t>
      </w:r>
    </w:p>
    <w:p w14:paraId="4509DCE1" w14:textId="629BE45D" w:rsidR="00D74559" w:rsidRPr="003F0DB4" w:rsidRDefault="00D74559" w:rsidP="004E120D">
      <w:pPr>
        <w:pStyle w:val="BulletLevel3"/>
      </w:pPr>
      <w:r w:rsidRPr="003F0DB4">
        <w:t xml:space="preserve">the </w:t>
      </w:r>
      <w:r w:rsidR="009333B6">
        <w:t>T</w:t>
      </w:r>
      <w:r w:rsidRPr="003F0DB4">
        <w:t xml:space="preserve">ransferred Participant has a Detailed Job Plan — see </w:t>
      </w:r>
      <w:r w:rsidR="00166310">
        <w:t>S</w:t>
      </w:r>
      <w:r w:rsidRPr="003F0DB4">
        <w:t xml:space="preserve">ection below on </w:t>
      </w:r>
      <w:r w:rsidR="00FC7AD1">
        <w:t xml:space="preserve">Job Plan </w:t>
      </w:r>
      <w:r w:rsidR="00BF73CC">
        <w:t xml:space="preserve">considerations for </w:t>
      </w:r>
      <w:r w:rsidRPr="003F0DB4">
        <w:t xml:space="preserve">Participants transferring from another </w:t>
      </w:r>
      <w:r w:rsidR="007927AC">
        <w:t>P</w:t>
      </w:r>
      <w:r>
        <w:t>rovider</w:t>
      </w:r>
      <w:r w:rsidRPr="003F0DB4">
        <w:t>.</w:t>
      </w:r>
    </w:p>
    <w:p w14:paraId="39E4A22F" w14:textId="77777777" w:rsidR="00D74559" w:rsidRDefault="00D74559" w:rsidP="0035143E">
      <w:pPr>
        <w:pStyle w:val="Heading5"/>
      </w:pPr>
      <w:r>
        <w:t>Period of Service and Period of Registration</w:t>
      </w:r>
    </w:p>
    <w:p w14:paraId="132EB2C7" w14:textId="44C75544" w:rsidR="00D74559" w:rsidRDefault="00D74559" w:rsidP="006E2EF5">
      <w:r>
        <w:t xml:space="preserve">A Participant’s Period of Service starts when they </w:t>
      </w:r>
      <w:r w:rsidR="0020519D">
        <w:t xml:space="preserve">are </w:t>
      </w:r>
      <w:r>
        <w:t>Commence</w:t>
      </w:r>
      <w:r w:rsidR="0020519D">
        <w:t>d</w:t>
      </w:r>
      <w:r>
        <w:t xml:space="preserve"> in </w:t>
      </w:r>
      <w:r w:rsidR="00C74C33">
        <w:t>Inclusive Employment Australia</w:t>
      </w:r>
      <w:r>
        <w:t xml:space="preserve">. It continues as the Participant receives Services, including where they transfer to other Providers, until they Exit the program. Once a Participant has </w:t>
      </w:r>
      <w:r w:rsidR="43A849DF">
        <w:t>C</w:t>
      </w:r>
      <w:r>
        <w:t>ommenced a Period of Service, they can continue to receive Services even if they no longer meet</w:t>
      </w:r>
      <w:r w:rsidR="046C617C">
        <w:t xml:space="preserve"> the</w:t>
      </w:r>
      <w:r>
        <w:t xml:space="preserve"> </w:t>
      </w:r>
      <w:r w:rsidR="00C74C33">
        <w:t>Inclusive Employment Australia</w:t>
      </w:r>
      <w:r>
        <w:t xml:space="preserve"> eligibility </w:t>
      </w:r>
      <w:r w:rsidR="046C617C">
        <w:t>criteria</w:t>
      </w:r>
      <w:r>
        <w:t>.</w:t>
      </w:r>
    </w:p>
    <w:p w14:paraId="018D3DA2" w14:textId="1E01B2B3" w:rsidR="00D74559" w:rsidRPr="00B914A0" w:rsidRDefault="00D74559" w:rsidP="006E2EF5">
      <w:r>
        <w:t>A Participant’s Period of Registration starts when they Commence</w:t>
      </w:r>
      <w:r w:rsidR="0020519D">
        <w:t>d</w:t>
      </w:r>
      <w:r>
        <w:t xml:space="preserve"> with a Provider. It continues until the Participant Exits from the Provider’s </w:t>
      </w:r>
      <w:r w:rsidR="00394E04">
        <w:t>C</w:t>
      </w:r>
      <w:r>
        <w:t>aseload. If the Participant transfers Providers, they start a new Period of Registration with their new Provider.</w:t>
      </w:r>
    </w:p>
    <w:p w14:paraId="1FB596B1" w14:textId="44E2C6BC" w:rsidR="0B93CE17" w:rsidRDefault="0B93CE17">
      <w:r>
        <w:t>Both the Period of Service and Period of Registration end when a Participant is Exited.</w:t>
      </w:r>
    </w:p>
    <w:p w14:paraId="22823251" w14:textId="77777777" w:rsidR="00D74559" w:rsidRPr="009A0FCD" w:rsidRDefault="00D74559" w:rsidP="006D1645">
      <w:pPr>
        <w:pStyle w:val="Heading5"/>
        <w:rPr>
          <w:u w:val="single"/>
        </w:rPr>
      </w:pPr>
      <w:r w:rsidRPr="0E218120">
        <w:t>Participants must be Commenced in a timely manner</w:t>
      </w:r>
    </w:p>
    <w:p w14:paraId="77D10552" w14:textId="6D996B5D" w:rsidR="00D74559" w:rsidRDefault="00D74559" w:rsidP="006E2EF5">
      <w:r w:rsidRPr="53BE8163">
        <w:t xml:space="preserve">Providers must ensure Participants are Commenced within 10 Business Days of the Referral (excluding Transitioned Participants). This includes </w:t>
      </w:r>
      <w:r w:rsidR="00287723">
        <w:t>t</w:t>
      </w:r>
      <w:r w:rsidRPr="53BE8163">
        <w:t xml:space="preserve">hink </w:t>
      </w:r>
      <w:r w:rsidR="00287723">
        <w:t>t</w:t>
      </w:r>
      <w:r w:rsidRPr="53BE8163">
        <w:t>ime for Participants to agree to their Job Plan (if requested and applicable). For further information please refer to</w:t>
      </w:r>
      <w:r w:rsidR="00E83638">
        <w:t xml:space="preserve"> </w:t>
      </w:r>
      <w:r w:rsidR="00E83638">
        <w:rPr>
          <w:highlight w:val="yellow"/>
        </w:rPr>
        <w:fldChar w:fldCharType="begin"/>
      </w:r>
      <w:r w:rsidR="00E83638">
        <w:instrText xml:space="preserve"> REF _Ref202784119 \h </w:instrText>
      </w:r>
      <w:r w:rsidR="00E83638">
        <w:rPr>
          <w:highlight w:val="yellow"/>
        </w:rPr>
      </w:r>
      <w:r w:rsidR="00E83638">
        <w:rPr>
          <w:highlight w:val="yellow"/>
        </w:rPr>
        <w:fldChar w:fldCharType="separate"/>
      </w:r>
      <w:r w:rsidR="000D75AE" w:rsidRPr="00BA23D8">
        <w:t>Chapter 4</w:t>
      </w:r>
      <w:r w:rsidR="000D75AE">
        <w:t>:</w:t>
      </w:r>
      <w:r w:rsidR="0097189E">
        <w:t xml:space="preserve"> </w:t>
      </w:r>
      <w:r w:rsidR="000D75AE" w:rsidRPr="00BA23D8">
        <w:t>Job Plans</w:t>
      </w:r>
      <w:r w:rsidR="00E83638">
        <w:rPr>
          <w:highlight w:val="yellow"/>
        </w:rPr>
        <w:fldChar w:fldCharType="end"/>
      </w:r>
      <w:r w:rsidRPr="53BE8163">
        <w:t xml:space="preserve"> </w:t>
      </w:r>
      <w:r>
        <w:t xml:space="preserve">and the </w:t>
      </w:r>
      <w:r w:rsidR="00BC2B75" w:rsidRPr="00FF048B">
        <w:rPr>
          <w:rStyle w:val="Hyperlink"/>
        </w:rPr>
        <w:t>Provider Transition Advice [LINK]</w:t>
      </w:r>
      <w:r>
        <w:t>.</w:t>
      </w:r>
    </w:p>
    <w:p w14:paraId="28C61376" w14:textId="6215EAB1" w:rsidR="00D74559" w:rsidRDefault="00D74559" w:rsidP="006E2EF5">
      <w:pPr>
        <w:rPr>
          <w:rFonts w:ascii="Tahoma" w:eastAsia="Tahoma" w:hAnsi="Tahoma" w:cs="Tahoma"/>
          <w:color w:val="000000" w:themeColor="text1"/>
        </w:rPr>
      </w:pPr>
      <w:r w:rsidRPr="00EF08AB">
        <w:rPr>
          <w:rFonts w:ascii="Tahoma" w:eastAsia="Tahoma" w:hAnsi="Tahoma" w:cs="Tahoma"/>
          <w:b/>
          <w:bCs/>
          <w:color w:val="000000" w:themeColor="text1"/>
        </w:rPr>
        <w:t>Note</w:t>
      </w:r>
      <w:r>
        <w:rPr>
          <w:rFonts w:ascii="Tahoma" w:eastAsia="Tahoma" w:hAnsi="Tahoma" w:cs="Tahoma"/>
          <w:color w:val="000000" w:themeColor="text1"/>
        </w:rPr>
        <w:t xml:space="preserve">: </w:t>
      </w:r>
      <w:r w:rsidRPr="0E218120">
        <w:rPr>
          <w:rFonts w:ascii="Tahoma" w:eastAsia="Tahoma" w:hAnsi="Tahoma" w:cs="Tahoma"/>
          <w:color w:val="000000" w:themeColor="text1"/>
        </w:rPr>
        <w:t xml:space="preserve">A Participant (Mutual Obligation) or DSP Recipient (Compulsory Requirement) is required to participate in </w:t>
      </w:r>
      <w:r w:rsidR="00C74C33">
        <w:rPr>
          <w:rFonts w:ascii="Tahoma" w:eastAsia="Tahoma" w:hAnsi="Tahoma" w:cs="Tahoma"/>
          <w:color w:val="000000" w:themeColor="text1"/>
        </w:rPr>
        <w:t>Inclusive Employment Australia</w:t>
      </w:r>
      <w:r w:rsidRPr="0E218120">
        <w:rPr>
          <w:rFonts w:ascii="Tahoma" w:eastAsia="Tahoma" w:hAnsi="Tahoma" w:cs="Tahoma"/>
          <w:color w:val="000000" w:themeColor="text1"/>
        </w:rPr>
        <w:t xml:space="preserve"> and their Income Support Payment may be contingent upon Commenc</w:t>
      </w:r>
      <w:r>
        <w:rPr>
          <w:rFonts w:ascii="Tahoma" w:eastAsia="Tahoma" w:hAnsi="Tahoma" w:cs="Tahoma"/>
          <w:color w:val="000000" w:themeColor="text1"/>
        </w:rPr>
        <w:t>ement in the program</w:t>
      </w:r>
      <w:r w:rsidRPr="0E218120">
        <w:rPr>
          <w:rFonts w:ascii="Tahoma" w:eastAsia="Tahoma" w:hAnsi="Tahoma" w:cs="Tahoma"/>
          <w:color w:val="000000" w:themeColor="text1"/>
        </w:rPr>
        <w:t>.</w:t>
      </w:r>
    </w:p>
    <w:p w14:paraId="6EBE83B9" w14:textId="77777777" w:rsidR="00D74559" w:rsidRPr="00C15D7B" w:rsidRDefault="00D74559" w:rsidP="006D1645">
      <w:pPr>
        <w:pStyle w:val="Heading5"/>
        <w:rPr>
          <w:u w:val="single"/>
        </w:rPr>
      </w:pPr>
      <w:r w:rsidRPr="0E218120">
        <w:t>Determining the appropriate service offer</w:t>
      </w:r>
    </w:p>
    <w:p w14:paraId="1DD0489F" w14:textId="319EE759" w:rsidR="00D74559" w:rsidRDefault="00D74559">
      <w:r w:rsidRPr="0E218120">
        <w:t>When a Participant is Commenced, they start in Pre-Employment Support</w:t>
      </w:r>
      <w:r>
        <w:t>.</w:t>
      </w:r>
      <w:r w:rsidRPr="0E218120">
        <w:t xml:space="preserve"> The Provider must determine </w:t>
      </w:r>
      <w:r w:rsidR="00973BF3">
        <w:t>if</w:t>
      </w:r>
      <w:r w:rsidRPr="0E218120">
        <w:t xml:space="preserve"> the Participant should receive </w:t>
      </w:r>
      <w:r w:rsidR="005B0B5E" w:rsidRPr="0E218120">
        <w:t xml:space="preserve">Work Preparation </w:t>
      </w:r>
      <w:r w:rsidR="008A3771">
        <w:t xml:space="preserve">or Job Search under </w:t>
      </w:r>
      <w:r w:rsidRPr="0E218120">
        <w:t>Intensive Services or should receive Flexible Services.</w:t>
      </w:r>
    </w:p>
    <w:p w14:paraId="5A7EAB57" w14:textId="465B0616" w:rsidR="00D74559" w:rsidRDefault="000363F0">
      <w:r>
        <w:rPr>
          <w:highlight w:val="yellow"/>
        </w:rPr>
        <w:fldChar w:fldCharType="begin"/>
      </w:r>
      <w:r>
        <w:instrText xml:space="preserve"> REF _Ref202784665 \h </w:instrText>
      </w:r>
      <w:r>
        <w:rPr>
          <w:highlight w:val="yellow"/>
        </w:rPr>
      </w:r>
      <w:r>
        <w:rPr>
          <w:highlight w:val="yellow"/>
        </w:rPr>
        <w:fldChar w:fldCharType="separate"/>
      </w:r>
      <w:r>
        <w:rPr>
          <w:highlight w:val="yellow"/>
        </w:rPr>
        <w:fldChar w:fldCharType="end"/>
      </w:r>
      <w:r w:rsidR="00E83638">
        <w:t xml:space="preserve"> </w:t>
      </w:r>
      <w:r w:rsidR="00D74559">
        <w:t xml:space="preserve">includes information about Intensive Services and Flexible Services to help Providers determine the appropriate </w:t>
      </w:r>
      <w:r w:rsidR="00C8428C">
        <w:t xml:space="preserve">Pre-Employment </w:t>
      </w:r>
      <w:r w:rsidR="008F1F4B">
        <w:t xml:space="preserve">Support Service </w:t>
      </w:r>
      <w:r w:rsidR="00D74559">
        <w:t>for a Participant.</w:t>
      </w:r>
    </w:p>
    <w:p w14:paraId="48800F8F" w14:textId="77777777" w:rsidR="00D74559" w:rsidRDefault="00D74559">
      <w:r>
        <w:t xml:space="preserve">If the Provider does not have enough information about the Participant to decide which </w:t>
      </w:r>
      <w:r w:rsidR="001E3D56">
        <w:t xml:space="preserve">phase and </w:t>
      </w:r>
      <w:r w:rsidR="006C5FD6">
        <w:t xml:space="preserve">service offer </w:t>
      </w:r>
      <w:r>
        <w:t xml:space="preserve">to Commence the Participant in, the Provider should start the Participant in the Intensive Service Work Preparation phase and review this decision at a future Appointment. </w:t>
      </w:r>
    </w:p>
    <w:p w14:paraId="73E1AA73" w14:textId="48C7A5FD" w:rsidR="00D74559" w:rsidRDefault="00D74559">
      <w:r w:rsidRPr="008D1951">
        <w:rPr>
          <w:b/>
          <w:bCs/>
        </w:rPr>
        <w:t>Note</w:t>
      </w:r>
      <w:r>
        <w:t xml:space="preserve">: If the person is Commenced as an Ongoing Support (Work Assist) Participant, they will start in </w:t>
      </w:r>
      <w:r w:rsidR="00D722BC">
        <w:t xml:space="preserve">the </w:t>
      </w:r>
      <w:r>
        <w:t>Ongoing Support phase</w:t>
      </w:r>
      <w:r w:rsidR="00915167">
        <w:t xml:space="preserve"> (see </w:t>
      </w:r>
      <w:r w:rsidR="00915167">
        <w:fldChar w:fldCharType="begin"/>
      </w:r>
      <w:r w:rsidR="00915167">
        <w:instrText xml:space="preserve"> REF _Ref202780074 \h </w:instrText>
      </w:r>
      <w:r w:rsidR="00915167">
        <w:fldChar w:fldCharType="separate"/>
      </w:r>
      <w:r w:rsidR="000D75AE" w:rsidRPr="00BA23D8">
        <w:t>Chapter 10</w:t>
      </w:r>
      <w:r w:rsidR="000D75AE">
        <w:t>:</w:t>
      </w:r>
      <w:r w:rsidR="002E053E">
        <w:t xml:space="preserve"> </w:t>
      </w:r>
      <w:r w:rsidR="000D75AE" w:rsidRPr="00BA23D8">
        <w:t>Ongoing Support</w:t>
      </w:r>
      <w:r w:rsidR="00915167">
        <w:fldChar w:fldCharType="end"/>
      </w:r>
      <w:r w:rsidR="00915167">
        <w:t>)</w:t>
      </w:r>
      <w:r>
        <w:t xml:space="preserve">. </w:t>
      </w:r>
    </w:p>
    <w:p w14:paraId="738088EB" w14:textId="27C9CA91" w:rsidR="00D74559" w:rsidRDefault="003E2557" w:rsidP="006D1645">
      <w:pPr>
        <w:pStyle w:val="Heading5"/>
      </w:pPr>
      <w:r>
        <w:t xml:space="preserve">Commencement of </w:t>
      </w:r>
      <w:r w:rsidR="00D74559" w:rsidRPr="53BE8163">
        <w:t>Participants undertaking residential treatment programs</w:t>
      </w:r>
    </w:p>
    <w:p w14:paraId="251196E2" w14:textId="6BA49C9D" w:rsidR="00D74559" w:rsidRDefault="00D74559" w:rsidP="0035143E">
      <w:r w:rsidRPr="0E218120">
        <w:t xml:space="preserve">Participants who are Pending on a Provider’s </w:t>
      </w:r>
      <w:r w:rsidR="00BC3DBA">
        <w:t>C</w:t>
      </w:r>
      <w:r w:rsidRPr="0E218120">
        <w:t xml:space="preserve">aseload and participating in residential treatment programs must not be Commenced until their residential treatment program has ended. This is because a Participant who enters a residential treatment program will have limited ability to participate in activities that are external to their residential treatment program, including taking </w:t>
      </w:r>
      <w:r w:rsidR="00D9789A">
        <w:t>phone</w:t>
      </w:r>
      <w:r w:rsidRPr="0E218120">
        <w:t xml:space="preserve"> calls or using computers to access the internet.</w:t>
      </w:r>
    </w:p>
    <w:p w14:paraId="2ED62B27" w14:textId="715FA8E9" w:rsidR="00D74559" w:rsidRDefault="00D74559" w:rsidP="006F727E">
      <w:pPr>
        <w:pStyle w:val="SystemStep"/>
        <w:rPr>
          <w:rFonts w:ascii="Tahoma" w:eastAsia="Tahoma" w:hAnsi="Tahoma" w:cs="Tahoma"/>
        </w:rPr>
      </w:pPr>
      <w:r w:rsidRPr="53BE8163">
        <w:t xml:space="preserve">Providers must document the reasons for delays in </w:t>
      </w:r>
      <w:r w:rsidR="00EF284E">
        <w:t>C</w:t>
      </w:r>
      <w:r w:rsidRPr="53BE8163">
        <w:t>ommencement of the Participant</w:t>
      </w:r>
      <w:r>
        <w:t>, using comment functionality in the Participant’s Summary on</w:t>
      </w:r>
      <w:r w:rsidRPr="53BE8163">
        <w:t xml:space="preserve"> the Department’s IT Systems.</w:t>
      </w:r>
    </w:p>
    <w:p w14:paraId="5C13584D" w14:textId="77777777" w:rsidR="00D74559" w:rsidRDefault="00D74559" w:rsidP="006D1645">
      <w:pPr>
        <w:pStyle w:val="Heading5"/>
      </w:pPr>
      <w:r w:rsidRPr="53BE8163">
        <w:t xml:space="preserve">Participants with sensitive </w:t>
      </w:r>
      <w:r w:rsidR="00EF261A">
        <w:t>R</w:t>
      </w:r>
      <w:r>
        <w:t>ecords</w:t>
      </w:r>
      <w:r w:rsidRPr="53BE8163">
        <w:t xml:space="preserve"> (restricted access)</w:t>
      </w:r>
    </w:p>
    <w:p w14:paraId="6D2F6780" w14:textId="77777777" w:rsidR="00D74559" w:rsidRDefault="00D74559" w:rsidP="0035143E">
      <w:r w:rsidRPr="0E218120">
        <w:t xml:space="preserve">Participants with </w:t>
      </w:r>
      <w:r w:rsidR="00E940C0">
        <w:t>S</w:t>
      </w:r>
      <w:r>
        <w:t xml:space="preserve">ensitive </w:t>
      </w:r>
      <w:r w:rsidR="00E940C0">
        <w:t>I</w:t>
      </w:r>
      <w:r>
        <w:t>nformation</w:t>
      </w:r>
      <w:r w:rsidRPr="0E218120">
        <w:t xml:space="preserve"> in their </w:t>
      </w:r>
      <w:r w:rsidR="00EF261A">
        <w:t>R</w:t>
      </w:r>
      <w:r>
        <w:t>ecords</w:t>
      </w:r>
      <w:r w:rsidRPr="0E218120">
        <w:t xml:space="preserve"> may be allocated to a Provider’s Caseload and the Participant’s contact details will not be visible. </w:t>
      </w:r>
    </w:p>
    <w:p w14:paraId="4EA2780F" w14:textId="77777777" w:rsidR="00D74559" w:rsidRDefault="00D74559" w:rsidP="0035143E">
      <w:r w:rsidRPr="0E218120">
        <w:t>Services Australia will contact these Participants and Refer</w:t>
      </w:r>
      <w:r>
        <w:t xml:space="preserve"> the Participant </w:t>
      </w:r>
      <w:r w:rsidRPr="0E218120">
        <w:t xml:space="preserve">to </w:t>
      </w:r>
      <w:r>
        <w:t xml:space="preserve">an Initial Interview with </w:t>
      </w:r>
      <w:r w:rsidRPr="0E218120">
        <w:t xml:space="preserve">the Provider. Participants </w:t>
      </w:r>
      <w:r>
        <w:t>must</w:t>
      </w:r>
      <w:r w:rsidRPr="0E218120">
        <w:t xml:space="preserve"> provide their contact details to the Provider at the first appointment.</w:t>
      </w:r>
    </w:p>
    <w:p w14:paraId="4660E31A" w14:textId="77777777" w:rsidR="00D74559" w:rsidRDefault="00D74559" w:rsidP="006D1645">
      <w:pPr>
        <w:pStyle w:val="Heading5"/>
      </w:pPr>
      <w:r>
        <w:t xml:space="preserve">Participants with a history of </w:t>
      </w:r>
      <w:r w:rsidR="30317E78">
        <w:t>I</w:t>
      </w:r>
      <w:r>
        <w:t>ncidents or a Managed Service Plan</w:t>
      </w:r>
    </w:p>
    <w:p w14:paraId="0DF5280D" w14:textId="77777777" w:rsidR="00D74559" w:rsidRDefault="00D74559" w:rsidP="006E2EF5">
      <w:r>
        <w:t xml:space="preserve">Provider staff can see the details of a Participant’s </w:t>
      </w:r>
      <w:r w:rsidR="196AA79A">
        <w:t>I</w:t>
      </w:r>
      <w:r>
        <w:t>ncident history and current Managed Service Plan in the Department’s IT Systems when they have a Pending status. Provider staff should review these details before the Initial Interview so they can:</w:t>
      </w:r>
    </w:p>
    <w:p w14:paraId="110E38C4" w14:textId="77777777" w:rsidR="00D74559" w:rsidRPr="0035143E" w:rsidRDefault="00D74559" w:rsidP="004E120D">
      <w:pPr>
        <w:pStyle w:val="BulletLevel1"/>
      </w:pPr>
      <w:r w:rsidRPr="0035143E">
        <w:t>implement appropriate interview safety measures to protect Participants and staff, and improve engagement with the Participant, and</w:t>
      </w:r>
    </w:p>
    <w:p w14:paraId="69A479F6" w14:textId="77777777" w:rsidR="00D74559" w:rsidRPr="0035143E" w:rsidRDefault="00D74559" w:rsidP="004E120D">
      <w:pPr>
        <w:pStyle w:val="BulletLevel1"/>
      </w:pPr>
      <w:r w:rsidRPr="0035143E">
        <w:t>if appropriate, implement a proactive Managed Service Plan limiting face-to-face servicing where appropriate.</w:t>
      </w:r>
    </w:p>
    <w:p w14:paraId="65E7CC80" w14:textId="2E37C276" w:rsidR="00D74559" w:rsidRDefault="00D74559" w:rsidP="006E2EF5">
      <w:pPr>
        <w:rPr>
          <w:rFonts w:ascii="Tahoma" w:eastAsia="Tahoma" w:hAnsi="Tahoma" w:cs="Tahoma"/>
          <w:color w:val="000000" w:themeColor="text1"/>
        </w:rPr>
      </w:pPr>
      <w:r>
        <w:t>For more detail see</w:t>
      </w:r>
      <w:r w:rsidR="00915167">
        <w:t xml:space="preserve"> </w:t>
      </w:r>
      <w:r w:rsidR="00915167">
        <w:fldChar w:fldCharType="begin"/>
      </w:r>
      <w:r w:rsidR="00915167">
        <w:instrText xml:space="preserve"> REF _Ref202784245 \h </w:instrText>
      </w:r>
      <w:r w:rsidR="00915167">
        <w:fldChar w:fldCharType="separate"/>
      </w:r>
      <w:r w:rsidR="000D75AE" w:rsidRPr="00BA23D8">
        <w:t>Chapter 13</w:t>
      </w:r>
      <w:r w:rsidR="000D75AE">
        <w:t>:</w:t>
      </w:r>
      <w:r w:rsidR="002E053E">
        <w:t xml:space="preserve"> </w:t>
      </w:r>
      <w:r w:rsidR="000D75AE" w:rsidRPr="00BA23D8">
        <w:t>Servicing Participants with challenging behaviours</w:t>
      </w:r>
      <w:r w:rsidR="00915167">
        <w:fldChar w:fldCharType="end"/>
      </w:r>
      <w:r>
        <w:t xml:space="preserve">, which includes information about </w:t>
      </w:r>
      <w:r w:rsidR="00154778">
        <w:t>I</w:t>
      </w:r>
      <w:r>
        <w:t>ncident reporting and Managed Service Plans.</w:t>
      </w:r>
    </w:p>
    <w:p w14:paraId="2E99EF9E" w14:textId="462B7563" w:rsidR="00D74559" w:rsidRDefault="00D74559" w:rsidP="001D0F92">
      <w:pPr>
        <w:pStyle w:val="Heading4"/>
      </w:pPr>
      <w:bookmarkStart w:id="103" w:name="_Ref202781902"/>
      <w:bookmarkStart w:id="104" w:name="_Toc202899906"/>
      <w:r w:rsidRPr="362FEA09">
        <w:t>3.2.2</w:t>
      </w:r>
      <w:r w:rsidR="003F6B39">
        <w:tab/>
      </w:r>
      <w:r w:rsidRPr="362FEA09">
        <w:t>Initial Interview</w:t>
      </w:r>
      <w:bookmarkEnd w:id="103"/>
      <w:bookmarkEnd w:id="104"/>
    </w:p>
    <w:p w14:paraId="628A4C60" w14:textId="77777777" w:rsidR="00D74559" w:rsidRDefault="00D74559" w:rsidP="00EA14FE">
      <w:pPr>
        <w:keepNext/>
      </w:pPr>
      <w:r>
        <w:t>The Initial Interview is the first Appointment that a Participant will have with the Provider.</w:t>
      </w:r>
    </w:p>
    <w:p w14:paraId="6EA0DFC1" w14:textId="77777777" w:rsidR="00D74559" w:rsidRPr="00FF26C6" w:rsidRDefault="00D74559" w:rsidP="006E2EF5">
      <w:r w:rsidRPr="0E218120">
        <w:t>The Provider must conduct an Initial Interview for all Participants who:</w:t>
      </w:r>
    </w:p>
    <w:p w14:paraId="3381B148" w14:textId="77777777" w:rsidR="00D74559" w:rsidRPr="0035143E" w:rsidRDefault="00D74559" w:rsidP="004E120D">
      <w:pPr>
        <w:pStyle w:val="BulletLevel1"/>
      </w:pPr>
      <w:r w:rsidRPr="0035143E">
        <w:t xml:space="preserve">were Referred by Services Australia </w:t>
      </w:r>
    </w:p>
    <w:p w14:paraId="117AE23D" w14:textId="77777777" w:rsidR="00D74559" w:rsidRPr="0035143E" w:rsidRDefault="00D74559" w:rsidP="004E120D">
      <w:pPr>
        <w:pStyle w:val="BulletLevel1"/>
      </w:pPr>
      <w:r w:rsidRPr="0035143E">
        <w:t>Directly Registered for assistance, or</w:t>
      </w:r>
    </w:p>
    <w:p w14:paraId="3245F1C9" w14:textId="443DCC3B" w:rsidR="00D74559" w:rsidRPr="0035143E" w:rsidRDefault="00D74559" w:rsidP="004E120D">
      <w:pPr>
        <w:pStyle w:val="BulletLevel1"/>
      </w:pPr>
      <w:r w:rsidRPr="0035143E">
        <w:t>are Transferred Participants.</w:t>
      </w:r>
    </w:p>
    <w:p w14:paraId="4E0BC3B1" w14:textId="78650C7E" w:rsidR="005F1605" w:rsidRPr="00C95661" w:rsidRDefault="00CE0562" w:rsidP="005F1605">
      <w:r w:rsidRPr="00CE0562">
        <w:rPr>
          <w:b/>
          <w:bCs/>
        </w:rPr>
        <w:t xml:space="preserve">Note: </w:t>
      </w:r>
      <w:r w:rsidR="00AA08BE">
        <w:t xml:space="preserve">Transitioned DES Participants will have an Initial Appointment instead of an Initial Interview. </w:t>
      </w:r>
      <w:r w:rsidR="005F1605">
        <w:t xml:space="preserve">Providers should refer to the </w:t>
      </w:r>
      <w:r w:rsidR="00BC2B75" w:rsidRPr="00FF048B">
        <w:rPr>
          <w:rStyle w:val="Hyperlink"/>
        </w:rPr>
        <w:t>Provider Transition Advice [LINK]</w:t>
      </w:r>
      <w:r w:rsidR="00BC2B75">
        <w:t xml:space="preserve"> f</w:t>
      </w:r>
      <w:r w:rsidR="00AA08BE">
        <w:t xml:space="preserve">or more information </w:t>
      </w:r>
      <w:r>
        <w:t>on</w:t>
      </w:r>
      <w:r w:rsidR="005F1605">
        <w:t xml:space="preserve"> </w:t>
      </w:r>
      <w:r>
        <w:t>the Initial Appointment</w:t>
      </w:r>
      <w:r w:rsidR="005F1605">
        <w:t>.</w:t>
      </w:r>
    </w:p>
    <w:p w14:paraId="40598BA1" w14:textId="77777777" w:rsidR="00D74559" w:rsidRDefault="00D74559" w:rsidP="006D1645">
      <w:pPr>
        <w:pStyle w:val="Heading5"/>
      </w:pPr>
      <w:r>
        <w:t>Scheduling the Initial Interview</w:t>
      </w:r>
    </w:p>
    <w:p w14:paraId="464E70A3" w14:textId="43E509A1" w:rsidR="00D74559" w:rsidRDefault="009848DB" w:rsidP="006E2EF5">
      <w:r>
        <w:t>When a Participant is Referred</w:t>
      </w:r>
      <w:r w:rsidR="00C83BF4">
        <w:t xml:space="preserve">, </w:t>
      </w:r>
      <w:r w:rsidR="00D74559" w:rsidRPr="0E218120">
        <w:t xml:space="preserve">Services Australia will </w:t>
      </w:r>
      <w:r w:rsidR="00573FA6">
        <w:t>schedule</w:t>
      </w:r>
      <w:r w:rsidR="00D74559" w:rsidRPr="0E218120">
        <w:t xml:space="preserve"> the Initial Interview as part of the Referral process. </w:t>
      </w:r>
    </w:p>
    <w:p w14:paraId="4A43EC30" w14:textId="77777777" w:rsidR="00D74559" w:rsidRDefault="00D74559" w:rsidP="006F727E">
      <w:pPr>
        <w:pStyle w:val="SystemStep"/>
      </w:pPr>
      <w:r w:rsidRPr="00FB7CD7">
        <w:t xml:space="preserve">Providers will be alerted when </w:t>
      </w:r>
      <w:r>
        <w:t>the Initial Interview</w:t>
      </w:r>
      <w:r w:rsidRPr="00FB7CD7">
        <w:t xml:space="preserve"> is booked </w:t>
      </w:r>
      <w:r>
        <w:t xml:space="preserve">by Services Australia </w:t>
      </w:r>
      <w:r w:rsidRPr="00FB7CD7">
        <w:t>in th</w:t>
      </w:r>
      <w:r>
        <w:t>e E</w:t>
      </w:r>
      <w:r w:rsidRPr="00FB7CD7">
        <w:t xml:space="preserve">lectronic </w:t>
      </w:r>
      <w:r>
        <w:t>Calendar.</w:t>
      </w:r>
    </w:p>
    <w:p w14:paraId="42ECD04B" w14:textId="77777777" w:rsidR="00997FD0" w:rsidRDefault="007F2994" w:rsidP="006E2EF5">
      <w:r>
        <w:t xml:space="preserve">A </w:t>
      </w:r>
      <w:r w:rsidR="00D74559" w:rsidRPr="0E218120">
        <w:t>Directly Registered Participant</w:t>
      </w:r>
      <w:r w:rsidR="00997FD0">
        <w:t>’s Initial Interview will be scheduled:</w:t>
      </w:r>
    </w:p>
    <w:p w14:paraId="7A8DF213" w14:textId="38E5401A" w:rsidR="000B4F33" w:rsidRDefault="000B4F33" w:rsidP="00422723">
      <w:pPr>
        <w:pStyle w:val="BulletLevel1"/>
      </w:pPr>
      <w:r>
        <w:t>by</w:t>
      </w:r>
      <w:r w:rsidR="00906E3C">
        <w:t xml:space="preserve"> Services Australia </w:t>
      </w:r>
      <w:r>
        <w:t xml:space="preserve">after </w:t>
      </w:r>
      <w:r w:rsidR="00906E3C">
        <w:t>confirm</w:t>
      </w:r>
      <w:r>
        <w:t>ing</w:t>
      </w:r>
      <w:r w:rsidR="00906E3C">
        <w:t xml:space="preserve"> the person’s eligibility </w:t>
      </w:r>
      <w:r>
        <w:t>in an ESAt, or</w:t>
      </w:r>
    </w:p>
    <w:p w14:paraId="7515433F" w14:textId="77777777" w:rsidR="00EA632E" w:rsidRDefault="000B4F33" w:rsidP="00422723">
      <w:pPr>
        <w:pStyle w:val="BulletLevel1"/>
      </w:pPr>
      <w:r>
        <w:t>by the Provider, if the Participant</w:t>
      </w:r>
      <w:r w:rsidR="00D74559" w:rsidRPr="0E218120">
        <w:t xml:space="preserve"> does not require an ESAt to confirm eligibility.</w:t>
      </w:r>
      <w:r w:rsidR="00D74559" w:rsidRPr="00F07F2E">
        <w:t xml:space="preserve"> </w:t>
      </w:r>
    </w:p>
    <w:p w14:paraId="6C2EB3E9" w14:textId="77777777" w:rsidR="00C17BEA" w:rsidRDefault="00C17BEA" w:rsidP="00C17BEA">
      <w:r w:rsidRPr="53BE8163">
        <w:t>Providers must consider a Participant’s personal circumstances when scheduling Initial Interviews.</w:t>
      </w:r>
    </w:p>
    <w:p w14:paraId="4E31CA5C" w14:textId="62514FBC" w:rsidR="00CF0D6A" w:rsidRDefault="00CF0D6A" w:rsidP="00CF0D6A">
      <w:pPr>
        <w:pStyle w:val="SystemStep"/>
      </w:pPr>
      <w:r w:rsidRPr="00FB7CD7">
        <w:t xml:space="preserve">Providers </w:t>
      </w:r>
      <w:r>
        <w:t>must</w:t>
      </w:r>
      <w:r w:rsidRPr="00FB7CD7">
        <w:t xml:space="preserve"> </w:t>
      </w:r>
      <w:r w:rsidR="00392939">
        <w:t>schedule</w:t>
      </w:r>
      <w:r w:rsidRPr="00FB7CD7">
        <w:t xml:space="preserve"> </w:t>
      </w:r>
      <w:r w:rsidR="00392939">
        <w:t>the Initial Interview</w:t>
      </w:r>
      <w:r>
        <w:t xml:space="preserve"> </w:t>
      </w:r>
      <w:r w:rsidRPr="00FB7CD7">
        <w:t>in th</w:t>
      </w:r>
      <w:r>
        <w:t>e E</w:t>
      </w:r>
      <w:r w:rsidRPr="00FB7CD7">
        <w:t xml:space="preserve">lectronic </w:t>
      </w:r>
      <w:r>
        <w:t>Calendar</w:t>
      </w:r>
      <w:r w:rsidR="009A7D1A">
        <w:t xml:space="preserve">. </w:t>
      </w:r>
      <w:r w:rsidR="001D010F">
        <w:t>If scheduled</w:t>
      </w:r>
      <w:r w:rsidR="001D010F" w:rsidRPr="02295749">
        <w:t xml:space="preserve"> on the</w:t>
      </w:r>
      <w:r w:rsidR="001D010F">
        <w:t xml:space="preserve"> same</w:t>
      </w:r>
      <w:r w:rsidR="001D010F" w:rsidRPr="02295749">
        <w:t xml:space="preserve"> day </w:t>
      </w:r>
      <w:r w:rsidR="001D010F">
        <w:t>as the Participant Directly Registered,</w:t>
      </w:r>
      <w:r w:rsidR="001D010F" w:rsidRPr="02295749">
        <w:t xml:space="preserve"> </w:t>
      </w:r>
      <w:r w:rsidR="001D010F">
        <w:t>the Provider must</w:t>
      </w:r>
      <w:r w:rsidR="001D010F" w:rsidRPr="02295749">
        <w:t xml:space="preserve"> </w:t>
      </w:r>
      <w:r w:rsidR="009A7D1A">
        <w:t xml:space="preserve">record </w:t>
      </w:r>
      <w:r w:rsidR="001D010F" w:rsidRPr="02295749">
        <w:t xml:space="preserve">that the </w:t>
      </w:r>
      <w:r w:rsidR="001D010F">
        <w:t>Initial Interview</w:t>
      </w:r>
      <w:r w:rsidR="001D010F" w:rsidRPr="02295749">
        <w:t xml:space="preserve"> was directly booked with the Participant</w:t>
      </w:r>
      <w:r w:rsidR="001D010F">
        <w:t xml:space="preserve"> to avoid a </w:t>
      </w:r>
      <w:r w:rsidR="00470E0E">
        <w:t>notification</w:t>
      </w:r>
      <w:r w:rsidR="001D010F">
        <w:t xml:space="preserve"> being sent to the Participant.</w:t>
      </w:r>
    </w:p>
    <w:p w14:paraId="7626E2B8" w14:textId="725A7AF1" w:rsidR="00D74559" w:rsidRDefault="00D74559" w:rsidP="006E2EF5">
      <w:r>
        <w:t xml:space="preserve">The Initial Interview will </w:t>
      </w:r>
      <w:r w:rsidR="00850DFE">
        <w:t xml:space="preserve">need to </w:t>
      </w:r>
      <w:r>
        <w:t xml:space="preserve">be </w:t>
      </w:r>
      <w:r w:rsidR="00573FA6">
        <w:t>schedule</w:t>
      </w:r>
      <w:r>
        <w:t>d for 60 to 90 minutes but can be longer at the discretion of the Provider.</w:t>
      </w:r>
    </w:p>
    <w:p w14:paraId="4CD49179" w14:textId="77777777" w:rsidR="00D74559" w:rsidRDefault="00D74559" w:rsidP="006E2EF5">
      <w:r>
        <w:t>Providers must deliver the Initial Interview face-to-face where it is:</w:t>
      </w:r>
    </w:p>
    <w:p w14:paraId="11DDA6B4" w14:textId="77777777" w:rsidR="00D74559" w:rsidRPr="0035143E" w:rsidRDefault="00D74559" w:rsidP="004E120D">
      <w:pPr>
        <w:pStyle w:val="BulletLevel1"/>
      </w:pPr>
      <w:r w:rsidRPr="0035143E">
        <w:t>safe, inclusive and accessible</w:t>
      </w:r>
    </w:p>
    <w:p w14:paraId="7F50EF66" w14:textId="77777777" w:rsidR="00D74559" w:rsidRPr="0035143E" w:rsidRDefault="00D74559" w:rsidP="004E120D">
      <w:pPr>
        <w:pStyle w:val="BulletLevel1"/>
      </w:pPr>
      <w:r w:rsidRPr="0035143E">
        <w:t>beneficial to the individual Participant, and</w:t>
      </w:r>
    </w:p>
    <w:p w14:paraId="5EFD1C1B" w14:textId="77777777" w:rsidR="00D74559" w:rsidRPr="0035143E" w:rsidRDefault="00D74559" w:rsidP="004E120D">
      <w:pPr>
        <w:pStyle w:val="BulletLevel1"/>
      </w:pPr>
      <w:r w:rsidRPr="0035143E">
        <w:t xml:space="preserve">reasonable in the circumstances. </w:t>
      </w:r>
    </w:p>
    <w:p w14:paraId="2F2C21FC" w14:textId="24D38536" w:rsidR="00D74559" w:rsidRDefault="00D74559" w:rsidP="006E2EF5">
      <w:pPr>
        <w:keepNext/>
      </w:pPr>
      <w:r w:rsidRPr="53BE8163">
        <w:rPr>
          <w:rFonts w:ascii="Tahoma" w:eastAsia="Tahoma" w:hAnsi="Tahoma" w:cs="Tahoma"/>
          <w:szCs w:val="22"/>
        </w:rPr>
        <w:t xml:space="preserve">When it </w:t>
      </w:r>
      <w:r w:rsidR="002C3057">
        <w:rPr>
          <w:rFonts w:ascii="Tahoma" w:eastAsia="Tahoma" w:hAnsi="Tahoma" w:cs="Tahoma"/>
          <w:szCs w:val="22"/>
        </w:rPr>
        <w:t xml:space="preserve">is </w:t>
      </w:r>
      <w:r w:rsidRPr="53BE8163">
        <w:rPr>
          <w:rFonts w:ascii="Tahoma" w:eastAsia="Tahoma" w:hAnsi="Tahoma" w:cs="Tahoma"/>
          <w:szCs w:val="22"/>
        </w:rPr>
        <w:t>unreasonable to conduct the Initial Interview face-to-face, Providers may:</w:t>
      </w:r>
    </w:p>
    <w:p w14:paraId="4B2082C8" w14:textId="4F740380" w:rsidR="00D74559" w:rsidRPr="0035143E" w:rsidRDefault="00D74559" w:rsidP="004E120D">
      <w:pPr>
        <w:pStyle w:val="BulletLevel1"/>
      </w:pPr>
      <w:r w:rsidRPr="0035143E">
        <w:t xml:space="preserve">change the appointment type to include </w:t>
      </w:r>
      <w:r w:rsidR="004455EF">
        <w:t xml:space="preserve">via a </w:t>
      </w:r>
      <w:r w:rsidR="00D9789A">
        <w:t>phone</w:t>
      </w:r>
      <w:r w:rsidR="004455EF">
        <w:t xml:space="preserve"> call</w:t>
      </w:r>
      <w:r w:rsidRPr="0035143E">
        <w:t>, videoconferencing, or at a mutually agreed and appropriate outreach location (excluding the Participant’s Private Home or any Private Property), or</w:t>
      </w:r>
    </w:p>
    <w:p w14:paraId="39462260" w14:textId="77777777" w:rsidR="00D74559" w:rsidRPr="0035143E" w:rsidRDefault="00D74559" w:rsidP="004E120D">
      <w:pPr>
        <w:pStyle w:val="BulletLevel1"/>
      </w:pPr>
      <w:r w:rsidRPr="0035143E">
        <w:t>help the Participant transfer to a Provider that is more suitable.</w:t>
      </w:r>
    </w:p>
    <w:p w14:paraId="52A1900B" w14:textId="61FA6BBF" w:rsidR="00D74559" w:rsidRDefault="00D74559" w:rsidP="006E2EF5">
      <w:pPr>
        <w:rPr>
          <w:rFonts w:eastAsiaTheme="minorEastAsia"/>
          <w:szCs w:val="22"/>
        </w:rPr>
      </w:pPr>
      <w:r w:rsidRPr="53BE8163">
        <w:rPr>
          <w:rFonts w:eastAsiaTheme="minorEastAsia"/>
          <w:szCs w:val="22"/>
        </w:rPr>
        <w:t xml:space="preserve">It </w:t>
      </w:r>
      <w:r w:rsidR="00725E60">
        <w:rPr>
          <w:rFonts w:eastAsiaTheme="minorEastAsia"/>
          <w:szCs w:val="22"/>
        </w:rPr>
        <w:t>would be</w:t>
      </w:r>
      <w:r w:rsidRPr="53BE8163">
        <w:rPr>
          <w:rFonts w:eastAsiaTheme="minorEastAsia"/>
          <w:szCs w:val="22"/>
        </w:rPr>
        <w:t xml:space="preserve"> unreasonable to require a Participant to attend a face-to-face appointment where: </w:t>
      </w:r>
    </w:p>
    <w:p w14:paraId="1B1FE7AA" w14:textId="77777777" w:rsidR="00D74559" w:rsidRPr="0035143E" w:rsidRDefault="00D74559" w:rsidP="004E120D">
      <w:pPr>
        <w:pStyle w:val="BulletLevel1"/>
      </w:pPr>
      <w:r w:rsidRPr="0035143E">
        <w:t>they reside in an area that is affected by:</w:t>
      </w:r>
    </w:p>
    <w:p w14:paraId="32072D4A" w14:textId="77777777" w:rsidR="00D74559" w:rsidRPr="0035143E" w:rsidRDefault="00D74559" w:rsidP="004E120D">
      <w:pPr>
        <w:pStyle w:val="BulletLevel2"/>
      </w:pPr>
      <w:r w:rsidRPr="0035143E">
        <w:t>extreme weather conditions</w:t>
      </w:r>
    </w:p>
    <w:p w14:paraId="58614321" w14:textId="77777777" w:rsidR="00D74559" w:rsidRPr="0035143E" w:rsidRDefault="00D74559" w:rsidP="004E120D">
      <w:pPr>
        <w:pStyle w:val="BulletLevel2"/>
      </w:pPr>
      <w:r w:rsidRPr="0035143E">
        <w:t xml:space="preserve">a natural disaster </w:t>
      </w:r>
    </w:p>
    <w:p w14:paraId="26591B43" w14:textId="77777777" w:rsidR="00D74559" w:rsidRPr="0035143E" w:rsidRDefault="00D74559" w:rsidP="004E120D">
      <w:pPr>
        <w:pStyle w:val="BulletLevel2"/>
      </w:pPr>
      <w:r w:rsidRPr="0035143E">
        <w:t>public transport strikes, and/or</w:t>
      </w:r>
    </w:p>
    <w:p w14:paraId="43779DC0" w14:textId="77777777" w:rsidR="00D74559" w:rsidRPr="0035143E" w:rsidRDefault="00D74559" w:rsidP="004E120D">
      <w:pPr>
        <w:pStyle w:val="BulletLevel2"/>
      </w:pPr>
      <w:r w:rsidRPr="0035143E">
        <w:t xml:space="preserve">lack of access to reasonable transport </w:t>
      </w:r>
    </w:p>
    <w:p w14:paraId="5EEBA25E" w14:textId="77777777" w:rsidR="00D74559" w:rsidRPr="0035143E" w:rsidRDefault="00D74559" w:rsidP="004E120D">
      <w:pPr>
        <w:pStyle w:val="BulletLevel1"/>
      </w:pPr>
      <w:r w:rsidRPr="0035143E">
        <w:t>there are relevant cultural reasons</w:t>
      </w:r>
    </w:p>
    <w:p w14:paraId="10C0E544" w14:textId="77777777" w:rsidR="00D74559" w:rsidRPr="0035143E" w:rsidRDefault="00D74559" w:rsidP="004E120D">
      <w:pPr>
        <w:pStyle w:val="BulletLevel1"/>
      </w:pPr>
      <w:r w:rsidRPr="0035143E">
        <w:t>travel time and/or cost is not reasonable</w:t>
      </w:r>
    </w:p>
    <w:p w14:paraId="53281182" w14:textId="77777777" w:rsidR="00D74559" w:rsidRPr="0035143E" w:rsidRDefault="00D74559" w:rsidP="004E120D">
      <w:pPr>
        <w:pStyle w:val="BulletLevel1"/>
      </w:pPr>
      <w:r w:rsidRPr="0035143E">
        <w:t>the location is not accessible due to the Participant’s disability, illness or injury</w:t>
      </w:r>
    </w:p>
    <w:p w14:paraId="43347DB8" w14:textId="54F63E53" w:rsidR="00D74559" w:rsidRPr="0035143E" w:rsidRDefault="00D74559" w:rsidP="004E120D">
      <w:pPr>
        <w:pStyle w:val="BulletLevel1"/>
      </w:pPr>
      <w:r w:rsidRPr="0035143E">
        <w:t xml:space="preserve">they are participating in full-time Education </w:t>
      </w:r>
      <w:r w:rsidR="00054F07">
        <w:t>or</w:t>
      </w:r>
      <w:r w:rsidRPr="0035143E">
        <w:t xml:space="preserve"> </w:t>
      </w:r>
      <w:r w:rsidR="0EA9DB8E">
        <w:t>T</w:t>
      </w:r>
      <w:r>
        <w:t>raining</w:t>
      </w:r>
    </w:p>
    <w:p w14:paraId="4FC7DF59" w14:textId="77777777" w:rsidR="00D74559" w:rsidRPr="0035143E" w:rsidRDefault="00D74559" w:rsidP="004E120D">
      <w:pPr>
        <w:pStyle w:val="BulletLevel1"/>
      </w:pPr>
      <w:r w:rsidRPr="0035143E">
        <w:t>they are Employed and their hours restrict their availability to attend</w:t>
      </w:r>
    </w:p>
    <w:p w14:paraId="41D03B90" w14:textId="77777777" w:rsidR="00D74559" w:rsidRPr="0035143E" w:rsidRDefault="00D74559" w:rsidP="004E120D">
      <w:pPr>
        <w:pStyle w:val="BulletLevel1"/>
      </w:pPr>
      <w:r w:rsidRPr="0035143E">
        <w:t>they are not medically fit to attend, and/or</w:t>
      </w:r>
    </w:p>
    <w:p w14:paraId="6C89E22B" w14:textId="77777777" w:rsidR="00D74559" w:rsidRPr="0035143E" w:rsidRDefault="00D74559" w:rsidP="004E120D">
      <w:pPr>
        <w:pStyle w:val="BulletLevel1"/>
      </w:pPr>
      <w:r w:rsidRPr="0035143E">
        <w:t xml:space="preserve">they have health considerations (including COVID-19 considerations) that impact on the Participant’s ability to attend, such as: </w:t>
      </w:r>
    </w:p>
    <w:p w14:paraId="00B68A2E" w14:textId="77777777" w:rsidR="00D74559" w:rsidRPr="0035143E" w:rsidRDefault="00D74559" w:rsidP="004E120D">
      <w:pPr>
        <w:pStyle w:val="BulletLevel2"/>
      </w:pPr>
      <w:r w:rsidRPr="0035143E">
        <w:t>being immunocompromised or being a household contact of someone who is immunocompromised</w:t>
      </w:r>
    </w:p>
    <w:p w14:paraId="75DFB23E" w14:textId="77777777" w:rsidR="00D74559" w:rsidRPr="0035143E" w:rsidRDefault="00D74559" w:rsidP="004E120D">
      <w:pPr>
        <w:pStyle w:val="BulletLevel2"/>
      </w:pPr>
      <w:r w:rsidRPr="0035143E">
        <w:t>under State or Territory Health Orders, and/or</w:t>
      </w:r>
    </w:p>
    <w:p w14:paraId="21C5E2D2" w14:textId="77777777" w:rsidR="00D74559" w:rsidRPr="0035143E" w:rsidRDefault="00D74559" w:rsidP="004E120D">
      <w:pPr>
        <w:pStyle w:val="BulletLevel2"/>
      </w:pPr>
      <w:r w:rsidRPr="0035143E">
        <w:t>other relevant health considerations.</w:t>
      </w:r>
    </w:p>
    <w:p w14:paraId="3F9B5FB1" w14:textId="295F65F6" w:rsidR="00D74559" w:rsidRDefault="00D74559" w:rsidP="006E2EF5">
      <w:r>
        <w:t xml:space="preserve">In addition, Providers may decide not to </w:t>
      </w:r>
      <w:r w:rsidR="00573FA6">
        <w:t>schedule</w:t>
      </w:r>
      <w:r>
        <w:t xml:space="preserve"> a face-to-face Initial Interview where a Participant has a history of </w:t>
      </w:r>
      <w:r w:rsidR="00FC78E1">
        <w:t>I</w:t>
      </w:r>
      <w:r>
        <w:t xml:space="preserve">ncidents and Managed Service Plans (including Services Australia </w:t>
      </w:r>
      <w:r w:rsidR="00FC78E1">
        <w:t>I</w:t>
      </w:r>
      <w:r>
        <w:t>ncidents and Managed Service Plans) and poses a risk to other Participants and Provider staff that cannot be managed at the Site.</w:t>
      </w:r>
    </w:p>
    <w:p w14:paraId="38237E2A" w14:textId="5D76C0C5" w:rsidR="005541F5" w:rsidRDefault="00D74559" w:rsidP="005541F5">
      <w:pPr>
        <w:pStyle w:val="DocumentaryEvidenceRequirement"/>
      </w:pPr>
      <w:r w:rsidRPr="004F4D8C">
        <w:t xml:space="preserve">Where </w:t>
      </w:r>
      <w:r w:rsidRPr="0E218120">
        <w:t xml:space="preserve">a Provider </w:t>
      </w:r>
      <w:r w:rsidRPr="004F4D8C">
        <w:t>determines</w:t>
      </w:r>
      <w:r w:rsidRPr="0E218120">
        <w:t xml:space="preserve"> face-to-face servicing is not appropriate for an Initial Interview, they must record why it is not suitable for the Participant, including what other alternative solutions were explored.</w:t>
      </w:r>
    </w:p>
    <w:p w14:paraId="46B2D521" w14:textId="136D22A9" w:rsidR="00D74559" w:rsidRDefault="00D74559" w:rsidP="006F727E">
      <w:pPr>
        <w:pStyle w:val="SystemStep"/>
      </w:pPr>
      <w:r w:rsidRPr="0E218120">
        <w:t xml:space="preserve">Providers must record their reasons </w:t>
      </w:r>
      <w:r w:rsidR="005541F5">
        <w:t>for not conducting the Initial Interview face-to-face using</w:t>
      </w:r>
      <w:r w:rsidRPr="0E218120">
        <w:t xml:space="preserve"> the </w:t>
      </w:r>
      <w:r w:rsidR="0074213D">
        <w:t>c</w:t>
      </w:r>
      <w:r w:rsidRPr="0E218120">
        <w:t xml:space="preserve">omments </w:t>
      </w:r>
      <w:r w:rsidR="005541F5">
        <w:t>functionality</w:t>
      </w:r>
      <w:r w:rsidRPr="0E218120">
        <w:t xml:space="preserve"> </w:t>
      </w:r>
      <w:r w:rsidR="005541F5">
        <w:t>in</w:t>
      </w:r>
      <w:r w:rsidRPr="0E218120">
        <w:t xml:space="preserve"> the </w:t>
      </w:r>
      <w:r w:rsidR="00EE4DD9">
        <w:t>Participant’s</w:t>
      </w:r>
      <w:r w:rsidR="00D432A7">
        <w:t xml:space="preserve"> Summary </w:t>
      </w:r>
      <w:r w:rsidR="004C0ED6">
        <w:t>o</w:t>
      </w:r>
      <w:r w:rsidR="00D432A7">
        <w:t xml:space="preserve">n the </w:t>
      </w:r>
      <w:r w:rsidRPr="0E218120">
        <w:t>Department's IT Systems.</w:t>
      </w:r>
    </w:p>
    <w:p w14:paraId="55A725EF" w14:textId="6BA41C9E" w:rsidR="00D74559" w:rsidRDefault="00D74559" w:rsidP="006D1645">
      <w:pPr>
        <w:pStyle w:val="Heading5"/>
      </w:pPr>
      <w:r>
        <w:t xml:space="preserve">Conducting </w:t>
      </w:r>
      <w:r w:rsidR="00F23845">
        <w:t>an</w:t>
      </w:r>
      <w:r>
        <w:t xml:space="preserve"> </w:t>
      </w:r>
      <w:r w:rsidRPr="53BE8163">
        <w:t>Initial Interview</w:t>
      </w:r>
    </w:p>
    <w:p w14:paraId="08671E97" w14:textId="77777777" w:rsidR="00D74559" w:rsidRDefault="00D74559" w:rsidP="006E2EF5">
      <w:r w:rsidRPr="002549E8">
        <w:rPr>
          <w:u w:val="single"/>
        </w:rPr>
        <w:t>In preparing for the Initial Interview</w:t>
      </w:r>
      <w:r>
        <w:t>, Providers must:</w:t>
      </w:r>
    </w:p>
    <w:p w14:paraId="770D3562" w14:textId="22F601BC" w:rsidR="00D74559" w:rsidRPr="0035143E" w:rsidRDefault="00D74559" w:rsidP="004E120D">
      <w:pPr>
        <w:pStyle w:val="BulletLevel1"/>
      </w:pPr>
      <w:r w:rsidRPr="0035143E">
        <w:t>check available information on the Department’s IT Systems</w:t>
      </w:r>
    </w:p>
    <w:p w14:paraId="50C5E916" w14:textId="4AE233E8" w:rsidR="00D74559" w:rsidRPr="0035143E" w:rsidRDefault="00D74559" w:rsidP="004E120D">
      <w:pPr>
        <w:pStyle w:val="BulletLevel1"/>
      </w:pPr>
      <w:r w:rsidRPr="0035143E">
        <w:t>contact the Participant, if possible, to check any accessibility requirements or reasonable adjustments (for example, assistance with parking or transport if attending face-to-face)</w:t>
      </w:r>
      <w:r w:rsidR="00667FC0">
        <w:t>,</w:t>
      </w:r>
      <w:r w:rsidRPr="0035143E">
        <w:t xml:space="preserve"> and</w:t>
      </w:r>
    </w:p>
    <w:p w14:paraId="538BCDD4" w14:textId="77777777" w:rsidR="00D74559" w:rsidRPr="0035143E" w:rsidRDefault="00D74559" w:rsidP="004E120D">
      <w:pPr>
        <w:pStyle w:val="BulletLevel1"/>
      </w:pPr>
      <w:r w:rsidRPr="0035143E">
        <w:t>organise access to an interpreter, where required.</w:t>
      </w:r>
    </w:p>
    <w:p w14:paraId="54F1D6F7" w14:textId="036FA9BE" w:rsidR="00944D59" w:rsidRPr="00FF26C6" w:rsidRDefault="002549E8" w:rsidP="00944D59">
      <w:pPr>
        <w:keepNext/>
      </w:pPr>
      <w:r>
        <w:rPr>
          <w:u w:val="single"/>
        </w:rPr>
        <w:t>At the start of the Initial Interview</w:t>
      </w:r>
      <w:r>
        <w:t>, the</w:t>
      </w:r>
      <w:r w:rsidR="00944D59" w:rsidRPr="00944D59">
        <w:t xml:space="preserve"> </w:t>
      </w:r>
      <w:r w:rsidR="00944D59">
        <w:t>Provider must:</w:t>
      </w:r>
    </w:p>
    <w:p w14:paraId="5CD0B2B9" w14:textId="77777777" w:rsidR="00D74559" w:rsidRPr="0035143E" w:rsidRDefault="00D74559" w:rsidP="004E120D">
      <w:pPr>
        <w:pStyle w:val="BulletLevel1"/>
      </w:pPr>
      <w:r w:rsidRPr="0035143E">
        <w:t>confirm the Participant’s identity</w:t>
      </w:r>
    </w:p>
    <w:p w14:paraId="4D6539C0" w14:textId="5467C34F" w:rsidR="00D74559" w:rsidRPr="0035143E" w:rsidRDefault="00D74559" w:rsidP="004E120D">
      <w:pPr>
        <w:pStyle w:val="BulletLevel1"/>
      </w:pPr>
      <w:r w:rsidRPr="0035143E">
        <w:t xml:space="preserve">explain the privacy policy for </w:t>
      </w:r>
      <w:r w:rsidR="00C74C33">
        <w:t>Inclusive Employment Australia</w:t>
      </w:r>
      <w:r w:rsidRPr="0035143E">
        <w:t>, including:</w:t>
      </w:r>
    </w:p>
    <w:p w14:paraId="3F654CB9" w14:textId="77777777" w:rsidR="00D74559" w:rsidRPr="0035143E" w:rsidRDefault="00D74559" w:rsidP="004E120D">
      <w:pPr>
        <w:pStyle w:val="BulletLevel2"/>
      </w:pPr>
      <w:r w:rsidRPr="0035143E">
        <w:t xml:space="preserve">why their </w:t>
      </w:r>
      <w:r w:rsidR="00AF11BB">
        <w:t>P</w:t>
      </w:r>
      <w:r>
        <w:t xml:space="preserve">ersonal </w:t>
      </w:r>
      <w:r w:rsidR="00AF11BB">
        <w:t>I</w:t>
      </w:r>
      <w:r>
        <w:t>nformation</w:t>
      </w:r>
      <w:r w:rsidRPr="0035143E">
        <w:t xml:space="preserve"> will be collected</w:t>
      </w:r>
    </w:p>
    <w:p w14:paraId="2C3D241C" w14:textId="77777777" w:rsidR="00D74559" w:rsidRPr="0035143E" w:rsidRDefault="00D74559" w:rsidP="004E120D">
      <w:pPr>
        <w:pStyle w:val="BulletLevel2"/>
      </w:pPr>
      <w:r w:rsidRPr="0035143E">
        <w:t>what information will be collected and why it is needed</w:t>
      </w:r>
    </w:p>
    <w:p w14:paraId="409F03EA" w14:textId="77777777" w:rsidR="00D74559" w:rsidRPr="0035143E" w:rsidRDefault="00D74559" w:rsidP="004E120D">
      <w:pPr>
        <w:pStyle w:val="BulletLevel2"/>
      </w:pPr>
      <w:r w:rsidRPr="0035143E">
        <w:t xml:space="preserve">organisations that may handle their </w:t>
      </w:r>
      <w:r w:rsidR="00ED405B">
        <w:t>P</w:t>
      </w:r>
      <w:r>
        <w:t xml:space="preserve">ersonal </w:t>
      </w:r>
      <w:r w:rsidR="00ED405B">
        <w:t>I</w:t>
      </w:r>
      <w:r>
        <w:t>nformation</w:t>
      </w:r>
      <w:r w:rsidRPr="0035143E">
        <w:t xml:space="preserve"> and why</w:t>
      </w:r>
    </w:p>
    <w:p w14:paraId="2F65F543" w14:textId="19F038C5" w:rsidR="00D74559" w:rsidRPr="0035143E" w:rsidRDefault="00D74559" w:rsidP="004E120D">
      <w:pPr>
        <w:pStyle w:val="BulletLevel2"/>
      </w:pPr>
      <w:r w:rsidRPr="0035143E">
        <w:t xml:space="preserve">that their consent is not required for </w:t>
      </w:r>
      <w:r w:rsidR="00ED405B">
        <w:t>P</w:t>
      </w:r>
      <w:r>
        <w:t xml:space="preserve">ersonal </w:t>
      </w:r>
      <w:r w:rsidR="00ED405B">
        <w:t>I</w:t>
      </w:r>
      <w:r>
        <w:t>nformation</w:t>
      </w:r>
      <w:r w:rsidRPr="0035143E">
        <w:t xml:space="preserve"> that is required by law</w:t>
      </w:r>
      <w:r w:rsidR="00DE4A71">
        <w:t>, and</w:t>
      </w:r>
    </w:p>
    <w:p w14:paraId="757EC93A" w14:textId="77777777" w:rsidR="00D74559" w:rsidRPr="0035143E" w:rsidRDefault="00D74559" w:rsidP="004E120D">
      <w:pPr>
        <w:pStyle w:val="BulletLevel2"/>
      </w:pPr>
      <w:r w:rsidRPr="0035143E">
        <w:t>how they can make a privacy complaint</w:t>
      </w:r>
    </w:p>
    <w:p w14:paraId="1BFAB7A0" w14:textId="178D35BA" w:rsidR="00D74559" w:rsidRPr="0035143E" w:rsidRDefault="00D74559" w:rsidP="004E120D">
      <w:pPr>
        <w:pStyle w:val="BulletLevel1"/>
      </w:pPr>
      <w:r w:rsidRPr="0035143E">
        <w:t xml:space="preserve">obtain a signed </w:t>
      </w:r>
      <w:r w:rsidRPr="005F4779">
        <w:rPr>
          <w:rStyle w:val="Hyperlink"/>
        </w:rPr>
        <w:t>Privacy Notification and Consent Form</w:t>
      </w:r>
      <w:r w:rsidR="005F4779" w:rsidRPr="005F4779">
        <w:rPr>
          <w:rStyle w:val="Hyperlink"/>
        </w:rPr>
        <w:t xml:space="preserve"> [LINK]</w:t>
      </w:r>
    </w:p>
    <w:p w14:paraId="14679C56" w14:textId="60BE60FE" w:rsidR="00587676" w:rsidRPr="0035143E" w:rsidRDefault="00587676" w:rsidP="00587676">
      <w:pPr>
        <w:pStyle w:val="BulletLevel1"/>
      </w:pPr>
      <w:r w:rsidRPr="0035143E">
        <w:t xml:space="preserve">confirm the Participant’s preferred </w:t>
      </w:r>
      <w:r>
        <w:t>Engagement</w:t>
      </w:r>
      <w:r w:rsidRPr="0035143E">
        <w:t xml:space="preserve"> Method</w:t>
      </w:r>
      <w:r>
        <w:t>(s)</w:t>
      </w:r>
      <w:r w:rsidRPr="0035143E">
        <w:t xml:space="preserve"> and preferred </w:t>
      </w:r>
      <w:r>
        <w:t>arrangements</w:t>
      </w:r>
      <w:r w:rsidRPr="0035143E">
        <w:t xml:space="preserve"> </w:t>
      </w:r>
      <w:r>
        <w:t>for</w:t>
      </w:r>
      <w:r w:rsidRPr="0035143E">
        <w:t xml:space="preserve"> </w:t>
      </w:r>
      <w:r>
        <w:t>Contacts</w:t>
      </w:r>
      <w:r w:rsidRPr="0035143E">
        <w:t xml:space="preserve"> i.e. </w:t>
      </w:r>
      <w:r>
        <w:t xml:space="preserve">face-to-face on Site or at an </w:t>
      </w:r>
      <w:r w:rsidRPr="0035143E">
        <w:t>agreed and appropriate outreach location (excluding the Participant’s Private Home or any Private Property)</w:t>
      </w:r>
      <w:r>
        <w:t>,</w:t>
      </w:r>
      <w:r w:rsidRPr="0035143E">
        <w:t xml:space="preserve"> by </w:t>
      </w:r>
      <w:r>
        <w:t>a phone call or videoconference.</w:t>
      </w:r>
    </w:p>
    <w:p w14:paraId="0618CC5C" w14:textId="77777777" w:rsidR="00587676" w:rsidRDefault="00D74559" w:rsidP="00FF4C6D">
      <w:pPr>
        <w:keepNext/>
      </w:pPr>
      <w:r w:rsidRPr="002549E8">
        <w:rPr>
          <w:u w:val="single"/>
        </w:rPr>
        <w:t>During the Initial Interview</w:t>
      </w:r>
      <w:r>
        <w:t>, the</w:t>
      </w:r>
      <w:r w:rsidR="00944D59">
        <w:t xml:space="preserve"> Provider must</w:t>
      </w:r>
      <w:r w:rsidR="00587676">
        <w:t>:</w:t>
      </w:r>
    </w:p>
    <w:p w14:paraId="71E9C084" w14:textId="6ECA7F9C" w:rsidR="00944D59" w:rsidRDefault="00944D59" w:rsidP="00587676">
      <w:pPr>
        <w:pStyle w:val="BulletLevel1"/>
      </w:pPr>
      <w:r>
        <w:t xml:space="preserve">ensure that the Participant is aware </w:t>
      </w:r>
      <w:r w:rsidRPr="0E218120">
        <w:t>Services the Provider can offer</w:t>
      </w:r>
      <w:r w:rsidR="00587676">
        <w:t>, including:</w:t>
      </w:r>
    </w:p>
    <w:p w14:paraId="23FF9373" w14:textId="6848BD79" w:rsidR="00D74559" w:rsidRPr="0035143E" w:rsidRDefault="2BDD726E" w:rsidP="00587676">
      <w:pPr>
        <w:pStyle w:val="BulletLevel2"/>
      </w:pPr>
      <w:r>
        <w:t xml:space="preserve">the </w:t>
      </w:r>
      <w:r w:rsidR="12990621">
        <w:t>O</w:t>
      </w:r>
      <w:r>
        <w:t xml:space="preserve">bjectives of the </w:t>
      </w:r>
      <w:r w:rsidR="00C74C33">
        <w:t>Inclusive Employment Australia</w:t>
      </w:r>
      <w:r w:rsidR="00DE4A71">
        <w:t>, and</w:t>
      </w:r>
    </w:p>
    <w:p w14:paraId="1C5F4008" w14:textId="51EE31AB" w:rsidR="00587676" w:rsidRPr="0035143E" w:rsidRDefault="00D74559" w:rsidP="004D0B27">
      <w:pPr>
        <w:pStyle w:val="BulletLevel2"/>
      </w:pPr>
      <w:r w:rsidRPr="0035143E">
        <w:t xml:space="preserve">the range of </w:t>
      </w:r>
      <w:r w:rsidR="005E1E63">
        <w:t>S</w:t>
      </w:r>
      <w:r>
        <w:t>ervices</w:t>
      </w:r>
      <w:r w:rsidRPr="0035143E">
        <w:t xml:space="preserve"> and support available as part of </w:t>
      </w:r>
      <w:r w:rsidR="00C74C33">
        <w:t>Inclusive Employment Australia</w:t>
      </w:r>
    </w:p>
    <w:p w14:paraId="06DE2A93" w14:textId="5183785E" w:rsidR="00D74559" w:rsidRPr="0035143E" w:rsidRDefault="00D74559" w:rsidP="004E120D">
      <w:pPr>
        <w:pStyle w:val="BulletLevel1"/>
      </w:pPr>
      <w:r w:rsidRPr="0035143E">
        <w:t xml:space="preserve">explain and provide a copy of the </w:t>
      </w:r>
      <w:r w:rsidRPr="005F4779">
        <w:rPr>
          <w:rStyle w:val="Hyperlink"/>
        </w:rPr>
        <w:t xml:space="preserve">Service Guarantee </w:t>
      </w:r>
      <w:r w:rsidR="005F4779" w:rsidRPr="005F4779">
        <w:rPr>
          <w:rStyle w:val="Hyperlink"/>
        </w:rPr>
        <w:t>[LINK]</w:t>
      </w:r>
      <w:r w:rsidR="005F4779">
        <w:t xml:space="preserve"> </w:t>
      </w:r>
      <w:r w:rsidRPr="005F4779">
        <w:t xml:space="preserve">and </w:t>
      </w:r>
      <w:r w:rsidRPr="005F4779">
        <w:rPr>
          <w:rStyle w:val="Hyperlink"/>
        </w:rPr>
        <w:t xml:space="preserve">Code of </w:t>
      </w:r>
      <w:r w:rsidR="00310DD5" w:rsidRPr="005F4779">
        <w:rPr>
          <w:rStyle w:val="Hyperlink"/>
        </w:rPr>
        <w:t>Conduct</w:t>
      </w:r>
      <w:r w:rsidR="005F4779" w:rsidRPr="005F4779">
        <w:rPr>
          <w:rStyle w:val="Hyperlink"/>
        </w:rPr>
        <w:t xml:space="preserve"> [LINK]</w:t>
      </w:r>
    </w:p>
    <w:p w14:paraId="1413F29E" w14:textId="5AF3CE49" w:rsidR="00D74559" w:rsidRPr="0035143E" w:rsidRDefault="00D74559" w:rsidP="004E120D">
      <w:pPr>
        <w:pStyle w:val="BulletLevel1"/>
      </w:pPr>
      <w:r w:rsidRPr="0035143E">
        <w:t>discuss the Participant’s experiences</w:t>
      </w:r>
      <w:r w:rsidR="00C20260">
        <w:t xml:space="preserve"> and personal circumstances</w:t>
      </w:r>
      <w:r w:rsidRPr="0035143E">
        <w:t>, workplace barriers, abilities, and aspirations</w:t>
      </w:r>
      <w:r w:rsidR="003A11E9">
        <w:t>,</w:t>
      </w:r>
      <w:r w:rsidRPr="0035143E">
        <w:t xml:space="preserve"> to develop an understanding of the support the person needs</w:t>
      </w:r>
    </w:p>
    <w:p w14:paraId="5C4F4720" w14:textId="77CC0BAC" w:rsidR="00D74559" w:rsidRDefault="00D74559" w:rsidP="004E120D">
      <w:pPr>
        <w:pStyle w:val="BulletLevel1"/>
      </w:pPr>
      <w:r w:rsidRPr="0035143E">
        <w:t>discuss whether the Participant is currently undertaking any Education and Training, paid Employment</w:t>
      </w:r>
      <w:r w:rsidR="008C240A">
        <w:t xml:space="preserve">, </w:t>
      </w:r>
      <w:r w:rsidRPr="0035143E">
        <w:t>Volunteer Work</w:t>
      </w:r>
      <w:r w:rsidR="008C240A">
        <w:t xml:space="preserve"> or other activities</w:t>
      </w:r>
    </w:p>
    <w:p w14:paraId="5560541A" w14:textId="58A08C9F" w:rsidR="00AF6967" w:rsidRDefault="00D3519B" w:rsidP="0006371B">
      <w:pPr>
        <w:pStyle w:val="BulletLevel2"/>
      </w:pPr>
      <w:r>
        <w:t>f</w:t>
      </w:r>
      <w:r w:rsidR="00AF6967">
        <w:t xml:space="preserve">or Transferred Participants, this discussion may </w:t>
      </w:r>
      <w:r w:rsidR="00536B08">
        <w:t xml:space="preserve">also </w:t>
      </w:r>
      <w:r w:rsidR="00AF6967">
        <w:t>include a review of prior tasks and activities undertaken to meaningfully engage</w:t>
      </w:r>
    </w:p>
    <w:p w14:paraId="395C1756" w14:textId="4FAB9EC7" w:rsidR="008E2430" w:rsidRDefault="008E2430" w:rsidP="0006371B">
      <w:pPr>
        <w:pStyle w:val="BulletLevel2"/>
      </w:pPr>
      <w:r>
        <w:t>for Participants transferred from Other Employment Services, this discussion may also include a review of prior tasks and activities undertaken in their Job Plan or Goal Plan</w:t>
      </w:r>
    </w:p>
    <w:p w14:paraId="11BE6685" w14:textId="77777777" w:rsidR="00A5128E" w:rsidRPr="0035143E" w:rsidRDefault="00A5128E" w:rsidP="00A5128E">
      <w:pPr>
        <w:pStyle w:val="BulletLevel1"/>
      </w:pPr>
      <w:r w:rsidRPr="0035143E">
        <w:t>if deemed appropriate, provide:</w:t>
      </w:r>
    </w:p>
    <w:p w14:paraId="506FC226" w14:textId="77777777" w:rsidR="00A5128E" w:rsidRPr="0035143E" w:rsidRDefault="00A5128E" w:rsidP="00A5128E">
      <w:pPr>
        <w:pStyle w:val="BulletLevel2"/>
      </w:pPr>
      <w:r w:rsidRPr="0035143E">
        <w:t xml:space="preserve">an initial list of appropriate </w:t>
      </w:r>
      <w:r>
        <w:t>V</w:t>
      </w:r>
      <w:r w:rsidRPr="0035143E">
        <w:t>acancies</w:t>
      </w:r>
    </w:p>
    <w:p w14:paraId="6A7810BB" w14:textId="77777777" w:rsidR="00A5128E" w:rsidRPr="0035143E" w:rsidRDefault="00A5128E" w:rsidP="00A5128E">
      <w:pPr>
        <w:pStyle w:val="BulletLevel2"/>
      </w:pPr>
      <w:r w:rsidRPr="0035143E">
        <w:t xml:space="preserve">advice about the best ways to look for and find work and about local </w:t>
      </w:r>
      <w:r>
        <w:t>job</w:t>
      </w:r>
      <w:r w:rsidRPr="0035143E">
        <w:t xml:space="preserve"> opportunities</w:t>
      </w:r>
      <w:r>
        <w:t>,</w:t>
      </w:r>
      <w:r w:rsidRPr="0035143E">
        <w:t xml:space="preserve"> and</w:t>
      </w:r>
    </w:p>
    <w:p w14:paraId="1B26C97A" w14:textId="77777777" w:rsidR="00A5128E" w:rsidRPr="0035143E" w:rsidRDefault="00A5128E" w:rsidP="00A5128E">
      <w:pPr>
        <w:pStyle w:val="BulletLevel2"/>
      </w:pPr>
      <w:r w:rsidRPr="0035143E">
        <w:t>information about Skills Shortage areas</w:t>
      </w:r>
    </w:p>
    <w:p w14:paraId="3A0C043E" w14:textId="77777777" w:rsidR="00A5128E" w:rsidRPr="00413E48" w:rsidRDefault="00A5128E" w:rsidP="00A5128E">
      <w:pPr>
        <w:pStyle w:val="BulletLevel1"/>
      </w:pPr>
      <w:r w:rsidRPr="0E218120">
        <w:t>explain the consequences of not participating appropriately in Services:</w:t>
      </w:r>
    </w:p>
    <w:p w14:paraId="7A0B9DD4" w14:textId="77777777" w:rsidR="00A5128E" w:rsidRPr="00FA5350" w:rsidRDefault="00A5128E" w:rsidP="00A5128E">
      <w:pPr>
        <w:pStyle w:val="BulletLevel2"/>
      </w:pPr>
      <w:r w:rsidRPr="00FA5350">
        <w:t>for Participants (Mutual Obligation), explain their rights and obligations under the Social Security Law</w:t>
      </w:r>
      <w:r>
        <w:t>, the TCF,</w:t>
      </w:r>
      <w:r w:rsidRPr="00FA5350">
        <w:t xml:space="preserve"> and the consequences of not meeting their Mutual Obligation Requirements</w:t>
      </w:r>
    </w:p>
    <w:p w14:paraId="2AB2D005" w14:textId="2E9CAF21" w:rsidR="00A5128E" w:rsidRDefault="00A5128E" w:rsidP="00A5128E">
      <w:pPr>
        <w:pStyle w:val="BulletLevel2"/>
      </w:pPr>
      <w:r w:rsidRPr="00FA5350">
        <w:t xml:space="preserve">for DSP Recipients (Compulsory Requirements), explain their rights and </w:t>
      </w:r>
      <w:r w:rsidR="006B5D94">
        <w:t>responsibilities</w:t>
      </w:r>
      <w:r w:rsidRPr="00FA5350">
        <w:t xml:space="preserve"> under the Social Security Law and the consequences of not participating in accordance with their Job Plan</w:t>
      </w:r>
    </w:p>
    <w:p w14:paraId="28E308FD" w14:textId="77777777" w:rsidR="00A5128E" w:rsidRPr="00FA5350" w:rsidRDefault="00A5128E" w:rsidP="00A5128E">
      <w:pPr>
        <w:pStyle w:val="BulletLevel2"/>
      </w:pPr>
      <w:r w:rsidRPr="00FA5350">
        <w:t>for Participants (Mutual Obligation)</w:t>
      </w:r>
      <w:r>
        <w:t xml:space="preserve"> and </w:t>
      </w:r>
      <w:r w:rsidRPr="00FA5350">
        <w:t>DSP Recipients (Compulsory Requirements),</w:t>
      </w:r>
      <w:r>
        <w:t xml:space="preserve"> explain that they may be compelled by their </w:t>
      </w:r>
      <w:r w:rsidRPr="00C1692D">
        <w:t>Provider</w:t>
      </w:r>
      <w:r>
        <w:t xml:space="preserve"> </w:t>
      </w:r>
      <w:r w:rsidRPr="00C1692D">
        <w:t xml:space="preserve">to attend a </w:t>
      </w:r>
      <w:r>
        <w:t xml:space="preserve">compulsory </w:t>
      </w:r>
      <w:r w:rsidRPr="00C1692D">
        <w:t xml:space="preserve">Contact Appointment if </w:t>
      </w:r>
      <w:r>
        <w:t>they do not satisfy the Meaningful Engagement</w:t>
      </w:r>
      <w:r w:rsidRPr="00C1692D">
        <w:t xml:space="preserve"> Requirement</w:t>
      </w:r>
      <w:r>
        <w:t xml:space="preserve"> and are not in contact with the Provider</w:t>
      </w:r>
    </w:p>
    <w:p w14:paraId="28DC9C17" w14:textId="6532F679" w:rsidR="00A5128E" w:rsidRPr="00FA5350" w:rsidRDefault="00A5128E" w:rsidP="00A5128E">
      <w:pPr>
        <w:pStyle w:val="BulletLevel2"/>
      </w:pPr>
      <w:r w:rsidRPr="00FA5350">
        <w:t xml:space="preserve">for Participants with a pending DSP claim, explain how their participation in </w:t>
      </w:r>
      <w:r w:rsidR="00C74C33">
        <w:t>Inclusive Employment Australia</w:t>
      </w:r>
      <w:r w:rsidRPr="00FA5350">
        <w:t xml:space="preserve"> as their Program of Support can affect their eligibility for the DSP, and</w:t>
      </w:r>
    </w:p>
    <w:p w14:paraId="325CF174" w14:textId="77777777" w:rsidR="00A5128E" w:rsidRPr="00FA5350" w:rsidRDefault="00A5128E" w:rsidP="00A5128E">
      <w:pPr>
        <w:pStyle w:val="BulletLevel2"/>
      </w:pPr>
      <w:r w:rsidRPr="00FA5350">
        <w:t>for Participants (Voluntary) explain the consequences of not participating appropriately, and</w:t>
      </w:r>
    </w:p>
    <w:p w14:paraId="04657CED" w14:textId="17307112" w:rsidR="009334F7" w:rsidRDefault="00A5128E" w:rsidP="00D3519B">
      <w:pPr>
        <w:pStyle w:val="BulletLevel1"/>
      </w:pPr>
      <w:r w:rsidRPr="00FA5350">
        <w:t>identify a date and time to book the next Contact Appointment.</w:t>
      </w:r>
    </w:p>
    <w:p w14:paraId="6CC2BD33" w14:textId="0260ABB1" w:rsidR="00377701" w:rsidRDefault="00FF4C6D" w:rsidP="0020577B">
      <w:pPr>
        <w:pStyle w:val="BulletLevel1"/>
        <w:keepNext/>
        <w:numPr>
          <w:ilvl w:val="0"/>
          <w:numId w:val="0"/>
        </w:numPr>
      </w:pPr>
      <w:r w:rsidRPr="00FF4C6D">
        <w:rPr>
          <w:u w:val="single"/>
        </w:rPr>
        <w:t>By the end of the Initial Interview</w:t>
      </w:r>
      <w:r>
        <w:t>, the Provider must:</w:t>
      </w:r>
    </w:p>
    <w:p w14:paraId="6C386704" w14:textId="109A0EF9" w:rsidR="00A5128E" w:rsidRDefault="00A5128E" w:rsidP="0020577B">
      <w:pPr>
        <w:pStyle w:val="BulletLevel1"/>
        <w:keepNext/>
      </w:pPr>
      <w:r w:rsidRPr="0035143E">
        <w:t xml:space="preserve">explain the purpose </w:t>
      </w:r>
      <w:r>
        <w:t>of a Job Plan</w:t>
      </w:r>
    </w:p>
    <w:p w14:paraId="613BAAD7" w14:textId="5C3B5BAA" w:rsidR="00D3519B" w:rsidRDefault="00536B08" w:rsidP="00D3519B">
      <w:pPr>
        <w:pStyle w:val="BulletLevel1"/>
      </w:pPr>
      <w:r>
        <w:t>prepare o</w:t>
      </w:r>
      <w:r w:rsidR="00153964">
        <w:t>r</w:t>
      </w:r>
      <w:r>
        <w:t xml:space="preserve"> update a Job Plan</w:t>
      </w:r>
      <w:r w:rsidR="00D17BB9">
        <w:t xml:space="preserve"> and explain the contents of the </w:t>
      </w:r>
      <w:r w:rsidR="00D92A18">
        <w:t>Job Plan</w:t>
      </w:r>
      <w:r>
        <w:t>, noting:</w:t>
      </w:r>
    </w:p>
    <w:p w14:paraId="3DE6FF34" w14:textId="047E7FA7" w:rsidR="0047145C" w:rsidRDefault="0047145C" w:rsidP="00D17BB9">
      <w:pPr>
        <w:pStyle w:val="BulletLevel2"/>
      </w:pPr>
      <w:r>
        <w:t xml:space="preserve">if </w:t>
      </w:r>
      <w:r w:rsidR="009F5652">
        <w:t>entering into</w:t>
      </w:r>
      <w:r>
        <w:t xml:space="preserve"> a </w:t>
      </w:r>
      <w:r w:rsidR="00C70AF6">
        <w:t xml:space="preserve">Meaningful </w:t>
      </w:r>
      <w:r w:rsidR="00C70AF6" w:rsidRPr="00153964">
        <w:t>Engagement</w:t>
      </w:r>
      <w:r w:rsidR="00C70AF6">
        <w:t xml:space="preserve"> Job Plan</w:t>
      </w:r>
      <w:r w:rsidR="009334F7">
        <w:t>:</w:t>
      </w:r>
    </w:p>
    <w:p w14:paraId="4D4A306F" w14:textId="31B8CA7E" w:rsidR="00615A21" w:rsidRDefault="00615A21" w:rsidP="00DE72C0">
      <w:pPr>
        <w:pStyle w:val="BulletLevel3"/>
      </w:pPr>
      <w:r>
        <w:t xml:space="preserve">the </w:t>
      </w:r>
      <w:r w:rsidRPr="0035143E">
        <w:t>Meaningful Engagement Job Plan only include</w:t>
      </w:r>
      <w:r w:rsidR="000D6B3B">
        <w:t>s</w:t>
      </w:r>
      <w:r w:rsidRPr="0035143E">
        <w:t xml:space="preserve"> the Meaningful Engagement Requirement –— refer to </w:t>
      </w:r>
      <w:r w:rsidR="00915167">
        <w:rPr>
          <w:highlight w:val="yellow"/>
        </w:rPr>
        <w:fldChar w:fldCharType="begin"/>
      </w:r>
      <w:r w:rsidR="00915167">
        <w:instrText xml:space="preserve"> REF _Ref202784280 \h </w:instrText>
      </w:r>
      <w:r w:rsidR="00915167">
        <w:rPr>
          <w:highlight w:val="yellow"/>
        </w:rPr>
      </w:r>
      <w:r w:rsidR="00915167">
        <w:rPr>
          <w:highlight w:val="yellow"/>
        </w:rPr>
        <w:fldChar w:fldCharType="separate"/>
      </w:r>
      <w:r w:rsidR="000D75AE">
        <w:t>4.</w:t>
      </w:r>
      <w:r w:rsidR="000D75AE" w:rsidRPr="005753C1">
        <w:t>6</w:t>
      </w:r>
      <w:r w:rsidR="0097189E">
        <w:t xml:space="preserve"> </w:t>
      </w:r>
      <w:r w:rsidR="000D75AE">
        <w:t>Contents of a Meaningful Engagement Job Plan</w:t>
      </w:r>
      <w:r w:rsidR="00915167">
        <w:rPr>
          <w:highlight w:val="yellow"/>
        </w:rPr>
        <w:fldChar w:fldCharType="end"/>
      </w:r>
    </w:p>
    <w:p w14:paraId="201C021B" w14:textId="17BF0310" w:rsidR="00F15A4F" w:rsidRDefault="00E75495" w:rsidP="00DE72C0">
      <w:pPr>
        <w:pStyle w:val="BulletLevel3"/>
      </w:pPr>
      <w:r>
        <w:t>provide</w:t>
      </w:r>
      <w:r w:rsidR="00F15A4F">
        <w:t xml:space="preserve"> a copy of the </w:t>
      </w:r>
      <w:r w:rsidR="00355679" w:rsidRPr="005F4779">
        <w:rPr>
          <w:rStyle w:val="Hyperlink"/>
        </w:rPr>
        <w:t>Meaningful Engagement Fact Sheet</w:t>
      </w:r>
      <w:r w:rsidR="005F4779" w:rsidRPr="005F4779">
        <w:rPr>
          <w:rStyle w:val="Hyperlink"/>
        </w:rPr>
        <w:t xml:space="preserve"> [LINK]</w:t>
      </w:r>
    </w:p>
    <w:p w14:paraId="3C74DECD" w14:textId="7957094D" w:rsidR="0047145C" w:rsidRDefault="0047145C" w:rsidP="00DE72C0">
      <w:pPr>
        <w:pStyle w:val="BulletLevel3"/>
      </w:pPr>
      <w:r w:rsidRPr="0035143E">
        <w:t xml:space="preserve">explain </w:t>
      </w:r>
      <w:r>
        <w:t>the M</w:t>
      </w:r>
      <w:r w:rsidRPr="0035143E">
        <w:t xml:space="preserve">eaningful </w:t>
      </w:r>
      <w:r>
        <w:t>E</w:t>
      </w:r>
      <w:r w:rsidRPr="0035143E">
        <w:t xml:space="preserve">ngagement </w:t>
      </w:r>
      <w:r>
        <w:t>Requirement</w:t>
      </w:r>
      <w:r w:rsidR="007B2885">
        <w:t xml:space="preserve"> and</w:t>
      </w:r>
      <w:r>
        <w:t xml:space="preserve"> expectations around how a Participant is to meaningfully engage and what happens if they cannot fully satisfy the requirement</w:t>
      </w:r>
      <w:r w:rsidR="004E0EE4">
        <w:t>, including that</w:t>
      </w:r>
      <w:r>
        <w:t>:</w:t>
      </w:r>
    </w:p>
    <w:p w14:paraId="511A17B3" w14:textId="64E5A314" w:rsidR="00DE72C0" w:rsidRDefault="0047145C" w:rsidP="0006371B">
      <w:pPr>
        <w:pStyle w:val="BulletLevel4"/>
      </w:pPr>
      <w:r w:rsidRPr="00FB1CD1">
        <w:t xml:space="preserve">the </w:t>
      </w:r>
      <w:r>
        <w:t>Participant is required to engage with their P</w:t>
      </w:r>
      <w:r w:rsidRPr="00FB1CD1">
        <w:t>rovider to prepare for, seek or maintain employment</w:t>
      </w:r>
      <w:r w:rsidR="00A07816">
        <w:t>”</w:t>
      </w:r>
    </w:p>
    <w:p w14:paraId="6A942D25" w14:textId="2EB6E49D" w:rsidR="0047145C" w:rsidRDefault="00DE72C0" w:rsidP="0021261E">
      <w:pPr>
        <w:pStyle w:val="BulletLevel4"/>
      </w:pPr>
      <w:r>
        <w:t>meaningful engagement will include</w:t>
      </w:r>
      <w:r w:rsidR="0047145C" w:rsidRPr="00FB1CD1">
        <w:t xml:space="preserve"> attendance at </w:t>
      </w:r>
      <w:r w:rsidR="00D12B83">
        <w:t>Provider A</w:t>
      </w:r>
      <w:r w:rsidR="0047145C" w:rsidRPr="00FB1CD1">
        <w:t>ppointments</w:t>
      </w:r>
      <w:r w:rsidR="000D05C1">
        <w:t>, other forms of Contact</w:t>
      </w:r>
      <w:r w:rsidR="0047145C" w:rsidRPr="00FB1CD1">
        <w:t xml:space="preserve"> and undertaking tasks and activities that help the Participant to achieve their </w:t>
      </w:r>
      <w:r>
        <w:t>E</w:t>
      </w:r>
      <w:r w:rsidR="0047145C" w:rsidRPr="00FB1CD1">
        <w:t xml:space="preserve">mployment </w:t>
      </w:r>
      <w:r>
        <w:t>G</w:t>
      </w:r>
      <w:r w:rsidR="0047145C" w:rsidRPr="00FB1CD1">
        <w:t>oal</w:t>
      </w:r>
    </w:p>
    <w:p w14:paraId="65839B72" w14:textId="1F67BA6E" w:rsidR="0021261E" w:rsidRDefault="0021261E" w:rsidP="0021261E">
      <w:pPr>
        <w:pStyle w:val="BulletLevel4"/>
      </w:pPr>
      <w:r>
        <w:t xml:space="preserve">for the </w:t>
      </w:r>
      <w:r w:rsidR="00BC32B8">
        <w:t>I</w:t>
      </w:r>
      <w:r>
        <w:t xml:space="preserve">nitial </w:t>
      </w:r>
      <w:r w:rsidR="00BC32B8">
        <w:t>E</w:t>
      </w:r>
      <w:r>
        <w:t>ngagement</w:t>
      </w:r>
      <w:r w:rsidR="00BC32B8">
        <w:t xml:space="preserve"> P</w:t>
      </w:r>
      <w:r>
        <w:t xml:space="preserve">eriod, </w:t>
      </w:r>
      <w:r w:rsidR="0048600B">
        <w:t>the Participant needs only to stay in contact with the Provider</w:t>
      </w:r>
      <w:r w:rsidR="006508CF">
        <w:t xml:space="preserve"> (i.e. attend Contact Appointments)</w:t>
      </w:r>
    </w:p>
    <w:p w14:paraId="6E2D9425" w14:textId="52B8BB0D" w:rsidR="006018FD" w:rsidRPr="00697AFA" w:rsidRDefault="006018FD" w:rsidP="0021261E">
      <w:pPr>
        <w:pStyle w:val="BulletLevel4"/>
      </w:pPr>
      <w:r w:rsidRPr="00FD22B9">
        <w:rPr>
          <w:lang w:val="en-GB"/>
        </w:rPr>
        <w:t>Participant</w:t>
      </w:r>
      <w:r w:rsidR="00697AFA">
        <w:rPr>
          <w:lang w:val="en-GB"/>
        </w:rPr>
        <w:t>s</w:t>
      </w:r>
      <w:r w:rsidRPr="00FD22B9">
        <w:rPr>
          <w:lang w:val="en-GB"/>
        </w:rPr>
        <w:t xml:space="preserve"> who have a documented </w:t>
      </w:r>
      <w:r w:rsidR="009F5652">
        <w:rPr>
          <w:lang w:val="en-GB"/>
        </w:rPr>
        <w:t>P</w:t>
      </w:r>
      <w:r w:rsidRPr="00FD22B9">
        <w:rPr>
          <w:lang w:val="en-GB"/>
        </w:rPr>
        <w:t xml:space="preserve">eriod of </w:t>
      </w:r>
      <w:r w:rsidR="009F5652">
        <w:rPr>
          <w:lang w:val="en-GB"/>
        </w:rPr>
        <w:t>D</w:t>
      </w:r>
      <w:r w:rsidRPr="00FD22B9">
        <w:rPr>
          <w:lang w:val="en-GB"/>
        </w:rPr>
        <w:t xml:space="preserve">isengagement will be found to not be </w:t>
      </w:r>
      <w:r w:rsidR="000D05C1">
        <w:rPr>
          <w:lang w:val="en-GB"/>
        </w:rPr>
        <w:t>satisfying</w:t>
      </w:r>
      <w:r w:rsidRPr="00FD22B9">
        <w:rPr>
          <w:lang w:val="en-GB"/>
        </w:rPr>
        <w:t xml:space="preserve"> the </w:t>
      </w:r>
      <w:r w:rsidR="009F5652">
        <w:rPr>
          <w:lang w:val="en-GB"/>
        </w:rPr>
        <w:t>Meaningful Engagement</w:t>
      </w:r>
      <w:r w:rsidRPr="00FD22B9">
        <w:rPr>
          <w:lang w:val="en-GB"/>
        </w:rPr>
        <w:t xml:space="preserve"> Requirement</w:t>
      </w:r>
      <w:r w:rsidR="00545897">
        <w:rPr>
          <w:lang w:val="en-GB"/>
        </w:rPr>
        <w:t>, and</w:t>
      </w:r>
    </w:p>
    <w:p w14:paraId="53CA0C52" w14:textId="7CEF9F06" w:rsidR="00697AFA" w:rsidRDefault="00697AFA" w:rsidP="0021261E">
      <w:pPr>
        <w:pStyle w:val="BulletLevel4"/>
      </w:pPr>
      <w:r>
        <w:t>Participants who</w:t>
      </w:r>
      <w:r w:rsidR="000D05C1">
        <w:t xml:space="preserve"> have a documented </w:t>
      </w:r>
      <w:r w:rsidR="000D05C1">
        <w:rPr>
          <w:lang w:val="en-GB"/>
        </w:rPr>
        <w:t>P</w:t>
      </w:r>
      <w:r w:rsidR="000D05C1" w:rsidRPr="00FD22B9">
        <w:rPr>
          <w:lang w:val="en-GB"/>
        </w:rPr>
        <w:t xml:space="preserve">eriod of </w:t>
      </w:r>
      <w:r w:rsidR="000D05C1">
        <w:rPr>
          <w:lang w:val="en-GB"/>
        </w:rPr>
        <w:t>D</w:t>
      </w:r>
      <w:r w:rsidR="000D05C1" w:rsidRPr="00FD22B9">
        <w:rPr>
          <w:lang w:val="en-GB"/>
        </w:rPr>
        <w:t>isengagement</w:t>
      </w:r>
      <w:r w:rsidR="000D05C1">
        <w:rPr>
          <w:lang w:val="en-GB"/>
        </w:rPr>
        <w:t xml:space="preserve"> and are not fully satisfying the Meaningful Engagement Requirement will be required to entered into a Detailed Job Plan that lists</w:t>
      </w:r>
      <w:r w:rsidR="00621860">
        <w:rPr>
          <w:lang w:val="en-GB"/>
        </w:rPr>
        <w:t xml:space="preserve"> mandatory requirements</w:t>
      </w:r>
    </w:p>
    <w:p w14:paraId="428224E0" w14:textId="545D179D" w:rsidR="0047145C" w:rsidRDefault="009F5652" w:rsidP="009F5652">
      <w:pPr>
        <w:pStyle w:val="BulletLevel2"/>
      </w:pPr>
      <w:r>
        <w:t>i</w:t>
      </w:r>
      <w:r w:rsidR="009E14F6">
        <w:t xml:space="preserve">f </w:t>
      </w:r>
      <w:r>
        <w:t>entering into</w:t>
      </w:r>
      <w:r w:rsidR="009E14F6">
        <w:t xml:space="preserve"> a </w:t>
      </w:r>
      <w:r>
        <w:t xml:space="preserve">Detailed </w:t>
      </w:r>
      <w:r w:rsidR="009E14F6">
        <w:t>Job Plan</w:t>
      </w:r>
      <w:r w:rsidR="00FE75D6">
        <w:t>:</w:t>
      </w:r>
    </w:p>
    <w:p w14:paraId="3A7F0AAF" w14:textId="193D196B" w:rsidR="00C149E0" w:rsidRDefault="007943B2" w:rsidP="00621860">
      <w:pPr>
        <w:pStyle w:val="BulletLevel3"/>
      </w:pPr>
      <w:r>
        <w:t>the Detailed</w:t>
      </w:r>
      <w:r w:rsidRPr="0035143E">
        <w:t xml:space="preserve"> Job Plan </w:t>
      </w:r>
      <w:r>
        <w:t>need only include the pre-populated requirements</w:t>
      </w:r>
      <w:r w:rsidRPr="0035143E">
        <w:t xml:space="preserve"> –— refer to </w:t>
      </w:r>
      <w:r w:rsidR="00477076">
        <w:fldChar w:fldCharType="begin"/>
      </w:r>
      <w:r w:rsidR="00477076">
        <w:instrText xml:space="preserve"> REF _Ref202784317 \h </w:instrText>
      </w:r>
      <w:r w:rsidR="00477076">
        <w:fldChar w:fldCharType="separate"/>
      </w:r>
      <w:r w:rsidR="000D75AE">
        <w:t>4.7</w:t>
      </w:r>
      <w:r w:rsidR="0097189E">
        <w:t xml:space="preserve"> </w:t>
      </w:r>
      <w:r w:rsidR="000D75AE">
        <w:t>Contents of a Detailed Job Plan</w:t>
      </w:r>
      <w:r w:rsidR="00477076">
        <w:fldChar w:fldCharType="end"/>
      </w:r>
    </w:p>
    <w:p w14:paraId="00D3DB64" w14:textId="4B5CF706" w:rsidR="007943B2" w:rsidRDefault="00B32098" w:rsidP="00621860">
      <w:pPr>
        <w:pStyle w:val="BulletLevel3"/>
      </w:pPr>
      <w:r>
        <w:t>the Detailed Job Plan can be adjusted based on the Participant’s previous Job Plan</w:t>
      </w:r>
      <w:r w:rsidR="004518A8">
        <w:t xml:space="preserve"> and any notes a Relinquishing Provider has added in the Program Summary</w:t>
      </w:r>
      <w:r w:rsidR="00545897">
        <w:t>, and</w:t>
      </w:r>
    </w:p>
    <w:p w14:paraId="190E244B" w14:textId="4B4E0B27" w:rsidR="00BC3EF3" w:rsidRDefault="00BC3EF3" w:rsidP="00621860">
      <w:pPr>
        <w:pStyle w:val="BulletLevel3"/>
      </w:pPr>
      <w:r>
        <w:t xml:space="preserve">tasks and activities </w:t>
      </w:r>
      <w:r w:rsidR="00545897">
        <w:t>are to</w:t>
      </w:r>
      <w:r>
        <w:t xml:space="preserve"> be reviewed over the Initial Engagement Period</w:t>
      </w:r>
    </w:p>
    <w:p w14:paraId="78B9D065" w14:textId="3C70BF86" w:rsidR="00D74559" w:rsidRPr="00FF26C6" w:rsidRDefault="00910F51" w:rsidP="004E120D">
      <w:pPr>
        <w:pStyle w:val="BulletLevel2"/>
      </w:pPr>
      <w:r>
        <w:t xml:space="preserve">the Provider </w:t>
      </w:r>
      <w:r w:rsidRPr="00910F51">
        <w:rPr>
          <w:u w:val="single"/>
        </w:rPr>
        <w:t>must not</w:t>
      </w:r>
      <w:r>
        <w:t xml:space="preserve"> </w:t>
      </w:r>
      <w:r w:rsidR="00D74559" w:rsidRPr="0E218120">
        <w:t xml:space="preserve">enter into a Job Plan if there is a Centrelink Job Plan — these </w:t>
      </w:r>
      <w:r w:rsidR="00C5127B">
        <w:t>Participants</w:t>
      </w:r>
      <w:r w:rsidR="00306EF7">
        <w:t>’</w:t>
      </w:r>
      <w:r w:rsidR="00C5127B">
        <w:t xml:space="preserve"> Job Plans</w:t>
      </w:r>
      <w:r w:rsidR="00D74559" w:rsidRPr="0E218120">
        <w:t xml:space="preserve"> are managed by Services Australia</w:t>
      </w:r>
    </w:p>
    <w:p w14:paraId="111C63E8" w14:textId="7867BF6F" w:rsidR="00951150" w:rsidRDefault="00951150" w:rsidP="00951150">
      <w:pPr>
        <w:pStyle w:val="DeedReferences"/>
      </w:pPr>
      <w:r>
        <w:t xml:space="preserve">(Deed Reference(s): Clause </w:t>
      </w:r>
      <w:r w:rsidR="00471F29">
        <w:t xml:space="preserve">112, </w:t>
      </w:r>
      <w:r>
        <w:t>113.1, 113.3)</w:t>
      </w:r>
    </w:p>
    <w:p w14:paraId="1BE5A25E" w14:textId="4320A967" w:rsidR="00C666C5" w:rsidRDefault="00D74559" w:rsidP="00C77A73">
      <w:pPr>
        <w:pStyle w:val="SystemStep"/>
      </w:pPr>
      <w:r w:rsidRPr="00FA5350">
        <w:t xml:space="preserve">Providers must record a result of ‘Attended’ for the Initial Interview </w:t>
      </w:r>
      <w:r w:rsidR="00F9277F">
        <w:t xml:space="preserve">in the Participant’s </w:t>
      </w:r>
      <w:r w:rsidR="004C0ED6">
        <w:t>E</w:t>
      </w:r>
      <w:r w:rsidR="00F9277F">
        <w:t xml:space="preserve">lectronic </w:t>
      </w:r>
      <w:r w:rsidR="004C0ED6">
        <w:t>C</w:t>
      </w:r>
      <w:r w:rsidR="00F9277F">
        <w:t xml:space="preserve">alendar </w:t>
      </w:r>
      <w:r w:rsidRPr="00FA5350">
        <w:t>by close of business the day the person attends it.</w:t>
      </w:r>
    </w:p>
    <w:p w14:paraId="0267A22E" w14:textId="74456E34" w:rsidR="004C0ED6" w:rsidRDefault="004C0ED6" w:rsidP="004C0ED6">
      <w:pPr>
        <w:pStyle w:val="DocumentaryEvidenceRequirement"/>
      </w:pPr>
      <w:r>
        <w:t>Providers</w:t>
      </w:r>
      <w:r w:rsidRPr="0E218120">
        <w:t xml:space="preserve"> must record </w:t>
      </w:r>
      <w:r>
        <w:t xml:space="preserve">the Participant’s preferred Engagement Methods </w:t>
      </w:r>
      <w:r w:rsidRPr="0035143E">
        <w:t>and preferred method</w:t>
      </w:r>
      <w:r w:rsidR="00F16857">
        <w:t xml:space="preserve"> </w:t>
      </w:r>
      <w:r>
        <w:t>for</w:t>
      </w:r>
      <w:r w:rsidRPr="0035143E">
        <w:t xml:space="preserve"> </w:t>
      </w:r>
      <w:r>
        <w:t>Contacts, and update as circumstances change</w:t>
      </w:r>
      <w:r w:rsidRPr="0E218120">
        <w:t>.</w:t>
      </w:r>
    </w:p>
    <w:p w14:paraId="5CC55E7B" w14:textId="3E87AD0A" w:rsidR="004C0ED6" w:rsidRDefault="004C0ED6" w:rsidP="004C0ED6">
      <w:pPr>
        <w:pStyle w:val="SystemStep"/>
      </w:pPr>
      <w:r w:rsidRPr="0E218120">
        <w:t xml:space="preserve">Providers </w:t>
      </w:r>
      <w:r w:rsidR="00307554">
        <w:t>may</w:t>
      </w:r>
      <w:r w:rsidR="00E418C6">
        <w:t xml:space="preserve"> </w:t>
      </w:r>
      <w:r w:rsidR="00942DB8">
        <w:t>use</w:t>
      </w:r>
      <w:r w:rsidRPr="0E218120">
        <w:t xml:space="preserve"> the </w:t>
      </w:r>
      <w:r>
        <w:t>c</w:t>
      </w:r>
      <w:r w:rsidRPr="0E218120">
        <w:t xml:space="preserve">omments </w:t>
      </w:r>
      <w:r>
        <w:t>functionality</w:t>
      </w:r>
      <w:r w:rsidRPr="0E218120">
        <w:t xml:space="preserve"> </w:t>
      </w:r>
      <w:r>
        <w:t>in</w:t>
      </w:r>
      <w:r w:rsidRPr="0E218120">
        <w:t xml:space="preserve"> the </w:t>
      </w:r>
      <w:r w:rsidR="003E2F18">
        <w:t>Participant’s</w:t>
      </w:r>
      <w:r>
        <w:t xml:space="preserve"> Summary </w:t>
      </w:r>
      <w:r w:rsidR="00C047CF">
        <w:t>o</w:t>
      </w:r>
      <w:r>
        <w:t xml:space="preserve">n the </w:t>
      </w:r>
      <w:r w:rsidRPr="0E218120">
        <w:t xml:space="preserve">Department's IT Systems </w:t>
      </w:r>
      <w:r w:rsidR="003E2F18">
        <w:t xml:space="preserve">to capture preferred Engagement Methods and </w:t>
      </w:r>
      <w:r w:rsidR="00B57549">
        <w:t xml:space="preserve">preferred </w:t>
      </w:r>
      <w:r w:rsidR="00942DB8">
        <w:t>arrangements for Contact Appointments</w:t>
      </w:r>
      <w:r w:rsidRPr="0E218120">
        <w:t>.</w:t>
      </w:r>
    </w:p>
    <w:p w14:paraId="507297C7" w14:textId="77777777" w:rsidR="00D74559" w:rsidRPr="00FF26C6" w:rsidRDefault="00D74559" w:rsidP="006D1645">
      <w:pPr>
        <w:pStyle w:val="Heading5"/>
      </w:pPr>
      <w:r w:rsidRPr="00FF26C6">
        <w:t>Privacy Notification and Consent</w:t>
      </w:r>
      <w:r>
        <w:t xml:space="preserve"> Form</w:t>
      </w:r>
    </w:p>
    <w:p w14:paraId="57359358" w14:textId="184272C6" w:rsidR="00D74559" w:rsidRDefault="00D74559" w:rsidP="006E2EF5">
      <w:r w:rsidRPr="0E218120">
        <w:t xml:space="preserve">The Provider must give each Participant the Privacy Notification and Consent Form and seek express written consent to collect their </w:t>
      </w:r>
      <w:r w:rsidR="00014FB2">
        <w:t>S</w:t>
      </w:r>
      <w:r>
        <w:t xml:space="preserve">ensitive </w:t>
      </w:r>
      <w:r w:rsidR="00014FB2">
        <w:t>I</w:t>
      </w:r>
      <w:r>
        <w:t>nformation</w:t>
      </w:r>
      <w:r w:rsidRPr="0E218120">
        <w:t xml:space="preserve"> by asking the </w:t>
      </w:r>
      <w:r>
        <w:t>Participant</w:t>
      </w:r>
      <w:r w:rsidRPr="0E218120">
        <w:t xml:space="preserve"> to sign it. The form ensure the Participant is aware of the types of </w:t>
      </w:r>
      <w:r w:rsidR="00470357">
        <w:t>P</w:t>
      </w:r>
      <w:r>
        <w:t xml:space="preserve">ersonal </w:t>
      </w:r>
      <w:r w:rsidR="00470357">
        <w:t>I</w:t>
      </w:r>
      <w:r>
        <w:t>nformation</w:t>
      </w:r>
      <w:r w:rsidRPr="0E218120">
        <w:t xml:space="preserve"> they may be required to provide and how this information will be used and disclosed.</w:t>
      </w:r>
    </w:p>
    <w:p w14:paraId="3D627FF2" w14:textId="77777777" w:rsidR="00D74559" w:rsidRDefault="00D74559" w:rsidP="006E2EF5">
      <w:r w:rsidRPr="00FF26C6">
        <w:t xml:space="preserve">This </w:t>
      </w:r>
      <w:r>
        <w:t>must</w:t>
      </w:r>
      <w:r w:rsidRPr="00FF26C6">
        <w:t xml:space="preserve"> be done at the Initial Interview</w:t>
      </w:r>
      <w:r>
        <w:t>, if not already completed as part of the Direct Registration process</w:t>
      </w:r>
      <w:r w:rsidRPr="00FF26C6">
        <w:t>.</w:t>
      </w:r>
    </w:p>
    <w:p w14:paraId="06D32CC0" w14:textId="35C45D9E" w:rsidR="00D74559" w:rsidRPr="00FA5350" w:rsidRDefault="00D74559" w:rsidP="0079424A">
      <w:pPr>
        <w:pStyle w:val="DocumentaryEvidenceRequirement"/>
      </w:pPr>
      <w:r w:rsidRPr="00FA5350">
        <w:t xml:space="preserve">Providers must keep the signed Privacy Notification and Consent Form, as described in Records Management Instructions outlined in </w:t>
      </w:r>
      <w:r w:rsidRPr="00572630">
        <w:rPr>
          <w:rStyle w:val="Hyperlink"/>
        </w:rPr>
        <w:t xml:space="preserve">Part A Guidelines: Chapter </w:t>
      </w:r>
      <w:r w:rsidR="0086302A" w:rsidRPr="00572630">
        <w:rPr>
          <w:rStyle w:val="Hyperlink"/>
        </w:rPr>
        <w:t>6</w:t>
      </w:r>
      <w:r w:rsidRPr="00572630">
        <w:rPr>
          <w:rStyle w:val="Hyperlink"/>
        </w:rPr>
        <w:t>: Privacy</w:t>
      </w:r>
      <w:r w:rsidR="005F4779" w:rsidRPr="00572630">
        <w:rPr>
          <w:rStyle w:val="Hyperlink"/>
        </w:rPr>
        <w:t xml:space="preserve"> [LINK]</w:t>
      </w:r>
      <w:r w:rsidRPr="00FA5350">
        <w:t>.</w:t>
      </w:r>
    </w:p>
    <w:p w14:paraId="6E688050" w14:textId="77777777" w:rsidR="00D74559" w:rsidRPr="00FF26C6" w:rsidRDefault="00D74559" w:rsidP="006D1645">
      <w:pPr>
        <w:pStyle w:val="Heading5"/>
      </w:pPr>
      <w:r w:rsidRPr="00FF26C6">
        <w:t>Proof of Identity</w:t>
      </w:r>
    </w:p>
    <w:p w14:paraId="3A0F709A" w14:textId="77777777" w:rsidR="00D74559" w:rsidRDefault="00D74559" w:rsidP="006E2EF5">
      <w:r>
        <w:t>The Provider must sight proof of identity acceptable documentation at the Initial Interview. A copy of this documentation must not be kept.</w:t>
      </w:r>
    </w:p>
    <w:p w14:paraId="7D5FA161" w14:textId="78570B73" w:rsidR="00D74559" w:rsidRDefault="00D74559" w:rsidP="006E2EF5">
      <w:r w:rsidRPr="0E218120">
        <w:t xml:space="preserve">If an Initial Interview is conducted </w:t>
      </w:r>
      <w:r w:rsidR="005B4B5D">
        <w:t xml:space="preserve">via a </w:t>
      </w:r>
      <w:r w:rsidR="00D9789A">
        <w:t>phone</w:t>
      </w:r>
      <w:r w:rsidR="005B4B5D">
        <w:t xml:space="preserve"> call or videoconference</w:t>
      </w:r>
      <w:r w:rsidRPr="0E218120">
        <w:t>, the Participant must email their identity documents to the Provider. The Provider must not keep this information and must delete the email once the Participant has been Commenced in the Service.</w:t>
      </w:r>
    </w:p>
    <w:p w14:paraId="58BEF37C" w14:textId="784C8F80" w:rsidR="00D74559" w:rsidRDefault="00D74559" w:rsidP="006E2EF5">
      <w:r>
        <w:t>A list of acceptable documents is included in</w:t>
      </w:r>
      <w:r w:rsidR="00166AE4">
        <w:t xml:space="preserve"> </w:t>
      </w:r>
      <w:r w:rsidR="00166AE4">
        <w:fldChar w:fldCharType="begin"/>
      </w:r>
      <w:r w:rsidR="00166AE4">
        <w:instrText xml:space="preserve"> REF _Ref202784370 \h </w:instrText>
      </w:r>
      <w:r w:rsidR="00166AE4">
        <w:fldChar w:fldCharType="separate"/>
      </w:r>
      <w:r w:rsidR="00166AE4">
        <w:fldChar w:fldCharType="end"/>
      </w:r>
      <w:r>
        <w:t>.</w:t>
      </w:r>
    </w:p>
    <w:p w14:paraId="308FAF98" w14:textId="77777777" w:rsidR="00D74559" w:rsidRDefault="00D74559" w:rsidP="006D1645">
      <w:pPr>
        <w:pStyle w:val="Heading5"/>
      </w:pPr>
      <w:r>
        <w:t>Third-party attendance</w:t>
      </w:r>
    </w:p>
    <w:p w14:paraId="13502201" w14:textId="65986B9F" w:rsidR="00D74559" w:rsidRPr="00C45FF4" w:rsidRDefault="00D74559" w:rsidP="006E2EF5">
      <w:r w:rsidRPr="0E218120">
        <w:t xml:space="preserve">At any Appointment, including the Initial Interview, the Participant may wish to have a third-party attend. This may include </w:t>
      </w:r>
      <w:r w:rsidR="00484CD5">
        <w:t>a</w:t>
      </w:r>
      <w:r w:rsidRPr="0E218120">
        <w:t xml:space="preserve"> Family Member or carer(s), support person and/or an advocate. Providers should accommodate third-party attendance, unless the third-party demonstrates challenging behaviours.</w:t>
      </w:r>
    </w:p>
    <w:p w14:paraId="1C46DFE3" w14:textId="77777777" w:rsidR="00D25F0E" w:rsidRDefault="00D25F0E" w:rsidP="00D25F0E">
      <w:pPr>
        <w:pStyle w:val="Heading5"/>
      </w:pPr>
      <w:r>
        <w:t>Warm Handovers for Transferred Participants</w:t>
      </w:r>
    </w:p>
    <w:p w14:paraId="6607BF5C" w14:textId="2C2A1737" w:rsidR="00D25F0E" w:rsidRDefault="00D25F0E" w:rsidP="00D25F0E">
      <w:r w:rsidRPr="0E218120">
        <w:t>When a Participant transfer</w:t>
      </w:r>
      <w:r>
        <w:t>s</w:t>
      </w:r>
      <w:r w:rsidRPr="0E218120">
        <w:t xml:space="preserve"> </w:t>
      </w:r>
      <w:r>
        <w:t>from one Provider to another</w:t>
      </w:r>
      <w:r w:rsidRPr="0E218120">
        <w:t xml:space="preserve">, </w:t>
      </w:r>
      <w:r>
        <w:t>the Participant must be given the option to participate in a Warm Handover as part of their Initial Interview.</w:t>
      </w:r>
      <w:r w:rsidR="00AE761B">
        <w:t xml:space="preserve"> Details on the Warm Handover process are included under</w:t>
      </w:r>
      <w:r w:rsidR="00166AE4">
        <w:t xml:space="preserve"> </w:t>
      </w:r>
      <w:r w:rsidR="00B11451">
        <w:fldChar w:fldCharType="begin"/>
      </w:r>
      <w:r w:rsidR="00B11451">
        <w:instrText xml:space="preserve"> REF _Ref202784407 \h </w:instrText>
      </w:r>
      <w:r w:rsidR="00B11451">
        <w:fldChar w:fldCharType="separate"/>
      </w:r>
      <w:r w:rsidR="000D75AE">
        <w:t>3.4Transfers</w:t>
      </w:r>
      <w:r w:rsidR="00B11451">
        <w:fldChar w:fldCharType="end"/>
      </w:r>
      <w:r w:rsidR="00AE761B">
        <w:t>.</w:t>
      </w:r>
    </w:p>
    <w:p w14:paraId="5D7C978A" w14:textId="77777777" w:rsidR="0022314B" w:rsidRDefault="0022314B" w:rsidP="0022314B">
      <w:pPr>
        <w:pStyle w:val="Heading5"/>
      </w:pPr>
      <w:r>
        <w:t>Participants transitioning from Other Employment Services</w:t>
      </w:r>
    </w:p>
    <w:p w14:paraId="0FCE612D" w14:textId="77777777" w:rsidR="0022314B" w:rsidRPr="00C15D7B" w:rsidRDefault="0022314B" w:rsidP="0022314B">
      <w:r w:rsidRPr="0E218120">
        <w:t>Providers may be requested to assist with the transition of a Participant from Other Employment Services.</w:t>
      </w:r>
    </w:p>
    <w:p w14:paraId="7B72BF3B" w14:textId="77777777" w:rsidR="0022314B" w:rsidRPr="00860866" w:rsidRDefault="0022314B" w:rsidP="0022314B">
      <w:pPr>
        <w:rPr>
          <w:u w:val="single"/>
        </w:rPr>
      </w:pPr>
      <w:r w:rsidRPr="00860866">
        <w:rPr>
          <w:u w:val="single"/>
        </w:rPr>
        <w:t>Parent Pathways</w:t>
      </w:r>
    </w:p>
    <w:p w14:paraId="7C1F2A00" w14:textId="77777777" w:rsidR="0022314B" w:rsidRDefault="0022314B" w:rsidP="0022314B">
      <w:r w:rsidRPr="0E218120">
        <w:t>Parents of young children (under 6 years of age) can volunteer to participate in the Parent Pathways service. This service provides a ‘mentor’ to support Participants as they undertake early intervention pre-employment support to help them work towards and achieve goals to improve their future economic security.</w:t>
      </w:r>
    </w:p>
    <w:p w14:paraId="529B2DAC" w14:textId="560A618B" w:rsidR="0022314B" w:rsidRDefault="0022314B" w:rsidP="0022314B">
      <w:r w:rsidRPr="0E218120">
        <w:t>When a parent’s youngest child turns 6 years old, they are no longer eligible for Parent Pathways. At this time, some parents may have Mutual Obligation Requirement</w:t>
      </w:r>
      <w:r>
        <w:t>s</w:t>
      </w:r>
      <w:r w:rsidRPr="0E218120">
        <w:t xml:space="preserve"> and be required to participate in employment services, including </w:t>
      </w:r>
      <w:r w:rsidR="00C74C33">
        <w:t>Inclusive Employment Australia</w:t>
      </w:r>
      <w:r w:rsidRPr="0E218120">
        <w:t xml:space="preserve">. In this case, parents will be Referred by Services Australia to </w:t>
      </w:r>
      <w:r w:rsidR="00C74C33">
        <w:t>Inclusive Employment Australia</w:t>
      </w:r>
      <w:r w:rsidRPr="0E218120">
        <w:t xml:space="preserve"> after they have exited Parent Pathways.</w:t>
      </w:r>
    </w:p>
    <w:p w14:paraId="2633FA13" w14:textId="40139FF5" w:rsidR="0022314B" w:rsidRDefault="0022314B" w:rsidP="0022314B">
      <w:r w:rsidRPr="0E218120">
        <w:t xml:space="preserve">As part of the transition from Parent Pathways, the parent may choose to have a Warm Handover meeting as part of their Initial Interview. In this instance, a Warm Handover means a meeting between the </w:t>
      </w:r>
      <w:r w:rsidR="00C74C33">
        <w:t>Inclusive Employment Australia</w:t>
      </w:r>
      <w:r w:rsidR="00ED3C6D">
        <w:t xml:space="preserve"> </w:t>
      </w:r>
      <w:r w:rsidRPr="0E218120">
        <w:t>Provider, Participant, and the Participant’s former Parent Pathways mentor.</w:t>
      </w:r>
    </w:p>
    <w:p w14:paraId="330D7588" w14:textId="2C97A6DA" w:rsidR="0022314B" w:rsidRDefault="0022314B" w:rsidP="0022314B">
      <w:pPr>
        <w:rPr>
          <w:rFonts w:eastAsiaTheme="minorEastAsia"/>
        </w:rPr>
      </w:pPr>
      <w:r w:rsidRPr="0E218120">
        <w:rPr>
          <w:rFonts w:eastAsiaTheme="minorEastAsia"/>
        </w:rPr>
        <w:t xml:space="preserve">Warm Handovers are optional. </w:t>
      </w:r>
      <w:r w:rsidRPr="0E218120">
        <w:t xml:space="preserve">The Participant has responsibility for advising their Parent </w:t>
      </w:r>
      <w:r w:rsidRPr="0E218120">
        <w:rPr>
          <w:rFonts w:eastAsiaTheme="minorEastAsia"/>
        </w:rPr>
        <w:t>Pathways mentor of the Initial Interview appointment details.</w:t>
      </w:r>
    </w:p>
    <w:p w14:paraId="236B35EE" w14:textId="77777777" w:rsidR="007D4F4C" w:rsidRDefault="00DF7C0E" w:rsidP="0022314B">
      <w:pPr>
        <w:rPr>
          <w:rFonts w:eastAsiaTheme="minorEastAsia"/>
        </w:rPr>
      </w:pPr>
      <w:r>
        <w:rPr>
          <w:rFonts w:eastAsiaTheme="minorEastAsia"/>
        </w:rPr>
        <w:t xml:space="preserve">During the Warm Handover, the Provider should </w:t>
      </w:r>
      <w:r w:rsidR="007D4F4C">
        <w:rPr>
          <w:rFonts w:eastAsiaTheme="minorEastAsia"/>
        </w:rPr>
        <w:t>take</w:t>
      </w:r>
      <w:r>
        <w:rPr>
          <w:rFonts w:eastAsiaTheme="minorEastAsia"/>
        </w:rPr>
        <w:t xml:space="preserve"> note</w:t>
      </w:r>
      <w:r w:rsidR="007D4F4C">
        <w:rPr>
          <w:rFonts w:eastAsiaTheme="minorEastAsia"/>
        </w:rPr>
        <w:t>, if shared,</w:t>
      </w:r>
      <w:r>
        <w:rPr>
          <w:rFonts w:eastAsiaTheme="minorEastAsia"/>
        </w:rPr>
        <w:t xml:space="preserve"> of</w:t>
      </w:r>
      <w:r w:rsidR="007D4F4C">
        <w:rPr>
          <w:rFonts w:eastAsiaTheme="minorEastAsia"/>
        </w:rPr>
        <w:t>:</w:t>
      </w:r>
    </w:p>
    <w:p w14:paraId="0B209E0C" w14:textId="3E87EEB6" w:rsidR="00DF7C0E" w:rsidRDefault="00DF7C0E" w:rsidP="007D4F4C">
      <w:pPr>
        <w:pStyle w:val="BulletLevel1"/>
        <w:rPr>
          <w:rFonts w:eastAsiaTheme="minorEastAsia"/>
        </w:rPr>
      </w:pPr>
      <w:r>
        <w:t>the Participant’s Employment Goals</w:t>
      </w:r>
      <w:r w:rsidR="007D4F4C" w:rsidRPr="007D4F4C">
        <w:t xml:space="preserve"> </w:t>
      </w:r>
      <w:r w:rsidR="007D4F4C">
        <w:t>as captured by their Parent Pathways Goal Plan</w:t>
      </w:r>
    </w:p>
    <w:p w14:paraId="183BAA27" w14:textId="77777777" w:rsidR="0022314B" w:rsidRPr="0035143E" w:rsidRDefault="0022314B" w:rsidP="0022314B">
      <w:pPr>
        <w:pStyle w:val="BulletLevel1"/>
      </w:pPr>
      <w:r w:rsidRPr="0035143E">
        <w:t>any Activities the Participant was undertaking while in the Parent Pathways service, and</w:t>
      </w:r>
    </w:p>
    <w:p w14:paraId="43FB57E9" w14:textId="77777777" w:rsidR="0022314B" w:rsidRDefault="0022314B" w:rsidP="0022314B">
      <w:pPr>
        <w:pStyle w:val="BulletLevel1"/>
      </w:pPr>
      <w:r w:rsidRPr="0035143E">
        <w:t>details of the Participant’s achievements and progress during Parent Pathways.</w:t>
      </w:r>
    </w:p>
    <w:p w14:paraId="5815830C" w14:textId="7AC313CD" w:rsidR="00136BF3" w:rsidRDefault="007D4F4C" w:rsidP="00136BF3">
      <w:r>
        <w:t xml:space="preserve">This information would </w:t>
      </w:r>
      <w:r w:rsidR="00136BF3">
        <w:t xml:space="preserve">be used to </w:t>
      </w:r>
      <w:r>
        <w:t xml:space="preserve">inform the Employment Goal </w:t>
      </w:r>
      <w:r w:rsidR="00136BF3">
        <w:t>captured in the Participant’s Job Plan and suitable</w:t>
      </w:r>
      <w:r w:rsidR="00136BF3" w:rsidRPr="00136BF3">
        <w:t xml:space="preserve"> </w:t>
      </w:r>
      <w:r w:rsidR="00136BF3">
        <w:t>tasks and activities discussed</w:t>
      </w:r>
      <w:r w:rsidR="00136BF3" w:rsidRPr="00136BF3">
        <w:t xml:space="preserve"> </w:t>
      </w:r>
      <w:r w:rsidR="00136BF3">
        <w:t>as part of the plan for meaningful engagement during the Initial Engagement Period.</w:t>
      </w:r>
    </w:p>
    <w:p w14:paraId="0435344B" w14:textId="77777777" w:rsidR="00D74559" w:rsidRDefault="00D74559" w:rsidP="006D1645">
      <w:pPr>
        <w:pStyle w:val="Heading5"/>
      </w:pPr>
      <w:r w:rsidRPr="0E218120">
        <w:t>Additional considerations for NDIS participants</w:t>
      </w:r>
    </w:p>
    <w:p w14:paraId="0823D001" w14:textId="127A8573" w:rsidR="00D74559" w:rsidRDefault="00D74559" w:rsidP="006E2EF5">
      <w:r w:rsidRPr="0E218120">
        <w:t xml:space="preserve">Providers should seek to confirm at the Initial Interview if a Participant Referred to them is </w:t>
      </w:r>
      <w:r w:rsidR="003D2BA4" w:rsidRPr="0E218120">
        <w:t>a</w:t>
      </w:r>
      <w:r w:rsidRPr="0E218120">
        <w:t xml:space="preserve"> NDIS </w:t>
      </w:r>
      <w:r w:rsidR="00B44326">
        <w:t>p</w:t>
      </w:r>
      <w:r w:rsidRPr="0E218120">
        <w:t xml:space="preserve">articipant, however, </w:t>
      </w:r>
      <w:r w:rsidR="00FE594D">
        <w:t xml:space="preserve">the Provider </w:t>
      </w:r>
      <w:r w:rsidRPr="0E218120">
        <w:t xml:space="preserve">must make it clear that it is up to the Participant whether </w:t>
      </w:r>
      <w:r w:rsidR="00733C4D">
        <w:t xml:space="preserve">or not </w:t>
      </w:r>
      <w:r w:rsidRPr="0E218120">
        <w:t>they disclose this information.</w:t>
      </w:r>
    </w:p>
    <w:p w14:paraId="60EF7706" w14:textId="49E0267B" w:rsidR="00D74559" w:rsidRPr="00C73129" w:rsidRDefault="00D74559" w:rsidP="00FA5350">
      <w:r w:rsidRPr="0E218120">
        <w:rPr>
          <w:b/>
          <w:bCs/>
        </w:rPr>
        <w:t xml:space="preserve">Note: </w:t>
      </w:r>
      <w:r w:rsidRPr="00D811AB">
        <w:t xml:space="preserve">If </w:t>
      </w:r>
      <w:r>
        <w:t>the</w:t>
      </w:r>
      <w:r w:rsidRPr="0E218120">
        <w:t xml:space="preserve"> Participant </w:t>
      </w:r>
      <w:r>
        <w:t>is using</w:t>
      </w:r>
      <w:r w:rsidR="00D74480">
        <w:t xml:space="preserve"> the</w:t>
      </w:r>
      <w:r>
        <w:t xml:space="preserve"> specific eligibility </w:t>
      </w:r>
      <w:r w:rsidR="001D019A">
        <w:t>criteria</w:t>
      </w:r>
      <w:r>
        <w:t xml:space="preserve"> for NDIS </w:t>
      </w:r>
      <w:r w:rsidR="00B44326">
        <w:t>p</w:t>
      </w:r>
      <w:r>
        <w:t xml:space="preserve">articipants to enter </w:t>
      </w:r>
      <w:r w:rsidR="00C74C33">
        <w:t>Inclusive Employment Australia</w:t>
      </w:r>
      <w:r w:rsidR="00D74480">
        <w:t xml:space="preserve"> (outlined in</w:t>
      </w:r>
      <w:r w:rsidR="00FA58DB">
        <w:t xml:space="preserve"> </w:t>
      </w:r>
      <w:r w:rsidR="00E12BF6">
        <w:fldChar w:fldCharType="begin"/>
      </w:r>
      <w:r w:rsidR="00E12BF6">
        <w:instrText xml:space="preserve"> REF _Ref202784436 \h </w:instrText>
      </w:r>
      <w:r w:rsidR="00E12BF6">
        <w:fldChar w:fldCharType="separate"/>
      </w:r>
      <w:r w:rsidR="00E12BF6">
        <w:t xml:space="preserve">1.3.3 </w:t>
      </w:r>
      <w:r w:rsidR="00E12BF6" w:rsidRPr="00FF753D">
        <w:t xml:space="preserve">NDIS </w:t>
      </w:r>
      <w:r w:rsidR="00E12BF6">
        <w:t>p</w:t>
      </w:r>
      <w:r w:rsidR="00E12BF6" w:rsidRPr="00FF753D">
        <w:t>articipants</w:t>
      </w:r>
      <w:r w:rsidR="00E12BF6">
        <w:fldChar w:fldCharType="end"/>
      </w:r>
      <w:r w:rsidR="00FA58DB">
        <w:rPr>
          <w:highlight w:val="yellow"/>
        </w:rPr>
        <w:fldChar w:fldCharType="begin"/>
      </w:r>
      <w:r w:rsidR="00FA58DB">
        <w:instrText xml:space="preserve"> REF _Ref202784436 \h </w:instrText>
      </w:r>
      <w:r w:rsidR="00FA58DB">
        <w:rPr>
          <w:highlight w:val="yellow"/>
        </w:rPr>
      </w:r>
      <w:r w:rsidR="00FA58DB">
        <w:rPr>
          <w:highlight w:val="yellow"/>
        </w:rPr>
        <w:fldChar w:fldCharType="separate"/>
      </w:r>
      <w:r w:rsidR="00FA58DB">
        <w:rPr>
          <w:highlight w:val="yellow"/>
        </w:rPr>
        <w:fldChar w:fldCharType="end"/>
      </w:r>
      <w:r w:rsidR="00D74480">
        <w:t>)</w:t>
      </w:r>
      <w:r>
        <w:t>, the Participant must</w:t>
      </w:r>
      <w:r w:rsidRPr="0E218120">
        <w:t xml:space="preserve"> have </w:t>
      </w:r>
      <w:r>
        <w:t xml:space="preserve">shown </w:t>
      </w:r>
      <w:r w:rsidR="001637F7">
        <w:t>evidence of their NDIS plan or eligibility for NDIS supports</w:t>
      </w:r>
      <w:r w:rsidRPr="0E218120">
        <w:t xml:space="preserve"> during the Direct Registration process.</w:t>
      </w:r>
    </w:p>
    <w:p w14:paraId="5DB61804" w14:textId="249BEFBC" w:rsidR="00D74559" w:rsidRDefault="00D74559" w:rsidP="00FA5350">
      <w:r>
        <w:t xml:space="preserve">Providers may ask the Participant about their NDIS plan </w:t>
      </w:r>
      <w:r w:rsidR="00966458">
        <w:t>to</w:t>
      </w:r>
      <w:r>
        <w:t xml:space="preserve"> develop Services that support the Participant’s needs. It is up to the Participant to choose </w:t>
      </w:r>
      <w:r w:rsidR="00966458">
        <w:t>if</w:t>
      </w:r>
      <w:r>
        <w:t xml:space="preserve"> they would like to share their plan with anyone other than </w:t>
      </w:r>
      <w:r w:rsidR="002F7EF5">
        <w:t xml:space="preserve">their </w:t>
      </w:r>
      <w:r>
        <w:t xml:space="preserve">NDIS provider who </w:t>
      </w:r>
      <w:r w:rsidR="00966458">
        <w:t xml:space="preserve">they </w:t>
      </w:r>
      <w:r>
        <w:t>have an active service booking with. If the Participant provides a copy of the</w:t>
      </w:r>
      <w:r w:rsidR="00CD2E2B">
        <w:t>ir NDIS</w:t>
      </w:r>
      <w:r>
        <w:t xml:space="preserve"> plan, the Provider must not keep </w:t>
      </w:r>
      <w:r w:rsidR="00B32339">
        <w:t xml:space="preserve">a copy of </w:t>
      </w:r>
      <w:r>
        <w:t xml:space="preserve">the </w:t>
      </w:r>
      <w:r w:rsidR="00B32339">
        <w:t xml:space="preserve">NDIS </w:t>
      </w:r>
      <w:r>
        <w:t>plan.</w:t>
      </w:r>
    </w:p>
    <w:p w14:paraId="2DC42E71" w14:textId="3FD6FAFF" w:rsidR="00D74559" w:rsidRDefault="00D74559" w:rsidP="00FA5350">
      <w:pPr>
        <w:rPr>
          <w:rFonts w:eastAsiaTheme="minorEastAsia"/>
        </w:rPr>
      </w:pPr>
      <w:r w:rsidRPr="1FEC7C07">
        <w:rPr>
          <w:rFonts w:eastAsiaTheme="minorEastAsia"/>
        </w:rPr>
        <w:t xml:space="preserve">A Participant may wish to include </w:t>
      </w:r>
      <w:r w:rsidR="002F7EF5" w:rsidRPr="1FEC7C07">
        <w:rPr>
          <w:rFonts w:eastAsiaTheme="minorEastAsia"/>
        </w:rPr>
        <w:t>a</w:t>
      </w:r>
      <w:r>
        <w:rPr>
          <w:rFonts w:eastAsiaTheme="minorEastAsia"/>
        </w:rPr>
        <w:t xml:space="preserve"> NDIS </w:t>
      </w:r>
      <w:r w:rsidRPr="1FEC7C07">
        <w:rPr>
          <w:rFonts w:eastAsiaTheme="minorEastAsia"/>
        </w:rPr>
        <w:t>partner or provider at the</w:t>
      </w:r>
      <w:r w:rsidR="006E4140">
        <w:rPr>
          <w:rFonts w:eastAsiaTheme="minorEastAsia"/>
        </w:rPr>
        <w:t>ir</w:t>
      </w:r>
      <w:r w:rsidRPr="1FEC7C07">
        <w:rPr>
          <w:rFonts w:eastAsiaTheme="minorEastAsia"/>
        </w:rPr>
        <w:t xml:space="preserve"> next </w:t>
      </w:r>
      <w:r w:rsidR="00573FA6">
        <w:rPr>
          <w:rFonts w:eastAsiaTheme="minorEastAsia"/>
        </w:rPr>
        <w:t>schedule</w:t>
      </w:r>
      <w:r w:rsidRPr="1FEC7C07">
        <w:rPr>
          <w:rFonts w:eastAsiaTheme="minorEastAsia"/>
        </w:rPr>
        <w:t xml:space="preserve">d appointment. This could be the Local Area Coordinator, the Participant’s support coordinator, their NDIS employment service provider or other party. The Participant has responsibility to advise those they invite of the appointment details. </w:t>
      </w:r>
    </w:p>
    <w:p w14:paraId="5A36687C" w14:textId="4A93CEC6" w:rsidR="00D74559" w:rsidRDefault="00D74559" w:rsidP="00FA5350">
      <w:r w:rsidRPr="051AA98C">
        <w:rPr>
          <w:rFonts w:eastAsiaTheme="minorEastAsia"/>
        </w:rPr>
        <w:t>The purpose of seeking to meet with a NDIS representative is to ensure all parties are working collaboratively towards support</w:t>
      </w:r>
      <w:r w:rsidR="00A97823">
        <w:rPr>
          <w:rFonts w:eastAsiaTheme="minorEastAsia"/>
        </w:rPr>
        <w:t>ing</w:t>
      </w:r>
      <w:r w:rsidRPr="051AA98C">
        <w:rPr>
          <w:rFonts w:eastAsiaTheme="minorEastAsia"/>
        </w:rPr>
        <w:t xml:space="preserve"> the Participant’s Employment Goals and gain clarity on </w:t>
      </w:r>
      <w:r w:rsidR="00A97823">
        <w:rPr>
          <w:rFonts w:eastAsiaTheme="minorEastAsia"/>
        </w:rPr>
        <w:t>Participant</w:t>
      </w:r>
      <w:r w:rsidRPr="051AA98C">
        <w:rPr>
          <w:rFonts w:eastAsiaTheme="minorEastAsia"/>
        </w:rPr>
        <w:t xml:space="preserve"> supports </w:t>
      </w:r>
      <w:r w:rsidR="00A97823">
        <w:rPr>
          <w:rFonts w:eastAsiaTheme="minorEastAsia"/>
        </w:rPr>
        <w:t>to</w:t>
      </w:r>
      <w:r w:rsidRPr="051AA98C">
        <w:rPr>
          <w:rFonts w:eastAsiaTheme="minorEastAsia"/>
        </w:rPr>
        <w:t xml:space="preserve"> be delivered under </w:t>
      </w:r>
      <w:r w:rsidR="00A97823">
        <w:rPr>
          <w:rFonts w:eastAsiaTheme="minorEastAsia"/>
        </w:rPr>
        <w:t>either</w:t>
      </w:r>
      <w:r w:rsidRPr="051AA98C">
        <w:rPr>
          <w:rFonts w:eastAsiaTheme="minorEastAsia"/>
        </w:rPr>
        <w:t xml:space="preserve"> </w:t>
      </w:r>
      <w:r w:rsidR="00C74C33">
        <w:t>Inclusive Employment Australia</w:t>
      </w:r>
      <w:r w:rsidRPr="051AA98C">
        <w:rPr>
          <w:rFonts w:eastAsiaTheme="minorEastAsia"/>
        </w:rPr>
        <w:t xml:space="preserve"> or NDIS.</w:t>
      </w:r>
    </w:p>
    <w:p w14:paraId="7453492A" w14:textId="0B63219A" w:rsidR="00D74559" w:rsidRDefault="00D74559" w:rsidP="001D0F92">
      <w:pPr>
        <w:pStyle w:val="Heading4"/>
      </w:pPr>
      <w:bookmarkStart w:id="105" w:name="_Toc202899907"/>
      <w:r w:rsidRPr="362FEA09">
        <w:t>3.2.3</w:t>
      </w:r>
      <w:r w:rsidR="003F6B39">
        <w:tab/>
      </w:r>
      <w:r w:rsidRPr="362FEA09">
        <w:t>Steps when a Participant fails to Commence</w:t>
      </w:r>
      <w:bookmarkEnd w:id="105"/>
    </w:p>
    <w:p w14:paraId="3A2AD495" w14:textId="77777777" w:rsidR="00D74559" w:rsidRDefault="00D74559" w:rsidP="006D1645">
      <w:pPr>
        <w:pStyle w:val="Heading5"/>
      </w:pPr>
      <w:r>
        <w:t>Participants with participation requirements</w:t>
      </w:r>
    </w:p>
    <w:p w14:paraId="182A2994" w14:textId="77746208" w:rsidR="00D74559" w:rsidRDefault="00D74559" w:rsidP="006E2EF5">
      <w:r>
        <w:t xml:space="preserve">Once a Participant (Mutual Obligation) or DSP Recipient (Compulsory Requirements) is Referred to </w:t>
      </w:r>
      <w:r w:rsidR="00C74C33">
        <w:t>Inclusive Employment Australia</w:t>
      </w:r>
      <w:r>
        <w:t>, they must attend the Initial Interview, agree a Job Plan and Commence in the Program in order to continue receiving</w:t>
      </w:r>
      <w:r w:rsidRPr="00FF26C6">
        <w:t xml:space="preserve"> Income Support Payment</w:t>
      </w:r>
      <w:r>
        <w:t>s</w:t>
      </w:r>
      <w:r w:rsidRPr="00FF26C6">
        <w:t xml:space="preserve"> (other than a Participant receiving Parenting Payment)</w:t>
      </w:r>
      <w:r>
        <w:t>.</w:t>
      </w:r>
    </w:p>
    <w:p w14:paraId="4C9B485D" w14:textId="7764EAEE" w:rsidR="005C0EA5" w:rsidRDefault="005C0EA5" w:rsidP="006E2EF5">
      <w:r w:rsidRPr="00EB01D4">
        <w:rPr>
          <w:b/>
          <w:bCs/>
        </w:rPr>
        <w:t xml:space="preserve">Note: </w:t>
      </w:r>
      <w:r w:rsidR="00043588">
        <w:t xml:space="preserve">If there is a pause to </w:t>
      </w:r>
      <w:r w:rsidR="00274E67">
        <w:t>participation requirements</w:t>
      </w:r>
      <w:r w:rsidR="00043588">
        <w:t xml:space="preserve"> (</w:t>
      </w:r>
      <w:r w:rsidR="002B6459">
        <w:t>refer to</w:t>
      </w:r>
      <w:r w:rsidR="00043588">
        <w:t xml:space="preserve"> </w:t>
      </w:r>
      <w:r w:rsidR="0097189E">
        <w:fldChar w:fldCharType="begin"/>
      </w:r>
      <w:r w:rsidR="0097189E">
        <w:instrText xml:space="preserve"> REF _Ref202785097 \h </w:instrText>
      </w:r>
      <w:r w:rsidR="0097189E">
        <w:fldChar w:fldCharType="separate"/>
      </w:r>
      <w:r w:rsidR="0097189E">
        <w:t>5.2.1 Mutual Obligation Requirements</w:t>
      </w:r>
      <w:r w:rsidR="0097189E">
        <w:fldChar w:fldCharType="end"/>
      </w:r>
      <w:r w:rsidR="000B16F0">
        <w:fldChar w:fldCharType="begin"/>
      </w:r>
      <w:r w:rsidR="000B16F0">
        <w:instrText xml:space="preserve"> REF _Ref202785464 \h </w:instrText>
      </w:r>
      <w:r w:rsidR="000B16F0">
        <w:fldChar w:fldCharType="separate"/>
      </w:r>
      <w:r w:rsidR="000B16F0">
        <w:fldChar w:fldCharType="end"/>
      </w:r>
      <w:r w:rsidR="002B6459">
        <w:t xml:space="preserve"> and </w:t>
      </w:r>
      <w:r w:rsidR="000B16F0">
        <w:fldChar w:fldCharType="begin"/>
      </w:r>
      <w:r w:rsidR="000B16F0">
        <w:instrText xml:space="preserve"> REF _Ref202785466 \h </w:instrText>
      </w:r>
      <w:r w:rsidR="000B16F0">
        <w:fldChar w:fldCharType="separate"/>
      </w:r>
      <w:r w:rsidR="000D75AE">
        <w:t>5.2.2</w:t>
      </w:r>
      <w:r w:rsidR="0097189E">
        <w:t xml:space="preserve"> </w:t>
      </w:r>
      <w:r w:rsidR="000D75AE">
        <w:t>DSP compulsory participation requirements</w:t>
      </w:r>
      <w:r w:rsidR="000B16F0">
        <w:fldChar w:fldCharType="end"/>
      </w:r>
      <w:r w:rsidR="002B6459">
        <w:t xml:space="preserve"> for further information</w:t>
      </w:r>
      <w:r w:rsidR="00043588">
        <w:t>)</w:t>
      </w:r>
      <w:r w:rsidR="00EB01D4">
        <w:t>,</w:t>
      </w:r>
      <w:r w:rsidR="00043588">
        <w:t xml:space="preserve"> Participants (Mutual Obligation)</w:t>
      </w:r>
      <w:r w:rsidR="00E02244">
        <w:t xml:space="preserve"> </w:t>
      </w:r>
      <w:r w:rsidR="00274E67">
        <w:t xml:space="preserve">and DSP </w:t>
      </w:r>
      <w:r w:rsidR="0034656F">
        <w:t>Recipients</w:t>
      </w:r>
      <w:r w:rsidR="00274E67">
        <w:t xml:space="preserve"> (Compulsory Requirements)</w:t>
      </w:r>
      <w:r w:rsidR="009E2466">
        <w:t xml:space="preserve"> </w:t>
      </w:r>
      <w:r w:rsidR="00E02244">
        <w:t>will not be required to attend the Initial Interview. The Initial Interview will still show in the Participant’s Electronic Calendar, but if they don’t attend their Income Support Payment will not be affected.</w:t>
      </w:r>
      <w:r w:rsidR="005951D0">
        <w:t xml:space="preserve"> The Participant will need to attend to meet </w:t>
      </w:r>
      <w:r w:rsidR="0083794B">
        <w:t xml:space="preserve">their </w:t>
      </w:r>
      <w:r w:rsidR="0034656F">
        <w:t>participation requirements</w:t>
      </w:r>
      <w:r w:rsidR="00EB01D4">
        <w:t xml:space="preserve"> when the pause ends.</w:t>
      </w:r>
    </w:p>
    <w:p w14:paraId="7AF11213" w14:textId="75B54B47" w:rsidR="00D74559" w:rsidRDefault="00D74559" w:rsidP="006E2EF5">
      <w:r w:rsidRPr="0E218120">
        <w:t xml:space="preserve">If the Participant does not attend </w:t>
      </w:r>
      <w:r w:rsidR="00966458">
        <w:t>the</w:t>
      </w:r>
      <w:r w:rsidRPr="0E218120">
        <w:t xml:space="preserve"> Initial Interview, the Provider must attempt to contact the Participant within five Business Days to </w:t>
      </w:r>
      <w:r w:rsidR="00573FA6">
        <w:t>schedule</w:t>
      </w:r>
      <w:r w:rsidRPr="0E218120">
        <w:t xml:space="preserve"> another Initial Interview. </w:t>
      </w:r>
    </w:p>
    <w:p w14:paraId="0D4F582B" w14:textId="77777777" w:rsidR="00D74559" w:rsidRDefault="00D74559" w:rsidP="006E2EF5">
      <w:r w:rsidRPr="0E218120">
        <w:t>As part of scheduling another Initial Interview, Providers must issue a formal notification, to a Participant (Mutual Obligation) or DSP Recipient (Compulsory Requirements), and must advise the Participant of the consequences of failing to attend</w:t>
      </w:r>
      <w:r>
        <w:t>:</w:t>
      </w:r>
    </w:p>
    <w:p w14:paraId="37F62770" w14:textId="07A8E3AB" w:rsidR="00D74559" w:rsidRPr="00FA5350" w:rsidRDefault="00D74559" w:rsidP="004E120D">
      <w:pPr>
        <w:pStyle w:val="BulletLevel1"/>
      </w:pPr>
      <w:r w:rsidRPr="00FA5350">
        <w:t xml:space="preserve">that failure to attend the next Appointment may result in their Activity Tested Income Support </w:t>
      </w:r>
      <w:r w:rsidR="00ED3778">
        <w:t>P</w:t>
      </w:r>
      <w:r>
        <w:t>ayments</w:t>
      </w:r>
      <w:r w:rsidRPr="00FA5350">
        <w:t xml:space="preserve"> being suspended by Services Australia</w:t>
      </w:r>
    </w:p>
    <w:p w14:paraId="7953C7E7" w14:textId="77777777" w:rsidR="00D74559" w:rsidRPr="00FA5350" w:rsidRDefault="00D74559" w:rsidP="004E120D">
      <w:pPr>
        <w:pStyle w:val="BulletLevel1"/>
      </w:pPr>
      <w:r w:rsidRPr="00FA5350">
        <w:t>if the Participant attends their Initial Interview within 28 days of the payment suspension, their payments will be reinstated and backdated to the date of the suspension, and</w:t>
      </w:r>
    </w:p>
    <w:p w14:paraId="1E28EF6B" w14:textId="501DBE9C" w:rsidR="00D74559" w:rsidRPr="00FA5350" w:rsidRDefault="00D74559" w:rsidP="004E120D">
      <w:pPr>
        <w:pStyle w:val="BulletLevel1"/>
      </w:pPr>
      <w:r w:rsidRPr="00FA5350">
        <w:t xml:space="preserve">if the Participant fails to attend an appointment within 28 days of the </w:t>
      </w:r>
      <w:r w:rsidR="311D506E">
        <w:t>suspension</w:t>
      </w:r>
      <w:r w:rsidRPr="00FA5350">
        <w:t>, their payments will be cancelled. They will be Exited from employment services and may need to reapply Income Support payments.</w:t>
      </w:r>
    </w:p>
    <w:p w14:paraId="23759126" w14:textId="2EAA9485" w:rsidR="00D74559" w:rsidRDefault="00D74559" w:rsidP="006E2EF5">
      <w:r w:rsidRPr="00D269A9">
        <w:t>If a Participant provides a</w:t>
      </w:r>
      <w:r w:rsidR="009B3A90">
        <w:t>n</w:t>
      </w:r>
      <w:r w:rsidRPr="00D269A9">
        <w:t xml:space="preserve"> </w:t>
      </w:r>
      <w:r w:rsidR="00263911">
        <w:t>Acceptable</w:t>
      </w:r>
      <w:r w:rsidR="00263911" w:rsidRPr="00D269A9">
        <w:t xml:space="preserve"> </w:t>
      </w:r>
      <w:r w:rsidRPr="00D269A9">
        <w:t xml:space="preserve">Reason why they cannot attend </w:t>
      </w:r>
      <w:r>
        <w:t>the second</w:t>
      </w:r>
      <w:r w:rsidRPr="00D269A9">
        <w:t xml:space="preserve"> </w:t>
      </w:r>
      <w:r w:rsidR="00573FA6">
        <w:t>schedule</w:t>
      </w:r>
      <w:r w:rsidRPr="00D269A9">
        <w:t xml:space="preserve">d Initial Interview, the Provider must </w:t>
      </w:r>
      <w:r>
        <w:t>’Cancel’ or ’Re</w:t>
      </w:r>
      <w:r w:rsidR="00573FA6">
        <w:t>schedule</w:t>
      </w:r>
      <w:r>
        <w:t>’ the Initial Interview instead of resulting it as a ‘Did Not Attend’ in the Department’s IT Systems. The Provider must re</w:t>
      </w:r>
      <w:r w:rsidR="00573FA6">
        <w:t>schedule</w:t>
      </w:r>
      <w:r>
        <w:t xml:space="preserve"> the Initial Interview as soon as possible. Unless otherwise agreed with the Participant, a new Initial Interview should be made at least 48 hours into the future.</w:t>
      </w:r>
    </w:p>
    <w:p w14:paraId="704E17E6" w14:textId="3731122D" w:rsidR="00D74559" w:rsidRPr="00D06057" w:rsidRDefault="00D74559" w:rsidP="006E2EF5">
      <w:r w:rsidRPr="007867B2">
        <w:rPr>
          <w:u w:val="single"/>
        </w:rPr>
        <w:t>If a Participant (Mutual Obligation)</w:t>
      </w:r>
      <w:r w:rsidRPr="0E218120">
        <w:t xml:space="preserve"> does not attend the second </w:t>
      </w:r>
      <w:r w:rsidR="00573FA6">
        <w:t>schedule</w:t>
      </w:r>
      <w:r w:rsidRPr="0E218120">
        <w:t xml:space="preserve">d Initial Interview, and does not have a </w:t>
      </w:r>
      <w:r w:rsidR="008B2420">
        <w:t>Valid Reason</w:t>
      </w:r>
      <w:r w:rsidRPr="0E218120">
        <w:t xml:space="preserve">, their Income Support Payment will be suspended until the Participant attends an Initial Interview. </w:t>
      </w:r>
      <w:r>
        <w:t>This</w:t>
      </w:r>
      <w:r w:rsidRPr="0E218120">
        <w:t xml:space="preserve"> will be triggered in accordance with the processes for a Mutual Obligation Failure, as outlined in</w:t>
      </w:r>
      <w:r w:rsidR="006A63C4">
        <w:t xml:space="preserve"> </w:t>
      </w:r>
      <w:r w:rsidR="006A63C4">
        <w:rPr>
          <w:highlight w:val="yellow"/>
        </w:rPr>
        <w:fldChar w:fldCharType="begin"/>
      </w:r>
      <w:r w:rsidR="006A63C4">
        <w:instrText xml:space="preserve"> REF _Ref202784488 \h </w:instrText>
      </w:r>
      <w:r w:rsidR="006A63C4">
        <w:rPr>
          <w:highlight w:val="yellow"/>
        </w:rPr>
      </w:r>
      <w:r w:rsidR="006A63C4">
        <w:rPr>
          <w:highlight w:val="yellow"/>
        </w:rPr>
        <w:fldChar w:fldCharType="separate"/>
      </w:r>
      <w:r w:rsidR="000D75AE">
        <w:t>12.4</w:t>
      </w:r>
      <w:r w:rsidR="00E12BF6">
        <w:t xml:space="preserve"> </w:t>
      </w:r>
      <w:r w:rsidR="000D75AE">
        <w:t>Compliance actions - Mutual Obligation Failures</w:t>
      </w:r>
      <w:r w:rsidR="006A63C4">
        <w:rPr>
          <w:highlight w:val="yellow"/>
        </w:rPr>
        <w:fldChar w:fldCharType="end"/>
      </w:r>
      <w:r w:rsidRPr="0E218120">
        <w:t>.</w:t>
      </w:r>
      <w:r w:rsidR="00B42D10">
        <w:t xml:space="preserve"> </w:t>
      </w:r>
    </w:p>
    <w:p w14:paraId="7EF7BC20" w14:textId="4344517E" w:rsidR="00D74559" w:rsidRPr="00C50D6E" w:rsidRDefault="00D74559" w:rsidP="006E2EF5">
      <w:r w:rsidRPr="0E218120">
        <w:t>Th</w:t>
      </w:r>
      <w:r>
        <w:t>is</w:t>
      </w:r>
      <w:r w:rsidRPr="0E218120">
        <w:t xml:space="preserve"> </w:t>
      </w:r>
      <w:r w:rsidR="00EB429C">
        <w:t>t</w:t>
      </w:r>
      <w:r w:rsidRPr="0E218120">
        <w:t xml:space="preserve">emporary Income </w:t>
      </w:r>
      <w:r w:rsidR="00C01AFE">
        <w:t>Support Payment s</w:t>
      </w:r>
      <w:r w:rsidRPr="0E218120">
        <w:t>uspension mechanism is designed to encourage attendance at an Initial Interview when all other appropriate attempts to engage the Participant have failed.</w:t>
      </w:r>
      <w:r>
        <w:t xml:space="preserve"> It is </w:t>
      </w:r>
      <w:r w:rsidRPr="0E218120">
        <w:t>triggered after a ‘Did Not Attend - Invalid’ result is entered in the Department’s IT Systems.</w:t>
      </w:r>
    </w:p>
    <w:p w14:paraId="00F91549" w14:textId="77777777" w:rsidR="00D74559" w:rsidRDefault="00D74559" w:rsidP="006F727E">
      <w:pPr>
        <w:pStyle w:val="SystemStep"/>
      </w:pPr>
      <w:r w:rsidRPr="0E218120">
        <w:t xml:space="preserve">The Provider must enter the ‘Did Not Attend – Invalid’ result and reason for failing to attend the second </w:t>
      </w:r>
      <w:r w:rsidR="00573FA6">
        <w:t>schedule</w:t>
      </w:r>
      <w:r w:rsidRPr="0E218120">
        <w:t>d Initial Interview into the Department’s IT Systems, by no later than close of business on the day of the Appointment.</w:t>
      </w:r>
    </w:p>
    <w:p w14:paraId="3C793037" w14:textId="6F054F8C" w:rsidR="00D9795F" w:rsidRPr="00D9795F" w:rsidRDefault="00D9795F" w:rsidP="006E2EF5">
      <w:r w:rsidRPr="00D9795F">
        <w:t xml:space="preserve">Note: </w:t>
      </w:r>
      <w:r>
        <w:t>While Participants (Mutual Obligation) will generally be compelled to attend their Initial Interview there are circumstances in which their requirements may be paused.</w:t>
      </w:r>
    </w:p>
    <w:p w14:paraId="6EB23628" w14:textId="70932BDA" w:rsidR="00D74559" w:rsidRDefault="00D74559" w:rsidP="006E2EF5">
      <w:r w:rsidRPr="007867B2">
        <w:rPr>
          <w:u w:val="single"/>
        </w:rPr>
        <w:t>If a DSP Recipient (Compulsory Requirements)</w:t>
      </w:r>
      <w:r>
        <w:t xml:space="preserve"> does not attend the second </w:t>
      </w:r>
      <w:r w:rsidR="00573FA6">
        <w:t>schedule</w:t>
      </w:r>
      <w:r>
        <w:t xml:space="preserve">d Initial Interview, and does not have a </w:t>
      </w:r>
      <w:r w:rsidR="003B3B97">
        <w:t>r</w:t>
      </w:r>
      <w:r>
        <w:t xml:space="preserve">easonable </w:t>
      </w:r>
      <w:r w:rsidR="003B3B97">
        <w:t>excuse</w:t>
      </w:r>
      <w:r>
        <w:t>, the Provider must report their non-attendance as outlined in</w:t>
      </w:r>
      <w:r w:rsidR="006A63C4">
        <w:t xml:space="preserve"> </w:t>
      </w:r>
      <w:r w:rsidR="00ED1C40">
        <w:rPr>
          <w:highlight w:val="yellow"/>
        </w:rPr>
        <w:fldChar w:fldCharType="begin"/>
      </w:r>
      <w:r w:rsidR="00ED1C40">
        <w:instrText xml:space="preserve"> REF _Ref202784526 \h </w:instrText>
      </w:r>
      <w:r w:rsidR="00ED1C40">
        <w:rPr>
          <w:highlight w:val="yellow"/>
        </w:rPr>
      </w:r>
      <w:r w:rsidR="00ED1C40">
        <w:rPr>
          <w:highlight w:val="yellow"/>
        </w:rPr>
        <w:fldChar w:fldCharType="separate"/>
      </w:r>
      <w:r w:rsidR="000D75AE">
        <w:t>12.7.3</w:t>
      </w:r>
      <w:r w:rsidR="00E12BF6">
        <w:t xml:space="preserve"> </w:t>
      </w:r>
      <w:r w:rsidR="000D75AE">
        <w:t>Reporting DSP non-compliance</w:t>
      </w:r>
      <w:r w:rsidR="00ED1C40">
        <w:rPr>
          <w:highlight w:val="yellow"/>
        </w:rPr>
        <w:fldChar w:fldCharType="end"/>
      </w:r>
      <w:r>
        <w:t>.</w:t>
      </w:r>
    </w:p>
    <w:p w14:paraId="45D495EB" w14:textId="77777777" w:rsidR="00D74559" w:rsidRDefault="00D74559" w:rsidP="006E2EF5">
      <w:r w:rsidRPr="0E218120">
        <w:t>Until the Participant is automatically Exited due to Income Support Payment cancellation, Providers are encouraged to continue to try contact the Participant, to engage them in the Service and assist them to have their Income Support Payment restored.</w:t>
      </w:r>
    </w:p>
    <w:p w14:paraId="07882148" w14:textId="77777777" w:rsidR="00D74559" w:rsidRDefault="00D74559" w:rsidP="006D1645">
      <w:pPr>
        <w:pStyle w:val="Heading5"/>
      </w:pPr>
      <w:r>
        <w:t>Participants (Voluntary)</w:t>
      </w:r>
    </w:p>
    <w:p w14:paraId="0968C0F6" w14:textId="26277534" w:rsidR="00D74559" w:rsidRDefault="00D74559" w:rsidP="006E2EF5">
      <w:r>
        <w:t>Participants (Voluntary) have 3 opportunities to attend their Initial Interview with their Provider before the Provider must Exit them due to non-attendance.</w:t>
      </w:r>
    </w:p>
    <w:p w14:paraId="76F65BFB" w14:textId="70B3CEBE" w:rsidR="00D74559" w:rsidRDefault="00D74559" w:rsidP="001D0F92">
      <w:pPr>
        <w:pStyle w:val="Heading3"/>
      </w:pPr>
      <w:bookmarkStart w:id="106" w:name="_Ref202783845"/>
      <w:bookmarkStart w:id="107" w:name="_Toc202899908"/>
      <w:r w:rsidRPr="0E218120">
        <w:t>3.3</w:t>
      </w:r>
      <w:r w:rsidR="003F6B39">
        <w:tab/>
      </w:r>
      <w:r w:rsidRPr="0E218120">
        <w:t xml:space="preserve">The </w:t>
      </w:r>
      <w:r>
        <w:t>Initial Engagement Period</w:t>
      </w:r>
      <w:bookmarkEnd w:id="106"/>
      <w:bookmarkEnd w:id="107"/>
    </w:p>
    <w:p w14:paraId="643398D4" w14:textId="2C2C03C2" w:rsidR="00D74559" w:rsidRDefault="2BDD726E" w:rsidP="006E2EF5">
      <w:r>
        <w:t>The Initial Engagement Period is the first 4 weeks of a Participant’s Period of Registration</w:t>
      </w:r>
      <w:r w:rsidR="00046B6F">
        <w:t>. It</w:t>
      </w:r>
      <w:r>
        <w:t xml:space="preserve"> star</w:t>
      </w:r>
      <w:r w:rsidR="00046B6F">
        <w:t>ts</w:t>
      </w:r>
      <w:r>
        <w:t xml:space="preserve"> from the Initial Interview (see </w:t>
      </w:r>
      <w:r w:rsidR="007A4B96">
        <w:t>previous</w:t>
      </w:r>
      <w:r w:rsidR="00ED1C40">
        <w:t xml:space="preserve"> </w:t>
      </w:r>
      <w:r w:rsidR="00ED1C40">
        <w:rPr>
          <w:highlight w:val="yellow"/>
        </w:rPr>
        <w:fldChar w:fldCharType="begin"/>
      </w:r>
      <w:r w:rsidR="00ED1C40">
        <w:instrText xml:space="preserve"> REF _Ref202781902 \h </w:instrText>
      </w:r>
      <w:r w:rsidR="00ED1C40">
        <w:rPr>
          <w:highlight w:val="yellow"/>
        </w:rPr>
      </w:r>
      <w:r w:rsidR="00ED1C40">
        <w:rPr>
          <w:highlight w:val="yellow"/>
        </w:rPr>
        <w:fldChar w:fldCharType="separate"/>
      </w:r>
      <w:r w:rsidR="000D75AE" w:rsidRPr="362FEA09">
        <w:t>3.2.2</w:t>
      </w:r>
      <w:r w:rsidR="002E053E">
        <w:t xml:space="preserve"> </w:t>
      </w:r>
      <w:r w:rsidR="000D75AE" w:rsidRPr="362FEA09">
        <w:t>Initial Interview</w:t>
      </w:r>
      <w:r w:rsidR="00ED1C40">
        <w:rPr>
          <w:highlight w:val="yellow"/>
        </w:rPr>
        <w:fldChar w:fldCharType="end"/>
      </w:r>
      <w:r>
        <w:t xml:space="preserve">). The Initial Engagement Period applies for new entrants to </w:t>
      </w:r>
      <w:r w:rsidR="00C74C33">
        <w:t>Inclusive Employment Australia</w:t>
      </w:r>
      <w:r>
        <w:t xml:space="preserve"> and Participants who have transferred from another </w:t>
      </w:r>
      <w:r w:rsidR="00C74C33">
        <w:t>Inclusive Employment Australia</w:t>
      </w:r>
      <w:r>
        <w:t xml:space="preserve"> </w:t>
      </w:r>
      <w:r w:rsidR="00F57340">
        <w:t>Provider but</w:t>
      </w:r>
      <w:r>
        <w:t xml:space="preserve"> does not apply </w:t>
      </w:r>
      <w:r w:rsidR="00AD2EF2">
        <w:t>to</w:t>
      </w:r>
      <w:r>
        <w:t xml:space="preserve"> Ongoing Support (Work Assist) Participants.</w:t>
      </w:r>
    </w:p>
    <w:p w14:paraId="2A7AE58B" w14:textId="1E93019E" w:rsidR="00D74559" w:rsidRDefault="00D74559" w:rsidP="006E2EF5">
      <w:r w:rsidRPr="0E218120">
        <w:t xml:space="preserve">The </w:t>
      </w:r>
      <w:r>
        <w:t xml:space="preserve">Initial Engagement Period </w:t>
      </w:r>
      <w:r w:rsidRPr="0E218120">
        <w:t>allows time for the Provider to build a positive relationship with a Participant and assess the Participant’s skills</w:t>
      </w:r>
      <w:r w:rsidR="00FF0632">
        <w:t>, needs</w:t>
      </w:r>
      <w:r w:rsidRPr="0E218120">
        <w:t xml:space="preserve"> and strengths. It allows the Provider to tailor their </w:t>
      </w:r>
      <w:r w:rsidR="003F0E3A">
        <w:t>S</w:t>
      </w:r>
      <w:r w:rsidRPr="0E218120">
        <w:t>ervice</w:t>
      </w:r>
      <w:r w:rsidR="003F0E3A">
        <w:t>s</w:t>
      </w:r>
      <w:r w:rsidRPr="0E218120">
        <w:t xml:space="preserve"> to the Participant, considering any barriers </w:t>
      </w:r>
      <w:r w:rsidR="00FF0632">
        <w:t>(including personal circumstances)</w:t>
      </w:r>
      <w:r w:rsidR="00683241">
        <w:t xml:space="preserve"> </w:t>
      </w:r>
      <w:r w:rsidRPr="0E218120">
        <w:t>that may impact on a Participant’s ability to transition to ongoing sustainable Employment</w:t>
      </w:r>
      <w:r w:rsidR="009D28EF">
        <w:t xml:space="preserve"> or effectively maintain their current Employment</w:t>
      </w:r>
      <w:r w:rsidRPr="0E218120">
        <w:t>.</w:t>
      </w:r>
    </w:p>
    <w:p w14:paraId="47C4C7E2" w14:textId="77777777" w:rsidR="00D74559" w:rsidRPr="00FF26C6" w:rsidRDefault="00D74559" w:rsidP="006E2EF5">
      <w:r w:rsidRPr="0E218120">
        <w:t xml:space="preserve">During the </w:t>
      </w:r>
      <w:r w:rsidRPr="00F6502D">
        <w:rPr>
          <w:u w:val="single"/>
        </w:rPr>
        <w:t>Initial Engagement Period for each Participant</w:t>
      </w:r>
      <w:r w:rsidRPr="0E218120">
        <w:t>, the Provider must:</w:t>
      </w:r>
    </w:p>
    <w:p w14:paraId="63350064" w14:textId="77777777" w:rsidR="00D74559" w:rsidRPr="00977392" w:rsidRDefault="00D74559" w:rsidP="00977392">
      <w:pPr>
        <w:pStyle w:val="BulletLevel1"/>
      </w:pPr>
      <w:r w:rsidRPr="00FA5350">
        <w:t>conduct an Initial Interview</w:t>
      </w:r>
    </w:p>
    <w:p w14:paraId="035CEDA0" w14:textId="7595B341" w:rsidR="00D74559" w:rsidRPr="00977392" w:rsidRDefault="00D74559" w:rsidP="00977392">
      <w:pPr>
        <w:pStyle w:val="BulletLevel1"/>
      </w:pPr>
      <w:r w:rsidRPr="00977392">
        <w:t xml:space="preserve">conduct the Job Seeker Snapshot if the Participant does not have a current JCSI — refer to </w:t>
      </w:r>
      <w:r w:rsidR="00902C8D">
        <w:rPr>
          <w:highlight w:val="yellow"/>
        </w:rPr>
        <w:fldChar w:fldCharType="begin"/>
      </w:r>
      <w:r w:rsidR="00902C8D">
        <w:instrText xml:space="preserve"> REF _Ref202784588 \h </w:instrText>
      </w:r>
      <w:r w:rsidR="00902C8D">
        <w:rPr>
          <w:highlight w:val="yellow"/>
        </w:rPr>
      </w:r>
      <w:r w:rsidR="00902C8D">
        <w:rPr>
          <w:highlight w:val="yellow"/>
        </w:rPr>
        <w:fldChar w:fldCharType="separate"/>
      </w:r>
      <w:r w:rsidR="000D75AE" w:rsidRPr="520658A2">
        <w:t>2.3.1</w:t>
      </w:r>
      <w:r w:rsidR="0097189E">
        <w:t xml:space="preserve"> </w:t>
      </w:r>
      <w:r w:rsidR="000D75AE" w:rsidRPr="520658A2">
        <w:t>Conducting the Job Seeker Snapshot</w:t>
      </w:r>
      <w:r w:rsidR="00902C8D">
        <w:rPr>
          <w:highlight w:val="yellow"/>
        </w:rPr>
        <w:fldChar w:fldCharType="end"/>
      </w:r>
    </w:p>
    <w:p w14:paraId="1F14B8D1" w14:textId="77777777" w:rsidR="00D74559" w:rsidRPr="00FA5350" w:rsidRDefault="00D74559" w:rsidP="00033D1C">
      <w:pPr>
        <w:pStyle w:val="BulletLevel1"/>
      </w:pPr>
      <w:r w:rsidRPr="00977392">
        <w:t>if the Participant is receiving Pre</w:t>
      </w:r>
      <w:r w:rsidRPr="00FA5350">
        <w:t>-Employment Support:</w:t>
      </w:r>
    </w:p>
    <w:p w14:paraId="7902EB69" w14:textId="61D78E87" w:rsidR="00D74559" w:rsidRPr="001D6267" w:rsidRDefault="00D74559" w:rsidP="00033D1C">
      <w:pPr>
        <w:pStyle w:val="BulletLevel2"/>
      </w:pPr>
      <w:r w:rsidRPr="001D6267">
        <w:t xml:space="preserve">conduct a Skills Assessment — refer to </w:t>
      </w:r>
      <w:r w:rsidR="0097189E">
        <w:fldChar w:fldCharType="begin"/>
      </w:r>
      <w:r w:rsidR="0097189E">
        <w:instrText xml:space="preserve"> REF _Ref202784620 \h  \* MERGEFORMAT </w:instrText>
      </w:r>
      <w:r w:rsidR="0097189E">
        <w:fldChar w:fldCharType="separate"/>
      </w:r>
      <w:r w:rsidR="0097189E" w:rsidRPr="0097189E">
        <w:rPr>
          <w:rStyle w:val="Heading2Char1"/>
          <w:rFonts w:asciiTheme="majorHAnsi" w:hAnsiTheme="majorHAnsi"/>
          <w:i w:val="0"/>
          <w:color w:val="auto"/>
          <w:sz w:val="22"/>
          <w:szCs w:val="22"/>
        </w:rPr>
        <w:t>2.5</w:t>
      </w:r>
      <w:r w:rsidR="0097189E" w:rsidRPr="0097189E">
        <w:t xml:space="preserve"> Skills</w:t>
      </w:r>
      <w:r w:rsidR="0097189E" w:rsidRPr="00F07215">
        <w:t xml:space="preserve"> Assessment</w:t>
      </w:r>
      <w:r w:rsidR="0097189E">
        <w:fldChar w:fldCharType="end"/>
      </w:r>
      <w:r w:rsidR="00902C8D">
        <w:rPr>
          <w:highlight w:val="yellow"/>
        </w:rPr>
        <w:fldChar w:fldCharType="begin"/>
      </w:r>
      <w:r w:rsidR="00902C8D">
        <w:instrText xml:space="preserve"> REF _Ref202784620 \h </w:instrText>
      </w:r>
      <w:r w:rsidR="00902C8D">
        <w:rPr>
          <w:highlight w:val="yellow"/>
        </w:rPr>
      </w:r>
      <w:r w:rsidR="00902C8D">
        <w:rPr>
          <w:highlight w:val="yellow"/>
        </w:rPr>
        <w:fldChar w:fldCharType="separate"/>
      </w:r>
      <w:r w:rsidR="00902C8D">
        <w:rPr>
          <w:highlight w:val="yellow"/>
        </w:rPr>
        <w:fldChar w:fldCharType="end"/>
      </w:r>
    </w:p>
    <w:p w14:paraId="000E11E9" w14:textId="562891BF" w:rsidR="00D74559" w:rsidRDefault="00D74559" w:rsidP="00033D1C">
      <w:pPr>
        <w:pStyle w:val="BulletLevel2"/>
      </w:pPr>
      <w:r w:rsidRPr="0E218120">
        <w:t xml:space="preserve">determine </w:t>
      </w:r>
      <w:r w:rsidR="00F6502D">
        <w:t>if</w:t>
      </w:r>
      <w:r w:rsidRPr="0E218120">
        <w:t xml:space="preserve"> the Participant should be engaged in Intensive Service Work Preparation, Intensive Service Job Search or Flexible Service</w:t>
      </w:r>
      <w:r w:rsidR="00A53E3B">
        <w:t xml:space="preserve"> </w:t>
      </w:r>
      <w:r w:rsidR="00370A37" w:rsidRPr="001D6267">
        <w:t xml:space="preserve">— </w:t>
      </w:r>
      <w:r w:rsidR="00370A37">
        <w:t>r</w:t>
      </w:r>
      <w:r w:rsidR="00370A37" w:rsidRPr="001D6267">
        <w:t>efer to</w:t>
      </w:r>
      <w:r w:rsidR="00370A37">
        <w:t xml:space="preserve"> </w:t>
      </w:r>
      <w:r w:rsidR="0097189E">
        <w:fldChar w:fldCharType="begin"/>
      </w:r>
      <w:r w:rsidR="0097189E">
        <w:instrText xml:space="preserve"> REF _Ref202784175 \h </w:instrText>
      </w:r>
      <w:r w:rsidR="0097189E">
        <w:fldChar w:fldCharType="separate"/>
      </w:r>
      <w:r w:rsidR="0097189E" w:rsidRPr="00BA23D8">
        <w:t>Chapter 6</w:t>
      </w:r>
      <w:r w:rsidR="0097189E">
        <w:t>:</w:t>
      </w:r>
      <w:r w:rsidR="0097189E">
        <w:tab/>
      </w:r>
      <w:r w:rsidR="0097189E" w:rsidRPr="00BA23D8">
        <w:t>Pre-Employment Support</w:t>
      </w:r>
      <w:r w:rsidR="0097189E">
        <w:fldChar w:fldCharType="end"/>
      </w:r>
      <w:r w:rsidR="005E2B54">
        <w:rPr>
          <w:highlight w:val="yellow"/>
        </w:rPr>
        <w:fldChar w:fldCharType="begin"/>
      </w:r>
      <w:r w:rsidR="005E2B54">
        <w:instrText xml:space="preserve"> REF _Ref202784665 \h </w:instrText>
      </w:r>
      <w:r w:rsidR="005E2B54">
        <w:rPr>
          <w:highlight w:val="yellow"/>
        </w:rPr>
      </w:r>
      <w:r w:rsidR="005E2B54">
        <w:rPr>
          <w:highlight w:val="yellow"/>
        </w:rPr>
        <w:fldChar w:fldCharType="separate"/>
      </w:r>
      <w:r w:rsidR="005E2B54">
        <w:rPr>
          <w:highlight w:val="yellow"/>
        </w:rPr>
        <w:fldChar w:fldCharType="end"/>
      </w:r>
    </w:p>
    <w:p w14:paraId="1242A4B1" w14:textId="2E997744" w:rsidR="00FB3040" w:rsidRDefault="00D74559" w:rsidP="00033D1C">
      <w:pPr>
        <w:pStyle w:val="BulletLevel2"/>
      </w:pPr>
      <w:r w:rsidRPr="0E218120">
        <w:t xml:space="preserve">assist the Participant to identify relevant </w:t>
      </w:r>
      <w:r w:rsidR="003D0A1E">
        <w:t>tasks and activities</w:t>
      </w:r>
      <w:r w:rsidRPr="0E218120">
        <w:t xml:space="preserve"> </w:t>
      </w:r>
      <w:r w:rsidR="00636DA7">
        <w:t>they will participate</w:t>
      </w:r>
      <w:r w:rsidR="005F105A">
        <w:t xml:space="preserve"> </w:t>
      </w:r>
      <w:r w:rsidR="00636DA7">
        <w:t>in</w:t>
      </w:r>
      <w:r w:rsidR="00834034">
        <w:t xml:space="preserve">, as part of </w:t>
      </w:r>
      <w:r w:rsidR="004A470E">
        <w:t>meaningful</w:t>
      </w:r>
      <w:r w:rsidR="002B3779">
        <w:t>ly</w:t>
      </w:r>
      <w:r w:rsidR="004A470E">
        <w:t xml:space="preserve"> engag</w:t>
      </w:r>
      <w:r w:rsidR="00834034">
        <w:t>ing</w:t>
      </w:r>
      <w:r w:rsidR="003B1BF7">
        <w:t xml:space="preserve"> </w:t>
      </w:r>
      <w:r w:rsidR="00834034">
        <w:t>—</w:t>
      </w:r>
      <w:r w:rsidR="00D55FA2">
        <w:t xml:space="preserve"> this may include tasks and activities the Participant identifies as aligning to their </w:t>
      </w:r>
      <w:r w:rsidR="00887AB3">
        <w:t>E</w:t>
      </w:r>
      <w:r w:rsidR="00770C3E">
        <w:t xml:space="preserve">mployment </w:t>
      </w:r>
      <w:r w:rsidR="00887AB3">
        <w:t>G</w:t>
      </w:r>
      <w:r w:rsidR="00770C3E">
        <w:t>oal(s)</w:t>
      </w:r>
      <w:r w:rsidR="00D55FA2">
        <w:t xml:space="preserve"> </w:t>
      </w:r>
      <w:r w:rsidR="003B5C01">
        <w:t xml:space="preserve">and/or tasks and activities the Provider has identified </w:t>
      </w:r>
      <w:r w:rsidR="00D74EAF">
        <w:t xml:space="preserve">that </w:t>
      </w:r>
      <w:r w:rsidR="00282168">
        <w:t xml:space="preserve">will help the Participant to prepare for, find and keep </w:t>
      </w:r>
      <w:r w:rsidR="009023B7">
        <w:t>a job</w:t>
      </w:r>
      <w:r w:rsidR="00B643BE">
        <w:t>, noting:</w:t>
      </w:r>
    </w:p>
    <w:p w14:paraId="36D1C760" w14:textId="411C0106" w:rsidR="00D74559" w:rsidRDefault="00FB3040" w:rsidP="00033D1C">
      <w:pPr>
        <w:pStyle w:val="BulletLevel3"/>
      </w:pPr>
      <w:r>
        <w:t xml:space="preserve">if the Participant has a Meaningful Engagement Job Plan, the Provider must capture agreed tasks and activities </w:t>
      </w:r>
      <w:r w:rsidR="00605C13">
        <w:t>(outside of the Job Plan) and provide a copy to the Participant</w:t>
      </w:r>
    </w:p>
    <w:p w14:paraId="373DB374" w14:textId="0038C410" w:rsidR="00B33FCB" w:rsidRDefault="00B33FCB" w:rsidP="00033D1C">
      <w:pPr>
        <w:pStyle w:val="BulletLevel3"/>
      </w:pPr>
      <w:r>
        <w:t>if the Participant has a Detailed Job Plan, the Provider must capture agreed tasks and activities in the Participant’s Job Plan</w:t>
      </w:r>
      <w:r w:rsidR="00605C13">
        <w:t>, and</w:t>
      </w:r>
    </w:p>
    <w:p w14:paraId="28DA7C67" w14:textId="77777777" w:rsidR="00D74559" w:rsidRPr="001D6267" w:rsidRDefault="00D74559" w:rsidP="00033D1C">
      <w:pPr>
        <w:pStyle w:val="BulletLevel2"/>
      </w:pPr>
      <w:r w:rsidRPr="0E218120">
        <w:t>assist the Participant to prepare a résumé and load the completed résumé onto their Workforce Australia profile</w:t>
      </w:r>
    </w:p>
    <w:p w14:paraId="718A43BB" w14:textId="5C300DD7" w:rsidR="00C64250" w:rsidRDefault="00C64250" w:rsidP="006D066A">
      <w:pPr>
        <w:pStyle w:val="BulletLevel1"/>
        <w:keepNext/>
      </w:pPr>
      <w:r w:rsidRPr="00977392">
        <w:t xml:space="preserve">if the Participant is receiving </w:t>
      </w:r>
      <w:r w:rsidRPr="00F6502D">
        <w:rPr>
          <w:u w:val="single"/>
        </w:rPr>
        <w:t>Post-Employment Support or Ongoing Support:</w:t>
      </w:r>
    </w:p>
    <w:p w14:paraId="4D1910FD" w14:textId="2FBEE9C2" w:rsidR="00B12548" w:rsidRDefault="00B12548" w:rsidP="00C64250">
      <w:pPr>
        <w:pStyle w:val="BulletLevel2"/>
      </w:pPr>
      <w:r>
        <w:t>review comments in</w:t>
      </w:r>
      <w:r w:rsidR="00002982">
        <w:t>cluded in</w:t>
      </w:r>
      <w:r>
        <w:t xml:space="preserve"> the Participant’s Program Summary</w:t>
      </w:r>
      <w:r w:rsidR="00770BB6">
        <w:t xml:space="preserve"> by a Relinquishing Provider</w:t>
      </w:r>
      <w:r w:rsidR="00002982">
        <w:t>, if relevant</w:t>
      </w:r>
    </w:p>
    <w:p w14:paraId="3C3F526B" w14:textId="1603CED0" w:rsidR="00C64250" w:rsidRDefault="00C64250" w:rsidP="00C64250">
      <w:pPr>
        <w:pStyle w:val="BulletLevel2"/>
      </w:pPr>
      <w:r w:rsidRPr="00FA5350">
        <w:t>identify the types of supports that will assist the Participant to keep their job</w:t>
      </w:r>
      <w:r w:rsidR="00B643BE">
        <w:t>, and</w:t>
      </w:r>
    </w:p>
    <w:p w14:paraId="73BB31F7" w14:textId="26DA4675" w:rsidR="009C71D5" w:rsidRDefault="00834034" w:rsidP="00C64250">
      <w:pPr>
        <w:pStyle w:val="BulletLevel2"/>
      </w:pPr>
      <w:r w:rsidRPr="0E218120">
        <w:t xml:space="preserve">assist the Participant to identify relevant </w:t>
      </w:r>
      <w:r>
        <w:t>tasks and activities</w:t>
      </w:r>
      <w:r w:rsidRPr="0E218120">
        <w:t xml:space="preserve"> </w:t>
      </w:r>
      <w:r>
        <w:t>they will participate in, as part of meaningfully engaging</w:t>
      </w:r>
      <w:r w:rsidR="003B1BF7">
        <w:t xml:space="preserve"> </w:t>
      </w:r>
      <w:r>
        <w:t xml:space="preserve">— this </w:t>
      </w:r>
      <w:r w:rsidR="00751BC2">
        <w:t>would generally be Contact</w:t>
      </w:r>
      <w:r w:rsidR="0058137A">
        <w:t>s</w:t>
      </w:r>
      <w:r w:rsidR="00751BC2">
        <w:t xml:space="preserve"> with the Provider</w:t>
      </w:r>
      <w:r w:rsidR="00672B7B">
        <w:t xml:space="preserve"> and maintaining their Employment</w:t>
      </w:r>
      <w:r w:rsidR="003A3FB2">
        <w:t xml:space="preserve">, </w:t>
      </w:r>
      <w:r w:rsidR="00B643BE">
        <w:t>noting:</w:t>
      </w:r>
    </w:p>
    <w:p w14:paraId="5F670FF2" w14:textId="77777777" w:rsidR="003A3FB2" w:rsidRDefault="003A3FB2" w:rsidP="00751BC2">
      <w:pPr>
        <w:pStyle w:val="BulletLevel3"/>
      </w:pPr>
      <w:r>
        <w:t>if the Participant has a Meaningful Engagement Job Plan, the Provider must capture agreed tasks and activities (outside of the Job Plan) and provide a copy to the Participant</w:t>
      </w:r>
    </w:p>
    <w:p w14:paraId="28C1792B" w14:textId="7463B058" w:rsidR="003A3FB2" w:rsidRPr="00FA5350" w:rsidRDefault="003A3FB2" w:rsidP="00751BC2">
      <w:pPr>
        <w:pStyle w:val="BulletLevel3"/>
      </w:pPr>
      <w:r>
        <w:t>if the Participant has a Detailed Job Plan, the Provider must capture agreed tasks and activities in the Participant’s Job Plan, and</w:t>
      </w:r>
    </w:p>
    <w:p w14:paraId="60E34A51" w14:textId="42AF9BA5" w:rsidR="00D74559" w:rsidRPr="00FA5350" w:rsidRDefault="00857046" w:rsidP="00751BC2">
      <w:pPr>
        <w:pStyle w:val="BulletLevel3"/>
      </w:pPr>
      <w:r>
        <w:t>assist</w:t>
      </w:r>
      <w:r w:rsidR="003A3FB2">
        <w:t xml:space="preserve"> </w:t>
      </w:r>
      <w:r w:rsidR="00751BC2">
        <w:rPr>
          <w:rFonts w:ascii="Tahoma" w:eastAsia="Tahoma" w:hAnsi="Tahoma" w:cs="Tahoma"/>
          <w:color w:val="000000" w:themeColor="text1"/>
        </w:rPr>
        <w:t>the Participant</w:t>
      </w:r>
      <w:r>
        <w:rPr>
          <w:rFonts w:ascii="Tahoma" w:eastAsia="Tahoma" w:hAnsi="Tahoma" w:cs="Tahoma"/>
          <w:color w:val="000000" w:themeColor="text1"/>
        </w:rPr>
        <w:t xml:space="preserve"> to capture their</w:t>
      </w:r>
      <w:r w:rsidR="00751BC2">
        <w:rPr>
          <w:rFonts w:ascii="Tahoma" w:eastAsia="Tahoma" w:hAnsi="Tahoma" w:cs="Tahoma"/>
          <w:color w:val="000000" w:themeColor="text1"/>
        </w:rPr>
        <w:t xml:space="preserve"> hours of Employment </w:t>
      </w:r>
      <w:r>
        <w:rPr>
          <w:rFonts w:ascii="Tahoma" w:eastAsia="Tahoma" w:hAnsi="Tahoma" w:cs="Tahoma"/>
          <w:color w:val="000000" w:themeColor="text1"/>
        </w:rPr>
        <w:t xml:space="preserve">as </w:t>
      </w:r>
      <w:r w:rsidR="00751BC2">
        <w:rPr>
          <w:rFonts w:ascii="Tahoma" w:eastAsia="Tahoma" w:hAnsi="Tahoma" w:cs="Tahoma"/>
          <w:color w:val="000000" w:themeColor="text1"/>
        </w:rPr>
        <w:t>Personal Events</w:t>
      </w:r>
      <w:r w:rsidR="001E18D8">
        <w:rPr>
          <w:rFonts w:ascii="Tahoma" w:eastAsia="Tahoma" w:hAnsi="Tahoma" w:cs="Tahoma"/>
          <w:color w:val="000000" w:themeColor="text1"/>
        </w:rPr>
        <w:t xml:space="preserve">, if </w:t>
      </w:r>
      <w:r>
        <w:rPr>
          <w:rFonts w:ascii="Tahoma" w:eastAsia="Tahoma" w:hAnsi="Tahoma" w:cs="Tahoma"/>
          <w:color w:val="000000" w:themeColor="text1"/>
        </w:rPr>
        <w:t xml:space="preserve">appropriate </w:t>
      </w:r>
      <w:r w:rsidR="001E18D8">
        <w:rPr>
          <w:rFonts w:ascii="Tahoma" w:eastAsia="Tahoma" w:hAnsi="Tahoma" w:cs="Tahoma"/>
          <w:color w:val="000000" w:themeColor="text1"/>
        </w:rPr>
        <w:t>— refer to</w:t>
      </w:r>
      <w:r w:rsidR="002910CA">
        <w:rPr>
          <w:rFonts w:ascii="Tahoma" w:eastAsia="Tahoma" w:hAnsi="Tahoma" w:cs="Tahoma"/>
          <w:color w:val="000000" w:themeColor="text1"/>
        </w:rPr>
        <w:t xml:space="preserve"> </w:t>
      </w:r>
      <w:r w:rsidR="0097189E">
        <w:rPr>
          <w:rFonts w:ascii="Tahoma" w:eastAsia="Tahoma" w:hAnsi="Tahoma" w:cs="Tahoma"/>
          <w:color w:val="000000" w:themeColor="text1"/>
        </w:rPr>
        <w:fldChar w:fldCharType="begin"/>
      </w:r>
      <w:r w:rsidR="0097189E">
        <w:rPr>
          <w:rFonts w:ascii="Tahoma" w:eastAsia="Tahoma" w:hAnsi="Tahoma" w:cs="Tahoma"/>
          <w:color w:val="000000" w:themeColor="text1"/>
        </w:rPr>
        <w:instrText xml:space="preserve"> REF _Ref202784778 \h </w:instrText>
      </w:r>
      <w:r w:rsidR="0097189E">
        <w:rPr>
          <w:rFonts w:ascii="Tahoma" w:eastAsia="Tahoma" w:hAnsi="Tahoma" w:cs="Tahoma"/>
          <w:color w:val="000000" w:themeColor="text1"/>
        </w:rPr>
      </w:r>
      <w:r w:rsidR="0097189E">
        <w:rPr>
          <w:rFonts w:ascii="Tahoma" w:eastAsia="Tahoma" w:hAnsi="Tahoma" w:cs="Tahoma"/>
          <w:color w:val="000000" w:themeColor="text1"/>
        </w:rPr>
        <w:fldChar w:fldCharType="separate"/>
      </w:r>
      <w:r w:rsidR="0097189E" w:rsidRPr="652192F6">
        <w:t>5.3.4</w:t>
      </w:r>
      <w:r w:rsidR="0097189E">
        <w:t xml:space="preserve"> </w:t>
      </w:r>
      <w:r w:rsidR="0097189E" w:rsidRPr="652192F6">
        <w:t>Capturing Personal Events</w:t>
      </w:r>
      <w:r w:rsidR="0097189E">
        <w:rPr>
          <w:rFonts w:ascii="Tahoma" w:eastAsia="Tahoma" w:hAnsi="Tahoma" w:cs="Tahoma"/>
          <w:color w:val="000000" w:themeColor="text1"/>
        </w:rPr>
        <w:fldChar w:fldCharType="end"/>
      </w:r>
      <w:r w:rsidR="002910CA">
        <w:rPr>
          <w:rFonts w:ascii="Tahoma" w:eastAsia="Tahoma" w:hAnsi="Tahoma" w:cs="Tahoma"/>
          <w:color w:val="000000" w:themeColor="text1"/>
          <w:highlight w:val="yellow"/>
        </w:rPr>
        <w:fldChar w:fldCharType="begin"/>
      </w:r>
      <w:r w:rsidR="002910CA">
        <w:rPr>
          <w:rFonts w:ascii="Tahoma" w:eastAsia="Tahoma" w:hAnsi="Tahoma" w:cs="Tahoma"/>
          <w:color w:val="000000" w:themeColor="text1"/>
        </w:rPr>
        <w:instrText xml:space="preserve"> REF _Ref202784778 \h </w:instrText>
      </w:r>
      <w:r w:rsidR="002910CA">
        <w:rPr>
          <w:rFonts w:ascii="Tahoma" w:eastAsia="Tahoma" w:hAnsi="Tahoma" w:cs="Tahoma"/>
          <w:color w:val="000000" w:themeColor="text1"/>
          <w:highlight w:val="yellow"/>
        </w:rPr>
      </w:r>
      <w:r w:rsidR="002910CA">
        <w:rPr>
          <w:rFonts w:ascii="Tahoma" w:eastAsia="Tahoma" w:hAnsi="Tahoma" w:cs="Tahoma"/>
          <w:color w:val="000000" w:themeColor="text1"/>
          <w:highlight w:val="yellow"/>
        </w:rPr>
        <w:fldChar w:fldCharType="separate"/>
      </w:r>
      <w:r w:rsidR="002910CA">
        <w:rPr>
          <w:rFonts w:ascii="Tahoma" w:eastAsia="Tahoma" w:hAnsi="Tahoma" w:cs="Tahoma"/>
          <w:color w:val="000000" w:themeColor="text1"/>
          <w:highlight w:val="yellow"/>
        </w:rPr>
        <w:fldChar w:fldCharType="end"/>
      </w:r>
      <w:r w:rsidR="00672B7B">
        <w:rPr>
          <w:rFonts w:ascii="Tahoma" w:eastAsia="Tahoma" w:hAnsi="Tahoma" w:cs="Tahoma"/>
          <w:color w:val="000000" w:themeColor="text1"/>
        </w:rPr>
        <w:t>.</w:t>
      </w:r>
    </w:p>
    <w:p w14:paraId="319A96AF" w14:textId="30A87868" w:rsidR="00951150" w:rsidRDefault="00951150" w:rsidP="00951150">
      <w:pPr>
        <w:pStyle w:val="DeedReferences"/>
      </w:pPr>
      <w:r>
        <w:t>(Deed Reference(s): Clause 11</w:t>
      </w:r>
      <w:r w:rsidR="001B12C6">
        <w:t>3</w:t>
      </w:r>
      <w:r>
        <w:t xml:space="preserve">.5, </w:t>
      </w:r>
      <w:r w:rsidR="00FB1B5C">
        <w:t xml:space="preserve">113.6, </w:t>
      </w:r>
      <w:r>
        <w:t>11</w:t>
      </w:r>
      <w:r w:rsidR="00B02CF5">
        <w:t>3</w:t>
      </w:r>
      <w:r>
        <w:t>.7,</w:t>
      </w:r>
      <w:r w:rsidR="00CF03C9">
        <w:t xml:space="preserve"> 116,</w:t>
      </w:r>
      <w:r>
        <w:t xml:space="preserve"> 13</w:t>
      </w:r>
      <w:r w:rsidR="001F2048">
        <w:t>4</w:t>
      </w:r>
      <w:r>
        <w:t>)</w:t>
      </w:r>
    </w:p>
    <w:p w14:paraId="4059D3A8" w14:textId="3C2ECC8E" w:rsidR="00D74559" w:rsidRDefault="00D74559" w:rsidP="006F727E">
      <w:pPr>
        <w:pStyle w:val="SystemStep"/>
      </w:pPr>
      <w:r>
        <w:t xml:space="preserve">Providers </w:t>
      </w:r>
      <w:r w:rsidR="00220EB5">
        <w:t>can</w:t>
      </w:r>
      <w:r>
        <w:t xml:space="preserve"> capture information within a Participant’s </w:t>
      </w:r>
      <w:r w:rsidRPr="00A321BC">
        <w:t>résumé</w:t>
      </w:r>
      <w:r>
        <w:t xml:space="preserve"> using comment functionality in the Participant’s Summary on</w:t>
      </w:r>
      <w:r w:rsidRPr="53BE8163">
        <w:t xml:space="preserve"> the Department’s IT Systems</w:t>
      </w:r>
      <w:r>
        <w:t>.</w:t>
      </w:r>
    </w:p>
    <w:p w14:paraId="43D81239" w14:textId="54C54247" w:rsidR="00EB7269" w:rsidRDefault="00EB7269" w:rsidP="00EB7269">
      <w:pPr>
        <w:pStyle w:val="DocumentaryEvidenceRequirement"/>
      </w:pPr>
      <w:r>
        <w:t>Providers must have sufficient records of agreed tasks and activities for each Participant with a Meaningful Engagement Job Plan.</w:t>
      </w:r>
    </w:p>
    <w:p w14:paraId="3A62CC9B" w14:textId="6491D153" w:rsidR="007260DD" w:rsidRPr="00FF26C6" w:rsidRDefault="007260DD" w:rsidP="007260DD">
      <w:pPr>
        <w:pStyle w:val="SystemStep"/>
      </w:pPr>
      <w:r>
        <w:t>Providers should capture agreed tasks and activities</w:t>
      </w:r>
      <w:r w:rsidR="00553959">
        <w:t xml:space="preserve"> for each Participant with a Meaningful Engagement Job Plan in the </w:t>
      </w:r>
      <w:r w:rsidR="00A97FA8">
        <w:t>Program Summary on the Department’s IT Systems</w:t>
      </w:r>
      <w:r w:rsidR="00A74DE9">
        <w:t xml:space="preserve">, and update </w:t>
      </w:r>
      <w:r w:rsidR="00186BF9">
        <w:t>as required.</w:t>
      </w:r>
    </w:p>
    <w:p w14:paraId="62BFA3B5" w14:textId="5023ABA6" w:rsidR="00D74559" w:rsidRPr="00C50D6E" w:rsidRDefault="00D74559" w:rsidP="001D0F92">
      <w:pPr>
        <w:pStyle w:val="Heading4"/>
      </w:pPr>
      <w:bookmarkStart w:id="108" w:name="_Ref202790894"/>
      <w:bookmarkStart w:id="109" w:name="_Toc202899909"/>
      <w:r w:rsidRPr="362FEA09">
        <w:t>3.3.1</w:t>
      </w:r>
      <w:r w:rsidR="003F6B39">
        <w:tab/>
      </w:r>
      <w:r w:rsidR="00EE4616">
        <w:t>C</w:t>
      </w:r>
      <w:r w:rsidR="00EE4616" w:rsidRPr="00EE4616">
        <w:t>onnecting Participants to Workforce Australia Online profiles</w:t>
      </w:r>
      <w:bookmarkEnd w:id="108"/>
      <w:bookmarkEnd w:id="109"/>
    </w:p>
    <w:p w14:paraId="6CF832C3" w14:textId="3072EAAE" w:rsidR="00D74559" w:rsidRPr="00FF26C6" w:rsidRDefault="00D74559" w:rsidP="006E2EF5">
      <w:r w:rsidRPr="00FF26C6">
        <w:t xml:space="preserve">Providers </w:t>
      </w:r>
      <w:r w:rsidR="00D5542E">
        <w:t>should</w:t>
      </w:r>
      <w:r w:rsidRPr="00FF26C6">
        <w:t xml:space="preserve"> support Participants to register </w:t>
      </w:r>
      <w:r w:rsidR="00467667">
        <w:t xml:space="preserve">with </w:t>
      </w:r>
      <w:r w:rsidRPr="00FF26C6">
        <w:t xml:space="preserve">and use Workforce Australia </w:t>
      </w:r>
      <w:r>
        <w:t>Online for Individuals</w:t>
      </w:r>
      <w:r w:rsidR="003338EF">
        <w:t xml:space="preserve">. This </w:t>
      </w:r>
      <w:r w:rsidR="00F6502D">
        <w:t xml:space="preserve">allows the </w:t>
      </w:r>
      <w:r w:rsidR="003338EF">
        <w:t>Participants</w:t>
      </w:r>
      <w:r w:rsidR="00D5542E">
        <w:t xml:space="preserve"> to</w:t>
      </w:r>
      <w:r w:rsidR="003338EF">
        <w:t xml:space="preserve"> </w:t>
      </w:r>
      <w:r w:rsidRPr="00FF26C6">
        <w:t xml:space="preserve">access </w:t>
      </w:r>
      <w:r w:rsidR="00D5542E" w:rsidRPr="00D5542E">
        <w:t>online tools</w:t>
      </w:r>
      <w:r w:rsidR="00D5542E">
        <w:t xml:space="preserve">, </w:t>
      </w:r>
      <w:r w:rsidR="00D5542E" w:rsidRPr="00D5542E">
        <w:t>information, and learning modules</w:t>
      </w:r>
      <w:r w:rsidR="00D5542E">
        <w:t xml:space="preserve"> available </w:t>
      </w:r>
      <w:r w:rsidR="003338EF">
        <w:t xml:space="preserve">on the </w:t>
      </w:r>
      <w:hyperlink r:id="rId43" w:history="1">
        <w:r w:rsidR="003338EF" w:rsidRPr="001A1685">
          <w:rPr>
            <w:rStyle w:val="Hyperlink"/>
          </w:rPr>
          <w:t>Workforce Australia website</w:t>
        </w:r>
      </w:hyperlink>
      <w:r w:rsidR="00F6502D" w:rsidRPr="001A1685">
        <w:t>.</w:t>
      </w:r>
      <w:r w:rsidR="003338EF">
        <w:t xml:space="preserve"> </w:t>
      </w:r>
    </w:p>
    <w:p w14:paraId="57F4EB1F" w14:textId="5121AA31" w:rsidR="00D74559" w:rsidRPr="00A06A01" w:rsidRDefault="00D74559" w:rsidP="006E2EF5">
      <w:r w:rsidRPr="0E218120">
        <w:t xml:space="preserve">As part of the </w:t>
      </w:r>
      <w:r>
        <w:t>Initial Engagement Period</w:t>
      </w:r>
      <w:r w:rsidRPr="0E218120">
        <w:t xml:space="preserve">, the Provider should discuss with each Participant </w:t>
      </w:r>
      <w:r w:rsidR="00F6502D">
        <w:t xml:space="preserve">if </w:t>
      </w:r>
      <w:r w:rsidR="00D5542E">
        <w:t>they have</w:t>
      </w:r>
      <w:r w:rsidRPr="0E218120">
        <w:t xml:space="preserve"> connected their myGov profile to Workforce Australia Online. If not, the Provider should, where appropriate, support the Participant to do so. </w:t>
      </w:r>
      <w:r w:rsidR="00D5542E">
        <w:t>This</w:t>
      </w:r>
      <w:r w:rsidRPr="00FF26C6">
        <w:t xml:space="preserve"> will enable the Participant to use all the features of the online platform</w:t>
      </w:r>
      <w:r>
        <w:t>, including view</w:t>
      </w:r>
      <w:r w:rsidR="00D5542E">
        <w:t>ing</w:t>
      </w:r>
      <w:r>
        <w:t xml:space="preserve"> A</w:t>
      </w:r>
      <w:r w:rsidRPr="00C875DB">
        <w:t xml:space="preserve">ppointments, </w:t>
      </w:r>
      <w:r>
        <w:t>A</w:t>
      </w:r>
      <w:r w:rsidRPr="00C875DB">
        <w:t xml:space="preserve">ctivities and </w:t>
      </w:r>
      <w:r w:rsidR="00D5542E">
        <w:t xml:space="preserve">scheduled </w:t>
      </w:r>
      <w:r>
        <w:t>J</w:t>
      </w:r>
      <w:r w:rsidRPr="00C875DB">
        <w:t xml:space="preserve">ob </w:t>
      </w:r>
      <w:r>
        <w:t>I</w:t>
      </w:r>
      <w:r w:rsidRPr="00C875DB">
        <w:t>nterviews in their Electronic Calendar</w:t>
      </w:r>
      <w:r>
        <w:t xml:space="preserve"> and u</w:t>
      </w:r>
      <w:r w:rsidRPr="00C875DB">
        <w:t>ndertake and report on Job Search efforts</w:t>
      </w:r>
      <w:r>
        <w:t>.</w:t>
      </w:r>
    </w:p>
    <w:p w14:paraId="69ECE451" w14:textId="02F8884F" w:rsidR="00D74559" w:rsidRDefault="00D74559" w:rsidP="001D0F92">
      <w:pPr>
        <w:pStyle w:val="Heading3"/>
      </w:pPr>
      <w:bookmarkStart w:id="110" w:name="_Ref202784407"/>
      <w:bookmarkStart w:id="111" w:name="_Toc202899910"/>
      <w:r>
        <w:t>3.4</w:t>
      </w:r>
      <w:r w:rsidR="003F6B39">
        <w:tab/>
      </w:r>
      <w:r>
        <w:t>Transfers</w:t>
      </w:r>
      <w:bookmarkEnd w:id="110"/>
      <w:bookmarkEnd w:id="111"/>
    </w:p>
    <w:p w14:paraId="3FFFF262" w14:textId="6F0BF1D1" w:rsidR="00D74559" w:rsidRDefault="00D74559" w:rsidP="006B3B40">
      <w:pPr>
        <w:keepLines/>
      </w:pPr>
      <w:r w:rsidRPr="0E218120">
        <w:t>Participants</w:t>
      </w:r>
      <w:r w:rsidR="000B2453">
        <w:t xml:space="preserve"> </w:t>
      </w:r>
      <w:r w:rsidRPr="0E218120">
        <w:t xml:space="preserve">may transfer between Providers for a range of reasons and at any time during their Period of Service. </w:t>
      </w:r>
      <w:r w:rsidR="002A5CA0">
        <w:t>Transfers</w:t>
      </w:r>
      <w:r w:rsidRPr="0E218120">
        <w:t xml:space="preserve"> can be initiated by the Participant, a Provider or the Department to </w:t>
      </w:r>
      <w:r w:rsidR="003E7F42" w:rsidRPr="003E7F42">
        <w:t>available Providers in their Employment Service Area (ESA).</w:t>
      </w:r>
      <w:r w:rsidRPr="0E218120">
        <w:t xml:space="preserve"> </w:t>
      </w:r>
    </w:p>
    <w:p w14:paraId="59027636" w14:textId="44A772D6" w:rsidR="00D74559" w:rsidRDefault="00D74559" w:rsidP="00B86C11">
      <w:pPr>
        <w:rPr>
          <w:color w:val="000000" w:themeColor="text1"/>
        </w:rPr>
      </w:pPr>
      <w:r w:rsidRPr="53BE8163">
        <w:rPr>
          <w:color w:val="000000" w:themeColor="text1"/>
        </w:rPr>
        <w:t>A transfer changes the Participant’s Referral from their current Provider (‘Relinquishing Provider’) to the new Provider (‘Gaining Provider’)</w:t>
      </w:r>
      <w:r>
        <w:rPr>
          <w:color w:val="000000" w:themeColor="text1"/>
        </w:rPr>
        <w:t xml:space="preserve">. This means the transfer </w:t>
      </w:r>
      <w:r w:rsidRPr="00642145">
        <w:rPr>
          <w:color w:val="000000" w:themeColor="text1"/>
        </w:rPr>
        <w:t xml:space="preserve">will end the Period of Registration with the Relinquishing Provider and start a </w:t>
      </w:r>
      <w:r w:rsidR="00DC7D6F">
        <w:rPr>
          <w:color w:val="000000" w:themeColor="text1"/>
        </w:rPr>
        <w:t>new</w:t>
      </w:r>
      <w:r w:rsidRPr="00642145">
        <w:rPr>
          <w:color w:val="000000" w:themeColor="text1"/>
        </w:rPr>
        <w:t xml:space="preserve"> Period of Registration with the Gaining Provider.</w:t>
      </w:r>
      <w:r>
        <w:rPr>
          <w:color w:val="000000" w:themeColor="text1"/>
        </w:rPr>
        <w:t xml:space="preserve"> The Period of Service will </w:t>
      </w:r>
      <w:r w:rsidR="00DC7D6F">
        <w:rPr>
          <w:color w:val="000000" w:themeColor="text1"/>
        </w:rPr>
        <w:t>be maintained</w:t>
      </w:r>
      <w:r>
        <w:rPr>
          <w:color w:val="000000" w:themeColor="text1"/>
        </w:rPr>
        <w:t>.</w:t>
      </w:r>
    </w:p>
    <w:p w14:paraId="4E7DE2F0" w14:textId="0F711F09" w:rsidR="00D74559" w:rsidRDefault="00D74559" w:rsidP="00B86C11">
      <w:r w:rsidRPr="0E218120">
        <w:t>Participants transfer to the Gaining Provider</w:t>
      </w:r>
      <w:r w:rsidR="0060039C">
        <w:t>’s</w:t>
      </w:r>
      <w:r w:rsidRPr="0E218120">
        <w:t xml:space="preserve"> </w:t>
      </w:r>
      <w:r w:rsidR="00E71FC8">
        <w:t>Caseload with</w:t>
      </w:r>
      <w:r w:rsidRPr="0E218120">
        <w:t xml:space="preserve"> a ‘Pending’ status. The Gaining Provider must undertake an Initial Interview to Commence the Participant. The Gaining Provider then becomes the Provider for the Participant and delivers Services to the Participant.</w:t>
      </w:r>
    </w:p>
    <w:p w14:paraId="4E77EB8D" w14:textId="101CC188" w:rsidR="00D74559" w:rsidRDefault="00D74559" w:rsidP="00B86C11">
      <w:r w:rsidRPr="7B18EECF">
        <w:t xml:space="preserve">The status of the </w:t>
      </w:r>
      <w:r w:rsidR="009B121A">
        <w:t>Participant</w:t>
      </w:r>
      <w:r w:rsidRPr="7B18EECF">
        <w:t xml:space="preserve"> </w:t>
      </w:r>
      <w:r w:rsidR="0060039C">
        <w:t>on</w:t>
      </w:r>
      <w:r w:rsidRPr="7B18EECF">
        <w:t xml:space="preserve"> the Relinquishing Provider</w:t>
      </w:r>
      <w:r w:rsidR="0060039C">
        <w:t>’s Caseload</w:t>
      </w:r>
      <w:r w:rsidRPr="7B18EECF">
        <w:t xml:space="preserve"> will change to ‘Exited’</w:t>
      </w:r>
      <w:r w:rsidR="00DD760C">
        <w:t>.</w:t>
      </w:r>
      <w:r w:rsidRPr="7B18EECF">
        <w:t xml:space="preserve"> </w:t>
      </w:r>
      <w:r w:rsidR="000C4895">
        <w:t>At this point, t</w:t>
      </w:r>
      <w:r w:rsidRPr="7B18EECF">
        <w:t xml:space="preserve">he Relinquishing Provider ceases to be the </w:t>
      </w:r>
      <w:r w:rsidR="000C4895" w:rsidRPr="7B18EECF">
        <w:t>Participant</w:t>
      </w:r>
      <w:r w:rsidR="000C4895">
        <w:t>’s</w:t>
      </w:r>
      <w:r w:rsidR="000C4895" w:rsidRPr="7B18EECF">
        <w:t xml:space="preserve"> </w:t>
      </w:r>
      <w:r w:rsidRPr="7B18EECF">
        <w:t>Provider and will have limited access to the Participant’s record on the Department’s IT Systems for the next 28 calendar days.</w:t>
      </w:r>
    </w:p>
    <w:p w14:paraId="1AB8993C" w14:textId="31166A32" w:rsidR="0098530C" w:rsidRDefault="0098530C" w:rsidP="0098530C">
      <w:pPr>
        <w:pStyle w:val="DeedReferences"/>
      </w:pPr>
      <w:r>
        <w:t xml:space="preserve">(Deed Reference(s): Clause </w:t>
      </w:r>
      <w:r w:rsidR="00080AF6">
        <w:t xml:space="preserve">109, </w:t>
      </w:r>
      <w:r w:rsidR="006F7FCD">
        <w:t>148</w:t>
      </w:r>
      <w:r>
        <w:t>)</w:t>
      </w:r>
    </w:p>
    <w:p w14:paraId="214D0AF8" w14:textId="2A969C5C" w:rsidR="00DF041F" w:rsidRDefault="00DF041F" w:rsidP="00B86C11">
      <w:pPr>
        <w:pStyle w:val="DocumentaryEvidenceRequirement"/>
      </w:pPr>
      <w:r>
        <w:t xml:space="preserve">Providers should ensure that </w:t>
      </w:r>
      <w:r w:rsidR="289982D4">
        <w:t xml:space="preserve">details of </w:t>
      </w:r>
      <w:r w:rsidR="00B05D49">
        <w:t>s</w:t>
      </w:r>
      <w:r w:rsidR="289982D4">
        <w:t xml:space="preserve">upport delivered to Participants are </w:t>
      </w:r>
      <w:r>
        <w:t xml:space="preserve">entered into the Department’s IT </w:t>
      </w:r>
      <w:r w:rsidR="24BDC2C1">
        <w:t>S</w:t>
      </w:r>
      <w:r>
        <w:t>ystem</w:t>
      </w:r>
      <w:r w:rsidR="00756F3F">
        <w:t>s</w:t>
      </w:r>
      <w:r>
        <w:t xml:space="preserve"> </w:t>
      </w:r>
      <w:r w:rsidR="0308A5CF">
        <w:t>before</w:t>
      </w:r>
      <w:r>
        <w:t xml:space="preserve"> the Participant</w:t>
      </w:r>
      <w:r w:rsidR="75C48178">
        <w:t xml:space="preserve"> is</w:t>
      </w:r>
      <w:r>
        <w:t xml:space="preserve"> Exit</w:t>
      </w:r>
      <w:r w:rsidR="57F1808D">
        <w:t>ed</w:t>
      </w:r>
      <w:r>
        <w:t>.</w:t>
      </w:r>
    </w:p>
    <w:p w14:paraId="23FA36EC" w14:textId="00DECFFB" w:rsidR="00B86C11" w:rsidRPr="00510CCE" w:rsidRDefault="00B86C11" w:rsidP="009D3AA7">
      <w:pPr>
        <w:pStyle w:val="SystemStep"/>
      </w:pPr>
      <w:r>
        <w:t>Providers capture the support provided using comment functionality in the Program Summary on the Department’s IT Systems.</w:t>
      </w:r>
    </w:p>
    <w:p w14:paraId="7137570D" w14:textId="01464F9E" w:rsidR="004D31F7" w:rsidRDefault="004D31F7" w:rsidP="004D31F7">
      <w:pPr>
        <w:pStyle w:val="Heading4"/>
      </w:pPr>
      <w:bookmarkStart w:id="112" w:name="_Toc202899911"/>
      <w:r>
        <w:t>3.4.1</w:t>
      </w:r>
      <w:r w:rsidR="00D30D28">
        <w:tab/>
      </w:r>
      <w:r>
        <w:t>General considerations for transfers</w:t>
      </w:r>
      <w:bookmarkEnd w:id="112"/>
    </w:p>
    <w:p w14:paraId="7D687137" w14:textId="36EB054E" w:rsidR="0098530C" w:rsidRPr="0098530C" w:rsidRDefault="0098530C" w:rsidP="0098530C">
      <w:pPr>
        <w:pStyle w:val="Heading5"/>
      </w:pPr>
      <w:r>
        <w:t>Warm Handovers</w:t>
      </w:r>
    </w:p>
    <w:p w14:paraId="7E87A8A4" w14:textId="119F3A62" w:rsidR="00D74559" w:rsidRDefault="00E76664" w:rsidP="006E2EF5">
      <w:r>
        <w:t>Both</w:t>
      </w:r>
      <w:r w:rsidR="00D74559" w:rsidRPr="00995272">
        <w:t xml:space="preserve"> the </w:t>
      </w:r>
      <w:r>
        <w:t xml:space="preserve">Gaining and </w:t>
      </w:r>
      <w:r w:rsidR="00D74559">
        <w:t xml:space="preserve">Relinquishing </w:t>
      </w:r>
      <w:r w:rsidR="00D74559" w:rsidRPr="0E218120">
        <w:t>Providers must assist, facilitate, and cooperate with</w:t>
      </w:r>
      <w:r w:rsidR="00D74559">
        <w:t xml:space="preserve"> the </w:t>
      </w:r>
      <w:r w:rsidR="003472E0">
        <w:t>t</w:t>
      </w:r>
      <w:r w:rsidR="00D74559">
        <w:t>ransfer of a Participant</w:t>
      </w:r>
      <w:r w:rsidR="00D74559" w:rsidRPr="0E218120">
        <w:t>.</w:t>
      </w:r>
      <w:r w:rsidR="00C97C2D">
        <w:t xml:space="preserve"> Providers </w:t>
      </w:r>
      <w:r w:rsidR="009B66DE">
        <w:t xml:space="preserve">are to </w:t>
      </w:r>
      <w:r w:rsidR="00C97C2D">
        <w:t>do this through a Warm Handover.</w:t>
      </w:r>
    </w:p>
    <w:p w14:paraId="26E2B226" w14:textId="50BAD2DC" w:rsidR="001F53EB" w:rsidRDefault="001F53EB" w:rsidP="001F53EB">
      <w:pPr>
        <w:pStyle w:val="DeedReferences"/>
      </w:pPr>
      <w:r>
        <w:t>(Deed Reference(s): Clause 1</w:t>
      </w:r>
      <w:r w:rsidR="004A7B2C">
        <w:t>49</w:t>
      </w:r>
      <w:r>
        <w:t>.1)</w:t>
      </w:r>
    </w:p>
    <w:p w14:paraId="7400EB27" w14:textId="14D18052" w:rsidR="00C97C2D" w:rsidRDefault="00C97C2D" w:rsidP="00C97C2D">
      <w:r w:rsidRPr="0E218120">
        <w:t xml:space="preserve">A Warm Handover is a meeting between the Gaining Provider, Relinquishing Provider, and </w:t>
      </w:r>
      <w:r>
        <w:t>Transferred</w:t>
      </w:r>
      <w:r w:rsidRPr="0E218120">
        <w:t xml:space="preserve"> Participant. The Warm Handover is intended to improve the continuity of support during their Period of Service</w:t>
      </w:r>
      <w:r w:rsidR="00C07F5A">
        <w:t xml:space="preserve"> —</w:t>
      </w:r>
      <w:r w:rsidR="00E3612F" w:rsidRPr="00E3612F">
        <w:t xml:space="preserve"> </w:t>
      </w:r>
      <w:r w:rsidR="00E3612F" w:rsidRPr="0E218120">
        <w:t xml:space="preserve">through the sharing </w:t>
      </w:r>
      <w:r w:rsidR="00E3612F">
        <w:t xml:space="preserve">of </w:t>
      </w:r>
      <w:r w:rsidR="00E3612F" w:rsidRPr="0E218120">
        <w:t xml:space="preserve">appropriate information about </w:t>
      </w:r>
      <w:r w:rsidR="00867334">
        <w:t>tasks and activities being undertaken</w:t>
      </w:r>
      <w:r w:rsidR="00E3612F" w:rsidRPr="0E218120">
        <w:t xml:space="preserve"> and progress</w:t>
      </w:r>
      <w:r w:rsidR="00867334">
        <w:t xml:space="preserve"> towards ongoing Employment</w:t>
      </w:r>
      <w:r w:rsidR="00C07F5A">
        <w:t>.</w:t>
      </w:r>
    </w:p>
    <w:p w14:paraId="0372A8A2" w14:textId="065BB0AB" w:rsidR="00376609" w:rsidRDefault="006A0488" w:rsidP="006A0488">
      <w:pPr>
        <w:rPr>
          <w:rFonts w:ascii="Tahoma" w:eastAsia="Tahoma" w:hAnsi="Tahoma" w:cs="Tahoma"/>
          <w:color w:val="000000" w:themeColor="text1"/>
        </w:rPr>
      </w:pPr>
      <w:r>
        <w:t xml:space="preserve">A </w:t>
      </w:r>
      <w:r w:rsidRPr="7B18EECF">
        <w:rPr>
          <w:rFonts w:ascii="Tahoma" w:eastAsia="Tahoma" w:hAnsi="Tahoma" w:cs="Tahoma"/>
          <w:color w:val="000000" w:themeColor="text1"/>
        </w:rPr>
        <w:t xml:space="preserve">Relinquishing Provider must offer the Participant a Warm Handover as part of their transfer. </w:t>
      </w:r>
      <w:r w:rsidR="00F75F6C">
        <w:rPr>
          <w:rFonts w:ascii="Tahoma" w:eastAsia="Tahoma" w:hAnsi="Tahoma" w:cs="Tahoma"/>
          <w:color w:val="000000" w:themeColor="text1"/>
        </w:rPr>
        <w:t xml:space="preserve">If the Participant requests attendance, the Relinquishing </w:t>
      </w:r>
      <w:r w:rsidR="00F75F6C" w:rsidRPr="235E8F5B">
        <w:rPr>
          <w:rFonts w:ascii="Tahoma" w:eastAsia="Tahoma" w:hAnsi="Tahoma" w:cs="Tahoma"/>
          <w:color w:val="000000" w:themeColor="text1"/>
        </w:rPr>
        <w:t>Provider</w:t>
      </w:r>
      <w:r w:rsidR="00F75F6C">
        <w:rPr>
          <w:rFonts w:ascii="Tahoma" w:eastAsia="Tahoma" w:hAnsi="Tahoma" w:cs="Tahoma"/>
          <w:color w:val="000000" w:themeColor="text1"/>
        </w:rPr>
        <w:t xml:space="preserve"> must attend the </w:t>
      </w:r>
      <w:r w:rsidR="00F75F6C" w:rsidRPr="0E218120">
        <w:t xml:space="preserve">Warm Handover, even though the Participant will be Exited from the Provider’s </w:t>
      </w:r>
      <w:r w:rsidR="00F75F6C">
        <w:t>Caseload</w:t>
      </w:r>
      <w:r w:rsidR="00F75F6C" w:rsidRPr="0E218120">
        <w:t xml:space="preserve"> at the time of the Appointment.</w:t>
      </w:r>
    </w:p>
    <w:p w14:paraId="0C8685FD" w14:textId="15D95DA4" w:rsidR="0031010A" w:rsidRDefault="00F75F6C" w:rsidP="006A0488">
      <w:r>
        <w:t>In offering a Warm Handover, the</w:t>
      </w:r>
      <w:r w:rsidR="00C97C2D" w:rsidRPr="0E218120">
        <w:t xml:space="preserve"> </w:t>
      </w:r>
      <w:r w:rsidR="0018128D">
        <w:t>Relinquishing</w:t>
      </w:r>
      <w:r w:rsidR="00376609">
        <w:t xml:space="preserve"> </w:t>
      </w:r>
      <w:r w:rsidR="00C97C2D" w:rsidRPr="0E218120">
        <w:t>Provider must</w:t>
      </w:r>
      <w:r w:rsidR="0031010A">
        <w:t>:</w:t>
      </w:r>
    </w:p>
    <w:p w14:paraId="4BE146D7" w14:textId="7FCA1867" w:rsidR="0031010A" w:rsidRPr="0031010A" w:rsidRDefault="0031010A" w:rsidP="0031010A">
      <w:pPr>
        <w:pStyle w:val="BulletLevel1"/>
      </w:pPr>
      <w:r w:rsidRPr="0031010A">
        <w:t xml:space="preserve">explain </w:t>
      </w:r>
      <w:r w:rsidR="00F16664">
        <w:t xml:space="preserve">the process of a Warm Handover, including </w:t>
      </w:r>
      <w:r w:rsidR="0006772F">
        <w:t>the</w:t>
      </w:r>
      <w:r w:rsidR="00F16664">
        <w:t xml:space="preserve"> benefits</w:t>
      </w:r>
      <w:r w:rsidR="0006772F">
        <w:t xml:space="preserve"> </w:t>
      </w:r>
      <w:r w:rsidR="00F75F6C">
        <w:t>from</w:t>
      </w:r>
      <w:r w:rsidR="00CD7F2A">
        <w:t xml:space="preserve"> having them in attendance at their Initial Interview with the </w:t>
      </w:r>
      <w:r w:rsidR="00F75F6C">
        <w:t>‘new’</w:t>
      </w:r>
      <w:r w:rsidR="00CD7F2A">
        <w:t xml:space="preserve"> Provider</w:t>
      </w:r>
    </w:p>
    <w:p w14:paraId="1C6772FC" w14:textId="093DDDFD" w:rsidR="0031010A" w:rsidRPr="0031010A" w:rsidRDefault="0031010A" w:rsidP="0031010A">
      <w:pPr>
        <w:pStyle w:val="BulletLevel1"/>
      </w:pPr>
      <w:r w:rsidRPr="0031010A">
        <w:t>discuss the type</w:t>
      </w:r>
      <w:r w:rsidR="00F16664">
        <w:t>s</w:t>
      </w:r>
      <w:r w:rsidRPr="0031010A">
        <w:t xml:space="preserve"> of </w:t>
      </w:r>
      <w:r w:rsidR="00F16664">
        <w:t>P</w:t>
      </w:r>
      <w:r w:rsidRPr="0031010A">
        <w:t xml:space="preserve">ersonal or </w:t>
      </w:r>
      <w:r w:rsidR="00F16664">
        <w:t>S</w:t>
      </w:r>
      <w:r w:rsidRPr="0031010A">
        <w:t xml:space="preserve">ensitive </w:t>
      </w:r>
      <w:r w:rsidR="00F16664">
        <w:t>I</w:t>
      </w:r>
      <w:r w:rsidRPr="0031010A">
        <w:t xml:space="preserve">nformation they may need to consider sharing at the </w:t>
      </w:r>
      <w:r w:rsidR="0006772F">
        <w:t>W</w:t>
      </w:r>
      <w:r w:rsidRPr="0031010A">
        <w:t xml:space="preserve">arm </w:t>
      </w:r>
      <w:r w:rsidR="0006772F">
        <w:t>H</w:t>
      </w:r>
      <w:r w:rsidRPr="0031010A">
        <w:t>andover, with their consent</w:t>
      </w:r>
    </w:p>
    <w:p w14:paraId="47B2EEF6" w14:textId="6F5FFE59" w:rsidR="0031010A" w:rsidRPr="0031010A" w:rsidRDefault="0031010A" w:rsidP="0031010A">
      <w:pPr>
        <w:pStyle w:val="BulletLevel1"/>
      </w:pPr>
      <w:r w:rsidRPr="0031010A">
        <w:t xml:space="preserve">ask the </w:t>
      </w:r>
      <w:r w:rsidR="00CD7F2A">
        <w:t>P</w:t>
      </w:r>
      <w:r w:rsidRPr="0031010A">
        <w:t xml:space="preserve">articipant whether </w:t>
      </w:r>
      <w:r w:rsidR="009E1453">
        <w:t xml:space="preserve">or not </w:t>
      </w:r>
      <w:r w:rsidRPr="0031010A">
        <w:t xml:space="preserve">there is any information that the </w:t>
      </w:r>
      <w:r w:rsidR="00CD7F2A">
        <w:t>P</w:t>
      </w:r>
      <w:r w:rsidRPr="0031010A">
        <w:t xml:space="preserve">articipant does not wish to </w:t>
      </w:r>
      <w:r w:rsidR="00624651">
        <w:t xml:space="preserve">be </w:t>
      </w:r>
      <w:r w:rsidRPr="0031010A">
        <w:t>share</w:t>
      </w:r>
      <w:r w:rsidR="00624651">
        <w:t>d</w:t>
      </w:r>
      <w:r w:rsidRPr="0031010A">
        <w:t xml:space="preserve"> at the </w:t>
      </w:r>
      <w:r w:rsidR="00CD7F2A">
        <w:t>W</w:t>
      </w:r>
      <w:r w:rsidRPr="0031010A">
        <w:t xml:space="preserve">arm </w:t>
      </w:r>
      <w:r w:rsidR="00CD7F2A">
        <w:t>H</w:t>
      </w:r>
      <w:r w:rsidRPr="0031010A">
        <w:t>andover</w:t>
      </w:r>
    </w:p>
    <w:p w14:paraId="36861CCC" w14:textId="6DF6F4CE" w:rsidR="0031010A" w:rsidRPr="0031010A" w:rsidRDefault="0031010A" w:rsidP="0031010A">
      <w:pPr>
        <w:pStyle w:val="BulletLevel1"/>
      </w:pPr>
      <w:r w:rsidRPr="0031010A">
        <w:t xml:space="preserve">advise the </w:t>
      </w:r>
      <w:r w:rsidR="00263278">
        <w:t>P</w:t>
      </w:r>
      <w:r w:rsidRPr="0031010A">
        <w:t xml:space="preserve">articipant that once </w:t>
      </w:r>
      <w:r w:rsidR="00263278">
        <w:t>the I</w:t>
      </w:r>
      <w:r w:rsidRPr="0031010A">
        <w:t xml:space="preserve">nitial </w:t>
      </w:r>
      <w:r w:rsidR="00263278">
        <w:t>I</w:t>
      </w:r>
      <w:r w:rsidRPr="0031010A">
        <w:t xml:space="preserve">nterview has been scheduled, they will need to </w:t>
      </w:r>
      <w:r w:rsidR="00624651">
        <w:t>contact</w:t>
      </w:r>
      <w:r w:rsidRPr="0031010A">
        <w:t xml:space="preserve"> </w:t>
      </w:r>
      <w:r w:rsidR="00263278">
        <w:t>them</w:t>
      </w:r>
      <w:r w:rsidRPr="0031010A">
        <w:t xml:space="preserve"> </w:t>
      </w:r>
      <w:r w:rsidR="00624651">
        <w:t>and provide</w:t>
      </w:r>
      <w:r w:rsidRPr="0031010A">
        <w:t xml:space="preserve"> the appointment details (i.e. time, date, new provider name and location), and</w:t>
      </w:r>
    </w:p>
    <w:p w14:paraId="520B983F" w14:textId="3A403A06" w:rsidR="0031010A" w:rsidRPr="0031010A" w:rsidRDefault="0031010A" w:rsidP="0031010A">
      <w:pPr>
        <w:pStyle w:val="BulletLevel1"/>
      </w:pPr>
      <w:r w:rsidRPr="0031010A">
        <w:t xml:space="preserve">attend the </w:t>
      </w:r>
      <w:r w:rsidR="00263278">
        <w:t>I</w:t>
      </w:r>
      <w:r w:rsidRPr="0031010A">
        <w:t xml:space="preserve">nitial </w:t>
      </w:r>
      <w:r w:rsidR="00263278">
        <w:t>I</w:t>
      </w:r>
      <w:r w:rsidRPr="0031010A">
        <w:t xml:space="preserve">nterview with the </w:t>
      </w:r>
      <w:r w:rsidR="00263278">
        <w:t>P</w:t>
      </w:r>
      <w:r w:rsidRPr="0031010A">
        <w:t>articipant</w:t>
      </w:r>
      <w:r w:rsidR="000B5E2D">
        <w:t>, as requested</w:t>
      </w:r>
      <w:r w:rsidR="00263278">
        <w:t>.</w:t>
      </w:r>
    </w:p>
    <w:p w14:paraId="677D1E5F" w14:textId="42EA0575" w:rsidR="00E76664" w:rsidRDefault="006A0488" w:rsidP="00060DD9">
      <w:r>
        <w:t xml:space="preserve">The Gaining </w:t>
      </w:r>
      <w:r w:rsidR="00060DD9" w:rsidRPr="0E218120">
        <w:t xml:space="preserve">Provider must confirm with the </w:t>
      </w:r>
      <w:r w:rsidR="00060DD9">
        <w:t>T</w:t>
      </w:r>
      <w:r w:rsidR="00060DD9" w:rsidRPr="0E218120">
        <w:t>ransferred Participant if they want to participate in a Warm Handover as part of their Initial Interview.</w:t>
      </w:r>
    </w:p>
    <w:p w14:paraId="112AE121" w14:textId="32DD3F92" w:rsidR="00F066AF" w:rsidRDefault="00060DD9" w:rsidP="00060DD9">
      <w:r w:rsidRPr="0E218120">
        <w:t xml:space="preserve">If a Participant </w:t>
      </w:r>
      <w:r w:rsidR="005D67DF">
        <w:t xml:space="preserve">has </w:t>
      </w:r>
      <w:r w:rsidRPr="0E218120">
        <w:t>accept</w:t>
      </w:r>
      <w:r w:rsidR="005D67DF">
        <w:t>ed</w:t>
      </w:r>
      <w:r w:rsidRPr="0E218120">
        <w:t xml:space="preserve"> a Warm Handover, the Gaining Provider must </w:t>
      </w:r>
      <w:r w:rsidR="00CB6F07">
        <w:t>ensure</w:t>
      </w:r>
      <w:r w:rsidRPr="0E218120">
        <w:t xml:space="preserve"> the Participant </w:t>
      </w:r>
      <w:r w:rsidR="00CB6F07">
        <w:t xml:space="preserve">understands </w:t>
      </w:r>
      <w:r w:rsidRPr="0E218120">
        <w:t xml:space="preserve">that it is their responsibility to contact </w:t>
      </w:r>
      <w:r w:rsidR="006E498E">
        <w:t>their previous</w:t>
      </w:r>
      <w:r>
        <w:t xml:space="preserve"> </w:t>
      </w:r>
      <w:r w:rsidRPr="0E218120">
        <w:t>Provider</w:t>
      </w:r>
      <w:r w:rsidR="006E498E">
        <w:t>,</w:t>
      </w:r>
      <w:r w:rsidRPr="0E218120">
        <w:t xml:space="preserve"> to inform them of the details of their Initial Interview (i.e. time, date, and location).</w:t>
      </w:r>
    </w:p>
    <w:p w14:paraId="70AE3C1A" w14:textId="2F98E99E" w:rsidR="00060DD9" w:rsidRDefault="00CB6F07" w:rsidP="00060DD9">
      <w:r w:rsidRPr="00CB6F07">
        <w:rPr>
          <w:b/>
          <w:bCs/>
        </w:rPr>
        <w:t>Note:</w:t>
      </w:r>
      <w:r>
        <w:t xml:space="preserve"> </w:t>
      </w:r>
      <w:r w:rsidR="00060DD9" w:rsidRPr="0E218120">
        <w:t>The Participant may also wish to have other</w:t>
      </w:r>
      <w:r w:rsidR="00060DD9">
        <w:t>s</w:t>
      </w:r>
      <w:r w:rsidR="00060DD9" w:rsidRPr="0E218120">
        <w:t xml:space="preserve"> </w:t>
      </w:r>
      <w:r>
        <w:t>in attendance at their Initial Interview,</w:t>
      </w:r>
      <w:r w:rsidR="00060DD9" w:rsidRPr="0E218120">
        <w:t xml:space="preserve"> as a support person or advocate (see relevant </w:t>
      </w:r>
      <w:r w:rsidR="00060DD9" w:rsidRPr="002910CA">
        <w:t>details under</w:t>
      </w:r>
      <w:r w:rsidR="002910CA" w:rsidRPr="002910CA">
        <w:t xml:space="preserve"> </w:t>
      </w:r>
      <w:r w:rsidR="002910CA" w:rsidRPr="002910CA">
        <w:fldChar w:fldCharType="begin"/>
      </w:r>
      <w:r w:rsidR="002910CA" w:rsidRPr="002910CA">
        <w:instrText xml:space="preserve"> REF _Ref202781902 \h </w:instrText>
      </w:r>
      <w:r w:rsidR="002910CA">
        <w:instrText xml:space="preserve"> \* MERGEFORMAT </w:instrText>
      </w:r>
      <w:r w:rsidR="002910CA" w:rsidRPr="002910CA">
        <w:fldChar w:fldCharType="separate"/>
      </w:r>
      <w:r w:rsidR="000D75AE" w:rsidRPr="362FEA09">
        <w:t>3.2.2</w:t>
      </w:r>
      <w:r w:rsidR="002E053E">
        <w:t xml:space="preserve"> </w:t>
      </w:r>
      <w:r w:rsidR="000D75AE" w:rsidRPr="362FEA09">
        <w:t>Initial Interview</w:t>
      </w:r>
      <w:r w:rsidR="002910CA" w:rsidRPr="002910CA">
        <w:fldChar w:fldCharType="end"/>
      </w:r>
      <w:r w:rsidR="00060DD9" w:rsidRPr="0E218120">
        <w:t>).</w:t>
      </w:r>
      <w:r w:rsidR="003A5E19">
        <w:t xml:space="preserve"> This is not prohibited by the attendance of the Relinquishing Provider.</w:t>
      </w:r>
    </w:p>
    <w:p w14:paraId="632E1967" w14:textId="77777777" w:rsidR="00D74559" w:rsidRDefault="00D74559" w:rsidP="006E2EF5">
      <w:r>
        <w:t xml:space="preserve">Participants can choose not to have a Warm Handover. </w:t>
      </w:r>
    </w:p>
    <w:p w14:paraId="7A9164C6" w14:textId="42ACD1D4" w:rsidR="00D74559" w:rsidRPr="00995272" w:rsidRDefault="00D74559" w:rsidP="0079424A">
      <w:pPr>
        <w:pStyle w:val="DocumentaryEvidenceRequirement"/>
      </w:pPr>
      <w:r w:rsidRPr="00995272">
        <w:t xml:space="preserve">Relinquishing Providers must record the details of the Warm Handover off-Calendar as the Participant will be Exited when the </w:t>
      </w:r>
      <w:r w:rsidR="00DD07DD">
        <w:t>a</w:t>
      </w:r>
      <w:r w:rsidRPr="00995272">
        <w:t>ppointment details are set.</w:t>
      </w:r>
    </w:p>
    <w:p w14:paraId="36D3F066" w14:textId="77777777" w:rsidR="00D74559" w:rsidRDefault="00D74559" w:rsidP="006D1645">
      <w:pPr>
        <w:pStyle w:val="Heading5"/>
      </w:pPr>
      <w:r w:rsidRPr="53BE8163">
        <w:t>Program Summary</w:t>
      </w:r>
    </w:p>
    <w:p w14:paraId="7BBA4541" w14:textId="0601CD6E" w:rsidR="00D74559" w:rsidRDefault="00D74559" w:rsidP="006E2EF5">
      <w:pPr>
        <w:tabs>
          <w:tab w:val="right" w:pos="1701"/>
        </w:tabs>
        <w:rPr>
          <w:rFonts w:ascii="Tahoma" w:eastAsia="Tahoma" w:hAnsi="Tahoma" w:cs="Tahoma"/>
          <w:color w:val="000000" w:themeColor="text1"/>
        </w:rPr>
      </w:pPr>
      <w:r w:rsidRPr="53BE8163">
        <w:rPr>
          <w:rFonts w:ascii="Tahoma" w:eastAsia="Tahoma" w:hAnsi="Tahoma" w:cs="Tahoma"/>
          <w:color w:val="000000" w:themeColor="text1"/>
        </w:rPr>
        <w:t xml:space="preserve">Relinquishing Providers must complete a Program Summary for the Participant within </w:t>
      </w:r>
      <w:r>
        <w:rPr>
          <w:rFonts w:ascii="Tahoma" w:eastAsia="Tahoma" w:hAnsi="Tahoma" w:cs="Tahoma"/>
          <w:color w:val="000000" w:themeColor="text1"/>
        </w:rPr>
        <w:t>5</w:t>
      </w:r>
      <w:r w:rsidRPr="53BE8163">
        <w:rPr>
          <w:rFonts w:ascii="Tahoma" w:eastAsia="Tahoma" w:hAnsi="Tahoma" w:cs="Tahoma"/>
          <w:color w:val="000000" w:themeColor="text1"/>
        </w:rPr>
        <w:t xml:space="preserve"> Business Days of the Participant</w:t>
      </w:r>
      <w:r w:rsidR="000E7D08">
        <w:rPr>
          <w:rFonts w:ascii="Tahoma" w:eastAsia="Tahoma" w:hAnsi="Tahoma" w:cs="Tahoma"/>
          <w:color w:val="000000" w:themeColor="text1"/>
        </w:rPr>
        <w:t>’s</w:t>
      </w:r>
      <w:r w:rsidRPr="53BE8163">
        <w:rPr>
          <w:rFonts w:ascii="Tahoma" w:eastAsia="Tahoma" w:hAnsi="Tahoma" w:cs="Tahoma"/>
          <w:color w:val="000000" w:themeColor="text1"/>
        </w:rPr>
        <w:t xml:space="preserve"> </w:t>
      </w:r>
      <w:r w:rsidR="005F1E85">
        <w:rPr>
          <w:rFonts w:ascii="Tahoma" w:eastAsia="Tahoma" w:hAnsi="Tahoma" w:cs="Tahoma"/>
          <w:color w:val="000000" w:themeColor="text1"/>
        </w:rPr>
        <w:t>Exit</w:t>
      </w:r>
      <w:r w:rsidRPr="53BE8163">
        <w:rPr>
          <w:rFonts w:ascii="Tahoma" w:eastAsia="Tahoma" w:hAnsi="Tahoma" w:cs="Tahoma"/>
          <w:color w:val="000000" w:themeColor="text1"/>
        </w:rPr>
        <w:t>.</w:t>
      </w:r>
    </w:p>
    <w:p w14:paraId="33FFC467" w14:textId="5F8842D1" w:rsidR="00D74559" w:rsidRDefault="00D74559" w:rsidP="006E2EF5">
      <w:pPr>
        <w:pStyle w:val="DeedReferences"/>
      </w:pPr>
      <w:r>
        <w:t>(</w:t>
      </w:r>
      <w:r w:rsidR="00A73420">
        <w:t>Deed Reference(s): Clause</w:t>
      </w:r>
      <w:r>
        <w:t xml:space="preserve"> </w:t>
      </w:r>
      <w:r w:rsidR="008B781B">
        <w:t>154.15</w:t>
      </w:r>
      <w:r>
        <w:t>)</w:t>
      </w:r>
    </w:p>
    <w:p w14:paraId="5C5B6F27" w14:textId="57A28E41" w:rsidR="00F71E1D" w:rsidRDefault="00660F5C" w:rsidP="006E2EF5">
      <w:pPr>
        <w:tabs>
          <w:tab w:val="right" w:pos="1701"/>
        </w:tabs>
        <w:rPr>
          <w:rFonts w:ascii="Tahoma" w:eastAsia="Tahoma" w:hAnsi="Tahoma" w:cs="Tahoma"/>
          <w:color w:val="000000" w:themeColor="text1"/>
        </w:rPr>
      </w:pPr>
      <w:r w:rsidRPr="00FD72B3">
        <w:t xml:space="preserve">The Program </w:t>
      </w:r>
      <w:r>
        <w:t xml:space="preserve">Summary provides </w:t>
      </w:r>
      <w:r w:rsidR="00C74C33">
        <w:t>Inclusive Employment Australia</w:t>
      </w:r>
      <w:r>
        <w:t xml:space="preserve"> Providers and Services Australia </w:t>
      </w:r>
      <w:r w:rsidR="00A844C8">
        <w:t xml:space="preserve">Assessors </w:t>
      </w:r>
      <w:r w:rsidRPr="00FD72B3">
        <w:t xml:space="preserve">with information on the Participant’s progress in </w:t>
      </w:r>
      <w:r w:rsidR="00C74C33">
        <w:t>Inclusive Employment Australia</w:t>
      </w:r>
      <w:r w:rsidRPr="00FD72B3">
        <w:t xml:space="preserve">, achievements, and barriers to achieving and/or maintaining sustainable </w:t>
      </w:r>
      <w:r w:rsidR="00A844C8">
        <w:t>E</w:t>
      </w:r>
      <w:r w:rsidRPr="00FD72B3">
        <w:t>mployment</w:t>
      </w:r>
      <w:r w:rsidR="00BF2EF8">
        <w:t>.</w:t>
      </w:r>
    </w:p>
    <w:p w14:paraId="761E6B92" w14:textId="42886AF2" w:rsidR="00D74559" w:rsidRPr="009E5727" w:rsidRDefault="00D74559" w:rsidP="006E2EF5">
      <w:pPr>
        <w:tabs>
          <w:tab w:val="right" w:pos="1701"/>
        </w:tabs>
        <w:rPr>
          <w:rFonts w:ascii="Tahoma" w:eastAsia="Tahoma" w:hAnsi="Tahoma" w:cs="Tahoma"/>
          <w:color w:val="000000" w:themeColor="text1"/>
        </w:rPr>
      </w:pPr>
      <w:r w:rsidRPr="009E5727">
        <w:rPr>
          <w:rFonts w:ascii="Tahoma" w:eastAsia="Tahoma" w:hAnsi="Tahoma" w:cs="Tahoma"/>
          <w:color w:val="000000" w:themeColor="text1"/>
        </w:rPr>
        <w:t>When creating or updating the Program Summary</w:t>
      </w:r>
      <w:r>
        <w:rPr>
          <w:rFonts w:ascii="Tahoma" w:eastAsia="Tahoma" w:hAnsi="Tahoma" w:cs="Tahoma"/>
          <w:color w:val="000000" w:themeColor="text1"/>
        </w:rPr>
        <w:t xml:space="preserve"> as part of transfer arrangements</w:t>
      </w:r>
      <w:r w:rsidRPr="009E5727">
        <w:rPr>
          <w:rFonts w:ascii="Tahoma" w:eastAsia="Tahoma" w:hAnsi="Tahoma" w:cs="Tahoma"/>
          <w:color w:val="000000" w:themeColor="text1"/>
        </w:rPr>
        <w:t xml:space="preserve">, the Provider </w:t>
      </w:r>
      <w:r w:rsidR="00B1174C">
        <w:rPr>
          <w:rFonts w:ascii="Tahoma" w:eastAsia="Tahoma" w:hAnsi="Tahoma" w:cs="Tahoma"/>
          <w:color w:val="000000" w:themeColor="text1"/>
        </w:rPr>
        <w:t>must</w:t>
      </w:r>
      <w:r w:rsidRPr="009E5727">
        <w:rPr>
          <w:rFonts w:ascii="Tahoma" w:eastAsia="Tahoma" w:hAnsi="Tahoma" w:cs="Tahoma"/>
          <w:color w:val="000000" w:themeColor="text1"/>
        </w:rPr>
        <w:t xml:space="preserve"> enter information about the Participant’s progress </w:t>
      </w:r>
      <w:r w:rsidR="00B1174C" w:rsidRPr="00B1174C">
        <w:rPr>
          <w:rFonts w:ascii="Tahoma" w:eastAsia="Tahoma" w:hAnsi="Tahoma" w:cs="Tahoma"/>
          <w:color w:val="000000" w:themeColor="text1"/>
        </w:rPr>
        <w:t>during their Period of Registration</w:t>
      </w:r>
      <w:r w:rsidRPr="009E5727">
        <w:rPr>
          <w:rFonts w:ascii="Tahoma" w:eastAsia="Tahoma" w:hAnsi="Tahoma" w:cs="Tahoma"/>
          <w:color w:val="000000" w:themeColor="text1"/>
        </w:rPr>
        <w:t>, including:</w:t>
      </w:r>
    </w:p>
    <w:p w14:paraId="232AE749" w14:textId="04B885A8" w:rsidR="006E2EF6" w:rsidRDefault="00F87530" w:rsidP="004E120D">
      <w:pPr>
        <w:pStyle w:val="BulletLevel1"/>
      </w:pPr>
      <w:r>
        <w:t xml:space="preserve">information on </w:t>
      </w:r>
      <w:r w:rsidR="0072348D">
        <w:t xml:space="preserve">the Participant’s </w:t>
      </w:r>
      <w:r>
        <w:t xml:space="preserve">current </w:t>
      </w:r>
      <w:r w:rsidR="0072348D">
        <w:t>Job Plan</w:t>
      </w:r>
      <w:r>
        <w:t xml:space="preserve"> and Job Plan history, such as:</w:t>
      </w:r>
    </w:p>
    <w:p w14:paraId="0C64C111" w14:textId="0638B22A" w:rsidR="00861C7F" w:rsidRDefault="00861C7F">
      <w:pPr>
        <w:pStyle w:val="BulletLevel2"/>
      </w:pPr>
      <w:r>
        <w:t>Documentary Evidence</w:t>
      </w:r>
      <w:r w:rsidR="000B155C">
        <w:t xml:space="preserve"> </w:t>
      </w:r>
      <w:r w:rsidRPr="00995272">
        <w:t xml:space="preserve">that informed the Provider’s determination to </w:t>
      </w:r>
      <w:bookmarkStart w:id="113" w:name="_Int_H0srHTyh"/>
      <w:r w:rsidRPr="00995272">
        <w:t>enter into</w:t>
      </w:r>
      <w:bookmarkEnd w:id="113"/>
      <w:r w:rsidRPr="00995272">
        <w:t xml:space="preserve"> a Detailed Job Plan with the Participant, if relevant</w:t>
      </w:r>
      <w:r w:rsidR="000612E8">
        <w:t>, or</w:t>
      </w:r>
    </w:p>
    <w:p w14:paraId="5EA237E6" w14:textId="1BC514D0" w:rsidR="009824D1" w:rsidRDefault="009824D1">
      <w:pPr>
        <w:pStyle w:val="BulletLevel2"/>
      </w:pPr>
      <w:r>
        <w:t xml:space="preserve">Documentary Evidence that </w:t>
      </w:r>
      <w:r w:rsidR="00303817">
        <w:t>informed</w:t>
      </w:r>
      <w:r>
        <w:t xml:space="preserve"> the Provider’s determination to re-enter into a Meaningful Engagement Job Plan with the Participant, if relevant</w:t>
      </w:r>
    </w:p>
    <w:p w14:paraId="2CF72295" w14:textId="2E77A589" w:rsidR="003A0B95" w:rsidRDefault="003A0B95" w:rsidP="004E120D">
      <w:pPr>
        <w:pStyle w:val="BulletLevel1"/>
      </w:pPr>
      <w:r>
        <w:t>information on the</w:t>
      </w:r>
      <w:r w:rsidR="00F64473">
        <w:t xml:space="preserve"> Participant’s</w:t>
      </w:r>
      <w:r>
        <w:t xml:space="preserve"> current level of engagement against their Job Plan, including any emerging </w:t>
      </w:r>
      <w:r w:rsidR="000E1CC7">
        <w:t xml:space="preserve">or confirmed </w:t>
      </w:r>
      <w:r>
        <w:t>Pattern of Disengagement or Pattern of Re</w:t>
      </w:r>
      <w:r w:rsidR="00F64473">
        <w:t>newed E</w:t>
      </w:r>
      <w:r>
        <w:t>ngagement</w:t>
      </w:r>
    </w:p>
    <w:p w14:paraId="41B30DC7" w14:textId="1C55D76D" w:rsidR="00D74559" w:rsidRPr="00995272" w:rsidRDefault="00861C7F" w:rsidP="004E120D">
      <w:pPr>
        <w:pStyle w:val="BulletLevel1"/>
      </w:pPr>
      <w:r>
        <w:t>information</w:t>
      </w:r>
      <w:r w:rsidR="00E73446">
        <w:t xml:space="preserve"> of </w:t>
      </w:r>
      <w:r w:rsidR="00D74559" w:rsidRPr="00995272">
        <w:t>any assistance purchased or provided</w:t>
      </w:r>
      <w:r w:rsidR="00E4360A">
        <w:t>, including Wage Subsidies</w:t>
      </w:r>
    </w:p>
    <w:p w14:paraId="3AD907ED" w14:textId="4BBB72A0" w:rsidR="0046109C" w:rsidRDefault="00E73446" w:rsidP="004E120D">
      <w:pPr>
        <w:pStyle w:val="BulletLevel1"/>
      </w:pPr>
      <w:r>
        <w:t xml:space="preserve">information on the </w:t>
      </w:r>
      <w:r w:rsidR="00821513">
        <w:t xml:space="preserve">status of </w:t>
      </w:r>
      <w:r w:rsidR="00D74559" w:rsidRPr="00995272">
        <w:t xml:space="preserve">any </w:t>
      </w:r>
      <w:r w:rsidR="002575C1">
        <w:t xml:space="preserve">tasks and </w:t>
      </w:r>
      <w:r w:rsidR="0072348D">
        <w:t>a</w:t>
      </w:r>
      <w:r w:rsidR="00D74559" w:rsidRPr="00995272">
        <w:t xml:space="preserve">ctivities </w:t>
      </w:r>
      <w:r w:rsidR="00960073">
        <w:t xml:space="preserve">currently </w:t>
      </w:r>
      <w:r w:rsidR="0046109C">
        <w:t xml:space="preserve">being </w:t>
      </w:r>
      <w:r w:rsidR="00D74559" w:rsidRPr="00995272">
        <w:t>undertaken</w:t>
      </w:r>
      <w:r w:rsidR="00B1498B">
        <w:t xml:space="preserve"> </w:t>
      </w:r>
      <w:r w:rsidR="0046109C">
        <w:t>by</w:t>
      </w:r>
      <w:r w:rsidR="00821513">
        <w:t xml:space="preserve"> a</w:t>
      </w:r>
      <w:r w:rsidR="00D74559" w:rsidRPr="00995272">
        <w:t xml:space="preserve"> Participant</w:t>
      </w:r>
      <w:r w:rsidR="00BC1DFA">
        <w:t xml:space="preserve">, particularly </w:t>
      </w:r>
      <w:r w:rsidR="00A15FE7">
        <w:t>those included as part of the Participant’s plan for meaningful engagement</w:t>
      </w:r>
    </w:p>
    <w:p w14:paraId="48C15597" w14:textId="46F418BF" w:rsidR="00D74559" w:rsidRDefault="0046109C" w:rsidP="004E120D">
      <w:pPr>
        <w:pStyle w:val="BulletLevel1"/>
      </w:pPr>
      <w:r>
        <w:t xml:space="preserve">details of the Participant’s </w:t>
      </w:r>
      <w:r w:rsidR="00D74559" w:rsidRPr="00995272">
        <w:t>progress against their Employment Goal</w:t>
      </w:r>
    </w:p>
    <w:p w14:paraId="651E6340" w14:textId="7C895B81" w:rsidR="00680DC8" w:rsidRDefault="00680DC8" w:rsidP="004E120D">
      <w:pPr>
        <w:pStyle w:val="BulletLevel1"/>
      </w:pPr>
      <w:r w:rsidRPr="0035143E">
        <w:t>details of the Participant’s achievements</w:t>
      </w:r>
      <w:r w:rsidR="009228DF">
        <w:t>, including any Education and Training courses completed</w:t>
      </w:r>
    </w:p>
    <w:p w14:paraId="2C392A8E" w14:textId="594E79E6" w:rsidR="00466FAC" w:rsidRDefault="00032F56" w:rsidP="004E120D">
      <w:pPr>
        <w:pStyle w:val="BulletLevel1"/>
      </w:pPr>
      <w:r>
        <w:t>information on the Participant’s</w:t>
      </w:r>
      <w:r w:rsidR="00A42AA0">
        <w:t xml:space="preserve"> Vocational and Non-Vocational Barriers to Employment</w:t>
      </w:r>
    </w:p>
    <w:p w14:paraId="43DCA34F" w14:textId="50473C2B" w:rsidR="00032F56" w:rsidRDefault="00032F56" w:rsidP="004E120D">
      <w:pPr>
        <w:pStyle w:val="BulletLevel1"/>
      </w:pPr>
      <w:r w:rsidRPr="00995272">
        <w:t xml:space="preserve">information </w:t>
      </w:r>
      <w:r>
        <w:t xml:space="preserve">on servicing/engagement strategies </w:t>
      </w:r>
      <w:r w:rsidR="00236174" w:rsidRPr="00995272">
        <w:t xml:space="preserve">delivered by the Provider and </w:t>
      </w:r>
      <w:r w:rsidR="002419D7">
        <w:t>the</w:t>
      </w:r>
      <w:r w:rsidR="00236174" w:rsidRPr="00995272">
        <w:t xml:space="preserve"> results </w:t>
      </w:r>
      <w:r w:rsidR="002419D7">
        <w:t xml:space="preserve">of these strategies </w:t>
      </w:r>
      <w:r w:rsidR="00236174">
        <w:t>on the Participant’s level of engagement</w:t>
      </w:r>
    </w:p>
    <w:p w14:paraId="1A39D555" w14:textId="757E4CE4" w:rsidR="00032F56" w:rsidRDefault="00032F56" w:rsidP="004E120D">
      <w:pPr>
        <w:pStyle w:val="BulletLevel1"/>
      </w:pPr>
      <w:r>
        <w:t>information on</w:t>
      </w:r>
      <w:r w:rsidRPr="00995272">
        <w:t xml:space="preserve"> reasonable adjustments that </w:t>
      </w:r>
      <w:r>
        <w:t>have improved or c</w:t>
      </w:r>
      <w:r w:rsidRPr="00995272">
        <w:t xml:space="preserve">ould improve </w:t>
      </w:r>
      <w:r w:rsidR="002419D7">
        <w:t>the Participant’s engagement levels</w:t>
      </w:r>
      <w:r w:rsidR="00E4360A">
        <w:t>, and</w:t>
      </w:r>
    </w:p>
    <w:p w14:paraId="18AE6C5F" w14:textId="2DE8E1BB" w:rsidR="00E4360A" w:rsidRPr="00995272" w:rsidRDefault="00E4360A" w:rsidP="004E120D">
      <w:pPr>
        <w:pStyle w:val="BulletLevel1"/>
      </w:pPr>
      <w:r>
        <w:t xml:space="preserve">details of any </w:t>
      </w:r>
      <w:r w:rsidRPr="25249C38">
        <w:t>Permissible Breaks</w:t>
      </w:r>
      <w:r>
        <w:t xml:space="preserve"> and/or Voluntary Changes in Employment.</w:t>
      </w:r>
    </w:p>
    <w:p w14:paraId="7B5EE2F3" w14:textId="1C2D8E61" w:rsidR="00D74559" w:rsidRDefault="00D74559" w:rsidP="006E2EF5">
      <w:pPr>
        <w:tabs>
          <w:tab w:val="right" w:pos="1701"/>
        </w:tabs>
        <w:rPr>
          <w:rFonts w:ascii="Tahoma" w:eastAsia="Tahoma" w:hAnsi="Tahoma" w:cs="Tahoma"/>
          <w:color w:val="000000" w:themeColor="text1"/>
        </w:rPr>
      </w:pPr>
      <w:r w:rsidRPr="0E218120">
        <w:rPr>
          <w:rFonts w:ascii="Tahoma" w:eastAsia="Tahoma" w:hAnsi="Tahoma" w:cs="Tahoma"/>
          <w:color w:val="000000" w:themeColor="text1"/>
        </w:rPr>
        <w:t xml:space="preserve">Providers </w:t>
      </w:r>
      <w:r w:rsidR="00B1174C">
        <w:rPr>
          <w:rFonts w:ascii="Tahoma" w:eastAsia="Tahoma" w:hAnsi="Tahoma" w:cs="Tahoma"/>
          <w:color w:val="000000" w:themeColor="text1"/>
        </w:rPr>
        <w:t>must</w:t>
      </w:r>
      <w:r w:rsidRPr="0E218120">
        <w:rPr>
          <w:rFonts w:ascii="Tahoma" w:eastAsia="Tahoma" w:hAnsi="Tahoma" w:cs="Tahoma"/>
          <w:color w:val="000000" w:themeColor="text1"/>
        </w:rPr>
        <w:t xml:space="preserve"> ensure that information recorded in the Program Summary is a factual account of the Services delivered to </w:t>
      </w:r>
      <w:r w:rsidR="00DB1D67">
        <w:rPr>
          <w:rFonts w:ascii="Tahoma" w:eastAsia="Tahoma" w:hAnsi="Tahoma" w:cs="Tahoma"/>
          <w:color w:val="000000" w:themeColor="text1"/>
        </w:rPr>
        <w:t>a</w:t>
      </w:r>
      <w:r w:rsidRPr="0E218120">
        <w:rPr>
          <w:rFonts w:ascii="Tahoma" w:eastAsia="Tahoma" w:hAnsi="Tahoma" w:cs="Tahoma"/>
          <w:color w:val="000000" w:themeColor="text1"/>
        </w:rPr>
        <w:t xml:space="preserve"> Participant. The Program Summary must not include any judgements or </w:t>
      </w:r>
      <w:bookmarkStart w:id="114" w:name="_Int_ivgsNhCB"/>
      <w:r w:rsidRPr="0E218120">
        <w:rPr>
          <w:rFonts w:ascii="Tahoma" w:eastAsia="Tahoma" w:hAnsi="Tahoma" w:cs="Tahoma"/>
          <w:color w:val="000000" w:themeColor="text1"/>
        </w:rPr>
        <w:t>personal opinions</w:t>
      </w:r>
      <w:bookmarkEnd w:id="114"/>
      <w:r w:rsidRPr="0E218120">
        <w:rPr>
          <w:rFonts w:ascii="Tahoma" w:eastAsia="Tahoma" w:hAnsi="Tahoma" w:cs="Tahoma"/>
          <w:color w:val="000000" w:themeColor="text1"/>
        </w:rPr>
        <w:t>.</w:t>
      </w:r>
    </w:p>
    <w:p w14:paraId="0235878E" w14:textId="55F3AE8E" w:rsidR="00D74559" w:rsidRDefault="00F751DE" w:rsidP="006E2EF5">
      <w:pPr>
        <w:tabs>
          <w:tab w:val="right" w:pos="1701"/>
        </w:tabs>
        <w:rPr>
          <w:rFonts w:ascii="Tahoma" w:eastAsia="Tahoma" w:hAnsi="Tahoma" w:cs="Tahoma"/>
          <w:color w:val="000000" w:themeColor="text1"/>
        </w:rPr>
      </w:pPr>
      <w:r>
        <w:rPr>
          <w:rFonts w:ascii="Tahoma" w:eastAsia="Tahoma" w:hAnsi="Tahoma" w:cs="Tahoma"/>
          <w:color w:val="000000" w:themeColor="text1"/>
        </w:rPr>
        <w:t>A</w:t>
      </w:r>
      <w:r w:rsidR="00D74559">
        <w:rPr>
          <w:rFonts w:ascii="Tahoma" w:eastAsia="Tahoma" w:hAnsi="Tahoma" w:cs="Tahoma"/>
          <w:color w:val="000000" w:themeColor="text1"/>
        </w:rPr>
        <w:t xml:space="preserve"> Gaining Provider will have access to the comments entered as part of the Program Summary </w:t>
      </w:r>
      <w:r w:rsidR="00B1174C">
        <w:rPr>
          <w:rFonts w:ascii="Tahoma" w:eastAsia="Tahoma" w:hAnsi="Tahoma" w:cs="Tahoma"/>
          <w:color w:val="000000" w:themeColor="text1"/>
        </w:rPr>
        <w:t>and</w:t>
      </w:r>
      <w:r w:rsidR="00D74559">
        <w:rPr>
          <w:rFonts w:ascii="Tahoma" w:eastAsia="Tahoma" w:hAnsi="Tahoma" w:cs="Tahoma"/>
          <w:color w:val="000000" w:themeColor="text1"/>
        </w:rPr>
        <w:t xml:space="preserve"> cannot edit comments entered by the Relinquishing Provider.</w:t>
      </w:r>
    </w:p>
    <w:p w14:paraId="5A9E0F0D" w14:textId="1E8C417D" w:rsidR="00D74559" w:rsidRPr="00FB7CD7" w:rsidRDefault="00D74559" w:rsidP="006F727E">
      <w:pPr>
        <w:pStyle w:val="SystemStep"/>
      </w:pPr>
      <w:r>
        <w:t>Providers must</w:t>
      </w:r>
      <w:r w:rsidRPr="00FB7CD7">
        <w:t xml:space="preserve"> </w:t>
      </w:r>
      <w:r>
        <w:t xml:space="preserve">enter or edit comments included as part of the using comment functionality in the </w:t>
      </w:r>
      <w:r w:rsidR="00512D6A">
        <w:t>Program Summary</w:t>
      </w:r>
      <w:r>
        <w:t xml:space="preserve"> on</w:t>
      </w:r>
      <w:r w:rsidRPr="53BE8163">
        <w:t xml:space="preserve"> the Department’s IT Systems</w:t>
      </w:r>
      <w:r>
        <w:t>.</w:t>
      </w:r>
      <w:r w:rsidR="00382ECA">
        <w:t xml:space="preserve"> There are 5 topics</w:t>
      </w:r>
      <w:r w:rsidR="009734DA">
        <w:t xml:space="preserve">, and a comment </w:t>
      </w:r>
      <w:r w:rsidR="000979BE">
        <w:t>should be entered under each.</w:t>
      </w:r>
    </w:p>
    <w:p w14:paraId="7CB455F7" w14:textId="4FF50E95" w:rsidR="00D74559" w:rsidRPr="00CD572C" w:rsidRDefault="00D74559" w:rsidP="006E2EF5">
      <w:pPr>
        <w:tabs>
          <w:tab w:val="right" w:pos="1701"/>
        </w:tabs>
        <w:rPr>
          <w:rFonts w:eastAsia="Tahoma" w:cstheme="minorHAnsi"/>
          <w:color w:val="000000" w:themeColor="text1"/>
        </w:rPr>
      </w:pPr>
      <w:r w:rsidRPr="00CD572C">
        <w:rPr>
          <w:rFonts w:eastAsia="Arial" w:cstheme="minorHAnsi"/>
          <w:szCs w:val="22"/>
        </w:rPr>
        <w:t xml:space="preserve">For further information refer to </w:t>
      </w:r>
      <w:r w:rsidRPr="001A1685">
        <w:rPr>
          <w:rStyle w:val="Hyperlink"/>
        </w:rPr>
        <w:t xml:space="preserve">Provider Actions: Completing a Program Summary </w:t>
      </w:r>
      <w:r w:rsidR="001A1685" w:rsidRPr="001A1685">
        <w:rPr>
          <w:rStyle w:val="Hyperlink"/>
        </w:rPr>
        <w:t>[LINK]</w:t>
      </w:r>
      <w:r w:rsidR="001A1685">
        <w:rPr>
          <w:rFonts w:eastAsia="Arial" w:cstheme="minorHAnsi"/>
          <w:szCs w:val="22"/>
        </w:rPr>
        <w:t xml:space="preserve"> </w:t>
      </w:r>
      <w:r w:rsidRPr="00CD572C">
        <w:rPr>
          <w:rFonts w:eastAsia="Arial" w:cstheme="minorHAnsi"/>
          <w:szCs w:val="22"/>
        </w:rPr>
        <w:t>supporting document on the Provider Portal.</w:t>
      </w:r>
    </w:p>
    <w:p w14:paraId="2D52D952" w14:textId="77777777" w:rsidR="00D74559" w:rsidRDefault="00D74559" w:rsidP="006D1645">
      <w:pPr>
        <w:pStyle w:val="Heading5"/>
        <w:rPr>
          <w:rFonts w:ascii="Tahoma" w:eastAsia="Tahoma" w:hAnsi="Tahoma" w:cs="Tahoma"/>
        </w:rPr>
      </w:pPr>
      <w:r>
        <w:t>Transferring Funding</w:t>
      </w:r>
    </w:p>
    <w:p w14:paraId="5E67EA8A" w14:textId="53B1239C" w:rsidR="00D74559" w:rsidRDefault="00D74559" w:rsidP="006E2EF5">
      <w:pPr>
        <w:keepNext/>
        <w:tabs>
          <w:tab w:val="right" w:pos="1701"/>
        </w:tabs>
        <w:rPr>
          <w:rFonts w:ascii="Tahoma" w:eastAsia="Tahoma" w:hAnsi="Tahoma" w:cs="Tahoma"/>
        </w:rPr>
      </w:pPr>
      <w:r w:rsidRPr="220AFACF">
        <w:rPr>
          <w:rFonts w:ascii="Tahoma" w:eastAsia="Tahoma" w:hAnsi="Tahoma" w:cs="Tahoma"/>
        </w:rPr>
        <w:t xml:space="preserve">The </w:t>
      </w:r>
      <w:r w:rsidR="00F229F8" w:rsidRPr="220AFACF">
        <w:rPr>
          <w:rFonts w:ascii="Tahoma" w:eastAsia="Tahoma" w:hAnsi="Tahoma" w:cs="Tahoma"/>
        </w:rPr>
        <w:t>F</w:t>
      </w:r>
      <w:r w:rsidRPr="220AFACF">
        <w:rPr>
          <w:rFonts w:ascii="Tahoma" w:eastAsia="Tahoma" w:hAnsi="Tahoma" w:cs="Tahoma"/>
        </w:rPr>
        <w:t xml:space="preserve">unding for a Transferred Participant </w:t>
      </w:r>
      <w:r w:rsidR="00CD572C">
        <w:rPr>
          <w:rFonts w:ascii="Tahoma" w:eastAsia="Tahoma" w:hAnsi="Tahoma" w:cs="Tahoma"/>
        </w:rPr>
        <w:t>follows</w:t>
      </w:r>
      <w:r w:rsidRPr="220AFACF">
        <w:rPr>
          <w:rFonts w:ascii="Tahoma" w:eastAsia="Tahoma" w:hAnsi="Tahoma" w:cs="Tahoma"/>
        </w:rPr>
        <w:t xml:space="preserve"> the Participant. This means that:</w:t>
      </w:r>
    </w:p>
    <w:p w14:paraId="539DA279" w14:textId="16854979" w:rsidR="00D74559" w:rsidRPr="00995272" w:rsidRDefault="00D74559" w:rsidP="004E120D">
      <w:pPr>
        <w:pStyle w:val="BulletLevel1"/>
      </w:pPr>
      <w:r w:rsidRPr="00995272">
        <w:t xml:space="preserve">The Service Fee period will end when the </w:t>
      </w:r>
      <w:r w:rsidR="00CD572C">
        <w:t>P</w:t>
      </w:r>
      <w:r w:rsidRPr="00995272">
        <w:t>articipant transfers</w:t>
      </w:r>
      <w:r w:rsidR="00CD572C">
        <w:t xml:space="preserve"> Providers</w:t>
      </w:r>
      <w:r w:rsidRPr="00995272">
        <w:t xml:space="preserve">. The Relinquishing Provider will be paid a pro-rata amount, based on the number of days in the Service Fee period that the Participant was </w:t>
      </w:r>
      <w:r w:rsidR="00D315CB">
        <w:t>engaged by</w:t>
      </w:r>
      <w:r w:rsidRPr="00995272">
        <w:t xml:space="preserve"> the Relinquishing Provider since the </w:t>
      </w:r>
      <w:r w:rsidR="007C7C31" w:rsidRPr="00995272">
        <w:t xml:space="preserve">Commencement date </w:t>
      </w:r>
      <w:r w:rsidR="007C7C31">
        <w:t xml:space="preserve">or </w:t>
      </w:r>
      <w:r w:rsidRPr="00995272">
        <w:t xml:space="preserve">last Service Fee </w:t>
      </w:r>
      <w:r w:rsidR="00871B7F">
        <w:t>P</w:t>
      </w:r>
      <w:r>
        <w:t>ayment</w:t>
      </w:r>
      <w:r w:rsidRPr="00995272">
        <w:t xml:space="preserve"> up to the transfer date. The Gaining Provider will start to receive Service Fees </w:t>
      </w:r>
      <w:r w:rsidR="00D315CB">
        <w:t xml:space="preserve">effective </w:t>
      </w:r>
      <w:r w:rsidRPr="00995272">
        <w:t>from the Participant’s Commencement date.</w:t>
      </w:r>
    </w:p>
    <w:p w14:paraId="616EDCD6" w14:textId="092434BB" w:rsidR="00D74559" w:rsidRPr="00995272" w:rsidRDefault="00D74559" w:rsidP="004E120D">
      <w:pPr>
        <w:pStyle w:val="BulletLevel1"/>
      </w:pPr>
      <w:r w:rsidRPr="00995272">
        <w:t>Outcome Fees achieved after the transfer date will be paid to the Gaining Provider. There is no pro-rata amount available to the Relinquishing Provider.</w:t>
      </w:r>
    </w:p>
    <w:p w14:paraId="751AF89F" w14:textId="6B7BA7E9" w:rsidR="00D74559" w:rsidRPr="00995272" w:rsidRDefault="00D74559" w:rsidP="004E120D">
      <w:pPr>
        <w:pStyle w:val="BulletLevel1"/>
      </w:pPr>
      <w:r w:rsidRPr="00995272">
        <w:t xml:space="preserve">Flexible Ongoing Support Fees will be paid to the Relinquishing Provider </w:t>
      </w:r>
      <w:r w:rsidR="00A47AC0">
        <w:t>for Instances that</w:t>
      </w:r>
      <w:r w:rsidRPr="00995272">
        <w:t xml:space="preserve"> occurred</w:t>
      </w:r>
      <w:r w:rsidR="00A47AC0">
        <w:t xml:space="preserve"> prior</w:t>
      </w:r>
      <w:r w:rsidRPr="00995272">
        <w:t xml:space="preserve"> to the transfer date.</w:t>
      </w:r>
      <w:r w:rsidR="000874B0">
        <w:t xml:space="preserve"> </w:t>
      </w:r>
      <w:r w:rsidR="000874B0" w:rsidRPr="000874B0">
        <w:t xml:space="preserve">Flexible Ongoing Support Fees will be paid to </w:t>
      </w:r>
      <w:r w:rsidR="00A47AC0">
        <w:t>the</w:t>
      </w:r>
      <w:r w:rsidRPr="00995272">
        <w:t xml:space="preserve"> Gaining Provider </w:t>
      </w:r>
      <w:r w:rsidR="001535D0">
        <w:t xml:space="preserve">for </w:t>
      </w:r>
      <w:r w:rsidRPr="00995272">
        <w:t>Instance</w:t>
      </w:r>
      <w:r w:rsidR="001535D0">
        <w:t>s that</w:t>
      </w:r>
      <w:r w:rsidRPr="00995272">
        <w:t xml:space="preserve"> occur</w:t>
      </w:r>
      <w:r w:rsidR="001535D0">
        <w:t xml:space="preserve"> from</w:t>
      </w:r>
      <w:r w:rsidRPr="00995272">
        <w:t xml:space="preserve"> the transfer date.</w:t>
      </w:r>
    </w:p>
    <w:p w14:paraId="6C73E4BE" w14:textId="447BCB3D" w:rsidR="0008345E" w:rsidRPr="00335ADD" w:rsidRDefault="00D74559" w:rsidP="00AB6F28">
      <w:pPr>
        <w:pStyle w:val="BulletLevel1"/>
      </w:pPr>
      <w:r w:rsidRPr="00995272">
        <w:t xml:space="preserve">Moderate or High Ongoing Support Fees will be paid to the Relinquishing Provider </w:t>
      </w:r>
      <w:r w:rsidR="0008345E">
        <w:t xml:space="preserve">on </w:t>
      </w:r>
      <w:r w:rsidR="0008345E" w:rsidRPr="00C9109A">
        <w:t xml:space="preserve">a pro-rata </w:t>
      </w:r>
      <w:r w:rsidR="0008345E">
        <w:t>basis</w:t>
      </w:r>
      <w:r w:rsidR="0008345E" w:rsidRPr="00C9109A">
        <w:t xml:space="preserve"> for the proportion of</w:t>
      </w:r>
      <w:r w:rsidR="0008345E" w:rsidRPr="008D0EA0">
        <w:t xml:space="preserve"> the </w:t>
      </w:r>
      <w:r w:rsidR="0008345E">
        <w:t>Payment</w:t>
      </w:r>
      <w:r w:rsidR="0008345E" w:rsidRPr="008D0EA0" w:rsidDel="00B7785D">
        <w:t xml:space="preserve"> </w:t>
      </w:r>
      <w:r w:rsidR="0008345E" w:rsidRPr="008D0EA0">
        <w:t xml:space="preserve">period </w:t>
      </w:r>
      <w:r w:rsidR="00D15BE4">
        <w:t>before the transfer occurs</w:t>
      </w:r>
      <w:r w:rsidR="000874B0">
        <w:t>. T</w:t>
      </w:r>
      <w:r w:rsidR="00772391">
        <w:t xml:space="preserve">he Participant will commence a new Moderate or High Ongoing Support Payment period with the Gaining Provider from </w:t>
      </w:r>
      <w:r w:rsidR="00D41C33">
        <w:t>the transfer date</w:t>
      </w:r>
      <w:r w:rsidRPr="00995272">
        <w:t>.</w:t>
      </w:r>
    </w:p>
    <w:p w14:paraId="51883BB8" w14:textId="7BB6E0C3" w:rsidR="00D74559" w:rsidRDefault="00D74559" w:rsidP="001D0F92">
      <w:pPr>
        <w:pStyle w:val="Heading4"/>
      </w:pPr>
      <w:bookmarkStart w:id="115" w:name="_Toc202899912"/>
      <w:r w:rsidRPr="362FEA09">
        <w:t>3.4.</w:t>
      </w:r>
      <w:r w:rsidR="004D31F7">
        <w:t>2</w:t>
      </w:r>
      <w:r w:rsidR="003F6B39">
        <w:tab/>
      </w:r>
      <w:r w:rsidRPr="362FEA09">
        <w:t>Transfer types</w:t>
      </w:r>
      <w:bookmarkEnd w:id="115"/>
    </w:p>
    <w:p w14:paraId="7267E2CC" w14:textId="77777777" w:rsidR="00D74559" w:rsidRDefault="00D74559" w:rsidP="006D1645">
      <w:pPr>
        <w:pStyle w:val="Heading5"/>
        <w:rPr>
          <w:rFonts w:ascii="Tahoma" w:eastAsia="Tahoma" w:hAnsi="Tahoma" w:cs="Tahoma"/>
        </w:rPr>
      </w:pPr>
      <w:r>
        <w:t>Transfer due to change of address</w:t>
      </w:r>
    </w:p>
    <w:p w14:paraId="1674ADF7" w14:textId="2800472F" w:rsidR="00D74559" w:rsidRDefault="00D74559" w:rsidP="006E2EF5">
      <w:pPr>
        <w:rPr>
          <w:rFonts w:ascii="Tahoma" w:eastAsia="Tahoma" w:hAnsi="Tahoma" w:cs="Tahoma"/>
          <w:szCs w:val="22"/>
        </w:rPr>
      </w:pPr>
      <w:r w:rsidRPr="53BE8163">
        <w:rPr>
          <w:rFonts w:ascii="Tahoma" w:eastAsia="Tahoma" w:hAnsi="Tahoma" w:cs="Tahoma"/>
          <w:szCs w:val="22"/>
        </w:rPr>
        <w:t xml:space="preserve">When the home address of a Participant in Pre-Employment Support is updated to an address in a different ESA, the Department’s IT Systems will </w:t>
      </w:r>
      <w:r w:rsidR="008B1F75">
        <w:rPr>
          <w:rFonts w:ascii="Tahoma" w:eastAsia="Tahoma" w:hAnsi="Tahoma" w:cs="Tahoma"/>
          <w:szCs w:val="22"/>
        </w:rPr>
        <w:t>generally</w:t>
      </w:r>
      <w:r w:rsidRPr="53BE8163">
        <w:rPr>
          <w:rFonts w:ascii="Tahoma" w:eastAsia="Tahoma" w:hAnsi="Tahoma" w:cs="Tahoma"/>
          <w:szCs w:val="22"/>
        </w:rPr>
        <w:t xml:space="preserve"> notify the Participant that they may wish to change Providers </w:t>
      </w:r>
      <w:r w:rsidR="000874B0">
        <w:rPr>
          <w:rFonts w:ascii="Tahoma" w:eastAsia="Tahoma" w:hAnsi="Tahoma" w:cs="Tahoma"/>
          <w:szCs w:val="22"/>
        </w:rPr>
        <w:t>in the new ESA.</w:t>
      </w:r>
      <w:r w:rsidRPr="53BE8163">
        <w:rPr>
          <w:rFonts w:ascii="Tahoma" w:eastAsia="Tahoma" w:hAnsi="Tahoma" w:cs="Tahoma"/>
          <w:szCs w:val="22"/>
        </w:rPr>
        <w:t xml:space="preserve"> The Participant will not receive this notification if they are in Post Placement Support or Ongoing Support.</w:t>
      </w:r>
    </w:p>
    <w:p w14:paraId="154287F8" w14:textId="3C7684DA" w:rsidR="00D74559" w:rsidRDefault="00D74559" w:rsidP="006E2EF5">
      <w:pPr>
        <w:rPr>
          <w:rFonts w:ascii="Tahoma" w:eastAsia="Tahoma" w:hAnsi="Tahoma" w:cs="Tahoma"/>
          <w:szCs w:val="22"/>
        </w:rPr>
      </w:pPr>
      <w:r w:rsidRPr="53BE8163">
        <w:rPr>
          <w:rFonts w:ascii="Tahoma" w:eastAsia="Tahoma" w:hAnsi="Tahoma" w:cs="Tahoma"/>
          <w:szCs w:val="22"/>
        </w:rPr>
        <w:t xml:space="preserve">The Participant will </w:t>
      </w:r>
      <w:r w:rsidR="004C1B7C">
        <w:rPr>
          <w:rFonts w:ascii="Tahoma" w:eastAsia="Tahoma" w:hAnsi="Tahoma" w:cs="Tahoma"/>
          <w:szCs w:val="22"/>
        </w:rPr>
        <w:t>only</w:t>
      </w:r>
      <w:r w:rsidRPr="53BE8163">
        <w:rPr>
          <w:rFonts w:ascii="Tahoma" w:eastAsia="Tahoma" w:hAnsi="Tahoma" w:cs="Tahoma"/>
          <w:szCs w:val="22"/>
        </w:rPr>
        <w:t xml:space="preserve"> be transferred if the Participant responds to the contact to request </w:t>
      </w:r>
      <w:r w:rsidR="004C1B7C">
        <w:rPr>
          <w:rFonts w:ascii="Tahoma" w:eastAsia="Tahoma" w:hAnsi="Tahoma" w:cs="Tahoma"/>
          <w:szCs w:val="22"/>
        </w:rPr>
        <w:t xml:space="preserve">a </w:t>
      </w:r>
      <w:r w:rsidRPr="53BE8163">
        <w:rPr>
          <w:rFonts w:ascii="Tahoma" w:eastAsia="Tahoma" w:hAnsi="Tahoma" w:cs="Tahoma"/>
          <w:szCs w:val="22"/>
        </w:rPr>
        <w:t>transfer.</w:t>
      </w:r>
    </w:p>
    <w:p w14:paraId="3466E127" w14:textId="18471876" w:rsidR="00D74559" w:rsidRDefault="00D74559" w:rsidP="006E2EF5">
      <w:pPr>
        <w:rPr>
          <w:rFonts w:ascii="Tahoma" w:eastAsia="Tahoma" w:hAnsi="Tahoma" w:cs="Tahoma"/>
          <w:szCs w:val="22"/>
        </w:rPr>
      </w:pPr>
      <w:r w:rsidRPr="00592320">
        <w:rPr>
          <w:rFonts w:ascii="Tahoma" w:eastAsia="Tahoma" w:hAnsi="Tahoma" w:cs="Tahoma"/>
          <w:b/>
          <w:szCs w:val="22"/>
        </w:rPr>
        <w:t>Note:</w:t>
      </w:r>
      <w:r w:rsidRPr="53BE8163">
        <w:rPr>
          <w:rFonts w:ascii="Tahoma" w:eastAsia="Tahoma" w:hAnsi="Tahoma" w:cs="Tahoma"/>
          <w:szCs w:val="22"/>
        </w:rPr>
        <w:t xml:space="preserve"> When a Participant’s home address is updated to an address in a remote ESA, the Participant will be automatically Referred to the Community Development Program and will be Exited from </w:t>
      </w:r>
      <w:r w:rsidR="00C74C33">
        <w:t>Inclusive Employment Australia</w:t>
      </w:r>
      <w:r w:rsidRPr="53BE8163">
        <w:rPr>
          <w:rFonts w:ascii="Tahoma" w:eastAsia="Tahoma" w:hAnsi="Tahoma" w:cs="Tahoma"/>
          <w:szCs w:val="22"/>
        </w:rPr>
        <w:t xml:space="preserve"> by the Department’s IT Systems</w:t>
      </w:r>
      <w:r w:rsidR="00BB0348">
        <w:rPr>
          <w:rFonts w:ascii="Tahoma" w:eastAsia="Tahoma" w:hAnsi="Tahoma" w:cs="Tahoma"/>
          <w:szCs w:val="22"/>
        </w:rPr>
        <w:t xml:space="preserve"> (see</w:t>
      </w:r>
      <w:r w:rsidRPr="53BE8163">
        <w:rPr>
          <w:rFonts w:ascii="Tahoma" w:eastAsia="Tahoma" w:hAnsi="Tahoma" w:cs="Tahoma"/>
          <w:szCs w:val="22"/>
        </w:rPr>
        <w:t xml:space="preserve"> </w:t>
      </w:r>
      <w:r w:rsidR="002910CA">
        <w:rPr>
          <w:rFonts w:ascii="Tahoma" w:eastAsia="Tahoma" w:hAnsi="Tahoma" w:cs="Tahoma"/>
          <w:szCs w:val="22"/>
        </w:rPr>
        <w:fldChar w:fldCharType="begin"/>
      </w:r>
      <w:r w:rsidR="002910CA">
        <w:rPr>
          <w:rFonts w:ascii="Tahoma" w:eastAsia="Tahoma" w:hAnsi="Tahoma" w:cs="Tahoma"/>
          <w:szCs w:val="22"/>
        </w:rPr>
        <w:instrText xml:space="preserve"> REF _Ref202784863 \h </w:instrText>
      </w:r>
      <w:r w:rsidR="002910CA">
        <w:rPr>
          <w:rFonts w:ascii="Tahoma" w:eastAsia="Tahoma" w:hAnsi="Tahoma" w:cs="Tahoma"/>
          <w:szCs w:val="22"/>
        </w:rPr>
      </w:r>
      <w:r w:rsidR="002910CA">
        <w:rPr>
          <w:rFonts w:ascii="Tahoma" w:eastAsia="Tahoma" w:hAnsi="Tahoma" w:cs="Tahoma"/>
          <w:szCs w:val="22"/>
        </w:rPr>
        <w:fldChar w:fldCharType="separate"/>
      </w:r>
      <w:r w:rsidR="000D75AE" w:rsidRPr="005A0947">
        <w:t>3.6</w:t>
      </w:r>
      <w:r w:rsidR="002E053E">
        <w:t xml:space="preserve"> </w:t>
      </w:r>
      <w:r w:rsidR="000D75AE" w:rsidRPr="00961F42">
        <w:t>E</w:t>
      </w:r>
      <w:r w:rsidR="000D75AE" w:rsidRPr="005A0947">
        <w:t>xits</w:t>
      </w:r>
      <w:r w:rsidR="002910CA">
        <w:rPr>
          <w:rFonts w:ascii="Tahoma" w:eastAsia="Tahoma" w:hAnsi="Tahoma" w:cs="Tahoma"/>
          <w:szCs w:val="22"/>
        </w:rPr>
        <w:fldChar w:fldCharType="end"/>
      </w:r>
      <w:r w:rsidR="002910CA">
        <w:rPr>
          <w:rFonts w:ascii="Tahoma" w:eastAsia="Tahoma" w:hAnsi="Tahoma" w:cs="Tahoma"/>
          <w:szCs w:val="22"/>
        </w:rPr>
        <w:t xml:space="preserve"> </w:t>
      </w:r>
      <w:r w:rsidRPr="53BE8163">
        <w:rPr>
          <w:rFonts w:ascii="Tahoma" w:eastAsia="Tahoma" w:hAnsi="Tahoma" w:cs="Tahoma"/>
          <w:szCs w:val="22"/>
        </w:rPr>
        <w:t>for more details</w:t>
      </w:r>
      <w:r w:rsidR="00BB0348">
        <w:rPr>
          <w:rFonts w:ascii="Tahoma" w:eastAsia="Tahoma" w:hAnsi="Tahoma" w:cs="Tahoma"/>
          <w:szCs w:val="22"/>
        </w:rPr>
        <w:t>)</w:t>
      </w:r>
      <w:r w:rsidRPr="53BE8163">
        <w:rPr>
          <w:rFonts w:ascii="Tahoma" w:eastAsia="Tahoma" w:hAnsi="Tahoma" w:cs="Tahoma"/>
          <w:szCs w:val="22"/>
        </w:rPr>
        <w:t>.</w:t>
      </w:r>
    </w:p>
    <w:p w14:paraId="69D86783" w14:textId="77777777" w:rsidR="00D74559" w:rsidRDefault="00D74559" w:rsidP="006D1645">
      <w:pPr>
        <w:pStyle w:val="Heading5"/>
        <w:rPr>
          <w:rFonts w:ascii="Tahoma" w:eastAsia="Tahoma" w:hAnsi="Tahoma" w:cs="Tahoma"/>
        </w:rPr>
      </w:pPr>
      <w:r w:rsidRPr="0E218120">
        <w:t>Participant initiated transfers</w:t>
      </w:r>
    </w:p>
    <w:p w14:paraId="2E07FE55" w14:textId="235264A9" w:rsidR="00D74559" w:rsidRDefault="00D74559" w:rsidP="006E2EF5">
      <w:pPr>
        <w:rPr>
          <w:rFonts w:ascii="Tahoma" w:eastAsia="Tahoma" w:hAnsi="Tahoma" w:cs="Tahoma"/>
          <w:color w:val="000000" w:themeColor="text1"/>
        </w:rPr>
      </w:pPr>
      <w:r w:rsidRPr="0040D3D9">
        <w:rPr>
          <w:rFonts w:ascii="Tahoma" w:eastAsia="Tahoma" w:hAnsi="Tahoma" w:cs="Tahoma"/>
          <w:color w:val="000000" w:themeColor="text1"/>
        </w:rPr>
        <w:t xml:space="preserve">Participant choice is a key principle of </w:t>
      </w:r>
      <w:r w:rsidR="00C74C33">
        <w:t>Inclusive Employment Australia</w:t>
      </w:r>
      <w:r w:rsidRPr="0040D3D9">
        <w:rPr>
          <w:rFonts w:ascii="Tahoma" w:eastAsia="Tahoma" w:hAnsi="Tahoma" w:cs="Tahoma"/>
          <w:color w:val="000000" w:themeColor="text1"/>
        </w:rPr>
        <w:t xml:space="preserve">. </w:t>
      </w:r>
      <w:r w:rsidR="00870BC1">
        <w:rPr>
          <w:rFonts w:ascii="Tahoma" w:eastAsia="Tahoma" w:hAnsi="Tahoma" w:cs="Tahoma"/>
          <w:color w:val="000000" w:themeColor="text1"/>
        </w:rPr>
        <w:t>All I</w:t>
      </w:r>
      <w:r w:rsidR="00C74C33">
        <w:rPr>
          <w:rFonts w:ascii="Tahoma" w:eastAsia="Tahoma" w:hAnsi="Tahoma" w:cs="Tahoma"/>
          <w:color w:val="000000" w:themeColor="text1"/>
        </w:rPr>
        <w:t>nclusive Employment Australia</w:t>
      </w:r>
      <w:r>
        <w:rPr>
          <w:rFonts w:ascii="Tahoma" w:eastAsia="Tahoma" w:hAnsi="Tahoma" w:cs="Tahoma"/>
          <w:color w:val="000000" w:themeColor="text1"/>
        </w:rPr>
        <w:t xml:space="preserve"> </w:t>
      </w:r>
      <w:r w:rsidRPr="0040D3D9">
        <w:rPr>
          <w:rFonts w:ascii="Tahoma" w:eastAsia="Tahoma" w:hAnsi="Tahoma" w:cs="Tahoma"/>
          <w:color w:val="000000" w:themeColor="text1"/>
        </w:rPr>
        <w:t xml:space="preserve">Participants </w:t>
      </w:r>
      <w:r w:rsidR="00185102">
        <w:rPr>
          <w:rFonts w:ascii="Tahoma" w:eastAsia="Tahoma" w:hAnsi="Tahoma" w:cs="Tahoma"/>
          <w:color w:val="000000" w:themeColor="text1"/>
        </w:rPr>
        <w:t>(</w:t>
      </w:r>
      <w:r w:rsidR="00870BC1">
        <w:rPr>
          <w:rFonts w:ascii="Tahoma" w:eastAsia="Tahoma" w:hAnsi="Tahoma" w:cs="Tahoma"/>
          <w:color w:val="000000" w:themeColor="text1"/>
        </w:rPr>
        <w:t xml:space="preserve">excluding those exceptions below) </w:t>
      </w:r>
      <w:r w:rsidRPr="0040D3D9">
        <w:rPr>
          <w:rFonts w:ascii="Tahoma" w:eastAsia="Tahoma" w:hAnsi="Tahoma" w:cs="Tahoma"/>
          <w:color w:val="000000" w:themeColor="text1"/>
        </w:rPr>
        <w:t>can transfer to a new Provider at any time and do not need to provide any reason for the transfer. There is no limit to the number of times a Participant can transfer to another Provider.</w:t>
      </w:r>
    </w:p>
    <w:p w14:paraId="03B4D262" w14:textId="6BBBC0AE" w:rsidR="00D74559" w:rsidRDefault="00D74559" w:rsidP="006E2EF5">
      <w:pPr>
        <w:rPr>
          <w:rFonts w:ascii="Tahoma" w:eastAsia="Tahoma" w:hAnsi="Tahoma" w:cs="Tahoma"/>
          <w:color w:val="000000" w:themeColor="text1"/>
        </w:rPr>
      </w:pPr>
      <w:r w:rsidRPr="53BE8163">
        <w:rPr>
          <w:rFonts w:ascii="Tahoma" w:eastAsia="Tahoma" w:hAnsi="Tahoma" w:cs="Tahoma"/>
          <w:color w:val="000000" w:themeColor="text1"/>
        </w:rPr>
        <w:t xml:space="preserve">Participants can request a transfer to their preferred </w:t>
      </w:r>
      <w:r w:rsidR="000A74AD" w:rsidRPr="7DEE0D0F">
        <w:rPr>
          <w:rFonts w:ascii="Tahoma" w:eastAsia="Tahoma" w:hAnsi="Tahoma" w:cs="Tahoma"/>
          <w:color w:val="000000" w:themeColor="text1"/>
        </w:rPr>
        <w:t>P</w:t>
      </w:r>
      <w:r w:rsidRPr="7DEE0D0F">
        <w:rPr>
          <w:rFonts w:ascii="Tahoma" w:eastAsia="Tahoma" w:hAnsi="Tahoma" w:cs="Tahoma"/>
          <w:color w:val="000000" w:themeColor="text1"/>
        </w:rPr>
        <w:t>rovider</w:t>
      </w:r>
      <w:r w:rsidRPr="53BE8163">
        <w:rPr>
          <w:rFonts w:ascii="Tahoma" w:eastAsia="Tahoma" w:hAnsi="Tahoma" w:cs="Tahoma"/>
          <w:color w:val="000000" w:themeColor="text1"/>
        </w:rPr>
        <w:t xml:space="preserve"> by:</w:t>
      </w:r>
    </w:p>
    <w:p w14:paraId="4AF7A25D" w14:textId="77777777" w:rsidR="00D74559" w:rsidRPr="00995272" w:rsidRDefault="00D74559" w:rsidP="004E120D">
      <w:pPr>
        <w:pStyle w:val="BulletLevel1"/>
      </w:pPr>
      <w:r w:rsidRPr="00995272">
        <w:t>using the Workforce Australia app, or</w:t>
      </w:r>
    </w:p>
    <w:p w14:paraId="191C9C6F" w14:textId="5FD3E942" w:rsidR="00D74559" w:rsidRPr="00995272" w:rsidRDefault="00D74559" w:rsidP="004E120D">
      <w:pPr>
        <w:pStyle w:val="BulletLevel1"/>
      </w:pPr>
      <w:r w:rsidRPr="00995272">
        <w:t>contacting the National Customer Service Line (NCSL).</w:t>
      </w:r>
    </w:p>
    <w:p w14:paraId="79AA0F35" w14:textId="1BE737FB" w:rsidR="00D74559" w:rsidRDefault="00C97EAE" w:rsidP="006E2EF5">
      <w:pPr>
        <w:rPr>
          <w:rFonts w:eastAsiaTheme="minorEastAsia"/>
          <w:color w:val="000000" w:themeColor="text1"/>
          <w:szCs w:val="22"/>
        </w:rPr>
      </w:pPr>
      <w:r>
        <w:rPr>
          <w:rFonts w:ascii="Tahoma" w:eastAsia="Tahoma" w:hAnsi="Tahoma" w:cs="Tahoma"/>
          <w:szCs w:val="22"/>
        </w:rPr>
        <w:t xml:space="preserve">Following the request for a transfer, </w:t>
      </w:r>
      <w:r w:rsidR="00D74559" w:rsidRPr="53BE8163">
        <w:rPr>
          <w:rFonts w:eastAsiaTheme="minorEastAsia"/>
          <w:color w:val="000000" w:themeColor="text1"/>
          <w:szCs w:val="22"/>
        </w:rPr>
        <w:t xml:space="preserve">the Participant </w:t>
      </w:r>
      <w:r>
        <w:rPr>
          <w:rFonts w:eastAsiaTheme="minorEastAsia"/>
          <w:color w:val="000000" w:themeColor="text1"/>
          <w:szCs w:val="22"/>
        </w:rPr>
        <w:t xml:space="preserve">will be Referred </w:t>
      </w:r>
      <w:r w:rsidR="00D74559" w:rsidRPr="53BE8163">
        <w:rPr>
          <w:rFonts w:eastAsiaTheme="minorEastAsia"/>
          <w:color w:val="000000" w:themeColor="text1"/>
          <w:szCs w:val="22"/>
        </w:rPr>
        <w:t>to their chosen new Provider. The Department’s IT Systems will notify the Relinquishing Provider and Gaining Provider of the transfer.</w:t>
      </w:r>
    </w:p>
    <w:p w14:paraId="0C167000" w14:textId="14FB8CC8" w:rsidR="00D74559" w:rsidRDefault="00D74559" w:rsidP="006E2EF5">
      <w:pPr>
        <w:keepNext/>
        <w:rPr>
          <w:rFonts w:ascii="Tahoma" w:eastAsia="Tahoma" w:hAnsi="Tahoma" w:cs="Tahoma"/>
          <w:color w:val="000000" w:themeColor="text1"/>
        </w:rPr>
      </w:pPr>
      <w:r w:rsidRPr="53BE8163">
        <w:rPr>
          <w:rFonts w:ascii="Tahoma" w:eastAsia="Tahoma" w:hAnsi="Tahoma" w:cs="Tahoma"/>
          <w:color w:val="000000" w:themeColor="text1"/>
        </w:rPr>
        <w:t>A Participant cannot choose to transfer to another Provider if they:</w:t>
      </w:r>
    </w:p>
    <w:p w14:paraId="53D35A55" w14:textId="77777777" w:rsidR="00D74559" w:rsidRPr="00995272" w:rsidRDefault="00D74559" w:rsidP="004E120D">
      <w:pPr>
        <w:pStyle w:val="BulletLevel1"/>
      </w:pPr>
      <w:r w:rsidRPr="00995272">
        <w:t>have a Provider-lodged reactive Managed Service Plan</w:t>
      </w:r>
    </w:p>
    <w:p w14:paraId="6E3D60C4" w14:textId="15341060" w:rsidR="00D74559" w:rsidRPr="00995272" w:rsidRDefault="00D74559" w:rsidP="004E120D">
      <w:pPr>
        <w:pStyle w:val="BulletLevel1"/>
      </w:pPr>
      <w:r w:rsidRPr="00995272">
        <w:t xml:space="preserve">have a Level 3 or Serious </w:t>
      </w:r>
      <w:r w:rsidR="009D086B">
        <w:t>I</w:t>
      </w:r>
      <w:r>
        <w:t xml:space="preserve">ncident </w:t>
      </w:r>
      <w:r w:rsidR="009D086B">
        <w:t>R</w:t>
      </w:r>
      <w:r>
        <w:t>eport</w:t>
      </w:r>
      <w:r w:rsidRPr="00995272">
        <w:t>, or</w:t>
      </w:r>
    </w:p>
    <w:p w14:paraId="43B64301" w14:textId="77777777" w:rsidR="00D74559" w:rsidRPr="00995272" w:rsidRDefault="00D74559" w:rsidP="004E120D">
      <w:pPr>
        <w:pStyle w:val="BulletLevel1"/>
      </w:pPr>
      <w:r w:rsidRPr="00995272">
        <w:t>are a Pre-Release Prisoner.</w:t>
      </w:r>
    </w:p>
    <w:p w14:paraId="42354452" w14:textId="77777777" w:rsidR="00D74559" w:rsidRDefault="00D74559" w:rsidP="006E2EF5">
      <w:pPr>
        <w:rPr>
          <w:rFonts w:ascii="Tahoma" w:eastAsia="Tahoma" w:hAnsi="Tahoma" w:cs="Tahoma"/>
          <w:color w:val="000000" w:themeColor="text1"/>
        </w:rPr>
      </w:pPr>
      <w:r w:rsidRPr="53BE8163">
        <w:rPr>
          <w:rFonts w:ascii="Tahoma" w:eastAsia="Tahoma" w:hAnsi="Tahoma" w:cs="Tahoma"/>
          <w:color w:val="000000" w:themeColor="text1"/>
        </w:rPr>
        <w:t>These Participants can transfer only with the agreement of both the Gaining Provider and the Relinquishing Provider</w:t>
      </w:r>
      <w:r>
        <w:rPr>
          <w:rFonts w:ascii="Tahoma" w:eastAsia="Tahoma" w:hAnsi="Tahoma" w:cs="Tahoma"/>
          <w:color w:val="000000" w:themeColor="text1"/>
        </w:rPr>
        <w:t xml:space="preserve"> (s</w:t>
      </w:r>
      <w:r w:rsidRPr="53BE8163">
        <w:rPr>
          <w:rFonts w:ascii="Tahoma" w:eastAsia="Tahoma" w:hAnsi="Tahoma" w:cs="Tahoma"/>
          <w:color w:val="000000" w:themeColor="text1"/>
        </w:rPr>
        <w:t xml:space="preserve">ee the section </w:t>
      </w:r>
      <w:r>
        <w:rPr>
          <w:rFonts w:ascii="Tahoma" w:eastAsia="Tahoma" w:hAnsi="Tahoma" w:cs="Tahoma"/>
          <w:color w:val="000000" w:themeColor="text1"/>
        </w:rPr>
        <w:t xml:space="preserve">below </w:t>
      </w:r>
      <w:r w:rsidRPr="53BE8163">
        <w:rPr>
          <w:rFonts w:ascii="Tahoma" w:eastAsia="Tahoma" w:hAnsi="Tahoma" w:cs="Tahoma"/>
          <w:color w:val="000000" w:themeColor="text1"/>
        </w:rPr>
        <w:t>for more details</w:t>
      </w:r>
      <w:r>
        <w:rPr>
          <w:rFonts w:ascii="Tahoma" w:eastAsia="Tahoma" w:hAnsi="Tahoma" w:cs="Tahoma"/>
          <w:color w:val="000000" w:themeColor="text1"/>
        </w:rPr>
        <w:t>)</w:t>
      </w:r>
      <w:r w:rsidRPr="53BE8163">
        <w:rPr>
          <w:rFonts w:ascii="Tahoma" w:eastAsia="Tahoma" w:hAnsi="Tahoma" w:cs="Tahoma"/>
          <w:color w:val="000000" w:themeColor="text1"/>
        </w:rPr>
        <w:t>.</w:t>
      </w:r>
    </w:p>
    <w:p w14:paraId="108AD828" w14:textId="77777777" w:rsidR="00D74559" w:rsidRDefault="00D74559" w:rsidP="006D1645">
      <w:pPr>
        <w:pStyle w:val="Heading5"/>
        <w:rPr>
          <w:rFonts w:ascii="Tahoma" w:eastAsia="Tahoma" w:hAnsi="Tahoma" w:cs="Tahoma"/>
        </w:rPr>
      </w:pPr>
      <w:r>
        <w:t>Transfer by agreement</w:t>
      </w:r>
    </w:p>
    <w:p w14:paraId="39932C41" w14:textId="0B44659E" w:rsidR="00D74559" w:rsidRDefault="00D74559" w:rsidP="006E2EF5">
      <w:pPr>
        <w:rPr>
          <w:rFonts w:ascii="Tahoma" w:eastAsia="Tahoma" w:hAnsi="Tahoma" w:cs="Tahoma"/>
          <w:szCs w:val="22"/>
        </w:rPr>
      </w:pPr>
      <w:r w:rsidRPr="53BE8163">
        <w:rPr>
          <w:rFonts w:ascii="Tahoma" w:eastAsia="Tahoma" w:hAnsi="Tahoma" w:cs="Tahoma"/>
          <w:szCs w:val="22"/>
        </w:rPr>
        <w:t xml:space="preserve">A Participant can transfer to another Provider </w:t>
      </w:r>
      <w:r w:rsidR="007228CD">
        <w:rPr>
          <w:rFonts w:ascii="Tahoma" w:eastAsia="Tahoma" w:hAnsi="Tahoma" w:cs="Tahoma"/>
          <w:szCs w:val="22"/>
        </w:rPr>
        <w:t>after</w:t>
      </w:r>
      <w:r w:rsidRPr="53BE8163">
        <w:rPr>
          <w:rFonts w:ascii="Tahoma" w:eastAsia="Tahoma" w:hAnsi="Tahoma" w:cs="Tahoma"/>
          <w:szCs w:val="22"/>
        </w:rPr>
        <w:t xml:space="preserve"> both the Relinquishing Provider and the Gaining Provider sign a </w:t>
      </w:r>
      <w:r w:rsidRPr="000B1915">
        <w:rPr>
          <w:rStyle w:val="Hyperlink"/>
        </w:rPr>
        <w:t xml:space="preserve">Transfer by Agreement Form </w:t>
      </w:r>
      <w:r w:rsidR="000B1915" w:rsidRPr="000B1915">
        <w:rPr>
          <w:rStyle w:val="Hyperlink"/>
        </w:rPr>
        <w:t>[LINK]</w:t>
      </w:r>
      <w:r w:rsidR="000B1915">
        <w:rPr>
          <w:rFonts w:ascii="Tahoma" w:eastAsia="Tahoma" w:hAnsi="Tahoma" w:cs="Tahoma"/>
          <w:szCs w:val="22"/>
        </w:rPr>
        <w:t xml:space="preserve"> </w:t>
      </w:r>
      <w:r w:rsidRPr="53BE8163">
        <w:rPr>
          <w:rFonts w:ascii="Tahoma" w:eastAsia="Tahoma" w:hAnsi="Tahoma" w:cs="Tahoma"/>
          <w:szCs w:val="22"/>
        </w:rPr>
        <w:t xml:space="preserve">to show that both Providers agree to the transfer. The Relinquishing Provider must enter the </w:t>
      </w:r>
      <w:r w:rsidR="00A06F16">
        <w:rPr>
          <w:rFonts w:ascii="Tahoma" w:eastAsia="Tahoma" w:hAnsi="Tahoma" w:cs="Tahoma"/>
          <w:szCs w:val="22"/>
        </w:rPr>
        <w:t xml:space="preserve">form </w:t>
      </w:r>
      <w:r w:rsidRPr="53BE8163">
        <w:rPr>
          <w:rFonts w:ascii="Tahoma" w:eastAsia="Tahoma" w:hAnsi="Tahoma" w:cs="Tahoma"/>
          <w:szCs w:val="22"/>
        </w:rPr>
        <w:t>details into the Department’s IT Systems to action the transfer.</w:t>
      </w:r>
    </w:p>
    <w:p w14:paraId="5E159C84" w14:textId="369167CE" w:rsidR="00D74559" w:rsidRPr="00995272" w:rsidRDefault="00D74559" w:rsidP="0079424A">
      <w:pPr>
        <w:pStyle w:val="DocumentaryEvidenceRequirement"/>
      </w:pPr>
      <w:r w:rsidRPr="00995272">
        <w:t xml:space="preserve">The </w:t>
      </w:r>
      <w:r w:rsidR="00A74D19">
        <w:t xml:space="preserve">Relinquishing </w:t>
      </w:r>
      <w:r w:rsidRPr="00995272">
        <w:t xml:space="preserve">Provider must keep a copy of the signed Transfer by Agreement Form. </w:t>
      </w:r>
    </w:p>
    <w:p w14:paraId="7E226B29" w14:textId="77777777" w:rsidR="00D74559" w:rsidRDefault="00D74559" w:rsidP="006E2EF5">
      <w:pPr>
        <w:keepNext/>
        <w:rPr>
          <w:rFonts w:ascii="Tahoma" w:eastAsia="Tahoma" w:hAnsi="Tahoma" w:cs="Tahoma"/>
          <w:color w:val="000000" w:themeColor="text1"/>
        </w:rPr>
      </w:pPr>
      <w:r w:rsidRPr="53BE8163">
        <w:rPr>
          <w:rFonts w:ascii="Tahoma" w:eastAsia="Tahoma" w:hAnsi="Tahoma" w:cs="Tahoma"/>
          <w:szCs w:val="22"/>
        </w:rPr>
        <w:t>Transfer by agreement is the only way that a Participant can be transferred to another Provider</w:t>
      </w:r>
      <w:r w:rsidRPr="53BE8163">
        <w:rPr>
          <w:rFonts w:ascii="Tahoma" w:eastAsia="Tahoma" w:hAnsi="Tahoma" w:cs="Tahoma"/>
          <w:color w:val="000000" w:themeColor="text1"/>
        </w:rPr>
        <w:t xml:space="preserve"> if they:</w:t>
      </w:r>
    </w:p>
    <w:p w14:paraId="097603BA" w14:textId="77777777" w:rsidR="00D74559" w:rsidRPr="00995272" w:rsidRDefault="00D74559" w:rsidP="004E120D">
      <w:pPr>
        <w:pStyle w:val="BulletLevel1"/>
      </w:pPr>
      <w:r w:rsidRPr="00995272">
        <w:t>have a Provider-lodged reactive Managed Service Plan</w:t>
      </w:r>
    </w:p>
    <w:p w14:paraId="0F79A58E" w14:textId="324BF9B3" w:rsidR="00D74559" w:rsidRPr="00995272" w:rsidRDefault="00D74559" w:rsidP="004E120D">
      <w:pPr>
        <w:pStyle w:val="BulletLevel1"/>
      </w:pPr>
      <w:r w:rsidRPr="00995272">
        <w:t xml:space="preserve">have a Level 3 or Serious </w:t>
      </w:r>
      <w:r w:rsidR="001E69B7">
        <w:t>I</w:t>
      </w:r>
      <w:r>
        <w:t>ncident</w:t>
      </w:r>
      <w:r w:rsidRPr="00995272">
        <w:t xml:space="preserve"> </w:t>
      </w:r>
      <w:r w:rsidR="001E69B7">
        <w:t>R</w:t>
      </w:r>
      <w:r>
        <w:t>eport</w:t>
      </w:r>
      <w:r w:rsidRPr="00995272">
        <w:t>, or</w:t>
      </w:r>
    </w:p>
    <w:p w14:paraId="48D0E7CA" w14:textId="77777777" w:rsidR="00D74559" w:rsidRPr="00995272" w:rsidRDefault="00D74559" w:rsidP="004E120D">
      <w:pPr>
        <w:pStyle w:val="BulletLevel1"/>
      </w:pPr>
      <w:r w:rsidRPr="00995272">
        <w:t>are a Pre-Release Prisoner.</w:t>
      </w:r>
    </w:p>
    <w:p w14:paraId="11591ADC" w14:textId="6E0BCD76" w:rsidR="00D74559" w:rsidRDefault="00D74559" w:rsidP="006E2EF5">
      <w:pPr>
        <w:rPr>
          <w:rFonts w:ascii="Tahoma" w:eastAsia="Tahoma" w:hAnsi="Tahoma" w:cs="Tahoma"/>
        </w:rPr>
      </w:pPr>
      <w:r w:rsidRPr="670970FE">
        <w:rPr>
          <w:rFonts w:ascii="Tahoma" w:eastAsia="Tahoma" w:hAnsi="Tahoma" w:cs="Tahoma"/>
        </w:rPr>
        <w:t xml:space="preserve">The Gaining Provider and Relinquishing Provider must note </w:t>
      </w:r>
      <w:r w:rsidR="00A03DBE">
        <w:rPr>
          <w:rFonts w:ascii="Tahoma" w:eastAsia="Tahoma" w:hAnsi="Tahoma" w:cs="Tahoma"/>
        </w:rPr>
        <w:t xml:space="preserve">in </w:t>
      </w:r>
      <w:r w:rsidR="005B247C" w:rsidRPr="670970FE">
        <w:rPr>
          <w:rFonts w:ascii="Tahoma" w:eastAsia="Tahoma" w:hAnsi="Tahoma" w:cs="Tahoma"/>
        </w:rPr>
        <w:t xml:space="preserve">the Transfer by Agreement </w:t>
      </w:r>
      <w:r w:rsidR="00A03DBE">
        <w:rPr>
          <w:rFonts w:ascii="Tahoma" w:eastAsia="Tahoma" w:hAnsi="Tahoma" w:cs="Tahoma"/>
        </w:rPr>
        <w:t xml:space="preserve">Form </w:t>
      </w:r>
      <w:r w:rsidRPr="670970FE">
        <w:rPr>
          <w:rFonts w:ascii="Tahoma" w:eastAsia="Tahoma" w:hAnsi="Tahoma" w:cs="Tahoma"/>
        </w:rPr>
        <w:t xml:space="preserve">that they have discussed relevant details about the Participant’s servicing arrangements. This ensures the Gaining Provider </w:t>
      </w:r>
      <w:r w:rsidR="005B247C">
        <w:rPr>
          <w:rFonts w:ascii="Tahoma" w:eastAsia="Tahoma" w:hAnsi="Tahoma" w:cs="Tahoma"/>
        </w:rPr>
        <w:t>has an understanding of</w:t>
      </w:r>
      <w:r w:rsidRPr="670970FE">
        <w:rPr>
          <w:rFonts w:ascii="Tahoma" w:eastAsia="Tahoma" w:hAnsi="Tahoma" w:cs="Tahoma"/>
        </w:rPr>
        <w:t xml:space="preserve"> any servicing challenges associated with the Participant. If the Gaining Provider does not agree to the transfer after the discussion, they must not sign the Transfer by Agreement </w:t>
      </w:r>
      <w:r w:rsidR="00FE642D">
        <w:rPr>
          <w:rFonts w:ascii="Tahoma" w:eastAsia="Tahoma" w:hAnsi="Tahoma" w:cs="Tahoma"/>
        </w:rPr>
        <w:t>F</w:t>
      </w:r>
      <w:r w:rsidRPr="670970FE">
        <w:rPr>
          <w:rFonts w:ascii="Tahoma" w:eastAsia="Tahoma" w:hAnsi="Tahoma" w:cs="Tahoma"/>
        </w:rPr>
        <w:t>orm.</w:t>
      </w:r>
    </w:p>
    <w:p w14:paraId="226821AC" w14:textId="26B476CA" w:rsidR="00D74559" w:rsidRDefault="00D74559" w:rsidP="006E2EF5">
      <w:pPr>
        <w:rPr>
          <w:rFonts w:ascii="Tahoma" w:eastAsia="Tahoma" w:hAnsi="Tahoma" w:cs="Tahoma"/>
          <w:szCs w:val="22"/>
        </w:rPr>
      </w:pPr>
      <w:r w:rsidRPr="00D12E7F">
        <w:rPr>
          <w:rFonts w:ascii="Tahoma" w:eastAsia="Tahoma" w:hAnsi="Tahoma" w:cs="Tahoma"/>
          <w:b/>
          <w:bCs/>
          <w:szCs w:val="22"/>
        </w:rPr>
        <w:t>Note</w:t>
      </w:r>
      <w:r w:rsidRPr="53BE8163">
        <w:rPr>
          <w:rFonts w:ascii="Tahoma" w:eastAsia="Tahoma" w:hAnsi="Tahoma" w:cs="Tahoma"/>
          <w:szCs w:val="22"/>
        </w:rPr>
        <w:t xml:space="preserve">: Providers do not need to use the Transfer by Agreement </w:t>
      </w:r>
      <w:r w:rsidR="00FE642D">
        <w:rPr>
          <w:rFonts w:ascii="Tahoma" w:eastAsia="Tahoma" w:hAnsi="Tahoma" w:cs="Tahoma"/>
          <w:szCs w:val="22"/>
        </w:rPr>
        <w:t>F</w:t>
      </w:r>
      <w:r w:rsidRPr="53BE8163">
        <w:rPr>
          <w:rFonts w:ascii="Tahoma" w:eastAsia="Tahoma" w:hAnsi="Tahoma" w:cs="Tahoma"/>
          <w:szCs w:val="22"/>
        </w:rPr>
        <w:t>orm when transferring a Participant between the Provider’s own Sites. However, Providers must record the reason for the move, and that the 'Transfer by Agreement' option was used without a signed form</w:t>
      </w:r>
      <w:r w:rsidR="00995E2B">
        <w:rPr>
          <w:rFonts w:ascii="Tahoma" w:eastAsia="Tahoma" w:hAnsi="Tahoma" w:cs="Tahoma"/>
          <w:szCs w:val="22"/>
        </w:rPr>
        <w:t xml:space="preserve"> in the Program Summary</w:t>
      </w:r>
      <w:r w:rsidR="0037763A">
        <w:rPr>
          <w:rFonts w:ascii="Tahoma" w:eastAsia="Tahoma" w:hAnsi="Tahoma" w:cs="Tahoma"/>
          <w:szCs w:val="22"/>
        </w:rPr>
        <w:t xml:space="preserve"> on the Department’s IT Systems</w:t>
      </w:r>
      <w:r w:rsidRPr="53BE8163">
        <w:rPr>
          <w:rFonts w:ascii="Tahoma" w:eastAsia="Tahoma" w:hAnsi="Tahoma" w:cs="Tahoma"/>
          <w:szCs w:val="22"/>
        </w:rPr>
        <w:t>.</w:t>
      </w:r>
    </w:p>
    <w:p w14:paraId="2EC9338F" w14:textId="055C8EBC" w:rsidR="00C50802" w:rsidRPr="00C50802" w:rsidRDefault="00C50802" w:rsidP="006E2EF5">
      <w:pPr>
        <w:pStyle w:val="SystemStep"/>
      </w:pPr>
      <w:r>
        <w:t>Providers must</w:t>
      </w:r>
      <w:r w:rsidRPr="00FB7CD7">
        <w:t xml:space="preserve"> </w:t>
      </w:r>
      <w:r>
        <w:t>enter a reason the using comment functionality in the Program Summary on</w:t>
      </w:r>
      <w:r w:rsidRPr="53BE8163">
        <w:t xml:space="preserve"> the Department’s IT Systems</w:t>
      </w:r>
      <w:r>
        <w:t>.</w:t>
      </w:r>
    </w:p>
    <w:p w14:paraId="0FE07C5C" w14:textId="77777777" w:rsidR="00D74559" w:rsidRDefault="00D74559" w:rsidP="006D1645">
      <w:pPr>
        <w:pStyle w:val="Heading5"/>
      </w:pPr>
      <w:r>
        <w:t>Transfer due to relationship failure</w:t>
      </w:r>
    </w:p>
    <w:p w14:paraId="320F83BB" w14:textId="5CE33088" w:rsidR="00D74559" w:rsidRDefault="00D74559" w:rsidP="006E2EF5">
      <w:r w:rsidRPr="0E218120">
        <w:t xml:space="preserve">If a Provider thinks </w:t>
      </w:r>
      <w:r w:rsidR="00E94ACF">
        <w:t>they</w:t>
      </w:r>
      <w:r w:rsidRPr="0E218120">
        <w:t xml:space="preserve"> cannot maintain a reasonable and constructive servicing relationship with a Participant, </w:t>
      </w:r>
      <w:r w:rsidR="00E94ACF">
        <w:t>a</w:t>
      </w:r>
      <w:r w:rsidRPr="0E218120">
        <w:t xml:space="preserve"> </w:t>
      </w:r>
      <w:r w:rsidRPr="006C2C81">
        <w:rPr>
          <w:rStyle w:val="Hyperlink"/>
        </w:rPr>
        <w:t xml:space="preserve">Transfer Due to Relationship Failure Form </w:t>
      </w:r>
      <w:r w:rsidR="006C2C81" w:rsidRPr="006C2C81">
        <w:rPr>
          <w:rStyle w:val="Hyperlink"/>
        </w:rPr>
        <w:t>[LINK]</w:t>
      </w:r>
      <w:r w:rsidR="006C2C81">
        <w:t xml:space="preserve"> </w:t>
      </w:r>
      <w:r w:rsidR="00B85A28">
        <w:t>can be completed</w:t>
      </w:r>
      <w:r w:rsidRPr="0E218120">
        <w:t xml:space="preserve"> and </w:t>
      </w:r>
      <w:r w:rsidR="00B85A28">
        <w:t xml:space="preserve">must be </w:t>
      </w:r>
      <w:r w:rsidRPr="0E218120">
        <w:t>forward</w:t>
      </w:r>
      <w:r w:rsidR="00B85A28">
        <w:t>ed</w:t>
      </w:r>
      <w:r w:rsidRPr="0E218120">
        <w:t xml:space="preserve"> to the NCSL (</w:t>
      </w:r>
      <w:hyperlink r:id="rId44">
        <w:r w:rsidRPr="0E218120">
          <w:rPr>
            <w:rStyle w:val="Hyperlink"/>
          </w:rPr>
          <w:t>nationalcustomerserviceline@dewr.gov.au</w:t>
        </w:r>
      </w:hyperlink>
      <w:r w:rsidRPr="0E218120">
        <w:t xml:space="preserve">) for investigation. The NCSL will consider </w:t>
      </w:r>
      <w:r w:rsidR="00E94ACF">
        <w:t>a Provider’s</w:t>
      </w:r>
      <w:r w:rsidRPr="0E218120">
        <w:t xml:space="preserve"> request based on the evidence provided, including </w:t>
      </w:r>
      <w:r w:rsidR="000874B0">
        <w:t>if</w:t>
      </w:r>
      <w:r w:rsidRPr="0E218120">
        <w:t xml:space="preserve"> the process outlined in </w:t>
      </w:r>
      <w:r w:rsidR="00986A53">
        <w:fldChar w:fldCharType="begin"/>
      </w:r>
      <w:r w:rsidR="00986A53">
        <w:instrText xml:space="preserve"> REF _Ref202785047 \h </w:instrText>
      </w:r>
      <w:r w:rsidR="00986A53">
        <w:fldChar w:fldCharType="separate"/>
      </w:r>
      <w:r w:rsidR="000D75AE" w:rsidRPr="00BA23D8">
        <w:t>Chapter 13</w:t>
      </w:r>
      <w:r w:rsidR="000D75AE">
        <w:t>:</w:t>
      </w:r>
      <w:r w:rsidR="00E12BF6">
        <w:t xml:space="preserve"> </w:t>
      </w:r>
      <w:r w:rsidR="000D75AE" w:rsidRPr="00BA23D8">
        <w:t>Servicing Participants with challenging behaviours</w:t>
      </w:r>
      <w:r w:rsidR="00986A53">
        <w:fldChar w:fldCharType="end"/>
      </w:r>
      <w:r w:rsidR="00986A53">
        <w:t xml:space="preserve"> </w:t>
      </w:r>
      <w:r w:rsidR="00E94ACF">
        <w:t>has been followed</w:t>
      </w:r>
      <w:r w:rsidRPr="0E218120">
        <w:t xml:space="preserve">. </w:t>
      </w:r>
    </w:p>
    <w:p w14:paraId="7411D8C4" w14:textId="2129F43E" w:rsidR="00600BD2" w:rsidRDefault="00600BD2" w:rsidP="00600BD2">
      <w:pPr>
        <w:pStyle w:val="DocumentaryEvidenceRequirement"/>
      </w:pPr>
      <w:r>
        <w:t xml:space="preserve">Providers will need to </w:t>
      </w:r>
      <w:r w:rsidR="00F07472">
        <w:t xml:space="preserve">submit </w:t>
      </w:r>
      <w:r>
        <w:t>document</w:t>
      </w:r>
      <w:r w:rsidR="00FF7A97">
        <w:t>ation of</w:t>
      </w:r>
      <w:r>
        <w:t xml:space="preserve"> the relationship breakdown, including any Incidents, and efforts to resolve the relationship issues.</w:t>
      </w:r>
    </w:p>
    <w:p w14:paraId="182B9712" w14:textId="4F268F3C" w:rsidR="00F10BE4" w:rsidRDefault="00F10BE4" w:rsidP="00F946F5">
      <w:pPr>
        <w:rPr>
          <w:rFonts w:ascii="Tahoma" w:eastAsia="Tahoma" w:hAnsi="Tahoma" w:cs="Tahoma"/>
        </w:rPr>
      </w:pPr>
      <w:r>
        <w:rPr>
          <w:rFonts w:ascii="Tahoma" w:eastAsia="Tahoma" w:hAnsi="Tahoma" w:cs="Tahoma"/>
        </w:rPr>
        <w:t xml:space="preserve">Participants may also request a transfer due to relationship failure without needing to </w:t>
      </w:r>
      <w:r w:rsidR="00061E37">
        <w:rPr>
          <w:rFonts w:ascii="Tahoma" w:eastAsia="Tahoma" w:hAnsi="Tahoma" w:cs="Tahoma"/>
        </w:rPr>
        <w:t>submit evidence of the relationship failure.</w:t>
      </w:r>
    </w:p>
    <w:p w14:paraId="183D5A27" w14:textId="3C7F54D5" w:rsidR="00D74559" w:rsidRDefault="00D74559" w:rsidP="00F946F5">
      <w:r w:rsidRPr="0E218120">
        <w:rPr>
          <w:rFonts w:ascii="Tahoma" w:eastAsia="Tahoma" w:hAnsi="Tahoma" w:cs="Tahoma"/>
        </w:rPr>
        <w:t xml:space="preserve">If the NCSL approves a transfer due to relationship failure, the Participant will be sent a notification advising them of their new Provider and the date and time of their next appointment. </w:t>
      </w:r>
    </w:p>
    <w:p w14:paraId="04B84D02" w14:textId="15A5E828" w:rsidR="00D74559" w:rsidRDefault="00D74559" w:rsidP="00F946F5">
      <w:r w:rsidRPr="53BE8163">
        <w:rPr>
          <w:rFonts w:ascii="Tahoma" w:eastAsia="Tahoma" w:hAnsi="Tahoma" w:cs="Tahoma"/>
          <w:szCs w:val="22"/>
        </w:rPr>
        <w:t>If the NCSL does not approve the transfer, it will notify the Provider and/or the Participant</w:t>
      </w:r>
      <w:r w:rsidR="00061E37">
        <w:rPr>
          <w:rFonts w:ascii="Tahoma" w:eastAsia="Tahoma" w:hAnsi="Tahoma" w:cs="Tahoma"/>
          <w:szCs w:val="22"/>
        </w:rPr>
        <w:t xml:space="preserve"> (dependent on the</w:t>
      </w:r>
      <w:r w:rsidR="005B0099">
        <w:rPr>
          <w:rFonts w:ascii="Tahoma" w:eastAsia="Tahoma" w:hAnsi="Tahoma" w:cs="Tahoma"/>
          <w:szCs w:val="22"/>
        </w:rPr>
        <w:t xml:space="preserve"> requesting party)</w:t>
      </w:r>
      <w:r w:rsidRPr="53BE8163">
        <w:rPr>
          <w:rFonts w:ascii="Tahoma" w:eastAsia="Tahoma" w:hAnsi="Tahoma" w:cs="Tahoma"/>
          <w:szCs w:val="22"/>
        </w:rPr>
        <w:t>.</w:t>
      </w:r>
    </w:p>
    <w:p w14:paraId="2D6EFA1A" w14:textId="0D995862" w:rsidR="00D74559" w:rsidRDefault="00D74559" w:rsidP="001D0F92">
      <w:pPr>
        <w:pStyle w:val="Heading3"/>
      </w:pPr>
      <w:bookmarkStart w:id="116" w:name="_Ref202788224"/>
      <w:bookmarkStart w:id="117" w:name="_Toc202899913"/>
      <w:r>
        <w:t>3.5</w:t>
      </w:r>
      <w:r w:rsidR="003F6B39">
        <w:tab/>
      </w:r>
      <w:r>
        <w:t>Suspensions and Volunteer Periods</w:t>
      </w:r>
      <w:bookmarkEnd w:id="116"/>
      <w:bookmarkEnd w:id="117"/>
    </w:p>
    <w:p w14:paraId="157D9003" w14:textId="39F0DA01" w:rsidR="00D74559" w:rsidRDefault="00D74559" w:rsidP="00EB19F4">
      <w:pPr>
        <w:keepNext/>
        <w:rPr>
          <w:rFonts w:ascii="Tahoma" w:eastAsia="Tahoma" w:hAnsi="Tahoma" w:cs="Tahoma"/>
        </w:rPr>
      </w:pPr>
      <w:r w:rsidRPr="0E218120">
        <w:rPr>
          <w:rFonts w:ascii="Tahoma" w:eastAsia="Tahoma" w:hAnsi="Tahoma" w:cs="Tahoma"/>
        </w:rPr>
        <w:t>Participants are not required to participate in Services when Suspended.</w:t>
      </w:r>
    </w:p>
    <w:p w14:paraId="0D0A9165" w14:textId="76940483" w:rsidR="00D74559" w:rsidRDefault="00D74559" w:rsidP="006E2EF5">
      <w:r w:rsidRPr="7B18EECF">
        <w:t xml:space="preserve">A Suspended Participant can volunteer to receive </w:t>
      </w:r>
      <w:r w:rsidR="003F7CF2" w:rsidRPr="3C5981F1">
        <w:t>S</w:t>
      </w:r>
      <w:r w:rsidRPr="3C5981F1">
        <w:t>ervices</w:t>
      </w:r>
      <w:r w:rsidRPr="7B18EECF">
        <w:t xml:space="preserve"> from the Provider during the Suspension. This is referred to as a Volunteer Period</w:t>
      </w:r>
      <w:r w:rsidR="00CA6F0D">
        <w:t xml:space="preserve">. </w:t>
      </w:r>
      <w:r w:rsidR="00230F45">
        <w:t xml:space="preserve">This </w:t>
      </w:r>
      <w:r w:rsidR="00FB6B52">
        <w:t>process</w:t>
      </w:r>
      <w:r w:rsidR="00230F45">
        <w:t xml:space="preserve"> is outlined under</w:t>
      </w:r>
      <w:r w:rsidR="00CA6F0D">
        <w:t xml:space="preserve"> </w:t>
      </w:r>
      <w:r w:rsidR="00986A53">
        <w:rPr>
          <w:highlight w:val="yellow"/>
        </w:rPr>
        <w:fldChar w:fldCharType="begin"/>
      </w:r>
      <w:r w:rsidR="00986A53">
        <w:instrText xml:space="preserve"> REF _Ref202785048 \h </w:instrText>
      </w:r>
      <w:r w:rsidR="00986A53">
        <w:rPr>
          <w:highlight w:val="yellow"/>
        </w:rPr>
      </w:r>
      <w:r w:rsidR="00986A53">
        <w:rPr>
          <w:highlight w:val="yellow"/>
        </w:rPr>
        <w:fldChar w:fldCharType="separate"/>
      </w:r>
      <w:r w:rsidR="000D75AE" w:rsidRPr="362FEA09">
        <w:t>3.5.2Volunteering during a Suspension</w:t>
      </w:r>
      <w:r w:rsidR="00986A53">
        <w:rPr>
          <w:highlight w:val="yellow"/>
        </w:rPr>
        <w:fldChar w:fldCharType="end"/>
      </w:r>
      <w:r w:rsidR="00986A53">
        <w:t>.</w:t>
      </w:r>
    </w:p>
    <w:p w14:paraId="4E3BC694" w14:textId="13B1B55F" w:rsidR="00D74559" w:rsidRDefault="00D74559" w:rsidP="006E2EF5">
      <w:r w:rsidRPr="0E218120">
        <w:t xml:space="preserve">During a Suspension, the Participant’s Period of Service is </w:t>
      </w:r>
      <w:r w:rsidR="009B6AF4">
        <w:t>p</w:t>
      </w:r>
      <w:r w:rsidRPr="0E218120">
        <w:t xml:space="preserve">aused, and the Provider is not required to deliver Services to the Participant. A Suspension ends the </w:t>
      </w:r>
      <w:r w:rsidR="00EC1C1F">
        <w:t xml:space="preserve">current </w:t>
      </w:r>
      <w:r w:rsidRPr="0E218120">
        <w:t xml:space="preserve">Service Fee period, which is paid on a pro-rata basis. If the Participant is in Ongoing Support, the Provider must cease to deliver Ongoing Support </w:t>
      </w:r>
      <w:r w:rsidR="004256A3">
        <w:t xml:space="preserve">Instances or </w:t>
      </w:r>
      <w:r>
        <w:t>C</w:t>
      </w:r>
      <w:r w:rsidRPr="0E218120">
        <w:t>ontacts</w:t>
      </w:r>
      <w:r w:rsidR="00EC1C1F">
        <w:t xml:space="preserve"> and will not receive any Ongoing Support Fees</w:t>
      </w:r>
      <w:r w:rsidRPr="0E218120">
        <w:t>.</w:t>
      </w:r>
    </w:p>
    <w:p w14:paraId="663DFD05" w14:textId="791018DF" w:rsidR="00D74559" w:rsidRDefault="00D74559" w:rsidP="006E2EF5">
      <w:pPr>
        <w:rPr>
          <w:szCs w:val="22"/>
        </w:rPr>
      </w:pPr>
      <w:r w:rsidRPr="53BE8163">
        <w:rPr>
          <w:szCs w:val="22"/>
        </w:rPr>
        <w:t xml:space="preserve">The Participant’s Period of </w:t>
      </w:r>
      <w:r>
        <w:rPr>
          <w:szCs w:val="22"/>
        </w:rPr>
        <w:t xml:space="preserve">Registration, Period of </w:t>
      </w:r>
      <w:r w:rsidRPr="53BE8163">
        <w:rPr>
          <w:szCs w:val="22"/>
        </w:rPr>
        <w:t xml:space="preserve">Service, progress towards Service Fees and </w:t>
      </w:r>
      <w:r w:rsidR="001D0507">
        <w:rPr>
          <w:szCs w:val="22"/>
        </w:rPr>
        <w:t>eligibility for</w:t>
      </w:r>
      <w:r w:rsidR="00DD6B60">
        <w:rPr>
          <w:szCs w:val="22"/>
        </w:rPr>
        <w:t xml:space="preserve"> Ongoing Support Fees</w:t>
      </w:r>
      <w:r w:rsidRPr="53BE8163">
        <w:rPr>
          <w:szCs w:val="22"/>
        </w:rPr>
        <w:t xml:space="preserve"> resume:</w:t>
      </w:r>
    </w:p>
    <w:p w14:paraId="7320A02D" w14:textId="77777777" w:rsidR="00D74559" w:rsidRPr="00995272" w:rsidRDefault="00D74559" w:rsidP="004E120D">
      <w:pPr>
        <w:pStyle w:val="BulletLevel1"/>
      </w:pPr>
      <w:r w:rsidRPr="00995272">
        <w:t>during any Volunteer Period, or</w:t>
      </w:r>
    </w:p>
    <w:p w14:paraId="45ADC5C0" w14:textId="77777777" w:rsidR="00D74559" w:rsidRPr="00995272" w:rsidRDefault="00D74559" w:rsidP="004E120D">
      <w:pPr>
        <w:pStyle w:val="BulletLevel1"/>
      </w:pPr>
      <w:r w:rsidRPr="00995272">
        <w:t>when the Suspension ends.</w:t>
      </w:r>
    </w:p>
    <w:p w14:paraId="368823B4" w14:textId="5F740AD0" w:rsidR="00D74559" w:rsidRDefault="00D74559" w:rsidP="006E2EF5">
      <w:r>
        <w:t xml:space="preserve">Following a period of Suspension, the Provider must hold </w:t>
      </w:r>
      <w:r w:rsidR="00A52607">
        <w:t xml:space="preserve">the first Contact </w:t>
      </w:r>
      <w:r>
        <w:t xml:space="preserve">Appointment </w:t>
      </w:r>
      <w:r w:rsidR="00A52607">
        <w:t>face-to-face as part of the Re-engagement process</w:t>
      </w:r>
      <w:r>
        <w:t xml:space="preserve"> </w:t>
      </w:r>
      <w:r w:rsidR="00FC7391">
        <w:t>(unless</w:t>
      </w:r>
      <w:r w:rsidR="00802561">
        <w:t xml:space="preserve"> </w:t>
      </w:r>
      <w:r w:rsidR="00CF6CC1">
        <w:t>it would b</w:t>
      </w:r>
      <w:r w:rsidR="009E3471">
        <w:t xml:space="preserve">e </w:t>
      </w:r>
      <w:r w:rsidR="0090608F" w:rsidRPr="0090608F">
        <w:t xml:space="preserve">unreasonable to conduct the </w:t>
      </w:r>
      <w:r w:rsidR="0090608F">
        <w:t>appoint</w:t>
      </w:r>
      <w:r w:rsidR="00C276AE">
        <w:t>ment</w:t>
      </w:r>
      <w:r w:rsidR="0090608F" w:rsidRPr="0090608F">
        <w:t xml:space="preserve"> face-to-face</w:t>
      </w:r>
      <w:r w:rsidR="00802561">
        <w:t>)</w:t>
      </w:r>
      <w:r w:rsidR="00FC7391">
        <w:t xml:space="preserve"> </w:t>
      </w:r>
      <w:r>
        <w:t>to reconnect with the Participant and update the Participant’s Job Plan accordingly.</w:t>
      </w:r>
      <w:r w:rsidR="00DF0B98">
        <w:t xml:space="preserve"> Updating the Job Plan can help to ensure that the Participant is aware of their participation requirements.</w:t>
      </w:r>
    </w:p>
    <w:p w14:paraId="30ACFBD4" w14:textId="5F533A1D" w:rsidR="002F1A3B" w:rsidRDefault="002F1A3B" w:rsidP="002F1A3B">
      <w:pPr>
        <w:pStyle w:val="DeedReferences"/>
      </w:pPr>
      <w:r>
        <w:t xml:space="preserve">(Deed Reference(s): Clause 151, </w:t>
      </w:r>
      <w:r w:rsidR="001E3B77">
        <w:t xml:space="preserve">152, </w:t>
      </w:r>
      <w:r>
        <w:t>153)</w:t>
      </w:r>
    </w:p>
    <w:p w14:paraId="1FCE78C6" w14:textId="77777777" w:rsidR="00D74559" w:rsidRDefault="00D74559" w:rsidP="006D1645">
      <w:pPr>
        <w:pStyle w:val="Heading5"/>
        <w:rPr>
          <w:rFonts w:asciiTheme="minorHAnsi" w:eastAsiaTheme="minorEastAsia" w:hAnsiTheme="minorHAnsi" w:cstheme="minorBidi"/>
          <w:szCs w:val="22"/>
        </w:rPr>
      </w:pPr>
      <w:r w:rsidRPr="53BE8163">
        <w:t>Effect of Suspensions on Outcomes</w:t>
      </w:r>
    </w:p>
    <w:p w14:paraId="4EFC093D" w14:textId="3F665202" w:rsidR="00D74559" w:rsidRDefault="00D74559" w:rsidP="006E2EF5">
      <w:r w:rsidRPr="0E218120">
        <w:t xml:space="preserve">Participants can achieve an Outcome while they are Suspended. If a Participant is in Post Placement Support </w:t>
      </w:r>
      <w:r w:rsidR="009E2EB5">
        <w:t xml:space="preserve">(or Ongoing Support) </w:t>
      </w:r>
      <w:r w:rsidRPr="0E218120">
        <w:t xml:space="preserve">and progressing towards an Outcome when they are Suspended, the Outcome Period continues during the Suspension while the Participant remains </w:t>
      </w:r>
      <w:r w:rsidR="00E209D8">
        <w:t>E</w:t>
      </w:r>
      <w:r w:rsidRPr="0E218120">
        <w:t>mployed. The Provider can claim an Outcome Fee if it can demonstrate that the Participant met the conditions of an Outcome during the Suspension.</w:t>
      </w:r>
    </w:p>
    <w:p w14:paraId="35FB43AD" w14:textId="282000A3" w:rsidR="00D74559" w:rsidRPr="00986A53" w:rsidRDefault="00D74559" w:rsidP="006E2EF5">
      <w:r w:rsidRPr="53BE8163">
        <w:t>Information on Outcome conditions is at</w:t>
      </w:r>
      <w:r w:rsidR="00986A53">
        <w:t xml:space="preserve"> </w:t>
      </w:r>
      <w:r w:rsidR="00986A53">
        <w:rPr>
          <w:highlight w:val="yellow"/>
        </w:rPr>
        <w:fldChar w:fldCharType="begin"/>
      </w:r>
      <w:r w:rsidR="00986A53">
        <w:instrText xml:space="preserve"> REF _Ref202785049 \h </w:instrText>
      </w:r>
      <w:r w:rsidR="00986A53">
        <w:rPr>
          <w:highlight w:val="yellow"/>
        </w:rPr>
      </w:r>
      <w:r w:rsidR="00986A53">
        <w:rPr>
          <w:highlight w:val="yellow"/>
        </w:rPr>
        <w:fldChar w:fldCharType="separate"/>
      </w:r>
      <w:r w:rsidR="000D75AE">
        <w:t>9.5Employment Outcome conditions</w:t>
      </w:r>
      <w:r w:rsidR="00986A53">
        <w:rPr>
          <w:highlight w:val="yellow"/>
        </w:rPr>
        <w:fldChar w:fldCharType="end"/>
      </w:r>
      <w:r w:rsidRPr="53BE8163">
        <w:t>, and information about claiming Outcome Fees is at</w:t>
      </w:r>
      <w:r w:rsidR="00986A53">
        <w:t xml:space="preserve"> </w:t>
      </w:r>
      <w:r w:rsidR="00986A53" w:rsidRPr="00986A53">
        <w:fldChar w:fldCharType="begin"/>
      </w:r>
      <w:r w:rsidR="00986A53" w:rsidRPr="00986A53">
        <w:instrText xml:space="preserve"> REF _Ref202785050 \h </w:instrText>
      </w:r>
      <w:r w:rsidR="00986A53">
        <w:instrText xml:space="preserve"> \* MERGEFORMAT </w:instrText>
      </w:r>
      <w:r w:rsidR="00986A53" w:rsidRPr="00986A53">
        <w:fldChar w:fldCharType="separate"/>
      </w:r>
      <w:r w:rsidR="00986A53" w:rsidRPr="00986A53">
        <w:fldChar w:fldCharType="end"/>
      </w:r>
      <w:r w:rsidRPr="00986A53">
        <w:t>.</w:t>
      </w:r>
    </w:p>
    <w:p w14:paraId="03600783" w14:textId="14A5D228" w:rsidR="00D74559" w:rsidRDefault="00D74559" w:rsidP="001D0F92">
      <w:pPr>
        <w:pStyle w:val="Heading4"/>
      </w:pPr>
      <w:bookmarkStart w:id="118" w:name="_Toc202899914"/>
      <w:r w:rsidRPr="362FEA09">
        <w:t>3.5.1</w:t>
      </w:r>
      <w:r w:rsidR="00961F42">
        <w:tab/>
      </w:r>
      <w:r w:rsidRPr="362FEA09">
        <w:t>When are Participants Suspended?</w:t>
      </w:r>
      <w:bookmarkEnd w:id="118"/>
    </w:p>
    <w:p w14:paraId="160CE0E5" w14:textId="77777777" w:rsidR="00D74559" w:rsidRDefault="00D74559" w:rsidP="006D1645">
      <w:pPr>
        <w:pStyle w:val="Heading5"/>
        <w:rPr>
          <w:rFonts w:ascii="Tahoma" w:eastAsia="Tahoma" w:hAnsi="Tahoma" w:cs="Tahoma"/>
          <w:szCs w:val="22"/>
        </w:rPr>
      </w:pPr>
      <w:r w:rsidRPr="53BE8163">
        <w:t>Suspension of Participants with Mutual Obligation Requirements</w:t>
      </w:r>
    </w:p>
    <w:p w14:paraId="071C5C6E" w14:textId="4BC7CDAA" w:rsidR="00D74559" w:rsidRDefault="00D74559" w:rsidP="006E2EF5">
      <w:pPr>
        <w:keepNext/>
        <w:rPr>
          <w:rFonts w:ascii="Tahoma" w:eastAsia="Tahoma" w:hAnsi="Tahoma" w:cs="Tahoma"/>
          <w:szCs w:val="22"/>
        </w:rPr>
      </w:pPr>
      <w:r w:rsidRPr="53BE8163">
        <w:rPr>
          <w:rFonts w:ascii="Tahoma" w:eastAsia="Tahoma" w:hAnsi="Tahoma" w:cs="Tahoma"/>
          <w:szCs w:val="22"/>
        </w:rPr>
        <w:t xml:space="preserve">Participants (Mutual Obligation) have participation requirements </w:t>
      </w:r>
      <w:r>
        <w:rPr>
          <w:rFonts w:ascii="Tahoma" w:eastAsia="Tahoma" w:hAnsi="Tahoma" w:cs="Tahoma"/>
          <w:szCs w:val="22"/>
        </w:rPr>
        <w:t>and therefore</w:t>
      </w:r>
      <w:r w:rsidRPr="53BE8163">
        <w:rPr>
          <w:rFonts w:ascii="Tahoma" w:eastAsia="Tahoma" w:hAnsi="Tahoma" w:cs="Tahoma"/>
          <w:szCs w:val="22"/>
        </w:rPr>
        <w:t xml:space="preserve"> can only be</w:t>
      </w:r>
      <w:r>
        <w:rPr>
          <w:rFonts w:ascii="Tahoma" w:eastAsia="Tahoma" w:hAnsi="Tahoma" w:cs="Tahoma"/>
          <w:szCs w:val="22"/>
        </w:rPr>
        <w:t xml:space="preserve"> </w:t>
      </w:r>
      <w:r w:rsidRPr="53BE8163">
        <w:rPr>
          <w:rFonts w:ascii="Tahoma" w:eastAsia="Tahoma" w:hAnsi="Tahoma" w:cs="Tahoma"/>
          <w:szCs w:val="22"/>
        </w:rPr>
        <w:t xml:space="preserve">Suspended </w:t>
      </w:r>
      <w:r>
        <w:rPr>
          <w:rFonts w:ascii="Tahoma" w:eastAsia="Tahoma" w:hAnsi="Tahoma" w:cs="Tahoma"/>
          <w:szCs w:val="22"/>
        </w:rPr>
        <w:t>by</w:t>
      </w:r>
      <w:r w:rsidRPr="53BE8163">
        <w:rPr>
          <w:rFonts w:ascii="Tahoma" w:eastAsia="Tahoma" w:hAnsi="Tahoma" w:cs="Tahoma"/>
          <w:szCs w:val="22"/>
        </w:rPr>
        <w:t xml:space="preserve"> Services Australia</w:t>
      </w:r>
      <w:r>
        <w:rPr>
          <w:rFonts w:ascii="Tahoma" w:eastAsia="Tahoma" w:hAnsi="Tahoma" w:cs="Tahoma"/>
          <w:szCs w:val="22"/>
        </w:rPr>
        <w:t xml:space="preserve">. A </w:t>
      </w:r>
      <w:r w:rsidRPr="53BE8163">
        <w:rPr>
          <w:rFonts w:ascii="Tahoma" w:eastAsia="Tahoma" w:hAnsi="Tahoma" w:cs="Tahoma"/>
          <w:szCs w:val="22"/>
        </w:rPr>
        <w:t xml:space="preserve">Participant (Mutual Obligation) </w:t>
      </w:r>
      <w:r>
        <w:rPr>
          <w:rFonts w:ascii="Tahoma" w:eastAsia="Tahoma" w:hAnsi="Tahoma" w:cs="Tahoma"/>
          <w:szCs w:val="22"/>
        </w:rPr>
        <w:t>may be Suspended when Services Australia</w:t>
      </w:r>
      <w:r w:rsidRPr="53BE8163">
        <w:rPr>
          <w:rFonts w:ascii="Tahoma" w:eastAsia="Tahoma" w:hAnsi="Tahoma" w:cs="Tahoma"/>
          <w:szCs w:val="22"/>
        </w:rPr>
        <w:t>:</w:t>
      </w:r>
    </w:p>
    <w:p w14:paraId="66129404" w14:textId="6BEC0504" w:rsidR="00D74559" w:rsidRPr="00174303" w:rsidRDefault="00D74559" w:rsidP="004E120D">
      <w:pPr>
        <w:pStyle w:val="BulletLevel1"/>
      </w:pPr>
      <w:r w:rsidRPr="00174303">
        <w:t xml:space="preserve">applies an Exemption, such as a temporary medical incapacity </w:t>
      </w:r>
      <w:r w:rsidR="00DC0EFF">
        <w:t>e</w:t>
      </w:r>
      <w:r w:rsidRPr="00174303">
        <w:t>xemption</w:t>
      </w:r>
    </w:p>
    <w:p w14:paraId="71C55629" w14:textId="77777777" w:rsidR="00D74559" w:rsidRPr="00174303" w:rsidRDefault="00D74559" w:rsidP="004E120D">
      <w:pPr>
        <w:pStyle w:val="BulletLevel1"/>
      </w:pPr>
      <w:r w:rsidRPr="00174303">
        <w:t>determines that the Participant is Fully Meeting their requirements, or</w:t>
      </w:r>
    </w:p>
    <w:p w14:paraId="3A8754A3" w14:textId="77777777" w:rsidR="00D74559" w:rsidRPr="00174303" w:rsidRDefault="00D74559" w:rsidP="004E120D">
      <w:pPr>
        <w:pStyle w:val="BulletLevel1"/>
      </w:pPr>
      <w:r w:rsidRPr="00174303">
        <w:t>assesses that the Participant has a temporary reduced work capacity of less than 15 hours per week.</w:t>
      </w:r>
    </w:p>
    <w:p w14:paraId="74C6C0DC" w14:textId="6EC534FE" w:rsidR="00D74559" w:rsidRDefault="00D74559" w:rsidP="006E2EF5">
      <w:r w:rsidRPr="0E218120">
        <w:rPr>
          <w:rFonts w:eastAsiaTheme="minorEastAsia"/>
          <w:color w:val="000000" w:themeColor="text1"/>
        </w:rPr>
        <w:t xml:space="preserve">A Participant (Mutual Obligation) can </w:t>
      </w:r>
      <w:r>
        <w:rPr>
          <w:rFonts w:eastAsiaTheme="minorEastAsia"/>
          <w:color w:val="000000" w:themeColor="text1"/>
        </w:rPr>
        <w:t xml:space="preserve">be </w:t>
      </w:r>
      <w:r w:rsidRPr="0E218120">
        <w:rPr>
          <w:rFonts w:eastAsiaTheme="minorEastAsia"/>
          <w:color w:val="000000" w:themeColor="text1"/>
        </w:rPr>
        <w:t>Fully Meet</w:t>
      </w:r>
      <w:r>
        <w:rPr>
          <w:rFonts w:eastAsiaTheme="minorEastAsia"/>
          <w:color w:val="000000" w:themeColor="text1"/>
        </w:rPr>
        <w:t>ing</w:t>
      </w:r>
      <w:r w:rsidRPr="0E218120">
        <w:rPr>
          <w:rFonts w:eastAsiaTheme="minorEastAsia"/>
          <w:color w:val="000000" w:themeColor="text1"/>
        </w:rPr>
        <w:t xml:space="preserve"> their requirements if they fall within a qualifying category and participate in 30 hours per fortnight </w:t>
      </w:r>
      <w:r w:rsidR="00A33AE8">
        <w:rPr>
          <w:rFonts w:eastAsiaTheme="minorEastAsia"/>
          <w:color w:val="000000" w:themeColor="text1"/>
        </w:rPr>
        <w:t xml:space="preserve">of </w:t>
      </w:r>
      <w:r>
        <w:rPr>
          <w:rFonts w:eastAsiaTheme="minorEastAsia"/>
          <w:color w:val="000000" w:themeColor="text1"/>
        </w:rPr>
        <w:t>an</w:t>
      </w:r>
      <w:r w:rsidRPr="0E218120">
        <w:rPr>
          <w:rFonts w:eastAsiaTheme="minorEastAsia"/>
          <w:color w:val="000000" w:themeColor="text1"/>
        </w:rPr>
        <w:t xml:space="preserve"> </w:t>
      </w:r>
      <w:r w:rsidR="004956CA">
        <w:rPr>
          <w:rFonts w:eastAsiaTheme="minorEastAsia"/>
          <w:color w:val="000000" w:themeColor="text1"/>
        </w:rPr>
        <w:t>a</w:t>
      </w:r>
      <w:r w:rsidRPr="0E218120">
        <w:rPr>
          <w:rFonts w:eastAsiaTheme="minorEastAsia"/>
          <w:color w:val="000000" w:themeColor="text1"/>
        </w:rPr>
        <w:t xml:space="preserve">pproved </w:t>
      </w:r>
      <w:r>
        <w:rPr>
          <w:rFonts w:eastAsiaTheme="minorEastAsia"/>
          <w:color w:val="000000" w:themeColor="text1"/>
        </w:rPr>
        <w:t>A</w:t>
      </w:r>
      <w:r w:rsidRPr="0E218120">
        <w:rPr>
          <w:rFonts w:eastAsiaTheme="minorEastAsia"/>
          <w:color w:val="000000" w:themeColor="text1"/>
        </w:rPr>
        <w:t>ctivity</w:t>
      </w:r>
      <w:r>
        <w:rPr>
          <w:rFonts w:eastAsiaTheme="minorEastAsia"/>
          <w:color w:val="000000" w:themeColor="text1"/>
        </w:rPr>
        <w:t xml:space="preserve"> or combination of </w:t>
      </w:r>
      <w:r w:rsidR="00E86ECD">
        <w:rPr>
          <w:rFonts w:eastAsiaTheme="minorEastAsia"/>
          <w:color w:val="000000" w:themeColor="text1"/>
        </w:rPr>
        <w:t>a</w:t>
      </w:r>
      <w:r>
        <w:rPr>
          <w:rFonts w:eastAsiaTheme="minorEastAsia"/>
          <w:color w:val="000000" w:themeColor="text1"/>
        </w:rPr>
        <w:t>pproved Activities</w:t>
      </w:r>
      <w:r w:rsidRPr="0E218120">
        <w:rPr>
          <w:rFonts w:eastAsiaTheme="minorEastAsia"/>
          <w:color w:val="000000" w:themeColor="text1"/>
        </w:rPr>
        <w:t xml:space="preserve"> (</w:t>
      </w:r>
      <w:r>
        <w:rPr>
          <w:rFonts w:eastAsiaTheme="minorEastAsia"/>
          <w:color w:val="000000" w:themeColor="text1"/>
        </w:rPr>
        <w:t xml:space="preserve">i.e. </w:t>
      </w:r>
      <w:r w:rsidRPr="0E218120">
        <w:rPr>
          <w:rFonts w:eastAsiaTheme="minorEastAsia"/>
          <w:color w:val="000000" w:themeColor="text1"/>
        </w:rPr>
        <w:t xml:space="preserve">paid </w:t>
      </w:r>
      <w:r w:rsidR="00FA79EE">
        <w:rPr>
          <w:rFonts w:eastAsiaTheme="minorEastAsia"/>
          <w:color w:val="000000" w:themeColor="text1"/>
        </w:rPr>
        <w:t>Employment</w:t>
      </w:r>
      <w:r w:rsidRPr="0E218120">
        <w:rPr>
          <w:rFonts w:eastAsiaTheme="minorEastAsia"/>
          <w:color w:val="000000" w:themeColor="text1"/>
        </w:rPr>
        <w:t xml:space="preserve">, Voluntary Work, and/or </w:t>
      </w:r>
      <w:r w:rsidR="00FA79EE">
        <w:rPr>
          <w:rFonts w:eastAsiaTheme="minorEastAsia"/>
          <w:color w:val="000000" w:themeColor="text1"/>
        </w:rPr>
        <w:t xml:space="preserve">approved </w:t>
      </w:r>
      <w:r w:rsidRPr="0E218120">
        <w:rPr>
          <w:rFonts w:eastAsiaTheme="minorEastAsia"/>
          <w:color w:val="000000" w:themeColor="text1"/>
        </w:rPr>
        <w:t xml:space="preserve">study). For more information, </w:t>
      </w:r>
      <w:r w:rsidR="00D84F83">
        <w:rPr>
          <w:rFonts w:eastAsiaTheme="minorEastAsia"/>
          <w:color w:val="000000" w:themeColor="text1"/>
        </w:rPr>
        <w:t xml:space="preserve">refer to </w:t>
      </w:r>
      <w:r w:rsidR="00D84F83">
        <w:rPr>
          <w:rFonts w:eastAsiaTheme="minorEastAsia"/>
          <w:color w:val="000000" w:themeColor="text1"/>
          <w:highlight w:val="yellow"/>
        </w:rPr>
        <w:fldChar w:fldCharType="begin"/>
      </w:r>
      <w:r w:rsidR="00D84F83">
        <w:rPr>
          <w:rFonts w:eastAsiaTheme="minorEastAsia"/>
          <w:color w:val="000000" w:themeColor="text1"/>
        </w:rPr>
        <w:instrText xml:space="preserve"> REF _Ref202785097 \h </w:instrText>
      </w:r>
      <w:r w:rsidR="00D84F83">
        <w:rPr>
          <w:rFonts w:eastAsiaTheme="minorEastAsia"/>
          <w:color w:val="000000" w:themeColor="text1"/>
          <w:highlight w:val="yellow"/>
        </w:rPr>
      </w:r>
      <w:r w:rsidR="00D84F83">
        <w:rPr>
          <w:rFonts w:eastAsiaTheme="minorEastAsia"/>
          <w:color w:val="000000" w:themeColor="text1"/>
          <w:highlight w:val="yellow"/>
        </w:rPr>
        <w:fldChar w:fldCharType="separate"/>
      </w:r>
      <w:r w:rsidR="000D75AE">
        <w:t>5.2. Obligation Requirements</w:t>
      </w:r>
      <w:r w:rsidR="00D84F83">
        <w:rPr>
          <w:rFonts w:eastAsiaTheme="minorEastAsia"/>
          <w:color w:val="000000" w:themeColor="text1"/>
          <w:highlight w:val="yellow"/>
        </w:rPr>
        <w:fldChar w:fldCharType="end"/>
      </w:r>
      <w:r w:rsidRPr="0E218120">
        <w:rPr>
          <w:rFonts w:eastAsiaTheme="minorEastAsia"/>
          <w:color w:val="000000" w:themeColor="text1"/>
        </w:rPr>
        <w:t>.</w:t>
      </w:r>
    </w:p>
    <w:p w14:paraId="07E1BB5A" w14:textId="08C10C97" w:rsidR="00D74559" w:rsidRDefault="00D74559" w:rsidP="006E2EF5">
      <w:pPr>
        <w:rPr>
          <w:rFonts w:ascii="Tahoma" w:eastAsia="Tahoma" w:hAnsi="Tahoma" w:cs="Tahoma"/>
        </w:rPr>
      </w:pPr>
      <w:r w:rsidRPr="0E218120">
        <w:t>Providers can notify Services Australia that a Participant is undertaking an</w:t>
      </w:r>
      <w:r>
        <w:t xml:space="preserve"> </w:t>
      </w:r>
      <w:r w:rsidR="004956CA">
        <w:t>a</w:t>
      </w:r>
      <w:r>
        <w:t>pproved A</w:t>
      </w:r>
      <w:r w:rsidRPr="0E218120">
        <w:t xml:space="preserve">ctivity that </w:t>
      </w:r>
      <w:r>
        <w:t>would f</w:t>
      </w:r>
      <w:r w:rsidRPr="0E218120">
        <w:t xml:space="preserve">ully </w:t>
      </w:r>
      <w:r>
        <w:t>m</w:t>
      </w:r>
      <w:r w:rsidRPr="0E218120">
        <w:t xml:space="preserve">eet their Mutual Obligation Requirements through the Department’s IT Systems. This notification </w:t>
      </w:r>
      <w:r w:rsidR="00347885">
        <w:t>will</w:t>
      </w:r>
      <w:r w:rsidR="00347885" w:rsidRPr="0E218120">
        <w:t xml:space="preserve"> </w:t>
      </w:r>
      <w:r w:rsidRPr="0E218120">
        <w:t xml:space="preserve">result in the Participant being Suspended </w:t>
      </w:r>
      <w:r>
        <w:t>if</w:t>
      </w:r>
      <w:r w:rsidRPr="0E218120">
        <w:t xml:space="preserve"> Services Australia determines the Participant is Fully Meeting their Mutual Obligation Requirements.</w:t>
      </w:r>
    </w:p>
    <w:p w14:paraId="79DD0FE2" w14:textId="65EEEB81" w:rsidR="00D74559" w:rsidRDefault="00D74559" w:rsidP="006E2EF5">
      <w:r w:rsidRPr="0E218120">
        <w:t xml:space="preserve">Participants </w:t>
      </w:r>
      <w:r>
        <w:t xml:space="preserve">receiving Pre-Employment Support who </w:t>
      </w:r>
      <w:r w:rsidRPr="0E218120">
        <w:t xml:space="preserve">are Suspended because they are Fully Meeting their Mutual Obligation Requirements for more than 13 weeks will be notified that they are eligible to </w:t>
      </w:r>
      <w:r>
        <w:t>E</w:t>
      </w:r>
      <w:r w:rsidRPr="0E218120">
        <w:t xml:space="preserve">xit </w:t>
      </w:r>
      <w:r w:rsidR="00C74C33">
        <w:t>Inclusive Employment Australia</w:t>
      </w:r>
      <w:r w:rsidRPr="0E218120">
        <w:t xml:space="preserve"> and will be automatically Exited if they do not volunteer to remain in </w:t>
      </w:r>
      <w:r w:rsidR="00C74C33">
        <w:t>Inclusive Employment Australia</w:t>
      </w:r>
      <w:r w:rsidRPr="0E218120">
        <w:t>.</w:t>
      </w:r>
    </w:p>
    <w:p w14:paraId="30B7470A" w14:textId="77777777" w:rsidR="00D74559" w:rsidRDefault="00D74559" w:rsidP="006E2EF5">
      <w:r w:rsidRPr="009C7722">
        <w:rPr>
          <w:b/>
          <w:bCs/>
        </w:rPr>
        <w:t>Note:</w:t>
      </w:r>
      <w:r>
        <w:t xml:space="preserve"> Participants who are Fully Meeting their requirements will enter into a Centrelink Job Plan.</w:t>
      </w:r>
    </w:p>
    <w:p w14:paraId="022D20E1" w14:textId="1E8EF4ED" w:rsidR="00D74559" w:rsidRDefault="00D74559" w:rsidP="006E2EF5">
      <w:pPr>
        <w:rPr>
          <w:rFonts w:ascii="Tahoma" w:eastAsia="Tahoma" w:hAnsi="Tahoma" w:cs="Tahoma"/>
        </w:rPr>
      </w:pPr>
      <w:r>
        <w:t>More details are available in the</w:t>
      </w:r>
      <w:r w:rsidRPr="0E218120">
        <w:t xml:space="preserve"> </w:t>
      </w:r>
      <w:r w:rsidRPr="00601AF6">
        <w:rPr>
          <w:rStyle w:val="Hyperlink"/>
        </w:rPr>
        <w:t xml:space="preserve">Participants who are Fully Meeting their Mutual Obligation Requirements </w:t>
      </w:r>
      <w:r w:rsidR="00B223D7" w:rsidRPr="00601AF6">
        <w:rPr>
          <w:rStyle w:val="Hyperlink"/>
        </w:rPr>
        <w:t>[</w:t>
      </w:r>
      <w:r w:rsidR="00601AF6" w:rsidRPr="00601AF6">
        <w:rPr>
          <w:rStyle w:val="Hyperlink"/>
        </w:rPr>
        <w:t>LINK]</w:t>
      </w:r>
      <w:r w:rsidR="00601AF6">
        <w:t xml:space="preserve"> </w:t>
      </w:r>
      <w:r w:rsidRPr="0E218120">
        <w:t>supporting document included under</w:t>
      </w:r>
      <w:r w:rsidR="00790BD1">
        <w:t xml:space="preserve"> </w:t>
      </w:r>
      <w:r w:rsidR="00790BD1">
        <w:rPr>
          <w:highlight w:val="yellow"/>
        </w:rPr>
        <w:fldChar w:fldCharType="begin"/>
      </w:r>
      <w:r w:rsidR="00790BD1">
        <w:instrText xml:space="preserve"> REF _Ref202785141 \h </w:instrText>
      </w:r>
      <w:r w:rsidR="00790BD1">
        <w:rPr>
          <w:highlight w:val="yellow"/>
        </w:rPr>
      </w:r>
      <w:r w:rsidR="00790BD1">
        <w:rPr>
          <w:highlight w:val="yellow"/>
        </w:rPr>
        <w:fldChar w:fldCharType="separate"/>
      </w:r>
      <w:r w:rsidR="000D75AE" w:rsidRPr="00BA23D8">
        <w:t>Chapter 5</w:t>
      </w:r>
      <w:r w:rsidR="000D75AE">
        <w:t>:</w:t>
      </w:r>
      <w:r w:rsidR="000D75AE" w:rsidRPr="00BA23D8">
        <w:t>Participation requirements</w:t>
      </w:r>
      <w:r w:rsidR="00790BD1">
        <w:rPr>
          <w:highlight w:val="yellow"/>
        </w:rPr>
        <w:fldChar w:fldCharType="end"/>
      </w:r>
      <w:r w:rsidRPr="0E218120">
        <w:t>.</w:t>
      </w:r>
    </w:p>
    <w:p w14:paraId="18530DD7" w14:textId="77777777" w:rsidR="00D74559" w:rsidRDefault="00D74559" w:rsidP="006D1645">
      <w:pPr>
        <w:pStyle w:val="Heading5"/>
        <w:rPr>
          <w:rFonts w:ascii="Tahoma" w:eastAsia="Tahoma" w:hAnsi="Tahoma" w:cs="Tahoma"/>
          <w:szCs w:val="22"/>
        </w:rPr>
      </w:pPr>
      <w:r w:rsidRPr="53BE8163">
        <w:t xml:space="preserve">Suspension of </w:t>
      </w:r>
      <w:r>
        <w:t>DSP Recipients</w:t>
      </w:r>
      <w:r w:rsidRPr="53BE8163">
        <w:t xml:space="preserve"> with </w:t>
      </w:r>
      <w:r>
        <w:t>compulsory participation</w:t>
      </w:r>
      <w:r w:rsidRPr="53BE8163">
        <w:t xml:space="preserve"> </w:t>
      </w:r>
      <w:r>
        <w:t>r</w:t>
      </w:r>
      <w:r w:rsidRPr="53BE8163">
        <w:t>equirements</w:t>
      </w:r>
    </w:p>
    <w:p w14:paraId="4546AA21" w14:textId="77777777" w:rsidR="00D74559" w:rsidRDefault="00D74559" w:rsidP="006E2EF5">
      <w:pPr>
        <w:keepNext/>
        <w:rPr>
          <w:rFonts w:ascii="Tahoma" w:eastAsia="Tahoma" w:hAnsi="Tahoma" w:cs="Tahoma"/>
          <w:szCs w:val="22"/>
        </w:rPr>
      </w:pPr>
      <w:r>
        <w:t>DSP Recipients (Compulsory Requirements)</w:t>
      </w:r>
      <w:r w:rsidRPr="0E218120">
        <w:t xml:space="preserve"> </w:t>
      </w:r>
      <w:r w:rsidRPr="53BE8163">
        <w:rPr>
          <w:rFonts w:ascii="Tahoma" w:eastAsia="Tahoma" w:hAnsi="Tahoma" w:cs="Tahoma"/>
          <w:szCs w:val="22"/>
        </w:rPr>
        <w:t xml:space="preserve">have participation requirements and </w:t>
      </w:r>
      <w:r>
        <w:rPr>
          <w:rFonts w:ascii="Tahoma" w:eastAsia="Tahoma" w:hAnsi="Tahoma" w:cs="Tahoma"/>
          <w:szCs w:val="22"/>
        </w:rPr>
        <w:t>therefore can only</w:t>
      </w:r>
      <w:r w:rsidRPr="53BE8163">
        <w:rPr>
          <w:rFonts w:ascii="Tahoma" w:eastAsia="Tahoma" w:hAnsi="Tahoma" w:cs="Tahoma"/>
          <w:szCs w:val="22"/>
        </w:rPr>
        <w:t xml:space="preserve"> be Suspended </w:t>
      </w:r>
      <w:r>
        <w:rPr>
          <w:rFonts w:ascii="Tahoma" w:eastAsia="Tahoma" w:hAnsi="Tahoma" w:cs="Tahoma"/>
          <w:szCs w:val="22"/>
        </w:rPr>
        <w:t>by</w:t>
      </w:r>
      <w:r w:rsidRPr="53BE8163">
        <w:rPr>
          <w:rFonts w:ascii="Tahoma" w:eastAsia="Tahoma" w:hAnsi="Tahoma" w:cs="Tahoma"/>
          <w:szCs w:val="22"/>
        </w:rPr>
        <w:t xml:space="preserve"> Services Australia</w:t>
      </w:r>
      <w:r>
        <w:rPr>
          <w:rFonts w:ascii="Tahoma" w:eastAsia="Tahoma" w:hAnsi="Tahoma" w:cs="Tahoma"/>
          <w:szCs w:val="22"/>
        </w:rPr>
        <w:t xml:space="preserve">. A </w:t>
      </w:r>
      <w:r>
        <w:t xml:space="preserve">DSP Recipient (Compulsory Requirements) will be </w:t>
      </w:r>
      <w:r>
        <w:rPr>
          <w:rFonts w:ascii="Tahoma" w:eastAsia="Tahoma" w:hAnsi="Tahoma" w:cs="Tahoma"/>
          <w:szCs w:val="22"/>
        </w:rPr>
        <w:t>Suspended when Services Australia</w:t>
      </w:r>
      <w:r w:rsidRPr="53BE8163">
        <w:rPr>
          <w:rFonts w:ascii="Tahoma" w:eastAsia="Tahoma" w:hAnsi="Tahoma" w:cs="Tahoma"/>
          <w:szCs w:val="22"/>
        </w:rPr>
        <w:t>:</w:t>
      </w:r>
    </w:p>
    <w:p w14:paraId="42F9873C" w14:textId="26A5F0A1" w:rsidR="00D74559" w:rsidRPr="00174303" w:rsidRDefault="00D74559" w:rsidP="004E120D">
      <w:pPr>
        <w:pStyle w:val="BulletLevel1"/>
      </w:pPr>
      <w:r w:rsidRPr="00174303">
        <w:t xml:space="preserve">applies an Exemption, such as a temporary medical incapacity </w:t>
      </w:r>
      <w:r w:rsidR="00DC0EFF">
        <w:t>e</w:t>
      </w:r>
      <w:r w:rsidRPr="00174303">
        <w:t>xemption, or</w:t>
      </w:r>
    </w:p>
    <w:p w14:paraId="79C5DB11" w14:textId="77777777" w:rsidR="00D74559" w:rsidRPr="00174303" w:rsidRDefault="00D74559" w:rsidP="004E120D">
      <w:pPr>
        <w:pStyle w:val="BulletLevel1"/>
      </w:pPr>
      <w:r w:rsidRPr="00174303">
        <w:t>assesses that the Participant has a temporary reduced work capacity of less than 8 hours per week.</w:t>
      </w:r>
    </w:p>
    <w:p w14:paraId="367205F3" w14:textId="77777777" w:rsidR="00D74559" w:rsidRDefault="00D74559" w:rsidP="006D1645">
      <w:pPr>
        <w:pStyle w:val="Heading5"/>
        <w:rPr>
          <w:rFonts w:ascii="Tahoma" w:eastAsia="Tahoma" w:hAnsi="Tahoma" w:cs="Tahoma"/>
          <w:szCs w:val="22"/>
        </w:rPr>
      </w:pPr>
      <w:r w:rsidRPr="53BE8163">
        <w:t>Suspension of Volunteers</w:t>
      </w:r>
    </w:p>
    <w:p w14:paraId="4F5B0EF9" w14:textId="6FBBEDB4" w:rsidR="00D74559" w:rsidRDefault="00D74559" w:rsidP="006E2EF5">
      <w:pPr>
        <w:rPr>
          <w:rFonts w:ascii="Tahoma" w:eastAsia="Tahoma" w:hAnsi="Tahoma" w:cs="Tahoma"/>
        </w:rPr>
      </w:pPr>
      <w:r w:rsidRPr="0E218120">
        <w:rPr>
          <w:rFonts w:ascii="Tahoma" w:eastAsia="Tahoma" w:hAnsi="Tahoma" w:cs="Tahoma"/>
        </w:rPr>
        <w:t xml:space="preserve">A </w:t>
      </w:r>
      <w:r w:rsidR="002A1774">
        <w:rPr>
          <w:rFonts w:ascii="Tahoma" w:eastAsia="Tahoma" w:hAnsi="Tahoma" w:cs="Tahoma"/>
        </w:rPr>
        <w:t>Volunteer (Non-Mutual Obligation</w:t>
      </w:r>
      <w:r>
        <w:rPr>
          <w:rFonts w:ascii="Tahoma" w:eastAsia="Tahoma" w:hAnsi="Tahoma" w:cs="Tahoma"/>
        </w:rPr>
        <w:t>)</w:t>
      </w:r>
      <w:r w:rsidRPr="0E218120">
        <w:rPr>
          <w:rFonts w:ascii="Tahoma" w:eastAsia="Tahoma" w:hAnsi="Tahoma" w:cs="Tahoma"/>
        </w:rPr>
        <w:t xml:space="preserve"> can be Suspended by the Provider when the Participant advises that they cannot or do not wish to receive Services for a time.</w:t>
      </w:r>
    </w:p>
    <w:p w14:paraId="735A3C2C" w14:textId="600C7A3B" w:rsidR="00D74559" w:rsidRDefault="00D74559" w:rsidP="006E2EF5">
      <w:pPr>
        <w:rPr>
          <w:rFonts w:ascii="Tahoma" w:eastAsia="Tahoma" w:hAnsi="Tahoma" w:cs="Tahoma"/>
        </w:rPr>
      </w:pPr>
      <w:r>
        <w:rPr>
          <w:rFonts w:ascii="Tahoma" w:eastAsia="Tahoma" w:hAnsi="Tahoma" w:cs="Tahoma"/>
        </w:rPr>
        <w:t xml:space="preserve">A </w:t>
      </w:r>
      <w:r w:rsidR="007C4FF7">
        <w:rPr>
          <w:rFonts w:ascii="Tahoma" w:eastAsia="Tahoma" w:hAnsi="Tahoma" w:cs="Tahoma"/>
        </w:rPr>
        <w:t>Volunteer (Non-Mutual Obligation</w:t>
      </w:r>
      <w:r>
        <w:rPr>
          <w:rFonts w:ascii="Tahoma" w:eastAsia="Tahoma" w:hAnsi="Tahoma" w:cs="Tahoma"/>
        </w:rPr>
        <w:t xml:space="preserve">) who is no longer </w:t>
      </w:r>
      <w:r w:rsidR="00DB6C54">
        <w:rPr>
          <w:rFonts w:ascii="Tahoma" w:eastAsia="Tahoma" w:hAnsi="Tahoma" w:cs="Tahoma"/>
        </w:rPr>
        <w:t xml:space="preserve">meaningfully </w:t>
      </w:r>
      <w:r>
        <w:rPr>
          <w:rFonts w:ascii="Tahoma" w:eastAsia="Tahoma" w:hAnsi="Tahoma" w:cs="Tahoma"/>
        </w:rPr>
        <w:t>engag</w:t>
      </w:r>
      <w:r w:rsidR="008E65B7">
        <w:rPr>
          <w:rFonts w:ascii="Tahoma" w:eastAsia="Tahoma" w:hAnsi="Tahoma" w:cs="Tahoma"/>
        </w:rPr>
        <w:t>ing</w:t>
      </w:r>
      <w:r>
        <w:rPr>
          <w:rFonts w:ascii="Tahoma" w:eastAsia="Tahoma" w:hAnsi="Tahoma" w:cs="Tahoma"/>
        </w:rPr>
        <w:t xml:space="preserve"> must be Suspended. </w:t>
      </w:r>
      <w:r w:rsidR="00915239">
        <w:rPr>
          <w:rFonts w:ascii="Tahoma" w:eastAsia="Tahoma" w:hAnsi="Tahoma" w:cs="Tahoma"/>
        </w:rPr>
        <w:t>No longer engag</w:t>
      </w:r>
      <w:r w:rsidR="00FE3F20">
        <w:rPr>
          <w:rFonts w:ascii="Tahoma" w:eastAsia="Tahoma" w:hAnsi="Tahoma" w:cs="Tahoma"/>
        </w:rPr>
        <w:t>ing</w:t>
      </w:r>
      <w:r w:rsidR="00915239">
        <w:rPr>
          <w:rFonts w:ascii="Tahoma" w:eastAsia="Tahoma" w:hAnsi="Tahoma" w:cs="Tahoma"/>
        </w:rPr>
        <w:t xml:space="preserve"> includes not attending </w:t>
      </w:r>
      <w:r w:rsidR="001A0D38">
        <w:rPr>
          <w:rFonts w:ascii="Tahoma" w:eastAsia="Tahoma" w:hAnsi="Tahoma" w:cs="Tahoma"/>
        </w:rPr>
        <w:t>A</w:t>
      </w:r>
      <w:r w:rsidR="00915239">
        <w:rPr>
          <w:rFonts w:ascii="Tahoma" w:eastAsia="Tahoma" w:hAnsi="Tahoma" w:cs="Tahoma"/>
        </w:rPr>
        <w:t>ppointments</w:t>
      </w:r>
      <w:r w:rsidR="00F868A0">
        <w:rPr>
          <w:rFonts w:ascii="Tahoma" w:eastAsia="Tahoma" w:hAnsi="Tahoma" w:cs="Tahoma"/>
        </w:rPr>
        <w:t>, not undertaking tasks</w:t>
      </w:r>
      <w:r w:rsidR="00915239">
        <w:rPr>
          <w:rFonts w:ascii="Tahoma" w:eastAsia="Tahoma" w:hAnsi="Tahoma" w:cs="Tahoma"/>
        </w:rPr>
        <w:t xml:space="preserve"> or activities or otherwise no longer being in contact with the </w:t>
      </w:r>
      <w:r w:rsidR="00F868A0">
        <w:rPr>
          <w:rFonts w:ascii="Tahoma" w:eastAsia="Tahoma" w:hAnsi="Tahoma" w:cs="Tahoma"/>
        </w:rPr>
        <w:t>P</w:t>
      </w:r>
      <w:r w:rsidR="00915239">
        <w:rPr>
          <w:rFonts w:ascii="Tahoma" w:eastAsia="Tahoma" w:hAnsi="Tahoma" w:cs="Tahoma"/>
        </w:rPr>
        <w:t xml:space="preserve">rovider. </w:t>
      </w:r>
      <w:r>
        <w:rPr>
          <w:rFonts w:ascii="Tahoma" w:eastAsia="Tahoma" w:hAnsi="Tahoma" w:cs="Tahoma"/>
        </w:rPr>
        <w:t>They will remain Suspended:</w:t>
      </w:r>
    </w:p>
    <w:p w14:paraId="67C35C64" w14:textId="77777777" w:rsidR="00D74559" w:rsidRPr="00174303" w:rsidRDefault="00D74559" w:rsidP="004E120D">
      <w:pPr>
        <w:pStyle w:val="BulletLevel1"/>
      </w:pPr>
      <w:r w:rsidRPr="00174303">
        <w:t>for a maximum of 6 months, after which the Provider must Exit them, or</w:t>
      </w:r>
    </w:p>
    <w:p w14:paraId="4CBC64A2" w14:textId="3A0F754E" w:rsidR="00D74559" w:rsidRPr="00174303" w:rsidRDefault="00D74559" w:rsidP="004E120D">
      <w:pPr>
        <w:pStyle w:val="BulletLevel1"/>
      </w:pPr>
      <w:r w:rsidRPr="00174303">
        <w:t xml:space="preserve">until such time as they contact the Provider to confirm </w:t>
      </w:r>
      <w:r w:rsidR="005F6195">
        <w:t>if</w:t>
      </w:r>
      <w:r w:rsidRPr="00174303">
        <w:t xml:space="preserve"> they would like to continue to receive Services.</w:t>
      </w:r>
    </w:p>
    <w:p w14:paraId="6E198557" w14:textId="1C3632DB" w:rsidR="00D74559" w:rsidRPr="00AF456C" w:rsidRDefault="00D74559" w:rsidP="006E2EF5">
      <w:r w:rsidRPr="53BE8163">
        <w:t xml:space="preserve">The Provider </w:t>
      </w:r>
      <w:r>
        <w:t>must</w:t>
      </w:r>
      <w:r w:rsidRPr="53BE8163">
        <w:t xml:space="preserve"> enter the Suspension period on the Department’s IT Systems.</w:t>
      </w:r>
      <w:r w:rsidR="0079422D">
        <w:t xml:space="preserve"> </w:t>
      </w:r>
      <w:r>
        <w:t>If a</w:t>
      </w:r>
      <w:r w:rsidRPr="0E218120">
        <w:t xml:space="preserve"> </w:t>
      </w:r>
      <w:r w:rsidR="007C4FF7">
        <w:rPr>
          <w:rFonts w:ascii="Tahoma" w:eastAsia="Tahoma" w:hAnsi="Tahoma" w:cs="Tahoma"/>
        </w:rPr>
        <w:t>Volunteer (No</w:t>
      </w:r>
      <w:r w:rsidR="00051D21">
        <w:rPr>
          <w:rFonts w:ascii="Tahoma" w:eastAsia="Tahoma" w:hAnsi="Tahoma" w:cs="Tahoma"/>
        </w:rPr>
        <w:t>n</w:t>
      </w:r>
      <w:r w:rsidR="00051D21">
        <w:rPr>
          <w:rFonts w:ascii="Tahoma" w:eastAsia="Tahoma" w:hAnsi="Tahoma" w:cs="Tahoma"/>
        </w:rPr>
        <w:noBreakHyphen/>
      </w:r>
      <w:r w:rsidR="007C4FF7">
        <w:rPr>
          <w:rFonts w:ascii="Tahoma" w:eastAsia="Tahoma" w:hAnsi="Tahoma" w:cs="Tahoma"/>
        </w:rPr>
        <w:t>Mutual Obligation</w:t>
      </w:r>
      <w:r>
        <w:rPr>
          <w:rFonts w:ascii="Tahoma" w:eastAsia="Tahoma" w:hAnsi="Tahoma" w:cs="Tahoma"/>
        </w:rPr>
        <w:t>)</w:t>
      </w:r>
      <w:r w:rsidRPr="0E218120">
        <w:rPr>
          <w:rFonts w:ascii="Tahoma" w:eastAsia="Tahoma" w:hAnsi="Tahoma" w:cs="Tahoma"/>
        </w:rPr>
        <w:t xml:space="preserve"> </w:t>
      </w:r>
      <w:r>
        <w:rPr>
          <w:rFonts w:ascii="Tahoma" w:eastAsia="Tahoma" w:hAnsi="Tahoma" w:cs="Tahoma"/>
        </w:rPr>
        <w:t>has a</w:t>
      </w:r>
      <w:r w:rsidRPr="0E218120">
        <w:t xml:space="preserve"> </w:t>
      </w:r>
      <w:r>
        <w:t xml:space="preserve">Suspension period entered by the Provider, and asks to resume Services, the </w:t>
      </w:r>
      <w:r w:rsidRPr="0E218120">
        <w:t xml:space="preserve">Provider </w:t>
      </w:r>
      <w:r>
        <w:t xml:space="preserve">must </w:t>
      </w:r>
      <w:r w:rsidRPr="0E218120">
        <w:t>end the Suspension in the Department’s IT Systems</w:t>
      </w:r>
      <w:r>
        <w:t>.</w:t>
      </w:r>
    </w:p>
    <w:p w14:paraId="5A6D9CED" w14:textId="673A1A6E" w:rsidR="00AE486E" w:rsidRPr="00AF456C" w:rsidRDefault="00AE486E" w:rsidP="006E2EF5">
      <w:r>
        <w:t>A Volunteer (Mutual Obligation)</w:t>
      </w:r>
      <w:r w:rsidR="000926D6">
        <w:t xml:space="preserve"> cannot be </w:t>
      </w:r>
      <w:r w:rsidR="00BA2DDC">
        <w:t>S</w:t>
      </w:r>
      <w:r w:rsidR="000926D6">
        <w:t xml:space="preserve">uspended by the Provider because the </w:t>
      </w:r>
      <w:r w:rsidR="00BA2DDC">
        <w:t>Participant already has a Suspension due to a Services Australia decision. I</w:t>
      </w:r>
      <w:r w:rsidR="00D23071">
        <w:t>nstead, if</w:t>
      </w:r>
      <w:r w:rsidR="00BA2DDC">
        <w:t xml:space="preserve"> </w:t>
      </w:r>
      <w:r w:rsidR="00073743">
        <w:t xml:space="preserve">a Volunteer (Mutual Obligation) advises they cannot or do not wish to receive Services, the Provider must end the Volunteer </w:t>
      </w:r>
      <w:r w:rsidR="000F2742">
        <w:t>P</w:t>
      </w:r>
      <w:r w:rsidR="00073743">
        <w:t xml:space="preserve">eriod for the </w:t>
      </w:r>
      <w:r w:rsidR="00D23071">
        <w:t>P</w:t>
      </w:r>
      <w:r w:rsidR="00073743">
        <w:t>articipant.</w:t>
      </w:r>
    </w:p>
    <w:p w14:paraId="641D3BC9" w14:textId="07ADA855" w:rsidR="00D74559" w:rsidRDefault="00D74559" w:rsidP="001D0F92">
      <w:pPr>
        <w:pStyle w:val="Heading4"/>
      </w:pPr>
      <w:bookmarkStart w:id="119" w:name="_Ref202785048"/>
      <w:bookmarkStart w:id="120" w:name="_Toc202899915"/>
      <w:r w:rsidRPr="362FEA09">
        <w:t>3.5.2</w:t>
      </w:r>
      <w:r w:rsidR="00961F42">
        <w:tab/>
      </w:r>
      <w:r w:rsidRPr="362FEA09">
        <w:t>Volunteering during a Suspension</w:t>
      </w:r>
      <w:bookmarkEnd w:id="119"/>
      <w:bookmarkEnd w:id="120"/>
    </w:p>
    <w:p w14:paraId="508B7E7C" w14:textId="77777777" w:rsidR="00D74559" w:rsidRDefault="00D74559" w:rsidP="006D1645">
      <w:pPr>
        <w:pStyle w:val="Heading5"/>
      </w:pPr>
      <w:r>
        <w:t>Participants with participation requirements</w:t>
      </w:r>
    </w:p>
    <w:p w14:paraId="12804D8A" w14:textId="3B9043FF" w:rsidR="00D74559" w:rsidRDefault="00D74559" w:rsidP="006E2EF5">
      <w:r w:rsidRPr="0E218120">
        <w:t xml:space="preserve">A Participant (Mutual Obligation) or </w:t>
      </w:r>
      <w:r>
        <w:t>DSP Recipient (Compulsory Requirements)</w:t>
      </w:r>
      <w:r w:rsidRPr="0E218120">
        <w:t xml:space="preserve"> can volunteer to receive Services during a Suspension. The Provider must </w:t>
      </w:r>
      <w:r w:rsidR="00E2104A">
        <w:t xml:space="preserve">record the agreed Volunteer Period and </w:t>
      </w:r>
      <w:r w:rsidRPr="0E218120">
        <w:t xml:space="preserve">provide </w:t>
      </w:r>
      <w:r>
        <w:t>S</w:t>
      </w:r>
      <w:r w:rsidRPr="0E218120">
        <w:t xml:space="preserve">ervices </w:t>
      </w:r>
      <w:r w:rsidR="007F2F3C">
        <w:t>for the duration of the Volunteer Period when</w:t>
      </w:r>
      <w:r w:rsidRPr="0E218120">
        <w:t xml:space="preserve"> a Suspended Participant advise</w:t>
      </w:r>
      <w:r w:rsidR="007F2F3C">
        <w:t>s</w:t>
      </w:r>
      <w:r w:rsidRPr="0E218120">
        <w:t xml:space="preserve"> they want to voluntarily participate</w:t>
      </w:r>
      <w:r>
        <w:t>.</w:t>
      </w:r>
    </w:p>
    <w:p w14:paraId="5F2B6F96" w14:textId="77777777" w:rsidR="00D74559" w:rsidRDefault="00D74559" w:rsidP="006F727E">
      <w:pPr>
        <w:pStyle w:val="SystemStep"/>
        <w:rPr>
          <w:rFonts w:ascii="Calibri" w:eastAsia="Calibri" w:hAnsi="Calibri" w:cs="Calibri"/>
        </w:rPr>
      </w:pPr>
      <w:r w:rsidRPr="0E218120">
        <w:t>Where a Participant elects to volunteer while Suspended, the Provider must record the agreed start and end dates for the Volunteer Period in the Department’s IT Systems. Where the Participant chooses to end the Volunteer Period earlier than originally agreed, the Provider must adjust the end date for the Volunteer Period in the Department’s IT Systems.</w:t>
      </w:r>
    </w:p>
    <w:p w14:paraId="2064C022" w14:textId="3B3D6698" w:rsidR="00D74559" w:rsidRDefault="00D74559" w:rsidP="006E2EF5">
      <w:r w:rsidRPr="53BE8163">
        <w:t xml:space="preserve">The Participant’s status during the Volunteer Period will be the same as their status </w:t>
      </w:r>
      <w:r w:rsidR="002118BA">
        <w:t xml:space="preserve">immediately prior to </w:t>
      </w:r>
      <w:r w:rsidRPr="53BE8163">
        <w:t xml:space="preserve">when they were Suspended. For example, a Participant who was Commenced prior to the Suspension will revert to Commenced </w:t>
      </w:r>
      <w:r w:rsidR="005F6195">
        <w:t>when they start</w:t>
      </w:r>
      <w:r w:rsidRPr="53BE8163">
        <w:t xml:space="preserve"> the Volunteer Period.</w:t>
      </w:r>
    </w:p>
    <w:p w14:paraId="542BAEBE" w14:textId="5B47687B" w:rsidR="00D74559" w:rsidRDefault="00D74559" w:rsidP="006E2EF5">
      <w:r w:rsidRPr="53BE8163">
        <w:t>A Participant (Mutual Obligation) who volunteers during a Suspension is a Volunteer (Mutual Obligation) for the duration of the Volunteer Period.</w:t>
      </w:r>
      <w:r w:rsidR="003D2316">
        <w:t xml:space="preserve"> </w:t>
      </w:r>
      <w:r w:rsidR="009909E3">
        <w:t>For the purposes of these Guidelines, a</w:t>
      </w:r>
      <w:r w:rsidR="00D742D7">
        <w:t xml:space="preserve"> DSP Recipient (Compulsory Requirements)</w:t>
      </w:r>
      <w:r w:rsidR="00D742D7" w:rsidRPr="00D742D7">
        <w:t xml:space="preserve"> </w:t>
      </w:r>
      <w:r w:rsidR="00D742D7" w:rsidRPr="53BE8163">
        <w:t>who volunteers during a Suspension is a</w:t>
      </w:r>
      <w:r w:rsidR="009909E3">
        <w:t xml:space="preserve">lso considered a </w:t>
      </w:r>
      <w:r w:rsidR="00D742D7">
        <w:rPr>
          <w:rFonts w:ascii="Tahoma" w:eastAsia="Tahoma" w:hAnsi="Tahoma" w:cs="Tahoma"/>
        </w:rPr>
        <w:t>Volunteer (Mutual Obligation) for the duration of the Volunteer Period.</w:t>
      </w:r>
    </w:p>
    <w:p w14:paraId="5ECCBD82" w14:textId="2F130570" w:rsidR="008A4D78" w:rsidRDefault="008A4D78" w:rsidP="006E2EF5">
      <w:r>
        <w:t>Providers must</w:t>
      </w:r>
      <w:r w:rsidR="00321D9E">
        <w:t xml:space="preserve"> ensure the Participant’s Job Plan is </w:t>
      </w:r>
      <w:r w:rsidR="003F5CC9">
        <w:t>replaced with on</w:t>
      </w:r>
      <w:r w:rsidR="000B09A4">
        <w:t>e</w:t>
      </w:r>
      <w:r w:rsidR="003F5CC9">
        <w:t xml:space="preserve"> that only includes voluntary requirements during the Volunteer Period — refer to </w:t>
      </w:r>
      <w:r w:rsidR="00D02C2B">
        <w:rPr>
          <w:highlight w:val="yellow"/>
        </w:rPr>
        <w:fldChar w:fldCharType="begin"/>
      </w:r>
      <w:r w:rsidR="00D02C2B">
        <w:rPr>
          <w:highlight w:val="yellow"/>
        </w:rPr>
        <w:instrText xml:space="preserve"> REF _Ref202785211 \h </w:instrText>
      </w:r>
      <w:r w:rsidR="00D02C2B">
        <w:rPr>
          <w:highlight w:val="yellow"/>
        </w:rPr>
      </w:r>
      <w:r w:rsidR="00D02C2B">
        <w:rPr>
          <w:highlight w:val="yellow"/>
        </w:rPr>
        <w:fldChar w:fldCharType="separate"/>
      </w:r>
      <w:r w:rsidR="000D75AE">
        <w:t>4</w:t>
      </w:r>
      <w:r w:rsidR="0097189E">
        <w:t>.</w:t>
      </w:r>
      <w:r w:rsidR="000D75AE">
        <w:t>4</w:t>
      </w:r>
      <w:r w:rsidR="0097189E">
        <w:t xml:space="preserve"> </w:t>
      </w:r>
      <w:r w:rsidR="000D75AE">
        <w:t>Entering into a Job Plan</w:t>
      </w:r>
      <w:r w:rsidR="00D02C2B">
        <w:rPr>
          <w:highlight w:val="yellow"/>
        </w:rPr>
        <w:fldChar w:fldCharType="end"/>
      </w:r>
      <w:r w:rsidR="00AC488C">
        <w:t>.</w:t>
      </w:r>
    </w:p>
    <w:p w14:paraId="145590A5" w14:textId="7BC9D55D" w:rsidR="005351C0" w:rsidRDefault="005351C0" w:rsidP="009B7E87">
      <w:r w:rsidRPr="0E218120">
        <w:t xml:space="preserve">If a </w:t>
      </w:r>
      <w:r w:rsidR="00EC05F7">
        <w:t>Volunteer (Mutual Obligation</w:t>
      </w:r>
      <w:r>
        <w:t>)</w:t>
      </w:r>
      <w:r w:rsidRPr="0E218120">
        <w:t xml:space="preserve"> has a Centrelink Job Plan, Providers must not replace the Centrelink Job Plan.</w:t>
      </w:r>
    </w:p>
    <w:p w14:paraId="6AE6C7EE" w14:textId="07C45FE6" w:rsidR="00AC488C" w:rsidRPr="008F6526" w:rsidRDefault="00AC488C" w:rsidP="006E2EF5">
      <w:r>
        <w:t>Providers should review the appropriate service offer if the Participant is receiving Pre-Employment Support</w:t>
      </w:r>
      <w:r w:rsidR="003D2316">
        <w:t xml:space="preserve"> — refer to</w:t>
      </w:r>
      <w:r w:rsidR="008F6526">
        <w:t xml:space="preserve"> </w:t>
      </w:r>
      <w:r w:rsidR="008F6526" w:rsidRPr="008F6526">
        <w:rPr>
          <w:highlight w:val="yellow"/>
        </w:rPr>
        <w:fldChar w:fldCharType="begin"/>
      </w:r>
      <w:r w:rsidR="008F6526" w:rsidRPr="008F6526">
        <w:instrText xml:space="preserve"> REF _Ref202785273 \h </w:instrText>
      </w:r>
      <w:r w:rsidR="008F6526">
        <w:rPr>
          <w:highlight w:val="yellow"/>
        </w:rPr>
        <w:instrText xml:space="preserve"> \* MERGEFORMAT </w:instrText>
      </w:r>
      <w:r w:rsidR="008F6526" w:rsidRPr="008F6526">
        <w:rPr>
          <w:highlight w:val="yellow"/>
        </w:rPr>
      </w:r>
      <w:r w:rsidR="008F6526" w:rsidRPr="008F6526">
        <w:rPr>
          <w:highlight w:val="yellow"/>
        </w:rPr>
        <w:fldChar w:fldCharType="separate"/>
      </w:r>
      <w:r w:rsidR="000D75AE" w:rsidRPr="000D75AE">
        <w:t>6.3</w:t>
      </w:r>
      <w:r w:rsidR="0097189E">
        <w:t xml:space="preserve"> </w:t>
      </w:r>
      <w:r w:rsidR="000D75AE" w:rsidRPr="000D75AE">
        <w:t>Movement within Pre-Employment Support</w:t>
      </w:r>
      <w:r w:rsidR="008F6526" w:rsidRPr="008F6526">
        <w:rPr>
          <w:highlight w:val="yellow"/>
        </w:rPr>
        <w:fldChar w:fldCharType="end"/>
      </w:r>
      <w:r w:rsidR="003D2316" w:rsidRPr="008F6526">
        <w:t>.</w:t>
      </w:r>
    </w:p>
    <w:p w14:paraId="30EA953B" w14:textId="77777777" w:rsidR="00D74559" w:rsidRDefault="00D74559" w:rsidP="006D1645">
      <w:pPr>
        <w:pStyle w:val="Heading5"/>
      </w:pPr>
      <w:r>
        <w:t>Participants who do not have participation requirements</w:t>
      </w:r>
    </w:p>
    <w:p w14:paraId="326BCCBB" w14:textId="34151450" w:rsidR="00D74559" w:rsidRDefault="00D74559" w:rsidP="006E2EF5">
      <w:r>
        <w:t xml:space="preserve">A </w:t>
      </w:r>
      <w:r w:rsidR="004415F9">
        <w:t>Volunteer (Non-Mutual Obligation)</w:t>
      </w:r>
      <w:r w:rsidR="00040C72">
        <w:t xml:space="preserve"> does not have a </w:t>
      </w:r>
      <w:r w:rsidR="00E03EFC">
        <w:t xml:space="preserve">Volunteer Period added if they wish </w:t>
      </w:r>
      <w:r w:rsidR="0049249B">
        <w:t xml:space="preserve">to receive Services when they have a Suspension. </w:t>
      </w:r>
      <w:r w:rsidR="001C4D83">
        <w:t xml:space="preserve">The Provider must instead end the </w:t>
      </w:r>
      <w:r w:rsidR="0089066E">
        <w:t xml:space="preserve">Suspension </w:t>
      </w:r>
      <w:r w:rsidR="004238F3">
        <w:t xml:space="preserve">so the Participant </w:t>
      </w:r>
      <w:r w:rsidR="00751D65">
        <w:t>can receive Services.</w:t>
      </w:r>
    </w:p>
    <w:p w14:paraId="6C99E2AB" w14:textId="4FE5BAE2" w:rsidR="00D74559" w:rsidRDefault="00D74559" w:rsidP="001D0F92">
      <w:pPr>
        <w:pStyle w:val="Heading3"/>
      </w:pPr>
      <w:bookmarkStart w:id="121" w:name="_Ref202784863"/>
      <w:bookmarkStart w:id="122" w:name="_Toc202899916"/>
      <w:r w:rsidRPr="005A0947">
        <w:t>3.6</w:t>
      </w:r>
      <w:r w:rsidR="00961F42">
        <w:tab/>
      </w:r>
      <w:r w:rsidRPr="00961F42">
        <w:t>E</w:t>
      </w:r>
      <w:r w:rsidRPr="005A0947">
        <w:t>xits</w:t>
      </w:r>
      <w:bookmarkEnd w:id="121"/>
      <w:bookmarkEnd w:id="122"/>
    </w:p>
    <w:p w14:paraId="6699B7EC" w14:textId="77777777" w:rsidR="00D74559" w:rsidRDefault="00D74559" w:rsidP="006E2EF5">
      <w:r w:rsidRPr="0E218120">
        <w:t>Participants may be Exited from Services for a range of reasons. An Exit may be:</w:t>
      </w:r>
    </w:p>
    <w:p w14:paraId="3231D80A" w14:textId="77777777" w:rsidR="00D74559" w:rsidRPr="00174303" w:rsidRDefault="00D74559" w:rsidP="004E120D">
      <w:pPr>
        <w:pStyle w:val="BulletLevel1"/>
      </w:pPr>
      <w:r w:rsidRPr="00174303">
        <w:t>an automatic Exit performed by the Department’s IT Systems (Effective Exit)</w:t>
      </w:r>
    </w:p>
    <w:p w14:paraId="3D39C269" w14:textId="77777777" w:rsidR="00D74559" w:rsidRPr="00174303" w:rsidRDefault="00D74559" w:rsidP="004E120D">
      <w:pPr>
        <w:pStyle w:val="BulletLevel1"/>
      </w:pPr>
      <w:r w:rsidRPr="00174303">
        <w:t>a manual Exit performed by the Provider (Provider Exit), or</w:t>
      </w:r>
    </w:p>
    <w:p w14:paraId="6BE41A9F" w14:textId="77777777" w:rsidR="00D74559" w:rsidRPr="00174303" w:rsidRDefault="00D74559" w:rsidP="004E120D">
      <w:pPr>
        <w:pStyle w:val="BulletLevel1"/>
      </w:pPr>
      <w:r w:rsidRPr="00174303">
        <w:t>an Exit performed by Departmental staff (Departmental Exit).</w:t>
      </w:r>
    </w:p>
    <w:p w14:paraId="28DE35DB" w14:textId="77777777" w:rsidR="00D74559" w:rsidRDefault="00D74559" w:rsidP="006E2EF5">
      <w:r>
        <w:t>If possible, a Provider must discuss the reason for the Exit with the Participant.</w:t>
      </w:r>
    </w:p>
    <w:p w14:paraId="6FC4E234" w14:textId="44A7345C" w:rsidR="00D74559" w:rsidRDefault="00D74559" w:rsidP="006E2EF5">
      <w:r w:rsidRPr="0E218120">
        <w:t xml:space="preserve">When a Participant is Exited, the Provider must cease delivering Services. The Participant’s Period of Service and Period of Registration </w:t>
      </w:r>
      <w:r w:rsidR="00DE5229">
        <w:t xml:space="preserve">will </w:t>
      </w:r>
      <w:r w:rsidRPr="0E218120">
        <w:t>end.</w:t>
      </w:r>
    </w:p>
    <w:p w14:paraId="6F26E850" w14:textId="77777777" w:rsidR="00D74559" w:rsidRDefault="00D74559" w:rsidP="006E2EF5">
      <w:r>
        <w:t>T</w:t>
      </w:r>
      <w:r w:rsidRPr="000A0FB1">
        <w:t>he Department’s IT Systems will automatically notify Services Australia when a Participant Exits for any reason</w:t>
      </w:r>
      <w:r>
        <w:t>.</w:t>
      </w:r>
    </w:p>
    <w:p w14:paraId="42AB35FB" w14:textId="49147D74" w:rsidR="00D74559" w:rsidRDefault="00D74559" w:rsidP="002A0978">
      <w:pPr>
        <w:pStyle w:val="SystemStep"/>
      </w:pPr>
      <w:r w:rsidRPr="000A0FB1">
        <w:t xml:space="preserve">Providers will only be granted </w:t>
      </w:r>
      <w:r>
        <w:t xml:space="preserve">limited </w:t>
      </w:r>
      <w:r w:rsidRPr="000A0FB1">
        <w:t xml:space="preserve">access to the Participant’s </w:t>
      </w:r>
      <w:r w:rsidR="00CE587F">
        <w:t>R</w:t>
      </w:r>
      <w:r w:rsidRPr="000A0FB1">
        <w:t>ecords in the Department’s IT Systems for 28</w:t>
      </w:r>
      <w:r>
        <w:t> </w:t>
      </w:r>
      <w:r w:rsidRPr="000A0FB1">
        <w:t>calendar days from the date of the Participant’s Exit</w:t>
      </w:r>
      <w:r w:rsidRPr="00A321BC">
        <w:t>.</w:t>
      </w:r>
    </w:p>
    <w:p w14:paraId="2487F155" w14:textId="61F39FC3" w:rsidR="00E5544E" w:rsidRDefault="00E5544E" w:rsidP="006E2EF5">
      <w:r>
        <w:t xml:space="preserve">Providers should ensure that </w:t>
      </w:r>
      <w:r w:rsidR="003811C5">
        <w:t>details</w:t>
      </w:r>
      <w:r w:rsidR="002A3CC3">
        <w:t xml:space="preserve"> of Ongoing Support </w:t>
      </w:r>
      <w:r w:rsidR="003811C5">
        <w:t xml:space="preserve">provided to Participants have been </w:t>
      </w:r>
      <w:r w:rsidR="002A3CC3">
        <w:t xml:space="preserve">entered into the Department’s IT </w:t>
      </w:r>
      <w:r w:rsidR="39377058">
        <w:t>S</w:t>
      </w:r>
      <w:r w:rsidR="002A3CC3">
        <w:t>ystem</w:t>
      </w:r>
      <w:r w:rsidR="69E826E9">
        <w:t>s</w:t>
      </w:r>
      <w:r w:rsidR="002A3CC3">
        <w:t xml:space="preserve"> </w:t>
      </w:r>
      <w:r w:rsidR="005D5919">
        <w:t xml:space="preserve">before the </w:t>
      </w:r>
      <w:r w:rsidR="00A973BD">
        <w:t>Participant</w:t>
      </w:r>
      <w:r w:rsidR="005D5919">
        <w:t xml:space="preserve"> is </w:t>
      </w:r>
      <w:r w:rsidR="00A973BD">
        <w:t>Exit</w:t>
      </w:r>
      <w:r w:rsidR="005D5919">
        <w:t>ed</w:t>
      </w:r>
      <w:r w:rsidR="00A973BD">
        <w:t>.</w:t>
      </w:r>
    </w:p>
    <w:p w14:paraId="3D42ADD5" w14:textId="3659FC13" w:rsidR="00D74559" w:rsidRDefault="00D74559" w:rsidP="006E2EF5">
      <w:pPr>
        <w:pStyle w:val="DeedReferences"/>
      </w:pPr>
      <w:r>
        <w:t>(</w:t>
      </w:r>
      <w:r w:rsidR="00A73420">
        <w:t xml:space="preserve">Deed Reference(s): Clause </w:t>
      </w:r>
      <w:r w:rsidR="00B043DE">
        <w:t>153.5</w:t>
      </w:r>
      <w:r w:rsidR="00295712">
        <w:t xml:space="preserve">, </w:t>
      </w:r>
      <w:r w:rsidR="00B043DE">
        <w:t>154</w:t>
      </w:r>
      <w:r>
        <w:t>)</w:t>
      </w:r>
    </w:p>
    <w:p w14:paraId="4213A171" w14:textId="138AF615" w:rsidR="00D74559" w:rsidRDefault="00D74559" w:rsidP="00BC276C">
      <w:pPr>
        <w:pStyle w:val="Heading4"/>
        <w:ind w:left="0" w:firstLine="0"/>
      </w:pPr>
      <w:bookmarkStart w:id="123" w:name="_Toc202899917"/>
      <w:r w:rsidRPr="362FEA09">
        <w:t>3.6.1</w:t>
      </w:r>
      <w:r w:rsidR="00961F42">
        <w:tab/>
      </w:r>
      <w:r w:rsidRPr="362FEA09">
        <w:t>Effective Exits</w:t>
      </w:r>
      <w:bookmarkEnd w:id="123"/>
    </w:p>
    <w:p w14:paraId="06253675" w14:textId="75B92F8C" w:rsidR="00D74559" w:rsidRDefault="00D74559" w:rsidP="006E2EF5">
      <w:r w:rsidRPr="53BE8163">
        <w:t xml:space="preserve">A Participant will be automatically Exited </w:t>
      </w:r>
      <w:r w:rsidR="005A0D40">
        <w:t xml:space="preserve">from </w:t>
      </w:r>
      <w:r w:rsidR="00C74C33">
        <w:t>Inclusive Employment Australia</w:t>
      </w:r>
      <w:r w:rsidR="005A0D40">
        <w:t xml:space="preserve"> </w:t>
      </w:r>
      <w:r w:rsidRPr="53BE8163">
        <w:t>by the Department’s IT Systems when a qualifying condition occurs.</w:t>
      </w:r>
    </w:p>
    <w:p w14:paraId="5CA6E824" w14:textId="77777777" w:rsidR="00D74559" w:rsidRDefault="00D74559" w:rsidP="006E2EF5">
      <w:r w:rsidRPr="53BE8163">
        <w:t>An Effective Exit will occur when a Participant:</w:t>
      </w:r>
    </w:p>
    <w:p w14:paraId="0A248B6B" w14:textId="4EAA9B45" w:rsidR="00D74559" w:rsidRPr="00174303" w:rsidRDefault="00653F55" w:rsidP="004E120D">
      <w:pPr>
        <w:pStyle w:val="BulletLevel1"/>
      </w:pPr>
      <w:r>
        <w:t xml:space="preserve">is </w:t>
      </w:r>
      <w:r w:rsidR="003942DB">
        <w:t>r</w:t>
      </w:r>
      <w:r>
        <w:t>eferred to</w:t>
      </w:r>
      <w:r w:rsidR="00D74559" w:rsidRPr="00174303">
        <w:t xml:space="preserve"> an Other Employment Service</w:t>
      </w:r>
    </w:p>
    <w:p w14:paraId="37052F49" w14:textId="24C0AAC3" w:rsidR="00D74559" w:rsidRPr="00174303" w:rsidDel="00812F2A" w:rsidRDefault="008B1AA9">
      <w:pPr>
        <w:pStyle w:val="BulletLevel1"/>
      </w:pPr>
      <w:r>
        <w:t xml:space="preserve">is </w:t>
      </w:r>
      <w:r w:rsidR="007254BD">
        <w:t>identified in the IT System as receiving</w:t>
      </w:r>
      <w:r w:rsidR="00394452">
        <w:t xml:space="preserve"> Flexible Ongoing Support </w:t>
      </w:r>
      <w:r w:rsidR="00D74559" w:rsidRPr="00174303">
        <w:t xml:space="preserve">has no recorded </w:t>
      </w:r>
      <w:r w:rsidR="0013003C">
        <w:t xml:space="preserve">Flexible </w:t>
      </w:r>
      <w:r w:rsidR="00D74559" w:rsidRPr="00174303">
        <w:t xml:space="preserve">Ongoing Support </w:t>
      </w:r>
      <w:r w:rsidR="00B31ACF">
        <w:t>I</w:t>
      </w:r>
      <w:r w:rsidR="00D74559" w:rsidRPr="00174303">
        <w:t xml:space="preserve">nstances </w:t>
      </w:r>
      <w:r w:rsidR="00E25804">
        <w:t>for any consecutive period of</w:t>
      </w:r>
      <w:r w:rsidR="00E25804" w:rsidRPr="00174303">
        <w:t xml:space="preserve"> </w:t>
      </w:r>
      <w:r w:rsidR="00D74559" w:rsidRPr="00174303">
        <w:t>52 weeks</w:t>
      </w:r>
      <w:r w:rsidR="00011650">
        <w:t>,</w:t>
      </w:r>
      <w:r w:rsidR="00D74559" w:rsidRPr="00174303" w:rsidDel="0080664D">
        <w:t xml:space="preserve"> or</w:t>
      </w:r>
    </w:p>
    <w:p w14:paraId="5CF3CBD3" w14:textId="1BD17A3B" w:rsidR="00D74559" w:rsidRPr="00174303" w:rsidRDefault="00D74559">
      <w:pPr>
        <w:pStyle w:val="BulletLevel1"/>
      </w:pPr>
      <w:r w:rsidRPr="00174303" w:rsidDel="00812F2A">
        <w:t xml:space="preserve">does not volunteer to receive Services </w:t>
      </w:r>
      <w:r w:rsidR="00FF41B9">
        <w:t>when</w:t>
      </w:r>
      <w:r w:rsidRPr="00174303" w:rsidDel="00812F2A">
        <w:t xml:space="preserve"> Fully Meeting their Mutual Obligation Requirements</w:t>
      </w:r>
      <w:r w:rsidR="003B2C60" w:rsidDel="00812F2A">
        <w:t xml:space="preserve"> </w:t>
      </w:r>
      <w:r w:rsidR="722EAFEF">
        <w:t xml:space="preserve">and eligible </w:t>
      </w:r>
      <w:r w:rsidR="00522D65">
        <w:t>to be Centrelink Managed</w:t>
      </w:r>
      <w:r w:rsidR="0039657A">
        <w:t xml:space="preserve">, </w:t>
      </w:r>
      <w:r w:rsidR="00FF41B9">
        <w:t>as described below</w:t>
      </w:r>
      <w:r w:rsidRPr="00174303">
        <w:t>.</w:t>
      </w:r>
    </w:p>
    <w:p w14:paraId="0FDF425C" w14:textId="5DF1E57D" w:rsidR="00D74559" w:rsidRDefault="00D74559" w:rsidP="006E2EF5">
      <w:r w:rsidRPr="0E218120">
        <w:t xml:space="preserve">When </w:t>
      </w:r>
      <w:r w:rsidR="00A04749">
        <w:t xml:space="preserve">a Provider or </w:t>
      </w:r>
      <w:r w:rsidRPr="0E218120">
        <w:t xml:space="preserve">Services Australia determines that a Participant </w:t>
      </w:r>
      <w:r w:rsidR="00A04749">
        <w:t xml:space="preserve">is </w:t>
      </w:r>
      <w:r w:rsidR="004F5CEA">
        <w:t>undertaking</w:t>
      </w:r>
      <w:r w:rsidR="00A04749">
        <w:t xml:space="preserve"> an approved Activity that </w:t>
      </w:r>
      <w:r w:rsidRPr="0E218120">
        <w:t xml:space="preserve">will </w:t>
      </w:r>
      <w:r>
        <w:t xml:space="preserve">be </w:t>
      </w:r>
      <w:r w:rsidRPr="0E218120">
        <w:t>Fully Meet</w:t>
      </w:r>
      <w:r>
        <w:t>ing</w:t>
      </w:r>
      <w:r w:rsidRPr="0E218120">
        <w:t xml:space="preserve"> their Mutual Obligation Requirements for 13 weeks or longer, the Participant will </w:t>
      </w:r>
      <w:r w:rsidR="008B1F75">
        <w:t>typically</w:t>
      </w:r>
      <w:r w:rsidRPr="0E218120">
        <w:t xml:space="preserve"> receive a notification that:</w:t>
      </w:r>
    </w:p>
    <w:p w14:paraId="03017BB2" w14:textId="08C17639" w:rsidR="00D74559" w:rsidRPr="00174303" w:rsidRDefault="00D74559" w:rsidP="004E120D">
      <w:pPr>
        <w:pStyle w:val="BulletLevel1"/>
      </w:pPr>
      <w:r w:rsidRPr="00174303">
        <w:t>their program has been Suspended</w:t>
      </w:r>
    </w:p>
    <w:p w14:paraId="3CA9F9F4" w14:textId="2FEECC6F" w:rsidR="00B5278C" w:rsidRDefault="00D74559" w:rsidP="004E120D">
      <w:pPr>
        <w:pStyle w:val="BulletLevel1"/>
      </w:pPr>
      <w:r w:rsidRPr="00174303">
        <w:t>they do not need to participate in employment services</w:t>
      </w:r>
    </w:p>
    <w:p w14:paraId="6AF31EF3" w14:textId="4ACD2FA7" w:rsidR="00D74559" w:rsidRPr="00174303" w:rsidRDefault="006E14B4" w:rsidP="004E120D">
      <w:pPr>
        <w:pStyle w:val="BulletLevel1"/>
      </w:pPr>
      <w:r>
        <w:t xml:space="preserve">they </w:t>
      </w:r>
      <w:r w:rsidR="001E29DD">
        <w:t xml:space="preserve">can elect to participate voluntarily with their Provider, </w:t>
      </w:r>
      <w:r w:rsidR="00D74559" w:rsidRPr="00174303">
        <w:t xml:space="preserve">and </w:t>
      </w:r>
    </w:p>
    <w:p w14:paraId="0BF72E78" w14:textId="1EDF194C" w:rsidR="00D74559" w:rsidRPr="00174303" w:rsidRDefault="00D74559" w:rsidP="004E120D">
      <w:pPr>
        <w:pStyle w:val="BulletLevel1"/>
      </w:pPr>
      <w:r w:rsidRPr="00174303">
        <w:t xml:space="preserve">they will be Exited from employment services in </w:t>
      </w:r>
      <w:r w:rsidR="001B5235">
        <w:t>2</w:t>
      </w:r>
      <w:r w:rsidR="001B5235" w:rsidRPr="00174303">
        <w:t xml:space="preserve"> </w:t>
      </w:r>
      <w:r w:rsidRPr="00174303">
        <w:t>weeks from the notification unless they contact their Provider and volunteer to receive employment services before that date.</w:t>
      </w:r>
    </w:p>
    <w:p w14:paraId="24BE6213" w14:textId="572A1AAA" w:rsidR="00D74559" w:rsidRDefault="00D74559" w:rsidP="006E2EF5">
      <w:r w:rsidRPr="0E218120">
        <w:t xml:space="preserve">The Effective Exit will occur at the end of the </w:t>
      </w:r>
      <w:r w:rsidR="00FE3D54">
        <w:t>2</w:t>
      </w:r>
      <w:r w:rsidRPr="0E218120">
        <w:t xml:space="preserve"> weeks unless the Participant </w:t>
      </w:r>
      <w:r w:rsidR="00D44175">
        <w:t xml:space="preserve">who is Fully Meeting their requirements </w:t>
      </w:r>
      <w:r w:rsidRPr="0E218120">
        <w:t>has a</w:t>
      </w:r>
      <w:r w:rsidR="000D3847">
        <w:t>n active</w:t>
      </w:r>
      <w:r w:rsidRPr="0E218120">
        <w:t xml:space="preserve"> Volunteer Period</w:t>
      </w:r>
      <w:r w:rsidR="000D3847">
        <w:t xml:space="preserve"> in place</w:t>
      </w:r>
      <w:r w:rsidRPr="0E218120">
        <w:t>.</w:t>
      </w:r>
    </w:p>
    <w:p w14:paraId="36C53A63" w14:textId="77777777" w:rsidR="00D74559" w:rsidRDefault="00D74559" w:rsidP="006E2EF5">
      <w:r w:rsidRPr="0E218120">
        <w:rPr>
          <w:b/>
          <w:bCs/>
        </w:rPr>
        <w:t>Note:</w:t>
      </w:r>
      <w:r w:rsidRPr="0E218120">
        <w:t xml:space="preserve"> If the Participant is in Post Placement Support or Ongoing Support when Services Australia determines that the Participant will </w:t>
      </w:r>
      <w:r>
        <w:t xml:space="preserve">be </w:t>
      </w:r>
      <w:r w:rsidRPr="0E218120">
        <w:t>Fully Meet</w:t>
      </w:r>
      <w:r>
        <w:t>ing</w:t>
      </w:r>
      <w:r w:rsidRPr="0E218120">
        <w:t xml:space="preserve"> their Mutual Obligation Requirements for 13</w:t>
      </w:r>
      <w:r>
        <w:t> </w:t>
      </w:r>
      <w:r w:rsidRPr="0E218120">
        <w:t>weeks or longer, the Participant will not receive a notification and there will not be an Effective Exit.</w:t>
      </w:r>
    </w:p>
    <w:p w14:paraId="475DA661" w14:textId="1CA6117D" w:rsidR="00D74559" w:rsidRDefault="00D74559" w:rsidP="001D0F92">
      <w:pPr>
        <w:pStyle w:val="Heading4"/>
      </w:pPr>
      <w:bookmarkStart w:id="124" w:name="_Toc202899918"/>
      <w:r w:rsidRPr="362FEA09">
        <w:t>3.6.2</w:t>
      </w:r>
      <w:r w:rsidR="00EE4616">
        <w:tab/>
      </w:r>
      <w:r w:rsidRPr="362FEA09">
        <w:t>Provider Exits</w:t>
      </w:r>
      <w:bookmarkEnd w:id="124"/>
    </w:p>
    <w:p w14:paraId="6EC4BCD7" w14:textId="79FD545B" w:rsidR="00D74559" w:rsidRDefault="00D74559" w:rsidP="006E2EF5">
      <w:r w:rsidRPr="53BE8163">
        <w:t xml:space="preserve">Providers must manually Exit </w:t>
      </w:r>
      <w:r w:rsidR="005A0D40">
        <w:t xml:space="preserve">from </w:t>
      </w:r>
      <w:r w:rsidR="00C74C33">
        <w:t>Inclusive Employment Australia</w:t>
      </w:r>
      <w:r w:rsidR="005A0D40">
        <w:t xml:space="preserve"> </w:t>
      </w:r>
      <w:r w:rsidRPr="53BE8163">
        <w:t>a Participant who:</w:t>
      </w:r>
    </w:p>
    <w:p w14:paraId="41EE02BC" w14:textId="683B8765" w:rsidR="00D44175" w:rsidRPr="00174303" w:rsidRDefault="00D44175" w:rsidP="004E120D">
      <w:pPr>
        <w:pStyle w:val="BulletLevel1"/>
      </w:pPr>
      <w:r w:rsidRPr="00174303">
        <w:t>has completed a 52-week Employment Outcome and does not wish to receive Ongoing Support</w:t>
      </w:r>
    </w:p>
    <w:p w14:paraId="0C8D69A3" w14:textId="097B190C" w:rsidR="00D74559" w:rsidRPr="001141F0" w:rsidRDefault="00D74559" w:rsidP="004E120D">
      <w:pPr>
        <w:pStyle w:val="BulletLevel1"/>
      </w:pPr>
      <w:r w:rsidRPr="001141F0">
        <w:t xml:space="preserve">has completed a 52-week Employment Outcome and the Provider or an Ongoing Support Assessor determines that the Participant does not need further support </w:t>
      </w:r>
    </w:p>
    <w:p w14:paraId="13A860B3" w14:textId="0FB1FC97" w:rsidR="00D74559" w:rsidRPr="00174303" w:rsidRDefault="00D74559" w:rsidP="004E120D">
      <w:pPr>
        <w:pStyle w:val="BulletLevel1"/>
      </w:pPr>
      <w:r w:rsidRPr="00174303">
        <w:t xml:space="preserve">advises they do not wish to receive </w:t>
      </w:r>
      <w:r w:rsidR="003A12DD">
        <w:t>S</w:t>
      </w:r>
      <w:r>
        <w:t>ervices</w:t>
      </w:r>
      <w:r w:rsidRPr="00174303">
        <w:t>, and the Participant is:</w:t>
      </w:r>
    </w:p>
    <w:p w14:paraId="44FF9E10" w14:textId="20D50F37" w:rsidR="00163369" w:rsidRDefault="00E26C48" w:rsidP="004E120D">
      <w:pPr>
        <w:pStyle w:val="BulletLevel2"/>
      </w:pPr>
      <w:r>
        <w:t xml:space="preserve">a </w:t>
      </w:r>
      <w:r w:rsidR="00285C10">
        <w:t xml:space="preserve">Volunteer (Mutual </w:t>
      </w:r>
      <w:r w:rsidR="00E54805">
        <w:t>Obligation</w:t>
      </w:r>
      <w:r w:rsidR="00285C10">
        <w:t>)</w:t>
      </w:r>
      <w:r>
        <w:t xml:space="preserve"> </w:t>
      </w:r>
      <w:r w:rsidR="00AC536A">
        <w:t xml:space="preserve">who was </w:t>
      </w:r>
      <w:r w:rsidR="00DF0B98">
        <w:t>eligible to be Centrelink Managed</w:t>
      </w:r>
      <w:r w:rsidR="00F7631F">
        <w:t xml:space="preserve"> </w:t>
      </w:r>
      <w:r w:rsidR="00B83305">
        <w:t>because they are</w:t>
      </w:r>
      <w:r w:rsidR="00F7631F">
        <w:t xml:space="preserve"> </w:t>
      </w:r>
      <w:r w:rsidR="00D74559" w:rsidRPr="00174303">
        <w:t>Fully Meeting their Mutual Obligation Requirements</w:t>
      </w:r>
      <w:r w:rsidR="00F7631F">
        <w:t xml:space="preserve"> </w:t>
      </w:r>
      <w:r w:rsidR="003C48B4">
        <w:t xml:space="preserve">for </w:t>
      </w:r>
      <w:r w:rsidR="00EA3091">
        <w:t>at least</w:t>
      </w:r>
      <w:r w:rsidR="00E54805">
        <w:t xml:space="preserve"> 13 weeks</w:t>
      </w:r>
    </w:p>
    <w:p w14:paraId="5202C6E4" w14:textId="432F7948" w:rsidR="007D4B1A" w:rsidRDefault="001F0C21" w:rsidP="004E120D">
      <w:pPr>
        <w:pStyle w:val="BulletLevel2"/>
      </w:pPr>
      <w:r>
        <w:t xml:space="preserve">a Participant (Mutual Obligation) or DSP Recipient (Compulsory Requirement) </w:t>
      </w:r>
      <w:r w:rsidR="00C451F7">
        <w:t xml:space="preserve">who </w:t>
      </w:r>
      <w:r w:rsidR="00163369">
        <w:t xml:space="preserve">has </w:t>
      </w:r>
      <w:r w:rsidR="0034732D">
        <w:t xml:space="preserve">had </w:t>
      </w:r>
      <w:r w:rsidR="00163369">
        <w:t>a change in their income support status such that they no longer have participation requirements</w:t>
      </w:r>
      <w:r w:rsidR="00FE1618">
        <w:t xml:space="preserve"> — for example</w:t>
      </w:r>
      <w:r w:rsidR="00594667">
        <w:t xml:space="preserve">, they stop receiving Income Support Payments or </w:t>
      </w:r>
      <w:r w:rsidR="00086AA5">
        <w:t>commence Education or Training and start to receive Austudy, Abstudy or Youth Allowance (Student)</w:t>
      </w:r>
      <w:r w:rsidR="00163369">
        <w:t xml:space="preserve">, </w:t>
      </w:r>
    </w:p>
    <w:p w14:paraId="5CD3B861" w14:textId="77777777" w:rsidR="00D715EB" w:rsidRDefault="007D4B1A" w:rsidP="002F38E6">
      <w:pPr>
        <w:pStyle w:val="BulletLevel2"/>
      </w:pPr>
      <w:r>
        <w:t>a</w:t>
      </w:r>
      <w:r w:rsidRPr="007D4B1A">
        <w:t xml:space="preserve"> </w:t>
      </w:r>
      <w:r>
        <w:t xml:space="preserve">Principal Carer Parent who has a long-term Exemption (i.e. end date longer than 16 weeks), </w:t>
      </w:r>
    </w:p>
    <w:p w14:paraId="3D926AD9" w14:textId="7B17949D" w:rsidR="00D74559" w:rsidRPr="00174303" w:rsidRDefault="00D715EB" w:rsidP="004E120D">
      <w:pPr>
        <w:pStyle w:val="BulletLevel2"/>
      </w:pPr>
      <w:r>
        <w:t xml:space="preserve">Ongoing Support (Work Assist) Participant, </w:t>
      </w:r>
      <w:r w:rsidR="00D74559" w:rsidRPr="00174303">
        <w:t>or</w:t>
      </w:r>
    </w:p>
    <w:p w14:paraId="3519ED09" w14:textId="05EFDED5" w:rsidR="00D74559" w:rsidRPr="00174303" w:rsidRDefault="00D74559" w:rsidP="004E120D">
      <w:pPr>
        <w:pStyle w:val="BulletLevel2"/>
      </w:pPr>
      <w:r w:rsidRPr="00174303">
        <w:t xml:space="preserve">a </w:t>
      </w:r>
      <w:r w:rsidR="00B96D11">
        <w:t>Volunteer (Non-Mutual Obligation)</w:t>
      </w:r>
    </w:p>
    <w:p w14:paraId="301B1C27" w14:textId="6A3E4B6B" w:rsidR="002A273B" w:rsidRDefault="002A273B" w:rsidP="004E120D">
      <w:pPr>
        <w:pStyle w:val="BulletLevel1"/>
      </w:pPr>
      <w:r>
        <w:t xml:space="preserve">has a Change of Circumstances ESAt that recommends </w:t>
      </w:r>
      <w:r w:rsidR="00C65266">
        <w:t>S</w:t>
      </w:r>
      <w:r>
        <w:t>ervices are no longer appropriate, unless an NDIS participant or DSP recipient who wishes to continue to receive Pre-Employment Support</w:t>
      </w:r>
    </w:p>
    <w:p w14:paraId="49E209FA" w14:textId="5C447C8A" w:rsidR="00D74559" w:rsidRDefault="00D74559" w:rsidP="004E120D">
      <w:pPr>
        <w:pStyle w:val="BulletLevel1"/>
      </w:pPr>
      <w:r w:rsidRPr="00174303">
        <w:t>is an Ongoing Support (Work Assist) Participant and the Provider or an Ongoing Support Assessor determine that the Participant no longer requires Ongoing Support</w:t>
      </w:r>
    </w:p>
    <w:p w14:paraId="3EE448AE" w14:textId="77777777" w:rsidR="00823176" w:rsidRPr="00174303" w:rsidRDefault="00823176" w:rsidP="00823176">
      <w:pPr>
        <w:pStyle w:val="BulletLevel1"/>
      </w:pPr>
      <w:r>
        <w:t>is an Ongoing Support (Work Assist) Participant who is no longer Employed</w:t>
      </w:r>
    </w:p>
    <w:p w14:paraId="5718EF4E" w14:textId="45D5925E" w:rsidR="00A73F4B" w:rsidRDefault="00A73F4B" w:rsidP="00A73F4B">
      <w:pPr>
        <w:pStyle w:val="BulletLevel1"/>
      </w:pPr>
      <w:r>
        <w:t>is a Principal Carer Parent who has a long-term Exemption (i.e. end date longer than 16 weeks) who is no longer in contact</w:t>
      </w:r>
      <w:r w:rsidR="0032051F">
        <w:t xml:space="preserve"> with the Provider</w:t>
      </w:r>
    </w:p>
    <w:p w14:paraId="6EF28627" w14:textId="616D77EC" w:rsidR="00D74559" w:rsidRPr="00174303" w:rsidRDefault="00A00411" w:rsidP="004E120D">
      <w:pPr>
        <w:pStyle w:val="BulletLevel1"/>
      </w:pPr>
      <w:r>
        <w:t xml:space="preserve">is a Volunteer (Non-Mutual Obligation) receiving Pre-Employment Support or Post Placement Support </w:t>
      </w:r>
      <w:r w:rsidR="00E82A86">
        <w:t>who has been</w:t>
      </w:r>
      <w:r>
        <w:t xml:space="preserve"> Suspended f</w:t>
      </w:r>
      <w:r w:rsidR="00C43A27">
        <w:t>or</w:t>
      </w:r>
      <w:r w:rsidR="00C43A27" w:rsidRPr="00C43A27">
        <w:t xml:space="preserve"> </w:t>
      </w:r>
      <w:r w:rsidR="00C43A27">
        <w:t>a period 6 months or more, including through multiple consecutive Suspensions</w:t>
      </w:r>
      <w:r w:rsidR="00FB10CB">
        <w:t>, or</w:t>
      </w:r>
    </w:p>
    <w:p w14:paraId="6EE1F2ED" w14:textId="139FB59A" w:rsidR="00B321B2" w:rsidRDefault="00D74559" w:rsidP="004E120D">
      <w:pPr>
        <w:pStyle w:val="BulletLevel1"/>
      </w:pPr>
      <w:r>
        <w:t xml:space="preserve">is receiving Moderate Ongoing Support or High Ongoing Support </w:t>
      </w:r>
      <w:r w:rsidR="00E82A86">
        <w:t>who has been</w:t>
      </w:r>
      <w:r>
        <w:t xml:space="preserve"> Suspended for more than 12 months</w:t>
      </w:r>
      <w:r w:rsidR="00E82A86">
        <w:t>,</w:t>
      </w:r>
      <w:r>
        <w:t xml:space="preserve"> unless the Department has approved a longer exemption</w:t>
      </w:r>
      <w:r w:rsidR="63369E97">
        <w:t xml:space="preserve"> (</w:t>
      </w:r>
      <w:r w:rsidR="00B321B2">
        <w:t xml:space="preserve">refer to </w:t>
      </w:r>
      <w:r w:rsidR="00B321B2">
        <w:fldChar w:fldCharType="begin"/>
      </w:r>
      <w:r w:rsidR="00B321B2">
        <w:instrText xml:space="preserve"> REF _Ref202785347 \h </w:instrText>
      </w:r>
      <w:r w:rsidR="00B321B2">
        <w:fldChar w:fldCharType="separate"/>
      </w:r>
      <w:r w:rsidR="000D75AE">
        <w:t>10.8.1</w:t>
      </w:r>
      <w:r w:rsidR="0097189E">
        <w:t xml:space="preserve"> </w:t>
      </w:r>
      <w:r w:rsidR="000D75AE">
        <w:t>Suspending Ongoing Support</w:t>
      </w:r>
      <w:r w:rsidR="00B321B2">
        <w:fldChar w:fldCharType="end"/>
      </w:r>
      <w:r w:rsidR="00B321B2">
        <w:t xml:space="preserve"> for further information).</w:t>
      </w:r>
    </w:p>
    <w:p w14:paraId="7D9D061E" w14:textId="3D3AA3ED" w:rsidR="00163369" w:rsidRDefault="002A273B" w:rsidP="002A273B">
      <w:pPr>
        <w:pStyle w:val="DeedReferences"/>
      </w:pPr>
      <w:r>
        <w:t>(</w:t>
      </w:r>
      <w:r w:rsidR="00A73420">
        <w:t xml:space="preserve">Deed Reference(s): Clause </w:t>
      </w:r>
      <w:r w:rsidR="00C343CC">
        <w:t>154.8</w:t>
      </w:r>
      <w:r w:rsidR="003F7179">
        <w:t>, 154.9, 154.10, 154.11, 154.12</w:t>
      </w:r>
      <w:r w:rsidR="00816648">
        <w:t>, 154.13</w:t>
      </w:r>
      <w:r w:rsidR="00D16C7B">
        <w:t>, 154.14</w:t>
      </w:r>
      <w:r>
        <w:t>)</w:t>
      </w:r>
    </w:p>
    <w:p w14:paraId="122063CE" w14:textId="12CB5AE8" w:rsidR="00D74559" w:rsidRDefault="00D74559" w:rsidP="006E2EF5">
      <w:pPr>
        <w:rPr>
          <w:rFonts w:ascii="Tahoma" w:eastAsia="Tahoma" w:hAnsi="Tahoma" w:cs="Tahoma"/>
        </w:rPr>
      </w:pPr>
      <w:r w:rsidRPr="0E218120">
        <w:rPr>
          <w:rFonts w:eastAsiaTheme="minorEastAsia"/>
          <w:color w:val="000000" w:themeColor="text1"/>
        </w:rPr>
        <w:t xml:space="preserve">If a Participant advises their Provider they wish to Exit, the Provider should determine </w:t>
      </w:r>
      <w:r w:rsidR="00013EAC">
        <w:rPr>
          <w:rFonts w:eastAsiaTheme="minorEastAsia"/>
          <w:color w:val="000000" w:themeColor="text1"/>
        </w:rPr>
        <w:t>if</w:t>
      </w:r>
      <w:r w:rsidRPr="0E218120">
        <w:rPr>
          <w:rFonts w:eastAsiaTheme="minorEastAsia"/>
          <w:color w:val="000000" w:themeColor="text1"/>
        </w:rPr>
        <w:t xml:space="preserve"> the Participant is eligible for a Provider Exit </w:t>
      </w:r>
      <w:r w:rsidR="00523230">
        <w:rPr>
          <w:rFonts w:eastAsiaTheme="minorEastAsia"/>
          <w:color w:val="000000" w:themeColor="text1"/>
        </w:rPr>
        <w:t xml:space="preserve">(as described above) </w:t>
      </w:r>
      <w:r w:rsidRPr="0E218120">
        <w:rPr>
          <w:rFonts w:eastAsiaTheme="minorEastAsia"/>
          <w:color w:val="000000" w:themeColor="text1"/>
        </w:rPr>
        <w:t xml:space="preserve">and </w:t>
      </w:r>
      <w:r w:rsidR="00013EAC">
        <w:rPr>
          <w:rFonts w:eastAsiaTheme="minorEastAsia"/>
          <w:color w:val="000000" w:themeColor="text1"/>
        </w:rPr>
        <w:t>if</w:t>
      </w:r>
      <w:r w:rsidRPr="0E218120">
        <w:rPr>
          <w:rFonts w:eastAsiaTheme="minorEastAsia"/>
          <w:color w:val="000000" w:themeColor="text1"/>
        </w:rPr>
        <w:t xml:space="preserve"> the Participant is aware of the Services the Provider can offer.</w:t>
      </w:r>
    </w:p>
    <w:p w14:paraId="1AE1B70A" w14:textId="6F87FA30" w:rsidR="00A66CD4" w:rsidRDefault="00A66CD4" w:rsidP="00A66CD4">
      <w:pPr>
        <w:rPr>
          <w:rFonts w:eastAsiaTheme="minorEastAsia"/>
          <w:color w:val="000000" w:themeColor="text1"/>
        </w:rPr>
      </w:pPr>
      <w:r w:rsidRPr="00ED683F">
        <w:rPr>
          <w:rFonts w:eastAsiaTheme="minorEastAsia"/>
          <w:b/>
          <w:bCs/>
          <w:color w:val="000000" w:themeColor="text1"/>
        </w:rPr>
        <w:t>Note</w:t>
      </w:r>
      <w:r w:rsidRPr="7B18EECF">
        <w:rPr>
          <w:rFonts w:eastAsiaTheme="minorEastAsia"/>
          <w:color w:val="000000" w:themeColor="text1"/>
        </w:rPr>
        <w:t xml:space="preserve">: Providers must </w:t>
      </w:r>
      <w:r>
        <w:rPr>
          <w:rFonts w:eastAsiaTheme="minorEastAsia"/>
          <w:color w:val="000000" w:themeColor="text1"/>
        </w:rPr>
        <w:t>not</w:t>
      </w:r>
      <w:r w:rsidRPr="7B18EECF">
        <w:rPr>
          <w:rFonts w:eastAsiaTheme="minorEastAsia"/>
          <w:color w:val="000000" w:themeColor="text1"/>
        </w:rPr>
        <w:t xml:space="preserve"> perform an Exit when requested by a </w:t>
      </w:r>
      <w:r>
        <w:t>Volunteer (Mutual Obligations</w:t>
      </w:r>
      <w:r w:rsidRPr="00174303">
        <w:t>) who is volunteering while they have an Exemption to their participation requirements</w:t>
      </w:r>
      <w:r>
        <w:t>, unless that Participant is a Principal Carer Parent who has a long-term Exemption</w:t>
      </w:r>
      <w:r w:rsidRPr="7B18EECF">
        <w:rPr>
          <w:rFonts w:eastAsiaTheme="minorEastAsia"/>
          <w:color w:val="000000" w:themeColor="text1"/>
        </w:rPr>
        <w:t>.</w:t>
      </w:r>
    </w:p>
    <w:p w14:paraId="747F23D3" w14:textId="77777777" w:rsidR="00D74559" w:rsidRDefault="00D74559" w:rsidP="006E2EF5">
      <w:pPr>
        <w:rPr>
          <w:rFonts w:ascii="Tahoma" w:eastAsia="Tahoma" w:hAnsi="Tahoma" w:cs="Tahoma"/>
          <w:szCs w:val="22"/>
        </w:rPr>
      </w:pPr>
      <w:r w:rsidRPr="53BE8163">
        <w:rPr>
          <w:rFonts w:eastAsiaTheme="minorEastAsia"/>
          <w:color w:val="000000" w:themeColor="text1"/>
          <w:szCs w:val="22"/>
        </w:rPr>
        <w:t>The Provider must advise a Participant when they do not approve a request for an Exit and must continue to deliver Services.</w:t>
      </w:r>
    </w:p>
    <w:p w14:paraId="4C8E4D50" w14:textId="0019991C" w:rsidR="00D74559" w:rsidRPr="007D4FB6" w:rsidRDefault="00D74559" w:rsidP="006F727E">
      <w:pPr>
        <w:pStyle w:val="SystemStep"/>
      </w:pPr>
      <w:r>
        <w:t xml:space="preserve">Provider Exits and reason for Exit must be entered in the </w:t>
      </w:r>
      <w:r w:rsidRPr="00F17665">
        <w:t xml:space="preserve">Department’s IT </w:t>
      </w:r>
      <w:r>
        <w:t>System</w:t>
      </w:r>
      <w:r w:rsidR="3AD7B6F4">
        <w:t>s</w:t>
      </w:r>
      <w:r>
        <w:t>.</w:t>
      </w:r>
    </w:p>
    <w:p w14:paraId="28AD5AEE" w14:textId="49B20E2F" w:rsidR="007A4A78" w:rsidRPr="007D4FB6" w:rsidRDefault="005728ED" w:rsidP="007A4A78">
      <w:pPr>
        <w:pStyle w:val="DocumentaryEvidenceRequirement"/>
        <w:ind w:left="644"/>
      </w:pPr>
      <w:r>
        <w:t>Documentary E</w:t>
      </w:r>
      <w:r w:rsidRPr="005728ED">
        <w:t>vidence must be retained</w:t>
      </w:r>
      <w:r>
        <w:t xml:space="preserve"> </w:t>
      </w:r>
      <w:r w:rsidR="001971E2">
        <w:t xml:space="preserve">that </w:t>
      </w:r>
      <w:r w:rsidR="0012768D">
        <w:t>provides</w:t>
      </w:r>
      <w:r w:rsidR="001971E2">
        <w:t xml:space="preserve"> a</w:t>
      </w:r>
      <w:r w:rsidR="005F7CC0" w:rsidRPr="005F7CC0">
        <w:t xml:space="preserve"> concise record of any information provided by, or relating to, the Participant that influences the Provider's decision to Exit the Participant.</w:t>
      </w:r>
    </w:p>
    <w:p w14:paraId="41055D29" w14:textId="77777777" w:rsidR="00D74559" w:rsidRDefault="00D74559" w:rsidP="006D1645">
      <w:pPr>
        <w:pStyle w:val="Heading5"/>
      </w:pPr>
      <w:r>
        <w:t>Participants (Voluntary) who apply for Income Support Payments</w:t>
      </w:r>
    </w:p>
    <w:p w14:paraId="05D3B3A8" w14:textId="7DB2C923" w:rsidR="00D74559" w:rsidRDefault="00D74559" w:rsidP="006E2EF5">
      <w:r w:rsidRPr="0E218120">
        <w:t xml:space="preserve">A </w:t>
      </w:r>
      <w:r w:rsidR="00CA35C6">
        <w:t>Volunteer (Non-Mutual Obligations</w:t>
      </w:r>
      <w:r>
        <w:t>)</w:t>
      </w:r>
      <w:r w:rsidRPr="0E218120">
        <w:t xml:space="preserve"> who is Commenced may seek to apply for Income Support Payments. Providers must recommend the Participant contact Services Australia if they would like to apply for Income Support Payments. The Participant should also be encouraged to advise Services Australia that they </w:t>
      </w:r>
      <w:r w:rsidR="00CA35C6">
        <w:t xml:space="preserve">are </w:t>
      </w:r>
      <w:r w:rsidRPr="0E218120">
        <w:t xml:space="preserve">already </w:t>
      </w:r>
      <w:r w:rsidR="00CA35C6">
        <w:t>receiving Services through I</w:t>
      </w:r>
      <w:r w:rsidR="4829A1D2">
        <w:t>nclusive Employment Australia</w:t>
      </w:r>
      <w:r w:rsidRPr="0E218120">
        <w:t>, to ensure this is taken into to consideration when Services Australia make a potential Referral.</w:t>
      </w:r>
    </w:p>
    <w:p w14:paraId="259FEBA1" w14:textId="51237050" w:rsidR="00D74559" w:rsidRDefault="00FE0EDC" w:rsidP="006E2EF5">
      <w:r>
        <w:t>If a</w:t>
      </w:r>
      <w:r w:rsidR="00D74559">
        <w:t xml:space="preserve"> Participant’s application for Income Support Payment </w:t>
      </w:r>
      <w:r>
        <w:t>the</w:t>
      </w:r>
      <w:r w:rsidR="00D74559">
        <w:t xml:space="preserve"> successful, and the Participant has participation requirements because of their Income Support Payment, the Participant must be Exited.</w:t>
      </w:r>
    </w:p>
    <w:p w14:paraId="031F50CA" w14:textId="0EC42664" w:rsidR="00D74559" w:rsidRDefault="00D74559" w:rsidP="001D0F92">
      <w:pPr>
        <w:pStyle w:val="Heading4"/>
      </w:pPr>
      <w:bookmarkStart w:id="125" w:name="_Toc202899919"/>
      <w:r w:rsidRPr="362FEA09">
        <w:t>3.6.3</w:t>
      </w:r>
      <w:r w:rsidR="00EE4616">
        <w:tab/>
      </w:r>
      <w:r w:rsidRPr="362FEA09">
        <w:t>Departmental Exits</w:t>
      </w:r>
      <w:bookmarkEnd w:id="125"/>
      <w:r w:rsidRPr="362FEA09">
        <w:t xml:space="preserve"> </w:t>
      </w:r>
    </w:p>
    <w:p w14:paraId="636B0BEE" w14:textId="434D35C6" w:rsidR="00D74559" w:rsidRDefault="00D74559" w:rsidP="006E2EF5">
      <w:r w:rsidRPr="0E218120">
        <w:t xml:space="preserve">The Department can Exit a Participant from a Provider’s </w:t>
      </w:r>
      <w:r w:rsidR="00DE505A">
        <w:t>C</w:t>
      </w:r>
      <w:r>
        <w:t>aseload</w:t>
      </w:r>
      <w:r w:rsidRPr="0E218120">
        <w:t xml:space="preserve"> when required to do so. The Department will perform Departmental Exits </w:t>
      </w:r>
      <w:r w:rsidR="00013EAC">
        <w:t>when</w:t>
      </w:r>
      <w:r w:rsidRPr="0E218120">
        <w:t>:</w:t>
      </w:r>
    </w:p>
    <w:p w14:paraId="1CB58C4C" w14:textId="3D39C642" w:rsidR="00D74559" w:rsidRPr="00174303" w:rsidRDefault="00D74559" w:rsidP="004E120D">
      <w:pPr>
        <w:pStyle w:val="BulletLevel1"/>
      </w:pPr>
      <w:r w:rsidRPr="00174303">
        <w:t>the Department’s IT System</w:t>
      </w:r>
      <w:r w:rsidR="004F2DF1">
        <w:t>s</w:t>
      </w:r>
      <w:r w:rsidRPr="00174303">
        <w:t xml:space="preserve"> has not performed an Effective Exit of a Participant who has met Effective Exit conditions</w:t>
      </w:r>
    </w:p>
    <w:p w14:paraId="7BD3FA20" w14:textId="77777777" w:rsidR="00D74559" w:rsidRPr="00174303" w:rsidRDefault="00D74559" w:rsidP="004E120D">
      <w:pPr>
        <w:pStyle w:val="BulletLevel1"/>
      </w:pPr>
      <w:r w:rsidRPr="00174303">
        <w:t>a Provider has failed to perform a Provider Exit of a Participant who has met Provider Exit conditions, or</w:t>
      </w:r>
    </w:p>
    <w:p w14:paraId="0E2F9883" w14:textId="77777777" w:rsidR="00D74559" w:rsidRPr="00174303" w:rsidRDefault="00D74559" w:rsidP="004E120D">
      <w:pPr>
        <w:pStyle w:val="BulletLevel1"/>
      </w:pPr>
      <w:r w:rsidRPr="00174303">
        <w:t>the Department is required to Exit the Participant to comply with other requirements.</w:t>
      </w:r>
    </w:p>
    <w:p w14:paraId="52FA88DE" w14:textId="50FF481F" w:rsidR="00D74559" w:rsidRDefault="00D74559" w:rsidP="001D0F92">
      <w:pPr>
        <w:pStyle w:val="Heading4"/>
      </w:pPr>
      <w:bookmarkStart w:id="126" w:name="_Ref202780812"/>
      <w:bookmarkStart w:id="127" w:name="_Toc202899920"/>
      <w:r w:rsidRPr="362FEA09">
        <w:t>3.6.4</w:t>
      </w:r>
      <w:r w:rsidR="00EE4616">
        <w:tab/>
      </w:r>
      <w:r w:rsidRPr="362FEA09">
        <w:t>Participants resuming their Period of Service after Exit</w:t>
      </w:r>
      <w:bookmarkEnd w:id="126"/>
      <w:bookmarkEnd w:id="127"/>
    </w:p>
    <w:p w14:paraId="70619E16" w14:textId="4A1E5DC7" w:rsidR="00D74559" w:rsidRDefault="00941DF6" w:rsidP="004F2DF1">
      <w:pPr>
        <w:keepNext/>
      </w:pPr>
      <w:r>
        <w:t>An Exited</w:t>
      </w:r>
      <w:r w:rsidR="00D74559" w:rsidRPr="0E218120">
        <w:t xml:space="preserve"> Participant may be eligible to resume their previous Period of Service if they return within 13 weeks. Resuming their Period of Service means that the Participant:</w:t>
      </w:r>
    </w:p>
    <w:p w14:paraId="6BFAB258" w14:textId="77777777" w:rsidR="00D74559" w:rsidRPr="00174303" w:rsidRDefault="00D74559" w:rsidP="004E120D">
      <w:pPr>
        <w:pStyle w:val="BulletLevel1"/>
      </w:pPr>
      <w:r w:rsidRPr="00174303">
        <w:t>continues to receive Services from the date they return, and</w:t>
      </w:r>
    </w:p>
    <w:p w14:paraId="0B98B9A8" w14:textId="2DC12787" w:rsidR="00D74559" w:rsidRPr="00174303" w:rsidRDefault="00D74559" w:rsidP="004E120D">
      <w:pPr>
        <w:pStyle w:val="BulletLevel1"/>
      </w:pPr>
      <w:r w:rsidRPr="00174303">
        <w:t xml:space="preserve">does not need to meet </w:t>
      </w:r>
      <w:r w:rsidR="00DF633C">
        <w:t xml:space="preserve">the </w:t>
      </w:r>
      <w:r w:rsidR="00C74C33">
        <w:t>Inclusive Employment Australia</w:t>
      </w:r>
      <w:r w:rsidRPr="00174303">
        <w:t xml:space="preserve"> </w:t>
      </w:r>
      <w:r w:rsidR="00DF633C">
        <w:t xml:space="preserve">general </w:t>
      </w:r>
      <w:r w:rsidR="00901102">
        <w:t xml:space="preserve">or special </w:t>
      </w:r>
      <w:r w:rsidRPr="00174303">
        <w:t xml:space="preserve">eligibility </w:t>
      </w:r>
      <w:r w:rsidR="00DF633C">
        <w:t>criteria</w:t>
      </w:r>
      <w:r w:rsidRPr="00174303">
        <w:t>, as they are returning based on their eligibility at the time of their original Commencement.</w:t>
      </w:r>
    </w:p>
    <w:p w14:paraId="7D1713DB" w14:textId="2247F29C" w:rsidR="00D74559" w:rsidRDefault="00D74559" w:rsidP="006E2EF5">
      <w:pPr>
        <w:pStyle w:val="DeedReferences"/>
      </w:pPr>
      <w:r>
        <w:t>(</w:t>
      </w:r>
      <w:r w:rsidR="00A73420">
        <w:t xml:space="preserve">Deed Reference(s): Clause </w:t>
      </w:r>
      <w:r>
        <w:t>15</w:t>
      </w:r>
      <w:r w:rsidR="00BC276C">
        <w:t>4</w:t>
      </w:r>
      <w:r>
        <w:t>.4</w:t>
      </w:r>
      <w:r w:rsidR="00841DEE">
        <w:t xml:space="preserve"> – 154.6</w:t>
      </w:r>
      <w:r>
        <w:t>)</w:t>
      </w:r>
    </w:p>
    <w:p w14:paraId="4846C093" w14:textId="04F08B13" w:rsidR="00704DBE" w:rsidRDefault="00FF59AF" w:rsidP="00B725EB">
      <w:r>
        <w:t xml:space="preserve">Participants who are eligible to resume their previous Period of Service will </w:t>
      </w:r>
      <w:r w:rsidR="0001212C">
        <w:t xml:space="preserve">return to their previous Provider in the </w:t>
      </w:r>
      <w:r w:rsidR="002E09FB">
        <w:t xml:space="preserve">phase that they were undertaking when they Exited. </w:t>
      </w:r>
      <w:r w:rsidR="00E03637">
        <w:t xml:space="preserve">The Provider is responsible for determining </w:t>
      </w:r>
      <w:r w:rsidR="00013EAC">
        <w:t>if</w:t>
      </w:r>
      <w:r w:rsidR="00E03637">
        <w:t xml:space="preserve"> the Participant should be in a different phase based on their circumstances when they resume</w:t>
      </w:r>
      <w:r w:rsidR="00704DBE">
        <w:t>, and for making appropriate adjustments</w:t>
      </w:r>
      <w:r w:rsidR="004C4A67">
        <w:t xml:space="preserve"> in the Department’s IT Systems</w:t>
      </w:r>
      <w:r w:rsidR="00704DBE">
        <w:t>.</w:t>
      </w:r>
    </w:p>
    <w:p w14:paraId="19C2E8AA" w14:textId="63A5688C" w:rsidR="00B725EB" w:rsidRDefault="00B725EB" w:rsidP="00B725EB">
      <w:r>
        <w:t xml:space="preserve">Upon their return, </w:t>
      </w:r>
      <w:r w:rsidR="009C7DA2">
        <w:t xml:space="preserve">a </w:t>
      </w:r>
      <w:r w:rsidR="00A52607">
        <w:t>face-to-face Contact</w:t>
      </w:r>
      <w:r w:rsidR="009C7DA2">
        <w:t xml:space="preserve"> Appointment should be entered into the Participant’s Electronic Calendar</w:t>
      </w:r>
      <w:r w:rsidR="00A32E5F">
        <w:t xml:space="preserve"> as part of the Re-engagement process</w:t>
      </w:r>
      <w:r>
        <w:t>, during which the Provider will</w:t>
      </w:r>
      <w:r w:rsidR="007D6E85">
        <w:t xml:space="preserve"> either need to</w:t>
      </w:r>
      <w:r>
        <w:t xml:space="preserve"> </w:t>
      </w:r>
      <w:r w:rsidR="007D6E85">
        <w:t>create</w:t>
      </w:r>
      <w:r w:rsidR="007129AB">
        <w:t xml:space="preserve"> a new Job Plan</w:t>
      </w:r>
      <w:r w:rsidR="007D6E85">
        <w:t xml:space="preserve"> or update the previous approved Job Plan — depending on whether </w:t>
      </w:r>
      <w:r w:rsidR="009E1453">
        <w:t>or not</w:t>
      </w:r>
      <w:r w:rsidR="007D6E85">
        <w:t xml:space="preserve"> the previous </w:t>
      </w:r>
      <w:r w:rsidR="005E359A">
        <w:t>approved</w:t>
      </w:r>
      <w:r w:rsidR="007D6E85">
        <w:t xml:space="preserve"> Job Plan has been cancelled within the Department’s IT Systems</w:t>
      </w:r>
      <w:r>
        <w:t>.</w:t>
      </w:r>
      <w:r w:rsidR="00932226">
        <w:t xml:space="preserve"> </w:t>
      </w:r>
      <w:r w:rsidR="00811707">
        <w:t xml:space="preserve">Providers should also consider </w:t>
      </w:r>
      <w:r w:rsidR="00013EAC">
        <w:t>if</w:t>
      </w:r>
      <w:r w:rsidR="00811707">
        <w:t xml:space="preserve"> a Change of Circumstances ESAt or Change of Circumstances OSA would be required.</w:t>
      </w:r>
    </w:p>
    <w:p w14:paraId="56DC2A7D" w14:textId="7AF81A13" w:rsidR="00E45E54" w:rsidRDefault="00E45E54" w:rsidP="00B725EB">
      <w:r w:rsidRPr="005E359A">
        <w:rPr>
          <w:b/>
        </w:rPr>
        <w:t>Note:</w:t>
      </w:r>
      <w:r>
        <w:t xml:space="preserve"> If a </w:t>
      </w:r>
      <w:r w:rsidR="00635FE5">
        <w:t xml:space="preserve">Participant resumes their Period of Service after Exit but </w:t>
      </w:r>
      <w:r w:rsidR="0063284A">
        <w:t>transfers prior to Re</w:t>
      </w:r>
      <w:r w:rsidR="0063284A">
        <w:noBreakHyphen/>
        <w:t xml:space="preserve">engagement, the </w:t>
      </w:r>
      <w:r w:rsidR="00E055DB">
        <w:t xml:space="preserve">process </w:t>
      </w:r>
      <w:r w:rsidR="00644919">
        <w:t xml:space="preserve">for </w:t>
      </w:r>
      <w:r w:rsidR="00041C5D">
        <w:t xml:space="preserve">the Gaining Provider and Relinquishing Provider </w:t>
      </w:r>
      <w:r w:rsidR="002837B7">
        <w:t xml:space="preserve">is the same as it would be for </w:t>
      </w:r>
      <w:r w:rsidR="00644919">
        <w:t>any other Transferred Participant.</w:t>
      </w:r>
    </w:p>
    <w:p w14:paraId="7CF1EF28" w14:textId="69ECB3A6" w:rsidR="00D74559" w:rsidRPr="00BA23D8" w:rsidRDefault="00D74559" w:rsidP="000335E0">
      <w:pPr>
        <w:pStyle w:val="Heading2"/>
      </w:pPr>
      <w:bookmarkStart w:id="128" w:name="_Ref202784061"/>
      <w:bookmarkStart w:id="129" w:name="_Ref202784119"/>
      <w:bookmarkStart w:id="130" w:name="_Toc202899921"/>
      <w:r w:rsidRPr="00BA23D8">
        <w:t>Chapter 4</w:t>
      </w:r>
      <w:r w:rsidR="00A61FB9">
        <w:t>:</w:t>
      </w:r>
      <w:r w:rsidR="0076500B">
        <w:tab/>
      </w:r>
      <w:r w:rsidRPr="00BA23D8">
        <w:t>Job Plans</w:t>
      </w:r>
      <w:bookmarkEnd w:id="128"/>
      <w:bookmarkEnd w:id="129"/>
      <w:bookmarkEnd w:id="130"/>
    </w:p>
    <w:p w14:paraId="6870DF38" w14:textId="77777777" w:rsidR="00D74559" w:rsidRPr="003A03F7" w:rsidRDefault="00D74559" w:rsidP="001D0F92">
      <w:pPr>
        <w:pStyle w:val="Heading-SupportingDocuments"/>
        <w:rPr>
          <w:rStyle w:val="Emphasis"/>
          <w:b/>
          <w:bCs w:val="0"/>
          <w:iCs w:val="0"/>
          <w:spacing w:val="3"/>
        </w:rPr>
      </w:pPr>
      <w:r w:rsidRPr="003A03F7">
        <w:rPr>
          <w:rStyle w:val="Emphasis"/>
          <w:b/>
          <w:iCs w:val="0"/>
          <w:spacing w:val="3"/>
        </w:rPr>
        <w:t>Supporting Documents for this Chapter</w:t>
      </w:r>
    </w:p>
    <w:p w14:paraId="789DD0DF" w14:textId="29D3AD5A" w:rsidR="007235C0" w:rsidRDefault="007235C0" w:rsidP="00620350">
      <w:pPr>
        <w:pStyle w:val="Bullet-SupportingDocument"/>
        <w:rPr>
          <w:rStyle w:val="Hyperlink"/>
        </w:rPr>
      </w:pPr>
      <w:r w:rsidRPr="007235C0">
        <w:rPr>
          <w:rStyle w:val="Hyperlink"/>
        </w:rPr>
        <w:t>Creating, updating, or withdrawing a Job Pla</w:t>
      </w:r>
      <w:r>
        <w:rPr>
          <w:rStyle w:val="Hyperlink"/>
        </w:rPr>
        <w:t>n [LINK]</w:t>
      </w:r>
    </w:p>
    <w:p w14:paraId="721F02A8" w14:textId="19A839F1" w:rsidR="00D74559" w:rsidRPr="00B37217" w:rsidRDefault="00D74559" w:rsidP="00620350">
      <w:pPr>
        <w:pStyle w:val="Bullet-SupportingDocument"/>
        <w:rPr>
          <w:rStyle w:val="Hyperlink"/>
        </w:rPr>
      </w:pPr>
      <w:r w:rsidRPr="00B37217">
        <w:rPr>
          <w:rStyle w:val="Hyperlink"/>
        </w:rPr>
        <w:t>Changing Job Plan type workflow</w:t>
      </w:r>
      <w:r w:rsidR="00E662C8">
        <w:rPr>
          <w:rStyle w:val="Hyperlink"/>
        </w:rPr>
        <w:t xml:space="preserve"> [LINK]</w:t>
      </w:r>
    </w:p>
    <w:p w14:paraId="2AB5EBCE" w14:textId="03263FF8" w:rsidR="00D74559" w:rsidRPr="00B37217" w:rsidRDefault="00D74559" w:rsidP="00620350">
      <w:pPr>
        <w:pStyle w:val="Bullet-SupportingDocument"/>
        <w:rPr>
          <w:rStyle w:val="Hyperlink"/>
        </w:rPr>
      </w:pPr>
      <w:r w:rsidRPr="00B37217">
        <w:rPr>
          <w:rStyle w:val="Hyperlink"/>
        </w:rPr>
        <w:t>Meaningful Engagement Job Plan template for Participants (Mutual Obligation)</w:t>
      </w:r>
      <w:r w:rsidR="00E662C8">
        <w:rPr>
          <w:rStyle w:val="Hyperlink"/>
        </w:rPr>
        <w:t xml:space="preserve"> [LINK]</w:t>
      </w:r>
    </w:p>
    <w:p w14:paraId="20241295" w14:textId="2BF4E5C6" w:rsidR="00D74559" w:rsidRPr="00B37217" w:rsidRDefault="00D74559" w:rsidP="00620350">
      <w:pPr>
        <w:pStyle w:val="Bullet-SupportingDocument"/>
        <w:rPr>
          <w:rStyle w:val="Hyperlink"/>
        </w:rPr>
      </w:pPr>
      <w:r w:rsidRPr="00B37217">
        <w:rPr>
          <w:rStyle w:val="Hyperlink"/>
        </w:rPr>
        <w:t>Detailed Job Plan template for Participants (Mutual Obligation)</w:t>
      </w:r>
      <w:r w:rsidR="00E662C8">
        <w:rPr>
          <w:rStyle w:val="Hyperlink"/>
        </w:rPr>
        <w:t xml:space="preserve"> [LINK]</w:t>
      </w:r>
    </w:p>
    <w:p w14:paraId="22E9A251" w14:textId="105AAB09" w:rsidR="00D74559" w:rsidRPr="00B37217" w:rsidRDefault="00D74559" w:rsidP="00620350">
      <w:pPr>
        <w:pStyle w:val="Bullet-SupportingDocument"/>
        <w:rPr>
          <w:rStyle w:val="Hyperlink"/>
        </w:rPr>
      </w:pPr>
      <w:r w:rsidRPr="00B37217">
        <w:rPr>
          <w:rStyle w:val="Hyperlink"/>
        </w:rPr>
        <w:t>Meaningful Engagement Job Plan template for DSP Recipient</w:t>
      </w:r>
      <w:r w:rsidR="0043323C">
        <w:rPr>
          <w:rStyle w:val="Hyperlink"/>
        </w:rPr>
        <w:t>s</w:t>
      </w:r>
      <w:r w:rsidRPr="00B37217">
        <w:rPr>
          <w:rStyle w:val="Hyperlink"/>
        </w:rPr>
        <w:t xml:space="preserve"> (Compulsory Requirement)</w:t>
      </w:r>
      <w:r w:rsidR="00E662C8">
        <w:rPr>
          <w:rStyle w:val="Hyperlink"/>
        </w:rPr>
        <w:t xml:space="preserve"> [LINK]</w:t>
      </w:r>
    </w:p>
    <w:p w14:paraId="2D274A3F" w14:textId="09775F68" w:rsidR="00C23454" w:rsidRDefault="00C23454" w:rsidP="00620350">
      <w:pPr>
        <w:pStyle w:val="Bullet-SupportingDocument"/>
        <w:rPr>
          <w:rStyle w:val="Hyperlink"/>
        </w:rPr>
      </w:pPr>
      <w:r>
        <w:rPr>
          <w:rStyle w:val="Hyperlink"/>
        </w:rPr>
        <w:t xml:space="preserve">Detailed Job Plan template </w:t>
      </w:r>
      <w:r w:rsidRPr="00B37217">
        <w:rPr>
          <w:rStyle w:val="Hyperlink"/>
        </w:rPr>
        <w:t>for DSP Recipient</w:t>
      </w:r>
      <w:r>
        <w:rPr>
          <w:rStyle w:val="Hyperlink"/>
        </w:rPr>
        <w:t>s</w:t>
      </w:r>
      <w:r w:rsidRPr="00B37217">
        <w:rPr>
          <w:rStyle w:val="Hyperlink"/>
        </w:rPr>
        <w:t xml:space="preserve"> (Compulsory Requirement)</w:t>
      </w:r>
      <w:r w:rsidR="00E662C8">
        <w:rPr>
          <w:rStyle w:val="Hyperlink"/>
        </w:rPr>
        <w:t xml:space="preserve"> [LINK]</w:t>
      </w:r>
    </w:p>
    <w:p w14:paraId="7804BC23" w14:textId="2248F05D" w:rsidR="00D74559" w:rsidRDefault="00D74559" w:rsidP="00620350">
      <w:pPr>
        <w:pStyle w:val="Bullet-SupportingDocument"/>
        <w:rPr>
          <w:rStyle w:val="Hyperlink"/>
        </w:rPr>
      </w:pPr>
      <w:r w:rsidRPr="00B37217">
        <w:rPr>
          <w:rStyle w:val="Hyperlink"/>
        </w:rPr>
        <w:t>Meaningful Engagement Job Plan template for Participants (Voluntary)</w:t>
      </w:r>
      <w:r w:rsidR="00E662C8">
        <w:rPr>
          <w:rStyle w:val="Hyperlink"/>
        </w:rPr>
        <w:t xml:space="preserve"> [LINK]</w:t>
      </w:r>
    </w:p>
    <w:p w14:paraId="2E9E4B17" w14:textId="744EA220" w:rsidR="00016039" w:rsidRPr="00B37217" w:rsidRDefault="00016039" w:rsidP="00620350">
      <w:pPr>
        <w:pStyle w:val="Bullet-SupportingDocument"/>
        <w:rPr>
          <w:rStyle w:val="Hyperlink"/>
        </w:rPr>
      </w:pPr>
      <w:r>
        <w:rPr>
          <w:rStyle w:val="Hyperlink"/>
        </w:rPr>
        <w:t xml:space="preserve">Verbal script for Job Plan agreement online </w:t>
      </w:r>
      <w:r w:rsidR="00922C7B">
        <w:rPr>
          <w:rStyle w:val="Hyperlink"/>
        </w:rPr>
        <w:t xml:space="preserve">by </w:t>
      </w:r>
      <w:r w:rsidR="00922C7B" w:rsidRPr="00B37217">
        <w:rPr>
          <w:rStyle w:val="Hyperlink"/>
        </w:rPr>
        <w:t>Participants (Mutual Obligation)</w:t>
      </w:r>
      <w:r w:rsidR="00922C7B">
        <w:rPr>
          <w:rStyle w:val="Hyperlink"/>
        </w:rPr>
        <w:t xml:space="preserve"> and </w:t>
      </w:r>
      <w:r w:rsidR="00922C7B" w:rsidRPr="00B37217">
        <w:rPr>
          <w:rStyle w:val="Hyperlink"/>
        </w:rPr>
        <w:t>DSP Recipient</w:t>
      </w:r>
      <w:r w:rsidR="00922C7B">
        <w:rPr>
          <w:rStyle w:val="Hyperlink"/>
        </w:rPr>
        <w:t>s</w:t>
      </w:r>
      <w:r w:rsidR="00922C7B" w:rsidRPr="00B37217">
        <w:rPr>
          <w:rStyle w:val="Hyperlink"/>
        </w:rPr>
        <w:t xml:space="preserve"> (Compulsory Requirement)</w:t>
      </w:r>
      <w:r w:rsidR="00E662C8">
        <w:rPr>
          <w:rStyle w:val="Hyperlink"/>
        </w:rPr>
        <w:t xml:space="preserve"> [LINK]</w:t>
      </w:r>
    </w:p>
    <w:p w14:paraId="68B28C30" w14:textId="28FDAFAE" w:rsidR="00D74559" w:rsidRPr="00B37217" w:rsidRDefault="000A208C" w:rsidP="00620350">
      <w:pPr>
        <w:pStyle w:val="Bullet-SupportingDocument"/>
        <w:rPr>
          <w:rStyle w:val="Hyperlink"/>
        </w:rPr>
      </w:pPr>
      <w:r>
        <w:rPr>
          <w:rStyle w:val="Hyperlink"/>
        </w:rPr>
        <w:t>Job Plan codes and requirements, by Phase</w:t>
      </w:r>
      <w:r w:rsidR="0033062A">
        <w:rPr>
          <w:rStyle w:val="Hyperlink"/>
        </w:rPr>
        <w:t xml:space="preserve"> and</w:t>
      </w:r>
      <w:r w:rsidR="00D74559" w:rsidRPr="00B37217">
        <w:rPr>
          <w:rStyle w:val="Hyperlink"/>
        </w:rPr>
        <w:t xml:space="preserve"> Participant Type</w:t>
      </w:r>
      <w:r w:rsidR="00E662C8">
        <w:rPr>
          <w:rStyle w:val="Hyperlink"/>
        </w:rPr>
        <w:t xml:space="preserve"> [LINK]</w:t>
      </w:r>
    </w:p>
    <w:p w14:paraId="19F3DDA4" w14:textId="206C756D" w:rsidR="00D74559" w:rsidRPr="00815435" w:rsidRDefault="00D74559" w:rsidP="001D0F92">
      <w:pPr>
        <w:pStyle w:val="Heading3"/>
      </w:pPr>
      <w:bookmarkStart w:id="131" w:name="_Toc202899922"/>
      <w:r>
        <w:t>4.1</w:t>
      </w:r>
      <w:r w:rsidR="00CD1148">
        <w:tab/>
      </w:r>
      <w:r>
        <w:t>Chapter Overview</w:t>
      </w:r>
      <w:bookmarkEnd w:id="131"/>
    </w:p>
    <w:p w14:paraId="3B8A92D4" w14:textId="526BB07B" w:rsidR="00D74559" w:rsidRDefault="00D74559" w:rsidP="006E2EF5">
      <w:r w:rsidRPr="00496A94">
        <w:t>All Participants receiving Services are required to have a Job Plan</w:t>
      </w:r>
      <w:r>
        <w:t xml:space="preserve">. </w:t>
      </w:r>
      <w:r w:rsidR="00950027">
        <w:t>The Participant will start with a</w:t>
      </w:r>
      <w:r w:rsidR="00950027" w:rsidRPr="00747412">
        <w:t xml:space="preserve"> </w:t>
      </w:r>
      <w:r w:rsidR="00950027">
        <w:t>Meaningful Engagement Job Plan. Each</w:t>
      </w:r>
      <w:r>
        <w:t xml:space="preserve"> Participant’s </w:t>
      </w:r>
      <w:r w:rsidRPr="00DA0F08">
        <w:t>Job Plan</w:t>
      </w:r>
      <w:r>
        <w:t xml:space="preserve"> must </w:t>
      </w:r>
      <w:r w:rsidR="00950027">
        <w:t xml:space="preserve">always </w:t>
      </w:r>
      <w:r>
        <w:t>be up to date and include requirements that are</w:t>
      </w:r>
      <w:r w:rsidRPr="00DA0F08">
        <w:t xml:space="preserve"> achievable and appropriate for the person’s </w:t>
      </w:r>
      <w:r w:rsidR="00367B51">
        <w:t xml:space="preserve">unique </w:t>
      </w:r>
      <w:r>
        <w:t xml:space="preserve">needs and </w:t>
      </w:r>
      <w:r w:rsidRPr="00DA0F08">
        <w:t>circumstances</w:t>
      </w:r>
      <w:r>
        <w:t>.</w:t>
      </w:r>
    </w:p>
    <w:p w14:paraId="4E2F95F9" w14:textId="16852323" w:rsidR="00D74559" w:rsidRDefault="00D74559" w:rsidP="006E2EF5">
      <w:r w:rsidRPr="00D16B83">
        <w:t>This</w:t>
      </w:r>
      <w:r>
        <w:t xml:space="preserve"> Chapter explains requirements relating to Job Plans, including:</w:t>
      </w:r>
    </w:p>
    <w:p w14:paraId="1DFE9361" w14:textId="616F30D9" w:rsidR="00D74559" w:rsidRDefault="00D74559" w:rsidP="004E120D">
      <w:pPr>
        <w:pStyle w:val="BulletLevel1"/>
      </w:pPr>
      <w:r>
        <w:t>the Meaningful Engagement Job Plan, and</w:t>
      </w:r>
    </w:p>
    <w:p w14:paraId="4A68ACC8" w14:textId="4E4E939A" w:rsidR="00D74559" w:rsidRDefault="00D74559" w:rsidP="004E120D">
      <w:pPr>
        <w:pStyle w:val="BulletLevel1"/>
      </w:pPr>
      <w:r w:rsidRPr="2190AEAE">
        <w:t xml:space="preserve">the </w:t>
      </w:r>
      <w:r>
        <w:t>Detailed Job Plan</w:t>
      </w:r>
      <w:r w:rsidRPr="2190AEAE">
        <w:t>.</w:t>
      </w:r>
    </w:p>
    <w:p w14:paraId="2CB94581" w14:textId="77777777" w:rsidR="00D74559" w:rsidRDefault="00D74559" w:rsidP="006E2EF5">
      <w:r>
        <w:t xml:space="preserve">Provider staff have been delegated authority under Social Security Law to: </w:t>
      </w:r>
    </w:p>
    <w:p w14:paraId="5AAC3F54" w14:textId="77777777" w:rsidR="00D74559" w:rsidRDefault="00D74559" w:rsidP="004E120D">
      <w:pPr>
        <w:pStyle w:val="BulletLevel1"/>
      </w:pPr>
      <w:r>
        <w:t>require a Participant (Mutual Obligation) or DSP Recipient (Compulsory Requirements) to agree to a Job Plan</w:t>
      </w:r>
    </w:p>
    <w:p w14:paraId="1D064EB6" w14:textId="34AB1742" w:rsidR="00D74559" w:rsidRDefault="00D74559" w:rsidP="004E120D">
      <w:pPr>
        <w:pStyle w:val="BulletLevel1"/>
      </w:pPr>
      <w:r>
        <w:t xml:space="preserve">approve a Job Plan on behalf of the Participant (with </w:t>
      </w:r>
      <w:r w:rsidR="001779B0">
        <w:t xml:space="preserve">the </w:t>
      </w:r>
      <w:r>
        <w:t>Participant</w:t>
      </w:r>
      <w:r w:rsidR="001779B0">
        <w:t>’s</w:t>
      </w:r>
      <w:r>
        <w:t xml:space="preserve"> agreement</w:t>
      </w:r>
      <w:r w:rsidR="005A0DC0">
        <w:t xml:space="preserve"> via signed hard</w:t>
      </w:r>
      <w:r w:rsidR="00115DE7">
        <w:t xml:space="preserve"> </w:t>
      </w:r>
      <w:r w:rsidR="005A0DC0">
        <w:t>copy or verbally</w:t>
      </w:r>
      <w:r>
        <w:t>), and</w:t>
      </w:r>
    </w:p>
    <w:p w14:paraId="160663C0" w14:textId="58EDE730" w:rsidR="00D74559" w:rsidRDefault="00D74559" w:rsidP="004E120D">
      <w:pPr>
        <w:pStyle w:val="BulletLevel1"/>
      </w:pPr>
      <w:r>
        <w:t>vary the terms of a Job Plan</w:t>
      </w:r>
      <w:r w:rsidR="00E84045">
        <w:t xml:space="preserve"> —</w:t>
      </w:r>
      <w:r w:rsidR="00950027">
        <w:t xml:space="preserve"> </w:t>
      </w:r>
      <w:r w:rsidR="00D44CCD">
        <w:t>T</w:t>
      </w:r>
      <w:r w:rsidR="00950027">
        <w:t xml:space="preserve">his </w:t>
      </w:r>
      <w:r w:rsidR="00B11EE4">
        <w:t xml:space="preserve">includes requiring a </w:t>
      </w:r>
      <w:r w:rsidR="008301B3">
        <w:t>Participant</w:t>
      </w:r>
      <w:r w:rsidR="00B11EE4">
        <w:t xml:space="preserve"> to agree to </w:t>
      </w:r>
      <w:r w:rsidR="00E85F59">
        <w:t>compulsory requirements in the Detailed Job Plan</w:t>
      </w:r>
      <w:r w:rsidR="00950027">
        <w:t xml:space="preserve"> </w:t>
      </w:r>
      <w:r w:rsidR="0012129E">
        <w:t>when required</w:t>
      </w:r>
      <w:r>
        <w:t>.</w:t>
      </w:r>
    </w:p>
    <w:p w14:paraId="74079086" w14:textId="34B0CC12" w:rsidR="00C51574" w:rsidRDefault="00D74559" w:rsidP="006E2EF5">
      <w:r w:rsidRPr="00B321B2">
        <w:t>This Chapter should be read in conjunction with</w:t>
      </w:r>
      <w:r w:rsidR="00B321B2" w:rsidRPr="00B321B2">
        <w:t xml:space="preserve"> </w:t>
      </w:r>
      <w:r w:rsidR="00B321B2" w:rsidRPr="00B321B2">
        <w:fldChar w:fldCharType="begin"/>
      </w:r>
      <w:r w:rsidR="00B321B2" w:rsidRPr="00B321B2">
        <w:instrText xml:space="preserve"> REF _Ref202785393 \h </w:instrText>
      </w:r>
      <w:r w:rsidR="00B321B2">
        <w:instrText xml:space="preserve"> \* MERGEFORMAT </w:instrText>
      </w:r>
      <w:r w:rsidR="00B321B2" w:rsidRPr="00B321B2">
        <w:fldChar w:fldCharType="separate"/>
      </w:r>
      <w:r w:rsidR="000D75AE" w:rsidRPr="00BA23D8">
        <w:t>Chapter 5</w:t>
      </w:r>
      <w:r w:rsidR="000D75AE">
        <w:t>:</w:t>
      </w:r>
      <w:r w:rsidR="000D75AE" w:rsidRPr="00BA23D8">
        <w:t>Participation requirements</w:t>
      </w:r>
      <w:r w:rsidR="00B321B2" w:rsidRPr="00B321B2">
        <w:fldChar w:fldCharType="end"/>
      </w:r>
      <w:r w:rsidR="00B321B2" w:rsidRPr="00B321B2">
        <w:t xml:space="preserve"> and </w:t>
      </w:r>
      <w:r w:rsidR="00B321B2" w:rsidRPr="00B321B2">
        <w:fldChar w:fldCharType="begin"/>
      </w:r>
      <w:r w:rsidR="00B321B2" w:rsidRPr="00B321B2">
        <w:instrText xml:space="preserve"> REF _Ref202785398 \h </w:instrText>
      </w:r>
      <w:r w:rsidR="00B321B2">
        <w:instrText xml:space="preserve"> \* MERGEFORMAT </w:instrText>
      </w:r>
      <w:r w:rsidR="00B321B2" w:rsidRPr="00B321B2">
        <w:fldChar w:fldCharType="separate"/>
      </w:r>
      <w:r w:rsidR="000D75AE">
        <w:t>Chapter 12:Compliance</w:t>
      </w:r>
      <w:r w:rsidR="00B321B2" w:rsidRPr="00B321B2">
        <w:fldChar w:fldCharType="end"/>
      </w:r>
      <w:r w:rsidRPr="00B321B2">
        <w:t>.</w:t>
      </w:r>
      <w:r w:rsidR="00C51574">
        <w:t xml:space="preserve"> </w:t>
      </w:r>
    </w:p>
    <w:p w14:paraId="03F187CF" w14:textId="0D6589A1" w:rsidR="00D74559" w:rsidRPr="00815435" w:rsidRDefault="00D74559" w:rsidP="001D0F92">
      <w:pPr>
        <w:pStyle w:val="Heading3"/>
        <w:rPr>
          <w:rStyle w:val="Heading2Char1"/>
          <w:i w:val="0"/>
        </w:rPr>
      </w:pPr>
      <w:bookmarkStart w:id="132" w:name="_Toc182576270"/>
      <w:bookmarkStart w:id="133" w:name="Job_Plans"/>
      <w:bookmarkStart w:id="134" w:name="_Toc202899923"/>
      <w:r>
        <w:t>4.2</w:t>
      </w:r>
      <w:r w:rsidR="00CD1148">
        <w:tab/>
      </w:r>
      <w:r>
        <w:t>What is a Job Plan</w:t>
      </w:r>
      <w:bookmarkEnd w:id="132"/>
      <w:bookmarkEnd w:id="133"/>
      <w:r>
        <w:t>?</w:t>
      </w:r>
      <w:bookmarkEnd w:id="134"/>
    </w:p>
    <w:p w14:paraId="63F3D01C" w14:textId="72B70448" w:rsidR="00D74559" w:rsidRDefault="00D74559" w:rsidP="004146BB">
      <w:pPr>
        <w:spacing w:after="120"/>
      </w:pPr>
      <w:r>
        <w:t xml:space="preserve">The Job Plan outlines what a Participant (Mutual Obligation) and DSP Recipient (Compulsory Requirements) </w:t>
      </w:r>
      <w:r w:rsidRPr="00F54A34">
        <w:t>must</w:t>
      </w:r>
      <w:r>
        <w:t xml:space="preserve"> do in return for receiving their </w:t>
      </w:r>
      <w:r w:rsidR="00F54A34">
        <w:t>payment</w:t>
      </w:r>
      <w:r>
        <w:t xml:space="preserve"> from Services Australia. </w:t>
      </w:r>
    </w:p>
    <w:p w14:paraId="749728CB" w14:textId="0B521A7A" w:rsidR="00BE5414" w:rsidRDefault="00BE5414" w:rsidP="004146BB">
      <w:pPr>
        <w:spacing w:after="120"/>
      </w:pPr>
      <w:r>
        <w:t>For Participants (Voluntary)</w:t>
      </w:r>
      <w:r w:rsidR="009B3A1F">
        <w:t>,</w:t>
      </w:r>
      <w:r>
        <w:t xml:space="preserve"> the Job Plan sets out what the Participant </w:t>
      </w:r>
      <w:r w:rsidR="00141FC2">
        <w:t>agree</w:t>
      </w:r>
      <w:r>
        <w:t xml:space="preserve"> to do continue to receive Services from the Provider.</w:t>
      </w:r>
    </w:p>
    <w:p w14:paraId="03AB00DB" w14:textId="77777777" w:rsidR="0051695D" w:rsidRDefault="0051695D" w:rsidP="0051695D">
      <w:r>
        <w:t>Inclusive Employment Australia has two Job Plan types:</w:t>
      </w:r>
    </w:p>
    <w:p w14:paraId="524C8B54" w14:textId="77777777" w:rsidR="0051695D" w:rsidRDefault="0051695D" w:rsidP="0051695D">
      <w:pPr>
        <w:pStyle w:val="BulletLevel1"/>
      </w:pPr>
      <w:r>
        <w:t>Meaningful Engagement Job Plan, and</w:t>
      </w:r>
    </w:p>
    <w:p w14:paraId="5D89F114" w14:textId="77777777" w:rsidR="0051695D" w:rsidRDefault="0051695D" w:rsidP="0051695D">
      <w:pPr>
        <w:pStyle w:val="BulletLevel1"/>
      </w:pPr>
      <w:r>
        <w:t>Detailed Job Plan.</w:t>
      </w:r>
    </w:p>
    <w:p w14:paraId="0FF264C2" w14:textId="77777777" w:rsidR="0051695D" w:rsidRDefault="0051695D" w:rsidP="0051695D">
      <w:r>
        <w:t>There are different templates for the Meaningful Engagement Job Plan and Detailed Job Plan for the following Participants:</w:t>
      </w:r>
    </w:p>
    <w:p w14:paraId="61102DCE" w14:textId="77777777" w:rsidR="0051695D" w:rsidRDefault="0051695D" w:rsidP="0051695D">
      <w:pPr>
        <w:pStyle w:val="BulletLevel1"/>
      </w:pPr>
      <w:r>
        <w:t>Participant (Mutual Obligation)</w:t>
      </w:r>
    </w:p>
    <w:p w14:paraId="44BA350B" w14:textId="77777777" w:rsidR="0051695D" w:rsidRDefault="0051695D" w:rsidP="0051695D">
      <w:pPr>
        <w:pStyle w:val="BulletLevel1"/>
      </w:pPr>
      <w:r>
        <w:t>DSP Recipient (Compulsory Requirement) or</w:t>
      </w:r>
    </w:p>
    <w:p w14:paraId="3691AE7B" w14:textId="77777777" w:rsidR="0051695D" w:rsidRDefault="0051695D" w:rsidP="0051695D">
      <w:pPr>
        <w:pStyle w:val="BulletLevel1"/>
      </w:pPr>
      <w:r>
        <w:t>a Participant (Voluntary) – Meaningful Engagement Job Plan only.</w:t>
      </w:r>
    </w:p>
    <w:p w14:paraId="0DDF631A" w14:textId="77777777" w:rsidR="0051695D" w:rsidRDefault="0051695D" w:rsidP="0051695D">
      <w:r>
        <w:t>The Department’s IT Systems will automatically create the correct template when exporting the Job Plan as a PDF.</w:t>
      </w:r>
    </w:p>
    <w:p w14:paraId="34915C81" w14:textId="2753DB49" w:rsidR="00907A9C" w:rsidRDefault="00907A9C" w:rsidP="00907A9C">
      <w:pPr>
        <w:pStyle w:val="Heading4"/>
      </w:pPr>
      <w:bookmarkStart w:id="135" w:name="_Toc202899924"/>
      <w:r>
        <w:t>4.2.1</w:t>
      </w:r>
      <w:r w:rsidR="00785ACB">
        <w:tab/>
      </w:r>
      <w:r>
        <w:t>Job Plans for Participants (Mutual Obligation)</w:t>
      </w:r>
      <w:bookmarkEnd w:id="135"/>
    </w:p>
    <w:p w14:paraId="51F34DC7" w14:textId="7D918EFA" w:rsidR="00D74559" w:rsidRDefault="00D74559" w:rsidP="006B05B7">
      <w:r>
        <w:t>For Participants</w:t>
      </w:r>
      <w:r w:rsidRPr="2190AEAE">
        <w:t xml:space="preserve"> (Mutual Obligation</w:t>
      </w:r>
      <w:r>
        <w:t xml:space="preserve">), the </w:t>
      </w:r>
      <w:r w:rsidRPr="2190AEAE">
        <w:t>Job Plan</w:t>
      </w:r>
      <w:r>
        <w:t xml:space="preserve"> becomes the</w:t>
      </w:r>
      <w:r w:rsidRPr="2190AEAE">
        <w:t xml:space="preserve"> </w:t>
      </w:r>
      <w:r>
        <w:t>‘e</w:t>
      </w:r>
      <w:r w:rsidRPr="2190AEAE">
        <w:t xml:space="preserve">mployment </w:t>
      </w:r>
      <w:r>
        <w:t>p</w:t>
      </w:r>
      <w:r w:rsidRPr="2190AEAE">
        <w:t xml:space="preserve">athway </w:t>
      </w:r>
      <w:r>
        <w:t>p</w:t>
      </w:r>
      <w:r w:rsidRPr="2190AEAE">
        <w:t>lan</w:t>
      </w:r>
      <w:r>
        <w:t xml:space="preserve">’ </w:t>
      </w:r>
      <w:r w:rsidR="00863849">
        <w:t>they must have under</w:t>
      </w:r>
      <w:r>
        <w:t xml:space="preserve"> </w:t>
      </w:r>
      <w:r w:rsidRPr="2190AEAE">
        <w:t>Social Security Law.</w:t>
      </w:r>
      <w:r>
        <w:t xml:space="preserve"> Participants (Mutual Obligations) are required to comply with </w:t>
      </w:r>
      <w:r w:rsidR="00863849">
        <w:t>any</w:t>
      </w:r>
      <w:r w:rsidR="003D2D2E">
        <w:t xml:space="preserve"> compulsory </w:t>
      </w:r>
      <w:r w:rsidR="00863849">
        <w:t>requirements</w:t>
      </w:r>
      <w:r w:rsidR="003D2D2E">
        <w:t xml:space="preserve"> in </w:t>
      </w:r>
      <w:r>
        <w:t>their Job Plan.</w:t>
      </w:r>
      <w:r w:rsidRPr="2190AEAE">
        <w:t xml:space="preserve"> </w:t>
      </w:r>
      <w:r w:rsidR="003B2C8F">
        <w:t xml:space="preserve">Participants (Mutual Obligations) must enter into a Job Plan. </w:t>
      </w:r>
      <w:r w:rsidRPr="2190AEAE">
        <w:t xml:space="preserve">Failure to </w:t>
      </w:r>
      <w:bookmarkStart w:id="136" w:name="_Int_hyQnpSKu"/>
      <w:r w:rsidRPr="2190AEAE">
        <w:t>enter into</w:t>
      </w:r>
      <w:bookmarkEnd w:id="136"/>
      <w:r w:rsidRPr="2190AEAE">
        <w:t xml:space="preserve"> the Job Plan</w:t>
      </w:r>
      <w:r w:rsidR="003D2D2E">
        <w:t xml:space="preserve"> when requested</w:t>
      </w:r>
      <w:r w:rsidRPr="2190AEAE">
        <w:t xml:space="preserve"> is </w:t>
      </w:r>
      <w:r w:rsidR="00E62145">
        <w:t xml:space="preserve">considered </w:t>
      </w:r>
      <w:r w:rsidRPr="2190AEAE">
        <w:t>a Mutual Obligation Failure. Details relating to Mutual Obligation Failures</w:t>
      </w:r>
      <w:r>
        <w:t>, including failure to agree to a Job Plan,</w:t>
      </w:r>
      <w:r w:rsidRPr="2190AEAE">
        <w:t xml:space="preserve"> </w:t>
      </w:r>
      <w:r>
        <w:t>are</w:t>
      </w:r>
      <w:r w:rsidRPr="2190AEAE">
        <w:t xml:space="preserve"> included in </w:t>
      </w:r>
      <w:r w:rsidR="00F43852">
        <w:rPr>
          <w:highlight w:val="yellow"/>
        </w:rPr>
        <w:fldChar w:fldCharType="begin"/>
      </w:r>
      <w:r w:rsidR="00F43852">
        <w:instrText xml:space="preserve"> REF _Ref202784488 \h </w:instrText>
      </w:r>
      <w:r w:rsidR="006B05B7">
        <w:rPr>
          <w:highlight w:val="yellow"/>
        </w:rPr>
        <w:instrText xml:space="preserve"> \* MERGEFORMAT </w:instrText>
      </w:r>
      <w:r w:rsidR="00F43852">
        <w:rPr>
          <w:highlight w:val="yellow"/>
        </w:rPr>
      </w:r>
      <w:r w:rsidR="00F43852">
        <w:rPr>
          <w:highlight w:val="yellow"/>
        </w:rPr>
        <w:fldChar w:fldCharType="separate"/>
      </w:r>
      <w:r w:rsidR="000D75AE">
        <w:t>12.4Compliance actions - Mutual Obligation Failures</w:t>
      </w:r>
      <w:r w:rsidR="00F43852">
        <w:rPr>
          <w:highlight w:val="yellow"/>
        </w:rPr>
        <w:fldChar w:fldCharType="end"/>
      </w:r>
      <w:r w:rsidRPr="2190AEAE">
        <w:t>.</w:t>
      </w:r>
    </w:p>
    <w:p w14:paraId="2AB1B2DA" w14:textId="285DDA50" w:rsidR="00907A9C" w:rsidRDefault="00907A9C" w:rsidP="00907A9C">
      <w:pPr>
        <w:pStyle w:val="Heading4"/>
      </w:pPr>
      <w:bookmarkStart w:id="137" w:name="_Toc202899925"/>
      <w:r>
        <w:t>4.2.2</w:t>
      </w:r>
      <w:r w:rsidR="00785ACB">
        <w:tab/>
      </w:r>
      <w:r>
        <w:t>Job Plans for DSP Recipients (Compulsory Requirement)</w:t>
      </w:r>
      <w:bookmarkEnd w:id="137"/>
    </w:p>
    <w:p w14:paraId="7DFBBED4" w14:textId="3EFF7E7D" w:rsidR="00D74559" w:rsidRDefault="00D74559" w:rsidP="006E2EF5">
      <w:r w:rsidRPr="006B05B7">
        <w:t xml:space="preserve">For DSP Recipients (Compulsory Requirement), the Job Plan supports the </w:t>
      </w:r>
      <w:r w:rsidR="00556839" w:rsidRPr="006B05B7">
        <w:t>‘p</w:t>
      </w:r>
      <w:r w:rsidRPr="006B05B7">
        <w:t xml:space="preserve">articipation </w:t>
      </w:r>
      <w:r w:rsidR="00556839" w:rsidRPr="006B05B7">
        <w:t>p</w:t>
      </w:r>
      <w:r w:rsidRPr="006B05B7">
        <w:t>lan</w:t>
      </w:r>
      <w:r w:rsidR="00556839" w:rsidRPr="006B05B7">
        <w:t>’ they have</w:t>
      </w:r>
      <w:r w:rsidRPr="006B05B7">
        <w:t xml:space="preserve"> with Services Australia</w:t>
      </w:r>
      <w:r w:rsidR="00556839" w:rsidRPr="006B05B7">
        <w:t xml:space="preserve"> and </w:t>
      </w:r>
      <w:r w:rsidR="006979C3" w:rsidRPr="006B05B7">
        <w:t xml:space="preserve">can also be accepted as a </w:t>
      </w:r>
      <w:r w:rsidR="00A57871" w:rsidRPr="006B05B7">
        <w:t>‘p</w:t>
      </w:r>
      <w:r w:rsidR="006979C3" w:rsidRPr="006B05B7">
        <w:t xml:space="preserve">articipation </w:t>
      </w:r>
      <w:r w:rsidR="00A57871" w:rsidRPr="006B05B7">
        <w:t>p</w:t>
      </w:r>
      <w:r w:rsidR="006979C3" w:rsidRPr="006B05B7">
        <w:t>lan</w:t>
      </w:r>
      <w:r w:rsidR="00A57871" w:rsidRPr="006B05B7">
        <w:t>’</w:t>
      </w:r>
      <w:r w:rsidR="006979C3" w:rsidRPr="006B05B7">
        <w:t xml:space="preserve"> </w:t>
      </w:r>
      <w:r w:rsidR="00F63E57" w:rsidRPr="006B05B7">
        <w:t>required under</w:t>
      </w:r>
      <w:r w:rsidR="006979C3" w:rsidRPr="006B05B7">
        <w:t xml:space="preserve"> Social Security </w:t>
      </w:r>
      <w:r w:rsidR="00A57871" w:rsidRPr="006B05B7">
        <w:t>Law</w:t>
      </w:r>
      <w:r w:rsidR="006979C3" w:rsidRPr="006B05B7">
        <w:t xml:space="preserve">. </w:t>
      </w:r>
      <w:r w:rsidR="003B2C8F" w:rsidRPr="006B05B7">
        <w:t>DSP Recipients (Compulsory Requirement)</w:t>
      </w:r>
      <w:r w:rsidR="000138F2" w:rsidRPr="006B05B7">
        <w:t xml:space="preserve"> </w:t>
      </w:r>
      <w:r w:rsidR="003B2C8F" w:rsidRPr="006B05B7">
        <w:t xml:space="preserve">must enter into a Job Plan. </w:t>
      </w:r>
      <w:r w:rsidRPr="006B05B7">
        <w:t xml:space="preserve">Failure to </w:t>
      </w:r>
      <w:bookmarkStart w:id="138" w:name="_Int_q0BGIlbY"/>
      <w:r w:rsidRPr="006B05B7">
        <w:t>enter into</w:t>
      </w:r>
      <w:bookmarkEnd w:id="138"/>
      <w:r w:rsidRPr="006B05B7">
        <w:t xml:space="preserve"> the Job Plan must be reported to Services Australia, as </w:t>
      </w:r>
      <w:r w:rsidR="00407059" w:rsidRPr="006B05B7">
        <w:t>outlined</w:t>
      </w:r>
      <w:r w:rsidRPr="006B05B7">
        <w:t xml:space="preserve"> in </w:t>
      </w:r>
      <w:r w:rsidR="00407059" w:rsidRPr="006B05B7">
        <w:rPr>
          <w:highlight w:val="yellow"/>
        </w:rPr>
        <w:fldChar w:fldCharType="begin"/>
      </w:r>
      <w:r w:rsidR="00407059" w:rsidRPr="006B05B7">
        <w:instrText xml:space="preserve"> REF _Ref202784526 \h </w:instrText>
      </w:r>
      <w:r w:rsidR="006B05B7">
        <w:rPr>
          <w:highlight w:val="yellow"/>
        </w:rPr>
        <w:instrText xml:space="preserve"> \* MERGEFORMAT </w:instrText>
      </w:r>
      <w:r w:rsidR="00407059" w:rsidRPr="006B05B7">
        <w:rPr>
          <w:highlight w:val="yellow"/>
        </w:rPr>
      </w:r>
      <w:r w:rsidR="00407059" w:rsidRPr="006B05B7">
        <w:rPr>
          <w:highlight w:val="yellow"/>
        </w:rPr>
        <w:fldChar w:fldCharType="separate"/>
      </w:r>
      <w:r w:rsidR="000D75AE">
        <w:t>12.7.3</w:t>
      </w:r>
      <w:r w:rsidR="00A31574">
        <w:t xml:space="preserve"> </w:t>
      </w:r>
      <w:r w:rsidR="000D75AE">
        <w:t>Reporting DSP non-compliance</w:t>
      </w:r>
      <w:r w:rsidR="00407059" w:rsidRPr="006B05B7">
        <w:rPr>
          <w:highlight w:val="yellow"/>
        </w:rPr>
        <w:fldChar w:fldCharType="end"/>
      </w:r>
      <w:r w:rsidRPr="2190AEAE">
        <w:t>.</w:t>
      </w:r>
    </w:p>
    <w:p w14:paraId="6E2A9E5C" w14:textId="41961A61" w:rsidR="00F63E57" w:rsidRDefault="00F63E57" w:rsidP="00F63E57">
      <w:pPr>
        <w:pStyle w:val="Heading4"/>
      </w:pPr>
      <w:bookmarkStart w:id="139" w:name="_Ref202785208"/>
      <w:bookmarkStart w:id="140" w:name="_Toc202899926"/>
      <w:r>
        <w:t>4.2.3</w:t>
      </w:r>
      <w:r w:rsidR="00785ACB">
        <w:tab/>
      </w:r>
      <w:r>
        <w:t>Job Plans for Volunteers</w:t>
      </w:r>
      <w:bookmarkEnd w:id="139"/>
      <w:bookmarkEnd w:id="140"/>
    </w:p>
    <w:p w14:paraId="1147FAE7" w14:textId="42D9FD54" w:rsidR="0051695D" w:rsidRDefault="002451F6" w:rsidP="006E2EF5">
      <w:r>
        <w:t xml:space="preserve">Participants (Voluntary) must have a Job Plan to receive Services, </w:t>
      </w:r>
      <w:r w:rsidR="00F63E57">
        <w:t>unless the Participant has</w:t>
      </w:r>
      <w:r>
        <w:t xml:space="preserve"> a </w:t>
      </w:r>
      <w:r w:rsidR="00F63E57">
        <w:t>Services Australia</w:t>
      </w:r>
      <w:r>
        <w:t xml:space="preserve"> Job Plan — as noted in</w:t>
      </w:r>
      <w:r w:rsidR="00863BB3">
        <w:t xml:space="preserve"> </w:t>
      </w:r>
      <w:r w:rsidR="00863BB3">
        <w:rPr>
          <w:highlight w:val="yellow"/>
        </w:rPr>
        <w:fldChar w:fldCharType="begin"/>
      </w:r>
      <w:r w:rsidR="00863BB3">
        <w:instrText xml:space="preserve"> REF _Ref202780811 \h </w:instrText>
      </w:r>
      <w:r w:rsidR="00863BB3">
        <w:rPr>
          <w:highlight w:val="yellow"/>
        </w:rPr>
      </w:r>
      <w:r w:rsidR="00863BB3">
        <w:rPr>
          <w:highlight w:val="yellow"/>
        </w:rPr>
        <w:fldChar w:fldCharType="separate"/>
      </w:r>
      <w:r w:rsidR="000D75AE" w:rsidRPr="00BA23D8">
        <w:t>Chapter 3</w:t>
      </w:r>
      <w:r w:rsidR="000D75AE">
        <w:t>:</w:t>
      </w:r>
      <w:r w:rsidR="004572F7">
        <w:t xml:space="preserve"> </w:t>
      </w:r>
      <w:r w:rsidR="000D75AE" w:rsidRPr="00BA23D8">
        <w:t>Commencements, Transfers, Suspensions and Exits</w:t>
      </w:r>
      <w:r w:rsidR="00863BB3">
        <w:rPr>
          <w:highlight w:val="yellow"/>
        </w:rPr>
        <w:fldChar w:fldCharType="end"/>
      </w:r>
      <w:r>
        <w:t xml:space="preserve">. </w:t>
      </w:r>
      <w:r w:rsidR="003B2C8F">
        <w:t xml:space="preserve">Participants (Voluntary) do not need to enter into a Job Plan. </w:t>
      </w:r>
    </w:p>
    <w:p w14:paraId="4453FE59" w14:textId="3FD85FE0" w:rsidR="00426E14" w:rsidRDefault="00E57FF5" w:rsidP="006E2EF5">
      <w:r>
        <w:t>F</w:t>
      </w:r>
      <w:r w:rsidR="00C4748A">
        <w:t xml:space="preserve">ailure to enter into the Job Plan will mean that </w:t>
      </w:r>
      <w:r>
        <w:t>a Participant (Voluntary)</w:t>
      </w:r>
      <w:r w:rsidR="00C4748A">
        <w:t xml:space="preserve"> cannot be Commenced and therefore will be</w:t>
      </w:r>
      <w:r w:rsidR="00704C0C">
        <w:t xml:space="preserve"> </w:t>
      </w:r>
      <w:r w:rsidR="0020571D">
        <w:t xml:space="preserve">either </w:t>
      </w:r>
      <w:r w:rsidR="00704C0C">
        <w:t>Suspended or</w:t>
      </w:r>
      <w:r w:rsidR="00C4748A">
        <w:t xml:space="preserve"> Exited</w:t>
      </w:r>
      <w:r w:rsidR="0020571D">
        <w:t xml:space="preserve"> from the service</w:t>
      </w:r>
      <w:r w:rsidR="009466AB">
        <w:t xml:space="preserve"> in accordance with the guidance in </w:t>
      </w:r>
      <w:r w:rsidR="009466AB">
        <w:rPr>
          <w:highlight w:val="yellow"/>
        </w:rPr>
        <w:fldChar w:fldCharType="begin"/>
      </w:r>
      <w:r w:rsidR="009466AB">
        <w:instrText xml:space="preserve"> REF _Ref202780811 \h </w:instrText>
      </w:r>
      <w:r w:rsidR="009466AB">
        <w:rPr>
          <w:highlight w:val="yellow"/>
        </w:rPr>
      </w:r>
      <w:r w:rsidR="009466AB">
        <w:rPr>
          <w:highlight w:val="yellow"/>
        </w:rPr>
        <w:fldChar w:fldCharType="separate"/>
      </w:r>
      <w:r w:rsidR="000D75AE" w:rsidRPr="00BA23D8">
        <w:t>Chapter 3</w:t>
      </w:r>
      <w:r w:rsidR="000D75AE">
        <w:t>:</w:t>
      </w:r>
      <w:r w:rsidR="004572F7">
        <w:t xml:space="preserve"> </w:t>
      </w:r>
      <w:r w:rsidR="000D75AE" w:rsidRPr="00BA23D8">
        <w:t>Commencements, Transfers, Suspensions and Exits</w:t>
      </w:r>
      <w:r w:rsidR="009466AB">
        <w:rPr>
          <w:highlight w:val="yellow"/>
        </w:rPr>
        <w:fldChar w:fldCharType="end"/>
      </w:r>
      <w:r w:rsidR="00C4748A">
        <w:t>.</w:t>
      </w:r>
    </w:p>
    <w:p w14:paraId="3004C298" w14:textId="215786AE" w:rsidR="00D74559" w:rsidRDefault="00D74559" w:rsidP="001D0F92">
      <w:pPr>
        <w:pStyle w:val="Heading3"/>
      </w:pPr>
      <w:bookmarkStart w:id="141" w:name="_Toc202899927"/>
      <w:r>
        <w:t>4.3</w:t>
      </w:r>
      <w:r w:rsidR="00CD1148">
        <w:tab/>
      </w:r>
      <w:r>
        <w:t xml:space="preserve">Provider </w:t>
      </w:r>
      <w:r w:rsidR="008C5D90">
        <w:t>o</w:t>
      </w:r>
      <w:r>
        <w:t>bligations</w:t>
      </w:r>
      <w:bookmarkEnd w:id="141"/>
    </w:p>
    <w:p w14:paraId="41AA1510" w14:textId="59E77710" w:rsidR="00D74559" w:rsidRDefault="00D74559" w:rsidP="006E2EF5">
      <w:r w:rsidRPr="00130902">
        <w:t xml:space="preserve">Provider </w:t>
      </w:r>
      <w:r>
        <w:t>staff</w:t>
      </w:r>
      <w:r w:rsidRPr="00130902">
        <w:t xml:space="preserve"> </w:t>
      </w:r>
      <w:r>
        <w:t>have</w:t>
      </w:r>
      <w:r w:rsidRPr="00130902">
        <w:t xml:space="preserve"> delegated powers under </w:t>
      </w:r>
      <w:r>
        <w:t>S</w:t>
      </w:r>
      <w:r w:rsidRPr="00130902">
        <w:t xml:space="preserve">ocial </w:t>
      </w:r>
      <w:r>
        <w:t>S</w:t>
      </w:r>
      <w:r w:rsidRPr="00130902">
        <w:t xml:space="preserve">ecurity </w:t>
      </w:r>
      <w:r>
        <w:t>L</w:t>
      </w:r>
      <w:r w:rsidRPr="00130902">
        <w:t xml:space="preserve">aw to </w:t>
      </w:r>
      <w:r w:rsidR="002114EB">
        <w:t>require</w:t>
      </w:r>
      <w:r w:rsidRPr="00130902">
        <w:t xml:space="preserve"> </w:t>
      </w:r>
      <w:r>
        <w:t>Participant</w:t>
      </w:r>
      <w:r w:rsidRPr="00130902">
        <w:t xml:space="preserve">s (Mutual Obligation) </w:t>
      </w:r>
      <w:r w:rsidR="00DB1FE1">
        <w:t>to enter into a Job Plan and to approve or update it</w:t>
      </w:r>
      <w:r w:rsidR="00011119">
        <w:t xml:space="preserve"> as required</w:t>
      </w:r>
      <w:r>
        <w:t>.</w:t>
      </w:r>
    </w:p>
    <w:p w14:paraId="34F6EA78" w14:textId="625E7B99" w:rsidR="00D74559" w:rsidRDefault="00D74559" w:rsidP="006E2EF5">
      <w:pPr>
        <w:rPr>
          <w:rFonts w:ascii="Tahoma" w:eastAsia="Tahoma" w:hAnsi="Tahoma"/>
          <w:szCs w:val="22"/>
        </w:rPr>
      </w:pPr>
      <w:r w:rsidRPr="68799C3B">
        <w:rPr>
          <w:rFonts w:ascii="Tahoma" w:eastAsia="Tahoma" w:hAnsi="Tahoma"/>
          <w:szCs w:val="22"/>
        </w:rPr>
        <w:t xml:space="preserve">The Provider’s main obligations relating to the </w:t>
      </w:r>
      <w:r>
        <w:rPr>
          <w:rFonts w:ascii="Tahoma" w:eastAsia="Tahoma" w:hAnsi="Tahoma"/>
          <w:szCs w:val="22"/>
        </w:rPr>
        <w:t>Job Plans</w:t>
      </w:r>
      <w:r w:rsidR="004E4480">
        <w:rPr>
          <w:rFonts w:ascii="Tahoma" w:eastAsia="Tahoma" w:hAnsi="Tahoma"/>
          <w:szCs w:val="22"/>
        </w:rPr>
        <w:t xml:space="preserve"> for each Participant,</w:t>
      </w:r>
      <w:r w:rsidRPr="68799C3B">
        <w:rPr>
          <w:rFonts w:ascii="Tahoma" w:eastAsia="Tahoma" w:hAnsi="Tahoma"/>
          <w:szCs w:val="22"/>
        </w:rPr>
        <w:t xml:space="preserve"> include: </w:t>
      </w:r>
    </w:p>
    <w:p w14:paraId="7F75556E" w14:textId="6A9AE86F" w:rsidR="00E22162" w:rsidRPr="00E22162" w:rsidRDefault="00D74559" w:rsidP="004E120D">
      <w:pPr>
        <w:pStyle w:val="BulletLevel1"/>
        <w:rPr>
          <w:rFonts w:eastAsia="Tahoma"/>
        </w:rPr>
      </w:pPr>
      <w:r w:rsidRPr="00B37217">
        <w:t xml:space="preserve">ensuring each Participant always has a </w:t>
      </w:r>
      <w:r w:rsidR="00CC031B">
        <w:t xml:space="preserve">current </w:t>
      </w:r>
      <w:r w:rsidRPr="00B37217">
        <w:t>Job Plan during their Period of Registration</w:t>
      </w:r>
    </w:p>
    <w:p w14:paraId="7F8DC765" w14:textId="5C3FCFE1" w:rsidR="00D74559" w:rsidRDefault="00E22162" w:rsidP="004E120D">
      <w:pPr>
        <w:pStyle w:val="BulletLevel1"/>
        <w:rPr>
          <w:rFonts w:eastAsia="Tahoma"/>
        </w:rPr>
      </w:pPr>
      <w:r>
        <w:rPr>
          <w:rStyle w:val="BulletLevel2Char"/>
        </w:rPr>
        <w:t xml:space="preserve">ensuring the Job Plan </w:t>
      </w:r>
      <w:r w:rsidR="00D74559" w:rsidRPr="00B37217">
        <w:rPr>
          <w:rStyle w:val="BulletLevel2Char"/>
        </w:rPr>
        <w:t>enables Participants (Mutual Obligation) and DSP Recipients (Compulsory Requirements) to meet their obligations under Social Security Law</w:t>
      </w:r>
    </w:p>
    <w:p w14:paraId="7D276AAB" w14:textId="5DB88255" w:rsidR="00D74559" w:rsidRDefault="00D74559" w:rsidP="004E120D">
      <w:pPr>
        <w:pStyle w:val="BulletLevel1"/>
      </w:pPr>
      <w:r>
        <w:t>ensuring that the Job Plan is in a form approved by the Department</w:t>
      </w:r>
    </w:p>
    <w:p w14:paraId="2EA42D2B" w14:textId="4EF86CAB" w:rsidR="00D74559" w:rsidRPr="006B1A85" w:rsidRDefault="00D74559" w:rsidP="004E120D">
      <w:pPr>
        <w:pStyle w:val="BulletLevel1"/>
      </w:pPr>
      <w:r>
        <w:t>entering Job Plan information into the Department’s IT Systems</w:t>
      </w:r>
      <w:r w:rsidR="00D5007F">
        <w:t>, noting:</w:t>
      </w:r>
    </w:p>
    <w:p w14:paraId="27BC3D9C" w14:textId="236FE01D" w:rsidR="00655DF1" w:rsidRPr="00655DF1" w:rsidRDefault="00655DF1" w:rsidP="00655DF1">
      <w:pPr>
        <w:pStyle w:val="BulletLevel2"/>
        <w:rPr>
          <w:rFonts w:eastAsiaTheme="minorEastAsia"/>
        </w:rPr>
      </w:pPr>
      <w:r>
        <w:t>tasks and activities will be agreed to</w:t>
      </w:r>
      <w:r w:rsidR="009732A9">
        <w:t xml:space="preserve"> </w:t>
      </w:r>
      <w:r w:rsidR="000C4FFC">
        <w:t xml:space="preserve">as part of a plan for </w:t>
      </w:r>
      <w:r w:rsidR="00040402">
        <w:t>satisfying the M</w:t>
      </w:r>
      <w:r w:rsidR="000C4FFC">
        <w:t xml:space="preserve">eaningful </w:t>
      </w:r>
      <w:r w:rsidR="00040402">
        <w:t>E</w:t>
      </w:r>
      <w:r w:rsidR="000C4FFC">
        <w:t xml:space="preserve">ngagement </w:t>
      </w:r>
      <w:r w:rsidR="00C60695">
        <w:t>Requirement</w:t>
      </w:r>
      <w:r w:rsidR="00AB7B42">
        <w:t>, managed</w:t>
      </w:r>
      <w:r w:rsidR="00C60695">
        <w:t xml:space="preserve"> </w:t>
      </w:r>
      <w:r w:rsidR="00355C88">
        <w:t>outside of the</w:t>
      </w:r>
      <w:r w:rsidR="00D40284">
        <w:t xml:space="preserve"> </w:t>
      </w:r>
      <w:r w:rsidR="00BF75C3">
        <w:t xml:space="preserve">Meaningful Engagement </w:t>
      </w:r>
      <w:r w:rsidR="00D40284">
        <w:t>Job Plan</w:t>
      </w:r>
      <w:r w:rsidR="005254C1">
        <w:t xml:space="preserve"> — refer to</w:t>
      </w:r>
      <w:r w:rsidR="00960A62">
        <w:t xml:space="preserve"> </w:t>
      </w:r>
      <w:r w:rsidR="00960A62" w:rsidRPr="00960A62">
        <w:fldChar w:fldCharType="begin"/>
      </w:r>
      <w:r w:rsidR="00960A62" w:rsidRPr="00960A62">
        <w:instrText xml:space="preserve"> REF _Ref202785974 \h </w:instrText>
      </w:r>
      <w:r w:rsidR="00960A62">
        <w:instrText xml:space="preserve"> \* MERGEFORMAT </w:instrText>
      </w:r>
      <w:r w:rsidR="00960A62" w:rsidRPr="00960A62">
        <w:fldChar w:fldCharType="separate"/>
      </w:r>
      <w:r w:rsidR="000D75AE" w:rsidRPr="000D75AE">
        <w:t>5</w:t>
      </w:r>
      <w:r w:rsidR="0097189E">
        <w:t>.</w:t>
      </w:r>
      <w:r w:rsidR="000D75AE" w:rsidRPr="009B292C">
        <w:t>5</w:t>
      </w:r>
      <w:r w:rsidR="0097189E">
        <w:t xml:space="preserve"> </w:t>
      </w:r>
      <w:r w:rsidR="000D75AE" w:rsidRPr="000D75AE">
        <w:t>Meaningful Engagement Requirement</w:t>
      </w:r>
      <w:r w:rsidR="00960A62" w:rsidRPr="00960A62">
        <w:fldChar w:fldCharType="end"/>
      </w:r>
      <w:r>
        <w:t>, or</w:t>
      </w:r>
    </w:p>
    <w:p w14:paraId="557E60BA" w14:textId="7B11BC71" w:rsidR="00655DF1" w:rsidRPr="00655DF1" w:rsidRDefault="00655DF1" w:rsidP="00655DF1">
      <w:pPr>
        <w:pStyle w:val="BulletLevel2"/>
        <w:rPr>
          <w:rFonts w:eastAsiaTheme="minorEastAsia"/>
        </w:rPr>
      </w:pPr>
      <w:r>
        <w:t>tasks and activities will be specified in a Detailed Job Plan as either a compulsory or voluntary requirement</w:t>
      </w:r>
    </w:p>
    <w:p w14:paraId="2CF8BAB2" w14:textId="2CEA0A15" w:rsidR="005254C1" w:rsidRDefault="003D342F" w:rsidP="00D5007F">
      <w:pPr>
        <w:pStyle w:val="BulletLevel1"/>
        <w:rPr>
          <w:rStyle w:val="BulletLevel2Char"/>
        </w:rPr>
      </w:pPr>
      <w:r w:rsidRPr="2190AEAE">
        <w:t xml:space="preserve">determining when a </w:t>
      </w:r>
      <w:r>
        <w:t xml:space="preserve">Detailed Job Plan </w:t>
      </w:r>
      <w:r w:rsidRPr="2190AEAE">
        <w:t>must be entered int</w:t>
      </w:r>
      <w:r w:rsidR="00B80472">
        <w:t>o</w:t>
      </w:r>
    </w:p>
    <w:p w14:paraId="0A3A5B00" w14:textId="44CC52B2" w:rsidR="003D342F" w:rsidRDefault="003D342F" w:rsidP="00D5007F">
      <w:pPr>
        <w:pStyle w:val="BulletLevel1"/>
        <w:rPr>
          <w:rStyle w:val="BulletLevel2Char"/>
        </w:rPr>
      </w:pPr>
      <w:r>
        <w:rPr>
          <w:rStyle w:val="BulletLevel2Char"/>
        </w:rPr>
        <w:t>for Participants (Mutual Obligation) with a Detailed Job Plan:</w:t>
      </w:r>
    </w:p>
    <w:p w14:paraId="1A59B8C8" w14:textId="5BEF794B" w:rsidR="003D342F" w:rsidRDefault="003D342F" w:rsidP="003D342F">
      <w:pPr>
        <w:pStyle w:val="BulletLevel2"/>
      </w:pPr>
      <w:r>
        <w:t xml:space="preserve">setting an appropriate </w:t>
      </w:r>
      <w:r w:rsidRPr="00161B2C">
        <w:t>Job Search Requirement — refer to</w:t>
      </w:r>
      <w:r w:rsidR="00960A62">
        <w:t xml:space="preserve"> </w:t>
      </w:r>
      <w:r w:rsidR="00A31574">
        <w:fldChar w:fldCharType="begin"/>
      </w:r>
      <w:r w:rsidR="00A31574">
        <w:instrText xml:space="preserve"> REF _Ref202786021 \h  \* MERGEFORMAT </w:instrText>
      </w:r>
      <w:r w:rsidR="00A31574">
        <w:fldChar w:fldCharType="separate"/>
      </w:r>
      <w:r w:rsidR="00A31574" w:rsidRPr="00A31574">
        <w:t>5.7</w:t>
      </w:r>
      <w:r w:rsidR="00A31574">
        <w:t xml:space="preserve"> </w:t>
      </w:r>
      <w:r w:rsidR="00A31574" w:rsidRPr="00A31574">
        <w:t>Job Search</w:t>
      </w:r>
      <w:r w:rsidR="00A31574">
        <w:fldChar w:fldCharType="end"/>
      </w:r>
      <w:r w:rsidR="00960A62" w:rsidRPr="00960A62">
        <w:fldChar w:fldCharType="begin"/>
      </w:r>
      <w:r w:rsidR="00960A62" w:rsidRPr="00960A62">
        <w:instrText xml:space="preserve"> REF _Ref202786021 \h </w:instrText>
      </w:r>
      <w:r w:rsidR="00960A62">
        <w:instrText xml:space="preserve"> \* MERGEFORMAT </w:instrText>
      </w:r>
      <w:r w:rsidR="00960A62" w:rsidRPr="00960A62">
        <w:fldChar w:fldCharType="separate"/>
      </w:r>
      <w:r w:rsidR="00960A62" w:rsidRPr="00960A62">
        <w:fldChar w:fldCharType="end"/>
      </w:r>
      <w:r>
        <w:t>, and</w:t>
      </w:r>
    </w:p>
    <w:p w14:paraId="10E6FAED" w14:textId="6AA46A15" w:rsidR="003D342F" w:rsidRPr="00032769" w:rsidRDefault="003D342F" w:rsidP="003D342F">
      <w:pPr>
        <w:pStyle w:val="BulletLevel2"/>
        <w:rPr>
          <w:rFonts w:eastAsiaTheme="minorEastAsia"/>
        </w:rPr>
      </w:pPr>
      <w:r w:rsidRPr="00161B2C">
        <w:t>assess</w:t>
      </w:r>
      <w:r>
        <w:t>ing</w:t>
      </w:r>
      <w:r w:rsidRPr="00161B2C">
        <w:t xml:space="preserve"> the Participant’s capability to </w:t>
      </w:r>
      <w:r>
        <w:t>take personal responsibility for self-reporting their requirements</w:t>
      </w:r>
      <w:r w:rsidRPr="00161B2C">
        <w:t xml:space="preserve"> — refer to </w:t>
      </w:r>
      <w:r w:rsidR="00960A62" w:rsidRPr="00960A62">
        <w:rPr>
          <w:highlight w:val="yellow"/>
        </w:rPr>
        <w:fldChar w:fldCharType="begin"/>
      </w:r>
      <w:r w:rsidR="00960A62" w:rsidRPr="00960A62">
        <w:instrText xml:space="preserve"> REF _Ref202786035 \h </w:instrText>
      </w:r>
      <w:r w:rsidR="00960A62">
        <w:rPr>
          <w:highlight w:val="yellow"/>
        </w:rPr>
        <w:instrText xml:space="preserve"> \* MERGEFORMAT </w:instrText>
      </w:r>
      <w:r w:rsidR="00960A62" w:rsidRPr="00960A62">
        <w:rPr>
          <w:highlight w:val="yellow"/>
        </w:rPr>
      </w:r>
      <w:r w:rsidR="00960A62" w:rsidRPr="00960A62">
        <w:rPr>
          <w:highlight w:val="yellow"/>
        </w:rPr>
        <w:fldChar w:fldCharType="separate"/>
      </w:r>
      <w:r w:rsidR="000D75AE" w:rsidRPr="000D75AE">
        <w:t>5.10</w:t>
      </w:r>
      <w:r w:rsidR="00A31574">
        <w:t xml:space="preserve"> </w:t>
      </w:r>
      <w:r w:rsidR="000D75AE" w:rsidRPr="000D75AE">
        <w:t>Personal responsibility for reporting attendance</w:t>
      </w:r>
      <w:r w:rsidR="00960A62" w:rsidRPr="00960A62">
        <w:rPr>
          <w:highlight w:val="yellow"/>
        </w:rPr>
        <w:fldChar w:fldCharType="end"/>
      </w:r>
      <w:r>
        <w:t>, and</w:t>
      </w:r>
    </w:p>
    <w:p w14:paraId="5CE38C6C" w14:textId="40869E51" w:rsidR="003D342F" w:rsidRPr="003D342F" w:rsidRDefault="00D74559" w:rsidP="000B286E">
      <w:pPr>
        <w:pStyle w:val="BulletLevel1"/>
        <w:rPr>
          <w:rFonts w:eastAsiaTheme="minorEastAsia"/>
        </w:rPr>
      </w:pPr>
      <w:r w:rsidRPr="2190AEAE">
        <w:t xml:space="preserve">actively monitoring and recording each </w:t>
      </w:r>
      <w:r w:rsidR="004E4480" w:rsidRPr="000B286E">
        <w:t>Participant</w:t>
      </w:r>
      <w:r w:rsidR="00B66FCC" w:rsidRPr="000B286E">
        <w:t>’s</w:t>
      </w:r>
      <w:r w:rsidRPr="000B286E">
        <w:t xml:space="preserve"> </w:t>
      </w:r>
      <w:r w:rsidRPr="2190AEAE">
        <w:t>compliance with their participation requirements</w:t>
      </w:r>
      <w:r>
        <w:t>, including the Meaningful Engagement Requirement</w:t>
      </w:r>
      <w:r w:rsidRPr="2190AEAE">
        <w:t xml:space="preserve"> – refer to</w:t>
      </w:r>
      <w:r w:rsidR="00960A62">
        <w:t xml:space="preserve"> </w:t>
      </w:r>
      <w:r w:rsidR="00960A62">
        <w:rPr>
          <w:highlight w:val="yellow"/>
        </w:rPr>
        <w:fldChar w:fldCharType="begin"/>
      </w:r>
      <w:r w:rsidR="00960A62">
        <w:instrText xml:space="preserve"> REF _Ref202786058 \h </w:instrText>
      </w:r>
      <w:r w:rsidR="00960A62">
        <w:rPr>
          <w:highlight w:val="yellow"/>
        </w:rPr>
      </w:r>
      <w:r w:rsidR="00960A62">
        <w:rPr>
          <w:highlight w:val="yellow"/>
        </w:rPr>
        <w:fldChar w:fldCharType="separate"/>
      </w:r>
      <w:r w:rsidR="000D75AE">
        <w:t>Chapter 12:</w:t>
      </w:r>
      <w:r w:rsidR="00A31574">
        <w:t xml:space="preserve"> </w:t>
      </w:r>
      <w:r w:rsidR="000D75AE">
        <w:t>Compliance</w:t>
      </w:r>
      <w:r w:rsidR="00960A62">
        <w:rPr>
          <w:highlight w:val="yellow"/>
        </w:rPr>
        <w:fldChar w:fldCharType="end"/>
      </w:r>
      <w:r w:rsidR="003D342F">
        <w:t>.</w:t>
      </w:r>
    </w:p>
    <w:p w14:paraId="040D8334" w14:textId="3B137118" w:rsidR="00D74559" w:rsidRDefault="00D74559" w:rsidP="006E2EF5">
      <w:pPr>
        <w:pStyle w:val="DeedReferences"/>
      </w:pPr>
      <w:r w:rsidRPr="72B4EEE6">
        <w:t>(</w:t>
      </w:r>
      <w:r w:rsidR="00A73420">
        <w:t>Deed Reference(s): Clause</w:t>
      </w:r>
      <w:r w:rsidRPr="72B4EEE6">
        <w:t xml:space="preserve"> </w:t>
      </w:r>
      <w:r w:rsidR="00E77AB6">
        <w:t>134</w:t>
      </w:r>
      <w:r w:rsidRPr="72B4EEE6">
        <w:t xml:space="preserve">, </w:t>
      </w:r>
      <w:r w:rsidR="00C94839">
        <w:t>136</w:t>
      </w:r>
      <w:r w:rsidRPr="72B4EEE6">
        <w:t>, 13</w:t>
      </w:r>
      <w:r>
        <w:t>7</w:t>
      </w:r>
      <w:r w:rsidRPr="72B4EEE6">
        <w:t>)</w:t>
      </w:r>
    </w:p>
    <w:p w14:paraId="79BAD04B" w14:textId="4E56E04C" w:rsidR="00A711F3" w:rsidRDefault="00A711F3" w:rsidP="00A711F3">
      <w:pPr>
        <w:keepNext/>
      </w:pPr>
      <w:r>
        <w:t>Under Social Security Law, when developing a Job Plan, Providers must consider if the requirements are suitable based on:</w:t>
      </w:r>
    </w:p>
    <w:p w14:paraId="0ED5C7C2" w14:textId="77777777" w:rsidR="00A711F3" w:rsidRDefault="00A711F3" w:rsidP="000B286E">
      <w:pPr>
        <w:pStyle w:val="BulletLevel1"/>
      </w:pPr>
      <w:r>
        <w:t>the Participant's education, experience, skills, and age</w:t>
      </w:r>
    </w:p>
    <w:p w14:paraId="3A5D105B" w14:textId="38D8C9C2" w:rsidR="00A711F3" w:rsidRDefault="00A711F3" w:rsidP="000B286E">
      <w:pPr>
        <w:pStyle w:val="BulletLevel1"/>
      </w:pPr>
      <w:r>
        <w:t xml:space="preserve">the impact of any disability, injury, or health condition on the Participant's ability to </w:t>
      </w:r>
      <w:r w:rsidRPr="2926C2F3">
        <w:t>work, to look for work</w:t>
      </w:r>
      <w:r>
        <w:t>,</w:t>
      </w:r>
      <w:r w:rsidRPr="2926C2F3">
        <w:t xml:space="preserve"> or to participate in Activities</w:t>
      </w:r>
    </w:p>
    <w:p w14:paraId="1F493359" w14:textId="6FC0EE51" w:rsidR="00A711F3" w:rsidRDefault="00A711F3" w:rsidP="000B286E">
      <w:pPr>
        <w:pStyle w:val="BulletLevel1"/>
      </w:pPr>
      <w:r>
        <w:t xml:space="preserve">the impact of family and caring responsibilities on the Participant's </w:t>
      </w:r>
      <w:r w:rsidRPr="2926C2F3">
        <w:t xml:space="preserve">ability to work, to look for work or to participate in </w:t>
      </w:r>
      <w:r>
        <w:t>A</w:t>
      </w:r>
      <w:r w:rsidRPr="2926C2F3">
        <w:t>ctivities</w:t>
      </w:r>
    </w:p>
    <w:p w14:paraId="5643B153" w14:textId="57838745" w:rsidR="00A711F3" w:rsidRDefault="00A711F3" w:rsidP="000B286E">
      <w:pPr>
        <w:pStyle w:val="BulletLevel1"/>
      </w:pPr>
      <w:r>
        <w:t>the participation opportunities available</w:t>
      </w:r>
    </w:p>
    <w:p w14:paraId="7B9A96F2" w14:textId="3FDE71D6" w:rsidR="00A711F3" w:rsidRDefault="00A711F3" w:rsidP="000B286E">
      <w:pPr>
        <w:pStyle w:val="BulletLevel1"/>
      </w:pPr>
      <w:r>
        <w:t>the state of the labour market</w:t>
      </w:r>
      <w:r w:rsidR="00983B82">
        <w:t xml:space="preserve"> and</w:t>
      </w:r>
      <w:r w:rsidR="00BF6827">
        <w:t xml:space="preserve"> the</w:t>
      </w:r>
      <w:r>
        <w:t xml:space="preserve"> transport options available</w:t>
      </w:r>
    </w:p>
    <w:p w14:paraId="749DBFB7" w14:textId="447B1876" w:rsidR="00A711F3" w:rsidRDefault="00A711F3" w:rsidP="000B286E">
      <w:pPr>
        <w:pStyle w:val="BulletLevel1"/>
      </w:pPr>
      <w:r>
        <w:t>the length of travel time needed to follow participation requirements, and</w:t>
      </w:r>
    </w:p>
    <w:p w14:paraId="62D0CEC8" w14:textId="41663F48" w:rsidR="00A711F3" w:rsidRDefault="00A711F3" w:rsidP="000B286E">
      <w:pPr>
        <w:pStyle w:val="BulletLevel1"/>
      </w:pPr>
      <w:r w:rsidRPr="2190AEAE">
        <w:t>the financial costs (such as travel costs) of following participation requirements and th</w:t>
      </w:r>
      <w:r>
        <w:t>e</w:t>
      </w:r>
      <w:r w:rsidRPr="2190AEAE">
        <w:t xml:space="preserve"> Participant's capacity to pay for these costs.</w:t>
      </w:r>
    </w:p>
    <w:p w14:paraId="02352179" w14:textId="11EC1DE4" w:rsidR="00D74559" w:rsidRDefault="00D74559" w:rsidP="001D0F92">
      <w:pPr>
        <w:pStyle w:val="Heading4"/>
      </w:pPr>
      <w:bookmarkStart w:id="142" w:name="_Toc202899928"/>
      <w:r w:rsidRPr="72B4EEE6">
        <w:t>4.3.1</w:t>
      </w:r>
      <w:r w:rsidR="00CD1148">
        <w:tab/>
      </w:r>
      <w:r w:rsidRPr="72B4EEE6">
        <w:t>Training</w:t>
      </w:r>
      <w:bookmarkEnd w:id="142"/>
    </w:p>
    <w:p w14:paraId="1ECEA94F" w14:textId="62C042F9" w:rsidR="00D74559" w:rsidRPr="00C70AB8" w:rsidRDefault="00D74559" w:rsidP="006E2EF5">
      <w:r w:rsidRPr="00C70AB8">
        <w:t xml:space="preserve">It is essential that each </w:t>
      </w:r>
      <w:r>
        <w:t>staff member</w:t>
      </w:r>
      <w:r w:rsidRPr="00C70AB8">
        <w:t xml:space="preserve"> understand</w:t>
      </w:r>
      <w:r>
        <w:t>s</w:t>
      </w:r>
      <w:r w:rsidRPr="00C70AB8">
        <w:t xml:space="preserve"> </w:t>
      </w:r>
      <w:r>
        <w:t>how to develop a Job Plan</w:t>
      </w:r>
      <w:r w:rsidR="00720988">
        <w:t>. In</w:t>
      </w:r>
      <w:r w:rsidR="00B262E8">
        <w:t xml:space="preserve"> particular how to develop a </w:t>
      </w:r>
      <w:r w:rsidR="00E44E71">
        <w:t xml:space="preserve">tailored </w:t>
      </w:r>
      <w:r w:rsidR="00B262E8">
        <w:t>Detailed Job Plan</w:t>
      </w:r>
      <w:r>
        <w:t xml:space="preserve"> in partnership with the Participant that meet</w:t>
      </w:r>
      <w:r w:rsidR="00E44E71">
        <w:t>s</w:t>
      </w:r>
      <w:r>
        <w:t xml:space="preserve"> their </w:t>
      </w:r>
      <w:r w:rsidRPr="00425007">
        <w:t xml:space="preserve">needs, personal </w:t>
      </w:r>
      <w:r>
        <w:t>circumstances,</w:t>
      </w:r>
      <w:r w:rsidRPr="00425007">
        <w:t xml:space="preserve"> and ability to comply</w:t>
      </w:r>
      <w:r>
        <w:t>.</w:t>
      </w:r>
    </w:p>
    <w:p w14:paraId="7941FE88" w14:textId="397E81BB" w:rsidR="00D74559" w:rsidRPr="004879CB" w:rsidRDefault="00D74559" w:rsidP="006E2EF5">
      <w:pPr>
        <w:pStyle w:val="DeedReferences"/>
        <w:rPr>
          <w:rFonts w:eastAsiaTheme="minorEastAsia" w:cstheme="minorBidi"/>
        </w:rPr>
      </w:pPr>
      <w:r w:rsidRPr="72B4EEE6">
        <w:rPr>
          <w:rFonts w:eastAsiaTheme="minorEastAsia" w:cstheme="minorBidi"/>
        </w:rPr>
        <w:t>(</w:t>
      </w:r>
      <w:r w:rsidR="00A73420">
        <w:rPr>
          <w:rFonts w:eastAsiaTheme="minorEastAsia" w:cstheme="minorBidi"/>
        </w:rPr>
        <w:t>Deed Reference(s): Clause</w:t>
      </w:r>
      <w:r w:rsidRPr="72B4EEE6">
        <w:rPr>
          <w:rFonts w:eastAsiaTheme="minorEastAsia" w:cstheme="minorBidi"/>
        </w:rPr>
        <w:t xml:space="preserve"> 6</w:t>
      </w:r>
      <w:r>
        <w:rPr>
          <w:rFonts w:eastAsiaTheme="minorEastAsia" w:cstheme="minorBidi"/>
        </w:rPr>
        <w:t>1</w:t>
      </w:r>
      <w:r w:rsidRPr="72B4EEE6">
        <w:rPr>
          <w:rFonts w:eastAsiaTheme="minorEastAsia" w:cstheme="minorBidi"/>
        </w:rPr>
        <w:t xml:space="preserve">.3, </w:t>
      </w:r>
      <w:r w:rsidR="00092533">
        <w:rPr>
          <w:rFonts w:eastAsiaTheme="minorEastAsia" w:cstheme="minorBidi"/>
        </w:rPr>
        <w:t>143</w:t>
      </w:r>
      <w:r>
        <w:rPr>
          <w:rFonts w:eastAsiaTheme="minorEastAsia" w:cstheme="minorBidi"/>
        </w:rPr>
        <w:t>.1(a)</w:t>
      </w:r>
      <w:r w:rsidRPr="72B4EEE6">
        <w:rPr>
          <w:rFonts w:eastAsiaTheme="minorEastAsia" w:cstheme="minorBidi"/>
        </w:rPr>
        <w:t>)</w:t>
      </w:r>
    </w:p>
    <w:p w14:paraId="73CEA881" w14:textId="02D9A231" w:rsidR="00D74559" w:rsidRDefault="00D74559" w:rsidP="001D0F92">
      <w:pPr>
        <w:pStyle w:val="Heading4"/>
      </w:pPr>
      <w:bookmarkStart w:id="143" w:name="_Ref202875717"/>
      <w:bookmarkStart w:id="144" w:name="_Toc202899929"/>
      <w:r w:rsidRPr="72B4EEE6">
        <w:t>4.3.2</w:t>
      </w:r>
      <w:r w:rsidR="00CD1148">
        <w:tab/>
      </w:r>
      <w:r w:rsidRPr="72B4EEE6">
        <w:t>Ensuring Participants understand their rights and responsibilities</w:t>
      </w:r>
      <w:bookmarkEnd w:id="143"/>
      <w:bookmarkEnd w:id="144"/>
    </w:p>
    <w:p w14:paraId="5A235BDE" w14:textId="1FB70D25" w:rsidR="00D74559" w:rsidRDefault="00D74559" w:rsidP="006E2EF5">
      <w:r>
        <w:t>Before a Job Plan is negotiated and approved</w:t>
      </w:r>
      <w:r w:rsidR="007D241F">
        <w:t xml:space="preserve"> by the Participant</w:t>
      </w:r>
      <w:r>
        <w:t xml:space="preserve">, Providers must discuss the content </w:t>
      </w:r>
      <w:r w:rsidR="00A34CE0">
        <w:t>of</w:t>
      </w:r>
      <w:r>
        <w:t xml:space="preserve"> the Job Plan and ensure that each Participant understand</w:t>
      </w:r>
      <w:r w:rsidR="0041485A">
        <w:t>s</w:t>
      </w:r>
      <w:r>
        <w:t xml:space="preserve"> what </w:t>
      </w:r>
      <w:r w:rsidR="00B46DDB">
        <w:t>is being</w:t>
      </w:r>
      <w:r>
        <w:t xml:space="preserve"> agree</w:t>
      </w:r>
      <w:r w:rsidR="007C5BFF">
        <w:t>d</w:t>
      </w:r>
      <w:r>
        <w:t xml:space="preserve"> to and the potential consequences, if any, of not agreeing to enter into the Job Plan or failing to meet </w:t>
      </w:r>
      <w:r w:rsidR="00FA3681">
        <w:t>Job Plan</w:t>
      </w:r>
      <w:r>
        <w:t xml:space="preserve"> requirements.</w:t>
      </w:r>
    </w:p>
    <w:p w14:paraId="198828FF" w14:textId="408DB078" w:rsidR="00D74559" w:rsidRDefault="00D74559" w:rsidP="006E2EF5">
      <w:r>
        <w:t>The Provider must also ensure the Participant is aware of their rights</w:t>
      </w:r>
      <w:r w:rsidR="006B5D94">
        <w:t>, responsibilities</w:t>
      </w:r>
      <w:r>
        <w:t xml:space="preserve"> and obligations under the Social Security Law</w:t>
      </w:r>
      <w:r w:rsidR="00A60A0A">
        <w:t xml:space="preserve"> and other </w:t>
      </w:r>
      <w:r w:rsidR="00BB341B">
        <w:t xml:space="preserve">Commonwealth </w:t>
      </w:r>
      <w:r w:rsidR="00A60A0A">
        <w:t>p</w:t>
      </w:r>
      <w:r w:rsidR="00BB341B">
        <w:t>olic</w:t>
      </w:r>
      <w:r w:rsidR="00072982">
        <w:t>ies</w:t>
      </w:r>
      <w:r>
        <w:t>, including:</w:t>
      </w:r>
    </w:p>
    <w:p w14:paraId="17996DD8" w14:textId="0774587B" w:rsidR="00D74559" w:rsidRPr="00CD1148" w:rsidRDefault="00D74559" w:rsidP="004E120D">
      <w:pPr>
        <w:pStyle w:val="BulletLevel1"/>
      </w:pPr>
      <w:r w:rsidRPr="00CD1148">
        <w:t xml:space="preserve">their right to think time to consider the Job Plan before agreeing to it — refer to </w:t>
      </w:r>
      <w:r w:rsidR="00E451AB">
        <w:fldChar w:fldCharType="begin"/>
      </w:r>
      <w:r w:rsidR="00E451AB">
        <w:instrText xml:space="preserve"> REF _Ref202786138 \h </w:instrText>
      </w:r>
      <w:r w:rsidR="00E451AB">
        <w:fldChar w:fldCharType="separate"/>
      </w:r>
      <w:r w:rsidR="000D75AE" w:rsidRPr="72B4EEE6">
        <w:t>4.</w:t>
      </w:r>
      <w:r w:rsidR="000D75AE">
        <w:t>8</w:t>
      </w:r>
      <w:r w:rsidR="000D75AE" w:rsidRPr="72B4EEE6">
        <w:t>.1</w:t>
      </w:r>
      <w:r w:rsidR="00A31574">
        <w:t xml:space="preserve"> </w:t>
      </w:r>
      <w:r w:rsidR="000D75AE" w:rsidRPr="72B4EEE6">
        <w:t>Think time</w:t>
      </w:r>
      <w:r w:rsidR="00E451AB">
        <w:fldChar w:fldCharType="end"/>
      </w:r>
    </w:p>
    <w:p w14:paraId="4D83FAE0" w14:textId="23D022FE" w:rsidR="00D74559" w:rsidRDefault="00F43CED" w:rsidP="004E120D">
      <w:pPr>
        <w:pStyle w:val="BulletLevel1"/>
      </w:pPr>
      <w:r>
        <w:t xml:space="preserve">that </w:t>
      </w:r>
      <w:r w:rsidR="00D74559" w:rsidRPr="00CD1148">
        <w:t>the Participant</w:t>
      </w:r>
      <w:r w:rsidR="00D74559">
        <w:t xml:space="preserve"> notify their Provider</w:t>
      </w:r>
      <w:r>
        <w:t>,</w:t>
      </w:r>
      <w:r w:rsidR="00D74559">
        <w:t xml:space="preserve"> and request a review of their </w:t>
      </w:r>
      <w:r w:rsidR="00301789">
        <w:t>requirements</w:t>
      </w:r>
      <w:r w:rsidR="00F45AD8">
        <w:t>,</w:t>
      </w:r>
      <w:r w:rsidR="00D74559">
        <w:t xml:space="preserve"> if:</w:t>
      </w:r>
    </w:p>
    <w:p w14:paraId="5B3C429C" w14:textId="36A2AB86" w:rsidR="00D74559" w:rsidRDefault="00D74559" w:rsidP="004E120D">
      <w:pPr>
        <w:pStyle w:val="BulletLevel2"/>
      </w:pPr>
      <w:r>
        <w:t>there is a change in their circumstances</w:t>
      </w:r>
    </w:p>
    <w:p w14:paraId="31D42F58" w14:textId="77777777" w:rsidR="00D74559" w:rsidRDefault="00D74559" w:rsidP="004E120D">
      <w:pPr>
        <w:pStyle w:val="BulletLevel2"/>
      </w:pPr>
      <w:r>
        <w:t>they need more personalised support</w:t>
      </w:r>
    </w:p>
    <w:p w14:paraId="34290030" w14:textId="06A3030D" w:rsidR="00D74559" w:rsidRDefault="00D74559" w:rsidP="004E120D">
      <w:pPr>
        <w:pStyle w:val="BulletLevel2"/>
      </w:pPr>
      <w:r>
        <w:t>the</w:t>
      </w:r>
      <w:r w:rsidR="00D16F7A">
        <w:t>y</w:t>
      </w:r>
      <w:r>
        <w:t xml:space="preserve"> believe </w:t>
      </w:r>
      <w:r w:rsidR="00D16F7A">
        <w:t xml:space="preserve">the </w:t>
      </w:r>
      <w:r>
        <w:t xml:space="preserve">tasks and activities </w:t>
      </w:r>
      <w:r w:rsidR="00D16F7A">
        <w:t xml:space="preserve">they are required to do </w:t>
      </w:r>
      <w:r>
        <w:t>are not suitable, and/or</w:t>
      </w:r>
    </w:p>
    <w:p w14:paraId="23F8F447" w14:textId="0691700D" w:rsidR="00D74559" w:rsidRDefault="00D74559" w:rsidP="004E120D">
      <w:pPr>
        <w:pStyle w:val="BulletLevel2"/>
      </w:pPr>
      <w:r>
        <w:t>they are having difficulty meeting their participation requirements</w:t>
      </w:r>
      <w:r w:rsidR="00A440E3">
        <w:t>,</w:t>
      </w:r>
      <w:r w:rsidR="00642DE9">
        <w:t xml:space="preserve"> </w:t>
      </w:r>
      <w:r w:rsidR="009336F4">
        <w:t xml:space="preserve">including </w:t>
      </w:r>
      <w:r w:rsidR="00A440E3">
        <w:t>the Meaningful Engagement Requirement</w:t>
      </w:r>
    </w:p>
    <w:p w14:paraId="20BFFC2C" w14:textId="4A674C74" w:rsidR="00D74559" w:rsidRDefault="00D74559" w:rsidP="004E120D">
      <w:pPr>
        <w:pStyle w:val="BulletLevel1"/>
      </w:pPr>
      <w:r>
        <w:t xml:space="preserve">the possible consequences </w:t>
      </w:r>
      <w:r w:rsidR="009336F4">
        <w:t>of</w:t>
      </w:r>
      <w:r>
        <w:t xml:space="preserve"> not agreeing with their Job Plan, and</w:t>
      </w:r>
    </w:p>
    <w:p w14:paraId="0039D631" w14:textId="79A02101" w:rsidR="00D74559" w:rsidRDefault="00D74559" w:rsidP="004E120D">
      <w:pPr>
        <w:pStyle w:val="BulletLevel1"/>
      </w:pPr>
      <w:r w:rsidRPr="2190AEAE">
        <w:t xml:space="preserve">if relevant, the </w:t>
      </w:r>
      <w:r w:rsidR="00575FA5">
        <w:t>C</w:t>
      </w:r>
      <w:r w:rsidR="00357731">
        <w:t xml:space="preserve">omplaints </w:t>
      </w:r>
      <w:r w:rsidR="004826E5">
        <w:t xml:space="preserve">and review </w:t>
      </w:r>
      <w:r w:rsidRPr="2190AEAE">
        <w:t>process</w:t>
      </w:r>
      <w:r w:rsidR="004826E5">
        <w:t>es</w:t>
      </w:r>
      <w:r w:rsidRPr="2190AEAE">
        <w:t xml:space="preserve"> should a Participant not agree with the </w:t>
      </w:r>
      <w:r w:rsidR="0028008D">
        <w:t>requirements set within their Job Plan</w:t>
      </w:r>
      <w:r w:rsidR="009A3E8A">
        <w:t>, including</w:t>
      </w:r>
      <w:r w:rsidR="0028008D">
        <w:t xml:space="preserve"> </w:t>
      </w:r>
      <w:r w:rsidR="009A3E8A">
        <w:t>mov</w:t>
      </w:r>
      <w:r w:rsidR="00532BAA">
        <w:t xml:space="preserve">ing </w:t>
      </w:r>
      <w:r w:rsidR="00543401">
        <w:t>on</w:t>
      </w:r>
      <w:r w:rsidR="009A3E8A">
        <w:t>to</w:t>
      </w:r>
      <w:r w:rsidR="0028008D">
        <w:t xml:space="preserve"> </w:t>
      </w:r>
      <w:r w:rsidRPr="2190AEAE">
        <w:t xml:space="preserve">a </w:t>
      </w:r>
      <w:r>
        <w:t>Detailed Job Plan</w:t>
      </w:r>
      <w:r w:rsidR="009C07EC">
        <w:t xml:space="preserve"> — refer to </w:t>
      </w:r>
      <w:r w:rsidR="009665A8">
        <w:fldChar w:fldCharType="begin"/>
      </w:r>
      <w:r w:rsidR="009665A8">
        <w:instrText xml:space="preserve"> REF _Ref202786179 \h </w:instrText>
      </w:r>
      <w:r w:rsidR="009665A8">
        <w:fldChar w:fldCharType="separate"/>
      </w:r>
      <w:r w:rsidR="000D75AE">
        <w:t>12.3.1</w:t>
      </w:r>
      <w:r w:rsidR="00A31574">
        <w:t xml:space="preserve"> </w:t>
      </w:r>
      <w:r w:rsidR="000D75AE">
        <w:t>Provider Obligations</w:t>
      </w:r>
      <w:r w:rsidR="009665A8">
        <w:fldChar w:fldCharType="end"/>
      </w:r>
      <w:r w:rsidR="009665A8">
        <w:t xml:space="preserve"> </w:t>
      </w:r>
      <w:r w:rsidR="00D60B4F">
        <w:t>[</w:t>
      </w:r>
      <w:r w:rsidR="007679B0">
        <w:t>Targeted</w:t>
      </w:r>
      <w:r w:rsidR="00D60B4F">
        <w:t xml:space="preserve"> Compliance Framework] and </w:t>
      </w:r>
      <w:r w:rsidR="009665A8">
        <w:fldChar w:fldCharType="begin"/>
      </w:r>
      <w:r w:rsidR="009665A8">
        <w:instrText xml:space="preserve"> REF _Ref202786203 \h </w:instrText>
      </w:r>
      <w:r w:rsidR="009665A8">
        <w:fldChar w:fldCharType="separate"/>
      </w:r>
      <w:r w:rsidR="000D75AE">
        <w:t>12.7.1</w:t>
      </w:r>
      <w:r w:rsidR="00A31574">
        <w:t xml:space="preserve"> </w:t>
      </w:r>
      <w:r w:rsidR="000D75AE">
        <w:t>Provider Obligations</w:t>
      </w:r>
      <w:r w:rsidR="009665A8">
        <w:fldChar w:fldCharType="end"/>
      </w:r>
      <w:r w:rsidR="009665A8">
        <w:t xml:space="preserve"> </w:t>
      </w:r>
      <w:r w:rsidR="00D60B4F">
        <w:t>[DSP non-compliance]</w:t>
      </w:r>
      <w:r>
        <w:t>.</w:t>
      </w:r>
    </w:p>
    <w:p w14:paraId="599B3ECF" w14:textId="0F1F2EBC" w:rsidR="008A28D3" w:rsidRDefault="008A28D3" w:rsidP="008A28D3">
      <w:r>
        <w:t xml:space="preserve">If </w:t>
      </w:r>
      <w:r w:rsidR="00AB0324">
        <w:t>a</w:t>
      </w:r>
      <w:r>
        <w:t xml:space="preserve"> Participant</w:t>
      </w:r>
      <w:r w:rsidR="00AB0324">
        <w:t xml:space="preserve"> (Mutual Obligation)</w:t>
      </w:r>
      <w:r>
        <w:t xml:space="preserve"> is entering into a Detailed Job Plan, the Provider must also ensure the Participant is aware of </w:t>
      </w:r>
      <w:r w:rsidRPr="008A28D3">
        <w:t xml:space="preserve">their personal responsibility to self-report their participation against their Job Plan, unless the Participant is assessed as not being capable of self-reporting — refer to </w:t>
      </w:r>
      <w:r w:rsidR="009665A8" w:rsidRPr="00960A62">
        <w:rPr>
          <w:highlight w:val="yellow"/>
        </w:rPr>
        <w:fldChar w:fldCharType="begin"/>
      </w:r>
      <w:r w:rsidR="009665A8" w:rsidRPr="00960A62">
        <w:instrText xml:space="preserve"> REF _Ref202786035 \h </w:instrText>
      </w:r>
      <w:r w:rsidR="009665A8">
        <w:rPr>
          <w:highlight w:val="yellow"/>
        </w:rPr>
        <w:instrText xml:space="preserve"> \* MERGEFORMAT </w:instrText>
      </w:r>
      <w:r w:rsidR="009665A8" w:rsidRPr="00960A62">
        <w:rPr>
          <w:highlight w:val="yellow"/>
        </w:rPr>
      </w:r>
      <w:r w:rsidR="009665A8" w:rsidRPr="00960A62">
        <w:rPr>
          <w:highlight w:val="yellow"/>
        </w:rPr>
        <w:fldChar w:fldCharType="separate"/>
      </w:r>
      <w:r w:rsidR="000D75AE" w:rsidRPr="000D75AE">
        <w:t>5.10</w:t>
      </w:r>
      <w:r w:rsidR="00A31574">
        <w:t xml:space="preserve"> </w:t>
      </w:r>
      <w:r w:rsidR="000D75AE" w:rsidRPr="000D75AE">
        <w:t>Personal responsibility for reporting attendance</w:t>
      </w:r>
      <w:r w:rsidR="009665A8" w:rsidRPr="00960A62">
        <w:rPr>
          <w:highlight w:val="yellow"/>
        </w:rPr>
        <w:fldChar w:fldCharType="end"/>
      </w:r>
      <w:r w:rsidR="007B45AD">
        <w:t>.</w:t>
      </w:r>
    </w:p>
    <w:p w14:paraId="45DABDBD" w14:textId="49AC0BC4" w:rsidR="00D74559" w:rsidRDefault="00D74559" w:rsidP="006E2EF5">
      <w:pPr>
        <w:pStyle w:val="DeedReferences"/>
        <w:rPr>
          <w:rFonts w:eastAsiaTheme="minorEastAsia" w:cstheme="minorBidi"/>
        </w:rPr>
      </w:pPr>
      <w:r w:rsidRPr="72B4EEE6">
        <w:rPr>
          <w:rFonts w:eastAsiaTheme="minorEastAsia" w:cstheme="minorBidi"/>
        </w:rPr>
        <w:t>(</w:t>
      </w:r>
      <w:r w:rsidR="00A73420">
        <w:rPr>
          <w:rFonts w:eastAsiaTheme="minorEastAsia" w:cstheme="minorBidi"/>
        </w:rPr>
        <w:t>Deed Reference(s): Clause</w:t>
      </w:r>
      <w:r w:rsidRPr="72B4EEE6">
        <w:rPr>
          <w:rFonts w:eastAsiaTheme="minorEastAsia" w:cstheme="minorBidi"/>
        </w:rPr>
        <w:t xml:space="preserve"> 113.1(l),</w:t>
      </w:r>
      <w:r w:rsidR="007D1CB1">
        <w:rPr>
          <w:rFonts w:eastAsiaTheme="minorEastAsia" w:cstheme="minorBidi"/>
        </w:rPr>
        <w:t>134.19</w:t>
      </w:r>
      <w:r w:rsidRPr="72B4EEE6">
        <w:rPr>
          <w:rFonts w:eastAsiaTheme="minorEastAsia" w:cstheme="minorBidi"/>
        </w:rPr>
        <w:t>)</w:t>
      </w:r>
    </w:p>
    <w:p w14:paraId="73ADCE61" w14:textId="0F13E6B6" w:rsidR="00D74559" w:rsidRPr="006118AC" w:rsidRDefault="00D74559" w:rsidP="001D0F92">
      <w:pPr>
        <w:pStyle w:val="Heading4"/>
      </w:pPr>
      <w:bookmarkStart w:id="145" w:name="_Toc202899930"/>
      <w:r w:rsidRPr="72B4EEE6">
        <w:t>4.3.3</w:t>
      </w:r>
      <w:r w:rsidR="00B50B0D">
        <w:tab/>
      </w:r>
      <w:r w:rsidRPr="72B4EEE6">
        <w:t>Interpreters, nominees, and support persons</w:t>
      </w:r>
      <w:bookmarkEnd w:id="145"/>
    </w:p>
    <w:p w14:paraId="6DD35BD7" w14:textId="74035A85" w:rsidR="00D74559" w:rsidRPr="00F1560D" w:rsidRDefault="00D74559" w:rsidP="006E2EF5">
      <w:pPr>
        <w:spacing w:before="60" w:after="60"/>
      </w:pPr>
      <w:r w:rsidRPr="2190AEAE">
        <w:t xml:space="preserve">When a Participant asks, or if the Provider considers it </w:t>
      </w:r>
      <w:bookmarkStart w:id="146" w:name="_Int_NzWpvBSL"/>
      <w:r w:rsidRPr="2190AEAE">
        <w:t>appropriate</w:t>
      </w:r>
      <w:bookmarkEnd w:id="146"/>
      <w:r w:rsidRPr="2190AEAE">
        <w:t>, the Participant can bring a support person with them to review their Job Plan,</w:t>
      </w:r>
      <w:r w:rsidR="00E930C6">
        <w:t xml:space="preserve"> </w:t>
      </w:r>
      <w:r w:rsidR="001559D5">
        <w:t>to serve as</w:t>
      </w:r>
      <w:r w:rsidR="008B5DF0">
        <w:t xml:space="preserve"> a </w:t>
      </w:r>
      <w:r w:rsidR="001559D5">
        <w:t>trusted adviser</w:t>
      </w:r>
      <w:r w:rsidRPr="2190AEAE">
        <w:t>.</w:t>
      </w:r>
      <w:r w:rsidR="008B5DF0">
        <w:t xml:space="preserve"> </w:t>
      </w:r>
    </w:p>
    <w:p w14:paraId="60774A01" w14:textId="2783F14C" w:rsidR="00D74559" w:rsidRDefault="00D74559" w:rsidP="006E2EF5">
      <w:pPr>
        <w:spacing w:before="60" w:after="60"/>
      </w:pPr>
      <w:r>
        <w:t xml:space="preserve">Providers must use an interpreter </w:t>
      </w:r>
      <w:r w:rsidR="00AB0324">
        <w:t>if</w:t>
      </w:r>
      <w:r w:rsidR="00A87426">
        <w:t xml:space="preserve"> </w:t>
      </w:r>
      <w:r>
        <w:t xml:space="preserve">a Participant with hearing impairment or </w:t>
      </w:r>
      <w:r w:rsidR="00AB0324">
        <w:t xml:space="preserve">a </w:t>
      </w:r>
      <w:r>
        <w:t xml:space="preserve">language barrier </w:t>
      </w:r>
      <w:r w:rsidR="00007FBD">
        <w:t>require</w:t>
      </w:r>
      <w:r w:rsidR="005348CA">
        <w:t>s</w:t>
      </w:r>
      <w:r w:rsidR="00007FBD">
        <w:t xml:space="preserve"> it</w:t>
      </w:r>
      <w:r>
        <w:t xml:space="preserve"> — for example, </w:t>
      </w:r>
      <w:r w:rsidRPr="007B1328">
        <w:t>a Culturally and Linguistically Diverse (CALD) Participant</w:t>
      </w:r>
      <w:r>
        <w:t xml:space="preserve"> or First Nations Participant</w:t>
      </w:r>
      <w:r w:rsidR="009D38AB">
        <w:t>. This is to ensure the Participant</w:t>
      </w:r>
      <w:r w:rsidR="00007FBD">
        <w:t xml:space="preserve"> </w:t>
      </w:r>
      <w:r>
        <w:t xml:space="preserve">understands their participation requirements before they negotiate and agree to their Job Plan. </w:t>
      </w:r>
    </w:p>
    <w:p w14:paraId="5B5EEECA" w14:textId="66C6F3E4" w:rsidR="00D74559" w:rsidRPr="00F1560D" w:rsidRDefault="00D74559" w:rsidP="006E2EF5">
      <w:pPr>
        <w:spacing w:before="60" w:after="60"/>
      </w:pPr>
      <w:r w:rsidRPr="2190AEAE">
        <w:t xml:space="preserve">Where a Participant has court appointed nominee arrangements in place </w:t>
      </w:r>
      <w:r w:rsidR="00E15419">
        <w:t>as they are unable</w:t>
      </w:r>
      <w:r w:rsidRPr="2190AEAE">
        <w:t xml:space="preserve"> to manage their own affairs</w:t>
      </w:r>
      <w:r w:rsidR="00E15419">
        <w:t xml:space="preserve"> —</w:t>
      </w:r>
      <w:r w:rsidRPr="2190AEAE">
        <w:t xml:space="preserve"> for example with state and territory guardianship</w:t>
      </w:r>
      <w:r w:rsidR="00980CA2">
        <w:t xml:space="preserve"> or </w:t>
      </w:r>
      <w:bookmarkStart w:id="147" w:name="_Int_zZxVDEko"/>
      <w:r w:rsidRPr="2190AEAE">
        <w:t>financial management</w:t>
      </w:r>
      <w:bookmarkEnd w:id="147"/>
      <w:r w:rsidRPr="2190AEAE">
        <w:t xml:space="preserve"> orders in place</w:t>
      </w:r>
      <w:r w:rsidR="00814499">
        <w:t xml:space="preserve"> </w:t>
      </w:r>
      <w:r w:rsidR="00E15419">
        <w:t>—</w:t>
      </w:r>
      <w:r w:rsidRPr="2190AEAE">
        <w:t xml:space="preserve"> the nominee should be involved in the negotiation of the Job Plan to ensure </w:t>
      </w:r>
      <w:r w:rsidR="00E15419">
        <w:t xml:space="preserve">it appropriately reflects reasonable </w:t>
      </w:r>
      <w:r w:rsidRPr="2190AEAE">
        <w:t>requirements for the Participant.</w:t>
      </w:r>
    </w:p>
    <w:p w14:paraId="788B854F" w14:textId="0FC3D22F" w:rsidR="001559D5" w:rsidRPr="00F1560D" w:rsidRDefault="001559D5" w:rsidP="006E2EF5">
      <w:pPr>
        <w:spacing w:before="60" w:after="60"/>
      </w:pPr>
      <w:r>
        <w:t>If a Participant ha</w:t>
      </w:r>
      <w:r w:rsidR="009D38AB">
        <w:t>s</w:t>
      </w:r>
      <w:r>
        <w:t xml:space="preserve"> a support person or </w:t>
      </w:r>
      <w:r w:rsidRPr="2190AEAE">
        <w:t>court appointed nomine</w:t>
      </w:r>
      <w:r>
        <w:t xml:space="preserve">e in attendance, Providers should </w:t>
      </w:r>
      <w:r w:rsidR="009D38AB">
        <w:t xml:space="preserve">still </w:t>
      </w:r>
      <w:r>
        <w:t xml:space="preserve">promote self-determination and autonomy </w:t>
      </w:r>
      <w:r w:rsidR="00D82D64">
        <w:t xml:space="preserve">by the Participant, such that </w:t>
      </w:r>
      <w:r w:rsidR="0094513D">
        <w:t>a</w:t>
      </w:r>
      <w:r w:rsidR="00D82D64">
        <w:t xml:space="preserve"> Participant </w:t>
      </w:r>
      <w:r w:rsidR="00997849">
        <w:t>is fully</w:t>
      </w:r>
      <w:r w:rsidR="0094513D">
        <w:t xml:space="preserve"> </w:t>
      </w:r>
      <w:r w:rsidR="00997849">
        <w:t>involved</w:t>
      </w:r>
      <w:r w:rsidR="00EA7FD9">
        <w:t xml:space="preserve"> in the decision-making process</w:t>
      </w:r>
      <w:r w:rsidR="00A67456">
        <w:t>. This includes</w:t>
      </w:r>
      <w:r w:rsidR="00652C03">
        <w:t xml:space="preserve"> </w:t>
      </w:r>
      <w:r w:rsidR="00D82D64">
        <w:t>deci</w:t>
      </w:r>
      <w:r w:rsidR="00652C03">
        <w:t xml:space="preserve">ding and agreeing to </w:t>
      </w:r>
      <w:r w:rsidR="00D82D64">
        <w:t xml:space="preserve">tasks and activities </w:t>
      </w:r>
      <w:r w:rsidR="00C83C6B">
        <w:t>(either as a part</w:t>
      </w:r>
      <w:r w:rsidR="00652C03">
        <w:t xml:space="preserve"> of </w:t>
      </w:r>
      <w:r w:rsidR="00FC20FE">
        <w:t xml:space="preserve">their </w:t>
      </w:r>
      <w:r w:rsidR="002448FF">
        <w:t xml:space="preserve">plan to meet </w:t>
      </w:r>
      <w:r w:rsidR="00652C03">
        <w:t xml:space="preserve">the Meaningful </w:t>
      </w:r>
      <w:r w:rsidR="002448FF">
        <w:t>Engagement Requirement or included in the Detailed Job Plan)</w:t>
      </w:r>
      <w:r w:rsidR="00D82D64">
        <w:t>.</w:t>
      </w:r>
    </w:p>
    <w:p w14:paraId="63FBA0D5" w14:textId="06AE716C" w:rsidR="00D74559" w:rsidRPr="00120578" w:rsidRDefault="00D74559" w:rsidP="001D0F92">
      <w:pPr>
        <w:pStyle w:val="Heading3"/>
      </w:pPr>
      <w:bookmarkStart w:id="148" w:name="_Ref202785211"/>
      <w:bookmarkStart w:id="149" w:name="_Toc202899931"/>
      <w:r>
        <w:t>4.4</w:t>
      </w:r>
      <w:r w:rsidR="00B50B0D">
        <w:tab/>
      </w:r>
      <w:r>
        <w:t>Entering into a Job Plan</w:t>
      </w:r>
      <w:bookmarkEnd w:id="148"/>
      <w:bookmarkEnd w:id="149"/>
    </w:p>
    <w:p w14:paraId="47560955" w14:textId="053BE876" w:rsidR="00D74559" w:rsidRDefault="00D74559" w:rsidP="006E2EF5">
      <w:r w:rsidRPr="2190AEAE">
        <w:t xml:space="preserve">Detailed information on </w:t>
      </w:r>
      <w:bookmarkStart w:id="150" w:name="_Int_iUsNAYHr"/>
      <w:r w:rsidRPr="2190AEAE">
        <w:t>entering into</w:t>
      </w:r>
      <w:bookmarkEnd w:id="150"/>
      <w:r w:rsidRPr="2190AEAE">
        <w:t xml:space="preserve"> a Job Plan is available </w:t>
      </w:r>
      <w:r w:rsidR="008F74B1">
        <w:t>in</w:t>
      </w:r>
      <w:r w:rsidR="0086764F" w:rsidRPr="2190AEAE">
        <w:t xml:space="preserve"> the </w:t>
      </w:r>
      <w:r w:rsidR="008F74B1" w:rsidRPr="007235C0">
        <w:rPr>
          <w:rStyle w:val="Hyperlink"/>
        </w:rPr>
        <w:t>Creating, updating, or withdrawing a Job Pla</w:t>
      </w:r>
      <w:r w:rsidR="007235C0">
        <w:rPr>
          <w:rStyle w:val="Hyperlink"/>
        </w:rPr>
        <w:t>n [LINK]</w:t>
      </w:r>
      <w:r w:rsidR="008F74B1">
        <w:t xml:space="preserve"> </w:t>
      </w:r>
      <w:r w:rsidR="00580E03">
        <w:t xml:space="preserve">supporting document on </w:t>
      </w:r>
      <w:r w:rsidR="006B5D9C">
        <w:t>Provider Portal</w:t>
      </w:r>
      <w:r w:rsidRPr="2190AEAE">
        <w:t>.</w:t>
      </w:r>
    </w:p>
    <w:p w14:paraId="4AB0E8AE" w14:textId="5F3A3948" w:rsidR="00D74559" w:rsidRDefault="00D74559" w:rsidP="006E2EF5">
      <w:pPr>
        <w:tabs>
          <w:tab w:val="right" w:pos="1701"/>
        </w:tabs>
        <w:spacing w:after="120"/>
      </w:pPr>
      <w:r>
        <w:t xml:space="preserve">All Participants must have a Job Plan. The Job Plan must be agreed before a Participant can Commence in </w:t>
      </w:r>
      <w:r w:rsidR="00C74C33">
        <w:t>Inclusive Employment Australia</w:t>
      </w:r>
      <w:r>
        <w:t xml:space="preserve"> and must </w:t>
      </w:r>
      <w:r w:rsidR="006827F6">
        <w:t xml:space="preserve">be updated so that </w:t>
      </w:r>
      <w:r>
        <w:t>always remain current.</w:t>
      </w:r>
      <w:r w:rsidR="00754C05">
        <w:t xml:space="preserve"> The Job Plan is valid from the day on which it is signed (which includes agreement to the Job Plan online or</w:t>
      </w:r>
      <w:r w:rsidR="00527F8A">
        <w:t xml:space="preserve"> verbally</w:t>
      </w:r>
      <w:r w:rsidR="00754C05">
        <w:t>).</w:t>
      </w:r>
    </w:p>
    <w:p w14:paraId="187623F2" w14:textId="12C9B091" w:rsidR="00574B79" w:rsidRDefault="000C3C0D" w:rsidP="00754C05">
      <w:r>
        <w:t>When entering into a Job Plan, regardless of the Job Plan type, t</w:t>
      </w:r>
      <w:r w:rsidRPr="3644EC22">
        <w:t>he</w:t>
      </w:r>
      <w:r w:rsidR="00574B79">
        <w:t xml:space="preserve"> </w:t>
      </w:r>
      <w:r w:rsidR="004826E5">
        <w:t>Provider must explain the purpose and contents of the Job Plan as outlined in</w:t>
      </w:r>
      <w:r w:rsidR="003B4DED">
        <w:t xml:space="preserve"> </w:t>
      </w:r>
      <w:r w:rsidR="009D2EE8">
        <w:fldChar w:fldCharType="begin"/>
      </w:r>
      <w:r w:rsidR="009D2EE8">
        <w:instrText xml:space="preserve"> REF _Ref202786312 \h </w:instrText>
      </w:r>
      <w:r w:rsidR="009D2EE8">
        <w:fldChar w:fldCharType="separate"/>
      </w:r>
      <w:r w:rsidR="000D75AE">
        <w:t>4.4.</w:t>
      </w:r>
      <w:r w:rsidR="00E12BF6">
        <w:t xml:space="preserve"> </w:t>
      </w:r>
      <w:r w:rsidR="000D75AE" w:rsidRPr="72B4EEE6">
        <w:t>Explaining the Job Plan to the Participant</w:t>
      </w:r>
      <w:r w:rsidR="009D2EE8">
        <w:fldChar w:fldCharType="end"/>
      </w:r>
      <w:r w:rsidR="00574B79">
        <w:t>.</w:t>
      </w:r>
    </w:p>
    <w:p w14:paraId="751F9D3B" w14:textId="71A6C291" w:rsidR="00026460" w:rsidRDefault="00026460" w:rsidP="00026460">
      <w:r>
        <w:t xml:space="preserve">At the Initial Interview, Providers must review the Participant’s Job Plan history and will create a Job Plan for each Participant (unless the Participant has a Centrelink Job Plan) — which may be a Meaningful Engagement Job Plan or Detailed Job Plan in accordance with </w:t>
      </w:r>
      <w:r w:rsidR="00035B7F">
        <w:fldChar w:fldCharType="begin"/>
      </w:r>
      <w:r w:rsidR="00035B7F">
        <w:instrText xml:space="preserve"> REF _Ref202786608 \h </w:instrText>
      </w:r>
      <w:r w:rsidR="00035B7F">
        <w:fldChar w:fldCharType="separate"/>
      </w:r>
      <w:r w:rsidR="000D75AE" w:rsidRPr="72B4EEE6">
        <w:t>4.4.1</w:t>
      </w:r>
      <w:r w:rsidR="002D5130">
        <w:t xml:space="preserve"> </w:t>
      </w:r>
      <w:r w:rsidR="000D75AE">
        <w:t>Determining the appropriate Job Plan type</w:t>
      </w:r>
      <w:r w:rsidR="00035B7F">
        <w:fldChar w:fldCharType="end"/>
      </w:r>
      <w:r>
        <w:t>. This Job Plan need only include the pre-populated fields. The Provider can include additional tasks and activities that are negotiated between the Participant and Provider over the Initial Engagement Period.</w:t>
      </w:r>
    </w:p>
    <w:p w14:paraId="58DFDEFC" w14:textId="77777777" w:rsidR="00026460" w:rsidRDefault="00026460" w:rsidP="00026460">
      <w:pPr>
        <w:pStyle w:val="BulletLevel1"/>
      </w:pPr>
      <w:r>
        <w:t>Tasks and activities to inform a Participant’s Meaningful Engagement Requirement must be managed outside of the Meaningful Engagement Job Plan.</w:t>
      </w:r>
    </w:p>
    <w:p w14:paraId="1F7A61CF" w14:textId="77777777" w:rsidR="00026460" w:rsidRDefault="00026460" w:rsidP="00026460">
      <w:pPr>
        <w:pStyle w:val="BulletLevel1"/>
      </w:pPr>
      <w:r>
        <w:t>Tasks and activities to meet Detailed Job Plan participation requirements must be added to the Job Plan.</w:t>
      </w:r>
    </w:p>
    <w:p w14:paraId="0C8C3F02" w14:textId="7A8213F9" w:rsidR="00574B79" w:rsidRDefault="00DC2C4E" w:rsidP="00754C05">
      <w:r>
        <w:t xml:space="preserve">In creating </w:t>
      </w:r>
      <w:r w:rsidR="00754C05">
        <w:t>a Job Plan</w:t>
      </w:r>
      <w:r w:rsidR="00CD05BC">
        <w:t>, Providers must discuss th</w:t>
      </w:r>
      <w:r w:rsidR="00DA1C91">
        <w:t>e</w:t>
      </w:r>
      <w:r w:rsidR="00CD05BC">
        <w:t xml:space="preserve"> </w:t>
      </w:r>
      <w:r w:rsidR="00D06C58">
        <w:t>individual</w:t>
      </w:r>
      <w:r w:rsidR="00CD05BC">
        <w:t xml:space="preserve"> goals </w:t>
      </w:r>
      <w:r w:rsidR="00C570C7">
        <w:t>a</w:t>
      </w:r>
      <w:r w:rsidR="00CD05BC" w:rsidDel="00C570C7">
        <w:t xml:space="preserve"> </w:t>
      </w:r>
      <w:r w:rsidR="00CD05BC">
        <w:t xml:space="preserve">Participant would like to achieve. </w:t>
      </w:r>
      <w:r w:rsidR="00C570C7">
        <w:t>This will be captured in the</w:t>
      </w:r>
      <w:r w:rsidR="00CD05BC" w:rsidDel="00C570C7">
        <w:t xml:space="preserve"> </w:t>
      </w:r>
      <w:r w:rsidR="00CD05BC">
        <w:t xml:space="preserve">Job Plan </w:t>
      </w:r>
      <w:r w:rsidR="00C570C7">
        <w:t xml:space="preserve">under </w:t>
      </w:r>
      <w:r w:rsidR="00CD05BC">
        <w:t>the Participant’s Employment Goal and reflect</w:t>
      </w:r>
      <w:r w:rsidR="00C0717A">
        <w:t>s</w:t>
      </w:r>
      <w:r w:rsidR="00CD05BC">
        <w:t xml:space="preserve"> how the </w:t>
      </w:r>
      <w:r w:rsidR="0078528A">
        <w:t>P</w:t>
      </w:r>
      <w:r w:rsidR="00CD05BC">
        <w:t xml:space="preserve">rovider will help </w:t>
      </w:r>
      <w:r w:rsidR="0078528A">
        <w:t>a Participant to</w:t>
      </w:r>
      <w:r w:rsidR="00CD05BC">
        <w:t xml:space="preserve"> </w:t>
      </w:r>
      <w:r w:rsidR="0078528A">
        <w:t>work towards achieving</w:t>
      </w:r>
      <w:r w:rsidR="00CD05BC">
        <w:t xml:space="preserve"> </w:t>
      </w:r>
      <w:r w:rsidR="0078528A">
        <w:t>their</w:t>
      </w:r>
      <w:r w:rsidR="00CD05BC">
        <w:t xml:space="preserve"> goal</w:t>
      </w:r>
      <w:r w:rsidR="0078528A">
        <w:t>(</w:t>
      </w:r>
      <w:r w:rsidR="00CD05BC">
        <w:t>s</w:t>
      </w:r>
      <w:r w:rsidR="0078528A">
        <w:t>)</w:t>
      </w:r>
      <w:r w:rsidR="00CD05BC">
        <w:t>.</w:t>
      </w:r>
      <w:r w:rsidR="00754C05">
        <w:t xml:space="preserve"> See </w:t>
      </w:r>
      <w:r w:rsidR="009D2EE8">
        <w:fldChar w:fldCharType="begin"/>
      </w:r>
      <w:r w:rsidR="009D2EE8">
        <w:instrText xml:space="preserve"> REF _Ref202786325 \h </w:instrText>
      </w:r>
      <w:r w:rsidR="009D2EE8">
        <w:fldChar w:fldCharType="separate"/>
      </w:r>
      <w:r w:rsidR="000D75AE" w:rsidRPr="72B4EEE6">
        <w:t>4.5</w:t>
      </w:r>
      <w:r w:rsidR="002E053E">
        <w:t xml:space="preserve"> </w:t>
      </w:r>
      <w:r w:rsidR="000D75AE">
        <w:t xml:space="preserve">Setting an </w:t>
      </w:r>
      <w:r w:rsidR="000D75AE" w:rsidRPr="72B4EEE6">
        <w:t>Employment Goal</w:t>
      </w:r>
      <w:r w:rsidR="009D2EE8">
        <w:fldChar w:fldCharType="end"/>
      </w:r>
      <w:r w:rsidR="009D2EE8">
        <w:t xml:space="preserve"> </w:t>
      </w:r>
      <w:r w:rsidR="00754C05">
        <w:t xml:space="preserve">for more information on this process. </w:t>
      </w:r>
    </w:p>
    <w:p w14:paraId="2DAB9E7C" w14:textId="6FBFA2E9" w:rsidR="00754C05" w:rsidRDefault="006F370A" w:rsidP="00754C05">
      <w:r>
        <w:t>R</w:t>
      </w:r>
      <w:r w:rsidR="00754C05">
        <w:t>egardless of the Job Plan type, t</w:t>
      </w:r>
      <w:r w:rsidR="00754C05" w:rsidRPr="00C70AB8">
        <w:t xml:space="preserve">he </w:t>
      </w:r>
      <w:r w:rsidR="00754C05">
        <w:t xml:space="preserve">contents of the </w:t>
      </w:r>
      <w:r w:rsidR="00754C05" w:rsidRPr="00C70AB8">
        <w:t xml:space="preserve">Job Plan </w:t>
      </w:r>
      <w:r w:rsidR="00754C05">
        <w:t>must</w:t>
      </w:r>
      <w:r w:rsidR="00754C05" w:rsidRPr="00C70AB8">
        <w:t xml:space="preserve"> include details, terms and information about </w:t>
      </w:r>
      <w:r w:rsidR="00754C05">
        <w:t xml:space="preserve">participation </w:t>
      </w:r>
      <w:r w:rsidR="00754C05" w:rsidRPr="00C70AB8" w:rsidDel="00BB322B">
        <w:t xml:space="preserve">requirements </w:t>
      </w:r>
      <w:r w:rsidR="00754C05" w:rsidRPr="00C70AB8">
        <w:t xml:space="preserve">that must be met </w:t>
      </w:r>
      <w:r w:rsidR="00754C05" w:rsidRPr="00C70AB8" w:rsidDel="00BB322B">
        <w:t>under Social Security Law</w:t>
      </w:r>
      <w:r w:rsidR="00754C05">
        <w:t xml:space="preserve">, </w:t>
      </w:r>
      <w:r w:rsidR="00754C05" w:rsidRPr="00754C05">
        <w:t>where relevant.</w:t>
      </w:r>
    </w:p>
    <w:p w14:paraId="15C7F7A2" w14:textId="4F287FE9" w:rsidR="00574B79" w:rsidRDefault="00D74559" w:rsidP="001D0F92">
      <w:pPr>
        <w:pStyle w:val="Heading4"/>
      </w:pPr>
      <w:bookmarkStart w:id="151" w:name="_Ref202786608"/>
      <w:bookmarkStart w:id="152" w:name="_Toc202899932"/>
      <w:r w:rsidRPr="72B4EEE6">
        <w:t>4.4.1</w:t>
      </w:r>
      <w:r w:rsidR="00847C10">
        <w:tab/>
      </w:r>
      <w:r w:rsidR="00574B79">
        <w:t>Determining the appropriate Job Plan type</w:t>
      </w:r>
      <w:bookmarkEnd w:id="151"/>
      <w:bookmarkEnd w:id="152"/>
    </w:p>
    <w:p w14:paraId="7E42AA46" w14:textId="17BA6302" w:rsidR="00574B79" w:rsidRDefault="00C374EA" w:rsidP="00426BE9">
      <w:pPr>
        <w:keepNext/>
      </w:pPr>
      <w:r>
        <w:t>At the Initial Interview, i</w:t>
      </w:r>
      <w:r w:rsidR="00574B79" w:rsidRPr="2190AEAE">
        <w:t xml:space="preserve">f the Participant </w:t>
      </w:r>
      <w:r w:rsidR="00574B79">
        <w:t>has</w:t>
      </w:r>
      <w:r w:rsidR="00574B79" w:rsidRPr="2190AEAE">
        <w:t xml:space="preserve"> </w:t>
      </w:r>
      <w:r w:rsidR="00574B79" w:rsidRPr="004928A8">
        <w:t>not</w:t>
      </w:r>
      <w:r w:rsidR="00574B79" w:rsidRPr="2190AEAE">
        <w:t xml:space="preserve"> </w:t>
      </w:r>
      <w:r w:rsidR="00574B79">
        <w:t>entered into</w:t>
      </w:r>
      <w:r w:rsidR="00574B79" w:rsidRPr="2190AEAE">
        <w:t xml:space="preserve"> </w:t>
      </w:r>
      <w:r w:rsidR="00574B79">
        <w:t xml:space="preserve">a </w:t>
      </w:r>
      <w:r w:rsidR="00574B79" w:rsidRPr="2190AEAE">
        <w:t>Job Plan</w:t>
      </w:r>
      <w:r w:rsidR="00574B79">
        <w:t xml:space="preserve"> with an </w:t>
      </w:r>
      <w:r w:rsidR="00C74C33">
        <w:t>Inclusive Employment Australia</w:t>
      </w:r>
      <w:r w:rsidR="00574B79">
        <w:t xml:space="preserve"> Provider during their current Period of Service</w:t>
      </w:r>
      <w:r w:rsidR="00574B79" w:rsidRPr="2190AEAE">
        <w:t xml:space="preserve">, the Provider </w:t>
      </w:r>
      <w:r w:rsidR="00574B79">
        <w:t>will</w:t>
      </w:r>
      <w:r w:rsidR="00574B79" w:rsidRPr="2190AEAE">
        <w:t xml:space="preserve"> </w:t>
      </w:r>
      <w:bookmarkStart w:id="153" w:name="_Int_DE60gRhT"/>
      <w:r w:rsidR="00574B79">
        <w:t xml:space="preserve">require the Participant to </w:t>
      </w:r>
      <w:r w:rsidR="00574B79" w:rsidRPr="2190AEAE">
        <w:t>enter into</w:t>
      </w:r>
      <w:bookmarkEnd w:id="153"/>
      <w:r w:rsidR="00574B79" w:rsidRPr="2190AEAE">
        <w:t xml:space="preserve"> </w:t>
      </w:r>
      <w:r w:rsidR="00574B79">
        <w:t>a Meaningful Engagement Job Plan.</w:t>
      </w:r>
    </w:p>
    <w:p w14:paraId="153C04A9" w14:textId="6B442855" w:rsidR="00E133A6" w:rsidRDefault="00C374EA" w:rsidP="00426BE9">
      <w:pPr>
        <w:keepNext/>
      </w:pPr>
      <w:r>
        <w:t>At the Initial Interview, i</w:t>
      </w:r>
      <w:r w:rsidRPr="2190AEAE">
        <w:t>f</w:t>
      </w:r>
      <w:r w:rsidR="00574B79">
        <w:t xml:space="preserve"> the Participant has </w:t>
      </w:r>
      <w:r w:rsidR="009E35DF">
        <w:t xml:space="preserve">a </w:t>
      </w:r>
      <w:r w:rsidR="00574B79">
        <w:t xml:space="preserve">previous Job Plan with an </w:t>
      </w:r>
      <w:r w:rsidR="00C74C33">
        <w:t>Inclusive Employment Australia</w:t>
      </w:r>
      <w:r w:rsidR="00574B79">
        <w:t xml:space="preserve"> Provider during their current Period of Service, the </w:t>
      </w:r>
      <w:r w:rsidR="00574B79" w:rsidRPr="2190AEAE">
        <w:t xml:space="preserve">Provider </w:t>
      </w:r>
      <w:r w:rsidR="00E133A6">
        <w:t>must review a Transferred Participant’s last approved Job Plan.</w:t>
      </w:r>
    </w:p>
    <w:p w14:paraId="5E8B4CE5" w14:textId="4545AB82" w:rsidR="00574B79" w:rsidRDefault="00E133A6" w:rsidP="00426BE9">
      <w:pPr>
        <w:keepNext/>
      </w:pPr>
      <w:r>
        <w:t xml:space="preserve">The Provider </w:t>
      </w:r>
      <w:r w:rsidR="006233A4">
        <w:t xml:space="preserve">will </w:t>
      </w:r>
      <w:r w:rsidR="00574B79">
        <w:t xml:space="preserve">require the </w:t>
      </w:r>
      <w:r w:rsidR="005546DB">
        <w:t xml:space="preserve">Transferred </w:t>
      </w:r>
      <w:r w:rsidR="00574B79">
        <w:t xml:space="preserve">Participant to enter into </w:t>
      </w:r>
      <w:r w:rsidR="006233A4">
        <w:t>either</w:t>
      </w:r>
      <w:r w:rsidR="00574B79">
        <w:t xml:space="preserve"> a Meaningful Engagement Job Plan or Detailed Job Plan as follows:</w:t>
      </w:r>
    </w:p>
    <w:p w14:paraId="204B9CE5" w14:textId="1DB910A4" w:rsidR="00B95C43" w:rsidRPr="00BF5FD4" w:rsidRDefault="00B95C43" w:rsidP="00B95C43">
      <w:pPr>
        <w:pStyle w:val="BulletLevel1"/>
      </w:pPr>
      <w:r w:rsidRPr="0035143E">
        <w:t xml:space="preserve">If a Transferred Participant </w:t>
      </w:r>
      <w:r>
        <w:t>previous</w:t>
      </w:r>
      <w:r w:rsidR="00655237">
        <w:t xml:space="preserve"> Job Plan was</w:t>
      </w:r>
      <w:r w:rsidRPr="0035143E">
        <w:t xml:space="preserve"> a Meaningful Engagement Job Plan, the Provider must enter into a Meaningful Engagement Job Plan with the </w:t>
      </w:r>
      <w:r w:rsidRPr="00BF5FD4">
        <w:t>Participant.</w:t>
      </w:r>
    </w:p>
    <w:p w14:paraId="4961CBD0" w14:textId="5E9D2137" w:rsidR="00B95C43" w:rsidRPr="0035143E" w:rsidRDefault="00B95C43" w:rsidP="00B95C43">
      <w:pPr>
        <w:pStyle w:val="BulletLevel1"/>
      </w:pPr>
      <w:r w:rsidRPr="00BF5FD4">
        <w:t xml:space="preserve">If a Transferred Participant </w:t>
      </w:r>
      <w:r w:rsidR="00655237">
        <w:t>previous Job Plan was</w:t>
      </w:r>
      <w:r w:rsidR="00655237" w:rsidRPr="0035143E">
        <w:t xml:space="preserve"> a </w:t>
      </w:r>
      <w:r w:rsidRPr="00BF5FD4">
        <w:t>Detailed Job Plan, the Provider</w:t>
      </w:r>
      <w:r w:rsidRPr="0035143E">
        <w:t>:</w:t>
      </w:r>
    </w:p>
    <w:p w14:paraId="41B153B7" w14:textId="3B49181F" w:rsidR="00574B79" w:rsidRDefault="0053195B" w:rsidP="00032619">
      <w:pPr>
        <w:pStyle w:val="BulletLevel2"/>
      </w:pPr>
      <w:r>
        <w:t>has discretion to</w:t>
      </w:r>
      <w:r w:rsidR="00655237">
        <w:t xml:space="preserve"> enter into </w:t>
      </w:r>
      <w:r w:rsidR="0030655E">
        <w:t>e</w:t>
      </w:r>
      <w:r w:rsidR="009632FD">
        <w:t>ither</w:t>
      </w:r>
      <w:r w:rsidR="00574B79">
        <w:t xml:space="preserve"> a Meaningful Engagement Job Plan or Detailed Job Plan </w:t>
      </w:r>
      <w:r w:rsidR="009632FD">
        <w:t>(Provider discretion) -</w:t>
      </w:r>
      <w:r w:rsidR="00574B79">
        <w:t xml:space="preserve"> </w:t>
      </w:r>
      <w:r w:rsidR="00574B79" w:rsidRPr="0E218120">
        <w:t xml:space="preserve">for a Participant (Mutual Obligation) </w:t>
      </w:r>
      <w:r w:rsidR="0030655E" w:rsidRPr="0E218120">
        <w:t>in the TCF Green Zone</w:t>
      </w:r>
      <w:r w:rsidR="0030655E">
        <w:t xml:space="preserve"> </w:t>
      </w:r>
      <w:r w:rsidR="00574B79">
        <w:t>whose previous Job Plan was a Detailed Job Plan</w:t>
      </w:r>
      <w:r w:rsidR="00574B79" w:rsidRPr="0E218120">
        <w:t>, subject to a review of the Job Plan history and Program Summary</w:t>
      </w:r>
      <w:r w:rsidR="00574B79">
        <w:t xml:space="preserve"> comments</w:t>
      </w:r>
    </w:p>
    <w:p w14:paraId="4AE57DA7" w14:textId="112D23D7" w:rsidR="00574B79" w:rsidRDefault="0053195B" w:rsidP="00032619">
      <w:pPr>
        <w:pStyle w:val="BulletLevel2"/>
      </w:pPr>
      <w:r>
        <w:t xml:space="preserve">must enter into a </w:t>
      </w:r>
      <w:r w:rsidR="00574B79">
        <w:t xml:space="preserve">Detailed Job Plan for a </w:t>
      </w:r>
      <w:r w:rsidR="00574B79" w:rsidRPr="0E218120">
        <w:t xml:space="preserve">Participant (Mutual Obligation) </w:t>
      </w:r>
      <w:r w:rsidR="00964D91">
        <w:t xml:space="preserve">– if a Participant had a </w:t>
      </w:r>
      <w:r w:rsidR="00574B79">
        <w:t>previous Detailed Job Plan</w:t>
      </w:r>
      <w:r w:rsidR="00D32469">
        <w:t>,</w:t>
      </w:r>
      <w:r w:rsidR="00574B79">
        <w:t xml:space="preserve"> if the </w:t>
      </w:r>
      <w:r w:rsidR="00574B79" w:rsidRPr="0E218120">
        <w:t xml:space="preserve">Participant is in the TCF </w:t>
      </w:r>
      <w:r w:rsidR="00574B79">
        <w:t>Warning</w:t>
      </w:r>
      <w:r w:rsidR="00574B79" w:rsidRPr="0E218120">
        <w:t xml:space="preserve"> Zone</w:t>
      </w:r>
      <w:r w:rsidR="00574B79">
        <w:t xml:space="preserve"> or Penalty Zone, or</w:t>
      </w:r>
    </w:p>
    <w:p w14:paraId="61125844" w14:textId="0782B758" w:rsidR="00574B79" w:rsidRDefault="00574B79" w:rsidP="00032619">
      <w:pPr>
        <w:pStyle w:val="BulletLevel2"/>
      </w:pPr>
      <w:r>
        <w:t xml:space="preserve">has discretion to </w:t>
      </w:r>
      <w:r w:rsidR="0053195B">
        <w:t>enter into</w:t>
      </w:r>
      <w:r>
        <w:t xml:space="preserve"> </w:t>
      </w:r>
      <w:r w:rsidR="0053195B">
        <w:t>either a Meaningful Engagement Job Plan or Detailed Job Plan (Provider discretion)</w:t>
      </w:r>
      <w:r>
        <w:t xml:space="preserve"> </w:t>
      </w:r>
      <w:r w:rsidRPr="0E218120">
        <w:t>for a</w:t>
      </w:r>
      <w:r w:rsidRPr="00B03871">
        <w:t xml:space="preserve"> </w:t>
      </w:r>
      <w:r w:rsidRPr="0035143E">
        <w:t>DSP Recipient (Compulsory Requirements)</w:t>
      </w:r>
      <w:r w:rsidR="00E8245D">
        <w:t xml:space="preserve">, </w:t>
      </w:r>
      <w:r>
        <w:t>subject to a review of their compliance history, Job Plan history and Program Summary comments.</w:t>
      </w:r>
    </w:p>
    <w:p w14:paraId="17D1186D" w14:textId="77777777" w:rsidR="00574B79" w:rsidRDefault="00574B79" w:rsidP="00574B79">
      <w:pPr>
        <w:pStyle w:val="SystemStep"/>
      </w:pPr>
      <w:r>
        <w:t>Providers can view a Participant’s Job Plan history on the ‘Participation’ screen on the Department’s IT Systems.</w:t>
      </w:r>
    </w:p>
    <w:p w14:paraId="4BA2BA68" w14:textId="4D99E86F" w:rsidR="00574B79" w:rsidRDefault="00574B79" w:rsidP="00574B79">
      <w:pPr>
        <w:pStyle w:val="SystemStep"/>
      </w:pPr>
      <w:r>
        <w:t>Providers can view comments entered by other Providers in the Program Summary on</w:t>
      </w:r>
      <w:r w:rsidRPr="53BE8163">
        <w:t xml:space="preserve"> the Department’s IT Systems</w:t>
      </w:r>
      <w:r>
        <w:t xml:space="preserve">. </w:t>
      </w:r>
    </w:p>
    <w:p w14:paraId="3CD5F316" w14:textId="4146CF94" w:rsidR="00574B79" w:rsidRDefault="00574B79" w:rsidP="00574B79">
      <w:pPr>
        <w:pStyle w:val="DocumentaryEvidenceRequirement"/>
      </w:pPr>
      <w:r>
        <w:t>For a Transferred Participant, the Provider must record the reasons why they have selected either a Meaningful Engagement Job Plan or Detailed Job Plan on Commencement.</w:t>
      </w:r>
    </w:p>
    <w:p w14:paraId="76DB5B85" w14:textId="424312F8" w:rsidR="00574B79" w:rsidRPr="00FB7CD7" w:rsidRDefault="00574B79" w:rsidP="00574B79">
      <w:pPr>
        <w:pStyle w:val="SystemStep"/>
      </w:pPr>
      <w:r>
        <w:t xml:space="preserve">Providers must record </w:t>
      </w:r>
      <w:r w:rsidR="00504427">
        <w:t>Participant r</w:t>
      </w:r>
      <w:r>
        <w:t>easons for entering into a Meaningful Engagement or Detailed Job Plan for a Transferred Participant using the comment functionality in the Program Summary on the Department’s IT Systems.</w:t>
      </w:r>
    </w:p>
    <w:p w14:paraId="01D7B473" w14:textId="3BD1965B" w:rsidR="00574B79" w:rsidRDefault="00574B79" w:rsidP="00574B79">
      <w:r>
        <w:t xml:space="preserve">Providers may need to create or update a Job Plan </w:t>
      </w:r>
      <w:r w:rsidR="00E27FD5">
        <w:t xml:space="preserve">for </w:t>
      </w:r>
      <w:r>
        <w:t>Participants who return within 13 weeks of their Exit (see</w:t>
      </w:r>
      <w:r w:rsidR="00F76E39">
        <w:t xml:space="preserve"> </w:t>
      </w:r>
      <w:r w:rsidR="00F76E39">
        <w:rPr>
          <w:highlight w:val="yellow"/>
        </w:rPr>
        <w:fldChar w:fldCharType="begin"/>
      </w:r>
      <w:r w:rsidR="00F76E39">
        <w:instrText xml:space="preserve"> REF _Ref202780812 \h </w:instrText>
      </w:r>
      <w:r w:rsidR="00F76E39">
        <w:rPr>
          <w:highlight w:val="yellow"/>
        </w:rPr>
      </w:r>
      <w:r w:rsidR="00F76E39">
        <w:rPr>
          <w:highlight w:val="yellow"/>
        </w:rPr>
        <w:fldChar w:fldCharType="separate"/>
      </w:r>
      <w:r w:rsidR="000D75AE" w:rsidRPr="362FEA09">
        <w:t>3.6.</w:t>
      </w:r>
      <w:r w:rsidR="002E053E">
        <w:t>4 Participants</w:t>
      </w:r>
      <w:r w:rsidR="000D75AE" w:rsidRPr="362FEA09">
        <w:t xml:space="preserve"> resuming their Period of Service after Exit</w:t>
      </w:r>
      <w:r w:rsidR="00F76E39">
        <w:rPr>
          <w:highlight w:val="yellow"/>
        </w:rPr>
        <w:fldChar w:fldCharType="end"/>
      </w:r>
      <w:r>
        <w:t>)</w:t>
      </w:r>
      <w:r w:rsidR="00E27FD5">
        <w:t>,</w:t>
      </w:r>
      <w:r>
        <w:t xml:space="preserve"> depending on whether the previous Job Plan has been cancelled. The </w:t>
      </w:r>
      <w:r w:rsidR="00E27FD5">
        <w:t>Participant</w:t>
      </w:r>
      <w:r>
        <w:t xml:space="preserve"> </w:t>
      </w:r>
      <w:r w:rsidR="00E27FD5">
        <w:t>m</w:t>
      </w:r>
      <w:r>
        <w:t xml:space="preserve">ust </w:t>
      </w:r>
      <w:r w:rsidR="00E27FD5">
        <w:t xml:space="preserve">be </w:t>
      </w:r>
      <w:r>
        <w:t>enter</w:t>
      </w:r>
      <w:r w:rsidR="00E27FD5">
        <w:t>ed</w:t>
      </w:r>
      <w:r>
        <w:t xml:space="preserve"> into the same Job Plan type as the Participant had prior to their Exit</w:t>
      </w:r>
      <w:r w:rsidR="002903F3">
        <w:t>,</w:t>
      </w:r>
      <w:r>
        <w:t xml:space="preserve"> unless the Provider ha</w:t>
      </w:r>
      <w:r w:rsidR="00951019">
        <w:t>s</w:t>
      </w:r>
      <w:r>
        <w:t xml:space="preserve"> determined </w:t>
      </w:r>
      <w:r w:rsidR="002903F3">
        <w:t xml:space="preserve">a </w:t>
      </w:r>
      <w:r>
        <w:t xml:space="preserve">change </w:t>
      </w:r>
      <w:r w:rsidR="00951019">
        <w:t>of</w:t>
      </w:r>
      <w:r>
        <w:t xml:space="preserve"> the Job Plan type </w:t>
      </w:r>
      <w:r w:rsidR="002903F3">
        <w:t>is required</w:t>
      </w:r>
      <w:r>
        <w:t xml:space="preserve"> for a Participant (Mutual Obligation) or </w:t>
      </w:r>
      <w:r w:rsidRPr="0035143E">
        <w:t>DSP Recipient (Compulsory Requirements)</w:t>
      </w:r>
      <w:r w:rsidR="002903F3">
        <w:t>. This is</w:t>
      </w:r>
      <w:r>
        <w:t xml:space="preserve"> based on a documented Pattern of Disengagement or Pattern of Renewed Engagement prior to their Exit.</w:t>
      </w:r>
      <w:r w:rsidR="008E5E70">
        <w:t xml:space="preserve"> It may also include evidence of the </w:t>
      </w:r>
      <w:r>
        <w:t xml:space="preserve">Participant’s level of engagement </w:t>
      </w:r>
      <w:r w:rsidRPr="00C83395">
        <w:t>prior to the Exit</w:t>
      </w:r>
      <w:r>
        <w:t>.</w:t>
      </w:r>
    </w:p>
    <w:p w14:paraId="38387C95" w14:textId="24141692" w:rsidR="00FA69FC" w:rsidRDefault="00FA69FC" w:rsidP="00574B79">
      <w:r w:rsidRPr="00426BE9">
        <w:t xml:space="preserve">The Provider </w:t>
      </w:r>
      <w:r>
        <w:t xml:space="preserve">must enter </w:t>
      </w:r>
      <w:r w:rsidR="00526F49">
        <w:t>into a Meaningful Engagement Job Plan with a Participant who:</w:t>
      </w:r>
    </w:p>
    <w:p w14:paraId="4B3244CB" w14:textId="38FDC439" w:rsidR="00574B79" w:rsidRDefault="00574B79" w:rsidP="00426BE9">
      <w:pPr>
        <w:pStyle w:val="BulletLevel1"/>
      </w:pPr>
      <w:r>
        <w:t>return</w:t>
      </w:r>
      <w:r w:rsidR="000255B9">
        <w:t>s</w:t>
      </w:r>
      <w:r>
        <w:t xml:space="preserve"> to Services 13 weeks or more after an Exit, </w:t>
      </w:r>
      <w:r w:rsidR="000255B9">
        <w:t>or</w:t>
      </w:r>
    </w:p>
    <w:p w14:paraId="6285EF3F" w14:textId="7178DE23" w:rsidR="00574B79" w:rsidRDefault="00574B79" w:rsidP="00426BE9">
      <w:pPr>
        <w:pStyle w:val="BulletLevel1"/>
      </w:pPr>
      <w:r>
        <w:t>has had a Job Plan with an Other Employment Service Provider</w:t>
      </w:r>
      <w:r w:rsidR="000255B9">
        <w:t xml:space="preserve"> since a previous Exit.</w:t>
      </w:r>
    </w:p>
    <w:p w14:paraId="50B0A508" w14:textId="29632168" w:rsidR="00574B79" w:rsidRDefault="00574B79" w:rsidP="007C58E5">
      <w:r>
        <w:t>At any time during a Participant’s Period of Service, a Participant (Mutual Obligation) or DSP Recipient (Compulsory Requirements) may be required to enter into a Detailed Job Plan.</w:t>
      </w:r>
      <w:r w:rsidR="00E15B4E">
        <w:t xml:space="preserve"> </w:t>
      </w:r>
      <w:r>
        <w:t>A Provider will be responsible for creating a Detailed Job Plan when a:</w:t>
      </w:r>
    </w:p>
    <w:p w14:paraId="23B80BFC" w14:textId="7419FFF4" w:rsidR="00574B79" w:rsidRDefault="00574B79" w:rsidP="00574B79">
      <w:pPr>
        <w:pStyle w:val="BulletLevel1"/>
      </w:pPr>
      <w:r>
        <w:t xml:space="preserve">Participant (Mutual Obligation) or DSP Recipient (Compulsory Requirements) has demonstrated a Pattern of Disengagement, as detailed in </w:t>
      </w:r>
      <w:r w:rsidR="002D3118">
        <w:rPr>
          <w:highlight w:val="yellow"/>
        </w:rPr>
        <w:fldChar w:fldCharType="begin"/>
      </w:r>
      <w:r w:rsidR="002D3118">
        <w:instrText xml:space="preserve"> REF _Ref202787380 \h </w:instrText>
      </w:r>
      <w:r w:rsidR="002D3118">
        <w:rPr>
          <w:highlight w:val="yellow"/>
        </w:rPr>
      </w:r>
      <w:r w:rsidR="002D3118">
        <w:rPr>
          <w:highlight w:val="yellow"/>
        </w:rPr>
        <w:fldChar w:fldCharType="separate"/>
      </w:r>
      <w:r w:rsidR="000D75AE">
        <w:t>12.2</w:t>
      </w:r>
      <w:r w:rsidR="003616E5">
        <w:t xml:space="preserve"> </w:t>
      </w:r>
      <w:r w:rsidR="000D75AE">
        <w:t>Steps when a Participant has failed to meet the Meaningful Engagement Requirement</w:t>
      </w:r>
      <w:r w:rsidR="002D3118">
        <w:rPr>
          <w:highlight w:val="yellow"/>
        </w:rPr>
        <w:fldChar w:fldCharType="end"/>
      </w:r>
    </w:p>
    <w:p w14:paraId="66B0817C" w14:textId="7FEA9691" w:rsidR="00574B79" w:rsidRDefault="00574B79" w:rsidP="00574B79">
      <w:pPr>
        <w:pStyle w:val="BulletLevel1"/>
      </w:pPr>
      <w:r>
        <w:t xml:space="preserve">Participant (Mutual Obligation) has an applied Work Refusal Failure or Unemployment Failure (i.e. the failure was confirmed by Services Australia), see relevant Sections in </w:t>
      </w:r>
      <w:r w:rsidR="002D3118">
        <w:fldChar w:fldCharType="begin"/>
      </w:r>
      <w:r w:rsidR="002D3118">
        <w:instrText xml:space="preserve"> REF _Ref202782924 \h </w:instrText>
      </w:r>
      <w:r w:rsidR="002D3118">
        <w:fldChar w:fldCharType="separate"/>
      </w:r>
      <w:r w:rsidR="000D75AE">
        <w:t>Chapter 12:</w:t>
      </w:r>
      <w:r w:rsidR="002E053E">
        <w:t xml:space="preserve"> </w:t>
      </w:r>
      <w:r w:rsidR="000D75AE">
        <w:t>Compliance</w:t>
      </w:r>
      <w:r w:rsidR="002D3118">
        <w:fldChar w:fldCharType="end"/>
      </w:r>
      <w:r w:rsidR="002D3118">
        <w:t xml:space="preserve"> </w:t>
      </w:r>
      <w:r>
        <w:t xml:space="preserve">and the Social Security Guide — </w:t>
      </w:r>
      <w:hyperlink r:id="rId45" w:history="1">
        <w:r w:rsidRPr="00792A77">
          <w:rPr>
            <w:rStyle w:val="Hyperlink"/>
          </w:rPr>
          <w:t>3.11.13.30 Types of failures | Social Security Guide</w:t>
        </w:r>
      </w:hyperlink>
      <w:r>
        <w:t xml:space="preserve"> — for more information on applied failures, or</w:t>
      </w:r>
    </w:p>
    <w:p w14:paraId="46C960FA" w14:textId="6EDBE71D" w:rsidR="0047761C" w:rsidRDefault="0047761C" w:rsidP="00574B79">
      <w:pPr>
        <w:pStyle w:val="BulletLevel1"/>
      </w:pPr>
      <w:r>
        <w:t>Transferred Participant who has already entered into a Detailed Job Plan with another Inclusive Employment Australia Provider</w:t>
      </w:r>
      <w:r w:rsidR="002D3118">
        <w:t>.</w:t>
      </w:r>
    </w:p>
    <w:p w14:paraId="5212EEDB" w14:textId="659F3DAC" w:rsidR="00574B79" w:rsidRDefault="00574B79" w:rsidP="00574B79">
      <w:pPr>
        <w:tabs>
          <w:tab w:val="right" w:pos="1701"/>
        </w:tabs>
        <w:spacing w:after="120"/>
      </w:pPr>
      <w:r>
        <w:rPr>
          <w:lang w:val="en-GB"/>
        </w:rPr>
        <w:t xml:space="preserve">However, </w:t>
      </w:r>
      <w:r w:rsidR="00A13C61">
        <w:rPr>
          <w:lang w:val="en-GB"/>
        </w:rPr>
        <w:t>Providers must have followed the</w:t>
      </w:r>
      <w:r>
        <w:rPr>
          <w:lang w:val="en-GB"/>
        </w:rPr>
        <w:t xml:space="preserve"> </w:t>
      </w:r>
      <w:r w:rsidR="00A13C61">
        <w:rPr>
          <w:lang w:val="en-GB"/>
        </w:rPr>
        <w:t>process detailed</w:t>
      </w:r>
      <w:r>
        <w:rPr>
          <w:lang w:val="en-GB"/>
        </w:rPr>
        <w:t xml:space="preserve"> </w:t>
      </w:r>
      <w:r>
        <w:t>in</w:t>
      </w:r>
      <w:r w:rsidR="0044379E">
        <w:rPr>
          <w:rFonts w:ascii="Tahoma" w:eastAsia="Tahoma" w:hAnsi="Tahoma" w:cs="Tahoma"/>
          <w:lang w:val="en-GB"/>
        </w:rPr>
        <w:t xml:space="preserve"> </w:t>
      </w:r>
      <w:r w:rsidR="0044379E">
        <w:rPr>
          <w:rFonts w:ascii="Tahoma" w:eastAsia="Tahoma" w:hAnsi="Tahoma" w:cs="Tahoma"/>
          <w:highlight w:val="yellow"/>
          <w:lang w:val="en-GB"/>
        </w:rPr>
        <w:fldChar w:fldCharType="begin"/>
      </w:r>
      <w:r w:rsidR="0044379E">
        <w:rPr>
          <w:rFonts w:ascii="Tahoma" w:eastAsia="Tahoma" w:hAnsi="Tahoma" w:cs="Tahoma"/>
          <w:lang w:val="en-GB"/>
        </w:rPr>
        <w:instrText xml:space="preserve"> REF _Ref202875632 \h </w:instrText>
      </w:r>
      <w:r w:rsidR="0044379E">
        <w:rPr>
          <w:rFonts w:ascii="Tahoma" w:eastAsia="Tahoma" w:hAnsi="Tahoma" w:cs="Tahoma"/>
          <w:highlight w:val="yellow"/>
          <w:lang w:val="en-GB"/>
        </w:rPr>
      </w:r>
      <w:r w:rsidR="0044379E">
        <w:rPr>
          <w:rFonts w:ascii="Tahoma" w:eastAsia="Tahoma" w:hAnsi="Tahoma" w:cs="Tahoma"/>
          <w:highlight w:val="yellow"/>
          <w:lang w:val="en-GB"/>
        </w:rPr>
        <w:fldChar w:fldCharType="separate"/>
      </w:r>
      <w:r w:rsidR="000D75AE" w:rsidRPr="008212EF">
        <w:t>5.5.4</w:t>
      </w:r>
      <w:r w:rsidR="002E053E">
        <w:t xml:space="preserve"> </w:t>
      </w:r>
      <w:r w:rsidR="000D75AE" w:rsidRPr="008212EF">
        <w:t>Determining if a Participant is meeting the Meaningful Engagement Requirement</w:t>
      </w:r>
      <w:r w:rsidR="0044379E">
        <w:rPr>
          <w:rFonts w:ascii="Tahoma" w:eastAsia="Tahoma" w:hAnsi="Tahoma" w:cs="Tahoma"/>
          <w:highlight w:val="yellow"/>
          <w:lang w:val="en-GB"/>
        </w:rPr>
        <w:fldChar w:fldCharType="end"/>
      </w:r>
      <w:r w:rsidR="00777AF9">
        <w:rPr>
          <w:rFonts w:ascii="Tahoma" w:eastAsia="Tahoma" w:hAnsi="Tahoma" w:cs="Tahoma"/>
          <w:lang w:val="en-GB"/>
        </w:rPr>
        <w:t xml:space="preserve"> before </w:t>
      </w:r>
      <w:r w:rsidR="00B3290A">
        <w:rPr>
          <w:rFonts w:ascii="Tahoma" w:eastAsia="Tahoma" w:hAnsi="Tahoma" w:cs="Tahoma"/>
          <w:lang w:val="en-GB"/>
        </w:rPr>
        <w:t>a</w:t>
      </w:r>
      <w:r w:rsidR="00777AF9">
        <w:rPr>
          <w:rFonts w:ascii="Tahoma" w:eastAsia="Tahoma" w:hAnsi="Tahoma" w:cs="Tahoma"/>
          <w:lang w:val="en-GB"/>
        </w:rPr>
        <w:t xml:space="preserve"> </w:t>
      </w:r>
      <w:r w:rsidR="00B3290A">
        <w:rPr>
          <w:rFonts w:ascii="Tahoma" w:eastAsia="Tahoma" w:hAnsi="Tahoma" w:cs="Tahoma"/>
          <w:lang w:val="en-GB"/>
        </w:rPr>
        <w:t>Participant can be found to have</w:t>
      </w:r>
      <w:r w:rsidR="00890DA0">
        <w:rPr>
          <w:rFonts w:ascii="Tahoma" w:eastAsia="Tahoma" w:hAnsi="Tahoma" w:cs="Tahoma"/>
          <w:lang w:val="en-GB"/>
        </w:rPr>
        <w:t xml:space="preserve"> demo</w:t>
      </w:r>
      <w:r w:rsidR="009872B2">
        <w:rPr>
          <w:rFonts w:ascii="Tahoma" w:eastAsia="Tahoma" w:hAnsi="Tahoma" w:cs="Tahoma"/>
          <w:lang w:val="en-GB"/>
        </w:rPr>
        <w:t>n</w:t>
      </w:r>
      <w:r w:rsidR="00890DA0">
        <w:rPr>
          <w:rFonts w:ascii="Tahoma" w:eastAsia="Tahoma" w:hAnsi="Tahoma" w:cs="Tahoma"/>
          <w:lang w:val="en-GB"/>
        </w:rPr>
        <w:t>strated</w:t>
      </w:r>
      <w:r w:rsidR="00B3290A">
        <w:rPr>
          <w:rFonts w:ascii="Tahoma" w:eastAsia="Tahoma" w:hAnsi="Tahoma" w:cs="Tahoma"/>
          <w:lang w:val="en-GB"/>
        </w:rPr>
        <w:t xml:space="preserve"> a Pattern of Disengagement</w:t>
      </w:r>
      <w:r>
        <w:t>.</w:t>
      </w:r>
    </w:p>
    <w:p w14:paraId="3B6228BE" w14:textId="17501BD8" w:rsidR="00574B79" w:rsidRDefault="00574B79" w:rsidP="00574B79">
      <w:pPr>
        <w:pStyle w:val="SystemStep"/>
      </w:pPr>
      <w:r>
        <w:t xml:space="preserve">To change between a compellable Meaningful Engagement Job Plan to a Detailed Job Plan, </w:t>
      </w:r>
      <w:r w:rsidR="00A561F2">
        <w:t>[</w:t>
      </w:r>
      <w:r>
        <w:t>RESERVED</w:t>
      </w:r>
      <w:r w:rsidR="00A561F2">
        <w:t>]</w:t>
      </w:r>
      <w:r>
        <w:t>.</w:t>
      </w:r>
    </w:p>
    <w:p w14:paraId="10CC7523" w14:textId="0F27CC4B" w:rsidR="00EB0317" w:rsidRDefault="00EB0317" w:rsidP="00EB0317">
      <w:pPr>
        <w:pStyle w:val="DocumentaryEvidenceRequirement"/>
      </w:pPr>
      <w:r w:rsidRPr="00947FA7">
        <w:t xml:space="preserve">Providers will be required to ensure they have sufficient records </w:t>
      </w:r>
      <w:r>
        <w:t xml:space="preserve">regarding their decision to </w:t>
      </w:r>
      <w:r w:rsidR="006E1247">
        <w:t>move between</w:t>
      </w:r>
      <w:r>
        <w:t xml:space="preserve"> Job Plan </w:t>
      </w:r>
      <w:r w:rsidR="006E1247">
        <w:t>types</w:t>
      </w:r>
      <w:r>
        <w:t xml:space="preserve"> in order </w:t>
      </w:r>
      <w:r w:rsidRPr="00947FA7">
        <w:t xml:space="preserve">to support </w:t>
      </w:r>
      <w:r>
        <w:t xml:space="preserve">any </w:t>
      </w:r>
      <w:r w:rsidR="004826E5">
        <w:t>C</w:t>
      </w:r>
      <w:r>
        <w:t xml:space="preserve">omplaints or </w:t>
      </w:r>
      <w:r w:rsidR="004826E5">
        <w:t>appealable decision review</w:t>
      </w:r>
      <w:r>
        <w:t xml:space="preserve"> </w:t>
      </w:r>
      <w:r w:rsidR="004826E5">
        <w:t>processes</w:t>
      </w:r>
      <w:r w:rsidRPr="00947FA7">
        <w:t>.</w:t>
      </w:r>
    </w:p>
    <w:p w14:paraId="3FC1CB0E" w14:textId="733BC05F" w:rsidR="00574B79" w:rsidRDefault="00574B79" w:rsidP="00574B79">
      <w:pPr>
        <w:tabs>
          <w:tab w:val="right" w:pos="1701"/>
        </w:tabs>
        <w:spacing w:after="120"/>
      </w:pPr>
      <w:r>
        <w:t xml:space="preserve">A Provider may also re-enter a Participant (Mutual Obligation) or DSP Recipient (Compulsory Requirements) onto a Meaningful Engagement Job Plan when </w:t>
      </w:r>
      <w:r w:rsidR="009872B2">
        <w:t>they</w:t>
      </w:r>
      <w:r>
        <w:t>:</w:t>
      </w:r>
    </w:p>
    <w:p w14:paraId="08979D40" w14:textId="564FFC90" w:rsidR="00574B79" w:rsidRDefault="009872B2" w:rsidP="00574B79">
      <w:pPr>
        <w:pStyle w:val="BulletLevel1"/>
      </w:pPr>
      <w:r>
        <w:t>have a</w:t>
      </w:r>
      <w:r w:rsidR="00574B79">
        <w:t xml:space="preserve"> demonstrated a Pattern of Disengagement, or</w:t>
      </w:r>
    </w:p>
    <w:p w14:paraId="3B784677" w14:textId="55990A7C" w:rsidR="00574B79" w:rsidRDefault="001F00FC" w:rsidP="00574B79">
      <w:pPr>
        <w:pStyle w:val="BulletLevel1"/>
      </w:pPr>
      <w:r>
        <w:t xml:space="preserve">are a </w:t>
      </w:r>
      <w:r w:rsidR="00574B79">
        <w:t xml:space="preserve">Transferred Participant </w:t>
      </w:r>
      <w:r>
        <w:t xml:space="preserve">who </w:t>
      </w:r>
      <w:r w:rsidR="00574B79">
        <w:t xml:space="preserve">has already entered into a Detailed Job Plan with another </w:t>
      </w:r>
      <w:r w:rsidR="00C74C33">
        <w:t>Inclusive Employment Australia</w:t>
      </w:r>
      <w:r w:rsidR="00574B79">
        <w:t xml:space="preserve"> Provider.</w:t>
      </w:r>
    </w:p>
    <w:p w14:paraId="10340F23" w14:textId="7408DFC7" w:rsidR="00574B79" w:rsidRDefault="00574B79" w:rsidP="00574B79">
      <w:pPr>
        <w:tabs>
          <w:tab w:val="right" w:pos="1701"/>
        </w:tabs>
        <w:spacing w:after="120"/>
        <w:rPr>
          <w:lang w:val="en-GB"/>
        </w:rPr>
      </w:pPr>
      <w:r w:rsidRPr="00281B9A">
        <w:rPr>
          <w:lang w:val="en-GB"/>
        </w:rPr>
        <w:t xml:space="preserve">Determining </w:t>
      </w:r>
      <w:r>
        <w:rPr>
          <w:lang w:val="en-GB"/>
        </w:rPr>
        <w:t>a</w:t>
      </w:r>
      <w:r w:rsidRPr="00281B9A">
        <w:rPr>
          <w:lang w:val="en-GB"/>
        </w:rPr>
        <w:t xml:space="preserve"> </w:t>
      </w:r>
      <w:r>
        <w:rPr>
          <w:lang w:val="en-GB"/>
        </w:rPr>
        <w:t>Pattern</w:t>
      </w:r>
      <w:r w:rsidRPr="00281B9A">
        <w:rPr>
          <w:lang w:val="en-GB"/>
        </w:rPr>
        <w:t xml:space="preserve"> of </w:t>
      </w:r>
      <w:r>
        <w:rPr>
          <w:lang w:val="en-GB"/>
        </w:rPr>
        <w:t>R</w:t>
      </w:r>
      <w:r w:rsidRPr="00281B9A">
        <w:rPr>
          <w:lang w:val="en-GB"/>
        </w:rPr>
        <w:t xml:space="preserve">enewed </w:t>
      </w:r>
      <w:r>
        <w:rPr>
          <w:lang w:val="en-GB"/>
        </w:rPr>
        <w:t>E</w:t>
      </w:r>
      <w:r w:rsidRPr="00281B9A">
        <w:rPr>
          <w:lang w:val="en-GB"/>
        </w:rPr>
        <w:t>ngagement is at the discretion of the Provider.</w:t>
      </w:r>
      <w:r>
        <w:rPr>
          <w:lang w:val="en-GB"/>
        </w:rPr>
        <w:t xml:space="preserve"> </w:t>
      </w:r>
      <w:r w:rsidRPr="00281B9A">
        <w:rPr>
          <w:lang w:val="en-GB"/>
        </w:rPr>
        <w:t>However, a</w:t>
      </w:r>
      <w:r w:rsidR="004C2207">
        <w:rPr>
          <w:lang w:val="en-GB"/>
        </w:rPr>
        <w:t xml:space="preserve">s general guidance, </w:t>
      </w:r>
      <w:r w:rsidRPr="00281B9A">
        <w:rPr>
          <w:lang w:val="en-GB"/>
        </w:rPr>
        <w:t xml:space="preserve">a Participant </w:t>
      </w:r>
      <w:r>
        <w:rPr>
          <w:lang w:val="en-GB"/>
        </w:rPr>
        <w:t xml:space="preserve">(Mutual Obligation) </w:t>
      </w:r>
      <w:r w:rsidR="004C2207">
        <w:rPr>
          <w:lang w:val="en-GB"/>
        </w:rPr>
        <w:t xml:space="preserve">should </w:t>
      </w:r>
      <w:r>
        <w:rPr>
          <w:lang w:val="en-GB"/>
        </w:rPr>
        <w:t>be in the TCF Green Zone and hav</w:t>
      </w:r>
      <w:r w:rsidR="004C2207">
        <w:rPr>
          <w:lang w:val="en-GB"/>
        </w:rPr>
        <w:t>e</w:t>
      </w:r>
      <w:r w:rsidRPr="00281B9A">
        <w:rPr>
          <w:lang w:val="en-GB"/>
        </w:rPr>
        <w:t xml:space="preserve"> </w:t>
      </w:r>
      <w:r w:rsidR="004C2207">
        <w:rPr>
          <w:lang w:val="en-GB"/>
        </w:rPr>
        <w:t>had no</w:t>
      </w:r>
      <w:r w:rsidRPr="00281B9A">
        <w:rPr>
          <w:lang w:val="en-GB"/>
        </w:rPr>
        <w:t xml:space="preserve"> Demerits over </w:t>
      </w:r>
      <w:r w:rsidR="004F4BA1">
        <w:rPr>
          <w:lang w:val="en-GB"/>
        </w:rPr>
        <w:t>the last</w:t>
      </w:r>
      <w:r w:rsidRPr="00281B9A">
        <w:rPr>
          <w:lang w:val="en-GB"/>
        </w:rPr>
        <w:t xml:space="preserve"> </w:t>
      </w:r>
      <w:r>
        <w:rPr>
          <w:lang w:val="en-GB"/>
        </w:rPr>
        <w:t>3</w:t>
      </w:r>
      <w:r w:rsidRPr="00281B9A">
        <w:rPr>
          <w:lang w:val="en-GB"/>
        </w:rPr>
        <w:t>-month</w:t>
      </w:r>
      <w:r w:rsidR="0035154C">
        <w:rPr>
          <w:lang w:val="en-GB"/>
        </w:rPr>
        <w:t>s</w:t>
      </w:r>
      <w:r w:rsidRPr="00281B9A">
        <w:rPr>
          <w:lang w:val="en-GB"/>
        </w:rPr>
        <w:t>.</w:t>
      </w:r>
      <w:r>
        <w:rPr>
          <w:lang w:val="en-GB"/>
        </w:rPr>
        <w:t xml:space="preserve"> Similarly, a DSP Recipient </w:t>
      </w:r>
      <w:r>
        <w:t xml:space="preserve">(Compulsory Requirements) </w:t>
      </w:r>
      <w:r w:rsidR="005B24B5">
        <w:t>would</w:t>
      </w:r>
      <w:r>
        <w:t xml:space="preserve"> ha</w:t>
      </w:r>
      <w:r w:rsidR="005B24B5">
        <w:t>ve</w:t>
      </w:r>
      <w:r>
        <w:t xml:space="preserve"> no instances of non-compliance reported over a </w:t>
      </w:r>
      <w:r>
        <w:rPr>
          <w:lang w:val="en-GB"/>
        </w:rPr>
        <w:t>3</w:t>
      </w:r>
      <w:r w:rsidRPr="00281B9A">
        <w:rPr>
          <w:lang w:val="en-GB"/>
        </w:rPr>
        <w:t>-month period</w:t>
      </w:r>
      <w:r w:rsidR="005B24B5">
        <w:rPr>
          <w:lang w:val="en-GB"/>
        </w:rPr>
        <w:t xml:space="preserve">. The lack of </w:t>
      </w:r>
      <w:r w:rsidR="00965F8B">
        <w:rPr>
          <w:lang w:val="en-GB"/>
        </w:rPr>
        <w:t>compliance actions</w:t>
      </w:r>
      <w:r w:rsidR="005B24B5">
        <w:rPr>
          <w:lang w:val="en-GB"/>
        </w:rPr>
        <w:t xml:space="preserve"> indicates that they are consistently meeting the compulsory requirements in their Detailed Job Plan</w:t>
      </w:r>
      <w:r w:rsidR="000C62F9">
        <w:rPr>
          <w:lang w:val="en-GB"/>
        </w:rPr>
        <w:t xml:space="preserve"> and therefore</w:t>
      </w:r>
      <w:r w:rsidR="005B24B5">
        <w:rPr>
          <w:lang w:val="en-GB"/>
        </w:rPr>
        <w:t xml:space="preserve"> </w:t>
      </w:r>
      <w:r>
        <w:rPr>
          <w:lang w:val="en-GB"/>
        </w:rPr>
        <w:t>have demonstrated a Pattern</w:t>
      </w:r>
      <w:r w:rsidRPr="00281B9A">
        <w:rPr>
          <w:lang w:val="en-GB"/>
        </w:rPr>
        <w:t xml:space="preserve"> of </w:t>
      </w:r>
      <w:r>
        <w:rPr>
          <w:lang w:val="en-GB"/>
        </w:rPr>
        <w:t>R</w:t>
      </w:r>
      <w:r w:rsidRPr="00281B9A">
        <w:rPr>
          <w:lang w:val="en-GB"/>
        </w:rPr>
        <w:t xml:space="preserve">enewed </w:t>
      </w:r>
      <w:r>
        <w:rPr>
          <w:lang w:val="en-GB"/>
        </w:rPr>
        <w:t>E</w:t>
      </w:r>
      <w:r w:rsidRPr="00281B9A">
        <w:rPr>
          <w:lang w:val="en-GB"/>
        </w:rPr>
        <w:t>ngagement</w:t>
      </w:r>
      <w:r>
        <w:rPr>
          <w:lang w:val="en-GB"/>
        </w:rPr>
        <w:t>.</w:t>
      </w:r>
    </w:p>
    <w:p w14:paraId="38356544" w14:textId="58539080" w:rsidR="00574B79" w:rsidRDefault="00574B79" w:rsidP="00574B79">
      <w:r w:rsidRPr="00CF73AB">
        <w:rPr>
          <w:b/>
          <w:bCs/>
        </w:rPr>
        <w:t xml:space="preserve">Note: </w:t>
      </w:r>
      <w:r>
        <w:t>If a Provider is re-entering a Participant onto a Meaningful Engagement Job Plan, it is recommended the Provider seek the Participant’s verbal agreement without setting think time. This is because failure to agree to the new Job Plan in a timely manner without a Valid Reason or reasonable excuse would result in compliance action</w:t>
      </w:r>
      <w:r w:rsidR="000F04A0">
        <w:t>. It would no longer</w:t>
      </w:r>
      <w:r w:rsidR="008D147B">
        <w:t xml:space="preserve"> be seen to</w:t>
      </w:r>
      <w:r w:rsidR="000F04A0">
        <w:t xml:space="preserve"> demonstrate</w:t>
      </w:r>
      <w:r>
        <w:t xml:space="preserve"> </w:t>
      </w:r>
      <w:r w:rsidR="007142D8">
        <w:t xml:space="preserve">a Pattern of Renewed </w:t>
      </w:r>
      <w:r w:rsidR="00334158">
        <w:t>Engagement</w:t>
      </w:r>
      <w:r>
        <w:t>.</w:t>
      </w:r>
    </w:p>
    <w:p w14:paraId="737ABA57" w14:textId="77777777" w:rsidR="00574B79" w:rsidRDefault="00574B79" w:rsidP="00574B79">
      <w:r>
        <w:t>In cases where a Participant informs the Provider that they cannot or do not want to agree to the Meaningful Engagement Job Plan, the Provider must withdraw the Participant’s Meaningful Engagement Job Plan and the Participant will remain on a Detailed Job Plan.</w:t>
      </w:r>
    </w:p>
    <w:p w14:paraId="464B973D" w14:textId="3592632B" w:rsidR="00574B79" w:rsidRDefault="00574B79" w:rsidP="00574B79">
      <w:pPr>
        <w:pStyle w:val="SystemStep"/>
      </w:pPr>
      <w:r>
        <w:t xml:space="preserve">To change between a Detailed Job Plan to a compellable Meaningful Engagement Job Plan, </w:t>
      </w:r>
      <w:r w:rsidR="00A561F2">
        <w:t>[</w:t>
      </w:r>
      <w:r>
        <w:t>RESERVED</w:t>
      </w:r>
      <w:r w:rsidR="00A561F2">
        <w:t>]</w:t>
      </w:r>
      <w:r>
        <w:t>.</w:t>
      </w:r>
    </w:p>
    <w:p w14:paraId="26C0A8CD" w14:textId="64D0BE82" w:rsidR="00EB0317" w:rsidRDefault="00EB0317" w:rsidP="00EB0317">
      <w:pPr>
        <w:pStyle w:val="DocumentaryEvidenceRequirement"/>
      </w:pPr>
      <w:r w:rsidRPr="00947FA7">
        <w:t xml:space="preserve">Providers will be required to ensure they have sufficient records </w:t>
      </w:r>
      <w:r>
        <w:t xml:space="preserve">regarding their decision to change the terms of the Job Plan in order </w:t>
      </w:r>
      <w:r w:rsidRPr="00947FA7">
        <w:t xml:space="preserve">to support </w:t>
      </w:r>
      <w:r>
        <w:t xml:space="preserve">any </w:t>
      </w:r>
      <w:r w:rsidR="004826E5">
        <w:t>Complaints or appealable decision review processes</w:t>
      </w:r>
      <w:r w:rsidRPr="00947FA7">
        <w:t>.</w:t>
      </w:r>
    </w:p>
    <w:p w14:paraId="5CF5CDE9" w14:textId="2D1308F4" w:rsidR="00574B79" w:rsidRPr="00CF73AB" w:rsidRDefault="00574B79" w:rsidP="00574B79">
      <w:pPr>
        <w:tabs>
          <w:tab w:val="right" w:pos="1701"/>
        </w:tabs>
        <w:spacing w:after="120"/>
      </w:pPr>
      <w:r>
        <w:t xml:space="preserve">Providers must amend the Job Plan from compellable to voluntary </w:t>
      </w:r>
      <w:r w:rsidR="00987908">
        <w:t>for the duration that</w:t>
      </w:r>
      <w:r>
        <w:t xml:space="preserve"> a Participa</w:t>
      </w:r>
      <w:r w:rsidR="000906F4">
        <w:t>nt</w:t>
      </w:r>
      <w:r>
        <w:t xml:space="preserve"> (Mutual Obligation) or DSP Recipient (Compulsory Requirements) is in a</w:t>
      </w:r>
      <w:r w:rsidR="00C01C21">
        <w:t>n active</w:t>
      </w:r>
      <w:r>
        <w:t xml:space="preserve"> Volunteer Period.</w:t>
      </w:r>
    </w:p>
    <w:p w14:paraId="5CE939D0" w14:textId="77777777" w:rsidR="00574B79" w:rsidRDefault="00574B79" w:rsidP="00574B79">
      <w:pPr>
        <w:pStyle w:val="SystemStep"/>
      </w:pPr>
      <w:r>
        <w:t>To change between a compellable and voluntary Job Plan, or vice versa, the Provider must cancel the existing approved Job Plan and follow the process to create a new Job Plan in the Department’s IT Systems.</w:t>
      </w:r>
    </w:p>
    <w:p w14:paraId="7A5BB60D" w14:textId="4E5955BA" w:rsidR="00574B79" w:rsidRDefault="00EB0317" w:rsidP="00574B79">
      <w:r>
        <w:t>I</w:t>
      </w:r>
      <w:r w:rsidR="00574B79">
        <w:t>nformation on how and when to change between the two Job Plan types is</w:t>
      </w:r>
      <w:r>
        <w:t xml:space="preserve"> also</w:t>
      </w:r>
      <w:r w:rsidR="00574B79">
        <w:t xml:space="preserve"> included in the </w:t>
      </w:r>
      <w:r w:rsidR="00574B79" w:rsidRPr="0044379E">
        <w:rPr>
          <w:rStyle w:val="Hyperlink"/>
        </w:rPr>
        <w:t xml:space="preserve">Changing Job Plan type workflow </w:t>
      </w:r>
      <w:r w:rsidR="0044379E" w:rsidRPr="0044379E">
        <w:rPr>
          <w:rStyle w:val="Hyperlink"/>
        </w:rPr>
        <w:t>[LINK]</w:t>
      </w:r>
      <w:r w:rsidR="0044379E">
        <w:t xml:space="preserve"> </w:t>
      </w:r>
      <w:r w:rsidR="00574B79">
        <w:t>supporting document available on the Provider Portal.</w:t>
      </w:r>
    </w:p>
    <w:p w14:paraId="64E27A17" w14:textId="00884C7F" w:rsidR="00EA1494" w:rsidRDefault="002D2C11" w:rsidP="00574B79">
      <w:r>
        <w:t>I</w:t>
      </w:r>
      <w:r w:rsidR="00EA1494">
        <w:t xml:space="preserve">nformation on a Pattern of Disengagement and Pattern of Renewed Engagement is included in the </w:t>
      </w:r>
      <w:r w:rsidR="00EA1494" w:rsidRPr="0044379E">
        <w:rPr>
          <w:rStyle w:val="Hyperlink"/>
        </w:rPr>
        <w:t>Meaningful Engagement Provider Fact Sheet</w:t>
      </w:r>
      <w:r w:rsidR="00307442" w:rsidRPr="0044379E">
        <w:rPr>
          <w:rStyle w:val="Hyperlink"/>
        </w:rPr>
        <w:t xml:space="preserve"> </w:t>
      </w:r>
      <w:r w:rsidR="0044379E" w:rsidRPr="0044379E">
        <w:rPr>
          <w:rStyle w:val="Hyperlink"/>
        </w:rPr>
        <w:t>[LINK]</w:t>
      </w:r>
      <w:r w:rsidR="0044379E">
        <w:t xml:space="preserve"> </w:t>
      </w:r>
      <w:r w:rsidR="00EA1494">
        <w:t>on the Provider Portal.</w:t>
      </w:r>
    </w:p>
    <w:p w14:paraId="55F59304" w14:textId="25B43D46" w:rsidR="00D74559" w:rsidRPr="001954F1" w:rsidRDefault="00574B79" w:rsidP="001D0F92">
      <w:pPr>
        <w:pStyle w:val="Heading4"/>
      </w:pPr>
      <w:bookmarkStart w:id="154" w:name="_Ref202786312"/>
      <w:bookmarkStart w:id="155" w:name="_Toc202899933"/>
      <w:r>
        <w:t>4.4.</w:t>
      </w:r>
      <w:r w:rsidR="00C374EA">
        <w:t>2</w:t>
      </w:r>
      <w:r>
        <w:tab/>
      </w:r>
      <w:r w:rsidR="00D74559" w:rsidRPr="72B4EEE6">
        <w:t>Explaining the Job Plan to the Participant</w:t>
      </w:r>
      <w:bookmarkEnd w:id="154"/>
      <w:bookmarkEnd w:id="155"/>
    </w:p>
    <w:p w14:paraId="4915F544" w14:textId="70D97323" w:rsidR="00D74559" w:rsidRPr="00FB7CD7" w:rsidRDefault="00D74559" w:rsidP="006E2EF5">
      <w:pPr>
        <w:spacing w:before="60" w:after="60"/>
      </w:pPr>
      <w:r w:rsidRPr="2190AEAE">
        <w:t xml:space="preserve">When </w:t>
      </w:r>
      <w:bookmarkStart w:id="156" w:name="_Int_Xx6lDJhO"/>
      <w:r w:rsidRPr="2190AEAE">
        <w:t>entering into</w:t>
      </w:r>
      <w:bookmarkEnd w:id="156"/>
      <w:r w:rsidRPr="2190AEAE">
        <w:t xml:space="preserve"> a Job Plan, </w:t>
      </w:r>
      <w:r w:rsidR="002816D2">
        <w:t>as well as</w:t>
      </w:r>
      <w:r w:rsidR="002816D2" w:rsidRPr="2190AEAE">
        <w:t xml:space="preserve"> </w:t>
      </w:r>
      <w:r w:rsidR="000709C5">
        <w:t>when</w:t>
      </w:r>
      <w:r w:rsidR="002816D2" w:rsidRPr="2190AEAE">
        <w:t xml:space="preserve"> </w:t>
      </w:r>
      <w:r w:rsidRPr="2190AEAE">
        <w:t>updat</w:t>
      </w:r>
      <w:r w:rsidR="000709C5">
        <w:t>ing</w:t>
      </w:r>
      <w:r w:rsidRPr="2190AEAE">
        <w:t xml:space="preserve"> a Job Plan, Providers must explain to the Participant:</w:t>
      </w:r>
    </w:p>
    <w:p w14:paraId="5E730118" w14:textId="21706EF2" w:rsidR="008616FA" w:rsidRDefault="00D74559" w:rsidP="009303AC">
      <w:pPr>
        <w:pStyle w:val="BulletLevel1"/>
      </w:pPr>
      <w:r w:rsidRPr="00FB7CD7">
        <w:t xml:space="preserve">the purpose of the </w:t>
      </w:r>
      <w:r>
        <w:t>Job Plan</w:t>
      </w:r>
    </w:p>
    <w:p w14:paraId="57FFAA21" w14:textId="66E4A490" w:rsidR="000709C5" w:rsidRDefault="000709C5" w:rsidP="004E120D">
      <w:pPr>
        <w:pStyle w:val="BulletLevel1"/>
      </w:pPr>
      <w:r w:rsidRPr="00FB7CD7">
        <w:t xml:space="preserve">the section in the </w:t>
      </w:r>
      <w:r>
        <w:t>Job Plan</w:t>
      </w:r>
      <w:r w:rsidRPr="00FB7CD7">
        <w:t xml:space="preserve"> titled ‘</w:t>
      </w:r>
      <w:r>
        <w:t>I</w:t>
      </w:r>
      <w:r w:rsidRPr="00FB7CD7">
        <w:t>nformation you need to know</w:t>
      </w:r>
      <w:r>
        <w:t>’</w:t>
      </w:r>
    </w:p>
    <w:p w14:paraId="75E25D9B" w14:textId="3A509014" w:rsidR="00EB0317" w:rsidRDefault="00D74559" w:rsidP="004826E5">
      <w:pPr>
        <w:pStyle w:val="BulletLevel1"/>
      </w:pPr>
      <w:r w:rsidRPr="00FB7CD7">
        <w:t xml:space="preserve">rights and responsibilities </w:t>
      </w:r>
      <w:r w:rsidR="009B490F">
        <w:t xml:space="preserve">when </w:t>
      </w:r>
      <w:r w:rsidR="00EB0317">
        <w:t>entering into a Job Plan</w:t>
      </w:r>
      <w:r w:rsidR="000709C5">
        <w:t xml:space="preserve"> — refer to </w:t>
      </w:r>
      <w:r w:rsidR="00F348F0">
        <w:fldChar w:fldCharType="begin"/>
      </w:r>
      <w:r w:rsidR="00F348F0">
        <w:instrText xml:space="preserve"> REF _Ref202875717 \h </w:instrText>
      </w:r>
      <w:r w:rsidR="00F348F0">
        <w:fldChar w:fldCharType="separate"/>
      </w:r>
      <w:r w:rsidR="000D75AE" w:rsidRPr="72B4EEE6">
        <w:t>4.3.2</w:t>
      </w:r>
      <w:r w:rsidR="00A31574">
        <w:t xml:space="preserve"> </w:t>
      </w:r>
      <w:r w:rsidR="000D75AE" w:rsidRPr="72B4EEE6">
        <w:t>Ensuring Participants understand their rights and responsibilities</w:t>
      </w:r>
      <w:r w:rsidR="00F348F0">
        <w:fldChar w:fldCharType="end"/>
      </w:r>
    </w:p>
    <w:p w14:paraId="7FB48D00" w14:textId="1F01B642" w:rsidR="00C7498F" w:rsidRDefault="004826E5" w:rsidP="004E120D">
      <w:pPr>
        <w:pStyle w:val="BulletLevel1"/>
      </w:pPr>
      <w:r>
        <w:t>how they will be supported to undertake</w:t>
      </w:r>
      <w:r w:rsidR="00C7498F">
        <w:t xml:space="preserve"> tasks and activities </w:t>
      </w:r>
      <w:r>
        <w:t>included</w:t>
      </w:r>
      <w:r w:rsidR="00C7498F">
        <w:t xml:space="preserve"> </w:t>
      </w:r>
      <w:r>
        <w:t>within</w:t>
      </w:r>
      <w:r w:rsidR="00C7498F">
        <w:t xml:space="preserve"> the Job Plan or </w:t>
      </w:r>
      <w:r>
        <w:t xml:space="preserve">agreed to </w:t>
      </w:r>
      <w:r w:rsidR="00C7498F">
        <w:t xml:space="preserve">outside of the Job Plan (in the case of </w:t>
      </w:r>
      <w:r>
        <w:t xml:space="preserve">the </w:t>
      </w:r>
      <w:r w:rsidR="00C7498F">
        <w:t>Meaningful Engagement</w:t>
      </w:r>
      <w:r>
        <w:t xml:space="preserve"> Requirement</w:t>
      </w:r>
      <w:r w:rsidR="00C7498F">
        <w:t>)</w:t>
      </w:r>
    </w:p>
    <w:p w14:paraId="3CDF28A4" w14:textId="518F47A6" w:rsidR="007F33C9" w:rsidRPr="00FB7CD7" w:rsidRDefault="007F33C9" w:rsidP="007F33C9">
      <w:pPr>
        <w:pStyle w:val="BulletLevel1"/>
      </w:pPr>
      <w:r>
        <w:t>how they will develop</w:t>
      </w:r>
      <w:r w:rsidR="000709C5">
        <w:t xml:space="preserve"> and record</w:t>
      </w:r>
      <w:r>
        <w:t xml:space="preserve"> an </w:t>
      </w:r>
      <w:r w:rsidR="004826E5">
        <w:t>E</w:t>
      </w:r>
      <w:r w:rsidRPr="007F33C9">
        <w:t xml:space="preserve">mployment </w:t>
      </w:r>
      <w:r w:rsidR="004826E5">
        <w:t>G</w:t>
      </w:r>
      <w:r w:rsidRPr="007F33C9">
        <w:t>oal</w:t>
      </w:r>
    </w:p>
    <w:p w14:paraId="6946E00F" w14:textId="77777777" w:rsidR="00D74559" w:rsidRPr="00FB7CD7" w:rsidRDefault="00D74559" w:rsidP="004E120D">
      <w:pPr>
        <w:pStyle w:val="BulletLevel1"/>
      </w:pPr>
      <w:r>
        <w:t>when the Job Plan may need to be updated</w:t>
      </w:r>
    </w:p>
    <w:p w14:paraId="5F0E8FC4" w14:textId="7ED1EF99" w:rsidR="00D74559" w:rsidRPr="00FB7CD7" w:rsidRDefault="00D74559" w:rsidP="004E120D">
      <w:pPr>
        <w:pStyle w:val="BulletLevel1"/>
      </w:pPr>
      <w:r w:rsidRPr="00FB7CD7">
        <w:t xml:space="preserve">how to give </w:t>
      </w:r>
      <w:r>
        <w:t>prior</w:t>
      </w:r>
      <w:r w:rsidRPr="00FB7CD7">
        <w:t xml:space="preserve"> notice if they </w:t>
      </w:r>
      <w:r>
        <w:t>cannot</w:t>
      </w:r>
      <w:r w:rsidRPr="00FB7CD7">
        <w:t xml:space="preserve"> meet </w:t>
      </w:r>
      <w:r>
        <w:t xml:space="preserve">participation </w:t>
      </w:r>
      <w:r w:rsidRPr="00FB7CD7">
        <w:t xml:space="preserve">requirements in their </w:t>
      </w:r>
      <w:r>
        <w:t>Job Plan</w:t>
      </w:r>
    </w:p>
    <w:p w14:paraId="2F9A6742" w14:textId="4AA6A781" w:rsidR="004826E5" w:rsidRDefault="000709C5">
      <w:pPr>
        <w:pStyle w:val="BulletLevel1"/>
      </w:pPr>
      <w:r>
        <w:t xml:space="preserve">as relevant, </w:t>
      </w:r>
      <w:r w:rsidR="00D74559" w:rsidRPr="00FB7CD7">
        <w:t>what can happen if the</w:t>
      </w:r>
      <w:r>
        <w:t xml:space="preserve"> Participant</w:t>
      </w:r>
      <w:r w:rsidR="00D74559" w:rsidRPr="00FB7CD7">
        <w:t xml:space="preserve"> </w:t>
      </w:r>
      <w:r w:rsidR="00D74559">
        <w:t>do</w:t>
      </w:r>
      <w:r>
        <w:t>es</w:t>
      </w:r>
      <w:r w:rsidR="00D74559">
        <w:t xml:space="preserve"> not</w:t>
      </w:r>
      <w:r w:rsidR="00D74559" w:rsidRPr="00FB7CD7">
        <w:t xml:space="preserve"> meet a </w:t>
      </w:r>
      <w:r w:rsidR="004826E5">
        <w:t>compulsory r</w:t>
      </w:r>
      <w:r w:rsidR="00D74559" w:rsidRPr="00FB7CD7">
        <w:t xml:space="preserve">equirement </w:t>
      </w:r>
      <w:r w:rsidR="004826E5">
        <w:t xml:space="preserve">in their Job Plan </w:t>
      </w:r>
      <w:r w:rsidR="00D74559" w:rsidRPr="00FB7CD7">
        <w:t xml:space="preserve">without giving prior notice </w:t>
      </w:r>
      <w:r>
        <w:t>and/</w:t>
      </w:r>
      <w:r w:rsidR="00D74559" w:rsidRPr="00FB7CD7">
        <w:t xml:space="preserve">or having a </w:t>
      </w:r>
      <w:r w:rsidR="004826E5">
        <w:t xml:space="preserve">good </w:t>
      </w:r>
      <w:r w:rsidR="00476873">
        <w:t xml:space="preserve">reason </w:t>
      </w:r>
      <w:r w:rsidR="004826E5">
        <w:t>(Meaningful Engagement Job Plan only), Valid Reason (Detailed Job Plan for Participant (Mutual Obligation)</w:t>
      </w:r>
      <w:r>
        <w:t xml:space="preserve"> only)</w:t>
      </w:r>
      <w:r w:rsidR="004826E5">
        <w:t xml:space="preserve"> or reasonable excuse (Detailed Job Plan for DSP Recipient (Compulsory Requirement)</w:t>
      </w:r>
      <w:r>
        <w:t xml:space="preserve"> only)</w:t>
      </w:r>
    </w:p>
    <w:p w14:paraId="1CAEEB6A" w14:textId="1F8457E2" w:rsidR="004826E5" w:rsidRDefault="00D07F97">
      <w:pPr>
        <w:pStyle w:val="BulletLevel1"/>
      </w:pPr>
      <w:r>
        <w:t xml:space="preserve">circumstances where a </w:t>
      </w:r>
      <w:r w:rsidRPr="00D07F97">
        <w:t xml:space="preserve">Participant </w:t>
      </w:r>
      <w:r w:rsidR="000709C5">
        <w:t>will</w:t>
      </w:r>
      <w:r>
        <w:t xml:space="preserve"> be </w:t>
      </w:r>
      <w:r w:rsidR="004826E5">
        <w:t>required to agree to new</w:t>
      </w:r>
      <w:r>
        <w:t xml:space="preserve"> </w:t>
      </w:r>
      <w:r w:rsidR="004826E5">
        <w:t xml:space="preserve">terms in a Detailed </w:t>
      </w:r>
      <w:r>
        <w:t>Job Plan</w:t>
      </w:r>
      <w:r w:rsidR="004826E5">
        <w:t>, including</w:t>
      </w:r>
      <w:r>
        <w:t xml:space="preserve"> </w:t>
      </w:r>
      <w:r w:rsidR="00416FBA">
        <w:t xml:space="preserve">the </w:t>
      </w:r>
      <w:r w:rsidR="007B360D">
        <w:t xml:space="preserve">types of evidence collected to </w:t>
      </w:r>
      <w:r w:rsidR="00416FBA">
        <w:t xml:space="preserve">inform </w:t>
      </w:r>
      <w:r>
        <w:t>a</w:t>
      </w:r>
      <w:r w:rsidRPr="00D07F97">
        <w:t xml:space="preserve"> </w:t>
      </w:r>
      <w:r>
        <w:t>P</w:t>
      </w:r>
      <w:r w:rsidRPr="00D07F97">
        <w:t xml:space="preserve">attern of </w:t>
      </w:r>
      <w:r>
        <w:t>D</w:t>
      </w:r>
      <w:r w:rsidRPr="00D07F97">
        <w:t>isengagemen</w:t>
      </w:r>
      <w:r>
        <w:t>t</w:t>
      </w:r>
    </w:p>
    <w:p w14:paraId="17685E19" w14:textId="168BDAF0" w:rsidR="004826E5" w:rsidRDefault="000709C5">
      <w:pPr>
        <w:pStyle w:val="BulletLevel1"/>
      </w:pPr>
      <w:r>
        <w:t xml:space="preserve">if appropriate, </w:t>
      </w:r>
      <w:r w:rsidR="004826E5">
        <w:t xml:space="preserve">circumstances where a Participant could </w:t>
      </w:r>
      <w:r>
        <w:t xml:space="preserve">re-enter a Meaningful Engagement Job Plan, including </w:t>
      </w:r>
      <w:r w:rsidR="00026351">
        <w:t>the types</w:t>
      </w:r>
      <w:r w:rsidR="007B360D">
        <w:t xml:space="preserve"> of</w:t>
      </w:r>
      <w:r>
        <w:t xml:space="preserve"> evidence collected to </w:t>
      </w:r>
      <w:r w:rsidR="00AC092F">
        <w:t>inform</w:t>
      </w:r>
      <w:r>
        <w:t xml:space="preserve"> a</w:t>
      </w:r>
      <w:r w:rsidRPr="00D07F97">
        <w:t xml:space="preserve"> </w:t>
      </w:r>
      <w:r>
        <w:t>P</w:t>
      </w:r>
      <w:r w:rsidRPr="00D07F97">
        <w:t xml:space="preserve">attern of </w:t>
      </w:r>
      <w:r>
        <w:t>Renewed Engagement, and</w:t>
      </w:r>
    </w:p>
    <w:p w14:paraId="7776EB25" w14:textId="77777777" w:rsidR="000709C5" w:rsidRDefault="00D74559" w:rsidP="000709C5">
      <w:pPr>
        <w:pStyle w:val="BulletLevel1"/>
      </w:pPr>
      <w:r w:rsidRPr="00FB7CD7">
        <w:t>their right to appeal decisions and where they can find help to do this</w:t>
      </w:r>
      <w:r w:rsidR="000709C5">
        <w:t>.</w:t>
      </w:r>
    </w:p>
    <w:p w14:paraId="7B35670B" w14:textId="44124257" w:rsidR="000709C5" w:rsidRPr="00FB7CD7" w:rsidRDefault="000709C5" w:rsidP="000709C5">
      <w:r>
        <w:t xml:space="preserve">When moving a Participant from the Detailed Job Plan to a Meaningful Engagement Job Plan, Providers must explain to the Participant how they can meet the Meaningful Engagement Requirement, provide a copy of the </w:t>
      </w:r>
      <w:r w:rsidR="00F348F0" w:rsidRPr="0044379E">
        <w:rPr>
          <w:rStyle w:val="Hyperlink"/>
        </w:rPr>
        <w:t xml:space="preserve">Meaningful Engagement </w:t>
      </w:r>
      <w:r w:rsidR="00F348F0">
        <w:rPr>
          <w:rStyle w:val="Hyperlink"/>
        </w:rPr>
        <w:t>Participant</w:t>
      </w:r>
      <w:r w:rsidR="00F348F0" w:rsidRPr="0044379E">
        <w:rPr>
          <w:rStyle w:val="Hyperlink"/>
        </w:rPr>
        <w:t xml:space="preserve"> Fact Sheet [LINK]</w:t>
      </w:r>
      <w:r w:rsidR="00F348F0">
        <w:t xml:space="preserve"> </w:t>
      </w:r>
      <w:r>
        <w:t>and begin to develop a plan on how the Participant will meaningfully engage.</w:t>
      </w:r>
    </w:p>
    <w:p w14:paraId="16D8B701" w14:textId="16006026" w:rsidR="00842FB4" w:rsidRPr="006118AC" w:rsidRDefault="00842FB4" w:rsidP="00842FB4">
      <w:pPr>
        <w:pStyle w:val="Heading4"/>
      </w:pPr>
      <w:bookmarkStart w:id="157" w:name="_Toc202899934"/>
      <w:r w:rsidRPr="72B4EEE6">
        <w:t>4.</w:t>
      </w:r>
      <w:r>
        <w:t>4</w:t>
      </w:r>
      <w:r w:rsidRPr="72B4EEE6">
        <w:t>.</w:t>
      </w:r>
      <w:r w:rsidR="00C374EA">
        <w:t>3</w:t>
      </w:r>
      <w:r>
        <w:tab/>
        <w:t>Communicating Meaningful Engagement Requirements</w:t>
      </w:r>
      <w:bookmarkEnd w:id="157"/>
    </w:p>
    <w:p w14:paraId="12F169E6" w14:textId="11A0663E" w:rsidR="00842FB4" w:rsidRDefault="00842FB4" w:rsidP="00842FB4">
      <w:r>
        <w:t xml:space="preserve">A </w:t>
      </w:r>
      <w:r w:rsidR="00F348F0" w:rsidRPr="0044379E">
        <w:rPr>
          <w:rStyle w:val="Hyperlink"/>
        </w:rPr>
        <w:t xml:space="preserve">Meaningful Engagement </w:t>
      </w:r>
      <w:r w:rsidR="00F348F0">
        <w:rPr>
          <w:rStyle w:val="Hyperlink"/>
        </w:rPr>
        <w:t>Participant</w:t>
      </w:r>
      <w:r w:rsidR="00F348F0" w:rsidRPr="0044379E">
        <w:rPr>
          <w:rStyle w:val="Hyperlink"/>
        </w:rPr>
        <w:t xml:space="preserve"> Fact Sheet [LINK]</w:t>
      </w:r>
      <w:r w:rsidR="00F348F0">
        <w:t xml:space="preserve"> </w:t>
      </w:r>
      <w:r>
        <w:t xml:space="preserve">for Participants has been developed by the Department </w:t>
      </w:r>
      <w:r w:rsidDel="009A3257">
        <w:t xml:space="preserve">to </w:t>
      </w:r>
      <w:r>
        <w:t>help Providers clearly communicate what is required to satisfy the Meaningful Engagement Requirement, or when the requirement has not been fully satisfied. This Fact Sheet must be provided to the Participant at the Initial Interview and can be shared any other time the Provider feels it would be appropriate to assist conversations.</w:t>
      </w:r>
    </w:p>
    <w:p w14:paraId="52784970" w14:textId="41A5BD07" w:rsidR="00842FB4" w:rsidRPr="00F348F0" w:rsidRDefault="00842FB4" w:rsidP="00842FB4">
      <w:r>
        <w:t>A Meaningful Engagement Job Plan must be supported by a plan (developed in consultation with the Participant) on how the Participant will meaningfully engage</w:t>
      </w:r>
      <w:r w:rsidRPr="3644EC22">
        <w:t>.</w:t>
      </w:r>
      <w:r w:rsidRPr="00316C33">
        <w:t xml:space="preserve"> </w:t>
      </w:r>
      <w:r>
        <w:t xml:space="preserve">The aim is to ensure the Participant has ownership of the tasks and activities they will undertake to find suitable work. While there </w:t>
      </w:r>
      <w:r w:rsidRPr="46BCCC36">
        <w:t>are no requirements about the form</w:t>
      </w:r>
      <w:r>
        <w:t>at of this plan, required</w:t>
      </w:r>
      <w:r w:rsidDel="00AE6E0E">
        <w:t xml:space="preserve"> </w:t>
      </w:r>
      <w:r>
        <w:t>contents are included in relevant sections of</w:t>
      </w:r>
      <w:r w:rsidR="00F348F0">
        <w:t xml:space="preserve"> </w:t>
      </w:r>
      <w:r w:rsidR="00F348F0">
        <w:fldChar w:fldCharType="begin"/>
      </w:r>
      <w:r w:rsidR="00F348F0">
        <w:instrText xml:space="preserve"> REF _Ref202783027 \h </w:instrText>
      </w:r>
      <w:r w:rsidR="00F348F0">
        <w:fldChar w:fldCharType="separate"/>
      </w:r>
      <w:r w:rsidR="000D75AE" w:rsidRPr="00BA23D8">
        <w:t>Chapter 5</w:t>
      </w:r>
      <w:r w:rsidR="000D75AE">
        <w:t>:</w:t>
      </w:r>
      <w:r w:rsidR="000D75AE">
        <w:tab/>
      </w:r>
      <w:r w:rsidR="000D75AE" w:rsidRPr="00BA23D8">
        <w:t>Participation requirements</w:t>
      </w:r>
      <w:r w:rsidR="00F348F0">
        <w:fldChar w:fldCharType="end"/>
      </w:r>
      <w:r w:rsidR="00F348F0">
        <w:t xml:space="preserve">, </w:t>
      </w:r>
      <w:r w:rsidRPr="007273C3">
        <w:t>in particular</w:t>
      </w:r>
      <w:r w:rsidR="00F348F0">
        <w:t xml:space="preserve"> </w:t>
      </w:r>
      <w:r w:rsidR="00F348F0" w:rsidRPr="00F348F0">
        <w:rPr>
          <w:highlight w:val="yellow"/>
        </w:rPr>
        <w:fldChar w:fldCharType="begin"/>
      </w:r>
      <w:r w:rsidR="00F348F0" w:rsidRPr="00F348F0">
        <w:instrText xml:space="preserve"> REF _Ref202785974 \h </w:instrText>
      </w:r>
      <w:r w:rsidR="00F348F0">
        <w:rPr>
          <w:highlight w:val="yellow"/>
        </w:rPr>
        <w:instrText xml:space="preserve"> \* MERGEFORMAT </w:instrText>
      </w:r>
      <w:r w:rsidR="00F348F0" w:rsidRPr="00F348F0">
        <w:rPr>
          <w:highlight w:val="yellow"/>
        </w:rPr>
      </w:r>
      <w:r w:rsidR="00F348F0" w:rsidRPr="00F348F0">
        <w:rPr>
          <w:highlight w:val="yellow"/>
        </w:rPr>
        <w:fldChar w:fldCharType="separate"/>
      </w:r>
      <w:r w:rsidR="000D75AE" w:rsidRPr="000D75AE">
        <w:t>5.</w:t>
      </w:r>
      <w:r w:rsidR="000D75AE" w:rsidRPr="009B292C">
        <w:t>5</w:t>
      </w:r>
      <w:r w:rsidR="000D75AE" w:rsidRPr="000D75AE">
        <w:t>Meaningful Engagement Requirement</w:t>
      </w:r>
      <w:r w:rsidR="00F348F0" w:rsidRPr="00F348F0">
        <w:rPr>
          <w:highlight w:val="yellow"/>
        </w:rPr>
        <w:fldChar w:fldCharType="end"/>
      </w:r>
      <w:r w:rsidRPr="00F348F0">
        <w:t>.</w:t>
      </w:r>
    </w:p>
    <w:p w14:paraId="6BA61FF5" w14:textId="77777777" w:rsidR="00842FB4" w:rsidRDefault="00842FB4" w:rsidP="00842FB4">
      <w:r>
        <w:t>When setting tasks and activities, either in the context of the Meaningful Engagement Requirement or in a Detailed Job Plan, it is considered best practice to review the:</w:t>
      </w:r>
    </w:p>
    <w:p w14:paraId="5F24E4C6" w14:textId="77777777" w:rsidR="00842FB4" w:rsidRDefault="00842FB4" w:rsidP="00842FB4">
      <w:pPr>
        <w:pStyle w:val="BulletLevel1"/>
      </w:pPr>
      <w:r w:rsidRPr="2190AEAE">
        <w:t>ESAt report,</w:t>
      </w:r>
      <w:r>
        <w:t xml:space="preserve"> where relevant,</w:t>
      </w:r>
      <w:r w:rsidRPr="2190AEAE">
        <w:t xml:space="preserve"> and</w:t>
      </w:r>
    </w:p>
    <w:p w14:paraId="256979FD" w14:textId="63FBF965" w:rsidR="00842FB4" w:rsidRDefault="00842FB4" w:rsidP="00842FB4">
      <w:pPr>
        <w:pStyle w:val="BulletLevel1"/>
      </w:pPr>
      <w:r>
        <w:t xml:space="preserve">Capability Management Tool – refer to </w:t>
      </w:r>
      <w:r w:rsidR="00A31574">
        <w:fldChar w:fldCharType="begin"/>
      </w:r>
      <w:r w:rsidR="00A31574">
        <w:instrText xml:space="preserve"> REF _Ref202783027 \h </w:instrText>
      </w:r>
      <w:r w:rsidR="00A31574">
        <w:fldChar w:fldCharType="separate"/>
      </w:r>
      <w:r w:rsidR="00A31574" w:rsidRPr="00BA23D8">
        <w:t>Chapter 5</w:t>
      </w:r>
      <w:r w:rsidR="00A31574">
        <w:t xml:space="preserve">: </w:t>
      </w:r>
      <w:r w:rsidR="00A31574" w:rsidRPr="00BA23D8">
        <w:t>Participation requirements</w:t>
      </w:r>
      <w:r w:rsidR="00A31574">
        <w:fldChar w:fldCharType="end"/>
      </w:r>
      <w:r w:rsidR="00F348F0">
        <w:rPr>
          <w:highlight w:val="yellow"/>
        </w:rPr>
        <w:fldChar w:fldCharType="begin"/>
      </w:r>
      <w:r w:rsidR="00F348F0">
        <w:instrText xml:space="preserve"> REF _Ref202875842 \h </w:instrText>
      </w:r>
      <w:r w:rsidR="00F348F0">
        <w:rPr>
          <w:highlight w:val="yellow"/>
        </w:rPr>
      </w:r>
      <w:r w:rsidR="00F348F0">
        <w:rPr>
          <w:highlight w:val="yellow"/>
        </w:rPr>
        <w:fldChar w:fldCharType="separate"/>
      </w:r>
      <w:r w:rsidR="00F348F0">
        <w:rPr>
          <w:highlight w:val="yellow"/>
        </w:rPr>
        <w:fldChar w:fldCharType="end"/>
      </w:r>
      <w:r>
        <w:t>.</w:t>
      </w:r>
    </w:p>
    <w:p w14:paraId="5A79B4A0" w14:textId="75C8DF25" w:rsidR="00842FB4" w:rsidRPr="00F348F0" w:rsidRDefault="00842FB4" w:rsidP="00842FB4">
      <w:r>
        <w:t xml:space="preserve">It is recommended that Providers limit the use of the free text option in the Detailed Job Plan and refer to the </w:t>
      </w:r>
      <w:r w:rsidR="000A208C" w:rsidRPr="00F348F0">
        <w:rPr>
          <w:rStyle w:val="Hyperlink"/>
        </w:rPr>
        <w:t>Job Plan codes and requirements, by Phase</w:t>
      </w:r>
      <w:r w:rsidRPr="00F348F0">
        <w:rPr>
          <w:rStyle w:val="Hyperlink"/>
        </w:rPr>
        <w:t xml:space="preserve"> and Participant Type </w:t>
      </w:r>
      <w:r w:rsidR="00F348F0" w:rsidRPr="00F348F0">
        <w:rPr>
          <w:rStyle w:val="Hyperlink"/>
        </w:rPr>
        <w:t>[LINK]</w:t>
      </w:r>
      <w:r w:rsidR="00F348F0" w:rsidRPr="00F348F0">
        <w:t xml:space="preserve"> </w:t>
      </w:r>
      <w:r w:rsidRPr="00F348F0">
        <w:t>supporting documents for appropriate codes to use when adding items to the Job Plan.</w:t>
      </w:r>
    </w:p>
    <w:p w14:paraId="0A13568A" w14:textId="21EB268B" w:rsidR="00842FB4" w:rsidRDefault="00842FB4" w:rsidP="00842FB4">
      <w:r w:rsidRPr="00F348F0">
        <w:rPr>
          <w:b/>
          <w:bCs/>
        </w:rPr>
        <w:t xml:space="preserve">Note: </w:t>
      </w:r>
      <w:r w:rsidRPr="00F348F0">
        <w:t xml:space="preserve">If the Department’s IT Systems are temporarily unavailable, Providers can use Job Plan templates, available on the Provider Portal, to </w:t>
      </w:r>
      <w:bookmarkStart w:id="158" w:name="_Int_BoGCz7pr"/>
      <w:r w:rsidRPr="00F348F0">
        <w:t>enter into</w:t>
      </w:r>
      <w:bookmarkEnd w:id="158"/>
      <w:r w:rsidRPr="00F348F0">
        <w:t xml:space="preserve"> a Meaningful Engagement Job Plan with a Participant (Mutual Obligation), DSP Recipient (Compulsory Requirement) or Participant (Voluntary), or Job Plan Detailed with a Participant (Mutual Obligation) or DSP Recipient (Compulsory Requirement). Any Job Plan agreed to in this way must be recorded in the Department’s IT Systems as soon as possible. Providers must notify the Participant of their requirement to agree to their Job Plan. A copy of the </w:t>
      </w:r>
      <w:r w:rsidRPr="00F348F0">
        <w:rPr>
          <w:rStyle w:val="Hyperlink"/>
        </w:rPr>
        <w:t xml:space="preserve">verbal scripts for Job Plan agreement </w:t>
      </w:r>
      <w:r w:rsidR="00F348F0">
        <w:rPr>
          <w:rStyle w:val="Hyperlink"/>
        </w:rPr>
        <w:t>online [LINK]</w:t>
      </w:r>
      <w:r w:rsidRPr="00F348F0">
        <w:t xml:space="preserve"> by Parti</w:t>
      </w:r>
      <w:r w:rsidRPr="00BA0D25">
        <w:t>cipants (Mutual Obligation) and DSP Recipients (Compulsory Requirement) has also been made available on the Provider Portal for this purpose.</w:t>
      </w:r>
    </w:p>
    <w:p w14:paraId="152B754B" w14:textId="0CD112D2" w:rsidR="00D74559" w:rsidRDefault="00D74559" w:rsidP="001D0F92">
      <w:pPr>
        <w:pStyle w:val="Heading4"/>
      </w:pPr>
      <w:bookmarkStart w:id="159" w:name="_Toc202899935"/>
      <w:r>
        <w:t>4.4.</w:t>
      </w:r>
      <w:r w:rsidR="00755B6A">
        <w:t>4</w:t>
      </w:r>
      <w:r w:rsidR="004510E4">
        <w:tab/>
      </w:r>
      <w:r>
        <w:t>Requirements that a Job Plan must not contain</w:t>
      </w:r>
      <w:bookmarkEnd w:id="159"/>
    </w:p>
    <w:p w14:paraId="782127DF" w14:textId="6932FD11" w:rsidR="00FD0535" w:rsidRDefault="00D74559" w:rsidP="006E2EF5">
      <w:r>
        <w:t>Under Social Security Law, a</w:t>
      </w:r>
      <w:r w:rsidRPr="009A7F8F">
        <w:t xml:space="preserve"> Job Plan must not contain a requirement for a person to</w:t>
      </w:r>
      <w:r>
        <w:t xml:space="preserve"> undertake an unsuitable or inappropriate Activity — as discussed in</w:t>
      </w:r>
      <w:r w:rsidR="000A1E87">
        <w:t xml:space="preserve"> </w:t>
      </w:r>
      <w:r w:rsidR="000A1E87">
        <w:fldChar w:fldCharType="begin"/>
      </w:r>
      <w:r w:rsidR="000A1E87">
        <w:instrText xml:space="preserve"> REF _Ref202787381 \h </w:instrText>
      </w:r>
      <w:r w:rsidR="000A1E87">
        <w:fldChar w:fldCharType="separate"/>
      </w:r>
      <w:r w:rsidR="000D75AE">
        <w:t>7.3.1</w:t>
      </w:r>
      <w:r w:rsidR="000D75AE" w:rsidRPr="00F65B91">
        <w:t xml:space="preserve">Inappropriate </w:t>
      </w:r>
      <w:r w:rsidR="000D75AE">
        <w:t>A</w:t>
      </w:r>
      <w:r w:rsidR="000D75AE" w:rsidRPr="00F65B91">
        <w:t>ctivities</w:t>
      </w:r>
      <w:r w:rsidR="000A1E87">
        <w:fldChar w:fldCharType="end"/>
      </w:r>
      <w:r>
        <w:t>.</w:t>
      </w:r>
      <w:r w:rsidR="00E61E7A">
        <w:t xml:space="preserve"> </w:t>
      </w:r>
      <w:r w:rsidR="000C1734">
        <w:t xml:space="preserve">This includes any </w:t>
      </w:r>
      <w:r w:rsidR="002273F7">
        <w:t>A</w:t>
      </w:r>
      <w:r w:rsidR="000C1734">
        <w:t xml:space="preserve">ctivity that would aggravate </w:t>
      </w:r>
      <w:r w:rsidR="002273F7">
        <w:t>a</w:t>
      </w:r>
      <w:r w:rsidR="00F60275">
        <w:t xml:space="preserve"> Participant’s illness</w:t>
      </w:r>
      <w:r w:rsidR="002273F7">
        <w:t xml:space="preserve">, disability </w:t>
      </w:r>
      <w:r w:rsidR="00F60275">
        <w:t>or injury</w:t>
      </w:r>
      <w:r w:rsidR="002273F7">
        <w:t>.</w:t>
      </w:r>
    </w:p>
    <w:p w14:paraId="3F3F8368" w14:textId="66C0A92F" w:rsidR="00D74559" w:rsidRPr="009A7F8F" w:rsidRDefault="00FD0535" w:rsidP="006E2EF5">
      <w:r>
        <w:t xml:space="preserve">Under Social Security Law, a Participant </w:t>
      </w:r>
      <w:r w:rsidR="00FE1392">
        <w:t xml:space="preserve">cannot be </w:t>
      </w:r>
      <w:r w:rsidR="0072254F">
        <w:t xml:space="preserve">involuntarily </w:t>
      </w:r>
      <w:r w:rsidR="00FE1392">
        <w:t xml:space="preserve">required to </w:t>
      </w:r>
      <w:r w:rsidR="0072254F">
        <w:t>undergo medical, psychological or other treatment</w:t>
      </w:r>
      <w:r w:rsidR="000C1734">
        <w:t>.</w:t>
      </w:r>
    </w:p>
    <w:p w14:paraId="02A0F95D" w14:textId="77777777" w:rsidR="00D74559" w:rsidRPr="009A7F8F" w:rsidRDefault="00D74559" w:rsidP="006E2EF5">
      <w:r w:rsidRPr="009A7F8F">
        <w:t>A Job Plan must</w:t>
      </w:r>
      <w:r>
        <w:t xml:space="preserve"> also</w:t>
      </w:r>
      <w:r w:rsidRPr="009A7F8F">
        <w:t xml:space="preserve"> not contain:</w:t>
      </w:r>
    </w:p>
    <w:p w14:paraId="748B0A52" w14:textId="77777777" w:rsidR="00D74559" w:rsidRPr="009A7F8F" w:rsidRDefault="00D74559" w:rsidP="004E120D">
      <w:pPr>
        <w:pStyle w:val="BulletLevel1"/>
      </w:pPr>
      <w:r w:rsidRPr="009A7F8F">
        <w:t>irrelevant information, such as detailed personal medical information or details of medical conditions and medications</w:t>
      </w:r>
      <w:r>
        <w:t>, or</w:t>
      </w:r>
    </w:p>
    <w:p w14:paraId="1517EC12" w14:textId="144B1AD2" w:rsidR="00D74559" w:rsidRPr="009A7F8F" w:rsidRDefault="00D74559" w:rsidP="004E120D">
      <w:pPr>
        <w:pStyle w:val="BulletLevel1"/>
      </w:pPr>
      <w:r w:rsidRPr="009A7F8F">
        <w:t xml:space="preserve">information pertaining to the </w:t>
      </w:r>
      <w:r>
        <w:t>Participant’s</w:t>
      </w:r>
      <w:r w:rsidRPr="009A7F8F">
        <w:t xml:space="preserve"> day-to-day lives, such as getting their child to school or assisting with homework.</w:t>
      </w:r>
    </w:p>
    <w:p w14:paraId="26B9FBE6" w14:textId="5FE2A7DD" w:rsidR="00B203C1" w:rsidRPr="00120578" w:rsidRDefault="00B203C1" w:rsidP="00B203C1">
      <w:pPr>
        <w:pStyle w:val="Heading3"/>
      </w:pPr>
      <w:bookmarkStart w:id="160" w:name="_Ref202786325"/>
      <w:bookmarkStart w:id="161" w:name="_Toc202899936"/>
      <w:r w:rsidRPr="72B4EEE6">
        <w:t>4.5</w:t>
      </w:r>
      <w:r>
        <w:tab/>
      </w:r>
      <w:r w:rsidR="003B29D3">
        <w:t xml:space="preserve">Setting an </w:t>
      </w:r>
      <w:r w:rsidRPr="72B4EEE6">
        <w:t>Employment Goal</w:t>
      </w:r>
      <w:bookmarkEnd w:id="160"/>
      <w:bookmarkEnd w:id="161"/>
    </w:p>
    <w:p w14:paraId="48016006" w14:textId="2C0F016F" w:rsidR="00B203C1" w:rsidRDefault="00B203C1" w:rsidP="00B203C1">
      <w:r>
        <w:t xml:space="preserve">Providers must work with the Participant to create a personalised, strengths-based Employment Goal. </w:t>
      </w:r>
    </w:p>
    <w:p w14:paraId="77CDAC3B" w14:textId="3780F639" w:rsidR="00B203C1" w:rsidRDefault="00B203C1" w:rsidP="00B203C1">
      <w:r>
        <w:t>The Employment Goal can be a short, medium, or potentially longer-term aim, and can include steps to address Vocational and Non-Vocational Barriers or steps to maintain existing Employment.</w:t>
      </w:r>
    </w:p>
    <w:p w14:paraId="28553C69" w14:textId="7F15CED2" w:rsidR="00B203C1" w:rsidRDefault="00B203C1" w:rsidP="00B203C1">
      <w:r>
        <w:t>The Employment Goal must stay relevant to a Participant’s aspirations and progress towards ongoing, sustainable Employment. A goal can be replaced whenever a Participant shows they have achieved their goal, when they ask for the goal to be amended</w:t>
      </w:r>
      <w:r w:rsidR="002372BF">
        <w:t>,</w:t>
      </w:r>
      <w:r>
        <w:t xml:space="preserve"> or when they wish to set a new goal. </w:t>
      </w:r>
    </w:p>
    <w:p w14:paraId="68FB4E0D" w14:textId="6EEAC7E3" w:rsidR="00B203C1" w:rsidRDefault="00B203C1" w:rsidP="00B203C1">
      <w:r>
        <w:t xml:space="preserve">It is best practice to review the Employment Goal each time that the Job Plan is updated. The goal can help with discussions about appropriate Activities and Interventions that will help </w:t>
      </w:r>
      <w:r w:rsidR="002372BF">
        <w:t xml:space="preserve">a Participant </w:t>
      </w:r>
      <w:r>
        <w:t>achieve the</w:t>
      </w:r>
      <w:r w:rsidR="002372BF">
        <w:t>ir</w:t>
      </w:r>
      <w:r>
        <w:t xml:space="preserve"> goal.</w:t>
      </w:r>
    </w:p>
    <w:p w14:paraId="0BEE349F" w14:textId="3B10E4C7" w:rsidR="00B203C1" w:rsidRDefault="00B203C1" w:rsidP="00B203C1">
      <w:r w:rsidRPr="00624D70">
        <w:t xml:space="preserve">Providers must ensure the goal </w:t>
      </w:r>
      <w:r w:rsidR="00C8746A">
        <w:t>a</w:t>
      </w:r>
      <w:r w:rsidR="002372BF">
        <w:t>s</w:t>
      </w:r>
      <w:r w:rsidRPr="00624D70">
        <w:t xml:space="preserve"> entered into the Department’s</w:t>
      </w:r>
      <w:r w:rsidRPr="2190AEAE">
        <w:t xml:space="preserve"> IT Systems accurately encompasses the Participant's individual goal(s) and is written in the Participant's words.</w:t>
      </w:r>
    </w:p>
    <w:p w14:paraId="4C6580D1" w14:textId="16C17F06" w:rsidR="00B203C1" w:rsidRDefault="00B203C1" w:rsidP="00B203C1">
      <w:r>
        <w:t xml:space="preserve">Providers should ensure that Participants understand that the Employment Goal is included for information </w:t>
      </w:r>
      <w:r w:rsidR="0054626E">
        <w:t>purposes</w:t>
      </w:r>
      <w:r>
        <w:t xml:space="preserve"> </w:t>
      </w:r>
      <w:r w:rsidR="009E064C">
        <w:t>only</w:t>
      </w:r>
      <w:r>
        <w:t xml:space="preserve"> (i.e. there are no implications for not completing the goal), and that the purpose of the goal is to inform how </w:t>
      </w:r>
      <w:r w:rsidR="00930D33">
        <w:t xml:space="preserve">a Participant will be supported </w:t>
      </w:r>
      <w:r>
        <w:t xml:space="preserve">through </w:t>
      </w:r>
      <w:r w:rsidR="00660E94">
        <w:t xml:space="preserve">agreed </w:t>
      </w:r>
      <w:r>
        <w:t>tasks and activities</w:t>
      </w:r>
      <w:r w:rsidR="00660E94">
        <w:t>.</w:t>
      </w:r>
      <w:r>
        <w:t xml:space="preserve"> </w:t>
      </w:r>
    </w:p>
    <w:p w14:paraId="6D0BAF95" w14:textId="06E676C8" w:rsidR="00B203C1" w:rsidRPr="00ED1139" w:rsidRDefault="00B203C1" w:rsidP="00B203C1">
      <w:r w:rsidRPr="00ED1139">
        <w:rPr>
          <w:b/>
          <w:bCs/>
        </w:rPr>
        <w:t xml:space="preserve">Note: </w:t>
      </w:r>
      <w:r>
        <w:t xml:space="preserve">Changes to the Employment Goal cannot be made without triggering an update to the Job Plan. </w:t>
      </w:r>
    </w:p>
    <w:p w14:paraId="09151F5E" w14:textId="359B4BC9" w:rsidR="00D74559" w:rsidRPr="00120578" w:rsidRDefault="00D74559" w:rsidP="001D0F92">
      <w:pPr>
        <w:pStyle w:val="Heading3"/>
      </w:pPr>
      <w:bookmarkStart w:id="162" w:name="_Ref202784280"/>
      <w:bookmarkStart w:id="163" w:name="_Toc202899937"/>
      <w:r>
        <w:t>4.</w:t>
      </w:r>
      <w:r w:rsidR="009808E1" w:rsidRPr="005753C1">
        <w:t>6</w:t>
      </w:r>
      <w:r w:rsidR="00A9462F">
        <w:tab/>
      </w:r>
      <w:r>
        <w:t>Contents of a Meaningful Engagement Job Plan</w:t>
      </w:r>
      <w:bookmarkEnd w:id="162"/>
      <w:bookmarkEnd w:id="163"/>
    </w:p>
    <w:p w14:paraId="323E2BA9" w14:textId="77777777" w:rsidR="00706061" w:rsidRDefault="00D74559" w:rsidP="006E2EF5">
      <w:r w:rsidRPr="2190AEAE">
        <w:t xml:space="preserve">The </w:t>
      </w:r>
      <w:r>
        <w:t>Meaningful Engagement Job Plan will pre-populate with the</w:t>
      </w:r>
      <w:r w:rsidRPr="2190AEAE">
        <w:t xml:space="preserve"> </w:t>
      </w:r>
      <w:r>
        <w:t xml:space="preserve">Meaningful Engagement </w:t>
      </w:r>
      <w:r w:rsidRPr="2190AEAE">
        <w:t>Requirement</w:t>
      </w:r>
      <w:r>
        <w:t>.</w:t>
      </w:r>
      <w:r w:rsidR="008D5538">
        <w:t xml:space="preserve"> </w:t>
      </w:r>
    </w:p>
    <w:p w14:paraId="460080E3" w14:textId="7649CC32" w:rsidR="00D74559" w:rsidRDefault="00D74559" w:rsidP="006E2EF5">
      <w:r w:rsidRPr="2190AEAE">
        <w:t>Providers must capture an Employment Goal</w:t>
      </w:r>
      <w:r w:rsidR="00983694">
        <w:t xml:space="preserve">, as was outlined </w:t>
      </w:r>
      <w:r w:rsidR="00B83C88">
        <w:t xml:space="preserve">in </w:t>
      </w:r>
      <w:r w:rsidR="00B83C88">
        <w:fldChar w:fldCharType="begin"/>
      </w:r>
      <w:r w:rsidR="00B83C88">
        <w:instrText xml:space="preserve"> REF _Ref202786325 \h </w:instrText>
      </w:r>
      <w:r w:rsidR="00B83C88">
        <w:fldChar w:fldCharType="separate"/>
      </w:r>
      <w:r w:rsidR="000D75AE" w:rsidRPr="72B4EEE6">
        <w:t>4.5</w:t>
      </w:r>
      <w:r w:rsidR="00E12BF6">
        <w:t xml:space="preserve"> </w:t>
      </w:r>
      <w:r w:rsidR="000D75AE">
        <w:t xml:space="preserve">Setting an </w:t>
      </w:r>
      <w:r w:rsidR="000D75AE" w:rsidRPr="72B4EEE6">
        <w:t>Employment Goal</w:t>
      </w:r>
      <w:r w:rsidR="00B83C88">
        <w:fldChar w:fldCharType="end"/>
      </w:r>
      <w:r w:rsidRPr="2190AEAE">
        <w:t>.</w:t>
      </w:r>
      <w:r w:rsidR="000709C5">
        <w:t xml:space="preserve"> The Job Plan will also note that a Participant’s primary goal is to prepare for, find and maintain employment</w:t>
      </w:r>
      <w:r w:rsidRPr="2190AEAE">
        <w:t>.</w:t>
      </w:r>
      <w:r w:rsidR="00B83C88">
        <w:t xml:space="preserve"> </w:t>
      </w:r>
    </w:p>
    <w:p w14:paraId="1C5D57B6" w14:textId="635199ED" w:rsidR="00D74559" w:rsidRPr="00951F20" w:rsidRDefault="00D74559" w:rsidP="006F727E">
      <w:pPr>
        <w:pStyle w:val="SystemStep"/>
      </w:pPr>
      <w:r>
        <w:t xml:space="preserve">The Meaningful Engagement Job Plan will pre-populate with </w:t>
      </w:r>
      <w:r w:rsidR="004B5302">
        <w:t xml:space="preserve">a single compulsory </w:t>
      </w:r>
      <w:r>
        <w:t>requirement in the Department’s IT Systems</w:t>
      </w:r>
      <w:r w:rsidRPr="00951F20">
        <w:t>.</w:t>
      </w:r>
      <w:r>
        <w:t xml:space="preserve"> </w:t>
      </w:r>
    </w:p>
    <w:p w14:paraId="43FAB363" w14:textId="77777777" w:rsidR="00D74559" w:rsidRPr="00951F20" w:rsidRDefault="00D74559" w:rsidP="006F727E">
      <w:pPr>
        <w:pStyle w:val="SystemStep"/>
      </w:pPr>
      <w:r>
        <w:t xml:space="preserve">The </w:t>
      </w:r>
      <w:r w:rsidRPr="00951F20">
        <w:t xml:space="preserve">Meaningful Engagement Requirement </w:t>
      </w:r>
      <w:r>
        <w:t xml:space="preserve">and an Employment Goal must be included </w:t>
      </w:r>
      <w:r w:rsidRPr="00951F20">
        <w:t xml:space="preserve">for the Job Plan to be considered a valid </w:t>
      </w:r>
      <w:r>
        <w:t>Meaningful Engagement Job Plan in the Department’s IT Systems.</w:t>
      </w:r>
    </w:p>
    <w:p w14:paraId="34EA8B73" w14:textId="3DF98360" w:rsidR="00D74559" w:rsidRDefault="00D74559" w:rsidP="006E2EF5">
      <w:r>
        <w:t xml:space="preserve">The contents of the Job Plan will </w:t>
      </w:r>
      <w:r w:rsidR="000A3BEC">
        <w:t xml:space="preserve">also </w:t>
      </w:r>
      <w:r>
        <w:t xml:space="preserve">reflect </w:t>
      </w:r>
      <w:r w:rsidR="001F0F43">
        <w:t>whether</w:t>
      </w:r>
      <w:r>
        <w:t xml:space="preserve"> a Participant is receiving Pre-Employment Support, Post Placement Support or Ongoing Support.</w:t>
      </w:r>
    </w:p>
    <w:p w14:paraId="3FC8E7A6" w14:textId="6AE2DE7A" w:rsidR="00660E94" w:rsidRDefault="00660E94">
      <w:r>
        <w:t>A</w:t>
      </w:r>
      <w:r w:rsidR="00827DEE">
        <w:t>s noted</w:t>
      </w:r>
      <w:r w:rsidR="00D74559">
        <w:t xml:space="preserve"> in</w:t>
      </w:r>
      <w:r w:rsidR="00033774">
        <w:t xml:space="preserve"> </w:t>
      </w:r>
      <w:r w:rsidR="00033774">
        <w:rPr>
          <w:highlight w:val="yellow"/>
        </w:rPr>
        <w:fldChar w:fldCharType="begin"/>
      </w:r>
      <w:r w:rsidR="00033774">
        <w:instrText xml:space="preserve"> REF _Ref202785211 \h </w:instrText>
      </w:r>
      <w:r w:rsidR="00033774">
        <w:rPr>
          <w:highlight w:val="yellow"/>
        </w:rPr>
      </w:r>
      <w:r w:rsidR="00033774">
        <w:rPr>
          <w:highlight w:val="yellow"/>
        </w:rPr>
        <w:fldChar w:fldCharType="separate"/>
      </w:r>
      <w:r w:rsidR="000D75AE">
        <w:t>4.4</w:t>
      </w:r>
      <w:r w:rsidR="004572F7">
        <w:t xml:space="preserve"> </w:t>
      </w:r>
      <w:r w:rsidR="000D75AE">
        <w:t>Entering into a Job Plan</w:t>
      </w:r>
      <w:r w:rsidR="00033774">
        <w:rPr>
          <w:highlight w:val="yellow"/>
        </w:rPr>
        <w:fldChar w:fldCharType="end"/>
      </w:r>
      <w:r w:rsidR="00827DEE">
        <w:t>, a</w:t>
      </w:r>
      <w:r w:rsidRPr="00947FA7">
        <w:t>ny</w:t>
      </w:r>
      <w:r>
        <w:t xml:space="preserve"> agreed</w:t>
      </w:r>
      <w:r w:rsidRPr="00947FA7">
        <w:t xml:space="preserve"> tasks and activities </w:t>
      </w:r>
      <w:r>
        <w:t xml:space="preserve">to support the </w:t>
      </w:r>
      <w:r w:rsidR="00531983">
        <w:t>M</w:t>
      </w:r>
      <w:r>
        <w:t xml:space="preserve">eaningful </w:t>
      </w:r>
      <w:r w:rsidR="00531983">
        <w:t>E</w:t>
      </w:r>
      <w:r>
        <w:t xml:space="preserve">ngagement </w:t>
      </w:r>
      <w:r w:rsidR="00531983">
        <w:t>R</w:t>
      </w:r>
      <w:r>
        <w:t xml:space="preserve">equirement </w:t>
      </w:r>
      <w:r w:rsidRPr="00947FA7">
        <w:t>will be managed outside of the Job Plan</w:t>
      </w:r>
      <w:r w:rsidR="006F40E9">
        <w:t>.</w:t>
      </w:r>
      <w:r w:rsidRPr="00947FA7">
        <w:t xml:space="preserve"> Provider</w:t>
      </w:r>
      <w:r w:rsidR="006F40E9">
        <w:t>s can</w:t>
      </w:r>
      <w:r>
        <w:t xml:space="preserve"> </w:t>
      </w:r>
      <w:r w:rsidR="006F40E9">
        <w:t>develop</w:t>
      </w:r>
      <w:r>
        <w:t xml:space="preserve"> </w:t>
      </w:r>
      <w:r w:rsidRPr="00947FA7">
        <w:t xml:space="preserve">their own </w:t>
      </w:r>
      <w:r w:rsidR="003502F2">
        <w:t xml:space="preserve">approach to support motivation and engagement </w:t>
      </w:r>
      <w:r w:rsidR="00E66B57">
        <w:t xml:space="preserve">of the Participant. </w:t>
      </w:r>
      <w:r w:rsidR="00C51673">
        <w:t xml:space="preserve">The Provider should consider </w:t>
      </w:r>
      <w:r w:rsidR="006F40E9">
        <w:t xml:space="preserve">how to </w:t>
      </w:r>
      <w:r w:rsidRPr="00947FA7">
        <w:t xml:space="preserve">record </w:t>
      </w:r>
      <w:r w:rsidR="006F40E9">
        <w:t>and share the outcomes of these</w:t>
      </w:r>
      <w:r w:rsidRPr="00947FA7">
        <w:t xml:space="preserve"> discussions with Participants.</w:t>
      </w:r>
    </w:p>
    <w:p w14:paraId="70E2BE4A" w14:textId="4FCD226B" w:rsidR="00D275D5" w:rsidRDefault="00D275D5" w:rsidP="0004211D">
      <w:pPr>
        <w:pStyle w:val="SystemStep"/>
      </w:pPr>
      <w:r w:rsidRPr="0E218120">
        <w:t>Provider</w:t>
      </w:r>
      <w:r w:rsidR="00017871">
        <w:t>s</w:t>
      </w:r>
      <w:r w:rsidRPr="0E218120">
        <w:t xml:space="preserve"> </w:t>
      </w:r>
      <w:r w:rsidR="00B90BD1">
        <w:t>can</w:t>
      </w:r>
      <w:r w:rsidRPr="0E218120">
        <w:t xml:space="preserve"> record the voluntary tasks and activities that the Participant has agreed to participate in using comment functionality in the Participant’s Summary on the Department’s IT Systems</w:t>
      </w:r>
      <w:r w:rsidR="00252FF7">
        <w:t xml:space="preserve">. </w:t>
      </w:r>
    </w:p>
    <w:p w14:paraId="4E43911A" w14:textId="082B8098" w:rsidR="00CF68C7" w:rsidRDefault="00CF68C7" w:rsidP="00CF68C7">
      <w:r w:rsidRPr="62D54DE6">
        <w:rPr>
          <w:b/>
          <w:bCs/>
        </w:rPr>
        <w:t xml:space="preserve">Note: </w:t>
      </w:r>
      <w:r>
        <w:t>There are options for a Provider to compel a Participant to attend a compulsory appointment if they are disengaged as outlined</w:t>
      </w:r>
      <w:r w:rsidR="00033774">
        <w:t xml:space="preserve"> in </w:t>
      </w:r>
      <w:r w:rsidR="00033774">
        <w:fldChar w:fldCharType="begin"/>
      </w:r>
      <w:r w:rsidR="00033774">
        <w:instrText xml:space="preserve"> REF _Ref202787509 \h </w:instrText>
      </w:r>
      <w:r w:rsidR="00033774">
        <w:fldChar w:fldCharType="separate"/>
      </w:r>
      <w:r w:rsidR="000D75AE">
        <w:t>12.2</w:t>
      </w:r>
      <w:r w:rsidR="00E12BF6">
        <w:t xml:space="preserve"> </w:t>
      </w:r>
      <w:r w:rsidR="000D75AE">
        <w:t>Steps when a Participant has failed to meet the Meaningful Engagement Requirement</w:t>
      </w:r>
      <w:r w:rsidR="00033774">
        <w:fldChar w:fldCharType="end"/>
      </w:r>
      <w:r>
        <w:t>.</w:t>
      </w:r>
    </w:p>
    <w:p w14:paraId="076BACC6" w14:textId="0263A1AD" w:rsidR="00C4579D" w:rsidRDefault="00D74559" w:rsidP="00C4579D">
      <w:pPr>
        <w:pStyle w:val="Heading4"/>
      </w:pPr>
      <w:bookmarkStart w:id="164" w:name="_Toc202899938"/>
      <w:r w:rsidRPr="72B4EEE6">
        <w:t>4.</w:t>
      </w:r>
      <w:r w:rsidR="00983694">
        <w:t>6</w:t>
      </w:r>
      <w:r w:rsidR="00C4579D" w:rsidRPr="72B4EEE6">
        <w:t>.</w:t>
      </w:r>
      <w:r w:rsidR="00CF68C7">
        <w:t>1</w:t>
      </w:r>
      <w:r w:rsidR="00C4579D">
        <w:tab/>
      </w:r>
      <w:r w:rsidR="00C4579D" w:rsidRPr="72B4EEE6">
        <w:t xml:space="preserve">Arrangements for Participants </w:t>
      </w:r>
      <w:r w:rsidR="00C4579D">
        <w:t xml:space="preserve">with </w:t>
      </w:r>
      <w:r w:rsidR="00C4579D" w:rsidRPr="72B4EEE6">
        <w:t>Mutual Obligation</w:t>
      </w:r>
      <w:r w:rsidR="00C4579D">
        <w:t xml:space="preserve"> Requirements</w:t>
      </w:r>
      <w:bookmarkEnd w:id="164"/>
    </w:p>
    <w:p w14:paraId="32EFB6DD" w14:textId="28A4C586" w:rsidR="00CF68C7" w:rsidRDefault="00CF68C7" w:rsidP="00C4579D">
      <w:r>
        <w:t xml:space="preserve">Participants (Mutual Obligation) can meet their Mutual Obligation Requirements through participation in </w:t>
      </w:r>
      <w:r w:rsidR="00C74C33">
        <w:t>Inclusive Employment Australia</w:t>
      </w:r>
      <w:r>
        <w:t>, as long as they satisfy the Meaningful Engagement Requirement.</w:t>
      </w:r>
    </w:p>
    <w:p w14:paraId="244F113A" w14:textId="7C64C2EC" w:rsidR="00C4579D" w:rsidRDefault="00C4579D" w:rsidP="00C4579D">
      <w:pPr>
        <w:rPr>
          <w:sz w:val="20"/>
          <w:szCs w:val="20"/>
        </w:rPr>
      </w:pPr>
      <w:r w:rsidRPr="72B4EEE6">
        <w:rPr>
          <w:sz w:val="20"/>
          <w:szCs w:val="20"/>
        </w:rPr>
        <w:t>(</w:t>
      </w:r>
      <w:r>
        <w:rPr>
          <w:sz w:val="20"/>
          <w:szCs w:val="20"/>
        </w:rPr>
        <w:t xml:space="preserve">Deed Reference(s): Clause </w:t>
      </w:r>
      <w:r w:rsidR="000B477A">
        <w:rPr>
          <w:sz w:val="20"/>
          <w:szCs w:val="20"/>
        </w:rPr>
        <w:t>134.8</w:t>
      </w:r>
      <w:r w:rsidRPr="72B4EEE6">
        <w:rPr>
          <w:sz w:val="20"/>
          <w:szCs w:val="20"/>
        </w:rPr>
        <w:t>)</w:t>
      </w:r>
    </w:p>
    <w:p w14:paraId="0854A6F1" w14:textId="77777777" w:rsidR="00C4579D" w:rsidRPr="001D36D2" w:rsidRDefault="00C4579D" w:rsidP="00C4579D">
      <w:pPr>
        <w:pStyle w:val="TableChartHeading"/>
        <w:rPr>
          <w:rStyle w:val="Emphasis"/>
          <w:b/>
          <w:bCs/>
          <w:iCs w:val="0"/>
          <w:spacing w:val="3"/>
        </w:rPr>
      </w:pPr>
      <w:r w:rsidRPr="001D36D2">
        <w:rPr>
          <w:rStyle w:val="Emphasis"/>
          <w:b/>
          <w:bCs/>
          <w:iCs w:val="0"/>
          <w:spacing w:val="3"/>
        </w:rPr>
        <w:t>Codes within Meaningful Engagement Job Plan (Compulsory)</w:t>
      </w:r>
    </w:p>
    <w:tbl>
      <w:tblPr>
        <w:tblStyle w:val="DSSTableStyleB"/>
        <w:tblW w:w="0" w:type="auto"/>
        <w:tblLook w:val="04E0" w:firstRow="1" w:lastRow="1" w:firstColumn="1" w:lastColumn="0" w:noHBand="0" w:noVBand="1"/>
        <w:tblDescription w:val="Example of a table styled with the second of the two DSS table styles. It is populated with food-related dummy data."/>
      </w:tblPr>
      <w:tblGrid>
        <w:gridCol w:w="851"/>
        <w:gridCol w:w="3827"/>
        <w:gridCol w:w="5387"/>
      </w:tblGrid>
      <w:tr w:rsidR="000A1E87" w14:paraId="6FCEA5D7"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3295249C" w14:textId="77777777" w:rsidR="00C4579D" w:rsidRDefault="00C4579D">
            <w:pPr>
              <w:pStyle w:val="TableText"/>
            </w:pPr>
            <w:r>
              <w:t>Code</w:t>
            </w:r>
          </w:p>
        </w:tc>
        <w:tc>
          <w:tcPr>
            <w:tcW w:w="3827" w:type="dxa"/>
            <w:tcBorders>
              <w:top w:val="single" w:sz="4" w:space="0" w:color="auto"/>
              <w:bottom w:val="single" w:sz="4" w:space="0" w:color="auto"/>
            </w:tcBorders>
          </w:tcPr>
          <w:p w14:paraId="1EAA4795" w14:textId="77777777" w:rsidR="00C4579D" w:rsidRDefault="00C4579D">
            <w:pPr>
              <w:pStyle w:val="TableText"/>
            </w:pPr>
            <w:r>
              <w:t>Requirement in Job Plan</w:t>
            </w:r>
          </w:p>
        </w:tc>
        <w:tc>
          <w:tcPr>
            <w:tcW w:w="5387" w:type="dxa"/>
            <w:tcBorders>
              <w:top w:val="single" w:sz="4" w:space="0" w:color="auto"/>
              <w:bottom w:val="single" w:sz="4" w:space="0" w:color="auto"/>
            </w:tcBorders>
          </w:tcPr>
          <w:p w14:paraId="0588E53A" w14:textId="77777777" w:rsidR="00C4579D" w:rsidRDefault="00C4579D">
            <w:pPr>
              <w:pStyle w:val="TableText"/>
            </w:pPr>
            <w:r>
              <w:t>Description</w:t>
            </w:r>
          </w:p>
        </w:tc>
      </w:tr>
      <w:tr w:rsidR="000A1E87" w:rsidRPr="00983694" w14:paraId="47AF1032" w14:textId="77777777" w:rsidTr="00DE7A9B">
        <w:trPr>
          <w:cnfStyle w:val="010000000000" w:firstRow="0" w:lastRow="1"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65BD2167" w14:textId="77777777" w:rsidR="00C4579D" w:rsidRPr="00983694" w:rsidRDefault="00C4579D">
            <w:pPr>
              <w:pStyle w:val="TableText"/>
              <w:rPr>
                <w:b w:val="0"/>
                <w:bCs/>
              </w:rPr>
            </w:pPr>
            <w:r w:rsidRPr="00983694">
              <w:rPr>
                <w:b w:val="0"/>
                <w:bCs/>
              </w:rPr>
              <w:t>PA19</w:t>
            </w:r>
          </w:p>
        </w:tc>
        <w:tc>
          <w:tcPr>
            <w:tcW w:w="3827" w:type="dxa"/>
            <w:tcBorders>
              <w:top w:val="single" w:sz="4" w:space="0" w:color="auto"/>
              <w:bottom w:val="single" w:sz="4" w:space="0" w:color="auto"/>
            </w:tcBorders>
          </w:tcPr>
          <w:p w14:paraId="23B74B0E" w14:textId="2631276A" w:rsidR="00C4579D" w:rsidRPr="00983694" w:rsidRDefault="00C4579D">
            <w:pPr>
              <w:pStyle w:val="TableText"/>
              <w:rPr>
                <w:b w:val="0"/>
                <w:bCs/>
              </w:rPr>
            </w:pPr>
            <w:r w:rsidRPr="00983694">
              <w:rPr>
                <w:b w:val="0"/>
                <w:bCs/>
              </w:rPr>
              <w:t>I will participate meaningfully in the program by engaging with my Provider to prepare for, seek or maintain employment. I am aware that this includes attending appointments and undertaking any tasks and activities to help me to achieve my employment goal. .</w:t>
            </w:r>
          </w:p>
        </w:tc>
        <w:tc>
          <w:tcPr>
            <w:tcW w:w="5387" w:type="dxa"/>
            <w:tcBorders>
              <w:top w:val="single" w:sz="4" w:space="0" w:color="auto"/>
              <w:bottom w:val="single" w:sz="4" w:space="0" w:color="auto"/>
            </w:tcBorders>
          </w:tcPr>
          <w:p w14:paraId="49C71B5F" w14:textId="345BBF2E" w:rsidR="00C4579D" w:rsidRPr="00983694" w:rsidRDefault="00C4579D">
            <w:pPr>
              <w:pStyle w:val="TableList-level1"/>
              <w:rPr>
                <w:b w:val="0"/>
                <w:bCs/>
              </w:rPr>
            </w:pPr>
            <w:r w:rsidRPr="00983694">
              <w:rPr>
                <w:b w:val="0"/>
                <w:bCs/>
              </w:rPr>
              <w:t>The Participant must meaningfully engage with the Provider</w:t>
            </w:r>
            <w:r w:rsidR="00C5127B">
              <w:rPr>
                <w:b w:val="0"/>
                <w:bCs/>
              </w:rPr>
              <w:t xml:space="preserve"> in order</w:t>
            </w:r>
            <w:r w:rsidRPr="00983694">
              <w:rPr>
                <w:b w:val="0"/>
                <w:bCs/>
              </w:rPr>
              <w:t xml:space="preserve"> to meet their Mutual Obligation Requirements</w:t>
            </w:r>
            <w:r w:rsidR="00C5127B">
              <w:rPr>
                <w:b w:val="0"/>
                <w:bCs/>
              </w:rPr>
              <w:t xml:space="preserve"> under Social Security Law</w:t>
            </w:r>
            <w:r w:rsidRPr="00983694">
              <w:rPr>
                <w:b w:val="0"/>
                <w:bCs/>
              </w:rPr>
              <w:t>.</w:t>
            </w:r>
          </w:p>
          <w:p w14:paraId="7671E9B2" w14:textId="5D7093DA" w:rsidR="00C4579D" w:rsidRPr="00983694" w:rsidRDefault="00C4579D">
            <w:pPr>
              <w:pStyle w:val="TableList-level1"/>
              <w:rPr>
                <w:b w:val="0"/>
                <w:bCs/>
              </w:rPr>
            </w:pPr>
            <w:r w:rsidRPr="00983694">
              <w:rPr>
                <w:b w:val="0"/>
                <w:bCs/>
              </w:rPr>
              <w:t xml:space="preserve">Where a Participant shows a Pattern of Disengagement, a Provider may choose to move </w:t>
            </w:r>
            <w:r w:rsidR="00C5127B">
              <w:rPr>
                <w:b w:val="0"/>
                <w:bCs/>
              </w:rPr>
              <w:t>the</w:t>
            </w:r>
            <w:r w:rsidRPr="00983694">
              <w:rPr>
                <w:b w:val="0"/>
                <w:bCs/>
              </w:rPr>
              <w:t xml:space="preserve"> Participant </w:t>
            </w:r>
            <w:r w:rsidR="00C5127B">
              <w:rPr>
                <w:b w:val="0"/>
                <w:bCs/>
              </w:rPr>
              <w:t>on</w:t>
            </w:r>
            <w:r w:rsidRPr="00983694">
              <w:rPr>
                <w:b w:val="0"/>
                <w:bCs/>
              </w:rPr>
              <w:t>to a Detailed Job Plan.</w:t>
            </w:r>
          </w:p>
          <w:p w14:paraId="0B1F37DF" w14:textId="77777777" w:rsidR="00C4579D" w:rsidRPr="00983694" w:rsidRDefault="00C4579D">
            <w:pPr>
              <w:pStyle w:val="TableList-level1"/>
              <w:rPr>
                <w:b w:val="0"/>
                <w:bCs/>
              </w:rPr>
            </w:pPr>
            <w:r w:rsidRPr="00983694">
              <w:rPr>
                <w:b w:val="0"/>
                <w:bCs/>
              </w:rPr>
              <w:t>This code cannot be removed.</w:t>
            </w:r>
          </w:p>
        </w:tc>
      </w:tr>
    </w:tbl>
    <w:p w14:paraId="2A415589" w14:textId="3DE42E43" w:rsidR="00C4579D" w:rsidRDefault="00C4579D" w:rsidP="00C4579D">
      <w:pPr>
        <w:pStyle w:val="Heading4"/>
      </w:pPr>
      <w:bookmarkStart w:id="165" w:name="_Toc202899939"/>
      <w:r w:rsidRPr="72B4EEE6">
        <w:t>4.</w:t>
      </w:r>
      <w:r w:rsidR="00983694">
        <w:t>6</w:t>
      </w:r>
      <w:r w:rsidRPr="72B4EEE6">
        <w:t>.</w:t>
      </w:r>
      <w:r w:rsidR="00CF68C7">
        <w:t>2</w:t>
      </w:r>
      <w:r>
        <w:tab/>
      </w:r>
      <w:r w:rsidRPr="72B4EEE6">
        <w:t xml:space="preserve">Arrangements for DSP Recipients </w:t>
      </w:r>
      <w:r>
        <w:t>with c</w:t>
      </w:r>
      <w:r w:rsidRPr="72B4EEE6">
        <w:t xml:space="preserve">ompulsory </w:t>
      </w:r>
      <w:r>
        <w:t>participation r</w:t>
      </w:r>
      <w:r w:rsidRPr="72B4EEE6">
        <w:t>equirement</w:t>
      </w:r>
      <w:r>
        <w:t>s</w:t>
      </w:r>
      <w:bookmarkEnd w:id="165"/>
    </w:p>
    <w:p w14:paraId="39F7430D" w14:textId="5CFF44BD" w:rsidR="00C4579D" w:rsidRDefault="00C4579D" w:rsidP="00C4579D">
      <w:r>
        <w:t>DSP Recipients (Compulsory Requirements) must have at least one compulsory requirement in their Job Plan, which will be the Meaningful Engagement Requirement.</w:t>
      </w:r>
    </w:p>
    <w:p w14:paraId="662871D7" w14:textId="297C507F" w:rsidR="00D74559" w:rsidRDefault="00D74559" w:rsidP="006E2EF5">
      <w:r w:rsidRPr="00421495">
        <w:t>A</w:t>
      </w:r>
      <w:r>
        <w:t>ny</w:t>
      </w:r>
      <w:r w:rsidRPr="00421495">
        <w:t xml:space="preserve"> requirement to attend regular participation interviews with Services Australia</w:t>
      </w:r>
      <w:r>
        <w:t xml:space="preserve"> will be included in their Participation Plan and does not need to be included in the Participant’s Job Plan.</w:t>
      </w:r>
    </w:p>
    <w:p w14:paraId="38A428FC" w14:textId="4225696C" w:rsidR="00D74559" w:rsidRDefault="00D74559" w:rsidP="006E2EF5">
      <w:pPr>
        <w:rPr>
          <w:sz w:val="20"/>
          <w:szCs w:val="20"/>
        </w:rPr>
      </w:pPr>
      <w:r w:rsidRPr="72B4EEE6">
        <w:rPr>
          <w:sz w:val="20"/>
          <w:szCs w:val="20"/>
        </w:rPr>
        <w:t>(</w:t>
      </w:r>
      <w:r w:rsidR="00A73420">
        <w:rPr>
          <w:sz w:val="20"/>
          <w:szCs w:val="20"/>
        </w:rPr>
        <w:t xml:space="preserve">Deed Reference(s): Clause </w:t>
      </w:r>
      <w:r w:rsidR="00B522DC">
        <w:rPr>
          <w:sz w:val="20"/>
          <w:szCs w:val="20"/>
        </w:rPr>
        <w:t>134.11</w:t>
      </w:r>
      <w:r w:rsidRPr="72B4EEE6">
        <w:rPr>
          <w:sz w:val="20"/>
          <w:szCs w:val="20"/>
        </w:rPr>
        <w:t>)</w:t>
      </w:r>
    </w:p>
    <w:p w14:paraId="0CC52A42" w14:textId="77777777" w:rsidR="00D74559" w:rsidRPr="00AB61BC" w:rsidRDefault="00D74559" w:rsidP="00641AAF">
      <w:pPr>
        <w:pStyle w:val="TableChartHeading"/>
        <w:rPr>
          <w:rStyle w:val="Emphasis"/>
          <w:b/>
          <w:bCs/>
          <w:iCs w:val="0"/>
          <w:spacing w:val="3"/>
        </w:rPr>
      </w:pPr>
      <w:r w:rsidRPr="00AB61BC">
        <w:rPr>
          <w:rStyle w:val="Emphasis"/>
          <w:b/>
          <w:bCs/>
          <w:iCs w:val="0"/>
          <w:spacing w:val="3"/>
        </w:rPr>
        <w:t xml:space="preserve">Pre-populated codes within Meaningful Engagement Job Plan </w:t>
      </w:r>
      <w:r w:rsidRPr="00AB61BC">
        <w:rPr>
          <w:iCs/>
        </w:rPr>
        <w:t>(DSP U35)</w:t>
      </w:r>
    </w:p>
    <w:tbl>
      <w:tblPr>
        <w:tblStyle w:val="DSSTableStyleB"/>
        <w:tblW w:w="0" w:type="auto"/>
        <w:tblLook w:val="04E0" w:firstRow="1" w:lastRow="1" w:firstColumn="1" w:lastColumn="0" w:noHBand="0" w:noVBand="1"/>
        <w:tblDescription w:val="Example of a table styled with the second of the two DSS table styles. It is populated with food-related dummy data."/>
      </w:tblPr>
      <w:tblGrid>
        <w:gridCol w:w="851"/>
        <w:gridCol w:w="3827"/>
        <w:gridCol w:w="5387"/>
      </w:tblGrid>
      <w:tr w:rsidR="000A1E87" w14:paraId="34096F83"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02F2F03C" w14:textId="77777777" w:rsidR="00C4579D" w:rsidRDefault="00C4579D">
            <w:pPr>
              <w:pStyle w:val="TableText"/>
            </w:pPr>
            <w:r>
              <w:t>Code</w:t>
            </w:r>
          </w:p>
        </w:tc>
        <w:tc>
          <w:tcPr>
            <w:tcW w:w="3827" w:type="dxa"/>
            <w:tcBorders>
              <w:top w:val="single" w:sz="4" w:space="0" w:color="auto"/>
              <w:bottom w:val="single" w:sz="4" w:space="0" w:color="auto"/>
            </w:tcBorders>
          </w:tcPr>
          <w:p w14:paraId="3CF6E17F" w14:textId="77777777" w:rsidR="00C4579D" w:rsidRDefault="00C4579D">
            <w:pPr>
              <w:pStyle w:val="TableText"/>
            </w:pPr>
            <w:r>
              <w:t>Requirement in Job Plan</w:t>
            </w:r>
          </w:p>
        </w:tc>
        <w:tc>
          <w:tcPr>
            <w:tcW w:w="5387" w:type="dxa"/>
            <w:tcBorders>
              <w:top w:val="single" w:sz="4" w:space="0" w:color="auto"/>
              <w:bottom w:val="single" w:sz="4" w:space="0" w:color="auto"/>
            </w:tcBorders>
          </w:tcPr>
          <w:p w14:paraId="6635ABB7" w14:textId="77777777" w:rsidR="00C4579D" w:rsidRPr="00C837E1" w:rsidRDefault="00C4579D">
            <w:pPr>
              <w:pStyle w:val="TableText"/>
            </w:pPr>
            <w:r w:rsidRPr="00C837E1">
              <w:t>Description</w:t>
            </w:r>
          </w:p>
        </w:tc>
      </w:tr>
      <w:tr w:rsidR="000A1E87" w:rsidRPr="00983694" w14:paraId="3053686B" w14:textId="77777777" w:rsidTr="00DE7A9B">
        <w:trPr>
          <w:cnfStyle w:val="010000000000" w:firstRow="0" w:lastRow="1"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6907BADF" w14:textId="77777777" w:rsidR="00C4579D" w:rsidRPr="00983694" w:rsidRDefault="00C4579D">
            <w:pPr>
              <w:pStyle w:val="TableText"/>
              <w:rPr>
                <w:b w:val="0"/>
                <w:bCs/>
              </w:rPr>
            </w:pPr>
            <w:r w:rsidRPr="00983694">
              <w:rPr>
                <w:b w:val="0"/>
                <w:bCs/>
              </w:rPr>
              <w:t>PA19</w:t>
            </w:r>
          </w:p>
        </w:tc>
        <w:tc>
          <w:tcPr>
            <w:tcW w:w="3827" w:type="dxa"/>
            <w:tcBorders>
              <w:top w:val="single" w:sz="4" w:space="0" w:color="auto"/>
              <w:bottom w:val="single" w:sz="4" w:space="0" w:color="auto"/>
            </w:tcBorders>
          </w:tcPr>
          <w:p w14:paraId="6898E562" w14:textId="43E9CD90" w:rsidR="00C4579D" w:rsidRPr="00983694" w:rsidRDefault="00C4579D">
            <w:pPr>
              <w:pStyle w:val="TableText"/>
              <w:rPr>
                <w:b w:val="0"/>
                <w:bCs/>
              </w:rPr>
            </w:pPr>
            <w:r w:rsidRPr="00983694">
              <w:rPr>
                <w:b w:val="0"/>
                <w:bCs/>
              </w:rPr>
              <w:t>I will participate meaningfully in the program by engaging with my Provider to prepare for, seek or maintain employment. I am aware that this includes attending appointments and undertaking any tasks and activities to help me to achieve my employment goal. </w:t>
            </w:r>
          </w:p>
        </w:tc>
        <w:tc>
          <w:tcPr>
            <w:tcW w:w="5387" w:type="dxa"/>
            <w:tcBorders>
              <w:top w:val="single" w:sz="4" w:space="0" w:color="auto"/>
              <w:bottom w:val="single" w:sz="4" w:space="0" w:color="auto"/>
            </w:tcBorders>
          </w:tcPr>
          <w:p w14:paraId="4CA4E1C7" w14:textId="2487B1F4" w:rsidR="00C4579D" w:rsidRPr="00983694" w:rsidRDefault="00C4579D">
            <w:pPr>
              <w:pStyle w:val="TableList-level1"/>
              <w:rPr>
                <w:b w:val="0"/>
                <w:bCs/>
              </w:rPr>
            </w:pPr>
            <w:r w:rsidRPr="00983694">
              <w:rPr>
                <w:b w:val="0"/>
                <w:bCs/>
              </w:rPr>
              <w:t>The Participant must meaningfully engage with the Provider</w:t>
            </w:r>
            <w:r w:rsidR="000F682F">
              <w:rPr>
                <w:b w:val="0"/>
                <w:bCs/>
              </w:rPr>
              <w:t xml:space="preserve"> in order to meet the</w:t>
            </w:r>
            <w:r w:rsidR="00C5127B">
              <w:rPr>
                <w:b w:val="0"/>
                <w:bCs/>
              </w:rPr>
              <w:t>ir participation</w:t>
            </w:r>
            <w:r w:rsidR="000F682F">
              <w:rPr>
                <w:b w:val="0"/>
                <w:bCs/>
              </w:rPr>
              <w:t xml:space="preserve"> requirements </w:t>
            </w:r>
            <w:r w:rsidR="00C5127B">
              <w:rPr>
                <w:b w:val="0"/>
                <w:bCs/>
              </w:rPr>
              <w:t xml:space="preserve">under Social Security Law, and the terms </w:t>
            </w:r>
            <w:r w:rsidR="000F682F">
              <w:rPr>
                <w:b w:val="0"/>
                <w:bCs/>
              </w:rPr>
              <w:t>of their Participation Plan with Services Australia</w:t>
            </w:r>
            <w:r w:rsidRPr="00983694">
              <w:rPr>
                <w:b w:val="0"/>
                <w:bCs/>
              </w:rPr>
              <w:t>.</w:t>
            </w:r>
          </w:p>
          <w:p w14:paraId="6C766ED3" w14:textId="284639CA" w:rsidR="00C4579D" w:rsidRPr="00983694" w:rsidRDefault="00C4579D">
            <w:pPr>
              <w:pStyle w:val="TableList-level1"/>
              <w:rPr>
                <w:b w:val="0"/>
                <w:bCs/>
              </w:rPr>
            </w:pPr>
            <w:r w:rsidRPr="00983694">
              <w:rPr>
                <w:b w:val="0"/>
                <w:bCs/>
              </w:rPr>
              <w:t xml:space="preserve">Where a Participant shows a Pattern of Disengagement, a Provider may choose to move </w:t>
            </w:r>
            <w:r w:rsidR="00C5127B">
              <w:rPr>
                <w:b w:val="0"/>
                <w:bCs/>
              </w:rPr>
              <w:t>the</w:t>
            </w:r>
            <w:r w:rsidRPr="00983694">
              <w:rPr>
                <w:b w:val="0"/>
                <w:bCs/>
              </w:rPr>
              <w:t xml:space="preserve"> Participant to a Detailed Job Plan.</w:t>
            </w:r>
          </w:p>
          <w:p w14:paraId="41B0A269" w14:textId="77777777" w:rsidR="00C4579D" w:rsidRPr="00983694" w:rsidRDefault="00C4579D">
            <w:pPr>
              <w:pStyle w:val="TableList-level1"/>
              <w:rPr>
                <w:b w:val="0"/>
                <w:bCs/>
              </w:rPr>
            </w:pPr>
            <w:r w:rsidRPr="00983694">
              <w:rPr>
                <w:b w:val="0"/>
                <w:bCs/>
              </w:rPr>
              <w:t>This code cannot be removed.</w:t>
            </w:r>
          </w:p>
        </w:tc>
      </w:tr>
    </w:tbl>
    <w:p w14:paraId="55AC3107" w14:textId="3F8F69B8" w:rsidR="00385242" w:rsidRPr="006118AC" w:rsidRDefault="00385242" w:rsidP="00385242">
      <w:pPr>
        <w:pStyle w:val="Heading4"/>
      </w:pPr>
      <w:bookmarkStart w:id="166" w:name="_Ref202788650"/>
      <w:bookmarkStart w:id="167" w:name="_Toc202899940"/>
      <w:r w:rsidRPr="72B4EEE6">
        <w:t>4.</w:t>
      </w:r>
      <w:r w:rsidR="003866E4">
        <w:t>6</w:t>
      </w:r>
      <w:r w:rsidRPr="72B4EEE6">
        <w:t>.</w:t>
      </w:r>
      <w:r w:rsidR="007837D8">
        <w:t>3</w:t>
      </w:r>
      <w:r>
        <w:tab/>
      </w:r>
      <w:r w:rsidRPr="72B4EEE6">
        <w:t>Arrangements for Participants (Voluntary)</w:t>
      </w:r>
      <w:bookmarkEnd w:id="166"/>
      <w:bookmarkEnd w:id="167"/>
    </w:p>
    <w:p w14:paraId="49E1B089" w14:textId="77777777" w:rsidR="00385242" w:rsidRDefault="00385242" w:rsidP="000F682F">
      <w:pPr>
        <w:keepNext/>
      </w:pPr>
      <w:r>
        <w:t>There is a unique process for creating a voluntary Meaningful Engagement Job Plan.</w:t>
      </w:r>
    </w:p>
    <w:p w14:paraId="5B2406F9" w14:textId="3B1FB242" w:rsidR="00385242" w:rsidRDefault="00385242" w:rsidP="00385242">
      <w:r>
        <w:rPr>
          <w:rFonts w:cstheme="minorHAnsi"/>
        </w:rPr>
        <w:t>Job Plan</w:t>
      </w:r>
      <w:r w:rsidRPr="00FB7CD7">
        <w:rPr>
          <w:rFonts w:cstheme="minorHAnsi"/>
        </w:rPr>
        <w:t xml:space="preserve">s </w:t>
      </w:r>
      <w:r>
        <w:rPr>
          <w:rFonts w:cstheme="minorHAnsi"/>
        </w:rPr>
        <w:t xml:space="preserve">for Participants (Voluntary) </w:t>
      </w:r>
      <w:r w:rsidRPr="00FB7CD7">
        <w:rPr>
          <w:rFonts w:cstheme="minorHAnsi"/>
        </w:rPr>
        <w:t xml:space="preserve">can include only voluntary </w:t>
      </w:r>
      <w:r>
        <w:rPr>
          <w:rFonts w:cstheme="minorHAnsi"/>
        </w:rPr>
        <w:t xml:space="preserve">tasks and </w:t>
      </w:r>
      <w:r w:rsidRPr="00FB7CD7">
        <w:rPr>
          <w:rFonts w:cstheme="minorHAnsi"/>
        </w:rPr>
        <w:t>activities</w:t>
      </w:r>
      <w:r w:rsidR="00B571BE">
        <w:rPr>
          <w:rFonts w:cstheme="minorHAnsi"/>
        </w:rPr>
        <w:t>.</w:t>
      </w:r>
      <w:r w:rsidR="00C633B7">
        <w:rPr>
          <w:rFonts w:cstheme="minorHAnsi"/>
        </w:rPr>
        <w:t xml:space="preserve"> </w:t>
      </w:r>
      <w:r w:rsidR="00B571BE">
        <w:rPr>
          <w:rFonts w:cstheme="minorHAnsi"/>
        </w:rPr>
        <w:t xml:space="preserve">As </w:t>
      </w:r>
      <w:r>
        <w:rPr>
          <w:rFonts w:cstheme="minorHAnsi"/>
        </w:rPr>
        <w:t>such</w:t>
      </w:r>
      <w:r w:rsidR="00B571BE">
        <w:rPr>
          <w:rFonts w:cstheme="minorHAnsi"/>
        </w:rPr>
        <w:t>,</w:t>
      </w:r>
      <w:r>
        <w:rPr>
          <w:rFonts w:cstheme="minorHAnsi"/>
        </w:rPr>
        <w:t xml:space="preserve"> </w:t>
      </w:r>
      <w:r>
        <w:t>the contents of the</w:t>
      </w:r>
      <w:r w:rsidR="00B571BE">
        <w:t>ir</w:t>
      </w:r>
      <w:r>
        <w:t xml:space="preserve"> Meaningful Engagement Job Plan will only include Code PA19 [Meaningful Engagement Requirement] as a voluntary requirement.</w:t>
      </w:r>
    </w:p>
    <w:p w14:paraId="00BF7A2E" w14:textId="672FDA1F" w:rsidR="00385242" w:rsidRDefault="00385242" w:rsidP="00385242">
      <w:pPr>
        <w:rPr>
          <w:rFonts w:cstheme="minorHAnsi"/>
        </w:rPr>
      </w:pPr>
      <w:r>
        <w:rPr>
          <w:rFonts w:cstheme="minorHAnsi"/>
        </w:rPr>
        <w:t>When a Participant (Mutual Obligation) or DSP Recipient (Compulsory Requirements) is Suspended but chooses to volunteer for Services (as outlined in</w:t>
      </w:r>
      <w:r w:rsidR="00C32EE2">
        <w:rPr>
          <w:rFonts w:cstheme="minorHAnsi"/>
        </w:rPr>
        <w:t xml:space="preserve"> </w:t>
      </w:r>
      <w:r w:rsidR="00E12BF6">
        <w:rPr>
          <w:rFonts w:cstheme="minorHAnsi"/>
        </w:rPr>
        <w:fldChar w:fldCharType="begin"/>
      </w:r>
      <w:r w:rsidR="00E12BF6">
        <w:rPr>
          <w:rFonts w:cstheme="minorHAnsi"/>
        </w:rPr>
        <w:instrText xml:space="preserve"> REF _Ref202785048 \h </w:instrText>
      </w:r>
      <w:r w:rsidR="00E12BF6">
        <w:rPr>
          <w:rFonts w:cstheme="minorHAnsi"/>
        </w:rPr>
      </w:r>
      <w:r w:rsidR="00E12BF6">
        <w:rPr>
          <w:rFonts w:cstheme="minorHAnsi"/>
        </w:rPr>
        <w:fldChar w:fldCharType="separate"/>
      </w:r>
      <w:r w:rsidR="00E12BF6" w:rsidRPr="362FEA09">
        <w:t>3.5.2</w:t>
      </w:r>
      <w:r w:rsidR="00E12BF6">
        <w:t xml:space="preserve"> </w:t>
      </w:r>
      <w:r w:rsidR="00E12BF6" w:rsidRPr="362FEA09">
        <w:t>Volunteering during a Suspension</w:t>
      </w:r>
      <w:r w:rsidR="00E12BF6">
        <w:rPr>
          <w:rFonts w:cstheme="minorHAnsi"/>
        </w:rPr>
        <w:fldChar w:fldCharType="end"/>
      </w:r>
      <w:r w:rsidR="00C32EE2">
        <w:rPr>
          <w:highlight w:val="yellow"/>
        </w:rPr>
        <w:fldChar w:fldCharType="begin"/>
      </w:r>
      <w:r w:rsidR="00C32EE2">
        <w:instrText xml:space="preserve"> REF _Ref202785048 \h </w:instrText>
      </w:r>
      <w:r w:rsidR="00C32EE2">
        <w:rPr>
          <w:highlight w:val="yellow"/>
        </w:rPr>
      </w:r>
      <w:r w:rsidR="00C32EE2">
        <w:rPr>
          <w:highlight w:val="yellow"/>
        </w:rPr>
        <w:fldChar w:fldCharType="separate"/>
      </w:r>
      <w:r w:rsidR="00C32EE2">
        <w:rPr>
          <w:highlight w:val="yellow"/>
        </w:rPr>
        <w:fldChar w:fldCharType="end"/>
      </w:r>
      <w:r>
        <w:rPr>
          <w:rFonts w:cstheme="minorHAnsi"/>
        </w:rPr>
        <w:t>), Providers must amend the Job Plan</w:t>
      </w:r>
      <w:r w:rsidR="006238B5">
        <w:rPr>
          <w:rFonts w:cstheme="minorHAnsi"/>
        </w:rPr>
        <w:t xml:space="preserve"> </w:t>
      </w:r>
      <w:r>
        <w:rPr>
          <w:rFonts w:cstheme="minorHAnsi"/>
        </w:rPr>
        <w:t>— to change the Meaningful Engagement Requirement from compulsory to voluntary (see</w:t>
      </w:r>
      <w:r w:rsidR="00C32EE2">
        <w:rPr>
          <w:rFonts w:cstheme="minorHAnsi"/>
        </w:rPr>
        <w:t xml:space="preserve"> </w:t>
      </w:r>
      <w:r w:rsidR="00C32EE2">
        <w:rPr>
          <w:rFonts w:cstheme="minorHAnsi"/>
        </w:rPr>
        <w:fldChar w:fldCharType="begin"/>
      </w:r>
      <w:r w:rsidR="00C32EE2">
        <w:rPr>
          <w:rFonts w:cstheme="minorHAnsi"/>
        </w:rPr>
        <w:instrText xml:space="preserve"> REF _Ref202786608 \h </w:instrText>
      </w:r>
      <w:r w:rsidR="00C32EE2">
        <w:rPr>
          <w:rFonts w:cstheme="minorHAnsi"/>
        </w:rPr>
      </w:r>
      <w:r w:rsidR="00C32EE2">
        <w:rPr>
          <w:rFonts w:cstheme="minorHAnsi"/>
        </w:rPr>
        <w:fldChar w:fldCharType="separate"/>
      </w:r>
      <w:r w:rsidR="000D75AE" w:rsidRPr="72B4EEE6">
        <w:t>4.4.1</w:t>
      </w:r>
      <w:r w:rsidR="002E053E">
        <w:t xml:space="preserve"> </w:t>
      </w:r>
      <w:r w:rsidR="000D75AE">
        <w:t>Determining the appropriate Job Plan type</w:t>
      </w:r>
      <w:r w:rsidR="00C32EE2">
        <w:rPr>
          <w:rFonts w:cstheme="minorHAnsi"/>
        </w:rPr>
        <w:fldChar w:fldCharType="end"/>
      </w:r>
      <w:r>
        <w:rPr>
          <w:rFonts w:cstheme="minorHAnsi"/>
        </w:rPr>
        <w:t>).</w:t>
      </w:r>
    </w:p>
    <w:p w14:paraId="4CBEF726" w14:textId="05983E36" w:rsidR="00D74559" w:rsidRPr="00291E3D" w:rsidRDefault="00D74559" w:rsidP="006E2EF5">
      <w:pPr>
        <w:rPr>
          <w:rFonts w:eastAsiaTheme="minorEastAsia"/>
          <w:sz w:val="20"/>
          <w:szCs w:val="20"/>
        </w:rPr>
      </w:pPr>
      <w:r>
        <w:t xml:space="preserve">In addition, </w:t>
      </w:r>
      <w:r w:rsidR="00706E81">
        <w:t>for a</w:t>
      </w:r>
      <w:r>
        <w:t xml:space="preserve"> Volunteer (Mutual Obligation), the Provider must not negotiate a new Job Plan while </w:t>
      </w:r>
      <w:r w:rsidR="00706E81">
        <w:t>a</w:t>
      </w:r>
      <w:r>
        <w:t xml:space="preserve"> Centrelink Job Plan remains valid. If the Centrelink Job Plan expires, and the Participant is still undertaking an </w:t>
      </w:r>
      <w:r w:rsidR="004956CA">
        <w:t>a</w:t>
      </w:r>
      <w:r>
        <w:t>pproved Activity that resulted in the Participant Fully Meeting their Mutual Obligation Requirements, they should be referred to Services Australia for the Job Plan to be updated.</w:t>
      </w:r>
    </w:p>
    <w:p w14:paraId="551C4EBC" w14:textId="77777777" w:rsidR="00D74559" w:rsidRDefault="00D74559" w:rsidP="006F727E">
      <w:pPr>
        <w:pStyle w:val="SystemStep"/>
      </w:pPr>
      <w:r w:rsidRPr="0E218120">
        <w:t xml:space="preserve">If a </w:t>
      </w:r>
      <w:r>
        <w:t>Participant (Voluntary)</w:t>
      </w:r>
      <w:r w:rsidRPr="0E218120">
        <w:t xml:space="preserve"> has a Centrelink Job Plan, Providers must not replace the Centrelink Job Plan. Instead, the Provider must record the voluntary tasks and activities that the Participant has agreed to participate in using comment functionality in the Participant’s Summary on the Department’s IT Systems.</w:t>
      </w:r>
    </w:p>
    <w:p w14:paraId="3A05771C" w14:textId="0E7455CA" w:rsidR="00D74559" w:rsidRPr="00EA440C" w:rsidRDefault="00D74559" w:rsidP="006E2EF5">
      <w:pPr>
        <w:pStyle w:val="DeedReferences"/>
        <w:rPr>
          <w:rFonts w:eastAsiaTheme="minorEastAsia" w:cstheme="minorBidi"/>
        </w:rPr>
      </w:pPr>
      <w:r w:rsidRPr="72B4EEE6">
        <w:rPr>
          <w:rFonts w:eastAsiaTheme="minorEastAsia" w:cstheme="minorBidi"/>
        </w:rPr>
        <w:t>(</w:t>
      </w:r>
      <w:r w:rsidR="00A73420">
        <w:rPr>
          <w:rFonts w:eastAsiaTheme="minorEastAsia" w:cstheme="minorBidi"/>
        </w:rPr>
        <w:t xml:space="preserve">Deed Reference(s): Clause </w:t>
      </w:r>
      <w:r w:rsidR="00F97A42">
        <w:rPr>
          <w:rFonts w:eastAsiaTheme="minorEastAsia" w:cstheme="minorBidi"/>
        </w:rPr>
        <w:t xml:space="preserve">134.8, </w:t>
      </w:r>
      <w:r w:rsidR="00FD4085">
        <w:rPr>
          <w:rFonts w:eastAsiaTheme="minorEastAsia" w:cstheme="minorBidi"/>
        </w:rPr>
        <w:t>134.11</w:t>
      </w:r>
      <w:r w:rsidRPr="72B4EEE6">
        <w:rPr>
          <w:rFonts w:eastAsiaTheme="minorEastAsia" w:cstheme="minorBidi"/>
        </w:rPr>
        <w:t>)</w:t>
      </w:r>
    </w:p>
    <w:p w14:paraId="7EB74DD3" w14:textId="77777777" w:rsidR="00D74559" w:rsidRPr="00456976" w:rsidRDefault="00D74559" w:rsidP="006E2EF5">
      <w:pPr>
        <w:pStyle w:val="TableChartHeading"/>
        <w:rPr>
          <w:rStyle w:val="Emphasis"/>
          <w:b/>
          <w:bCs/>
          <w:iCs w:val="0"/>
          <w:spacing w:val="3"/>
        </w:rPr>
      </w:pPr>
      <w:r w:rsidRPr="00456976">
        <w:rPr>
          <w:rStyle w:val="Emphasis"/>
          <w:b/>
          <w:bCs/>
          <w:iCs w:val="0"/>
          <w:spacing w:val="3"/>
        </w:rPr>
        <w:t xml:space="preserve">Pre-populated fields in Meaningful Engagement Job Plan </w:t>
      </w:r>
      <w:r w:rsidRPr="00456976">
        <w:rPr>
          <w:iCs/>
        </w:rPr>
        <w:t>(Voluntary)</w:t>
      </w:r>
    </w:p>
    <w:tbl>
      <w:tblPr>
        <w:tblStyle w:val="DSSTableStyleB"/>
        <w:tblW w:w="0" w:type="auto"/>
        <w:tblLook w:val="04E0" w:firstRow="1" w:lastRow="1" w:firstColumn="1" w:lastColumn="0" w:noHBand="0" w:noVBand="1"/>
        <w:tblDescription w:val="Example of a table styled with the second of the two DSS table styles. It is populated with food-related dummy data."/>
      </w:tblPr>
      <w:tblGrid>
        <w:gridCol w:w="851"/>
        <w:gridCol w:w="3827"/>
        <w:gridCol w:w="5387"/>
      </w:tblGrid>
      <w:tr w:rsidR="000A1E87" w14:paraId="44DA759E"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5931A3FE" w14:textId="77777777" w:rsidR="00385242" w:rsidRPr="00641AAF" w:rsidRDefault="00385242">
            <w:pPr>
              <w:pStyle w:val="TableText"/>
            </w:pPr>
            <w:r w:rsidRPr="00641AAF">
              <w:t>Code</w:t>
            </w:r>
          </w:p>
        </w:tc>
        <w:tc>
          <w:tcPr>
            <w:tcW w:w="3827" w:type="dxa"/>
            <w:tcBorders>
              <w:top w:val="single" w:sz="4" w:space="0" w:color="auto"/>
              <w:bottom w:val="single" w:sz="4" w:space="0" w:color="auto"/>
            </w:tcBorders>
          </w:tcPr>
          <w:p w14:paraId="606D295A" w14:textId="77777777" w:rsidR="00385242" w:rsidRPr="00641AAF" w:rsidRDefault="00385242">
            <w:pPr>
              <w:pStyle w:val="TableText"/>
            </w:pPr>
            <w:r w:rsidRPr="00641AAF">
              <w:t>Requirement in Job Plan</w:t>
            </w:r>
          </w:p>
        </w:tc>
        <w:tc>
          <w:tcPr>
            <w:tcW w:w="5387" w:type="dxa"/>
            <w:tcBorders>
              <w:top w:val="single" w:sz="4" w:space="0" w:color="auto"/>
              <w:bottom w:val="single" w:sz="4" w:space="0" w:color="auto"/>
            </w:tcBorders>
          </w:tcPr>
          <w:p w14:paraId="56D858FB" w14:textId="77777777" w:rsidR="00385242" w:rsidRPr="00641AAF" w:rsidRDefault="00385242">
            <w:pPr>
              <w:pStyle w:val="TableText"/>
            </w:pPr>
            <w:r w:rsidRPr="00641AAF">
              <w:t>Description</w:t>
            </w:r>
          </w:p>
        </w:tc>
      </w:tr>
      <w:tr w:rsidR="000A1E87" w14:paraId="2E8753E0" w14:textId="77777777" w:rsidTr="00DE7A9B">
        <w:trPr>
          <w:cnfStyle w:val="010000000000" w:firstRow="0" w:lastRow="1" w:firstColumn="0" w:lastColumn="0" w:oddVBand="0" w:evenVBand="0" w:oddHBand="0" w:evenHBand="0" w:firstRowFirstColumn="0" w:firstRowLastColumn="0" w:lastRowFirstColumn="0" w:lastRowLastColumn="0"/>
          <w:cantSplit/>
        </w:trPr>
        <w:tc>
          <w:tcPr>
            <w:tcW w:w="851" w:type="dxa"/>
            <w:tcBorders>
              <w:top w:val="single" w:sz="4" w:space="0" w:color="auto"/>
              <w:bottom w:val="single" w:sz="4" w:space="0" w:color="auto"/>
            </w:tcBorders>
          </w:tcPr>
          <w:p w14:paraId="0BDEFF79" w14:textId="77777777" w:rsidR="00385242" w:rsidRPr="0053127E" w:rsidRDefault="00385242">
            <w:pPr>
              <w:pStyle w:val="TableText"/>
              <w:rPr>
                <w:b w:val="0"/>
                <w:bCs/>
              </w:rPr>
            </w:pPr>
            <w:r w:rsidRPr="0053127E">
              <w:rPr>
                <w:b w:val="0"/>
                <w:bCs/>
              </w:rPr>
              <w:t>PA19</w:t>
            </w:r>
          </w:p>
        </w:tc>
        <w:tc>
          <w:tcPr>
            <w:tcW w:w="3827" w:type="dxa"/>
            <w:tcBorders>
              <w:top w:val="single" w:sz="4" w:space="0" w:color="auto"/>
              <w:bottom w:val="single" w:sz="4" w:space="0" w:color="auto"/>
            </w:tcBorders>
          </w:tcPr>
          <w:p w14:paraId="04FB8CF8" w14:textId="348B8071" w:rsidR="00385242" w:rsidRPr="0053127E" w:rsidRDefault="00385242">
            <w:pPr>
              <w:pStyle w:val="TableText"/>
              <w:rPr>
                <w:b w:val="0"/>
                <w:bCs/>
              </w:rPr>
            </w:pPr>
            <w:r w:rsidRPr="0002427A">
              <w:rPr>
                <w:b w:val="0"/>
                <w:bCs/>
              </w:rPr>
              <w:t>I will participate meaningfully in the program by engaging with my Provider to prepare for, seek or maintain employment. I am aware that this includes attending appointments and undertaking any tasks and activities to help me to achieve my employment goal</w:t>
            </w:r>
            <w:r w:rsidRPr="0058030C">
              <w:t>.</w:t>
            </w:r>
          </w:p>
        </w:tc>
        <w:tc>
          <w:tcPr>
            <w:tcW w:w="5387" w:type="dxa"/>
            <w:tcBorders>
              <w:top w:val="single" w:sz="4" w:space="0" w:color="auto"/>
              <w:bottom w:val="single" w:sz="4" w:space="0" w:color="auto"/>
            </w:tcBorders>
          </w:tcPr>
          <w:p w14:paraId="415BA890" w14:textId="77777777" w:rsidR="00385242" w:rsidRPr="00456976" w:rsidRDefault="00385242">
            <w:pPr>
              <w:pStyle w:val="TableList-level1"/>
              <w:rPr>
                <w:b w:val="0"/>
                <w:bCs/>
                <w14:numSpacing w14:val="tabular"/>
              </w:rPr>
            </w:pPr>
            <w:r w:rsidRPr="00456976">
              <w:rPr>
                <w:b w:val="0"/>
                <w:bCs/>
              </w:rPr>
              <w:t xml:space="preserve">This is entered as a </w:t>
            </w:r>
            <w:r w:rsidRPr="00456976">
              <w:rPr>
                <w:b w:val="0"/>
                <w:bCs/>
                <w:u w:val="single"/>
              </w:rPr>
              <w:t>voluntary</w:t>
            </w:r>
            <w:r w:rsidRPr="00456976">
              <w:rPr>
                <w:b w:val="0"/>
                <w:bCs/>
              </w:rPr>
              <w:t xml:space="preserve"> requirement.</w:t>
            </w:r>
          </w:p>
          <w:p w14:paraId="745E6511" w14:textId="77777777" w:rsidR="00385242" w:rsidRPr="00EA5F46" w:rsidRDefault="00385242">
            <w:pPr>
              <w:pStyle w:val="TableList-level1"/>
              <w:rPr>
                <w:b w:val="0"/>
              </w:rPr>
            </w:pPr>
            <w:r w:rsidRPr="00EA5F46">
              <w:rPr>
                <w:b w:val="0"/>
              </w:rPr>
              <w:t>The Participant must meaningfully engage with the Provider in order to receive Services from the Provider.</w:t>
            </w:r>
          </w:p>
          <w:p w14:paraId="64582553" w14:textId="77777777" w:rsidR="00385242" w:rsidRPr="00EA5F46" w:rsidRDefault="00385242">
            <w:pPr>
              <w:pStyle w:val="TableList-level1"/>
              <w:rPr>
                <w:b w:val="0"/>
              </w:rPr>
            </w:pPr>
            <w:r w:rsidRPr="00EA5F46">
              <w:rPr>
                <w:b w:val="0"/>
              </w:rPr>
              <w:t>Not meeting this requirement will result in a Participant being Suspended and/or Exited.</w:t>
            </w:r>
          </w:p>
          <w:p w14:paraId="249CCD93" w14:textId="77777777" w:rsidR="00385242" w:rsidRPr="0053127E" w:rsidRDefault="00385242">
            <w:pPr>
              <w:pStyle w:val="TableList-level1"/>
            </w:pPr>
            <w:r w:rsidRPr="00EA5F46">
              <w:rPr>
                <w:b w:val="0"/>
              </w:rPr>
              <w:t>This code cannot be removed.</w:t>
            </w:r>
          </w:p>
        </w:tc>
      </w:tr>
    </w:tbl>
    <w:p w14:paraId="5DAF0E68" w14:textId="16DA6550" w:rsidR="00D74559" w:rsidRPr="00485471" w:rsidRDefault="00D74559" w:rsidP="001D0F92">
      <w:pPr>
        <w:pStyle w:val="Heading4"/>
      </w:pPr>
      <w:bookmarkStart w:id="168" w:name="_Toc202899941"/>
      <w:bookmarkStart w:id="169" w:name="_Ref203038566"/>
      <w:r w:rsidRPr="72B4EEE6">
        <w:t>4.</w:t>
      </w:r>
      <w:r w:rsidR="003866E4">
        <w:t>6</w:t>
      </w:r>
      <w:r w:rsidRPr="72B4EEE6">
        <w:t>.</w:t>
      </w:r>
      <w:r w:rsidR="007837D8">
        <w:t>4</w:t>
      </w:r>
      <w:r w:rsidR="00D31DE8">
        <w:tab/>
      </w:r>
      <w:r w:rsidRPr="72B4EEE6">
        <w:t>Arrangements for Participants eligible for Mobility Allowance</w:t>
      </w:r>
      <w:bookmarkEnd w:id="168"/>
      <w:bookmarkEnd w:id="169"/>
    </w:p>
    <w:p w14:paraId="09493FCE" w14:textId="127CF3FF" w:rsidR="00D74559" w:rsidRDefault="00D74559" w:rsidP="006E2EF5">
      <w:r>
        <w:t>Provider</w:t>
      </w:r>
      <w:r w:rsidRPr="00485471">
        <w:t xml:space="preserve">s must have a conversation with each </w:t>
      </w:r>
      <w:r>
        <w:t>Participant</w:t>
      </w:r>
      <w:r w:rsidRPr="00485471">
        <w:t xml:space="preserve"> to confirm if they are </w:t>
      </w:r>
      <w:r>
        <w:t xml:space="preserve">claiming or </w:t>
      </w:r>
      <w:r w:rsidRPr="00485471">
        <w:t>receiving</w:t>
      </w:r>
      <w:r w:rsidR="001A7D13">
        <w:t xml:space="preserve"> Mobility Allowance — see</w:t>
      </w:r>
      <w:r w:rsidRPr="00485471">
        <w:t xml:space="preserve"> </w:t>
      </w:r>
      <w:hyperlink r:id="rId46" w:history="1">
        <w:r w:rsidR="001A7D13">
          <w:rPr>
            <w:rStyle w:val="Hyperlink"/>
          </w:rPr>
          <w:t>Services Australia website</w:t>
        </w:r>
      </w:hyperlink>
      <w:r w:rsidR="001A7D13">
        <w:t xml:space="preserve"> for more information</w:t>
      </w:r>
      <w:r w:rsidRPr="00485471">
        <w:t>.</w:t>
      </w:r>
    </w:p>
    <w:p w14:paraId="5B1072EF" w14:textId="1082EFDD" w:rsidR="00D74559" w:rsidRDefault="00D74559" w:rsidP="006E2EF5">
      <w:r>
        <w:t>W</w:t>
      </w:r>
      <w:r w:rsidRPr="3D523830">
        <w:t xml:space="preserve">here a </w:t>
      </w:r>
      <w:r>
        <w:t>Participant</w:t>
      </w:r>
      <w:r w:rsidRPr="3D523830">
        <w:t xml:space="preserve"> </w:t>
      </w:r>
      <w:r>
        <w:t>tells the Provider</w:t>
      </w:r>
      <w:r w:rsidRPr="3D523830">
        <w:t xml:space="preserve"> that they are </w:t>
      </w:r>
      <w:r w:rsidRPr="00F55E4B">
        <w:rPr>
          <w:u w:val="single"/>
        </w:rPr>
        <w:t>claiming or receiving the standard rate of Mobility Allowance</w:t>
      </w:r>
      <w:r w:rsidRPr="3D523830">
        <w:t xml:space="preserve">, the </w:t>
      </w:r>
      <w:r>
        <w:t>Provider</w:t>
      </w:r>
      <w:r w:rsidRPr="3D523830">
        <w:t xml:space="preserve"> must ensure that the </w:t>
      </w:r>
      <w:r>
        <w:t>Participant</w:t>
      </w:r>
      <w:r w:rsidRPr="00A72616">
        <w:t xml:space="preserve">’s </w:t>
      </w:r>
      <w:r w:rsidR="00DA4B22">
        <w:t xml:space="preserve">Meaningful Engagement </w:t>
      </w:r>
      <w:r w:rsidRPr="3D523830">
        <w:t xml:space="preserve">Job Plan </w:t>
      </w:r>
      <w:r>
        <w:t>has one of the following</w:t>
      </w:r>
      <w:r w:rsidR="00901EA3">
        <w:t xml:space="preserve"> as a voluntary requirement</w:t>
      </w:r>
      <w:r>
        <w:t>:</w:t>
      </w:r>
    </w:p>
    <w:p w14:paraId="6B95DC37" w14:textId="3CB4B6C0" w:rsidR="00827DEE" w:rsidRPr="00485471" w:rsidRDefault="00827DEE" w:rsidP="00827DEE">
      <w:pPr>
        <w:pStyle w:val="BulletLevel1"/>
        <w:ind w:left="1004"/>
      </w:pPr>
      <w:r>
        <w:t xml:space="preserve">Code </w:t>
      </w:r>
      <w:r w:rsidRPr="00485471">
        <w:t xml:space="preserve">JS07 </w:t>
      </w:r>
      <w:r>
        <w:t>[</w:t>
      </w:r>
      <w:r w:rsidRPr="00485471">
        <w:t>Research and Prepare Applications</w:t>
      </w:r>
      <w:r>
        <w:t>] —</w:t>
      </w:r>
      <w:r w:rsidR="00DD269D">
        <w:t xml:space="preserve"> </w:t>
      </w:r>
      <w:r w:rsidR="00C5127B">
        <w:t xml:space="preserve">this </w:t>
      </w:r>
      <w:r w:rsidR="00244DD4">
        <w:t xml:space="preserve">activity </w:t>
      </w:r>
      <w:r w:rsidR="00DD269D">
        <w:t>is</w:t>
      </w:r>
      <w:r w:rsidR="00C5127B">
        <w:t xml:space="preserve"> </w:t>
      </w:r>
      <w:r>
        <w:t>suitable for those receiving the Intensive Service Job Search phase</w:t>
      </w:r>
      <w:r w:rsidR="00C5127B">
        <w:t>, or</w:t>
      </w:r>
    </w:p>
    <w:p w14:paraId="20BB998F" w14:textId="292F9C86" w:rsidR="00827DEE" w:rsidRPr="00485471" w:rsidRDefault="00827DEE" w:rsidP="00827DEE">
      <w:pPr>
        <w:pStyle w:val="BulletLevel1"/>
        <w:ind w:left="1004"/>
      </w:pPr>
      <w:r>
        <w:t xml:space="preserve">Code </w:t>
      </w:r>
      <w:r w:rsidRPr="00485471">
        <w:t xml:space="preserve">ET64 </w:t>
      </w:r>
      <w:r>
        <w:t>[</w:t>
      </w:r>
      <w:r w:rsidRPr="00485471">
        <w:t>Work Preparation</w:t>
      </w:r>
      <w:r>
        <w:t>] —</w:t>
      </w:r>
      <w:r w:rsidR="00C5127B">
        <w:t xml:space="preserve">this </w:t>
      </w:r>
      <w:r w:rsidR="00244DD4">
        <w:t xml:space="preserve">Work Preparation activity </w:t>
      </w:r>
      <w:r w:rsidR="00DD269D">
        <w:t>is</w:t>
      </w:r>
      <w:r w:rsidR="00C5127B">
        <w:t xml:space="preserve"> </w:t>
      </w:r>
      <w:r>
        <w:t>suitable for those receiving the Intensive Service Work Preparation phase or Flexible Service</w:t>
      </w:r>
      <w:r w:rsidR="00C5127B">
        <w:t>.</w:t>
      </w:r>
    </w:p>
    <w:p w14:paraId="57FEB719" w14:textId="7B192E52" w:rsidR="00827DEE" w:rsidRDefault="00827DEE" w:rsidP="00827DEE">
      <w:pPr>
        <w:keepLines/>
      </w:pPr>
      <w:r>
        <w:t>If a Participant (Mutual Obligation) or DSP Recipient (Compulsory Requirements)</w:t>
      </w:r>
      <w:r w:rsidRPr="3D523830">
        <w:t xml:space="preserve"> </w:t>
      </w:r>
      <w:r>
        <w:t>tells the Provider</w:t>
      </w:r>
      <w:r w:rsidRPr="3D523830">
        <w:t xml:space="preserve"> that they are </w:t>
      </w:r>
      <w:r w:rsidRPr="00C633B7">
        <w:rPr>
          <w:u w:val="single"/>
        </w:rPr>
        <w:t>claiming or receiving the higher rate of Mobility Allowance</w:t>
      </w:r>
      <w:r w:rsidRPr="3D523830">
        <w:t xml:space="preserve">, the </w:t>
      </w:r>
      <w:r>
        <w:t>Provider</w:t>
      </w:r>
      <w:r w:rsidRPr="3D523830">
        <w:t xml:space="preserve"> must ensure that the </w:t>
      </w:r>
      <w:r>
        <w:t>Participant</w:t>
      </w:r>
      <w:r w:rsidRPr="00A72616">
        <w:t xml:space="preserve">’s </w:t>
      </w:r>
      <w:r>
        <w:t xml:space="preserve">Meaningful Engagement </w:t>
      </w:r>
      <w:r w:rsidRPr="3D523830">
        <w:t xml:space="preserve">Job Plan </w:t>
      </w:r>
      <w:r w:rsidR="00C5127B">
        <w:t>includes</w:t>
      </w:r>
      <w:r>
        <w:t xml:space="preserve"> Code JS05 [Job Search with a Disability – Activity Tested] — as voluntary requirement.</w:t>
      </w:r>
    </w:p>
    <w:p w14:paraId="6897AD8A" w14:textId="73513E2B" w:rsidR="005E1BD2" w:rsidRDefault="005E1BD2" w:rsidP="00827DEE">
      <w:r>
        <w:t>*End of section subject to confirmation*</w:t>
      </w:r>
    </w:p>
    <w:p w14:paraId="164CFA7A" w14:textId="15075BD1" w:rsidR="00827DEE" w:rsidRPr="001F6AA2" w:rsidRDefault="00827DEE" w:rsidP="00827DEE">
      <w:r>
        <w:t>If a Participant (Voluntary) tells the Provider</w:t>
      </w:r>
      <w:r w:rsidRPr="3D523830">
        <w:t xml:space="preserve"> that they are </w:t>
      </w:r>
      <w:r w:rsidRPr="00C633B7">
        <w:rPr>
          <w:u w:val="single"/>
        </w:rPr>
        <w:t>claiming or receiving the higher rate of Mobility Allowance</w:t>
      </w:r>
      <w:r>
        <w:t>, the Provider must ensure that the Participant’s Job Plan has JS06 [Job Search with a Disability – Non-Activity Tested]</w:t>
      </w:r>
      <w:r w:rsidR="00C5127B">
        <w:t xml:space="preserve"> — </w:t>
      </w:r>
      <w:r w:rsidR="000A2648">
        <w:t>this</w:t>
      </w:r>
      <w:r w:rsidR="00C5127B">
        <w:t xml:space="preserve"> can only be entered as a voluntary requirement</w:t>
      </w:r>
      <w:r>
        <w:t>.</w:t>
      </w:r>
    </w:p>
    <w:p w14:paraId="2231C58E" w14:textId="21097A52" w:rsidR="00827DEE" w:rsidRDefault="00827DEE" w:rsidP="00827DEE">
      <w:r>
        <w:t>Inclusion of these Job Plan items</w:t>
      </w:r>
      <w:r w:rsidRPr="00485471">
        <w:t xml:space="preserve"> trigger</w:t>
      </w:r>
      <w:r>
        <w:t>s</w:t>
      </w:r>
      <w:r w:rsidRPr="00485471">
        <w:t xml:space="preserve"> </w:t>
      </w:r>
      <w:r>
        <w:t>payment</w:t>
      </w:r>
      <w:r w:rsidRPr="00485471">
        <w:t xml:space="preserve"> of Mobility Allowance.</w:t>
      </w:r>
      <w:r>
        <w:t xml:space="preserve"> If the Participant does not have a relevant code</w:t>
      </w:r>
      <w:r w:rsidR="00D11151">
        <w:t xml:space="preserve"> included in their Job Plan</w:t>
      </w:r>
      <w:r>
        <w:t>, their Mobility Allowance payment will be cancelled.</w:t>
      </w:r>
    </w:p>
    <w:p w14:paraId="534EB1AE" w14:textId="221B76EB" w:rsidR="00827DEE" w:rsidRPr="00873C89" w:rsidRDefault="00827DEE" w:rsidP="00827DEE">
      <w:r w:rsidRPr="00C5127B">
        <w:rPr>
          <w:b/>
          <w:bCs/>
        </w:rPr>
        <w:t>Note:</w:t>
      </w:r>
      <w:r>
        <w:t xml:space="preserve"> The </w:t>
      </w:r>
      <w:r w:rsidR="00AF2B49">
        <w:t xml:space="preserve">inclusion of these </w:t>
      </w:r>
      <w:r w:rsidR="00C5127B">
        <w:t>activities additional to the</w:t>
      </w:r>
      <w:r>
        <w:t xml:space="preserve"> Meaningful Engagement Requirement is </w:t>
      </w:r>
      <w:r w:rsidR="00AF2B49">
        <w:t xml:space="preserve">specific </w:t>
      </w:r>
      <w:r>
        <w:t>to enable</w:t>
      </w:r>
      <w:r w:rsidR="00C5127B">
        <w:t xml:space="preserve"> the Participant’s</w:t>
      </w:r>
      <w:r>
        <w:t xml:space="preserve"> eligibility for Mobility Allowance. Th</w:t>
      </w:r>
      <w:r w:rsidR="004D2326">
        <w:t xml:space="preserve">is will be made clear in the </w:t>
      </w:r>
      <w:r>
        <w:t xml:space="preserve">Job Plan </w:t>
      </w:r>
      <w:r w:rsidR="004D2326">
        <w:t xml:space="preserve">contents for those with </w:t>
      </w:r>
      <w:r w:rsidR="002179C5">
        <w:t xml:space="preserve">a </w:t>
      </w:r>
      <w:r>
        <w:t xml:space="preserve">voluntary requirement entered into </w:t>
      </w:r>
      <w:r w:rsidR="00C5127B">
        <w:t>a</w:t>
      </w:r>
      <w:r>
        <w:t xml:space="preserve"> Meaningful Engagement Job Plan.</w:t>
      </w:r>
    </w:p>
    <w:p w14:paraId="01706B04" w14:textId="7A9FF9A3" w:rsidR="00D74559" w:rsidRPr="00142798" w:rsidRDefault="00D74559" w:rsidP="001D0F92">
      <w:pPr>
        <w:pStyle w:val="Heading3"/>
      </w:pPr>
      <w:bookmarkStart w:id="170" w:name="_Ref202784317"/>
      <w:bookmarkStart w:id="171" w:name="_Toc202899942"/>
      <w:r>
        <w:t>4.</w:t>
      </w:r>
      <w:r w:rsidR="000D6B3B">
        <w:t>7</w:t>
      </w:r>
      <w:r w:rsidR="00273296">
        <w:tab/>
      </w:r>
      <w:r>
        <w:t>Contents of a Detailed Job Plan</w:t>
      </w:r>
      <w:bookmarkEnd w:id="170"/>
      <w:bookmarkEnd w:id="171"/>
    </w:p>
    <w:p w14:paraId="50C629E8" w14:textId="292E77E8" w:rsidR="00D74559" w:rsidRDefault="00D74559" w:rsidP="006E2EF5">
      <w:r w:rsidRPr="2190AEAE">
        <w:t xml:space="preserve">The </w:t>
      </w:r>
      <w:r>
        <w:t xml:space="preserve">Detailed Job Plan will pre-populate </w:t>
      </w:r>
      <w:r w:rsidR="0062084A">
        <w:t>with</w:t>
      </w:r>
      <w:r>
        <w:t xml:space="preserve"> a set of specified compulsory requirements.</w:t>
      </w:r>
    </w:p>
    <w:p w14:paraId="5D427EA0" w14:textId="01F86D10" w:rsidR="00D74559" w:rsidRDefault="00D74559" w:rsidP="006E2EF5">
      <w:r>
        <w:t>The contents of the Detailed Job Plan should include the pre-populate</w:t>
      </w:r>
      <w:r w:rsidR="00B82D8C">
        <w:t>d</w:t>
      </w:r>
      <w:r>
        <w:t xml:space="preserve"> set, depending on </w:t>
      </w:r>
      <w:r w:rsidR="001C1411">
        <w:t>if</w:t>
      </w:r>
      <w:r>
        <w:t xml:space="preserve"> they are appropriate for the Participant’s (Mutual Obligation) circumstances and phase.</w:t>
      </w:r>
    </w:p>
    <w:p w14:paraId="39DEBB06" w14:textId="77777777" w:rsidR="001A06EC" w:rsidRPr="00951F20" w:rsidRDefault="001A06EC" w:rsidP="001A06EC">
      <w:pPr>
        <w:pStyle w:val="SystemStep"/>
      </w:pPr>
      <w:r>
        <w:t>The Detailed Job Plan will pre-populate with requirements in the Department’s IT Systems</w:t>
      </w:r>
      <w:r w:rsidRPr="00951F20">
        <w:t>.</w:t>
      </w:r>
      <w:r>
        <w:t xml:space="preserve"> Provider can then tailor the Job Plan to match the Participant’s circumstance and phase.</w:t>
      </w:r>
    </w:p>
    <w:p w14:paraId="5B00A128" w14:textId="77777777" w:rsidR="00D74559" w:rsidRDefault="00D74559" w:rsidP="006E2EF5">
      <w:r>
        <w:t xml:space="preserve">For Participants (Mutual Obligation), the following codes must </w:t>
      </w:r>
      <w:r w:rsidRPr="00AD30A2">
        <w:rPr>
          <w:u w:val="single"/>
        </w:rPr>
        <w:t>not</w:t>
      </w:r>
      <w:r>
        <w:t xml:space="preserve"> be removed from the Job Plan:</w:t>
      </w:r>
    </w:p>
    <w:p w14:paraId="42335DFD" w14:textId="77777777" w:rsidR="00D74559" w:rsidRDefault="00D74559" w:rsidP="004E120D">
      <w:pPr>
        <w:pStyle w:val="BulletLevel1"/>
      </w:pPr>
      <w:r>
        <w:t xml:space="preserve">Code AI16 </w:t>
      </w:r>
      <w:r w:rsidRPr="00327ED7">
        <w:t>[Compulsory Notified Appointments]</w:t>
      </w:r>
      <w:r>
        <w:t xml:space="preserve"> – requirement to attend Appointments</w:t>
      </w:r>
    </w:p>
    <w:p w14:paraId="47A98050" w14:textId="77777777" w:rsidR="00D74559" w:rsidRDefault="00D74559" w:rsidP="004E120D">
      <w:pPr>
        <w:pStyle w:val="BulletLevel1"/>
      </w:pPr>
      <w:r>
        <w:t>Code JS09 [Job Search – Monthly] — setting a Job Search Requirement</w:t>
      </w:r>
    </w:p>
    <w:p w14:paraId="4CAC48E4" w14:textId="41901EA2" w:rsidR="00D74559" w:rsidRDefault="00D74559" w:rsidP="004E120D">
      <w:pPr>
        <w:pStyle w:val="BulletLevel1"/>
      </w:pPr>
      <w:r>
        <w:t xml:space="preserve">Code JS13 </w:t>
      </w:r>
      <w:r w:rsidRPr="202AFE3D">
        <w:t>[Accept and retain suitable work]</w:t>
      </w:r>
      <w:r>
        <w:t xml:space="preserve"> — requirement to </w:t>
      </w:r>
      <w:r w:rsidR="00F54ECB">
        <w:t xml:space="preserve">be </w:t>
      </w:r>
      <w:r w:rsidRPr="00F917EB">
        <w:t xml:space="preserve">willing </w:t>
      </w:r>
      <w:r w:rsidR="00C662FB">
        <w:t xml:space="preserve">to </w:t>
      </w:r>
      <w:r w:rsidRPr="00F917EB">
        <w:t>accept any offer of suitable paid work and not leave suitable paid work voluntarily</w:t>
      </w:r>
      <w:r>
        <w:t>.</w:t>
      </w:r>
    </w:p>
    <w:p w14:paraId="087525C7" w14:textId="77777777" w:rsidR="00D74559" w:rsidRDefault="00D74559" w:rsidP="006E2EF5">
      <w:r>
        <w:t xml:space="preserve">For DSP Recipients (Compulsory Requirements), Code AI16 </w:t>
      </w:r>
      <w:r w:rsidRPr="00327ED7">
        <w:t>[Compulsory Notified Appointments]</w:t>
      </w:r>
      <w:r>
        <w:t xml:space="preserve"> must </w:t>
      </w:r>
      <w:r w:rsidRPr="00AD30A2">
        <w:rPr>
          <w:u w:val="single"/>
        </w:rPr>
        <w:t>not</w:t>
      </w:r>
      <w:r>
        <w:t xml:space="preserve"> be removed from the Job Plan.</w:t>
      </w:r>
    </w:p>
    <w:p w14:paraId="1136F9B2" w14:textId="6883A1BB" w:rsidR="00D74559" w:rsidRDefault="00D74559" w:rsidP="006E2EF5">
      <w:r>
        <w:t xml:space="preserve">The pre-populated </w:t>
      </w:r>
      <w:r w:rsidR="00307A13">
        <w:t xml:space="preserve">compulsory </w:t>
      </w:r>
      <w:r>
        <w:t>requirements should be combined with other suitable tasks and activities, either as compulsory or voluntary requirements in the Detailed Job Plan.</w:t>
      </w:r>
    </w:p>
    <w:p w14:paraId="176DAD57" w14:textId="549B8FBA" w:rsidR="00DA7190" w:rsidRDefault="00E677EC" w:rsidP="00DA7190">
      <w:r>
        <w:t>Providers are encouraged to create</w:t>
      </w:r>
      <w:r w:rsidRPr="00136A50">
        <w:t xml:space="preserve"> strengths-based, goal orientated </w:t>
      </w:r>
      <w:r>
        <w:t>Job Plans</w:t>
      </w:r>
      <w:r w:rsidR="00EE05C3">
        <w:t xml:space="preserve"> where a Participant is </w:t>
      </w:r>
      <w:r w:rsidRPr="00C70AB8">
        <w:t>supported to feel invested in, and have shared ownership of, the</w:t>
      </w:r>
      <w:r w:rsidR="00EE05C3">
        <w:t>ir</w:t>
      </w:r>
      <w:r w:rsidRPr="00C70AB8">
        <w:t xml:space="preserve"> Job Plan.</w:t>
      </w:r>
      <w:r w:rsidR="00DA7190">
        <w:t xml:space="preserve"> </w:t>
      </w:r>
      <w:r w:rsidR="00DC1919">
        <w:t>Refer to</w:t>
      </w:r>
      <w:r w:rsidR="00DA7190">
        <w:t xml:space="preserve"> </w:t>
      </w:r>
      <w:r w:rsidR="00B83C88">
        <w:fldChar w:fldCharType="begin"/>
      </w:r>
      <w:r w:rsidR="00B83C88">
        <w:instrText xml:space="preserve"> REF _Ref202786325 \h </w:instrText>
      </w:r>
      <w:r w:rsidR="00B83C88">
        <w:fldChar w:fldCharType="separate"/>
      </w:r>
      <w:r w:rsidR="000D75AE" w:rsidRPr="72B4EEE6">
        <w:t>4.5</w:t>
      </w:r>
      <w:r w:rsidR="00A31574">
        <w:t xml:space="preserve"> </w:t>
      </w:r>
      <w:r w:rsidR="000D75AE">
        <w:t xml:space="preserve">Setting an </w:t>
      </w:r>
      <w:r w:rsidR="000D75AE" w:rsidRPr="72B4EEE6">
        <w:t>Employment Goal</w:t>
      </w:r>
      <w:r w:rsidR="00B83C88">
        <w:fldChar w:fldCharType="end"/>
      </w:r>
      <w:r w:rsidR="00B83C88">
        <w:t xml:space="preserve"> </w:t>
      </w:r>
      <w:r w:rsidR="00DC1919">
        <w:t>for how to capture an Employment Goal</w:t>
      </w:r>
      <w:r w:rsidR="00DA7190" w:rsidRPr="2190AEAE">
        <w:t>.</w:t>
      </w:r>
    </w:p>
    <w:p w14:paraId="659FB10E" w14:textId="77777777" w:rsidR="00DA7190" w:rsidRPr="00951F20" w:rsidRDefault="00DA7190" w:rsidP="00DA7190">
      <w:pPr>
        <w:pStyle w:val="SystemStep"/>
      </w:pPr>
      <w:r>
        <w:t xml:space="preserve">An Employment Goal must be included </w:t>
      </w:r>
      <w:r w:rsidRPr="00951F20">
        <w:t xml:space="preserve">for the </w:t>
      </w:r>
      <w:r>
        <w:t xml:space="preserve">Detailed Job Plan </w:t>
      </w:r>
      <w:r w:rsidRPr="00951F20">
        <w:t>to be considered a valid Job Plan</w:t>
      </w:r>
      <w:r>
        <w:t xml:space="preserve"> in the Department’s IT Systems.</w:t>
      </w:r>
    </w:p>
    <w:p w14:paraId="6CF426E6" w14:textId="7C8CBD16" w:rsidR="00202FC3" w:rsidRDefault="00202FC3" w:rsidP="00202FC3">
      <w:r w:rsidRPr="00966C4A">
        <w:t xml:space="preserve">Care should be taken when determining the contents of a </w:t>
      </w:r>
      <w:r w:rsidR="006D3ED1">
        <w:t xml:space="preserve">Detailed </w:t>
      </w:r>
      <w:r w:rsidRPr="00966C4A">
        <w:t xml:space="preserve">Job Plan to ensure that the </w:t>
      </w:r>
      <w:r>
        <w:t>Participant</w:t>
      </w:r>
      <w:r w:rsidRPr="00966C4A">
        <w:t xml:space="preserve"> not only has the capacity to meet individual items, but the </w:t>
      </w:r>
      <w:r>
        <w:t>entire</w:t>
      </w:r>
      <w:r w:rsidRPr="00966C4A">
        <w:t xml:space="preserve"> contents of the Job Plan</w:t>
      </w:r>
      <w:r>
        <w:t>.</w:t>
      </w:r>
      <w:r w:rsidR="00D468A6">
        <w:t xml:space="preserve"> </w:t>
      </w:r>
    </w:p>
    <w:p w14:paraId="0515D033" w14:textId="6EE5ABF5" w:rsidR="00D74559" w:rsidRDefault="00D74559" w:rsidP="006E2EF5">
      <w:r>
        <w:t xml:space="preserve">Any tasks or activity entered as compulsory </w:t>
      </w:r>
      <w:r w:rsidR="003A3557">
        <w:t xml:space="preserve">are </w:t>
      </w:r>
      <w:r>
        <w:t>mandatory for the Participant and non-compliance may need to be reported as explained in</w:t>
      </w:r>
      <w:r w:rsidR="00C32EE2">
        <w:t xml:space="preserve"> </w:t>
      </w:r>
      <w:r w:rsidR="00C32EE2">
        <w:rPr>
          <w:highlight w:val="yellow"/>
        </w:rPr>
        <w:fldChar w:fldCharType="begin"/>
      </w:r>
      <w:r w:rsidR="00C32EE2">
        <w:instrText xml:space="preserve"> REF _Ref202782924 \h </w:instrText>
      </w:r>
      <w:r w:rsidR="00C32EE2">
        <w:rPr>
          <w:highlight w:val="yellow"/>
        </w:rPr>
      </w:r>
      <w:r w:rsidR="00C32EE2">
        <w:rPr>
          <w:highlight w:val="yellow"/>
        </w:rPr>
        <w:fldChar w:fldCharType="separate"/>
      </w:r>
      <w:r w:rsidR="000D75AE">
        <w:t>Chapter 12:</w:t>
      </w:r>
      <w:r w:rsidR="00A31574">
        <w:t xml:space="preserve"> </w:t>
      </w:r>
      <w:r w:rsidR="000D75AE">
        <w:t>Compliance</w:t>
      </w:r>
      <w:r w:rsidR="00C32EE2">
        <w:rPr>
          <w:highlight w:val="yellow"/>
        </w:rPr>
        <w:fldChar w:fldCharType="end"/>
      </w:r>
      <w:r>
        <w:t xml:space="preserve">. </w:t>
      </w:r>
    </w:p>
    <w:p w14:paraId="30E0E049" w14:textId="54591535" w:rsidR="00D74559" w:rsidRDefault="00D74559" w:rsidP="006E2EF5">
      <w:r>
        <w:t>Participants (Mutual Obligations) and DSP Recipients (Compulsory Requirements)</w:t>
      </w:r>
      <w:r w:rsidRPr="007B4A76">
        <w:t xml:space="preserve"> </w:t>
      </w:r>
      <w:r w:rsidRPr="00981B12">
        <w:t xml:space="preserve">must agree to </w:t>
      </w:r>
      <w:r>
        <w:t xml:space="preserve">the compulsory requirements set in their </w:t>
      </w:r>
      <w:r w:rsidR="007633D7">
        <w:t xml:space="preserve">Detailed </w:t>
      </w:r>
      <w:r>
        <w:t>Job Plan, as long as the P</w:t>
      </w:r>
      <w:r w:rsidRPr="00C22E31">
        <w:t xml:space="preserve">rovider </w:t>
      </w:r>
      <w:r>
        <w:t>is</w:t>
      </w:r>
      <w:r w:rsidRPr="00C22E31">
        <w:t xml:space="preserve"> not requir</w:t>
      </w:r>
      <w:r>
        <w:t>ing the P</w:t>
      </w:r>
      <w:r w:rsidRPr="00C22E31">
        <w:t xml:space="preserve">articipant to meet any requirement that </w:t>
      </w:r>
      <w:r>
        <w:t xml:space="preserve">would be considered unsuitable under Social Security Law. </w:t>
      </w:r>
    </w:p>
    <w:p w14:paraId="271C3F03" w14:textId="111DFA57" w:rsidR="00D74559" w:rsidRDefault="00D74559" w:rsidP="006E2EF5">
      <w:r>
        <w:t xml:space="preserve">The Provider must ensure that the Participant </w:t>
      </w:r>
      <w:r w:rsidRPr="00981B12">
        <w:t>understand</w:t>
      </w:r>
      <w:r>
        <w:t>s</w:t>
      </w:r>
      <w:r w:rsidRPr="00981B12">
        <w:t xml:space="preserve"> </w:t>
      </w:r>
      <w:r>
        <w:t>the consequences for not undertaking compulsory tasks and activities in their Job Plan.</w:t>
      </w:r>
    </w:p>
    <w:p w14:paraId="396BDB2B" w14:textId="22206003" w:rsidR="00EF6931" w:rsidRDefault="00EF6931" w:rsidP="00EF6931">
      <w:r w:rsidRPr="00C70AB8">
        <w:t xml:space="preserve">The Provider and the </w:t>
      </w:r>
      <w:r>
        <w:t>Participant</w:t>
      </w:r>
      <w:r w:rsidRPr="00C70AB8">
        <w:t xml:space="preserve"> should </w:t>
      </w:r>
      <w:r>
        <w:t xml:space="preserve">regularly </w:t>
      </w:r>
      <w:r w:rsidRPr="00C70AB8">
        <w:t xml:space="preserve">review the </w:t>
      </w:r>
      <w:r>
        <w:t>contents of the J</w:t>
      </w:r>
      <w:r w:rsidRPr="00C70AB8">
        <w:t xml:space="preserve">ob Plan at </w:t>
      </w:r>
      <w:r>
        <w:t xml:space="preserve">Contact </w:t>
      </w:r>
      <w:r w:rsidRPr="00C70AB8">
        <w:t>Appointments</w:t>
      </w:r>
      <w:r w:rsidRPr="00344E49">
        <w:t xml:space="preserve"> </w:t>
      </w:r>
      <w:r>
        <w:t>to ensure that all requirements are up to date and remain relevant.</w:t>
      </w:r>
      <w:r w:rsidR="009E0C44">
        <w:t xml:space="preserve"> </w:t>
      </w:r>
      <w:r w:rsidRPr="00FB7CD7">
        <w:t xml:space="preserve">Where the review </w:t>
      </w:r>
      <w:r>
        <w:t>shows</w:t>
      </w:r>
      <w:r w:rsidRPr="00FB7CD7">
        <w:t xml:space="preserve"> an update is needed, the </w:t>
      </w:r>
      <w:r>
        <w:t>P</w:t>
      </w:r>
      <w:r w:rsidRPr="00FB7CD7">
        <w:t xml:space="preserve">rovider must update the </w:t>
      </w:r>
      <w:r>
        <w:t>Job P</w:t>
      </w:r>
      <w:r w:rsidRPr="00FB7CD7">
        <w:t>lan</w:t>
      </w:r>
      <w:r>
        <w:t xml:space="preserve"> </w:t>
      </w:r>
      <w:r w:rsidR="009E0C44">
        <w:t xml:space="preserve">following a </w:t>
      </w:r>
      <w:r>
        <w:t xml:space="preserve">discussion with the Participant </w:t>
      </w:r>
      <w:r w:rsidR="009E0C44">
        <w:t xml:space="preserve">to </w:t>
      </w:r>
      <w:r>
        <w:t xml:space="preserve">ensure </w:t>
      </w:r>
      <w:r w:rsidR="00D70CEF">
        <w:t>any changes made are well understood</w:t>
      </w:r>
      <w:r>
        <w:t xml:space="preserve"> — as outlined under </w:t>
      </w:r>
      <w:r w:rsidR="00C32EE2">
        <w:fldChar w:fldCharType="begin"/>
      </w:r>
      <w:r w:rsidR="00C32EE2">
        <w:instrText xml:space="preserve"> REF _Ref202787727 \h </w:instrText>
      </w:r>
      <w:r w:rsidR="00C32EE2">
        <w:fldChar w:fldCharType="separate"/>
      </w:r>
      <w:r w:rsidR="000D75AE">
        <w:t>4.8</w:t>
      </w:r>
      <w:r w:rsidR="000D75AE">
        <w:tab/>
        <w:t>Review and Agreement of the Job Plan</w:t>
      </w:r>
      <w:r w:rsidR="00C32EE2">
        <w:fldChar w:fldCharType="end"/>
      </w:r>
      <w:r>
        <w:t xml:space="preserve"> — throughout the Participant’s Period of Registration.</w:t>
      </w:r>
    </w:p>
    <w:p w14:paraId="16180001" w14:textId="14FFCA26" w:rsidR="001C6B74" w:rsidRDefault="001C6B74" w:rsidP="006E2EF5">
      <w:r>
        <w:t xml:space="preserve">The </w:t>
      </w:r>
      <w:r w:rsidR="00ED1044">
        <w:t>requirements set</w:t>
      </w:r>
      <w:r>
        <w:t xml:space="preserve"> </w:t>
      </w:r>
      <w:r w:rsidR="00ED1044">
        <w:t>in a</w:t>
      </w:r>
      <w:r>
        <w:t xml:space="preserve"> </w:t>
      </w:r>
      <w:r w:rsidR="008D2B77">
        <w:t xml:space="preserve">Detailed </w:t>
      </w:r>
      <w:r>
        <w:t xml:space="preserve">Job Plan should reflect whether </w:t>
      </w:r>
      <w:r w:rsidR="00C32EE2">
        <w:t>the</w:t>
      </w:r>
      <w:r>
        <w:t xml:space="preserve"> Participant is receiving Pre</w:t>
      </w:r>
      <w:r w:rsidR="00C32EE2">
        <w:noBreakHyphen/>
      </w:r>
      <w:r>
        <w:t xml:space="preserve">Employment Support, Post Placement Support or Ongoing Support. For those in the Pre-Employment Support phase, it should also reflect </w:t>
      </w:r>
      <w:r w:rsidR="005C291B">
        <w:t>if</w:t>
      </w:r>
      <w:r>
        <w:t xml:space="preserve"> they are receiving the Intensive Service or Flexible Service.</w:t>
      </w:r>
      <w:r w:rsidR="00A673B9">
        <w:t xml:space="preserve"> The Participant’s current phase and service offer is shown in the</w:t>
      </w:r>
      <w:r w:rsidR="00FB2AA0">
        <w:t>ir</w:t>
      </w:r>
      <w:r w:rsidR="00A673B9">
        <w:t xml:space="preserve"> Job Plan.</w:t>
      </w:r>
    </w:p>
    <w:p w14:paraId="506E463D" w14:textId="7212B747" w:rsidR="00442055" w:rsidRDefault="00442055" w:rsidP="00442055">
      <w:r>
        <w:t xml:space="preserve">The are additional considerations </w:t>
      </w:r>
      <w:r w:rsidR="0070182E">
        <w:t>for</w:t>
      </w:r>
      <w:r>
        <w:t xml:space="preserve"> the</w:t>
      </w:r>
      <w:r w:rsidR="0070182E">
        <w:t xml:space="preserve"> suitability of</w:t>
      </w:r>
      <w:r>
        <w:t xml:space="preserve"> requirements in a Job Plan when a Participant is in paid Employment</w:t>
      </w:r>
      <w:r w:rsidR="00C23BF8">
        <w:t xml:space="preserve"> - it sees a shift in f</w:t>
      </w:r>
      <w:r>
        <w:t xml:space="preserve">ocus away from tasks and that activities </w:t>
      </w:r>
      <w:r w:rsidR="00592D92">
        <w:t xml:space="preserve">to </w:t>
      </w:r>
      <w:r>
        <w:t>help</w:t>
      </w:r>
      <w:r w:rsidR="00592D92">
        <w:t xml:space="preserve"> them </w:t>
      </w:r>
      <w:r>
        <w:t xml:space="preserve">prepare for or actively look for work. </w:t>
      </w:r>
      <w:r w:rsidR="00CD12CF">
        <w:t xml:space="preserve">Tasks, activities and </w:t>
      </w:r>
      <w:r w:rsidR="00374CEC">
        <w:t xml:space="preserve">Support for a </w:t>
      </w:r>
      <w:r w:rsidR="00592D92">
        <w:t xml:space="preserve">Detailed Job Plan Participant </w:t>
      </w:r>
      <w:r>
        <w:t>in Employment</w:t>
      </w:r>
      <w:r w:rsidR="00CD12CF">
        <w:t xml:space="preserve"> </w:t>
      </w:r>
      <w:r>
        <w:t xml:space="preserve">should relate to helping </w:t>
      </w:r>
      <w:r w:rsidR="00CD12CF">
        <w:t>mai</w:t>
      </w:r>
      <w:r>
        <w:t>ntain their job or increase the</w:t>
      </w:r>
      <w:r w:rsidR="00CD12CF">
        <w:t>ir work</w:t>
      </w:r>
      <w:r>
        <w:t xml:space="preserve"> hours (depending on </w:t>
      </w:r>
      <w:r w:rsidR="000F48EC">
        <w:t>whether or not</w:t>
      </w:r>
      <w:r w:rsidR="0070182E">
        <w:t xml:space="preserve"> </w:t>
      </w:r>
      <w:r>
        <w:t>the Participant is working in Open Employment at or below their Employment Benchmark).</w:t>
      </w:r>
    </w:p>
    <w:p w14:paraId="694F2D6F" w14:textId="3CFEE08E" w:rsidR="00FB2AA0" w:rsidRDefault="00FB2AA0" w:rsidP="00FB2AA0">
      <w:r w:rsidRPr="009A7F8F">
        <w:t xml:space="preserve">There are </w:t>
      </w:r>
      <w:r>
        <w:t>also</w:t>
      </w:r>
      <w:r w:rsidRPr="009A7F8F">
        <w:t xml:space="preserve"> limitations </w:t>
      </w:r>
      <w:r w:rsidR="003866E4">
        <w:t xml:space="preserve">in setting some requirements </w:t>
      </w:r>
      <w:r>
        <w:t xml:space="preserve">depending on the Participant </w:t>
      </w:r>
      <w:r w:rsidR="008D2753">
        <w:t>engagement in</w:t>
      </w:r>
      <w:r>
        <w:t xml:space="preserve"> </w:t>
      </w:r>
      <w:r w:rsidR="003866E4">
        <w:t>certain</w:t>
      </w:r>
      <w:r>
        <w:t xml:space="preserve"> Activities — </w:t>
      </w:r>
      <w:r w:rsidR="00C32EE2">
        <w:t xml:space="preserve">with guidance on </w:t>
      </w:r>
      <w:r w:rsidR="00743CBC">
        <w:t>adjustments to participation requirements outlined under each Activity</w:t>
      </w:r>
      <w:r>
        <w:t xml:space="preserve"> in</w:t>
      </w:r>
      <w:r w:rsidR="00C32EE2">
        <w:t xml:space="preserve"> </w:t>
      </w:r>
      <w:r w:rsidR="00C32EE2">
        <w:rPr>
          <w:highlight w:val="yellow"/>
        </w:rPr>
        <w:fldChar w:fldCharType="begin"/>
      </w:r>
      <w:r w:rsidR="00C32EE2">
        <w:instrText xml:space="preserve"> REF _Ref202787816 \h </w:instrText>
      </w:r>
      <w:r w:rsidR="00C32EE2">
        <w:rPr>
          <w:highlight w:val="yellow"/>
        </w:rPr>
      </w:r>
      <w:r w:rsidR="00C32EE2">
        <w:rPr>
          <w:highlight w:val="yellow"/>
        </w:rPr>
        <w:fldChar w:fldCharType="separate"/>
      </w:r>
      <w:r w:rsidR="000D75AE" w:rsidRPr="00BA23D8">
        <w:t>Chapter 7</w:t>
      </w:r>
      <w:r w:rsidR="000D75AE">
        <w:t xml:space="preserve">: </w:t>
      </w:r>
      <w:r w:rsidR="000D75AE" w:rsidRPr="00BA23D8">
        <w:t>Activities</w:t>
      </w:r>
      <w:r w:rsidR="00C32EE2">
        <w:rPr>
          <w:highlight w:val="yellow"/>
        </w:rPr>
        <w:fldChar w:fldCharType="end"/>
      </w:r>
      <w:r>
        <w:t>.</w:t>
      </w:r>
    </w:p>
    <w:p w14:paraId="7F30DC97" w14:textId="39E5EA67" w:rsidR="00D74559" w:rsidRDefault="00D74559" w:rsidP="006E2EF5">
      <w:r>
        <w:t xml:space="preserve">The </w:t>
      </w:r>
      <w:r w:rsidRPr="007E6E03">
        <w:rPr>
          <w:rStyle w:val="Hyperlink"/>
        </w:rPr>
        <w:t>Job Plan codes and requirements</w:t>
      </w:r>
      <w:r w:rsidR="008D2B77" w:rsidRPr="007E6E03">
        <w:rPr>
          <w:rStyle w:val="Hyperlink"/>
        </w:rPr>
        <w:t xml:space="preserve"> </w:t>
      </w:r>
      <w:r w:rsidRPr="007E6E03">
        <w:rPr>
          <w:rStyle w:val="Hyperlink"/>
        </w:rPr>
        <w:t>by Phase</w:t>
      </w:r>
      <w:r w:rsidR="0033062A" w:rsidRPr="007E6E03">
        <w:rPr>
          <w:rStyle w:val="Hyperlink"/>
        </w:rPr>
        <w:t xml:space="preserve"> and</w:t>
      </w:r>
      <w:r w:rsidRPr="007E6E03">
        <w:rPr>
          <w:rStyle w:val="Hyperlink"/>
        </w:rPr>
        <w:t xml:space="preserve"> Participant Type </w:t>
      </w:r>
      <w:r w:rsidR="007E6E03" w:rsidRPr="007E6E03">
        <w:rPr>
          <w:rStyle w:val="Hyperlink"/>
        </w:rPr>
        <w:t>[LINK]</w:t>
      </w:r>
      <w:r w:rsidR="007E6E03">
        <w:t xml:space="preserve"> </w:t>
      </w:r>
      <w:r>
        <w:t xml:space="preserve">supporting document on the Provider Portal, includes details on what codes can be added as a compulsory </w:t>
      </w:r>
      <w:r w:rsidR="0033062A">
        <w:t xml:space="preserve">and/or voluntary </w:t>
      </w:r>
      <w:r>
        <w:t>requirement in the Detailed Job Plan.</w:t>
      </w:r>
    </w:p>
    <w:p w14:paraId="5364B8FE" w14:textId="6F1F3511" w:rsidR="00D74559" w:rsidRDefault="00D74559" w:rsidP="006E2EF5">
      <w:pPr>
        <w:pStyle w:val="DeedReferences"/>
        <w:rPr>
          <w:rFonts w:eastAsiaTheme="minorEastAsia" w:cstheme="minorBidi"/>
        </w:rPr>
      </w:pPr>
      <w:r w:rsidRPr="72B4EEE6">
        <w:rPr>
          <w:rFonts w:eastAsiaTheme="minorEastAsia" w:cstheme="minorBidi"/>
        </w:rPr>
        <w:t>(</w:t>
      </w:r>
      <w:r w:rsidR="00A73420">
        <w:rPr>
          <w:rFonts w:eastAsiaTheme="minorEastAsia" w:cstheme="minorBidi"/>
        </w:rPr>
        <w:t xml:space="preserve">Deed Reference(s): Clause </w:t>
      </w:r>
      <w:r w:rsidR="0074518A">
        <w:rPr>
          <w:rFonts w:eastAsiaTheme="minorEastAsia" w:cstheme="minorBidi"/>
        </w:rPr>
        <w:t>134.9</w:t>
      </w:r>
      <w:r w:rsidRPr="72B4EEE6">
        <w:rPr>
          <w:rFonts w:eastAsiaTheme="minorEastAsia" w:cstheme="minorBidi"/>
        </w:rPr>
        <w:t xml:space="preserve">, </w:t>
      </w:r>
      <w:r w:rsidR="00F50981">
        <w:rPr>
          <w:rFonts w:eastAsiaTheme="minorEastAsia" w:cstheme="minorBidi"/>
        </w:rPr>
        <w:t>134.13</w:t>
      </w:r>
      <w:r w:rsidRPr="72B4EEE6">
        <w:rPr>
          <w:rFonts w:eastAsiaTheme="minorEastAsia" w:cstheme="minorBidi"/>
        </w:rPr>
        <w:t>)</w:t>
      </w:r>
    </w:p>
    <w:p w14:paraId="5A19CF39" w14:textId="77777777" w:rsidR="00D74559" w:rsidRPr="00192A2D" w:rsidRDefault="00D74559" w:rsidP="00192A2D">
      <w:pPr>
        <w:pStyle w:val="TableChartHeading"/>
        <w:rPr>
          <w:rStyle w:val="Emphasis"/>
          <w:b/>
          <w:bCs/>
          <w:iCs w:val="0"/>
          <w:spacing w:val="3"/>
          <w:sz w:val="22"/>
        </w:rPr>
      </w:pPr>
      <w:r w:rsidRPr="00192A2D">
        <w:rPr>
          <w:rStyle w:val="Emphasis"/>
          <w:b/>
          <w:bCs/>
          <w:iCs w:val="0"/>
          <w:spacing w:val="3"/>
          <w:sz w:val="22"/>
        </w:rPr>
        <w:t>Pre-populated fields in Detailed Job Plan (Compulsory) and Detailed Job Plan (DSP U35)</w:t>
      </w:r>
    </w:p>
    <w:tbl>
      <w:tblPr>
        <w:tblStyle w:val="DSSTableStyleB"/>
        <w:tblW w:w="0" w:type="auto"/>
        <w:tblBorders>
          <w:top w:val="single" w:sz="4" w:space="0" w:color="auto"/>
          <w:bottom w:val="single" w:sz="4" w:space="0" w:color="auto"/>
          <w:insideH w:val="single" w:sz="4" w:space="0" w:color="auto"/>
        </w:tblBorders>
        <w:tblLook w:val="04E0" w:firstRow="1" w:lastRow="1" w:firstColumn="1" w:lastColumn="0" w:noHBand="0" w:noVBand="1"/>
        <w:tblDescription w:val="Example of a table styled with the second of the two DSS table styles. It is populated with food-related dummy data."/>
      </w:tblPr>
      <w:tblGrid>
        <w:gridCol w:w="851"/>
        <w:gridCol w:w="3827"/>
        <w:gridCol w:w="5387"/>
      </w:tblGrid>
      <w:tr w:rsidR="00FD020B" w14:paraId="1E88ACF3"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851" w:type="dxa"/>
          </w:tcPr>
          <w:p w14:paraId="2B2FAD94" w14:textId="77777777" w:rsidR="00D74559" w:rsidRDefault="00D74559" w:rsidP="00641AAF">
            <w:pPr>
              <w:pStyle w:val="TableText"/>
            </w:pPr>
            <w:r>
              <w:t>Code</w:t>
            </w:r>
          </w:p>
        </w:tc>
        <w:tc>
          <w:tcPr>
            <w:tcW w:w="3827" w:type="dxa"/>
          </w:tcPr>
          <w:p w14:paraId="5F22C182" w14:textId="77777777" w:rsidR="00D74559" w:rsidRDefault="00D74559" w:rsidP="00641AAF">
            <w:pPr>
              <w:pStyle w:val="TableText"/>
            </w:pPr>
            <w:r>
              <w:t>Requirement in Job Plan</w:t>
            </w:r>
          </w:p>
        </w:tc>
        <w:tc>
          <w:tcPr>
            <w:tcW w:w="5387" w:type="dxa"/>
          </w:tcPr>
          <w:p w14:paraId="536681A6" w14:textId="77777777" w:rsidR="00D74559" w:rsidRPr="00C837E1" w:rsidRDefault="00D74559" w:rsidP="00921C81">
            <w:pPr>
              <w:pStyle w:val="TableText"/>
            </w:pPr>
            <w:r w:rsidRPr="00C837E1">
              <w:t>Description</w:t>
            </w:r>
          </w:p>
        </w:tc>
      </w:tr>
      <w:tr w:rsidR="00D74559" w14:paraId="5D35FBE7" w14:textId="77777777" w:rsidTr="00DE7A9B">
        <w:trPr>
          <w:cnfStyle w:val="000000100000" w:firstRow="0" w:lastRow="0" w:firstColumn="0" w:lastColumn="0" w:oddVBand="0" w:evenVBand="0" w:oddHBand="1" w:evenHBand="0" w:firstRowFirstColumn="0" w:firstRowLastColumn="0" w:lastRowFirstColumn="0" w:lastRowLastColumn="0"/>
          <w:cantSplit/>
        </w:trPr>
        <w:tc>
          <w:tcPr>
            <w:tcW w:w="851" w:type="dxa"/>
            <w:tcBorders>
              <w:bottom w:val="single" w:sz="4" w:space="0" w:color="auto"/>
            </w:tcBorders>
          </w:tcPr>
          <w:p w14:paraId="7C5FB27A" w14:textId="77777777" w:rsidR="00D74559" w:rsidRPr="00BC7572" w:rsidRDefault="00D74559" w:rsidP="00BC7572">
            <w:pPr>
              <w:pStyle w:val="TableText"/>
            </w:pPr>
            <w:r w:rsidRPr="00BC7572">
              <w:t>AI16</w:t>
            </w:r>
          </w:p>
        </w:tc>
        <w:tc>
          <w:tcPr>
            <w:tcW w:w="3827" w:type="dxa"/>
            <w:tcBorders>
              <w:bottom w:val="single" w:sz="4" w:space="0" w:color="auto"/>
            </w:tcBorders>
          </w:tcPr>
          <w:p w14:paraId="7E4EE81B" w14:textId="77777777" w:rsidR="00D74559" w:rsidRPr="00BC7572" w:rsidRDefault="00D74559" w:rsidP="00BC7572">
            <w:pPr>
              <w:pStyle w:val="TableText"/>
            </w:pPr>
            <w:r w:rsidRPr="00BC7572">
              <w:t>I agree to attend and act appropriately during any compulsory appointments.</w:t>
            </w:r>
          </w:p>
        </w:tc>
        <w:tc>
          <w:tcPr>
            <w:tcW w:w="5387" w:type="dxa"/>
            <w:tcBorders>
              <w:bottom w:val="single" w:sz="4" w:space="0" w:color="auto"/>
            </w:tcBorders>
          </w:tcPr>
          <w:p w14:paraId="342B4254" w14:textId="725AC1D1" w:rsidR="00D74559" w:rsidRDefault="00D74559" w:rsidP="007D21CC">
            <w:pPr>
              <w:pStyle w:val="TableList-level1"/>
            </w:pPr>
            <w:r w:rsidRPr="00C837E1">
              <w:t xml:space="preserve">The Participant </w:t>
            </w:r>
            <w:r>
              <w:t xml:space="preserve">must </w:t>
            </w:r>
            <w:r w:rsidRPr="0098549B">
              <w:t xml:space="preserve">attend </w:t>
            </w:r>
            <w:r w:rsidRPr="00981B12">
              <w:t>and act appropriately during any compulsory Appointments</w:t>
            </w:r>
            <w:r>
              <w:t xml:space="preserve"> with their Provider.</w:t>
            </w:r>
          </w:p>
          <w:p w14:paraId="7A9C675B" w14:textId="04C6F8F7" w:rsidR="00D74559" w:rsidRPr="00C837E1" w:rsidRDefault="00D74559" w:rsidP="007D21CC">
            <w:pPr>
              <w:pStyle w:val="TableList-level1"/>
            </w:pPr>
            <w:r>
              <w:t xml:space="preserve">This code </w:t>
            </w:r>
            <w:r w:rsidR="00BB1BCD">
              <w:t>must</w:t>
            </w:r>
            <w:r>
              <w:t xml:space="preserve"> not be removed.</w:t>
            </w:r>
          </w:p>
        </w:tc>
      </w:tr>
      <w:tr w:rsidR="00FD020B" w14:paraId="4B0EDCE8" w14:textId="77777777" w:rsidTr="00DE7A9B">
        <w:trPr>
          <w:cnfStyle w:val="000000010000" w:firstRow="0" w:lastRow="0" w:firstColumn="0" w:lastColumn="0" w:oddVBand="0" w:evenVBand="0" w:oddHBand="0" w:evenHBand="1" w:firstRowFirstColumn="0" w:firstRowLastColumn="0" w:lastRowFirstColumn="0" w:lastRowLastColumn="0"/>
          <w:cantSplit/>
        </w:trPr>
        <w:tc>
          <w:tcPr>
            <w:tcW w:w="851" w:type="dxa"/>
            <w:tcBorders>
              <w:bottom w:val="single" w:sz="4" w:space="0" w:color="auto"/>
            </w:tcBorders>
          </w:tcPr>
          <w:p w14:paraId="7B0DB1D8" w14:textId="77777777" w:rsidR="00D74559" w:rsidRPr="00BC7572" w:rsidRDefault="00D74559" w:rsidP="00BC7572">
            <w:pPr>
              <w:pStyle w:val="TableText"/>
            </w:pPr>
            <w:r w:rsidRPr="00BC7572">
              <w:t>PA03</w:t>
            </w:r>
          </w:p>
        </w:tc>
        <w:tc>
          <w:tcPr>
            <w:tcW w:w="3827" w:type="dxa"/>
            <w:tcBorders>
              <w:bottom w:val="single" w:sz="4" w:space="0" w:color="auto"/>
            </w:tcBorders>
          </w:tcPr>
          <w:p w14:paraId="576C9F02" w14:textId="77777777" w:rsidR="00D74559" w:rsidRPr="00BC7572" w:rsidRDefault="00D74559" w:rsidP="00BC7572">
            <w:pPr>
              <w:pStyle w:val="TableText"/>
            </w:pPr>
            <w:r w:rsidRPr="00BC7572">
              <w:t>I agree to take responsibility to accurately record or report my attendance at my requirements.</w:t>
            </w:r>
          </w:p>
        </w:tc>
        <w:tc>
          <w:tcPr>
            <w:tcW w:w="5387" w:type="dxa"/>
            <w:tcBorders>
              <w:bottom w:val="single" w:sz="4" w:space="0" w:color="auto"/>
            </w:tcBorders>
          </w:tcPr>
          <w:p w14:paraId="7D1CED29" w14:textId="77777777" w:rsidR="00D74559" w:rsidRDefault="00D74559" w:rsidP="007D21CC">
            <w:pPr>
              <w:pStyle w:val="TableList-level1"/>
            </w:pPr>
            <w:r w:rsidRPr="00C837E1">
              <w:t xml:space="preserve">The Participant </w:t>
            </w:r>
            <w:r>
              <w:t>must</w:t>
            </w:r>
            <w:r w:rsidRPr="00C837E1">
              <w:t xml:space="preserve"> accurately </w:t>
            </w:r>
            <w:r>
              <w:t>self-report</w:t>
            </w:r>
            <w:r w:rsidRPr="00C837E1">
              <w:t xml:space="preserve"> their attendance at Activities and Job Interviews.</w:t>
            </w:r>
          </w:p>
          <w:p w14:paraId="59C32B24" w14:textId="3996DAA0" w:rsidR="00D74559" w:rsidRDefault="00D74559" w:rsidP="007D21CC">
            <w:pPr>
              <w:pStyle w:val="TableList-level1"/>
            </w:pPr>
            <w:r>
              <w:t>This requirement ensures that Participants are self-reporting attendance for compulsory requirements</w:t>
            </w:r>
            <w:r w:rsidR="00BB1BCD">
              <w:t xml:space="preserve">, </w:t>
            </w:r>
            <w:r w:rsidR="0020556F">
              <w:t>if</w:t>
            </w:r>
            <w:r w:rsidR="00BB1BCD">
              <w:t xml:space="preserve"> capable</w:t>
            </w:r>
            <w:r>
              <w:t>.</w:t>
            </w:r>
          </w:p>
          <w:p w14:paraId="2F5AD7A0" w14:textId="02C0610A" w:rsidR="00D74559" w:rsidRPr="00C837E1" w:rsidRDefault="00D74559" w:rsidP="007D21CC">
            <w:pPr>
              <w:pStyle w:val="TableList-level1"/>
            </w:pPr>
            <w:r w:rsidRPr="00981B12">
              <w:t>Provider</w:t>
            </w:r>
            <w:r>
              <w:t>s</w:t>
            </w:r>
            <w:r w:rsidRPr="00981B12">
              <w:t xml:space="preserve"> must remove </w:t>
            </w:r>
            <w:r>
              <w:t>this requirement</w:t>
            </w:r>
            <w:r w:rsidRPr="00981B12">
              <w:t xml:space="preserve"> if </w:t>
            </w:r>
            <w:r>
              <w:t>they</w:t>
            </w:r>
            <w:r w:rsidRPr="00981B12">
              <w:t xml:space="preserve"> </w:t>
            </w:r>
            <w:r>
              <w:t>have</w:t>
            </w:r>
            <w:r w:rsidRPr="00981B12">
              <w:t xml:space="preserve"> </w:t>
            </w:r>
            <w:r>
              <w:t xml:space="preserve">assessed personal responsibility to self-report is </w:t>
            </w:r>
            <w:r w:rsidRPr="00981B12">
              <w:t xml:space="preserve">not </w:t>
            </w:r>
            <w:r>
              <w:t>right for</w:t>
            </w:r>
            <w:r w:rsidRPr="00981B12">
              <w:t xml:space="preserve"> a Participant</w:t>
            </w:r>
            <w:r w:rsidRPr="00C837E1">
              <w:t>.</w:t>
            </w:r>
            <w:r w:rsidR="00BB1BCD">
              <w:t xml:space="preserve"> In this case, Providers need to record attendance on the Participant’s behalf.</w:t>
            </w:r>
          </w:p>
        </w:tc>
      </w:tr>
      <w:tr w:rsidR="00D74559" w14:paraId="3E3B2925" w14:textId="77777777" w:rsidTr="00DE7A9B">
        <w:trPr>
          <w:cnfStyle w:val="000000100000" w:firstRow="0" w:lastRow="0" w:firstColumn="0" w:lastColumn="0" w:oddVBand="0" w:evenVBand="0" w:oddHBand="1" w:evenHBand="0" w:firstRowFirstColumn="0" w:firstRowLastColumn="0" w:lastRowFirstColumn="0" w:lastRowLastColumn="0"/>
          <w:cantSplit/>
        </w:trPr>
        <w:tc>
          <w:tcPr>
            <w:tcW w:w="851" w:type="dxa"/>
            <w:tcBorders>
              <w:top w:val="single" w:sz="4" w:space="0" w:color="auto"/>
              <w:bottom w:val="single" w:sz="4" w:space="0" w:color="auto"/>
            </w:tcBorders>
          </w:tcPr>
          <w:p w14:paraId="143D8A93" w14:textId="77777777" w:rsidR="00D74559" w:rsidRPr="00BC7572" w:rsidRDefault="00D74559" w:rsidP="00BC7572">
            <w:pPr>
              <w:pStyle w:val="TableText"/>
            </w:pPr>
            <w:r w:rsidRPr="00BC7572">
              <w:t>PA12</w:t>
            </w:r>
          </w:p>
        </w:tc>
        <w:tc>
          <w:tcPr>
            <w:tcW w:w="3827" w:type="dxa"/>
            <w:tcBorders>
              <w:top w:val="single" w:sz="4" w:space="0" w:color="auto"/>
              <w:bottom w:val="single" w:sz="4" w:space="0" w:color="auto"/>
            </w:tcBorders>
          </w:tcPr>
          <w:p w14:paraId="17F9D829" w14:textId="1AC18090" w:rsidR="00D74559" w:rsidRPr="00BC7572" w:rsidRDefault="00D74559" w:rsidP="00BC7572">
            <w:pPr>
              <w:pStyle w:val="TableText"/>
            </w:pPr>
            <w:r w:rsidRPr="00BC7572">
              <w:t xml:space="preserve">I agree to follow up on job opportunities and referrals I am referred to by my </w:t>
            </w:r>
            <w:r w:rsidR="00AA4900">
              <w:t>p</w:t>
            </w:r>
            <w:r w:rsidRPr="00BC7572">
              <w:t>rovider.</w:t>
            </w:r>
          </w:p>
        </w:tc>
        <w:tc>
          <w:tcPr>
            <w:tcW w:w="5387" w:type="dxa"/>
            <w:tcBorders>
              <w:top w:val="single" w:sz="4" w:space="0" w:color="auto"/>
              <w:bottom w:val="single" w:sz="4" w:space="0" w:color="auto"/>
            </w:tcBorders>
          </w:tcPr>
          <w:p w14:paraId="66E65D8E" w14:textId="77777777" w:rsidR="00D74559" w:rsidRPr="00C837E1" w:rsidRDefault="00D74559" w:rsidP="007D21CC">
            <w:pPr>
              <w:pStyle w:val="TableList-level1"/>
            </w:pPr>
            <w:r w:rsidRPr="00C837E1">
              <w:t xml:space="preserve">The Participant </w:t>
            </w:r>
            <w:r>
              <w:t>must</w:t>
            </w:r>
            <w:r w:rsidRPr="00C837E1">
              <w:t xml:space="preserve"> follow up on any </w:t>
            </w:r>
            <w:r>
              <w:t xml:space="preserve">suitable </w:t>
            </w:r>
            <w:r w:rsidRPr="00C837E1">
              <w:t xml:space="preserve">job opportunities they are referred to by their Provider. </w:t>
            </w:r>
          </w:p>
          <w:p w14:paraId="2EA0076C" w14:textId="77777777" w:rsidR="00D74559" w:rsidRDefault="00D74559" w:rsidP="007D21CC">
            <w:pPr>
              <w:pStyle w:val="TableList-level1"/>
            </w:pPr>
            <w:r w:rsidRPr="00C837E1">
              <w:t>This requirement may include applying for specific jobs, accepting a Job Interview, contacting an Employer to arrange or accept a Job Interview, and providing personal details to support a job opportunity.</w:t>
            </w:r>
          </w:p>
          <w:p w14:paraId="4C499738" w14:textId="31961FE6" w:rsidR="00D74559" w:rsidRPr="00C837E1" w:rsidRDefault="00D74559" w:rsidP="007D21CC">
            <w:pPr>
              <w:pStyle w:val="TableList-level1"/>
            </w:pPr>
            <w:r w:rsidRPr="00C837E1">
              <w:t xml:space="preserve">Providers </w:t>
            </w:r>
            <w:r>
              <w:t>must</w:t>
            </w:r>
            <w:r w:rsidRPr="00C837E1">
              <w:t xml:space="preserve"> remove this requirement if a Participant is already Employed </w:t>
            </w:r>
            <w:r w:rsidR="0020556F">
              <w:t xml:space="preserve">at their Employment Benchmark </w:t>
            </w:r>
            <w:r w:rsidRPr="00C837E1">
              <w:t>and receiving Post Placement Support or Ongoing Support.</w:t>
            </w:r>
          </w:p>
        </w:tc>
      </w:tr>
      <w:tr w:rsidR="00FD020B" w14:paraId="2DE82267" w14:textId="77777777" w:rsidTr="00DE7A9B">
        <w:trPr>
          <w:cnfStyle w:val="000000010000" w:firstRow="0" w:lastRow="0" w:firstColumn="0" w:lastColumn="0" w:oddVBand="0" w:evenVBand="0" w:oddHBand="0" w:evenHBand="1" w:firstRowFirstColumn="0" w:firstRowLastColumn="0" w:lastRowFirstColumn="0" w:lastRowLastColumn="0"/>
          <w:cantSplit/>
        </w:trPr>
        <w:tc>
          <w:tcPr>
            <w:tcW w:w="851" w:type="dxa"/>
            <w:tcBorders>
              <w:top w:val="single" w:sz="4" w:space="0" w:color="auto"/>
            </w:tcBorders>
          </w:tcPr>
          <w:p w14:paraId="7EA63632" w14:textId="77777777" w:rsidR="00D74559" w:rsidRPr="00BC7572" w:rsidRDefault="00D74559" w:rsidP="00BC7572">
            <w:pPr>
              <w:pStyle w:val="TableText"/>
            </w:pPr>
            <w:r w:rsidRPr="00BC7572">
              <w:t>JS09</w:t>
            </w:r>
          </w:p>
        </w:tc>
        <w:tc>
          <w:tcPr>
            <w:tcW w:w="3827" w:type="dxa"/>
            <w:tcBorders>
              <w:top w:val="single" w:sz="4" w:space="0" w:color="auto"/>
            </w:tcBorders>
          </w:tcPr>
          <w:p w14:paraId="497A207D" w14:textId="545668C6" w:rsidR="00D74559" w:rsidRPr="00BC7572" w:rsidRDefault="00D74559" w:rsidP="00BC7572">
            <w:pPr>
              <w:pStyle w:val="TableText"/>
            </w:pPr>
            <w:r>
              <w:t>I agree to search for work by contacting 1</w:t>
            </w:r>
            <w:r w:rsidR="00AA4900">
              <w:t>2</w:t>
            </w:r>
            <w:r>
              <w:t xml:space="preserve"> </w:t>
            </w:r>
            <w:r w:rsidDel="00D74559">
              <w:t>e</w:t>
            </w:r>
            <w:r>
              <w:t xml:space="preserve">mployers per month, including any to which my </w:t>
            </w:r>
            <w:r w:rsidR="00AA4900">
              <w:t>p</w:t>
            </w:r>
            <w:r>
              <w:t xml:space="preserve">rovider refers me. I agree to report and provide evidence of these job </w:t>
            </w:r>
            <w:r w:rsidDel="00D74559">
              <w:t>s</w:t>
            </w:r>
            <w:r>
              <w:t xml:space="preserve">earch contacts to my </w:t>
            </w:r>
            <w:r w:rsidR="00AA4900">
              <w:t>p</w:t>
            </w:r>
            <w:r>
              <w:t>rovider as directed by the &lt;date&gt; of each month. I am aware that I need to look for any suitable work, not just work that I would like to do.</w:t>
            </w:r>
          </w:p>
        </w:tc>
        <w:tc>
          <w:tcPr>
            <w:tcW w:w="5387" w:type="dxa"/>
            <w:tcBorders>
              <w:top w:val="single" w:sz="4" w:space="0" w:color="auto"/>
            </w:tcBorders>
          </w:tcPr>
          <w:p w14:paraId="6D3D2CDB" w14:textId="77777777" w:rsidR="00D74559" w:rsidRDefault="00D74559" w:rsidP="007D21CC">
            <w:pPr>
              <w:pStyle w:val="TableList-level1"/>
            </w:pPr>
            <w:r>
              <w:t>The Participant has a Job Search Requirement and must accurately report the completion of Job Search effort</w:t>
            </w:r>
            <w:r w:rsidRPr="00B31EB7">
              <w:t>.</w:t>
            </w:r>
          </w:p>
          <w:p w14:paraId="5EEEB868" w14:textId="16F8ADAF" w:rsidR="00D74559" w:rsidRPr="00743CBC" w:rsidRDefault="00D74559" w:rsidP="007D21CC">
            <w:pPr>
              <w:pStyle w:val="TableList-level1"/>
            </w:pPr>
            <w:r>
              <w:t>Providers should tailor the number of Job Searches</w:t>
            </w:r>
            <w:r w:rsidR="00CD614D">
              <w:t xml:space="preserve"> noting</w:t>
            </w:r>
            <w:r>
              <w:t xml:space="preserve"> 1</w:t>
            </w:r>
            <w:r w:rsidR="00545D5E">
              <w:t>2</w:t>
            </w:r>
            <w:r>
              <w:t xml:space="preserve"> is the maximum that any Participant can be set — refer to</w:t>
            </w:r>
            <w:r w:rsidR="00743CBC">
              <w:t xml:space="preserve"> </w:t>
            </w:r>
            <w:r w:rsidR="00A31574">
              <w:fldChar w:fldCharType="begin"/>
            </w:r>
            <w:r w:rsidR="00A31574">
              <w:instrText xml:space="preserve"> REF _Ref202787816 \h </w:instrText>
            </w:r>
            <w:r w:rsidR="00A31574">
              <w:fldChar w:fldCharType="separate"/>
            </w:r>
            <w:r w:rsidR="00A31574" w:rsidRPr="00BA23D8">
              <w:t>Chapter 7</w:t>
            </w:r>
            <w:r w:rsidR="00A31574">
              <w:t xml:space="preserve">: </w:t>
            </w:r>
            <w:r w:rsidR="00A31574" w:rsidRPr="00BA23D8">
              <w:t>Activities</w:t>
            </w:r>
            <w:r w:rsidR="00A31574">
              <w:fldChar w:fldCharType="end"/>
            </w:r>
            <w:r w:rsidR="00743CBC" w:rsidRPr="00743CBC">
              <w:rPr>
                <w:highlight w:val="yellow"/>
              </w:rPr>
              <w:fldChar w:fldCharType="begin"/>
            </w:r>
            <w:r w:rsidR="00743CBC" w:rsidRPr="00743CBC">
              <w:instrText xml:space="preserve"> REF _Ref202786021 \h </w:instrText>
            </w:r>
            <w:r w:rsidR="00743CBC">
              <w:rPr>
                <w:highlight w:val="yellow"/>
              </w:rPr>
              <w:instrText xml:space="preserve"> \* MERGEFORMAT </w:instrText>
            </w:r>
            <w:r w:rsidR="00743CBC" w:rsidRPr="00743CBC">
              <w:rPr>
                <w:highlight w:val="yellow"/>
              </w:rPr>
            </w:r>
            <w:r w:rsidR="00743CBC" w:rsidRPr="00743CBC">
              <w:rPr>
                <w:highlight w:val="yellow"/>
              </w:rPr>
              <w:fldChar w:fldCharType="separate"/>
            </w:r>
            <w:r w:rsidR="00743CBC" w:rsidRPr="00743CBC">
              <w:rPr>
                <w:highlight w:val="yellow"/>
              </w:rPr>
              <w:fldChar w:fldCharType="end"/>
            </w:r>
            <w:r w:rsidRPr="00743CBC">
              <w:t xml:space="preserve">. </w:t>
            </w:r>
          </w:p>
          <w:p w14:paraId="07254886" w14:textId="77777777" w:rsidR="00D74559" w:rsidRDefault="00D74559" w:rsidP="007D21CC">
            <w:pPr>
              <w:pStyle w:val="TableList-level1"/>
            </w:pPr>
            <w:r>
              <w:t>For Participants (Mutual Obligation), this code must not be removed.</w:t>
            </w:r>
          </w:p>
          <w:p w14:paraId="3C5BEEE2" w14:textId="21CFE6A6" w:rsidR="00D74559" w:rsidRPr="0067139B" w:rsidRDefault="00D74559" w:rsidP="007D21CC">
            <w:pPr>
              <w:pStyle w:val="TableList-level1"/>
            </w:pPr>
            <w:r>
              <w:t xml:space="preserve">For DSP Recipients (Compulsory Requirements), </w:t>
            </w:r>
            <w:r w:rsidRPr="00C837E1">
              <w:t xml:space="preserve">Providers should consider if this </w:t>
            </w:r>
            <w:r w:rsidRPr="008D0477">
              <w:t>requirement is suitable for those receiving</w:t>
            </w:r>
            <w:r w:rsidR="00241D4E">
              <w:t xml:space="preserve"> </w:t>
            </w:r>
            <w:r w:rsidRPr="008D0477">
              <w:t xml:space="preserve">Intensive </w:t>
            </w:r>
            <w:r w:rsidR="00241D4E">
              <w:t xml:space="preserve">Service </w:t>
            </w:r>
            <w:r w:rsidRPr="008D0477">
              <w:t>Work Preparation, Flexible Service, Post Placement Support or Ongoing Support. This code can be removed i</w:t>
            </w:r>
            <w:r w:rsidR="00400C6B">
              <w:t>f</w:t>
            </w:r>
            <w:r w:rsidRPr="008D0477">
              <w:t xml:space="preserve"> not right for the Participant.</w:t>
            </w:r>
          </w:p>
        </w:tc>
      </w:tr>
      <w:tr w:rsidR="00D74559" w14:paraId="091990C8" w14:textId="77777777" w:rsidTr="00DE7A9B">
        <w:trPr>
          <w:cnfStyle w:val="000000100000" w:firstRow="0" w:lastRow="0" w:firstColumn="0" w:lastColumn="0" w:oddVBand="0" w:evenVBand="0" w:oddHBand="1" w:evenHBand="0" w:firstRowFirstColumn="0" w:firstRowLastColumn="0" w:lastRowFirstColumn="0" w:lastRowLastColumn="0"/>
          <w:cantSplit/>
        </w:trPr>
        <w:tc>
          <w:tcPr>
            <w:tcW w:w="851" w:type="dxa"/>
          </w:tcPr>
          <w:p w14:paraId="3D7C9C24" w14:textId="77777777" w:rsidR="00D74559" w:rsidRPr="00BC7572" w:rsidRDefault="00D74559" w:rsidP="00BC7572">
            <w:pPr>
              <w:pStyle w:val="TableText"/>
            </w:pPr>
            <w:r w:rsidRPr="00BC7572">
              <w:t>JS10</w:t>
            </w:r>
          </w:p>
        </w:tc>
        <w:tc>
          <w:tcPr>
            <w:tcW w:w="3827" w:type="dxa"/>
          </w:tcPr>
          <w:p w14:paraId="707ED8EF" w14:textId="77777777" w:rsidR="00D74559" w:rsidRPr="00BC7572" w:rsidRDefault="00D74559" w:rsidP="00BC7572">
            <w:pPr>
              <w:pStyle w:val="TableText"/>
            </w:pPr>
            <w:r w:rsidRPr="00BC7572">
              <w:t>I agree to attend and act appropriately during a job interview(s).</w:t>
            </w:r>
          </w:p>
        </w:tc>
        <w:tc>
          <w:tcPr>
            <w:tcW w:w="5387" w:type="dxa"/>
          </w:tcPr>
          <w:p w14:paraId="4D552A15" w14:textId="5F191A08" w:rsidR="00D74559" w:rsidRDefault="00D74559" w:rsidP="007D21CC">
            <w:pPr>
              <w:pStyle w:val="TableList-level1"/>
            </w:pPr>
            <w:r w:rsidRPr="0098549B">
              <w:t xml:space="preserve">The Participant </w:t>
            </w:r>
            <w:r>
              <w:t>must</w:t>
            </w:r>
            <w:r w:rsidRPr="0098549B">
              <w:t xml:space="preserve"> attend and </w:t>
            </w:r>
            <w:r w:rsidRPr="00981B12">
              <w:t xml:space="preserve">act appropriately at </w:t>
            </w:r>
            <w:r>
              <w:t>J</w:t>
            </w:r>
            <w:r w:rsidRPr="00981B12">
              <w:t xml:space="preserve">ob </w:t>
            </w:r>
            <w:r>
              <w:t>I</w:t>
            </w:r>
            <w:r w:rsidRPr="00981B12">
              <w:t xml:space="preserve">nterviews that they are </w:t>
            </w:r>
            <w:r w:rsidR="00F72686">
              <w:t>notified</w:t>
            </w:r>
            <w:r w:rsidRPr="00981B12">
              <w:t xml:space="preserve"> to </w:t>
            </w:r>
            <w:r w:rsidR="00F72686">
              <w:t xml:space="preserve">attend </w:t>
            </w:r>
            <w:r w:rsidRPr="00981B12">
              <w:t>by their Provider.</w:t>
            </w:r>
          </w:p>
          <w:p w14:paraId="573C38C6" w14:textId="77777777" w:rsidR="00D74559" w:rsidRPr="00C837E1" w:rsidRDefault="00D74559" w:rsidP="007D21CC">
            <w:pPr>
              <w:pStyle w:val="TableList-level1"/>
            </w:pPr>
            <w:r w:rsidRPr="00C837E1">
              <w:t xml:space="preserve">Providers should consider if this requirement is </w:t>
            </w:r>
            <w:r>
              <w:t>suitable for</w:t>
            </w:r>
            <w:r w:rsidRPr="00C837E1">
              <w:t xml:space="preserve"> those receiving Pre-Employment Support.</w:t>
            </w:r>
          </w:p>
          <w:p w14:paraId="3C5AF945" w14:textId="1996BA2D" w:rsidR="00D74559" w:rsidRPr="00B31EB7" w:rsidRDefault="00D74559" w:rsidP="007D21CC">
            <w:pPr>
              <w:pStyle w:val="TableList-level1"/>
            </w:pPr>
            <w:r w:rsidRPr="00C837E1">
              <w:t xml:space="preserve">Providers </w:t>
            </w:r>
            <w:r>
              <w:t>must</w:t>
            </w:r>
            <w:r w:rsidRPr="00C837E1">
              <w:t xml:space="preserve"> remove this requirement if a Participant is already Employed </w:t>
            </w:r>
            <w:r w:rsidR="001A7FBA">
              <w:t>at their Employment Benchmark</w:t>
            </w:r>
            <w:r w:rsidR="001A7FBA" w:rsidRPr="00C837E1">
              <w:t xml:space="preserve"> </w:t>
            </w:r>
            <w:r w:rsidRPr="00C837E1">
              <w:t>and receiving Post Placement Support or Ongoing Support.</w:t>
            </w:r>
          </w:p>
        </w:tc>
      </w:tr>
      <w:tr w:rsidR="00FD020B" w:rsidRPr="00400C6B" w14:paraId="62CD1058" w14:textId="77777777" w:rsidTr="00DE7A9B">
        <w:trPr>
          <w:cnfStyle w:val="010000000000" w:firstRow="0" w:lastRow="1" w:firstColumn="0" w:lastColumn="0" w:oddVBand="0" w:evenVBand="0" w:oddHBand="0" w:evenHBand="0" w:firstRowFirstColumn="0" w:firstRowLastColumn="0" w:lastRowFirstColumn="0" w:lastRowLastColumn="0"/>
          <w:cantSplit/>
        </w:trPr>
        <w:tc>
          <w:tcPr>
            <w:tcW w:w="851" w:type="dxa"/>
          </w:tcPr>
          <w:p w14:paraId="34D3EB6D" w14:textId="77777777" w:rsidR="00D74559" w:rsidRPr="00400C6B" w:rsidRDefault="00D74559" w:rsidP="00BC7572">
            <w:pPr>
              <w:pStyle w:val="TableText"/>
              <w:rPr>
                <w:b w:val="0"/>
                <w:bCs/>
              </w:rPr>
            </w:pPr>
            <w:r w:rsidRPr="00400C6B">
              <w:rPr>
                <w:b w:val="0"/>
                <w:bCs/>
              </w:rPr>
              <w:t>JS13</w:t>
            </w:r>
          </w:p>
        </w:tc>
        <w:tc>
          <w:tcPr>
            <w:tcW w:w="3827" w:type="dxa"/>
          </w:tcPr>
          <w:p w14:paraId="40FB72DD" w14:textId="77777777" w:rsidR="00D74559" w:rsidRPr="00400C6B" w:rsidRDefault="00D74559" w:rsidP="00BC7572">
            <w:pPr>
              <w:pStyle w:val="TableText"/>
              <w:rPr>
                <w:b w:val="0"/>
                <w:bCs/>
              </w:rPr>
            </w:pPr>
            <w:r w:rsidRPr="00400C6B">
              <w:rPr>
                <w:b w:val="0"/>
                <w:bCs/>
              </w:rPr>
              <w:t>I agree to accept any offer of a suitable job and not voluntarily leave a suitable job.</w:t>
            </w:r>
          </w:p>
        </w:tc>
        <w:tc>
          <w:tcPr>
            <w:tcW w:w="5387" w:type="dxa"/>
          </w:tcPr>
          <w:p w14:paraId="09725FF4" w14:textId="77777777" w:rsidR="00D74559" w:rsidRPr="00EA5F46" w:rsidRDefault="00D74559" w:rsidP="007D21CC">
            <w:pPr>
              <w:pStyle w:val="TableList-level1"/>
              <w:rPr>
                <w:b w:val="0"/>
              </w:rPr>
            </w:pPr>
            <w:r w:rsidRPr="00EA5F46">
              <w:rPr>
                <w:b w:val="0"/>
              </w:rPr>
              <w:t xml:space="preserve">The Participant must be </w:t>
            </w:r>
            <w:bookmarkStart w:id="172" w:name="_Hlk193202938"/>
            <w:r w:rsidRPr="00EA5F46">
              <w:rPr>
                <w:b w:val="0"/>
              </w:rPr>
              <w:t>willing to accept any offer of suitable paid work and must not leave suitable paid work voluntarily</w:t>
            </w:r>
            <w:bookmarkEnd w:id="172"/>
            <w:r w:rsidRPr="00EA5F46">
              <w:rPr>
                <w:b w:val="0"/>
              </w:rPr>
              <w:t xml:space="preserve">. </w:t>
            </w:r>
          </w:p>
          <w:p w14:paraId="03D7DB0D" w14:textId="77777777" w:rsidR="00D74559" w:rsidRPr="00EA5F46" w:rsidRDefault="00D74559" w:rsidP="007D21CC">
            <w:pPr>
              <w:pStyle w:val="TableList-level1"/>
              <w:rPr>
                <w:b w:val="0"/>
              </w:rPr>
            </w:pPr>
            <w:r w:rsidRPr="00EA5F46">
              <w:rPr>
                <w:b w:val="0"/>
              </w:rPr>
              <w:t>For Participants (Mutual Obligation), not meeting this requirement without a Valid Reason is a Work Refusal Failure or Unemployment Failures, and the Participant may be subject to financial penalties under the TCF. This code should not be removed from a Detailed Job Plan for a Participant (Mutual Obligation).</w:t>
            </w:r>
          </w:p>
          <w:p w14:paraId="0AFB392C" w14:textId="14085CEB" w:rsidR="00D74559" w:rsidRPr="00EA5F46" w:rsidRDefault="00D74559" w:rsidP="007D21CC">
            <w:pPr>
              <w:pStyle w:val="TableList-level1"/>
              <w:rPr>
                <w:b w:val="0"/>
              </w:rPr>
            </w:pPr>
            <w:r w:rsidRPr="00EA5F46">
              <w:rPr>
                <w:b w:val="0"/>
              </w:rPr>
              <w:t xml:space="preserve">For DSP Recipients (Compulsory Requirements), Providers should consider if this requirement is suitable for those receiving Intensive </w:t>
            </w:r>
            <w:r w:rsidR="004C6E3D">
              <w:rPr>
                <w:b w:val="0"/>
              </w:rPr>
              <w:t xml:space="preserve">Service </w:t>
            </w:r>
            <w:r w:rsidRPr="00EA5F46">
              <w:rPr>
                <w:b w:val="0"/>
              </w:rPr>
              <w:t>Work Preparation, Flexible Service, Post Placement Support or Ongoing Support. This code can be removed i</w:t>
            </w:r>
            <w:r w:rsidR="00400C6B" w:rsidRPr="00EA5F46">
              <w:rPr>
                <w:b w:val="0"/>
              </w:rPr>
              <w:t>f</w:t>
            </w:r>
            <w:r w:rsidRPr="00EA5F46">
              <w:rPr>
                <w:b w:val="0"/>
              </w:rPr>
              <w:t xml:space="preserve"> not right for the Participant.</w:t>
            </w:r>
          </w:p>
        </w:tc>
      </w:tr>
    </w:tbl>
    <w:p w14:paraId="6FF8E51F" w14:textId="0B0CDC20" w:rsidR="00D74559" w:rsidRPr="00AB4CCF" w:rsidRDefault="00D74559" w:rsidP="001D0F92">
      <w:pPr>
        <w:pStyle w:val="Heading4"/>
      </w:pPr>
      <w:bookmarkStart w:id="173" w:name="_Toc202899943"/>
      <w:r w:rsidRPr="72B4EEE6">
        <w:t>4.</w:t>
      </w:r>
      <w:r w:rsidR="003866E4">
        <w:t>7</w:t>
      </w:r>
      <w:r w:rsidRPr="72B4EEE6">
        <w:t>.1</w:t>
      </w:r>
      <w:r w:rsidR="00126E9D">
        <w:tab/>
      </w:r>
      <w:r w:rsidRPr="72B4EEE6">
        <w:t>Notification of requirements</w:t>
      </w:r>
      <w:bookmarkEnd w:id="173"/>
    </w:p>
    <w:p w14:paraId="3A7AB858" w14:textId="68EEA421" w:rsidR="00D74559" w:rsidRDefault="00D74559" w:rsidP="006E2EF5">
      <w:pPr>
        <w:tabs>
          <w:tab w:val="right" w:pos="1701"/>
        </w:tabs>
        <w:spacing w:after="120"/>
      </w:pPr>
      <w:r w:rsidRPr="7013F832">
        <w:t xml:space="preserve">Under Social Security Law, Participants must be given proper notice of any compulsory requirement in their </w:t>
      </w:r>
      <w:r>
        <w:t xml:space="preserve">Detailed </w:t>
      </w:r>
      <w:r w:rsidRPr="7013F832">
        <w:t>Job Plan. The Secretary of the Department of Employment and Workplace Relations has delegated to Provider staff the power to give Participants formal notification of these requirements.</w:t>
      </w:r>
    </w:p>
    <w:p w14:paraId="10FED8F8" w14:textId="08459B81" w:rsidR="00D74559" w:rsidRDefault="00D74559" w:rsidP="006E2EF5">
      <w:pPr>
        <w:tabs>
          <w:tab w:val="right" w:pos="1701"/>
        </w:tabs>
        <w:spacing w:after="120"/>
        <w:rPr>
          <w:rFonts w:cstheme="minorHAnsi"/>
        </w:rPr>
      </w:pPr>
      <w:r>
        <w:rPr>
          <w:rFonts w:cstheme="minorHAnsi"/>
        </w:rPr>
        <w:t xml:space="preserve">Providers must formally notify Participants how to meet each requirement and the consequences of not meeting the requirement, including possible impact to their </w:t>
      </w:r>
      <w:r w:rsidR="0047687F">
        <w:rPr>
          <w:rFonts w:cstheme="minorHAnsi"/>
        </w:rPr>
        <w:t>I</w:t>
      </w:r>
      <w:r>
        <w:rPr>
          <w:rFonts w:cstheme="minorHAnsi"/>
        </w:rPr>
        <w:t xml:space="preserve">ncome </w:t>
      </w:r>
      <w:r w:rsidR="0047687F">
        <w:rPr>
          <w:rFonts w:cstheme="minorHAnsi"/>
        </w:rPr>
        <w:t>S</w:t>
      </w:r>
      <w:r>
        <w:rPr>
          <w:rFonts w:cstheme="minorHAnsi"/>
        </w:rPr>
        <w:t xml:space="preserve">upport </w:t>
      </w:r>
      <w:r w:rsidR="0047687F">
        <w:rPr>
          <w:rFonts w:cstheme="minorHAnsi"/>
        </w:rPr>
        <w:t>P</w:t>
      </w:r>
      <w:r>
        <w:rPr>
          <w:rFonts w:cstheme="minorHAnsi"/>
        </w:rPr>
        <w:t>ayments.</w:t>
      </w:r>
    </w:p>
    <w:p w14:paraId="1BD66322" w14:textId="0615D5FF" w:rsidR="00D74559" w:rsidRDefault="00D74559" w:rsidP="006E2EF5">
      <w:pPr>
        <w:tabs>
          <w:tab w:val="right" w:pos="1701"/>
        </w:tabs>
        <w:spacing w:after="120"/>
      </w:pPr>
      <w:r w:rsidRPr="00190565">
        <w:rPr>
          <w:b/>
          <w:bCs/>
        </w:rPr>
        <w:t xml:space="preserve">Note: </w:t>
      </w:r>
      <w:r w:rsidRPr="13E5064E">
        <w:t xml:space="preserve">Notifications </w:t>
      </w:r>
      <w:r w:rsidR="00CD614D">
        <w:t>may</w:t>
      </w:r>
      <w:r w:rsidRPr="13E5064E">
        <w:t xml:space="preserve"> also sent for voluntary activities, but these are for informational purposes (i.e. include details such as the location, date/days, and time of the activity).</w:t>
      </w:r>
    </w:p>
    <w:p w14:paraId="0AA5DC4E" w14:textId="77777777" w:rsidR="00D74559" w:rsidRDefault="00D74559" w:rsidP="006F727E">
      <w:pPr>
        <w:pStyle w:val="SystemStep"/>
      </w:pPr>
      <w:r w:rsidRPr="00BC25D7">
        <w:t xml:space="preserve">When the </w:t>
      </w:r>
      <w:r>
        <w:t>P</w:t>
      </w:r>
      <w:r w:rsidRPr="00BC25D7">
        <w:t xml:space="preserve">rovider </w:t>
      </w:r>
      <w:r w:rsidR="00573FA6">
        <w:t>schedule</w:t>
      </w:r>
      <w:r w:rsidRPr="00BC25D7">
        <w:t xml:space="preserve">s a requirement in the </w:t>
      </w:r>
      <w:r>
        <w:t>Participant</w:t>
      </w:r>
      <w:r w:rsidRPr="00BC25D7">
        <w:t xml:space="preserve">'s </w:t>
      </w:r>
      <w:r>
        <w:t>E</w:t>
      </w:r>
      <w:r w:rsidRPr="00BC25D7">
        <w:t xml:space="preserve">lectronic </w:t>
      </w:r>
      <w:r>
        <w:t>C</w:t>
      </w:r>
      <w:r w:rsidRPr="00BC25D7">
        <w:t xml:space="preserve">alendar, </w:t>
      </w:r>
      <w:r>
        <w:t>the Department’s IT Systems</w:t>
      </w:r>
      <w:r w:rsidRPr="00BC25D7">
        <w:t xml:space="preserve"> will automatically create and record the selected notification type to be issued.</w:t>
      </w:r>
    </w:p>
    <w:p w14:paraId="180164B8" w14:textId="77777777" w:rsidR="00D74559" w:rsidRPr="00B84B59" w:rsidRDefault="00D74559" w:rsidP="0079424A">
      <w:pPr>
        <w:pStyle w:val="DocumentaryEvidenceRequirement"/>
      </w:pPr>
      <w:r w:rsidRPr="00B84B59">
        <w:t>A hard copy of any manually prepared notification of a requirement must be kept by the Provider.</w:t>
      </w:r>
    </w:p>
    <w:p w14:paraId="0881AC28" w14:textId="2C3551D6" w:rsidR="00D74559" w:rsidRPr="00485471" w:rsidRDefault="00D74559" w:rsidP="001D0F92">
      <w:pPr>
        <w:pStyle w:val="Heading4"/>
      </w:pPr>
      <w:bookmarkStart w:id="174" w:name="_Toc201344505"/>
      <w:bookmarkStart w:id="175" w:name="_Toc202899944"/>
      <w:r w:rsidRPr="72B4EEE6">
        <w:t>4.</w:t>
      </w:r>
      <w:r w:rsidR="003866E4">
        <w:t>7</w:t>
      </w:r>
      <w:r w:rsidRPr="72B4EEE6">
        <w:t>.2</w:t>
      </w:r>
      <w:r w:rsidR="00126E9D">
        <w:tab/>
      </w:r>
      <w:r w:rsidRPr="72B4EEE6">
        <w:t>Arrangements for Participants eligible for Mobility Allowance</w:t>
      </w:r>
      <w:bookmarkEnd w:id="174"/>
      <w:bookmarkEnd w:id="175"/>
    </w:p>
    <w:p w14:paraId="71B62EAE" w14:textId="0B29BC2A" w:rsidR="00D74559" w:rsidRDefault="00D74559" w:rsidP="006E2EF5">
      <w:r>
        <w:t>W</w:t>
      </w:r>
      <w:r w:rsidRPr="3D523830">
        <w:t xml:space="preserve">here a </w:t>
      </w:r>
      <w:r>
        <w:t>Participant</w:t>
      </w:r>
      <w:r w:rsidRPr="3D523830">
        <w:t xml:space="preserve"> </w:t>
      </w:r>
      <w:r>
        <w:t>tells the Provider</w:t>
      </w:r>
      <w:r w:rsidRPr="3D523830">
        <w:t xml:space="preserve"> that they are </w:t>
      </w:r>
      <w:r w:rsidRPr="00F55E4B">
        <w:rPr>
          <w:u w:val="single"/>
        </w:rPr>
        <w:t>claiming or receiving the standard rate of Mobility Allowance</w:t>
      </w:r>
      <w:r w:rsidRPr="3D523830">
        <w:t xml:space="preserve">, the </w:t>
      </w:r>
      <w:r>
        <w:t>Provider</w:t>
      </w:r>
      <w:r w:rsidRPr="3D523830">
        <w:t xml:space="preserve"> must ensure that the </w:t>
      </w:r>
      <w:r>
        <w:t>Participant</w:t>
      </w:r>
      <w:r w:rsidRPr="00A72616">
        <w:t xml:space="preserve">’s </w:t>
      </w:r>
      <w:r w:rsidRPr="3D523830">
        <w:t xml:space="preserve">Job Plan </w:t>
      </w:r>
      <w:r>
        <w:t>has one of the following, either as a voluntary or compulsory requirement:</w:t>
      </w:r>
    </w:p>
    <w:p w14:paraId="5BCDDF89" w14:textId="4E4E6FA5" w:rsidR="00D74559" w:rsidRPr="00485471" w:rsidRDefault="00D74559" w:rsidP="004E120D">
      <w:pPr>
        <w:pStyle w:val="BulletLevel1"/>
      </w:pPr>
      <w:r>
        <w:t xml:space="preserve">Code </w:t>
      </w:r>
      <w:r w:rsidRPr="00485471">
        <w:t xml:space="preserve">JS07 </w:t>
      </w:r>
      <w:r>
        <w:t>[</w:t>
      </w:r>
      <w:r w:rsidRPr="00485471">
        <w:t>Research and Prepare Applications</w:t>
      </w:r>
      <w:r>
        <w:t>]</w:t>
      </w:r>
    </w:p>
    <w:p w14:paraId="0405636A" w14:textId="7119CCD7" w:rsidR="00D74559" w:rsidRPr="00485471" w:rsidRDefault="00D74559" w:rsidP="004E120D">
      <w:pPr>
        <w:pStyle w:val="BulletLevel1"/>
      </w:pPr>
      <w:r>
        <w:t xml:space="preserve">Code </w:t>
      </w:r>
      <w:r w:rsidRPr="00485471">
        <w:t xml:space="preserve">JS09 </w:t>
      </w:r>
      <w:r>
        <w:t>[</w:t>
      </w:r>
      <w:r w:rsidRPr="00485471">
        <w:t>Job Search – Monthly</w:t>
      </w:r>
      <w:r>
        <w:t>]</w:t>
      </w:r>
    </w:p>
    <w:p w14:paraId="5DC38869" w14:textId="31EEFE24" w:rsidR="00D74559" w:rsidRPr="00485471" w:rsidRDefault="00D74559" w:rsidP="004E120D">
      <w:pPr>
        <w:pStyle w:val="BulletLevel1"/>
      </w:pPr>
      <w:r>
        <w:t xml:space="preserve">Code </w:t>
      </w:r>
      <w:r w:rsidRPr="00485471">
        <w:t xml:space="preserve">JS10 </w:t>
      </w:r>
      <w:r>
        <w:t>[</w:t>
      </w:r>
      <w:r w:rsidRPr="00485471">
        <w:t>Job Interviews</w:t>
      </w:r>
      <w:r>
        <w:t>]</w:t>
      </w:r>
    </w:p>
    <w:p w14:paraId="3155191C" w14:textId="1FD09CF6" w:rsidR="00D74559" w:rsidRPr="00485471" w:rsidRDefault="00D74559" w:rsidP="004E120D">
      <w:pPr>
        <w:pStyle w:val="BulletLevel1"/>
      </w:pPr>
      <w:r>
        <w:t xml:space="preserve">Code </w:t>
      </w:r>
      <w:r w:rsidRPr="00485471">
        <w:t xml:space="preserve">ET64 </w:t>
      </w:r>
      <w:r>
        <w:t>[</w:t>
      </w:r>
      <w:r w:rsidRPr="00485471">
        <w:t>Work Preparation</w:t>
      </w:r>
      <w:r>
        <w:t>].</w:t>
      </w:r>
    </w:p>
    <w:p w14:paraId="28B10F68" w14:textId="264242C9" w:rsidR="00D74559" w:rsidRDefault="00D74559" w:rsidP="006E2EF5">
      <w:r>
        <w:t>Where a Participant</w:t>
      </w:r>
      <w:r w:rsidRPr="3D523830">
        <w:t xml:space="preserve"> </w:t>
      </w:r>
      <w:r>
        <w:t>tells the Provider</w:t>
      </w:r>
      <w:r w:rsidRPr="3D523830">
        <w:t xml:space="preserve"> that they are </w:t>
      </w:r>
      <w:r w:rsidRPr="00F55E4B">
        <w:rPr>
          <w:u w:val="single"/>
        </w:rPr>
        <w:t xml:space="preserve">claiming or receiving the </w:t>
      </w:r>
      <w:r>
        <w:rPr>
          <w:u w:val="single"/>
        </w:rPr>
        <w:t>higher</w:t>
      </w:r>
      <w:r w:rsidRPr="00F55E4B">
        <w:rPr>
          <w:u w:val="single"/>
        </w:rPr>
        <w:t xml:space="preserve"> rate of Mobility Allowance</w:t>
      </w:r>
      <w:r w:rsidRPr="3D523830">
        <w:t xml:space="preserve">, the </w:t>
      </w:r>
      <w:r>
        <w:t>Provider</w:t>
      </w:r>
      <w:r w:rsidRPr="3D523830">
        <w:t xml:space="preserve"> must ensure that the </w:t>
      </w:r>
      <w:r>
        <w:t>Participant</w:t>
      </w:r>
      <w:r w:rsidRPr="00A72616">
        <w:t xml:space="preserve">’s </w:t>
      </w:r>
      <w:r w:rsidRPr="3D523830">
        <w:t xml:space="preserve">Job Plan </w:t>
      </w:r>
      <w:r>
        <w:t xml:space="preserve">has Code JS05 [Job Search with a Disability – Activity Tested] — as compulsory requirement in the Detailed Job Plan. </w:t>
      </w:r>
    </w:p>
    <w:p w14:paraId="2BA8C028" w14:textId="0A2F1811" w:rsidR="00D74559" w:rsidRDefault="00D74559" w:rsidP="006E2EF5">
      <w:r>
        <w:t xml:space="preserve">The inclusion of Code JS05 [Job Search with a Disability – Activity Tested] must be in addition to Code JS09 [Job Search – Monthly] for Participants (Mutual Obligation). </w:t>
      </w:r>
    </w:p>
    <w:p w14:paraId="03E07AED" w14:textId="0E044C09" w:rsidR="00D74559" w:rsidRDefault="00D74559" w:rsidP="006E2EF5">
      <w:r>
        <w:t>Inclusion of these Job Plan items</w:t>
      </w:r>
      <w:r w:rsidRPr="00485471">
        <w:t xml:space="preserve"> trigger</w:t>
      </w:r>
      <w:r>
        <w:t>s</w:t>
      </w:r>
      <w:r w:rsidRPr="00485471">
        <w:t xml:space="preserve"> </w:t>
      </w:r>
      <w:r>
        <w:t>payment</w:t>
      </w:r>
      <w:r w:rsidRPr="00485471">
        <w:t xml:space="preserve"> of Mobility Allowance.</w:t>
      </w:r>
      <w:r>
        <w:t xml:space="preserve"> If the Participant does not have a relevant code, their Mobility Allowance payment will be cancelled.</w:t>
      </w:r>
    </w:p>
    <w:p w14:paraId="0894CFEB" w14:textId="22EA6BD9" w:rsidR="006309DA" w:rsidRDefault="006309DA" w:rsidP="006E2EF5">
      <w:r>
        <w:t xml:space="preserve">Information on Mobility Allowance is available </w:t>
      </w:r>
      <w:r w:rsidR="007E6E03">
        <w:t>on the</w:t>
      </w:r>
      <w:r w:rsidRPr="00485471">
        <w:t xml:space="preserve"> </w:t>
      </w:r>
      <w:hyperlink r:id="rId47" w:history="1">
        <w:r>
          <w:rPr>
            <w:rStyle w:val="Hyperlink"/>
          </w:rPr>
          <w:t>Services Australia website</w:t>
        </w:r>
      </w:hyperlink>
      <w:r w:rsidRPr="00485471">
        <w:t>.</w:t>
      </w:r>
    </w:p>
    <w:p w14:paraId="55D89902" w14:textId="62BB813C" w:rsidR="00D74559" w:rsidRPr="00AB4CCF" w:rsidRDefault="00D74559" w:rsidP="001D0F92">
      <w:pPr>
        <w:pStyle w:val="Heading3"/>
        <w:rPr>
          <w:rStyle w:val="Heading2Char1"/>
          <w:i w:val="0"/>
        </w:rPr>
      </w:pPr>
      <w:bookmarkStart w:id="176" w:name="_Ref202787727"/>
      <w:bookmarkStart w:id="177" w:name="_Ref202788027"/>
      <w:bookmarkStart w:id="178" w:name="_Toc202899945"/>
      <w:r>
        <w:t>4.</w:t>
      </w:r>
      <w:r w:rsidR="000D6B3B">
        <w:t>8</w:t>
      </w:r>
      <w:r w:rsidR="00126E9D">
        <w:tab/>
      </w:r>
      <w:r>
        <w:t>Review and Agreement of the Job Plan</w:t>
      </w:r>
      <w:bookmarkEnd w:id="176"/>
      <w:bookmarkEnd w:id="177"/>
      <w:bookmarkEnd w:id="178"/>
    </w:p>
    <w:p w14:paraId="7172C36E" w14:textId="200C1F96" w:rsidR="00D74559" w:rsidRDefault="00D74559" w:rsidP="006E2EF5">
      <w:r>
        <w:t xml:space="preserve">The Job Plan must be </w:t>
      </w:r>
      <w:r w:rsidRPr="00C70AB8">
        <w:t>agreed between the Participant and the Provider</w:t>
      </w:r>
      <w:r>
        <w:t>, including whenever the contents of the Job Plan are changed</w:t>
      </w:r>
      <w:r w:rsidR="002801F8">
        <w:t xml:space="preserve"> or updated</w:t>
      </w:r>
      <w:r>
        <w:t>.</w:t>
      </w:r>
    </w:p>
    <w:p w14:paraId="5AC04DC4" w14:textId="1B43B2BE" w:rsidR="00D74559" w:rsidRDefault="00D74559" w:rsidP="006E2EF5">
      <w:r w:rsidRPr="0098549B">
        <w:t xml:space="preserve">Once the Job Plan has been created </w:t>
      </w:r>
      <w:r w:rsidR="00D32971">
        <w:t xml:space="preserve">in consultation </w:t>
      </w:r>
      <w:r>
        <w:t xml:space="preserve"> with the Participant, the Provider must enter the Job Plan details into </w:t>
      </w:r>
      <w:r w:rsidRPr="0098549B">
        <w:t>Department’s IT Systems</w:t>
      </w:r>
      <w:r w:rsidR="008E38DE">
        <w:t xml:space="preserve"> and</w:t>
      </w:r>
      <w:r>
        <w:t xml:space="preserve"> </w:t>
      </w:r>
      <w:r w:rsidR="000E0276">
        <w:t>provide a copy of</w:t>
      </w:r>
      <w:r w:rsidRPr="00981B12">
        <w:t xml:space="preserve"> </w:t>
      </w:r>
      <w:r>
        <w:t>the Job Plan</w:t>
      </w:r>
      <w:r w:rsidRPr="00981B12">
        <w:t xml:space="preserve"> to the Participant for their review and agreement</w:t>
      </w:r>
      <w:r w:rsidR="00AF3320">
        <w:t xml:space="preserve"> — as a soft copy on</w:t>
      </w:r>
      <w:r w:rsidR="00E82A3C">
        <w:t xml:space="preserve"> their Workforce Australia account</w:t>
      </w:r>
      <w:r w:rsidR="00095E94">
        <w:t xml:space="preserve"> </w:t>
      </w:r>
      <w:r w:rsidR="002B51BD">
        <w:t>and/</w:t>
      </w:r>
      <w:r w:rsidR="00095E94">
        <w:t xml:space="preserve">or a </w:t>
      </w:r>
      <w:r w:rsidR="004D7665">
        <w:t>hard copy</w:t>
      </w:r>
      <w:r w:rsidR="00E37AA0">
        <w:t xml:space="preserve"> </w:t>
      </w:r>
      <w:r w:rsidR="007448DD">
        <w:t>print out</w:t>
      </w:r>
      <w:r w:rsidRPr="00981B12">
        <w:t>.</w:t>
      </w:r>
    </w:p>
    <w:p w14:paraId="1E744D52" w14:textId="683C4227" w:rsidR="00D74559" w:rsidRDefault="00B34F7D" w:rsidP="006E2EF5">
      <w:r>
        <w:t>The</w:t>
      </w:r>
      <w:r w:rsidR="00D74559" w:rsidRPr="0098549B">
        <w:t xml:space="preserve"> Provider </w:t>
      </w:r>
      <w:r w:rsidR="00D74559">
        <w:t>must</w:t>
      </w:r>
      <w:r w:rsidR="00D74559" w:rsidRPr="0098549B">
        <w:t xml:space="preserve"> </w:t>
      </w:r>
      <w:r w:rsidR="008E38DE">
        <w:t xml:space="preserve">then </w:t>
      </w:r>
      <w:r w:rsidR="00D74559" w:rsidRPr="0098549B">
        <w:t xml:space="preserve">notify </w:t>
      </w:r>
      <w:r w:rsidR="00D721DF">
        <w:t>the</w:t>
      </w:r>
      <w:r w:rsidR="00D74559" w:rsidRPr="0098549B">
        <w:t xml:space="preserve"> Participant that they must agree to their Job Plan and </w:t>
      </w:r>
      <w:r w:rsidR="00D74559">
        <w:t>explain what will happen if they do not agree.</w:t>
      </w:r>
    </w:p>
    <w:p w14:paraId="7EE7C41A" w14:textId="1F313C8A" w:rsidR="00165B82" w:rsidRPr="00981B12" w:rsidRDefault="00165B82" w:rsidP="004E120D">
      <w:pPr>
        <w:pStyle w:val="BulletLevel1"/>
      </w:pPr>
      <w:r w:rsidRPr="00CD48CE">
        <w:t xml:space="preserve">If a Participant </w:t>
      </w:r>
      <w:r>
        <w:t xml:space="preserve">(Mutual Obligation) </w:t>
      </w:r>
      <w:r w:rsidR="00CC3A7F">
        <w:t>does</w:t>
      </w:r>
      <w:r w:rsidRPr="00CD48CE">
        <w:t xml:space="preserve"> not agree to their Job Plan</w:t>
      </w:r>
      <w:r w:rsidR="00391575">
        <w:t>, without a Valid Reason</w:t>
      </w:r>
      <w:r w:rsidRPr="00CD48CE">
        <w:t xml:space="preserve">, they will be notified that their </w:t>
      </w:r>
      <w:r w:rsidR="00CC3A7F">
        <w:t>Income Support P</w:t>
      </w:r>
      <w:r w:rsidRPr="00CD48CE">
        <w:t>ayment will be suspended in 5 Business Days if they do not agree to their Job Plan</w:t>
      </w:r>
      <w:r w:rsidR="00EB5D2C">
        <w:t>.</w:t>
      </w:r>
    </w:p>
    <w:p w14:paraId="71F7A423" w14:textId="3C4040D2" w:rsidR="00165B82" w:rsidRDefault="00EB5D2C" w:rsidP="004E120D">
      <w:pPr>
        <w:pStyle w:val="BulletLevel1"/>
      </w:pPr>
      <w:r>
        <w:t xml:space="preserve">If a DSP Recipient (Compulsory Requirements) </w:t>
      </w:r>
      <w:r w:rsidR="00707ED4">
        <w:t>does</w:t>
      </w:r>
      <w:r w:rsidRPr="00CD48CE">
        <w:t xml:space="preserve"> not agree to their Job Plan,</w:t>
      </w:r>
      <w:r w:rsidR="00707ED4">
        <w:t xml:space="preserve"> without a </w:t>
      </w:r>
      <w:r w:rsidR="00763572">
        <w:t>R</w:t>
      </w:r>
      <w:r w:rsidR="00707ED4">
        <w:t xml:space="preserve">easonable </w:t>
      </w:r>
      <w:r w:rsidR="00763572">
        <w:t>E</w:t>
      </w:r>
      <w:r w:rsidR="00707ED4">
        <w:t>xcuse,</w:t>
      </w:r>
      <w:r>
        <w:t xml:space="preserve"> </w:t>
      </w:r>
      <w:r w:rsidR="00707ED4">
        <w:t>their</w:t>
      </w:r>
      <w:r>
        <w:t xml:space="preserve"> </w:t>
      </w:r>
      <w:r w:rsidR="00CC3A7F">
        <w:t>non-compliance will be reported to Services Australia</w:t>
      </w:r>
      <w:r w:rsidR="00707ED4">
        <w:t>.</w:t>
      </w:r>
    </w:p>
    <w:p w14:paraId="4D49A274" w14:textId="7B070D35" w:rsidR="0012575E" w:rsidRDefault="00E84DDE" w:rsidP="004E120D">
      <w:pPr>
        <w:pStyle w:val="BulletLevel1"/>
      </w:pPr>
      <w:r>
        <w:t>If a Participant (Voluntary) does not agree to their Job Plan, they cannot be Commenced in Services</w:t>
      </w:r>
      <w:r w:rsidR="00ED5A99">
        <w:t xml:space="preserve"> and as a result must be Suspended or Exited.</w:t>
      </w:r>
    </w:p>
    <w:p w14:paraId="1ACBDA63" w14:textId="38C4CB88" w:rsidR="00496B7C" w:rsidRDefault="00496B7C" w:rsidP="006E2EF5">
      <w:r w:rsidRPr="00981B12">
        <w:t>The Participant can agree to their Job Plan online</w:t>
      </w:r>
      <w:r>
        <w:t>, by signed the hard copy provided or by stating they agree during a phone call or videoconference</w:t>
      </w:r>
      <w:r w:rsidR="005848B6">
        <w:t xml:space="preserve"> (see Sections below).</w:t>
      </w:r>
    </w:p>
    <w:p w14:paraId="6EC6F297" w14:textId="658696DC" w:rsidR="00D74559" w:rsidRDefault="00D74559" w:rsidP="006E2EF5">
      <w:r>
        <w:t xml:space="preserve">Further information on the </w:t>
      </w:r>
      <w:r w:rsidR="0069162A">
        <w:t>compliance actions for</w:t>
      </w:r>
      <w:r>
        <w:t xml:space="preserve"> not agreeing to the Job Plan </w:t>
      </w:r>
      <w:r w:rsidR="00290B6E">
        <w:t xml:space="preserve">as part of </w:t>
      </w:r>
      <w:r w:rsidR="009F4143">
        <w:t xml:space="preserve">meeting </w:t>
      </w:r>
      <w:r w:rsidR="00290B6E">
        <w:t xml:space="preserve">participation requirements </w:t>
      </w:r>
      <w:r>
        <w:t>can be found in</w:t>
      </w:r>
      <w:r w:rsidR="00743CBC">
        <w:t xml:space="preserve"> </w:t>
      </w:r>
      <w:r w:rsidR="00743CBC">
        <w:fldChar w:fldCharType="begin"/>
      </w:r>
      <w:r w:rsidR="00743CBC">
        <w:instrText xml:space="preserve"> REF _Ref202782924 \h </w:instrText>
      </w:r>
      <w:r w:rsidR="00743CBC">
        <w:fldChar w:fldCharType="separate"/>
      </w:r>
      <w:r w:rsidR="000D75AE">
        <w:t>Chapter 12:</w:t>
      </w:r>
      <w:r w:rsidR="002E053E">
        <w:t xml:space="preserve"> </w:t>
      </w:r>
      <w:r w:rsidR="000D75AE">
        <w:t>Compliance</w:t>
      </w:r>
      <w:r w:rsidR="00743CBC">
        <w:fldChar w:fldCharType="end"/>
      </w:r>
      <w:r>
        <w:t xml:space="preserve">. </w:t>
      </w:r>
      <w:r w:rsidR="00A25660">
        <w:t>A</w:t>
      </w:r>
      <w:r>
        <w:t xml:space="preserve"> Provider </w:t>
      </w:r>
      <w:r w:rsidR="00710AD6">
        <w:t>would Suspend or</w:t>
      </w:r>
      <w:r>
        <w:t xml:space="preserve"> Exit a Participant (Voluntary) who does not agree to their Job Plan by following the guidance in</w:t>
      </w:r>
      <w:r w:rsidR="00743CBC">
        <w:t xml:space="preserve"> </w:t>
      </w:r>
      <w:r w:rsidR="00743CBC">
        <w:fldChar w:fldCharType="begin"/>
      </w:r>
      <w:r w:rsidR="00743CBC">
        <w:instrText xml:space="preserve"> REF _Ref202780811 \h </w:instrText>
      </w:r>
      <w:r w:rsidR="00743CBC">
        <w:fldChar w:fldCharType="separate"/>
      </w:r>
      <w:r w:rsidR="000D75AE" w:rsidRPr="00BA23D8">
        <w:t>Chapter3</w:t>
      </w:r>
      <w:r w:rsidR="000D75AE">
        <w:t>:</w:t>
      </w:r>
      <w:r w:rsidR="002E053E">
        <w:t xml:space="preserve"> </w:t>
      </w:r>
      <w:r w:rsidR="000D75AE" w:rsidRPr="00BA23D8">
        <w:t>Commencements, Transfers, Suspensions and Exits</w:t>
      </w:r>
      <w:r w:rsidR="00743CBC">
        <w:fldChar w:fldCharType="end"/>
      </w:r>
      <w:r w:rsidRPr="00547BF1">
        <w:t>.</w:t>
      </w:r>
    </w:p>
    <w:p w14:paraId="615586B6" w14:textId="1D8C39C8" w:rsidR="00D74559" w:rsidRPr="006118AC" w:rsidRDefault="00D74559" w:rsidP="001D0F92">
      <w:pPr>
        <w:pStyle w:val="Heading4"/>
      </w:pPr>
      <w:bookmarkStart w:id="179" w:name="_Ref202786138"/>
      <w:bookmarkStart w:id="180" w:name="_Toc202899946"/>
      <w:r w:rsidRPr="72B4EEE6">
        <w:t>4.</w:t>
      </w:r>
      <w:r w:rsidR="003866E4">
        <w:t>8</w:t>
      </w:r>
      <w:r w:rsidRPr="72B4EEE6">
        <w:t>.1</w:t>
      </w:r>
      <w:r w:rsidR="00126E9D">
        <w:tab/>
      </w:r>
      <w:r w:rsidRPr="72B4EEE6">
        <w:t>Think time</w:t>
      </w:r>
      <w:bookmarkEnd w:id="179"/>
      <w:bookmarkEnd w:id="180"/>
    </w:p>
    <w:p w14:paraId="291DD7B3" w14:textId="41207F2D" w:rsidR="00D74559" w:rsidRDefault="00D74559" w:rsidP="006E2EF5">
      <w:pPr>
        <w:spacing w:before="60" w:after="60"/>
        <w:rPr>
          <w:rFonts w:cstheme="minorHAnsi"/>
          <w:szCs w:val="22"/>
        </w:rPr>
      </w:pPr>
      <w:r>
        <w:rPr>
          <w:rFonts w:cstheme="minorHAnsi"/>
          <w:szCs w:val="22"/>
        </w:rPr>
        <w:t xml:space="preserve">Participants </w:t>
      </w:r>
      <w:r w:rsidR="005B7BC4">
        <w:rPr>
          <w:rFonts w:cstheme="minorHAnsi"/>
          <w:szCs w:val="22"/>
        </w:rPr>
        <w:t xml:space="preserve">(Mutual Obligations) and </w:t>
      </w:r>
      <w:r w:rsidR="005B7BC4">
        <w:t>Recipient (Compulsory Requirements</w:t>
      </w:r>
      <w:r w:rsidR="005B7BC4">
        <w:rPr>
          <w:rFonts w:cstheme="minorHAnsi"/>
          <w:szCs w:val="22"/>
        </w:rPr>
        <w:t xml:space="preserve">) </w:t>
      </w:r>
      <w:r>
        <w:rPr>
          <w:rFonts w:cstheme="minorHAnsi"/>
          <w:szCs w:val="22"/>
        </w:rPr>
        <w:t>have 2 Business Days think time to review</w:t>
      </w:r>
      <w:r w:rsidRPr="00DB189D">
        <w:rPr>
          <w:rFonts w:cstheme="minorHAnsi"/>
          <w:szCs w:val="22"/>
        </w:rPr>
        <w:t xml:space="preserve"> the proposed requirements</w:t>
      </w:r>
      <w:r>
        <w:rPr>
          <w:rFonts w:cstheme="minorHAnsi"/>
          <w:szCs w:val="22"/>
        </w:rPr>
        <w:t xml:space="preserve"> of the Job Plan before agreeing to the Job Plan. </w:t>
      </w:r>
      <w:r w:rsidR="00645FC8">
        <w:rPr>
          <w:rFonts w:cstheme="minorHAnsi"/>
          <w:szCs w:val="22"/>
        </w:rPr>
        <w:t xml:space="preserve">Providers should tell the </w:t>
      </w:r>
      <w:r>
        <w:rPr>
          <w:rFonts w:cstheme="minorHAnsi"/>
          <w:szCs w:val="22"/>
        </w:rPr>
        <w:t xml:space="preserve">Participants </w:t>
      </w:r>
      <w:r w:rsidR="00645FC8">
        <w:rPr>
          <w:rFonts w:cstheme="minorHAnsi"/>
          <w:szCs w:val="22"/>
        </w:rPr>
        <w:t>that they can</w:t>
      </w:r>
      <w:r>
        <w:rPr>
          <w:rFonts w:cstheme="minorHAnsi"/>
          <w:szCs w:val="22"/>
        </w:rPr>
        <w:t xml:space="preserve"> use this time to discuss their Job Plan with a third party</w:t>
      </w:r>
      <w:r w:rsidR="000824EB">
        <w:rPr>
          <w:rFonts w:cstheme="minorHAnsi"/>
          <w:szCs w:val="22"/>
        </w:rPr>
        <w:t>.</w:t>
      </w:r>
    </w:p>
    <w:p w14:paraId="6725F6FC" w14:textId="77777777" w:rsidR="00837998" w:rsidRDefault="00837998" w:rsidP="00837998">
      <w:pPr>
        <w:spacing w:before="60" w:after="60"/>
        <w:rPr>
          <w:rFonts w:cstheme="minorHAnsi"/>
          <w:szCs w:val="22"/>
        </w:rPr>
      </w:pPr>
      <w:r>
        <w:rPr>
          <w:rFonts w:cstheme="minorHAnsi"/>
          <w:szCs w:val="22"/>
        </w:rPr>
        <w:t>When a Participant is to agree to their Job Plan online, via the Workforce Australia website or Workforce Australia App, the Department’s IT Systems will automatically apply think time.</w:t>
      </w:r>
    </w:p>
    <w:p w14:paraId="3DF5AFA3" w14:textId="77566D34" w:rsidR="00576CF9" w:rsidRDefault="000B0A75" w:rsidP="00866C21">
      <w:pPr>
        <w:spacing w:before="60" w:after="60"/>
      </w:pPr>
      <w:r>
        <w:rPr>
          <w:rFonts w:cstheme="minorHAnsi"/>
          <w:szCs w:val="22"/>
        </w:rPr>
        <w:t>A Provider must offer think time</w:t>
      </w:r>
      <w:r w:rsidR="00CD2FB8">
        <w:rPr>
          <w:rFonts w:cstheme="minorHAnsi"/>
          <w:szCs w:val="22"/>
        </w:rPr>
        <w:t xml:space="preserve">, and </w:t>
      </w:r>
      <w:r w:rsidR="00387AFC">
        <w:rPr>
          <w:rFonts w:cstheme="minorHAnsi"/>
          <w:szCs w:val="22"/>
        </w:rPr>
        <w:t xml:space="preserve">then </w:t>
      </w:r>
      <w:r w:rsidR="00CD2FB8">
        <w:rPr>
          <w:rFonts w:cstheme="minorHAnsi"/>
          <w:szCs w:val="22"/>
        </w:rPr>
        <w:t>manually set think time</w:t>
      </w:r>
      <w:r w:rsidR="00F85D52">
        <w:rPr>
          <w:rFonts w:cstheme="minorHAnsi"/>
          <w:szCs w:val="22"/>
        </w:rPr>
        <w:t xml:space="preserve"> if requested</w:t>
      </w:r>
      <w:r w:rsidR="001C7095">
        <w:rPr>
          <w:rFonts w:cstheme="minorHAnsi"/>
          <w:szCs w:val="22"/>
        </w:rPr>
        <w:t xml:space="preserve"> </w:t>
      </w:r>
      <w:r w:rsidR="005023C0">
        <w:rPr>
          <w:rFonts w:cstheme="minorHAnsi"/>
          <w:szCs w:val="22"/>
        </w:rPr>
        <w:t xml:space="preserve">should </w:t>
      </w:r>
      <w:r w:rsidR="00A01AF3">
        <w:rPr>
          <w:rFonts w:cstheme="minorHAnsi"/>
          <w:szCs w:val="22"/>
        </w:rPr>
        <w:t>a</w:t>
      </w:r>
      <w:r w:rsidR="001C7095">
        <w:rPr>
          <w:rFonts w:cstheme="minorHAnsi"/>
          <w:szCs w:val="22"/>
        </w:rPr>
        <w:t xml:space="preserve"> Participant </w:t>
      </w:r>
      <w:r w:rsidR="005023C0">
        <w:rPr>
          <w:rFonts w:cstheme="minorHAnsi"/>
          <w:szCs w:val="22"/>
        </w:rPr>
        <w:t>look</w:t>
      </w:r>
      <w:r w:rsidR="001C7095">
        <w:rPr>
          <w:rFonts w:cstheme="minorHAnsi"/>
          <w:szCs w:val="22"/>
        </w:rPr>
        <w:t xml:space="preserve"> to </w:t>
      </w:r>
      <w:r w:rsidR="00B72A7D">
        <w:rPr>
          <w:rFonts w:cstheme="minorHAnsi"/>
          <w:szCs w:val="22"/>
        </w:rPr>
        <w:t>agree to their Job Plan either in person or</w:t>
      </w:r>
      <w:r w:rsidR="001C7095">
        <w:rPr>
          <w:rFonts w:cstheme="minorHAnsi"/>
          <w:szCs w:val="22"/>
        </w:rPr>
        <w:t xml:space="preserve"> </w:t>
      </w:r>
      <w:r w:rsidR="00A01AF3">
        <w:t>via a phone call or teleconference.</w:t>
      </w:r>
      <w:r w:rsidR="00866C21">
        <w:t xml:space="preserve"> T</w:t>
      </w:r>
      <w:r w:rsidR="00576CF9">
        <w:t xml:space="preserve">he </w:t>
      </w:r>
      <w:r w:rsidR="00576CF9" w:rsidRPr="5C3D7949">
        <w:t>Provider should</w:t>
      </w:r>
      <w:r w:rsidR="00866C21">
        <w:t xml:space="preserve"> then</w:t>
      </w:r>
      <w:r w:rsidR="00576CF9" w:rsidRPr="5C3D7949">
        <w:t xml:space="preserve"> book another Contact Appointment in2 Business Days</w:t>
      </w:r>
      <w:r w:rsidR="00576CF9">
        <w:t xml:space="preserve"> </w:t>
      </w:r>
      <w:r w:rsidR="00576CF9" w:rsidRPr="7F52D53F">
        <w:t>to</w:t>
      </w:r>
      <w:r w:rsidR="00576CF9" w:rsidRPr="5C3D7949">
        <w:t xml:space="preserve"> finalise agreement to the Job Plan.</w:t>
      </w:r>
    </w:p>
    <w:p w14:paraId="7F3B2EB0" w14:textId="5B6E2F35" w:rsidR="00576CF9" w:rsidRPr="00576CF9" w:rsidRDefault="00EC50C0" w:rsidP="006E2EF5">
      <w:pPr>
        <w:spacing w:before="60" w:after="60"/>
      </w:pPr>
      <w:r>
        <w:t xml:space="preserve">If a Participant wants to </w:t>
      </w:r>
      <w:r w:rsidR="00576CF9">
        <w:t>immediately agree to their Job Plan and the Provider is confident that the Participant understands the requirements in their Job Plan</w:t>
      </w:r>
      <w:r w:rsidR="00486BFA">
        <w:t>, no think time is required</w:t>
      </w:r>
      <w:r w:rsidR="00576CF9">
        <w:t>.</w:t>
      </w:r>
    </w:p>
    <w:p w14:paraId="565963D2" w14:textId="77777777" w:rsidR="00D74559" w:rsidRPr="003E2546" w:rsidRDefault="00D74559" w:rsidP="006F727E">
      <w:pPr>
        <w:pStyle w:val="SystemStep"/>
      </w:pPr>
      <w:r>
        <w:t xml:space="preserve">Participants always </w:t>
      </w:r>
      <w:r w:rsidRPr="00FB7CD7">
        <w:t xml:space="preserve">receive think time when the </w:t>
      </w:r>
      <w:r>
        <w:t>Job Plan</w:t>
      </w:r>
      <w:r w:rsidRPr="00FB7CD7">
        <w:t xml:space="preserve"> is sent </w:t>
      </w:r>
      <w:r>
        <w:t xml:space="preserve">for </w:t>
      </w:r>
      <w:r w:rsidRPr="00FB7CD7">
        <w:t>online</w:t>
      </w:r>
      <w:r>
        <w:t xml:space="preserve"> review and agreement.</w:t>
      </w:r>
    </w:p>
    <w:p w14:paraId="3E57448F" w14:textId="4627CCC9" w:rsidR="00D74559" w:rsidRPr="00F1560D" w:rsidRDefault="00D74559" w:rsidP="006F727E">
      <w:pPr>
        <w:pStyle w:val="SystemStep"/>
      </w:pPr>
      <w:r w:rsidRPr="00FB7CD7">
        <w:rPr>
          <w:rFonts w:eastAsia="Times New Roman"/>
          <w:lang w:eastAsia="en-AU"/>
        </w:rPr>
        <w:t xml:space="preserve">If a </w:t>
      </w:r>
      <w:r>
        <w:rPr>
          <w:rFonts w:eastAsia="Times New Roman"/>
          <w:lang w:eastAsia="en-AU"/>
        </w:rPr>
        <w:t>P</w:t>
      </w:r>
      <w:r w:rsidRPr="00FB7CD7">
        <w:t>articipant</w:t>
      </w:r>
      <w:r w:rsidRPr="00FB7CD7">
        <w:rPr>
          <w:rFonts w:eastAsia="Times New Roman"/>
          <w:lang w:eastAsia="en-AU"/>
        </w:rPr>
        <w:t xml:space="preserve"> </w:t>
      </w:r>
      <w:r>
        <w:rPr>
          <w:rFonts w:eastAsia="Times New Roman"/>
          <w:lang w:eastAsia="en-AU"/>
        </w:rPr>
        <w:t xml:space="preserve">is to agree to their </w:t>
      </w:r>
      <w:r>
        <w:t xml:space="preserve">Job Plan either </w:t>
      </w:r>
      <w:r w:rsidR="009E0DD4">
        <w:t xml:space="preserve">via a signed </w:t>
      </w:r>
      <w:r w:rsidR="004D7665">
        <w:t>hard copy</w:t>
      </w:r>
      <w:r>
        <w:t xml:space="preserve"> or </w:t>
      </w:r>
      <w:r w:rsidR="009E0DD4">
        <w:t>verbally</w:t>
      </w:r>
      <w:r>
        <w:t xml:space="preserve"> and</w:t>
      </w:r>
      <w:r>
        <w:rPr>
          <w:rFonts w:eastAsia="Times New Roman"/>
          <w:lang w:eastAsia="en-AU"/>
        </w:rPr>
        <w:t xml:space="preserve"> </w:t>
      </w:r>
      <w:r w:rsidRPr="00FB7CD7">
        <w:rPr>
          <w:rFonts w:eastAsia="Times New Roman"/>
          <w:lang w:eastAsia="en-AU"/>
        </w:rPr>
        <w:t xml:space="preserve">asks for time to consider the </w:t>
      </w:r>
      <w:r>
        <w:rPr>
          <w:rFonts w:eastAsia="Times New Roman"/>
          <w:lang w:eastAsia="en-AU"/>
        </w:rPr>
        <w:t>Job Plan, the Provider must</w:t>
      </w:r>
      <w:r w:rsidR="004F6E2E">
        <w:rPr>
          <w:rFonts w:eastAsia="Times New Roman"/>
          <w:lang w:eastAsia="en-AU"/>
        </w:rPr>
        <w:t xml:space="preserve"> manually</w:t>
      </w:r>
      <w:r>
        <w:rPr>
          <w:rFonts w:eastAsia="Times New Roman"/>
          <w:lang w:eastAsia="en-AU"/>
        </w:rPr>
        <w:t xml:space="preserve"> ‘</w:t>
      </w:r>
      <w:r w:rsidRPr="00AD5495">
        <w:rPr>
          <w:lang w:val="en-US" w:eastAsia="zh-CN"/>
        </w:rPr>
        <w:t xml:space="preserve">Set </w:t>
      </w:r>
      <w:r>
        <w:rPr>
          <w:lang w:val="en-US" w:eastAsia="zh-CN"/>
        </w:rPr>
        <w:t>think time</w:t>
      </w:r>
      <w:r w:rsidRPr="00AD5495">
        <w:rPr>
          <w:lang w:val="en-US" w:eastAsia="zh-CN"/>
        </w:rPr>
        <w:t xml:space="preserve">’ in </w:t>
      </w:r>
      <w:r>
        <w:rPr>
          <w:lang w:val="en-US" w:eastAsia="zh-CN"/>
        </w:rPr>
        <w:t>the Department’s IT Systems.</w:t>
      </w:r>
    </w:p>
    <w:p w14:paraId="5C376D81" w14:textId="358A3515" w:rsidR="00954F81" w:rsidRDefault="00954F81" w:rsidP="00954F81">
      <w:pPr>
        <w:spacing w:before="60" w:after="60"/>
        <w:rPr>
          <w:rFonts w:cstheme="minorHAnsi"/>
          <w:szCs w:val="22"/>
        </w:rPr>
      </w:pPr>
      <w:r w:rsidRPr="00954F81">
        <w:rPr>
          <w:rFonts w:cstheme="minorHAnsi"/>
          <w:b/>
          <w:bCs/>
          <w:szCs w:val="22"/>
        </w:rPr>
        <w:t>Note:</w:t>
      </w:r>
      <w:r>
        <w:rPr>
          <w:rFonts w:cstheme="minorHAnsi"/>
          <w:szCs w:val="22"/>
        </w:rPr>
        <w:t xml:space="preserve"> Participants (Voluntary) do not have a to agree by a set date, and a Provider does not need to set think time.</w:t>
      </w:r>
    </w:p>
    <w:p w14:paraId="34EDF08D" w14:textId="14332E62" w:rsidR="00D74559" w:rsidRDefault="00D74559" w:rsidP="001D0F92">
      <w:pPr>
        <w:pStyle w:val="Heading4"/>
      </w:pPr>
      <w:bookmarkStart w:id="181" w:name="_Toc202899947"/>
      <w:r w:rsidRPr="72B4EEE6">
        <w:t>4.</w:t>
      </w:r>
      <w:r w:rsidR="003866E4">
        <w:t>8</w:t>
      </w:r>
      <w:r w:rsidRPr="72B4EEE6">
        <w:t>.2</w:t>
      </w:r>
      <w:r w:rsidR="00126E9D">
        <w:tab/>
      </w:r>
      <w:r w:rsidRPr="72B4EEE6">
        <w:t>Participants agreeing to the Job Plan online</w:t>
      </w:r>
      <w:bookmarkEnd w:id="181"/>
    </w:p>
    <w:p w14:paraId="27321975" w14:textId="0F59216B" w:rsidR="00D74559" w:rsidRPr="00981B12" w:rsidRDefault="00D74559" w:rsidP="006E2EF5">
      <w:r w:rsidRPr="0098549B">
        <w:t xml:space="preserve">Providers can send a Job Plan to the Participant to review and agree to online by sending it to their </w:t>
      </w:r>
      <w:r w:rsidRPr="00981B12">
        <w:t xml:space="preserve">homepage through the Workforce Australia website or Workforce Australia </w:t>
      </w:r>
      <w:r w:rsidR="001058C6">
        <w:t>a</w:t>
      </w:r>
      <w:r w:rsidRPr="00981B12">
        <w:t xml:space="preserve">pp. </w:t>
      </w:r>
    </w:p>
    <w:p w14:paraId="480754E0" w14:textId="1AD514FF" w:rsidR="00D74559" w:rsidRDefault="00D74559" w:rsidP="006E2EF5">
      <w:r w:rsidRPr="0098549B">
        <w:t xml:space="preserve">The Provider </w:t>
      </w:r>
      <w:r>
        <w:t>must</w:t>
      </w:r>
      <w:r w:rsidRPr="0098549B">
        <w:t xml:space="preserve"> inform the Participant </w:t>
      </w:r>
      <w:r w:rsidRPr="00981B12">
        <w:t xml:space="preserve">that the Job Plan has been sent to their </w:t>
      </w:r>
      <w:r w:rsidR="001058C6">
        <w:t xml:space="preserve">Workforce Australia </w:t>
      </w:r>
      <w:r w:rsidRPr="00981B12">
        <w:t xml:space="preserve">homepage for agreement. The 2 Business Days of think time will </w:t>
      </w:r>
      <w:r>
        <w:t>start</w:t>
      </w:r>
      <w:r w:rsidRPr="00981B12">
        <w:t xml:space="preserve"> at this point.</w:t>
      </w:r>
      <w:r>
        <w:t xml:space="preserve"> </w:t>
      </w:r>
    </w:p>
    <w:p w14:paraId="697C7BFA" w14:textId="68926813" w:rsidR="00664298" w:rsidRPr="00981B12" w:rsidRDefault="002624D1" w:rsidP="006E2EF5">
      <w:r>
        <w:t xml:space="preserve">The Provider must always read the </w:t>
      </w:r>
      <w:r w:rsidR="00C56E6D">
        <w:t xml:space="preserve">notification </w:t>
      </w:r>
      <w:r w:rsidR="00664298" w:rsidRPr="00981B12">
        <w:t>script</w:t>
      </w:r>
      <w:r w:rsidR="00C56E6D">
        <w:t>s</w:t>
      </w:r>
      <w:r w:rsidR="00664298" w:rsidRPr="00981B12">
        <w:t xml:space="preserve"> </w:t>
      </w:r>
      <w:r w:rsidR="00D65503">
        <w:t>in</w:t>
      </w:r>
      <w:r w:rsidR="00664298" w:rsidRPr="00981B12">
        <w:t xml:space="preserve"> the Department’s IT Systems</w:t>
      </w:r>
      <w:r w:rsidR="00D65503">
        <w:t xml:space="preserve">. </w:t>
      </w:r>
      <w:r w:rsidR="00000B95">
        <w:t>I</w:t>
      </w:r>
      <w:r w:rsidR="00664298">
        <w:t>t is</w:t>
      </w:r>
      <w:r w:rsidR="00244D8B">
        <w:t xml:space="preserve"> </w:t>
      </w:r>
      <w:r w:rsidR="00664298">
        <w:t>best practice to also send an email notification to the Participant.</w:t>
      </w:r>
    </w:p>
    <w:p w14:paraId="5C4FF821" w14:textId="2431815A" w:rsidR="00D74559" w:rsidRPr="00981B12" w:rsidRDefault="00D74559" w:rsidP="006E2EF5">
      <w:r w:rsidRPr="0098549B">
        <w:t>When the Participant agrees to the Job Plan, the Job Plan status will automatically be set to ‘approved’ in the Department’s IT Systems.</w:t>
      </w:r>
    </w:p>
    <w:p w14:paraId="02EEF344" w14:textId="7B19B13E" w:rsidR="00D74559" w:rsidRPr="00B260B6" w:rsidRDefault="00D74559" w:rsidP="006E2EF5">
      <w:r>
        <w:t xml:space="preserve">If a Participant cannot agree to a Job Plan online because they live in an area with unreliable connectivity or other similar reasons, the Provider </w:t>
      </w:r>
      <w:r w:rsidR="00DC205A">
        <w:t>needs to</w:t>
      </w:r>
      <w:r>
        <w:t xml:space="preserve"> inform the Participant that they must </w:t>
      </w:r>
      <w:r w:rsidR="00DC205A">
        <w:t xml:space="preserve">instead </w:t>
      </w:r>
      <w:r>
        <w:t xml:space="preserve">agree to the Job Plan </w:t>
      </w:r>
      <w:r w:rsidR="00924BF0">
        <w:t xml:space="preserve">via a signed </w:t>
      </w:r>
      <w:r w:rsidR="004D7665">
        <w:t>hard copy</w:t>
      </w:r>
      <w:r w:rsidR="00924BF0">
        <w:t xml:space="preserve"> or verbally</w:t>
      </w:r>
      <w:r>
        <w:t>.</w:t>
      </w:r>
    </w:p>
    <w:p w14:paraId="23F7330C" w14:textId="6D5ECB91" w:rsidR="00D74559" w:rsidRPr="006118AC" w:rsidRDefault="00D74559" w:rsidP="001D0F92">
      <w:pPr>
        <w:pStyle w:val="Heading4"/>
      </w:pPr>
      <w:bookmarkStart w:id="182" w:name="_Toc202899948"/>
      <w:r w:rsidRPr="72B4EEE6">
        <w:t>4.</w:t>
      </w:r>
      <w:r w:rsidR="00780171">
        <w:t>8</w:t>
      </w:r>
      <w:r w:rsidRPr="72B4EEE6">
        <w:t>.3</w:t>
      </w:r>
      <w:r w:rsidR="00126E9D">
        <w:tab/>
      </w:r>
      <w:r w:rsidRPr="72B4EEE6">
        <w:t xml:space="preserve">Participants agreeing to the Job Plan </w:t>
      </w:r>
      <w:r w:rsidR="00EE528D">
        <w:t>via</w:t>
      </w:r>
      <w:r w:rsidR="002E795E">
        <w:t xml:space="preserve"> signed copy or verbally</w:t>
      </w:r>
      <w:bookmarkEnd w:id="182"/>
    </w:p>
    <w:p w14:paraId="5D6E27CE" w14:textId="3286FD0D" w:rsidR="00D74559" w:rsidRDefault="00D74559" w:rsidP="006E2EF5">
      <w:r>
        <w:t xml:space="preserve">Job Plans can be agreed to by the Participant in person or </w:t>
      </w:r>
      <w:r w:rsidR="00302BED">
        <w:t xml:space="preserve">during a </w:t>
      </w:r>
      <w:r w:rsidR="00D9789A">
        <w:t>phone</w:t>
      </w:r>
      <w:r w:rsidR="00D70392">
        <w:t xml:space="preserve"> or videoconferencing</w:t>
      </w:r>
      <w:r>
        <w:t xml:space="preserve"> </w:t>
      </w:r>
      <w:r w:rsidR="00302BED">
        <w:t>conversation</w:t>
      </w:r>
      <w:r>
        <w:t xml:space="preserve">, </w:t>
      </w:r>
      <w:r w:rsidR="00AD3546">
        <w:t>including when the</w:t>
      </w:r>
      <w:r>
        <w:t xml:space="preserve"> Participant does not have a </w:t>
      </w:r>
      <w:r w:rsidR="004E13D3">
        <w:t>Workforce Australia</w:t>
      </w:r>
      <w:r>
        <w:t xml:space="preserve"> account.</w:t>
      </w:r>
    </w:p>
    <w:p w14:paraId="5E36C08B" w14:textId="54A84C4B" w:rsidR="0095319C" w:rsidRDefault="00D74559" w:rsidP="00D02175">
      <w:pPr>
        <w:spacing w:before="60" w:after="60"/>
      </w:pPr>
      <w:r>
        <w:t>When</w:t>
      </w:r>
      <w:r w:rsidRPr="0047220F">
        <w:t xml:space="preserve"> approving in person, the Provider </w:t>
      </w:r>
      <w:r w:rsidR="00250964">
        <w:t>should</w:t>
      </w:r>
      <w:r w:rsidRPr="0047220F">
        <w:t xml:space="preserve"> print out </w:t>
      </w:r>
      <w:r>
        <w:t xml:space="preserve">a </w:t>
      </w:r>
      <w:r w:rsidR="004D7665">
        <w:t>hard copy</w:t>
      </w:r>
      <w:r>
        <w:t xml:space="preserve"> of the Job Plan</w:t>
      </w:r>
      <w:r w:rsidRPr="0047220F">
        <w:t xml:space="preserve"> for the Participant to read</w:t>
      </w:r>
      <w:r w:rsidR="00E82A3C">
        <w:t xml:space="preserve"> and sign</w:t>
      </w:r>
      <w:r w:rsidRPr="0047220F">
        <w:t>.</w:t>
      </w:r>
      <w:r w:rsidR="00D02175">
        <w:t xml:space="preserve"> </w:t>
      </w:r>
      <w:r>
        <w:t>When</w:t>
      </w:r>
      <w:r w:rsidRPr="0047220F">
        <w:t xml:space="preserve"> approving </w:t>
      </w:r>
      <w:r w:rsidR="00A20E6E">
        <w:t xml:space="preserve">during a </w:t>
      </w:r>
      <w:r w:rsidR="00D9789A">
        <w:t>phone</w:t>
      </w:r>
      <w:r w:rsidR="00A20E6E">
        <w:t xml:space="preserve"> call or videoconference</w:t>
      </w:r>
      <w:r w:rsidRPr="0047220F">
        <w:t>, the Provider must</w:t>
      </w:r>
      <w:r>
        <w:t xml:space="preserve"> read out the Job Plan requirements to </w:t>
      </w:r>
      <w:r w:rsidRPr="0047220F">
        <w:t>the Participant</w:t>
      </w:r>
      <w:r w:rsidR="00A83127">
        <w:t xml:space="preserve"> and</w:t>
      </w:r>
      <w:r w:rsidR="00D13514">
        <w:t xml:space="preserve"> </w:t>
      </w:r>
      <w:r w:rsidR="00A83127">
        <w:t>t</w:t>
      </w:r>
      <w:r w:rsidR="0095319C">
        <w:t>he Participant must clearly state their agreement to their Job Plan.</w:t>
      </w:r>
    </w:p>
    <w:p w14:paraId="6FDC6FBD" w14:textId="5783B15C" w:rsidR="00373F60" w:rsidRDefault="00D13514" w:rsidP="00D02175">
      <w:pPr>
        <w:spacing w:before="60" w:after="60"/>
      </w:pPr>
      <w:r>
        <w:t xml:space="preserve">The Provider must always read </w:t>
      </w:r>
      <w:r w:rsidR="00A20E6E">
        <w:t>out</w:t>
      </w:r>
      <w:r>
        <w:t xml:space="preserve"> the notification scripts in the Department’s IT Systems.</w:t>
      </w:r>
    </w:p>
    <w:p w14:paraId="40666116" w14:textId="5FB0A492" w:rsidR="00D74559" w:rsidRDefault="00D74559" w:rsidP="006E2EF5">
      <w:r w:rsidRPr="0047220F">
        <w:t>The</w:t>
      </w:r>
      <w:r>
        <w:t xml:space="preserve"> Provider can</w:t>
      </w:r>
      <w:r w:rsidRPr="0047220F">
        <w:t xml:space="preserve"> finalise</w:t>
      </w:r>
      <w:r>
        <w:t xml:space="preserve"> and </w:t>
      </w:r>
      <w:r w:rsidRPr="0047220F">
        <w:t>approve</w:t>
      </w:r>
      <w:r>
        <w:t xml:space="preserve"> the Job Plan in the Department’s IT Systems</w:t>
      </w:r>
      <w:r w:rsidRPr="0047220F">
        <w:t xml:space="preserve"> by confirming</w:t>
      </w:r>
      <w:r>
        <w:t xml:space="preserve"> the Participant </w:t>
      </w:r>
      <w:r w:rsidRPr="0047220F">
        <w:t xml:space="preserve">has read, </w:t>
      </w:r>
      <w:r>
        <w:t>understood,</w:t>
      </w:r>
      <w:r w:rsidRPr="0047220F">
        <w:t xml:space="preserve"> and agreed to the Job Plan and the date </w:t>
      </w:r>
      <w:r w:rsidR="00C451B8">
        <w:t xml:space="preserve">it </w:t>
      </w:r>
      <w:r w:rsidRPr="0047220F">
        <w:t>was agreed.</w:t>
      </w:r>
    </w:p>
    <w:p w14:paraId="58E1C01C" w14:textId="0036FD12" w:rsidR="007E64B7" w:rsidRDefault="007E64B7" w:rsidP="006E2EF5">
      <w:r w:rsidRPr="1FF5C044">
        <w:rPr>
          <w:rFonts w:ascii="Tahoma" w:hAnsi="Tahoma" w:cs="Tahoma"/>
          <w:lang w:eastAsia="en-AU"/>
        </w:rPr>
        <w:t xml:space="preserve">Once the Job Plan </w:t>
      </w:r>
      <w:r w:rsidR="00E82A3C" w:rsidRPr="1FF5C044">
        <w:rPr>
          <w:rFonts w:ascii="Tahoma" w:hAnsi="Tahoma" w:cs="Tahoma"/>
          <w:lang w:eastAsia="en-AU"/>
        </w:rPr>
        <w:t xml:space="preserve">is </w:t>
      </w:r>
      <w:r w:rsidRPr="1FF5C044">
        <w:rPr>
          <w:rFonts w:ascii="Tahoma" w:hAnsi="Tahoma" w:cs="Tahoma"/>
          <w:lang w:eastAsia="en-AU"/>
        </w:rPr>
        <w:t>approved in the Department’s IT System</w:t>
      </w:r>
      <w:r w:rsidR="2FF0BDF9" w:rsidRPr="1FF5C044">
        <w:rPr>
          <w:rFonts w:ascii="Tahoma" w:hAnsi="Tahoma" w:cs="Tahoma"/>
          <w:lang w:eastAsia="en-AU"/>
        </w:rPr>
        <w:t>s</w:t>
      </w:r>
      <w:r w:rsidRPr="1FF5C044">
        <w:rPr>
          <w:rFonts w:ascii="Tahoma" w:hAnsi="Tahoma" w:cs="Tahoma"/>
          <w:lang w:eastAsia="en-AU"/>
        </w:rPr>
        <w:t xml:space="preserve">, the Participant must be given </w:t>
      </w:r>
      <w:r w:rsidR="000E36D8">
        <w:rPr>
          <w:rFonts w:ascii="Tahoma" w:hAnsi="Tahoma" w:cs="Tahoma"/>
          <w:lang w:eastAsia="en-AU"/>
        </w:rPr>
        <w:t>the</w:t>
      </w:r>
      <w:r w:rsidRPr="1FF5C044">
        <w:rPr>
          <w:rFonts w:ascii="Tahoma" w:hAnsi="Tahoma" w:cs="Tahoma"/>
          <w:lang w:eastAsia="en-AU"/>
        </w:rPr>
        <w:t xml:space="preserve"> signed </w:t>
      </w:r>
      <w:r w:rsidR="004D7665">
        <w:rPr>
          <w:rFonts w:ascii="Tahoma" w:hAnsi="Tahoma" w:cs="Tahoma"/>
          <w:lang w:eastAsia="en-AU"/>
        </w:rPr>
        <w:t>hard copy</w:t>
      </w:r>
      <w:r w:rsidR="000E36D8">
        <w:rPr>
          <w:rFonts w:ascii="Tahoma" w:hAnsi="Tahoma" w:cs="Tahoma"/>
          <w:lang w:eastAsia="en-AU"/>
        </w:rPr>
        <w:t>, if one was provided</w:t>
      </w:r>
      <w:r w:rsidR="00E82A3C" w:rsidRPr="1FF5C044">
        <w:rPr>
          <w:rFonts w:ascii="Tahoma" w:hAnsi="Tahoma" w:cs="Tahoma"/>
          <w:lang w:eastAsia="en-AU"/>
        </w:rPr>
        <w:t>.</w:t>
      </w:r>
      <w:r>
        <w:t xml:space="preserve"> </w:t>
      </w:r>
    </w:p>
    <w:p w14:paraId="32A7636F" w14:textId="44776D94" w:rsidR="00D74559" w:rsidRPr="005F323A" w:rsidRDefault="00D74559" w:rsidP="006F727E">
      <w:pPr>
        <w:pStyle w:val="SystemStep"/>
      </w:pPr>
      <w:r>
        <w:t>T</w:t>
      </w:r>
      <w:r w:rsidRPr="2190AEAE">
        <w:t xml:space="preserve">he Provider must </w:t>
      </w:r>
      <w:bookmarkStart w:id="183" w:name="_Int_16FLDeYr"/>
      <w:r w:rsidRPr="2190AEAE">
        <w:t>enter into</w:t>
      </w:r>
      <w:bookmarkEnd w:id="183"/>
      <w:r w:rsidRPr="2190AEAE">
        <w:t xml:space="preserve"> the Department's IT System</w:t>
      </w:r>
      <w:r w:rsidR="00EA2F96">
        <w:t>s</w:t>
      </w:r>
      <w:r w:rsidRPr="2190AEAE">
        <w:t xml:space="preserve"> the date the Job Plan was </w:t>
      </w:r>
      <w:r>
        <w:t xml:space="preserve">agreed </w:t>
      </w:r>
      <w:r w:rsidRPr="2190AEAE">
        <w:t>and that the Job Plan has been approved.</w:t>
      </w:r>
    </w:p>
    <w:p w14:paraId="3E7A4CBE" w14:textId="4AE88AD9" w:rsidR="00EE690E" w:rsidRPr="005F323A" w:rsidRDefault="00EE690E" w:rsidP="00EE690E">
      <w:pPr>
        <w:pStyle w:val="DocumentaryEvidenceRequirement"/>
      </w:pPr>
      <w:r>
        <w:t xml:space="preserve">Providers must retain </w:t>
      </w:r>
      <w:r w:rsidR="00784B92">
        <w:t>a copy of the signed Job Plan.</w:t>
      </w:r>
    </w:p>
    <w:p w14:paraId="5A9E5604" w14:textId="015977FD" w:rsidR="00D74559" w:rsidRDefault="00D74559" w:rsidP="006E2EF5">
      <w:r>
        <w:t>Once</w:t>
      </w:r>
      <w:r w:rsidRPr="0098549B">
        <w:t xml:space="preserve"> the Job Plan has been </w:t>
      </w:r>
      <w:r>
        <w:t xml:space="preserve">agreed and </w:t>
      </w:r>
      <w:r w:rsidRPr="0098549B">
        <w:t xml:space="preserve">approved in the Department’s IT Systems, the Participant will be able to access it from their </w:t>
      </w:r>
      <w:r w:rsidR="00E82A3C">
        <w:t xml:space="preserve">Workforce Australia </w:t>
      </w:r>
      <w:r>
        <w:t>homepage</w:t>
      </w:r>
      <w:r w:rsidRPr="0098549B">
        <w:t>.</w:t>
      </w:r>
    </w:p>
    <w:p w14:paraId="2A400157" w14:textId="16A655ED" w:rsidR="00784B92" w:rsidRDefault="00784B92" w:rsidP="00784B92">
      <w:pPr>
        <w:pStyle w:val="DeedReferences"/>
      </w:pPr>
      <w:r>
        <w:t xml:space="preserve">(Deed Reference(s): Clause </w:t>
      </w:r>
      <w:r w:rsidR="002E5509">
        <w:t>134.17, 134.18</w:t>
      </w:r>
      <w:r>
        <w:t>)</w:t>
      </w:r>
    </w:p>
    <w:p w14:paraId="0756B63E" w14:textId="02E94879" w:rsidR="00D74559" w:rsidRPr="00D0366B" w:rsidRDefault="00D74559" w:rsidP="001D0F92">
      <w:pPr>
        <w:pStyle w:val="Heading3"/>
        <w:rPr>
          <w:rStyle w:val="Heading2Char1"/>
          <w:i w:val="0"/>
        </w:rPr>
      </w:pPr>
      <w:bookmarkStart w:id="184" w:name="_Ref202791253"/>
      <w:bookmarkStart w:id="185" w:name="_Ref202883414"/>
      <w:bookmarkStart w:id="186" w:name="_Toc202899949"/>
      <w:r>
        <w:t>4.</w:t>
      </w:r>
      <w:r w:rsidR="000D6B3B">
        <w:t>9</w:t>
      </w:r>
      <w:r w:rsidR="00126E9D">
        <w:tab/>
      </w:r>
      <w:r>
        <w:t>Updating a Job Plan</w:t>
      </w:r>
      <w:bookmarkEnd w:id="184"/>
      <w:bookmarkEnd w:id="185"/>
      <w:bookmarkEnd w:id="186"/>
    </w:p>
    <w:p w14:paraId="33DEF773" w14:textId="2C55CC86" w:rsidR="00D74559" w:rsidRDefault="00D74559" w:rsidP="006E2EF5">
      <w:r>
        <w:t xml:space="preserve">A Participant’s Job Plan should be </w:t>
      </w:r>
      <w:r w:rsidRPr="00C70AB8">
        <w:t xml:space="preserve">updated as </w:t>
      </w:r>
      <w:r>
        <w:t>needed</w:t>
      </w:r>
      <w:r w:rsidRPr="00C70AB8">
        <w:t xml:space="preserve">, noting that a Provider must ensure that each </w:t>
      </w:r>
      <w:r>
        <w:t>Participant</w:t>
      </w:r>
      <w:r w:rsidRPr="00C70AB8">
        <w:t xml:space="preserve"> </w:t>
      </w:r>
      <w:r>
        <w:t xml:space="preserve">always </w:t>
      </w:r>
      <w:r w:rsidRPr="00C70AB8">
        <w:t>has a current Job Plan</w:t>
      </w:r>
      <w:r>
        <w:t>.</w:t>
      </w:r>
    </w:p>
    <w:p w14:paraId="477FEF36" w14:textId="5D2BC7B2" w:rsidR="007D413A" w:rsidRDefault="007D413A" w:rsidP="006E2EF5">
      <w:r>
        <w:t xml:space="preserve">For the purposes of these Guidelines, </w:t>
      </w:r>
      <w:r w:rsidR="00386B1B">
        <w:t xml:space="preserve">and as noted in </w:t>
      </w:r>
      <w:r>
        <w:t xml:space="preserve">the </w:t>
      </w:r>
      <w:r w:rsidR="00386B1B">
        <w:t>Deed,</w:t>
      </w:r>
      <w:r>
        <w:t xml:space="preserve"> </w:t>
      </w:r>
      <w:r w:rsidR="001A1B7D">
        <w:t xml:space="preserve">changing </w:t>
      </w:r>
      <w:r w:rsidR="001137A3">
        <w:t>between Job Plan types or</w:t>
      </w:r>
      <w:r w:rsidR="002E3CF0">
        <w:t xml:space="preserve"> </w:t>
      </w:r>
      <w:r w:rsidR="001137A3">
        <w:t>between a compellable and voluntary Job Plan is not considered an update</w:t>
      </w:r>
      <w:r w:rsidR="001A1B7D">
        <w:t>,</w:t>
      </w:r>
      <w:r w:rsidR="0022474A">
        <w:t xml:space="preserve"> but rather the creation of a new Job Plan</w:t>
      </w:r>
      <w:r w:rsidR="00952EC0">
        <w:t>.</w:t>
      </w:r>
      <w:r w:rsidR="00A71FA5">
        <w:t xml:space="preserve"> </w:t>
      </w:r>
      <w:r w:rsidR="00E05E12">
        <w:t xml:space="preserve">Refer to </w:t>
      </w:r>
      <w:r w:rsidR="00743CBC">
        <w:rPr>
          <w:highlight w:val="yellow"/>
        </w:rPr>
        <w:fldChar w:fldCharType="begin"/>
      </w:r>
      <w:r w:rsidR="00743CBC">
        <w:instrText xml:space="preserve"> REF _Ref202785211 \h </w:instrText>
      </w:r>
      <w:r w:rsidR="00743CBC">
        <w:rPr>
          <w:highlight w:val="yellow"/>
        </w:rPr>
      </w:r>
      <w:r w:rsidR="00743CBC">
        <w:rPr>
          <w:highlight w:val="yellow"/>
        </w:rPr>
        <w:fldChar w:fldCharType="separate"/>
      </w:r>
      <w:r w:rsidR="000D75AE">
        <w:t>4.4</w:t>
      </w:r>
      <w:r w:rsidR="00A31574">
        <w:t xml:space="preserve"> </w:t>
      </w:r>
      <w:r w:rsidR="000D75AE">
        <w:t>Entering into a Job Plan</w:t>
      </w:r>
      <w:r w:rsidR="00743CBC">
        <w:rPr>
          <w:highlight w:val="yellow"/>
        </w:rPr>
        <w:fldChar w:fldCharType="end"/>
      </w:r>
      <w:r w:rsidR="00743CBC">
        <w:t xml:space="preserve"> </w:t>
      </w:r>
      <w:r w:rsidR="00E05E12">
        <w:t>for</w:t>
      </w:r>
      <w:r w:rsidR="001137A3">
        <w:t xml:space="preserve"> relevant information </w:t>
      </w:r>
      <w:r w:rsidR="00E05E12">
        <w:t xml:space="preserve">on </w:t>
      </w:r>
      <w:r w:rsidR="00F23CB6">
        <w:t xml:space="preserve">this. </w:t>
      </w:r>
    </w:p>
    <w:p w14:paraId="0BC7C049" w14:textId="575F53D6" w:rsidR="00D74559" w:rsidRDefault="00D74559" w:rsidP="006E2EF5">
      <w:r w:rsidRPr="00AB11A4">
        <w:rPr>
          <w:b/>
          <w:bCs/>
        </w:rPr>
        <w:t>Note:</w:t>
      </w:r>
      <w:r>
        <w:t xml:space="preserve"> A</w:t>
      </w:r>
      <w:r w:rsidRPr="00AB11A4">
        <w:t xml:space="preserve"> Job Plan can only be updated if there is no compliance outstanding. If </w:t>
      </w:r>
      <w:r>
        <w:t xml:space="preserve">a </w:t>
      </w:r>
      <w:r w:rsidRPr="00AB11A4">
        <w:t>compliance action is outstanding, the Department’s IT Systems will not permit the Job Plan to be updated</w:t>
      </w:r>
      <w:r w:rsidR="00F23CB6">
        <w:t>. The</w:t>
      </w:r>
      <w:r w:rsidRPr="00AB11A4">
        <w:t xml:space="preserve"> Provider will be redirected to the </w:t>
      </w:r>
      <w:r w:rsidR="00AE563A">
        <w:t>‘</w:t>
      </w:r>
      <w:r>
        <w:t>C</w:t>
      </w:r>
      <w:r w:rsidRPr="00AB11A4">
        <w:t>ompliance</w:t>
      </w:r>
      <w:r w:rsidR="00AE563A">
        <w:t>’</w:t>
      </w:r>
      <w:r w:rsidRPr="00AB11A4">
        <w:t xml:space="preserve"> </w:t>
      </w:r>
      <w:r w:rsidR="00860866">
        <w:t>screen</w:t>
      </w:r>
      <w:r w:rsidRPr="00AB11A4">
        <w:t xml:space="preserve"> in the Department’s IT Systems to </w:t>
      </w:r>
      <w:r w:rsidR="005A6B9C">
        <w:t>first</w:t>
      </w:r>
      <w:r w:rsidRPr="00AB11A4">
        <w:t xml:space="preserve"> resolve the non-compliance </w:t>
      </w:r>
      <w:r w:rsidR="005A6B9C">
        <w:t>before updating</w:t>
      </w:r>
      <w:r>
        <w:t>.</w:t>
      </w:r>
    </w:p>
    <w:p w14:paraId="374D727C" w14:textId="72B407A6" w:rsidR="00D74559" w:rsidRPr="00FB7CD7" w:rsidRDefault="00D74559" w:rsidP="006E2EF5">
      <w:r>
        <w:t xml:space="preserve">Providers must update the Job Plan whenever the Participant: </w:t>
      </w:r>
    </w:p>
    <w:p w14:paraId="0525433B" w14:textId="5EB01802" w:rsidR="00D65C70" w:rsidRDefault="00D65C70" w:rsidP="004E120D">
      <w:pPr>
        <w:pStyle w:val="BulletLevel1"/>
      </w:pPr>
      <w:r>
        <w:t>moves to a different phase or service offer</w:t>
      </w:r>
    </w:p>
    <w:p w14:paraId="37DB4DC0" w14:textId="15044DE0" w:rsidR="00856BCD" w:rsidRDefault="00856BCD" w:rsidP="004E120D">
      <w:pPr>
        <w:pStyle w:val="BulletLevel1"/>
      </w:pPr>
      <w:r>
        <w:t>requests to change their Employment Goal</w:t>
      </w:r>
    </w:p>
    <w:p w14:paraId="7D753603" w14:textId="2C31A2D0" w:rsidR="00856BCD" w:rsidRDefault="00F10F68" w:rsidP="004E120D">
      <w:pPr>
        <w:pStyle w:val="BulletLevel1"/>
      </w:pPr>
      <w:r>
        <w:t>r</w:t>
      </w:r>
      <w:r w:rsidRPr="0E218120">
        <w:t>esum</w:t>
      </w:r>
      <w:r w:rsidR="00406DC9">
        <w:t>es</w:t>
      </w:r>
      <w:r w:rsidRPr="0E218120">
        <w:t xml:space="preserve"> their Period of Service</w:t>
      </w:r>
      <w:r>
        <w:t>, either following a Suspension or Exit</w:t>
      </w:r>
    </w:p>
    <w:p w14:paraId="312DCB66" w14:textId="3BAB81C0" w:rsidR="00D74559" w:rsidRPr="00FB7CD7" w:rsidRDefault="00D74559" w:rsidP="004E120D">
      <w:pPr>
        <w:pStyle w:val="BulletLevel1"/>
      </w:pPr>
      <w:r>
        <w:t>has</w:t>
      </w:r>
      <w:r w:rsidRPr="00FB7CD7">
        <w:t xml:space="preserve"> a change in their circumstances</w:t>
      </w:r>
      <w:r w:rsidR="00185F9B">
        <w:t xml:space="preserve"> that impacts their ability to meet the requirements in their Job Plan</w:t>
      </w:r>
      <w:r w:rsidR="00DA09A4">
        <w:t xml:space="preserve"> (Detailed Job Plan only)</w:t>
      </w:r>
    </w:p>
    <w:p w14:paraId="44E0E56A" w14:textId="78B5BEC3" w:rsidR="00D74559" w:rsidRPr="00FB7CD7" w:rsidRDefault="00D74559" w:rsidP="004E120D">
      <w:pPr>
        <w:pStyle w:val="BulletLevel1"/>
      </w:pPr>
      <w:r w:rsidRPr="00FB7CD7">
        <w:t>commence</w:t>
      </w:r>
      <w:r>
        <w:t>s</w:t>
      </w:r>
      <w:r w:rsidRPr="00FB7CD7">
        <w:t xml:space="preserve"> a new </w:t>
      </w:r>
      <w:r>
        <w:t>A</w:t>
      </w:r>
      <w:r w:rsidRPr="00FB7CD7">
        <w:t>ctivity</w:t>
      </w:r>
      <w:r w:rsidR="00923730">
        <w:t xml:space="preserve"> (</w:t>
      </w:r>
      <w:r w:rsidR="00A544DF">
        <w:t xml:space="preserve">Detailed </w:t>
      </w:r>
      <w:r w:rsidR="00C70AF6">
        <w:t>Job Plan</w:t>
      </w:r>
      <w:r w:rsidR="00923730" w:rsidDel="00A544DF">
        <w:t xml:space="preserve"> </w:t>
      </w:r>
      <w:r w:rsidR="00923730">
        <w:t>only)</w:t>
      </w:r>
    </w:p>
    <w:p w14:paraId="02CDF9CA" w14:textId="3536C982" w:rsidR="00D74559" w:rsidRPr="00FB7CD7" w:rsidRDefault="00D74559" w:rsidP="004E120D">
      <w:pPr>
        <w:pStyle w:val="BulletLevel1"/>
      </w:pPr>
      <w:r w:rsidRPr="00FB7CD7">
        <w:t>complete</w:t>
      </w:r>
      <w:r>
        <w:t>s</w:t>
      </w:r>
      <w:r w:rsidRPr="00FB7CD7">
        <w:t xml:space="preserve"> an </w:t>
      </w:r>
      <w:r>
        <w:t>A</w:t>
      </w:r>
      <w:r w:rsidRPr="00FB7CD7">
        <w:t xml:space="preserve">ctivity </w:t>
      </w:r>
      <w:r w:rsidR="00DA09A4">
        <w:t>(</w:t>
      </w:r>
      <w:r w:rsidR="00A544DF">
        <w:t xml:space="preserve">Detailed </w:t>
      </w:r>
      <w:r>
        <w:t>Job Plan</w:t>
      </w:r>
      <w:r w:rsidR="00DA09A4">
        <w:t xml:space="preserve"> only)</w:t>
      </w:r>
    </w:p>
    <w:p w14:paraId="54A393AC" w14:textId="5B6A6947" w:rsidR="00244DD4" w:rsidRDefault="00244DD4" w:rsidP="004E120D">
      <w:pPr>
        <w:pStyle w:val="BulletLevel1"/>
      </w:pPr>
      <w:r>
        <w:t>is still undertaking the activity agreed to for the purposes of Mobility Allowance but the period entered has expired</w:t>
      </w:r>
    </w:p>
    <w:p w14:paraId="32F46B89" w14:textId="2C1B9E82" w:rsidR="00D74559" w:rsidRPr="00FB7CD7" w:rsidRDefault="00D74559" w:rsidP="004E120D">
      <w:pPr>
        <w:pStyle w:val="BulletLevel1"/>
      </w:pPr>
      <w:r w:rsidRPr="2190AEAE">
        <w:t>has an ESAt or JCA</w:t>
      </w:r>
      <w:r w:rsidR="00DA09A4">
        <w:t xml:space="preserve"> (Detailed Job Plan only)</w:t>
      </w:r>
      <w:r>
        <w:t>, and/or</w:t>
      </w:r>
    </w:p>
    <w:p w14:paraId="65CE469A" w14:textId="25A3D4BC" w:rsidR="00D74559" w:rsidRDefault="00D74559" w:rsidP="004E120D">
      <w:pPr>
        <w:pStyle w:val="BulletLevel1"/>
      </w:pPr>
      <w:r w:rsidRPr="2190AEAE">
        <w:t>has a Capability Interview or Capability Assessment that determines that their Job Plan is inappropriate</w:t>
      </w:r>
      <w:r w:rsidR="00856BCD">
        <w:t xml:space="preserve"> (Detailed Job Plan only)</w:t>
      </w:r>
      <w:r w:rsidRPr="2190AEAE">
        <w:t>.</w:t>
      </w:r>
    </w:p>
    <w:p w14:paraId="52D411A3" w14:textId="0481DF91" w:rsidR="007D413A" w:rsidRDefault="007D413A" w:rsidP="007D413A">
      <w:pPr>
        <w:pStyle w:val="DeedReferences"/>
      </w:pPr>
      <w:r w:rsidRPr="007D413A">
        <w:t>(</w:t>
      </w:r>
      <w:r w:rsidR="00A73420">
        <w:t xml:space="preserve">Deed Reference(s): Clause </w:t>
      </w:r>
      <w:r w:rsidR="000D6B0E">
        <w:t xml:space="preserve">134.2, </w:t>
      </w:r>
      <w:r w:rsidR="006869F5">
        <w:t>134.</w:t>
      </w:r>
      <w:r w:rsidRPr="007D413A">
        <w:t>7)</w:t>
      </w:r>
    </w:p>
    <w:p w14:paraId="534DA1C5" w14:textId="0E1086F8" w:rsidR="00D65C70" w:rsidRDefault="00D65C70" w:rsidP="003E76AC">
      <w:r w:rsidRPr="009636EC">
        <w:rPr>
          <w:b/>
        </w:rPr>
        <w:t>Note:</w:t>
      </w:r>
      <w:r>
        <w:t xml:space="preserve"> When updating </w:t>
      </w:r>
      <w:r w:rsidR="00FD06D9">
        <w:rPr>
          <w:szCs w:val="22"/>
        </w:rPr>
        <w:t xml:space="preserve">a Job Plan </w:t>
      </w:r>
      <w:r>
        <w:t xml:space="preserve">as part of movement between phases or service offers, Providers must ensure that the </w:t>
      </w:r>
      <w:r w:rsidR="00FD06D9">
        <w:rPr>
          <w:szCs w:val="22"/>
        </w:rPr>
        <w:t>new phase or service offer has been captured in the Department’s IT Systems prior to starting the</w:t>
      </w:r>
      <w:r>
        <w:t xml:space="preserve"> process </w:t>
      </w:r>
      <w:r w:rsidR="00FD06D9">
        <w:rPr>
          <w:szCs w:val="22"/>
        </w:rPr>
        <w:t>to update the Job Plan in the Department’s IT Systems.</w:t>
      </w:r>
    </w:p>
    <w:p w14:paraId="3C9B940A" w14:textId="725B6093" w:rsidR="007235C0" w:rsidRDefault="007235C0" w:rsidP="003670B6">
      <w:r w:rsidRPr="2190AEAE">
        <w:t xml:space="preserve">Detailed information on </w:t>
      </w:r>
      <w:r>
        <w:t>updating</w:t>
      </w:r>
      <w:r w:rsidRPr="2190AEAE">
        <w:t xml:space="preserve"> a Job Plan is available </w:t>
      </w:r>
      <w:r>
        <w:t>in</w:t>
      </w:r>
      <w:r w:rsidRPr="2190AEAE">
        <w:t xml:space="preserve"> the </w:t>
      </w:r>
      <w:r w:rsidRPr="007235C0">
        <w:rPr>
          <w:rStyle w:val="Hyperlink"/>
        </w:rPr>
        <w:t>Creating, updating, or withdrawing a Job Pla</w:t>
      </w:r>
      <w:r>
        <w:rPr>
          <w:rStyle w:val="Hyperlink"/>
        </w:rPr>
        <w:t>n [LINK]</w:t>
      </w:r>
      <w:r>
        <w:t xml:space="preserve"> supporting document on </w:t>
      </w:r>
      <w:r w:rsidR="006B5D9C">
        <w:t>Provider Portal</w:t>
      </w:r>
      <w:r w:rsidRPr="2190AEAE">
        <w:t>.</w:t>
      </w:r>
    </w:p>
    <w:p w14:paraId="3FC0084C" w14:textId="31CFCC60" w:rsidR="006A6132" w:rsidRDefault="006A6132" w:rsidP="006A6132">
      <w:pPr>
        <w:rPr>
          <w:szCs w:val="22"/>
        </w:rPr>
      </w:pPr>
      <w:r>
        <w:rPr>
          <w:szCs w:val="22"/>
        </w:rPr>
        <w:t>The Participant will need to review and agree to their Job Plan each time it is updated, as outlined in</w:t>
      </w:r>
      <w:r w:rsidR="00743CBC">
        <w:rPr>
          <w:szCs w:val="22"/>
        </w:rPr>
        <w:t xml:space="preserve"> </w:t>
      </w:r>
      <w:r w:rsidR="00743CBC">
        <w:rPr>
          <w:szCs w:val="22"/>
          <w:highlight w:val="yellow"/>
        </w:rPr>
        <w:fldChar w:fldCharType="begin"/>
      </w:r>
      <w:r w:rsidR="00743CBC">
        <w:rPr>
          <w:szCs w:val="22"/>
        </w:rPr>
        <w:instrText xml:space="preserve"> REF _Ref202788027 \h </w:instrText>
      </w:r>
      <w:r w:rsidR="00743CBC">
        <w:rPr>
          <w:szCs w:val="22"/>
          <w:highlight w:val="yellow"/>
        </w:rPr>
      </w:r>
      <w:r w:rsidR="00743CBC">
        <w:rPr>
          <w:szCs w:val="22"/>
          <w:highlight w:val="yellow"/>
        </w:rPr>
        <w:fldChar w:fldCharType="separate"/>
      </w:r>
      <w:r w:rsidR="000D75AE">
        <w:t>4.8</w:t>
      </w:r>
      <w:r w:rsidR="00E12BF6">
        <w:t xml:space="preserve"> </w:t>
      </w:r>
      <w:r w:rsidR="000D75AE">
        <w:t>Review and Agreement of the Job Plan</w:t>
      </w:r>
      <w:r w:rsidR="00743CBC">
        <w:rPr>
          <w:szCs w:val="22"/>
          <w:highlight w:val="yellow"/>
        </w:rPr>
        <w:fldChar w:fldCharType="end"/>
      </w:r>
      <w:r>
        <w:rPr>
          <w:szCs w:val="22"/>
        </w:rPr>
        <w:t>.</w:t>
      </w:r>
    </w:p>
    <w:p w14:paraId="71F91394" w14:textId="77777777" w:rsidR="006A6132" w:rsidRDefault="006A6132" w:rsidP="006A6132">
      <w:pPr>
        <w:pStyle w:val="SystemStep"/>
        <w:ind w:left="720"/>
      </w:pPr>
      <w:r w:rsidRPr="007775C0">
        <w:t>To update</w:t>
      </w:r>
      <w:r>
        <w:t xml:space="preserve"> a Job Plan, Providers edit the existing Job Plan. The Participant must review and agree to the updated Job Plan.</w:t>
      </w:r>
    </w:p>
    <w:p w14:paraId="17FEB194" w14:textId="33C9E29F" w:rsidR="007D413A" w:rsidRPr="007D413A" w:rsidRDefault="007D413A" w:rsidP="007D413A">
      <w:pPr>
        <w:rPr>
          <w:szCs w:val="22"/>
        </w:rPr>
      </w:pPr>
      <w:r w:rsidRPr="007D413A">
        <w:rPr>
          <w:szCs w:val="22"/>
        </w:rPr>
        <w:t>If an update has been made in error by the Provider or is no longer needed as the Participant has decided not to go ahead with a new task or activity that preceded the update, Providers may reinstate the previous Job Plan</w:t>
      </w:r>
      <w:r w:rsidR="00A01D51">
        <w:rPr>
          <w:szCs w:val="22"/>
        </w:rPr>
        <w:t>.</w:t>
      </w:r>
      <w:r w:rsidR="00E053B4">
        <w:rPr>
          <w:szCs w:val="22"/>
        </w:rPr>
        <w:t xml:space="preserve"> This is</w:t>
      </w:r>
      <w:r w:rsidRPr="007D413A">
        <w:rPr>
          <w:szCs w:val="22"/>
        </w:rPr>
        <w:t xml:space="preserve"> as long as the Job Plan has not yet been approved</w:t>
      </w:r>
      <w:r w:rsidR="00B71B15">
        <w:rPr>
          <w:szCs w:val="22"/>
        </w:rPr>
        <w:t xml:space="preserve"> in the Department’s IT Systems</w:t>
      </w:r>
      <w:r w:rsidRPr="007D413A">
        <w:rPr>
          <w:szCs w:val="22"/>
        </w:rPr>
        <w:t>.</w:t>
      </w:r>
    </w:p>
    <w:p w14:paraId="08D4364D" w14:textId="625946E2" w:rsidR="002A0C3D" w:rsidRDefault="003E76AC" w:rsidP="0003302C">
      <w:pPr>
        <w:rPr>
          <w:szCs w:val="22"/>
        </w:rPr>
      </w:pPr>
      <w:r>
        <w:rPr>
          <w:szCs w:val="22"/>
        </w:rPr>
        <w:t>Participant</w:t>
      </w:r>
      <w:r w:rsidR="00BF7C47">
        <w:rPr>
          <w:szCs w:val="22"/>
        </w:rPr>
        <w:t>s</w:t>
      </w:r>
      <w:r w:rsidR="007D413A">
        <w:rPr>
          <w:szCs w:val="22"/>
        </w:rPr>
        <w:t xml:space="preserve"> (Mutual Obligation</w:t>
      </w:r>
      <w:r w:rsidR="00BF7C47">
        <w:rPr>
          <w:szCs w:val="22"/>
        </w:rPr>
        <w:t xml:space="preserve"> or</w:t>
      </w:r>
      <w:r w:rsidR="007D413A">
        <w:rPr>
          <w:szCs w:val="22"/>
        </w:rPr>
        <w:t xml:space="preserve"> and DSP Recipient (Compulsory Requirements)</w:t>
      </w:r>
      <w:r>
        <w:rPr>
          <w:szCs w:val="22"/>
        </w:rPr>
        <w:t xml:space="preserve"> can be subject to compliance action for failure to agree to their Job Plan</w:t>
      </w:r>
      <w:r w:rsidR="00BF7C47">
        <w:rPr>
          <w:szCs w:val="22"/>
        </w:rPr>
        <w:t>. If</w:t>
      </w:r>
      <w:r>
        <w:rPr>
          <w:szCs w:val="22"/>
        </w:rPr>
        <w:t xml:space="preserve"> a Participant advises that they do not want to agree to an update</w:t>
      </w:r>
      <w:r w:rsidR="002A3CFC">
        <w:rPr>
          <w:szCs w:val="22"/>
        </w:rPr>
        <w:t>d</w:t>
      </w:r>
      <w:r>
        <w:rPr>
          <w:szCs w:val="22"/>
        </w:rPr>
        <w:t xml:space="preserve"> Job Plan, Providers should give consideration as to whether </w:t>
      </w:r>
      <w:r w:rsidR="008D2753">
        <w:rPr>
          <w:szCs w:val="22"/>
        </w:rPr>
        <w:t>or not</w:t>
      </w:r>
      <w:r>
        <w:rPr>
          <w:szCs w:val="22"/>
        </w:rPr>
        <w:t xml:space="preserve"> </w:t>
      </w:r>
      <w:r w:rsidR="002A3CFC">
        <w:rPr>
          <w:szCs w:val="22"/>
        </w:rPr>
        <w:t xml:space="preserve">a </w:t>
      </w:r>
      <w:r>
        <w:rPr>
          <w:szCs w:val="22"/>
        </w:rPr>
        <w:t xml:space="preserve">new </w:t>
      </w:r>
      <w:r w:rsidR="007D413A">
        <w:rPr>
          <w:szCs w:val="22"/>
        </w:rPr>
        <w:t>Job P</w:t>
      </w:r>
      <w:r>
        <w:rPr>
          <w:szCs w:val="22"/>
        </w:rPr>
        <w:t xml:space="preserve">lan </w:t>
      </w:r>
      <w:r w:rsidR="002A3CFC">
        <w:rPr>
          <w:szCs w:val="22"/>
        </w:rPr>
        <w:t xml:space="preserve">must be agreed, </w:t>
      </w:r>
      <w:r>
        <w:rPr>
          <w:szCs w:val="22"/>
        </w:rPr>
        <w:t xml:space="preserve">or whether </w:t>
      </w:r>
      <w:r w:rsidR="000A62A8">
        <w:rPr>
          <w:szCs w:val="22"/>
        </w:rPr>
        <w:t>it is more appropriate to reinstate</w:t>
      </w:r>
      <w:r>
        <w:rPr>
          <w:szCs w:val="22"/>
        </w:rPr>
        <w:t xml:space="preserve"> the previous </w:t>
      </w:r>
      <w:r w:rsidR="007D413A">
        <w:rPr>
          <w:szCs w:val="22"/>
        </w:rPr>
        <w:t>Job P</w:t>
      </w:r>
      <w:r>
        <w:rPr>
          <w:szCs w:val="22"/>
        </w:rPr>
        <w:t>lan</w:t>
      </w:r>
      <w:r w:rsidR="000A62A8">
        <w:rPr>
          <w:szCs w:val="22"/>
        </w:rPr>
        <w:t>.</w:t>
      </w:r>
      <w:r>
        <w:rPr>
          <w:szCs w:val="22"/>
        </w:rPr>
        <w:t xml:space="preserve"> </w:t>
      </w:r>
      <w:r w:rsidR="00591017">
        <w:rPr>
          <w:szCs w:val="22"/>
        </w:rPr>
        <w:t>Failure to agree to their Meaningful Engagement Job Plan should not be the only reason that a Participant is determined to have a Pattern of Disengagement</w:t>
      </w:r>
      <w:r w:rsidR="002A0C3D">
        <w:rPr>
          <w:szCs w:val="22"/>
        </w:rPr>
        <w:t>.</w:t>
      </w:r>
      <w:r w:rsidR="00591017">
        <w:rPr>
          <w:szCs w:val="22"/>
        </w:rPr>
        <w:t xml:space="preserve"> </w:t>
      </w:r>
    </w:p>
    <w:p w14:paraId="30EFFCAF" w14:textId="0C8C189F" w:rsidR="00FE2254" w:rsidRPr="007D413A" w:rsidRDefault="007D413A" w:rsidP="007D413A">
      <w:pPr>
        <w:tabs>
          <w:tab w:val="right" w:pos="1701"/>
        </w:tabs>
        <w:spacing w:after="120"/>
      </w:pPr>
      <w:r w:rsidRPr="00271DFD">
        <w:rPr>
          <w:b/>
          <w:bCs/>
        </w:rPr>
        <w:t>Note:</w:t>
      </w:r>
      <w:r>
        <w:t xml:space="preserve"> Participants (Voluntary) cannot be compelled to update their Job Plan.</w:t>
      </w:r>
    </w:p>
    <w:p w14:paraId="492A64C1" w14:textId="6745526C" w:rsidR="00D74559" w:rsidRPr="00BA23D8" w:rsidRDefault="00D74559" w:rsidP="000335E0">
      <w:pPr>
        <w:pStyle w:val="Heading2"/>
      </w:pPr>
      <w:bookmarkStart w:id="187" w:name="_Ref202783027"/>
      <w:bookmarkStart w:id="188" w:name="_Ref202785141"/>
      <w:bookmarkStart w:id="189" w:name="_Ref202785393"/>
      <w:bookmarkStart w:id="190" w:name="_Toc202899950"/>
      <w:r w:rsidRPr="00BA23D8">
        <w:t>Chapter 5</w:t>
      </w:r>
      <w:r w:rsidR="00A61FB9">
        <w:t>:</w:t>
      </w:r>
      <w:r w:rsidR="0076500B">
        <w:tab/>
      </w:r>
      <w:r w:rsidRPr="00BA23D8">
        <w:t>Participation requirements</w:t>
      </w:r>
      <w:bookmarkEnd w:id="187"/>
      <w:bookmarkEnd w:id="188"/>
      <w:bookmarkEnd w:id="189"/>
      <w:bookmarkEnd w:id="190"/>
    </w:p>
    <w:p w14:paraId="7A681574" w14:textId="77777777" w:rsidR="00D74559" w:rsidRPr="003A03F7" w:rsidRDefault="00D74559" w:rsidP="001D0F92">
      <w:pPr>
        <w:pStyle w:val="Heading-SupportingDocuments"/>
        <w:rPr>
          <w:rStyle w:val="Emphasis"/>
          <w:b/>
          <w:bCs w:val="0"/>
          <w:iCs w:val="0"/>
          <w:spacing w:val="3"/>
        </w:rPr>
      </w:pPr>
      <w:r w:rsidRPr="003A03F7">
        <w:rPr>
          <w:rStyle w:val="Emphasis"/>
          <w:b/>
          <w:iCs w:val="0"/>
          <w:spacing w:val="3"/>
        </w:rPr>
        <w:t>Supporting Documents for this Chapter</w:t>
      </w:r>
    </w:p>
    <w:p w14:paraId="060BFF13" w14:textId="44DFD62C" w:rsidR="00D74559" w:rsidRPr="00F7709C" w:rsidRDefault="00D74559" w:rsidP="00620350">
      <w:pPr>
        <w:pStyle w:val="Bullet-SupportingDocument"/>
        <w:rPr>
          <w:rStyle w:val="Hyperlink"/>
        </w:rPr>
      </w:pPr>
      <w:r w:rsidRPr="0067230F">
        <w:rPr>
          <w:rStyle w:val="Hyperlink"/>
        </w:rPr>
        <w:t>Provider Actions – Recording Participants as Fully Meeting Mutual Obligations</w:t>
      </w:r>
      <w:r w:rsidR="00591308">
        <w:rPr>
          <w:rStyle w:val="Hyperlink"/>
        </w:rPr>
        <w:t xml:space="preserve"> [LINK]</w:t>
      </w:r>
    </w:p>
    <w:p w14:paraId="1545402A" w14:textId="04D8ECA9" w:rsidR="00D74559" w:rsidRDefault="00D74559" w:rsidP="00620350">
      <w:pPr>
        <w:pStyle w:val="Bullet-SupportingDocument"/>
        <w:rPr>
          <w:rStyle w:val="Hyperlink"/>
        </w:rPr>
      </w:pPr>
      <w:r>
        <w:rPr>
          <w:rStyle w:val="Hyperlink"/>
        </w:rPr>
        <w:t>Provider Actions – Tailoring a Participant’s Job Search R</w:t>
      </w:r>
      <w:r w:rsidRPr="00F7709C">
        <w:rPr>
          <w:rStyle w:val="Hyperlink"/>
        </w:rPr>
        <w:t>equirements</w:t>
      </w:r>
      <w:r w:rsidR="00591308">
        <w:rPr>
          <w:rStyle w:val="Hyperlink"/>
        </w:rPr>
        <w:t xml:space="preserve"> [LINK]</w:t>
      </w:r>
    </w:p>
    <w:p w14:paraId="591D048B" w14:textId="195CF9A1" w:rsidR="00D74559" w:rsidRDefault="00591308" w:rsidP="00620350">
      <w:pPr>
        <w:pStyle w:val="Bullet-SupportingDocument"/>
        <w:rPr>
          <w:rStyle w:val="Hyperlink"/>
        </w:rPr>
      </w:pPr>
      <w:r w:rsidRPr="00601AF6">
        <w:rPr>
          <w:rStyle w:val="Hyperlink"/>
        </w:rPr>
        <w:t xml:space="preserve">Participants who are Fully Meeting their Mutual Obligation Requirements </w:t>
      </w:r>
      <w:r>
        <w:rPr>
          <w:rStyle w:val="Hyperlink"/>
        </w:rPr>
        <w:t>[LINK]</w:t>
      </w:r>
    </w:p>
    <w:p w14:paraId="49441DEA" w14:textId="6B5EC54E" w:rsidR="00D74559" w:rsidRDefault="00D74559" w:rsidP="00620350">
      <w:pPr>
        <w:pStyle w:val="Bullet-SupportingDocument"/>
        <w:rPr>
          <w:rStyle w:val="Hyperlink"/>
        </w:rPr>
      </w:pPr>
      <w:r>
        <w:rPr>
          <w:rStyle w:val="Hyperlink"/>
        </w:rPr>
        <w:t>Types of Exemptions</w:t>
      </w:r>
      <w:r w:rsidR="00B6080A">
        <w:rPr>
          <w:rStyle w:val="Hyperlink"/>
        </w:rPr>
        <w:t xml:space="preserve"> [LINK]</w:t>
      </w:r>
    </w:p>
    <w:p w14:paraId="553C768B" w14:textId="0C812439" w:rsidR="00D74559" w:rsidRDefault="00D74559" w:rsidP="00620350">
      <w:pPr>
        <w:pStyle w:val="Bullet-SupportingDocument"/>
        <w:rPr>
          <w:rStyle w:val="Hyperlink"/>
        </w:rPr>
      </w:pPr>
      <w:r w:rsidRPr="0067230F">
        <w:rPr>
          <w:rStyle w:val="Hyperlink"/>
        </w:rPr>
        <w:t>Mutual Obligations for freelancers or self-employed workers Fact Sheet</w:t>
      </w:r>
      <w:r w:rsidR="00B6080A">
        <w:rPr>
          <w:rStyle w:val="Hyperlink"/>
        </w:rPr>
        <w:t xml:space="preserve"> [LINK]</w:t>
      </w:r>
    </w:p>
    <w:p w14:paraId="0B9C98DA" w14:textId="2C62333F" w:rsidR="00D74559" w:rsidRDefault="00D74559" w:rsidP="00620350">
      <w:pPr>
        <w:pStyle w:val="Bullet-SupportingDocument"/>
        <w:rPr>
          <w:rStyle w:val="Hyperlink"/>
        </w:rPr>
      </w:pPr>
      <w:r>
        <w:rPr>
          <w:rStyle w:val="Hyperlink"/>
        </w:rPr>
        <w:t>Meaningful Engagement Provider Fact Sheet</w:t>
      </w:r>
      <w:r w:rsidR="00B6080A">
        <w:rPr>
          <w:rStyle w:val="Hyperlink"/>
        </w:rPr>
        <w:t xml:space="preserve"> [LINK]</w:t>
      </w:r>
    </w:p>
    <w:p w14:paraId="11A09B52" w14:textId="5B9FABA5" w:rsidR="00D74559" w:rsidRDefault="00D74559" w:rsidP="00620350">
      <w:pPr>
        <w:pStyle w:val="Bullet-SupportingDocument"/>
        <w:rPr>
          <w:rStyle w:val="Hyperlink"/>
        </w:rPr>
      </w:pPr>
      <w:r>
        <w:rPr>
          <w:rStyle w:val="Hyperlink"/>
        </w:rPr>
        <w:t xml:space="preserve">Meaningful Engagement </w:t>
      </w:r>
      <w:r w:rsidR="00355679">
        <w:rPr>
          <w:rStyle w:val="Hyperlink"/>
        </w:rPr>
        <w:t>Participant</w:t>
      </w:r>
      <w:r>
        <w:rPr>
          <w:rStyle w:val="Hyperlink"/>
        </w:rPr>
        <w:t xml:space="preserve"> Fact Sheet</w:t>
      </w:r>
      <w:r w:rsidR="00B6080A">
        <w:rPr>
          <w:rStyle w:val="Hyperlink"/>
        </w:rPr>
        <w:t xml:space="preserve"> [LINK]</w:t>
      </w:r>
    </w:p>
    <w:p w14:paraId="59734E23" w14:textId="26081BD6" w:rsidR="00D74559" w:rsidRDefault="00D74559" w:rsidP="00620350">
      <w:pPr>
        <w:pStyle w:val="Bullet-SupportingDocument"/>
        <w:rPr>
          <w:rStyle w:val="Hyperlink"/>
        </w:rPr>
      </w:pPr>
      <w:r w:rsidRPr="00B84A8F">
        <w:rPr>
          <w:rStyle w:val="Hyperlink"/>
        </w:rPr>
        <w:t>Job Search Quality assessment guide</w:t>
      </w:r>
      <w:r w:rsidR="00B6080A">
        <w:rPr>
          <w:rStyle w:val="Hyperlink"/>
        </w:rPr>
        <w:t xml:space="preserve"> [LINK]</w:t>
      </w:r>
    </w:p>
    <w:p w14:paraId="37897B25" w14:textId="262C21AE" w:rsidR="00D74559" w:rsidRPr="0067230F" w:rsidRDefault="00D74559" w:rsidP="00620350">
      <w:pPr>
        <w:pStyle w:val="Bullet-SupportingDocument"/>
        <w:rPr>
          <w:rStyle w:val="Hyperlink"/>
        </w:rPr>
      </w:pPr>
      <w:r w:rsidRPr="0067230F">
        <w:rPr>
          <w:rStyle w:val="Hyperlink"/>
        </w:rPr>
        <w:t>Valid Reason assessment options</w:t>
      </w:r>
      <w:r w:rsidR="00C11D22">
        <w:rPr>
          <w:rStyle w:val="Hyperlink"/>
        </w:rPr>
        <w:t xml:space="preserve"> [LINK]</w:t>
      </w:r>
    </w:p>
    <w:p w14:paraId="3045F988" w14:textId="3DB1B134" w:rsidR="00D74559" w:rsidRPr="009E48FD" w:rsidRDefault="000A208C" w:rsidP="00620350">
      <w:pPr>
        <w:pStyle w:val="Bullet-SupportingDocument"/>
        <w:rPr>
          <w:rStyle w:val="Hyperlink"/>
        </w:rPr>
      </w:pPr>
      <w:r>
        <w:rPr>
          <w:rStyle w:val="Hyperlink"/>
        </w:rPr>
        <w:t>Job Plan codes and requirements, by Phase</w:t>
      </w:r>
      <w:r w:rsidR="00A50184">
        <w:rPr>
          <w:rStyle w:val="Hyperlink"/>
        </w:rPr>
        <w:t xml:space="preserve"> and </w:t>
      </w:r>
      <w:r w:rsidR="00D74559" w:rsidRPr="1C4E4AF5">
        <w:rPr>
          <w:rStyle w:val="Hyperlink"/>
        </w:rPr>
        <w:t xml:space="preserve">Participant Type </w:t>
      </w:r>
      <w:r w:rsidR="00A50184">
        <w:rPr>
          <w:rStyle w:val="Hyperlink"/>
        </w:rPr>
        <w:t>[LINK]</w:t>
      </w:r>
    </w:p>
    <w:p w14:paraId="0782AE00" w14:textId="5AD651FF" w:rsidR="00D74559" w:rsidRPr="0067230F" w:rsidRDefault="00D74559" w:rsidP="00620350">
      <w:pPr>
        <w:pStyle w:val="Bullet-SupportingDocument"/>
        <w:rPr>
          <w:rStyle w:val="Hyperlink"/>
        </w:rPr>
      </w:pPr>
      <w:r>
        <w:rPr>
          <w:rStyle w:val="Hyperlink"/>
        </w:rPr>
        <w:t>Manual Job Search Reporting Form</w:t>
      </w:r>
      <w:r w:rsidR="00A50184">
        <w:rPr>
          <w:rStyle w:val="Hyperlink"/>
        </w:rPr>
        <w:t xml:space="preserve"> [LINk]</w:t>
      </w:r>
    </w:p>
    <w:p w14:paraId="3B59F670" w14:textId="79C38EC3" w:rsidR="00D74559" w:rsidRPr="00815435" w:rsidRDefault="00D74559" w:rsidP="001D0F92">
      <w:pPr>
        <w:pStyle w:val="Heading3"/>
      </w:pPr>
      <w:bookmarkStart w:id="191" w:name="_Toc202899951"/>
      <w:r>
        <w:t>5</w:t>
      </w:r>
      <w:r w:rsidRPr="00815435">
        <w:t>.1</w:t>
      </w:r>
      <w:r w:rsidR="00246323">
        <w:tab/>
      </w:r>
      <w:r w:rsidRPr="00815435">
        <w:t>Chapter Overview</w:t>
      </w:r>
      <w:bookmarkEnd w:id="191"/>
    </w:p>
    <w:p w14:paraId="0550089F" w14:textId="55FF8A03" w:rsidR="00D74559" w:rsidRDefault="00D74559" w:rsidP="006E2EF5">
      <w:r>
        <w:t xml:space="preserve">This Chapter explains </w:t>
      </w:r>
      <w:r w:rsidR="00244DD4">
        <w:t>what</w:t>
      </w:r>
      <w:r>
        <w:t xml:space="preserve"> participation requirements </w:t>
      </w:r>
      <w:r w:rsidR="00244DD4">
        <w:t xml:space="preserve">each Participant may have under Social Security Law </w:t>
      </w:r>
      <w:r>
        <w:t>and the role of Providers in helping Participants to understand and meet their participation requirements.</w:t>
      </w:r>
    </w:p>
    <w:p w14:paraId="6A677EBF" w14:textId="5AAFB1DC" w:rsidR="00D74559" w:rsidRDefault="00D74559" w:rsidP="006E2EF5">
      <w:r>
        <w:t xml:space="preserve">Participation requirements will vary depending on the type of Participant — i.e. </w:t>
      </w:r>
      <w:r w:rsidR="005C291B">
        <w:t>if</w:t>
      </w:r>
      <w:r>
        <w:t xml:space="preserve"> they are a Participant (Mutual Obligation), DSP Recipient (Compulsory Requirements), Volunteer (Mutual Obligation) or Volunteer (Non-</w:t>
      </w:r>
      <w:r w:rsidR="00E23454">
        <w:t>M</w:t>
      </w:r>
      <w:r>
        <w:t>utual Obligation).</w:t>
      </w:r>
    </w:p>
    <w:p w14:paraId="1F764E10" w14:textId="4C3D3BF8" w:rsidR="00D74559" w:rsidRDefault="00D74559" w:rsidP="006E2EF5">
      <w:r>
        <w:t xml:space="preserve">Participation requirements will also vary depending on whether the Participant is meeting their requirements through the Meaningful Engagement Requirement </w:t>
      </w:r>
      <w:r w:rsidR="00244DD4">
        <w:t xml:space="preserve">specified in their Meaningful Engagement Job Plan </w:t>
      </w:r>
      <w:r>
        <w:t xml:space="preserve">or has compulsory requirements </w:t>
      </w:r>
      <w:r w:rsidR="00244DD4">
        <w:t>specified</w:t>
      </w:r>
      <w:r>
        <w:t xml:space="preserve"> in their </w:t>
      </w:r>
      <w:r w:rsidR="00822613">
        <w:t xml:space="preserve">Detailed </w:t>
      </w:r>
      <w:r>
        <w:t>Job Plan.</w:t>
      </w:r>
    </w:p>
    <w:p w14:paraId="2F754409" w14:textId="6642D8E3" w:rsidR="00183D55" w:rsidRDefault="00183D55" w:rsidP="00183D55">
      <w:r>
        <w:t>For the purposes of this Chapter in these Guidelines:</w:t>
      </w:r>
    </w:p>
    <w:p w14:paraId="40BFCDC8" w14:textId="77777777" w:rsidR="00183D55" w:rsidRDefault="00183D55" w:rsidP="004E120D">
      <w:pPr>
        <w:pStyle w:val="BulletLevel1"/>
      </w:pPr>
      <w:r w:rsidRPr="00481B76">
        <w:rPr>
          <w:b/>
          <w:bCs/>
        </w:rPr>
        <w:t>self-reporting</w:t>
      </w:r>
      <w:r>
        <w:t xml:space="preserve"> </w:t>
      </w:r>
      <w:r w:rsidRPr="00481B76">
        <w:t xml:space="preserve">means </w:t>
      </w:r>
      <w:r>
        <w:t>the Participant recording attendance</w:t>
      </w:r>
      <w:r w:rsidRPr="00481B76">
        <w:t xml:space="preserve"> themselves online, and</w:t>
      </w:r>
    </w:p>
    <w:p w14:paraId="19465A8F" w14:textId="6432891C" w:rsidR="00183D55" w:rsidRDefault="00183D55" w:rsidP="004E120D">
      <w:pPr>
        <w:pStyle w:val="BulletLevel1"/>
      </w:pPr>
      <w:r w:rsidRPr="00481B76">
        <w:rPr>
          <w:b/>
          <w:bCs/>
        </w:rPr>
        <w:t>reporting</w:t>
      </w:r>
      <w:r w:rsidRPr="00481B76">
        <w:t xml:space="preserve"> means </w:t>
      </w:r>
      <w:r w:rsidR="00822613">
        <w:t xml:space="preserve">the Participant </w:t>
      </w:r>
      <w:r w:rsidRPr="00481B76">
        <w:t>contact</w:t>
      </w:r>
      <w:r w:rsidR="00822613">
        <w:t>s</w:t>
      </w:r>
      <w:r w:rsidRPr="00481B76">
        <w:t xml:space="preserve"> their </w:t>
      </w:r>
      <w:r>
        <w:t>P</w:t>
      </w:r>
      <w:r w:rsidRPr="00481B76">
        <w:t>rovider to report their attendance when/if they are unable to record it online</w:t>
      </w:r>
      <w:r>
        <w:t>.</w:t>
      </w:r>
    </w:p>
    <w:p w14:paraId="189D8C23" w14:textId="3B9FF61B" w:rsidR="00D74559" w:rsidRDefault="00D74559" w:rsidP="006E2EF5">
      <w:r w:rsidRPr="00BD75D3">
        <w:t>This Chapter should be read in conjunction with</w:t>
      </w:r>
      <w:r w:rsidR="00BD75D3" w:rsidRPr="00BD75D3">
        <w:t xml:space="preserve"> </w:t>
      </w:r>
      <w:r w:rsidR="00BD75D3" w:rsidRPr="00BD75D3">
        <w:fldChar w:fldCharType="begin"/>
      </w:r>
      <w:r w:rsidR="00BD75D3" w:rsidRPr="00BD75D3">
        <w:instrText xml:space="preserve"> REF _Ref202784061 \h </w:instrText>
      </w:r>
      <w:r w:rsidR="00BD75D3">
        <w:instrText xml:space="preserve"> \* MERGEFORMAT </w:instrText>
      </w:r>
      <w:r w:rsidR="00BD75D3" w:rsidRPr="00BD75D3">
        <w:fldChar w:fldCharType="separate"/>
      </w:r>
      <w:r w:rsidR="000D75AE" w:rsidRPr="00BA23D8">
        <w:t>Chapter 4</w:t>
      </w:r>
      <w:r w:rsidR="000D75AE">
        <w:t>:</w:t>
      </w:r>
      <w:r w:rsidR="000D75AE" w:rsidRPr="00BA23D8">
        <w:t>Job Plans</w:t>
      </w:r>
      <w:r w:rsidR="00BD75D3" w:rsidRPr="00BD75D3">
        <w:fldChar w:fldCharType="end"/>
      </w:r>
      <w:r w:rsidR="00BD75D3" w:rsidRPr="00BD75D3">
        <w:t xml:space="preserve"> and </w:t>
      </w:r>
      <w:r w:rsidR="00BD75D3" w:rsidRPr="00BD75D3">
        <w:fldChar w:fldCharType="begin"/>
      </w:r>
      <w:r w:rsidR="00BD75D3" w:rsidRPr="00BD75D3">
        <w:instrText xml:space="preserve"> REF _Ref202782924 \h </w:instrText>
      </w:r>
      <w:r w:rsidR="00BD75D3">
        <w:instrText xml:space="preserve"> \* MERGEFORMAT </w:instrText>
      </w:r>
      <w:r w:rsidR="00BD75D3" w:rsidRPr="00BD75D3">
        <w:fldChar w:fldCharType="separate"/>
      </w:r>
      <w:r w:rsidR="000D75AE">
        <w:t>Chapter 12:Compliance</w:t>
      </w:r>
      <w:r w:rsidR="00BD75D3" w:rsidRPr="00BD75D3">
        <w:fldChar w:fldCharType="end"/>
      </w:r>
      <w:r w:rsidRPr="00BD75D3">
        <w:t>.</w:t>
      </w:r>
    </w:p>
    <w:p w14:paraId="6F15E9C3" w14:textId="276A2B21" w:rsidR="00D74559" w:rsidRPr="0022432B" w:rsidRDefault="00D74559" w:rsidP="001D0F92">
      <w:pPr>
        <w:pStyle w:val="Heading3"/>
        <w:rPr>
          <w:rStyle w:val="Heading2Char1"/>
          <w:rFonts w:asciiTheme="majorHAnsi" w:hAnsiTheme="majorHAnsi"/>
          <w:i w:val="0"/>
          <w:color w:val="005A70" w:themeColor="accent1"/>
          <w:sz w:val="32"/>
          <w:szCs w:val="24"/>
        </w:rPr>
      </w:pPr>
      <w:bookmarkStart w:id="192" w:name="_Toc202899952"/>
      <w:r w:rsidRPr="0022432B">
        <w:rPr>
          <w:rStyle w:val="Heading2Char1"/>
          <w:rFonts w:asciiTheme="majorHAnsi" w:hAnsiTheme="majorHAnsi"/>
          <w:i w:val="0"/>
          <w:color w:val="005A70" w:themeColor="accent1"/>
          <w:sz w:val="32"/>
          <w:szCs w:val="24"/>
        </w:rPr>
        <w:t>5.2</w:t>
      </w:r>
      <w:r w:rsidR="00246323">
        <w:rPr>
          <w:rStyle w:val="Heading2Char1"/>
          <w:rFonts w:asciiTheme="majorHAnsi" w:hAnsiTheme="majorHAnsi"/>
          <w:i w:val="0"/>
          <w:color w:val="005A70" w:themeColor="accent1"/>
          <w:sz w:val="32"/>
          <w:szCs w:val="24"/>
        </w:rPr>
        <w:tab/>
      </w:r>
      <w:r w:rsidRPr="0022432B">
        <w:rPr>
          <w:rStyle w:val="Heading2Char1"/>
          <w:rFonts w:asciiTheme="majorHAnsi" w:hAnsiTheme="majorHAnsi"/>
          <w:i w:val="0"/>
          <w:color w:val="005A70" w:themeColor="accent1"/>
          <w:sz w:val="32"/>
          <w:szCs w:val="24"/>
        </w:rPr>
        <w:t>What are participation requirements?</w:t>
      </w:r>
      <w:bookmarkEnd w:id="192"/>
    </w:p>
    <w:p w14:paraId="36B5CFE2" w14:textId="6867B2B3" w:rsidR="00D74559" w:rsidRDefault="00D74559" w:rsidP="006E2EF5">
      <w:r>
        <w:t xml:space="preserve">Most </w:t>
      </w:r>
      <w:r w:rsidR="00C74C33">
        <w:t>Inclusive Employment Australia</w:t>
      </w:r>
      <w:r>
        <w:t xml:space="preserve"> Participants will have participation requirements that they need to meet under Social Security Law. This</w:t>
      </w:r>
      <w:r w:rsidR="00244DD4">
        <w:t xml:space="preserve"> generally</w:t>
      </w:r>
      <w:r>
        <w:t xml:space="preserve"> means they must attend the Initial Interview, agree to their Job Plan</w:t>
      </w:r>
      <w:r w:rsidR="0028276D">
        <w:t>, attend appointment when requested to do so,</w:t>
      </w:r>
      <w:r>
        <w:t xml:space="preserve"> and participate in </w:t>
      </w:r>
      <w:r w:rsidR="00E94809">
        <w:t xml:space="preserve">compulsory </w:t>
      </w:r>
      <w:r>
        <w:t>tasks and activities outlined in their Job Plan.</w:t>
      </w:r>
    </w:p>
    <w:p w14:paraId="77F4D642" w14:textId="785084BB" w:rsidR="00D74559" w:rsidRDefault="00D74559" w:rsidP="006E2EF5">
      <w:r>
        <w:t xml:space="preserve">Participation requirements reinforce that a Participant (Mutual Obligation) and DSP Recipient (Compulsory Requirements) must </w:t>
      </w:r>
      <w:r w:rsidR="00F52128">
        <w:t xml:space="preserve">be willing to </w:t>
      </w:r>
      <w:r>
        <w:t xml:space="preserve">look for </w:t>
      </w:r>
      <w:r w:rsidR="00F52128">
        <w:t xml:space="preserve">and accept </w:t>
      </w:r>
      <w:r>
        <w:t>suitable work as a condition of receiving their Income Support Payments.</w:t>
      </w:r>
    </w:p>
    <w:p w14:paraId="06CC94EC" w14:textId="77777777" w:rsidR="00D74559" w:rsidRDefault="00D74559" w:rsidP="006E2EF5">
      <w:r>
        <w:t>The type of participation requirements a person has depends on the Income Support Payment they receive. Participation requirements may be either:</w:t>
      </w:r>
    </w:p>
    <w:p w14:paraId="7179C76C" w14:textId="77777777" w:rsidR="00D74559" w:rsidRDefault="00D74559" w:rsidP="004E120D">
      <w:pPr>
        <w:pStyle w:val="BulletLevel1"/>
      </w:pPr>
      <w:r>
        <w:t>Mutual Obligation Requirements — the requirements that a Participant (Mutual Obligation) must meet in return for receiving their Income Support Payments from Services Australia, or</w:t>
      </w:r>
    </w:p>
    <w:p w14:paraId="67E46215" w14:textId="60A77C83" w:rsidR="00D74559" w:rsidRDefault="00D74559" w:rsidP="004E120D">
      <w:pPr>
        <w:pStyle w:val="BulletLevel1"/>
      </w:pPr>
      <w:r>
        <w:t xml:space="preserve">compulsory participation requirements </w:t>
      </w:r>
      <w:r w:rsidR="0028276D">
        <w:t>—</w:t>
      </w:r>
      <w:r>
        <w:t xml:space="preserve"> the requirements that a DSP Recipient (Compulsory Requirements) has in return for receiving the DSP from Services Australia.</w:t>
      </w:r>
    </w:p>
    <w:p w14:paraId="3F93B68A" w14:textId="77777777" w:rsidR="00D74559" w:rsidRDefault="00D74559" w:rsidP="006E2EF5">
      <w:r w:rsidRPr="52AE57C5">
        <w:rPr>
          <w:b/>
          <w:bCs/>
        </w:rPr>
        <w:t>Note:</w:t>
      </w:r>
      <w:r>
        <w:t xml:space="preserve"> The Department’s IT Systems will show if a Participant has participation requirements.</w:t>
      </w:r>
    </w:p>
    <w:p w14:paraId="20CEB017" w14:textId="5D2AB9F2" w:rsidR="00D74559" w:rsidRPr="003E28EC" w:rsidRDefault="00D74559" w:rsidP="006F727E">
      <w:pPr>
        <w:pStyle w:val="SystemStep"/>
      </w:pPr>
      <w:r w:rsidRPr="003E28EC">
        <w:t xml:space="preserve">A Participant’s participation requirements are listed on the </w:t>
      </w:r>
      <w:r w:rsidR="0028276D">
        <w:t>‘</w:t>
      </w:r>
      <w:r w:rsidRPr="003E28EC">
        <w:t>Participation</w:t>
      </w:r>
      <w:r w:rsidR="0028276D">
        <w:t>’</w:t>
      </w:r>
      <w:r w:rsidRPr="003E28EC">
        <w:t xml:space="preserve"> </w:t>
      </w:r>
      <w:r w:rsidR="00860866">
        <w:t>screen</w:t>
      </w:r>
      <w:r w:rsidRPr="003E28EC">
        <w:t xml:space="preserve"> in the Department’s IT Systems</w:t>
      </w:r>
      <w:r>
        <w:t>.</w:t>
      </w:r>
    </w:p>
    <w:p w14:paraId="344621AC" w14:textId="49F32BF1" w:rsidR="00D74559" w:rsidRDefault="00D74559" w:rsidP="006E2EF5">
      <w:r>
        <w:t>Participants (Voluntary) do not have participation requirements</w:t>
      </w:r>
      <w:r w:rsidR="0045753B">
        <w:t>. I</w:t>
      </w:r>
      <w:r>
        <w:t xml:space="preserve">f the Participant is not </w:t>
      </w:r>
      <w:r w:rsidR="0045753B">
        <w:t xml:space="preserve">in contact with the Provider or </w:t>
      </w:r>
      <w:r>
        <w:t xml:space="preserve">not engaging </w:t>
      </w:r>
      <w:r w:rsidR="0045753B">
        <w:t>appropriately</w:t>
      </w:r>
      <w:r>
        <w:t xml:space="preserve"> with </w:t>
      </w:r>
      <w:r w:rsidR="008B42A1">
        <w:t>Services</w:t>
      </w:r>
      <w:r>
        <w:t xml:space="preserve">, the Provider must either Suspend or Exit the Participant </w:t>
      </w:r>
      <w:r w:rsidR="00B06982">
        <w:t>in accordance with the guidance in</w:t>
      </w:r>
      <w:r w:rsidR="00BD75D3">
        <w:t xml:space="preserve"> </w:t>
      </w:r>
      <w:r w:rsidR="00BD75D3">
        <w:fldChar w:fldCharType="begin"/>
      </w:r>
      <w:r w:rsidR="00BD75D3">
        <w:instrText xml:space="preserve"> REF _Ref202780811 \h </w:instrText>
      </w:r>
      <w:r w:rsidR="00BD75D3">
        <w:fldChar w:fldCharType="separate"/>
      </w:r>
      <w:r w:rsidR="000D75AE" w:rsidRPr="00BA23D8">
        <w:t>Chapter 3</w:t>
      </w:r>
      <w:r w:rsidR="000D75AE">
        <w:t>:</w:t>
      </w:r>
      <w:r w:rsidR="004572F7">
        <w:t xml:space="preserve"> </w:t>
      </w:r>
      <w:r w:rsidR="000D75AE" w:rsidRPr="00BA23D8">
        <w:t>Commencements, Transfers, Suspensions and Exits</w:t>
      </w:r>
      <w:r w:rsidR="00BD75D3">
        <w:fldChar w:fldCharType="end"/>
      </w:r>
      <w:r>
        <w:t>.</w:t>
      </w:r>
    </w:p>
    <w:p w14:paraId="320208E5" w14:textId="1F734DE6" w:rsidR="00FB39BC" w:rsidRDefault="00D74559" w:rsidP="006E2EF5">
      <w:r w:rsidRPr="202AFE3D">
        <w:t xml:space="preserve">At any time, a </w:t>
      </w:r>
      <w:r w:rsidR="00F62473">
        <w:t xml:space="preserve">Participant (Mutual Obligation) and DSP Recipient (Compulsory Requirements) </w:t>
      </w:r>
      <w:r w:rsidR="0095366A">
        <w:t xml:space="preserve">may </w:t>
      </w:r>
      <w:r w:rsidR="00FB39BC">
        <w:t>no longer need to participate in employment services as:</w:t>
      </w:r>
    </w:p>
    <w:p w14:paraId="7D8B67CD" w14:textId="3060BDA8" w:rsidR="00D13C40" w:rsidRDefault="00D13C40" w:rsidP="004E120D">
      <w:pPr>
        <w:pStyle w:val="BulletLevel1"/>
      </w:pPr>
      <w:r>
        <w:t>Services Australia applies an Exemption, or</w:t>
      </w:r>
    </w:p>
    <w:p w14:paraId="2357F8FC" w14:textId="1D991513" w:rsidR="00FB39BC" w:rsidRDefault="00D13C40" w:rsidP="004E120D">
      <w:pPr>
        <w:pStyle w:val="BulletLevel1"/>
      </w:pPr>
      <w:r>
        <w:t xml:space="preserve">they </w:t>
      </w:r>
      <w:r w:rsidR="0095366A">
        <w:t xml:space="preserve">have a </w:t>
      </w:r>
      <w:r w:rsidR="00F1179A">
        <w:t>temporary reduced work capacity</w:t>
      </w:r>
      <w:r w:rsidR="003B3D65">
        <w:t>:</w:t>
      </w:r>
    </w:p>
    <w:p w14:paraId="74344338" w14:textId="4D483A88" w:rsidR="003B3D65" w:rsidRDefault="003B3D65" w:rsidP="004E120D">
      <w:pPr>
        <w:pStyle w:val="BulletLevel2"/>
      </w:pPr>
      <w:r>
        <w:t>between 0-14 hours</w:t>
      </w:r>
      <w:r w:rsidR="00FE3968">
        <w:t xml:space="preserve"> for 12 weeks or more,</w:t>
      </w:r>
      <w:r>
        <w:t xml:space="preserve"> if a Participant (Mutual Obligation)</w:t>
      </w:r>
      <w:r w:rsidR="0028276D">
        <w:t>, or</w:t>
      </w:r>
    </w:p>
    <w:p w14:paraId="1F6015B7" w14:textId="0A379225" w:rsidR="003B3D65" w:rsidRDefault="003B3D65" w:rsidP="004E120D">
      <w:pPr>
        <w:pStyle w:val="BulletLevel2"/>
      </w:pPr>
      <w:r>
        <w:t>less than 8 hours</w:t>
      </w:r>
      <w:r w:rsidR="008E6734">
        <w:t>,</w:t>
      </w:r>
      <w:r>
        <w:t xml:space="preserve"> if a DSP Recipient (Compulsory Requirements).</w:t>
      </w:r>
    </w:p>
    <w:p w14:paraId="0186899F" w14:textId="30691263" w:rsidR="00D74559" w:rsidRDefault="009F34C8" w:rsidP="006E2EF5">
      <w:r>
        <w:t>As noted in</w:t>
      </w:r>
      <w:r w:rsidR="00BD75D3">
        <w:t xml:space="preserve"> </w:t>
      </w:r>
      <w:r w:rsidR="004572F7">
        <w:fldChar w:fldCharType="begin"/>
      </w:r>
      <w:r w:rsidR="004572F7">
        <w:instrText xml:space="preserve"> REF _Ref202788224 \h </w:instrText>
      </w:r>
      <w:r w:rsidR="004572F7">
        <w:fldChar w:fldCharType="separate"/>
      </w:r>
      <w:r w:rsidR="004572F7">
        <w:t>3.5 Suspensions and Volunteer Periods</w:t>
      </w:r>
      <w:r w:rsidR="004572F7">
        <w:fldChar w:fldCharType="end"/>
      </w:r>
      <w:r w:rsidR="00BD75D3">
        <w:fldChar w:fldCharType="begin"/>
      </w:r>
      <w:r w:rsidR="00BD75D3">
        <w:instrText xml:space="preserve"> REF _Ref202788224 \h </w:instrText>
      </w:r>
      <w:r w:rsidR="00BD75D3">
        <w:fldChar w:fldCharType="separate"/>
      </w:r>
      <w:r w:rsidR="00BD75D3">
        <w:fldChar w:fldCharType="end"/>
      </w:r>
      <w:r>
        <w:t>, the Participant</w:t>
      </w:r>
      <w:r w:rsidR="00D74559" w:rsidRPr="202AFE3D">
        <w:t xml:space="preserve"> </w:t>
      </w:r>
      <w:r w:rsidR="00A40304">
        <w:t>will be</w:t>
      </w:r>
      <w:r w:rsidR="00D74559" w:rsidRPr="202AFE3D">
        <w:t xml:space="preserve"> Suspended for the</w:t>
      </w:r>
      <w:r w:rsidR="004346B4">
        <w:t xml:space="preserve"> duration of this</w:t>
      </w:r>
      <w:r w:rsidR="00D74559" w:rsidRPr="202AFE3D">
        <w:t xml:space="preserve"> period, unless</w:t>
      </w:r>
      <w:r w:rsidR="00D74559">
        <w:t xml:space="preserve"> </w:t>
      </w:r>
      <w:r w:rsidR="00D74559" w:rsidRPr="202AFE3D">
        <w:t>they are receiving Post Placement Support or Ongoing Support, or if they volunteer to continue receiving Pre</w:t>
      </w:r>
      <w:r w:rsidR="00D74559">
        <w:t>-</w:t>
      </w:r>
      <w:r w:rsidR="00D74559" w:rsidRPr="202AFE3D">
        <w:t>Employment Support.</w:t>
      </w:r>
    </w:p>
    <w:p w14:paraId="215A4CD7" w14:textId="3473C272" w:rsidR="00D74559" w:rsidRDefault="00BE78E1" w:rsidP="006E2EF5">
      <w:r w:rsidRPr="00BE78E1">
        <w:rPr>
          <w:b/>
          <w:bCs/>
        </w:rPr>
        <w:t>Note:</w:t>
      </w:r>
      <w:r>
        <w:t xml:space="preserve"> </w:t>
      </w:r>
      <w:r w:rsidR="00D74559" w:rsidRPr="202AFE3D">
        <w:t>During a Volunteer Period, a Participant (Mutual Obligation) continues to receive support as a Volunteer (Mutual Obligation) and a DSP Recipient (Compulsory Requirements) continues to receive support as a Volunteer (Non-</w:t>
      </w:r>
      <w:r w:rsidR="001E2DDD">
        <w:t>M</w:t>
      </w:r>
      <w:r w:rsidR="00D74559" w:rsidRPr="202AFE3D">
        <w:t>utual Obligation).</w:t>
      </w:r>
    </w:p>
    <w:p w14:paraId="259E3F97" w14:textId="7635DC0A" w:rsidR="00BA52E9" w:rsidRPr="006A7163" w:rsidRDefault="00914074" w:rsidP="006E2EF5">
      <w:r>
        <w:t>Once</w:t>
      </w:r>
      <w:r w:rsidR="00BA52E9">
        <w:t xml:space="preserve"> the Exemption or temporary reduced work capacity period has ended, the Provider must resume delivery of Services. This would include a face-to-face Contact Appointment with the Participant as part of the Re</w:t>
      </w:r>
      <w:r w:rsidR="00BA52E9">
        <w:noBreakHyphen/>
        <w:t>engagement process</w:t>
      </w:r>
      <w:r w:rsidR="00EC5AA5">
        <w:t xml:space="preserve"> </w:t>
      </w:r>
      <w:r w:rsidR="0095632B">
        <w:t>(unless conducting the appointment face-</w:t>
      </w:r>
      <w:r w:rsidR="00BA52E9">
        <w:t>to</w:t>
      </w:r>
      <w:r w:rsidR="0095632B">
        <w:t>-face would be unreasonable)</w:t>
      </w:r>
      <w:r w:rsidR="0028276D">
        <w:t xml:space="preserve"> and </w:t>
      </w:r>
      <w:r w:rsidR="00BA52E9">
        <w:t>ensur</w:t>
      </w:r>
      <w:r w:rsidR="0028276D">
        <w:t>ing</w:t>
      </w:r>
      <w:r w:rsidR="00BA52E9">
        <w:t xml:space="preserve"> the</w:t>
      </w:r>
      <w:r w:rsidR="0028276D">
        <w:t xml:space="preserve"> Participant</w:t>
      </w:r>
      <w:r w:rsidR="00BA52E9">
        <w:t xml:space="preserve"> understand</w:t>
      </w:r>
      <w:r w:rsidR="0028276D">
        <w:t>s</w:t>
      </w:r>
      <w:r w:rsidR="00BA52E9">
        <w:t xml:space="preserve"> their </w:t>
      </w:r>
      <w:r>
        <w:t>participation r</w:t>
      </w:r>
      <w:r w:rsidR="00BA52E9">
        <w:t>equirements.</w:t>
      </w:r>
      <w:r w:rsidR="0028276D">
        <w:t xml:space="preserve"> It may also be</w:t>
      </w:r>
      <w:r w:rsidR="00BA52E9">
        <w:t xml:space="preserve"> appropriate </w:t>
      </w:r>
      <w:r w:rsidR="0028276D">
        <w:t>to ask the Participant</w:t>
      </w:r>
      <w:r w:rsidR="00BA52E9">
        <w:t xml:space="preserve"> to </w:t>
      </w:r>
      <w:r w:rsidR="0028276D">
        <w:t>agree to their Job Plan again, depending on when the Job Plan was last approved</w:t>
      </w:r>
      <w:r w:rsidR="00BA52E9">
        <w:t>.</w:t>
      </w:r>
    </w:p>
    <w:p w14:paraId="204290CD" w14:textId="7D983BEB" w:rsidR="00D74559" w:rsidRDefault="00D74559" w:rsidP="001D0F92">
      <w:pPr>
        <w:pStyle w:val="Heading4"/>
      </w:pPr>
      <w:bookmarkStart w:id="193" w:name="_Ref202785097"/>
      <w:bookmarkStart w:id="194" w:name="_Ref202785464"/>
      <w:bookmarkStart w:id="195" w:name="_Toc202899953"/>
      <w:r>
        <w:t>5.2.1</w:t>
      </w:r>
      <w:r w:rsidR="00246323">
        <w:tab/>
      </w:r>
      <w:r>
        <w:t>Mutual Obligation Requirements</w:t>
      </w:r>
      <w:bookmarkEnd w:id="193"/>
      <w:bookmarkEnd w:id="194"/>
      <w:bookmarkEnd w:id="195"/>
    </w:p>
    <w:p w14:paraId="34B9CC65" w14:textId="2F0319D2" w:rsidR="00D74559" w:rsidRPr="00593D1A" w:rsidRDefault="00D74559" w:rsidP="00593D1A">
      <w:pPr>
        <w:rPr>
          <w:rStyle w:val="Emphasis"/>
        </w:rPr>
      </w:pPr>
      <w:r w:rsidRPr="00593D1A">
        <w:rPr>
          <w:rStyle w:val="Emphasis"/>
        </w:rPr>
        <w:t xml:space="preserve">This </w:t>
      </w:r>
      <w:r w:rsidR="004D162A">
        <w:rPr>
          <w:rStyle w:val="Emphasis"/>
        </w:rPr>
        <w:t>S</w:t>
      </w:r>
      <w:r w:rsidRPr="00593D1A">
        <w:rPr>
          <w:rStyle w:val="Emphasis"/>
        </w:rPr>
        <w:t>ection applies to Participants (Mutual Obligation).</w:t>
      </w:r>
    </w:p>
    <w:p w14:paraId="56E31E90" w14:textId="214896FF" w:rsidR="00D74559" w:rsidRDefault="00A404CC" w:rsidP="006E2EF5">
      <w:pPr>
        <w:keepNext/>
      </w:pPr>
      <w:r>
        <w:t xml:space="preserve">Whether a Participant has </w:t>
      </w:r>
      <w:r w:rsidR="00AD3E4A">
        <w:t>full-time or part-time</w:t>
      </w:r>
      <w:r>
        <w:t xml:space="preserve"> </w:t>
      </w:r>
      <w:r w:rsidR="00D74559" w:rsidRPr="202AFE3D">
        <w:t xml:space="preserve">Mutual Obligation Requirements </w:t>
      </w:r>
      <w:r w:rsidR="00AD3E4A">
        <w:t>is</w:t>
      </w:r>
      <w:r w:rsidR="00D74559" w:rsidRPr="202AFE3D">
        <w:t xml:space="preserve"> </w:t>
      </w:r>
      <w:r w:rsidR="00D74559">
        <w:t>determined by Services Australia</w:t>
      </w:r>
      <w:r w:rsidR="00AD3E4A">
        <w:t>,</w:t>
      </w:r>
      <w:r w:rsidR="00D74559">
        <w:t xml:space="preserve"> and </w:t>
      </w:r>
      <w:r w:rsidR="00AD3E4A">
        <w:t>will</w:t>
      </w:r>
      <w:r w:rsidR="00D74559">
        <w:t xml:space="preserve"> </w:t>
      </w:r>
      <w:r w:rsidR="00D74559" w:rsidRPr="202AFE3D">
        <w:t>generall</w:t>
      </w:r>
      <w:r w:rsidR="00AD3E4A">
        <w:t>y be</w:t>
      </w:r>
      <w:r w:rsidR="00D74559" w:rsidRPr="202AFE3D">
        <w:t xml:space="preserve"> </w:t>
      </w:r>
      <w:r w:rsidR="00D74559">
        <w:t>based on</w:t>
      </w:r>
      <w:r w:rsidR="00D74559" w:rsidRPr="202AFE3D">
        <w:t>:</w:t>
      </w:r>
    </w:p>
    <w:p w14:paraId="621850AA" w14:textId="77777777" w:rsidR="00D74559" w:rsidRDefault="00D74559" w:rsidP="004E120D">
      <w:pPr>
        <w:pStyle w:val="BulletLevel1"/>
      </w:pPr>
      <w:r>
        <w:t>the Participant's</w:t>
      </w:r>
      <w:r w:rsidRPr="00981B12">
        <w:t xml:space="preserve"> age</w:t>
      </w:r>
    </w:p>
    <w:p w14:paraId="59DB83E4" w14:textId="77777777" w:rsidR="00D74559" w:rsidRDefault="00D74559" w:rsidP="004E120D">
      <w:pPr>
        <w:pStyle w:val="BulletLevel1"/>
        <w:rPr>
          <w:lang w:val="en-GB"/>
        </w:rPr>
      </w:pPr>
      <w:r w:rsidRPr="48661572">
        <w:rPr>
          <w:lang w:val="en-GB"/>
        </w:rPr>
        <w:t xml:space="preserve">the Participant’s assessed work </w:t>
      </w:r>
      <w:bookmarkStart w:id="196" w:name="_Int_7k03bOZC"/>
      <w:r w:rsidRPr="48661572">
        <w:rPr>
          <w:lang w:val="en-GB"/>
        </w:rPr>
        <w:t>capacity</w:t>
      </w:r>
      <w:bookmarkEnd w:id="196"/>
      <w:r w:rsidRPr="48661572">
        <w:rPr>
          <w:lang w:val="en-GB"/>
        </w:rPr>
        <w:t>, and</w:t>
      </w:r>
    </w:p>
    <w:p w14:paraId="555F9E83" w14:textId="20B0B8BD" w:rsidR="00D74559" w:rsidRDefault="00D74559" w:rsidP="004E120D">
      <w:pPr>
        <w:pStyle w:val="BulletLevel1"/>
      </w:pPr>
      <w:r>
        <w:t xml:space="preserve">if the Participant has primary responsibility for the care of a child. </w:t>
      </w:r>
    </w:p>
    <w:p w14:paraId="0EE1ABBE" w14:textId="39F27E22" w:rsidR="00637594" w:rsidRDefault="00637594" w:rsidP="006E2EF5">
      <w:pPr>
        <w:rPr>
          <w:rFonts w:eastAsiaTheme="minorEastAsia"/>
          <w:szCs w:val="22"/>
        </w:rPr>
      </w:pPr>
      <w:r w:rsidRPr="00637594">
        <w:rPr>
          <w:rFonts w:eastAsiaTheme="minorEastAsia"/>
          <w:szCs w:val="22"/>
        </w:rPr>
        <w:t>Du</w:t>
      </w:r>
      <w:r>
        <w:rPr>
          <w:rFonts w:eastAsiaTheme="minorEastAsia"/>
          <w:szCs w:val="22"/>
        </w:rPr>
        <w:t xml:space="preserve">e </w:t>
      </w:r>
      <w:r w:rsidRPr="00637594">
        <w:rPr>
          <w:rFonts w:eastAsiaTheme="minorEastAsia"/>
          <w:szCs w:val="22"/>
        </w:rPr>
        <w:t xml:space="preserve">to the eligibility criteria for </w:t>
      </w:r>
      <w:r w:rsidR="00C74C33">
        <w:rPr>
          <w:rFonts w:eastAsiaTheme="minorEastAsia"/>
          <w:szCs w:val="22"/>
        </w:rPr>
        <w:t>Inclusive Employment Australia</w:t>
      </w:r>
      <w:r w:rsidRPr="00637594">
        <w:rPr>
          <w:rFonts w:eastAsiaTheme="minorEastAsia"/>
          <w:szCs w:val="22"/>
        </w:rPr>
        <w:t xml:space="preserve"> (see</w:t>
      </w:r>
      <w:r w:rsidR="00BD75D3">
        <w:rPr>
          <w:rFonts w:eastAsiaTheme="minorEastAsia"/>
          <w:szCs w:val="22"/>
        </w:rPr>
        <w:t xml:space="preserve"> </w:t>
      </w:r>
      <w:r w:rsidR="002E053E">
        <w:rPr>
          <w:rFonts w:eastAsiaTheme="minorEastAsia"/>
          <w:szCs w:val="22"/>
        </w:rPr>
        <w:fldChar w:fldCharType="begin"/>
      </w:r>
      <w:r w:rsidR="002E053E">
        <w:rPr>
          <w:rFonts w:eastAsiaTheme="minorEastAsia"/>
          <w:szCs w:val="22"/>
        </w:rPr>
        <w:instrText xml:space="preserve"> REF _Ref202781975 \h </w:instrText>
      </w:r>
      <w:r w:rsidR="002E053E">
        <w:rPr>
          <w:rFonts w:eastAsiaTheme="minorEastAsia"/>
          <w:szCs w:val="22"/>
        </w:rPr>
      </w:r>
      <w:r w:rsidR="002E053E">
        <w:rPr>
          <w:rFonts w:eastAsiaTheme="minorEastAsia"/>
          <w:szCs w:val="22"/>
        </w:rPr>
        <w:fldChar w:fldCharType="separate"/>
      </w:r>
      <w:r w:rsidR="002E053E">
        <w:t>1.2 General eligibility criteria</w:t>
      </w:r>
      <w:r w:rsidR="002E053E">
        <w:rPr>
          <w:rFonts w:eastAsiaTheme="minorEastAsia"/>
          <w:szCs w:val="22"/>
        </w:rPr>
        <w:fldChar w:fldCharType="end"/>
      </w:r>
      <w:r w:rsidR="00BD75D3">
        <w:rPr>
          <w:rFonts w:eastAsiaTheme="minorEastAsia"/>
          <w:szCs w:val="22"/>
          <w:highlight w:val="yellow"/>
        </w:rPr>
        <w:fldChar w:fldCharType="begin"/>
      </w:r>
      <w:r w:rsidR="00BD75D3">
        <w:rPr>
          <w:rFonts w:eastAsiaTheme="minorEastAsia"/>
          <w:szCs w:val="22"/>
          <w:highlight w:val="yellow"/>
        </w:rPr>
        <w:instrText xml:space="preserve"> REF _Ref202781975 \h </w:instrText>
      </w:r>
      <w:r w:rsidR="00BD75D3">
        <w:rPr>
          <w:rFonts w:eastAsiaTheme="minorEastAsia"/>
          <w:szCs w:val="22"/>
          <w:highlight w:val="yellow"/>
        </w:rPr>
      </w:r>
      <w:r w:rsidR="00BD75D3">
        <w:rPr>
          <w:rFonts w:eastAsiaTheme="minorEastAsia"/>
          <w:szCs w:val="22"/>
          <w:highlight w:val="yellow"/>
        </w:rPr>
        <w:fldChar w:fldCharType="separate"/>
      </w:r>
      <w:r w:rsidR="00BD75D3">
        <w:rPr>
          <w:rFonts w:eastAsiaTheme="minorEastAsia"/>
          <w:szCs w:val="22"/>
          <w:highlight w:val="yellow"/>
        </w:rPr>
        <w:fldChar w:fldCharType="end"/>
      </w:r>
      <w:r w:rsidRPr="00637594">
        <w:rPr>
          <w:rFonts w:eastAsiaTheme="minorEastAsia"/>
          <w:szCs w:val="22"/>
        </w:rPr>
        <w:t xml:space="preserve">), </w:t>
      </w:r>
      <w:r w:rsidR="003A35D2">
        <w:rPr>
          <w:rFonts w:eastAsiaTheme="minorEastAsia"/>
          <w:szCs w:val="22"/>
        </w:rPr>
        <w:t>typically</w:t>
      </w:r>
      <w:r w:rsidR="004C797E">
        <w:rPr>
          <w:rFonts w:eastAsiaTheme="minorEastAsia"/>
          <w:szCs w:val="22"/>
        </w:rPr>
        <w:t xml:space="preserve"> </w:t>
      </w:r>
      <w:r w:rsidRPr="00637594">
        <w:rPr>
          <w:rFonts w:eastAsiaTheme="minorEastAsia"/>
          <w:szCs w:val="22"/>
        </w:rPr>
        <w:t>Participants will have part-time requirements.</w:t>
      </w:r>
    </w:p>
    <w:p w14:paraId="2DB7799B" w14:textId="39393269" w:rsidR="00D06C55" w:rsidRPr="00735F28" w:rsidRDefault="00D06C55" w:rsidP="00D06C55">
      <w:pPr>
        <w:rPr>
          <w:rFonts w:eastAsiaTheme="minorEastAsia"/>
        </w:rPr>
      </w:pPr>
      <w:r w:rsidRPr="239F9514">
        <w:rPr>
          <w:rFonts w:eastAsiaTheme="minorEastAsia"/>
        </w:rPr>
        <w:t xml:space="preserve">Services Australia may determine that a Participant (Mutual Obligation) is Fully Meeting their requirements if they are undertaking an approved Activity or combination of approved Activities for enough hours each fortnight. </w:t>
      </w:r>
      <w:r>
        <w:rPr>
          <w:rFonts w:eastAsiaTheme="minorEastAsia"/>
          <w:szCs w:val="22"/>
        </w:rPr>
        <w:t xml:space="preserve">Those </w:t>
      </w:r>
      <w:r w:rsidR="005D5A0C">
        <w:rPr>
          <w:rFonts w:eastAsiaTheme="minorEastAsia"/>
          <w:szCs w:val="22"/>
        </w:rPr>
        <w:t>who</w:t>
      </w:r>
      <w:r>
        <w:rPr>
          <w:rFonts w:eastAsiaTheme="minorEastAsia"/>
          <w:szCs w:val="22"/>
        </w:rPr>
        <w:t xml:space="preserve"> are Fully Meeting their requirements are not required to participate with employment services but may choose to volunteer for employment services.</w:t>
      </w:r>
    </w:p>
    <w:p w14:paraId="5050FBE1" w14:textId="6B09055D" w:rsidR="00D74559" w:rsidRDefault="00D74559" w:rsidP="006E2EF5">
      <w:pPr>
        <w:rPr>
          <w:rFonts w:eastAsiaTheme="minorEastAsia"/>
          <w:szCs w:val="22"/>
        </w:rPr>
      </w:pPr>
      <w:r>
        <w:rPr>
          <w:rFonts w:eastAsiaTheme="minorEastAsia"/>
          <w:szCs w:val="22"/>
        </w:rPr>
        <w:t>A Participant may have a temporary reduction in their requirements as a result of a temporary reduced work capacity.</w:t>
      </w:r>
    </w:p>
    <w:p w14:paraId="3EE18D6A" w14:textId="219D4E8D" w:rsidR="00F0705F" w:rsidRDefault="00F0705F" w:rsidP="00F0705F">
      <w:r>
        <w:t xml:space="preserve">The interaction between a Participant’s assessed work capacity, Mutual Obligation Requirements and </w:t>
      </w:r>
      <w:r w:rsidRPr="239F9514">
        <w:t xml:space="preserve">Employment Benchmark </w:t>
      </w:r>
      <w:r>
        <w:t>is</w:t>
      </w:r>
      <w:r w:rsidRPr="239F9514">
        <w:t xml:space="preserve"> outlined in the</w:t>
      </w:r>
      <w:r>
        <w:t xml:space="preserve"> following</w:t>
      </w:r>
      <w:r w:rsidRPr="239F9514">
        <w:t xml:space="preserve"> table.</w:t>
      </w:r>
    </w:p>
    <w:p w14:paraId="4DDBBCFB" w14:textId="77777777" w:rsidR="00D74559" w:rsidRDefault="00D74559" w:rsidP="006E2EF5">
      <w:pPr>
        <w:pStyle w:val="TableChartHeading"/>
      </w:pPr>
      <w:r>
        <w:t>Participation levels</w:t>
      </w:r>
    </w:p>
    <w:tbl>
      <w:tblPr>
        <w:tblStyle w:val="DSSTableStyleB"/>
        <w:tblW w:w="0" w:type="auto"/>
        <w:tblBorders>
          <w:top w:val="single" w:sz="4" w:space="0" w:color="auto"/>
          <w:bottom w:val="single" w:sz="4" w:space="0" w:color="auto"/>
          <w:insideH w:val="single" w:sz="4" w:space="0" w:color="auto"/>
        </w:tblBorders>
        <w:tblLook w:val="04E0" w:firstRow="1" w:lastRow="1" w:firstColumn="1" w:lastColumn="0" w:noHBand="0" w:noVBand="1"/>
        <w:tblDescription w:val="Example of a table styled with the second of the two DSS table styles. It is populated with food-related dummy data."/>
      </w:tblPr>
      <w:tblGrid>
        <w:gridCol w:w="2551"/>
        <w:gridCol w:w="2551"/>
        <w:gridCol w:w="2551"/>
        <w:gridCol w:w="2551"/>
      </w:tblGrid>
      <w:tr w:rsidR="00FD020B" w14:paraId="3C17DACF" w14:textId="77777777" w:rsidTr="00DE7A9B">
        <w:trPr>
          <w:cnfStyle w:val="100000000000" w:firstRow="1" w:lastRow="0" w:firstColumn="0" w:lastColumn="0" w:oddVBand="0" w:evenVBand="0" w:oddHBand="0" w:evenHBand="0" w:firstRowFirstColumn="0" w:firstRowLastColumn="0" w:lastRowFirstColumn="0" w:lastRowLastColumn="0"/>
        </w:trPr>
        <w:tc>
          <w:tcPr>
            <w:tcW w:w="2551" w:type="dxa"/>
          </w:tcPr>
          <w:p w14:paraId="01EDC5A6" w14:textId="77777777" w:rsidR="00D74559" w:rsidRDefault="00D74559" w:rsidP="00F51664">
            <w:pPr>
              <w:pStyle w:val="TableText"/>
              <w:keepNext/>
            </w:pPr>
            <w:r>
              <w:t>Work Capacity</w:t>
            </w:r>
          </w:p>
        </w:tc>
        <w:tc>
          <w:tcPr>
            <w:tcW w:w="2551" w:type="dxa"/>
          </w:tcPr>
          <w:p w14:paraId="19C42A54" w14:textId="77777777" w:rsidR="00D74559" w:rsidRDefault="00D74559" w:rsidP="00F51664">
            <w:pPr>
              <w:pStyle w:val="TableText"/>
              <w:keepNext/>
            </w:pPr>
            <w:r>
              <w:t>Employment Benchmark</w:t>
            </w:r>
          </w:p>
        </w:tc>
        <w:tc>
          <w:tcPr>
            <w:tcW w:w="2551" w:type="dxa"/>
          </w:tcPr>
          <w:p w14:paraId="159894C3" w14:textId="77777777" w:rsidR="00D74559" w:rsidRDefault="00D74559" w:rsidP="00F51664">
            <w:pPr>
              <w:pStyle w:val="TableText"/>
              <w:keepNext/>
            </w:pPr>
            <w:r>
              <w:t>Mutual Obligation Requirements</w:t>
            </w:r>
          </w:p>
        </w:tc>
        <w:tc>
          <w:tcPr>
            <w:tcW w:w="2551" w:type="dxa"/>
          </w:tcPr>
          <w:p w14:paraId="198FC8D2" w14:textId="64144D0B" w:rsidR="00D74559" w:rsidRDefault="00D74559" w:rsidP="00F51664">
            <w:pPr>
              <w:pStyle w:val="TableText"/>
              <w:keepNext/>
            </w:pPr>
            <w:r>
              <w:t xml:space="preserve">Fully Meeting </w:t>
            </w:r>
            <w:r w:rsidR="0067215D">
              <w:t xml:space="preserve">(Approved </w:t>
            </w:r>
            <w:r w:rsidR="00A91138">
              <w:t>Activities)</w:t>
            </w:r>
          </w:p>
        </w:tc>
      </w:tr>
      <w:tr w:rsidR="00D74559" w:rsidRPr="00896337" w14:paraId="35FCCC6D" w14:textId="77777777" w:rsidTr="00DE7A9B">
        <w:trPr>
          <w:cnfStyle w:val="000000100000" w:firstRow="0" w:lastRow="0" w:firstColumn="0" w:lastColumn="0" w:oddVBand="0" w:evenVBand="0" w:oddHBand="1" w:evenHBand="0" w:firstRowFirstColumn="0" w:firstRowLastColumn="0" w:lastRowFirstColumn="0" w:lastRowLastColumn="0"/>
        </w:trPr>
        <w:tc>
          <w:tcPr>
            <w:tcW w:w="2551" w:type="dxa"/>
          </w:tcPr>
          <w:p w14:paraId="7A320BB7" w14:textId="44068A4D" w:rsidR="00D74559" w:rsidRPr="0024602F" w:rsidRDefault="00D74559" w:rsidP="00F51664">
            <w:pPr>
              <w:pStyle w:val="TableText"/>
              <w:keepNext/>
            </w:pPr>
            <w:r>
              <w:t>30+ hours per week</w:t>
            </w:r>
            <w:r w:rsidR="00720340">
              <w:t>*</w:t>
            </w:r>
          </w:p>
        </w:tc>
        <w:tc>
          <w:tcPr>
            <w:tcW w:w="2551" w:type="dxa"/>
          </w:tcPr>
          <w:p w14:paraId="6CF8677C" w14:textId="49FFCC03" w:rsidR="00D74559" w:rsidRPr="0024602F" w:rsidRDefault="00D74559" w:rsidP="00F51664">
            <w:pPr>
              <w:pStyle w:val="TableText"/>
              <w:keepNext/>
            </w:pPr>
            <w:r>
              <w:t>30</w:t>
            </w:r>
            <w:r w:rsidR="00974EEC">
              <w:t xml:space="preserve"> </w:t>
            </w:r>
            <w:r>
              <w:t xml:space="preserve">hours </w:t>
            </w:r>
            <w:r w:rsidR="00330F38">
              <w:t>per week</w:t>
            </w:r>
          </w:p>
        </w:tc>
        <w:tc>
          <w:tcPr>
            <w:tcW w:w="2551" w:type="dxa"/>
          </w:tcPr>
          <w:p w14:paraId="10A6F191" w14:textId="77777777" w:rsidR="00D74559" w:rsidRPr="0024602F" w:rsidRDefault="00D74559" w:rsidP="00F51664">
            <w:pPr>
              <w:pStyle w:val="TableText"/>
              <w:keepNext/>
            </w:pPr>
            <w:r>
              <w:t>Full-time</w:t>
            </w:r>
          </w:p>
        </w:tc>
        <w:tc>
          <w:tcPr>
            <w:tcW w:w="2551" w:type="dxa"/>
          </w:tcPr>
          <w:p w14:paraId="6F8E0258" w14:textId="7BBA3DFC" w:rsidR="00D74559" w:rsidRPr="0024602F" w:rsidRDefault="00D74559" w:rsidP="00F51664">
            <w:pPr>
              <w:pStyle w:val="TableText"/>
              <w:keepNext/>
            </w:pPr>
            <w:r>
              <w:t>70 hours per fortnight</w:t>
            </w:r>
            <w:r w:rsidR="00720340">
              <w:t xml:space="preserve"> </w:t>
            </w:r>
            <w:r w:rsidR="00B03EC1">
              <w:t>*</w:t>
            </w:r>
          </w:p>
        </w:tc>
      </w:tr>
      <w:tr w:rsidR="00FD020B" w:rsidRPr="00896337" w14:paraId="310D13A0" w14:textId="77777777" w:rsidTr="00DE7A9B">
        <w:trPr>
          <w:cnfStyle w:val="000000010000" w:firstRow="0" w:lastRow="0" w:firstColumn="0" w:lastColumn="0" w:oddVBand="0" w:evenVBand="0" w:oddHBand="0" w:evenHBand="1" w:firstRowFirstColumn="0" w:firstRowLastColumn="0" w:lastRowFirstColumn="0" w:lastRowLastColumn="0"/>
        </w:trPr>
        <w:tc>
          <w:tcPr>
            <w:tcW w:w="2551" w:type="dxa"/>
          </w:tcPr>
          <w:p w14:paraId="3E3B3F26" w14:textId="77777777" w:rsidR="00D74559" w:rsidRPr="0024602F" w:rsidRDefault="00D74559" w:rsidP="00F51664">
            <w:pPr>
              <w:pStyle w:val="TableText"/>
              <w:keepNext/>
            </w:pPr>
            <w:r>
              <w:t>23-29 hours per week</w:t>
            </w:r>
          </w:p>
        </w:tc>
        <w:tc>
          <w:tcPr>
            <w:tcW w:w="2551" w:type="dxa"/>
          </w:tcPr>
          <w:p w14:paraId="01F26E93" w14:textId="13405296" w:rsidR="00D74559" w:rsidRPr="0024602F" w:rsidRDefault="00D74559" w:rsidP="00F51664">
            <w:pPr>
              <w:pStyle w:val="TableText"/>
              <w:keepNext/>
            </w:pPr>
            <w:r>
              <w:t xml:space="preserve">23 hours </w:t>
            </w:r>
            <w:r w:rsidR="00330F38">
              <w:t>per week</w:t>
            </w:r>
          </w:p>
        </w:tc>
        <w:tc>
          <w:tcPr>
            <w:tcW w:w="2551" w:type="dxa"/>
          </w:tcPr>
          <w:p w14:paraId="4C88A1BE" w14:textId="77777777" w:rsidR="00D74559" w:rsidRPr="0024602F" w:rsidRDefault="00D74559" w:rsidP="00F51664">
            <w:pPr>
              <w:pStyle w:val="TableText"/>
              <w:keepNext/>
            </w:pPr>
            <w:r>
              <w:t>Part-time</w:t>
            </w:r>
          </w:p>
        </w:tc>
        <w:tc>
          <w:tcPr>
            <w:tcW w:w="2551" w:type="dxa"/>
          </w:tcPr>
          <w:p w14:paraId="30B1D38A" w14:textId="77777777" w:rsidR="00D74559" w:rsidRPr="0024602F" w:rsidRDefault="00D74559" w:rsidP="00F51664">
            <w:pPr>
              <w:pStyle w:val="TableText"/>
              <w:keepNext/>
            </w:pPr>
            <w:r>
              <w:t>30 hours per fortnight</w:t>
            </w:r>
          </w:p>
        </w:tc>
      </w:tr>
      <w:tr w:rsidR="00D74559" w:rsidRPr="00896337" w14:paraId="617FE8AC" w14:textId="77777777" w:rsidTr="00DE7A9B">
        <w:trPr>
          <w:cnfStyle w:val="000000100000" w:firstRow="0" w:lastRow="0" w:firstColumn="0" w:lastColumn="0" w:oddVBand="0" w:evenVBand="0" w:oddHBand="1" w:evenHBand="0" w:firstRowFirstColumn="0" w:firstRowLastColumn="0" w:lastRowFirstColumn="0" w:lastRowLastColumn="0"/>
        </w:trPr>
        <w:tc>
          <w:tcPr>
            <w:tcW w:w="2551" w:type="dxa"/>
          </w:tcPr>
          <w:p w14:paraId="5DB6A755" w14:textId="37EA03B3" w:rsidR="00D74559" w:rsidRDefault="00D74559" w:rsidP="00F51664">
            <w:pPr>
              <w:pStyle w:val="TableText"/>
              <w:keepNext/>
            </w:pPr>
            <w:r>
              <w:t xml:space="preserve">15-22 hours </w:t>
            </w:r>
            <w:r w:rsidR="00DB5CF5">
              <w:t xml:space="preserve">per </w:t>
            </w:r>
            <w:r>
              <w:t>week</w:t>
            </w:r>
          </w:p>
        </w:tc>
        <w:tc>
          <w:tcPr>
            <w:tcW w:w="2551" w:type="dxa"/>
          </w:tcPr>
          <w:p w14:paraId="433E4949" w14:textId="5BBB1D5E" w:rsidR="00D74559" w:rsidRDefault="00D74559" w:rsidP="00F51664">
            <w:pPr>
              <w:pStyle w:val="TableText"/>
              <w:keepNext/>
            </w:pPr>
            <w:r>
              <w:t xml:space="preserve">15 hours </w:t>
            </w:r>
            <w:r w:rsidR="00330F38">
              <w:t>per week</w:t>
            </w:r>
          </w:p>
        </w:tc>
        <w:tc>
          <w:tcPr>
            <w:tcW w:w="2551" w:type="dxa"/>
          </w:tcPr>
          <w:p w14:paraId="478E5474" w14:textId="77777777" w:rsidR="00D74559" w:rsidRDefault="00D74559" w:rsidP="00F51664">
            <w:pPr>
              <w:pStyle w:val="TableText"/>
              <w:keepNext/>
            </w:pPr>
            <w:r>
              <w:t>Part-time</w:t>
            </w:r>
          </w:p>
        </w:tc>
        <w:tc>
          <w:tcPr>
            <w:tcW w:w="2551" w:type="dxa"/>
          </w:tcPr>
          <w:p w14:paraId="3A4AC54D" w14:textId="77777777" w:rsidR="00D74559" w:rsidRDefault="00D74559" w:rsidP="00F51664">
            <w:pPr>
              <w:pStyle w:val="TableText"/>
              <w:keepNext/>
            </w:pPr>
            <w:r>
              <w:t>30 hours per fortnight</w:t>
            </w:r>
          </w:p>
        </w:tc>
      </w:tr>
      <w:tr w:rsidR="00FD020B" w:rsidRPr="00896337" w14:paraId="00B67B06" w14:textId="77777777" w:rsidTr="00DE7A9B">
        <w:trPr>
          <w:cnfStyle w:val="000000010000" w:firstRow="0" w:lastRow="0" w:firstColumn="0" w:lastColumn="0" w:oddVBand="0" w:evenVBand="0" w:oddHBand="0" w:evenHBand="1" w:firstRowFirstColumn="0" w:firstRowLastColumn="0" w:lastRowFirstColumn="0" w:lastRowLastColumn="0"/>
        </w:trPr>
        <w:tc>
          <w:tcPr>
            <w:tcW w:w="2551" w:type="dxa"/>
          </w:tcPr>
          <w:p w14:paraId="030DF630" w14:textId="4CB9684B" w:rsidR="00D74559" w:rsidRPr="0024602F" w:rsidRDefault="00D74559" w:rsidP="00F51664">
            <w:pPr>
              <w:pStyle w:val="TableText"/>
              <w:keepNext/>
            </w:pPr>
            <w:r>
              <w:t>8-1</w:t>
            </w:r>
            <w:r w:rsidR="00896738">
              <w:t>4</w:t>
            </w:r>
            <w:r>
              <w:t xml:space="preserve"> hours per week</w:t>
            </w:r>
          </w:p>
        </w:tc>
        <w:tc>
          <w:tcPr>
            <w:tcW w:w="2551" w:type="dxa"/>
          </w:tcPr>
          <w:p w14:paraId="49AA51E6" w14:textId="158BCC8C" w:rsidR="00D74559" w:rsidRPr="0024602F" w:rsidRDefault="00D74559" w:rsidP="00F51664">
            <w:pPr>
              <w:pStyle w:val="TableText"/>
              <w:keepNext/>
            </w:pPr>
            <w:r>
              <w:t xml:space="preserve">8 hours </w:t>
            </w:r>
            <w:r w:rsidR="00330F38">
              <w:t>per week</w:t>
            </w:r>
          </w:p>
        </w:tc>
        <w:tc>
          <w:tcPr>
            <w:tcW w:w="2551" w:type="dxa"/>
          </w:tcPr>
          <w:p w14:paraId="2614C2D2" w14:textId="1CB5C2CF" w:rsidR="00D74559" w:rsidRPr="0024602F" w:rsidRDefault="00CB457D" w:rsidP="00F51664">
            <w:pPr>
              <w:pStyle w:val="TableText"/>
              <w:keepNext/>
            </w:pPr>
            <w:r>
              <w:t>Quarterly interviews with Services Australia</w:t>
            </w:r>
          </w:p>
        </w:tc>
        <w:tc>
          <w:tcPr>
            <w:tcW w:w="2551" w:type="dxa"/>
          </w:tcPr>
          <w:p w14:paraId="0582A9BD" w14:textId="14DDC66F" w:rsidR="00D74559" w:rsidRPr="0024602F" w:rsidRDefault="00843DA4" w:rsidP="00F51664">
            <w:pPr>
              <w:pStyle w:val="TableText"/>
              <w:keepNext/>
            </w:pPr>
            <w:r>
              <w:t xml:space="preserve">Attendance at </w:t>
            </w:r>
            <w:r w:rsidR="00646246">
              <w:t>q</w:t>
            </w:r>
            <w:r>
              <w:t>uarterly</w:t>
            </w:r>
            <w:r w:rsidR="00646246">
              <w:t> </w:t>
            </w:r>
            <w:r>
              <w:t>interviews</w:t>
            </w:r>
          </w:p>
        </w:tc>
      </w:tr>
      <w:tr w:rsidR="00FD020B" w:rsidRPr="00797277" w14:paraId="6B06749E" w14:textId="77777777" w:rsidTr="00DE7A9B">
        <w:trPr>
          <w:cnfStyle w:val="010000000000" w:firstRow="0" w:lastRow="1" w:firstColumn="0" w:lastColumn="0" w:oddVBand="0" w:evenVBand="0" w:oddHBand="0" w:evenHBand="0" w:firstRowFirstColumn="0" w:firstRowLastColumn="0" w:lastRowFirstColumn="0" w:lastRowLastColumn="0"/>
        </w:trPr>
        <w:tc>
          <w:tcPr>
            <w:tcW w:w="2551" w:type="dxa"/>
          </w:tcPr>
          <w:p w14:paraId="739A53F7" w14:textId="77777777" w:rsidR="00D74559" w:rsidRPr="00A91444" w:rsidRDefault="00D74559" w:rsidP="0067215D">
            <w:pPr>
              <w:pStyle w:val="TableText"/>
              <w:rPr>
                <w:b w:val="0"/>
                <w:bCs/>
              </w:rPr>
            </w:pPr>
            <w:r>
              <w:rPr>
                <w:b w:val="0"/>
                <w:bCs/>
              </w:rPr>
              <w:t>0-7 hours per week</w:t>
            </w:r>
          </w:p>
        </w:tc>
        <w:tc>
          <w:tcPr>
            <w:tcW w:w="2551" w:type="dxa"/>
          </w:tcPr>
          <w:p w14:paraId="0294332E" w14:textId="3CC0E58F" w:rsidR="00D74559" w:rsidRPr="00A91444" w:rsidRDefault="000D0A0C" w:rsidP="0067215D">
            <w:pPr>
              <w:pStyle w:val="TableText"/>
              <w:rPr>
                <w:b w:val="0"/>
                <w:bCs/>
              </w:rPr>
            </w:pPr>
            <w:r>
              <w:rPr>
                <w:b w:val="0"/>
                <w:bCs/>
              </w:rPr>
              <w:t xml:space="preserve">0 hours </w:t>
            </w:r>
            <w:r w:rsidR="00330F38">
              <w:rPr>
                <w:b w:val="0"/>
                <w:bCs/>
              </w:rPr>
              <w:t>per week</w:t>
            </w:r>
          </w:p>
        </w:tc>
        <w:tc>
          <w:tcPr>
            <w:tcW w:w="2551" w:type="dxa"/>
          </w:tcPr>
          <w:p w14:paraId="0A7C21E3" w14:textId="5D91FAD8" w:rsidR="00D74559" w:rsidRPr="00A91444" w:rsidRDefault="00340E52" w:rsidP="0067215D">
            <w:pPr>
              <w:pStyle w:val="TableText"/>
              <w:rPr>
                <w:b w:val="0"/>
                <w:bCs/>
              </w:rPr>
            </w:pPr>
            <w:r w:rsidRPr="00340E52">
              <w:rPr>
                <w:b w:val="0"/>
                <w:bCs/>
              </w:rPr>
              <w:t xml:space="preserve">Quarterly </w:t>
            </w:r>
            <w:r w:rsidR="00370136">
              <w:rPr>
                <w:b w:val="0"/>
                <w:bCs/>
              </w:rPr>
              <w:t>interviews</w:t>
            </w:r>
            <w:r w:rsidRPr="00340E52">
              <w:rPr>
                <w:b w:val="0"/>
                <w:bCs/>
              </w:rPr>
              <w:t xml:space="preserve"> with Services Australia</w:t>
            </w:r>
          </w:p>
        </w:tc>
        <w:tc>
          <w:tcPr>
            <w:tcW w:w="2551" w:type="dxa"/>
          </w:tcPr>
          <w:p w14:paraId="572CC174" w14:textId="1815E8BD" w:rsidR="00D74559" w:rsidRPr="00646246" w:rsidRDefault="00646246" w:rsidP="0067215D">
            <w:pPr>
              <w:pStyle w:val="TableText"/>
              <w:rPr>
                <w:b w:val="0"/>
                <w:bCs/>
              </w:rPr>
            </w:pPr>
            <w:r w:rsidRPr="00646246">
              <w:rPr>
                <w:b w:val="0"/>
                <w:bCs/>
              </w:rPr>
              <w:t>Attendance at quarterly</w:t>
            </w:r>
            <w:r>
              <w:rPr>
                <w:b w:val="0"/>
                <w:bCs/>
              </w:rPr>
              <w:t> </w:t>
            </w:r>
            <w:r w:rsidRPr="00646246">
              <w:rPr>
                <w:b w:val="0"/>
                <w:bCs/>
              </w:rPr>
              <w:t>interviews</w:t>
            </w:r>
          </w:p>
        </w:tc>
      </w:tr>
    </w:tbl>
    <w:p w14:paraId="1F206397" w14:textId="500C2FB7" w:rsidR="00B03EC1" w:rsidRDefault="00B03EC1" w:rsidP="00A91138">
      <w:pPr>
        <w:rPr>
          <w:rFonts w:eastAsiaTheme="minorEastAsia"/>
          <w:szCs w:val="22"/>
        </w:rPr>
      </w:pPr>
      <w:r w:rsidRPr="009330D2">
        <w:rPr>
          <w:rFonts w:eastAsiaTheme="minorEastAsia"/>
          <w:b/>
          <w:bCs/>
          <w:szCs w:val="22"/>
        </w:rPr>
        <w:t>*</w:t>
      </w:r>
      <w:r w:rsidR="00933845" w:rsidRPr="009330D2">
        <w:rPr>
          <w:rFonts w:eastAsiaTheme="minorEastAsia"/>
          <w:b/>
          <w:bCs/>
          <w:szCs w:val="22"/>
        </w:rPr>
        <w:t xml:space="preserve"> </w:t>
      </w:r>
      <w:r w:rsidR="006F2F41" w:rsidRPr="00F57DE0">
        <w:rPr>
          <w:b/>
          <w:bCs/>
        </w:rPr>
        <w:t>Note:</w:t>
      </w:r>
      <w:r w:rsidR="006F2F41" w:rsidRPr="005267F0">
        <w:t xml:space="preserve"> </w:t>
      </w:r>
      <w:r w:rsidR="00EF1ECC">
        <w:t>Individuals</w:t>
      </w:r>
      <w:r w:rsidR="006F2F41" w:rsidRPr="005267F0">
        <w:t xml:space="preserve"> with an assessed work capacity</w:t>
      </w:r>
      <w:r w:rsidR="006F2F41">
        <w:t xml:space="preserve"> </w:t>
      </w:r>
      <w:r w:rsidR="006F2F41" w:rsidRPr="005267F0">
        <w:t xml:space="preserve">of 30 hours </w:t>
      </w:r>
      <w:r w:rsidR="008D5E8A">
        <w:t>or more</w:t>
      </w:r>
      <w:r w:rsidR="006F2F41" w:rsidRPr="005267F0">
        <w:t xml:space="preserve"> per week </w:t>
      </w:r>
      <w:r w:rsidR="006F2F41">
        <w:t xml:space="preserve">are </w:t>
      </w:r>
      <w:r w:rsidR="006F2F41" w:rsidRPr="005267F0">
        <w:t xml:space="preserve">ineligible to </w:t>
      </w:r>
      <w:r w:rsidR="006F2F41">
        <w:t>C</w:t>
      </w:r>
      <w:r w:rsidR="006F2F41" w:rsidRPr="005267F0">
        <w:t xml:space="preserve">ommence </w:t>
      </w:r>
      <w:r w:rsidR="006F2F41">
        <w:t xml:space="preserve">in </w:t>
      </w:r>
      <w:r w:rsidR="00C74C33">
        <w:t>Inclusive Employment Australia</w:t>
      </w:r>
      <w:r w:rsidR="006F2F41" w:rsidRPr="005267F0">
        <w:t xml:space="preserve">, but </w:t>
      </w:r>
      <w:r w:rsidR="006F2F41">
        <w:t>P</w:t>
      </w:r>
      <w:r w:rsidR="006F2F41" w:rsidRPr="005267F0">
        <w:t xml:space="preserve">articipants </w:t>
      </w:r>
      <w:r w:rsidR="006F2F41">
        <w:t xml:space="preserve">who Commenced in DES prior to </w:t>
      </w:r>
      <w:r w:rsidR="006F2F41" w:rsidRPr="005267F0">
        <w:t>1 July 2021</w:t>
      </w:r>
      <w:r w:rsidR="006F2F41">
        <w:t xml:space="preserve"> </w:t>
      </w:r>
      <w:r w:rsidR="006F2F41" w:rsidRPr="005267F0">
        <w:t>may have an Employment Benchmark of 30</w:t>
      </w:r>
      <w:r w:rsidR="005C2C2A">
        <w:t xml:space="preserve"> hours per week</w:t>
      </w:r>
      <w:r w:rsidR="006F2F41">
        <w:t>.</w:t>
      </w:r>
      <w:r>
        <w:rPr>
          <w:rFonts w:eastAsiaTheme="minorEastAsia"/>
          <w:szCs w:val="22"/>
        </w:rPr>
        <w:t xml:space="preserve"> </w:t>
      </w:r>
      <w:r w:rsidR="000C663D">
        <w:rPr>
          <w:rFonts w:eastAsiaTheme="minorEastAsia"/>
          <w:szCs w:val="22"/>
        </w:rPr>
        <w:t xml:space="preserve">Fully Meeting requirements through 70 hours per fortnight does not apply to </w:t>
      </w:r>
      <w:r w:rsidR="00C74C33">
        <w:rPr>
          <w:rFonts w:eastAsiaTheme="minorEastAsia"/>
          <w:szCs w:val="22"/>
        </w:rPr>
        <w:t>Inclusive Employment Australia</w:t>
      </w:r>
      <w:r w:rsidR="000C663D">
        <w:rPr>
          <w:rFonts w:eastAsiaTheme="minorEastAsia"/>
          <w:szCs w:val="22"/>
        </w:rPr>
        <w:t xml:space="preserve"> Participants.</w:t>
      </w:r>
      <w:r w:rsidR="00F45C04">
        <w:rPr>
          <w:rFonts w:eastAsiaTheme="minorEastAsia"/>
          <w:szCs w:val="22"/>
        </w:rPr>
        <w:t xml:space="preserve"> </w:t>
      </w:r>
      <w:r w:rsidR="0077375E">
        <w:rPr>
          <w:rFonts w:eastAsiaTheme="minorEastAsia"/>
          <w:szCs w:val="22"/>
        </w:rPr>
        <w:t>A</w:t>
      </w:r>
      <w:r w:rsidR="005C2C2A">
        <w:rPr>
          <w:rFonts w:eastAsiaTheme="minorEastAsia"/>
          <w:szCs w:val="22"/>
        </w:rPr>
        <w:t xml:space="preserve"> </w:t>
      </w:r>
      <w:r>
        <w:rPr>
          <w:rFonts w:eastAsiaTheme="minorEastAsia"/>
          <w:szCs w:val="22"/>
        </w:rPr>
        <w:t>Principal Carer Parent or Mature Age</w:t>
      </w:r>
      <w:r w:rsidR="0077375E">
        <w:rPr>
          <w:rFonts w:eastAsiaTheme="minorEastAsia"/>
          <w:szCs w:val="22"/>
        </w:rPr>
        <w:t xml:space="preserve"> Participant</w:t>
      </w:r>
      <w:r>
        <w:rPr>
          <w:rFonts w:eastAsiaTheme="minorEastAsia"/>
          <w:szCs w:val="22"/>
        </w:rPr>
        <w:t xml:space="preserve"> (</w:t>
      </w:r>
      <w:r w:rsidR="0077375E">
        <w:rPr>
          <w:rFonts w:eastAsiaTheme="minorEastAsia"/>
          <w:szCs w:val="22"/>
        </w:rPr>
        <w:t xml:space="preserve">aged </w:t>
      </w:r>
      <w:r>
        <w:rPr>
          <w:rFonts w:eastAsiaTheme="minorEastAsia"/>
          <w:szCs w:val="22"/>
        </w:rPr>
        <w:t>55 years of over)</w:t>
      </w:r>
      <w:r w:rsidR="0077375E">
        <w:rPr>
          <w:rFonts w:eastAsiaTheme="minorEastAsia"/>
          <w:szCs w:val="22"/>
        </w:rPr>
        <w:t xml:space="preserve"> </w:t>
      </w:r>
      <w:r w:rsidR="00933845">
        <w:rPr>
          <w:rFonts w:eastAsiaTheme="minorEastAsia"/>
          <w:szCs w:val="22"/>
        </w:rPr>
        <w:t>with an assessed wo</w:t>
      </w:r>
      <w:r w:rsidR="008D5E8A">
        <w:rPr>
          <w:rFonts w:eastAsiaTheme="minorEastAsia"/>
          <w:szCs w:val="22"/>
        </w:rPr>
        <w:t>rk capacity of 30 hours or more per work</w:t>
      </w:r>
      <w:r w:rsidR="0077375E">
        <w:rPr>
          <w:rFonts w:eastAsiaTheme="minorEastAsia"/>
          <w:szCs w:val="22"/>
        </w:rPr>
        <w:t xml:space="preserve"> </w:t>
      </w:r>
      <w:r w:rsidR="00705FE1">
        <w:rPr>
          <w:rFonts w:eastAsiaTheme="minorEastAsia"/>
          <w:szCs w:val="22"/>
        </w:rPr>
        <w:t xml:space="preserve">is also able to Fully Meet their requirements </w:t>
      </w:r>
      <w:r w:rsidR="0077375E">
        <w:rPr>
          <w:rFonts w:eastAsiaTheme="minorEastAsia"/>
          <w:szCs w:val="22"/>
        </w:rPr>
        <w:t xml:space="preserve">through 30 hours per fortnight </w:t>
      </w:r>
      <w:r w:rsidR="00705FE1">
        <w:rPr>
          <w:rFonts w:eastAsiaTheme="minorEastAsia"/>
          <w:szCs w:val="22"/>
        </w:rPr>
        <w:t>participation in approved Activities.</w:t>
      </w:r>
    </w:p>
    <w:p w14:paraId="2F063BF1" w14:textId="3943881E" w:rsidR="00661C0F" w:rsidRDefault="00661C0F" w:rsidP="006E2EF5">
      <w:pPr>
        <w:keepNext/>
        <w:rPr>
          <w:rFonts w:eastAsiaTheme="minorEastAsia"/>
          <w:szCs w:val="22"/>
        </w:rPr>
      </w:pPr>
      <w:r w:rsidRPr="00661C0F">
        <w:rPr>
          <w:rFonts w:eastAsiaTheme="minorEastAsia"/>
          <w:szCs w:val="22"/>
        </w:rPr>
        <w:t xml:space="preserve">Under </w:t>
      </w:r>
      <w:r w:rsidR="00DF0860">
        <w:rPr>
          <w:rFonts w:eastAsiaTheme="minorEastAsia"/>
          <w:szCs w:val="22"/>
        </w:rPr>
        <w:t>S</w:t>
      </w:r>
      <w:r w:rsidRPr="00661C0F">
        <w:rPr>
          <w:rFonts w:eastAsiaTheme="minorEastAsia"/>
          <w:szCs w:val="22"/>
        </w:rPr>
        <w:t xml:space="preserve">ocial </w:t>
      </w:r>
      <w:r w:rsidR="00DF0860">
        <w:rPr>
          <w:rFonts w:eastAsiaTheme="minorEastAsia"/>
          <w:szCs w:val="22"/>
        </w:rPr>
        <w:t>S</w:t>
      </w:r>
      <w:r w:rsidRPr="00661C0F">
        <w:rPr>
          <w:rFonts w:eastAsiaTheme="minorEastAsia"/>
          <w:szCs w:val="22"/>
        </w:rPr>
        <w:t xml:space="preserve">ecurity </w:t>
      </w:r>
      <w:r w:rsidR="00DF0860">
        <w:rPr>
          <w:rFonts w:eastAsiaTheme="minorEastAsia"/>
          <w:szCs w:val="22"/>
        </w:rPr>
        <w:t>L</w:t>
      </w:r>
      <w:r w:rsidRPr="00661C0F">
        <w:rPr>
          <w:rFonts w:eastAsiaTheme="minorEastAsia"/>
          <w:szCs w:val="22"/>
        </w:rPr>
        <w:t xml:space="preserve">aw, </w:t>
      </w:r>
      <w:r w:rsidR="00D8591B">
        <w:rPr>
          <w:rFonts w:eastAsiaTheme="minorEastAsia"/>
          <w:szCs w:val="22"/>
        </w:rPr>
        <w:t>Participants</w:t>
      </w:r>
      <w:r w:rsidR="00CE685E">
        <w:rPr>
          <w:rFonts w:eastAsiaTheme="minorEastAsia"/>
          <w:szCs w:val="22"/>
        </w:rPr>
        <w:t xml:space="preserve"> with</w:t>
      </w:r>
      <w:r w:rsidRPr="00661C0F">
        <w:rPr>
          <w:rFonts w:eastAsiaTheme="minorEastAsia"/>
          <w:szCs w:val="22"/>
        </w:rPr>
        <w:t xml:space="preserve"> </w:t>
      </w:r>
      <w:r w:rsidR="00CE685E">
        <w:rPr>
          <w:rFonts w:eastAsiaTheme="minorEastAsia"/>
          <w:szCs w:val="22"/>
        </w:rPr>
        <w:t>M</w:t>
      </w:r>
      <w:r w:rsidRPr="00661C0F">
        <w:rPr>
          <w:rFonts w:eastAsiaTheme="minorEastAsia"/>
          <w:szCs w:val="22"/>
        </w:rPr>
        <w:t xml:space="preserve">utual </w:t>
      </w:r>
      <w:r w:rsidR="00CE685E">
        <w:rPr>
          <w:rFonts w:eastAsiaTheme="minorEastAsia"/>
          <w:szCs w:val="22"/>
        </w:rPr>
        <w:t>O</w:t>
      </w:r>
      <w:r w:rsidRPr="00661C0F">
        <w:rPr>
          <w:rFonts w:eastAsiaTheme="minorEastAsia"/>
          <w:szCs w:val="22"/>
        </w:rPr>
        <w:t xml:space="preserve">bligation </w:t>
      </w:r>
      <w:r w:rsidR="00CE685E">
        <w:rPr>
          <w:rFonts w:eastAsiaTheme="minorEastAsia"/>
          <w:szCs w:val="22"/>
        </w:rPr>
        <w:t>R</w:t>
      </w:r>
      <w:r w:rsidRPr="00661C0F">
        <w:rPr>
          <w:rFonts w:eastAsiaTheme="minorEastAsia"/>
          <w:szCs w:val="22"/>
        </w:rPr>
        <w:t xml:space="preserve">equirements are generally required to enter into a Job Plan, attend </w:t>
      </w:r>
      <w:r w:rsidR="00CE685E">
        <w:rPr>
          <w:rFonts w:eastAsiaTheme="minorEastAsia"/>
          <w:szCs w:val="22"/>
        </w:rPr>
        <w:t>A</w:t>
      </w:r>
      <w:r w:rsidRPr="00661C0F">
        <w:rPr>
          <w:rFonts w:eastAsiaTheme="minorEastAsia"/>
          <w:szCs w:val="22"/>
        </w:rPr>
        <w:t xml:space="preserve">ppointments with their employment services provider and demonstrate that they are actively looking for work and/or maintaining their employment. In addition, </w:t>
      </w:r>
      <w:r w:rsidR="00CE685E">
        <w:rPr>
          <w:rFonts w:eastAsiaTheme="minorEastAsia"/>
          <w:szCs w:val="22"/>
        </w:rPr>
        <w:t>those</w:t>
      </w:r>
      <w:r w:rsidRPr="00661C0F">
        <w:rPr>
          <w:rFonts w:eastAsiaTheme="minorEastAsia"/>
          <w:szCs w:val="22"/>
        </w:rPr>
        <w:t xml:space="preserve"> with </w:t>
      </w:r>
      <w:r w:rsidR="00CE685E">
        <w:rPr>
          <w:rFonts w:eastAsiaTheme="minorEastAsia"/>
          <w:szCs w:val="22"/>
        </w:rPr>
        <w:t>M</w:t>
      </w:r>
      <w:r w:rsidRPr="00661C0F">
        <w:rPr>
          <w:rFonts w:eastAsiaTheme="minorEastAsia"/>
          <w:szCs w:val="22"/>
        </w:rPr>
        <w:t xml:space="preserve">utual </w:t>
      </w:r>
      <w:r w:rsidR="00CE685E">
        <w:rPr>
          <w:rFonts w:eastAsiaTheme="minorEastAsia"/>
          <w:szCs w:val="22"/>
        </w:rPr>
        <w:t>O</w:t>
      </w:r>
      <w:r w:rsidRPr="00661C0F">
        <w:rPr>
          <w:rFonts w:eastAsiaTheme="minorEastAsia"/>
          <w:szCs w:val="22"/>
        </w:rPr>
        <w:t xml:space="preserve">bligation </w:t>
      </w:r>
      <w:r w:rsidR="00CE685E">
        <w:rPr>
          <w:rFonts w:eastAsiaTheme="minorEastAsia"/>
          <w:szCs w:val="22"/>
        </w:rPr>
        <w:t>R</w:t>
      </w:r>
      <w:r w:rsidRPr="00661C0F">
        <w:rPr>
          <w:rFonts w:eastAsiaTheme="minorEastAsia"/>
          <w:szCs w:val="22"/>
        </w:rPr>
        <w:t xml:space="preserve">equirements must accept any offer of suitable </w:t>
      </w:r>
      <w:r w:rsidR="00C25F7B">
        <w:rPr>
          <w:rFonts w:eastAsiaTheme="minorEastAsia"/>
          <w:szCs w:val="22"/>
        </w:rPr>
        <w:t>work</w:t>
      </w:r>
      <w:r w:rsidRPr="00661C0F">
        <w:rPr>
          <w:rFonts w:eastAsiaTheme="minorEastAsia"/>
          <w:szCs w:val="22"/>
        </w:rPr>
        <w:t xml:space="preserve"> and not voluntarily leave </w:t>
      </w:r>
      <w:r w:rsidR="00C25F7B">
        <w:rPr>
          <w:rFonts w:eastAsiaTheme="minorEastAsia"/>
          <w:szCs w:val="22"/>
        </w:rPr>
        <w:t xml:space="preserve">a </w:t>
      </w:r>
      <w:r w:rsidRPr="00661C0F">
        <w:rPr>
          <w:rFonts w:eastAsiaTheme="minorEastAsia"/>
          <w:szCs w:val="22"/>
        </w:rPr>
        <w:t>suitable</w:t>
      </w:r>
      <w:r w:rsidR="00C25F7B">
        <w:rPr>
          <w:rFonts w:eastAsiaTheme="minorEastAsia"/>
          <w:szCs w:val="22"/>
        </w:rPr>
        <w:t xml:space="preserve"> job.</w:t>
      </w:r>
    </w:p>
    <w:p w14:paraId="3CAA33A4" w14:textId="15711A2F" w:rsidR="005C2C2A" w:rsidRDefault="005C2C2A" w:rsidP="006E2EF5">
      <w:pPr>
        <w:keepNext/>
        <w:rPr>
          <w:rFonts w:eastAsiaTheme="minorEastAsia"/>
          <w:szCs w:val="22"/>
        </w:rPr>
      </w:pPr>
      <w:r>
        <w:rPr>
          <w:rFonts w:eastAsiaTheme="minorEastAsia"/>
          <w:szCs w:val="22"/>
        </w:rPr>
        <w:t>Providers must ensure that the Job Plan for a Participant (Mutual Obligation) will enable them to meet their Mutual Obligation Requirements.</w:t>
      </w:r>
    </w:p>
    <w:p w14:paraId="3D7B797E" w14:textId="06606FB5" w:rsidR="00D74559" w:rsidRDefault="00D74559" w:rsidP="006E2EF5">
      <w:pPr>
        <w:keepNext/>
        <w:rPr>
          <w:rFonts w:eastAsiaTheme="minorEastAsia"/>
          <w:szCs w:val="22"/>
        </w:rPr>
      </w:pPr>
      <w:r w:rsidRPr="00535415">
        <w:rPr>
          <w:rFonts w:eastAsiaTheme="minorEastAsia"/>
          <w:szCs w:val="22"/>
        </w:rPr>
        <w:t xml:space="preserve">A </w:t>
      </w:r>
      <w:r>
        <w:rPr>
          <w:rFonts w:eastAsiaTheme="minorEastAsia"/>
          <w:szCs w:val="22"/>
        </w:rPr>
        <w:t>Participant</w:t>
      </w:r>
      <w:r w:rsidRPr="00535415">
        <w:rPr>
          <w:rFonts w:eastAsiaTheme="minorEastAsia"/>
          <w:szCs w:val="22"/>
        </w:rPr>
        <w:t xml:space="preserve"> (Mutual Obligation) with a</w:t>
      </w:r>
      <w:r>
        <w:rPr>
          <w:rFonts w:eastAsiaTheme="minorEastAsia"/>
          <w:szCs w:val="22"/>
          <w:u w:val="single"/>
        </w:rPr>
        <w:t xml:space="preserve"> Meaningful Engagement Job Plan</w:t>
      </w:r>
      <w:r w:rsidRPr="00535415">
        <w:rPr>
          <w:rFonts w:eastAsiaTheme="minorEastAsia"/>
          <w:szCs w:val="22"/>
        </w:rPr>
        <w:t xml:space="preserve"> is</w:t>
      </w:r>
      <w:r>
        <w:rPr>
          <w:rFonts w:eastAsiaTheme="minorEastAsia"/>
          <w:szCs w:val="22"/>
        </w:rPr>
        <w:t xml:space="preserve"> </w:t>
      </w:r>
      <w:r w:rsidRPr="00535415">
        <w:rPr>
          <w:rFonts w:eastAsiaTheme="minorEastAsia"/>
          <w:szCs w:val="22"/>
        </w:rPr>
        <w:t>set</w:t>
      </w:r>
      <w:r w:rsidR="0028276D">
        <w:rPr>
          <w:rFonts w:eastAsiaTheme="minorEastAsia"/>
          <w:szCs w:val="22"/>
        </w:rPr>
        <w:t xml:space="preserve"> the </w:t>
      </w:r>
      <w:r w:rsidR="0028276D">
        <w:t>Meaningful Engagement Requirement</w:t>
      </w:r>
      <w:r w:rsidR="00182194">
        <w:t>, through which they can meet their Mutual Obligation Requirements. This is the only compulsory requirement in their Job Plan</w:t>
      </w:r>
      <w:r w:rsidR="0028276D">
        <w:t>.</w:t>
      </w:r>
    </w:p>
    <w:p w14:paraId="3F6DA801" w14:textId="263CB5FE" w:rsidR="00D74559" w:rsidRPr="006A5D3C" w:rsidRDefault="00D74559" w:rsidP="006E2EF5">
      <w:pPr>
        <w:keepNext/>
        <w:rPr>
          <w:rFonts w:eastAsiaTheme="minorEastAsia"/>
          <w:szCs w:val="22"/>
          <w:u w:val="single"/>
        </w:rPr>
      </w:pPr>
      <w:r w:rsidRPr="00535415">
        <w:rPr>
          <w:rFonts w:eastAsiaTheme="minorEastAsia"/>
          <w:szCs w:val="22"/>
        </w:rPr>
        <w:t xml:space="preserve">A </w:t>
      </w:r>
      <w:r>
        <w:rPr>
          <w:rFonts w:eastAsiaTheme="minorEastAsia"/>
          <w:szCs w:val="22"/>
        </w:rPr>
        <w:t>Participant</w:t>
      </w:r>
      <w:r w:rsidRPr="00535415">
        <w:rPr>
          <w:rFonts w:eastAsiaTheme="minorEastAsia"/>
          <w:szCs w:val="22"/>
        </w:rPr>
        <w:t xml:space="preserve"> (Mutual Obligation) with a</w:t>
      </w:r>
      <w:r w:rsidRPr="00692497">
        <w:rPr>
          <w:rFonts w:eastAsiaTheme="minorEastAsia"/>
          <w:szCs w:val="22"/>
        </w:rPr>
        <w:t xml:space="preserve"> </w:t>
      </w:r>
      <w:r>
        <w:rPr>
          <w:rFonts w:eastAsiaTheme="minorEastAsia"/>
          <w:szCs w:val="22"/>
          <w:u w:val="single"/>
        </w:rPr>
        <w:t>Detailed Job Plan</w:t>
      </w:r>
      <w:r w:rsidRPr="00535415">
        <w:rPr>
          <w:rFonts w:eastAsiaTheme="minorEastAsia"/>
          <w:szCs w:val="22"/>
        </w:rPr>
        <w:t xml:space="preserve"> is</w:t>
      </w:r>
      <w:r>
        <w:rPr>
          <w:rFonts w:eastAsiaTheme="minorEastAsia"/>
          <w:szCs w:val="22"/>
        </w:rPr>
        <w:t xml:space="preserve"> expected to have been</w:t>
      </w:r>
      <w:r w:rsidRPr="00535415">
        <w:rPr>
          <w:rFonts w:eastAsiaTheme="minorEastAsia"/>
          <w:szCs w:val="22"/>
        </w:rPr>
        <w:t xml:space="preserve"> set</w:t>
      </w:r>
      <w:r w:rsidR="00182194">
        <w:rPr>
          <w:rFonts w:eastAsiaTheme="minorEastAsia"/>
          <w:szCs w:val="22"/>
        </w:rPr>
        <w:t xml:space="preserve"> the following compulsory tasks and activities, which must be completed to meet their Mutual Obligation Requirements</w:t>
      </w:r>
      <w:r w:rsidRPr="00535415">
        <w:rPr>
          <w:rFonts w:eastAsiaTheme="minorEastAsia"/>
          <w:szCs w:val="22"/>
        </w:rPr>
        <w:t>:</w:t>
      </w:r>
    </w:p>
    <w:p w14:paraId="6CD310F7" w14:textId="66D8D268" w:rsidR="00D74559" w:rsidRDefault="00D74559" w:rsidP="004E120D">
      <w:pPr>
        <w:pStyle w:val="BulletLevel1"/>
      </w:pPr>
      <w:r>
        <w:t xml:space="preserve">the </w:t>
      </w:r>
      <w:r w:rsidR="00C662FB">
        <w:t>compulsory</w:t>
      </w:r>
      <w:r>
        <w:t xml:space="preserve"> requirement to take personal responsibility for self-reporting, unless the Provider has assessed that the Participant is not capable of self-reporting</w:t>
      </w:r>
    </w:p>
    <w:p w14:paraId="4C876F71" w14:textId="77777777" w:rsidR="00C662FB" w:rsidRPr="00955ABE" w:rsidRDefault="00C662FB" w:rsidP="004E120D">
      <w:pPr>
        <w:pStyle w:val="BulletLevel1"/>
        <w:rPr>
          <w:szCs w:val="22"/>
        </w:rPr>
      </w:pPr>
      <w:r>
        <w:t xml:space="preserve">the compulsory requirement to willing </w:t>
      </w:r>
      <w:r w:rsidRPr="00F917EB">
        <w:t>accept any offer of suitable paid work and not leave suitable paid work voluntarily</w:t>
      </w:r>
    </w:p>
    <w:p w14:paraId="783ED56E" w14:textId="2B8FBBF4" w:rsidR="00D74559" w:rsidRDefault="00D74559" w:rsidP="004E120D">
      <w:pPr>
        <w:pStyle w:val="BulletLevel1"/>
      </w:pPr>
      <w:r w:rsidRPr="48661572">
        <w:rPr>
          <w:lang w:val="en-GB"/>
        </w:rPr>
        <w:t xml:space="preserve">the </w:t>
      </w:r>
      <w:r w:rsidR="00C662FB">
        <w:rPr>
          <w:lang w:val="en-GB"/>
        </w:rPr>
        <w:t>compulsory</w:t>
      </w:r>
      <w:r w:rsidRPr="48661572">
        <w:rPr>
          <w:lang w:val="en-GB"/>
        </w:rPr>
        <w:t xml:space="preserve"> requirement to act on Job Referrals, where appropriate</w:t>
      </w:r>
    </w:p>
    <w:p w14:paraId="1D8EC6FD" w14:textId="2A02D30C" w:rsidR="00D74559" w:rsidRDefault="00D74559" w:rsidP="004E120D">
      <w:pPr>
        <w:pStyle w:val="BulletLevel1"/>
      </w:pPr>
      <w:r>
        <w:t xml:space="preserve">a </w:t>
      </w:r>
      <w:r w:rsidR="0028276D">
        <w:rPr>
          <w:lang w:val="en-GB"/>
        </w:rPr>
        <w:t>compulsory</w:t>
      </w:r>
      <w:r w:rsidRPr="48661572">
        <w:rPr>
          <w:lang w:val="en-GB"/>
        </w:rPr>
        <w:t xml:space="preserve"> </w:t>
      </w:r>
      <w:r>
        <w:t>Job Search Requirement</w:t>
      </w:r>
      <w:r w:rsidR="00C662FB">
        <w:t xml:space="preserve">, noting that this may be set to zero </w:t>
      </w:r>
      <w:r w:rsidR="00AB39D7">
        <w:t>where appropriate as outlined in these Guidelines</w:t>
      </w:r>
    </w:p>
    <w:p w14:paraId="79C7884F" w14:textId="2CE7C40B" w:rsidR="0028276D" w:rsidRDefault="0028276D" w:rsidP="0028276D">
      <w:pPr>
        <w:pStyle w:val="BulletLevel1"/>
      </w:pPr>
      <w:r>
        <w:t>a</w:t>
      </w:r>
      <w:r w:rsidR="00D74559">
        <w:t xml:space="preserve"> </w:t>
      </w:r>
      <w:r w:rsidR="00D74559">
        <w:rPr>
          <w:lang w:val="en-GB"/>
        </w:rPr>
        <w:t xml:space="preserve">compulsory </w:t>
      </w:r>
      <w:r>
        <w:rPr>
          <w:lang w:val="en-GB"/>
        </w:rPr>
        <w:t>requirement to</w:t>
      </w:r>
      <w:r w:rsidR="00D42672">
        <w:t xml:space="preserve"> </w:t>
      </w:r>
      <w:r>
        <w:t>attend</w:t>
      </w:r>
      <w:r w:rsidR="00D74559">
        <w:t xml:space="preserve"> Appointments with their Provider</w:t>
      </w:r>
    </w:p>
    <w:p w14:paraId="67260FB3" w14:textId="40A98AED" w:rsidR="0028276D" w:rsidRDefault="0028276D" w:rsidP="0028276D">
      <w:pPr>
        <w:pStyle w:val="BulletLevel1"/>
      </w:pPr>
      <w:r>
        <w:t>a compulsory Activity</w:t>
      </w:r>
      <w:r w:rsidR="00182194">
        <w:t>, where the Provider considers mandatory attendance is required to improve their Work Readiness or prospects of finding</w:t>
      </w:r>
      <w:r w:rsidR="00D74559">
        <w:t xml:space="preserve"> and</w:t>
      </w:r>
      <w:r w:rsidR="00182194">
        <w:t>/or maintaining Employment, and</w:t>
      </w:r>
    </w:p>
    <w:p w14:paraId="09748C4A" w14:textId="0E5C59B3" w:rsidR="00D74559" w:rsidRDefault="0028276D" w:rsidP="004E120D">
      <w:pPr>
        <w:pStyle w:val="BulletLevel1"/>
      </w:pPr>
      <w:r w:rsidRPr="48661572">
        <w:rPr>
          <w:lang w:val="en-GB"/>
        </w:rPr>
        <w:t xml:space="preserve">the </w:t>
      </w:r>
      <w:r>
        <w:rPr>
          <w:lang w:val="en-GB"/>
        </w:rPr>
        <w:t>compulsory</w:t>
      </w:r>
      <w:r w:rsidRPr="48661572">
        <w:rPr>
          <w:lang w:val="en-GB"/>
        </w:rPr>
        <w:t xml:space="preserve"> requirement </w:t>
      </w:r>
      <w:r>
        <w:rPr>
          <w:lang w:val="en-GB"/>
        </w:rPr>
        <w:t>to attend</w:t>
      </w:r>
      <w:r w:rsidR="00D74559">
        <w:rPr>
          <w:lang w:val="en-GB"/>
        </w:rPr>
        <w:t xml:space="preserve"> </w:t>
      </w:r>
      <w:r w:rsidR="00D74559">
        <w:t xml:space="preserve">Job Interviews, </w:t>
      </w:r>
      <w:r>
        <w:t>where appropriate</w:t>
      </w:r>
      <w:r w:rsidR="00182194">
        <w:t>.</w:t>
      </w:r>
    </w:p>
    <w:p w14:paraId="39C57082" w14:textId="1601414B" w:rsidR="00903698" w:rsidRPr="005E61E0" w:rsidRDefault="00903698" w:rsidP="00903698">
      <w:pPr>
        <w:pStyle w:val="DeedReferences"/>
      </w:pPr>
      <w:r w:rsidRPr="005E61E0">
        <w:t>(</w:t>
      </w:r>
      <w:r>
        <w:t xml:space="preserve">Deed Reference(s): Clause </w:t>
      </w:r>
      <w:r w:rsidR="00CF1777">
        <w:t>134.8, 134.9</w:t>
      </w:r>
      <w:r w:rsidRPr="005E61E0">
        <w:t>)</w:t>
      </w:r>
    </w:p>
    <w:p w14:paraId="2F14BAA6" w14:textId="13472331" w:rsidR="005C2C2A" w:rsidRDefault="005C2C2A" w:rsidP="005C2C2A">
      <w:pPr>
        <w:keepNext/>
        <w:rPr>
          <w:rFonts w:eastAsiaTheme="minorEastAsia"/>
          <w:szCs w:val="22"/>
        </w:rPr>
      </w:pPr>
      <w:r>
        <w:t xml:space="preserve">Where a Participant (Mutual Obligation) </w:t>
      </w:r>
      <w:r w:rsidR="00496DA6">
        <w:t xml:space="preserve">has </w:t>
      </w:r>
      <w:r>
        <w:t>a Pattern of Disengagement</w:t>
      </w:r>
      <w:r w:rsidR="00496DA6">
        <w:t>, as determined by their Provider</w:t>
      </w:r>
      <w:r>
        <w:t>, they will be required to enter into a Detailed Job Plan.</w:t>
      </w:r>
    </w:p>
    <w:p w14:paraId="71F907F2" w14:textId="25833182" w:rsidR="00D74559" w:rsidRDefault="005C2C2A" w:rsidP="006E2EF5">
      <w:r>
        <w:t>Where</w:t>
      </w:r>
      <w:r w:rsidR="00D74559">
        <w:t xml:space="preserve"> a Participant (Mutual Obligation) is not complying with their requirements</w:t>
      </w:r>
      <w:r>
        <w:t xml:space="preserve"> in a Detailed Job Plan</w:t>
      </w:r>
      <w:r w:rsidR="00D74559">
        <w:t xml:space="preserve">, their non-compliance is managed under the Targeted Compliance Framework (TCF) in accordance with the relevant </w:t>
      </w:r>
      <w:r w:rsidR="004D162A">
        <w:t>S</w:t>
      </w:r>
      <w:r w:rsidR="00D74559">
        <w:t>ections in</w:t>
      </w:r>
      <w:r w:rsidR="00BD75D3">
        <w:t xml:space="preserve"> </w:t>
      </w:r>
      <w:r w:rsidR="00BD75D3">
        <w:rPr>
          <w:highlight w:val="yellow"/>
        </w:rPr>
        <w:fldChar w:fldCharType="begin"/>
      </w:r>
      <w:r w:rsidR="00BD75D3">
        <w:instrText xml:space="preserve"> REF _Ref202782924 \h </w:instrText>
      </w:r>
      <w:r w:rsidR="00BD75D3">
        <w:rPr>
          <w:highlight w:val="yellow"/>
        </w:rPr>
      </w:r>
      <w:r w:rsidR="00BD75D3">
        <w:rPr>
          <w:highlight w:val="yellow"/>
        </w:rPr>
        <w:fldChar w:fldCharType="separate"/>
      </w:r>
      <w:r w:rsidR="000D75AE">
        <w:t>Chapter 12:</w:t>
      </w:r>
      <w:r w:rsidR="002D5130">
        <w:t xml:space="preserve"> </w:t>
      </w:r>
      <w:r w:rsidR="000D75AE">
        <w:t>Compliance</w:t>
      </w:r>
      <w:r w:rsidR="00BD75D3">
        <w:rPr>
          <w:highlight w:val="yellow"/>
        </w:rPr>
        <w:fldChar w:fldCharType="end"/>
      </w:r>
      <w:r w:rsidR="00D74559">
        <w:t>.</w:t>
      </w:r>
    </w:p>
    <w:p w14:paraId="46B1F833" w14:textId="77777777" w:rsidR="00182194" w:rsidRDefault="00182194" w:rsidP="005C2C2A">
      <w:pPr>
        <w:keepLines/>
      </w:pPr>
      <w:r w:rsidRPr="00535415">
        <w:rPr>
          <w:rFonts w:eastAsiaTheme="minorEastAsia"/>
          <w:szCs w:val="22"/>
        </w:rPr>
        <w:t xml:space="preserve">A </w:t>
      </w:r>
      <w:r>
        <w:rPr>
          <w:rFonts w:eastAsiaTheme="minorEastAsia"/>
          <w:szCs w:val="22"/>
        </w:rPr>
        <w:t>Participant</w:t>
      </w:r>
      <w:r w:rsidRPr="00535415">
        <w:rPr>
          <w:rFonts w:eastAsiaTheme="minorEastAsia"/>
          <w:szCs w:val="22"/>
        </w:rPr>
        <w:t xml:space="preserve"> (Mutual Obligation) with a</w:t>
      </w:r>
      <w:r w:rsidRPr="00692497">
        <w:rPr>
          <w:rFonts w:eastAsiaTheme="minorEastAsia"/>
          <w:szCs w:val="22"/>
        </w:rPr>
        <w:t xml:space="preserve"> </w:t>
      </w:r>
      <w:r>
        <w:rPr>
          <w:rFonts w:eastAsiaTheme="minorEastAsia"/>
          <w:szCs w:val="22"/>
          <w:u w:val="single"/>
        </w:rPr>
        <w:t>Detailed Job Plan</w:t>
      </w:r>
      <w:r w:rsidRPr="00535415">
        <w:rPr>
          <w:rFonts w:eastAsiaTheme="minorEastAsia"/>
          <w:szCs w:val="22"/>
        </w:rPr>
        <w:t xml:space="preserve"> </w:t>
      </w:r>
      <w:r>
        <w:rPr>
          <w:lang w:val="en-GB"/>
        </w:rPr>
        <w:t xml:space="preserve">may also agree to other </w:t>
      </w:r>
      <w:r>
        <w:t>voluntary tasks and activities that address Vocational and Non-Vocational Barriers or otherwise would help them achieve their Employment Goal. These voluntary activities are non compulsory and failure to complete them will not result in any compliance action.</w:t>
      </w:r>
    </w:p>
    <w:p w14:paraId="1A262197" w14:textId="257C66F6" w:rsidR="00835788" w:rsidRDefault="00F94EF0" w:rsidP="00835788">
      <w:pPr>
        <w:pStyle w:val="Heading5"/>
      </w:pPr>
      <w:r>
        <w:t>Reduced capacity due to injury or temporary medical conditions</w:t>
      </w:r>
    </w:p>
    <w:p w14:paraId="68F9119C" w14:textId="21A2907A" w:rsidR="00A326E2" w:rsidRPr="00C372F4" w:rsidRDefault="00A326E2" w:rsidP="00A326E2">
      <w:r>
        <w:rPr>
          <w:lang w:val="en-GB"/>
        </w:rPr>
        <w:t xml:space="preserve">A Provider </w:t>
      </w:r>
      <w:r w:rsidR="006F28A2">
        <w:rPr>
          <w:lang w:val="en-GB"/>
        </w:rPr>
        <w:t>may</w:t>
      </w:r>
      <w:r>
        <w:rPr>
          <w:lang w:val="en-GB"/>
        </w:rPr>
        <w:t xml:space="preserve"> adjust a Participant’s requirements to reflect a short-term or temporary change</w:t>
      </w:r>
      <w:r w:rsidR="009164A6">
        <w:rPr>
          <w:lang w:val="en-GB"/>
        </w:rPr>
        <w:t xml:space="preserve"> </w:t>
      </w:r>
      <w:r w:rsidR="007746D3">
        <w:rPr>
          <w:lang w:val="en-GB"/>
        </w:rPr>
        <w:t>in</w:t>
      </w:r>
      <w:r w:rsidR="009164A6">
        <w:rPr>
          <w:lang w:val="en-GB"/>
        </w:rPr>
        <w:t xml:space="preserve"> circumstances</w:t>
      </w:r>
      <w:r w:rsidR="007E6B13">
        <w:rPr>
          <w:lang w:val="en-GB"/>
        </w:rPr>
        <w:t xml:space="preserve"> </w:t>
      </w:r>
      <w:r w:rsidR="00914788">
        <w:rPr>
          <w:lang w:val="en-GB"/>
        </w:rPr>
        <w:t>that impacts their ability to meet their</w:t>
      </w:r>
      <w:r w:rsidR="007E6B13">
        <w:rPr>
          <w:lang w:val="en-GB"/>
        </w:rPr>
        <w:t xml:space="preserve"> </w:t>
      </w:r>
      <w:r w:rsidR="00914788">
        <w:rPr>
          <w:lang w:val="en-GB"/>
        </w:rPr>
        <w:t>Mutual Obligation Requirements</w:t>
      </w:r>
      <w:r w:rsidR="0045797E">
        <w:rPr>
          <w:lang w:val="en-GB"/>
        </w:rPr>
        <w:t xml:space="preserve"> </w:t>
      </w:r>
      <w:r w:rsidR="00F91FCF">
        <w:rPr>
          <w:lang w:val="en-GB"/>
        </w:rPr>
        <w:t xml:space="preserve">but will not have a significant long-term impact on the Participant’s ability to work or participate in </w:t>
      </w:r>
      <w:r w:rsidR="001340FA">
        <w:rPr>
          <w:lang w:val="en-GB"/>
        </w:rPr>
        <w:t>employment services</w:t>
      </w:r>
      <w:r w:rsidR="009164A6">
        <w:rPr>
          <w:lang w:val="en-GB"/>
        </w:rPr>
        <w:t>.</w:t>
      </w:r>
      <w:r w:rsidR="000870E2">
        <w:rPr>
          <w:lang w:val="en-GB"/>
        </w:rPr>
        <w:t xml:space="preserve"> </w:t>
      </w:r>
      <w:r w:rsidR="009306FD">
        <w:rPr>
          <w:lang w:val="en-GB"/>
        </w:rPr>
        <w:t xml:space="preserve">Where the Participant is receiving Pre-Employment Support, </w:t>
      </w:r>
      <w:r w:rsidR="000D499D">
        <w:rPr>
          <w:lang w:val="en-GB"/>
        </w:rPr>
        <w:t xml:space="preserve">Providers must also consider if the Participant’s service offer </w:t>
      </w:r>
      <w:r w:rsidR="009306FD">
        <w:rPr>
          <w:lang w:val="en-GB"/>
        </w:rPr>
        <w:t xml:space="preserve">should be </w:t>
      </w:r>
      <w:r w:rsidR="009C0CC1">
        <w:rPr>
          <w:lang w:val="en-GB"/>
        </w:rPr>
        <w:t>adjusted</w:t>
      </w:r>
      <w:r w:rsidR="0077602E">
        <w:rPr>
          <w:lang w:val="en-GB"/>
        </w:rPr>
        <w:t xml:space="preserve"> (see</w:t>
      </w:r>
      <w:r w:rsidR="00BD75D3">
        <w:rPr>
          <w:lang w:val="en-GB"/>
        </w:rPr>
        <w:t xml:space="preserve"> relevant Sections on the service offers and movement between the phases in</w:t>
      </w:r>
      <w:r w:rsidR="0077602E">
        <w:rPr>
          <w:lang w:val="en-GB"/>
        </w:rPr>
        <w:t xml:space="preserve"> </w:t>
      </w:r>
      <w:r w:rsidR="00BD75D3">
        <w:rPr>
          <w:lang w:val="en-GB"/>
        </w:rPr>
        <w:fldChar w:fldCharType="begin"/>
      </w:r>
      <w:r w:rsidR="00BD75D3">
        <w:rPr>
          <w:lang w:val="en-GB"/>
        </w:rPr>
        <w:instrText xml:space="preserve"> REF _Ref202784175 \h </w:instrText>
      </w:r>
      <w:r w:rsidR="00BD75D3">
        <w:rPr>
          <w:lang w:val="en-GB"/>
        </w:rPr>
      </w:r>
      <w:r w:rsidR="00BD75D3">
        <w:rPr>
          <w:lang w:val="en-GB"/>
        </w:rPr>
        <w:fldChar w:fldCharType="separate"/>
      </w:r>
      <w:r w:rsidR="000D75AE" w:rsidRPr="00BA23D8">
        <w:t>Chapter 6</w:t>
      </w:r>
      <w:r w:rsidR="000D75AE">
        <w:t>:</w:t>
      </w:r>
      <w:r w:rsidR="002E053E">
        <w:t xml:space="preserve"> </w:t>
      </w:r>
      <w:r w:rsidR="000D75AE" w:rsidRPr="00BA23D8">
        <w:t>Pre</w:t>
      </w:r>
      <w:r w:rsidR="002E053E">
        <w:t>-</w:t>
      </w:r>
      <w:r w:rsidR="000D75AE" w:rsidRPr="00BA23D8">
        <w:t>Employment Support</w:t>
      </w:r>
      <w:r w:rsidR="00BD75D3">
        <w:rPr>
          <w:lang w:val="en-GB"/>
        </w:rPr>
        <w:fldChar w:fldCharType="end"/>
      </w:r>
      <w:r w:rsidR="00BD75D3">
        <w:rPr>
          <w:lang w:val="en-GB"/>
        </w:rPr>
        <w:t xml:space="preserve"> </w:t>
      </w:r>
      <w:r w:rsidR="00280583">
        <w:rPr>
          <w:lang w:val="en-GB"/>
        </w:rPr>
        <w:t>for</w:t>
      </w:r>
      <w:r w:rsidR="001B709B">
        <w:rPr>
          <w:lang w:val="en-GB"/>
        </w:rPr>
        <w:t xml:space="preserve"> more information)</w:t>
      </w:r>
      <w:r w:rsidR="009C0CC1">
        <w:rPr>
          <w:lang w:val="en-GB"/>
        </w:rPr>
        <w:t>.</w:t>
      </w:r>
    </w:p>
    <w:p w14:paraId="43E36EA1" w14:textId="3ACDAFC5" w:rsidR="00835788" w:rsidRDefault="00DE645B" w:rsidP="00835788">
      <w:pPr>
        <w:rPr>
          <w:lang w:val="en-GB"/>
        </w:rPr>
      </w:pPr>
      <w:r>
        <w:t>A</w:t>
      </w:r>
      <w:r w:rsidR="00835788">
        <w:t xml:space="preserve"> </w:t>
      </w:r>
      <w:r w:rsidR="00835788" w:rsidRPr="48661572">
        <w:rPr>
          <w:lang w:val="en-GB"/>
        </w:rPr>
        <w:t xml:space="preserve">Participant </w:t>
      </w:r>
      <w:r w:rsidR="005413B9">
        <w:rPr>
          <w:lang w:val="en-GB"/>
        </w:rPr>
        <w:t>can</w:t>
      </w:r>
      <w:r>
        <w:rPr>
          <w:lang w:val="en-GB"/>
        </w:rPr>
        <w:t xml:space="preserve"> </w:t>
      </w:r>
      <w:r w:rsidR="006714F5">
        <w:rPr>
          <w:lang w:val="en-GB"/>
        </w:rPr>
        <w:t xml:space="preserve">have </w:t>
      </w:r>
      <w:r>
        <w:rPr>
          <w:lang w:val="en-GB"/>
        </w:rPr>
        <w:t>b</w:t>
      </w:r>
      <w:r w:rsidR="006714F5">
        <w:rPr>
          <w:lang w:val="en-GB"/>
        </w:rPr>
        <w:t>e</w:t>
      </w:r>
      <w:r>
        <w:rPr>
          <w:lang w:val="en-GB"/>
        </w:rPr>
        <w:t>e</w:t>
      </w:r>
      <w:r w:rsidR="006714F5">
        <w:rPr>
          <w:lang w:val="en-GB"/>
        </w:rPr>
        <w:t>n</w:t>
      </w:r>
      <w:r w:rsidR="00F83A25">
        <w:rPr>
          <w:lang w:val="en-GB"/>
        </w:rPr>
        <w:t xml:space="preserve"> assessed </w:t>
      </w:r>
      <w:r w:rsidR="00E14435">
        <w:rPr>
          <w:lang w:val="en-GB"/>
        </w:rPr>
        <w:t>as</w:t>
      </w:r>
      <w:r>
        <w:rPr>
          <w:lang w:val="en-GB"/>
        </w:rPr>
        <w:t xml:space="preserve"> having</w:t>
      </w:r>
      <w:r w:rsidR="00530977">
        <w:rPr>
          <w:lang w:val="en-GB"/>
        </w:rPr>
        <w:t xml:space="preserve"> a </w:t>
      </w:r>
      <w:r w:rsidR="00F11269">
        <w:rPr>
          <w:lang w:val="en-GB"/>
        </w:rPr>
        <w:t xml:space="preserve">temporary reduced </w:t>
      </w:r>
      <w:r w:rsidR="00530977">
        <w:rPr>
          <w:lang w:val="en-GB"/>
        </w:rPr>
        <w:t xml:space="preserve">work </w:t>
      </w:r>
      <w:r w:rsidR="00F11269">
        <w:rPr>
          <w:lang w:val="en-GB"/>
        </w:rPr>
        <w:t>capacity</w:t>
      </w:r>
      <w:r w:rsidR="007E6B13">
        <w:rPr>
          <w:lang w:val="en-GB"/>
        </w:rPr>
        <w:t xml:space="preserve"> as a result of an injury or temporary</w:t>
      </w:r>
      <w:r w:rsidR="00423D8C">
        <w:rPr>
          <w:lang w:val="en-GB"/>
        </w:rPr>
        <w:t xml:space="preserve"> physical or </w:t>
      </w:r>
      <w:r w:rsidR="00F61764">
        <w:rPr>
          <w:lang w:val="en-GB"/>
        </w:rPr>
        <w:t>mental</w:t>
      </w:r>
      <w:r w:rsidR="007E6B13">
        <w:rPr>
          <w:lang w:val="en-GB"/>
        </w:rPr>
        <w:t xml:space="preserve"> </w:t>
      </w:r>
      <w:r w:rsidR="006E26D4">
        <w:rPr>
          <w:lang w:val="en-GB"/>
        </w:rPr>
        <w:t>health</w:t>
      </w:r>
      <w:r w:rsidR="007E6B13">
        <w:rPr>
          <w:lang w:val="en-GB"/>
        </w:rPr>
        <w:t xml:space="preserve"> condition</w:t>
      </w:r>
      <w:r w:rsidR="00530977">
        <w:rPr>
          <w:lang w:val="en-GB"/>
        </w:rPr>
        <w:t>.</w:t>
      </w:r>
      <w:r w:rsidR="00C87E31">
        <w:rPr>
          <w:lang w:val="en-GB"/>
        </w:rPr>
        <w:t xml:space="preserve"> Participants </w:t>
      </w:r>
      <w:r w:rsidR="000F3F5C">
        <w:rPr>
          <w:lang w:val="en-GB"/>
        </w:rPr>
        <w:t>may</w:t>
      </w:r>
      <w:r w:rsidR="00C87E31">
        <w:rPr>
          <w:lang w:val="en-GB"/>
        </w:rPr>
        <w:t xml:space="preserve"> have reduced </w:t>
      </w:r>
      <w:r w:rsidR="000F3F5C">
        <w:rPr>
          <w:lang w:val="en-GB"/>
        </w:rPr>
        <w:t>requirements</w:t>
      </w:r>
      <w:r w:rsidR="00C87E31">
        <w:rPr>
          <w:lang w:val="en-GB"/>
        </w:rPr>
        <w:t xml:space="preserve"> for the period of the temporary reduced work capacity.</w:t>
      </w:r>
    </w:p>
    <w:p w14:paraId="38D07B92" w14:textId="64C58683" w:rsidR="00797588" w:rsidRDefault="007B36C5" w:rsidP="00835788">
      <w:pPr>
        <w:rPr>
          <w:lang w:val="en-GB"/>
        </w:rPr>
      </w:pPr>
      <w:r w:rsidRPr="007B36C5">
        <w:rPr>
          <w:b/>
          <w:bCs/>
          <w:lang w:val="en-GB"/>
        </w:rPr>
        <w:t>Note:</w:t>
      </w:r>
      <w:r>
        <w:rPr>
          <w:lang w:val="en-GB"/>
        </w:rPr>
        <w:t xml:space="preserve"> </w:t>
      </w:r>
      <w:r w:rsidR="00797588">
        <w:rPr>
          <w:lang w:val="en-GB"/>
        </w:rPr>
        <w:t xml:space="preserve">If the temporary reduced work capacity is between 0-14 hours per week and for a period longer than 12 weeks, </w:t>
      </w:r>
      <w:r w:rsidR="009D7212">
        <w:rPr>
          <w:lang w:val="en-GB"/>
        </w:rPr>
        <w:t>a</w:t>
      </w:r>
      <w:r w:rsidR="00797588">
        <w:rPr>
          <w:lang w:val="en-GB"/>
        </w:rPr>
        <w:t xml:space="preserve"> Participant (Mutual Obligation) </w:t>
      </w:r>
      <w:r w:rsidR="00485CD5">
        <w:rPr>
          <w:lang w:val="en-GB"/>
        </w:rPr>
        <w:t xml:space="preserve">receiving Pre-Employment Support </w:t>
      </w:r>
      <w:r w:rsidR="00797588">
        <w:rPr>
          <w:lang w:val="en-GB"/>
        </w:rPr>
        <w:t xml:space="preserve">will </w:t>
      </w:r>
      <w:r w:rsidR="004908B3">
        <w:rPr>
          <w:lang w:val="en-GB"/>
        </w:rPr>
        <w:t xml:space="preserve">be Suspended from Services and </w:t>
      </w:r>
      <w:r w:rsidR="00323374">
        <w:rPr>
          <w:lang w:val="en-GB"/>
        </w:rPr>
        <w:t xml:space="preserve">become Centrelink Managed. </w:t>
      </w:r>
      <w:r w:rsidR="00CF34B2">
        <w:rPr>
          <w:lang w:val="en-GB"/>
        </w:rPr>
        <w:t>As was noted earlier in this Section, t</w:t>
      </w:r>
      <w:r w:rsidR="00323374">
        <w:rPr>
          <w:lang w:val="en-GB"/>
        </w:rPr>
        <w:t xml:space="preserve">he Participant may </w:t>
      </w:r>
      <w:r w:rsidR="00CF34B2">
        <w:rPr>
          <w:lang w:val="en-GB"/>
        </w:rPr>
        <w:t>choose</w:t>
      </w:r>
      <w:r w:rsidR="00F003F6">
        <w:rPr>
          <w:lang w:val="en-GB"/>
        </w:rPr>
        <w:t xml:space="preserve"> to volunteer to continue to receive assistance during this period</w:t>
      </w:r>
      <w:r w:rsidR="00CF34B2">
        <w:rPr>
          <w:lang w:val="en-GB"/>
        </w:rPr>
        <w:t>.</w:t>
      </w:r>
    </w:p>
    <w:p w14:paraId="79B2D688" w14:textId="3E764AA9" w:rsidR="00D74559" w:rsidRPr="00850DFD" w:rsidRDefault="00D74559" w:rsidP="00063EDD">
      <w:pPr>
        <w:pStyle w:val="Heading5"/>
      </w:pPr>
      <w:r w:rsidRPr="00850DFD">
        <w:t>Exemptions from Mutual Obligation Requirements</w:t>
      </w:r>
    </w:p>
    <w:p w14:paraId="5CDD16EA" w14:textId="7431D18F" w:rsidR="00D74559" w:rsidRDefault="00D74559" w:rsidP="006E2EF5">
      <w:pPr>
        <w:rPr>
          <w:lang w:val="en-GB"/>
        </w:rPr>
      </w:pPr>
      <w:r w:rsidRPr="48661572">
        <w:rPr>
          <w:lang w:val="en-GB"/>
        </w:rPr>
        <w:t xml:space="preserve">If a Participant is temporarily unable to meet </w:t>
      </w:r>
      <w:r w:rsidR="002C70F8" w:rsidRPr="007D042C">
        <w:rPr>
          <w:u w:val="single"/>
          <w:lang w:val="en-GB"/>
        </w:rPr>
        <w:t>any</w:t>
      </w:r>
      <w:r w:rsidR="002C70F8" w:rsidRPr="002C70F8">
        <w:rPr>
          <w:lang w:val="en-GB"/>
        </w:rPr>
        <w:t xml:space="preserve"> of</w:t>
      </w:r>
      <w:r w:rsidR="00C372F4">
        <w:rPr>
          <w:lang w:val="en-GB"/>
        </w:rPr>
        <w:t xml:space="preserve"> </w:t>
      </w:r>
      <w:r w:rsidRPr="48661572">
        <w:rPr>
          <w:lang w:val="en-GB"/>
        </w:rPr>
        <w:t xml:space="preserve">their Mutual Obligation Requirements, Services Australia may grant an Exemption for a specified period. If a Provider believes that the Participant does not </w:t>
      </w:r>
      <w:r w:rsidR="009668CC">
        <w:rPr>
          <w:lang w:val="en-GB"/>
        </w:rPr>
        <w:t>temporarily</w:t>
      </w:r>
      <w:r w:rsidR="006810E7">
        <w:rPr>
          <w:lang w:val="en-GB"/>
        </w:rPr>
        <w:t xml:space="preserve"> </w:t>
      </w:r>
      <w:r w:rsidRPr="48661572">
        <w:rPr>
          <w:lang w:val="en-GB"/>
        </w:rPr>
        <w:t xml:space="preserve">have the </w:t>
      </w:r>
      <w:bookmarkStart w:id="197" w:name="_Int_1Smfe2ai"/>
      <w:r w:rsidRPr="48661572">
        <w:rPr>
          <w:lang w:val="en-GB"/>
        </w:rPr>
        <w:t>capacity</w:t>
      </w:r>
      <w:bookmarkEnd w:id="197"/>
      <w:r w:rsidRPr="48661572">
        <w:rPr>
          <w:lang w:val="en-GB"/>
        </w:rPr>
        <w:t xml:space="preserve"> to meet</w:t>
      </w:r>
      <w:r w:rsidR="00C34ECA">
        <w:rPr>
          <w:lang w:val="en-GB"/>
        </w:rPr>
        <w:t xml:space="preserve"> any of</w:t>
      </w:r>
      <w:r w:rsidRPr="48661572">
        <w:rPr>
          <w:lang w:val="en-GB"/>
        </w:rPr>
        <w:t xml:space="preserve"> their Mutual Obligation Requirements, the Participant must be </w:t>
      </w:r>
      <w:bookmarkStart w:id="198" w:name="_Int_bUaQplLI"/>
      <w:r w:rsidRPr="48661572">
        <w:rPr>
          <w:lang w:val="en-GB"/>
        </w:rPr>
        <w:t>advised to contact</w:t>
      </w:r>
      <w:bookmarkEnd w:id="198"/>
      <w:r w:rsidRPr="48661572">
        <w:rPr>
          <w:lang w:val="en-GB"/>
        </w:rPr>
        <w:t xml:space="preserve"> Services Australia to test their eligibility for an Exemption, on their regular payment line (which can be found on the </w:t>
      </w:r>
      <w:hyperlink r:id="rId48">
        <w:r w:rsidRPr="48661572">
          <w:rPr>
            <w:rStyle w:val="Hyperlink"/>
            <w:lang w:val="en-GB"/>
          </w:rPr>
          <w:t>Services Australia website</w:t>
        </w:r>
      </w:hyperlink>
      <w:r w:rsidRPr="48661572">
        <w:rPr>
          <w:lang w:val="en-GB"/>
        </w:rPr>
        <w:t>).</w:t>
      </w:r>
      <w:r>
        <w:rPr>
          <w:lang w:val="en-GB"/>
        </w:rPr>
        <w:t xml:space="preserve"> </w:t>
      </w:r>
      <w:r w:rsidR="00EA7604">
        <w:rPr>
          <w:lang w:val="en-GB"/>
        </w:rPr>
        <w:t xml:space="preserve">Encouraging the </w:t>
      </w:r>
      <w:r w:rsidR="009668CC">
        <w:rPr>
          <w:lang w:val="en-GB"/>
        </w:rPr>
        <w:t>Participant</w:t>
      </w:r>
      <w:r w:rsidR="00EA7604">
        <w:rPr>
          <w:lang w:val="en-GB"/>
        </w:rPr>
        <w:t xml:space="preserve"> to seek an Exemption is important as they may be </w:t>
      </w:r>
      <w:r w:rsidR="009668CC">
        <w:rPr>
          <w:lang w:val="en-GB"/>
        </w:rPr>
        <w:t>eligible</w:t>
      </w:r>
      <w:r w:rsidR="00EA7604">
        <w:rPr>
          <w:lang w:val="en-GB"/>
        </w:rPr>
        <w:t xml:space="preserve"> for additional allowances, such as </w:t>
      </w:r>
      <w:r w:rsidR="005C1E36">
        <w:rPr>
          <w:lang w:val="en-GB"/>
        </w:rPr>
        <w:t>Pharmaceutical Allowance, depending on their circumstances.</w:t>
      </w:r>
    </w:p>
    <w:p w14:paraId="29476EEA" w14:textId="77777777" w:rsidR="00D74559" w:rsidRDefault="00D74559" w:rsidP="006E2EF5">
      <w:r>
        <w:t xml:space="preserve">A guide to the situations in which a Participant may be granted an Exemption from their Mutual Obligation Requirements, is included on the Provider Portal as the </w:t>
      </w:r>
      <w:r w:rsidRPr="006D257F">
        <w:rPr>
          <w:highlight w:val="green"/>
        </w:rPr>
        <w:t>Types of Exemptions</w:t>
      </w:r>
      <w:r>
        <w:t xml:space="preserve"> support document.</w:t>
      </w:r>
    </w:p>
    <w:p w14:paraId="08DA233B" w14:textId="07678C69" w:rsidR="004004A5" w:rsidRDefault="006D0037" w:rsidP="006E2EF5">
      <w:pPr>
        <w:rPr>
          <w:lang w:val="en-GB"/>
        </w:rPr>
      </w:pPr>
      <w:r>
        <w:rPr>
          <w:lang w:val="en-GB"/>
        </w:rPr>
        <w:t xml:space="preserve">At the same time, a Provider should also seek to reduce a Participant’s requirements and consider </w:t>
      </w:r>
      <w:r w:rsidR="001C4341">
        <w:rPr>
          <w:lang w:val="en-GB"/>
        </w:rPr>
        <w:t>if</w:t>
      </w:r>
      <w:r>
        <w:rPr>
          <w:lang w:val="en-GB"/>
        </w:rPr>
        <w:t xml:space="preserve"> the Flexible Service would be more appropriate</w:t>
      </w:r>
      <w:r w:rsidR="009D3FC1">
        <w:rPr>
          <w:lang w:val="en-GB"/>
        </w:rPr>
        <w:t>. Movement into the Flexible Service</w:t>
      </w:r>
      <w:r>
        <w:rPr>
          <w:lang w:val="en-GB"/>
        </w:rPr>
        <w:t xml:space="preserve"> while </w:t>
      </w:r>
      <w:r w:rsidR="0067663E">
        <w:t>the Participant progresses with applying for an Exemption</w:t>
      </w:r>
      <w:r w:rsidR="0067663E">
        <w:rPr>
          <w:lang w:val="en-GB"/>
        </w:rPr>
        <w:t xml:space="preserve"> </w:t>
      </w:r>
      <w:r w:rsidR="009D3FC1">
        <w:t>recognises the</w:t>
      </w:r>
      <w:r w:rsidR="0087634B">
        <w:t xml:space="preserve"> lower capacity to engage</w:t>
      </w:r>
      <w:r>
        <w:rPr>
          <w:lang w:val="en-GB"/>
        </w:rPr>
        <w:t xml:space="preserve">. </w:t>
      </w:r>
    </w:p>
    <w:p w14:paraId="242AC050" w14:textId="4311DE2F" w:rsidR="006D0037" w:rsidRDefault="006D0037" w:rsidP="006E2EF5">
      <w:r w:rsidRPr="004335B8">
        <w:t xml:space="preserve">Regardless of whether or not an </w:t>
      </w:r>
      <w:r>
        <w:t>E</w:t>
      </w:r>
      <w:r w:rsidRPr="004335B8">
        <w:t xml:space="preserve">xemption is granted, </w:t>
      </w:r>
      <w:r>
        <w:t>P</w:t>
      </w:r>
      <w:r w:rsidRPr="004335B8">
        <w:t xml:space="preserve">roviders must not </w:t>
      </w:r>
      <w:r>
        <w:t xml:space="preserve">set </w:t>
      </w:r>
      <w:r w:rsidR="00B61ADE">
        <w:t>tasks and activities</w:t>
      </w:r>
      <w:r w:rsidR="002F18CA">
        <w:t xml:space="preserve"> (either as part of meeting the Meaningful </w:t>
      </w:r>
      <w:r w:rsidR="00B61ADE">
        <w:t>Engagement Requirement or as a compulsory requirement</w:t>
      </w:r>
      <w:r w:rsidRPr="004335B8">
        <w:t xml:space="preserve"> </w:t>
      </w:r>
      <w:r w:rsidR="000C6E66">
        <w:t>in a Detailed Job Plan</w:t>
      </w:r>
      <w:r w:rsidR="00B61ADE">
        <w:t>)</w:t>
      </w:r>
      <w:r w:rsidR="000C6E66">
        <w:t xml:space="preserve"> </w:t>
      </w:r>
      <w:r w:rsidRPr="004335B8">
        <w:t>that the</w:t>
      </w:r>
      <w:r>
        <w:t xml:space="preserve"> Participant would be</w:t>
      </w:r>
      <w:r w:rsidRPr="004335B8">
        <w:t xml:space="preserve"> unable to</w:t>
      </w:r>
      <w:r>
        <w:t xml:space="preserve"> meet</w:t>
      </w:r>
      <w:r w:rsidRPr="004335B8">
        <w:t xml:space="preserve">, or that </w:t>
      </w:r>
      <w:r>
        <w:t>are</w:t>
      </w:r>
      <w:r w:rsidRPr="004335B8">
        <w:t xml:space="preserve"> inappropriate for their circumstances.</w:t>
      </w:r>
    </w:p>
    <w:p w14:paraId="3476CC05" w14:textId="563FC272" w:rsidR="00D74559" w:rsidRDefault="00D74559" w:rsidP="006E2EF5">
      <w:r w:rsidRPr="462AAA69">
        <w:rPr>
          <w:b/>
          <w:bCs/>
        </w:rPr>
        <w:t>Note:</w:t>
      </w:r>
      <w:r>
        <w:t xml:space="preserve"> Participants granted an Exemption will be Suspended from a Provider’s </w:t>
      </w:r>
      <w:r w:rsidR="00483BCB">
        <w:t>C</w:t>
      </w:r>
      <w:r>
        <w:t xml:space="preserve">aseload for the period of the Exemption. These Participants may voluntarily choose to continue participating in employment services as a Participant (Voluntary). Some Participants with longer-term Exemptions may be Exited from a Provider’s </w:t>
      </w:r>
      <w:r w:rsidR="008B3F1A">
        <w:t>C</w:t>
      </w:r>
      <w:r>
        <w:t>aseload.</w:t>
      </w:r>
    </w:p>
    <w:p w14:paraId="437E9F20" w14:textId="77777777" w:rsidR="00463C11" w:rsidRDefault="00463C11" w:rsidP="00463C11">
      <w:pPr>
        <w:pStyle w:val="Heading5"/>
      </w:pPr>
      <w:r>
        <w:t>Pause to obligations</w:t>
      </w:r>
    </w:p>
    <w:p w14:paraId="6BAB5B46" w14:textId="77777777" w:rsidR="00463C11" w:rsidRDefault="00463C11" w:rsidP="00463C11">
      <w:r>
        <w:t>At any time, the Department may pause Mutual Obligation Requirements for Participants (Mutual Obligations) in a certain location — for example, as a result of a natural disaster or State and Territory Health Orders.</w:t>
      </w:r>
    </w:p>
    <w:p w14:paraId="27D985AA" w14:textId="78CF5F74" w:rsidR="00463C11" w:rsidRDefault="00463C11" w:rsidP="00463C11">
      <w:r>
        <w:t>During this period, no payment suspensions or financial penalties will apply to Participants (Mutual Obligations) who do not meet their participation requirements. Participants will also not receive Demerits under the TCF. All existing compulsory requirements will become voluntary requirements.</w:t>
      </w:r>
      <w:r w:rsidR="00CC6420">
        <w:t xml:space="preserve"> All Participants will be considered to be meeting the Meaningful Engagement Requirement</w:t>
      </w:r>
      <w:r w:rsidR="00C23EC3">
        <w:t>.</w:t>
      </w:r>
    </w:p>
    <w:p w14:paraId="5EE9A0B3" w14:textId="77777777" w:rsidR="00463C11" w:rsidRPr="0044463F" w:rsidRDefault="00463C11" w:rsidP="00463C11">
      <w:r w:rsidRPr="0044463F">
        <w:rPr>
          <w:b/>
          <w:bCs/>
        </w:rPr>
        <w:t xml:space="preserve">Note: </w:t>
      </w:r>
      <w:r>
        <w:t>No change to a Participant’s Job Plan is required to enable the change in requirements.</w:t>
      </w:r>
    </w:p>
    <w:p w14:paraId="43C6D9FB" w14:textId="77777777" w:rsidR="00463C11" w:rsidRDefault="00463C11" w:rsidP="00463C11">
      <w:r>
        <w:t>During a pause, Providers must support Participants to understand:</w:t>
      </w:r>
    </w:p>
    <w:p w14:paraId="3EA53BB0" w14:textId="77777777" w:rsidR="00463C11" w:rsidRDefault="00463C11" w:rsidP="00463C11">
      <w:pPr>
        <w:pStyle w:val="BulletLevel1"/>
      </w:pPr>
      <w:r w:rsidRPr="00F87D74">
        <w:t xml:space="preserve">what </w:t>
      </w:r>
      <w:r>
        <w:t>the pause of obligations</w:t>
      </w:r>
      <w:r w:rsidRPr="00F87D74">
        <w:t xml:space="preserve"> mean</w:t>
      </w:r>
    </w:p>
    <w:p w14:paraId="63EFB00B" w14:textId="77777777" w:rsidR="00463C11" w:rsidRDefault="00463C11" w:rsidP="00463C11">
      <w:pPr>
        <w:pStyle w:val="BulletLevel1"/>
      </w:pPr>
      <w:r w:rsidRPr="00F87D74">
        <w:t xml:space="preserve">how long </w:t>
      </w:r>
      <w:r>
        <w:t>the</w:t>
      </w:r>
      <w:r w:rsidRPr="00F87D74">
        <w:t xml:space="preserve"> pause will last</w:t>
      </w:r>
    </w:p>
    <w:p w14:paraId="7D417F6B" w14:textId="77777777" w:rsidR="00463C11" w:rsidRDefault="00463C11" w:rsidP="00463C11">
      <w:pPr>
        <w:pStyle w:val="BulletLevel1"/>
      </w:pPr>
      <w:r>
        <w:t>what happens during the pause</w:t>
      </w:r>
    </w:p>
    <w:p w14:paraId="54C21B83" w14:textId="77777777" w:rsidR="00463C11" w:rsidRDefault="00463C11" w:rsidP="00463C11">
      <w:pPr>
        <w:pStyle w:val="BulletLevel1"/>
      </w:pPr>
      <w:r>
        <w:t>what they will need to do when the pause ends.</w:t>
      </w:r>
    </w:p>
    <w:p w14:paraId="35A6634E" w14:textId="77777777" w:rsidR="00463C11" w:rsidRDefault="00463C11" w:rsidP="00463C11">
      <w:r>
        <w:t>Participants can choose to continue to participate in Appointments and Activities on a voluntary basis. Appointments and Activities scheduled prior to the pause may still appear in their Electronic Calendar and they may still get reminder notifications. Providers may encourage Participants to remain in contact and participate in tasks and activities where it is safe to do so.</w:t>
      </w:r>
    </w:p>
    <w:p w14:paraId="4B3C84B2" w14:textId="77777777" w:rsidR="00463C11" w:rsidRDefault="00463C11" w:rsidP="00463C11">
      <w:r>
        <w:t>A Participant with a Job Search Requirement will have it updated, by the Department, for the duration of the pause. Participants will still need to meet their Job Search Requirement if it is due after the pause ends. Providers should consider whether the Job Search Requirement remains appropriate after the pause ends, based on current labour market conditions, and update the Detailed Job Plan accordingly.</w:t>
      </w:r>
    </w:p>
    <w:p w14:paraId="6BBB86F0" w14:textId="77777777" w:rsidR="00463C11" w:rsidRPr="00157DCC" w:rsidRDefault="00463C11" w:rsidP="00463C11">
      <w:r w:rsidRPr="00157DCC">
        <w:rPr>
          <w:b/>
          <w:bCs/>
        </w:rPr>
        <w:t xml:space="preserve">Note: </w:t>
      </w:r>
      <w:r>
        <w:t>Participant’s must still report their income to Centrelink each fortnight.</w:t>
      </w:r>
    </w:p>
    <w:p w14:paraId="099B4EA7" w14:textId="77777777" w:rsidR="00D74559" w:rsidRPr="00850DFD" w:rsidRDefault="00D74559" w:rsidP="00063EDD">
      <w:pPr>
        <w:pStyle w:val="Heading5"/>
      </w:pPr>
      <w:r w:rsidRPr="00850DFD">
        <w:t>Fully Meeting Mutual Obligation Requirements</w:t>
      </w:r>
    </w:p>
    <w:p w14:paraId="64B5CCA4" w14:textId="5F347410" w:rsidR="00463818" w:rsidRDefault="00D74559" w:rsidP="006B5D9C">
      <w:r>
        <w:t xml:space="preserve">All Participants (Mutual Obligation) in </w:t>
      </w:r>
      <w:r w:rsidR="00C74C33">
        <w:t>Inclusive Employment Australia</w:t>
      </w:r>
      <w:r>
        <w:t xml:space="preserve"> </w:t>
      </w:r>
      <w:r w:rsidR="009172B3">
        <w:t xml:space="preserve">are able to </w:t>
      </w:r>
      <w:r>
        <w:t xml:space="preserve">Fully Meet their requirements through sufficient participation, of at least 30 hours per fortnight, in an </w:t>
      </w:r>
      <w:r w:rsidR="004956CA">
        <w:t>approved</w:t>
      </w:r>
      <w:r>
        <w:t xml:space="preserve"> Activity or a combination of </w:t>
      </w:r>
      <w:r w:rsidR="004956CA">
        <w:t>approved</w:t>
      </w:r>
      <w:r>
        <w:t xml:space="preserve"> Activities. A summary of circumstances in which an </w:t>
      </w:r>
      <w:r w:rsidR="00C74C33">
        <w:t>Inclusive Employment Australia</w:t>
      </w:r>
      <w:r>
        <w:t xml:space="preserve"> Participant would be Fully Meeting their Mutual Obligation Requirements is included in the table below.</w:t>
      </w:r>
      <w:r w:rsidR="006B5D9C">
        <w:t xml:space="preserve"> More detailed information in available in the </w:t>
      </w:r>
      <w:r w:rsidR="006B5D9C" w:rsidRPr="00601AF6">
        <w:rPr>
          <w:rStyle w:val="Hyperlink"/>
        </w:rPr>
        <w:t>Participants who are Fully Meeting their Mutual Obligation Requirements</w:t>
      </w:r>
      <w:r w:rsidR="006B5D9C">
        <w:rPr>
          <w:rStyle w:val="Hyperlink"/>
        </w:rPr>
        <w:t xml:space="preserve"> [LINK]</w:t>
      </w:r>
      <w:r w:rsidR="006B5D9C">
        <w:t xml:space="preserve"> supporting document on the Provider Portal.</w:t>
      </w:r>
    </w:p>
    <w:p w14:paraId="3010759E" w14:textId="7578F4DD" w:rsidR="00A82B64" w:rsidRDefault="00463818" w:rsidP="006B5D9C">
      <w:r w:rsidRPr="00463818">
        <w:rPr>
          <w:b/>
          <w:bCs/>
        </w:rPr>
        <w:t>Note:</w:t>
      </w:r>
      <w:r>
        <w:t xml:space="preserve"> </w:t>
      </w:r>
      <w:r w:rsidR="00A82B64">
        <w:t xml:space="preserve">All </w:t>
      </w:r>
      <w:r w:rsidR="00C74C33">
        <w:t>Inclusive Employment Australia</w:t>
      </w:r>
      <w:r w:rsidR="0008042B">
        <w:t xml:space="preserve"> Participants</w:t>
      </w:r>
      <w:r w:rsidR="008970AF">
        <w:t xml:space="preserve"> </w:t>
      </w:r>
      <w:r w:rsidR="0008042B">
        <w:t xml:space="preserve">have a Partial Capacity to Work (PCW) </w:t>
      </w:r>
      <w:r w:rsidR="00525C0E">
        <w:t xml:space="preserve">as </w:t>
      </w:r>
      <w:r w:rsidR="00A82B64">
        <w:t xml:space="preserve">those </w:t>
      </w:r>
      <w:r w:rsidR="00A82B64" w:rsidRPr="005267F0">
        <w:t>with an assessed work capacity</w:t>
      </w:r>
      <w:r w:rsidR="00A82B64">
        <w:t xml:space="preserve"> </w:t>
      </w:r>
      <w:r w:rsidR="00A82B64" w:rsidRPr="005267F0">
        <w:t xml:space="preserve">of 30 hours </w:t>
      </w:r>
      <w:r w:rsidR="00A82B64">
        <w:t xml:space="preserve">or more </w:t>
      </w:r>
      <w:r w:rsidR="00A82B64" w:rsidRPr="005267F0">
        <w:t xml:space="preserve">per week </w:t>
      </w:r>
      <w:r w:rsidR="00A82B64">
        <w:t xml:space="preserve">are </w:t>
      </w:r>
      <w:r w:rsidR="00A82B64" w:rsidRPr="005267F0">
        <w:t xml:space="preserve">ineligible to </w:t>
      </w:r>
      <w:r w:rsidR="00A82B64">
        <w:t>C</w:t>
      </w:r>
      <w:r w:rsidR="00A82B64" w:rsidRPr="005267F0">
        <w:t xml:space="preserve">ommence </w:t>
      </w:r>
      <w:r w:rsidR="00A82B64">
        <w:t xml:space="preserve">in </w:t>
      </w:r>
      <w:r w:rsidR="00C74C33">
        <w:t>Inclusive Employment Australia</w:t>
      </w:r>
      <w:r w:rsidR="00525C0E">
        <w:t>.</w:t>
      </w:r>
      <w:r w:rsidR="00A82B64">
        <w:t xml:space="preserve"> </w:t>
      </w:r>
      <w:r w:rsidR="00525C0E">
        <w:t>T</w:t>
      </w:r>
      <w:r w:rsidR="0008042B">
        <w:t>herefore</w:t>
      </w:r>
      <w:r w:rsidR="00525C0E">
        <w:t>,</w:t>
      </w:r>
      <w:r w:rsidR="0008042B">
        <w:t xml:space="preserve"> at a minimum</w:t>
      </w:r>
      <w:r w:rsidR="00525C0E">
        <w:t xml:space="preserve">, </w:t>
      </w:r>
      <w:r w:rsidR="00C74C33">
        <w:t>Inclusive Employment Australia</w:t>
      </w:r>
      <w:r w:rsidR="00525C0E">
        <w:t xml:space="preserve"> Participant</w:t>
      </w:r>
      <w:r w:rsidR="0008042B">
        <w:t xml:space="preserve"> can Fully Meet their requirements </w:t>
      </w:r>
      <w:r w:rsidR="00525C0E">
        <w:t>under the arrangements for</w:t>
      </w:r>
      <w:r w:rsidR="0008042B">
        <w:t xml:space="preserve"> PCW Participant</w:t>
      </w:r>
      <w:r w:rsidR="00525C0E">
        <w:t>s</w:t>
      </w:r>
      <w:r w:rsidR="0008042B">
        <w:t>.</w:t>
      </w:r>
    </w:p>
    <w:p w14:paraId="76CF4E46" w14:textId="0D80410A" w:rsidR="00D74559" w:rsidRDefault="00D74559" w:rsidP="006E2EF5">
      <w:r>
        <w:t xml:space="preserve">A guide to when a Participant can be recorded as Fully Meeting their Mutual Obligation Requirements, can be found in the Social Security Guide </w:t>
      </w:r>
      <w:r w:rsidR="005F7368">
        <w:t>— see</w:t>
      </w:r>
      <w:r>
        <w:t xml:space="preserve"> </w:t>
      </w:r>
      <w:hyperlink r:id="rId49" w:history="1">
        <w:r w:rsidRPr="009643E3">
          <w:rPr>
            <w:rStyle w:val="Hyperlink"/>
          </w:rPr>
          <w:t xml:space="preserve">3.11.6 Fully </w:t>
        </w:r>
        <w:r w:rsidR="00CB39E1">
          <w:rPr>
            <w:rStyle w:val="Hyperlink"/>
          </w:rPr>
          <w:t>m</w:t>
        </w:r>
        <w:r w:rsidRPr="009643E3">
          <w:rPr>
            <w:rStyle w:val="Hyperlink"/>
          </w:rPr>
          <w:t>eeting requirements | Social Security Guide</w:t>
        </w:r>
      </w:hyperlink>
      <w:r>
        <w:t>.</w:t>
      </w:r>
    </w:p>
    <w:p w14:paraId="09FAD1EA" w14:textId="3149DB3B" w:rsidR="00D74559" w:rsidRDefault="00D74559" w:rsidP="006E2EF5">
      <w:r>
        <w:t xml:space="preserve">If the Participant has confirmed </w:t>
      </w:r>
      <w:r w:rsidR="002075CF">
        <w:t>they are going to undertake</w:t>
      </w:r>
      <w:r>
        <w:t xml:space="preserve"> an approved Activity but has not yet commenced, they must still participate in </w:t>
      </w:r>
      <w:r w:rsidR="00C74C33">
        <w:t>Inclusive Employment Australia</w:t>
      </w:r>
      <w:r>
        <w:t xml:space="preserve"> until they commence the Activity.</w:t>
      </w:r>
    </w:p>
    <w:p w14:paraId="343282FB" w14:textId="7890F386" w:rsidR="004442E8" w:rsidRDefault="00D74559" w:rsidP="006E2EF5">
      <w:r>
        <w:t>Providers can record that Participants are Fully Meeting their Mutual Obligation Requirements through recording their participation in the Approved Activity</w:t>
      </w:r>
      <w:r w:rsidR="00DF7D6E">
        <w:t>. The</w:t>
      </w:r>
      <w:r>
        <w:t xml:space="preserve"> Activity </w:t>
      </w:r>
      <w:r w:rsidR="00DF7D6E">
        <w:t>does not need to be</w:t>
      </w:r>
      <w:r>
        <w:t xml:space="preserve"> in their Job Plan</w:t>
      </w:r>
      <w:r w:rsidR="00DF7D6E">
        <w:t xml:space="preserve"> in order for the Participant to be Fully Meeting their requirements</w:t>
      </w:r>
      <w:r w:rsidR="00F30F48">
        <w:t xml:space="preserve">, however, it is considered best practice to capture the Activity in a </w:t>
      </w:r>
      <w:r w:rsidR="00A1267D">
        <w:t xml:space="preserve">Detailed </w:t>
      </w:r>
      <w:r>
        <w:t>Job Plan</w:t>
      </w:r>
      <w:r w:rsidR="00E67F1C">
        <w:t xml:space="preserve"> as soon as the Provider arranges</w:t>
      </w:r>
      <w:r w:rsidR="009A7317">
        <w:t xml:space="preserve"> the Activity</w:t>
      </w:r>
      <w:r w:rsidR="00E67F1C">
        <w:t xml:space="preserve"> or is advised that the Participant is undertaking the</w:t>
      </w:r>
      <w:r w:rsidR="004442E8">
        <w:t xml:space="preserve"> Activity</w:t>
      </w:r>
      <w:r>
        <w:t>.</w:t>
      </w:r>
    </w:p>
    <w:p w14:paraId="7653A27F" w14:textId="5EB735B1" w:rsidR="00D74559" w:rsidRDefault="00D74559" w:rsidP="006E2EF5">
      <w:r>
        <w:t xml:space="preserve">Providers must assess and record the Participant as Fully Meeting their Mutual Obligation Requirements in the Department’s IT Systems rather than sending the Participant to Services Australia to action. Further details are included in the </w:t>
      </w:r>
      <w:r w:rsidR="006B5D9C" w:rsidRPr="006B5D9C">
        <w:rPr>
          <w:rStyle w:val="Hyperlink"/>
        </w:rPr>
        <w:t>Provider Actions</w:t>
      </w:r>
      <w:r w:rsidRPr="006B5D9C">
        <w:rPr>
          <w:rStyle w:val="Hyperlink"/>
        </w:rPr>
        <w:t xml:space="preserve"> – Recording Participants </w:t>
      </w:r>
      <w:r w:rsidR="002022A1">
        <w:rPr>
          <w:rStyle w:val="Hyperlink"/>
        </w:rPr>
        <w:t>as</w:t>
      </w:r>
      <w:r w:rsidRPr="006B5D9C">
        <w:rPr>
          <w:rStyle w:val="Hyperlink"/>
        </w:rPr>
        <w:t xml:space="preserve"> Fully Meeting Mutual Obligations </w:t>
      </w:r>
      <w:r w:rsidR="006B5D9C" w:rsidRPr="006B5D9C">
        <w:rPr>
          <w:rStyle w:val="Hyperlink"/>
        </w:rPr>
        <w:t>[LINK]</w:t>
      </w:r>
      <w:r w:rsidR="006B5D9C">
        <w:t xml:space="preserve"> </w:t>
      </w:r>
      <w:r>
        <w:t>supporting document available on the Provider Portal.</w:t>
      </w:r>
      <w:r w:rsidRPr="0095170F">
        <w:t xml:space="preserve"> </w:t>
      </w:r>
      <w:r>
        <w:t>This supporting document also includes details on the Voluntary Work approval process for Fully Meeting requirements.</w:t>
      </w:r>
      <w:r w:rsidR="00850B7F">
        <w:t xml:space="preserve"> Details on approved study are included under</w:t>
      </w:r>
      <w:r w:rsidR="00BD75D3">
        <w:t xml:space="preserve"> </w:t>
      </w:r>
      <w:r w:rsidR="00BD75D3">
        <w:fldChar w:fldCharType="begin"/>
      </w:r>
      <w:r w:rsidR="00BD75D3">
        <w:instrText xml:space="preserve"> REF _Ref202788434 \h </w:instrText>
      </w:r>
      <w:r w:rsidR="00BD75D3">
        <w:fldChar w:fldCharType="separate"/>
      </w:r>
      <w:r w:rsidR="000D75AE">
        <w:t>7.7.2</w:t>
      </w:r>
      <w:r w:rsidR="000D75AE" w:rsidRPr="21E3D223">
        <w:t>Education and Training</w:t>
      </w:r>
      <w:r w:rsidR="00BD75D3">
        <w:fldChar w:fldCharType="end"/>
      </w:r>
      <w:r w:rsidR="00EB29C1">
        <w:t>.</w:t>
      </w:r>
    </w:p>
    <w:p w14:paraId="018DCD97" w14:textId="77777777" w:rsidR="00D74559" w:rsidRDefault="00D74559" w:rsidP="006E2EF5">
      <w:pPr>
        <w:pStyle w:val="TableChartHeading"/>
      </w:pPr>
      <w:r>
        <w:t>Requirements to be Fully Meeting Mutual Obligation Requirements</w:t>
      </w:r>
    </w:p>
    <w:tbl>
      <w:tblPr>
        <w:tblStyle w:val="DSSTableStyleB"/>
        <w:tblW w:w="0" w:type="auto"/>
        <w:tblBorders>
          <w:top w:val="single" w:sz="4" w:space="0" w:color="auto"/>
          <w:bottom w:val="single" w:sz="4" w:space="0" w:color="auto"/>
          <w:insideH w:val="single" w:sz="4" w:space="0" w:color="auto"/>
        </w:tblBorders>
        <w:tblLook w:val="04E0" w:firstRow="1" w:lastRow="1" w:firstColumn="1" w:lastColumn="0" w:noHBand="0" w:noVBand="1"/>
        <w:tblDescription w:val="Example of a table styled with the second of the two DSS table styles. It is populated with food-related dummy data."/>
      </w:tblPr>
      <w:tblGrid>
        <w:gridCol w:w="2835"/>
        <w:gridCol w:w="6946"/>
      </w:tblGrid>
      <w:tr w:rsidR="00FC127C" w14:paraId="2375B661"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2835" w:type="dxa"/>
          </w:tcPr>
          <w:p w14:paraId="3814B940" w14:textId="77777777" w:rsidR="00D74559" w:rsidRDefault="00D74559" w:rsidP="006E2EF5">
            <w:pPr>
              <w:pStyle w:val="TableText"/>
            </w:pPr>
            <w:r>
              <w:t>Participant Cohort</w:t>
            </w:r>
          </w:p>
        </w:tc>
        <w:tc>
          <w:tcPr>
            <w:tcW w:w="6946" w:type="dxa"/>
          </w:tcPr>
          <w:p w14:paraId="0E13AA37" w14:textId="77777777" w:rsidR="00D74559" w:rsidRDefault="00D74559" w:rsidP="006E2EF5">
            <w:pPr>
              <w:pStyle w:val="TableText"/>
            </w:pPr>
            <w:r>
              <w:t>Requirements</w:t>
            </w:r>
          </w:p>
        </w:tc>
      </w:tr>
      <w:tr w:rsidR="00D74559" w:rsidRPr="00896337" w14:paraId="7C12E4B1" w14:textId="77777777" w:rsidTr="00DE7A9B">
        <w:trPr>
          <w:cnfStyle w:val="000000100000" w:firstRow="0" w:lastRow="0" w:firstColumn="0" w:lastColumn="0" w:oddVBand="0" w:evenVBand="0" w:oddHBand="1" w:evenHBand="0" w:firstRowFirstColumn="0" w:firstRowLastColumn="0" w:lastRowFirstColumn="0" w:lastRowLastColumn="0"/>
          <w:cantSplit/>
        </w:trPr>
        <w:tc>
          <w:tcPr>
            <w:tcW w:w="2835" w:type="dxa"/>
            <w:tcBorders>
              <w:bottom w:val="single" w:sz="4" w:space="0" w:color="auto"/>
            </w:tcBorders>
          </w:tcPr>
          <w:p w14:paraId="75E27C21" w14:textId="62C326C1" w:rsidR="00D74559" w:rsidRPr="00D11422" w:rsidRDefault="00B419DE" w:rsidP="006E2EF5">
            <w:pPr>
              <w:pStyle w:val="TableText"/>
            </w:pPr>
            <w:r>
              <w:t>PCW Participants</w:t>
            </w:r>
            <w:r w:rsidR="00D74559" w:rsidRPr="00D11422">
              <w:t xml:space="preserve"> </w:t>
            </w:r>
            <w:r>
              <w:br/>
            </w:r>
            <w:r w:rsidR="00D74559" w:rsidRPr="00D11422">
              <w:t>(15-29 hours per week)</w:t>
            </w:r>
          </w:p>
        </w:tc>
        <w:tc>
          <w:tcPr>
            <w:tcW w:w="6946" w:type="dxa"/>
            <w:tcBorders>
              <w:bottom w:val="single" w:sz="4" w:space="0" w:color="auto"/>
            </w:tcBorders>
          </w:tcPr>
          <w:p w14:paraId="0CC0F67A" w14:textId="77777777" w:rsidR="00D74559" w:rsidRPr="00053D1D" w:rsidRDefault="00D74559" w:rsidP="00E60B71">
            <w:pPr>
              <w:pStyle w:val="TableList-level1"/>
            </w:pPr>
            <w:r>
              <w:t>By undertaking 30 hours per fortnight of:</w:t>
            </w:r>
          </w:p>
          <w:p w14:paraId="61BC5CCB" w14:textId="564604A9" w:rsidR="00D74559" w:rsidRPr="00896337" w:rsidRDefault="00D74559" w:rsidP="00CF1BFB">
            <w:pPr>
              <w:pStyle w:val="TableList-level2"/>
              <w:ind w:left="1248"/>
              <w:rPr>
                <w:color w:val="000000" w:themeColor="text1"/>
              </w:rPr>
            </w:pPr>
            <w:r w:rsidRPr="00896337">
              <w:t>paid Employment, including Unsubsidised Self</w:t>
            </w:r>
            <w:r w:rsidR="008E4132">
              <w:t>-</w:t>
            </w:r>
            <w:r w:rsidRPr="00896337">
              <w:t>Employment</w:t>
            </w:r>
          </w:p>
          <w:p w14:paraId="1240B39C" w14:textId="77777777" w:rsidR="00D74559" w:rsidRPr="00896337" w:rsidRDefault="00D74559" w:rsidP="00CF1BFB">
            <w:pPr>
              <w:pStyle w:val="TableList-level2"/>
              <w:ind w:left="1248"/>
              <w:rPr>
                <w:color w:val="000000" w:themeColor="text1"/>
              </w:rPr>
            </w:pPr>
            <w:r>
              <w:t>a</w:t>
            </w:r>
            <w:r w:rsidRPr="00896337">
              <w:t xml:space="preserve">pproved </w:t>
            </w:r>
            <w:r>
              <w:t>s</w:t>
            </w:r>
            <w:r w:rsidRPr="00896337">
              <w:t>tudy</w:t>
            </w:r>
            <w:r>
              <w:t>, or</w:t>
            </w:r>
          </w:p>
          <w:p w14:paraId="573735AC" w14:textId="77777777" w:rsidR="00D74559" w:rsidRPr="00896337" w:rsidRDefault="00D74559" w:rsidP="00CF1BFB">
            <w:pPr>
              <w:pStyle w:val="TableList-level2"/>
              <w:ind w:left="1248"/>
            </w:pPr>
            <w:r w:rsidRPr="00896337">
              <w:t xml:space="preserve">a combination of </w:t>
            </w:r>
            <w:r>
              <w:t xml:space="preserve">the </w:t>
            </w:r>
            <w:r w:rsidRPr="00896337">
              <w:t>above</w:t>
            </w:r>
            <w:r>
              <w:t>.</w:t>
            </w:r>
          </w:p>
        </w:tc>
      </w:tr>
      <w:tr w:rsidR="00FD020B" w:rsidRPr="00896337" w14:paraId="504DC607" w14:textId="77777777" w:rsidTr="00DE7A9B">
        <w:trPr>
          <w:cnfStyle w:val="000000010000" w:firstRow="0" w:lastRow="0" w:firstColumn="0" w:lastColumn="0" w:oddVBand="0" w:evenVBand="0" w:oddHBand="0" w:evenHBand="1" w:firstRowFirstColumn="0" w:firstRowLastColumn="0" w:lastRowFirstColumn="0" w:lastRowLastColumn="0"/>
          <w:cantSplit/>
        </w:trPr>
        <w:tc>
          <w:tcPr>
            <w:tcW w:w="2835" w:type="dxa"/>
            <w:tcBorders>
              <w:bottom w:val="single" w:sz="4" w:space="0" w:color="auto"/>
            </w:tcBorders>
          </w:tcPr>
          <w:p w14:paraId="7BDC5900" w14:textId="648FFD4A" w:rsidR="00D74559" w:rsidRPr="00D11422" w:rsidRDefault="00D74559" w:rsidP="006E2EF5">
            <w:pPr>
              <w:pStyle w:val="TableText"/>
            </w:pPr>
            <w:r w:rsidRPr="00D11422">
              <w:t>Principal Carer</w:t>
            </w:r>
            <w:r>
              <w:t xml:space="preserve"> Parents (</w:t>
            </w:r>
            <w:r w:rsidRPr="00D11422">
              <w:t>youngest child is under 16</w:t>
            </w:r>
            <w:r w:rsidR="006873B9">
              <w:t> </w:t>
            </w:r>
            <w:r w:rsidRPr="00D11422">
              <w:t>years of age</w:t>
            </w:r>
            <w:r>
              <w:t>)</w:t>
            </w:r>
          </w:p>
        </w:tc>
        <w:tc>
          <w:tcPr>
            <w:tcW w:w="6946" w:type="dxa"/>
            <w:tcBorders>
              <w:bottom w:val="single" w:sz="4" w:space="0" w:color="auto"/>
            </w:tcBorders>
          </w:tcPr>
          <w:p w14:paraId="4F4F5B32" w14:textId="77777777" w:rsidR="00D74559" w:rsidRPr="00053D1D" w:rsidRDefault="00D74559" w:rsidP="00E60B71">
            <w:pPr>
              <w:pStyle w:val="TableList-level1"/>
            </w:pPr>
            <w:r>
              <w:t>By undertaking 30 hours per fortnight of:</w:t>
            </w:r>
          </w:p>
          <w:p w14:paraId="326A734B" w14:textId="7E35565A" w:rsidR="00D74559" w:rsidRPr="00896337" w:rsidRDefault="00D74559" w:rsidP="00CF1BFB">
            <w:pPr>
              <w:pStyle w:val="TableList-level2"/>
              <w:ind w:left="1248"/>
              <w:rPr>
                <w:color w:val="000000" w:themeColor="text1"/>
              </w:rPr>
            </w:pPr>
            <w:r>
              <w:t>p</w:t>
            </w:r>
            <w:r w:rsidRPr="00896337">
              <w:t xml:space="preserve">aid </w:t>
            </w:r>
            <w:r w:rsidR="00781EEC">
              <w:t>Employment</w:t>
            </w:r>
            <w:r w:rsidRPr="00896337">
              <w:t xml:space="preserve">, including Unsubsidised </w:t>
            </w:r>
            <w:r w:rsidRPr="00896337" w:rsidDel="004B14A2">
              <w:t>Self-Employ</w:t>
            </w:r>
            <w:r w:rsidRPr="00896337">
              <w:t>ment</w:t>
            </w:r>
          </w:p>
          <w:p w14:paraId="38D5CDD4" w14:textId="77777777" w:rsidR="00D74559" w:rsidRPr="006C361D" w:rsidRDefault="00D74559" w:rsidP="00CF1BFB">
            <w:pPr>
              <w:pStyle w:val="TableList-level2"/>
              <w:ind w:left="1248"/>
              <w:rPr>
                <w:color w:val="000000" w:themeColor="text1"/>
              </w:rPr>
            </w:pPr>
            <w:r>
              <w:t>a</w:t>
            </w:r>
            <w:r w:rsidRPr="00896337">
              <w:t xml:space="preserve">pproved </w:t>
            </w:r>
            <w:r>
              <w:t>s</w:t>
            </w:r>
            <w:r w:rsidRPr="00896337">
              <w:t>tudy</w:t>
            </w:r>
            <w:r>
              <w:t>, or</w:t>
            </w:r>
          </w:p>
          <w:p w14:paraId="7D45FFB9" w14:textId="77777777" w:rsidR="00D74559" w:rsidRDefault="00D74559" w:rsidP="00CF1BFB">
            <w:pPr>
              <w:pStyle w:val="TableList-level2"/>
              <w:ind w:left="1248"/>
            </w:pPr>
            <w:r w:rsidRPr="00896337">
              <w:t>a combination of above</w:t>
            </w:r>
            <w:r>
              <w:t>.</w:t>
            </w:r>
          </w:p>
          <w:p w14:paraId="017067E1" w14:textId="77777777" w:rsidR="00D74559" w:rsidRPr="00896337" w:rsidRDefault="00D74559" w:rsidP="00E60B71">
            <w:pPr>
              <w:pStyle w:val="TableList-level1"/>
            </w:pPr>
            <w:r>
              <w:t xml:space="preserve">By undertaking approved </w:t>
            </w:r>
            <w:r w:rsidRPr="00D11422">
              <w:rPr>
                <w:bCs/>
              </w:rPr>
              <w:t xml:space="preserve">Voluntary Work </w:t>
            </w:r>
            <w:r>
              <w:t>with at least 15 hours of approved study and/or paid Employment, for 30 hours per fortnight.</w:t>
            </w:r>
          </w:p>
        </w:tc>
      </w:tr>
      <w:tr w:rsidR="00D74559" w:rsidRPr="00B51329" w14:paraId="4FD1CE36" w14:textId="77777777" w:rsidTr="00DE7A9B">
        <w:trPr>
          <w:cnfStyle w:val="000000100000" w:firstRow="0" w:lastRow="0" w:firstColumn="0" w:lastColumn="0" w:oddVBand="0" w:evenVBand="0" w:oddHBand="1" w:evenHBand="0" w:firstRowFirstColumn="0" w:firstRowLastColumn="0" w:lastRowFirstColumn="0" w:lastRowLastColumn="0"/>
          <w:cantSplit/>
          <w:trHeight w:val="300"/>
        </w:trPr>
        <w:tc>
          <w:tcPr>
            <w:tcW w:w="2835" w:type="dxa"/>
            <w:tcBorders>
              <w:top w:val="single" w:sz="4" w:space="0" w:color="auto"/>
            </w:tcBorders>
          </w:tcPr>
          <w:p w14:paraId="52B2E996" w14:textId="77777777" w:rsidR="00D74559" w:rsidRPr="00B51329" w:rsidRDefault="00D74559" w:rsidP="006E2EF5">
            <w:pPr>
              <w:pStyle w:val="TableText"/>
            </w:pPr>
            <w:r w:rsidRPr="00B51329">
              <w:t>Participants in receipt of a Carer Allowance</w:t>
            </w:r>
          </w:p>
        </w:tc>
        <w:tc>
          <w:tcPr>
            <w:tcW w:w="6946" w:type="dxa"/>
            <w:tcBorders>
              <w:top w:val="single" w:sz="4" w:space="0" w:color="auto"/>
            </w:tcBorders>
          </w:tcPr>
          <w:p w14:paraId="34B80C24" w14:textId="77777777" w:rsidR="00D74559" w:rsidRPr="00B51329" w:rsidRDefault="00D74559" w:rsidP="00E60B71">
            <w:pPr>
              <w:pStyle w:val="TableList-level1"/>
            </w:pPr>
            <w:r w:rsidRPr="00B51329">
              <w:t>By undertaking 30 hours per fortnight of:</w:t>
            </w:r>
          </w:p>
          <w:p w14:paraId="13B68318" w14:textId="77777777" w:rsidR="00D74559" w:rsidRPr="00B51329" w:rsidRDefault="00D74559" w:rsidP="00CF1BFB">
            <w:pPr>
              <w:pStyle w:val="TableList-level2"/>
              <w:ind w:left="1248"/>
              <w:rPr>
                <w:color w:val="000000" w:themeColor="text1"/>
              </w:rPr>
            </w:pPr>
            <w:r w:rsidRPr="00B51329">
              <w:t>paid Employment, including Unsubsidised Self-Employment</w:t>
            </w:r>
          </w:p>
          <w:p w14:paraId="5BCFE42B" w14:textId="77777777" w:rsidR="00D74559" w:rsidRPr="00B51329" w:rsidRDefault="00D74559" w:rsidP="00CF1BFB">
            <w:pPr>
              <w:pStyle w:val="TableList-level2"/>
              <w:ind w:left="1248"/>
              <w:rPr>
                <w:color w:val="000000" w:themeColor="text1"/>
              </w:rPr>
            </w:pPr>
            <w:r w:rsidRPr="00B51329">
              <w:t>approved study, or</w:t>
            </w:r>
          </w:p>
          <w:p w14:paraId="51712527" w14:textId="77777777" w:rsidR="00D74559" w:rsidRPr="00B51329" w:rsidRDefault="00D74559" w:rsidP="00CF1BFB">
            <w:pPr>
              <w:pStyle w:val="TableList-level2"/>
              <w:ind w:left="1248"/>
            </w:pPr>
            <w:r w:rsidRPr="00B51329">
              <w:t>a combination of above.</w:t>
            </w:r>
          </w:p>
          <w:p w14:paraId="7CAB39B5" w14:textId="77777777" w:rsidR="00D74559" w:rsidRPr="00B51329" w:rsidRDefault="00D74559" w:rsidP="00E60B71">
            <w:pPr>
              <w:pStyle w:val="TableList-level1"/>
            </w:pPr>
            <w:r w:rsidRPr="00B51329">
              <w:t xml:space="preserve">By undertaking </w:t>
            </w:r>
            <w:r>
              <w:t xml:space="preserve">approved </w:t>
            </w:r>
            <w:r w:rsidRPr="00B51329">
              <w:t>Voluntary Work with at least 15 hours of approved study and/or paid Employment, for 30 hours per fortnight.</w:t>
            </w:r>
          </w:p>
        </w:tc>
      </w:tr>
      <w:tr w:rsidR="00FC127C" w:rsidRPr="00B51329" w14:paraId="75F31572" w14:textId="77777777" w:rsidTr="00DE7A9B">
        <w:trPr>
          <w:cnfStyle w:val="010000000000" w:firstRow="0" w:lastRow="1" w:firstColumn="0" w:lastColumn="0" w:oddVBand="0" w:evenVBand="0" w:oddHBand="0" w:evenHBand="0" w:firstRowFirstColumn="0" w:firstRowLastColumn="0" w:lastRowFirstColumn="0" w:lastRowLastColumn="0"/>
          <w:cantSplit/>
        </w:trPr>
        <w:tc>
          <w:tcPr>
            <w:tcW w:w="2835" w:type="dxa"/>
          </w:tcPr>
          <w:p w14:paraId="3EE0D864" w14:textId="77777777" w:rsidR="00D74559" w:rsidRPr="00B51329" w:rsidRDefault="00D74559" w:rsidP="006E2EF5">
            <w:pPr>
              <w:pStyle w:val="TableText"/>
              <w:rPr>
                <w:b w:val="0"/>
              </w:rPr>
            </w:pPr>
            <w:r w:rsidRPr="00B51329">
              <w:rPr>
                <w:b w:val="0"/>
              </w:rPr>
              <w:t>Mature aged Participants (55 years or older)</w:t>
            </w:r>
          </w:p>
        </w:tc>
        <w:tc>
          <w:tcPr>
            <w:tcW w:w="6946" w:type="dxa"/>
          </w:tcPr>
          <w:p w14:paraId="52DA47F3" w14:textId="77777777" w:rsidR="00D74559" w:rsidRPr="00E60B71" w:rsidRDefault="00D74559" w:rsidP="00E60B71">
            <w:pPr>
              <w:pStyle w:val="TableList-level1"/>
              <w:rPr>
                <w:b w:val="0"/>
                <w:bCs/>
              </w:rPr>
            </w:pPr>
            <w:r w:rsidRPr="00E60B71">
              <w:rPr>
                <w:b w:val="0"/>
                <w:bCs/>
              </w:rPr>
              <w:t>By undertaking 30 hours per fortnight of:</w:t>
            </w:r>
          </w:p>
          <w:p w14:paraId="1B070408" w14:textId="77777777" w:rsidR="00D74559" w:rsidRPr="00E60B71" w:rsidRDefault="00D74559" w:rsidP="00CF1BFB">
            <w:pPr>
              <w:pStyle w:val="TableList-level2"/>
              <w:ind w:left="1248"/>
              <w:rPr>
                <w:b w:val="0"/>
                <w:bCs/>
              </w:rPr>
            </w:pPr>
            <w:r w:rsidRPr="00E60B71">
              <w:rPr>
                <w:b w:val="0"/>
                <w:bCs/>
              </w:rPr>
              <w:t>paid Employment, including Unsubsidised Self-Employment</w:t>
            </w:r>
          </w:p>
          <w:p w14:paraId="773256B5" w14:textId="77777777" w:rsidR="00D74559" w:rsidRPr="00E60B71" w:rsidRDefault="00D74559" w:rsidP="00CF1BFB">
            <w:pPr>
              <w:pStyle w:val="TableList-level2"/>
              <w:ind w:left="1248"/>
              <w:rPr>
                <w:b w:val="0"/>
                <w:bCs/>
                <w14:numSpacing w14:val="tabular"/>
              </w:rPr>
            </w:pPr>
            <w:r w:rsidRPr="00E60B71">
              <w:rPr>
                <w:b w:val="0"/>
                <w:bCs/>
              </w:rPr>
              <w:t>approved Voluntary Work</w:t>
            </w:r>
            <w:r w:rsidRPr="00E60B71">
              <w:rPr>
                <w:b w:val="0"/>
                <w:bCs/>
                <w14:numSpacing w14:val="tabular"/>
              </w:rPr>
              <w:t>, or</w:t>
            </w:r>
          </w:p>
          <w:p w14:paraId="6135599C" w14:textId="0DEDF78D" w:rsidR="00D74559" w:rsidRPr="00E60B71" w:rsidRDefault="0077743A" w:rsidP="00CF1BFB">
            <w:pPr>
              <w:pStyle w:val="TableList-level2"/>
              <w:ind w:left="1248"/>
              <w:rPr>
                <w:b w:val="0"/>
                <w:bCs/>
              </w:rPr>
            </w:pPr>
            <w:r w:rsidRPr="00E60B71">
              <w:rPr>
                <w:b w:val="0"/>
                <w:bCs/>
              </w:rPr>
              <w:t>a</w:t>
            </w:r>
            <w:r w:rsidR="00D74559" w:rsidRPr="00E60B71">
              <w:rPr>
                <w:b w:val="0"/>
                <w:bCs/>
              </w:rPr>
              <w:t xml:space="preserve"> combination of above.</w:t>
            </w:r>
          </w:p>
          <w:p w14:paraId="56BB9940" w14:textId="77777777" w:rsidR="00D74559" w:rsidRPr="00B51329" w:rsidRDefault="00D74559" w:rsidP="006E2EF5">
            <w:pPr>
              <w:pStyle w:val="TableText"/>
              <w:rPr>
                <w:b w:val="0"/>
              </w:rPr>
            </w:pPr>
            <w:r w:rsidRPr="00944FCF">
              <w:rPr>
                <w:bCs/>
              </w:rPr>
              <w:t>Note:</w:t>
            </w:r>
            <w:r w:rsidRPr="00B51329">
              <w:rPr>
                <w:b w:val="0"/>
              </w:rPr>
              <w:t xml:space="preserve"> If aged 55-59 years and in their first 12 months of receiving Income Support Payments, Voluntary Work must be combined with at least 15 hours of approved paid work.</w:t>
            </w:r>
          </w:p>
        </w:tc>
      </w:tr>
    </w:tbl>
    <w:p w14:paraId="098AB785" w14:textId="6FC6330C" w:rsidR="00D74559" w:rsidRDefault="00D74559" w:rsidP="006E2EF5">
      <w:r w:rsidRPr="1C4E4AF5">
        <w:rPr>
          <w:b/>
          <w:bCs/>
        </w:rPr>
        <w:t>Note:</w:t>
      </w:r>
      <w:r>
        <w:t xml:space="preserve"> Once a Provider or Services Australia determines that a Participant is Fully Meeting their Mutual Obligation Requirements, a Participant receiving Pre-Employment Support will be Suspended from the Provider's </w:t>
      </w:r>
      <w:r w:rsidR="00D12FBE">
        <w:t>C</w:t>
      </w:r>
      <w:r>
        <w:t xml:space="preserve">aseload and become Centrelink Managed. If the Participant is expected to continue to Fully Meet their Mutual Obligation Requirements for more than 13 weeks they will be Exited unless they choose to remain in </w:t>
      </w:r>
      <w:r w:rsidR="00C74C33">
        <w:t>Inclusive Employment Australia</w:t>
      </w:r>
      <w:r>
        <w:t xml:space="preserve"> as a Volunteer (Mutual Obligation) </w:t>
      </w:r>
      <w:r w:rsidR="002F1539">
        <w:t>—</w:t>
      </w:r>
      <w:r>
        <w:t xml:space="preserve"> refer to</w:t>
      </w:r>
      <w:r w:rsidR="00697373">
        <w:t xml:space="preserve"> </w:t>
      </w:r>
      <w:r w:rsidR="00A31574">
        <w:fldChar w:fldCharType="begin"/>
      </w:r>
      <w:r w:rsidR="00A31574">
        <w:instrText xml:space="preserve"> REF _Ref202780811 \h </w:instrText>
      </w:r>
      <w:r w:rsidR="00A31574">
        <w:fldChar w:fldCharType="separate"/>
      </w:r>
      <w:r w:rsidR="00A31574" w:rsidRPr="00BA23D8">
        <w:t>Chapter 3</w:t>
      </w:r>
      <w:r w:rsidR="00A31574">
        <w:t xml:space="preserve">: </w:t>
      </w:r>
      <w:r w:rsidR="00A31574" w:rsidRPr="00BA23D8">
        <w:t>Commencements, Transfers, Suspensions and Exits</w:t>
      </w:r>
      <w:r w:rsidR="00A31574">
        <w:fldChar w:fldCharType="end"/>
      </w:r>
      <w:r w:rsidR="00697373">
        <w:fldChar w:fldCharType="begin"/>
      </w:r>
      <w:r w:rsidR="00697373">
        <w:instrText xml:space="preserve"> REF _Ref202785048 \h </w:instrText>
      </w:r>
      <w:r w:rsidR="00697373">
        <w:fldChar w:fldCharType="separate"/>
      </w:r>
      <w:r w:rsidR="00697373">
        <w:fldChar w:fldCharType="end"/>
      </w:r>
      <w:r>
        <w:rPr>
          <w:rFonts w:cstheme="minorHAnsi"/>
        </w:rPr>
        <w:t xml:space="preserve"> and</w:t>
      </w:r>
      <w:r w:rsidR="00A31574">
        <w:rPr>
          <w:rFonts w:cstheme="minorHAnsi"/>
        </w:rPr>
        <w:t xml:space="preserve"> </w:t>
      </w:r>
      <w:r w:rsidR="00A31574">
        <w:rPr>
          <w:rFonts w:cstheme="minorHAnsi"/>
        </w:rPr>
        <w:fldChar w:fldCharType="begin"/>
      </w:r>
      <w:r w:rsidR="00A31574">
        <w:rPr>
          <w:rFonts w:cstheme="minorHAnsi"/>
        </w:rPr>
        <w:instrText xml:space="preserve"> REF _Ref202784061 \h </w:instrText>
      </w:r>
      <w:r w:rsidR="00A31574">
        <w:rPr>
          <w:rFonts w:cstheme="minorHAnsi"/>
        </w:rPr>
      </w:r>
      <w:r w:rsidR="00A31574">
        <w:rPr>
          <w:rFonts w:cstheme="minorHAnsi"/>
        </w:rPr>
        <w:fldChar w:fldCharType="separate"/>
      </w:r>
      <w:r w:rsidR="00A31574" w:rsidRPr="00BA23D8">
        <w:t>Chapter 4</w:t>
      </w:r>
      <w:r w:rsidR="00A31574">
        <w:t xml:space="preserve">: </w:t>
      </w:r>
      <w:r w:rsidR="00A31574" w:rsidRPr="00BA23D8">
        <w:t>Job Plans</w:t>
      </w:r>
      <w:r w:rsidR="00A31574">
        <w:rPr>
          <w:rFonts w:cstheme="minorHAnsi"/>
        </w:rPr>
        <w:fldChar w:fldCharType="end"/>
      </w:r>
      <w:r>
        <w:rPr>
          <w:rFonts w:cstheme="minorHAnsi"/>
        </w:rPr>
        <w:t xml:space="preserve"> </w:t>
      </w:r>
      <w:r w:rsidR="00697373">
        <w:rPr>
          <w:rFonts w:cstheme="minorHAnsi"/>
        </w:rPr>
        <w:fldChar w:fldCharType="begin"/>
      </w:r>
      <w:r w:rsidR="00697373">
        <w:rPr>
          <w:rFonts w:cstheme="minorHAnsi"/>
        </w:rPr>
        <w:instrText xml:space="preserve"> REF _Ref202788650 \h </w:instrText>
      </w:r>
      <w:r w:rsidR="00697373">
        <w:rPr>
          <w:rFonts w:cstheme="minorHAnsi"/>
        </w:rPr>
      </w:r>
      <w:r w:rsidR="00697373">
        <w:rPr>
          <w:rFonts w:cstheme="minorHAnsi"/>
        </w:rPr>
        <w:fldChar w:fldCharType="separate"/>
      </w:r>
      <w:r w:rsidR="000D75AE" w:rsidRPr="72B4EEE6">
        <w:t>4.</w:t>
      </w:r>
      <w:r w:rsidR="000D75AE">
        <w:t>6</w:t>
      </w:r>
      <w:r w:rsidR="000D75AE" w:rsidRPr="72B4EEE6">
        <w:t>.</w:t>
      </w:r>
      <w:r w:rsidR="000D75AE">
        <w:t>3</w:t>
      </w:r>
      <w:r w:rsidR="00A31574">
        <w:t xml:space="preserve"> </w:t>
      </w:r>
      <w:r w:rsidR="000D75AE" w:rsidRPr="72B4EEE6">
        <w:t>Arrangements for Participants (Voluntary)</w:t>
      </w:r>
      <w:r w:rsidR="00697373">
        <w:rPr>
          <w:rFonts w:cstheme="minorHAnsi"/>
        </w:rPr>
        <w:fldChar w:fldCharType="end"/>
      </w:r>
      <w:r w:rsidR="00AC06BF">
        <w:rPr>
          <w:rFonts w:cstheme="minorHAnsi"/>
        </w:rPr>
        <w:t xml:space="preserve"> </w:t>
      </w:r>
      <w:r>
        <w:rPr>
          <w:rFonts w:cstheme="minorHAnsi"/>
        </w:rPr>
        <w:t>for more details</w:t>
      </w:r>
      <w:r>
        <w:t>.</w:t>
      </w:r>
    </w:p>
    <w:p w14:paraId="29AF1B98" w14:textId="5D34D98E" w:rsidR="00D74559" w:rsidRDefault="0093245E" w:rsidP="006E2EF5">
      <w:r>
        <w:t>If</w:t>
      </w:r>
      <w:r w:rsidR="00D74559">
        <w:t xml:space="preserve"> a Participant ceases to Fully Meet their Mutual Obligation Requirements, the Provider </w:t>
      </w:r>
      <w:r>
        <w:t>will</w:t>
      </w:r>
      <w:r w:rsidR="00D74559">
        <w:t xml:space="preserve"> resume delivery of Services. This would include Re</w:t>
      </w:r>
      <w:r w:rsidR="00D74559">
        <w:noBreakHyphen/>
        <w:t>engagement with the Participant following the period of Exemption to ensure they understand their Mutual Obligation Requirements and identifying appropriate tasks and activities that the Participant can undertake to meet their requirements.</w:t>
      </w:r>
    </w:p>
    <w:p w14:paraId="3DC26B7D" w14:textId="77777777" w:rsidR="00D74559" w:rsidRPr="00E76F66" w:rsidRDefault="00D74559" w:rsidP="00063EDD">
      <w:pPr>
        <w:pStyle w:val="Heading5"/>
      </w:pPr>
      <w:r w:rsidRPr="00E76F66">
        <w:t>Participants undertaking residential treatment programs</w:t>
      </w:r>
    </w:p>
    <w:p w14:paraId="66A26902" w14:textId="341A9AD2" w:rsidR="00D74559" w:rsidRDefault="00D74559" w:rsidP="006E2EF5">
      <w:pPr>
        <w:spacing w:before="60" w:after="60"/>
        <w:rPr>
          <w:lang w:val="en-GB"/>
        </w:rPr>
      </w:pPr>
      <w:r w:rsidRPr="48661572">
        <w:rPr>
          <w:lang w:val="en-GB"/>
        </w:rPr>
        <w:t xml:space="preserve">If a Participant is undertaking intensive drug and alcohol treatment or rehabilitation </w:t>
      </w:r>
      <w:r w:rsidR="0035058E">
        <w:rPr>
          <w:lang w:val="en-GB"/>
        </w:rPr>
        <w:t xml:space="preserve">(such as a full-time residential program) </w:t>
      </w:r>
      <w:r w:rsidRPr="48661572">
        <w:rPr>
          <w:lang w:val="en-GB"/>
        </w:rPr>
        <w:t xml:space="preserve">they are considered as meeting their Mutual Obligation Requirements and do not have to complete </w:t>
      </w:r>
      <w:bookmarkStart w:id="199" w:name="_Int_FC0tJ1cY"/>
      <w:r w:rsidRPr="48661572">
        <w:rPr>
          <w:lang w:val="en-GB"/>
        </w:rPr>
        <w:t>additional</w:t>
      </w:r>
      <w:bookmarkEnd w:id="199"/>
      <w:r w:rsidRPr="48661572">
        <w:rPr>
          <w:lang w:val="en-GB"/>
        </w:rPr>
        <w:t xml:space="preserve"> requirements.</w:t>
      </w:r>
    </w:p>
    <w:p w14:paraId="39B30786" w14:textId="78D0F394" w:rsidR="00D74559" w:rsidRDefault="00D74559" w:rsidP="006E2EF5">
      <w:pPr>
        <w:spacing w:before="60" w:after="60"/>
        <w:rPr>
          <w:lang w:val="en-GB"/>
        </w:rPr>
      </w:pPr>
      <w:r w:rsidRPr="001A5E7E">
        <w:rPr>
          <w:b/>
          <w:bCs/>
          <w:lang w:val="en-GB"/>
        </w:rPr>
        <w:t>Note:</w:t>
      </w:r>
      <w:r>
        <w:rPr>
          <w:lang w:val="en-GB"/>
        </w:rPr>
        <w:t xml:space="preserve"> </w:t>
      </w:r>
      <w:r w:rsidRPr="620BC1E5">
        <w:rPr>
          <w:lang w:val="en-GB"/>
        </w:rPr>
        <w:t xml:space="preserve">Participants in residential programs for drug and/or alcohol rehabilitation can have an ‘authorised correspondence nominee’. Nominees can let the Provider know the Participant is in a residential program and arrange to get access to all correspondence and notifications the Provider sends to the Participant. </w:t>
      </w:r>
      <w:r w:rsidR="001B49AE">
        <w:rPr>
          <w:lang w:val="en-GB"/>
        </w:rPr>
        <w:t>With</w:t>
      </w:r>
      <w:r w:rsidR="00181BE3">
        <w:rPr>
          <w:lang w:val="en-GB"/>
        </w:rPr>
        <w:t xml:space="preserve"> the </w:t>
      </w:r>
      <w:r w:rsidR="001B49AE">
        <w:rPr>
          <w:lang w:val="en-GB"/>
        </w:rPr>
        <w:t>consent</w:t>
      </w:r>
      <w:r w:rsidR="00181BE3">
        <w:rPr>
          <w:lang w:val="en-GB"/>
        </w:rPr>
        <w:t xml:space="preserve"> of </w:t>
      </w:r>
      <w:r w:rsidR="001B49AE">
        <w:rPr>
          <w:lang w:val="en-GB"/>
        </w:rPr>
        <w:t>a</w:t>
      </w:r>
      <w:r w:rsidR="00181BE3">
        <w:rPr>
          <w:lang w:val="en-GB"/>
        </w:rPr>
        <w:t xml:space="preserve"> Participant, </w:t>
      </w:r>
      <w:r w:rsidR="001B49AE">
        <w:rPr>
          <w:lang w:val="en-GB"/>
        </w:rPr>
        <w:t>r</w:t>
      </w:r>
      <w:r w:rsidRPr="620BC1E5">
        <w:rPr>
          <w:lang w:val="en-GB"/>
        </w:rPr>
        <w:t xml:space="preserve">esidential rehabilitation facilities can also advise </w:t>
      </w:r>
      <w:r w:rsidR="00EC40CE">
        <w:rPr>
          <w:lang w:val="en-GB"/>
        </w:rPr>
        <w:t>a</w:t>
      </w:r>
      <w:r w:rsidRPr="620BC1E5">
        <w:rPr>
          <w:lang w:val="en-GB"/>
        </w:rPr>
        <w:t xml:space="preserve"> </w:t>
      </w:r>
      <w:r w:rsidR="00DC74F4">
        <w:rPr>
          <w:lang w:val="en-GB"/>
        </w:rPr>
        <w:t>P</w:t>
      </w:r>
      <w:r w:rsidRPr="620BC1E5">
        <w:rPr>
          <w:lang w:val="en-GB"/>
        </w:rPr>
        <w:t>rovider that a Participant has entered a residential program, as Participants generally will not have access to communication devices.</w:t>
      </w:r>
    </w:p>
    <w:p w14:paraId="683A35E3" w14:textId="77777777" w:rsidR="00593D1A" w:rsidRPr="00E76F66" w:rsidRDefault="00593D1A" w:rsidP="00063EDD">
      <w:pPr>
        <w:pStyle w:val="Heading5"/>
      </w:pPr>
      <w:r>
        <w:t xml:space="preserve">Pregnant </w:t>
      </w:r>
      <w:r w:rsidRPr="00E76F66">
        <w:t>Participants</w:t>
      </w:r>
    </w:p>
    <w:p w14:paraId="1C322779" w14:textId="77777777" w:rsidR="00593D1A" w:rsidRDefault="00593D1A" w:rsidP="00593D1A">
      <w:pPr>
        <w:spacing w:before="60" w:after="60"/>
      </w:pPr>
      <w:r w:rsidRPr="00ED1BC0">
        <w:t>Providers must consider a pregnant Participant’s personal circumstances when setting their Mutual Obligation Requirements</w:t>
      </w:r>
      <w:r>
        <w:t>.</w:t>
      </w:r>
    </w:p>
    <w:p w14:paraId="4B2116E9" w14:textId="7928D00E" w:rsidR="00593D1A" w:rsidRPr="00E923DC" w:rsidRDefault="00593D1A" w:rsidP="00593D1A">
      <w:pPr>
        <w:spacing w:before="60" w:after="60"/>
        <w:rPr>
          <w:lang w:val="en-GB"/>
        </w:rPr>
      </w:pPr>
      <w:r>
        <w:t>F</w:t>
      </w:r>
      <w:r w:rsidRPr="00454D88">
        <w:t xml:space="preserve">rom 6 weeks before the expected due date and until 6 weeks following the birth of the child, </w:t>
      </w:r>
      <w:r>
        <w:t>the Participant</w:t>
      </w:r>
      <w:r w:rsidRPr="00454D88">
        <w:t xml:space="preserve"> </w:t>
      </w:r>
      <w:r w:rsidR="00A51CF9">
        <w:t xml:space="preserve">can </w:t>
      </w:r>
      <w:r w:rsidRPr="00454D88">
        <w:t>have an Exemption from all of their Mutual Obligation Requirements</w:t>
      </w:r>
      <w:r>
        <w:t>.</w:t>
      </w:r>
    </w:p>
    <w:p w14:paraId="24348283" w14:textId="27061CAC" w:rsidR="00D74559" w:rsidRDefault="00D74559" w:rsidP="001D0F92">
      <w:pPr>
        <w:pStyle w:val="Heading4"/>
      </w:pPr>
      <w:bookmarkStart w:id="200" w:name="_Ref202785466"/>
      <w:bookmarkStart w:id="201" w:name="_Toc202899954"/>
      <w:r>
        <w:t>5.2.2</w:t>
      </w:r>
      <w:r w:rsidR="00246323">
        <w:tab/>
      </w:r>
      <w:r>
        <w:t>DSP compulsory participation requirements</w:t>
      </w:r>
      <w:bookmarkEnd w:id="200"/>
      <w:bookmarkEnd w:id="201"/>
    </w:p>
    <w:p w14:paraId="0D7FA579" w14:textId="423744BD" w:rsidR="00D74559" w:rsidRPr="006B1EFD" w:rsidRDefault="00D74559" w:rsidP="006B1EFD">
      <w:pPr>
        <w:rPr>
          <w:rStyle w:val="Emphasis"/>
        </w:rPr>
      </w:pPr>
      <w:r w:rsidRPr="006B1EFD">
        <w:rPr>
          <w:rStyle w:val="Emphasis"/>
        </w:rPr>
        <w:t xml:space="preserve">This </w:t>
      </w:r>
      <w:r w:rsidR="004D162A">
        <w:rPr>
          <w:rStyle w:val="Emphasis"/>
        </w:rPr>
        <w:t>S</w:t>
      </w:r>
      <w:r w:rsidRPr="006B1EFD">
        <w:rPr>
          <w:rStyle w:val="Emphasis"/>
        </w:rPr>
        <w:t>ection applies to DSP Recipients (Compulsory Requirements).</w:t>
      </w:r>
    </w:p>
    <w:p w14:paraId="74FBCA2D" w14:textId="77D9DCA9" w:rsidR="00D74559" w:rsidRDefault="00D74559" w:rsidP="006E2EF5">
      <w:pPr>
        <w:rPr>
          <w:lang w:val="en-GB"/>
        </w:rPr>
      </w:pPr>
      <w:r w:rsidRPr="1C4E4AF5">
        <w:rPr>
          <w:lang w:val="en-GB"/>
        </w:rPr>
        <w:t xml:space="preserve">DSP Recipients (Compulsory Requirements) have agreed to take part in </w:t>
      </w:r>
      <w:r w:rsidR="00C74C33">
        <w:rPr>
          <w:lang w:val="en-GB"/>
        </w:rPr>
        <w:t>Inclusive Employment Australia</w:t>
      </w:r>
      <w:r w:rsidRPr="1C4E4AF5">
        <w:rPr>
          <w:lang w:val="en-GB"/>
        </w:rPr>
        <w:t xml:space="preserve"> to meet the requirements set out in their Participation Plan with Services Australia.</w:t>
      </w:r>
    </w:p>
    <w:p w14:paraId="613600CA" w14:textId="4AF1DA97" w:rsidR="00D707EB" w:rsidRDefault="00664FCD" w:rsidP="00664FCD">
      <w:pPr>
        <w:rPr>
          <w:rFonts w:ascii="Tahoma" w:eastAsia="Tahoma" w:hAnsi="Tahoma" w:cs="Tahoma"/>
          <w:color w:val="000000" w:themeColor="text1"/>
        </w:rPr>
      </w:pPr>
      <w:r>
        <w:rPr>
          <w:lang w:val="en-GB"/>
        </w:rPr>
        <w:t>There are other methods by which a</w:t>
      </w:r>
      <w:r>
        <w:rPr>
          <w:rFonts w:ascii="Tahoma" w:eastAsia="Tahoma" w:hAnsi="Tahoma" w:cs="Tahoma"/>
          <w:color w:val="000000" w:themeColor="text1"/>
        </w:rPr>
        <w:t xml:space="preserve"> DSP Recipient (Compulsory Requirement) </w:t>
      </w:r>
      <w:r w:rsidR="00AF0EDA">
        <w:rPr>
          <w:rFonts w:ascii="Tahoma" w:eastAsia="Tahoma" w:hAnsi="Tahoma" w:cs="Tahoma"/>
          <w:color w:val="000000" w:themeColor="text1"/>
        </w:rPr>
        <w:t>may be able to</w:t>
      </w:r>
      <w:r>
        <w:rPr>
          <w:rFonts w:ascii="Tahoma" w:eastAsia="Tahoma" w:hAnsi="Tahoma" w:cs="Tahoma"/>
          <w:color w:val="000000" w:themeColor="text1"/>
        </w:rPr>
        <w:t xml:space="preserve"> meet their participation requirements</w:t>
      </w:r>
      <w:r w:rsidR="00AE54BD">
        <w:rPr>
          <w:rFonts w:ascii="Tahoma" w:eastAsia="Tahoma" w:hAnsi="Tahoma" w:cs="Tahoma"/>
          <w:color w:val="000000" w:themeColor="text1"/>
        </w:rPr>
        <w:t xml:space="preserve">, such as Apprenticeships, Traineeships, </w:t>
      </w:r>
      <w:r w:rsidR="007E7B4B">
        <w:rPr>
          <w:rFonts w:ascii="Tahoma" w:eastAsia="Tahoma" w:hAnsi="Tahoma" w:cs="Tahoma"/>
          <w:color w:val="000000" w:themeColor="text1"/>
        </w:rPr>
        <w:t>NDIS employment supports</w:t>
      </w:r>
      <w:r w:rsidR="00754047">
        <w:rPr>
          <w:rFonts w:ascii="Tahoma" w:eastAsia="Tahoma" w:hAnsi="Tahoma" w:cs="Tahoma"/>
          <w:color w:val="000000" w:themeColor="text1"/>
        </w:rPr>
        <w:t xml:space="preserve">, </w:t>
      </w:r>
      <w:r w:rsidR="00AE54BD">
        <w:rPr>
          <w:rFonts w:ascii="Tahoma" w:eastAsia="Tahoma" w:hAnsi="Tahoma" w:cs="Tahoma"/>
          <w:color w:val="000000" w:themeColor="text1"/>
        </w:rPr>
        <w:t>work experience</w:t>
      </w:r>
      <w:r w:rsidR="00754047">
        <w:rPr>
          <w:rFonts w:ascii="Tahoma" w:eastAsia="Tahoma" w:hAnsi="Tahoma" w:cs="Tahoma"/>
          <w:color w:val="000000" w:themeColor="text1"/>
        </w:rPr>
        <w:t xml:space="preserve"> and voluntary work</w:t>
      </w:r>
      <w:r w:rsidR="00AE54BD">
        <w:rPr>
          <w:rFonts w:ascii="Tahoma" w:eastAsia="Tahoma" w:hAnsi="Tahoma" w:cs="Tahoma"/>
          <w:color w:val="000000" w:themeColor="text1"/>
        </w:rPr>
        <w:t xml:space="preserve">. </w:t>
      </w:r>
      <w:r w:rsidR="002A1926">
        <w:rPr>
          <w:rFonts w:ascii="Tahoma" w:eastAsia="Tahoma" w:hAnsi="Tahoma" w:cs="Tahoma"/>
          <w:color w:val="000000" w:themeColor="text1"/>
        </w:rPr>
        <w:t>If a DSP Recipient (Compulsory Requirements)</w:t>
      </w:r>
      <w:r w:rsidR="00654C80">
        <w:rPr>
          <w:rFonts w:ascii="Tahoma" w:eastAsia="Tahoma" w:hAnsi="Tahoma" w:cs="Tahoma"/>
          <w:color w:val="000000" w:themeColor="text1"/>
        </w:rPr>
        <w:t xml:space="preserve"> raises</w:t>
      </w:r>
      <w:r w:rsidR="00BA7F47">
        <w:rPr>
          <w:rFonts w:ascii="Tahoma" w:eastAsia="Tahoma" w:hAnsi="Tahoma" w:cs="Tahoma"/>
          <w:color w:val="000000" w:themeColor="text1"/>
        </w:rPr>
        <w:t xml:space="preserve"> the option to meet their participation requirements </w:t>
      </w:r>
      <w:r w:rsidR="002D529D">
        <w:rPr>
          <w:rFonts w:ascii="Tahoma" w:eastAsia="Tahoma" w:hAnsi="Tahoma" w:cs="Tahoma"/>
          <w:color w:val="000000" w:themeColor="text1"/>
        </w:rPr>
        <w:t>throu</w:t>
      </w:r>
      <w:r w:rsidR="00C40089">
        <w:rPr>
          <w:rFonts w:ascii="Tahoma" w:eastAsia="Tahoma" w:hAnsi="Tahoma" w:cs="Tahoma"/>
          <w:color w:val="000000" w:themeColor="text1"/>
        </w:rPr>
        <w:t>gh a different activity</w:t>
      </w:r>
      <w:r w:rsidR="002D529D">
        <w:rPr>
          <w:rFonts w:ascii="Tahoma" w:eastAsia="Tahoma" w:hAnsi="Tahoma" w:cs="Tahoma"/>
          <w:color w:val="000000" w:themeColor="text1"/>
        </w:rPr>
        <w:t xml:space="preserve">, </w:t>
      </w:r>
      <w:r w:rsidR="00484FDC">
        <w:rPr>
          <w:rFonts w:ascii="Tahoma" w:eastAsia="Tahoma" w:hAnsi="Tahoma" w:cs="Tahoma"/>
          <w:color w:val="000000" w:themeColor="text1"/>
        </w:rPr>
        <w:t>the</w:t>
      </w:r>
      <w:r w:rsidR="002D529D">
        <w:rPr>
          <w:rFonts w:ascii="Tahoma" w:eastAsia="Tahoma" w:hAnsi="Tahoma" w:cs="Tahoma"/>
          <w:color w:val="000000" w:themeColor="text1"/>
        </w:rPr>
        <w:t xml:space="preserve"> Provider </w:t>
      </w:r>
      <w:r w:rsidR="002438EE">
        <w:rPr>
          <w:rFonts w:ascii="Tahoma" w:eastAsia="Tahoma" w:hAnsi="Tahoma" w:cs="Tahoma"/>
          <w:color w:val="000000" w:themeColor="text1"/>
        </w:rPr>
        <w:t xml:space="preserve">should </w:t>
      </w:r>
      <w:r w:rsidR="0016120C">
        <w:rPr>
          <w:rFonts w:ascii="Tahoma" w:eastAsia="Tahoma" w:hAnsi="Tahoma" w:cs="Tahoma"/>
          <w:color w:val="000000" w:themeColor="text1"/>
        </w:rPr>
        <w:t xml:space="preserve">advise the Participant to </w:t>
      </w:r>
      <w:r w:rsidR="00C40089">
        <w:rPr>
          <w:rFonts w:ascii="Tahoma" w:eastAsia="Tahoma" w:hAnsi="Tahoma" w:cs="Tahoma"/>
          <w:color w:val="000000" w:themeColor="text1"/>
        </w:rPr>
        <w:t xml:space="preserve">raise this at their next participation interview or </w:t>
      </w:r>
      <w:r w:rsidR="00896F6D">
        <w:rPr>
          <w:rFonts w:ascii="Tahoma" w:eastAsia="Tahoma" w:hAnsi="Tahoma" w:cs="Tahoma"/>
          <w:color w:val="000000" w:themeColor="text1"/>
        </w:rPr>
        <w:t>call</w:t>
      </w:r>
      <w:r w:rsidR="0016120C">
        <w:rPr>
          <w:rFonts w:ascii="Tahoma" w:eastAsia="Tahoma" w:hAnsi="Tahoma" w:cs="Tahoma"/>
          <w:color w:val="000000" w:themeColor="text1"/>
        </w:rPr>
        <w:t xml:space="preserve"> Centrelink </w:t>
      </w:r>
      <w:r w:rsidR="00896F6D">
        <w:rPr>
          <w:rFonts w:ascii="Tahoma" w:eastAsia="Tahoma" w:hAnsi="Tahoma" w:cs="Tahoma"/>
          <w:color w:val="000000" w:themeColor="text1"/>
        </w:rPr>
        <w:t>on 132 717</w:t>
      </w:r>
      <w:r w:rsidR="004978D8">
        <w:rPr>
          <w:rFonts w:ascii="Tahoma" w:eastAsia="Tahoma" w:hAnsi="Tahoma" w:cs="Tahoma"/>
          <w:color w:val="000000" w:themeColor="text1"/>
        </w:rPr>
        <w:t>.</w:t>
      </w:r>
    </w:p>
    <w:p w14:paraId="2C09B676" w14:textId="5F84F6F8" w:rsidR="00664FCD" w:rsidRDefault="00D707EB" w:rsidP="00664FCD">
      <w:pPr>
        <w:rPr>
          <w:rFonts w:ascii="Tahoma" w:eastAsia="Tahoma" w:hAnsi="Tahoma" w:cs="Tahoma"/>
          <w:color w:val="000000" w:themeColor="text1"/>
        </w:rPr>
      </w:pPr>
      <w:r>
        <w:rPr>
          <w:rFonts w:ascii="Tahoma" w:eastAsia="Tahoma" w:hAnsi="Tahoma" w:cs="Tahoma"/>
          <w:color w:val="000000" w:themeColor="text1"/>
        </w:rPr>
        <w:t xml:space="preserve">A DSP Recipient </w:t>
      </w:r>
      <w:r w:rsidR="0060218C">
        <w:rPr>
          <w:rFonts w:ascii="Tahoma" w:eastAsia="Tahoma" w:hAnsi="Tahoma" w:cs="Tahoma"/>
          <w:color w:val="000000" w:themeColor="text1"/>
        </w:rPr>
        <w:t>(Compulsory Requirements) does not need to participate in employment services if they</w:t>
      </w:r>
      <w:r w:rsidR="00664FCD">
        <w:rPr>
          <w:rFonts w:ascii="Tahoma" w:eastAsia="Tahoma" w:hAnsi="Tahoma" w:cs="Tahoma"/>
          <w:color w:val="000000" w:themeColor="text1"/>
        </w:rPr>
        <w:t xml:space="preserve"> working in Support</w:t>
      </w:r>
      <w:r w:rsidR="00954B06">
        <w:rPr>
          <w:rFonts w:ascii="Tahoma" w:eastAsia="Tahoma" w:hAnsi="Tahoma" w:cs="Tahoma"/>
          <w:color w:val="000000" w:themeColor="text1"/>
        </w:rPr>
        <w:t>ed</w:t>
      </w:r>
      <w:r w:rsidR="00664FCD">
        <w:rPr>
          <w:rFonts w:ascii="Tahoma" w:eastAsia="Tahoma" w:hAnsi="Tahoma" w:cs="Tahoma"/>
          <w:color w:val="000000" w:themeColor="text1"/>
        </w:rPr>
        <w:t xml:space="preserve"> Employment or work under the Supported Wage System.</w:t>
      </w:r>
      <w:r w:rsidR="0060218C">
        <w:rPr>
          <w:rFonts w:ascii="Tahoma" w:eastAsia="Tahoma" w:hAnsi="Tahoma" w:cs="Tahoma"/>
          <w:color w:val="000000" w:themeColor="text1"/>
        </w:rPr>
        <w:t xml:space="preserve"> </w:t>
      </w:r>
      <w:r w:rsidR="00DA4D43">
        <w:rPr>
          <w:rFonts w:ascii="Tahoma" w:eastAsia="Tahoma" w:hAnsi="Tahoma" w:cs="Tahoma"/>
          <w:color w:val="000000" w:themeColor="text1"/>
        </w:rPr>
        <w:t xml:space="preserve">Where a Provider is aware that a </w:t>
      </w:r>
      <w:r w:rsidR="003444C7">
        <w:rPr>
          <w:rFonts w:ascii="Tahoma" w:eastAsia="Tahoma" w:hAnsi="Tahoma" w:cs="Tahoma"/>
          <w:color w:val="000000" w:themeColor="text1"/>
        </w:rPr>
        <w:t>DSP Recipient (Compulsory Requirements) would no longer be required to participate in I</w:t>
      </w:r>
      <w:r w:rsidR="00C74C33">
        <w:rPr>
          <w:rFonts w:ascii="Tahoma" w:eastAsia="Tahoma" w:hAnsi="Tahoma" w:cs="Tahoma"/>
          <w:color w:val="000000" w:themeColor="text1"/>
        </w:rPr>
        <w:t>nclusive Employment Australia</w:t>
      </w:r>
      <w:r w:rsidR="003444C7">
        <w:rPr>
          <w:rFonts w:ascii="Tahoma" w:eastAsia="Tahoma" w:hAnsi="Tahoma" w:cs="Tahoma"/>
          <w:color w:val="000000" w:themeColor="text1"/>
        </w:rPr>
        <w:t xml:space="preserve">, the </w:t>
      </w:r>
      <w:r w:rsidR="004C00ED">
        <w:rPr>
          <w:rFonts w:ascii="Tahoma" w:eastAsia="Tahoma" w:hAnsi="Tahoma" w:cs="Tahoma"/>
          <w:color w:val="000000" w:themeColor="text1"/>
        </w:rPr>
        <w:t xml:space="preserve">Provider should </w:t>
      </w:r>
      <w:r w:rsidR="00D02300">
        <w:rPr>
          <w:rFonts w:ascii="Tahoma" w:eastAsia="Tahoma" w:hAnsi="Tahoma" w:cs="Tahoma"/>
          <w:color w:val="000000" w:themeColor="text1"/>
        </w:rPr>
        <w:t>advise</w:t>
      </w:r>
      <w:r w:rsidR="00D02300">
        <w:t xml:space="preserve"> the Participant to contact Services Australia </w:t>
      </w:r>
      <w:r w:rsidR="00791CD0">
        <w:t>and ask</w:t>
      </w:r>
      <w:r w:rsidR="00D02300">
        <w:t xml:space="preserve"> </w:t>
      </w:r>
      <w:r w:rsidR="00791CD0">
        <w:t xml:space="preserve">for a </w:t>
      </w:r>
      <w:r w:rsidR="00301FBA">
        <w:t xml:space="preserve">review </w:t>
      </w:r>
      <w:r w:rsidR="00791CD0">
        <w:t>of</w:t>
      </w:r>
      <w:r w:rsidR="00301FBA">
        <w:t xml:space="preserve"> </w:t>
      </w:r>
      <w:r w:rsidR="00D02300">
        <w:t>their Participation Plan.</w:t>
      </w:r>
      <w:r w:rsidR="00791CD0">
        <w:t xml:space="preserve"> </w:t>
      </w:r>
      <w:r w:rsidR="00A031FE">
        <w:t>Following a change to their Participation Plan, the</w:t>
      </w:r>
      <w:r w:rsidR="00791CD0">
        <w:t xml:space="preserve"> </w:t>
      </w:r>
      <w:r w:rsidR="00791CD0">
        <w:rPr>
          <w:rFonts w:ascii="Tahoma" w:eastAsia="Tahoma" w:hAnsi="Tahoma" w:cs="Tahoma"/>
          <w:color w:val="000000" w:themeColor="text1"/>
        </w:rPr>
        <w:t xml:space="preserve">DSP </w:t>
      </w:r>
      <w:r w:rsidR="00511183">
        <w:rPr>
          <w:rFonts w:ascii="Tahoma" w:eastAsia="Tahoma" w:hAnsi="Tahoma" w:cs="Tahoma"/>
          <w:color w:val="000000" w:themeColor="text1"/>
        </w:rPr>
        <w:t>r</w:t>
      </w:r>
      <w:r w:rsidR="00791CD0">
        <w:rPr>
          <w:rFonts w:ascii="Tahoma" w:eastAsia="Tahoma" w:hAnsi="Tahoma" w:cs="Tahoma"/>
          <w:color w:val="000000" w:themeColor="text1"/>
        </w:rPr>
        <w:t xml:space="preserve">ecipient may </w:t>
      </w:r>
      <w:r w:rsidR="00A031FE">
        <w:rPr>
          <w:rFonts w:ascii="Tahoma" w:eastAsia="Tahoma" w:hAnsi="Tahoma" w:cs="Tahoma"/>
          <w:color w:val="000000" w:themeColor="text1"/>
        </w:rPr>
        <w:t xml:space="preserve">continue to </w:t>
      </w:r>
      <w:r w:rsidR="006D4198">
        <w:rPr>
          <w:rFonts w:ascii="Tahoma" w:eastAsia="Tahoma" w:hAnsi="Tahoma" w:cs="Tahoma"/>
          <w:color w:val="000000" w:themeColor="text1"/>
        </w:rPr>
        <w:t xml:space="preserve">volunteer for </w:t>
      </w:r>
      <w:r w:rsidR="00C74C33">
        <w:rPr>
          <w:rFonts w:ascii="Tahoma" w:eastAsia="Tahoma" w:hAnsi="Tahoma" w:cs="Tahoma"/>
          <w:color w:val="000000" w:themeColor="text1"/>
        </w:rPr>
        <w:t>Inclusive Employment Australia</w:t>
      </w:r>
      <w:r w:rsidR="006D4198">
        <w:rPr>
          <w:rFonts w:ascii="Tahoma" w:eastAsia="Tahoma" w:hAnsi="Tahoma" w:cs="Tahoma"/>
          <w:color w:val="000000" w:themeColor="text1"/>
        </w:rPr>
        <w:t>.</w:t>
      </w:r>
    </w:p>
    <w:p w14:paraId="39C0BD0D" w14:textId="1172B769" w:rsidR="00E53D2B" w:rsidRDefault="00E53D2B" w:rsidP="006E2EF5">
      <w:pPr>
        <w:rPr>
          <w:rFonts w:eastAsiaTheme="minorEastAsia"/>
          <w:szCs w:val="22"/>
        </w:rPr>
      </w:pPr>
      <w:r w:rsidRPr="00661C0F">
        <w:rPr>
          <w:rFonts w:eastAsiaTheme="minorEastAsia"/>
          <w:szCs w:val="22"/>
        </w:rPr>
        <w:t xml:space="preserve">Under </w:t>
      </w:r>
      <w:r>
        <w:rPr>
          <w:rFonts w:eastAsiaTheme="minorEastAsia"/>
          <w:szCs w:val="22"/>
        </w:rPr>
        <w:t>S</w:t>
      </w:r>
      <w:r w:rsidRPr="00661C0F">
        <w:rPr>
          <w:rFonts w:eastAsiaTheme="minorEastAsia"/>
          <w:szCs w:val="22"/>
        </w:rPr>
        <w:t xml:space="preserve">ocial </w:t>
      </w:r>
      <w:r>
        <w:rPr>
          <w:rFonts w:eastAsiaTheme="minorEastAsia"/>
          <w:szCs w:val="22"/>
        </w:rPr>
        <w:t>S</w:t>
      </w:r>
      <w:r w:rsidRPr="00661C0F">
        <w:rPr>
          <w:rFonts w:eastAsiaTheme="minorEastAsia"/>
          <w:szCs w:val="22"/>
        </w:rPr>
        <w:t xml:space="preserve">ecurity </w:t>
      </w:r>
      <w:r>
        <w:rPr>
          <w:rFonts w:eastAsiaTheme="minorEastAsia"/>
          <w:szCs w:val="22"/>
        </w:rPr>
        <w:t>L</w:t>
      </w:r>
      <w:r w:rsidRPr="00661C0F">
        <w:rPr>
          <w:rFonts w:eastAsiaTheme="minorEastAsia"/>
          <w:szCs w:val="22"/>
        </w:rPr>
        <w:t>aw,</w:t>
      </w:r>
      <w:r w:rsidR="007452BA" w:rsidRPr="007452BA">
        <w:t xml:space="preserve"> </w:t>
      </w:r>
      <w:r w:rsidR="00D8591B">
        <w:t>Participants</w:t>
      </w:r>
      <w:r w:rsidR="00557062">
        <w:t xml:space="preserve"> </w:t>
      </w:r>
      <w:r w:rsidR="007452BA" w:rsidRPr="007452BA">
        <w:rPr>
          <w:rFonts w:eastAsiaTheme="minorEastAsia"/>
          <w:szCs w:val="22"/>
        </w:rPr>
        <w:t xml:space="preserve">with compulsory participation requirements for their </w:t>
      </w:r>
      <w:r w:rsidR="00E526CE">
        <w:rPr>
          <w:rFonts w:eastAsiaTheme="minorEastAsia"/>
          <w:szCs w:val="22"/>
        </w:rPr>
        <w:t>DSP</w:t>
      </w:r>
      <w:r w:rsidR="004A2212">
        <w:rPr>
          <w:rFonts w:eastAsiaTheme="minorEastAsia"/>
          <w:szCs w:val="22"/>
        </w:rPr>
        <w:t xml:space="preserve"> referred to employment services</w:t>
      </w:r>
      <w:r w:rsidR="00E526CE">
        <w:rPr>
          <w:rFonts w:eastAsiaTheme="minorEastAsia"/>
          <w:szCs w:val="22"/>
        </w:rPr>
        <w:t xml:space="preserve"> </w:t>
      </w:r>
      <w:r w:rsidR="007452BA" w:rsidRPr="007452BA">
        <w:rPr>
          <w:rFonts w:eastAsiaTheme="minorEastAsia"/>
          <w:szCs w:val="22"/>
        </w:rPr>
        <w:t>are generally required to sign a Job Plan, attend appointments with their provider, do any compulsory tasks and activities agreed to, and attend participation interviews with Centrelink (Services Australia)</w:t>
      </w:r>
      <w:r w:rsidR="00E526CE">
        <w:rPr>
          <w:rFonts w:eastAsiaTheme="minorEastAsia"/>
          <w:szCs w:val="22"/>
        </w:rPr>
        <w:t>.</w:t>
      </w:r>
    </w:p>
    <w:p w14:paraId="652BE786" w14:textId="2E9BAA95" w:rsidR="00E526CE" w:rsidRDefault="00E526CE" w:rsidP="00E526CE">
      <w:pPr>
        <w:keepNext/>
        <w:rPr>
          <w:rFonts w:eastAsiaTheme="minorEastAsia"/>
          <w:szCs w:val="22"/>
        </w:rPr>
      </w:pPr>
      <w:r>
        <w:rPr>
          <w:rFonts w:eastAsiaTheme="minorEastAsia"/>
          <w:szCs w:val="22"/>
        </w:rPr>
        <w:t xml:space="preserve">Providers must ensure that the Job Plan for a </w:t>
      </w:r>
      <w:r w:rsidRPr="1C4E4AF5">
        <w:rPr>
          <w:lang w:val="en-GB"/>
        </w:rPr>
        <w:t xml:space="preserve">DSP Recipient (Compulsory Requirements) </w:t>
      </w:r>
      <w:r>
        <w:rPr>
          <w:rFonts w:eastAsiaTheme="minorEastAsia"/>
          <w:szCs w:val="22"/>
        </w:rPr>
        <w:t>will enable them to meet their compulsory participation requirements.</w:t>
      </w:r>
    </w:p>
    <w:p w14:paraId="52930972" w14:textId="10E99D70" w:rsidR="00E526CE" w:rsidRDefault="00D74559" w:rsidP="006E2EF5">
      <w:r>
        <w:t>As noted in</w:t>
      </w:r>
      <w:r w:rsidR="00697373">
        <w:t xml:space="preserve"> </w:t>
      </w:r>
      <w:r w:rsidR="00697373">
        <w:fldChar w:fldCharType="begin"/>
      </w:r>
      <w:r w:rsidR="00697373">
        <w:instrText xml:space="preserve"> REF _Ref202784061 \h </w:instrText>
      </w:r>
      <w:r w:rsidR="00697373">
        <w:fldChar w:fldCharType="separate"/>
      </w:r>
      <w:r w:rsidR="000D75AE" w:rsidRPr="00BA23D8">
        <w:t>Chapter 4</w:t>
      </w:r>
      <w:r w:rsidR="000D75AE">
        <w:t>:</w:t>
      </w:r>
      <w:r w:rsidR="004572F7">
        <w:t xml:space="preserve"> </w:t>
      </w:r>
      <w:r w:rsidR="000D75AE" w:rsidRPr="00BA23D8">
        <w:t>Job Plans</w:t>
      </w:r>
      <w:r w:rsidR="00697373">
        <w:fldChar w:fldCharType="end"/>
      </w:r>
      <w:r>
        <w:t>, DSP Recipients (Compulsory Requirements) must have at least one compulsory requirement in their</w:t>
      </w:r>
      <w:r w:rsidR="00E526CE">
        <w:t xml:space="preserve"> </w:t>
      </w:r>
      <w:r>
        <w:t>Job Plan.</w:t>
      </w:r>
    </w:p>
    <w:p w14:paraId="0E3E34BE" w14:textId="5AC31053" w:rsidR="00DD7F8F" w:rsidRDefault="00DD7F8F" w:rsidP="00DD7F8F">
      <w:pPr>
        <w:keepNext/>
        <w:rPr>
          <w:rFonts w:eastAsiaTheme="minorEastAsia"/>
          <w:szCs w:val="22"/>
        </w:rPr>
      </w:pPr>
      <w:r w:rsidRPr="00535415">
        <w:rPr>
          <w:rFonts w:eastAsiaTheme="minorEastAsia"/>
          <w:szCs w:val="22"/>
        </w:rPr>
        <w:t xml:space="preserve">A </w:t>
      </w:r>
      <w:r>
        <w:t xml:space="preserve">DSP Recipients (Compulsory Requirements) </w:t>
      </w:r>
      <w:r w:rsidRPr="00535415">
        <w:rPr>
          <w:rFonts w:eastAsiaTheme="minorEastAsia"/>
          <w:szCs w:val="22"/>
        </w:rPr>
        <w:t>with a</w:t>
      </w:r>
      <w:r>
        <w:rPr>
          <w:rFonts w:eastAsiaTheme="minorEastAsia"/>
          <w:szCs w:val="22"/>
          <w:u w:val="single"/>
        </w:rPr>
        <w:t xml:space="preserve"> Meaningful Engagement Job Plan</w:t>
      </w:r>
      <w:r w:rsidRPr="00535415">
        <w:rPr>
          <w:rFonts w:eastAsiaTheme="minorEastAsia"/>
          <w:szCs w:val="22"/>
        </w:rPr>
        <w:t xml:space="preserve"> is</w:t>
      </w:r>
      <w:r>
        <w:rPr>
          <w:rFonts w:eastAsiaTheme="minorEastAsia"/>
          <w:szCs w:val="22"/>
        </w:rPr>
        <w:t xml:space="preserve"> </w:t>
      </w:r>
      <w:r w:rsidRPr="00535415">
        <w:rPr>
          <w:rFonts w:eastAsiaTheme="minorEastAsia"/>
          <w:szCs w:val="22"/>
        </w:rPr>
        <w:t>set</w:t>
      </w:r>
      <w:r>
        <w:rPr>
          <w:rFonts w:eastAsiaTheme="minorEastAsia"/>
          <w:szCs w:val="22"/>
        </w:rPr>
        <w:t xml:space="preserve"> the </w:t>
      </w:r>
      <w:r>
        <w:t>Meaningful Engagement Requirement, through which they can meet their compulsory participation requirements. This is the only compulsory requirement in their Job Plan.</w:t>
      </w:r>
    </w:p>
    <w:p w14:paraId="73421A97" w14:textId="47F312C3" w:rsidR="00D74559" w:rsidRDefault="00D74559" w:rsidP="008E3700">
      <w:pPr>
        <w:keepNext/>
        <w:rPr>
          <w:rFonts w:eastAsiaTheme="minorEastAsia"/>
          <w:szCs w:val="22"/>
        </w:rPr>
      </w:pPr>
      <w:r>
        <w:t>A</w:t>
      </w:r>
      <w:r w:rsidRPr="00075400">
        <w:t xml:space="preserve"> DSP Recipient (Compulsory Requirements) </w:t>
      </w:r>
      <w:r w:rsidRPr="00075400">
        <w:rPr>
          <w:rFonts w:eastAsiaTheme="minorEastAsia"/>
          <w:szCs w:val="22"/>
        </w:rPr>
        <w:t xml:space="preserve">with a </w:t>
      </w:r>
      <w:r>
        <w:rPr>
          <w:rFonts w:eastAsiaTheme="minorEastAsia"/>
          <w:szCs w:val="22"/>
          <w:u w:val="single"/>
        </w:rPr>
        <w:t>Detailed Job Plan</w:t>
      </w:r>
      <w:r>
        <w:rPr>
          <w:rFonts w:eastAsiaTheme="minorEastAsia"/>
          <w:szCs w:val="22"/>
        </w:rPr>
        <w:t>, is expected to have been set:</w:t>
      </w:r>
    </w:p>
    <w:p w14:paraId="4A03160E" w14:textId="77777777" w:rsidR="00D74559" w:rsidRPr="00A51843" w:rsidRDefault="00D74559" w:rsidP="004E120D">
      <w:pPr>
        <w:pStyle w:val="BulletLevel1"/>
        <w:rPr>
          <w:szCs w:val="22"/>
        </w:rPr>
      </w:pPr>
      <w:r>
        <w:t>any Interventions as specified by Services Australia in the Capability Management Tool</w:t>
      </w:r>
    </w:p>
    <w:p w14:paraId="7371F305" w14:textId="2A7CD2A7" w:rsidR="00D74559" w:rsidRDefault="00D74559" w:rsidP="004E120D">
      <w:pPr>
        <w:pStyle w:val="BulletLevel1"/>
      </w:pPr>
      <w:r>
        <w:t>compulsory attendance at Appointments with their Provider</w:t>
      </w:r>
      <w:r w:rsidR="00722196">
        <w:t>, and</w:t>
      </w:r>
    </w:p>
    <w:p w14:paraId="073B6F1E" w14:textId="6BF14C93" w:rsidR="00722196" w:rsidRDefault="00671060" w:rsidP="004E120D">
      <w:pPr>
        <w:pStyle w:val="BulletLevel1"/>
      </w:pPr>
      <w:r>
        <w:t xml:space="preserve">a </w:t>
      </w:r>
      <w:r w:rsidR="00D74559">
        <w:t>compulsory Activity</w:t>
      </w:r>
      <w:r w:rsidR="00466A4C">
        <w:t>, including</w:t>
      </w:r>
      <w:r w:rsidR="003A523A">
        <w:t xml:space="preserve"> </w:t>
      </w:r>
      <w:r w:rsidR="00A2214B">
        <w:t>j</w:t>
      </w:r>
      <w:r w:rsidR="00785274">
        <w:t xml:space="preserve">ob </w:t>
      </w:r>
      <w:r w:rsidR="00A2214B">
        <w:t>s</w:t>
      </w:r>
      <w:r w:rsidR="00785274">
        <w:t>earch</w:t>
      </w:r>
      <w:r w:rsidR="00BD0E00">
        <w:t xml:space="preserve"> activities, </w:t>
      </w:r>
      <w:r w:rsidR="00A2214B">
        <w:t>w</w:t>
      </w:r>
      <w:r w:rsidR="00BD0E00">
        <w:t xml:space="preserve">ork </w:t>
      </w:r>
      <w:r w:rsidR="00A2214B">
        <w:t>p</w:t>
      </w:r>
      <w:r w:rsidR="00BD0E00">
        <w:t>reparation</w:t>
      </w:r>
      <w:r w:rsidR="00785274">
        <w:t xml:space="preserve"> </w:t>
      </w:r>
      <w:r w:rsidR="00BD0E00">
        <w:t xml:space="preserve">activities </w:t>
      </w:r>
      <w:r w:rsidR="00785274">
        <w:t xml:space="preserve">and/or </w:t>
      </w:r>
      <w:r w:rsidR="003A523A">
        <w:t>Job Interviews</w:t>
      </w:r>
      <w:r w:rsidR="00D74559">
        <w:t>, where appropriate</w:t>
      </w:r>
      <w:r w:rsidR="00722196">
        <w:t>.</w:t>
      </w:r>
    </w:p>
    <w:p w14:paraId="0AB0450C" w14:textId="6A5E5637" w:rsidR="00D74559" w:rsidRDefault="00D74559" w:rsidP="004E120D">
      <w:pPr>
        <w:pStyle w:val="BulletLevel1"/>
      </w:pPr>
      <w:r>
        <w:rPr>
          <w:lang w:val="en-GB"/>
        </w:rPr>
        <w:t xml:space="preserve">other </w:t>
      </w:r>
      <w:r>
        <w:t xml:space="preserve">voluntary tasks and activities that address Vocational and Non-Vocational Barriers, which may include </w:t>
      </w:r>
      <w:r w:rsidRPr="007D13FA">
        <w:t>a Job Search Requirement</w:t>
      </w:r>
      <w:r w:rsidR="00793107">
        <w:t>, work preparation activities</w:t>
      </w:r>
      <w:r>
        <w:t xml:space="preserve"> or </w:t>
      </w:r>
      <w:r w:rsidR="00793107">
        <w:t>j</w:t>
      </w:r>
      <w:r>
        <w:t xml:space="preserve">ob </w:t>
      </w:r>
      <w:r w:rsidR="00793107">
        <w:t>s</w:t>
      </w:r>
      <w:r>
        <w:t>earch activities.</w:t>
      </w:r>
    </w:p>
    <w:p w14:paraId="1A909D2C" w14:textId="589F5F35" w:rsidR="00D74559" w:rsidRDefault="00D74559" w:rsidP="006E2EF5">
      <w:r>
        <w:t xml:space="preserve">Where a </w:t>
      </w:r>
      <w:r w:rsidRPr="00075400">
        <w:t xml:space="preserve">DSP Recipient (Compulsory Requirements) </w:t>
      </w:r>
      <w:r w:rsidR="0092500B">
        <w:t>has had a Pattern of Disengagement</w:t>
      </w:r>
      <w:r w:rsidR="00496DA6">
        <w:t>,</w:t>
      </w:r>
      <w:r w:rsidR="0092500B">
        <w:t xml:space="preserve"> </w:t>
      </w:r>
      <w:r w:rsidR="00FE6D8D">
        <w:t>a</w:t>
      </w:r>
      <w:r w:rsidR="00496DA6">
        <w:t>s</w:t>
      </w:r>
      <w:r w:rsidR="00FE6D8D">
        <w:t xml:space="preserve"> determined by </w:t>
      </w:r>
      <w:r w:rsidR="00496DA6">
        <w:t>their</w:t>
      </w:r>
      <w:r w:rsidR="00FE6D8D">
        <w:t xml:space="preserve"> Provider</w:t>
      </w:r>
      <w:r>
        <w:t>, they will be required to enter into a Detailed Job Plan.</w:t>
      </w:r>
    </w:p>
    <w:p w14:paraId="142B2743" w14:textId="49329105" w:rsidR="00903698" w:rsidRPr="00246323" w:rsidRDefault="00903698" w:rsidP="00903698">
      <w:pPr>
        <w:pStyle w:val="DeedReferences"/>
      </w:pPr>
      <w:r w:rsidRPr="00246323">
        <w:t>(</w:t>
      </w:r>
      <w:r>
        <w:t xml:space="preserve">Deed Reference(s): Clause </w:t>
      </w:r>
      <w:r w:rsidR="00C476BF">
        <w:t>134.11, 134.12, 134.13</w:t>
      </w:r>
      <w:r w:rsidRPr="00246323">
        <w:t>)</w:t>
      </w:r>
    </w:p>
    <w:p w14:paraId="38EA6818" w14:textId="77777777" w:rsidR="00D74559" w:rsidRDefault="00D74559" w:rsidP="006E2EF5">
      <w:pPr>
        <w:rPr>
          <w:lang w:val="en-GB"/>
        </w:rPr>
      </w:pPr>
      <w:r w:rsidRPr="7A61ED2C">
        <w:rPr>
          <w:lang w:val="en-GB"/>
        </w:rPr>
        <w:t>It is the responsibility of DSP Recipient (Compulsory Requirements) to meet their participation requirements. However, it is important that Providers provide appropriate assistance, depending on the Participant’s circumstances and issues, to ensure they are able to maintain their attendance and participation.</w:t>
      </w:r>
    </w:p>
    <w:p w14:paraId="34465AE1" w14:textId="350F1361" w:rsidR="00D74559" w:rsidRDefault="00D74559" w:rsidP="006E2EF5">
      <w:pPr>
        <w:rPr>
          <w:lang w:val="en-GB"/>
        </w:rPr>
      </w:pPr>
      <w:r w:rsidRPr="48661572">
        <w:rPr>
          <w:lang w:val="en-GB"/>
        </w:rPr>
        <w:t xml:space="preserve">If a DSP Recipient (Compulsory Requirements) is not complying with their requirements, their non-compliance is reported to Services Australia in accordance with </w:t>
      </w:r>
      <w:r w:rsidR="00697373">
        <w:rPr>
          <w:highlight w:val="yellow"/>
          <w:lang w:val="en-GB"/>
        </w:rPr>
        <w:fldChar w:fldCharType="begin"/>
      </w:r>
      <w:r w:rsidR="00697373">
        <w:rPr>
          <w:lang w:val="en-GB"/>
        </w:rPr>
        <w:instrText xml:space="preserve"> REF _Ref202788708 \h </w:instrText>
      </w:r>
      <w:r w:rsidR="00697373">
        <w:rPr>
          <w:highlight w:val="yellow"/>
          <w:lang w:val="en-GB"/>
        </w:rPr>
      </w:r>
      <w:r w:rsidR="00697373">
        <w:rPr>
          <w:highlight w:val="yellow"/>
          <w:lang w:val="en-GB"/>
        </w:rPr>
        <w:fldChar w:fldCharType="separate"/>
      </w:r>
      <w:r w:rsidR="000D75AE">
        <w:t>12.7</w:t>
      </w:r>
      <w:r w:rsidR="002D5130">
        <w:t xml:space="preserve"> </w:t>
      </w:r>
      <w:r w:rsidR="000D75AE">
        <w:t>DSP non-compliance and associated compliance actions</w:t>
      </w:r>
      <w:r w:rsidR="00697373">
        <w:rPr>
          <w:highlight w:val="yellow"/>
          <w:lang w:val="en-GB"/>
        </w:rPr>
        <w:fldChar w:fldCharType="end"/>
      </w:r>
      <w:r w:rsidR="00697373">
        <w:rPr>
          <w:lang w:val="en-GB"/>
        </w:rPr>
        <w:t>.</w:t>
      </w:r>
    </w:p>
    <w:p w14:paraId="0A192709" w14:textId="08FDF676" w:rsidR="00D74559" w:rsidRDefault="00D74559" w:rsidP="006E2EF5">
      <w:r w:rsidRPr="1C4E4AF5">
        <w:rPr>
          <w:b/>
          <w:bCs/>
        </w:rPr>
        <w:t xml:space="preserve">Note: </w:t>
      </w:r>
      <w:r>
        <w:t>DSP recipients with compulsory</w:t>
      </w:r>
      <w:r w:rsidR="00DF5A3C">
        <w:t xml:space="preserve"> </w:t>
      </w:r>
      <w:r w:rsidDel="00DF5A3C">
        <w:t>participation</w:t>
      </w:r>
      <w:r>
        <w:t xml:space="preserve"> requirements may volunteer for </w:t>
      </w:r>
      <w:r w:rsidR="00C74C33">
        <w:t>Inclusive Employment Australia</w:t>
      </w:r>
      <w:r>
        <w:t xml:space="preserve"> but be meeting their requirements via another work focused activity — such as, Supported Employment </w:t>
      </w:r>
      <w:r w:rsidR="005F5060">
        <w:t>or NDIS employment supports</w:t>
      </w:r>
      <w:r>
        <w:t xml:space="preserve">. DSP recipients not subject to compulsory participation requirements can </w:t>
      </w:r>
      <w:r w:rsidR="00D567A6">
        <w:t xml:space="preserve">also </w:t>
      </w:r>
      <w:r>
        <w:t xml:space="preserve">volunteer to participate in </w:t>
      </w:r>
      <w:r w:rsidR="00C74C33">
        <w:t>Inclusive Employment Australia</w:t>
      </w:r>
      <w:r>
        <w:t xml:space="preserve">. In these cases, the Participant </w:t>
      </w:r>
      <w:r w:rsidR="009748BF">
        <w:t xml:space="preserve">will be identified </w:t>
      </w:r>
      <w:r>
        <w:t>on the Department’s IT System</w:t>
      </w:r>
      <w:r w:rsidR="38C4256E">
        <w:t>s</w:t>
      </w:r>
      <w:r>
        <w:t xml:space="preserve"> as a Participant (Voluntary).</w:t>
      </w:r>
    </w:p>
    <w:p w14:paraId="5AE44639" w14:textId="4D0E7657" w:rsidR="00840AAD" w:rsidRDefault="00840AAD" w:rsidP="00840AAD">
      <w:pPr>
        <w:pStyle w:val="Heading5"/>
      </w:pPr>
      <w:r>
        <w:t>Where a Participant cannot meet their compulsory participation</w:t>
      </w:r>
      <w:r w:rsidRPr="00850DFD">
        <w:t xml:space="preserve"> </w:t>
      </w:r>
      <w:r>
        <w:t>r</w:t>
      </w:r>
      <w:r w:rsidRPr="00850DFD">
        <w:t>equirements</w:t>
      </w:r>
    </w:p>
    <w:p w14:paraId="0266DCBE" w14:textId="4B570F06" w:rsidR="00840AAD" w:rsidRDefault="00840AAD" w:rsidP="00840AAD">
      <w:pPr>
        <w:rPr>
          <w:lang w:val="en-GB"/>
        </w:rPr>
      </w:pPr>
      <w:r>
        <w:rPr>
          <w:lang w:val="en-GB"/>
        </w:rPr>
        <w:t xml:space="preserve">A Provider </w:t>
      </w:r>
      <w:r w:rsidR="00085D88">
        <w:rPr>
          <w:lang w:val="en-GB"/>
        </w:rPr>
        <w:t>should</w:t>
      </w:r>
      <w:r>
        <w:rPr>
          <w:lang w:val="en-GB"/>
        </w:rPr>
        <w:t xml:space="preserve"> adjust a Participant’s requirements to reflect a short-term or temporary change </w:t>
      </w:r>
      <w:r w:rsidR="00085D88">
        <w:rPr>
          <w:lang w:val="en-GB"/>
        </w:rPr>
        <w:t>in</w:t>
      </w:r>
      <w:r>
        <w:rPr>
          <w:lang w:val="en-GB"/>
        </w:rPr>
        <w:t xml:space="preserve"> circumstances.</w:t>
      </w:r>
    </w:p>
    <w:p w14:paraId="21F6F534" w14:textId="54B2EFF6" w:rsidR="00085D88" w:rsidRDefault="00085D88" w:rsidP="00085D88">
      <w:pPr>
        <w:rPr>
          <w:lang w:val="en-GB"/>
        </w:rPr>
      </w:pPr>
      <w:r>
        <w:t xml:space="preserve">A </w:t>
      </w:r>
      <w:r w:rsidRPr="48661572">
        <w:rPr>
          <w:lang w:val="en-GB"/>
        </w:rPr>
        <w:t xml:space="preserve">Participant </w:t>
      </w:r>
      <w:r>
        <w:rPr>
          <w:lang w:val="en-GB"/>
        </w:rPr>
        <w:t>may also be assessed as having a temporary reduced work capacity as a result of an injury or temporary physical or mental health condition.</w:t>
      </w:r>
    </w:p>
    <w:p w14:paraId="2285EA9B" w14:textId="58B1BD0A" w:rsidR="006131BE" w:rsidRDefault="006131BE" w:rsidP="006131BE">
      <w:pPr>
        <w:rPr>
          <w:lang w:val="en-GB"/>
        </w:rPr>
      </w:pPr>
      <w:r w:rsidRPr="007B36C5">
        <w:rPr>
          <w:b/>
          <w:bCs/>
          <w:lang w:val="en-GB"/>
        </w:rPr>
        <w:t>Note:</w:t>
      </w:r>
      <w:r>
        <w:rPr>
          <w:lang w:val="en-GB"/>
        </w:rPr>
        <w:t xml:space="preserve"> If the temporary reduced work capacity is less than 8 hours per week, a </w:t>
      </w:r>
      <w:r w:rsidR="0018138B" w:rsidRPr="48661572">
        <w:rPr>
          <w:lang w:val="en-GB"/>
        </w:rPr>
        <w:t xml:space="preserve">DSP Recipient (Compulsory Requirements) </w:t>
      </w:r>
      <w:r>
        <w:rPr>
          <w:lang w:val="en-GB"/>
        </w:rPr>
        <w:t>will be Suspended from Services. As was noted earlier in this Section, the Participant may choose to volunteer to continue to receive assistance during this period.</w:t>
      </w:r>
    </w:p>
    <w:p w14:paraId="11C28F7C" w14:textId="2BFE2204" w:rsidR="00ED13B2" w:rsidRDefault="00ED13B2" w:rsidP="006E2EF5">
      <w:pPr>
        <w:rPr>
          <w:lang w:val="en-GB"/>
        </w:rPr>
      </w:pPr>
      <w:r w:rsidRPr="48661572">
        <w:rPr>
          <w:lang w:val="en-GB"/>
        </w:rPr>
        <w:t>Services Australia may</w:t>
      </w:r>
      <w:r w:rsidR="006131BE">
        <w:rPr>
          <w:lang w:val="en-GB"/>
        </w:rPr>
        <w:t xml:space="preserve"> </w:t>
      </w:r>
      <w:r w:rsidRPr="48661572">
        <w:rPr>
          <w:lang w:val="en-GB"/>
        </w:rPr>
        <w:t>grant Exemption</w:t>
      </w:r>
      <w:r w:rsidR="006131BE">
        <w:rPr>
          <w:lang w:val="en-GB"/>
        </w:rPr>
        <w:t>s</w:t>
      </w:r>
      <w:r w:rsidRPr="48661572">
        <w:rPr>
          <w:lang w:val="en-GB"/>
        </w:rPr>
        <w:t xml:space="preserve"> for a specified period</w:t>
      </w:r>
      <w:r>
        <w:rPr>
          <w:lang w:val="en-GB"/>
        </w:rPr>
        <w:t xml:space="preserve"> if a </w:t>
      </w:r>
      <w:r w:rsidR="006131BE">
        <w:rPr>
          <w:lang w:val="en-GB"/>
        </w:rPr>
        <w:t xml:space="preserve">DSP </w:t>
      </w:r>
      <w:r w:rsidR="00FB3948" w:rsidRPr="48661572">
        <w:rPr>
          <w:lang w:val="en-GB"/>
        </w:rPr>
        <w:t>Recipient (Compulsory Requirements)</w:t>
      </w:r>
      <w:r w:rsidR="00FB3948">
        <w:rPr>
          <w:lang w:val="en-GB"/>
        </w:rPr>
        <w:t xml:space="preserve"> i</w:t>
      </w:r>
      <w:r w:rsidR="004B0838">
        <w:rPr>
          <w:lang w:val="en-GB"/>
        </w:rPr>
        <w:t>s</w:t>
      </w:r>
      <w:r w:rsidR="00FB3948">
        <w:rPr>
          <w:lang w:val="en-GB"/>
        </w:rPr>
        <w:t xml:space="preserve"> </w:t>
      </w:r>
      <w:r w:rsidR="00864042">
        <w:rPr>
          <w:lang w:val="en-GB"/>
        </w:rPr>
        <w:t>temporarily</w:t>
      </w:r>
      <w:r w:rsidR="00FB3948">
        <w:rPr>
          <w:lang w:val="en-GB"/>
        </w:rPr>
        <w:t xml:space="preserve"> unable to meet </w:t>
      </w:r>
      <w:r w:rsidR="006131BE">
        <w:rPr>
          <w:lang w:val="en-GB"/>
        </w:rPr>
        <w:t>their requirements</w:t>
      </w:r>
      <w:r w:rsidRPr="48661572">
        <w:rPr>
          <w:lang w:val="en-GB"/>
        </w:rPr>
        <w:t xml:space="preserve">. If a Provider believes that the Participant </w:t>
      </w:r>
      <w:r w:rsidR="00166C6D">
        <w:rPr>
          <w:lang w:val="en-GB"/>
        </w:rPr>
        <w:t>is eligible for an Exemption</w:t>
      </w:r>
      <w:r w:rsidRPr="48661572">
        <w:rPr>
          <w:lang w:val="en-GB"/>
        </w:rPr>
        <w:t xml:space="preserve">, the Participant must be advised to contact Services Australia on their regular payment line (which can be found on the </w:t>
      </w:r>
      <w:hyperlink r:id="rId50">
        <w:r w:rsidRPr="48661572">
          <w:rPr>
            <w:rStyle w:val="Hyperlink"/>
            <w:lang w:val="en-GB"/>
          </w:rPr>
          <w:t>Services Australia website</w:t>
        </w:r>
      </w:hyperlink>
      <w:r w:rsidRPr="48661572">
        <w:rPr>
          <w:lang w:val="en-GB"/>
        </w:rPr>
        <w:t>)</w:t>
      </w:r>
      <w:r>
        <w:rPr>
          <w:lang w:val="en-GB"/>
        </w:rPr>
        <w:t>.</w:t>
      </w:r>
    </w:p>
    <w:p w14:paraId="513BFD5B" w14:textId="77777777" w:rsidR="009A7953" w:rsidRDefault="009A7953" w:rsidP="009A7953">
      <w:r>
        <w:t>Services Australia can grant temporary incapacity Exemptions for DSP Recipients (Compulsory Requirements) for up to 2 years based on a medical practitioner’s advice on a medical certificate. Other exemptions may be granted up to 13 weeks, depending on individual circumstances.</w:t>
      </w:r>
    </w:p>
    <w:p w14:paraId="7030D8B4" w14:textId="294E4541" w:rsidR="00166C6D" w:rsidRPr="00166C6D" w:rsidRDefault="00166C6D" w:rsidP="006E2EF5">
      <w:r>
        <w:t>A guide to the situations in which a Participant may be granted an Exemption</w:t>
      </w:r>
      <w:r w:rsidR="004D0741">
        <w:t xml:space="preserve"> from their compulsory participation requirements</w:t>
      </w:r>
      <w:r>
        <w:t xml:space="preserve"> is included on the Provider Portal as the </w:t>
      </w:r>
      <w:r w:rsidRPr="003D2F2A">
        <w:rPr>
          <w:rStyle w:val="Hyperlink"/>
        </w:rPr>
        <w:t xml:space="preserve">Types of Exemptions </w:t>
      </w:r>
      <w:r w:rsidR="003D2F2A" w:rsidRPr="003D2F2A">
        <w:rPr>
          <w:rStyle w:val="Hyperlink"/>
        </w:rPr>
        <w:t>[LINK]</w:t>
      </w:r>
      <w:r w:rsidR="003D2F2A">
        <w:t xml:space="preserve"> </w:t>
      </w:r>
      <w:r>
        <w:t>support document.</w:t>
      </w:r>
    </w:p>
    <w:p w14:paraId="7A5D5CC2" w14:textId="7CF9BE7B" w:rsidR="00463C11" w:rsidRDefault="00463C11" w:rsidP="00463C11">
      <w:pPr>
        <w:pStyle w:val="Heading5"/>
      </w:pPr>
      <w:r>
        <w:t>Pause to requirements</w:t>
      </w:r>
    </w:p>
    <w:p w14:paraId="6ABC6B0C" w14:textId="1BE7F921" w:rsidR="00463C11" w:rsidRDefault="00463C11" w:rsidP="00463C11">
      <w:r>
        <w:t xml:space="preserve">At any time, the Department may pause </w:t>
      </w:r>
      <w:r w:rsidR="006E1B02">
        <w:t>compulsory participation requirements</w:t>
      </w:r>
      <w:r>
        <w:t xml:space="preserve"> for </w:t>
      </w:r>
      <w:r w:rsidR="006E1B02">
        <w:t>DSP Recipients (Compulsory Requirements)</w:t>
      </w:r>
      <w:r>
        <w:t xml:space="preserve"> in a certain location — for example, as a result of a natural disaster or State and Territory Health Orders.</w:t>
      </w:r>
    </w:p>
    <w:p w14:paraId="59638CD7" w14:textId="22CE3A50" w:rsidR="00463C11" w:rsidRDefault="00463C11" w:rsidP="00463C11">
      <w:r>
        <w:t xml:space="preserve">During this period, </w:t>
      </w:r>
      <w:r w:rsidR="00BF2D8B">
        <w:t>Providers do not need to report any non-compliance to Services Australia. N</w:t>
      </w:r>
      <w:r>
        <w:t xml:space="preserve">o payment suspensions or financial penalties will apply to </w:t>
      </w:r>
      <w:r w:rsidR="00906220">
        <w:t>DSP Recipients (Compulsory Requirements)</w:t>
      </w:r>
      <w:r>
        <w:t xml:space="preserve"> who do not meet their participation requirements. All existing compulsory requirements will become voluntary requirements</w:t>
      </w:r>
      <w:r w:rsidR="00E21BF5">
        <w:t>.</w:t>
      </w:r>
      <w:r w:rsidR="00CC6420">
        <w:t xml:space="preserve"> All Participants will be considered to be meeting the Meaningful Engagement Requirement.</w:t>
      </w:r>
    </w:p>
    <w:p w14:paraId="5B1EFA02" w14:textId="77777777" w:rsidR="00463C11" w:rsidRPr="0044463F" w:rsidRDefault="00463C11" w:rsidP="00463C11">
      <w:r w:rsidRPr="0044463F">
        <w:rPr>
          <w:b/>
          <w:bCs/>
        </w:rPr>
        <w:t xml:space="preserve">Note: </w:t>
      </w:r>
      <w:r>
        <w:t>No change to a Participant’s Job Plan is required to enable the change in requirements.</w:t>
      </w:r>
    </w:p>
    <w:p w14:paraId="4E69F9C4" w14:textId="77777777" w:rsidR="00463C11" w:rsidRDefault="00463C11" w:rsidP="00463C11">
      <w:r>
        <w:t>During a pause, Providers must support Participants to understand:</w:t>
      </w:r>
    </w:p>
    <w:p w14:paraId="529FA247" w14:textId="4111B0CF" w:rsidR="00463C11" w:rsidRDefault="00463C11" w:rsidP="00463C11">
      <w:pPr>
        <w:pStyle w:val="BulletLevel1"/>
      </w:pPr>
      <w:r w:rsidRPr="00F87D74">
        <w:t xml:space="preserve">what </w:t>
      </w:r>
      <w:r>
        <w:t xml:space="preserve">the pause </w:t>
      </w:r>
      <w:r w:rsidR="00E21BF5">
        <w:t xml:space="preserve">to compulsory participation requirements </w:t>
      </w:r>
      <w:r w:rsidRPr="00F87D74">
        <w:t>mean</w:t>
      </w:r>
    </w:p>
    <w:p w14:paraId="512161F9" w14:textId="77777777" w:rsidR="00463C11" w:rsidRDefault="00463C11" w:rsidP="00463C11">
      <w:pPr>
        <w:pStyle w:val="BulletLevel1"/>
      </w:pPr>
      <w:r w:rsidRPr="00F87D74">
        <w:t xml:space="preserve">how long </w:t>
      </w:r>
      <w:r>
        <w:t>the</w:t>
      </w:r>
      <w:r w:rsidRPr="00F87D74">
        <w:t xml:space="preserve"> pause will last</w:t>
      </w:r>
    </w:p>
    <w:p w14:paraId="08B861AE" w14:textId="77777777" w:rsidR="00463C11" w:rsidRDefault="00463C11" w:rsidP="00463C11">
      <w:pPr>
        <w:pStyle w:val="BulletLevel1"/>
      </w:pPr>
      <w:r>
        <w:t>what happens during the pause</w:t>
      </w:r>
    </w:p>
    <w:p w14:paraId="248809FC" w14:textId="77777777" w:rsidR="00463C11" w:rsidRDefault="00463C11" w:rsidP="00463C11">
      <w:pPr>
        <w:pStyle w:val="BulletLevel1"/>
      </w:pPr>
      <w:r>
        <w:t>what they will need to do when the pause ends.</w:t>
      </w:r>
    </w:p>
    <w:p w14:paraId="11F3BDC0" w14:textId="77777777" w:rsidR="00463C11" w:rsidRDefault="00463C11" w:rsidP="00463C11">
      <w:r>
        <w:t>Participants can choose to continue to participate in Appointments and Activities on a voluntary basis. Appointments and Activities scheduled prior to the pause may still appear in their Electronic Calendar and they may still get reminder notifications. Providers may encourage Participants to remain in contact and participate in tasks and activities where it is safe to do so.</w:t>
      </w:r>
    </w:p>
    <w:p w14:paraId="2ED11F12" w14:textId="77777777" w:rsidR="00463C11" w:rsidRPr="00157DCC" w:rsidRDefault="00463C11" w:rsidP="00463C11">
      <w:r w:rsidRPr="00157DCC">
        <w:rPr>
          <w:b/>
          <w:bCs/>
        </w:rPr>
        <w:t xml:space="preserve">Note: </w:t>
      </w:r>
      <w:r>
        <w:t>Participant’s must still report their income to Centrelink each fortnight.</w:t>
      </w:r>
    </w:p>
    <w:p w14:paraId="01FB27B7" w14:textId="79AD5C9A" w:rsidR="00D74559" w:rsidRDefault="00D74559" w:rsidP="001D0F92">
      <w:pPr>
        <w:pStyle w:val="Heading4"/>
      </w:pPr>
      <w:bookmarkStart w:id="202" w:name="_Toc202899955"/>
      <w:bookmarkStart w:id="203" w:name="_Ref202951631"/>
      <w:r>
        <w:t>5.2.3</w:t>
      </w:r>
      <w:r w:rsidR="00246323">
        <w:tab/>
      </w:r>
      <w:r>
        <w:t>Requirements for Participants undertaking a Program of Support</w:t>
      </w:r>
      <w:bookmarkEnd w:id="202"/>
      <w:bookmarkEnd w:id="203"/>
    </w:p>
    <w:p w14:paraId="1B2F47BD" w14:textId="7C6EE2E8" w:rsidR="00D74559" w:rsidRDefault="00D74559" w:rsidP="006E2EF5">
      <w:r>
        <w:t xml:space="preserve">Participants may be participating in </w:t>
      </w:r>
      <w:r w:rsidR="00C74C33">
        <w:t>Inclusive Employment Australia</w:t>
      </w:r>
      <w:r>
        <w:t xml:space="preserve"> as part of a Program of Support requirement. That is, as part of their eligibility for DSP they have been informed that they need to demonstrate that they have actively participated in a program that helps them to prepare for, find and keep a job.</w:t>
      </w:r>
    </w:p>
    <w:p w14:paraId="7FDFD03C" w14:textId="748D5D07" w:rsidR="00D74559" w:rsidRDefault="00D74559" w:rsidP="006E2EF5">
      <w:pPr>
        <w:rPr>
          <w:lang w:val="en-GB"/>
        </w:rPr>
      </w:pPr>
      <w:r w:rsidRPr="1C4E4AF5">
        <w:rPr>
          <w:lang w:val="en-GB"/>
        </w:rPr>
        <w:t xml:space="preserve">As </w:t>
      </w:r>
      <w:r w:rsidR="00C74C33">
        <w:rPr>
          <w:lang w:val="en-GB"/>
        </w:rPr>
        <w:t>Inclusive Employment Australia</w:t>
      </w:r>
      <w:r w:rsidRPr="1C4E4AF5">
        <w:rPr>
          <w:lang w:val="en-GB"/>
        </w:rPr>
        <w:t xml:space="preserve"> will often be the most </w:t>
      </w:r>
      <w:bookmarkStart w:id="204" w:name="_Int_6syY0Viq"/>
      <w:r w:rsidRPr="1C4E4AF5">
        <w:rPr>
          <w:lang w:val="en-GB"/>
        </w:rPr>
        <w:t>appropriate employment</w:t>
      </w:r>
      <w:bookmarkEnd w:id="204"/>
      <w:r w:rsidRPr="1C4E4AF5">
        <w:rPr>
          <w:lang w:val="en-GB"/>
        </w:rPr>
        <w:t xml:space="preserve"> service for people applying for the DSP, people with Program of Support requirements may </w:t>
      </w:r>
      <w:r>
        <w:rPr>
          <w:lang w:val="en-GB"/>
        </w:rPr>
        <w:t xml:space="preserve">have </w:t>
      </w:r>
      <w:r w:rsidRPr="1C4E4AF5">
        <w:rPr>
          <w:lang w:val="en-GB"/>
        </w:rPr>
        <w:t>Directly Register</w:t>
      </w:r>
      <w:r w:rsidR="005F72EB">
        <w:rPr>
          <w:lang w:val="en-GB"/>
        </w:rPr>
        <w:t>ed</w:t>
      </w:r>
      <w:r w:rsidRPr="1C4E4AF5">
        <w:rPr>
          <w:lang w:val="en-GB"/>
        </w:rPr>
        <w:t xml:space="preserve"> for </w:t>
      </w:r>
      <w:r w:rsidR="00C74C33">
        <w:rPr>
          <w:lang w:val="en-GB"/>
        </w:rPr>
        <w:t>Inclusive Employment Australia</w:t>
      </w:r>
      <w:r>
        <w:rPr>
          <w:lang w:val="en-GB"/>
        </w:rPr>
        <w:t>,</w:t>
      </w:r>
      <w:r w:rsidRPr="1C4E4AF5">
        <w:rPr>
          <w:lang w:val="en-GB"/>
        </w:rPr>
        <w:t xml:space="preserve"> subject to meeting general eligibility criteria</w:t>
      </w:r>
      <w:r w:rsidR="00697373">
        <w:rPr>
          <w:lang w:val="en-GB"/>
        </w:rPr>
        <w:t xml:space="preserve"> or special eligibility criteria</w:t>
      </w:r>
      <w:r w:rsidRPr="1C4E4AF5">
        <w:rPr>
          <w:lang w:val="en-GB"/>
        </w:rPr>
        <w:t xml:space="preserve"> (</w:t>
      </w:r>
      <w:r w:rsidR="00697373">
        <w:rPr>
          <w:lang w:val="en-GB"/>
        </w:rPr>
        <w:t xml:space="preserve">see relevant Sections in </w:t>
      </w:r>
      <w:r w:rsidR="00697373">
        <w:rPr>
          <w:lang w:val="en-GB"/>
        </w:rPr>
        <w:fldChar w:fldCharType="begin"/>
      </w:r>
      <w:r w:rsidR="00697373">
        <w:rPr>
          <w:lang w:val="en-GB"/>
        </w:rPr>
        <w:instrText xml:space="preserve"> REF _Ref202784047 \h </w:instrText>
      </w:r>
      <w:r w:rsidR="00697373">
        <w:rPr>
          <w:lang w:val="en-GB"/>
        </w:rPr>
      </w:r>
      <w:r w:rsidR="00697373">
        <w:rPr>
          <w:lang w:val="en-GB"/>
        </w:rPr>
        <w:fldChar w:fldCharType="separate"/>
      </w:r>
      <w:r w:rsidR="000D75AE" w:rsidRPr="00CD7CCA">
        <w:t>Chapter 1</w:t>
      </w:r>
      <w:r w:rsidR="000D75AE">
        <w:t>:</w:t>
      </w:r>
      <w:r w:rsidR="002E053E">
        <w:t xml:space="preserve"> </w:t>
      </w:r>
      <w:r w:rsidR="000D75AE" w:rsidRPr="00CD7CCA">
        <w:t>Eligibility, Referral</w:t>
      </w:r>
      <w:r w:rsidR="000D75AE">
        <w:t>s</w:t>
      </w:r>
      <w:r w:rsidR="000D75AE" w:rsidRPr="00CD7CCA">
        <w:t xml:space="preserve"> and Direct Registration</w:t>
      </w:r>
      <w:r w:rsidR="00697373">
        <w:rPr>
          <w:lang w:val="en-GB"/>
        </w:rPr>
        <w:fldChar w:fldCharType="end"/>
      </w:r>
      <w:r w:rsidRPr="1C4E4AF5">
        <w:rPr>
          <w:lang w:val="en-GB"/>
        </w:rPr>
        <w:t>)</w:t>
      </w:r>
      <w:r w:rsidR="003976CF">
        <w:rPr>
          <w:lang w:val="en-GB"/>
        </w:rPr>
        <w:t>.</w:t>
      </w:r>
    </w:p>
    <w:p w14:paraId="484495F1" w14:textId="443370D2" w:rsidR="00D74559" w:rsidRDefault="00D74559" w:rsidP="006E2EF5">
      <w:pPr>
        <w:rPr>
          <w:lang w:val="en-GB"/>
        </w:rPr>
      </w:pPr>
      <w:r w:rsidRPr="7A61ED2C">
        <w:rPr>
          <w:lang w:val="en-GB"/>
        </w:rPr>
        <w:t xml:space="preserve">To show that they have participated in a Program of Support, the </w:t>
      </w:r>
      <w:r>
        <w:rPr>
          <w:lang w:val="en-GB"/>
        </w:rPr>
        <w:t>person</w:t>
      </w:r>
      <w:r w:rsidRPr="7A61ED2C">
        <w:rPr>
          <w:lang w:val="en-GB"/>
        </w:rPr>
        <w:t xml:space="preserve"> </w:t>
      </w:r>
      <w:r>
        <w:rPr>
          <w:lang w:val="en-GB"/>
        </w:rPr>
        <w:t>needs to have</w:t>
      </w:r>
      <w:r w:rsidRPr="7A61ED2C">
        <w:rPr>
          <w:lang w:val="en-GB"/>
        </w:rPr>
        <w:t xml:space="preserve"> participate</w:t>
      </w:r>
      <w:r>
        <w:rPr>
          <w:lang w:val="en-GB"/>
        </w:rPr>
        <w:t>d</w:t>
      </w:r>
      <w:r w:rsidRPr="7A61ED2C">
        <w:rPr>
          <w:lang w:val="en-GB"/>
        </w:rPr>
        <w:t xml:space="preserve"> </w:t>
      </w:r>
      <w:r>
        <w:rPr>
          <w:lang w:val="en-GB"/>
        </w:rPr>
        <w:t>in employment services for</w:t>
      </w:r>
      <w:r w:rsidRPr="7A61ED2C">
        <w:rPr>
          <w:lang w:val="en-GB"/>
        </w:rPr>
        <w:t xml:space="preserve"> at least 18 months in the 3 years before they make the DSP claim. Generally, they will meet this requirement if they remain connected with their Provider and do not Exit for more than 13 weeks. If they fail to participate, they may jeopardise their eligibility for DSP.</w:t>
      </w:r>
      <w:r>
        <w:rPr>
          <w:lang w:val="en-GB"/>
        </w:rPr>
        <w:t xml:space="preserve"> </w:t>
      </w:r>
    </w:p>
    <w:p w14:paraId="0A391A0B" w14:textId="4370C6CA" w:rsidR="00D74559" w:rsidRDefault="00D74559" w:rsidP="006E2EF5">
      <w:pPr>
        <w:rPr>
          <w:lang w:val="en-GB" w:eastAsia="en-AU"/>
        </w:rPr>
      </w:pPr>
      <w:r w:rsidRPr="7A61ED2C">
        <w:rPr>
          <w:b/>
          <w:bCs/>
          <w:lang w:val="en-GB"/>
        </w:rPr>
        <w:t xml:space="preserve">Note: </w:t>
      </w:r>
      <w:r w:rsidRPr="7A61ED2C">
        <w:rPr>
          <w:lang w:val="en-GB" w:eastAsia="en-AU"/>
        </w:rPr>
        <w:t xml:space="preserve">A person who is participating to meet the Program of Support requirement may be a Participant (Mutual Obligation) or Participant (Voluntary). If they are a Participant (Mutual Obligation), they are subject to the relevant </w:t>
      </w:r>
      <w:r w:rsidR="00F17F52">
        <w:rPr>
          <w:lang w:val="en-GB" w:eastAsia="en-AU"/>
        </w:rPr>
        <w:t xml:space="preserve">participation </w:t>
      </w:r>
      <w:r w:rsidRPr="7A61ED2C">
        <w:rPr>
          <w:lang w:val="en-GB" w:eastAsia="en-AU"/>
        </w:rPr>
        <w:t>requirements and compliance actions</w:t>
      </w:r>
      <w:r w:rsidR="00C35105">
        <w:rPr>
          <w:lang w:val="en-GB" w:eastAsia="en-AU"/>
        </w:rPr>
        <w:t xml:space="preserve"> linked to their Income Support Payment</w:t>
      </w:r>
      <w:r w:rsidRPr="7A61ED2C">
        <w:rPr>
          <w:lang w:val="en-GB" w:eastAsia="en-AU"/>
        </w:rPr>
        <w:t>. If they are a Participant (Voluntary), the Provider can Exit the Participant if they disengage.</w:t>
      </w:r>
    </w:p>
    <w:p w14:paraId="4BA8C328" w14:textId="6D4F6C8E" w:rsidR="00D74559" w:rsidRDefault="00143135" w:rsidP="006E2EF5">
      <w:pPr>
        <w:rPr>
          <w:lang w:val="en-GB"/>
        </w:rPr>
      </w:pPr>
      <w:r>
        <w:rPr>
          <w:lang w:val="en-GB"/>
        </w:rPr>
        <w:t xml:space="preserve">There is no flag in the Department’s IT Systems that identified if </w:t>
      </w:r>
      <w:r w:rsidR="00630E09">
        <w:rPr>
          <w:lang w:val="en-GB"/>
        </w:rPr>
        <w:t>a Participant has a Program of Support requirement. Therefore, i</w:t>
      </w:r>
      <w:r w:rsidR="00D74559">
        <w:rPr>
          <w:lang w:val="en-GB"/>
        </w:rPr>
        <w:t xml:space="preserve">t is only when a Participant discloses that they are participating as part of a </w:t>
      </w:r>
      <w:r w:rsidR="00D74559">
        <w:t>Program of Support requirement, that Providers must ensure that they understand their requirements for the Program of Support</w:t>
      </w:r>
      <w:r w:rsidR="00630E09">
        <w:t xml:space="preserve"> as required in the Deed and these Guidelines</w:t>
      </w:r>
      <w:r w:rsidR="00D74559">
        <w:t>.</w:t>
      </w:r>
    </w:p>
    <w:p w14:paraId="2453A0FC" w14:textId="6AD179B7" w:rsidR="00D74559" w:rsidRDefault="00D74559" w:rsidP="001D0F92">
      <w:pPr>
        <w:pStyle w:val="Heading3"/>
      </w:pPr>
      <w:bookmarkStart w:id="205" w:name="_Toc202899956"/>
      <w:r>
        <w:t>5.3</w:t>
      </w:r>
      <w:r w:rsidR="00246323">
        <w:tab/>
      </w:r>
      <w:r>
        <w:t>Provider obligations</w:t>
      </w:r>
      <w:bookmarkEnd w:id="205"/>
    </w:p>
    <w:p w14:paraId="1307D9DC" w14:textId="77777777" w:rsidR="008531C2" w:rsidRDefault="008531C2" w:rsidP="008531C2">
      <w:r w:rsidRPr="00130902">
        <w:t xml:space="preserve">Provider </w:t>
      </w:r>
      <w:r>
        <w:t>staff</w:t>
      </w:r>
      <w:r w:rsidRPr="00130902">
        <w:t xml:space="preserve"> </w:t>
      </w:r>
      <w:r>
        <w:t>have</w:t>
      </w:r>
      <w:r w:rsidRPr="00130902">
        <w:t xml:space="preserve"> delegated powers under </w:t>
      </w:r>
      <w:r>
        <w:t>S</w:t>
      </w:r>
      <w:r w:rsidRPr="00130902">
        <w:t xml:space="preserve">ocial </w:t>
      </w:r>
      <w:r>
        <w:t>S</w:t>
      </w:r>
      <w:r w:rsidRPr="00130902">
        <w:t xml:space="preserve">ecurity </w:t>
      </w:r>
      <w:r>
        <w:t>L</w:t>
      </w:r>
      <w:r w:rsidRPr="00130902">
        <w:t xml:space="preserve">aw to notify </w:t>
      </w:r>
      <w:r>
        <w:t>Participant</w:t>
      </w:r>
      <w:r w:rsidRPr="00130902">
        <w:t xml:space="preserve">s (Mutual Obligation) of their </w:t>
      </w:r>
      <w:r>
        <w:t xml:space="preserve">participation </w:t>
      </w:r>
      <w:r w:rsidRPr="00130902">
        <w:t>requirements</w:t>
      </w:r>
      <w:r>
        <w:t>.</w:t>
      </w:r>
    </w:p>
    <w:p w14:paraId="3753BA04" w14:textId="10DCB5C9" w:rsidR="00D74559" w:rsidRDefault="00D74559" w:rsidP="006E2EF5">
      <w:r>
        <w:t xml:space="preserve">Providers must work with Participants to set an appropriate mix of tasks and activities, tailored to the individual’s circumstances, to support full participation in </w:t>
      </w:r>
      <w:r w:rsidR="00C74C33">
        <w:t>Inclusive Employment Australia</w:t>
      </w:r>
      <w:r>
        <w:t xml:space="preserve"> Services.</w:t>
      </w:r>
    </w:p>
    <w:p w14:paraId="2213F675" w14:textId="77777777" w:rsidR="00D74559" w:rsidRDefault="00D74559" w:rsidP="006E2EF5">
      <w:pPr>
        <w:tabs>
          <w:tab w:val="right" w:pos="1701"/>
        </w:tabs>
        <w:spacing w:after="120"/>
        <w:rPr>
          <w:lang w:val="en-GB"/>
        </w:rPr>
      </w:pPr>
      <w:r w:rsidRPr="48661572">
        <w:rPr>
          <w:lang w:val="en-GB"/>
        </w:rPr>
        <w:t xml:space="preserve">Under Social Security Law, Participants must be given </w:t>
      </w:r>
      <w:bookmarkStart w:id="206" w:name="_Int_kAV8dpeG"/>
      <w:r w:rsidRPr="48661572">
        <w:rPr>
          <w:lang w:val="en-GB"/>
        </w:rPr>
        <w:t>appropriate notice</w:t>
      </w:r>
      <w:bookmarkEnd w:id="206"/>
      <w:r w:rsidRPr="48661572">
        <w:rPr>
          <w:lang w:val="en-GB"/>
        </w:rPr>
        <w:t xml:space="preserve"> of any compulsory requirement in their Job Plan. Provider staff </w:t>
      </w:r>
      <w:r>
        <w:rPr>
          <w:lang w:val="en-GB"/>
        </w:rPr>
        <w:t>have</w:t>
      </w:r>
      <w:r w:rsidRPr="48661572">
        <w:rPr>
          <w:lang w:val="en-GB"/>
        </w:rPr>
        <w:t xml:space="preserve"> delegated powers under Social Security Law to notify Participants of their requirements.</w:t>
      </w:r>
    </w:p>
    <w:p w14:paraId="72E2B986" w14:textId="77777777" w:rsidR="00D74559" w:rsidRDefault="00D74559" w:rsidP="006E2EF5">
      <w:pPr>
        <w:rPr>
          <w:rFonts w:ascii="Tahoma" w:eastAsia="Tahoma" w:hAnsi="Tahoma"/>
          <w:szCs w:val="22"/>
        </w:rPr>
      </w:pPr>
      <w:r w:rsidRPr="68799C3B">
        <w:rPr>
          <w:rFonts w:ascii="Tahoma" w:eastAsia="Tahoma" w:hAnsi="Tahoma"/>
          <w:szCs w:val="22"/>
        </w:rPr>
        <w:t xml:space="preserve">The </w:t>
      </w:r>
      <w:r>
        <w:rPr>
          <w:rFonts w:ascii="Tahoma" w:eastAsia="Tahoma" w:hAnsi="Tahoma"/>
          <w:szCs w:val="22"/>
        </w:rPr>
        <w:t>Provider</w:t>
      </w:r>
      <w:r w:rsidRPr="68799C3B">
        <w:rPr>
          <w:rFonts w:ascii="Tahoma" w:eastAsia="Tahoma" w:hAnsi="Tahoma"/>
          <w:szCs w:val="22"/>
        </w:rPr>
        <w:t xml:space="preserve">’s main obligations relating to </w:t>
      </w:r>
      <w:r>
        <w:rPr>
          <w:rFonts w:ascii="Tahoma" w:eastAsia="Tahoma" w:hAnsi="Tahoma"/>
          <w:szCs w:val="22"/>
        </w:rPr>
        <w:t>participation requirements</w:t>
      </w:r>
      <w:r w:rsidRPr="68799C3B">
        <w:rPr>
          <w:rFonts w:ascii="Tahoma" w:eastAsia="Tahoma" w:hAnsi="Tahoma"/>
          <w:szCs w:val="22"/>
        </w:rPr>
        <w:t xml:space="preserve"> include: </w:t>
      </w:r>
    </w:p>
    <w:p w14:paraId="7EF42D68" w14:textId="2760188B" w:rsidR="00D74559" w:rsidRPr="00DB2C3A" w:rsidRDefault="00D74559" w:rsidP="004E120D">
      <w:pPr>
        <w:pStyle w:val="BulletLevel1"/>
        <w:rPr>
          <w:rFonts w:eastAsia="Tahoma"/>
          <w:u w:val="single"/>
        </w:rPr>
      </w:pPr>
      <w:r>
        <w:t>ensur</w:t>
      </w:r>
      <w:r w:rsidR="00744BF9">
        <w:t>ing</w:t>
      </w:r>
      <w:r>
        <w:t xml:space="preserve"> that Job Plans for Participants (Mutual Obligation) and DSP Recipients (Compulsory Requirements) are suitable to the Participant’s personal circumstances and capacity to comply with their obligations under Social Security Law</w:t>
      </w:r>
    </w:p>
    <w:p w14:paraId="0C4B4AB6" w14:textId="2A17D322" w:rsidR="00C84AC0" w:rsidRPr="00655DF1" w:rsidRDefault="00C84AC0" w:rsidP="00C84AC0">
      <w:pPr>
        <w:pStyle w:val="BulletLevel1"/>
        <w:rPr>
          <w:rFonts w:eastAsiaTheme="minorEastAsia"/>
        </w:rPr>
      </w:pPr>
      <w:r w:rsidRPr="2190AEAE">
        <w:t xml:space="preserve">ensuring any tasks and activities </w:t>
      </w:r>
      <w:r>
        <w:t xml:space="preserve">agreed to </w:t>
      </w:r>
      <w:r w:rsidRPr="2190AEAE">
        <w:t xml:space="preserve">are suitable and tailored to the Participant’s </w:t>
      </w:r>
      <w:r>
        <w:t>E</w:t>
      </w:r>
      <w:r w:rsidRPr="3644EC22">
        <w:t>mployment Goal(s)</w:t>
      </w:r>
      <w:r>
        <w:t xml:space="preserve">, assessed </w:t>
      </w:r>
      <w:r w:rsidRPr="2190AEAE">
        <w:t xml:space="preserve">work capacity, personal circumstances, and </w:t>
      </w:r>
      <w:r>
        <w:t xml:space="preserve">work or study </w:t>
      </w:r>
      <w:r w:rsidRPr="2190AEAE">
        <w:t>commitments</w:t>
      </w:r>
      <w:r w:rsidR="00042FC5">
        <w:t xml:space="preserve"> (whether </w:t>
      </w:r>
      <w:r w:rsidR="00814F9A">
        <w:t>these tasks and activities</w:t>
      </w:r>
      <w:r w:rsidR="00042FC5">
        <w:t xml:space="preserve"> </w:t>
      </w:r>
      <w:r w:rsidR="0098245F">
        <w:t>are</w:t>
      </w:r>
      <w:r w:rsidR="00042FC5">
        <w:t xml:space="preserve"> part of </w:t>
      </w:r>
      <w:r w:rsidR="0098245F">
        <w:t xml:space="preserve">meeting </w:t>
      </w:r>
      <w:r w:rsidR="00042FC5">
        <w:t xml:space="preserve">the Meaningful Engagement Requirement or </w:t>
      </w:r>
      <w:r w:rsidR="00814F9A">
        <w:t>specified in a Detailed Job Plan)</w:t>
      </w:r>
    </w:p>
    <w:p w14:paraId="787EE5FD" w14:textId="45688BD1" w:rsidR="00D74559" w:rsidRPr="00161821" w:rsidRDefault="00D74559" w:rsidP="004E120D">
      <w:pPr>
        <w:pStyle w:val="BulletLevel1"/>
        <w:rPr>
          <w:rFonts w:eastAsia="Tahoma"/>
          <w:u w:val="single"/>
        </w:rPr>
      </w:pPr>
      <w:r>
        <w:t>ensur</w:t>
      </w:r>
      <w:r w:rsidR="008E0CBD">
        <w:t>ing</w:t>
      </w:r>
      <w:r>
        <w:t xml:space="preserve"> each Participant (Mutual Obligation) understands their </w:t>
      </w:r>
      <w:r w:rsidRPr="00A321BC">
        <w:t>Mutual Obligation Requirements</w:t>
      </w:r>
      <w:r>
        <w:t xml:space="preserve"> and what they must do to meet their Mutual Obligation Requirements</w:t>
      </w:r>
    </w:p>
    <w:p w14:paraId="374A1AD0" w14:textId="5B5CBB3C" w:rsidR="00D74559" w:rsidRPr="00B71DF4" w:rsidRDefault="00D74559" w:rsidP="004E120D">
      <w:pPr>
        <w:pStyle w:val="BulletLevel1"/>
        <w:rPr>
          <w:rFonts w:eastAsia="Tahoma"/>
        </w:rPr>
      </w:pPr>
      <w:r w:rsidRPr="247198B4">
        <w:rPr>
          <w:rFonts w:eastAsia="Tahoma"/>
        </w:rPr>
        <w:t>ensur</w:t>
      </w:r>
      <w:r w:rsidR="008E0CBD">
        <w:rPr>
          <w:rFonts w:eastAsia="Tahoma"/>
        </w:rPr>
        <w:t>ing</w:t>
      </w:r>
      <w:r w:rsidRPr="247198B4">
        <w:rPr>
          <w:rFonts w:eastAsia="Tahoma"/>
        </w:rPr>
        <w:t xml:space="preserve"> each </w:t>
      </w:r>
      <w:r>
        <w:t>DSP Recipient (Compulsory Requirements) understands their obligations under Social Security Law</w:t>
      </w:r>
    </w:p>
    <w:p w14:paraId="30F379CD" w14:textId="44A9EF29" w:rsidR="00D74559" w:rsidRPr="00D67537" w:rsidRDefault="00D74559" w:rsidP="004E120D">
      <w:pPr>
        <w:pStyle w:val="BulletLevel1"/>
        <w:rPr>
          <w:rFonts w:eastAsia="Tahoma"/>
        </w:rPr>
      </w:pPr>
      <w:r>
        <w:t>ensur</w:t>
      </w:r>
      <w:r w:rsidR="008E0CBD">
        <w:t>ing</w:t>
      </w:r>
      <w:r>
        <w:t xml:space="preserve"> each </w:t>
      </w:r>
      <w:r w:rsidRPr="54C4CDE6">
        <w:t>Participant undertaking a Program of Support</w:t>
      </w:r>
      <w:r>
        <w:t xml:space="preserve"> understands their obligations</w:t>
      </w:r>
    </w:p>
    <w:p w14:paraId="079477F5" w14:textId="4104F200" w:rsidR="00D74559" w:rsidRPr="001673A5" w:rsidRDefault="00D74559" w:rsidP="004E120D">
      <w:pPr>
        <w:pStyle w:val="BulletLevel1"/>
        <w:rPr>
          <w:u w:val="single"/>
        </w:rPr>
      </w:pPr>
      <w:r w:rsidRPr="52AE57C5">
        <w:t xml:space="preserve">assessing a Participant’s capability to </w:t>
      </w:r>
      <w:r w:rsidR="003C5B2D">
        <w:t>self-</w:t>
      </w:r>
      <w:r w:rsidRPr="52AE57C5">
        <w:t xml:space="preserve">report their own </w:t>
      </w:r>
      <w:r w:rsidR="003C5B2D">
        <w:t>attendance</w:t>
      </w:r>
      <w:r w:rsidRPr="52AE57C5">
        <w:t xml:space="preserve">, and reviewing their capability </w:t>
      </w:r>
      <w:r w:rsidR="003C5B2D">
        <w:t xml:space="preserve">to self-report </w:t>
      </w:r>
      <w:r w:rsidRPr="52AE57C5">
        <w:t>as required</w:t>
      </w:r>
    </w:p>
    <w:p w14:paraId="42792EC0" w14:textId="41962E46" w:rsidR="00826B2F" w:rsidRPr="00826B2F" w:rsidRDefault="00D74559" w:rsidP="004E120D">
      <w:pPr>
        <w:pStyle w:val="BulletLevel1"/>
        <w:rPr>
          <w:rFonts w:eastAsiaTheme="minorEastAsia"/>
        </w:rPr>
      </w:pPr>
      <w:r>
        <w:t>notify</w:t>
      </w:r>
      <w:r w:rsidR="00D802B8">
        <w:t>ing</w:t>
      </w:r>
      <w:r>
        <w:t xml:space="preserve"> Participants </w:t>
      </w:r>
      <w:r w:rsidR="0076534A">
        <w:t>of their</w:t>
      </w:r>
      <w:r>
        <w:t xml:space="preserve"> requirement</w:t>
      </w:r>
      <w:r w:rsidR="0076534A">
        <w:t xml:space="preserve">s, including how they can </w:t>
      </w:r>
      <w:r w:rsidR="002F4756">
        <w:t>meet each requirement</w:t>
      </w:r>
      <w:r>
        <w:t xml:space="preserve"> and the consequences of not meeting the requirement</w:t>
      </w:r>
    </w:p>
    <w:p w14:paraId="27A60F1A" w14:textId="21A15031" w:rsidR="00D74559" w:rsidRPr="008B04FF" w:rsidRDefault="00D74559" w:rsidP="004E120D">
      <w:pPr>
        <w:pStyle w:val="BulletLevel1"/>
      </w:pPr>
      <w:r w:rsidRPr="52AE57C5">
        <w:t xml:space="preserve">actively monitoring and recording each Participant’s compliance with their requirements </w:t>
      </w:r>
      <w:r w:rsidR="00020C5B">
        <w:t>and capacity to meaningfully engage</w:t>
      </w:r>
      <w:r w:rsidRPr="52AE57C5">
        <w:t xml:space="preserve"> – refer to</w:t>
      </w:r>
      <w:r w:rsidR="00697373">
        <w:t xml:space="preserve"> </w:t>
      </w:r>
      <w:r w:rsidR="00697373">
        <w:rPr>
          <w:highlight w:val="yellow"/>
        </w:rPr>
        <w:fldChar w:fldCharType="begin"/>
      </w:r>
      <w:r w:rsidR="00697373">
        <w:instrText xml:space="preserve"> REF _Ref202782924 \h </w:instrText>
      </w:r>
      <w:r w:rsidR="00697373">
        <w:rPr>
          <w:highlight w:val="yellow"/>
        </w:rPr>
      </w:r>
      <w:r w:rsidR="00697373">
        <w:rPr>
          <w:highlight w:val="yellow"/>
        </w:rPr>
        <w:fldChar w:fldCharType="separate"/>
      </w:r>
      <w:r w:rsidR="000D75AE">
        <w:t>Chapter 12:</w:t>
      </w:r>
      <w:r w:rsidR="00A31574">
        <w:t xml:space="preserve"> </w:t>
      </w:r>
      <w:r w:rsidR="000D75AE">
        <w:t>Compliance</w:t>
      </w:r>
      <w:r w:rsidR="00697373">
        <w:rPr>
          <w:highlight w:val="yellow"/>
        </w:rPr>
        <w:fldChar w:fldCharType="end"/>
      </w:r>
      <w:r w:rsidR="00EA48E3">
        <w:rPr>
          <w:rFonts w:ascii="Tahoma" w:eastAsia="Tahoma" w:hAnsi="Tahoma"/>
        </w:rPr>
        <w:t>, and</w:t>
      </w:r>
    </w:p>
    <w:p w14:paraId="4EBF2889" w14:textId="3979FB10" w:rsidR="00EA48E3" w:rsidRPr="008B04FF" w:rsidRDefault="00EA48E3" w:rsidP="004E120D">
      <w:pPr>
        <w:pStyle w:val="BulletLevel1"/>
      </w:pPr>
      <w:r>
        <w:t>notifying Participants when they are at risk of not meeting a requirement or have failed to meet a requirement.</w:t>
      </w:r>
    </w:p>
    <w:p w14:paraId="289E2699" w14:textId="33F23E31" w:rsidR="00D74559" w:rsidRPr="00B9292B" w:rsidRDefault="00D74559" w:rsidP="006E2EF5">
      <w:pPr>
        <w:pStyle w:val="DeedReferences"/>
      </w:pPr>
      <w:r w:rsidRPr="00B9292B">
        <w:t>(</w:t>
      </w:r>
      <w:r w:rsidR="00A73420" w:rsidRPr="00B9292B">
        <w:t>Deed Reference(s): Clause</w:t>
      </w:r>
      <w:r w:rsidRPr="00B9292B">
        <w:t xml:space="preserve"> 114.1, </w:t>
      </w:r>
      <w:r w:rsidR="00955E84">
        <w:t xml:space="preserve">138, </w:t>
      </w:r>
      <w:r w:rsidR="00336524">
        <w:t>139</w:t>
      </w:r>
      <w:r w:rsidR="000D694B">
        <w:t>, 140</w:t>
      </w:r>
      <w:r w:rsidRPr="00B9292B">
        <w:t>)</w:t>
      </w:r>
    </w:p>
    <w:p w14:paraId="563B805D" w14:textId="44D66675" w:rsidR="00D74559" w:rsidRPr="00595E55" w:rsidRDefault="00D74559" w:rsidP="001D0F92">
      <w:pPr>
        <w:pStyle w:val="Heading4"/>
      </w:pPr>
      <w:bookmarkStart w:id="207" w:name="_Toc202899957"/>
      <w:r w:rsidRPr="652192F6">
        <w:t>5.3.1</w:t>
      </w:r>
      <w:r w:rsidR="00246323">
        <w:tab/>
      </w:r>
      <w:r w:rsidRPr="652192F6">
        <w:t>Training</w:t>
      </w:r>
      <w:bookmarkEnd w:id="207"/>
    </w:p>
    <w:p w14:paraId="14375F66" w14:textId="281D35BA" w:rsidR="00D74559" w:rsidRDefault="00EA63BF" w:rsidP="006E2EF5">
      <w:r>
        <w:t>It is essential that each staff member</w:t>
      </w:r>
      <w:r w:rsidR="00D74559">
        <w:t xml:space="preserve"> understand</w:t>
      </w:r>
      <w:r>
        <w:t>s</w:t>
      </w:r>
      <w:r w:rsidR="005B6A29">
        <w:t xml:space="preserve"> how to set participation requirements</w:t>
      </w:r>
      <w:r w:rsidR="0087571D">
        <w:t>,</w:t>
      </w:r>
      <w:r w:rsidR="005B6A29">
        <w:t xml:space="preserve"> to ensure that Participants are meeting their requirements under Social Security Law.</w:t>
      </w:r>
    </w:p>
    <w:p w14:paraId="77692947" w14:textId="6F489B50" w:rsidR="00D74559" w:rsidRPr="00B9292B" w:rsidRDefault="00D74559" w:rsidP="006E2EF5">
      <w:pPr>
        <w:pStyle w:val="DeedReferences"/>
      </w:pPr>
      <w:r w:rsidRPr="00B9292B">
        <w:t>(</w:t>
      </w:r>
      <w:r w:rsidR="00A73420" w:rsidRPr="00B9292B">
        <w:t xml:space="preserve">Deed Reference(s): Clause </w:t>
      </w:r>
      <w:r w:rsidR="00462A3B">
        <w:t>143</w:t>
      </w:r>
      <w:r w:rsidRPr="00B9292B">
        <w:t>)</w:t>
      </w:r>
    </w:p>
    <w:p w14:paraId="18617465" w14:textId="65D56E4E" w:rsidR="00D74559" w:rsidRPr="00A06A42" w:rsidRDefault="00D74559" w:rsidP="001D0F92">
      <w:pPr>
        <w:pStyle w:val="Heading4"/>
      </w:pPr>
      <w:bookmarkStart w:id="208" w:name="_Toc202899958"/>
      <w:r w:rsidRPr="652192F6">
        <w:t>5.3.2</w:t>
      </w:r>
      <w:r w:rsidR="00246323">
        <w:tab/>
      </w:r>
      <w:r w:rsidRPr="652192F6">
        <w:t>Notifications to Participants of their requirements</w:t>
      </w:r>
      <w:bookmarkEnd w:id="208"/>
    </w:p>
    <w:p w14:paraId="6DBAF3DF" w14:textId="4D17906F" w:rsidR="00D74559" w:rsidRDefault="00D74559" w:rsidP="006E2EF5">
      <w:r w:rsidRPr="00A06A42">
        <w:t xml:space="preserve">There are a range of </w:t>
      </w:r>
      <w:r w:rsidR="00833F08">
        <w:t>modes of c</w:t>
      </w:r>
      <w:r w:rsidRPr="00A06A42">
        <w:t xml:space="preserve">ommunication available for notifications, and if not automatically sent by the Department’s IT Systems, </w:t>
      </w:r>
      <w:r>
        <w:t>Provider</w:t>
      </w:r>
      <w:r w:rsidRPr="00A06A42">
        <w:t xml:space="preserve">s must ensure that </w:t>
      </w:r>
      <w:r>
        <w:t>Participant</w:t>
      </w:r>
      <w:r w:rsidRPr="00A06A42">
        <w:t>s are notified of their upcoming requirements</w:t>
      </w:r>
      <w:r>
        <w:t xml:space="preserve"> using a </w:t>
      </w:r>
      <w:r w:rsidR="00C83882">
        <w:t>mode</w:t>
      </w:r>
      <w:r>
        <w:t xml:space="preserve"> that considers their preferred contact method.</w:t>
      </w:r>
    </w:p>
    <w:p w14:paraId="382AA028" w14:textId="23C7A5FF" w:rsidR="00D74559" w:rsidRDefault="00D74559" w:rsidP="006F727E">
      <w:pPr>
        <w:pStyle w:val="SystemStep"/>
      </w:pPr>
      <w:r>
        <w:t xml:space="preserve">A Participant’s preferred contact method is listed in the </w:t>
      </w:r>
      <w:r w:rsidRPr="00FF26C6">
        <w:t>Department’s IT Systems</w:t>
      </w:r>
      <w:r>
        <w:t xml:space="preserve"> under the </w:t>
      </w:r>
      <w:r w:rsidR="005974E3">
        <w:t>‘</w:t>
      </w:r>
      <w:r>
        <w:t>Personal details</w:t>
      </w:r>
      <w:r w:rsidR="005974E3">
        <w:t>’</w:t>
      </w:r>
      <w:r>
        <w:t xml:space="preserve"> </w:t>
      </w:r>
      <w:r w:rsidR="00860866">
        <w:t>screen</w:t>
      </w:r>
      <w:r>
        <w:t xml:space="preserve"> of the Participant’s profile.</w:t>
      </w:r>
    </w:p>
    <w:p w14:paraId="564EF8F8" w14:textId="77777777" w:rsidR="00D74559" w:rsidRPr="00A06A42" w:rsidRDefault="00D74559" w:rsidP="006E2EF5">
      <w:pPr>
        <w:rPr>
          <w:rFonts w:cstheme="minorHAnsi"/>
        </w:rPr>
      </w:pPr>
      <w:r w:rsidRPr="00A06A42">
        <w:rPr>
          <w:rFonts w:cstheme="minorHAnsi"/>
        </w:rPr>
        <w:t xml:space="preserve">The </w:t>
      </w:r>
      <w:r>
        <w:rPr>
          <w:rFonts w:cstheme="minorHAnsi"/>
        </w:rPr>
        <w:t>Department’s IT Systems</w:t>
      </w:r>
      <w:r w:rsidRPr="00A06A42">
        <w:rPr>
          <w:rFonts w:cstheme="minorHAnsi"/>
        </w:rPr>
        <w:t xml:space="preserve"> </w:t>
      </w:r>
      <w:r>
        <w:rPr>
          <w:rFonts w:cstheme="minorHAnsi"/>
        </w:rPr>
        <w:t>should</w:t>
      </w:r>
      <w:r w:rsidRPr="00A06A42">
        <w:rPr>
          <w:rFonts w:cstheme="minorHAnsi"/>
        </w:rPr>
        <w:t xml:space="preserve"> automatically create the relevant notification type to be issued when a </w:t>
      </w:r>
      <w:r>
        <w:rPr>
          <w:rFonts w:cstheme="minorHAnsi"/>
        </w:rPr>
        <w:t>Provider</w:t>
      </w:r>
      <w:r w:rsidRPr="00A06A42">
        <w:rPr>
          <w:rFonts w:cstheme="minorHAnsi"/>
        </w:rPr>
        <w:t>:</w:t>
      </w:r>
    </w:p>
    <w:p w14:paraId="2EB22526" w14:textId="72A67650" w:rsidR="00D74559" w:rsidRPr="00A06A42" w:rsidRDefault="00573FA6" w:rsidP="004E120D">
      <w:pPr>
        <w:pStyle w:val="BulletLevel1"/>
      </w:pPr>
      <w:r>
        <w:t>schedule</w:t>
      </w:r>
      <w:r w:rsidR="00D74559" w:rsidRPr="00A06A42">
        <w:t>s a</w:t>
      </w:r>
      <w:r w:rsidR="00BA7889">
        <w:t>n Appointment</w:t>
      </w:r>
      <w:r w:rsidR="00D74559" w:rsidRPr="00A06A42">
        <w:t xml:space="preserve"> in the </w:t>
      </w:r>
      <w:r w:rsidR="00D74559">
        <w:t>Participant</w:t>
      </w:r>
      <w:r w:rsidR="00D74559" w:rsidRPr="00A06A42">
        <w:t xml:space="preserve">'s </w:t>
      </w:r>
      <w:r w:rsidR="00D74559">
        <w:t>Electronic Calendar</w:t>
      </w:r>
    </w:p>
    <w:p w14:paraId="185681D2" w14:textId="5EFD6A6D" w:rsidR="00BA7889" w:rsidRDefault="00BA7889" w:rsidP="004E120D">
      <w:pPr>
        <w:pStyle w:val="BulletLevel1"/>
      </w:pPr>
      <w:r>
        <w:t xml:space="preserve">schedules a compulsory Activity in </w:t>
      </w:r>
      <w:r w:rsidRPr="00A06A42">
        <w:t xml:space="preserve">the </w:t>
      </w:r>
      <w:r>
        <w:t>Participant</w:t>
      </w:r>
      <w:r w:rsidRPr="00A06A42">
        <w:t xml:space="preserve">'s </w:t>
      </w:r>
      <w:r>
        <w:t>Electronic Calendar</w:t>
      </w:r>
    </w:p>
    <w:p w14:paraId="5265DE78" w14:textId="1CB753E7" w:rsidR="00BA7889" w:rsidRPr="00A06A42" w:rsidRDefault="00BA7889" w:rsidP="004E120D">
      <w:pPr>
        <w:pStyle w:val="BulletLevel1"/>
      </w:pPr>
      <w:r>
        <w:t xml:space="preserve">schedules a Job Interview in </w:t>
      </w:r>
      <w:r w:rsidRPr="00A06A42">
        <w:t xml:space="preserve">the </w:t>
      </w:r>
      <w:r>
        <w:t>Participant</w:t>
      </w:r>
      <w:r w:rsidRPr="00A06A42">
        <w:t xml:space="preserve">'s </w:t>
      </w:r>
      <w:r>
        <w:t>Electronic Calendar</w:t>
      </w:r>
    </w:p>
    <w:p w14:paraId="03480198" w14:textId="3D37F710" w:rsidR="00D74559" w:rsidRPr="00A06A42" w:rsidRDefault="00D74559" w:rsidP="004E120D">
      <w:pPr>
        <w:pStyle w:val="BulletLevel1"/>
      </w:pPr>
      <w:r w:rsidRPr="00A06A42">
        <w:t xml:space="preserve">negotiates a Job Plan with the </w:t>
      </w:r>
      <w:r>
        <w:t>Participant</w:t>
      </w:r>
      <w:r w:rsidRPr="00A06A42">
        <w:t>, and</w:t>
      </w:r>
    </w:p>
    <w:p w14:paraId="7C71CF13" w14:textId="77777777" w:rsidR="00D74559" w:rsidRPr="00A06A42" w:rsidRDefault="00D74559" w:rsidP="004E120D">
      <w:pPr>
        <w:pStyle w:val="BulletLevel1"/>
      </w:pPr>
      <w:r w:rsidRPr="00A06A42">
        <w:t>creates a Job Referral or Job Opportunity task.</w:t>
      </w:r>
    </w:p>
    <w:p w14:paraId="35220836" w14:textId="06D9BCA1" w:rsidR="00D74559" w:rsidRPr="00B84B59" w:rsidRDefault="00D74559" w:rsidP="0079424A">
      <w:pPr>
        <w:pStyle w:val="DocumentaryEvidenceRequirement"/>
      </w:pPr>
      <w:r w:rsidRPr="00B84B59">
        <w:t>Evidence of any manual notification must be retained as it may be required as Documentary Evidence if there is an instance of non-compliance.</w:t>
      </w:r>
    </w:p>
    <w:p w14:paraId="75A1D735" w14:textId="6FA92E37" w:rsidR="00D74559" w:rsidRPr="003E77F4" w:rsidRDefault="00D74559" w:rsidP="006E2EF5">
      <w:pPr>
        <w:tabs>
          <w:tab w:val="right" w:pos="1701"/>
        </w:tabs>
        <w:spacing w:after="120"/>
        <w:rPr>
          <w:lang w:val="en-GB"/>
        </w:rPr>
      </w:pPr>
      <w:r w:rsidRPr="48661572">
        <w:rPr>
          <w:lang w:val="en-GB"/>
        </w:rPr>
        <w:t>Notifications generally include:</w:t>
      </w:r>
    </w:p>
    <w:p w14:paraId="5CC9F30E" w14:textId="0D581DA0" w:rsidR="00D74559" w:rsidRDefault="00D74559" w:rsidP="004E120D">
      <w:pPr>
        <w:pStyle w:val="BulletLevel1"/>
        <w:rPr>
          <w:lang w:val="en-GB"/>
        </w:rPr>
      </w:pPr>
      <w:r w:rsidRPr="48661572">
        <w:rPr>
          <w:lang w:val="en-GB"/>
        </w:rPr>
        <w:t xml:space="preserve">the reason for </w:t>
      </w:r>
      <w:r w:rsidR="002C3808">
        <w:rPr>
          <w:lang w:val="en-GB"/>
        </w:rPr>
        <w:t>any</w:t>
      </w:r>
      <w:r w:rsidRPr="48661572">
        <w:rPr>
          <w:lang w:val="en-GB"/>
        </w:rPr>
        <w:t xml:space="preserve"> Appointment, if </w:t>
      </w:r>
      <w:r w:rsidR="002C3808">
        <w:rPr>
          <w:lang w:val="en-GB"/>
        </w:rPr>
        <w:t>sent in relation to</w:t>
      </w:r>
      <w:r w:rsidRPr="48661572">
        <w:rPr>
          <w:lang w:val="en-GB"/>
        </w:rPr>
        <w:t xml:space="preserve"> an Appointment</w:t>
      </w:r>
    </w:p>
    <w:p w14:paraId="4A7E4204" w14:textId="266773F4" w:rsidR="00D74559" w:rsidRPr="00BC6300" w:rsidRDefault="00A47DDC" w:rsidP="004E120D">
      <w:pPr>
        <w:pStyle w:val="BulletLevel1"/>
      </w:pPr>
      <w:r>
        <w:t>if</w:t>
      </w:r>
      <w:r w:rsidR="00D74559" w:rsidRPr="00BC6300">
        <w:t xml:space="preserve"> the </w:t>
      </w:r>
      <w:r w:rsidR="00444E3A">
        <w:t>task or activity</w:t>
      </w:r>
      <w:r w:rsidR="00D74559" w:rsidRPr="00BC6300">
        <w:t xml:space="preserve"> is for the purpose of </w:t>
      </w:r>
      <w:r w:rsidR="00F47A4B">
        <w:t xml:space="preserve">a </w:t>
      </w:r>
      <w:r w:rsidR="00D74559">
        <w:t>R</w:t>
      </w:r>
      <w:r w:rsidR="00D74559" w:rsidRPr="00BC6300">
        <w:t xml:space="preserve">e-engagement </w:t>
      </w:r>
      <w:r w:rsidR="00F47A4B">
        <w:t>Requirement</w:t>
      </w:r>
    </w:p>
    <w:p w14:paraId="68B77CCD" w14:textId="100C38C6" w:rsidR="00D74559" w:rsidRPr="00BC6300" w:rsidRDefault="00D74559" w:rsidP="004E120D">
      <w:pPr>
        <w:pStyle w:val="BulletLevel1"/>
      </w:pPr>
      <w:r>
        <w:t xml:space="preserve">the </w:t>
      </w:r>
      <w:r w:rsidRPr="00BC6300">
        <w:t>date and start time</w:t>
      </w:r>
      <w:r w:rsidR="00444E3A">
        <w:t xml:space="preserve"> </w:t>
      </w:r>
      <w:r w:rsidR="000C2E18">
        <w:t xml:space="preserve">an Appointment, Activity or Job Interview has been </w:t>
      </w:r>
      <w:r w:rsidR="00A279C0">
        <w:t>scheduled in the Participant’s Electronic Calendar</w:t>
      </w:r>
    </w:p>
    <w:p w14:paraId="623BAD25" w14:textId="2A743212" w:rsidR="00D74559" w:rsidRDefault="00D74559" w:rsidP="004E120D">
      <w:pPr>
        <w:pStyle w:val="BulletLevel1"/>
        <w:rPr>
          <w:lang w:val="en-GB"/>
        </w:rPr>
      </w:pPr>
      <w:r w:rsidRPr="48661572">
        <w:rPr>
          <w:lang w:val="en-GB"/>
        </w:rPr>
        <w:t>the location or address</w:t>
      </w:r>
      <w:r>
        <w:t xml:space="preserve"> of the </w:t>
      </w:r>
      <w:r w:rsidR="0062665A">
        <w:t>Appointment, Activity or Job Interview</w:t>
      </w:r>
      <w:r w:rsidRPr="48661572">
        <w:rPr>
          <w:lang w:val="en-GB"/>
        </w:rPr>
        <w:t>, if the format is face-to-face</w:t>
      </w:r>
    </w:p>
    <w:p w14:paraId="266E5B21" w14:textId="294AAB9A" w:rsidR="00D74559" w:rsidRPr="00BC6300" w:rsidRDefault="00D74559" w:rsidP="004E120D">
      <w:pPr>
        <w:pStyle w:val="BulletLevel1"/>
        <w:rPr>
          <w:lang w:val="en-GB"/>
        </w:rPr>
      </w:pPr>
      <w:r w:rsidRPr="48661572">
        <w:rPr>
          <w:lang w:val="en-GB"/>
        </w:rPr>
        <w:t>the dial in or dial out details</w:t>
      </w:r>
      <w:r w:rsidR="0062665A">
        <w:rPr>
          <w:lang w:val="en-GB"/>
        </w:rPr>
        <w:t xml:space="preserve"> for </w:t>
      </w:r>
      <w:r w:rsidR="0062665A">
        <w:t>the Appointment, Activity or Job Interview</w:t>
      </w:r>
      <w:r w:rsidRPr="48661572">
        <w:rPr>
          <w:lang w:val="en-GB"/>
        </w:rPr>
        <w:t xml:space="preserve">, if the format is via </w:t>
      </w:r>
      <w:r w:rsidR="00643636">
        <w:rPr>
          <w:lang w:val="en-GB"/>
        </w:rPr>
        <w:t xml:space="preserve">a </w:t>
      </w:r>
      <w:r w:rsidR="00D9789A">
        <w:rPr>
          <w:lang w:val="en-GB"/>
        </w:rPr>
        <w:t>phone</w:t>
      </w:r>
      <w:r w:rsidRPr="48661572">
        <w:rPr>
          <w:lang w:val="en-GB"/>
        </w:rPr>
        <w:t xml:space="preserve"> </w:t>
      </w:r>
      <w:r w:rsidR="00643636">
        <w:rPr>
          <w:lang w:val="en-GB"/>
        </w:rPr>
        <w:t xml:space="preserve">call </w:t>
      </w:r>
      <w:r w:rsidRPr="48661572">
        <w:rPr>
          <w:lang w:val="en-GB"/>
        </w:rPr>
        <w:t>or videoconference</w:t>
      </w:r>
    </w:p>
    <w:p w14:paraId="72AAD009" w14:textId="64D31BDA" w:rsidR="00D74559" w:rsidRPr="00BC6300" w:rsidDel="005A7E87" w:rsidRDefault="00A47DDC" w:rsidP="004E120D">
      <w:pPr>
        <w:pStyle w:val="BulletLevel1"/>
      </w:pPr>
      <w:r>
        <w:t>if</w:t>
      </w:r>
      <w:r w:rsidR="00D74559">
        <w:t xml:space="preserve"> the Participant must record their own attendance, and, if so, details of when they need to record their attendance</w:t>
      </w:r>
    </w:p>
    <w:p w14:paraId="0A0B3368" w14:textId="094584B1" w:rsidR="00955730" w:rsidRPr="00BC6300" w:rsidDel="005A7E87" w:rsidRDefault="009C55CF" w:rsidP="004E120D">
      <w:pPr>
        <w:pStyle w:val="BulletLevel1"/>
      </w:pPr>
      <w:r>
        <w:t xml:space="preserve">details of </w:t>
      </w:r>
      <w:r w:rsidR="00DB7CBD">
        <w:t>a</w:t>
      </w:r>
      <w:r>
        <w:t xml:space="preserve"> Job Referral or Job Opportunity</w:t>
      </w:r>
      <w:r w:rsidR="00DB7CBD">
        <w:t xml:space="preserve"> task</w:t>
      </w:r>
    </w:p>
    <w:p w14:paraId="1DFBDB50" w14:textId="60E7120C" w:rsidR="00D74559" w:rsidRPr="00BC6300" w:rsidDel="005A7E87" w:rsidRDefault="00D74559" w:rsidP="004E120D">
      <w:pPr>
        <w:pStyle w:val="BulletLevel1"/>
      </w:pPr>
      <w:r>
        <w:t>any evidence the Participant needs to show to confirm their participation</w:t>
      </w:r>
    </w:p>
    <w:p w14:paraId="62195138" w14:textId="448FE1C2" w:rsidR="00D74559" w:rsidRDefault="00D74559" w:rsidP="004E120D">
      <w:pPr>
        <w:pStyle w:val="BulletLevel1"/>
      </w:pPr>
      <w:r w:rsidRPr="00C67FF2">
        <w:t xml:space="preserve">advice that the </w:t>
      </w:r>
      <w:r>
        <w:t>Participant</w:t>
      </w:r>
      <w:r w:rsidRPr="00C67FF2">
        <w:t xml:space="preserve"> must contact their </w:t>
      </w:r>
      <w:r>
        <w:t>Provider</w:t>
      </w:r>
      <w:r w:rsidRPr="00C67FF2">
        <w:t>, if they become aware of an</w:t>
      </w:r>
      <w:r>
        <w:t>y</w:t>
      </w:r>
      <w:r w:rsidRPr="00C67FF2">
        <w:t xml:space="preserve"> reason </w:t>
      </w:r>
      <w:r>
        <w:t xml:space="preserve">that would </w:t>
      </w:r>
      <w:r w:rsidRPr="00C67FF2">
        <w:t xml:space="preserve">prevent them from </w:t>
      </w:r>
      <w:r w:rsidR="00C2542D">
        <w:t>doing the task or activity</w:t>
      </w:r>
    </w:p>
    <w:p w14:paraId="004DC44A" w14:textId="48C5723C" w:rsidR="00D74559" w:rsidRPr="00C67FF2" w:rsidRDefault="00D74559" w:rsidP="004E120D">
      <w:pPr>
        <w:pStyle w:val="BulletLevel1"/>
      </w:pPr>
      <w:r w:rsidRPr="202AFE3D">
        <w:t xml:space="preserve">advice that the Participant must contact their Provider if they fail to complete the </w:t>
      </w:r>
      <w:r w:rsidR="00C2542D">
        <w:t>task or activity</w:t>
      </w:r>
      <w:r w:rsidRPr="202AFE3D">
        <w:t>, to inform the Provider of the reason why they could not attend</w:t>
      </w:r>
    </w:p>
    <w:p w14:paraId="426FF06C" w14:textId="77777777" w:rsidR="00D74559" w:rsidRPr="00BC6300" w:rsidRDefault="00D74559" w:rsidP="004E120D">
      <w:pPr>
        <w:pStyle w:val="BulletLevel1"/>
        <w:rPr>
          <w:lang w:val="en-GB"/>
        </w:rPr>
      </w:pPr>
      <w:r w:rsidRPr="48661572">
        <w:rPr>
          <w:lang w:val="en-GB"/>
        </w:rPr>
        <w:t>advice about possible consequences for Participants if they do not meet their requirement</w:t>
      </w:r>
    </w:p>
    <w:p w14:paraId="5B673926" w14:textId="77777777" w:rsidR="00D74559" w:rsidRDefault="00D74559" w:rsidP="004E120D">
      <w:pPr>
        <w:pStyle w:val="BulletLevel1"/>
      </w:pPr>
      <w:r w:rsidRPr="00BC6300">
        <w:t xml:space="preserve">advice that </w:t>
      </w:r>
      <w:r>
        <w:t>the Participant</w:t>
      </w:r>
      <w:r w:rsidRPr="00BC6300">
        <w:t xml:space="preserve"> must complete </w:t>
      </w:r>
      <w:r>
        <w:t>the requirement</w:t>
      </w:r>
      <w:r w:rsidRPr="00BC6300">
        <w:t xml:space="preserve"> in return for </w:t>
      </w:r>
      <w:r>
        <w:t>I</w:t>
      </w:r>
      <w:r w:rsidRPr="00BC6300">
        <w:t xml:space="preserve">ncome </w:t>
      </w:r>
      <w:r>
        <w:t>S</w:t>
      </w:r>
      <w:r w:rsidRPr="00BC6300">
        <w:t xml:space="preserve">upport </w:t>
      </w:r>
      <w:r>
        <w:t>P</w:t>
      </w:r>
      <w:r w:rsidRPr="00BC6300">
        <w:t>ayments</w:t>
      </w:r>
      <w:r>
        <w:t>, and</w:t>
      </w:r>
    </w:p>
    <w:p w14:paraId="22084DD5" w14:textId="77777777" w:rsidR="00D74559" w:rsidRPr="00BC6300" w:rsidRDefault="00D74559" w:rsidP="004E120D">
      <w:pPr>
        <w:pStyle w:val="BulletLevel1"/>
      </w:pPr>
      <w:r>
        <w:t xml:space="preserve">if a formal notification, must include </w:t>
      </w:r>
      <w:r w:rsidRPr="00BC6300">
        <w:t xml:space="preserve">a statement that the notification </w:t>
      </w:r>
      <w:r>
        <w:t>is</w:t>
      </w:r>
      <w:r w:rsidRPr="00BC6300">
        <w:t xml:space="preserve"> a notice under Social Security </w:t>
      </w:r>
      <w:r>
        <w:t>L</w:t>
      </w:r>
      <w:r w:rsidRPr="00BC6300">
        <w:t>aw</w:t>
      </w:r>
      <w:r>
        <w:t>.</w:t>
      </w:r>
    </w:p>
    <w:p w14:paraId="339EB4DA" w14:textId="337C8C88" w:rsidR="00D74559" w:rsidRPr="00B56C86" w:rsidRDefault="00D74559" w:rsidP="003D2F2A">
      <w:pPr>
        <w:keepNext/>
        <w:tabs>
          <w:tab w:val="right" w:pos="1701"/>
        </w:tabs>
        <w:spacing w:after="120"/>
        <w:rPr>
          <w:lang w:val="en-GB"/>
        </w:rPr>
      </w:pPr>
      <w:r w:rsidRPr="48661572">
        <w:rPr>
          <w:lang w:val="en-GB"/>
        </w:rPr>
        <w:t xml:space="preserve">For formal notifications, the Provider must issue the notification within an appropriate timeframe before the requirement is </w:t>
      </w:r>
      <w:r w:rsidR="00573FA6">
        <w:rPr>
          <w:lang w:val="en-GB"/>
        </w:rPr>
        <w:t>schedule</w:t>
      </w:r>
      <w:r w:rsidRPr="48661572">
        <w:rPr>
          <w:lang w:val="en-GB"/>
        </w:rPr>
        <w:t xml:space="preserve">d to occur. If reasonable notice timeframes are not met, the Participant’s Electronic Calendar will not allow the requirement to be booked, unless the Provider is in direct contact with the Participant and records in the Department’s IT </w:t>
      </w:r>
      <w:r w:rsidRPr="1FF5C044">
        <w:rPr>
          <w:lang w:val="en-GB"/>
        </w:rPr>
        <w:t>System</w:t>
      </w:r>
      <w:r w:rsidR="35D8CBE3" w:rsidRPr="1FF5C044">
        <w:rPr>
          <w:lang w:val="en-GB"/>
        </w:rPr>
        <w:t>s</w:t>
      </w:r>
      <w:r w:rsidRPr="48661572">
        <w:rPr>
          <w:lang w:val="en-GB"/>
        </w:rPr>
        <w:t xml:space="preserve"> the Participant has agreed to meet this requirement.</w:t>
      </w:r>
    </w:p>
    <w:p w14:paraId="6A8CEC2E" w14:textId="77777777" w:rsidR="00D74559" w:rsidRPr="00DA0315" w:rsidRDefault="00D74559" w:rsidP="006E2EF5">
      <w:pPr>
        <w:rPr>
          <w:rFonts w:cstheme="minorHAnsi"/>
        </w:rPr>
      </w:pPr>
      <w:r>
        <w:rPr>
          <w:rFonts w:cstheme="minorHAnsi"/>
        </w:rPr>
        <w:t>Where a Participant has an authorised correspondence nominee, the nominee will receive copies of all notifications sent from the Provider to the Participant.</w:t>
      </w:r>
    </w:p>
    <w:p w14:paraId="3B4D8A83" w14:textId="4D06133C" w:rsidR="00D74559" w:rsidRDefault="00D74559" w:rsidP="001D0F92">
      <w:pPr>
        <w:pStyle w:val="Heading4"/>
      </w:pPr>
      <w:bookmarkStart w:id="209" w:name="_Ref202784778"/>
      <w:bookmarkStart w:id="210" w:name="_Toc202899959"/>
      <w:r w:rsidRPr="652192F6">
        <w:t>5.3.</w:t>
      </w:r>
      <w:r w:rsidR="006C4DBB">
        <w:t>3</w:t>
      </w:r>
      <w:r w:rsidR="00246323">
        <w:tab/>
      </w:r>
      <w:r w:rsidRPr="652192F6">
        <w:t>Capturing Personal Events</w:t>
      </w:r>
      <w:bookmarkEnd w:id="209"/>
      <w:bookmarkEnd w:id="210"/>
    </w:p>
    <w:p w14:paraId="28C7895A" w14:textId="041E9DCD" w:rsidR="00D74559" w:rsidRDefault="00D74559" w:rsidP="006E2EF5">
      <w:r>
        <w:t>Personal Events are a way of communicating a period when a Participant has a personal commitment which could prevent them from attending a compulsory requirement. Personal Events can be created for anytime between 6</w:t>
      </w:r>
      <w:r w:rsidR="001A25DE">
        <w:t>:00</w:t>
      </w:r>
      <w:r>
        <w:t xml:space="preserve"> am and 9</w:t>
      </w:r>
      <w:r w:rsidR="001A25DE">
        <w:t>:00</w:t>
      </w:r>
      <w:r>
        <w:t xml:space="preserve"> pm, and can be booked recurringly, up to </w:t>
      </w:r>
      <w:r w:rsidR="000A41CF">
        <w:t>8</w:t>
      </w:r>
      <w:r>
        <w:t xml:space="preserve"> weeks in advance.</w:t>
      </w:r>
    </w:p>
    <w:p w14:paraId="09ECF94C" w14:textId="77777777" w:rsidR="00D74559" w:rsidRDefault="00D74559" w:rsidP="006E2EF5">
      <w:r>
        <w:t xml:space="preserve">A Participant can create their own Personal Events in their Electronic Calendar, where a Mutual Obligation Requirement is not already </w:t>
      </w:r>
      <w:r w:rsidR="00573FA6">
        <w:t>schedule</w:t>
      </w:r>
      <w:r>
        <w:t>d for that time. Providers must encourage Participants to create relevant Personal Events in their Electronic Calendar while receiving Pre-Employment Support and must help to do this when necessary.</w:t>
      </w:r>
    </w:p>
    <w:p w14:paraId="6324838B" w14:textId="77777777" w:rsidR="00D74559" w:rsidRDefault="00D74559" w:rsidP="006E2EF5">
      <w:r>
        <w:t xml:space="preserve">Providers may also create Personal Events on behalf of a Participant. Providers must create Personal Events to </w:t>
      </w:r>
      <w:r w:rsidR="00573FA6">
        <w:t>schedule</w:t>
      </w:r>
      <w:r>
        <w:t xml:space="preserve"> regular hours of paid work if the Participant does not do so.</w:t>
      </w:r>
    </w:p>
    <w:p w14:paraId="0AD74869" w14:textId="2716FCAB" w:rsidR="00D74559" w:rsidRDefault="00D74559" w:rsidP="006E2EF5">
      <w:r>
        <w:t xml:space="preserve">If a Participant is receiving Post Placement Support or Ongoing Support and the Participant’s Personal Events would create a conflict with the Provider’s business hours, the Provider may speak to the Participant to negotiate a suitable, reoccurring day during the week where the Provider would organise Contacts with the Participant either at or near their place of Employment. The Participant would not capture their paid work as a </w:t>
      </w:r>
      <w:r w:rsidR="003C08AA">
        <w:t>P</w:t>
      </w:r>
      <w:r>
        <w:t xml:space="preserve">ersonal </w:t>
      </w:r>
      <w:r w:rsidR="003C08AA">
        <w:t>E</w:t>
      </w:r>
      <w:r>
        <w:t>vent for this time.</w:t>
      </w:r>
    </w:p>
    <w:p w14:paraId="0001A09E" w14:textId="14C5F43C" w:rsidR="00D74559" w:rsidRDefault="00D74559" w:rsidP="006E2EF5">
      <w:r>
        <w:t xml:space="preserve">Providers must regularly review Personal Events added by Participants, including information from the Participant about the personal commitment, and must decide whether </w:t>
      </w:r>
      <w:r w:rsidR="008224B5">
        <w:t xml:space="preserve">or not </w:t>
      </w:r>
      <w:r>
        <w:t>to confirm the Personal Event. The Provider must consider the nature of the Personal Event, the Participant’s personal situation and the current phase or service offer they are receiving.</w:t>
      </w:r>
    </w:p>
    <w:p w14:paraId="597B70EA" w14:textId="67890F4B" w:rsidR="00D74559" w:rsidRPr="00002B37" w:rsidRDefault="00D74559" w:rsidP="006E2EF5">
      <w:r w:rsidRPr="00002B37">
        <w:t xml:space="preserve">It is best practice to incorporate </w:t>
      </w:r>
      <w:r w:rsidR="00A85B92">
        <w:t xml:space="preserve">a </w:t>
      </w:r>
      <w:r w:rsidRPr="00002B37">
        <w:t xml:space="preserve">review of </w:t>
      </w:r>
      <w:r>
        <w:t>Personal Event</w:t>
      </w:r>
      <w:r w:rsidRPr="00002B37">
        <w:t xml:space="preserve">s into regular </w:t>
      </w:r>
      <w:r>
        <w:t>C</w:t>
      </w:r>
      <w:r w:rsidRPr="00002B37">
        <w:t xml:space="preserve">ontacts with the </w:t>
      </w:r>
      <w:r>
        <w:t>Participant</w:t>
      </w:r>
      <w:r w:rsidRPr="00002B37">
        <w:t>.</w:t>
      </w:r>
    </w:p>
    <w:p w14:paraId="6FA79E98" w14:textId="77777777" w:rsidR="00D74559" w:rsidRDefault="00D74559" w:rsidP="006E2EF5">
      <w:r>
        <w:t>If a Provider confirms a Personal Event, the Provider must:</w:t>
      </w:r>
    </w:p>
    <w:p w14:paraId="0C7C0FE7" w14:textId="0EB86173" w:rsidR="00D74559" w:rsidRDefault="00D74559" w:rsidP="004E120D">
      <w:pPr>
        <w:pStyle w:val="BulletLevel1"/>
      </w:pPr>
      <w:r>
        <w:t xml:space="preserve">advise the Participant that compulsory requirements may still be </w:t>
      </w:r>
      <w:r w:rsidR="00573FA6">
        <w:t>schedule</w:t>
      </w:r>
      <w:r>
        <w:t xml:space="preserve">d for that time, unless the Personal Event is paid </w:t>
      </w:r>
      <w:r w:rsidR="000B0EAB">
        <w:t>Employment</w:t>
      </w:r>
      <w:r>
        <w:t>, but</w:t>
      </w:r>
    </w:p>
    <w:p w14:paraId="0E7ACCF0" w14:textId="77777777" w:rsidR="00D74559" w:rsidRDefault="00D74559" w:rsidP="004E120D">
      <w:pPr>
        <w:pStyle w:val="BulletLevel1"/>
      </w:pPr>
      <w:r>
        <w:t xml:space="preserve">not </w:t>
      </w:r>
      <w:r w:rsidR="00573FA6">
        <w:t>schedule</w:t>
      </w:r>
      <w:r>
        <w:t xml:space="preserve"> any compulsory requirements that conflicts with the confirmed event unless they first discuss the clash with the Participant.</w:t>
      </w:r>
    </w:p>
    <w:p w14:paraId="1814D99F" w14:textId="77777777" w:rsidR="00D74559" w:rsidRDefault="00D74559" w:rsidP="006E2EF5">
      <w:pPr>
        <w:tabs>
          <w:tab w:val="right" w:pos="1701"/>
        </w:tabs>
        <w:spacing w:after="120"/>
        <w:rPr>
          <w:rFonts w:cstheme="minorHAnsi"/>
        </w:rPr>
      </w:pPr>
      <w:r>
        <w:rPr>
          <w:rFonts w:cstheme="minorHAnsi"/>
        </w:rPr>
        <w:t>If a Provider leaves a Personal Event unconfirmed, the Provider must contact the Participant to:</w:t>
      </w:r>
    </w:p>
    <w:p w14:paraId="72ED78B5" w14:textId="77777777" w:rsidR="00D74559" w:rsidRDefault="00D74559" w:rsidP="004E120D">
      <w:pPr>
        <w:pStyle w:val="BulletLevel1"/>
      </w:pPr>
      <w:r>
        <w:t>advise the Participant that the Personal Event has not been confirmed</w:t>
      </w:r>
    </w:p>
    <w:p w14:paraId="1B3CB0B1" w14:textId="77777777" w:rsidR="00D74559" w:rsidRDefault="00D74559" w:rsidP="004E120D">
      <w:pPr>
        <w:pStyle w:val="BulletLevel1"/>
      </w:pPr>
      <w:r>
        <w:t>advise the Participant about what is needed to change the Personal Event to confirmed, and</w:t>
      </w:r>
    </w:p>
    <w:p w14:paraId="02533060" w14:textId="77777777" w:rsidR="00D74559" w:rsidRDefault="00D74559" w:rsidP="004E120D">
      <w:pPr>
        <w:pStyle w:val="BulletLevel1"/>
      </w:pPr>
      <w:r>
        <w:t>request more information about the Personal Event, if needed.</w:t>
      </w:r>
    </w:p>
    <w:p w14:paraId="4C737D95" w14:textId="77B48710" w:rsidR="00D74559" w:rsidRDefault="00D74559" w:rsidP="006E2EF5">
      <w:pPr>
        <w:tabs>
          <w:tab w:val="right" w:pos="1701"/>
        </w:tabs>
        <w:spacing w:after="120"/>
        <w:rPr>
          <w:rFonts w:cstheme="minorHAnsi"/>
        </w:rPr>
      </w:pPr>
      <w:r>
        <w:rPr>
          <w:rFonts w:cstheme="minorHAnsi"/>
        </w:rPr>
        <w:t xml:space="preserve">A confirmed Personal Event is considered prior notice that the Participant is unable to attend a requirement at that time. A Provider must not book a conflicting requirement at that time unless </w:t>
      </w:r>
      <w:r w:rsidR="001F5442">
        <w:rPr>
          <w:rFonts w:cstheme="minorHAnsi"/>
        </w:rPr>
        <w:t>the Provider</w:t>
      </w:r>
      <w:r>
        <w:rPr>
          <w:rFonts w:cstheme="minorHAnsi"/>
        </w:rPr>
        <w:t>:</w:t>
      </w:r>
    </w:p>
    <w:p w14:paraId="05A5AB81" w14:textId="78062556" w:rsidR="00D74559" w:rsidRDefault="00D74559" w:rsidP="004E120D">
      <w:pPr>
        <w:pStyle w:val="BulletLevel1"/>
      </w:pPr>
      <w:r>
        <w:t>contact</w:t>
      </w:r>
      <w:r w:rsidR="00145DFA">
        <w:t>s</w:t>
      </w:r>
      <w:r>
        <w:t xml:space="preserve"> the Participant to explain why the </w:t>
      </w:r>
      <w:r w:rsidR="00F27755">
        <w:t>requirement</w:t>
      </w:r>
      <w:r>
        <w:t xml:space="preserve"> is necessary and to check that the Participant can make alternative arrangements for the Personal Event</w:t>
      </w:r>
    </w:p>
    <w:p w14:paraId="3FB12D55" w14:textId="3A85BA77" w:rsidR="00D74559" w:rsidRDefault="00D74559" w:rsidP="004E120D">
      <w:pPr>
        <w:pStyle w:val="BulletLevel1"/>
      </w:pPr>
      <w:r>
        <w:t xml:space="preserve">enters a justification for setting the conflicting requirement, as a </w:t>
      </w:r>
      <w:r w:rsidR="009E6D17">
        <w:t>c</w:t>
      </w:r>
      <w:r>
        <w:t xml:space="preserve">omment </w:t>
      </w:r>
      <w:r w:rsidR="009E6D17">
        <w:t>in</w:t>
      </w:r>
      <w:r w:rsidR="00F16D12">
        <w:t xml:space="preserve"> the Participant’s Summary on</w:t>
      </w:r>
      <w:r>
        <w:t xml:space="preserve"> </w:t>
      </w:r>
      <w:r w:rsidR="00EC5A25">
        <w:t xml:space="preserve">the </w:t>
      </w:r>
      <w:r>
        <w:t>Department’s IT Systems, and</w:t>
      </w:r>
    </w:p>
    <w:p w14:paraId="0B24FBEF" w14:textId="7E8DAFB7" w:rsidR="00D74559" w:rsidRDefault="00D74559" w:rsidP="004E120D">
      <w:pPr>
        <w:pStyle w:val="BulletLevel1"/>
      </w:pPr>
      <w:r>
        <w:t>formally notifies the Participant in advance of the requirement.</w:t>
      </w:r>
    </w:p>
    <w:p w14:paraId="117C4690" w14:textId="7FC190ED" w:rsidR="0054367D" w:rsidRDefault="00784B92" w:rsidP="00784B92">
      <w:pPr>
        <w:pStyle w:val="Heading3"/>
      </w:pPr>
      <w:bookmarkStart w:id="211" w:name="_Ref202796890"/>
      <w:bookmarkStart w:id="212" w:name="_Ref202875842"/>
      <w:bookmarkStart w:id="213" w:name="_Toc202899960"/>
      <w:r>
        <w:t>5.</w:t>
      </w:r>
      <w:r w:rsidR="0054367D" w:rsidRPr="72B4EEE6">
        <w:t>4</w:t>
      </w:r>
      <w:r w:rsidR="0054367D">
        <w:tab/>
      </w:r>
      <w:r w:rsidR="0054367D" w:rsidRPr="72B4EEE6">
        <w:t>Capability Management Tool</w:t>
      </w:r>
      <w:bookmarkEnd w:id="211"/>
      <w:bookmarkEnd w:id="212"/>
      <w:bookmarkEnd w:id="213"/>
    </w:p>
    <w:p w14:paraId="67ABCF7D" w14:textId="637100C3" w:rsidR="0054367D" w:rsidRDefault="0054367D" w:rsidP="0054367D">
      <w:r w:rsidRPr="2190AEAE">
        <w:t xml:space="preserve">The Capability Management Tool available via the Job Plan </w:t>
      </w:r>
      <w:r>
        <w:t>screen</w:t>
      </w:r>
      <w:r w:rsidRPr="2190AEAE">
        <w:t xml:space="preserve"> in the Department’s IT </w:t>
      </w:r>
      <w:r>
        <w:t>Systems</w:t>
      </w:r>
      <w:r w:rsidRPr="2190AEAE">
        <w:t xml:space="preserve"> is a supporting tool for Providers. The Capability Management Tool combines information collected from ESAts</w:t>
      </w:r>
      <w:r>
        <w:t xml:space="preserve">, </w:t>
      </w:r>
      <w:r w:rsidRPr="2190AEAE">
        <w:t>any Capability Interviews and/or Capability Assessments</w:t>
      </w:r>
      <w:r>
        <w:t>, and self-reported barriers entered by the Participants via Workforce Australia Online for Individuals</w:t>
      </w:r>
      <w:r w:rsidRPr="2190AEAE">
        <w:t>.</w:t>
      </w:r>
    </w:p>
    <w:p w14:paraId="4543CBB2" w14:textId="2E41AC9A" w:rsidR="0054367D" w:rsidRPr="00CA05D3" w:rsidRDefault="003F1109" w:rsidP="0054367D">
      <w:r>
        <w:t>T</w:t>
      </w:r>
      <w:r w:rsidR="0054367D">
        <w:t>he tool allows a Provider to</w:t>
      </w:r>
      <w:r w:rsidR="0054367D" w:rsidRPr="2190AEAE">
        <w:t xml:space="preserve"> </w:t>
      </w:r>
      <w:r w:rsidR="0054367D">
        <w:t>identify</w:t>
      </w:r>
      <w:r w:rsidR="0054367D" w:rsidRPr="2190AEAE">
        <w:t xml:space="preserve"> a</w:t>
      </w:r>
      <w:r w:rsidR="0054367D">
        <w:t>ny</w:t>
      </w:r>
      <w:r w:rsidR="0054367D" w:rsidRPr="2190AEAE">
        <w:t xml:space="preserve"> personal circumstances that </w:t>
      </w:r>
      <w:r w:rsidR="0054367D">
        <w:t>could</w:t>
      </w:r>
      <w:r w:rsidR="0054367D" w:rsidRPr="2190AEAE">
        <w:t xml:space="preserve"> affect the Participant’s ability to meet their participation requirements and find </w:t>
      </w:r>
      <w:r w:rsidR="0054367D">
        <w:t>employment</w:t>
      </w:r>
      <w:r w:rsidR="0054367D" w:rsidRPr="2190AEAE">
        <w:t>.</w:t>
      </w:r>
    </w:p>
    <w:p w14:paraId="54EA4AF9" w14:textId="1727A5C6" w:rsidR="0054367D" w:rsidRPr="00CA05D3" w:rsidRDefault="0054367D" w:rsidP="0054367D">
      <w:pPr>
        <w:keepNext/>
      </w:pPr>
      <w:r w:rsidRPr="00CA05D3">
        <w:t xml:space="preserve">The </w:t>
      </w:r>
      <w:r>
        <w:t>Capability Management Tool</w:t>
      </w:r>
      <w:r w:rsidRPr="00CA05D3">
        <w:t xml:space="preserve"> can help Providers to:</w:t>
      </w:r>
    </w:p>
    <w:p w14:paraId="3B4B0E18" w14:textId="22213865" w:rsidR="0054367D" w:rsidRDefault="0054367D" w:rsidP="0054367D">
      <w:pPr>
        <w:pStyle w:val="BulletLevel1"/>
      </w:pPr>
      <w:r>
        <w:t xml:space="preserve">find current </w:t>
      </w:r>
      <w:r w:rsidRPr="4CC8BEF4">
        <w:t>vulnerabilities and barriers</w:t>
      </w:r>
      <w:r>
        <w:t xml:space="preserve"> </w:t>
      </w:r>
      <w:r w:rsidRPr="00CA05D3">
        <w:t xml:space="preserve">that may affect their </w:t>
      </w:r>
      <w:r>
        <w:t>ability</w:t>
      </w:r>
      <w:r w:rsidRPr="00CA05D3">
        <w:t xml:space="preserve"> to </w:t>
      </w:r>
      <w:r>
        <w:t xml:space="preserve">meet their participation requirements, including any </w:t>
      </w:r>
      <w:r w:rsidRPr="00CA05D3">
        <w:t xml:space="preserve">issues </w:t>
      </w:r>
      <w:r w:rsidR="00864A23">
        <w:t>self-</w:t>
      </w:r>
      <w:r w:rsidR="00CA596E">
        <w:t>identified</w:t>
      </w:r>
      <w:r w:rsidRPr="00CA05D3">
        <w:t xml:space="preserve"> by the Participant</w:t>
      </w:r>
    </w:p>
    <w:p w14:paraId="49688E2D" w14:textId="31E9BAD1" w:rsidR="0054367D" w:rsidRDefault="0054367D" w:rsidP="0054367D">
      <w:pPr>
        <w:pStyle w:val="BulletLevel1"/>
      </w:pPr>
      <w:r w:rsidRPr="2190AEAE">
        <w:t>find ESAt recommended Interventions, and</w:t>
      </w:r>
    </w:p>
    <w:p w14:paraId="4B233DEC" w14:textId="71BDCF34" w:rsidR="0054367D" w:rsidRDefault="0054367D" w:rsidP="0054367D">
      <w:pPr>
        <w:pStyle w:val="BulletLevel1"/>
      </w:pPr>
      <w:r>
        <w:t>find recommendations by Services Australia following a Capability Assessment to consider when updating the Participant’s Job Plan, where relevant.</w:t>
      </w:r>
    </w:p>
    <w:p w14:paraId="220B5DF4" w14:textId="7321FE46" w:rsidR="0054367D" w:rsidRDefault="0054367D" w:rsidP="0054367D">
      <w:r w:rsidRPr="000C1766">
        <w:t xml:space="preserve">The Provider should </w:t>
      </w:r>
      <w:r>
        <w:t xml:space="preserve">also </w:t>
      </w:r>
      <w:r w:rsidRPr="000C1766">
        <w:t xml:space="preserve">record any information </w:t>
      </w:r>
      <w:r>
        <w:t>about</w:t>
      </w:r>
      <w:r w:rsidRPr="000C1766">
        <w:t xml:space="preserve"> the Participant’s participation (or refusal to participate)</w:t>
      </w:r>
      <w:r>
        <w:t xml:space="preserve"> in Activities in the Capability</w:t>
      </w:r>
      <w:r w:rsidRPr="00CA05D3">
        <w:t xml:space="preserve"> Management Tool</w:t>
      </w:r>
      <w:r>
        <w:t>.</w:t>
      </w:r>
    </w:p>
    <w:p w14:paraId="29201D9A" w14:textId="33FDAA66" w:rsidR="0054367D" w:rsidRPr="009741D1" w:rsidRDefault="0054367D" w:rsidP="0054367D">
      <w:r>
        <w:t>If a Provider finds or becomes aware that a Participant’s ongoing ability to meet their requirements is affected by a drug or alcohol dependency, the Provider should seek to source, offer and arrange treatment services and record in the Capability Management Tool if:</w:t>
      </w:r>
    </w:p>
    <w:p w14:paraId="501C6D1E" w14:textId="07D82B6C" w:rsidR="0054367D" w:rsidRPr="00F84E89" w:rsidRDefault="0054367D" w:rsidP="0054367D">
      <w:pPr>
        <w:pStyle w:val="BulletLevel1"/>
      </w:pPr>
      <w:r>
        <w:t>the Participant has accepted and is currently participating in treatment or rehabilitation services</w:t>
      </w:r>
    </w:p>
    <w:p w14:paraId="6D92FF5F" w14:textId="4366E01A" w:rsidR="0054367D" w:rsidRPr="00F84E89" w:rsidRDefault="0054367D" w:rsidP="0054367D">
      <w:pPr>
        <w:pStyle w:val="BulletLevel1"/>
      </w:pPr>
      <w:r>
        <w:t xml:space="preserve">treatment or rehabilitation services are not available in the Participant’s area of residence </w:t>
      </w:r>
    </w:p>
    <w:p w14:paraId="3B5BD9CC" w14:textId="22B23C3A" w:rsidR="0054367D" w:rsidRPr="00F84E89" w:rsidRDefault="0054367D" w:rsidP="0054367D">
      <w:pPr>
        <w:pStyle w:val="BulletLevel1"/>
      </w:pPr>
      <w:r>
        <w:t>there is a waiting list to participate in treatment, or</w:t>
      </w:r>
    </w:p>
    <w:p w14:paraId="4DBF2B5E" w14:textId="56075765" w:rsidR="0054367D" w:rsidRPr="00AB79AD" w:rsidRDefault="0054367D" w:rsidP="0054367D">
      <w:pPr>
        <w:pStyle w:val="BulletLevel1"/>
        <w:rPr>
          <w:rFonts w:eastAsiaTheme="majorEastAsia"/>
        </w:rPr>
      </w:pPr>
      <w:r>
        <w:t>the Participant has refused to participate in treatment or rehabilitation.</w:t>
      </w:r>
    </w:p>
    <w:p w14:paraId="24E1C270" w14:textId="54C8893C" w:rsidR="00D74559" w:rsidRPr="008212EF" w:rsidRDefault="00D74559" w:rsidP="009B292C">
      <w:pPr>
        <w:pStyle w:val="Heading3"/>
        <w:rPr>
          <w:rStyle w:val="Heading2Char1"/>
          <w:rFonts w:asciiTheme="majorHAnsi" w:hAnsiTheme="majorHAnsi"/>
          <w:i w:val="0"/>
          <w:color w:val="005A70" w:themeColor="accent1"/>
          <w:sz w:val="32"/>
          <w:szCs w:val="24"/>
        </w:rPr>
      </w:pPr>
      <w:bookmarkStart w:id="214" w:name="_Ref202785974"/>
      <w:bookmarkStart w:id="215" w:name="_Toc202899961"/>
      <w:r w:rsidRPr="008212EF">
        <w:rPr>
          <w:rStyle w:val="Heading2Char1"/>
          <w:rFonts w:asciiTheme="majorHAnsi" w:hAnsiTheme="majorHAnsi"/>
          <w:i w:val="0"/>
          <w:color w:val="005A70" w:themeColor="accent1"/>
          <w:sz w:val="32"/>
          <w:szCs w:val="24"/>
        </w:rPr>
        <w:t>5.</w:t>
      </w:r>
      <w:r w:rsidR="00784B92" w:rsidRPr="009B292C">
        <w:t>5</w:t>
      </w:r>
      <w:r w:rsidR="00A85B92">
        <w:rPr>
          <w:rStyle w:val="Heading2Char1"/>
          <w:rFonts w:asciiTheme="majorHAnsi" w:hAnsiTheme="majorHAnsi"/>
          <w:i w:val="0"/>
          <w:color w:val="005A70" w:themeColor="accent1"/>
          <w:sz w:val="32"/>
          <w:szCs w:val="24"/>
        </w:rPr>
        <w:tab/>
      </w:r>
      <w:r w:rsidRPr="008212EF">
        <w:rPr>
          <w:rStyle w:val="Heading2Char1"/>
          <w:rFonts w:asciiTheme="majorHAnsi" w:hAnsiTheme="majorHAnsi"/>
          <w:i w:val="0"/>
          <w:color w:val="005A70" w:themeColor="accent1"/>
          <w:sz w:val="32"/>
          <w:szCs w:val="24"/>
        </w:rPr>
        <w:t>Meaningful Engagement Requirement</w:t>
      </w:r>
      <w:bookmarkEnd w:id="214"/>
      <w:bookmarkEnd w:id="215"/>
    </w:p>
    <w:p w14:paraId="3B3C5FB4" w14:textId="77777777" w:rsidR="00181572" w:rsidRDefault="00D74559" w:rsidP="00A85B92">
      <w:r w:rsidRPr="202AFE3D">
        <w:t xml:space="preserve">Participants (Mutual Obligation) and DSP Recipients (Compulsory Requirements) are able to meet their </w:t>
      </w:r>
      <w:r w:rsidR="00F51101">
        <w:t xml:space="preserve">participation </w:t>
      </w:r>
      <w:r w:rsidRPr="202AFE3D">
        <w:t>requirements through the Meaningful Engagement Requirement.</w:t>
      </w:r>
      <w:r w:rsidR="00181572">
        <w:t xml:space="preserve"> </w:t>
      </w:r>
    </w:p>
    <w:p w14:paraId="03ED0886" w14:textId="43669D4E" w:rsidR="00D74559" w:rsidRDefault="00181572" w:rsidP="00A85B92">
      <w:r>
        <w:t>Participants (Voluntary) are expected to engage in order to conti</w:t>
      </w:r>
      <w:r w:rsidR="008C2535">
        <w:t>nue to receive support</w:t>
      </w:r>
      <w:r w:rsidR="00572370">
        <w:t xml:space="preserve">, which is </w:t>
      </w:r>
      <w:r w:rsidR="007F4545">
        <w:t xml:space="preserve">also </w:t>
      </w:r>
      <w:r w:rsidR="00572370">
        <w:t>reflected through the Meaningful Engagement Requirement</w:t>
      </w:r>
      <w:r w:rsidR="00D77426">
        <w:t>.</w:t>
      </w:r>
    </w:p>
    <w:p w14:paraId="0B3BC3D8" w14:textId="6D497FD7" w:rsidR="00E74BA5" w:rsidRDefault="0017594A" w:rsidP="00E74BA5">
      <w:pPr>
        <w:tabs>
          <w:tab w:val="right" w:pos="1701"/>
        </w:tabs>
        <w:spacing w:after="120"/>
        <w:rPr>
          <w:rFonts w:cstheme="minorHAnsi"/>
        </w:rPr>
      </w:pPr>
      <w:r>
        <w:rPr>
          <w:rFonts w:cstheme="minorHAnsi"/>
        </w:rPr>
        <w:t>As noted in</w:t>
      </w:r>
      <w:r w:rsidR="00697373">
        <w:rPr>
          <w:rFonts w:cstheme="minorHAnsi"/>
        </w:rPr>
        <w:t xml:space="preserve"> </w:t>
      </w:r>
      <w:r w:rsidR="00697373">
        <w:rPr>
          <w:rFonts w:cstheme="minorHAnsi"/>
          <w:highlight w:val="yellow"/>
        </w:rPr>
        <w:fldChar w:fldCharType="begin"/>
      </w:r>
      <w:r w:rsidR="00697373">
        <w:rPr>
          <w:rFonts w:cstheme="minorHAnsi"/>
        </w:rPr>
        <w:instrText xml:space="preserve"> REF _Ref202784280 \h </w:instrText>
      </w:r>
      <w:r w:rsidR="00697373">
        <w:rPr>
          <w:rFonts w:cstheme="minorHAnsi"/>
          <w:highlight w:val="yellow"/>
        </w:rPr>
      </w:r>
      <w:r w:rsidR="00697373">
        <w:rPr>
          <w:rFonts w:cstheme="minorHAnsi"/>
          <w:highlight w:val="yellow"/>
        </w:rPr>
        <w:fldChar w:fldCharType="separate"/>
      </w:r>
      <w:r w:rsidR="000D75AE">
        <w:t>4.</w:t>
      </w:r>
      <w:r w:rsidR="000D75AE" w:rsidRPr="005753C1">
        <w:t>6</w:t>
      </w:r>
      <w:r w:rsidR="004572F7">
        <w:t xml:space="preserve"> </w:t>
      </w:r>
      <w:r w:rsidR="000D75AE">
        <w:t>Contents of a Meaningful Engagement Job Plan</w:t>
      </w:r>
      <w:r w:rsidR="00697373">
        <w:rPr>
          <w:rFonts w:cstheme="minorHAnsi"/>
          <w:highlight w:val="yellow"/>
        </w:rPr>
        <w:fldChar w:fldCharType="end"/>
      </w:r>
      <w:r w:rsidR="00E74BA5">
        <w:rPr>
          <w:rFonts w:cstheme="minorHAnsi"/>
        </w:rPr>
        <w:t>,</w:t>
      </w:r>
      <w:r w:rsidR="009023B7">
        <w:rPr>
          <w:rFonts w:cstheme="minorHAnsi"/>
        </w:rPr>
        <w:t xml:space="preserve"> t</w:t>
      </w:r>
      <w:r w:rsidR="009023B7">
        <w:t>he</w:t>
      </w:r>
      <w:r w:rsidR="009023B7">
        <w:rPr>
          <w:rFonts w:cstheme="minorHAnsi"/>
        </w:rPr>
        <w:t xml:space="preserve"> </w:t>
      </w:r>
      <w:r>
        <w:rPr>
          <w:rFonts w:cstheme="minorHAnsi"/>
        </w:rPr>
        <w:t xml:space="preserve">Meaningful Engagement Job Plan will </w:t>
      </w:r>
      <w:r w:rsidR="00E74BA5">
        <w:rPr>
          <w:rFonts w:cstheme="minorHAnsi"/>
        </w:rPr>
        <w:t>pre-populate to include</w:t>
      </w:r>
      <w:r>
        <w:rPr>
          <w:rFonts w:cstheme="minorHAnsi"/>
        </w:rPr>
        <w:t xml:space="preserve"> Code PA19 [Meaningful Engagement Requirement]</w:t>
      </w:r>
      <w:r w:rsidR="00A051A2">
        <w:rPr>
          <w:rFonts w:cstheme="minorHAnsi"/>
        </w:rPr>
        <w:t>,</w:t>
      </w:r>
      <w:r>
        <w:rPr>
          <w:rFonts w:cstheme="minorHAnsi"/>
        </w:rPr>
        <w:t xml:space="preserve"> as</w:t>
      </w:r>
      <w:r w:rsidR="00E74BA5">
        <w:rPr>
          <w:rFonts w:cstheme="minorHAnsi"/>
        </w:rPr>
        <w:t>:</w:t>
      </w:r>
    </w:p>
    <w:p w14:paraId="03976ABB" w14:textId="74F4E33E" w:rsidR="00504B04" w:rsidRDefault="0017594A" w:rsidP="00E74BA5">
      <w:pPr>
        <w:pStyle w:val="BulletLevel1"/>
      </w:pPr>
      <w:r>
        <w:rPr>
          <w:rFonts w:cstheme="minorHAnsi"/>
        </w:rPr>
        <w:t>the</w:t>
      </w:r>
      <w:r w:rsidR="00040B10">
        <w:rPr>
          <w:rFonts w:cstheme="minorHAnsi"/>
        </w:rPr>
        <w:t xml:space="preserve"> only</w:t>
      </w:r>
      <w:r>
        <w:rPr>
          <w:rFonts w:cstheme="minorHAnsi"/>
        </w:rPr>
        <w:t xml:space="preserve"> compulsory requirement for Participants (Mutual Obligation) and DSP</w:t>
      </w:r>
      <w:r w:rsidR="00040B10">
        <w:rPr>
          <w:rFonts w:cstheme="minorHAnsi"/>
        </w:rPr>
        <w:t> </w:t>
      </w:r>
      <w:r>
        <w:rPr>
          <w:rFonts w:cstheme="minorHAnsi"/>
        </w:rPr>
        <w:t>Recipients (Compulsory Requirements</w:t>
      </w:r>
      <w:r>
        <w:t>)</w:t>
      </w:r>
      <w:r w:rsidR="00E74BA5">
        <w:t>, and</w:t>
      </w:r>
    </w:p>
    <w:p w14:paraId="48445B09" w14:textId="660A03D6" w:rsidR="0017594A" w:rsidRDefault="00E74BA5" w:rsidP="00E74BA5">
      <w:pPr>
        <w:pStyle w:val="BulletLevel1"/>
      </w:pPr>
      <w:r>
        <w:t xml:space="preserve">the default voluntary requirement for </w:t>
      </w:r>
      <w:r w:rsidR="0017594A" w:rsidRPr="202AFE3D">
        <w:t>Participants (Voluntary).</w:t>
      </w:r>
    </w:p>
    <w:p w14:paraId="74EE2270" w14:textId="7F8E8527" w:rsidR="00870A36" w:rsidRDefault="00870A36" w:rsidP="00870A36">
      <w:pPr>
        <w:rPr>
          <w:sz w:val="20"/>
          <w:szCs w:val="20"/>
        </w:rPr>
      </w:pPr>
      <w:r w:rsidRPr="72B4EEE6">
        <w:rPr>
          <w:sz w:val="20"/>
          <w:szCs w:val="20"/>
        </w:rPr>
        <w:t>(</w:t>
      </w:r>
      <w:r>
        <w:rPr>
          <w:sz w:val="20"/>
          <w:szCs w:val="20"/>
        </w:rPr>
        <w:t xml:space="preserve">Deed Reference(s): Clause </w:t>
      </w:r>
      <w:r w:rsidR="0016732A">
        <w:rPr>
          <w:sz w:val="20"/>
          <w:szCs w:val="20"/>
        </w:rPr>
        <w:t>134.</w:t>
      </w:r>
      <w:r w:rsidRPr="72B4EEE6">
        <w:rPr>
          <w:sz w:val="20"/>
          <w:szCs w:val="20"/>
        </w:rPr>
        <w:t>8)</w:t>
      </w:r>
    </w:p>
    <w:p w14:paraId="7DF9A956" w14:textId="4A0A8C58" w:rsidR="00725879" w:rsidRDefault="00877CEF" w:rsidP="0017594A">
      <w:pPr>
        <w:tabs>
          <w:tab w:val="right" w:pos="1701"/>
        </w:tabs>
        <w:spacing w:after="120"/>
      </w:pPr>
      <w:r>
        <w:t xml:space="preserve">In order to ensure that the terms of meeting the Meaningful Engagement Requirement are clear to Participants, Providers should work </w:t>
      </w:r>
      <w:r w:rsidR="00362676">
        <w:t xml:space="preserve">with each </w:t>
      </w:r>
      <w:r w:rsidR="009023B7">
        <w:t xml:space="preserve">Participant </w:t>
      </w:r>
      <w:r w:rsidR="00F021C8">
        <w:t xml:space="preserve">to identify </w:t>
      </w:r>
      <w:r w:rsidR="00362676" w:rsidRPr="2190AEAE">
        <w:t xml:space="preserve">suitable </w:t>
      </w:r>
      <w:r w:rsidR="00362676">
        <w:t xml:space="preserve">tasks and </w:t>
      </w:r>
      <w:r w:rsidR="009023B7">
        <w:t>activities</w:t>
      </w:r>
      <w:r w:rsidR="00362676">
        <w:t xml:space="preserve"> that they will undertake to meaningfully engage.</w:t>
      </w:r>
    </w:p>
    <w:p w14:paraId="343B37BF" w14:textId="77777777" w:rsidR="002A1BDA" w:rsidRDefault="002A1BDA" w:rsidP="002A1BDA">
      <w:pPr>
        <w:tabs>
          <w:tab w:val="right" w:pos="1701"/>
        </w:tabs>
        <w:spacing w:after="120"/>
      </w:pPr>
      <w:r>
        <w:t xml:space="preserve">An </w:t>
      </w:r>
      <w:r w:rsidRPr="00FF26C6">
        <w:t xml:space="preserve">appropriate mix of </w:t>
      </w:r>
      <w:r>
        <w:t>tasks and a</w:t>
      </w:r>
      <w:r w:rsidRPr="00FF26C6">
        <w:t>ctivities for a Participant</w:t>
      </w:r>
      <w:r>
        <w:t xml:space="preserve"> would be </w:t>
      </w:r>
      <w:r w:rsidRPr="2190AEAE">
        <w:t xml:space="preserve">tailored to the Participant’s </w:t>
      </w:r>
      <w:r>
        <w:t>E</w:t>
      </w:r>
      <w:r w:rsidRPr="3644EC22">
        <w:t>mployment Goal(s)</w:t>
      </w:r>
      <w:r>
        <w:t xml:space="preserve">, areas of interest, assessed </w:t>
      </w:r>
      <w:r w:rsidRPr="2190AEAE">
        <w:t xml:space="preserve">work </w:t>
      </w:r>
      <w:bookmarkStart w:id="216" w:name="_Int_awxg37j7"/>
      <w:r w:rsidRPr="2190AEAE">
        <w:t>capacity</w:t>
      </w:r>
      <w:bookmarkEnd w:id="216"/>
      <w:r w:rsidRPr="2190AEAE">
        <w:t xml:space="preserve">, personal circumstances, </w:t>
      </w:r>
      <w:r>
        <w:t xml:space="preserve">barriers to finding and maintaining sustainable work, </w:t>
      </w:r>
      <w:r w:rsidRPr="2190AEAE">
        <w:t xml:space="preserve">and </w:t>
      </w:r>
      <w:r>
        <w:t xml:space="preserve">current work or study </w:t>
      </w:r>
      <w:r w:rsidRPr="2190AEAE">
        <w:t>commitments</w:t>
      </w:r>
      <w:r>
        <w:t>.</w:t>
      </w:r>
    </w:p>
    <w:p w14:paraId="5ED674F9" w14:textId="77777777" w:rsidR="002A1BDA" w:rsidRDefault="002A1BDA" w:rsidP="002A1BDA">
      <w:r>
        <w:t>The</w:t>
      </w:r>
      <w:r w:rsidRPr="202AFE3D">
        <w:t xml:space="preserve"> mix of tasks and activities for </w:t>
      </w:r>
      <w:r>
        <w:t>each</w:t>
      </w:r>
      <w:r w:rsidRPr="202AFE3D">
        <w:t xml:space="preserve"> Participant </w:t>
      </w:r>
      <w:r>
        <w:t>sh</w:t>
      </w:r>
      <w:r w:rsidRPr="202AFE3D">
        <w:t>ould be dependent on their phase (Pre</w:t>
      </w:r>
      <w:r>
        <w:noBreakHyphen/>
      </w:r>
      <w:r w:rsidRPr="202AFE3D">
        <w:t>Employment Support, Post Placement Support or Ongoing Support) and service offer (</w:t>
      </w:r>
      <w:r>
        <w:t xml:space="preserve">Intensive Service </w:t>
      </w:r>
      <w:r w:rsidRPr="202AFE3D">
        <w:t>Work Preparation,</w:t>
      </w:r>
      <w:r>
        <w:t xml:space="preserve"> Intensive Service</w:t>
      </w:r>
      <w:r w:rsidRPr="202AFE3D">
        <w:t xml:space="preserve"> Job Search or Flexible Service</w:t>
      </w:r>
      <w:r>
        <w:t>).</w:t>
      </w:r>
    </w:p>
    <w:p w14:paraId="64526572" w14:textId="043A50B4" w:rsidR="002A1BDA" w:rsidRDefault="4A699C08" w:rsidP="002A1BDA">
      <w:r>
        <w:t xml:space="preserve">Providers </w:t>
      </w:r>
      <w:r w:rsidR="001D44BB">
        <w:t>should</w:t>
      </w:r>
      <w:r>
        <w:t xml:space="preserve"> adopt a process of shared decision making with the Participant. </w:t>
      </w:r>
      <w:r w:rsidR="1C91D1A2">
        <w:t>To ensure the</w:t>
      </w:r>
      <w:r>
        <w:t xml:space="preserve"> Participant </w:t>
      </w:r>
      <w:r w:rsidR="2720BB9B">
        <w:t>feels</w:t>
      </w:r>
      <w:r>
        <w:t xml:space="preserve"> invested in, </w:t>
      </w:r>
      <w:r w:rsidR="19741487">
        <w:t>and has</w:t>
      </w:r>
      <w:r>
        <w:t xml:space="preserve"> shared ownership of, the tasks and activities they will do as part of the plan for meaningful engagement.</w:t>
      </w:r>
    </w:p>
    <w:p w14:paraId="75E9E1D9" w14:textId="36C4AE83" w:rsidR="00A94D0A" w:rsidRDefault="00A1667E" w:rsidP="0017594A">
      <w:pPr>
        <w:tabs>
          <w:tab w:val="right" w:pos="1701"/>
        </w:tabs>
        <w:spacing w:after="120"/>
      </w:pPr>
      <w:r>
        <w:t xml:space="preserve">Agreed tasks and activities </w:t>
      </w:r>
      <w:r w:rsidR="0024057F">
        <w:t>must be recorded by the Provider and given to the Participant.</w:t>
      </w:r>
      <w:r>
        <w:t xml:space="preserve"> </w:t>
      </w:r>
      <w:r w:rsidR="00B640C0">
        <w:t xml:space="preserve">There are no requirements on how this </w:t>
      </w:r>
      <w:r w:rsidR="00FE6031">
        <w:t>is</w:t>
      </w:r>
      <w:r w:rsidR="00B640C0">
        <w:t xml:space="preserve"> </w:t>
      </w:r>
      <w:r w:rsidR="00CB7E51">
        <w:t xml:space="preserve">formatted, but </w:t>
      </w:r>
      <w:r w:rsidR="00FD6BA5">
        <w:t xml:space="preserve">Providers should ensure </w:t>
      </w:r>
      <w:r w:rsidR="00372D83">
        <w:t>any handwritten or electronic document</w:t>
      </w:r>
      <w:r w:rsidR="00FD6BA5">
        <w:t xml:space="preserve"> provided to the Participant </w:t>
      </w:r>
      <w:r w:rsidR="0064204F">
        <w:t xml:space="preserve">considers </w:t>
      </w:r>
      <w:r w:rsidR="0005333B">
        <w:t>general principles for creating</w:t>
      </w:r>
      <w:r w:rsidR="0064204F">
        <w:t xml:space="preserve"> </w:t>
      </w:r>
      <w:r w:rsidR="00594CFA">
        <w:t>accessible</w:t>
      </w:r>
      <w:r w:rsidR="001E351B">
        <w:t xml:space="preserve"> </w:t>
      </w:r>
      <w:r w:rsidR="0005333B">
        <w:t>documents</w:t>
      </w:r>
      <w:r w:rsidR="00372D83">
        <w:t xml:space="preserve"> and will meet the needs of the Participant</w:t>
      </w:r>
      <w:r w:rsidR="0005333B">
        <w:t xml:space="preserve">. </w:t>
      </w:r>
    </w:p>
    <w:p w14:paraId="153E1ECB" w14:textId="0EFA9692" w:rsidR="00BA4CA6" w:rsidRDefault="004E7BB2" w:rsidP="00BA4CA6">
      <w:pPr>
        <w:pStyle w:val="DocumentaryEvidenceRequirement"/>
      </w:pPr>
      <w:r>
        <w:t xml:space="preserve">Providers must retain records of the tasks and activities the Participant has </w:t>
      </w:r>
      <w:r w:rsidR="00344901">
        <w:t xml:space="preserve">currently </w:t>
      </w:r>
      <w:r>
        <w:t>agreed to undertake</w:t>
      </w:r>
      <w:r w:rsidR="008A61A3">
        <w:t>, as this will form part of the Documentary Evidence requirements for a Pattern of Disengagement</w:t>
      </w:r>
      <w:r w:rsidR="003638F9">
        <w:t>.</w:t>
      </w:r>
    </w:p>
    <w:p w14:paraId="682ADD49" w14:textId="479BECD3" w:rsidR="00BA4CA6" w:rsidRDefault="00BA4CA6" w:rsidP="00BA4CA6">
      <w:pPr>
        <w:pStyle w:val="SystemStep"/>
      </w:pPr>
      <w:r w:rsidRPr="0E218120">
        <w:t>Provider</w:t>
      </w:r>
      <w:r w:rsidR="003638F9">
        <w:t>s</w:t>
      </w:r>
      <w:r w:rsidRPr="0E218120">
        <w:t xml:space="preserve"> </w:t>
      </w:r>
      <w:r>
        <w:t>can</w:t>
      </w:r>
      <w:r w:rsidRPr="0E218120">
        <w:t xml:space="preserve"> record the tasks and activities that the Participant has agreed to participate in using comment functionality in the Participant’s Summary on the Department’s IT Systems</w:t>
      </w:r>
      <w:r>
        <w:t>.</w:t>
      </w:r>
    </w:p>
    <w:p w14:paraId="38028B27" w14:textId="3DF8D70D" w:rsidR="003638F9" w:rsidRDefault="003638F9" w:rsidP="00BA4CA6">
      <w:pPr>
        <w:pStyle w:val="SystemStep"/>
      </w:pPr>
      <w:r>
        <w:t xml:space="preserve">Providers can record </w:t>
      </w:r>
      <w:r w:rsidR="000B64AE">
        <w:t xml:space="preserve">information about </w:t>
      </w:r>
      <w:r w:rsidR="00B03397">
        <w:t xml:space="preserve">agreed Activities </w:t>
      </w:r>
      <w:r w:rsidR="00972EF0">
        <w:t xml:space="preserve">and Interventions </w:t>
      </w:r>
      <w:r w:rsidR="00B03397">
        <w:t xml:space="preserve">in the Capability </w:t>
      </w:r>
      <w:r w:rsidR="006051B2">
        <w:t>Management Tool</w:t>
      </w:r>
      <w:r w:rsidR="00E67728">
        <w:t>.</w:t>
      </w:r>
    </w:p>
    <w:p w14:paraId="2160A53D" w14:textId="134679FD" w:rsidR="00A52A9A" w:rsidRDefault="003F601B" w:rsidP="005542CF">
      <w:pPr>
        <w:keepNext/>
      </w:pPr>
      <w:r>
        <w:t xml:space="preserve">An </w:t>
      </w:r>
      <w:r w:rsidRPr="00FF26C6">
        <w:t xml:space="preserve">appropriate mix of individual, group and self-directed </w:t>
      </w:r>
      <w:r>
        <w:t>tasks and a</w:t>
      </w:r>
      <w:r w:rsidRPr="00FF26C6">
        <w:t>ctivities for a Participant</w:t>
      </w:r>
      <w:r>
        <w:t xml:space="preserve"> may include:</w:t>
      </w:r>
    </w:p>
    <w:p w14:paraId="12011B8D" w14:textId="0B625BBF" w:rsidR="003F601B" w:rsidRDefault="003F601B" w:rsidP="005542CF">
      <w:pPr>
        <w:pStyle w:val="BulletLevel1"/>
        <w:keepNext/>
      </w:pPr>
      <w:r>
        <w:t>Contacts and Appointments</w:t>
      </w:r>
    </w:p>
    <w:p w14:paraId="03DBF5E8" w14:textId="57666B74" w:rsidR="00F06017" w:rsidRDefault="00F06017" w:rsidP="003F601B">
      <w:pPr>
        <w:pStyle w:val="BulletLevel1"/>
      </w:pPr>
      <w:r>
        <w:t xml:space="preserve">Activities </w:t>
      </w:r>
      <w:r w:rsidR="009D0539">
        <w:t xml:space="preserve">to </w:t>
      </w:r>
      <w:r w:rsidR="009D0539" w:rsidRPr="00475F86">
        <w:t xml:space="preserve">address </w:t>
      </w:r>
      <w:r w:rsidR="009D0539">
        <w:t>V</w:t>
      </w:r>
      <w:r w:rsidR="009D0539" w:rsidRPr="00475F86">
        <w:t xml:space="preserve">ocational </w:t>
      </w:r>
      <w:r w:rsidR="009D0539">
        <w:t>B</w:t>
      </w:r>
      <w:r w:rsidR="009D0539" w:rsidRPr="00475F86">
        <w:t>arriers</w:t>
      </w:r>
      <w:r w:rsidR="00A2214B">
        <w:t>, noting that this may include both formal and informal Activities such as:</w:t>
      </w:r>
    </w:p>
    <w:p w14:paraId="562A4CFE" w14:textId="77777777" w:rsidR="00A2214B" w:rsidRDefault="00A2214B" w:rsidP="00A2214B">
      <w:pPr>
        <w:pStyle w:val="BulletLevel2"/>
      </w:pPr>
      <w:r>
        <w:t>work preparation activities</w:t>
      </w:r>
    </w:p>
    <w:p w14:paraId="2FD87FBF" w14:textId="7CF224E7" w:rsidR="00A2214B" w:rsidRDefault="00A2214B" w:rsidP="00A2214B">
      <w:pPr>
        <w:pStyle w:val="BulletLevel2"/>
      </w:pPr>
      <w:r>
        <w:t>job search activities</w:t>
      </w:r>
      <w:r w:rsidR="00550C72">
        <w:t>, and</w:t>
      </w:r>
    </w:p>
    <w:p w14:paraId="72256B88" w14:textId="337070F9" w:rsidR="00D17509" w:rsidRDefault="00D17509" w:rsidP="00A2214B">
      <w:pPr>
        <w:pStyle w:val="BulletLevel2"/>
      </w:pPr>
      <w:r>
        <w:t>work experience</w:t>
      </w:r>
      <w:r w:rsidR="00781DF7">
        <w:t xml:space="preserve"> placements</w:t>
      </w:r>
    </w:p>
    <w:p w14:paraId="50D72315" w14:textId="59491ADD" w:rsidR="00A2214B" w:rsidRDefault="009D0539" w:rsidP="003F601B">
      <w:pPr>
        <w:pStyle w:val="BulletLevel1"/>
      </w:pPr>
      <w:r>
        <w:t>Activities and Interventions to address Non-Vocational Barriers</w:t>
      </w:r>
    </w:p>
    <w:p w14:paraId="4F8AAFB0" w14:textId="466E3C53" w:rsidR="003F601B" w:rsidRDefault="003F601B" w:rsidP="003F601B">
      <w:pPr>
        <w:pStyle w:val="BulletLevel1"/>
      </w:pPr>
      <w:r>
        <w:t>Job Search</w:t>
      </w:r>
    </w:p>
    <w:p w14:paraId="1401668B" w14:textId="6F8EB7A2" w:rsidR="003F601B" w:rsidRDefault="003F601B" w:rsidP="003F601B">
      <w:pPr>
        <w:pStyle w:val="BulletLevel1"/>
      </w:pPr>
      <w:r>
        <w:t>Job Referrals</w:t>
      </w:r>
      <w:r w:rsidR="001A34E0">
        <w:t xml:space="preserve"> </w:t>
      </w:r>
    </w:p>
    <w:p w14:paraId="3EA55FA7" w14:textId="38008E91" w:rsidR="003F601B" w:rsidRDefault="003F601B">
      <w:pPr>
        <w:pStyle w:val="BulletLevel1"/>
      </w:pPr>
      <w:r>
        <w:t>Job Interviews</w:t>
      </w:r>
    </w:p>
    <w:p w14:paraId="3E73ECF2" w14:textId="7E804E4D" w:rsidR="00DD0991" w:rsidRDefault="00DD0991" w:rsidP="00B368C7">
      <w:pPr>
        <w:pStyle w:val="BulletLevel1"/>
      </w:pPr>
      <w:r w:rsidRPr="00DD0991">
        <w:t>Education and Training</w:t>
      </w:r>
    </w:p>
    <w:p w14:paraId="59F35799" w14:textId="759DB69F" w:rsidR="00B368C7" w:rsidRDefault="00B368C7" w:rsidP="00B368C7">
      <w:pPr>
        <w:pStyle w:val="BulletLevel1"/>
      </w:pPr>
      <w:r>
        <w:t>Employment</w:t>
      </w:r>
      <w:r w:rsidR="00431B84">
        <w:t>, and/or</w:t>
      </w:r>
    </w:p>
    <w:p w14:paraId="677480FD" w14:textId="6BFF1AD9" w:rsidR="00B368C7" w:rsidRDefault="00B368C7" w:rsidP="00B368C7">
      <w:pPr>
        <w:pStyle w:val="BulletLevel1"/>
      </w:pPr>
      <w:r>
        <w:t>Work Trials</w:t>
      </w:r>
      <w:r w:rsidR="00431B84">
        <w:t>.</w:t>
      </w:r>
    </w:p>
    <w:p w14:paraId="5C90776A" w14:textId="1710BBF4" w:rsidR="00063837" w:rsidRDefault="00063837" w:rsidP="0034691E">
      <w:r>
        <w:t>Guidance is provided in the Sections that follow on considerations for setting tasks and activities</w:t>
      </w:r>
      <w:r w:rsidR="00662DF9">
        <w:t>,</w:t>
      </w:r>
      <w:r>
        <w:t xml:space="preserve"> </w:t>
      </w:r>
      <w:r w:rsidR="00662DF9">
        <w:t xml:space="preserve">as part of the Meaningful Engagement Requirement, </w:t>
      </w:r>
      <w:r>
        <w:t>for Participants (Mutual Obligations), DSP Recipients (Compulsory Requirements) and Participants (Voluntary)</w:t>
      </w:r>
      <w:r w:rsidR="00680837">
        <w:t>.</w:t>
      </w:r>
    </w:p>
    <w:p w14:paraId="6ACFA2F9" w14:textId="72388D82" w:rsidR="009023B7" w:rsidRDefault="002D2AB1" w:rsidP="00A85B92">
      <w:r w:rsidRPr="00914165">
        <w:rPr>
          <w:b/>
          <w:bCs/>
        </w:rPr>
        <w:t xml:space="preserve">Note: </w:t>
      </w:r>
      <w:r w:rsidRPr="00C70AB8">
        <w:t>A Participant may exercise choice about the Services they receive</w:t>
      </w:r>
      <w:r w:rsidR="00374E80">
        <w:t xml:space="preserve"> </w:t>
      </w:r>
      <w:r w:rsidR="00EC1B5C">
        <w:t>however</w:t>
      </w:r>
      <w:r w:rsidR="009023B7">
        <w:t xml:space="preserve"> the Provider may direct the Participant to complete certain </w:t>
      </w:r>
      <w:r w:rsidR="00675118">
        <w:t>tasks and</w:t>
      </w:r>
      <w:r w:rsidR="009023B7">
        <w:t xml:space="preserve"> activities</w:t>
      </w:r>
      <w:r w:rsidR="00675118">
        <w:t xml:space="preserve"> in order to ensure that they are looking for work</w:t>
      </w:r>
      <w:r w:rsidR="006446D3">
        <w:t>.</w:t>
      </w:r>
    </w:p>
    <w:p w14:paraId="376CBB3F" w14:textId="1B12C7BC" w:rsidR="00D74559" w:rsidRDefault="00D74559" w:rsidP="00A85B92">
      <w:r w:rsidRPr="202AFE3D">
        <w:t xml:space="preserve">Providers must ensure that the level of </w:t>
      </w:r>
      <w:r w:rsidR="007A07A4">
        <w:t>engagement</w:t>
      </w:r>
      <w:r w:rsidRPr="202AFE3D">
        <w:t xml:space="preserve"> does not exceed the Participant’s assessed work </w:t>
      </w:r>
      <w:bookmarkStart w:id="217" w:name="_Int_HCiLs9vZ"/>
      <w:r w:rsidRPr="202AFE3D">
        <w:t>capacity</w:t>
      </w:r>
      <w:bookmarkEnd w:id="217"/>
      <w:r w:rsidRPr="202AFE3D">
        <w:t xml:space="preserve"> when setting tasks and activities under the Meaningful Engagement Requirement.</w:t>
      </w:r>
    </w:p>
    <w:p w14:paraId="4DEFF21B" w14:textId="196DFD12" w:rsidR="005704BE" w:rsidRPr="005704BE" w:rsidRDefault="00927A3B" w:rsidP="0034691E">
      <w:r>
        <w:t xml:space="preserve">So long as the Provider determines that the Participant is actively completing tasks and activities, they will be considered to </w:t>
      </w:r>
      <w:r w:rsidR="00C12F23">
        <w:t>be</w:t>
      </w:r>
      <w:r>
        <w:t xml:space="preserve"> meaningfully engaging</w:t>
      </w:r>
      <w:r w:rsidR="006273E9">
        <w:t xml:space="preserve"> — i.e. fully satisfying the Meaningful Engagement </w:t>
      </w:r>
      <w:r w:rsidR="004B4C34">
        <w:t>Requirement</w:t>
      </w:r>
      <w:r>
        <w:t>.</w:t>
      </w:r>
    </w:p>
    <w:p w14:paraId="4A077B96" w14:textId="4EACF74F" w:rsidR="009636EC" w:rsidRPr="003E76AC" w:rsidRDefault="009636EC" w:rsidP="0034691E">
      <w:pPr>
        <w:rPr>
          <w:szCs w:val="22"/>
        </w:rPr>
      </w:pPr>
      <w:r w:rsidRPr="0003302C">
        <w:rPr>
          <w:szCs w:val="22"/>
        </w:rPr>
        <w:t>Providers</w:t>
      </w:r>
      <w:r>
        <w:rPr>
          <w:szCs w:val="22"/>
        </w:rPr>
        <w:t xml:space="preserve"> should review a Participant’s </w:t>
      </w:r>
      <w:r w:rsidR="00A21884">
        <w:rPr>
          <w:szCs w:val="22"/>
        </w:rPr>
        <w:t xml:space="preserve">circumstances, tasks and activities </w:t>
      </w:r>
      <w:r>
        <w:rPr>
          <w:szCs w:val="22"/>
        </w:rPr>
        <w:t>for meaningful engagement if the Participant is at risk of failing to meet the Meaningful Engagement Requirement. This review should seek to confirm that tasks and activities are suitable — that is, appropriate for their circumstances and the Participant is capable of undertaking the tasks and activities.</w:t>
      </w:r>
    </w:p>
    <w:p w14:paraId="4C51BCEB" w14:textId="106F7C30" w:rsidR="003B3BA0" w:rsidRDefault="00AE6672" w:rsidP="0034691E">
      <w:r w:rsidRPr="0027694F">
        <w:t xml:space="preserve">More detailed information on what </w:t>
      </w:r>
      <w:r w:rsidR="00970D88" w:rsidRPr="0027694F">
        <w:t xml:space="preserve">informs the Meaningful Engagement Requirement is included in the </w:t>
      </w:r>
      <w:r w:rsidR="00970D88" w:rsidRPr="0027694F">
        <w:rPr>
          <w:rStyle w:val="Hyperlink"/>
        </w:rPr>
        <w:t>Meaningful Engagement Provider Fact Sheet</w:t>
      </w:r>
      <w:r w:rsidR="0027694F" w:rsidRPr="0027694F">
        <w:rPr>
          <w:rStyle w:val="Hyperlink"/>
        </w:rPr>
        <w:t xml:space="preserve"> [LINK]</w:t>
      </w:r>
      <w:r w:rsidR="00970D88" w:rsidRPr="0027694F">
        <w:t xml:space="preserve">, which can be found on the Provider Portal. A copy of the </w:t>
      </w:r>
      <w:r w:rsidR="00970D88" w:rsidRPr="0027694F">
        <w:rPr>
          <w:rStyle w:val="Hyperlink"/>
        </w:rPr>
        <w:t xml:space="preserve">Meaningful Engagement Participant Fact Sheet </w:t>
      </w:r>
      <w:r w:rsidR="0027694F" w:rsidRPr="0027694F">
        <w:rPr>
          <w:rStyle w:val="Hyperlink"/>
        </w:rPr>
        <w:t>[LINK]</w:t>
      </w:r>
      <w:r w:rsidR="0027694F" w:rsidRPr="0027694F">
        <w:t xml:space="preserve"> </w:t>
      </w:r>
      <w:r w:rsidR="00970D88" w:rsidRPr="0027694F">
        <w:t>can also be found on the Provider Portal.</w:t>
      </w:r>
    </w:p>
    <w:p w14:paraId="0AF76A9E" w14:textId="713121FA" w:rsidR="00D74559" w:rsidRDefault="00D74559" w:rsidP="00A85B92">
      <w:r>
        <w:t>If a Participant is not meeting the Meaningful Engagement Requirement</w:t>
      </w:r>
      <w:r w:rsidR="00E37D25">
        <w:t xml:space="preserve"> and the Provider determines that there has been a Pattern of Disengagement</w:t>
      </w:r>
      <w:r>
        <w:t xml:space="preserve">, </w:t>
      </w:r>
      <w:r w:rsidR="0034691E">
        <w:t>as outlined in</w:t>
      </w:r>
      <w:r w:rsidR="00697373">
        <w:t xml:space="preserve"> </w:t>
      </w:r>
      <w:r w:rsidR="00697373">
        <w:fldChar w:fldCharType="begin"/>
      </w:r>
      <w:r w:rsidR="00697373">
        <w:instrText xml:space="preserve"> REF _Ref202789001 \h </w:instrText>
      </w:r>
      <w:r w:rsidR="00697373">
        <w:fldChar w:fldCharType="separate"/>
      </w:r>
      <w:r w:rsidR="000D75AE" w:rsidRPr="008212EF">
        <w:t>5.5.</w:t>
      </w:r>
      <w:r w:rsidR="00E12BF6">
        <w:t xml:space="preserve"> Determining</w:t>
      </w:r>
      <w:r w:rsidR="000D75AE" w:rsidRPr="008212EF">
        <w:t xml:space="preserve"> if a Participant is meeting the Meaningful Engagement Requirement</w:t>
      </w:r>
      <w:r w:rsidR="00697373">
        <w:fldChar w:fldCharType="end"/>
      </w:r>
      <w:r w:rsidR="0034691E">
        <w:t xml:space="preserve">, </w:t>
      </w:r>
      <w:r>
        <w:t>Providers must:</w:t>
      </w:r>
    </w:p>
    <w:p w14:paraId="50C1F515" w14:textId="5E57D043" w:rsidR="00D74559" w:rsidRPr="001923D1" w:rsidRDefault="00864A23" w:rsidP="004E120D">
      <w:pPr>
        <w:pStyle w:val="BulletLevel1"/>
      </w:pPr>
      <w:r>
        <w:t>e</w:t>
      </w:r>
      <w:r w:rsidR="00D74559" w:rsidRPr="202AFE3D">
        <w:t xml:space="preserve">nter into a </w:t>
      </w:r>
      <w:r w:rsidR="00D74559">
        <w:t>Detailed Job Plan</w:t>
      </w:r>
      <w:r w:rsidR="00D74559" w:rsidRPr="202AFE3D">
        <w:t xml:space="preserve"> for Participants (Mutual Obligations) and DSP Recipients (Compulsory Requirements) — refer to</w:t>
      </w:r>
      <w:r w:rsidR="00697373">
        <w:t xml:space="preserve"> </w:t>
      </w:r>
      <w:r w:rsidR="00697373">
        <w:rPr>
          <w:highlight w:val="yellow"/>
        </w:rPr>
        <w:fldChar w:fldCharType="begin"/>
      </w:r>
      <w:r w:rsidR="00697373">
        <w:instrText xml:space="preserve"> REF _Ref202784061 \h </w:instrText>
      </w:r>
      <w:r w:rsidR="00697373">
        <w:rPr>
          <w:highlight w:val="yellow"/>
        </w:rPr>
      </w:r>
      <w:r w:rsidR="00697373">
        <w:rPr>
          <w:highlight w:val="yellow"/>
        </w:rPr>
        <w:fldChar w:fldCharType="separate"/>
      </w:r>
      <w:r w:rsidR="000D75AE" w:rsidRPr="00BA23D8">
        <w:t>Chapter 4</w:t>
      </w:r>
      <w:r w:rsidR="000D75AE">
        <w:t>:</w:t>
      </w:r>
      <w:r w:rsidR="00A31574">
        <w:t xml:space="preserve"> </w:t>
      </w:r>
      <w:r w:rsidR="000D75AE" w:rsidRPr="00BA23D8">
        <w:t>Job Plans</w:t>
      </w:r>
      <w:r w:rsidR="00697373">
        <w:rPr>
          <w:highlight w:val="yellow"/>
        </w:rPr>
        <w:fldChar w:fldCharType="end"/>
      </w:r>
      <w:r w:rsidR="00D74559" w:rsidRPr="202AFE3D">
        <w:t>, or</w:t>
      </w:r>
    </w:p>
    <w:p w14:paraId="3BE3FD9F" w14:textId="69DD71C7" w:rsidR="00D74559" w:rsidRPr="00FB7CD7" w:rsidRDefault="00D74559" w:rsidP="004E120D">
      <w:pPr>
        <w:pStyle w:val="BulletLevel1"/>
        <w:rPr>
          <w:szCs w:val="22"/>
        </w:rPr>
      </w:pPr>
      <w:r>
        <w:t xml:space="preserve">Suspend or Exit a Participant (Voluntary) — refer to </w:t>
      </w:r>
      <w:r w:rsidR="00697373">
        <w:fldChar w:fldCharType="begin"/>
      </w:r>
      <w:r w:rsidR="00697373">
        <w:instrText xml:space="preserve"> REF _Ref202780811 \h </w:instrText>
      </w:r>
      <w:r w:rsidR="00697373">
        <w:fldChar w:fldCharType="separate"/>
      </w:r>
      <w:r w:rsidR="000D75AE" w:rsidRPr="00BA23D8">
        <w:t>Chapter 3</w:t>
      </w:r>
      <w:r w:rsidR="000D75AE">
        <w:t>:</w:t>
      </w:r>
      <w:r w:rsidR="00A31574">
        <w:t xml:space="preserve"> </w:t>
      </w:r>
      <w:r w:rsidR="000D75AE" w:rsidRPr="00BA23D8">
        <w:t>Commencements, Transfers, Suspensions and Exits</w:t>
      </w:r>
      <w:r w:rsidR="00697373">
        <w:fldChar w:fldCharType="end"/>
      </w:r>
      <w:r w:rsidR="00697373">
        <w:t>.</w:t>
      </w:r>
    </w:p>
    <w:p w14:paraId="1F88BD9D" w14:textId="6F62DE85" w:rsidR="00265D5B" w:rsidRDefault="00265D5B" w:rsidP="00265D5B">
      <w:r w:rsidRPr="62D54DE6">
        <w:rPr>
          <w:b/>
          <w:bCs/>
        </w:rPr>
        <w:t xml:space="preserve">Note: </w:t>
      </w:r>
      <w:r>
        <w:t>Participants cannot be compelled to attend or complete tasks and activities as part of the Meaningful Engagement Requirement. However, there are options for a Provider to compel a Participant to attend a compulsory appointment if they are disengaged as outlined</w:t>
      </w:r>
      <w:r w:rsidR="0014724F">
        <w:t xml:space="preserve"> in </w:t>
      </w:r>
      <w:r w:rsidR="0014724F">
        <w:fldChar w:fldCharType="begin"/>
      </w:r>
      <w:r w:rsidR="0014724F">
        <w:instrText xml:space="preserve"> REF _Ref202789057 \h </w:instrText>
      </w:r>
      <w:r w:rsidR="0014724F">
        <w:fldChar w:fldCharType="separate"/>
      </w:r>
      <w:r w:rsidR="000D75AE">
        <w:t>12.2.2</w:t>
      </w:r>
      <w:r w:rsidR="00A31574">
        <w:t xml:space="preserve"> </w:t>
      </w:r>
      <w:r w:rsidR="000D75AE">
        <w:t>Compellable Contact Appointment</w:t>
      </w:r>
      <w:r w:rsidR="0014724F">
        <w:fldChar w:fldCharType="end"/>
      </w:r>
      <w:r>
        <w:t>.</w:t>
      </w:r>
    </w:p>
    <w:p w14:paraId="4D9D175D" w14:textId="06B37E16" w:rsidR="00CA0785" w:rsidRDefault="00CA0785" w:rsidP="00CA0785">
      <w:pPr>
        <w:pStyle w:val="Heading4"/>
      </w:pPr>
      <w:bookmarkStart w:id="218" w:name="_Toc202899962"/>
      <w:r w:rsidRPr="72B4EEE6">
        <w:t>5.</w:t>
      </w:r>
      <w:r w:rsidR="00784B92">
        <w:t>5</w:t>
      </w:r>
      <w:r w:rsidRPr="72B4EEE6">
        <w:t>.</w:t>
      </w:r>
      <w:r w:rsidR="00021FC7">
        <w:t>1</w:t>
      </w:r>
      <w:r>
        <w:tab/>
      </w:r>
      <w:r w:rsidRPr="72B4EEE6">
        <w:t xml:space="preserve">Arrangements for Participants </w:t>
      </w:r>
      <w:r>
        <w:t xml:space="preserve">with </w:t>
      </w:r>
      <w:r w:rsidRPr="72B4EEE6">
        <w:t>Mutual Obligation</w:t>
      </w:r>
      <w:r>
        <w:t xml:space="preserve"> Requirements</w:t>
      </w:r>
      <w:bookmarkEnd w:id="218"/>
    </w:p>
    <w:p w14:paraId="426E4F26" w14:textId="580AFB97" w:rsidR="00CA0785" w:rsidRDefault="00CA0785" w:rsidP="00527DBD">
      <w:pPr>
        <w:keepLines/>
      </w:pPr>
      <w:r>
        <w:t xml:space="preserve">By the end of the Initial Engagement Period, and throughout the Participant’s Period of Service, </w:t>
      </w:r>
      <w:r w:rsidR="00131ECF">
        <w:t>it</w:t>
      </w:r>
      <w:r>
        <w:t xml:space="preserve"> is </w:t>
      </w:r>
      <w:r w:rsidR="00131ECF">
        <w:t>expected that</w:t>
      </w:r>
      <w:r>
        <w:t xml:space="preserve"> Participants (Mutual Obligation) </w:t>
      </w:r>
      <w:r w:rsidR="00131ECF">
        <w:t xml:space="preserve">will have agreed to </w:t>
      </w:r>
      <w:r w:rsidR="00527DBD">
        <w:t>Appointments and Contacts with their Provider. This agreement would include the</w:t>
      </w:r>
      <w:r w:rsidR="00131ECF">
        <w:t xml:space="preserve"> frequency </w:t>
      </w:r>
      <w:r w:rsidR="00F811DE">
        <w:t xml:space="preserve">and </w:t>
      </w:r>
      <w:r w:rsidR="00275F44">
        <w:t>Engagement Methods</w:t>
      </w:r>
      <w:r w:rsidR="00131ECF">
        <w:t xml:space="preserve">, </w:t>
      </w:r>
      <w:r w:rsidR="00527DBD">
        <w:t xml:space="preserve">and </w:t>
      </w:r>
      <w:r w:rsidR="00D108FA">
        <w:t>a</w:t>
      </w:r>
      <w:r w:rsidR="00131ECF">
        <w:t xml:space="preserve"> </w:t>
      </w:r>
      <w:r w:rsidR="00527DBD">
        <w:t xml:space="preserve">possible </w:t>
      </w:r>
      <w:r w:rsidR="00131ECF">
        <w:t>schedule for Contact Appointments</w:t>
      </w:r>
      <w:r w:rsidR="00B74EDC">
        <w:t xml:space="preserve"> booked in the Participant’s Electronic Calendar</w:t>
      </w:r>
      <w:r w:rsidR="00131ECF">
        <w:t xml:space="preserve">. </w:t>
      </w:r>
    </w:p>
    <w:p w14:paraId="5A0CBAA3" w14:textId="18929B8D" w:rsidR="005B7CD3" w:rsidRDefault="003060BB" w:rsidP="00CA0785">
      <w:pPr>
        <w:keepNext/>
      </w:pPr>
      <w:r>
        <w:t>It is expected that m</w:t>
      </w:r>
      <w:r w:rsidR="007A6824">
        <w:t>ost</w:t>
      </w:r>
      <w:r w:rsidR="00CA0785">
        <w:t xml:space="preserve"> Participant </w:t>
      </w:r>
      <w:r w:rsidR="00131ECF">
        <w:t>(Mutual Obligation)</w:t>
      </w:r>
      <w:r w:rsidR="00CA0785">
        <w:t xml:space="preserve"> will </w:t>
      </w:r>
      <w:r w:rsidR="00732759">
        <w:t>be</w:t>
      </w:r>
      <w:r w:rsidR="00CA0785">
        <w:t xml:space="preserve"> undertak</w:t>
      </w:r>
      <w:r w:rsidR="00732759">
        <w:t>ing</w:t>
      </w:r>
      <w:r w:rsidR="00CA0785">
        <w:t xml:space="preserve"> a range of different tasks and activities to </w:t>
      </w:r>
      <w:r w:rsidR="00941823">
        <w:t>demonstrate they are meaningfully engaging</w:t>
      </w:r>
      <w:r w:rsidR="00CC0278">
        <w:t xml:space="preserve"> and satisfying </w:t>
      </w:r>
      <w:r w:rsidR="00412AE5">
        <w:t>their requirements under Social Security Law</w:t>
      </w:r>
      <w:r w:rsidR="00A117DA">
        <w:t>, unless they are receiving the Flexible Service, Post Placement Support or Ongoing Support</w:t>
      </w:r>
      <w:r w:rsidR="00CA0785">
        <w:t>.</w:t>
      </w:r>
    </w:p>
    <w:p w14:paraId="2BEEFC38" w14:textId="667BCDF5" w:rsidR="00CA0785" w:rsidRDefault="002007A1" w:rsidP="00CA0785">
      <w:pPr>
        <w:keepNext/>
      </w:pPr>
      <w:r>
        <w:t xml:space="preserve">Depending on what is right </w:t>
      </w:r>
      <w:r w:rsidRPr="2190AEAE">
        <w:t>for the</w:t>
      </w:r>
      <w:r>
        <w:t xml:space="preserve"> Participant’s</w:t>
      </w:r>
      <w:r w:rsidRPr="2190AEAE">
        <w:t xml:space="preserve"> circumstances and phase</w:t>
      </w:r>
      <w:r>
        <w:t>,</w:t>
      </w:r>
      <w:r w:rsidR="00CA0785">
        <w:t xml:space="preserve"> </w:t>
      </w:r>
      <w:r>
        <w:t xml:space="preserve">the </w:t>
      </w:r>
      <w:r w:rsidR="00CA0785">
        <w:t xml:space="preserve">tasks and activities </w:t>
      </w:r>
      <w:r w:rsidR="00520F05">
        <w:t xml:space="preserve">agreed to </w:t>
      </w:r>
      <w:r>
        <w:t>would</w:t>
      </w:r>
      <w:r w:rsidR="006C257D">
        <w:t xml:space="preserve"> </w:t>
      </w:r>
      <w:r w:rsidR="005203FE">
        <w:t xml:space="preserve">generally </w:t>
      </w:r>
      <w:r w:rsidR="006C257D">
        <w:t xml:space="preserve">be aimed at helping the Participant to find and/or maintain work. </w:t>
      </w:r>
      <w:r w:rsidR="002E68A3">
        <w:t xml:space="preserve">Tasks and activities </w:t>
      </w:r>
      <w:r w:rsidR="006A5994">
        <w:t>included as part of the plan for meaningfully engaging</w:t>
      </w:r>
      <w:r w:rsidR="002E68A3">
        <w:t xml:space="preserve"> would either</w:t>
      </w:r>
      <w:r w:rsidR="006C257D">
        <w:t>:</w:t>
      </w:r>
    </w:p>
    <w:p w14:paraId="0A4EB714" w14:textId="1A285CC4" w:rsidR="00CA0785" w:rsidRDefault="00CA0785" w:rsidP="00CA0785">
      <w:pPr>
        <w:pStyle w:val="BulletLevel1"/>
      </w:pPr>
      <w:r>
        <w:t>help them learn to manage or overcome Vocational and Non-Vocational Barriers that are impeding their progress towards sustainable Open Employment</w:t>
      </w:r>
    </w:p>
    <w:p w14:paraId="30D61EFA" w14:textId="3A0D73CE" w:rsidR="006D761C" w:rsidRDefault="00CA0785" w:rsidP="00CA0785">
      <w:pPr>
        <w:pStyle w:val="BulletLevel1"/>
      </w:pPr>
      <w:r>
        <w:t xml:space="preserve">demonstrate that they actively looking for work — such as </w:t>
      </w:r>
      <w:r w:rsidR="00593952">
        <w:t>tasks</w:t>
      </w:r>
      <w:r>
        <w:t xml:space="preserve"> related to </w:t>
      </w:r>
      <w:r w:rsidR="000750E8">
        <w:t>Job Search,</w:t>
      </w:r>
      <w:r>
        <w:t xml:space="preserve"> Job Interviews and actioning Job Referral</w:t>
      </w:r>
      <w:r w:rsidR="00593952">
        <w:t>s</w:t>
      </w:r>
    </w:p>
    <w:p w14:paraId="08D23FBA" w14:textId="2B5C3223" w:rsidR="00CA0785" w:rsidRDefault="006D761C" w:rsidP="00CA0785">
      <w:pPr>
        <w:pStyle w:val="BulletLevel1"/>
      </w:pPr>
      <w:r>
        <w:t xml:space="preserve">be selected to help the Participant in achieving their Employment Goal, </w:t>
      </w:r>
      <w:r w:rsidR="00CA0785">
        <w:t>and/or</w:t>
      </w:r>
    </w:p>
    <w:p w14:paraId="43902071" w14:textId="3954213B" w:rsidR="00A24964" w:rsidRDefault="00CA0785" w:rsidP="00A24964">
      <w:pPr>
        <w:pStyle w:val="BulletLevel1"/>
      </w:pPr>
      <w:r>
        <w:t xml:space="preserve">reflect they are in </w:t>
      </w:r>
      <w:r w:rsidR="00870A36">
        <w:t>Open E</w:t>
      </w:r>
      <w:r>
        <w:t>mployment.</w:t>
      </w:r>
    </w:p>
    <w:p w14:paraId="2DFFBCFC" w14:textId="47241609" w:rsidR="002F1CB8" w:rsidRPr="002F1CB8" w:rsidRDefault="002F1CB8" w:rsidP="002F1CB8">
      <w:pPr>
        <w:jc w:val="both"/>
      </w:pPr>
      <w:r w:rsidRPr="002F1CB8">
        <w:rPr>
          <w:b/>
          <w:bCs/>
        </w:rPr>
        <w:t xml:space="preserve">Note: </w:t>
      </w:r>
      <w:r>
        <w:t xml:space="preserve">Job Search can be included as a task if the Provider </w:t>
      </w:r>
      <w:r w:rsidR="008A647D">
        <w:t>believes it will benefit the Participant.</w:t>
      </w:r>
    </w:p>
    <w:p w14:paraId="79092F4B" w14:textId="1AC4A6DC" w:rsidR="00CA0785" w:rsidRDefault="00CA0785" w:rsidP="00CA0785">
      <w:pPr>
        <w:pStyle w:val="Heading4"/>
      </w:pPr>
      <w:bookmarkStart w:id="219" w:name="_Toc202899963"/>
      <w:r w:rsidRPr="72B4EEE6">
        <w:t>5.</w:t>
      </w:r>
      <w:r w:rsidR="00784B92">
        <w:t>5</w:t>
      </w:r>
      <w:r w:rsidRPr="72B4EEE6">
        <w:t>.</w:t>
      </w:r>
      <w:r w:rsidR="00021FC7">
        <w:t>2</w:t>
      </w:r>
      <w:r>
        <w:tab/>
      </w:r>
      <w:r w:rsidRPr="72B4EEE6">
        <w:t xml:space="preserve">Arrangements for DSP Recipients </w:t>
      </w:r>
      <w:r>
        <w:t>with c</w:t>
      </w:r>
      <w:r w:rsidRPr="72B4EEE6">
        <w:t xml:space="preserve">ompulsory </w:t>
      </w:r>
      <w:r>
        <w:t>participation r</w:t>
      </w:r>
      <w:r w:rsidRPr="72B4EEE6">
        <w:t>equirement</w:t>
      </w:r>
      <w:r>
        <w:t>s</w:t>
      </w:r>
      <w:bookmarkEnd w:id="219"/>
    </w:p>
    <w:p w14:paraId="2A8B908B" w14:textId="03986FFA" w:rsidR="00431EEF" w:rsidRDefault="00CA0785" w:rsidP="00CA0785">
      <w:r w:rsidRPr="2190AEAE">
        <w:t xml:space="preserve">By the end of the </w:t>
      </w:r>
      <w:r>
        <w:t>Initial Engagement Period</w:t>
      </w:r>
      <w:r w:rsidRPr="2190AEAE">
        <w:t xml:space="preserve">, and throughout the Participant’s Period of Service, </w:t>
      </w:r>
      <w:r w:rsidR="00431EEF">
        <w:t xml:space="preserve">it is expected that DSP Recipients (Compulsory Requirements) will have agreed </w:t>
      </w:r>
      <w:r w:rsidR="00AA0F73">
        <w:t xml:space="preserve">to Appointments and Contacts with their Provider. This agreement would include the frequency </w:t>
      </w:r>
      <w:r w:rsidR="00B74EDC">
        <w:t xml:space="preserve">and Engagement Methods, and a possible schedule for Contact Appointments booked in </w:t>
      </w:r>
      <w:r w:rsidR="00702CE9">
        <w:t xml:space="preserve">advance in </w:t>
      </w:r>
      <w:r w:rsidR="00B74EDC">
        <w:t>the Participant’s Electronic Calendar</w:t>
      </w:r>
      <w:r w:rsidR="00431EEF">
        <w:t>.</w:t>
      </w:r>
    </w:p>
    <w:p w14:paraId="6F34874E" w14:textId="2F570D00" w:rsidR="008929E7" w:rsidRDefault="00431EEF" w:rsidP="00CA0785">
      <w:r>
        <w:t xml:space="preserve">Whether a </w:t>
      </w:r>
      <w:r w:rsidR="00853DCF" w:rsidRPr="2190AEAE">
        <w:t xml:space="preserve">DSP Recipients (Compulsory Requirements) </w:t>
      </w:r>
      <w:r w:rsidR="00853DCF">
        <w:t>has other tasks and activities will</w:t>
      </w:r>
      <w:r w:rsidR="00CA0785" w:rsidRPr="2190AEAE">
        <w:t xml:space="preserve"> depend on </w:t>
      </w:r>
      <w:r w:rsidR="0098245F">
        <w:t>if</w:t>
      </w:r>
      <w:r w:rsidR="00CA0785" w:rsidRPr="2190AEAE">
        <w:t xml:space="preserve"> they are right for the</w:t>
      </w:r>
      <w:r w:rsidR="00BC0BD6">
        <w:t xml:space="preserve"> Participant’s</w:t>
      </w:r>
      <w:r w:rsidR="00CA0785" w:rsidRPr="2190AEAE">
        <w:t xml:space="preserve"> circumstances and phase</w:t>
      </w:r>
      <w:r w:rsidR="00BC0BD6">
        <w:t>.</w:t>
      </w:r>
      <w:r w:rsidR="00E0458A">
        <w:t xml:space="preserve"> </w:t>
      </w:r>
    </w:p>
    <w:p w14:paraId="3665B443" w14:textId="17A21D12" w:rsidR="008929E7" w:rsidRDefault="008929E7" w:rsidP="00CA0785">
      <w:r>
        <w:t xml:space="preserve">It is expected that most </w:t>
      </w:r>
      <w:r w:rsidR="008C288F" w:rsidRPr="2190AEAE">
        <w:t>DSP Recipients (Compulsory Requirements)</w:t>
      </w:r>
      <w:r>
        <w:t xml:space="preserve"> will undertake work preparation activities or job search activities in order to demonstrate they are meaningfully engaging and satisfying their requirements under Social Security Law, unless they are receiving the Flexible Service, Post Placement Support or Ongoing Support.</w:t>
      </w:r>
    </w:p>
    <w:p w14:paraId="1AB1082E" w14:textId="7DCCDC93" w:rsidR="00D66072" w:rsidRDefault="008929E7" w:rsidP="00CA0785">
      <w:r>
        <w:t>Other</w:t>
      </w:r>
      <w:r w:rsidR="00D3286E">
        <w:t xml:space="preserve"> tasks and activities </w:t>
      </w:r>
      <w:r w:rsidR="00520F05">
        <w:t xml:space="preserve">agreed to </w:t>
      </w:r>
      <w:r w:rsidR="00D3286E">
        <w:t xml:space="preserve">would generally be aimed at </w:t>
      </w:r>
      <w:r w:rsidR="00342C46">
        <w:t xml:space="preserve">helping the Participant to </w:t>
      </w:r>
      <w:r w:rsidR="005E4DE5">
        <w:t xml:space="preserve">achieve their Employment Goal, </w:t>
      </w:r>
      <w:r w:rsidR="00342C46">
        <w:t>prepare for</w:t>
      </w:r>
      <w:r w:rsidR="00982884">
        <w:t xml:space="preserve"> work</w:t>
      </w:r>
      <w:r w:rsidR="00342C46">
        <w:t xml:space="preserve"> and/or </w:t>
      </w:r>
      <w:r w:rsidR="00433E49">
        <w:t>look for</w:t>
      </w:r>
      <w:r w:rsidR="00342C46">
        <w:t xml:space="preserve"> </w:t>
      </w:r>
      <w:r w:rsidR="00982884">
        <w:t>work</w:t>
      </w:r>
      <w:r w:rsidR="005E4DE5">
        <w:t>.</w:t>
      </w:r>
    </w:p>
    <w:p w14:paraId="2EBA71D6" w14:textId="522B8BA5" w:rsidR="00CA0785" w:rsidRPr="006118AC" w:rsidRDefault="00CA0785" w:rsidP="00CA0785">
      <w:pPr>
        <w:pStyle w:val="Heading4"/>
      </w:pPr>
      <w:bookmarkStart w:id="220" w:name="_Toc202899964"/>
      <w:r w:rsidRPr="72B4EEE6">
        <w:t>5.</w:t>
      </w:r>
      <w:r w:rsidR="00784B92">
        <w:t>5</w:t>
      </w:r>
      <w:r w:rsidRPr="72B4EEE6">
        <w:t>.</w:t>
      </w:r>
      <w:r w:rsidR="00021FC7">
        <w:t>3</w:t>
      </w:r>
      <w:r>
        <w:tab/>
      </w:r>
      <w:r w:rsidRPr="72B4EEE6">
        <w:t>Arrangements for Participants (Voluntary)</w:t>
      </w:r>
      <w:bookmarkEnd w:id="220"/>
    </w:p>
    <w:p w14:paraId="731E0891" w14:textId="08CB6407" w:rsidR="00021FC7" w:rsidRDefault="00021FC7" w:rsidP="00021FC7">
      <w:r w:rsidRPr="2190AEAE">
        <w:t xml:space="preserve">By the end of the </w:t>
      </w:r>
      <w:r>
        <w:t>Initial Engagement Period</w:t>
      </w:r>
      <w:r w:rsidRPr="2190AEAE">
        <w:t xml:space="preserve">, and throughout the Participant’s Period of Service, </w:t>
      </w:r>
      <w:r>
        <w:t>it is expected that</w:t>
      </w:r>
      <w:r w:rsidR="00962692">
        <w:t xml:space="preserve"> </w:t>
      </w:r>
      <w:r w:rsidR="006B6A44">
        <w:t>Participants (Voluntary</w:t>
      </w:r>
      <w:r>
        <w:t xml:space="preserve">) will have agreed to the frequency </w:t>
      </w:r>
      <w:r w:rsidR="00764EFC">
        <w:t xml:space="preserve">and Engagement Methods for staying in </w:t>
      </w:r>
      <w:r>
        <w:t>Contact with their Provider.</w:t>
      </w:r>
    </w:p>
    <w:p w14:paraId="35754904" w14:textId="67E410E4" w:rsidR="004D7359" w:rsidRDefault="00DA31D0" w:rsidP="00CA0785">
      <w:r>
        <w:rPr>
          <w:rFonts w:cstheme="minorHAnsi"/>
        </w:rPr>
        <w:t>Other</w:t>
      </w:r>
      <w:r>
        <w:t xml:space="preserve"> tasks and activities </w:t>
      </w:r>
      <w:r>
        <w:rPr>
          <w:rFonts w:cstheme="minorHAnsi"/>
        </w:rPr>
        <w:t>agree to</w:t>
      </w:r>
      <w:r w:rsidR="00CA0785" w:rsidRPr="143F9EFD">
        <w:t xml:space="preserve"> should be based on each Participant’s individual circumstances and reasons for registering for </w:t>
      </w:r>
      <w:r w:rsidR="00C74C33">
        <w:t>Inclusive Employment Australia</w:t>
      </w:r>
      <w:r w:rsidR="00CA0785" w:rsidRPr="143F9EFD">
        <w:t xml:space="preserve">. </w:t>
      </w:r>
      <w:r w:rsidR="002959A3">
        <w:t>T</w:t>
      </w:r>
      <w:r w:rsidR="00CA0785" w:rsidRPr="143F9EFD">
        <w:t>his</w:t>
      </w:r>
      <w:r w:rsidR="003F50BD">
        <w:t xml:space="preserve"> </w:t>
      </w:r>
      <w:r w:rsidR="002959A3">
        <w:t>c</w:t>
      </w:r>
      <w:r w:rsidR="003F50BD">
        <w:t>ould</w:t>
      </w:r>
      <w:r w:rsidR="00CA0785" w:rsidRPr="143F9EFD">
        <w:t xml:space="preserve"> include </w:t>
      </w:r>
      <w:r w:rsidR="00CA0785">
        <w:t>work preparation activities, j</w:t>
      </w:r>
      <w:r w:rsidR="00CA0785" w:rsidRPr="143F9EFD">
        <w:t xml:space="preserve">ob </w:t>
      </w:r>
      <w:r w:rsidR="00CA0785">
        <w:t>s</w:t>
      </w:r>
      <w:r w:rsidR="00CA0785" w:rsidRPr="143F9EFD">
        <w:t xml:space="preserve">earch </w:t>
      </w:r>
      <w:r w:rsidR="00CA0785">
        <w:t>activities</w:t>
      </w:r>
      <w:r w:rsidR="00CA0785" w:rsidRPr="143F9EFD">
        <w:t xml:space="preserve">, Education and Training, and/or other </w:t>
      </w:r>
      <w:r w:rsidR="00CA0785">
        <w:t>tasks and a</w:t>
      </w:r>
      <w:r w:rsidR="00CA0785" w:rsidRPr="143F9EFD">
        <w:t xml:space="preserve">ctivities </w:t>
      </w:r>
      <w:r w:rsidR="00CA0785">
        <w:t>that will</w:t>
      </w:r>
      <w:r w:rsidR="00CA0785" w:rsidRPr="143F9EFD">
        <w:t xml:space="preserve"> improve the Participant’s employability.</w:t>
      </w:r>
    </w:p>
    <w:p w14:paraId="3485922E" w14:textId="628CB253" w:rsidR="00D74559" w:rsidRPr="008212EF" w:rsidRDefault="00D74559" w:rsidP="001D0F92">
      <w:pPr>
        <w:pStyle w:val="Heading4"/>
      </w:pPr>
      <w:bookmarkStart w:id="221" w:name="_Ref202789001"/>
      <w:bookmarkStart w:id="222" w:name="_Ref202875632"/>
      <w:bookmarkStart w:id="223" w:name="_Ref202877362"/>
      <w:bookmarkStart w:id="224" w:name="_Toc202899965"/>
      <w:r w:rsidRPr="008212EF">
        <w:t>5.5.4</w:t>
      </w:r>
      <w:r w:rsidR="00E06A6F">
        <w:tab/>
      </w:r>
      <w:r w:rsidRPr="008212EF">
        <w:t>Determining if a Participant is meeting the Meaningful Engagement Requirement</w:t>
      </w:r>
      <w:bookmarkEnd w:id="221"/>
      <w:bookmarkEnd w:id="222"/>
      <w:bookmarkEnd w:id="223"/>
      <w:bookmarkEnd w:id="224"/>
    </w:p>
    <w:p w14:paraId="0D2E84C8" w14:textId="281D7021" w:rsidR="00916A2F" w:rsidRDefault="00431C28" w:rsidP="006E2EF5">
      <w:r w:rsidRPr="00E43D00">
        <w:t>Provider</w:t>
      </w:r>
      <w:r>
        <w:t xml:space="preserve">s have discretion to determine whether </w:t>
      </w:r>
      <w:r w:rsidR="008224B5">
        <w:t xml:space="preserve">or not </w:t>
      </w:r>
      <w:r>
        <w:t>a Participant</w:t>
      </w:r>
      <w:r w:rsidR="00242E58">
        <w:t xml:space="preserve"> is </w:t>
      </w:r>
      <w:r w:rsidR="00DB3F74">
        <w:t>satisf</w:t>
      </w:r>
      <w:r w:rsidR="00242E58">
        <w:t>ying</w:t>
      </w:r>
      <w:r>
        <w:t xml:space="preserve"> the Meaningful Engagement </w:t>
      </w:r>
      <w:r w:rsidR="002F1F8E">
        <w:t>R</w:t>
      </w:r>
      <w:r>
        <w:t>equirement</w:t>
      </w:r>
      <w:r w:rsidR="002655A1">
        <w:t>.</w:t>
      </w:r>
    </w:p>
    <w:p w14:paraId="71642FDE" w14:textId="15116905" w:rsidR="00B5331D" w:rsidRDefault="00916A2F" w:rsidP="006E2EF5">
      <w:r>
        <w:t xml:space="preserve">Providers will </w:t>
      </w:r>
      <w:r w:rsidR="00EE3D14">
        <w:t xml:space="preserve">need to </w:t>
      </w:r>
      <w:r>
        <w:t>conduct a</w:t>
      </w:r>
      <w:r w:rsidR="00356CAA">
        <w:t xml:space="preserve"> </w:t>
      </w:r>
      <w:r w:rsidR="007D64EB">
        <w:t xml:space="preserve">regular </w:t>
      </w:r>
      <w:r w:rsidR="00356CAA">
        <w:t xml:space="preserve">review of the tasks and activities that </w:t>
      </w:r>
      <w:r w:rsidR="0089002B">
        <w:t>are in the recorded</w:t>
      </w:r>
      <w:r w:rsidR="00352125">
        <w:t>, current</w:t>
      </w:r>
      <w:r w:rsidR="0089002B">
        <w:t xml:space="preserve"> plan of agreed tasks and activities </w:t>
      </w:r>
      <w:r w:rsidR="00B5331D">
        <w:t>— those that</w:t>
      </w:r>
      <w:r w:rsidR="008B4645">
        <w:t xml:space="preserve"> </w:t>
      </w:r>
      <w:r w:rsidR="00B5331D">
        <w:t>the Participant requested be included</w:t>
      </w:r>
      <w:r w:rsidR="00B0198A">
        <w:t xml:space="preserve"> and/</w:t>
      </w:r>
      <w:r w:rsidR="00B5331D">
        <w:t xml:space="preserve">or </w:t>
      </w:r>
      <w:r w:rsidR="00B0198A">
        <w:t>the Provider directed the Participant to do —</w:t>
      </w:r>
      <w:r w:rsidR="00B5331D">
        <w:t xml:space="preserve"> </w:t>
      </w:r>
      <w:r>
        <w:t xml:space="preserve">to determine </w:t>
      </w:r>
      <w:r w:rsidR="00D520AF">
        <w:t>if</w:t>
      </w:r>
      <w:r>
        <w:t xml:space="preserve"> the requirement has been met.</w:t>
      </w:r>
    </w:p>
    <w:p w14:paraId="432593EC" w14:textId="489D6B53" w:rsidR="00BD4F92" w:rsidRDefault="008642CA" w:rsidP="006E2EF5">
      <w:r>
        <w:t xml:space="preserve">If the Participant is </w:t>
      </w:r>
      <w:r w:rsidR="008B5BE6">
        <w:t xml:space="preserve">participating appropriately and </w:t>
      </w:r>
      <w:r>
        <w:t>undertaking the agreed tasks and activities</w:t>
      </w:r>
      <w:r w:rsidR="00FE3082">
        <w:t xml:space="preserve"> </w:t>
      </w:r>
      <w:r w:rsidR="008B5BE6">
        <w:t xml:space="preserve">as planned, </w:t>
      </w:r>
      <w:r>
        <w:t>they must be considered to be fully engaged</w:t>
      </w:r>
      <w:r w:rsidR="00D653DD">
        <w:t>.</w:t>
      </w:r>
    </w:p>
    <w:p w14:paraId="6B1BC4B5" w14:textId="73E0B9FD" w:rsidR="00A629DD" w:rsidRDefault="00916A2F" w:rsidP="006E2EF5">
      <w:r>
        <w:t xml:space="preserve">In cases where the Participant </w:t>
      </w:r>
      <w:r w:rsidR="00D16C5C">
        <w:t>does not</w:t>
      </w:r>
      <w:r w:rsidR="00E6771E">
        <w:t xml:space="preserve"> engage (i.e. does not</w:t>
      </w:r>
      <w:r w:rsidR="00D16C5C">
        <w:t xml:space="preserve"> do</w:t>
      </w:r>
      <w:r w:rsidR="004D76F1">
        <w:t xml:space="preserve"> a task or activity that they agreed to</w:t>
      </w:r>
      <w:r w:rsidR="00E6771E">
        <w:t>)</w:t>
      </w:r>
      <w:r w:rsidR="004D76F1">
        <w:t xml:space="preserve"> </w:t>
      </w:r>
      <w:r w:rsidR="00FE3082">
        <w:t xml:space="preserve">or </w:t>
      </w:r>
      <w:r w:rsidR="006B37AC">
        <w:t xml:space="preserve">has acted in an inappropriate manner during an Appointment or Activity, </w:t>
      </w:r>
      <w:r w:rsidR="004D76F1">
        <w:t xml:space="preserve">Providers should </w:t>
      </w:r>
      <w:r w:rsidR="008C3227">
        <w:t xml:space="preserve">contact the Participant as soon as possible </w:t>
      </w:r>
      <w:r w:rsidR="00D16C5C">
        <w:t>to give them the opportunity to provide a reason for non-attendance</w:t>
      </w:r>
      <w:r w:rsidR="00FA09B3">
        <w:t xml:space="preserve">, </w:t>
      </w:r>
      <w:r w:rsidR="00D16C5C">
        <w:t>non-comp</w:t>
      </w:r>
      <w:r w:rsidR="000A166A">
        <w:t>letion</w:t>
      </w:r>
      <w:r w:rsidR="00FA09B3">
        <w:t xml:space="preserve"> or </w:t>
      </w:r>
      <w:r w:rsidR="009D6182">
        <w:t>inappropriate</w:t>
      </w:r>
      <w:r w:rsidR="00FA09B3">
        <w:t xml:space="preserve"> </w:t>
      </w:r>
      <w:r w:rsidR="000F6C72">
        <w:t>behaviours</w:t>
      </w:r>
      <w:r w:rsidR="000A166A">
        <w:t>.</w:t>
      </w:r>
    </w:p>
    <w:p w14:paraId="4285BDAF" w14:textId="002E4A89" w:rsidR="000A166A" w:rsidRDefault="000A166A" w:rsidP="006E2EF5">
      <w:r>
        <w:t>Provider</w:t>
      </w:r>
      <w:r w:rsidR="00DD33DC">
        <w:t>s</w:t>
      </w:r>
      <w:r>
        <w:t xml:space="preserve"> ha</w:t>
      </w:r>
      <w:r w:rsidR="00DD33DC">
        <w:t>ve</w:t>
      </w:r>
      <w:r>
        <w:t xml:space="preserve"> discretion </w:t>
      </w:r>
      <w:r w:rsidR="008224B5">
        <w:t>in</w:t>
      </w:r>
      <w:r>
        <w:t xml:space="preserve"> </w:t>
      </w:r>
      <w:r w:rsidR="008224B5">
        <w:t>whether they will accept</w:t>
      </w:r>
      <w:r>
        <w:t xml:space="preserve"> the reason provided or not. Providers are encouraged to take what the Participant says in </w:t>
      </w:r>
      <w:r w:rsidR="00DD33DC">
        <w:t xml:space="preserve">good faith and use their judgement when determining </w:t>
      </w:r>
      <w:r w:rsidR="00D520AF">
        <w:t>if</w:t>
      </w:r>
      <w:r w:rsidR="00DD33DC">
        <w:t xml:space="preserve"> to accept the reason.</w:t>
      </w:r>
      <w:r w:rsidR="002967EF">
        <w:t xml:space="preserve"> At a minimum, a good reason would that one that would otherwise be considered a Valid Reason (for a Mutual Obligation Failure) or reasonable excuse (for DSP non-compliance). Examples of good reasons include, but are not limited to:</w:t>
      </w:r>
    </w:p>
    <w:p w14:paraId="4CF09236" w14:textId="13FE58EA" w:rsidR="002967EF" w:rsidRDefault="002967EF" w:rsidP="002967EF">
      <w:pPr>
        <w:pStyle w:val="BulletLevel1"/>
      </w:pPr>
      <w:r>
        <w:t>conflict</w:t>
      </w:r>
      <w:r w:rsidR="00E54BFF">
        <w:t xml:space="preserve"> with work hours</w:t>
      </w:r>
    </w:p>
    <w:p w14:paraId="7026F536" w14:textId="66E27405" w:rsidR="002967EF" w:rsidRDefault="002967EF" w:rsidP="002967EF">
      <w:pPr>
        <w:pStyle w:val="BulletLevel1"/>
      </w:pPr>
      <w:r>
        <w:t>illness or injury</w:t>
      </w:r>
    </w:p>
    <w:p w14:paraId="3BEAAE6C" w14:textId="77777777" w:rsidR="0067681B" w:rsidRDefault="0067681B" w:rsidP="0067681B">
      <w:pPr>
        <w:pStyle w:val="BulletLevel1"/>
      </w:pPr>
      <w:r>
        <w:t>mental health issues</w:t>
      </w:r>
    </w:p>
    <w:p w14:paraId="79572F84" w14:textId="4854AC6A" w:rsidR="002967EF" w:rsidRDefault="00F0696A" w:rsidP="002967EF">
      <w:pPr>
        <w:pStyle w:val="BulletLevel1"/>
      </w:pPr>
      <w:r>
        <w:t xml:space="preserve">family and </w:t>
      </w:r>
      <w:r w:rsidR="002967EF">
        <w:t>caring responsibilities</w:t>
      </w:r>
    </w:p>
    <w:p w14:paraId="3845D1A8" w14:textId="5667F60B" w:rsidR="002967EF" w:rsidRDefault="002967EF" w:rsidP="002967EF">
      <w:pPr>
        <w:pStyle w:val="BulletLevel1"/>
      </w:pPr>
      <w:r>
        <w:t>inability to get to an Appointment or Activity (for example, IT failure, transport issues</w:t>
      </w:r>
      <w:r w:rsidR="00665AE5">
        <w:t>, issues with childcare</w:t>
      </w:r>
      <w:r>
        <w:t>)</w:t>
      </w:r>
    </w:p>
    <w:p w14:paraId="379DA0BE" w14:textId="57194437" w:rsidR="00642621" w:rsidRDefault="00642621" w:rsidP="002967EF">
      <w:pPr>
        <w:pStyle w:val="BulletLevel1"/>
      </w:pPr>
      <w:r>
        <w:t>death in the family</w:t>
      </w:r>
      <w:r w:rsidR="0077745A">
        <w:t>, or</w:t>
      </w:r>
    </w:p>
    <w:p w14:paraId="0CE1FADD" w14:textId="13042EDD" w:rsidR="00DC4274" w:rsidRDefault="0077745A" w:rsidP="002967EF">
      <w:pPr>
        <w:pStyle w:val="BulletLevel1"/>
      </w:pPr>
      <w:r>
        <w:t xml:space="preserve">other </w:t>
      </w:r>
      <w:r w:rsidR="00DC4274">
        <w:t>personal crisis</w:t>
      </w:r>
      <w:r>
        <w:t>.</w:t>
      </w:r>
    </w:p>
    <w:p w14:paraId="54617248" w14:textId="1D8FFDE7" w:rsidR="00D45C77" w:rsidRDefault="00D40E32" w:rsidP="00D40E32">
      <w:r>
        <w:t xml:space="preserve">Providers </w:t>
      </w:r>
      <w:r w:rsidR="001237A4">
        <w:t>should</w:t>
      </w:r>
      <w:r>
        <w:t xml:space="preserve"> also seek to </w:t>
      </w:r>
      <w:r w:rsidR="00126DFF">
        <w:t xml:space="preserve">regularly </w:t>
      </w:r>
      <w:r>
        <w:t xml:space="preserve">discuss </w:t>
      </w:r>
      <w:r w:rsidR="0034191B">
        <w:t xml:space="preserve">engagement levels and </w:t>
      </w:r>
      <w:r>
        <w:t>progress overall against the agreed tasks and</w:t>
      </w:r>
      <w:r w:rsidR="00D66A9E">
        <w:t xml:space="preserve"> activities</w:t>
      </w:r>
      <w:r>
        <w:t xml:space="preserve">, in order to ensure that each Participant </w:t>
      </w:r>
      <w:r w:rsidR="00AE1538">
        <w:t>is</w:t>
      </w:r>
      <w:r>
        <w:t xml:space="preserve"> </w:t>
      </w:r>
      <w:r w:rsidR="00D66A9E">
        <w:t xml:space="preserve">aware of whether </w:t>
      </w:r>
      <w:r w:rsidR="006D6F05">
        <w:t xml:space="preserve">or not </w:t>
      </w:r>
      <w:r w:rsidR="00D66A9E">
        <w:t xml:space="preserve">they are </w:t>
      </w:r>
      <w:r w:rsidR="00AE1538">
        <w:t>meeting the M</w:t>
      </w:r>
      <w:r>
        <w:t xml:space="preserve">eaningful </w:t>
      </w:r>
      <w:r w:rsidR="00AE1538">
        <w:t>E</w:t>
      </w:r>
      <w:r>
        <w:t>ngagement</w:t>
      </w:r>
      <w:r w:rsidR="00AE1538">
        <w:t xml:space="preserve"> Requirement</w:t>
      </w:r>
      <w:r>
        <w:t>.</w:t>
      </w:r>
    </w:p>
    <w:p w14:paraId="42250ABB" w14:textId="67AA6BB1" w:rsidR="00524820" w:rsidRDefault="00D45C77" w:rsidP="00E30D49">
      <w:r>
        <w:t xml:space="preserve">Where a Provider thinks that a Participant may not be </w:t>
      </w:r>
      <w:r w:rsidR="00B54BD0">
        <w:t>fully satisfying</w:t>
      </w:r>
      <w:r>
        <w:t xml:space="preserve"> </w:t>
      </w:r>
      <w:r w:rsidR="000E1D58">
        <w:t>their</w:t>
      </w:r>
      <w:r>
        <w:t xml:space="preserve"> </w:t>
      </w:r>
      <w:r w:rsidR="000E1D58">
        <w:t>requirement</w:t>
      </w:r>
      <w:r w:rsidR="00344229">
        <w:t xml:space="preserve"> to meaningfully engage, </w:t>
      </w:r>
      <w:r w:rsidR="00E959B4">
        <w:t xml:space="preserve">Providers must </w:t>
      </w:r>
      <w:r w:rsidR="00955D46">
        <w:t>inform the Participant of their</w:t>
      </w:r>
      <w:r w:rsidR="002C6460">
        <w:t xml:space="preserve"> concerns and seek to </w:t>
      </w:r>
      <w:r w:rsidR="004971FC">
        <w:t xml:space="preserve">discuss </w:t>
      </w:r>
      <w:r w:rsidR="003D061E">
        <w:t xml:space="preserve">if there are factors affecting their capacity to engage. </w:t>
      </w:r>
      <w:r w:rsidR="00D40E32">
        <w:t xml:space="preserve">This discussion </w:t>
      </w:r>
      <w:r w:rsidR="00E30D49">
        <w:t>may include</w:t>
      </w:r>
      <w:r w:rsidR="00F3662D" w:rsidRPr="00F3662D">
        <w:t xml:space="preserve"> </w:t>
      </w:r>
      <w:r w:rsidR="00F3662D">
        <w:t>identifying if</w:t>
      </w:r>
      <w:r w:rsidR="00524820">
        <w:t>:</w:t>
      </w:r>
    </w:p>
    <w:p w14:paraId="6D73A78A" w14:textId="4CCAE813" w:rsidR="007467A4" w:rsidRDefault="007467A4" w:rsidP="00524820">
      <w:pPr>
        <w:pStyle w:val="BulletLevel1"/>
      </w:pPr>
      <w:r>
        <w:t>the Participant understands how to meet the Meaningful Engagement Requirement</w:t>
      </w:r>
    </w:p>
    <w:p w14:paraId="72D5DA4A" w14:textId="3DBF42D5" w:rsidR="00524820" w:rsidRDefault="00D40E32" w:rsidP="00524820">
      <w:pPr>
        <w:pStyle w:val="BulletLevel1"/>
      </w:pPr>
      <w:r>
        <w:t xml:space="preserve">the Participant has a good reason for </w:t>
      </w:r>
      <w:r w:rsidR="00005A56">
        <w:t>not fully satisfying the Meaningful Engagement Requirement</w:t>
      </w:r>
    </w:p>
    <w:p w14:paraId="65ADADF0" w14:textId="77074175" w:rsidR="00524820" w:rsidRDefault="00602A76" w:rsidP="00AE5DFC">
      <w:pPr>
        <w:pStyle w:val="BulletLevel1"/>
      </w:pPr>
      <w:r>
        <w:t>there</w:t>
      </w:r>
      <w:r w:rsidR="00524820">
        <w:t xml:space="preserve"> has been a change in circumstances that </w:t>
      </w:r>
      <w:r w:rsidR="00F15FA1">
        <w:t xml:space="preserve">is impacting their capacity to engage, which </w:t>
      </w:r>
      <w:r w:rsidR="00524820">
        <w:t>would prompt a review of the tasks and activities</w:t>
      </w:r>
    </w:p>
    <w:p w14:paraId="20ADDC69" w14:textId="1ADB3341" w:rsidR="00D40E32" w:rsidRDefault="003101F3" w:rsidP="00AE5DFC">
      <w:pPr>
        <w:pStyle w:val="BulletLevel1"/>
      </w:pPr>
      <w:r>
        <w:t xml:space="preserve">the tasks and activities </w:t>
      </w:r>
      <w:r w:rsidR="00B452E0">
        <w:t>the</w:t>
      </w:r>
      <w:r w:rsidR="00F3662D">
        <w:t xml:space="preserve"> </w:t>
      </w:r>
      <w:r w:rsidR="00602A76">
        <w:t>Participant</w:t>
      </w:r>
      <w:r w:rsidR="00B452E0">
        <w:t xml:space="preserve"> ha</w:t>
      </w:r>
      <w:r w:rsidR="00F3662D">
        <w:t>d</w:t>
      </w:r>
      <w:r w:rsidR="00B452E0">
        <w:t xml:space="preserve"> been </w:t>
      </w:r>
      <w:r w:rsidR="00F3662D">
        <w:t>directed</w:t>
      </w:r>
      <w:r w:rsidR="00B452E0">
        <w:t xml:space="preserve"> to </w:t>
      </w:r>
      <w:r w:rsidR="00602A76">
        <w:t>participate in</w:t>
      </w:r>
      <w:r w:rsidR="00B452E0">
        <w:t xml:space="preserve"> are considered</w:t>
      </w:r>
      <w:r w:rsidR="00716872">
        <w:t xml:space="preserve"> </w:t>
      </w:r>
      <w:r w:rsidR="000229E0">
        <w:t>meaningful to the Participant or if there</w:t>
      </w:r>
      <w:r w:rsidR="00656FFA">
        <w:t xml:space="preserve"> </w:t>
      </w:r>
      <w:r w:rsidR="001237A4">
        <w:t>other ways that to progress towards their Employment Goal(s)</w:t>
      </w:r>
      <w:r w:rsidR="003D5BFB">
        <w:t>, and</w:t>
      </w:r>
      <w:r w:rsidR="007467A4">
        <w:t>/or</w:t>
      </w:r>
    </w:p>
    <w:p w14:paraId="141F43A8" w14:textId="2B2DAECD" w:rsidR="003D5BFB" w:rsidRDefault="00602A76" w:rsidP="00AE5DFC">
      <w:pPr>
        <w:pStyle w:val="BulletLevel1"/>
      </w:pPr>
      <w:r>
        <w:t>the Participant requires more support</w:t>
      </w:r>
      <w:r w:rsidR="003F2FCB">
        <w:t xml:space="preserve"> in order to be able to </w:t>
      </w:r>
      <w:r w:rsidR="00ED5B08">
        <w:t>undertake the tasks and activities as agreed.</w:t>
      </w:r>
    </w:p>
    <w:p w14:paraId="543AB069" w14:textId="4B325E4E" w:rsidR="00597B54" w:rsidRDefault="00EA6BED" w:rsidP="003E125F">
      <w:r>
        <w:t>Where</w:t>
      </w:r>
      <w:r w:rsidR="00597B54">
        <w:t xml:space="preserve"> appropriate, Providers should change the agreed tasks and activities </w:t>
      </w:r>
      <w:r w:rsidR="00074550">
        <w:t xml:space="preserve">and/or ensure that the Participant understands why </w:t>
      </w:r>
      <w:r w:rsidR="00C62B91">
        <w:t>tasks and activities have been included in the plan for meaningfully engaging.</w:t>
      </w:r>
    </w:p>
    <w:p w14:paraId="22E24A40" w14:textId="77777777" w:rsidR="0006220A" w:rsidRDefault="003E125F" w:rsidP="003E125F">
      <w:r>
        <w:t xml:space="preserve">The Provider </w:t>
      </w:r>
      <w:r w:rsidR="00BF5DC5">
        <w:t>must</w:t>
      </w:r>
      <w:r w:rsidR="00435DFE">
        <w:t xml:space="preserve"> </w:t>
      </w:r>
      <w:r>
        <w:t xml:space="preserve">take steps to </w:t>
      </w:r>
      <w:r w:rsidR="00AE39A2">
        <w:t xml:space="preserve">try and </w:t>
      </w:r>
      <w:r>
        <w:t>increase the Participant’s overall engagement levels</w:t>
      </w:r>
      <w:r w:rsidR="00BF5DC5">
        <w:t xml:space="preserve"> before determining a Participant is not meeting the Meaningful Engagement Requirement</w:t>
      </w:r>
      <w:r w:rsidR="007B523F">
        <w:t xml:space="preserve">. </w:t>
      </w:r>
    </w:p>
    <w:p w14:paraId="2957957D" w14:textId="6B82B315" w:rsidR="009D5B89" w:rsidRDefault="007222E9" w:rsidP="0006220A">
      <w:pPr>
        <w:pStyle w:val="DocumentaryEvidenceRequirement"/>
      </w:pPr>
      <w:r>
        <w:t>Details</w:t>
      </w:r>
      <w:r w:rsidR="007B523F" w:rsidRPr="00995272">
        <w:t xml:space="preserve"> </w:t>
      </w:r>
      <w:r w:rsidR="007B523F">
        <w:t xml:space="preserve">on servicing/engagement strategies </w:t>
      </w:r>
      <w:r w:rsidR="007B523F" w:rsidRPr="00995272">
        <w:t xml:space="preserve">and </w:t>
      </w:r>
      <w:r w:rsidR="007B523F">
        <w:t>the</w:t>
      </w:r>
      <w:r w:rsidR="007B523F" w:rsidRPr="00995272">
        <w:t xml:space="preserve"> results </w:t>
      </w:r>
      <w:r w:rsidR="007B523F">
        <w:t>of these strategies on the Participant’s level of engagement</w:t>
      </w:r>
      <w:r w:rsidR="00A4728C">
        <w:t xml:space="preserve"> </w:t>
      </w:r>
      <w:r w:rsidR="006803B7">
        <w:t>form</w:t>
      </w:r>
      <w:r w:rsidR="0006220A">
        <w:t>s</w:t>
      </w:r>
      <w:r w:rsidR="006803B7">
        <w:t xml:space="preserve"> part of the Documentary Evidence </w:t>
      </w:r>
      <w:r w:rsidR="00FD2BD6">
        <w:t>for determining</w:t>
      </w:r>
      <w:r w:rsidR="00DD794D">
        <w:t xml:space="preserve"> a Participant has failed to satisfy the Meaningful Engagement Requirement.</w:t>
      </w:r>
    </w:p>
    <w:p w14:paraId="3632C425" w14:textId="1FC1EB17" w:rsidR="0006220A" w:rsidRDefault="0006220A" w:rsidP="0006220A">
      <w:pPr>
        <w:pStyle w:val="SystemStep"/>
      </w:pPr>
      <w:r>
        <w:t xml:space="preserve">Providers can capture information on servicing/engagement strategies </w:t>
      </w:r>
      <w:r w:rsidR="003B39A8">
        <w:t>and the outcome of the strategies adopted using the comment functionality in the Program Summary on the Department’s IT Systems.</w:t>
      </w:r>
    </w:p>
    <w:p w14:paraId="3C692332" w14:textId="6F0DDC0E" w:rsidR="00B61E87" w:rsidRDefault="00493D19" w:rsidP="006E2EF5">
      <w:r>
        <w:t>Once the Provider believes they have sufficient evidence that the Participant is not meaningfully engaging</w:t>
      </w:r>
      <w:r w:rsidR="007968C0">
        <w:t xml:space="preserve"> (i.e. there is an emerging Pattern of Disengagement)</w:t>
      </w:r>
      <w:r w:rsidR="0006449D">
        <w:t>,</w:t>
      </w:r>
      <w:r>
        <w:t xml:space="preserve"> </w:t>
      </w:r>
      <w:r w:rsidR="005230AA">
        <w:t>the Provider must issue a wa</w:t>
      </w:r>
      <w:r w:rsidR="00BA647B">
        <w:t>rning</w:t>
      </w:r>
      <w:r w:rsidR="00BE6276">
        <w:t xml:space="preserve"> to ensure that the Participant is:</w:t>
      </w:r>
    </w:p>
    <w:p w14:paraId="1215AA34" w14:textId="77777777" w:rsidR="00BE6276" w:rsidRDefault="00BE6276" w:rsidP="00BE6276">
      <w:pPr>
        <w:pStyle w:val="BulletLevel1"/>
      </w:pPr>
      <w:r>
        <w:t>given an outline of the evidence that has informed this decision</w:t>
      </w:r>
    </w:p>
    <w:p w14:paraId="642F53EC" w14:textId="77777777" w:rsidR="00BE6276" w:rsidRDefault="00BE6276" w:rsidP="00BE6276">
      <w:pPr>
        <w:pStyle w:val="BulletLevel1"/>
      </w:pPr>
      <w:r>
        <w:t xml:space="preserve">informed of the </w:t>
      </w:r>
      <w:r w:rsidRPr="00E042B8">
        <w:t>recorded instances of disengagement (for example, drawing upon Documentary Evidence such as report</w:t>
      </w:r>
      <w:r>
        <w:t>ed</w:t>
      </w:r>
      <w:r w:rsidRPr="00E042B8">
        <w:t xml:space="preserve"> </w:t>
      </w:r>
      <w:r>
        <w:t>non-</w:t>
      </w:r>
      <w:r w:rsidRPr="00E042B8">
        <w:t>attendance at Appointments and Activities, as well as case management notes captured in the</w:t>
      </w:r>
      <w:r>
        <w:t xml:space="preserve"> Participant’s Summary on the</w:t>
      </w:r>
      <w:r w:rsidRPr="00E042B8">
        <w:t xml:space="preserve"> Department’s IT Systems),</w:t>
      </w:r>
    </w:p>
    <w:p w14:paraId="06B36612" w14:textId="77777777" w:rsidR="00BE6276" w:rsidRPr="00E042B8" w:rsidRDefault="00BE6276" w:rsidP="00BE6276">
      <w:pPr>
        <w:pStyle w:val="BulletLevel1"/>
      </w:pPr>
      <w:r>
        <w:t>given the opportunity confirm there is not a change in circumstances that should be considered — whereby the Provider may revise their assessment,</w:t>
      </w:r>
      <w:r w:rsidRPr="00E042B8">
        <w:t xml:space="preserve"> and</w:t>
      </w:r>
    </w:p>
    <w:p w14:paraId="2B5F7225" w14:textId="40353F9E" w:rsidR="00BE6276" w:rsidRPr="006A5443" w:rsidRDefault="00BE6276" w:rsidP="00BE6276">
      <w:pPr>
        <w:pStyle w:val="BulletLevel1"/>
      </w:pPr>
      <w:r>
        <w:t>made aware</w:t>
      </w:r>
      <w:r w:rsidRPr="00E042B8">
        <w:t xml:space="preserve"> of the consequences of continued instances of disengagement and failure to </w:t>
      </w:r>
      <w:r w:rsidR="00653AB0">
        <w:t>fully satisfy</w:t>
      </w:r>
      <w:r w:rsidRPr="00E042B8">
        <w:t xml:space="preserve"> the Meaningful</w:t>
      </w:r>
      <w:r>
        <w:t xml:space="preserve"> Engagement Requirement.</w:t>
      </w:r>
    </w:p>
    <w:p w14:paraId="2D46829A" w14:textId="04F88E4C" w:rsidR="00FD2BD6" w:rsidRDefault="00FD2BD6" w:rsidP="00FD2BD6">
      <w:pPr>
        <w:pStyle w:val="DocumentaryEvidenceRequirement"/>
      </w:pPr>
      <w:r>
        <w:t>A file note on the warning issued forms part of the Documentary Evidence for determining a Participant has failed to satisfy the Meaningful Engagement Requirement</w:t>
      </w:r>
      <w:r w:rsidR="009353EA">
        <w:t>.</w:t>
      </w:r>
    </w:p>
    <w:p w14:paraId="600C051B" w14:textId="43A711F9" w:rsidR="00BE6276" w:rsidRDefault="001011C0" w:rsidP="006E2EF5">
      <w:r>
        <w:t>Further failures to engage</w:t>
      </w:r>
      <w:r w:rsidR="00692F9E">
        <w:t>, without a good reason,</w:t>
      </w:r>
      <w:r>
        <w:t xml:space="preserve"> would then be considered a </w:t>
      </w:r>
      <w:r w:rsidR="000549E1">
        <w:t xml:space="preserve">confirmed </w:t>
      </w:r>
      <w:r>
        <w:t>Pattern of Disengagement</w:t>
      </w:r>
      <w:r w:rsidR="00CF1440">
        <w:t>.</w:t>
      </w:r>
      <w:r w:rsidR="007968C0">
        <w:t xml:space="preserve"> Providers have discretion </w:t>
      </w:r>
      <w:r w:rsidR="00635827">
        <w:t xml:space="preserve">as to how many instances </w:t>
      </w:r>
      <w:r w:rsidR="0006449D">
        <w:t>of disengagement</w:t>
      </w:r>
      <w:r w:rsidR="00985C07">
        <w:t xml:space="preserve"> they allow before determining there is a Pattern of Disengagement.</w:t>
      </w:r>
    </w:p>
    <w:p w14:paraId="5F33EFD5" w14:textId="2A898112" w:rsidR="00F322A2" w:rsidRPr="00E43D00" w:rsidRDefault="00F322A2" w:rsidP="006E2EF5">
      <w:r w:rsidRPr="005D74E5">
        <w:rPr>
          <w:b/>
        </w:rPr>
        <w:t>Note:</w:t>
      </w:r>
      <w:r>
        <w:t xml:space="preserve"> </w:t>
      </w:r>
      <w:r w:rsidDel="008A7DD0">
        <w:t>Generally</w:t>
      </w:r>
      <w:r w:rsidR="008A7DD0">
        <w:t>,</w:t>
      </w:r>
      <w:r>
        <w:t xml:space="preserve"> a Pattern of Disengagement is where a Participant </w:t>
      </w:r>
      <w:r w:rsidR="002815A3">
        <w:t xml:space="preserve">is not </w:t>
      </w:r>
      <w:r>
        <w:t>meaningfully engag</w:t>
      </w:r>
      <w:r w:rsidR="002815A3">
        <w:t>ing</w:t>
      </w:r>
      <w:r>
        <w:t xml:space="preserve"> (and therefore </w:t>
      </w:r>
      <w:r w:rsidR="002815A3">
        <w:t xml:space="preserve">is not satisfying </w:t>
      </w:r>
      <w:r>
        <w:t>the Meaningful Engagement Requirement) more than once over a 3</w:t>
      </w:r>
      <w:r w:rsidR="00D17B48">
        <w:noBreakHyphen/>
      </w:r>
      <w:r>
        <w:t xml:space="preserve">month rolling period. </w:t>
      </w:r>
      <w:r w:rsidR="00CB418F">
        <w:t xml:space="preserve">It is at the discretion of the Provider to </w:t>
      </w:r>
      <w:r w:rsidR="00BA06CE">
        <w:t>determine the timeframe of disengagement considering a Participant’s unique circumstances.</w:t>
      </w:r>
    </w:p>
    <w:p w14:paraId="62881C05" w14:textId="117A5219" w:rsidR="009353EA" w:rsidRDefault="00970581" w:rsidP="009353EA">
      <w:pPr>
        <w:pStyle w:val="DocumentaryEvidenceRequirement"/>
      </w:pPr>
      <w:r>
        <w:t>Each recorded instance of disengagement forms</w:t>
      </w:r>
      <w:r w:rsidR="009353EA">
        <w:t xml:space="preserve"> part of the Documentary Evidence for determining a Participant has failed to satisfy the Meaningful Engagement Requirement</w:t>
      </w:r>
      <w:r>
        <w:t>.</w:t>
      </w:r>
    </w:p>
    <w:p w14:paraId="2799B0DC" w14:textId="5AC7B8FE" w:rsidR="005D74E5" w:rsidRDefault="009251A8" w:rsidP="006E2EF5">
      <w:r>
        <w:t>Once a Participant has a Pattern of Disengagement, they have failed to meet the Meaningful Engagement Requirement. Providers must then follow the process</w:t>
      </w:r>
      <w:r w:rsidR="00E963FC">
        <w:t xml:space="preserve"> outlined in</w:t>
      </w:r>
      <w:r w:rsidR="0014724F">
        <w:t xml:space="preserve"> </w:t>
      </w:r>
      <w:r w:rsidR="0014724F">
        <w:fldChar w:fldCharType="begin"/>
      </w:r>
      <w:r w:rsidR="0014724F">
        <w:instrText xml:space="preserve"> REF _Ref202789095 \h </w:instrText>
      </w:r>
      <w:r w:rsidR="0014724F">
        <w:fldChar w:fldCharType="separate"/>
      </w:r>
      <w:r w:rsidR="000D75AE">
        <w:t>12.2</w:t>
      </w:r>
      <w:r w:rsidR="00D04BBA">
        <w:t xml:space="preserve"> </w:t>
      </w:r>
      <w:r w:rsidR="000D75AE">
        <w:t>Steps when a Participant has failed to meet the Meaningful Engagement Requirement</w:t>
      </w:r>
      <w:r w:rsidR="0014724F">
        <w:fldChar w:fldCharType="end"/>
      </w:r>
      <w:r w:rsidR="00E963FC">
        <w:t>. This process will result in the Participant entering into Detailed Job Plan and no longer meeting their participation requirements through the Meaningful Engagement Requirement.</w:t>
      </w:r>
    </w:p>
    <w:p w14:paraId="3074F465" w14:textId="00F0510A" w:rsidR="002D2C11" w:rsidRPr="00E43D00" w:rsidRDefault="002D2C11" w:rsidP="006E2EF5">
      <w:r>
        <w:t xml:space="preserve">Information on a Pattern of Disengagement and Pattern of Renewed Engagement is included in the </w:t>
      </w:r>
      <w:r w:rsidRPr="00970D88">
        <w:rPr>
          <w:highlight w:val="green"/>
        </w:rPr>
        <w:t>Meaningful Engagement Provider Fact Sheet</w:t>
      </w:r>
      <w:r>
        <w:t>, which can be found on the Provider Portal.</w:t>
      </w:r>
      <w:r w:rsidR="00BC0DA7">
        <w:t xml:space="preserve"> </w:t>
      </w:r>
      <w:r w:rsidR="00AB375F">
        <w:t>As general guidance, t</w:t>
      </w:r>
      <w:r w:rsidR="00BC0DA7">
        <w:t xml:space="preserve">he Fact Sheet includes </w:t>
      </w:r>
      <w:r w:rsidR="00B71E19">
        <w:t>scenarios that capture when a Participant may have been found to have a Pattern of Disengagement.</w:t>
      </w:r>
    </w:p>
    <w:p w14:paraId="52DD355B" w14:textId="2EF54CF4" w:rsidR="00A3720B" w:rsidRDefault="00A3720B" w:rsidP="00A3720B">
      <w:pPr>
        <w:pStyle w:val="Heading3"/>
      </w:pPr>
      <w:bookmarkStart w:id="225" w:name="_Toc202899966"/>
      <w:r>
        <w:t>5.6</w:t>
      </w:r>
      <w:r>
        <w:tab/>
        <w:t>Attendance-based Engagement</w:t>
      </w:r>
      <w:bookmarkEnd w:id="225"/>
    </w:p>
    <w:p w14:paraId="0B54D7AD" w14:textId="723D12BD" w:rsidR="00A3720B" w:rsidRDefault="00A3720B" w:rsidP="00C61300">
      <w:pPr>
        <w:keepNext/>
      </w:pPr>
      <w:r>
        <w:t xml:space="preserve">A core element of participant in </w:t>
      </w:r>
      <w:r w:rsidR="00C74C33">
        <w:t>Inclusive Employment Australia</w:t>
      </w:r>
      <w:r>
        <w:t xml:space="preserve"> is:</w:t>
      </w:r>
    </w:p>
    <w:p w14:paraId="50E2C5BD" w14:textId="4884D2FF" w:rsidR="00A3720B" w:rsidRPr="00A462DE" w:rsidRDefault="00A3720B" w:rsidP="00A3720B">
      <w:pPr>
        <w:pStyle w:val="BulletLevel1"/>
      </w:pPr>
      <w:r w:rsidRPr="00A462DE">
        <w:t>maintaining Contact with the Provider, which includes attendance at Appointments</w:t>
      </w:r>
      <w:r w:rsidR="005D17D7">
        <w:t>, and</w:t>
      </w:r>
    </w:p>
    <w:p w14:paraId="26C8BEDA" w14:textId="5AF4A91D" w:rsidR="00A3720B" w:rsidRPr="00A462DE" w:rsidRDefault="00A3720B" w:rsidP="00A3720B">
      <w:pPr>
        <w:pStyle w:val="BulletLevel1"/>
      </w:pPr>
      <w:r w:rsidRPr="00A462DE">
        <w:t>participating in Activities</w:t>
      </w:r>
      <w:r w:rsidR="005D17D7">
        <w:t>.</w:t>
      </w:r>
    </w:p>
    <w:p w14:paraId="7B2342A9" w14:textId="59B285BC" w:rsidR="008F5241" w:rsidRDefault="00156F1E" w:rsidP="00A3720B">
      <w:r>
        <w:t xml:space="preserve">This Section outlines considerations for </w:t>
      </w:r>
      <w:r w:rsidR="005A7E42">
        <w:t xml:space="preserve">the delivery of </w:t>
      </w:r>
      <w:r w:rsidR="00143EF4">
        <w:t>Appointments</w:t>
      </w:r>
      <w:r w:rsidR="00E979E4">
        <w:t>, Contacts</w:t>
      </w:r>
      <w:r w:rsidR="00143EF4">
        <w:t xml:space="preserve"> and </w:t>
      </w:r>
      <w:r w:rsidR="00E979E4">
        <w:t>Activities</w:t>
      </w:r>
      <w:r w:rsidR="008F5241">
        <w:t xml:space="preserve">, as part of a Participant’s engagement with </w:t>
      </w:r>
      <w:r w:rsidR="00C74C33">
        <w:t>Inclusive Employment Australia</w:t>
      </w:r>
      <w:r w:rsidR="008F5241">
        <w:t>.</w:t>
      </w:r>
    </w:p>
    <w:p w14:paraId="02D482B7" w14:textId="0F244274" w:rsidR="00A3720B" w:rsidRDefault="00A3720B" w:rsidP="00A3720B">
      <w:pPr>
        <w:pStyle w:val="Heading4"/>
      </w:pPr>
      <w:bookmarkStart w:id="226" w:name="_Ref202792444"/>
      <w:bookmarkStart w:id="227" w:name="_Ref202884234"/>
      <w:bookmarkStart w:id="228" w:name="_Toc202899967"/>
      <w:r>
        <w:t>5.6.1</w:t>
      </w:r>
      <w:r>
        <w:tab/>
      </w:r>
      <w:r w:rsidRPr="00631287">
        <w:t>Appointments</w:t>
      </w:r>
      <w:bookmarkEnd w:id="226"/>
      <w:bookmarkEnd w:id="227"/>
      <w:bookmarkEnd w:id="228"/>
    </w:p>
    <w:p w14:paraId="2DA75CCE" w14:textId="36D1AE87" w:rsidR="00A3720B" w:rsidRDefault="00A3720B" w:rsidP="00A3720B">
      <w:pPr>
        <w:pStyle w:val="Heading5"/>
      </w:pPr>
      <w:r>
        <w:t>Contacts and Contact Appointments</w:t>
      </w:r>
    </w:p>
    <w:p w14:paraId="08A018C4" w14:textId="2A147553" w:rsidR="00A3720B" w:rsidRDefault="00A3720B" w:rsidP="00A3720B">
      <w:r w:rsidRPr="202AFE3D">
        <w:t xml:space="preserve">Providers are expected to have regular contact with their Participants to ensure the Participant is meaningfully engaged. The timing and duration </w:t>
      </w:r>
      <w:r w:rsidR="00D057EF">
        <w:t>mode of</w:t>
      </w:r>
      <w:r w:rsidR="00BD333C">
        <w:t xml:space="preserve"> </w:t>
      </w:r>
      <w:r w:rsidR="00D057EF">
        <w:t xml:space="preserve">for </w:t>
      </w:r>
      <w:r w:rsidRPr="202AFE3D">
        <w:t>each Contact should depend on the individual circumstances of each Participant, as determined by the Provider.</w:t>
      </w:r>
    </w:p>
    <w:p w14:paraId="1862CB8F" w14:textId="3C33BB82" w:rsidR="00B25DB5" w:rsidRDefault="00A3720B" w:rsidP="00835ABF">
      <w:r>
        <w:t>Providers are encourage</w:t>
      </w:r>
      <w:r w:rsidR="00E418EF">
        <w:t>d</w:t>
      </w:r>
      <w:r>
        <w:t xml:space="preserve"> to</w:t>
      </w:r>
      <w:r w:rsidRPr="00363376">
        <w:t xml:space="preserve"> </w:t>
      </w:r>
      <w:r>
        <w:t>tailor Contact arrangements</w:t>
      </w:r>
      <w:r w:rsidR="00EC4E48">
        <w:t xml:space="preserve"> to</w:t>
      </w:r>
      <w:r w:rsidR="00835ABF">
        <w:t xml:space="preserve"> match the </w:t>
      </w:r>
      <w:r w:rsidRPr="247198B4">
        <w:t xml:space="preserve">Participant’s </w:t>
      </w:r>
      <w:r w:rsidR="00835ABF">
        <w:t>circumstance and phase</w:t>
      </w:r>
      <w:r w:rsidR="00B25DB5">
        <w:t>.</w:t>
      </w:r>
      <w:r w:rsidR="00920B01">
        <w:t xml:space="preserve"> </w:t>
      </w:r>
      <w:r w:rsidR="00F469D5" w:rsidRPr="00C70AB8">
        <w:t xml:space="preserve">Contacts may be one-on-one </w:t>
      </w:r>
      <w:r w:rsidR="00654EAC">
        <w:t xml:space="preserve">Appointments </w:t>
      </w:r>
      <w:r w:rsidR="00F469D5" w:rsidRPr="00C70AB8">
        <w:t xml:space="preserve">with the Participant or may be group-based activities </w:t>
      </w:r>
      <w:r w:rsidR="00654EAC">
        <w:t>(such as,</w:t>
      </w:r>
      <w:r w:rsidR="00F469D5" w:rsidRPr="00C70AB8">
        <w:t xml:space="preserve"> employment-related information sessions or training sessions delivered by the Provider for their Participants</w:t>
      </w:r>
      <w:r w:rsidR="00654EAC">
        <w:t>)</w:t>
      </w:r>
      <w:r w:rsidR="00F469D5" w:rsidRPr="00C70AB8">
        <w:t>.</w:t>
      </w:r>
      <w:r w:rsidR="00F469D5">
        <w:t xml:space="preserve"> </w:t>
      </w:r>
      <w:r w:rsidR="00920B01">
        <w:t xml:space="preserve">Providers can </w:t>
      </w:r>
      <w:r w:rsidR="00915D8C" w:rsidRPr="00C70AB8">
        <w:t xml:space="preserve">offer to deliver Contacts via </w:t>
      </w:r>
      <w:r w:rsidR="007915B5">
        <w:t xml:space="preserve">a range of communication </w:t>
      </w:r>
      <w:r w:rsidR="00915D8C" w:rsidRPr="00C70AB8">
        <w:t xml:space="preserve">modes such as videoconferencing, online audio or chat software, phone calls, </w:t>
      </w:r>
      <w:r w:rsidR="00915D8C">
        <w:t>SMS</w:t>
      </w:r>
      <w:r w:rsidR="00915D8C" w:rsidRPr="00C70AB8">
        <w:t xml:space="preserve"> and email correspondence, </w:t>
      </w:r>
      <w:r w:rsidR="00B900D6">
        <w:t>where</w:t>
      </w:r>
      <w:r w:rsidR="00915D8C" w:rsidRPr="00C70AB8">
        <w:t xml:space="preserve"> this meets the needs of the Participant and is agreed </w:t>
      </w:r>
      <w:r w:rsidR="00B900D6">
        <w:t xml:space="preserve">to </w:t>
      </w:r>
      <w:r w:rsidR="00915D8C" w:rsidRPr="00C70AB8">
        <w:t>by the Provider and Participant</w:t>
      </w:r>
      <w:r w:rsidR="00B900D6">
        <w:t>.</w:t>
      </w:r>
    </w:p>
    <w:p w14:paraId="07493D1C" w14:textId="448E32F4" w:rsidR="00B92BC2" w:rsidRDefault="00B92BC2" w:rsidP="00B92BC2">
      <w:r w:rsidRPr="00A630D2">
        <w:t xml:space="preserve">The frequency of </w:t>
      </w:r>
      <w:r>
        <w:t>C</w:t>
      </w:r>
      <w:r w:rsidRPr="00A630D2">
        <w:t>ontact should reflect the current phase and service offer</w:t>
      </w:r>
      <w:r>
        <w:t xml:space="preserve">. </w:t>
      </w:r>
      <w:r w:rsidRPr="003B1760">
        <w:t>Refer to the relevant Sections in</w:t>
      </w:r>
      <w:r w:rsidR="0014724F">
        <w:t xml:space="preserve"> </w:t>
      </w:r>
      <w:r w:rsidR="0014724F">
        <w:fldChar w:fldCharType="begin"/>
      </w:r>
      <w:r w:rsidR="0014724F">
        <w:instrText xml:space="preserve"> REF _Ref202784175 \h </w:instrText>
      </w:r>
      <w:r w:rsidR="0014724F">
        <w:fldChar w:fldCharType="separate"/>
      </w:r>
      <w:r w:rsidR="000D75AE" w:rsidRPr="00BA23D8">
        <w:t>Chapter 6</w:t>
      </w:r>
      <w:r w:rsidR="000D75AE">
        <w:t>:</w:t>
      </w:r>
      <w:r w:rsidR="00A31574">
        <w:t xml:space="preserve"> </w:t>
      </w:r>
      <w:r w:rsidR="000D75AE" w:rsidRPr="00BA23D8">
        <w:t>Pre-Employment Support</w:t>
      </w:r>
      <w:r w:rsidR="0014724F">
        <w:fldChar w:fldCharType="end"/>
      </w:r>
      <w:r w:rsidR="0014724F">
        <w:t xml:space="preserve">, </w:t>
      </w:r>
      <w:r w:rsidR="0014724F">
        <w:fldChar w:fldCharType="begin"/>
      </w:r>
      <w:r w:rsidR="0014724F">
        <w:instrText xml:space="preserve"> REF _Ref202789140 \h </w:instrText>
      </w:r>
      <w:r w:rsidR="0014724F">
        <w:fldChar w:fldCharType="separate"/>
      </w:r>
      <w:r w:rsidR="000D75AE" w:rsidRPr="00BA23D8">
        <w:t>Chapter 9</w:t>
      </w:r>
      <w:r w:rsidR="000D75AE">
        <w:t>:</w:t>
      </w:r>
      <w:r w:rsidR="00A31574">
        <w:t xml:space="preserve"> </w:t>
      </w:r>
      <w:r w:rsidR="000D75AE" w:rsidRPr="00BA23D8">
        <w:t>Post Placement Support</w:t>
      </w:r>
      <w:r w:rsidR="0014724F">
        <w:fldChar w:fldCharType="end"/>
      </w:r>
      <w:r w:rsidR="0014724F">
        <w:t xml:space="preserve"> and </w:t>
      </w:r>
      <w:r w:rsidR="0014724F">
        <w:fldChar w:fldCharType="begin"/>
      </w:r>
      <w:r w:rsidR="0014724F">
        <w:instrText xml:space="preserve"> REF _Ref202780074 \h </w:instrText>
      </w:r>
      <w:r w:rsidR="0014724F">
        <w:fldChar w:fldCharType="separate"/>
      </w:r>
      <w:r w:rsidR="000D75AE" w:rsidRPr="00BA23D8">
        <w:t>Chapter 10</w:t>
      </w:r>
      <w:r w:rsidR="000D75AE">
        <w:t>:</w:t>
      </w:r>
      <w:r w:rsidR="00A31574">
        <w:t xml:space="preserve"> </w:t>
      </w:r>
      <w:r w:rsidR="000D75AE" w:rsidRPr="00BA23D8">
        <w:t>Ongoing Support</w:t>
      </w:r>
      <w:r w:rsidR="0014724F">
        <w:fldChar w:fldCharType="end"/>
      </w:r>
      <w:r w:rsidR="0014724F">
        <w:t>.</w:t>
      </w:r>
    </w:p>
    <w:p w14:paraId="4F869065" w14:textId="77777777" w:rsidR="00B25DB5" w:rsidRDefault="00B25DB5" w:rsidP="00B25DB5">
      <w:r>
        <w:t xml:space="preserve">When scheduling a Contact Appointment, Providers should consider which Engagement Method is right for the Participant, especially for those who are Employed or undertaking Education and Training. Providers should also consider whether to hold face-to-face Contacts at their Site offices, an Outreach Site or at an alternative location that is mutually agreed upon — noting that Providers are not permitted to be on </w:t>
      </w:r>
      <w:r w:rsidRPr="00DC53F5">
        <w:t>Private Property</w:t>
      </w:r>
      <w:r>
        <w:t>, such as the home of the Participant or a Participant’s Family Member.</w:t>
      </w:r>
    </w:p>
    <w:p w14:paraId="785E54FF" w14:textId="4AE26524" w:rsidR="00B25DB5" w:rsidRDefault="00B25DB5" w:rsidP="00B25DB5">
      <w:pPr>
        <w:pStyle w:val="SystemStep"/>
      </w:pPr>
      <w:r>
        <w:t>Providers must schedule Contact Appointments in the Participant’s Electronic Calendar.</w:t>
      </w:r>
    </w:p>
    <w:p w14:paraId="5ACE8129" w14:textId="410405CC" w:rsidR="001425E8" w:rsidRDefault="00734823" w:rsidP="00734823">
      <w:r>
        <w:t>A core element of</w:t>
      </w:r>
      <w:r w:rsidR="0070749F">
        <w:t xml:space="preserve"> satisfying the Meaningful Engagement Requirement, </w:t>
      </w:r>
      <w:r>
        <w:t xml:space="preserve">is attendance at Appointments with the Provider. As such, </w:t>
      </w:r>
      <w:r w:rsidR="0070749F">
        <w:t xml:space="preserve">Providers must ensure that </w:t>
      </w:r>
      <w:r>
        <w:t xml:space="preserve">each </w:t>
      </w:r>
      <w:r w:rsidR="0070749F">
        <w:t>Participant h</w:t>
      </w:r>
      <w:r>
        <w:t>as</w:t>
      </w:r>
      <w:r w:rsidR="0070749F">
        <w:t xml:space="preserve"> a good understanding of how and when they will be expected to </w:t>
      </w:r>
      <w:r w:rsidR="00FF1018">
        <w:t xml:space="preserve">attend Contact Appointments. </w:t>
      </w:r>
      <w:r w:rsidR="000676FA">
        <w:t xml:space="preserve">Participants can also </w:t>
      </w:r>
      <w:r w:rsidR="005C71BE">
        <w:t>meaningfully</w:t>
      </w:r>
      <w:r w:rsidR="000676FA">
        <w:t xml:space="preserve"> engage via the other </w:t>
      </w:r>
      <w:r w:rsidR="005C71BE">
        <w:t xml:space="preserve">forms of </w:t>
      </w:r>
      <w:r w:rsidR="000676FA">
        <w:t>C</w:t>
      </w:r>
      <w:r w:rsidR="005E3B21">
        <w:t>ontact</w:t>
      </w:r>
      <w:r w:rsidR="005C71BE">
        <w:t>s.</w:t>
      </w:r>
    </w:p>
    <w:p w14:paraId="029A64BB" w14:textId="47F2F80C" w:rsidR="004E1C30" w:rsidRDefault="00730427" w:rsidP="001425E8">
      <w:r>
        <w:t xml:space="preserve">Participants with a Meaningful Engagement Job Plan </w:t>
      </w:r>
      <w:r w:rsidR="000D5A4C">
        <w:t xml:space="preserve">should </w:t>
      </w:r>
      <w:r w:rsidR="003C2901">
        <w:t xml:space="preserve">also </w:t>
      </w:r>
      <w:r w:rsidR="000D5A4C">
        <w:t>be informed of the circumstances in which they may be compelled to attend Appointments, and the consequences should they fail to attend</w:t>
      </w:r>
      <w:r w:rsidR="00767197">
        <w:t xml:space="preserve"> when formally notified of the requirement to do so.</w:t>
      </w:r>
    </w:p>
    <w:p w14:paraId="28FA2E09" w14:textId="3B10DE10" w:rsidR="00767197" w:rsidRDefault="00767197" w:rsidP="00767197">
      <w:r w:rsidRPr="00FF417D">
        <w:rPr>
          <w:b/>
          <w:bCs/>
        </w:rPr>
        <w:t xml:space="preserve">Note: </w:t>
      </w:r>
      <w:r>
        <w:t xml:space="preserve">Providers can compel attendance at a Contact Appointment while a Participant has a Meaningful Engagement Job Plan in a limited number of circumstances. This process does not rely on a compulsory requirement to attend appointments being in the Job Plan. The process is outlined in </w:t>
      </w:r>
      <w:r w:rsidR="0014724F">
        <w:fldChar w:fldCharType="begin"/>
      </w:r>
      <w:r w:rsidR="0014724F">
        <w:instrText xml:space="preserve"> REF _Ref202789057 \h </w:instrText>
      </w:r>
      <w:r w:rsidR="0014724F">
        <w:fldChar w:fldCharType="separate"/>
      </w:r>
      <w:r w:rsidR="000D75AE">
        <w:t>12.2.2</w:t>
      </w:r>
      <w:r w:rsidR="00D04BBA">
        <w:t xml:space="preserve"> </w:t>
      </w:r>
      <w:r w:rsidR="000D75AE">
        <w:t>Compellable Contact Appointment</w:t>
      </w:r>
      <w:r w:rsidR="0014724F">
        <w:fldChar w:fldCharType="end"/>
      </w:r>
      <w:r>
        <w:t>.</w:t>
      </w:r>
    </w:p>
    <w:p w14:paraId="7E84BD8F" w14:textId="26932870" w:rsidR="00767197" w:rsidRDefault="00767197" w:rsidP="00767197">
      <w:r>
        <w:t xml:space="preserve">Participants with a </w:t>
      </w:r>
      <w:r w:rsidR="0071506F">
        <w:t xml:space="preserve">Detailed </w:t>
      </w:r>
      <w:r w:rsidR="00A3720B" w:rsidRPr="247198B4" w:rsidDel="00C70AF6">
        <w:t>Job Plan</w:t>
      </w:r>
      <w:r>
        <w:t xml:space="preserve"> would be expected to have compulsory Contact Appointments, or some other form of compulsory Contact with their Provider, regardless of their current phase and service offer.</w:t>
      </w:r>
    </w:p>
    <w:p w14:paraId="5F5A4246" w14:textId="1123D3F9" w:rsidR="00E92E27" w:rsidRDefault="00E92E27" w:rsidP="00E92E27">
      <w:r w:rsidRPr="0014724F">
        <w:t>As noted in</w:t>
      </w:r>
      <w:r w:rsidR="0014724F" w:rsidRPr="0014724F">
        <w:t xml:space="preserve"> </w:t>
      </w:r>
      <w:r w:rsidR="0014724F" w:rsidRPr="0014724F">
        <w:fldChar w:fldCharType="begin"/>
      </w:r>
      <w:r w:rsidR="0014724F" w:rsidRPr="0014724F">
        <w:instrText xml:space="preserve"> REF _Ref202784317 \h </w:instrText>
      </w:r>
      <w:r w:rsidR="0014724F">
        <w:instrText xml:space="preserve"> \* MERGEFORMAT </w:instrText>
      </w:r>
      <w:r w:rsidR="0014724F" w:rsidRPr="0014724F">
        <w:fldChar w:fldCharType="separate"/>
      </w:r>
      <w:r w:rsidR="000D75AE">
        <w:t>4.7</w:t>
      </w:r>
      <w:r w:rsidR="00D04BBA">
        <w:t xml:space="preserve"> </w:t>
      </w:r>
      <w:r w:rsidR="000D75AE">
        <w:t>Contents of a Detailed Job Plan</w:t>
      </w:r>
      <w:r w:rsidR="0014724F" w:rsidRPr="0014724F">
        <w:fldChar w:fldCharType="end"/>
      </w:r>
      <w:r w:rsidRPr="0014724F">
        <w:t xml:space="preserve">, </w:t>
      </w:r>
      <w:r w:rsidR="00C8122A" w:rsidRPr="0014724F">
        <w:t xml:space="preserve">Code </w:t>
      </w:r>
      <w:r w:rsidRPr="0014724F">
        <w:t>AI16 [Compulsory Notified Appointments] will pre-populate in a Detailed Job Plan. This must not be removed to reinforce the requirement to attend any compulsory Appointment.</w:t>
      </w:r>
    </w:p>
    <w:p w14:paraId="00E2DE17" w14:textId="291516C7" w:rsidR="00A3720B" w:rsidRDefault="004E742A" w:rsidP="00A3720B">
      <w:r>
        <w:t xml:space="preserve">Contacts </w:t>
      </w:r>
      <w:r w:rsidR="00A3720B" w:rsidRPr="247198B4">
        <w:t xml:space="preserve">can be captured as </w:t>
      </w:r>
      <w:r w:rsidR="009617DD">
        <w:t>either</w:t>
      </w:r>
      <w:r w:rsidR="00A3720B" w:rsidRPr="247198B4">
        <w:t xml:space="preserve"> </w:t>
      </w:r>
      <w:r>
        <w:t xml:space="preserve">a voluntary or compulsory </w:t>
      </w:r>
      <w:r w:rsidR="00A3720B" w:rsidRPr="247198B4">
        <w:t xml:space="preserve">requirement in a Participant’s </w:t>
      </w:r>
      <w:r w:rsidR="0071506F">
        <w:t>Detailed</w:t>
      </w:r>
      <w:r w:rsidR="00C70AF6">
        <w:t xml:space="preserve"> </w:t>
      </w:r>
      <w:r w:rsidR="00A3720B" w:rsidRPr="247198B4">
        <w:t xml:space="preserve">Job Plan </w:t>
      </w:r>
      <w:r w:rsidR="00A3720B">
        <w:t xml:space="preserve">by </w:t>
      </w:r>
      <w:r w:rsidR="00A3720B" w:rsidRPr="247198B4">
        <w:t>using:</w:t>
      </w:r>
    </w:p>
    <w:p w14:paraId="1A6EC564" w14:textId="577454AE" w:rsidR="00A3720B" w:rsidRDefault="00A3720B" w:rsidP="00A3720B">
      <w:pPr>
        <w:pStyle w:val="BulletLevel1"/>
      </w:pPr>
      <w:r>
        <w:t>AI12 [Provider Contact Appointment] — for Contact Appointments held face-to-face, by phone or videoconferencing during the Pre-Employment Support phase</w:t>
      </w:r>
    </w:p>
    <w:p w14:paraId="2697472D" w14:textId="5CDF4FFF" w:rsidR="00A3720B" w:rsidRDefault="00A3720B" w:rsidP="00A3720B">
      <w:pPr>
        <w:pStyle w:val="BulletLevel1"/>
      </w:pPr>
      <w:r>
        <w:t>AI17 [Provider</w:t>
      </w:r>
      <w:r w:rsidRPr="007144CD">
        <w:t xml:space="preserve"> Contact Group Activity</w:t>
      </w:r>
      <w:r>
        <w:t>]</w:t>
      </w:r>
      <w:r w:rsidR="00263D2A">
        <w:t xml:space="preserve"> —</w:t>
      </w:r>
      <w:r w:rsidR="00AB2E61">
        <w:t xml:space="preserve"> for meetings or group-based activities</w:t>
      </w:r>
      <w:r w:rsidR="00263D2A">
        <w:t xml:space="preserve"> that meet the requirements as a Contact</w:t>
      </w:r>
    </w:p>
    <w:p w14:paraId="14925105" w14:textId="47477C3D" w:rsidR="00A3720B" w:rsidRDefault="00A3720B" w:rsidP="00A3720B">
      <w:pPr>
        <w:pStyle w:val="BulletLevel1"/>
      </w:pPr>
      <w:r>
        <w:t>AI18 [Provider Contact Other] — for exchanges via SMS and emails, and</w:t>
      </w:r>
    </w:p>
    <w:p w14:paraId="4C3AE978" w14:textId="0369303F" w:rsidR="00A3720B" w:rsidRPr="003F6974" w:rsidRDefault="00A3720B" w:rsidP="00A3720B">
      <w:pPr>
        <w:pStyle w:val="BulletLevel1"/>
      </w:pPr>
      <w:r>
        <w:t>AI19 [Provider</w:t>
      </w:r>
      <w:r w:rsidRPr="00453289">
        <w:t xml:space="preserve"> Contact Appointment – Employment Support</w:t>
      </w:r>
      <w:r>
        <w:t>] — for Contact Appointments held face-to-face, by phone or videoconferencing during the Post Placement Support and Ongoing Support phases.</w:t>
      </w:r>
    </w:p>
    <w:p w14:paraId="2103E7D0" w14:textId="43509F7E" w:rsidR="00896359" w:rsidRDefault="00896359" w:rsidP="00A3720B">
      <w:r>
        <w:t xml:space="preserve">The codes listed above should be included in addition to </w:t>
      </w:r>
      <w:r w:rsidR="00A85EC8">
        <w:t>the</w:t>
      </w:r>
      <w:r>
        <w:t xml:space="preserve"> requirement </w:t>
      </w:r>
      <w:r w:rsidR="00A85EC8">
        <w:t xml:space="preserve">to any compulsory Appointment — Code </w:t>
      </w:r>
      <w:r w:rsidR="00A85EC8" w:rsidRPr="00327ED7">
        <w:t>AI16 [Compulsory Notified Appointments]</w:t>
      </w:r>
      <w:r w:rsidR="00A85EC8">
        <w:t xml:space="preserve"> — </w:t>
      </w:r>
      <w:r>
        <w:t>as they are more explicit in relation to expectations around how a Participant will maintain contact with their Provider.</w:t>
      </w:r>
    </w:p>
    <w:p w14:paraId="3DAF1918" w14:textId="47AB80E4" w:rsidR="00A3720B" w:rsidRDefault="00A3720B" w:rsidP="00A3720B">
      <w:r w:rsidRPr="00FF417D">
        <w:rPr>
          <w:b/>
          <w:bCs/>
        </w:rPr>
        <w:t xml:space="preserve">Note: </w:t>
      </w:r>
      <w:r>
        <w:t xml:space="preserve">While a Participant can have a compulsory requirement to engage via </w:t>
      </w:r>
      <w:r w:rsidRPr="000024CD">
        <w:rPr>
          <w:lang w:eastAsia="en-AU"/>
        </w:rPr>
        <w:t>exchange of email or text messages</w:t>
      </w:r>
      <w:r>
        <w:rPr>
          <w:lang w:eastAsia="en-AU"/>
        </w:rPr>
        <w:t xml:space="preserve"> </w:t>
      </w:r>
      <w:r>
        <w:t xml:space="preserve">set in a Detailed Job Plan </w:t>
      </w:r>
      <w:r>
        <w:rPr>
          <w:lang w:eastAsia="en-AU"/>
        </w:rPr>
        <w:t xml:space="preserve">— Code AI18 </w:t>
      </w:r>
      <w:r>
        <w:t xml:space="preserve">[Provider Contact Other] </w:t>
      </w:r>
      <w:r>
        <w:rPr>
          <w:lang w:eastAsia="en-AU"/>
        </w:rPr>
        <w:t xml:space="preserve">— lack of contact via these Engagement Methods will not be </w:t>
      </w:r>
      <w:r>
        <w:t>subject to the application of the TCF as the Contact is not attendance-based (i.e. is not captured in the Participant’s Electronic Calendar).</w:t>
      </w:r>
    </w:p>
    <w:p w14:paraId="016271E8" w14:textId="64581809" w:rsidR="00A3720B" w:rsidRDefault="00A3720B" w:rsidP="00A3720B">
      <w:pPr>
        <w:pStyle w:val="Heading5"/>
      </w:pPr>
      <w:r>
        <w:t>Third-Party Appointments</w:t>
      </w:r>
    </w:p>
    <w:p w14:paraId="324610FE" w14:textId="45D439D3" w:rsidR="002B1AD0" w:rsidRDefault="00A3720B" w:rsidP="00A3720B">
      <w:r>
        <w:t>Third-Party Appointments are any appointment</w:t>
      </w:r>
      <w:r w:rsidR="00D4477B">
        <w:t>s</w:t>
      </w:r>
      <w:r>
        <w:t xml:space="preserve"> with an organisation other than the </w:t>
      </w:r>
      <w:r w:rsidR="00C74C33">
        <w:t>Inclusive Employment Australia</w:t>
      </w:r>
      <w:r>
        <w:t xml:space="preserve"> Provider. For example, a Third-Party Appointment may be scheduled as part an Activity or </w:t>
      </w:r>
      <w:r w:rsidR="00916F06">
        <w:t xml:space="preserve">Intervention </w:t>
      </w:r>
      <w:r w:rsidR="00EF69B9">
        <w:t xml:space="preserve">(for example, </w:t>
      </w:r>
      <w:r w:rsidR="00970669">
        <w:t>an</w:t>
      </w:r>
      <w:r w:rsidR="00EF69B9">
        <w:t xml:space="preserve"> </w:t>
      </w:r>
      <w:r w:rsidR="00970669">
        <w:t>appointment with a doctor</w:t>
      </w:r>
      <w:r w:rsidR="00EC7D67">
        <w:t xml:space="preserve"> or psychologist)</w:t>
      </w:r>
      <w:r w:rsidR="00916F06">
        <w:t xml:space="preserve"> </w:t>
      </w:r>
      <w:r>
        <w:t>or assessment process.</w:t>
      </w:r>
    </w:p>
    <w:p w14:paraId="42285060" w14:textId="2C5BA27B" w:rsidR="00304153" w:rsidRDefault="00304153" w:rsidP="00A3720B">
      <w:r>
        <w:rPr>
          <w:rFonts w:ascii="Tahoma" w:eastAsia="Tahoma" w:hAnsi="Tahoma" w:cs="Tahoma"/>
          <w:lang w:val="en-GB"/>
        </w:rPr>
        <w:t xml:space="preserve">Attendance at Third-Party Appointments is voluntary — this includes as part of any plan for meaningful engagement. A </w:t>
      </w:r>
      <w:r w:rsidR="007C50A1">
        <w:rPr>
          <w:rFonts w:ascii="Tahoma" w:eastAsia="Tahoma" w:hAnsi="Tahoma" w:cs="Tahoma"/>
          <w:color w:val="000000" w:themeColor="text1"/>
          <w:szCs w:val="22"/>
        </w:rPr>
        <w:t xml:space="preserve">Provider must not schedule </w:t>
      </w:r>
      <w:r w:rsidR="000F5E70">
        <w:rPr>
          <w:rFonts w:ascii="Tahoma" w:eastAsia="Tahoma" w:hAnsi="Tahoma" w:cs="Tahoma"/>
          <w:color w:val="000000" w:themeColor="text1"/>
          <w:szCs w:val="22"/>
        </w:rPr>
        <w:t>a</w:t>
      </w:r>
      <w:r w:rsidR="007C50A1">
        <w:rPr>
          <w:rFonts w:ascii="Tahoma" w:eastAsia="Tahoma" w:hAnsi="Tahoma" w:cs="Tahoma"/>
          <w:color w:val="000000" w:themeColor="text1"/>
          <w:szCs w:val="22"/>
        </w:rPr>
        <w:t xml:space="preserve"> Third-Party Appointment</w:t>
      </w:r>
      <w:r w:rsidR="000F5E70">
        <w:rPr>
          <w:rFonts w:ascii="Tahoma" w:eastAsia="Tahoma" w:hAnsi="Tahoma" w:cs="Tahoma"/>
          <w:color w:val="000000" w:themeColor="text1"/>
          <w:szCs w:val="22"/>
        </w:rPr>
        <w:t xml:space="preserve"> without the consent of the Participant</w:t>
      </w:r>
      <w:r w:rsidR="007E43DC">
        <w:rPr>
          <w:rFonts w:ascii="Tahoma" w:eastAsia="Tahoma" w:hAnsi="Tahoma" w:cs="Tahoma"/>
          <w:color w:val="000000" w:themeColor="text1"/>
          <w:szCs w:val="22"/>
        </w:rPr>
        <w:t xml:space="preserve">, and a </w:t>
      </w:r>
      <w:r w:rsidR="007E43DC" w:rsidRPr="52D74D63">
        <w:rPr>
          <w:rFonts w:ascii="Tahoma" w:eastAsia="Tahoma" w:hAnsi="Tahoma" w:cs="Tahoma"/>
          <w:color w:val="000000" w:themeColor="text1"/>
          <w:szCs w:val="22"/>
        </w:rPr>
        <w:t xml:space="preserve">Participants can refuse to </w:t>
      </w:r>
      <w:r w:rsidR="007E43DC">
        <w:rPr>
          <w:rFonts w:ascii="Tahoma" w:eastAsia="Tahoma" w:hAnsi="Tahoma" w:cs="Tahoma"/>
          <w:color w:val="000000" w:themeColor="text1"/>
          <w:szCs w:val="22"/>
        </w:rPr>
        <w:t>attend.</w:t>
      </w:r>
    </w:p>
    <w:p w14:paraId="5F8F1F69" w14:textId="77777777" w:rsidR="00F439E0" w:rsidRDefault="00A3720B" w:rsidP="005D5B88">
      <w:pPr>
        <w:pStyle w:val="SystemStep"/>
      </w:pPr>
      <w:r>
        <w:t xml:space="preserve">Provider’s </w:t>
      </w:r>
      <w:r w:rsidR="007E6AF5">
        <w:t>should</w:t>
      </w:r>
      <w:r>
        <w:t xml:space="preserve"> schedule Third-Party Appointments in the Participant’s Electronic Calendar. </w:t>
      </w:r>
    </w:p>
    <w:p w14:paraId="0DBB1F55" w14:textId="2F66DF7D" w:rsidR="00260B0B" w:rsidRDefault="00260B0B" w:rsidP="00260B0B">
      <w:pPr>
        <w:rPr>
          <w:b/>
          <w:bCs/>
        </w:rPr>
      </w:pPr>
      <w:r>
        <w:t>As the requirement is voluntary, Participant’s attendance at Third-Party Appointments does not have to be recorded. However, if a Provider becomes aware of attendance issues it is considered best practice to capture a comment in the Participant’s Summary on the Department’s IT Systems</w:t>
      </w:r>
      <w:r w:rsidR="003C6583">
        <w:t>.</w:t>
      </w:r>
      <w:r>
        <w:t xml:space="preserve"> </w:t>
      </w:r>
    </w:p>
    <w:p w14:paraId="38B88FFF" w14:textId="6DAB1B27" w:rsidR="00A3720B" w:rsidRDefault="00A3720B" w:rsidP="00A3720B">
      <w:r>
        <w:t>I</w:t>
      </w:r>
      <w:r w:rsidR="00C40F16">
        <w:t>f a Participant has a Detailed Job Plan</w:t>
      </w:r>
      <w:r w:rsidR="00BA7221">
        <w:t xml:space="preserve"> and</w:t>
      </w:r>
      <w:r>
        <w:t>:</w:t>
      </w:r>
    </w:p>
    <w:p w14:paraId="1B7904C1" w14:textId="583DAA84" w:rsidR="00A3720B" w:rsidRDefault="00A3720B" w:rsidP="00A3720B">
      <w:pPr>
        <w:pStyle w:val="BulletLevel1"/>
      </w:pPr>
      <w:r>
        <w:t xml:space="preserve">the Third-Party Appointment is reoccurring, </w:t>
      </w:r>
      <w:r w:rsidR="00C40F16">
        <w:t>th</w:t>
      </w:r>
      <w:r w:rsidR="00C25BCA">
        <w:t>is activity</w:t>
      </w:r>
      <w:r>
        <w:t xml:space="preserve"> </w:t>
      </w:r>
      <w:r w:rsidR="00BA7221">
        <w:t>sh</w:t>
      </w:r>
      <w:r>
        <w:t>ould be included in the Job Plan, or</w:t>
      </w:r>
    </w:p>
    <w:p w14:paraId="0CB81A43" w14:textId="5B54BADB" w:rsidR="00A3720B" w:rsidRDefault="00A3720B" w:rsidP="00A3720B">
      <w:pPr>
        <w:pStyle w:val="BulletLevel1"/>
      </w:pPr>
      <w:r>
        <w:t xml:space="preserve">the Third-Party Appointment was a one-off appointment or already captured by an Activity within the Job Plan, it </w:t>
      </w:r>
      <w:r w:rsidR="008E6D64">
        <w:t>would</w:t>
      </w:r>
      <w:r>
        <w:t xml:space="preserve"> be appropriate not to include in the Job</w:t>
      </w:r>
      <w:r w:rsidR="002C477A">
        <w:t xml:space="preserve"> </w:t>
      </w:r>
      <w:r>
        <w:t>Plan.</w:t>
      </w:r>
    </w:p>
    <w:p w14:paraId="76150CA1" w14:textId="1F34F23C" w:rsidR="00E36652" w:rsidRDefault="00E36652" w:rsidP="00E36652">
      <w:r>
        <w:t xml:space="preserve">The Provider can add a voluntary requirement to attend Third-Party Appointments in </w:t>
      </w:r>
      <w:r w:rsidR="00B6193D">
        <w:t>a Detailed Job Plan using</w:t>
      </w:r>
      <w:r>
        <w:t xml:space="preserve"> Code AI15 [Attend third-party appointments].</w:t>
      </w:r>
    </w:p>
    <w:p w14:paraId="1FF639B4" w14:textId="36922227" w:rsidR="00A3720B" w:rsidRDefault="00A3720B" w:rsidP="00A3720B">
      <w:pPr>
        <w:pStyle w:val="Heading5"/>
      </w:pPr>
      <w:r>
        <w:t>Re-engagement Appointment</w:t>
      </w:r>
    </w:p>
    <w:p w14:paraId="44107798" w14:textId="73A9CB2E" w:rsidR="00A3720B" w:rsidRDefault="00A3720B" w:rsidP="00A3720B">
      <w:r>
        <w:t xml:space="preserve">Re-engagement Appointments are triggered in the application of the TCF. Guidance on scheduling this form of Appointment is included under </w:t>
      </w:r>
      <w:r w:rsidR="00047484">
        <w:rPr>
          <w:highlight w:val="yellow"/>
        </w:rPr>
        <w:fldChar w:fldCharType="begin"/>
      </w:r>
      <w:r w:rsidR="00047484">
        <w:instrText xml:space="preserve"> REF _Ref202789969 \h </w:instrText>
      </w:r>
      <w:r w:rsidR="00047484">
        <w:rPr>
          <w:highlight w:val="yellow"/>
        </w:rPr>
      </w:r>
      <w:r w:rsidR="00047484">
        <w:rPr>
          <w:highlight w:val="yellow"/>
        </w:rPr>
        <w:fldChar w:fldCharType="separate"/>
      </w:r>
      <w:r w:rsidR="000D75AE">
        <w:t>12.4.6Re-engagement Requirements</w:t>
      </w:r>
      <w:r w:rsidR="00047484">
        <w:rPr>
          <w:highlight w:val="yellow"/>
        </w:rPr>
        <w:fldChar w:fldCharType="end"/>
      </w:r>
      <w:r w:rsidR="00047484">
        <w:t>.</w:t>
      </w:r>
    </w:p>
    <w:p w14:paraId="46C8EDD1" w14:textId="4DC379C4" w:rsidR="00A3720B" w:rsidRPr="00550A59" w:rsidRDefault="00A3720B" w:rsidP="00A3720B">
      <w:pPr>
        <w:pStyle w:val="Heading4"/>
      </w:pPr>
      <w:bookmarkStart w:id="229" w:name="_Ref202794716"/>
      <w:bookmarkStart w:id="230" w:name="_Toc202899968"/>
      <w:r>
        <w:t>5.6.2</w:t>
      </w:r>
      <w:r>
        <w:tab/>
      </w:r>
      <w:r w:rsidRPr="00550A59">
        <w:t>Activities</w:t>
      </w:r>
      <w:bookmarkEnd w:id="229"/>
      <w:bookmarkEnd w:id="230"/>
    </w:p>
    <w:p w14:paraId="25583E79" w14:textId="5640394D" w:rsidR="00A3720B" w:rsidRDefault="00A3720B" w:rsidP="00A3720B">
      <w:r>
        <w:t>Activities help Participants to address their individual Vocational and Non-Vocation Barriers and progress toward sustainable Open Employment.</w:t>
      </w:r>
    </w:p>
    <w:p w14:paraId="45616FBD" w14:textId="32D55394" w:rsidR="00A3720B" w:rsidRDefault="00A3720B" w:rsidP="00A3720B">
      <w:r w:rsidRPr="202AFE3D">
        <w:t xml:space="preserve">Providers </w:t>
      </w:r>
      <w:r>
        <w:t>must work with each Participant</w:t>
      </w:r>
      <w:r w:rsidRPr="202AFE3D">
        <w:t xml:space="preserve"> to identify and facilitate suitable Activities that will help Participants to achieve their identified employment goals and align with the current service offer while receiving Pre</w:t>
      </w:r>
      <w:r>
        <w:t>-</w:t>
      </w:r>
      <w:r w:rsidRPr="202AFE3D">
        <w:t>Employment Support, as detailed in</w:t>
      </w:r>
      <w:r w:rsidR="000A208C">
        <w:t xml:space="preserve"> </w:t>
      </w:r>
      <w:r w:rsidR="000A208C" w:rsidRPr="000A208C">
        <w:fldChar w:fldCharType="begin"/>
      </w:r>
      <w:r w:rsidR="000A208C" w:rsidRPr="000A208C">
        <w:instrText xml:space="preserve"> REF _Ref202790044 \h </w:instrText>
      </w:r>
      <w:r w:rsidR="000A208C">
        <w:instrText xml:space="preserve"> \* MERGEFORMAT </w:instrText>
      </w:r>
      <w:r w:rsidR="000A208C" w:rsidRPr="000A208C">
        <w:fldChar w:fldCharType="separate"/>
      </w:r>
      <w:r w:rsidR="000D75AE" w:rsidRPr="000D75AE">
        <w:t>6.5</w:t>
      </w:r>
      <w:r w:rsidR="00E12BF6">
        <w:t xml:space="preserve"> </w:t>
      </w:r>
      <w:r w:rsidR="000D75AE" w:rsidRPr="000D75AE">
        <w:t>Support to be provided to Participants</w:t>
      </w:r>
      <w:r w:rsidR="000A208C" w:rsidRPr="000A208C">
        <w:fldChar w:fldCharType="end"/>
      </w:r>
      <w:r w:rsidRPr="000A208C">
        <w:t xml:space="preserve"> </w:t>
      </w:r>
      <w:r w:rsidRPr="00531388">
        <w:t>and</w:t>
      </w:r>
      <w:r w:rsidR="000A208C">
        <w:t xml:space="preserve"> </w:t>
      </w:r>
      <w:r w:rsidR="000A208C">
        <w:rPr>
          <w:highlight w:val="yellow"/>
        </w:rPr>
        <w:fldChar w:fldCharType="begin"/>
      </w:r>
      <w:r w:rsidR="000A208C">
        <w:instrText xml:space="preserve"> REF _Ref202790101 \h </w:instrText>
      </w:r>
      <w:r w:rsidR="000A208C">
        <w:rPr>
          <w:highlight w:val="yellow"/>
        </w:rPr>
      </w:r>
      <w:r w:rsidR="000A208C">
        <w:rPr>
          <w:highlight w:val="yellow"/>
        </w:rPr>
        <w:fldChar w:fldCharType="separate"/>
      </w:r>
      <w:r w:rsidR="000D75AE" w:rsidRPr="00BA23D8">
        <w:t>Chapter 7</w:t>
      </w:r>
      <w:r w:rsidR="000D75AE">
        <w:t xml:space="preserve">: </w:t>
      </w:r>
      <w:r w:rsidR="000D75AE" w:rsidRPr="00BA23D8">
        <w:t>Activities</w:t>
      </w:r>
      <w:r w:rsidR="000A208C">
        <w:rPr>
          <w:highlight w:val="yellow"/>
        </w:rPr>
        <w:fldChar w:fldCharType="end"/>
      </w:r>
      <w:r w:rsidRPr="202AFE3D">
        <w:t>.</w:t>
      </w:r>
      <w:r>
        <w:t xml:space="preserve"> This includes arranging Activities listed as recommended Interventions in the Capability Management Tool.</w:t>
      </w:r>
    </w:p>
    <w:p w14:paraId="079F2FF8" w14:textId="136F17EA" w:rsidR="00B951C2" w:rsidRDefault="00B951C2" w:rsidP="00B951C2">
      <w:r>
        <w:t>An Early School Leaver would be expected to participate in Education and Training, including Certificate I and II level courses, or a combination of approved study and paid work for 15 hours or more per week.</w:t>
      </w:r>
      <w:r w:rsidR="00BC3740">
        <w:t xml:space="preserve"> No further tasks or activities</w:t>
      </w:r>
      <w:r w:rsidR="00F423A7">
        <w:t xml:space="preserve"> need to be undertaken if an Early School Leaver</w:t>
      </w:r>
    </w:p>
    <w:p w14:paraId="4BB3B67A" w14:textId="346F26D2" w:rsidR="00706E7F" w:rsidRDefault="00706E7F" w:rsidP="00706E7F">
      <w:r>
        <w:t xml:space="preserve">DSP Recipients (Compulsory Requirements) may be referred to Complementary Activities where it is agreed upon as part of participation in </w:t>
      </w:r>
      <w:r w:rsidR="00C74C33">
        <w:t>Inclus</w:t>
      </w:r>
      <w:r w:rsidR="00353F8E">
        <w:t>ive Employment Australia</w:t>
      </w:r>
      <w:r>
        <w:t>.</w:t>
      </w:r>
    </w:p>
    <w:p w14:paraId="3F61FFF9" w14:textId="382545D1" w:rsidR="007E15CA" w:rsidRDefault="007E15CA" w:rsidP="00706E7F">
      <w:r>
        <w:t xml:space="preserve">All Participants may be referred Education and Training courses or other government programs </w:t>
      </w:r>
      <w:r w:rsidR="000D14DA">
        <w:t>that will help build their skills and knowledge, noting that such programs may have their own eligibility criteria.</w:t>
      </w:r>
    </w:p>
    <w:p w14:paraId="39550EF2" w14:textId="77777777" w:rsidR="00A3720B" w:rsidRDefault="00A3720B" w:rsidP="00A3720B">
      <w:r w:rsidRPr="00804D54">
        <w:rPr>
          <w:b/>
          <w:bCs/>
        </w:rPr>
        <w:t>Note:</w:t>
      </w:r>
      <w:r>
        <w:t xml:space="preserve"> An Activity must be considered unsuitable if it would place</w:t>
      </w:r>
      <w:r w:rsidRPr="00134944">
        <w:t xml:space="preserve"> unreasonable demands on a </w:t>
      </w:r>
      <w:r>
        <w:t>Participant.</w:t>
      </w:r>
    </w:p>
    <w:p w14:paraId="466373C1" w14:textId="3B8CB711" w:rsidR="008C5748" w:rsidRPr="000A208C" w:rsidRDefault="008C5748" w:rsidP="008C5748">
      <w:r w:rsidRPr="000A208C">
        <w:t xml:space="preserve">Activity management (e.g. arranging, scheduling and monitoring of Activities) must be undertaken in accordance with </w:t>
      </w:r>
      <w:r w:rsidR="000A208C" w:rsidRPr="000A208C">
        <w:fldChar w:fldCharType="begin"/>
      </w:r>
      <w:r w:rsidR="000A208C" w:rsidRPr="000A208C">
        <w:instrText xml:space="preserve"> REF _Ref202790101 \h </w:instrText>
      </w:r>
      <w:r w:rsidR="000A208C">
        <w:instrText xml:space="preserve"> \* MERGEFORMAT </w:instrText>
      </w:r>
      <w:r w:rsidR="000A208C" w:rsidRPr="000A208C">
        <w:fldChar w:fldCharType="separate"/>
      </w:r>
      <w:r w:rsidR="000D75AE" w:rsidRPr="00BA23D8">
        <w:t>Chapter 7</w:t>
      </w:r>
      <w:r w:rsidR="000D75AE">
        <w:t xml:space="preserve">: </w:t>
      </w:r>
      <w:r w:rsidR="000D75AE" w:rsidRPr="00BA23D8">
        <w:t>Activities</w:t>
      </w:r>
      <w:r w:rsidR="000A208C" w:rsidRPr="000A208C">
        <w:fldChar w:fldCharType="end"/>
      </w:r>
      <w:r w:rsidR="000A208C" w:rsidRPr="000A208C">
        <w:t>.</w:t>
      </w:r>
    </w:p>
    <w:p w14:paraId="742DA5D9" w14:textId="6F3D9378" w:rsidR="008C5748" w:rsidRPr="00611AFE" w:rsidRDefault="008C5748" w:rsidP="008C5748">
      <w:pPr>
        <w:pStyle w:val="SystemStep"/>
      </w:pPr>
      <w:r>
        <w:t>Providers must schedule Activities in the Participant’s Electronic Calendar.</w:t>
      </w:r>
    </w:p>
    <w:p w14:paraId="37E2C5D6" w14:textId="717B68E5" w:rsidR="00FA35D2" w:rsidRDefault="00FA35D2" w:rsidP="00FA35D2">
      <w:r>
        <w:t xml:space="preserve">Once a Participant starts receiving Post Placement Support or Ongoing Support, their paid Employment </w:t>
      </w:r>
      <w:r w:rsidR="00AC3F81">
        <w:t>is no longer considered an</w:t>
      </w:r>
      <w:r>
        <w:t xml:space="preserve"> </w:t>
      </w:r>
      <w:r w:rsidR="00AC3F81">
        <w:t>Activity but a Job Placement</w:t>
      </w:r>
      <w:r>
        <w:t>. It is no longer appropriate for the Participant to be referred to other Activities once Employed, noting that some Non-Vocational Interventions may still be appropriate if supporting the Participant with their Employment.</w:t>
      </w:r>
    </w:p>
    <w:p w14:paraId="0AC4139C" w14:textId="6E36C509" w:rsidR="00063303" w:rsidRDefault="00063303" w:rsidP="00063303">
      <w:r>
        <w:t xml:space="preserve">It is a requirement that Providers ensure that known paid Employment, where the hours are regular and it is reasonable to do so, are scheduled in the Participant’s Electronic Calendar. Providers should encourage, and help where necessary, the Participant to create Personal Events in their Electronic Calendar for this purpose (see </w:t>
      </w:r>
      <w:r w:rsidR="000A208C">
        <w:fldChar w:fldCharType="begin"/>
      </w:r>
      <w:r w:rsidR="000A208C">
        <w:instrText xml:space="preserve"> REF _Ref202784778 \h </w:instrText>
      </w:r>
      <w:r w:rsidR="000A208C">
        <w:fldChar w:fldCharType="separate"/>
      </w:r>
      <w:r w:rsidR="000D75AE" w:rsidRPr="652192F6">
        <w:t>5.3.4</w:t>
      </w:r>
      <w:r w:rsidR="002E053E">
        <w:t xml:space="preserve"> </w:t>
      </w:r>
      <w:r w:rsidR="000D75AE" w:rsidRPr="652192F6">
        <w:t>Capturing Personal Events</w:t>
      </w:r>
      <w:r w:rsidR="000A208C">
        <w:fldChar w:fldCharType="end"/>
      </w:r>
      <w:r>
        <w:t>).</w:t>
      </w:r>
    </w:p>
    <w:p w14:paraId="4EC8A3B8" w14:textId="7005D424" w:rsidR="00A3720B" w:rsidRDefault="00410377" w:rsidP="00A3720B">
      <w:r>
        <w:t xml:space="preserve">If a Participant is on a </w:t>
      </w:r>
      <w:r w:rsidR="00102732">
        <w:t xml:space="preserve">Detailed </w:t>
      </w:r>
      <w:r w:rsidR="00C70AF6">
        <w:t>Job Plan</w:t>
      </w:r>
      <w:r w:rsidR="00102732">
        <w:t>,</w:t>
      </w:r>
      <w:r w:rsidR="001D2E97">
        <w:t xml:space="preserve"> </w:t>
      </w:r>
      <w:r>
        <w:t>a</w:t>
      </w:r>
      <w:r w:rsidR="00A3720B">
        <w:t>ny requirement to undertake an Activity must be captured in the Participant’s Job Plan, using the correct code for the Activity.</w:t>
      </w:r>
    </w:p>
    <w:p w14:paraId="4C418FF2" w14:textId="5A230AE0" w:rsidR="00A3720B" w:rsidRDefault="00A3720B" w:rsidP="00A3720B">
      <w:r>
        <w:t>All Activities can be included in a Detailed Job Plan as a voluntary requirement.</w:t>
      </w:r>
    </w:p>
    <w:p w14:paraId="0A3C13AE" w14:textId="75EA770B" w:rsidR="00A3720B" w:rsidRDefault="00A3720B" w:rsidP="00A3720B">
      <w:r w:rsidRPr="009734BB">
        <w:rPr>
          <w:b/>
          <w:bCs/>
        </w:rPr>
        <w:t>Note:</w:t>
      </w:r>
      <w:r>
        <w:t xml:space="preserve"> If </w:t>
      </w:r>
      <w:r w:rsidR="00B67177">
        <w:t>an Activity is recorded as</w:t>
      </w:r>
      <w:r>
        <w:t xml:space="preserve"> voluntary, the Participant’s Income Support Payment is not affected if they fail to participate in the Activity.</w:t>
      </w:r>
    </w:p>
    <w:p w14:paraId="3DCBA8BE" w14:textId="2B3503C8" w:rsidR="00A3720B" w:rsidRDefault="00A3720B" w:rsidP="00A3720B">
      <w:r>
        <w:t xml:space="preserve">A compulsory requirement to participate in an Activity should only be set </w:t>
      </w:r>
      <w:r w:rsidR="00102732">
        <w:t xml:space="preserve">in a Detailed Job Plan </w:t>
      </w:r>
      <w:r>
        <w:t xml:space="preserve">for a Participant receiving Pre-Employment Support </w:t>
      </w:r>
      <w:r w:rsidR="003F6D36">
        <w:t>where</w:t>
      </w:r>
      <w:r>
        <w:t xml:space="preserve"> the Provider considers mandatory attendance is required to improve their Work Readiness or prospects of finding and/or maintaining Employment. The </w:t>
      </w:r>
      <w:r w:rsidR="000A208C">
        <w:rPr>
          <w:highlight w:val="green"/>
        </w:rPr>
        <w:t>Job Plan codes and requirements, by Phase</w:t>
      </w:r>
      <w:r w:rsidR="0093708C">
        <w:rPr>
          <w:highlight w:val="green"/>
        </w:rPr>
        <w:t xml:space="preserve"> and</w:t>
      </w:r>
      <w:r w:rsidRPr="1C4E4AF5">
        <w:rPr>
          <w:highlight w:val="green"/>
        </w:rPr>
        <w:t xml:space="preserve"> Participant Type </w:t>
      </w:r>
      <w:r>
        <w:t>supporting document includes details on which Activities may be included as compulsory in a Detailed Job Plan.</w:t>
      </w:r>
    </w:p>
    <w:p w14:paraId="2793163E" w14:textId="2AA0A0B3" w:rsidR="00D74559" w:rsidRPr="008212EF" w:rsidRDefault="00D74559" w:rsidP="001D0F92">
      <w:pPr>
        <w:pStyle w:val="Heading3"/>
        <w:rPr>
          <w:rStyle w:val="Heading2Char1"/>
          <w:rFonts w:asciiTheme="majorHAnsi" w:hAnsiTheme="majorHAnsi"/>
          <w:i w:val="0"/>
          <w:color w:val="005A70" w:themeColor="accent1"/>
          <w:sz w:val="32"/>
          <w:szCs w:val="24"/>
        </w:rPr>
      </w:pPr>
      <w:bookmarkStart w:id="231" w:name="_Ref202786021"/>
      <w:bookmarkStart w:id="232" w:name="_Toc202899969"/>
      <w:r w:rsidRPr="008212EF">
        <w:rPr>
          <w:rStyle w:val="Heading2Char1"/>
          <w:rFonts w:asciiTheme="majorHAnsi" w:hAnsiTheme="majorHAnsi"/>
          <w:i w:val="0"/>
          <w:color w:val="005A70" w:themeColor="accent1"/>
          <w:sz w:val="32"/>
          <w:szCs w:val="24"/>
        </w:rPr>
        <w:t>5.</w:t>
      </w:r>
      <w:r w:rsidR="00B6192B" w:rsidRPr="00007129">
        <w:rPr>
          <w:rStyle w:val="Heading2Char1"/>
          <w:rFonts w:asciiTheme="majorHAnsi" w:hAnsiTheme="majorHAnsi"/>
          <w:i w:val="0"/>
          <w:color w:val="005A70" w:themeColor="accent1"/>
          <w:sz w:val="32"/>
          <w:szCs w:val="24"/>
        </w:rPr>
        <w:t>7</w:t>
      </w:r>
      <w:r w:rsidR="00E06A6F">
        <w:rPr>
          <w:rStyle w:val="Heading2Char1"/>
          <w:rFonts w:asciiTheme="majorHAnsi" w:hAnsiTheme="majorHAnsi"/>
          <w:i w:val="0"/>
          <w:color w:val="005A70" w:themeColor="accent1"/>
          <w:sz w:val="32"/>
          <w:szCs w:val="24"/>
        </w:rPr>
        <w:tab/>
      </w:r>
      <w:r w:rsidRPr="008212EF">
        <w:rPr>
          <w:rStyle w:val="Heading2Char1"/>
          <w:rFonts w:asciiTheme="majorHAnsi" w:hAnsiTheme="majorHAnsi"/>
          <w:i w:val="0"/>
          <w:color w:val="005A70" w:themeColor="accent1"/>
          <w:sz w:val="32"/>
          <w:szCs w:val="24"/>
        </w:rPr>
        <w:t>Job Search</w:t>
      </w:r>
      <w:bookmarkEnd w:id="231"/>
      <w:bookmarkEnd w:id="232"/>
    </w:p>
    <w:p w14:paraId="50C900A5" w14:textId="48BC90B8" w:rsidR="00D74559" w:rsidRDefault="00D74559" w:rsidP="006E2EF5">
      <w:r w:rsidRPr="00D80EE4">
        <w:t xml:space="preserve">Job Search </w:t>
      </w:r>
      <w:r w:rsidR="004D7359">
        <w:t>is appropriate for a</w:t>
      </w:r>
      <w:r>
        <w:t xml:space="preserve"> Participant i</w:t>
      </w:r>
      <w:r w:rsidR="004D7359">
        <w:t>f they</w:t>
      </w:r>
      <w:r>
        <w:t>:</w:t>
      </w:r>
    </w:p>
    <w:p w14:paraId="4A2AACA8" w14:textId="572C3008" w:rsidR="00D74559" w:rsidRDefault="004D7359" w:rsidP="004E120D">
      <w:pPr>
        <w:pStyle w:val="BulletLevel1"/>
      </w:pPr>
      <w:r>
        <w:t xml:space="preserve">are </w:t>
      </w:r>
      <w:r w:rsidR="00D74559">
        <w:t>capable of looking for work, and/or</w:t>
      </w:r>
    </w:p>
    <w:p w14:paraId="622E8664" w14:textId="6F9EA895" w:rsidR="00D74559" w:rsidRPr="00D80EE4" w:rsidRDefault="00D74559" w:rsidP="004E120D">
      <w:pPr>
        <w:pStyle w:val="BulletLevel1"/>
      </w:pPr>
      <w:r>
        <w:t>not already working enough hours in a suitable job (referred to as the ‘</w:t>
      </w:r>
      <w:r w:rsidRPr="00BC6300">
        <w:rPr>
          <w:rFonts w:cstheme="minorHAnsi"/>
        </w:rPr>
        <w:t>sufficient work test</w:t>
      </w:r>
      <w:r>
        <w:rPr>
          <w:rFonts w:cstheme="minorHAnsi"/>
        </w:rPr>
        <w:t>’ in Social Security Law)</w:t>
      </w:r>
      <w:r w:rsidR="00044C20">
        <w:t>.</w:t>
      </w:r>
    </w:p>
    <w:p w14:paraId="014661D4" w14:textId="2D2DEDA5" w:rsidR="00D74559" w:rsidRDefault="00D74559" w:rsidP="006E2EF5">
      <w:r>
        <w:t xml:space="preserve">Providers set a target number of Job Searches that a Participant must meet each Job Search Reporting Period in the Participant’s </w:t>
      </w:r>
      <w:r w:rsidR="002E248E">
        <w:t xml:space="preserve">Detailed </w:t>
      </w:r>
      <w:r>
        <w:t>Job Plan.</w:t>
      </w:r>
      <w:r w:rsidR="000A315C">
        <w:t xml:space="preserve"> An appropriate number of Job Search efforts is dependent on Participant’s capacity.</w:t>
      </w:r>
    </w:p>
    <w:p w14:paraId="42F7419A" w14:textId="77AF70E9" w:rsidR="00501CBF" w:rsidRDefault="00D74559" w:rsidP="006E2EF5">
      <w:r w:rsidRPr="00FC7C2C">
        <w:t xml:space="preserve">Job-ready </w:t>
      </w:r>
      <w:r>
        <w:t>P</w:t>
      </w:r>
      <w:r w:rsidRPr="00FC7C2C">
        <w:t xml:space="preserve">articipants </w:t>
      </w:r>
      <w:r w:rsidR="00501CBF">
        <w:t xml:space="preserve">will </w:t>
      </w:r>
      <w:r w:rsidRPr="00FC7C2C">
        <w:t xml:space="preserve">need to </w:t>
      </w:r>
      <w:r>
        <w:t>complete</w:t>
      </w:r>
      <w:r w:rsidRPr="00FC7C2C">
        <w:t xml:space="preserve"> </w:t>
      </w:r>
      <w:r w:rsidR="00600473">
        <w:t xml:space="preserve">a maximum of </w:t>
      </w:r>
      <w:r>
        <w:t>1</w:t>
      </w:r>
      <w:r w:rsidR="00004040">
        <w:t>2</w:t>
      </w:r>
      <w:r w:rsidRPr="00FC7C2C">
        <w:t xml:space="preserve"> </w:t>
      </w:r>
      <w:r>
        <w:t xml:space="preserve">Job Searches </w:t>
      </w:r>
      <w:r w:rsidRPr="00FC7C2C">
        <w:t xml:space="preserve">each month. </w:t>
      </w:r>
    </w:p>
    <w:p w14:paraId="3A7AE092" w14:textId="0909AE27" w:rsidR="00340898" w:rsidRPr="0067015F" w:rsidRDefault="00DD2216" w:rsidP="0067015F">
      <w:pPr>
        <w:pStyle w:val="Heading4"/>
      </w:pPr>
      <w:bookmarkStart w:id="233" w:name="_Toc202899970"/>
      <w:r w:rsidRPr="0067015F">
        <w:t>5.</w:t>
      </w:r>
      <w:r w:rsidR="009C71D7">
        <w:t>7</w:t>
      </w:r>
      <w:r w:rsidRPr="0067015F">
        <w:t>.1</w:t>
      </w:r>
      <w:r w:rsidRPr="0067015F">
        <w:tab/>
      </w:r>
      <w:r w:rsidR="00300F45">
        <w:t>General c</w:t>
      </w:r>
      <w:r w:rsidRPr="0067015F">
        <w:t>onsiderations when setting a Job Search Requirement</w:t>
      </w:r>
      <w:bookmarkEnd w:id="233"/>
      <w:r w:rsidR="0067015F" w:rsidRPr="0067015F">
        <w:t xml:space="preserve"> </w:t>
      </w:r>
    </w:p>
    <w:p w14:paraId="65FCAADD" w14:textId="6915AE7F" w:rsidR="0067015F" w:rsidRPr="0067015F" w:rsidRDefault="00986773" w:rsidP="0067015F">
      <w:pPr>
        <w:pStyle w:val="Heading5"/>
      </w:pPr>
      <w:r w:rsidRPr="0067015F">
        <w:t>Reasons for reducing or removing a Job Search Requirement</w:t>
      </w:r>
      <w:r w:rsidR="000A252D">
        <w:t xml:space="preserve"> </w:t>
      </w:r>
    </w:p>
    <w:p w14:paraId="6BA0779C" w14:textId="6C757C30" w:rsidR="00B303F7" w:rsidRDefault="00D74559" w:rsidP="00501CBF">
      <w:r w:rsidRPr="00FC7C2C">
        <w:t xml:space="preserve">Providers must </w:t>
      </w:r>
      <w:r w:rsidR="00560617">
        <w:t>determine if</w:t>
      </w:r>
      <w:r w:rsidR="00B813E5">
        <w:t xml:space="preserve"> </w:t>
      </w:r>
      <w:r w:rsidR="00560617">
        <w:t>a</w:t>
      </w:r>
      <w:r w:rsidRPr="00FC7C2C">
        <w:t xml:space="preserve"> </w:t>
      </w:r>
      <w:r>
        <w:t>Job Search</w:t>
      </w:r>
      <w:r w:rsidR="00B813E5">
        <w:t xml:space="preserve"> Requirement </w:t>
      </w:r>
      <w:r w:rsidR="004F7861">
        <w:t>is</w:t>
      </w:r>
      <w:r w:rsidRPr="00FC7C2C">
        <w:t xml:space="preserve"> appropriate for a </w:t>
      </w:r>
      <w:r w:rsidR="004F7861">
        <w:t>P</w:t>
      </w:r>
      <w:r w:rsidRPr="00FC7C2C">
        <w:t>articipant</w:t>
      </w:r>
      <w:r w:rsidR="00056E0E">
        <w:t xml:space="preserve"> </w:t>
      </w:r>
      <w:r w:rsidR="00C373EB">
        <w:t>on a Detailed Job Plan</w:t>
      </w:r>
      <w:r w:rsidR="00056E0E">
        <w:t xml:space="preserve"> based on their</w:t>
      </w:r>
      <w:r>
        <w:t xml:space="preserve"> circumstances</w:t>
      </w:r>
      <w:r w:rsidR="009A4177">
        <w:t>, phase and service offer</w:t>
      </w:r>
      <w:r>
        <w:t>. This can include</w:t>
      </w:r>
      <w:r w:rsidR="00B303F7">
        <w:t>:</w:t>
      </w:r>
      <w:r>
        <w:t xml:space="preserve"> </w:t>
      </w:r>
    </w:p>
    <w:p w14:paraId="28CC9D09" w14:textId="22173A02" w:rsidR="00B303F7" w:rsidRDefault="00342FB6" w:rsidP="004E120D">
      <w:pPr>
        <w:pStyle w:val="BulletLevel1"/>
      </w:pPr>
      <w:r>
        <w:t xml:space="preserve">reducing </w:t>
      </w:r>
      <w:r w:rsidR="00D74559">
        <w:t xml:space="preserve">Job Searches </w:t>
      </w:r>
      <w:r w:rsidR="000237D5">
        <w:t>for</w:t>
      </w:r>
      <w:r w:rsidR="00A21884">
        <w:t xml:space="preserve"> </w:t>
      </w:r>
      <w:r w:rsidR="00665FB0">
        <w:t xml:space="preserve">a </w:t>
      </w:r>
      <w:r w:rsidR="00D74559">
        <w:t>Participant</w:t>
      </w:r>
      <w:r w:rsidR="00665FB0">
        <w:t xml:space="preserve"> (Mutual Obligation)</w:t>
      </w:r>
      <w:r w:rsidR="00D74559">
        <w:t xml:space="preserve"> </w:t>
      </w:r>
      <w:r w:rsidR="000237D5">
        <w:t xml:space="preserve">who </w:t>
      </w:r>
      <w:r w:rsidR="00D74559">
        <w:t>is not ready to look for work</w:t>
      </w:r>
      <w:r w:rsidR="00AE59B2">
        <w:t xml:space="preserve"> or</w:t>
      </w:r>
      <w:r w:rsidR="00C63DE0">
        <w:t xml:space="preserve"> has </w:t>
      </w:r>
      <w:r w:rsidR="00C63DE0" w:rsidRPr="2524A882">
        <w:rPr>
          <w:lang w:val="en-GB"/>
        </w:rPr>
        <w:t>limit</w:t>
      </w:r>
      <w:r w:rsidR="00DD434E">
        <w:rPr>
          <w:lang w:val="en-GB"/>
        </w:rPr>
        <w:t>ed</w:t>
      </w:r>
      <w:r w:rsidR="00C63DE0" w:rsidRPr="2524A882">
        <w:rPr>
          <w:lang w:val="en-GB"/>
        </w:rPr>
        <w:t xml:space="preserve"> capacity to </w:t>
      </w:r>
      <w:r w:rsidR="00C63DE0">
        <w:rPr>
          <w:lang w:val="en-GB"/>
        </w:rPr>
        <w:t>look for work</w:t>
      </w:r>
    </w:p>
    <w:p w14:paraId="6114F09E" w14:textId="55D6B049" w:rsidR="00D63ECB" w:rsidRDefault="00342FB6" w:rsidP="004E120D">
      <w:pPr>
        <w:pStyle w:val="BulletLevel1"/>
      </w:pPr>
      <w:r>
        <w:t>red</w:t>
      </w:r>
      <w:r w:rsidR="00930AC2">
        <w:t>ucing</w:t>
      </w:r>
      <w:r w:rsidR="00B303F7">
        <w:t xml:space="preserve"> Job Searches </w:t>
      </w:r>
      <w:r w:rsidR="000237D5">
        <w:t xml:space="preserve">for </w:t>
      </w:r>
      <w:r w:rsidR="00B303F7">
        <w:t xml:space="preserve">a Participant (Mutual Obligation) </w:t>
      </w:r>
      <w:r w:rsidR="000237D5">
        <w:t xml:space="preserve">who </w:t>
      </w:r>
      <w:r w:rsidR="00B303F7">
        <w:t xml:space="preserve">is </w:t>
      </w:r>
      <w:r w:rsidR="008963E1">
        <w:t xml:space="preserve">in paid </w:t>
      </w:r>
      <w:r w:rsidR="00B303F7">
        <w:t>Employment</w:t>
      </w:r>
      <w:r w:rsidR="008963E1">
        <w:t>, including Unsubsidised Self-Employment,</w:t>
      </w:r>
      <w:r w:rsidR="00B303F7">
        <w:t xml:space="preserve"> at their </w:t>
      </w:r>
      <w:r w:rsidR="00D63ECB">
        <w:t>Employment Benchmark</w:t>
      </w:r>
    </w:p>
    <w:p w14:paraId="1C23390F" w14:textId="1EEE4927" w:rsidR="003639BC" w:rsidRDefault="00665FB0" w:rsidP="004E120D">
      <w:pPr>
        <w:pStyle w:val="BulletLevel1"/>
      </w:pPr>
      <w:r>
        <w:t>replacing a Job Search Requirement</w:t>
      </w:r>
      <w:r w:rsidR="00B303F7">
        <w:t xml:space="preserve"> with work preparation activities or job search activities for a DSP Recipient (Compulsory Requirements)</w:t>
      </w:r>
      <w:r w:rsidR="003639BC">
        <w:t xml:space="preserve"> </w:t>
      </w:r>
      <w:r w:rsidR="000237D5">
        <w:t>who is not ready to look for work</w:t>
      </w:r>
      <w:r w:rsidR="00E94861">
        <w:t>, or</w:t>
      </w:r>
    </w:p>
    <w:p w14:paraId="313DBB13" w14:textId="5CC20CAF" w:rsidR="006A4A26" w:rsidRDefault="003639BC" w:rsidP="004E120D">
      <w:pPr>
        <w:pStyle w:val="BulletLevel1"/>
      </w:pPr>
      <w:r>
        <w:t>removing the Job Search Requirement</w:t>
      </w:r>
      <w:r w:rsidR="000237D5">
        <w:t xml:space="preserve"> for a DSP Recipient (Compulsory Requirements) who</w:t>
      </w:r>
      <w:r w:rsidR="00E94861">
        <w:t xml:space="preserve"> is in paid Employment, including Unsubsidised Self-Employment</w:t>
      </w:r>
      <w:r w:rsidR="00D74559">
        <w:t>.</w:t>
      </w:r>
      <w:r w:rsidR="00501CBF">
        <w:t xml:space="preserve"> </w:t>
      </w:r>
    </w:p>
    <w:p w14:paraId="1F18584D" w14:textId="740FA6CB" w:rsidR="00BF3E1C" w:rsidRDefault="00D81AFB" w:rsidP="00501CBF">
      <w:r w:rsidRPr="00D81AFB">
        <w:rPr>
          <w:rFonts w:cstheme="minorHAnsi"/>
          <w:b/>
          <w:bCs/>
        </w:rPr>
        <w:t xml:space="preserve">Note: </w:t>
      </w:r>
      <w:r w:rsidR="007350FC">
        <w:rPr>
          <w:rFonts w:cstheme="minorHAnsi"/>
        </w:rPr>
        <w:t xml:space="preserve">A Participant (Voluntary) would not be set a Job Search Requirement. </w:t>
      </w:r>
      <w:r w:rsidR="00BF3E1C">
        <w:rPr>
          <w:rFonts w:cstheme="minorHAnsi"/>
        </w:rPr>
        <w:t>A</w:t>
      </w:r>
      <w:r w:rsidR="00BF3E1C">
        <w:t xml:space="preserve"> Participant (Mutual Obligation) who is Fully Meeting their requirements </w:t>
      </w:r>
      <w:r w:rsidR="007350FC">
        <w:t xml:space="preserve">must </w:t>
      </w:r>
      <w:r w:rsidR="00BF3E1C">
        <w:t>not be set a Job Search Requirement</w:t>
      </w:r>
      <w:r w:rsidR="007350FC">
        <w:t xml:space="preserve"> if participating </w:t>
      </w:r>
      <w:r w:rsidR="00586A5D">
        <w:t xml:space="preserve">in </w:t>
      </w:r>
      <w:r w:rsidR="00353F8E">
        <w:t>Inclusive Employment Australia</w:t>
      </w:r>
      <w:r w:rsidR="00586A5D">
        <w:t xml:space="preserve"> </w:t>
      </w:r>
      <w:r w:rsidR="007350FC">
        <w:t>as a Volunteer (Mutual Obligation)</w:t>
      </w:r>
      <w:r w:rsidR="001170F0">
        <w:t>.</w:t>
      </w:r>
      <w:r w:rsidR="005F6475">
        <w:t xml:space="preserve"> </w:t>
      </w:r>
      <w:r w:rsidR="00586A5D">
        <w:t xml:space="preserve">Participants (Voluntary) may be </w:t>
      </w:r>
      <w:r w:rsidR="00715F64">
        <w:t>set work preparation activities or job search activities</w:t>
      </w:r>
      <w:r w:rsidR="00A53267">
        <w:t xml:space="preserve"> if appropriate</w:t>
      </w:r>
      <w:r w:rsidR="00586A5D">
        <w:t xml:space="preserve">, noting </w:t>
      </w:r>
      <w:r w:rsidR="00D00DA5">
        <w:t xml:space="preserve">the additional </w:t>
      </w:r>
      <w:r w:rsidR="00586A5D">
        <w:t xml:space="preserve">considerations for </w:t>
      </w:r>
      <w:r w:rsidR="00A53267">
        <w:t xml:space="preserve">those who </w:t>
      </w:r>
      <w:r w:rsidR="00586A5D">
        <w:t xml:space="preserve">are eligible for </w:t>
      </w:r>
      <w:r w:rsidR="00A53267">
        <w:t xml:space="preserve">Mobility Allowance as outlined in </w:t>
      </w:r>
      <w:r w:rsidR="00D04BBA">
        <w:fldChar w:fldCharType="begin"/>
      </w:r>
      <w:r w:rsidR="00D04BBA">
        <w:instrText xml:space="preserve"> REF _Ref203038566 \h </w:instrText>
      </w:r>
      <w:r w:rsidR="00D04BBA">
        <w:fldChar w:fldCharType="separate"/>
      </w:r>
      <w:r w:rsidR="00D04BBA" w:rsidRPr="72B4EEE6">
        <w:t>4.</w:t>
      </w:r>
      <w:r w:rsidR="00D04BBA">
        <w:t>6</w:t>
      </w:r>
      <w:r w:rsidR="00D04BBA" w:rsidRPr="72B4EEE6">
        <w:t>.</w:t>
      </w:r>
      <w:r w:rsidR="00D04BBA">
        <w:t xml:space="preserve">4 </w:t>
      </w:r>
      <w:r w:rsidR="00D04BBA" w:rsidRPr="72B4EEE6">
        <w:t>Arrangements for Participants eligible for Mobility Allowance</w:t>
      </w:r>
      <w:r w:rsidR="00D04BBA">
        <w:fldChar w:fldCharType="end"/>
      </w:r>
      <w:r w:rsidR="00715F64">
        <w:t>.</w:t>
      </w:r>
    </w:p>
    <w:p w14:paraId="732D3529" w14:textId="6E405533" w:rsidR="00DD2216" w:rsidRDefault="00DD2216" w:rsidP="00DD2216">
      <w:pPr>
        <w:pStyle w:val="Heading5"/>
      </w:pPr>
      <w:r>
        <w:t>Setting the target number of Job Search efforts</w:t>
      </w:r>
    </w:p>
    <w:p w14:paraId="69DC6A19" w14:textId="70E11043" w:rsidR="00D74559" w:rsidRDefault="00D74559" w:rsidP="00501CBF">
      <w:r>
        <w:t>Providers</w:t>
      </w:r>
      <w:r w:rsidRPr="00981B12">
        <w:t xml:space="preserve"> </w:t>
      </w:r>
      <w:r>
        <w:t xml:space="preserve">must adjust the number of Job Searches </w:t>
      </w:r>
      <w:r w:rsidR="00CA7A54">
        <w:t>they require a Participant to undertake</w:t>
      </w:r>
      <w:r>
        <w:t xml:space="preserve"> based on:</w:t>
      </w:r>
    </w:p>
    <w:p w14:paraId="47DF358E" w14:textId="77777777" w:rsidR="00D74559" w:rsidRDefault="00D74559" w:rsidP="004E120D">
      <w:pPr>
        <w:pStyle w:val="BulletLevel1"/>
      </w:pPr>
      <w:r>
        <w:t xml:space="preserve">the Participant’s </w:t>
      </w:r>
      <w:r w:rsidRPr="202AFE3D">
        <w:t xml:space="preserve">assessed work </w:t>
      </w:r>
      <w:bookmarkStart w:id="234" w:name="_Int_QRu2CXf0"/>
      <w:r w:rsidRPr="202AFE3D">
        <w:t>capacity</w:t>
      </w:r>
      <w:bookmarkEnd w:id="234"/>
    </w:p>
    <w:p w14:paraId="59165576" w14:textId="77777777" w:rsidR="00D74559" w:rsidRDefault="00D74559" w:rsidP="004E120D">
      <w:pPr>
        <w:pStyle w:val="BulletLevel1"/>
      </w:pPr>
      <w:r>
        <w:t>the Participant’s age</w:t>
      </w:r>
    </w:p>
    <w:p w14:paraId="48D977A5" w14:textId="77777777" w:rsidR="00D74559" w:rsidRDefault="00D74559" w:rsidP="004E120D">
      <w:pPr>
        <w:pStyle w:val="BulletLevel1"/>
      </w:pPr>
      <w:r>
        <w:t xml:space="preserve">the impact of </w:t>
      </w:r>
      <w:r w:rsidRPr="00A75930">
        <w:t>physical, intellectual or psychiatric impairment</w:t>
      </w:r>
    </w:p>
    <w:p w14:paraId="59CFBE5F" w14:textId="77777777" w:rsidR="00D74559" w:rsidRDefault="00D74559" w:rsidP="004E120D">
      <w:pPr>
        <w:pStyle w:val="BulletLevel1"/>
      </w:pPr>
      <w:r>
        <w:t xml:space="preserve">the impact of any family and caring responsibilities on the Participant's </w:t>
      </w:r>
      <w:r w:rsidRPr="2926C2F3">
        <w:t>ability to look for work</w:t>
      </w:r>
    </w:p>
    <w:p w14:paraId="11C71CA7" w14:textId="77777777" w:rsidR="00D74559" w:rsidRDefault="00D74559" w:rsidP="004E120D">
      <w:pPr>
        <w:pStyle w:val="BulletLevel1"/>
      </w:pPr>
      <w:r>
        <w:t xml:space="preserve">low </w:t>
      </w:r>
      <w:r w:rsidRPr="00897B3F">
        <w:t>English language skills, if the participant is doing a course to improve these skills</w:t>
      </w:r>
    </w:p>
    <w:p w14:paraId="1EA2F9DA" w14:textId="77777777" w:rsidR="00D74559" w:rsidRDefault="00D74559" w:rsidP="004E120D">
      <w:pPr>
        <w:pStyle w:val="BulletLevel1"/>
      </w:pPr>
      <w:r>
        <w:t>current Employment status (part-time or casual work)</w:t>
      </w:r>
    </w:p>
    <w:p w14:paraId="6D57E919" w14:textId="77777777" w:rsidR="00D74559" w:rsidRDefault="00D74559" w:rsidP="004E120D">
      <w:pPr>
        <w:pStyle w:val="BulletLevel1"/>
      </w:pPr>
      <w:r>
        <w:t>the state of the labour market</w:t>
      </w:r>
    </w:p>
    <w:p w14:paraId="60965A2B" w14:textId="77777777" w:rsidR="00D74559" w:rsidRDefault="00D74559" w:rsidP="004E120D">
      <w:pPr>
        <w:pStyle w:val="BulletLevel1"/>
      </w:pPr>
      <w:r w:rsidRPr="2190AEAE">
        <w:t xml:space="preserve">the financial costs (such as travel costs) </w:t>
      </w:r>
      <w:r>
        <w:t>associated with any Job Search efforts</w:t>
      </w:r>
      <w:r w:rsidRPr="2190AEAE">
        <w:t xml:space="preserve"> and th</w:t>
      </w:r>
      <w:r>
        <w:t>e</w:t>
      </w:r>
      <w:r w:rsidRPr="2190AEAE">
        <w:t xml:space="preserve"> Participant's capacity to pay for these costs</w:t>
      </w:r>
    </w:p>
    <w:p w14:paraId="030E07A8" w14:textId="77777777" w:rsidR="00D74559" w:rsidRDefault="00D74559" w:rsidP="004E120D">
      <w:pPr>
        <w:pStyle w:val="BulletLevel1"/>
      </w:pPr>
      <w:r>
        <w:t>current phase and service offer, and</w:t>
      </w:r>
    </w:p>
    <w:p w14:paraId="4C4857F3" w14:textId="77777777" w:rsidR="00D74559" w:rsidRDefault="00D74559" w:rsidP="004E120D">
      <w:pPr>
        <w:pStyle w:val="BulletLevel1"/>
      </w:pPr>
      <w:r>
        <w:t>to account for any Activities being undertaken.</w:t>
      </w:r>
    </w:p>
    <w:p w14:paraId="0E62EDA8" w14:textId="2B7B38BD" w:rsidR="00D74559" w:rsidRDefault="00D74559" w:rsidP="008F29E0">
      <w:pPr>
        <w:keepNext/>
      </w:pPr>
      <w:r>
        <w:t>Providers must</w:t>
      </w:r>
      <w:r w:rsidR="00CA7A54">
        <w:t xml:space="preserve"> not require a Participant to undertake Job Search or must</w:t>
      </w:r>
      <w:r>
        <w:t xml:space="preserve"> reduce the Job Search Requirement to zero in the Department's IT Systems for Participants</w:t>
      </w:r>
      <w:r w:rsidR="006148D4">
        <w:t xml:space="preserve"> on a </w:t>
      </w:r>
      <w:r w:rsidR="008F599F">
        <w:t xml:space="preserve">Detailed Job </w:t>
      </w:r>
      <w:r w:rsidR="006148D4">
        <w:t>plan</w:t>
      </w:r>
      <w:r>
        <w:t xml:space="preserve"> </w:t>
      </w:r>
      <w:r w:rsidR="00427CE5">
        <w:t xml:space="preserve">for any Participant (Mutual Obligation) or DSP Recipient (Compulsory Requirement) </w:t>
      </w:r>
      <w:r>
        <w:t xml:space="preserve">who </w:t>
      </w:r>
      <w:r w:rsidR="00427CE5">
        <w:t>is</w:t>
      </w:r>
      <w:r>
        <w:t>:</w:t>
      </w:r>
    </w:p>
    <w:p w14:paraId="425F9884" w14:textId="1E459B9A" w:rsidR="00D74559" w:rsidRDefault="00D74559" w:rsidP="004E120D">
      <w:pPr>
        <w:pStyle w:val="BulletLevel1"/>
      </w:pPr>
      <w:r w:rsidRPr="00227726">
        <w:t xml:space="preserve">undertaking an approved </w:t>
      </w:r>
      <w:r w:rsidR="00B6560E">
        <w:t>Education and Training</w:t>
      </w:r>
      <w:r>
        <w:t xml:space="preserve"> </w:t>
      </w:r>
      <w:r w:rsidRPr="00227726">
        <w:t xml:space="preserve">course for 15 hours or more per week that will improve their Work Readiness or prospects </w:t>
      </w:r>
      <w:r w:rsidR="00A54C86">
        <w:t xml:space="preserve">of finding Employment </w:t>
      </w:r>
      <w:r w:rsidRPr="00227726">
        <w:t xml:space="preserve">— refer to </w:t>
      </w:r>
      <w:r w:rsidR="000A208C">
        <w:rPr>
          <w:highlight w:val="yellow"/>
        </w:rPr>
        <w:fldChar w:fldCharType="begin"/>
      </w:r>
      <w:r w:rsidR="000A208C">
        <w:instrText xml:space="preserve"> REF _Ref202790268 \h </w:instrText>
      </w:r>
      <w:r w:rsidR="000A208C">
        <w:rPr>
          <w:highlight w:val="yellow"/>
        </w:rPr>
      </w:r>
      <w:r w:rsidR="000A208C">
        <w:rPr>
          <w:highlight w:val="yellow"/>
        </w:rPr>
        <w:fldChar w:fldCharType="separate"/>
      </w:r>
      <w:r w:rsidR="000D75AE">
        <w:t>7.7.2</w:t>
      </w:r>
      <w:r w:rsidR="00A31574">
        <w:t xml:space="preserve"> </w:t>
      </w:r>
      <w:r w:rsidR="000D75AE" w:rsidRPr="21E3D223">
        <w:t>Education and Training</w:t>
      </w:r>
      <w:r w:rsidR="000A208C">
        <w:rPr>
          <w:highlight w:val="yellow"/>
        </w:rPr>
        <w:fldChar w:fldCharType="end"/>
      </w:r>
    </w:p>
    <w:p w14:paraId="686ACAF4" w14:textId="77777777" w:rsidR="00D74559" w:rsidRDefault="00D74559" w:rsidP="004E120D">
      <w:pPr>
        <w:pStyle w:val="BulletLevel1"/>
      </w:pPr>
      <w:r>
        <w:t>an Early School Leaver and undertaking full-time Education and Training, including Certificate I and II level courses, or a combination of approved study and paid work for 15 hours or more per week</w:t>
      </w:r>
    </w:p>
    <w:p w14:paraId="63F8EC06" w14:textId="77777777" w:rsidR="00D74559" w:rsidRDefault="00D74559" w:rsidP="004E120D">
      <w:pPr>
        <w:pStyle w:val="BulletLevel1"/>
      </w:pPr>
      <w:r w:rsidRPr="00227726">
        <w:t>undertaking a full-time residential or intensive drug and/or alcohol treatment or rehabilitation program</w:t>
      </w:r>
    </w:p>
    <w:p w14:paraId="54055077" w14:textId="69BFDA3F" w:rsidR="002461E8" w:rsidRPr="00227726" w:rsidRDefault="002461E8" w:rsidP="004E120D">
      <w:pPr>
        <w:pStyle w:val="BulletLevel1"/>
      </w:pPr>
      <w:r>
        <w:t>pregnant and within 3 months of the expected due date</w:t>
      </w:r>
    </w:p>
    <w:p w14:paraId="5F8385E8" w14:textId="64202E02" w:rsidR="00D74559" w:rsidRDefault="00D74559" w:rsidP="004E120D">
      <w:pPr>
        <w:pStyle w:val="BulletLevel1"/>
      </w:pPr>
      <w:r w:rsidRPr="00227726">
        <w:t>undertaking a Defence Force Reserves training camp</w:t>
      </w:r>
    </w:p>
    <w:p w14:paraId="53B50C6B" w14:textId="77777777" w:rsidR="00D74559" w:rsidRDefault="00D74559" w:rsidP="004E120D">
      <w:pPr>
        <w:pStyle w:val="BulletLevel1"/>
      </w:pPr>
      <w:r>
        <w:t>undertaking Self-Employment Assistance Small Business Coaching</w:t>
      </w:r>
    </w:p>
    <w:p w14:paraId="63AA375E" w14:textId="77777777" w:rsidR="00D74559" w:rsidRPr="00227726" w:rsidRDefault="00D74559" w:rsidP="004E120D">
      <w:pPr>
        <w:pStyle w:val="BulletLevel1"/>
      </w:pPr>
      <w:r>
        <w:t>undertaking Skills for Education and Employment (SEE) or the Adult Migrant Education Program (AMEP)</w:t>
      </w:r>
    </w:p>
    <w:p w14:paraId="141AEA77" w14:textId="77777777" w:rsidR="00D74559" w:rsidRDefault="00D74559" w:rsidP="004E120D">
      <w:pPr>
        <w:pStyle w:val="BulletLevel1"/>
      </w:pPr>
      <w:r w:rsidRPr="202AFE3D">
        <w:t>relocating for job, or</w:t>
      </w:r>
    </w:p>
    <w:p w14:paraId="67A19E7C" w14:textId="77777777" w:rsidR="00D74559" w:rsidRDefault="00D74559" w:rsidP="004E120D">
      <w:pPr>
        <w:pStyle w:val="BulletLevel1"/>
      </w:pPr>
      <w:r>
        <w:t xml:space="preserve">receiving </w:t>
      </w:r>
      <w:r w:rsidRPr="00013A84">
        <w:t>Post Placement Support or Ongoing Support.</w:t>
      </w:r>
    </w:p>
    <w:p w14:paraId="3E49F149" w14:textId="389BD0DC" w:rsidR="00D74559" w:rsidRPr="006A5443" w:rsidRDefault="001F021C" w:rsidP="006E2EF5">
      <w:r>
        <w:t xml:space="preserve">Providers must consider the local labour market when tailoring the </w:t>
      </w:r>
      <w:r w:rsidR="00CA7A54">
        <w:t xml:space="preserve">target number of </w:t>
      </w:r>
      <w:r>
        <w:t>Job Search</w:t>
      </w:r>
      <w:r w:rsidR="00CA7A54">
        <w:t>es</w:t>
      </w:r>
      <w:r>
        <w:t xml:space="preserve">. </w:t>
      </w:r>
      <w:r w:rsidR="00D74559">
        <w:t xml:space="preserve">Providers </w:t>
      </w:r>
      <w:r w:rsidR="00F076D8">
        <w:t xml:space="preserve">must </w:t>
      </w:r>
      <w:r w:rsidR="00D74559">
        <w:t>red</w:t>
      </w:r>
      <w:r w:rsidR="00D74559" w:rsidRPr="00981B12">
        <w:t xml:space="preserve">uce </w:t>
      </w:r>
      <w:r w:rsidR="00D74559">
        <w:t>the</w:t>
      </w:r>
      <w:r w:rsidR="00D74559" w:rsidRPr="00981B12">
        <w:t xml:space="preserve"> </w:t>
      </w:r>
      <w:r w:rsidR="00DD2216">
        <w:t xml:space="preserve">number of </w:t>
      </w:r>
      <w:r w:rsidR="00D74559" w:rsidRPr="00981B12">
        <w:t xml:space="preserve">Job Search </w:t>
      </w:r>
      <w:r w:rsidR="00DD2216">
        <w:t>efforts required</w:t>
      </w:r>
      <w:r w:rsidR="00DD2216" w:rsidRPr="00981B12">
        <w:t xml:space="preserve"> </w:t>
      </w:r>
      <w:r w:rsidR="00D74559">
        <w:t>for Participants in a poor or below average labour market, or where the person’s skills or other circumstances reduce the likelihood of finding work.</w:t>
      </w:r>
    </w:p>
    <w:p w14:paraId="35BA4920" w14:textId="584F6156" w:rsidR="00D74559" w:rsidRPr="00981B12" w:rsidRDefault="00D74559" w:rsidP="006E2EF5">
      <w:r>
        <w:t>Providers are also expected to</w:t>
      </w:r>
      <w:r w:rsidRPr="00981B12">
        <w:t xml:space="preserve"> red</w:t>
      </w:r>
      <w:r>
        <w:t>uce the</w:t>
      </w:r>
      <w:r w:rsidRPr="00981B12">
        <w:t xml:space="preserve"> </w:t>
      </w:r>
      <w:r w:rsidR="004054E7">
        <w:t xml:space="preserve">number of </w:t>
      </w:r>
      <w:r w:rsidRPr="00981B12">
        <w:t xml:space="preserve">Job Search </w:t>
      </w:r>
      <w:r w:rsidR="004054E7">
        <w:t>efforts r</w:t>
      </w:r>
      <w:r w:rsidRPr="00981B12">
        <w:t>equire</w:t>
      </w:r>
      <w:r w:rsidR="004054E7">
        <w:t>d</w:t>
      </w:r>
      <w:r>
        <w:t xml:space="preserve"> in circumstances where the Participant </w:t>
      </w:r>
      <w:r w:rsidR="008F599F">
        <w:t>on a Detailed Job Plan</w:t>
      </w:r>
      <w:r>
        <w:t xml:space="preserve"> has a personal disruption or crisis, during which time they may be waiting on the outcome of an application for an Exemption from their participation requirements. Such circumstances include</w:t>
      </w:r>
      <w:r w:rsidRPr="00981B12">
        <w:t>:</w:t>
      </w:r>
    </w:p>
    <w:p w14:paraId="46940EAA" w14:textId="77777777" w:rsidR="00D74559" w:rsidRPr="006A5443" w:rsidRDefault="00D74559" w:rsidP="004E120D">
      <w:pPr>
        <w:pStyle w:val="BulletLevel1"/>
      </w:pPr>
      <w:r w:rsidRPr="006A5443">
        <w:t>significant caring responsibilities</w:t>
      </w:r>
      <w:r>
        <w:t xml:space="preserve"> or temporary caring responsibilities</w:t>
      </w:r>
    </w:p>
    <w:p w14:paraId="390378E2" w14:textId="77777777" w:rsidR="00D74559" w:rsidRDefault="00D74559" w:rsidP="004E120D">
      <w:pPr>
        <w:pStyle w:val="BulletLevel1"/>
      </w:pPr>
      <w:r w:rsidRPr="202AFE3D">
        <w:t xml:space="preserve">short term family or </w:t>
      </w:r>
      <w:bookmarkStart w:id="235" w:name="_Int_Vw3uHGpH"/>
      <w:r w:rsidRPr="202AFE3D">
        <w:t>other</w:t>
      </w:r>
      <w:bookmarkEnd w:id="235"/>
      <w:r w:rsidRPr="202AFE3D">
        <w:t xml:space="preserve"> emergency</w:t>
      </w:r>
    </w:p>
    <w:p w14:paraId="554149DF" w14:textId="77777777" w:rsidR="00D74559" w:rsidRDefault="00D74559" w:rsidP="004E120D">
      <w:pPr>
        <w:pStyle w:val="BulletLevel1"/>
      </w:pPr>
      <w:r>
        <w:t>experiencing domestic violence, or</w:t>
      </w:r>
    </w:p>
    <w:p w14:paraId="44BBCCB3" w14:textId="77777777" w:rsidR="00D74559" w:rsidRPr="00981B12" w:rsidRDefault="00D74559" w:rsidP="004E120D">
      <w:pPr>
        <w:pStyle w:val="BulletLevel1"/>
      </w:pPr>
      <w:r>
        <w:t>homelessness and/or emergency housing.</w:t>
      </w:r>
    </w:p>
    <w:p w14:paraId="73A8BCF3" w14:textId="49735124" w:rsidR="00D74559" w:rsidRDefault="00D74559" w:rsidP="006F727E">
      <w:pPr>
        <w:pStyle w:val="SystemStep"/>
      </w:pPr>
      <w:r w:rsidRPr="202AFE3D">
        <w:t xml:space="preserve">To reduce the Job Search Requirement, Providers must manually adjust the number of Job Searches required in Code JS09 [Job Search – Monthly] set in the Participant’s </w:t>
      </w:r>
      <w:r w:rsidR="008F599F">
        <w:t xml:space="preserve">Detailed </w:t>
      </w:r>
      <w:r w:rsidRPr="202AFE3D">
        <w:t>Job Plan.</w:t>
      </w:r>
    </w:p>
    <w:p w14:paraId="2B65B2E2" w14:textId="5A38420E" w:rsidR="00D74559" w:rsidRPr="00B84B59" w:rsidRDefault="00D74559" w:rsidP="0079424A">
      <w:pPr>
        <w:pStyle w:val="DocumentaryEvidenceRequirement"/>
      </w:pPr>
      <w:r w:rsidRPr="00B84B59">
        <w:t xml:space="preserve">The Provider must record the reason/s for the reduction of the Job Search Requirement as a comment in the Participant’s </w:t>
      </w:r>
      <w:r w:rsidR="006F2FE9">
        <w:t>Summary</w:t>
      </w:r>
      <w:r w:rsidRPr="00B84B59">
        <w:t xml:space="preserve"> on the Department’s IT </w:t>
      </w:r>
      <w:r>
        <w:t>System</w:t>
      </w:r>
      <w:r w:rsidR="7A067A59">
        <w:t>s</w:t>
      </w:r>
      <w:r w:rsidRPr="00B84B59">
        <w:t xml:space="preserve">, using the Participant’s Summary </w:t>
      </w:r>
      <w:r w:rsidR="00860866">
        <w:t>screen</w:t>
      </w:r>
      <w:r w:rsidRPr="00B84B59">
        <w:t>.</w:t>
      </w:r>
    </w:p>
    <w:p w14:paraId="315F91A9" w14:textId="11B41839" w:rsidR="00E91472" w:rsidRDefault="00AF25B2" w:rsidP="006355F7">
      <w:pPr>
        <w:pStyle w:val="Heading5"/>
      </w:pPr>
      <w:r>
        <w:t>Recording Job Search efforts</w:t>
      </w:r>
    </w:p>
    <w:p w14:paraId="778C64A3" w14:textId="617F5635" w:rsidR="00D74559" w:rsidRDefault="00D74559" w:rsidP="006E2EF5">
      <w:r>
        <w:t xml:space="preserve">Participants </w:t>
      </w:r>
      <w:r w:rsidR="00CA7A54">
        <w:t xml:space="preserve">are required to </w:t>
      </w:r>
      <w:r w:rsidR="00BF5CC5">
        <w:t>record</w:t>
      </w:r>
      <w:r>
        <w:t xml:space="preserve"> their Job Search efforts.</w:t>
      </w:r>
    </w:p>
    <w:p w14:paraId="2D0F2A58" w14:textId="46B24BD2" w:rsidR="00090C12" w:rsidRDefault="00090C12" w:rsidP="006E2EF5">
      <w:r>
        <w:t>A Job Search effort includes:</w:t>
      </w:r>
    </w:p>
    <w:p w14:paraId="2806A167" w14:textId="59D18EAD" w:rsidR="00090C12" w:rsidRDefault="00090C12" w:rsidP="004E120D">
      <w:pPr>
        <w:pStyle w:val="BulletLevel1"/>
      </w:pPr>
      <w:r>
        <w:t>contacting an Employer by phone, in writing or in person</w:t>
      </w:r>
    </w:p>
    <w:p w14:paraId="6A46F7D8" w14:textId="49323556" w:rsidR="00090C12" w:rsidRDefault="00090C12" w:rsidP="004E120D">
      <w:pPr>
        <w:pStyle w:val="BulletLevel1"/>
      </w:pPr>
      <w:r>
        <w:t>submitting a written or online job application</w:t>
      </w:r>
    </w:p>
    <w:p w14:paraId="4A7CC940" w14:textId="6F6F1811" w:rsidR="00CA7A54" w:rsidRDefault="00CA7A54" w:rsidP="004E120D">
      <w:pPr>
        <w:pStyle w:val="BulletLevel1"/>
      </w:pPr>
      <w:r>
        <w:t xml:space="preserve">attending a Job Interview – refer to </w:t>
      </w:r>
      <w:r>
        <w:fldChar w:fldCharType="begin"/>
      </w:r>
      <w:r>
        <w:instrText xml:space="preserve"> REF _Ref202790467 \h </w:instrText>
      </w:r>
      <w:r>
        <w:fldChar w:fldCharType="separate"/>
      </w:r>
      <w:r w:rsidR="000D75AE">
        <w:t>5.8</w:t>
      </w:r>
      <w:r w:rsidR="00A31574">
        <w:t xml:space="preserve"> </w:t>
      </w:r>
      <w:r w:rsidR="000D75AE" w:rsidRPr="008C0999">
        <w:t>Job Interviews</w:t>
      </w:r>
      <w:r>
        <w:fldChar w:fldCharType="end"/>
      </w:r>
      <w:r>
        <w:t>, and</w:t>
      </w:r>
    </w:p>
    <w:p w14:paraId="279D3623" w14:textId="0256BB6B" w:rsidR="00442EA5" w:rsidRDefault="00442EA5" w:rsidP="004E120D">
      <w:pPr>
        <w:pStyle w:val="BulletLevel1"/>
      </w:pPr>
      <w:r>
        <w:t xml:space="preserve">acting on a </w:t>
      </w:r>
      <w:r w:rsidR="000F7D3F">
        <w:t>J</w:t>
      </w:r>
      <w:r>
        <w:t>ob</w:t>
      </w:r>
      <w:r w:rsidR="000F7D3F">
        <w:t xml:space="preserve"> Referral</w:t>
      </w:r>
      <w:r>
        <w:t xml:space="preserve"> — refer to </w:t>
      </w:r>
      <w:r w:rsidR="00CA7A54" w:rsidRPr="00CA7A54">
        <w:fldChar w:fldCharType="begin"/>
      </w:r>
      <w:r w:rsidR="00CA7A54" w:rsidRPr="00CA7A54">
        <w:instrText xml:space="preserve"> REF _Ref202790469 \h </w:instrText>
      </w:r>
      <w:r w:rsidR="00A31574">
        <w:instrText xml:space="preserve"> \* MERGEFORMAT </w:instrText>
      </w:r>
      <w:r w:rsidR="00CA7A54" w:rsidRPr="00CA7A54">
        <w:fldChar w:fldCharType="separate"/>
      </w:r>
      <w:r w:rsidR="000D75AE" w:rsidRPr="00A31574">
        <w:t>5.9</w:t>
      </w:r>
      <w:r w:rsidR="00A31574">
        <w:t xml:space="preserve"> </w:t>
      </w:r>
      <w:r w:rsidR="000D75AE" w:rsidRPr="00A31574">
        <w:t>Job Referrals</w:t>
      </w:r>
      <w:r w:rsidR="00CA7A54" w:rsidRPr="00CA7A54">
        <w:fldChar w:fldCharType="end"/>
      </w:r>
      <w:r w:rsidR="00CA7A54">
        <w:t>.</w:t>
      </w:r>
    </w:p>
    <w:p w14:paraId="27497A59" w14:textId="0B879CAF" w:rsidR="00747179" w:rsidRDefault="00747179" w:rsidP="00747179">
      <w:r w:rsidRPr="00AA18C3">
        <w:rPr>
          <w:b/>
          <w:bCs/>
        </w:rPr>
        <w:t>Note:</w:t>
      </w:r>
      <w:r>
        <w:t xml:space="preserve"> A Job Search effort may occur during an Activity, if the Activity included a Job Interview or resulted in an offer of paid work. For example, this might occur as part of:</w:t>
      </w:r>
    </w:p>
    <w:p w14:paraId="48E772A9" w14:textId="77777777" w:rsidR="00747179" w:rsidRDefault="00747179" w:rsidP="004E120D">
      <w:pPr>
        <w:pStyle w:val="BulletLevel1"/>
      </w:pPr>
      <w:r w:rsidRPr="202AFE3D">
        <w:t>Employer meet and greet sessions</w:t>
      </w:r>
    </w:p>
    <w:p w14:paraId="72269E6D" w14:textId="77777777" w:rsidR="00747179" w:rsidRDefault="00747179" w:rsidP="004E120D">
      <w:pPr>
        <w:pStyle w:val="BulletLevel1"/>
      </w:pPr>
      <w:r w:rsidRPr="00C70AB8">
        <w:t>job fairs</w:t>
      </w:r>
      <w:r>
        <w:t xml:space="preserve"> or </w:t>
      </w:r>
      <w:r w:rsidRPr="00C70AB8">
        <w:t>job expos</w:t>
      </w:r>
      <w:r>
        <w:t>, or</w:t>
      </w:r>
    </w:p>
    <w:p w14:paraId="4E989E0E" w14:textId="77777777" w:rsidR="00747179" w:rsidRDefault="00747179" w:rsidP="004E120D">
      <w:pPr>
        <w:pStyle w:val="BulletLevel1"/>
      </w:pPr>
      <w:r>
        <w:t>work experience opportunities, paid or unpaid, such as:</w:t>
      </w:r>
    </w:p>
    <w:p w14:paraId="4FF44CA3" w14:textId="77777777" w:rsidR="00747179" w:rsidRPr="006B34C5" w:rsidRDefault="00747179" w:rsidP="004E120D">
      <w:pPr>
        <w:pStyle w:val="BulletLevel2"/>
      </w:pPr>
      <w:r w:rsidRPr="006B34C5">
        <w:t>an Observational Work Experience placement</w:t>
      </w:r>
    </w:p>
    <w:p w14:paraId="6A2CE2FA" w14:textId="77777777" w:rsidR="00747179" w:rsidRPr="006B34C5" w:rsidRDefault="00747179" w:rsidP="004E120D">
      <w:pPr>
        <w:pStyle w:val="BulletLevel2"/>
      </w:pPr>
      <w:r w:rsidRPr="006B34C5">
        <w:t>a Provider Sourced Voluntary Work placement</w:t>
      </w:r>
    </w:p>
    <w:p w14:paraId="570C81E3" w14:textId="77777777" w:rsidR="00747179" w:rsidRPr="006B34C5" w:rsidRDefault="00747179" w:rsidP="004E120D">
      <w:pPr>
        <w:pStyle w:val="BulletLevel2"/>
      </w:pPr>
      <w:r w:rsidRPr="006B34C5">
        <w:t>a Work Trial, or</w:t>
      </w:r>
    </w:p>
    <w:p w14:paraId="15DFBEFA" w14:textId="77777777" w:rsidR="00747179" w:rsidRPr="006B34C5" w:rsidRDefault="00747179" w:rsidP="004E120D">
      <w:pPr>
        <w:pStyle w:val="BulletLevel2"/>
      </w:pPr>
      <w:r w:rsidRPr="006B34C5">
        <w:t>work within a social enterprise.</w:t>
      </w:r>
    </w:p>
    <w:p w14:paraId="5FFDA791" w14:textId="39CDAA11" w:rsidR="00D74559" w:rsidRDefault="00D74559" w:rsidP="006E2EF5">
      <w:r>
        <w:t xml:space="preserve">For the purposes of Social Security Law, a Participant is considered to have undertaken a </w:t>
      </w:r>
      <w:r w:rsidRPr="202AFE3D">
        <w:t xml:space="preserve">Job Search effort </w:t>
      </w:r>
      <w:r>
        <w:t>if the</w:t>
      </w:r>
      <w:r w:rsidRPr="202AFE3D">
        <w:t xml:space="preserve"> Participant </w:t>
      </w:r>
      <w:r>
        <w:t>makes contact with another person or body (i.e. Employer) in relation to, and for the purpose of, obtaining paid work with the Employer:</w:t>
      </w:r>
    </w:p>
    <w:p w14:paraId="21124450" w14:textId="747540FF" w:rsidR="00D74559" w:rsidRDefault="00D74559" w:rsidP="004E120D">
      <w:pPr>
        <w:pStyle w:val="BulletLevel1"/>
      </w:pPr>
      <w:r>
        <w:t>whether or not the contact is in relation to particular paid work, and</w:t>
      </w:r>
    </w:p>
    <w:p w14:paraId="54D37459" w14:textId="77777777" w:rsidR="00D74559" w:rsidRDefault="00D74559" w:rsidP="004E120D">
      <w:pPr>
        <w:pStyle w:val="BulletLevel1"/>
      </w:pPr>
      <w:r>
        <w:t>whether or not the other person or the body has advertised any paid work.</w:t>
      </w:r>
    </w:p>
    <w:p w14:paraId="6157D333" w14:textId="661848AB" w:rsidR="007114D5" w:rsidRDefault="006B49D2" w:rsidP="006E2EF5">
      <w:r>
        <w:t xml:space="preserve">Participants </w:t>
      </w:r>
      <w:r w:rsidR="00874D08">
        <w:t xml:space="preserve">who are Employed </w:t>
      </w:r>
      <w:r>
        <w:t>can declare Job Search efforts that relate to</w:t>
      </w:r>
      <w:r w:rsidR="00FE1C56">
        <w:t xml:space="preserve"> </w:t>
      </w:r>
      <w:r w:rsidR="00874D08">
        <w:t>the same Employer</w:t>
      </w:r>
      <w:r w:rsidR="00322AFF">
        <w:t xml:space="preserve">, to count towards Job Search </w:t>
      </w:r>
      <w:r w:rsidR="00CA7A54">
        <w:t>efforts</w:t>
      </w:r>
      <w:r w:rsidR="00322AFF">
        <w:t>,</w:t>
      </w:r>
      <w:r w:rsidR="00874D08">
        <w:t xml:space="preserve"> </w:t>
      </w:r>
      <w:r w:rsidR="00FE1C56">
        <w:t xml:space="preserve">if </w:t>
      </w:r>
      <w:r w:rsidR="002327E7">
        <w:t>it would result in</w:t>
      </w:r>
      <w:r w:rsidR="007114D5">
        <w:t>:</w:t>
      </w:r>
    </w:p>
    <w:p w14:paraId="109257F3" w14:textId="10B6C8E8" w:rsidR="004F17B3" w:rsidRDefault="002327E7" w:rsidP="004E120D">
      <w:pPr>
        <w:pStyle w:val="BulletLevel1"/>
      </w:pPr>
      <w:r>
        <w:t>an increase in hours or earnings</w:t>
      </w:r>
    </w:p>
    <w:p w14:paraId="4E49139E" w14:textId="235C1971" w:rsidR="007269F8" w:rsidRDefault="007269F8" w:rsidP="004E120D">
      <w:pPr>
        <w:pStyle w:val="BulletLevel1"/>
      </w:pPr>
      <w:r>
        <w:t>an extension</w:t>
      </w:r>
      <w:r w:rsidR="008649F0">
        <w:t xml:space="preserve"> or new period</w:t>
      </w:r>
      <w:r>
        <w:t xml:space="preserve"> of </w:t>
      </w:r>
      <w:r w:rsidR="00AD3DB9">
        <w:t>short-term</w:t>
      </w:r>
      <w:r w:rsidR="0035372A">
        <w:t xml:space="preserve"> seasonal</w:t>
      </w:r>
      <w:r w:rsidR="008649F0">
        <w:t>, project-based</w:t>
      </w:r>
      <w:r w:rsidR="0035372A">
        <w:t xml:space="preserve"> or contract</w:t>
      </w:r>
      <w:r w:rsidR="00AD3DB9">
        <w:t xml:space="preserve"> work</w:t>
      </w:r>
    </w:p>
    <w:p w14:paraId="502BE7EC" w14:textId="672E3BE9" w:rsidR="007114D5" w:rsidRDefault="007114D5" w:rsidP="004E120D">
      <w:pPr>
        <w:pStyle w:val="BulletLevel1"/>
      </w:pPr>
      <w:r>
        <w:t>a move from Supported Employment to Open Employment</w:t>
      </w:r>
      <w:r w:rsidR="002A06BC">
        <w:t>, or</w:t>
      </w:r>
    </w:p>
    <w:p w14:paraId="52C40D3A" w14:textId="19ABCFF4" w:rsidR="006B49D2" w:rsidRDefault="009228F6" w:rsidP="004E120D">
      <w:pPr>
        <w:pStyle w:val="BulletLevel1"/>
      </w:pPr>
      <w:r>
        <w:t xml:space="preserve">changing from casual </w:t>
      </w:r>
      <w:r w:rsidR="00AD3DB9">
        <w:t>work</w:t>
      </w:r>
      <w:r>
        <w:t xml:space="preserve"> to permanent Employment</w:t>
      </w:r>
      <w:r w:rsidR="002A06BC">
        <w:t>.</w:t>
      </w:r>
    </w:p>
    <w:p w14:paraId="4F235884" w14:textId="765BD260" w:rsidR="00D74559" w:rsidRDefault="00D74559" w:rsidP="006E2EF5">
      <w:r>
        <w:t>Participant</w:t>
      </w:r>
      <w:r w:rsidRPr="00522730">
        <w:t xml:space="preserve">s who are freelance workers or self-employed can </w:t>
      </w:r>
      <w:r>
        <w:t xml:space="preserve">also </w:t>
      </w:r>
      <w:r w:rsidR="00CA7A54">
        <w:t>report</w:t>
      </w:r>
      <w:r w:rsidRPr="00522730">
        <w:t xml:space="preserve"> Job Search efforts</w:t>
      </w:r>
      <w:r>
        <w:t xml:space="preserve"> </w:t>
      </w:r>
      <w:r w:rsidRPr="00522730">
        <w:t xml:space="preserve">for contacting a potential Employer or person for paid work opportunities related to their field of </w:t>
      </w:r>
      <w:r>
        <w:t>self-employment</w:t>
      </w:r>
      <w:r w:rsidRPr="00522730">
        <w:t>.</w:t>
      </w:r>
      <w:r>
        <w:t xml:space="preserve"> </w:t>
      </w:r>
    </w:p>
    <w:p w14:paraId="1A07A628" w14:textId="77777777" w:rsidR="00D74559" w:rsidRPr="00522730" w:rsidRDefault="00D74559" w:rsidP="006E2EF5">
      <w:r w:rsidRPr="00522730">
        <w:t>This can include project based work or short-term contracts such as: </w:t>
      </w:r>
    </w:p>
    <w:p w14:paraId="327E1D15" w14:textId="77777777" w:rsidR="00D74559" w:rsidRPr="00522730" w:rsidRDefault="00D74559" w:rsidP="004E120D">
      <w:pPr>
        <w:pStyle w:val="BulletLevel1"/>
      </w:pPr>
      <w:r w:rsidRPr="00522730">
        <w:t>applying for a grant</w:t>
      </w:r>
    </w:p>
    <w:p w14:paraId="2B2E6C39" w14:textId="77777777" w:rsidR="00D74559" w:rsidRDefault="00D74559" w:rsidP="004E120D">
      <w:pPr>
        <w:pStyle w:val="BulletLevel1"/>
      </w:pPr>
      <w:r w:rsidRPr="00522730">
        <w:t>submitting a portfolio for a creative arts project</w:t>
      </w:r>
    </w:p>
    <w:p w14:paraId="405F8F93" w14:textId="4C70227A" w:rsidR="00166D82" w:rsidRPr="00522730" w:rsidRDefault="005F6E44" w:rsidP="004E120D">
      <w:pPr>
        <w:pStyle w:val="BulletLevel1"/>
      </w:pPr>
      <w:r>
        <w:t>contacting an individual</w:t>
      </w:r>
      <w:r w:rsidR="00166D82">
        <w:t xml:space="preserve"> who is seeking to hire a tradesperson for renovation works</w:t>
      </w:r>
      <w:r w:rsidR="00F3242A">
        <w:t xml:space="preserve"> </w:t>
      </w:r>
    </w:p>
    <w:p w14:paraId="2EFA8606" w14:textId="77777777" w:rsidR="00D74559" w:rsidRPr="00522730" w:rsidRDefault="00D74559" w:rsidP="004E120D">
      <w:pPr>
        <w:pStyle w:val="BulletLevel1"/>
      </w:pPr>
      <w:r>
        <w:t>contacting a potential client about their advertisement for web design work, and</w:t>
      </w:r>
    </w:p>
    <w:p w14:paraId="5BF45A50" w14:textId="77777777" w:rsidR="00D74559" w:rsidRPr="00522730" w:rsidRDefault="00D74559" w:rsidP="004E120D">
      <w:pPr>
        <w:pStyle w:val="BulletLevel1"/>
      </w:pPr>
      <w:r w:rsidRPr="00522730">
        <w:t>contacting the owner of a local venue for a music gig. </w:t>
      </w:r>
    </w:p>
    <w:p w14:paraId="48398980" w14:textId="5463FCBB" w:rsidR="00D74559" w:rsidRPr="00981B12" w:rsidRDefault="00D74559" w:rsidP="006E2EF5">
      <w:r w:rsidRPr="00250E2A">
        <w:t xml:space="preserve">More information is available in the </w:t>
      </w:r>
      <w:r w:rsidRPr="008A28A4">
        <w:rPr>
          <w:rStyle w:val="Hyperlink"/>
        </w:rPr>
        <w:t xml:space="preserve">Mutual Obligations for freelancers or self-employed workers Fact Sheet </w:t>
      </w:r>
      <w:r w:rsidR="008A28A4" w:rsidRPr="008A28A4">
        <w:rPr>
          <w:rStyle w:val="Hyperlink"/>
        </w:rPr>
        <w:t>[LINK]</w:t>
      </w:r>
      <w:r w:rsidR="008A28A4">
        <w:t xml:space="preserve"> </w:t>
      </w:r>
      <w:r w:rsidRPr="00250E2A">
        <w:t xml:space="preserve">on the </w:t>
      </w:r>
      <w:r>
        <w:t>Provider</w:t>
      </w:r>
      <w:r w:rsidRPr="00250E2A">
        <w:t xml:space="preserve"> Portal. </w:t>
      </w:r>
    </w:p>
    <w:p w14:paraId="0558F7EA" w14:textId="469E1D77" w:rsidR="00D74559" w:rsidRDefault="00D74559" w:rsidP="006E2EF5">
      <w:r>
        <w:t xml:space="preserve">Participants can </w:t>
      </w:r>
      <w:r w:rsidR="00C17739">
        <w:t>record their</w:t>
      </w:r>
      <w:r>
        <w:t xml:space="preserve"> </w:t>
      </w:r>
      <w:r w:rsidR="00D67F75">
        <w:t>j</w:t>
      </w:r>
      <w:r>
        <w:t xml:space="preserve">ob </w:t>
      </w:r>
      <w:r w:rsidR="00D67F75">
        <w:t>a</w:t>
      </w:r>
      <w:r>
        <w:t>pplications on the Workforce Australia website and/or App, or provide evidence of their efforts to their Provider</w:t>
      </w:r>
      <w:r w:rsidR="00C17739">
        <w:t xml:space="preserve"> to </w:t>
      </w:r>
      <w:r w:rsidR="002F25D9">
        <w:t>record</w:t>
      </w:r>
      <w:r w:rsidR="00C17739">
        <w:t xml:space="preserve"> on their behalf</w:t>
      </w:r>
      <w:r>
        <w:t>.</w:t>
      </w:r>
    </w:p>
    <w:p w14:paraId="412B82C8" w14:textId="209417E3" w:rsidR="00D74559" w:rsidRPr="00B84B59" w:rsidRDefault="00D74559" w:rsidP="007266BE">
      <w:pPr>
        <w:pStyle w:val="DocumentaryEvidenceRequirement"/>
        <w:ind w:left="643"/>
      </w:pPr>
      <w:r w:rsidRPr="00B84B59">
        <w:t>Providers must retain copies of all fully and partially completed Job Search efforts given by a Participant</w:t>
      </w:r>
      <w:r w:rsidR="005A080D">
        <w:t xml:space="preserve"> for the current and previous Job Search Reporting Period</w:t>
      </w:r>
      <w:r w:rsidRPr="00B84B59">
        <w:t>.</w:t>
      </w:r>
    </w:p>
    <w:p w14:paraId="3D450407" w14:textId="77777777" w:rsidR="00D74559" w:rsidRDefault="00D74559" w:rsidP="006F727E">
      <w:pPr>
        <w:pStyle w:val="SystemStep"/>
      </w:pPr>
      <w:r>
        <w:t>If a Participant (Mutual Obligation) submits their Job Searches to their Provider, the Provider must only upload Job Search efforts considered to be satisfactory.</w:t>
      </w:r>
    </w:p>
    <w:p w14:paraId="1BB8646D" w14:textId="4B53C0BC" w:rsidR="00D74559" w:rsidRDefault="00D74559" w:rsidP="006E2EF5">
      <w:r>
        <w:t xml:space="preserve">When </w:t>
      </w:r>
      <w:r w:rsidRPr="004751ED">
        <w:t xml:space="preserve">recording </w:t>
      </w:r>
      <w:r>
        <w:t xml:space="preserve">Job </w:t>
      </w:r>
      <w:r w:rsidR="007847C7">
        <w:t>Search e</w:t>
      </w:r>
      <w:r w:rsidRPr="004751ED">
        <w:t xml:space="preserve">fforts </w:t>
      </w:r>
      <w:r w:rsidR="007E68BC">
        <w:t xml:space="preserve">are </w:t>
      </w:r>
      <w:r w:rsidRPr="004751ED">
        <w:t>submitted</w:t>
      </w:r>
      <w:r w:rsidR="00D67F75">
        <w:t xml:space="preserve"> directly</w:t>
      </w:r>
      <w:r>
        <w:t>, Providers mus</w:t>
      </w:r>
      <w:r w:rsidR="00D67F75">
        <w:t>t</w:t>
      </w:r>
      <w:r>
        <w:t xml:space="preserve"> check that </w:t>
      </w:r>
      <w:r w:rsidR="00D67F75">
        <w:t xml:space="preserve">each </w:t>
      </w:r>
      <w:r>
        <w:t>submitted Job Search effort:</w:t>
      </w:r>
    </w:p>
    <w:p w14:paraId="33F4510F" w14:textId="649C8EDB" w:rsidR="003E6072" w:rsidRDefault="00D74559" w:rsidP="004E120D">
      <w:pPr>
        <w:pStyle w:val="BulletLevel1"/>
      </w:pPr>
      <w:r w:rsidRPr="740E674E">
        <w:t>includes clear details of the job title or occupation</w:t>
      </w:r>
    </w:p>
    <w:p w14:paraId="1261A1AD" w14:textId="652149CA" w:rsidR="0018429A" w:rsidRDefault="003E6072" w:rsidP="004E120D">
      <w:pPr>
        <w:pStyle w:val="BulletLevel1"/>
      </w:pPr>
      <w:r>
        <w:t>include clear details of</w:t>
      </w:r>
      <w:r w:rsidR="0018429A">
        <w:t>:</w:t>
      </w:r>
    </w:p>
    <w:p w14:paraId="56D777D2" w14:textId="5D1DF60B" w:rsidR="004D15E0" w:rsidRDefault="00AA04C8" w:rsidP="004E120D">
      <w:pPr>
        <w:pStyle w:val="BulletLevel2"/>
      </w:pPr>
      <w:r>
        <w:t>the person contacted</w:t>
      </w:r>
      <w:r w:rsidR="004D15E0">
        <w:t xml:space="preserve"> </w:t>
      </w:r>
      <w:r w:rsidR="00D8195D">
        <w:t>if</w:t>
      </w:r>
      <w:r w:rsidR="00D13BD5">
        <w:t xml:space="preserve"> the Employer is an individual and not a business</w:t>
      </w:r>
      <w:r w:rsidR="004F1B5A">
        <w:t xml:space="preserve"> — note, that if the individual does not wish for their details to be disclosed, the Participant may list the Employer as ‘private citizen’</w:t>
      </w:r>
    </w:p>
    <w:p w14:paraId="2E031C66" w14:textId="0A442833" w:rsidR="00C30796" w:rsidRDefault="00D74559" w:rsidP="004E120D">
      <w:pPr>
        <w:pStyle w:val="BulletLevel2"/>
      </w:pPr>
      <w:r w:rsidRPr="740E674E">
        <w:t>the employing business</w:t>
      </w:r>
      <w:r w:rsidR="00C30796">
        <w:t>, or</w:t>
      </w:r>
    </w:p>
    <w:p w14:paraId="0BF161F2" w14:textId="3E6A2FFD" w:rsidR="00D74559" w:rsidRPr="006A5443" w:rsidRDefault="00D74559" w:rsidP="004E120D">
      <w:pPr>
        <w:pStyle w:val="BulletLevel2"/>
      </w:pPr>
      <w:r w:rsidRPr="740E674E">
        <w:t xml:space="preserve">the platform where the position was found </w:t>
      </w:r>
      <w:r>
        <w:t>(</w:t>
      </w:r>
      <w:r w:rsidRPr="740E674E">
        <w:t>e.g. SEEK, Aduna</w:t>
      </w:r>
      <w:r>
        <w:t>)</w:t>
      </w:r>
      <w:r w:rsidR="009522D3">
        <w:t xml:space="preserve"> if neither </w:t>
      </w:r>
      <w:r w:rsidR="006B4ECC">
        <w:t xml:space="preserve">the name of the individual or business </w:t>
      </w:r>
      <w:r w:rsidR="00AF687B">
        <w:t>was available</w:t>
      </w:r>
    </w:p>
    <w:p w14:paraId="46474B2B" w14:textId="77777777" w:rsidR="00D74559" w:rsidRPr="006A5443" w:rsidRDefault="00D74559" w:rsidP="004E120D">
      <w:pPr>
        <w:pStyle w:val="BulletLevel1"/>
      </w:pPr>
      <w:r w:rsidRPr="740E674E">
        <w:t xml:space="preserve">is dated, and that date is from the relevant </w:t>
      </w:r>
      <w:r>
        <w:t>Job Search Reporting Period</w:t>
      </w:r>
    </w:p>
    <w:p w14:paraId="381B8AB0" w14:textId="77777777" w:rsidR="00D74559" w:rsidRPr="006A5443" w:rsidRDefault="00D74559" w:rsidP="004E120D">
      <w:pPr>
        <w:pStyle w:val="BulletLevel1"/>
      </w:pPr>
      <w:r w:rsidRPr="740E674E">
        <w:t>is for a role the Participant is qualified for and/or able to undertake</w:t>
      </w:r>
    </w:p>
    <w:p w14:paraId="13A44227" w14:textId="77777777" w:rsidR="00D74559" w:rsidRPr="006A5443" w:rsidRDefault="00D74559" w:rsidP="004E120D">
      <w:pPr>
        <w:pStyle w:val="BulletLevel1"/>
      </w:pPr>
      <w:r w:rsidRPr="740E674E">
        <w:t>is for suitable, paid work roles</w:t>
      </w:r>
    </w:p>
    <w:p w14:paraId="1F8A9F32" w14:textId="719C319F" w:rsidR="00D74559" w:rsidRPr="006A5443" w:rsidRDefault="00D74559" w:rsidP="004E120D">
      <w:pPr>
        <w:pStyle w:val="BulletLevel1"/>
      </w:pPr>
      <w:r w:rsidRPr="740E674E">
        <w:t>has not been deliberately sabotaged</w:t>
      </w:r>
      <w:r>
        <w:t>, and</w:t>
      </w:r>
    </w:p>
    <w:p w14:paraId="240A1084" w14:textId="77777777" w:rsidR="00D74559" w:rsidRPr="009D79A3" w:rsidRDefault="00D74559" w:rsidP="004E120D">
      <w:pPr>
        <w:pStyle w:val="BulletLevel1"/>
      </w:pPr>
      <w:r w:rsidRPr="740E674E">
        <w:t xml:space="preserve">is not the exact same job duplicated </w:t>
      </w:r>
      <w:r>
        <w:t>within the</w:t>
      </w:r>
      <w:r w:rsidRPr="740E674E">
        <w:t xml:space="preserve"> </w:t>
      </w:r>
      <w:r>
        <w:t>Job Search Reporting Period.</w:t>
      </w:r>
    </w:p>
    <w:p w14:paraId="236DDABD" w14:textId="69F52D68" w:rsidR="00124B01" w:rsidRDefault="00124B01" w:rsidP="0083261E">
      <w:pPr>
        <w:pStyle w:val="Heading5"/>
      </w:pPr>
      <w:r>
        <w:t xml:space="preserve">Educating Participants </w:t>
      </w:r>
      <w:r w:rsidR="007F3BF8">
        <w:t>on Job Search</w:t>
      </w:r>
    </w:p>
    <w:p w14:paraId="4167FCF8" w14:textId="3D04D53D" w:rsidR="00477155" w:rsidRDefault="00477155" w:rsidP="00477155">
      <w:pPr>
        <w:keepNext/>
      </w:pPr>
      <w:r>
        <w:t xml:space="preserve">Where the Provider determines Job Search effort </w:t>
      </w:r>
      <w:r w:rsidR="007E00B6">
        <w:t>was</w:t>
      </w:r>
      <w:r>
        <w:t xml:space="preserve"> unsatisfactory, either as the Participant has not meet the target </w:t>
      </w:r>
      <w:r w:rsidR="007E00B6">
        <w:t xml:space="preserve">number </w:t>
      </w:r>
      <w:r>
        <w:t xml:space="preserve">or </w:t>
      </w:r>
      <w:r w:rsidR="00A21884">
        <w:t xml:space="preserve">there </w:t>
      </w:r>
      <w:r>
        <w:t>were quality issues, the Provider must:</w:t>
      </w:r>
    </w:p>
    <w:p w14:paraId="4D607ED0" w14:textId="77777777" w:rsidR="00477155" w:rsidRDefault="00477155" w:rsidP="004E120D">
      <w:pPr>
        <w:pStyle w:val="BulletLevel1"/>
      </w:pPr>
      <w:r>
        <w:t>discuss the</w:t>
      </w:r>
      <w:r w:rsidRPr="0086319A">
        <w:t xml:space="preserve"> </w:t>
      </w:r>
      <w:r>
        <w:t>reason(s) why any Job Search efforts were found to be unsatisfactory</w:t>
      </w:r>
    </w:p>
    <w:p w14:paraId="09EDC317" w14:textId="77777777" w:rsidR="00477155" w:rsidRDefault="00477155" w:rsidP="004E120D">
      <w:pPr>
        <w:pStyle w:val="BulletLevel1"/>
      </w:pPr>
      <w:r>
        <w:t>educate the participant on how to improve their Job Search efforts to achieve quality</w:t>
      </w:r>
    </w:p>
    <w:p w14:paraId="0161EE73" w14:textId="77777777" w:rsidR="00477155" w:rsidRDefault="00477155" w:rsidP="004E120D">
      <w:pPr>
        <w:pStyle w:val="BulletLevel1"/>
      </w:pPr>
      <w:r>
        <w:t>discuss what tailored support is available to help the Participant improve their future Job Search efforts</w:t>
      </w:r>
    </w:p>
    <w:p w14:paraId="250561E2" w14:textId="6EFAA989" w:rsidR="00477155" w:rsidRDefault="00477155" w:rsidP="004E120D">
      <w:pPr>
        <w:pStyle w:val="BulletLevel1"/>
      </w:pPr>
      <w:r>
        <w:t xml:space="preserve">ensure </w:t>
      </w:r>
      <w:r w:rsidR="00507BF4">
        <w:t>a</w:t>
      </w:r>
      <w:r>
        <w:t xml:space="preserve"> Participant </w:t>
      </w:r>
      <w:r w:rsidR="00507BF4">
        <w:t xml:space="preserve">(Mutual Obligation) </w:t>
      </w:r>
      <w:r>
        <w:t xml:space="preserve">submits additional Job Search efforts to meet their requirements before the end of their </w:t>
      </w:r>
      <w:r w:rsidR="00E34400">
        <w:t>Job Search R</w:t>
      </w:r>
      <w:r>
        <w:t xml:space="preserve">eporting </w:t>
      </w:r>
      <w:r w:rsidR="00E34400">
        <w:t>P</w:t>
      </w:r>
      <w:r>
        <w:t>eriod, where possible, and</w:t>
      </w:r>
    </w:p>
    <w:p w14:paraId="6FE5F662" w14:textId="77777777" w:rsidR="006D2B3C" w:rsidRDefault="00477155" w:rsidP="004E120D">
      <w:pPr>
        <w:pStyle w:val="BulletLevel1"/>
      </w:pPr>
      <w:r>
        <w:t>discuss the consequences of not undertaking satisfactory Job Search efforts, including</w:t>
      </w:r>
      <w:r w:rsidR="006D2B3C">
        <w:t>:</w:t>
      </w:r>
    </w:p>
    <w:p w14:paraId="2574E5C3" w14:textId="4C3A2469" w:rsidR="006D2B3C" w:rsidRDefault="00477155" w:rsidP="004E120D">
      <w:pPr>
        <w:pStyle w:val="BulletLevel2"/>
      </w:pPr>
      <w:r>
        <w:t xml:space="preserve">how Job Search efforts contribute to meeting the </w:t>
      </w:r>
      <w:r w:rsidR="007E68BC">
        <w:t>compul</w:t>
      </w:r>
      <w:r w:rsidR="00A6666A">
        <w:t>sory requirements of their Detailed Job Plan</w:t>
      </w:r>
      <w:r w:rsidR="006D2B3C">
        <w:t>,</w:t>
      </w:r>
      <w:r>
        <w:t xml:space="preserve"> or </w:t>
      </w:r>
    </w:p>
    <w:p w14:paraId="5A88E61B" w14:textId="7D6EF9DF" w:rsidR="00477155" w:rsidRDefault="00477155" w:rsidP="004E120D">
      <w:pPr>
        <w:pStyle w:val="BulletLevel2"/>
      </w:pPr>
      <w:r>
        <w:t xml:space="preserve">are subject to the application of the TCF for </w:t>
      </w:r>
      <w:r w:rsidR="00E34400">
        <w:t xml:space="preserve">Participants (Mutual Obligation) who are </w:t>
      </w:r>
      <w:r>
        <w:t>on a Detailed Job Plan.</w:t>
      </w:r>
    </w:p>
    <w:p w14:paraId="29D8E8B1" w14:textId="34401725" w:rsidR="006420CE" w:rsidRDefault="006E61C5" w:rsidP="006420CE">
      <w:r>
        <w:t xml:space="preserve">Where possible, </w:t>
      </w:r>
      <w:r w:rsidR="006420CE">
        <w:t>Providers should seek to have a conversation about the Participant</w:t>
      </w:r>
      <w:r w:rsidR="00EE185B">
        <w:t>’</w:t>
      </w:r>
      <w:r w:rsidR="006420CE">
        <w:t xml:space="preserve">s Job Search </w:t>
      </w:r>
      <w:r w:rsidR="00EE185B">
        <w:t xml:space="preserve">efforts submitted directly </w:t>
      </w:r>
      <w:r w:rsidR="0053572D">
        <w:t xml:space="preserve">during the same Contact </w:t>
      </w:r>
      <w:r w:rsidR="00196967">
        <w:t xml:space="preserve">as they were </w:t>
      </w:r>
      <w:r w:rsidR="00865C4A">
        <w:t>reported</w:t>
      </w:r>
      <w:r w:rsidR="00EE185B">
        <w:t>, rather than waiting until</w:t>
      </w:r>
      <w:r w:rsidR="00481FF6">
        <w:t xml:space="preserve"> they have been entered into the Department’s IT Systems.</w:t>
      </w:r>
    </w:p>
    <w:p w14:paraId="33E3498E" w14:textId="69C7C38D" w:rsidR="00880254" w:rsidRDefault="00880254" w:rsidP="006420CE">
      <w:r>
        <w:t xml:space="preserve">Providers are also expected to be regularly discussing </w:t>
      </w:r>
      <w:r w:rsidR="007F3BF8">
        <w:t xml:space="preserve">with the Participant </w:t>
      </w:r>
      <w:r w:rsidR="00C72836">
        <w:t>if</w:t>
      </w:r>
      <w:r w:rsidR="007F3BF8">
        <w:t xml:space="preserve"> they have any concerns or issues in identifying </w:t>
      </w:r>
      <w:r w:rsidR="00076E7C">
        <w:t xml:space="preserve">appropriate job </w:t>
      </w:r>
      <w:r w:rsidR="007F3BF8">
        <w:t xml:space="preserve">vacancies or possible job opportunities. </w:t>
      </w:r>
    </w:p>
    <w:p w14:paraId="37847251" w14:textId="6597F662" w:rsidR="00D74559" w:rsidRPr="00876721" w:rsidRDefault="00D74559" w:rsidP="001D0F92">
      <w:pPr>
        <w:pStyle w:val="Heading4"/>
      </w:pPr>
      <w:bookmarkStart w:id="236" w:name="_Toc202899971"/>
      <w:bookmarkStart w:id="237" w:name="_Ref202949102"/>
      <w:bookmarkStart w:id="238" w:name="_Ref202973852"/>
      <w:r w:rsidRPr="652192F6">
        <w:t>5.</w:t>
      </w:r>
      <w:r w:rsidR="009C71D7">
        <w:t>7</w:t>
      </w:r>
      <w:r w:rsidRPr="652192F6">
        <w:t>.</w:t>
      </w:r>
      <w:r w:rsidR="009C71D7">
        <w:t>2</w:t>
      </w:r>
      <w:r w:rsidR="00ED42D0">
        <w:tab/>
      </w:r>
      <w:r w:rsidRPr="652192F6">
        <w:t>Arrangements for Participants (Mutual Obligation)</w:t>
      </w:r>
      <w:bookmarkEnd w:id="236"/>
      <w:bookmarkEnd w:id="237"/>
      <w:bookmarkEnd w:id="238"/>
    </w:p>
    <w:p w14:paraId="05D27388" w14:textId="041C3DDA" w:rsidR="0014724F" w:rsidRDefault="0014724F" w:rsidP="006E2EF5">
      <w:r>
        <w:t xml:space="preserve">A Participant (Mutual Obligation) on a Meaningful Engagement Job Plan is expected to have Job Search included as part of meeting the Meaningful Engagement Requirement unless it would be unsuitable for the Participant based on their personal circumstances or inappropriate based on their current phase and service offer. </w:t>
      </w:r>
    </w:p>
    <w:p w14:paraId="6F22526F" w14:textId="756B862A" w:rsidR="00D74559" w:rsidRDefault="00D74559" w:rsidP="006E2EF5">
      <w:r w:rsidRPr="006B08C8">
        <w:t xml:space="preserve">A </w:t>
      </w:r>
      <w:r>
        <w:t>Participant</w:t>
      </w:r>
      <w:r w:rsidRPr="006B08C8">
        <w:t xml:space="preserve"> (Mutual Obligation)</w:t>
      </w:r>
      <w:r>
        <w:t xml:space="preserve"> </w:t>
      </w:r>
      <w:r w:rsidR="004F4AFD">
        <w:t xml:space="preserve">on a </w:t>
      </w:r>
      <w:r w:rsidR="00A6666A">
        <w:t>Detailed Job Plan</w:t>
      </w:r>
      <w:r w:rsidR="00A6666A" w:rsidDel="00A6666A">
        <w:t xml:space="preserve"> </w:t>
      </w:r>
      <w:r>
        <w:t>must have a Job Search Requirement included in their Job Plan</w:t>
      </w:r>
      <w:r w:rsidR="00480616">
        <w:t xml:space="preserve">, including </w:t>
      </w:r>
      <w:r w:rsidR="00DA4608">
        <w:t>when i</w:t>
      </w:r>
      <w:r w:rsidR="004F4AFD">
        <w:t>t</w:t>
      </w:r>
      <w:r w:rsidR="00DA4608">
        <w:t xml:space="preserve"> has</w:t>
      </w:r>
      <w:r w:rsidR="00480616">
        <w:t xml:space="preserve"> been set to equal zero Job Search efforts</w:t>
      </w:r>
      <w:r>
        <w:t>.</w:t>
      </w:r>
    </w:p>
    <w:p w14:paraId="40D10C4D" w14:textId="37BA571D" w:rsidR="001D63D9" w:rsidRDefault="0014724F" w:rsidP="001D63D9">
      <w:r w:rsidRPr="0014724F">
        <w:t xml:space="preserve">As noted in </w:t>
      </w:r>
      <w:r w:rsidRPr="0014724F">
        <w:fldChar w:fldCharType="begin"/>
      </w:r>
      <w:r w:rsidRPr="0014724F">
        <w:instrText xml:space="preserve"> REF _Ref202784317 \h </w:instrText>
      </w:r>
      <w:r>
        <w:instrText xml:space="preserve"> \* MERGEFORMAT </w:instrText>
      </w:r>
      <w:r w:rsidRPr="0014724F">
        <w:fldChar w:fldCharType="separate"/>
      </w:r>
      <w:r w:rsidR="000D75AE">
        <w:t>4.7</w:t>
      </w:r>
      <w:r w:rsidR="004572F7">
        <w:t xml:space="preserve"> </w:t>
      </w:r>
      <w:r w:rsidR="000D75AE">
        <w:t>Contents of a Detailed Job Plan</w:t>
      </w:r>
      <w:r w:rsidRPr="0014724F">
        <w:fldChar w:fldCharType="end"/>
      </w:r>
      <w:r w:rsidRPr="0014724F">
        <w:t>, Code JS09 [Job Search</w:t>
      </w:r>
      <w:r>
        <w:t xml:space="preserve"> Contacts – Monthly] should not be removed from a Detailed Job Plan for a</w:t>
      </w:r>
      <w:r w:rsidR="001D63D9">
        <w:t xml:space="preserve"> Participant (Mutual Obligation)</w:t>
      </w:r>
      <w:r>
        <w:t>. Participants (Mutual Obligation)</w:t>
      </w:r>
      <w:r w:rsidR="001D63D9" w:rsidRPr="006B08C8">
        <w:t xml:space="preserve"> </w:t>
      </w:r>
      <w:r>
        <w:t>are</w:t>
      </w:r>
      <w:r w:rsidR="001D63D9" w:rsidRPr="006B08C8">
        <w:t xml:space="preserve"> expected to have their Job Search Requirement captured </w:t>
      </w:r>
      <w:r w:rsidR="00A6666A">
        <w:t>in their Detailed Job Plan</w:t>
      </w:r>
      <w:r w:rsidR="001D63D9" w:rsidRPr="006B08C8">
        <w:t xml:space="preserve"> using Code JS09 [Job Search Contacts – Monthly]. </w:t>
      </w:r>
    </w:p>
    <w:p w14:paraId="12C15155" w14:textId="280CDFD3" w:rsidR="00D74559" w:rsidRDefault="007E00B6" w:rsidP="006E2EF5">
      <w:r>
        <w:t xml:space="preserve">For Participants with a Detailed Job Plan, </w:t>
      </w:r>
      <w:r w:rsidR="00D74559" w:rsidRPr="00241E49">
        <w:t>Providers must</w:t>
      </w:r>
      <w:r w:rsidR="00D74559">
        <w:t>:</w:t>
      </w:r>
    </w:p>
    <w:p w14:paraId="1D59D7AA" w14:textId="6EAF6F4B" w:rsidR="00D74559" w:rsidRDefault="00D74559" w:rsidP="004E120D">
      <w:pPr>
        <w:pStyle w:val="BulletLevel1"/>
      </w:pPr>
      <w:r w:rsidRPr="00241E49">
        <w:t xml:space="preserve">ensure the </w:t>
      </w:r>
      <w:r w:rsidR="008B7D5E">
        <w:t>P</w:t>
      </w:r>
      <w:r w:rsidRPr="00241E49">
        <w:t xml:space="preserve">articipant is aware at all times of: </w:t>
      </w:r>
    </w:p>
    <w:p w14:paraId="1AB34790" w14:textId="77777777" w:rsidR="00D74559" w:rsidRPr="006B34C5" w:rsidRDefault="00D74559" w:rsidP="004E120D">
      <w:pPr>
        <w:pStyle w:val="BulletLevel2"/>
      </w:pPr>
      <w:r w:rsidRPr="006B34C5">
        <w:t xml:space="preserve">their Job Search Requirement </w:t>
      </w:r>
    </w:p>
    <w:p w14:paraId="6ACD18A1" w14:textId="77777777" w:rsidR="00D74559" w:rsidRDefault="00D74559" w:rsidP="004E120D">
      <w:pPr>
        <w:pStyle w:val="BulletLevel2"/>
      </w:pPr>
      <w:r w:rsidRPr="006B34C5">
        <w:t>how to upload and record their Job Search efforts and related details via their Workforce Australia account</w:t>
      </w:r>
    </w:p>
    <w:p w14:paraId="12D65560" w14:textId="782EF4B3" w:rsidR="008B7D5E" w:rsidRPr="006B34C5" w:rsidRDefault="008B7D5E" w:rsidP="004E120D">
      <w:pPr>
        <w:pStyle w:val="BulletLevel2"/>
      </w:pPr>
      <w:r>
        <w:t xml:space="preserve">how to provide details of their Job Search efforts </w:t>
      </w:r>
      <w:r w:rsidR="00D11F89">
        <w:t xml:space="preserve">if submitted </w:t>
      </w:r>
      <w:r>
        <w:t>directly</w:t>
      </w:r>
    </w:p>
    <w:p w14:paraId="5936D6F7" w14:textId="692B23F7" w:rsidR="00D74559" w:rsidRPr="006B34C5" w:rsidRDefault="00D74559" w:rsidP="004E120D">
      <w:pPr>
        <w:pStyle w:val="BulletLevel2"/>
      </w:pPr>
      <w:r w:rsidRPr="006B34C5">
        <w:t xml:space="preserve">when their Job Searches must be </w:t>
      </w:r>
      <w:r w:rsidR="002F25D9">
        <w:t>recorded</w:t>
      </w:r>
      <w:r w:rsidRPr="006B34C5">
        <w:t xml:space="preserve"> by, and</w:t>
      </w:r>
    </w:p>
    <w:p w14:paraId="27E1B2F3" w14:textId="77777777" w:rsidR="00D74559" w:rsidRPr="006B34C5" w:rsidRDefault="00D74559" w:rsidP="004E120D">
      <w:pPr>
        <w:pStyle w:val="BulletLevel2"/>
      </w:pPr>
      <w:r w:rsidRPr="006B34C5">
        <w:t>how many Job Searches they have undertaken and how many still need to be undertaken, and</w:t>
      </w:r>
    </w:p>
    <w:p w14:paraId="189AD95D" w14:textId="7BD58079" w:rsidR="00D74559" w:rsidRPr="006B34C5" w:rsidRDefault="00D74559" w:rsidP="004E120D">
      <w:pPr>
        <w:pStyle w:val="BulletLevel1"/>
      </w:pPr>
      <w:r>
        <w:t xml:space="preserve">monitor the number and quality of </w:t>
      </w:r>
      <w:r w:rsidR="00F652EB">
        <w:t>J</w:t>
      </w:r>
      <w:r>
        <w:t xml:space="preserve">ob </w:t>
      </w:r>
      <w:r w:rsidR="013649A9">
        <w:t>S</w:t>
      </w:r>
      <w:r>
        <w:t xml:space="preserve">earches the </w:t>
      </w:r>
      <w:r w:rsidR="008B7D5E">
        <w:t>P</w:t>
      </w:r>
      <w:r>
        <w:t xml:space="preserve">articipant undertakes, including: </w:t>
      </w:r>
    </w:p>
    <w:p w14:paraId="07918A66" w14:textId="3B3D884F" w:rsidR="00D74559" w:rsidRDefault="00D74559" w:rsidP="004E120D">
      <w:pPr>
        <w:pStyle w:val="BulletLevel2"/>
      </w:pPr>
      <w:r w:rsidRPr="004751ED">
        <w:t xml:space="preserve">recording </w:t>
      </w:r>
      <w:r>
        <w:t xml:space="preserve">Job </w:t>
      </w:r>
      <w:r w:rsidR="00B6445F">
        <w:t>Search e</w:t>
      </w:r>
      <w:r w:rsidRPr="004751ED">
        <w:t xml:space="preserve">fforts submitted to them by no later than close of business on the day the </w:t>
      </w:r>
      <w:r>
        <w:t>P</w:t>
      </w:r>
      <w:r w:rsidRPr="004751ED">
        <w:t xml:space="preserve">articipant reports </w:t>
      </w:r>
      <w:r w:rsidR="000F5BEF">
        <w:t xml:space="preserve">the Job Search </w:t>
      </w:r>
      <w:r w:rsidRPr="004751ED">
        <w:t>effort to them</w:t>
      </w:r>
      <w:r>
        <w:t>, and</w:t>
      </w:r>
    </w:p>
    <w:p w14:paraId="0C4BE0B3" w14:textId="4B41677C" w:rsidR="008F4330" w:rsidRDefault="00D74559" w:rsidP="004E120D">
      <w:pPr>
        <w:pStyle w:val="BulletLevel2"/>
      </w:pPr>
      <w:r>
        <w:t xml:space="preserve">reviewing and confirming the quality of </w:t>
      </w:r>
      <w:r w:rsidR="77731564">
        <w:t>J</w:t>
      </w:r>
      <w:r>
        <w:t xml:space="preserve">ob </w:t>
      </w:r>
      <w:r w:rsidR="1C601EF4">
        <w:t>S</w:t>
      </w:r>
      <w:r>
        <w:t>earch efforts submitted</w:t>
      </w:r>
      <w:r w:rsidR="008F4330">
        <w:t>:</w:t>
      </w:r>
    </w:p>
    <w:p w14:paraId="27293D85" w14:textId="16989768" w:rsidR="008F4330" w:rsidRDefault="008F4330" w:rsidP="004E120D">
      <w:pPr>
        <w:pStyle w:val="BulletLevel3"/>
      </w:pPr>
      <w:r>
        <w:t>directly no later than close of business, or</w:t>
      </w:r>
    </w:p>
    <w:p w14:paraId="757714B6" w14:textId="693DC1E2" w:rsidR="00D74559" w:rsidRDefault="00D74559" w:rsidP="004E120D">
      <w:pPr>
        <w:pStyle w:val="BulletLevel3"/>
      </w:pPr>
      <w:r>
        <w:t xml:space="preserve">online no later than five </w:t>
      </w:r>
      <w:r w:rsidR="001C26B8">
        <w:t>B</w:t>
      </w:r>
      <w:r>
        <w:t xml:space="preserve">usiness </w:t>
      </w:r>
      <w:r w:rsidR="001C26B8">
        <w:t>D</w:t>
      </w:r>
      <w:r>
        <w:t xml:space="preserve">ays after the end of each </w:t>
      </w:r>
      <w:r w:rsidR="2A9D0988">
        <w:t>J</w:t>
      </w:r>
      <w:r>
        <w:t xml:space="preserve">ob </w:t>
      </w:r>
      <w:r w:rsidR="7148014C">
        <w:t>S</w:t>
      </w:r>
      <w:r>
        <w:t xml:space="preserve">earch </w:t>
      </w:r>
      <w:r w:rsidR="001122C9">
        <w:t xml:space="preserve">Reporting </w:t>
      </w:r>
      <w:r w:rsidR="281FFD4A">
        <w:t>P</w:t>
      </w:r>
      <w:r>
        <w:t>eriod.</w:t>
      </w:r>
    </w:p>
    <w:p w14:paraId="0B68E9A5" w14:textId="77777777" w:rsidR="00D74559" w:rsidRPr="00405E30" w:rsidRDefault="00D74559" w:rsidP="006E2EF5">
      <w:r>
        <w:t xml:space="preserve">To meet their Job Search Requirement, the Participant must undertake </w:t>
      </w:r>
      <w:r w:rsidRPr="004F7CD8">
        <w:rPr>
          <w:u w:val="single"/>
        </w:rPr>
        <w:t>sufficient Job Searches</w:t>
      </w:r>
      <w:r>
        <w:t xml:space="preserve"> of </w:t>
      </w:r>
      <w:r w:rsidRPr="004F7CD8">
        <w:rPr>
          <w:u w:val="single"/>
        </w:rPr>
        <w:t>satisfactory quality</w:t>
      </w:r>
      <w:r w:rsidRPr="00405E30">
        <w:t>.</w:t>
      </w:r>
    </w:p>
    <w:p w14:paraId="73B106A1" w14:textId="3ECD86D1" w:rsidR="00904E75" w:rsidRPr="00405E30" w:rsidRDefault="003F7C38" w:rsidP="006E2EF5">
      <w:r>
        <w:t>Providers may wish to consider a change the Job Search Requirement</w:t>
      </w:r>
      <w:r w:rsidR="008635CF">
        <w:t xml:space="preserve"> if following the review of Job Search efforts if was</w:t>
      </w:r>
      <w:r w:rsidR="009C0695">
        <w:t xml:space="preserve"> possibility unsuitable.</w:t>
      </w:r>
      <w:r>
        <w:t xml:space="preserve"> </w:t>
      </w:r>
    </w:p>
    <w:p w14:paraId="52D80827" w14:textId="4631CEE6" w:rsidR="00D74559" w:rsidRPr="006B08C8" w:rsidRDefault="00D74559" w:rsidP="006E2EF5">
      <w:r w:rsidRPr="202AFE3D">
        <w:t xml:space="preserve">As noted in the previous section, Providers must adjust the number of Job Searches to reflect each Participant’s circumstances. This is important as failure to meet a compulsory Job Search Requirement </w:t>
      </w:r>
      <w:r>
        <w:t>with</w:t>
      </w:r>
      <w:r w:rsidRPr="202AFE3D">
        <w:t xml:space="preserve">in a </w:t>
      </w:r>
      <w:r>
        <w:t xml:space="preserve">Detailed </w:t>
      </w:r>
      <w:r w:rsidRPr="202AFE3D">
        <w:t xml:space="preserve">Job Plan </w:t>
      </w:r>
      <w:r>
        <w:t xml:space="preserve">is subject to the application of the TCF and </w:t>
      </w:r>
      <w:r w:rsidRPr="202AFE3D">
        <w:t xml:space="preserve">can result in the Participant’s Income Support Payment being suspended, reduced or cancelled (see relevant </w:t>
      </w:r>
      <w:r w:rsidR="00F27465">
        <w:t>S</w:t>
      </w:r>
      <w:r w:rsidRPr="202AFE3D">
        <w:t>ections in</w:t>
      </w:r>
      <w:r w:rsidR="0010029F">
        <w:t xml:space="preserve"> </w:t>
      </w:r>
      <w:r w:rsidR="00D00468">
        <w:rPr>
          <w:highlight w:val="yellow"/>
        </w:rPr>
        <w:fldChar w:fldCharType="begin"/>
      </w:r>
      <w:r w:rsidR="00D00468">
        <w:instrText xml:space="preserve"> REF _Ref202784488 \h </w:instrText>
      </w:r>
      <w:r w:rsidR="00D00468">
        <w:rPr>
          <w:highlight w:val="yellow"/>
        </w:rPr>
      </w:r>
      <w:r w:rsidR="00D00468">
        <w:rPr>
          <w:highlight w:val="yellow"/>
        </w:rPr>
        <w:fldChar w:fldCharType="separate"/>
      </w:r>
      <w:r w:rsidR="000D75AE">
        <w:t>12.4</w:t>
      </w:r>
      <w:r w:rsidR="002E053E">
        <w:t xml:space="preserve"> </w:t>
      </w:r>
      <w:r w:rsidR="000D75AE">
        <w:t>Compliance actions - Mutual Obligation Failures</w:t>
      </w:r>
      <w:r w:rsidR="00D00468">
        <w:rPr>
          <w:highlight w:val="yellow"/>
        </w:rPr>
        <w:fldChar w:fldCharType="end"/>
      </w:r>
      <w:r w:rsidRPr="202AFE3D">
        <w:t>).</w:t>
      </w:r>
    </w:p>
    <w:p w14:paraId="44BD9643" w14:textId="1532A2FD" w:rsidR="00D74559" w:rsidRPr="00227726" w:rsidRDefault="00D74559" w:rsidP="006E2EF5">
      <w:r w:rsidRPr="202AFE3D">
        <w:rPr>
          <w:b/>
          <w:bCs/>
        </w:rPr>
        <w:t>Note:</w:t>
      </w:r>
      <w:r w:rsidRPr="202AFE3D">
        <w:t xml:space="preserve"> A Participant (Mutual Obligation) </w:t>
      </w:r>
      <w:r w:rsidR="00754773">
        <w:t xml:space="preserve">on a </w:t>
      </w:r>
      <w:r w:rsidR="0080643F">
        <w:t xml:space="preserve">Detailed Job </w:t>
      </w:r>
      <w:r w:rsidR="00C70AF6">
        <w:t>Plan</w:t>
      </w:r>
      <w:r w:rsidRPr="202AFE3D">
        <w:t xml:space="preserve"> must also have Code JS13 [Accept and retain suitable work] in their Job Plan as a compulsory requirement regardless of their current phase or service offer. If the Participant was to fail </w:t>
      </w:r>
      <w:r>
        <w:t xml:space="preserve">to </w:t>
      </w:r>
      <w:r w:rsidRPr="202AFE3D">
        <w:t xml:space="preserve">accept an offer of a suitable job </w:t>
      </w:r>
      <w:r>
        <w:t>or</w:t>
      </w:r>
      <w:r w:rsidRPr="202AFE3D">
        <w:t xml:space="preserve"> voluntarily </w:t>
      </w:r>
      <w:r>
        <w:t>leave</w:t>
      </w:r>
      <w:r w:rsidRPr="202AFE3D">
        <w:t xml:space="preserve"> a suitable job</w:t>
      </w:r>
      <w:r w:rsidR="00613B6E">
        <w:t xml:space="preserve"> without a Reasonable Excuse</w:t>
      </w:r>
      <w:r w:rsidRPr="202AFE3D">
        <w:t xml:space="preserve">, their Income Support Payment could be cancelled (see </w:t>
      </w:r>
      <w:r w:rsidR="00D00468" w:rsidRPr="00382109">
        <w:fldChar w:fldCharType="begin"/>
      </w:r>
      <w:r w:rsidR="00D00468" w:rsidRPr="00382109">
        <w:instrText xml:space="preserve"> REF _Ref202876668 \h </w:instrText>
      </w:r>
      <w:r w:rsidR="00382109">
        <w:instrText xml:space="preserve"> \* MERGEFORMAT </w:instrText>
      </w:r>
      <w:r w:rsidR="00D00468" w:rsidRPr="00382109">
        <w:fldChar w:fldCharType="separate"/>
      </w:r>
      <w:r w:rsidR="000D75AE">
        <w:t>12.5</w:t>
      </w:r>
      <w:r w:rsidR="002E053E">
        <w:t xml:space="preserve"> </w:t>
      </w:r>
      <w:r w:rsidR="000D75AE">
        <w:t>Compliance actions - Work Refusal Failures</w:t>
      </w:r>
      <w:r w:rsidR="00D00468" w:rsidRPr="00382109">
        <w:fldChar w:fldCharType="end"/>
      </w:r>
      <w:r w:rsidR="005E1227" w:rsidRPr="00382109">
        <w:t xml:space="preserve"> and </w:t>
      </w:r>
      <w:r w:rsidR="00D00468" w:rsidRPr="00382109">
        <w:fldChar w:fldCharType="begin"/>
      </w:r>
      <w:r w:rsidR="00D00468" w:rsidRPr="00382109">
        <w:instrText xml:space="preserve"> REF _Ref202876673 \h </w:instrText>
      </w:r>
      <w:r w:rsidR="00382109">
        <w:instrText xml:space="preserve"> \* MERGEFORMAT </w:instrText>
      </w:r>
      <w:r w:rsidR="00D00468" w:rsidRPr="00382109">
        <w:fldChar w:fldCharType="separate"/>
      </w:r>
      <w:r w:rsidR="000D75AE">
        <w:t>12.6</w:t>
      </w:r>
      <w:r w:rsidR="002E053E">
        <w:t xml:space="preserve"> </w:t>
      </w:r>
      <w:r w:rsidR="000D75AE">
        <w:t>Compliance actions - Unemployment Failures</w:t>
      </w:r>
      <w:r w:rsidR="00D00468" w:rsidRPr="00382109">
        <w:fldChar w:fldCharType="end"/>
      </w:r>
      <w:r w:rsidRPr="00382109">
        <w:t>).</w:t>
      </w:r>
    </w:p>
    <w:p w14:paraId="383A56DE" w14:textId="77777777" w:rsidR="00D74559" w:rsidRPr="00D272FB" w:rsidRDefault="00D74559" w:rsidP="006D1645">
      <w:pPr>
        <w:pStyle w:val="Heading5"/>
      </w:pPr>
      <w:r>
        <w:t>Determining if a Participant is meeting their Job Search Requirement</w:t>
      </w:r>
    </w:p>
    <w:p w14:paraId="2966CF69" w14:textId="0C840108" w:rsidR="00D74559" w:rsidRDefault="00D74559" w:rsidP="006E2EF5">
      <w:r>
        <w:t xml:space="preserve">The Department’s IT Systems will identify whether </w:t>
      </w:r>
      <w:r w:rsidR="006D6F05">
        <w:t xml:space="preserve">or not </w:t>
      </w:r>
      <w:r>
        <w:t xml:space="preserve">a Participant has met the number of Job Search efforts required to meet their Job Search Requirement as set out in their </w:t>
      </w:r>
      <w:r w:rsidR="0080643F">
        <w:t xml:space="preserve">Detailed </w:t>
      </w:r>
      <w:r>
        <w:t>Job Plan.</w:t>
      </w:r>
    </w:p>
    <w:p w14:paraId="68C5CF0D" w14:textId="48D295AC" w:rsidR="00E05921" w:rsidRDefault="006A686A" w:rsidP="006A686A">
      <w:r>
        <w:t>Where the target number of Job Search efforts has been met, the Department’s IT Systems will prompt a review of the</w:t>
      </w:r>
      <w:r w:rsidDel="006A686A">
        <w:t xml:space="preserve"> </w:t>
      </w:r>
      <w:r w:rsidR="00D74559">
        <w:t>quality of Job Search efforts submitted by the Participants</w:t>
      </w:r>
      <w:r w:rsidR="00F264FC">
        <w:t xml:space="preserve"> (Mutual Obligations)</w:t>
      </w:r>
      <w:r w:rsidR="00D74559">
        <w:t>.</w:t>
      </w:r>
    </w:p>
    <w:p w14:paraId="22F3BD1F" w14:textId="10F36B03" w:rsidR="008F29E0" w:rsidRDefault="002A672B" w:rsidP="00924693">
      <w:r>
        <w:t xml:space="preserve">Amongst those identified, </w:t>
      </w:r>
      <w:r w:rsidR="00B5558E">
        <w:t xml:space="preserve">Providers must </w:t>
      </w:r>
      <w:r w:rsidR="002F5386">
        <w:t>review</w:t>
      </w:r>
      <w:r w:rsidR="00B5558E">
        <w:t xml:space="preserve"> the quality of </w:t>
      </w:r>
      <w:r w:rsidR="002F5386">
        <w:t xml:space="preserve">all </w:t>
      </w:r>
      <w:r w:rsidR="000D1833">
        <w:t>Job Search</w:t>
      </w:r>
      <w:r w:rsidR="002F5386">
        <w:t xml:space="preserve"> efforts</w:t>
      </w:r>
      <w:r w:rsidR="000D1833">
        <w:t xml:space="preserve"> for</w:t>
      </w:r>
      <w:r w:rsidR="007652F7">
        <w:t xml:space="preserve"> </w:t>
      </w:r>
      <w:r w:rsidR="008F29E0">
        <w:t>Participants with a Detailed Job Plan</w:t>
      </w:r>
      <w:r w:rsidR="007E00B6">
        <w:t>.</w:t>
      </w:r>
    </w:p>
    <w:p w14:paraId="181A8AD9" w14:textId="7DD41F1E" w:rsidR="00D67F75" w:rsidRDefault="00D67F75" w:rsidP="006E2EF5">
      <w:r>
        <w:t>As part of this review, Providers must confirm:</w:t>
      </w:r>
    </w:p>
    <w:p w14:paraId="402DFF01" w14:textId="77777777" w:rsidR="00D67F75" w:rsidRPr="006A5443" w:rsidRDefault="00D67F75" w:rsidP="004E120D">
      <w:pPr>
        <w:pStyle w:val="BulletLevel1"/>
      </w:pPr>
      <w:r w:rsidRPr="740E674E">
        <w:t>is for a role the Participant is qualified for and/or able to undertake</w:t>
      </w:r>
    </w:p>
    <w:p w14:paraId="3F9CA693" w14:textId="77777777" w:rsidR="00D67F75" w:rsidRPr="006A5443" w:rsidRDefault="00D67F75" w:rsidP="004E120D">
      <w:pPr>
        <w:pStyle w:val="BulletLevel1"/>
      </w:pPr>
      <w:r w:rsidRPr="740E674E">
        <w:t>is for suitable, paid work roles</w:t>
      </w:r>
    </w:p>
    <w:p w14:paraId="77AF2DBD" w14:textId="77777777" w:rsidR="00D67F75" w:rsidRPr="006A5443" w:rsidRDefault="00D67F75" w:rsidP="004E120D">
      <w:pPr>
        <w:pStyle w:val="BulletLevel1"/>
      </w:pPr>
      <w:r w:rsidRPr="740E674E">
        <w:t>has not have been deliberately sabotaged</w:t>
      </w:r>
      <w:r>
        <w:t>, and</w:t>
      </w:r>
    </w:p>
    <w:p w14:paraId="167AB1C9" w14:textId="70247643" w:rsidR="00D67F75" w:rsidRDefault="00D67F75" w:rsidP="004E120D">
      <w:pPr>
        <w:pStyle w:val="BulletLevel1"/>
      </w:pPr>
      <w:r w:rsidRPr="740E674E">
        <w:t xml:space="preserve">is not the exact same job duplicated </w:t>
      </w:r>
      <w:r>
        <w:t>within the</w:t>
      </w:r>
      <w:r w:rsidRPr="740E674E">
        <w:t xml:space="preserve"> </w:t>
      </w:r>
      <w:r>
        <w:t>Job Search Reporting Period</w:t>
      </w:r>
      <w:r w:rsidR="00B108EA">
        <w:t>.</w:t>
      </w:r>
    </w:p>
    <w:p w14:paraId="33D0B408" w14:textId="7DDEBFB8" w:rsidR="00A778A4" w:rsidRDefault="00753B32" w:rsidP="006E2EF5">
      <w:r>
        <w:t>I</w:t>
      </w:r>
      <w:r w:rsidR="003F1A4D" w:rsidRPr="003F1A4D">
        <w:t xml:space="preserve">f </w:t>
      </w:r>
      <w:r>
        <w:t>a</w:t>
      </w:r>
      <w:r w:rsidR="003F1A4D" w:rsidRPr="003F1A4D">
        <w:t xml:space="preserve"> Participant contacts an Employer regarding a single job more than once, or contacts a potential Employer multiple times asking if any jobs are available</w:t>
      </w:r>
      <w:r>
        <w:t xml:space="preserve">, only one </w:t>
      </w:r>
      <w:r w:rsidR="00B108EA">
        <w:t>of these Job Searches would be found satisfactory</w:t>
      </w:r>
      <w:r w:rsidR="00924693">
        <w:t xml:space="preserve"> for a Detailed Job Plan</w:t>
      </w:r>
      <w:r w:rsidR="003F1A4D" w:rsidRPr="003F1A4D">
        <w:t>.</w:t>
      </w:r>
    </w:p>
    <w:p w14:paraId="30F12381" w14:textId="37B0CA70" w:rsidR="00D74559" w:rsidRDefault="00BE44D9" w:rsidP="006E2EF5">
      <w:r w:rsidRPr="00BE44D9">
        <w:rPr>
          <w:b/>
          <w:bCs/>
        </w:rPr>
        <w:t>Note:</w:t>
      </w:r>
      <w:r>
        <w:t xml:space="preserve"> </w:t>
      </w:r>
      <w:r w:rsidR="00316117" w:rsidRPr="00316117">
        <w:t xml:space="preserve">Job Searches submitted by Providers </w:t>
      </w:r>
      <w:r>
        <w:t>are</w:t>
      </w:r>
      <w:r w:rsidR="00316117" w:rsidRPr="00316117">
        <w:t xml:space="preserve"> assessed as satisfactory or unsatisfactory </w:t>
      </w:r>
      <w:r w:rsidR="008C7806">
        <w:t xml:space="preserve">within the Department’s IT Systems </w:t>
      </w:r>
      <w:r w:rsidR="00316117" w:rsidRPr="00316117">
        <w:t xml:space="preserve">as </w:t>
      </w:r>
      <w:r w:rsidR="00316117">
        <w:t>t</w:t>
      </w:r>
      <w:r w:rsidR="0066376D" w:rsidRPr="0066376D">
        <w:t>he quality of these Job Searches must be assessed by the Provider at the time of upload</w:t>
      </w:r>
      <w:r w:rsidR="00D74559">
        <w:t>.</w:t>
      </w:r>
    </w:p>
    <w:p w14:paraId="2DEBC7E2" w14:textId="2E58FBA2" w:rsidR="00D74559" w:rsidRPr="00707C70" w:rsidRDefault="00D74559" w:rsidP="006F727E">
      <w:pPr>
        <w:pStyle w:val="SystemStep"/>
        <w:rPr>
          <w:lang w:eastAsia="en-AU"/>
        </w:rPr>
      </w:pPr>
      <w:r w:rsidRPr="202AFE3D">
        <w:rPr>
          <w:lang w:eastAsia="en-AU"/>
        </w:rPr>
        <w:t xml:space="preserve">Providers assess the quality of Job Searches available for assessment within the Department’s IT Systems, marking each Participant submitted </w:t>
      </w:r>
      <w:r w:rsidR="00D560FD">
        <w:rPr>
          <w:lang w:eastAsia="en-AU"/>
        </w:rPr>
        <w:t>J</w:t>
      </w:r>
      <w:r w:rsidRPr="202AFE3D">
        <w:rPr>
          <w:lang w:eastAsia="en-AU"/>
        </w:rPr>
        <w:t xml:space="preserve">ob </w:t>
      </w:r>
      <w:r w:rsidR="00D560FD">
        <w:rPr>
          <w:lang w:eastAsia="en-AU"/>
        </w:rPr>
        <w:t>S</w:t>
      </w:r>
      <w:r w:rsidRPr="202AFE3D">
        <w:rPr>
          <w:lang w:eastAsia="en-AU"/>
        </w:rPr>
        <w:t>earch</w:t>
      </w:r>
      <w:r w:rsidR="00D560FD">
        <w:rPr>
          <w:lang w:eastAsia="en-AU"/>
        </w:rPr>
        <w:t xml:space="preserve"> effort</w:t>
      </w:r>
      <w:r w:rsidRPr="202AFE3D">
        <w:rPr>
          <w:lang w:eastAsia="en-AU"/>
        </w:rPr>
        <w:t xml:space="preserve"> as ‘satisfactory’ or ‘unsatisfactory’, no later than 5 Business Days after the Participant’s Job Search Reporting Period has closed. Providers must state</w:t>
      </w:r>
      <w:r>
        <w:rPr>
          <w:lang w:eastAsia="en-AU"/>
        </w:rPr>
        <w:t xml:space="preserve"> </w:t>
      </w:r>
      <w:r w:rsidRPr="202AFE3D">
        <w:rPr>
          <w:lang w:eastAsia="en-AU"/>
        </w:rPr>
        <w:t xml:space="preserve">why any Job Search efforts have been assessed as </w:t>
      </w:r>
      <w:r>
        <w:rPr>
          <w:lang w:eastAsia="en-AU"/>
        </w:rPr>
        <w:t>‘</w:t>
      </w:r>
      <w:r w:rsidRPr="202AFE3D">
        <w:rPr>
          <w:lang w:eastAsia="en-AU"/>
        </w:rPr>
        <w:t>unsatisfactory</w:t>
      </w:r>
      <w:r>
        <w:rPr>
          <w:lang w:eastAsia="en-AU"/>
        </w:rPr>
        <w:t>’</w:t>
      </w:r>
      <w:r w:rsidRPr="202AFE3D">
        <w:rPr>
          <w:lang w:eastAsia="en-AU"/>
        </w:rPr>
        <w:t xml:space="preserve"> and leave comments detailing how quality issues have, or will be, addressed. </w:t>
      </w:r>
    </w:p>
    <w:p w14:paraId="495FEF89" w14:textId="53C7EA4D" w:rsidR="00D74559" w:rsidRDefault="00D74559" w:rsidP="006E2EF5">
      <w:r>
        <w:t xml:space="preserve">Under Social Security Law, Providers </w:t>
      </w:r>
      <w:r w:rsidR="000F4159">
        <w:t>are required to</w:t>
      </w:r>
      <w:r w:rsidR="00B23457">
        <w:t xml:space="preserve"> </w:t>
      </w:r>
      <w:r>
        <w:t xml:space="preserve">consider whether </w:t>
      </w:r>
      <w:r w:rsidR="000F4159">
        <w:t>Job Search efforts</w:t>
      </w:r>
      <w:r>
        <w:t xml:space="preserve"> in the current Job Search Reporting Period, and in some instances the current and previous Job Search Reporting Period, were:</w:t>
      </w:r>
    </w:p>
    <w:p w14:paraId="00752AB9" w14:textId="77777777" w:rsidR="00D74559" w:rsidRDefault="00D74559" w:rsidP="004E120D">
      <w:pPr>
        <w:pStyle w:val="BulletLevel1"/>
      </w:pPr>
      <w:r>
        <w:t xml:space="preserve">at a variety of levels of seniority or remuneration that is suitable for the participant </w:t>
      </w:r>
    </w:p>
    <w:p w14:paraId="29F4A76B" w14:textId="77777777" w:rsidR="00D74559" w:rsidRDefault="00D74559" w:rsidP="004E120D">
      <w:pPr>
        <w:pStyle w:val="BulletLevel1"/>
      </w:pPr>
      <w:r>
        <w:t>in a variety of fields and occupations in which the participant is suitably qualified or has experience, and</w:t>
      </w:r>
    </w:p>
    <w:p w14:paraId="29C76DCB" w14:textId="004A691C" w:rsidR="00D74559" w:rsidRDefault="00D74559" w:rsidP="004E120D">
      <w:pPr>
        <w:pStyle w:val="BulletLevel1"/>
      </w:pPr>
      <w:r>
        <w:t xml:space="preserve">applied for using a variety of methods to contact potential </w:t>
      </w:r>
      <w:r w:rsidR="6FB7C600">
        <w:t>E</w:t>
      </w:r>
      <w:r>
        <w:t>mployers.</w:t>
      </w:r>
    </w:p>
    <w:p w14:paraId="6A03A6D9" w14:textId="6AE1DE96" w:rsidR="000F4159" w:rsidRDefault="0076548A" w:rsidP="000F4159">
      <w:r>
        <w:t xml:space="preserve">However, </w:t>
      </w:r>
      <w:r w:rsidR="000F4159">
        <w:t>Participants do not need to meet these criteria in every instance, or at all if not appropriate for their circumstances.</w:t>
      </w:r>
    </w:p>
    <w:p w14:paraId="749B889B" w14:textId="639B76A8" w:rsidR="0037695E" w:rsidRDefault="00744C79" w:rsidP="006E2EF5">
      <w:r w:rsidRPr="00744C79">
        <w:rPr>
          <w:b/>
          <w:bCs/>
        </w:rPr>
        <w:t>Note:</w:t>
      </w:r>
      <w:r>
        <w:t xml:space="preserve"> The Social Security Guide provides some examples of the assessment of quality against these </w:t>
      </w:r>
      <w:r w:rsidR="00097095">
        <w:t>criteria</w:t>
      </w:r>
      <w:r>
        <w:t xml:space="preserve"> —</w:t>
      </w:r>
      <w:r w:rsidR="000F4159">
        <w:t xml:space="preserve"> see</w:t>
      </w:r>
      <w:r>
        <w:t xml:space="preserve"> </w:t>
      </w:r>
      <w:hyperlink r:id="rId51" w:history="1">
        <w:r w:rsidR="000F4159" w:rsidRPr="000F4159">
          <w:rPr>
            <w:rStyle w:val="Hyperlink"/>
          </w:rPr>
          <w:t>3.11.1.30 Adequate job search | Social Security Guide</w:t>
        </w:r>
      </w:hyperlink>
      <w:r w:rsidR="000F4159">
        <w:t>.</w:t>
      </w:r>
    </w:p>
    <w:p w14:paraId="3DE55F29" w14:textId="24B8BB6F" w:rsidR="00D74559" w:rsidRDefault="00D74559" w:rsidP="006E2EF5">
      <w:r>
        <w:t xml:space="preserve">Providers must also consider a Participant’s </w:t>
      </w:r>
      <w:r w:rsidR="1ABAFC19">
        <w:t>J</w:t>
      </w:r>
      <w:r>
        <w:t xml:space="preserve">ob </w:t>
      </w:r>
      <w:r w:rsidR="37CE2A21">
        <w:t>S</w:t>
      </w:r>
      <w:r>
        <w:t xml:space="preserve">earch efforts more holistically over time, including: </w:t>
      </w:r>
    </w:p>
    <w:p w14:paraId="23807E10" w14:textId="0801C603" w:rsidR="00D74559" w:rsidRDefault="00D74559" w:rsidP="004E120D">
      <w:pPr>
        <w:pStyle w:val="BulletLevel1"/>
      </w:pPr>
      <w:r>
        <w:t xml:space="preserve">labour market restrictions, as the type and number of vacancies available in each </w:t>
      </w:r>
      <w:r w:rsidR="5DEB61A4">
        <w:t>J</w:t>
      </w:r>
      <w:r>
        <w:t xml:space="preserve">ob </w:t>
      </w:r>
      <w:r w:rsidR="05D45ACC">
        <w:t>S</w:t>
      </w:r>
      <w:r>
        <w:t xml:space="preserve">earch </w:t>
      </w:r>
      <w:r w:rsidR="0037695E">
        <w:t>Reporting P</w:t>
      </w:r>
      <w:r>
        <w:t>eriod may differ, and</w:t>
      </w:r>
    </w:p>
    <w:p w14:paraId="1371014F" w14:textId="3E857948" w:rsidR="00D74559" w:rsidRDefault="00D74559" w:rsidP="004E120D">
      <w:pPr>
        <w:pStyle w:val="BulletLevel1"/>
      </w:pPr>
      <w:r>
        <w:t xml:space="preserve">the most appropriate pathway for the participant to obtain sustainable </w:t>
      </w:r>
      <w:r w:rsidR="0037695E">
        <w:t>E</w:t>
      </w:r>
      <w:r>
        <w:t>mployment.</w:t>
      </w:r>
    </w:p>
    <w:p w14:paraId="714BF0D7" w14:textId="0CF52442" w:rsidR="00D74559" w:rsidRDefault="00D74559" w:rsidP="006E2EF5">
      <w:r>
        <w:t xml:space="preserve">Refer to the </w:t>
      </w:r>
      <w:r w:rsidR="00A50184" w:rsidRPr="00B84A8F">
        <w:rPr>
          <w:rStyle w:val="Hyperlink"/>
        </w:rPr>
        <w:t>Job Search Quality assessment guide</w:t>
      </w:r>
      <w:r w:rsidR="00A50184">
        <w:rPr>
          <w:rStyle w:val="Hyperlink"/>
        </w:rPr>
        <w:t xml:space="preserve"> [LINK]</w:t>
      </w:r>
      <w:r w:rsidR="00A50184">
        <w:t xml:space="preserve"> f</w:t>
      </w:r>
      <w:r>
        <w:t>or detailed advice on how to approach the review of Job Search efforts</w:t>
      </w:r>
      <w:r w:rsidR="00C44577">
        <w:t xml:space="preserve"> in a Detailed Job Plan</w:t>
      </w:r>
      <w:r>
        <w:t>.</w:t>
      </w:r>
    </w:p>
    <w:p w14:paraId="09634A57" w14:textId="4BF977DE" w:rsidR="00D74559" w:rsidRPr="00845C3F" w:rsidRDefault="00D74559" w:rsidP="001D0F92">
      <w:pPr>
        <w:pStyle w:val="Heading4"/>
      </w:pPr>
      <w:bookmarkStart w:id="239" w:name="_Toc202899972"/>
      <w:r w:rsidRPr="652192F6">
        <w:t>5.</w:t>
      </w:r>
      <w:r w:rsidR="009C71D7">
        <w:t>7</w:t>
      </w:r>
      <w:r w:rsidRPr="652192F6">
        <w:t>.</w:t>
      </w:r>
      <w:r w:rsidR="009C71D7">
        <w:t>3</w:t>
      </w:r>
      <w:r w:rsidR="00ED42D0">
        <w:tab/>
      </w:r>
      <w:r w:rsidRPr="652192F6">
        <w:t>Arrangements for DSP Recipients (Compulsory Requirement)</w:t>
      </w:r>
      <w:bookmarkEnd w:id="239"/>
    </w:p>
    <w:p w14:paraId="655CFEE5" w14:textId="43B27E59" w:rsidR="007E00B6" w:rsidRDefault="007E00B6" w:rsidP="007E00B6">
      <w:r>
        <w:t xml:space="preserve">A </w:t>
      </w:r>
      <w:r w:rsidRPr="652192F6">
        <w:t>DSP Recipients (Compulsory Requirement)</w:t>
      </w:r>
      <w:r>
        <w:t xml:space="preserve"> on a Meaningful Engagement Job may have Job Search included as part of meeting the Meaningful Engagement Requirement. Job Search would not be part of the tasks and activities agreed to for meaningful engagement if it was unsuitable for the Participant based on their personal circumstances or inappropriate based on their current phase and service offer. </w:t>
      </w:r>
    </w:p>
    <w:p w14:paraId="4127A42D" w14:textId="1BB32E1A" w:rsidR="00D74559" w:rsidRDefault="00D74559" w:rsidP="006E2EF5">
      <w:r>
        <w:t xml:space="preserve">A DSP Recipient (Compulsory Requirements) </w:t>
      </w:r>
      <w:r w:rsidR="002B0894">
        <w:t xml:space="preserve">on a </w:t>
      </w:r>
      <w:r w:rsidR="00C44577">
        <w:t xml:space="preserve">Detailed Job </w:t>
      </w:r>
      <w:r w:rsidR="00C70AF6">
        <w:t>Plan</w:t>
      </w:r>
      <w:r w:rsidDel="00C44577">
        <w:t xml:space="preserve"> </w:t>
      </w:r>
      <w:r>
        <w:t xml:space="preserve">is expected to have a Job Search Requirement included in their </w:t>
      </w:r>
      <w:r w:rsidR="008928FF">
        <w:t xml:space="preserve">Detailed </w:t>
      </w:r>
      <w:r>
        <w:t>Job Plan</w:t>
      </w:r>
      <w:r w:rsidR="00712FA8">
        <w:t xml:space="preserve"> as</w:t>
      </w:r>
      <w:r>
        <w:t xml:space="preserve"> a compulsory requirement.</w:t>
      </w:r>
    </w:p>
    <w:p w14:paraId="28D23182" w14:textId="49669E1F" w:rsidR="00D74559" w:rsidRDefault="00D74559" w:rsidP="006E2EF5">
      <w:r>
        <w:t xml:space="preserve">A </w:t>
      </w:r>
      <w:r w:rsidRPr="00EF42BD">
        <w:t>DSP Recipient (Compulsory Requirements)</w:t>
      </w:r>
      <w:r>
        <w:t xml:space="preserve"> can have their Job Search Requirement captured in their </w:t>
      </w:r>
      <w:r w:rsidR="008928FF">
        <w:t xml:space="preserve">Detailed </w:t>
      </w:r>
      <w:r>
        <w:t>Job Plan using:</w:t>
      </w:r>
    </w:p>
    <w:p w14:paraId="22C215EE" w14:textId="77777777" w:rsidR="00D74559" w:rsidRDefault="00D74559" w:rsidP="004E120D">
      <w:pPr>
        <w:pStyle w:val="BulletLevel1"/>
      </w:pPr>
      <w:r>
        <w:t xml:space="preserve">Code </w:t>
      </w:r>
      <w:r w:rsidRPr="00485471">
        <w:t xml:space="preserve">JS04 </w:t>
      </w:r>
      <w:r>
        <w:t>[</w:t>
      </w:r>
      <w:r w:rsidRPr="00485471">
        <w:t>Job Search Contacts Voluntary</w:t>
      </w:r>
      <w:r>
        <w:t>], or</w:t>
      </w:r>
    </w:p>
    <w:p w14:paraId="0AD00CCD" w14:textId="77777777" w:rsidR="00D74559" w:rsidRDefault="00D74559" w:rsidP="004E120D">
      <w:pPr>
        <w:pStyle w:val="BulletLevel1"/>
      </w:pPr>
      <w:r w:rsidRPr="006B08C8">
        <w:t>Code JS09 [Job Search Contacts – Monthly]</w:t>
      </w:r>
      <w:r>
        <w:t>.</w:t>
      </w:r>
    </w:p>
    <w:p w14:paraId="6A87D6EF" w14:textId="2FD89AAF" w:rsidR="00D74559" w:rsidRDefault="0014724F" w:rsidP="006E2EF5">
      <w:r>
        <w:t xml:space="preserve">As noted in </w:t>
      </w:r>
      <w:r>
        <w:rPr>
          <w:highlight w:val="yellow"/>
        </w:rPr>
        <w:fldChar w:fldCharType="begin"/>
      </w:r>
      <w:r>
        <w:instrText xml:space="preserve"> REF _Ref202784317 \h </w:instrText>
      </w:r>
      <w:r>
        <w:rPr>
          <w:highlight w:val="yellow"/>
        </w:rPr>
      </w:r>
      <w:r>
        <w:rPr>
          <w:highlight w:val="yellow"/>
        </w:rPr>
        <w:fldChar w:fldCharType="separate"/>
      </w:r>
      <w:r w:rsidR="000D75AE">
        <w:t>4.7</w:t>
      </w:r>
      <w:r w:rsidR="004572F7">
        <w:t xml:space="preserve"> </w:t>
      </w:r>
      <w:r w:rsidR="000D75AE">
        <w:t>Contents of a Detailed Job Plan</w:t>
      </w:r>
      <w:r>
        <w:rPr>
          <w:highlight w:val="yellow"/>
        </w:rPr>
        <w:fldChar w:fldCharType="end"/>
      </w:r>
      <w:r>
        <w:t xml:space="preserve">, </w:t>
      </w:r>
      <w:r w:rsidR="00D74559">
        <w:t xml:space="preserve">Code JS09 [Job Search Contacts – Monthly] </w:t>
      </w:r>
      <w:r w:rsidR="00911B14">
        <w:t>pre</w:t>
      </w:r>
      <w:r w:rsidR="00FD0352">
        <w:t>-</w:t>
      </w:r>
      <w:r w:rsidR="00911B14">
        <w:t>populates but</w:t>
      </w:r>
      <w:r w:rsidR="00D74559">
        <w:t xml:space="preserve"> is removable from a Detailed Job Plan</w:t>
      </w:r>
      <w:r>
        <w:t xml:space="preserve"> for a DSP Recipient (Compulsory Requirement)</w:t>
      </w:r>
      <w:r w:rsidR="00D74559">
        <w:t>.</w:t>
      </w:r>
    </w:p>
    <w:p w14:paraId="784D6D15" w14:textId="104EEF6F" w:rsidR="00D74559" w:rsidRPr="00981B12" w:rsidRDefault="00D74559" w:rsidP="006E2EF5">
      <w:r>
        <w:t xml:space="preserve">If a </w:t>
      </w:r>
      <w:r w:rsidRPr="00EF42BD">
        <w:t>DSP Recipient (Compulsory Requirements)</w:t>
      </w:r>
      <w:r>
        <w:t xml:space="preserve"> does not have a Job Search Requirement, </w:t>
      </w:r>
      <w:r w:rsidR="00EA231B">
        <w:t xml:space="preserve">and is receiving Pre-Employment Support, </w:t>
      </w:r>
      <w:r>
        <w:t>it is expected that they</w:t>
      </w:r>
      <w:r w:rsidR="00F510D4">
        <w:t xml:space="preserve"> </w:t>
      </w:r>
      <w:r>
        <w:t xml:space="preserve">have Code ET64 [Work Preparation] included </w:t>
      </w:r>
      <w:r w:rsidR="00337DF9">
        <w:t>as a compulsory requirement</w:t>
      </w:r>
      <w:r>
        <w:t xml:space="preserve"> in their </w:t>
      </w:r>
      <w:r w:rsidR="008928FF">
        <w:t xml:space="preserve">Detailed </w:t>
      </w:r>
      <w:r>
        <w:t xml:space="preserve">Job Plan. </w:t>
      </w:r>
    </w:p>
    <w:p w14:paraId="4D5EABCD" w14:textId="344898DF" w:rsidR="00D74559" w:rsidRPr="00916244" w:rsidRDefault="00D74559" w:rsidP="006E2EF5">
      <w:pPr>
        <w:rPr>
          <w:highlight w:val="darkGray"/>
        </w:rPr>
      </w:pPr>
      <w:r w:rsidRPr="5AD5DF3D">
        <w:rPr>
          <w:b/>
          <w:bCs/>
        </w:rPr>
        <w:t xml:space="preserve">Note: </w:t>
      </w:r>
      <w:r>
        <w:t xml:space="preserve">A DSP Recipient (Compulsory Requirements) </w:t>
      </w:r>
      <w:r w:rsidR="00337DF9">
        <w:t xml:space="preserve">on a </w:t>
      </w:r>
      <w:r w:rsidR="008928FF">
        <w:t>Detailed Job Plan</w:t>
      </w:r>
      <w:r w:rsidR="008928FF" w:rsidDel="008928FF">
        <w:t xml:space="preserve"> </w:t>
      </w:r>
      <w:r>
        <w:t>is also expected to have Code JS13 [Accept and retain suitable work] in their Job Plan as a compulsory requirement if receiving Pre-Employment Support.</w:t>
      </w:r>
      <w:r w:rsidR="00B573E8">
        <w:t xml:space="preserve"> However, Providers do have discretion to remove this requirement if they </w:t>
      </w:r>
      <w:r w:rsidR="00B9047A">
        <w:t>believe it is inappropriate to the Participant circumstances or current phase and service offer.</w:t>
      </w:r>
    </w:p>
    <w:p w14:paraId="60AF732C" w14:textId="166A5A64" w:rsidR="005D17D7" w:rsidRPr="008C0999" w:rsidRDefault="005D17D7" w:rsidP="005D17D7">
      <w:pPr>
        <w:pStyle w:val="Heading3"/>
      </w:pPr>
      <w:bookmarkStart w:id="240" w:name="_Ref202790467"/>
      <w:bookmarkStart w:id="241" w:name="_Toc202899973"/>
      <w:r>
        <w:t>5.</w:t>
      </w:r>
      <w:r w:rsidR="00B6192B">
        <w:t>8</w:t>
      </w:r>
      <w:r>
        <w:tab/>
      </w:r>
      <w:r w:rsidRPr="008C0999">
        <w:t>Job Interviews</w:t>
      </w:r>
      <w:bookmarkEnd w:id="240"/>
      <w:bookmarkEnd w:id="241"/>
    </w:p>
    <w:p w14:paraId="7B640B14" w14:textId="6174819F" w:rsidR="005D17D7" w:rsidRPr="008C0999" w:rsidRDefault="005D17D7" w:rsidP="001A7FBA">
      <w:r>
        <w:t>Provider</w:t>
      </w:r>
      <w:r w:rsidRPr="008C0999">
        <w:t xml:space="preserve">s should consider </w:t>
      </w:r>
      <w:r w:rsidR="008973C3">
        <w:t>tasking Participants to undertake</w:t>
      </w:r>
      <w:r w:rsidRPr="008C0999">
        <w:t xml:space="preserve"> Job </w:t>
      </w:r>
      <w:r w:rsidR="008973C3">
        <w:t>Interviews</w:t>
      </w:r>
      <w:r w:rsidRPr="008C0999">
        <w:t xml:space="preserve"> if the </w:t>
      </w:r>
      <w:r>
        <w:t>Participant</w:t>
      </w:r>
      <w:r w:rsidRPr="008C0999">
        <w:t xml:space="preserve"> is</w:t>
      </w:r>
      <w:r w:rsidR="001A7FBA">
        <w:t xml:space="preserve"> </w:t>
      </w:r>
      <w:r w:rsidRPr="008C0999">
        <w:t>capable of looking for work</w:t>
      </w:r>
      <w:r w:rsidRPr="1C90B891">
        <w:t>.</w:t>
      </w:r>
    </w:p>
    <w:p w14:paraId="6E76D08D" w14:textId="427C1E95" w:rsidR="001A7FBA" w:rsidRDefault="001A7FBA" w:rsidP="001A7FBA">
      <w:r w:rsidRPr="00C837E1">
        <w:t xml:space="preserve">Providers </w:t>
      </w:r>
      <w:r>
        <w:t>should not arrange Job Interviews for any Participant who</w:t>
      </w:r>
      <w:r w:rsidRPr="00C837E1">
        <w:t xml:space="preserve"> is already Employed </w:t>
      </w:r>
      <w:r>
        <w:t xml:space="preserve">at their Employment Benchmark </w:t>
      </w:r>
      <w:r w:rsidRPr="00C837E1">
        <w:t>and receiving Post Placement Support or Ongoing Support</w:t>
      </w:r>
      <w:r>
        <w:t>.</w:t>
      </w:r>
    </w:p>
    <w:p w14:paraId="30ED66A8" w14:textId="6E07C387" w:rsidR="008973C3" w:rsidRDefault="008973C3" w:rsidP="008973C3">
      <w:r w:rsidRPr="008E1541">
        <w:t xml:space="preserve">Where the </w:t>
      </w:r>
      <w:r>
        <w:t>P</w:t>
      </w:r>
      <w:r w:rsidRPr="008E1541">
        <w:t xml:space="preserve">rovider arranges the </w:t>
      </w:r>
      <w:r>
        <w:t>J</w:t>
      </w:r>
      <w:r w:rsidRPr="008E1541">
        <w:t xml:space="preserve">ob </w:t>
      </w:r>
      <w:r>
        <w:t>I</w:t>
      </w:r>
      <w:r w:rsidRPr="008E1541">
        <w:t xml:space="preserve">nterview, the </w:t>
      </w:r>
      <w:r>
        <w:t>P</w:t>
      </w:r>
      <w:r w:rsidRPr="008E1541">
        <w:t xml:space="preserve">rovider </w:t>
      </w:r>
      <w:r>
        <w:t>must</w:t>
      </w:r>
      <w:r w:rsidRPr="008E1541">
        <w:t xml:space="preserve"> ensur</w:t>
      </w:r>
      <w:r>
        <w:t>e</w:t>
      </w:r>
      <w:r w:rsidRPr="008E1541">
        <w:t xml:space="preserve"> the </w:t>
      </w:r>
      <w:r>
        <w:t>Participant</w:t>
      </w:r>
      <w:r w:rsidRPr="008E1541">
        <w:t xml:space="preserve"> receives</w:t>
      </w:r>
      <w:r>
        <w:t xml:space="preserve"> </w:t>
      </w:r>
      <w:r w:rsidRPr="008E1541">
        <w:t>proper notification and reasonable notice</w:t>
      </w:r>
      <w:r>
        <w:t xml:space="preserve"> by capturing the Job Interview in the Participant’s Electronic Calendar.</w:t>
      </w:r>
      <w:r w:rsidR="003633B1">
        <w:t xml:space="preserve"> </w:t>
      </w:r>
    </w:p>
    <w:p w14:paraId="1E880836" w14:textId="5993A7E9" w:rsidR="008973C3" w:rsidRDefault="008973C3" w:rsidP="008973C3">
      <w:pPr>
        <w:pStyle w:val="SystemStep"/>
      </w:pPr>
      <w:r>
        <w:t>Providers must schedule the Job Interviews in the Participant’s Electronic Calendar.</w:t>
      </w:r>
    </w:p>
    <w:p w14:paraId="02D35956" w14:textId="4E1E60D6" w:rsidR="003633B1" w:rsidRDefault="003633B1" w:rsidP="005D17D7">
      <w:r>
        <w:t>If a Provider arranges the interview, the Participant is required to confirm that they attended either by reporting through their Workforce Australia account or by contacting their Provider.</w:t>
      </w:r>
    </w:p>
    <w:p w14:paraId="07F0463A" w14:textId="52A37763" w:rsidR="003633B1" w:rsidRDefault="003633B1" w:rsidP="005D17D7">
      <w:r>
        <w:t xml:space="preserve">Participants should also be encouraged to report Job Interviews that they have arranged on their own behalf. </w:t>
      </w:r>
      <w:r w:rsidR="00822194">
        <w:t xml:space="preserve">Participants can add </w:t>
      </w:r>
      <w:r>
        <w:t>Job Interviews in their Electronic Calendar as Personal Events (see</w:t>
      </w:r>
      <w:r w:rsidR="007E00B6">
        <w:t xml:space="preserve"> </w:t>
      </w:r>
      <w:r w:rsidR="007E00B6">
        <w:rPr>
          <w:highlight w:val="yellow"/>
        </w:rPr>
        <w:fldChar w:fldCharType="begin"/>
      </w:r>
      <w:r w:rsidR="007E00B6">
        <w:instrText xml:space="preserve"> REF _Ref202784778 \h </w:instrText>
      </w:r>
      <w:r w:rsidR="007E00B6">
        <w:rPr>
          <w:highlight w:val="yellow"/>
        </w:rPr>
      </w:r>
      <w:r w:rsidR="007E00B6">
        <w:rPr>
          <w:highlight w:val="yellow"/>
        </w:rPr>
        <w:fldChar w:fldCharType="separate"/>
      </w:r>
      <w:r w:rsidR="000D75AE" w:rsidRPr="652192F6">
        <w:t>5.3.4</w:t>
      </w:r>
      <w:r w:rsidR="002E053E">
        <w:t xml:space="preserve"> </w:t>
      </w:r>
      <w:r w:rsidR="000D75AE" w:rsidRPr="652192F6">
        <w:t>Capturing Personal Events</w:t>
      </w:r>
      <w:r w:rsidR="007E00B6">
        <w:rPr>
          <w:highlight w:val="yellow"/>
        </w:rPr>
        <w:fldChar w:fldCharType="end"/>
      </w:r>
      <w:r>
        <w:t>).</w:t>
      </w:r>
    </w:p>
    <w:p w14:paraId="3B598EAA" w14:textId="1A7DF880" w:rsidR="008973C3" w:rsidRDefault="003633B1" w:rsidP="005D17D7">
      <w:r>
        <w:t xml:space="preserve">The format of a Job Interview can vary depending on the type of work. For example, it could include an audition for paid </w:t>
      </w:r>
      <w:r w:rsidR="00822194">
        <w:t xml:space="preserve">acting </w:t>
      </w:r>
      <w:r>
        <w:t xml:space="preserve">role, meetings with clients to get one-off projects or job and meetings with a publisher to </w:t>
      </w:r>
      <w:r w:rsidR="00822194">
        <w:t>discuss a manuscript.</w:t>
      </w:r>
    </w:p>
    <w:p w14:paraId="0ACD0837" w14:textId="4EB71540" w:rsidR="00822194" w:rsidRDefault="00822194" w:rsidP="005D17D7">
      <w:r>
        <w:t xml:space="preserve">All Job Interviews attended should be considered when assessing a Participant’s level of engagement, regardless of whether </w:t>
      </w:r>
      <w:r w:rsidR="00E26DA4">
        <w:t xml:space="preserve">or not </w:t>
      </w:r>
      <w:r>
        <w:t>Job Interviews are part of the agreed tasks and activities for meaningful engagement.</w:t>
      </w:r>
    </w:p>
    <w:p w14:paraId="23A89D53" w14:textId="23B2EDBD" w:rsidR="00822194" w:rsidRDefault="0014724F" w:rsidP="005D17D7">
      <w:r w:rsidRPr="0014724F">
        <w:t xml:space="preserve">As noted in </w:t>
      </w:r>
      <w:r w:rsidRPr="0014724F">
        <w:fldChar w:fldCharType="begin"/>
      </w:r>
      <w:r w:rsidRPr="0014724F">
        <w:instrText xml:space="preserve"> REF _Ref202784317 \h </w:instrText>
      </w:r>
      <w:r>
        <w:instrText xml:space="preserve"> \* MERGEFORMAT </w:instrText>
      </w:r>
      <w:r w:rsidRPr="0014724F">
        <w:fldChar w:fldCharType="separate"/>
      </w:r>
      <w:r w:rsidR="000D75AE">
        <w:t>4.7</w:t>
      </w:r>
      <w:r w:rsidR="004572F7">
        <w:t xml:space="preserve"> </w:t>
      </w:r>
      <w:r w:rsidR="000D75AE">
        <w:t>Contents of a Detailed Job Plan</w:t>
      </w:r>
      <w:r w:rsidRPr="0014724F">
        <w:fldChar w:fldCharType="end"/>
      </w:r>
      <w:r w:rsidRPr="0014724F">
        <w:t xml:space="preserve">, </w:t>
      </w:r>
      <w:r w:rsidR="00822194" w:rsidRPr="0014724F">
        <w:t>Code JS10 [Job Interview] will pre-populate in a Detailed Job Plan</w:t>
      </w:r>
      <w:r w:rsidRPr="0014724F">
        <w:t>.</w:t>
      </w:r>
      <w:r w:rsidR="00822194" w:rsidRPr="0014724F">
        <w:t xml:space="preserve"> </w:t>
      </w:r>
      <w:r w:rsidR="005D17D7" w:rsidRPr="0014724F">
        <w:t xml:space="preserve">Providers should consider </w:t>
      </w:r>
      <w:r w:rsidR="00E26DA4" w:rsidRPr="0014724F">
        <w:t>if</w:t>
      </w:r>
      <w:r w:rsidR="005D17D7" w:rsidRPr="0014724F">
        <w:t xml:space="preserve"> the inclusion of th</w:t>
      </w:r>
      <w:r w:rsidR="00822194" w:rsidRPr="0014724F">
        <w:t>is compulsory requirement is appropriate based on the Participant’s current phase and service offer.</w:t>
      </w:r>
    </w:p>
    <w:p w14:paraId="42CD2F68" w14:textId="2B694FE6" w:rsidR="005D17D7" w:rsidRDefault="005D17D7" w:rsidP="005D17D7">
      <w:r>
        <w:t xml:space="preserve">Under the requirement, Participants must attend and act appropriately at Job Interviews. Participants are </w:t>
      </w:r>
      <w:r w:rsidRPr="00C21C25">
        <w:t>expected to present and conduct themselves, speak and behave in a way that gives them the best opportunity to secure employment</w:t>
      </w:r>
      <w:r>
        <w:t>.</w:t>
      </w:r>
    </w:p>
    <w:p w14:paraId="7C108EFE" w14:textId="5523E220" w:rsidR="00D74559" w:rsidRPr="006B34C5" w:rsidRDefault="00D74559" w:rsidP="001D0F92">
      <w:pPr>
        <w:pStyle w:val="Heading3"/>
        <w:rPr>
          <w:rStyle w:val="Heading2Char1"/>
          <w:rFonts w:asciiTheme="majorHAnsi" w:hAnsiTheme="majorHAnsi"/>
          <w:i w:val="0"/>
          <w:color w:val="005A70" w:themeColor="accent1"/>
          <w:sz w:val="32"/>
          <w:szCs w:val="32"/>
        </w:rPr>
      </w:pPr>
      <w:bookmarkStart w:id="242" w:name="_Ref202790469"/>
      <w:bookmarkStart w:id="243" w:name="_Ref202791696"/>
      <w:bookmarkStart w:id="244" w:name="_Toc202899974"/>
      <w:r w:rsidRPr="1C90B891">
        <w:rPr>
          <w:rStyle w:val="Heading2Char1"/>
          <w:rFonts w:asciiTheme="majorHAnsi" w:hAnsiTheme="majorHAnsi"/>
          <w:i w:val="0"/>
          <w:color w:val="005A70" w:themeColor="accent1"/>
          <w:sz w:val="32"/>
          <w:szCs w:val="32"/>
        </w:rPr>
        <w:t>5.</w:t>
      </w:r>
      <w:r w:rsidR="00B6192B" w:rsidRPr="54AB3F03">
        <w:rPr>
          <w:rStyle w:val="Heading2Char1"/>
          <w:i w:val="0"/>
          <w:color w:val="005A70" w:themeColor="accent1"/>
        </w:rPr>
        <w:t>9</w:t>
      </w:r>
      <w:r w:rsidR="00ED42D0">
        <w:tab/>
      </w:r>
      <w:r w:rsidRPr="1C90B891">
        <w:rPr>
          <w:rStyle w:val="Heading2Char1"/>
          <w:rFonts w:asciiTheme="majorHAnsi" w:hAnsiTheme="majorHAnsi"/>
          <w:i w:val="0"/>
          <w:color w:val="005A70" w:themeColor="accent1"/>
          <w:sz w:val="32"/>
          <w:szCs w:val="32"/>
        </w:rPr>
        <w:t>Job Referrals</w:t>
      </w:r>
      <w:bookmarkEnd w:id="242"/>
      <w:bookmarkEnd w:id="243"/>
      <w:bookmarkEnd w:id="244"/>
    </w:p>
    <w:p w14:paraId="224AA295" w14:textId="20A164E8" w:rsidR="00D74559" w:rsidRDefault="00D74559" w:rsidP="006E2EF5">
      <w:r>
        <w:t>Job Referral tasks can connect Participants with suitable work. The Participant must follow up on any suitable job opportunities they are referred to by their Provider.</w:t>
      </w:r>
    </w:p>
    <w:p w14:paraId="760DBA19" w14:textId="08F92D55" w:rsidR="006C3DF5" w:rsidRDefault="006C3DF5" w:rsidP="006C3DF5">
      <w:r>
        <w:t>Provider</w:t>
      </w:r>
      <w:r w:rsidRPr="008C0999">
        <w:t xml:space="preserve">s should consider </w:t>
      </w:r>
      <w:r>
        <w:t>tasking Participants to follow up on job opportunities if the Participant is:</w:t>
      </w:r>
    </w:p>
    <w:p w14:paraId="07A946F3" w14:textId="0D95FB73" w:rsidR="006C3DF5" w:rsidRPr="008C0999" w:rsidRDefault="006C3DF5" w:rsidP="006C3DF5">
      <w:pPr>
        <w:pStyle w:val="BulletLevel1"/>
      </w:pPr>
      <w:r w:rsidRPr="008C0999">
        <w:t>capable of looking for work</w:t>
      </w:r>
      <w:r>
        <w:t>, and/or</w:t>
      </w:r>
    </w:p>
    <w:p w14:paraId="5DC66968" w14:textId="0BECD703" w:rsidR="006C3DF5" w:rsidRPr="008C0999" w:rsidRDefault="006C3DF5" w:rsidP="006C3DF5">
      <w:pPr>
        <w:pStyle w:val="BulletLevel1"/>
      </w:pPr>
      <w:r w:rsidRPr="008C0999">
        <w:t>not already working enough hours in a suitable job (referred to as the ‘</w:t>
      </w:r>
      <w:r w:rsidRPr="1C90B891">
        <w:t>sufficient work test’ in Social Security Law</w:t>
      </w:r>
      <w:r>
        <w:t>).</w:t>
      </w:r>
    </w:p>
    <w:p w14:paraId="1FC6D26D" w14:textId="2FBE48E9" w:rsidR="006C3DF5" w:rsidRDefault="006C3DF5" w:rsidP="00822194">
      <w:r w:rsidRPr="00C837E1">
        <w:t xml:space="preserve">Providers </w:t>
      </w:r>
      <w:r>
        <w:t>should</w:t>
      </w:r>
      <w:r w:rsidR="001A7FBA">
        <w:t xml:space="preserve"> not</w:t>
      </w:r>
      <w:r>
        <w:t xml:space="preserve"> set Job Referral tasks for a</w:t>
      </w:r>
      <w:r w:rsidR="001A7FBA">
        <w:t>ny</w:t>
      </w:r>
      <w:r>
        <w:t xml:space="preserve"> Participant who</w:t>
      </w:r>
      <w:r w:rsidRPr="00C837E1">
        <w:t xml:space="preserve"> is already Employed </w:t>
      </w:r>
      <w:r>
        <w:t xml:space="preserve">at their Employment Benchmark </w:t>
      </w:r>
      <w:r w:rsidRPr="00C837E1">
        <w:t>and receiving Post Placement Support or Ongoing Support</w:t>
      </w:r>
      <w:r>
        <w:t>.</w:t>
      </w:r>
    </w:p>
    <w:p w14:paraId="3D438CE3" w14:textId="4546DE65" w:rsidR="00822194" w:rsidRDefault="001A7FBA" w:rsidP="00822194">
      <w:r>
        <w:t>In</w:t>
      </w:r>
      <w:r w:rsidR="006C3DF5">
        <w:t xml:space="preserve"> determin</w:t>
      </w:r>
      <w:r>
        <w:t>ing</w:t>
      </w:r>
      <w:r w:rsidR="006C3DF5">
        <w:t xml:space="preserve"> </w:t>
      </w:r>
      <w:r w:rsidR="00E26DA4">
        <w:t>if</w:t>
      </w:r>
      <w:r>
        <w:t xml:space="preserve"> a</w:t>
      </w:r>
      <w:r w:rsidR="006C3DF5">
        <w:t xml:space="preserve"> Participant will be offered job opportunities, </w:t>
      </w:r>
      <w:r>
        <w:t xml:space="preserve">Providers are expected to consider </w:t>
      </w:r>
      <w:r w:rsidR="006C3DF5">
        <w:t xml:space="preserve">how well they match to the </w:t>
      </w:r>
      <w:r>
        <w:t>Employer’s</w:t>
      </w:r>
      <w:r w:rsidR="006C3DF5">
        <w:t xml:space="preserve"> needs</w:t>
      </w:r>
      <w:r>
        <w:t xml:space="preserve"> and/or Vacancy details.</w:t>
      </w:r>
    </w:p>
    <w:p w14:paraId="55E1622A" w14:textId="77777777" w:rsidR="001A7FBA" w:rsidRDefault="001A7FBA" w:rsidP="001A7FBA">
      <w:r>
        <w:t>Providers must only set Job Referral tasks for suitable work. Providers must also only set Job Referrals tasks for work which within the assessed work capacity bandwidth for the individual.</w:t>
      </w:r>
    </w:p>
    <w:p w14:paraId="6180EC2F" w14:textId="75391CCF" w:rsidR="00D74559" w:rsidRDefault="00D74559" w:rsidP="006E2EF5">
      <w:r>
        <w:t>Where the Provider identifies a job opportunity for the Participant, the Provider must set a Job Referral task for the Participant to action. The types of Job Referral tasks a Provide</w:t>
      </w:r>
      <w:r w:rsidR="00FB78AE">
        <w:t>r</w:t>
      </w:r>
      <w:r>
        <w:t xml:space="preserve"> may set are:</w:t>
      </w:r>
    </w:p>
    <w:p w14:paraId="29F1A509" w14:textId="77777777" w:rsidR="00D74559" w:rsidRDefault="00D74559" w:rsidP="004E120D">
      <w:pPr>
        <w:pStyle w:val="BulletLevel1"/>
      </w:pPr>
      <w:r>
        <w:t>applying for a specific job</w:t>
      </w:r>
    </w:p>
    <w:p w14:paraId="36551B91" w14:textId="77777777" w:rsidR="00D74559" w:rsidRDefault="00D74559" w:rsidP="004E120D">
      <w:pPr>
        <w:pStyle w:val="BulletLevel1"/>
      </w:pPr>
      <w:r>
        <w:t>accepting a Job Interview</w:t>
      </w:r>
    </w:p>
    <w:p w14:paraId="7A0F6695" w14:textId="3E9669A5" w:rsidR="00D74559" w:rsidRDefault="00D74559" w:rsidP="004E120D">
      <w:pPr>
        <w:pStyle w:val="BulletLevel1"/>
      </w:pPr>
      <w:r>
        <w:t xml:space="preserve">contacting an </w:t>
      </w:r>
      <w:r w:rsidR="5E22F9F8">
        <w:t>E</w:t>
      </w:r>
      <w:r>
        <w:t>mployer to arrange and accept a Job Interview</w:t>
      </w:r>
    </w:p>
    <w:p w14:paraId="3BDF6B53" w14:textId="77777777" w:rsidR="00D74559" w:rsidRDefault="00D74559" w:rsidP="004E120D">
      <w:pPr>
        <w:pStyle w:val="BulletLevel1"/>
      </w:pPr>
      <w:r>
        <w:t>providing personal details to support a job opportunity, or</w:t>
      </w:r>
    </w:p>
    <w:p w14:paraId="0525191C" w14:textId="77777777" w:rsidR="00D74559" w:rsidRDefault="00D74559" w:rsidP="004E120D">
      <w:pPr>
        <w:pStyle w:val="BulletLevel1"/>
      </w:pPr>
      <w:r>
        <w:t>a combination of the above.</w:t>
      </w:r>
    </w:p>
    <w:p w14:paraId="40923622" w14:textId="77777777" w:rsidR="001A7FBA" w:rsidRDefault="001A7FBA" w:rsidP="001A7FBA">
      <w:r>
        <w:t>Providers must only set Job Referral tasks for a Participant where the Participant would be able to successfully undertake the task by the due date.</w:t>
      </w:r>
    </w:p>
    <w:p w14:paraId="36C948F2" w14:textId="630E8F0A" w:rsidR="006C3DF5" w:rsidRDefault="006C3DF5" w:rsidP="006C3DF5">
      <w:r>
        <w:t>Providers must ensure that all Job Referral tasks that a Participant is requested to do are recorded in the Department’s IT Systems.</w:t>
      </w:r>
    </w:p>
    <w:p w14:paraId="63002CCD" w14:textId="3B43A1F3" w:rsidR="006C3DF5" w:rsidRDefault="00A561F2" w:rsidP="006C3DF5">
      <w:pPr>
        <w:pStyle w:val="SystemStep"/>
      </w:pPr>
      <w:r>
        <w:t>[</w:t>
      </w:r>
      <w:r w:rsidR="006C3DF5">
        <w:t>RESERVED</w:t>
      </w:r>
      <w:r>
        <w:t>]</w:t>
      </w:r>
    </w:p>
    <w:p w14:paraId="43519A1C" w14:textId="22572E0C" w:rsidR="00822194" w:rsidRDefault="0014724F" w:rsidP="006E2EF5">
      <w:r w:rsidRPr="0014724F">
        <w:t xml:space="preserve">As noted in </w:t>
      </w:r>
      <w:r w:rsidRPr="0014724F">
        <w:fldChar w:fldCharType="begin"/>
      </w:r>
      <w:r w:rsidRPr="0014724F">
        <w:instrText xml:space="preserve"> REF _Ref202784317 \h </w:instrText>
      </w:r>
      <w:r>
        <w:instrText xml:space="preserve"> \* MERGEFORMAT </w:instrText>
      </w:r>
      <w:r w:rsidRPr="0014724F">
        <w:fldChar w:fldCharType="separate"/>
      </w:r>
      <w:r w:rsidR="000D75AE">
        <w:t>4.7</w:t>
      </w:r>
      <w:r w:rsidR="004572F7">
        <w:t xml:space="preserve"> </w:t>
      </w:r>
      <w:r w:rsidR="000D75AE">
        <w:t>Contents of a Detailed Job Plan</w:t>
      </w:r>
      <w:r w:rsidRPr="0014724F">
        <w:fldChar w:fldCharType="end"/>
      </w:r>
      <w:r w:rsidRPr="0014724F">
        <w:t xml:space="preserve">, </w:t>
      </w:r>
      <w:r w:rsidR="006C3DF5" w:rsidRPr="006C3DF5">
        <w:t xml:space="preserve">Code </w:t>
      </w:r>
      <w:r w:rsidR="006C3DF5">
        <w:t>PA12 [Actioning Job Referrals and Job Opportunities</w:t>
      </w:r>
      <w:r w:rsidR="006C3DF5" w:rsidRPr="006C3DF5">
        <w:t>] will pre-populate in a Detailed Job Plan</w:t>
      </w:r>
      <w:r>
        <w:t>.</w:t>
      </w:r>
      <w:r w:rsidR="006C3DF5" w:rsidRPr="006C3DF5">
        <w:t xml:space="preserve"> Providers should consider </w:t>
      </w:r>
      <w:r w:rsidR="00662CE3">
        <w:t>if</w:t>
      </w:r>
      <w:r w:rsidR="006C3DF5" w:rsidRPr="006C3DF5">
        <w:t xml:space="preserve"> the inclusion of this compulsory requirement is appropriate based on the Participant’s current phase and service offer.</w:t>
      </w:r>
    </w:p>
    <w:p w14:paraId="7B41055C" w14:textId="557A3B19" w:rsidR="00D74559" w:rsidRPr="00F60566" w:rsidRDefault="00D74559" w:rsidP="006E2EF5">
      <w:r w:rsidRPr="00F60566">
        <w:rPr>
          <w:b/>
          <w:bCs/>
        </w:rPr>
        <w:t xml:space="preserve">Note: </w:t>
      </w:r>
      <w:r>
        <w:t>Provider</w:t>
      </w:r>
      <w:r w:rsidRPr="00F60566">
        <w:t>s</w:t>
      </w:r>
      <w:r>
        <w:t xml:space="preserve"> do not need to include specific Job Referral tasks in the Participant’s </w:t>
      </w:r>
      <w:r w:rsidR="00FB78AE">
        <w:t xml:space="preserve">Detailed </w:t>
      </w:r>
      <w:r>
        <w:t>Job Plan.</w:t>
      </w:r>
    </w:p>
    <w:p w14:paraId="27D59883" w14:textId="2C430CB1" w:rsidR="00D74559" w:rsidRDefault="00D74559" w:rsidP="006E2EF5">
      <w:r>
        <w:t xml:space="preserve">The Department’s IT Systems does not limit the number of Job Referral tasks that can be set for a Participant. Providers must ensure they do not set a number that exceeds the Participant’s </w:t>
      </w:r>
      <w:r w:rsidR="0031470E">
        <w:t xml:space="preserve">maximum </w:t>
      </w:r>
      <w:r>
        <w:t>Job Search Requirement</w:t>
      </w:r>
      <w:r w:rsidR="00FB78AE">
        <w:t xml:space="preserve"> in a Detailed Job Plan</w:t>
      </w:r>
      <w:r w:rsidR="0031470E">
        <w:t>.</w:t>
      </w:r>
    </w:p>
    <w:p w14:paraId="48488FEA" w14:textId="3CB51530" w:rsidR="00D74559" w:rsidRPr="006B34C5" w:rsidRDefault="00D74559" w:rsidP="001D0F92">
      <w:pPr>
        <w:pStyle w:val="Heading3"/>
        <w:rPr>
          <w:rStyle w:val="Heading2Char1"/>
          <w:rFonts w:asciiTheme="majorHAnsi" w:hAnsiTheme="majorHAnsi"/>
          <w:i w:val="0"/>
          <w:color w:val="005A70" w:themeColor="accent1"/>
          <w:sz w:val="32"/>
          <w:szCs w:val="24"/>
        </w:rPr>
      </w:pPr>
      <w:bookmarkStart w:id="245" w:name="_Ref202786035"/>
      <w:bookmarkStart w:id="246" w:name="_Toc202899975"/>
      <w:r w:rsidRPr="006B34C5">
        <w:rPr>
          <w:rStyle w:val="Heading2Char1"/>
          <w:rFonts w:asciiTheme="majorHAnsi" w:hAnsiTheme="majorHAnsi"/>
          <w:i w:val="0"/>
          <w:color w:val="005A70" w:themeColor="accent1"/>
          <w:sz w:val="32"/>
          <w:szCs w:val="24"/>
        </w:rPr>
        <w:t>5.</w:t>
      </w:r>
      <w:r w:rsidR="00B6192B" w:rsidRPr="003038A6">
        <w:rPr>
          <w:rStyle w:val="Heading2Char1"/>
          <w:rFonts w:asciiTheme="majorHAnsi" w:hAnsiTheme="majorHAnsi"/>
          <w:i w:val="0"/>
          <w:color w:val="005A70" w:themeColor="accent1"/>
          <w:sz w:val="32"/>
          <w:szCs w:val="24"/>
        </w:rPr>
        <w:t>10</w:t>
      </w:r>
      <w:r w:rsidR="00ED42D0">
        <w:rPr>
          <w:rStyle w:val="Heading2Char1"/>
          <w:rFonts w:asciiTheme="majorHAnsi" w:hAnsiTheme="majorHAnsi"/>
          <w:i w:val="0"/>
          <w:color w:val="005A70" w:themeColor="accent1"/>
          <w:sz w:val="32"/>
          <w:szCs w:val="24"/>
        </w:rPr>
        <w:tab/>
      </w:r>
      <w:r w:rsidR="008B008D">
        <w:rPr>
          <w:rStyle w:val="Heading2Char1"/>
          <w:rFonts w:asciiTheme="majorHAnsi" w:hAnsiTheme="majorHAnsi"/>
          <w:i w:val="0"/>
          <w:color w:val="005A70" w:themeColor="accent1"/>
          <w:sz w:val="32"/>
          <w:szCs w:val="24"/>
        </w:rPr>
        <w:t>Personal responsibility for reporting attendance</w:t>
      </w:r>
      <w:bookmarkEnd w:id="245"/>
      <w:bookmarkEnd w:id="246"/>
    </w:p>
    <w:p w14:paraId="1DE00AE6" w14:textId="71456ABD" w:rsidR="0034630D" w:rsidRDefault="00296257" w:rsidP="006E2EF5">
      <w:r>
        <w:t>Attendance results must be recorded in the Department’s IT Systems to determine if</w:t>
      </w:r>
      <w:r w:rsidRPr="52AE57C5">
        <w:rPr>
          <w:rFonts w:eastAsiaTheme="minorEastAsia"/>
        </w:rPr>
        <w:t xml:space="preserve"> Participants</w:t>
      </w:r>
      <w:r>
        <w:rPr>
          <w:rFonts w:eastAsiaTheme="minorEastAsia"/>
        </w:rPr>
        <w:t xml:space="preserve"> are</w:t>
      </w:r>
      <w:r w:rsidRPr="52AE57C5">
        <w:rPr>
          <w:rFonts w:eastAsiaTheme="minorEastAsia"/>
        </w:rPr>
        <w:t xml:space="preserve"> </w:t>
      </w:r>
      <w:r>
        <w:rPr>
          <w:rFonts w:eastAsiaTheme="minorEastAsia"/>
        </w:rPr>
        <w:t>complying</w:t>
      </w:r>
      <w:r w:rsidRPr="52AE57C5">
        <w:rPr>
          <w:rFonts w:eastAsiaTheme="minorEastAsia"/>
        </w:rPr>
        <w:t xml:space="preserve"> with their </w:t>
      </w:r>
      <w:r>
        <w:rPr>
          <w:rFonts w:eastAsiaTheme="minorEastAsia"/>
        </w:rPr>
        <w:t xml:space="preserve">participation </w:t>
      </w:r>
      <w:r w:rsidRPr="52AE57C5">
        <w:rPr>
          <w:rFonts w:eastAsiaTheme="minorEastAsia"/>
        </w:rPr>
        <w:t>requirements</w:t>
      </w:r>
      <w:r>
        <w:rPr>
          <w:rFonts w:eastAsiaTheme="minorEastAsia"/>
        </w:rPr>
        <w:t xml:space="preserve">. </w:t>
      </w:r>
      <w:r w:rsidR="005A420F">
        <w:rPr>
          <w:rFonts w:eastAsiaTheme="minorEastAsia"/>
        </w:rPr>
        <w:t>Either the Participant, if capable, or the Provider can record attendance</w:t>
      </w:r>
      <w:r w:rsidR="00C17359">
        <w:rPr>
          <w:rFonts w:eastAsiaTheme="minorEastAsia"/>
        </w:rPr>
        <w:t xml:space="preserve"> at Activities and Job Interviews</w:t>
      </w:r>
      <w:r w:rsidR="008C4605">
        <w:rPr>
          <w:rFonts w:eastAsiaTheme="minorEastAsia"/>
        </w:rPr>
        <w:t>.</w:t>
      </w:r>
      <w:r w:rsidR="00C17359">
        <w:rPr>
          <w:rFonts w:eastAsiaTheme="minorEastAsia"/>
        </w:rPr>
        <w:t xml:space="preserve"> Providers must record attendance at Appointments.</w:t>
      </w:r>
    </w:p>
    <w:p w14:paraId="00AD3DB0" w14:textId="491227FF" w:rsidR="0084176E" w:rsidRDefault="0084176E" w:rsidP="0084176E">
      <w:r w:rsidRPr="247198B4">
        <w:t xml:space="preserve">Participants (Mutual Obligations) and DSP Recipients (Compulsory Requirements) should </w:t>
      </w:r>
      <w:r>
        <w:t>be encouraged to self-</w:t>
      </w:r>
      <w:r w:rsidRPr="247198B4">
        <w:t xml:space="preserve">report their </w:t>
      </w:r>
      <w:r w:rsidR="002B67D4">
        <w:t>attendance</w:t>
      </w:r>
      <w:r w:rsidRPr="247198B4">
        <w:t xml:space="preserve">, via their Workforce Australia homepage, if they are </w:t>
      </w:r>
      <w:r>
        <w:t xml:space="preserve">capable of </w:t>
      </w:r>
      <w:r w:rsidRPr="247198B4">
        <w:t>do</w:t>
      </w:r>
      <w:r>
        <w:t>ing</w:t>
      </w:r>
      <w:r w:rsidRPr="247198B4">
        <w:t xml:space="preserve"> so.</w:t>
      </w:r>
    </w:p>
    <w:p w14:paraId="4FE2BAD2" w14:textId="177EB7B4" w:rsidR="004D2F1B" w:rsidRPr="00184464" w:rsidRDefault="004D2F1B" w:rsidP="004D2F1B">
      <w:r>
        <w:t>As outlined in</w:t>
      </w:r>
      <w:r w:rsidR="007E00B6">
        <w:t xml:space="preserve"> </w:t>
      </w:r>
      <w:r w:rsidR="007E00B6">
        <w:fldChar w:fldCharType="begin"/>
      </w:r>
      <w:r w:rsidR="007E00B6">
        <w:instrText xml:space="preserve"> REF _Ref202790894 \h </w:instrText>
      </w:r>
      <w:r w:rsidR="007E00B6">
        <w:fldChar w:fldCharType="separate"/>
      </w:r>
      <w:r w:rsidR="000D75AE" w:rsidRPr="362FEA09">
        <w:t>3.3.1</w:t>
      </w:r>
      <w:r w:rsidR="00D04BBA">
        <w:t xml:space="preserve"> </w:t>
      </w:r>
      <w:r w:rsidR="000D75AE">
        <w:t>C</w:t>
      </w:r>
      <w:r w:rsidR="000D75AE" w:rsidRPr="00EE4616">
        <w:t>onnecting Participants to Workforce Australia Online profiles</w:t>
      </w:r>
      <w:r w:rsidR="007E00B6">
        <w:fldChar w:fldCharType="end"/>
      </w:r>
      <w:r w:rsidR="007E00B6">
        <w:t xml:space="preserve">, </w:t>
      </w:r>
      <w:r w:rsidRPr="202AFE3D">
        <w:t xml:space="preserve">Providers must confirm </w:t>
      </w:r>
      <w:r w:rsidR="00662CE3">
        <w:t>if</w:t>
      </w:r>
      <w:r w:rsidRPr="202AFE3D">
        <w:t xml:space="preserve"> the Participant has a my</w:t>
      </w:r>
      <w:r>
        <w:t>Gov</w:t>
      </w:r>
      <w:r w:rsidRPr="202AFE3D">
        <w:t xml:space="preserve"> account that is linked to the Workforce Australia </w:t>
      </w:r>
      <w:r>
        <w:t>online platform</w:t>
      </w:r>
      <w:r w:rsidRPr="202AFE3D">
        <w:t xml:space="preserve"> </w:t>
      </w:r>
      <w:r>
        <w:t>during</w:t>
      </w:r>
      <w:r w:rsidRPr="202AFE3D">
        <w:t xml:space="preserve"> the Initial </w:t>
      </w:r>
      <w:r>
        <w:t>Engagement Period</w:t>
      </w:r>
      <w:r w:rsidRPr="202AFE3D">
        <w:t xml:space="preserve">. If the Participant does not, then the Provider should support them </w:t>
      </w:r>
      <w:r>
        <w:t>to establish this link.</w:t>
      </w:r>
    </w:p>
    <w:p w14:paraId="7B000AF4" w14:textId="77777777" w:rsidR="001A7FBA" w:rsidRDefault="001A7FBA" w:rsidP="001A7FBA">
      <w:r>
        <w:t>For Participants with</w:t>
      </w:r>
      <w:r w:rsidR="00125C89">
        <w:t xml:space="preserve"> </w:t>
      </w:r>
      <w:r w:rsidR="00FB78AE">
        <w:t>a Detailed Job Plan</w:t>
      </w:r>
      <w:r>
        <w:t>, the Provider must determine if the Participant</w:t>
      </w:r>
      <w:r w:rsidR="00D74559" w:rsidDel="00FB78AE">
        <w:t xml:space="preserve"> </w:t>
      </w:r>
      <w:r w:rsidR="00D74559">
        <w:t xml:space="preserve">is capable of taking personal responsibility for </w:t>
      </w:r>
      <w:r w:rsidR="004D2F1B">
        <w:t>self-reporting</w:t>
      </w:r>
      <w:r w:rsidR="00D74559">
        <w:t xml:space="preserve"> their attendance</w:t>
      </w:r>
      <w:r w:rsidR="00EE237E">
        <w:t xml:space="preserve"> against Activities and Job Interviews in their Electronic Calendar</w:t>
      </w:r>
      <w:r>
        <w:t>.</w:t>
      </w:r>
    </w:p>
    <w:p w14:paraId="7F8613C5" w14:textId="058E59A8" w:rsidR="00D74559" w:rsidRDefault="0014724F" w:rsidP="006E2EF5">
      <w:r w:rsidRPr="0014724F">
        <w:t xml:space="preserve">As noted in </w:t>
      </w:r>
      <w:r w:rsidRPr="0014724F">
        <w:fldChar w:fldCharType="begin"/>
      </w:r>
      <w:r w:rsidRPr="0014724F">
        <w:instrText xml:space="preserve"> REF _Ref202784317 \h </w:instrText>
      </w:r>
      <w:r>
        <w:instrText xml:space="preserve"> \* MERGEFORMAT </w:instrText>
      </w:r>
      <w:r w:rsidRPr="0014724F">
        <w:fldChar w:fldCharType="separate"/>
      </w:r>
      <w:r w:rsidR="000D75AE">
        <w:t>4.7</w:t>
      </w:r>
      <w:r w:rsidR="004572F7">
        <w:t xml:space="preserve"> </w:t>
      </w:r>
      <w:r w:rsidR="000D75AE">
        <w:t>Contents of a Detailed Job Plan</w:t>
      </w:r>
      <w:r w:rsidRPr="0014724F">
        <w:fldChar w:fldCharType="end"/>
      </w:r>
      <w:r w:rsidRPr="0014724F">
        <w:t xml:space="preserve">, </w:t>
      </w:r>
      <w:r w:rsidR="001A7FBA">
        <w:t>Noting</w:t>
      </w:r>
      <w:r w:rsidR="00D74559">
        <w:t xml:space="preserve"> Code PA03 [Personal Responsibility to Report and Record Attendance] </w:t>
      </w:r>
      <w:r w:rsidR="001A7FBA">
        <w:t>will pre-populate in the Detailed Job Plan</w:t>
      </w:r>
      <w:r>
        <w:t>. T</w:t>
      </w:r>
      <w:r w:rsidR="001A7FBA">
        <w:t xml:space="preserve">his responsibility </w:t>
      </w:r>
      <w:r w:rsidR="00D74559">
        <w:t xml:space="preserve">must be included </w:t>
      </w:r>
      <w:r w:rsidR="001A7FBA">
        <w:t xml:space="preserve">is the Participant is capable of self-reporting and must be removed </w:t>
      </w:r>
      <w:r w:rsidR="00343F39">
        <w:t>if the Participant is not capable of self-reporting</w:t>
      </w:r>
      <w:r w:rsidR="00D74559">
        <w:t>.</w:t>
      </w:r>
    </w:p>
    <w:p w14:paraId="55B157A3" w14:textId="1D9A5CE6" w:rsidR="00D74559" w:rsidRDefault="00D74559" w:rsidP="006F727E">
      <w:pPr>
        <w:pStyle w:val="SystemStep"/>
      </w:pPr>
      <w:r>
        <w:t xml:space="preserve">If the personal responsibility requirement is not included in the </w:t>
      </w:r>
      <w:r w:rsidR="004D4E6F">
        <w:t xml:space="preserve">Detailed </w:t>
      </w:r>
      <w:r>
        <w:t xml:space="preserve">Job Plan, Providers must record their assessment as a comment in the Participant’s </w:t>
      </w:r>
      <w:r w:rsidR="00FD3688">
        <w:t>Summary</w:t>
      </w:r>
      <w:r>
        <w:t xml:space="preserve"> on the Department’s IT System</w:t>
      </w:r>
      <w:r w:rsidR="7DC6E2A6">
        <w:t>s</w:t>
      </w:r>
      <w:r>
        <w:t>.</w:t>
      </w:r>
    </w:p>
    <w:p w14:paraId="79FF4D76" w14:textId="30DE6992" w:rsidR="008B5E6C" w:rsidRDefault="00D74559" w:rsidP="006E2EF5">
      <w:r>
        <w:t xml:space="preserve">If a Participant is not capable of self-reporting online, the Provider </w:t>
      </w:r>
      <w:r w:rsidR="00343F39">
        <w:t>will be</w:t>
      </w:r>
      <w:r w:rsidR="00E26906">
        <w:t xml:space="preserve"> responsible for recording Participant attendance</w:t>
      </w:r>
      <w:r w:rsidR="00C3570C">
        <w:t xml:space="preserve"> and must ensure that the Participant understands how to report their attendance to their Provider. The Provider </w:t>
      </w:r>
      <w:r>
        <w:t xml:space="preserve">must </w:t>
      </w:r>
      <w:r w:rsidR="00C3570C">
        <w:t xml:space="preserve">also </w:t>
      </w:r>
      <w:r>
        <w:t>work with the Participant to</w:t>
      </w:r>
      <w:r w:rsidR="00E03AD0">
        <w:t xml:space="preserve"> </w:t>
      </w:r>
      <w:r w:rsidR="002D7797">
        <w:t>improve</w:t>
      </w:r>
      <w:r w:rsidR="00E03AD0">
        <w:t xml:space="preserve"> their </w:t>
      </w:r>
      <w:r w:rsidR="002D7797">
        <w:t xml:space="preserve">capability </w:t>
      </w:r>
      <w:r>
        <w:t xml:space="preserve">to accurately navigate </w:t>
      </w:r>
      <w:r w:rsidR="00E03AD0">
        <w:t>online</w:t>
      </w:r>
      <w:r>
        <w:t xml:space="preserve"> and self-report their attendance.</w:t>
      </w:r>
    </w:p>
    <w:p w14:paraId="21DD9F41" w14:textId="6427E2A3" w:rsidR="00D74559" w:rsidRDefault="00DD270F" w:rsidP="006E2EF5">
      <w:r>
        <w:t xml:space="preserve">The determination of whether </w:t>
      </w:r>
      <w:r w:rsidR="00662CE3">
        <w:t>or not</w:t>
      </w:r>
      <w:r>
        <w:t xml:space="preserve"> a Participant can self-report is</w:t>
      </w:r>
      <w:r w:rsidR="00D74559" w:rsidRPr="202AFE3D">
        <w:t xml:space="preserve"> important as failure to </w:t>
      </w:r>
      <w:r w:rsidR="009501E6">
        <w:t>report</w:t>
      </w:r>
      <w:r w:rsidR="00D74559">
        <w:t xml:space="preserve"> attendance at compulsory Activities and Job Interviews is</w:t>
      </w:r>
      <w:r w:rsidR="00D74559" w:rsidRPr="202AFE3D">
        <w:t xml:space="preserve"> </w:t>
      </w:r>
      <w:r w:rsidR="00D74559">
        <w:t xml:space="preserve">subject to the application of the TCF and </w:t>
      </w:r>
      <w:r w:rsidR="00D74559" w:rsidRPr="202AFE3D">
        <w:t>can result in the Participant’s Income Support Payment being suspended</w:t>
      </w:r>
      <w:r w:rsidR="00D74559">
        <w:t xml:space="preserve"> until such time as a result has been recorded</w:t>
      </w:r>
      <w:r w:rsidR="00D74559" w:rsidRPr="202AFE3D">
        <w:t xml:space="preserve"> (see relevant </w:t>
      </w:r>
      <w:r w:rsidR="00F27465">
        <w:t>S</w:t>
      </w:r>
      <w:r w:rsidR="00D74559" w:rsidRPr="202AFE3D">
        <w:t>ections in</w:t>
      </w:r>
      <w:r w:rsidR="007E00B6">
        <w:t xml:space="preserve"> </w:t>
      </w:r>
      <w:r w:rsidR="007E00B6">
        <w:rPr>
          <w:highlight w:val="yellow"/>
        </w:rPr>
        <w:fldChar w:fldCharType="begin"/>
      </w:r>
      <w:r w:rsidR="007E00B6">
        <w:instrText xml:space="preserve"> REF _Ref202782924 \h </w:instrText>
      </w:r>
      <w:r w:rsidR="007E00B6">
        <w:rPr>
          <w:highlight w:val="yellow"/>
        </w:rPr>
      </w:r>
      <w:r w:rsidR="007E00B6">
        <w:rPr>
          <w:highlight w:val="yellow"/>
        </w:rPr>
        <w:fldChar w:fldCharType="separate"/>
      </w:r>
      <w:r w:rsidR="000D75AE">
        <w:t>Chapter 12:</w:t>
      </w:r>
      <w:r w:rsidR="002E053E">
        <w:t xml:space="preserve"> </w:t>
      </w:r>
      <w:r w:rsidR="000D75AE">
        <w:t>Compliance</w:t>
      </w:r>
      <w:r w:rsidR="007E00B6">
        <w:rPr>
          <w:highlight w:val="yellow"/>
        </w:rPr>
        <w:fldChar w:fldCharType="end"/>
      </w:r>
      <w:r w:rsidR="00D74559" w:rsidRPr="202AFE3D">
        <w:t>).</w:t>
      </w:r>
    </w:p>
    <w:p w14:paraId="03BD6EDA" w14:textId="0045E6B8" w:rsidR="001926B4" w:rsidRDefault="00D74559" w:rsidP="006E2EF5">
      <w:pPr>
        <w:rPr>
          <w:rFonts w:ascii="Tahoma" w:eastAsia="Tahoma" w:hAnsi="Tahoma" w:cs="Tahoma"/>
          <w:color w:val="334155"/>
        </w:rPr>
      </w:pPr>
      <w:r w:rsidRPr="202AFE3D">
        <w:t xml:space="preserve">If a Provider observes a Participant </w:t>
      </w:r>
      <w:r>
        <w:t>that has personal responsibility to self-report</w:t>
      </w:r>
      <w:r w:rsidRPr="202AFE3D">
        <w:t xml:space="preserve"> </w:t>
      </w:r>
      <w:r w:rsidR="00424454">
        <w:t>attendance</w:t>
      </w:r>
      <w:r>
        <w:t xml:space="preserve"> is not routinely recording their attendance, the </w:t>
      </w:r>
      <w:r w:rsidRPr="00594847">
        <w:rPr>
          <w:rFonts w:ascii="Tahoma" w:eastAsia="Tahoma" w:hAnsi="Tahoma" w:cs="Tahoma"/>
          <w:color w:val="334155"/>
        </w:rPr>
        <w:t xml:space="preserve">Providers should </w:t>
      </w:r>
      <w:r w:rsidR="0084444D">
        <w:rPr>
          <w:rFonts w:ascii="Tahoma" w:eastAsia="Tahoma" w:hAnsi="Tahoma" w:cs="Tahoma"/>
        </w:rPr>
        <w:t>confirm</w:t>
      </w:r>
      <w:r w:rsidRPr="00594847">
        <w:rPr>
          <w:rFonts w:ascii="Tahoma" w:eastAsia="Tahoma" w:hAnsi="Tahoma" w:cs="Tahoma"/>
        </w:rPr>
        <w:t xml:space="preserve"> if</w:t>
      </w:r>
      <w:r w:rsidRPr="00594847">
        <w:rPr>
          <w:rFonts w:ascii="Tahoma" w:eastAsia="Tahoma" w:hAnsi="Tahoma" w:cs="Tahoma"/>
          <w:color w:val="334155"/>
        </w:rPr>
        <w:t xml:space="preserve"> the Participant </w:t>
      </w:r>
      <w:r w:rsidRPr="00594847">
        <w:rPr>
          <w:rFonts w:ascii="Tahoma" w:eastAsia="Tahoma" w:hAnsi="Tahoma" w:cs="Tahoma"/>
        </w:rPr>
        <w:t>can</w:t>
      </w:r>
      <w:r w:rsidR="00D83A0D">
        <w:rPr>
          <w:rFonts w:ascii="Tahoma" w:eastAsia="Tahoma" w:hAnsi="Tahoma" w:cs="Tahoma"/>
        </w:rPr>
        <w:t xml:space="preserve"> still</w:t>
      </w:r>
      <w:r w:rsidRPr="00594847">
        <w:rPr>
          <w:rFonts w:ascii="Tahoma" w:eastAsia="Tahoma" w:hAnsi="Tahoma" w:cs="Tahoma"/>
        </w:rPr>
        <w:t xml:space="preserve"> </w:t>
      </w:r>
      <w:r w:rsidR="00D83A0D">
        <w:rPr>
          <w:rFonts w:ascii="Tahoma" w:eastAsia="Tahoma" w:hAnsi="Tahoma" w:cs="Tahoma"/>
        </w:rPr>
        <w:t>self-report their attendance</w:t>
      </w:r>
      <w:r w:rsidRPr="00594847">
        <w:rPr>
          <w:rFonts w:ascii="Tahoma" w:eastAsia="Tahoma" w:hAnsi="Tahoma" w:cs="Tahoma"/>
          <w:color w:val="334155"/>
        </w:rPr>
        <w:t>.</w:t>
      </w:r>
    </w:p>
    <w:p w14:paraId="375F7723" w14:textId="6C1931EE" w:rsidR="00D74559" w:rsidRPr="00C23580" w:rsidRDefault="00D74559" w:rsidP="006E2EF5">
      <w:pPr>
        <w:rPr>
          <w:sz w:val="20"/>
          <w:szCs w:val="20"/>
        </w:rPr>
      </w:pPr>
      <w:r w:rsidRPr="652192F6">
        <w:rPr>
          <w:sz w:val="20"/>
          <w:szCs w:val="20"/>
        </w:rPr>
        <w:t>(</w:t>
      </w:r>
      <w:r w:rsidR="00A73420">
        <w:rPr>
          <w:sz w:val="20"/>
          <w:szCs w:val="20"/>
        </w:rPr>
        <w:t xml:space="preserve">Deed Reference(s): Clause </w:t>
      </w:r>
      <w:r w:rsidR="00591A29">
        <w:rPr>
          <w:sz w:val="20"/>
          <w:szCs w:val="20"/>
        </w:rPr>
        <w:t>136</w:t>
      </w:r>
      <w:r w:rsidRPr="652192F6">
        <w:rPr>
          <w:sz w:val="20"/>
          <w:szCs w:val="20"/>
        </w:rPr>
        <w:t>)</w:t>
      </w:r>
    </w:p>
    <w:p w14:paraId="646A4ED5" w14:textId="505A09F9" w:rsidR="00D74559" w:rsidRDefault="008F6AFC" w:rsidP="001D0F92">
      <w:pPr>
        <w:pStyle w:val="Heading4"/>
      </w:pPr>
      <w:bookmarkStart w:id="247" w:name="_Toc202899976"/>
      <w:r>
        <w:t>5.</w:t>
      </w:r>
      <w:r w:rsidR="009C71D7">
        <w:t>10</w:t>
      </w:r>
      <w:r>
        <w:t>.1</w:t>
      </w:r>
      <w:r>
        <w:tab/>
      </w:r>
      <w:r w:rsidR="00D74559">
        <w:t xml:space="preserve">Determining a Participant’s </w:t>
      </w:r>
      <w:r w:rsidR="00D82563">
        <w:t>c</w:t>
      </w:r>
      <w:r w:rsidR="00D74559">
        <w:t>a</w:t>
      </w:r>
      <w:r w:rsidR="00D82563">
        <w:t>pa</w:t>
      </w:r>
      <w:r w:rsidR="00D74559">
        <w:t xml:space="preserve">bility to self-report </w:t>
      </w:r>
      <w:r w:rsidR="001926B4">
        <w:t>attendance</w:t>
      </w:r>
      <w:r w:rsidR="00D74559">
        <w:t xml:space="preserve"> online</w:t>
      </w:r>
      <w:bookmarkEnd w:id="247"/>
    </w:p>
    <w:p w14:paraId="5D5F2867" w14:textId="39DF2622" w:rsidR="00D74559" w:rsidRPr="00981B12" w:rsidRDefault="00D74559" w:rsidP="006E2EF5">
      <w:r>
        <w:t xml:space="preserve">In determining whether </w:t>
      </w:r>
      <w:r w:rsidR="00662CE3">
        <w:t xml:space="preserve">or not </w:t>
      </w:r>
      <w:r>
        <w:t xml:space="preserve">a Participant can self-report their </w:t>
      </w:r>
      <w:r w:rsidR="00C727D1">
        <w:t>attendance</w:t>
      </w:r>
      <w:r>
        <w:t xml:space="preserve"> online, the Provider must consider </w:t>
      </w:r>
      <w:r w:rsidR="003E1C18">
        <w:t>if</w:t>
      </w:r>
      <w:r>
        <w:t xml:space="preserve"> a Participant is:</w:t>
      </w:r>
    </w:p>
    <w:p w14:paraId="269DEE42" w14:textId="2256F71C" w:rsidR="00D74559" w:rsidRPr="00981B12" w:rsidRDefault="00D74559" w:rsidP="009C71D7">
      <w:pPr>
        <w:pStyle w:val="BulletLevel1"/>
      </w:pPr>
      <w:r>
        <w:t xml:space="preserve">capable of planning, managing, and reporting </w:t>
      </w:r>
      <w:r w:rsidR="00CD421D">
        <w:t>attendance</w:t>
      </w:r>
      <w:r>
        <w:t>, and</w:t>
      </w:r>
    </w:p>
    <w:p w14:paraId="13CA109A" w14:textId="77777777" w:rsidR="00D74559" w:rsidRPr="00981B12" w:rsidRDefault="00D74559" w:rsidP="009C71D7">
      <w:pPr>
        <w:pStyle w:val="BulletLevel1"/>
      </w:pPr>
      <w:r w:rsidRPr="202AFE3D">
        <w:t xml:space="preserve">able to use the Workforce Australia website or Workforce Australia App themselves, or with the </w:t>
      </w:r>
      <w:r>
        <w:t>appropriate</w:t>
      </w:r>
      <w:r w:rsidRPr="202AFE3D">
        <w:t xml:space="preserve"> support, to report the tasks and activities they have completed.</w:t>
      </w:r>
    </w:p>
    <w:p w14:paraId="49EBA761" w14:textId="77777777" w:rsidR="00D74559" w:rsidRPr="00981B12" w:rsidRDefault="00D74559" w:rsidP="00A50184">
      <w:pPr>
        <w:keepNext/>
      </w:pPr>
      <w:r w:rsidRPr="202AFE3D">
        <w:t xml:space="preserve">This would include if the Participant </w:t>
      </w:r>
      <w:bookmarkStart w:id="248" w:name="_Int_wXb0wd33"/>
      <w:r w:rsidRPr="202AFE3D">
        <w:t>has</w:t>
      </w:r>
      <w:bookmarkEnd w:id="248"/>
      <w:r w:rsidRPr="202AFE3D">
        <w:t>:</w:t>
      </w:r>
    </w:p>
    <w:p w14:paraId="7081205B" w14:textId="54609D42" w:rsidR="00D74559" w:rsidRPr="00981B12" w:rsidRDefault="00D74559" w:rsidP="004E120D">
      <w:pPr>
        <w:pStyle w:val="BulletLevel1"/>
      </w:pPr>
      <w:r w:rsidRPr="202AFE3D">
        <w:t>connected their my</w:t>
      </w:r>
      <w:r>
        <w:t>Gov</w:t>
      </w:r>
      <w:r w:rsidRPr="202AFE3D">
        <w:t xml:space="preserve"> profile to their Workforce Australia account or is willing to do so</w:t>
      </w:r>
      <w:r>
        <w:t xml:space="preserve"> </w:t>
      </w:r>
      <w:r w:rsidR="007E00B6">
        <w:t xml:space="preserve">— refer to </w:t>
      </w:r>
      <w:r w:rsidR="007E00B6">
        <w:fldChar w:fldCharType="begin"/>
      </w:r>
      <w:r w:rsidR="007E00B6">
        <w:instrText xml:space="preserve"> REF _Ref202790894 \h </w:instrText>
      </w:r>
      <w:r w:rsidR="007E00B6">
        <w:fldChar w:fldCharType="separate"/>
      </w:r>
      <w:r w:rsidR="000D75AE" w:rsidRPr="362FEA09">
        <w:t>3.3.1</w:t>
      </w:r>
      <w:r w:rsidR="00A31574">
        <w:t xml:space="preserve"> </w:t>
      </w:r>
      <w:r w:rsidR="000D75AE">
        <w:t>C</w:t>
      </w:r>
      <w:r w:rsidR="000D75AE" w:rsidRPr="00EE4616">
        <w:t>onnecting Participants to Workforce Australia Online profiles</w:t>
      </w:r>
      <w:r w:rsidR="007E00B6">
        <w:fldChar w:fldCharType="end"/>
      </w:r>
    </w:p>
    <w:p w14:paraId="24C34762" w14:textId="77777777" w:rsidR="00D74559" w:rsidRPr="00981B12" w:rsidRDefault="00D74559" w:rsidP="004E120D">
      <w:pPr>
        <w:pStyle w:val="BulletLevel1"/>
      </w:pPr>
      <w:r>
        <w:t>an ability to:</w:t>
      </w:r>
    </w:p>
    <w:p w14:paraId="72964C0C" w14:textId="77777777" w:rsidR="00D74559" w:rsidRPr="0098549B" w:rsidRDefault="00D74559" w:rsidP="004E120D">
      <w:pPr>
        <w:pStyle w:val="BulletLevel2"/>
      </w:pPr>
      <w:r w:rsidRPr="0098549B">
        <w:t xml:space="preserve">log on to the </w:t>
      </w:r>
      <w:r w:rsidRPr="002A3B4D">
        <w:t xml:space="preserve">Workforce Australia website and/or </w:t>
      </w:r>
      <w:r>
        <w:t>A</w:t>
      </w:r>
      <w:r w:rsidRPr="002A3B4D">
        <w:t>pp</w:t>
      </w:r>
    </w:p>
    <w:p w14:paraId="0AF05336" w14:textId="77777777" w:rsidR="00D74559" w:rsidRPr="0098549B" w:rsidRDefault="00D74559" w:rsidP="004E120D">
      <w:pPr>
        <w:pStyle w:val="BulletLevel2"/>
      </w:pPr>
      <w:r w:rsidRPr="0098549B">
        <w:t xml:space="preserve">view their </w:t>
      </w:r>
      <w:r>
        <w:t>homepage, and</w:t>
      </w:r>
    </w:p>
    <w:p w14:paraId="40B4F2FE" w14:textId="061FCA0D" w:rsidR="00D74559" w:rsidRPr="00A071FC" w:rsidRDefault="00D74559" w:rsidP="004E120D">
      <w:pPr>
        <w:pStyle w:val="BulletLevel2"/>
      </w:pPr>
      <w:r w:rsidRPr="0098549B">
        <w:t xml:space="preserve">report their </w:t>
      </w:r>
      <w:r>
        <w:t xml:space="preserve">own </w:t>
      </w:r>
      <w:r w:rsidR="00A66A95">
        <w:t>attendance</w:t>
      </w:r>
      <w:r w:rsidRPr="0098549B">
        <w:t xml:space="preserve"> </w:t>
      </w:r>
      <w:r w:rsidR="00A66A95">
        <w:t>at</w:t>
      </w:r>
      <w:r>
        <w:t xml:space="preserve"> Activities and Job Interviews</w:t>
      </w:r>
    </w:p>
    <w:p w14:paraId="78DAD2D6" w14:textId="08C520F8" w:rsidR="00D74559" w:rsidRPr="00AD19C3" w:rsidRDefault="00D74559" w:rsidP="004E120D">
      <w:pPr>
        <w:pStyle w:val="BulletLevel1"/>
      </w:pPr>
      <w:r>
        <w:t xml:space="preserve">reliable access to technology — such as a computer or smartphone and connection to the internet — that would allow them to </w:t>
      </w:r>
      <w:r w:rsidR="00C85485">
        <w:t>self-report</w:t>
      </w:r>
      <w:r>
        <w:t>, and</w:t>
      </w:r>
    </w:p>
    <w:p w14:paraId="7DD75067" w14:textId="77777777" w:rsidR="00D74559" w:rsidRPr="00AD19C3" w:rsidRDefault="00D74559" w:rsidP="004E120D">
      <w:pPr>
        <w:pStyle w:val="BulletLevel1"/>
      </w:pPr>
      <w:r>
        <w:t>an understanding of:</w:t>
      </w:r>
    </w:p>
    <w:p w14:paraId="48347894" w14:textId="1C478E00" w:rsidR="00D74559" w:rsidRDefault="00D74559" w:rsidP="004E120D">
      <w:pPr>
        <w:pStyle w:val="BulletLevel2"/>
      </w:pPr>
      <w:r w:rsidRPr="00AD19C3">
        <w:t xml:space="preserve">what they need to </w:t>
      </w:r>
      <w:r w:rsidR="00313374">
        <w:t>self-</w:t>
      </w:r>
      <w:r w:rsidRPr="00AD19C3">
        <w:t xml:space="preserve">report </w:t>
      </w:r>
    </w:p>
    <w:p w14:paraId="200294AB" w14:textId="65DB6230" w:rsidR="00D74559" w:rsidRPr="00AD19C3" w:rsidRDefault="00D74559" w:rsidP="004E120D">
      <w:pPr>
        <w:pStyle w:val="BulletLevel2"/>
      </w:pPr>
      <w:r w:rsidRPr="00AD19C3">
        <w:t xml:space="preserve">how to </w:t>
      </w:r>
      <w:r w:rsidR="00313374">
        <w:t>self-</w:t>
      </w:r>
      <w:r w:rsidRPr="00AD19C3">
        <w:t>report</w:t>
      </w:r>
      <w:r>
        <w:t xml:space="preserve"> their own attendance</w:t>
      </w:r>
    </w:p>
    <w:p w14:paraId="1E0E21DD" w14:textId="3458D560" w:rsidR="00D74559" w:rsidRDefault="00D74559" w:rsidP="004E120D">
      <w:pPr>
        <w:pStyle w:val="BulletLevel2"/>
        <w:rPr>
          <w:spacing w:val="0"/>
        </w:rPr>
      </w:pPr>
      <w:r>
        <w:t xml:space="preserve">that they must </w:t>
      </w:r>
      <w:r w:rsidR="00F97786">
        <w:t xml:space="preserve">self-report </w:t>
      </w:r>
      <w:r>
        <w:t>by close of business on the day of the requirement</w:t>
      </w:r>
    </w:p>
    <w:p w14:paraId="1F35E88A" w14:textId="77777777" w:rsidR="00D74559" w:rsidRDefault="00D74559" w:rsidP="004E120D">
      <w:pPr>
        <w:pStyle w:val="BulletLevel2"/>
      </w:pPr>
      <w:r>
        <w:t>what to do and who to contact if they cannot record their own attendance on a given day, and</w:t>
      </w:r>
    </w:p>
    <w:p w14:paraId="7226B405" w14:textId="648F94C5" w:rsidR="00D74559" w:rsidRPr="00AD19C3" w:rsidRDefault="00D74559" w:rsidP="004E120D">
      <w:pPr>
        <w:pStyle w:val="BulletLevel2"/>
      </w:pPr>
      <w:r>
        <w:t xml:space="preserve">the consequences of not </w:t>
      </w:r>
      <w:r w:rsidR="00AE449B">
        <w:t>self-</w:t>
      </w:r>
      <w:r>
        <w:t>reporting their own attendance if they are required to do so.</w:t>
      </w:r>
    </w:p>
    <w:p w14:paraId="1F7C353C" w14:textId="026302FE" w:rsidR="00D74559" w:rsidRPr="00BA23D8" w:rsidRDefault="00D74559" w:rsidP="000335E0">
      <w:pPr>
        <w:pStyle w:val="Heading2"/>
      </w:pPr>
      <w:bookmarkStart w:id="249" w:name="_Ref202784175"/>
      <w:bookmarkStart w:id="250" w:name="_Toc202899977"/>
      <w:r w:rsidRPr="00BA23D8">
        <w:t>Chapter 6</w:t>
      </w:r>
      <w:r w:rsidR="00A61FB9">
        <w:t>:</w:t>
      </w:r>
      <w:r w:rsidR="00ED42D0">
        <w:tab/>
      </w:r>
      <w:r w:rsidRPr="00BA23D8">
        <w:t>Pre-Employment Support</w:t>
      </w:r>
      <w:bookmarkEnd w:id="249"/>
      <w:bookmarkEnd w:id="250"/>
    </w:p>
    <w:p w14:paraId="7B13053A" w14:textId="77777777" w:rsidR="00D74559" w:rsidRPr="00ED42D0" w:rsidRDefault="00D74559" w:rsidP="001D0F92">
      <w:pPr>
        <w:pStyle w:val="Heading-SupportingDocuments"/>
        <w:rPr>
          <w:rStyle w:val="Emphasis"/>
          <w:b/>
          <w:bCs w:val="0"/>
          <w:iCs w:val="0"/>
          <w:spacing w:val="3"/>
        </w:rPr>
      </w:pPr>
      <w:r w:rsidRPr="00ED42D0">
        <w:rPr>
          <w:rStyle w:val="Emphasis"/>
          <w:b/>
          <w:iCs w:val="0"/>
          <w:spacing w:val="3"/>
        </w:rPr>
        <w:t>Supporting Documents for this Chapter</w:t>
      </w:r>
    </w:p>
    <w:p w14:paraId="2BC1BBD2" w14:textId="0DC9DCB3" w:rsidR="00485080" w:rsidRDefault="00485080" w:rsidP="00485080">
      <w:pPr>
        <w:pStyle w:val="Bullet-SupportingDocument"/>
        <w:rPr>
          <w:rStyle w:val="Hyperlink"/>
        </w:rPr>
      </w:pPr>
      <w:r w:rsidRPr="00E85864">
        <w:rPr>
          <w:rStyle w:val="Hyperlink"/>
        </w:rPr>
        <w:t>Meaningful exchange of email or text messages Provider Fact Sheet</w:t>
      </w:r>
      <w:r w:rsidR="00A50184">
        <w:rPr>
          <w:rStyle w:val="Hyperlink"/>
        </w:rPr>
        <w:t xml:space="preserve"> [LINK]</w:t>
      </w:r>
    </w:p>
    <w:p w14:paraId="3CF36ED9" w14:textId="53911051" w:rsidR="00957D9F" w:rsidRPr="00E85864" w:rsidRDefault="00957D9F" w:rsidP="00485080">
      <w:pPr>
        <w:pStyle w:val="Bullet-SupportingDocument"/>
        <w:rPr>
          <w:rStyle w:val="Hyperlink"/>
        </w:rPr>
      </w:pPr>
      <w:r>
        <w:rPr>
          <w:rStyle w:val="Hyperlink"/>
        </w:rPr>
        <w:t>Sample Relocation Assistance Agreement</w:t>
      </w:r>
      <w:r w:rsidR="00A50184">
        <w:rPr>
          <w:rStyle w:val="Hyperlink"/>
        </w:rPr>
        <w:t xml:space="preserve"> [LINK]</w:t>
      </w:r>
    </w:p>
    <w:p w14:paraId="10631A40" w14:textId="532E5669" w:rsidR="00D74559" w:rsidRPr="00271575" w:rsidRDefault="00D74559" w:rsidP="001D0F92">
      <w:pPr>
        <w:pStyle w:val="Heading3"/>
        <w:rPr>
          <w:rStyle w:val="Heading2Char1"/>
          <w:rFonts w:asciiTheme="majorHAnsi" w:hAnsiTheme="majorHAnsi"/>
          <w:i w:val="0"/>
          <w:color w:val="005A70" w:themeColor="accent1"/>
          <w:sz w:val="32"/>
          <w:szCs w:val="24"/>
        </w:rPr>
      </w:pPr>
      <w:bookmarkStart w:id="251" w:name="_Toc202899978"/>
      <w:r w:rsidRPr="00271575">
        <w:rPr>
          <w:rStyle w:val="Heading2Char1"/>
          <w:rFonts w:asciiTheme="majorHAnsi" w:hAnsiTheme="majorHAnsi"/>
          <w:i w:val="0"/>
          <w:color w:val="005A70" w:themeColor="accent1"/>
          <w:sz w:val="32"/>
          <w:szCs w:val="24"/>
        </w:rPr>
        <w:t>6.1</w:t>
      </w:r>
      <w:r w:rsidR="00ED42D0">
        <w:rPr>
          <w:rStyle w:val="Heading2Char1"/>
          <w:rFonts w:asciiTheme="majorHAnsi" w:hAnsiTheme="majorHAnsi"/>
          <w:i w:val="0"/>
          <w:color w:val="005A70" w:themeColor="accent1"/>
          <w:sz w:val="32"/>
          <w:szCs w:val="24"/>
        </w:rPr>
        <w:tab/>
      </w:r>
      <w:r w:rsidRPr="00271575">
        <w:rPr>
          <w:rStyle w:val="Heading2Char1"/>
          <w:rFonts w:asciiTheme="majorHAnsi" w:hAnsiTheme="majorHAnsi"/>
          <w:i w:val="0"/>
          <w:color w:val="005A70" w:themeColor="accent1"/>
          <w:sz w:val="32"/>
          <w:szCs w:val="24"/>
        </w:rPr>
        <w:t>Chapter Overview</w:t>
      </w:r>
      <w:bookmarkEnd w:id="251"/>
    </w:p>
    <w:p w14:paraId="44F2CA23" w14:textId="1500B3F8" w:rsidR="00D74559" w:rsidRDefault="00D74559" w:rsidP="006E2EF5">
      <w:r w:rsidRPr="02295749">
        <w:t xml:space="preserve">Pre-Employment Support is delivered by Providers to </w:t>
      </w:r>
      <w:r w:rsidR="0077428F">
        <w:t>help</w:t>
      </w:r>
      <w:r w:rsidR="0077428F" w:rsidRPr="02295749">
        <w:t xml:space="preserve"> </w:t>
      </w:r>
      <w:r w:rsidRPr="02295749">
        <w:t xml:space="preserve">Participants gain </w:t>
      </w:r>
      <w:r w:rsidR="00183846">
        <w:t xml:space="preserve">the necessary </w:t>
      </w:r>
      <w:r w:rsidRPr="02295749">
        <w:t>skills and confidence to look for Employment</w:t>
      </w:r>
      <w:r w:rsidR="0096250B">
        <w:t xml:space="preserve">, identify </w:t>
      </w:r>
      <w:r w:rsidR="00723A64">
        <w:t>suitable employers</w:t>
      </w:r>
      <w:r w:rsidR="00E77E2B">
        <w:t>,</w:t>
      </w:r>
      <w:r w:rsidR="00723A64">
        <w:t xml:space="preserve"> and facilitate job matching with relevant supports</w:t>
      </w:r>
      <w:r w:rsidRPr="02295749">
        <w:t>.</w:t>
      </w:r>
    </w:p>
    <w:p w14:paraId="36EF1BDF" w14:textId="408019CC" w:rsidR="00D90598" w:rsidRPr="0079425F" w:rsidRDefault="00D90598" w:rsidP="0079425F">
      <w:pPr>
        <w:rPr>
          <w:rFonts w:cstheme="minorHAnsi"/>
        </w:rPr>
      </w:pPr>
      <w:r w:rsidRPr="0079425F">
        <w:rPr>
          <w:rFonts w:cstheme="minorHAnsi"/>
        </w:rPr>
        <w:t xml:space="preserve">Pre-Employment Support </w:t>
      </w:r>
      <w:r w:rsidR="00B453D3">
        <w:rPr>
          <w:rFonts w:cstheme="minorHAnsi"/>
        </w:rPr>
        <w:t>comprises</w:t>
      </w:r>
      <w:r w:rsidRPr="0079425F">
        <w:rPr>
          <w:rFonts w:cstheme="minorHAnsi"/>
        </w:rPr>
        <w:t>:</w:t>
      </w:r>
    </w:p>
    <w:p w14:paraId="0E0D0B2A" w14:textId="5ADE013C" w:rsidR="00D90598" w:rsidRPr="0079425F" w:rsidRDefault="00D90598" w:rsidP="00FC127C">
      <w:pPr>
        <w:pStyle w:val="BulletLevel1"/>
      </w:pPr>
      <w:r w:rsidRPr="0079425F">
        <w:t xml:space="preserve">Intensive Services </w:t>
      </w:r>
      <w:r w:rsidR="00B453D3">
        <w:t xml:space="preserve">for </w:t>
      </w:r>
      <w:r w:rsidRPr="0079425F">
        <w:t>Participants who are able to regularly engage in a full range of services, supports and activities that will help them to prepare for and find work. Intensive Services have 2 phases:</w:t>
      </w:r>
    </w:p>
    <w:p w14:paraId="2571F2DF" w14:textId="77777777" w:rsidR="00D90598" w:rsidRPr="0079425F" w:rsidRDefault="00D90598" w:rsidP="00FC127C">
      <w:pPr>
        <w:pStyle w:val="BulletLevel2"/>
      </w:pPr>
      <w:r w:rsidRPr="0079425F">
        <w:t xml:space="preserve">Work Preparation phase for Participants who need to address Vocational and Non-Vocational Barriers to build their work readiness; and </w:t>
      </w:r>
    </w:p>
    <w:p w14:paraId="1F7F19B9" w14:textId="77777777" w:rsidR="00D90598" w:rsidRPr="0079425F" w:rsidRDefault="00D90598" w:rsidP="00FC127C">
      <w:pPr>
        <w:pStyle w:val="BulletLevel2"/>
      </w:pPr>
      <w:r w:rsidRPr="0079425F">
        <w:t xml:space="preserve">Job Search phase for Participants who are closer to gaining Employment. </w:t>
      </w:r>
    </w:p>
    <w:p w14:paraId="0A21E91C" w14:textId="6A0422E9" w:rsidR="0038643B" w:rsidRPr="00F962B1" w:rsidRDefault="00D90598" w:rsidP="00FC127C">
      <w:pPr>
        <w:pStyle w:val="BulletLevel1"/>
      </w:pPr>
      <w:r w:rsidRPr="00F962B1">
        <w:t>Flexible Services for Participants engaged in work and/or Activities or who are otherwise not able to participate in the Intensive Service due to their personal or family circumstances.</w:t>
      </w:r>
    </w:p>
    <w:p w14:paraId="520F7DDF" w14:textId="77777777" w:rsidR="00D44972" w:rsidRDefault="00D44972" w:rsidP="006E2EF5">
      <w:pPr>
        <w:rPr>
          <w:rFonts w:cstheme="minorHAnsi"/>
          <w:szCs w:val="22"/>
        </w:rPr>
      </w:pPr>
      <w:r>
        <w:t xml:space="preserve">Participants will be in one of the two </w:t>
      </w:r>
      <w:r w:rsidRPr="00CA2AAF">
        <w:rPr>
          <w:rFonts w:cstheme="minorHAnsi"/>
          <w:szCs w:val="22"/>
        </w:rPr>
        <w:t xml:space="preserve">Pre-Employment Support </w:t>
      </w:r>
      <w:r>
        <w:rPr>
          <w:rFonts w:cstheme="minorHAnsi"/>
          <w:szCs w:val="22"/>
        </w:rPr>
        <w:t xml:space="preserve">Services at any time. </w:t>
      </w:r>
    </w:p>
    <w:p w14:paraId="259A7839" w14:textId="0CED1E51" w:rsidR="009C16D8" w:rsidRPr="002A5ACD" w:rsidRDefault="009C16D8" w:rsidP="009C16D8">
      <w:pPr>
        <w:pStyle w:val="BulletLevel1"/>
        <w:numPr>
          <w:ilvl w:val="0"/>
          <w:numId w:val="0"/>
        </w:numPr>
      </w:pPr>
      <w:r>
        <w:t xml:space="preserve">During Pre-Employment Support Providers will deliver Activities to support Participants and may offer Wage Subsidies to help place them into suitable Employment. For more information refer to </w:t>
      </w:r>
      <w:r w:rsidR="007E00B6">
        <w:fldChar w:fldCharType="begin"/>
      </w:r>
      <w:r w:rsidR="007E00B6">
        <w:instrText xml:space="preserve"> REF _Ref202791022 \h </w:instrText>
      </w:r>
      <w:r w:rsidR="007E00B6">
        <w:fldChar w:fldCharType="separate"/>
      </w:r>
      <w:r w:rsidR="000D75AE" w:rsidRPr="00BA23D8">
        <w:t>Chapter</w:t>
      </w:r>
      <w:r w:rsidR="00A31574">
        <w:t xml:space="preserve"> </w:t>
      </w:r>
      <w:r w:rsidR="000D75AE" w:rsidRPr="00BA23D8">
        <w:t>7</w:t>
      </w:r>
      <w:r w:rsidR="000D75AE">
        <w:t xml:space="preserve">: </w:t>
      </w:r>
      <w:r w:rsidR="000D75AE" w:rsidRPr="00BA23D8">
        <w:t>Activities</w:t>
      </w:r>
      <w:r w:rsidR="007E00B6">
        <w:fldChar w:fldCharType="end"/>
      </w:r>
      <w:r w:rsidR="007E00B6">
        <w:t xml:space="preserve"> and </w:t>
      </w:r>
      <w:r w:rsidR="007E00B6">
        <w:fldChar w:fldCharType="begin"/>
      </w:r>
      <w:r w:rsidR="007E00B6">
        <w:instrText xml:space="preserve"> REF _Ref202791026 \h </w:instrText>
      </w:r>
      <w:r w:rsidR="007E00B6">
        <w:fldChar w:fldCharType="separate"/>
      </w:r>
      <w:r w:rsidR="000D75AE" w:rsidRPr="4F3EABBB">
        <w:rPr>
          <w:lang w:eastAsia="en-AU"/>
        </w:rPr>
        <w:t>Chapter</w:t>
      </w:r>
      <w:r w:rsidR="000D75AE" w:rsidRPr="4F3EABBB">
        <w:rPr>
          <w:rStyle w:val="Emphasis"/>
        </w:rPr>
        <w:t xml:space="preserve"> </w:t>
      </w:r>
      <w:r w:rsidR="000D75AE" w:rsidRPr="4F3EABBB">
        <w:rPr>
          <w:lang w:eastAsia="en-AU"/>
        </w:rPr>
        <w:t>8:</w:t>
      </w:r>
      <w:r w:rsidR="00A31574">
        <w:rPr>
          <w:lang w:eastAsia="en-AU"/>
        </w:rPr>
        <w:t xml:space="preserve"> </w:t>
      </w:r>
      <w:r w:rsidR="000D75AE" w:rsidRPr="4F3EABBB">
        <w:rPr>
          <w:lang w:eastAsia="en-AU"/>
        </w:rPr>
        <w:t>Wage Subsidies</w:t>
      </w:r>
      <w:r w:rsidR="007E00B6">
        <w:fldChar w:fldCharType="end"/>
      </w:r>
      <w:r w:rsidR="007E00B6">
        <w:t>.</w:t>
      </w:r>
    </w:p>
    <w:p w14:paraId="39C21758" w14:textId="458006FF" w:rsidR="00D74559" w:rsidRDefault="007E00B6" w:rsidP="006E2EF5">
      <w:r>
        <w:t>This Chapter</w:t>
      </w:r>
      <w:r w:rsidR="00D74559">
        <w:t xml:space="preserve"> outlines Pre-Employment Support to Participants and Employers including:</w:t>
      </w:r>
    </w:p>
    <w:p w14:paraId="66064F87" w14:textId="67BD0064" w:rsidR="00D74559" w:rsidRPr="002A5ACD" w:rsidRDefault="005D5596" w:rsidP="004E120D">
      <w:pPr>
        <w:pStyle w:val="BulletLevel1"/>
      </w:pPr>
      <w:r>
        <w:t xml:space="preserve">whether </w:t>
      </w:r>
      <w:r w:rsidR="00D74559" w:rsidRPr="002A5ACD">
        <w:t>Participant</w:t>
      </w:r>
      <w:r>
        <w:t>s</w:t>
      </w:r>
      <w:r w:rsidR="00D74559" w:rsidRPr="002A5ACD">
        <w:t xml:space="preserve"> may be placed in</w:t>
      </w:r>
      <w:r>
        <w:t xml:space="preserve"> </w:t>
      </w:r>
      <w:r w:rsidR="00071C16">
        <w:t xml:space="preserve">the </w:t>
      </w:r>
      <w:r>
        <w:t>Intensive or Flexible Service</w:t>
      </w:r>
    </w:p>
    <w:p w14:paraId="0FE6F242" w14:textId="58C4F569" w:rsidR="00331D7C" w:rsidRDefault="00D74559" w:rsidP="004E120D">
      <w:pPr>
        <w:pStyle w:val="BulletLevel1"/>
      </w:pPr>
      <w:r>
        <w:t xml:space="preserve">movement between </w:t>
      </w:r>
      <w:r w:rsidR="00B02366">
        <w:t>Pre-Employment</w:t>
      </w:r>
      <w:r>
        <w:t xml:space="preserve"> S</w:t>
      </w:r>
      <w:r w:rsidR="006A7394">
        <w:t xml:space="preserve">upport </w:t>
      </w:r>
      <w:r>
        <w:t xml:space="preserve">Services </w:t>
      </w:r>
    </w:p>
    <w:p w14:paraId="1B25CF9A" w14:textId="3EFADCDB" w:rsidR="00D74559" w:rsidRDefault="00331D7C" w:rsidP="004E120D">
      <w:pPr>
        <w:pStyle w:val="BulletLevel1"/>
      </w:pPr>
      <w:r>
        <w:t xml:space="preserve">movement between Intensive Service </w:t>
      </w:r>
      <w:r w:rsidR="00D74559">
        <w:t>phases</w:t>
      </w:r>
    </w:p>
    <w:p w14:paraId="149A0D75" w14:textId="77777777" w:rsidR="00D74559" w:rsidRDefault="00D74559" w:rsidP="004E120D">
      <w:pPr>
        <w:pStyle w:val="BulletLevel1"/>
      </w:pPr>
      <w:r>
        <w:t>the types of supports that may be provided to Participants</w:t>
      </w:r>
    </w:p>
    <w:p w14:paraId="7502F20E" w14:textId="77777777" w:rsidR="00D74559" w:rsidRDefault="00D74559" w:rsidP="004E120D">
      <w:pPr>
        <w:pStyle w:val="BulletLevel1"/>
      </w:pPr>
      <w:r>
        <w:t>Contacts with Participants, including the use of interpreter services</w:t>
      </w:r>
    </w:p>
    <w:p w14:paraId="0D0CF7E7" w14:textId="02401752" w:rsidR="00D74559" w:rsidRDefault="00D74559" w:rsidP="004E120D">
      <w:pPr>
        <w:pStyle w:val="BulletLevel1"/>
      </w:pPr>
      <w:r>
        <w:t>monitoring Participant progress and attendance</w:t>
      </w:r>
    </w:p>
    <w:p w14:paraId="10D6C1B9" w14:textId="0855BE3F" w:rsidR="000476EA" w:rsidRPr="003D36A6" w:rsidRDefault="000476EA" w:rsidP="004E120D">
      <w:pPr>
        <w:pStyle w:val="BulletLevel1"/>
      </w:pPr>
      <w:r w:rsidRPr="003D36A6">
        <w:t>Relocation Assistance to Take Up a Job</w:t>
      </w:r>
      <w:r w:rsidR="002F04B4">
        <w:t xml:space="preserve"> (Relocation Assistance)</w:t>
      </w:r>
      <w:r w:rsidRPr="003D36A6">
        <w:t>, and</w:t>
      </w:r>
    </w:p>
    <w:p w14:paraId="458F1349" w14:textId="77777777" w:rsidR="00D74559" w:rsidRDefault="00D74559" w:rsidP="004E120D">
      <w:pPr>
        <w:pStyle w:val="BulletLevel1"/>
      </w:pPr>
      <w:r>
        <w:t>Employer engagement and support.</w:t>
      </w:r>
    </w:p>
    <w:p w14:paraId="79AFF682" w14:textId="3A1F7DBE" w:rsidR="00F11854" w:rsidRDefault="00F11854" w:rsidP="007013A5">
      <w:r>
        <w:t xml:space="preserve">Providers receive Service </w:t>
      </w:r>
      <w:r w:rsidR="007013A5">
        <w:t xml:space="preserve">Fees </w:t>
      </w:r>
      <w:r>
        <w:t xml:space="preserve">while Participants are receiving Pre-Employment Support — refer to </w:t>
      </w:r>
      <w:r w:rsidR="00A31574">
        <w:fldChar w:fldCharType="begin"/>
      </w:r>
      <w:r w:rsidR="00A31574">
        <w:instrText xml:space="preserve"> REF _Ref202782945 \h </w:instrText>
      </w:r>
      <w:r w:rsidR="00A31574">
        <w:fldChar w:fldCharType="separate"/>
      </w:r>
      <w:r w:rsidR="00A31574">
        <w:t>Chapter 11: Payments to Providers</w:t>
      </w:r>
      <w:r w:rsidR="00A31574">
        <w:fldChar w:fldCharType="end"/>
      </w:r>
      <w:r>
        <w:fldChar w:fldCharType="begin"/>
      </w:r>
      <w:r>
        <w:instrText xml:space="preserve"> REF _Ref202881055 \h </w:instrText>
      </w:r>
      <w:r>
        <w:fldChar w:fldCharType="separate"/>
      </w:r>
      <w:r>
        <w:fldChar w:fldCharType="end"/>
      </w:r>
      <w:r>
        <w:t>.</w:t>
      </w:r>
    </w:p>
    <w:p w14:paraId="2BE2F9E7" w14:textId="67EE2132" w:rsidR="007013A5" w:rsidRDefault="00E47526" w:rsidP="007013A5">
      <w:r>
        <w:t xml:space="preserve">Other fees </w:t>
      </w:r>
      <w:r w:rsidR="007013A5">
        <w:t xml:space="preserve">available </w:t>
      </w:r>
      <w:r w:rsidR="009F2330">
        <w:t>while delivering</w:t>
      </w:r>
      <w:r w:rsidR="007013A5">
        <w:t xml:space="preserve"> </w:t>
      </w:r>
      <w:r>
        <w:t>Pre-Employment</w:t>
      </w:r>
      <w:r w:rsidR="00AB1A09">
        <w:t xml:space="preserve"> Support</w:t>
      </w:r>
      <w:r w:rsidR="007013A5">
        <w:t xml:space="preserve"> may include:</w:t>
      </w:r>
    </w:p>
    <w:p w14:paraId="3D99D23C" w14:textId="34ACF108" w:rsidR="007013A5" w:rsidRPr="00A809E1" w:rsidRDefault="007013A5" w:rsidP="00A809E1">
      <w:pPr>
        <w:pStyle w:val="BulletLevel1"/>
      </w:pPr>
      <w:r w:rsidRPr="00A809E1">
        <w:t>Progress Fees</w:t>
      </w:r>
      <w:r w:rsidR="00E47526" w:rsidRPr="00A809E1">
        <w:t xml:space="preserve"> </w:t>
      </w:r>
      <w:r w:rsidRPr="00A809E1">
        <w:t xml:space="preserve">— refer to </w:t>
      </w:r>
      <w:r w:rsidR="00A31574">
        <w:fldChar w:fldCharType="begin"/>
      </w:r>
      <w:r w:rsidR="00A31574">
        <w:instrText xml:space="preserve"> REF _Ref202782945 \h </w:instrText>
      </w:r>
      <w:r w:rsidR="00A31574">
        <w:fldChar w:fldCharType="separate"/>
      </w:r>
      <w:r w:rsidR="00A31574">
        <w:t>Chapter 11:</w:t>
      </w:r>
      <w:r w:rsidR="00A31574">
        <w:tab/>
        <w:t>Payments to Providers</w:t>
      </w:r>
      <w:r w:rsidR="00A31574">
        <w:fldChar w:fldCharType="end"/>
      </w:r>
      <w:r w:rsidR="00A809E1" w:rsidRPr="00A809E1">
        <w:fldChar w:fldCharType="begin"/>
      </w:r>
      <w:r w:rsidR="00A809E1" w:rsidRPr="00A809E1">
        <w:instrText xml:space="preserve"> REF _Ref202881355 \h </w:instrText>
      </w:r>
      <w:r w:rsidR="00A809E1">
        <w:instrText xml:space="preserve"> \* MERGEFORMAT </w:instrText>
      </w:r>
      <w:r w:rsidR="00A809E1" w:rsidRPr="00A809E1">
        <w:fldChar w:fldCharType="separate"/>
      </w:r>
      <w:r w:rsidR="00A809E1" w:rsidRPr="00A809E1">
        <w:fldChar w:fldCharType="end"/>
      </w:r>
      <w:r w:rsidR="00A809E1">
        <w:t>.</w:t>
      </w:r>
    </w:p>
    <w:p w14:paraId="1CE3C478" w14:textId="741982CA" w:rsidR="00D74559" w:rsidRPr="005C0D91" w:rsidRDefault="00D74559" w:rsidP="001D0F92">
      <w:pPr>
        <w:pStyle w:val="Heading3"/>
      </w:pPr>
      <w:bookmarkStart w:id="252" w:name="_Ref202784665"/>
      <w:bookmarkStart w:id="253" w:name="_Toc202899979"/>
      <w:r w:rsidRPr="1FF5C044">
        <w:rPr>
          <w:rStyle w:val="Heading2Char1"/>
          <w:rFonts w:asciiTheme="majorHAnsi" w:hAnsiTheme="majorHAnsi"/>
          <w:i w:val="0"/>
          <w:color w:val="005A70" w:themeColor="accent1"/>
          <w:sz w:val="32"/>
          <w:szCs w:val="32"/>
        </w:rPr>
        <w:t>6</w:t>
      </w:r>
      <w:r w:rsidRPr="005C0D91">
        <w:t>.2</w:t>
      </w:r>
      <w:r w:rsidR="00ED42D0">
        <w:tab/>
      </w:r>
      <w:r w:rsidRPr="005C0D91">
        <w:t>Pre-</w:t>
      </w:r>
      <w:r w:rsidR="5015BC5E">
        <w:t>E</w:t>
      </w:r>
      <w:r>
        <w:t>mployment</w:t>
      </w:r>
      <w:r w:rsidRPr="005C0D91">
        <w:t xml:space="preserve"> </w:t>
      </w:r>
      <w:r w:rsidR="005A11E0">
        <w:t>Support</w:t>
      </w:r>
      <w:bookmarkEnd w:id="252"/>
      <w:bookmarkEnd w:id="253"/>
      <w:r w:rsidR="00AA14C5">
        <w:t xml:space="preserve"> </w:t>
      </w:r>
    </w:p>
    <w:p w14:paraId="69D880FA" w14:textId="055074F9" w:rsidR="001A69C9" w:rsidRPr="00F539B0" w:rsidRDefault="001A69C9" w:rsidP="00185A0F">
      <w:pPr>
        <w:pStyle w:val="BulletLevel1"/>
        <w:numPr>
          <w:ilvl w:val="0"/>
          <w:numId w:val="0"/>
        </w:numPr>
      </w:pPr>
      <w:r w:rsidRPr="2524A882">
        <w:rPr>
          <w:lang w:val="en-GB"/>
        </w:rPr>
        <w:t xml:space="preserve">Pre-Employment Support is an important step in </w:t>
      </w:r>
      <w:r w:rsidR="007F28CF">
        <w:rPr>
          <w:lang w:val="en-GB"/>
        </w:rPr>
        <w:t>assisting</w:t>
      </w:r>
      <w:r w:rsidRPr="2524A882">
        <w:rPr>
          <w:lang w:val="en-GB"/>
        </w:rPr>
        <w:t xml:space="preserve"> the Participant to develop their skills and improve their capacity to find and keep a job. </w:t>
      </w:r>
      <w:r w:rsidR="0085455E" w:rsidRPr="2524A882">
        <w:rPr>
          <w:lang w:val="en-GB"/>
        </w:rPr>
        <w:t xml:space="preserve">Pre-Employment Support </w:t>
      </w:r>
      <w:r w:rsidR="00DF7303">
        <w:rPr>
          <w:lang w:val="en-GB"/>
        </w:rPr>
        <w:t>addresse</w:t>
      </w:r>
      <w:r w:rsidR="0085455E" w:rsidRPr="2524A882">
        <w:rPr>
          <w:lang w:val="en-GB"/>
        </w:rPr>
        <w:t xml:space="preserve">s </w:t>
      </w:r>
      <w:r w:rsidR="009E0335">
        <w:rPr>
          <w:lang w:val="en-GB"/>
        </w:rPr>
        <w:t xml:space="preserve">a Participant’s </w:t>
      </w:r>
      <w:r w:rsidR="0085455E" w:rsidRPr="2524A882">
        <w:rPr>
          <w:lang w:val="en-GB"/>
        </w:rPr>
        <w:t xml:space="preserve">Vocational and Non-Vocational Barriers to </w:t>
      </w:r>
      <w:r w:rsidR="0085455E">
        <w:rPr>
          <w:lang w:val="en-GB"/>
        </w:rPr>
        <w:t>E</w:t>
      </w:r>
      <w:r w:rsidR="0085455E" w:rsidRPr="2524A882">
        <w:rPr>
          <w:lang w:val="en-GB"/>
        </w:rPr>
        <w:t>mployment.</w:t>
      </w:r>
      <w:r w:rsidR="0085455E">
        <w:rPr>
          <w:lang w:val="en-GB"/>
        </w:rPr>
        <w:t xml:space="preserve"> </w:t>
      </w:r>
    </w:p>
    <w:p w14:paraId="3799841B" w14:textId="1DD15570" w:rsidR="00170725" w:rsidRDefault="00170725" w:rsidP="00F539B0">
      <w:pPr>
        <w:pStyle w:val="BulletLevel1"/>
        <w:numPr>
          <w:ilvl w:val="0"/>
          <w:numId w:val="0"/>
        </w:numPr>
        <w:rPr>
          <w:lang w:val="en-GB"/>
        </w:rPr>
      </w:pPr>
      <w:r>
        <w:rPr>
          <w:lang w:val="en-GB"/>
        </w:rPr>
        <w:t xml:space="preserve">A Participant who commences in </w:t>
      </w:r>
      <w:r w:rsidR="00353F8E">
        <w:rPr>
          <w:lang w:val="en-GB"/>
        </w:rPr>
        <w:t>Inclusive Employment Australia</w:t>
      </w:r>
      <w:r>
        <w:rPr>
          <w:lang w:val="en-GB"/>
        </w:rPr>
        <w:t xml:space="preserve"> will generally commence in </w:t>
      </w:r>
      <w:r w:rsidRPr="2524A882">
        <w:rPr>
          <w:lang w:val="en-GB"/>
        </w:rPr>
        <w:t>Pre-Employment Support</w:t>
      </w:r>
      <w:r w:rsidR="00404FF3">
        <w:rPr>
          <w:lang w:val="en-GB"/>
        </w:rPr>
        <w:t xml:space="preserve">. A </w:t>
      </w:r>
      <w:r w:rsidR="002D3A46">
        <w:rPr>
          <w:lang w:val="en-GB"/>
        </w:rPr>
        <w:t>P</w:t>
      </w:r>
      <w:r w:rsidR="00404FF3">
        <w:rPr>
          <w:lang w:val="en-GB"/>
        </w:rPr>
        <w:t>articipant</w:t>
      </w:r>
      <w:r w:rsidR="00BF4383">
        <w:rPr>
          <w:lang w:val="en-GB"/>
        </w:rPr>
        <w:t xml:space="preserve"> </w:t>
      </w:r>
      <w:r w:rsidR="00A92502">
        <w:rPr>
          <w:lang w:val="en-GB"/>
        </w:rPr>
        <w:t>may</w:t>
      </w:r>
      <w:r w:rsidR="00BF4383">
        <w:rPr>
          <w:lang w:val="en-GB"/>
        </w:rPr>
        <w:t xml:space="preserve"> </w:t>
      </w:r>
      <w:r w:rsidR="00CE20B3">
        <w:rPr>
          <w:lang w:val="en-GB"/>
        </w:rPr>
        <w:t>return</w:t>
      </w:r>
      <w:r w:rsidR="00596D37">
        <w:rPr>
          <w:lang w:val="en-GB"/>
        </w:rPr>
        <w:t xml:space="preserve"> </w:t>
      </w:r>
      <w:r w:rsidR="00D92201">
        <w:rPr>
          <w:lang w:val="en-GB"/>
        </w:rPr>
        <w:t xml:space="preserve">from In-Employment Support </w:t>
      </w:r>
      <w:r w:rsidR="00596D37">
        <w:rPr>
          <w:lang w:val="en-GB"/>
        </w:rPr>
        <w:t xml:space="preserve">to Pre-Employment Support </w:t>
      </w:r>
      <w:r w:rsidR="006B7538">
        <w:rPr>
          <w:lang w:val="en-GB"/>
        </w:rPr>
        <w:t xml:space="preserve">if they </w:t>
      </w:r>
      <w:r w:rsidR="00D071C8">
        <w:rPr>
          <w:lang w:val="en-GB"/>
        </w:rPr>
        <w:t>lose their Employment</w:t>
      </w:r>
      <w:r w:rsidRPr="1E85FC1D">
        <w:rPr>
          <w:lang w:val="en-GB"/>
        </w:rPr>
        <w:t>.</w:t>
      </w:r>
    </w:p>
    <w:p w14:paraId="68F4E71D" w14:textId="0AE42709" w:rsidR="00D74559" w:rsidRDefault="00D74559" w:rsidP="006E2EF5">
      <w:r>
        <w:t xml:space="preserve">Providers must deliver Pre-Employment Support to Participants while they are preparing </w:t>
      </w:r>
      <w:r w:rsidR="00CD41D8">
        <w:t xml:space="preserve">for </w:t>
      </w:r>
      <w:r>
        <w:t>and looking for work. A Provider must:</w:t>
      </w:r>
    </w:p>
    <w:p w14:paraId="1653343B" w14:textId="6DBA2B14" w:rsidR="00D74559" w:rsidRDefault="00D74559" w:rsidP="004E120D">
      <w:pPr>
        <w:pStyle w:val="BulletLevel1"/>
      </w:pPr>
      <w:r>
        <w:t>build a positive and trusting relationship with the Participant</w:t>
      </w:r>
    </w:p>
    <w:p w14:paraId="1107761B" w14:textId="1946E79C" w:rsidR="00D74559" w:rsidRDefault="00D74559" w:rsidP="004E120D">
      <w:pPr>
        <w:pStyle w:val="BulletLevel1"/>
      </w:pPr>
      <w:r>
        <w:t>develop an understanding of the Participant’s unique circumstances</w:t>
      </w:r>
    </w:p>
    <w:p w14:paraId="6AEAE8F7" w14:textId="10490351" w:rsidR="001F0F0D" w:rsidRDefault="00D74559" w:rsidP="004E120D">
      <w:pPr>
        <w:pStyle w:val="BulletLevel1"/>
      </w:pPr>
      <w:r>
        <w:t xml:space="preserve">explain the range of available </w:t>
      </w:r>
      <w:r w:rsidR="00353F8E">
        <w:t>Inclusive Employment Australia</w:t>
      </w:r>
      <w:r>
        <w:t xml:space="preserve"> </w:t>
      </w:r>
      <w:r w:rsidR="0032371C">
        <w:t>S</w:t>
      </w:r>
      <w:r>
        <w:t xml:space="preserve">ervices and Activities the Participant may </w:t>
      </w:r>
      <w:r w:rsidR="00A873FA">
        <w:t xml:space="preserve">choose to </w:t>
      </w:r>
      <w:r>
        <w:t>undertake</w:t>
      </w:r>
      <w:r w:rsidR="001F0F0D">
        <w:t>, and</w:t>
      </w:r>
    </w:p>
    <w:p w14:paraId="664AA5E6" w14:textId="6F41E729" w:rsidR="00D74559" w:rsidRDefault="003B57D2" w:rsidP="004E120D">
      <w:pPr>
        <w:pStyle w:val="BulletLevel1"/>
      </w:pPr>
      <w:r>
        <w:t xml:space="preserve">deliver a tailored </w:t>
      </w:r>
      <w:r w:rsidR="006633E7">
        <w:t>S</w:t>
      </w:r>
      <w:r>
        <w:t>ervice t</w:t>
      </w:r>
      <w:r w:rsidR="005D32DA">
        <w:t>hat</w:t>
      </w:r>
      <w:r>
        <w:t xml:space="preserve"> meet</w:t>
      </w:r>
      <w:r w:rsidR="00857263">
        <w:t>s</w:t>
      </w:r>
      <w:r>
        <w:t xml:space="preserve"> the</w:t>
      </w:r>
      <w:r w:rsidR="00857263">
        <w:t xml:space="preserve"> unique</w:t>
      </w:r>
      <w:r>
        <w:t xml:space="preserve"> </w:t>
      </w:r>
      <w:r w:rsidRPr="00877B04">
        <w:rPr>
          <w:lang w:val="en-GB"/>
        </w:rPr>
        <w:t>circumstances, skills, strengths and employment goals</w:t>
      </w:r>
      <w:r>
        <w:t xml:space="preserve"> of each individual</w:t>
      </w:r>
      <w:r w:rsidR="00CB0B84">
        <w:t xml:space="preserve"> Participant</w:t>
      </w:r>
      <w:r w:rsidR="00D74559">
        <w:t>.</w:t>
      </w:r>
    </w:p>
    <w:p w14:paraId="2AF65D58" w14:textId="6F530713" w:rsidR="00D74559" w:rsidRPr="009B7430" w:rsidRDefault="00D74559" w:rsidP="006E2EF5">
      <w:pPr>
        <w:rPr>
          <w:sz w:val="20"/>
          <w:szCs w:val="20"/>
        </w:rPr>
      </w:pPr>
      <w:r w:rsidRPr="0FE8CA8C">
        <w:rPr>
          <w:sz w:val="20"/>
          <w:szCs w:val="20"/>
        </w:rPr>
        <w:t>(</w:t>
      </w:r>
      <w:r w:rsidR="00A73420">
        <w:rPr>
          <w:sz w:val="20"/>
          <w:szCs w:val="20"/>
        </w:rPr>
        <w:t xml:space="preserve">Deed Reference(s): Clause </w:t>
      </w:r>
      <w:r w:rsidRPr="0FE8CA8C">
        <w:rPr>
          <w:sz w:val="20"/>
          <w:szCs w:val="20"/>
        </w:rPr>
        <w:t>113.1, 113.5)</w:t>
      </w:r>
    </w:p>
    <w:p w14:paraId="4867D5BB" w14:textId="68476673" w:rsidR="00D74559" w:rsidRDefault="00D74559" w:rsidP="001D0F92">
      <w:pPr>
        <w:pStyle w:val="Heading4"/>
      </w:pPr>
      <w:bookmarkStart w:id="254" w:name="_Toc202899980"/>
      <w:r>
        <w:t>6.2.1</w:t>
      </w:r>
      <w:r w:rsidR="00ED42D0">
        <w:tab/>
      </w:r>
      <w:r>
        <w:t>Intensive Service</w:t>
      </w:r>
      <w:bookmarkEnd w:id="254"/>
    </w:p>
    <w:p w14:paraId="527F3BD4" w14:textId="51C4F8BE" w:rsidR="00D74559" w:rsidRDefault="00D74559" w:rsidP="006E2EF5">
      <w:r w:rsidRPr="2524A882">
        <w:rPr>
          <w:lang w:val="en-GB"/>
        </w:rPr>
        <w:t xml:space="preserve">The Intensive Service is designed to support Participants who are ready to </w:t>
      </w:r>
      <w:r w:rsidR="00C24897">
        <w:rPr>
          <w:lang w:val="en-GB"/>
        </w:rPr>
        <w:t xml:space="preserve">fully </w:t>
      </w:r>
      <w:r w:rsidRPr="2524A882">
        <w:rPr>
          <w:lang w:val="en-GB"/>
        </w:rPr>
        <w:t xml:space="preserve">engage in Activities. </w:t>
      </w:r>
      <w:r w:rsidR="00757AAB">
        <w:rPr>
          <w:lang w:val="en-GB"/>
        </w:rPr>
        <w:t xml:space="preserve">It is expected that </w:t>
      </w:r>
      <w:r w:rsidR="002C22EC">
        <w:rPr>
          <w:lang w:val="en-GB"/>
        </w:rPr>
        <w:t>most</w:t>
      </w:r>
      <w:r w:rsidRPr="2524A882">
        <w:rPr>
          <w:lang w:val="en-GB"/>
        </w:rPr>
        <w:t xml:space="preserve"> Participants in Pre-Employment Support </w:t>
      </w:r>
      <w:r w:rsidR="00757AAB">
        <w:rPr>
          <w:lang w:val="en-GB"/>
        </w:rPr>
        <w:t>will</w:t>
      </w:r>
      <w:r w:rsidRPr="2524A882">
        <w:rPr>
          <w:lang w:val="en-GB"/>
        </w:rPr>
        <w:t xml:space="preserve"> take part in the Intensive Service.</w:t>
      </w:r>
      <w:r w:rsidR="009B0C80">
        <w:rPr>
          <w:lang w:val="en-GB"/>
        </w:rPr>
        <w:t xml:space="preserve"> It does not require </w:t>
      </w:r>
      <w:r w:rsidR="00C87DE9">
        <w:rPr>
          <w:lang w:val="en-GB"/>
        </w:rPr>
        <w:t>each</w:t>
      </w:r>
      <w:r w:rsidR="009B0C80">
        <w:rPr>
          <w:lang w:val="en-GB"/>
        </w:rPr>
        <w:t xml:space="preserve"> Participant to be </w:t>
      </w:r>
      <w:r w:rsidR="00C87DE9">
        <w:rPr>
          <w:lang w:val="en-GB"/>
        </w:rPr>
        <w:t>fully</w:t>
      </w:r>
      <w:r w:rsidR="009B0C80">
        <w:rPr>
          <w:lang w:val="en-GB"/>
        </w:rPr>
        <w:t xml:space="preserve"> ‘job-ready’.</w:t>
      </w:r>
    </w:p>
    <w:p w14:paraId="76270622" w14:textId="1CE29E7B" w:rsidR="00D74559" w:rsidRDefault="00D74559" w:rsidP="006E2EF5">
      <w:r>
        <w:t xml:space="preserve">To ensure Pre-Employment Support is better tailored to the </w:t>
      </w:r>
      <w:r w:rsidR="00C903E8">
        <w:t xml:space="preserve">unique </w:t>
      </w:r>
      <w:r>
        <w:t xml:space="preserve">circumstances and capacity of </w:t>
      </w:r>
      <w:r w:rsidR="00C903E8">
        <w:t xml:space="preserve">each </w:t>
      </w:r>
      <w:r>
        <w:t>Participant, the Intensive Service has two phases, Work Preparation and Job Search.</w:t>
      </w:r>
    </w:p>
    <w:p w14:paraId="5223498D" w14:textId="435A839A" w:rsidR="00D74559" w:rsidRDefault="00D74559" w:rsidP="006E2EF5">
      <w:r>
        <w:t xml:space="preserve">Placing a Participant in either phase </w:t>
      </w:r>
      <w:r w:rsidR="00904819">
        <w:t>makes it clear to both</w:t>
      </w:r>
      <w:r>
        <w:t xml:space="preserve"> </w:t>
      </w:r>
      <w:r w:rsidR="00832201">
        <w:t>the</w:t>
      </w:r>
      <w:r>
        <w:t xml:space="preserve"> Participant and Provider </w:t>
      </w:r>
      <w:r w:rsidR="009B0C80">
        <w:t xml:space="preserve">staff </w:t>
      </w:r>
      <w:r w:rsidR="00904819">
        <w:t>the</w:t>
      </w:r>
      <w:r>
        <w:t>:</w:t>
      </w:r>
    </w:p>
    <w:p w14:paraId="2EC98229" w14:textId="4D8C1954" w:rsidR="00D74559" w:rsidRDefault="00D74559" w:rsidP="004E120D">
      <w:pPr>
        <w:pStyle w:val="BulletLevel1"/>
      </w:pPr>
      <w:r>
        <w:t>stage the Participant is at on their pathway to employment</w:t>
      </w:r>
    </w:p>
    <w:p w14:paraId="039333DE" w14:textId="735283B5" w:rsidR="00D74559" w:rsidRDefault="00D74559" w:rsidP="004E120D">
      <w:pPr>
        <w:pStyle w:val="BulletLevel1"/>
      </w:pPr>
      <w:r>
        <w:t xml:space="preserve">types of supports and </w:t>
      </w:r>
      <w:r w:rsidR="006B6BEE">
        <w:t>S</w:t>
      </w:r>
      <w:r>
        <w:t>ervices the Participant can expect to receive, and</w:t>
      </w:r>
    </w:p>
    <w:p w14:paraId="41397E60" w14:textId="00004360" w:rsidR="00D74559" w:rsidRDefault="00D74559" w:rsidP="004E120D">
      <w:pPr>
        <w:pStyle w:val="BulletLevel1"/>
      </w:pPr>
      <w:r w:rsidRPr="02295749">
        <w:t xml:space="preserve">types of supports and </w:t>
      </w:r>
      <w:r w:rsidR="006B6BEE">
        <w:t>S</w:t>
      </w:r>
      <w:r w:rsidRPr="02295749">
        <w:t>ervices the Provider should</w:t>
      </w:r>
      <w:r w:rsidR="00C810C7">
        <w:t xml:space="preserve"> deliver</w:t>
      </w:r>
      <w:r w:rsidRPr="02295749">
        <w:t xml:space="preserve"> in consultation with the Participant</w:t>
      </w:r>
      <w:r w:rsidR="00C810C7">
        <w:t>.</w:t>
      </w:r>
      <w:r w:rsidR="007010DA">
        <w:t xml:space="preserve"> </w:t>
      </w:r>
    </w:p>
    <w:p w14:paraId="55B20197" w14:textId="77777777" w:rsidR="00D74559" w:rsidRDefault="00D74559" w:rsidP="006D1645">
      <w:pPr>
        <w:pStyle w:val="Heading5"/>
      </w:pPr>
      <w:r>
        <w:t>Work Preparation</w:t>
      </w:r>
    </w:p>
    <w:p w14:paraId="28F3DA18" w14:textId="14A64895" w:rsidR="00D74559" w:rsidRDefault="00D74559" w:rsidP="006E2EF5">
      <w:r w:rsidDel="00337351">
        <w:t xml:space="preserve">The Work Preparation phase is for Participants who </w:t>
      </w:r>
      <w:r w:rsidR="004517CB">
        <w:t xml:space="preserve">need support </w:t>
      </w:r>
      <w:r w:rsidR="001E382C">
        <w:t>to prepare</w:t>
      </w:r>
      <w:r w:rsidR="004517CB">
        <w:t xml:space="preserve"> for work and </w:t>
      </w:r>
      <w:r w:rsidDel="00337351">
        <w:t xml:space="preserve">are not yet ready to fully engage in </w:t>
      </w:r>
      <w:r w:rsidR="00970CA2">
        <w:t>j</w:t>
      </w:r>
      <w:r w:rsidDel="00337351">
        <w:t xml:space="preserve">ob </w:t>
      </w:r>
      <w:r w:rsidR="00970CA2">
        <w:t>s</w:t>
      </w:r>
      <w:r w:rsidDel="00337351">
        <w:t xml:space="preserve">earch activities. </w:t>
      </w:r>
      <w:r>
        <w:t>In this phase</w:t>
      </w:r>
      <w:r w:rsidR="00836D13">
        <w:t>,</w:t>
      </w:r>
      <w:r>
        <w:t xml:space="preserve"> Providers will focus</w:t>
      </w:r>
      <w:r w:rsidR="00B1133D">
        <w:t xml:space="preserve"> more</w:t>
      </w:r>
      <w:r>
        <w:t xml:space="preserve"> on </w:t>
      </w:r>
      <w:r w:rsidR="00B1133D">
        <w:t xml:space="preserve">supporting Participants to undertake </w:t>
      </w:r>
      <w:r w:rsidR="00C8243A">
        <w:t>w</w:t>
      </w:r>
      <w:r w:rsidR="0034108E">
        <w:t xml:space="preserve">ork </w:t>
      </w:r>
      <w:r w:rsidR="00C8243A">
        <w:t>p</w:t>
      </w:r>
      <w:r w:rsidR="0034108E">
        <w:t>reparation activities</w:t>
      </w:r>
      <w:r w:rsidR="00B74F35">
        <w:t xml:space="preserve"> </w:t>
      </w:r>
      <w:r w:rsidR="0034108E">
        <w:t xml:space="preserve">and </w:t>
      </w:r>
      <w:r>
        <w:t>ensur</w:t>
      </w:r>
      <w:r w:rsidR="00896310">
        <w:t>e</w:t>
      </w:r>
      <w:r>
        <w:t xml:space="preserve"> Participants receive more intensive supports to address Vocational and Non-Vocational Barriers to Employment</w:t>
      </w:r>
      <w:r w:rsidR="00B74F35">
        <w:t xml:space="preserve"> that</w:t>
      </w:r>
      <w:r>
        <w:t xml:space="preserve"> help build their </w:t>
      </w:r>
      <w:r w:rsidR="00427425">
        <w:t>Work Readiness.</w:t>
      </w:r>
    </w:p>
    <w:p w14:paraId="46660D94" w14:textId="51392D64" w:rsidR="004C576A" w:rsidRDefault="004C576A" w:rsidP="004C576A">
      <w:r w:rsidRPr="0042106C">
        <w:t xml:space="preserve">Work </w:t>
      </w:r>
      <w:r>
        <w:t>p</w:t>
      </w:r>
      <w:r w:rsidRPr="0042106C">
        <w:t xml:space="preserve">reparation activities </w:t>
      </w:r>
      <w:r>
        <w:t>are tasks and activities</w:t>
      </w:r>
      <w:r w:rsidRPr="0042106C">
        <w:t xml:space="preserve"> </w:t>
      </w:r>
      <w:r>
        <w:t>focused</w:t>
      </w:r>
      <w:r w:rsidRPr="0042106C">
        <w:t xml:space="preserve"> on preparing Participants for work, improving Work Readiness and/or increasing the prospects of finding Employment.</w:t>
      </w:r>
      <w:r>
        <w:t xml:space="preserve"> A Participant in the Work Preparation phase on a Detailed Job Plan is expected to </w:t>
      </w:r>
      <w:r w:rsidR="000315FC">
        <w:t>have</w:t>
      </w:r>
      <w:r>
        <w:t xml:space="preserve"> Code ET64 [Work Preparation] in their Job Plan to reflect their participation in work preparation activities. </w:t>
      </w:r>
    </w:p>
    <w:p w14:paraId="2DB5E3BC" w14:textId="4783F095" w:rsidR="002B6DE9" w:rsidRDefault="00D74559" w:rsidP="006E2EF5">
      <w:r w:rsidRPr="02295749">
        <w:t xml:space="preserve">Participants in the Work Preparation phase may also </w:t>
      </w:r>
      <w:r>
        <w:t>take part</w:t>
      </w:r>
      <w:r w:rsidRPr="02295749">
        <w:t xml:space="preserve"> in </w:t>
      </w:r>
      <w:r w:rsidR="002477F6">
        <w:t xml:space="preserve">some </w:t>
      </w:r>
      <w:r w:rsidR="004D01CC">
        <w:t xml:space="preserve">suitable </w:t>
      </w:r>
      <w:r w:rsidR="00970CA2">
        <w:t>j</w:t>
      </w:r>
      <w:r w:rsidRPr="02295749">
        <w:t xml:space="preserve">ob </w:t>
      </w:r>
      <w:r w:rsidR="00970CA2">
        <w:t>s</w:t>
      </w:r>
      <w:r w:rsidRPr="02295749">
        <w:t xml:space="preserve">earch activities </w:t>
      </w:r>
      <w:r w:rsidR="00D5233E">
        <w:t xml:space="preserve">where appropriate, </w:t>
      </w:r>
      <w:r w:rsidRPr="02295749">
        <w:t xml:space="preserve">to complement their more intensive focus on </w:t>
      </w:r>
      <w:r w:rsidR="00B74F35">
        <w:t>building Work Readiness</w:t>
      </w:r>
      <w:r w:rsidRPr="02295749">
        <w:t>.</w:t>
      </w:r>
      <w:r w:rsidR="0014474F">
        <w:t xml:space="preserve"> </w:t>
      </w:r>
      <w:r w:rsidR="00BD6B30">
        <w:t xml:space="preserve">It </w:t>
      </w:r>
      <w:r w:rsidR="00E06186">
        <w:t>is expected</w:t>
      </w:r>
      <w:r w:rsidR="00BD6B30">
        <w:t xml:space="preserve"> that the scale of </w:t>
      </w:r>
      <w:r w:rsidR="006B0587">
        <w:t xml:space="preserve">any </w:t>
      </w:r>
      <w:r w:rsidR="00BD6B30">
        <w:t>Job Search</w:t>
      </w:r>
      <w:r w:rsidR="006B0587">
        <w:t xml:space="preserve"> Requirement</w:t>
      </w:r>
      <w:r w:rsidR="00BD6B30">
        <w:t xml:space="preserve"> would be less</w:t>
      </w:r>
      <w:r w:rsidR="00BA1368">
        <w:t xml:space="preserve"> than</w:t>
      </w:r>
      <w:r w:rsidR="005D1A16">
        <w:t xml:space="preserve"> someone in the </w:t>
      </w:r>
      <w:r w:rsidR="00C05321">
        <w:t>Job Search phase</w:t>
      </w:r>
      <w:r w:rsidR="00DA1105">
        <w:t>,</w:t>
      </w:r>
      <w:r w:rsidR="00BD6B30">
        <w:t xml:space="preserve"> reflecting </w:t>
      </w:r>
      <w:r w:rsidR="0052558F">
        <w:t>these Participants</w:t>
      </w:r>
      <w:r w:rsidR="00BD6B30">
        <w:t xml:space="preserve"> </w:t>
      </w:r>
      <w:r w:rsidR="008B4EEA">
        <w:t>are less work ready at this point</w:t>
      </w:r>
      <w:r w:rsidR="00BD6B30">
        <w:t xml:space="preserve">. </w:t>
      </w:r>
    </w:p>
    <w:p w14:paraId="2E029533" w14:textId="7E49C21D" w:rsidR="00D74559" w:rsidRDefault="0068235F" w:rsidP="006E2EF5">
      <w:r>
        <w:t>The Work Preparation</w:t>
      </w:r>
      <w:r w:rsidR="002B6DE9">
        <w:t xml:space="preserve"> phase also</w:t>
      </w:r>
      <w:r w:rsidR="00BD6B30">
        <w:t xml:space="preserve"> provides an indicator to </w:t>
      </w:r>
      <w:r w:rsidR="00DA1105">
        <w:t>P</w:t>
      </w:r>
      <w:r w:rsidR="00BD6B30">
        <w:t xml:space="preserve">rovider staff that </w:t>
      </w:r>
      <w:r w:rsidR="009F4E2C">
        <w:t>a</w:t>
      </w:r>
      <w:r w:rsidR="00BD6B30">
        <w:t xml:space="preserve"> Participant may require additional support if being matched to an </w:t>
      </w:r>
      <w:r w:rsidR="00294FA0">
        <w:t>O</w:t>
      </w:r>
      <w:r w:rsidR="00BD6B30">
        <w:t xml:space="preserve">pen </w:t>
      </w:r>
      <w:r w:rsidR="004E0F1E">
        <w:t>E</w:t>
      </w:r>
      <w:r w:rsidR="00BD6B30">
        <w:t>mploy</w:t>
      </w:r>
      <w:r w:rsidR="004E0F1E">
        <w:t>ment</w:t>
      </w:r>
      <w:r w:rsidR="00BD6B30">
        <w:t xml:space="preserve"> </w:t>
      </w:r>
      <w:r w:rsidR="00627C30">
        <w:t>V</w:t>
      </w:r>
      <w:r w:rsidR="00BD6B30">
        <w:t>acancy.</w:t>
      </w:r>
    </w:p>
    <w:p w14:paraId="34228E22" w14:textId="77777777" w:rsidR="00D74559" w:rsidRDefault="00D74559" w:rsidP="006D1645">
      <w:pPr>
        <w:pStyle w:val="Heading5"/>
      </w:pPr>
      <w:r>
        <w:t>Job Search</w:t>
      </w:r>
    </w:p>
    <w:p w14:paraId="2CB38891" w14:textId="18588D7A" w:rsidR="00D74559" w:rsidRDefault="00D74559" w:rsidP="006E2EF5">
      <w:r>
        <w:t>The Job Search phase is for Participants who are ready to engage more intensively to look for and find a job. In this phase</w:t>
      </w:r>
      <w:r w:rsidR="00BE75DD">
        <w:t>,</w:t>
      </w:r>
      <w:r>
        <w:t xml:space="preserve"> Providers </w:t>
      </w:r>
      <w:r w:rsidR="00E6446E">
        <w:t>focus</w:t>
      </w:r>
      <w:r>
        <w:t xml:space="preserve"> on supporting Participants to undertake </w:t>
      </w:r>
      <w:r w:rsidR="00970CA2">
        <w:t>j</w:t>
      </w:r>
      <w:r>
        <w:t xml:space="preserve">ob </w:t>
      </w:r>
      <w:r w:rsidR="00970CA2">
        <w:t>s</w:t>
      </w:r>
      <w:r>
        <w:t>earch activities</w:t>
      </w:r>
      <w:r w:rsidR="00524D96">
        <w:t xml:space="preserve">, </w:t>
      </w:r>
      <w:r w:rsidR="00C35E6F">
        <w:t xml:space="preserve">gain </w:t>
      </w:r>
      <w:r w:rsidR="00495373">
        <w:t>work experience</w:t>
      </w:r>
      <w:r w:rsidR="00081424">
        <w:t xml:space="preserve"> and paid work </w:t>
      </w:r>
      <w:r w:rsidR="00AF3353">
        <w:t>opportunities</w:t>
      </w:r>
      <w:r w:rsidR="00F543AE">
        <w:t>,</w:t>
      </w:r>
      <w:r w:rsidR="00495373">
        <w:t xml:space="preserve"> </w:t>
      </w:r>
      <w:r w:rsidR="00582F2C">
        <w:t>and accept</w:t>
      </w:r>
      <w:r w:rsidR="003B6C5D">
        <w:t xml:space="preserve"> </w:t>
      </w:r>
      <w:r w:rsidR="00C40F0D">
        <w:t>J</w:t>
      </w:r>
      <w:r w:rsidR="00E44659">
        <w:t>ob</w:t>
      </w:r>
      <w:r w:rsidR="00C40F0D">
        <w:t xml:space="preserve"> Referrals to suitable Open Employment</w:t>
      </w:r>
      <w:r>
        <w:t>.</w:t>
      </w:r>
    </w:p>
    <w:p w14:paraId="5A5ECF39" w14:textId="4278E350" w:rsidR="00A46BEF" w:rsidRDefault="00BF20BA" w:rsidP="00A46BEF">
      <w:r w:rsidRPr="00BF20BA">
        <w:t xml:space="preserve">Job </w:t>
      </w:r>
      <w:r w:rsidR="00CF6DDD">
        <w:t>s</w:t>
      </w:r>
      <w:r w:rsidRPr="00BF20BA">
        <w:t xml:space="preserve">earch activities </w:t>
      </w:r>
      <w:r>
        <w:t>are tasks and</w:t>
      </w:r>
      <w:r w:rsidRPr="00BF20BA">
        <w:t xml:space="preserve"> activities that have a focus on Participants looking for work, improving their employability and/or increasing the prospect of finding and maintaining Employment.</w:t>
      </w:r>
      <w:r w:rsidR="00A46BEF">
        <w:t xml:space="preserve"> A Participant in the Job Search phase on a Detailed Job Plan is expected to include Code JS09 [Job Search] in their Job Plan to reflect their participation in job search activities. </w:t>
      </w:r>
    </w:p>
    <w:p w14:paraId="4C62F70B" w14:textId="7022BB4D" w:rsidR="00A83173" w:rsidRDefault="00D74559" w:rsidP="006E2EF5">
      <w:r>
        <w:t>Providers must ensure that Participants</w:t>
      </w:r>
      <w:r w:rsidR="006F2D74">
        <w:t xml:space="preserve"> continue to be</w:t>
      </w:r>
      <w:r>
        <w:t xml:space="preserve"> supported to build their </w:t>
      </w:r>
      <w:r w:rsidR="00653969">
        <w:t>W</w:t>
      </w:r>
      <w:r>
        <w:t xml:space="preserve">ork </w:t>
      </w:r>
      <w:r w:rsidR="00653969">
        <w:t>R</w:t>
      </w:r>
      <w:r>
        <w:t xml:space="preserve">eadiness by addressing </w:t>
      </w:r>
      <w:r w:rsidR="00CB5F15">
        <w:t xml:space="preserve">any </w:t>
      </w:r>
      <w:r>
        <w:t>Vocational and Non-Vocational Barriers.</w:t>
      </w:r>
      <w:r w:rsidR="00222FD7">
        <w:t xml:space="preserve"> </w:t>
      </w:r>
    </w:p>
    <w:p w14:paraId="3345B9CD" w14:textId="36086148" w:rsidR="00D74559" w:rsidRPr="009A4B31" w:rsidRDefault="00D74559" w:rsidP="006E2EF5">
      <w:pPr>
        <w:rPr>
          <w:sz w:val="20"/>
          <w:szCs w:val="20"/>
        </w:rPr>
      </w:pPr>
      <w:r w:rsidRPr="0FE8CA8C">
        <w:rPr>
          <w:sz w:val="20"/>
          <w:szCs w:val="20"/>
        </w:rPr>
        <w:t>(</w:t>
      </w:r>
      <w:r w:rsidR="00A73420">
        <w:rPr>
          <w:sz w:val="20"/>
          <w:szCs w:val="20"/>
        </w:rPr>
        <w:t xml:space="preserve">Deed Reference(s): Clause </w:t>
      </w:r>
      <w:r w:rsidRPr="0FE8CA8C">
        <w:rPr>
          <w:sz w:val="20"/>
          <w:szCs w:val="20"/>
        </w:rPr>
        <w:t>117)</w:t>
      </w:r>
    </w:p>
    <w:p w14:paraId="14F5BDB9" w14:textId="22587357" w:rsidR="00D74559" w:rsidRDefault="00D74559" w:rsidP="001D0F92">
      <w:pPr>
        <w:pStyle w:val="Heading4"/>
      </w:pPr>
      <w:bookmarkStart w:id="255" w:name="_Toc202899981"/>
      <w:r>
        <w:t>6.2.2</w:t>
      </w:r>
      <w:r w:rsidR="00ED42D0">
        <w:tab/>
      </w:r>
      <w:r>
        <w:t>Flexible Service</w:t>
      </w:r>
      <w:bookmarkEnd w:id="255"/>
    </w:p>
    <w:p w14:paraId="327C2A4A" w14:textId="01FBAC79" w:rsidR="00D74559" w:rsidRDefault="00D74559" w:rsidP="00E10962">
      <w:pPr>
        <w:keepNext/>
      </w:pPr>
      <w:r w:rsidRPr="02295749">
        <w:t xml:space="preserve">The Flexible Service is designed to support Participants who </w:t>
      </w:r>
      <w:r w:rsidR="00573785">
        <w:t>do not currently require an</w:t>
      </w:r>
      <w:r w:rsidRPr="02295749">
        <w:t xml:space="preserve"> Intensive Service because they are:</w:t>
      </w:r>
    </w:p>
    <w:p w14:paraId="606F28AE" w14:textId="008404D6" w:rsidR="00D74559" w:rsidRDefault="00D74559" w:rsidP="004E120D">
      <w:pPr>
        <w:pStyle w:val="BulletLevel1"/>
      </w:pPr>
      <w:r w:rsidRPr="2524A882">
        <w:rPr>
          <w:lang w:val="en-GB"/>
        </w:rPr>
        <w:t>partially meeting their Mutual Obligation Requirements through approved Activities</w:t>
      </w:r>
      <w:r w:rsidR="0038516F">
        <w:rPr>
          <w:lang w:val="en-GB"/>
        </w:rPr>
        <w:t>,</w:t>
      </w:r>
      <w:r w:rsidRPr="2524A882">
        <w:rPr>
          <w:lang w:val="en-GB"/>
        </w:rPr>
        <w:t xml:space="preserve"> </w:t>
      </w:r>
      <w:r w:rsidR="00E02B62">
        <w:rPr>
          <w:lang w:val="en-GB"/>
        </w:rPr>
        <w:t>including</w:t>
      </w:r>
      <w:r w:rsidRPr="2524A882">
        <w:rPr>
          <w:lang w:val="en-GB"/>
        </w:rPr>
        <w:t xml:space="preserve"> </w:t>
      </w:r>
      <w:r w:rsidR="009D180E">
        <w:rPr>
          <w:lang w:val="en-GB"/>
        </w:rPr>
        <w:t xml:space="preserve">paid </w:t>
      </w:r>
      <w:r w:rsidR="0075292B">
        <w:rPr>
          <w:lang w:val="en-GB"/>
        </w:rPr>
        <w:t xml:space="preserve">Employment, </w:t>
      </w:r>
      <w:r w:rsidRPr="2524A882">
        <w:rPr>
          <w:lang w:val="en-GB"/>
        </w:rPr>
        <w:t>Education and Training</w:t>
      </w:r>
      <w:r w:rsidR="00536AE1">
        <w:rPr>
          <w:lang w:val="en-GB"/>
        </w:rPr>
        <w:t xml:space="preserve"> or</w:t>
      </w:r>
      <w:r w:rsidR="00536AE1" w:rsidRPr="2524A882">
        <w:rPr>
          <w:lang w:val="en-GB"/>
        </w:rPr>
        <w:t xml:space="preserve"> </w:t>
      </w:r>
      <w:r w:rsidRPr="2524A882">
        <w:rPr>
          <w:lang w:val="en-GB"/>
        </w:rPr>
        <w:t>Voluntary Work</w:t>
      </w:r>
    </w:p>
    <w:p w14:paraId="23788636" w14:textId="529DEE2A" w:rsidR="00D74559" w:rsidRDefault="00D74559" w:rsidP="004E120D">
      <w:pPr>
        <w:pStyle w:val="BulletLevel1"/>
      </w:pPr>
      <w:r w:rsidRPr="02295749">
        <w:t xml:space="preserve">undertaking other supports and </w:t>
      </w:r>
      <w:r w:rsidR="00910725">
        <w:t>s</w:t>
      </w:r>
      <w:r w:rsidRPr="02295749">
        <w:t xml:space="preserve">ervices, such as Vocational or Non-Vocational Activities or Interventions, to address </w:t>
      </w:r>
      <w:r w:rsidR="001E1BDF">
        <w:t>significant</w:t>
      </w:r>
      <w:r w:rsidRPr="02295749">
        <w:t xml:space="preserve"> barriers to Employment </w:t>
      </w:r>
    </w:p>
    <w:p w14:paraId="61C187C7" w14:textId="7FE5211D" w:rsidR="00D74559" w:rsidRDefault="00D74559" w:rsidP="004E120D">
      <w:pPr>
        <w:pStyle w:val="BulletLevel1"/>
      </w:pPr>
      <w:r>
        <w:t xml:space="preserve">currently Suspended because they have an Exemption from their </w:t>
      </w:r>
      <w:r w:rsidR="009F2F30">
        <w:t>participation requirements or are Fully Meeting their Mutual Obligation Requirements</w:t>
      </w:r>
      <w:r>
        <w:t xml:space="preserve">, and volunteer to take part in </w:t>
      </w:r>
      <w:r w:rsidR="00837B15">
        <w:t xml:space="preserve">the Flexible Service </w:t>
      </w:r>
      <w:r w:rsidR="00310AB4">
        <w:t xml:space="preserve">to remain connected to </w:t>
      </w:r>
      <w:r w:rsidR="005C6DE9">
        <w:t>S</w:t>
      </w:r>
      <w:r w:rsidR="00310AB4">
        <w:t xml:space="preserve">ervices </w:t>
      </w:r>
    </w:p>
    <w:p w14:paraId="789E2487" w14:textId="0ABBA333" w:rsidR="00EF3662" w:rsidRPr="00C96184" w:rsidRDefault="00C862CB" w:rsidP="004E120D">
      <w:pPr>
        <w:pStyle w:val="BulletLevel1"/>
      </w:pPr>
      <w:r>
        <w:rPr>
          <w:lang w:val="en-GB"/>
        </w:rPr>
        <w:t>impacted by</w:t>
      </w:r>
      <w:r w:rsidR="00D74559" w:rsidRPr="2524A882">
        <w:rPr>
          <w:lang w:val="en-GB"/>
        </w:rPr>
        <w:t xml:space="preserve"> other personal and/or family circumstances that limit their </w:t>
      </w:r>
      <w:bookmarkStart w:id="256" w:name="_Int_R5oX5fEd"/>
      <w:r w:rsidR="00D74559" w:rsidRPr="2524A882">
        <w:rPr>
          <w:lang w:val="en-GB"/>
        </w:rPr>
        <w:t>capacity</w:t>
      </w:r>
      <w:bookmarkEnd w:id="256"/>
      <w:r w:rsidR="00D74559" w:rsidRPr="2524A882">
        <w:rPr>
          <w:lang w:val="en-GB"/>
        </w:rPr>
        <w:t xml:space="preserve"> to engage</w:t>
      </w:r>
      <w:r>
        <w:rPr>
          <w:lang w:val="en-GB"/>
        </w:rPr>
        <w:t xml:space="preserve"> intensively at that poi</w:t>
      </w:r>
      <w:r w:rsidR="00A4632D">
        <w:rPr>
          <w:lang w:val="en-GB"/>
        </w:rPr>
        <w:t>nt in time</w:t>
      </w:r>
      <w:r w:rsidR="00D74559" w:rsidRPr="2524A882">
        <w:rPr>
          <w:lang w:val="en-GB"/>
        </w:rPr>
        <w:t xml:space="preserve">, such as caring responsibilities or multiple and complex </w:t>
      </w:r>
      <w:r w:rsidR="00077B0C">
        <w:rPr>
          <w:lang w:val="en-GB"/>
        </w:rPr>
        <w:t>Vocational and Non-Vocational B</w:t>
      </w:r>
      <w:r w:rsidR="00D74559" w:rsidRPr="2524A882">
        <w:rPr>
          <w:lang w:val="en-GB"/>
        </w:rPr>
        <w:t>arriers</w:t>
      </w:r>
      <w:r w:rsidR="00EF3662">
        <w:rPr>
          <w:lang w:val="en-GB"/>
        </w:rPr>
        <w:t>, or</w:t>
      </w:r>
    </w:p>
    <w:p w14:paraId="5882C60B" w14:textId="561257AA" w:rsidR="00D74559" w:rsidRDefault="00EF3662" w:rsidP="004E120D">
      <w:pPr>
        <w:pStyle w:val="BulletLevel1"/>
      </w:pPr>
      <w:r>
        <w:rPr>
          <w:lang w:val="en-GB"/>
        </w:rPr>
        <w:t>a combination of the above factors</w:t>
      </w:r>
      <w:r w:rsidR="00D74559" w:rsidRPr="2524A882">
        <w:rPr>
          <w:lang w:val="en-GB"/>
        </w:rPr>
        <w:t>.</w:t>
      </w:r>
    </w:p>
    <w:p w14:paraId="2BF46B4A" w14:textId="024191E1" w:rsidR="00D74559" w:rsidRDefault="00D74559" w:rsidP="006E2EF5">
      <w:r w:rsidRPr="0FE8CA8C">
        <w:rPr>
          <w:lang w:val="en-GB"/>
        </w:rPr>
        <w:t xml:space="preserve">Providers must connect </w:t>
      </w:r>
      <w:r w:rsidR="00746B81" w:rsidRPr="0FE8CA8C">
        <w:rPr>
          <w:lang w:val="en-GB"/>
        </w:rPr>
        <w:t>Participants</w:t>
      </w:r>
      <w:r w:rsidRPr="0FE8CA8C">
        <w:rPr>
          <w:lang w:val="en-GB"/>
        </w:rPr>
        <w:t xml:space="preserve"> with the </w:t>
      </w:r>
      <w:r w:rsidR="00FB6B5A">
        <w:rPr>
          <w:lang w:val="en-GB"/>
        </w:rPr>
        <w:t>most appropriate</w:t>
      </w:r>
      <w:r w:rsidRPr="0FE8CA8C">
        <w:rPr>
          <w:lang w:val="en-GB"/>
        </w:rPr>
        <w:t xml:space="preserve"> types of </w:t>
      </w:r>
      <w:r w:rsidR="00E07EA0">
        <w:rPr>
          <w:lang w:val="en-GB"/>
        </w:rPr>
        <w:t>S</w:t>
      </w:r>
      <w:r w:rsidRPr="0FE8CA8C">
        <w:rPr>
          <w:lang w:val="en-GB"/>
        </w:rPr>
        <w:t xml:space="preserve">ervices to help them build their </w:t>
      </w:r>
      <w:bookmarkStart w:id="257" w:name="_Int_XDMp8Qxn"/>
      <w:r w:rsidRPr="0FE8CA8C">
        <w:rPr>
          <w:lang w:val="en-GB"/>
        </w:rPr>
        <w:t>capacity</w:t>
      </w:r>
      <w:bookmarkEnd w:id="257"/>
      <w:r w:rsidRPr="0FE8CA8C">
        <w:rPr>
          <w:lang w:val="en-GB"/>
        </w:rPr>
        <w:t xml:space="preserve"> </w:t>
      </w:r>
      <w:r w:rsidR="00BF46F5">
        <w:rPr>
          <w:lang w:val="en-GB"/>
        </w:rPr>
        <w:t>to engage more fully</w:t>
      </w:r>
      <w:r w:rsidR="004A7A22">
        <w:rPr>
          <w:lang w:val="en-GB"/>
        </w:rPr>
        <w:t xml:space="preserve">. </w:t>
      </w:r>
      <w:r w:rsidRPr="0FE8CA8C">
        <w:rPr>
          <w:lang w:val="en-GB"/>
        </w:rPr>
        <w:t xml:space="preserve">In supporting Participants, Providers </w:t>
      </w:r>
      <w:r w:rsidR="007B25AF">
        <w:rPr>
          <w:lang w:val="en-GB"/>
        </w:rPr>
        <w:t>mus</w:t>
      </w:r>
      <w:r w:rsidR="00C84D92">
        <w:rPr>
          <w:lang w:val="en-GB"/>
        </w:rPr>
        <w:t>t</w:t>
      </w:r>
      <w:r w:rsidRPr="0FE8CA8C">
        <w:rPr>
          <w:lang w:val="en-GB"/>
        </w:rPr>
        <w:t xml:space="preserve"> consider Participants’ individual circumstances and needs, their employment </w:t>
      </w:r>
      <w:bookmarkStart w:id="258" w:name="_Int_HMtpp9I1"/>
      <w:r w:rsidRPr="0FE8CA8C">
        <w:rPr>
          <w:lang w:val="en-GB"/>
        </w:rPr>
        <w:t>capacity</w:t>
      </w:r>
      <w:bookmarkEnd w:id="258"/>
      <w:r w:rsidRPr="0FE8CA8C">
        <w:rPr>
          <w:lang w:val="en-GB"/>
        </w:rPr>
        <w:t xml:space="preserve">, and any </w:t>
      </w:r>
      <w:r w:rsidR="004A7A22">
        <w:rPr>
          <w:lang w:val="en-GB"/>
        </w:rPr>
        <w:t>V</w:t>
      </w:r>
      <w:r w:rsidR="004A7A22" w:rsidRPr="0FE8CA8C">
        <w:rPr>
          <w:lang w:val="en-GB"/>
        </w:rPr>
        <w:t xml:space="preserve">ocational </w:t>
      </w:r>
      <w:r w:rsidRPr="0FE8CA8C">
        <w:rPr>
          <w:lang w:val="en-GB"/>
        </w:rPr>
        <w:t xml:space="preserve">or </w:t>
      </w:r>
      <w:r w:rsidR="004A7A22">
        <w:rPr>
          <w:lang w:val="en-GB"/>
        </w:rPr>
        <w:t>N</w:t>
      </w:r>
      <w:r w:rsidRPr="0FE8CA8C">
        <w:rPr>
          <w:lang w:val="en-GB"/>
        </w:rPr>
        <w:t>on-</w:t>
      </w:r>
      <w:r w:rsidR="004A7A22">
        <w:rPr>
          <w:lang w:val="en-GB"/>
        </w:rPr>
        <w:t>V</w:t>
      </w:r>
      <w:r w:rsidRPr="0FE8CA8C">
        <w:rPr>
          <w:lang w:val="en-GB"/>
        </w:rPr>
        <w:t>ocational Activities the Participant is or should be engaged in.</w:t>
      </w:r>
    </w:p>
    <w:p w14:paraId="5AC4C0CF" w14:textId="12BCFA25" w:rsidR="00D74559" w:rsidRDefault="00D74559" w:rsidP="006E2EF5">
      <w:r w:rsidRPr="2524A882">
        <w:rPr>
          <w:lang w:val="en-GB"/>
        </w:rPr>
        <w:t xml:space="preserve">Providers must </w:t>
      </w:r>
      <w:r w:rsidR="002421D4">
        <w:rPr>
          <w:lang w:val="en-GB"/>
        </w:rPr>
        <w:t>move</w:t>
      </w:r>
      <w:r w:rsidR="004773BC">
        <w:rPr>
          <w:lang w:val="en-GB"/>
        </w:rPr>
        <w:t xml:space="preserve"> </w:t>
      </w:r>
      <w:r w:rsidR="002421D4">
        <w:rPr>
          <w:lang w:val="en-GB"/>
        </w:rPr>
        <w:t xml:space="preserve">a </w:t>
      </w:r>
      <w:r w:rsidRPr="2524A882">
        <w:rPr>
          <w:lang w:val="en-GB"/>
        </w:rPr>
        <w:t xml:space="preserve">Participant to </w:t>
      </w:r>
      <w:r w:rsidR="002421D4">
        <w:rPr>
          <w:lang w:val="en-GB"/>
        </w:rPr>
        <w:t xml:space="preserve">Intensive Service when they have built sufficient capacity to engage more fully in Services. </w:t>
      </w:r>
    </w:p>
    <w:p w14:paraId="4925B79D" w14:textId="69FF7CA1" w:rsidR="00D74559" w:rsidRPr="009A4B31" w:rsidRDefault="00D74559" w:rsidP="006E2EF5">
      <w:pPr>
        <w:rPr>
          <w:sz w:val="20"/>
          <w:szCs w:val="20"/>
        </w:rPr>
      </w:pPr>
      <w:r w:rsidRPr="0FE8CA8C">
        <w:rPr>
          <w:sz w:val="20"/>
          <w:szCs w:val="20"/>
        </w:rPr>
        <w:t>(</w:t>
      </w:r>
      <w:r w:rsidR="00A73420">
        <w:rPr>
          <w:rFonts w:eastAsiaTheme="minorEastAsia"/>
          <w:sz w:val="20"/>
          <w:szCs w:val="20"/>
        </w:rPr>
        <w:t xml:space="preserve">Deed Reference(s): Clause </w:t>
      </w:r>
      <w:r w:rsidRPr="0FE8CA8C">
        <w:rPr>
          <w:sz w:val="20"/>
          <w:szCs w:val="20"/>
        </w:rPr>
        <w:t>11</w:t>
      </w:r>
      <w:r w:rsidR="0035447F">
        <w:rPr>
          <w:sz w:val="20"/>
          <w:szCs w:val="20"/>
        </w:rPr>
        <w:t>8</w:t>
      </w:r>
      <w:r w:rsidRPr="0FE8CA8C">
        <w:rPr>
          <w:sz w:val="20"/>
          <w:szCs w:val="20"/>
        </w:rPr>
        <w:t>)</w:t>
      </w:r>
    </w:p>
    <w:p w14:paraId="4701E9E3" w14:textId="64831094" w:rsidR="00D74559" w:rsidRPr="005C0D91" w:rsidRDefault="00D74559" w:rsidP="001D0F92">
      <w:pPr>
        <w:pStyle w:val="Heading3"/>
        <w:rPr>
          <w:rStyle w:val="Heading2Char1"/>
          <w:rFonts w:asciiTheme="majorHAnsi" w:hAnsiTheme="majorHAnsi"/>
          <w:i w:val="0"/>
          <w:color w:val="005A70" w:themeColor="accent1"/>
          <w:sz w:val="32"/>
          <w:szCs w:val="24"/>
        </w:rPr>
      </w:pPr>
      <w:bookmarkStart w:id="259" w:name="_Ref202785273"/>
      <w:bookmarkStart w:id="260" w:name="_Toc202899982"/>
      <w:r w:rsidRPr="005C0D91">
        <w:rPr>
          <w:rStyle w:val="Heading2Char1"/>
          <w:rFonts w:asciiTheme="majorHAnsi" w:hAnsiTheme="majorHAnsi"/>
          <w:i w:val="0"/>
          <w:color w:val="005A70" w:themeColor="accent1"/>
          <w:sz w:val="32"/>
          <w:szCs w:val="24"/>
        </w:rPr>
        <w:t>6.3</w:t>
      </w:r>
      <w:r w:rsidR="00ED42D0">
        <w:rPr>
          <w:rStyle w:val="Heading2Char1"/>
          <w:rFonts w:asciiTheme="majorHAnsi" w:hAnsiTheme="majorHAnsi"/>
          <w:i w:val="0"/>
          <w:color w:val="005A70" w:themeColor="accent1"/>
          <w:sz w:val="32"/>
          <w:szCs w:val="24"/>
        </w:rPr>
        <w:tab/>
      </w:r>
      <w:r w:rsidRPr="005C0D91">
        <w:rPr>
          <w:rStyle w:val="Heading2Char1"/>
          <w:rFonts w:asciiTheme="majorHAnsi" w:hAnsiTheme="majorHAnsi"/>
          <w:i w:val="0"/>
          <w:color w:val="005A70" w:themeColor="accent1"/>
          <w:sz w:val="32"/>
          <w:szCs w:val="24"/>
        </w:rPr>
        <w:t>Movement within Pre-Employment Support</w:t>
      </w:r>
      <w:bookmarkEnd w:id="259"/>
      <w:bookmarkEnd w:id="260"/>
    </w:p>
    <w:p w14:paraId="2F7679DD" w14:textId="7AEB4D01" w:rsidR="00D74559" w:rsidRDefault="00D74559" w:rsidP="006E2EF5">
      <w:pPr>
        <w:tabs>
          <w:tab w:val="right" w:pos="1701"/>
        </w:tabs>
        <w:spacing w:after="120"/>
      </w:pPr>
      <w:r w:rsidRPr="2524A882">
        <w:rPr>
          <w:lang w:val="en-GB"/>
        </w:rPr>
        <w:t>All Participants who enter Pre-Employment Support will be placed in the Work Preparation phase of the Intensive Service.</w:t>
      </w:r>
      <w:r w:rsidR="0095407A">
        <w:rPr>
          <w:lang w:val="en-GB"/>
        </w:rPr>
        <w:t xml:space="preserve"> This is the default phase for Commencement and movement into Pre-Employment Support.</w:t>
      </w:r>
      <w:r w:rsidRPr="2524A882">
        <w:rPr>
          <w:lang w:val="en-GB"/>
        </w:rPr>
        <w:t xml:space="preserve"> As a Provider engages with a new Participant and develops an understanding of their individual circumstances, </w:t>
      </w:r>
      <w:r w:rsidR="00AA1156">
        <w:rPr>
          <w:lang w:val="en-GB"/>
        </w:rPr>
        <w:t>skills, str</w:t>
      </w:r>
      <w:r w:rsidR="004E4592">
        <w:rPr>
          <w:lang w:val="en-GB"/>
        </w:rPr>
        <w:t>e</w:t>
      </w:r>
      <w:r w:rsidR="00AA1156">
        <w:rPr>
          <w:lang w:val="en-GB"/>
        </w:rPr>
        <w:t xml:space="preserve">ngths, employment goals and </w:t>
      </w:r>
      <w:r w:rsidRPr="2524A882">
        <w:rPr>
          <w:lang w:val="en-GB"/>
        </w:rPr>
        <w:t>support needs, the Provider may decide that the Participant is better suited to the Job Search phase of the Intensive Service, or the Flexible Service.</w:t>
      </w:r>
    </w:p>
    <w:p w14:paraId="6F2DE94D" w14:textId="1BB77C83" w:rsidR="00D74559" w:rsidRDefault="00D74559" w:rsidP="006E2EF5">
      <w:pPr>
        <w:tabs>
          <w:tab w:val="right" w:pos="1701"/>
        </w:tabs>
        <w:spacing w:after="120"/>
      </w:pPr>
      <w:r w:rsidRPr="2524A882">
        <w:rPr>
          <w:lang w:val="en-GB"/>
        </w:rPr>
        <w:t>Similarly, if a</w:t>
      </w:r>
      <w:r w:rsidRPr="2524A882" w:rsidDel="0001110C">
        <w:rPr>
          <w:lang w:val="en-GB"/>
        </w:rPr>
        <w:t xml:space="preserve"> </w:t>
      </w:r>
      <w:r w:rsidRPr="2524A882">
        <w:rPr>
          <w:lang w:val="en-GB"/>
        </w:rPr>
        <w:t xml:space="preserve">Participant has a change in their circumstances, support needs, or </w:t>
      </w:r>
      <w:bookmarkStart w:id="261" w:name="_Int_ewfP6bRT"/>
      <w:r w:rsidRPr="2524A882">
        <w:rPr>
          <w:lang w:val="en-GB"/>
        </w:rPr>
        <w:t>capacity</w:t>
      </w:r>
      <w:bookmarkEnd w:id="261"/>
      <w:r w:rsidRPr="2524A882">
        <w:rPr>
          <w:lang w:val="en-GB"/>
        </w:rPr>
        <w:t xml:space="preserve"> to take part</w:t>
      </w:r>
      <w:r w:rsidR="00FE33CC">
        <w:rPr>
          <w:lang w:val="en-GB"/>
        </w:rPr>
        <w:t xml:space="preserve"> in </w:t>
      </w:r>
      <w:r w:rsidR="00353F8E">
        <w:rPr>
          <w:lang w:val="en-GB"/>
        </w:rPr>
        <w:t>Inclusive Employment Australia</w:t>
      </w:r>
      <w:r w:rsidRPr="2524A882">
        <w:rPr>
          <w:lang w:val="en-GB"/>
        </w:rPr>
        <w:t xml:space="preserve">, a Provider may decide that the Participant should be in a different </w:t>
      </w:r>
      <w:r w:rsidR="004F275F">
        <w:rPr>
          <w:lang w:val="en-GB"/>
        </w:rPr>
        <w:t>S</w:t>
      </w:r>
      <w:r w:rsidRPr="2524A882">
        <w:rPr>
          <w:lang w:val="en-GB"/>
        </w:rPr>
        <w:t xml:space="preserve">ervice or phase for a </w:t>
      </w:r>
      <w:r w:rsidR="0088341B">
        <w:rPr>
          <w:lang w:val="en-GB"/>
        </w:rPr>
        <w:t xml:space="preserve">period of </w:t>
      </w:r>
      <w:r w:rsidRPr="2524A882">
        <w:rPr>
          <w:lang w:val="en-GB"/>
        </w:rPr>
        <w:t xml:space="preserve">time. </w:t>
      </w:r>
    </w:p>
    <w:p w14:paraId="66CED1BE" w14:textId="20785AE2" w:rsidR="009C7DB5" w:rsidRDefault="00D74559" w:rsidP="006E2EF5">
      <w:pPr>
        <w:tabs>
          <w:tab w:val="right" w:pos="1701"/>
        </w:tabs>
        <w:spacing w:after="120"/>
      </w:pPr>
      <w:r w:rsidRPr="2524A882">
        <w:t xml:space="preserve">A Provider must decide which Pre-Employment Support </w:t>
      </w:r>
      <w:r w:rsidR="00407792">
        <w:t>S</w:t>
      </w:r>
      <w:r w:rsidRPr="2524A882">
        <w:t xml:space="preserve">ervice is </w:t>
      </w:r>
      <w:r w:rsidR="00423F03">
        <w:t>most</w:t>
      </w:r>
      <w:r w:rsidRPr="2524A882">
        <w:t xml:space="preserve"> </w:t>
      </w:r>
      <w:bookmarkStart w:id="262" w:name="_Int_7f9G0zet"/>
      <w:r w:rsidRPr="2524A882">
        <w:t>appropriate for</w:t>
      </w:r>
      <w:bookmarkEnd w:id="262"/>
      <w:r w:rsidRPr="2524A882">
        <w:t xml:space="preserve"> the Participant at a point in time</w:t>
      </w:r>
      <w:r w:rsidR="00B547DC">
        <w:t xml:space="preserve">. Providers have discretion in deciding </w:t>
      </w:r>
      <w:r w:rsidRPr="2524A882">
        <w:t xml:space="preserve">whether </w:t>
      </w:r>
      <w:r w:rsidR="00B547DC">
        <w:t>or not</w:t>
      </w:r>
      <w:r w:rsidRPr="2524A882">
        <w:t xml:space="preserve"> to </w:t>
      </w:r>
      <w:r w:rsidR="00B547DC">
        <w:t>change a Participant’s phase</w:t>
      </w:r>
      <w:r w:rsidR="00F1448D">
        <w:t>,</w:t>
      </w:r>
      <w:r w:rsidRPr="2524A882">
        <w:t xml:space="preserve"> </w:t>
      </w:r>
      <w:r w:rsidR="005D074F">
        <w:t>the</w:t>
      </w:r>
      <w:r w:rsidR="00C87586">
        <w:t xml:space="preserve"> </w:t>
      </w:r>
      <w:r w:rsidR="00F1448D">
        <w:t>timing of</w:t>
      </w:r>
      <w:r w:rsidRPr="2524A882">
        <w:t xml:space="preserve"> </w:t>
      </w:r>
      <w:r w:rsidR="00F1448D">
        <w:t>a</w:t>
      </w:r>
      <w:r w:rsidR="00C87586">
        <w:t>ny</w:t>
      </w:r>
      <w:r w:rsidRPr="2524A882">
        <w:t xml:space="preserve"> move</w:t>
      </w:r>
      <w:r w:rsidR="00C87586">
        <w:t>,</w:t>
      </w:r>
      <w:r w:rsidRPr="2524A882">
        <w:t xml:space="preserve"> </w:t>
      </w:r>
      <w:r w:rsidR="00F1448D">
        <w:t>and possible duration in each phase.</w:t>
      </w:r>
      <w:r w:rsidRPr="2524A882">
        <w:t xml:space="preserve"> </w:t>
      </w:r>
    </w:p>
    <w:p w14:paraId="4C86B0C0" w14:textId="0EABCA39" w:rsidR="00F25C3A" w:rsidRDefault="00F25C3A" w:rsidP="00F25C3A">
      <w:r w:rsidRPr="00114BFD">
        <w:rPr>
          <w:b/>
          <w:bCs/>
        </w:rPr>
        <w:t xml:space="preserve">Note: </w:t>
      </w:r>
      <w:r w:rsidRPr="2524A882">
        <w:t xml:space="preserve">The Provider must make this decision </w:t>
      </w:r>
      <w:r w:rsidR="00DA06F4">
        <w:t>after</w:t>
      </w:r>
      <w:r w:rsidR="00DA06F4" w:rsidRPr="2524A882">
        <w:t xml:space="preserve"> </w:t>
      </w:r>
      <w:r w:rsidRPr="2524A882">
        <w:t xml:space="preserve">genuine consultation with the </w:t>
      </w:r>
      <w:r w:rsidR="00D74559" w:rsidRPr="2524A882">
        <w:t>Participant</w:t>
      </w:r>
      <w:r w:rsidR="00145021">
        <w:t>,</w:t>
      </w:r>
      <w:r w:rsidR="00DA06F4">
        <w:t xml:space="preserve"> </w:t>
      </w:r>
      <w:r w:rsidR="00145021">
        <w:t>taking into account</w:t>
      </w:r>
      <w:r w:rsidRPr="2524A882">
        <w:t xml:space="preserve"> the</w:t>
      </w:r>
      <w:r w:rsidR="006044DA">
        <w:t>ir</w:t>
      </w:r>
      <w:r w:rsidRPr="2524A882">
        <w:t xml:space="preserve"> current circumstances </w:t>
      </w:r>
      <w:r w:rsidR="006044DA">
        <w:t>and</w:t>
      </w:r>
      <w:r w:rsidRPr="2524A882">
        <w:t xml:space="preserve"> support needs</w:t>
      </w:r>
      <w:r w:rsidR="00145021">
        <w:t>.</w:t>
      </w:r>
      <w:r w:rsidRPr="2524A882">
        <w:t xml:space="preserve"> </w:t>
      </w:r>
      <w:r w:rsidR="00FF418F">
        <w:t>The Provider must consider</w:t>
      </w:r>
      <w:r w:rsidRPr="2524A882">
        <w:t xml:space="preserve"> </w:t>
      </w:r>
      <w:r w:rsidR="00C84A6D">
        <w:t>suitable</w:t>
      </w:r>
      <w:r w:rsidRPr="2524A882">
        <w:t xml:space="preserve"> Services and Activities available </w:t>
      </w:r>
      <w:r w:rsidRPr="2524A882" w:rsidDel="00C84A6D">
        <w:t xml:space="preserve">to </w:t>
      </w:r>
      <w:r w:rsidRPr="2524A882">
        <w:t>help build the</w:t>
      </w:r>
      <w:r w:rsidR="00C84A6D">
        <w:t xml:space="preserve"> Participant’s</w:t>
      </w:r>
      <w:r w:rsidRPr="2524A882">
        <w:t xml:space="preserve"> skills and capacity to find</w:t>
      </w:r>
      <w:r w:rsidRPr="2524A882" w:rsidDel="0061414A">
        <w:t xml:space="preserve"> </w:t>
      </w:r>
      <w:r w:rsidR="0061414A">
        <w:t>meaningful</w:t>
      </w:r>
      <w:r w:rsidR="0061414A" w:rsidRPr="2524A882">
        <w:t xml:space="preserve"> </w:t>
      </w:r>
      <w:r w:rsidRPr="2524A882">
        <w:t xml:space="preserve">and sustainable </w:t>
      </w:r>
      <w:r>
        <w:t>employment</w:t>
      </w:r>
      <w:r w:rsidRPr="2524A882">
        <w:t>.</w:t>
      </w:r>
    </w:p>
    <w:p w14:paraId="4F5C1CE4" w14:textId="4AD6055D" w:rsidR="00D74559" w:rsidRDefault="009C7DB5" w:rsidP="009C7DB5">
      <w:pPr>
        <w:pStyle w:val="SystemStep"/>
      </w:pPr>
      <w:r>
        <w:t xml:space="preserve">Providers must </w:t>
      </w:r>
      <w:r w:rsidR="00D04D8F">
        <w:t>use</w:t>
      </w:r>
      <w:r w:rsidR="00E81EDB">
        <w:t xml:space="preserve"> </w:t>
      </w:r>
      <w:r w:rsidR="00D04D8F">
        <w:t xml:space="preserve">the Department’s IT Systems to move </w:t>
      </w:r>
      <w:r w:rsidR="00E81EDB">
        <w:t>Participants between</w:t>
      </w:r>
      <w:r>
        <w:t xml:space="preserve"> </w:t>
      </w:r>
      <w:r w:rsidDel="00D04D8F">
        <w:t xml:space="preserve">the </w:t>
      </w:r>
      <w:r w:rsidR="00D74559" w:rsidRPr="2524A882">
        <w:t xml:space="preserve">Intensive and Flexible Services, </w:t>
      </w:r>
      <w:r w:rsidR="0085518E">
        <w:t>or</w:t>
      </w:r>
      <w:r w:rsidR="00D74559" w:rsidRPr="2524A882">
        <w:t xml:space="preserve"> between the Work Preparation and Job Search phases of the Intensive Service.</w:t>
      </w:r>
      <w:r w:rsidR="00D04D8F" w:rsidRPr="00D04D8F">
        <w:t xml:space="preserve"> </w:t>
      </w:r>
    </w:p>
    <w:p w14:paraId="2C82C2C2" w14:textId="7BE6FBDD" w:rsidR="00D74559" w:rsidRDefault="00D74559" w:rsidP="006E2EF5">
      <w:pPr>
        <w:tabs>
          <w:tab w:val="right" w:pos="1701"/>
        </w:tabs>
        <w:spacing w:after="120"/>
      </w:pPr>
      <w:r>
        <w:t xml:space="preserve">Providers must keep relevant Documentary Evidence </w:t>
      </w:r>
      <w:r w:rsidR="004F7AD0" w:rsidRPr="00B84B59">
        <w:t xml:space="preserve">of changes in </w:t>
      </w:r>
      <w:r w:rsidR="004F7AD0">
        <w:t xml:space="preserve">a </w:t>
      </w:r>
      <w:r w:rsidR="004F7AD0" w:rsidRPr="00B84B59">
        <w:t>Participant</w:t>
      </w:r>
      <w:r w:rsidR="004F7AD0">
        <w:t>’s</w:t>
      </w:r>
      <w:r w:rsidR="004F7AD0" w:rsidRPr="00B84B59">
        <w:t xml:space="preserve"> circumstances</w:t>
      </w:r>
      <w:r w:rsidR="004F7AD0">
        <w:t xml:space="preserve"> </w:t>
      </w:r>
      <w:r>
        <w:t xml:space="preserve">to support the placement and movement of </w:t>
      </w:r>
      <w:r w:rsidR="004F7AD0">
        <w:t xml:space="preserve">the </w:t>
      </w:r>
      <w:r>
        <w:t xml:space="preserve">Participant between </w:t>
      </w:r>
      <w:r w:rsidR="00526B40">
        <w:t>the Intensive</w:t>
      </w:r>
      <w:r w:rsidR="008A2F89">
        <w:t xml:space="preserve"> and </w:t>
      </w:r>
      <w:r w:rsidR="00526B40">
        <w:t>Flexible</w:t>
      </w:r>
      <w:r>
        <w:t xml:space="preserve"> </w:t>
      </w:r>
      <w:r w:rsidR="0093021A">
        <w:t>Service</w:t>
      </w:r>
      <w:r w:rsidR="002E3E02">
        <w:t>s</w:t>
      </w:r>
      <w:r>
        <w:t>.</w:t>
      </w:r>
    </w:p>
    <w:p w14:paraId="2F7647E5" w14:textId="46166148" w:rsidR="00D74559" w:rsidRPr="00B84B59" w:rsidRDefault="00D74559" w:rsidP="0079424A">
      <w:pPr>
        <w:pStyle w:val="DocumentaryEvidenceRequirement"/>
      </w:pPr>
      <w:r w:rsidRPr="00B84B59">
        <w:t>Documentary evidence may include</w:t>
      </w:r>
      <w:r w:rsidRPr="00B84B59" w:rsidDel="004F7AD0">
        <w:t xml:space="preserve"> </w:t>
      </w:r>
      <w:r w:rsidR="001644A5">
        <w:t>R</w:t>
      </w:r>
      <w:r w:rsidRPr="00B84B59">
        <w:t>ecords</w:t>
      </w:r>
      <w:r w:rsidR="00775AB7">
        <w:t xml:space="preserve"> and </w:t>
      </w:r>
      <w:r w:rsidR="00707A04">
        <w:t>file</w:t>
      </w:r>
      <w:r w:rsidR="00707A04" w:rsidRPr="00B84B59">
        <w:t xml:space="preserve"> </w:t>
      </w:r>
      <w:r w:rsidRPr="00B84B59">
        <w:t>notes of relevant discussions with Participants.</w:t>
      </w:r>
    </w:p>
    <w:p w14:paraId="67B0F79A" w14:textId="3D0C5C38" w:rsidR="00D74559" w:rsidRPr="00E64717" w:rsidRDefault="00D74559" w:rsidP="006E2EF5">
      <w:pPr>
        <w:tabs>
          <w:tab w:val="right" w:pos="1701"/>
        </w:tabs>
        <w:spacing w:after="120"/>
        <w:rPr>
          <w:sz w:val="20"/>
          <w:szCs w:val="20"/>
        </w:rPr>
      </w:pPr>
      <w:r w:rsidRPr="0FE8CA8C">
        <w:rPr>
          <w:sz w:val="20"/>
          <w:szCs w:val="20"/>
        </w:rPr>
        <w:t>(</w:t>
      </w:r>
      <w:r w:rsidR="00A73420">
        <w:rPr>
          <w:sz w:val="20"/>
          <w:szCs w:val="20"/>
        </w:rPr>
        <w:t xml:space="preserve">Deed Reference(s): Clause </w:t>
      </w:r>
      <w:r w:rsidRPr="0FE8CA8C">
        <w:rPr>
          <w:sz w:val="20"/>
          <w:szCs w:val="20"/>
        </w:rPr>
        <w:t>113.5</w:t>
      </w:r>
      <w:r w:rsidR="00781474">
        <w:rPr>
          <w:sz w:val="20"/>
          <w:szCs w:val="20"/>
        </w:rPr>
        <w:t>, 117.8, 117.9</w:t>
      </w:r>
      <w:r w:rsidR="00D9358D">
        <w:rPr>
          <w:sz w:val="20"/>
          <w:szCs w:val="20"/>
        </w:rPr>
        <w:t>, 119</w:t>
      </w:r>
      <w:r w:rsidRPr="0FE8CA8C">
        <w:rPr>
          <w:sz w:val="20"/>
          <w:szCs w:val="20"/>
        </w:rPr>
        <w:t>)</w:t>
      </w:r>
    </w:p>
    <w:p w14:paraId="0B17BFDE" w14:textId="3331940C" w:rsidR="00D74559" w:rsidRPr="00234A4D" w:rsidRDefault="00D74559" w:rsidP="001D0F92">
      <w:pPr>
        <w:pStyle w:val="Heading3"/>
        <w:rPr>
          <w:szCs w:val="32"/>
        </w:rPr>
      </w:pPr>
      <w:bookmarkStart w:id="263" w:name="_Toc202899983"/>
      <w:r>
        <w:t>6.4</w:t>
      </w:r>
      <w:r w:rsidR="00CA75B7">
        <w:tab/>
      </w:r>
      <w:r>
        <w:t xml:space="preserve">Movement between Pre-Employment Support and </w:t>
      </w:r>
      <w:r w:rsidRPr="49796D97">
        <w:rPr>
          <w:szCs w:val="32"/>
        </w:rPr>
        <w:t>In</w:t>
      </w:r>
      <w:r>
        <w:rPr>
          <w:szCs w:val="32"/>
        </w:rPr>
        <w:t>-</w:t>
      </w:r>
      <w:r w:rsidRPr="49796D97">
        <w:rPr>
          <w:szCs w:val="32"/>
        </w:rPr>
        <w:t xml:space="preserve">Employment </w:t>
      </w:r>
      <w:r>
        <w:t>Support</w:t>
      </w:r>
      <w:bookmarkEnd w:id="263"/>
    </w:p>
    <w:p w14:paraId="292850DC" w14:textId="40E5FB8B" w:rsidR="00D74559" w:rsidRDefault="00D74559" w:rsidP="006E2EF5">
      <w:r>
        <w:t>Pre-</w:t>
      </w:r>
      <w:r w:rsidR="000B706B">
        <w:t>E</w:t>
      </w:r>
      <w:r>
        <w:t>mployment Support</w:t>
      </w:r>
      <w:r w:rsidRPr="00FB7CD7">
        <w:t xml:space="preserve"> end</w:t>
      </w:r>
      <w:r>
        <w:t>s</w:t>
      </w:r>
      <w:r w:rsidRPr="00FB7CD7">
        <w:t xml:space="preserve"> when a </w:t>
      </w:r>
      <w:r>
        <w:t>P</w:t>
      </w:r>
      <w:r w:rsidRPr="00FB7CD7">
        <w:t xml:space="preserve">articipant moves to </w:t>
      </w:r>
      <w:r>
        <w:t xml:space="preserve">the </w:t>
      </w:r>
      <w:r w:rsidRPr="00FB7CD7">
        <w:t>Post Placement Support phase</w:t>
      </w:r>
      <w:r>
        <w:t xml:space="preserve"> of In</w:t>
      </w:r>
      <w:r w:rsidR="00B52FBB">
        <w:noBreakHyphen/>
      </w:r>
      <w:r>
        <w:t>Employment Support</w:t>
      </w:r>
      <w:r w:rsidRPr="00FB7CD7">
        <w:t xml:space="preserve">. </w:t>
      </w:r>
    </w:p>
    <w:p w14:paraId="0AB2DE05" w14:textId="207C247B" w:rsidR="00D74559" w:rsidRPr="00FB7CD7" w:rsidRDefault="00D74559" w:rsidP="006E2EF5">
      <w:r w:rsidRPr="02295749">
        <w:t xml:space="preserve">A Participant in Post Placement Support </w:t>
      </w:r>
      <w:r w:rsidR="00FB3A75">
        <w:t xml:space="preserve">or Ongoing Support </w:t>
      </w:r>
      <w:r w:rsidRPr="02295749">
        <w:t xml:space="preserve">can return to Pre-Employment Support (for example, if their </w:t>
      </w:r>
      <w:r>
        <w:t>J</w:t>
      </w:r>
      <w:r w:rsidRPr="02295749">
        <w:t xml:space="preserve">ob </w:t>
      </w:r>
      <w:r>
        <w:t>P</w:t>
      </w:r>
      <w:r w:rsidRPr="02295749">
        <w:t>lacement ends), and the Provider must continue delivering Pre-Employment Support.</w:t>
      </w:r>
    </w:p>
    <w:p w14:paraId="0AFC0DFB" w14:textId="62D5715B" w:rsidR="00D74559" w:rsidRPr="005C0D91" w:rsidRDefault="00D74559" w:rsidP="001D0F92">
      <w:pPr>
        <w:pStyle w:val="Heading3"/>
        <w:rPr>
          <w:rStyle w:val="Heading2Char1"/>
          <w:rFonts w:asciiTheme="majorHAnsi" w:hAnsiTheme="majorHAnsi"/>
          <w:i w:val="0"/>
          <w:color w:val="005A70" w:themeColor="accent1"/>
          <w:sz w:val="32"/>
          <w:szCs w:val="24"/>
        </w:rPr>
      </w:pPr>
      <w:bookmarkStart w:id="264" w:name="_Ref202790044"/>
      <w:bookmarkStart w:id="265" w:name="_Toc202899984"/>
      <w:r w:rsidRPr="005C0D91">
        <w:rPr>
          <w:rStyle w:val="Heading2Char1"/>
          <w:rFonts w:asciiTheme="majorHAnsi" w:hAnsiTheme="majorHAnsi"/>
          <w:i w:val="0"/>
          <w:color w:val="005A70" w:themeColor="accent1"/>
          <w:sz w:val="32"/>
          <w:szCs w:val="24"/>
        </w:rPr>
        <w:t>6.5</w:t>
      </w:r>
      <w:r w:rsidR="00CA75B7">
        <w:rPr>
          <w:rStyle w:val="Heading2Char1"/>
          <w:rFonts w:asciiTheme="majorHAnsi" w:hAnsiTheme="majorHAnsi"/>
          <w:i w:val="0"/>
          <w:color w:val="005A70" w:themeColor="accent1"/>
          <w:sz w:val="32"/>
          <w:szCs w:val="24"/>
        </w:rPr>
        <w:tab/>
      </w:r>
      <w:r w:rsidRPr="005C0D91">
        <w:rPr>
          <w:rStyle w:val="Heading2Char1"/>
          <w:rFonts w:asciiTheme="majorHAnsi" w:hAnsiTheme="majorHAnsi"/>
          <w:i w:val="0"/>
          <w:color w:val="005A70" w:themeColor="accent1"/>
          <w:sz w:val="32"/>
          <w:szCs w:val="24"/>
        </w:rPr>
        <w:t>Support to be provided to Participants</w:t>
      </w:r>
      <w:bookmarkEnd w:id="264"/>
      <w:bookmarkEnd w:id="265"/>
    </w:p>
    <w:p w14:paraId="246C3EE5" w14:textId="1DC634C3" w:rsidR="00B92EE3" w:rsidRPr="00FB7CD7" w:rsidRDefault="00D74559" w:rsidP="00B92EE3">
      <w:pPr>
        <w:tabs>
          <w:tab w:val="right" w:pos="1701"/>
        </w:tabs>
        <w:spacing w:after="120"/>
      </w:pPr>
      <w:r w:rsidRPr="00FB7CD7">
        <w:rPr>
          <w:rFonts w:cstheme="minorHAnsi"/>
        </w:rPr>
        <w:t xml:space="preserve">During </w:t>
      </w:r>
      <w:r>
        <w:rPr>
          <w:rFonts w:cstheme="minorHAnsi"/>
        </w:rPr>
        <w:t>a Participant’s time in Pre-Employment Support</w:t>
      </w:r>
      <w:r w:rsidRPr="00FB7CD7">
        <w:rPr>
          <w:rFonts w:cstheme="minorHAnsi"/>
        </w:rPr>
        <w:t xml:space="preserve">, </w:t>
      </w:r>
      <w:r>
        <w:rPr>
          <w:rFonts w:cstheme="minorHAnsi"/>
        </w:rPr>
        <w:t>the P</w:t>
      </w:r>
      <w:r w:rsidRPr="00FB7CD7">
        <w:rPr>
          <w:rFonts w:cstheme="minorHAnsi"/>
        </w:rPr>
        <w:t>rovider</w:t>
      </w:r>
      <w:r>
        <w:rPr>
          <w:rFonts w:cstheme="minorHAnsi"/>
        </w:rPr>
        <w:t xml:space="preserve"> must </w:t>
      </w:r>
      <w:r w:rsidRPr="00FB7CD7">
        <w:rPr>
          <w:rFonts w:cstheme="minorHAnsi"/>
        </w:rPr>
        <w:t xml:space="preserve">help </w:t>
      </w:r>
      <w:r>
        <w:rPr>
          <w:rFonts w:cstheme="minorHAnsi"/>
        </w:rPr>
        <w:t>the P</w:t>
      </w:r>
      <w:r w:rsidRPr="00FB7CD7">
        <w:rPr>
          <w:rFonts w:cstheme="minorHAnsi"/>
        </w:rPr>
        <w:t xml:space="preserve">articipant prepare for and find work. </w:t>
      </w:r>
      <w:r w:rsidR="00B92EE3" w:rsidRPr="2524A882">
        <w:t xml:space="preserve">Providers have significant flexibility in what support is provided to each Participant </w:t>
      </w:r>
      <w:r w:rsidR="009C6189">
        <w:t xml:space="preserve">acknowledging </w:t>
      </w:r>
      <w:r w:rsidR="00D04111">
        <w:t>the unique</w:t>
      </w:r>
      <w:r w:rsidR="00B92EE3" w:rsidRPr="2524A882">
        <w:t xml:space="preserve"> needs </w:t>
      </w:r>
      <w:r w:rsidR="00D04111">
        <w:t xml:space="preserve">of </w:t>
      </w:r>
      <w:r w:rsidR="00B92EE3" w:rsidRPr="2524A882">
        <w:t xml:space="preserve">each Participant. Providers must deliver </w:t>
      </w:r>
      <w:r w:rsidR="00244DC0">
        <w:t xml:space="preserve">tailored </w:t>
      </w:r>
      <w:r w:rsidR="00B92EE3" w:rsidRPr="2524A882">
        <w:t xml:space="preserve">supports that </w:t>
      </w:r>
      <w:r w:rsidR="006322A8">
        <w:t xml:space="preserve">recognise and </w:t>
      </w:r>
      <w:r w:rsidR="00B92EE3" w:rsidRPr="2524A882">
        <w:t xml:space="preserve">address </w:t>
      </w:r>
      <w:r w:rsidR="00AB38B1">
        <w:t xml:space="preserve">Participants’ </w:t>
      </w:r>
      <w:r w:rsidR="00B92EE3" w:rsidRPr="2524A882">
        <w:t xml:space="preserve">barriers to employment </w:t>
      </w:r>
      <w:r w:rsidR="00C35C6E">
        <w:t xml:space="preserve">and </w:t>
      </w:r>
      <w:r w:rsidR="00B92EE3" w:rsidRPr="2524A882">
        <w:t>build their skills and</w:t>
      </w:r>
      <w:r w:rsidR="00B92EE3" w:rsidRPr="2524A882" w:rsidDel="00C35C6E">
        <w:t xml:space="preserve"> </w:t>
      </w:r>
      <w:r w:rsidR="00B92EE3" w:rsidRPr="2524A882">
        <w:t>capacity to look for, find and keep suitable work.</w:t>
      </w:r>
    </w:p>
    <w:p w14:paraId="1BB28580" w14:textId="6527A695" w:rsidR="00AE59E9" w:rsidRDefault="001215BD" w:rsidP="00962D9A">
      <w:pPr>
        <w:tabs>
          <w:tab w:val="right" w:pos="1701"/>
        </w:tabs>
        <w:spacing w:after="120"/>
      </w:pPr>
      <w:r>
        <w:t xml:space="preserve">Providers must also ensure that the </w:t>
      </w:r>
      <w:r w:rsidR="002A7432">
        <w:t xml:space="preserve">agreed </w:t>
      </w:r>
      <w:r w:rsidR="00962D9A">
        <w:t>Activities and Services</w:t>
      </w:r>
      <w:r w:rsidR="002A7432">
        <w:t xml:space="preserve"> for each </w:t>
      </w:r>
      <w:r w:rsidR="00921A0C">
        <w:t>P</w:t>
      </w:r>
      <w:r w:rsidR="002A7432">
        <w:t xml:space="preserve">articipant </w:t>
      </w:r>
      <w:r w:rsidR="005D2D50">
        <w:t>are designed</w:t>
      </w:r>
      <w:r w:rsidR="001D2396">
        <w:t xml:space="preserve"> to buil</w:t>
      </w:r>
      <w:r w:rsidR="001220C4">
        <w:t>d</w:t>
      </w:r>
      <w:r w:rsidR="001D2396">
        <w:t xml:space="preserve"> a pathway to Employment that </w:t>
      </w:r>
      <w:r w:rsidR="00107BF7">
        <w:t>aligns with the Participant’s interests</w:t>
      </w:r>
      <w:r w:rsidR="005D2D50">
        <w:t xml:space="preserve"> and </w:t>
      </w:r>
      <w:r w:rsidR="0025689F">
        <w:t>goals</w:t>
      </w:r>
      <w:r w:rsidR="005D2D50">
        <w:t>.</w:t>
      </w:r>
      <w:r w:rsidR="00AE59E9">
        <w:t xml:space="preserve"> Services must</w:t>
      </w:r>
      <w:r w:rsidR="00962D9A">
        <w:t xml:space="preserve"> also ensure that each Participant can meet any participation requirements that they may have in order to receive Income Support Payments.</w:t>
      </w:r>
      <w:r w:rsidR="004222A4">
        <w:t xml:space="preserve"> </w:t>
      </w:r>
      <w:r w:rsidR="00AE59E9">
        <w:t xml:space="preserve">Refer to </w:t>
      </w:r>
      <w:r w:rsidR="00AE59E9">
        <w:fldChar w:fldCharType="begin"/>
      </w:r>
      <w:r w:rsidR="00AE59E9">
        <w:instrText xml:space="preserve"> REF _Ref202783027 \h </w:instrText>
      </w:r>
      <w:r w:rsidR="00AE59E9">
        <w:fldChar w:fldCharType="separate"/>
      </w:r>
      <w:r w:rsidR="000D75AE" w:rsidRPr="00BA23D8">
        <w:t>Chapter 5</w:t>
      </w:r>
      <w:r w:rsidR="000D75AE">
        <w:t>:</w:t>
      </w:r>
      <w:r w:rsidR="00A31574">
        <w:t xml:space="preserve"> </w:t>
      </w:r>
      <w:r w:rsidR="000D75AE" w:rsidRPr="00BA23D8">
        <w:t>Participation requirements</w:t>
      </w:r>
      <w:r w:rsidR="00AE59E9">
        <w:fldChar w:fldCharType="end"/>
      </w:r>
      <w:r w:rsidR="00AE59E9">
        <w:t xml:space="preserve"> for more information about participation requirements and </w:t>
      </w:r>
      <w:r w:rsidR="00962D9A">
        <w:fldChar w:fldCharType="begin"/>
      </w:r>
      <w:r w:rsidR="00962D9A">
        <w:instrText xml:space="preserve"> REF _Ref202792080 \h </w:instrText>
      </w:r>
      <w:r w:rsidR="00962D9A">
        <w:fldChar w:fldCharType="separate"/>
      </w:r>
      <w:r w:rsidR="000D75AE" w:rsidRPr="00BA23D8">
        <w:t>Chapter 7</w:t>
      </w:r>
      <w:r w:rsidR="000D75AE">
        <w:t xml:space="preserve">: </w:t>
      </w:r>
      <w:r w:rsidR="000D75AE" w:rsidRPr="00BA23D8">
        <w:t>Activities</w:t>
      </w:r>
      <w:r w:rsidR="00962D9A">
        <w:fldChar w:fldCharType="end"/>
      </w:r>
      <w:r w:rsidR="00962D9A">
        <w:t xml:space="preserve"> </w:t>
      </w:r>
      <w:r w:rsidR="00FD2D45">
        <w:t xml:space="preserve">for more information on the </w:t>
      </w:r>
      <w:r w:rsidR="00AE59E9">
        <w:t>types of Activities.</w:t>
      </w:r>
    </w:p>
    <w:p w14:paraId="02B11773" w14:textId="67B5A44A" w:rsidR="00D74559" w:rsidRPr="00FB7CD7" w:rsidRDefault="00D74559" w:rsidP="006E2EF5">
      <w:pPr>
        <w:tabs>
          <w:tab w:val="right" w:pos="1701"/>
        </w:tabs>
        <w:spacing w:after="120"/>
        <w:rPr>
          <w:rFonts w:cstheme="minorHAnsi"/>
        </w:rPr>
      </w:pPr>
      <w:r w:rsidRPr="00FB7CD7">
        <w:rPr>
          <w:rFonts w:cstheme="minorHAnsi"/>
        </w:rPr>
        <w:t>Providers must:</w:t>
      </w:r>
    </w:p>
    <w:p w14:paraId="5EDD5245" w14:textId="3D2E83B0" w:rsidR="00D74559" w:rsidRPr="00156D37" w:rsidRDefault="00D74559" w:rsidP="004E120D">
      <w:pPr>
        <w:pStyle w:val="BulletLevel1"/>
      </w:pPr>
      <w:r w:rsidRPr="00156D37">
        <w:t xml:space="preserve">maintain regular </w:t>
      </w:r>
      <w:r>
        <w:t>C</w:t>
      </w:r>
      <w:r w:rsidRPr="00156D37">
        <w:t xml:space="preserve">ontact with the </w:t>
      </w:r>
      <w:r>
        <w:t>P</w:t>
      </w:r>
      <w:r w:rsidRPr="00156D37">
        <w:t xml:space="preserve">articipant </w:t>
      </w:r>
      <w:r w:rsidR="00FD67FE">
        <w:t xml:space="preserve">in line with the Intensive or Flexible Services </w:t>
      </w:r>
      <w:r w:rsidR="00A37D3F">
        <w:t>— refer to</w:t>
      </w:r>
      <w:r w:rsidR="007E00B6">
        <w:t xml:space="preserve"> </w:t>
      </w:r>
      <w:r w:rsidR="007E00B6">
        <w:rPr>
          <w:highlight w:val="yellow"/>
        </w:rPr>
        <w:fldChar w:fldCharType="begin"/>
      </w:r>
      <w:r w:rsidR="007E00B6">
        <w:instrText xml:space="preserve"> REF _Ref202791119 \h </w:instrText>
      </w:r>
      <w:r w:rsidR="007E00B6">
        <w:rPr>
          <w:highlight w:val="yellow"/>
        </w:rPr>
      </w:r>
      <w:r w:rsidR="007E00B6">
        <w:rPr>
          <w:highlight w:val="yellow"/>
        </w:rPr>
        <w:fldChar w:fldCharType="separate"/>
      </w:r>
      <w:r w:rsidR="000D75AE">
        <w:t>6.6</w:t>
      </w:r>
      <w:r w:rsidR="00A31574">
        <w:t xml:space="preserve"> </w:t>
      </w:r>
      <w:r w:rsidR="000D75AE">
        <w:t>Participant Contact</w:t>
      </w:r>
      <w:r w:rsidR="007E00B6">
        <w:rPr>
          <w:highlight w:val="yellow"/>
        </w:rPr>
        <w:fldChar w:fldCharType="end"/>
      </w:r>
    </w:p>
    <w:p w14:paraId="6BAA0372" w14:textId="6BA37CD0" w:rsidR="00D74559" w:rsidRDefault="00D74559" w:rsidP="004E120D">
      <w:pPr>
        <w:pStyle w:val="BulletLevel1"/>
      </w:pPr>
      <w:r w:rsidRPr="02295749">
        <w:t xml:space="preserve">deliver or </w:t>
      </w:r>
      <w:r>
        <w:t>arrange</w:t>
      </w:r>
      <w:r w:rsidRPr="02295749">
        <w:t xml:space="preserve"> </w:t>
      </w:r>
      <w:r w:rsidR="00D41281">
        <w:t>appropriate</w:t>
      </w:r>
      <w:r w:rsidRPr="02295749">
        <w:t xml:space="preserve"> Activities and </w:t>
      </w:r>
      <w:r w:rsidR="00A90FBF">
        <w:t>Services</w:t>
      </w:r>
      <w:r w:rsidRPr="02295749">
        <w:t xml:space="preserve"> </w:t>
      </w:r>
      <w:r>
        <w:t>to meet</w:t>
      </w:r>
      <w:r w:rsidRPr="02295749">
        <w:t xml:space="preserve"> </w:t>
      </w:r>
      <w:r w:rsidR="002036AC">
        <w:t xml:space="preserve">the </w:t>
      </w:r>
      <w:r w:rsidRPr="02295749">
        <w:t>Participant</w:t>
      </w:r>
      <w:r w:rsidR="002036AC">
        <w:t>’s</w:t>
      </w:r>
      <w:r w:rsidRPr="02295749">
        <w:t xml:space="preserve"> needs</w:t>
      </w:r>
    </w:p>
    <w:p w14:paraId="6EC81AD4" w14:textId="454550A3" w:rsidR="00A37D3F" w:rsidRDefault="00D74559">
      <w:pPr>
        <w:pStyle w:val="BulletLevel1"/>
      </w:pPr>
      <w:r w:rsidRPr="00156D37">
        <w:t>regularly</w:t>
      </w:r>
      <w:r w:rsidRPr="00FB7CD7">
        <w:t xml:space="preserve"> </w:t>
      </w:r>
      <w:r w:rsidR="00480DFD">
        <w:t xml:space="preserve">engage with </w:t>
      </w:r>
      <w:r w:rsidR="002036AC">
        <w:t xml:space="preserve">the </w:t>
      </w:r>
      <w:r w:rsidR="00480DFD">
        <w:t xml:space="preserve">Participant </w:t>
      </w:r>
      <w:r w:rsidR="00525928">
        <w:t>to</w:t>
      </w:r>
      <w:r w:rsidR="005C68FA">
        <w:t xml:space="preserve"> </w:t>
      </w:r>
      <w:r w:rsidR="006F68C0">
        <w:t xml:space="preserve">discuss </w:t>
      </w:r>
      <w:r w:rsidR="0007516A">
        <w:t xml:space="preserve">whether the agreed </w:t>
      </w:r>
      <w:r w:rsidRPr="00727DE2">
        <w:t>Activities</w:t>
      </w:r>
      <w:r w:rsidRPr="00BA71D0">
        <w:t xml:space="preserve"> </w:t>
      </w:r>
      <w:r w:rsidR="0007516A">
        <w:t>and Services are meeting the Participant’s needs</w:t>
      </w:r>
      <w:r>
        <w:t>,</w:t>
      </w:r>
      <w:r w:rsidR="00A37D3F">
        <w:t xml:space="preserve"> including</w:t>
      </w:r>
      <w:r>
        <w:t xml:space="preserve"> </w:t>
      </w:r>
    </w:p>
    <w:p w14:paraId="2ED65DD2" w14:textId="2F169551" w:rsidR="00C628A6" w:rsidRDefault="00C628A6" w:rsidP="00A37D3F">
      <w:pPr>
        <w:pStyle w:val="BulletLevel2"/>
      </w:pPr>
      <w:r>
        <w:t xml:space="preserve">the </w:t>
      </w:r>
      <w:r w:rsidR="00540622">
        <w:t>tasks</w:t>
      </w:r>
      <w:r>
        <w:t xml:space="preserve"> and </w:t>
      </w:r>
      <w:r w:rsidR="00540622">
        <w:t>activities</w:t>
      </w:r>
      <w:r>
        <w:t xml:space="preserve"> a Participant is undertaking to engage meaningfully</w:t>
      </w:r>
      <w:r w:rsidR="00B71DA7">
        <w:t>, if the Participant has</w:t>
      </w:r>
      <w:r w:rsidR="00A93C22">
        <w:t xml:space="preserve"> a </w:t>
      </w:r>
      <w:r w:rsidR="00334426">
        <w:t xml:space="preserve">Meaningful Engagement </w:t>
      </w:r>
      <w:r w:rsidR="00A93C22">
        <w:t>Job Plan</w:t>
      </w:r>
      <w:r>
        <w:t>, or</w:t>
      </w:r>
    </w:p>
    <w:p w14:paraId="202BF5A1" w14:textId="19B0ADE9" w:rsidR="00D74559" w:rsidRDefault="00FD290E" w:rsidP="00A37D3F">
      <w:pPr>
        <w:pStyle w:val="BulletLevel2"/>
      </w:pPr>
      <w:r>
        <w:t xml:space="preserve">the </w:t>
      </w:r>
      <w:r w:rsidR="00B30F78">
        <w:t xml:space="preserve">Participant’s </w:t>
      </w:r>
      <w:r w:rsidR="00C123F5">
        <w:t xml:space="preserve">agreed </w:t>
      </w:r>
      <w:r w:rsidR="00540622">
        <w:t>tasks</w:t>
      </w:r>
      <w:r w:rsidR="00D431EE">
        <w:t xml:space="preserve"> and </w:t>
      </w:r>
      <w:r w:rsidR="00540622">
        <w:t>activities</w:t>
      </w:r>
      <w:r w:rsidR="00A93C22">
        <w:t xml:space="preserve"> </w:t>
      </w:r>
      <w:r w:rsidR="00206975">
        <w:t>in a</w:t>
      </w:r>
      <w:r w:rsidR="00A93C22">
        <w:t xml:space="preserve"> Job Plan (Detailed)</w:t>
      </w:r>
      <w:r w:rsidR="00A37D3F">
        <w:t>, and</w:t>
      </w:r>
    </w:p>
    <w:p w14:paraId="3A87DA57" w14:textId="3C7EBD72" w:rsidR="00A37D3F" w:rsidRPr="00F40C15" w:rsidRDefault="00A37D3F" w:rsidP="00076477">
      <w:pPr>
        <w:pStyle w:val="BulletLevel1"/>
      </w:pPr>
      <w:r>
        <w:t xml:space="preserve">review the Participant’s Job Plan and update as required — refer to relevant Sections in </w:t>
      </w:r>
      <w:r>
        <w:fldChar w:fldCharType="begin"/>
      </w:r>
      <w:r>
        <w:instrText xml:space="preserve"> REF _Ref202784061 \h </w:instrText>
      </w:r>
      <w:r>
        <w:fldChar w:fldCharType="separate"/>
      </w:r>
      <w:r w:rsidR="000D75AE" w:rsidRPr="00BA23D8">
        <w:t>Chapter4</w:t>
      </w:r>
      <w:r w:rsidR="000D75AE">
        <w:t>:</w:t>
      </w:r>
      <w:r w:rsidR="00A31574">
        <w:t xml:space="preserve"> </w:t>
      </w:r>
      <w:r w:rsidR="000D75AE" w:rsidRPr="00BA23D8">
        <w:t>Job Plans</w:t>
      </w:r>
      <w:r>
        <w:fldChar w:fldCharType="end"/>
      </w:r>
      <w:r>
        <w:t>.</w:t>
      </w:r>
    </w:p>
    <w:p w14:paraId="71AA697E" w14:textId="77777777" w:rsidR="00D74559" w:rsidRPr="005C0D91" w:rsidRDefault="00D74559" w:rsidP="005C0D91">
      <w:pPr>
        <w:pStyle w:val="TableChartHeading"/>
      </w:pPr>
      <w:r w:rsidRPr="005C0D91">
        <w:t>Participant Supports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6798"/>
      </w:tblGrid>
      <w:tr w:rsidR="00FD020B" w:rsidRPr="00FB7CD7" w14:paraId="02F307BE"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2830" w:type="dxa"/>
            <w:tcBorders>
              <w:bottom w:val="single" w:sz="4" w:space="0" w:color="auto"/>
            </w:tcBorders>
          </w:tcPr>
          <w:p w14:paraId="319DFE5C" w14:textId="77777777" w:rsidR="00D74559" w:rsidRPr="00FB7CD7" w:rsidRDefault="00D74559" w:rsidP="005C0D91">
            <w:pPr>
              <w:pStyle w:val="TableText"/>
              <w:rPr>
                <w:b w:val="0"/>
              </w:rPr>
            </w:pPr>
            <w:r w:rsidRPr="00FB7CD7">
              <w:t>Category</w:t>
            </w:r>
          </w:p>
        </w:tc>
        <w:tc>
          <w:tcPr>
            <w:tcW w:w="6798" w:type="dxa"/>
            <w:tcBorders>
              <w:bottom w:val="single" w:sz="4" w:space="0" w:color="auto"/>
            </w:tcBorders>
          </w:tcPr>
          <w:p w14:paraId="1533E55E" w14:textId="77777777" w:rsidR="00D74559" w:rsidRPr="00FB7CD7" w:rsidRDefault="00D74559" w:rsidP="005C0D91">
            <w:pPr>
              <w:pStyle w:val="TableText"/>
              <w:rPr>
                <w:b w:val="0"/>
              </w:rPr>
            </w:pPr>
            <w:r w:rsidRPr="00FB7CD7">
              <w:t>Supports may include</w:t>
            </w:r>
          </w:p>
        </w:tc>
      </w:tr>
      <w:tr w:rsidR="00D74559" w:rsidRPr="00FB7CD7" w14:paraId="7AEEFD31" w14:textId="77777777" w:rsidTr="00DE7A9B">
        <w:trPr>
          <w:cnfStyle w:val="000000100000" w:firstRow="0" w:lastRow="0" w:firstColumn="0" w:lastColumn="0" w:oddVBand="0" w:evenVBand="0" w:oddHBand="1" w:evenHBand="0" w:firstRowFirstColumn="0" w:firstRowLastColumn="0" w:lastRowFirstColumn="0" w:lastRowLastColumn="0"/>
          <w:cantSplit/>
        </w:trPr>
        <w:tc>
          <w:tcPr>
            <w:tcW w:w="2830" w:type="dxa"/>
            <w:tcBorders>
              <w:bottom w:val="single" w:sz="4" w:space="0" w:color="auto"/>
            </w:tcBorders>
          </w:tcPr>
          <w:p w14:paraId="407CA72A" w14:textId="77777777" w:rsidR="00D74559" w:rsidRPr="00BB61D7" w:rsidRDefault="00D74559" w:rsidP="005C0D91">
            <w:pPr>
              <w:pStyle w:val="TableText"/>
            </w:pPr>
            <w:r w:rsidRPr="00BB61D7">
              <w:t>Addressing disability / injury</w:t>
            </w:r>
          </w:p>
        </w:tc>
        <w:tc>
          <w:tcPr>
            <w:tcW w:w="6798" w:type="dxa"/>
            <w:tcBorders>
              <w:bottom w:val="single" w:sz="4" w:space="0" w:color="auto"/>
            </w:tcBorders>
          </w:tcPr>
          <w:p w14:paraId="0925D75F" w14:textId="25D47743" w:rsidR="00D74559" w:rsidRPr="00FB7CD7" w:rsidRDefault="00D74559" w:rsidP="007D21CC">
            <w:pPr>
              <w:pStyle w:val="TableList-level1"/>
            </w:pPr>
            <w:r w:rsidRPr="2524A882">
              <w:t>Disability management including providing</w:t>
            </w:r>
            <w:r w:rsidR="005B0ED3">
              <w:t>,</w:t>
            </w:r>
            <w:r w:rsidRPr="2524A882">
              <w:t xml:space="preserve"> buying or helping Participants to access functional </w:t>
            </w:r>
            <w:bookmarkStart w:id="266" w:name="_Int_lnxLSmxL"/>
            <w:r w:rsidRPr="2524A882">
              <w:t>capacity</w:t>
            </w:r>
            <w:bookmarkEnd w:id="266"/>
            <w:r w:rsidRPr="2524A882">
              <w:t xml:space="preserve"> evaluations, physical </w:t>
            </w:r>
            <w:r w:rsidR="00F8742D">
              <w:t xml:space="preserve">or </w:t>
            </w:r>
            <w:r w:rsidRPr="2524A882">
              <w:t xml:space="preserve">other assessments to </w:t>
            </w:r>
            <w:r w:rsidR="00C278F2">
              <w:t>understand</w:t>
            </w:r>
            <w:r w:rsidRPr="2524A882">
              <w:t xml:space="preserve"> their abilities</w:t>
            </w:r>
            <w:r w:rsidR="000635C5">
              <w:t>,</w:t>
            </w:r>
            <w:r w:rsidRPr="2524A882">
              <w:t xml:space="preserve"> limits</w:t>
            </w:r>
            <w:r w:rsidR="000635C5">
              <w:t xml:space="preserve"> or support needs</w:t>
            </w:r>
            <w:r w:rsidRPr="2524A882">
              <w:t>.</w:t>
            </w:r>
          </w:p>
          <w:p w14:paraId="0BC40B37" w14:textId="03DE0960" w:rsidR="00D74559" w:rsidRPr="00FB7CD7" w:rsidRDefault="00D74559" w:rsidP="007D21CC">
            <w:pPr>
              <w:pStyle w:val="TableList-level1"/>
            </w:pPr>
            <w:r w:rsidRPr="02295749">
              <w:t>Health support including providing</w:t>
            </w:r>
            <w:r w:rsidR="000635C5">
              <w:t>,</w:t>
            </w:r>
            <w:r w:rsidRPr="02295749">
              <w:t xml:space="preserve"> </w:t>
            </w:r>
            <w:r w:rsidRPr="5E809BAB">
              <w:t>buying</w:t>
            </w:r>
            <w:r w:rsidRPr="02295749">
              <w:t xml:space="preserve"> or </w:t>
            </w:r>
            <w:r w:rsidRPr="5E809BAB">
              <w:t>helping</w:t>
            </w:r>
            <w:r w:rsidRPr="02295749">
              <w:t xml:space="preserve"> Participants to access physiotherapy, occupational therapy, pain management or psychological counselling.</w:t>
            </w:r>
          </w:p>
        </w:tc>
      </w:tr>
      <w:tr w:rsidR="00FD020B" w:rsidRPr="00FB7CD7" w14:paraId="4814B5F2" w14:textId="77777777" w:rsidTr="00DE7A9B">
        <w:trPr>
          <w:cnfStyle w:val="000000010000" w:firstRow="0" w:lastRow="0" w:firstColumn="0" w:lastColumn="0" w:oddVBand="0" w:evenVBand="0" w:oddHBand="0" w:evenHBand="1" w:firstRowFirstColumn="0" w:firstRowLastColumn="0" w:lastRowFirstColumn="0" w:lastRowLastColumn="0"/>
          <w:cantSplit/>
        </w:trPr>
        <w:tc>
          <w:tcPr>
            <w:tcW w:w="2830" w:type="dxa"/>
            <w:tcBorders>
              <w:top w:val="single" w:sz="4" w:space="0" w:color="auto"/>
            </w:tcBorders>
          </w:tcPr>
          <w:p w14:paraId="3D743431" w14:textId="77777777" w:rsidR="00D74559" w:rsidRPr="00BB61D7" w:rsidRDefault="00D74559" w:rsidP="005C0D91">
            <w:pPr>
              <w:pStyle w:val="TableText"/>
            </w:pPr>
            <w:r w:rsidRPr="00BB61D7">
              <w:t>Vocational skills</w:t>
            </w:r>
          </w:p>
        </w:tc>
        <w:tc>
          <w:tcPr>
            <w:tcW w:w="6798" w:type="dxa"/>
            <w:tcBorders>
              <w:top w:val="single" w:sz="4" w:space="0" w:color="auto"/>
            </w:tcBorders>
          </w:tcPr>
          <w:p w14:paraId="64C44B7C" w14:textId="70A56564" w:rsidR="00E304C3" w:rsidRDefault="00E304C3" w:rsidP="007D21CC">
            <w:pPr>
              <w:pStyle w:val="TableList-level1"/>
            </w:pPr>
            <w:r>
              <w:t>Activities that improve Work Readiness.</w:t>
            </w:r>
          </w:p>
          <w:p w14:paraId="2E030B27" w14:textId="692E609A" w:rsidR="00D74559" w:rsidRDefault="00D74559" w:rsidP="007D21CC">
            <w:pPr>
              <w:pStyle w:val="TableList-level1"/>
            </w:pPr>
            <w:r w:rsidRPr="2524A882">
              <w:t xml:space="preserve">Vocational </w:t>
            </w:r>
            <w:r w:rsidR="67DD202E">
              <w:t>E</w:t>
            </w:r>
            <w:r>
              <w:t>ducation</w:t>
            </w:r>
            <w:r w:rsidRPr="2524A882">
              <w:t xml:space="preserve"> or </w:t>
            </w:r>
            <w:r w:rsidR="3DD206B0">
              <w:t>T</w:t>
            </w:r>
            <w:r>
              <w:t>raining, higher education</w:t>
            </w:r>
            <w:r w:rsidRPr="2524A882">
              <w:t xml:space="preserve">, </w:t>
            </w:r>
            <w:r w:rsidR="003E480E" w:rsidRPr="42C107D3">
              <w:t>accredited units of competency</w:t>
            </w:r>
            <w:r w:rsidR="007733F6">
              <w:t xml:space="preserve">, </w:t>
            </w:r>
            <w:r w:rsidRPr="2524A882">
              <w:t>non-accredited study or other training activities that match the Participant’s needs</w:t>
            </w:r>
            <w:r w:rsidR="00B27EF8">
              <w:t xml:space="preserve"> (see </w:t>
            </w:r>
            <w:r w:rsidR="00B27EF8">
              <w:fldChar w:fldCharType="begin"/>
            </w:r>
            <w:r w:rsidR="00B27EF8">
              <w:instrText xml:space="preserve"> REF _Ref202791373 \h </w:instrText>
            </w:r>
            <w:r w:rsidR="00B27EF8">
              <w:fldChar w:fldCharType="separate"/>
            </w:r>
            <w:r w:rsidR="000D75AE">
              <w:t>7.7.2</w:t>
            </w:r>
            <w:r w:rsidR="002E053E">
              <w:t xml:space="preserve"> </w:t>
            </w:r>
            <w:r w:rsidR="000D75AE" w:rsidRPr="21E3D223">
              <w:t>Education and Training</w:t>
            </w:r>
            <w:r w:rsidR="00B27EF8">
              <w:fldChar w:fldCharType="end"/>
            </w:r>
            <w:r w:rsidR="00B27EF8">
              <w:t>)</w:t>
            </w:r>
            <w:r w:rsidRPr="2524A882">
              <w:t>.</w:t>
            </w:r>
          </w:p>
          <w:p w14:paraId="45CF985B" w14:textId="333CE889" w:rsidR="00D74559" w:rsidRPr="00FB7CD7" w:rsidRDefault="00D74559" w:rsidP="007D21CC">
            <w:pPr>
              <w:pStyle w:val="TableList-level1"/>
            </w:pPr>
            <w:r w:rsidRPr="02295749">
              <w:t>Self-</w:t>
            </w:r>
            <w:r w:rsidR="00544723">
              <w:t>E</w:t>
            </w:r>
            <w:r w:rsidRPr="02295749">
              <w:t xml:space="preserve">mployment </w:t>
            </w:r>
            <w:r w:rsidR="00544723">
              <w:t xml:space="preserve">Assistance </w:t>
            </w:r>
            <w:r w:rsidR="00F51DEA">
              <w:t>(see</w:t>
            </w:r>
            <w:r w:rsidR="00B27EF8">
              <w:t xml:space="preserve"> </w:t>
            </w:r>
            <w:r w:rsidR="00B27EF8">
              <w:rPr>
                <w:highlight w:val="yellow"/>
              </w:rPr>
              <w:fldChar w:fldCharType="begin"/>
            </w:r>
            <w:r w:rsidR="00B27EF8">
              <w:instrText xml:space="preserve"> REF _Ref202791387 \h </w:instrText>
            </w:r>
            <w:r w:rsidR="00B27EF8">
              <w:rPr>
                <w:highlight w:val="yellow"/>
              </w:rPr>
            </w:r>
            <w:r w:rsidR="00B27EF8">
              <w:rPr>
                <w:highlight w:val="yellow"/>
              </w:rPr>
              <w:fldChar w:fldCharType="separate"/>
            </w:r>
            <w:r w:rsidR="000D75AE">
              <w:t>7.5.5</w:t>
            </w:r>
            <w:r w:rsidR="002E053E">
              <w:t xml:space="preserve"> </w:t>
            </w:r>
            <w:r w:rsidR="000D75AE">
              <w:t>Self-Employment Assistance</w:t>
            </w:r>
            <w:r w:rsidR="00B27EF8">
              <w:rPr>
                <w:highlight w:val="yellow"/>
              </w:rPr>
              <w:fldChar w:fldCharType="end"/>
            </w:r>
            <w:r w:rsidR="00F51DEA">
              <w:t xml:space="preserve">) </w:t>
            </w:r>
            <w:r w:rsidR="00544723">
              <w:t xml:space="preserve">or other help </w:t>
            </w:r>
            <w:r w:rsidR="004A6B3A">
              <w:t xml:space="preserve">with entrepreneurship </w:t>
            </w:r>
            <w:r w:rsidR="008C0A92">
              <w:t>and/or</w:t>
            </w:r>
            <w:r w:rsidR="00544723">
              <w:t xml:space="preserve"> </w:t>
            </w:r>
            <w:r w:rsidR="008C0A92">
              <w:t>business ownership</w:t>
            </w:r>
            <w:r w:rsidRPr="02295749">
              <w:t>.</w:t>
            </w:r>
          </w:p>
        </w:tc>
      </w:tr>
      <w:tr w:rsidR="00D74559" w:rsidRPr="00FB7CD7" w14:paraId="0776F4BE" w14:textId="77777777" w:rsidTr="00AC44CC">
        <w:trPr>
          <w:cnfStyle w:val="000000100000" w:firstRow="0" w:lastRow="0" w:firstColumn="0" w:lastColumn="0" w:oddVBand="0" w:evenVBand="0" w:oddHBand="1" w:evenHBand="0" w:firstRowFirstColumn="0" w:firstRowLastColumn="0" w:lastRowFirstColumn="0" w:lastRowLastColumn="0"/>
          <w:cantSplit/>
        </w:trPr>
        <w:tc>
          <w:tcPr>
            <w:tcW w:w="2830" w:type="dxa"/>
            <w:tcBorders>
              <w:bottom w:val="single" w:sz="4" w:space="0" w:color="auto"/>
            </w:tcBorders>
          </w:tcPr>
          <w:p w14:paraId="5D94EB6A" w14:textId="77777777" w:rsidR="00D74559" w:rsidRPr="00BB61D7" w:rsidRDefault="00D74559" w:rsidP="005C0D91">
            <w:pPr>
              <w:pStyle w:val="TableText"/>
            </w:pPr>
            <w:r w:rsidRPr="00BB61D7">
              <w:t>Non-vocational skills</w:t>
            </w:r>
          </w:p>
        </w:tc>
        <w:tc>
          <w:tcPr>
            <w:tcW w:w="6798" w:type="dxa"/>
            <w:tcBorders>
              <w:bottom w:val="single" w:sz="4" w:space="0" w:color="auto"/>
            </w:tcBorders>
          </w:tcPr>
          <w:p w14:paraId="35182DEE" w14:textId="247D3378" w:rsidR="00D74559" w:rsidRDefault="00D74559" w:rsidP="007D21CC">
            <w:pPr>
              <w:pStyle w:val="TableList-level1"/>
            </w:pPr>
            <w:r w:rsidRPr="2524A882">
              <w:t xml:space="preserve">Whole of life issues that affect </w:t>
            </w:r>
            <w:r w:rsidR="0064250A">
              <w:t xml:space="preserve">job </w:t>
            </w:r>
            <w:r w:rsidRPr="2524A882">
              <w:t xml:space="preserve">prospects including non-vocational training such as drug and alcohol rehabilitation, self-help and support groups, </w:t>
            </w:r>
            <w:r w:rsidR="00A60C53">
              <w:t xml:space="preserve">carer/parenting skills </w:t>
            </w:r>
            <w:r w:rsidRPr="2524A882">
              <w:t>and programs to address disability, injury and health conditions</w:t>
            </w:r>
            <w:r w:rsidR="00FA31A7">
              <w:t xml:space="preserve"> (see </w:t>
            </w:r>
            <w:r w:rsidR="00FA31A7">
              <w:fldChar w:fldCharType="begin"/>
            </w:r>
            <w:r w:rsidR="00FA31A7">
              <w:instrText xml:space="preserve"> REF _Ref202791607 \h </w:instrText>
            </w:r>
            <w:r w:rsidR="00FA31A7">
              <w:fldChar w:fldCharType="separate"/>
            </w:r>
            <w:r w:rsidR="000D75AE" w:rsidRPr="2E254F05">
              <w:rPr>
                <w:lang w:val="en-GB"/>
              </w:rPr>
              <w:t>7.7.5</w:t>
            </w:r>
            <w:r w:rsidR="003616E5">
              <w:rPr>
                <w:lang w:val="en-GB"/>
              </w:rPr>
              <w:t xml:space="preserve"> </w:t>
            </w:r>
            <w:r w:rsidR="000D75AE">
              <w:rPr>
                <w:lang w:val="en-GB"/>
              </w:rPr>
              <w:t>I</w:t>
            </w:r>
            <w:r w:rsidR="000D75AE" w:rsidRPr="2E254F05">
              <w:rPr>
                <w:lang w:val="en-GB"/>
              </w:rPr>
              <w:t>nterventions</w:t>
            </w:r>
            <w:r w:rsidR="000D75AE">
              <w:rPr>
                <w:lang w:val="en-GB"/>
              </w:rPr>
              <w:t xml:space="preserve"> and other non-vocational supports</w:t>
            </w:r>
            <w:r w:rsidR="00FA31A7">
              <w:fldChar w:fldCharType="end"/>
            </w:r>
            <w:r w:rsidR="00FA31A7">
              <w:t>)</w:t>
            </w:r>
            <w:r w:rsidRPr="2524A882">
              <w:t>.</w:t>
            </w:r>
          </w:p>
          <w:p w14:paraId="7BA6D6EE" w14:textId="42B19B86" w:rsidR="00D74559" w:rsidRDefault="00D74559" w:rsidP="007D21CC">
            <w:pPr>
              <w:pStyle w:val="TableList-level1"/>
            </w:pPr>
            <w:r>
              <w:t xml:space="preserve">Access to relevant Commonwealth, </w:t>
            </w:r>
            <w:r w:rsidR="00297E43">
              <w:t>S</w:t>
            </w:r>
            <w:r>
              <w:t>tate</w:t>
            </w:r>
            <w:r w:rsidR="00297E43">
              <w:t xml:space="preserve"> or T</w:t>
            </w:r>
            <w:r>
              <w:t xml:space="preserve">erritory </w:t>
            </w:r>
            <w:r w:rsidR="00297E43">
              <w:t>Government</w:t>
            </w:r>
            <w:r w:rsidR="00FA31A7">
              <w:t xml:space="preserve"> and</w:t>
            </w:r>
            <w:r>
              <w:t xml:space="preserve"> local government </w:t>
            </w:r>
            <w:r w:rsidR="00FA31A7">
              <w:t xml:space="preserve">programs (see </w:t>
            </w:r>
            <w:r w:rsidR="00FA31A7">
              <w:fldChar w:fldCharType="begin"/>
            </w:r>
            <w:r w:rsidR="00FA31A7">
              <w:instrText xml:space="preserve"> REF _Ref202791615 \h </w:instrText>
            </w:r>
            <w:r w:rsidR="00FA31A7">
              <w:fldChar w:fldCharType="separate"/>
            </w:r>
            <w:r w:rsidR="000D75AE">
              <w:t>7.7.4</w:t>
            </w:r>
            <w:r w:rsidR="002E053E">
              <w:t xml:space="preserve"> </w:t>
            </w:r>
            <w:r w:rsidR="000D75AE">
              <w:t>Other government program</w:t>
            </w:r>
            <w:r w:rsidR="000D75AE" w:rsidRPr="21E3D223">
              <w:t>s</w:t>
            </w:r>
            <w:r w:rsidR="00FA31A7">
              <w:fldChar w:fldCharType="end"/>
            </w:r>
            <w:r w:rsidR="00FA31A7">
              <w:t xml:space="preserve">) </w:t>
            </w:r>
            <w:r>
              <w:t>and</w:t>
            </w:r>
            <w:r w:rsidR="00FA31A7">
              <w:t xml:space="preserve"> </w:t>
            </w:r>
            <w:r>
              <w:t>non-government programs and activities.</w:t>
            </w:r>
          </w:p>
          <w:p w14:paraId="4A904FA3" w14:textId="77777777" w:rsidR="00D74559" w:rsidRPr="00FB7CD7" w:rsidRDefault="00D74559" w:rsidP="007D21CC">
            <w:pPr>
              <w:pStyle w:val="TableList-level1"/>
            </w:pPr>
            <w:r w:rsidRPr="00FB7CD7">
              <w:t>Language and literacy support</w:t>
            </w:r>
            <w:r>
              <w:t>.</w:t>
            </w:r>
          </w:p>
          <w:p w14:paraId="1D4BFEB4" w14:textId="77777777" w:rsidR="00D74559" w:rsidRPr="00FB7CD7" w:rsidRDefault="00D74559" w:rsidP="007D21CC">
            <w:pPr>
              <w:pStyle w:val="TableList-level1"/>
            </w:pPr>
            <w:r w:rsidRPr="00FB7CD7">
              <w:t>Presentation support</w:t>
            </w:r>
            <w:r>
              <w:t>.</w:t>
            </w:r>
          </w:p>
        </w:tc>
      </w:tr>
      <w:tr w:rsidR="00FC127C" w:rsidRPr="00FB7CD7" w14:paraId="2CBA8432" w14:textId="77777777" w:rsidTr="00AC44CC">
        <w:trPr>
          <w:cnfStyle w:val="000000010000" w:firstRow="0" w:lastRow="0" w:firstColumn="0" w:lastColumn="0" w:oddVBand="0" w:evenVBand="0" w:oddHBand="0" w:evenHBand="1" w:firstRowFirstColumn="0" w:firstRowLastColumn="0" w:lastRowFirstColumn="0" w:lastRowLastColumn="0"/>
          <w:cantSplit/>
        </w:trPr>
        <w:tc>
          <w:tcPr>
            <w:tcW w:w="2830" w:type="dxa"/>
            <w:tcBorders>
              <w:bottom w:val="single" w:sz="4" w:space="0" w:color="auto"/>
            </w:tcBorders>
          </w:tcPr>
          <w:p w14:paraId="7997DD15" w14:textId="40E7191E" w:rsidR="00D74559" w:rsidRPr="00BB61D7" w:rsidRDefault="00D74559" w:rsidP="005C0D91">
            <w:pPr>
              <w:pStyle w:val="TableText"/>
            </w:pPr>
            <w:r w:rsidRPr="00BB61D7">
              <w:t xml:space="preserve">Building </w:t>
            </w:r>
            <w:r w:rsidR="006D5EDC">
              <w:t>work</w:t>
            </w:r>
            <w:r w:rsidRPr="00BB61D7">
              <w:t xml:space="preserve"> readiness</w:t>
            </w:r>
          </w:p>
        </w:tc>
        <w:tc>
          <w:tcPr>
            <w:tcW w:w="6798" w:type="dxa"/>
            <w:tcBorders>
              <w:bottom w:val="single" w:sz="4" w:space="0" w:color="auto"/>
            </w:tcBorders>
          </w:tcPr>
          <w:p w14:paraId="52097A72" w14:textId="77777777" w:rsidR="00D74559" w:rsidRDefault="00D74559" w:rsidP="007D21CC">
            <w:pPr>
              <w:pStyle w:val="TableList-level1"/>
            </w:pPr>
            <w:r>
              <w:t>Work hardening or physical conditioning programs.</w:t>
            </w:r>
          </w:p>
          <w:p w14:paraId="50AB3F28" w14:textId="6F6A7B63" w:rsidR="00D74559" w:rsidRDefault="00D74559" w:rsidP="007D21CC">
            <w:pPr>
              <w:pStyle w:val="TableList-level1"/>
            </w:pPr>
            <w:r>
              <w:t xml:space="preserve">Job </w:t>
            </w:r>
            <w:r w:rsidR="00CF6DDD">
              <w:t>s</w:t>
            </w:r>
            <w:r>
              <w:t xml:space="preserve">earch activities such as advice on </w:t>
            </w:r>
            <w:r w:rsidRPr="00FB7CD7">
              <w:t>r</w:t>
            </w:r>
            <w:r w:rsidR="00CF6DDD">
              <w:t>é</w:t>
            </w:r>
            <w:r w:rsidRPr="00FB7CD7">
              <w:t>sum</w:t>
            </w:r>
            <w:r>
              <w:t xml:space="preserve">é writing, </w:t>
            </w:r>
            <w:r w:rsidR="00310AE7">
              <w:t xml:space="preserve">help with </w:t>
            </w:r>
            <w:r>
              <w:t>job applications and interview preparation.</w:t>
            </w:r>
          </w:p>
          <w:p w14:paraId="54A2AFE8" w14:textId="793920E9" w:rsidR="00D74559" w:rsidRDefault="00D74559" w:rsidP="007D21CC">
            <w:pPr>
              <w:pStyle w:val="TableList-level1"/>
            </w:pPr>
            <w:r>
              <w:t>Sourcing placements in Provider-Sourced Voluntary Work</w:t>
            </w:r>
            <w:r w:rsidR="00FA31A7">
              <w:t xml:space="preserve"> (see </w:t>
            </w:r>
            <w:r w:rsidR="00FA31A7">
              <w:fldChar w:fldCharType="begin"/>
            </w:r>
            <w:r w:rsidR="00FA31A7">
              <w:instrText xml:space="preserve"> REF _Ref202791491 \h </w:instrText>
            </w:r>
            <w:r w:rsidR="00FA31A7">
              <w:fldChar w:fldCharType="separate"/>
            </w:r>
            <w:r w:rsidR="000D75AE">
              <w:t>7.6.1</w:t>
            </w:r>
            <w:r w:rsidR="002E053E">
              <w:t xml:space="preserve"> </w:t>
            </w:r>
            <w:r w:rsidR="000D75AE">
              <w:t>Provider Sourced Voluntary Work</w:t>
            </w:r>
            <w:r w:rsidR="00FA31A7">
              <w:fldChar w:fldCharType="end"/>
            </w:r>
            <w:r w:rsidR="00FA31A7">
              <w:t>)</w:t>
            </w:r>
            <w:r>
              <w:t xml:space="preserve">, </w:t>
            </w:r>
            <w:r w:rsidR="00FA31A7">
              <w:t xml:space="preserve">Observational Work Experience (see </w:t>
            </w:r>
            <w:r w:rsidR="00FA31A7">
              <w:fldChar w:fldCharType="begin"/>
            </w:r>
            <w:r w:rsidR="00FA31A7">
              <w:instrText xml:space="preserve"> REF _Ref202791481 \h </w:instrText>
            </w:r>
            <w:r w:rsidR="00FA31A7">
              <w:fldChar w:fldCharType="separate"/>
            </w:r>
            <w:r w:rsidR="000D75AE">
              <w:t>7.6.2</w:t>
            </w:r>
            <w:r w:rsidR="002E053E">
              <w:t xml:space="preserve"> </w:t>
            </w:r>
            <w:r w:rsidR="000D75AE">
              <w:t>Observational Work Experience</w:t>
            </w:r>
            <w:r w:rsidR="00FA31A7">
              <w:fldChar w:fldCharType="end"/>
            </w:r>
            <w:r w:rsidR="00FA31A7">
              <w:t xml:space="preserve">), </w:t>
            </w:r>
            <w:r w:rsidR="00145D77">
              <w:t xml:space="preserve">paid work experience placements, </w:t>
            </w:r>
            <w:r>
              <w:t xml:space="preserve">Work Trials or </w:t>
            </w:r>
            <w:r w:rsidR="00145D77">
              <w:t xml:space="preserve">work </w:t>
            </w:r>
            <w:r>
              <w:t>with social enterprises.</w:t>
            </w:r>
          </w:p>
          <w:p w14:paraId="004330FA" w14:textId="1FB08587" w:rsidR="00D74559" w:rsidRPr="00A112F3" w:rsidRDefault="00D74559" w:rsidP="007D21CC">
            <w:pPr>
              <w:pStyle w:val="TableList-level1"/>
            </w:pPr>
            <w:r w:rsidRPr="02295749">
              <w:t xml:space="preserve">Arranging Job Placements that provide the Participant with opportunities to build new skills and experiences but would not meet the quality and sustainability criteria required for an </w:t>
            </w:r>
            <w:r w:rsidR="329DB363">
              <w:t>E</w:t>
            </w:r>
            <w:r w:rsidRPr="02295749">
              <w:t xml:space="preserve">mployment </w:t>
            </w:r>
            <w:r w:rsidR="00A07158">
              <w:t>O</w:t>
            </w:r>
            <w:r w:rsidRPr="02295749">
              <w:t>utcome</w:t>
            </w:r>
            <w:r w:rsidR="00FA31A7">
              <w:t xml:space="preserve"> (see </w:t>
            </w:r>
            <w:r w:rsidR="00FA31A7">
              <w:fldChar w:fldCharType="begin"/>
            </w:r>
            <w:r w:rsidR="00FA31A7">
              <w:instrText xml:space="preserve"> REF _Ref202791561 \h </w:instrText>
            </w:r>
            <w:r w:rsidR="00FA31A7">
              <w:fldChar w:fldCharType="separate"/>
            </w:r>
            <w:r w:rsidR="000D75AE">
              <w:t>7.7.1</w:t>
            </w:r>
            <w:r w:rsidR="002E053E">
              <w:t xml:space="preserve"> </w:t>
            </w:r>
            <w:r w:rsidR="000D75AE" w:rsidRPr="000A55EB">
              <w:t>Paid Employment</w:t>
            </w:r>
            <w:r w:rsidR="00FA31A7">
              <w:fldChar w:fldCharType="end"/>
            </w:r>
            <w:r w:rsidR="00FA31A7">
              <w:t>)</w:t>
            </w:r>
            <w:r w:rsidRPr="02295749">
              <w:t>.</w:t>
            </w:r>
          </w:p>
        </w:tc>
      </w:tr>
      <w:tr w:rsidR="00D74559" w:rsidRPr="00FB7CD7" w14:paraId="16853D85" w14:textId="77777777" w:rsidTr="00AC44CC">
        <w:trPr>
          <w:cnfStyle w:val="000000100000" w:firstRow="0" w:lastRow="0" w:firstColumn="0" w:lastColumn="0" w:oddVBand="0" w:evenVBand="0" w:oddHBand="1" w:evenHBand="0" w:firstRowFirstColumn="0" w:firstRowLastColumn="0" w:lastRowFirstColumn="0" w:lastRowLastColumn="0"/>
          <w:cantSplit/>
        </w:trPr>
        <w:tc>
          <w:tcPr>
            <w:tcW w:w="2830" w:type="dxa"/>
            <w:tcBorders>
              <w:top w:val="single" w:sz="4" w:space="0" w:color="auto"/>
              <w:bottom w:val="single" w:sz="4" w:space="0" w:color="auto"/>
            </w:tcBorders>
          </w:tcPr>
          <w:p w14:paraId="0A6E2D70" w14:textId="77777777" w:rsidR="00D74559" w:rsidRPr="00BB61D7" w:rsidRDefault="00D74559" w:rsidP="005C0D91">
            <w:pPr>
              <w:pStyle w:val="TableText"/>
            </w:pPr>
            <w:r w:rsidRPr="02295749">
              <w:t xml:space="preserve">Job search </w:t>
            </w:r>
            <w:r>
              <w:t>help</w:t>
            </w:r>
          </w:p>
        </w:tc>
        <w:tc>
          <w:tcPr>
            <w:tcW w:w="6798" w:type="dxa"/>
            <w:tcBorders>
              <w:top w:val="single" w:sz="4" w:space="0" w:color="auto"/>
              <w:bottom w:val="single" w:sz="4" w:space="0" w:color="auto"/>
            </w:tcBorders>
          </w:tcPr>
          <w:p w14:paraId="3FD1D730" w14:textId="4081407E" w:rsidR="00D74559" w:rsidRPr="00FB7CD7" w:rsidRDefault="00D74559" w:rsidP="007D21CC">
            <w:pPr>
              <w:pStyle w:val="TableList-level1"/>
            </w:pPr>
            <w:r w:rsidRPr="5E809BAB">
              <w:t>Help</w:t>
            </w:r>
            <w:r w:rsidRPr="02295749">
              <w:t xml:space="preserve"> with r</w:t>
            </w:r>
            <w:r w:rsidR="00AC44CC" w:rsidRPr="02295749">
              <w:t>é</w:t>
            </w:r>
            <w:r w:rsidRPr="02295749">
              <w:t>sumés.</w:t>
            </w:r>
          </w:p>
          <w:p w14:paraId="70391A6F" w14:textId="77777777" w:rsidR="00D74559" w:rsidRDefault="00D74559" w:rsidP="007D21CC">
            <w:pPr>
              <w:pStyle w:val="TableList-level1"/>
            </w:pPr>
            <w:r w:rsidRPr="5E809BAB">
              <w:t>Help</w:t>
            </w:r>
            <w:r w:rsidRPr="02295749">
              <w:t xml:space="preserve"> with interview skills.</w:t>
            </w:r>
          </w:p>
          <w:p w14:paraId="59B817E6" w14:textId="6AF510E7" w:rsidR="00D74559" w:rsidRDefault="00D74559" w:rsidP="007D21CC">
            <w:pPr>
              <w:pStyle w:val="TableList-level1"/>
            </w:pPr>
            <w:r>
              <w:t>Advice on career options</w:t>
            </w:r>
            <w:r w:rsidR="001E409E">
              <w:t xml:space="preserve"> </w:t>
            </w:r>
            <w:r w:rsidR="001E409E">
              <w:rPr>
                <w:rFonts w:cstheme="minorHAnsi"/>
                <w:szCs w:val="22"/>
              </w:rPr>
              <w:t xml:space="preserve">and </w:t>
            </w:r>
            <w:r w:rsidR="00A907A7">
              <w:rPr>
                <w:rFonts w:cstheme="minorHAnsi"/>
                <w:szCs w:val="22"/>
              </w:rPr>
              <w:t>i</w:t>
            </w:r>
            <w:r w:rsidR="001E409E">
              <w:rPr>
                <w:rFonts w:cstheme="minorHAnsi"/>
                <w:szCs w:val="22"/>
              </w:rPr>
              <w:t>ndustry insights (workplace visits, Industry Expos, etc)</w:t>
            </w:r>
            <w:r>
              <w:t>.</w:t>
            </w:r>
          </w:p>
          <w:p w14:paraId="0679AAE6" w14:textId="7741F5CD" w:rsidR="00D74559" w:rsidRDefault="00D74559" w:rsidP="007D21CC">
            <w:pPr>
              <w:pStyle w:val="TableList-level1"/>
            </w:pPr>
            <w:r w:rsidRPr="2524A882">
              <w:t>Advice on the availability, location and use of job search facilities.</w:t>
            </w:r>
          </w:p>
          <w:p w14:paraId="049DF2F4" w14:textId="0CC76176" w:rsidR="00D74559" w:rsidRDefault="00D74559" w:rsidP="007D21CC">
            <w:pPr>
              <w:pStyle w:val="TableList-level1"/>
            </w:pPr>
            <w:r>
              <w:t xml:space="preserve">Arranging Job </w:t>
            </w:r>
            <w:r w:rsidRPr="00FA31A7">
              <w:t>Referrals</w:t>
            </w:r>
            <w:r w:rsidR="00FA31A7" w:rsidRPr="00FA31A7">
              <w:t xml:space="preserve"> (see </w:t>
            </w:r>
            <w:r w:rsidR="002E053E">
              <w:fldChar w:fldCharType="begin"/>
            </w:r>
            <w:r w:rsidR="002E053E">
              <w:instrText xml:space="preserve"> REF _Ref202790469 \h  \* MERGEFORMAT </w:instrText>
            </w:r>
            <w:r w:rsidR="002E053E">
              <w:fldChar w:fldCharType="separate"/>
            </w:r>
            <w:r w:rsidR="002E053E" w:rsidRPr="002E053E">
              <w:t>5.9</w:t>
            </w:r>
            <w:r w:rsidR="002E053E">
              <w:t xml:space="preserve"> </w:t>
            </w:r>
            <w:r w:rsidR="002E053E" w:rsidRPr="002E053E">
              <w:t>Job Referrals</w:t>
            </w:r>
            <w:r w:rsidR="002E053E">
              <w:fldChar w:fldCharType="end"/>
            </w:r>
            <w:r w:rsidR="00FA31A7" w:rsidRPr="00FA31A7">
              <w:fldChar w:fldCharType="begin"/>
            </w:r>
            <w:r w:rsidR="00FA31A7" w:rsidRPr="00FA31A7">
              <w:instrText xml:space="preserve"> REF _Ref202791696 \h </w:instrText>
            </w:r>
            <w:r w:rsidR="00FA31A7">
              <w:instrText xml:space="preserve"> \* MERGEFORMAT </w:instrText>
            </w:r>
            <w:r w:rsidR="00FA31A7" w:rsidRPr="00FA31A7">
              <w:fldChar w:fldCharType="separate"/>
            </w:r>
            <w:r w:rsidR="00FA31A7" w:rsidRPr="00FA31A7">
              <w:fldChar w:fldCharType="end"/>
            </w:r>
            <w:r w:rsidR="00FA31A7">
              <w:t>)</w:t>
            </w:r>
            <w:r>
              <w:t>.</w:t>
            </w:r>
          </w:p>
          <w:p w14:paraId="3A7E335D" w14:textId="528B469F" w:rsidR="00CC5B1C" w:rsidRPr="00103A7A" w:rsidRDefault="00D74559" w:rsidP="00103A7A">
            <w:pPr>
              <w:pStyle w:val="TableList-level1"/>
              <w:rPr>
                <w14:numSpacing w14:val="tabular"/>
              </w:rPr>
            </w:pPr>
            <w:r>
              <w:t>Sourcing opportunities in paid Employment.</w:t>
            </w:r>
          </w:p>
        </w:tc>
      </w:tr>
      <w:tr w:rsidR="00FC127C" w:rsidRPr="00FB7CD7" w14:paraId="6CE073FC" w14:textId="77777777" w:rsidTr="00FA31A7">
        <w:trPr>
          <w:cnfStyle w:val="000000010000" w:firstRow="0" w:lastRow="0" w:firstColumn="0" w:lastColumn="0" w:oddVBand="0" w:evenVBand="0" w:oddHBand="0" w:evenHBand="1" w:firstRowFirstColumn="0" w:firstRowLastColumn="0" w:lastRowFirstColumn="0" w:lastRowLastColumn="0"/>
          <w:cantSplit/>
        </w:trPr>
        <w:tc>
          <w:tcPr>
            <w:tcW w:w="2830" w:type="dxa"/>
            <w:tcBorders>
              <w:bottom w:val="single" w:sz="4" w:space="0" w:color="auto"/>
            </w:tcBorders>
          </w:tcPr>
          <w:p w14:paraId="1095DCC7" w14:textId="77777777" w:rsidR="00D74559" w:rsidRPr="00BB61D7" w:rsidRDefault="00D74559" w:rsidP="005C0D91">
            <w:pPr>
              <w:pStyle w:val="TableText"/>
            </w:pPr>
            <w:r w:rsidRPr="00BB61D7">
              <w:t>Help with expenses</w:t>
            </w:r>
          </w:p>
        </w:tc>
        <w:tc>
          <w:tcPr>
            <w:tcW w:w="6798" w:type="dxa"/>
            <w:tcBorders>
              <w:bottom w:val="single" w:sz="4" w:space="0" w:color="auto"/>
            </w:tcBorders>
          </w:tcPr>
          <w:p w14:paraId="60438061" w14:textId="77777777" w:rsidR="00D74559" w:rsidRPr="00FB7CD7" w:rsidRDefault="00D74559" w:rsidP="007D21CC">
            <w:pPr>
              <w:pStyle w:val="TableList-level1"/>
            </w:pPr>
            <w:r w:rsidRPr="00FB7CD7">
              <w:t xml:space="preserve">Purchase of equipment needed for a </w:t>
            </w:r>
            <w:r>
              <w:t>Job P</w:t>
            </w:r>
            <w:r w:rsidRPr="00FB7CD7">
              <w:t>lacement</w:t>
            </w:r>
            <w:r>
              <w:t>.</w:t>
            </w:r>
          </w:p>
          <w:p w14:paraId="18A0EB06" w14:textId="77777777" w:rsidR="00D74559" w:rsidRPr="00FB7CD7" w:rsidRDefault="00D74559" w:rsidP="007D21CC">
            <w:pPr>
              <w:pStyle w:val="TableList-level1"/>
            </w:pPr>
            <w:r w:rsidRPr="00FB7CD7">
              <w:t>Payment for relevant licenses</w:t>
            </w:r>
            <w:r>
              <w:t>.</w:t>
            </w:r>
          </w:p>
          <w:p w14:paraId="7064FA3A" w14:textId="77777777" w:rsidR="00D74559" w:rsidRPr="00FB7CD7" w:rsidRDefault="00D74559" w:rsidP="007D21CC">
            <w:pPr>
              <w:pStyle w:val="TableList-level1"/>
            </w:pPr>
            <w:r w:rsidRPr="00FB7CD7">
              <w:t>Help with transportation</w:t>
            </w:r>
            <w:r>
              <w:t>.</w:t>
            </w:r>
          </w:p>
        </w:tc>
      </w:tr>
      <w:tr w:rsidR="00D74559" w:rsidRPr="00FB7CD7" w14:paraId="0C5E2314" w14:textId="77777777" w:rsidTr="00FA31A7">
        <w:trPr>
          <w:cnfStyle w:val="000000100000" w:firstRow="0" w:lastRow="0" w:firstColumn="0" w:lastColumn="0" w:oddVBand="0" w:evenVBand="0" w:oddHBand="1" w:evenHBand="0" w:firstRowFirstColumn="0" w:firstRowLastColumn="0" w:lastRowFirstColumn="0" w:lastRowLastColumn="0"/>
          <w:cantSplit/>
        </w:trPr>
        <w:tc>
          <w:tcPr>
            <w:tcW w:w="2830" w:type="dxa"/>
            <w:tcBorders>
              <w:top w:val="single" w:sz="4" w:space="0" w:color="auto"/>
              <w:bottom w:val="single" w:sz="4" w:space="0" w:color="auto"/>
            </w:tcBorders>
          </w:tcPr>
          <w:p w14:paraId="79CE808E" w14:textId="77777777" w:rsidR="00D74559" w:rsidRPr="00BB61D7" w:rsidRDefault="00D74559" w:rsidP="005C0D91">
            <w:pPr>
              <w:pStyle w:val="TableText"/>
            </w:pPr>
            <w:r w:rsidRPr="00BB61D7">
              <w:t>Help to find work</w:t>
            </w:r>
          </w:p>
        </w:tc>
        <w:tc>
          <w:tcPr>
            <w:tcW w:w="6798" w:type="dxa"/>
            <w:tcBorders>
              <w:top w:val="single" w:sz="4" w:space="0" w:color="auto"/>
              <w:bottom w:val="single" w:sz="4" w:space="0" w:color="auto"/>
            </w:tcBorders>
          </w:tcPr>
          <w:p w14:paraId="0226CB17" w14:textId="067008D3" w:rsidR="00D74559" w:rsidRDefault="00D74559" w:rsidP="007D21CC">
            <w:pPr>
              <w:pStyle w:val="TableList-level1"/>
            </w:pPr>
            <w:r w:rsidRPr="02295749">
              <w:t xml:space="preserve">Providing information on how employment opportunities will be sourced, including details of how the Provider will canvass and approach </w:t>
            </w:r>
            <w:r w:rsidR="4AABC107">
              <w:t>E</w:t>
            </w:r>
            <w:r>
              <w:t>mployers</w:t>
            </w:r>
            <w:r w:rsidRPr="02295749">
              <w:t xml:space="preserve"> </w:t>
            </w:r>
            <w:r w:rsidRPr="5E809BAB">
              <w:t>about</w:t>
            </w:r>
            <w:r w:rsidRPr="02295749">
              <w:t xml:space="preserve"> </w:t>
            </w:r>
            <w:r w:rsidR="00AC44CC">
              <w:t>job</w:t>
            </w:r>
            <w:r w:rsidRPr="02295749">
              <w:t xml:space="preserve"> opportunities.</w:t>
            </w:r>
          </w:p>
          <w:p w14:paraId="4B965203" w14:textId="77B625A0" w:rsidR="005B063C" w:rsidRDefault="005B063C" w:rsidP="007D21CC">
            <w:pPr>
              <w:pStyle w:val="TableList-level1"/>
            </w:pPr>
            <w:r>
              <w:t xml:space="preserve">Identifying </w:t>
            </w:r>
            <w:r w:rsidR="00FA61DA">
              <w:t xml:space="preserve">employers that match the interests </w:t>
            </w:r>
            <w:r w:rsidR="00DB6A6F">
              <w:t xml:space="preserve">and goals of </w:t>
            </w:r>
            <w:r w:rsidR="00013000">
              <w:t xml:space="preserve">the </w:t>
            </w:r>
            <w:r w:rsidR="00EA68C9">
              <w:t>Particip</w:t>
            </w:r>
            <w:r w:rsidR="00013000">
              <w:t>ant.</w:t>
            </w:r>
          </w:p>
          <w:p w14:paraId="2549DC71" w14:textId="5209E089" w:rsidR="00D74559" w:rsidRDefault="00D74559" w:rsidP="007D21CC">
            <w:pPr>
              <w:pStyle w:val="TableList-level1"/>
            </w:pPr>
            <w:r w:rsidRPr="02295749">
              <w:t xml:space="preserve">Canvassing and approaching </w:t>
            </w:r>
            <w:r w:rsidR="40A68F33">
              <w:t>E</w:t>
            </w:r>
            <w:r>
              <w:t>mployers</w:t>
            </w:r>
            <w:r w:rsidRPr="02295749">
              <w:t xml:space="preserve"> for </w:t>
            </w:r>
            <w:r w:rsidR="00F249B7">
              <w:t>V</w:t>
            </w:r>
            <w:r w:rsidRPr="02295749">
              <w:t xml:space="preserve">acancies </w:t>
            </w:r>
            <w:r w:rsidR="00CE38AE">
              <w:t xml:space="preserve">with or </w:t>
            </w:r>
            <w:r w:rsidRPr="02295749">
              <w:t xml:space="preserve">for the Participant and actively </w:t>
            </w:r>
            <w:r w:rsidRPr="5E809BAB">
              <w:t>taking part</w:t>
            </w:r>
            <w:r w:rsidRPr="02295749">
              <w:t xml:space="preserve"> in local area </w:t>
            </w:r>
            <w:r>
              <w:t>employer</w:t>
            </w:r>
            <w:r w:rsidRPr="02295749">
              <w:t xml:space="preserve"> networks and forums.</w:t>
            </w:r>
          </w:p>
          <w:p w14:paraId="17D4C14B" w14:textId="5B7827D1" w:rsidR="00006CE6" w:rsidRDefault="00D92116" w:rsidP="00006CE6">
            <w:pPr>
              <w:pStyle w:val="TableList-level1"/>
            </w:pPr>
            <w:r>
              <w:t xml:space="preserve">Helping to </w:t>
            </w:r>
            <w:r w:rsidR="00C3464A">
              <w:t xml:space="preserve">create </w:t>
            </w:r>
            <w:r w:rsidR="00A03AE3">
              <w:t>e</w:t>
            </w:r>
            <w:r w:rsidR="00C3464A">
              <w:t>mployment opportuni</w:t>
            </w:r>
            <w:r w:rsidR="00A03AE3">
              <w:t>ties</w:t>
            </w:r>
            <w:r w:rsidR="00092479">
              <w:t xml:space="preserve"> by </w:t>
            </w:r>
            <w:r w:rsidR="00A03AE3">
              <w:t xml:space="preserve">providing guidance to </w:t>
            </w:r>
            <w:r w:rsidR="0005234E">
              <w:t>E</w:t>
            </w:r>
            <w:r w:rsidR="00D94D67">
              <w:t xml:space="preserve">mployers </w:t>
            </w:r>
            <w:r w:rsidR="004058DF">
              <w:t>on</w:t>
            </w:r>
            <w:r w:rsidR="00D94D67">
              <w:t xml:space="preserve"> </w:t>
            </w:r>
            <w:r w:rsidR="00537F67">
              <w:t xml:space="preserve">job design and job </w:t>
            </w:r>
            <w:r w:rsidR="004058DF">
              <w:t>customisation</w:t>
            </w:r>
            <w:r w:rsidR="00092479">
              <w:t>.</w:t>
            </w:r>
            <w:r w:rsidR="00537F67">
              <w:t xml:space="preserve"> </w:t>
            </w:r>
          </w:p>
          <w:p w14:paraId="1D9A9F8A" w14:textId="77777777" w:rsidR="00D74559" w:rsidRDefault="00D74559" w:rsidP="007D21CC">
            <w:pPr>
              <w:pStyle w:val="TableList-level1"/>
            </w:pPr>
            <w:r>
              <w:t>Referring suitable Participants to Vacancies.</w:t>
            </w:r>
          </w:p>
          <w:p w14:paraId="4FE73C5C" w14:textId="77777777" w:rsidR="00D74559" w:rsidRDefault="00D74559" w:rsidP="007D21CC">
            <w:pPr>
              <w:pStyle w:val="TableList-level1"/>
            </w:pPr>
            <w:r>
              <w:t>Promoting and marketing the abilities of Participants to Employers.</w:t>
            </w:r>
          </w:p>
          <w:p w14:paraId="75037D58" w14:textId="57F2A0C4" w:rsidR="00D74559" w:rsidRDefault="00D74559" w:rsidP="007D21CC">
            <w:pPr>
              <w:pStyle w:val="TableList-level1"/>
            </w:pPr>
            <w:r w:rsidRPr="2524A882">
              <w:t>Supporting Participants by liaising with the JobAccess Provider to access workplace assessments under the Employment Assistance Fund</w:t>
            </w:r>
            <w:r w:rsidR="0097538B">
              <w:t xml:space="preserve"> (EAF)</w:t>
            </w:r>
            <w:r w:rsidR="00FA31A7">
              <w:t xml:space="preserve"> (see </w:t>
            </w:r>
            <w:r w:rsidR="00FA31A7">
              <w:fldChar w:fldCharType="begin"/>
            </w:r>
            <w:r w:rsidR="00FA31A7">
              <w:instrText xml:space="preserve"> REF _Ref202784009 \h </w:instrText>
            </w:r>
            <w:r w:rsidR="00FA31A7">
              <w:fldChar w:fldCharType="separate"/>
            </w:r>
            <w:r w:rsidR="000D75AE" w:rsidRPr="539AEF4B">
              <w:t>9.</w:t>
            </w:r>
            <w:r w:rsidR="000D75AE">
              <w:t>8</w:t>
            </w:r>
            <w:r w:rsidR="002E053E">
              <w:t xml:space="preserve"> </w:t>
            </w:r>
            <w:r w:rsidR="000D75AE" w:rsidRPr="539AEF4B">
              <w:t>Employment Assistance Fund</w:t>
            </w:r>
            <w:r w:rsidR="00FA31A7">
              <w:fldChar w:fldCharType="end"/>
            </w:r>
            <w:r w:rsidR="00FA31A7">
              <w:t>)</w:t>
            </w:r>
            <w:r w:rsidRPr="2524A882">
              <w:t>.</w:t>
            </w:r>
          </w:p>
          <w:p w14:paraId="21EC96B3" w14:textId="120E6230" w:rsidR="00D74559" w:rsidRPr="00FB7CD7" w:rsidRDefault="00D74559" w:rsidP="007D21CC">
            <w:pPr>
              <w:pStyle w:val="TableList-level1"/>
            </w:pPr>
            <w:r w:rsidRPr="2524A882">
              <w:t xml:space="preserve">Use of </w:t>
            </w:r>
            <w:r w:rsidR="00A12A39">
              <w:t>W</w:t>
            </w:r>
            <w:r w:rsidRPr="00CA75B7">
              <w:t xml:space="preserve">age </w:t>
            </w:r>
            <w:r w:rsidR="00A12A39">
              <w:t>S</w:t>
            </w:r>
            <w:r w:rsidRPr="00CA75B7">
              <w:t>ubsidies</w:t>
            </w:r>
            <w:r w:rsidRPr="2524A882">
              <w:t xml:space="preserve">, where </w:t>
            </w:r>
            <w:bookmarkStart w:id="267" w:name="_Int_SKCBRdba"/>
            <w:r w:rsidRPr="2524A882">
              <w:t xml:space="preserve">appropriate </w:t>
            </w:r>
            <w:bookmarkEnd w:id="267"/>
            <w:r w:rsidR="00FA31A7">
              <w:t xml:space="preserve">(see </w:t>
            </w:r>
            <w:r w:rsidR="00FA31A7">
              <w:fldChar w:fldCharType="begin"/>
            </w:r>
            <w:r w:rsidR="00FA31A7">
              <w:instrText xml:space="preserve"> REF _Ref202791769 \h </w:instrText>
            </w:r>
            <w:r w:rsidR="00FA31A7">
              <w:fldChar w:fldCharType="separate"/>
            </w:r>
            <w:r w:rsidR="000D75AE" w:rsidRPr="4F3EABBB">
              <w:t>Chapter</w:t>
            </w:r>
            <w:r w:rsidR="000D75AE" w:rsidRPr="4F3EABBB">
              <w:rPr>
                <w:rStyle w:val="Emphasis"/>
              </w:rPr>
              <w:t xml:space="preserve"> </w:t>
            </w:r>
            <w:r w:rsidR="000D75AE" w:rsidRPr="4F3EABBB">
              <w:t>8:</w:t>
            </w:r>
            <w:r w:rsidR="002E053E">
              <w:t xml:space="preserve"> </w:t>
            </w:r>
            <w:r w:rsidR="000D75AE" w:rsidRPr="4F3EABBB">
              <w:t>Wage Subsidies</w:t>
            </w:r>
            <w:r w:rsidR="00FA31A7">
              <w:fldChar w:fldCharType="end"/>
            </w:r>
            <w:r w:rsidR="00FA31A7">
              <w:t>)</w:t>
            </w:r>
            <w:r w:rsidRPr="2524A882">
              <w:t>.</w:t>
            </w:r>
          </w:p>
        </w:tc>
      </w:tr>
    </w:tbl>
    <w:p w14:paraId="127465C6" w14:textId="1B365DB0" w:rsidR="00D74559" w:rsidRPr="00FB7CD7" w:rsidRDefault="00D74559" w:rsidP="006E2EF5">
      <w:pPr>
        <w:tabs>
          <w:tab w:val="right" w:pos="1701"/>
        </w:tabs>
        <w:spacing w:after="120"/>
      </w:pPr>
      <w:r w:rsidRPr="02295749">
        <w:t>Providers receive Service Fees to deliver Pre-Employment Support to Participants</w:t>
      </w:r>
      <w:r w:rsidR="006534DC">
        <w:t xml:space="preserve"> (see </w:t>
      </w:r>
      <w:r w:rsidR="002E053E">
        <w:fldChar w:fldCharType="begin"/>
      </w:r>
      <w:r w:rsidR="002E053E">
        <w:instrText xml:space="preserve"> REF _Ref202973600 \h </w:instrText>
      </w:r>
      <w:r w:rsidR="002E053E">
        <w:fldChar w:fldCharType="separate"/>
      </w:r>
      <w:r w:rsidR="002E053E" w:rsidRPr="5C73D78C">
        <w:t>11.</w:t>
      </w:r>
      <w:r w:rsidR="002E053E">
        <w:t xml:space="preserve">3 </w:t>
      </w:r>
      <w:r w:rsidR="002E053E" w:rsidRPr="00687396">
        <w:t>Service Fees</w:t>
      </w:r>
      <w:r w:rsidR="002E053E">
        <w:fldChar w:fldCharType="end"/>
      </w:r>
      <w:r w:rsidR="006534DC">
        <w:fldChar w:fldCharType="begin"/>
      </w:r>
      <w:r w:rsidR="006534DC">
        <w:instrText xml:space="preserve"> REF _Ref202881055 \h </w:instrText>
      </w:r>
      <w:r w:rsidR="006534DC">
        <w:fldChar w:fldCharType="separate"/>
      </w:r>
      <w:r w:rsidR="006534DC">
        <w:fldChar w:fldCharType="end"/>
      </w:r>
      <w:r w:rsidR="006534DC">
        <w:t>)</w:t>
      </w:r>
      <w:r w:rsidRPr="02295749">
        <w:t xml:space="preserve">. Providers can use Service Fees to </w:t>
      </w:r>
      <w:r>
        <w:t>buy</w:t>
      </w:r>
      <w:r w:rsidRPr="02295749">
        <w:t xml:space="preserve"> or deliver suitable items, Activities and other </w:t>
      </w:r>
      <w:r w:rsidR="00B653D3">
        <w:t>S</w:t>
      </w:r>
      <w:r w:rsidRPr="02295749">
        <w:t xml:space="preserve">ervices or supports. Providers </w:t>
      </w:r>
      <w:r>
        <w:t>do</w:t>
      </w:r>
      <w:r w:rsidRPr="02295749">
        <w:t xml:space="preserve"> not </w:t>
      </w:r>
      <w:r>
        <w:t>have</w:t>
      </w:r>
      <w:r w:rsidRPr="02295749">
        <w:t xml:space="preserve"> to use this </w:t>
      </w:r>
      <w:r w:rsidR="009F567B">
        <w:t>F</w:t>
      </w:r>
      <w:r w:rsidRPr="02295749">
        <w:t>unding (</w:t>
      </w:r>
      <w:r>
        <w:t xml:space="preserve">and are not </w:t>
      </w:r>
      <w:r w:rsidRPr="02295749">
        <w:t>prevented from using it) for a particular purpose.</w:t>
      </w:r>
    </w:p>
    <w:p w14:paraId="1671168D" w14:textId="65369554" w:rsidR="00D74559" w:rsidRPr="00FB7CD7" w:rsidRDefault="00D74559" w:rsidP="006E2EF5">
      <w:pPr>
        <w:tabs>
          <w:tab w:val="right" w:pos="1701"/>
        </w:tabs>
        <w:spacing w:after="120"/>
        <w:rPr>
          <w:rFonts w:cstheme="minorHAnsi"/>
        </w:rPr>
      </w:pPr>
      <w:r w:rsidRPr="00FB7CD7">
        <w:rPr>
          <w:rFonts w:cstheme="minorHAnsi"/>
        </w:rPr>
        <w:t xml:space="preserve">Effective delivery of supports during </w:t>
      </w:r>
      <w:r>
        <w:rPr>
          <w:rFonts w:cstheme="minorHAnsi"/>
        </w:rPr>
        <w:t xml:space="preserve">Pre-Employment </w:t>
      </w:r>
      <w:r w:rsidR="00C32A2D">
        <w:rPr>
          <w:rFonts w:cstheme="minorHAnsi"/>
        </w:rPr>
        <w:t xml:space="preserve">Support </w:t>
      </w:r>
      <w:r w:rsidRPr="00FB7CD7">
        <w:rPr>
          <w:rFonts w:cstheme="minorHAnsi"/>
        </w:rPr>
        <w:t xml:space="preserve">can help the </w:t>
      </w:r>
      <w:r>
        <w:rPr>
          <w:rFonts w:cstheme="minorHAnsi"/>
        </w:rPr>
        <w:t>P</w:t>
      </w:r>
      <w:r w:rsidRPr="00FB7CD7">
        <w:rPr>
          <w:rFonts w:cstheme="minorHAnsi"/>
        </w:rPr>
        <w:t xml:space="preserve">articipant find suitable </w:t>
      </w:r>
      <w:r>
        <w:rPr>
          <w:rFonts w:cstheme="minorHAnsi"/>
        </w:rPr>
        <w:t>E</w:t>
      </w:r>
      <w:r w:rsidRPr="00FB7CD7">
        <w:rPr>
          <w:rFonts w:cstheme="minorHAnsi"/>
        </w:rPr>
        <w:t xml:space="preserve">mployment or </w:t>
      </w:r>
      <w:r>
        <w:rPr>
          <w:rFonts w:cstheme="minorHAnsi"/>
        </w:rPr>
        <w:t>E</w:t>
      </w:r>
      <w:r w:rsidRPr="00FB7CD7">
        <w:rPr>
          <w:rFonts w:cstheme="minorHAnsi"/>
        </w:rPr>
        <w:t>ducation</w:t>
      </w:r>
      <w:r w:rsidR="0073481F">
        <w:rPr>
          <w:rFonts w:cstheme="minorHAnsi"/>
        </w:rPr>
        <w:t>. This enables</w:t>
      </w:r>
      <w:r w:rsidRPr="00FB7CD7">
        <w:rPr>
          <w:rFonts w:cstheme="minorHAnsi"/>
        </w:rPr>
        <w:t xml:space="preserve"> </w:t>
      </w:r>
      <w:r>
        <w:rPr>
          <w:rFonts w:cstheme="minorHAnsi"/>
        </w:rPr>
        <w:t>Providers</w:t>
      </w:r>
      <w:r w:rsidRPr="00FB7CD7">
        <w:rPr>
          <w:rFonts w:cstheme="minorHAnsi"/>
        </w:rPr>
        <w:t xml:space="preserve"> </w:t>
      </w:r>
      <w:r w:rsidR="0073481F">
        <w:rPr>
          <w:rFonts w:cstheme="minorHAnsi"/>
        </w:rPr>
        <w:t>to then consider</w:t>
      </w:r>
      <w:r w:rsidRPr="00FB7CD7">
        <w:rPr>
          <w:rFonts w:cstheme="minorHAnsi"/>
        </w:rPr>
        <w:t xml:space="preserve"> </w:t>
      </w:r>
      <w:r w:rsidR="0073481F">
        <w:rPr>
          <w:rFonts w:cstheme="minorHAnsi"/>
        </w:rPr>
        <w:t>whether they</w:t>
      </w:r>
      <w:r w:rsidRPr="00FB7CD7">
        <w:rPr>
          <w:rFonts w:cstheme="minorHAnsi"/>
        </w:rPr>
        <w:t xml:space="preserve"> qualify for </w:t>
      </w:r>
      <w:r w:rsidR="003657C4">
        <w:rPr>
          <w:rFonts w:cstheme="minorHAnsi"/>
        </w:rPr>
        <w:t>Progress and</w:t>
      </w:r>
      <w:r w:rsidR="00040327">
        <w:rPr>
          <w:rFonts w:cstheme="minorHAnsi"/>
        </w:rPr>
        <w:t>/or</w:t>
      </w:r>
      <w:r w:rsidR="003657C4">
        <w:rPr>
          <w:rFonts w:cstheme="minorHAnsi"/>
        </w:rPr>
        <w:t xml:space="preserve"> </w:t>
      </w:r>
      <w:r>
        <w:rPr>
          <w:rFonts w:cstheme="minorHAnsi"/>
        </w:rPr>
        <w:t>O</w:t>
      </w:r>
      <w:r w:rsidRPr="00FB7CD7">
        <w:rPr>
          <w:rFonts w:cstheme="minorHAnsi"/>
        </w:rPr>
        <w:t xml:space="preserve">utcome </w:t>
      </w:r>
      <w:r>
        <w:rPr>
          <w:rFonts w:cstheme="minorHAnsi"/>
        </w:rPr>
        <w:t>F</w:t>
      </w:r>
      <w:r w:rsidRPr="00FB7CD7">
        <w:rPr>
          <w:rFonts w:cstheme="minorHAnsi"/>
        </w:rPr>
        <w:t>ees</w:t>
      </w:r>
      <w:r w:rsidR="00AE59E9">
        <w:rPr>
          <w:rFonts w:cstheme="minorHAnsi"/>
        </w:rPr>
        <w:t xml:space="preserve"> (refer to relevant Sections in </w:t>
      </w:r>
      <w:r w:rsidR="00AE59E9">
        <w:rPr>
          <w:rFonts w:cstheme="minorHAnsi"/>
        </w:rPr>
        <w:fldChar w:fldCharType="begin"/>
      </w:r>
      <w:r w:rsidR="00AE59E9">
        <w:rPr>
          <w:rFonts w:cstheme="minorHAnsi"/>
        </w:rPr>
        <w:instrText xml:space="preserve"> REF _Ref202782945 \h </w:instrText>
      </w:r>
      <w:r w:rsidR="00AE59E9">
        <w:rPr>
          <w:rFonts w:cstheme="minorHAnsi"/>
        </w:rPr>
      </w:r>
      <w:r w:rsidR="00AE59E9">
        <w:rPr>
          <w:rFonts w:cstheme="minorHAnsi"/>
        </w:rPr>
        <w:fldChar w:fldCharType="separate"/>
      </w:r>
      <w:r w:rsidR="000D75AE">
        <w:t>Chapter 11:</w:t>
      </w:r>
      <w:r w:rsidR="00A31574">
        <w:t xml:space="preserve"> </w:t>
      </w:r>
      <w:r w:rsidR="000D75AE">
        <w:t>Payments to Providers</w:t>
      </w:r>
      <w:r w:rsidR="00AE59E9">
        <w:rPr>
          <w:rFonts w:cstheme="minorHAnsi"/>
        </w:rPr>
        <w:fldChar w:fldCharType="end"/>
      </w:r>
      <w:r w:rsidR="00AE59E9">
        <w:rPr>
          <w:rFonts w:cstheme="minorHAnsi"/>
        </w:rPr>
        <w:t>)</w:t>
      </w:r>
      <w:r w:rsidRPr="00FB7CD7">
        <w:rPr>
          <w:rFonts w:cstheme="minorHAnsi"/>
        </w:rPr>
        <w:t>.</w:t>
      </w:r>
    </w:p>
    <w:p w14:paraId="7C534ED9" w14:textId="21A5CDC5" w:rsidR="00C47ED7" w:rsidRDefault="00D74559" w:rsidP="006F727E">
      <w:pPr>
        <w:pStyle w:val="SystemStep"/>
      </w:pPr>
      <w:r w:rsidRPr="00A17B7B">
        <w:t xml:space="preserve">Providers must </w:t>
      </w:r>
      <w:r w:rsidR="00583B85" w:rsidRPr="00583B85">
        <w:t xml:space="preserve">maintain regular contact with each Participant to monitor progress against </w:t>
      </w:r>
      <w:r w:rsidR="00CB3082">
        <w:t>the</w:t>
      </w:r>
      <w:r w:rsidR="00BC7CCA">
        <w:t xml:space="preserve">ir agreed </w:t>
      </w:r>
      <w:r w:rsidR="00A558AC">
        <w:t>Activities</w:t>
      </w:r>
      <w:r w:rsidR="00CD4B95">
        <w:t>,</w:t>
      </w:r>
      <w:r w:rsidR="00BC7CCA">
        <w:t xml:space="preserve"> to </w:t>
      </w:r>
      <w:r w:rsidR="00D42A4A">
        <w:t xml:space="preserve">demonstrate </w:t>
      </w:r>
      <w:r w:rsidR="00563D8B">
        <w:t xml:space="preserve">the Participant’s </w:t>
      </w:r>
      <w:r w:rsidR="00D42A4A">
        <w:t>progress towards the Meaningful Engagement Requirement</w:t>
      </w:r>
      <w:r w:rsidR="00CD4B95">
        <w:t>,</w:t>
      </w:r>
      <w:r w:rsidR="00583B85" w:rsidRPr="00583B85">
        <w:t xml:space="preserve"> and </w:t>
      </w:r>
      <w:r w:rsidR="00CD4B95">
        <w:t xml:space="preserve">to </w:t>
      </w:r>
      <w:r w:rsidR="00583B85" w:rsidRPr="00583B85">
        <w:t xml:space="preserve">maintain accurate records of </w:t>
      </w:r>
      <w:r w:rsidR="0024418F">
        <w:t>what was agreed/any</w:t>
      </w:r>
      <w:r w:rsidR="00583B85" w:rsidRPr="00583B85">
        <w:t xml:space="preserve"> agreed changes to the </w:t>
      </w:r>
      <w:r w:rsidR="00972353">
        <w:t>Participant’s Job Plan</w:t>
      </w:r>
      <w:r w:rsidR="00583B85" w:rsidRPr="00583B85">
        <w:t>.</w:t>
      </w:r>
    </w:p>
    <w:p w14:paraId="4D534051" w14:textId="0521DD03" w:rsidR="008808AF" w:rsidRDefault="00D74559" w:rsidP="00C47ED7">
      <w:pPr>
        <w:pStyle w:val="SystemStep"/>
      </w:pPr>
      <w:r w:rsidRPr="00A17B7B">
        <w:t xml:space="preserve">Providers must include all Activities the Participant will attend, and Services the Participant will receive, in </w:t>
      </w:r>
      <w:r w:rsidR="00F77ECB">
        <w:t>a</w:t>
      </w:r>
      <w:r w:rsidRPr="00A17B7B">
        <w:t xml:space="preserve"> Participant’s </w:t>
      </w:r>
      <w:r w:rsidR="000B1E99">
        <w:t xml:space="preserve">Detailed </w:t>
      </w:r>
      <w:r w:rsidRPr="00A17B7B">
        <w:t>Job Plan</w:t>
      </w:r>
      <w:r w:rsidR="00475E87">
        <w:t>.</w:t>
      </w:r>
      <w:r w:rsidRPr="00A17B7B">
        <w:t xml:space="preserve"> </w:t>
      </w:r>
    </w:p>
    <w:p w14:paraId="0B7AECDA" w14:textId="04A4257F" w:rsidR="00D74559" w:rsidRPr="00A17B7B" w:rsidRDefault="00DF428C" w:rsidP="006F727E">
      <w:pPr>
        <w:pStyle w:val="SystemStep"/>
      </w:pPr>
      <w:r>
        <w:t xml:space="preserve">Regardless of the Job Plan type, </w:t>
      </w:r>
      <w:r w:rsidR="008808AF">
        <w:t>Providers</w:t>
      </w:r>
      <w:r w:rsidR="00D74559" w:rsidRPr="00A17B7B">
        <w:t xml:space="preserve"> must </w:t>
      </w:r>
      <w:r w:rsidR="00573FA6">
        <w:t>schedule</w:t>
      </w:r>
      <w:r w:rsidR="00D74559" w:rsidRPr="00A17B7B">
        <w:t xml:space="preserve"> the</w:t>
      </w:r>
      <w:r w:rsidR="008808AF">
        <w:t xml:space="preserve">se </w:t>
      </w:r>
      <w:r w:rsidR="00BC18F0">
        <w:t>contacts</w:t>
      </w:r>
      <w:r w:rsidR="00D74559" w:rsidRPr="00A17B7B">
        <w:t xml:space="preserve"> in the Participant’s Electronic Calendar. This </w:t>
      </w:r>
      <w:r w:rsidR="00EE1786">
        <w:t>will support</w:t>
      </w:r>
      <w:r w:rsidR="00D74559" w:rsidRPr="00A17B7B">
        <w:t xml:space="preserve"> the Participant </w:t>
      </w:r>
      <w:r w:rsidR="004730A0">
        <w:t>through notifications</w:t>
      </w:r>
      <w:r w:rsidR="00D74559" w:rsidRPr="00A17B7B">
        <w:t xml:space="preserve"> about Activities arranged for them.</w:t>
      </w:r>
    </w:p>
    <w:p w14:paraId="666D0C8C" w14:textId="77777777" w:rsidR="00D74559" w:rsidRDefault="00D74559" w:rsidP="005E0E63">
      <w:pPr>
        <w:pStyle w:val="SystemStep"/>
      </w:pPr>
      <w:r w:rsidRPr="02295749">
        <w:t xml:space="preserve">Providers must take any necessary </w:t>
      </w:r>
      <w:r>
        <w:t xml:space="preserve">compliance </w:t>
      </w:r>
      <w:r w:rsidRPr="02295749">
        <w:t>action</w:t>
      </w:r>
      <w:r>
        <w:t>s</w:t>
      </w:r>
      <w:r w:rsidRPr="02295749">
        <w:t xml:space="preserve"> if the Participant does </w:t>
      </w:r>
      <w:r>
        <w:t>meet their participation</w:t>
      </w:r>
      <w:r w:rsidRPr="02295749">
        <w:t xml:space="preserve"> requirements.</w:t>
      </w:r>
    </w:p>
    <w:p w14:paraId="0AEA5120" w14:textId="7DFC245C" w:rsidR="00D74559" w:rsidRPr="00433E84" w:rsidRDefault="00D74559" w:rsidP="006E2EF5">
      <w:pPr>
        <w:rPr>
          <w:sz w:val="20"/>
          <w:szCs w:val="20"/>
        </w:rPr>
      </w:pPr>
      <w:r w:rsidRPr="0FE8CA8C">
        <w:rPr>
          <w:sz w:val="20"/>
          <w:szCs w:val="20"/>
        </w:rPr>
        <w:t>(</w:t>
      </w:r>
      <w:r w:rsidR="00A73420">
        <w:rPr>
          <w:sz w:val="20"/>
          <w:szCs w:val="20"/>
        </w:rPr>
        <w:t xml:space="preserve">Deed Reference(s): Clause </w:t>
      </w:r>
      <w:r w:rsidRPr="0FE8CA8C">
        <w:rPr>
          <w:sz w:val="20"/>
          <w:szCs w:val="20"/>
        </w:rPr>
        <w:t xml:space="preserve">112, </w:t>
      </w:r>
      <w:r w:rsidR="003A360A">
        <w:rPr>
          <w:sz w:val="20"/>
          <w:szCs w:val="20"/>
        </w:rPr>
        <w:t xml:space="preserve">114, </w:t>
      </w:r>
      <w:r w:rsidR="00C83186">
        <w:rPr>
          <w:sz w:val="20"/>
          <w:szCs w:val="20"/>
        </w:rPr>
        <w:t xml:space="preserve">115, 116, </w:t>
      </w:r>
      <w:r w:rsidRPr="0FE8CA8C">
        <w:rPr>
          <w:sz w:val="20"/>
          <w:szCs w:val="20"/>
        </w:rPr>
        <w:t>11</w:t>
      </w:r>
      <w:r w:rsidR="00EC1E0E">
        <w:rPr>
          <w:sz w:val="20"/>
          <w:szCs w:val="20"/>
        </w:rPr>
        <w:t>7</w:t>
      </w:r>
      <w:r w:rsidR="00A7737C">
        <w:rPr>
          <w:sz w:val="20"/>
          <w:szCs w:val="20"/>
        </w:rPr>
        <w:t>, 118</w:t>
      </w:r>
      <w:r w:rsidRPr="0FE8CA8C">
        <w:rPr>
          <w:sz w:val="20"/>
          <w:szCs w:val="20"/>
        </w:rPr>
        <w:t>, 13</w:t>
      </w:r>
      <w:r w:rsidR="00AE70F2">
        <w:rPr>
          <w:sz w:val="20"/>
          <w:szCs w:val="20"/>
        </w:rPr>
        <w:t>4</w:t>
      </w:r>
      <w:r w:rsidRPr="0FE8CA8C">
        <w:rPr>
          <w:sz w:val="20"/>
          <w:szCs w:val="20"/>
        </w:rPr>
        <w:t>.4, 13</w:t>
      </w:r>
      <w:r w:rsidR="009C577A">
        <w:rPr>
          <w:sz w:val="20"/>
          <w:szCs w:val="20"/>
        </w:rPr>
        <w:t>5</w:t>
      </w:r>
      <w:r w:rsidRPr="0FE8CA8C">
        <w:rPr>
          <w:sz w:val="20"/>
          <w:szCs w:val="20"/>
        </w:rPr>
        <w:t>.1, 13</w:t>
      </w:r>
      <w:r w:rsidR="009C577A">
        <w:rPr>
          <w:sz w:val="20"/>
          <w:szCs w:val="20"/>
        </w:rPr>
        <w:t>6</w:t>
      </w:r>
      <w:r w:rsidRPr="0FE8CA8C">
        <w:rPr>
          <w:sz w:val="20"/>
          <w:szCs w:val="20"/>
        </w:rPr>
        <w:t>.1)</w:t>
      </w:r>
    </w:p>
    <w:p w14:paraId="1ABC0D3E" w14:textId="77777777" w:rsidR="00962D9A" w:rsidRDefault="00D74559" w:rsidP="006E2EF5">
      <w:r w:rsidRPr="2524A882">
        <w:t xml:space="preserve">As the Flexible Service targets Participants who have limited </w:t>
      </w:r>
      <w:bookmarkStart w:id="268" w:name="_Int_CyBRxl8I"/>
      <w:r w:rsidRPr="2524A882">
        <w:t>capacity</w:t>
      </w:r>
      <w:bookmarkEnd w:id="268"/>
      <w:r w:rsidRPr="2524A882">
        <w:t xml:space="preserve"> to engage in the Intensive Service, including Participants who are already engaged in approved Activities or Non-Vocational Interventions, those in the Flexible Service are not expected to undertake any other </w:t>
      </w:r>
      <w:r w:rsidR="00E670AF">
        <w:t>A</w:t>
      </w:r>
      <w:r w:rsidR="00E670AF" w:rsidRPr="2524A882">
        <w:t>ctivities</w:t>
      </w:r>
      <w:r w:rsidRPr="2524A882">
        <w:t xml:space="preserve">. </w:t>
      </w:r>
    </w:p>
    <w:p w14:paraId="5A37007B" w14:textId="009978CD" w:rsidR="00D74559" w:rsidRDefault="00D74559" w:rsidP="006E2EF5">
      <w:r w:rsidRPr="2524A882">
        <w:t xml:space="preserve">If a Participant in the Flexible Service requests a referral to other services or support options, to address Vocational or Non-Vocational </w:t>
      </w:r>
      <w:r>
        <w:t>B</w:t>
      </w:r>
      <w:r w:rsidRPr="2524A882">
        <w:t xml:space="preserve">arriers, Providers are expected use their local connections to connect the Participant </w:t>
      </w:r>
      <w:r w:rsidRPr="2524A882" w:rsidDel="00DC1BAF">
        <w:t xml:space="preserve">with </w:t>
      </w:r>
      <w:r w:rsidRPr="2524A882">
        <w:t>the relevant service (for example, financial advice, childcare services, counselling, health and allied health services).</w:t>
      </w:r>
    </w:p>
    <w:p w14:paraId="0B1A4FF2" w14:textId="7E990D2E" w:rsidR="00D74559" w:rsidRPr="00B30009" w:rsidRDefault="00D74559" w:rsidP="006E2EF5">
      <w:pPr>
        <w:tabs>
          <w:tab w:val="right" w:pos="1701"/>
        </w:tabs>
        <w:spacing w:after="120"/>
        <w:rPr>
          <w:sz w:val="20"/>
          <w:szCs w:val="20"/>
        </w:rPr>
      </w:pPr>
      <w:r w:rsidRPr="0FE8CA8C">
        <w:rPr>
          <w:sz w:val="20"/>
          <w:szCs w:val="20"/>
        </w:rPr>
        <w:t>(</w:t>
      </w:r>
      <w:r w:rsidR="00A73420">
        <w:rPr>
          <w:sz w:val="20"/>
          <w:szCs w:val="20"/>
        </w:rPr>
        <w:t xml:space="preserve">Deed Reference(s): Clause </w:t>
      </w:r>
      <w:r w:rsidRPr="0FE8CA8C">
        <w:rPr>
          <w:sz w:val="20"/>
          <w:szCs w:val="20"/>
        </w:rPr>
        <w:t>11</w:t>
      </w:r>
      <w:r w:rsidR="00DE54BB">
        <w:rPr>
          <w:sz w:val="20"/>
          <w:szCs w:val="20"/>
        </w:rPr>
        <w:t>8</w:t>
      </w:r>
      <w:r w:rsidRPr="0FE8CA8C">
        <w:rPr>
          <w:sz w:val="20"/>
          <w:szCs w:val="20"/>
        </w:rPr>
        <w:t>)</w:t>
      </w:r>
    </w:p>
    <w:p w14:paraId="0B79A18D" w14:textId="28711E10" w:rsidR="00D74559" w:rsidRPr="004154B6" w:rsidRDefault="00D74559" w:rsidP="001D0F92">
      <w:pPr>
        <w:pStyle w:val="Heading3"/>
      </w:pPr>
      <w:bookmarkStart w:id="269" w:name="_Ref202791119"/>
      <w:bookmarkStart w:id="270" w:name="_Ref202892462"/>
      <w:bookmarkStart w:id="271" w:name="_Toc202899985"/>
      <w:r>
        <w:t>6.6</w:t>
      </w:r>
      <w:r w:rsidR="00D14BEB">
        <w:tab/>
      </w:r>
      <w:r>
        <w:t>Participant Contact</w:t>
      </w:r>
      <w:bookmarkEnd w:id="269"/>
      <w:bookmarkEnd w:id="270"/>
      <w:bookmarkEnd w:id="271"/>
    </w:p>
    <w:p w14:paraId="54375F42" w14:textId="557EE6C5" w:rsidR="00D74559" w:rsidRPr="00FB7CD7" w:rsidRDefault="00D74559" w:rsidP="006E2EF5">
      <w:pPr>
        <w:keepNext/>
        <w:tabs>
          <w:tab w:val="right" w:pos="1701"/>
        </w:tabs>
        <w:spacing w:after="120"/>
        <w:rPr>
          <w:rFonts w:cstheme="minorHAnsi"/>
        </w:rPr>
      </w:pPr>
      <w:r w:rsidRPr="005B0772">
        <w:rPr>
          <w:rFonts w:cstheme="minorHAnsi"/>
        </w:rPr>
        <w:t xml:space="preserve">Providers must deliver </w:t>
      </w:r>
      <w:r w:rsidR="00707257">
        <w:rPr>
          <w:rFonts w:cstheme="minorHAnsi"/>
        </w:rPr>
        <w:t xml:space="preserve">the following </w:t>
      </w:r>
      <w:r>
        <w:rPr>
          <w:rFonts w:cstheme="minorHAnsi"/>
        </w:rPr>
        <w:t>Appointments</w:t>
      </w:r>
      <w:r w:rsidRPr="00FB7CD7">
        <w:rPr>
          <w:rFonts w:cstheme="minorHAnsi"/>
        </w:rPr>
        <w:t>:</w:t>
      </w:r>
    </w:p>
    <w:p w14:paraId="6B4E5A4A" w14:textId="7A0BAC53" w:rsidR="00D74559" w:rsidRPr="00156D37" w:rsidRDefault="00D74559" w:rsidP="004E120D">
      <w:pPr>
        <w:pStyle w:val="BulletLevel1"/>
      </w:pPr>
      <w:r w:rsidRPr="2524A882">
        <w:t xml:space="preserve">an Initial Interview, when a Participant starts with the Provider — refer to </w:t>
      </w:r>
      <w:r w:rsidR="00962D9A">
        <w:t xml:space="preserve">relevant Section in </w:t>
      </w:r>
      <w:r w:rsidR="00962D9A">
        <w:fldChar w:fldCharType="begin"/>
      </w:r>
      <w:r w:rsidR="00962D9A">
        <w:instrText xml:space="preserve"> REF _Ref202780811 \h </w:instrText>
      </w:r>
      <w:r w:rsidR="00962D9A">
        <w:fldChar w:fldCharType="separate"/>
      </w:r>
      <w:r w:rsidR="000D75AE" w:rsidRPr="00BA23D8">
        <w:t>Chapter 3</w:t>
      </w:r>
      <w:r w:rsidR="000D75AE">
        <w:t>:</w:t>
      </w:r>
      <w:r w:rsidR="00A31574">
        <w:t xml:space="preserve"> </w:t>
      </w:r>
      <w:r w:rsidR="000D75AE" w:rsidRPr="00BA23D8">
        <w:t>Commencements, Transfers, Suspensions and Exits</w:t>
      </w:r>
      <w:r w:rsidR="00962D9A">
        <w:fldChar w:fldCharType="end"/>
      </w:r>
    </w:p>
    <w:p w14:paraId="37EAB7A1" w14:textId="2CDEF32D" w:rsidR="00D74559" w:rsidRDefault="00F32585" w:rsidP="004E120D">
      <w:pPr>
        <w:pStyle w:val="BulletLevel1"/>
      </w:pPr>
      <w:r>
        <w:t xml:space="preserve">a Contact Appointment </w:t>
      </w:r>
      <w:r w:rsidR="00D74559" w:rsidRPr="039F78FC">
        <w:t xml:space="preserve">following a </w:t>
      </w:r>
      <w:r w:rsidR="00D74559">
        <w:t>Change</w:t>
      </w:r>
      <w:r w:rsidR="00D74559" w:rsidRPr="039F78FC">
        <w:t xml:space="preserve"> of </w:t>
      </w:r>
      <w:r w:rsidR="00D74559">
        <w:t>Circumstances</w:t>
      </w:r>
      <w:r w:rsidR="00D74559" w:rsidRPr="039F78FC">
        <w:t xml:space="preserve"> ESAt</w:t>
      </w:r>
      <w:r w:rsidR="00962D9A">
        <w:t xml:space="preserve"> </w:t>
      </w:r>
      <w:r w:rsidR="00962D9A" w:rsidRPr="2524A882">
        <w:t xml:space="preserve">— refer to </w:t>
      </w:r>
      <w:r w:rsidR="00962D9A">
        <w:t xml:space="preserve">relevant Section in </w:t>
      </w:r>
      <w:r w:rsidR="00962D9A">
        <w:fldChar w:fldCharType="begin"/>
      </w:r>
      <w:r w:rsidR="00962D9A">
        <w:instrText xml:space="preserve"> REF _Ref202777451 \h </w:instrText>
      </w:r>
      <w:r w:rsidR="00962D9A">
        <w:fldChar w:fldCharType="separate"/>
      </w:r>
      <w:r w:rsidR="000D75AE">
        <w:t>Chapter 2:</w:t>
      </w:r>
      <w:r w:rsidR="00A31574">
        <w:t xml:space="preserve"> </w:t>
      </w:r>
      <w:r w:rsidR="000D75AE">
        <w:t>Assessments</w:t>
      </w:r>
      <w:r w:rsidR="00962D9A">
        <w:fldChar w:fldCharType="end"/>
      </w:r>
    </w:p>
    <w:p w14:paraId="258F3B10" w14:textId="0023C51E" w:rsidR="00EB7104" w:rsidRDefault="00EB7104" w:rsidP="004E120D">
      <w:pPr>
        <w:pStyle w:val="BulletLevel1"/>
      </w:pPr>
      <w:r>
        <w:t>a Contact Appointment if the Participant’s Employment ends</w:t>
      </w:r>
      <w:r w:rsidR="00962D9A">
        <w:t xml:space="preserve"> — refer to relevant Sections in </w:t>
      </w:r>
      <w:r w:rsidR="00962D9A">
        <w:fldChar w:fldCharType="begin"/>
      </w:r>
      <w:r w:rsidR="00962D9A">
        <w:instrText xml:space="preserve"> REF _Ref202792306 \h </w:instrText>
      </w:r>
      <w:r w:rsidR="00962D9A">
        <w:fldChar w:fldCharType="separate"/>
      </w:r>
      <w:r w:rsidR="000D75AE" w:rsidRPr="00BA23D8">
        <w:t>Chapter 7</w:t>
      </w:r>
      <w:r w:rsidR="000D75AE">
        <w:t xml:space="preserve">: </w:t>
      </w:r>
      <w:r w:rsidR="000D75AE" w:rsidRPr="00BA23D8">
        <w:t>Activities</w:t>
      </w:r>
      <w:r w:rsidR="00962D9A">
        <w:fldChar w:fldCharType="end"/>
      </w:r>
      <w:r w:rsidR="00962D9A">
        <w:t xml:space="preserve"> and </w:t>
      </w:r>
      <w:r w:rsidR="00962D9A">
        <w:fldChar w:fldCharType="begin"/>
      </w:r>
      <w:r w:rsidR="00962D9A">
        <w:instrText xml:space="preserve"> REF _Ref202792311 \h </w:instrText>
      </w:r>
      <w:r w:rsidR="00962D9A">
        <w:fldChar w:fldCharType="separate"/>
      </w:r>
      <w:r w:rsidR="000D75AE" w:rsidRPr="00BA23D8">
        <w:t>Chapter 9</w:t>
      </w:r>
      <w:r w:rsidR="000D75AE">
        <w:t>:</w:t>
      </w:r>
      <w:r w:rsidR="00A31574">
        <w:t xml:space="preserve"> </w:t>
      </w:r>
      <w:r w:rsidR="000D75AE" w:rsidRPr="00BA23D8">
        <w:t>Post Placement Support</w:t>
      </w:r>
      <w:r w:rsidR="00962D9A">
        <w:fldChar w:fldCharType="end"/>
      </w:r>
    </w:p>
    <w:p w14:paraId="66644DA1" w14:textId="7BF7503C" w:rsidR="00312201" w:rsidRDefault="00312201" w:rsidP="004E120D">
      <w:pPr>
        <w:pStyle w:val="BulletLevel1"/>
      </w:pPr>
      <w:r>
        <w:t>a Contact Appointment following the completion of Education and Training — refer to</w:t>
      </w:r>
      <w:r w:rsidR="00962D9A">
        <w:t xml:space="preserve"> relevant Section in </w:t>
      </w:r>
      <w:r w:rsidR="00962D9A">
        <w:fldChar w:fldCharType="begin"/>
      </w:r>
      <w:r w:rsidR="00962D9A">
        <w:instrText xml:space="preserve"> REF _Ref202792306 \h </w:instrText>
      </w:r>
      <w:r w:rsidR="00962D9A">
        <w:fldChar w:fldCharType="separate"/>
      </w:r>
      <w:r w:rsidR="000D75AE" w:rsidRPr="00BA23D8">
        <w:t>Chapter 7</w:t>
      </w:r>
      <w:r w:rsidR="000D75AE">
        <w:t xml:space="preserve">: </w:t>
      </w:r>
      <w:r w:rsidR="000D75AE" w:rsidRPr="00BA23D8">
        <w:t>Activities</w:t>
      </w:r>
      <w:r w:rsidR="00962D9A">
        <w:fldChar w:fldCharType="end"/>
      </w:r>
      <w:r>
        <w:t xml:space="preserve"> </w:t>
      </w:r>
    </w:p>
    <w:p w14:paraId="55E0775C" w14:textId="735A34E7" w:rsidR="002B10D3" w:rsidRDefault="00C92F27" w:rsidP="004E120D">
      <w:pPr>
        <w:pStyle w:val="BulletLevel1"/>
      </w:pPr>
      <w:r>
        <w:t>a Contact Appointment following a period of Suspension</w:t>
      </w:r>
      <w:r w:rsidR="009F7199">
        <w:t xml:space="preserve"> </w:t>
      </w:r>
      <w:r w:rsidR="009F7199" w:rsidRPr="2524A882">
        <w:t xml:space="preserve">— </w:t>
      </w:r>
      <w:r w:rsidR="00962D9A" w:rsidRPr="2524A882">
        <w:t xml:space="preserve">refer to </w:t>
      </w:r>
      <w:r w:rsidR="00962D9A">
        <w:t xml:space="preserve">relevant Sections in </w:t>
      </w:r>
      <w:r w:rsidR="00962D9A">
        <w:fldChar w:fldCharType="begin"/>
      </w:r>
      <w:r w:rsidR="00962D9A">
        <w:instrText xml:space="preserve"> REF _Ref202780811 \h </w:instrText>
      </w:r>
      <w:r w:rsidR="00962D9A">
        <w:fldChar w:fldCharType="separate"/>
      </w:r>
      <w:r w:rsidR="000D75AE" w:rsidRPr="00BA23D8">
        <w:t>Chapter</w:t>
      </w:r>
      <w:r w:rsidR="00D04BBA">
        <w:t xml:space="preserve"> </w:t>
      </w:r>
      <w:r w:rsidR="000D75AE" w:rsidRPr="00BA23D8">
        <w:t>3</w:t>
      </w:r>
      <w:r w:rsidR="000D75AE">
        <w:t>:</w:t>
      </w:r>
      <w:r w:rsidR="00A31574">
        <w:t xml:space="preserve"> </w:t>
      </w:r>
      <w:r w:rsidR="000D75AE" w:rsidRPr="00BA23D8">
        <w:t>Commencements, Transfers, Suspensions and Exits</w:t>
      </w:r>
      <w:r w:rsidR="00962D9A">
        <w:fldChar w:fldCharType="end"/>
      </w:r>
    </w:p>
    <w:p w14:paraId="00489ABC" w14:textId="7ADD479C" w:rsidR="007064A3" w:rsidRDefault="002B10D3" w:rsidP="004E120D">
      <w:pPr>
        <w:pStyle w:val="BulletLevel1"/>
      </w:pPr>
      <w:r>
        <w:t>a Contact Appointment if a Participant resumes Services within 13 weeks of an Exit</w:t>
      </w:r>
      <w:r w:rsidR="009F7199">
        <w:t xml:space="preserve"> </w:t>
      </w:r>
      <w:r w:rsidR="009F7199" w:rsidRPr="2524A882">
        <w:t xml:space="preserve">— </w:t>
      </w:r>
      <w:r w:rsidR="00962D9A" w:rsidRPr="2524A882">
        <w:t xml:space="preserve">refer to </w:t>
      </w:r>
      <w:r w:rsidR="00962D9A">
        <w:t xml:space="preserve">relevant Section in </w:t>
      </w:r>
      <w:r w:rsidR="00962D9A">
        <w:fldChar w:fldCharType="begin"/>
      </w:r>
      <w:r w:rsidR="00962D9A">
        <w:instrText xml:space="preserve"> REF _Ref202780811 \h </w:instrText>
      </w:r>
      <w:r w:rsidR="00962D9A">
        <w:fldChar w:fldCharType="separate"/>
      </w:r>
      <w:r w:rsidR="000D75AE" w:rsidRPr="00BA23D8">
        <w:t>Chapter 3</w:t>
      </w:r>
      <w:r w:rsidR="000D75AE">
        <w:t>:</w:t>
      </w:r>
      <w:r w:rsidR="00A31574">
        <w:t xml:space="preserve"> </w:t>
      </w:r>
      <w:r w:rsidR="000D75AE" w:rsidRPr="00BA23D8">
        <w:t>Commencements, Transfers, Suspensions and Exits</w:t>
      </w:r>
      <w:r w:rsidR="00962D9A">
        <w:fldChar w:fldCharType="end"/>
      </w:r>
    </w:p>
    <w:p w14:paraId="429360F2" w14:textId="16111F70" w:rsidR="00D74559" w:rsidRPr="00FB7CD7" w:rsidRDefault="000E705C" w:rsidP="004E120D">
      <w:pPr>
        <w:pStyle w:val="BulletLevel1"/>
        <w:rPr>
          <w:color w:val="000000" w:themeColor="text1"/>
        </w:rPr>
      </w:pPr>
      <w:r>
        <w:rPr>
          <w:color w:val="000000" w:themeColor="text1"/>
        </w:rPr>
        <w:t>a Re-engagement Appointment</w:t>
      </w:r>
      <w:r w:rsidR="00D74559" w:rsidRPr="02295749">
        <w:rPr>
          <w:color w:val="000000" w:themeColor="text1"/>
        </w:rPr>
        <w:t xml:space="preserve">, as </w:t>
      </w:r>
      <w:r w:rsidR="00D74559" w:rsidRPr="5E809BAB">
        <w:rPr>
          <w:color w:val="000000" w:themeColor="text1"/>
        </w:rPr>
        <w:t>needed</w:t>
      </w:r>
      <w:r w:rsidR="00EF4B89">
        <w:rPr>
          <w:color w:val="000000" w:themeColor="text1"/>
        </w:rPr>
        <w:t xml:space="preserve"> for a Re-engagement Requirement</w:t>
      </w:r>
      <w:r w:rsidR="00D74559" w:rsidRPr="02295749">
        <w:rPr>
          <w:color w:val="000000" w:themeColor="text1"/>
        </w:rPr>
        <w:t xml:space="preserve"> following a </w:t>
      </w:r>
      <w:r w:rsidR="00D74559" w:rsidRPr="009957A4">
        <w:t xml:space="preserve">Mutual Obligations Failure or a Work Refusal Failure </w:t>
      </w:r>
      <w:r w:rsidR="00962D9A">
        <w:t>—</w:t>
      </w:r>
      <w:r w:rsidR="00D74559" w:rsidRPr="02295749">
        <w:t xml:space="preserve"> refer to </w:t>
      </w:r>
      <w:r w:rsidR="00962D9A">
        <w:t xml:space="preserve">relevant Sections in </w:t>
      </w:r>
      <w:r w:rsidR="00962D9A">
        <w:fldChar w:fldCharType="begin"/>
      </w:r>
      <w:r w:rsidR="00962D9A">
        <w:instrText xml:space="preserve"> REF _Ref202782924 \h </w:instrText>
      </w:r>
      <w:r w:rsidR="00962D9A">
        <w:fldChar w:fldCharType="separate"/>
      </w:r>
      <w:r w:rsidR="000D75AE">
        <w:t>Chapter 12:</w:t>
      </w:r>
      <w:r w:rsidR="00A31574">
        <w:t xml:space="preserve"> </w:t>
      </w:r>
      <w:r w:rsidR="000D75AE">
        <w:t>Compliance</w:t>
      </w:r>
      <w:r w:rsidR="00962D9A">
        <w:fldChar w:fldCharType="end"/>
      </w:r>
      <w:r w:rsidR="00CC390C">
        <w:t>,</w:t>
      </w:r>
      <w:r w:rsidR="00B075E8">
        <w:t xml:space="preserve"> and</w:t>
      </w:r>
    </w:p>
    <w:p w14:paraId="417BE615" w14:textId="23347F35" w:rsidR="003E24FC" w:rsidRPr="00FB7CD7" w:rsidRDefault="00460C70" w:rsidP="004E120D">
      <w:pPr>
        <w:pStyle w:val="BulletLevel1"/>
        <w:rPr>
          <w:color w:val="000000" w:themeColor="text1"/>
        </w:rPr>
      </w:pPr>
      <w:r>
        <w:rPr>
          <w:color w:val="000000" w:themeColor="text1"/>
        </w:rPr>
        <w:t xml:space="preserve">a </w:t>
      </w:r>
      <w:r w:rsidR="003E24FC">
        <w:rPr>
          <w:color w:val="000000" w:themeColor="text1"/>
        </w:rPr>
        <w:t xml:space="preserve">compellable </w:t>
      </w:r>
      <w:r>
        <w:rPr>
          <w:color w:val="000000" w:themeColor="text1"/>
        </w:rPr>
        <w:t xml:space="preserve">Appointment </w:t>
      </w:r>
      <w:r w:rsidR="003E24FC">
        <w:rPr>
          <w:color w:val="000000" w:themeColor="text1"/>
        </w:rPr>
        <w:t xml:space="preserve">if </w:t>
      </w:r>
      <w:r w:rsidR="00AE7CCF">
        <w:rPr>
          <w:color w:val="000000" w:themeColor="text1"/>
        </w:rPr>
        <w:t>a Participant</w:t>
      </w:r>
      <w:r w:rsidR="003E24FC" w:rsidRPr="003E24FC">
        <w:rPr>
          <w:color w:val="000000" w:themeColor="text1"/>
        </w:rPr>
        <w:t xml:space="preserve"> </w:t>
      </w:r>
      <w:r w:rsidR="00C04747">
        <w:rPr>
          <w:color w:val="000000" w:themeColor="text1"/>
        </w:rPr>
        <w:t xml:space="preserve">shows a Pattern of Disengagement or </w:t>
      </w:r>
      <w:r w:rsidR="003E24FC" w:rsidRPr="003E24FC">
        <w:rPr>
          <w:color w:val="000000" w:themeColor="text1"/>
        </w:rPr>
        <w:t>routinely fail</w:t>
      </w:r>
      <w:r w:rsidR="00AE7CCF">
        <w:rPr>
          <w:color w:val="000000" w:themeColor="text1"/>
        </w:rPr>
        <w:t>s</w:t>
      </w:r>
      <w:r w:rsidR="003E24FC" w:rsidRPr="003E24FC">
        <w:rPr>
          <w:color w:val="000000" w:themeColor="text1"/>
        </w:rPr>
        <w:t xml:space="preserve"> to attend </w:t>
      </w:r>
      <w:r w:rsidR="00B075E8">
        <w:rPr>
          <w:color w:val="000000" w:themeColor="text1"/>
        </w:rPr>
        <w:t>A</w:t>
      </w:r>
      <w:r w:rsidR="003E24FC" w:rsidRPr="003E24FC">
        <w:rPr>
          <w:color w:val="000000" w:themeColor="text1"/>
        </w:rPr>
        <w:t xml:space="preserve">ppointments or </w:t>
      </w:r>
      <w:r w:rsidR="00B075E8">
        <w:rPr>
          <w:color w:val="000000" w:themeColor="text1"/>
        </w:rPr>
        <w:t>A</w:t>
      </w:r>
      <w:r w:rsidR="003E24FC" w:rsidRPr="003E24FC">
        <w:rPr>
          <w:color w:val="000000" w:themeColor="text1"/>
        </w:rPr>
        <w:t xml:space="preserve">ctivities </w:t>
      </w:r>
      <w:r w:rsidR="00AE7CCF">
        <w:rPr>
          <w:color w:val="000000" w:themeColor="text1"/>
        </w:rPr>
        <w:t>outlined in their Jo</w:t>
      </w:r>
      <w:r w:rsidR="00E14557">
        <w:rPr>
          <w:color w:val="000000" w:themeColor="text1"/>
        </w:rPr>
        <w:t>b Plan</w:t>
      </w:r>
      <w:r w:rsidR="003E24FC" w:rsidRPr="003E24FC">
        <w:rPr>
          <w:color w:val="000000" w:themeColor="text1"/>
        </w:rPr>
        <w:t xml:space="preserve"> and the Provider has been unable to contact the Participant</w:t>
      </w:r>
      <w:r w:rsidR="00962D9A">
        <w:rPr>
          <w:color w:val="000000" w:themeColor="text1"/>
        </w:rPr>
        <w:t xml:space="preserve"> — refer to relevant Section in </w:t>
      </w:r>
      <w:r w:rsidR="00962D9A">
        <w:fldChar w:fldCharType="begin"/>
      </w:r>
      <w:r w:rsidR="00962D9A">
        <w:instrText xml:space="preserve"> REF _Ref202782924 \h </w:instrText>
      </w:r>
      <w:r w:rsidR="00962D9A">
        <w:fldChar w:fldCharType="separate"/>
      </w:r>
      <w:r w:rsidR="000D75AE">
        <w:t xml:space="preserve">Chapter </w:t>
      </w:r>
      <w:r w:rsidR="00A31574">
        <w:t>12: Compliance</w:t>
      </w:r>
      <w:r w:rsidR="00962D9A">
        <w:fldChar w:fldCharType="end"/>
      </w:r>
      <w:r w:rsidR="003E24FC" w:rsidRPr="003E24FC">
        <w:rPr>
          <w:color w:val="000000" w:themeColor="text1"/>
        </w:rPr>
        <w:t>.</w:t>
      </w:r>
    </w:p>
    <w:p w14:paraId="2AFB0C5E" w14:textId="4FCE679A" w:rsidR="00D74559" w:rsidRDefault="00D74559" w:rsidP="006E2EF5">
      <w:pPr>
        <w:tabs>
          <w:tab w:val="right" w:pos="1701"/>
        </w:tabs>
        <w:spacing w:after="120"/>
      </w:pPr>
      <w:r>
        <w:t xml:space="preserve">The above Appointments should be conducted face-to-face unless it would be more beneficial </w:t>
      </w:r>
      <w:r w:rsidR="0038550D">
        <w:t>(</w:t>
      </w:r>
      <w:r w:rsidR="00D32829">
        <w:t xml:space="preserve">or at the </w:t>
      </w:r>
      <w:r w:rsidR="6E90A6CE">
        <w:t>request</w:t>
      </w:r>
      <w:r w:rsidR="00D32829">
        <w:t xml:space="preserve"> of</w:t>
      </w:r>
      <w:r>
        <w:t xml:space="preserve"> the Participant</w:t>
      </w:r>
      <w:r w:rsidR="00390F77">
        <w:t>)</w:t>
      </w:r>
      <w:r>
        <w:t xml:space="preserve"> to be conducted by </w:t>
      </w:r>
      <w:r w:rsidR="00D9789A">
        <w:t>phone</w:t>
      </w:r>
      <w:r>
        <w:t xml:space="preserve"> or videoconference.</w:t>
      </w:r>
    </w:p>
    <w:p w14:paraId="61F623E0" w14:textId="09813209" w:rsidR="00DB55E5" w:rsidRDefault="00DB55E5" w:rsidP="006E2EF5">
      <w:pPr>
        <w:tabs>
          <w:tab w:val="right" w:pos="1701"/>
        </w:tabs>
        <w:spacing w:after="120"/>
      </w:pPr>
      <w:r>
        <w:t xml:space="preserve">Providers should refer to </w:t>
      </w:r>
      <w:r w:rsidR="002F7169">
        <w:fldChar w:fldCharType="begin"/>
      </w:r>
      <w:r w:rsidR="002F7169">
        <w:instrText xml:space="preserve"> REF _Ref202783027 \h </w:instrText>
      </w:r>
      <w:r w:rsidR="002F7169">
        <w:fldChar w:fldCharType="separate"/>
      </w:r>
      <w:r w:rsidR="002F7169" w:rsidRPr="00BA23D8">
        <w:t>Chapter 5</w:t>
      </w:r>
      <w:r w:rsidR="002F7169">
        <w:t>:</w:t>
      </w:r>
      <w:r w:rsidR="002F7169">
        <w:tab/>
        <w:t xml:space="preserve"> </w:t>
      </w:r>
      <w:r w:rsidR="002F7169" w:rsidRPr="00BA23D8">
        <w:t>Participation requirements</w:t>
      </w:r>
      <w:r w:rsidR="002F7169">
        <w:fldChar w:fldCharType="end"/>
      </w:r>
      <w:r w:rsidR="00962D9A">
        <w:fldChar w:fldCharType="begin"/>
      </w:r>
      <w:r w:rsidR="00962D9A">
        <w:instrText xml:space="preserve"> REF _Ref202792444 \h </w:instrText>
      </w:r>
      <w:r w:rsidR="00962D9A">
        <w:fldChar w:fldCharType="separate"/>
      </w:r>
      <w:r w:rsidR="00962D9A">
        <w:fldChar w:fldCharType="end"/>
      </w:r>
      <w:r w:rsidR="00962D9A">
        <w:t xml:space="preserve"> </w:t>
      </w:r>
      <w:r>
        <w:t xml:space="preserve">for further information on how to capture </w:t>
      </w:r>
      <w:r w:rsidR="00962D9A">
        <w:t xml:space="preserve">the agreed frequency and mode of </w:t>
      </w:r>
      <w:r>
        <w:t>Contacts and Contact Appointments</w:t>
      </w:r>
      <w:r w:rsidR="00962D9A">
        <w:t xml:space="preserve">, </w:t>
      </w:r>
      <w:r>
        <w:t>for those with a Meaningful Engagement Job Plan or Detailed Job Plan.</w:t>
      </w:r>
    </w:p>
    <w:p w14:paraId="087B1717" w14:textId="0725501D" w:rsidR="00D74559" w:rsidRDefault="151383D1" w:rsidP="58736E99">
      <w:pPr>
        <w:pStyle w:val="Heading5"/>
      </w:pPr>
      <w:r>
        <w:t>Minimum Contacts</w:t>
      </w:r>
    </w:p>
    <w:p w14:paraId="7C162D90" w14:textId="1A456034" w:rsidR="00D74559" w:rsidRDefault="00D74559" w:rsidP="0038290C">
      <w:pPr>
        <w:keepNext/>
        <w:spacing w:before="60" w:after="60" w:line="276" w:lineRule="auto"/>
        <w:contextualSpacing/>
      </w:pPr>
      <w:r w:rsidRPr="02295749">
        <w:t xml:space="preserve">Providers must deliver regular Contacts while a Participant is in Pre-Employment Support. The minimum Contacts a Provider </w:t>
      </w:r>
      <w:r>
        <w:t>must</w:t>
      </w:r>
      <w:r w:rsidRPr="02295749">
        <w:t xml:space="preserve"> deliver to a Participant in Pre-Employment Support are:</w:t>
      </w:r>
    </w:p>
    <w:p w14:paraId="79DEEF16" w14:textId="6A2F5EA2" w:rsidR="00D74559" w:rsidRPr="005C0D91" w:rsidRDefault="00D74559" w:rsidP="0038290C">
      <w:pPr>
        <w:pStyle w:val="BulletLevel1"/>
        <w:keepNext/>
      </w:pPr>
      <w:r w:rsidRPr="005C0D91">
        <w:t xml:space="preserve">for Participants in the Intensive Service </w:t>
      </w:r>
      <w:r w:rsidR="008A49F9">
        <w:t>–</w:t>
      </w:r>
      <w:r w:rsidRPr="005C0D91">
        <w:t xml:space="preserve"> at least 6 Contacts each 3 months, and</w:t>
      </w:r>
    </w:p>
    <w:p w14:paraId="78870FE8" w14:textId="5BD8E56A" w:rsidR="00D74559" w:rsidRDefault="00D74559" w:rsidP="004E120D">
      <w:pPr>
        <w:pStyle w:val="BulletLevel1"/>
      </w:pPr>
      <w:r w:rsidRPr="005C0D91">
        <w:t>for Participants in the Flexible Service – at least 2 Contacts each 3 months.</w:t>
      </w:r>
    </w:p>
    <w:p w14:paraId="1E8276E4" w14:textId="167DE00C" w:rsidR="00376FB1" w:rsidRDefault="00565868" w:rsidP="0079424A">
      <w:pPr>
        <w:pStyle w:val="DocumentaryEvidenceRequirement"/>
      </w:pPr>
      <w:r w:rsidRPr="00743A9F">
        <w:t xml:space="preserve">Documentary Evidence </w:t>
      </w:r>
      <w:r w:rsidR="00376FB1">
        <w:t>of</w:t>
      </w:r>
      <w:r>
        <w:t xml:space="preserve"> </w:t>
      </w:r>
      <w:r w:rsidRPr="009F0EB9">
        <w:t xml:space="preserve">Minimum Contacts </w:t>
      </w:r>
      <w:r w:rsidRPr="00362752">
        <w:t>must be retained (in electronic form or hard copy</w:t>
      </w:r>
      <w:r w:rsidR="00376FB1">
        <w:t>).</w:t>
      </w:r>
    </w:p>
    <w:p w14:paraId="2CE3B3B1" w14:textId="77777777" w:rsidR="0036311B" w:rsidRPr="00A17B7B" w:rsidRDefault="0036311B" w:rsidP="0036311B">
      <w:pPr>
        <w:pStyle w:val="SystemStep"/>
      </w:pPr>
      <w:r w:rsidRPr="00A17B7B">
        <w:t xml:space="preserve">The Provider must record an attendance result </w:t>
      </w:r>
      <w:r>
        <w:t>in the Department’s IT systems</w:t>
      </w:r>
      <w:r w:rsidRPr="00A17B7B">
        <w:t xml:space="preserve"> by close of business on the day of the Contact Appointment.</w:t>
      </w:r>
    </w:p>
    <w:p w14:paraId="3671571B" w14:textId="77777777" w:rsidR="0036311B" w:rsidRPr="00FB7CD7" w:rsidRDefault="0036311B" w:rsidP="0036311B">
      <w:r>
        <w:t>A</w:t>
      </w:r>
      <w:r w:rsidRPr="00FB7CD7">
        <w:t xml:space="preserve"> </w:t>
      </w:r>
      <w:r>
        <w:t>P</w:t>
      </w:r>
      <w:r w:rsidRPr="00FB7CD7">
        <w:t xml:space="preserve">rovider may </w:t>
      </w:r>
      <w:r>
        <w:t>be unable to record an attendance result by close of business on the day of the Contact Appointment. This may occur because</w:t>
      </w:r>
      <w:r w:rsidRPr="00FB7CD7">
        <w:t>:</w:t>
      </w:r>
    </w:p>
    <w:p w14:paraId="35277D6D" w14:textId="77777777" w:rsidR="0036311B" w:rsidRPr="00156D37" w:rsidRDefault="0036311B" w:rsidP="0036311B">
      <w:pPr>
        <w:pStyle w:val="BulletLevel1"/>
      </w:pPr>
      <w:r w:rsidRPr="00156D37">
        <w:t xml:space="preserve">the </w:t>
      </w:r>
      <w:r>
        <w:t>C</w:t>
      </w:r>
      <w:r w:rsidRPr="00156D37">
        <w:t>ontact occurred after normal working hours</w:t>
      </w:r>
    </w:p>
    <w:p w14:paraId="4703978A" w14:textId="77777777" w:rsidR="0036311B" w:rsidRPr="00156D37" w:rsidRDefault="0036311B" w:rsidP="0036311B">
      <w:pPr>
        <w:pStyle w:val="BulletLevel1"/>
      </w:pPr>
      <w:r w:rsidRPr="00156D37">
        <w:t>the employment consultant is in a remote location without access</w:t>
      </w:r>
      <w:r>
        <w:t xml:space="preserve"> to the Department’s IT System, and/or</w:t>
      </w:r>
    </w:p>
    <w:p w14:paraId="6FD953E9" w14:textId="77777777" w:rsidR="0036311B" w:rsidRPr="00156D37" w:rsidRDefault="0036311B" w:rsidP="0036311B">
      <w:pPr>
        <w:pStyle w:val="BulletLevel1"/>
      </w:pPr>
      <w:r w:rsidRPr="00156D37">
        <w:t xml:space="preserve">there is </w:t>
      </w:r>
      <w:r>
        <w:t xml:space="preserve">an </w:t>
      </w:r>
      <w:r w:rsidRPr="00156D37">
        <w:t>outage</w:t>
      </w:r>
      <w:r>
        <w:t xml:space="preserve"> of the Department’s IT Systems</w:t>
      </w:r>
      <w:r w:rsidRPr="00156D37">
        <w:t>.</w:t>
      </w:r>
    </w:p>
    <w:p w14:paraId="7F74F61F" w14:textId="77777777" w:rsidR="0036311B" w:rsidRPr="00FB7CD7" w:rsidRDefault="0036311B" w:rsidP="0036311B">
      <w:pPr>
        <w:pStyle w:val="SystemStep"/>
        <w:numPr>
          <w:ilvl w:val="0"/>
          <w:numId w:val="0"/>
        </w:numPr>
        <w:rPr>
          <w:szCs w:val="22"/>
        </w:rPr>
      </w:pPr>
      <w:r w:rsidRPr="00FB7CD7">
        <w:rPr>
          <w:szCs w:val="22"/>
        </w:rPr>
        <w:t xml:space="preserve">If the </w:t>
      </w:r>
      <w:r>
        <w:t>P</w:t>
      </w:r>
      <w:r w:rsidRPr="005B0772">
        <w:t>rovider</w:t>
      </w:r>
      <w:r w:rsidRPr="00FB7CD7">
        <w:rPr>
          <w:szCs w:val="22"/>
        </w:rPr>
        <w:t xml:space="preserve"> cannot record an attendance result on the day of a scheduled </w:t>
      </w:r>
      <w:r>
        <w:rPr>
          <w:szCs w:val="22"/>
        </w:rPr>
        <w:t>C</w:t>
      </w:r>
      <w:r w:rsidRPr="00FB7CD7">
        <w:rPr>
          <w:szCs w:val="22"/>
        </w:rPr>
        <w:t>ontact</w:t>
      </w:r>
      <w:r>
        <w:rPr>
          <w:szCs w:val="22"/>
        </w:rPr>
        <w:t xml:space="preserve"> Appointment, the Provider must record the result in the Department’s IT Systems within 3 Business Days.</w:t>
      </w:r>
      <w:r w:rsidRPr="00E15007">
        <w:t xml:space="preserve"> </w:t>
      </w:r>
    </w:p>
    <w:p w14:paraId="4512F36E" w14:textId="77777777" w:rsidR="0036311B" w:rsidRDefault="0036311B" w:rsidP="0036311B">
      <w:pPr>
        <w:tabs>
          <w:tab w:val="right" w:pos="1701"/>
        </w:tabs>
        <w:spacing w:after="120"/>
        <w:rPr>
          <w:sz w:val="20"/>
          <w:szCs w:val="20"/>
        </w:rPr>
      </w:pPr>
      <w:r w:rsidRPr="0FE8CA8C">
        <w:rPr>
          <w:sz w:val="20"/>
          <w:szCs w:val="20"/>
        </w:rPr>
        <w:t>(</w:t>
      </w:r>
      <w:r>
        <w:rPr>
          <w:sz w:val="20"/>
          <w:szCs w:val="20"/>
        </w:rPr>
        <w:t xml:space="preserve">Deed Reference(s): Clause </w:t>
      </w:r>
      <w:r w:rsidRPr="0FE8CA8C">
        <w:rPr>
          <w:sz w:val="20"/>
          <w:szCs w:val="20"/>
        </w:rPr>
        <w:t>114)</w:t>
      </w:r>
    </w:p>
    <w:p w14:paraId="707A2D4A" w14:textId="63DE85A1" w:rsidR="00D74559" w:rsidRPr="00FB7CD7" w:rsidRDefault="00D74559" w:rsidP="006E2EF5">
      <w:pPr>
        <w:rPr>
          <w:rFonts w:cstheme="minorHAnsi"/>
        </w:rPr>
      </w:pPr>
      <w:r w:rsidRPr="006A5443">
        <w:t xml:space="preserve">Providers should consider the range of Engagement Methods under which they can maintain contact with Participants. </w:t>
      </w:r>
      <w:r w:rsidR="007D7357">
        <w:t xml:space="preserve">These can either </w:t>
      </w:r>
      <w:r w:rsidR="009621E5">
        <w:t>complement</w:t>
      </w:r>
      <w:r w:rsidR="00C83548">
        <w:t xml:space="preserve"> or </w:t>
      </w:r>
      <w:r w:rsidR="006D7EA0">
        <w:t>as act an alternative to</w:t>
      </w:r>
      <w:r w:rsidR="005F4C80">
        <w:t xml:space="preserve"> </w:t>
      </w:r>
      <w:r w:rsidR="00CC795A">
        <w:t>Appointment</w:t>
      </w:r>
      <w:r w:rsidR="00FE02DD">
        <w:t>-based contacts</w:t>
      </w:r>
      <w:r w:rsidR="007D7357">
        <w:t>, allowing</w:t>
      </w:r>
      <w:r w:rsidR="002600F2">
        <w:t xml:space="preserve"> for more interactive exchanges and relationship building between Participants and Providers</w:t>
      </w:r>
      <w:r w:rsidR="00E654D1">
        <w:t>.</w:t>
      </w:r>
      <w:r w:rsidRPr="006A5443">
        <w:t xml:space="preserve"> </w:t>
      </w:r>
      <w:r>
        <w:rPr>
          <w:rFonts w:cstheme="minorHAnsi"/>
        </w:rPr>
        <w:t>Contacts may be delivered</w:t>
      </w:r>
      <w:r w:rsidRPr="00FB7CD7">
        <w:rPr>
          <w:rFonts w:cstheme="minorHAnsi"/>
        </w:rPr>
        <w:t>:</w:t>
      </w:r>
    </w:p>
    <w:p w14:paraId="1A287362" w14:textId="77777777" w:rsidR="00D74559" w:rsidRPr="00156D37" w:rsidRDefault="00D74559" w:rsidP="004E120D">
      <w:pPr>
        <w:pStyle w:val="BulletLevel1"/>
      </w:pPr>
      <w:r w:rsidRPr="00156D37">
        <w:t>face-to-face</w:t>
      </w:r>
    </w:p>
    <w:p w14:paraId="1CDF480D" w14:textId="6494B950" w:rsidR="00D74559" w:rsidRPr="00156D37" w:rsidRDefault="00D74559" w:rsidP="004E120D">
      <w:pPr>
        <w:pStyle w:val="BulletLevel1"/>
      </w:pPr>
      <w:r w:rsidRPr="00156D37">
        <w:t>as a</w:t>
      </w:r>
      <w:r>
        <w:t xml:space="preserve"> </w:t>
      </w:r>
      <w:r w:rsidR="00D9789A">
        <w:t>phone</w:t>
      </w:r>
      <w:r>
        <w:t xml:space="preserve"> </w:t>
      </w:r>
      <w:r w:rsidRPr="00156D37">
        <w:t>conversation</w:t>
      </w:r>
    </w:p>
    <w:p w14:paraId="3CDBDF35" w14:textId="1B96C9F5" w:rsidR="00D74559" w:rsidRDefault="00D74559" w:rsidP="004E120D">
      <w:pPr>
        <w:pStyle w:val="BulletLevel1"/>
      </w:pPr>
      <w:r w:rsidRPr="00156D37">
        <w:t>as a videoconference</w:t>
      </w:r>
    </w:p>
    <w:p w14:paraId="5A0ECED7" w14:textId="2BA19016" w:rsidR="00D74559" w:rsidRDefault="00D74559" w:rsidP="004E120D">
      <w:pPr>
        <w:pStyle w:val="BulletLevel1"/>
      </w:pPr>
      <w:r>
        <w:t>as meaningful email or text message exchanges</w:t>
      </w:r>
      <w:r w:rsidR="00FE5723">
        <w:t xml:space="preserve"> </w:t>
      </w:r>
      <w:r w:rsidR="00F560C9">
        <w:t xml:space="preserve">— </w:t>
      </w:r>
      <w:r w:rsidR="00FE5723">
        <w:t xml:space="preserve">to complement </w:t>
      </w:r>
      <w:r w:rsidR="00420CFB">
        <w:t xml:space="preserve">other </w:t>
      </w:r>
      <w:r w:rsidR="00785BE1">
        <w:t xml:space="preserve">Contacts </w:t>
      </w:r>
      <w:r w:rsidR="003057DA">
        <w:t xml:space="preserve">rather than being the only form of </w:t>
      </w:r>
      <w:r w:rsidR="00785BE1">
        <w:t>C</w:t>
      </w:r>
      <w:r w:rsidR="003057DA">
        <w:t>ontact</w:t>
      </w:r>
      <w:r w:rsidR="00F560C9">
        <w:t xml:space="preserve"> (see </w:t>
      </w:r>
      <w:r w:rsidR="00F560C9" w:rsidRPr="00E85864">
        <w:rPr>
          <w:rStyle w:val="Hyperlink"/>
        </w:rPr>
        <w:t>Meaningful exchange of email or text messages Provider Fact Sheet</w:t>
      </w:r>
      <w:r w:rsidR="00F560C9">
        <w:rPr>
          <w:rStyle w:val="Hyperlink"/>
        </w:rPr>
        <w:t xml:space="preserve"> [LINK]</w:t>
      </w:r>
      <w:r w:rsidR="002D3734">
        <w:t xml:space="preserve"> on the Provider Portal for more details)</w:t>
      </w:r>
    </w:p>
    <w:p w14:paraId="0521FF1A" w14:textId="1ACA6EBB" w:rsidR="00D74559" w:rsidRDefault="00D74559" w:rsidP="004E120D">
      <w:pPr>
        <w:pStyle w:val="BulletLevel1"/>
      </w:pPr>
      <w:r>
        <w:t xml:space="preserve">as a one off </w:t>
      </w:r>
      <w:r w:rsidR="00DA6834">
        <w:t xml:space="preserve">or regular </w:t>
      </w:r>
      <w:r>
        <w:t>Activity organised by the Provider, and</w:t>
      </w:r>
    </w:p>
    <w:p w14:paraId="044438A1" w14:textId="09A04159" w:rsidR="00D74559" w:rsidRPr="00156D37" w:rsidRDefault="00D74559" w:rsidP="004E120D">
      <w:pPr>
        <w:pStyle w:val="BulletLevel1"/>
      </w:pPr>
      <w:r>
        <w:t xml:space="preserve">as </w:t>
      </w:r>
      <w:r w:rsidR="000E1C17">
        <w:t>part of</w:t>
      </w:r>
      <w:r>
        <w:t xml:space="preserve"> workshops </w:t>
      </w:r>
      <w:r w:rsidR="0055191B">
        <w:t>or other</w:t>
      </w:r>
      <w:r>
        <w:t xml:space="preserve"> group </w:t>
      </w:r>
      <w:r w:rsidR="0055191B">
        <w:t>activities</w:t>
      </w:r>
      <w:r w:rsidR="00A371DE">
        <w:t xml:space="preserve">, </w:t>
      </w:r>
      <w:r>
        <w:t>information or training sessions organised by the Provider.</w:t>
      </w:r>
    </w:p>
    <w:p w14:paraId="483D2419" w14:textId="77777777" w:rsidR="00D74559" w:rsidRDefault="00D74559" w:rsidP="006E2EF5">
      <w:pPr>
        <w:tabs>
          <w:tab w:val="right" w:pos="1701"/>
        </w:tabs>
        <w:spacing w:after="120"/>
      </w:pPr>
      <w:r>
        <w:t>Contacts with Participants may also include third parties — such as a Family Member or carer(s), NDIS Local Area Coordinator, NDIS support coordinator or NDIS employment assistance provider, or an Employer, with consent from the Participant.</w:t>
      </w:r>
    </w:p>
    <w:p w14:paraId="4962EF6E" w14:textId="16650FE3" w:rsidR="00F209D8" w:rsidRPr="003A7B19" w:rsidRDefault="00A37075" w:rsidP="006E2EF5">
      <w:pPr>
        <w:tabs>
          <w:tab w:val="right" w:pos="1701"/>
        </w:tabs>
        <w:spacing w:after="120"/>
      </w:pPr>
      <w:r>
        <w:t xml:space="preserve">A hybrid arrangement for Contacts and Contact Appointments may be beneficial to all Participants. </w:t>
      </w:r>
      <w:r w:rsidR="00D74559" w:rsidRPr="0FE8CA8C">
        <w:t xml:space="preserve">The Provider must </w:t>
      </w:r>
      <w:r w:rsidR="00D74559">
        <w:t>negotiate</w:t>
      </w:r>
      <w:r w:rsidR="00D74559" w:rsidRPr="0FE8CA8C">
        <w:t xml:space="preserve"> the Contact </w:t>
      </w:r>
      <w:r w:rsidR="00573FA6">
        <w:t>schedule</w:t>
      </w:r>
      <w:r w:rsidR="00D74559" w:rsidRPr="0FE8CA8C">
        <w:t xml:space="preserve"> and </w:t>
      </w:r>
      <w:r w:rsidR="00D74559">
        <w:rPr>
          <w:rFonts w:cstheme="minorHAnsi"/>
        </w:rPr>
        <w:t xml:space="preserve">Engagement Methods </w:t>
      </w:r>
      <w:r w:rsidR="00D74559" w:rsidRPr="0FE8CA8C">
        <w:t xml:space="preserve">with the Participant. Providers must </w:t>
      </w:r>
      <w:r w:rsidR="00D74559">
        <w:t xml:space="preserve">also </w:t>
      </w:r>
      <w:r w:rsidR="00D74559" w:rsidRPr="0FE8CA8C">
        <w:t>record the Participant’s preferred mode of contact</w:t>
      </w:r>
      <w:r w:rsidR="00D74559">
        <w:t xml:space="preserve"> for </w:t>
      </w:r>
      <w:r w:rsidR="00163891">
        <w:t>N</w:t>
      </w:r>
      <w:r w:rsidR="00D74559">
        <w:t>otifications</w:t>
      </w:r>
      <w:r w:rsidR="00F209D8">
        <w:t xml:space="preserve"> in the Department’s IT System</w:t>
      </w:r>
      <w:r w:rsidR="00D74559" w:rsidRPr="0FE8CA8C">
        <w:t>.</w:t>
      </w:r>
    </w:p>
    <w:p w14:paraId="4BA73BAC" w14:textId="24C68263" w:rsidR="00D74559" w:rsidRPr="00FB7CD7" w:rsidRDefault="00D74559" w:rsidP="006E2EF5">
      <w:pPr>
        <w:tabs>
          <w:tab w:val="right" w:pos="1701"/>
        </w:tabs>
        <w:spacing w:after="120"/>
      </w:pPr>
      <w:r w:rsidRPr="02295749">
        <w:rPr>
          <w:b/>
          <w:bCs/>
        </w:rPr>
        <w:t>Note</w:t>
      </w:r>
      <w:r w:rsidRPr="02295749">
        <w:t>: If a Provider has an un</w:t>
      </w:r>
      <w:r w:rsidR="00573FA6">
        <w:t>schedule</w:t>
      </w:r>
      <w:r w:rsidRPr="02295749">
        <w:t xml:space="preserve">d Contact with a Participant, the Provider must </w:t>
      </w:r>
      <w:r w:rsidR="00573FA6">
        <w:t>schedule</w:t>
      </w:r>
      <w:r w:rsidRPr="02295749">
        <w:t xml:space="preserve"> the Contact in the Department’s IT </w:t>
      </w:r>
      <w:r>
        <w:t>System</w:t>
      </w:r>
      <w:r w:rsidR="7E9D55D9">
        <w:t>s</w:t>
      </w:r>
      <w:r w:rsidRPr="02295749">
        <w:t xml:space="preserve"> on the day the Contact occurred </w:t>
      </w:r>
      <w:r w:rsidR="00EE5BDA">
        <w:t>and</w:t>
      </w:r>
      <w:r w:rsidR="00EE5BDA" w:rsidRPr="02295749">
        <w:t xml:space="preserve"> </w:t>
      </w:r>
      <w:r w:rsidRPr="02295749">
        <w:t xml:space="preserve">record that the Contact was directly booked with the Participant. This prevents a </w:t>
      </w:r>
      <w:r w:rsidR="00FD51AF">
        <w:t>N</w:t>
      </w:r>
      <w:r w:rsidRPr="02295749">
        <w:t>otification for the Contact being sent.</w:t>
      </w:r>
    </w:p>
    <w:p w14:paraId="200DF818" w14:textId="77777777" w:rsidR="001C2229" w:rsidRPr="00FB7CD7" w:rsidRDefault="001C2229" w:rsidP="002D3734">
      <w:pPr>
        <w:keepNext/>
        <w:tabs>
          <w:tab w:val="right" w:pos="1701"/>
        </w:tabs>
        <w:spacing w:after="120"/>
      </w:pPr>
      <w:r w:rsidRPr="02295749">
        <w:t xml:space="preserve">The Provider must </w:t>
      </w:r>
      <w:r>
        <w:t>find</w:t>
      </w:r>
      <w:r w:rsidRPr="02295749">
        <w:t xml:space="preserve"> any necessary supports the Participant needs to </w:t>
      </w:r>
      <w:r>
        <w:t>take part</w:t>
      </w:r>
      <w:r w:rsidRPr="02295749">
        <w:t xml:space="preserve"> in the Contact</w:t>
      </w:r>
      <w:r>
        <w:t>,</w:t>
      </w:r>
      <w:r w:rsidRPr="02295749">
        <w:t xml:space="preserve"> and supply them. This may include:</w:t>
      </w:r>
    </w:p>
    <w:p w14:paraId="52F3622C" w14:textId="77777777" w:rsidR="001C2229" w:rsidRPr="00156D37" w:rsidRDefault="001C2229" w:rsidP="001C2229">
      <w:pPr>
        <w:pStyle w:val="BulletLevel1"/>
      </w:pPr>
      <w:r>
        <w:t xml:space="preserve">reasonable adjustments associated with </w:t>
      </w:r>
      <w:r w:rsidRPr="02295749">
        <w:t>the Participant’s disability</w:t>
      </w:r>
    </w:p>
    <w:p w14:paraId="5E0A0754" w14:textId="77777777" w:rsidR="001C2229" w:rsidRPr="00156D37" w:rsidRDefault="001C2229" w:rsidP="001C2229">
      <w:pPr>
        <w:pStyle w:val="BulletLevel1"/>
      </w:pPr>
      <w:r w:rsidRPr="00156D37">
        <w:t>interpreter support</w:t>
      </w:r>
    </w:p>
    <w:p w14:paraId="41C7F715" w14:textId="77777777" w:rsidR="001C2229" w:rsidRDefault="001C2229" w:rsidP="001C2229">
      <w:pPr>
        <w:pStyle w:val="BulletLevel1"/>
      </w:pPr>
      <w:r w:rsidRPr="2524A882">
        <w:t xml:space="preserve">the need for a </w:t>
      </w:r>
      <w:r>
        <w:t>support person to be present e.g.</w:t>
      </w:r>
      <w:r w:rsidRPr="2524A882">
        <w:t xml:space="preserve"> counsellor, carer, nominee or social worker</w:t>
      </w:r>
      <w:r>
        <w:t>, and</w:t>
      </w:r>
    </w:p>
    <w:p w14:paraId="2F5ECB1A" w14:textId="2ADEF523" w:rsidR="001C2229" w:rsidRPr="00156D37" w:rsidRDefault="001C2229" w:rsidP="001C2229">
      <w:pPr>
        <w:pStyle w:val="BulletLevel1"/>
      </w:pPr>
      <w:r w:rsidRPr="00156D37">
        <w:t xml:space="preserve">adjustments because of aggressive or violent </w:t>
      </w:r>
      <w:r>
        <w:t>P</w:t>
      </w:r>
      <w:r w:rsidRPr="00156D37">
        <w:t xml:space="preserve">articipant </w:t>
      </w:r>
      <w:r>
        <w:t>I</w:t>
      </w:r>
      <w:r w:rsidRPr="00156D37">
        <w:t>ncidents</w:t>
      </w:r>
      <w:r>
        <w:t xml:space="preserve"> — refer to </w:t>
      </w:r>
      <w:r>
        <w:fldChar w:fldCharType="begin"/>
      </w:r>
      <w:r>
        <w:instrText xml:space="preserve"> REF _Ref202783502 \h </w:instrText>
      </w:r>
      <w:r>
        <w:fldChar w:fldCharType="separate"/>
      </w:r>
      <w:r w:rsidR="000D75AE" w:rsidRPr="00BA23D8">
        <w:t>Chapter 13</w:t>
      </w:r>
      <w:r w:rsidR="000D75AE">
        <w:t>:</w:t>
      </w:r>
      <w:r w:rsidR="002F7169">
        <w:t xml:space="preserve"> </w:t>
      </w:r>
      <w:r w:rsidR="000D75AE" w:rsidRPr="00BA23D8">
        <w:t xml:space="preserve"> Participants with challenging behaviours</w:t>
      </w:r>
      <w:r>
        <w:fldChar w:fldCharType="end"/>
      </w:r>
      <w:r>
        <w:t>.</w:t>
      </w:r>
    </w:p>
    <w:p w14:paraId="254F7DD7" w14:textId="4224D40B" w:rsidR="00D74559" w:rsidRPr="005C0D91" w:rsidRDefault="00D74559" w:rsidP="007336F2">
      <w:pPr>
        <w:tabs>
          <w:tab w:val="right" w:pos="1701"/>
        </w:tabs>
        <w:spacing w:after="120"/>
      </w:pPr>
      <w:r w:rsidRPr="00FB7CD7">
        <w:rPr>
          <w:rFonts w:cstheme="minorHAnsi"/>
          <w:szCs w:val="22"/>
        </w:rPr>
        <w:t xml:space="preserve">Providers </w:t>
      </w:r>
      <w:r w:rsidRPr="005B0772">
        <w:rPr>
          <w:rFonts w:cstheme="minorHAnsi"/>
        </w:rPr>
        <w:t>can</w:t>
      </w:r>
      <w:r w:rsidRPr="00FB7CD7">
        <w:rPr>
          <w:rFonts w:cstheme="minorHAnsi"/>
          <w:szCs w:val="22"/>
        </w:rPr>
        <w:t xml:space="preserve"> discuss any issue or concerns relevant to the </w:t>
      </w:r>
      <w:r>
        <w:rPr>
          <w:rFonts w:cstheme="minorHAnsi"/>
          <w:szCs w:val="22"/>
        </w:rPr>
        <w:t>P</w:t>
      </w:r>
      <w:r w:rsidRPr="00FB7CD7">
        <w:rPr>
          <w:rFonts w:cstheme="minorHAnsi"/>
          <w:szCs w:val="22"/>
        </w:rPr>
        <w:t xml:space="preserve">articipant at a </w:t>
      </w:r>
      <w:r>
        <w:rPr>
          <w:rFonts w:cstheme="minorHAnsi"/>
          <w:szCs w:val="22"/>
        </w:rPr>
        <w:t>C</w:t>
      </w:r>
      <w:r w:rsidRPr="00FB7CD7">
        <w:rPr>
          <w:rFonts w:cstheme="minorHAnsi"/>
          <w:szCs w:val="22"/>
        </w:rPr>
        <w:t>ontact.</w:t>
      </w:r>
      <w:r>
        <w:rPr>
          <w:rFonts w:cstheme="minorHAnsi"/>
          <w:szCs w:val="22"/>
        </w:rPr>
        <w:t xml:space="preserve"> </w:t>
      </w:r>
    </w:p>
    <w:p w14:paraId="13A3C9FC" w14:textId="77777777" w:rsidR="00074EE6" w:rsidRDefault="00074EE6" w:rsidP="00074EE6">
      <w:r>
        <w:t xml:space="preserve">Issues covered in each Contact may include: </w:t>
      </w:r>
    </w:p>
    <w:p w14:paraId="0D889547" w14:textId="6AE6C0B0" w:rsidR="00074EE6" w:rsidRDefault="00074EE6" w:rsidP="00074EE6">
      <w:pPr>
        <w:pStyle w:val="BulletLevel1"/>
      </w:pPr>
      <w:r>
        <w:t xml:space="preserve">Participant’s progress towards finding </w:t>
      </w:r>
      <w:r w:rsidR="001C2229">
        <w:t>sustainable Open E</w:t>
      </w:r>
      <w:r>
        <w:t>mployment</w:t>
      </w:r>
    </w:p>
    <w:p w14:paraId="4BD37845" w14:textId="77777777" w:rsidR="00074EE6" w:rsidRDefault="00074EE6" w:rsidP="00074EE6">
      <w:pPr>
        <w:pStyle w:val="BulletLevel1"/>
      </w:pPr>
      <w:r>
        <w:t>details of assistance and support provided to Participant</w:t>
      </w:r>
    </w:p>
    <w:p w14:paraId="0AB9C0BE" w14:textId="77777777" w:rsidR="00074EE6" w:rsidRPr="005C0D91" w:rsidRDefault="00074EE6" w:rsidP="00074EE6">
      <w:pPr>
        <w:pStyle w:val="BulletLevel1"/>
      </w:pPr>
      <w:r>
        <w:t>details of any relevant changes to the Participant’s circumstances</w:t>
      </w:r>
    </w:p>
    <w:p w14:paraId="1323EC0D" w14:textId="77777777" w:rsidR="00074EE6" w:rsidRDefault="00074EE6" w:rsidP="00074EE6">
      <w:pPr>
        <w:pStyle w:val="BulletLevel1"/>
      </w:pPr>
      <w:r>
        <w:t>non-attendance or non-completion of agreed tasks and activities, and</w:t>
      </w:r>
    </w:p>
    <w:p w14:paraId="64237CF2" w14:textId="77777777" w:rsidR="00074EE6" w:rsidRDefault="00074EE6" w:rsidP="00074EE6">
      <w:pPr>
        <w:pStyle w:val="BulletLevel1"/>
      </w:pPr>
      <w:r>
        <w:t>overall level of engagement.</w:t>
      </w:r>
    </w:p>
    <w:p w14:paraId="407D4208" w14:textId="18AAD696" w:rsidR="00074EE6" w:rsidRDefault="00074EE6" w:rsidP="00074EE6">
      <w:pPr>
        <w:pStyle w:val="DocumentaryEvidenceRequirement"/>
      </w:pPr>
      <w:r>
        <w:t xml:space="preserve">Documentary Evidence must be retained </w:t>
      </w:r>
      <w:r w:rsidRPr="00362752">
        <w:t>(in electronic form or hard copy</w:t>
      </w:r>
      <w:r>
        <w:t>) on the conversations during Contacts that relate to</w:t>
      </w:r>
      <w:r w:rsidRPr="00743A9F">
        <w:t>:</w:t>
      </w:r>
    </w:p>
    <w:p w14:paraId="205AF8E3" w14:textId="77777777" w:rsidR="00074EE6" w:rsidRDefault="00074EE6" w:rsidP="00074EE6">
      <w:pPr>
        <w:pStyle w:val="BulletLevel2"/>
      </w:pPr>
      <w:r>
        <w:t>progress towards meaningful engagement or</w:t>
      </w:r>
      <w:r w:rsidRPr="00DD76B8">
        <w:t xml:space="preserve"> a failure to meaningfully engage</w:t>
      </w:r>
      <w:r>
        <w:t>, or</w:t>
      </w:r>
      <w:r w:rsidRPr="00DD76B8">
        <w:t xml:space="preserve"> </w:t>
      </w:r>
    </w:p>
    <w:p w14:paraId="5D0AD6FB" w14:textId="77777777" w:rsidR="00074EE6" w:rsidRDefault="00074EE6" w:rsidP="00074EE6">
      <w:pPr>
        <w:pStyle w:val="BulletLevel2"/>
      </w:pPr>
      <w:r>
        <w:t>compliance with the requirements of the Detailed Job Plan.</w:t>
      </w:r>
    </w:p>
    <w:p w14:paraId="75791FFD" w14:textId="0FB4EFE6" w:rsidR="008C58CE" w:rsidRDefault="008C58CE" w:rsidP="008C58CE">
      <w:r w:rsidRPr="00595219">
        <w:rPr>
          <w:u w:val="single"/>
        </w:rPr>
        <w:t>For Participants who have a Meaningful Engagement Job Plan</w:t>
      </w:r>
      <w:r>
        <w:t xml:space="preserve">, Providers must capture any reasons given for failure to attend a Contact as a file note — either as a comment in the Appointment notes or using comment functionality in the Participant’s Summary on the Department’s IT System. Maintaining contact is a core requirement of meeting the Meaningful Engagement Requirement so these notes may need to be used as Documentary Evidence when assessing a Participant’s level of engagement (see </w:t>
      </w:r>
      <w:r>
        <w:fldChar w:fldCharType="begin"/>
      </w:r>
      <w:r>
        <w:instrText xml:space="preserve"> REF _Ref202877362 \h </w:instrText>
      </w:r>
      <w:r>
        <w:fldChar w:fldCharType="separate"/>
      </w:r>
      <w:r w:rsidR="000D75AE" w:rsidRPr="008212EF">
        <w:t>5.5.4</w:t>
      </w:r>
      <w:r w:rsidR="002E053E">
        <w:t xml:space="preserve"> </w:t>
      </w:r>
      <w:r w:rsidR="000D75AE" w:rsidRPr="008212EF">
        <w:t>Determining if a Participant is meeting the Meaningful Engagement Requirement</w:t>
      </w:r>
      <w:r>
        <w:fldChar w:fldCharType="end"/>
      </w:r>
      <w:r>
        <w:t xml:space="preserve"> for more information).</w:t>
      </w:r>
    </w:p>
    <w:p w14:paraId="70FAC0B4" w14:textId="134CB071" w:rsidR="00536BBC" w:rsidRDefault="00536BBC" w:rsidP="00536BBC">
      <w:r w:rsidRPr="00595219">
        <w:rPr>
          <w:u w:val="single"/>
        </w:rPr>
        <w:t>For Participants on a Detailed Job Plan</w:t>
      </w:r>
      <w:r>
        <w:t xml:space="preserve">, </w:t>
      </w:r>
      <w:r w:rsidR="00B82059">
        <w:t>Providers must record an attendance result. N</w:t>
      </w:r>
      <w:r w:rsidRPr="00FB7CD7">
        <w:t xml:space="preserve">o </w:t>
      </w:r>
      <w:r w:rsidRPr="005B0772">
        <w:t>compliance</w:t>
      </w:r>
      <w:r w:rsidRPr="00FB7CD7">
        <w:t xml:space="preserve"> action can be taken under the Targeted Compliance Framework </w:t>
      </w:r>
      <w:r>
        <w:t xml:space="preserve">(TCF) </w:t>
      </w:r>
      <w:r w:rsidRPr="00FB7CD7">
        <w:t xml:space="preserve">unless a result of </w:t>
      </w:r>
      <w:r>
        <w:t>‘</w:t>
      </w:r>
      <w:r w:rsidRPr="00FB7CD7">
        <w:t xml:space="preserve">Did not attend </w:t>
      </w:r>
      <w:r>
        <w:t>– I</w:t>
      </w:r>
      <w:r w:rsidRPr="00FB7CD7">
        <w:t>nvalid</w:t>
      </w:r>
      <w:r>
        <w:t>’ or ‘Misconduct’</w:t>
      </w:r>
      <w:r w:rsidRPr="00FB7CD7">
        <w:t xml:space="preserve"> is recorded </w:t>
      </w:r>
      <w:r>
        <w:t xml:space="preserve">in the Department’s IT Systems by close of business </w:t>
      </w:r>
      <w:r w:rsidRPr="00FB7CD7">
        <w:t xml:space="preserve">on the day of the </w:t>
      </w:r>
      <w:r>
        <w:t>schedule</w:t>
      </w:r>
      <w:r w:rsidRPr="00FB7CD7">
        <w:t xml:space="preserve">d </w:t>
      </w:r>
      <w:r>
        <w:t>C</w:t>
      </w:r>
      <w:r w:rsidRPr="00FB7CD7">
        <w:t>ontact.</w:t>
      </w:r>
    </w:p>
    <w:p w14:paraId="061E109E" w14:textId="466F1AFA" w:rsidR="00A21EEC" w:rsidRPr="00536BBC" w:rsidRDefault="00A21EEC" w:rsidP="00536BBC">
      <w:r>
        <w:t xml:space="preserve">Providers must refer to the guidance in </w:t>
      </w:r>
      <w:r>
        <w:rPr>
          <w:highlight w:val="yellow"/>
        </w:rPr>
        <w:fldChar w:fldCharType="begin"/>
      </w:r>
      <w:r>
        <w:instrText xml:space="preserve"> REF _Ref202782924 \h </w:instrText>
      </w:r>
      <w:r>
        <w:rPr>
          <w:highlight w:val="yellow"/>
        </w:rPr>
      </w:r>
      <w:r>
        <w:rPr>
          <w:highlight w:val="yellow"/>
        </w:rPr>
        <w:fldChar w:fldCharType="separate"/>
      </w:r>
      <w:r w:rsidR="000D75AE">
        <w:t>Chapter 12:</w:t>
      </w:r>
      <w:r w:rsidR="002F7169">
        <w:t xml:space="preserve"> </w:t>
      </w:r>
      <w:r w:rsidR="000D75AE">
        <w:t>Compliance</w:t>
      </w:r>
      <w:r>
        <w:rPr>
          <w:highlight w:val="yellow"/>
        </w:rPr>
        <w:fldChar w:fldCharType="end"/>
      </w:r>
      <w:r>
        <w:t xml:space="preserve"> on the associated compliance action if a Participant (Mutual Obligation) or DSP Recipient (Compulsory Requirements) does not attend a compulsory Contact Appointment.</w:t>
      </w:r>
    </w:p>
    <w:p w14:paraId="400A72F0" w14:textId="77777777" w:rsidR="00D74559" w:rsidRDefault="00D74559" w:rsidP="006D1645">
      <w:pPr>
        <w:pStyle w:val="Heading5"/>
      </w:pPr>
      <w:r>
        <w:t>Providing Interpreters</w:t>
      </w:r>
    </w:p>
    <w:p w14:paraId="6BE82A51" w14:textId="77777777" w:rsidR="00D74559" w:rsidRDefault="00D74559" w:rsidP="006E2EF5">
      <w:pPr>
        <w:tabs>
          <w:tab w:val="right" w:pos="1701"/>
        </w:tabs>
        <w:spacing w:after="120"/>
      </w:pPr>
      <w:r>
        <w:t>Providers must use an interpreter for Provider Contacts where:</w:t>
      </w:r>
    </w:p>
    <w:p w14:paraId="44AC4A0E" w14:textId="77777777" w:rsidR="00D74559" w:rsidRDefault="00D74559" w:rsidP="004E120D">
      <w:pPr>
        <w:pStyle w:val="BulletLevel1"/>
      </w:pPr>
      <w:r w:rsidRPr="02295749">
        <w:t xml:space="preserve">Services Australia has </w:t>
      </w:r>
      <w:r w:rsidRPr="5E809BAB">
        <w:t>shown</w:t>
      </w:r>
      <w:r w:rsidRPr="02295749">
        <w:t xml:space="preserve"> that an interpreter is </w:t>
      </w:r>
      <w:r w:rsidRPr="5E809BAB">
        <w:t>needed</w:t>
      </w:r>
    </w:p>
    <w:p w14:paraId="20A1D2D4" w14:textId="77777777" w:rsidR="00D74559" w:rsidRDefault="00D74559" w:rsidP="004E120D">
      <w:pPr>
        <w:pStyle w:val="BulletLevel1"/>
      </w:pPr>
      <w:r>
        <w:t>the Participant has requested an interpreter, or</w:t>
      </w:r>
    </w:p>
    <w:p w14:paraId="7B21DD63" w14:textId="77777777" w:rsidR="00D74559" w:rsidRDefault="00D74559" w:rsidP="004E120D">
      <w:pPr>
        <w:pStyle w:val="BulletLevel1"/>
      </w:pPr>
      <w:r w:rsidRPr="02295749">
        <w:t xml:space="preserve">the Provider assesses that an interpreter is </w:t>
      </w:r>
      <w:r w:rsidRPr="5E809BAB">
        <w:t>needed</w:t>
      </w:r>
      <w:r w:rsidRPr="02295749">
        <w:t>.</w:t>
      </w:r>
    </w:p>
    <w:p w14:paraId="26ADC6A1" w14:textId="4A565175" w:rsidR="00D74559" w:rsidRDefault="00D74559" w:rsidP="006E2EF5">
      <w:pPr>
        <w:tabs>
          <w:tab w:val="right" w:pos="1701"/>
        </w:tabs>
        <w:spacing w:after="120"/>
      </w:pPr>
      <w:r w:rsidRPr="02295749">
        <w:t xml:space="preserve">Providers </w:t>
      </w:r>
      <w:r w:rsidR="00622482">
        <w:t>are responsible for</w:t>
      </w:r>
      <w:r w:rsidR="00622482" w:rsidRPr="02295749">
        <w:t xml:space="preserve"> </w:t>
      </w:r>
      <w:r w:rsidRPr="02295749">
        <w:t>the costs of interpreter services.</w:t>
      </w:r>
    </w:p>
    <w:p w14:paraId="54B938ED" w14:textId="77777777" w:rsidR="00D74559" w:rsidRDefault="00D74559" w:rsidP="006E2EF5">
      <w:r>
        <w:t xml:space="preserve">Providers can book a foreign language interpreter through the Department of Home Affairs’ </w:t>
      </w:r>
      <w:hyperlink r:id="rId52" w:history="1">
        <w:r w:rsidRPr="005D306F">
          <w:rPr>
            <w:rStyle w:val="Hyperlink"/>
            <w:rFonts w:cstheme="minorHAnsi"/>
          </w:rPr>
          <w:t>Translating and Interpreting Service</w:t>
        </w:r>
      </w:hyperlink>
      <w:r>
        <w:t xml:space="preserve"> (TIS).</w:t>
      </w:r>
    </w:p>
    <w:p w14:paraId="60C9AF57" w14:textId="77777777" w:rsidR="00D74559" w:rsidRDefault="00D74559" w:rsidP="006E2EF5">
      <w:r w:rsidRPr="2524A882">
        <w:t xml:space="preserve">Auslan interpreters must be accredited by the </w:t>
      </w:r>
      <w:hyperlink r:id="rId53">
        <w:r w:rsidRPr="2524A882">
          <w:rPr>
            <w:rStyle w:val="Hyperlink"/>
          </w:rPr>
          <w:t>National Accreditation Authority for Translators and Interpreters</w:t>
        </w:r>
      </w:hyperlink>
      <w:r w:rsidRPr="2524A882">
        <w:t xml:space="preserve"> (NAATI). Providers may wish to use:</w:t>
      </w:r>
    </w:p>
    <w:p w14:paraId="3458953E" w14:textId="77777777" w:rsidR="00D74559" w:rsidRDefault="00D74559" w:rsidP="004E120D">
      <w:pPr>
        <w:pStyle w:val="BulletLevel1"/>
      </w:pPr>
      <w:r w:rsidRPr="2524A882">
        <w:t>the Participant’s preferred interpreter, if they are accredited by NAATI</w:t>
      </w:r>
    </w:p>
    <w:p w14:paraId="45622FEF" w14:textId="77777777" w:rsidR="00D74559" w:rsidRDefault="00D74559" w:rsidP="004E120D">
      <w:pPr>
        <w:pStyle w:val="BulletLevel1"/>
      </w:pPr>
      <w:hyperlink r:id="rId54" w:history="1">
        <w:r w:rsidRPr="004D7213">
          <w:rPr>
            <w:rStyle w:val="Hyperlink"/>
            <w:rFonts w:cstheme="minorHAnsi"/>
          </w:rPr>
          <w:t>Deaf Connect</w:t>
        </w:r>
      </w:hyperlink>
      <w:r>
        <w:t xml:space="preserve"> - 1</w:t>
      </w:r>
      <w:r w:rsidRPr="00A868A9">
        <w:t>300 773 803</w:t>
      </w:r>
    </w:p>
    <w:p w14:paraId="62D5B771" w14:textId="77777777" w:rsidR="00D74559" w:rsidRDefault="00D74559" w:rsidP="004E120D">
      <w:pPr>
        <w:pStyle w:val="BulletLevel1"/>
      </w:pPr>
      <w:hyperlink r:id="rId55" w:history="1">
        <w:r w:rsidRPr="004D7213">
          <w:rPr>
            <w:rStyle w:val="Hyperlink"/>
            <w:rFonts w:cstheme="minorHAnsi"/>
          </w:rPr>
          <w:t>Expression Australia</w:t>
        </w:r>
      </w:hyperlink>
      <w:r>
        <w:t xml:space="preserve"> - </w:t>
      </w:r>
      <w:r w:rsidRPr="00A868A9">
        <w:t>1800 937 446 / 03 9473 1117</w:t>
      </w:r>
    </w:p>
    <w:p w14:paraId="3BEB5F2A" w14:textId="77777777" w:rsidR="00D74559" w:rsidRDefault="00D74559" w:rsidP="004E120D">
      <w:pPr>
        <w:pStyle w:val="BulletLevel1"/>
      </w:pPr>
      <w:hyperlink r:id="rId56" w:history="1">
        <w:r w:rsidRPr="004D7213">
          <w:rPr>
            <w:rStyle w:val="Hyperlink"/>
            <w:rFonts w:cstheme="minorHAnsi"/>
          </w:rPr>
          <w:t>Deaf Accessible Business Network</w:t>
        </w:r>
      </w:hyperlink>
      <w:r>
        <w:t xml:space="preserve"> (DABN) - </w:t>
      </w:r>
      <w:r w:rsidRPr="00A868A9">
        <w:t>1300 462 587</w:t>
      </w:r>
    </w:p>
    <w:p w14:paraId="4FAEA46D" w14:textId="77777777" w:rsidR="00D74559" w:rsidRDefault="00D74559" w:rsidP="004E120D">
      <w:pPr>
        <w:pStyle w:val="BulletLevel1"/>
      </w:pPr>
      <w:hyperlink r:id="rId57">
        <w:r w:rsidRPr="2524A882">
          <w:rPr>
            <w:rStyle w:val="Hyperlink"/>
          </w:rPr>
          <w:t>JobAccess</w:t>
        </w:r>
      </w:hyperlink>
      <w:r w:rsidRPr="2524A882">
        <w:t xml:space="preserve"> Auslan interpreting service - 1800 464 800</w:t>
      </w:r>
    </w:p>
    <w:p w14:paraId="79E6BF16" w14:textId="77777777" w:rsidR="00D74559" w:rsidRDefault="00D74559" w:rsidP="004E120D">
      <w:pPr>
        <w:pStyle w:val="BulletLevel1"/>
      </w:pPr>
      <w:hyperlink r:id="rId58" w:history="1">
        <w:r w:rsidRPr="004D7213">
          <w:rPr>
            <w:rStyle w:val="Hyperlink"/>
            <w:rFonts w:cstheme="minorHAnsi"/>
          </w:rPr>
          <w:t>AuslanServices</w:t>
        </w:r>
      </w:hyperlink>
      <w:r>
        <w:t xml:space="preserve"> – 1300 287 526</w:t>
      </w:r>
    </w:p>
    <w:p w14:paraId="243DB8DD" w14:textId="04E28DB2" w:rsidR="00D74559" w:rsidRDefault="00D74559" w:rsidP="006E2EF5">
      <w:r w:rsidRPr="2524A882">
        <w:rPr>
          <w:b/>
          <w:bCs/>
        </w:rPr>
        <w:t>Note</w:t>
      </w:r>
      <w:r w:rsidRPr="2524A882">
        <w:t>: Providers can use EAF funding for Auslan services only for Job Interviews. Provider Contacts</w:t>
      </w:r>
      <w:r w:rsidR="00524ADB">
        <w:t xml:space="preserve"> cannot be funded under EAF</w:t>
      </w:r>
      <w:r w:rsidRPr="2524A882">
        <w:t>.</w:t>
      </w:r>
    </w:p>
    <w:p w14:paraId="6EE9B226" w14:textId="1E64CC9F" w:rsidR="00D74559" w:rsidRPr="00B84B59" w:rsidRDefault="00D74559" w:rsidP="0079424A">
      <w:pPr>
        <w:pStyle w:val="DocumentaryEvidenceRequirement"/>
      </w:pPr>
      <w:r w:rsidRPr="00B84B59">
        <w:t xml:space="preserve">Providers must keep </w:t>
      </w:r>
      <w:r w:rsidR="001644A5">
        <w:t>R</w:t>
      </w:r>
      <w:r w:rsidRPr="00B84B59">
        <w:t>ecords, either in the Department’s IT Systems or on the Participant’s individual file, related to:</w:t>
      </w:r>
    </w:p>
    <w:p w14:paraId="16646108" w14:textId="77777777" w:rsidR="00D74559" w:rsidRDefault="00D74559" w:rsidP="004E120D">
      <w:pPr>
        <w:pStyle w:val="BulletLevel2"/>
      </w:pPr>
      <w:r w:rsidRPr="2524A882">
        <w:t>any interpreter requirements, including language, dialect and gender preference</w:t>
      </w:r>
    </w:p>
    <w:p w14:paraId="23EB21E3" w14:textId="77777777" w:rsidR="00D74559" w:rsidRDefault="00D74559" w:rsidP="004E120D">
      <w:pPr>
        <w:pStyle w:val="BulletLevel2"/>
      </w:pPr>
      <w:r>
        <w:t>details of interpreter use, including kind of interpreter service and date used</w:t>
      </w:r>
    </w:p>
    <w:p w14:paraId="0E7FBADD" w14:textId="77777777" w:rsidR="00D74559" w:rsidRDefault="00D74559" w:rsidP="004E120D">
      <w:pPr>
        <w:pStyle w:val="BulletLevel2"/>
      </w:pPr>
      <w:r>
        <w:t>declined Participant requests for interpreter services, including reasons for refusal</w:t>
      </w:r>
    </w:p>
    <w:p w14:paraId="55306901" w14:textId="77777777" w:rsidR="00D74559" w:rsidRDefault="00D74559" w:rsidP="004E120D">
      <w:pPr>
        <w:pStyle w:val="BulletLevel2"/>
      </w:pPr>
      <w:r>
        <w:t>declined Provider offers of interpreter services, including any given reasons for refusal.</w:t>
      </w:r>
    </w:p>
    <w:p w14:paraId="3D393876" w14:textId="75E42850" w:rsidR="00D74559" w:rsidRPr="00055E5F" w:rsidRDefault="00D74559" w:rsidP="006E2EF5">
      <w:pPr>
        <w:rPr>
          <w:sz w:val="20"/>
          <w:szCs w:val="20"/>
        </w:rPr>
      </w:pPr>
      <w:r w:rsidRPr="0FE8CA8C">
        <w:rPr>
          <w:sz w:val="20"/>
          <w:szCs w:val="20"/>
        </w:rPr>
        <w:t>(</w:t>
      </w:r>
      <w:r w:rsidR="00A73420">
        <w:rPr>
          <w:sz w:val="20"/>
          <w:szCs w:val="20"/>
        </w:rPr>
        <w:t xml:space="preserve">Deed Reference(s): Clause </w:t>
      </w:r>
      <w:r>
        <w:rPr>
          <w:sz w:val="20"/>
          <w:szCs w:val="20"/>
        </w:rPr>
        <w:t>7</w:t>
      </w:r>
      <w:r w:rsidRPr="0FE8CA8C">
        <w:rPr>
          <w:sz w:val="20"/>
          <w:szCs w:val="20"/>
        </w:rPr>
        <w:t>)</w:t>
      </w:r>
    </w:p>
    <w:p w14:paraId="40CD125F" w14:textId="3204D651" w:rsidR="00C0199D" w:rsidRPr="00FB7CD7" w:rsidRDefault="00C0199D" w:rsidP="00C0199D">
      <w:pPr>
        <w:pStyle w:val="Heading3"/>
      </w:pPr>
      <w:bookmarkStart w:id="272" w:name="_Toc191901304"/>
      <w:bookmarkStart w:id="273" w:name="_Toc202899986"/>
      <w:r>
        <w:t>6.7</w:t>
      </w:r>
      <w:r w:rsidR="00086DE4">
        <w:tab/>
      </w:r>
      <w:r>
        <w:t>Relocation Assistance</w:t>
      </w:r>
      <w:bookmarkEnd w:id="272"/>
      <w:bookmarkEnd w:id="273"/>
    </w:p>
    <w:p w14:paraId="0646D4E3" w14:textId="50FB361B" w:rsidR="00630CEE" w:rsidRDefault="00C0199D" w:rsidP="003255CB">
      <w:r w:rsidRPr="2524A882">
        <w:t xml:space="preserve">Relocation Assistance To Take Up A Job (Relocation Assistance) is a tool that Providers may use to help eligible Participants move to take up ongoing work. </w:t>
      </w:r>
    </w:p>
    <w:p w14:paraId="2D1DFE68" w14:textId="77777777" w:rsidR="00C0199D" w:rsidRDefault="00C0199D" w:rsidP="00C0199D">
      <w:r w:rsidRPr="02295749">
        <w:t xml:space="preserve">If a Provider chooses to </w:t>
      </w:r>
      <w:r>
        <w:t>help</w:t>
      </w:r>
      <w:r w:rsidRPr="02295749">
        <w:t xml:space="preserve"> a Participant in this way, the Provider must pay any agreed relocation expenses and then claim reimbursement through the Department’s IT Systems. </w:t>
      </w:r>
    </w:p>
    <w:p w14:paraId="73446529" w14:textId="77777777" w:rsidR="00413AF3" w:rsidRDefault="00413AF3" w:rsidP="00413AF3">
      <w:r>
        <w:t>The maximum Relocation Assistance amounts that can be claimed are:</w:t>
      </w:r>
    </w:p>
    <w:p w14:paraId="21E9BE92" w14:textId="77777777" w:rsidR="00413AF3" w:rsidRDefault="00413AF3" w:rsidP="004E120D">
      <w:pPr>
        <w:pStyle w:val="BulletLevel1"/>
      </w:pPr>
      <w:r w:rsidRPr="02295749">
        <w:t xml:space="preserve">$3,000 (GST exclusive) if </w:t>
      </w:r>
      <w:r>
        <w:t>moving</w:t>
      </w:r>
      <w:r w:rsidRPr="02295749">
        <w:t xml:space="preserve"> to a capital city </w:t>
      </w:r>
    </w:p>
    <w:p w14:paraId="1F40B770" w14:textId="77777777" w:rsidR="00413AF3" w:rsidRDefault="00413AF3" w:rsidP="004E120D">
      <w:pPr>
        <w:pStyle w:val="BulletLevel1"/>
      </w:pPr>
      <w:r w:rsidRPr="02295749">
        <w:t xml:space="preserve">$6,000 (GST exclusive) if </w:t>
      </w:r>
      <w:r>
        <w:t>moving</w:t>
      </w:r>
      <w:r w:rsidRPr="02295749">
        <w:t xml:space="preserve"> to a regional area</w:t>
      </w:r>
    </w:p>
    <w:p w14:paraId="10CA19B5" w14:textId="24B9C0C8" w:rsidR="00413AF3" w:rsidRDefault="00413AF3" w:rsidP="004E120D">
      <w:pPr>
        <w:pStyle w:val="BulletLevel1"/>
      </w:pPr>
      <w:r w:rsidRPr="02295749">
        <w:t xml:space="preserve">an extra $3,000 (GST exclusive) if </w:t>
      </w:r>
      <w:r>
        <w:t>moving</w:t>
      </w:r>
      <w:r w:rsidRPr="02295749">
        <w:t xml:space="preserve"> with one or more dependents.</w:t>
      </w:r>
    </w:p>
    <w:p w14:paraId="3448FC50" w14:textId="72674143" w:rsidR="00413AF3" w:rsidRDefault="00413AF3" w:rsidP="00413AF3">
      <w:r>
        <w:t>A dependent is a member of the Participant’s household who is:</w:t>
      </w:r>
    </w:p>
    <w:p w14:paraId="6F044E72" w14:textId="695664E6" w:rsidR="00413AF3" w:rsidRDefault="007216F5" w:rsidP="004E120D">
      <w:pPr>
        <w:pStyle w:val="BulletLevel1"/>
      </w:pPr>
      <w:r>
        <w:t xml:space="preserve">a </w:t>
      </w:r>
      <w:r w:rsidR="00413AF3">
        <w:t xml:space="preserve">spouse/partner who is </w:t>
      </w:r>
      <w:r w:rsidR="00354BBF">
        <w:t xml:space="preserve">also </w:t>
      </w:r>
      <w:r w:rsidR="00413AF3">
        <w:t xml:space="preserve">receiving an Australian Government </w:t>
      </w:r>
      <w:r w:rsidR="00AE4E2D">
        <w:t>I</w:t>
      </w:r>
      <w:r w:rsidR="00413AF3">
        <w:t xml:space="preserve">ncome </w:t>
      </w:r>
      <w:r w:rsidR="00AE4E2D">
        <w:t>S</w:t>
      </w:r>
      <w:r w:rsidR="00413AF3">
        <w:t xml:space="preserve">upport </w:t>
      </w:r>
      <w:r w:rsidR="00AE4E2D">
        <w:t>P</w:t>
      </w:r>
      <w:r w:rsidR="00413AF3">
        <w:t>ayment or pension</w:t>
      </w:r>
    </w:p>
    <w:p w14:paraId="7CCFD0D6" w14:textId="3603927B" w:rsidR="00045609" w:rsidRPr="00DA21AF" w:rsidRDefault="007216F5" w:rsidP="004E120D">
      <w:pPr>
        <w:pStyle w:val="BulletLevel1"/>
      </w:pPr>
      <w:r>
        <w:rPr>
          <w:rFonts w:cs="Calibri"/>
        </w:rPr>
        <w:t xml:space="preserve">a </w:t>
      </w:r>
      <w:r w:rsidR="00045609">
        <w:rPr>
          <w:rFonts w:cs="Calibri"/>
        </w:rPr>
        <w:t>dependent child/</w:t>
      </w:r>
      <w:r w:rsidR="00045609" w:rsidRPr="00572FB2">
        <w:t>children</w:t>
      </w:r>
      <w:r w:rsidR="00045609">
        <w:rPr>
          <w:rFonts w:cs="Calibri"/>
        </w:rPr>
        <w:t xml:space="preserve"> under 24 ye</w:t>
      </w:r>
      <w:r w:rsidR="00045609" w:rsidRPr="00DA21AF">
        <w:t xml:space="preserve">ars of age </w:t>
      </w:r>
      <w:r w:rsidR="00045609">
        <w:t>who is:</w:t>
      </w:r>
    </w:p>
    <w:p w14:paraId="4B8B94E8" w14:textId="77777777" w:rsidR="00045609" w:rsidRPr="00572FB2" w:rsidRDefault="00045609" w:rsidP="004E120D">
      <w:pPr>
        <w:pStyle w:val="BulletLevel2"/>
      </w:pPr>
      <w:r w:rsidRPr="00DA21AF">
        <w:t>financially dependent</w:t>
      </w:r>
      <w:r w:rsidRPr="00572FB2">
        <w:t xml:space="preserve"> on the relocating Participant; </w:t>
      </w:r>
      <w:r>
        <w:t>or</w:t>
      </w:r>
    </w:p>
    <w:p w14:paraId="44DC692A" w14:textId="08FB9187" w:rsidR="00045609" w:rsidRPr="00934AFC" w:rsidRDefault="003E7584" w:rsidP="004E120D">
      <w:pPr>
        <w:pStyle w:val="BulletLevel2"/>
      </w:pPr>
      <w:r>
        <w:t xml:space="preserve">a </w:t>
      </w:r>
      <w:r w:rsidR="00F25974">
        <w:t>financially</w:t>
      </w:r>
      <w:r w:rsidR="00045609" w:rsidRPr="00EA4CCA">
        <w:t xml:space="preserve"> dependent </w:t>
      </w:r>
      <w:r>
        <w:t xml:space="preserve">child </w:t>
      </w:r>
      <w:r w:rsidR="00045609" w:rsidRPr="00EA4CCA" w:rsidDel="00F25974">
        <w:t>of</w:t>
      </w:r>
      <w:r w:rsidR="00045609" w:rsidRPr="00EA4CCA">
        <w:t xml:space="preserve"> the </w:t>
      </w:r>
      <w:r>
        <w:t xml:space="preserve">Participant’s </w:t>
      </w:r>
      <w:r w:rsidR="00045609" w:rsidRPr="00EA4CCA">
        <w:t>partner</w:t>
      </w:r>
      <w:r>
        <w:t>,</w:t>
      </w:r>
      <w:r w:rsidR="00045609" w:rsidRPr="00EA4CCA">
        <w:t xml:space="preserve"> where they are a member of a couple under social security law and the partner</w:t>
      </w:r>
      <w:r w:rsidR="00045609" w:rsidRPr="00EC7E6F">
        <w:t xml:space="preserve"> </w:t>
      </w:r>
      <w:r w:rsidR="00045609">
        <w:t xml:space="preserve">is receiving a government payment related to the </w:t>
      </w:r>
      <w:r w:rsidR="00260BFC">
        <w:t>c</w:t>
      </w:r>
      <w:r w:rsidR="00045609">
        <w:t>hild</w:t>
      </w:r>
    </w:p>
    <w:p w14:paraId="38946128" w14:textId="77777777" w:rsidR="00F92F20" w:rsidRDefault="00413AF3" w:rsidP="004E120D">
      <w:pPr>
        <w:pStyle w:val="BulletLevel1"/>
      </w:pPr>
      <w:r w:rsidRPr="02295749">
        <w:t xml:space="preserve">a parent of Age Pension </w:t>
      </w:r>
      <w:r w:rsidR="00C5356A">
        <w:t xml:space="preserve">qualification </w:t>
      </w:r>
      <w:r w:rsidRPr="02295749">
        <w:t>age who</w:t>
      </w:r>
      <w:r w:rsidR="00F92F20">
        <w:t>:</w:t>
      </w:r>
    </w:p>
    <w:p w14:paraId="55E4C4E8" w14:textId="77777777" w:rsidR="0071493A" w:rsidRDefault="0071493A" w:rsidP="004E120D">
      <w:pPr>
        <w:pStyle w:val="BulletLevel2"/>
      </w:pPr>
      <w:r>
        <w:t>lives in the same residence as the Participant;</w:t>
      </w:r>
    </w:p>
    <w:p w14:paraId="4462EE85" w14:textId="77777777" w:rsidR="0071493A" w:rsidRDefault="0071493A" w:rsidP="004E120D">
      <w:pPr>
        <w:pStyle w:val="BulletLevel2"/>
      </w:pPr>
      <w:r w:rsidRPr="1D47AA47">
        <w:t>is dependent on the Participant for day to day care;</w:t>
      </w:r>
    </w:p>
    <w:p w14:paraId="22652FEC" w14:textId="77777777" w:rsidR="0071493A" w:rsidRDefault="0071493A" w:rsidP="004E120D">
      <w:pPr>
        <w:pStyle w:val="BulletLevel2"/>
      </w:pPr>
      <w:r w:rsidRPr="1D47AA47">
        <w:t>is relocating to reside with the Participant.</w:t>
      </w:r>
    </w:p>
    <w:p w14:paraId="607FD401" w14:textId="77777777" w:rsidR="00642AEB" w:rsidRDefault="00642AEB" w:rsidP="00642AEB">
      <w:pPr>
        <w:tabs>
          <w:tab w:val="right" w:pos="1701"/>
        </w:tabs>
      </w:pPr>
      <w:r w:rsidRPr="1D47AA47">
        <w:t>Where the dependent of the Participant does not meet these requirements, Providers can assess if there is a genuine dependency relationship. The Provider must keep a file note outlining their reasons for the approval. Example: Where the Participant may have legal caring responsibilities for an adult child with a disability, it would be reasonable to grant up to the additional $3,000 in relocation assistance. The Provider must confirm this relationship is reasonable.</w:t>
      </w:r>
    </w:p>
    <w:p w14:paraId="428DFAA1" w14:textId="52321F33" w:rsidR="00413AF3" w:rsidDel="00F94D52" w:rsidRDefault="00A7478F" w:rsidP="004262E3">
      <w:pPr>
        <w:pStyle w:val="DocumentaryEvidenceRequirement"/>
      </w:pPr>
      <w:r>
        <w:t>T</w:t>
      </w:r>
      <w:r w:rsidR="00413AF3">
        <w:t xml:space="preserve">he Provider </w:t>
      </w:r>
      <w:r w:rsidR="00934499">
        <w:t xml:space="preserve">must </w:t>
      </w:r>
      <w:r w:rsidR="00413AF3" w:rsidDel="00F94D52">
        <w:t xml:space="preserve">record the circumstances and </w:t>
      </w:r>
      <w:r w:rsidDel="00F94D52">
        <w:t xml:space="preserve">reasons </w:t>
      </w:r>
      <w:r w:rsidR="00413AF3" w:rsidDel="00F94D52">
        <w:t>why they agree a dependency exists in a file note.</w:t>
      </w:r>
    </w:p>
    <w:p w14:paraId="5BD4BC71" w14:textId="66E053BF" w:rsidR="00413AF3" w:rsidRDefault="00413AF3" w:rsidP="00413AF3">
      <w:pPr>
        <w:pStyle w:val="SystemStep"/>
      </w:pPr>
      <w:r>
        <w:t>The Provider must upload evidence of a claimed dependent to the Department’s IT Systems, including evidence of:</w:t>
      </w:r>
    </w:p>
    <w:p w14:paraId="0B4E1F9C" w14:textId="77777777" w:rsidR="00413AF3" w:rsidRPr="002E7CE8" w:rsidRDefault="00413AF3" w:rsidP="004E120D">
      <w:pPr>
        <w:pStyle w:val="BulletLevel2"/>
      </w:pPr>
      <w:r>
        <w:t>t</w:t>
      </w:r>
      <w:r w:rsidRPr="002E7CE8">
        <w:t>he dependent’s identity</w:t>
      </w:r>
    </w:p>
    <w:p w14:paraId="4F1F4E01" w14:textId="109DE0F0" w:rsidR="00413AF3" w:rsidRPr="002E7CE8" w:rsidRDefault="00413AF3" w:rsidP="004E120D">
      <w:pPr>
        <w:pStyle w:val="BulletLevel2"/>
      </w:pPr>
      <w:r>
        <w:t>r</w:t>
      </w:r>
      <w:r w:rsidRPr="002E7CE8">
        <w:t xml:space="preserve">elevant </w:t>
      </w:r>
      <w:r w:rsidR="00A7478F">
        <w:t>Australian G</w:t>
      </w:r>
      <w:r w:rsidRPr="002E7CE8">
        <w:t xml:space="preserve">overnment </w:t>
      </w:r>
      <w:r w:rsidR="00BE47A1">
        <w:t>income support</w:t>
      </w:r>
      <w:r w:rsidRPr="002E7CE8">
        <w:t xml:space="preserve"> payment</w:t>
      </w:r>
      <w:r w:rsidR="00A7478F">
        <w:t xml:space="preserve"> or pension</w:t>
      </w:r>
    </w:p>
    <w:p w14:paraId="7F006E40" w14:textId="0C67A0D0" w:rsidR="00413AF3" w:rsidRPr="002E7CE8" w:rsidRDefault="00413AF3" w:rsidP="004E120D">
      <w:pPr>
        <w:pStyle w:val="BulletLevel2"/>
      </w:pPr>
      <w:r>
        <w:t>t</w:t>
      </w:r>
      <w:r w:rsidRPr="002E7CE8">
        <w:t xml:space="preserve">he </w:t>
      </w:r>
      <w:r>
        <w:t>P</w:t>
      </w:r>
      <w:r w:rsidRPr="002E7CE8">
        <w:t>articipant’s legal care responsibilities</w:t>
      </w:r>
      <w:r w:rsidR="00A7478F">
        <w:t>, and</w:t>
      </w:r>
    </w:p>
    <w:p w14:paraId="4E92910C" w14:textId="77777777" w:rsidR="00413AF3" w:rsidRPr="002E7CE8" w:rsidRDefault="00413AF3" w:rsidP="004E120D">
      <w:pPr>
        <w:pStyle w:val="BulletLevel2"/>
      </w:pPr>
      <w:r>
        <w:t>t</w:t>
      </w:r>
      <w:r w:rsidRPr="002E7CE8">
        <w:t xml:space="preserve">he dependent living with the </w:t>
      </w:r>
      <w:r>
        <w:t>P</w:t>
      </w:r>
      <w:r w:rsidRPr="002E7CE8">
        <w:t>articipant</w:t>
      </w:r>
      <w:r>
        <w:t>.</w:t>
      </w:r>
    </w:p>
    <w:p w14:paraId="6FE2F36A" w14:textId="4105DA36" w:rsidR="00A24014" w:rsidRDefault="00A24014" w:rsidP="00A24014">
      <w:pPr>
        <w:pStyle w:val="Heading4"/>
      </w:pPr>
      <w:bookmarkStart w:id="274" w:name="_Toc202899987"/>
      <w:r>
        <w:t>6.7.1</w:t>
      </w:r>
      <w:r w:rsidR="00EA7EE7">
        <w:tab/>
      </w:r>
      <w:r w:rsidR="005727BD">
        <w:t>Eligibility</w:t>
      </w:r>
      <w:bookmarkEnd w:id="274"/>
    </w:p>
    <w:p w14:paraId="718236AA" w14:textId="27CF39AD" w:rsidR="002C10DB" w:rsidRDefault="002C10DB" w:rsidP="00C0199D">
      <w:r>
        <w:t xml:space="preserve">Participants will be </w:t>
      </w:r>
      <w:r w:rsidR="00B30C31">
        <w:t>eligible</w:t>
      </w:r>
      <w:r>
        <w:t xml:space="preserve"> for </w:t>
      </w:r>
      <w:r w:rsidR="00B30C31">
        <w:t>Relocation</w:t>
      </w:r>
      <w:r>
        <w:t xml:space="preserve"> Assistance immediately on Commencement in </w:t>
      </w:r>
      <w:r w:rsidR="00353F8E">
        <w:t>Inclusive Employment Australia</w:t>
      </w:r>
      <w:r>
        <w:t>.</w:t>
      </w:r>
    </w:p>
    <w:p w14:paraId="137CB0F2" w14:textId="77777777" w:rsidR="003255CB" w:rsidRDefault="00C0199D" w:rsidP="00C0199D">
      <w:r>
        <w:t>Relocation Assistance may be available where the Participant</w:t>
      </w:r>
      <w:r w:rsidR="003255CB">
        <w:t>:</w:t>
      </w:r>
    </w:p>
    <w:p w14:paraId="6B800415" w14:textId="400551A7" w:rsidR="00813886" w:rsidRDefault="00934524" w:rsidP="0094262B">
      <w:pPr>
        <w:pStyle w:val="BulletLevel1"/>
      </w:pPr>
      <w:r>
        <w:t xml:space="preserve">is in receipt of an </w:t>
      </w:r>
      <w:r w:rsidR="00131DAC">
        <w:t>I</w:t>
      </w:r>
      <w:r>
        <w:t xml:space="preserve">ncome </w:t>
      </w:r>
      <w:r w:rsidR="00131DAC">
        <w:t>S</w:t>
      </w:r>
      <w:r>
        <w:t xml:space="preserve">upport </w:t>
      </w:r>
      <w:r w:rsidR="00131DAC">
        <w:t>P</w:t>
      </w:r>
      <w:r>
        <w:t xml:space="preserve">ayment </w:t>
      </w:r>
      <w:r w:rsidR="00131DAC">
        <w:t xml:space="preserve">with participation requirements </w:t>
      </w:r>
      <w:r>
        <w:t xml:space="preserve">immediately </w:t>
      </w:r>
      <w:r w:rsidR="00131DAC">
        <w:t xml:space="preserve">prior to </w:t>
      </w:r>
      <w:r w:rsidR="00BE3AEE">
        <w:t xml:space="preserve">moving to take up the offer of </w:t>
      </w:r>
      <w:r w:rsidR="00F94D52">
        <w:t>E</w:t>
      </w:r>
      <w:r w:rsidR="00BE3AEE">
        <w:t>mployment</w:t>
      </w:r>
      <w:r w:rsidR="0040289F">
        <w:t>, and</w:t>
      </w:r>
    </w:p>
    <w:p w14:paraId="72B59B18" w14:textId="4DDF9F81" w:rsidR="00C0199D" w:rsidRDefault="00C0199D" w:rsidP="0094262B">
      <w:pPr>
        <w:pStyle w:val="BulletLevel1"/>
      </w:pPr>
      <w:r>
        <w:t>has accepted an offer of Employment that:</w:t>
      </w:r>
    </w:p>
    <w:p w14:paraId="3C0BD437" w14:textId="77777777" w:rsidR="00C0199D" w:rsidRDefault="00C0199D" w:rsidP="0094262B">
      <w:pPr>
        <w:pStyle w:val="BulletLevel2"/>
      </w:pPr>
      <w:r>
        <w:t>is for at least 20 hours per week, for at least 6 months</w:t>
      </w:r>
    </w:p>
    <w:p w14:paraId="2CD91C6C" w14:textId="77777777" w:rsidR="00C0199D" w:rsidRDefault="00C0199D" w:rsidP="0094262B">
      <w:pPr>
        <w:pStyle w:val="BulletLevel2"/>
      </w:pPr>
      <w:r>
        <w:t>meets relevant employment standards and could result in an Employment Outcome, and</w:t>
      </w:r>
    </w:p>
    <w:p w14:paraId="202417EE" w14:textId="77777777" w:rsidR="00C0199D" w:rsidRDefault="00C0199D" w:rsidP="0094262B">
      <w:pPr>
        <w:pStyle w:val="BulletLevel2"/>
      </w:pPr>
      <w:r>
        <w:t>is not self-employment or commission-based employment.</w:t>
      </w:r>
    </w:p>
    <w:p w14:paraId="349F5853" w14:textId="77777777" w:rsidR="00C0199D" w:rsidRDefault="00C0199D" w:rsidP="00C0199D">
      <w:r w:rsidRPr="02295749">
        <w:t xml:space="preserve">Participants can apply for </w:t>
      </w:r>
      <w:r>
        <w:t>help</w:t>
      </w:r>
      <w:r w:rsidRPr="02295749">
        <w:t xml:space="preserve"> to </w:t>
      </w:r>
      <w:r>
        <w:t>move</w:t>
      </w:r>
      <w:r w:rsidRPr="02295749">
        <w:t xml:space="preserve"> to an address that is: </w:t>
      </w:r>
    </w:p>
    <w:p w14:paraId="600C3E18" w14:textId="77777777" w:rsidR="00C0199D" w:rsidRDefault="00C0199D" w:rsidP="004E120D">
      <w:pPr>
        <w:pStyle w:val="BulletLevel1"/>
      </w:pPr>
      <w:r>
        <w:t>within Australia</w:t>
      </w:r>
    </w:p>
    <w:p w14:paraId="50B705AB" w14:textId="77777777" w:rsidR="00C0199D" w:rsidRDefault="00C0199D" w:rsidP="004E120D">
      <w:pPr>
        <w:pStyle w:val="BulletLevel1"/>
      </w:pPr>
      <w:r>
        <w:t>at least 90 minutes travel from the Participant’s current address, by their normal mode of transport</w:t>
      </w:r>
    </w:p>
    <w:p w14:paraId="186160FE" w14:textId="77777777" w:rsidR="00C0199D" w:rsidRDefault="00C0199D" w:rsidP="004E120D">
      <w:pPr>
        <w:pStyle w:val="BulletLevel1"/>
      </w:pPr>
      <w:r>
        <w:t>within 90 minutes travel of the new job</w:t>
      </w:r>
    </w:p>
    <w:p w14:paraId="6AD2AB04" w14:textId="77777777" w:rsidR="00C0199D" w:rsidRDefault="00C0199D" w:rsidP="004E120D">
      <w:pPr>
        <w:pStyle w:val="BulletLevel1"/>
      </w:pPr>
      <w:r>
        <w:t>not within the same capital city as the Participant’s current address, and</w:t>
      </w:r>
    </w:p>
    <w:p w14:paraId="2EF7A1E1" w14:textId="08C01B5F" w:rsidR="00C0199D" w:rsidRDefault="00C0199D" w:rsidP="004E120D">
      <w:pPr>
        <w:pStyle w:val="BulletLevel1"/>
      </w:pPr>
      <w:r w:rsidRPr="02295749">
        <w:t xml:space="preserve">if </w:t>
      </w:r>
      <w:r>
        <w:t>moving</w:t>
      </w:r>
      <w:r w:rsidRPr="02295749">
        <w:t xml:space="preserve"> between capital cities, to a capital city with a lower unemployment rate.</w:t>
      </w:r>
    </w:p>
    <w:p w14:paraId="6D09FE17" w14:textId="77777777" w:rsidR="00C0199D" w:rsidRDefault="00C0199D" w:rsidP="00C0199D">
      <w:r w:rsidRPr="02295749">
        <w:rPr>
          <w:b/>
          <w:bCs/>
        </w:rPr>
        <w:t>Note</w:t>
      </w:r>
      <w:r w:rsidRPr="02295749">
        <w:t xml:space="preserve">: Travel time can be </w:t>
      </w:r>
      <w:r>
        <w:t>decided</w:t>
      </w:r>
      <w:r w:rsidRPr="02295749">
        <w:t xml:space="preserve"> using available geospatial calculators, such as Google Maps.</w:t>
      </w:r>
    </w:p>
    <w:p w14:paraId="3365B1E4" w14:textId="77777777" w:rsidR="00C0199D" w:rsidRDefault="00C0199D" w:rsidP="00C0199D">
      <w:r w:rsidRPr="000D7E09">
        <w:rPr>
          <w:b/>
          <w:bCs/>
        </w:rPr>
        <w:t>Note</w:t>
      </w:r>
      <w:r>
        <w:t xml:space="preserve">: The Department publishes regular </w:t>
      </w:r>
      <w:r w:rsidRPr="00C252F7">
        <w:t>capital city unemployment rate</w:t>
      </w:r>
      <w:r>
        <w:t xml:space="preserve"> updates on the Provider Portal.</w:t>
      </w:r>
    </w:p>
    <w:p w14:paraId="49CFCED8" w14:textId="166B1849" w:rsidR="00C0199D" w:rsidRDefault="00C0199D" w:rsidP="00C0199D">
      <w:pPr>
        <w:pStyle w:val="Heading4"/>
      </w:pPr>
      <w:bookmarkStart w:id="275" w:name="_Toc191901305"/>
      <w:bookmarkStart w:id="276" w:name="_Toc202899988"/>
      <w:r>
        <w:t>6.7.</w:t>
      </w:r>
      <w:r w:rsidR="00B86CA0">
        <w:t>2</w:t>
      </w:r>
      <w:r w:rsidR="00086DE4">
        <w:tab/>
      </w:r>
      <w:r>
        <w:t>Relocation Assistance Agreement</w:t>
      </w:r>
      <w:bookmarkEnd w:id="275"/>
      <w:bookmarkEnd w:id="276"/>
    </w:p>
    <w:p w14:paraId="443F03D1" w14:textId="77777777" w:rsidR="00C0199D" w:rsidRDefault="00C0199D" w:rsidP="00C0199D">
      <w:pPr>
        <w:tabs>
          <w:tab w:val="right" w:pos="1701"/>
        </w:tabs>
        <w:spacing w:after="120"/>
      </w:pPr>
      <w:r w:rsidRPr="02295749">
        <w:t xml:space="preserve">When using Relocation Assistance, the Provider must create and sign a Relocation Assistance Agreement with the Participant within 28 days of the Participant </w:t>
      </w:r>
      <w:r>
        <w:t>starting</w:t>
      </w:r>
      <w:r w:rsidRPr="02295749">
        <w:t xml:space="preserve"> in the offered job.</w:t>
      </w:r>
    </w:p>
    <w:p w14:paraId="4082507A" w14:textId="77777777" w:rsidR="00C0199D" w:rsidRDefault="00C0199D" w:rsidP="00C0199D">
      <w:pPr>
        <w:tabs>
          <w:tab w:val="right" w:pos="1701"/>
        </w:tabs>
        <w:spacing w:after="120"/>
        <w:rPr>
          <w:rFonts w:cstheme="minorHAnsi"/>
        </w:rPr>
      </w:pPr>
      <w:r>
        <w:rPr>
          <w:rFonts w:cstheme="minorHAnsi"/>
        </w:rPr>
        <w:t>The signed Relocation Assistance Agreement must include that:</w:t>
      </w:r>
    </w:p>
    <w:p w14:paraId="62563335" w14:textId="77777777" w:rsidR="00C0199D" w:rsidRPr="00A4706E" w:rsidRDefault="00C0199D" w:rsidP="004E120D">
      <w:pPr>
        <w:pStyle w:val="BulletLevel1"/>
      </w:pPr>
      <w:r>
        <w:t>t</w:t>
      </w:r>
      <w:r w:rsidRPr="00A4706E">
        <w:t xml:space="preserve">he </w:t>
      </w:r>
      <w:r>
        <w:t>P</w:t>
      </w:r>
      <w:r w:rsidRPr="00A4706E">
        <w:t>articipant accepted the job offer</w:t>
      </w:r>
    </w:p>
    <w:p w14:paraId="1FF75EC2" w14:textId="204D802A" w:rsidR="00C0199D" w:rsidRPr="00A4706E" w:rsidRDefault="00C0199D" w:rsidP="004E120D">
      <w:pPr>
        <w:pStyle w:val="BulletLevel1"/>
      </w:pPr>
      <w:r>
        <w:t>t</w:t>
      </w:r>
      <w:r w:rsidRPr="00A4706E">
        <w:t xml:space="preserve">he </w:t>
      </w:r>
      <w:r>
        <w:t>P</w:t>
      </w:r>
      <w:r w:rsidRPr="00A4706E">
        <w:t xml:space="preserve">articipant has declared any claimed dependents who will be moving with the </w:t>
      </w:r>
      <w:r>
        <w:t>P</w:t>
      </w:r>
      <w:r w:rsidRPr="00A4706E">
        <w:t>articipant</w:t>
      </w:r>
      <w:r w:rsidR="00B86CA0">
        <w:t>, and</w:t>
      </w:r>
    </w:p>
    <w:p w14:paraId="6FFAFE88" w14:textId="385877AC" w:rsidR="00C0199D" w:rsidRDefault="00C0199D" w:rsidP="004E120D">
      <w:pPr>
        <w:pStyle w:val="BulletLevel1"/>
      </w:pPr>
      <w:r>
        <w:t>t</w:t>
      </w:r>
      <w:r w:rsidRPr="00A4706E">
        <w:t xml:space="preserve">he </w:t>
      </w:r>
      <w:r>
        <w:t>P</w:t>
      </w:r>
      <w:r w:rsidRPr="00A4706E">
        <w:t xml:space="preserve">rovider has </w:t>
      </w:r>
      <w:r w:rsidR="007636FF">
        <w:t>sighted</w:t>
      </w:r>
      <w:r w:rsidRPr="00A4706E">
        <w:t xml:space="preserve"> evidence of any claimed dependents.</w:t>
      </w:r>
    </w:p>
    <w:p w14:paraId="0B03A13E" w14:textId="0A157D76" w:rsidR="00C0199D" w:rsidRDefault="00C0199D" w:rsidP="00C0199D">
      <w:pPr>
        <w:tabs>
          <w:tab w:val="right" w:pos="1701"/>
        </w:tabs>
        <w:spacing w:after="120"/>
      </w:pPr>
      <w:r w:rsidRPr="02295749">
        <w:t xml:space="preserve">The Relocation Assistance Agreement will automatically </w:t>
      </w:r>
      <w:r>
        <w:t xml:space="preserve">end </w:t>
      </w:r>
      <w:r w:rsidR="00B86CA0">
        <w:t>3</w:t>
      </w:r>
      <w:r w:rsidRPr="02295749">
        <w:t xml:space="preserve"> months after it is approved. The Provider must </w:t>
      </w:r>
      <w:r w:rsidR="00B86CA0">
        <w:t xml:space="preserve">manually </w:t>
      </w:r>
      <w:r w:rsidRPr="02295749">
        <w:t xml:space="preserve">end the </w:t>
      </w:r>
      <w:r w:rsidR="00B86CA0" w:rsidRPr="02295749">
        <w:t xml:space="preserve">Relocation Assistance </w:t>
      </w:r>
      <w:r w:rsidRPr="02295749">
        <w:t>Agreement when:</w:t>
      </w:r>
    </w:p>
    <w:p w14:paraId="254D887D" w14:textId="77777777" w:rsidR="00C0199D" w:rsidRDefault="00C0199D" w:rsidP="004E120D">
      <w:pPr>
        <w:pStyle w:val="BulletLevel1"/>
      </w:pPr>
      <w:r w:rsidRPr="02295749">
        <w:t>the relocation is complete</w:t>
      </w:r>
      <w:r w:rsidRPr="5E809BAB">
        <w:t>,</w:t>
      </w:r>
      <w:r w:rsidRPr="02295749">
        <w:t xml:space="preserve"> and all Relocation Assistance payments have been made</w:t>
      </w:r>
    </w:p>
    <w:p w14:paraId="2A79E965" w14:textId="77777777" w:rsidR="00C0199D" w:rsidRDefault="00C0199D" w:rsidP="004E120D">
      <w:pPr>
        <w:pStyle w:val="BulletLevel1"/>
      </w:pPr>
      <w:r>
        <w:t>the relocation did not occur, or</w:t>
      </w:r>
    </w:p>
    <w:p w14:paraId="21FB9432" w14:textId="77777777" w:rsidR="00C0199D" w:rsidRDefault="00C0199D" w:rsidP="004E120D">
      <w:pPr>
        <w:pStyle w:val="BulletLevel1"/>
      </w:pPr>
      <w:r w:rsidRPr="02295749">
        <w:t xml:space="preserve">the Participant did not </w:t>
      </w:r>
      <w:r w:rsidRPr="5E809BAB">
        <w:t>start</w:t>
      </w:r>
      <w:r w:rsidRPr="02295749">
        <w:t xml:space="preserve"> the job.</w:t>
      </w:r>
    </w:p>
    <w:p w14:paraId="4B710719" w14:textId="77777777" w:rsidR="00C0199D" w:rsidRDefault="00C0199D" w:rsidP="00C0199D">
      <w:pPr>
        <w:tabs>
          <w:tab w:val="right" w:pos="1701"/>
        </w:tabs>
        <w:spacing w:after="120"/>
        <w:rPr>
          <w:rFonts w:cstheme="minorHAnsi"/>
        </w:rPr>
      </w:pPr>
      <w:r w:rsidRPr="00822455">
        <w:rPr>
          <w:rFonts w:cstheme="minorHAnsi"/>
        </w:rPr>
        <w:t xml:space="preserve">If a </w:t>
      </w:r>
      <w:r>
        <w:rPr>
          <w:rFonts w:cstheme="minorHAnsi"/>
        </w:rPr>
        <w:t>Participant with a Relocation Assistance Agreement transfers to a new Provider:</w:t>
      </w:r>
    </w:p>
    <w:p w14:paraId="4A2A281E" w14:textId="6C059DD1" w:rsidR="00C0199D" w:rsidRDefault="00C0199D" w:rsidP="004E120D">
      <w:pPr>
        <w:pStyle w:val="BulletLevel1"/>
      </w:pPr>
      <w:r>
        <w:t xml:space="preserve">the </w:t>
      </w:r>
      <w:r w:rsidR="00D273D8">
        <w:t xml:space="preserve">Relinquishing </w:t>
      </w:r>
      <w:r>
        <w:t xml:space="preserve">and </w:t>
      </w:r>
      <w:r w:rsidR="00D273D8">
        <w:t>G</w:t>
      </w:r>
      <w:r>
        <w:t xml:space="preserve">aining Providers must </w:t>
      </w:r>
      <w:r w:rsidDel="00C46A3B">
        <w:t xml:space="preserve">negotiate </w:t>
      </w:r>
      <w:r w:rsidR="00C46A3B">
        <w:t xml:space="preserve">the </w:t>
      </w:r>
      <w:r w:rsidR="00E100B0">
        <w:t xml:space="preserve">remaining </w:t>
      </w:r>
      <w:r>
        <w:t>Relocation Assistance conditions</w:t>
      </w:r>
      <w:r w:rsidR="00E100B0">
        <w:t xml:space="preserve"> to avoid duplication</w:t>
      </w:r>
      <w:r>
        <w:t>, and</w:t>
      </w:r>
    </w:p>
    <w:p w14:paraId="4E51DF2A" w14:textId="2E8440FB" w:rsidR="00C0199D" w:rsidRDefault="00C0199D" w:rsidP="004E120D">
      <w:pPr>
        <w:pStyle w:val="BulletLevel1"/>
      </w:pPr>
      <w:r>
        <w:t xml:space="preserve">the </w:t>
      </w:r>
      <w:r w:rsidR="00DD087D">
        <w:t>G</w:t>
      </w:r>
      <w:r>
        <w:t>aining Provider must sign a new Relocation Assistance Agreement with the Participant.</w:t>
      </w:r>
    </w:p>
    <w:p w14:paraId="1FF81785" w14:textId="577727A6" w:rsidR="00962A2E" w:rsidRPr="00822455" w:rsidRDefault="00962A2E" w:rsidP="00962A2E">
      <w:r>
        <w:t xml:space="preserve">A </w:t>
      </w:r>
      <w:r w:rsidR="00CB3383">
        <w:rPr>
          <w:rStyle w:val="Hyperlink"/>
        </w:rPr>
        <w:t>s</w:t>
      </w:r>
      <w:r>
        <w:rPr>
          <w:rStyle w:val="Hyperlink"/>
        </w:rPr>
        <w:t>ample Relocation Assistance Agreement [LINK]</w:t>
      </w:r>
      <w:r>
        <w:t xml:space="preserve"> </w:t>
      </w:r>
      <w:r w:rsidR="00CB3383">
        <w:t>can be found</w:t>
      </w:r>
      <w:r>
        <w:t xml:space="preserve"> on the Provider Portal.</w:t>
      </w:r>
    </w:p>
    <w:p w14:paraId="35EB270C" w14:textId="767BED65" w:rsidR="00C0199D" w:rsidRDefault="00C0199D" w:rsidP="00C0199D">
      <w:pPr>
        <w:pStyle w:val="Heading4"/>
      </w:pPr>
      <w:bookmarkStart w:id="277" w:name="_Toc191901306"/>
      <w:bookmarkStart w:id="278" w:name="_Toc202899989"/>
      <w:r>
        <w:t>6.7.</w:t>
      </w:r>
      <w:r w:rsidR="002E2FB4">
        <w:t>3</w:t>
      </w:r>
      <w:r w:rsidR="00086DE4">
        <w:tab/>
      </w:r>
      <w:r>
        <w:t>Allowable expenses</w:t>
      </w:r>
      <w:bookmarkEnd w:id="277"/>
      <w:bookmarkEnd w:id="278"/>
    </w:p>
    <w:p w14:paraId="1945DA91" w14:textId="77777777" w:rsidR="00C0199D" w:rsidRDefault="00C0199D" w:rsidP="00C0199D">
      <w:pPr>
        <w:tabs>
          <w:tab w:val="right" w:pos="1701"/>
        </w:tabs>
        <w:spacing w:after="120"/>
        <w:rPr>
          <w:rFonts w:cstheme="minorHAnsi"/>
        </w:rPr>
      </w:pPr>
      <w:r>
        <w:rPr>
          <w:rFonts w:cstheme="minorHAnsi"/>
        </w:rPr>
        <w:t>Relocation Assistance</w:t>
      </w:r>
      <w:r w:rsidRPr="006F1CC4">
        <w:rPr>
          <w:rFonts w:cstheme="minorHAnsi"/>
        </w:rPr>
        <w:t xml:space="preserve"> payments can </w:t>
      </w:r>
      <w:r>
        <w:rPr>
          <w:rFonts w:cstheme="minorHAnsi"/>
        </w:rPr>
        <w:t>help</w:t>
      </w:r>
      <w:r w:rsidRPr="006F1CC4">
        <w:rPr>
          <w:rFonts w:cstheme="minorHAnsi"/>
        </w:rPr>
        <w:t xml:space="preserve"> meet a </w:t>
      </w:r>
      <w:r>
        <w:rPr>
          <w:rFonts w:cstheme="minorHAnsi"/>
        </w:rPr>
        <w:t>P</w:t>
      </w:r>
      <w:r w:rsidRPr="006F1CC4">
        <w:rPr>
          <w:rFonts w:cstheme="minorHAnsi"/>
        </w:rPr>
        <w:t xml:space="preserve">articipant’s costs in preparing to move, moving, and settling in. The following table includes allowable </w:t>
      </w:r>
      <w:r>
        <w:rPr>
          <w:rFonts w:cstheme="minorHAnsi"/>
        </w:rPr>
        <w:t>expenses</w:t>
      </w:r>
      <w:r w:rsidRPr="006F1CC4">
        <w:rPr>
          <w:rFonts w:cstheme="minorHAnsi"/>
        </w:rPr>
        <w:t xml:space="preserve"> and </w:t>
      </w:r>
      <w:r>
        <w:rPr>
          <w:rFonts w:cstheme="minorHAnsi"/>
        </w:rPr>
        <w:t>shows</w:t>
      </w:r>
      <w:r w:rsidRPr="006F1CC4">
        <w:rPr>
          <w:rFonts w:cstheme="minorHAnsi"/>
        </w:rPr>
        <w:t xml:space="preserve"> where the </w:t>
      </w:r>
      <w:r>
        <w:rPr>
          <w:rFonts w:cstheme="minorHAnsi"/>
        </w:rPr>
        <w:t>P</w:t>
      </w:r>
      <w:r w:rsidRPr="006F1CC4">
        <w:rPr>
          <w:rFonts w:cstheme="minorHAnsi"/>
        </w:rPr>
        <w:t>rovider must obtain quotes for the expense.</w:t>
      </w:r>
    </w:p>
    <w:p w14:paraId="27DEB309" w14:textId="77777777" w:rsidR="00C0199D" w:rsidRDefault="00C0199D" w:rsidP="001D1210">
      <w:pPr>
        <w:pStyle w:val="TableChartHeading"/>
        <w:rPr>
          <w:rFonts w:cstheme="minorHAnsi"/>
        </w:rPr>
      </w:pPr>
      <w:r>
        <w:t>Accommodation-related</w:t>
      </w:r>
    </w:p>
    <w:tbl>
      <w:tblPr>
        <w:tblStyle w:val="DSSTableStyleB"/>
        <w:tblW w:w="0" w:type="auto"/>
        <w:tblLook w:val="04A0" w:firstRow="1" w:lastRow="0" w:firstColumn="1" w:lastColumn="0" w:noHBand="0" w:noVBand="1"/>
      </w:tblPr>
      <w:tblGrid>
        <w:gridCol w:w="8647"/>
        <w:gridCol w:w="1557"/>
      </w:tblGrid>
      <w:tr w:rsidR="000A0802" w14:paraId="1DE8C776" w14:textId="77777777" w:rsidTr="001C2229">
        <w:trPr>
          <w:cnfStyle w:val="100000000000" w:firstRow="1" w:lastRow="0" w:firstColumn="0" w:lastColumn="0" w:oddVBand="0" w:evenVBand="0" w:oddHBand="0" w:evenHBand="0" w:firstRowFirstColumn="0" w:firstRowLastColumn="0" w:lastRowFirstColumn="0" w:lastRowLastColumn="0"/>
        </w:trPr>
        <w:tc>
          <w:tcPr>
            <w:tcW w:w="8647" w:type="dxa"/>
            <w:tcBorders>
              <w:top w:val="single" w:sz="4" w:space="0" w:color="auto"/>
              <w:bottom w:val="single" w:sz="4" w:space="0" w:color="auto"/>
            </w:tcBorders>
          </w:tcPr>
          <w:p w14:paraId="25872940" w14:textId="3CD1CAD8" w:rsidR="00C0199D" w:rsidRDefault="00C0199D" w:rsidP="001C2229">
            <w:pPr>
              <w:pStyle w:val="TableText"/>
            </w:pPr>
            <w:r>
              <w:t>Allowable Expense</w:t>
            </w:r>
          </w:p>
        </w:tc>
        <w:tc>
          <w:tcPr>
            <w:tcW w:w="1557" w:type="dxa"/>
            <w:tcBorders>
              <w:top w:val="single" w:sz="4" w:space="0" w:color="auto"/>
              <w:bottom w:val="single" w:sz="4" w:space="0" w:color="auto"/>
            </w:tcBorders>
          </w:tcPr>
          <w:p w14:paraId="4D4652F1" w14:textId="77777777" w:rsidR="00C0199D" w:rsidRDefault="00C0199D" w:rsidP="001C2229">
            <w:pPr>
              <w:pStyle w:val="TableText"/>
              <w:jc w:val="center"/>
            </w:pPr>
            <w:r>
              <w:t>Quote</w:t>
            </w:r>
          </w:p>
        </w:tc>
      </w:tr>
      <w:tr w:rsidR="00C0199D" w14:paraId="636082FA"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Borders>
              <w:top w:val="single" w:sz="4" w:space="0" w:color="auto"/>
              <w:bottom w:val="single" w:sz="4" w:space="0" w:color="auto"/>
            </w:tcBorders>
          </w:tcPr>
          <w:p w14:paraId="0638C087" w14:textId="77777777" w:rsidR="00C0199D" w:rsidRDefault="00C0199D" w:rsidP="001C2229">
            <w:pPr>
              <w:pStyle w:val="TableText"/>
            </w:pPr>
            <w:r w:rsidRPr="006F1CC4">
              <w:rPr>
                <w:szCs w:val="22"/>
              </w:rPr>
              <w:t>Non-rent accommodation at new location</w:t>
            </w:r>
            <w:r>
              <w:rPr>
                <w:szCs w:val="22"/>
              </w:rPr>
              <w:t xml:space="preserve"> – maximum of 2</w:t>
            </w:r>
            <w:r w:rsidRPr="006F1CC4">
              <w:rPr>
                <w:szCs w:val="22"/>
              </w:rPr>
              <w:t xml:space="preserve"> weeks</w:t>
            </w:r>
          </w:p>
        </w:tc>
        <w:tc>
          <w:tcPr>
            <w:tcW w:w="1557" w:type="dxa"/>
            <w:tcBorders>
              <w:top w:val="single" w:sz="4" w:space="0" w:color="auto"/>
              <w:bottom w:val="single" w:sz="4" w:space="0" w:color="auto"/>
            </w:tcBorders>
          </w:tcPr>
          <w:p w14:paraId="4A3EB988" w14:textId="77777777" w:rsidR="00C0199D" w:rsidRDefault="00C0199D" w:rsidP="001C2229">
            <w:pPr>
              <w:pStyle w:val="TableText"/>
              <w:jc w:val="center"/>
            </w:pPr>
            <w:r>
              <w:t>Yes</w:t>
            </w:r>
          </w:p>
        </w:tc>
      </w:tr>
      <w:tr w:rsidR="000A0802" w14:paraId="4F33F786"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Borders>
              <w:top w:val="single" w:sz="4" w:space="0" w:color="auto"/>
              <w:bottom w:val="single" w:sz="4" w:space="0" w:color="auto"/>
            </w:tcBorders>
          </w:tcPr>
          <w:p w14:paraId="088D923B" w14:textId="77777777" w:rsidR="00C0199D" w:rsidRDefault="00C0199D" w:rsidP="001C2229">
            <w:pPr>
              <w:pStyle w:val="TableText"/>
            </w:pPr>
            <w:r w:rsidRPr="006F1CC4">
              <w:rPr>
                <w:szCs w:val="22"/>
              </w:rPr>
              <w:t>Rent at new location</w:t>
            </w:r>
            <w:r>
              <w:rPr>
                <w:szCs w:val="22"/>
              </w:rPr>
              <w:t xml:space="preserve"> – </w:t>
            </w:r>
            <w:r w:rsidRPr="006F1CC4">
              <w:rPr>
                <w:szCs w:val="22"/>
              </w:rPr>
              <w:t xml:space="preserve">up to </w:t>
            </w:r>
            <w:r>
              <w:rPr>
                <w:szCs w:val="22"/>
              </w:rPr>
              <w:t>2</w:t>
            </w:r>
            <w:r w:rsidRPr="006F1CC4">
              <w:rPr>
                <w:szCs w:val="22"/>
              </w:rPr>
              <w:t xml:space="preserve"> months</w:t>
            </w:r>
          </w:p>
        </w:tc>
        <w:tc>
          <w:tcPr>
            <w:tcW w:w="1557" w:type="dxa"/>
            <w:tcBorders>
              <w:top w:val="single" w:sz="4" w:space="0" w:color="auto"/>
              <w:bottom w:val="single" w:sz="4" w:space="0" w:color="auto"/>
            </w:tcBorders>
          </w:tcPr>
          <w:p w14:paraId="3A2F9A01" w14:textId="77777777" w:rsidR="00C0199D" w:rsidRDefault="00C0199D" w:rsidP="001C2229">
            <w:pPr>
              <w:pStyle w:val="TableText"/>
              <w:jc w:val="center"/>
            </w:pPr>
            <w:r>
              <w:t>No</w:t>
            </w:r>
          </w:p>
        </w:tc>
      </w:tr>
      <w:tr w:rsidR="00C0199D" w14:paraId="726FD502"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Borders>
              <w:top w:val="single" w:sz="4" w:space="0" w:color="auto"/>
              <w:bottom w:val="single" w:sz="4" w:space="0" w:color="auto"/>
            </w:tcBorders>
          </w:tcPr>
          <w:p w14:paraId="17AB9D62" w14:textId="77777777" w:rsidR="00C0199D" w:rsidRPr="006F1CC4" w:rsidRDefault="00C0199D" w:rsidP="001C2229">
            <w:pPr>
              <w:pStyle w:val="TableText"/>
              <w:rPr>
                <w:szCs w:val="22"/>
              </w:rPr>
            </w:pPr>
            <w:r>
              <w:t xml:space="preserve">Rental Bond – </w:t>
            </w:r>
            <w:r w:rsidRPr="006F1CC4">
              <w:rPr>
                <w:szCs w:val="22"/>
              </w:rPr>
              <w:t>Must not exceed any specified state or territory bond payment</w:t>
            </w:r>
          </w:p>
        </w:tc>
        <w:tc>
          <w:tcPr>
            <w:tcW w:w="1557" w:type="dxa"/>
            <w:tcBorders>
              <w:top w:val="single" w:sz="4" w:space="0" w:color="auto"/>
              <w:bottom w:val="single" w:sz="4" w:space="0" w:color="auto"/>
            </w:tcBorders>
          </w:tcPr>
          <w:p w14:paraId="2DC179F1" w14:textId="77777777" w:rsidR="00C0199D" w:rsidRDefault="00C0199D" w:rsidP="001C2229">
            <w:pPr>
              <w:pStyle w:val="TableText"/>
              <w:jc w:val="center"/>
            </w:pPr>
            <w:r>
              <w:t>No</w:t>
            </w:r>
          </w:p>
        </w:tc>
      </w:tr>
    </w:tbl>
    <w:p w14:paraId="474BB259" w14:textId="77777777" w:rsidR="00C0199D" w:rsidRDefault="00C0199D" w:rsidP="001D1210">
      <w:pPr>
        <w:pStyle w:val="TableChartHeading"/>
        <w:rPr>
          <w:rFonts w:cstheme="minorHAnsi"/>
        </w:rPr>
      </w:pPr>
      <w:r>
        <w:t>Disturbance Costs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647"/>
        <w:gridCol w:w="1557"/>
      </w:tblGrid>
      <w:tr w:rsidR="000A0802" w14:paraId="7CD6E0FD" w14:textId="77777777" w:rsidTr="001C2229">
        <w:trPr>
          <w:cnfStyle w:val="100000000000" w:firstRow="1" w:lastRow="0" w:firstColumn="0" w:lastColumn="0" w:oddVBand="0" w:evenVBand="0" w:oddHBand="0" w:evenHBand="0" w:firstRowFirstColumn="0" w:firstRowLastColumn="0" w:lastRowFirstColumn="0" w:lastRowLastColumn="0"/>
        </w:trPr>
        <w:tc>
          <w:tcPr>
            <w:tcW w:w="8647" w:type="dxa"/>
          </w:tcPr>
          <w:p w14:paraId="3E05EDA7" w14:textId="3EA1C1A5" w:rsidR="00C0199D" w:rsidRDefault="00C0199D" w:rsidP="001C2229">
            <w:pPr>
              <w:pStyle w:val="TableText"/>
            </w:pPr>
            <w:r>
              <w:t>Allowable Expense</w:t>
            </w:r>
          </w:p>
        </w:tc>
        <w:tc>
          <w:tcPr>
            <w:tcW w:w="1557" w:type="dxa"/>
          </w:tcPr>
          <w:p w14:paraId="047AFA09" w14:textId="77777777" w:rsidR="00C0199D" w:rsidRDefault="00C0199D" w:rsidP="001C2229">
            <w:pPr>
              <w:pStyle w:val="TableText"/>
              <w:jc w:val="center"/>
            </w:pPr>
            <w:r>
              <w:t>Quote</w:t>
            </w:r>
          </w:p>
        </w:tc>
      </w:tr>
      <w:tr w:rsidR="00C0199D" w14:paraId="12C3336B"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5A82532D" w14:textId="77777777" w:rsidR="00C0199D" w:rsidRDefault="00C0199D" w:rsidP="001C2229">
            <w:pPr>
              <w:pStyle w:val="TableText"/>
            </w:pPr>
            <w:r w:rsidRPr="006F1CC4">
              <w:rPr>
                <w:szCs w:val="22"/>
              </w:rPr>
              <w:t>Gardening fees</w:t>
            </w:r>
          </w:p>
        </w:tc>
        <w:tc>
          <w:tcPr>
            <w:tcW w:w="1557" w:type="dxa"/>
          </w:tcPr>
          <w:p w14:paraId="54BDDC8F" w14:textId="77777777" w:rsidR="00C0199D" w:rsidRDefault="00C0199D" w:rsidP="001C2229">
            <w:pPr>
              <w:pStyle w:val="TableText"/>
              <w:jc w:val="center"/>
            </w:pPr>
            <w:r>
              <w:t>Yes</w:t>
            </w:r>
          </w:p>
        </w:tc>
      </w:tr>
      <w:tr w:rsidR="000A0802" w14:paraId="4B737D88"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65983EB3" w14:textId="77777777" w:rsidR="00C0199D" w:rsidRDefault="00C0199D" w:rsidP="001C2229">
            <w:pPr>
              <w:pStyle w:val="TableText"/>
            </w:pPr>
            <w:r w:rsidRPr="006F1CC4">
              <w:rPr>
                <w:szCs w:val="22"/>
              </w:rPr>
              <w:t>Cleaning fees</w:t>
            </w:r>
          </w:p>
        </w:tc>
        <w:tc>
          <w:tcPr>
            <w:tcW w:w="1557" w:type="dxa"/>
          </w:tcPr>
          <w:p w14:paraId="1CAA4706" w14:textId="77777777" w:rsidR="00C0199D" w:rsidRDefault="00C0199D" w:rsidP="001C2229">
            <w:pPr>
              <w:pStyle w:val="TableText"/>
              <w:jc w:val="center"/>
            </w:pPr>
            <w:r>
              <w:t>Yes</w:t>
            </w:r>
          </w:p>
        </w:tc>
      </w:tr>
      <w:tr w:rsidR="00C0199D" w14:paraId="13817634"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28A3A7C5" w14:textId="77777777" w:rsidR="00C0199D" w:rsidRDefault="00C0199D" w:rsidP="001C2229">
            <w:pPr>
              <w:pStyle w:val="TableText"/>
            </w:pPr>
            <w:r w:rsidRPr="006F1CC4">
              <w:rPr>
                <w:szCs w:val="22"/>
              </w:rPr>
              <w:t>Pet boarding fees</w:t>
            </w:r>
            <w:r>
              <w:rPr>
                <w:szCs w:val="22"/>
              </w:rPr>
              <w:t xml:space="preserve"> - </w:t>
            </w:r>
            <w:r w:rsidRPr="006F1CC4">
              <w:rPr>
                <w:szCs w:val="22"/>
              </w:rPr>
              <w:t>up to one month</w:t>
            </w:r>
          </w:p>
        </w:tc>
        <w:tc>
          <w:tcPr>
            <w:tcW w:w="1557" w:type="dxa"/>
          </w:tcPr>
          <w:p w14:paraId="2967F07B" w14:textId="77777777" w:rsidR="00C0199D" w:rsidRDefault="00C0199D" w:rsidP="001C2229">
            <w:pPr>
              <w:pStyle w:val="TableText"/>
              <w:jc w:val="center"/>
            </w:pPr>
            <w:r>
              <w:t>Yes</w:t>
            </w:r>
          </w:p>
        </w:tc>
      </w:tr>
      <w:tr w:rsidR="000A0802" w14:paraId="16118FEF"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68A0625C" w14:textId="77777777" w:rsidR="00C0199D" w:rsidRDefault="00C0199D" w:rsidP="001C2229">
            <w:pPr>
              <w:pStyle w:val="TableText"/>
            </w:pPr>
            <w:r w:rsidRPr="006F1CC4">
              <w:rPr>
                <w:szCs w:val="22"/>
              </w:rPr>
              <w:t>First groceries to set up house</w:t>
            </w:r>
          </w:p>
        </w:tc>
        <w:tc>
          <w:tcPr>
            <w:tcW w:w="1557" w:type="dxa"/>
          </w:tcPr>
          <w:p w14:paraId="6BEA4979" w14:textId="77777777" w:rsidR="00C0199D" w:rsidRDefault="00C0199D" w:rsidP="001C2229">
            <w:pPr>
              <w:pStyle w:val="TableText"/>
              <w:jc w:val="center"/>
            </w:pPr>
            <w:r>
              <w:t>No</w:t>
            </w:r>
          </w:p>
        </w:tc>
      </w:tr>
      <w:tr w:rsidR="00C0199D" w14:paraId="31C5D26F"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3ACB89BC" w14:textId="77777777" w:rsidR="00C0199D" w:rsidRDefault="00C0199D" w:rsidP="001C2229">
            <w:pPr>
              <w:pStyle w:val="TableText"/>
            </w:pPr>
            <w:r w:rsidRPr="006F1CC4">
              <w:rPr>
                <w:szCs w:val="22"/>
              </w:rPr>
              <w:t>Utility connection and exit costs</w:t>
            </w:r>
          </w:p>
        </w:tc>
        <w:tc>
          <w:tcPr>
            <w:tcW w:w="1557" w:type="dxa"/>
          </w:tcPr>
          <w:p w14:paraId="2D6FB6D5" w14:textId="77777777" w:rsidR="00C0199D" w:rsidRDefault="00C0199D" w:rsidP="001C2229">
            <w:pPr>
              <w:pStyle w:val="TableText"/>
              <w:jc w:val="center"/>
            </w:pPr>
            <w:r w:rsidRPr="00E12059">
              <w:t>No</w:t>
            </w:r>
          </w:p>
        </w:tc>
      </w:tr>
      <w:tr w:rsidR="000A0802" w14:paraId="6CF03E46"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0D26C9FD" w14:textId="77777777" w:rsidR="00C0199D" w:rsidRDefault="00C0199D" w:rsidP="001C2229">
            <w:pPr>
              <w:pStyle w:val="TableText"/>
            </w:pPr>
            <w:r w:rsidRPr="006F1CC4">
              <w:rPr>
                <w:szCs w:val="22"/>
              </w:rPr>
              <w:t>Relocation-associated legal costs</w:t>
            </w:r>
          </w:p>
        </w:tc>
        <w:tc>
          <w:tcPr>
            <w:tcW w:w="1557" w:type="dxa"/>
          </w:tcPr>
          <w:p w14:paraId="241FA456" w14:textId="77777777" w:rsidR="00C0199D" w:rsidRDefault="00C0199D" w:rsidP="001C2229">
            <w:pPr>
              <w:pStyle w:val="TableText"/>
              <w:jc w:val="center"/>
            </w:pPr>
            <w:r w:rsidRPr="00E12059">
              <w:t>No</w:t>
            </w:r>
          </w:p>
        </w:tc>
      </w:tr>
      <w:tr w:rsidR="00C0199D" w14:paraId="4AB675FC"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5791E4C3" w14:textId="77777777" w:rsidR="00C0199D" w:rsidRDefault="00C0199D" w:rsidP="001C2229">
            <w:pPr>
              <w:pStyle w:val="TableText"/>
            </w:pPr>
            <w:r w:rsidRPr="006F1CC4">
              <w:rPr>
                <w:szCs w:val="22"/>
              </w:rPr>
              <w:t>Associated medical costs</w:t>
            </w:r>
          </w:p>
        </w:tc>
        <w:tc>
          <w:tcPr>
            <w:tcW w:w="1557" w:type="dxa"/>
          </w:tcPr>
          <w:p w14:paraId="1301E4E2" w14:textId="77777777" w:rsidR="00C0199D" w:rsidRDefault="00C0199D" w:rsidP="001C2229">
            <w:pPr>
              <w:pStyle w:val="TableText"/>
              <w:jc w:val="center"/>
            </w:pPr>
            <w:r w:rsidRPr="00E12059">
              <w:t>No</w:t>
            </w:r>
          </w:p>
        </w:tc>
      </w:tr>
      <w:tr w:rsidR="000A0802" w14:paraId="465D73E6"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54D9341D" w14:textId="77777777" w:rsidR="00C0199D" w:rsidRDefault="00C0199D" w:rsidP="001C2229">
            <w:pPr>
              <w:pStyle w:val="TableText"/>
            </w:pPr>
            <w:r w:rsidRPr="006F1CC4">
              <w:rPr>
                <w:szCs w:val="22"/>
              </w:rPr>
              <w:t>School uniforms</w:t>
            </w:r>
          </w:p>
        </w:tc>
        <w:tc>
          <w:tcPr>
            <w:tcW w:w="1557" w:type="dxa"/>
          </w:tcPr>
          <w:p w14:paraId="2BB12822" w14:textId="77777777" w:rsidR="00C0199D" w:rsidRDefault="00C0199D" w:rsidP="001C2229">
            <w:pPr>
              <w:pStyle w:val="TableText"/>
              <w:jc w:val="center"/>
            </w:pPr>
            <w:r w:rsidRPr="00E12059">
              <w:t>No</w:t>
            </w:r>
          </w:p>
        </w:tc>
      </w:tr>
      <w:tr w:rsidR="00C0199D" w14:paraId="2ACF9587"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0A340657" w14:textId="77777777" w:rsidR="00C0199D" w:rsidRDefault="00C0199D" w:rsidP="001C2229">
            <w:pPr>
              <w:pStyle w:val="TableText"/>
            </w:pPr>
            <w:r w:rsidRPr="006F1CC4">
              <w:rPr>
                <w:szCs w:val="22"/>
              </w:rPr>
              <w:t>School enrolment fees</w:t>
            </w:r>
          </w:p>
        </w:tc>
        <w:tc>
          <w:tcPr>
            <w:tcW w:w="1557" w:type="dxa"/>
          </w:tcPr>
          <w:p w14:paraId="08E3EB89" w14:textId="77777777" w:rsidR="00C0199D" w:rsidRDefault="00C0199D" w:rsidP="001C2229">
            <w:pPr>
              <w:pStyle w:val="TableText"/>
              <w:jc w:val="center"/>
            </w:pPr>
            <w:r w:rsidRPr="00E12059">
              <w:t>No</w:t>
            </w:r>
          </w:p>
        </w:tc>
      </w:tr>
      <w:tr w:rsidR="000A0802" w14:paraId="22E1BA35"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78A81CB4" w14:textId="77777777" w:rsidR="00C0199D" w:rsidRPr="006F1CC4" w:rsidRDefault="00C0199D" w:rsidP="001C2229">
            <w:pPr>
              <w:pStyle w:val="TableText"/>
              <w:rPr>
                <w:szCs w:val="22"/>
              </w:rPr>
            </w:pPr>
            <w:r w:rsidRPr="006F1CC4">
              <w:rPr>
                <w:szCs w:val="22"/>
              </w:rPr>
              <w:t>Reasonable breaking lease costs</w:t>
            </w:r>
          </w:p>
        </w:tc>
        <w:tc>
          <w:tcPr>
            <w:tcW w:w="1557" w:type="dxa"/>
          </w:tcPr>
          <w:p w14:paraId="64621C3A" w14:textId="77777777" w:rsidR="00C0199D" w:rsidRDefault="00C0199D" w:rsidP="001C2229">
            <w:pPr>
              <w:pStyle w:val="TableText"/>
              <w:jc w:val="center"/>
            </w:pPr>
            <w:r w:rsidRPr="00E12059">
              <w:t>No</w:t>
            </w:r>
          </w:p>
        </w:tc>
      </w:tr>
      <w:tr w:rsidR="00C0199D" w14:paraId="1AA49F13"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48B154A0" w14:textId="77777777" w:rsidR="00C0199D" w:rsidRPr="006F1CC4" w:rsidRDefault="00C0199D" w:rsidP="001C2229">
            <w:pPr>
              <w:pStyle w:val="TableText"/>
              <w:rPr>
                <w:szCs w:val="22"/>
              </w:rPr>
            </w:pPr>
            <w:r w:rsidRPr="006F1CC4">
              <w:rPr>
                <w:szCs w:val="22"/>
              </w:rPr>
              <w:t>Vehicle registration transfer fees</w:t>
            </w:r>
          </w:p>
        </w:tc>
        <w:tc>
          <w:tcPr>
            <w:tcW w:w="1557" w:type="dxa"/>
          </w:tcPr>
          <w:p w14:paraId="56086201" w14:textId="77777777" w:rsidR="00C0199D" w:rsidRDefault="00C0199D" w:rsidP="001C2229">
            <w:pPr>
              <w:pStyle w:val="TableText"/>
              <w:jc w:val="center"/>
            </w:pPr>
            <w:r w:rsidRPr="00E12059">
              <w:t>No</w:t>
            </w:r>
          </w:p>
        </w:tc>
      </w:tr>
      <w:tr w:rsidR="000A0802" w14:paraId="53193BCB"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38776628" w14:textId="77777777" w:rsidR="00C0199D" w:rsidRPr="006F1CC4" w:rsidRDefault="00C0199D" w:rsidP="001C2229">
            <w:pPr>
              <w:pStyle w:val="TableText"/>
              <w:rPr>
                <w:szCs w:val="22"/>
              </w:rPr>
            </w:pPr>
            <w:r w:rsidRPr="006F1CC4">
              <w:rPr>
                <w:szCs w:val="22"/>
              </w:rPr>
              <w:t>Licence transfer fees</w:t>
            </w:r>
          </w:p>
        </w:tc>
        <w:tc>
          <w:tcPr>
            <w:tcW w:w="1557" w:type="dxa"/>
          </w:tcPr>
          <w:p w14:paraId="5796E698" w14:textId="77777777" w:rsidR="00C0199D" w:rsidRDefault="00C0199D" w:rsidP="001C2229">
            <w:pPr>
              <w:pStyle w:val="TableText"/>
              <w:jc w:val="center"/>
            </w:pPr>
            <w:r w:rsidRPr="00E12059">
              <w:t>No</w:t>
            </w:r>
          </w:p>
        </w:tc>
      </w:tr>
    </w:tbl>
    <w:p w14:paraId="0A17CE24" w14:textId="77777777" w:rsidR="00C0199D" w:rsidRDefault="00C0199D" w:rsidP="001D1210">
      <w:pPr>
        <w:pStyle w:val="TableChartHeading"/>
        <w:rPr>
          <w:rFonts w:cstheme="minorHAnsi"/>
        </w:rPr>
      </w:pPr>
      <w:r>
        <w:t>Employment-related</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647"/>
        <w:gridCol w:w="1557"/>
      </w:tblGrid>
      <w:tr w:rsidR="000A0802" w14:paraId="5201C7AC" w14:textId="77777777" w:rsidTr="001C2229">
        <w:trPr>
          <w:cnfStyle w:val="100000000000" w:firstRow="1" w:lastRow="0" w:firstColumn="0" w:lastColumn="0" w:oddVBand="0" w:evenVBand="0" w:oddHBand="0" w:evenHBand="0" w:firstRowFirstColumn="0" w:firstRowLastColumn="0" w:lastRowFirstColumn="0" w:lastRowLastColumn="0"/>
        </w:trPr>
        <w:tc>
          <w:tcPr>
            <w:tcW w:w="8647" w:type="dxa"/>
          </w:tcPr>
          <w:p w14:paraId="4E4BE410" w14:textId="7C0777AD" w:rsidR="00C0199D" w:rsidRDefault="00C0199D" w:rsidP="001C2229">
            <w:pPr>
              <w:pStyle w:val="TableText"/>
            </w:pPr>
            <w:r>
              <w:t>Allowable Expense</w:t>
            </w:r>
          </w:p>
        </w:tc>
        <w:tc>
          <w:tcPr>
            <w:tcW w:w="1557" w:type="dxa"/>
          </w:tcPr>
          <w:p w14:paraId="5079215D" w14:textId="77777777" w:rsidR="00C0199D" w:rsidRDefault="00C0199D" w:rsidP="001C2229">
            <w:pPr>
              <w:pStyle w:val="TableText"/>
              <w:jc w:val="center"/>
            </w:pPr>
            <w:r>
              <w:t>Quote</w:t>
            </w:r>
          </w:p>
        </w:tc>
      </w:tr>
      <w:tr w:rsidR="00C0199D" w14:paraId="376F7F91"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2955F7FD" w14:textId="77777777" w:rsidR="00C0199D" w:rsidRDefault="00C0199D" w:rsidP="001C2229">
            <w:pPr>
              <w:pStyle w:val="TableText"/>
            </w:pPr>
            <w:r w:rsidRPr="006F1CC4">
              <w:rPr>
                <w:szCs w:val="22"/>
              </w:rPr>
              <w:t>Tools (up to $500)</w:t>
            </w:r>
          </w:p>
        </w:tc>
        <w:tc>
          <w:tcPr>
            <w:tcW w:w="1557" w:type="dxa"/>
          </w:tcPr>
          <w:p w14:paraId="62176AF7" w14:textId="77777777" w:rsidR="00C0199D" w:rsidRDefault="00C0199D" w:rsidP="001C2229">
            <w:pPr>
              <w:pStyle w:val="TableText"/>
              <w:jc w:val="center"/>
            </w:pPr>
            <w:r>
              <w:t>No</w:t>
            </w:r>
          </w:p>
        </w:tc>
      </w:tr>
      <w:tr w:rsidR="000A0802" w14:paraId="0BA3F009"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4B7D9E7D" w14:textId="77777777" w:rsidR="00C0199D" w:rsidRDefault="00C0199D" w:rsidP="001C2229">
            <w:pPr>
              <w:pStyle w:val="TableText"/>
            </w:pPr>
            <w:r w:rsidRPr="006F1CC4">
              <w:rPr>
                <w:szCs w:val="22"/>
              </w:rPr>
              <w:t>Safety clothing</w:t>
            </w:r>
          </w:p>
        </w:tc>
        <w:tc>
          <w:tcPr>
            <w:tcW w:w="1557" w:type="dxa"/>
          </w:tcPr>
          <w:p w14:paraId="2D35FFD2" w14:textId="77777777" w:rsidR="00C0199D" w:rsidRDefault="00C0199D" w:rsidP="001C2229">
            <w:pPr>
              <w:pStyle w:val="TableText"/>
              <w:jc w:val="center"/>
            </w:pPr>
            <w:r>
              <w:t>No</w:t>
            </w:r>
          </w:p>
        </w:tc>
      </w:tr>
      <w:tr w:rsidR="00C0199D" w14:paraId="5DD07F74"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2B3C4D75" w14:textId="77777777" w:rsidR="00C0199D" w:rsidRDefault="00C0199D" w:rsidP="001C2229">
            <w:pPr>
              <w:pStyle w:val="TableText"/>
            </w:pPr>
            <w:r w:rsidRPr="006F1CC4">
              <w:rPr>
                <w:szCs w:val="22"/>
              </w:rPr>
              <w:t>Uniforms</w:t>
            </w:r>
          </w:p>
        </w:tc>
        <w:tc>
          <w:tcPr>
            <w:tcW w:w="1557" w:type="dxa"/>
          </w:tcPr>
          <w:p w14:paraId="43744038" w14:textId="77777777" w:rsidR="00C0199D" w:rsidRDefault="00C0199D" w:rsidP="001C2229">
            <w:pPr>
              <w:pStyle w:val="TableText"/>
              <w:jc w:val="center"/>
            </w:pPr>
            <w:r>
              <w:t>No</w:t>
            </w:r>
          </w:p>
        </w:tc>
      </w:tr>
      <w:tr w:rsidR="000A0802" w14:paraId="7AA2BDF6"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22B6808D" w14:textId="77777777" w:rsidR="00C0199D" w:rsidRDefault="00C0199D" w:rsidP="001C2229">
            <w:pPr>
              <w:pStyle w:val="TableText"/>
            </w:pPr>
            <w:r w:rsidRPr="006F1CC4">
              <w:rPr>
                <w:szCs w:val="22"/>
              </w:rPr>
              <w:t>Boots</w:t>
            </w:r>
          </w:p>
        </w:tc>
        <w:tc>
          <w:tcPr>
            <w:tcW w:w="1557" w:type="dxa"/>
          </w:tcPr>
          <w:p w14:paraId="4E6E5AEB" w14:textId="77777777" w:rsidR="00C0199D" w:rsidRDefault="00C0199D" w:rsidP="001C2229">
            <w:pPr>
              <w:pStyle w:val="TableText"/>
              <w:jc w:val="center"/>
            </w:pPr>
            <w:r>
              <w:t>No</w:t>
            </w:r>
          </w:p>
        </w:tc>
      </w:tr>
    </w:tbl>
    <w:p w14:paraId="505E8957" w14:textId="77777777" w:rsidR="00C0199D" w:rsidRDefault="00C0199D" w:rsidP="001D1210">
      <w:pPr>
        <w:pStyle w:val="TableChartHeading"/>
      </w:pPr>
      <w:r>
        <w:t>Removalist / Self-removal</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647"/>
        <w:gridCol w:w="1557"/>
      </w:tblGrid>
      <w:tr w:rsidR="000A0802" w14:paraId="7D8583F3" w14:textId="77777777" w:rsidTr="001C2229">
        <w:trPr>
          <w:cnfStyle w:val="100000000000" w:firstRow="1" w:lastRow="0" w:firstColumn="0" w:lastColumn="0" w:oddVBand="0" w:evenVBand="0" w:oddHBand="0" w:evenHBand="0" w:firstRowFirstColumn="0" w:firstRowLastColumn="0" w:lastRowFirstColumn="0" w:lastRowLastColumn="0"/>
        </w:trPr>
        <w:tc>
          <w:tcPr>
            <w:tcW w:w="8647" w:type="dxa"/>
          </w:tcPr>
          <w:p w14:paraId="55C7BBED" w14:textId="77777777" w:rsidR="00C0199D" w:rsidRDefault="00C0199D" w:rsidP="001C2229">
            <w:pPr>
              <w:pStyle w:val="TableText"/>
            </w:pPr>
            <w:r>
              <w:t>Allowable Expense</w:t>
            </w:r>
          </w:p>
        </w:tc>
        <w:tc>
          <w:tcPr>
            <w:tcW w:w="1557" w:type="dxa"/>
          </w:tcPr>
          <w:p w14:paraId="6A814D75" w14:textId="77777777" w:rsidR="00C0199D" w:rsidRDefault="00C0199D" w:rsidP="001C2229">
            <w:pPr>
              <w:pStyle w:val="TableText"/>
              <w:jc w:val="center"/>
            </w:pPr>
            <w:r>
              <w:t>Quote</w:t>
            </w:r>
          </w:p>
        </w:tc>
      </w:tr>
      <w:tr w:rsidR="00C0199D" w14:paraId="5E3E9237"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06240A8D" w14:textId="77777777" w:rsidR="00C0199D" w:rsidRDefault="00C0199D" w:rsidP="001C2229">
            <w:pPr>
              <w:pStyle w:val="TableText"/>
            </w:pPr>
            <w:r w:rsidRPr="006F1CC4">
              <w:rPr>
                <w:szCs w:val="22"/>
              </w:rPr>
              <w:t>Removalists and removalist insurance</w:t>
            </w:r>
          </w:p>
        </w:tc>
        <w:tc>
          <w:tcPr>
            <w:tcW w:w="1557" w:type="dxa"/>
          </w:tcPr>
          <w:p w14:paraId="2FB56DB5" w14:textId="77777777" w:rsidR="00C0199D" w:rsidRDefault="00C0199D" w:rsidP="001C2229">
            <w:pPr>
              <w:pStyle w:val="TableText"/>
              <w:jc w:val="center"/>
            </w:pPr>
            <w:r>
              <w:t>Yes</w:t>
            </w:r>
          </w:p>
        </w:tc>
      </w:tr>
      <w:tr w:rsidR="000A0802" w14:paraId="72B7478D"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217C438A" w14:textId="77777777" w:rsidR="00C0199D" w:rsidRDefault="00C0199D" w:rsidP="001C2229">
            <w:pPr>
              <w:pStyle w:val="TableText"/>
            </w:pPr>
            <w:r w:rsidRPr="006F1CC4">
              <w:rPr>
                <w:szCs w:val="22"/>
              </w:rPr>
              <w:t>Truck hire</w:t>
            </w:r>
          </w:p>
        </w:tc>
        <w:tc>
          <w:tcPr>
            <w:tcW w:w="1557" w:type="dxa"/>
          </w:tcPr>
          <w:p w14:paraId="3737CCC4" w14:textId="77777777" w:rsidR="00C0199D" w:rsidRDefault="00C0199D" w:rsidP="001C2229">
            <w:pPr>
              <w:pStyle w:val="TableText"/>
              <w:jc w:val="center"/>
            </w:pPr>
            <w:r>
              <w:t>Yes</w:t>
            </w:r>
          </w:p>
        </w:tc>
      </w:tr>
      <w:tr w:rsidR="00C0199D" w14:paraId="18A0D823"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7C40EFF1" w14:textId="77777777" w:rsidR="00C0199D" w:rsidRDefault="00C0199D" w:rsidP="001C2229">
            <w:pPr>
              <w:pStyle w:val="TableText"/>
            </w:pPr>
            <w:r w:rsidRPr="006F1CC4">
              <w:rPr>
                <w:szCs w:val="22"/>
              </w:rPr>
              <w:t>Storage</w:t>
            </w:r>
          </w:p>
        </w:tc>
        <w:tc>
          <w:tcPr>
            <w:tcW w:w="1557" w:type="dxa"/>
          </w:tcPr>
          <w:p w14:paraId="6241FD57" w14:textId="77777777" w:rsidR="00C0199D" w:rsidRDefault="00C0199D" w:rsidP="001C2229">
            <w:pPr>
              <w:pStyle w:val="TableText"/>
              <w:jc w:val="center"/>
            </w:pPr>
            <w:r>
              <w:t>Yes</w:t>
            </w:r>
          </w:p>
        </w:tc>
      </w:tr>
      <w:tr w:rsidR="000A0802" w14:paraId="4D812988"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6D906EE9" w14:textId="77777777" w:rsidR="00C0199D" w:rsidRDefault="00C0199D" w:rsidP="001C2229">
            <w:pPr>
              <w:pStyle w:val="TableText"/>
            </w:pPr>
            <w:r w:rsidRPr="006F1CC4">
              <w:rPr>
                <w:szCs w:val="22"/>
              </w:rPr>
              <w:t>Trailer hire</w:t>
            </w:r>
          </w:p>
        </w:tc>
        <w:tc>
          <w:tcPr>
            <w:tcW w:w="1557" w:type="dxa"/>
          </w:tcPr>
          <w:p w14:paraId="58FBC353" w14:textId="77777777" w:rsidR="00C0199D" w:rsidRDefault="00C0199D" w:rsidP="001C2229">
            <w:pPr>
              <w:pStyle w:val="TableText"/>
              <w:jc w:val="center"/>
            </w:pPr>
            <w:r>
              <w:t>Yes</w:t>
            </w:r>
          </w:p>
        </w:tc>
      </w:tr>
    </w:tbl>
    <w:p w14:paraId="6F233333" w14:textId="77777777" w:rsidR="00C0199D" w:rsidRDefault="00C0199D" w:rsidP="001D1210">
      <w:pPr>
        <w:pStyle w:val="TableChartHeading"/>
        <w:rPr>
          <w:rFonts w:cstheme="minorHAnsi"/>
        </w:rPr>
      </w:pPr>
      <w:r>
        <w:t>Travel-related</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647"/>
        <w:gridCol w:w="1557"/>
      </w:tblGrid>
      <w:tr w:rsidR="000A0802" w14:paraId="3D693800" w14:textId="77777777" w:rsidTr="001C2229">
        <w:trPr>
          <w:cnfStyle w:val="100000000000" w:firstRow="1" w:lastRow="0" w:firstColumn="0" w:lastColumn="0" w:oddVBand="0" w:evenVBand="0" w:oddHBand="0" w:evenHBand="0" w:firstRowFirstColumn="0" w:firstRowLastColumn="0" w:lastRowFirstColumn="0" w:lastRowLastColumn="0"/>
        </w:trPr>
        <w:tc>
          <w:tcPr>
            <w:tcW w:w="8647" w:type="dxa"/>
          </w:tcPr>
          <w:p w14:paraId="347021D7" w14:textId="17AA2099" w:rsidR="00C0199D" w:rsidRDefault="00C0199D" w:rsidP="001C2229">
            <w:pPr>
              <w:pStyle w:val="TableText"/>
            </w:pPr>
            <w:r>
              <w:t>Allowable Expense</w:t>
            </w:r>
          </w:p>
        </w:tc>
        <w:tc>
          <w:tcPr>
            <w:tcW w:w="1557" w:type="dxa"/>
          </w:tcPr>
          <w:p w14:paraId="4CCF07C0" w14:textId="77777777" w:rsidR="00C0199D" w:rsidRDefault="00C0199D" w:rsidP="001C2229">
            <w:pPr>
              <w:pStyle w:val="TableText"/>
              <w:jc w:val="center"/>
            </w:pPr>
            <w:r>
              <w:t>Quote</w:t>
            </w:r>
          </w:p>
        </w:tc>
      </w:tr>
      <w:tr w:rsidR="00C0199D" w14:paraId="2F521CD9"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08963D62" w14:textId="77777777" w:rsidR="00C0199D" w:rsidRDefault="00C0199D" w:rsidP="001C2229">
            <w:pPr>
              <w:pStyle w:val="TableText"/>
            </w:pPr>
            <w:r w:rsidRPr="006F1CC4">
              <w:rPr>
                <w:szCs w:val="22"/>
              </w:rPr>
              <w:t>Plane, train or ship tickets and fees</w:t>
            </w:r>
          </w:p>
        </w:tc>
        <w:tc>
          <w:tcPr>
            <w:tcW w:w="1557" w:type="dxa"/>
          </w:tcPr>
          <w:p w14:paraId="06BD82DD" w14:textId="77777777" w:rsidR="00C0199D" w:rsidRDefault="00C0199D" w:rsidP="001C2229">
            <w:pPr>
              <w:pStyle w:val="TableText"/>
              <w:jc w:val="center"/>
            </w:pPr>
            <w:r>
              <w:t>Yes</w:t>
            </w:r>
          </w:p>
        </w:tc>
      </w:tr>
      <w:tr w:rsidR="000A0802" w14:paraId="21A83CB7"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7C296C06" w14:textId="77777777" w:rsidR="00C0199D" w:rsidRDefault="00C0199D" w:rsidP="001C2229">
            <w:pPr>
              <w:pStyle w:val="TableText"/>
            </w:pPr>
            <w:r w:rsidRPr="006F1CC4">
              <w:rPr>
                <w:szCs w:val="22"/>
              </w:rPr>
              <w:t>Car hire and car hire insurance</w:t>
            </w:r>
          </w:p>
        </w:tc>
        <w:tc>
          <w:tcPr>
            <w:tcW w:w="1557" w:type="dxa"/>
          </w:tcPr>
          <w:p w14:paraId="5C220F0D" w14:textId="77777777" w:rsidR="00C0199D" w:rsidRDefault="00C0199D" w:rsidP="001C2229">
            <w:pPr>
              <w:pStyle w:val="TableText"/>
              <w:jc w:val="center"/>
            </w:pPr>
            <w:r>
              <w:t>Yes</w:t>
            </w:r>
          </w:p>
        </w:tc>
      </w:tr>
      <w:tr w:rsidR="00C0199D" w14:paraId="167B11B6"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4E2E0DE6" w14:textId="77777777" w:rsidR="00C0199D" w:rsidRDefault="00C0199D" w:rsidP="001C2229">
            <w:pPr>
              <w:pStyle w:val="TableText"/>
            </w:pPr>
            <w:r w:rsidRPr="006F1CC4">
              <w:rPr>
                <w:szCs w:val="22"/>
              </w:rPr>
              <w:t>Pet transport</w:t>
            </w:r>
          </w:p>
        </w:tc>
        <w:tc>
          <w:tcPr>
            <w:tcW w:w="1557" w:type="dxa"/>
          </w:tcPr>
          <w:p w14:paraId="57D80D17" w14:textId="77777777" w:rsidR="00C0199D" w:rsidRDefault="00C0199D" w:rsidP="001C2229">
            <w:pPr>
              <w:pStyle w:val="TableText"/>
              <w:jc w:val="center"/>
            </w:pPr>
            <w:r>
              <w:t>Yes</w:t>
            </w:r>
          </w:p>
        </w:tc>
      </w:tr>
      <w:tr w:rsidR="000A0802" w14:paraId="29A1B771"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0A632B3E" w14:textId="77777777" w:rsidR="00C0199D" w:rsidRDefault="00C0199D" w:rsidP="001C2229">
            <w:pPr>
              <w:pStyle w:val="TableText"/>
            </w:pPr>
            <w:r w:rsidRPr="006F1CC4">
              <w:rPr>
                <w:szCs w:val="22"/>
              </w:rPr>
              <w:t>Baggage allowances</w:t>
            </w:r>
          </w:p>
        </w:tc>
        <w:tc>
          <w:tcPr>
            <w:tcW w:w="1557" w:type="dxa"/>
          </w:tcPr>
          <w:p w14:paraId="197E9EE0" w14:textId="77777777" w:rsidR="00C0199D" w:rsidRDefault="00C0199D" w:rsidP="001C2229">
            <w:pPr>
              <w:pStyle w:val="TableText"/>
              <w:jc w:val="center"/>
            </w:pPr>
            <w:r>
              <w:t>No</w:t>
            </w:r>
          </w:p>
        </w:tc>
      </w:tr>
      <w:tr w:rsidR="00C0199D" w14:paraId="279283ED"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3C072924" w14:textId="77777777" w:rsidR="00C0199D" w:rsidRDefault="00C0199D" w:rsidP="001C2229">
            <w:pPr>
              <w:pStyle w:val="TableText"/>
            </w:pPr>
            <w:r w:rsidRPr="006F1CC4">
              <w:rPr>
                <w:szCs w:val="22"/>
              </w:rPr>
              <w:t>Fuel</w:t>
            </w:r>
          </w:p>
        </w:tc>
        <w:tc>
          <w:tcPr>
            <w:tcW w:w="1557" w:type="dxa"/>
          </w:tcPr>
          <w:p w14:paraId="79C221AB" w14:textId="77777777" w:rsidR="00C0199D" w:rsidRDefault="00C0199D" w:rsidP="001C2229">
            <w:pPr>
              <w:pStyle w:val="TableText"/>
              <w:jc w:val="center"/>
            </w:pPr>
            <w:r>
              <w:t>No</w:t>
            </w:r>
          </w:p>
        </w:tc>
      </w:tr>
      <w:tr w:rsidR="000A0802" w14:paraId="584DF17B" w14:textId="77777777" w:rsidTr="001C2229">
        <w:trPr>
          <w:cnfStyle w:val="000000010000" w:firstRow="0" w:lastRow="0" w:firstColumn="0" w:lastColumn="0" w:oddVBand="0" w:evenVBand="0" w:oddHBand="0" w:evenHBand="1" w:firstRowFirstColumn="0" w:firstRowLastColumn="0" w:lastRowFirstColumn="0" w:lastRowLastColumn="0"/>
        </w:trPr>
        <w:tc>
          <w:tcPr>
            <w:tcW w:w="8647" w:type="dxa"/>
          </w:tcPr>
          <w:p w14:paraId="3ADBD6AB" w14:textId="77777777" w:rsidR="00C0199D" w:rsidRPr="006F1CC4" w:rsidRDefault="00C0199D" w:rsidP="001C2229">
            <w:pPr>
              <w:pStyle w:val="TableText"/>
              <w:rPr>
                <w:szCs w:val="22"/>
              </w:rPr>
            </w:pPr>
            <w:r w:rsidRPr="006F1CC4">
              <w:rPr>
                <w:szCs w:val="22"/>
              </w:rPr>
              <w:t>Incidentals during travel, for example, food and drinks</w:t>
            </w:r>
          </w:p>
        </w:tc>
        <w:tc>
          <w:tcPr>
            <w:tcW w:w="1557" w:type="dxa"/>
          </w:tcPr>
          <w:p w14:paraId="1EC7211C" w14:textId="77777777" w:rsidR="00C0199D" w:rsidRDefault="00C0199D" w:rsidP="001C2229">
            <w:pPr>
              <w:pStyle w:val="TableText"/>
              <w:jc w:val="center"/>
            </w:pPr>
            <w:r>
              <w:t>No</w:t>
            </w:r>
          </w:p>
        </w:tc>
      </w:tr>
      <w:tr w:rsidR="00C0199D" w14:paraId="0C9C60FE" w14:textId="77777777" w:rsidTr="001C2229">
        <w:trPr>
          <w:cnfStyle w:val="000000100000" w:firstRow="0" w:lastRow="0" w:firstColumn="0" w:lastColumn="0" w:oddVBand="0" w:evenVBand="0" w:oddHBand="1" w:evenHBand="0" w:firstRowFirstColumn="0" w:firstRowLastColumn="0" w:lastRowFirstColumn="0" w:lastRowLastColumn="0"/>
        </w:trPr>
        <w:tc>
          <w:tcPr>
            <w:tcW w:w="8647" w:type="dxa"/>
          </w:tcPr>
          <w:p w14:paraId="4135F25F" w14:textId="77777777" w:rsidR="00C0199D" w:rsidRPr="006F1CC4" w:rsidRDefault="00C0199D" w:rsidP="001C2229">
            <w:pPr>
              <w:pStyle w:val="TableText"/>
              <w:rPr>
                <w:szCs w:val="22"/>
              </w:rPr>
            </w:pPr>
            <w:r w:rsidRPr="006F1CC4">
              <w:rPr>
                <w:szCs w:val="22"/>
              </w:rPr>
              <w:t>In-transit accommodation costs</w:t>
            </w:r>
          </w:p>
        </w:tc>
        <w:tc>
          <w:tcPr>
            <w:tcW w:w="1557" w:type="dxa"/>
          </w:tcPr>
          <w:p w14:paraId="4D9FF590" w14:textId="77777777" w:rsidR="00C0199D" w:rsidRDefault="00C0199D" w:rsidP="001C2229">
            <w:pPr>
              <w:pStyle w:val="TableText"/>
              <w:jc w:val="center"/>
            </w:pPr>
            <w:r>
              <w:t>No</w:t>
            </w:r>
          </w:p>
        </w:tc>
      </w:tr>
    </w:tbl>
    <w:p w14:paraId="6641B548" w14:textId="3C1623AC" w:rsidR="00C0199D" w:rsidRDefault="00C0199D" w:rsidP="00007A87">
      <w:pPr>
        <w:pStyle w:val="DocumentaryEvidenceRequirement"/>
      </w:pPr>
      <w:r w:rsidRPr="02295749">
        <w:t xml:space="preserve">For items where quotes are </w:t>
      </w:r>
      <w:r>
        <w:t>needed</w:t>
      </w:r>
      <w:r w:rsidRPr="02295749">
        <w:t xml:space="preserve">, the Provider must obtain and </w:t>
      </w:r>
      <w:r>
        <w:t>keep</w:t>
      </w:r>
      <w:r w:rsidRPr="02295749">
        <w:t xml:space="preserve"> at least two quotes (or one quote if there is a sole Provider). Quotes must include:</w:t>
      </w:r>
    </w:p>
    <w:p w14:paraId="01D4702A" w14:textId="7448A68B" w:rsidR="00C0199D" w:rsidRPr="00E15FB8" w:rsidRDefault="00C0199D" w:rsidP="00195C00">
      <w:pPr>
        <w:pStyle w:val="BulletLevel2"/>
      </w:pPr>
      <w:r w:rsidRPr="00E15FB8">
        <w:t>the supplier</w:t>
      </w:r>
      <w:r w:rsidR="00930A09">
        <w:t>’</w:t>
      </w:r>
      <w:r w:rsidRPr="00E15FB8">
        <w:t>s name and ABN</w:t>
      </w:r>
    </w:p>
    <w:p w14:paraId="4DDFA90A" w14:textId="77777777" w:rsidR="00C0199D" w:rsidRPr="00E15FB8" w:rsidRDefault="00C0199D" w:rsidP="00195C00">
      <w:pPr>
        <w:pStyle w:val="BulletLevel2"/>
      </w:pPr>
      <w:r w:rsidRPr="00E15FB8">
        <w:t>date of quote</w:t>
      </w:r>
    </w:p>
    <w:p w14:paraId="1864BDCD" w14:textId="7D2E7834" w:rsidR="00C0199D" w:rsidRDefault="001A7DE6" w:rsidP="00195C00">
      <w:pPr>
        <w:pStyle w:val="BulletLevel2"/>
      </w:pPr>
      <w:r>
        <w:t xml:space="preserve">itemised </w:t>
      </w:r>
      <w:r w:rsidR="00C0199D">
        <w:t>d</w:t>
      </w:r>
      <w:r w:rsidR="00C0199D" w:rsidRPr="00D8353C">
        <w:t xml:space="preserve">etails of </w:t>
      </w:r>
      <w:r w:rsidR="00A95F82">
        <w:t>expenses</w:t>
      </w:r>
      <w:r w:rsidR="00C0199D" w:rsidRPr="00D8353C">
        <w:t xml:space="preserve"> in the quote including details of the service delivered</w:t>
      </w:r>
    </w:p>
    <w:p w14:paraId="6BD231CB" w14:textId="77777777" w:rsidR="00C0199D" w:rsidRDefault="00C0199D" w:rsidP="00195C00">
      <w:pPr>
        <w:pStyle w:val="BulletLevel2"/>
      </w:pPr>
      <w:r>
        <w:t>quote amount (including GST).</w:t>
      </w:r>
    </w:p>
    <w:p w14:paraId="6A2B8DF3" w14:textId="77777777" w:rsidR="00517A7A" w:rsidRDefault="00C0199D" w:rsidP="00C0199D">
      <w:r w:rsidRPr="02295749">
        <w:t xml:space="preserve">Providers must ensure they understand relevant state or territory laws </w:t>
      </w:r>
      <w:r>
        <w:t>about</w:t>
      </w:r>
      <w:r w:rsidRPr="02295749">
        <w:t xml:space="preserve"> bond payments. </w:t>
      </w:r>
    </w:p>
    <w:p w14:paraId="79CD2E28" w14:textId="61B4A505" w:rsidR="00C0199D" w:rsidRDefault="00C0199D" w:rsidP="00F106D4">
      <w:pPr>
        <w:keepNext/>
      </w:pPr>
      <w:r w:rsidRPr="02295749">
        <w:t>Payments to the relevant state or territory bond board should be in the name of the Provider unless:</w:t>
      </w:r>
    </w:p>
    <w:p w14:paraId="4F70A6A5" w14:textId="7B951972" w:rsidR="00C0199D" w:rsidRDefault="00C0199D" w:rsidP="004E120D">
      <w:pPr>
        <w:pStyle w:val="BulletLevel1"/>
      </w:pPr>
      <w:r>
        <w:t>the relevant l</w:t>
      </w:r>
      <w:r w:rsidRPr="00065259">
        <w:t xml:space="preserve">aw or lease agreement places liability for excess damages with the </w:t>
      </w:r>
      <w:r>
        <w:t>named party</w:t>
      </w:r>
      <w:r w:rsidR="00F106D4">
        <w:t>, or</w:t>
      </w:r>
    </w:p>
    <w:p w14:paraId="2FB5FA5C" w14:textId="4916B171" w:rsidR="00C0199D" w:rsidRDefault="00C0199D" w:rsidP="004E120D">
      <w:pPr>
        <w:pStyle w:val="BulletLevel1"/>
      </w:pPr>
      <w:r w:rsidRPr="02295749">
        <w:t>it is not possible to lodge the bond in the Provider’s name</w:t>
      </w:r>
      <w:r w:rsidR="00195C00">
        <w:t xml:space="preserve"> —</w:t>
      </w:r>
      <w:r w:rsidRPr="02295749">
        <w:t xml:space="preserve"> </w:t>
      </w:r>
      <w:r w:rsidR="00195C00">
        <w:t>i</w:t>
      </w:r>
      <w:r w:rsidRPr="02295749">
        <w:t>n this case</w:t>
      </w:r>
      <w:r w:rsidR="00195C00">
        <w:t>,</w:t>
      </w:r>
      <w:r w:rsidRPr="02295749">
        <w:t xml:space="preserve"> the Provider must inform the Participant that when the lease ends</w:t>
      </w:r>
      <w:r>
        <w:t>,</w:t>
      </w:r>
      <w:r w:rsidRPr="02295749">
        <w:t xml:space="preserve"> they must return the bond money to the Provider.</w:t>
      </w:r>
    </w:p>
    <w:p w14:paraId="73525CE8" w14:textId="77777777" w:rsidR="00C0199D" w:rsidRDefault="00C0199D" w:rsidP="00C0199D">
      <w:r>
        <w:t>Providers must reimburse the bond refund amount to the Department at the end of the lease.</w:t>
      </w:r>
    </w:p>
    <w:p w14:paraId="39C3270B" w14:textId="77777777" w:rsidR="00C0199D" w:rsidRDefault="00C0199D" w:rsidP="00C0199D">
      <w:r>
        <w:t>Relocation Assistance payments cannot be used to cover the following costs:</w:t>
      </w:r>
    </w:p>
    <w:p w14:paraId="0EBDA718" w14:textId="1F54F60F" w:rsidR="00C0199D" w:rsidRPr="00E15FB8" w:rsidRDefault="00007A87" w:rsidP="004E120D">
      <w:pPr>
        <w:pStyle w:val="BulletLevel1"/>
      </w:pPr>
      <w:r>
        <w:t>a</w:t>
      </w:r>
      <w:r w:rsidR="00C0199D" w:rsidRPr="00E15FB8">
        <w:t>ssets</w:t>
      </w:r>
      <w:r>
        <w:t xml:space="preserve"> </w:t>
      </w:r>
      <w:r w:rsidR="00C0199D" w:rsidRPr="00E15FB8">
        <w:t>—</w:t>
      </w:r>
      <w:r>
        <w:t xml:space="preserve"> </w:t>
      </w:r>
      <w:r w:rsidR="00C0199D" w:rsidRPr="00E15FB8">
        <w:t>for example, whitegoods, furniture, tyres, other household items</w:t>
      </w:r>
    </w:p>
    <w:p w14:paraId="1CBFEBE2" w14:textId="73CC5155" w:rsidR="00C0199D" w:rsidRPr="00E15FB8" w:rsidRDefault="00007A87" w:rsidP="004E120D">
      <w:pPr>
        <w:pStyle w:val="BulletLevel1"/>
      </w:pPr>
      <w:r>
        <w:t>o</w:t>
      </w:r>
      <w:r w:rsidR="00C0199D" w:rsidRPr="00E15FB8">
        <w:t>ngoing costs</w:t>
      </w:r>
      <w:r>
        <w:t xml:space="preserve"> </w:t>
      </w:r>
      <w:r w:rsidR="00C0199D" w:rsidRPr="00E15FB8">
        <w:t>—</w:t>
      </w:r>
      <w:r>
        <w:t xml:space="preserve"> </w:t>
      </w:r>
      <w:r w:rsidR="00C0199D" w:rsidRPr="00E15FB8">
        <w:t>for example, utilities, school fees, mortgage</w:t>
      </w:r>
    </w:p>
    <w:p w14:paraId="09C8FE5E" w14:textId="7FAEB6F3" w:rsidR="00C0199D" w:rsidRPr="00E15FB8" w:rsidRDefault="00007A87" w:rsidP="004E120D">
      <w:pPr>
        <w:pStyle w:val="BulletLevel1"/>
      </w:pPr>
      <w:r>
        <w:t>r</w:t>
      </w:r>
      <w:r w:rsidR="00C0199D" w:rsidRPr="00E15FB8">
        <w:t xml:space="preserve">ent beyond </w:t>
      </w:r>
      <w:r>
        <w:t xml:space="preserve">the allowable 2 </w:t>
      </w:r>
      <w:r w:rsidR="00C0199D" w:rsidRPr="00E15FB8">
        <w:t>month</w:t>
      </w:r>
      <w:r>
        <w:t xml:space="preserve"> period</w:t>
      </w:r>
    </w:p>
    <w:p w14:paraId="7ED317A3" w14:textId="7AD174BC" w:rsidR="00C0199D" w:rsidRPr="00E15FB8" w:rsidRDefault="00007A87" w:rsidP="004E120D">
      <w:pPr>
        <w:pStyle w:val="BulletLevel1"/>
      </w:pPr>
      <w:r>
        <w:t>r</w:t>
      </w:r>
      <w:r w:rsidR="00C0199D" w:rsidRPr="00E15FB8">
        <w:t>epairs</w:t>
      </w:r>
      <w:r>
        <w:t xml:space="preserve"> </w:t>
      </w:r>
      <w:r w:rsidR="00C0199D" w:rsidRPr="00E15FB8">
        <w:t>—</w:t>
      </w:r>
      <w:r>
        <w:t xml:space="preserve"> </w:t>
      </w:r>
      <w:r w:rsidR="00C0199D" w:rsidRPr="00E15FB8">
        <w:t>including vehicles</w:t>
      </w:r>
    </w:p>
    <w:p w14:paraId="033ED0F7" w14:textId="404F00EA" w:rsidR="00C0199D" w:rsidRPr="00E15FB8" w:rsidRDefault="00007A87" w:rsidP="004E120D">
      <w:pPr>
        <w:pStyle w:val="BulletLevel1"/>
      </w:pPr>
      <w:r>
        <w:t>a</w:t>
      </w:r>
      <w:r w:rsidR="00C0199D" w:rsidRPr="00E15FB8">
        <w:t>lcohol and tobacco purchases</w:t>
      </w:r>
    </w:p>
    <w:p w14:paraId="1BE333E1" w14:textId="2D76598F" w:rsidR="00C0199D" w:rsidRPr="00E15FB8" w:rsidRDefault="00C0199D" w:rsidP="004E120D">
      <w:pPr>
        <w:pStyle w:val="BulletLevel1"/>
      </w:pPr>
      <w:r w:rsidRPr="00E15FB8">
        <w:t>Post Placement Support</w:t>
      </w:r>
      <w:r w:rsidR="00E44B7E">
        <w:t xml:space="preserve"> activities</w:t>
      </w:r>
    </w:p>
    <w:p w14:paraId="7649EF4B" w14:textId="16E06C82" w:rsidR="00C0199D" w:rsidRPr="00E15FB8" w:rsidRDefault="00007A87" w:rsidP="004E120D">
      <w:pPr>
        <w:pStyle w:val="BulletLevel1"/>
      </w:pPr>
      <w:r>
        <w:t>c</w:t>
      </w:r>
      <w:r w:rsidR="00C0199D" w:rsidRPr="02295749">
        <w:t xml:space="preserve">ost of return to </w:t>
      </w:r>
      <w:r w:rsidR="00844A4A">
        <w:t xml:space="preserve">current </w:t>
      </w:r>
      <w:r w:rsidR="00C0199D" w:rsidRPr="02295749">
        <w:t xml:space="preserve">location or </w:t>
      </w:r>
      <w:r w:rsidR="00C0199D">
        <w:t>other</w:t>
      </w:r>
      <w:r w:rsidR="00C0199D" w:rsidRPr="02295749">
        <w:t xml:space="preserve"> costs at same location</w:t>
      </w:r>
      <w:r>
        <w:t>, or</w:t>
      </w:r>
    </w:p>
    <w:p w14:paraId="0D6DF5B4" w14:textId="43A0E019" w:rsidR="00C0199D" w:rsidRPr="00E15FB8" w:rsidRDefault="00007A87" w:rsidP="004E120D">
      <w:pPr>
        <w:pStyle w:val="BulletLevel1"/>
      </w:pPr>
      <w:r>
        <w:t>a</w:t>
      </w:r>
      <w:r w:rsidR="00C0199D" w:rsidRPr="00E15FB8">
        <w:t>ssociation fees</w:t>
      </w:r>
      <w:r>
        <w:t>.</w:t>
      </w:r>
    </w:p>
    <w:p w14:paraId="54B29E49" w14:textId="27C3203D" w:rsidR="00EA7EE7" w:rsidRPr="00E15FB8" w:rsidRDefault="000526E6" w:rsidP="007E030C">
      <w:pPr>
        <w:pStyle w:val="Heading4"/>
      </w:pPr>
      <w:bookmarkStart w:id="279" w:name="_Toc202899990"/>
      <w:bookmarkStart w:id="280" w:name="_Toc191901307"/>
      <w:r>
        <w:t>6.7.4</w:t>
      </w:r>
      <w:r>
        <w:tab/>
      </w:r>
      <w:r w:rsidR="00EA7EE7" w:rsidRPr="00E15FB8">
        <w:t>Upfront payments</w:t>
      </w:r>
      <w:bookmarkEnd w:id="279"/>
    </w:p>
    <w:p w14:paraId="636F39B9" w14:textId="573B41E7" w:rsidR="00EA7EE7" w:rsidRDefault="00EA7EE7" w:rsidP="00EA7EE7">
      <w:r w:rsidRPr="2524A882">
        <w:t>Providers can offer Participants an upfront payment of up to $2,000</w:t>
      </w:r>
      <w:r w:rsidR="008C71FC">
        <w:t xml:space="preserve"> </w:t>
      </w:r>
      <w:r w:rsidR="00BD075A">
        <w:t>(</w:t>
      </w:r>
      <w:r w:rsidR="008C71FC">
        <w:t>GST</w:t>
      </w:r>
      <w:r w:rsidR="00C22794">
        <w:t xml:space="preserve"> </w:t>
      </w:r>
      <w:r w:rsidR="008A4527">
        <w:t>exclusive</w:t>
      </w:r>
      <w:r w:rsidR="00BD075A">
        <w:t>)</w:t>
      </w:r>
      <w:r w:rsidRPr="2524A882">
        <w:t>, to cover payments the Provider cannot make directly to the supplier. This includes prepaid debit cards for basic items such as petrol, groceries or toiletries. The Provider must ensure the Participant uses payments for agreed purposes, including keeping receipts.</w:t>
      </w:r>
    </w:p>
    <w:p w14:paraId="3D065AEE" w14:textId="4305431B" w:rsidR="00EA7EE7" w:rsidRDefault="00EA7EE7" w:rsidP="00EA7EE7">
      <w:r w:rsidRPr="02295749">
        <w:t xml:space="preserve">If the Participant declares they are experiencing financial difficulties, the upfront payment can be over </w:t>
      </w:r>
      <w:r w:rsidR="00177827">
        <w:t xml:space="preserve">the </w:t>
      </w:r>
      <w:r w:rsidR="00545725">
        <w:t xml:space="preserve">standard </w:t>
      </w:r>
      <w:r w:rsidRPr="02295749">
        <w:t>$2,000</w:t>
      </w:r>
      <w:r w:rsidR="008C71FC">
        <w:t xml:space="preserve"> </w:t>
      </w:r>
      <w:r w:rsidR="00BD075A">
        <w:t>(</w:t>
      </w:r>
      <w:r w:rsidR="008C71FC">
        <w:t>GST</w:t>
      </w:r>
      <w:r w:rsidR="00C22794">
        <w:t xml:space="preserve"> </w:t>
      </w:r>
      <w:r w:rsidR="008A4527">
        <w:t>exclusive</w:t>
      </w:r>
      <w:r w:rsidR="00BD075A">
        <w:t>)</w:t>
      </w:r>
      <w:r w:rsidR="00177827">
        <w:t xml:space="preserve"> amount</w:t>
      </w:r>
      <w:r w:rsidRPr="02295749">
        <w:t xml:space="preserve">. Financial hardship exists if the Participant cannot </w:t>
      </w:r>
      <w:r>
        <w:t>start</w:t>
      </w:r>
      <w:r w:rsidRPr="02295749">
        <w:t xml:space="preserve"> their placement without the payment.</w:t>
      </w:r>
    </w:p>
    <w:p w14:paraId="37DB2571" w14:textId="3F07F0BC" w:rsidR="00EA7EE7" w:rsidRDefault="00EA7EE7" w:rsidP="00EA7EE7">
      <w:r w:rsidRPr="02295749">
        <w:rPr>
          <w:b/>
          <w:bCs/>
        </w:rPr>
        <w:t>Note</w:t>
      </w:r>
      <w:r w:rsidRPr="02295749">
        <w:t xml:space="preserve">: Apart from up-front payments, expenses may be incurred before the Relocation Assistance Agreement start date but must be within 28 days of the employment start date. </w:t>
      </w:r>
    </w:p>
    <w:p w14:paraId="4E77ABC5" w14:textId="2D2AF1E8" w:rsidR="00C0199D" w:rsidRDefault="00C0199D" w:rsidP="00C0199D">
      <w:pPr>
        <w:pStyle w:val="Heading4"/>
      </w:pPr>
      <w:bookmarkStart w:id="281" w:name="_Toc202899991"/>
      <w:r>
        <w:t>6.7.</w:t>
      </w:r>
      <w:r w:rsidR="000526E6">
        <w:t>5</w:t>
      </w:r>
      <w:r w:rsidR="00EA7EE7">
        <w:tab/>
      </w:r>
      <w:r>
        <w:t>Claim</w:t>
      </w:r>
      <w:r w:rsidR="00EA7EE7">
        <w:t>s</w:t>
      </w:r>
      <w:r>
        <w:t xml:space="preserve"> </w:t>
      </w:r>
      <w:bookmarkEnd w:id="280"/>
      <w:r w:rsidR="000526E6">
        <w:t>for Reimbursement</w:t>
      </w:r>
      <w:bookmarkEnd w:id="281"/>
    </w:p>
    <w:p w14:paraId="58D85E99" w14:textId="49C106D7" w:rsidR="00C0199D" w:rsidRDefault="00C0199D" w:rsidP="00C0199D">
      <w:r>
        <w:t xml:space="preserve">Providers can claim </w:t>
      </w:r>
      <w:r w:rsidR="00EA7EE7">
        <w:t>R</w:t>
      </w:r>
      <w:r>
        <w:t xml:space="preserve">eimbursement of agreed Relocation Assistance expenses from the date the Relocation Assistance Agreement is signed, until 56 days after the </w:t>
      </w:r>
      <w:r w:rsidR="00EA7EE7">
        <w:t xml:space="preserve">Relocation Assistance </w:t>
      </w:r>
      <w:r>
        <w:t>Agreement has ended.</w:t>
      </w:r>
    </w:p>
    <w:p w14:paraId="19EF58FF" w14:textId="77777777" w:rsidR="0058601A" w:rsidRDefault="0058601A" w:rsidP="0058601A">
      <w:r>
        <w:t>Prior to claiming Reimbursement, Providers must ensure they have paid the supplier and/or reimbursed the Participant in full.</w:t>
      </w:r>
    </w:p>
    <w:p w14:paraId="795955C8" w14:textId="4DF8B23C" w:rsidR="008C5C52" w:rsidRDefault="008C5C52" w:rsidP="00C0199D">
      <w:r>
        <w:t xml:space="preserve">To claim Reimbursement, </w:t>
      </w:r>
      <w:r w:rsidR="00445E8E">
        <w:t xml:space="preserve">the Provider must </w:t>
      </w:r>
      <w:r w:rsidR="002A3613">
        <w:t>enter all relevant information and evidence into the Department’s IT Systems.</w:t>
      </w:r>
    </w:p>
    <w:p w14:paraId="7FB208C4" w14:textId="77777777" w:rsidR="00C0199D" w:rsidRDefault="00C0199D" w:rsidP="0079424A">
      <w:pPr>
        <w:pStyle w:val="DocumentaryEvidenceRequirement"/>
      </w:pPr>
      <w:r>
        <w:t>The Documentary Evidence may include:</w:t>
      </w:r>
    </w:p>
    <w:p w14:paraId="6C074AB3" w14:textId="77777777" w:rsidR="00C0199D" w:rsidRDefault="00C0199D" w:rsidP="00EE29EB">
      <w:pPr>
        <w:pStyle w:val="BulletLevel2"/>
      </w:pPr>
      <w:r>
        <w:t>a</w:t>
      </w:r>
      <w:r w:rsidRPr="000D7E09">
        <w:t xml:space="preserve"> valid tax invoice or recipient created tax invoice, distinguishing between individual items</w:t>
      </w:r>
    </w:p>
    <w:p w14:paraId="6EC9ACD6" w14:textId="77777777" w:rsidR="00C0199D" w:rsidRPr="000D7E09" w:rsidRDefault="00C0199D" w:rsidP="00EE29EB">
      <w:pPr>
        <w:pStyle w:val="BulletLevel2"/>
      </w:pPr>
      <w:r>
        <w:t>e</w:t>
      </w:r>
      <w:r w:rsidRPr="000D7E09">
        <w:t xml:space="preserve">vidence of payment from the </w:t>
      </w:r>
      <w:r>
        <w:t>P</w:t>
      </w:r>
      <w:r w:rsidRPr="000D7E09">
        <w:t xml:space="preserve">rovider to the </w:t>
      </w:r>
      <w:r>
        <w:t>P</w:t>
      </w:r>
      <w:r w:rsidRPr="000D7E09">
        <w:t>articipant or supplier</w:t>
      </w:r>
      <w:r>
        <w:t>,</w:t>
      </w:r>
      <w:r w:rsidRPr="000D7E09">
        <w:t xml:space="preserve"> </w:t>
      </w:r>
      <w:r>
        <w:t>t</w:t>
      </w:r>
      <w:r w:rsidRPr="000D7E09">
        <w:t>his can include:</w:t>
      </w:r>
    </w:p>
    <w:p w14:paraId="49F878AA" w14:textId="08CD42BB" w:rsidR="00C0199D" w:rsidRPr="000D7E09" w:rsidRDefault="00C0199D" w:rsidP="00EE29EB">
      <w:pPr>
        <w:pStyle w:val="BulletLevel3"/>
      </w:pPr>
      <w:r>
        <w:t>t</w:t>
      </w:r>
      <w:r w:rsidRPr="000D7E09">
        <w:t xml:space="preserve">ransaction record (bank statement or record from the </w:t>
      </w:r>
      <w:r>
        <w:t>P</w:t>
      </w:r>
      <w:r w:rsidRPr="000D7E09">
        <w:t>rovider’s financial system</w:t>
      </w:r>
      <w:r w:rsidR="007B664B">
        <w:t>)</w:t>
      </w:r>
    </w:p>
    <w:p w14:paraId="5C39F363" w14:textId="70D7D693" w:rsidR="00C0199D" w:rsidRPr="000D7E09" w:rsidRDefault="00C0199D" w:rsidP="00EE29EB">
      <w:pPr>
        <w:pStyle w:val="BulletLevel3"/>
      </w:pPr>
      <w:r>
        <w:t>t</w:t>
      </w:r>
      <w:r w:rsidRPr="000D7E09">
        <w:t>ax invoice with receipt</w:t>
      </w:r>
      <w:r w:rsidR="00C31E41">
        <w:t>, or</w:t>
      </w:r>
    </w:p>
    <w:p w14:paraId="363B10CE" w14:textId="2D884103" w:rsidR="00C0199D" w:rsidRPr="000D7E09" w:rsidRDefault="00C0199D" w:rsidP="00EE29EB">
      <w:pPr>
        <w:pStyle w:val="BulletLevel3"/>
      </w:pPr>
      <w:r>
        <w:t>re</w:t>
      </w:r>
      <w:r w:rsidRPr="000D7E09">
        <w:t>mittance advice</w:t>
      </w:r>
      <w:r w:rsidR="00C31E41">
        <w:t>, and</w:t>
      </w:r>
    </w:p>
    <w:p w14:paraId="130081A3" w14:textId="77777777" w:rsidR="00C0199D" w:rsidRDefault="00C0199D" w:rsidP="00EE29EB">
      <w:pPr>
        <w:pStyle w:val="BulletLevel2"/>
      </w:pPr>
      <w:r>
        <w:t xml:space="preserve">any </w:t>
      </w:r>
      <w:r w:rsidRPr="00EE29EB">
        <w:t>required</w:t>
      </w:r>
      <w:r w:rsidRPr="000D7E09">
        <w:t xml:space="preserve"> quotes</w:t>
      </w:r>
      <w:r>
        <w:t>.</w:t>
      </w:r>
    </w:p>
    <w:p w14:paraId="5737CC53" w14:textId="5D65F2DD" w:rsidR="00D74559" w:rsidRDefault="00D74559" w:rsidP="001D0F92">
      <w:pPr>
        <w:pStyle w:val="Heading3"/>
      </w:pPr>
      <w:bookmarkStart w:id="282" w:name="_Toc202899992"/>
      <w:r>
        <w:t>6.</w:t>
      </w:r>
      <w:r w:rsidR="00B67CAB">
        <w:t>8</w:t>
      </w:r>
      <w:r w:rsidR="00D14BEB">
        <w:tab/>
      </w:r>
      <w:r>
        <w:t>Employer Engagement and Support</w:t>
      </w:r>
      <w:bookmarkEnd w:id="282"/>
    </w:p>
    <w:p w14:paraId="12A6749B" w14:textId="77777777" w:rsidR="00D74559" w:rsidRDefault="00D74559" w:rsidP="006E2EF5">
      <w:r>
        <w:t xml:space="preserve">To support Participants in Pre-Employment Support and help to meet Employer’s workforce needs, </w:t>
      </w:r>
      <w:r w:rsidRPr="00C86EBC">
        <w:t xml:space="preserve">Providers </w:t>
      </w:r>
      <w:r>
        <w:t>must engage with, build strong relationships with, support, and provide services to, Employers in their local area.</w:t>
      </w:r>
    </w:p>
    <w:p w14:paraId="3B3F4F52" w14:textId="2CE0A480" w:rsidR="007E7C18" w:rsidRDefault="00D74559" w:rsidP="006E2EF5">
      <w:r w:rsidRPr="2524A882">
        <w:t xml:space="preserve">Providers </w:t>
      </w:r>
      <w:r w:rsidR="00233917">
        <w:t>must</w:t>
      </w:r>
      <w:r w:rsidRPr="2524A882" w:rsidDel="00233917">
        <w:t xml:space="preserve"> </w:t>
      </w:r>
      <w:r w:rsidRPr="2524A882">
        <w:t xml:space="preserve">build strong relationships with Employers to meet Employers’ workforce needs, and broker Employment opportunities for Participants. This may include help with job design or job customisation. Providers must offer tailored support and training to build Employer capability and help Employers to provide suitable, safe and productive workplaces </w:t>
      </w:r>
      <w:r w:rsidR="004029C2">
        <w:t xml:space="preserve">and </w:t>
      </w:r>
      <w:r w:rsidR="00330009">
        <w:t>work practices</w:t>
      </w:r>
      <w:r w:rsidRPr="2524A882">
        <w:t xml:space="preserve"> for employees with disability. </w:t>
      </w:r>
    </w:p>
    <w:p w14:paraId="16D419BB" w14:textId="77C77E25" w:rsidR="00D74559" w:rsidRDefault="00D74559" w:rsidP="006E2EF5">
      <w:r w:rsidRPr="2524A882">
        <w:t>Providers must also help Employers to access available supports. This may include organising workplace modifications, workplace training, or on the job coaching and supports</w:t>
      </w:r>
      <w:r w:rsidR="007E7C18">
        <w:t>,</w:t>
      </w:r>
      <w:r w:rsidRPr="2524A882">
        <w:t xml:space="preserve"> or </w:t>
      </w:r>
      <w:r w:rsidR="00151D8F">
        <w:t>W</w:t>
      </w:r>
      <w:r w:rsidRPr="2524A882">
        <w:t xml:space="preserve">age </w:t>
      </w:r>
      <w:r w:rsidR="00151D8F">
        <w:t>S</w:t>
      </w:r>
      <w:r w:rsidRPr="2524A882">
        <w:t>ubsidies.</w:t>
      </w:r>
    </w:p>
    <w:p w14:paraId="61EBCFFB" w14:textId="77777777" w:rsidR="00D74559" w:rsidRDefault="00D74559" w:rsidP="006E2EF5">
      <w:pPr>
        <w:pStyle w:val="TableChartHeading"/>
      </w:pPr>
      <w:r>
        <w:t>Employer Supports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6798"/>
      </w:tblGrid>
      <w:tr w:rsidR="00FC127C" w:rsidRPr="00FB7CD7" w14:paraId="4AD7DFE9" w14:textId="77777777" w:rsidTr="00DE7A9B">
        <w:trPr>
          <w:cnfStyle w:val="100000000000" w:firstRow="1" w:lastRow="0" w:firstColumn="0" w:lastColumn="0" w:oddVBand="0" w:evenVBand="0" w:oddHBand="0" w:evenHBand="0" w:firstRowFirstColumn="0" w:firstRowLastColumn="0" w:lastRowFirstColumn="0" w:lastRowLastColumn="0"/>
        </w:trPr>
        <w:tc>
          <w:tcPr>
            <w:tcW w:w="2830" w:type="dxa"/>
          </w:tcPr>
          <w:p w14:paraId="2E96C11A" w14:textId="77777777" w:rsidR="00D74559" w:rsidRPr="00FB7CD7" w:rsidRDefault="00D74559" w:rsidP="00871B12">
            <w:pPr>
              <w:pStyle w:val="TableText"/>
              <w:rPr>
                <w:b w:val="0"/>
              </w:rPr>
            </w:pPr>
            <w:r w:rsidRPr="00FB7CD7">
              <w:t>Category</w:t>
            </w:r>
          </w:p>
        </w:tc>
        <w:tc>
          <w:tcPr>
            <w:tcW w:w="6798" w:type="dxa"/>
          </w:tcPr>
          <w:p w14:paraId="687AD204" w14:textId="77777777" w:rsidR="00D74559" w:rsidRPr="00FB7CD7" w:rsidRDefault="00D74559" w:rsidP="00871B12">
            <w:pPr>
              <w:pStyle w:val="TableText"/>
              <w:rPr>
                <w:b w:val="0"/>
              </w:rPr>
            </w:pPr>
            <w:r w:rsidRPr="00FB7CD7">
              <w:t>Supports may include</w:t>
            </w:r>
            <w:r>
              <w:t>:</w:t>
            </w:r>
          </w:p>
        </w:tc>
      </w:tr>
      <w:tr w:rsidR="00D74559" w:rsidRPr="00FB7CD7" w14:paraId="001B3BEF" w14:textId="77777777" w:rsidTr="00DE7A9B">
        <w:trPr>
          <w:cnfStyle w:val="000000100000" w:firstRow="0" w:lastRow="0" w:firstColumn="0" w:lastColumn="0" w:oddVBand="0" w:evenVBand="0" w:oddHBand="1" w:evenHBand="0" w:firstRowFirstColumn="0" w:firstRowLastColumn="0" w:lastRowFirstColumn="0" w:lastRowLastColumn="0"/>
        </w:trPr>
        <w:tc>
          <w:tcPr>
            <w:tcW w:w="2830" w:type="dxa"/>
          </w:tcPr>
          <w:p w14:paraId="56B5BC2B" w14:textId="77777777" w:rsidR="00D74559" w:rsidRPr="00BB61D7" w:rsidRDefault="00D74559" w:rsidP="00871B12">
            <w:pPr>
              <w:pStyle w:val="TableText"/>
            </w:pPr>
            <w:r>
              <w:t>Employer access to suitable employees</w:t>
            </w:r>
          </w:p>
        </w:tc>
        <w:tc>
          <w:tcPr>
            <w:tcW w:w="6798" w:type="dxa"/>
          </w:tcPr>
          <w:p w14:paraId="1500A540" w14:textId="41138BDB" w:rsidR="00D74559" w:rsidRPr="007C5E94" w:rsidRDefault="00A4740D" w:rsidP="007D21CC">
            <w:pPr>
              <w:pStyle w:val="TableList-level1"/>
              <w:rPr>
                <w:rFonts w:cstheme="minorBidi"/>
              </w:rPr>
            </w:pPr>
            <w:r>
              <w:t>Understand</w:t>
            </w:r>
            <w:r w:rsidR="00D60EC3">
              <w:t>ing</w:t>
            </w:r>
            <w:r w:rsidRPr="02295749">
              <w:t xml:space="preserve"> </w:t>
            </w:r>
            <w:r w:rsidR="00886CD1" w:rsidRPr="02295749">
              <w:t>Employers’</w:t>
            </w:r>
            <w:r w:rsidR="00D74559" w:rsidRPr="02295749">
              <w:t xml:space="preserve"> skill needs </w:t>
            </w:r>
            <w:r w:rsidR="00DB592B">
              <w:t xml:space="preserve">and job requirements </w:t>
            </w:r>
            <w:r w:rsidR="00D74559" w:rsidRPr="02295749">
              <w:t>and arrang</w:t>
            </w:r>
            <w:r w:rsidR="007E7C18">
              <w:t>ing</w:t>
            </w:r>
            <w:r w:rsidR="00D74559" w:rsidRPr="02295749">
              <w:t xml:space="preserve"> activities that </w:t>
            </w:r>
            <w:r w:rsidR="00D74559">
              <w:t>offer</w:t>
            </w:r>
            <w:r w:rsidR="00D74559" w:rsidRPr="02295749">
              <w:t xml:space="preserve"> development opportunities and prepare Participants to meet those needs.</w:t>
            </w:r>
          </w:p>
          <w:p w14:paraId="72124925" w14:textId="25E923BB" w:rsidR="00CA50E1" w:rsidRPr="00CA50E1" w:rsidRDefault="000C7CEA" w:rsidP="007D21CC">
            <w:pPr>
              <w:pStyle w:val="TableList-level1"/>
              <w:rPr>
                <w:rFonts w:cstheme="minorBidi"/>
              </w:rPr>
            </w:pPr>
            <w:r>
              <w:t>Target</w:t>
            </w:r>
            <w:r w:rsidR="00D60EC3">
              <w:t>ing</w:t>
            </w:r>
            <w:r>
              <w:t xml:space="preserve"> </w:t>
            </w:r>
            <w:r w:rsidR="00C31E41">
              <w:t>E</w:t>
            </w:r>
            <w:r>
              <w:t xml:space="preserve">mployers who can offer a </w:t>
            </w:r>
            <w:r w:rsidR="00457335">
              <w:t xml:space="preserve">match to </w:t>
            </w:r>
            <w:r w:rsidR="006E1945">
              <w:t>employment goals and</w:t>
            </w:r>
            <w:r w:rsidR="00047198">
              <w:t xml:space="preserve"> </w:t>
            </w:r>
            <w:r w:rsidR="00DD2AA9">
              <w:t xml:space="preserve">career </w:t>
            </w:r>
            <w:r w:rsidR="00457335">
              <w:t>pathways</w:t>
            </w:r>
            <w:r w:rsidR="00047198">
              <w:t xml:space="preserve"> of individual </w:t>
            </w:r>
            <w:r w:rsidR="007E7C18">
              <w:t>P</w:t>
            </w:r>
            <w:r w:rsidR="00047198">
              <w:t>articipants</w:t>
            </w:r>
            <w:r w:rsidR="00CA50E1">
              <w:t>.</w:t>
            </w:r>
          </w:p>
          <w:p w14:paraId="00ACE571" w14:textId="7F0FF3EF" w:rsidR="007C5E94" w:rsidRDefault="00CA50E1" w:rsidP="007D21CC">
            <w:pPr>
              <w:pStyle w:val="TableList-level1"/>
              <w:rPr>
                <w:rFonts w:cstheme="minorBidi"/>
              </w:rPr>
            </w:pPr>
            <w:r>
              <w:t xml:space="preserve">Proactively </w:t>
            </w:r>
            <w:r w:rsidR="006F2441">
              <w:t>promot</w:t>
            </w:r>
            <w:r w:rsidR="00D60EC3">
              <w:t>ing</w:t>
            </w:r>
            <w:r w:rsidR="006F2441">
              <w:t xml:space="preserve"> and market</w:t>
            </w:r>
            <w:r w:rsidR="00D60EC3">
              <w:t>ing</w:t>
            </w:r>
            <w:r w:rsidR="006F2441">
              <w:t xml:space="preserve"> the</w:t>
            </w:r>
            <w:r w:rsidR="00D85E74">
              <w:t xml:space="preserve"> abilities of individual Participants to Employers</w:t>
            </w:r>
            <w:r w:rsidR="005A31A7">
              <w:t>, and the support</w:t>
            </w:r>
            <w:r w:rsidR="0047325F">
              <w:t xml:space="preserve"> options</w:t>
            </w:r>
            <w:r w:rsidR="005A31A7">
              <w:t xml:space="preserve"> available to Employers</w:t>
            </w:r>
            <w:r w:rsidR="0047325F">
              <w:t xml:space="preserve"> to help make </w:t>
            </w:r>
            <w:r w:rsidR="000F1D64">
              <w:t>placements a success</w:t>
            </w:r>
            <w:r w:rsidR="005A31A7">
              <w:t>.</w:t>
            </w:r>
            <w:r w:rsidR="00457335">
              <w:t xml:space="preserve"> </w:t>
            </w:r>
          </w:p>
          <w:p w14:paraId="54D043BE" w14:textId="1222F0FA" w:rsidR="00D74559" w:rsidRDefault="00D74559" w:rsidP="007D21CC">
            <w:pPr>
              <w:pStyle w:val="TableList-level1"/>
            </w:pPr>
            <w:r>
              <w:t>Arrang</w:t>
            </w:r>
            <w:r w:rsidR="00D60EC3">
              <w:t>ing</w:t>
            </w:r>
            <w:r>
              <w:t xml:space="preserve"> Participant Work Trials and Observational Work Experience with potential Employers.</w:t>
            </w:r>
          </w:p>
          <w:p w14:paraId="72A00636" w14:textId="2A8EC42C" w:rsidR="00D74559" w:rsidRPr="004C04E8" w:rsidRDefault="00D74559" w:rsidP="007D21CC">
            <w:pPr>
              <w:pStyle w:val="TableList-level1"/>
            </w:pPr>
            <w:r>
              <w:t>R</w:t>
            </w:r>
            <w:r w:rsidRPr="00F1354A">
              <w:t>efe</w:t>
            </w:r>
            <w:r w:rsidR="00D60EC3">
              <w:t>r</w:t>
            </w:r>
            <w:r w:rsidRPr="00F1354A">
              <w:t>r</w:t>
            </w:r>
            <w:r w:rsidR="00D60EC3">
              <w:t>ing</w:t>
            </w:r>
            <w:r w:rsidR="006E1945">
              <w:t xml:space="preserve"> </w:t>
            </w:r>
            <w:r w:rsidRPr="00F1354A">
              <w:t>the most suitable Participants to Vacancies</w:t>
            </w:r>
            <w:r>
              <w:t>.</w:t>
            </w:r>
          </w:p>
        </w:tc>
      </w:tr>
      <w:tr w:rsidR="00FD020B" w:rsidRPr="00FB7CD7" w14:paraId="4040CF34" w14:textId="77777777" w:rsidTr="008906FD">
        <w:trPr>
          <w:cnfStyle w:val="000000010000" w:firstRow="0" w:lastRow="0" w:firstColumn="0" w:lastColumn="0" w:oddVBand="0" w:evenVBand="0" w:oddHBand="0" w:evenHBand="1" w:firstRowFirstColumn="0" w:firstRowLastColumn="0" w:lastRowFirstColumn="0" w:lastRowLastColumn="0"/>
        </w:trPr>
        <w:tc>
          <w:tcPr>
            <w:tcW w:w="2830" w:type="dxa"/>
            <w:tcBorders>
              <w:bottom w:val="single" w:sz="4" w:space="0" w:color="auto"/>
            </w:tcBorders>
          </w:tcPr>
          <w:p w14:paraId="2FD6EC1C" w14:textId="77777777" w:rsidR="00D74559" w:rsidRPr="00BB61D7" w:rsidRDefault="00D74559" w:rsidP="00871B12">
            <w:pPr>
              <w:pStyle w:val="TableText"/>
            </w:pPr>
            <w:r>
              <w:t>Employer capability-building support</w:t>
            </w:r>
          </w:p>
        </w:tc>
        <w:tc>
          <w:tcPr>
            <w:tcW w:w="6798" w:type="dxa"/>
            <w:tcBorders>
              <w:bottom w:val="single" w:sz="4" w:space="0" w:color="auto"/>
            </w:tcBorders>
          </w:tcPr>
          <w:p w14:paraId="632CAF0F" w14:textId="7972B61D" w:rsidR="00D74559" w:rsidRDefault="00D74559" w:rsidP="007D21CC">
            <w:pPr>
              <w:pStyle w:val="TableList-level1"/>
            </w:pPr>
            <w:r w:rsidRPr="02295749">
              <w:t>Provid</w:t>
            </w:r>
            <w:r w:rsidR="00D60EC3">
              <w:t>ing</w:t>
            </w:r>
            <w:r w:rsidRPr="02295749">
              <w:t xml:space="preserve"> guidance on creating accessible and inclusive workplaces to </w:t>
            </w:r>
            <w:r>
              <w:t>help</w:t>
            </w:r>
            <w:r w:rsidRPr="02295749">
              <w:t xml:space="preserve"> Employers </w:t>
            </w:r>
            <w:r w:rsidR="00792FA1">
              <w:t>integrate</w:t>
            </w:r>
            <w:r w:rsidRPr="02295749">
              <w:t xml:space="preserve"> employees with disability</w:t>
            </w:r>
            <w:r w:rsidR="00792FA1">
              <w:t xml:space="preserve"> and</w:t>
            </w:r>
            <w:r w:rsidRPr="02295749">
              <w:t xml:space="preserve"> access information and disability training for their workplace.</w:t>
            </w:r>
          </w:p>
          <w:p w14:paraId="4444C637" w14:textId="7AAA9DD0" w:rsidR="00D74559" w:rsidRPr="00153828" w:rsidRDefault="00D74559" w:rsidP="007D21CC">
            <w:pPr>
              <w:pStyle w:val="TableList-level1"/>
            </w:pPr>
            <w:r>
              <w:t>P</w:t>
            </w:r>
            <w:r w:rsidRPr="00153828">
              <w:t>rovid</w:t>
            </w:r>
            <w:r w:rsidR="00D60EC3">
              <w:t>ing</w:t>
            </w:r>
            <w:r w:rsidRPr="00153828">
              <w:t xml:space="preserve"> guidance on job design and job customisation</w:t>
            </w:r>
            <w:r w:rsidR="004A444B">
              <w:t xml:space="preserve"> to facilitate the creation of employment opportunities</w:t>
            </w:r>
            <w:r>
              <w:t>.</w:t>
            </w:r>
          </w:p>
          <w:p w14:paraId="1D74F7CF" w14:textId="40C1619C" w:rsidR="00D74559" w:rsidRPr="00153828" w:rsidRDefault="00D74559" w:rsidP="007D21CC">
            <w:pPr>
              <w:pStyle w:val="TableList-level1"/>
            </w:pPr>
            <w:r w:rsidRPr="02295749">
              <w:t>Provid</w:t>
            </w:r>
            <w:r w:rsidR="00D60EC3">
              <w:t>ing</w:t>
            </w:r>
            <w:r w:rsidRPr="02295749">
              <w:t xml:space="preserve"> guidance on employee retention strategies to </w:t>
            </w:r>
            <w:r>
              <w:t>help</w:t>
            </w:r>
            <w:r w:rsidRPr="02295749">
              <w:t xml:space="preserve"> Employers</w:t>
            </w:r>
            <w:r w:rsidRPr="02295749" w:rsidDel="00792FA1">
              <w:t xml:space="preserve"> </w:t>
            </w:r>
            <w:r w:rsidRPr="02295749">
              <w:t>effectively onboard people with disability and reduce turnover.</w:t>
            </w:r>
          </w:p>
          <w:p w14:paraId="0F703ED7" w14:textId="55CA66E0" w:rsidR="008A67FE" w:rsidRPr="00153828" w:rsidRDefault="008A67FE" w:rsidP="008A67FE">
            <w:pPr>
              <w:pStyle w:val="TableList-level1"/>
            </w:pPr>
            <w:r>
              <w:t>Help</w:t>
            </w:r>
            <w:r w:rsidR="00D60EC3">
              <w:t>ing</w:t>
            </w:r>
            <w:r>
              <w:t xml:space="preserve"> </w:t>
            </w:r>
            <w:r w:rsidR="00E53CEA">
              <w:t>E</w:t>
            </w:r>
            <w:r>
              <w:t>mployers access information around cultural safety</w:t>
            </w:r>
            <w:r w:rsidR="00EB42C4">
              <w:t xml:space="preserve"> assessments and/or training for their workplace.</w:t>
            </w:r>
          </w:p>
          <w:p w14:paraId="2B539325" w14:textId="0072D203" w:rsidR="00D74559" w:rsidRPr="00FB7CD7" w:rsidRDefault="00D74559" w:rsidP="007D21CC">
            <w:pPr>
              <w:pStyle w:val="TableList-level1"/>
            </w:pPr>
            <w:r>
              <w:t>L</w:t>
            </w:r>
            <w:r w:rsidRPr="00153828">
              <w:t>ink</w:t>
            </w:r>
            <w:r w:rsidR="00D60EC3">
              <w:t>ing</w:t>
            </w:r>
            <w:r w:rsidRPr="00153828">
              <w:t xml:space="preserve"> Employers to relevant Commonwealth, State</w:t>
            </w:r>
            <w:r w:rsidR="00C5356A">
              <w:t xml:space="preserve"> or</w:t>
            </w:r>
            <w:r w:rsidRPr="00153828">
              <w:t xml:space="preserve"> Territory </w:t>
            </w:r>
            <w:r w:rsidR="00C5356A">
              <w:t>Govern</w:t>
            </w:r>
            <w:r w:rsidR="00E53CEA">
              <w:t xml:space="preserve">ment, </w:t>
            </w:r>
            <w:r w:rsidRPr="00153828">
              <w:t>local government, and non-government programs, and to communities</w:t>
            </w:r>
            <w:r>
              <w:t xml:space="preserve"> of practice.</w:t>
            </w:r>
          </w:p>
        </w:tc>
      </w:tr>
      <w:tr w:rsidR="00D74559" w:rsidRPr="00FB7CD7" w14:paraId="7701B0E9" w14:textId="77777777" w:rsidTr="008906FD">
        <w:trPr>
          <w:cnfStyle w:val="000000100000" w:firstRow="0" w:lastRow="0" w:firstColumn="0" w:lastColumn="0" w:oddVBand="0" w:evenVBand="0" w:oddHBand="1" w:evenHBand="0" w:firstRowFirstColumn="0" w:firstRowLastColumn="0" w:lastRowFirstColumn="0" w:lastRowLastColumn="0"/>
        </w:trPr>
        <w:tc>
          <w:tcPr>
            <w:tcW w:w="2830" w:type="dxa"/>
            <w:tcBorders>
              <w:bottom w:val="single" w:sz="4" w:space="0" w:color="auto"/>
            </w:tcBorders>
          </w:tcPr>
          <w:p w14:paraId="1159D2CA" w14:textId="58082941" w:rsidR="00D74559" w:rsidRDefault="002D4EB9" w:rsidP="00871B12">
            <w:pPr>
              <w:pStyle w:val="TableText"/>
            </w:pPr>
            <w:r>
              <w:t xml:space="preserve">Additional support for </w:t>
            </w:r>
            <w:r w:rsidR="00D74559" w:rsidRPr="02295749">
              <w:t>Employers</w:t>
            </w:r>
          </w:p>
        </w:tc>
        <w:tc>
          <w:tcPr>
            <w:tcW w:w="6798" w:type="dxa"/>
            <w:tcBorders>
              <w:bottom w:val="single" w:sz="4" w:space="0" w:color="auto"/>
            </w:tcBorders>
          </w:tcPr>
          <w:p w14:paraId="6A621317" w14:textId="33E2CE0A" w:rsidR="007E09C1" w:rsidRDefault="007E09C1" w:rsidP="007E09C1">
            <w:pPr>
              <w:pStyle w:val="TableList-level1"/>
            </w:pPr>
            <w:r>
              <w:t>Provid</w:t>
            </w:r>
            <w:r w:rsidR="00D60EC3">
              <w:t>ing</w:t>
            </w:r>
            <w:r>
              <w:t xml:space="preserve"> a </w:t>
            </w:r>
            <w:r w:rsidR="00872ED6">
              <w:t xml:space="preserve">single point of </w:t>
            </w:r>
            <w:r w:rsidR="005304D2">
              <w:t xml:space="preserve">Provider </w:t>
            </w:r>
            <w:r>
              <w:t>contact</w:t>
            </w:r>
            <w:r w:rsidDel="00872ED6">
              <w:t xml:space="preserve"> </w:t>
            </w:r>
            <w:r w:rsidR="00F5379E">
              <w:t>to ensure</w:t>
            </w:r>
            <w:r w:rsidR="00872ED6">
              <w:t xml:space="preserve"> the</w:t>
            </w:r>
            <w:r w:rsidR="00C42309">
              <w:t xml:space="preserve"> Employer</w:t>
            </w:r>
            <w:r w:rsidR="00F5379E">
              <w:t xml:space="preserve"> has a clear pathway to</w:t>
            </w:r>
            <w:r>
              <w:t xml:space="preserve"> issue</w:t>
            </w:r>
            <w:r w:rsidR="00F5379E">
              <w:t>s</w:t>
            </w:r>
            <w:r>
              <w:t xml:space="preserve"> resolution and responses to requests.</w:t>
            </w:r>
          </w:p>
          <w:p w14:paraId="4F834A6C" w14:textId="2B63FE8E" w:rsidR="007E09C1" w:rsidRDefault="007E09C1" w:rsidP="007E09C1">
            <w:pPr>
              <w:pStyle w:val="TableList-level1"/>
            </w:pPr>
            <w:r>
              <w:t>As appropriate, help</w:t>
            </w:r>
            <w:r w:rsidR="00D60EC3">
              <w:t>ing</w:t>
            </w:r>
            <w:r>
              <w:t xml:space="preserve"> Employers to access financial assistance through the EAF for work-related modifications and services to reduce the costs of hiring a Participant</w:t>
            </w:r>
            <w:r w:rsidR="00C7445A">
              <w:t xml:space="preserve"> (see </w:t>
            </w:r>
            <w:r w:rsidR="00C7445A">
              <w:fldChar w:fldCharType="begin"/>
            </w:r>
            <w:r w:rsidR="00C7445A">
              <w:instrText xml:space="preserve"> REF _Ref202784009 \h </w:instrText>
            </w:r>
            <w:r w:rsidR="00C7445A">
              <w:fldChar w:fldCharType="separate"/>
            </w:r>
            <w:r w:rsidR="000D75AE" w:rsidRPr="539AEF4B">
              <w:t>9.</w:t>
            </w:r>
            <w:r w:rsidR="000D75AE">
              <w:t>8</w:t>
            </w:r>
            <w:r w:rsidR="002E053E">
              <w:t xml:space="preserve"> </w:t>
            </w:r>
            <w:r w:rsidR="000D75AE" w:rsidRPr="539AEF4B">
              <w:t>Employment Assistance Fund</w:t>
            </w:r>
            <w:r w:rsidR="00C7445A">
              <w:fldChar w:fldCharType="end"/>
            </w:r>
            <w:r w:rsidR="00C7445A">
              <w:t>)</w:t>
            </w:r>
            <w:r>
              <w:t>.</w:t>
            </w:r>
          </w:p>
          <w:p w14:paraId="7ACAEEBE" w14:textId="5A1C754A" w:rsidR="007E09C1" w:rsidRDefault="007E09C1" w:rsidP="007E09C1">
            <w:pPr>
              <w:pStyle w:val="TableList-level1"/>
            </w:pPr>
            <w:r>
              <w:t>As appropriate, help</w:t>
            </w:r>
            <w:r w:rsidR="00D60EC3">
              <w:t>ing</w:t>
            </w:r>
            <w:r>
              <w:t xml:space="preserve"> an Employer to make an application in respect of the Supported Wage System.</w:t>
            </w:r>
          </w:p>
          <w:p w14:paraId="3DF83B24" w14:textId="362969AC" w:rsidR="00D74559" w:rsidRDefault="007E09C1" w:rsidP="007E09C1">
            <w:pPr>
              <w:pStyle w:val="TableList-level1"/>
              <w:rPr>
                <w:rFonts w:cstheme="minorBidi"/>
              </w:rPr>
            </w:pPr>
            <w:r>
              <w:t xml:space="preserve">As appropriate, </w:t>
            </w:r>
            <w:r w:rsidR="00A669F9">
              <w:t>provid</w:t>
            </w:r>
            <w:r w:rsidR="00D60EC3">
              <w:t>ing</w:t>
            </w:r>
            <w:r w:rsidR="00A669F9">
              <w:t xml:space="preserve"> </w:t>
            </w:r>
            <w:r>
              <w:t xml:space="preserve">information and training on how </w:t>
            </w:r>
            <w:r w:rsidR="00A30331">
              <w:t xml:space="preserve">to </w:t>
            </w:r>
            <w:r>
              <w:t>access</w:t>
            </w:r>
            <w:r w:rsidDel="00A30331">
              <w:t xml:space="preserve"> </w:t>
            </w:r>
            <w:r>
              <w:t>Wage Subsidies to support participants and Employers</w:t>
            </w:r>
            <w:r w:rsidR="00360D03">
              <w:t xml:space="preserve"> (see </w:t>
            </w:r>
            <w:r w:rsidR="00360D03">
              <w:fldChar w:fldCharType="begin"/>
            </w:r>
            <w:r w:rsidR="00360D03">
              <w:instrText xml:space="preserve"> REF _Ref202794320 \h </w:instrText>
            </w:r>
            <w:r w:rsidR="00360D03">
              <w:fldChar w:fldCharType="separate"/>
            </w:r>
            <w:r w:rsidR="000D75AE" w:rsidRPr="4F3EABBB">
              <w:t>Chapter</w:t>
            </w:r>
            <w:r w:rsidR="000D75AE" w:rsidRPr="4F3EABBB">
              <w:rPr>
                <w:rStyle w:val="Emphasis"/>
              </w:rPr>
              <w:t xml:space="preserve"> </w:t>
            </w:r>
            <w:r w:rsidR="000D75AE" w:rsidRPr="4F3EABBB">
              <w:t>8:</w:t>
            </w:r>
            <w:r w:rsidR="002E053E">
              <w:t xml:space="preserve"> </w:t>
            </w:r>
            <w:r w:rsidR="000D75AE" w:rsidRPr="4F3EABBB">
              <w:t>Wage Subsidies</w:t>
            </w:r>
            <w:r w:rsidR="00360D03">
              <w:fldChar w:fldCharType="end"/>
            </w:r>
            <w:r w:rsidR="00360D03">
              <w:t>)</w:t>
            </w:r>
            <w:r w:rsidR="00D74559" w:rsidRPr="2524A882">
              <w:t>.</w:t>
            </w:r>
          </w:p>
        </w:tc>
      </w:tr>
    </w:tbl>
    <w:p w14:paraId="7AB8B956" w14:textId="5189BE00" w:rsidR="0036274C" w:rsidRPr="000B20F6" w:rsidRDefault="0036274C" w:rsidP="00C7445A">
      <w:pPr>
        <w:pStyle w:val="DeedReferences"/>
      </w:pPr>
      <w:r w:rsidRPr="0FE8CA8C">
        <w:t>(</w:t>
      </w:r>
      <w:r w:rsidR="00A73420">
        <w:t xml:space="preserve">Deed Reference(s): Clause </w:t>
      </w:r>
      <w:r w:rsidRPr="0FE8CA8C">
        <w:t xml:space="preserve">9, </w:t>
      </w:r>
      <w:r w:rsidR="0062248F">
        <w:t>121</w:t>
      </w:r>
      <w:r w:rsidRPr="0FE8CA8C">
        <w:t>)</w:t>
      </w:r>
    </w:p>
    <w:p w14:paraId="0C59F738" w14:textId="774FCD12" w:rsidR="00D74559" w:rsidRPr="00BA23D8" w:rsidRDefault="00D74559" w:rsidP="000335E0">
      <w:pPr>
        <w:pStyle w:val="Heading2"/>
      </w:pPr>
      <w:bookmarkStart w:id="283" w:name="_Ref202787816"/>
      <w:bookmarkStart w:id="284" w:name="_Ref202790101"/>
      <w:bookmarkStart w:id="285" w:name="_Ref202791022"/>
      <w:bookmarkStart w:id="286" w:name="_Ref202792080"/>
      <w:bookmarkStart w:id="287" w:name="_Ref202792306"/>
      <w:bookmarkStart w:id="288" w:name="_Toc202899993"/>
      <w:r w:rsidRPr="00BA23D8">
        <w:t>Chapter 7</w:t>
      </w:r>
      <w:r w:rsidR="00A61FB9">
        <w:t>:</w:t>
      </w:r>
      <w:r w:rsidR="51123615">
        <w:t xml:space="preserve"> </w:t>
      </w:r>
      <w:r w:rsidRPr="00BA23D8">
        <w:t>Activities</w:t>
      </w:r>
      <w:bookmarkEnd w:id="283"/>
      <w:bookmarkEnd w:id="284"/>
      <w:bookmarkEnd w:id="285"/>
      <w:bookmarkEnd w:id="286"/>
      <w:bookmarkEnd w:id="287"/>
      <w:bookmarkEnd w:id="288"/>
    </w:p>
    <w:p w14:paraId="726DE4B9" w14:textId="77777777" w:rsidR="00D74559" w:rsidRPr="00D420F2" w:rsidRDefault="00D74559" w:rsidP="001D0F92">
      <w:pPr>
        <w:pStyle w:val="Heading-SupportingDocuments"/>
        <w:rPr>
          <w:rStyle w:val="Emphasis"/>
          <w:b/>
          <w:bCs w:val="0"/>
          <w:iCs w:val="0"/>
          <w:spacing w:val="3"/>
        </w:rPr>
      </w:pPr>
      <w:r w:rsidRPr="00D420F2">
        <w:rPr>
          <w:rStyle w:val="Emphasis"/>
          <w:b/>
          <w:iCs w:val="0"/>
          <w:spacing w:val="3"/>
        </w:rPr>
        <w:t>Supporting Documents for this Chapter</w:t>
      </w:r>
    </w:p>
    <w:p w14:paraId="7CEC950C" w14:textId="413DE36F" w:rsidR="00D74559" w:rsidRPr="00D420F2" w:rsidRDefault="00D74559" w:rsidP="00D420F2">
      <w:r w:rsidRPr="00D420F2">
        <w:t>Activity Management</w:t>
      </w:r>
    </w:p>
    <w:p w14:paraId="4D824518" w14:textId="413334E4" w:rsidR="00D74559" w:rsidRPr="008A3EB4" w:rsidRDefault="00D74559" w:rsidP="00620350">
      <w:pPr>
        <w:pStyle w:val="Bullet-SupportingDocument"/>
        <w:rPr>
          <w:rStyle w:val="Hyperlink"/>
        </w:rPr>
      </w:pPr>
      <w:r w:rsidRPr="008A3EB4">
        <w:rPr>
          <w:rStyle w:val="Hyperlink"/>
        </w:rPr>
        <w:t>WHS Incidents and Insurance Readers Guide – Providers</w:t>
      </w:r>
      <w:r w:rsidR="001A4CF5">
        <w:rPr>
          <w:rStyle w:val="Hyperlink"/>
        </w:rPr>
        <w:t xml:space="preserve"> [LINK]</w:t>
      </w:r>
    </w:p>
    <w:p w14:paraId="19A18A27" w14:textId="78D75971" w:rsidR="00D74559" w:rsidRDefault="00D74559" w:rsidP="00620350">
      <w:pPr>
        <w:pStyle w:val="Bullet-SupportingDocument"/>
        <w:rPr>
          <w:rStyle w:val="Hyperlink"/>
        </w:rPr>
      </w:pPr>
      <w:r w:rsidRPr="008A3EB4">
        <w:rPr>
          <w:rStyle w:val="Hyperlink"/>
        </w:rPr>
        <w:t>WHS Incidents and Insurance Readers Guide – Participants</w:t>
      </w:r>
      <w:r w:rsidR="001A4CF5">
        <w:rPr>
          <w:rStyle w:val="Hyperlink"/>
        </w:rPr>
        <w:t xml:space="preserve"> [LINK]</w:t>
      </w:r>
    </w:p>
    <w:p w14:paraId="39A51F04" w14:textId="0CAD4BF6" w:rsidR="00AF507D" w:rsidRDefault="00AF507D" w:rsidP="00620350">
      <w:pPr>
        <w:pStyle w:val="Bullet-SupportingDocument"/>
        <w:rPr>
          <w:rStyle w:val="Hyperlink"/>
        </w:rPr>
      </w:pPr>
      <w:r>
        <w:rPr>
          <w:rStyle w:val="Hyperlink"/>
        </w:rPr>
        <w:t xml:space="preserve">Provider Actions – </w:t>
      </w:r>
      <w:r w:rsidRPr="00AF507D">
        <w:rPr>
          <w:rStyle w:val="Hyperlink"/>
        </w:rPr>
        <w:t>Reporting attendance on behalf of a Participant</w:t>
      </w:r>
      <w:r>
        <w:rPr>
          <w:rStyle w:val="Hyperlink"/>
        </w:rPr>
        <w:t xml:space="preserve"> [LINK]</w:t>
      </w:r>
    </w:p>
    <w:p w14:paraId="2E404761" w14:textId="7507A220" w:rsidR="00B97A03" w:rsidRDefault="00B97A03" w:rsidP="00620350">
      <w:pPr>
        <w:pStyle w:val="Bullet-SupportingDocument"/>
        <w:rPr>
          <w:rStyle w:val="Hyperlink"/>
        </w:rPr>
      </w:pPr>
      <w:r w:rsidRPr="00B97A03">
        <w:rPr>
          <w:rStyle w:val="Hyperlink"/>
        </w:rPr>
        <w:t>Public and Products Liability Incident Report</w:t>
      </w:r>
      <w:r>
        <w:rPr>
          <w:rStyle w:val="Hyperlink"/>
        </w:rPr>
        <w:t xml:space="preserve"> [LINK]</w:t>
      </w:r>
    </w:p>
    <w:p w14:paraId="622EB12B" w14:textId="650435FB" w:rsidR="00C82A35" w:rsidRPr="008A3EB4" w:rsidRDefault="00C82A35" w:rsidP="00620350">
      <w:pPr>
        <w:pStyle w:val="Bullet-SupportingDocument"/>
        <w:rPr>
          <w:rStyle w:val="Hyperlink"/>
        </w:rPr>
      </w:pPr>
      <w:r w:rsidRPr="00C82A35">
        <w:rPr>
          <w:rStyle w:val="Hyperlink"/>
        </w:rPr>
        <w:t>Public and Products Liability Claim Form</w:t>
      </w:r>
      <w:r>
        <w:rPr>
          <w:rStyle w:val="Hyperlink"/>
        </w:rPr>
        <w:t xml:space="preserve"> [LINK]</w:t>
      </w:r>
    </w:p>
    <w:p w14:paraId="46B8F6CE" w14:textId="77777777" w:rsidR="00507564" w:rsidRPr="00D420F2" w:rsidRDefault="00507564" w:rsidP="00507564">
      <w:r w:rsidRPr="00D420F2">
        <w:t>Skills for Education and Employment (SEE)</w:t>
      </w:r>
    </w:p>
    <w:p w14:paraId="14EDD679" w14:textId="1CC2F9FD" w:rsidR="00507564" w:rsidRPr="008A3EB4" w:rsidRDefault="00507564" w:rsidP="00507564">
      <w:pPr>
        <w:pStyle w:val="Bullet-SupportingDocument"/>
        <w:rPr>
          <w:rStyle w:val="Hyperlink"/>
        </w:rPr>
      </w:pPr>
      <w:r w:rsidRPr="008A3EB4">
        <w:rPr>
          <w:rStyle w:val="Hyperlink"/>
        </w:rPr>
        <w:t>SEE Participant Fact Sheet</w:t>
      </w:r>
      <w:r w:rsidR="001A4CF5">
        <w:rPr>
          <w:rStyle w:val="Hyperlink"/>
        </w:rPr>
        <w:t xml:space="preserve"> [LINK]</w:t>
      </w:r>
    </w:p>
    <w:p w14:paraId="03498C2B" w14:textId="77777777" w:rsidR="00507564" w:rsidRDefault="00507564" w:rsidP="00507564">
      <w:pPr>
        <w:pStyle w:val="Bullet-SupportingDocument"/>
        <w:rPr>
          <w:rStyle w:val="Hyperlink"/>
        </w:rPr>
      </w:pPr>
      <w:r w:rsidRPr="008A3EB4">
        <w:rPr>
          <w:rStyle w:val="Hyperlink"/>
        </w:rPr>
        <w:t>Differentiating between AMEP and SEE Provider Fact Sheet</w:t>
      </w:r>
    </w:p>
    <w:p w14:paraId="11B4030E" w14:textId="32AC8610" w:rsidR="00241AAF" w:rsidRPr="008A3EB4" w:rsidRDefault="00241AAF" w:rsidP="00507564">
      <w:pPr>
        <w:pStyle w:val="Bullet-SupportingDocument"/>
        <w:rPr>
          <w:rStyle w:val="Hyperlink"/>
        </w:rPr>
      </w:pPr>
      <w:r>
        <w:rPr>
          <w:rStyle w:val="Hyperlink"/>
        </w:rPr>
        <w:t>Provider Actions – Referral to SEE</w:t>
      </w:r>
    </w:p>
    <w:p w14:paraId="653DCB3D" w14:textId="53ECDF43" w:rsidR="00D74559" w:rsidRPr="00D420F2" w:rsidRDefault="00D74559" w:rsidP="00D420F2">
      <w:r w:rsidRPr="00D420F2">
        <w:t>Employability Skills Training (EST)</w:t>
      </w:r>
    </w:p>
    <w:p w14:paraId="0EAAD188" w14:textId="08E18488" w:rsidR="00D74559" w:rsidRPr="008A3EB4" w:rsidRDefault="00D74559" w:rsidP="00620350">
      <w:pPr>
        <w:pStyle w:val="Bullet-SupportingDocument"/>
        <w:rPr>
          <w:rStyle w:val="Hyperlink"/>
        </w:rPr>
      </w:pPr>
      <w:r w:rsidRPr="008A3EB4">
        <w:rPr>
          <w:rStyle w:val="Hyperlink"/>
        </w:rPr>
        <w:t>EST Information for Providers</w:t>
      </w:r>
      <w:r w:rsidR="001A4CF5">
        <w:rPr>
          <w:rStyle w:val="Hyperlink"/>
        </w:rPr>
        <w:t xml:space="preserve"> [LINK]</w:t>
      </w:r>
    </w:p>
    <w:p w14:paraId="4A35173C" w14:textId="3BDB9034" w:rsidR="00D74559" w:rsidRDefault="00D74559" w:rsidP="00620350">
      <w:pPr>
        <w:pStyle w:val="Bullet-SupportingDocument"/>
        <w:rPr>
          <w:rStyle w:val="Hyperlink"/>
        </w:rPr>
      </w:pPr>
      <w:r w:rsidRPr="008A3EB4">
        <w:rPr>
          <w:rStyle w:val="Hyperlink"/>
        </w:rPr>
        <w:t>EST Participant Fact Sheet</w:t>
      </w:r>
      <w:r w:rsidR="001A4CF5">
        <w:rPr>
          <w:rStyle w:val="Hyperlink"/>
        </w:rPr>
        <w:t xml:space="preserve"> [LINK]</w:t>
      </w:r>
    </w:p>
    <w:p w14:paraId="43BB9D63" w14:textId="07A87566" w:rsidR="00693ABD" w:rsidRPr="008A3EB4" w:rsidRDefault="00693ABD" w:rsidP="00620350">
      <w:pPr>
        <w:pStyle w:val="Bullet-SupportingDocument"/>
        <w:rPr>
          <w:rStyle w:val="Hyperlink"/>
        </w:rPr>
      </w:pPr>
      <w:r>
        <w:rPr>
          <w:rStyle w:val="Hyperlink"/>
        </w:rPr>
        <w:t>Provider Actions – Referral to EST or CTA [LINK]</w:t>
      </w:r>
    </w:p>
    <w:p w14:paraId="51D8C428" w14:textId="642133AB" w:rsidR="00D74559" w:rsidRPr="00D420F2" w:rsidRDefault="00D74559" w:rsidP="00D420F2">
      <w:r w:rsidRPr="00D420F2">
        <w:t>Career Transition Assistance (CTA)</w:t>
      </w:r>
    </w:p>
    <w:p w14:paraId="03EA1EF5" w14:textId="0A17A338" w:rsidR="00D74559" w:rsidRPr="008A3EB4" w:rsidRDefault="00D74559" w:rsidP="00620350">
      <w:pPr>
        <w:pStyle w:val="Bullet-SupportingDocument"/>
        <w:rPr>
          <w:rStyle w:val="Hyperlink"/>
        </w:rPr>
      </w:pPr>
      <w:r w:rsidRPr="008A3EB4">
        <w:rPr>
          <w:rStyle w:val="Hyperlink"/>
        </w:rPr>
        <w:t>CTA Information for Providers</w:t>
      </w:r>
      <w:r w:rsidR="001A4CF5">
        <w:rPr>
          <w:rStyle w:val="Hyperlink"/>
        </w:rPr>
        <w:t xml:space="preserve"> [LINK]</w:t>
      </w:r>
    </w:p>
    <w:p w14:paraId="47B24A1C" w14:textId="43127E30" w:rsidR="00D74559" w:rsidRDefault="00D74559" w:rsidP="00620350">
      <w:pPr>
        <w:pStyle w:val="Bullet-SupportingDocument"/>
        <w:rPr>
          <w:rStyle w:val="Hyperlink"/>
        </w:rPr>
      </w:pPr>
      <w:r w:rsidRPr="008A3EB4">
        <w:rPr>
          <w:rStyle w:val="Hyperlink"/>
        </w:rPr>
        <w:t>CTA Participant Fact Sheet</w:t>
      </w:r>
      <w:r w:rsidR="001A4CF5">
        <w:rPr>
          <w:rStyle w:val="Hyperlink"/>
        </w:rPr>
        <w:t xml:space="preserve"> [LINK]</w:t>
      </w:r>
    </w:p>
    <w:p w14:paraId="0C3DD14E" w14:textId="3A936292" w:rsidR="00693ABD" w:rsidRPr="008A3EB4" w:rsidRDefault="00693ABD" w:rsidP="00620350">
      <w:pPr>
        <w:pStyle w:val="Bullet-SupportingDocument"/>
        <w:rPr>
          <w:rStyle w:val="Hyperlink"/>
        </w:rPr>
      </w:pPr>
      <w:r>
        <w:rPr>
          <w:rStyle w:val="Hyperlink"/>
        </w:rPr>
        <w:t>Provider Actions – Referral to EST or CTA [LINK]</w:t>
      </w:r>
    </w:p>
    <w:p w14:paraId="1BA463BF" w14:textId="77777777" w:rsidR="00D74559" w:rsidRPr="00D420F2" w:rsidRDefault="00D74559" w:rsidP="00D420F2">
      <w:r w:rsidRPr="00D420F2">
        <w:t>Self-Employment Assistance (S-EA)</w:t>
      </w:r>
    </w:p>
    <w:p w14:paraId="0C9344C5" w14:textId="0C7EA868" w:rsidR="00D74559" w:rsidRPr="008A3EB4" w:rsidRDefault="00D74559" w:rsidP="00620350">
      <w:pPr>
        <w:pStyle w:val="Bullet-SupportingDocument"/>
        <w:rPr>
          <w:rStyle w:val="Hyperlink"/>
        </w:rPr>
      </w:pPr>
      <w:r w:rsidRPr="008A3EB4">
        <w:rPr>
          <w:rStyle w:val="Hyperlink"/>
        </w:rPr>
        <w:t>SE-A Participant Fact Sheet</w:t>
      </w:r>
      <w:r w:rsidR="001A4CF5">
        <w:rPr>
          <w:rStyle w:val="Hyperlink"/>
        </w:rPr>
        <w:t xml:space="preserve"> [LINK]</w:t>
      </w:r>
    </w:p>
    <w:p w14:paraId="4201DCF7" w14:textId="77777777" w:rsidR="00D74559" w:rsidRPr="00D420F2" w:rsidRDefault="00D74559" w:rsidP="00D420F2">
      <w:r w:rsidRPr="00D420F2">
        <w:t>Specified Activities - Observational Work Experience (OWE) and Provider Sourced Voluntary Work</w:t>
      </w:r>
    </w:p>
    <w:p w14:paraId="5C86C453" w14:textId="38852A89" w:rsidR="00D74559" w:rsidRPr="008A3EB4" w:rsidRDefault="00D74559" w:rsidP="00620350">
      <w:pPr>
        <w:pStyle w:val="Bullet-SupportingDocument"/>
        <w:rPr>
          <w:rStyle w:val="Hyperlink"/>
        </w:rPr>
      </w:pPr>
      <w:r w:rsidRPr="008A3EB4">
        <w:rPr>
          <w:rStyle w:val="Hyperlink"/>
        </w:rPr>
        <w:t>OWE Host Agreement template</w:t>
      </w:r>
      <w:r w:rsidR="001A4CF5">
        <w:rPr>
          <w:rStyle w:val="Hyperlink"/>
        </w:rPr>
        <w:t xml:space="preserve"> [LINK]</w:t>
      </w:r>
    </w:p>
    <w:p w14:paraId="392680C4" w14:textId="05BAF7D4" w:rsidR="00D74559" w:rsidRPr="008A3EB4" w:rsidRDefault="00D74559" w:rsidP="00620350">
      <w:pPr>
        <w:pStyle w:val="Bullet-SupportingDocument"/>
        <w:rPr>
          <w:rStyle w:val="Hyperlink"/>
        </w:rPr>
      </w:pPr>
      <w:r w:rsidRPr="008A3EB4">
        <w:rPr>
          <w:rStyle w:val="Hyperlink"/>
        </w:rPr>
        <w:t>Voluntary Work Host Agreement template</w:t>
      </w:r>
      <w:r w:rsidR="001A4CF5">
        <w:rPr>
          <w:rStyle w:val="Hyperlink"/>
        </w:rPr>
        <w:t xml:space="preserve"> [LINK]</w:t>
      </w:r>
    </w:p>
    <w:p w14:paraId="1526A62A" w14:textId="4AE3F938" w:rsidR="00D74559" w:rsidRPr="008A3EB4" w:rsidRDefault="00D74559" w:rsidP="00620350">
      <w:pPr>
        <w:pStyle w:val="Bullet-SupportingDocument"/>
        <w:rPr>
          <w:rStyle w:val="Hyperlink"/>
        </w:rPr>
      </w:pPr>
      <w:r w:rsidRPr="008A3EB4">
        <w:rPr>
          <w:rStyle w:val="Hyperlink"/>
        </w:rPr>
        <w:t>OWE Participant Fact Sheet</w:t>
      </w:r>
      <w:r w:rsidR="001A4CF5">
        <w:rPr>
          <w:rStyle w:val="Hyperlink"/>
        </w:rPr>
        <w:t xml:space="preserve"> [LINK]</w:t>
      </w:r>
    </w:p>
    <w:p w14:paraId="06C14D43" w14:textId="77777777" w:rsidR="00D74559" w:rsidRPr="00D420F2" w:rsidRDefault="00D74559" w:rsidP="00D420F2">
      <w:r w:rsidRPr="00D420F2">
        <w:t>Risk Assessments</w:t>
      </w:r>
    </w:p>
    <w:p w14:paraId="40BDB910" w14:textId="77DD4993" w:rsidR="00D74559" w:rsidRPr="008A3EB4" w:rsidRDefault="00D74559" w:rsidP="00620350">
      <w:pPr>
        <w:pStyle w:val="Bullet-SupportingDocument"/>
        <w:rPr>
          <w:rStyle w:val="Hyperlink"/>
        </w:rPr>
      </w:pPr>
      <w:r w:rsidRPr="008A3EB4">
        <w:rPr>
          <w:rStyle w:val="Hyperlink"/>
        </w:rPr>
        <w:t>Risk Assessment example template</w:t>
      </w:r>
      <w:r w:rsidR="001A4CF5">
        <w:rPr>
          <w:rStyle w:val="Hyperlink"/>
        </w:rPr>
        <w:t xml:space="preserve"> [LINK]</w:t>
      </w:r>
    </w:p>
    <w:p w14:paraId="49717DB8" w14:textId="413A492D" w:rsidR="00D74559" w:rsidRPr="008A3EB4" w:rsidRDefault="00D74559" w:rsidP="00620350">
      <w:pPr>
        <w:pStyle w:val="Bullet-SupportingDocument"/>
        <w:rPr>
          <w:rStyle w:val="Hyperlink"/>
        </w:rPr>
      </w:pPr>
      <w:r w:rsidRPr="008A3EB4">
        <w:rPr>
          <w:rStyle w:val="Hyperlink"/>
        </w:rPr>
        <w:t xml:space="preserve">Competent Person(s) </w:t>
      </w:r>
      <w:r w:rsidR="00C27A05">
        <w:rPr>
          <w:rStyle w:val="Hyperlink"/>
        </w:rPr>
        <w:t>r</w:t>
      </w:r>
      <w:r w:rsidRPr="008A3EB4">
        <w:rPr>
          <w:rStyle w:val="Hyperlink"/>
        </w:rPr>
        <w:t>egister</w:t>
      </w:r>
      <w:r w:rsidR="00957D9F">
        <w:rPr>
          <w:rStyle w:val="Hyperlink"/>
        </w:rPr>
        <w:t xml:space="preserve"> example</w:t>
      </w:r>
      <w:r w:rsidRPr="008A3EB4">
        <w:rPr>
          <w:rStyle w:val="Hyperlink"/>
        </w:rPr>
        <w:t xml:space="preserve"> template</w:t>
      </w:r>
      <w:r w:rsidR="001A4CF5">
        <w:rPr>
          <w:rStyle w:val="Hyperlink"/>
        </w:rPr>
        <w:t xml:space="preserve"> [LINK]</w:t>
      </w:r>
    </w:p>
    <w:p w14:paraId="21F0CCB2" w14:textId="4D3A5CAC" w:rsidR="00D74559" w:rsidRDefault="00D74559" w:rsidP="001D0F92">
      <w:pPr>
        <w:pStyle w:val="Heading3"/>
        <w:rPr>
          <w:rFonts w:ascii="Tahoma" w:eastAsia="Tahoma" w:hAnsi="Tahoma" w:cs="Tahoma"/>
          <w:color w:val="00838A" w:themeColor="accent2" w:themeShade="BF"/>
        </w:rPr>
      </w:pPr>
      <w:bookmarkStart w:id="289" w:name="_Toc202899994"/>
      <w:r>
        <w:t>7.1</w:t>
      </w:r>
      <w:r w:rsidR="00D420F2">
        <w:tab/>
      </w:r>
      <w:r>
        <w:t>Chapter Overview</w:t>
      </w:r>
      <w:bookmarkEnd w:id="289"/>
    </w:p>
    <w:p w14:paraId="63CBFE19" w14:textId="77777777" w:rsidR="00460575" w:rsidRDefault="00460575" w:rsidP="00460575">
      <w:r w:rsidRPr="00B018E3">
        <w:rPr>
          <w:rFonts w:ascii="Tahoma" w:eastAsia="Tahoma" w:hAnsi="Tahoma" w:cs="Tahoma"/>
        </w:rPr>
        <w:t>This Chapter</w:t>
      </w:r>
      <w:r>
        <w:rPr>
          <w:rFonts w:ascii="Tahoma" w:eastAsia="Tahoma" w:hAnsi="Tahoma" w:cs="Tahoma"/>
        </w:rPr>
        <w:t xml:space="preserve"> </w:t>
      </w:r>
      <w:r w:rsidRPr="2CC6209F">
        <w:t>outlines the requirements for the Provider when setting up and managing Activities</w:t>
      </w:r>
      <w:r>
        <w:t>.</w:t>
      </w:r>
    </w:p>
    <w:p w14:paraId="2DE97BC4" w14:textId="5F371311" w:rsidR="00D74559" w:rsidRDefault="00D74559" w:rsidP="006E2EF5">
      <w:r>
        <w:t xml:space="preserve">Participating in Activities while in Pre-Employment Support helps Participants to improve their skills and </w:t>
      </w:r>
      <w:r w:rsidR="4E964F1D">
        <w:t xml:space="preserve">experience </w:t>
      </w:r>
      <w:r w:rsidR="2989D254">
        <w:t>as part of a pathway to</w:t>
      </w:r>
      <w:r>
        <w:t xml:space="preserve"> find and maintain Employment. Activities can also develop a Participant’s ability to work independently, communicate effectively, </w:t>
      </w:r>
      <w:r w:rsidR="625103D1">
        <w:t xml:space="preserve">take directions from a supervisor </w:t>
      </w:r>
      <w:r>
        <w:t>and work as part of a team.</w:t>
      </w:r>
    </w:p>
    <w:p w14:paraId="713DE365" w14:textId="6A23BAE9" w:rsidR="00D74559" w:rsidRDefault="4D42088D" w:rsidP="2A704FDC">
      <w:pPr>
        <w:rPr>
          <w:rFonts w:eastAsiaTheme="minorEastAsia"/>
        </w:rPr>
      </w:pPr>
      <w:r>
        <w:t xml:space="preserve">During </w:t>
      </w:r>
      <w:r w:rsidR="00D74559">
        <w:t xml:space="preserve">a Participant’s period in Pre-Employment </w:t>
      </w:r>
      <w:r w:rsidR="0055623A">
        <w:t>Support</w:t>
      </w:r>
      <w:r w:rsidR="00D74559">
        <w:t xml:space="preserve">, Providers must arrange Activities for Participants according to their individual circumstances and </w:t>
      </w:r>
      <w:r w:rsidR="00C001E8">
        <w:t xml:space="preserve">assessed </w:t>
      </w:r>
      <w:r w:rsidR="00D74559">
        <w:t>work capacit</w:t>
      </w:r>
      <w:r w:rsidR="00D74559" w:rsidRPr="2A704FDC">
        <w:rPr>
          <w:rFonts w:eastAsiaTheme="minorEastAsia"/>
        </w:rPr>
        <w:t>y</w:t>
      </w:r>
      <w:r w:rsidR="00D74559">
        <w:t>.</w:t>
      </w:r>
      <w:r w:rsidR="00D74559" w:rsidRPr="2A704FDC">
        <w:rPr>
          <w:rFonts w:eastAsiaTheme="minorEastAsia"/>
        </w:rPr>
        <w:t xml:space="preserve"> </w:t>
      </w:r>
      <w:r w:rsidR="1A79D1A4" w:rsidRPr="3703EDEE">
        <w:rPr>
          <w:rFonts w:eastAsiaTheme="minorEastAsia"/>
        </w:rPr>
        <w:t xml:space="preserve">These </w:t>
      </w:r>
      <w:r w:rsidR="7141071E" w:rsidRPr="3703EDEE">
        <w:rPr>
          <w:rFonts w:eastAsiaTheme="minorEastAsia"/>
        </w:rPr>
        <w:t>can</w:t>
      </w:r>
      <w:r w:rsidR="7141071E" w:rsidRPr="2A704FDC">
        <w:rPr>
          <w:rFonts w:eastAsiaTheme="minorEastAsia"/>
        </w:rPr>
        <w:t xml:space="preserve"> </w:t>
      </w:r>
      <w:r w:rsidR="6C4424F2" w:rsidRPr="6E3C0CC3">
        <w:rPr>
          <w:rFonts w:eastAsiaTheme="minorEastAsia"/>
        </w:rPr>
        <w:t>be</w:t>
      </w:r>
      <w:r w:rsidR="00D74559" w:rsidRPr="2A704FDC">
        <w:rPr>
          <w:rFonts w:eastAsiaTheme="minorEastAsia"/>
        </w:rPr>
        <w:t xml:space="preserve"> both Vocational and Non-vocational Activities and Interventions </w:t>
      </w:r>
      <w:r w:rsidR="13A8E688" w:rsidRPr="2A704FDC">
        <w:rPr>
          <w:rFonts w:eastAsiaTheme="minorEastAsia"/>
        </w:rPr>
        <w:t xml:space="preserve">designed </w:t>
      </w:r>
      <w:r w:rsidR="00D74559" w:rsidRPr="2A704FDC">
        <w:rPr>
          <w:rFonts w:eastAsiaTheme="minorEastAsia"/>
        </w:rPr>
        <w:t xml:space="preserve">to </w:t>
      </w:r>
      <w:r w:rsidR="4BE7914C" w:rsidRPr="2A704FDC">
        <w:rPr>
          <w:rFonts w:eastAsiaTheme="minorEastAsia"/>
        </w:rPr>
        <w:t>assist Participants address their individual barriers and help them progress toward</w:t>
      </w:r>
      <w:r w:rsidR="7067E596" w:rsidRPr="2A704FDC">
        <w:rPr>
          <w:rFonts w:eastAsiaTheme="minorEastAsia"/>
        </w:rPr>
        <w:t>s</w:t>
      </w:r>
      <w:r w:rsidR="4BE7914C" w:rsidRPr="2A704FDC">
        <w:rPr>
          <w:rFonts w:eastAsiaTheme="minorEastAsia"/>
        </w:rPr>
        <w:t xml:space="preserve"> Employment.</w:t>
      </w:r>
      <w:r w:rsidR="00D74559" w:rsidRPr="2A704FDC">
        <w:rPr>
          <w:rFonts w:eastAsiaTheme="minorEastAsia"/>
        </w:rPr>
        <w:t xml:space="preserve"> </w:t>
      </w:r>
    </w:p>
    <w:p w14:paraId="15E7374B" w14:textId="0782B02D" w:rsidR="00D74559" w:rsidRDefault="00696254" w:rsidP="006E2EF5">
      <w:pPr>
        <w:rPr>
          <w:rFonts w:ascii="Tahoma" w:eastAsia="Tahoma" w:hAnsi="Tahoma" w:cs="Tahoma"/>
          <w:highlight w:val="yellow"/>
          <w:u w:val="single"/>
        </w:rPr>
      </w:pPr>
      <w:r>
        <w:t xml:space="preserve">To ensure the successful delivery of Activities, </w:t>
      </w:r>
      <w:r w:rsidR="00D74559">
        <w:t>Provider</w:t>
      </w:r>
      <w:r w:rsidR="21A46E06">
        <w:t>s</w:t>
      </w:r>
      <w:r w:rsidR="00D74559">
        <w:t xml:space="preserve"> should seek to develop and maintain effective relationships in their local areas with Complementary </w:t>
      </w:r>
      <w:r w:rsidR="00FB6C2D">
        <w:t>p</w:t>
      </w:r>
      <w:r w:rsidR="00D74559">
        <w:t xml:space="preserve">rogram </w:t>
      </w:r>
      <w:r w:rsidR="002570B3">
        <w:t>p</w:t>
      </w:r>
      <w:r w:rsidR="00D74559">
        <w:t xml:space="preserve">roviders, private and community-based service </w:t>
      </w:r>
      <w:r w:rsidR="00F6312C">
        <w:t>p</w:t>
      </w:r>
      <w:r w:rsidR="00D74559">
        <w:t>roviders, Education and Training institutions</w:t>
      </w:r>
      <w:r>
        <w:t>,</w:t>
      </w:r>
      <w:r w:rsidR="00D74559">
        <w:t xml:space="preserve"> and other organisations and service </w:t>
      </w:r>
      <w:r w:rsidR="00054309">
        <w:t>p</w:t>
      </w:r>
      <w:r w:rsidR="00D74559">
        <w:t>roviders.</w:t>
      </w:r>
    </w:p>
    <w:p w14:paraId="7029E3AB" w14:textId="528EEBA0" w:rsidR="00D74559" w:rsidRPr="00B018E3" w:rsidRDefault="00D74559" w:rsidP="006E2EF5">
      <w:r w:rsidRPr="00C7445A">
        <w:t>This Chapter should be read in conjunction with</w:t>
      </w:r>
      <w:r w:rsidR="00C7445A" w:rsidRPr="00C7445A">
        <w:t xml:space="preserve"> </w:t>
      </w:r>
      <w:r w:rsidR="00C7445A" w:rsidRPr="00C7445A">
        <w:fldChar w:fldCharType="begin"/>
      </w:r>
      <w:r w:rsidR="00C7445A" w:rsidRPr="00C7445A">
        <w:instrText xml:space="preserve"> REF _Ref202783027 \h </w:instrText>
      </w:r>
      <w:r w:rsidR="00C7445A">
        <w:instrText xml:space="preserve"> \* MERGEFORMAT </w:instrText>
      </w:r>
      <w:r w:rsidR="00C7445A" w:rsidRPr="00C7445A">
        <w:fldChar w:fldCharType="separate"/>
      </w:r>
      <w:r w:rsidR="000D75AE" w:rsidRPr="00BA23D8">
        <w:t>Chapter 5</w:t>
      </w:r>
      <w:r w:rsidR="000D75AE">
        <w:t>:</w:t>
      </w:r>
      <w:r w:rsidR="000D75AE" w:rsidRPr="00BA23D8">
        <w:t>Participation requirements</w:t>
      </w:r>
      <w:r w:rsidR="00C7445A" w:rsidRPr="00C7445A">
        <w:fldChar w:fldCharType="end"/>
      </w:r>
      <w:r w:rsidR="00C7445A" w:rsidRPr="00C7445A">
        <w:t xml:space="preserve"> and </w:t>
      </w:r>
      <w:r w:rsidR="00C7445A" w:rsidRPr="00C7445A">
        <w:fldChar w:fldCharType="begin"/>
      </w:r>
      <w:r w:rsidR="00C7445A" w:rsidRPr="00C7445A">
        <w:instrText xml:space="preserve"> REF _Ref202784175 \h </w:instrText>
      </w:r>
      <w:r w:rsidR="00C7445A">
        <w:instrText xml:space="preserve"> \* MERGEFORMAT </w:instrText>
      </w:r>
      <w:r w:rsidR="00C7445A" w:rsidRPr="00C7445A">
        <w:fldChar w:fldCharType="separate"/>
      </w:r>
      <w:r w:rsidR="000D75AE" w:rsidRPr="00BA23D8">
        <w:t>Chapter 6</w:t>
      </w:r>
      <w:r w:rsidR="000D75AE">
        <w:t>:</w:t>
      </w:r>
      <w:r w:rsidR="000D75AE" w:rsidRPr="00BA23D8">
        <w:t>Pre-Employment Support</w:t>
      </w:r>
      <w:r w:rsidR="00C7445A" w:rsidRPr="00C7445A">
        <w:fldChar w:fldCharType="end"/>
      </w:r>
      <w:r w:rsidRPr="00C7445A">
        <w:t>.</w:t>
      </w:r>
    </w:p>
    <w:p w14:paraId="121010E2" w14:textId="1AAD5776" w:rsidR="00D74559" w:rsidRDefault="00D74559" w:rsidP="001D0F92">
      <w:pPr>
        <w:pStyle w:val="Heading3"/>
      </w:pPr>
      <w:bookmarkStart w:id="290" w:name="_Toc182576245"/>
      <w:bookmarkStart w:id="291" w:name="_Toc202899995"/>
      <w:r>
        <w:t>7.2</w:t>
      </w:r>
      <w:r w:rsidR="00D420F2">
        <w:tab/>
      </w:r>
      <w:r>
        <w:t>Types of Activities</w:t>
      </w:r>
      <w:bookmarkEnd w:id="290"/>
      <w:bookmarkEnd w:id="291"/>
    </w:p>
    <w:p w14:paraId="0D646806" w14:textId="301F9666" w:rsidR="00D74559" w:rsidRDefault="7EA092CF" w:rsidP="00D420F2">
      <w:r>
        <w:t>Providers can refer Participants to</w:t>
      </w:r>
      <w:r w:rsidR="00D74559">
        <w:t xml:space="preserve"> a wide range of Activities as part of </w:t>
      </w:r>
      <w:r w:rsidR="00353F8E">
        <w:t>Inclusive Employment Australia</w:t>
      </w:r>
      <w:r w:rsidR="00D74559">
        <w:t>.</w:t>
      </w:r>
    </w:p>
    <w:p w14:paraId="5FF77150" w14:textId="77777777" w:rsidR="00D74559" w:rsidRPr="00FB7CD7" w:rsidRDefault="00D74559" w:rsidP="00D420F2">
      <w:pPr>
        <w:rPr>
          <w:rFonts w:cstheme="minorHAnsi"/>
        </w:rPr>
      </w:pPr>
      <w:r w:rsidRPr="00FB7CD7">
        <w:rPr>
          <w:rFonts w:cstheme="minorHAnsi"/>
        </w:rPr>
        <w:t xml:space="preserve">Some </w:t>
      </w:r>
      <w:r>
        <w:rPr>
          <w:rFonts w:cstheme="minorHAnsi"/>
        </w:rPr>
        <w:t>A</w:t>
      </w:r>
      <w:r w:rsidRPr="00FB7CD7">
        <w:rPr>
          <w:rFonts w:cstheme="minorHAnsi"/>
        </w:rPr>
        <w:t xml:space="preserve">ctivities </w:t>
      </w:r>
      <w:r>
        <w:rPr>
          <w:rFonts w:cstheme="minorHAnsi"/>
        </w:rPr>
        <w:t>have requirements for Providers within the Deed</w:t>
      </w:r>
      <w:r w:rsidRPr="00FB7CD7">
        <w:rPr>
          <w:rFonts w:cstheme="minorHAnsi"/>
        </w:rPr>
        <w:t xml:space="preserve">. </w:t>
      </w:r>
      <w:r>
        <w:rPr>
          <w:rFonts w:cstheme="minorHAnsi"/>
        </w:rPr>
        <w:t>In these Guidelines, these</w:t>
      </w:r>
      <w:r w:rsidRPr="00FB7CD7">
        <w:rPr>
          <w:rFonts w:cstheme="minorHAnsi"/>
        </w:rPr>
        <w:t xml:space="preserve"> </w:t>
      </w:r>
      <w:r>
        <w:rPr>
          <w:rFonts w:cstheme="minorHAnsi"/>
        </w:rPr>
        <w:t>are referred to as</w:t>
      </w:r>
      <w:r w:rsidRPr="00FB7CD7">
        <w:rPr>
          <w:rFonts w:cstheme="minorHAnsi"/>
        </w:rPr>
        <w:t>:</w:t>
      </w:r>
    </w:p>
    <w:p w14:paraId="32C300AD" w14:textId="7B0AD822" w:rsidR="00D74559" w:rsidRPr="00FB7CD7" w:rsidRDefault="00D74559" w:rsidP="004E120D">
      <w:pPr>
        <w:pStyle w:val="BulletLevel1"/>
      </w:pPr>
      <w:r>
        <w:t xml:space="preserve">‘Complementary Activities’ – delivered by a Complementary </w:t>
      </w:r>
      <w:r w:rsidR="00E01B67">
        <w:t>p</w:t>
      </w:r>
      <w:r>
        <w:t>rogram provider contracted to deliver programs, activities or services, or</w:t>
      </w:r>
    </w:p>
    <w:p w14:paraId="7DFDB4ED" w14:textId="77777777" w:rsidR="00D74559" w:rsidRPr="00FB7CD7" w:rsidRDefault="00D74559" w:rsidP="004E120D">
      <w:pPr>
        <w:pStyle w:val="BulletLevel1"/>
      </w:pPr>
      <w:r w:rsidRPr="5F191F2A">
        <w:t xml:space="preserve">‘Specified </w:t>
      </w:r>
      <w:r>
        <w:t>A</w:t>
      </w:r>
      <w:r w:rsidRPr="5F191F2A">
        <w:t>ctivities</w:t>
      </w:r>
      <w:r>
        <w:t>’</w:t>
      </w:r>
      <w:r w:rsidRPr="5F191F2A">
        <w:t xml:space="preserve"> – delivered by a </w:t>
      </w:r>
      <w:r w:rsidRPr="00A11E5A">
        <w:t>Host Organisation</w:t>
      </w:r>
      <w:r w:rsidRPr="5F191F2A">
        <w:t xml:space="preserve"> under an agreement with the </w:t>
      </w:r>
      <w:r>
        <w:t>P</w:t>
      </w:r>
      <w:r w:rsidRPr="5F191F2A">
        <w:t>rovider</w:t>
      </w:r>
      <w:r>
        <w:t>.</w:t>
      </w:r>
    </w:p>
    <w:p w14:paraId="0912DE43" w14:textId="66AC6AD1" w:rsidR="00D74559" w:rsidRPr="00FB7CD7" w:rsidRDefault="00D74559" w:rsidP="00D420F2">
      <w:r w:rsidRPr="00FB7CD7">
        <w:t xml:space="preserve">Participants undertaking </w:t>
      </w:r>
      <w:r>
        <w:t>Complementary</w:t>
      </w:r>
      <w:r w:rsidRPr="00FB7CD7">
        <w:t xml:space="preserve"> and </w:t>
      </w:r>
      <w:r>
        <w:t>S</w:t>
      </w:r>
      <w:r w:rsidRPr="00FB7CD7">
        <w:t xml:space="preserve">pecified </w:t>
      </w:r>
      <w:r>
        <w:t>A</w:t>
      </w:r>
      <w:r w:rsidRPr="00FB7CD7">
        <w:t>ctivities are covered by insurance policies taken out by the Department</w:t>
      </w:r>
      <w:r>
        <w:t xml:space="preserve">, as outlined in </w:t>
      </w:r>
      <w:r w:rsidR="00C7445A">
        <w:fldChar w:fldCharType="begin"/>
      </w:r>
      <w:r w:rsidR="00C7445A">
        <w:instrText xml:space="preserve"> REF _Ref202794461 \h </w:instrText>
      </w:r>
      <w:r w:rsidR="00C7445A">
        <w:fldChar w:fldCharType="separate"/>
      </w:r>
      <w:r w:rsidR="000D75AE">
        <w:t>7.8.5</w:t>
      </w:r>
      <w:r w:rsidR="00D04BBA">
        <w:t xml:space="preserve"> </w:t>
      </w:r>
      <w:r w:rsidR="000D75AE">
        <w:t>Insurance for Activities</w:t>
      </w:r>
      <w:r w:rsidR="00C7445A">
        <w:fldChar w:fldCharType="end"/>
      </w:r>
      <w:r>
        <w:t xml:space="preserve"> and the </w:t>
      </w:r>
      <w:r w:rsidR="00765777" w:rsidRPr="008A3EB4">
        <w:rPr>
          <w:rStyle w:val="Hyperlink"/>
        </w:rPr>
        <w:t>WHS Incidents and Insurance Readers Guide – Providers</w:t>
      </w:r>
      <w:r w:rsidR="00765777">
        <w:rPr>
          <w:rStyle w:val="Hyperlink"/>
        </w:rPr>
        <w:t xml:space="preserve"> [LINK]</w:t>
      </w:r>
      <w:r w:rsidR="00765777">
        <w:t xml:space="preserve"> s</w:t>
      </w:r>
      <w:r>
        <w:t>upporting document on the Provider Portal</w:t>
      </w:r>
      <w:r w:rsidRPr="00FB7CD7">
        <w:t xml:space="preserve">. The insurance is available because the </w:t>
      </w:r>
      <w:r w:rsidR="78136FFF">
        <w:t>A</w:t>
      </w:r>
      <w:r w:rsidRPr="00FB7CD7">
        <w:t>ctivities take place under set rules.</w:t>
      </w:r>
    </w:p>
    <w:p w14:paraId="33E5750D" w14:textId="4709CB37" w:rsidR="00D74559" w:rsidRPr="00C70AB8" w:rsidRDefault="00D74559" w:rsidP="00D420F2">
      <w:r>
        <w:t xml:space="preserve">Providers can also arrange </w:t>
      </w:r>
      <w:r w:rsidR="10BA0366">
        <w:t>A</w:t>
      </w:r>
      <w:r>
        <w:t xml:space="preserve">ctivities that do not have set rules. These ‘other’ </w:t>
      </w:r>
      <w:r w:rsidR="12A84C18">
        <w:t>A</w:t>
      </w:r>
      <w:r>
        <w:t xml:space="preserve">ctivities </w:t>
      </w:r>
      <w:r w:rsidR="00472B6C">
        <w:t xml:space="preserve">can be developed by the Provider and </w:t>
      </w:r>
      <w:r w:rsidR="00A755B6">
        <w:t>may be</w:t>
      </w:r>
      <w:r w:rsidR="00A755B6">
        <w:rPr>
          <w:rFonts w:eastAsiaTheme="minorEastAsia"/>
          <w:szCs w:val="22"/>
        </w:rPr>
        <w:t xml:space="preserve"> </w:t>
      </w:r>
      <w:r w:rsidRPr="6F64433F">
        <w:rPr>
          <w:rFonts w:eastAsiaTheme="minorEastAsia"/>
          <w:szCs w:val="22"/>
        </w:rPr>
        <w:t>more flexible</w:t>
      </w:r>
      <w:r w:rsidR="68651CD8" w:rsidRPr="6F64433F">
        <w:rPr>
          <w:rFonts w:eastAsiaTheme="minorEastAsia"/>
          <w:szCs w:val="22"/>
        </w:rPr>
        <w:t>.</w:t>
      </w:r>
      <w:r w:rsidRPr="6F64433F">
        <w:rPr>
          <w:rFonts w:eastAsiaTheme="minorEastAsia"/>
          <w:szCs w:val="22"/>
        </w:rPr>
        <w:t xml:space="preserve"> Providers are </w:t>
      </w:r>
      <w:r w:rsidR="6EA473D8" w:rsidRPr="6F64433F">
        <w:rPr>
          <w:rFonts w:eastAsiaTheme="minorEastAsia"/>
          <w:szCs w:val="22"/>
        </w:rPr>
        <w:t>strongly encouraged to innovate and deliver</w:t>
      </w:r>
      <w:r w:rsidRPr="6F64433F">
        <w:rPr>
          <w:rFonts w:eastAsiaTheme="minorEastAsia"/>
          <w:szCs w:val="22"/>
        </w:rPr>
        <w:t xml:space="preserve"> </w:t>
      </w:r>
      <w:r w:rsidR="6A952606" w:rsidRPr="6F64433F">
        <w:rPr>
          <w:rFonts w:eastAsiaTheme="minorEastAsia"/>
          <w:szCs w:val="22"/>
        </w:rPr>
        <w:t>A</w:t>
      </w:r>
      <w:r w:rsidRPr="6F64433F">
        <w:rPr>
          <w:rFonts w:eastAsiaTheme="minorEastAsia"/>
          <w:szCs w:val="22"/>
        </w:rPr>
        <w:t xml:space="preserve">ctivities </w:t>
      </w:r>
      <w:r w:rsidR="6EA473D8" w:rsidRPr="6F64433F">
        <w:rPr>
          <w:rFonts w:eastAsiaTheme="minorEastAsia"/>
          <w:szCs w:val="22"/>
        </w:rPr>
        <w:t xml:space="preserve">that support diverse pathways to Employment. </w:t>
      </w:r>
    </w:p>
    <w:p w14:paraId="5045B4B7" w14:textId="36661773" w:rsidR="05D3A072" w:rsidRDefault="277CAC74" w:rsidP="05D3A072">
      <w:pPr>
        <w:rPr>
          <w:rFonts w:ascii="Tahoma" w:eastAsia="Tahoma" w:hAnsi="Tahoma" w:cs="Tahoma"/>
        </w:rPr>
      </w:pPr>
      <w:r w:rsidRPr="4599AEDF">
        <w:rPr>
          <w:rFonts w:ascii="Tahoma" w:eastAsia="Tahoma" w:hAnsi="Tahoma" w:cs="Tahoma"/>
          <w:color w:val="000000" w:themeColor="text1"/>
        </w:rPr>
        <w:t>Thes</w:t>
      </w:r>
      <w:r w:rsidRPr="6F64433F">
        <w:rPr>
          <w:rFonts w:eastAsiaTheme="minorEastAsia"/>
          <w:color w:val="000000" w:themeColor="text1"/>
          <w:szCs w:val="22"/>
        </w:rPr>
        <w:t xml:space="preserve">e ‘other’ </w:t>
      </w:r>
      <w:r w:rsidR="174D17E5" w:rsidRPr="6F64433F">
        <w:rPr>
          <w:rFonts w:eastAsiaTheme="minorEastAsia"/>
          <w:color w:val="000000" w:themeColor="text1"/>
          <w:szCs w:val="22"/>
        </w:rPr>
        <w:t>A</w:t>
      </w:r>
      <w:r w:rsidRPr="6F64433F">
        <w:rPr>
          <w:rFonts w:eastAsiaTheme="minorEastAsia"/>
          <w:color w:val="000000" w:themeColor="text1"/>
          <w:szCs w:val="22"/>
        </w:rPr>
        <w:t>ctivi</w:t>
      </w:r>
      <w:r w:rsidRPr="4599AEDF">
        <w:rPr>
          <w:rFonts w:ascii="Tahoma" w:eastAsia="Tahoma" w:hAnsi="Tahoma" w:cs="Tahoma"/>
          <w:color w:val="000000" w:themeColor="text1"/>
        </w:rPr>
        <w:t>ties can be delivered in several ways, for example:</w:t>
      </w:r>
    </w:p>
    <w:p w14:paraId="04C83CDB" w14:textId="19D3A4EF" w:rsidR="00D74559" w:rsidRPr="00C70AB8" w:rsidRDefault="00D74559" w:rsidP="004E120D">
      <w:pPr>
        <w:pStyle w:val="BulletLevel1"/>
      </w:pPr>
      <w:r w:rsidRPr="00C70AB8">
        <w:t xml:space="preserve">through in-house Service provision (including </w:t>
      </w:r>
      <w:r w:rsidR="0096019F">
        <w:t>T</w:t>
      </w:r>
      <w:r>
        <w:t>raining</w:t>
      </w:r>
      <w:r w:rsidRPr="00C70AB8">
        <w:t xml:space="preserve"> by Related Entities)</w:t>
      </w:r>
    </w:p>
    <w:p w14:paraId="10D35BD4" w14:textId="20670F2D" w:rsidR="00D74559" w:rsidRPr="00C70AB8" w:rsidRDefault="00D74559" w:rsidP="004E120D">
      <w:pPr>
        <w:pStyle w:val="BulletLevel1"/>
      </w:pPr>
      <w:r>
        <w:t>from an external Provider</w:t>
      </w:r>
      <w:r w:rsidR="5942CC4F">
        <w:t xml:space="preserve"> (purchased or organised),</w:t>
      </w:r>
    </w:p>
    <w:p w14:paraId="44A15A33" w14:textId="3958754A" w:rsidR="00D74559" w:rsidRPr="00C70AB8" w:rsidRDefault="00D74559" w:rsidP="004E120D">
      <w:pPr>
        <w:pStyle w:val="BulletLevel1"/>
      </w:pPr>
      <w:r w:rsidRPr="00C70AB8">
        <w:t xml:space="preserve">by referral to programs and services within the local community, including </w:t>
      </w:r>
      <w:r w:rsidR="00E53CEA">
        <w:t>Commonwealth, State or Territory G</w:t>
      </w:r>
      <w:r>
        <w:t>overnment program</w:t>
      </w:r>
      <w:r w:rsidRPr="00C70AB8">
        <w:t>s</w:t>
      </w:r>
      <w:r w:rsidR="00E53CEA">
        <w:t>, local government programs, and</w:t>
      </w:r>
      <w:r w:rsidRPr="00C70AB8">
        <w:t xml:space="preserve"> </w:t>
      </w:r>
      <w:r>
        <w:t xml:space="preserve">non-government programs delivered by </w:t>
      </w:r>
      <w:r w:rsidRPr="00C70AB8">
        <w:t>private and community-based organisations, and/or</w:t>
      </w:r>
    </w:p>
    <w:p w14:paraId="52F4F5F9" w14:textId="2E920E88" w:rsidR="00D74559" w:rsidRPr="0091710B" w:rsidRDefault="00D74559" w:rsidP="004E120D">
      <w:pPr>
        <w:pStyle w:val="BulletLevel1"/>
      </w:pPr>
      <w:r>
        <w:t>Participant self-directed or Participant sourced.</w:t>
      </w:r>
    </w:p>
    <w:p w14:paraId="1A8D3B2F" w14:textId="6EF29D2F" w:rsidR="00D74559" w:rsidRPr="00F30D38" w:rsidRDefault="00D74559" w:rsidP="001D0F92">
      <w:pPr>
        <w:pStyle w:val="Heading3"/>
      </w:pPr>
      <w:bookmarkStart w:id="292" w:name="_Toc202899996"/>
      <w:r>
        <w:t>7.3</w:t>
      </w:r>
      <w:r w:rsidR="00D420F2">
        <w:tab/>
      </w:r>
      <w:r>
        <w:t xml:space="preserve">Identifying suitable </w:t>
      </w:r>
      <w:r w:rsidR="392DEA38">
        <w:t>A</w:t>
      </w:r>
      <w:r>
        <w:t>ctivities</w:t>
      </w:r>
      <w:bookmarkEnd w:id="292"/>
    </w:p>
    <w:p w14:paraId="25564EDE" w14:textId="77777777" w:rsidR="005A2744" w:rsidRDefault="005A2744" w:rsidP="005A2744">
      <w:r w:rsidRPr="5ECF119E">
        <w:rPr>
          <w:rFonts w:eastAsiaTheme="minorEastAsia"/>
          <w:szCs w:val="22"/>
        </w:rPr>
        <w:t>Providers are expected to promote t</w:t>
      </w:r>
      <w:r>
        <w:t>o Participants the benefits of all types of Activities, respond to any enquires from Participants in relation to Activities, and support Participants to fully engage in and maintain a balance across any Activities they choose to undertake or are referred to by the Provider.</w:t>
      </w:r>
    </w:p>
    <w:p w14:paraId="1F98DF13" w14:textId="0BBF6A1B" w:rsidR="00D74559" w:rsidRPr="00C70AB8" w:rsidRDefault="7C0CF85E" w:rsidP="00D420F2">
      <w:pPr>
        <w:rPr>
          <w:lang w:val="en-GB"/>
        </w:rPr>
      </w:pPr>
      <w:r w:rsidRPr="33710B5D">
        <w:rPr>
          <w:lang w:val="en-GB"/>
        </w:rPr>
        <w:t xml:space="preserve">When discussing and arranging </w:t>
      </w:r>
      <w:r w:rsidR="429FDCF4" w:rsidRPr="157827DE">
        <w:rPr>
          <w:lang w:val="en-GB"/>
        </w:rPr>
        <w:t>A</w:t>
      </w:r>
      <w:r w:rsidR="00D74559" w:rsidRPr="157827DE">
        <w:rPr>
          <w:lang w:val="en-GB"/>
        </w:rPr>
        <w:t>ctivit</w:t>
      </w:r>
      <w:r w:rsidR="26BE17E2" w:rsidRPr="157827DE">
        <w:rPr>
          <w:lang w:val="en-GB"/>
        </w:rPr>
        <w:t>ies</w:t>
      </w:r>
      <w:r w:rsidR="01F24301" w:rsidRPr="6C6752E2">
        <w:rPr>
          <w:lang w:val="en-GB"/>
        </w:rPr>
        <w:t xml:space="preserve"> </w:t>
      </w:r>
      <w:r w:rsidR="01F24301" w:rsidRPr="08EBF51C">
        <w:rPr>
          <w:lang w:val="en-GB"/>
        </w:rPr>
        <w:t>with a Participant</w:t>
      </w:r>
      <w:r w:rsidR="00D74559" w:rsidRPr="672B37ED">
        <w:rPr>
          <w:lang w:val="en-GB"/>
        </w:rPr>
        <w:t>, Providers should consider the Participant’s:</w:t>
      </w:r>
    </w:p>
    <w:p w14:paraId="46B295F9" w14:textId="77777777" w:rsidR="00D74559" w:rsidRPr="00C70AB8" w:rsidRDefault="00D74559" w:rsidP="004E120D">
      <w:pPr>
        <w:pStyle w:val="BulletLevel1"/>
      </w:pPr>
      <w:r w:rsidRPr="00C70AB8">
        <w:t>age</w:t>
      </w:r>
    </w:p>
    <w:p w14:paraId="4C304287" w14:textId="77777777" w:rsidR="00D74559" w:rsidRPr="00C70AB8" w:rsidRDefault="00D74559" w:rsidP="004E120D">
      <w:pPr>
        <w:pStyle w:val="BulletLevel1"/>
      </w:pPr>
      <w:r w:rsidRPr="00C70AB8">
        <w:t>disability type</w:t>
      </w:r>
    </w:p>
    <w:p w14:paraId="72752369" w14:textId="77777777" w:rsidR="00D74559" w:rsidRPr="00C70AB8" w:rsidRDefault="00D74559" w:rsidP="004E120D">
      <w:pPr>
        <w:pStyle w:val="BulletLevel1"/>
      </w:pPr>
      <w:r w:rsidRPr="00C70AB8">
        <w:t>education level</w:t>
      </w:r>
    </w:p>
    <w:p w14:paraId="12DC6257" w14:textId="77777777" w:rsidR="00D74559" w:rsidRPr="00C70AB8" w:rsidRDefault="00D74559" w:rsidP="004E120D">
      <w:pPr>
        <w:pStyle w:val="BulletLevel1"/>
        <w:rPr>
          <w:lang w:val="en-GB"/>
        </w:rPr>
      </w:pPr>
      <w:r w:rsidRPr="3B009C26">
        <w:rPr>
          <w:lang w:val="en-GB"/>
        </w:rPr>
        <w:t>skills, experience and aspirations</w:t>
      </w:r>
    </w:p>
    <w:p w14:paraId="2BB56C5D" w14:textId="77777777" w:rsidR="00D74559" w:rsidRDefault="00D74559" w:rsidP="004E120D">
      <w:pPr>
        <w:pStyle w:val="BulletLevel1"/>
      </w:pPr>
      <w:r>
        <w:t>V</w:t>
      </w:r>
      <w:r w:rsidRPr="00C70AB8">
        <w:t xml:space="preserve">ocational </w:t>
      </w:r>
      <w:r>
        <w:t>Barriers</w:t>
      </w:r>
    </w:p>
    <w:p w14:paraId="6A0AED92" w14:textId="77777777" w:rsidR="00D74559" w:rsidRPr="00C70AB8" w:rsidRDefault="00D74559" w:rsidP="004E120D">
      <w:pPr>
        <w:pStyle w:val="BulletLevel1"/>
      </w:pPr>
      <w:r>
        <w:t>N</w:t>
      </w:r>
      <w:r w:rsidRPr="00C70AB8">
        <w:t>on-</w:t>
      </w:r>
      <w:r>
        <w:t>V</w:t>
      </w:r>
      <w:r w:rsidRPr="00C70AB8">
        <w:t xml:space="preserve">ocational </w:t>
      </w:r>
      <w:r>
        <w:t>B</w:t>
      </w:r>
      <w:r w:rsidRPr="00C70AB8">
        <w:t>arriers</w:t>
      </w:r>
    </w:p>
    <w:p w14:paraId="4048E650" w14:textId="77777777" w:rsidR="00D74559" w:rsidRPr="00C70AB8" w:rsidRDefault="00D74559" w:rsidP="004E120D">
      <w:pPr>
        <w:pStyle w:val="BulletLevel1"/>
      </w:pPr>
      <w:r w:rsidRPr="00C70AB8">
        <w:t>cultural background</w:t>
      </w:r>
    </w:p>
    <w:p w14:paraId="47B85099" w14:textId="77777777" w:rsidR="00D74559" w:rsidRPr="00C70AB8" w:rsidRDefault="00D74559" w:rsidP="004E120D">
      <w:pPr>
        <w:pStyle w:val="BulletLevel1"/>
      </w:pPr>
      <w:r w:rsidRPr="00C70AB8">
        <w:t>caring responsibilities</w:t>
      </w:r>
    </w:p>
    <w:p w14:paraId="04F8C6A4" w14:textId="77777777" w:rsidR="00D74559" w:rsidRPr="00C70AB8" w:rsidRDefault="00D74559" w:rsidP="004E120D">
      <w:pPr>
        <w:pStyle w:val="BulletLevel1"/>
        <w:rPr>
          <w:lang w:val="en-GB"/>
        </w:rPr>
      </w:pPr>
      <w:r w:rsidRPr="3B009C26">
        <w:rPr>
          <w:lang w:val="en-GB"/>
        </w:rPr>
        <w:t>assessed work capacity, and</w:t>
      </w:r>
    </w:p>
    <w:p w14:paraId="56E938E0" w14:textId="77777777" w:rsidR="00D74559" w:rsidRPr="00C70AB8" w:rsidRDefault="00D74559" w:rsidP="004E120D">
      <w:pPr>
        <w:pStyle w:val="BulletLevel1"/>
      </w:pPr>
      <w:r>
        <w:t>access to transport.</w:t>
      </w:r>
    </w:p>
    <w:p w14:paraId="4C37C529" w14:textId="67BED8FC" w:rsidR="00D74559" w:rsidRPr="00FB7CD7" w:rsidRDefault="001C30CC" w:rsidP="00D420F2">
      <w:r>
        <w:t>A</w:t>
      </w:r>
      <w:r w:rsidR="00D74559">
        <w:t>ctivities</w:t>
      </w:r>
      <w:r w:rsidR="7DBBC515">
        <w:t xml:space="preserve"> can be</w:t>
      </w:r>
      <w:r w:rsidR="00D74559">
        <w:t xml:space="preserve"> </w:t>
      </w:r>
      <w:r w:rsidR="6DFF0466">
        <w:t xml:space="preserve">arranged by </w:t>
      </w:r>
      <w:r w:rsidR="00D74559">
        <w:t>the Provider</w:t>
      </w:r>
      <w:r w:rsidR="3104B3F7">
        <w:t xml:space="preserve"> or by the Participant with the support of the Provider.</w:t>
      </w:r>
      <w:r w:rsidR="00D74559">
        <w:t xml:space="preserve"> Provider</w:t>
      </w:r>
      <w:r w:rsidR="31288B7E">
        <w:t xml:space="preserve">s </w:t>
      </w:r>
      <w:r w:rsidR="00D74559">
        <w:t xml:space="preserve">must only refer a Participant to </w:t>
      </w:r>
      <w:r w:rsidR="08EAFFA7">
        <w:t>A</w:t>
      </w:r>
      <w:r w:rsidR="00D74559">
        <w:t>ctivities that:</w:t>
      </w:r>
    </w:p>
    <w:p w14:paraId="1293A34B" w14:textId="77777777" w:rsidR="00D74559" w:rsidRPr="00FB7CD7" w:rsidRDefault="00D74559" w:rsidP="004E120D">
      <w:pPr>
        <w:pStyle w:val="BulletLevel1"/>
      </w:pPr>
      <w:r w:rsidRPr="00FB7CD7">
        <w:t>are suitable and safe</w:t>
      </w:r>
    </w:p>
    <w:p w14:paraId="44EC2F37" w14:textId="77777777" w:rsidR="00D74559" w:rsidRPr="00FB7CD7" w:rsidRDefault="00D74559" w:rsidP="004E120D">
      <w:pPr>
        <w:pStyle w:val="BulletLevel1"/>
      </w:pPr>
      <w:r w:rsidRPr="111F7F31">
        <w:t>help the Participant build their work skills to increase their chances of getting a job</w:t>
      </w:r>
      <w:r>
        <w:t>, and</w:t>
      </w:r>
    </w:p>
    <w:p w14:paraId="33DC28F3" w14:textId="6D49A931" w:rsidR="00D74559" w:rsidRPr="00F65B91" w:rsidRDefault="00D74559" w:rsidP="004E120D">
      <w:pPr>
        <w:pStyle w:val="BulletLevel1"/>
      </w:pPr>
      <w:r w:rsidRPr="25BC4409">
        <w:t xml:space="preserve">meet the Participant’s individual needs and </w:t>
      </w:r>
      <w:r w:rsidR="00F641AD">
        <w:t xml:space="preserve">assessed </w:t>
      </w:r>
      <w:r w:rsidRPr="25BC4409">
        <w:t>work capacity.</w:t>
      </w:r>
      <w:r w:rsidRPr="25BC4409">
        <w:rPr>
          <w:rFonts w:eastAsiaTheme="minorEastAsia"/>
        </w:rPr>
        <w:t xml:space="preserve"> </w:t>
      </w:r>
    </w:p>
    <w:p w14:paraId="201BAF32" w14:textId="2C4AEFE0" w:rsidR="00D74559" w:rsidRDefault="00D74559" w:rsidP="006E2EF5">
      <w:pPr>
        <w:pStyle w:val="DeedReferences"/>
      </w:pPr>
      <w:r>
        <w:t>(</w:t>
      </w:r>
      <w:r w:rsidR="00A73420">
        <w:t xml:space="preserve">Deed Reference(s): Clause </w:t>
      </w:r>
      <w:r w:rsidR="00726009">
        <w:t>116.1, 116.2</w:t>
      </w:r>
      <w:r>
        <w:t>)</w:t>
      </w:r>
    </w:p>
    <w:p w14:paraId="611CDE7D" w14:textId="09150365" w:rsidR="00D74559" w:rsidRDefault="00D74559" w:rsidP="006E2EF5">
      <w:r>
        <w:t xml:space="preserve">Key considerations of whether an </w:t>
      </w:r>
      <w:r w:rsidR="7B9B2369">
        <w:t>A</w:t>
      </w:r>
      <w:r>
        <w:t>ctivity may be suitable or not are outlined in the following table.</w:t>
      </w:r>
    </w:p>
    <w:p w14:paraId="2B904CA2" w14:textId="062FF38A" w:rsidR="00D74559" w:rsidRDefault="00D74559" w:rsidP="006E2EF5">
      <w:pPr>
        <w:pStyle w:val="TableChartHeading"/>
      </w:pPr>
      <w:r>
        <w:t xml:space="preserve">Factors for suitability of an </w:t>
      </w:r>
      <w:r w:rsidR="42E2C2D3">
        <w:t>A</w:t>
      </w:r>
      <w:r>
        <w:t>ctivity</w:t>
      </w:r>
    </w:p>
    <w:tbl>
      <w:tblPr>
        <w:tblStyle w:val="DSSTableStyle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FD020B" w:rsidRPr="00FB7CD7" w14:paraId="313112E5" w14:textId="77777777" w:rsidTr="00DE7A9B">
        <w:trPr>
          <w:cnfStyle w:val="100000000000" w:firstRow="1" w:lastRow="0" w:firstColumn="0" w:lastColumn="0" w:oddVBand="0" w:evenVBand="0" w:oddHBand="0" w:evenHBand="0" w:firstRowFirstColumn="0" w:firstRowLastColumn="0" w:lastRowFirstColumn="0" w:lastRowLastColumn="0"/>
        </w:trPr>
        <w:tc>
          <w:tcPr>
            <w:tcW w:w="4927" w:type="dxa"/>
            <w:tcBorders>
              <w:bottom w:val="single" w:sz="4" w:space="0" w:color="auto"/>
            </w:tcBorders>
          </w:tcPr>
          <w:p w14:paraId="59D8B9EB" w14:textId="77777777" w:rsidR="00D74559" w:rsidRPr="00F65B91" w:rsidRDefault="00D74559" w:rsidP="008A3EB4">
            <w:pPr>
              <w:pStyle w:val="TableText"/>
              <w:rPr>
                <w:b w:val="0"/>
              </w:rPr>
            </w:pPr>
            <w:r w:rsidRPr="00F65B91">
              <w:t>Activity may be suitable if:</w:t>
            </w:r>
          </w:p>
        </w:tc>
        <w:tc>
          <w:tcPr>
            <w:tcW w:w="4928" w:type="dxa"/>
            <w:tcBorders>
              <w:bottom w:val="single" w:sz="4" w:space="0" w:color="auto"/>
            </w:tcBorders>
          </w:tcPr>
          <w:p w14:paraId="6A6148C1" w14:textId="77777777" w:rsidR="00D74559" w:rsidRPr="00A438A3" w:rsidRDefault="00D74559" w:rsidP="008A3EB4">
            <w:pPr>
              <w:pStyle w:val="TableText"/>
              <w:rPr>
                <w:b w:val="0"/>
              </w:rPr>
            </w:pPr>
            <w:r w:rsidRPr="00F65B91">
              <w:t xml:space="preserve">Activity </w:t>
            </w:r>
            <w:r>
              <w:t xml:space="preserve">is </w:t>
            </w:r>
            <w:r w:rsidRPr="00F65B91">
              <w:t>not suitable if:</w:t>
            </w:r>
          </w:p>
        </w:tc>
      </w:tr>
      <w:tr w:rsidR="00D74559" w:rsidRPr="00FB7CD7" w14:paraId="34EE8859" w14:textId="77777777" w:rsidTr="00DE7A9B">
        <w:trPr>
          <w:cnfStyle w:val="000000100000" w:firstRow="0" w:lastRow="0" w:firstColumn="0" w:lastColumn="0" w:oddVBand="0" w:evenVBand="0" w:oddHBand="1" w:evenHBand="0" w:firstRowFirstColumn="0" w:firstRowLastColumn="0" w:lastRowFirstColumn="0" w:lastRowLastColumn="0"/>
        </w:trPr>
        <w:tc>
          <w:tcPr>
            <w:tcW w:w="4927" w:type="dxa"/>
            <w:tcBorders>
              <w:bottom w:val="single" w:sz="4" w:space="0" w:color="auto"/>
            </w:tcBorders>
          </w:tcPr>
          <w:p w14:paraId="42AE9B8E" w14:textId="377D36BA" w:rsidR="00D74559" w:rsidRPr="003343D0" w:rsidRDefault="00D74559" w:rsidP="007D21CC">
            <w:pPr>
              <w:pStyle w:val="TableList-level1"/>
              <w:rPr>
                <w:bCs/>
              </w:rPr>
            </w:pPr>
            <w:r>
              <w:t xml:space="preserve">The Participant is eligible to attend the </w:t>
            </w:r>
            <w:r w:rsidR="13A031E3">
              <w:t>A</w:t>
            </w:r>
            <w:r>
              <w:t>ctivity.</w:t>
            </w:r>
          </w:p>
          <w:p w14:paraId="3F92718D" w14:textId="3DDCE139" w:rsidR="00D74559" w:rsidRPr="003343D0" w:rsidRDefault="00D74559" w:rsidP="007D21CC">
            <w:pPr>
              <w:pStyle w:val="TableList-level1"/>
              <w:rPr>
                <w:bCs/>
              </w:rPr>
            </w:pPr>
            <w:r w:rsidRPr="25BC4409">
              <w:t>The Participant has capacity to undertake the activity (including where other requirements can be adjusted to provide capacity).</w:t>
            </w:r>
          </w:p>
          <w:p w14:paraId="701AF554" w14:textId="6055BAF9" w:rsidR="00D74559" w:rsidRPr="003343D0" w:rsidRDefault="00D74559" w:rsidP="007D21CC">
            <w:pPr>
              <w:pStyle w:val="TableList-level1"/>
              <w:rPr>
                <w:bCs/>
              </w:rPr>
            </w:pPr>
            <w:r w:rsidRPr="25BC4409">
              <w:t xml:space="preserve">The </w:t>
            </w:r>
            <w:r w:rsidR="3472AFC8">
              <w:t>A</w:t>
            </w:r>
            <w:r w:rsidRPr="25BC4409">
              <w:t xml:space="preserve">ctivity provides skills, </w:t>
            </w:r>
            <w:r w:rsidR="69A9BA89">
              <w:t>T</w:t>
            </w:r>
            <w:r>
              <w:t>raining</w:t>
            </w:r>
            <w:r w:rsidRPr="25BC4409">
              <w:t xml:space="preserve"> or experience that would benefit the Participant.</w:t>
            </w:r>
          </w:p>
          <w:p w14:paraId="55427FD1" w14:textId="68477706" w:rsidR="00D74559" w:rsidRPr="00FB7CD7" w:rsidRDefault="00D74559" w:rsidP="007D21CC">
            <w:pPr>
              <w:pStyle w:val="TableList-level1"/>
              <w:rPr>
                <w:bCs/>
              </w:rPr>
            </w:pPr>
            <w:r>
              <w:t xml:space="preserve">The Provider is prepared to pay costs associated with the </w:t>
            </w:r>
            <w:r w:rsidR="77F1A323">
              <w:t>A</w:t>
            </w:r>
            <w:r>
              <w:t>ctivity.</w:t>
            </w:r>
          </w:p>
        </w:tc>
        <w:tc>
          <w:tcPr>
            <w:tcW w:w="4928" w:type="dxa"/>
            <w:tcBorders>
              <w:bottom w:val="single" w:sz="4" w:space="0" w:color="auto"/>
            </w:tcBorders>
          </w:tcPr>
          <w:p w14:paraId="732E48C5" w14:textId="3E7D2335" w:rsidR="00D74559" w:rsidRPr="00AD5987" w:rsidRDefault="00D74559" w:rsidP="007D21CC">
            <w:pPr>
              <w:pStyle w:val="TableList-level1"/>
            </w:pPr>
            <w:r>
              <w:t xml:space="preserve">The </w:t>
            </w:r>
            <w:r w:rsidR="55D17BEB">
              <w:t>A</w:t>
            </w:r>
            <w:r>
              <w:t>ctivity</w:t>
            </w:r>
            <w:r w:rsidRPr="00AD5987">
              <w:t xml:space="preserve"> is listed as inappropriate.</w:t>
            </w:r>
          </w:p>
          <w:p w14:paraId="51AA9138" w14:textId="4AB9808C" w:rsidR="00D74559" w:rsidRPr="00AD5987" w:rsidRDefault="00D74559" w:rsidP="007D21CC">
            <w:pPr>
              <w:pStyle w:val="TableList-level1"/>
            </w:pPr>
            <w:r w:rsidRPr="25BC4409">
              <w:t xml:space="preserve">The Participant does not wish to engage in </w:t>
            </w:r>
            <w:r w:rsidR="6203BAEF">
              <w:t>A</w:t>
            </w:r>
            <w:r>
              <w:t>ctivity</w:t>
            </w:r>
            <w:r w:rsidRPr="25BC4409">
              <w:t>, unless it is appropriate for the Provider to require the Participant to attend.</w:t>
            </w:r>
          </w:p>
          <w:p w14:paraId="575694F2" w14:textId="270881A3" w:rsidR="00D74559" w:rsidRDefault="00D74559" w:rsidP="007D21CC">
            <w:pPr>
              <w:pStyle w:val="TableList-level1"/>
            </w:pPr>
            <w:r w:rsidRPr="25BC4409">
              <w:t xml:space="preserve">The </w:t>
            </w:r>
            <w:r w:rsidR="4B85B0EA">
              <w:t>A</w:t>
            </w:r>
            <w:r>
              <w:t>ctivity</w:t>
            </w:r>
            <w:r w:rsidRPr="25BC4409">
              <w:t xml:space="preserve"> involves tasks that could exacerbate the Participant’s disability, illness or injury.</w:t>
            </w:r>
          </w:p>
          <w:p w14:paraId="2F9CFEFA" w14:textId="51C7FDE8" w:rsidR="00D74559" w:rsidRPr="00FB7CD7" w:rsidRDefault="00D74559" w:rsidP="007D21CC">
            <w:pPr>
              <w:pStyle w:val="TableList-level1"/>
            </w:pPr>
            <w:r>
              <w:t xml:space="preserve">The </w:t>
            </w:r>
            <w:r w:rsidR="006FB740">
              <w:t>A</w:t>
            </w:r>
            <w:r>
              <w:t xml:space="preserve">ctivity </w:t>
            </w:r>
            <w:r w:rsidRPr="009A7F8F">
              <w:t xml:space="preserve">does not provide appropriate support or facilities to take account of </w:t>
            </w:r>
            <w:r>
              <w:t>a Participant’s</w:t>
            </w:r>
            <w:r w:rsidRPr="009A7F8F">
              <w:t xml:space="preserve"> disability</w:t>
            </w:r>
            <w:r w:rsidR="00A00C25">
              <w:t>, illness</w:t>
            </w:r>
            <w:r w:rsidRPr="009A7F8F">
              <w:t xml:space="preserve"> or injury</w:t>
            </w:r>
            <w:r>
              <w:t>.</w:t>
            </w:r>
          </w:p>
        </w:tc>
      </w:tr>
    </w:tbl>
    <w:p w14:paraId="279FB09B" w14:textId="317EE9EB" w:rsidR="00D74559" w:rsidRPr="005B0772" w:rsidRDefault="6DD92E15" w:rsidP="302A0A82">
      <w:pPr>
        <w:spacing w:after="120"/>
      </w:pPr>
      <w:r>
        <w:t xml:space="preserve">If the Participant is found to not be eligible for an Activity, after a </w:t>
      </w:r>
      <w:r w:rsidR="00736B3D">
        <w:t>r</w:t>
      </w:r>
      <w:r>
        <w:t>eferral</w:t>
      </w:r>
      <w:r w:rsidR="00736B3D">
        <w:t xml:space="preserve"> to the Activity</w:t>
      </w:r>
      <w:r>
        <w:t>, the Provider must assist the Participant to look for another appropriate Activity.</w:t>
      </w:r>
    </w:p>
    <w:p w14:paraId="60768033" w14:textId="74ABC0AC" w:rsidR="00D74559" w:rsidRPr="00F65B91" w:rsidRDefault="00D74559" w:rsidP="001D0F92">
      <w:pPr>
        <w:pStyle w:val="Heading4"/>
      </w:pPr>
      <w:bookmarkStart w:id="293" w:name="_Ref202787381"/>
      <w:bookmarkStart w:id="294" w:name="_Toc202899997"/>
      <w:r>
        <w:t>7.3.1</w:t>
      </w:r>
      <w:r w:rsidR="00DD5C98">
        <w:tab/>
      </w:r>
      <w:r w:rsidRPr="00F65B91">
        <w:t xml:space="preserve">Inappropriate </w:t>
      </w:r>
      <w:r w:rsidR="00034386">
        <w:t>A</w:t>
      </w:r>
      <w:r w:rsidRPr="00F65B91">
        <w:t>ctivities</w:t>
      </w:r>
      <w:bookmarkEnd w:id="293"/>
      <w:bookmarkEnd w:id="294"/>
    </w:p>
    <w:p w14:paraId="3D211B24" w14:textId="1C3D2E89" w:rsidR="00D74559" w:rsidRPr="005B0772" w:rsidRDefault="00D74559" w:rsidP="006E2EF5">
      <w:pPr>
        <w:tabs>
          <w:tab w:val="right" w:pos="1701"/>
        </w:tabs>
        <w:spacing w:after="120"/>
      </w:pPr>
      <w:r w:rsidRPr="2CC6209F">
        <w:t>Provider</w:t>
      </w:r>
      <w:r>
        <w:t>s</w:t>
      </w:r>
      <w:r w:rsidRPr="2CC6209F">
        <w:t xml:space="preserve"> must not arrange </w:t>
      </w:r>
      <w:r w:rsidR="1AD13A53">
        <w:t>A</w:t>
      </w:r>
      <w:r>
        <w:t>ctivit</w:t>
      </w:r>
      <w:r w:rsidR="280CC932">
        <w:t>ies</w:t>
      </w:r>
      <w:r w:rsidR="5772E3F0">
        <w:t xml:space="preserve"> for Participants</w:t>
      </w:r>
      <w:r w:rsidRPr="2CC6209F">
        <w:t xml:space="preserve">, or refer </w:t>
      </w:r>
      <w:r>
        <w:t>Participant</w:t>
      </w:r>
      <w:r w:rsidR="2F902D3E">
        <w:t>s</w:t>
      </w:r>
      <w:r w:rsidRPr="2CC6209F">
        <w:t xml:space="preserve"> to any </w:t>
      </w:r>
      <w:r w:rsidR="006049E4">
        <w:t>A</w:t>
      </w:r>
      <w:r w:rsidDel="5E27423E">
        <w:t>ctivity</w:t>
      </w:r>
      <w:r w:rsidRPr="2CC6209F">
        <w:t>, where</w:t>
      </w:r>
      <w:r>
        <w:t>:</w:t>
      </w:r>
    </w:p>
    <w:p w14:paraId="3A1AFC29" w14:textId="20CBF535" w:rsidR="00D74559" w:rsidRDefault="00D74559" w:rsidP="004E120D">
      <w:pPr>
        <w:pStyle w:val="BulletLevel1"/>
      </w:pPr>
      <w:r>
        <w:t xml:space="preserve">the Department advises the activity </w:t>
      </w:r>
      <w:r w:rsidR="5D50CA1B">
        <w:t xml:space="preserve">cannot be </w:t>
      </w:r>
      <w:r>
        <w:t xml:space="preserve">conducted concurrently with </w:t>
      </w:r>
      <w:r w:rsidR="00353F8E">
        <w:t>Inclusive Employment Australia</w:t>
      </w:r>
    </w:p>
    <w:p w14:paraId="384880B2" w14:textId="12A56298" w:rsidR="00D74559" w:rsidRDefault="00D74559" w:rsidP="004E120D">
      <w:pPr>
        <w:pStyle w:val="BulletLevel1"/>
      </w:pPr>
      <w:r>
        <w:t>the activity would be undertaking tasks outside of Australia</w:t>
      </w:r>
    </w:p>
    <w:p w14:paraId="507DF14C" w14:textId="77777777" w:rsidR="00D74559" w:rsidRDefault="00D74559" w:rsidP="004E120D">
      <w:pPr>
        <w:pStyle w:val="BulletLevel1"/>
      </w:pPr>
      <w:r>
        <w:t>the Participant would participate in or otherwise be involved in criminal activity</w:t>
      </w:r>
    </w:p>
    <w:p w14:paraId="0A9ED923" w14:textId="38C0BC4C" w:rsidR="00D74559" w:rsidRDefault="00D74559" w:rsidP="004E120D">
      <w:pPr>
        <w:pStyle w:val="BulletLevel1"/>
      </w:pPr>
      <w:r w:rsidRPr="25BC4409">
        <w:t xml:space="preserve">the Participant </w:t>
      </w:r>
      <w:r>
        <w:t xml:space="preserve">would </w:t>
      </w:r>
      <w:r w:rsidR="4EF62375">
        <w:t xml:space="preserve">be </w:t>
      </w:r>
      <w:r>
        <w:t>undertaking</w:t>
      </w:r>
      <w:r w:rsidRPr="25BC4409">
        <w:t xml:space="preserve"> tasks that the Participant is not permitted to do under the law (e.g. a task can only be undertaken by a licensed person and the Participant does not hold that licence)</w:t>
      </w:r>
    </w:p>
    <w:p w14:paraId="60A76F96" w14:textId="4D11FAFF" w:rsidR="00D74559" w:rsidRDefault="00D74559" w:rsidP="00875358">
      <w:pPr>
        <w:pStyle w:val="BulletLevel1"/>
      </w:pPr>
      <w:r>
        <w:t>the Participant would be undertaking tasks or working for any</w:t>
      </w:r>
      <w:r w:rsidR="002767DE">
        <w:t xml:space="preserve"> </w:t>
      </w:r>
      <w:r>
        <w:t xml:space="preserve">organisation owned or </w:t>
      </w:r>
      <w:r w:rsidR="00B815CB">
        <w:t>C</w:t>
      </w:r>
      <w:r>
        <w:t xml:space="preserve">ontrolled by </w:t>
      </w:r>
      <w:r w:rsidR="002767DE">
        <w:t xml:space="preserve">either </w:t>
      </w:r>
      <w:r>
        <w:t xml:space="preserve">the Participant or </w:t>
      </w:r>
      <w:r w:rsidR="002767DE">
        <w:t>b</w:t>
      </w:r>
      <w:r>
        <w:t xml:space="preserve">y </w:t>
      </w:r>
      <w:r w:rsidR="71B16614">
        <w:t>the Participant</w:t>
      </w:r>
      <w:r w:rsidR="20138756">
        <w:t>’</w:t>
      </w:r>
      <w:r w:rsidR="71B16614">
        <w:t>s</w:t>
      </w:r>
      <w:r>
        <w:t xml:space="preserve"> Family Member</w:t>
      </w:r>
    </w:p>
    <w:p w14:paraId="1270BFE9" w14:textId="1ED562BE" w:rsidR="00D74559" w:rsidRDefault="00D74559" w:rsidP="004E120D">
      <w:pPr>
        <w:pStyle w:val="BulletLevel1"/>
      </w:pPr>
      <w:r>
        <w:t>the Participant</w:t>
      </w:r>
      <w:r w:rsidR="00B24696">
        <w:t>’s involvement</w:t>
      </w:r>
      <w:r>
        <w:t xml:space="preserve"> would displace </w:t>
      </w:r>
      <w:r w:rsidR="002A2B60">
        <w:t>or</w:t>
      </w:r>
      <w:r>
        <w:t xml:space="preserve"> reduce an existing employee’s hours of work (full-time, casual, or part-time)</w:t>
      </w:r>
      <w:r w:rsidR="002A2B60">
        <w:t xml:space="preserve"> or</w:t>
      </w:r>
      <w:r w:rsidR="00E02B5D">
        <w:t xml:space="preserve"> </w:t>
      </w:r>
      <w:r>
        <w:t>customary overtime</w:t>
      </w:r>
    </w:p>
    <w:p w14:paraId="0A7F0F23" w14:textId="77777777" w:rsidR="00D74559" w:rsidRDefault="00D74559" w:rsidP="004E120D">
      <w:pPr>
        <w:pStyle w:val="BulletLevel1"/>
      </w:pPr>
      <w:r>
        <w:t>the Participant would be undertaking tasks associated with the sex or adult entertainment industry</w:t>
      </w:r>
    </w:p>
    <w:p w14:paraId="47745BC0" w14:textId="77777777" w:rsidR="00D74559" w:rsidRDefault="00D74559" w:rsidP="004E120D">
      <w:pPr>
        <w:pStyle w:val="BulletLevel1"/>
      </w:pPr>
      <w:r>
        <w:t>the Participant would be undertaking tasks involving nudity (including retail or hospitality positions)</w:t>
      </w:r>
    </w:p>
    <w:p w14:paraId="55F0AAC4" w14:textId="3ACD0E4B" w:rsidR="00D74559" w:rsidRDefault="00D74559" w:rsidP="004E120D">
      <w:pPr>
        <w:pStyle w:val="BulletLevel1"/>
      </w:pPr>
      <w:r>
        <w:t>the Participant would be undertaking tasks directly involving gambling</w:t>
      </w:r>
    </w:p>
    <w:p w14:paraId="0CD40F20" w14:textId="27B6ADBD" w:rsidR="00D74559" w:rsidRDefault="00D74559" w:rsidP="004E120D">
      <w:pPr>
        <w:pStyle w:val="BulletLevel1"/>
      </w:pPr>
      <w:r>
        <w:t xml:space="preserve">the Participant would be undertaking tasks in a </w:t>
      </w:r>
      <w:r w:rsidRPr="00B12A1E">
        <w:t>Private House or Private Homes</w:t>
      </w:r>
      <w:r w:rsidR="0044376A">
        <w:t>,</w:t>
      </w:r>
      <w:r w:rsidR="0044376A" w:rsidRPr="00F67110">
        <w:t xml:space="preserve"> </w:t>
      </w:r>
      <w:r>
        <w:t>and/or</w:t>
      </w:r>
    </w:p>
    <w:p w14:paraId="3E550402" w14:textId="790C3BAA" w:rsidR="00D74559" w:rsidRDefault="00D74559" w:rsidP="00110681">
      <w:pPr>
        <w:pStyle w:val="BulletLevel1"/>
      </w:pPr>
      <w:r>
        <w:t>the</w:t>
      </w:r>
      <w:r w:rsidRPr="009A7F8F">
        <w:t xml:space="preserve"> activity would contravene Commonwealth, </w:t>
      </w:r>
      <w:r>
        <w:t>S</w:t>
      </w:r>
      <w:r w:rsidRPr="009A7F8F">
        <w:t xml:space="preserve">tate or </w:t>
      </w:r>
      <w:r>
        <w:t>T</w:t>
      </w:r>
      <w:r w:rsidRPr="009A7F8F">
        <w:t xml:space="preserve">erritory </w:t>
      </w:r>
      <w:r w:rsidR="00582F71">
        <w:t>WHS L</w:t>
      </w:r>
      <w:r w:rsidRPr="009A7F8F">
        <w:t>aws</w:t>
      </w:r>
      <w:r w:rsidR="00582F71">
        <w:t xml:space="preserve"> or law</w:t>
      </w:r>
      <w:r w:rsidRPr="009A7F8F">
        <w:t xml:space="preserve"> relating to discrimination</w:t>
      </w:r>
      <w:r>
        <w:t>.</w:t>
      </w:r>
    </w:p>
    <w:p w14:paraId="5E87A235" w14:textId="46BDFAB0" w:rsidR="00D74559" w:rsidRDefault="00D74559" w:rsidP="001D0F92">
      <w:pPr>
        <w:pStyle w:val="Heading3"/>
        <w:rPr>
          <w:sz w:val="22"/>
          <w:szCs w:val="22"/>
        </w:rPr>
      </w:pPr>
      <w:bookmarkStart w:id="295" w:name="_Toc202899998"/>
      <w:r>
        <w:t>7.4</w:t>
      </w:r>
      <w:r w:rsidR="000B29A2">
        <w:tab/>
      </w:r>
      <w:r>
        <w:t>Managing Participants in Activities</w:t>
      </w:r>
      <w:bookmarkEnd w:id="295"/>
    </w:p>
    <w:p w14:paraId="425CE5B1" w14:textId="77777777" w:rsidR="00D544C9" w:rsidRPr="00FB7CD7" w:rsidRDefault="00D544C9" w:rsidP="00D544C9">
      <w:r>
        <w:t>Providers must support Participants to fully engage in Activities.</w:t>
      </w:r>
    </w:p>
    <w:p w14:paraId="11CCAC2B" w14:textId="446550A5" w:rsidR="00632F1F" w:rsidRDefault="00632F1F" w:rsidP="006E2EF5">
      <w:pPr>
        <w:rPr>
          <w:highlight w:val="yellow"/>
        </w:rPr>
      </w:pPr>
      <w:r w:rsidRPr="00155E5E">
        <w:t xml:space="preserve">A Participant on a Meaningful Engagement Job Plan </w:t>
      </w:r>
      <w:r w:rsidR="00A00C3A" w:rsidRPr="00155E5E">
        <w:t>must</w:t>
      </w:r>
      <w:r w:rsidR="006C69AC" w:rsidRPr="00155E5E">
        <w:t xml:space="preserve"> not</w:t>
      </w:r>
      <w:r w:rsidR="00A00C3A" w:rsidRPr="00155E5E">
        <w:t xml:space="preserve"> have Activities </w:t>
      </w:r>
      <w:r w:rsidR="0097056B" w:rsidRPr="00155E5E">
        <w:t>included in their Job Plan</w:t>
      </w:r>
      <w:r w:rsidR="00F95A66">
        <w:t>, but Providers must have a record that the Participant has agreed to the Activity.</w:t>
      </w:r>
    </w:p>
    <w:p w14:paraId="6333BBEB" w14:textId="2329E497" w:rsidR="00D74559" w:rsidRPr="00FB7CD7" w:rsidRDefault="00F95A66" w:rsidP="00151ECC">
      <w:r>
        <w:t>When a Participant on a Detailed Job Plan is referred to an Activity, their</w:t>
      </w:r>
      <w:r w:rsidRPr="00FB7CD7">
        <w:t xml:space="preserve"> </w:t>
      </w:r>
      <w:r>
        <w:t>Job Plan</w:t>
      </w:r>
      <w:r w:rsidRPr="00FB7CD7">
        <w:t xml:space="preserve"> </w:t>
      </w:r>
      <w:r>
        <w:t xml:space="preserve">must be updated </w:t>
      </w:r>
      <w:r w:rsidRPr="00FB7CD7">
        <w:t xml:space="preserve">to include the </w:t>
      </w:r>
      <w:r>
        <w:t>Activity using the relevant Job Plan Code</w:t>
      </w:r>
      <w:r w:rsidR="00173584">
        <w:t>, either as a compulsory or voluntary requirement</w:t>
      </w:r>
      <w:r w:rsidRPr="00155E5E">
        <w:t>.</w:t>
      </w:r>
    </w:p>
    <w:p w14:paraId="5BC3B096" w14:textId="7E96ED6C" w:rsidR="0012004C" w:rsidRDefault="00D544C9" w:rsidP="00151ECC">
      <w:r>
        <w:t xml:space="preserve">As noted in </w:t>
      </w:r>
      <w:r w:rsidR="004572F7">
        <w:fldChar w:fldCharType="begin"/>
      </w:r>
      <w:r w:rsidR="004572F7">
        <w:instrText xml:space="preserve"> REF _Ref202794716 \h </w:instrText>
      </w:r>
      <w:r w:rsidR="004572F7">
        <w:fldChar w:fldCharType="separate"/>
      </w:r>
      <w:r w:rsidR="004572F7">
        <w:t xml:space="preserve">5.6.2 </w:t>
      </w:r>
      <w:r w:rsidR="004572F7" w:rsidRPr="00550A59">
        <w:t>Activities</w:t>
      </w:r>
      <w:r w:rsidR="004572F7">
        <w:fldChar w:fldCharType="end"/>
      </w:r>
      <w:r>
        <w:fldChar w:fldCharType="begin"/>
      </w:r>
      <w:r>
        <w:instrText xml:space="preserve"> REF _Ref202794716 \h </w:instrText>
      </w:r>
      <w:r>
        <w:fldChar w:fldCharType="separate"/>
      </w:r>
      <w:r>
        <w:fldChar w:fldCharType="end"/>
      </w:r>
      <w:r w:rsidR="0012004C">
        <w:t>:</w:t>
      </w:r>
    </w:p>
    <w:p w14:paraId="33A5139D" w14:textId="3F8FCDE7" w:rsidR="0012004C" w:rsidRDefault="00977BE8" w:rsidP="0012004C">
      <w:pPr>
        <w:pStyle w:val="BulletLevel1"/>
      </w:pPr>
      <w:r>
        <w:t>Providers can recommend</w:t>
      </w:r>
      <w:r w:rsidR="0012004C">
        <w:t xml:space="preserve"> </w:t>
      </w:r>
      <w:r>
        <w:t xml:space="preserve">an </w:t>
      </w:r>
      <w:r w:rsidR="0012004C">
        <w:t>Activity</w:t>
      </w:r>
      <w:r>
        <w:t xml:space="preserve"> be undertaken</w:t>
      </w:r>
      <w:r w:rsidR="0012004C">
        <w:t xml:space="preserve"> as part of the Meaningful Engagement Requirement</w:t>
      </w:r>
      <w:r>
        <w:t xml:space="preserve"> but cannot compel them to participate.</w:t>
      </w:r>
    </w:p>
    <w:p w14:paraId="2D4CD754" w14:textId="0ADAE1B3" w:rsidR="00D74559" w:rsidRDefault="733AD4A8" w:rsidP="0012004C">
      <w:pPr>
        <w:pStyle w:val="BulletLevel1"/>
      </w:pPr>
      <w:r>
        <w:t xml:space="preserve">Participants cannot be compelled to attend an Activity that is included in their </w:t>
      </w:r>
      <w:r w:rsidR="00151ECC">
        <w:t xml:space="preserve">Detailed </w:t>
      </w:r>
      <w:r>
        <w:t>Job Plan as voluntary (i.e. will not be subject to compliance actions for failure to attend)</w:t>
      </w:r>
      <w:r w:rsidR="00977BE8">
        <w:t>.</w:t>
      </w:r>
    </w:p>
    <w:p w14:paraId="388D6E63" w14:textId="28514C26" w:rsidR="0012004C" w:rsidRDefault="0012004C" w:rsidP="0012004C">
      <w:pPr>
        <w:pStyle w:val="BulletLevel1"/>
      </w:pPr>
      <w:r>
        <w:t>Participants must attend an Activity that is included as a compulsory requirement in their Detailed Job Plan</w:t>
      </w:r>
      <w:r w:rsidR="00977BE8">
        <w:t xml:space="preserve"> (i.e. will be subject to compliance actions for failure to attend).</w:t>
      </w:r>
    </w:p>
    <w:p w14:paraId="217F7D1E" w14:textId="09AEA7C0" w:rsidR="00D74559" w:rsidRDefault="00191298" w:rsidP="00977BE8">
      <w:pPr>
        <w:rPr>
          <w:highlight w:val="yellow"/>
        </w:rPr>
      </w:pPr>
      <w:r>
        <w:t xml:space="preserve">Regardless of Job Plan type, </w:t>
      </w:r>
      <w:r w:rsidR="63978B72">
        <w:t>Activities must be scheduled in the Participant’s Electronic Calendar</w:t>
      </w:r>
      <w:r w:rsidR="00AD0E9E">
        <w:t>, which then</w:t>
      </w:r>
      <w:r w:rsidR="00D74559" w:rsidRPr="111F7F31">
        <w:t>:</w:t>
      </w:r>
    </w:p>
    <w:p w14:paraId="32EFA5B7" w14:textId="620DF4B8" w:rsidR="00D74559" w:rsidRPr="00271575" w:rsidRDefault="00D74559" w:rsidP="004E120D">
      <w:pPr>
        <w:pStyle w:val="BulletLevel1"/>
      </w:pPr>
      <w:r w:rsidRPr="00271575">
        <w:t xml:space="preserve">makes the details of the </w:t>
      </w:r>
      <w:r w:rsidR="080A21AE">
        <w:t>A</w:t>
      </w:r>
      <w:r w:rsidRPr="00271575">
        <w:t>ctivity available to the Participant via their Workforce Australia homepage, and</w:t>
      </w:r>
    </w:p>
    <w:p w14:paraId="2EB531B4" w14:textId="306BE6C4" w:rsidR="00D74559" w:rsidRPr="00271575" w:rsidRDefault="00D74559" w:rsidP="004E120D">
      <w:pPr>
        <w:pStyle w:val="BulletLevel1"/>
      </w:pPr>
      <w:r w:rsidRPr="00271575">
        <w:t xml:space="preserve">sends a notification of the </w:t>
      </w:r>
      <w:r w:rsidR="4DF6EC60">
        <w:t>A</w:t>
      </w:r>
      <w:r w:rsidRPr="00271575">
        <w:t xml:space="preserve">ctivity, including the need to attend if </w:t>
      </w:r>
      <w:r w:rsidR="1E6484C3">
        <w:t xml:space="preserve">it is </w:t>
      </w:r>
      <w:r w:rsidRPr="00271575">
        <w:t xml:space="preserve">a compulsory </w:t>
      </w:r>
      <w:r>
        <w:t>Activit</w:t>
      </w:r>
      <w:r w:rsidR="3EAA0B46">
        <w:t>y</w:t>
      </w:r>
      <w:r w:rsidRPr="00271575">
        <w:t xml:space="preserve"> in their Job Plan.</w:t>
      </w:r>
    </w:p>
    <w:p w14:paraId="7DAF1DB5" w14:textId="386D0071" w:rsidR="00D74559" w:rsidRDefault="00D74559" w:rsidP="00977BE8">
      <w:r>
        <w:t xml:space="preserve">When referring Participants to an </w:t>
      </w:r>
      <w:r w:rsidR="018F4C96">
        <w:t>A</w:t>
      </w:r>
      <w:r>
        <w:t xml:space="preserve">ctivity, Providers </w:t>
      </w:r>
      <w:r w:rsidR="00440393">
        <w:t>must</w:t>
      </w:r>
      <w:r>
        <w:t xml:space="preserve"> ensure that Participants have any prerequisites (for example, a background check or personal protective equipment). Providers may choose to use their own funds to help meet the eligible costs of a Participant’s </w:t>
      </w:r>
      <w:r w:rsidR="7F14FAA6">
        <w:t>A</w:t>
      </w:r>
      <w:r>
        <w:t>ctivity.</w:t>
      </w:r>
    </w:p>
    <w:p w14:paraId="6BD101B8" w14:textId="35A4FAB1" w:rsidR="000A5E84" w:rsidRPr="00E31C59" w:rsidRDefault="00AF507D" w:rsidP="00977BE8">
      <w:r>
        <w:t xml:space="preserve">Providers must provide a copy of the </w:t>
      </w:r>
      <w:r w:rsidRPr="008A3EB4">
        <w:rPr>
          <w:rStyle w:val="Hyperlink"/>
        </w:rPr>
        <w:t>WHS Incidents and Insurance Readers Guide – Participants</w:t>
      </w:r>
      <w:r>
        <w:rPr>
          <w:rStyle w:val="Hyperlink"/>
        </w:rPr>
        <w:t xml:space="preserve"> [LINK]</w:t>
      </w:r>
      <w:r>
        <w:t xml:space="preserve"> to Participants referred to a Complementary Activity or Specified Activity.</w:t>
      </w:r>
    </w:p>
    <w:p w14:paraId="42139DB8" w14:textId="71EDC9DC" w:rsidR="00D74559" w:rsidRPr="00751E55" w:rsidRDefault="00D74559" w:rsidP="00977BE8">
      <w:r>
        <w:t xml:space="preserve">While the Participant is undertaking </w:t>
      </w:r>
      <w:r w:rsidRPr="00751E55">
        <w:t xml:space="preserve">an </w:t>
      </w:r>
      <w:r w:rsidR="303A09B7">
        <w:t>A</w:t>
      </w:r>
      <w:r>
        <w:t>ctivity, the Provider must</w:t>
      </w:r>
      <w:r w:rsidRPr="00751E55">
        <w:t>:</w:t>
      </w:r>
    </w:p>
    <w:p w14:paraId="05966427" w14:textId="2699B554" w:rsidR="00D74559" w:rsidRDefault="00D74559" w:rsidP="004E120D">
      <w:pPr>
        <w:pStyle w:val="BulletLevel1"/>
      </w:pPr>
      <w:r w:rsidRPr="25BC4409">
        <w:t xml:space="preserve">comply with its </w:t>
      </w:r>
      <w:r w:rsidR="00705BFD">
        <w:t>WHS</w:t>
      </w:r>
      <w:r w:rsidRPr="25BC4409">
        <w:t xml:space="preserve"> obligations </w:t>
      </w:r>
    </w:p>
    <w:p w14:paraId="758CEA81" w14:textId="5C831349" w:rsidR="00D74559" w:rsidRDefault="00D74559" w:rsidP="004E120D">
      <w:pPr>
        <w:pStyle w:val="BulletLevel1"/>
      </w:pPr>
      <w:r w:rsidRPr="25BC4409">
        <w:t>ensur</w:t>
      </w:r>
      <w:r w:rsidR="00496662">
        <w:t>e</w:t>
      </w:r>
      <w:r w:rsidRPr="25BC4409">
        <w:t xml:space="preserve"> adequate and appropriate Supervision so that relevant Participants are undertaking appropriate tasks and operating in a healthy and safe environment</w:t>
      </w:r>
    </w:p>
    <w:p w14:paraId="3A0D5BDD" w14:textId="77777777" w:rsidR="00D74559" w:rsidRPr="0048174B" w:rsidRDefault="00D74559" w:rsidP="004E120D">
      <w:pPr>
        <w:pStyle w:val="BulletLevel1"/>
      </w:pPr>
      <w:r>
        <w:t>comply with its obligations in relation to insurance</w:t>
      </w:r>
    </w:p>
    <w:p w14:paraId="2D89F0A6" w14:textId="11493B3B" w:rsidR="00D74559" w:rsidRPr="0048174B" w:rsidRDefault="00D74559" w:rsidP="004E120D">
      <w:pPr>
        <w:pStyle w:val="BulletLevel1"/>
      </w:pPr>
      <w:r w:rsidRPr="25BC4409">
        <w:t xml:space="preserve">check </w:t>
      </w:r>
      <w:r w:rsidR="002348BE">
        <w:t>if</w:t>
      </w:r>
      <w:r w:rsidRPr="25BC4409">
        <w:t xml:space="preserve"> the Participant has any complaints or safety concerns regarding the </w:t>
      </w:r>
      <w:r w:rsidR="22DC9573">
        <w:t>Activity</w:t>
      </w:r>
      <w:r w:rsidRPr="25BC4409">
        <w:t xml:space="preserve">, </w:t>
      </w:r>
      <w:r w:rsidR="00726560">
        <w:t>including</w:t>
      </w:r>
      <w:r w:rsidRPr="25BC4409">
        <w:t xml:space="preserve"> any WHS </w:t>
      </w:r>
      <w:r w:rsidR="38AE0E78">
        <w:t>I</w:t>
      </w:r>
      <w:r>
        <w:t>ncidents</w:t>
      </w:r>
      <w:r w:rsidRPr="25BC4409">
        <w:t xml:space="preserve"> to report</w:t>
      </w:r>
    </w:p>
    <w:p w14:paraId="1FE1CF19" w14:textId="5592F151" w:rsidR="00D74559" w:rsidRDefault="00D74559" w:rsidP="004E120D">
      <w:pPr>
        <w:pStyle w:val="BulletLevel1"/>
      </w:pPr>
      <w:r w:rsidRPr="25BC4409">
        <w:t>ensur</w:t>
      </w:r>
      <w:r>
        <w:t>e</w:t>
      </w:r>
      <w:r w:rsidRPr="25BC4409">
        <w:t xml:space="preserve"> that the Participant is benefiting from the </w:t>
      </w:r>
      <w:r w:rsidR="028659C0">
        <w:t>A</w:t>
      </w:r>
      <w:r>
        <w:t>ctivity</w:t>
      </w:r>
      <w:r w:rsidRPr="25BC4409">
        <w:t xml:space="preserve">, </w:t>
      </w:r>
      <w:r w:rsidR="001E3B7E">
        <w:t xml:space="preserve">is </w:t>
      </w:r>
      <w:r w:rsidRPr="25BC4409">
        <w:t xml:space="preserve">enhancing their </w:t>
      </w:r>
      <w:r w:rsidR="006E4772">
        <w:t>job</w:t>
      </w:r>
      <w:r w:rsidRPr="25BC4409">
        <w:t xml:space="preserve"> prospects</w:t>
      </w:r>
      <w:r w:rsidR="001E3B7E">
        <w:t>,</w:t>
      </w:r>
      <w:r w:rsidRPr="25BC4409">
        <w:t xml:space="preserve"> and is not being exploited</w:t>
      </w:r>
    </w:p>
    <w:p w14:paraId="34D2ADCD" w14:textId="654DFC9C" w:rsidR="00D74559" w:rsidRPr="00126033" w:rsidRDefault="00D74559" w:rsidP="004E120D">
      <w:pPr>
        <w:pStyle w:val="BulletLevel1"/>
      </w:pPr>
      <w:r>
        <w:t xml:space="preserve">minimise disruptions while the Participant is </w:t>
      </w:r>
      <w:r w:rsidR="1D8E2603">
        <w:t xml:space="preserve">engaging and </w:t>
      </w:r>
      <w:r>
        <w:t xml:space="preserve">attending </w:t>
      </w:r>
      <w:r w:rsidR="74A36CF0">
        <w:t>an</w:t>
      </w:r>
      <w:r>
        <w:t xml:space="preserve"> </w:t>
      </w:r>
      <w:r w:rsidR="130708C1">
        <w:t>A</w:t>
      </w:r>
      <w:r>
        <w:t xml:space="preserve">ctivity, </w:t>
      </w:r>
      <w:r w:rsidR="1A9A698D">
        <w:t>by</w:t>
      </w:r>
      <w:r>
        <w:t xml:space="preserve"> </w:t>
      </w:r>
      <w:r w:rsidR="1C453C54">
        <w:t>scheduling</w:t>
      </w:r>
      <w:r w:rsidR="1A9A698D">
        <w:t xml:space="preserve"> Contacts </w:t>
      </w:r>
      <w:r>
        <w:t xml:space="preserve">outside of </w:t>
      </w:r>
      <w:r w:rsidR="049FEACF">
        <w:t>A</w:t>
      </w:r>
      <w:r>
        <w:t xml:space="preserve">ctivity times </w:t>
      </w:r>
      <w:r w:rsidR="74DF392E">
        <w:t>and</w:t>
      </w:r>
      <w:r>
        <w:t xml:space="preserve"> or reducing Job Search Requirements</w:t>
      </w:r>
    </w:p>
    <w:p w14:paraId="0F8D7DD6" w14:textId="775316D9" w:rsidR="00AF507D" w:rsidRDefault="00B0793B" w:rsidP="004E120D">
      <w:pPr>
        <w:pStyle w:val="BulletLevel1"/>
      </w:pPr>
      <w:r>
        <w:t>s</w:t>
      </w:r>
      <w:r w:rsidR="034328BC">
        <w:t>uppor</w:t>
      </w:r>
      <w:r w:rsidR="276B1831">
        <w:t>t</w:t>
      </w:r>
      <w:r w:rsidR="67917B44">
        <w:t xml:space="preserve"> </w:t>
      </w:r>
      <w:r>
        <w:t xml:space="preserve">the </w:t>
      </w:r>
      <w:r w:rsidR="67917B44">
        <w:t>Participant’s progress</w:t>
      </w:r>
      <w:r w:rsidR="5C3C567E">
        <w:t xml:space="preserve"> by </w:t>
      </w:r>
      <w:r w:rsidR="2FB7D950">
        <w:t xml:space="preserve">encouraging </w:t>
      </w:r>
      <w:r w:rsidR="67917B44">
        <w:t xml:space="preserve">attendance and </w:t>
      </w:r>
      <w:r w:rsidR="6A28D7FB">
        <w:t xml:space="preserve">ensuring </w:t>
      </w:r>
      <w:r w:rsidR="67917B44">
        <w:t>satisfaction with the Activity</w:t>
      </w:r>
      <w:r w:rsidR="00646EB2">
        <w:t>, and</w:t>
      </w:r>
    </w:p>
    <w:p w14:paraId="11626266" w14:textId="44056848" w:rsidR="00D74559" w:rsidRDefault="00AF507D" w:rsidP="004E120D">
      <w:pPr>
        <w:pStyle w:val="BulletLevel1"/>
      </w:pPr>
      <w:r>
        <w:t>monitor and record attendance in compulsory Activities</w:t>
      </w:r>
      <w:r w:rsidR="67917B44">
        <w:t xml:space="preserve"> — refer to the</w:t>
      </w:r>
      <w:r>
        <w:t xml:space="preserve"> </w:t>
      </w:r>
      <w:r>
        <w:rPr>
          <w:rStyle w:val="Hyperlink"/>
        </w:rPr>
        <w:t xml:space="preserve">Provider Actions – </w:t>
      </w:r>
      <w:r w:rsidRPr="00AF507D">
        <w:rPr>
          <w:rStyle w:val="Hyperlink"/>
        </w:rPr>
        <w:t>Reporting attendance on behalf of a Participant</w:t>
      </w:r>
      <w:r>
        <w:rPr>
          <w:rStyle w:val="Hyperlink"/>
        </w:rPr>
        <w:t xml:space="preserve"> [LINK]</w:t>
      </w:r>
      <w:r w:rsidR="67917B44">
        <w:t xml:space="preserve"> </w:t>
      </w:r>
      <w:r>
        <w:t>supporting document on the Provider Portal</w:t>
      </w:r>
      <w:r w:rsidR="67917B44">
        <w:t xml:space="preserve">. </w:t>
      </w:r>
    </w:p>
    <w:p w14:paraId="06659D21" w14:textId="31D883AC" w:rsidR="00D74559" w:rsidRPr="0048174B" w:rsidRDefault="00D74559" w:rsidP="006E2EF5">
      <w:pPr>
        <w:pStyle w:val="DeedReferences"/>
        <w:rPr>
          <w:rFonts w:eastAsiaTheme="minorEastAsia" w:cstheme="minorBidi"/>
        </w:rPr>
      </w:pPr>
      <w:r w:rsidRPr="218C526D">
        <w:rPr>
          <w:rFonts w:eastAsiaTheme="minorEastAsia" w:cstheme="minorBidi"/>
        </w:rPr>
        <w:t>(</w:t>
      </w:r>
      <w:r w:rsidR="00A73420">
        <w:rPr>
          <w:rFonts w:eastAsiaTheme="minorEastAsia" w:cstheme="minorBidi"/>
        </w:rPr>
        <w:t xml:space="preserve">Deed Reference(s): Clause </w:t>
      </w:r>
      <w:r>
        <w:rPr>
          <w:rFonts w:eastAsiaTheme="minorEastAsia" w:cstheme="minorBidi"/>
        </w:rPr>
        <w:t xml:space="preserve">56.1, </w:t>
      </w:r>
      <w:r w:rsidR="00624D74">
        <w:rPr>
          <w:rFonts w:eastAsiaTheme="minorEastAsia" w:cstheme="minorBidi"/>
        </w:rPr>
        <w:t>116</w:t>
      </w:r>
      <w:r>
        <w:rPr>
          <w:rFonts w:eastAsiaTheme="minorEastAsia" w:cstheme="minorBidi"/>
        </w:rPr>
        <w:t xml:space="preserve">, 117.3, </w:t>
      </w:r>
      <w:r w:rsidR="006B01D2">
        <w:rPr>
          <w:rFonts w:eastAsiaTheme="minorEastAsia" w:cstheme="minorBidi"/>
        </w:rPr>
        <w:t xml:space="preserve">118.3, </w:t>
      </w:r>
      <w:r w:rsidR="003E41E8">
        <w:rPr>
          <w:rFonts w:eastAsiaTheme="minorEastAsia" w:cstheme="minorBidi"/>
        </w:rPr>
        <w:t>134.4</w:t>
      </w:r>
      <w:r>
        <w:rPr>
          <w:rFonts w:eastAsiaTheme="minorEastAsia" w:cstheme="minorBidi"/>
        </w:rPr>
        <w:t xml:space="preserve">, </w:t>
      </w:r>
      <w:r w:rsidR="00764ACD">
        <w:rPr>
          <w:rFonts w:eastAsiaTheme="minorEastAsia" w:cstheme="minorBidi"/>
        </w:rPr>
        <w:t xml:space="preserve">144, </w:t>
      </w:r>
      <w:r>
        <w:rPr>
          <w:rFonts w:eastAsiaTheme="minorEastAsia" w:cstheme="minorBidi"/>
        </w:rPr>
        <w:t>145</w:t>
      </w:r>
      <w:r w:rsidRPr="218C526D">
        <w:rPr>
          <w:rFonts w:eastAsiaTheme="minorEastAsia" w:cstheme="minorBidi"/>
        </w:rPr>
        <w:t>)</w:t>
      </w:r>
    </w:p>
    <w:p w14:paraId="0349A5B4" w14:textId="77777777" w:rsidR="00D74559" w:rsidRPr="00C07D57" w:rsidRDefault="00D74559" w:rsidP="006E2EF5">
      <w:pPr>
        <w:keepNext/>
      </w:pPr>
      <w:r w:rsidRPr="25BC4409">
        <w:t>Participants will generally be expected to source their own transport to and from an Activity. However, the Provider must arrange transportation for a Participant to and from an Activity where:</w:t>
      </w:r>
    </w:p>
    <w:p w14:paraId="3B668C09" w14:textId="77777777" w:rsidR="00D74559" w:rsidRPr="00C07D57" w:rsidRDefault="00D74559" w:rsidP="004E120D">
      <w:pPr>
        <w:pStyle w:val="BulletLevel1"/>
      </w:pPr>
      <w:r>
        <w:t>the Participant does not have access to a vehicle or does not have a driver’s licence, and alternative transport options such as public transport are not available</w:t>
      </w:r>
    </w:p>
    <w:p w14:paraId="6816FE1A" w14:textId="77777777" w:rsidR="00D74559" w:rsidRPr="00C07D57" w:rsidRDefault="00D74559" w:rsidP="004E120D">
      <w:pPr>
        <w:pStyle w:val="BulletLevel1"/>
      </w:pPr>
      <w:r>
        <w:t>the Activity is at an isolated location</w:t>
      </w:r>
    </w:p>
    <w:p w14:paraId="551F0B34" w14:textId="77777777" w:rsidR="00D74559" w:rsidRPr="00C07D57" w:rsidRDefault="00D74559" w:rsidP="004E120D">
      <w:pPr>
        <w:pStyle w:val="BulletLevel1"/>
      </w:pPr>
      <w:r w:rsidRPr="00C07D57">
        <w:t>access to the Activity is along an unsealed road or track</w:t>
      </w:r>
      <w:r>
        <w:t>,</w:t>
      </w:r>
      <w:r w:rsidRPr="00C07D57">
        <w:t xml:space="preserve"> </w:t>
      </w:r>
      <w:r>
        <w:t>and/</w:t>
      </w:r>
      <w:r w:rsidRPr="00C07D57">
        <w:t>or</w:t>
      </w:r>
    </w:p>
    <w:p w14:paraId="22FDA8FA" w14:textId="77777777" w:rsidR="00D74559" w:rsidRPr="00C07D57" w:rsidRDefault="00D74559" w:rsidP="004E120D">
      <w:pPr>
        <w:pStyle w:val="BulletLevel1"/>
      </w:pPr>
      <w:r w:rsidRPr="25BC4409">
        <w:t>the Activity has a residential or overnight accommodation component.</w:t>
      </w:r>
    </w:p>
    <w:p w14:paraId="7848458D" w14:textId="54A939E2" w:rsidR="00D74559" w:rsidRPr="00EC2894" w:rsidRDefault="00D74559" w:rsidP="00C310BC">
      <w:pPr>
        <w:pStyle w:val="WorkHealthandSafetyStep"/>
      </w:pPr>
      <w:r>
        <w:t xml:space="preserve">If Providers are transporting Participants to or from an Activity, this must be included in the </w:t>
      </w:r>
      <w:r w:rsidR="00EC0C30">
        <w:t>R</w:t>
      </w:r>
      <w:r>
        <w:t xml:space="preserve">isk </w:t>
      </w:r>
      <w:r w:rsidR="00EC0C30">
        <w:t>A</w:t>
      </w:r>
      <w:r>
        <w:t>ssessment of the Activity.</w:t>
      </w:r>
    </w:p>
    <w:p w14:paraId="33A51E04" w14:textId="77777777" w:rsidR="00DC5DFF" w:rsidRDefault="003D7379" w:rsidP="006E2EF5">
      <w:r>
        <w:t xml:space="preserve">If </w:t>
      </w:r>
      <w:r w:rsidR="00AD6077">
        <w:t xml:space="preserve">transportation cannot be arranged by </w:t>
      </w:r>
      <w:r>
        <w:t xml:space="preserve">the </w:t>
      </w:r>
      <w:r w:rsidR="00AD6077">
        <w:t xml:space="preserve">Participant or the </w:t>
      </w:r>
      <w:r>
        <w:t>Provider</w:t>
      </w:r>
      <w:r w:rsidR="00AD6077">
        <w:t xml:space="preserve">, the Provider must not </w:t>
      </w:r>
      <w:r w:rsidR="00DC5DFF">
        <w:t>proceed with the Activity and must consider an alternative Activity.</w:t>
      </w:r>
    </w:p>
    <w:p w14:paraId="4B1B7244" w14:textId="23E1785F" w:rsidR="001773D7" w:rsidRDefault="00D74559" w:rsidP="00E818AC">
      <w:pPr>
        <w:keepNext/>
      </w:pPr>
      <w:r w:rsidRPr="25BC4409">
        <w:t>Once a Participant is no longer undertaking an Activity, the Provider must</w:t>
      </w:r>
      <w:r w:rsidR="00E818AC">
        <w:t>:</w:t>
      </w:r>
    </w:p>
    <w:p w14:paraId="1374D4B2" w14:textId="73ABBDEF" w:rsidR="00D82B40" w:rsidRDefault="00D82B40" w:rsidP="001773D7">
      <w:pPr>
        <w:pStyle w:val="BulletLevel1"/>
      </w:pPr>
      <w:r>
        <w:t>update the Participant’s plan for meaningful engagement (if the Participant is on a Meaningful Engagement Job Plan)</w:t>
      </w:r>
    </w:p>
    <w:p w14:paraId="2961A5E1" w14:textId="791A28C6" w:rsidR="00A73580" w:rsidRDefault="00D74559" w:rsidP="001773D7">
      <w:pPr>
        <w:pStyle w:val="BulletLevel1"/>
      </w:pPr>
      <w:r w:rsidRPr="25BC4409">
        <w:t xml:space="preserve">update the Participant’s Job Plan </w:t>
      </w:r>
      <w:r w:rsidR="00A73580">
        <w:t xml:space="preserve">(if </w:t>
      </w:r>
      <w:r w:rsidR="00E818AC">
        <w:t xml:space="preserve">the </w:t>
      </w:r>
      <w:r w:rsidR="00A73580">
        <w:t>Participant is on a Detailed Job Plan)</w:t>
      </w:r>
      <w:r w:rsidR="001832EB">
        <w:t xml:space="preserve">, </w:t>
      </w:r>
      <w:r w:rsidRPr="25BC4409">
        <w:t>and</w:t>
      </w:r>
    </w:p>
    <w:p w14:paraId="07A11E0C" w14:textId="56B55AD2" w:rsidR="00D74559" w:rsidRDefault="00D74559" w:rsidP="001773D7">
      <w:pPr>
        <w:pStyle w:val="BulletLevel1"/>
      </w:pPr>
      <w:r w:rsidRPr="25BC4409">
        <w:t>consider whether it is appropriate to move the Participant into the Intensive Service</w:t>
      </w:r>
      <w:r w:rsidR="00E818AC" w:rsidRPr="00E818AC">
        <w:t xml:space="preserve"> </w:t>
      </w:r>
      <w:r w:rsidR="00E818AC">
        <w:t>(</w:t>
      </w:r>
      <w:r w:rsidR="00E818AC" w:rsidRPr="25BC4409">
        <w:t>if the Participant had been receiving the Flexible Service</w:t>
      </w:r>
      <w:r w:rsidR="00E818AC">
        <w:t>).</w:t>
      </w:r>
    </w:p>
    <w:p w14:paraId="6B24FB10" w14:textId="69684AC9" w:rsidR="00D74559" w:rsidRPr="00C07D57" w:rsidRDefault="00231F48" w:rsidP="006F727E">
      <w:pPr>
        <w:pStyle w:val="SystemStep"/>
      </w:pPr>
      <w:r>
        <w:t xml:space="preserve">When a </w:t>
      </w:r>
      <w:r w:rsidR="00D74559">
        <w:t>P</w:t>
      </w:r>
      <w:r w:rsidR="00D74559" w:rsidRPr="00C07D57">
        <w:t>articipant</w:t>
      </w:r>
      <w:r>
        <w:t xml:space="preserve"> is no longer undertaking </w:t>
      </w:r>
      <w:r w:rsidR="00D74559" w:rsidRPr="00C07D57">
        <w:t>an Activity, the</w:t>
      </w:r>
      <w:r w:rsidR="00032170">
        <w:t xml:space="preserve"> Provider must record</w:t>
      </w:r>
      <w:r w:rsidR="00D74559" w:rsidRPr="00C07D57">
        <w:t xml:space="preserve"> in the Department’s IT Systems:</w:t>
      </w:r>
    </w:p>
    <w:p w14:paraId="04C09279" w14:textId="2266C8C5" w:rsidR="00D74559" w:rsidRPr="00C07D57" w:rsidRDefault="00D74559" w:rsidP="004E120D">
      <w:pPr>
        <w:pStyle w:val="BulletLevel2"/>
      </w:pPr>
      <w:r w:rsidRPr="25BC4409">
        <w:t xml:space="preserve">the reason the Participant </w:t>
      </w:r>
      <w:r w:rsidR="00032170">
        <w:t>is no longer</w:t>
      </w:r>
      <w:r w:rsidRPr="25BC4409">
        <w:t xml:space="preserve"> participating (completion </w:t>
      </w:r>
      <w:r w:rsidR="000C14DE">
        <w:t>E</w:t>
      </w:r>
      <w:r>
        <w:t>xit</w:t>
      </w:r>
      <w:r w:rsidRPr="25BC4409">
        <w:t xml:space="preserve"> reason)</w:t>
      </w:r>
    </w:p>
    <w:p w14:paraId="6ABFD098" w14:textId="2385C641" w:rsidR="00D74559" w:rsidRPr="00C07D57" w:rsidRDefault="00D74559" w:rsidP="004E120D">
      <w:pPr>
        <w:pStyle w:val="BulletLevel2"/>
      </w:pPr>
      <w:r>
        <w:t xml:space="preserve">the </w:t>
      </w:r>
      <w:r w:rsidR="00813957">
        <w:t>final</w:t>
      </w:r>
      <w:r>
        <w:t xml:space="preserve"> date </w:t>
      </w:r>
      <w:r w:rsidR="00813957">
        <w:t xml:space="preserve">of </w:t>
      </w:r>
      <w:r>
        <w:t>participat</w:t>
      </w:r>
      <w:r w:rsidR="00813957">
        <w:t>ion</w:t>
      </w:r>
      <w:r>
        <w:t xml:space="preserve"> (end date), and</w:t>
      </w:r>
    </w:p>
    <w:p w14:paraId="5BB2509A" w14:textId="4FCDFC69" w:rsidR="00D74559" w:rsidRDefault="00D74559" w:rsidP="004E120D">
      <w:pPr>
        <w:pStyle w:val="BulletLevel2"/>
      </w:pPr>
      <w:r w:rsidRPr="25BC4409">
        <w:t>the</w:t>
      </w:r>
      <w:r w:rsidR="00401359">
        <w:t xml:space="preserve"> total</w:t>
      </w:r>
      <w:r w:rsidRPr="25BC4409">
        <w:t xml:space="preserve"> number of hours </w:t>
      </w:r>
      <w:r w:rsidR="00401359">
        <w:t>undertaken</w:t>
      </w:r>
      <w:r w:rsidRPr="25BC4409">
        <w:t xml:space="preserve"> in the Activity, where relevant.</w:t>
      </w:r>
    </w:p>
    <w:p w14:paraId="62CB07AC" w14:textId="765C2227" w:rsidR="00D74559" w:rsidRPr="00FB7CD7" w:rsidRDefault="00D74559" w:rsidP="001D0F92">
      <w:pPr>
        <w:pStyle w:val="Heading3"/>
      </w:pPr>
      <w:bookmarkStart w:id="296" w:name="_Toc202899999"/>
      <w:r>
        <w:t>7.5</w:t>
      </w:r>
      <w:r w:rsidR="00DD5C98">
        <w:tab/>
      </w:r>
      <w:r>
        <w:t>Complementary Activities</w:t>
      </w:r>
      <w:bookmarkEnd w:id="296"/>
    </w:p>
    <w:p w14:paraId="7B3556F9" w14:textId="012E9FC4" w:rsidR="00E63C35" w:rsidRDefault="00D74559" w:rsidP="006E2EF5">
      <w:r>
        <w:t xml:space="preserve">Participants can participate in other </w:t>
      </w:r>
      <w:r w:rsidR="00E63C35">
        <w:t xml:space="preserve">Commonwealth training and </w:t>
      </w:r>
      <w:r>
        <w:t xml:space="preserve">employment programs whilst they are participating in </w:t>
      </w:r>
      <w:r w:rsidR="00353F8E">
        <w:t>Inclusive Employment Australia</w:t>
      </w:r>
      <w:r w:rsidR="00E63C35">
        <w:t>. These are referred to as Complementary Services</w:t>
      </w:r>
      <w:r w:rsidR="00624531">
        <w:t xml:space="preserve"> in the Deed.</w:t>
      </w:r>
    </w:p>
    <w:p w14:paraId="2715D47B" w14:textId="23882814" w:rsidR="00624531" w:rsidRDefault="004F6B2B" w:rsidP="006E2EF5">
      <w:r>
        <w:t xml:space="preserve">Providers can arrange for Participants to undertake </w:t>
      </w:r>
      <w:r w:rsidR="004E1317">
        <w:t>certain</w:t>
      </w:r>
      <w:r>
        <w:t xml:space="preserve"> </w:t>
      </w:r>
      <w:r w:rsidR="004E1317">
        <w:t>Complementary Services as an Activity</w:t>
      </w:r>
      <w:r w:rsidR="00C65DD9">
        <w:t xml:space="preserve">. These Activities are </w:t>
      </w:r>
      <w:r w:rsidR="00D74559">
        <w:t>Complementary Activities</w:t>
      </w:r>
      <w:r w:rsidR="00C65DD9">
        <w:t xml:space="preserve"> for the purposes of these Guidelines.</w:t>
      </w:r>
      <w:r w:rsidR="00624531">
        <w:t xml:space="preserve"> </w:t>
      </w:r>
    </w:p>
    <w:p w14:paraId="21F2489F" w14:textId="70C5757F" w:rsidR="00D74559" w:rsidRDefault="00624531" w:rsidP="006E2EF5">
      <w:r>
        <w:t>Complementary Activities</w:t>
      </w:r>
      <w:r w:rsidR="00D74559">
        <w:t xml:space="preserve"> </w:t>
      </w:r>
      <w:r w:rsidR="005F4F70">
        <w:t>that a Provider can arrange for</w:t>
      </w:r>
      <w:r w:rsidR="00D74559">
        <w:t xml:space="preserve"> Participants are:</w:t>
      </w:r>
    </w:p>
    <w:p w14:paraId="420103BD" w14:textId="56DF6A49" w:rsidR="00D74559" w:rsidRDefault="00D74559" w:rsidP="004E120D">
      <w:pPr>
        <w:pStyle w:val="BulletLevel1"/>
      </w:pPr>
      <w:r>
        <w:t>Skills for Education and Employment (SEE)</w:t>
      </w:r>
    </w:p>
    <w:p w14:paraId="3649C0FE" w14:textId="26E9A5B0" w:rsidR="00D74559" w:rsidRDefault="00D74559" w:rsidP="004E120D">
      <w:pPr>
        <w:pStyle w:val="BulletLevel1"/>
      </w:pPr>
      <w:r>
        <w:t>Adult Migrant Education Program (AMEP)</w:t>
      </w:r>
    </w:p>
    <w:p w14:paraId="725D7E6D" w14:textId="5DAC1440" w:rsidR="00D74559" w:rsidRDefault="34E41286" w:rsidP="004E120D">
      <w:pPr>
        <w:pStyle w:val="BulletLevel1"/>
      </w:pPr>
      <w:r>
        <w:t>Employability Skills Training (EST)</w:t>
      </w:r>
    </w:p>
    <w:p w14:paraId="754BDFC3" w14:textId="14B9C71D" w:rsidR="00D74559" w:rsidRPr="00C54EC1" w:rsidRDefault="34E41286" w:rsidP="004E120D">
      <w:pPr>
        <w:pStyle w:val="BulletLevel1"/>
      </w:pPr>
      <w:r>
        <w:t>Career Transition Assistance (</w:t>
      </w:r>
      <w:r w:rsidRPr="00C54EC1">
        <w:t>CTA)</w:t>
      </w:r>
      <w:r w:rsidR="005B0142">
        <w:t>, and</w:t>
      </w:r>
    </w:p>
    <w:p w14:paraId="4D677559" w14:textId="57AA28BE" w:rsidR="00B144F7" w:rsidRPr="00761D87" w:rsidRDefault="00B144F7" w:rsidP="004E120D">
      <w:pPr>
        <w:pStyle w:val="BulletLevel1"/>
      </w:pPr>
      <w:r w:rsidRPr="00C54EC1">
        <w:t>Self-Employment Assistance (</w:t>
      </w:r>
      <w:r>
        <w:t>S-EA).</w:t>
      </w:r>
    </w:p>
    <w:p w14:paraId="779D7525" w14:textId="26340427" w:rsidR="00D74559" w:rsidRPr="00FB7CD7" w:rsidRDefault="00E86A64" w:rsidP="00A97E57">
      <w:r>
        <w:t>B</w:t>
      </w:r>
      <w:r w:rsidR="00D74559" w:rsidRPr="00FB7CD7">
        <w:t xml:space="preserve">enefits of </w:t>
      </w:r>
      <w:r w:rsidR="00D74559">
        <w:t>Complementary</w:t>
      </w:r>
      <w:r w:rsidR="00D74559" w:rsidRPr="00FB7CD7">
        <w:t xml:space="preserve"> </w:t>
      </w:r>
      <w:r w:rsidR="00D74559">
        <w:t>A</w:t>
      </w:r>
      <w:r w:rsidR="00D74559" w:rsidRPr="00FB7CD7">
        <w:t>ctivities include:</w:t>
      </w:r>
    </w:p>
    <w:p w14:paraId="6EA40692" w14:textId="215B0BDA" w:rsidR="00D74559" w:rsidRPr="00FB7CD7" w:rsidRDefault="00D74559" w:rsidP="004E120D">
      <w:pPr>
        <w:pStyle w:val="BulletLevel1"/>
      </w:pPr>
      <w:r w:rsidRPr="111F7F31">
        <w:t xml:space="preserve">the </w:t>
      </w:r>
      <w:r w:rsidR="00B927EE">
        <w:t>Complementary Service</w:t>
      </w:r>
      <w:r>
        <w:t xml:space="preserve"> </w:t>
      </w:r>
      <w:r w:rsidR="00F90BA1">
        <w:t>p</w:t>
      </w:r>
      <w:r>
        <w:t>rovider</w:t>
      </w:r>
      <w:r w:rsidRPr="111F7F31">
        <w:t xml:space="preserve"> manages </w:t>
      </w:r>
      <w:r w:rsidR="00673289">
        <w:t>the</w:t>
      </w:r>
      <w:r w:rsidRPr="111F7F31">
        <w:t xml:space="preserve"> Participant</w:t>
      </w:r>
      <w:r>
        <w:t>’s</w:t>
      </w:r>
      <w:r w:rsidRPr="111F7F31">
        <w:t xml:space="preserve"> health and safety during the </w:t>
      </w:r>
      <w:r>
        <w:t>A</w:t>
      </w:r>
      <w:r w:rsidRPr="111F7F31">
        <w:t>ctivity</w:t>
      </w:r>
      <w:r>
        <w:t>, and</w:t>
      </w:r>
    </w:p>
    <w:p w14:paraId="259D123E" w14:textId="5883A8E1" w:rsidR="00D74559" w:rsidRPr="00FB7CD7" w:rsidRDefault="00D74559" w:rsidP="004E120D">
      <w:pPr>
        <w:pStyle w:val="BulletLevel1"/>
      </w:pPr>
      <w:r w:rsidRPr="111F7F31">
        <w:t xml:space="preserve">the Participant is covered by insurance policies taken out by the </w:t>
      </w:r>
      <w:r w:rsidR="783AA6CD">
        <w:t>D</w:t>
      </w:r>
      <w:r w:rsidR="6B0E8E16">
        <w:t>epartment</w:t>
      </w:r>
      <w:r w:rsidRPr="111F7F31">
        <w:t xml:space="preserve"> during the </w:t>
      </w:r>
      <w:r w:rsidR="0480925E">
        <w:t>A</w:t>
      </w:r>
      <w:r w:rsidRPr="111F7F31">
        <w:t>ctivity.</w:t>
      </w:r>
    </w:p>
    <w:p w14:paraId="15D18A1A" w14:textId="77777777" w:rsidR="00D74559" w:rsidRPr="00FB7CD7" w:rsidRDefault="00D74559" w:rsidP="00A97E57">
      <w:pPr>
        <w:keepNext/>
      </w:pPr>
      <w:r>
        <w:t xml:space="preserve">Prior to </w:t>
      </w:r>
      <w:r w:rsidRPr="111F7F31">
        <w:t xml:space="preserve">referring a Participant to a </w:t>
      </w:r>
      <w:r>
        <w:t>Complementary A</w:t>
      </w:r>
      <w:r w:rsidRPr="111F7F31">
        <w:t>ctivity, the Provider must:</w:t>
      </w:r>
    </w:p>
    <w:p w14:paraId="328B6D01" w14:textId="77777777" w:rsidR="001251AF" w:rsidRDefault="001251AF" w:rsidP="004E120D">
      <w:pPr>
        <w:pStyle w:val="BulletLevel1"/>
      </w:pPr>
      <w:r>
        <w:t>confirm the Activity is suitable – the Participant is eligible, can undertake and would benefit from the Activity</w:t>
      </w:r>
    </w:p>
    <w:p w14:paraId="2FC2348E" w14:textId="26E6704B" w:rsidR="000A54B1" w:rsidRDefault="6F9B968B" w:rsidP="004E120D">
      <w:pPr>
        <w:pStyle w:val="BulletLevel1"/>
      </w:pPr>
      <w:r>
        <w:t>ensure the</w:t>
      </w:r>
      <w:r w:rsidR="00D74559">
        <w:t xml:space="preserve"> Participant understands the purpose of the </w:t>
      </w:r>
      <w:r w:rsidR="005A758C">
        <w:t>A</w:t>
      </w:r>
      <w:r w:rsidR="00D74559">
        <w:t>ctivity</w:t>
      </w:r>
    </w:p>
    <w:p w14:paraId="69DDA946" w14:textId="568A2131" w:rsidR="00D74559" w:rsidRPr="00FB7CD7" w:rsidRDefault="000A54B1" w:rsidP="004E120D">
      <w:pPr>
        <w:pStyle w:val="BulletLevel1"/>
      </w:pPr>
      <w:r>
        <w:t xml:space="preserve">ensure the Participant understands </w:t>
      </w:r>
      <w:r w:rsidR="00D74559">
        <w:t>their responsibilities</w:t>
      </w:r>
      <w:r w:rsidR="0043047A">
        <w:t xml:space="preserve"> if </w:t>
      </w:r>
      <w:r>
        <w:t>the Activity is a</w:t>
      </w:r>
      <w:r w:rsidR="0043047A">
        <w:t xml:space="preserve"> compulsory requirement</w:t>
      </w:r>
      <w:r>
        <w:t xml:space="preserve"> in their Job Plan</w:t>
      </w:r>
      <w:r w:rsidR="002E7E97">
        <w:t xml:space="preserve"> (Detailed Job Plans only)</w:t>
      </w:r>
    </w:p>
    <w:p w14:paraId="5C04C32F" w14:textId="2F6ACBCD" w:rsidR="006076F1" w:rsidRDefault="006076F1" w:rsidP="006076F1">
      <w:pPr>
        <w:pStyle w:val="BulletLevel1"/>
      </w:pPr>
      <w:r>
        <w:t xml:space="preserve">review </w:t>
      </w:r>
      <w:r w:rsidRPr="25BC4409">
        <w:t xml:space="preserve">the </w:t>
      </w:r>
      <w:r>
        <w:t>Risk Assessment</w:t>
      </w:r>
      <w:r w:rsidRPr="25BC4409">
        <w:t xml:space="preserve"> </w:t>
      </w:r>
      <w:r>
        <w:t xml:space="preserve">completed by the Complementary Service provider </w:t>
      </w:r>
      <w:r w:rsidRPr="25BC4409">
        <w:t>to ensure it is appropriate for the Participant</w:t>
      </w:r>
      <w:r w:rsidR="00CD1B04">
        <w:t xml:space="preserve"> </w:t>
      </w:r>
      <w:r w:rsidR="00977BE8">
        <w:t xml:space="preserve">— refer to </w:t>
      </w:r>
      <w:r w:rsidR="00977BE8">
        <w:fldChar w:fldCharType="begin"/>
      </w:r>
      <w:r w:rsidR="00977BE8">
        <w:instrText xml:space="preserve"> REF _Ref202795082 \h </w:instrText>
      </w:r>
      <w:r w:rsidR="00977BE8">
        <w:fldChar w:fldCharType="separate"/>
      </w:r>
      <w:r w:rsidR="000D75AE">
        <w:t>7.8.1</w:t>
      </w:r>
      <w:r w:rsidR="002F7169">
        <w:t xml:space="preserve"> </w:t>
      </w:r>
      <w:r w:rsidR="000D75AE">
        <w:t>Risk Assessments</w:t>
      </w:r>
      <w:r w:rsidR="00977BE8">
        <w:fldChar w:fldCharType="end"/>
      </w:r>
    </w:p>
    <w:p w14:paraId="77B3E507" w14:textId="4374B2DA" w:rsidR="00D74559" w:rsidRPr="00FB7CD7" w:rsidRDefault="152CB51E" w:rsidP="004E120D">
      <w:pPr>
        <w:pStyle w:val="BulletLevel1"/>
      </w:pPr>
      <w:r>
        <w:t>ensure</w:t>
      </w:r>
      <w:r w:rsidR="00D74559">
        <w:t xml:space="preserve"> the </w:t>
      </w:r>
      <w:r w:rsidR="00661AC0">
        <w:t>Complementary Service</w:t>
      </w:r>
      <w:r w:rsidR="00D74559">
        <w:t xml:space="preserve"> </w:t>
      </w:r>
      <w:r w:rsidR="00AD1C09">
        <w:t>p</w:t>
      </w:r>
      <w:r w:rsidR="00D74559">
        <w:t xml:space="preserve">rovider has all the </w:t>
      </w:r>
      <w:r w:rsidR="66DCA973">
        <w:t>relevant</w:t>
      </w:r>
      <w:r w:rsidR="00D74559">
        <w:t xml:space="preserve"> information </w:t>
      </w:r>
      <w:r w:rsidR="179D60C1">
        <w:t>regarding</w:t>
      </w:r>
      <w:r w:rsidR="00D74559">
        <w:t xml:space="preserve"> the Participant</w:t>
      </w:r>
      <w:r w:rsidR="00420B51">
        <w:t>, including their accessibility requirements</w:t>
      </w:r>
    </w:p>
    <w:p w14:paraId="4B662E62" w14:textId="6DCD9F24" w:rsidR="00D74559" w:rsidRPr="00FB7CD7" w:rsidRDefault="00D74559" w:rsidP="004E120D">
      <w:pPr>
        <w:pStyle w:val="BulletLevel1"/>
      </w:pPr>
      <w:r>
        <w:t xml:space="preserve">pay the </w:t>
      </w:r>
      <w:r w:rsidR="00661AC0">
        <w:t>Complementary Service</w:t>
      </w:r>
      <w:r>
        <w:t xml:space="preserve"> </w:t>
      </w:r>
      <w:r w:rsidR="00CC5493">
        <w:t>p</w:t>
      </w:r>
      <w:r>
        <w:t xml:space="preserve">rovider any costs </w:t>
      </w:r>
      <w:r w:rsidR="006B073E">
        <w:t>associated</w:t>
      </w:r>
      <w:r w:rsidR="5ADFF129">
        <w:t xml:space="preserve"> with</w:t>
      </w:r>
      <w:r>
        <w:t xml:space="preserve"> the </w:t>
      </w:r>
      <w:r w:rsidR="006B073E">
        <w:t>A</w:t>
      </w:r>
      <w:r>
        <w:t>ctivity</w:t>
      </w:r>
    </w:p>
    <w:p w14:paraId="2A0E54B9" w14:textId="77777777" w:rsidR="00D74559" w:rsidRPr="00FB7CD7" w:rsidRDefault="00D74559" w:rsidP="004E120D">
      <w:pPr>
        <w:pStyle w:val="BulletLevel1"/>
      </w:pPr>
      <w:r w:rsidRPr="5F191F2A">
        <w:t>provide any required support through necessary equipment, checks and licences</w:t>
      </w:r>
    </w:p>
    <w:p w14:paraId="02D4FF00" w14:textId="70F8245B" w:rsidR="00D74559" w:rsidRPr="00FB7CD7" w:rsidRDefault="00D74559" w:rsidP="004E120D">
      <w:pPr>
        <w:pStyle w:val="BulletLevel1"/>
      </w:pPr>
      <w:r>
        <w:t xml:space="preserve">encourage </w:t>
      </w:r>
      <w:r w:rsidR="00D62EFA">
        <w:t xml:space="preserve">the </w:t>
      </w:r>
      <w:r>
        <w:t xml:space="preserve">Participant to attend the relevant </w:t>
      </w:r>
      <w:r w:rsidR="00CC5493">
        <w:t>A</w:t>
      </w:r>
      <w:r>
        <w:t>ctivity</w:t>
      </w:r>
    </w:p>
    <w:p w14:paraId="4047428C" w14:textId="50931462" w:rsidR="00D74559" w:rsidRDefault="00D74559" w:rsidP="00977BE8">
      <w:pPr>
        <w:pStyle w:val="BulletLevel1"/>
        <w:keepNext/>
      </w:pPr>
      <w:r w:rsidRPr="25BC4409">
        <w:t xml:space="preserve">ensure appropriate facilities are available </w:t>
      </w:r>
      <w:r w:rsidR="23E8337E">
        <w:t>for</w:t>
      </w:r>
      <w:r w:rsidR="00D62EFA">
        <w:t xml:space="preserve"> the</w:t>
      </w:r>
      <w:r w:rsidRPr="25BC4409">
        <w:t xml:space="preserve"> Participant during </w:t>
      </w:r>
      <w:r w:rsidR="00D62EFA">
        <w:t xml:space="preserve">the </w:t>
      </w:r>
      <w:r w:rsidR="00CC5493">
        <w:t>A</w:t>
      </w:r>
      <w:r>
        <w:t>ctivit</w:t>
      </w:r>
      <w:r w:rsidR="00D62EFA">
        <w:t>y</w:t>
      </w:r>
      <w:r w:rsidRPr="25BC4409">
        <w:t>, and</w:t>
      </w:r>
    </w:p>
    <w:p w14:paraId="08D0BA66" w14:textId="26566CDD" w:rsidR="00D74559" w:rsidRPr="00FB7CD7" w:rsidRDefault="00D74559" w:rsidP="004E120D">
      <w:pPr>
        <w:pStyle w:val="BulletLevel1"/>
      </w:pPr>
      <w:r w:rsidRPr="111F7F31">
        <w:t xml:space="preserve">work with </w:t>
      </w:r>
      <w:r w:rsidR="00D62EFA">
        <w:t xml:space="preserve">the </w:t>
      </w:r>
      <w:r w:rsidR="00661AC0">
        <w:t>Complementary Service</w:t>
      </w:r>
      <w:r>
        <w:t xml:space="preserve"> </w:t>
      </w:r>
      <w:r w:rsidR="00723892">
        <w:t>p</w:t>
      </w:r>
      <w:r>
        <w:t>rovider</w:t>
      </w:r>
      <w:r w:rsidRPr="111F7F31">
        <w:t xml:space="preserve"> to support</w:t>
      </w:r>
      <w:r w:rsidR="00D62EFA">
        <w:t xml:space="preserve"> the</w:t>
      </w:r>
      <w:r w:rsidRPr="111F7F31">
        <w:t xml:space="preserve"> Participant to successfully complete the </w:t>
      </w:r>
      <w:r w:rsidR="00CC5493">
        <w:t>A</w:t>
      </w:r>
      <w:r>
        <w:t>ctivity</w:t>
      </w:r>
      <w:r w:rsidR="00661AC0">
        <w:t>.</w:t>
      </w:r>
    </w:p>
    <w:p w14:paraId="3945E3FF" w14:textId="22DB427D" w:rsidR="00D74559" w:rsidRDefault="00D74559" w:rsidP="001D0F92">
      <w:pPr>
        <w:pStyle w:val="Heading4"/>
      </w:pPr>
      <w:bookmarkStart w:id="297" w:name="_Toc202900000"/>
      <w:r>
        <w:t>7.5.</w:t>
      </w:r>
      <w:r w:rsidR="008C6C49">
        <w:t>1</w:t>
      </w:r>
      <w:r w:rsidR="00DD5C98">
        <w:tab/>
      </w:r>
      <w:r>
        <w:t>Skills for Education and Employment</w:t>
      </w:r>
      <w:bookmarkEnd w:id="297"/>
    </w:p>
    <w:p w14:paraId="49488BF9" w14:textId="7B4BBCC6" w:rsidR="00D74559" w:rsidRDefault="00D74559" w:rsidP="006E2EF5">
      <w:r w:rsidRPr="25BC4409">
        <w:t xml:space="preserve">The </w:t>
      </w:r>
      <w:r w:rsidR="00A72393">
        <w:t>Skills for Education and Employment (</w:t>
      </w:r>
      <w:r w:rsidRPr="25BC4409">
        <w:t>SEE</w:t>
      </w:r>
      <w:r w:rsidR="00A72393">
        <w:t>)</w:t>
      </w:r>
      <w:r w:rsidRPr="25BC4409">
        <w:t xml:space="preserve"> program provides training in English language, reading, writing, maths and digital skills, to prepare Participants for Employment or further study. The program addresses the foundation skill gaps that </w:t>
      </w:r>
      <w:r w:rsidR="0BDF018D">
        <w:t>hinder</w:t>
      </w:r>
      <w:r w:rsidRPr="25BC4409">
        <w:t xml:space="preserve"> Participants</w:t>
      </w:r>
      <w:r w:rsidR="00382A52">
        <w:t>’</w:t>
      </w:r>
      <w:r w:rsidRPr="25BC4409">
        <w:t xml:space="preserve"> </w:t>
      </w:r>
      <w:r w:rsidR="43900FFB">
        <w:t>suitability</w:t>
      </w:r>
      <w:r w:rsidRPr="25BC4409">
        <w:t xml:space="preserve"> for many jobs and prevent their successful engagement in </w:t>
      </w:r>
      <w:r w:rsidR="002052B7">
        <w:t>T</w:t>
      </w:r>
      <w:r>
        <w:t>raining</w:t>
      </w:r>
      <w:r w:rsidRPr="25BC4409">
        <w:t xml:space="preserve"> for a specific occupation. SEE also improves Participants</w:t>
      </w:r>
      <w:r w:rsidR="00382A52">
        <w:t>’</w:t>
      </w:r>
      <w:r w:rsidRPr="25BC4409">
        <w:t xml:space="preserve"> confidence, leading to better engagement and pathways to stable, long-term Employment or further Education and Training.</w:t>
      </w:r>
    </w:p>
    <w:p w14:paraId="7F2E9D3B" w14:textId="4488569D" w:rsidR="00D74559" w:rsidRDefault="00D74559" w:rsidP="006E2EF5">
      <w:r w:rsidRPr="111F7F31">
        <w:t xml:space="preserve">SEE provides both </w:t>
      </w:r>
      <w:r w:rsidR="007D114A">
        <w:t>a</w:t>
      </w:r>
      <w:r w:rsidRPr="111F7F31">
        <w:t xml:space="preserve">ccredited and </w:t>
      </w:r>
      <w:r w:rsidR="007D114A">
        <w:t>n</w:t>
      </w:r>
      <w:r w:rsidRPr="111F7F31">
        <w:t>on-</w:t>
      </w:r>
      <w:r w:rsidR="007D114A">
        <w:t>a</w:t>
      </w:r>
      <w:r w:rsidRPr="111F7F31">
        <w:t xml:space="preserve">ccredited </w:t>
      </w:r>
      <w:r>
        <w:t>courses</w:t>
      </w:r>
      <w:r w:rsidRPr="111F7F31">
        <w:t xml:space="preserve"> that </w:t>
      </w:r>
      <w:r>
        <w:t>are</w:t>
      </w:r>
      <w:r w:rsidRPr="111F7F31">
        <w:t xml:space="preserve"> tailored to the Participant’s needs. </w:t>
      </w:r>
      <w:r>
        <w:t xml:space="preserve">For example, </w:t>
      </w:r>
      <w:r w:rsidRPr="0046698A">
        <w:t xml:space="preserve">SEE </w:t>
      </w:r>
      <w:r w:rsidR="00EA5C06">
        <w:t>T</w:t>
      </w:r>
      <w:r>
        <w:t>raining</w:t>
      </w:r>
      <w:r w:rsidRPr="0046698A">
        <w:t xml:space="preserve"> can focus on language and literacy only, </w:t>
      </w:r>
      <w:r w:rsidR="007C76EA">
        <w:t>such as</w:t>
      </w:r>
      <w:r w:rsidRPr="0046698A">
        <w:t xml:space="preserve"> a Certificate in Spoken and Written English, or be embedded in contextualised, real-world learning, such as Childcare or Aged Care courses.</w:t>
      </w:r>
    </w:p>
    <w:p w14:paraId="3A52CF1A" w14:textId="3EDD3009" w:rsidR="00D74559" w:rsidRDefault="00D74559" w:rsidP="006E2EF5">
      <w:r>
        <w:t xml:space="preserve">Providers have a responsibility to work with their </w:t>
      </w:r>
      <w:hyperlink r:id="rId59">
        <w:r w:rsidRPr="7B13E508">
          <w:rPr>
            <w:rStyle w:val="Hyperlink"/>
          </w:rPr>
          <w:t>local SEE providers</w:t>
        </w:r>
      </w:hyperlink>
      <w:r>
        <w:t xml:space="preserve"> and ensure they are familiar with SEE </w:t>
      </w:r>
      <w:r w:rsidR="00904CA8">
        <w:t>p</w:t>
      </w:r>
      <w:r>
        <w:t>rovider’s services.</w:t>
      </w:r>
    </w:p>
    <w:p w14:paraId="15DFFD3A" w14:textId="77777777" w:rsidR="00D74559" w:rsidRDefault="00D74559" w:rsidP="006F727E">
      <w:pPr>
        <w:pStyle w:val="SystemStep"/>
      </w:pPr>
      <w:r w:rsidRPr="25BC4409">
        <w:t>Providers should review the Participant’s Job Seeker Snapshot and discuss potential referral to SEE (or AMEP) if the Participant self-identified low ability in speaking, reading or writing English, that an interpreter is required during appointments, or the Participant completed less than Year 10 schooling.</w:t>
      </w:r>
    </w:p>
    <w:p w14:paraId="1C709821" w14:textId="1A64CDE4" w:rsidR="001438E0" w:rsidRDefault="00D74559" w:rsidP="001438E0">
      <w:r w:rsidRPr="25BC4409">
        <w:rPr>
          <w:rFonts w:ascii="Tahoma" w:eastAsia="Tahoma" w:hAnsi="Tahoma" w:cs="Tahoma"/>
        </w:rPr>
        <w:t xml:space="preserve">Refer to the </w:t>
      </w:r>
      <w:r w:rsidRPr="00A21B51">
        <w:rPr>
          <w:rStyle w:val="Hyperlink"/>
        </w:rPr>
        <w:t xml:space="preserve">SEE Information for Providers Fact Sheet </w:t>
      </w:r>
      <w:r w:rsidR="00A21B51" w:rsidRPr="00A21B51">
        <w:rPr>
          <w:rStyle w:val="Hyperlink"/>
        </w:rPr>
        <w:t>[LINK]</w:t>
      </w:r>
      <w:r w:rsidR="00A21B51">
        <w:rPr>
          <w:rFonts w:ascii="Tahoma" w:eastAsia="Tahoma" w:hAnsi="Tahoma" w:cs="Tahoma"/>
        </w:rPr>
        <w:t xml:space="preserve"> </w:t>
      </w:r>
      <w:r w:rsidRPr="25BC4409">
        <w:rPr>
          <w:rFonts w:ascii="Tahoma" w:eastAsia="Tahoma" w:hAnsi="Tahoma" w:cs="Tahoma"/>
        </w:rPr>
        <w:t>for more information</w:t>
      </w:r>
      <w:r w:rsidR="001A50A7">
        <w:rPr>
          <w:rFonts w:ascii="Tahoma" w:eastAsia="Tahoma" w:hAnsi="Tahoma" w:cs="Tahoma"/>
        </w:rPr>
        <w:t xml:space="preserve"> on the program</w:t>
      </w:r>
      <w:r w:rsidR="7BA4F715" w:rsidRPr="15B1815C">
        <w:rPr>
          <w:rFonts w:ascii="Tahoma" w:eastAsia="Tahoma" w:hAnsi="Tahoma" w:cs="Tahoma"/>
        </w:rPr>
        <w:t xml:space="preserve">, </w:t>
      </w:r>
      <w:r w:rsidR="001A50A7">
        <w:rPr>
          <w:rFonts w:ascii="Tahoma" w:eastAsia="Tahoma" w:hAnsi="Tahoma" w:cs="Tahoma"/>
        </w:rPr>
        <w:t>and the</w:t>
      </w:r>
      <w:r w:rsidR="7BA4F715" w:rsidRPr="15B1815C">
        <w:rPr>
          <w:rFonts w:ascii="Tahoma" w:eastAsia="Tahoma" w:hAnsi="Tahoma" w:cs="Tahoma"/>
        </w:rPr>
        <w:t xml:space="preserve"> </w:t>
      </w:r>
      <w:r w:rsidR="001A50A7" w:rsidRPr="008A3EB4">
        <w:rPr>
          <w:rStyle w:val="Hyperlink"/>
        </w:rPr>
        <w:t>Differentiating between AMEP and SEE Provider Fact Sheet</w:t>
      </w:r>
      <w:r w:rsidR="001A50A7" w:rsidRPr="00DB4E74">
        <w:rPr>
          <w:rStyle w:val="Hyperlink"/>
        </w:rPr>
        <w:t xml:space="preserve"> [LINK]</w:t>
      </w:r>
      <w:r w:rsidR="001A50A7">
        <w:rPr>
          <w:rFonts w:ascii="Tahoma" w:eastAsia="Tahoma" w:hAnsi="Tahoma" w:cs="Tahoma"/>
        </w:rPr>
        <w:t xml:space="preserve"> for more </w:t>
      </w:r>
      <w:r w:rsidRPr="25BC4409">
        <w:rPr>
          <w:rFonts w:ascii="Tahoma" w:eastAsia="Tahoma" w:hAnsi="Tahoma" w:cs="Tahoma"/>
        </w:rPr>
        <w:t>information on the differences between SEE and AMEP</w:t>
      </w:r>
      <w:r w:rsidR="00DB4E74">
        <w:rPr>
          <w:rFonts w:ascii="Tahoma" w:eastAsia="Tahoma" w:hAnsi="Tahoma" w:cs="Tahoma"/>
        </w:rPr>
        <w:t>, both available on the Provider Portal.</w:t>
      </w:r>
      <w:r w:rsidR="001438E0" w:rsidRPr="001438E0">
        <w:t xml:space="preserve"> </w:t>
      </w:r>
    </w:p>
    <w:p w14:paraId="7170BBC6" w14:textId="5CF41FB0" w:rsidR="001438E0" w:rsidRPr="001D1072" w:rsidRDefault="001438E0" w:rsidP="001438E0">
      <w:r w:rsidRPr="001D1072">
        <w:t xml:space="preserve">SEE </w:t>
      </w:r>
      <w:r>
        <w:t>activity</w:t>
      </w:r>
      <w:r w:rsidRPr="001D1072">
        <w:t xml:space="preserve"> information must be entered in the </w:t>
      </w:r>
      <w:r>
        <w:t>Department’s IT Systems</w:t>
      </w:r>
      <w:r w:rsidRPr="001D1072">
        <w:t xml:space="preserve"> to ensure eligible Participants receive the Language, Literacy and Numeracy Supplement</w:t>
      </w:r>
      <w:r>
        <w:t xml:space="preserve"> from Services Australia</w:t>
      </w:r>
      <w:r w:rsidRPr="001D1072">
        <w:t>.</w:t>
      </w:r>
    </w:p>
    <w:p w14:paraId="45CE1712" w14:textId="5B4F0D79" w:rsidR="001438E0" w:rsidRDefault="001438E0" w:rsidP="001438E0">
      <w:pPr>
        <w:pStyle w:val="SystemStep"/>
      </w:pPr>
      <w:r w:rsidRPr="25BC4409">
        <w:t xml:space="preserve">Providers refer Participants through the Department’s IT </w:t>
      </w:r>
      <w:r>
        <w:t>Systems</w:t>
      </w:r>
      <w:r w:rsidRPr="25BC4409">
        <w:t xml:space="preserve"> following instructions </w:t>
      </w:r>
      <w:r w:rsidR="00241AAF">
        <w:t>i</w:t>
      </w:r>
      <w:r w:rsidRPr="25BC4409">
        <w:t xml:space="preserve">n the </w:t>
      </w:r>
      <w:r w:rsidR="00241AAF">
        <w:t xml:space="preserve">supporting document </w:t>
      </w:r>
      <w:r w:rsidR="00241AAF">
        <w:rPr>
          <w:rStyle w:val="Hyperlink"/>
        </w:rPr>
        <w:t>Provider Actions – Referral to SEE [LINK]</w:t>
      </w:r>
      <w:r w:rsidRPr="25BC4409">
        <w:t>, located on the Provider Portal.</w:t>
      </w:r>
    </w:p>
    <w:p w14:paraId="52B0D00C" w14:textId="3B4D3CC2" w:rsidR="00783EEF" w:rsidRDefault="00783EEF" w:rsidP="00893C5D">
      <w:r w:rsidRPr="111F7F31">
        <w:t xml:space="preserve">When referring Participants </w:t>
      </w:r>
      <w:r w:rsidR="00CB1B77">
        <w:t>with Detailed Job Plan</w:t>
      </w:r>
      <w:r w:rsidR="00CB1B77" w:rsidRPr="111F7F31">
        <w:t xml:space="preserve"> </w:t>
      </w:r>
      <w:r w:rsidRPr="111F7F31">
        <w:t xml:space="preserve">to </w:t>
      </w:r>
      <w:r>
        <w:t>the</w:t>
      </w:r>
      <w:r w:rsidRPr="111F7F31" w:rsidDel="000D0B74">
        <w:t xml:space="preserve"> </w:t>
      </w:r>
      <w:r>
        <w:t>SEE program</w:t>
      </w:r>
      <w:r w:rsidRPr="111F7F31">
        <w:t>, Providers must</w:t>
      </w:r>
      <w:r>
        <w:t xml:space="preserve"> add Code ET57 [SEE and/or ESL assessment] and Code ET56 [SEE and/or ESL course] to the Participant’s Job Plan </w:t>
      </w:r>
      <w:r w:rsidR="00225EF9">
        <w:t>to</w:t>
      </w:r>
      <w:r>
        <w:t xml:space="preserve"> capture whether this Activity is a compulsory or voluntary requirement.</w:t>
      </w:r>
      <w:r w:rsidR="009A35D8">
        <w:t xml:space="preserve"> If the </w:t>
      </w:r>
      <w:r w:rsidR="005D6813">
        <w:t>SEE assessment finds that this Activity</w:t>
      </w:r>
      <w:r w:rsidR="00FB5559">
        <w:t xml:space="preserve"> </w:t>
      </w:r>
      <w:r w:rsidR="005D6813">
        <w:t>is not suitable for the Participant, Code ET56 [SEE and/or ESL course] would need to be removed from the Job Plan.</w:t>
      </w:r>
    </w:p>
    <w:p w14:paraId="653681FF" w14:textId="035A1A8E" w:rsidR="004E0B30" w:rsidRDefault="004E0B30" w:rsidP="006E2EF5">
      <w:r w:rsidRPr="004E0B30">
        <w:rPr>
          <w:b/>
          <w:bCs/>
        </w:rPr>
        <w:t>Note:</w:t>
      </w:r>
      <w:r>
        <w:t xml:space="preserve"> Within </w:t>
      </w:r>
      <w:r w:rsidR="00486F95">
        <w:t>C</w:t>
      </w:r>
      <w:r>
        <w:t>ode</w:t>
      </w:r>
      <w:r w:rsidR="00486F95">
        <w:t xml:space="preserve"> ET56 and ET56</w:t>
      </w:r>
      <w:r>
        <w:t xml:space="preserve">, ESL refers to </w:t>
      </w:r>
      <w:r w:rsidR="00402F46">
        <w:t>‘</w:t>
      </w:r>
      <w:r>
        <w:t>English as a second language</w:t>
      </w:r>
      <w:r w:rsidR="00402F46">
        <w:t>’</w:t>
      </w:r>
      <w:r>
        <w:t>.</w:t>
      </w:r>
    </w:p>
    <w:p w14:paraId="5DDC6BB4" w14:textId="05B0120A" w:rsidR="00D74559" w:rsidRDefault="00D74559" w:rsidP="005A7AE9">
      <w:pPr>
        <w:keepNext/>
      </w:pPr>
      <w:r>
        <w:t xml:space="preserve">Once the SEE </w:t>
      </w:r>
      <w:r w:rsidR="00F91AF2">
        <w:t>p</w:t>
      </w:r>
      <w:r>
        <w:t>rovider receives the referral, the</w:t>
      </w:r>
      <w:r w:rsidR="00891A02">
        <w:t>y</w:t>
      </w:r>
      <w:r>
        <w:t xml:space="preserve"> will contact the Participant</w:t>
      </w:r>
      <w:r w:rsidR="00891A02">
        <w:t xml:space="preserve"> and</w:t>
      </w:r>
      <w:r>
        <w:t xml:space="preserve"> check the Participant’s suitability </w:t>
      </w:r>
      <w:r w:rsidR="008A4B84">
        <w:t>for</w:t>
      </w:r>
      <w:r>
        <w:t xml:space="preserve"> the course</w:t>
      </w:r>
      <w:r w:rsidR="003F0C1D">
        <w:t xml:space="preserve">. This </w:t>
      </w:r>
      <w:r>
        <w:t>includ</w:t>
      </w:r>
      <w:r w:rsidR="003F0C1D">
        <w:t>es</w:t>
      </w:r>
      <w:r>
        <w:t>:</w:t>
      </w:r>
    </w:p>
    <w:p w14:paraId="1979A435" w14:textId="3A73A38E" w:rsidR="00D1691F" w:rsidRDefault="00225EF9" w:rsidP="00D1691F">
      <w:pPr>
        <w:pStyle w:val="BulletLevel1"/>
      </w:pPr>
      <w:r>
        <w:t>assess</w:t>
      </w:r>
      <w:r w:rsidR="00B30A7D">
        <w:t>ing</w:t>
      </w:r>
      <w:r w:rsidR="00D74559">
        <w:t xml:space="preserve"> the Participant’s capability levels against the Australian Core Skills Framework and</w:t>
      </w:r>
      <w:r w:rsidR="00363BFC">
        <w:t xml:space="preserve"> </w:t>
      </w:r>
      <w:r w:rsidR="00D74559">
        <w:t>determin</w:t>
      </w:r>
      <w:r w:rsidR="00B30A7D">
        <w:t>ing</w:t>
      </w:r>
      <w:r w:rsidR="00D74559">
        <w:t xml:space="preserve"> their capacity to benefit from the program</w:t>
      </w:r>
      <w:r w:rsidR="00D1691F">
        <w:t xml:space="preserve">, </w:t>
      </w:r>
    </w:p>
    <w:p w14:paraId="5517AE22" w14:textId="77777777" w:rsidR="003F0C1D" w:rsidRDefault="00D74559" w:rsidP="004E120D">
      <w:pPr>
        <w:pStyle w:val="BulletLevel1"/>
      </w:pPr>
      <w:r>
        <w:t>advis</w:t>
      </w:r>
      <w:r w:rsidR="008E65AC">
        <w:t>ing</w:t>
      </w:r>
      <w:r>
        <w:t xml:space="preserve"> the Participant and the Provider </w:t>
      </w:r>
      <w:r w:rsidR="003F0C1D">
        <w:t>whether</w:t>
      </w:r>
      <w:r>
        <w:t xml:space="preserve"> </w:t>
      </w:r>
      <w:r w:rsidR="00B30A7D">
        <w:t>training</w:t>
      </w:r>
      <w:r>
        <w:t xml:space="preserve"> is recommended</w:t>
      </w:r>
      <w:r w:rsidR="003F0C1D">
        <w:t>,</w:t>
      </w:r>
      <w:r>
        <w:t xml:space="preserve"> and</w:t>
      </w:r>
    </w:p>
    <w:p w14:paraId="28ED798F" w14:textId="2EA6E45D" w:rsidR="00D74559" w:rsidRDefault="00D74559" w:rsidP="004E120D">
      <w:pPr>
        <w:pStyle w:val="BulletLevel1"/>
      </w:pPr>
      <w:r>
        <w:t>commenc</w:t>
      </w:r>
      <w:r w:rsidR="00B30A7D">
        <w:t>ing</w:t>
      </w:r>
      <w:r>
        <w:t xml:space="preserve"> Participant in a course of study aligned to their goals and capabilities</w:t>
      </w:r>
      <w:r w:rsidR="00EA6EF7">
        <w:t>,</w:t>
      </w:r>
      <w:r w:rsidR="00B30A7D">
        <w:t xml:space="preserve"> </w:t>
      </w:r>
      <w:r w:rsidR="00D1691F">
        <w:t>where</w:t>
      </w:r>
      <w:r w:rsidR="00B30A7D">
        <w:t xml:space="preserve"> training is recommended</w:t>
      </w:r>
      <w:r>
        <w:t>.</w:t>
      </w:r>
    </w:p>
    <w:p w14:paraId="395D1D9E" w14:textId="77777777" w:rsidR="00D74559" w:rsidRPr="009A5818" w:rsidRDefault="00D74559" w:rsidP="006E2EF5">
      <w:pPr>
        <w:pStyle w:val="TableChartHeading"/>
      </w:pPr>
      <w:r>
        <w:t>Key considerations for SEE referrals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02F8E733" w14:textId="77777777" w:rsidTr="00977BE8">
        <w:trPr>
          <w:cnfStyle w:val="100000000000" w:firstRow="1" w:lastRow="0" w:firstColumn="0" w:lastColumn="0" w:oddVBand="0" w:evenVBand="0" w:oddHBand="0" w:evenHBand="0" w:firstRowFirstColumn="0" w:firstRowLastColumn="0" w:lastRowFirstColumn="0" w:lastRowLastColumn="0"/>
          <w:cantSplit/>
        </w:trPr>
        <w:tc>
          <w:tcPr>
            <w:tcW w:w="1838" w:type="dxa"/>
            <w:tcBorders>
              <w:bottom w:val="single" w:sz="4" w:space="0" w:color="auto"/>
            </w:tcBorders>
          </w:tcPr>
          <w:p w14:paraId="444618DB" w14:textId="77777777" w:rsidR="00D74559" w:rsidRPr="00FB7CD7" w:rsidRDefault="00D74559" w:rsidP="00C93FA0">
            <w:pPr>
              <w:pStyle w:val="TableText"/>
              <w:rPr>
                <w:b w:val="0"/>
              </w:rPr>
            </w:pPr>
            <w:r>
              <w:t>Factor</w:t>
            </w:r>
          </w:p>
        </w:tc>
        <w:tc>
          <w:tcPr>
            <w:tcW w:w="7790" w:type="dxa"/>
            <w:tcBorders>
              <w:bottom w:val="single" w:sz="4" w:space="0" w:color="auto"/>
            </w:tcBorders>
          </w:tcPr>
          <w:p w14:paraId="503456F5" w14:textId="77777777" w:rsidR="00D74559" w:rsidRPr="00FB7CD7" w:rsidRDefault="00D74559" w:rsidP="00C93FA0">
            <w:pPr>
              <w:pStyle w:val="TableText"/>
            </w:pPr>
            <w:r>
              <w:t>Details</w:t>
            </w:r>
          </w:p>
        </w:tc>
      </w:tr>
      <w:tr w:rsidR="00D74559" w:rsidRPr="00FB7CD7" w14:paraId="21F69B7E" w14:textId="77777777" w:rsidTr="00977BE8">
        <w:trPr>
          <w:cnfStyle w:val="000000100000" w:firstRow="0" w:lastRow="0" w:firstColumn="0" w:lastColumn="0" w:oddVBand="0" w:evenVBand="0" w:oddHBand="1" w:evenHBand="0" w:firstRowFirstColumn="0" w:firstRowLastColumn="0" w:lastRowFirstColumn="0" w:lastRowLastColumn="0"/>
          <w:cantSplit/>
        </w:trPr>
        <w:tc>
          <w:tcPr>
            <w:tcW w:w="1838" w:type="dxa"/>
            <w:tcBorders>
              <w:bottom w:val="single" w:sz="4" w:space="0" w:color="auto"/>
            </w:tcBorders>
          </w:tcPr>
          <w:p w14:paraId="21CA3C1D" w14:textId="77777777" w:rsidR="00D74559" w:rsidRPr="00FB7CD7" w:rsidRDefault="00D74559" w:rsidP="00C93FA0">
            <w:pPr>
              <w:pStyle w:val="TableText"/>
            </w:pPr>
            <w:r w:rsidRPr="00FB7CD7">
              <w:t>Participant eligibility</w:t>
            </w:r>
          </w:p>
        </w:tc>
        <w:tc>
          <w:tcPr>
            <w:tcW w:w="7790" w:type="dxa"/>
            <w:tcBorders>
              <w:bottom w:val="single" w:sz="4" w:space="0" w:color="auto"/>
            </w:tcBorders>
          </w:tcPr>
          <w:p w14:paraId="6670DAEF" w14:textId="784A9F52" w:rsidR="00D74559" w:rsidRPr="00FB7CD7" w:rsidRDefault="00D74559" w:rsidP="007D21CC">
            <w:pPr>
              <w:pStyle w:val="TableList-level1"/>
            </w:pPr>
            <w:r>
              <w:t xml:space="preserve">Aged 15 years or over </w:t>
            </w:r>
            <w:r w:rsidR="00787139">
              <w:t>and under</w:t>
            </w:r>
            <w:r>
              <w:t xml:space="preserve"> the Age Pension age.</w:t>
            </w:r>
          </w:p>
          <w:p w14:paraId="128BEEB9" w14:textId="77777777" w:rsidR="00D74559" w:rsidRPr="00AF01E6" w:rsidRDefault="00D74559" w:rsidP="007D21CC">
            <w:pPr>
              <w:pStyle w:val="TableList-level1"/>
            </w:pPr>
            <w:r>
              <w:rPr>
                <w:rFonts w:eastAsia="Tahoma"/>
              </w:rPr>
              <w:t>Have working rights in Australia.</w:t>
            </w:r>
          </w:p>
          <w:p w14:paraId="1D51F844" w14:textId="77777777" w:rsidR="00D74559" w:rsidRDefault="00D74559" w:rsidP="007D21CC">
            <w:pPr>
              <w:pStyle w:val="TableList-level1"/>
            </w:pPr>
            <w:r w:rsidRPr="25BC4409">
              <w:t>Does not have significant non-vocational issues that need to be addressed before they can benefit from SEE.</w:t>
            </w:r>
          </w:p>
          <w:p w14:paraId="6CADFFFF" w14:textId="77777777" w:rsidR="00D74559" w:rsidRDefault="00D74559" w:rsidP="007D21CC">
            <w:pPr>
              <w:pStyle w:val="TableList-level1"/>
            </w:pPr>
            <w:r>
              <w:t>Not in enrolled in full-time Education or Training.</w:t>
            </w:r>
          </w:p>
          <w:p w14:paraId="6A42DBC9" w14:textId="77777777" w:rsidR="00D74559" w:rsidRPr="00B56C86" w:rsidRDefault="00D74559" w:rsidP="007D21CC">
            <w:pPr>
              <w:pStyle w:val="TableList-level1"/>
            </w:pPr>
            <w:r w:rsidRPr="25BC4409">
              <w:t>Not participating in AMEP.</w:t>
            </w:r>
          </w:p>
        </w:tc>
      </w:tr>
      <w:tr w:rsidR="00FC127C" w:rsidRPr="00FB7CD7" w14:paraId="448FD806" w14:textId="77777777" w:rsidTr="00977BE8">
        <w:trPr>
          <w:cnfStyle w:val="000000010000" w:firstRow="0" w:lastRow="0" w:firstColumn="0" w:lastColumn="0" w:oddVBand="0" w:evenVBand="0" w:oddHBand="0" w:evenHBand="1" w:firstRowFirstColumn="0" w:firstRowLastColumn="0" w:lastRowFirstColumn="0" w:lastRowLastColumn="0"/>
        </w:trPr>
        <w:tc>
          <w:tcPr>
            <w:tcW w:w="1838" w:type="dxa"/>
            <w:tcBorders>
              <w:top w:val="single" w:sz="4" w:space="0" w:color="auto"/>
            </w:tcBorders>
          </w:tcPr>
          <w:p w14:paraId="0CB7F2B7" w14:textId="77777777" w:rsidR="00D74559" w:rsidRPr="00FB7CD7" w:rsidRDefault="00D74559" w:rsidP="00C93FA0">
            <w:pPr>
              <w:pStyle w:val="TableText"/>
            </w:pPr>
            <w:r>
              <w:t>Format</w:t>
            </w:r>
          </w:p>
        </w:tc>
        <w:tc>
          <w:tcPr>
            <w:tcW w:w="7790" w:type="dxa"/>
            <w:tcBorders>
              <w:top w:val="single" w:sz="4" w:space="0" w:color="auto"/>
            </w:tcBorders>
          </w:tcPr>
          <w:p w14:paraId="07E703F7" w14:textId="77777777" w:rsidR="00D74559" w:rsidRPr="00FB7CD7" w:rsidRDefault="00D74559" w:rsidP="00C93FA0">
            <w:pPr>
              <w:pStyle w:val="TableText"/>
            </w:pPr>
            <w:r>
              <w:t>Courses can be delivered either in person or hybrid (combination of in person and online).</w:t>
            </w:r>
          </w:p>
        </w:tc>
      </w:tr>
      <w:tr w:rsidR="00D74559" w:rsidRPr="00FB7CD7" w14:paraId="3321304F"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Pr>
          <w:p w14:paraId="5D5F27FC" w14:textId="77777777" w:rsidR="00D74559" w:rsidRPr="00FB7CD7" w:rsidRDefault="00D74559" w:rsidP="00C93FA0">
            <w:pPr>
              <w:pStyle w:val="TableText"/>
            </w:pPr>
            <w:r w:rsidRPr="00FB7CD7">
              <w:t>Duration</w:t>
            </w:r>
          </w:p>
        </w:tc>
        <w:tc>
          <w:tcPr>
            <w:tcW w:w="7790" w:type="dxa"/>
          </w:tcPr>
          <w:p w14:paraId="268DC52A" w14:textId="77777777" w:rsidR="00D74559" w:rsidRDefault="00D74559" w:rsidP="00C93FA0">
            <w:pPr>
              <w:pStyle w:val="TableText"/>
            </w:pPr>
            <w:r w:rsidRPr="001D1072" w:rsidDel="00A40EC5">
              <w:t>S</w:t>
            </w:r>
            <w:r w:rsidRPr="001D1072">
              <w:t>EE clients have 2</w:t>
            </w:r>
            <w:r>
              <w:t> </w:t>
            </w:r>
            <w:r w:rsidRPr="001D1072">
              <w:t>years in a single referral period to complete their chosen course(s) or qualification(s).</w:t>
            </w:r>
          </w:p>
          <w:p w14:paraId="27D1B533" w14:textId="77777777" w:rsidR="00D74559" w:rsidRPr="00FB7CD7" w:rsidRDefault="00D74559" w:rsidP="00C93FA0">
            <w:pPr>
              <w:pStyle w:val="TableText"/>
            </w:pPr>
            <w:r>
              <w:t>Participation can be full-time or part-time.</w:t>
            </w:r>
          </w:p>
        </w:tc>
      </w:tr>
      <w:tr w:rsidR="00FD020B" w:rsidRPr="00FB7CD7" w14:paraId="5AE3EFAE"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Borders>
              <w:bottom w:val="single" w:sz="4" w:space="0" w:color="auto"/>
            </w:tcBorders>
          </w:tcPr>
          <w:p w14:paraId="1B4704D1" w14:textId="77777777" w:rsidR="00D74559" w:rsidRPr="00FB7CD7" w:rsidRDefault="00D74559" w:rsidP="00C93FA0">
            <w:pPr>
              <w:pStyle w:val="TableText"/>
            </w:pPr>
            <w:r w:rsidRPr="111F7F31">
              <w:t>Cost to Provider</w:t>
            </w:r>
          </w:p>
        </w:tc>
        <w:tc>
          <w:tcPr>
            <w:tcW w:w="7790" w:type="dxa"/>
            <w:tcBorders>
              <w:bottom w:val="single" w:sz="4" w:space="0" w:color="auto"/>
            </w:tcBorders>
          </w:tcPr>
          <w:p w14:paraId="0E908FA9" w14:textId="77777777" w:rsidR="00D74559" w:rsidRPr="00FB7CD7" w:rsidRDefault="00D74559" w:rsidP="00C93FA0">
            <w:pPr>
              <w:pStyle w:val="TableText"/>
            </w:pPr>
            <w:r>
              <w:t>N/A</w:t>
            </w:r>
          </w:p>
        </w:tc>
      </w:tr>
      <w:tr w:rsidR="00D74559" w:rsidRPr="00FB7CD7" w14:paraId="6C3CDA38"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Borders>
              <w:bottom w:val="single" w:sz="4" w:space="0" w:color="auto"/>
            </w:tcBorders>
          </w:tcPr>
          <w:p w14:paraId="756EC345" w14:textId="51D99C94" w:rsidR="00D74559" w:rsidRPr="00FB7CD7" w:rsidRDefault="00D74559" w:rsidP="00C93FA0">
            <w:pPr>
              <w:pStyle w:val="TableText"/>
            </w:pPr>
            <w:r w:rsidRPr="00FB7CD7">
              <w:t>Participation</w:t>
            </w:r>
            <w:r w:rsidR="00D31AC6">
              <w:t xml:space="preserve"> requirements</w:t>
            </w:r>
          </w:p>
        </w:tc>
        <w:tc>
          <w:tcPr>
            <w:tcW w:w="7790" w:type="dxa"/>
            <w:tcBorders>
              <w:bottom w:val="single" w:sz="4" w:space="0" w:color="auto"/>
            </w:tcBorders>
          </w:tcPr>
          <w:p w14:paraId="35461ED6" w14:textId="77777777" w:rsidR="00D74559" w:rsidRDefault="00D74559" w:rsidP="00C93FA0">
            <w:pPr>
              <w:pStyle w:val="TableText"/>
            </w:pPr>
            <w:r>
              <w:t>Participation in SEE can be compulsory or voluntary.</w:t>
            </w:r>
          </w:p>
          <w:p w14:paraId="700ABB9D" w14:textId="55DCC0D9" w:rsidR="00427CE5" w:rsidRDefault="00427CE5" w:rsidP="00C93FA0">
            <w:pPr>
              <w:pStyle w:val="TableText"/>
            </w:pPr>
            <w:r>
              <w:t xml:space="preserve">A </w:t>
            </w:r>
            <w:r w:rsidRPr="111F7F31">
              <w:t xml:space="preserve">Participant </w:t>
            </w:r>
            <w:r>
              <w:t>in</w:t>
            </w:r>
            <w:r w:rsidRPr="111F7F31">
              <w:t xml:space="preserve"> </w:t>
            </w:r>
            <w:r>
              <w:t>SEE should have no Job Search as part of the agreed tasks and activities for the Meaningful Engagement Requirement or have their Job Search Requirement set to zero in a Detailed Job Detail.</w:t>
            </w:r>
          </w:p>
          <w:p w14:paraId="5E19B974" w14:textId="30FEA06C" w:rsidR="00D74559" w:rsidRDefault="00D74559" w:rsidP="00C93FA0">
            <w:pPr>
              <w:pStyle w:val="TableText"/>
            </w:pPr>
            <w:r w:rsidRPr="25BC4409">
              <w:t xml:space="preserve">Providers should liaise with the SEE </w:t>
            </w:r>
            <w:r w:rsidR="00EB389F">
              <w:t>p</w:t>
            </w:r>
            <w:r>
              <w:t>rovider</w:t>
            </w:r>
            <w:r w:rsidRPr="25BC4409">
              <w:t xml:space="preserve"> regarding the Participant’s assessed capability levels and to establish agreed communication protocols for advice on attendance and progression.</w:t>
            </w:r>
          </w:p>
          <w:p w14:paraId="1BEC7C72" w14:textId="781FA9F4" w:rsidR="00D74559" w:rsidRPr="002F7A4D" w:rsidRDefault="00D74559" w:rsidP="00C93FA0">
            <w:pPr>
              <w:pStyle w:val="TableText"/>
            </w:pPr>
            <w:r w:rsidRPr="25BC4409">
              <w:t xml:space="preserve">The SEE </w:t>
            </w:r>
            <w:r w:rsidR="00EB389F">
              <w:t>p</w:t>
            </w:r>
            <w:r>
              <w:t>rovider</w:t>
            </w:r>
            <w:r w:rsidRPr="25BC4409">
              <w:t xml:space="preserve"> is responsible for exiting the Participant from SEE should they cease to attend </w:t>
            </w:r>
            <w:r w:rsidR="005100A5">
              <w:t>t</w:t>
            </w:r>
            <w:r>
              <w:t>raining</w:t>
            </w:r>
            <w:r w:rsidRPr="25BC4409">
              <w:t xml:space="preserve"> regularly and are not contactable to ascertain a reason. In this instance, the SEE </w:t>
            </w:r>
            <w:r w:rsidR="00EB389F">
              <w:t>p</w:t>
            </w:r>
            <w:r>
              <w:t>rovider</w:t>
            </w:r>
            <w:r w:rsidRPr="25BC4409">
              <w:t xml:space="preserve"> will notify the Provider.</w:t>
            </w:r>
          </w:p>
          <w:p w14:paraId="5A6EEB11" w14:textId="7FA37FC9" w:rsidR="00D74559" w:rsidRPr="00FB7CD7" w:rsidRDefault="00D74559" w:rsidP="00C93FA0">
            <w:pPr>
              <w:pStyle w:val="TableText"/>
            </w:pPr>
            <w:r>
              <w:t xml:space="preserve">Best practice is for Providers to work collaboratively with SEE </w:t>
            </w:r>
            <w:r w:rsidR="00EB389F">
              <w:t>p</w:t>
            </w:r>
            <w:r>
              <w:t>roviders to support Participants.</w:t>
            </w:r>
          </w:p>
        </w:tc>
      </w:tr>
    </w:tbl>
    <w:p w14:paraId="758C7786" w14:textId="35D7C3D5" w:rsidR="00D74559" w:rsidRDefault="00D74559" w:rsidP="001D0F92">
      <w:pPr>
        <w:pStyle w:val="Heading4"/>
      </w:pPr>
      <w:bookmarkStart w:id="298" w:name="_Toc202900001"/>
      <w:r>
        <w:t>7.5.</w:t>
      </w:r>
      <w:r w:rsidR="008C6C49">
        <w:t>2</w:t>
      </w:r>
      <w:r w:rsidR="00DD5C98">
        <w:tab/>
      </w:r>
      <w:r>
        <w:t>Adult Migrant Education Program</w:t>
      </w:r>
      <w:bookmarkEnd w:id="298"/>
    </w:p>
    <w:p w14:paraId="28D24026" w14:textId="2CF27D64" w:rsidR="00D74559" w:rsidRDefault="00D74559" w:rsidP="006E2EF5">
      <w:r w:rsidRPr="25BC4409">
        <w:t>A</w:t>
      </w:r>
      <w:r w:rsidR="00EB389F">
        <w:t xml:space="preserve">dult </w:t>
      </w:r>
      <w:r w:rsidRPr="25BC4409">
        <w:t>M</w:t>
      </w:r>
      <w:r w:rsidR="00EB389F">
        <w:t xml:space="preserve">igrant and </w:t>
      </w:r>
      <w:r w:rsidRPr="25BC4409">
        <w:t>E</w:t>
      </w:r>
      <w:r w:rsidR="00EB389F">
        <w:t xml:space="preserve">nglish </w:t>
      </w:r>
      <w:r w:rsidRPr="25BC4409">
        <w:t>P</w:t>
      </w:r>
      <w:r w:rsidR="00EB389F">
        <w:t>rogram (AMEP)</w:t>
      </w:r>
      <w:r w:rsidRPr="25BC4409">
        <w:t xml:space="preserve"> provides free English language tuition to eligible migrants and humanitarian entrants to help them learn foundation English language and settlement skills to enable them to participate socially and economically in Australian society. </w:t>
      </w:r>
    </w:p>
    <w:p w14:paraId="24F3BE02" w14:textId="73499309" w:rsidR="00D74559" w:rsidRPr="008D4864" w:rsidRDefault="00D74559" w:rsidP="006E2EF5">
      <w:r>
        <w:t xml:space="preserve">AMEP provides a range of flexible learning options to help Participants study </w:t>
      </w:r>
      <w:r w:rsidR="000F35B0">
        <w:t>and</w:t>
      </w:r>
      <w:r>
        <w:t xml:space="preserve"> provides free childcare services if Participants have under school-aged children when participating in face-to-face classes. </w:t>
      </w:r>
    </w:p>
    <w:p w14:paraId="35CD2227" w14:textId="77777777" w:rsidR="00D74559" w:rsidRDefault="00D74559" w:rsidP="006E2EF5">
      <w:r w:rsidRPr="003828F0">
        <w:t xml:space="preserve">Providers have </w:t>
      </w:r>
      <w:r>
        <w:t>a</w:t>
      </w:r>
      <w:r w:rsidRPr="003828F0">
        <w:t xml:space="preserve"> responsibility to</w:t>
      </w:r>
      <w:r>
        <w:t xml:space="preserve"> </w:t>
      </w:r>
      <w:r w:rsidRPr="0046698A">
        <w:t xml:space="preserve">work with </w:t>
      </w:r>
      <w:r>
        <w:t xml:space="preserve">their </w:t>
      </w:r>
      <w:hyperlink r:id="rId60" w:history="1">
        <w:r w:rsidRPr="003828F0">
          <w:rPr>
            <w:rStyle w:val="Hyperlink"/>
          </w:rPr>
          <w:t xml:space="preserve">local </w:t>
        </w:r>
        <w:r>
          <w:rPr>
            <w:rStyle w:val="Hyperlink"/>
          </w:rPr>
          <w:t>AMEP</w:t>
        </w:r>
        <w:r w:rsidRPr="003828F0">
          <w:rPr>
            <w:rStyle w:val="Hyperlink"/>
          </w:rPr>
          <w:t xml:space="preserve"> </w:t>
        </w:r>
        <w:r>
          <w:rPr>
            <w:rStyle w:val="Hyperlink"/>
          </w:rPr>
          <w:t>p</w:t>
        </w:r>
        <w:r w:rsidRPr="003828F0">
          <w:rPr>
            <w:rStyle w:val="Hyperlink"/>
          </w:rPr>
          <w:t>roviders</w:t>
        </w:r>
      </w:hyperlink>
      <w:r w:rsidRPr="003828F0">
        <w:t xml:space="preserve"> and ensure they are familiar with </w:t>
      </w:r>
      <w:r>
        <w:t>AMEP provider</w:t>
      </w:r>
      <w:r w:rsidRPr="003828F0">
        <w:t>’s service</w:t>
      </w:r>
      <w:r>
        <w:t xml:space="preserve">s. There is a </w:t>
      </w:r>
      <w:hyperlink r:id="rId61" w:history="1">
        <w:r w:rsidRPr="00BD22BA">
          <w:rPr>
            <w:rStyle w:val="Hyperlink"/>
          </w:rPr>
          <w:t>Distance Learning option</w:t>
        </w:r>
      </w:hyperlink>
      <w:r>
        <w:t>.</w:t>
      </w:r>
    </w:p>
    <w:p w14:paraId="19A3FA54" w14:textId="77777777" w:rsidR="00D74559" w:rsidRDefault="00D74559" w:rsidP="006F727E">
      <w:pPr>
        <w:pStyle w:val="SystemStep"/>
      </w:pPr>
      <w:r w:rsidRPr="25BC4409">
        <w:t>Providers should review the Participant’s Job Seeker Snapshot and discuss potential referral to AMEP if the Participant self-identified low ability in speaking, reading or writing English or that an interpreter is required during appointments.</w:t>
      </w:r>
    </w:p>
    <w:p w14:paraId="42C718EB" w14:textId="559D5CCC" w:rsidR="00D74559" w:rsidRDefault="00D74559" w:rsidP="006E2EF5">
      <w:pPr>
        <w:rPr>
          <w:rFonts w:ascii="Tahoma" w:eastAsia="Tahoma" w:hAnsi="Tahoma" w:cs="Tahoma"/>
        </w:rPr>
      </w:pPr>
      <w:r w:rsidRPr="25BC4409">
        <w:rPr>
          <w:rFonts w:ascii="Tahoma" w:eastAsia="Tahoma" w:hAnsi="Tahoma" w:cs="Tahoma"/>
        </w:rPr>
        <w:t xml:space="preserve">Refer to the following table on key factors to consider when referring Participants to AMEP.  </w:t>
      </w:r>
      <w:r w:rsidR="5A213E35" w:rsidRPr="497ADA4B">
        <w:rPr>
          <w:rFonts w:ascii="Tahoma" w:eastAsia="Tahoma" w:hAnsi="Tahoma" w:cs="Tahoma"/>
        </w:rPr>
        <w:t>I</w:t>
      </w:r>
      <w:r w:rsidRPr="25BC4409">
        <w:rPr>
          <w:rFonts w:ascii="Tahoma" w:eastAsia="Tahoma" w:hAnsi="Tahoma" w:cs="Tahoma"/>
        </w:rPr>
        <w:t>nformation on the differences between SEE and AMEP is also available as a supporting document on the Provider Portal</w:t>
      </w:r>
      <w:r w:rsidR="00693ABD">
        <w:rPr>
          <w:rFonts w:ascii="Tahoma" w:eastAsia="Tahoma" w:hAnsi="Tahoma" w:cs="Tahoma"/>
        </w:rPr>
        <w:t xml:space="preserve">, refer to the </w:t>
      </w:r>
      <w:r w:rsidR="00693ABD" w:rsidRPr="008A3EB4">
        <w:rPr>
          <w:rStyle w:val="Hyperlink"/>
        </w:rPr>
        <w:t>Differentiating between AMEP and SEE Provider Fact Sheet</w:t>
      </w:r>
      <w:r w:rsidR="00693ABD">
        <w:rPr>
          <w:rStyle w:val="Hyperlink"/>
        </w:rPr>
        <w:t xml:space="preserve"> [LINK]</w:t>
      </w:r>
      <w:r w:rsidRPr="25BC4409">
        <w:rPr>
          <w:rFonts w:ascii="Tahoma" w:eastAsia="Tahoma" w:hAnsi="Tahoma" w:cs="Tahoma"/>
        </w:rPr>
        <w:t>.</w:t>
      </w:r>
    </w:p>
    <w:p w14:paraId="0339E082" w14:textId="4C802A71" w:rsidR="00BB4DA3" w:rsidRPr="007C7277" w:rsidRDefault="00BB4DA3" w:rsidP="00BB4DA3">
      <w:pPr>
        <w:pStyle w:val="SystemStep"/>
        <w:rPr>
          <w:rFonts w:ascii="Tahoma" w:eastAsia="Tahoma" w:hAnsi="Tahoma" w:cs="Tahoma"/>
          <w:lang w:val="en-GB"/>
        </w:rPr>
      </w:pPr>
      <w:r w:rsidRPr="21E3D223">
        <w:rPr>
          <w:lang w:val="en-GB"/>
        </w:rPr>
        <w:t xml:space="preserve">The Provider must </w:t>
      </w:r>
      <w:r>
        <w:rPr>
          <w:lang w:val="en-GB"/>
        </w:rPr>
        <w:t>add the</w:t>
      </w:r>
      <w:r w:rsidRPr="21E3D223">
        <w:rPr>
          <w:lang w:val="en-GB"/>
        </w:rPr>
        <w:t xml:space="preserve"> Participant’s </w:t>
      </w:r>
      <w:r>
        <w:rPr>
          <w:lang w:val="en-GB"/>
        </w:rPr>
        <w:t>participation in AMEP as an Activity</w:t>
      </w:r>
      <w:r w:rsidRPr="21E3D223">
        <w:rPr>
          <w:lang w:val="en-GB"/>
        </w:rPr>
        <w:t xml:space="preserve"> in the Department’s IT Systems</w:t>
      </w:r>
      <w:r>
        <w:rPr>
          <w:lang w:val="en-GB"/>
        </w:rPr>
        <w:t>.</w:t>
      </w:r>
    </w:p>
    <w:p w14:paraId="6B13D63F" w14:textId="4E0585AB" w:rsidR="00D74559" w:rsidRDefault="004853B1" w:rsidP="006E2EF5">
      <w:pPr>
        <w:keepNext/>
        <w:spacing w:before="60" w:after="60" w:line="276" w:lineRule="auto"/>
      </w:pPr>
      <w:r>
        <w:t>I</w:t>
      </w:r>
      <w:r w:rsidR="00AF7AB1">
        <w:t xml:space="preserve">f the Participant has a Detailed Job Plan, </w:t>
      </w:r>
      <w:r w:rsidR="00D74559" w:rsidRPr="111F7F31">
        <w:t>Providers must</w:t>
      </w:r>
      <w:r w:rsidR="00D74559" w:rsidRPr="003B6B0F">
        <w:t xml:space="preserve"> </w:t>
      </w:r>
      <w:r w:rsidR="00D74559">
        <w:t>add Code ET52 [Adult Migrant English] to the Participant’s Job Plan</w:t>
      </w:r>
      <w:r w:rsidR="00F027A2">
        <w:t xml:space="preserve"> in order to capture whether this Activity is a compulsory or voluntary requirement</w:t>
      </w:r>
      <w:r w:rsidR="00D74559">
        <w:t>.</w:t>
      </w:r>
    </w:p>
    <w:p w14:paraId="730F17C9" w14:textId="1CF69047" w:rsidR="00D74559" w:rsidRDefault="00D74559" w:rsidP="006E2EF5">
      <w:pPr>
        <w:keepNext/>
        <w:spacing w:before="60" w:after="60" w:line="276" w:lineRule="auto"/>
      </w:pPr>
      <w:r w:rsidRPr="006D5943">
        <w:rPr>
          <w:b/>
          <w:bCs/>
        </w:rPr>
        <w:t>Note:</w:t>
      </w:r>
      <w:r w:rsidRPr="006D5943">
        <w:t xml:space="preserve"> </w:t>
      </w:r>
      <w:r w:rsidR="004853B1">
        <w:t>T</w:t>
      </w:r>
      <w:r w:rsidRPr="006D5943">
        <w:t xml:space="preserve">he </w:t>
      </w:r>
      <w:r w:rsidR="004853B1">
        <w:t xml:space="preserve">AMEP </w:t>
      </w:r>
      <w:r w:rsidRPr="006D5943">
        <w:t xml:space="preserve">end date </w:t>
      </w:r>
      <w:r w:rsidR="004853B1">
        <w:t xml:space="preserve">in a Job Plan </w:t>
      </w:r>
      <w:r w:rsidRPr="006D5943">
        <w:t>cannot be greater than 25 months from the start date. If a Participant continues to participate in AMEP beyond th</w:t>
      </w:r>
      <w:r w:rsidR="00D347F0">
        <w:t>is</w:t>
      </w:r>
      <w:r w:rsidRPr="006D5943">
        <w:t xml:space="preserve"> end date, </w:t>
      </w:r>
      <w:r w:rsidR="00574242">
        <w:t>a new AMEP</w:t>
      </w:r>
      <w:r w:rsidRPr="006D5943">
        <w:t xml:space="preserve"> Activity should be added to the Job Plan with the start date </w:t>
      </w:r>
      <w:r w:rsidR="00546A9C">
        <w:t>of the date the Activity is recorded</w:t>
      </w:r>
      <w:r w:rsidR="00440C02">
        <w:t xml:space="preserve"> in the Job Plan</w:t>
      </w:r>
      <w:r w:rsidRPr="006D5943">
        <w:t>.</w:t>
      </w:r>
    </w:p>
    <w:p w14:paraId="0022DD04" w14:textId="77777777" w:rsidR="00D74559" w:rsidRPr="009A5818" w:rsidRDefault="00D74559" w:rsidP="006E2EF5">
      <w:pPr>
        <w:pStyle w:val="TableChartHeading"/>
      </w:pPr>
      <w:r>
        <w:t>Key considerations for AMEP referrals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8165"/>
      </w:tblGrid>
      <w:tr w:rsidR="00FC127C" w:rsidRPr="00FB7CD7" w14:paraId="70B287FB" w14:textId="77777777" w:rsidTr="006B1361">
        <w:trPr>
          <w:cnfStyle w:val="100000000000" w:firstRow="1" w:lastRow="0" w:firstColumn="0" w:lastColumn="0" w:oddVBand="0" w:evenVBand="0" w:oddHBand="0" w:evenHBand="0" w:firstRowFirstColumn="0" w:firstRowLastColumn="0" w:lastRowFirstColumn="0" w:lastRowLastColumn="0"/>
          <w:cantSplit/>
        </w:trPr>
        <w:tc>
          <w:tcPr>
            <w:tcW w:w="1843" w:type="dxa"/>
          </w:tcPr>
          <w:p w14:paraId="54858FDC" w14:textId="77777777" w:rsidR="00D74559" w:rsidRPr="00FB7CD7" w:rsidRDefault="00D74559" w:rsidP="00E3355C">
            <w:pPr>
              <w:pStyle w:val="TableText"/>
              <w:rPr>
                <w:b w:val="0"/>
              </w:rPr>
            </w:pPr>
            <w:r>
              <w:t>Factor</w:t>
            </w:r>
          </w:p>
        </w:tc>
        <w:tc>
          <w:tcPr>
            <w:tcW w:w="8165" w:type="dxa"/>
          </w:tcPr>
          <w:p w14:paraId="22ECC79D" w14:textId="77777777" w:rsidR="00D74559" w:rsidRPr="00FB7CD7" w:rsidRDefault="00D74559" w:rsidP="00E3355C">
            <w:pPr>
              <w:pStyle w:val="TableText"/>
            </w:pPr>
            <w:r>
              <w:t>Details</w:t>
            </w:r>
          </w:p>
        </w:tc>
      </w:tr>
      <w:tr w:rsidR="00D74559" w:rsidRPr="00FB7CD7" w14:paraId="78AD30B6" w14:textId="77777777" w:rsidTr="006B1361">
        <w:trPr>
          <w:cnfStyle w:val="000000100000" w:firstRow="0" w:lastRow="0" w:firstColumn="0" w:lastColumn="0" w:oddVBand="0" w:evenVBand="0" w:oddHBand="1" w:evenHBand="0" w:firstRowFirstColumn="0" w:firstRowLastColumn="0" w:lastRowFirstColumn="0" w:lastRowLastColumn="0"/>
        </w:trPr>
        <w:tc>
          <w:tcPr>
            <w:tcW w:w="1843" w:type="dxa"/>
          </w:tcPr>
          <w:p w14:paraId="0C179FFF" w14:textId="77777777" w:rsidR="00D74559" w:rsidRPr="00FB7CD7" w:rsidRDefault="00D74559" w:rsidP="00E3355C">
            <w:pPr>
              <w:pStyle w:val="TableText"/>
            </w:pPr>
            <w:r w:rsidRPr="00FB7CD7">
              <w:t>Participant eligibility</w:t>
            </w:r>
          </w:p>
        </w:tc>
        <w:tc>
          <w:tcPr>
            <w:tcW w:w="8165" w:type="dxa"/>
          </w:tcPr>
          <w:p w14:paraId="0161BE33" w14:textId="6E1B41AE" w:rsidR="00D74559" w:rsidRPr="00FB7CD7" w:rsidRDefault="00D74559" w:rsidP="007D21CC">
            <w:pPr>
              <w:pStyle w:val="TableList-level1"/>
            </w:pPr>
            <w:r w:rsidRPr="25BC4409">
              <w:t>Aged 18 years or over (15-17 years in special circumstances as assessed by the AMEP provider</w:t>
            </w:r>
            <w:r w:rsidR="00156428">
              <w:t>)</w:t>
            </w:r>
            <w:r w:rsidRPr="25BC4409">
              <w:t>.</w:t>
            </w:r>
          </w:p>
          <w:p w14:paraId="1DCA65B9" w14:textId="77777777" w:rsidR="00D74559" w:rsidRPr="00B56C86" w:rsidRDefault="00D74559" w:rsidP="007D21CC">
            <w:pPr>
              <w:pStyle w:val="TableList-level1"/>
            </w:pPr>
            <w:r>
              <w:t>P</w:t>
            </w:r>
            <w:r w:rsidRPr="003343D0">
              <w:t>ermanent resident, holder of an eligible temporary visa, or citizen who previously had</w:t>
            </w:r>
            <w:r w:rsidRPr="00FB7CD7">
              <w:t xml:space="preserve"> a temporary visa</w:t>
            </w:r>
            <w:r>
              <w:rPr>
                <w:rFonts w:ascii="Tahoma" w:eastAsia="Tahoma" w:hAnsi="Tahoma" w:cs="Tahoma"/>
              </w:rPr>
              <w:t>.</w:t>
            </w:r>
          </w:p>
        </w:tc>
      </w:tr>
      <w:tr w:rsidR="00FC127C" w:rsidRPr="00FB7CD7" w14:paraId="00EE09AD" w14:textId="77777777" w:rsidTr="006B1361">
        <w:trPr>
          <w:cnfStyle w:val="000000010000" w:firstRow="0" w:lastRow="0" w:firstColumn="0" w:lastColumn="0" w:oddVBand="0" w:evenVBand="0" w:oddHBand="0" w:evenHBand="1" w:firstRowFirstColumn="0" w:firstRowLastColumn="0" w:lastRowFirstColumn="0" w:lastRowLastColumn="0"/>
        </w:trPr>
        <w:tc>
          <w:tcPr>
            <w:tcW w:w="1843" w:type="dxa"/>
          </w:tcPr>
          <w:p w14:paraId="2732BEE7" w14:textId="77777777" w:rsidR="00D74559" w:rsidRPr="00FB7CD7" w:rsidRDefault="00D74559" w:rsidP="00E3355C">
            <w:pPr>
              <w:pStyle w:val="TableText"/>
            </w:pPr>
            <w:r>
              <w:t>Format</w:t>
            </w:r>
          </w:p>
        </w:tc>
        <w:tc>
          <w:tcPr>
            <w:tcW w:w="8165" w:type="dxa"/>
          </w:tcPr>
          <w:p w14:paraId="60D25AB0" w14:textId="77777777" w:rsidR="00D74559" w:rsidRPr="00FB7CD7" w:rsidRDefault="00D74559" w:rsidP="00E3355C">
            <w:pPr>
              <w:pStyle w:val="TableText"/>
            </w:pPr>
            <w:r>
              <w:t>Courses can be delivered either in person, hybrid (combination of in person and online) or online.</w:t>
            </w:r>
          </w:p>
        </w:tc>
      </w:tr>
      <w:tr w:rsidR="00D74559" w:rsidRPr="00FB7CD7" w14:paraId="7A7EF12C" w14:textId="77777777" w:rsidTr="006B1361">
        <w:trPr>
          <w:cnfStyle w:val="000000100000" w:firstRow="0" w:lastRow="0" w:firstColumn="0" w:lastColumn="0" w:oddVBand="0" w:evenVBand="0" w:oddHBand="1" w:evenHBand="0" w:firstRowFirstColumn="0" w:firstRowLastColumn="0" w:lastRowFirstColumn="0" w:lastRowLastColumn="0"/>
        </w:trPr>
        <w:tc>
          <w:tcPr>
            <w:tcW w:w="1843" w:type="dxa"/>
          </w:tcPr>
          <w:p w14:paraId="46F5EF5D" w14:textId="77777777" w:rsidR="00D74559" w:rsidRPr="00FB7CD7" w:rsidRDefault="00D74559" w:rsidP="00E3355C">
            <w:pPr>
              <w:pStyle w:val="TableText"/>
            </w:pPr>
            <w:r w:rsidRPr="00FB7CD7">
              <w:t>Duration</w:t>
            </w:r>
          </w:p>
        </w:tc>
        <w:tc>
          <w:tcPr>
            <w:tcW w:w="8165" w:type="dxa"/>
          </w:tcPr>
          <w:p w14:paraId="07FD24F0" w14:textId="77777777" w:rsidR="00205531" w:rsidRDefault="00D74559" w:rsidP="00E3355C">
            <w:pPr>
              <w:pStyle w:val="TableText"/>
            </w:pPr>
            <w:r w:rsidRPr="00D54A9F">
              <w:t xml:space="preserve">Participants can access unlimited hours of English classes until </w:t>
            </w:r>
            <w:r w:rsidR="00AA1AB2">
              <w:t xml:space="preserve">they have achieved </w:t>
            </w:r>
            <w:r w:rsidRPr="00D54A9F">
              <w:t>vocational English</w:t>
            </w:r>
            <w:r w:rsidR="00205531">
              <w:t>.</w:t>
            </w:r>
          </w:p>
          <w:p w14:paraId="63ECA17E" w14:textId="14DF2117" w:rsidR="00D74559" w:rsidRPr="00D54A9F" w:rsidRDefault="00205531" w:rsidP="00E3355C">
            <w:pPr>
              <w:pStyle w:val="TableText"/>
            </w:pPr>
            <w:r>
              <w:t>Participants</w:t>
            </w:r>
            <w:r w:rsidR="00D74559" w:rsidRPr="00D54A9F">
              <w:t xml:space="preserve"> with a visa commencement date on or before 1</w:t>
            </w:r>
            <w:r w:rsidR="001869D9">
              <w:t> </w:t>
            </w:r>
            <w:r w:rsidR="00D74559" w:rsidRPr="00D54A9F">
              <w:t>October 2020</w:t>
            </w:r>
            <w:r>
              <w:t xml:space="preserve"> have not </w:t>
            </w:r>
            <w:r w:rsidR="00D74559" w:rsidRPr="00D54A9F">
              <w:t xml:space="preserve">time limits for registration, commencement and completion. </w:t>
            </w:r>
          </w:p>
          <w:p w14:paraId="07FC5ADC" w14:textId="5EBCABD6" w:rsidR="00D74559" w:rsidRDefault="00F94967" w:rsidP="00E3355C">
            <w:pPr>
              <w:pStyle w:val="TableText"/>
            </w:pPr>
            <w:r>
              <w:t xml:space="preserve">For </w:t>
            </w:r>
            <w:r w:rsidR="00D74559">
              <w:t xml:space="preserve">Participants </w:t>
            </w:r>
            <w:r w:rsidR="00205531">
              <w:t>with</w:t>
            </w:r>
            <w:r w:rsidR="00D74559">
              <w:t xml:space="preserve"> a visa commencement date after 1 October 2020</w:t>
            </w:r>
            <w:r>
              <w:t>,</w:t>
            </w:r>
            <w:r w:rsidR="00D74559">
              <w:t xml:space="preserve"> a 5</w:t>
            </w:r>
            <w:r>
              <w:noBreakHyphen/>
            </w:r>
            <w:r w:rsidR="00D74559">
              <w:t>year completion timeframe applies. This can be extended to 10 years in certain circumstances.</w:t>
            </w:r>
          </w:p>
          <w:p w14:paraId="7736559A" w14:textId="77777777" w:rsidR="00D74559" w:rsidRPr="00FB7CD7" w:rsidRDefault="00D74559" w:rsidP="00E3355C">
            <w:pPr>
              <w:pStyle w:val="TableText"/>
            </w:pPr>
            <w:r>
              <w:t>Participation can be full-time or part-time.</w:t>
            </w:r>
          </w:p>
        </w:tc>
      </w:tr>
      <w:tr w:rsidR="00FD020B" w:rsidRPr="00FB7CD7" w14:paraId="6E42CE52" w14:textId="77777777" w:rsidTr="006B1361">
        <w:trPr>
          <w:cnfStyle w:val="000000010000" w:firstRow="0" w:lastRow="0" w:firstColumn="0" w:lastColumn="0" w:oddVBand="0" w:evenVBand="0" w:oddHBand="0" w:evenHBand="1" w:firstRowFirstColumn="0" w:firstRowLastColumn="0" w:lastRowFirstColumn="0" w:lastRowLastColumn="0"/>
        </w:trPr>
        <w:tc>
          <w:tcPr>
            <w:tcW w:w="1843" w:type="dxa"/>
            <w:tcBorders>
              <w:bottom w:val="single" w:sz="4" w:space="0" w:color="auto"/>
            </w:tcBorders>
          </w:tcPr>
          <w:p w14:paraId="72F72B7A" w14:textId="77777777" w:rsidR="00D74559" w:rsidRPr="00FB7CD7" w:rsidRDefault="00D74559" w:rsidP="00E3355C">
            <w:pPr>
              <w:pStyle w:val="TableText"/>
            </w:pPr>
            <w:r w:rsidRPr="111F7F31">
              <w:t>Cost to Provider</w:t>
            </w:r>
          </w:p>
        </w:tc>
        <w:tc>
          <w:tcPr>
            <w:tcW w:w="8165" w:type="dxa"/>
            <w:tcBorders>
              <w:bottom w:val="single" w:sz="4" w:space="0" w:color="auto"/>
            </w:tcBorders>
          </w:tcPr>
          <w:p w14:paraId="0F4BE953" w14:textId="77777777" w:rsidR="00D74559" w:rsidRPr="00FB7CD7" w:rsidRDefault="00D74559" w:rsidP="00E3355C">
            <w:pPr>
              <w:pStyle w:val="TableText"/>
            </w:pPr>
            <w:r>
              <w:t>N/A</w:t>
            </w:r>
          </w:p>
        </w:tc>
      </w:tr>
      <w:tr w:rsidR="00D74559" w:rsidRPr="00FB7CD7" w14:paraId="3FE86B5A" w14:textId="77777777" w:rsidTr="006B1361">
        <w:trPr>
          <w:cnfStyle w:val="000000100000" w:firstRow="0" w:lastRow="0" w:firstColumn="0" w:lastColumn="0" w:oddVBand="0" w:evenVBand="0" w:oddHBand="1" w:evenHBand="0" w:firstRowFirstColumn="0" w:firstRowLastColumn="0" w:lastRowFirstColumn="0" w:lastRowLastColumn="0"/>
        </w:trPr>
        <w:tc>
          <w:tcPr>
            <w:tcW w:w="1843" w:type="dxa"/>
            <w:tcBorders>
              <w:bottom w:val="single" w:sz="4" w:space="0" w:color="auto"/>
            </w:tcBorders>
          </w:tcPr>
          <w:p w14:paraId="13F21056" w14:textId="5D9D39F9" w:rsidR="00D74559" w:rsidRPr="00FB7CD7" w:rsidRDefault="00D74559" w:rsidP="00E3355C">
            <w:pPr>
              <w:pStyle w:val="TableText"/>
            </w:pPr>
            <w:r w:rsidRPr="00FB7CD7">
              <w:t>Participation</w:t>
            </w:r>
            <w:r w:rsidR="00D31AC6">
              <w:t xml:space="preserve"> requirements</w:t>
            </w:r>
          </w:p>
        </w:tc>
        <w:tc>
          <w:tcPr>
            <w:tcW w:w="8165" w:type="dxa"/>
            <w:tcBorders>
              <w:bottom w:val="single" w:sz="4" w:space="0" w:color="auto"/>
            </w:tcBorders>
          </w:tcPr>
          <w:p w14:paraId="48696020" w14:textId="77777777" w:rsidR="00D74559" w:rsidRDefault="00D74559" w:rsidP="00E3355C">
            <w:pPr>
              <w:pStyle w:val="TableText"/>
            </w:pPr>
            <w:r>
              <w:t>Participation in AMEP can be compulsory or voluntary.</w:t>
            </w:r>
          </w:p>
          <w:p w14:paraId="70484454" w14:textId="57CC9E6D" w:rsidR="006B1361" w:rsidRDefault="00D74559" w:rsidP="00E3355C">
            <w:pPr>
              <w:pStyle w:val="TableText"/>
            </w:pPr>
            <w:r>
              <w:t xml:space="preserve">A </w:t>
            </w:r>
            <w:r w:rsidRPr="111F7F31">
              <w:t xml:space="preserve">Participant </w:t>
            </w:r>
            <w:r>
              <w:t>in</w:t>
            </w:r>
            <w:r w:rsidRPr="111F7F31">
              <w:t xml:space="preserve"> AMEP</w:t>
            </w:r>
            <w:r>
              <w:t xml:space="preserve"> should have</w:t>
            </w:r>
            <w:r w:rsidR="006B1361">
              <w:t xml:space="preserve"> no Job Search as part of the agreed tasks and activities for the Meaningful Engagement Requirement or</w:t>
            </w:r>
            <w:r w:rsidR="00427CE5">
              <w:t xml:space="preserve"> have </w:t>
            </w:r>
            <w:r>
              <w:t>their Job Search Requirement set to zero</w:t>
            </w:r>
            <w:r w:rsidR="00146F98">
              <w:t xml:space="preserve"> </w:t>
            </w:r>
            <w:r w:rsidR="006B1361">
              <w:t xml:space="preserve">in a Detailed Job Detail. </w:t>
            </w:r>
          </w:p>
          <w:p w14:paraId="0D997DE6" w14:textId="700F07C8" w:rsidR="00D74559" w:rsidRDefault="006B1361" w:rsidP="00E3355C">
            <w:pPr>
              <w:pStyle w:val="TableText"/>
            </w:pPr>
            <w:r>
              <w:t xml:space="preserve">A Participant </w:t>
            </w:r>
            <w:r w:rsidR="00146F98">
              <w:t xml:space="preserve">should be moved to the Flexible </w:t>
            </w:r>
            <w:r>
              <w:t>S</w:t>
            </w:r>
            <w:r w:rsidR="00146F98">
              <w:t xml:space="preserve">ervice </w:t>
            </w:r>
            <w:r w:rsidR="00061132">
              <w:t xml:space="preserve">unless they </w:t>
            </w:r>
            <w:r w:rsidR="00B0114F">
              <w:t>choose</w:t>
            </w:r>
            <w:r w:rsidR="006840C1">
              <w:t xml:space="preserve"> to receive</w:t>
            </w:r>
            <w:r>
              <w:t xml:space="preserve"> the</w:t>
            </w:r>
            <w:r w:rsidR="006840C1">
              <w:t xml:space="preserve"> </w:t>
            </w:r>
            <w:r>
              <w:t>I</w:t>
            </w:r>
            <w:r w:rsidR="00061132">
              <w:t xml:space="preserve">ntensive </w:t>
            </w:r>
            <w:r>
              <w:t>Service</w:t>
            </w:r>
            <w:r w:rsidR="00D74559">
              <w:t>.</w:t>
            </w:r>
          </w:p>
          <w:p w14:paraId="547FA4F7" w14:textId="6DBC966D" w:rsidR="00D74559" w:rsidRPr="00FB7CD7" w:rsidRDefault="00D74559" w:rsidP="00E3355C">
            <w:pPr>
              <w:pStyle w:val="TableText"/>
            </w:pPr>
            <w:r>
              <w:t xml:space="preserve">Best practice is for Providers to work collaboratively with AMEP </w:t>
            </w:r>
            <w:r w:rsidR="00561CCE">
              <w:t>p</w:t>
            </w:r>
            <w:r>
              <w:t>roviders to support Participants.</w:t>
            </w:r>
          </w:p>
        </w:tc>
      </w:tr>
    </w:tbl>
    <w:p w14:paraId="666591BF" w14:textId="36F6BF81" w:rsidR="005A5F1F" w:rsidRDefault="005A5F1F" w:rsidP="005A5F1F">
      <w:pPr>
        <w:pStyle w:val="Heading4"/>
      </w:pPr>
      <w:bookmarkStart w:id="299" w:name="_Toc202900002"/>
      <w:r>
        <w:t>7.5.</w:t>
      </w:r>
      <w:r w:rsidR="008C6C49">
        <w:t>3</w:t>
      </w:r>
      <w:r>
        <w:tab/>
        <w:t>Employability Skills Training</w:t>
      </w:r>
      <w:bookmarkEnd w:id="299"/>
    </w:p>
    <w:p w14:paraId="6195319D" w14:textId="29D11F9C" w:rsidR="005A5F1F" w:rsidRDefault="005A5F1F" w:rsidP="005A5F1F">
      <w:r>
        <w:t xml:space="preserve">Employability Skills Training (EST) is a pre-employment program to support </w:t>
      </w:r>
      <w:r w:rsidR="00282B61">
        <w:t>Participants</w:t>
      </w:r>
      <w:r>
        <w:t xml:space="preserve"> to become more competitive in their local labour market by developing the skills Employers are looking for, build</w:t>
      </w:r>
      <w:r w:rsidR="00DE5CEF">
        <w:t>ing</w:t>
      </w:r>
      <w:r>
        <w:t xml:space="preserve"> job search, workplace and industry-specific skills, and explor</w:t>
      </w:r>
      <w:r w:rsidR="00DE5CEF">
        <w:t>ing</w:t>
      </w:r>
      <w:r>
        <w:t xml:space="preserve"> career options. </w:t>
      </w:r>
    </w:p>
    <w:p w14:paraId="339D3D16" w14:textId="24248DE3" w:rsidR="005A5F1F" w:rsidRPr="00FB7CD7" w:rsidRDefault="005A5F1F" w:rsidP="005A5F1F">
      <w:r>
        <w:t xml:space="preserve">EST is </w:t>
      </w:r>
      <w:r w:rsidRPr="52CC6692">
        <w:t xml:space="preserve">provided through two different </w:t>
      </w:r>
      <w:r w:rsidR="00F526EB">
        <w:t>t</w:t>
      </w:r>
      <w:r w:rsidRPr="52CC6692">
        <w:t xml:space="preserve">raining blocks, and </w:t>
      </w:r>
      <w:r w:rsidRPr="111F7F31">
        <w:t xml:space="preserve">Participants can undertake one or both </w:t>
      </w:r>
      <w:r w:rsidR="0099016E">
        <w:t>training</w:t>
      </w:r>
      <w:r w:rsidRPr="111F7F31">
        <w:t xml:space="preserve"> </w:t>
      </w:r>
      <w:r w:rsidR="00F526EB">
        <w:t>blocks</w:t>
      </w:r>
      <w:r w:rsidRPr="111F7F31">
        <w:t>, in any order</w:t>
      </w:r>
      <w:r w:rsidR="00896663">
        <w:t>, as part of the EST course</w:t>
      </w:r>
      <w:r>
        <w:t>.</w:t>
      </w:r>
    </w:p>
    <w:p w14:paraId="323D41CB" w14:textId="77777777" w:rsidR="005A5F1F" w:rsidRPr="00FB7CD7" w:rsidRDefault="005A5F1F" w:rsidP="004E120D">
      <w:pPr>
        <w:pStyle w:val="BulletLevel1"/>
      </w:pPr>
      <w:r w:rsidRPr="06DF8913">
        <w:rPr>
          <w:b/>
          <w:bCs/>
        </w:rPr>
        <w:t>Training block 1</w:t>
      </w:r>
      <w:r>
        <w:t xml:space="preserve"> courses help Participants develop Job Search and workplace skills.</w:t>
      </w:r>
    </w:p>
    <w:p w14:paraId="7311E98D" w14:textId="0640C7CB" w:rsidR="005A5F1F" w:rsidRPr="00FB7CD7" w:rsidRDefault="005A5F1F" w:rsidP="004E120D">
      <w:pPr>
        <w:pStyle w:val="BulletLevel1"/>
      </w:pPr>
      <w:r w:rsidRPr="25BC4409">
        <w:rPr>
          <w:b/>
          <w:bCs/>
        </w:rPr>
        <w:t>Training block 2</w:t>
      </w:r>
      <w:r w:rsidRPr="25BC4409">
        <w:t xml:space="preserve"> courses help Participants learn more about industries that are in demand or have emerging opportunities in their local labour market</w:t>
      </w:r>
      <w:r w:rsidR="00DF5600">
        <w:t>.</w:t>
      </w:r>
    </w:p>
    <w:p w14:paraId="1139BA24" w14:textId="77777777" w:rsidR="005A5F1F" w:rsidRDefault="005A5F1F" w:rsidP="00977BE8">
      <w:pPr>
        <w:keepNext/>
      </w:pPr>
      <w:r w:rsidRPr="111F7F31">
        <w:t>Following participation in an EST course, Participants will receive</w:t>
      </w:r>
      <w:r>
        <w:t xml:space="preserve"> (with a copy to the Provider)</w:t>
      </w:r>
      <w:r w:rsidRPr="111F7F31">
        <w:t>:</w:t>
      </w:r>
    </w:p>
    <w:p w14:paraId="6EA6AA8D" w14:textId="77777777" w:rsidR="005A5F1F" w:rsidRDefault="005A5F1F" w:rsidP="004E120D">
      <w:pPr>
        <w:pStyle w:val="BulletLevel1"/>
      </w:pPr>
      <w:r w:rsidRPr="25BC4409">
        <w:t>an updated, professionally presented résumé that identifies the Participant’s skills and experience, and</w:t>
      </w:r>
    </w:p>
    <w:p w14:paraId="0D2AA0BD" w14:textId="77777777" w:rsidR="00F07698" w:rsidRDefault="005A5F1F" w:rsidP="004E120D">
      <w:pPr>
        <w:pStyle w:val="BulletLevel1"/>
      </w:pPr>
      <w:r>
        <w:t>an assessment showing</w:t>
      </w:r>
      <w:r w:rsidR="00F07698">
        <w:t>:</w:t>
      </w:r>
    </w:p>
    <w:p w14:paraId="3EF63891" w14:textId="200672E0" w:rsidR="00F07698" w:rsidRDefault="005A5F1F" w:rsidP="00977BE8">
      <w:pPr>
        <w:pStyle w:val="BulletLevel2"/>
      </w:pPr>
      <w:r>
        <w:t xml:space="preserve">industries/occupations that may be suitable for the Participant, </w:t>
      </w:r>
      <w:r w:rsidR="00F07698">
        <w:t xml:space="preserve">and </w:t>
      </w:r>
    </w:p>
    <w:p w14:paraId="0AE9DB43" w14:textId="37652982" w:rsidR="005A5F1F" w:rsidRDefault="005A5F1F" w:rsidP="00977BE8">
      <w:pPr>
        <w:pStyle w:val="BulletLevel2"/>
      </w:pPr>
      <w:r>
        <w:t>recommendations for next steps for the Participant to pursue employment and/or training opportunities.</w:t>
      </w:r>
    </w:p>
    <w:p w14:paraId="488D4C84" w14:textId="77777777" w:rsidR="005A5F1F" w:rsidRDefault="005A5F1F" w:rsidP="005A5F1F">
      <w:r>
        <w:t>Providers may approach EST providers to deliver specific or tailored EST courses to meet an identified demand, such as training in a particular location or industry.</w:t>
      </w:r>
    </w:p>
    <w:p w14:paraId="6FBD401D" w14:textId="71B3C44C" w:rsidR="005A5F1F" w:rsidRDefault="005A5F1F" w:rsidP="005A5F1F">
      <w:pPr>
        <w:rPr>
          <w14:numSpacing w14:val="tabular"/>
        </w:rPr>
      </w:pPr>
      <w:r w:rsidRPr="00073C82">
        <w:rPr>
          <w:b/>
          <w:bCs/>
        </w:rPr>
        <w:t>Note</w:t>
      </w:r>
      <w:r w:rsidRPr="00073C82">
        <w:rPr>
          <w:b/>
          <w:bCs/>
          <w14:numSpacing w14:val="tabular"/>
        </w:rPr>
        <w:t xml:space="preserve">: </w:t>
      </w:r>
      <w:r w:rsidRPr="00073C82">
        <w:rPr>
          <w14:numSpacing w14:val="tabular"/>
        </w:rPr>
        <w:t xml:space="preserve">There is no limit to the number of times a Participant can undertake EST if the Provider and </w:t>
      </w:r>
      <w:r>
        <w:rPr>
          <w14:numSpacing w14:val="tabular"/>
        </w:rPr>
        <w:t>EST provi</w:t>
      </w:r>
      <w:r w:rsidRPr="00073C82">
        <w:rPr>
          <w14:numSpacing w14:val="tabular"/>
        </w:rPr>
        <w:t>der consider that the Participant would benefit.</w:t>
      </w:r>
    </w:p>
    <w:p w14:paraId="3373107C" w14:textId="6612ABF1" w:rsidR="00EC4A2E" w:rsidRDefault="005A5F1F" w:rsidP="005A5F1F">
      <w:pPr>
        <w:keepNext/>
        <w:spacing w:before="60" w:after="60" w:line="276" w:lineRule="auto"/>
        <w:rPr>
          <w:rFonts w:ascii="Tahoma" w:eastAsia="Tahoma" w:hAnsi="Tahoma" w:cs="Tahoma"/>
        </w:rPr>
      </w:pPr>
      <w:r w:rsidRPr="00AF01E6">
        <w:rPr>
          <w:rFonts w:ascii="Tahoma" w:eastAsia="Tahoma" w:hAnsi="Tahoma" w:cs="Tahoma"/>
        </w:rPr>
        <w:t xml:space="preserve">Refer to the </w:t>
      </w:r>
      <w:r w:rsidRPr="00245378">
        <w:rPr>
          <w:rStyle w:val="Hyperlink"/>
        </w:rPr>
        <w:t xml:space="preserve">EST Information for Providers Fact Sheet </w:t>
      </w:r>
      <w:r w:rsidR="00693ABD" w:rsidRPr="00245378">
        <w:rPr>
          <w:rStyle w:val="Hyperlink"/>
        </w:rPr>
        <w:t>[LINK]</w:t>
      </w:r>
      <w:r w:rsidR="00693ABD">
        <w:rPr>
          <w:rFonts w:ascii="Tahoma" w:eastAsia="Tahoma" w:hAnsi="Tahoma" w:cs="Tahoma"/>
        </w:rPr>
        <w:t xml:space="preserve"> </w:t>
      </w:r>
      <w:r w:rsidRPr="00AF01E6">
        <w:rPr>
          <w:rFonts w:ascii="Tahoma" w:eastAsia="Tahoma" w:hAnsi="Tahoma" w:cs="Tahoma"/>
        </w:rPr>
        <w:t xml:space="preserve">on the </w:t>
      </w:r>
      <w:r>
        <w:rPr>
          <w:rFonts w:ascii="Tahoma" w:eastAsia="Tahoma" w:hAnsi="Tahoma" w:cs="Tahoma"/>
        </w:rPr>
        <w:t>Provider P</w:t>
      </w:r>
      <w:r w:rsidRPr="00AF01E6">
        <w:rPr>
          <w:rFonts w:ascii="Tahoma" w:eastAsia="Tahoma" w:hAnsi="Tahoma" w:cs="Tahoma"/>
        </w:rPr>
        <w:t>ortal for more information</w:t>
      </w:r>
      <w:r w:rsidR="00EC4A2E">
        <w:rPr>
          <w:rFonts w:ascii="Tahoma" w:eastAsia="Tahoma" w:hAnsi="Tahoma" w:cs="Tahoma"/>
        </w:rPr>
        <w:t>.</w:t>
      </w:r>
      <w:r w:rsidRPr="00AF01E6">
        <w:rPr>
          <w:rFonts w:ascii="Tahoma" w:eastAsia="Tahoma" w:hAnsi="Tahoma" w:cs="Tahoma"/>
        </w:rPr>
        <w:t xml:space="preserve"> </w:t>
      </w:r>
    </w:p>
    <w:p w14:paraId="37C4C6CD" w14:textId="77777777" w:rsidR="0053379B" w:rsidRDefault="0053379B" w:rsidP="0053379B">
      <w:pPr>
        <w:pStyle w:val="SystemStep"/>
      </w:pPr>
      <w:r>
        <w:t>Available EST course places can be seen on the Activity Management screen in the Department's IT Systems.</w:t>
      </w:r>
    </w:p>
    <w:p w14:paraId="130B8A94" w14:textId="2026AF56" w:rsidR="0053379B" w:rsidRPr="00FB7CD7" w:rsidRDefault="0053379B" w:rsidP="0053379B">
      <w:pPr>
        <w:pStyle w:val="SystemStep"/>
      </w:pPr>
      <w:r w:rsidRPr="25BC4409">
        <w:t xml:space="preserve">Providers refer Participants through the Department’s IT </w:t>
      </w:r>
      <w:r>
        <w:t>Systems</w:t>
      </w:r>
      <w:r w:rsidR="00C74843">
        <w:t>. I</w:t>
      </w:r>
      <w:r w:rsidRPr="25BC4409">
        <w:t xml:space="preserve">nstructions </w:t>
      </w:r>
      <w:r w:rsidR="00C74843">
        <w:t xml:space="preserve">are </w:t>
      </w:r>
      <w:r w:rsidR="00693ABD">
        <w:t>in</w:t>
      </w:r>
      <w:r w:rsidRPr="25BC4409">
        <w:t xml:space="preserve"> the </w:t>
      </w:r>
      <w:r w:rsidR="00245378">
        <w:t xml:space="preserve">supporting document </w:t>
      </w:r>
      <w:r w:rsidR="00693ABD">
        <w:rPr>
          <w:rStyle w:val="Hyperlink"/>
        </w:rPr>
        <w:t>Provider Actions – Referral to EST or CTA [LINK]</w:t>
      </w:r>
      <w:r w:rsidRPr="25BC4409">
        <w:t>, located on the Provider Portal.</w:t>
      </w:r>
    </w:p>
    <w:p w14:paraId="3404C2F2" w14:textId="1EA4D4CD" w:rsidR="005A5F1F" w:rsidRDefault="005A5F1F" w:rsidP="005A5F1F">
      <w:pPr>
        <w:keepNext/>
        <w:spacing w:before="60" w:after="60" w:line="276" w:lineRule="auto"/>
      </w:pPr>
      <w:r w:rsidRPr="111F7F31">
        <w:t>When referring Participants to an EST course, Providers must</w:t>
      </w:r>
      <w:r w:rsidR="00473545" w:rsidRPr="00473545">
        <w:t xml:space="preserve"> </w:t>
      </w:r>
      <w:r w:rsidR="00473545">
        <w:t>ensure the EST provi</w:t>
      </w:r>
      <w:r w:rsidR="00473545" w:rsidRPr="111F7F31">
        <w:t xml:space="preserve">der has the information to complete a </w:t>
      </w:r>
      <w:r w:rsidR="00C43CAF">
        <w:t>R</w:t>
      </w:r>
      <w:r w:rsidR="00473545">
        <w:t>isk</w:t>
      </w:r>
      <w:r w:rsidR="00473545" w:rsidRPr="111F7F31">
        <w:t xml:space="preserve"> </w:t>
      </w:r>
      <w:r w:rsidR="00C43CAF">
        <w:t>A</w:t>
      </w:r>
      <w:r w:rsidR="00473545">
        <w:t>ssessment</w:t>
      </w:r>
      <w:r w:rsidR="00CF4F95">
        <w:t>.</w:t>
      </w:r>
    </w:p>
    <w:p w14:paraId="03C91B38" w14:textId="77777777" w:rsidR="00783EEF" w:rsidRDefault="00783EEF" w:rsidP="00783EEF">
      <w:r w:rsidRPr="25BC4409">
        <w:rPr>
          <w:b/>
          <w:bCs/>
        </w:rPr>
        <w:t>Note:</w:t>
      </w:r>
      <w:r w:rsidRPr="25BC4409">
        <w:t xml:space="preserve"> Providers must </w:t>
      </w:r>
      <w:r>
        <w:t>inform</w:t>
      </w:r>
      <w:r w:rsidRPr="25BC4409">
        <w:t xml:space="preserve"> the Participant of what </w:t>
      </w:r>
      <w:r>
        <w:t>Personal Information</w:t>
      </w:r>
      <w:r w:rsidRPr="25BC4409">
        <w:t xml:space="preserve"> will be shared</w:t>
      </w:r>
      <w:r>
        <w:t xml:space="preserve"> with the EST provider</w:t>
      </w:r>
      <w:r w:rsidRPr="25BC4409">
        <w:t>.</w:t>
      </w:r>
    </w:p>
    <w:p w14:paraId="35B79EB9" w14:textId="25B30D6A" w:rsidR="005A5F1F" w:rsidRPr="00073C82" w:rsidRDefault="00CF4F95" w:rsidP="00CF4F95">
      <w:pPr>
        <w:keepNext/>
        <w:spacing w:before="60" w:after="60" w:line="276" w:lineRule="auto"/>
      </w:pPr>
      <w:r>
        <w:t xml:space="preserve">If the Participant has a Detailed Job Plan, </w:t>
      </w:r>
      <w:r w:rsidRPr="111F7F31">
        <w:t>Providers must</w:t>
      </w:r>
      <w:r w:rsidRPr="003B6B0F">
        <w:t xml:space="preserve"> </w:t>
      </w:r>
      <w:r>
        <w:t>add</w:t>
      </w:r>
      <w:r w:rsidR="00C24D79">
        <w:t xml:space="preserve"> Code</w:t>
      </w:r>
      <w:r>
        <w:t xml:space="preserve"> </w:t>
      </w:r>
      <w:r w:rsidRPr="25BC4409">
        <w:t>ET68 [PaTH Employability Skills Training]</w:t>
      </w:r>
      <w:r>
        <w:t xml:space="preserve"> to the Participant’s Job Plan </w:t>
      </w:r>
      <w:r w:rsidR="65ED5537">
        <w:t>as</w:t>
      </w:r>
      <w:r>
        <w:t xml:space="preserve"> a voluntary requirement.</w:t>
      </w:r>
    </w:p>
    <w:p w14:paraId="6FDC7875" w14:textId="77777777" w:rsidR="005A5F1F" w:rsidRDefault="005A5F1F" w:rsidP="005A5F1F">
      <w:r>
        <w:t>Once the EST provider receives the referral, the EST provider will contact the Participant. EST providers will check the Participant’s suitability of the course, including:</w:t>
      </w:r>
    </w:p>
    <w:p w14:paraId="78060115" w14:textId="77777777" w:rsidR="005A5F1F" w:rsidRDefault="005A5F1F" w:rsidP="004E120D">
      <w:pPr>
        <w:pStyle w:val="BulletLevel1"/>
      </w:pPr>
      <w:r w:rsidRPr="25BC4409">
        <w:t>contacting Participants before they commence to check if the course is suitable</w:t>
      </w:r>
    </w:p>
    <w:p w14:paraId="19648814" w14:textId="58841111" w:rsidR="005A5F1F" w:rsidRDefault="005A5F1F" w:rsidP="004E120D">
      <w:pPr>
        <w:pStyle w:val="BulletLevel1"/>
      </w:pPr>
      <w:r>
        <w:t>contacting the Provider to discuss any concerns it identifies, and</w:t>
      </w:r>
    </w:p>
    <w:p w14:paraId="40C52E13" w14:textId="77777777" w:rsidR="005A5F1F" w:rsidRDefault="005A5F1F" w:rsidP="004E120D">
      <w:pPr>
        <w:pStyle w:val="BulletLevel1"/>
      </w:pPr>
      <w:r w:rsidRPr="25BC4409">
        <w:t>rejecting the referral if it determines the Participant would not benefit.</w:t>
      </w:r>
    </w:p>
    <w:p w14:paraId="67855B54" w14:textId="77777777" w:rsidR="005A5F1F" w:rsidRPr="009A5818" w:rsidRDefault="005A5F1F" w:rsidP="005A5F1F">
      <w:pPr>
        <w:pStyle w:val="TableChartHeading"/>
      </w:pPr>
      <w:r>
        <w:t>Key considerations for EST referrals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03DAA306" w14:textId="77777777" w:rsidTr="00DE7A9B">
        <w:trPr>
          <w:cnfStyle w:val="100000000000" w:firstRow="1" w:lastRow="0" w:firstColumn="0" w:lastColumn="0" w:oddVBand="0" w:evenVBand="0" w:oddHBand="0" w:evenHBand="0" w:firstRowFirstColumn="0" w:firstRowLastColumn="0" w:lastRowFirstColumn="0" w:lastRowLastColumn="0"/>
          <w:cantSplit/>
          <w:trHeight w:val="300"/>
        </w:trPr>
        <w:tc>
          <w:tcPr>
            <w:tcW w:w="1838" w:type="dxa"/>
          </w:tcPr>
          <w:p w14:paraId="020D89D9" w14:textId="77777777" w:rsidR="005A5F1F" w:rsidRPr="00FB7CD7" w:rsidRDefault="005A5F1F">
            <w:pPr>
              <w:pStyle w:val="TableText"/>
              <w:rPr>
                <w:b w:val="0"/>
              </w:rPr>
            </w:pPr>
            <w:r>
              <w:t>Factor</w:t>
            </w:r>
          </w:p>
        </w:tc>
        <w:tc>
          <w:tcPr>
            <w:tcW w:w="7790" w:type="dxa"/>
          </w:tcPr>
          <w:p w14:paraId="5C6E05A0" w14:textId="77777777" w:rsidR="005A5F1F" w:rsidRPr="00FB7CD7" w:rsidRDefault="005A5F1F">
            <w:pPr>
              <w:pStyle w:val="TableText"/>
            </w:pPr>
            <w:r>
              <w:t>Details</w:t>
            </w:r>
          </w:p>
        </w:tc>
      </w:tr>
      <w:tr w:rsidR="005A5F1F" w:rsidRPr="00FB7CD7" w14:paraId="4BDD400A" w14:textId="77777777" w:rsidTr="00DE7A9B">
        <w:trPr>
          <w:cnfStyle w:val="000000100000" w:firstRow="0" w:lastRow="0" w:firstColumn="0" w:lastColumn="0" w:oddVBand="0" w:evenVBand="0" w:oddHBand="1" w:evenHBand="0" w:firstRowFirstColumn="0" w:firstRowLastColumn="0" w:lastRowFirstColumn="0" w:lastRowLastColumn="0"/>
          <w:cantSplit/>
          <w:trHeight w:val="300"/>
        </w:trPr>
        <w:tc>
          <w:tcPr>
            <w:tcW w:w="1838" w:type="dxa"/>
            <w:tcBorders>
              <w:bottom w:val="single" w:sz="4" w:space="0" w:color="auto"/>
            </w:tcBorders>
          </w:tcPr>
          <w:p w14:paraId="75ACC3C4" w14:textId="77777777" w:rsidR="005A5F1F" w:rsidRPr="00FB7CD7" w:rsidRDefault="005A5F1F">
            <w:pPr>
              <w:pStyle w:val="TableText"/>
            </w:pPr>
            <w:r w:rsidRPr="00FB7CD7">
              <w:t>Participant eligibility</w:t>
            </w:r>
          </w:p>
        </w:tc>
        <w:tc>
          <w:tcPr>
            <w:tcW w:w="7790" w:type="dxa"/>
            <w:tcBorders>
              <w:bottom w:val="single" w:sz="4" w:space="0" w:color="auto"/>
            </w:tcBorders>
          </w:tcPr>
          <w:p w14:paraId="7FDF24F2" w14:textId="77777777" w:rsidR="005A5F1F" w:rsidRPr="00FB7CD7" w:rsidRDefault="005A5F1F">
            <w:pPr>
              <w:pStyle w:val="TableList-level1"/>
            </w:pPr>
            <w:r>
              <w:t>Aged 15 years or over.</w:t>
            </w:r>
          </w:p>
          <w:p w14:paraId="2E9943BD" w14:textId="77777777" w:rsidR="005A5F1F" w:rsidRDefault="005A5F1F">
            <w:pPr>
              <w:pStyle w:val="TableList-level1"/>
            </w:pPr>
            <w:r>
              <w:t>Be a Participant (Mutual Obligation) or DSP Recipient (Compulsory Requirement).</w:t>
            </w:r>
          </w:p>
          <w:p w14:paraId="48C86BD2" w14:textId="77777777" w:rsidR="005A5F1F" w:rsidRPr="00B56C86" w:rsidRDefault="005A5F1F">
            <w:pPr>
              <w:pStyle w:val="TableList-level1"/>
            </w:pPr>
            <w:r w:rsidRPr="25BC4409">
              <w:t>Does not have significant non-vocational issues that need to be addressed before they can benefit from EST.</w:t>
            </w:r>
          </w:p>
        </w:tc>
      </w:tr>
      <w:tr w:rsidR="00FD020B" w:rsidRPr="00FB7CD7" w14:paraId="3A665199" w14:textId="77777777" w:rsidTr="00977BE8">
        <w:trPr>
          <w:cnfStyle w:val="000000010000" w:firstRow="0" w:lastRow="0" w:firstColumn="0" w:lastColumn="0" w:oddVBand="0" w:evenVBand="0" w:oddHBand="0" w:evenHBand="1" w:firstRowFirstColumn="0" w:firstRowLastColumn="0" w:lastRowFirstColumn="0" w:lastRowLastColumn="0"/>
          <w:cantSplit/>
          <w:trHeight w:val="300"/>
        </w:trPr>
        <w:tc>
          <w:tcPr>
            <w:tcW w:w="1838" w:type="dxa"/>
            <w:tcBorders>
              <w:bottom w:val="single" w:sz="4" w:space="0" w:color="auto"/>
            </w:tcBorders>
          </w:tcPr>
          <w:p w14:paraId="01EE96EE" w14:textId="77777777" w:rsidR="005A5F1F" w:rsidRPr="00FB7CD7" w:rsidRDefault="005A5F1F">
            <w:pPr>
              <w:pStyle w:val="TableText"/>
            </w:pPr>
            <w:r>
              <w:t>Format</w:t>
            </w:r>
          </w:p>
        </w:tc>
        <w:tc>
          <w:tcPr>
            <w:tcW w:w="7790" w:type="dxa"/>
            <w:tcBorders>
              <w:bottom w:val="single" w:sz="4" w:space="0" w:color="auto"/>
            </w:tcBorders>
          </w:tcPr>
          <w:p w14:paraId="3920CD07" w14:textId="77777777" w:rsidR="005A5F1F" w:rsidRPr="00FB7CD7" w:rsidRDefault="005A5F1F">
            <w:pPr>
              <w:pStyle w:val="TableText"/>
            </w:pPr>
            <w:r w:rsidRPr="25BC4409">
              <w:t>Courses are generally face-to-face, however hybrid (a blend of face-to-face and online) and online delivery may be available.</w:t>
            </w:r>
          </w:p>
        </w:tc>
      </w:tr>
      <w:tr w:rsidR="005A5F1F" w:rsidRPr="00FB7CD7" w14:paraId="3F9EE286" w14:textId="77777777" w:rsidTr="00977BE8">
        <w:trPr>
          <w:cnfStyle w:val="000000100000" w:firstRow="0" w:lastRow="0" w:firstColumn="0" w:lastColumn="0" w:oddVBand="0" w:evenVBand="0" w:oddHBand="1" w:evenHBand="0" w:firstRowFirstColumn="0" w:firstRowLastColumn="0" w:lastRowFirstColumn="0" w:lastRowLastColumn="0"/>
          <w:cantSplit/>
          <w:trHeight w:val="300"/>
        </w:trPr>
        <w:tc>
          <w:tcPr>
            <w:tcW w:w="1838" w:type="dxa"/>
            <w:tcBorders>
              <w:top w:val="single" w:sz="4" w:space="0" w:color="auto"/>
              <w:bottom w:val="single" w:sz="4" w:space="0" w:color="auto"/>
            </w:tcBorders>
          </w:tcPr>
          <w:p w14:paraId="02553314" w14:textId="77777777" w:rsidR="005A5F1F" w:rsidRPr="00FB7CD7" w:rsidRDefault="005A5F1F">
            <w:pPr>
              <w:pStyle w:val="TableText"/>
            </w:pPr>
            <w:r w:rsidRPr="00FB7CD7">
              <w:t>Duration</w:t>
            </w:r>
          </w:p>
        </w:tc>
        <w:tc>
          <w:tcPr>
            <w:tcW w:w="7790" w:type="dxa"/>
            <w:tcBorders>
              <w:top w:val="single" w:sz="4" w:space="0" w:color="auto"/>
              <w:bottom w:val="single" w:sz="4" w:space="0" w:color="auto"/>
            </w:tcBorders>
          </w:tcPr>
          <w:p w14:paraId="1995273D" w14:textId="77777777" w:rsidR="005A5F1F" w:rsidRPr="00FB7CD7" w:rsidRDefault="005A5F1F">
            <w:pPr>
              <w:pStyle w:val="TableText"/>
            </w:pPr>
            <w:r w:rsidRPr="5F191F2A">
              <w:t>Each block runs for 75 hours, in a group setting, over:</w:t>
            </w:r>
          </w:p>
          <w:p w14:paraId="0A0EFFA5" w14:textId="77777777" w:rsidR="005A5F1F" w:rsidRPr="00FB7CD7" w:rsidRDefault="005A5F1F">
            <w:pPr>
              <w:pStyle w:val="TableList-level1"/>
            </w:pPr>
            <w:r>
              <w:t>25 hours per week over 3 Consecutive Weeks, or</w:t>
            </w:r>
          </w:p>
          <w:p w14:paraId="7C72150F" w14:textId="77777777" w:rsidR="005A5F1F" w:rsidRPr="00FB7CD7" w:rsidRDefault="005A5F1F">
            <w:pPr>
              <w:pStyle w:val="TableList-level1"/>
            </w:pPr>
            <w:r>
              <w:t>15 hours per week over 5 Consecutive Weeks.</w:t>
            </w:r>
          </w:p>
        </w:tc>
      </w:tr>
      <w:tr w:rsidR="00FC127C" w:rsidRPr="00FB7CD7" w14:paraId="03E2EBEF" w14:textId="77777777" w:rsidTr="00977BE8">
        <w:trPr>
          <w:cnfStyle w:val="000000010000" w:firstRow="0" w:lastRow="0" w:firstColumn="0" w:lastColumn="0" w:oddVBand="0" w:evenVBand="0" w:oddHBand="0" w:evenHBand="1" w:firstRowFirstColumn="0" w:firstRowLastColumn="0" w:lastRowFirstColumn="0" w:lastRowLastColumn="0"/>
          <w:cantSplit/>
          <w:trHeight w:val="300"/>
        </w:trPr>
        <w:tc>
          <w:tcPr>
            <w:tcW w:w="1838" w:type="dxa"/>
            <w:tcBorders>
              <w:top w:val="single" w:sz="4" w:space="0" w:color="auto"/>
            </w:tcBorders>
          </w:tcPr>
          <w:p w14:paraId="4D65151B" w14:textId="77777777" w:rsidR="005A5F1F" w:rsidRPr="00FB7CD7" w:rsidRDefault="005A5F1F">
            <w:pPr>
              <w:pStyle w:val="TableText"/>
            </w:pPr>
            <w:r>
              <w:t>Availability</w:t>
            </w:r>
          </w:p>
        </w:tc>
        <w:tc>
          <w:tcPr>
            <w:tcW w:w="7790" w:type="dxa"/>
            <w:tcBorders>
              <w:top w:val="single" w:sz="4" w:space="0" w:color="auto"/>
            </w:tcBorders>
          </w:tcPr>
          <w:p w14:paraId="39E79243" w14:textId="0FCC0721" w:rsidR="005A5F1F" w:rsidRPr="5F191F2A" w:rsidRDefault="005A5F1F">
            <w:pPr>
              <w:pStyle w:val="TableText"/>
            </w:pPr>
            <w:r>
              <w:t>EST providers will make courses available as an Activity in the Department’s IT Systems.</w:t>
            </w:r>
          </w:p>
        </w:tc>
      </w:tr>
      <w:tr w:rsidR="005A5F1F" w:rsidRPr="00FB7CD7" w14:paraId="5FFC5896" w14:textId="77777777" w:rsidTr="00DE7A9B">
        <w:trPr>
          <w:cnfStyle w:val="000000100000" w:firstRow="0" w:lastRow="0" w:firstColumn="0" w:lastColumn="0" w:oddVBand="0" w:evenVBand="0" w:oddHBand="1" w:evenHBand="0" w:firstRowFirstColumn="0" w:firstRowLastColumn="0" w:lastRowFirstColumn="0" w:lastRowLastColumn="0"/>
          <w:cantSplit/>
          <w:trHeight w:val="300"/>
        </w:trPr>
        <w:tc>
          <w:tcPr>
            <w:tcW w:w="1838" w:type="dxa"/>
            <w:tcBorders>
              <w:bottom w:val="single" w:sz="4" w:space="0" w:color="auto"/>
            </w:tcBorders>
          </w:tcPr>
          <w:p w14:paraId="3381F043" w14:textId="77777777" w:rsidR="005A5F1F" w:rsidRPr="00FB7CD7" w:rsidRDefault="005A5F1F">
            <w:pPr>
              <w:pStyle w:val="TableText"/>
            </w:pPr>
            <w:r w:rsidRPr="111F7F31">
              <w:t>Cost to Provider</w:t>
            </w:r>
          </w:p>
        </w:tc>
        <w:tc>
          <w:tcPr>
            <w:tcW w:w="7790" w:type="dxa"/>
            <w:tcBorders>
              <w:bottom w:val="single" w:sz="4" w:space="0" w:color="auto"/>
            </w:tcBorders>
          </w:tcPr>
          <w:p w14:paraId="1AEB1C46" w14:textId="77777777" w:rsidR="005A5F1F" w:rsidRDefault="005A5F1F">
            <w:pPr>
              <w:pStyle w:val="TableText"/>
            </w:pPr>
            <w:r w:rsidRPr="111F7F31">
              <w:t xml:space="preserve">Courses are available on a fee-for-service basis. </w:t>
            </w:r>
          </w:p>
          <w:p w14:paraId="48A86C6A" w14:textId="424A995C" w:rsidR="005A5F1F" w:rsidRDefault="005A5F1F">
            <w:pPr>
              <w:pStyle w:val="TableText"/>
            </w:pPr>
            <w:r>
              <w:t xml:space="preserve">Providers must pay the EST provider $1425.78 for each Participant referral for a </w:t>
            </w:r>
            <w:r w:rsidR="0018608C">
              <w:t>t</w:t>
            </w:r>
            <w:r>
              <w:t xml:space="preserve">raining </w:t>
            </w:r>
            <w:r w:rsidR="0018608C">
              <w:t>b</w:t>
            </w:r>
            <w:r>
              <w:t xml:space="preserve">lock 1 or </w:t>
            </w:r>
            <w:r w:rsidR="0018608C">
              <w:t>t</w:t>
            </w:r>
            <w:r>
              <w:t xml:space="preserve">raining </w:t>
            </w:r>
            <w:r w:rsidR="0018608C">
              <w:t>b</w:t>
            </w:r>
            <w:r>
              <w:t xml:space="preserve">lock 2 </w:t>
            </w:r>
            <w:r w:rsidR="0018608C">
              <w:t>c</w:t>
            </w:r>
            <w:r>
              <w:t xml:space="preserve">ourse from the Provider’s own funds, prior to the date the EST course starts. </w:t>
            </w:r>
          </w:p>
          <w:p w14:paraId="00540730" w14:textId="77777777" w:rsidR="005A5F1F" w:rsidRDefault="005A5F1F">
            <w:pPr>
              <w:pStyle w:val="TableText"/>
              <w:rPr>
                <w:rFonts w:ascii="Tahoma" w:eastAsia="Tahoma" w:hAnsi="Tahoma" w:cs="Tahoma"/>
              </w:rPr>
            </w:pPr>
            <w:r w:rsidRPr="111F7F31">
              <w:rPr>
                <w:rFonts w:ascii="Tahoma" w:eastAsia="Tahoma" w:hAnsi="Tahoma" w:cs="Tahoma"/>
              </w:rPr>
              <w:t xml:space="preserve">The transfer of funds from the Provider to the </w:t>
            </w:r>
            <w:r>
              <w:rPr>
                <w:rFonts w:ascii="Tahoma" w:eastAsia="Tahoma" w:hAnsi="Tahoma" w:cs="Tahoma"/>
              </w:rPr>
              <w:t>EST</w:t>
            </w:r>
            <w:r w:rsidRPr="111F7F31">
              <w:rPr>
                <w:rFonts w:ascii="Tahoma" w:eastAsia="Tahoma" w:hAnsi="Tahoma" w:cs="Tahoma"/>
              </w:rPr>
              <w:t xml:space="preserve"> </w:t>
            </w:r>
            <w:r>
              <w:rPr>
                <w:rFonts w:ascii="Tahoma" w:eastAsia="Tahoma" w:hAnsi="Tahoma" w:cs="Tahoma"/>
              </w:rPr>
              <w:t>p</w:t>
            </w:r>
            <w:r w:rsidRPr="111F7F31">
              <w:rPr>
                <w:rFonts w:ascii="Tahoma" w:eastAsia="Tahoma" w:hAnsi="Tahoma" w:cs="Tahoma"/>
              </w:rPr>
              <w:t xml:space="preserve">rovider occurs outside of the Department’s IT Systems. </w:t>
            </w:r>
          </w:p>
          <w:p w14:paraId="32A46666" w14:textId="77777777" w:rsidR="005A5F1F" w:rsidRDefault="005A5F1F">
            <w:pPr>
              <w:pStyle w:val="TableText"/>
            </w:pPr>
            <w:r w:rsidRPr="25BC4409">
              <w:rPr>
                <w:rFonts w:ascii="Tahoma" w:eastAsia="Tahoma" w:hAnsi="Tahoma" w:cs="Tahoma"/>
              </w:rPr>
              <w:t>Providers must make their own arrangements with the EST provider to facilitate payment.</w:t>
            </w:r>
          </w:p>
          <w:p w14:paraId="67F9261A" w14:textId="77777777" w:rsidR="005A5F1F" w:rsidRDefault="005A5F1F">
            <w:pPr>
              <w:pStyle w:val="TableText"/>
            </w:pPr>
            <w:r w:rsidRPr="25BC4409">
              <w:t xml:space="preserve">Course fees are fully refundable if the EST provider cancels the EST course or finds the Participant unsuitable to commence the EST course. </w:t>
            </w:r>
          </w:p>
          <w:p w14:paraId="5C37B3DF" w14:textId="77777777" w:rsidR="005A5F1F" w:rsidRPr="00FB7CD7" w:rsidRDefault="005A5F1F">
            <w:pPr>
              <w:pStyle w:val="TableText"/>
            </w:pPr>
            <w:r w:rsidRPr="111F7F31">
              <w:t xml:space="preserve">The Provider must discuss with the </w:t>
            </w:r>
            <w:r>
              <w:t>EST provi</w:t>
            </w:r>
            <w:r w:rsidRPr="111F7F31">
              <w:t>der what happens if the Participant does not attend.</w:t>
            </w:r>
          </w:p>
        </w:tc>
      </w:tr>
      <w:tr w:rsidR="00FD020B" w:rsidRPr="00FB7CD7" w14:paraId="686D7AFE" w14:textId="77777777" w:rsidTr="00DE7A9B">
        <w:trPr>
          <w:cnfStyle w:val="000000010000" w:firstRow="0" w:lastRow="0" w:firstColumn="0" w:lastColumn="0" w:oddVBand="0" w:evenVBand="0" w:oddHBand="0" w:evenHBand="1" w:firstRowFirstColumn="0" w:firstRowLastColumn="0" w:lastRowFirstColumn="0" w:lastRowLastColumn="0"/>
          <w:cantSplit/>
          <w:trHeight w:val="300"/>
        </w:trPr>
        <w:tc>
          <w:tcPr>
            <w:tcW w:w="1838" w:type="dxa"/>
            <w:tcBorders>
              <w:bottom w:val="single" w:sz="4" w:space="0" w:color="auto"/>
            </w:tcBorders>
          </w:tcPr>
          <w:p w14:paraId="6EDF65E1" w14:textId="37C7944F" w:rsidR="005A5F1F" w:rsidRPr="00FB7CD7" w:rsidRDefault="005A5F1F">
            <w:pPr>
              <w:pStyle w:val="TableText"/>
            </w:pPr>
            <w:r w:rsidRPr="00FB7CD7">
              <w:t>Participation</w:t>
            </w:r>
            <w:r w:rsidR="00D31AC6">
              <w:t xml:space="preserve"> requirements</w:t>
            </w:r>
          </w:p>
        </w:tc>
        <w:tc>
          <w:tcPr>
            <w:tcW w:w="7790" w:type="dxa"/>
            <w:tcBorders>
              <w:bottom w:val="single" w:sz="4" w:space="0" w:color="auto"/>
            </w:tcBorders>
          </w:tcPr>
          <w:p w14:paraId="0B545E74" w14:textId="4B08BDF5" w:rsidR="005A5F1F" w:rsidRDefault="005A5F1F">
            <w:pPr>
              <w:pStyle w:val="TableText"/>
            </w:pPr>
            <w:r>
              <w:t xml:space="preserve">EST may be undertaken as a </w:t>
            </w:r>
            <w:r w:rsidR="00925381">
              <w:t xml:space="preserve">voluntary </w:t>
            </w:r>
            <w:r>
              <w:t>requirement.</w:t>
            </w:r>
          </w:p>
          <w:p w14:paraId="3EB84967" w14:textId="77777777" w:rsidR="005A5F1F" w:rsidRDefault="005A5F1F">
            <w:pPr>
              <w:pStyle w:val="TableText"/>
            </w:pPr>
            <w:r>
              <w:t>EST providers will record Participant’s commencement and attendance.</w:t>
            </w:r>
          </w:p>
          <w:p w14:paraId="3EE4D646" w14:textId="77777777" w:rsidR="005A5F1F" w:rsidRDefault="005A5F1F">
            <w:pPr>
              <w:pStyle w:val="TableText"/>
            </w:pPr>
            <w:r>
              <w:t>The EST provider will end the referral if the Participants does not attend the EST course within 7 Business Days of the course start date.</w:t>
            </w:r>
          </w:p>
          <w:p w14:paraId="6BFD1DCF" w14:textId="77777777" w:rsidR="005A5F1F" w:rsidRPr="00C20DB0" w:rsidRDefault="005A5F1F">
            <w:pPr>
              <w:pStyle w:val="TableText"/>
            </w:pPr>
            <w:r>
              <w:t>Best practice is for Providers to work collaboratively with EST providers to support Participants, and to encourage Participants to attend their EST course.</w:t>
            </w:r>
          </w:p>
        </w:tc>
      </w:tr>
    </w:tbl>
    <w:p w14:paraId="29E9E52B" w14:textId="29F8E819" w:rsidR="005A5F1F" w:rsidRDefault="005A5F1F" w:rsidP="005A5F1F">
      <w:pPr>
        <w:pStyle w:val="Heading4"/>
      </w:pPr>
      <w:bookmarkStart w:id="300" w:name="_Toc202900003"/>
      <w:r>
        <w:t>7.5.</w:t>
      </w:r>
      <w:r w:rsidR="008C6C49">
        <w:t>4</w:t>
      </w:r>
      <w:r>
        <w:tab/>
        <w:t>Career Transition Assistance</w:t>
      </w:r>
      <w:bookmarkEnd w:id="300"/>
    </w:p>
    <w:p w14:paraId="0D09732C" w14:textId="388330DB" w:rsidR="005A5F1F" w:rsidRDefault="005A5F1F" w:rsidP="005A5F1F">
      <w:pPr>
        <w:rPr>
          <w:rFonts w:ascii="Tahoma" w:eastAsia="Tahoma" w:hAnsi="Tahoma" w:cs="Tahoma"/>
        </w:rPr>
      </w:pPr>
      <w:r>
        <w:t>Career Transition Assistance (CTA)</w:t>
      </w:r>
      <w:r w:rsidDel="004B0F75">
        <w:t xml:space="preserve"> </w:t>
      </w:r>
      <w:r>
        <w:t xml:space="preserve">is a pre-employment program to support people 45 years and over to build their skills and confidence to re-enter the workforce or change career. CTA providers deliver </w:t>
      </w:r>
      <w:r w:rsidRPr="7B13E508">
        <w:rPr>
          <w:rFonts w:ascii="Tahoma" w:eastAsia="Tahoma" w:hAnsi="Tahoma" w:cs="Tahoma"/>
        </w:rPr>
        <w:t xml:space="preserve">practical assistance to mature age Participants with the aim of improving digital literacy and increasing their employability and competitiveness in the local </w:t>
      </w:r>
      <w:r w:rsidRPr="024A4570">
        <w:rPr>
          <w:rFonts w:ascii="Tahoma" w:eastAsia="Tahoma" w:hAnsi="Tahoma" w:cs="Tahoma"/>
        </w:rPr>
        <w:t>labour</w:t>
      </w:r>
      <w:r w:rsidRPr="7B13E508">
        <w:rPr>
          <w:rFonts w:ascii="Tahoma" w:eastAsia="Tahoma" w:hAnsi="Tahoma" w:cs="Tahoma"/>
        </w:rPr>
        <w:t xml:space="preserve"> market.</w:t>
      </w:r>
    </w:p>
    <w:p w14:paraId="3E941C93" w14:textId="7F6FD9FF" w:rsidR="005A5F1F" w:rsidRDefault="005A5F1F" w:rsidP="005A5F1F">
      <w:pPr>
        <w:keepNext/>
        <w:keepLines/>
        <w:spacing w:before="60" w:after="60"/>
      </w:pPr>
      <w:r w:rsidRPr="111F7F31">
        <w:t xml:space="preserve">Following participation in an </w:t>
      </w:r>
      <w:r>
        <w:t>CTA</w:t>
      </w:r>
      <w:r w:rsidRPr="111F7F31">
        <w:t xml:space="preserve"> course, Participants will receive</w:t>
      </w:r>
      <w:r>
        <w:t xml:space="preserve"> (with a copy to the Provider)</w:t>
      </w:r>
      <w:r w:rsidRPr="111F7F31">
        <w:t>:</w:t>
      </w:r>
    </w:p>
    <w:p w14:paraId="53191914" w14:textId="77777777" w:rsidR="005A5F1F" w:rsidRDefault="005A5F1F" w:rsidP="004E120D">
      <w:pPr>
        <w:pStyle w:val="BulletLevel1"/>
      </w:pPr>
      <w:r w:rsidRPr="25BC4409">
        <w:t>an updated, professionally presented résumé that identifies the Participant’s skills and experience, and</w:t>
      </w:r>
    </w:p>
    <w:p w14:paraId="04E400C4" w14:textId="77777777" w:rsidR="005A5F1F" w:rsidRDefault="005A5F1F" w:rsidP="004E120D">
      <w:pPr>
        <w:pStyle w:val="BulletLevel1"/>
      </w:pPr>
      <w:r>
        <w:t xml:space="preserve">a </w:t>
      </w:r>
      <w:r w:rsidRPr="00AF01E6">
        <w:t>personal Career Pathway Plan</w:t>
      </w:r>
      <w:r>
        <w:t>.</w:t>
      </w:r>
    </w:p>
    <w:p w14:paraId="39FE1347" w14:textId="77777777" w:rsidR="005A5F1F" w:rsidRDefault="005A5F1F" w:rsidP="005A5F1F">
      <w:pPr>
        <w:rPr>
          <w:rFonts w:ascii="Tahoma" w:eastAsia="Tahoma" w:hAnsi="Tahoma" w:cs="Tahoma"/>
        </w:rPr>
      </w:pPr>
      <w:r w:rsidRPr="111F7F31">
        <w:t xml:space="preserve">The CTA </w:t>
      </w:r>
      <w:r>
        <w:t>p</w:t>
      </w:r>
      <w:r w:rsidRPr="111F7F31">
        <w:t xml:space="preserve">rovider will also offer the Participant two future </w:t>
      </w:r>
      <w:r>
        <w:t>c</w:t>
      </w:r>
      <w:r w:rsidRPr="111F7F31">
        <w:t>ontacts to occur within 3 months of completion of CTA.</w:t>
      </w:r>
    </w:p>
    <w:p w14:paraId="63366DD9" w14:textId="3E413ADB" w:rsidR="005A5F1F" w:rsidRDefault="005A5F1F" w:rsidP="005A5F1F">
      <w:pPr>
        <w:rPr>
          <w:rFonts w:ascii="Tahoma" w:eastAsia="Tahoma" w:hAnsi="Tahoma" w:cs="Tahoma"/>
        </w:rPr>
      </w:pPr>
      <w:r w:rsidRPr="00AF01E6">
        <w:rPr>
          <w:rFonts w:ascii="Tahoma" w:eastAsia="Tahoma" w:hAnsi="Tahoma" w:cs="Tahoma"/>
        </w:rPr>
        <w:t xml:space="preserve">Refer to the </w:t>
      </w:r>
      <w:r w:rsidRPr="00245378">
        <w:rPr>
          <w:rStyle w:val="Hyperlink"/>
        </w:rPr>
        <w:t xml:space="preserve">CTA Information for Providers Fact Sheet </w:t>
      </w:r>
      <w:r w:rsidR="00245378" w:rsidRPr="00245378">
        <w:rPr>
          <w:rStyle w:val="Hyperlink"/>
        </w:rPr>
        <w:t>[LINK]</w:t>
      </w:r>
      <w:r w:rsidR="00245378">
        <w:rPr>
          <w:rFonts w:ascii="Tahoma" w:eastAsia="Tahoma" w:hAnsi="Tahoma" w:cs="Tahoma"/>
        </w:rPr>
        <w:t xml:space="preserve"> </w:t>
      </w:r>
      <w:r w:rsidRPr="00AF01E6">
        <w:rPr>
          <w:rFonts w:ascii="Tahoma" w:eastAsia="Tahoma" w:hAnsi="Tahoma" w:cs="Tahoma"/>
        </w:rPr>
        <w:t xml:space="preserve">on the </w:t>
      </w:r>
      <w:r>
        <w:rPr>
          <w:rFonts w:ascii="Tahoma" w:eastAsia="Tahoma" w:hAnsi="Tahoma" w:cs="Tahoma"/>
        </w:rPr>
        <w:t>Provider P</w:t>
      </w:r>
      <w:r w:rsidRPr="00AF01E6">
        <w:rPr>
          <w:rFonts w:ascii="Tahoma" w:eastAsia="Tahoma" w:hAnsi="Tahoma" w:cs="Tahoma"/>
        </w:rPr>
        <w:t>ortal for more information</w:t>
      </w:r>
      <w:r w:rsidRPr="7DD4BA9F">
        <w:rPr>
          <w:rFonts w:ascii="Tahoma" w:eastAsia="Tahoma" w:hAnsi="Tahoma" w:cs="Tahoma"/>
        </w:rPr>
        <w:t>.</w:t>
      </w:r>
      <w:r w:rsidRPr="00AF01E6">
        <w:rPr>
          <w:rFonts w:ascii="Tahoma" w:eastAsia="Tahoma" w:hAnsi="Tahoma" w:cs="Tahoma"/>
        </w:rPr>
        <w:t xml:space="preserve"> </w:t>
      </w:r>
    </w:p>
    <w:p w14:paraId="3A20FC9E" w14:textId="77777777" w:rsidR="005A5F1F" w:rsidRDefault="005A5F1F" w:rsidP="005A5F1F">
      <w:pPr>
        <w:keepNext/>
        <w:spacing w:before="60" w:after="60" w:line="276" w:lineRule="auto"/>
      </w:pPr>
      <w:r>
        <w:t>Providers may also contact local CTA providers directly to discuss course availability and suitability for Participants.</w:t>
      </w:r>
    </w:p>
    <w:p w14:paraId="1E880AA0" w14:textId="3801C281" w:rsidR="005A5F1F" w:rsidRDefault="005A5F1F" w:rsidP="005A5F1F">
      <w:pPr>
        <w:keepNext/>
        <w:spacing w:before="60" w:after="60" w:line="276" w:lineRule="auto"/>
      </w:pPr>
      <w:r w:rsidRPr="111F7F31">
        <w:t xml:space="preserve">When referring Participants to a </w:t>
      </w:r>
      <w:r>
        <w:t>CTA</w:t>
      </w:r>
      <w:r w:rsidRPr="111F7F31">
        <w:t xml:space="preserve"> course, Providers must:</w:t>
      </w:r>
    </w:p>
    <w:p w14:paraId="46C11F58" w14:textId="4704EBEE" w:rsidR="005A5F1F" w:rsidRDefault="005A5F1F" w:rsidP="004E120D">
      <w:pPr>
        <w:pStyle w:val="BulletLevel1"/>
      </w:pPr>
      <w:r>
        <w:t>ensure the CTA provi</w:t>
      </w:r>
      <w:r w:rsidRPr="111F7F31">
        <w:t xml:space="preserve">der has the </w:t>
      </w:r>
      <w:r>
        <w:t xml:space="preserve">required </w:t>
      </w:r>
      <w:r w:rsidRPr="111F7F31">
        <w:t xml:space="preserve">information to complete a </w:t>
      </w:r>
      <w:r w:rsidR="00A47B99">
        <w:t>R</w:t>
      </w:r>
      <w:r>
        <w:t xml:space="preserve">isk </w:t>
      </w:r>
      <w:r w:rsidR="00A47B99">
        <w:t>A</w:t>
      </w:r>
      <w:r>
        <w:t>ssessment</w:t>
      </w:r>
    </w:p>
    <w:p w14:paraId="1108CF11" w14:textId="77777777" w:rsidR="005A5F1F" w:rsidRDefault="005A5F1F" w:rsidP="004E120D">
      <w:pPr>
        <w:pStyle w:val="BulletLevel1"/>
      </w:pPr>
      <w:r>
        <w:t>collaborate with the CTA provider and Participant to arrange for the initial meeting to take place, and</w:t>
      </w:r>
    </w:p>
    <w:p w14:paraId="19FC823D" w14:textId="6B88BD9B" w:rsidR="005A5F1F" w:rsidRDefault="005A5F1F" w:rsidP="004E120D">
      <w:pPr>
        <w:pStyle w:val="BulletLevel1"/>
      </w:pPr>
      <w:r w:rsidRPr="25BC4409">
        <w:t xml:space="preserve">make sure they participate in a Personal Hand Over with the CTA provider </w:t>
      </w:r>
      <w:r>
        <w:t>and</w:t>
      </w:r>
      <w:r w:rsidRPr="25BC4409">
        <w:t xml:space="preserve"> Participant once the Participant has completed the course, unless:</w:t>
      </w:r>
    </w:p>
    <w:p w14:paraId="071D2772" w14:textId="4FD83073" w:rsidR="005A5F1F" w:rsidRDefault="005A5F1F" w:rsidP="004E120D">
      <w:pPr>
        <w:pStyle w:val="BulletLevel2"/>
      </w:pPr>
      <w:r>
        <w:t xml:space="preserve">the Participant exits the CTA course before completing 80% of scheduled hours </w:t>
      </w:r>
    </w:p>
    <w:p w14:paraId="047EE642" w14:textId="77777777" w:rsidR="005A5F1F" w:rsidRDefault="005A5F1F" w:rsidP="004E120D">
      <w:pPr>
        <w:pStyle w:val="BulletLevel2"/>
      </w:pPr>
      <w:r w:rsidRPr="25BC4409">
        <w:t xml:space="preserve">the Participant exits the CTA course to commence </w:t>
      </w:r>
      <w:r>
        <w:t>Employment</w:t>
      </w:r>
      <w:r w:rsidRPr="25BC4409">
        <w:t xml:space="preserve">, or </w:t>
      </w:r>
    </w:p>
    <w:p w14:paraId="13541B0A" w14:textId="77777777" w:rsidR="005A5F1F" w:rsidRDefault="005A5F1F" w:rsidP="004E120D">
      <w:pPr>
        <w:pStyle w:val="BulletLevel2"/>
      </w:pPr>
      <w:r>
        <w:t>the Activity placement has been closed by the system.</w:t>
      </w:r>
    </w:p>
    <w:p w14:paraId="1C9E16CB" w14:textId="48D8B88D" w:rsidR="005A5F1F" w:rsidRDefault="005A5F1F" w:rsidP="005A5F1F">
      <w:r w:rsidRPr="25BC4409">
        <w:rPr>
          <w:b/>
          <w:bCs/>
        </w:rPr>
        <w:t>Note:</w:t>
      </w:r>
      <w:r w:rsidRPr="25BC4409">
        <w:t xml:space="preserve"> Providers must </w:t>
      </w:r>
      <w:r>
        <w:t>ensure</w:t>
      </w:r>
      <w:r w:rsidRPr="25BC4409">
        <w:t xml:space="preserve"> the Participant is aware of what </w:t>
      </w:r>
      <w:r>
        <w:t>Personal Information</w:t>
      </w:r>
      <w:r w:rsidRPr="25BC4409">
        <w:t xml:space="preserve"> will be shared</w:t>
      </w:r>
      <w:r w:rsidR="00783EEF">
        <w:t xml:space="preserve"> with the CTA provider</w:t>
      </w:r>
      <w:r>
        <w:t>.</w:t>
      </w:r>
      <w:r w:rsidRPr="25BC4409">
        <w:t xml:space="preserve"> </w:t>
      </w:r>
    </w:p>
    <w:p w14:paraId="77DD1A26" w14:textId="77777777" w:rsidR="005A5F1F" w:rsidRDefault="005A5F1F" w:rsidP="005A5F1F">
      <w:pPr>
        <w:pStyle w:val="SystemStep"/>
      </w:pPr>
      <w:r>
        <w:t xml:space="preserve">Available CTA course places can be seen on the Activity Management screen in the Department's IT Systems. </w:t>
      </w:r>
    </w:p>
    <w:p w14:paraId="78410AAE" w14:textId="43A609CF" w:rsidR="005A5F1F" w:rsidRPr="00FB7CD7" w:rsidRDefault="005A5F1F" w:rsidP="005A5F1F">
      <w:pPr>
        <w:pStyle w:val="SystemStep"/>
      </w:pPr>
      <w:r w:rsidRPr="25BC4409">
        <w:t xml:space="preserve">Providers refer Participants through the Department’s IT </w:t>
      </w:r>
      <w:r>
        <w:t>Systems</w:t>
      </w:r>
      <w:r w:rsidR="00A907E0">
        <w:t>. I</w:t>
      </w:r>
      <w:r w:rsidRPr="25BC4409">
        <w:t xml:space="preserve">nstructions </w:t>
      </w:r>
      <w:r w:rsidR="00A907E0">
        <w:t xml:space="preserve"> are </w:t>
      </w:r>
      <w:r w:rsidR="00245378">
        <w:t>i</w:t>
      </w:r>
      <w:r w:rsidRPr="25BC4409">
        <w:t>n the</w:t>
      </w:r>
      <w:r w:rsidR="00245378">
        <w:t xml:space="preserve"> supporting document </w:t>
      </w:r>
      <w:r w:rsidR="00245378">
        <w:rPr>
          <w:rStyle w:val="Hyperlink"/>
        </w:rPr>
        <w:t>Provider Actions – Referral to EST or CTA [LINK]</w:t>
      </w:r>
      <w:r w:rsidRPr="25BC4409">
        <w:t>, located on the Provider Portal.</w:t>
      </w:r>
    </w:p>
    <w:p w14:paraId="062AA846" w14:textId="45605638" w:rsidR="00783EEF" w:rsidRDefault="0053379B" w:rsidP="00783EEF">
      <w:pPr>
        <w:keepNext/>
        <w:spacing w:before="60" w:after="60" w:line="276" w:lineRule="auto"/>
      </w:pPr>
      <w:r>
        <w:t>I</w:t>
      </w:r>
      <w:r w:rsidR="00783EEF">
        <w:t xml:space="preserve">f the Participant has a Detailed Job Plan, </w:t>
      </w:r>
      <w:r w:rsidR="00783EEF" w:rsidRPr="111F7F31">
        <w:t>Providers must</w:t>
      </w:r>
      <w:r w:rsidR="00783EEF" w:rsidRPr="003B6B0F">
        <w:t xml:space="preserve"> </w:t>
      </w:r>
      <w:r w:rsidR="00783EEF">
        <w:t xml:space="preserve">add Code </w:t>
      </w:r>
      <w:r w:rsidR="00AB5D8F">
        <w:t>PA05</w:t>
      </w:r>
      <w:r w:rsidR="00783EEF">
        <w:t xml:space="preserve"> [</w:t>
      </w:r>
      <w:r w:rsidR="00AB5D8F">
        <w:t>Career Transition Assistance</w:t>
      </w:r>
      <w:r w:rsidR="00783EEF">
        <w:t xml:space="preserve">] to the Participant’s Job Plan </w:t>
      </w:r>
      <w:r w:rsidR="00435C0F">
        <w:t>to</w:t>
      </w:r>
      <w:r w:rsidR="00783EEF">
        <w:t xml:space="preserve"> capture this Activity </w:t>
      </w:r>
      <w:r>
        <w:t>as</w:t>
      </w:r>
      <w:r w:rsidR="00783EEF">
        <w:t xml:space="preserve"> a voluntary requirement. </w:t>
      </w:r>
    </w:p>
    <w:p w14:paraId="72439E2F" w14:textId="77777777" w:rsidR="005A5F1F" w:rsidRDefault="005A5F1F" w:rsidP="005A5F1F">
      <w:r>
        <w:t>Once the CTA provider receives the referral, the CTA provider will contact the Participant. CTA providers will check the Participant’s suitability of the course, including:</w:t>
      </w:r>
    </w:p>
    <w:p w14:paraId="27185D59" w14:textId="3D91197A" w:rsidR="005A5F1F" w:rsidRDefault="005A5F1F" w:rsidP="004E120D">
      <w:pPr>
        <w:pStyle w:val="BulletLevel1"/>
      </w:pPr>
      <w:r w:rsidRPr="25BC4409">
        <w:t xml:space="preserve">contacting Participants to hold an initial meeting to </w:t>
      </w:r>
      <w:r>
        <w:t xml:space="preserve">determine </w:t>
      </w:r>
      <w:r w:rsidRPr="25BC4409">
        <w:t>if the Participant is suitable</w:t>
      </w:r>
    </w:p>
    <w:p w14:paraId="6CC1E4F0" w14:textId="19A15626" w:rsidR="005A5F1F" w:rsidRDefault="005A5F1F" w:rsidP="004E120D">
      <w:pPr>
        <w:pStyle w:val="BulletLevel1"/>
      </w:pPr>
      <w:r>
        <w:t>rejecting the referral if it is identified the Participant would not benefit — the CTA provider will advise the Provider that the Participant has not been accepted into the CTA course, and the reasons for this.</w:t>
      </w:r>
    </w:p>
    <w:p w14:paraId="6578C192" w14:textId="77777777" w:rsidR="005A5F1F" w:rsidRPr="009A5818" w:rsidRDefault="005A5F1F" w:rsidP="005A5F1F">
      <w:pPr>
        <w:pStyle w:val="TableChartHeading"/>
      </w:pPr>
      <w:r>
        <w:t>Key considerations for CTA referrals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53CE49FD" w14:textId="77777777" w:rsidTr="00DE7A9B">
        <w:trPr>
          <w:cnfStyle w:val="100000000000" w:firstRow="1" w:lastRow="0" w:firstColumn="0" w:lastColumn="0" w:oddVBand="0" w:evenVBand="0" w:oddHBand="0" w:evenHBand="0" w:firstRowFirstColumn="0" w:firstRowLastColumn="0" w:lastRowFirstColumn="0" w:lastRowLastColumn="0"/>
          <w:cantSplit/>
          <w:trHeight w:val="300"/>
        </w:trPr>
        <w:tc>
          <w:tcPr>
            <w:tcW w:w="1838" w:type="dxa"/>
          </w:tcPr>
          <w:p w14:paraId="64A6FDF1" w14:textId="77777777" w:rsidR="005A5F1F" w:rsidRPr="00FB7CD7" w:rsidRDefault="005A5F1F">
            <w:pPr>
              <w:pStyle w:val="TableText"/>
              <w:rPr>
                <w:b w:val="0"/>
              </w:rPr>
            </w:pPr>
            <w:r>
              <w:t>Factor</w:t>
            </w:r>
          </w:p>
        </w:tc>
        <w:tc>
          <w:tcPr>
            <w:tcW w:w="7790" w:type="dxa"/>
          </w:tcPr>
          <w:p w14:paraId="7568E2B6" w14:textId="77777777" w:rsidR="005A5F1F" w:rsidRPr="00FB7CD7" w:rsidRDefault="005A5F1F">
            <w:pPr>
              <w:pStyle w:val="TableText"/>
            </w:pPr>
            <w:r>
              <w:t>Details</w:t>
            </w:r>
          </w:p>
        </w:tc>
      </w:tr>
      <w:tr w:rsidR="005A5F1F" w:rsidRPr="00FB7CD7" w14:paraId="0B7A4E2C"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838" w:type="dxa"/>
          </w:tcPr>
          <w:p w14:paraId="2BF96214" w14:textId="77777777" w:rsidR="005A5F1F" w:rsidRPr="00FB7CD7" w:rsidRDefault="005A5F1F">
            <w:pPr>
              <w:pStyle w:val="TableText"/>
            </w:pPr>
            <w:r w:rsidRPr="00FB7CD7">
              <w:t>Participant eligibility</w:t>
            </w:r>
          </w:p>
        </w:tc>
        <w:tc>
          <w:tcPr>
            <w:tcW w:w="7790" w:type="dxa"/>
          </w:tcPr>
          <w:p w14:paraId="193453B6" w14:textId="77777777" w:rsidR="005A5F1F" w:rsidRPr="00FB7CD7" w:rsidRDefault="005A5F1F">
            <w:pPr>
              <w:pStyle w:val="TableList-level1"/>
            </w:pPr>
            <w:r>
              <w:t>Aged 45 years or over.</w:t>
            </w:r>
          </w:p>
          <w:p w14:paraId="077C3AAC" w14:textId="77777777" w:rsidR="005A5F1F" w:rsidRPr="00AF01E6" w:rsidRDefault="005A5F1F">
            <w:pPr>
              <w:pStyle w:val="TableList-level1"/>
            </w:pPr>
            <w:r w:rsidRPr="25BC4409">
              <w:rPr>
                <w:rFonts w:eastAsia="Tahoma"/>
              </w:rPr>
              <w:t>Not previously commenced in a CTA course.</w:t>
            </w:r>
          </w:p>
          <w:p w14:paraId="43E38BE3" w14:textId="77777777" w:rsidR="005A5F1F" w:rsidRPr="00B56C86" w:rsidRDefault="005A5F1F">
            <w:pPr>
              <w:pStyle w:val="TableList-level1"/>
            </w:pPr>
            <w:r w:rsidRPr="25BC4409">
              <w:t>Does not have significant non-vocational issues that need to be addressed before they can benefit from CTA.</w:t>
            </w:r>
          </w:p>
        </w:tc>
      </w:tr>
      <w:tr w:rsidR="00FC127C" w:rsidRPr="00FB7CD7" w14:paraId="1D88B53E"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838" w:type="dxa"/>
          </w:tcPr>
          <w:p w14:paraId="6E15A521" w14:textId="77777777" w:rsidR="005A5F1F" w:rsidRPr="00FB7CD7" w:rsidRDefault="005A5F1F">
            <w:pPr>
              <w:pStyle w:val="TableText"/>
            </w:pPr>
            <w:r>
              <w:t>Format</w:t>
            </w:r>
          </w:p>
        </w:tc>
        <w:tc>
          <w:tcPr>
            <w:tcW w:w="7790" w:type="dxa"/>
          </w:tcPr>
          <w:p w14:paraId="4F6CD734" w14:textId="77777777" w:rsidR="005A5F1F" w:rsidRPr="00FB7CD7" w:rsidRDefault="005A5F1F">
            <w:pPr>
              <w:pStyle w:val="TableText"/>
            </w:pPr>
            <w:r>
              <w:t>Courses can be delivered either in person or hybrid (combination of in person and online), with a minimum of 50 hours of face-to-face contact.</w:t>
            </w:r>
          </w:p>
        </w:tc>
      </w:tr>
      <w:tr w:rsidR="005A5F1F" w:rsidRPr="00FB7CD7" w14:paraId="3D0835DE"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838" w:type="dxa"/>
            <w:tcBorders>
              <w:bottom w:val="single" w:sz="4" w:space="0" w:color="auto"/>
            </w:tcBorders>
          </w:tcPr>
          <w:p w14:paraId="209DCCB7" w14:textId="77777777" w:rsidR="005A5F1F" w:rsidRPr="00FB7CD7" w:rsidRDefault="005A5F1F">
            <w:pPr>
              <w:pStyle w:val="TableText"/>
            </w:pPr>
            <w:r w:rsidRPr="00FB7CD7">
              <w:t>Duration</w:t>
            </w:r>
          </w:p>
        </w:tc>
        <w:tc>
          <w:tcPr>
            <w:tcW w:w="7790" w:type="dxa"/>
            <w:tcBorders>
              <w:bottom w:val="single" w:sz="4" w:space="0" w:color="auto"/>
            </w:tcBorders>
          </w:tcPr>
          <w:p w14:paraId="60C33D01" w14:textId="77777777" w:rsidR="005A5F1F" w:rsidRPr="00FB7CD7" w:rsidRDefault="005A5F1F">
            <w:pPr>
              <w:pStyle w:val="TableText"/>
            </w:pPr>
            <w:r w:rsidRPr="5F191F2A">
              <w:t xml:space="preserve">Each </w:t>
            </w:r>
            <w:r>
              <w:t>course</w:t>
            </w:r>
            <w:r w:rsidRPr="5F191F2A">
              <w:t xml:space="preserve"> runs for 75 hours, in a group setting, over</w:t>
            </w:r>
            <w:r>
              <w:t xml:space="preserve"> 3 to 8 weeks.</w:t>
            </w:r>
          </w:p>
        </w:tc>
      </w:tr>
      <w:tr w:rsidR="00FD020B" w:rsidRPr="00FB7CD7" w14:paraId="7AC39C08"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838" w:type="dxa"/>
            <w:tcBorders>
              <w:bottom w:val="single" w:sz="4" w:space="0" w:color="auto"/>
            </w:tcBorders>
          </w:tcPr>
          <w:p w14:paraId="7F074BB4" w14:textId="77777777" w:rsidR="005A5F1F" w:rsidRPr="00FB7CD7" w:rsidRDefault="005A5F1F">
            <w:pPr>
              <w:pStyle w:val="TableText"/>
            </w:pPr>
            <w:r>
              <w:t>Availability</w:t>
            </w:r>
          </w:p>
        </w:tc>
        <w:tc>
          <w:tcPr>
            <w:tcW w:w="7790" w:type="dxa"/>
            <w:tcBorders>
              <w:bottom w:val="single" w:sz="4" w:space="0" w:color="auto"/>
            </w:tcBorders>
          </w:tcPr>
          <w:p w14:paraId="55F03239" w14:textId="77777777" w:rsidR="005A5F1F" w:rsidRPr="5F191F2A" w:rsidRDefault="005A5F1F">
            <w:pPr>
              <w:pStyle w:val="TableText"/>
            </w:pPr>
            <w:r>
              <w:t>CTA providers will make courses available as an Activity in the Department’s IT Systems.</w:t>
            </w:r>
          </w:p>
        </w:tc>
      </w:tr>
      <w:tr w:rsidR="005A5F1F" w:rsidRPr="00FB7CD7" w14:paraId="43527E75"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838" w:type="dxa"/>
            <w:tcBorders>
              <w:top w:val="single" w:sz="4" w:space="0" w:color="auto"/>
              <w:bottom w:val="single" w:sz="4" w:space="0" w:color="auto"/>
            </w:tcBorders>
          </w:tcPr>
          <w:p w14:paraId="3D45CB41" w14:textId="77777777" w:rsidR="005A5F1F" w:rsidRPr="00FB7CD7" w:rsidRDefault="005A5F1F">
            <w:pPr>
              <w:pStyle w:val="TableText"/>
            </w:pPr>
            <w:r w:rsidRPr="111F7F31">
              <w:t>Cost to Provider</w:t>
            </w:r>
          </w:p>
        </w:tc>
        <w:tc>
          <w:tcPr>
            <w:tcW w:w="7790" w:type="dxa"/>
            <w:tcBorders>
              <w:top w:val="single" w:sz="4" w:space="0" w:color="auto"/>
              <w:bottom w:val="single" w:sz="4" w:space="0" w:color="auto"/>
            </w:tcBorders>
          </w:tcPr>
          <w:p w14:paraId="39934944" w14:textId="77777777" w:rsidR="005A5F1F" w:rsidRDefault="005A5F1F">
            <w:pPr>
              <w:pStyle w:val="TableText"/>
            </w:pPr>
            <w:r>
              <w:t>CTA</w:t>
            </w:r>
            <w:r w:rsidRPr="111F7F31">
              <w:t xml:space="preserve"> Courses are available on a fee-for-service basis. </w:t>
            </w:r>
          </w:p>
          <w:p w14:paraId="457A4532" w14:textId="061B1DAB" w:rsidR="005A5F1F" w:rsidRDefault="005A5F1F">
            <w:pPr>
              <w:pStyle w:val="TableText"/>
              <w:rPr>
                <w:rFonts w:ascii="Tahoma" w:eastAsia="Tahoma" w:hAnsi="Tahoma" w:cs="Tahoma"/>
              </w:rPr>
            </w:pPr>
            <w:r>
              <w:t xml:space="preserve">Providers must pay the CTA provider $2053.12 for each Participant referral from the Provider’s own funds, prior to the date the CTA course starts but after the CTA provider has confirmed the Participant’s CTA place. </w:t>
            </w:r>
            <w:r w:rsidRPr="343B6AC8">
              <w:rPr>
                <w:rFonts w:ascii="Tahoma" w:eastAsia="Tahoma" w:hAnsi="Tahoma" w:cs="Tahoma"/>
              </w:rPr>
              <w:t>The transfer of funds from the Provider to the CTA provider occurs outside of the Department’s IT Systems.</w:t>
            </w:r>
          </w:p>
          <w:p w14:paraId="7EBD682D" w14:textId="77777777" w:rsidR="005A5F1F" w:rsidRPr="00FB7CD7" w:rsidRDefault="005A5F1F">
            <w:pPr>
              <w:pStyle w:val="TableText"/>
            </w:pPr>
            <w:r w:rsidRPr="343B6AC8">
              <w:rPr>
                <w:rFonts w:ascii="Tahoma" w:eastAsia="Tahoma" w:hAnsi="Tahoma" w:cs="Tahoma"/>
              </w:rPr>
              <w:t>Providers must make their own arrangements with the CTA provider to facilitate payment.</w:t>
            </w:r>
          </w:p>
        </w:tc>
      </w:tr>
      <w:tr w:rsidR="00FD020B" w:rsidRPr="00FB7CD7" w14:paraId="07E4AF04"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838" w:type="dxa"/>
            <w:tcBorders>
              <w:bottom w:val="single" w:sz="4" w:space="0" w:color="auto"/>
            </w:tcBorders>
          </w:tcPr>
          <w:p w14:paraId="4ECA2EF0" w14:textId="6073C827" w:rsidR="005A5F1F" w:rsidRPr="00FB7CD7" w:rsidRDefault="005A5F1F">
            <w:pPr>
              <w:pStyle w:val="TableText"/>
            </w:pPr>
            <w:r w:rsidRPr="00FB7CD7">
              <w:t>Participation</w:t>
            </w:r>
            <w:r w:rsidR="00D31AC6">
              <w:t xml:space="preserve"> requirements</w:t>
            </w:r>
          </w:p>
        </w:tc>
        <w:tc>
          <w:tcPr>
            <w:tcW w:w="7790" w:type="dxa"/>
            <w:tcBorders>
              <w:bottom w:val="single" w:sz="4" w:space="0" w:color="auto"/>
            </w:tcBorders>
          </w:tcPr>
          <w:p w14:paraId="3D777E43" w14:textId="77777777" w:rsidR="005A5F1F" w:rsidRDefault="005A5F1F">
            <w:pPr>
              <w:pStyle w:val="TableText"/>
            </w:pPr>
            <w:r>
              <w:t>Participation in CTA is voluntary.</w:t>
            </w:r>
          </w:p>
          <w:p w14:paraId="2C339859" w14:textId="77777777" w:rsidR="005A5F1F" w:rsidRPr="002F7A4D" w:rsidRDefault="005A5F1F">
            <w:pPr>
              <w:pStyle w:val="TableText"/>
            </w:pPr>
            <w:r>
              <w:t>CTA providers will record Participant’s commencement and attendance.</w:t>
            </w:r>
          </w:p>
          <w:p w14:paraId="52685729" w14:textId="77777777" w:rsidR="005A5F1F" w:rsidRPr="00EC6376" w:rsidRDefault="005A5F1F">
            <w:pPr>
              <w:pStyle w:val="TableText"/>
            </w:pPr>
            <w:r>
              <w:t>Best practice is for Providers to work collaboratively with CTA providers to support Participants, and to encourage Participants to attend their CTA course.</w:t>
            </w:r>
          </w:p>
        </w:tc>
      </w:tr>
    </w:tbl>
    <w:p w14:paraId="4C48FE39" w14:textId="5FE05238" w:rsidR="00B144F7" w:rsidRDefault="00B144F7" w:rsidP="00B144F7">
      <w:pPr>
        <w:pStyle w:val="Heading4"/>
      </w:pPr>
      <w:bookmarkStart w:id="301" w:name="_Ref202791387"/>
      <w:bookmarkStart w:id="302" w:name="_Toc202900004"/>
      <w:r>
        <w:t>7.5.</w:t>
      </w:r>
      <w:r w:rsidR="004826D0">
        <w:t>5</w:t>
      </w:r>
      <w:r>
        <w:tab/>
      </w:r>
      <w:bookmarkStart w:id="303" w:name="Self_Employment_Assistance"/>
      <w:r>
        <w:t>Self-Employment Assistance</w:t>
      </w:r>
      <w:bookmarkEnd w:id="301"/>
      <w:bookmarkEnd w:id="302"/>
      <w:bookmarkEnd w:id="303"/>
    </w:p>
    <w:p w14:paraId="274DB975" w14:textId="3D626B3B" w:rsidR="00B144F7" w:rsidRPr="003F101C" w:rsidRDefault="00B144F7" w:rsidP="00B144F7">
      <w:r w:rsidRPr="003F101C">
        <w:t xml:space="preserve">The Self-Employment Assistance (S-EA) program </w:t>
      </w:r>
      <w:r w:rsidRPr="2CC6209F">
        <w:rPr>
          <w:rFonts w:eastAsia="Calibri" w:cs="Arial"/>
        </w:rPr>
        <w:t xml:space="preserve">encourages </w:t>
      </w:r>
      <w:r w:rsidR="0076338D">
        <w:rPr>
          <w:rFonts w:eastAsia="Calibri" w:cs="Arial"/>
        </w:rPr>
        <w:t>Participants</w:t>
      </w:r>
      <w:r w:rsidRPr="2CC6209F">
        <w:rPr>
          <w:rFonts w:eastAsia="Calibri" w:cs="Arial"/>
        </w:rPr>
        <w:t xml:space="preserve"> to consider self-employment </w:t>
      </w:r>
      <w:r>
        <w:rPr>
          <w:rFonts w:eastAsia="Calibri" w:cs="Arial"/>
        </w:rPr>
        <w:t xml:space="preserve">and </w:t>
      </w:r>
      <w:r w:rsidRPr="003F101C">
        <w:t xml:space="preserve">supports </w:t>
      </w:r>
      <w:r w:rsidR="0076338D">
        <w:t>Participants</w:t>
      </w:r>
      <w:r w:rsidRPr="003F101C">
        <w:t xml:space="preserve"> in starting, developing, or growing their small business through individual mentoring and group workshops.</w:t>
      </w:r>
    </w:p>
    <w:p w14:paraId="6BD094CB" w14:textId="77777777" w:rsidR="00B144F7" w:rsidRPr="003F101C" w:rsidRDefault="00B144F7" w:rsidP="00B144F7">
      <w:pPr>
        <w:rPr>
          <w:rFonts w:cstheme="minorHAnsi"/>
        </w:rPr>
      </w:pPr>
      <w:r w:rsidRPr="003F101C">
        <w:t>S-EA offers 6 flexible services to both new and existing business owners:</w:t>
      </w:r>
    </w:p>
    <w:p w14:paraId="3BE9210A" w14:textId="0F2105B4" w:rsidR="00B144F7" w:rsidRPr="00587CAB" w:rsidRDefault="00B144F7" w:rsidP="004E120D">
      <w:pPr>
        <w:pStyle w:val="BulletLevel1"/>
      </w:pPr>
      <w:r w:rsidRPr="00587CAB">
        <w:rPr>
          <w:b/>
          <w:bCs/>
        </w:rPr>
        <w:t>Exploring Self-Employment Workshops</w:t>
      </w:r>
      <w:r w:rsidRPr="00587CAB">
        <w:t xml:space="preserve"> </w:t>
      </w:r>
      <w:r>
        <w:t>helps</w:t>
      </w:r>
      <w:r w:rsidRPr="00587CAB">
        <w:t xml:space="preserve"> </w:t>
      </w:r>
      <w:r>
        <w:t>Participants to learn about</w:t>
      </w:r>
      <w:r w:rsidRPr="00587CAB">
        <w:t xml:space="preserve"> small business and helps create</w:t>
      </w:r>
      <w:r>
        <w:t xml:space="preserve"> and validat</w:t>
      </w:r>
      <w:r w:rsidR="00FE5724">
        <w:t>e</w:t>
      </w:r>
      <w:r>
        <w:t xml:space="preserve"> a</w:t>
      </w:r>
      <w:r w:rsidRPr="00587CAB">
        <w:t xml:space="preserve"> business idea</w:t>
      </w:r>
      <w:r>
        <w:t>, as well as decide if self-employment is a good fit for them.</w:t>
      </w:r>
    </w:p>
    <w:p w14:paraId="79A548AF" w14:textId="77777777" w:rsidR="00B144F7" w:rsidRPr="00587CAB" w:rsidRDefault="00B144F7" w:rsidP="004E120D">
      <w:pPr>
        <w:pStyle w:val="BulletLevel1"/>
      </w:pPr>
      <w:r w:rsidRPr="672B37ED">
        <w:rPr>
          <w:b/>
          <w:bCs/>
        </w:rPr>
        <w:t>Small Business Training</w:t>
      </w:r>
      <w:r>
        <w:t xml:space="preserve"> provides access for Participants to accredited small business training, that may range from accessing a skillset through to a full Certificate IV qualification.</w:t>
      </w:r>
    </w:p>
    <w:p w14:paraId="54E2496D" w14:textId="77777777" w:rsidR="00B144F7" w:rsidRPr="00587CAB" w:rsidRDefault="00B144F7" w:rsidP="004E120D">
      <w:pPr>
        <w:pStyle w:val="BulletLevel1"/>
      </w:pPr>
      <w:r w:rsidRPr="25BC4409">
        <w:rPr>
          <w:b/>
          <w:bCs/>
        </w:rPr>
        <w:t>Business Plan</w:t>
      </w:r>
      <w:r w:rsidRPr="25BC4409">
        <w:t xml:space="preserve"> helps Participants to develop a viable business plan and assess the viability of their business idea.</w:t>
      </w:r>
    </w:p>
    <w:p w14:paraId="0827AB26" w14:textId="77777777" w:rsidR="00B144F7" w:rsidRPr="00587CAB" w:rsidRDefault="00B144F7" w:rsidP="004E120D">
      <w:pPr>
        <w:pStyle w:val="BulletLevel1"/>
      </w:pPr>
      <w:r w:rsidRPr="25BC4409">
        <w:rPr>
          <w:b/>
          <w:bCs/>
        </w:rPr>
        <w:t>Small Business Coaching</w:t>
      </w:r>
      <w:r w:rsidRPr="25BC4409">
        <w:t xml:space="preserve"> provides Participants with 6 personalised business mentoring contacts over 12 months and, for those who are eligible, an allowance for up to 39 weeks and rental assistance for up to 26 weeks.</w:t>
      </w:r>
    </w:p>
    <w:p w14:paraId="74DD8E65" w14:textId="77777777" w:rsidR="00B144F7" w:rsidRPr="00587CAB" w:rsidRDefault="00B144F7" w:rsidP="004E120D">
      <w:pPr>
        <w:pStyle w:val="BulletLevel1"/>
      </w:pPr>
      <w:r w:rsidRPr="25BC4409">
        <w:rPr>
          <w:b/>
          <w:bCs/>
        </w:rPr>
        <w:t>Business Health Checks</w:t>
      </w:r>
      <w:r w:rsidRPr="25BC4409">
        <w:t xml:space="preserve"> helps business owners to identify business development opportunities.</w:t>
      </w:r>
    </w:p>
    <w:p w14:paraId="72AC9E5E" w14:textId="77777777" w:rsidR="00B144F7" w:rsidRDefault="00B144F7" w:rsidP="004E120D">
      <w:pPr>
        <w:pStyle w:val="BulletLevel1"/>
        <w:rPr>
          <w:rFonts w:ascii="Tahoma" w:eastAsia="Tahoma" w:hAnsi="Tahoma" w:cs="Tahoma"/>
        </w:rPr>
      </w:pPr>
      <w:r w:rsidRPr="00587CAB">
        <w:rPr>
          <w:b/>
          <w:bCs/>
        </w:rPr>
        <w:t>Business Advice Sessions</w:t>
      </w:r>
      <w:r w:rsidRPr="00587CAB">
        <w:t xml:space="preserve"> </w:t>
      </w:r>
      <w:r>
        <w:t xml:space="preserve">provide </w:t>
      </w:r>
      <w:r w:rsidRPr="00587CAB">
        <w:t>flexible</w:t>
      </w:r>
      <w:r w:rsidRPr="00FB7CD7">
        <w:t xml:space="preserve"> advice and support on small business issues</w:t>
      </w:r>
      <w:r>
        <w:t>.</w:t>
      </w:r>
    </w:p>
    <w:p w14:paraId="634468B8" w14:textId="13070D08" w:rsidR="00B144F7" w:rsidRDefault="00B144F7" w:rsidP="00B144F7">
      <w:pPr>
        <w:rPr>
          <w:rFonts w:ascii="Tahoma" w:eastAsia="Tahoma" w:hAnsi="Tahoma" w:cs="Tahoma"/>
        </w:rPr>
      </w:pPr>
      <w:r w:rsidRPr="00523020">
        <w:rPr>
          <w:rFonts w:ascii="Tahoma" w:eastAsia="Tahoma" w:hAnsi="Tahoma" w:cs="Tahoma"/>
        </w:rPr>
        <w:t>S-EA also offer</w:t>
      </w:r>
      <w:r w:rsidR="0021027E">
        <w:rPr>
          <w:rFonts w:ascii="Tahoma" w:eastAsia="Tahoma" w:hAnsi="Tahoma" w:cs="Tahoma"/>
        </w:rPr>
        <w:t>s</w:t>
      </w:r>
      <w:r w:rsidRPr="00523020">
        <w:rPr>
          <w:rFonts w:ascii="Tahoma" w:eastAsia="Tahoma" w:hAnsi="Tahoma" w:cs="Tahoma"/>
        </w:rPr>
        <w:t xml:space="preserve"> regular, free masterclasses and networking events to help Participants to learn and expand their networks.</w:t>
      </w:r>
    </w:p>
    <w:p w14:paraId="52723C53" w14:textId="77777777" w:rsidR="00B144F7" w:rsidRDefault="00B144F7" w:rsidP="00B144F7">
      <w:pPr>
        <w:keepNext/>
        <w:spacing w:before="60" w:after="60" w:line="276" w:lineRule="auto"/>
      </w:pPr>
      <w:r>
        <w:t>Providers should ensure that any Participant who expresses an interest in self-employment is made aware of the S-EA program.</w:t>
      </w:r>
    </w:p>
    <w:p w14:paraId="0C044E21" w14:textId="7BAB9E81" w:rsidR="00B144F7" w:rsidRPr="005A3500" w:rsidRDefault="00B144F7" w:rsidP="00B144F7">
      <w:pPr>
        <w:keepNext/>
        <w:spacing w:before="60" w:after="60" w:line="276" w:lineRule="auto"/>
      </w:pPr>
      <w:r>
        <w:t>When referring Participants to S-EA, Providers must either make a referral or suggest the Participant contact the S-EA provider directly, having provided the Participant with the contact details of the relevant S-EA provider.</w:t>
      </w:r>
    </w:p>
    <w:p w14:paraId="1C35EFB4" w14:textId="019B2D8F" w:rsidR="00B144F7" w:rsidRDefault="00B144F7" w:rsidP="00B144F7">
      <w:pPr>
        <w:pStyle w:val="SystemStep"/>
      </w:pPr>
      <w:r>
        <w:t xml:space="preserve">There are 2 ways for a Participant to be referred to </w:t>
      </w:r>
      <w:r w:rsidRPr="0063617C">
        <w:t>S</w:t>
      </w:r>
      <w:r>
        <w:t>elf-Employment Assistance on the Department’s IT Systems:</w:t>
      </w:r>
    </w:p>
    <w:p w14:paraId="5C398A34" w14:textId="77777777" w:rsidR="00B144F7" w:rsidRDefault="00B144F7" w:rsidP="004E120D">
      <w:pPr>
        <w:pStyle w:val="BulletLevel2"/>
      </w:pPr>
      <w:r>
        <w:t>Providers can issue a referral to S-EA through the Department’s IT Systems by selecting the relevant S-EA provider, or</w:t>
      </w:r>
    </w:p>
    <w:p w14:paraId="2677E77A" w14:textId="77005925" w:rsidR="00B144F7" w:rsidRDefault="00B144F7" w:rsidP="004E120D">
      <w:pPr>
        <w:pStyle w:val="BulletLevel2"/>
      </w:pPr>
      <w:r>
        <w:t xml:space="preserve">The S-EA provider completes a self-referral. An </w:t>
      </w:r>
      <w:r w:rsidR="00353F8E">
        <w:t>Inclusive Employment Australia</w:t>
      </w:r>
      <w:r>
        <w:t xml:space="preserve"> Provider can confirm that the Participant has been referred to S-EA by viewing the contract referral in the Referral History screen in the Department’s IT Systems.</w:t>
      </w:r>
    </w:p>
    <w:p w14:paraId="60F7ED17" w14:textId="0DCA468F" w:rsidR="00B144F7" w:rsidRDefault="00B144F7" w:rsidP="00B144F7">
      <w:pPr>
        <w:keepNext/>
        <w:spacing w:before="60" w:after="60" w:line="276" w:lineRule="auto"/>
      </w:pPr>
      <w:r>
        <w:t>The S-EA provider will assess if a Participant is eligible and help identify appropriate services. The S</w:t>
      </w:r>
      <w:r w:rsidR="006D0928">
        <w:noBreakHyphen/>
      </w:r>
      <w:r>
        <w:t>EA provider will advise the Provider of the Participant’s decision(s).</w:t>
      </w:r>
    </w:p>
    <w:p w14:paraId="1EB6C5D8" w14:textId="77777777" w:rsidR="003A6D7D" w:rsidRDefault="00045E9A" w:rsidP="00045E9A">
      <w:r>
        <w:t xml:space="preserve">If the Participant has a Detailed Job Plan, </w:t>
      </w:r>
      <w:r w:rsidRPr="111F7F31">
        <w:t>Providers must</w:t>
      </w:r>
      <w:r w:rsidRPr="003B6B0F">
        <w:t xml:space="preserve"> </w:t>
      </w:r>
      <w:r>
        <w:t xml:space="preserve">add </w:t>
      </w:r>
      <w:r w:rsidR="006663A3">
        <w:t xml:space="preserve">Code </w:t>
      </w:r>
      <w:r>
        <w:t xml:space="preserve">ET58 [Self-Employment Assistance Training] or </w:t>
      </w:r>
      <w:r w:rsidR="006663A3">
        <w:t xml:space="preserve">Code </w:t>
      </w:r>
      <w:r>
        <w:t xml:space="preserve">EM54 [Self-Employment Assistance Program] to the Participant’s Job Plan in order to capture whether the S-EA Activity is a compulsory or voluntary requirement. </w:t>
      </w:r>
    </w:p>
    <w:p w14:paraId="5C6E0138" w14:textId="6866B840" w:rsidR="00045E9A" w:rsidRPr="00073C82" w:rsidRDefault="00B415AA" w:rsidP="00045E9A">
      <w:r>
        <w:t xml:space="preserve">Where S-EA is a compulsory requirement, the </w:t>
      </w:r>
      <w:r w:rsidR="003A6D7D">
        <w:t xml:space="preserve">Provider must </w:t>
      </w:r>
      <w:r w:rsidR="002D2A15">
        <w:t xml:space="preserve">advise </w:t>
      </w:r>
      <w:r>
        <w:t xml:space="preserve">the </w:t>
      </w:r>
      <w:r w:rsidR="002D2A15">
        <w:t>Participant of any personal responsibility</w:t>
      </w:r>
      <w:r>
        <w:t>. This includes</w:t>
      </w:r>
      <w:r w:rsidR="00D032FD">
        <w:t xml:space="preserve"> </w:t>
      </w:r>
      <w:r w:rsidR="00D032FD" w:rsidRPr="111F7F31">
        <w:t>record</w:t>
      </w:r>
      <w:r>
        <w:t>ing</w:t>
      </w:r>
      <w:r w:rsidR="00D032FD">
        <w:t xml:space="preserve"> their</w:t>
      </w:r>
      <w:r w:rsidR="00D032FD" w:rsidRPr="111F7F31">
        <w:t xml:space="preserve"> </w:t>
      </w:r>
      <w:r w:rsidR="00D032FD">
        <w:t xml:space="preserve">own </w:t>
      </w:r>
      <w:r w:rsidR="00D032FD" w:rsidRPr="111F7F31">
        <w:t>attendance</w:t>
      </w:r>
      <w:r w:rsidR="00D032FD">
        <w:t xml:space="preserve"> if the</w:t>
      </w:r>
      <w:r w:rsidR="000F5FC7">
        <w:t xml:space="preserve"> </w:t>
      </w:r>
      <w:r w:rsidR="004B1218">
        <w:t>Participant’s Job Plan includes Code PA03 [Personal Responsibility to Report and Record Attendance]</w:t>
      </w:r>
      <w:r w:rsidR="00045E9A">
        <w:t>.</w:t>
      </w:r>
    </w:p>
    <w:p w14:paraId="5B2C1DDC" w14:textId="7863E198" w:rsidR="00B144F7" w:rsidRPr="00073C82" w:rsidRDefault="00B144F7" w:rsidP="00AB5D8F">
      <w:pPr>
        <w:keepNext/>
        <w:spacing w:before="60" w:after="60" w:line="276" w:lineRule="auto"/>
      </w:pPr>
      <w:r>
        <w:t>Once a Participant has been referred, the Provider must</w:t>
      </w:r>
      <w:r w:rsidR="00AB5D8F">
        <w:t xml:space="preserve"> </w:t>
      </w:r>
      <w:r>
        <w:t xml:space="preserve">ensure Participants accessing S-EA are supported </w:t>
      </w:r>
      <w:r w:rsidR="003E63DD">
        <w:t xml:space="preserve">in their engagement with both </w:t>
      </w:r>
      <w:r w:rsidR="00353F8E">
        <w:t>Inclusive Employment Australia</w:t>
      </w:r>
      <w:r w:rsidR="003E63DD">
        <w:t xml:space="preserve"> and S-EA. Providers may wish to consider offering the Flexible Service </w:t>
      </w:r>
      <w:r w:rsidR="00E57D4E">
        <w:t>to Participant undertaking Small Business Training.</w:t>
      </w:r>
    </w:p>
    <w:p w14:paraId="6A595F24" w14:textId="3A45F20E" w:rsidR="00B144F7" w:rsidRPr="00834D81" w:rsidRDefault="00B144F7" w:rsidP="00B144F7">
      <w:pPr>
        <w:tabs>
          <w:tab w:val="right" w:pos="1701"/>
        </w:tabs>
        <w:spacing w:after="120"/>
      </w:pPr>
      <w:r w:rsidRPr="111F7F31">
        <w:rPr>
          <w:b/>
          <w:bCs/>
        </w:rPr>
        <w:t>Note</w:t>
      </w:r>
      <w:r w:rsidRPr="111F7F31">
        <w:t xml:space="preserve">: Participants in Small Business Coaching are in </w:t>
      </w:r>
      <w:r>
        <w:t>U</w:t>
      </w:r>
      <w:r w:rsidRPr="111F7F31">
        <w:t xml:space="preserve">nsubsidised </w:t>
      </w:r>
      <w:r>
        <w:t>S</w:t>
      </w:r>
      <w:r w:rsidRPr="111F7F31">
        <w:t>elf-</w:t>
      </w:r>
      <w:r>
        <w:t>E</w:t>
      </w:r>
      <w:r w:rsidRPr="111F7F31">
        <w:t xml:space="preserve">mployment. Providers may be able to anchor the </w:t>
      </w:r>
      <w:r w:rsidRPr="00834D81">
        <w:t xml:space="preserve">Placement and claim Outcome Fees (see </w:t>
      </w:r>
      <w:r w:rsidR="007640D1" w:rsidRPr="00834D81">
        <w:fldChar w:fldCharType="begin"/>
      </w:r>
      <w:r w:rsidR="007640D1" w:rsidRPr="00834D81">
        <w:instrText xml:space="preserve"> REF _Ref202785049 \h </w:instrText>
      </w:r>
      <w:r w:rsidR="00834D81">
        <w:instrText xml:space="preserve"> \* MERGEFORMAT </w:instrText>
      </w:r>
      <w:r w:rsidR="007640D1" w:rsidRPr="00834D81">
        <w:fldChar w:fldCharType="separate"/>
      </w:r>
      <w:r w:rsidR="000D75AE">
        <w:t>9.5</w:t>
      </w:r>
      <w:r w:rsidR="00C33F1F">
        <w:t xml:space="preserve"> </w:t>
      </w:r>
      <w:r w:rsidR="000D75AE">
        <w:t>Employment Outcome conditions</w:t>
      </w:r>
      <w:r w:rsidR="007640D1" w:rsidRPr="00834D81">
        <w:fldChar w:fldCharType="end"/>
      </w:r>
      <w:r w:rsidR="007640D1" w:rsidRPr="00834D81">
        <w:t xml:space="preserve"> and </w:t>
      </w:r>
      <w:r w:rsidR="007640D1" w:rsidRPr="00834D81">
        <w:fldChar w:fldCharType="begin"/>
      </w:r>
      <w:r w:rsidR="007640D1" w:rsidRPr="00834D81">
        <w:instrText xml:space="preserve"> REF _Ref202785050 \h  \* MERGEFORMAT </w:instrText>
      </w:r>
      <w:r w:rsidR="007640D1" w:rsidRPr="00834D81">
        <w:fldChar w:fldCharType="separate"/>
      </w:r>
      <w:r w:rsidR="007640D1" w:rsidRPr="00834D81">
        <w:fldChar w:fldCharType="end"/>
      </w:r>
      <w:r w:rsidRPr="00834D81">
        <w:t>).</w:t>
      </w:r>
    </w:p>
    <w:p w14:paraId="01A3CDAF" w14:textId="77777777" w:rsidR="00B144F7" w:rsidRPr="009A5818" w:rsidRDefault="00B144F7" w:rsidP="00B144F7">
      <w:pPr>
        <w:pStyle w:val="TableChartHeading"/>
      </w:pPr>
      <w:r>
        <w:t>Key considerations for S-EA referrals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2C5DD886"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1838" w:type="dxa"/>
          </w:tcPr>
          <w:p w14:paraId="041671BE" w14:textId="77777777" w:rsidR="00B144F7" w:rsidRPr="00FB7CD7" w:rsidRDefault="00B144F7">
            <w:pPr>
              <w:pStyle w:val="TableText"/>
              <w:rPr>
                <w:b w:val="0"/>
              </w:rPr>
            </w:pPr>
            <w:r>
              <w:t>Factor</w:t>
            </w:r>
          </w:p>
        </w:tc>
        <w:tc>
          <w:tcPr>
            <w:tcW w:w="7790" w:type="dxa"/>
          </w:tcPr>
          <w:p w14:paraId="6C163E38" w14:textId="77777777" w:rsidR="00B144F7" w:rsidRPr="00FB7CD7" w:rsidRDefault="00B144F7">
            <w:pPr>
              <w:pStyle w:val="TableText"/>
            </w:pPr>
            <w:r>
              <w:t>Details</w:t>
            </w:r>
          </w:p>
        </w:tc>
      </w:tr>
      <w:tr w:rsidR="00B144F7" w:rsidRPr="00FB7CD7" w14:paraId="6BA8CC39"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Pr>
          <w:p w14:paraId="27484FBE" w14:textId="77777777" w:rsidR="00B144F7" w:rsidRPr="00FB7CD7" w:rsidRDefault="00B144F7">
            <w:pPr>
              <w:pStyle w:val="TableText"/>
            </w:pPr>
            <w:r w:rsidRPr="00FB7CD7">
              <w:t>Participant eligibility</w:t>
            </w:r>
          </w:p>
        </w:tc>
        <w:tc>
          <w:tcPr>
            <w:tcW w:w="7790" w:type="dxa"/>
          </w:tcPr>
          <w:p w14:paraId="1C27F54E" w14:textId="77777777" w:rsidR="00B144F7" w:rsidRDefault="00B144F7">
            <w:pPr>
              <w:pStyle w:val="TableList-level1"/>
            </w:pPr>
            <w:r>
              <w:t>Aged 15 years or over (18 years or over for Small Business Coaching).</w:t>
            </w:r>
          </w:p>
          <w:p w14:paraId="43FA7D8A" w14:textId="77777777" w:rsidR="00B144F7" w:rsidRDefault="00B144F7">
            <w:pPr>
              <w:pStyle w:val="TableList-level1"/>
            </w:pPr>
            <w:r>
              <w:t>Not be enrolled in full-time Education and Training.</w:t>
            </w:r>
          </w:p>
          <w:p w14:paraId="7BAEE68E" w14:textId="77777777" w:rsidR="00B144F7" w:rsidRPr="003D76FF" w:rsidRDefault="00B144F7">
            <w:pPr>
              <w:pStyle w:val="TableList-level1"/>
            </w:pPr>
            <w:r>
              <w:rPr>
                <w:rFonts w:eastAsia="Tahoma"/>
              </w:rPr>
              <w:t>Have working rights in Australia.</w:t>
            </w:r>
          </w:p>
          <w:p w14:paraId="7FCFC41A" w14:textId="77777777" w:rsidR="00B144F7" w:rsidRPr="00293D0B" w:rsidRDefault="00B144F7">
            <w:pPr>
              <w:pStyle w:val="TableList-level1"/>
            </w:pPr>
            <w:r w:rsidRPr="00293D0B">
              <w:rPr>
                <w:rFonts w:eastAsia="Tahoma"/>
              </w:rPr>
              <w:t>Not be an undischarged bankrupt</w:t>
            </w:r>
            <w:r>
              <w:rPr>
                <w:rFonts w:eastAsia="Tahoma"/>
              </w:rPr>
              <w:t>.</w:t>
            </w:r>
          </w:p>
          <w:p w14:paraId="60A316A6" w14:textId="77777777" w:rsidR="00B144F7" w:rsidRPr="00B56C86" w:rsidRDefault="00B144F7" w:rsidP="00D031C9">
            <w:pPr>
              <w:pStyle w:val="TableList-level1"/>
              <w:numPr>
                <w:ilvl w:val="0"/>
                <w:numId w:val="0"/>
              </w:numPr>
              <w:ind w:left="57"/>
            </w:pPr>
            <w:r w:rsidRPr="25BC4409">
              <w:rPr>
                <w:rFonts w:eastAsia="Tahoma"/>
              </w:rPr>
              <w:t>Note: There are additional requirements to access some S-EA services</w:t>
            </w:r>
            <w:r w:rsidRPr="25BC4409">
              <w:t>.</w:t>
            </w:r>
          </w:p>
        </w:tc>
      </w:tr>
      <w:tr w:rsidR="00FC127C" w:rsidRPr="00FB7CD7" w14:paraId="36BE7268"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Pr>
          <w:p w14:paraId="45AF9274" w14:textId="77777777" w:rsidR="00B144F7" w:rsidRPr="00FB7CD7" w:rsidRDefault="00B144F7">
            <w:pPr>
              <w:pStyle w:val="TableText"/>
            </w:pPr>
            <w:r>
              <w:t>Format</w:t>
            </w:r>
          </w:p>
        </w:tc>
        <w:tc>
          <w:tcPr>
            <w:tcW w:w="7790" w:type="dxa"/>
          </w:tcPr>
          <w:p w14:paraId="7B924DC5" w14:textId="77777777" w:rsidR="00B144F7" w:rsidRPr="00FB7CD7" w:rsidRDefault="00B144F7">
            <w:pPr>
              <w:pStyle w:val="TableText"/>
            </w:pPr>
            <w:r>
              <w:t xml:space="preserve">Dependent on the </w:t>
            </w:r>
            <w:r>
              <w:rPr>
                <w:rFonts w:ascii="Tahoma" w:eastAsia="Tahoma" w:hAnsi="Tahoma" w:cs="Tahoma"/>
              </w:rPr>
              <w:t>S-EA</w:t>
            </w:r>
            <w:r w:rsidRPr="009D528F">
              <w:rPr>
                <w:rFonts w:ascii="Tahoma" w:eastAsia="Tahoma" w:hAnsi="Tahoma" w:cs="Tahoma"/>
              </w:rPr>
              <w:t xml:space="preserve"> service</w:t>
            </w:r>
            <w:r>
              <w:t>.</w:t>
            </w:r>
          </w:p>
        </w:tc>
      </w:tr>
      <w:tr w:rsidR="00B144F7" w:rsidRPr="00FB7CD7" w14:paraId="2FABBFC6"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Pr>
          <w:p w14:paraId="4337D2BA" w14:textId="77777777" w:rsidR="00B144F7" w:rsidRPr="00FB7CD7" w:rsidRDefault="00B144F7">
            <w:pPr>
              <w:pStyle w:val="TableText"/>
            </w:pPr>
            <w:r w:rsidRPr="00FB7CD7">
              <w:t>Duration</w:t>
            </w:r>
          </w:p>
        </w:tc>
        <w:tc>
          <w:tcPr>
            <w:tcW w:w="7790" w:type="dxa"/>
          </w:tcPr>
          <w:p w14:paraId="4F9C0655" w14:textId="77777777" w:rsidR="00B144F7" w:rsidRPr="00FB7CD7" w:rsidRDefault="00B144F7">
            <w:pPr>
              <w:pStyle w:val="TableText"/>
            </w:pPr>
            <w:r>
              <w:t xml:space="preserve">Dependent on the </w:t>
            </w:r>
            <w:r>
              <w:rPr>
                <w:rFonts w:ascii="Tahoma" w:eastAsia="Tahoma" w:hAnsi="Tahoma" w:cs="Tahoma"/>
              </w:rPr>
              <w:t>S-EA</w:t>
            </w:r>
            <w:r w:rsidRPr="009D528F">
              <w:rPr>
                <w:rFonts w:ascii="Tahoma" w:eastAsia="Tahoma" w:hAnsi="Tahoma" w:cs="Tahoma"/>
              </w:rPr>
              <w:t xml:space="preserve"> service</w:t>
            </w:r>
            <w:r>
              <w:t>.</w:t>
            </w:r>
          </w:p>
        </w:tc>
      </w:tr>
      <w:tr w:rsidR="00FC127C" w:rsidRPr="00FB7CD7" w14:paraId="603325E2"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Pr>
          <w:p w14:paraId="6AE8E10C" w14:textId="77777777" w:rsidR="00B144F7" w:rsidRPr="00FB7CD7" w:rsidRDefault="00B144F7">
            <w:pPr>
              <w:pStyle w:val="TableText"/>
            </w:pPr>
            <w:r>
              <w:t>Availability</w:t>
            </w:r>
          </w:p>
        </w:tc>
        <w:tc>
          <w:tcPr>
            <w:tcW w:w="7790" w:type="dxa"/>
          </w:tcPr>
          <w:p w14:paraId="030E8C90" w14:textId="77777777" w:rsidR="00B144F7" w:rsidRPr="5F191F2A" w:rsidRDefault="00B144F7">
            <w:pPr>
              <w:pStyle w:val="TableText"/>
            </w:pPr>
            <w:r>
              <w:t xml:space="preserve">S-EA providers will discuss the availability of services with the Participant. </w:t>
            </w:r>
          </w:p>
        </w:tc>
      </w:tr>
      <w:tr w:rsidR="00B144F7" w:rsidRPr="00FB7CD7" w14:paraId="026BFC86"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Borders>
              <w:bottom w:val="single" w:sz="4" w:space="0" w:color="auto"/>
            </w:tcBorders>
          </w:tcPr>
          <w:p w14:paraId="25414A70" w14:textId="77777777" w:rsidR="00B144F7" w:rsidRPr="00FB7CD7" w:rsidRDefault="00B144F7">
            <w:pPr>
              <w:pStyle w:val="TableText"/>
            </w:pPr>
            <w:r w:rsidRPr="111F7F31">
              <w:t>Cost to Provider</w:t>
            </w:r>
          </w:p>
        </w:tc>
        <w:tc>
          <w:tcPr>
            <w:tcW w:w="7790" w:type="dxa"/>
            <w:tcBorders>
              <w:bottom w:val="single" w:sz="4" w:space="0" w:color="auto"/>
            </w:tcBorders>
          </w:tcPr>
          <w:p w14:paraId="54D1746A" w14:textId="77777777" w:rsidR="00B144F7" w:rsidRPr="00FB7CD7" w:rsidRDefault="00B144F7">
            <w:pPr>
              <w:pStyle w:val="TableText"/>
            </w:pPr>
            <w:r>
              <w:t>N/A</w:t>
            </w:r>
          </w:p>
        </w:tc>
      </w:tr>
      <w:tr w:rsidR="00FD020B" w:rsidRPr="00FB7CD7" w14:paraId="27A8E45C"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Borders>
              <w:bottom w:val="single" w:sz="4" w:space="0" w:color="auto"/>
            </w:tcBorders>
          </w:tcPr>
          <w:p w14:paraId="03C35762" w14:textId="5CA7E13D" w:rsidR="00B144F7" w:rsidRPr="00FB7CD7" w:rsidRDefault="00B144F7">
            <w:pPr>
              <w:pStyle w:val="TableText"/>
            </w:pPr>
            <w:r w:rsidRPr="00FB7CD7">
              <w:t>Participation</w:t>
            </w:r>
            <w:r w:rsidR="00834D81">
              <w:t xml:space="preserve"> requirements</w:t>
            </w:r>
          </w:p>
        </w:tc>
        <w:tc>
          <w:tcPr>
            <w:tcW w:w="7790" w:type="dxa"/>
            <w:tcBorders>
              <w:bottom w:val="single" w:sz="4" w:space="0" w:color="auto"/>
            </w:tcBorders>
          </w:tcPr>
          <w:p w14:paraId="77FBEEA4" w14:textId="77777777" w:rsidR="00B144F7" w:rsidRDefault="00B144F7">
            <w:pPr>
              <w:pStyle w:val="TableText"/>
            </w:pPr>
            <w:r>
              <w:t>Participation in S-EA can be compulsory or voluntary.</w:t>
            </w:r>
          </w:p>
          <w:p w14:paraId="5C5C958D" w14:textId="2C69C824" w:rsidR="006B1361" w:rsidRDefault="00B144F7">
            <w:pPr>
              <w:pStyle w:val="TableText"/>
            </w:pPr>
            <w:r>
              <w:t>Participating in Small Business Training will meet a Participant</w:t>
            </w:r>
            <w:r w:rsidR="00834D81">
              <w:t>’s</w:t>
            </w:r>
            <w:r>
              <w:t xml:space="preserve"> Mutual Obligation</w:t>
            </w:r>
            <w:r w:rsidR="00834D81">
              <w:t xml:space="preserve"> R</w:t>
            </w:r>
            <w:r>
              <w:t xml:space="preserve">equirements for up to 8 weeks. During this time, </w:t>
            </w:r>
            <w:r w:rsidR="0017285C">
              <w:t>a Participant</w:t>
            </w:r>
            <w:r>
              <w:t xml:space="preserve"> should </w:t>
            </w:r>
            <w:r w:rsidR="0017285C">
              <w:t xml:space="preserve">not </w:t>
            </w:r>
            <w:r>
              <w:t>have other</w:t>
            </w:r>
            <w:r w:rsidR="006B1361">
              <w:t xml:space="preserve"> tasks and activities </w:t>
            </w:r>
            <w:r w:rsidR="0017285C">
              <w:t>as part of</w:t>
            </w:r>
            <w:r w:rsidR="006B1361">
              <w:t xml:space="preserve"> the Meaningful Engagement Requirement or </w:t>
            </w:r>
            <w:r w:rsidR="0017285C">
              <w:t xml:space="preserve">have </w:t>
            </w:r>
            <w:r w:rsidR="006B1361">
              <w:t>any other</w:t>
            </w:r>
            <w:r>
              <w:t xml:space="preserve"> compulsory requirements</w:t>
            </w:r>
            <w:r w:rsidR="006B1361">
              <w:t xml:space="preserve"> in a Detailed Job Plan</w:t>
            </w:r>
            <w:r>
              <w:t xml:space="preserve">. </w:t>
            </w:r>
          </w:p>
          <w:p w14:paraId="16FF0893" w14:textId="181AEF57" w:rsidR="00B144F7" w:rsidRPr="00FB7CD7" w:rsidRDefault="00B144F7">
            <w:pPr>
              <w:pStyle w:val="TableText"/>
              <w:rPr>
                <w:rFonts w:ascii="Tahoma" w:eastAsia="Tahoma" w:hAnsi="Tahoma" w:cs="Tahoma"/>
                <w:color w:val="0078D4"/>
                <w:u w:val="single"/>
              </w:rPr>
            </w:pPr>
            <w:r w:rsidRPr="54EF5445">
              <w:rPr>
                <w:rFonts w:eastAsiaTheme="minorEastAsia" w:cstheme="minorBidi"/>
                <w:szCs w:val="22"/>
              </w:rPr>
              <w:t>A Provider may consider it appropriate to change the Participant to a Flexible Service if the Participant does not need Intensive Services to maintain participation in S-EA.</w:t>
            </w:r>
          </w:p>
          <w:p w14:paraId="50F8B576" w14:textId="06784DCA" w:rsidR="00B144F7" w:rsidRDefault="00B144F7">
            <w:pPr>
              <w:pStyle w:val="TableText"/>
            </w:pPr>
            <w:r>
              <w:t xml:space="preserve">S-EA providers are responsible for ensuring Participants in </w:t>
            </w:r>
            <w:r w:rsidRPr="7B13E508">
              <w:t>Self-Employment Workshop or Small Business Training are participating appropriately</w:t>
            </w:r>
            <w:r>
              <w:t xml:space="preserve">. </w:t>
            </w:r>
            <w:r w:rsidRPr="7B13E508">
              <w:t xml:space="preserve">Where a S-EA </w:t>
            </w:r>
            <w:r>
              <w:t>p</w:t>
            </w:r>
            <w:r w:rsidRPr="7B13E508">
              <w:t xml:space="preserve">rovider determines that a Participant in one of </w:t>
            </w:r>
            <w:r>
              <w:t>these Activities</w:t>
            </w:r>
            <w:r w:rsidRPr="7B13E508">
              <w:t xml:space="preserve"> is not participating appropriately, they will exit the Participant from relevant Activity</w:t>
            </w:r>
            <w:r>
              <w:t xml:space="preserve"> and</w:t>
            </w:r>
            <w:r w:rsidRPr="7B13E508">
              <w:t xml:space="preserve"> advise the Provider of their decision.</w:t>
            </w:r>
          </w:p>
          <w:p w14:paraId="70564356" w14:textId="78043D9F" w:rsidR="00B144F7" w:rsidRPr="002F7A4D" w:rsidRDefault="00B144F7">
            <w:pPr>
              <w:pStyle w:val="TableText"/>
            </w:pPr>
            <w:r w:rsidRPr="7B13E508">
              <w:t xml:space="preserve">S-EA </w:t>
            </w:r>
            <w:r>
              <w:t>p</w:t>
            </w:r>
            <w:r w:rsidRPr="7B13E508">
              <w:t xml:space="preserve">roviders are responsible for ending a Participant’s S-EA referral where the Participant requests an end </w:t>
            </w:r>
            <w:r w:rsidR="00886300">
              <w:t xml:space="preserve">to </w:t>
            </w:r>
            <w:r w:rsidRPr="7B13E508">
              <w:t>S-EA, is uncontactable or is no longer eligible or suitable for S-EA.</w:t>
            </w:r>
          </w:p>
          <w:p w14:paraId="3862216B" w14:textId="77777777" w:rsidR="00B144F7" w:rsidRPr="004D5EEB" w:rsidRDefault="00B144F7">
            <w:pPr>
              <w:pStyle w:val="TableText"/>
            </w:pPr>
            <w:r>
              <w:t>Best practice is for Providers to work collaboratively with S-EA providers to support Participants.</w:t>
            </w:r>
          </w:p>
        </w:tc>
      </w:tr>
    </w:tbl>
    <w:p w14:paraId="526B2A72" w14:textId="08F45E96" w:rsidR="00D74559" w:rsidRPr="00FB7CD7" w:rsidRDefault="00D74559" w:rsidP="001D0F92">
      <w:pPr>
        <w:pStyle w:val="Heading3"/>
      </w:pPr>
      <w:bookmarkStart w:id="304" w:name="_Toc202900005"/>
      <w:r>
        <w:t>7.6</w:t>
      </w:r>
      <w:r w:rsidR="00DD5C98">
        <w:tab/>
      </w:r>
      <w:r>
        <w:t>Specified Activities</w:t>
      </w:r>
      <w:bookmarkEnd w:id="304"/>
    </w:p>
    <w:p w14:paraId="74482D94" w14:textId="59626A85" w:rsidR="00D74559" w:rsidRDefault="00D74559" w:rsidP="0017285C">
      <w:pPr>
        <w:keepLines/>
        <w:tabs>
          <w:tab w:val="right" w:pos="1701"/>
        </w:tabs>
        <w:spacing w:after="120"/>
      </w:pPr>
      <w:r w:rsidRPr="111F7F31">
        <w:t xml:space="preserve">Specified </w:t>
      </w:r>
      <w:r>
        <w:t>A</w:t>
      </w:r>
      <w:r w:rsidRPr="111F7F31">
        <w:t xml:space="preserve">ctivities are activities with a set structure, managed by a </w:t>
      </w:r>
      <w:r w:rsidR="00442CE1">
        <w:t>H</w:t>
      </w:r>
      <w:r>
        <w:t xml:space="preserve">ost </w:t>
      </w:r>
      <w:r w:rsidR="00442CE1">
        <w:t>O</w:t>
      </w:r>
      <w:r>
        <w:t>rganisation</w:t>
      </w:r>
      <w:r w:rsidRPr="111F7F31">
        <w:t xml:space="preserve"> under an agreement with an Australian Government department or agency. The specified conditions provide certainty and protection to both the Provider and any eligible </w:t>
      </w:r>
      <w:r>
        <w:t>Host O</w:t>
      </w:r>
      <w:r w:rsidRPr="111F7F31">
        <w:t xml:space="preserve">rganisation that agrees to host </w:t>
      </w:r>
      <w:r>
        <w:t>a placement</w:t>
      </w:r>
      <w:r w:rsidRPr="111F7F31">
        <w:t>.</w:t>
      </w:r>
    </w:p>
    <w:p w14:paraId="058D4863" w14:textId="1650DB56" w:rsidR="00CC7755" w:rsidRDefault="00CC7755" w:rsidP="00CC7755">
      <w:r>
        <w:t>Specified Activities are:</w:t>
      </w:r>
    </w:p>
    <w:p w14:paraId="36AC3190" w14:textId="3C1456E3" w:rsidR="00CC7755" w:rsidRPr="00C54EC1" w:rsidRDefault="00CC7755" w:rsidP="004E120D">
      <w:pPr>
        <w:pStyle w:val="BulletLevel1"/>
      </w:pPr>
      <w:r w:rsidRPr="00C54EC1">
        <w:t>Provider Sourced Voluntary Work</w:t>
      </w:r>
      <w:r>
        <w:t>, and</w:t>
      </w:r>
    </w:p>
    <w:p w14:paraId="06F62653" w14:textId="64DBADEE" w:rsidR="00CC7755" w:rsidRPr="00C54EC1" w:rsidRDefault="00CC7755" w:rsidP="004E120D">
      <w:pPr>
        <w:pStyle w:val="BulletLevel1"/>
      </w:pPr>
      <w:r w:rsidRPr="00C54EC1">
        <w:t>Observational Work Experience (OWE)</w:t>
      </w:r>
      <w:r>
        <w:t>.</w:t>
      </w:r>
    </w:p>
    <w:p w14:paraId="100982A0" w14:textId="77777777" w:rsidR="00D74559" w:rsidRPr="00FB7CD7" w:rsidRDefault="00D74559" w:rsidP="006E2EF5">
      <w:pPr>
        <w:keepNext/>
        <w:keepLines/>
        <w:tabs>
          <w:tab w:val="right" w:pos="1701"/>
        </w:tabs>
        <w:spacing w:after="120"/>
        <w:rPr>
          <w:rFonts w:cstheme="minorHAnsi"/>
        </w:rPr>
      </w:pPr>
      <w:r w:rsidRPr="00FB7CD7">
        <w:rPr>
          <w:rFonts w:cstheme="minorHAnsi"/>
        </w:rPr>
        <w:t xml:space="preserve">The set structure of </w:t>
      </w:r>
      <w:r>
        <w:rPr>
          <w:rFonts w:cstheme="minorHAnsi"/>
        </w:rPr>
        <w:t>S</w:t>
      </w:r>
      <w:r w:rsidRPr="00FB7CD7">
        <w:rPr>
          <w:rFonts w:cstheme="minorHAnsi"/>
        </w:rPr>
        <w:t xml:space="preserve">pecified </w:t>
      </w:r>
      <w:r>
        <w:rPr>
          <w:rFonts w:cstheme="minorHAnsi"/>
        </w:rPr>
        <w:t>A</w:t>
      </w:r>
      <w:r w:rsidRPr="00FB7CD7">
        <w:rPr>
          <w:rFonts w:cstheme="minorHAnsi"/>
        </w:rPr>
        <w:t xml:space="preserve">ctivities means that: </w:t>
      </w:r>
    </w:p>
    <w:p w14:paraId="57E4F157" w14:textId="45D60876" w:rsidR="00D74559" w:rsidRPr="00FB7CD7" w:rsidRDefault="00D74559" w:rsidP="004E120D">
      <w:pPr>
        <w:pStyle w:val="BulletLevel1"/>
      </w:pPr>
      <w:r w:rsidRPr="111F7F31">
        <w:t xml:space="preserve">the Provider must manage </w:t>
      </w:r>
      <w:r w:rsidR="004F000C">
        <w:t>P</w:t>
      </w:r>
      <w:r w:rsidRPr="111F7F31">
        <w:t>articipant safety by meeting specified requirements</w:t>
      </w:r>
    </w:p>
    <w:p w14:paraId="050B7FCF" w14:textId="14C6312E" w:rsidR="00D74559" w:rsidRPr="00FB7CD7" w:rsidRDefault="00D74559" w:rsidP="004E120D">
      <w:pPr>
        <w:pStyle w:val="BulletLevel1"/>
      </w:pPr>
      <w:r w:rsidRPr="00FB7CD7">
        <w:t xml:space="preserve">the </w:t>
      </w:r>
      <w:r>
        <w:t>H</w:t>
      </w:r>
      <w:r w:rsidRPr="00FB7CD7">
        <w:t xml:space="preserve">ost </w:t>
      </w:r>
      <w:r>
        <w:t>O</w:t>
      </w:r>
      <w:r w:rsidRPr="00FB7CD7">
        <w:t xml:space="preserve">rganisation must deliver the </w:t>
      </w:r>
      <w:r w:rsidR="5D66A1DC">
        <w:t>A</w:t>
      </w:r>
      <w:r>
        <w:t>ctivity</w:t>
      </w:r>
      <w:r w:rsidRPr="00FB7CD7">
        <w:t xml:space="preserve"> under specified rules</w:t>
      </w:r>
      <w:r>
        <w:t>, and</w:t>
      </w:r>
    </w:p>
    <w:p w14:paraId="2532DC93" w14:textId="77777777" w:rsidR="00D74559" w:rsidRPr="00FB7CD7" w:rsidRDefault="00D74559" w:rsidP="004E120D">
      <w:pPr>
        <w:pStyle w:val="BulletLevel1"/>
      </w:pPr>
      <w:r w:rsidRPr="111F7F31">
        <w:t>Participants are covered by insurance policies taken out by the department.</w:t>
      </w:r>
    </w:p>
    <w:p w14:paraId="2B44CBF8" w14:textId="77777777" w:rsidR="00D74559" w:rsidRPr="00FB7CD7" w:rsidRDefault="00D74559" w:rsidP="006E2EF5">
      <w:pPr>
        <w:tabs>
          <w:tab w:val="right" w:pos="1701"/>
        </w:tabs>
        <w:spacing w:after="120"/>
      </w:pPr>
      <w:r w:rsidRPr="111F7F31">
        <w:t xml:space="preserve">When referring a Participant to a </w:t>
      </w:r>
      <w:r>
        <w:t>Specified Activity</w:t>
      </w:r>
      <w:r w:rsidRPr="111F7F31">
        <w:t>, the Provider must:</w:t>
      </w:r>
    </w:p>
    <w:p w14:paraId="0951B766" w14:textId="460EC493" w:rsidR="00D74559" w:rsidRPr="00FB7CD7" w:rsidRDefault="005E44F0" w:rsidP="004E120D">
      <w:pPr>
        <w:pStyle w:val="BulletLevel1"/>
      </w:pPr>
      <w:r>
        <w:t xml:space="preserve">confirm the Activity is suitable </w:t>
      </w:r>
      <w:r w:rsidR="0017285C">
        <w:t>— i.e.</w:t>
      </w:r>
      <w:r>
        <w:t xml:space="preserve"> th</w:t>
      </w:r>
      <w:r w:rsidR="00D74559" w:rsidRPr="111F7F31">
        <w:t>e Participant is eligible</w:t>
      </w:r>
      <w:r>
        <w:t>,</w:t>
      </w:r>
      <w:r w:rsidR="00D74559" w:rsidRPr="111F7F31">
        <w:t xml:space="preserve"> </w:t>
      </w:r>
      <w:r>
        <w:t xml:space="preserve">and </w:t>
      </w:r>
      <w:r w:rsidR="00D74559" w:rsidRPr="111F7F31">
        <w:t xml:space="preserve">able to </w:t>
      </w:r>
      <w:r>
        <w:t>undertake</w:t>
      </w:r>
      <w:r w:rsidR="00D74559" w:rsidRPr="111F7F31">
        <w:t xml:space="preserve"> and benefit from </w:t>
      </w:r>
      <w:r w:rsidR="56ED7ECC">
        <w:t xml:space="preserve">the </w:t>
      </w:r>
      <w:r w:rsidR="1F650B18">
        <w:t>Activity</w:t>
      </w:r>
      <w:r w:rsidR="00D74559" w:rsidRPr="111F7F31">
        <w:t xml:space="preserve"> </w:t>
      </w:r>
    </w:p>
    <w:p w14:paraId="1EF5706A" w14:textId="69AB574C" w:rsidR="00D74559" w:rsidRDefault="00D74559" w:rsidP="004E120D">
      <w:pPr>
        <w:pStyle w:val="BulletLevel1"/>
      </w:pPr>
      <w:r w:rsidRPr="111F7F31">
        <w:t xml:space="preserve">make sure </w:t>
      </w:r>
      <w:r w:rsidR="007E6270">
        <w:t xml:space="preserve">the </w:t>
      </w:r>
      <w:r w:rsidRPr="111F7F31">
        <w:t xml:space="preserve">Participant understands the purpose of the </w:t>
      </w:r>
      <w:r w:rsidR="00379E11">
        <w:t>A</w:t>
      </w:r>
      <w:r>
        <w:t>ctivity</w:t>
      </w:r>
      <w:r w:rsidRPr="111F7F31">
        <w:t xml:space="preserve"> and their responsibilities </w:t>
      </w:r>
    </w:p>
    <w:p w14:paraId="3FE63FEA" w14:textId="2F194F4A" w:rsidR="00C0652C" w:rsidRPr="0017285C" w:rsidRDefault="00C0652C" w:rsidP="00C0652C">
      <w:pPr>
        <w:pStyle w:val="BulletLevel1"/>
      </w:pPr>
      <w:r w:rsidRPr="0017285C">
        <w:t xml:space="preserve">conduct a Risk Assessment for the Activity and the Participant to ensure </w:t>
      </w:r>
      <w:r w:rsidR="00F3506F" w:rsidRPr="0017285C">
        <w:t xml:space="preserve">the placement </w:t>
      </w:r>
      <w:r w:rsidRPr="0017285C">
        <w:t>is appropriate</w:t>
      </w:r>
      <w:r w:rsidR="00FF2B41" w:rsidRPr="0017285C">
        <w:t xml:space="preserve"> </w:t>
      </w:r>
      <w:r w:rsidR="0017285C" w:rsidRPr="0017285C">
        <w:t>—</w:t>
      </w:r>
      <w:r w:rsidR="008301D3" w:rsidRPr="0017285C">
        <w:t xml:space="preserve"> </w:t>
      </w:r>
      <w:r w:rsidR="00FF2B41" w:rsidRPr="0017285C">
        <w:t xml:space="preserve">refer to </w:t>
      </w:r>
      <w:r w:rsidR="0017285C" w:rsidRPr="0017285C">
        <w:fldChar w:fldCharType="begin"/>
      </w:r>
      <w:r w:rsidR="0017285C" w:rsidRPr="0017285C">
        <w:instrText xml:space="preserve"> REF _Ref202796099 \h </w:instrText>
      </w:r>
      <w:r w:rsidR="0017285C">
        <w:instrText xml:space="preserve"> \* MERGEFORMAT </w:instrText>
      </w:r>
      <w:r w:rsidR="0017285C" w:rsidRPr="0017285C">
        <w:fldChar w:fldCharType="separate"/>
      </w:r>
      <w:r w:rsidR="000D75AE">
        <w:t>7.8.1</w:t>
      </w:r>
      <w:r w:rsidR="002F7169">
        <w:t xml:space="preserve"> </w:t>
      </w:r>
      <w:r w:rsidR="000D75AE">
        <w:t>Risk Assessments</w:t>
      </w:r>
      <w:r w:rsidR="0017285C" w:rsidRPr="0017285C">
        <w:fldChar w:fldCharType="end"/>
      </w:r>
    </w:p>
    <w:p w14:paraId="6251006B" w14:textId="79039F39" w:rsidR="0017285C" w:rsidRPr="0017285C" w:rsidRDefault="0017285C" w:rsidP="00C0652C">
      <w:pPr>
        <w:pStyle w:val="BulletLevel1"/>
      </w:pPr>
      <w:r w:rsidRPr="0017285C">
        <w:t xml:space="preserve">ensure the Participant will have appropriate Supervision during the placement — refer to </w:t>
      </w:r>
      <w:r w:rsidRPr="0017285C">
        <w:fldChar w:fldCharType="begin"/>
      </w:r>
      <w:r w:rsidRPr="0017285C">
        <w:instrText xml:space="preserve"> REF _Ref202796134 \h </w:instrText>
      </w:r>
      <w:r>
        <w:instrText xml:space="preserve"> \* MERGEFORMAT </w:instrText>
      </w:r>
      <w:r w:rsidRPr="0017285C">
        <w:fldChar w:fldCharType="separate"/>
      </w:r>
      <w:r w:rsidR="000D75AE">
        <w:t>7.8.2</w:t>
      </w:r>
      <w:r w:rsidR="002F7169">
        <w:t xml:space="preserve"> </w:t>
      </w:r>
      <w:r w:rsidR="000D75AE">
        <w:t>Supervision</w:t>
      </w:r>
      <w:r w:rsidRPr="0017285C">
        <w:fldChar w:fldCharType="end"/>
      </w:r>
    </w:p>
    <w:p w14:paraId="48E65A5D" w14:textId="22149F19" w:rsidR="00D74559" w:rsidRPr="00FB7CD7" w:rsidRDefault="00D74559" w:rsidP="004E120D">
      <w:pPr>
        <w:pStyle w:val="BulletLevel1"/>
      </w:pPr>
      <w:r w:rsidRPr="111F7F31">
        <w:t xml:space="preserve">make sure the </w:t>
      </w:r>
      <w:r w:rsidR="0008137F">
        <w:t>H</w:t>
      </w:r>
      <w:r>
        <w:t xml:space="preserve">ost </w:t>
      </w:r>
      <w:r w:rsidR="0008137F">
        <w:t>O</w:t>
      </w:r>
      <w:r>
        <w:t>rganisation</w:t>
      </w:r>
      <w:r w:rsidRPr="111F7F31">
        <w:t xml:space="preserve"> has all the information it needs </w:t>
      </w:r>
      <w:r w:rsidR="7CDF8340">
        <w:t>regarding</w:t>
      </w:r>
      <w:r w:rsidRPr="111F7F31">
        <w:t xml:space="preserve"> the Participant </w:t>
      </w:r>
    </w:p>
    <w:p w14:paraId="4825830B" w14:textId="1DD75371" w:rsidR="00D74559" w:rsidRPr="00FB7CD7" w:rsidRDefault="00D74559" w:rsidP="004E120D">
      <w:pPr>
        <w:pStyle w:val="BulletLevel1"/>
      </w:pPr>
      <w:r w:rsidRPr="25BC4409">
        <w:t xml:space="preserve">work with the </w:t>
      </w:r>
      <w:r w:rsidR="0008137F">
        <w:t>H</w:t>
      </w:r>
      <w:r>
        <w:t xml:space="preserve">ost </w:t>
      </w:r>
      <w:r w:rsidR="0008137F">
        <w:t>O</w:t>
      </w:r>
      <w:r>
        <w:t>rganisation</w:t>
      </w:r>
      <w:r w:rsidRPr="25BC4409">
        <w:t xml:space="preserve"> to ensure the Participant </w:t>
      </w:r>
      <w:r w:rsidR="0017285C">
        <w:t>receives any</w:t>
      </w:r>
      <w:r w:rsidRPr="25BC4409">
        <w:t xml:space="preserve"> </w:t>
      </w:r>
      <w:r w:rsidR="41B3C750">
        <w:t>t</w:t>
      </w:r>
      <w:r>
        <w:t>raining</w:t>
      </w:r>
      <w:r w:rsidRPr="25BC4409">
        <w:t>, equipment and clothing</w:t>
      </w:r>
      <w:r w:rsidR="0017285C">
        <w:t xml:space="preserve"> required</w:t>
      </w:r>
    </w:p>
    <w:p w14:paraId="2922B0AD" w14:textId="5AA0A01B" w:rsidR="00D74559" w:rsidRPr="00FB7CD7" w:rsidRDefault="00D74559" w:rsidP="004E120D">
      <w:pPr>
        <w:pStyle w:val="BulletLevel1"/>
      </w:pPr>
      <w:r w:rsidRPr="111F7F31">
        <w:t xml:space="preserve">encourage </w:t>
      </w:r>
      <w:r w:rsidR="0023408F">
        <w:t xml:space="preserve">the </w:t>
      </w:r>
      <w:r w:rsidRPr="111F7F31">
        <w:t>Participant to attend the relevant activity</w:t>
      </w:r>
      <w:r>
        <w:t>, and</w:t>
      </w:r>
    </w:p>
    <w:p w14:paraId="32E0A9CD" w14:textId="4C1EE4E1" w:rsidR="00D74559" w:rsidRDefault="00D74559" w:rsidP="004E120D">
      <w:pPr>
        <w:pStyle w:val="BulletLevel1"/>
      </w:pPr>
      <w:r w:rsidRPr="111F7F31">
        <w:t xml:space="preserve">adjust the Participant’s other </w:t>
      </w:r>
      <w:r w:rsidR="001B2188">
        <w:t>participation r</w:t>
      </w:r>
      <w:r w:rsidRPr="111F7F31">
        <w:t>equirements</w:t>
      </w:r>
      <w:r w:rsidR="0017285C">
        <w:t xml:space="preserve"> </w:t>
      </w:r>
      <w:r w:rsidRPr="111F7F31">
        <w:t xml:space="preserve">to support participation in the </w:t>
      </w:r>
      <w:r w:rsidR="270223E8">
        <w:t>A</w:t>
      </w:r>
      <w:r>
        <w:t>ctivity</w:t>
      </w:r>
      <w:r w:rsidRPr="111F7F31">
        <w:t>.</w:t>
      </w:r>
    </w:p>
    <w:p w14:paraId="6FDEE5DA" w14:textId="2CC42471" w:rsidR="00D74559" w:rsidRPr="0048174B" w:rsidRDefault="00D74559" w:rsidP="006E2EF5">
      <w:pPr>
        <w:pStyle w:val="DeedReferences"/>
      </w:pPr>
      <w:r w:rsidRPr="218C526D">
        <w:t>(</w:t>
      </w:r>
      <w:r w:rsidR="00A73420">
        <w:t xml:space="preserve">Deed Reference(s): Clause </w:t>
      </w:r>
      <w:r w:rsidR="00F65809">
        <w:t xml:space="preserve">144, </w:t>
      </w:r>
      <w:r>
        <w:t>145</w:t>
      </w:r>
      <w:r w:rsidRPr="218C526D">
        <w:t>)</w:t>
      </w:r>
    </w:p>
    <w:p w14:paraId="35DB5C7D" w14:textId="65BF4A1B" w:rsidR="004826D0" w:rsidRDefault="001B2188" w:rsidP="004826D0">
      <w:pPr>
        <w:pStyle w:val="Heading4"/>
      </w:pPr>
      <w:bookmarkStart w:id="305" w:name="_Ref202791491"/>
      <w:bookmarkStart w:id="306" w:name="_Ref202894053"/>
      <w:bookmarkStart w:id="307" w:name="_Toc202900006"/>
      <w:r>
        <w:t>7.6.1</w:t>
      </w:r>
      <w:r>
        <w:tab/>
      </w:r>
      <w:r w:rsidR="004826D0">
        <w:t>Provider Sourced Voluntary Work</w:t>
      </w:r>
      <w:bookmarkEnd w:id="305"/>
      <w:bookmarkEnd w:id="306"/>
      <w:bookmarkEnd w:id="307"/>
    </w:p>
    <w:p w14:paraId="3B77FF74" w14:textId="77777777" w:rsidR="004826D0" w:rsidRDefault="004826D0" w:rsidP="004826D0">
      <w:r>
        <w:t>Voluntary Work is a work experience placement that gives Participants the opportunity to gain skills to improve their Work Readiness and prospects of finding Employment, while also benefiting the community.</w:t>
      </w:r>
    </w:p>
    <w:p w14:paraId="058FC908" w14:textId="77777777" w:rsidR="004826D0" w:rsidRPr="0040679B" w:rsidRDefault="004826D0" w:rsidP="004826D0">
      <w:pPr>
        <w:rPr>
          <w:rFonts w:ascii="Tahoma" w:eastAsia="Tahoma" w:hAnsi="Tahoma" w:cs="Tahoma"/>
        </w:rPr>
      </w:pPr>
      <w:r w:rsidRPr="0040679B">
        <w:rPr>
          <w:rFonts w:ascii="Tahoma" w:eastAsia="Tahoma" w:hAnsi="Tahoma" w:cs="Tahoma"/>
        </w:rPr>
        <w:t>Some of the potential benefits of Voluntary Work for eligible Participants include:</w:t>
      </w:r>
    </w:p>
    <w:p w14:paraId="781FDABF" w14:textId="77777777" w:rsidR="004826D0" w:rsidRPr="0040679B" w:rsidRDefault="004826D0" w:rsidP="004826D0">
      <w:pPr>
        <w:pStyle w:val="BulletLevel1"/>
      </w:pPr>
      <w:r w:rsidRPr="0040679B">
        <w:t>developing practical employability skills such as attendance and communication</w:t>
      </w:r>
    </w:p>
    <w:p w14:paraId="7917BCFB" w14:textId="77777777" w:rsidR="004826D0" w:rsidRPr="0040679B" w:rsidRDefault="004826D0" w:rsidP="004826D0">
      <w:pPr>
        <w:pStyle w:val="BulletLevel1"/>
      </w:pPr>
      <w:r w:rsidRPr="25BC4409">
        <w:t>increasing networks, updating referees and building confidence</w:t>
      </w:r>
    </w:p>
    <w:p w14:paraId="1EB9E318" w14:textId="77777777" w:rsidR="004826D0" w:rsidRPr="0040679B" w:rsidRDefault="004826D0" w:rsidP="004826D0">
      <w:pPr>
        <w:pStyle w:val="BulletLevel1"/>
      </w:pPr>
      <w:r w:rsidRPr="25BC4409">
        <w:t>demonstrating their skills, knowledge, experience and attitude, and gaining valuable exposure to workplaces to help them understand workplace expectations, and</w:t>
      </w:r>
    </w:p>
    <w:p w14:paraId="5C49D793" w14:textId="77777777" w:rsidR="004826D0" w:rsidRDefault="004826D0" w:rsidP="004826D0">
      <w:pPr>
        <w:pStyle w:val="BulletLevel1"/>
      </w:pPr>
      <w:r w:rsidRPr="0040679B">
        <w:t>providing service to a Participant’s community.</w:t>
      </w:r>
    </w:p>
    <w:p w14:paraId="07F93B65" w14:textId="77777777" w:rsidR="004826D0" w:rsidRPr="008E596F" w:rsidRDefault="004826D0" w:rsidP="004826D0">
      <w:pPr>
        <w:keepNext/>
      </w:pPr>
      <w:r w:rsidRPr="008E596F">
        <w:t>When arranging a</w:t>
      </w:r>
      <w:r>
        <w:t xml:space="preserve"> Voluntary Work placement</w:t>
      </w:r>
      <w:r w:rsidRPr="008E596F">
        <w:t>, the Provider must:</w:t>
      </w:r>
    </w:p>
    <w:p w14:paraId="7F6852BA" w14:textId="77777777" w:rsidR="004826D0" w:rsidRPr="008E596F" w:rsidRDefault="004826D0" w:rsidP="004826D0">
      <w:pPr>
        <w:pStyle w:val="BulletLevel1"/>
      </w:pPr>
      <w:r w:rsidRPr="008E596F">
        <w:t xml:space="preserve">ensure the Participant is eligible and suitable for </w:t>
      </w:r>
      <w:r>
        <w:t>Voluntary Work</w:t>
      </w:r>
    </w:p>
    <w:p w14:paraId="603A9CE2" w14:textId="77777777" w:rsidR="004826D0" w:rsidRPr="008E596F" w:rsidRDefault="004826D0" w:rsidP="004826D0">
      <w:pPr>
        <w:pStyle w:val="BulletLevel1"/>
      </w:pPr>
      <w:r w:rsidRPr="008E596F">
        <w:t>ensure the Host Organisation is eligible to host a</w:t>
      </w:r>
      <w:r>
        <w:t xml:space="preserve"> Voluntary Work placement</w:t>
      </w:r>
    </w:p>
    <w:p w14:paraId="43A178EC" w14:textId="77777777" w:rsidR="004826D0" w:rsidRDefault="004826D0" w:rsidP="004826D0">
      <w:pPr>
        <w:pStyle w:val="BulletLevel1"/>
      </w:pPr>
      <w:r w:rsidRPr="008E596F">
        <w:t xml:space="preserve">ensure the </w:t>
      </w:r>
      <w:r>
        <w:t>Voluntary Work placement:</w:t>
      </w:r>
    </w:p>
    <w:p w14:paraId="24A8C203" w14:textId="5436CD4A" w:rsidR="004826D0" w:rsidRDefault="004826D0" w:rsidP="004826D0">
      <w:pPr>
        <w:pStyle w:val="BulletLevel2"/>
      </w:pPr>
      <w:r>
        <w:t>does</w:t>
      </w:r>
      <w:r w:rsidRPr="00B504F5">
        <w:t xml:space="preserve"> not involve more than 25 hours </w:t>
      </w:r>
      <w:r w:rsidR="005716B5">
        <w:t xml:space="preserve">voluntary work </w:t>
      </w:r>
      <w:r w:rsidRPr="00B504F5">
        <w:t>per week</w:t>
      </w:r>
    </w:p>
    <w:p w14:paraId="7927C37B" w14:textId="77777777" w:rsidR="004826D0" w:rsidRDefault="004826D0" w:rsidP="004826D0">
      <w:pPr>
        <w:pStyle w:val="BulletLevel2"/>
      </w:pPr>
      <w:r>
        <w:t>does not exceed a maximum of 8 hours per day</w:t>
      </w:r>
    </w:p>
    <w:p w14:paraId="05833016" w14:textId="77777777" w:rsidR="004826D0" w:rsidRDefault="004826D0" w:rsidP="004826D0">
      <w:pPr>
        <w:pStyle w:val="BulletLevel2"/>
      </w:pPr>
      <w:r>
        <w:t>includes at least one 30-minute break every 5 hours</w:t>
      </w:r>
    </w:p>
    <w:p w14:paraId="14D86CC6" w14:textId="77777777" w:rsidR="004826D0" w:rsidRPr="002C696C" w:rsidRDefault="004826D0" w:rsidP="004826D0">
      <w:pPr>
        <w:pStyle w:val="BulletLevel2"/>
      </w:pPr>
      <w:r>
        <w:t>does</w:t>
      </w:r>
      <w:r w:rsidRPr="00B504F5">
        <w:t xml:space="preserve"> not include participation</w:t>
      </w:r>
      <w:r w:rsidRPr="007817A8">
        <w:t xml:space="preserve"> </w:t>
      </w:r>
      <w:r w:rsidRPr="00B504F5">
        <w:t>outside core business hours, including on a public holiday, unless a Participant chooses to do so and has agreed in advance</w:t>
      </w:r>
      <w:r>
        <w:t>, and</w:t>
      </w:r>
    </w:p>
    <w:p w14:paraId="4DD1A4EC" w14:textId="77777777" w:rsidR="004826D0" w:rsidRDefault="004826D0" w:rsidP="004826D0">
      <w:pPr>
        <w:pStyle w:val="BulletLevel2"/>
      </w:pPr>
      <w:r w:rsidRPr="25BC4409">
        <w:t xml:space="preserve">does not exceed 26 weeks unless the Provider determines this is the best participation option </w:t>
      </w:r>
      <w:r>
        <w:t>for the individual under</w:t>
      </w:r>
      <w:r w:rsidRPr="25BC4409">
        <w:t xml:space="preserve"> the circumstances</w:t>
      </w:r>
    </w:p>
    <w:p w14:paraId="7EB0C606" w14:textId="5E26C58A" w:rsidR="004826D0" w:rsidRPr="008E596F" w:rsidRDefault="004826D0" w:rsidP="004826D0">
      <w:pPr>
        <w:pStyle w:val="BulletLevel1"/>
      </w:pPr>
      <w:r w:rsidRPr="008E596F">
        <w:t xml:space="preserve">ensure </w:t>
      </w:r>
      <w:r w:rsidR="00A47B99">
        <w:t>R</w:t>
      </w:r>
      <w:r>
        <w:t xml:space="preserve">isk </w:t>
      </w:r>
      <w:r w:rsidR="00A47B99">
        <w:t>A</w:t>
      </w:r>
      <w:r>
        <w:t>ssessments</w:t>
      </w:r>
      <w:r w:rsidRPr="008E596F">
        <w:t xml:space="preserve"> have been completed by a Competent Person</w:t>
      </w:r>
    </w:p>
    <w:p w14:paraId="5EA9E1A5" w14:textId="77777777" w:rsidR="004826D0" w:rsidRPr="008E596F" w:rsidRDefault="004826D0" w:rsidP="004826D0">
      <w:pPr>
        <w:pStyle w:val="BulletLevel1"/>
      </w:pPr>
      <w:r w:rsidRPr="008E596F">
        <w:t>negotiate and enter into a</w:t>
      </w:r>
      <w:r>
        <w:t xml:space="preserve"> Voluntary Work</w:t>
      </w:r>
      <w:r w:rsidRPr="008E596F">
        <w:t xml:space="preserve"> Host Agreement</w:t>
      </w:r>
      <w:r>
        <w:t>, and</w:t>
      </w:r>
    </w:p>
    <w:p w14:paraId="36424E62" w14:textId="77777777" w:rsidR="004826D0" w:rsidRDefault="004826D0" w:rsidP="004826D0">
      <w:pPr>
        <w:pStyle w:val="BulletLevel1"/>
      </w:pPr>
      <w:r w:rsidRPr="008E596F">
        <w:t>monitor the</w:t>
      </w:r>
      <w:r>
        <w:t xml:space="preserve"> Voluntary Work placement</w:t>
      </w:r>
      <w:r w:rsidRPr="008E596F">
        <w:t xml:space="preserve"> for its duration and respond to any issues that aris</w:t>
      </w:r>
      <w:r>
        <w:t>e.</w:t>
      </w:r>
    </w:p>
    <w:p w14:paraId="4864513B" w14:textId="3FBDBEF9" w:rsidR="00DB7085" w:rsidRPr="00902B25" w:rsidRDefault="00DB7085" w:rsidP="00DB7085">
      <w:pPr>
        <w:pStyle w:val="WorkHealthandSafetyStep"/>
      </w:pPr>
      <w:r w:rsidRPr="25BC4409">
        <w:t xml:space="preserve">Providers must </w:t>
      </w:r>
      <w:r>
        <w:t xml:space="preserve">report </w:t>
      </w:r>
      <w:r w:rsidR="0037391B">
        <w:t>Incidents</w:t>
      </w:r>
      <w:r>
        <w:t xml:space="preserve"> and retain Records</w:t>
      </w:r>
      <w:r w:rsidRPr="25BC4409">
        <w:t xml:space="preserve"> of any action taken regarding any Incidents that occur during a Provider Sourced Voluntary Work placement in accordance with the</w:t>
      </w:r>
      <w:r w:rsidR="00765777">
        <w:t xml:space="preserve"> </w:t>
      </w:r>
      <w:r w:rsidR="00765777" w:rsidRPr="008A3EB4">
        <w:rPr>
          <w:rStyle w:val="Hyperlink"/>
        </w:rPr>
        <w:t>WHS Incidents and Insurance Readers Guide – Providers</w:t>
      </w:r>
      <w:r w:rsidR="00765777">
        <w:rPr>
          <w:rStyle w:val="Hyperlink"/>
        </w:rPr>
        <w:t xml:space="preserve"> [LINK]</w:t>
      </w:r>
      <w:r w:rsidRPr="25BC4409">
        <w:t>.</w:t>
      </w:r>
    </w:p>
    <w:p w14:paraId="3847AFA8" w14:textId="77777777" w:rsidR="00DB7085" w:rsidRPr="00781BCF" w:rsidRDefault="00DB7085" w:rsidP="00DB7085">
      <w:pPr>
        <w:pStyle w:val="DocumentaryEvidenceRequirement"/>
      </w:pPr>
      <w:r>
        <w:t xml:space="preserve">The Provider must retain evidence the Voluntary Work placement commenced (for example an email from the Host Organisation). The Department may request this information as evidence to </w:t>
      </w:r>
      <w:r w:rsidRPr="00781BCF">
        <w:t>support a progress payment.</w:t>
      </w:r>
    </w:p>
    <w:p w14:paraId="28C5DE78" w14:textId="77777777" w:rsidR="004826D0" w:rsidRPr="003B0B6E" w:rsidRDefault="004826D0" w:rsidP="004826D0">
      <w:r w:rsidRPr="003B0B6E">
        <w:t xml:space="preserve">The Provider must ensure </w:t>
      </w:r>
      <w:r>
        <w:t>Voluntary Work placement</w:t>
      </w:r>
      <w:r w:rsidRPr="003B0B6E">
        <w:t>s:</w:t>
      </w:r>
    </w:p>
    <w:p w14:paraId="49F46567" w14:textId="4A273424" w:rsidR="004826D0" w:rsidRPr="00B504F5" w:rsidRDefault="004826D0" w:rsidP="004826D0">
      <w:pPr>
        <w:pStyle w:val="BulletLevel1"/>
      </w:pPr>
      <w:r>
        <w:t>are</w:t>
      </w:r>
      <w:r w:rsidRPr="00B504F5">
        <w:t xml:space="preserve"> of benefit to the Participant and the local community and offer no financial gain to the volunteer organisation</w:t>
      </w:r>
    </w:p>
    <w:p w14:paraId="3FE30905" w14:textId="464B2EAE" w:rsidR="004826D0" w:rsidRPr="00B504F5" w:rsidRDefault="004826D0" w:rsidP="004826D0">
      <w:pPr>
        <w:pStyle w:val="BulletLevel1"/>
      </w:pPr>
      <w:r>
        <w:t>provide the Participant with the opportunity to gain skills that will directly improve their Work Readiness and job prospects</w:t>
      </w:r>
      <w:r w:rsidR="00574C18">
        <w:t>. This can include</w:t>
      </w:r>
      <w:r>
        <w:t xml:space="preserve"> the ability to work as part of a team, take directions from a supervisor, work independently, communicate effectively, and become more motivated and dependable</w:t>
      </w:r>
      <w:r w:rsidR="00DB7085">
        <w:t>, and</w:t>
      </w:r>
    </w:p>
    <w:p w14:paraId="03DDCE2D" w14:textId="6E9B97D9" w:rsidR="004826D0" w:rsidRPr="00B504F5" w:rsidRDefault="004826D0" w:rsidP="004826D0">
      <w:pPr>
        <w:pStyle w:val="BulletLevel1"/>
      </w:pPr>
      <w:r>
        <w:t>do</w:t>
      </w:r>
      <w:r w:rsidRPr="00B504F5">
        <w:t xml:space="preserve"> not primarily promote a particular religious or political view</w:t>
      </w:r>
      <w:r w:rsidR="00CE50F4">
        <w:t>.</w:t>
      </w:r>
    </w:p>
    <w:p w14:paraId="363D1C58" w14:textId="77777777" w:rsidR="00CE50F4" w:rsidRDefault="00CE50F4" w:rsidP="00CE50F4">
      <w:pPr>
        <w:pStyle w:val="SystemStep"/>
        <w:rPr>
          <w:rFonts w:ascii="Tahoma" w:eastAsia="Tahoma" w:hAnsi="Tahoma" w:cs="Tahoma"/>
          <w:lang w:val="en-GB"/>
        </w:rPr>
      </w:pPr>
      <w:r w:rsidRPr="21E3D223">
        <w:rPr>
          <w:lang w:val="en-GB"/>
        </w:rPr>
        <w:t xml:space="preserve">The Provider must </w:t>
      </w:r>
      <w:r>
        <w:rPr>
          <w:lang w:val="en-GB"/>
        </w:rPr>
        <w:t>add the</w:t>
      </w:r>
      <w:r w:rsidRPr="21E3D223">
        <w:rPr>
          <w:lang w:val="en-GB"/>
        </w:rPr>
        <w:t xml:space="preserve"> Participant’s </w:t>
      </w:r>
      <w:r>
        <w:rPr>
          <w:lang w:val="en-GB"/>
        </w:rPr>
        <w:t>participation in Voluntary Work as an Activity</w:t>
      </w:r>
      <w:r w:rsidRPr="21E3D223">
        <w:rPr>
          <w:lang w:val="en-GB"/>
        </w:rPr>
        <w:t xml:space="preserve"> in the Department’s IT Systems</w:t>
      </w:r>
      <w:r>
        <w:rPr>
          <w:lang w:val="en-GB"/>
        </w:rPr>
        <w:t>.</w:t>
      </w:r>
    </w:p>
    <w:p w14:paraId="21C485B5" w14:textId="701C22CF" w:rsidR="00012206" w:rsidRDefault="00CB3D21" w:rsidP="0017285C">
      <w:r>
        <w:t>This Activity may Fully Meet the Mutual Obligation Requirements of a Participant (Mutual Obligation).</w:t>
      </w:r>
      <w:r w:rsidR="00EB4F21">
        <w:t xml:space="preserve"> </w:t>
      </w:r>
      <w:r w:rsidR="00012206" w:rsidRPr="00012206">
        <w:t>Providers</w:t>
      </w:r>
      <w:r w:rsidR="00012206">
        <w:t xml:space="preserve"> should refer to the</w:t>
      </w:r>
      <w:r w:rsidR="00012206" w:rsidRPr="00012206">
        <w:t xml:space="preserve"> </w:t>
      </w:r>
      <w:r w:rsidR="00995F25" w:rsidRPr="006B5D9C">
        <w:rPr>
          <w:rStyle w:val="Hyperlink"/>
        </w:rPr>
        <w:t xml:space="preserve">Provider Actions – Recording Participants </w:t>
      </w:r>
      <w:r w:rsidR="00CD247A">
        <w:rPr>
          <w:rStyle w:val="Hyperlink"/>
        </w:rPr>
        <w:t>as</w:t>
      </w:r>
      <w:r w:rsidR="00995F25" w:rsidRPr="006B5D9C">
        <w:rPr>
          <w:rStyle w:val="Hyperlink"/>
        </w:rPr>
        <w:t xml:space="preserve"> Fully Meeting Mutual Obligations [LINK]</w:t>
      </w:r>
      <w:r w:rsidR="00995F25">
        <w:t xml:space="preserve"> s</w:t>
      </w:r>
      <w:r w:rsidR="00012206">
        <w:t>upporting document referred to in</w:t>
      </w:r>
      <w:r w:rsidR="0017285C">
        <w:t xml:space="preserve"> </w:t>
      </w:r>
      <w:r w:rsidR="0017285C">
        <w:fldChar w:fldCharType="begin"/>
      </w:r>
      <w:r w:rsidR="0017285C">
        <w:instrText xml:space="preserve"> REF _Ref202783027 \h </w:instrText>
      </w:r>
      <w:r w:rsidR="0017285C">
        <w:fldChar w:fldCharType="separate"/>
      </w:r>
      <w:r w:rsidR="000D75AE" w:rsidRPr="00BA23D8">
        <w:t>Chapter 5</w:t>
      </w:r>
      <w:r w:rsidR="000D75AE">
        <w:t>:</w:t>
      </w:r>
      <w:r w:rsidR="000D75AE" w:rsidRPr="00BA23D8">
        <w:t>Participation requirements</w:t>
      </w:r>
      <w:r w:rsidR="0017285C">
        <w:fldChar w:fldCharType="end"/>
      </w:r>
      <w:r w:rsidR="006D2F21">
        <w:t>.</w:t>
      </w:r>
    </w:p>
    <w:p w14:paraId="4F3F66D5" w14:textId="7969BF62" w:rsidR="004826D0" w:rsidRPr="00073C82" w:rsidRDefault="004826D0" w:rsidP="0017285C">
      <w:r w:rsidRPr="111F7F31">
        <w:t>Providers must</w:t>
      </w:r>
      <w:r w:rsidR="00CE50F4">
        <w:t xml:space="preserve"> </w:t>
      </w:r>
      <w:r w:rsidRPr="111F7F31">
        <w:t xml:space="preserve">make </w:t>
      </w:r>
      <w:r w:rsidR="00B2576B">
        <w:t>Participants</w:t>
      </w:r>
      <w:r w:rsidRPr="111F7F31">
        <w:t xml:space="preserve"> aware of their </w:t>
      </w:r>
      <w:r>
        <w:t xml:space="preserve">rights and </w:t>
      </w:r>
      <w:r w:rsidRPr="111F7F31">
        <w:t>responsibilities</w:t>
      </w:r>
      <w:r w:rsidR="00CE50F4">
        <w:t xml:space="preserve"> while in the workplace.</w:t>
      </w:r>
    </w:p>
    <w:p w14:paraId="4C184716" w14:textId="04B45139" w:rsidR="00CE50F4" w:rsidRPr="00073C82" w:rsidRDefault="00CE50F4" w:rsidP="0017285C">
      <w:r>
        <w:t xml:space="preserve">If the Participant has a Detailed Job Plan, </w:t>
      </w:r>
      <w:r w:rsidRPr="111F7F31">
        <w:t>Providers must</w:t>
      </w:r>
      <w:r w:rsidRPr="003B6B0F">
        <w:t xml:space="preserve"> </w:t>
      </w:r>
      <w:r>
        <w:t xml:space="preserve">add </w:t>
      </w:r>
      <w:r w:rsidR="008A210A">
        <w:t>Code WE11 [Voluntary Work</w:t>
      </w:r>
      <w:r w:rsidR="009A35D8">
        <w:t>]</w:t>
      </w:r>
      <w:r>
        <w:t xml:space="preserve"> to the Participant’s Job Plan </w:t>
      </w:r>
      <w:r w:rsidR="00343765">
        <w:t>to</w:t>
      </w:r>
      <w:r>
        <w:t xml:space="preserve"> capture this Activity </w:t>
      </w:r>
      <w:r w:rsidR="007E5972">
        <w:t>as</w:t>
      </w:r>
      <w:r>
        <w:t xml:space="preserve"> a voluntary requirement.</w:t>
      </w:r>
    </w:p>
    <w:p w14:paraId="296A5377" w14:textId="77777777" w:rsidR="004826D0" w:rsidRPr="009A5818" w:rsidRDefault="004826D0" w:rsidP="004826D0">
      <w:pPr>
        <w:pStyle w:val="TableChartHeading"/>
      </w:pPr>
      <w:r>
        <w:t>Key considerations for Provider Sourced Volunteer Work placements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32EBFDC8"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1838" w:type="dxa"/>
          </w:tcPr>
          <w:p w14:paraId="6F10D445" w14:textId="77777777" w:rsidR="004826D0" w:rsidRPr="00FB7CD7" w:rsidRDefault="004826D0">
            <w:pPr>
              <w:pStyle w:val="TableText"/>
              <w:rPr>
                <w:b w:val="0"/>
              </w:rPr>
            </w:pPr>
            <w:r>
              <w:t>Factor</w:t>
            </w:r>
          </w:p>
        </w:tc>
        <w:tc>
          <w:tcPr>
            <w:tcW w:w="7790" w:type="dxa"/>
          </w:tcPr>
          <w:p w14:paraId="73AC4550" w14:textId="77777777" w:rsidR="004826D0" w:rsidRPr="00FB7CD7" w:rsidRDefault="004826D0">
            <w:pPr>
              <w:pStyle w:val="TableText"/>
            </w:pPr>
            <w:r>
              <w:t>Details</w:t>
            </w:r>
          </w:p>
        </w:tc>
      </w:tr>
      <w:tr w:rsidR="004826D0" w:rsidRPr="00FB7CD7" w14:paraId="4AAC2036" w14:textId="77777777" w:rsidTr="0017285C">
        <w:trPr>
          <w:cnfStyle w:val="000000100000" w:firstRow="0" w:lastRow="0" w:firstColumn="0" w:lastColumn="0" w:oddVBand="0" w:evenVBand="0" w:oddHBand="1" w:evenHBand="0" w:firstRowFirstColumn="0" w:firstRowLastColumn="0" w:lastRowFirstColumn="0" w:lastRowLastColumn="0"/>
        </w:trPr>
        <w:tc>
          <w:tcPr>
            <w:tcW w:w="1838" w:type="dxa"/>
            <w:tcBorders>
              <w:bottom w:val="single" w:sz="4" w:space="0" w:color="auto"/>
            </w:tcBorders>
          </w:tcPr>
          <w:p w14:paraId="2273B4E7" w14:textId="77777777" w:rsidR="004826D0" w:rsidRPr="00FB7CD7" w:rsidRDefault="004826D0">
            <w:pPr>
              <w:pStyle w:val="TableText"/>
            </w:pPr>
            <w:r w:rsidRPr="00FB7CD7">
              <w:t>Participant eligibility</w:t>
            </w:r>
          </w:p>
        </w:tc>
        <w:tc>
          <w:tcPr>
            <w:tcW w:w="7790" w:type="dxa"/>
            <w:tcBorders>
              <w:bottom w:val="single" w:sz="4" w:space="0" w:color="auto"/>
            </w:tcBorders>
          </w:tcPr>
          <w:p w14:paraId="4BEFD430" w14:textId="42A8AE1C" w:rsidR="004826D0" w:rsidRPr="00B56C86" w:rsidRDefault="004826D0">
            <w:pPr>
              <w:pStyle w:val="TableList-level1"/>
            </w:pPr>
            <w:r>
              <w:t>15 years or over.</w:t>
            </w:r>
          </w:p>
        </w:tc>
      </w:tr>
      <w:tr w:rsidR="00FC127C" w:rsidRPr="00FB7CD7" w14:paraId="591AFFDA" w14:textId="77777777" w:rsidTr="0017285C">
        <w:trPr>
          <w:cnfStyle w:val="000000010000" w:firstRow="0" w:lastRow="0" w:firstColumn="0" w:lastColumn="0" w:oddVBand="0" w:evenVBand="0" w:oddHBand="0" w:evenHBand="1" w:firstRowFirstColumn="0" w:firstRowLastColumn="0" w:lastRowFirstColumn="0" w:lastRowLastColumn="0"/>
        </w:trPr>
        <w:tc>
          <w:tcPr>
            <w:tcW w:w="1838" w:type="dxa"/>
            <w:tcBorders>
              <w:bottom w:val="single" w:sz="4" w:space="0" w:color="auto"/>
            </w:tcBorders>
          </w:tcPr>
          <w:p w14:paraId="485C8B3D" w14:textId="77777777" w:rsidR="004826D0" w:rsidRPr="00FB7CD7" w:rsidRDefault="004826D0">
            <w:pPr>
              <w:pStyle w:val="TableText"/>
            </w:pPr>
            <w:r>
              <w:t>Eligible Host Organisations</w:t>
            </w:r>
          </w:p>
        </w:tc>
        <w:tc>
          <w:tcPr>
            <w:tcW w:w="7790" w:type="dxa"/>
            <w:tcBorders>
              <w:bottom w:val="single" w:sz="4" w:space="0" w:color="auto"/>
            </w:tcBorders>
          </w:tcPr>
          <w:p w14:paraId="215671E9" w14:textId="77777777" w:rsidR="004826D0" w:rsidRPr="008712AA" w:rsidRDefault="004826D0">
            <w:pPr>
              <w:pStyle w:val="TableText"/>
            </w:pPr>
            <w:r>
              <w:t>Volunteer Work</w:t>
            </w:r>
            <w:r w:rsidRPr="008712AA">
              <w:t xml:space="preserve"> </w:t>
            </w:r>
            <w:r>
              <w:t>p</w:t>
            </w:r>
            <w:r w:rsidRPr="008712AA">
              <w:t>lacements can occur in:</w:t>
            </w:r>
          </w:p>
          <w:p w14:paraId="0C5CCDD1" w14:textId="0E579F15" w:rsidR="004826D0" w:rsidRDefault="004826D0">
            <w:pPr>
              <w:pStyle w:val="TableList-level1"/>
            </w:pPr>
            <w:r>
              <w:t>n</w:t>
            </w:r>
            <w:r w:rsidRPr="008712AA">
              <w:t>ot-for-profit organisations</w:t>
            </w:r>
          </w:p>
          <w:p w14:paraId="5F507A0E" w14:textId="77777777" w:rsidR="004826D0" w:rsidRDefault="004826D0">
            <w:pPr>
              <w:pStyle w:val="TableList-level1"/>
            </w:pPr>
            <w:r w:rsidRPr="004B51EA">
              <w:t>not-for-profit arm of a for-profit organisation</w:t>
            </w:r>
            <w:r>
              <w:t>, or</w:t>
            </w:r>
          </w:p>
          <w:p w14:paraId="2D674E98" w14:textId="77777777" w:rsidR="004826D0" w:rsidRDefault="004826D0">
            <w:pPr>
              <w:pStyle w:val="TableList-level1"/>
            </w:pPr>
            <w:r w:rsidRPr="004B51EA">
              <w:t>community service</w:t>
            </w:r>
            <w:r>
              <w:t>s</w:t>
            </w:r>
            <w:r w:rsidRPr="004B51EA">
              <w:t xml:space="preserve"> (</w:t>
            </w:r>
            <w:r w:rsidRPr="003C1BED">
              <w:t>examples include firefighter reserves, State Emergency Service, school canteen, etc</w:t>
            </w:r>
            <w:r w:rsidRPr="008712AA">
              <w:t>.</w:t>
            </w:r>
            <w:r>
              <w:t>).</w:t>
            </w:r>
          </w:p>
          <w:p w14:paraId="0F1152F3" w14:textId="749CB23C" w:rsidR="00FF233D" w:rsidRDefault="00FF233D">
            <w:pPr>
              <w:pStyle w:val="TableText"/>
            </w:pPr>
            <w:r w:rsidRPr="00FF233D">
              <w:t>Note: Government agencies are considered not-for-profit organisations for the purpose of Voluntary Work.</w:t>
            </w:r>
          </w:p>
          <w:p w14:paraId="2B40D21C" w14:textId="77777777" w:rsidR="004826D0" w:rsidRDefault="004826D0">
            <w:pPr>
              <w:pStyle w:val="TableText"/>
            </w:pPr>
            <w:r w:rsidRPr="25BC4409">
              <w:t xml:space="preserve">The placement must benefit the Participant and community and offer no financial gain to the Provider or </w:t>
            </w:r>
            <w:r>
              <w:t>H</w:t>
            </w:r>
            <w:r w:rsidRPr="25BC4409">
              <w:t xml:space="preserve">ost </w:t>
            </w:r>
            <w:r>
              <w:t>O</w:t>
            </w:r>
            <w:r w:rsidRPr="25BC4409">
              <w:t>rganisation.</w:t>
            </w:r>
          </w:p>
          <w:p w14:paraId="6F3ED915" w14:textId="38DB5FA8" w:rsidR="004826D0" w:rsidRPr="00022BC0" w:rsidRDefault="00297416">
            <w:pPr>
              <w:pStyle w:val="TableText"/>
            </w:pPr>
            <w:r>
              <w:t>The Host Organisation must be adequately insured — at a minimum, they must have public liability and personal accident insurance.</w:t>
            </w:r>
          </w:p>
        </w:tc>
      </w:tr>
      <w:tr w:rsidR="004826D0" w:rsidRPr="00FB7CD7" w14:paraId="1ABF5B48" w14:textId="77777777" w:rsidTr="0017285C">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tcBorders>
          </w:tcPr>
          <w:p w14:paraId="7BD62688" w14:textId="77777777" w:rsidR="004826D0" w:rsidRPr="00FB7CD7" w:rsidRDefault="004826D0">
            <w:pPr>
              <w:pStyle w:val="TableText"/>
            </w:pPr>
            <w:r w:rsidRPr="00FB7CD7">
              <w:t>Duration</w:t>
            </w:r>
          </w:p>
        </w:tc>
        <w:tc>
          <w:tcPr>
            <w:tcW w:w="7790" w:type="dxa"/>
            <w:tcBorders>
              <w:top w:val="single" w:sz="4" w:space="0" w:color="auto"/>
            </w:tcBorders>
          </w:tcPr>
          <w:p w14:paraId="61913587" w14:textId="77777777" w:rsidR="004826D0" w:rsidRPr="00FB7CD7" w:rsidRDefault="004826D0">
            <w:pPr>
              <w:pStyle w:val="TableText"/>
            </w:pPr>
            <w:r w:rsidRPr="25BC4409">
              <w:t>Each placement can last for up to 26 weeks (unless the Provider determines that a longer placement is the best option based on the Participant’s individual circumstances).</w:t>
            </w:r>
          </w:p>
        </w:tc>
      </w:tr>
      <w:tr w:rsidR="00FD020B" w:rsidRPr="00FB7CD7" w14:paraId="25BF079E"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Borders>
              <w:bottom w:val="single" w:sz="4" w:space="0" w:color="auto"/>
            </w:tcBorders>
          </w:tcPr>
          <w:p w14:paraId="3A1D8776" w14:textId="77777777" w:rsidR="004826D0" w:rsidRPr="00FB7CD7" w:rsidRDefault="004826D0">
            <w:pPr>
              <w:pStyle w:val="TableText"/>
            </w:pPr>
            <w:r w:rsidRPr="111F7F31">
              <w:t>Cost to Provider</w:t>
            </w:r>
          </w:p>
        </w:tc>
        <w:tc>
          <w:tcPr>
            <w:tcW w:w="7790" w:type="dxa"/>
            <w:tcBorders>
              <w:bottom w:val="single" w:sz="4" w:space="0" w:color="auto"/>
            </w:tcBorders>
          </w:tcPr>
          <w:p w14:paraId="19E29D73" w14:textId="77777777" w:rsidR="004826D0" w:rsidRPr="00FB7CD7" w:rsidRDefault="004826D0">
            <w:pPr>
              <w:pStyle w:val="TableText"/>
            </w:pPr>
            <w:r>
              <w:t>N/A</w:t>
            </w:r>
          </w:p>
        </w:tc>
      </w:tr>
      <w:tr w:rsidR="004826D0" w:rsidRPr="00FB7CD7" w14:paraId="5A90F641"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Borders>
              <w:bottom w:val="single" w:sz="4" w:space="0" w:color="auto"/>
            </w:tcBorders>
          </w:tcPr>
          <w:p w14:paraId="2C93ECC6" w14:textId="6ED9053A" w:rsidR="004826D0" w:rsidRPr="00FB7CD7" w:rsidRDefault="004826D0">
            <w:pPr>
              <w:pStyle w:val="TableText"/>
            </w:pPr>
            <w:r w:rsidRPr="00FB7CD7">
              <w:t>Participation</w:t>
            </w:r>
            <w:r w:rsidR="0017285C">
              <w:t xml:space="preserve"> requirements</w:t>
            </w:r>
          </w:p>
        </w:tc>
        <w:tc>
          <w:tcPr>
            <w:tcW w:w="7790" w:type="dxa"/>
            <w:tcBorders>
              <w:bottom w:val="single" w:sz="4" w:space="0" w:color="auto"/>
            </w:tcBorders>
          </w:tcPr>
          <w:p w14:paraId="41EF407F" w14:textId="77777777" w:rsidR="004826D0" w:rsidRDefault="004826D0">
            <w:pPr>
              <w:pStyle w:val="TableText"/>
            </w:pPr>
            <w:r>
              <w:t>Participation in Provider Sourced Voluntary Work is voluntary.</w:t>
            </w:r>
          </w:p>
          <w:p w14:paraId="76149861" w14:textId="101790A9" w:rsidR="00956D39" w:rsidRDefault="004826D0">
            <w:pPr>
              <w:pStyle w:val="TableText"/>
            </w:pPr>
            <w:r>
              <w:t xml:space="preserve">Providers should support and encourage Participants to attend Voluntary Work placements. </w:t>
            </w:r>
          </w:p>
          <w:p w14:paraId="128A1671" w14:textId="3185BCD5" w:rsidR="004826D0" w:rsidRDefault="004826D0">
            <w:pPr>
              <w:pStyle w:val="TableText"/>
            </w:pPr>
            <w:r>
              <w:t xml:space="preserve">Providers should monitor </w:t>
            </w:r>
            <w:r w:rsidR="002A2E40">
              <w:t xml:space="preserve">the </w:t>
            </w:r>
            <w:r>
              <w:t>Participant’s commencement and attendance</w:t>
            </w:r>
            <w:r w:rsidR="00956D39">
              <w:t>.</w:t>
            </w:r>
          </w:p>
          <w:p w14:paraId="44891900" w14:textId="1B0049A4" w:rsidR="00160689" w:rsidRPr="00FB7CD7" w:rsidRDefault="004826D0">
            <w:pPr>
              <w:pStyle w:val="TableText"/>
            </w:pPr>
            <w:r w:rsidRPr="25BC4409">
              <w:t>Participants may be able to Fully Meet their Mutual Obligation Requirements through Voluntary Work — refer to</w:t>
            </w:r>
            <w:r w:rsidR="00160689">
              <w:t xml:space="preserve"> </w:t>
            </w:r>
            <w:r w:rsidR="00F079D7">
              <w:fldChar w:fldCharType="begin"/>
            </w:r>
            <w:r w:rsidR="00F079D7">
              <w:instrText xml:space="preserve"> REF _Ref202785097 \h </w:instrText>
            </w:r>
            <w:r w:rsidR="00F079D7">
              <w:fldChar w:fldCharType="separate"/>
            </w:r>
            <w:r w:rsidR="000D75AE">
              <w:t>5.2.1</w:t>
            </w:r>
            <w:r w:rsidR="002F7169">
              <w:t xml:space="preserve"> </w:t>
            </w:r>
            <w:r w:rsidR="000D75AE">
              <w:t>Mutual Obligation Requirements</w:t>
            </w:r>
            <w:r w:rsidR="00F079D7">
              <w:fldChar w:fldCharType="end"/>
            </w:r>
            <w:r w:rsidR="007E5972">
              <w:t>.</w:t>
            </w:r>
          </w:p>
        </w:tc>
      </w:tr>
    </w:tbl>
    <w:p w14:paraId="064412FA" w14:textId="31AA0B8E" w:rsidR="004826D0" w:rsidRDefault="004826D0" w:rsidP="004826D0">
      <w:pPr>
        <w:pStyle w:val="Heading4"/>
      </w:pPr>
      <w:bookmarkStart w:id="308" w:name="_Ref202791481"/>
      <w:bookmarkStart w:id="309" w:name="_Ref202895057"/>
      <w:bookmarkStart w:id="310" w:name="_Toc202900007"/>
      <w:r>
        <w:t>7.6</w:t>
      </w:r>
      <w:r w:rsidR="002102D9">
        <w:t>.</w:t>
      </w:r>
      <w:r w:rsidR="00D21869">
        <w:t>2</w:t>
      </w:r>
      <w:r>
        <w:tab/>
        <w:t>Observational Work Experience</w:t>
      </w:r>
      <w:bookmarkEnd w:id="308"/>
      <w:bookmarkEnd w:id="309"/>
      <w:bookmarkEnd w:id="310"/>
    </w:p>
    <w:p w14:paraId="7C98C1DB" w14:textId="1ED6CA05" w:rsidR="004826D0" w:rsidRDefault="004826D0" w:rsidP="004826D0">
      <w:pPr>
        <w:rPr>
          <w:rFonts w:ascii="Tahoma" w:eastAsia="Tahoma" w:hAnsi="Tahoma" w:cs="Tahoma"/>
        </w:rPr>
      </w:pPr>
      <w:r w:rsidRPr="302CBDE2">
        <w:rPr>
          <w:rFonts w:ascii="Tahoma" w:eastAsia="Tahoma" w:hAnsi="Tahoma" w:cs="Tahoma"/>
        </w:rPr>
        <w:t>O</w:t>
      </w:r>
      <w:r>
        <w:rPr>
          <w:rFonts w:ascii="Tahoma" w:eastAsia="Tahoma" w:hAnsi="Tahoma" w:cs="Tahoma"/>
        </w:rPr>
        <w:t xml:space="preserve">bservational </w:t>
      </w:r>
      <w:r w:rsidRPr="302CBDE2">
        <w:rPr>
          <w:rFonts w:ascii="Tahoma" w:eastAsia="Tahoma" w:hAnsi="Tahoma" w:cs="Tahoma"/>
        </w:rPr>
        <w:t>W</w:t>
      </w:r>
      <w:r>
        <w:rPr>
          <w:rFonts w:ascii="Tahoma" w:eastAsia="Tahoma" w:hAnsi="Tahoma" w:cs="Tahoma"/>
        </w:rPr>
        <w:t xml:space="preserve">ork </w:t>
      </w:r>
      <w:r w:rsidRPr="302CBDE2">
        <w:rPr>
          <w:rFonts w:ascii="Tahoma" w:eastAsia="Tahoma" w:hAnsi="Tahoma" w:cs="Tahoma"/>
        </w:rPr>
        <w:t>E</w:t>
      </w:r>
      <w:r>
        <w:rPr>
          <w:rFonts w:ascii="Tahoma" w:eastAsia="Tahoma" w:hAnsi="Tahoma" w:cs="Tahoma"/>
        </w:rPr>
        <w:t xml:space="preserve">xperience (OWE) </w:t>
      </w:r>
      <w:r w:rsidRPr="302CBDE2">
        <w:rPr>
          <w:rFonts w:ascii="Tahoma" w:eastAsia="Tahoma" w:hAnsi="Tahoma" w:cs="Tahoma"/>
        </w:rPr>
        <w:t xml:space="preserve">placements are </w:t>
      </w:r>
      <w:r>
        <w:t>voluntary, short-term, unpaid</w:t>
      </w:r>
      <w:r w:rsidR="0026165B">
        <w:t xml:space="preserve"> work</w:t>
      </w:r>
      <w:r>
        <w:t xml:space="preserve"> opportunities that help Participants build soft skills and gain a better understanding of the workplace, an Industry</w:t>
      </w:r>
      <w:r w:rsidR="0026165B">
        <w:t>,</w:t>
      </w:r>
      <w:r>
        <w:t xml:space="preserve"> and potential career opportunities.</w:t>
      </w:r>
    </w:p>
    <w:p w14:paraId="3B21CC7C" w14:textId="3110EB66" w:rsidR="004826D0" w:rsidRDefault="004826D0" w:rsidP="00226A8E">
      <w:pPr>
        <w:rPr>
          <w:rFonts w:ascii="Segoe UI" w:hAnsi="Segoe UI" w:cs="Segoe UI"/>
          <w:color w:val="252423"/>
          <w:sz w:val="21"/>
          <w:szCs w:val="21"/>
        </w:rPr>
      </w:pPr>
      <w:r>
        <w:t>Some of the potential benefits of OWE include:</w:t>
      </w:r>
    </w:p>
    <w:p w14:paraId="5F5316D4" w14:textId="3595D955" w:rsidR="004826D0" w:rsidRPr="008712AA" w:rsidRDefault="008A4978" w:rsidP="004826D0">
      <w:pPr>
        <w:pStyle w:val="BulletLevel1"/>
      </w:pPr>
      <w:r>
        <w:t>providing</w:t>
      </w:r>
      <w:r w:rsidR="004826D0" w:rsidRPr="00C46B1B">
        <w:t xml:space="preserve"> valuable</w:t>
      </w:r>
      <w:r w:rsidR="004826D0" w:rsidRPr="008712AA">
        <w:t xml:space="preserve"> exposure to workplaces </w:t>
      </w:r>
      <w:r w:rsidR="004B5AD1">
        <w:t>and workplace expectations</w:t>
      </w:r>
    </w:p>
    <w:p w14:paraId="119FB5A9" w14:textId="22530F55" w:rsidR="004826D0" w:rsidRPr="008712AA" w:rsidRDefault="004826D0" w:rsidP="004826D0">
      <w:pPr>
        <w:pStyle w:val="BulletLevel1"/>
      </w:pPr>
      <w:r>
        <w:t>enhanc</w:t>
      </w:r>
      <w:r w:rsidR="008A4978">
        <w:t>ing</w:t>
      </w:r>
      <w:r>
        <w:t xml:space="preserve"> Participants’ awareness of different careers, and</w:t>
      </w:r>
    </w:p>
    <w:p w14:paraId="3708C46D" w14:textId="4839E193" w:rsidR="004826D0" w:rsidRPr="008712AA" w:rsidRDefault="004826D0" w:rsidP="004826D0">
      <w:pPr>
        <w:pStyle w:val="BulletLevel1"/>
      </w:pPr>
      <w:r w:rsidRPr="25BC4409">
        <w:t>assist</w:t>
      </w:r>
      <w:r w:rsidR="008A4978">
        <w:t>ing</w:t>
      </w:r>
      <w:r w:rsidRPr="25BC4409">
        <w:t xml:space="preserve"> Participants to build employability skills, such as attendance and communication.</w:t>
      </w:r>
    </w:p>
    <w:p w14:paraId="5E95F1A0" w14:textId="77777777" w:rsidR="004826D0" w:rsidRPr="00500289" w:rsidRDefault="004826D0" w:rsidP="004826D0">
      <w:r>
        <w:t>When arranging an OWE placement, the Provider must:</w:t>
      </w:r>
    </w:p>
    <w:p w14:paraId="396381C9" w14:textId="77777777" w:rsidR="004826D0" w:rsidRPr="008712AA" w:rsidRDefault="004826D0" w:rsidP="004826D0">
      <w:pPr>
        <w:pStyle w:val="BulletLevel1"/>
      </w:pPr>
      <w:r>
        <w:t>ensure the Participant is eligible and suitable for OWE</w:t>
      </w:r>
    </w:p>
    <w:p w14:paraId="3976BCC2" w14:textId="77777777" w:rsidR="004826D0" w:rsidRPr="008712AA" w:rsidRDefault="004826D0" w:rsidP="004826D0">
      <w:pPr>
        <w:pStyle w:val="BulletLevel1"/>
      </w:pPr>
      <w:r>
        <w:t>ensure the Host Organisation is eligible to host an OWE placement</w:t>
      </w:r>
    </w:p>
    <w:p w14:paraId="1B3435EC" w14:textId="77777777" w:rsidR="004826D0" w:rsidRDefault="004826D0" w:rsidP="004826D0">
      <w:pPr>
        <w:pStyle w:val="BulletLevel1"/>
      </w:pPr>
      <w:r>
        <w:t>ensure the OWE placement:</w:t>
      </w:r>
    </w:p>
    <w:p w14:paraId="3D05513D" w14:textId="77777777" w:rsidR="004826D0" w:rsidRDefault="004826D0" w:rsidP="004826D0">
      <w:pPr>
        <w:pStyle w:val="BulletLevel2"/>
      </w:pPr>
      <w:r w:rsidRPr="14CEB8EF">
        <w:t>only involves observation (allowing for participation in meetings and discussions where relevant), with no tasks to be undertaken by the Participant</w:t>
      </w:r>
    </w:p>
    <w:p w14:paraId="100A54F9" w14:textId="77777777" w:rsidR="004826D0" w:rsidRDefault="004826D0" w:rsidP="004826D0">
      <w:pPr>
        <w:pStyle w:val="BulletLevel2"/>
      </w:pPr>
      <w:r>
        <w:t>does</w:t>
      </w:r>
      <w:r w:rsidRPr="00B504F5">
        <w:t xml:space="preserve"> not involve more than </w:t>
      </w:r>
      <w:r>
        <w:t>25</w:t>
      </w:r>
      <w:r w:rsidRPr="00B504F5">
        <w:t xml:space="preserve"> hours of attendance per fortnight</w:t>
      </w:r>
    </w:p>
    <w:p w14:paraId="776A96B1" w14:textId="77777777" w:rsidR="004826D0" w:rsidRDefault="004826D0" w:rsidP="004826D0">
      <w:pPr>
        <w:pStyle w:val="BulletLevel2"/>
      </w:pPr>
      <w:r>
        <w:t>does not exceed a maximum of 8 hours per day</w:t>
      </w:r>
    </w:p>
    <w:p w14:paraId="4F23F405" w14:textId="77777777" w:rsidR="004826D0" w:rsidRDefault="004826D0" w:rsidP="004826D0">
      <w:pPr>
        <w:pStyle w:val="BulletLevel2"/>
      </w:pPr>
      <w:r>
        <w:t>includes at least one 30-minute break every 5 hours</w:t>
      </w:r>
    </w:p>
    <w:p w14:paraId="31553710" w14:textId="77777777" w:rsidR="004826D0" w:rsidRPr="002C696C" w:rsidRDefault="004826D0" w:rsidP="004826D0">
      <w:pPr>
        <w:pStyle w:val="BulletLevel2"/>
      </w:pPr>
      <w:r>
        <w:t>does</w:t>
      </w:r>
      <w:r w:rsidRPr="00B504F5">
        <w:t xml:space="preserve"> not include participation</w:t>
      </w:r>
      <w:r w:rsidRPr="007817A8">
        <w:t xml:space="preserve"> </w:t>
      </w:r>
      <w:r w:rsidRPr="00B504F5">
        <w:t>outside core business hours, including on a public holiday</w:t>
      </w:r>
      <w:r>
        <w:t>, and</w:t>
      </w:r>
    </w:p>
    <w:p w14:paraId="2D2E3316" w14:textId="64B45AF9" w:rsidR="004826D0" w:rsidRDefault="004826D0" w:rsidP="004826D0">
      <w:pPr>
        <w:pStyle w:val="BulletLevel2"/>
      </w:pPr>
      <w:r>
        <w:t>does not exceed 4 weeks</w:t>
      </w:r>
      <w:r w:rsidR="002E6C2D">
        <w:t xml:space="preserve">. The </w:t>
      </w:r>
      <w:r>
        <w:t xml:space="preserve">end date </w:t>
      </w:r>
      <w:r w:rsidR="002E6C2D">
        <w:t xml:space="preserve">must be </w:t>
      </w:r>
      <w:r w:rsidR="007F7334">
        <w:t xml:space="preserve">specified </w:t>
      </w:r>
      <w:r w:rsidR="002E6C2D">
        <w:t xml:space="preserve">in </w:t>
      </w:r>
      <w:r>
        <w:t>the OWS Host Agreement.</w:t>
      </w:r>
    </w:p>
    <w:p w14:paraId="606A9766" w14:textId="494E064B" w:rsidR="004826D0" w:rsidRPr="008712AA" w:rsidRDefault="004826D0" w:rsidP="004826D0">
      <w:pPr>
        <w:pStyle w:val="BulletLevel1"/>
      </w:pPr>
      <w:r>
        <w:t xml:space="preserve">ensure a </w:t>
      </w:r>
      <w:r w:rsidR="00E477FB">
        <w:t>R</w:t>
      </w:r>
      <w:r>
        <w:t xml:space="preserve">isk </w:t>
      </w:r>
      <w:r w:rsidR="00E477FB">
        <w:t>A</w:t>
      </w:r>
      <w:r>
        <w:t>ssessment has been completed by a Competent Person</w:t>
      </w:r>
    </w:p>
    <w:p w14:paraId="743F1E09" w14:textId="77777777" w:rsidR="004826D0" w:rsidRPr="008712AA" w:rsidRDefault="004826D0" w:rsidP="004826D0">
      <w:pPr>
        <w:pStyle w:val="BulletLevel1"/>
      </w:pPr>
      <w:r>
        <w:t>negotiate and enter into an OWE Host Agreement with the Participant and the Host Organisation, and</w:t>
      </w:r>
    </w:p>
    <w:p w14:paraId="34703462" w14:textId="77777777" w:rsidR="004826D0" w:rsidRPr="008712AA" w:rsidRDefault="004826D0" w:rsidP="004826D0">
      <w:pPr>
        <w:pStyle w:val="BulletLevel1"/>
      </w:pPr>
      <w:r>
        <w:t>monitor the OWE placement for its duration and respond to any issues that arise.</w:t>
      </w:r>
    </w:p>
    <w:p w14:paraId="4F9669D8" w14:textId="77777777" w:rsidR="004826D0" w:rsidRDefault="004826D0" w:rsidP="004826D0">
      <w:pPr>
        <w:keepNext/>
        <w:spacing w:before="60" w:after="60" w:line="276" w:lineRule="auto"/>
      </w:pPr>
      <w:r w:rsidRPr="0034661C">
        <w:rPr>
          <w:b/>
          <w:bCs/>
        </w:rPr>
        <w:t xml:space="preserve">Note: </w:t>
      </w:r>
      <w:r>
        <w:t>OWE placements do not need to have a reasonable prospect of future Employment with the Host Organisation. It is at the discretion of the Provider as to the number of OWE placements a Participant undertakes (with the same or another Host Organisation).</w:t>
      </w:r>
    </w:p>
    <w:p w14:paraId="249F0279" w14:textId="4E86A054" w:rsidR="007E5972" w:rsidRDefault="007E5972" w:rsidP="007E5972">
      <w:r w:rsidRPr="111F7F31">
        <w:t>Providers must</w:t>
      </w:r>
      <w:r>
        <w:t xml:space="preserve"> </w:t>
      </w:r>
      <w:r w:rsidRPr="111F7F31">
        <w:t xml:space="preserve">make the Participant aware of their </w:t>
      </w:r>
      <w:r>
        <w:t xml:space="preserve">rights and </w:t>
      </w:r>
      <w:r w:rsidRPr="111F7F31">
        <w:t>responsibilities</w:t>
      </w:r>
      <w:r>
        <w:t xml:space="preserve"> while in the workplace.</w:t>
      </w:r>
    </w:p>
    <w:p w14:paraId="032E9941" w14:textId="2472D440" w:rsidR="007E5972" w:rsidRPr="00073C82" w:rsidRDefault="007E5972" w:rsidP="007E5972">
      <w:r>
        <w:t xml:space="preserve">If the Participant has a Detailed Job Plan, </w:t>
      </w:r>
      <w:r w:rsidRPr="111F7F31">
        <w:t>Providers must</w:t>
      </w:r>
      <w:r w:rsidRPr="003B6B0F">
        <w:t xml:space="preserve"> </w:t>
      </w:r>
      <w:r>
        <w:t xml:space="preserve">add Code WE10 [Unpaid Work Experience] to the Participant’s Job Plan </w:t>
      </w:r>
      <w:r w:rsidR="00204FBA">
        <w:t>to</w:t>
      </w:r>
      <w:r>
        <w:t xml:space="preserve"> capture this Activity as a voluntary requirement.</w:t>
      </w:r>
    </w:p>
    <w:p w14:paraId="049FB71D" w14:textId="530823D1" w:rsidR="004826D0" w:rsidRDefault="000D5462" w:rsidP="004826D0">
      <w:r>
        <w:t>Before</w:t>
      </w:r>
      <w:r w:rsidR="004826D0" w:rsidRPr="25BC4409">
        <w:t xml:space="preserve"> the OWE placement commenc</w:t>
      </w:r>
      <w:r>
        <w:t>es</w:t>
      </w:r>
      <w:r w:rsidR="004826D0" w:rsidRPr="25BC4409">
        <w:t>, the Provider should discuss the preferred contact method, frequency and timing of contact with the Participant and Host Organisation to avoid disruption during the Activity.</w:t>
      </w:r>
    </w:p>
    <w:p w14:paraId="7E4080DD" w14:textId="77777777" w:rsidR="004826D0" w:rsidRPr="00A1428D" w:rsidRDefault="004826D0" w:rsidP="004826D0">
      <w:pPr>
        <w:pStyle w:val="SystemStep"/>
        <w:rPr>
          <w:rFonts w:ascii="Tahoma" w:eastAsia="Tahoma" w:hAnsi="Tahoma" w:cs="Tahoma"/>
          <w:lang w:val="en-GB"/>
        </w:rPr>
      </w:pPr>
      <w:r w:rsidRPr="21E3D223">
        <w:rPr>
          <w:lang w:val="en-GB"/>
        </w:rPr>
        <w:t xml:space="preserve">The Provider must </w:t>
      </w:r>
      <w:r>
        <w:rPr>
          <w:lang w:val="en-GB"/>
        </w:rPr>
        <w:t>add the</w:t>
      </w:r>
      <w:r w:rsidRPr="21E3D223">
        <w:rPr>
          <w:lang w:val="en-GB"/>
        </w:rPr>
        <w:t xml:space="preserve"> Participant’s </w:t>
      </w:r>
      <w:r>
        <w:rPr>
          <w:lang w:val="en-GB"/>
        </w:rPr>
        <w:t>participation in an OWE placement as an Activity</w:t>
      </w:r>
      <w:r w:rsidRPr="21E3D223">
        <w:rPr>
          <w:lang w:val="en-GB"/>
        </w:rPr>
        <w:t xml:space="preserve"> in the Department’s IT Systems</w:t>
      </w:r>
      <w:r>
        <w:rPr>
          <w:lang w:val="en-GB"/>
        </w:rPr>
        <w:t>.</w:t>
      </w:r>
    </w:p>
    <w:p w14:paraId="0B9C9A5F" w14:textId="1809DF74" w:rsidR="004826D0" w:rsidRPr="00B84B59" w:rsidRDefault="004826D0" w:rsidP="004826D0">
      <w:pPr>
        <w:pStyle w:val="DocumentaryEvidenceRequirement"/>
      </w:pPr>
      <w:r w:rsidRPr="00B84B59">
        <w:t>The Provider must retain evidence the OWE placement commenced (for example an email from the Host Organisation) and may be required to provide it this to the Department upon request</w:t>
      </w:r>
      <w:r>
        <w:t xml:space="preserve"> to support </w:t>
      </w:r>
      <w:r w:rsidRPr="00F27F7B">
        <w:t xml:space="preserve">evidence for a </w:t>
      </w:r>
      <w:r w:rsidR="00F27F7B" w:rsidRPr="00F27F7B">
        <w:t>P</w:t>
      </w:r>
      <w:r w:rsidRPr="00F27F7B">
        <w:t xml:space="preserve">rogress </w:t>
      </w:r>
      <w:r w:rsidR="00F27F7B" w:rsidRPr="00F27F7B">
        <w:t>P</w:t>
      </w:r>
      <w:r w:rsidRPr="00F27F7B">
        <w:t>ayment</w:t>
      </w:r>
      <w:r w:rsidR="00F27F7B" w:rsidRPr="00F27F7B">
        <w:t>.</w:t>
      </w:r>
    </w:p>
    <w:p w14:paraId="11DADA33" w14:textId="23DC6F8A" w:rsidR="004826D0" w:rsidRDefault="004826D0" w:rsidP="004826D0">
      <w:pPr>
        <w:pStyle w:val="WorkHealthandSafetyStep"/>
      </w:pPr>
      <w:r w:rsidRPr="25BC4409">
        <w:t>Providers must</w:t>
      </w:r>
      <w:r>
        <w:t xml:space="preserve"> report</w:t>
      </w:r>
      <w:r w:rsidR="000F79D3">
        <w:t xml:space="preserve">, </w:t>
      </w:r>
      <w:r>
        <w:t>and</w:t>
      </w:r>
      <w:r w:rsidRPr="25BC4409">
        <w:t xml:space="preserve"> retain Records of any action taken regarding</w:t>
      </w:r>
      <w:r w:rsidR="000F79D3">
        <w:t>,</w:t>
      </w:r>
      <w:r w:rsidRPr="25BC4409">
        <w:t xml:space="preserve"> Incidents that occur during an OWE placement in accordance with the </w:t>
      </w:r>
      <w:r w:rsidR="003B07F3" w:rsidRPr="008A3EB4">
        <w:rPr>
          <w:rStyle w:val="Hyperlink"/>
        </w:rPr>
        <w:t>WHS Incidents and Insurance Readers Guide – Providers</w:t>
      </w:r>
      <w:r w:rsidR="003B07F3">
        <w:rPr>
          <w:rStyle w:val="Hyperlink"/>
        </w:rPr>
        <w:t xml:space="preserve"> [LINK]</w:t>
      </w:r>
      <w:r w:rsidRPr="25BC4409">
        <w:t>.</w:t>
      </w:r>
    </w:p>
    <w:p w14:paraId="13F18609" w14:textId="77777777" w:rsidR="004826D0" w:rsidRPr="009A5818" w:rsidRDefault="004826D0" w:rsidP="004826D0">
      <w:pPr>
        <w:pStyle w:val="TableChartHeading"/>
      </w:pPr>
      <w:r>
        <w:t>Key considerations for OWE placements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38"/>
        <w:gridCol w:w="7790"/>
      </w:tblGrid>
      <w:tr w:rsidR="00FC127C" w:rsidRPr="00FB7CD7" w14:paraId="09BC1AE0" w14:textId="77777777" w:rsidTr="00DE7A9B">
        <w:trPr>
          <w:cnfStyle w:val="100000000000" w:firstRow="1" w:lastRow="0" w:firstColumn="0" w:lastColumn="0" w:oddVBand="0" w:evenVBand="0" w:oddHBand="0" w:evenHBand="0" w:firstRowFirstColumn="0" w:firstRowLastColumn="0" w:lastRowFirstColumn="0" w:lastRowLastColumn="0"/>
          <w:cantSplit/>
        </w:trPr>
        <w:tc>
          <w:tcPr>
            <w:tcW w:w="1838" w:type="dxa"/>
          </w:tcPr>
          <w:p w14:paraId="33AFC0E4" w14:textId="77777777" w:rsidR="004826D0" w:rsidRPr="00FB7CD7" w:rsidRDefault="004826D0">
            <w:pPr>
              <w:pStyle w:val="TableText"/>
              <w:rPr>
                <w:b w:val="0"/>
              </w:rPr>
            </w:pPr>
            <w:r>
              <w:t>Factor</w:t>
            </w:r>
          </w:p>
        </w:tc>
        <w:tc>
          <w:tcPr>
            <w:tcW w:w="7790" w:type="dxa"/>
          </w:tcPr>
          <w:p w14:paraId="7887B873" w14:textId="77777777" w:rsidR="004826D0" w:rsidRPr="00FB7CD7" w:rsidRDefault="004826D0">
            <w:pPr>
              <w:pStyle w:val="TableText"/>
            </w:pPr>
            <w:r>
              <w:t>Details</w:t>
            </w:r>
          </w:p>
        </w:tc>
      </w:tr>
      <w:tr w:rsidR="004826D0" w:rsidRPr="00FB7CD7" w14:paraId="5009F40C"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Pr>
          <w:p w14:paraId="105FCA09" w14:textId="77777777" w:rsidR="004826D0" w:rsidRPr="00FB7CD7" w:rsidRDefault="004826D0">
            <w:pPr>
              <w:pStyle w:val="TableText"/>
            </w:pPr>
            <w:r w:rsidRPr="00FB7CD7">
              <w:t>Participant eligibility</w:t>
            </w:r>
          </w:p>
        </w:tc>
        <w:tc>
          <w:tcPr>
            <w:tcW w:w="7790" w:type="dxa"/>
          </w:tcPr>
          <w:p w14:paraId="45D679C2" w14:textId="77777777" w:rsidR="004826D0" w:rsidRPr="00B56C86" w:rsidRDefault="004826D0">
            <w:pPr>
              <w:pStyle w:val="TableList-level1"/>
            </w:pPr>
            <w:r>
              <w:t>Aged 15 years or over.</w:t>
            </w:r>
          </w:p>
        </w:tc>
      </w:tr>
      <w:tr w:rsidR="00FC127C" w:rsidRPr="00FB7CD7" w14:paraId="51347FC5"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Pr>
          <w:p w14:paraId="28E451C5" w14:textId="77777777" w:rsidR="004826D0" w:rsidRPr="00FB7CD7" w:rsidRDefault="004826D0">
            <w:pPr>
              <w:pStyle w:val="TableText"/>
            </w:pPr>
            <w:r>
              <w:t>Eligible Host Organisations</w:t>
            </w:r>
          </w:p>
        </w:tc>
        <w:tc>
          <w:tcPr>
            <w:tcW w:w="7790" w:type="dxa"/>
          </w:tcPr>
          <w:p w14:paraId="5A21AB23" w14:textId="77777777" w:rsidR="004826D0" w:rsidRPr="008712AA" w:rsidRDefault="004826D0">
            <w:pPr>
              <w:pStyle w:val="TableText"/>
            </w:pPr>
            <w:r w:rsidRPr="008712AA">
              <w:t xml:space="preserve">OWE </w:t>
            </w:r>
            <w:r>
              <w:t>p</w:t>
            </w:r>
            <w:r w:rsidRPr="008712AA">
              <w:t>lacements can occur in:</w:t>
            </w:r>
          </w:p>
          <w:p w14:paraId="58AF3CDF" w14:textId="77777777" w:rsidR="004826D0" w:rsidRPr="008712AA" w:rsidRDefault="004826D0">
            <w:pPr>
              <w:pStyle w:val="TableList-level1"/>
            </w:pPr>
            <w:r>
              <w:t>f</w:t>
            </w:r>
            <w:r w:rsidRPr="008712AA">
              <w:t>or-profit organisations</w:t>
            </w:r>
          </w:p>
          <w:p w14:paraId="55BF2B13" w14:textId="77777777" w:rsidR="004826D0" w:rsidRPr="008712AA" w:rsidRDefault="004826D0">
            <w:pPr>
              <w:pStyle w:val="TableList-level1"/>
            </w:pPr>
            <w:r>
              <w:t>n</w:t>
            </w:r>
            <w:r w:rsidRPr="008712AA">
              <w:t>ot-for-profit organisations</w:t>
            </w:r>
          </w:p>
          <w:p w14:paraId="21E45F9B" w14:textId="77777777" w:rsidR="004826D0" w:rsidRPr="00FE36E3" w:rsidRDefault="004826D0">
            <w:pPr>
              <w:pStyle w:val="TableList-level1"/>
            </w:pPr>
            <w:r w:rsidRPr="00E04C2E">
              <w:t>the Provider</w:t>
            </w:r>
            <w:r w:rsidRPr="008712AA">
              <w:t>’s Own Organisation, Related Entities or Subcontractor.</w:t>
            </w:r>
          </w:p>
        </w:tc>
      </w:tr>
      <w:tr w:rsidR="004826D0" w:rsidRPr="00FB7CD7" w14:paraId="599A2014"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Borders>
              <w:bottom w:val="single" w:sz="4" w:space="0" w:color="auto"/>
            </w:tcBorders>
          </w:tcPr>
          <w:p w14:paraId="661686D3" w14:textId="77777777" w:rsidR="004826D0" w:rsidRPr="00FB7CD7" w:rsidRDefault="004826D0">
            <w:pPr>
              <w:pStyle w:val="TableText"/>
            </w:pPr>
            <w:r w:rsidRPr="00FB7CD7">
              <w:t>Duration</w:t>
            </w:r>
          </w:p>
        </w:tc>
        <w:tc>
          <w:tcPr>
            <w:tcW w:w="7790" w:type="dxa"/>
            <w:tcBorders>
              <w:bottom w:val="single" w:sz="4" w:space="0" w:color="auto"/>
            </w:tcBorders>
          </w:tcPr>
          <w:p w14:paraId="093F39D4" w14:textId="77777777" w:rsidR="004826D0" w:rsidRPr="00FB7CD7" w:rsidRDefault="004826D0">
            <w:pPr>
              <w:pStyle w:val="TableText"/>
            </w:pPr>
            <w:r w:rsidRPr="5F191F2A">
              <w:t xml:space="preserve">Each </w:t>
            </w:r>
            <w:r>
              <w:t>placement can last for up to 4 weeks.</w:t>
            </w:r>
          </w:p>
        </w:tc>
      </w:tr>
      <w:tr w:rsidR="00FD020B" w:rsidRPr="00FB7CD7" w14:paraId="22387AC5" w14:textId="77777777" w:rsidTr="00DE7A9B">
        <w:trPr>
          <w:cnfStyle w:val="000000010000" w:firstRow="0" w:lastRow="0" w:firstColumn="0" w:lastColumn="0" w:oddVBand="0" w:evenVBand="0" w:oddHBand="0" w:evenHBand="1" w:firstRowFirstColumn="0" w:firstRowLastColumn="0" w:lastRowFirstColumn="0" w:lastRowLastColumn="0"/>
        </w:trPr>
        <w:tc>
          <w:tcPr>
            <w:tcW w:w="1838" w:type="dxa"/>
            <w:tcBorders>
              <w:bottom w:val="single" w:sz="4" w:space="0" w:color="auto"/>
            </w:tcBorders>
          </w:tcPr>
          <w:p w14:paraId="08CD8399" w14:textId="77777777" w:rsidR="004826D0" w:rsidRPr="00FB7CD7" w:rsidRDefault="004826D0">
            <w:pPr>
              <w:pStyle w:val="TableText"/>
            </w:pPr>
            <w:r w:rsidRPr="111F7F31">
              <w:t>Cost to Provider</w:t>
            </w:r>
          </w:p>
        </w:tc>
        <w:tc>
          <w:tcPr>
            <w:tcW w:w="7790" w:type="dxa"/>
            <w:tcBorders>
              <w:bottom w:val="single" w:sz="4" w:space="0" w:color="auto"/>
            </w:tcBorders>
          </w:tcPr>
          <w:p w14:paraId="4F3E4060" w14:textId="77777777" w:rsidR="004826D0" w:rsidRPr="00FB7CD7" w:rsidRDefault="004826D0">
            <w:pPr>
              <w:pStyle w:val="TableText"/>
            </w:pPr>
            <w:r>
              <w:t>N/A</w:t>
            </w:r>
          </w:p>
        </w:tc>
      </w:tr>
      <w:tr w:rsidR="004826D0" w:rsidRPr="00FB7CD7" w14:paraId="56836CBF" w14:textId="77777777" w:rsidTr="00DE7A9B">
        <w:trPr>
          <w:cnfStyle w:val="000000100000" w:firstRow="0" w:lastRow="0" w:firstColumn="0" w:lastColumn="0" w:oddVBand="0" w:evenVBand="0" w:oddHBand="1" w:evenHBand="0" w:firstRowFirstColumn="0" w:firstRowLastColumn="0" w:lastRowFirstColumn="0" w:lastRowLastColumn="0"/>
        </w:trPr>
        <w:tc>
          <w:tcPr>
            <w:tcW w:w="1838" w:type="dxa"/>
            <w:tcBorders>
              <w:top w:val="single" w:sz="4" w:space="0" w:color="auto"/>
              <w:bottom w:val="single" w:sz="4" w:space="0" w:color="auto"/>
            </w:tcBorders>
          </w:tcPr>
          <w:p w14:paraId="6BCA8D83" w14:textId="513A68D3" w:rsidR="004826D0" w:rsidRPr="00FB7CD7" w:rsidRDefault="004826D0">
            <w:pPr>
              <w:pStyle w:val="TableText"/>
            </w:pPr>
            <w:r w:rsidRPr="00FB7CD7">
              <w:t>Participation</w:t>
            </w:r>
            <w:r w:rsidR="00661522">
              <w:t xml:space="preserve"> requirements</w:t>
            </w:r>
          </w:p>
        </w:tc>
        <w:tc>
          <w:tcPr>
            <w:tcW w:w="7790" w:type="dxa"/>
            <w:tcBorders>
              <w:top w:val="single" w:sz="4" w:space="0" w:color="auto"/>
              <w:bottom w:val="single" w:sz="4" w:space="0" w:color="auto"/>
            </w:tcBorders>
          </w:tcPr>
          <w:p w14:paraId="54A3D266" w14:textId="77777777" w:rsidR="004826D0" w:rsidRDefault="004826D0">
            <w:pPr>
              <w:pStyle w:val="TableText"/>
            </w:pPr>
            <w:r>
              <w:t>Participation in OWE is voluntary.</w:t>
            </w:r>
          </w:p>
          <w:p w14:paraId="1E34E47D" w14:textId="77777777" w:rsidR="00661522" w:rsidRDefault="00661522" w:rsidP="00661522">
            <w:pPr>
              <w:pStyle w:val="TableText"/>
            </w:pPr>
            <w:r>
              <w:t>Providers should adjust agreed tasks and activities to meet the Meaningful Engagement Requirement or the Job Search Requirement in a Job Plan Detailed for the duration of the placement.</w:t>
            </w:r>
          </w:p>
          <w:p w14:paraId="2AAD0AC2" w14:textId="77777777" w:rsidR="00661522" w:rsidRDefault="004826D0">
            <w:pPr>
              <w:pStyle w:val="TableText"/>
            </w:pPr>
            <w:r>
              <w:t xml:space="preserve">Providers should support and encourage Participants to attend OWE placements. </w:t>
            </w:r>
          </w:p>
          <w:p w14:paraId="38ACC161" w14:textId="116D56F1" w:rsidR="004826D0" w:rsidRPr="00FB7CD7" w:rsidRDefault="004826D0">
            <w:pPr>
              <w:pStyle w:val="TableText"/>
            </w:pPr>
            <w:r>
              <w:t xml:space="preserve">Providers should monitor </w:t>
            </w:r>
            <w:r w:rsidR="005A0C0F">
              <w:t xml:space="preserve">the </w:t>
            </w:r>
            <w:r>
              <w:t>Participant’s commencement and attendance</w:t>
            </w:r>
            <w:r w:rsidR="007E5972">
              <w:t>.</w:t>
            </w:r>
          </w:p>
        </w:tc>
      </w:tr>
    </w:tbl>
    <w:p w14:paraId="5D4EDF5E" w14:textId="65EC37FD" w:rsidR="00D21869" w:rsidRDefault="00D21869" w:rsidP="00D21869">
      <w:pPr>
        <w:pStyle w:val="Heading4"/>
      </w:pPr>
      <w:bookmarkStart w:id="311" w:name="_Toc202900008"/>
      <w:r>
        <w:t>7.6.3</w:t>
      </w:r>
      <w:r>
        <w:tab/>
        <w:t>Eligible Host Organisations</w:t>
      </w:r>
      <w:bookmarkEnd w:id="311"/>
    </w:p>
    <w:p w14:paraId="15E039B7" w14:textId="3D89A554" w:rsidR="00BC736A" w:rsidRDefault="003F7B7D" w:rsidP="003F7B7D">
      <w:r>
        <w:t xml:space="preserve">A Host Organisation is an entity that provides employment opportunities, training, or support to </w:t>
      </w:r>
      <w:r w:rsidR="00BA6233">
        <w:t>Participants</w:t>
      </w:r>
      <w:r>
        <w:t xml:space="preserve"> in collaboration with Providers. </w:t>
      </w:r>
    </w:p>
    <w:p w14:paraId="77967C3D" w14:textId="77777777" w:rsidR="00A84BCE" w:rsidRPr="008C0233" w:rsidRDefault="00A84BCE" w:rsidP="00A84BCE">
      <w:r>
        <w:t>Eligible Host Organisations can host more than one Observational Work Experience placement and/or Provider Sourced Voluntary Work concurrently where they meet the requirements for each Specified Activity.</w:t>
      </w:r>
    </w:p>
    <w:p w14:paraId="21129937" w14:textId="7E016081" w:rsidR="003F7B7D" w:rsidRDefault="003F7B7D" w:rsidP="00A84BCE">
      <w:pPr>
        <w:keepNext/>
      </w:pPr>
      <w:r>
        <w:t>Host Organisations must:</w:t>
      </w:r>
    </w:p>
    <w:p w14:paraId="618C8661" w14:textId="77777777" w:rsidR="003F7B7D" w:rsidRDefault="003F7B7D" w:rsidP="003F7B7D">
      <w:pPr>
        <w:pStyle w:val="BulletLevel1"/>
      </w:pPr>
      <w:r>
        <w:t>h</w:t>
      </w:r>
      <w:r w:rsidRPr="39658D2E">
        <w:t>ave a valid ABN</w:t>
      </w:r>
    </w:p>
    <w:p w14:paraId="670C284E" w14:textId="77777777" w:rsidR="003F7B7D" w:rsidRDefault="003F7B7D" w:rsidP="003F7B7D">
      <w:pPr>
        <w:pStyle w:val="BulletLevel1"/>
      </w:pPr>
      <w:r>
        <w:t>o</w:t>
      </w:r>
      <w:r w:rsidRPr="39658D2E">
        <w:t>ffer work-like activities and training that help Participants build skills</w:t>
      </w:r>
    </w:p>
    <w:p w14:paraId="587315D8" w14:textId="77777777" w:rsidR="003F7B7D" w:rsidRDefault="003F7B7D" w:rsidP="003F7B7D">
      <w:pPr>
        <w:pStyle w:val="BulletLevel1"/>
      </w:pPr>
      <w:r>
        <w:t>t</w:t>
      </w:r>
      <w:r w:rsidRPr="39658D2E">
        <w:t>each basic expectations and behaviours needed to get and keep a job</w:t>
      </w:r>
    </w:p>
    <w:p w14:paraId="5219F3AF" w14:textId="77777777" w:rsidR="003F7B7D" w:rsidRDefault="003F7B7D" w:rsidP="003F7B7D">
      <w:pPr>
        <w:pStyle w:val="BulletLevel1"/>
      </w:pPr>
      <w:r>
        <w:t>o</w:t>
      </w:r>
      <w:r w:rsidRPr="39658D2E">
        <w:t>ffer workforce experience</w:t>
      </w:r>
      <w:r>
        <w:t>, and</w:t>
      </w:r>
    </w:p>
    <w:p w14:paraId="48A64FD9" w14:textId="4A6705AB" w:rsidR="003F7B7D" w:rsidRDefault="003F7B7D" w:rsidP="003F7B7D">
      <w:pPr>
        <w:pStyle w:val="BulletLevel1"/>
      </w:pPr>
      <w:r>
        <w:t>m</w:t>
      </w:r>
      <w:r w:rsidRPr="39658D2E">
        <w:t>eet all WHS requirements</w:t>
      </w:r>
      <w:r>
        <w:t>.</w:t>
      </w:r>
    </w:p>
    <w:p w14:paraId="560217AC" w14:textId="48BA2091" w:rsidR="00D21869" w:rsidRPr="007563CC" w:rsidRDefault="00D21869" w:rsidP="00D21869">
      <w:r>
        <w:t>Host Organisation</w:t>
      </w:r>
      <w:r w:rsidR="001C396F">
        <w:t>s</w:t>
      </w:r>
      <w:r>
        <w:t xml:space="preserve"> </w:t>
      </w:r>
      <w:r w:rsidR="001C396F">
        <w:t>must not</w:t>
      </w:r>
      <w:r w:rsidRPr="00CF7467">
        <w:t>:</w:t>
      </w:r>
    </w:p>
    <w:p w14:paraId="6EA8DA85" w14:textId="0CDA1666" w:rsidR="00D21869" w:rsidRPr="00D94FE7" w:rsidRDefault="00D21869" w:rsidP="00D21869">
      <w:pPr>
        <w:pStyle w:val="BulletLevel1"/>
      </w:pPr>
      <w:r w:rsidRPr="00D94FE7">
        <w:t>engage</w:t>
      </w:r>
      <w:r w:rsidR="001C396F">
        <w:t xml:space="preserve"> or have engaged</w:t>
      </w:r>
      <w:r w:rsidRPr="00D94FE7">
        <w:t xml:space="preserve"> in any illegal operations or promote or condone any form of unlawful conduct </w:t>
      </w:r>
    </w:p>
    <w:p w14:paraId="5ED4223E" w14:textId="1581689A" w:rsidR="00D21869" w:rsidRPr="00D94FE7" w:rsidRDefault="001C396F" w:rsidP="00D21869">
      <w:pPr>
        <w:pStyle w:val="BulletLevel1"/>
      </w:pPr>
      <w:r>
        <w:t>be or have been</w:t>
      </w:r>
      <w:r w:rsidR="00D21869" w:rsidRPr="00D94FE7">
        <w:t xml:space="preserve"> or is associated with the sex industry </w:t>
      </w:r>
    </w:p>
    <w:p w14:paraId="0B327D2B" w14:textId="45F2F030" w:rsidR="00D21869" w:rsidRPr="00D94FE7" w:rsidRDefault="00D21869" w:rsidP="00D21869">
      <w:pPr>
        <w:pStyle w:val="BulletLevel1"/>
      </w:pPr>
      <w:r w:rsidRPr="25BC4409">
        <w:t>promote or condone gambling</w:t>
      </w:r>
    </w:p>
    <w:p w14:paraId="2AF88987" w14:textId="13F52C98" w:rsidR="00D21869" w:rsidRPr="00D94FE7" w:rsidRDefault="00D21869" w:rsidP="00D21869">
      <w:pPr>
        <w:pStyle w:val="BulletLevel1"/>
      </w:pPr>
      <w:r w:rsidRPr="25BC4409">
        <w:t xml:space="preserve">promote or condone any form of violence, self-harm or suicide </w:t>
      </w:r>
    </w:p>
    <w:p w14:paraId="1BC0CEA5" w14:textId="3D33700D" w:rsidR="00D21869" w:rsidRPr="00D94FE7" w:rsidRDefault="00D21869" w:rsidP="00D21869">
      <w:pPr>
        <w:pStyle w:val="BulletLevel1"/>
      </w:pPr>
      <w:r w:rsidRPr="25BC4409">
        <w:t>promote or condone any form of discrimination, including on the grounds of race, ethnic group, language, sex, religion or disability, and/or</w:t>
      </w:r>
    </w:p>
    <w:p w14:paraId="4EC4582C" w14:textId="795E743E" w:rsidR="00D21869" w:rsidRPr="00D94FE7" w:rsidRDefault="00D21869" w:rsidP="00D21869">
      <w:pPr>
        <w:pStyle w:val="BulletLevel1"/>
      </w:pPr>
      <w:r>
        <w:t xml:space="preserve">provide any other service or conducts themselves in a manner that is likely to bring the Participant, the Provider or the Department into disrepute. </w:t>
      </w:r>
    </w:p>
    <w:p w14:paraId="5D776DB8" w14:textId="77777777" w:rsidR="00D21869" w:rsidRDefault="00D21869" w:rsidP="00D21869">
      <w:r>
        <w:t xml:space="preserve">If the Provider suspects or becomes aware that a Host Organisation has engaged in any conduct described in the list above, the Provider must: </w:t>
      </w:r>
    </w:p>
    <w:p w14:paraId="49B90E99" w14:textId="02F243C8" w:rsidR="00D21869" w:rsidRPr="00D94FE7" w:rsidRDefault="00D21869" w:rsidP="00D21869">
      <w:pPr>
        <w:pStyle w:val="BulletLevel1"/>
      </w:pPr>
      <w:r w:rsidRPr="25BC4409">
        <w:t xml:space="preserve">ensure that no Participant commences or continues in any Activity that the Host Organisation </w:t>
      </w:r>
      <w:r>
        <w:t>provides</w:t>
      </w:r>
    </w:p>
    <w:p w14:paraId="5B71ECDB" w14:textId="77777777" w:rsidR="00D21869" w:rsidRPr="00D94FE7" w:rsidRDefault="00D21869" w:rsidP="00D21869">
      <w:pPr>
        <w:pStyle w:val="BulletLevel1"/>
      </w:pPr>
      <w:r w:rsidRPr="25BC4409">
        <w:t>notify the Department immediately and provide information as requested by the Department, and</w:t>
      </w:r>
    </w:p>
    <w:p w14:paraId="3C986F44" w14:textId="77777777" w:rsidR="00D21869" w:rsidRDefault="00D21869" w:rsidP="00D21869">
      <w:pPr>
        <w:pStyle w:val="BulletLevel1"/>
      </w:pPr>
      <w:r>
        <w:t>if requested by the Department, cease or vary the Activity</w:t>
      </w:r>
      <w:r w:rsidRPr="00D94FE7">
        <w:t>.</w:t>
      </w:r>
    </w:p>
    <w:p w14:paraId="3EF15826" w14:textId="0229E033" w:rsidR="00D21869" w:rsidRPr="00D94FE7" w:rsidRDefault="00D21869" w:rsidP="00D21869">
      <w:pPr>
        <w:pStyle w:val="Heading4"/>
      </w:pPr>
      <w:bookmarkStart w:id="312" w:name="_Toc202900009"/>
      <w:r>
        <w:t>7.6.4</w:t>
      </w:r>
      <w:r>
        <w:tab/>
        <w:t xml:space="preserve">Host </w:t>
      </w:r>
      <w:r w:rsidRPr="00D94FE7">
        <w:t>Agreements</w:t>
      </w:r>
      <w:bookmarkEnd w:id="312"/>
    </w:p>
    <w:p w14:paraId="4BCF787B" w14:textId="77C62061" w:rsidR="00D21869" w:rsidRDefault="00D21869" w:rsidP="00D21869">
      <w:r w:rsidRPr="25BC4409">
        <w:t xml:space="preserve">Host Agreements </w:t>
      </w:r>
      <w:r w:rsidR="000F37C4">
        <w:t xml:space="preserve">are </w:t>
      </w:r>
      <w:r w:rsidR="00C3284B">
        <w:t xml:space="preserve">agreements </w:t>
      </w:r>
      <w:r w:rsidRPr="25BC4409">
        <w:t>between the Provider, a Host Organisation and the Participant</w:t>
      </w:r>
      <w:r w:rsidR="00C3284B">
        <w:t xml:space="preserve">. </w:t>
      </w:r>
      <w:r w:rsidR="0053338A">
        <w:t xml:space="preserve">A </w:t>
      </w:r>
      <w:r w:rsidR="00C3284B">
        <w:t>Host Agreement help</w:t>
      </w:r>
      <w:r w:rsidR="0053338A">
        <w:t>s</w:t>
      </w:r>
      <w:r w:rsidRPr="25BC4409">
        <w:t xml:space="preserve"> all parties understand their rights and obligations </w:t>
      </w:r>
      <w:r w:rsidR="0053338A">
        <w:t>for</w:t>
      </w:r>
      <w:r w:rsidRPr="25BC4409">
        <w:t xml:space="preserve"> </w:t>
      </w:r>
      <w:r w:rsidR="00B433D2">
        <w:t>a</w:t>
      </w:r>
      <w:r w:rsidRPr="25BC4409">
        <w:t xml:space="preserve"> </w:t>
      </w:r>
      <w:r>
        <w:t xml:space="preserve">Specified </w:t>
      </w:r>
      <w:r w:rsidRPr="25BC4409">
        <w:t>Activit</w:t>
      </w:r>
      <w:r w:rsidR="0053338A">
        <w:t>y</w:t>
      </w:r>
      <w:r w:rsidRPr="25BC4409">
        <w:t xml:space="preserve">. </w:t>
      </w:r>
    </w:p>
    <w:p w14:paraId="714DD5E1" w14:textId="06D52134" w:rsidR="00D21869" w:rsidRDefault="00D21869" w:rsidP="00D21869">
      <w:r w:rsidRPr="25BC4409">
        <w:t>Providers must discuss with the Host Organisation, and document in the relevant Host Agreement, all the Host Organisation’s obligations regarding the relevant Specified Activity.</w:t>
      </w:r>
    </w:p>
    <w:p w14:paraId="521318B7" w14:textId="2120A0E0" w:rsidR="00D21869" w:rsidRDefault="0053338A" w:rsidP="00D21869">
      <w:r>
        <w:t>These obligations</w:t>
      </w:r>
      <w:r w:rsidR="00D21869">
        <w:t xml:space="preserve"> will depend on the type of Activity</w:t>
      </w:r>
      <w:r w:rsidR="00F769AB">
        <w:t xml:space="preserve">. The Department </w:t>
      </w:r>
      <w:r w:rsidR="000453BB">
        <w:t>issues</w:t>
      </w:r>
      <w:r w:rsidR="00D21869">
        <w:t xml:space="preserve"> Host Organisation Agreement </w:t>
      </w:r>
      <w:r w:rsidR="000453BB">
        <w:t xml:space="preserve">templates for different </w:t>
      </w:r>
      <w:r w:rsidR="00D21869">
        <w:t>Activity</w:t>
      </w:r>
      <w:r w:rsidR="000453BB">
        <w:t xml:space="preserve"> types</w:t>
      </w:r>
      <w:r w:rsidR="00D21869">
        <w:t>.</w:t>
      </w:r>
    </w:p>
    <w:p w14:paraId="41A8079C" w14:textId="6BFD9CF2" w:rsidR="00D21869" w:rsidRDefault="00D21869" w:rsidP="00D21869">
      <w:r w:rsidRPr="25BC4409">
        <w:t>To assist the Provider to comply with its obligations under the Deed, the Provider must ensure each Host Agreement includes the following</w:t>
      </w:r>
      <w:r w:rsidR="009D26ED">
        <w:t xml:space="preserve"> details for the Activity</w:t>
      </w:r>
      <w:r w:rsidRPr="25BC4409">
        <w:t xml:space="preserve"> (at a minimum): </w:t>
      </w:r>
    </w:p>
    <w:p w14:paraId="6638D16C" w14:textId="7FD52FE6" w:rsidR="00D21869" w:rsidRPr="00D94FE7" w:rsidRDefault="00D21869" w:rsidP="00D21869">
      <w:pPr>
        <w:pStyle w:val="BulletLevel1"/>
      </w:pPr>
      <w:r w:rsidRPr="25BC4409">
        <w:t xml:space="preserve">Host Organisation </w:t>
      </w:r>
      <w:r w:rsidR="00F00721">
        <w:t>deliverables</w:t>
      </w:r>
      <w:r w:rsidRPr="25BC4409">
        <w:t xml:space="preserve">, including tasks that </w:t>
      </w:r>
      <w:r>
        <w:t>may</w:t>
      </w:r>
      <w:r w:rsidRPr="25BC4409">
        <w:t xml:space="preserve"> be undertaken by Participants </w:t>
      </w:r>
    </w:p>
    <w:p w14:paraId="2CC70FB3" w14:textId="17C7B5FB" w:rsidR="00D21869" w:rsidRPr="00D94FE7" w:rsidRDefault="00D21869" w:rsidP="00D21869">
      <w:pPr>
        <w:pStyle w:val="BulletLevel1"/>
      </w:pPr>
      <w:r w:rsidRPr="005C282E">
        <w:t xml:space="preserve">how the Host Organisation will support and accommodate </w:t>
      </w:r>
      <w:r w:rsidR="00F00721">
        <w:t>individual</w:t>
      </w:r>
      <w:r w:rsidRPr="005C282E">
        <w:t xml:space="preserve"> Participants’ needs and capabilities (including work restrictions</w:t>
      </w:r>
      <w:r w:rsidRPr="00D94FE7">
        <w:t>)</w:t>
      </w:r>
    </w:p>
    <w:p w14:paraId="6BB21C58" w14:textId="1BE67021" w:rsidR="00D21869" w:rsidRPr="00D94FE7" w:rsidRDefault="00D21869" w:rsidP="00D21869">
      <w:pPr>
        <w:pStyle w:val="BulletLevel1"/>
      </w:pPr>
      <w:r w:rsidRPr="25BC4409">
        <w:t>Supervision that the Host Organisation must provide</w:t>
      </w:r>
    </w:p>
    <w:p w14:paraId="2AF63F66" w14:textId="2139AA65" w:rsidR="00D21869" w:rsidRPr="00D94FE7" w:rsidRDefault="00460759" w:rsidP="00D21869">
      <w:pPr>
        <w:pStyle w:val="BulletLevel1"/>
      </w:pPr>
      <w:r>
        <w:t>any</w:t>
      </w:r>
      <w:r w:rsidR="00D21869">
        <w:t xml:space="preserve"> training and induction </w:t>
      </w:r>
      <w:r w:rsidR="0048103B">
        <w:t>required</w:t>
      </w:r>
      <w:r w:rsidR="00D21869">
        <w:t xml:space="preserve"> before </w:t>
      </w:r>
      <w:r w:rsidR="00F53325">
        <w:t>a Participant commences</w:t>
      </w:r>
      <w:r w:rsidR="00D21869">
        <w:t xml:space="preserve"> or undertak</w:t>
      </w:r>
      <w:r w:rsidR="00DF5863">
        <w:t>e</w:t>
      </w:r>
      <w:r w:rsidR="0048103B">
        <w:t>s</w:t>
      </w:r>
      <w:r w:rsidR="00D21869">
        <w:t xml:space="preserve"> </w:t>
      </w:r>
      <w:r w:rsidR="00076F58">
        <w:t xml:space="preserve">particular </w:t>
      </w:r>
      <w:r w:rsidR="00D21869">
        <w:t>tasks</w:t>
      </w:r>
      <w:r w:rsidR="00330E62">
        <w:t>. This includes</w:t>
      </w:r>
      <w:r w:rsidR="00D21869">
        <w:t xml:space="preserve"> </w:t>
      </w:r>
      <w:r w:rsidR="00D21869" w:rsidRPr="004812D9">
        <w:t xml:space="preserve">details of </w:t>
      </w:r>
      <w:r w:rsidR="002F14E0">
        <w:t>which</w:t>
      </w:r>
      <w:r w:rsidR="00D21869" w:rsidRPr="004812D9">
        <w:t xml:space="preserve"> party who will provid</w:t>
      </w:r>
      <w:r w:rsidR="002F14E0">
        <w:t>e</w:t>
      </w:r>
      <w:r w:rsidR="00D21869" w:rsidRPr="004812D9">
        <w:t xml:space="preserve"> the training and induction and </w:t>
      </w:r>
      <w:r w:rsidR="002F14E0">
        <w:t>which party</w:t>
      </w:r>
      <w:r w:rsidR="00D21869" w:rsidRPr="004812D9">
        <w:t xml:space="preserve"> has responsibility for ensuring it is completed</w:t>
      </w:r>
      <w:r w:rsidR="00D21869">
        <w:t>, and</w:t>
      </w:r>
      <w:r w:rsidR="00D21869" w:rsidRPr="00D94FE7">
        <w:t xml:space="preserve"> </w:t>
      </w:r>
    </w:p>
    <w:p w14:paraId="43EB0764" w14:textId="2716FFBE" w:rsidR="00D21869" w:rsidRPr="00D94FE7" w:rsidRDefault="00D21869" w:rsidP="00D21869">
      <w:pPr>
        <w:pStyle w:val="BulletLevel1"/>
      </w:pPr>
      <w:r>
        <w:t>Host Organisation obligations in relation to WHS and Incident reporting.</w:t>
      </w:r>
    </w:p>
    <w:p w14:paraId="2A877147" w14:textId="77777777" w:rsidR="00D21869" w:rsidRDefault="00D21869" w:rsidP="00D21869">
      <w:r w:rsidRPr="00F079D7">
        <w:rPr>
          <w:highlight w:val="green"/>
        </w:rPr>
        <w:t>Host Organisation Agreement templates</w:t>
      </w:r>
      <w:r w:rsidRPr="00313567">
        <w:t xml:space="preserve"> </w:t>
      </w:r>
      <w:r w:rsidRPr="00D94FE7">
        <w:t>can be found</w:t>
      </w:r>
      <w:r>
        <w:t xml:space="preserve"> on the Provider Portal.</w:t>
      </w:r>
    </w:p>
    <w:p w14:paraId="26936105" w14:textId="0658225B" w:rsidR="004826D0" w:rsidRPr="00B84B59" w:rsidRDefault="00D21869" w:rsidP="3E5C4A2E">
      <w:pPr>
        <w:pStyle w:val="DocumentaryEvidenceRequirement"/>
      </w:pPr>
      <w:r w:rsidRPr="00B84B59">
        <w:t>Providers must retain evidence (either hard copy or soft copy) of the Host Agreement signed by all relevant parties.</w:t>
      </w:r>
    </w:p>
    <w:p w14:paraId="29CCF34E" w14:textId="0414ACDF" w:rsidR="00D74559" w:rsidRPr="00FB7CD7" w:rsidRDefault="00D74559" w:rsidP="001D0F92">
      <w:pPr>
        <w:pStyle w:val="Heading3"/>
      </w:pPr>
      <w:bookmarkStart w:id="313" w:name="_Toc202900010"/>
      <w:r>
        <w:t>7.7</w:t>
      </w:r>
      <w:r w:rsidR="00F079D7">
        <w:tab/>
      </w:r>
      <w:r>
        <w:t xml:space="preserve">Other </w:t>
      </w:r>
      <w:r w:rsidR="00E921E7">
        <w:t>A</w:t>
      </w:r>
      <w:r>
        <w:t>ctivities</w:t>
      </w:r>
      <w:bookmarkEnd w:id="313"/>
    </w:p>
    <w:p w14:paraId="256B7341" w14:textId="34B20516" w:rsidR="003C3346" w:rsidRDefault="00E921E7" w:rsidP="00F079D7">
      <w:r>
        <w:t xml:space="preserve">This Section outlines </w:t>
      </w:r>
      <w:r w:rsidR="00704F84">
        <w:t>o</w:t>
      </w:r>
      <w:r w:rsidR="00D74559">
        <w:t xml:space="preserve">ther </w:t>
      </w:r>
      <w:r w:rsidR="00704F84">
        <w:t>A</w:t>
      </w:r>
      <w:r w:rsidR="00D74559">
        <w:t xml:space="preserve">ctivities </w:t>
      </w:r>
      <w:r>
        <w:t xml:space="preserve">that </w:t>
      </w:r>
      <w:r w:rsidR="003C3346" w:rsidRPr="2CC6209F">
        <w:t xml:space="preserve">Providers may wish to consider in order to assist Participants to improve their employment prospects and/or manage or overcome </w:t>
      </w:r>
      <w:r w:rsidR="00C44D5D">
        <w:t>Vocational Barriers and Non-Vocational Barriers.</w:t>
      </w:r>
    </w:p>
    <w:p w14:paraId="756CF66C" w14:textId="4B6800C5" w:rsidR="00B174F9" w:rsidRDefault="00D74559" w:rsidP="00F079D7">
      <w:r>
        <w:t xml:space="preserve">Other </w:t>
      </w:r>
      <w:r w:rsidR="003C3346">
        <w:t>Activities</w:t>
      </w:r>
      <w:r>
        <w:t xml:space="preserve"> are any </w:t>
      </w:r>
      <w:r w:rsidR="002B0769">
        <w:t>A</w:t>
      </w:r>
      <w:r>
        <w:t xml:space="preserve">ctivities the Provider arranges or access for a Participant to attend, other than </w:t>
      </w:r>
      <w:r w:rsidR="004D7794">
        <w:t>those listed as</w:t>
      </w:r>
      <w:r>
        <w:t xml:space="preserve"> </w:t>
      </w:r>
      <w:r w:rsidR="004D7794">
        <w:t>Complementary</w:t>
      </w:r>
      <w:r>
        <w:t xml:space="preserve"> </w:t>
      </w:r>
      <w:r w:rsidR="004D7794">
        <w:t>A</w:t>
      </w:r>
      <w:r>
        <w:t xml:space="preserve">ctivities </w:t>
      </w:r>
      <w:r w:rsidR="004D7794">
        <w:t>or Specified Activities in these Guidelines</w:t>
      </w:r>
      <w:r>
        <w:t xml:space="preserve">. </w:t>
      </w:r>
      <w:r w:rsidR="00CA726D">
        <w:t xml:space="preserve">Other Activities can also be </w:t>
      </w:r>
      <w:r w:rsidR="000A3B8E">
        <w:t>sourced by a Participant.</w:t>
      </w:r>
    </w:p>
    <w:p w14:paraId="369EB827" w14:textId="0109F0F1" w:rsidR="00D74559" w:rsidRPr="00FB7CD7" w:rsidRDefault="00D74559" w:rsidP="00F079D7">
      <w:r>
        <w:t>Examples include:</w:t>
      </w:r>
    </w:p>
    <w:p w14:paraId="0BD73976" w14:textId="51EFACC4" w:rsidR="007C1C3B" w:rsidRDefault="00DB53FE" w:rsidP="004E120D">
      <w:pPr>
        <w:pStyle w:val="BulletLevel1"/>
      </w:pPr>
      <w:r>
        <w:t>w</w:t>
      </w:r>
      <w:r w:rsidR="007C1C3B" w:rsidRPr="532885C8">
        <w:t xml:space="preserve">ork </w:t>
      </w:r>
      <w:r>
        <w:t>p</w:t>
      </w:r>
      <w:r w:rsidR="007C1C3B" w:rsidRPr="532885C8">
        <w:t>reparation</w:t>
      </w:r>
      <w:r w:rsidR="007C1C3B">
        <w:t xml:space="preserve"> activities</w:t>
      </w:r>
      <w:r w:rsidR="00BF6A6E">
        <w:t xml:space="preserve"> such as:</w:t>
      </w:r>
    </w:p>
    <w:p w14:paraId="7850830C" w14:textId="77777777" w:rsidR="001A5BA0" w:rsidRDefault="001A5BA0" w:rsidP="001A5BA0">
      <w:pPr>
        <w:pStyle w:val="BulletLevel2"/>
      </w:pPr>
      <w:r>
        <w:t>soft skills training</w:t>
      </w:r>
    </w:p>
    <w:p w14:paraId="58951DB6" w14:textId="1AA2515B" w:rsidR="00BF6A6E" w:rsidRDefault="006C3DF5" w:rsidP="00BF6A6E">
      <w:pPr>
        <w:pStyle w:val="BulletLevel2"/>
      </w:pPr>
      <w:r>
        <w:t>foundation skills</w:t>
      </w:r>
      <w:r w:rsidR="004C5D03">
        <w:t>, and</w:t>
      </w:r>
    </w:p>
    <w:p w14:paraId="08F588B8" w14:textId="77777777" w:rsidR="001A5BA0" w:rsidRDefault="001A5BA0" w:rsidP="001A5BA0">
      <w:pPr>
        <w:pStyle w:val="BulletLevel2"/>
      </w:pPr>
      <w:r w:rsidRPr="00A321BC">
        <w:t>work hardening or physical conditioning programs</w:t>
      </w:r>
    </w:p>
    <w:p w14:paraId="61AC865E" w14:textId="56329839" w:rsidR="00870365" w:rsidRDefault="00DB53FE" w:rsidP="004E120D">
      <w:pPr>
        <w:pStyle w:val="BulletLevel1"/>
      </w:pPr>
      <w:r>
        <w:t>j</w:t>
      </w:r>
      <w:r w:rsidR="00870365">
        <w:t xml:space="preserve">ob </w:t>
      </w:r>
      <w:r>
        <w:t>s</w:t>
      </w:r>
      <w:r w:rsidR="00870365">
        <w:t>earch activities such as:</w:t>
      </w:r>
    </w:p>
    <w:p w14:paraId="020B7F39" w14:textId="705A684B" w:rsidR="00D74559" w:rsidRDefault="00D74559" w:rsidP="004E120D">
      <w:pPr>
        <w:pStyle w:val="BulletLevel2"/>
      </w:pPr>
      <w:r w:rsidRPr="532885C8">
        <w:t>r</w:t>
      </w:r>
      <w:r w:rsidR="007B407B" w:rsidRPr="007B407B">
        <w:t>é</w:t>
      </w:r>
      <w:r w:rsidRPr="532885C8">
        <w:t>sum</w:t>
      </w:r>
      <w:r w:rsidR="007B407B" w:rsidRPr="007B407B">
        <w:t>é</w:t>
      </w:r>
      <w:r w:rsidRPr="532885C8">
        <w:t xml:space="preserve"> writing sessions</w:t>
      </w:r>
    </w:p>
    <w:p w14:paraId="0E1C5306" w14:textId="77777777" w:rsidR="00D74559" w:rsidRDefault="00D74559" w:rsidP="004E120D">
      <w:pPr>
        <w:pStyle w:val="BulletLevel2"/>
      </w:pPr>
      <w:r w:rsidRPr="532885C8">
        <w:t>sessions on how to apply for jobs online</w:t>
      </w:r>
    </w:p>
    <w:p w14:paraId="6FA9D230" w14:textId="77777777" w:rsidR="00D74559" w:rsidRDefault="00D74559" w:rsidP="004E120D">
      <w:pPr>
        <w:pStyle w:val="BulletLevel2"/>
      </w:pPr>
      <w:r w:rsidRPr="532885C8">
        <w:t>interview preparation sessions</w:t>
      </w:r>
    </w:p>
    <w:p w14:paraId="1D14B707" w14:textId="336D16DD" w:rsidR="00D07977" w:rsidRDefault="00D74559" w:rsidP="004E120D">
      <w:pPr>
        <w:pStyle w:val="BulletLevel2"/>
      </w:pPr>
      <w:r>
        <w:t>Employer meet and greet sessions</w:t>
      </w:r>
      <w:r w:rsidR="00D07977">
        <w:t>,</w:t>
      </w:r>
      <w:r>
        <w:t xml:space="preserve"> and </w:t>
      </w:r>
    </w:p>
    <w:p w14:paraId="60F17771" w14:textId="3F50E2AC" w:rsidR="00D74559" w:rsidRDefault="00D74559" w:rsidP="004E120D">
      <w:pPr>
        <w:pStyle w:val="BulletLevel2"/>
      </w:pPr>
      <w:r>
        <w:t>job fairs/job expos</w:t>
      </w:r>
    </w:p>
    <w:p w14:paraId="2175A096" w14:textId="77777777" w:rsidR="006C3DF5" w:rsidRDefault="006C3DF5" w:rsidP="004E120D">
      <w:pPr>
        <w:pStyle w:val="BulletLevel1"/>
      </w:pPr>
      <w:r>
        <w:t>mentoring or coaching</w:t>
      </w:r>
    </w:p>
    <w:p w14:paraId="2A801B92" w14:textId="53E5F3EC" w:rsidR="00D74559" w:rsidRDefault="00704620" w:rsidP="004E120D">
      <w:pPr>
        <w:pStyle w:val="BulletLevel1"/>
      </w:pPr>
      <w:r>
        <w:t xml:space="preserve">accredited </w:t>
      </w:r>
      <w:r w:rsidR="00877FF2">
        <w:t>vocational education and training courses</w:t>
      </w:r>
    </w:p>
    <w:p w14:paraId="0FAE6AA3" w14:textId="12FC8246" w:rsidR="00D74559" w:rsidRDefault="00D74559" w:rsidP="004E120D">
      <w:pPr>
        <w:pStyle w:val="BulletLevel1"/>
      </w:pPr>
      <w:r>
        <w:t>higher education</w:t>
      </w:r>
      <w:r w:rsidRPr="532885C8">
        <w:t xml:space="preserve"> short courses</w:t>
      </w:r>
    </w:p>
    <w:p w14:paraId="313DA457" w14:textId="77777777" w:rsidR="00D74559" w:rsidRDefault="00D74559" w:rsidP="004E120D">
      <w:pPr>
        <w:pStyle w:val="BulletLevel1"/>
      </w:pPr>
      <w:r w:rsidRPr="532885C8">
        <w:t>non-accredited study</w:t>
      </w:r>
    </w:p>
    <w:p w14:paraId="51721071" w14:textId="77777777" w:rsidR="00D74559" w:rsidRDefault="00D74559" w:rsidP="004E120D">
      <w:pPr>
        <w:pStyle w:val="BulletLevel1"/>
      </w:pPr>
      <w:r w:rsidRPr="532885C8">
        <w:t xml:space="preserve">paid </w:t>
      </w:r>
      <w:r>
        <w:t>or unpaid W</w:t>
      </w:r>
      <w:r w:rsidRPr="532885C8">
        <w:t xml:space="preserve">ork </w:t>
      </w:r>
      <w:r>
        <w:t>T</w:t>
      </w:r>
      <w:r w:rsidRPr="532885C8">
        <w:t>rials</w:t>
      </w:r>
    </w:p>
    <w:p w14:paraId="1FED9585" w14:textId="77777777" w:rsidR="00D74559" w:rsidRDefault="00D74559" w:rsidP="004E120D">
      <w:pPr>
        <w:pStyle w:val="BulletLevel1"/>
      </w:pPr>
      <w:r w:rsidRPr="532885C8">
        <w:t xml:space="preserve">part-time </w:t>
      </w:r>
      <w:r>
        <w:t>or casual work</w:t>
      </w:r>
    </w:p>
    <w:p w14:paraId="788DDA51" w14:textId="77777777" w:rsidR="00D74559" w:rsidRDefault="00D74559" w:rsidP="004E120D">
      <w:pPr>
        <w:pStyle w:val="BulletLevel1"/>
      </w:pPr>
      <w:r w:rsidRPr="532885C8">
        <w:t>paid work experience</w:t>
      </w:r>
    </w:p>
    <w:p w14:paraId="74FD4ECF" w14:textId="77777777" w:rsidR="00D74559" w:rsidRDefault="00D74559" w:rsidP="004E120D">
      <w:pPr>
        <w:pStyle w:val="BulletLevel1"/>
      </w:pPr>
      <w:r w:rsidRPr="111F7F31">
        <w:t xml:space="preserve">work with a social enterprise or </w:t>
      </w:r>
      <w:r>
        <w:t>in S</w:t>
      </w:r>
      <w:r w:rsidRPr="111F7F31">
        <w:t xml:space="preserve">upported </w:t>
      </w:r>
      <w:r>
        <w:t>E</w:t>
      </w:r>
      <w:r w:rsidRPr="111F7F31">
        <w:t xml:space="preserve">mployment </w:t>
      </w:r>
      <w:r>
        <w:t>Services</w:t>
      </w:r>
      <w:r w:rsidRPr="111F7F31">
        <w:t>, and</w:t>
      </w:r>
    </w:p>
    <w:p w14:paraId="34C53EEE" w14:textId="78A96F8E" w:rsidR="00D74559" w:rsidRDefault="004626B1" w:rsidP="004E120D">
      <w:pPr>
        <w:pStyle w:val="BulletLevel1"/>
      </w:pPr>
      <w:r>
        <w:t>I</w:t>
      </w:r>
      <w:r w:rsidRPr="25BC4409">
        <w:t xml:space="preserve">nterventions </w:t>
      </w:r>
      <w:r>
        <w:t xml:space="preserve">and other </w:t>
      </w:r>
      <w:r w:rsidR="00D74559" w:rsidRPr="25BC4409">
        <w:t>non-vocational supports, such as receiving, participating in or undertaking:</w:t>
      </w:r>
    </w:p>
    <w:p w14:paraId="0E0C0150" w14:textId="77777777" w:rsidR="00D74559" w:rsidRDefault="00D74559" w:rsidP="004E120D">
      <w:pPr>
        <w:pStyle w:val="BulletLevel2"/>
      </w:pPr>
      <w:r w:rsidRPr="25BC4409">
        <w:t>social support services, such as housing, domestic violence or crisis/trauma</w:t>
      </w:r>
    </w:p>
    <w:p w14:paraId="7D9B0D29" w14:textId="77777777" w:rsidR="00D74559" w:rsidRDefault="00D74559" w:rsidP="004E120D">
      <w:pPr>
        <w:pStyle w:val="BulletLevel2"/>
      </w:pPr>
      <w:r w:rsidRPr="532885C8">
        <w:t>legal services</w:t>
      </w:r>
    </w:p>
    <w:p w14:paraId="4054D974" w14:textId="77777777" w:rsidR="00D74559" w:rsidRDefault="00D74559" w:rsidP="004E120D">
      <w:pPr>
        <w:pStyle w:val="BulletLevel2"/>
      </w:pPr>
      <w:r w:rsidRPr="532885C8">
        <w:t>financial support services and financial counselling</w:t>
      </w:r>
    </w:p>
    <w:p w14:paraId="1226FEDA" w14:textId="77777777" w:rsidR="00D74559" w:rsidRDefault="00D74559" w:rsidP="004E120D">
      <w:pPr>
        <w:pStyle w:val="BulletLevel2"/>
      </w:pPr>
      <w:r>
        <w:t>programs that address disability, injury or health concerns</w:t>
      </w:r>
    </w:p>
    <w:p w14:paraId="7D0B9E26" w14:textId="77777777" w:rsidR="00D74559" w:rsidRDefault="00D74559" w:rsidP="004E120D">
      <w:pPr>
        <w:pStyle w:val="BulletLevel2"/>
      </w:pPr>
      <w:r w:rsidRPr="532885C8">
        <w:t>appointments with general practitioners and specialists (doctors)</w:t>
      </w:r>
    </w:p>
    <w:p w14:paraId="41BF1768" w14:textId="77777777" w:rsidR="00D74559" w:rsidRDefault="00D74559" w:rsidP="004E120D">
      <w:pPr>
        <w:pStyle w:val="BulletLevel2"/>
      </w:pPr>
      <w:r w:rsidRPr="25BC4409">
        <w:t>appointments with allied health professionals, such as physiotherapists, occupational therapists and pain management services</w:t>
      </w:r>
    </w:p>
    <w:p w14:paraId="5AF1D782" w14:textId="77777777" w:rsidR="00D74559" w:rsidRDefault="00D74559" w:rsidP="004E120D">
      <w:pPr>
        <w:pStyle w:val="BulletLevel2"/>
      </w:pPr>
      <w:r w:rsidRPr="532885C8">
        <w:t>self/help groups and peer support services</w:t>
      </w:r>
    </w:p>
    <w:p w14:paraId="0AE57131" w14:textId="77777777" w:rsidR="00D74559" w:rsidRDefault="00D74559" w:rsidP="004E120D">
      <w:pPr>
        <w:pStyle w:val="BulletLevel2"/>
      </w:pPr>
      <w:r w:rsidRPr="532885C8">
        <w:t>cultural services and social groups</w:t>
      </w:r>
    </w:p>
    <w:p w14:paraId="1F342BE9" w14:textId="77777777" w:rsidR="00D74559" w:rsidRDefault="00D74559" w:rsidP="004E120D">
      <w:pPr>
        <w:pStyle w:val="BulletLevel2"/>
      </w:pPr>
      <w:r w:rsidRPr="532885C8">
        <w:t>other health services, such as drug and alcohol treatment, and/or</w:t>
      </w:r>
    </w:p>
    <w:p w14:paraId="2F854B95" w14:textId="125AB8BF" w:rsidR="00D74559" w:rsidRDefault="00D74559" w:rsidP="004E120D">
      <w:pPr>
        <w:pStyle w:val="BulletLevel2"/>
      </w:pPr>
      <w:r w:rsidRPr="532885C8">
        <w:t>mental health services, for example psychological counselling.</w:t>
      </w:r>
    </w:p>
    <w:p w14:paraId="27B166FA" w14:textId="795CA8C8" w:rsidR="00D74559" w:rsidRPr="00FB7CD7" w:rsidRDefault="00D74559" w:rsidP="00F079D7">
      <w:pPr>
        <w:rPr>
          <w:rFonts w:cstheme="minorHAnsi"/>
        </w:rPr>
      </w:pPr>
      <w:r w:rsidRPr="00FB7CD7">
        <w:rPr>
          <w:rFonts w:cstheme="minorHAnsi"/>
        </w:rPr>
        <w:t xml:space="preserve">Other </w:t>
      </w:r>
      <w:r w:rsidR="002B0769">
        <w:rPr>
          <w:rFonts w:cstheme="minorHAnsi"/>
        </w:rPr>
        <w:t>A</w:t>
      </w:r>
      <w:r w:rsidRPr="00FB7CD7">
        <w:rPr>
          <w:rFonts w:cstheme="minorHAnsi"/>
        </w:rPr>
        <w:t>ctivities can include:</w:t>
      </w:r>
    </w:p>
    <w:p w14:paraId="5BC8421C" w14:textId="4CD93416" w:rsidR="00D74559" w:rsidRPr="00FB7CD7" w:rsidRDefault="00D74559" w:rsidP="004E120D">
      <w:pPr>
        <w:pStyle w:val="BulletLevel1"/>
      </w:pPr>
      <w:r w:rsidRPr="111F7F31">
        <w:t xml:space="preserve">activities with a formal structure, such as </w:t>
      </w:r>
      <w:r>
        <w:t>other government program</w:t>
      </w:r>
      <w:r w:rsidRPr="111F7F31">
        <w:t xml:space="preserve">s the Participant can access concurrently with </w:t>
      </w:r>
      <w:r w:rsidR="00B01CA9">
        <w:t>the</w:t>
      </w:r>
      <w:r w:rsidRPr="111F7F31">
        <w:t xml:space="preserve"> </w:t>
      </w:r>
      <w:r w:rsidR="00353F8E">
        <w:t>Inclusive Employment Australia</w:t>
      </w:r>
      <w:r w:rsidRPr="111F7F31">
        <w:t xml:space="preserve"> program</w:t>
      </w:r>
    </w:p>
    <w:p w14:paraId="2C9D1C57" w14:textId="0AFC8D68" w:rsidR="00D74559" w:rsidRPr="00FB7CD7" w:rsidRDefault="00D74559" w:rsidP="004E120D">
      <w:pPr>
        <w:pStyle w:val="BulletLevel1"/>
      </w:pPr>
      <w:r w:rsidRPr="00FB7CD7">
        <w:t>support services available from a range of private or community organisations</w:t>
      </w:r>
      <w:r w:rsidR="00033AAE">
        <w:t>, and</w:t>
      </w:r>
    </w:p>
    <w:p w14:paraId="22550C3A" w14:textId="6AB246E2" w:rsidR="00D74559" w:rsidRPr="00FB7CD7" w:rsidRDefault="00D74559" w:rsidP="004E120D">
      <w:pPr>
        <w:pStyle w:val="BulletLevel1"/>
      </w:pPr>
      <w:r w:rsidRPr="111F7F31">
        <w:t>activities designed by or for the Provider</w:t>
      </w:r>
      <w:r w:rsidR="00EA7EEF">
        <w:t>.</w:t>
      </w:r>
    </w:p>
    <w:p w14:paraId="6FC28FE0" w14:textId="3D6E2A90" w:rsidR="00605623" w:rsidRDefault="00605623" w:rsidP="00F079D7">
      <w:r>
        <w:t xml:space="preserve">Providers should </w:t>
      </w:r>
      <w:r w:rsidRPr="00C70AB8">
        <w:t xml:space="preserve">develop and adapt </w:t>
      </w:r>
      <w:r w:rsidR="00DF37FE">
        <w:t>A</w:t>
      </w:r>
      <w:r w:rsidR="00DF37FE" w:rsidRPr="00C70AB8">
        <w:t xml:space="preserve">ctivities </w:t>
      </w:r>
      <w:r w:rsidRPr="00C70AB8">
        <w:t xml:space="preserve">to meet the diverse needs of </w:t>
      </w:r>
      <w:r w:rsidR="00423215">
        <w:t xml:space="preserve">local </w:t>
      </w:r>
      <w:r w:rsidRPr="00C70AB8">
        <w:t>businesses and industries</w:t>
      </w:r>
      <w:r w:rsidR="00423215">
        <w:t>.</w:t>
      </w:r>
    </w:p>
    <w:p w14:paraId="33C2BFA6" w14:textId="3F1A51D8" w:rsidR="00D74559" w:rsidRPr="00FB7CD7" w:rsidRDefault="00D74559" w:rsidP="00F079D7">
      <w:r w:rsidRPr="111F7F31">
        <w:t xml:space="preserve">The flexibility of other </w:t>
      </w:r>
      <w:r w:rsidR="002B0769">
        <w:t>A</w:t>
      </w:r>
      <w:r w:rsidRPr="111F7F31">
        <w:t xml:space="preserve">ctivities allows Providers to offer a wide range of supports. However, this range of conditions applying to other </w:t>
      </w:r>
      <w:r w:rsidR="002B0769">
        <w:t>A</w:t>
      </w:r>
      <w:r w:rsidRPr="111F7F31">
        <w:t>ctivities means that:</w:t>
      </w:r>
    </w:p>
    <w:p w14:paraId="513F0E15" w14:textId="59B08E1C" w:rsidR="00D74559" w:rsidRPr="00FB7CD7" w:rsidRDefault="00FD0BC0" w:rsidP="004E120D">
      <w:pPr>
        <w:pStyle w:val="BulletLevel1"/>
      </w:pPr>
      <w:r>
        <w:t>these</w:t>
      </w:r>
      <w:r w:rsidR="00D74559" w:rsidRPr="00FB7CD7">
        <w:t xml:space="preserve"> </w:t>
      </w:r>
      <w:r>
        <w:t>A</w:t>
      </w:r>
      <w:r w:rsidR="00D74559" w:rsidRPr="00FB7CD7">
        <w:t>ctivities cannot be covered by insurance policies the Department has taken out</w:t>
      </w:r>
      <w:r w:rsidR="00B83671">
        <w:t>, and</w:t>
      </w:r>
    </w:p>
    <w:p w14:paraId="4EF7638C" w14:textId="7861025A" w:rsidR="00D73E27" w:rsidRDefault="00D74559" w:rsidP="00D73E27">
      <w:pPr>
        <w:pStyle w:val="BulletLevel1"/>
      </w:pPr>
      <w:r w:rsidRPr="25BC4409">
        <w:t xml:space="preserve">the Provider is responsible for all aspects of the </w:t>
      </w:r>
      <w:r w:rsidR="00FD0BC0">
        <w:t>A</w:t>
      </w:r>
      <w:r w:rsidRPr="25BC4409">
        <w:t>ctivity, including Participant safety.</w:t>
      </w:r>
    </w:p>
    <w:p w14:paraId="4276511B" w14:textId="7515DCD6" w:rsidR="000A3B8E" w:rsidRPr="00FB7CD7" w:rsidRDefault="000A3B8E" w:rsidP="000A3B8E">
      <w:pPr>
        <w:tabs>
          <w:tab w:val="right" w:pos="1701"/>
        </w:tabs>
        <w:spacing w:after="120"/>
      </w:pPr>
      <w:r>
        <w:t xml:space="preserve">Providers must </w:t>
      </w:r>
      <w:r w:rsidR="004E212D">
        <w:t xml:space="preserve">conduct a Risk Assessment of the Activity and whether it is suitable for a Participant </w:t>
      </w:r>
      <w:r w:rsidR="004E212D" w:rsidRPr="00F079D7">
        <w:t xml:space="preserve">before </w:t>
      </w:r>
      <w:r w:rsidR="00B62414" w:rsidRPr="00F079D7">
        <w:t>arranging for a Participant to undertake the Activity</w:t>
      </w:r>
      <w:r w:rsidR="0028143D" w:rsidRPr="00F079D7">
        <w:t xml:space="preserve"> </w:t>
      </w:r>
      <w:r w:rsidR="00F079D7" w:rsidRPr="00F079D7">
        <w:t>—</w:t>
      </w:r>
      <w:r w:rsidR="00B62414" w:rsidRPr="00F079D7">
        <w:t xml:space="preserve"> </w:t>
      </w:r>
      <w:r w:rsidR="00115183" w:rsidRPr="00F079D7">
        <w:t xml:space="preserve">refer to </w:t>
      </w:r>
      <w:r w:rsidR="00F079D7" w:rsidRPr="00F079D7">
        <w:fldChar w:fldCharType="begin"/>
      </w:r>
      <w:r w:rsidR="00F079D7" w:rsidRPr="00F079D7">
        <w:instrText xml:space="preserve"> REF _Ref202796713 \h </w:instrText>
      </w:r>
      <w:r w:rsidR="00F079D7">
        <w:instrText xml:space="preserve"> \* MERGEFORMAT </w:instrText>
      </w:r>
      <w:r w:rsidR="00F079D7" w:rsidRPr="00F079D7">
        <w:fldChar w:fldCharType="separate"/>
      </w:r>
      <w:r w:rsidR="000D75AE">
        <w:t>7.8.1</w:t>
      </w:r>
      <w:r w:rsidR="002F7169">
        <w:t xml:space="preserve"> </w:t>
      </w:r>
      <w:r w:rsidR="000D75AE">
        <w:t>Risk Assessments</w:t>
      </w:r>
      <w:r w:rsidR="00F079D7" w:rsidRPr="00F079D7">
        <w:fldChar w:fldCharType="end"/>
      </w:r>
      <w:r w:rsidR="00F079D7">
        <w:t xml:space="preserve">. </w:t>
      </w:r>
      <w:r w:rsidR="00B62414">
        <w:t>Providers do not need to undertake a Risk Assessment for Other Activities arranged by the Participant.</w:t>
      </w:r>
      <w:r w:rsidR="00CD1B04">
        <w:t xml:space="preserve">  </w:t>
      </w:r>
    </w:p>
    <w:p w14:paraId="1B389BE7" w14:textId="201644C5" w:rsidR="00D74559" w:rsidRPr="000A55EB" w:rsidRDefault="00D74559" w:rsidP="001D0F92">
      <w:pPr>
        <w:pStyle w:val="Heading4"/>
      </w:pPr>
      <w:bookmarkStart w:id="314" w:name="_Ref202791561"/>
      <w:bookmarkStart w:id="315" w:name="_Ref202883070"/>
      <w:bookmarkStart w:id="316" w:name="_Toc202900011"/>
      <w:r>
        <w:t>7.7.1</w:t>
      </w:r>
      <w:r w:rsidR="006477F6">
        <w:tab/>
      </w:r>
      <w:r w:rsidRPr="000A55EB">
        <w:t>Paid Employment</w:t>
      </w:r>
      <w:bookmarkEnd w:id="314"/>
      <w:bookmarkEnd w:id="315"/>
      <w:bookmarkEnd w:id="316"/>
    </w:p>
    <w:p w14:paraId="2C10739D" w14:textId="6EC2562E" w:rsidR="00C92382" w:rsidRPr="00C70AB8" w:rsidRDefault="00D74559" w:rsidP="006E2EF5">
      <w:r>
        <w:t xml:space="preserve">Providers may offer Participants exposure to </w:t>
      </w:r>
      <w:r w:rsidR="00797CF7">
        <w:t>paid</w:t>
      </w:r>
      <w:r>
        <w:t xml:space="preserve"> </w:t>
      </w:r>
      <w:r w:rsidR="00797CF7">
        <w:t>work</w:t>
      </w:r>
      <w:r>
        <w:t xml:space="preserve"> opportunities</w:t>
      </w:r>
      <w:r w:rsidR="008A39E1">
        <w:t xml:space="preserve">, including </w:t>
      </w:r>
      <w:r w:rsidR="00E7041D">
        <w:t xml:space="preserve">casual paid Employment, </w:t>
      </w:r>
      <w:r w:rsidR="008A39E1">
        <w:t>Work Trials</w:t>
      </w:r>
      <w:r w:rsidR="007E15E3">
        <w:t xml:space="preserve"> and paid work experience placements</w:t>
      </w:r>
      <w:r w:rsidR="00797CF7">
        <w:t>. Job</w:t>
      </w:r>
      <w:r w:rsidR="008A39E1">
        <w:t> </w:t>
      </w:r>
      <w:r w:rsidR="00797CF7">
        <w:t xml:space="preserve">Placements do not need to be </w:t>
      </w:r>
      <w:r>
        <w:t>anchor</w:t>
      </w:r>
      <w:r w:rsidR="00797CF7">
        <w:t>ed</w:t>
      </w:r>
      <w:r>
        <w:t xml:space="preserve"> </w:t>
      </w:r>
      <w:r w:rsidR="00797CF7">
        <w:t>and progressing towards an Employment Outcome to give the Participant valuable work experience and new skills</w:t>
      </w:r>
      <w:r>
        <w:t>. This means that Participants can try their hand at a range of jobs while receiving Pre-Employment Support.</w:t>
      </w:r>
    </w:p>
    <w:p w14:paraId="772D0B42" w14:textId="77777777" w:rsidR="0004049D" w:rsidRDefault="0004049D" w:rsidP="0004049D">
      <w:pPr>
        <w:pStyle w:val="SystemStep"/>
        <w:rPr>
          <w:lang w:val="en-GB"/>
        </w:rPr>
      </w:pPr>
      <w:r w:rsidRPr="00A24600">
        <w:rPr>
          <w:lang w:val="en-GB"/>
        </w:rPr>
        <w:t xml:space="preserve">The Provider must record </w:t>
      </w:r>
      <w:r>
        <w:rPr>
          <w:lang w:val="en-GB"/>
        </w:rPr>
        <w:t>the Job</w:t>
      </w:r>
      <w:r w:rsidRPr="00A24600">
        <w:rPr>
          <w:lang w:val="en-GB"/>
        </w:rPr>
        <w:t xml:space="preserve"> </w:t>
      </w:r>
      <w:r>
        <w:rPr>
          <w:lang w:val="en-GB"/>
        </w:rPr>
        <w:t>P</w:t>
      </w:r>
      <w:r w:rsidRPr="00A24600">
        <w:rPr>
          <w:lang w:val="en-GB"/>
        </w:rPr>
        <w:t xml:space="preserve">lacement in the Department’s IT </w:t>
      </w:r>
      <w:r>
        <w:rPr>
          <w:lang w:val="en-GB"/>
        </w:rPr>
        <w:t>S</w:t>
      </w:r>
      <w:r w:rsidRPr="00A24600">
        <w:rPr>
          <w:lang w:val="en-GB"/>
        </w:rPr>
        <w:t>ystem</w:t>
      </w:r>
      <w:r>
        <w:rPr>
          <w:lang w:val="en-GB"/>
        </w:rPr>
        <w:t>s.</w:t>
      </w:r>
    </w:p>
    <w:p w14:paraId="79579ED2" w14:textId="3B3CF38D" w:rsidR="006C1690" w:rsidRPr="00C70AB8" w:rsidRDefault="006C1690" w:rsidP="006C1690">
      <w:r w:rsidRPr="002F360D">
        <w:rPr>
          <w:b/>
          <w:bCs/>
        </w:rPr>
        <w:t>Note:</w:t>
      </w:r>
      <w:r>
        <w:t xml:space="preserve"> Considerations for anchoring a Job Placement and are outlined in</w:t>
      </w:r>
      <w:r w:rsidR="00F079D7">
        <w:t xml:space="preserve"> </w:t>
      </w:r>
      <w:r w:rsidR="00F079D7">
        <w:rPr>
          <w:highlight w:val="yellow"/>
        </w:rPr>
        <w:fldChar w:fldCharType="begin"/>
      </w:r>
      <w:r w:rsidR="00F079D7">
        <w:instrText xml:space="preserve"> REF _Ref202796868 \h </w:instrText>
      </w:r>
      <w:r w:rsidR="00F079D7">
        <w:rPr>
          <w:highlight w:val="yellow"/>
        </w:rPr>
      </w:r>
      <w:r w:rsidR="00F079D7">
        <w:rPr>
          <w:highlight w:val="yellow"/>
        </w:rPr>
        <w:fldChar w:fldCharType="separate"/>
      </w:r>
      <w:r w:rsidR="000D75AE" w:rsidRPr="00BA23D8">
        <w:t>Chapter 9</w:t>
      </w:r>
      <w:r w:rsidR="000D75AE">
        <w:t>:</w:t>
      </w:r>
      <w:r w:rsidR="003B2E77">
        <w:t xml:space="preserve"> </w:t>
      </w:r>
      <w:r w:rsidR="000D75AE" w:rsidRPr="00BA23D8">
        <w:t>Post Placement Support</w:t>
      </w:r>
      <w:r w:rsidR="00F079D7">
        <w:rPr>
          <w:highlight w:val="yellow"/>
        </w:rPr>
        <w:fldChar w:fldCharType="end"/>
      </w:r>
      <w:r>
        <w:t>.</w:t>
      </w:r>
    </w:p>
    <w:p w14:paraId="17E20203" w14:textId="62C5E9C9" w:rsidR="00F3396B" w:rsidRDefault="001D67AE" w:rsidP="00F3396B">
      <w:r>
        <w:rPr>
          <w:rFonts w:ascii="Tahoma" w:eastAsia="Tahoma" w:hAnsi="Tahoma" w:cs="Tahoma"/>
          <w:color w:val="000000" w:themeColor="text1"/>
        </w:rPr>
        <w:t>A</w:t>
      </w:r>
      <w:r w:rsidR="00891781">
        <w:rPr>
          <w:rFonts w:ascii="Tahoma" w:eastAsia="Tahoma" w:hAnsi="Tahoma" w:cs="Tahoma"/>
          <w:color w:val="000000" w:themeColor="text1"/>
        </w:rPr>
        <w:t xml:space="preserve"> Participant (Mutual Obligation) may be able to Fully Meet their Mutual Obligation Requirements </w:t>
      </w:r>
      <w:r w:rsidR="006338E4">
        <w:rPr>
          <w:rFonts w:ascii="Tahoma" w:eastAsia="Tahoma" w:hAnsi="Tahoma" w:cs="Tahoma"/>
          <w:color w:val="000000" w:themeColor="text1"/>
        </w:rPr>
        <w:t>through Employment</w:t>
      </w:r>
      <w:r w:rsidR="002F7C3A">
        <w:rPr>
          <w:rFonts w:ascii="Tahoma" w:eastAsia="Tahoma" w:hAnsi="Tahoma" w:cs="Tahoma"/>
          <w:color w:val="000000" w:themeColor="text1"/>
        </w:rPr>
        <w:t xml:space="preserve">. </w:t>
      </w:r>
      <w:r w:rsidR="00F3396B" w:rsidRPr="00012206">
        <w:t>Providers</w:t>
      </w:r>
      <w:r w:rsidR="00F3396B">
        <w:t xml:space="preserve"> should refer to the</w:t>
      </w:r>
      <w:r w:rsidR="00F3396B" w:rsidRPr="00012206">
        <w:t xml:space="preserve"> </w:t>
      </w:r>
      <w:r w:rsidR="00F3396B" w:rsidRPr="006B5D9C">
        <w:rPr>
          <w:rStyle w:val="Hyperlink"/>
        </w:rPr>
        <w:t xml:space="preserve">Provider Actions – Recording Participants </w:t>
      </w:r>
      <w:r w:rsidR="00F3396B">
        <w:rPr>
          <w:rStyle w:val="Hyperlink"/>
        </w:rPr>
        <w:t>as</w:t>
      </w:r>
      <w:r w:rsidR="00F3396B" w:rsidRPr="006B5D9C">
        <w:rPr>
          <w:rStyle w:val="Hyperlink"/>
        </w:rPr>
        <w:t xml:space="preserve"> Fully Meeting Mutual Obligations [LINK]</w:t>
      </w:r>
      <w:r w:rsidR="00F3396B">
        <w:t xml:space="preserve"> supporting document referred to in </w:t>
      </w:r>
      <w:r w:rsidR="00F3396B">
        <w:fldChar w:fldCharType="begin"/>
      </w:r>
      <w:r w:rsidR="00F3396B">
        <w:instrText xml:space="preserve"> REF _Ref202783027 \h </w:instrText>
      </w:r>
      <w:r w:rsidR="00F3396B">
        <w:fldChar w:fldCharType="separate"/>
      </w:r>
      <w:r w:rsidR="000D75AE" w:rsidRPr="00BA23D8">
        <w:t>Chapter 5</w:t>
      </w:r>
      <w:r w:rsidR="000D75AE">
        <w:t>:</w:t>
      </w:r>
      <w:r w:rsidR="002F7169">
        <w:t xml:space="preserve"> </w:t>
      </w:r>
      <w:r w:rsidR="000D75AE" w:rsidRPr="00BA23D8">
        <w:t>Participation requirements</w:t>
      </w:r>
      <w:r w:rsidR="00F3396B">
        <w:fldChar w:fldCharType="end"/>
      </w:r>
      <w:r w:rsidR="00F3396B">
        <w:t>.</w:t>
      </w:r>
    </w:p>
    <w:p w14:paraId="7FB83A23" w14:textId="483D3158" w:rsidR="00945070" w:rsidRDefault="00945070" w:rsidP="00945070">
      <w:pPr>
        <w:rPr>
          <w:rFonts w:ascii="Tahoma" w:eastAsia="Tahoma" w:hAnsi="Tahoma" w:cs="Tahoma"/>
          <w:color w:val="000000" w:themeColor="text1"/>
        </w:rPr>
      </w:pPr>
      <w:r>
        <w:rPr>
          <w:rFonts w:ascii="Tahoma" w:eastAsia="Tahoma" w:hAnsi="Tahoma" w:cs="Tahoma"/>
          <w:color w:val="000000" w:themeColor="text1"/>
        </w:rPr>
        <w:t xml:space="preserve">If a Participant has a Detailed Job Plan, </w:t>
      </w:r>
      <w:r w:rsidRPr="111F7F31">
        <w:rPr>
          <w:rFonts w:ascii="Tahoma" w:eastAsia="Tahoma" w:hAnsi="Tahoma" w:cs="Tahoma"/>
          <w:color w:val="000000" w:themeColor="text1"/>
        </w:rPr>
        <w:t xml:space="preserve">Providers must update </w:t>
      </w:r>
      <w:r>
        <w:rPr>
          <w:rFonts w:ascii="Tahoma" w:eastAsia="Tahoma" w:hAnsi="Tahoma" w:cs="Tahoma"/>
          <w:color w:val="000000" w:themeColor="text1"/>
        </w:rPr>
        <w:t>the</w:t>
      </w:r>
      <w:r w:rsidRPr="111F7F31">
        <w:rPr>
          <w:rFonts w:ascii="Tahoma" w:eastAsia="Tahoma" w:hAnsi="Tahoma" w:cs="Tahoma"/>
          <w:color w:val="000000" w:themeColor="text1"/>
        </w:rPr>
        <w:t xml:space="preserve"> </w:t>
      </w:r>
      <w:r>
        <w:rPr>
          <w:rFonts w:ascii="Tahoma" w:eastAsia="Tahoma" w:hAnsi="Tahoma" w:cs="Tahoma"/>
          <w:color w:val="000000" w:themeColor="text1"/>
        </w:rPr>
        <w:t>P</w:t>
      </w:r>
      <w:r w:rsidRPr="111F7F31">
        <w:rPr>
          <w:rFonts w:ascii="Tahoma" w:eastAsia="Tahoma" w:hAnsi="Tahoma" w:cs="Tahoma"/>
          <w:color w:val="000000" w:themeColor="text1"/>
        </w:rPr>
        <w:t xml:space="preserve">articipant’s Job Plan to include </w:t>
      </w:r>
      <w:r>
        <w:rPr>
          <w:rFonts w:ascii="Tahoma" w:eastAsia="Tahoma" w:hAnsi="Tahoma" w:cs="Tahoma"/>
          <w:color w:val="000000" w:themeColor="text1"/>
        </w:rPr>
        <w:t>Code EM56</w:t>
      </w:r>
      <w:r w:rsidRPr="111F7F31">
        <w:rPr>
          <w:rFonts w:ascii="Tahoma" w:eastAsia="Tahoma" w:hAnsi="Tahoma" w:cs="Tahoma"/>
          <w:color w:val="000000" w:themeColor="text1"/>
        </w:rPr>
        <w:t xml:space="preserve"> </w:t>
      </w:r>
      <w:r>
        <w:rPr>
          <w:rFonts w:ascii="Tahoma" w:eastAsia="Tahoma" w:hAnsi="Tahoma" w:cs="Tahoma"/>
          <w:color w:val="000000" w:themeColor="text1"/>
        </w:rPr>
        <w:t>[Paid Work], EM54 [S</w:t>
      </w:r>
      <w:r w:rsidRPr="111F7F31">
        <w:rPr>
          <w:rFonts w:ascii="Tahoma" w:eastAsia="Tahoma" w:hAnsi="Tahoma" w:cs="Tahoma"/>
          <w:color w:val="000000" w:themeColor="text1"/>
        </w:rPr>
        <w:t>elf</w:t>
      </w:r>
      <w:r>
        <w:rPr>
          <w:rFonts w:ascii="Tahoma" w:eastAsia="Tahoma" w:hAnsi="Tahoma" w:cs="Tahoma"/>
          <w:color w:val="000000" w:themeColor="text1"/>
        </w:rPr>
        <w:t>-E</w:t>
      </w:r>
      <w:r w:rsidRPr="111F7F31">
        <w:rPr>
          <w:rFonts w:ascii="Tahoma" w:eastAsia="Tahoma" w:hAnsi="Tahoma" w:cs="Tahoma"/>
          <w:color w:val="000000" w:themeColor="text1"/>
        </w:rPr>
        <w:t>mployment</w:t>
      </w:r>
      <w:r>
        <w:rPr>
          <w:rFonts w:ascii="Tahoma" w:eastAsia="Tahoma" w:hAnsi="Tahoma" w:cs="Tahoma"/>
          <w:color w:val="000000" w:themeColor="text1"/>
        </w:rPr>
        <w:t>] or ET53 [Apprenticeship/Traineeship]</w:t>
      </w:r>
      <w:r w:rsidR="003E0E99">
        <w:rPr>
          <w:rFonts w:ascii="Tahoma" w:eastAsia="Tahoma" w:hAnsi="Tahoma" w:cs="Tahoma"/>
          <w:color w:val="000000" w:themeColor="text1"/>
        </w:rPr>
        <w:t xml:space="preserve"> as </w:t>
      </w:r>
      <w:r w:rsidR="00655990">
        <w:rPr>
          <w:rFonts w:ascii="Tahoma" w:eastAsia="Tahoma" w:hAnsi="Tahoma" w:cs="Tahoma"/>
          <w:color w:val="000000" w:themeColor="text1"/>
        </w:rPr>
        <w:t>either a compulsory or voluntary requirement</w:t>
      </w:r>
      <w:r w:rsidRPr="111F7F31">
        <w:rPr>
          <w:rFonts w:ascii="Tahoma" w:eastAsia="Tahoma" w:hAnsi="Tahoma" w:cs="Tahoma"/>
          <w:color w:val="000000" w:themeColor="text1"/>
        </w:rPr>
        <w:t>.</w:t>
      </w:r>
      <w:r w:rsidR="00655990">
        <w:rPr>
          <w:rFonts w:ascii="Tahoma" w:eastAsia="Tahoma" w:hAnsi="Tahoma" w:cs="Tahoma"/>
          <w:color w:val="000000" w:themeColor="text1"/>
        </w:rPr>
        <w:t xml:space="preserve"> If the </w:t>
      </w:r>
      <w:r w:rsidR="00A326E5">
        <w:rPr>
          <w:rFonts w:ascii="Tahoma" w:eastAsia="Tahoma" w:hAnsi="Tahoma" w:cs="Tahoma"/>
          <w:color w:val="000000" w:themeColor="text1"/>
        </w:rPr>
        <w:t>Job Placement</w:t>
      </w:r>
      <w:r w:rsidR="002D59CD">
        <w:rPr>
          <w:rFonts w:ascii="Tahoma" w:eastAsia="Tahoma" w:hAnsi="Tahoma" w:cs="Tahoma"/>
          <w:color w:val="000000" w:themeColor="text1"/>
        </w:rPr>
        <w:t xml:space="preserve"> is </w:t>
      </w:r>
      <w:r w:rsidR="00CF0E38">
        <w:rPr>
          <w:rFonts w:ascii="Tahoma" w:eastAsia="Tahoma" w:hAnsi="Tahoma" w:cs="Tahoma"/>
          <w:color w:val="000000" w:themeColor="text1"/>
        </w:rPr>
        <w:t xml:space="preserve">later </w:t>
      </w:r>
      <w:r w:rsidR="002D59CD">
        <w:rPr>
          <w:rFonts w:ascii="Tahoma" w:eastAsia="Tahoma" w:hAnsi="Tahoma" w:cs="Tahoma"/>
          <w:color w:val="000000" w:themeColor="text1"/>
        </w:rPr>
        <w:t xml:space="preserve">anchored to </w:t>
      </w:r>
      <w:r w:rsidR="0035731F">
        <w:rPr>
          <w:rFonts w:ascii="Tahoma" w:eastAsia="Tahoma" w:hAnsi="Tahoma" w:cs="Tahoma"/>
          <w:color w:val="000000" w:themeColor="text1"/>
        </w:rPr>
        <w:t>an</w:t>
      </w:r>
      <w:r w:rsidR="00CF0E38">
        <w:rPr>
          <w:rFonts w:ascii="Tahoma" w:eastAsia="Tahoma" w:hAnsi="Tahoma" w:cs="Tahoma"/>
          <w:color w:val="000000" w:themeColor="text1"/>
        </w:rPr>
        <w:t xml:space="preserve"> Employment</w:t>
      </w:r>
      <w:r w:rsidR="0035731F">
        <w:rPr>
          <w:rFonts w:ascii="Tahoma" w:eastAsia="Tahoma" w:hAnsi="Tahoma" w:cs="Tahoma"/>
          <w:color w:val="000000" w:themeColor="text1"/>
        </w:rPr>
        <w:t xml:space="preserve"> Outcome, </w:t>
      </w:r>
      <w:r w:rsidR="00CF0E38">
        <w:rPr>
          <w:rFonts w:ascii="Tahoma" w:eastAsia="Tahoma" w:hAnsi="Tahoma" w:cs="Tahoma"/>
          <w:color w:val="000000" w:themeColor="text1"/>
        </w:rPr>
        <w:t>the Provider must amend the Detailed Job Plan for a</w:t>
      </w:r>
      <w:r w:rsidR="0035731F">
        <w:rPr>
          <w:rFonts w:ascii="Tahoma" w:eastAsia="Tahoma" w:hAnsi="Tahoma" w:cs="Tahoma"/>
          <w:color w:val="000000" w:themeColor="text1"/>
        </w:rPr>
        <w:t xml:space="preserve"> Participant</w:t>
      </w:r>
      <w:r w:rsidR="007A09D7">
        <w:rPr>
          <w:rFonts w:ascii="Tahoma" w:eastAsia="Tahoma" w:hAnsi="Tahoma" w:cs="Tahoma"/>
          <w:color w:val="000000" w:themeColor="text1"/>
        </w:rPr>
        <w:t xml:space="preserve"> (Mutual Obligation)</w:t>
      </w:r>
      <w:r w:rsidR="00CF0E38">
        <w:rPr>
          <w:rFonts w:ascii="Tahoma" w:eastAsia="Tahoma" w:hAnsi="Tahoma" w:cs="Tahoma"/>
          <w:color w:val="000000" w:themeColor="text1"/>
        </w:rPr>
        <w:t xml:space="preserve"> </w:t>
      </w:r>
      <w:r w:rsidR="0035731F">
        <w:rPr>
          <w:rFonts w:ascii="Tahoma" w:eastAsia="Tahoma" w:hAnsi="Tahoma" w:cs="Tahoma"/>
          <w:color w:val="000000" w:themeColor="text1"/>
        </w:rPr>
        <w:t xml:space="preserve">to ensure that </w:t>
      </w:r>
      <w:r w:rsidR="00C07ACA">
        <w:rPr>
          <w:rFonts w:ascii="Tahoma" w:eastAsia="Tahoma" w:hAnsi="Tahoma" w:cs="Tahoma"/>
          <w:color w:val="000000" w:themeColor="text1"/>
        </w:rPr>
        <w:t>the Employment captured through</w:t>
      </w:r>
      <w:r w:rsidR="0035731F">
        <w:rPr>
          <w:rFonts w:ascii="Tahoma" w:eastAsia="Tahoma" w:hAnsi="Tahoma" w:cs="Tahoma"/>
          <w:color w:val="000000" w:themeColor="text1"/>
        </w:rPr>
        <w:t xml:space="preserve"> Code EM56</w:t>
      </w:r>
      <w:r w:rsidR="0035731F" w:rsidRPr="111F7F31">
        <w:rPr>
          <w:rFonts w:ascii="Tahoma" w:eastAsia="Tahoma" w:hAnsi="Tahoma" w:cs="Tahoma"/>
          <w:color w:val="000000" w:themeColor="text1"/>
        </w:rPr>
        <w:t xml:space="preserve"> </w:t>
      </w:r>
      <w:r w:rsidR="0035731F">
        <w:rPr>
          <w:rFonts w:ascii="Tahoma" w:eastAsia="Tahoma" w:hAnsi="Tahoma" w:cs="Tahoma"/>
          <w:color w:val="000000" w:themeColor="text1"/>
        </w:rPr>
        <w:t>[Paid Work], EM54 [S</w:t>
      </w:r>
      <w:r w:rsidR="0035731F" w:rsidRPr="111F7F31">
        <w:rPr>
          <w:rFonts w:ascii="Tahoma" w:eastAsia="Tahoma" w:hAnsi="Tahoma" w:cs="Tahoma"/>
          <w:color w:val="000000" w:themeColor="text1"/>
        </w:rPr>
        <w:t>elf</w:t>
      </w:r>
      <w:r w:rsidR="0035731F">
        <w:rPr>
          <w:rFonts w:ascii="Tahoma" w:eastAsia="Tahoma" w:hAnsi="Tahoma" w:cs="Tahoma"/>
          <w:color w:val="000000" w:themeColor="text1"/>
        </w:rPr>
        <w:t>-E</w:t>
      </w:r>
      <w:r w:rsidR="0035731F" w:rsidRPr="111F7F31">
        <w:rPr>
          <w:rFonts w:ascii="Tahoma" w:eastAsia="Tahoma" w:hAnsi="Tahoma" w:cs="Tahoma"/>
          <w:color w:val="000000" w:themeColor="text1"/>
        </w:rPr>
        <w:t>mployment</w:t>
      </w:r>
      <w:r w:rsidR="0035731F">
        <w:rPr>
          <w:rFonts w:ascii="Tahoma" w:eastAsia="Tahoma" w:hAnsi="Tahoma" w:cs="Tahoma"/>
          <w:color w:val="000000" w:themeColor="text1"/>
        </w:rPr>
        <w:t>] or ET53 [Apprenticeship/Traineeship] as a compulsory requirement.</w:t>
      </w:r>
    </w:p>
    <w:p w14:paraId="0D0EB6FC" w14:textId="4A780BBE" w:rsidR="00065086" w:rsidRDefault="00065086" w:rsidP="006E2EF5">
      <w:pPr>
        <w:rPr>
          <w:rFonts w:ascii="Tahoma" w:eastAsia="Tahoma" w:hAnsi="Tahoma" w:cs="Tahoma"/>
          <w:color w:val="000000" w:themeColor="text1"/>
        </w:rPr>
      </w:pPr>
      <w:r>
        <w:rPr>
          <w:rFonts w:ascii="Tahoma" w:eastAsia="Tahoma" w:hAnsi="Tahoma" w:cs="Tahoma"/>
          <w:color w:val="000000" w:themeColor="text1"/>
        </w:rPr>
        <w:t xml:space="preserve">During the Job Placement, Providers must </w:t>
      </w:r>
      <w:r w:rsidR="00D83F1D">
        <w:rPr>
          <w:rFonts w:ascii="Tahoma" w:eastAsia="Tahoma" w:hAnsi="Tahoma" w:cs="Tahoma"/>
          <w:color w:val="000000" w:themeColor="text1"/>
        </w:rPr>
        <w:t>record</w:t>
      </w:r>
      <w:r>
        <w:rPr>
          <w:rFonts w:ascii="Tahoma" w:eastAsia="Tahoma" w:hAnsi="Tahoma" w:cs="Tahoma"/>
          <w:color w:val="000000" w:themeColor="text1"/>
        </w:rPr>
        <w:t xml:space="preserve"> the Pa</w:t>
      </w:r>
      <w:r w:rsidR="00B55942">
        <w:rPr>
          <w:rFonts w:ascii="Tahoma" w:eastAsia="Tahoma" w:hAnsi="Tahoma" w:cs="Tahoma"/>
          <w:color w:val="000000" w:themeColor="text1"/>
        </w:rPr>
        <w:t xml:space="preserve">rticipant’s hours of Employment </w:t>
      </w:r>
      <w:r w:rsidR="00D83F1D">
        <w:rPr>
          <w:rFonts w:ascii="Tahoma" w:eastAsia="Tahoma" w:hAnsi="Tahoma" w:cs="Tahoma"/>
          <w:color w:val="000000" w:themeColor="text1"/>
        </w:rPr>
        <w:t xml:space="preserve">as a </w:t>
      </w:r>
      <w:r w:rsidR="00B55942">
        <w:rPr>
          <w:rFonts w:ascii="Tahoma" w:eastAsia="Tahoma" w:hAnsi="Tahoma" w:cs="Tahoma"/>
          <w:color w:val="000000" w:themeColor="text1"/>
        </w:rPr>
        <w:t xml:space="preserve">Personal Event — refer to </w:t>
      </w:r>
      <w:r w:rsidR="003B2E77">
        <w:rPr>
          <w:rFonts w:ascii="Tahoma" w:eastAsia="Tahoma" w:hAnsi="Tahoma" w:cs="Tahoma"/>
          <w:color w:val="000000" w:themeColor="text1"/>
        </w:rPr>
        <w:fldChar w:fldCharType="begin"/>
      </w:r>
      <w:r w:rsidR="003B2E77">
        <w:rPr>
          <w:rFonts w:ascii="Tahoma" w:eastAsia="Tahoma" w:hAnsi="Tahoma" w:cs="Tahoma"/>
          <w:color w:val="000000" w:themeColor="text1"/>
        </w:rPr>
        <w:instrText xml:space="preserve"> REF _Ref202784778 \h </w:instrText>
      </w:r>
      <w:r w:rsidR="003B2E77">
        <w:rPr>
          <w:rFonts w:ascii="Tahoma" w:eastAsia="Tahoma" w:hAnsi="Tahoma" w:cs="Tahoma"/>
          <w:color w:val="000000" w:themeColor="text1"/>
        </w:rPr>
      </w:r>
      <w:r w:rsidR="003B2E77">
        <w:rPr>
          <w:rFonts w:ascii="Tahoma" w:eastAsia="Tahoma" w:hAnsi="Tahoma" w:cs="Tahoma"/>
          <w:color w:val="000000" w:themeColor="text1"/>
        </w:rPr>
        <w:fldChar w:fldCharType="separate"/>
      </w:r>
      <w:r w:rsidR="003B2E77" w:rsidRPr="652192F6">
        <w:t>5.3.4</w:t>
      </w:r>
      <w:r w:rsidR="003B2E77">
        <w:t xml:space="preserve"> </w:t>
      </w:r>
      <w:r w:rsidR="003B2E77" w:rsidRPr="652192F6">
        <w:t>Capturing Personal Events</w:t>
      </w:r>
      <w:r w:rsidR="003B2E77">
        <w:rPr>
          <w:rFonts w:ascii="Tahoma" w:eastAsia="Tahoma" w:hAnsi="Tahoma" w:cs="Tahoma"/>
          <w:color w:val="000000" w:themeColor="text1"/>
        </w:rPr>
        <w:fldChar w:fldCharType="end"/>
      </w:r>
      <w:r w:rsidR="00F079D7">
        <w:rPr>
          <w:rFonts w:ascii="Tahoma" w:eastAsia="Tahoma" w:hAnsi="Tahoma" w:cs="Tahoma"/>
          <w:color w:val="000000" w:themeColor="text1"/>
        </w:rPr>
        <w:fldChar w:fldCharType="begin"/>
      </w:r>
      <w:r w:rsidR="00F079D7">
        <w:rPr>
          <w:rFonts w:ascii="Tahoma" w:eastAsia="Tahoma" w:hAnsi="Tahoma" w:cs="Tahoma"/>
          <w:color w:val="000000" w:themeColor="text1"/>
        </w:rPr>
        <w:instrText xml:space="preserve"> REF _Ref202784778 \h </w:instrText>
      </w:r>
      <w:r w:rsidR="00F079D7">
        <w:rPr>
          <w:rFonts w:ascii="Tahoma" w:eastAsia="Tahoma" w:hAnsi="Tahoma" w:cs="Tahoma"/>
          <w:color w:val="000000" w:themeColor="text1"/>
        </w:rPr>
      </w:r>
      <w:r w:rsidR="00F079D7">
        <w:rPr>
          <w:rFonts w:ascii="Tahoma" w:eastAsia="Tahoma" w:hAnsi="Tahoma" w:cs="Tahoma"/>
          <w:color w:val="000000" w:themeColor="text1"/>
        </w:rPr>
        <w:fldChar w:fldCharType="separate"/>
      </w:r>
      <w:r w:rsidR="00F079D7">
        <w:rPr>
          <w:rFonts w:ascii="Tahoma" w:eastAsia="Tahoma" w:hAnsi="Tahoma" w:cs="Tahoma"/>
          <w:color w:val="000000" w:themeColor="text1"/>
        </w:rPr>
        <w:fldChar w:fldCharType="end"/>
      </w:r>
      <w:r w:rsidR="00E6500F">
        <w:rPr>
          <w:rFonts w:ascii="Tahoma" w:eastAsia="Tahoma" w:hAnsi="Tahoma" w:cs="Tahoma"/>
          <w:color w:val="000000" w:themeColor="text1"/>
        </w:rPr>
        <w:t>.</w:t>
      </w:r>
    </w:p>
    <w:p w14:paraId="1AA38BDE" w14:textId="72572642" w:rsidR="005A35F3" w:rsidRDefault="005A35F3" w:rsidP="005A35F3">
      <w:pPr>
        <w:rPr>
          <w:rFonts w:ascii="Tahoma" w:eastAsia="Tahoma" w:hAnsi="Tahoma" w:cs="Tahoma"/>
          <w:color w:val="000000" w:themeColor="text1"/>
        </w:rPr>
      </w:pPr>
      <w:r w:rsidRPr="25BC4409">
        <w:rPr>
          <w:rFonts w:ascii="Tahoma" w:eastAsia="Tahoma" w:hAnsi="Tahoma" w:cs="Tahoma"/>
          <w:color w:val="000000" w:themeColor="text1"/>
        </w:rPr>
        <w:t xml:space="preserve">Providers </w:t>
      </w:r>
      <w:r w:rsidR="002F4E8D">
        <w:rPr>
          <w:rFonts w:ascii="Tahoma" w:eastAsia="Tahoma" w:hAnsi="Tahoma" w:cs="Tahoma"/>
          <w:color w:val="000000" w:themeColor="text1"/>
        </w:rPr>
        <w:t>should consider whether a Participant who is undertaking a paid employment placement that is not progressing towards and Outcomes should be supported in the Flexible Service</w:t>
      </w:r>
      <w:r w:rsidRPr="25BC4409">
        <w:rPr>
          <w:rFonts w:ascii="Tahoma" w:eastAsia="Tahoma" w:hAnsi="Tahoma" w:cs="Tahoma"/>
          <w:color w:val="000000" w:themeColor="text1"/>
        </w:rPr>
        <w:t>.</w:t>
      </w:r>
    </w:p>
    <w:p w14:paraId="0FECFA61" w14:textId="52C41402" w:rsidR="002F4E8D" w:rsidRDefault="00D1696B" w:rsidP="006E2EF5">
      <w:r>
        <w:t>When</w:t>
      </w:r>
      <w:r w:rsidR="008A5850">
        <w:t xml:space="preserve"> a Participant’s Employment ends, the Provider must</w:t>
      </w:r>
      <w:r w:rsidR="003974FB">
        <w:t xml:space="preserve"> undertake the </w:t>
      </w:r>
      <w:r w:rsidR="008A5850">
        <w:t>Re</w:t>
      </w:r>
      <w:r w:rsidR="008A5850">
        <w:noBreakHyphen/>
        <w:t xml:space="preserve">engagement </w:t>
      </w:r>
      <w:r w:rsidR="003974FB">
        <w:t xml:space="preserve">process </w:t>
      </w:r>
      <w:r w:rsidR="008A5850">
        <w:t>with the Participant</w:t>
      </w:r>
      <w:r w:rsidR="003974FB">
        <w:t xml:space="preserve">. </w:t>
      </w:r>
      <w:r w:rsidR="002F4E8D">
        <w:t>This means</w:t>
      </w:r>
      <w:r w:rsidR="00FF0027">
        <w:t xml:space="preserve"> the Provider must</w:t>
      </w:r>
      <w:r w:rsidR="002F4E8D">
        <w:t>:</w:t>
      </w:r>
    </w:p>
    <w:p w14:paraId="351879F4" w14:textId="0E7A5CF6" w:rsidR="002F4E8D" w:rsidRPr="00FF0027" w:rsidRDefault="00FF0027" w:rsidP="00FF0027">
      <w:pPr>
        <w:pStyle w:val="BulletLevel1"/>
      </w:pPr>
      <w:r>
        <w:t xml:space="preserve">conduct </w:t>
      </w:r>
      <w:r w:rsidR="002F4E8D">
        <w:t>t</w:t>
      </w:r>
      <w:r w:rsidR="00716DB1">
        <w:t>he first Contact Appointment following Re-engagement face-to-face</w:t>
      </w:r>
      <w:r w:rsidR="00E00D47">
        <w:t xml:space="preserve"> (unless </w:t>
      </w:r>
      <w:r w:rsidR="002F4E8D">
        <w:t>this</w:t>
      </w:r>
      <w:r w:rsidR="00ED1AA9">
        <w:t xml:space="preserve"> would be </w:t>
      </w:r>
      <w:r w:rsidR="00E00D47">
        <w:t>unreasonable</w:t>
      </w:r>
      <w:r w:rsidR="00ED1AA9">
        <w:t>)</w:t>
      </w:r>
    </w:p>
    <w:p w14:paraId="54449761" w14:textId="5D9A9CE7" w:rsidR="00FF0027" w:rsidRPr="00FF0027" w:rsidRDefault="007E5870" w:rsidP="00FF0027">
      <w:pPr>
        <w:pStyle w:val="BulletLevel1"/>
      </w:pPr>
      <w:r>
        <w:t>determin</w:t>
      </w:r>
      <w:r w:rsidR="00FF0027">
        <w:t>e</w:t>
      </w:r>
      <w:r>
        <w:t xml:space="preserve"> the appropriate service offer</w:t>
      </w:r>
      <w:r w:rsidR="00081E5C">
        <w:t xml:space="preserve"> </w:t>
      </w:r>
      <w:r w:rsidR="00B04101">
        <w:t xml:space="preserve">if the Participant was receiving the Flexible Service, </w:t>
      </w:r>
      <w:r w:rsidR="00081E5C">
        <w:t xml:space="preserve">and </w:t>
      </w:r>
    </w:p>
    <w:p w14:paraId="09956F8F" w14:textId="655DDEEA" w:rsidR="008A5850" w:rsidRPr="00FF0027" w:rsidRDefault="00081E5C" w:rsidP="00FF0027">
      <w:pPr>
        <w:pStyle w:val="BulletLevel1"/>
      </w:pPr>
      <w:r>
        <w:t>ensur</w:t>
      </w:r>
      <w:r w:rsidR="00FF0027">
        <w:t>e</w:t>
      </w:r>
      <w:r>
        <w:t xml:space="preserve"> the</w:t>
      </w:r>
      <w:r w:rsidR="00B04101">
        <w:t xml:space="preserve"> Participant</w:t>
      </w:r>
      <w:r>
        <w:t xml:space="preserve"> understand</w:t>
      </w:r>
      <w:r w:rsidR="00B04101">
        <w:t>s</w:t>
      </w:r>
      <w:r>
        <w:t xml:space="preserve"> their participation requirements now that they are no longer in paid Employment.</w:t>
      </w:r>
    </w:p>
    <w:p w14:paraId="0E4D36E7" w14:textId="70B78559" w:rsidR="00D74559" w:rsidRPr="00A24600" w:rsidRDefault="00D74559" w:rsidP="006F727E">
      <w:pPr>
        <w:pStyle w:val="SystemStep"/>
        <w:rPr>
          <w:lang w:val="en-GB"/>
        </w:rPr>
      </w:pPr>
      <w:r>
        <w:t xml:space="preserve">If a Participant’s Employment ends, and the Participant is not Exited, a </w:t>
      </w:r>
      <w:r w:rsidR="009F5C3D">
        <w:t xml:space="preserve">voluntary </w:t>
      </w:r>
      <w:r w:rsidR="00F434B8">
        <w:t xml:space="preserve">face-to-face </w:t>
      </w:r>
      <w:r w:rsidR="008A5850">
        <w:t>Contact</w:t>
      </w:r>
      <w:r>
        <w:t xml:space="preserve"> Appointment should be entered into the Participant’s Electronic Calendar.</w:t>
      </w:r>
    </w:p>
    <w:p w14:paraId="433FE355" w14:textId="1D733AAF" w:rsidR="00D74559" w:rsidRPr="00002B37" w:rsidRDefault="00D74559" w:rsidP="001D0F92">
      <w:pPr>
        <w:pStyle w:val="Heading4"/>
        <w:rPr>
          <w:rFonts w:ascii="Tahoma" w:eastAsia="Tahoma" w:hAnsi="Tahoma" w:cs="Tahoma"/>
        </w:rPr>
      </w:pPr>
      <w:bookmarkStart w:id="317" w:name="_Ref202788434"/>
      <w:bookmarkStart w:id="318" w:name="_Ref202790268"/>
      <w:bookmarkStart w:id="319" w:name="_Ref202791373"/>
      <w:bookmarkStart w:id="320" w:name="_Toc202900012"/>
      <w:r>
        <w:t>7.7.2</w:t>
      </w:r>
      <w:r w:rsidR="006477F6">
        <w:tab/>
      </w:r>
      <w:r w:rsidRPr="21E3D223">
        <w:t>Education and Training</w:t>
      </w:r>
      <w:bookmarkEnd w:id="317"/>
      <w:bookmarkEnd w:id="318"/>
      <w:bookmarkEnd w:id="319"/>
      <w:bookmarkEnd w:id="320"/>
    </w:p>
    <w:p w14:paraId="0500FC30" w14:textId="31AE08BB" w:rsidR="00D74559" w:rsidRPr="00FB7CD7" w:rsidRDefault="00D74559" w:rsidP="006E2EF5">
      <w:pPr>
        <w:rPr>
          <w:rFonts w:ascii="Tahoma" w:eastAsia="Tahoma" w:hAnsi="Tahoma" w:cs="Tahoma"/>
          <w:color w:val="000000" w:themeColor="text1"/>
        </w:rPr>
      </w:pPr>
      <w:r w:rsidRPr="218C526D">
        <w:rPr>
          <w:rFonts w:ascii="Tahoma" w:eastAsia="Tahoma" w:hAnsi="Tahoma" w:cs="Tahoma"/>
          <w:color w:val="000000" w:themeColor="text1"/>
        </w:rPr>
        <w:t xml:space="preserve">A secondary objective of </w:t>
      </w:r>
      <w:r w:rsidR="00353F8E">
        <w:rPr>
          <w:rFonts w:ascii="Tahoma" w:eastAsia="Tahoma" w:hAnsi="Tahoma" w:cs="Tahoma"/>
          <w:color w:val="000000" w:themeColor="text1"/>
        </w:rPr>
        <w:t>Inclusive Employment Australia</w:t>
      </w:r>
      <w:r w:rsidRPr="218C526D">
        <w:rPr>
          <w:rFonts w:ascii="Tahoma" w:eastAsia="Tahoma" w:hAnsi="Tahoma" w:cs="Tahoma"/>
          <w:color w:val="000000" w:themeColor="text1"/>
        </w:rPr>
        <w:t xml:space="preserve"> is to support education that improves a Participant’s employment opportunities.</w:t>
      </w:r>
      <w:r w:rsidR="0030028C">
        <w:rPr>
          <w:rFonts w:ascii="Tahoma" w:eastAsia="Tahoma" w:hAnsi="Tahoma" w:cs="Tahoma"/>
          <w:color w:val="000000" w:themeColor="text1"/>
        </w:rPr>
        <w:t xml:space="preserve"> </w:t>
      </w:r>
    </w:p>
    <w:p w14:paraId="55137F03" w14:textId="0D5D25DD" w:rsidR="00437E44" w:rsidRDefault="004B13C7" w:rsidP="006E2EF5">
      <w:pPr>
        <w:rPr>
          <w:rFonts w:ascii="Tahoma" w:eastAsia="Tahoma" w:hAnsi="Tahoma" w:cs="Tahoma"/>
          <w:color w:val="000000" w:themeColor="text1"/>
        </w:rPr>
      </w:pPr>
      <w:r>
        <w:rPr>
          <w:rFonts w:ascii="Tahoma" w:eastAsia="Tahoma" w:hAnsi="Tahoma" w:cs="Tahoma"/>
          <w:color w:val="000000" w:themeColor="text1"/>
        </w:rPr>
        <w:t>Providers should encourage</w:t>
      </w:r>
      <w:r w:rsidR="00D9256F">
        <w:rPr>
          <w:rFonts w:ascii="Tahoma" w:eastAsia="Tahoma" w:hAnsi="Tahoma" w:cs="Tahoma"/>
          <w:color w:val="000000" w:themeColor="text1"/>
        </w:rPr>
        <w:t xml:space="preserve"> Participants to build on their existing skill sets and help them to access suitable</w:t>
      </w:r>
      <w:r w:rsidR="000E1B5E">
        <w:rPr>
          <w:rFonts w:ascii="Tahoma" w:eastAsia="Tahoma" w:hAnsi="Tahoma" w:cs="Tahoma"/>
          <w:color w:val="000000" w:themeColor="text1"/>
        </w:rPr>
        <w:t xml:space="preserve"> Education and Training opportunities that increase their ability to find work.</w:t>
      </w:r>
    </w:p>
    <w:p w14:paraId="3B4CA787" w14:textId="77777777" w:rsidR="003008C6" w:rsidRDefault="003008C6" w:rsidP="003008C6">
      <w:pPr>
        <w:pStyle w:val="SystemStep"/>
        <w:rPr>
          <w:lang w:val="en-GB"/>
        </w:rPr>
      </w:pPr>
      <w:r w:rsidRPr="00A24600">
        <w:rPr>
          <w:lang w:val="en-GB"/>
        </w:rPr>
        <w:t xml:space="preserve">The Provider must </w:t>
      </w:r>
      <w:r>
        <w:rPr>
          <w:lang w:val="en-GB"/>
        </w:rPr>
        <w:t>add the</w:t>
      </w:r>
      <w:r w:rsidRPr="21E3D223">
        <w:rPr>
          <w:lang w:val="en-GB"/>
        </w:rPr>
        <w:t xml:space="preserve"> Participant’s </w:t>
      </w:r>
      <w:r>
        <w:rPr>
          <w:lang w:val="en-GB"/>
        </w:rPr>
        <w:t xml:space="preserve">participation in </w:t>
      </w:r>
      <w:r w:rsidRPr="0E74708C">
        <w:rPr>
          <w:lang w:val="en-GB"/>
        </w:rPr>
        <w:t xml:space="preserve">Education </w:t>
      </w:r>
      <w:r>
        <w:rPr>
          <w:lang w:val="en-GB"/>
        </w:rPr>
        <w:t>and Training as an Activity</w:t>
      </w:r>
      <w:r w:rsidRPr="00A24600">
        <w:rPr>
          <w:lang w:val="en-GB"/>
        </w:rPr>
        <w:t xml:space="preserve"> in the Department’s IT </w:t>
      </w:r>
      <w:r>
        <w:rPr>
          <w:lang w:val="en-GB"/>
        </w:rPr>
        <w:t>S</w:t>
      </w:r>
      <w:r w:rsidRPr="00A24600">
        <w:rPr>
          <w:lang w:val="en-GB"/>
        </w:rPr>
        <w:t>ystem</w:t>
      </w:r>
      <w:r>
        <w:rPr>
          <w:lang w:val="en-GB"/>
        </w:rPr>
        <w:t>s</w:t>
      </w:r>
      <w:r w:rsidRPr="00A24600">
        <w:rPr>
          <w:lang w:val="en-GB"/>
        </w:rPr>
        <w:t>.</w:t>
      </w:r>
    </w:p>
    <w:p w14:paraId="13CA67C0" w14:textId="295DA601" w:rsidR="00EF59B1" w:rsidRPr="00EF59B1" w:rsidRDefault="00EF59B1" w:rsidP="006E2EF5">
      <w:pPr>
        <w:rPr>
          <w:rFonts w:ascii="Tahoma" w:eastAsia="Tahoma" w:hAnsi="Tahoma" w:cs="Tahoma"/>
          <w:color w:val="000000" w:themeColor="text1"/>
          <w:szCs w:val="22"/>
        </w:rPr>
      </w:pPr>
      <w:r>
        <w:rPr>
          <w:rFonts w:ascii="Tahoma" w:eastAsia="Tahoma" w:hAnsi="Tahoma" w:cs="Tahoma"/>
          <w:color w:val="000000" w:themeColor="text1"/>
          <w:szCs w:val="22"/>
        </w:rPr>
        <w:t>Early School Leavers</w:t>
      </w:r>
      <w:r w:rsidR="004C1B97">
        <w:rPr>
          <w:rFonts w:ascii="Tahoma" w:eastAsia="Tahoma" w:hAnsi="Tahoma" w:cs="Tahoma"/>
          <w:color w:val="000000" w:themeColor="text1"/>
          <w:szCs w:val="22"/>
        </w:rPr>
        <w:t xml:space="preserve"> </w:t>
      </w:r>
      <w:r>
        <w:rPr>
          <w:rFonts w:ascii="Tahoma" w:eastAsia="Tahoma" w:hAnsi="Tahoma" w:cs="Tahoma"/>
          <w:color w:val="000000" w:themeColor="text1"/>
          <w:szCs w:val="22"/>
        </w:rPr>
        <w:t xml:space="preserve">should be required to participate in Education and Training until they have achieved </w:t>
      </w:r>
      <w:r w:rsidR="005E7045">
        <w:rPr>
          <w:rFonts w:ascii="Tahoma" w:eastAsia="Tahoma" w:hAnsi="Tahoma" w:cs="Tahoma"/>
          <w:color w:val="000000" w:themeColor="text1"/>
          <w:szCs w:val="22"/>
        </w:rPr>
        <w:t>Y</w:t>
      </w:r>
      <w:r>
        <w:rPr>
          <w:rFonts w:ascii="Tahoma" w:eastAsia="Tahoma" w:hAnsi="Tahoma" w:cs="Tahoma"/>
          <w:color w:val="000000" w:themeColor="text1"/>
          <w:szCs w:val="22"/>
        </w:rPr>
        <w:t>ear 12 or an equivalent level qualification, unless they are already in other suitable Activities for 15 hours per week.</w:t>
      </w:r>
    </w:p>
    <w:p w14:paraId="48430D5A" w14:textId="4E2B7C95" w:rsidR="00DA193D" w:rsidRDefault="00BA1167" w:rsidP="006E2EF5">
      <w:pPr>
        <w:rPr>
          <w:rFonts w:ascii="Tahoma" w:eastAsia="Tahoma" w:hAnsi="Tahoma" w:cs="Tahoma"/>
          <w:color w:val="000000" w:themeColor="text1"/>
        </w:rPr>
      </w:pPr>
      <w:r w:rsidRPr="00F079D7">
        <w:rPr>
          <w:rFonts w:ascii="Tahoma" w:eastAsia="Tahoma" w:hAnsi="Tahoma" w:cs="Tahoma"/>
          <w:color w:val="000000" w:themeColor="text1"/>
        </w:rPr>
        <w:t>One way</w:t>
      </w:r>
      <w:r w:rsidR="00DB4ABB" w:rsidRPr="00F079D7">
        <w:rPr>
          <w:rFonts w:ascii="Tahoma" w:eastAsia="Tahoma" w:hAnsi="Tahoma" w:cs="Tahoma"/>
          <w:color w:val="000000" w:themeColor="text1"/>
        </w:rPr>
        <w:t xml:space="preserve"> for Providers and Participants</w:t>
      </w:r>
      <w:r w:rsidRPr="00F079D7">
        <w:rPr>
          <w:rFonts w:ascii="Tahoma" w:eastAsia="Tahoma" w:hAnsi="Tahoma" w:cs="Tahoma"/>
          <w:color w:val="000000" w:themeColor="text1"/>
        </w:rPr>
        <w:t xml:space="preserve"> to</w:t>
      </w:r>
      <w:r w:rsidR="00DA193D" w:rsidRPr="00F079D7">
        <w:rPr>
          <w:rFonts w:ascii="Tahoma" w:eastAsia="Tahoma" w:hAnsi="Tahoma" w:cs="Tahoma"/>
          <w:color w:val="000000" w:themeColor="text1"/>
        </w:rPr>
        <w:t xml:space="preserve"> </w:t>
      </w:r>
      <w:r w:rsidR="002363E3" w:rsidRPr="00F079D7">
        <w:rPr>
          <w:rFonts w:ascii="Tahoma" w:eastAsia="Tahoma" w:hAnsi="Tahoma" w:cs="Tahoma"/>
          <w:color w:val="000000" w:themeColor="text1"/>
        </w:rPr>
        <w:t xml:space="preserve">search for suitable courses is via the </w:t>
      </w:r>
      <w:hyperlink r:id="rId62" w:history="1">
        <w:r w:rsidR="00DA193D" w:rsidRPr="00F079D7">
          <w:rPr>
            <w:rStyle w:val="Hyperlink"/>
            <w:rFonts w:ascii="Tahoma" w:eastAsia="Tahoma" w:hAnsi="Tahoma" w:cs="Tahoma"/>
          </w:rPr>
          <w:t>Your Career</w:t>
        </w:r>
      </w:hyperlink>
      <w:r w:rsidR="00DA193D" w:rsidRPr="00F079D7">
        <w:rPr>
          <w:rFonts w:ascii="Tahoma" w:eastAsia="Tahoma" w:hAnsi="Tahoma" w:cs="Tahoma"/>
          <w:color w:val="000000" w:themeColor="text1"/>
        </w:rPr>
        <w:t xml:space="preserve"> website</w:t>
      </w:r>
      <w:r w:rsidR="00212B70" w:rsidRPr="00F079D7">
        <w:rPr>
          <w:rFonts w:ascii="Tahoma" w:eastAsia="Tahoma" w:hAnsi="Tahoma" w:cs="Tahoma"/>
          <w:color w:val="000000" w:themeColor="text1"/>
        </w:rPr>
        <w:t>.</w:t>
      </w:r>
    </w:p>
    <w:p w14:paraId="456D8858" w14:textId="7A675AA0" w:rsidR="002F7C3A" w:rsidRDefault="00BA0F90" w:rsidP="002F7C3A">
      <w:r>
        <w:t>A Participant (Mutual Obligation) may be able to Fully Meet their Mutual Obligation Requirements through approved study</w:t>
      </w:r>
      <w:r w:rsidR="002F7C3A">
        <w:t xml:space="preserve">. </w:t>
      </w:r>
      <w:r w:rsidR="002F7C3A" w:rsidRPr="00012206">
        <w:t>Providers</w:t>
      </w:r>
      <w:r w:rsidR="002F7C3A">
        <w:t xml:space="preserve"> should refer to the</w:t>
      </w:r>
      <w:r w:rsidR="002F7C3A" w:rsidRPr="00012206">
        <w:t xml:space="preserve"> </w:t>
      </w:r>
      <w:r w:rsidR="002F7C3A" w:rsidRPr="006B5D9C">
        <w:rPr>
          <w:rStyle w:val="Hyperlink"/>
        </w:rPr>
        <w:t xml:space="preserve">Provider Actions – Recording Participants </w:t>
      </w:r>
      <w:r w:rsidR="002F7C3A">
        <w:rPr>
          <w:rStyle w:val="Hyperlink"/>
        </w:rPr>
        <w:t>as</w:t>
      </w:r>
      <w:r w:rsidR="002F7C3A" w:rsidRPr="006B5D9C">
        <w:rPr>
          <w:rStyle w:val="Hyperlink"/>
        </w:rPr>
        <w:t xml:space="preserve"> Fully Meeting Mutual Obligations [LINK]</w:t>
      </w:r>
      <w:r w:rsidR="002F7C3A">
        <w:t xml:space="preserve"> supporting document referred to in </w:t>
      </w:r>
      <w:r w:rsidR="002F7C3A">
        <w:fldChar w:fldCharType="begin"/>
      </w:r>
      <w:r w:rsidR="002F7C3A">
        <w:instrText xml:space="preserve"> REF _Ref202783027 \h </w:instrText>
      </w:r>
      <w:r w:rsidR="002F7C3A">
        <w:fldChar w:fldCharType="separate"/>
      </w:r>
      <w:r w:rsidR="000D75AE" w:rsidRPr="00BA23D8">
        <w:t>Chapter 5</w:t>
      </w:r>
      <w:r w:rsidR="000D75AE">
        <w:t>:</w:t>
      </w:r>
      <w:r w:rsidR="003B2E77">
        <w:t xml:space="preserve"> </w:t>
      </w:r>
      <w:r w:rsidR="000D75AE" w:rsidRPr="00BA23D8">
        <w:t>Participation requirements</w:t>
      </w:r>
      <w:r w:rsidR="002F7C3A">
        <w:fldChar w:fldCharType="end"/>
      </w:r>
      <w:r w:rsidR="002F7C3A">
        <w:t>.</w:t>
      </w:r>
    </w:p>
    <w:p w14:paraId="208B4018" w14:textId="6BCA798F" w:rsidR="00C93264" w:rsidRDefault="00530F2F" w:rsidP="00402C49">
      <w:pPr>
        <w:keepLines/>
        <w:rPr>
          <w:rFonts w:ascii="Tahoma" w:eastAsia="Tahoma" w:hAnsi="Tahoma" w:cs="Tahoma"/>
          <w:color w:val="000000" w:themeColor="text1"/>
        </w:rPr>
      </w:pPr>
      <w:r>
        <w:rPr>
          <w:rFonts w:ascii="Tahoma" w:eastAsia="Tahoma" w:hAnsi="Tahoma" w:cs="Tahoma"/>
          <w:color w:val="000000" w:themeColor="text1"/>
        </w:rPr>
        <w:t xml:space="preserve">Participants can study any Fee-Free TAFE course or course </w:t>
      </w:r>
      <w:r w:rsidR="008D26AA">
        <w:rPr>
          <w:rFonts w:ascii="Tahoma" w:eastAsia="Tahoma" w:hAnsi="Tahoma" w:cs="Tahoma"/>
          <w:color w:val="000000" w:themeColor="text1"/>
        </w:rPr>
        <w:t>subsidised</w:t>
      </w:r>
      <w:r>
        <w:rPr>
          <w:rFonts w:ascii="Tahoma" w:eastAsia="Tahoma" w:hAnsi="Tahoma" w:cs="Tahoma"/>
          <w:color w:val="000000" w:themeColor="text1"/>
        </w:rPr>
        <w:t xml:space="preserve"> by </w:t>
      </w:r>
      <w:r w:rsidR="008D26AA">
        <w:rPr>
          <w:rFonts w:ascii="Tahoma" w:eastAsia="Tahoma" w:hAnsi="Tahoma" w:cs="Tahoma"/>
          <w:color w:val="000000" w:themeColor="text1"/>
        </w:rPr>
        <w:t xml:space="preserve">a </w:t>
      </w:r>
      <w:r w:rsidR="00724FA0">
        <w:rPr>
          <w:rFonts w:ascii="Tahoma" w:eastAsia="Tahoma" w:hAnsi="Tahoma" w:cs="Tahoma"/>
          <w:color w:val="000000" w:themeColor="text1"/>
        </w:rPr>
        <w:t>S</w:t>
      </w:r>
      <w:r w:rsidR="008D26AA">
        <w:rPr>
          <w:rFonts w:ascii="Tahoma" w:eastAsia="Tahoma" w:hAnsi="Tahoma" w:cs="Tahoma"/>
          <w:color w:val="000000" w:themeColor="text1"/>
        </w:rPr>
        <w:t xml:space="preserve">tate or </w:t>
      </w:r>
      <w:r w:rsidR="00724FA0">
        <w:rPr>
          <w:rFonts w:ascii="Tahoma" w:eastAsia="Tahoma" w:hAnsi="Tahoma" w:cs="Tahoma"/>
          <w:color w:val="000000" w:themeColor="text1"/>
        </w:rPr>
        <w:t>T</w:t>
      </w:r>
      <w:r w:rsidR="008D26AA">
        <w:rPr>
          <w:rFonts w:ascii="Tahoma" w:eastAsia="Tahoma" w:hAnsi="Tahoma" w:cs="Tahoma"/>
          <w:color w:val="000000" w:themeColor="text1"/>
        </w:rPr>
        <w:t xml:space="preserve">erritory </w:t>
      </w:r>
      <w:r w:rsidR="00724FA0">
        <w:rPr>
          <w:rFonts w:ascii="Tahoma" w:eastAsia="Tahoma" w:hAnsi="Tahoma" w:cs="Tahoma"/>
          <w:color w:val="000000" w:themeColor="text1"/>
        </w:rPr>
        <w:t>G</w:t>
      </w:r>
      <w:r w:rsidR="008D26AA">
        <w:rPr>
          <w:rFonts w:ascii="Tahoma" w:eastAsia="Tahoma" w:hAnsi="Tahoma" w:cs="Tahoma"/>
          <w:color w:val="000000" w:themeColor="text1"/>
        </w:rPr>
        <w:t>overnment</w:t>
      </w:r>
      <w:r w:rsidR="0018026B">
        <w:rPr>
          <w:rFonts w:ascii="Tahoma" w:eastAsia="Tahoma" w:hAnsi="Tahoma" w:cs="Tahoma"/>
          <w:color w:val="000000" w:themeColor="text1"/>
        </w:rPr>
        <w:t xml:space="preserve"> of less than 12 months</w:t>
      </w:r>
      <w:r w:rsidR="008D26AA">
        <w:rPr>
          <w:rFonts w:ascii="Tahoma" w:eastAsia="Tahoma" w:hAnsi="Tahoma" w:cs="Tahoma"/>
          <w:color w:val="000000" w:themeColor="text1"/>
        </w:rPr>
        <w:t xml:space="preserve">. </w:t>
      </w:r>
      <w:r w:rsidR="00691BDE" w:rsidRPr="0010446F">
        <w:rPr>
          <w:rFonts w:ascii="Tahoma" w:eastAsia="Tahoma" w:hAnsi="Tahoma" w:cs="Tahoma"/>
          <w:color w:val="000000" w:themeColor="text1"/>
          <w:szCs w:val="22"/>
        </w:rPr>
        <w:t xml:space="preserve">The Provider should </w:t>
      </w:r>
      <w:r w:rsidR="00E001E3">
        <w:rPr>
          <w:rFonts w:ascii="Tahoma" w:eastAsia="Tahoma" w:hAnsi="Tahoma" w:cs="Tahoma"/>
          <w:color w:val="000000" w:themeColor="text1"/>
          <w:szCs w:val="22"/>
        </w:rPr>
        <w:t>seek to</w:t>
      </w:r>
      <w:r w:rsidR="00691BDE" w:rsidRPr="0010446F">
        <w:rPr>
          <w:rFonts w:ascii="Tahoma" w:eastAsia="Tahoma" w:hAnsi="Tahoma" w:cs="Tahoma"/>
          <w:color w:val="000000" w:themeColor="text1"/>
          <w:szCs w:val="22"/>
        </w:rPr>
        <w:t xml:space="preserve"> guide </w:t>
      </w:r>
      <w:r w:rsidR="00E001E3">
        <w:rPr>
          <w:rFonts w:ascii="Tahoma" w:eastAsia="Tahoma" w:hAnsi="Tahoma" w:cs="Tahoma"/>
          <w:color w:val="000000" w:themeColor="text1"/>
          <w:szCs w:val="22"/>
        </w:rPr>
        <w:t>the</w:t>
      </w:r>
      <w:r w:rsidR="00691BDE" w:rsidRPr="0010446F">
        <w:rPr>
          <w:rFonts w:ascii="Tahoma" w:eastAsia="Tahoma" w:hAnsi="Tahoma" w:cs="Tahoma"/>
          <w:color w:val="000000" w:themeColor="text1"/>
          <w:szCs w:val="22"/>
        </w:rPr>
        <w:t xml:space="preserve"> choice</w:t>
      </w:r>
      <w:r w:rsidR="00691BDE">
        <w:rPr>
          <w:rFonts w:ascii="Tahoma" w:eastAsia="Tahoma" w:hAnsi="Tahoma" w:cs="Tahoma"/>
          <w:color w:val="000000" w:themeColor="text1"/>
          <w:szCs w:val="22"/>
        </w:rPr>
        <w:t xml:space="preserve"> of course</w:t>
      </w:r>
      <w:r w:rsidR="00691BDE" w:rsidRPr="0010446F">
        <w:rPr>
          <w:rFonts w:ascii="Tahoma" w:eastAsia="Tahoma" w:hAnsi="Tahoma" w:cs="Tahoma"/>
          <w:color w:val="000000" w:themeColor="text1"/>
          <w:szCs w:val="22"/>
        </w:rPr>
        <w:t xml:space="preserve"> </w:t>
      </w:r>
      <w:r w:rsidR="00F77835">
        <w:rPr>
          <w:rFonts w:ascii="Tahoma" w:eastAsia="Tahoma" w:hAnsi="Tahoma" w:cs="Tahoma"/>
          <w:color w:val="000000" w:themeColor="text1"/>
          <w:szCs w:val="22"/>
        </w:rPr>
        <w:t xml:space="preserve">if a Participant is selecting a subsided, accredited course </w:t>
      </w:r>
      <w:r w:rsidR="00691BDE" w:rsidRPr="0010446F">
        <w:rPr>
          <w:rFonts w:ascii="Tahoma" w:eastAsia="Tahoma" w:hAnsi="Tahoma" w:cs="Tahoma"/>
          <w:color w:val="000000" w:themeColor="text1"/>
          <w:szCs w:val="22"/>
        </w:rPr>
        <w:t>but does not need to approve the Participant undertak</w:t>
      </w:r>
      <w:r w:rsidR="00F378D4">
        <w:rPr>
          <w:rFonts w:ascii="Tahoma" w:eastAsia="Tahoma" w:hAnsi="Tahoma" w:cs="Tahoma"/>
          <w:color w:val="000000" w:themeColor="text1"/>
          <w:szCs w:val="22"/>
        </w:rPr>
        <w:t>ing</w:t>
      </w:r>
      <w:r w:rsidR="00691BDE" w:rsidRPr="0010446F">
        <w:rPr>
          <w:rFonts w:ascii="Tahoma" w:eastAsia="Tahoma" w:hAnsi="Tahoma" w:cs="Tahoma"/>
          <w:color w:val="000000" w:themeColor="text1"/>
          <w:szCs w:val="22"/>
        </w:rPr>
        <w:t xml:space="preserve"> these courses.</w:t>
      </w:r>
    </w:p>
    <w:p w14:paraId="11D77BC8" w14:textId="0FB32088" w:rsidR="00D74559" w:rsidRPr="00FB7CD7" w:rsidRDefault="00D74559" w:rsidP="006E2EF5">
      <w:pPr>
        <w:rPr>
          <w:rFonts w:ascii="Tahoma" w:eastAsia="Tahoma" w:hAnsi="Tahoma" w:cs="Tahoma"/>
          <w:color w:val="000000" w:themeColor="text1"/>
        </w:rPr>
      </w:pPr>
      <w:r w:rsidRPr="111F7F31">
        <w:rPr>
          <w:rFonts w:ascii="Tahoma" w:eastAsia="Tahoma" w:hAnsi="Tahoma" w:cs="Tahoma"/>
          <w:color w:val="000000" w:themeColor="text1"/>
        </w:rPr>
        <w:t xml:space="preserve">Providers can </w:t>
      </w:r>
      <w:r w:rsidR="007311AB">
        <w:rPr>
          <w:rFonts w:ascii="Tahoma" w:eastAsia="Tahoma" w:hAnsi="Tahoma" w:cs="Tahoma"/>
          <w:color w:val="000000" w:themeColor="text1"/>
        </w:rPr>
        <w:t>also</w:t>
      </w:r>
      <w:r w:rsidRPr="111F7F31">
        <w:rPr>
          <w:rFonts w:ascii="Tahoma" w:eastAsia="Tahoma" w:hAnsi="Tahoma" w:cs="Tahoma"/>
          <w:color w:val="000000" w:themeColor="text1"/>
        </w:rPr>
        <w:t xml:space="preserve"> approve full-time study for Participants in short courses of less than 12 months </w:t>
      </w:r>
      <w:r w:rsidRPr="00F079D7">
        <w:rPr>
          <w:rFonts w:ascii="Tahoma" w:eastAsia="Tahoma" w:hAnsi="Tahoma" w:cs="Tahoma"/>
          <w:color w:val="000000" w:themeColor="text1"/>
        </w:rPr>
        <w:t>under approved short course rules described in the Social Security Guide</w:t>
      </w:r>
      <w:r w:rsidR="00B570E9" w:rsidRPr="00F079D7">
        <w:rPr>
          <w:rFonts w:ascii="Tahoma" w:eastAsia="Tahoma" w:hAnsi="Tahoma" w:cs="Tahoma"/>
          <w:color w:val="000000" w:themeColor="text1"/>
        </w:rPr>
        <w:t xml:space="preserve"> — see </w:t>
      </w:r>
      <w:hyperlink r:id="rId63" w:history="1">
        <w:r w:rsidR="00B570E9" w:rsidRPr="00F079D7">
          <w:rPr>
            <w:rStyle w:val="Hyperlink"/>
            <w:rFonts w:ascii="Tahoma" w:eastAsia="Tahoma" w:hAnsi="Tahoma" w:cs="Tahoma"/>
          </w:rPr>
          <w:t>3.11.3.10 Study &amp; training | Social Security Guide</w:t>
        </w:r>
      </w:hyperlink>
      <w:r w:rsidRPr="00F079D7">
        <w:rPr>
          <w:rFonts w:ascii="Tahoma" w:eastAsia="Tahoma" w:hAnsi="Tahoma" w:cs="Tahoma"/>
          <w:color w:val="000000" w:themeColor="text1"/>
        </w:rPr>
        <w:t>. That is, where:</w:t>
      </w:r>
      <w:r w:rsidRPr="111F7F31">
        <w:rPr>
          <w:rFonts w:ascii="Tahoma" w:eastAsia="Tahoma" w:hAnsi="Tahoma" w:cs="Tahoma"/>
          <w:color w:val="000000" w:themeColor="text1"/>
        </w:rPr>
        <w:t xml:space="preserve"> </w:t>
      </w:r>
    </w:p>
    <w:p w14:paraId="12B45FEE" w14:textId="10096721" w:rsidR="00D74559" w:rsidRPr="00FB7CD7" w:rsidRDefault="00D74559" w:rsidP="004E120D">
      <w:pPr>
        <w:pStyle w:val="BulletLevel1"/>
      </w:pPr>
      <w:r w:rsidRPr="52D74D63">
        <w:t xml:space="preserve">completing the course is likely to lead to an </w:t>
      </w:r>
      <w:r w:rsidR="0052459C">
        <w:t>E</w:t>
      </w:r>
      <w:r w:rsidRPr="52D74D63">
        <w:t xml:space="preserve">mployment </w:t>
      </w:r>
      <w:r w:rsidR="0052459C">
        <w:t>O</w:t>
      </w:r>
      <w:r w:rsidRPr="52D74D63">
        <w:t xml:space="preserve">utcome for the </w:t>
      </w:r>
      <w:r w:rsidR="00DB30E8">
        <w:t>Participant</w:t>
      </w:r>
      <w:r w:rsidRPr="52D74D63">
        <w:t xml:space="preserve"> </w:t>
      </w:r>
    </w:p>
    <w:p w14:paraId="2CD0F0BF" w14:textId="0BD3948D" w:rsidR="00D74559" w:rsidRPr="00FB7CD7" w:rsidRDefault="00D74559" w:rsidP="004E120D">
      <w:pPr>
        <w:pStyle w:val="BulletLevel1"/>
      </w:pPr>
      <w:r w:rsidRPr="52D74D63">
        <w:t xml:space="preserve">there is little chance of the </w:t>
      </w:r>
      <w:r w:rsidR="00DB30E8">
        <w:t>Participant</w:t>
      </w:r>
      <w:r w:rsidRPr="52D74D63">
        <w:t xml:space="preserve"> finding employment with their existing skills </w:t>
      </w:r>
    </w:p>
    <w:p w14:paraId="66B0AD92" w14:textId="6DF746A7" w:rsidR="00D74559" w:rsidRPr="00F079D7" w:rsidRDefault="00D74559" w:rsidP="004E120D">
      <w:pPr>
        <w:pStyle w:val="BulletLevel1"/>
      </w:pPr>
      <w:r w:rsidRPr="52D74D63">
        <w:t xml:space="preserve">the course will lead to qualifications in an identified area of </w:t>
      </w:r>
      <w:r w:rsidR="00E15D3B">
        <w:t>S</w:t>
      </w:r>
      <w:r w:rsidRPr="52D74D63">
        <w:t xml:space="preserve">kills </w:t>
      </w:r>
      <w:r w:rsidR="00E15D3B">
        <w:t>S</w:t>
      </w:r>
      <w:r w:rsidRPr="52D74D63">
        <w:t>hortage</w:t>
      </w:r>
      <w:r w:rsidR="0027464F">
        <w:t xml:space="preserve"> — as identified on </w:t>
      </w:r>
      <w:r w:rsidR="00FD59C0" w:rsidRPr="00F079D7">
        <w:t>Jobs and Skills Australia’s</w:t>
      </w:r>
      <w:r w:rsidR="0027464F" w:rsidRPr="00F079D7">
        <w:t xml:space="preserve"> </w:t>
      </w:r>
      <w:hyperlink r:id="rId64" w:history="1">
        <w:r w:rsidR="0027464F" w:rsidRPr="00F079D7">
          <w:rPr>
            <w:rStyle w:val="Hyperlink"/>
          </w:rPr>
          <w:t>Skills Priority List</w:t>
        </w:r>
      </w:hyperlink>
      <w:r w:rsidRPr="00F079D7">
        <w:t xml:space="preserve">, or </w:t>
      </w:r>
    </w:p>
    <w:p w14:paraId="22FFA03E" w14:textId="77777777" w:rsidR="00D74559" w:rsidRPr="00FB7CD7" w:rsidRDefault="00D74559" w:rsidP="004E120D">
      <w:pPr>
        <w:pStyle w:val="BulletLevel1"/>
      </w:pPr>
      <w:r w:rsidRPr="2E8718AF">
        <w:t xml:space="preserve">the course provides skills or qualifications for occupations in areas of high labour demand. </w:t>
      </w:r>
    </w:p>
    <w:p w14:paraId="7A2605E0" w14:textId="06277AE6" w:rsidR="00D408D4" w:rsidRDefault="003C1382" w:rsidP="00D408D4">
      <w:pPr>
        <w:rPr>
          <w:rFonts w:ascii="Tahoma" w:eastAsia="Tahoma" w:hAnsi="Tahoma" w:cs="Tahoma"/>
          <w:color w:val="000000" w:themeColor="text1"/>
        </w:rPr>
      </w:pPr>
      <w:r w:rsidRPr="00F079D7">
        <w:t xml:space="preserve">Note: As outlined </w:t>
      </w:r>
      <w:r w:rsidRPr="00D04BBA">
        <w:rPr>
          <w:rFonts w:ascii="Tahoma" w:eastAsia="Tahoma" w:hAnsi="Tahoma" w:cs="Tahoma"/>
          <w:color w:val="000000" w:themeColor="text1"/>
        </w:rPr>
        <w:t>in</w:t>
      </w:r>
      <w:r w:rsidR="00F079D7" w:rsidRPr="00D04BBA">
        <w:rPr>
          <w:rFonts w:ascii="Tahoma" w:eastAsia="Tahoma" w:hAnsi="Tahoma" w:cs="Tahoma"/>
          <w:color w:val="000000" w:themeColor="text1"/>
        </w:rPr>
        <w:t xml:space="preserve"> </w:t>
      </w:r>
      <w:r w:rsidR="00D04BBA" w:rsidRPr="00D04BBA">
        <w:rPr>
          <w:rFonts w:ascii="Tahoma" w:eastAsia="Tahoma" w:hAnsi="Tahoma" w:cs="Tahoma"/>
          <w:color w:val="000000" w:themeColor="text1"/>
        </w:rPr>
        <w:fldChar w:fldCharType="begin"/>
      </w:r>
      <w:r w:rsidR="00D04BBA" w:rsidRPr="00D04BBA">
        <w:rPr>
          <w:rFonts w:ascii="Tahoma" w:eastAsia="Tahoma" w:hAnsi="Tahoma" w:cs="Tahoma"/>
          <w:color w:val="000000" w:themeColor="text1"/>
        </w:rPr>
        <w:instrText xml:space="preserve"> REF _Ref202786021 \h </w:instrText>
      </w:r>
      <w:r w:rsidR="00D04BBA">
        <w:rPr>
          <w:rFonts w:ascii="Tahoma" w:eastAsia="Tahoma" w:hAnsi="Tahoma" w:cs="Tahoma"/>
          <w:color w:val="000000" w:themeColor="text1"/>
        </w:rPr>
        <w:instrText xml:space="preserve"> \* MERGEFORMAT </w:instrText>
      </w:r>
      <w:r w:rsidR="00D04BBA" w:rsidRPr="00D04BBA">
        <w:rPr>
          <w:rFonts w:ascii="Tahoma" w:eastAsia="Tahoma" w:hAnsi="Tahoma" w:cs="Tahoma"/>
          <w:color w:val="000000" w:themeColor="text1"/>
        </w:rPr>
      </w:r>
      <w:r w:rsidR="00D04BBA" w:rsidRPr="00D04BBA">
        <w:rPr>
          <w:rFonts w:ascii="Tahoma" w:eastAsia="Tahoma" w:hAnsi="Tahoma" w:cs="Tahoma"/>
          <w:color w:val="000000" w:themeColor="text1"/>
        </w:rPr>
        <w:fldChar w:fldCharType="separate"/>
      </w:r>
      <w:r w:rsidR="00D04BBA" w:rsidRPr="00D04BBA">
        <w:rPr>
          <w:rFonts w:ascii="Tahoma" w:eastAsia="Tahoma" w:hAnsi="Tahoma" w:cs="Tahoma"/>
          <w:color w:val="000000" w:themeColor="text1"/>
        </w:rPr>
        <w:t>5.7 Job Search</w:t>
      </w:r>
      <w:r w:rsidR="00D04BBA" w:rsidRPr="00D04BBA">
        <w:rPr>
          <w:rFonts w:ascii="Tahoma" w:eastAsia="Tahoma" w:hAnsi="Tahoma" w:cs="Tahoma"/>
          <w:color w:val="000000" w:themeColor="text1"/>
        </w:rPr>
        <w:fldChar w:fldCharType="end"/>
      </w:r>
      <w:r w:rsidR="00F079D7" w:rsidRPr="00D04BBA">
        <w:rPr>
          <w:rFonts w:ascii="Tahoma" w:eastAsia="Tahoma" w:hAnsi="Tahoma" w:cs="Tahoma"/>
          <w:color w:val="000000" w:themeColor="text1"/>
        </w:rPr>
        <w:fldChar w:fldCharType="begin"/>
      </w:r>
      <w:r w:rsidR="00F079D7" w:rsidRPr="00D04BBA">
        <w:rPr>
          <w:rFonts w:ascii="Tahoma" w:eastAsia="Tahoma" w:hAnsi="Tahoma" w:cs="Tahoma"/>
          <w:color w:val="000000" w:themeColor="text1"/>
        </w:rPr>
        <w:instrText xml:space="preserve"> REF _Ref202786021 \h  \* MERGEFORMAT </w:instrText>
      </w:r>
      <w:r w:rsidR="00F079D7" w:rsidRPr="00D04BBA">
        <w:rPr>
          <w:rFonts w:ascii="Tahoma" w:eastAsia="Tahoma" w:hAnsi="Tahoma" w:cs="Tahoma"/>
          <w:color w:val="000000" w:themeColor="text1"/>
        </w:rPr>
      </w:r>
      <w:r w:rsidR="00F079D7" w:rsidRPr="00D04BBA">
        <w:rPr>
          <w:rFonts w:ascii="Tahoma" w:eastAsia="Tahoma" w:hAnsi="Tahoma" w:cs="Tahoma"/>
          <w:color w:val="000000" w:themeColor="text1"/>
        </w:rPr>
        <w:fldChar w:fldCharType="separate"/>
      </w:r>
      <w:r w:rsidR="00F079D7" w:rsidRPr="00D04BBA">
        <w:rPr>
          <w:rFonts w:ascii="Tahoma" w:eastAsia="Tahoma" w:hAnsi="Tahoma" w:cs="Tahoma"/>
          <w:color w:val="000000" w:themeColor="text1"/>
        </w:rPr>
        <w:fldChar w:fldCharType="end"/>
      </w:r>
      <w:r w:rsidRPr="00D04BBA">
        <w:rPr>
          <w:rFonts w:ascii="Tahoma" w:eastAsia="Tahoma" w:hAnsi="Tahoma" w:cs="Tahoma"/>
          <w:color w:val="000000" w:themeColor="text1"/>
        </w:rPr>
        <w:t>,</w:t>
      </w:r>
      <w:r w:rsidR="00D408D4" w:rsidRPr="00F079D7">
        <w:t xml:space="preserve"> Participants undertaking an approved course over 15</w:t>
      </w:r>
      <w:r w:rsidR="00D408D4">
        <w:rPr>
          <w:rFonts w:ascii="Tahoma" w:eastAsia="Tahoma" w:hAnsi="Tahoma" w:cs="Tahoma"/>
          <w:color w:val="000000" w:themeColor="text1"/>
        </w:rPr>
        <w:t xml:space="preserve"> hours per week will not be required to complete a</w:t>
      </w:r>
      <w:r w:rsidR="002F7E48">
        <w:rPr>
          <w:rFonts w:ascii="Tahoma" w:eastAsia="Tahoma" w:hAnsi="Tahoma" w:cs="Tahoma"/>
          <w:color w:val="000000" w:themeColor="text1"/>
        </w:rPr>
        <w:t>ny</w:t>
      </w:r>
      <w:r w:rsidR="00D408D4">
        <w:rPr>
          <w:rFonts w:ascii="Tahoma" w:eastAsia="Tahoma" w:hAnsi="Tahoma" w:cs="Tahoma"/>
          <w:color w:val="000000" w:themeColor="text1"/>
        </w:rPr>
        <w:t xml:space="preserve"> Job Search</w:t>
      </w:r>
      <w:r w:rsidR="00F079D7">
        <w:rPr>
          <w:rFonts w:ascii="Tahoma" w:eastAsia="Tahoma" w:hAnsi="Tahoma" w:cs="Tahoma"/>
          <w:color w:val="000000" w:themeColor="text1"/>
        </w:rPr>
        <w:t xml:space="preserve"> </w:t>
      </w:r>
      <w:r w:rsidR="00D408D4">
        <w:rPr>
          <w:rFonts w:ascii="Tahoma" w:eastAsia="Tahoma" w:hAnsi="Tahoma" w:cs="Tahoma"/>
          <w:color w:val="000000" w:themeColor="text1"/>
        </w:rPr>
        <w:t xml:space="preserve">— i.e. Providers must reduce the Job Search Requirement </w:t>
      </w:r>
      <w:r w:rsidR="002F7E48">
        <w:rPr>
          <w:rFonts w:ascii="Tahoma" w:eastAsia="Tahoma" w:hAnsi="Tahoma" w:cs="Tahoma"/>
          <w:color w:val="000000" w:themeColor="text1"/>
        </w:rPr>
        <w:t>in a Detailed Job Plan</w:t>
      </w:r>
      <w:r w:rsidR="00D408D4">
        <w:rPr>
          <w:rFonts w:ascii="Tahoma" w:eastAsia="Tahoma" w:hAnsi="Tahoma" w:cs="Tahoma"/>
          <w:color w:val="000000" w:themeColor="text1"/>
        </w:rPr>
        <w:t xml:space="preserve"> to zero </w:t>
      </w:r>
      <w:r w:rsidR="002F7E48">
        <w:rPr>
          <w:rFonts w:ascii="Tahoma" w:eastAsia="Tahoma" w:hAnsi="Tahoma" w:cs="Tahoma"/>
          <w:color w:val="000000" w:themeColor="text1"/>
        </w:rPr>
        <w:t>and update any plan for meaningful engagement to remove Job Search</w:t>
      </w:r>
      <w:r w:rsidR="00D408D4">
        <w:rPr>
          <w:rFonts w:ascii="Tahoma" w:eastAsia="Tahoma" w:hAnsi="Tahoma" w:cs="Tahoma"/>
          <w:color w:val="000000" w:themeColor="text1"/>
        </w:rPr>
        <w:t>.</w:t>
      </w:r>
    </w:p>
    <w:p w14:paraId="7AD13D05" w14:textId="192FF645" w:rsidR="00E020A9" w:rsidRPr="002B4D69" w:rsidRDefault="00E020A9" w:rsidP="002B4D69">
      <w:pPr>
        <w:rPr>
          <w:rFonts w:ascii="Tahoma" w:eastAsia="Tahoma" w:hAnsi="Tahoma" w:cs="Tahoma"/>
          <w:color w:val="000000" w:themeColor="text1"/>
        </w:rPr>
      </w:pPr>
      <w:r w:rsidRPr="002B4D69">
        <w:rPr>
          <w:rFonts w:ascii="Tahoma" w:eastAsia="Tahoma" w:hAnsi="Tahoma" w:cs="Tahoma"/>
          <w:color w:val="000000" w:themeColor="text1"/>
        </w:rPr>
        <w:t xml:space="preserve">Those </w:t>
      </w:r>
      <w:r w:rsidR="00AA0C41">
        <w:rPr>
          <w:rFonts w:ascii="Tahoma" w:eastAsia="Tahoma" w:hAnsi="Tahoma" w:cs="Tahoma"/>
          <w:color w:val="000000" w:themeColor="text1"/>
        </w:rPr>
        <w:t>on Income Support Payments</w:t>
      </w:r>
      <w:r w:rsidRPr="002B4D69">
        <w:rPr>
          <w:rFonts w:ascii="Tahoma" w:eastAsia="Tahoma" w:hAnsi="Tahoma" w:cs="Tahoma"/>
          <w:color w:val="000000" w:themeColor="text1"/>
        </w:rPr>
        <w:t xml:space="preserve"> wishing to undertake full time study, other than under the conditions outlined above, should </w:t>
      </w:r>
      <w:r w:rsidR="00AA0C41">
        <w:rPr>
          <w:rFonts w:ascii="Tahoma" w:eastAsia="Tahoma" w:hAnsi="Tahoma" w:cs="Tahoma"/>
          <w:color w:val="000000" w:themeColor="text1"/>
        </w:rPr>
        <w:t>be encouraged to</w:t>
      </w:r>
      <w:r w:rsidRPr="002B4D69">
        <w:rPr>
          <w:rFonts w:ascii="Tahoma" w:eastAsia="Tahoma" w:hAnsi="Tahoma" w:cs="Tahoma"/>
          <w:color w:val="000000" w:themeColor="text1"/>
        </w:rPr>
        <w:t xml:space="preserve"> test their eligibility for student payments through Services Australia. Full</w:t>
      </w:r>
      <w:r w:rsidR="009D0B67">
        <w:rPr>
          <w:rFonts w:ascii="Tahoma" w:eastAsia="Tahoma" w:hAnsi="Tahoma" w:cs="Tahoma"/>
          <w:color w:val="000000" w:themeColor="text1"/>
        </w:rPr>
        <w:t>-</w:t>
      </w:r>
      <w:r w:rsidRPr="002B4D69">
        <w:rPr>
          <w:rFonts w:ascii="Tahoma" w:eastAsia="Tahoma" w:hAnsi="Tahoma" w:cs="Tahoma"/>
          <w:color w:val="000000" w:themeColor="text1"/>
        </w:rPr>
        <w:t xml:space="preserve">time students </w:t>
      </w:r>
      <w:r w:rsidR="000C3615">
        <w:rPr>
          <w:rFonts w:ascii="Tahoma" w:eastAsia="Tahoma" w:hAnsi="Tahoma" w:cs="Tahoma"/>
          <w:color w:val="000000" w:themeColor="text1"/>
        </w:rPr>
        <w:t>in courses longer than 12 months in duration</w:t>
      </w:r>
      <w:r w:rsidRPr="002B4D69">
        <w:rPr>
          <w:rFonts w:ascii="Tahoma" w:eastAsia="Tahoma" w:hAnsi="Tahoma" w:cs="Tahoma"/>
          <w:color w:val="000000" w:themeColor="text1"/>
        </w:rPr>
        <w:t xml:space="preserve"> are generally ineligible for </w:t>
      </w:r>
      <w:r w:rsidR="00AA0C41">
        <w:rPr>
          <w:rFonts w:ascii="Tahoma" w:eastAsia="Tahoma" w:hAnsi="Tahoma" w:cs="Tahoma"/>
          <w:color w:val="000000" w:themeColor="text1"/>
        </w:rPr>
        <w:t>JobSeeker Payment</w:t>
      </w:r>
      <w:r w:rsidRPr="002B4D69">
        <w:rPr>
          <w:rFonts w:ascii="Tahoma" w:eastAsia="Tahoma" w:hAnsi="Tahoma" w:cs="Tahoma"/>
          <w:color w:val="000000" w:themeColor="text1"/>
        </w:rPr>
        <w:t xml:space="preserve"> </w:t>
      </w:r>
      <w:r w:rsidR="008F2443">
        <w:rPr>
          <w:rFonts w:ascii="Tahoma" w:eastAsia="Tahoma" w:hAnsi="Tahoma" w:cs="Tahoma"/>
          <w:color w:val="000000" w:themeColor="text1"/>
        </w:rPr>
        <w:t>or Youth Allowance (Other)</w:t>
      </w:r>
      <w:r w:rsidRPr="002B4D69">
        <w:rPr>
          <w:rFonts w:ascii="Tahoma" w:eastAsia="Tahoma" w:hAnsi="Tahoma" w:cs="Tahoma"/>
          <w:color w:val="000000" w:themeColor="text1"/>
        </w:rPr>
        <w:t>.</w:t>
      </w:r>
    </w:p>
    <w:p w14:paraId="5517E46F" w14:textId="17CCE335" w:rsidR="00712D64" w:rsidRPr="002B4D69" w:rsidRDefault="00712D64" w:rsidP="00712D64">
      <w:pPr>
        <w:rPr>
          <w:rFonts w:ascii="Tahoma" w:eastAsia="Tahoma" w:hAnsi="Tahoma" w:cs="Tahoma"/>
          <w:color w:val="000000" w:themeColor="text1"/>
          <w:szCs w:val="22"/>
        </w:rPr>
      </w:pPr>
      <w:r>
        <w:rPr>
          <w:rFonts w:ascii="Tahoma" w:eastAsia="Tahoma" w:hAnsi="Tahoma" w:cs="Tahoma"/>
          <w:color w:val="000000" w:themeColor="text1"/>
          <w:szCs w:val="22"/>
        </w:rPr>
        <w:t>Participants</w:t>
      </w:r>
      <w:r w:rsidRPr="002B4D69">
        <w:rPr>
          <w:rFonts w:ascii="Tahoma" w:eastAsia="Tahoma" w:hAnsi="Tahoma" w:cs="Tahoma"/>
          <w:color w:val="000000" w:themeColor="text1"/>
          <w:szCs w:val="22"/>
        </w:rPr>
        <w:t xml:space="preserve"> can undertake part-time </w:t>
      </w:r>
      <w:r>
        <w:rPr>
          <w:rFonts w:ascii="Tahoma" w:eastAsia="Tahoma" w:hAnsi="Tahoma" w:cs="Tahoma"/>
          <w:color w:val="000000" w:themeColor="text1"/>
          <w:szCs w:val="22"/>
        </w:rPr>
        <w:t>study</w:t>
      </w:r>
      <w:r w:rsidRPr="002B4D69">
        <w:rPr>
          <w:rFonts w:ascii="Tahoma" w:eastAsia="Tahoma" w:hAnsi="Tahoma" w:cs="Tahoma"/>
          <w:color w:val="000000" w:themeColor="text1"/>
          <w:szCs w:val="22"/>
        </w:rPr>
        <w:t xml:space="preserve"> under their own initiative at any </w:t>
      </w:r>
      <w:r w:rsidR="00C4378D" w:rsidRPr="002B4D69">
        <w:rPr>
          <w:rFonts w:ascii="Tahoma" w:eastAsia="Tahoma" w:hAnsi="Tahoma" w:cs="Tahoma"/>
          <w:color w:val="000000" w:themeColor="text1"/>
          <w:szCs w:val="22"/>
        </w:rPr>
        <w:t>time but</w:t>
      </w:r>
      <w:r w:rsidRPr="002B4D69">
        <w:rPr>
          <w:rFonts w:ascii="Tahoma" w:eastAsia="Tahoma" w:hAnsi="Tahoma" w:cs="Tahoma"/>
          <w:color w:val="000000" w:themeColor="text1"/>
          <w:szCs w:val="22"/>
        </w:rPr>
        <w:t xml:space="preserve"> </w:t>
      </w:r>
      <w:r>
        <w:rPr>
          <w:rFonts w:ascii="Tahoma" w:eastAsia="Tahoma" w:hAnsi="Tahoma" w:cs="Tahoma"/>
          <w:color w:val="000000" w:themeColor="text1"/>
          <w:szCs w:val="22"/>
        </w:rPr>
        <w:t>would need</w:t>
      </w:r>
      <w:r w:rsidRPr="002B4D69">
        <w:rPr>
          <w:rFonts w:ascii="Tahoma" w:eastAsia="Tahoma" w:hAnsi="Tahoma" w:cs="Tahoma"/>
          <w:color w:val="000000" w:themeColor="text1"/>
          <w:szCs w:val="22"/>
        </w:rPr>
        <w:t xml:space="preserve"> </w:t>
      </w:r>
      <w:r w:rsidR="0087498E">
        <w:rPr>
          <w:rFonts w:ascii="Tahoma" w:eastAsia="Tahoma" w:hAnsi="Tahoma" w:cs="Tahoma"/>
          <w:color w:val="000000" w:themeColor="text1"/>
          <w:szCs w:val="22"/>
        </w:rPr>
        <w:t xml:space="preserve">to </w:t>
      </w:r>
      <w:r w:rsidRPr="002B4D69">
        <w:rPr>
          <w:rFonts w:ascii="Tahoma" w:eastAsia="Tahoma" w:hAnsi="Tahoma" w:cs="Tahoma"/>
          <w:color w:val="000000" w:themeColor="text1"/>
          <w:szCs w:val="22"/>
        </w:rPr>
        <w:t xml:space="preserve">continue to </w:t>
      </w:r>
      <w:r>
        <w:rPr>
          <w:rFonts w:ascii="Tahoma" w:eastAsia="Tahoma" w:hAnsi="Tahoma" w:cs="Tahoma"/>
          <w:color w:val="000000" w:themeColor="text1"/>
          <w:szCs w:val="22"/>
        </w:rPr>
        <w:t>look for and accept suitable Employment while studying</w:t>
      </w:r>
      <w:r w:rsidRPr="002B4D69">
        <w:rPr>
          <w:rFonts w:ascii="Tahoma" w:eastAsia="Tahoma" w:hAnsi="Tahoma" w:cs="Tahoma"/>
          <w:color w:val="000000" w:themeColor="text1"/>
          <w:szCs w:val="22"/>
        </w:rPr>
        <w:t>.</w:t>
      </w:r>
    </w:p>
    <w:p w14:paraId="32AD14B0" w14:textId="77777777" w:rsidR="00885541" w:rsidRPr="00FB7CD7" w:rsidRDefault="00885541" w:rsidP="00885541">
      <w:pPr>
        <w:rPr>
          <w:rFonts w:ascii="Tahoma" w:eastAsia="Tahoma" w:hAnsi="Tahoma" w:cs="Tahoma"/>
          <w:color w:val="000000" w:themeColor="text1"/>
          <w:szCs w:val="22"/>
        </w:rPr>
      </w:pPr>
      <w:r w:rsidRPr="52D74D63">
        <w:rPr>
          <w:rFonts w:ascii="Tahoma" w:eastAsia="Tahoma" w:hAnsi="Tahoma" w:cs="Tahoma"/>
          <w:color w:val="000000" w:themeColor="text1"/>
          <w:szCs w:val="22"/>
        </w:rPr>
        <w:t xml:space="preserve">Participants can refuse to undertake a course that does not align with their goals and interests. </w:t>
      </w:r>
    </w:p>
    <w:p w14:paraId="1517CE99" w14:textId="160DED5D" w:rsidR="00301869" w:rsidRDefault="00F33B53" w:rsidP="00301869">
      <w:pPr>
        <w:rPr>
          <w:rFonts w:ascii="Tahoma" w:eastAsia="Tahoma" w:hAnsi="Tahoma" w:cs="Tahoma"/>
          <w:color w:val="000000" w:themeColor="text1"/>
        </w:rPr>
      </w:pPr>
      <w:r>
        <w:rPr>
          <w:rFonts w:ascii="Tahoma" w:eastAsia="Tahoma" w:hAnsi="Tahoma" w:cs="Tahoma"/>
          <w:color w:val="000000" w:themeColor="text1"/>
        </w:rPr>
        <w:t>While undertaking</w:t>
      </w:r>
      <w:r w:rsidR="00301869">
        <w:rPr>
          <w:rFonts w:ascii="Tahoma" w:eastAsia="Tahoma" w:hAnsi="Tahoma" w:cs="Tahoma"/>
          <w:color w:val="000000" w:themeColor="text1"/>
        </w:rPr>
        <w:t xml:space="preserve"> </w:t>
      </w:r>
      <w:r w:rsidR="006433CB">
        <w:rPr>
          <w:rFonts w:ascii="Tahoma" w:eastAsia="Tahoma" w:hAnsi="Tahoma" w:cs="Tahoma"/>
          <w:color w:val="000000" w:themeColor="text1"/>
        </w:rPr>
        <w:t>an approved</w:t>
      </w:r>
      <w:r w:rsidR="00301869">
        <w:rPr>
          <w:rFonts w:ascii="Tahoma" w:eastAsia="Tahoma" w:hAnsi="Tahoma" w:cs="Tahoma"/>
          <w:color w:val="000000" w:themeColor="text1"/>
        </w:rPr>
        <w:t xml:space="preserve"> </w:t>
      </w:r>
      <w:r w:rsidR="003A4327">
        <w:rPr>
          <w:rFonts w:ascii="Tahoma" w:eastAsia="Tahoma" w:hAnsi="Tahoma" w:cs="Tahoma"/>
          <w:color w:val="000000" w:themeColor="text1"/>
        </w:rPr>
        <w:t>course</w:t>
      </w:r>
      <w:r w:rsidR="00301869">
        <w:rPr>
          <w:rFonts w:ascii="Tahoma" w:eastAsia="Tahoma" w:hAnsi="Tahoma" w:cs="Tahoma"/>
          <w:color w:val="000000" w:themeColor="text1"/>
        </w:rPr>
        <w:t xml:space="preserve">, Providers must </w:t>
      </w:r>
      <w:r w:rsidR="00F22BBD">
        <w:rPr>
          <w:rFonts w:ascii="Tahoma" w:eastAsia="Tahoma" w:hAnsi="Tahoma" w:cs="Tahoma"/>
          <w:color w:val="000000" w:themeColor="text1"/>
        </w:rPr>
        <w:t>record</w:t>
      </w:r>
      <w:r w:rsidR="00301869">
        <w:rPr>
          <w:rFonts w:ascii="Tahoma" w:eastAsia="Tahoma" w:hAnsi="Tahoma" w:cs="Tahoma"/>
          <w:color w:val="000000" w:themeColor="text1"/>
        </w:rPr>
        <w:t xml:space="preserve"> the Participant’s hours of </w:t>
      </w:r>
      <w:r w:rsidR="00885541">
        <w:rPr>
          <w:rFonts w:ascii="Tahoma" w:eastAsia="Tahoma" w:hAnsi="Tahoma" w:cs="Tahoma"/>
          <w:color w:val="000000" w:themeColor="text1"/>
        </w:rPr>
        <w:t>study</w:t>
      </w:r>
      <w:r w:rsidR="00301869">
        <w:rPr>
          <w:rFonts w:ascii="Tahoma" w:eastAsia="Tahoma" w:hAnsi="Tahoma" w:cs="Tahoma"/>
          <w:color w:val="000000" w:themeColor="text1"/>
        </w:rPr>
        <w:t xml:space="preserve"> </w:t>
      </w:r>
      <w:r w:rsidR="00F22BBD">
        <w:rPr>
          <w:rFonts w:ascii="Tahoma" w:eastAsia="Tahoma" w:hAnsi="Tahoma" w:cs="Tahoma"/>
          <w:color w:val="000000" w:themeColor="text1"/>
        </w:rPr>
        <w:t>as a</w:t>
      </w:r>
      <w:r w:rsidR="00301869">
        <w:rPr>
          <w:rFonts w:ascii="Tahoma" w:eastAsia="Tahoma" w:hAnsi="Tahoma" w:cs="Tahoma"/>
          <w:color w:val="000000" w:themeColor="text1"/>
        </w:rPr>
        <w:t xml:space="preserve"> Personal Event — refer to </w:t>
      </w:r>
      <w:r w:rsidR="003B2E77">
        <w:rPr>
          <w:rFonts w:ascii="Tahoma" w:eastAsia="Tahoma" w:hAnsi="Tahoma" w:cs="Tahoma"/>
          <w:color w:val="000000" w:themeColor="text1"/>
        </w:rPr>
        <w:fldChar w:fldCharType="begin"/>
      </w:r>
      <w:r w:rsidR="003B2E77">
        <w:rPr>
          <w:rFonts w:ascii="Tahoma" w:eastAsia="Tahoma" w:hAnsi="Tahoma" w:cs="Tahoma"/>
          <w:color w:val="000000" w:themeColor="text1"/>
        </w:rPr>
        <w:instrText xml:space="preserve"> REF _Ref202784778 \h </w:instrText>
      </w:r>
      <w:r w:rsidR="003B2E77">
        <w:rPr>
          <w:rFonts w:ascii="Tahoma" w:eastAsia="Tahoma" w:hAnsi="Tahoma" w:cs="Tahoma"/>
          <w:color w:val="000000" w:themeColor="text1"/>
        </w:rPr>
      </w:r>
      <w:r w:rsidR="003B2E77">
        <w:rPr>
          <w:rFonts w:ascii="Tahoma" w:eastAsia="Tahoma" w:hAnsi="Tahoma" w:cs="Tahoma"/>
          <w:color w:val="000000" w:themeColor="text1"/>
        </w:rPr>
        <w:fldChar w:fldCharType="separate"/>
      </w:r>
      <w:r w:rsidR="003B2E77" w:rsidRPr="652192F6">
        <w:t>5.3.4</w:t>
      </w:r>
      <w:r w:rsidR="003B2E77">
        <w:t xml:space="preserve"> </w:t>
      </w:r>
      <w:r w:rsidR="003B2E77" w:rsidRPr="652192F6">
        <w:t>Capturing Personal Events</w:t>
      </w:r>
      <w:r w:rsidR="003B2E77">
        <w:rPr>
          <w:rFonts w:ascii="Tahoma" w:eastAsia="Tahoma" w:hAnsi="Tahoma" w:cs="Tahoma"/>
          <w:color w:val="000000" w:themeColor="text1"/>
        </w:rPr>
        <w:fldChar w:fldCharType="end"/>
      </w:r>
      <w:r w:rsidR="00F079D7">
        <w:rPr>
          <w:rFonts w:ascii="Tahoma" w:eastAsia="Tahoma" w:hAnsi="Tahoma" w:cs="Tahoma"/>
          <w:color w:val="000000" w:themeColor="text1"/>
        </w:rPr>
        <w:fldChar w:fldCharType="begin"/>
      </w:r>
      <w:r w:rsidR="00F079D7">
        <w:rPr>
          <w:rFonts w:ascii="Tahoma" w:eastAsia="Tahoma" w:hAnsi="Tahoma" w:cs="Tahoma"/>
          <w:color w:val="000000" w:themeColor="text1"/>
        </w:rPr>
        <w:instrText xml:space="preserve"> REF _Ref202784778 \h </w:instrText>
      </w:r>
      <w:r w:rsidR="00F079D7">
        <w:rPr>
          <w:rFonts w:ascii="Tahoma" w:eastAsia="Tahoma" w:hAnsi="Tahoma" w:cs="Tahoma"/>
          <w:color w:val="000000" w:themeColor="text1"/>
        </w:rPr>
      </w:r>
      <w:r w:rsidR="00F079D7">
        <w:rPr>
          <w:rFonts w:ascii="Tahoma" w:eastAsia="Tahoma" w:hAnsi="Tahoma" w:cs="Tahoma"/>
          <w:color w:val="000000" w:themeColor="text1"/>
        </w:rPr>
        <w:fldChar w:fldCharType="separate"/>
      </w:r>
      <w:r w:rsidR="00F079D7">
        <w:rPr>
          <w:rFonts w:ascii="Tahoma" w:eastAsia="Tahoma" w:hAnsi="Tahoma" w:cs="Tahoma"/>
          <w:color w:val="000000" w:themeColor="text1"/>
        </w:rPr>
        <w:fldChar w:fldCharType="end"/>
      </w:r>
      <w:r w:rsidR="00301869">
        <w:rPr>
          <w:rFonts w:ascii="Tahoma" w:eastAsia="Tahoma" w:hAnsi="Tahoma" w:cs="Tahoma"/>
          <w:color w:val="000000" w:themeColor="text1"/>
        </w:rPr>
        <w:t>.</w:t>
      </w:r>
    </w:p>
    <w:p w14:paraId="6958094C" w14:textId="6924809C" w:rsidR="002F7E48" w:rsidRDefault="002F7E48" w:rsidP="006E2EF5">
      <w:pPr>
        <w:rPr>
          <w:rFonts w:ascii="Tahoma" w:eastAsia="Tahoma" w:hAnsi="Tahoma" w:cs="Tahoma"/>
          <w:color w:val="000000" w:themeColor="text1"/>
        </w:rPr>
      </w:pPr>
      <w:r>
        <w:rPr>
          <w:rFonts w:ascii="Tahoma" w:eastAsia="Tahoma" w:hAnsi="Tahoma" w:cs="Tahoma"/>
          <w:color w:val="000000" w:themeColor="text1"/>
        </w:rPr>
        <w:t xml:space="preserve">If a Participant has a Detailed Job Plan, </w:t>
      </w:r>
      <w:r w:rsidRPr="111F7F31">
        <w:rPr>
          <w:rFonts w:ascii="Tahoma" w:eastAsia="Tahoma" w:hAnsi="Tahoma" w:cs="Tahoma"/>
          <w:color w:val="000000" w:themeColor="text1"/>
        </w:rPr>
        <w:t xml:space="preserve">Providers must update </w:t>
      </w:r>
      <w:r>
        <w:rPr>
          <w:rFonts w:ascii="Tahoma" w:eastAsia="Tahoma" w:hAnsi="Tahoma" w:cs="Tahoma"/>
          <w:color w:val="000000" w:themeColor="text1"/>
        </w:rPr>
        <w:t>the</w:t>
      </w:r>
      <w:r w:rsidRPr="111F7F31">
        <w:rPr>
          <w:rFonts w:ascii="Tahoma" w:eastAsia="Tahoma" w:hAnsi="Tahoma" w:cs="Tahoma"/>
          <w:color w:val="000000" w:themeColor="text1"/>
        </w:rPr>
        <w:t xml:space="preserve"> </w:t>
      </w:r>
      <w:r>
        <w:rPr>
          <w:rFonts w:ascii="Tahoma" w:eastAsia="Tahoma" w:hAnsi="Tahoma" w:cs="Tahoma"/>
          <w:color w:val="000000" w:themeColor="text1"/>
        </w:rPr>
        <w:t>P</w:t>
      </w:r>
      <w:r w:rsidRPr="111F7F31">
        <w:rPr>
          <w:rFonts w:ascii="Tahoma" w:eastAsia="Tahoma" w:hAnsi="Tahoma" w:cs="Tahoma"/>
          <w:color w:val="000000" w:themeColor="text1"/>
        </w:rPr>
        <w:t xml:space="preserve">articipant’s Job Plan to include </w:t>
      </w:r>
      <w:r>
        <w:rPr>
          <w:rFonts w:ascii="Tahoma" w:eastAsia="Tahoma" w:hAnsi="Tahoma" w:cs="Tahoma"/>
          <w:color w:val="000000" w:themeColor="text1"/>
        </w:rPr>
        <w:t>Code ET59</w:t>
      </w:r>
      <w:r w:rsidRPr="111F7F31">
        <w:rPr>
          <w:rFonts w:ascii="Tahoma" w:eastAsia="Tahoma" w:hAnsi="Tahoma" w:cs="Tahoma"/>
          <w:color w:val="000000" w:themeColor="text1"/>
        </w:rPr>
        <w:t xml:space="preserve"> </w:t>
      </w:r>
      <w:r>
        <w:rPr>
          <w:rFonts w:ascii="Tahoma" w:eastAsia="Tahoma" w:hAnsi="Tahoma" w:cs="Tahoma"/>
          <w:color w:val="000000" w:themeColor="text1"/>
        </w:rPr>
        <w:t xml:space="preserve">[Study - </w:t>
      </w:r>
      <w:r w:rsidRPr="111F7F31">
        <w:rPr>
          <w:rFonts w:ascii="Tahoma" w:eastAsia="Tahoma" w:hAnsi="Tahoma" w:cs="Tahoma"/>
          <w:color w:val="000000" w:themeColor="text1"/>
        </w:rPr>
        <w:t>part-time or full-time</w:t>
      </w:r>
      <w:r>
        <w:rPr>
          <w:rFonts w:ascii="Tahoma" w:eastAsia="Tahoma" w:hAnsi="Tahoma" w:cs="Tahoma"/>
          <w:color w:val="000000" w:themeColor="text1"/>
        </w:rPr>
        <w:t>] as either a compulsory or voluntary requirement</w:t>
      </w:r>
      <w:r w:rsidRPr="111F7F31">
        <w:rPr>
          <w:rFonts w:ascii="Tahoma" w:eastAsia="Tahoma" w:hAnsi="Tahoma" w:cs="Tahoma"/>
          <w:color w:val="000000" w:themeColor="text1"/>
        </w:rPr>
        <w:t>.</w:t>
      </w:r>
      <w:r>
        <w:rPr>
          <w:rFonts w:ascii="Tahoma" w:eastAsia="Tahoma" w:hAnsi="Tahoma" w:cs="Tahoma"/>
          <w:color w:val="000000" w:themeColor="text1"/>
        </w:rPr>
        <w:t xml:space="preserve"> </w:t>
      </w:r>
    </w:p>
    <w:p w14:paraId="10F57344" w14:textId="1C786C83" w:rsidR="00A33329" w:rsidRPr="00FB7CD7" w:rsidRDefault="00A33329" w:rsidP="006E2EF5">
      <w:pPr>
        <w:rPr>
          <w:rFonts w:ascii="Tahoma" w:eastAsia="Tahoma" w:hAnsi="Tahoma" w:cs="Tahoma"/>
          <w:color w:val="000000" w:themeColor="text1"/>
          <w:lang w:val="en-US"/>
        </w:rPr>
      </w:pPr>
      <w:r>
        <w:rPr>
          <w:rFonts w:ascii="Tahoma" w:eastAsia="Tahoma" w:hAnsi="Tahoma" w:cs="Tahoma"/>
          <w:color w:val="000000" w:themeColor="text1"/>
        </w:rPr>
        <w:t>Where a Participant has a break</w:t>
      </w:r>
      <w:r w:rsidR="00310A0B">
        <w:rPr>
          <w:rFonts w:ascii="Tahoma" w:eastAsia="Tahoma" w:hAnsi="Tahoma" w:cs="Tahoma"/>
          <w:color w:val="000000" w:themeColor="text1"/>
        </w:rPr>
        <w:t xml:space="preserve"> in their study</w:t>
      </w:r>
      <w:r>
        <w:rPr>
          <w:rFonts w:ascii="Tahoma" w:eastAsia="Tahoma" w:hAnsi="Tahoma" w:cs="Tahoma"/>
          <w:color w:val="000000" w:themeColor="text1"/>
        </w:rPr>
        <w:t>, such as a semester break,</w:t>
      </w:r>
      <w:r w:rsidR="00CD12F0">
        <w:rPr>
          <w:rFonts w:ascii="Tahoma" w:eastAsia="Tahoma" w:hAnsi="Tahoma" w:cs="Tahoma"/>
          <w:color w:val="000000" w:themeColor="text1"/>
        </w:rPr>
        <w:t xml:space="preserve"> there is no need to adjust a Participant’s Job Plan</w:t>
      </w:r>
      <w:r w:rsidR="00070AF7">
        <w:rPr>
          <w:rFonts w:ascii="Tahoma" w:eastAsia="Tahoma" w:hAnsi="Tahoma" w:cs="Tahoma"/>
          <w:color w:val="000000" w:themeColor="text1"/>
        </w:rPr>
        <w:t>.</w:t>
      </w:r>
    </w:p>
    <w:p w14:paraId="3F559874" w14:textId="6355BD54" w:rsidR="00D74559" w:rsidRDefault="00D74559" w:rsidP="006E2EF5">
      <w:pPr>
        <w:rPr>
          <w:rFonts w:ascii="Tahoma" w:eastAsia="Tahoma" w:hAnsi="Tahoma" w:cs="Tahoma"/>
          <w:color w:val="000000" w:themeColor="text1"/>
        </w:rPr>
      </w:pPr>
      <w:r w:rsidRPr="25BC4409">
        <w:rPr>
          <w:rFonts w:ascii="Tahoma" w:eastAsia="Tahoma" w:hAnsi="Tahoma" w:cs="Tahoma"/>
          <w:color w:val="000000" w:themeColor="text1"/>
        </w:rPr>
        <w:t xml:space="preserve">Providers </w:t>
      </w:r>
      <w:r w:rsidR="00AD31B2">
        <w:rPr>
          <w:rFonts w:ascii="Tahoma" w:eastAsia="Tahoma" w:hAnsi="Tahoma" w:cs="Tahoma"/>
          <w:color w:val="000000" w:themeColor="text1"/>
        </w:rPr>
        <w:t>should</w:t>
      </w:r>
      <w:r w:rsidRPr="25BC4409">
        <w:rPr>
          <w:rFonts w:ascii="Tahoma" w:eastAsia="Tahoma" w:hAnsi="Tahoma" w:cs="Tahoma"/>
          <w:color w:val="000000" w:themeColor="text1"/>
        </w:rPr>
        <w:t xml:space="preserve"> consider </w:t>
      </w:r>
      <w:r w:rsidR="006C5810">
        <w:rPr>
          <w:rFonts w:ascii="Tahoma" w:eastAsia="Tahoma" w:hAnsi="Tahoma" w:cs="Tahoma"/>
          <w:color w:val="000000" w:themeColor="text1"/>
        </w:rPr>
        <w:t>if</w:t>
      </w:r>
      <w:r w:rsidRPr="25BC4409">
        <w:rPr>
          <w:rFonts w:ascii="Tahoma" w:eastAsia="Tahoma" w:hAnsi="Tahoma" w:cs="Tahoma"/>
          <w:color w:val="000000" w:themeColor="text1"/>
        </w:rPr>
        <w:t xml:space="preserve"> the Flexible Service is more appropriate while a Participant is undertaking Education and Training.</w:t>
      </w:r>
    </w:p>
    <w:p w14:paraId="550B211B" w14:textId="326379C2" w:rsidR="000D3AB9" w:rsidRDefault="000D3AB9" w:rsidP="000D3AB9">
      <w:r>
        <w:t>When a Participant’s course ends, the Provider must undertake the Re</w:t>
      </w:r>
      <w:r>
        <w:noBreakHyphen/>
        <w:t>engagement process with the Participant. This means the Provider must:</w:t>
      </w:r>
    </w:p>
    <w:p w14:paraId="2701F5FB" w14:textId="77777777" w:rsidR="000D3AB9" w:rsidRPr="00FF0027" w:rsidRDefault="000D3AB9" w:rsidP="000D3AB9">
      <w:pPr>
        <w:pStyle w:val="BulletLevel1"/>
      </w:pPr>
      <w:r>
        <w:t>conduct the first Contact Appointment following Re-engagement face-to-face (unless this would be unreasonable)</w:t>
      </w:r>
    </w:p>
    <w:p w14:paraId="11466A9D" w14:textId="77777777" w:rsidR="000D3AB9" w:rsidRPr="00FF0027" w:rsidRDefault="000D3AB9" w:rsidP="000D3AB9">
      <w:pPr>
        <w:pStyle w:val="BulletLevel1"/>
      </w:pPr>
      <w:r>
        <w:t xml:space="preserve">determine the appropriate service offer if the Participant was receiving the Flexible Service, and </w:t>
      </w:r>
    </w:p>
    <w:p w14:paraId="5574C700" w14:textId="3107BD14" w:rsidR="000D3AB9" w:rsidRPr="00FF0027" w:rsidRDefault="000D3AB9" w:rsidP="000D3AB9">
      <w:pPr>
        <w:pStyle w:val="BulletLevel1"/>
      </w:pPr>
      <w:r>
        <w:t>ensure the Participant understands their participation requirements now that they are no longer undertaking Education and Training.</w:t>
      </w:r>
    </w:p>
    <w:p w14:paraId="7156ABD7" w14:textId="67F86D08" w:rsidR="00927504" w:rsidRPr="003F4081" w:rsidRDefault="0068013E" w:rsidP="006E2EF5">
      <w:pPr>
        <w:spacing w:after="120"/>
      </w:pPr>
      <w:r>
        <w:t>The Provider should</w:t>
      </w:r>
      <w:r w:rsidR="00333C49">
        <w:t xml:space="preserve"> </w:t>
      </w:r>
      <w:r w:rsidR="000A5B52">
        <w:t xml:space="preserve">also </w:t>
      </w:r>
      <w:r w:rsidR="00333C49">
        <w:t>update the Participant’s Job Seeker Snapshot</w:t>
      </w:r>
      <w:r w:rsidR="00B65FAA">
        <w:t xml:space="preserve">, </w:t>
      </w:r>
      <w:r>
        <w:t>support the Participant to update their r</w:t>
      </w:r>
      <w:r w:rsidR="00333C49">
        <w:rPr>
          <w:rFonts w:cstheme="minorHAnsi"/>
        </w:rPr>
        <w:t>é</w:t>
      </w:r>
      <w:r w:rsidR="00333C49">
        <w:t>sum</w:t>
      </w:r>
      <w:r w:rsidR="00333C49">
        <w:rPr>
          <w:rFonts w:cstheme="minorHAnsi"/>
        </w:rPr>
        <w:t>é to reflect the</w:t>
      </w:r>
      <w:r w:rsidR="0019191F">
        <w:rPr>
          <w:rFonts w:cstheme="minorHAnsi"/>
        </w:rPr>
        <w:t xml:space="preserve"> new qualifications</w:t>
      </w:r>
      <w:r w:rsidR="00B65FAA">
        <w:rPr>
          <w:rFonts w:cstheme="minorHAnsi"/>
        </w:rPr>
        <w:t xml:space="preserve"> and work with the Participant to target jobs utilising their new</w:t>
      </w:r>
      <w:r w:rsidR="003B2FDA">
        <w:rPr>
          <w:rFonts w:cstheme="minorHAnsi"/>
        </w:rPr>
        <w:t xml:space="preserve"> skills and qualifications</w:t>
      </w:r>
      <w:r w:rsidR="0019191F">
        <w:rPr>
          <w:rFonts w:cstheme="minorHAnsi"/>
        </w:rPr>
        <w:t>.</w:t>
      </w:r>
    </w:p>
    <w:p w14:paraId="1C4F4504" w14:textId="6EEDE331" w:rsidR="00927504" w:rsidRDefault="00927504" w:rsidP="006F727E">
      <w:pPr>
        <w:pStyle w:val="SystemStep"/>
        <w:rPr>
          <w:lang w:val="en-GB"/>
        </w:rPr>
      </w:pPr>
      <w:r>
        <w:rPr>
          <w:lang w:val="en-GB"/>
        </w:rPr>
        <w:t xml:space="preserve">When a Participant’s </w:t>
      </w:r>
      <w:r w:rsidR="00D53C02">
        <w:rPr>
          <w:lang w:val="en-GB"/>
        </w:rPr>
        <w:t>course</w:t>
      </w:r>
      <w:r>
        <w:rPr>
          <w:lang w:val="en-GB"/>
        </w:rPr>
        <w:t xml:space="preserve"> ends, a face-to-face Contact Appointment should be entered into the Participant’s Electronic Calendar.</w:t>
      </w:r>
    </w:p>
    <w:p w14:paraId="7224322C" w14:textId="3AD8B749" w:rsidR="00D74559" w:rsidRDefault="00D74559" w:rsidP="001D0F92">
      <w:pPr>
        <w:pStyle w:val="Heading4"/>
      </w:pPr>
      <w:bookmarkStart w:id="321" w:name="_Ref202894767"/>
      <w:bookmarkStart w:id="322" w:name="_Toc202900013"/>
      <w:r>
        <w:t>7.7.3</w:t>
      </w:r>
      <w:r w:rsidR="006477F6">
        <w:tab/>
      </w:r>
      <w:r>
        <w:t>Participant Sourced Voluntary Work</w:t>
      </w:r>
      <w:bookmarkEnd w:id="321"/>
      <w:bookmarkEnd w:id="322"/>
    </w:p>
    <w:p w14:paraId="71A5B991" w14:textId="77777777" w:rsidR="00D74559" w:rsidRDefault="00D74559" w:rsidP="006E2EF5">
      <w:r w:rsidRPr="25BC4409">
        <w:t>Participant Sourced Voluntary Work is Voluntary Work that a Participant has identified and secured for themselves.</w:t>
      </w:r>
    </w:p>
    <w:p w14:paraId="7DCCEBFA" w14:textId="2DE5D90D" w:rsidR="00D74559" w:rsidRDefault="00D74559" w:rsidP="006E2EF5">
      <w:r>
        <w:t xml:space="preserve">Participant Sourced Voluntary Work has the same benefits as Provider Sourced Voluntary Work. Both </w:t>
      </w:r>
      <w:r w:rsidRPr="00E74DFD">
        <w:t xml:space="preserve">Provider Sourced </w:t>
      </w:r>
      <w:r>
        <w:t xml:space="preserve">Voluntary Work </w:t>
      </w:r>
      <w:r w:rsidRPr="00E74DFD">
        <w:t>and Participant Sourced Voluntary Work aim to develop Participants’ skills and experience with a not-for-profit community organisation.</w:t>
      </w:r>
    </w:p>
    <w:p w14:paraId="25448B8C" w14:textId="77777777" w:rsidR="00F151BA" w:rsidRDefault="00D74559" w:rsidP="006E2EF5">
      <w:r>
        <w:t xml:space="preserve">Where Providers are aware Participants are undertaking Participant Sourced Voluntary Work, they should discuss with the Participant how the activity benefits and contributes to improving </w:t>
      </w:r>
      <w:r w:rsidR="0059312B">
        <w:t>job</w:t>
      </w:r>
      <w:r>
        <w:t xml:space="preserve"> prospects, including </w:t>
      </w:r>
      <w:bookmarkStart w:id="323" w:name="_Int_Q3hnz0S9"/>
      <w:r>
        <w:t>as a way to</w:t>
      </w:r>
      <w:bookmarkEnd w:id="323"/>
      <w:r>
        <w:t xml:space="preserve"> gain work experience and leverage job networking.</w:t>
      </w:r>
      <w:r w:rsidR="004E42B8">
        <w:t xml:space="preserve"> </w:t>
      </w:r>
    </w:p>
    <w:p w14:paraId="3985E336" w14:textId="38155401" w:rsidR="00D74559" w:rsidRDefault="00563B5E" w:rsidP="006E2EF5">
      <w:r>
        <w:t xml:space="preserve">Providers should </w:t>
      </w:r>
      <w:r w:rsidR="004E42B8">
        <w:t xml:space="preserve">assist the Participant to include </w:t>
      </w:r>
      <w:r w:rsidR="002634D9">
        <w:t>any</w:t>
      </w:r>
      <w:r>
        <w:t xml:space="preserve"> Participant Sourced Voluntary Work</w:t>
      </w:r>
      <w:r w:rsidR="002634D9">
        <w:t xml:space="preserve"> placement in the Participant’s resume and </w:t>
      </w:r>
      <w:r w:rsidR="00C03C0C">
        <w:t xml:space="preserve">should consider how the skills and experience </w:t>
      </w:r>
      <w:r w:rsidR="005B4959">
        <w:t xml:space="preserve">from a Provider Sourced Voluntary Work placement </w:t>
      </w:r>
      <w:r w:rsidR="00F151BA">
        <w:t>can be used to target further job opportunities.</w:t>
      </w:r>
    </w:p>
    <w:p w14:paraId="66A4F8ED" w14:textId="2A424D66" w:rsidR="00BA5828" w:rsidRDefault="00922647" w:rsidP="00BA5828">
      <w:r>
        <w:t xml:space="preserve">Participants may be able to Fully Meet their Mutual Obligation Requirements through Voluntary Work </w:t>
      </w:r>
      <w:r w:rsidR="002E61B5">
        <w:t xml:space="preserve">if the Voluntary Work is </w:t>
      </w:r>
      <w:r w:rsidR="004B4DC8">
        <w:t>with a not-for-profit organisation</w:t>
      </w:r>
      <w:r w:rsidR="002653CA">
        <w:t xml:space="preserve"> </w:t>
      </w:r>
      <w:r w:rsidR="004B4DC8">
        <w:t>(which may include a government agency or not-for-profit arm of a for-profit organisation)</w:t>
      </w:r>
      <w:r w:rsidR="002653CA">
        <w:t xml:space="preserve"> or </w:t>
      </w:r>
      <w:r w:rsidR="002653CA" w:rsidRPr="004B51EA">
        <w:t>community service</w:t>
      </w:r>
      <w:r w:rsidR="00BA5828">
        <w:t xml:space="preserve">. </w:t>
      </w:r>
      <w:r w:rsidR="00BA5828" w:rsidRPr="00012206">
        <w:t>Providers</w:t>
      </w:r>
      <w:r w:rsidR="00BA5828">
        <w:t xml:space="preserve"> should refer to the</w:t>
      </w:r>
      <w:r w:rsidR="00BA5828" w:rsidRPr="00012206">
        <w:t xml:space="preserve"> </w:t>
      </w:r>
      <w:r w:rsidR="00BA5828" w:rsidRPr="006B5D9C">
        <w:rPr>
          <w:rStyle w:val="Hyperlink"/>
        </w:rPr>
        <w:t xml:space="preserve">Provider Actions – Recording Participants </w:t>
      </w:r>
      <w:r w:rsidR="00BA5828">
        <w:rPr>
          <w:rStyle w:val="Hyperlink"/>
        </w:rPr>
        <w:t>as</w:t>
      </w:r>
      <w:r w:rsidR="00BA5828" w:rsidRPr="006B5D9C">
        <w:rPr>
          <w:rStyle w:val="Hyperlink"/>
        </w:rPr>
        <w:t xml:space="preserve"> Fully Meeting Mutual Obligations [LINK]</w:t>
      </w:r>
      <w:r w:rsidR="00BA5828">
        <w:t xml:space="preserve"> supporting document referred to in </w:t>
      </w:r>
      <w:r w:rsidR="00BA5828">
        <w:fldChar w:fldCharType="begin"/>
      </w:r>
      <w:r w:rsidR="00BA5828">
        <w:instrText xml:space="preserve"> REF _Ref202783027 \h </w:instrText>
      </w:r>
      <w:r w:rsidR="00BA5828">
        <w:fldChar w:fldCharType="separate"/>
      </w:r>
      <w:r w:rsidR="000D75AE" w:rsidRPr="00BA23D8">
        <w:t>Chapter 5</w:t>
      </w:r>
      <w:r w:rsidR="000D75AE">
        <w:t>:</w:t>
      </w:r>
      <w:r w:rsidR="000D75AE" w:rsidRPr="00BA23D8">
        <w:t>Participation requirements</w:t>
      </w:r>
      <w:r w:rsidR="00BA5828">
        <w:fldChar w:fldCharType="end"/>
      </w:r>
      <w:r w:rsidR="00693C94">
        <w:t xml:space="preserve"> to determine if the arrangement would meet the criteria for approved Volunteer Work</w:t>
      </w:r>
      <w:r w:rsidR="00BA5828">
        <w:t>.</w:t>
      </w:r>
      <w:r w:rsidR="00667444">
        <w:t xml:space="preserve"> Alternatively, a Participant </w:t>
      </w:r>
      <w:r w:rsidR="003067A0">
        <w:t>and the</w:t>
      </w:r>
      <w:r w:rsidR="00667444">
        <w:t xml:space="preserve"> voluntary work organisation may </w:t>
      </w:r>
      <w:r w:rsidR="003067A0">
        <w:t xml:space="preserve">have submitted a </w:t>
      </w:r>
      <w:hyperlink r:id="rId65" w:history="1">
        <w:r w:rsidR="003067A0" w:rsidRPr="00500047">
          <w:rPr>
            <w:rStyle w:val="Hyperlink"/>
          </w:rPr>
          <w:t>Verification of voluntary work form (SU462)</w:t>
        </w:r>
      </w:hyperlink>
      <w:r w:rsidR="005E31C5">
        <w:t xml:space="preserve"> to request approval directly from Services Australia</w:t>
      </w:r>
      <w:r w:rsidR="00ED5AE3">
        <w:t>.</w:t>
      </w:r>
    </w:p>
    <w:p w14:paraId="0B877E1A" w14:textId="77777777" w:rsidR="00922647" w:rsidRPr="00FD1DEC" w:rsidRDefault="00922647" w:rsidP="00922647">
      <w:pPr>
        <w:pStyle w:val="SystemStep"/>
        <w:rPr>
          <w:rFonts w:ascii="Tahoma" w:eastAsia="Tahoma" w:hAnsi="Tahoma" w:cs="Tahoma"/>
          <w:lang w:val="en-GB"/>
        </w:rPr>
      </w:pPr>
      <w:r w:rsidRPr="21E3D223">
        <w:rPr>
          <w:lang w:val="en-GB"/>
        </w:rPr>
        <w:t xml:space="preserve">The Provider </w:t>
      </w:r>
      <w:r>
        <w:rPr>
          <w:lang w:val="en-GB"/>
        </w:rPr>
        <w:t>should</w:t>
      </w:r>
      <w:r w:rsidRPr="21E3D223">
        <w:rPr>
          <w:lang w:val="en-GB"/>
        </w:rPr>
        <w:t xml:space="preserve"> </w:t>
      </w:r>
      <w:r>
        <w:rPr>
          <w:lang w:val="en-GB"/>
        </w:rPr>
        <w:t>add the</w:t>
      </w:r>
      <w:r w:rsidRPr="21E3D223">
        <w:rPr>
          <w:lang w:val="en-GB"/>
        </w:rPr>
        <w:t xml:space="preserve"> Participant’s </w:t>
      </w:r>
      <w:r>
        <w:rPr>
          <w:lang w:val="en-GB"/>
        </w:rPr>
        <w:t>participation in Voluntary Work as an Activity</w:t>
      </w:r>
      <w:r w:rsidRPr="21E3D223">
        <w:rPr>
          <w:lang w:val="en-GB"/>
        </w:rPr>
        <w:t xml:space="preserve"> in the Department’s IT Systems</w:t>
      </w:r>
      <w:r>
        <w:t>.</w:t>
      </w:r>
    </w:p>
    <w:p w14:paraId="10F127EC" w14:textId="35356C15" w:rsidR="00FD1DEC" w:rsidRPr="00FD1DEC" w:rsidRDefault="00FD1DEC" w:rsidP="00FD1DEC">
      <w:pPr>
        <w:pStyle w:val="SystemStep"/>
      </w:pPr>
      <w:r>
        <w:t>The Providers should</w:t>
      </w:r>
      <w:r w:rsidRPr="00941C26">
        <w:t xml:space="preserve"> </w:t>
      </w:r>
      <w:r>
        <w:t>add a file note in</w:t>
      </w:r>
      <w:r w:rsidRPr="00941C26">
        <w:t xml:space="preserve"> Department’s IT Systems describing the Voluntary Work undertaken, that it was sourced by the Participant and the time period</w:t>
      </w:r>
      <w:r>
        <w:t>.</w:t>
      </w:r>
    </w:p>
    <w:p w14:paraId="7B2F94CD" w14:textId="5622557C" w:rsidR="002C47F9" w:rsidRDefault="00DE53B6" w:rsidP="002C47F9">
      <w:r>
        <w:rPr>
          <w:rFonts w:ascii="Tahoma" w:eastAsia="Tahoma" w:hAnsi="Tahoma" w:cs="Tahoma"/>
          <w:color w:val="000000" w:themeColor="text1"/>
        </w:rPr>
        <w:t xml:space="preserve">If a Participant has a Detailed Job Plan, </w:t>
      </w:r>
      <w:r w:rsidR="002C47F9">
        <w:t xml:space="preserve">Participant Sourced Voluntary Work may be included as a voluntary requirement in </w:t>
      </w:r>
      <w:r>
        <w:t>the</w:t>
      </w:r>
      <w:r w:rsidR="002C47F9">
        <w:t xml:space="preserve"> Job Plan using Code WE11 [Voluntary Work].</w:t>
      </w:r>
    </w:p>
    <w:p w14:paraId="6BD1B236" w14:textId="71201F47" w:rsidR="00D74559" w:rsidRDefault="00D74559" w:rsidP="006E2EF5">
      <w:r w:rsidRPr="26FC9B26">
        <w:rPr>
          <w:b/>
          <w:bCs/>
        </w:rPr>
        <w:t xml:space="preserve">Note: </w:t>
      </w:r>
      <w:r>
        <w:t>A Host Agreement is not required for Participant Sourced Voluntary Work.</w:t>
      </w:r>
      <w:r w:rsidR="00394755">
        <w:t xml:space="preserve"> Providers should help the Participant to understand their rights as a worker.</w:t>
      </w:r>
    </w:p>
    <w:p w14:paraId="32753755" w14:textId="3725EA49" w:rsidR="00D74559" w:rsidRDefault="00D74559" w:rsidP="001D0F92">
      <w:pPr>
        <w:pStyle w:val="Heading4"/>
      </w:pPr>
      <w:bookmarkStart w:id="324" w:name="_Ref202791615"/>
      <w:bookmarkStart w:id="325" w:name="_Toc202900014"/>
      <w:r>
        <w:t>7.7.4</w:t>
      </w:r>
      <w:r w:rsidR="006477F6">
        <w:tab/>
      </w:r>
      <w:r>
        <w:t>Other government program</w:t>
      </w:r>
      <w:r w:rsidRPr="21E3D223">
        <w:t>s</w:t>
      </w:r>
      <w:bookmarkEnd w:id="324"/>
      <w:bookmarkEnd w:id="325"/>
    </w:p>
    <w:p w14:paraId="16834C82" w14:textId="0277B528" w:rsidR="002D5DB8" w:rsidRDefault="00D74559" w:rsidP="0067672E">
      <w:pPr>
        <w:keepNext/>
        <w:rPr>
          <w:lang w:val="en-GB"/>
        </w:rPr>
      </w:pPr>
      <w:r w:rsidRPr="21E3D223">
        <w:rPr>
          <w:lang w:val="en-GB"/>
        </w:rPr>
        <w:t xml:space="preserve">Participants can undertake </w:t>
      </w:r>
      <w:r>
        <w:rPr>
          <w:lang w:val="en-GB"/>
        </w:rPr>
        <w:t>other government program</w:t>
      </w:r>
      <w:r w:rsidRPr="21E3D223">
        <w:rPr>
          <w:lang w:val="en-GB"/>
        </w:rPr>
        <w:t xml:space="preserve">s </w:t>
      </w:r>
      <w:r>
        <w:rPr>
          <w:lang w:val="en-GB"/>
        </w:rPr>
        <w:t>administered by</w:t>
      </w:r>
      <w:r w:rsidRPr="21E3D223">
        <w:rPr>
          <w:lang w:val="en-GB"/>
        </w:rPr>
        <w:t xml:space="preserve"> </w:t>
      </w:r>
      <w:r>
        <w:rPr>
          <w:lang w:val="en-GB"/>
        </w:rPr>
        <w:t>the</w:t>
      </w:r>
      <w:r w:rsidRPr="21E3D223">
        <w:rPr>
          <w:lang w:val="en-GB"/>
        </w:rPr>
        <w:t xml:space="preserve"> </w:t>
      </w:r>
      <w:r>
        <w:rPr>
          <w:lang w:val="en-GB"/>
        </w:rPr>
        <w:t>Commonwealth</w:t>
      </w:r>
      <w:r w:rsidRPr="21E3D223">
        <w:rPr>
          <w:lang w:val="en-GB"/>
        </w:rPr>
        <w:t>,</w:t>
      </w:r>
      <w:r>
        <w:rPr>
          <w:lang w:val="en-GB"/>
        </w:rPr>
        <w:t xml:space="preserve"> S</w:t>
      </w:r>
      <w:r w:rsidRPr="21E3D223">
        <w:rPr>
          <w:lang w:val="en-GB"/>
        </w:rPr>
        <w:t xml:space="preserve">tate, </w:t>
      </w:r>
      <w:r w:rsidR="00724FA0">
        <w:rPr>
          <w:lang w:val="en-GB"/>
        </w:rPr>
        <w:t xml:space="preserve">and </w:t>
      </w:r>
      <w:r>
        <w:rPr>
          <w:lang w:val="en-GB"/>
        </w:rPr>
        <w:t>T</w:t>
      </w:r>
      <w:r w:rsidRPr="21E3D223">
        <w:rPr>
          <w:lang w:val="en-GB"/>
        </w:rPr>
        <w:t xml:space="preserve">erritory </w:t>
      </w:r>
      <w:r w:rsidR="0C374BC9" w:rsidRPr="6E3C0CC3">
        <w:rPr>
          <w:lang w:val="en-GB"/>
        </w:rPr>
        <w:t>Governments</w:t>
      </w:r>
      <w:r w:rsidR="00776C7D">
        <w:rPr>
          <w:lang w:val="en-GB"/>
        </w:rPr>
        <w:t xml:space="preserve"> </w:t>
      </w:r>
      <w:r w:rsidRPr="21E3D223">
        <w:rPr>
          <w:lang w:val="en-GB"/>
        </w:rPr>
        <w:t>or local government</w:t>
      </w:r>
      <w:r>
        <w:rPr>
          <w:lang w:val="en-GB"/>
        </w:rPr>
        <w:t>s</w:t>
      </w:r>
      <w:r w:rsidRPr="21E3D223">
        <w:rPr>
          <w:lang w:val="en-GB"/>
        </w:rPr>
        <w:t>, where</w:t>
      </w:r>
      <w:r w:rsidR="002D5DB8">
        <w:rPr>
          <w:lang w:val="en-GB"/>
        </w:rPr>
        <w:t>:</w:t>
      </w:r>
    </w:p>
    <w:p w14:paraId="0F1293B8" w14:textId="3FD3125F" w:rsidR="002D5DB8" w:rsidRPr="0058581E" w:rsidRDefault="00D74559" w:rsidP="0058581E">
      <w:pPr>
        <w:pStyle w:val="BulletLevel1"/>
      </w:pPr>
      <w:r w:rsidRPr="0058581E">
        <w:t xml:space="preserve">the Provider and Participant agree that participation would support the Participant to progress towards Employment </w:t>
      </w:r>
    </w:p>
    <w:p w14:paraId="19D3EF61" w14:textId="77777777" w:rsidR="0058581E" w:rsidRPr="0058581E" w:rsidRDefault="00D74559" w:rsidP="0058581E">
      <w:pPr>
        <w:pStyle w:val="BulletLevel1"/>
      </w:pPr>
      <w:r w:rsidRPr="0058581E">
        <w:t xml:space="preserve">the Participant meets any eligibility requirements set for the program, and </w:t>
      </w:r>
    </w:p>
    <w:p w14:paraId="55D896D0" w14:textId="473CA575" w:rsidR="00D74559" w:rsidRPr="0058581E" w:rsidRDefault="00D74559" w:rsidP="0058581E">
      <w:pPr>
        <w:pStyle w:val="BulletLevel1"/>
      </w:pPr>
      <w:r w:rsidRPr="0058581E">
        <w:t xml:space="preserve">participation would be suitable for the Participant. </w:t>
      </w:r>
    </w:p>
    <w:p w14:paraId="3B6FEEE9" w14:textId="77777777" w:rsidR="00D74559" w:rsidRPr="0058581E" w:rsidRDefault="00D74559" w:rsidP="0058581E">
      <w:r w:rsidRPr="0058581E">
        <w:t xml:space="preserve">Other </w:t>
      </w:r>
      <w:r w:rsidRPr="0058581E">
        <w:rPr>
          <w:lang w:val="en-GB"/>
        </w:rPr>
        <w:t>government</w:t>
      </w:r>
      <w:r w:rsidRPr="0058581E">
        <w:t xml:space="preserve"> programs should not duplicate services Providers are contracted to deliver.</w:t>
      </w:r>
    </w:p>
    <w:p w14:paraId="39436AC8" w14:textId="77777777" w:rsidR="00067B58" w:rsidRDefault="00067B58" w:rsidP="00067B58">
      <w:pPr>
        <w:pStyle w:val="SystemStep"/>
        <w:rPr>
          <w:rFonts w:ascii="Tahoma" w:eastAsia="Tahoma" w:hAnsi="Tahoma" w:cs="Tahoma"/>
          <w:lang w:val="en-GB"/>
        </w:rPr>
      </w:pPr>
      <w:r w:rsidRPr="672B37ED">
        <w:rPr>
          <w:lang w:val="en-GB"/>
        </w:rPr>
        <w:t>The Provider should add the Participant’s participation in an</w:t>
      </w:r>
      <w:r>
        <w:rPr>
          <w:lang w:val="en-GB"/>
        </w:rPr>
        <w:t xml:space="preserve">y </w:t>
      </w:r>
      <w:r w:rsidRPr="672B37ED">
        <w:rPr>
          <w:lang w:val="en-GB"/>
        </w:rPr>
        <w:t>other government programs as an Activity in the Department’s IT Systems.</w:t>
      </w:r>
    </w:p>
    <w:p w14:paraId="4458C952" w14:textId="54AA3500" w:rsidR="0AFDCCC3" w:rsidRPr="00BB5424" w:rsidRDefault="0CAD4540" w:rsidP="0AFDCCC3">
      <w:pPr>
        <w:rPr>
          <w:lang w:val="en-GB"/>
        </w:rPr>
      </w:pPr>
      <w:r w:rsidRPr="00BB5424">
        <w:rPr>
          <w:lang w:val="en-GB"/>
        </w:rPr>
        <w:t xml:space="preserve">Providers </w:t>
      </w:r>
      <w:r w:rsidR="00606620">
        <w:rPr>
          <w:lang w:val="en-GB"/>
        </w:rPr>
        <w:t>should</w:t>
      </w:r>
      <w:r w:rsidRPr="00BB5424">
        <w:rPr>
          <w:lang w:val="en-GB"/>
        </w:rPr>
        <w:t xml:space="preserve"> consider </w:t>
      </w:r>
      <w:r w:rsidR="006C5810">
        <w:rPr>
          <w:lang w:val="en-GB"/>
        </w:rPr>
        <w:t>if</w:t>
      </w:r>
      <w:r w:rsidRPr="00BB5424">
        <w:rPr>
          <w:lang w:val="en-GB"/>
        </w:rPr>
        <w:t xml:space="preserve"> the Flexible Service is appropriate while a Participant is undertaking other government programs.</w:t>
      </w:r>
    </w:p>
    <w:p w14:paraId="6E8062E0" w14:textId="09E82F46" w:rsidR="00D74559" w:rsidRPr="00FB7CD7" w:rsidRDefault="00067B58" w:rsidP="006E2EF5">
      <w:pPr>
        <w:rPr>
          <w:rFonts w:ascii="Tahoma" w:eastAsia="Tahoma" w:hAnsi="Tahoma" w:cs="Tahoma"/>
          <w:color w:val="000000" w:themeColor="text1"/>
          <w:lang w:val="en-US"/>
        </w:rPr>
      </w:pPr>
      <w:r>
        <w:rPr>
          <w:rFonts w:ascii="Tahoma" w:eastAsia="Tahoma" w:hAnsi="Tahoma" w:cs="Tahoma"/>
          <w:color w:val="000000" w:themeColor="text1"/>
        </w:rPr>
        <w:t xml:space="preserve">If a Participant has a Detailed Job Plan, </w:t>
      </w:r>
      <w:r w:rsidR="00D74559" w:rsidRPr="00BB5424">
        <w:rPr>
          <w:lang w:val="en-GB"/>
        </w:rPr>
        <w:t>Providers must update a Participant’s Job Plan to include</w:t>
      </w:r>
      <w:r w:rsidR="00D74559" w:rsidRPr="111F7F31">
        <w:rPr>
          <w:rFonts w:ascii="Tahoma" w:eastAsia="Tahoma" w:hAnsi="Tahoma" w:cs="Tahoma"/>
          <w:color w:val="000000" w:themeColor="text1"/>
        </w:rPr>
        <w:t xml:space="preserve"> </w:t>
      </w:r>
      <w:r w:rsidR="00D74559">
        <w:rPr>
          <w:rFonts w:ascii="Tahoma" w:eastAsia="Tahoma" w:hAnsi="Tahoma" w:cs="Tahoma"/>
          <w:color w:val="000000" w:themeColor="text1"/>
        </w:rPr>
        <w:t>a code that best reflects the program or use the free-text option to enter in details of the program</w:t>
      </w:r>
      <w:r w:rsidR="00D74559" w:rsidRPr="111F7F31">
        <w:rPr>
          <w:rFonts w:ascii="Tahoma" w:eastAsia="Tahoma" w:hAnsi="Tahoma" w:cs="Tahoma"/>
          <w:color w:val="000000" w:themeColor="text1"/>
        </w:rPr>
        <w:t>.</w:t>
      </w:r>
      <w:r w:rsidR="0093614F">
        <w:rPr>
          <w:rFonts w:ascii="Tahoma" w:eastAsia="Tahoma" w:hAnsi="Tahoma" w:cs="Tahoma"/>
          <w:color w:val="000000" w:themeColor="text1"/>
        </w:rPr>
        <w:t xml:space="preserve"> Other government programs would generally be a voluntary requirement.</w:t>
      </w:r>
    </w:p>
    <w:p w14:paraId="0DC61E00" w14:textId="3FFC0FD7" w:rsidR="00D74559" w:rsidRDefault="00D74559" w:rsidP="001D0F92">
      <w:pPr>
        <w:pStyle w:val="Heading4"/>
        <w:rPr>
          <w:lang w:val="en-GB"/>
        </w:rPr>
      </w:pPr>
      <w:bookmarkStart w:id="326" w:name="_Ref202791607"/>
      <w:bookmarkStart w:id="327" w:name="_Toc202900015"/>
      <w:r w:rsidRPr="2E254F05">
        <w:rPr>
          <w:lang w:val="en-GB"/>
        </w:rPr>
        <w:t>7.7.5</w:t>
      </w:r>
      <w:r w:rsidR="006477F6">
        <w:rPr>
          <w:lang w:val="en-GB"/>
        </w:rPr>
        <w:tab/>
      </w:r>
      <w:r>
        <w:rPr>
          <w:lang w:val="en-GB"/>
        </w:rPr>
        <w:t>I</w:t>
      </w:r>
      <w:r w:rsidRPr="2E254F05">
        <w:rPr>
          <w:lang w:val="en-GB"/>
        </w:rPr>
        <w:t>nterventions</w:t>
      </w:r>
      <w:r w:rsidR="0026324E">
        <w:rPr>
          <w:lang w:val="en-GB"/>
        </w:rPr>
        <w:t xml:space="preserve"> and other non-vocational supports</w:t>
      </w:r>
      <w:bookmarkEnd w:id="326"/>
      <w:bookmarkEnd w:id="327"/>
    </w:p>
    <w:p w14:paraId="04798F84" w14:textId="77777777" w:rsidR="00D74559" w:rsidRDefault="00D74559" w:rsidP="0067672E">
      <w:pPr>
        <w:rPr>
          <w:lang w:val="en-GB"/>
        </w:rPr>
      </w:pPr>
      <w:r w:rsidRPr="672B37ED">
        <w:rPr>
          <w:lang w:val="en-GB"/>
        </w:rPr>
        <w:t xml:space="preserve">Participants can undertake activities to help address </w:t>
      </w:r>
      <w:r>
        <w:rPr>
          <w:lang w:val="en-GB"/>
        </w:rPr>
        <w:t>N</w:t>
      </w:r>
      <w:r w:rsidRPr="672B37ED">
        <w:rPr>
          <w:lang w:val="en-GB"/>
        </w:rPr>
        <w:t>on-</w:t>
      </w:r>
      <w:r>
        <w:rPr>
          <w:lang w:val="en-GB"/>
        </w:rPr>
        <w:t>V</w:t>
      </w:r>
      <w:r w:rsidRPr="672B37ED">
        <w:rPr>
          <w:lang w:val="en-GB"/>
        </w:rPr>
        <w:t xml:space="preserve">ocational </w:t>
      </w:r>
      <w:r>
        <w:rPr>
          <w:lang w:val="en-GB"/>
        </w:rPr>
        <w:t>B</w:t>
      </w:r>
      <w:r w:rsidRPr="672B37ED">
        <w:rPr>
          <w:lang w:val="en-GB"/>
        </w:rPr>
        <w:t>arriers at any time the Provider thinks it is in the best interest of the Participant.</w:t>
      </w:r>
    </w:p>
    <w:p w14:paraId="46836031" w14:textId="43F877FB" w:rsidR="00D74559" w:rsidRDefault="00D74559" w:rsidP="0067672E">
      <w:pPr>
        <w:rPr>
          <w:lang w:val="en-GB"/>
        </w:rPr>
      </w:pPr>
      <w:r>
        <w:rPr>
          <w:lang w:val="en-GB"/>
        </w:rPr>
        <w:t>I</w:t>
      </w:r>
      <w:r w:rsidRPr="21E3D223">
        <w:rPr>
          <w:lang w:val="en-GB"/>
        </w:rPr>
        <w:t>nterventions are a broad range of assistance that may include:</w:t>
      </w:r>
    </w:p>
    <w:p w14:paraId="11256D3D" w14:textId="77777777" w:rsidR="00A97A01" w:rsidRDefault="00A97A01" w:rsidP="00A97A01">
      <w:pPr>
        <w:pStyle w:val="BulletLevel1"/>
        <w:rPr>
          <w:lang w:val="en-GB"/>
        </w:rPr>
      </w:pPr>
      <w:r w:rsidRPr="2790F9E6">
        <w:rPr>
          <w:lang w:val="en-GB"/>
        </w:rPr>
        <w:t>medical or health related services</w:t>
      </w:r>
    </w:p>
    <w:p w14:paraId="63DC7E59" w14:textId="77777777" w:rsidR="00A97A01" w:rsidRDefault="00A97A01" w:rsidP="00A97A01">
      <w:pPr>
        <w:pStyle w:val="BulletLevel1"/>
        <w:rPr>
          <w:lang w:val="en-GB"/>
        </w:rPr>
      </w:pPr>
      <w:r w:rsidRPr="2790F9E6">
        <w:rPr>
          <w:lang w:val="en-GB"/>
        </w:rPr>
        <w:t>mental health support services</w:t>
      </w:r>
    </w:p>
    <w:p w14:paraId="11D865BD" w14:textId="77777777" w:rsidR="00D74559" w:rsidRDefault="00D74559" w:rsidP="004E120D">
      <w:pPr>
        <w:pStyle w:val="BulletLevel1"/>
        <w:rPr>
          <w:lang w:val="en-GB"/>
        </w:rPr>
      </w:pPr>
      <w:r w:rsidRPr="2790F9E6">
        <w:rPr>
          <w:lang w:val="en-GB"/>
        </w:rPr>
        <w:t xml:space="preserve">cultural services </w:t>
      </w:r>
    </w:p>
    <w:p w14:paraId="38400E1C" w14:textId="5E05384F" w:rsidR="00D74559" w:rsidRDefault="00D74559" w:rsidP="004E120D">
      <w:pPr>
        <w:pStyle w:val="BulletLevel1"/>
        <w:rPr>
          <w:lang w:val="en-GB"/>
        </w:rPr>
      </w:pPr>
      <w:r w:rsidRPr="672B37ED">
        <w:rPr>
          <w:lang w:val="en-GB"/>
        </w:rPr>
        <w:t>personal development, such as addressing self-esteem and confidence issues.</w:t>
      </w:r>
    </w:p>
    <w:p w14:paraId="3DA23F1D" w14:textId="77777777" w:rsidR="00244C59" w:rsidRDefault="00244C59" w:rsidP="00244C59">
      <w:pPr>
        <w:pStyle w:val="BulletLevel1"/>
        <w:rPr>
          <w:lang w:val="en-GB"/>
        </w:rPr>
      </w:pPr>
      <w:r w:rsidRPr="2790F9E6">
        <w:rPr>
          <w:lang w:val="en-GB"/>
        </w:rPr>
        <w:t>financial courses</w:t>
      </w:r>
    </w:p>
    <w:p w14:paraId="44A9B56F" w14:textId="0D208A67" w:rsidR="00244C59" w:rsidRPr="00244C59" w:rsidRDefault="00244C59" w:rsidP="00244C59">
      <w:pPr>
        <w:pStyle w:val="BulletLevel1"/>
        <w:rPr>
          <w:lang w:val="en-GB"/>
        </w:rPr>
      </w:pPr>
      <w:r w:rsidRPr="2790F9E6">
        <w:rPr>
          <w:lang w:val="en-GB"/>
        </w:rPr>
        <w:t>parenting courses</w:t>
      </w:r>
    </w:p>
    <w:p w14:paraId="05124D1A" w14:textId="77777777" w:rsidR="00244C59" w:rsidRDefault="00244C59" w:rsidP="00244C59">
      <w:pPr>
        <w:pStyle w:val="BulletLevel1"/>
        <w:rPr>
          <w:lang w:val="en-GB"/>
        </w:rPr>
      </w:pPr>
      <w:r w:rsidRPr="672B37ED">
        <w:rPr>
          <w:lang w:val="en-GB"/>
        </w:rPr>
        <w:t>anger management courses</w:t>
      </w:r>
    </w:p>
    <w:p w14:paraId="62AE6792" w14:textId="77777777" w:rsidR="00D74559" w:rsidRDefault="00D74559" w:rsidP="004E120D">
      <w:pPr>
        <w:pStyle w:val="BulletLevel1"/>
        <w:rPr>
          <w:lang w:val="en-GB"/>
        </w:rPr>
      </w:pPr>
      <w:r w:rsidRPr="2790F9E6">
        <w:rPr>
          <w:lang w:val="en-GB"/>
        </w:rPr>
        <w:t xml:space="preserve">drug or alcohol treatment/rehabilitation programs counselling </w:t>
      </w:r>
    </w:p>
    <w:p w14:paraId="174EDCBF" w14:textId="77777777" w:rsidR="00755DC2" w:rsidRDefault="00D74559" w:rsidP="004E120D">
      <w:pPr>
        <w:pStyle w:val="BulletLevel1"/>
        <w:rPr>
          <w:lang w:val="en-GB"/>
        </w:rPr>
      </w:pPr>
      <w:r w:rsidRPr="672B37ED">
        <w:rPr>
          <w:lang w:val="en-GB"/>
        </w:rPr>
        <w:t xml:space="preserve">treatment for behavioural addictions </w:t>
      </w:r>
    </w:p>
    <w:p w14:paraId="4B7537AA" w14:textId="24316DD2" w:rsidR="00D74559" w:rsidRDefault="00D74559" w:rsidP="004E120D">
      <w:pPr>
        <w:pStyle w:val="BulletLevel1"/>
        <w:rPr>
          <w:lang w:val="en-GB"/>
        </w:rPr>
      </w:pPr>
      <w:r w:rsidRPr="672B37ED">
        <w:rPr>
          <w:lang w:val="en-GB"/>
        </w:rPr>
        <w:t>obtaining stable housing</w:t>
      </w:r>
    </w:p>
    <w:p w14:paraId="2C49700A" w14:textId="73D6822B" w:rsidR="00D74559" w:rsidRDefault="00D74559" w:rsidP="004E120D">
      <w:pPr>
        <w:pStyle w:val="BulletLevel1"/>
        <w:rPr>
          <w:lang w:val="en-GB"/>
        </w:rPr>
      </w:pPr>
      <w:r w:rsidRPr="672B37ED">
        <w:rPr>
          <w:lang w:val="en-GB"/>
        </w:rPr>
        <w:t>addressing barriers associated with caring responsibilities</w:t>
      </w:r>
    </w:p>
    <w:p w14:paraId="185BF000" w14:textId="77777777" w:rsidR="00D74559" w:rsidRDefault="00D74559" w:rsidP="004E120D">
      <w:pPr>
        <w:pStyle w:val="BulletLevel1"/>
        <w:rPr>
          <w:lang w:val="en-GB"/>
        </w:rPr>
      </w:pPr>
      <w:r w:rsidRPr="2790F9E6">
        <w:rPr>
          <w:lang w:val="en-GB"/>
        </w:rPr>
        <w:t>addressing financial instability/difficulty</w:t>
      </w:r>
      <w:r>
        <w:rPr>
          <w:lang w:val="en-GB"/>
        </w:rPr>
        <w:t>, and</w:t>
      </w:r>
    </w:p>
    <w:p w14:paraId="1A12E49A" w14:textId="77777777" w:rsidR="00D74559" w:rsidRDefault="00D74559" w:rsidP="004E120D">
      <w:pPr>
        <w:pStyle w:val="BulletLevel1"/>
        <w:rPr>
          <w:lang w:val="en-GB"/>
        </w:rPr>
      </w:pPr>
      <w:r w:rsidRPr="2790F9E6">
        <w:rPr>
          <w:lang w:val="en-GB"/>
        </w:rPr>
        <w:t xml:space="preserve">addressing transport access issues. </w:t>
      </w:r>
    </w:p>
    <w:p w14:paraId="6A121AF5" w14:textId="48586757" w:rsidR="00704F84" w:rsidRDefault="00764431" w:rsidP="00704F84">
      <w:pPr>
        <w:rPr>
          <w:rFonts w:ascii="Tahoma" w:eastAsia="Tahoma" w:hAnsi="Tahoma" w:cs="Tahoma"/>
          <w:color w:val="000000" w:themeColor="text1"/>
          <w:szCs w:val="22"/>
        </w:rPr>
      </w:pPr>
      <w:r>
        <w:rPr>
          <w:rFonts w:ascii="Tahoma" w:eastAsia="Tahoma" w:hAnsi="Tahoma" w:cs="Tahoma"/>
          <w:lang w:val="en-GB"/>
        </w:rPr>
        <w:t>Interventions</w:t>
      </w:r>
      <w:r w:rsidR="00704F84">
        <w:rPr>
          <w:rFonts w:ascii="Tahoma" w:eastAsia="Tahoma" w:hAnsi="Tahoma" w:cs="Tahoma"/>
          <w:lang w:val="en-GB"/>
        </w:rPr>
        <w:t xml:space="preserve"> are voluntary</w:t>
      </w:r>
      <w:r w:rsidR="0093614F">
        <w:rPr>
          <w:rFonts w:ascii="Tahoma" w:eastAsia="Tahoma" w:hAnsi="Tahoma" w:cs="Tahoma"/>
          <w:lang w:val="en-GB"/>
        </w:rPr>
        <w:t xml:space="preserve"> — this includes </w:t>
      </w:r>
      <w:r w:rsidR="005047E1">
        <w:rPr>
          <w:rFonts w:ascii="Tahoma" w:eastAsia="Tahoma" w:hAnsi="Tahoma" w:cs="Tahoma"/>
          <w:lang w:val="en-GB"/>
        </w:rPr>
        <w:t>as part of any plan for meaningful engagement</w:t>
      </w:r>
      <w:r w:rsidR="00704F84">
        <w:rPr>
          <w:rFonts w:ascii="Tahoma" w:eastAsia="Tahoma" w:hAnsi="Tahoma" w:cs="Tahoma"/>
          <w:lang w:val="en-GB"/>
        </w:rPr>
        <w:t>.</w:t>
      </w:r>
      <w:r w:rsidR="00AB3C72">
        <w:rPr>
          <w:rFonts w:ascii="Tahoma" w:eastAsia="Tahoma" w:hAnsi="Tahoma" w:cs="Tahoma"/>
          <w:lang w:val="en-GB"/>
        </w:rPr>
        <w:t xml:space="preserve"> A Provider may suggest these Activities</w:t>
      </w:r>
      <w:r w:rsidR="00E00004">
        <w:rPr>
          <w:rFonts w:ascii="Tahoma" w:eastAsia="Tahoma" w:hAnsi="Tahoma" w:cs="Tahoma"/>
          <w:lang w:val="en-GB"/>
        </w:rPr>
        <w:t>,</w:t>
      </w:r>
      <w:r w:rsidR="00AB3C72">
        <w:rPr>
          <w:rFonts w:ascii="Tahoma" w:eastAsia="Tahoma" w:hAnsi="Tahoma" w:cs="Tahoma"/>
          <w:lang w:val="en-GB"/>
        </w:rPr>
        <w:t xml:space="preserve"> but </w:t>
      </w:r>
      <w:r w:rsidR="00580D24" w:rsidRPr="52D74D63">
        <w:rPr>
          <w:rFonts w:ascii="Tahoma" w:eastAsia="Tahoma" w:hAnsi="Tahoma" w:cs="Tahoma"/>
          <w:color w:val="000000" w:themeColor="text1"/>
          <w:szCs w:val="22"/>
        </w:rPr>
        <w:t>Participants can refuse to undertake a</w:t>
      </w:r>
      <w:r w:rsidR="00580D24">
        <w:rPr>
          <w:rFonts w:ascii="Tahoma" w:eastAsia="Tahoma" w:hAnsi="Tahoma" w:cs="Tahoma"/>
          <w:color w:val="000000" w:themeColor="text1"/>
          <w:szCs w:val="22"/>
        </w:rPr>
        <w:t>n</w:t>
      </w:r>
      <w:r w:rsidR="00580D24" w:rsidRPr="52D74D63">
        <w:rPr>
          <w:rFonts w:ascii="Tahoma" w:eastAsia="Tahoma" w:hAnsi="Tahoma" w:cs="Tahoma"/>
          <w:color w:val="000000" w:themeColor="text1"/>
          <w:szCs w:val="22"/>
        </w:rPr>
        <w:t xml:space="preserve"> </w:t>
      </w:r>
      <w:r w:rsidR="00580D24">
        <w:rPr>
          <w:rFonts w:ascii="Tahoma" w:eastAsia="Tahoma" w:hAnsi="Tahoma" w:cs="Tahoma"/>
          <w:color w:val="000000" w:themeColor="text1"/>
          <w:szCs w:val="22"/>
        </w:rPr>
        <w:t>Intervention</w:t>
      </w:r>
      <w:r w:rsidR="00704F84">
        <w:rPr>
          <w:rFonts w:ascii="Tahoma" w:eastAsia="Tahoma" w:hAnsi="Tahoma" w:cs="Tahoma"/>
          <w:color w:val="000000" w:themeColor="text1"/>
          <w:szCs w:val="22"/>
        </w:rPr>
        <w:t>.</w:t>
      </w:r>
    </w:p>
    <w:p w14:paraId="47DE88A0" w14:textId="77777777" w:rsidR="000D0E33" w:rsidRDefault="000D0E33" w:rsidP="000D0E33">
      <w:pPr>
        <w:pStyle w:val="SystemStep"/>
        <w:rPr>
          <w:rFonts w:ascii="Tahoma" w:eastAsia="Tahoma" w:hAnsi="Tahoma" w:cs="Tahoma"/>
          <w:lang w:val="en-GB"/>
        </w:rPr>
      </w:pPr>
      <w:r w:rsidRPr="21E3D223">
        <w:rPr>
          <w:lang w:val="en-GB"/>
        </w:rPr>
        <w:t xml:space="preserve">The Provider must </w:t>
      </w:r>
      <w:r>
        <w:rPr>
          <w:lang w:val="en-GB"/>
        </w:rPr>
        <w:t>add the</w:t>
      </w:r>
      <w:r w:rsidRPr="21E3D223">
        <w:rPr>
          <w:lang w:val="en-GB"/>
        </w:rPr>
        <w:t xml:space="preserve"> Participant’s </w:t>
      </w:r>
      <w:r>
        <w:rPr>
          <w:lang w:val="en-GB"/>
        </w:rPr>
        <w:t>participation in Interventions as an Activity</w:t>
      </w:r>
      <w:r w:rsidRPr="21E3D223">
        <w:rPr>
          <w:lang w:val="en-GB"/>
        </w:rPr>
        <w:t xml:space="preserve"> in the Department’s IT Systems</w:t>
      </w:r>
      <w:r>
        <w:rPr>
          <w:lang w:val="en-GB"/>
        </w:rPr>
        <w:t>.</w:t>
      </w:r>
    </w:p>
    <w:p w14:paraId="0518952A" w14:textId="173BEC75" w:rsidR="00580D24" w:rsidRDefault="00580D24" w:rsidP="00AC4721">
      <w:pPr>
        <w:pStyle w:val="DocumentaryEvidenceRequirement"/>
        <w:rPr>
          <w:lang w:val="en-GB"/>
        </w:rPr>
      </w:pPr>
      <w:r>
        <w:rPr>
          <w:lang w:val="en-GB"/>
        </w:rPr>
        <w:t xml:space="preserve">Providers should capture </w:t>
      </w:r>
      <w:r w:rsidR="008540D5">
        <w:rPr>
          <w:lang w:val="en-GB"/>
        </w:rPr>
        <w:t xml:space="preserve">Interventions offered to the Participant through the </w:t>
      </w:r>
      <w:r w:rsidR="005E6155">
        <w:rPr>
          <w:lang w:val="en-GB"/>
        </w:rPr>
        <w:t>Capability</w:t>
      </w:r>
      <w:r w:rsidR="000D1AC4">
        <w:rPr>
          <w:lang w:val="en-GB"/>
        </w:rPr>
        <w:t xml:space="preserve"> </w:t>
      </w:r>
      <w:r w:rsidR="005E6155">
        <w:rPr>
          <w:lang w:val="en-GB"/>
        </w:rPr>
        <w:t xml:space="preserve">Management Tool in accordance with </w:t>
      </w:r>
      <w:r w:rsidR="002D5130">
        <w:rPr>
          <w:lang w:val="en-GB"/>
        </w:rPr>
        <w:fldChar w:fldCharType="begin"/>
      </w:r>
      <w:r w:rsidR="002D5130">
        <w:rPr>
          <w:lang w:val="en-GB"/>
        </w:rPr>
        <w:instrText xml:space="preserve"> REF _Ref202796890 \h </w:instrText>
      </w:r>
      <w:r w:rsidR="002D5130">
        <w:rPr>
          <w:lang w:val="en-GB"/>
        </w:rPr>
      </w:r>
      <w:r w:rsidR="002D5130">
        <w:rPr>
          <w:lang w:val="en-GB"/>
        </w:rPr>
        <w:fldChar w:fldCharType="separate"/>
      </w:r>
      <w:r w:rsidR="002D5130">
        <w:t>5.</w:t>
      </w:r>
      <w:r w:rsidR="002D5130" w:rsidRPr="72B4EEE6">
        <w:t>4</w:t>
      </w:r>
      <w:r w:rsidR="002D5130">
        <w:t xml:space="preserve"> </w:t>
      </w:r>
      <w:r w:rsidR="002D5130" w:rsidRPr="72B4EEE6">
        <w:t>Capability Management Tool</w:t>
      </w:r>
      <w:r w:rsidR="002D5130">
        <w:rPr>
          <w:lang w:val="en-GB"/>
        </w:rPr>
        <w:fldChar w:fldCharType="end"/>
      </w:r>
      <w:r w:rsidR="00F079D7">
        <w:rPr>
          <w:rFonts w:ascii="Tahoma" w:eastAsia="Tahoma" w:hAnsi="Tahoma" w:cs="Tahoma"/>
          <w:color w:val="000000" w:themeColor="text1"/>
        </w:rPr>
        <w:fldChar w:fldCharType="begin"/>
      </w:r>
      <w:r w:rsidR="00F079D7">
        <w:rPr>
          <w:rFonts w:ascii="Tahoma" w:eastAsia="Tahoma" w:hAnsi="Tahoma" w:cs="Tahoma"/>
          <w:color w:val="000000" w:themeColor="text1"/>
        </w:rPr>
        <w:instrText xml:space="preserve"> REF _Ref202796890 \h </w:instrText>
      </w:r>
      <w:r w:rsidR="00F079D7">
        <w:rPr>
          <w:rFonts w:ascii="Tahoma" w:eastAsia="Tahoma" w:hAnsi="Tahoma" w:cs="Tahoma"/>
          <w:color w:val="000000" w:themeColor="text1"/>
        </w:rPr>
      </w:r>
      <w:r w:rsidR="00F079D7">
        <w:rPr>
          <w:rFonts w:ascii="Tahoma" w:eastAsia="Tahoma" w:hAnsi="Tahoma" w:cs="Tahoma"/>
          <w:color w:val="000000" w:themeColor="text1"/>
        </w:rPr>
        <w:fldChar w:fldCharType="separate"/>
      </w:r>
      <w:r w:rsidR="00F079D7">
        <w:rPr>
          <w:rFonts w:ascii="Tahoma" w:eastAsia="Tahoma" w:hAnsi="Tahoma" w:cs="Tahoma"/>
          <w:color w:val="000000" w:themeColor="text1"/>
        </w:rPr>
        <w:fldChar w:fldCharType="end"/>
      </w:r>
      <w:r w:rsidR="00AC4721">
        <w:rPr>
          <w:lang w:val="en-GB"/>
        </w:rPr>
        <w:t>.</w:t>
      </w:r>
    </w:p>
    <w:p w14:paraId="61D8AF0D" w14:textId="77777777" w:rsidR="00D74559" w:rsidRDefault="00D74559" w:rsidP="0067672E">
      <w:pPr>
        <w:keepNext/>
        <w:rPr>
          <w:rFonts w:ascii="Tahoma" w:eastAsia="Tahoma" w:hAnsi="Tahoma" w:cs="Tahoma"/>
          <w:szCs w:val="22"/>
          <w:lang w:val="en-GB"/>
        </w:rPr>
      </w:pPr>
      <w:r w:rsidRPr="2790F9E6">
        <w:rPr>
          <w:rFonts w:ascii="Tahoma" w:eastAsia="Tahoma" w:hAnsi="Tahoma" w:cs="Tahoma"/>
          <w:szCs w:val="22"/>
          <w:lang w:val="en-GB"/>
        </w:rPr>
        <w:t xml:space="preserve">Arranging these </w:t>
      </w:r>
      <w:r>
        <w:rPr>
          <w:rFonts w:ascii="Tahoma" w:eastAsia="Tahoma" w:hAnsi="Tahoma" w:cs="Tahoma"/>
          <w:szCs w:val="22"/>
          <w:lang w:val="en-GB"/>
        </w:rPr>
        <w:t>I</w:t>
      </w:r>
      <w:r w:rsidRPr="2790F9E6">
        <w:rPr>
          <w:rFonts w:ascii="Tahoma" w:eastAsia="Tahoma" w:hAnsi="Tahoma" w:cs="Tahoma"/>
          <w:szCs w:val="22"/>
          <w:lang w:val="en-GB"/>
        </w:rPr>
        <w:t>n</w:t>
      </w:r>
      <w:r>
        <w:rPr>
          <w:rFonts w:ascii="Tahoma" w:eastAsia="Tahoma" w:hAnsi="Tahoma" w:cs="Tahoma"/>
          <w:szCs w:val="22"/>
          <w:lang w:val="en-GB"/>
        </w:rPr>
        <w:t>ter</w:t>
      </w:r>
      <w:r w:rsidRPr="2790F9E6">
        <w:rPr>
          <w:rFonts w:ascii="Tahoma" w:eastAsia="Tahoma" w:hAnsi="Tahoma" w:cs="Tahoma"/>
          <w:szCs w:val="22"/>
          <w:lang w:val="en-GB"/>
        </w:rPr>
        <w:t>ventions may</w:t>
      </w:r>
      <w:r>
        <w:rPr>
          <w:rFonts w:ascii="Tahoma" w:eastAsia="Tahoma" w:hAnsi="Tahoma" w:cs="Tahoma"/>
          <w:szCs w:val="22"/>
          <w:lang w:val="en-GB"/>
        </w:rPr>
        <w:t>:</w:t>
      </w:r>
    </w:p>
    <w:p w14:paraId="50C06E06" w14:textId="77777777" w:rsidR="00D74559" w:rsidRDefault="00D74559" w:rsidP="0067672E">
      <w:pPr>
        <w:pStyle w:val="BulletLevel1"/>
        <w:keepNext/>
      </w:pPr>
      <w:r w:rsidRPr="2790F9E6">
        <w:rPr>
          <w:lang w:val="en-GB"/>
        </w:rPr>
        <w:t>include</w:t>
      </w:r>
      <w:r>
        <w:rPr>
          <w:lang w:val="en-GB"/>
        </w:rPr>
        <w:t xml:space="preserve"> </w:t>
      </w:r>
      <w:r w:rsidRPr="2790F9E6">
        <w:rPr>
          <w:lang w:val="en-GB"/>
        </w:rPr>
        <w:t>the assistance of a:</w:t>
      </w:r>
    </w:p>
    <w:p w14:paraId="0149B007" w14:textId="77777777" w:rsidR="00D74559" w:rsidRDefault="00D74559" w:rsidP="004E120D">
      <w:pPr>
        <w:pStyle w:val="BulletLevel2"/>
      </w:pPr>
      <w:r w:rsidRPr="2790F9E6">
        <w:rPr>
          <w:lang w:val="en-GB"/>
        </w:rPr>
        <w:t xml:space="preserve">doctor </w:t>
      </w:r>
    </w:p>
    <w:p w14:paraId="02F2B9D7" w14:textId="77777777" w:rsidR="00D74559" w:rsidRDefault="00D74559" w:rsidP="004E120D">
      <w:pPr>
        <w:pStyle w:val="BulletLevel2"/>
      </w:pPr>
      <w:r w:rsidRPr="2790F9E6">
        <w:rPr>
          <w:lang w:val="en-GB"/>
        </w:rPr>
        <w:t xml:space="preserve">counsellor </w:t>
      </w:r>
    </w:p>
    <w:p w14:paraId="34D0108C" w14:textId="77777777" w:rsidR="00D74559" w:rsidRDefault="00D74559" w:rsidP="004E120D">
      <w:pPr>
        <w:pStyle w:val="BulletLevel2"/>
      </w:pPr>
      <w:r w:rsidRPr="2790F9E6">
        <w:rPr>
          <w:lang w:val="en-GB"/>
        </w:rPr>
        <w:t xml:space="preserve">psychologist </w:t>
      </w:r>
    </w:p>
    <w:p w14:paraId="2D17ACFA" w14:textId="77777777" w:rsidR="00D74559" w:rsidRDefault="00D74559" w:rsidP="004E120D">
      <w:pPr>
        <w:pStyle w:val="BulletLevel2"/>
        <w:rPr>
          <w:lang w:val="en-GB"/>
        </w:rPr>
      </w:pPr>
      <w:r w:rsidRPr="2790F9E6">
        <w:rPr>
          <w:lang w:val="en-GB"/>
        </w:rPr>
        <w:t>social worker</w:t>
      </w:r>
      <w:r>
        <w:rPr>
          <w:lang w:val="en-GB"/>
        </w:rPr>
        <w:t>, or</w:t>
      </w:r>
    </w:p>
    <w:p w14:paraId="0053C369" w14:textId="77777777" w:rsidR="00D74559" w:rsidRDefault="00D74559" w:rsidP="004E120D">
      <w:pPr>
        <w:pStyle w:val="BulletLevel2"/>
        <w:rPr>
          <w:lang w:val="en-GB"/>
        </w:rPr>
      </w:pPr>
      <w:r>
        <w:rPr>
          <w:lang w:val="en-GB"/>
        </w:rPr>
        <w:t>a</w:t>
      </w:r>
      <w:r w:rsidRPr="2790F9E6">
        <w:rPr>
          <w:lang w:val="en-GB"/>
        </w:rPr>
        <w:t>llied health professional</w:t>
      </w:r>
      <w:r>
        <w:rPr>
          <w:lang w:val="en-GB"/>
        </w:rPr>
        <w:t>, and/or</w:t>
      </w:r>
    </w:p>
    <w:p w14:paraId="287C410A" w14:textId="77777777" w:rsidR="00D74559" w:rsidRDefault="00D74559" w:rsidP="00E00004">
      <w:pPr>
        <w:pStyle w:val="BulletLevel1"/>
        <w:keepNext/>
        <w:rPr>
          <w:lang w:val="en-GB"/>
        </w:rPr>
      </w:pPr>
      <w:r>
        <w:rPr>
          <w:lang w:val="en-GB"/>
        </w:rPr>
        <w:t>include referral to:</w:t>
      </w:r>
    </w:p>
    <w:p w14:paraId="41D7ED12" w14:textId="77777777" w:rsidR="00D74559" w:rsidRDefault="00D74559" w:rsidP="004E120D">
      <w:pPr>
        <w:pStyle w:val="BulletLevel2"/>
        <w:rPr>
          <w:lang w:val="en-GB"/>
        </w:rPr>
      </w:pPr>
      <w:r>
        <w:rPr>
          <w:lang w:val="en-GB"/>
        </w:rPr>
        <w:t>r</w:t>
      </w:r>
      <w:r w:rsidRPr="111F7F31">
        <w:rPr>
          <w:lang w:val="en-GB"/>
        </w:rPr>
        <w:t xml:space="preserve">ehabilitation </w:t>
      </w:r>
      <w:r>
        <w:rPr>
          <w:lang w:val="en-GB"/>
        </w:rPr>
        <w:t>p</w:t>
      </w:r>
      <w:r w:rsidRPr="111F7F31">
        <w:rPr>
          <w:lang w:val="en-GB"/>
        </w:rPr>
        <w:t>rovider</w:t>
      </w:r>
    </w:p>
    <w:p w14:paraId="13AEA040" w14:textId="77777777" w:rsidR="00D74559" w:rsidRDefault="00D74559" w:rsidP="004E120D">
      <w:pPr>
        <w:pStyle w:val="BulletLevel2"/>
        <w:rPr>
          <w:lang w:val="en-GB"/>
        </w:rPr>
      </w:pPr>
      <w:r>
        <w:rPr>
          <w:lang w:val="en-GB"/>
        </w:rPr>
        <w:t>driving lessons</w:t>
      </w:r>
    </w:p>
    <w:p w14:paraId="2D4664CF" w14:textId="77777777" w:rsidR="00D74559" w:rsidRDefault="00D74559" w:rsidP="004E120D">
      <w:pPr>
        <w:pStyle w:val="BulletLevel2"/>
        <w:rPr>
          <w:lang w:val="en-GB"/>
        </w:rPr>
      </w:pPr>
      <w:r>
        <w:rPr>
          <w:lang w:val="en-GB"/>
        </w:rPr>
        <w:t>s</w:t>
      </w:r>
      <w:r w:rsidRPr="2790F9E6">
        <w:rPr>
          <w:lang w:val="en-GB"/>
        </w:rPr>
        <w:t>elf-help programs</w:t>
      </w:r>
    </w:p>
    <w:p w14:paraId="00961D77" w14:textId="77777777" w:rsidR="00D74559" w:rsidRDefault="00D74559" w:rsidP="004E120D">
      <w:pPr>
        <w:pStyle w:val="BulletLevel2"/>
        <w:rPr>
          <w:lang w:val="en-GB"/>
        </w:rPr>
      </w:pPr>
      <w:r>
        <w:rPr>
          <w:lang w:val="en-GB"/>
        </w:rPr>
        <w:t>s</w:t>
      </w:r>
      <w:r w:rsidRPr="2790F9E6">
        <w:rPr>
          <w:lang w:val="en-GB"/>
        </w:rPr>
        <w:t>upport groups</w:t>
      </w:r>
      <w:r>
        <w:rPr>
          <w:lang w:val="en-GB"/>
        </w:rPr>
        <w:t>, or</w:t>
      </w:r>
    </w:p>
    <w:p w14:paraId="19F4FD8E" w14:textId="7A5C4EE4" w:rsidR="00D74559" w:rsidRDefault="00D74559" w:rsidP="004E120D">
      <w:pPr>
        <w:pStyle w:val="BulletLevel2"/>
        <w:rPr>
          <w:lang w:val="en-GB"/>
        </w:rPr>
      </w:pPr>
      <w:r w:rsidRPr="2790F9E6">
        <w:rPr>
          <w:lang w:val="en-GB"/>
        </w:rPr>
        <w:t>appropriate government, health, community or private organisations</w:t>
      </w:r>
      <w:r w:rsidR="00B27657">
        <w:rPr>
          <w:lang w:val="en-GB"/>
        </w:rPr>
        <w:t>.</w:t>
      </w:r>
      <w:r w:rsidRPr="2790F9E6">
        <w:rPr>
          <w:lang w:val="en-GB"/>
        </w:rPr>
        <w:t xml:space="preserve"> </w:t>
      </w:r>
    </w:p>
    <w:p w14:paraId="66AFE137" w14:textId="60D44726" w:rsidR="00D74559" w:rsidRDefault="00D74559">
      <w:pPr>
        <w:rPr>
          <w:rFonts w:ascii="Tahoma" w:eastAsia="Tahoma" w:hAnsi="Tahoma" w:cs="Tahoma"/>
          <w:lang w:val="en-GB"/>
        </w:rPr>
      </w:pPr>
      <w:r>
        <w:rPr>
          <w:rFonts w:ascii="Tahoma" w:eastAsia="Tahoma" w:hAnsi="Tahoma" w:cs="Tahoma"/>
          <w:lang w:val="en-GB"/>
        </w:rPr>
        <w:t>Interventions</w:t>
      </w:r>
      <w:r w:rsidRPr="672B37ED">
        <w:rPr>
          <w:rFonts w:ascii="Tahoma" w:eastAsia="Tahoma" w:hAnsi="Tahoma" w:cs="Tahoma"/>
          <w:lang w:val="en-GB"/>
        </w:rPr>
        <w:t xml:space="preserve"> </w:t>
      </w:r>
      <w:r w:rsidR="0026324E">
        <w:rPr>
          <w:rFonts w:ascii="Tahoma" w:eastAsia="Tahoma" w:hAnsi="Tahoma" w:cs="Tahoma"/>
          <w:lang w:val="en-GB"/>
        </w:rPr>
        <w:t xml:space="preserve">and other non-vocational supports </w:t>
      </w:r>
      <w:r w:rsidRPr="672B37ED">
        <w:rPr>
          <w:rFonts w:ascii="Tahoma" w:eastAsia="Tahoma" w:hAnsi="Tahoma" w:cs="Tahoma"/>
          <w:lang w:val="en-GB"/>
        </w:rPr>
        <w:t>can be delivered either in-person or, via video</w:t>
      </w:r>
      <w:r w:rsidR="00E72D4F">
        <w:rPr>
          <w:rFonts w:ascii="Tahoma" w:eastAsia="Tahoma" w:hAnsi="Tahoma" w:cs="Tahoma"/>
          <w:lang w:val="en-GB"/>
        </w:rPr>
        <w:t>conference</w:t>
      </w:r>
      <w:r w:rsidRPr="672B37ED">
        <w:rPr>
          <w:rFonts w:ascii="Tahoma" w:eastAsia="Tahoma" w:hAnsi="Tahoma" w:cs="Tahoma"/>
          <w:lang w:val="en-GB"/>
        </w:rPr>
        <w:t xml:space="preserve"> or </w:t>
      </w:r>
      <w:r w:rsidR="00D9789A">
        <w:rPr>
          <w:rFonts w:ascii="Tahoma" w:eastAsia="Tahoma" w:hAnsi="Tahoma" w:cs="Tahoma"/>
          <w:lang w:val="en-GB"/>
        </w:rPr>
        <w:t>phone</w:t>
      </w:r>
      <w:r w:rsidR="00E12486">
        <w:rPr>
          <w:rFonts w:ascii="Tahoma" w:eastAsia="Tahoma" w:hAnsi="Tahoma" w:cs="Tahoma"/>
          <w:lang w:val="en-GB"/>
        </w:rPr>
        <w:t xml:space="preserve"> call</w:t>
      </w:r>
      <w:r w:rsidRPr="672B37ED">
        <w:rPr>
          <w:rFonts w:ascii="Tahoma" w:eastAsia="Tahoma" w:hAnsi="Tahoma" w:cs="Tahoma"/>
          <w:lang w:val="en-GB"/>
        </w:rPr>
        <w:t>.</w:t>
      </w:r>
    </w:p>
    <w:p w14:paraId="71B7AEBB" w14:textId="471010BA" w:rsidR="00B67C2A" w:rsidRDefault="005F2468" w:rsidP="005F2468">
      <w:pPr>
        <w:rPr>
          <w:rFonts w:ascii="Tahoma" w:eastAsia="Tahoma" w:hAnsi="Tahoma" w:cs="Tahoma"/>
        </w:rPr>
      </w:pPr>
      <w:r w:rsidRPr="005F2468">
        <w:rPr>
          <w:rFonts w:ascii="Tahoma" w:eastAsia="Tahoma" w:hAnsi="Tahoma" w:cs="Tahoma"/>
        </w:rPr>
        <w:t xml:space="preserve">Providers should provide personalised assistance to help the Participant connect to the </w:t>
      </w:r>
      <w:r w:rsidR="00B501F4">
        <w:rPr>
          <w:rFonts w:ascii="Tahoma" w:eastAsia="Tahoma" w:hAnsi="Tahoma" w:cs="Tahoma"/>
        </w:rPr>
        <w:t xml:space="preserve">support or </w:t>
      </w:r>
      <w:r w:rsidRPr="005F2468">
        <w:rPr>
          <w:rFonts w:ascii="Tahoma" w:eastAsia="Tahoma" w:hAnsi="Tahoma" w:cs="Tahoma"/>
        </w:rPr>
        <w:t xml:space="preserve">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w:t>
      </w:r>
      <w:r w:rsidR="005F7E36">
        <w:rPr>
          <w:rFonts w:ascii="Tahoma" w:eastAsia="Tahoma" w:hAnsi="Tahoma" w:cs="Tahoma"/>
        </w:rPr>
        <w:t>R</w:t>
      </w:r>
      <w:r w:rsidR="005F7E36" w:rsidRPr="005F2468">
        <w:rPr>
          <w:rFonts w:ascii="Tahoma" w:eastAsia="Tahoma" w:hAnsi="Tahoma" w:cs="Tahoma"/>
        </w:rPr>
        <w:t xml:space="preserve">elationships </w:t>
      </w:r>
      <w:r w:rsidRPr="005F2468">
        <w:rPr>
          <w:rFonts w:ascii="Tahoma" w:eastAsia="Tahoma" w:hAnsi="Tahoma" w:cs="Tahoma"/>
        </w:rPr>
        <w:t xml:space="preserve">with community organisations that provide </w:t>
      </w:r>
      <w:r w:rsidR="0032741A">
        <w:rPr>
          <w:rFonts w:ascii="Tahoma" w:eastAsia="Tahoma" w:hAnsi="Tahoma" w:cs="Tahoma"/>
        </w:rPr>
        <w:t>these</w:t>
      </w:r>
      <w:r w:rsidRPr="005F2468">
        <w:rPr>
          <w:rFonts w:ascii="Tahoma" w:eastAsia="Tahoma" w:hAnsi="Tahoma" w:cs="Tahoma"/>
        </w:rPr>
        <w:t xml:space="preserve"> services will support these personalised referrals</w:t>
      </w:r>
      <w:r w:rsidR="0032741A">
        <w:rPr>
          <w:rFonts w:ascii="Tahoma" w:eastAsia="Tahoma" w:hAnsi="Tahoma" w:cs="Tahoma"/>
        </w:rPr>
        <w:t>.</w:t>
      </w:r>
    </w:p>
    <w:p w14:paraId="23539263" w14:textId="61EF1364" w:rsidR="008C5516" w:rsidRDefault="00513DA1" w:rsidP="008C5516">
      <w:pPr>
        <w:pStyle w:val="SystemStep"/>
        <w:rPr>
          <w:lang w:val="en-GB"/>
        </w:rPr>
      </w:pPr>
      <w:r>
        <w:rPr>
          <w:lang w:val="en-GB"/>
        </w:rPr>
        <w:t>Appointments with non-vocational service providers can be captured as a Third-Party Appointment in the Participant’s Electronic Calendar.</w:t>
      </w:r>
    </w:p>
    <w:p w14:paraId="4DBB86CC" w14:textId="19746DB8" w:rsidR="001E637D" w:rsidRPr="004065C9" w:rsidRDefault="00D74559" w:rsidP="001E637D">
      <w:r w:rsidRPr="25BC4409">
        <w:t xml:space="preserve">Providers </w:t>
      </w:r>
      <w:r w:rsidR="0064450E">
        <w:t xml:space="preserve">should </w:t>
      </w:r>
      <w:r w:rsidR="001E637D" w:rsidRPr="25BC4409">
        <w:t xml:space="preserve">consider </w:t>
      </w:r>
      <w:r w:rsidR="00E97230">
        <w:t>if</w:t>
      </w:r>
      <w:r w:rsidR="001E637D" w:rsidRPr="25BC4409">
        <w:t xml:space="preserve"> the Flexible Service is appropriate while a Participant is undertaking Interventions.</w:t>
      </w:r>
    </w:p>
    <w:p w14:paraId="045FDBE7" w14:textId="2B6205B4" w:rsidR="00D74559" w:rsidRPr="00FB7CD7" w:rsidRDefault="00E00004" w:rsidP="006E2EF5">
      <w:pPr>
        <w:rPr>
          <w:rFonts w:ascii="Tahoma" w:eastAsia="Tahoma" w:hAnsi="Tahoma" w:cs="Tahoma"/>
          <w:color w:val="000000" w:themeColor="text1"/>
          <w:lang w:val="en-US"/>
        </w:rPr>
      </w:pPr>
      <w:r>
        <w:rPr>
          <w:rFonts w:ascii="Tahoma" w:eastAsia="Tahoma" w:hAnsi="Tahoma" w:cs="Tahoma"/>
          <w:color w:val="000000" w:themeColor="text1"/>
        </w:rPr>
        <w:t xml:space="preserve">If a Participant has a Detailed Job Plan, </w:t>
      </w:r>
      <w:r w:rsidRPr="00BB5424">
        <w:rPr>
          <w:lang w:val="en-GB"/>
        </w:rPr>
        <w:t xml:space="preserve">Providers </w:t>
      </w:r>
      <w:r w:rsidR="00EE22A0">
        <w:rPr>
          <w:lang w:val="en-GB"/>
        </w:rPr>
        <w:t>should</w:t>
      </w:r>
      <w:r w:rsidRPr="00BB5424">
        <w:rPr>
          <w:lang w:val="en-GB"/>
        </w:rPr>
        <w:t xml:space="preserve"> </w:t>
      </w:r>
      <w:r w:rsidR="00D74559" w:rsidRPr="00BB5424">
        <w:rPr>
          <w:lang w:val="en-GB"/>
        </w:rPr>
        <w:t>update a Participant’s Job Plan to include</w:t>
      </w:r>
      <w:r w:rsidR="00D74559" w:rsidRPr="672B37ED">
        <w:rPr>
          <w:rFonts w:ascii="Tahoma" w:eastAsia="Tahoma" w:hAnsi="Tahoma" w:cs="Tahoma"/>
          <w:color w:val="000000" w:themeColor="text1"/>
        </w:rPr>
        <w:t xml:space="preserve"> a code that best reflects the non-vocational </w:t>
      </w:r>
      <w:r w:rsidR="00D02C28" w:rsidRPr="4B360EFD">
        <w:rPr>
          <w:rFonts w:ascii="Tahoma" w:eastAsia="Tahoma" w:hAnsi="Tahoma" w:cs="Tahoma"/>
          <w:color w:val="000000" w:themeColor="text1"/>
        </w:rPr>
        <w:t>i</w:t>
      </w:r>
      <w:r w:rsidR="00D74559" w:rsidRPr="4B360EFD">
        <w:rPr>
          <w:rFonts w:ascii="Tahoma" w:eastAsia="Tahoma" w:hAnsi="Tahoma" w:cs="Tahoma"/>
          <w:color w:val="000000" w:themeColor="text1"/>
        </w:rPr>
        <w:t>ntervention</w:t>
      </w:r>
      <w:r w:rsidR="00D74559" w:rsidRPr="672B37ED">
        <w:rPr>
          <w:rFonts w:ascii="Tahoma" w:eastAsia="Tahoma" w:hAnsi="Tahoma" w:cs="Tahoma"/>
          <w:color w:val="000000" w:themeColor="text1"/>
        </w:rPr>
        <w:t xml:space="preserve"> or use Code NV13 [Intervention – Non-specific</w:t>
      </w:r>
      <w:r>
        <w:rPr>
          <w:rFonts w:ascii="Tahoma" w:eastAsia="Tahoma" w:hAnsi="Tahoma" w:cs="Tahoma"/>
          <w:color w:val="000000" w:themeColor="text1"/>
        </w:rPr>
        <w:t>]</w:t>
      </w:r>
      <w:r w:rsidR="00C93FF8">
        <w:rPr>
          <w:rFonts w:ascii="Tahoma" w:eastAsia="Tahoma" w:hAnsi="Tahoma" w:cs="Tahoma"/>
          <w:color w:val="000000" w:themeColor="text1"/>
        </w:rPr>
        <w:t>, with</w:t>
      </w:r>
      <w:r w:rsidR="003648AC">
        <w:rPr>
          <w:rFonts w:ascii="Tahoma" w:eastAsia="Tahoma" w:hAnsi="Tahoma" w:cs="Tahoma"/>
          <w:color w:val="000000" w:themeColor="text1"/>
        </w:rPr>
        <w:t xml:space="preserve"> the </w:t>
      </w:r>
      <w:r w:rsidR="00C93FF8">
        <w:rPr>
          <w:rFonts w:ascii="Tahoma" w:eastAsia="Tahoma" w:hAnsi="Tahoma" w:cs="Tahoma"/>
          <w:color w:val="000000" w:themeColor="text1"/>
        </w:rPr>
        <w:t>Activity captured</w:t>
      </w:r>
      <w:r w:rsidR="00EE22A0">
        <w:rPr>
          <w:rFonts w:ascii="Tahoma" w:eastAsia="Tahoma" w:hAnsi="Tahoma" w:cs="Tahoma"/>
          <w:color w:val="000000" w:themeColor="text1"/>
        </w:rPr>
        <w:t xml:space="preserve"> as a voluntary requirement</w:t>
      </w:r>
      <w:r w:rsidR="003648AC">
        <w:rPr>
          <w:rFonts w:ascii="Tahoma" w:eastAsia="Tahoma" w:hAnsi="Tahoma" w:cs="Tahoma"/>
          <w:color w:val="000000" w:themeColor="text1"/>
        </w:rPr>
        <w:t>.</w:t>
      </w:r>
    </w:p>
    <w:p w14:paraId="1CDC567E" w14:textId="77777777" w:rsidR="00D74559" w:rsidRDefault="00D74559" w:rsidP="006D1645">
      <w:pPr>
        <w:pStyle w:val="Heading5"/>
        <w:rPr>
          <w:lang w:val="en-GB"/>
        </w:rPr>
      </w:pPr>
      <w:r>
        <w:rPr>
          <w:lang w:val="en-GB"/>
        </w:rPr>
        <w:t>Drug and alcohol treatment or rehabilitation in a residential program</w:t>
      </w:r>
    </w:p>
    <w:p w14:paraId="4BEED9FE" w14:textId="77777777" w:rsidR="00D74559" w:rsidRDefault="00D74559" w:rsidP="006E2EF5">
      <w:r w:rsidRPr="005D2969">
        <w:t>If a Provider identifies or becomes aware that a Participant</w:t>
      </w:r>
      <w:r>
        <w:t xml:space="preserve"> (Mutual Obligation)</w:t>
      </w:r>
      <w:r w:rsidRPr="005D2969">
        <w:t xml:space="preserve"> </w:t>
      </w:r>
      <w:r>
        <w:t xml:space="preserve">has reduced capability to meet their participation requirements </w:t>
      </w:r>
      <w:r w:rsidRPr="005D2969">
        <w:t>due to a drug or alcohol dependency, the Provider should discuss this with the Participant to identify rehabilitation options that would assist the Participant to address their dependence.</w:t>
      </w:r>
    </w:p>
    <w:p w14:paraId="252DC449" w14:textId="77777777" w:rsidR="00D74559" w:rsidRDefault="00D74559" w:rsidP="006E2EF5">
      <w:r w:rsidRPr="00F94119">
        <w:t xml:space="preserve">Staff of residential programs and intensive treatment programs have an Implied Authority to act on behalf of an individual attending their facility. </w:t>
      </w:r>
    </w:p>
    <w:p w14:paraId="17BA37A3" w14:textId="77777777" w:rsidR="0056151A" w:rsidRPr="00EF434C" w:rsidRDefault="0056151A" w:rsidP="0056151A">
      <w:r w:rsidRPr="00F94119">
        <w:t xml:space="preserve">Verbal notification of commencement into the treatment program and release is sufficient. Participants or treatment facilities are not required to provide written evidence of their participation in treatment programs. </w:t>
      </w:r>
      <w:r>
        <w:t>F</w:t>
      </w:r>
      <w:r w:rsidRPr="00F94119">
        <w:t>ull-time rehabilitation treatment</w:t>
      </w:r>
      <w:r>
        <w:t xml:space="preserve"> does not have to be entered in </w:t>
      </w:r>
      <w:r w:rsidRPr="00F94119">
        <w:t>the Participant's Electronic Calendar</w:t>
      </w:r>
      <w:r>
        <w:t>.</w:t>
      </w:r>
      <w:r w:rsidRPr="00EF434C">
        <w:t xml:space="preserve"> </w:t>
      </w:r>
    </w:p>
    <w:p w14:paraId="5DF51E16" w14:textId="77777777" w:rsidR="0056151A" w:rsidRDefault="0056151A" w:rsidP="0056151A">
      <w:r w:rsidRPr="00F94119">
        <w:t xml:space="preserve">If the Participant </w:t>
      </w:r>
      <w:r>
        <w:t>will be undertaking</w:t>
      </w:r>
      <w:r w:rsidRPr="00F94119">
        <w:t xml:space="preserve"> </w:t>
      </w:r>
      <w:r>
        <w:t>non-residential drug</w:t>
      </w:r>
      <w:r w:rsidRPr="00F94119">
        <w:t xml:space="preserve"> or </w:t>
      </w:r>
      <w:r>
        <w:t>alcohol</w:t>
      </w:r>
      <w:r w:rsidRPr="00F94119">
        <w:t xml:space="preserve"> dependency treatment (such as counselling sessions) or is already doing so when they </w:t>
      </w:r>
      <w:r>
        <w:t>commence with the</w:t>
      </w:r>
      <w:r w:rsidRPr="00F94119">
        <w:t xml:space="preserve"> Provider, the Provider must </w:t>
      </w:r>
      <w:r>
        <w:t>schedule</w:t>
      </w:r>
      <w:r w:rsidRPr="00F94119">
        <w:t xml:space="preserve"> it in the Participant's Electronic Calendar and notify the Participant. </w:t>
      </w:r>
    </w:p>
    <w:p w14:paraId="11D93D29" w14:textId="424FC4DC" w:rsidR="00D74559" w:rsidRDefault="00D74559" w:rsidP="006E2EF5">
      <w:r w:rsidRPr="00F94119">
        <w:t>The Provider should record any information regarding the Participant’s participation (or refusal to participate) in treatment services in the Capability Management Tool (CMT), in the Department’s IT Systems</w:t>
      </w:r>
      <w:r>
        <w:t xml:space="preserve"> — </w:t>
      </w:r>
      <w:r w:rsidR="00F079D7">
        <w:t>see</w:t>
      </w:r>
      <w:r>
        <w:t xml:space="preserve"> </w:t>
      </w:r>
      <w:r w:rsidR="00C33F1F">
        <w:fldChar w:fldCharType="begin"/>
      </w:r>
      <w:r w:rsidR="00C33F1F">
        <w:instrText xml:space="preserve"> REF _Ref202796890 \h </w:instrText>
      </w:r>
      <w:r w:rsidR="00C33F1F">
        <w:fldChar w:fldCharType="separate"/>
      </w:r>
      <w:r w:rsidR="00C33F1F">
        <w:t>5.</w:t>
      </w:r>
      <w:r w:rsidR="00C33F1F" w:rsidRPr="72B4EEE6">
        <w:t>4</w:t>
      </w:r>
      <w:r w:rsidR="00C33F1F">
        <w:t xml:space="preserve"> </w:t>
      </w:r>
      <w:r w:rsidR="00C33F1F" w:rsidRPr="72B4EEE6">
        <w:t>Capability Management Tool</w:t>
      </w:r>
      <w:r w:rsidR="00C33F1F">
        <w:fldChar w:fldCharType="end"/>
      </w:r>
      <w:r w:rsidR="00F079D7">
        <w:rPr>
          <w:rFonts w:ascii="Tahoma" w:eastAsia="Tahoma" w:hAnsi="Tahoma" w:cs="Tahoma"/>
          <w:color w:val="000000" w:themeColor="text1"/>
        </w:rPr>
        <w:fldChar w:fldCharType="begin"/>
      </w:r>
      <w:r w:rsidR="00F079D7">
        <w:rPr>
          <w:rFonts w:ascii="Tahoma" w:eastAsia="Tahoma" w:hAnsi="Tahoma" w:cs="Tahoma"/>
          <w:color w:val="000000" w:themeColor="text1"/>
        </w:rPr>
        <w:instrText xml:space="preserve"> REF _Ref202796890 \h </w:instrText>
      </w:r>
      <w:r w:rsidR="00F079D7">
        <w:rPr>
          <w:rFonts w:ascii="Tahoma" w:eastAsia="Tahoma" w:hAnsi="Tahoma" w:cs="Tahoma"/>
          <w:color w:val="000000" w:themeColor="text1"/>
        </w:rPr>
      </w:r>
      <w:r w:rsidR="00F079D7">
        <w:rPr>
          <w:rFonts w:ascii="Tahoma" w:eastAsia="Tahoma" w:hAnsi="Tahoma" w:cs="Tahoma"/>
          <w:color w:val="000000" w:themeColor="text1"/>
        </w:rPr>
        <w:fldChar w:fldCharType="separate"/>
      </w:r>
      <w:r w:rsidR="00F079D7">
        <w:rPr>
          <w:rFonts w:ascii="Tahoma" w:eastAsia="Tahoma" w:hAnsi="Tahoma" w:cs="Tahoma"/>
          <w:color w:val="000000" w:themeColor="text1"/>
        </w:rPr>
        <w:fldChar w:fldCharType="end"/>
      </w:r>
      <w:r w:rsidR="00F079D7">
        <w:rPr>
          <w:rFonts w:ascii="Tahoma" w:eastAsia="Tahoma" w:hAnsi="Tahoma" w:cs="Tahoma"/>
          <w:color w:val="000000" w:themeColor="text1"/>
        </w:rPr>
        <w:t xml:space="preserve"> for further information</w:t>
      </w:r>
      <w:r>
        <w:t>.</w:t>
      </w:r>
    </w:p>
    <w:p w14:paraId="07413606" w14:textId="5B06F96E" w:rsidR="00C4069C" w:rsidRDefault="0034584C" w:rsidP="00C4069C">
      <w:pPr>
        <w:rPr>
          <w:rFonts w:ascii="Tahoma" w:eastAsia="Tahoma" w:hAnsi="Tahoma" w:cs="Tahoma"/>
          <w:color w:val="000000" w:themeColor="text1"/>
        </w:rPr>
      </w:pPr>
      <w:r>
        <w:rPr>
          <w:rFonts w:ascii="Tahoma" w:eastAsia="Tahoma" w:hAnsi="Tahoma" w:cs="Tahoma"/>
          <w:color w:val="000000" w:themeColor="text1"/>
        </w:rPr>
        <w:t xml:space="preserve">This must be the only </w:t>
      </w:r>
      <w:r w:rsidR="0055513B">
        <w:rPr>
          <w:rFonts w:ascii="Tahoma" w:eastAsia="Tahoma" w:hAnsi="Tahoma" w:cs="Tahoma"/>
          <w:color w:val="000000" w:themeColor="text1"/>
        </w:rPr>
        <w:t>requirement</w:t>
      </w:r>
      <w:r>
        <w:rPr>
          <w:rFonts w:ascii="Tahoma" w:eastAsia="Tahoma" w:hAnsi="Tahoma" w:cs="Tahoma"/>
          <w:color w:val="000000" w:themeColor="text1"/>
        </w:rPr>
        <w:t xml:space="preserve"> that the Participant </w:t>
      </w:r>
      <w:r w:rsidR="0055513B">
        <w:rPr>
          <w:rFonts w:ascii="Tahoma" w:eastAsia="Tahoma" w:hAnsi="Tahoma" w:cs="Tahoma"/>
          <w:color w:val="000000" w:themeColor="text1"/>
        </w:rPr>
        <w:t>has</w:t>
      </w:r>
      <w:r>
        <w:rPr>
          <w:rFonts w:ascii="Tahoma" w:eastAsia="Tahoma" w:hAnsi="Tahoma" w:cs="Tahoma"/>
          <w:color w:val="000000" w:themeColor="text1"/>
        </w:rPr>
        <w:t xml:space="preserve"> for the duration of the residential program.</w:t>
      </w:r>
    </w:p>
    <w:p w14:paraId="560C0CD5" w14:textId="33A28905" w:rsidR="00D74559" w:rsidRDefault="00D74559" w:rsidP="006E2EF5">
      <w:pPr>
        <w:rPr>
          <w:rFonts w:ascii="Tahoma" w:eastAsia="Tahoma" w:hAnsi="Tahoma" w:cs="Tahoma"/>
          <w:lang w:val="en-GB"/>
        </w:rPr>
      </w:pPr>
      <w:r w:rsidRPr="672B37ED">
        <w:rPr>
          <w:rFonts w:ascii="Tahoma" w:eastAsia="Tahoma" w:hAnsi="Tahoma" w:cs="Tahoma"/>
          <w:b/>
          <w:bCs/>
          <w:lang w:val="en-GB"/>
        </w:rPr>
        <w:t>Note:</w:t>
      </w:r>
      <w:r w:rsidRPr="672B37ED">
        <w:rPr>
          <w:rFonts w:ascii="Tahoma" w:eastAsia="Tahoma" w:hAnsi="Tahoma" w:cs="Tahoma"/>
          <w:lang w:val="en-GB"/>
        </w:rPr>
        <w:t xml:space="preserve"> As outlined in</w:t>
      </w:r>
      <w:r w:rsidR="00FA7D80">
        <w:rPr>
          <w:rFonts w:ascii="Tahoma" w:eastAsia="Tahoma" w:hAnsi="Tahoma" w:cs="Tahoma"/>
          <w:lang w:val="en-GB"/>
        </w:rPr>
        <w:t xml:space="preserve"> </w:t>
      </w:r>
      <w:r w:rsidR="00FA7D80">
        <w:rPr>
          <w:rFonts w:ascii="Tahoma" w:eastAsia="Tahoma" w:hAnsi="Tahoma" w:cs="Tahoma"/>
          <w:highlight w:val="yellow"/>
          <w:lang w:val="en-GB"/>
        </w:rPr>
        <w:fldChar w:fldCharType="begin"/>
      </w:r>
      <w:r w:rsidR="00FA7D80">
        <w:rPr>
          <w:rFonts w:ascii="Tahoma" w:eastAsia="Tahoma" w:hAnsi="Tahoma" w:cs="Tahoma"/>
          <w:lang w:val="en-GB"/>
        </w:rPr>
        <w:instrText xml:space="preserve"> REF _Ref202785097 \h </w:instrText>
      </w:r>
      <w:r w:rsidR="00FA7D80">
        <w:rPr>
          <w:rFonts w:ascii="Tahoma" w:eastAsia="Tahoma" w:hAnsi="Tahoma" w:cs="Tahoma"/>
          <w:highlight w:val="yellow"/>
          <w:lang w:val="en-GB"/>
        </w:rPr>
      </w:r>
      <w:r w:rsidR="00FA7D80">
        <w:rPr>
          <w:rFonts w:ascii="Tahoma" w:eastAsia="Tahoma" w:hAnsi="Tahoma" w:cs="Tahoma"/>
          <w:highlight w:val="yellow"/>
          <w:lang w:val="en-GB"/>
        </w:rPr>
        <w:fldChar w:fldCharType="separate"/>
      </w:r>
      <w:r w:rsidR="000D75AE">
        <w:t>5.2.1</w:t>
      </w:r>
      <w:r w:rsidR="00D04BBA">
        <w:t xml:space="preserve"> </w:t>
      </w:r>
      <w:r w:rsidR="000D75AE">
        <w:t>Mutual Obligation Requirements</w:t>
      </w:r>
      <w:r w:rsidR="00FA7D80">
        <w:rPr>
          <w:rFonts w:ascii="Tahoma" w:eastAsia="Tahoma" w:hAnsi="Tahoma" w:cs="Tahoma"/>
          <w:highlight w:val="yellow"/>
          <w:lang w:val="en-GB"/>
        </w:rPr>
        <w:fldChar w:fldCharType="end"/>
      </w:r>
      <w:r w:rsidRPr="672B37ED">
        <w:rPr>
          <w:rFonts w:ascii="Tahoma" w:eastAsia="Tahoma" w:hAnsi="Tahoma" w:cs="Tahoma"/>
          <w:lang w:val="en-GB"/>
        </w:rPr>
        <w:t>, Participants</w:t>
      </w:r>
      <w:r w:rsidR="00FA7D80">
        <w:rPr>
          <w:rFonts w:ascii="Tahoma" w:eastAsia="Tahoma" w:hAnsi="Tahoma" w:cs="Tahoma"/>
          <w:lang w:val="en-GB"/>
        </w:rPr>
        <w:t xml:space="preserve"> (Mutual Obligations)</w:t>
      </w:r>
      <w:r w:rsidRPr="672B37ED">
        <w:rPr>
          <w:rFonts w:ascii="Tahoma" w:eastAsia="Tahoma" w:hAnsi="Tahoma" w:cs="Tahoma"/>
          <w:lang w:val="en-GB"/>
        </w:rPr>
        <w:t xml:space="preserve"> who are undertaking full-time residential or intensive drug and alcohol treatment or rehabilitation do not have to undertake Appointments, Job Search </w:t>
      </w:r>
      <w:r w:rsidR="00AE12E3">
        <w:rPr>
          <w:rFonts w:ascii="Tahoma" w:eastAsia="Tahoma" w:hAnsi="Tahoma" w:cs="Tahoma"/>
          <w:lang w:val="en-GB"/>
        </w:rPr>
        <w:t xml:space="preserve">or other Activities </w:t>
      </w:r>
      <w:r w:rsidRPr="672B37ED">
        <w:rPr>
          <w:rFonts w:ascii="Tahoma" w:eastAsia="Tahoma" w:hAnsi="Tahoma" w:cs="Tahoma"/>
          <w:lang w:val="en-GB"/>
        </w:rPr>
        <w:t xml:space="preserve">for the duration of the intervention. Participants </w:t>
      </w:r>
      <w:r w:rsidR="00AE12E3">
        <w:rPr>
          <w:rFonts w:ascii="Tahoma" w:eastAsia="Tahoma" w:hAnsi="Tahoma" w:cs="Tahoma"/>
          <w:lang w:val="en-GB"/>
        </w:rPr>
        <w:t xml:space="preserve">will </w:t>
      </w:r>
      <w:r w:rsidRPr="672B37ED">
        <w:rPr>
          <w:rFonts w:ascii="Tahoma" w:eastAsia="Tahoma" w:hAnsi="Tahoma" w:cs="Tahoma"/>
          <w:lang w:val="en-GB"/>
        </w:rPr>
        <w:t xml:space="preserve">stay on the Provider’s </w:t>
      </w:r>
      <w:r w:rsidR="005C37ED" w:rsidRPr="4B360EFD">
        <w:rPr>
          <w:rFonts w:ascii="Tahoma" w:eastAsia="Tahoma" w:hAnsi="Tahoma" w:cs="Tahoma"/>
          <w:lang w:val="en-GB"/>
        </w:rPr>
        <w:t>C</w:t>
      </w:r>
      <w:r w:rsidRPr="4B360EFD">
        <w:rPr>
          <w:rFonts w:ascii="Tahoma" w:eastAsia="Tahoma" w:hAnsi="Tahoma" w:cs="Tahoma"/>
          <w:lang w:val="en-GB"/>
        </w:rPr>
        <w:t>aseload</w:t>
      </w:r>
      <w:r w:rsidRPr="672B37ED">
        <w:rPr>
          <w:rFonts w:ascii="Tahoma" w:eastAsia="Tahoma" w:hAnsi="Tahoma" w:cs="Tahoma"/>
          <w:lang w:val="en-GB"/>
        </w:rPr>
        <w:t xml:space="preserve"> and continue to be serviced by the Provider while undertaking these interventions.</w:t>
      </w:r>
    </w:p>
    <w:p w14:paraId="06C64677" w14:textId="32DCE5C7" w:rsidR="00210AD1" w:rsidRDefault="00210AD1" w:rsidP="006E2EF5">
      <w:pPr>
        <w:rPr>
          <w:rFonts w:ascii="Tahoma" w:eastAsia="Tahoma" w:hAnsi="Tahoma" w:cs="Tahoma"/>
          <w:lang w:val="en-GB"/>
        </w:rPr>
      </w:pPr>
      <w:r>
        <w:rPr>
          <w:rFonts w:ascii="Tahoma" w:eastAsia="Tahoma" w:hAnsi="Tahoma" w:cs="Tahoma"/>
          <w:color w:val="000000" w:themeColor="text1"/>
        </w:rPr>
        <w:t xml:space="preserve">If a Participant has a Detailed Job Plan, </w:t>
      </w:r>
      <w:r w:rsidRPr="111F7F31">
        <w:rPr>
          <w:rFonts w:ascii="Tahoma" w:eastAsia="Tahoma" w:hAnsi="Tahoma" w:cs="Tahoma"/>
          <w:color w:val="000000" w:themeColor="text1"/>
        </w:rPr>
        <w:t xml:space="preserve">Providers </w:t>
      </w:r>
      <w:r>
        <w:rPr>
          <w:rFonts w:ascii="Tahoma" w:eastAsia="Tahoma" w:hAnsi="Tahoma" w:cs="Tahoma"/>
          <w:color w:val="000000" w:themeColor="text1"/>
        </w:rPr>
        <w:t>should</w:t>
      </w:r>
      <w:r w:rsidRPr="111F7F31">
        <w:rPr>
          <w:rFonts w:ascii="Tahoma" w:eastAsia="Tahoma" w:hAnsi="Tahoma" w:cs="Tahoma"/>
          <w:color w:val="000000" w:themeColor="text1"/>
        </w:rPr>
        <w:t xml:space="preserve"> update a Participant’s Job Plan to include </w:t>
      </w:r>
      <w:r>
        <w:rPr>
          <w:rFonts w:ascii="Tahoma" w:eastAsia="Tahoma" w:hAnsi="Tahoma" w:cs="Tahoma"/>
          <w:color w:val="000000" w:themeColor="text1"/>
        </w:rPr>
        <w:t>Code NV07</w:t>
      </w:r>
      <w:r w:rsidRPr="111F7F31">
        <w:rPr>
          <w:rFonts w:ascii="Tahoma" w:eastAsia="Tahoma" w:hAnsi="Tahoma" w:cs="Tahoma"/>
          <w:color w:val="000000" w:themeColor="text1"/>
        </w:rPr>
        <w:t xml:space="preserve"> </w:t>
      </w:r>
      <w:r>
        <w:rPr>
          <w:rFonts w:ascii="Tahoma" w:eastAsia="Tahoma" w:hAnsi="Tahoma" w:cs="Tahoma"/>
          <w:color w:val="000000" w:themeColor="text1"/>
        </w:rPr>
        <w:t>[Drug and Alcohol Rehabilitation] unless that if there are concerns over the usage of this code such that Code NV13 [Interventions – Non-specific] is more appropriate</w:t>
      </w:r>
      <w:r w:rsidRPr="111F7F31">
        <w:rPr>
          <w:rFonts w:ascii="Tahoma" w:eastAsia="Tahoma" w:hAnsi="Tahoma" w:cs="Tahoma"/>
          <w:color w:val="000000" w:themeColor="text1"/>
        </w:rPr>
        <w:t>.</w:t>
      </w:r>
      <w:r w:rsidR="00FA7D80">
        <w:rPr>
          <w:rFonts w:ascii="Tahoma" w:eastAsia="Tahoma" w:hAnsi="Tahoma" w:cs="Tahoma"/>
          <w:color w:val="000000" w:themeColor="text1"/>
        </w:rPr>
        <w:t xml:space="preserve"> The Detailed Job Plan must also be amended to reflect the change in their compulsory requirements for the duration of the treatment or rehibition program.</w:t>
      </w:r>
    </w:p>
    <w:p w14:paraId="7364697A" w14:textId="2DF763DE" w:rsidR="00D74559" w:rsidRPr="00EF434C" w:rsidRDefault="00D74559" w:rsidP="001D0F92">
      <w:pPr>
        <w:pStyle w:val="Heading3"/>
        <w:rPr>
          <w:rStyle w:val="Heading2Char1"/>
          <w:rFonts w:asciiTheme="majorHAnsi" w:hAnsiTheme="majorHAnsi"/>
          <w:i w:val="0"/>
          <w:color w:val="005A70" w:themeColor="accent1"/>
          <w:sz w:val="32"/>
          <w:szCs w:val="24"/>
        </w:rPr>
      </w:pPr>
      <w:bookmarkStart w:id="328" w:name="_Toc182576246"/>
      <w:bookmarkStart w:id="329" w:name="_Toc202900016"/>
      <w:r w:rsidRPr="00EF434C">
        <w:rPr>
          <w:rStyle w:val="Heading2Char1"/>
          <w:rFonts w:asciiTheme="majorHAnsi" w:hAnsiTheme="majorHAnsi"/>
          <w:i w:val="0"/>
          <w:color w:val="005A70" w:themeColor="accent1"/>
          <w:sz w:val="32"/>
          <w:szCs w:val="24"/>
        </w:rPr>
        <w:t>7.8</w:t>
      </w:r>
      <w:r w:rsidR="006477F6">
        <w:rPr>
          <w:rStyle w:val="Heading2Char1"/>
          <w:rFonts w:asciiTheme="majorHAnsi" w:hAnsiTheme="majorHAnsi"/>
          <w:i w:val="0"/>
          <w:color w:val="005A70" w:themeColor="accent1"/>
          <w:sz w:val="32"/>
          <w:szCs w:val="24"/>
        </w:rPr>
        <w:tab/>
      </w:r>
      <w:r w:rsidRPr="00EF434C">
        <w:rPr>
          <w:rStyle w:val="Heading2Char1"/>
          <w:rFonts w:asciiTheme="majorHAnsi" w:hAnsiTheme="majorHAnsi"/>
          <w:i w:val="0"/>
          <w:color w:val="005A70" w:themeColor="accent1"/>
          <w:sz w:val="32"/>
          <w:szCs w:val="24"/>
        </w:rPr>
        <w:t>Ensuring Participant safety</w:t>
      </w:r>
      <w:bookmarkEnd w:id="328"/>
      <w:bookmarkEnd w:id="329"/>
    </w:p>
    <w:p w14:paraId="6E2F5DB6" w14:textId="00FC7D34" w:rsidR="00D74559" w:rsidRPr="00FB7CD7" w:rsidRDefault="00D74559" w:rsidP="007D7A93">
      <w:pPr>
        <w:keepNext/>
      </w:pPr>
      <w:r w:rsidRPr="111F7F31">
        <w:t xml:space="preserve">When a Participant attends an </w:t>
      </w:r>
      <w:r>
        <w:t>A</w:t>
      </w:r>
      <w:r w:rsidRPr="111F7F31">
        <w:t xml:space="preserve">ctivity there </w:t>
      </w:r>
      <w:r w:rsidR="1D10608C">
        <w:t>may be</w:t>
      </w:r>
      <w:r w:rsidRPr="111F7F31">
        <w:t xml:space="preserve"> a higher risk of harm occurring to the Participant or harm occurring to others because of the Participant</w:t>
      </w:r>
      <w:r w:rsidR="00F4503D">
        <w:t>,</w:t>
      </w:r>
      <w:r w:rsidRPr="111F7F31">
        <w:t xml:space="preserve"> </w:t>
      </w:r>
      <w:r w:rsidR="00F4503D">
        <w:t>d</w:t>
      </w:r>
      <w:r w:rsidR="11DD938F">
        <w:t>ue to</w:t>
      </w:r>
      <w:r w:rsidRPr="111F7F31">
        <w:t>:</w:t>
      </w:r>
    </w:p>
    <w:p w14:paraId="2A2AFAA4" w14:textId="20563270" w:rsidR="00D74559" w:rsidRPr="00FB7CD7" w:rsidRDefault="00D74559" w:rsidP="004E120D">
      <w:pPr>
        <w:pStyle w:val="BulletLevel1"/>
      </w:pPr>
      <w:r w:rsidRPr="25BC4409">
        <w:t xml:space="preserve">Participants </w:t>
      </w:r>
      <w:r>
        <w:t>interact</w:t>
      </w:r>
      <w:r w:rsidR="59AC7850">
        <w:t>ing</w:t>
      </w:r>
      <w:r w:rsidRPr="25BC4409">
        <w:t xml:space="preserve"> with a range of </w:t>
      </w:r>
      <w:r w:rsidR="5A44671B">
        <w:t>new</w:t>
      </w:r>
      <w:r>
        <w:t xml:space="preserve"> </w:t>
      </w:r>
      <w:r w:rsidRPr="25BC4409">
        <w:t>people in new</w:t>
      </w:r>
      <w:r>
        <w:t>, and</w:t>
      </w:r>
    </w:p>
    <w:p w14:paraId="4DDE323B" w14:textId="4A590D3A" w:rsidR="00D74559" w:rsidRPr="00FB7CD7" w:rsidRDefault="00D74559" w:rsidP="004E120D">
      <w:pPr>
        <w:pStyle w:val="BulletLevel1"/>
      </w:pPr>
      <w:r w:rsidRPr="111F7F31">
        <w:t xml:space="preserve">the Provider </w:t>
      </w:r>
      <w:r w:rsidR="52B1B7F9">
        <w:t>having</w:t>
      </w:r>
      <w:r w:rsidRPr="111F7F31">
        <w:t xml:space="preserve"> less control over arrangements outside the Provider’s </w:t>
      </w:r>
      <w:r w:rsidR="00494AA6">
        <w:t>S</w:t>
      </w:r>
      <w:r>
        <w:t>ites</w:t>
      </w:r>
      <w:r w:rsidRPr="111F7F31">
        <w:t>.</w:t>
      </w:r>
    </w:p>
    <w:p w14:paraId="727840AB" w14:textId="11E4425C" w:rsidR="00312E39" w:rsidRDefault="00312E39" w:rsidP="00E313F8">
      <w:r>
        <w:t xml:space="preserve">Providers must </w:t>
      </w:r>
      <w:r w:rsidRPr="005F46FB">
        <w:t xml:space="preserve">ensure Participants are </w:t>
      </w:r>
      <w:r w:rsidR="005654B6">
        <w:t xml:space="preserve">always </w:t>
      </w:r>
      <w:r w:rsidRPr="005F46FB">
        <w:t xml:space="preserve">in a safe environment </w:t>
      </w:r>
      <w:r w:rsidRPr="003C7378">
        <w:t>when participating in Activities</w:t>
      </w:r>
      <w:r>
        <w:t xml:space="preserve">, </w:t>
      </w:r>
      <w:r w:rsidRPr="003C7378">
        <w:t xml:space="preserve">including Specified Activities and any </w:t>
      </w:r>
      <w:r w:rsidR="00B9762F">
        <w:t>O</w:t>
      </w:r>
      <w:r w:rsidRPr="003C7378">
        <w:t xml:space="preserve">ther </w:t>
      </w:r>
      <w:r>
        <w:t>A</w:t>
      </w:r>
      <w:r w:rsidRPr="003C7378">
        <w:t>ctivities</w:t>
      </w:r>
      <w:r w:rsidR="00AD6A12">
        <w:t>.</w:t>
      </w:r>
    </w:p>
    <w:p w14:paraId="4FFBD95B" w14:textId="6FFF9F71" w:rsidR="0055562C" w:rsidRDefault="00AE2922" w:rsidP="00E313F8">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r>
        <w:t>.</w:t>
      </w:r>
    </w:p>
    <w:p w14:paraId="6226F6E8" w14:textId="77777777" w:rsidR="00F7255A" w:rsidRPr="00725CE9" w:rsidRDefault="00F7255A" w:rsidP="00D73E27">
      <w:r w:rsidRPr="00725CE9">
        <w:t xml:space="preserve">Before arranging, or referring any Participant to an Activity, the Provider must confirm: </w:t>
      </w:r>
    </w:p>
    <w:p w14:paraId="0BDB075D" w14:textId="0F8B8A70" w:rsidR="00F7255A" w:rsidRPr="00D94FE7" w:rsidRDefault="00F7255A" w:rsidP="0094262B">
      <w:pPr>
        <w:pStyle w:val="BulletLevel1"/>
      </w:pPr>
      <w:r>
        <w:t>the Activity is not prohibited</w:t>
      </w:r>
      <w:r w:rsidRPr="00D94FE7">
        <w:t xml:space="preserve"> under relevant state and territory laws</w:t>
      </w:r>
    </w:p>
    <w:p w14:paraId="6CB62F88" w14:textId="77777777" w:rsidR="00F7255A" w:rsidRPr="00D94FE7" w:rsidRDefault="00F7255A" w:rsidP="0094262B">
      <w:pPr>
        <w:pStyle w:val="BulletLevel1"/>
      </w:pPr>
      <w:r>
        <w:t>its delivery is permitted under the Deed and any Guidelines</w:t>
      </w:r>
    </w:p>
    <w:p w14:paraId="244A6FD1" w14:textId="51243BC2" w:rsidR="00F7255A" w:rsidRPr="00D94FE7" w:rsidRDefault="00F7255A" w:rsidP="0094262B">
      <w:pPr>
        <w:pStyle w:val="BulletLevel1"/>
      </w:pPr>
      <w:r>
        <w:t xml:space="preserve">the </w:t>
      </w:r>
      <w:r w:rsidRPr="00D94FE7">
        <w:t>Host Organisation, where relevant, is complying with all work health and safety requirements in the relevant state and territory; and</w:t>
      </w:r>
    </w:p>
    <w:p w14:paraId="56B05EB2" w14:textId="77777777" w:rsidR="00F7255A" w:rsidRPr="00D94FE7" w:rsidRDefault="00F7255A" w:rsidP="0094262B">
      <w:pPr>
        <w:pStyle w:val="BulletLevel1"/>
      </w:pPr>
      <w:r>
        <w:t xml:space="preserve">its delivery </w:t>
      </w:r>
      <w:r w:rsidRPr="00D94FE7">
        <w:t>is in line with any advice provided by local authorities.</w:t>
      </w:r>
    </w:p>
    <w:p w14:paraId="2238BCC8" w14:textId="1EE5A8C9" w:rsidR="00EA49A4" w:rsidRDefault="00E24EDD" w:rsidP="00E313F8">
      <w:r>
        <w:t xml:space="preserve">The </w:t>
      </w:r>
      <w:r w:rsidRPr="00882484">
        <w:t xml:space="preserve">Provider must consult, coordinate and cooperate as </w:t>
      </w:r>
      <w:r w:rsidRPr="00353DE2">
        <w:t xml:space="preserve">appropriate </w:t>
      </w:r>
      <w:r>
        <w:t xml:space="preserve">with relevant parties including but not limited to </w:t>
      </w:r>
      <w:r w:rsidRPr="00353DE2">
        <w:t>the Department</w:t>
      </w:r>
      <w:r>
        <w:t>,</w:t>
      </w:r>
      <w:r w:rsidRPr="00353DE2">
        <w:t xml:space="preserve"> </w:t>
      </w:r>
      <w:r w:rsidR="00C236B5">
        <w:t xml:space="preserve">Complementary Service provider and </w:t>
      </w:r>
      <w:r w:rsidRPr="00353DE2">
        <w:t>Host Organisations to ensure that any w</w:t>
      </w:r>
      <w:r w:rsidRPr="00882484">
        <w:t>ork health and safety issues in relation to an Activity are appropriately managed.</w:t>
      </w:r>
    </w:p>
    <w:p w14:paraId="6039D44D" w14:textId="77777777" w:rsidR="00D74559" w:rsidRDefault="00D74559" w:rsidP="00E313F8">
      <w:r w:rsidRPr="111F7F31">
        <w:t xml:space="preserve">Providers must assess and manage the higher risk before a Participant starts an </w:t>
      </w:r>
      <w:r>
        <w:t>A</w:t>
      </w:r>
      <w:r w:rsidRPr="111F7F31">
        <w:t>ctivity</w:t>
      </w:r>
      <w:r>
        <w:t xml:space="preserve"> in accordance the following sections, as summarised in the following table.</w:t>
      </w:r>
    </w:p>
    <w:p w14:paraId="25928A21" w14:textId="754D2D0E" w:rsidR="00D74559" w:rsidRPr="00A4274B" w:rsidRDefault="00D74559" w:rsidP="006E2EF5">
      <w:pPr>
        <w:pStyle w:val="DeedReferences"/>
        <w:rPr>
          <w:rFonts w:eastAsiaTheme="minorEastAsia" w:cstheme="minorBidi"/>
        </w:rPr>
      </w:pPr>
      <w:r w:rsidRPr="218C526D">
        <w:rPr>
          <w:rFonts w:eastAsiaTheme="minorEastAsia" w:cstheme="minorBidi"/>
        </w:rPr>
        <w:t>(</w:t>
      </w:r>
      <w:r w:rsidR="00A73420">
        <w:rPr>
          <w:rFonts w:eastAsiaTheme="minorEastAsia" w:cstheme="minorBidi"/>
        </w:rPr>
        <w:t xml:space="preserve">Deed Reference(s): Clause </w:t>
      </w:r>
      <w:r>
        <w:rPr>
          <w:rFonts w:eastAsiaTheme="minorEastAsia" w:cstheme="minorBidi"/>
        </w:rPr>
        <w:t xml:space="preserve">56.1, </w:t>
      </w:r>
      <w:r w:rsidR="00F65809">
        <w:rPr>
          <w:rFonts w:eastAsiaTheme="minorEastAsia" w:cstheme="minorBidi"/>
        </w:rPr>
        <w:t xml:space="preserve">144, </w:t>
      </w:r>
      <w:r>
        <w:rPr>
          <w:rFonts w:eastAsiaTheme="minorEastAsia" w:cstheme="minorBidi"/>
        </w:rPr>
        <w:t>145</w:t>
      </w:r>
      <w:r w:rsidRPr="218C526D">
        <w:rPr>
          <w:rFonts w:eastAsiaTheme="minorEastAsia" w:cstheme="minorBidi"/>
        </w:rPr>
        <w:t>)</w:t>
      </w:r>
    </w:p>
    <w:p w14:paraId="01C9ED02" w14:textId="77777777" w:rsidR="00D74559" w:rsidRPr="00FB7CD7" w:rsidRDefault="00D74559" w:rsidP="006E2EF5">
      <w:pPr>
        <w:pStyle w:val="TableChartHeading"/>
      </w:pPr>
      <w:r>
        <w:t>Responsibilities by Activity type</w:t>
      </w:r>
    </w:p>
    <w:tbl>
      <w:tblPr>
        <w:tblStyle w:val="DSSDatatablestyle"/>
        <w:tblW w:w="10206" w:type="dxa"/>
        <w:tblLook w:val="04A0" w:firstRow="1" w:lastRow="0" w:firstColumn="1" w:lastColumn="0" w:noHBand="0" w:noVBand="1"/>
      </w:tblPr>
      <w:tblGrid>
        <w:gridCol w:w="3544"/>
        <w:gridCol w:w="2220"/>
        <w:gridCol w:w="2221"/>
        <w:gridCol w:w="2221"/>
      </w:tblGrid>
      <w:tr w:rsidR="00D12553" w:rsidRPr="00605F2F" w14:paraId="6C18EECE" w14:textId="77777777" w:rsidTr="00FA7D80">
        <w:trPr>
          <w:cnfStyle w:val="100000000000" w:firstRow="1" w:lastRow="0" w:firstColumn="0" w:lastColumn="0" w:oddVBand="0" w:evenVBand="0" w:oddHBand="0" w:evenHBand="0" w:firstRowFirstColumn="0" w:firstRowLastColumn="0" w:lastRowFirstColumn="0" w:lastRowLastColumn="0"/>
          <w:trHeight w:val="214"/>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shd w:val="clear" w:color="auto" w:fill="B1E4E3"/>
          </w:tcPr>
          <w:p w14:paraId="3A96111C" w14:textId="77777777" w:rsidR="00D74559" w:rsidRPr="00EF434C" w:rsidRDefault="00D74559" w:rsidP="00EF434C">
            <w:pPr>
              <w:pStyle w:val="TableText"/>
              <w:rPr>
                <w:color w:val="auto"/>
              </w:rPr>
            </w:pPr>
            <w:r w:rsidRPr="00EF434C">
              <w:rPr>
                <w:color w:val="auto"/>
              </w:rPr>
              <w:t>Requirement</w:t>
            </w:r>
          </w:p>
        </w:tc>
        <w:tc>
          <w:tcPr>
            <w:tcW w:w="2220" w:type="dxa"/>
            <w:tcBorders>
              <w:top w:val="single" w:sz="4" w:space="0" w:color="auto"/>
              <w:bottom w:val="single" w:sz="4" w:space="0" w:color="auto"/>
            </w:tcBorders>
            <w:shd w:val="clear" w:color="auto" w:fill="B1E4E3"/>
          </w:tcPr>
          <w:p w14:paraId="2A1B3F89" w14:textId="77777777" w:rsidR="00D74559" w:rsidRPr="00EF434C"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auto"/>
              </w:rPr>
            </w:pPr>
            <w:r w:rsidRPr="00EF434C">
              <w:rPr>
                <w:color w:val="auto"/>
              </w:rPr>
              <w:t>Complementary Activity</w:t>
            </w:r>
          </w:p>
        </w:tc>
        <w:tc>
          <w:tcPr>
            <w:tcW w:w="2221" w:type="dxa"/>
            <w:tcBorders>
              <w:top w:val="single" w:sz="4" w:space="0" w:color="auto"/>
              <w:bottom w:val="single" w:sz="4" w:space="0" w:color="auto"/>
            </w:tcBorders>
            <w:shd w:val="clear" w:color="auto" w:fill="B1E4E3"/>
          </w:tcPr>
          <w:p w14:paraId="72612583" w14:textId="77777777" w:rsidR="00D74559" w:rsidRPr="00EF434C"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auto"/>
              </w:rPr>
            </w:pPr>
            <w:r w:rsidRPr="00EF434C">
              <w:rPr>
                <w:color w:val="auto"/>
              </w:rPr>
              <w:t xml:space="preserve">Specified </w:t>
            </w:r>
            <w:r w:rsidRPr="00EF434C">
              <w:rPr>
                <w:color w:val="auto"/>
              </w:rPr>
              <w:br/>
              <w:t>Activity</w:t>
            </w:r>
          </w:p>
        </w:tc>
        <w:tc>
          <w:tcPr>
            <w:tcW w:w="2221" w:type="dxa"/>
            <w:tcBorders>
              <w:top w:val="single" w:sz="4" w:space="0" w:color="auto"/>
              <w:bottom w:val="single" w:sz="4" w:space="0" w:color="auto"/>
            </w:tcBorders>
            <w:shd w:val="clear" w:color="auto" w:fill="B1E4E3"/>
          </w:tcPr>
          <w:p w14:paraId="13E8FC04" w14:textId="57E04326" w:rsidR="00D74559" w:rsidRPr="00EF434C"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auto"/>
              </w:rPr>
            </w:pPr>
            <w:r w:rsidRPr="00EF434C">
              <w:rPr>
                <w:color w:val="auto"/>
              </w:rPr>
              <w:t xml:space="preserve">Other </w:t>
            </w:r>
            <w:r w:rsidRPr="00EF434C">
              <w:rPr>
                <w:color w:val="auto"/>
              </w:rPr>
              <w:br/>
            </w:r>
            <w:r w:rsidR="00081001">
              <w:rPr>
                <w:color w:val="auto"/>
              </w:rPr>
              <w:t>A</w:t>
            </w:r>
            <w:r w:rsidRPr="00EF434C">
              <w:rPr>
                <w:color w:val="auto"/>
              </w:rPr>
              <w:t>ctivity</w:t>
            </w:r>
          </w:p>
        </w:tc>
      </w:tr>
      <w:tr w:rsidR="00D74559" w:rsidRPr="00FB7CD7" w14:paraId="2AAC826E" w14:textId="77777777" w:rsidTr="00F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138E4E5F" w14:textId="77777777" w:rsidR="00D74559" w:rsidRPr="00FA7D80" w:rsidRDefault="00D74559" w:rsidP="00FA7D80">
            <w:pPr>
              <w:pStyle w:val="TableText"/>
              <w:rPr>
                <w:b w:val="0"/>
                <w:bCs/>
              </w:rPr>
            </w:pPr>
            <w:r w:rsidRPr="00FA7D80">
              <w:rPr>
                <w:b w:val="0"/>
                <w:bCs/>
              </w:rPr>
              <w:t>Ensure the activity is suitable</w:t>
            </w:r>
          </w:p>
        </w:tc>
        <w:tc>
          <w:tcPr>
            <w:tcW w:w="2220" w:type="dxa"/>
            <w:tcBorders>
              <w:top w:val="single" w:sz="4" w:space="0" w:color="auto"/>
              <w:bottom w:val="single" w:sz="4" w:space="0" w:color="auto"/>
            </w:tcBorders>
          </w:tcPr>
          <w:p w14:paraId="55615DF7"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135EA333"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30A7A688"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r>
      <w:tr w:rsidR="000A1E87" w:rsidRPr="00FB7CD7" w14:paraId="1F597FD8" w14:textId="77777777" w:rsidTr="00FA7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tcPr>
          <w:p w14:paraId="37147354" w14:textId="77777777" w:rsidR="00D74559" w:rsidRPr="00FA7D80" w:rsidRDefault="00D74559" w:rsidP="00FA7D80">
            <w:pPr>
              <w:pStyle w:val="TableText"/>
              <w:rPr>
                <w:b w:val="0"/>
                <w:bCs/>
              </w:rPr>
            </w:pPr>
            <w:r w:rsidRPr="00FA7D80">
              <w:rPr>
                <w:b w:val="0"/>
                <w:bCs/>
              </w:rPr>
              <w:t>Ensure the activity is safe</w:t>
            </w:r>
          </w:p>
        </w:tc>
        <w:tc>
          <w:tcPr>
            <w:tcW w:w="2220" w:type="dxa"/>
            <w:tcBorders>
              <w:bottom w:val="single" w:sz="4" w:space="0" w:color="auto"/>
            </w:tcBorders>
          </w:tcPr>
          <w:p w14:paraId="26992E4A" w14:textId="77777777" w:rsidR="00D74559" w:rsidRPr="00FB7CD7" w:rsidRDefault="00D74559" w:rsidP="00EF434C">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c>
          <w:tcPr>
            <w:tcW w:w="2221" w:type="dxa"/>
            <w:tcBorders>
              <w:bottom w:val="single" w:sz="4" w:space="0" w:color="auto"/>
            </w:tcBorders>
          </w:tcPr>
          <w:p w14:paraId="5D919F61" w14:textId="77777777" w:rsidR="00D74559" w:rsidRPr="00FB7CD7" w:rsidRDefault="00D74559" w:rsidP="00EF434C">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c>
          <w:tcPr>
            <w:tcW w:w="2221" w:type="dxa"/>
            <w:tcBorders>
              <w:bottom w:val="single" w:sz="4" w:space="0" w:color="auto"/>
            </w:tcBorders>
          </w:tcPr>
          <w:p w14:paraId="369C258E" w14:textId="77777777" w:rsidR="00D74559" w:rsidRPr="00FB7CD7" w:rsidRDefault="00D74559" w:rsidP="00EF434C">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r>
      <w:tr w:rsidR="00D74559" w:rsidRPr="00FB7CD7" w14:paraId="3AD5BF1E" w14:textId="77777777" w:rsidTr="00FA7D80">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478A5158" w14:textId="63E27977" w:rsidR="00D74559" w:rsidRPr="00FA7D80" w:rsidRDefault="00D74559" w:rsidP="00FA7D80">
            <w:pPr>
              <w:pStyle w:val="TableText"/>
              <w:rPr>
                <w:b w:val="0"/>
                <w:bCs/>
              </w:rPr>
            </w:pPr>
            <w:r w:rsidRPr="00FA7D80">
              <w:rPr>
                <w:b w:val="0"/>
                <w:bCs/>
              </w:rPr>
              <w:t xml:space="preserve">Undertake </w:t>
            </w:r>
            <w:r w:rsidR="009F58AF" w:rsidRPr="00FA7D80">
              <w:rPr>
                <w:b w:val="0"/>
                <w:bCs/>
              </w:rPr>
              <w:t>Ri</w:t>
            </w:r>
            <w:r w:rsidRPr="00FA7D80">
              <w:rPr>
                <w:b w:val="0"/>
                <w:bCs/>
              </w:rPr>
              <w:t xml:space="preserve">sk </w:t>
            </w:r>
            <w:r w:rsidR="009F58AF" w:rsidRPr="00FA7D80">
              <w:rPr>
                <w:b w:val="0"/>
                <w:bCs/>
              </w:rPr>
              <w:t>A</w:t>
            </w:r>
            <w:r w:rsidRPr="00FA7D80">
              <w:rPr>
                <w:b w:val="0"/>
                <w:bCs/>
              </w:rPr>
              <w:t>ssessment</w:t>
            </w:r>
            <w:r w:rsidR="00C10B48" w:rsidRPr="00FA7D80">
              <w:rPr>
                <w:b w:val="0"/>
                <w:bCs/>
              </w:rPr>
              <w:t xml:space="preserve"> for</w:t>
            </w:r>
            <w:r w:rsidR="0095362A" w:rsidRPr="00FA7D80">
              <w:rPr>
                <w:b w:val="0"/>
                <w:bCs/>
              </w:rPr>
              <w:t xml:space="preserve"> the</w:t>
            </w:r>
            <w:r w:rsidR="00C10B48" w:rsidRPr="00FA7D80">
              <w:rPr>
                <w:b w:val="0"/>
                <w:bCs/>
              </w:rPr>
              <w:t xml:space="preserve"> Activity</w:t>
            </w:r>
          </w:p>
        </w:tc>
        <w:tc>
          <w:tcPr>
            <w:tcW w:w="2220" w:type="dxa"/>
            <w:tcBorders>
              <w:top w:val="single" w:sz="4" w:space="0" w:color="auto"/>
              <w:bottom w:val="single" w:sz="4" w:space="0" w:color="auto"/>
            </w:tcBorders>
          </w:tcPr>
          <w:p w14:paraId="205F6893" w14:textId="50F14244" w:rsidR="00D74559" w:rsidRPr="00FB7CD7" w:rsidRDefault="003B6671" w:rsidP="00EF434C">
            <w:pPr>
              <w:pStyle w:val="TableText"/>
              <w:cnfStyle w:val="000000100000" w:firstRow="0" w:lastRow="0" w:firstColumn="0" w:lastColumn="0" w:oddVBand="0" w:evenVBand="0" w:oddHBand="1" w:evenHBand="0" w:firstRowFirstColumn="0" w:firstRowLastColumn="0" w:lastRowFirstColumn="0" w:lastRowLastColumn="0"/>
            </w:pPr>
            <w:r>
              <w:t>Complementary Service</w:t>
            </w:r>
            <w:r w:rsidR="00D74559" w:rsidRPr="111F7F31">
              <w:t xml:space="preserve"> </w:t>
            </w:r>
            <w:r>
              <w:t>p</w:t>
            </w:r>
            <w:r w:rsidR="00D74559" w:rsidRPr="111F7F31">
              <w:t>rovider</w:t>
            </w:r>
          </w:p>
        </w:tc>
        <w:tc>
          <w:tcPr>
            <w:tcW w:w="2221" w:type="dxa"/>
            <w:tcBorders>
              <w:top w:val="single" w:sz="4" w:space="0" w:color="auto"/>
              <w:bottom w:val="single" w:sz="4" w:space="0" w:color="auto"/>
            </w:tcBorders>
          </w:tcPr>
          <w:p w14:paraId="073B8D72"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12AE112E" w14:textId="5644DA39"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t>Provider</w:t>
            </w:r>
            <w:r w:rsidR="00F46C9F">
              <w:t>*</w:t>
            </w:r>
            <w:r w:rsidR="009F58AF">
              <w:t xml:space="preserve"> </w:t>
            </w:r>
          </w:p>
        </w:tc>
      </w:tr>
      <w:tr w:rsidR="000A1E87" w:rsidRPr="00C10B48" w14:paraId="11D1BA45" w14:textId="77777777" w:rsidTr="00FA7D80">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34DEE538" w14:textId="776E54F8" w:rsidR="00C10B48" w:rsidRPr="00FA7D80" w:rsidRDefault="00C10B48" w:rsidP="00FA7D80">
            <w:pPr>
              <w:pStyle w:val="TableText"/>
              <w:rPr>
                <w:b w:val="0"/>
                <w:bCs/>
              </w:rPr>
            </w:pPr>
            <w:r w:rsidRPr="00FA7D80">
              <w:rPr>
                <w:b w:val="0"/>
                <w:bCs/>
              </w:rPr>
              <w:t>Under</w:t>
            </w:r>
            <w:r w:rsidR="00B10CF5" w:rsidRPr="00FA7D80">
              <w:rPr>
                <w:b w:val="0"/>
                <w:bCs/>
              </w:rPr>
              <w:t>take</w:t>
            </w:r>
            <w:r w:rsidRPr="00FA7D80">
              <w:rPr>
                <w:b w:val="0"/>
                <w:bCs/>
              </w:rPr>
              <w:t xml:space="preserve"> </w:t>
            </w:r>
            <w:r w:rsidR="009F58AF" w:rsidRPr="00FA7D80">
              <w:rPr>
                <w:b w:val="0"/>
                <w:bCs/>
              </w:rPr>
              <w:t>R</w:t>
            </w:r>
            <w:r w:rsidRPr="00FA7D80">
              <w:rPr>
                <w:b w:val="0"/>
                <w:bCs/>
              </w:rPr>
              <w:t xml:space="preserve">isk </w:t>
            </w:r>
            <w:r w:rsidR="009F58AF" w:rsidRPr="00FA7D80">
              <w:rPr>
                <w:b w:val="0"/>
                <w:bCs/>
              </w:rPr>
              <w:t>A</w:t>
            </w:r>
            <w:r w:rsidRPr="00FA7D80">
              <w:rPr>
                <w:b w:val="0"/>
                <w:bCs/>
              </w:rPr>
              <w:t xml:space="preserve">ssessment for </w:t>
            </w:r>
            <w:r w:rsidR="00903D87" w:rsidRPr="00FA7D80">
              <w:rPr>
                <w:b w:val="0"/>
                <w:bCs/>
              </w:rPr>
              <w:t xml:space="preserve">the </w:t>
            </w:r>
            <w:r w:rsidRPr="00FA7D80">
              <w:rPr>
                <w:b w:val="0"/>
                <w:bCs/>
              </w:rPr>
              <w:t>Participant</w:t>
            </w:r>
          </w:p>
        </w:tc>
        <w:tc>
          <w:tcPr>
            <w:tcW w:w="2220" w:type="dxa"/>
            <w:tcBorders>
              <w:top w:val="single" w:sz="4" w:space="0" w:color="auto"/>
              <w:bottom w:val="single" w:sz="4" w:space="0" w:color="auto"/>
            </w:tcBorders>
          </w:tcPr>
          <w:p w14:paraId="660C7327" w14:textId="7FED157C" w:rsidR="00C10B48" w:rsidRPr="00C10B48" w:rsidRDefault="00C10B48" w:rsidP="00C10B48">
            <w:pPr>
              <w:pStyle w:val="TableText"/>
              <w:cnfStyle w:val="000000010000" w:firstRow="0" w:lastRow="0" w:firstColumn="0" w:lastColumn="0" w:oddVBand="0" w:evenVBand="0" w:oddHBand="0" w:evenHBand="1" w:firstRowFirstColumn="0" w:firstRowLastColumn="0" w:lastRowFirstColumn="0" w:lastRowLastColumn="0"/>
            </w:pPr>
            <w:r>
              <w:t>Complementary Service</w:t>
            </w:r>
            <w:r w:rsidRPr="111F7F31">
              <w:t xml:space="preserve"> </w:t>
            </w:r>
            <w:r>
              <w:t>p</w:t>
            </w:r>
            <w:r w:rsidRPr="111F7F31">
              <w:t>rovider</w:t>
            </w:r>
          </w:p>
        </w:tc>
        <w:tc>
          <w:tcPr>
            <w:tcW w:w="2221" w:type="dxa"/>
            <w:tcBorders>
              <w:top w:val="single" w:sz="4" w:space="0" w:color="auto"/>
              <w:bottom w:val="single" w:sz="4" w:space="0" w:color="auto"/>
            </w:tcBorders>
          </w:tcPr>
          <w:p w14:paraId="06AA88E5" w14:textId="455E43BC" w:rsidR="00C10B48" w:rsidRPr="00C10B48" w:rsidRDefault="00C10B48" w:rsidP="00C10B48">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575277FB" w14:textId="6473AC93" w:rsidR="00C10B48" w:rsidRPr="00C10B48" w:rsidRDefault="00C05BB8" w:rsidP="00C10B48">
            <w:pPr>
              <w:pStyle w:val="TableText"/>
              <w:cnfStyle w:val="000000010000" w:firstRow="0" w:lastRow="0" w:firstColumn="0" w:lastColumn="0" w:oddVBand="0" w:evenVBand="0" w:oddHBand="0" w:evenHBand="1" w:firstRowFirstColumn="0" w:firstRowLastColumn="0" w:lastRowFirstColumn="0" w:lastRowLastColumn="0"/>
            </w:pPr>
            <w:r>
              <w:t>Provider</w:t>
            </w:r>
            <w:r w:rsidR="00F46C9F">
              <w:t>*</w:t>
            </w:r>
          </w:p>
        </w:tc>
      </w:tr>
      <w:tr w:rsidR="003B6671" w:rsidRPr="00FB7CD7" w14:paraId="20579706" w14:textId="77777777" w:rsidTr="00F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3511BE96" w14:textId="77777777" w:rsidR="003B6671" w:rsidRPr="00FA7D80" w:rsidRDefault="003B6671" w:rsidP="00FA7D80">
            <w:pPr>
              <w:pStyle w:val="TableText"/>
              <w:rPr>
                <w:b w:val="0"/>
                <w:bCs/>
              </w:rPr>
            </w:pPr>
            <w:r w:rsidRPr="00FA7D80">
              <w:rPr>
                <w:b w:val="0"/>
                <w:bCs/>
              </w:rPr>
              <w:t>Ensure adequate supervision</w:t>
            </w:r>
          </w:p>
        </w:tc>
        <w:tc>
          <w:tcPr>
            <w:tcW w:w="2220" w:type="dxa"/>
            <w:tcBorders>
              <w:top w:val="single" w:sz="4" w:space="0" w:color="auto"/>
              <w:bottom w:val="single" w:sz="4" w:space="0" w:color="auto"/>
            </w:tcBorders>
          </w:tcPr>
          <w:p w14:paraId="04C94E6C" w14:textId="130C49D7"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rsidRPr="00E975B8">
              <w:t>Complementary Service provider</w:t>
            </w:r>
          </w:p>
        </w:tc>
        <w:tc>
          <w:tcPr>
            <w:tcW w:w="2221" w:type="dxa"/>
            <w:tcBorders>
              <w:top w:val="single" w:sz="4" w:space="0" w:color="auto"/>
              <w:bottom w:val="single" w:sz="4" w:space="0" w:color="auto"/>
            </w:tcBorders>
          </w:tcPr>
          <w:p w14:paraId="39D2351D" w14:textId="77777777"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504C75FF" w14:textId="77777777"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t>Provider</w:t>
            </w:r>
          </w:p>
        </w:tc>
      </w:tr>
      <w:tr w:rsidR="000A1E87" w:rsidRPr="00FB7CD7" w14:paraId="65BE9219" w14:textId="77777777" w:rsidTr="00FA7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5B497D6C" w14:textId="77777777" w:rsidR="003B6671" w:rsidRPr="00FA7D80" w:rsidRDefault="003B6671" w:rsidP="00FA7D80">
            <w:pPr>
              <w:pStyle w:val="TableText"/>
              <w:rPr>
                <w:b w:val="0"/>
                <w:bCs/>
              </w:rPr>
            </w:pPr>
            <w:r w:rsidRPr="00FA7D80">
              <w:rPr>
                <w:b w:val="0"/>
                <w:bCs/>
              </w:rPr>
              <w:t>Conduct background checks</w:t>
            </w:r>
          </w:p>
        </w:tc>
        <w:tc>
          <w:tcPr>
            <w:tcW w:w="2220" w:type="dxa"/>
            <w:tcBorders>
              <w:top w:val="single" w:sz="4" w:space="0" w:color="auto"/>
              <w:bottom w:val="single" w:sz="4" w:space="0" w:color="auto"/>
            </w:tcBorders>
          </w:tcPr>
          <w:p w14:paraId="2D5D7393" w14:textId="249B81E3"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rsidRPr="00E975B8">
              <w:t>Complementary Service provider</w:t>
            </w:r>
          </w:p>
        </w:tc>
        <w:tc>
          <w:tcPr>
            <w:tcW w:w="2221" w:type="dxa"/>
            <w:tcBorders>
              <w:top w:val="single" w:sz="4" w:space="0" w:color="auto"/>
              <w:bottom w:val="single" w:sz="4" w:space="0" w:color="auto"/>
            </w:tcBorders>
          </w:tcPr>
          <w:p w14:paraId="752791FC" w14:textId="77777777"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0A186A9C" w14:textId="77777777"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t>Provider</w:t>
            </w:r>
          </w:p>
        </w:tc>
      </w:tr>
      <w:tr w:rsidR="003B6671" w:rsidRPr="00FB7CD7" w14:paraId="735880FA" w14:textId="77777777" w:rsidTr="00F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5AF7C875" w14:textId="77777777" w:rsidR="003B6671" w:rsidRPr="00FA7D80" w:rsidRDefault="003B6671" w:rsidP="00FA7D80">
            <w:pPr>
              <w:pStyle w:val="TableText"/>
              <w:rPr>
                <w:b w:val="0"/>
                <w:bCs/>
              </w:rPr>
            </w:pPr>
            <w:r w:rsidRPr="00FA7D80">
              <w:rPr>
                <w:b w:val="0"/>
                <w:bCs/>
              </w:rPr>
              <w:t>Ensure WH&amp;S arrangements are in place</w:t>
            </w:r>
          </w:p>
        </w:tc>
        <w:tc>
          <w:tcPr>
            <w:tcW w:w="2220" w:type="dxa"/>
            <w:tcBorders>
              <w:top w:val="single" w:sz="4" w:space="0" w:color="auto"/>
              <w:bottom w:val="single" w:sz="4" w:space="0" w:color="auto"/>
            </w:tcBorders>
          </w:tcPr>
          <w:p w14:paraId="6ED2289D" w14:textId="383815BD"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rsidRPr="00E975B8">
              <w:t>Complementary Service provider</w:t>
            </w:r>
          </w:p>
        </w:tc>
        <w:tc>
          <w:tcPr>
            <w:tcW w:w="2221" w:type="dxa"/>
            <w:tcBorders>
              <w:top w:val="single" w:sz="4" w:space="0" w:color="auto"/>
              <w:bottom w:val="single" w:sz="4" w:space="0" w:color="auto"/>
            </w:tcBorders>
          </w:tcPr>
          <w:p w14:paraId="0F6CEF65" w14:textId="77777777"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6128BFF2" w14:textId="77777777" w:rsidR="003B6671" w:rsidRPr="00FB7CD7" w:rsidRDefault="003B6671" w:rsidP="003B6671">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r>
      <w:tr w:rsidR="000A1E87" w:rsidRPr="00FB7CD7" w14:paraId="0585FCAE" w14:textId="77777777" w:rsidTr="00FA7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2558DD66" w14:textId="77777777" w:rsidR="003B6671" w:rsidRPr="00FA7D80" w:rsidRDefault="003B6671" w:rsidP="00FA7D80">
            <w:pPr>
              <w:pStyle w:val="TableText"/>
              <w:rPr>
                <w:b w:val="0"/>
                <w:bCs/>
              </w:rPr>
            </w:pPr>
            <w:r w:rsidRPr="00FA7D80">
              <w:rPr>
                <w:b w:val="0"/>
                <w:bCs/>
              </w:rPr>
              <w:t>Ensure Incident notification arrangements are in place</w:t>
            </w:r>
          </w:p>
        </w:tc>
        <w:tc>
          <w:tcPr>
            <w:tcW w:w="2220" w:type="dxa"/>
            <w:tcBorders>
              <w:top w:val="single" w:sz="4" w:space="0" w:color="auto"/>
              <w:bottom w:val="single" w:sz="4" w:space="0" w:color="auto"/>
            </w:tcBorders>
          </w:tcPr>
          <w:p w14:paraId="5D325F28" w14:textId="49469A47"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rsidRPr="00E975B8">
              <w:t>Complementary Service provider</w:t>
            </w:r>
          </w:p>
        </w:tc>
        <w:tc>
          <w:tcPr>
            <w:tcW w:w="2221" w:type="dxa"/>
            <w:tcBorders>
              <w:top w:val="single" w:sz="4" w:space="0" w:color="auto"/>
              <w:bottom w:val="single" w:sz="4" w:space="0" w:color="auto"/>
            </w:tcBorders>
          </w:tcPr>
          <w:p w14:paraId="707957D9" w14:textId="77777777"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c>
          <w:tcPr>
            <w:tcW w:w="2221" w:type="dxa"/>
            <w:tcBorders>
              <w:top w:val="single" w:sz="4" w:space="0" w:color="auto"/>
              <w:bottom w:val="single" w:sz="4" w:space="0" w:color="auto"/>
            </w:tcBorders>
          </w:tcPr>
          <w:p w14:paraId="7A2C0342" w14:textId="77777777" w:rsidR="003B6671" w:rsidRPr="00FB7CD7" w:rsidRDefault="003B6671" w:rsidP="003B6671">
            <w:pPr>
              <w:pStyle w:val="TableText"/>
              <w:cnfStyle w:val="000000010000" w:firstRow="0" w:lastRow="0" w:firstColumn="0" w:lastColumn="0" w:oddVBand="0" w:evenVBand="0" w:oddHBand="0" w:evenHBand="1" w:firstRowFirstColumn="0" w:firstRowLastColumn="0" w:lastRowFirstColumn="0" w:lastRowLastColumn="0"/>
            </w:pPr>
            <w:r w:rsidRPr="00FB7CD7">
              <w:t>Provider</w:t>
            </w:r>
          </w:p>
        </w:tc>
      </w:tr>
      <w:tr w:rsidR="00D74559" w:rsidRPr="00FB7CD7" w14:paraId="76E4C0ED" w14:textId="77777777" w:rsidTr="00FA7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03B62E0" w14:textId="77777777" w:rsidR="00D74559" w:rsidRPr="00FA7D80" w:rsidRDefault="00D74559" w:rsidP="00FA7D80">
            <w:pPr>
              <w:pStyle w:val="TableText"/>
              <w:rPr>
                <w:b w:val="0"/>
                <w:bCs/>
              </w:rPr>
            </w:pPr>
            <w:r w:rsidRPr="00FA7D80">
              <w:rPr>
                <w:b w:val="0"/>
                <w:bCs/>
              </w:rPr>
              <w:t>Arrange insurance coverage</w:t>
            </w:r>
          </w:p>
        </w:tc>
        <w:tc>
          <w:tcPr>
            <w:tcW w:w="2220" w:type="dxa"/>
            <w:tcBorders>
              <w:top w:val="single" w:sz="4" w:space="0" w:color="auto"/>
              <w:bottom w:val="single" w:sz="4" w:space="0" w:color="auto"/>
            </w:tcBorders>
          </w:tcPr>
          <w:p w14:paraId="014CDFAE"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t>Department</w:t>
            </w:r>
          </w:p>
        </w:tc>
        <w:tc>
          <w:tcPr>
            <w:tcW w:w="2221" w:type="dxa"/>
            <w:tcBorders>
              <w:top w:val="single" w:sz="4" w:space="0" w:color="auto"/>
              <w:bottom w:val="single" w:sz="4" w:space="0" w:color="auto"/>
            </w:tcBorders>
          </w:tcPr>
          <w:p w14:paraId="7D2DC171"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t>Department</w:t>
            </w:r>
          </w:p>
        </w:tc>
        <w:tc>
          <w:tcPr>
            <w:tcW w:w="2221" w:type="dxa"/>
            <w:tcBorders>
              <w:top w:val="single" w:sz="4" w:space="0" w:color="auto"/>
              <w:bottom w:val="single" w:sz="4" w:space="0" w:color="auto"/>
            </w:tcBorders>
          </w:tcPr>
          <w:p w14:paraId="5F631335" w14:textId="77777777" w:rsidR="00D74559" w:rsidRPr="00FB7CD7" w:rsidRDefault="00D74559" w:rsidP="00EF434C">
            <w:pPr>
              <w:pStyle w:val="TableText"/>
              <w:cnfStyle w:val="000000100000" w:firstRow="0" w:lastRow="0" w:firstColumn="0" w:lastColumn="0" w:oddVBand="0" w:evenVBand="0" w:oddHBand="1" w:evenHBand="0" w:firstRowFirstColumn="0" w:firstRowLastColumn="0" w:lastRowFirstColumn="0" w:lastRowLastColumn="0"/>
            </w:pPr>
            <w:r w:rsidRPr="00FB7CD7">
              <w:t>Provider</w:t>
            </w:r>
          </w:p>
        </w:tc>
      </w:tr>
    </w:tbl>
    <w:p w14:paraId="287A4802" w14:textId="3E595A3F" w:rsidR="00F46C9F" w:rsidRPr="00FB7CD7" w:rsidRDefault="00F46C9F" w:rsidP="00F46C9F">
      <w:r w:rsidRPr="00210AD1">
        <w:rPr>
          <w:b/>
          <w:bCs/>
        </w:rPr>
        <w:t>*</w:t>
      </w:r>
      <w:r w:rsidR="00210AD1" w:rsidRPr="00210AD1">
        <w:rPr>
          <w:b/>
          <w:bCs/>
        </w:rPr>
        <w:t xml:space="preserve"> Note:</w:t>
      </w:r>
      <w:r>
        <w:t xml:space="preserve"> </w:t>
      </w:r>
      <w:r w:rsidR="00DE133E">
        <w:t xml:space="preserve">Providers are responsible for </w:t>
      </w:r>
      <w:r w:rsidR="0029337D">
        <w:t xml:space="preserve">undertaking </w:t>
      </w:r>
      <w:r w:rsidR="00DE133E">
        <w:t xml:space="preserve">Risk Assessments </w:t>
      </w:r>
      <w:r w:rsidR="0029337D">
        <w:t xml:space="preserve">for </w:t>
      </w:r>
      <w:r w:rsidR="00F62422">
        <w:t>‘</w:t>
      </w:r>
      <w:r w:rsidR="0029337D">
        <w:t>other</w:t>
      </w:r>
      <w:r w:rsidR="00F62422">
        <w:t>’</w:t>
      </w:r>
      <w:r w:rsidR="0029337D">
        <w:t xml:space="preserve"> </w:t>
      </w:r>
      <w:r w:rsidR="00F62422">
        <w:t>A</w:t>
      </w:r>
      <w:r w:rsidR="0029337D">
        <w:t xml:space="preserve">ctivities they arrange, </w:t>
      </w:r>
      <w:r w:rsidR="00F62422">
        <w:t xml:space="preserve">but not for Activities the </w:t>
      </w:r>
      <w:r w:rsidR="00C93416">
        <w:t>Participant has arranged (</w:t>
      </w:r>
      <w:r w:rsidR="000A2B70">
        <w:t>i.e.</w:t>
      </w:r>
      <w:r w:rsidR="00C93416">
        <w:t xml:space="preserve"> Participant Sourced Voluntary Work).</w:t>
      </w:r>
    </w:p>
    <w:p w14:paraId="40CA3AC9" w14:textId="3697C3A4" w:rsidR="00D74559" w:rsidRPr="00FB7CD7" w:rsidRDefault="00D74559" w:rsidP="001D0F92">
      <w:pPr>
        <w:pStyle w:val="Heading4"/>
      </w:pPr>
      <w:bookmarkStart w:id="330" w:name="_Ref202795082"/>
      <w:bookmarkStart w:id="331" w:name="_Ref202796099"/>
      <w:bookmarkStart w:id="332" w:name="_Ref202796713"/>
      <w:bookmarkStart w:id="333" w:name="_Toc202900017"/>
      <w:r>
        <w:t>7.8.1</w:t>
      </w:r>
      <w:r w:rsidR="006477F6">
        <w:tab/>
      </w:r>
      <w:r>
        <w:t>Risk Assessments</w:t>
      </w:r>
      <w:bookmarkEnd w:id="330"/>
      <w:bookmarkEnd w:id="331"/>
      <w:bookmarkEnd w:id="332"/>
      <w:bookmarkEnd w:id="333"/>
    </w:p>
    <w:p w14:paraId="612DD6F4" w14:textId="348B8717" w:rsidR="00D47455" w:rsidRDefault="00D74559" w:rsidP="00E313F8">
      <w:r w:rsidRPr="4B360EFD">
        <w:t xml:space="preserve">Risk </w:t>
      </w:r>
      <w:r w:rsidR="001C3F4B" w:rsidRPr="4B360EFD">
        <w:t>A</w:t>
      </w:r>
      <w:r w:rsidRPr="4B360EFD">
        <w:t>ssessments must be undertaken for all Activity placements</w:t>
      </w:r>
      <w:r w:rsidR="00D47455">
        <w:t xml:space="preserve"> arranged by the Provider</w:t>
      </w:r>
      <w:r w:rsidRPr="4B360EFD">
        <w:t xml:space="preserve">. </w:t>
      </w:r>
    </w:p>
    <w:p w14:paraId="293E0012" w14:textId="15907038" w:rsidR="00D74559" w:rsidRPr="00FB7CD7" w:rsidRDefault="00D74559" w:rsidP="00E313F8">
      <w:r w:rsidRPr="4B360EFD">
        <w:t xml:space="preserve">The </w:t>
      </w:r>
      <w:r w:rsidR="00457789" w:rsidRPr="4B360EFD">
        <w:t>R</w:t>
      </w:r>
      <w:r w:rsidRPr="4B360EFD">
        <w:t xml:space="preserve">isk </w:t>
      </w:r>
      <w:r w:rsidR="00457789" w:rsidRPr="4B360EFD">
        <w:t>A</w:t>
      </w:r>
      <w:r w:rsidRPr="4B360EFD">
        <w:t xml:space="preserve">ssessment is </w:t>
      </w:r>
      <w:r w:rsidR="00D47455">
        <w:t>undertaken</w:t>
      </w:r>
      <w:r w:rsidRPr="4B360EFD">
        <w:t xml:space="preserve"> by:</w:t>
      </w:r>
    </w:p>
    <w:p w14:paraId="4A957E37" w14:textId="1F5883AD" w:rsidR="00D74559" w:rsidRPr="00FB7CD7" w:rsidRDefault="00D74559" w:rsidP="004E120D">
      <w:pPr>
        <w:pStyle w:val="BulletLevel1"/>
      </w:pPr>
      <w:r>
        <w:t xml:space="preserve">the </w:t>
      </w:r>
      <w:r w:rsidR="675AE695">
        <w:t>Complementary Service</w:t>
      </w:r>
      <w:r w:rsidR="7946353C">
        <w:t>s</w:t>
      </w:r>
      <w:r>
        <w:t xml:space="preserve"> </w:t>
      </w:r>
      <w:r w:rsidR="58B7BF9C">
        <w:t>p</w:t>
      </w:r>
      <w:r>
        <w:t xml:space="preserve">rovider, for </w:t>
      </w:r>
      <w:r w:rsidR="6C74521B">
        <w:t>Complementary</w:t>
      </w:r>
      <w:r w:rsidR="46E58B39">
        <w:t xml:space="preserve"> </w:t>
      </w:r>
      <w:r w:rsidR="6C74521B">
        <w:t>A</w:t>
      </w:r>
      <w:r>
        <w:t>ctivities</w:t>
      </w:r>
    </w:p>
    <w:p w14:paraId="6417EF5A" w14:textId="0AD7F547" w:rsidR="00D74559" w:rsidRPr="00FB7CD7" w:rsidRDefault="00D74559" w:rsidP="004E120D">
      <w:pPr>
        <w:pStyle w:val="BulletLevel1"/>
      </w:pPr>
      <w:r w:rsidRPr="111F7F31">
        <w:t xml:space="preserve">the Provider, for </w:t>
      </w:r>
      <w:r w:rsidR="287DBEF6">
        <w:t>S</w:t>
      </w:r>
      <w:r>
        <w:t xml:space="preserve">pecified </w:t>
      </w:r>
      <w:r w:rsidR="282BF113">
        <w:t>A</w:t>
      </w:r>
      <w:r w:rsidRPr="111F7F31">
        <w:t xml:space="preserve">ctivities and other </w:t>
      </w:r>
      <w:r w:rsidR="003C4F3E">
        <w:t>A</w:t>
      </w:r>
      <w:r w:rsidRPr="111F7F31">
        <w:t>ctivities.</w:t>
      </w:r>
    </w:p>
    <w:p w14:paraId="054634B4" w14:textId="592FCC78" w:rsidR="00D74559" w:rsidRPr="00FB7CD7" w:rsidRDefault="00D74559" w:rsidP="00E313F8">
      <w:r w:rsidRPr="111F7F31">
        <w:t xml:space="preserve">Providers must </w:t>
      </w:r>
      <w:r w:rsidR="00D50259">
        <w:t xml:space="preserve">support </w:t>
      </w:r>
      <w:r w:rsidR="00A0275D">
        <w:t>a Risk Assessment conducted by a Complementary Services provider</w:t>
      </w:r>
      <w:r w:rsidR="0071393D">
        <w:t xml:space="preserve"> by </w:t>
      </w:r>
      <w:r w:rsidRPr="111F7F31">
        <w:t>supply</w:t>
      </w:r>
      <w:r w:rsidR="0071393D">
        <w:t>ing</w:t>
      </w:r>
      <w:r w:rsidRPr="111F7F31">
        <w:t xml:space="preserve"> any requested information about the Participant.</w:t>
      </w:r>
    </w:p>
    <w:p w14:paraId="71608B2B" w14:textId="3E318B8C" w:rsidR="00D74559" w:rsidRPr="00FB7CD7" w:rsidRDefault="004254F2" w:rsidP="071F2223">
      <w:r>
        <w:t xml:space="preserve">Providers must conduct </w:t>
      </w:r>
      <w:r w:rsidR="417A2E0A">
        <w:t>R</w:t>
      </w:r>
      <w:r w:rsidR="00D74559">
        <w:t xml:space="preserve">isk </w:t>
      </w:r>
      <w:r w:rsidR="417A2E0A">
        <w:t>A</w:t>
      </w:r>
      <w:r w:rsidR="00D74559">
        <w:t xml:space="preserve">ssessments before </w:t>
      </w:r>
      <w:r>
        <w:t xml:space="preserve">referring </w:t>
      </w:r>
      <w:r w:rsidR="00D74559">
        <w:t xml:space="preserve">a Participant </w:t>
      </w:r>
      <w:r>
        <w:t>to</w:t>
      </w:r>
      <w:r w:rsidR="00D74559">
        <w:t xml:space="preserve"> a</w:t>
      </w:r>
      <w:r w:rsidR="00D7383D">
        <w:t xml:space="preserve"> Specified</w:t>
      </w:r>
      <w:r w:rsidR="00D74559">
        <w:t xml:space="preserve"> </w:t>
      </w:r>
      <w:r w:rsidR="50C6C7FF">
        <w:t>A</w:t>
      </w:r>
      <w:r w:rsidR="00D74559">
        <w:t>ctivity</w:t>
      </w:r>
      <w:r w:rsidR="00D7383D">
        <w:t xml:space="preserve"> or other</w:t>
      </w:r>
      <w:r w:rsidR="00D74559">
        <w:t xml:space="preserve"> </w:t>
      </w:r>
      <w:r w:rsidR="50C6C7FF">
        <w:t>A</w:t>
      </w:r>
      <w:r w:rsidR="00D74559">
        <w:t>ctivity, for:</w:t>
      </w:r>
    </w:p>
    <w:p w14:paraId="1FC7F027" w14:textId="37B04746" w:rsidR="00D74559" w:rsidRPr="00FB7CD7" w:rsidRDefault="00D74559" w:rsidP="071F2223">
      <w:pPr>
        <w:pStyle w:val="BulletLevel1"/>
      </w:pPr>
      <w:r>
        <w:t xml:space="preserve">the </w:t>
      </w:r>
      <w:r w:rsidR="477A92D0">
        <w:t>A</w:t>
      </w:r>
      <w:r>
        <w:t xml:space="preserve">ctivity </w:t>
      </w:r>
      <w:r w:rsidR="67149DE3">
        <w:t>to be undertaken</w:t>
      </w:r>
      <w:r w:rsidR="0C648F03">
        <w:t>,</w:t>
      </w:r>
      <w:r>
        <w:t xml:space="preserve"> </w:t>
      </w:r>
      <w:r w:rsidR="17E88BA5">
        <w:t>and</w:t>
      </w:r>
    </w:p>
    <w:p w14:paraId="5454C1A3" w14:textId="0DC34684" w:rsidR="00D74559" w:rsidRPr="00FB7CD7" w:rsidRDefault="00D74559" w:rsidP="071F2223">
      <w:pPr>
        <w:pStyle w:val="BulletLevel1"/>
      </w:pPr>
      <w:r>
        <w:t xml:space="preserve">the Participant undertaking the </w:t>
      </w:r>
      <w:r w:rsidR="477A92D0">
        <w:t>A</w:t>
      </w:r>
      <w:r>
        <w:t>ctivity</w:t>
      </w:r>
      <w:r w:rsidR="25B7ABB7">
        <w:t>.</w:t>
      </w:r>
    </w:p>
    <w:p w14:paraId="5E4CFBA7" w14:textId="77777777" w:rsidR="00BB4F1D" w:rsidRDefault="00BB4F1D" w:rsidP="00E313F8">
      <w:r>
        <w:t>Providers do not need to conduct a Risk Assessment for other Activities arranged by the Participant.</w:t>
      </w:r>
    </w:p>
    <w:p w14:paraId="52957044" w14:textId="5D3FD9C8" w:rsidR="00D74559" w:rsidRPr="00FB7CD7" w:rsidRDefault="00D74559" w:rsidP="00E313F8">
      <w:r>
        <w:t xml:space="preserve">Providers must take suitable actions to manage any risks identified through a </w:t>
      </w:r>
      <w:r w:rsidR="6C1CB796">
        <w:t>R</w:t>
      </w:r>
      <w:r>
        <w:t xml:space="preserve">isk </w:t>
      </w:r>
      <w:r w:rsidR="02F08C08">
        <w:t>A</w:t>
      </w:r>
      <w:r>
        <w:t>ssessment, so there is a safe system of work in place for the activity.</w:t>
      </w:r>
    </w:p>
    <w:p w14:paraId="4A00C9AD" w14:textId="64201C65" w:rsidR="00D74559" w:rsidRPr="00FB7CD7" w:rsidRDefault="00D74559" w:rsidP="00FA7D80">
      <w:pPr>
        <w:keepNext/>
      </w:pPr>
      <w:r w:rsidRPr="25BC4409">
        <w:t xml:space="preserve">If a Provider </w:t>
      </w:r>
      <w:r w:rsidR="00F66EAD">
        <w:t>identifies</w:t>
      </w:r>
      <w:r w:rsidRPr="25BC4409">
        <w:t xml:space="preserve"> that it cannot ensure appropriate safety, the Provider must:</w:t>
      </w:r>
    </w:p>
    <w:p w14:paraId="1B45DE0C" w14:textId="56564EC2" w:rsidR="00D74559" w:rsidRPr="00FB7CD7" w:rsidRDefault="00D74559" w:rsidP="00FA7D80">
      <w:pPr>
        <w:pStyle w:val="BulletLevel1"/>
        <w:keepNext/>
      </w:pPr>
      <w:r w:rsidRPr="00FB7CD7">
        <w:t xml:space="preserve">not arrange the </w:t>
      </w:r>
      <w:r>
        <w:t>Activity</w:t>
      </w:r>
    </w:p>
    <w:p w14:paraId="626430EC" w14:textId="5E15CFDA" w:rsidR="00D74559" w:rsidRPr="00FB7CD7" w:rsidRDefault="00D74559" w:rsidP="004E120D">
      <w:pPr>
        <w:pStyle w:val="BulletLevel1"/>
      </w:pPr>
      <w:r w:rsidRPr="111F7F31">
        <w:t xml:space="preserve">not refer any Participants to the </w:t>
      </w:r>
      <w:r>
        <w:t>Activity</w:t>
      </w:r>
    </w:p>
    <w:p w14:paraId="38B5C146" w14:textId="758A8EEB" w:rsidR="00D74559" w:rsidRPr="00FB7CD7" w:rsidRDefault="00D74559" w:rsidP="004E120D">
      <w:pPr>
        <w:pStyle w:val="BulletLevel1"/>
      </w:pPr>
      <w:r w:rsidRPr="25BC4409">
        <w:t xml:space="preserve">immediately end any </w:t>
      </w:r>
      <w:r w:rsidR="002B6FF7">
        <w:t>A</w:t>
      </w:r>
      <w:r w:rsidRPr="25BC4409">
        <w:t>ctivity referral that has already occurred.</w:t>
      </w:r>
    </w:p>
    <w:p w14:paraId="2FC477B7" w14:textId="77777777" w:rsidR="00D74559" w:rsidRPr="00FB7CD7" w:rsidRDefault="00D74559" w:rsidP="006D1645">
      <w:pPr>
        <w:pStyle w:val="Heading5"/>
      </w:pPr>
      <w:r>
        <w:t>Complementary A</w:t>
      </w:r>
      <w:r w:rsidRPr="00FB7CD7">
        <w:t>ctivities</w:t>
      </w:r>
    </w:p>
    <w:p w14:paraId="1F3186CB" w14:textId="134A4ABB" w:rsidR="00D74559" w:rsidRPr="00A61D35" w:rsidRDefault="00D74559" w:rsidP="00E313F8">
      <w:r>
        <w:t xml:space="preserve">Providers do not need to conduct </w:t>
      </w:r>
      <w:r w:rsidR="4CF8B30D">
        <w:t>R</w:t>
      </w:r>
      <w:r>
        <w:t xml:space="preserve">isk </w:t>
      </w:r>
      <w:r w:rsidR="43E275DC">
        <w:t>A</w:t>
      </w:r>
      <w:r>
        <w:t xml:space="preserve">ssessments for Complementary Activities. The Complementary </w:t>
      </w:r>
      <w:r w:rsidR="00046AAE">
        <w:t xml:space="preserve">Services </w:t>
      </w:r>
      <w:r w:rsidR="00816671">
        <w:t>p</w:t>
      </w:r>
      <w:r>
        <w:t>rovider manages risks for their Activities. However, Providers must not refer a Participant to the Activity if they are aware the Activity is not suitable for the Participant.</w:t>
      </w:r>
    </w:p>
    <w:p w14:paraId="4A0CCF05" w14:textId="00A08EE9" w:rsidR="00D74559" w:rsidRPr="00A61D35" w:rsidRDefault="00D74559" w:rsidP="00E313F8">
      <w:r>
        <w:t xml:space="preserve">Complementary </w:t>
      </w:r>
      <w:r w:rsidR="00046AAE">
        <w:t xml:space="preserve">Services </w:t>
      </w:r>
      <w:r>
        <w:t xml:space="preserve">providers </w:t>
      </w:r>
      <w:r w:rsidR="003B5B93">
        <w:t xml:space="preserve">will also be responsible for </w:t>
      </w:r>
      <w:r>
        <w:t>complet</w:t>
      </w:r>
      <w:r w:rsidR="003B5B93">
        <w:t>ing</w:t>
      </w:r>
      <w:r>
        <w:t xml:space="preserve"> Risk Assessments to ensure the health and safety of Participants when they take part in outbound </w:t>
      </w:r>
      <w:r w:rsidR="7DA698EE">
        <w:t>E</w:t>
      </w:r>
      <w:r>
        <w:t xml:space="preserve">mployer visits, such as guided tours of workplaces. </w:t>
      </w:r>
    </w:p>
    <w:p w14:paraId="686ED246" w14:textId="1D54C889" w:rsidR="00D74559" w:rsidRPr="00A61D35" w:rsidRDefault="00D74559" w:rsidP="00E313F8">
      <w:r>
        <w:t xml:space="preserve">Providers must give Complementary </w:t>
      </w:r>
      <w:r w:rsidR="00046AAE">
        <w:t xml:space="preserve">Services </w:t>
      </w:r>
      <w:r w:rsidR="00A67E70">
        <w:t>p</w:t>
      </w:r>
      <w:r>
        <w:t xml:space="preserve">roviders all the information they require to complete relevant </w:t>
      </w:r>
      <w:r w:rsidR="00C917B3">
        <w:t>R</w:t>
      </w:r>
      <w:r>
        <w:t xml:space="preserve">isk </w:t>
      </w:r>
      <w:r w:rsidR="00C917B3">
        <w:t>A</w:t>
      </w:r>
      <w:r>
        <w:t>ssessments.</w:t>
      </w:r>
    </w:p>
    <w:p w14:paraId="73B33713" w14:textId="649C7DE7" w:rsidR="00A44EED" w:rsidRPr="00A61D35" w:rsidRDefault="00A44EED" w:rsidP="00E313F8">
      <w:r>
        <w:t xml:space="preserve">Providers must confirm that a Risk Assessment for the Activity has been undertaken by a EST provider or CTA provider before placing a Participant into </w:t>
      </w:r>
      <w:r w:rsidR="00F87D3C">
        <w:t>these Activities.</w:t>
      </w:r>
    </w:p>
    <w:p w14:paraId="7E85B100" w14:textId="77777777" w:rsidR="00D74559" w:rsidRPr="00FB7CD7" w:rsidRDefault="00D74559" w:rsidP="006D1645">
      <w:pPr>
        <w:pStyle w:val="Heading5"/>
      </w:pPr>
      <w:r w:rsidRPr="00FB7CD7">
        <w:t xml:space="preserve">Specified </w:t>
      </w:r>
      <w:r>
        <w:t>A</w:t>
      </w:r>
      <w:r w:rsidRPr="00FB7CD7">
        <w:t>ctivities</w:t>
      </w:r>
    </w:p>
    <w:p w14:paraId="69E44A94" w14:textId="1E7BE3B6" w:rsidR="00D74559" w:rsidRPr="00A61D35" w:rsidRDefault="00D74559" w:rsidP="00E313F8">
      <w:r>
        <w:t xml:space="preserve">Risk </w:t>
      </w:r>
      <w:r w:rsidR="0010462E">
        <w:t>A</w:t>
      </w:r>
      <w:r>
        <w:t xml:space="preserve">ssessments are part of the safety framework for </w:t>
      </w:r>
      <w:r w:rsidR="00C917B3">
        <w:t>S</w:t>
      </w:r>
      <w:r>
        <w:t xml:space="preserve">pecified </w:t>
      </w:r>
      <w:r w:rsidR="00C917B3">
        <w:t>A</w:t>
      </w:r>
      <w:r>
        <w:t xml:space="preserve">ctivities. </w:t>
      </w:r>
      <w:r w:rsidR="00E54AF2">
        <w:t xml:space="preserve">Having a </w:t>
      </w:r>
      <w:r w:rsidR="00EE75F8">
        <w:t>Risk Assessment</w:t>
      </w:r>
      <w:r w:rsidR="008C48F7">
        <w:t xml:space="preserve"> for both the Activity and Participant</w:t>
      </w:r>
      <w:r w:rsidR="00EE75F8">
        <w:t xml:space="preserve"> ensures the Provider is</w:t>
      </w:r>
      <w:r w:rsidR="00FD1FDB">
        <w:t xml:space="preserve"> </w:t>
      </w:r>
      <w:r>
        <w:t>protect</w:t>
      </w:r>
      <w:r w:rsidR="00EE75F8">
        <w:t>ed</w:t>
      </w:r>
      <w:r>
        <w:t xml:space="preserve"> in case of injury or damage that can occur because of a placement.</w:t>
      </w:r>
    </w:p>
    <w:p w14:paraId="15B9E2FE" w14:textId="47571361" w:rsidR="00A229AF" w:rsidRPr="00A61D35" w:rsidRDefault="001F718E" w:rsidP="0060730E">
      <w:pPr>
        <w:pStyle w:val="WorkHealthandSafetyStep"/>
      </w:pPr>
      <w:r w:rsidRPr="001F718E">
        <w:t xml:space="preserve">The Provider must ensure Risk Assessments </w:t>
      </w:r>
      <w:r>
        <w:t>are conducted for the Activity and</w:t>
      </w:r>
      <w:r w:rsidRPr="001F718E">
        <w:t xml:space="preserve"> Participant by </w:t>
      </w:r>
      <w:r>
        <w:t xml:space="preserve">a </w:t>
      </w:r>
      <w:r w:rsidRPr="001F718E">
        <w:t>Competent Person</w:t>
      </w:r>
      <w:r w:rsidR="00B81455">
        <w:t xml:space="preserve"> and that Risk Assessments are</w:t>
      </w:r>
      <w:r w:rsidRPr="001F718E">
        <w:t xml:space="preserve"> updated as necessary</w:t>
      </w:r>
      <w:r w:rsidR="0060730E">
        <w:t>.</w:t>
      </w:r>
    </w:p>
    <w:p w14:paraId="760DFA16" w14:textId="4275F43A" w:rsidR="00D74559" w:rsidRPr="00A61D35" w:rsidRDefault="00D74559" w:rsidP="00E313F8">
      <w:r w:rsidRPr="111F7F31">
        <w:t xml:space="preserve">Risk </w:t>
      </w:r>
      <w:r w:rsidR="0010462E">
        <w:t>A</w:t>
      </w:r>
      <w:r>
        <w:t>ssessments</w:t>
      </w:r>
      <w:r w:rsidRPr="111F7F31">
        <w:t xml:space="preserve"> must be undertaken by a ‘</w:t>
      </w:r>
      <w:r w:rsidR="00001199">
        <w:t>C</w:t>
      </w:r>
      <w:r>
        <w:t xml:space="preserve">ompetent </w:t>
      </w:r>
      <w:r w:rsidR="00001199">
        <w:t>P</w:t>
      </w:r>
      <w:r>
        <w:t>erson’</w:t>
      </w:r>
      <w:r w:rsidR="00E313F8">
        <w:t xml:space="preserve"> — </w:t>
      </w:r>
      <w:r w:rsidRPr="111F7F31">
        <w:t xml:space="preserve">a person who has the knowledge and skills to carry out specific work health and safety tasks. If the Provider does not have a </w:t>
      </w:r>
      <w:r w:rsidR="00865CC8">
        <w:t>C</w:t>
      </w:r>
      <w:r>
        <w:t>ompetent</w:t>
      </w:r>
      <w:r w:rsidRPr="111F7F31">
        <w:t xml:space="preserve"> </w:t>
      </w:r>
      <w:r w:rsidR="00865CC8">
        <w:t>P</w:t>
      </w:r>
      <w:r>
        <w:t>erson</w:t>
      </w:r>
      <w:r w:rsidRPr="111F7F31">
        <w:t xml:space="preserve">, it must engage a </w:t>
      </w:r>
      <w:r w:rsidR="00865CC8">
        <w:t>C</w:t>
      </w:r>
      <w:r>
        <w:t xml:space="preserve">ompetent </w:t>
      </w:r>
      <w:r w:rsidR="00865CC8">
        <w:t>P</w:t>
      </w:r>
      <w:r>
        <w:t>erson</w:t>
      </w:r>
      <w:r w:rsidRPr="111F7F31">
        <w:t xml:space="preserve"> to do </w:t>
      </w:r>
      <w:r w:rsidR="004D665A">
        <w:t>R</w:t>
      </w:r>
      <w:r>
        <w:t xml:space="preserve">isk </w:t>
      </w:r>
      <w:r w:rsidR="004D665A">
        <w:t>A</w:t>
      </w:r>
      <w:r>
        <w:t>ssessments</w:t>
      </w:r>
      <w:r w:rsidRPr="111F7F31">
        <w:t>.</w:t>
      </w:r>
    </w:p>
    <w:p w14:paraId="11401488" w14:textId="4CB629AC" w:rsidR="00D74559" w:rsidRPr="00A61D35" w:rsidRDefault="00D74559" w:rsidP="00291819">
      <w:pPr>
        <w:keepNext/>
      </w:pPr>
      <w:r w:rsidRPr="2D2DB048">
        <w:t xml:space="preserve">A </w:t>
      </w:r>
      <w:r w:rsidR="00865CC8" w:rsidRPr="2D2DB048">
        <w:t>C</w:t>
      </w:r>
      <w:r w:rsidRPr="2D2DB048">
        <w:t xml:space="preserve">ompetent </w:t>
      </w:r>
      <w:r w:rsidR="00865CC8" w:rsidRPr="2D2DB048">
        <w:t>P</w:t>
      </w:r>
      <w:r w:rsidRPr="2D2DB048">
        <w:t>erson must complete</w:t>
      </w:r>
      <w:r w:rsidR="00CB393C">
        <w:t xml:space="preserve"> a Risk Assessment for</w:t>
      </w:r>
      <w:r w:rsidRPr="2D2DB048">
        <w:t>:</w:t>
      </w:r>
    </w:p>
    <w:p w14:paraId="626066AB" w14:textId="3DC3A178" w:rsidR="00D74559" w:rsidRPr="00156D37" w:rsidRDefault="2BFE3260" w:rsidP="004E120D">
      <w:pPr>
        <w:pStyle w:val="BulletLevel1"/>
      </w:pPr>
      <w:r>
        <w:t>the Activity</w:t>
      </w:r>
      <w:r w:rsidR="00985487">
        <w:t>,</w:t>
      </w:r>
      <w:r w:rsidR="00D74559">
        <w:t xml:space="preserve"> to:</w:t>
      </w:r>
    </w:p>
    <w:p w14:paraId="274F8FFB" w14:textId="155F52BF" w:rsidR="00D74559" w:rsidRPr="0093718A" w:rsidRDefault="00D74559" w:rsidP="004E120D">
      <w:pPr>
        <w:pStyle w:val="BulletLevel2"/>
      </w:pPr>
      <w:r>
        <w:t xml:space="preserve">check the </w:t>
      </w:r>
      <w:r w:rsidR="00985487">
        <w:t>A</w:t>
      </w:r>
      <w:r>
        <w:t xml:space="preserve">ctivity is ready to go ahead before the Provider refers the Participant </w:t>
      </w:r>
    </w:p>
    <w:p w14:paraId="32534C34" w14:textId="746FD168" w:rsidR="00D74559" w:rsidRPr="00FB7CD7" w:rsidRDefault="00D74559" w:rsidP="004E120D">
      <w:pPr>
        <w:pStyle w:val="BulletLevel2"/>
      </w:pPr>
      <w:r w:rsidRPr="25BC4409">
        <w:t xml:space="preserve">discover possible risks that might come up when the Participant takes part in the </w:t>
      </w:r>
      <w:r w:rsidR="00985487">
        <w:t>A</w:t>
      </w:r>
      <w:r w:rsidRPr="25BC4409">
        <w:t>ctivity</w:t>
      </w:r>
    </w:p>
    <w:p w14:paraId="409F2D53" w14:textId="18C286C7" w:rsidR="00D74559" w:rsidRPr="00156D37" w:rsidRDefault="1C432383" w:rsidP="004E120D">
      <w:pPr>
        <w:pStyle w:val="BulletLevel1"/>
      </w:pPr>
      <w:r>
        <w:t>the Participant</w:t>
      </w:r>
      <w:r w:rsidR="00985487">
        <w:t>,</w:t>
      </w:r>
      <w:r>
        <w:t xml:space="preserve"> </w:t>
      </w:r>
      <w:r w:rsidR="00D74559">
        <w:t xml:space="preserve">before the Participant commences the activity. </w:t>
      </w:r>
      <w:bookmarkStart w:id="334" w:name="_Hlk181181802"/>
      <w:r w:rsidR="00D74559">
        <w:t xml:space="preserve">This assessment checks the activity is suitable for </w:t>
      </w:r>
      <w:r w:rsidR="4383A1C4">
        <w:t>the Participant and their individual</w:t>
      </w:r>
      <w:r w:rsidR="00D74559">
        <w:t xml:space="preserve"> circumstances.</w:t>
      </w:r>
      <w:bookmarkEnd w:id="334"/>
    </w:p>
    <w:p w14:paraId="359A991A" w14:textId="77777777" w:rsidR="00D74559" w:rsidRPr="00B84B59" w:rsidRDefault="00D74559" w:rsidP="0079424A">
      <w:pPr>
        <w:pStyle w:val="DocumentaryEvidenceRequirement"/>
      </w:pPr>
      <w:r w:rsidRPr="00B84B59">
        <w:t xml:space="preserve">Providers must retain copies of: </w:t>
      </w:r>
    </w:p>
    <w:p w14:paraId="06F04D05" w14:textId="6B4C38A3" w:rsidR="00D74559" w:rsidRPr="00156D37" w:rsidRDefault="00B035E7" w:rsidP="004E120D">
      <w:pPr>
        <w:pStyle w:val="BulletLevel2"/>
      </w:pPr>
      <w:r>
        <w:t>R</w:t>
      </w:r>
      <w:r w:rsidR="00D74559">
        <w:t xml:space="preserve">isk </w:t>
      </w:r>
      <w:r>
        <w:t>A</w:t>
      </w:r>
      <w:r w:rsidR="00D74559">
        <w:t xml:space="preserve">ssessments </w:t>
      </w:r>
      <w:r w:rsidR="7CC82B3F">
        <w:t xml:space="preserve">for the </w:t>
      </w:r>
      <w:r w:rsidR="002B5C90">
        <w:t>A</w:t>
      </w:r>
      <w:r w:rsidR="00D74559">
        <w:t xml:space="preserve">ctivity and Participant </w:t>
      </w:r>
    </w:p>
    <w:p w14:paraId="4BC772BC" w14:textId="2EB164F7" w:rsidR="00D74559" w:rsidRPr="00156D37" w:rsidRDefault="004D336C" w:rsidP="004E120D">
      <w:pPr>
        <w:pStyle w:val="BulletLevel2"/>
      </w:pPr>
      <w:r>
        <w:t>C</w:t>
      </w:r>
      <w:r w:rsidR="00D74559">
        <w:t xml:space="preserve">ompetent </w:t>
      </w:r>
      <w:r>
        <w:t>P</w:t>
      </w:r>
      <w:r w:rsidR="00D74559">
        <w:t>erson</w:t>
      </w:r>
      <w:r w:rsidR="00D74559" w:rsidRPr="00156D37">
        <w:t xml:space="preserve"> details – name, description of training/qualifications/experience</w:t>
      </w:r>
    </w:p>
    <w:p w14:paraId="3D897FCC" w14:textId="6B46814B" w:rsidR="00D74559" w:rsidRPr="00A35F56" w:rsidRDefault="009017C2" w:rsidP="00E313F8">
      <w:r w:rsidRPr="00B44D7F">
        <w:t>Examples of</w:t>
      </w:r>
      <w:r w:rsidR="00D74559" w:rsidRPr="00B44D7F">
        <w:t xml:space="preserve"> </w:t>
      </w:r>
      <w:r w:rsidRPr="00B44D7F">
        <w:t xml:space="preserve">a </w:t>
      </w:r>
      <w:r w:rsidR="73B798BF" w:rsidRPr="00B44D7F">
        <w:rPr>
          <w:rStyle w:val="Hyperlink"/>
        </w:rPr>
        <w:t>R</w:t>
      </w:r>
      <w:r w:rsidR="00D74559" w:rsidRPr="00B44D7F">
        <w:rPr>
          <w:rStyle w:val="Hyperlink"/>
        </w:rPr>
        <w:t xml:space="preserve">isk </w:t>
      </w:r>
      <w:r w:rsidR="73B798BF" w:rsidRPr="00B44D7F">
        <w:rPr>
          <w:rStyle w:val="Hyperlink"/>
        </w:rPr>
        <w:t>A</w:t>
      </w:r>
      <w:r w:rsidR="00D74559" w:rsidRPr="00B44D7F">
        <w:rPr>
          <w:rStyle w:val="Hyperlink"/>
        </w:rPr>
        <w:t>ssessment</w:t>
      </w:r>
      <w:r w:rsidR="00B44D7F" w:rsidRPr="00B44D7F">
        <w:rPr>
          <w:rStyle w:val="Hyperlink"/>
        </w:rPr>
        <w:t xml:space="preserve"> template</w:t>
      </w:r>
      <w:r w:rsidR="006E08DD" w:rsidRPr="00B44D7F">
        <w:rPr>
          <w:rStyle w:val="Hyperlink"/>
        </w:rPr>
        <w:t xml:space="preserve"> [LINK]</w:t>
      </w:r>
      <w:r w:rsidR="00D74559" w:rsidRPr="00B44D7F">
        <w:t xml:space="preserve"> and </w:t>
      </w:r>
      <w:r w:rsidR="485B74DD" w:rsidRPr="00B44D7F">
        <w:rPr>
          <w:rStyle w:val="Hyperlink"/>
        </w:rPr>
        <w:t>C</w:t>
      </w:r>
      <w:r w:rsidR="00D74559" w:rsidRPr="00B44D7F">
        <w:rPr>
          <w:rStyle w:val="Hyperlink"/>
        </w:rPr>
        <w:t xml:space="preserve">ompetent </w:t>
      </w:r>
      <w:r w:rsidR="485B74DD" w:rsidRPr="00B44D7F">
        <w:rPr>
          <w:rStyle w:val="Hyperlink"/>
        </w:rPr>
        <w:t>P</w:t>
      </w:r>
      <w:r w:rsidR="00D74559" w:rsidRPr="00B44D7F">
        <w:rPr>
          <w:rStyle w:val="Hyperlink"/>
        </w:rPr>
        <w:t xml:space="preserve">erson register template </w:t>
      </w:r>
      <w:r w:rsidR="00B44D7F" w:rsidRPr="00B44D7F">
        <w:rPr>
          <w:rStyle w:val="Hyperlink"/>
        </w:rPr>
        <w:t>[LINK]</w:t>
      </w:r>
      <w:r w:rsidR="00B44D7F" w:rsidRPr="00B44D7F">
        <w:t xml:space="preserve"> </w:t>
      </w:r>
      <w:r w:rsidR="00D74559" w:rsidRPr="00B44D7F">
        <w:t>can be found on the Provider Portal.</w:t>
      </w:r>
    </w:p>
    <w:p w14:paraId="5EF8855B" w14:textId="5A4CADBE" w:rsidR="00D74559" w:rsidRPr="00A61D35" w:rsidRDefault="00D74559" w:rsidP="00E313F8">
      <w:r w:rsidRPr="1AC5EF1B">
        <w:t xml:space="preserve">When conducting </w:t>
      </w:r>
      <w:r w:rsidR="001E7190" w:rsidRPr="1AC5EF1B">
        <w:t>R</w:t>
      </w:r>
      <w:r w:rsidRPr="1AC5EF1B">
        <w:t xml:space="preserve">isk </w:t>
      </w:r>
      <w:r w:rsidR="001E7190" w:rsidRPr="1AC5EF1B">
        <w:t>A</w:t>
      </w:r>
      <w:r w:rsidRPr="1AC5EF1B">
        <w:t xml:space="preserve">ssessments, the </w:t>
      </w:r>
      <w:r w:rsidR="00491D22" w:rsidRPr="1AC5EF1B">
        <w:t>C</w:t>
      </w:r>
      <w:r w:rsidRPr="1AC5EF1B">
        <w:t xml:space="preserve">ompetent </w:t>
      </w:r>
      <w:r w:rsidR="00491D22" w:rsidRPr="1AC5EF1B">
        <w:t>P</w:t>
      </w:r>
      <w:r w:rsidRPr="1AC5EF1B">
        <w:t>erson must consider:</w:t>
      </w:r>
    </w:p>
    <w:p w14:paraId="7F20E280" w14:textId="42DD30B1" w:rsidR="00D74559" w:rsidRPr="00156D37" w:rsidRDefault="00D74559" w:rsidP="004E120D">
      <w:pPr>
        <w:pStyle w:val="BulletLevel1"/>
      </w:pPr>
      <w:r w:rsidRPr="00156D37">
        <w:t xml:space="preserve">the role of the </w:t>
      </w:r>
      <w:r w:rsidR="00E11C5E">
        <w:t>H</w:t>
      </w:r>
      <w:r>
        <w:t>ost</w:t>
      </w:r>
      <w:r w:rsidRPr="00156D37">
        <w:t xml:space="preserve"> </w:t>
      </w:r>
      <w:r w:rsidR="00E11C5E">
        <w:t>O</w:t>
      </w:r>
      <w:r>
        <w:t>rganisation</w:t>
      </w:r>
    </w:p>
    <w:p w14:paraId="2B9E3EAA" w14:textId="77777777" w:rsidR="00D74559" w:rsidRPr="00156D37" w:rsidRDefault="00D74559" w:rsidP="004E120D">
      <w:pPr>
        <w:pStyle w:val="BulletLevel1"/>
      </w:pPr>
      <w:r w:rsidRPr="111F7F31">
        <w:t>the specific needs of the Participant</w:t>
      </w:r>
    </w:p>
    <w:p w14:paraId="70D6C477" w14:textId="77777777" w:rsidR="00D74559" w:rsidRPr="00156D37" w:rsidRDefault="00D74559" w:rsidP="004E120D">
      <w:pPr>
        <w:pStyle w:val="BulletLevel1"/>
      </w:pPr>
      <w:r w:rsidRPr="111F7F31">
        <w:t>the type and location of the tasks to be performed by the Participant</w:t>
      </w:r>
    </w:p>
    <w:p w14:paraId="7A3BF8B8" w14:textId="77777777" w:rsidR="00D74559" w:rsidRPr="00156D37" w:rsidRDefault="00D74559" w:rsidP="004E120D">
      <w:pPr>
        <w:pStyle w:val="BulletLevel1"/>
      </w:pPr>
      <w:r w:rsidRPr="111F7F31">
        <w:t xml:space="preserve">the Participant’s personal circumstances </w:t>
      </w:r>
    </w:p>
    <w:p w14:paraId="69C1B5D5" w14:textId="3AA5E9D8" w:rsidR="00D74559" w:rsidRPr="00156D37" w:rsidRDefault="00D74559" w:rsidP="004E120D">
      <w:pPr>
        <w:pStyle w:val="BulletLevel1"/>
      </w:pPr>
      <w:r w:rsidRPr="25BC4409">
        <w:t>the level of supervision required</w:t>
      </w:r>
      <w:r w:rsidR="5DA911C0">
        <w:t xml:space="preserve"> for the task to be undertaken</w:t>
      </w:r>
    </w:p>
    <w:p w14:paraId="4769AA7C" w14:textId="77777777" w:rsidR="00D74559" w:rsidRPr="00156D37" w:rsidRDefault="00D74559" w:rsidP="004E120D">
      <w:pPr>
        <w:pStyle w:val="BulletLevel1"/>
      </w:pPr>
      <w:r w:rsidRPr="25BC4409">
        <w:t>the type, cause and likelihood of any risks</w:t>
      </w:r>
    </w:p>
    <w:p w14:paraId="3BBE256C" w14:textId="0945F473" w:rsidR="00D74559" w:rsidRPr="00156D37" w:rsidRDefault="00D74559" w:rsidP="004E120D">
      <w:pPr>
        <w:pStyle w:val="BulletLevel1"/>
      </w:pPr>
      <w:r w:rsidRPr="00156D37">
        <w:t xml:space="preserve">the result if an </w:t>
      </w:r>
      <w:r w:rsidR="00676154">
        <w:t>I</w:t>
      </w:r>
      <w:r>
        <w:t>ncident</w:t>
      </w:r>
      <w:r w:rsidRPr="00156D37">
        <w:t xml:space="preserve"> occurs</w:t>
      </w:r>
      <w:r>
        <w:t>, and</w:t>
      </w:r>
    </w:p>
    <w:p w14:paraId="08AE79ED" w14:textId="77777777" w:rsidR="00D74559" w:rsidRPr="00156D37" w:rsidRDefault="00D74559" w:rsidP="004E120D">
      <w:pPr>
        <w:pStyle w:val="BulletLevel1"/>
      </w:pPr>
      <w:r w:rsidRPr="25BC4409">
        <w:t>plans to manage possible risks, including training and personal protective equipment.</w:t>
      </w:r>
    </w:p>
    <w:p w14:paraId="28883CD6" w14:textId="2B10B41D" w:rsidR="00D74559" w:rsidRPr="00A61D35" w:rsidRDefault="00D74559" w:rsidP="00E313F8">
      <w:r w:rsidRPr="25BC4409">
        <w:t xml:space="preserve">Risk plans must meet relevant </w:t>
      </w:r>
      <w:r w:rsidR="003641DA">
        <w:t>WHS</w:t>
      </w:r>
      <w:r w:rsidRPr="25BC4409">
        <w:t xml:space="preserve"> </w:t>
      </w:r>
      <w:r w:rsidR="003641DA">
        <w:t>L</w:t>
      </w:r>
      <w:r w:rsidRPr="25BC4409">
        <w:t xml:space="preserve">aws and </w:t>
      </w:r>
      <w:r w:rsidR="00A81557">
        <w:t>the</w:t>
      </w:r>
      <w:r w:rsidRPr="25BC4409">
        <w:t xml:space="preserve"> procedures</w:t>
      </w:r>
      <w:r w:rsidR="00A81557">
        <w:t xml:space="preserve"> outlined in these Guidelines</w:t>
      </w:r>
      <w:r w:rsidRPr="25BC4409">
        <w:t>. They must be reviewed and updated as necessary.</w:t>
      </w:r>
    </w:p>
    <w:p w14:paraId="0D929904" w14:textId="13712A98" w:rsidR="00D74559" w:rsidRPr="00A61D35" w:rsidRDefault="00D74559" w:rsidP="00E313F8">
      <w:r w:rsidRPr="111F7F31">
        <w:t xml:space="preserve">The </w:t>
      </w:r>
      <w:r w:rsidR="007A5FDE">
        <w:t>D</w:t>
      </w:r>
      <w:r w:rsidRPr="111F7F31">
        <w:t xml:space="preserve">epartment can instruct a Provider to stop or change an </w:t>
      </w:r>
      <w:r w:rsidR="775B043B">
        <w:t>A</w:t>
      </w:r>
      <w:r>
        <w:t>ctivity</w:t>
      </w:r>
      <w:r w:rsidRPr="111F7F31">
        <w:t>, at any time.</w:t>
      </w:r>
    </w:p>
    <w:p w14:paraId="4C04D591" w14:textId="0AA0BEC8" w:rsidR="00D74559" w:rsidRPr="00FB7CD7" w:rsidRDefault="00D74559" w:rsidP="006D1645">
      <w:pPr>
        <w:pStyle w:val="Heading5"/>
      </w:pPr>
      <w:r w:rsidRPr="00FB7CD7">
        <w:t xml:space="preserve">Other </w:t>
      </w:r>
      <w:r w:rsidR="00594A59">
        <w:t>A</w:t>
      </w:r>
      <w:r w:rsidRPr="00FB7CD7">
        <w:t>ctivities</w:t>
      </w:r>
    </w:p>
    <w:p w14:paraId="7081EE78" w14:textId="28F343E8" w:rsidR="00D74559" w:rsidRPr="00A61D35" w:rsidRDefault="00D74559" w:rsidP="00C86981">
      <w:r w:rsidRPr="111F7F31">
        <w:t xml:space="preserve">Providers </w:t>
      </w:r>
      <w:r w:rsidR="00914D7C">
        <w:t>must</w:t>
      </w:r>
      <w:r w:rsidR="00EC45E9">
        <w:t xml:space="preserve"> </w:t>
      </w:r>
      <w:r w:rsidRPr="111F7F31">
        <w:t xml:space="preserve">undertake a </w:t>
      </w:r>
      <w:r w:rsidR="00657678">
        <w:t>R</w:t>
      </w:r>
      <w:r>
        <w:t xml:space="preserve">isk </w:t>
      </w:r>
      <w:r w:rsidR="00657678">
        <w:t>A</w:t>
      </w:r>
      <w:r>
        <w:t>ssessment</w:t>
      </w:r>
      <w:r w:rsidRPr="111F7F31">
        <w:t xml:space="preserve"> before placing a Participant into any other </w:t>
      </w:r>
      <w:r w:rsidR="001124A3">
        <w:t>A</w:t>
      </w:r>
      <w:r w:rsidRPr="111F7F31">
        <w:t xml:space="preserve">ctivity the Provider </w:t>
      </w:r>
      <w:r w:rsidR="001124A3">
        <w:t>has</w:t>
      </w:r>
      <w:r w:rsidRPr="111F7F31">
        <w:t xml:space="preserve"> arrange</w:t>
      </w:r>
      <w:r w:rsidR="001124A3">
        <w:t>d</w:t>
      </w:r>
      <w:r w:rsidRPr="111F7F31">
        <w:t xml:space="preserve"> </w:t>
      </w:r>
      <w:r w:rsidR="00717481">
        <w:t>on behalf of the Participant</w:t>
      </w:r>
      <w:r w:rsidRPr="111F7F31">
        <w:t xml:space="preserve">. </w:t>
      </w:r>
      <w:r>
        <w:t xml:space="preserve">The </w:t>
      </w:r>
      <w:r w:rsidR="00657678">
        <w:t>R</w:t>
      </w:r>
      <w:r>
        <w:t xml:space="preserve">isk </w:t>
      </w:r>
      <w:r w:rsidR="00657678">
        <w:t>A</w:t>
      </w:r>
      <w:r>
        <w:t>ssessment</w:t>
      </w:r>
      <w:r w:rsidRPr="111F7F31">
        <w:t xml:space="preserve"> is to prevent injury or damage that may occur during an </w:t>
      </w:r>
      <w:r w:rsidR="00764473">
        <w:t>A</w:t>
      </w:r>
      <w:r w:rsidRPr="111F7F31">
        <w:t>ctivity</w:t>
      </w:r>
      <w:r w:rsidR="00764473">
        <w:t xml:space="preserve"> they have arranged</w:t>
      </w:r>
      <w:r w:rsidRPr="111F7F31">
        <w:t>, and to protect the Provider from the consequences of such an injury or damage.</w:t>
      </w:r>
    </w:p>
    <w:p w14:paraId="43A666C8" w14:textId="76391409" w:rsidR="00D74559" w:rsidRDefault="00D74559" w:rsidP="00C86981">
      <w:r w:rsidRPr="46BCCC36">
        <w:t xml:space="preserve">There are no requirements about the form or content of </w:t>
      </w:r>
      <w:r w:rsidR="00117205" w:rsidRPr="46BCCC36">
        <w:t>R</w:t>
      </w:r>
      <w:r w:rsidRPr="46BCCC36">
        <w:t xml:space="preserve">isk </w:t>
      </w:r>
      <w:r w:rsidR="00DB5503" w:rsidRPr="46BCCC36">
        <w:t>A</w:t>
      </w:r>
      <w:r w:rsidRPr="46BCCC36">
        <w:t xml:space="preserve">ssessments undertaken for other </w:t>
      </w:r>
      <w:r w:rsidR="00027FDD">
        <w:t>A</w:t>
      </w:r>
      <w:r w:rsidRPr="46BCCC36">
        <w:t xml:space="preserve">ctivities. The sample </w:t>
      </w:r>
      <w:r w:rsidR="008452FD" w:rsidRPr="46BCCC36">
        <w:t>R</w:t>
      </w:r>
      <w:r w:rsidRPr="46BCCC36">
        <w:t xml:space="preserve">isk </w:t>
      </w:r>
      <w:r w:rsidR="008452FD" w:rsidRPr="46BCCC36">
        <w:t>A</w:t>
      </w:r>
      <w:r w:rsidRPr="46BCCC36">
        <w:t xml:space="preserve">ssessment templates for </w:t>
      </w:r>
      <w:r w:rsidR="00E24A2D" w:rsidRPr="46BCCC36">
        <w:t>S</w:t>
      </w:r>
      <w:r w:rsidRPr="46BCCC36">
        <w:t xml:space="preserve">pecified </w:t>
      </w:r>
      <w:r w:rsidR="00E24A2D" w:rsidRPr="46BCCC36">
        <w:t>A</w:t>
      </w:r>
      <w:r w:rsidRPr="46BCCC36">
        <w:t>ctivities can be used to help record assessments.</w:t>
      </w:r>
    </w:p>
    <w:p w14:paraId="2F962EEE" w14:textId="6E823C7B" w:rsidR="00B7067F" w:rsidRPr="00A61D35" w:rsidRDefault="00B7067F" w:rsidP="00C86981">
      <w:r>
        <w:t>Providers are responsible for undertaking Risk Assessments for ‘other’ Activities the Participant has arranged on their own behalf.</w:t>
      </w:r>
    </w:p>
    <w:p w14:paraId="61C1E3CA" w14:textId="6ABD91A5" w:rsidR="00D74559" w:rsidRPr="00FB7CD7" w:rsidRDefault="00D74559" w:rsidP="001D0F92">
      <w:pPr>
        <w:pStyle w:val="Heading4"/>
      </w:pPr>
      <w:bookmarkStart w:id="335" w:name="_Ref202796134"/>
      <w:bookmarkStart w:id="336" w:name="_Toc202900018"/>
      <w:r>
        <w:t>7.8.2</w:t>
      </w:r>
      <w:r w:rsidR="006477F6">
        <w:tab/>
      </w:r>
      <w:r>
        <w:t>Supervision</w:t>
      </w:r>
      <w:bookmarkEnd w:id="335"/>
      <w:bookmarkEnd w:id="336"/>
    </w:p>
    <w:p w14:paraId="44249F01" w14:textId="0A3EE270" w:rsidR="00D74559" w:rsidRPr="00FB7CD7" w:rsidRDefault="00D74559" w:rsidP="00C86981">
      <w:r w:rsidRPr="00FB7CD7">
        <w:t xml:space="preserve">Participants must be adequately supervised in all </w:t>
      </w:r>
      <w:r>
        <w:t>A</w:t>
      </w:r>
      <w:r w:rsidRPr="00FB7CD7">
        <w:t xml:space="preserve">ctivity placements. </w:t>
      </w:r>
    </w:p>
    <w:p w14:paraId="4BF4B39E" w14:textId="09FA8F8E" w:rsidR="00D74559" w:rsidRPr="00A61D35" w:rsidRDefault="00D74559" w:rsidP="00C86981">
      <w:r>
        <w:t xml:space="preserve">Providers </w:t>
      </w:r>
      <w:r w:rsidR="00F27D7E">
        <w:t xml:space="preserve">are encouraged to </w:t>
      </w:r>
      <w:r>
        <w:t xml:space="preserve">work with the </w:t>
      </w:r>
      <w:r w:rsidR="0085129B">
        <w:t>H</w:t>
      </w:r>
      <w:r>
        <w:t xml:space="preserve">ost </w:t>
      </w:r>
      <w:r w:rsidR="0085129B">
        <w:t>O</w:t>
      </w:r>
      <w:r>
        <w:t xml:space="preserve">rganisation or </w:t>
      </w:r>
      <w:r w:rsidR="00807CCD">
        <w:t>A</w:t>
      </w:r>
      <w:r>
        <w:t xml:space="preserve">ctivity </w:t>
      </w:r>
      <w:r w:rsidR="00807CCD">
        <w:t>p</w:t>
      </w:r>
      <w:r>
        <w:t xml:space="preserve">rovider to arrange suitable supervision. </w:t>
      </w:r>
      <w:r w:rsidR="5B26E6A1">
        <w:t xml:space="preserve">The </w:t>
      </w:r>
      <w:r w:rsidR="00D31BE6">
        <w:t xml:space="preserve">Supervisor should be made aware </w:t>
      </w:r>
      <w:r w:rsidR="42B0ED45">
        <w:t>of</w:t>
      </w:r>
      <w:r w:rsidR="606D66F9">
        <w:t xml:space="preserve"> and specific needs </w:t>
      </w:r>
      <w:r w:rsidR="5B26E6A1">
        <w:t xml:space="preserve">of the Participant. </w:t>
      </w:r>
      <w:r>
        <w:t xml:space="preserve">The </w:t>
      </w:r>
      <w:r w:rsidR="00FD7679">
        <w:t>S</w:t>
      </w:r>
      <w:r>
        <w:t xml:space="preserve">upervisor can be a person normally </w:t>
      </w:r>
      <w:r w:rsidR="00792659">
        <w:t>E</w:t>
      </w:r>
      <w:r>
        <w:t xml:space="preserve">mployed as part of the </w:t>
      </w:r>
      <w:r w:rsidR="00BD7F3F">
        <w:t>A</w:t>
      </w:r>
      <w:r>
        <w:t>ctivity, or a person engaged to supervise the Participant.</w:t>
      </w:r>
    </w:p>
    <w:p w14:paraId="059B8E77" w14:textId="573984D9" w:rsidR="00D74559" w:rsidRPr="00A61D35" w:rsidRDefault="00D74559" w:rsidP="00C86981">
      <w:r w:rsidRPr="3AD6B0A1">
        <w:t xml:space="preserve">Background checks are often a required way of making sure a </w:t>
      </w:r>
      <w:r w:rsidR="00FD7679" w:rsidRPr="3AD6B0A1">
        <w:t>S</w:t>
      </w:r>
      <w:r w:rsidRPr="3AD6B0A1">
        <w:t>upervisor or other staff member is a fit and proper person.</w:t>
      </w:r>
    </w:p>
    <w:p w14:paraId="3BB52B72" w14:textId="1F1C87B4" w:rsidR="00D74559" w:rsidRPr="00FB7CD7" w:rsidRDefault="00D74559" w:rsidP="00C86981">
      <w:r w:rsidRPr="111F7F31">
        <w:t xml:space="preserve">If an </w:t>
      </w:r>
      <w:r w:rsidR="00A0665E">
        <w:t>A</w:t>
      </w:r>
      <w:r>
        <w:t>ctivity</w:t>
      </w:r>
      <w:r w:rsidRPr="111F7F31">
        <w:t xml:space="preserve"> involves children, the elderly, disabled or other </w:t>
      </w:r>
      <w:r w:rsidR="007107AC">
        <w:t>V</w:t>
      </w:r>
      <w:r>
        <w:t xml:space="preserve">ulnerable </w:t>
      </w:r>
      <w:r w:rsidR="0066504D">
        <w:t>Person</w:t>
      </w:r>
      <w:r w:rsidRPr="111F7F31">
        <w:t xml:space="preserve">, the Provider must ensure there is </w:t>
      </w:r>
      <w:r w:rsidR="009173E6">
        <w:t>c</w:t>
      </w:r>
      <w:r>
        <w:t xml:space="preserve">ontinuous </w:t>
      </w:r>
      <w:r w:rsidR="000E5405">
        <w:t>S</w:t>
      </w:r>
      <w:r>
        <w:t>upervision</w:t>
      </w:r>
      <w:r w:rsidRPr="111F7F31">
        <w:t xml:space="preserve"> in place for the duration of the activity. Continuous </w:t>
      </w:r>
      <w:r w:rsidR="000E62BE">
        <w:t>S</w:t>
      </w:r>
      <w:r>
        <w:t>upervision</w:t>
      </w:r>
      <w:r w:rsidRPr="111F7F31">
        <w:t xml:space="preserve"> is when the Participant is always with, near or in the line of sight of the </w:t>
      </w:r>
      <w:r w:rsidR="00F451B3">
        <w:t>S</w:t>
      </w:r>
      <w:r>
        <w:t>upervisor</w:t>
      </w:r>
      <w:r w:rsidRPr="111F7F31">
        <w:t xml:space="preserve"> while taking part in the activity.</w:t>
      </w:r>
    </w:p>
    <w:p w14:paraId="30508171" w14:textId="7E992CC5" w:rsidR="00D74559" w:rsidRPr="00FB7CD7" w:rsidRDefault="003A4DA3" w:rsidP="00C86981">
      <w:r>
        <w:t>S</w:t>
      </w:r>
      <w:r w:rsidR="00D74559">
        <w:t>upervisors</w:t>
      </w:r>
      <w:r w:rsidR="00D74559" w:rsidRPr="111F7F31">
        <w:t xml:space="preserve"> </w:t>
      </w:r>
      <w:r w:rsidR="00981365">
        <w:t>are expected to</w:t>
      </w:r>
      <w:r w:rsidR="00D74559" w:rsidRPr="111F7F31">
        <w:t xml:space="preserve"> report to the Provider if a Participant:</w:t>
      </w:r>
    </w:p>
    <w:p w14:paraId="1B829B67" w14:textId="78CC59CA" w:rsidR="00D74559" w:rsidRPr="00FB7CD7" w:rsidRDefault="00D74559" w:rsidP="004E120D">
      <w:pPr>
        <w:pStyle w:val="BulletLevel1"/>
      </w:pPr>
      <w:r w:rsidRPr="00FB7CD7">
        <w:t xml:space="preserve">does not attend the </w:t>
      </w:r>
      <w:r w:rsidR="00A0665E">
        <w:t>A</w:t>
      </w:r>
      <w:r>
        <w:t>ctivity</w:t>
      </w:r>
      <w:r w:rsidR="00BD7F3F">
        <w:t>, or</w:t>
      </w:r>
    </w:p>
    <w:p w14:paraId="7C907F9A" w14:textId="217D6828" w:rsidR="00D74559" w:rsidRPr="00FB7CD7" w:rsidRDefault="00D74559" w:rsidP="004E120D">
      <w:pPr>
        <w:pStyle w:val="BulletLevel1"/>
      </w:pPr>
      <w:r w:rsidRPr="00FB7CD7">
        <w:t xml:space="preserve">does not behave properly while completing an </w:t>
      </w:r>
      <w:r w:rsidR="00745630">
        <w:t>A</w:t>
      </w:r>
      <w:r>
        <w:t>ctivity</w:t>
      </w:r>
      <w:r w:rsidRPr="00FB7CD7">
        <w:t>.</w:t>
      </w:r>
    </w:p>
    <w:p w14:paraId="4E7C3832" w14:textId="77777777" w:rsidR="00D74559" w:rsidRPr="00FB7CD7" w:rsidRDefault="00D74559" w:rsidP="006D1645">
      <w:pPr>
        <w:pStyle w:val="Heading5"/>
      </w:pPr>
      <w:r>
        <w:t>Complementary</w:t>
      </w:r>
      <w:r w:rsidRPr="00FB7CD7">
        <w:t xml:space="preserve"> </w:t>
      </w:r>
      <w:r>
        <w:t>A</w:t>
      </w:r>
      <w:r w:rsidRPr="00FB7CD7">
        <w:t>ctivities</w:t>
      </w:r>
    </w:p>
    <w:p w14:paraId="0E84BCBF" w14:textId="73DB51C1" w:rsidR="00D74559" w:rsidRPr="00A61D35" w:rsidRDefault="00D74559" w:rsidP="006E2EF5">
      <w:pPr>
        <w:tabs>
          <w:tab w:val="right" w:pos="1701"/>
        </w:tabs>
        <w:spacing w:after="120"/>
      </w:pPr>
      <w:r>
        <w:t xml:space="preserve">Complementary </w:t>
      </w:r>
      <w:r w:rsidR="00046AAE">
        <w:t xml:space="preserve">Service </w:t>
      </w:r>
      <w:r>
        <w:t xml:space="preserve">providers </w:t>
      </w:r>
      <w:bookmarkStart w:id="337" w:name="_Int_RlBkgwrZ"/>
      <w:r>
        <w:t>are</w:t>
      </w:r>
      <w:bookmarkEnd w:id="337"/>
      <w:r>
        <w:t xml:space="preserve"> responsible for</w:t>
      </w:r>
      <w:r w:rsidR="00BD7F3F">
        <w:t xml:space="preserve"> organising and</w:t>
      </w:r>
      <w:r>
        <w:t xml:space="preserve"> providing appropriate supervision during </w:t>
      </w:r>
      <w:r w:rsidR="00BD7F3F">
        <w:t>the</w:t>
      </w:r>
      <w:r>
        <w:t xml:space="preserve"> Activit</w:t>
      </w:r>
      <w:r w:rsidR="00BD7F3F">
        <w:t>y</w:t>
      </w:r>
      <w:r>
        <w:t>.</w:t>
      </w:r>
    </w:p>
    <w:p w14:paraId="1549920D" w14:textId="45017A37" w:rsidR="00D74559" w:rsidRPr="00FB7CD7" w:rsidRDefault="00D74559" w:rsidP="006D1645">
      <w:pPr>
        <w:pStyle w:val="Heading5"/>
      </w:pPr>
      <w:r w:rsidRPr="00FB7CD7">
        <w:t>Specified</w:t>
      </w:r>
      <w:r>
        <w:t xml:space="preserve"> Activities</w:t>
      </w:r>
      <w:r w:rsidRPr="00FB7CD7">
        <w:t xml:space="preserve"> and other </w:t>
      </w:r>
      <w:r w:rsidR="00745630">
        <w:t>A</w:t>
      </w:r>
      <w:r>
        <w:t>ctivities</w:t>
      </w:r>
    </w:p>
    <w:p w14:paraId="3B4A9A72" w14:textId="4C5B9D8E" w:rsidR="007D1756" w:rsidRDefault="007D1756" w:rsidP="006E2EF5">
      <w:pPr>
        <w:tabs>
          <w:tab w:val="right" w:pos="1701"/>
        </w:tabs>
        <w:spacing w:after="120"/>
      </w:pPr>
      <w:r>
        <w:t xml:space="preserve">The Provider must meet their </w:t>
      </w:r>
      <w:r w:rsidR="004F42BB">
        <w:t xml:space="preserve">Deed </w:t>
      </w:r>
      <w:r>
        <w:t>obligations regard</w:t>
      </w:r>
      <w:r w:rsidR="006C36EB">
        <w:t>ing</w:t>
      </w:r>
      <w:r>
        <w:t xml:space="preserve"> Supervision for Activities the Provider arranges for Participants</w:t>
      </w:r>
      <w:r w:rsidR="00882547">
        <w:t>.</w:t>
      </w:r>
    </w:p>
    <w:p w14:paraId="2767B983" w14:textId="421E7403" w:rsidR="00882547" w:rsidRDefault="00EA43DD" w:rsidP="006E2EF5">
      <w:pPr>
        <w:tabs>
          <w:tab w:val="right" w:pos="1701"/>
        </w:tabs>
        <w:spacing w:after="120"/>
      </w:pPr>
      <w:r>
        <w:t xml:space="preserve">Supervisors may be engaged/employed by the Provider or a Subcontractor to supervise Specified Activities or any other </w:t>
      </w:r>
      <w:r w:rsidR="00027FDD">
        <w:t>A</w:t>
      </w:r>
      <w:r>
        <w:t>ctivities arranged by the Provider.</w:t>
      </w:r>
    </w:p>
    <w:p w14:paraId="662EA99D" w14:textId="3C658682" w:rsidR="007976D3" w:rsidRDefault="00A72374" w:rsidP="00A72374">
      <w:pPr>
        <w:pStyle w:val="WorkHealthandSafetyStep"/>
      </w:pPr>
      <w:r w:rsidRPr="00A72374">
        <w:t>The Provider must ensure that it or, where relevant, each Host Organisation, provides adequate and appropriate Supervision so that the relevant Participants are undertaking appropriate tasks and operating in a healthy and safe environment.</w:t>
      </w:r>
    </w:p>
    <w:p w14:paraId="4274CC12" w14:textId="484CB0F0" w:rsidR="00D74559" w:rsidRPr="00A61D35" w:rsidRDefault="005027AA" w:rsidP="006E2EF5">
      <w:pPr>
        <w:tabs>
          <w:tab w:val="right" w:pos="1701"/>
        </w:tabs>
        <w:spacing w:after="120"/>
      </w:pPr>
      <w:r>
        <w:t xml:space="preserve">When arranging </w:t>
      </w:r>
      <w:r w:rsidR="007269DB">
        <w:t xml:space="preserve">Specified Activities, </w:t>
      </w:r>
      <w:r w:rsidR="00D74559">
        <w:t xml:space="preserve">Providers must </w:t>
      </w:r>
      <w:r w:rsidR="007269DB">
        <w:t xml:space="preserve">be satisfied that the Host Organisation </w:t>
      </w:r>
      <w:r w:rsidR="0049565A">
        <w:t>can provide</w:t>
      </w:r>
      <w:r w:rsidR="001C365B">
        <w:t xml:space="preserve"> appropriate supervision</w:t>
      </w:r>
      <w:r w:rsidR="00BA0625">
        <w:t xml:space="preserve">. </w:t>
      </w:r>
      <w:r w:rsidR="002C776F">
        <w:t>S</w:t>
      </w:r>
      <w:r w:rsidR="00D74559">
        <w:t>upervisor</w:t>
      </w:r>
      <w:r w:rsidR="00BA0625">
        <w:t>s</w:t>
      </w:r>
      <w:r w:rsidR="00D74559">
        <w:t xml:space="preserve"> and co-worker</w:t>
      </w:r>
      <w:r w:rsidR="00BA0625">
        <w:t>s</w:t>
      </w:r>
      <w:r w:rsidR="00D74559">
        <w:t xml:space="preserve"> in close contact with the Participant in </w:t>
      </w:r>
      <w:r w:rsidR="00F95C60">
        <w:t>an</w:t>
      </w:r>
      <w:r w:rsidR="00D74559">
        <w:t xml:space="preserve"> </w:t>
      </w:r>
      <w:r w:rsidR="005B37DB">
        <w:t>A</w:t>
      </w:r>
      <w:r w:rsidR="00D74559">
        <w:t>ctivity</w:t>
      </w:r>
      <w:r w:rsidR="008D6395">
        <w:t xml:space="preserve"> must</w:t>
      </w:r>
      <w:r w:rsidR="00D74559">
        <w:t>:</w:t>
      </w:r>
    </w:p>
    <w:p w14:paraId="15C5B618" w14:textId="1A27D0CB" w:rsidR="00D74559" w:rsidRPr="00156D37" w:rsidRDefault="008D6395" w:rsidP="004E120D">
      <w:pPr>
        <w:pStyle w:val="BulletLevel1"/>
      </w:pPr>
      <w:r>
        <w:t>be</w:t>
      </w:r>
      <w:r w:rsidR="00D74559" w:rsidRPr="00156D37">
        <w:t xml:space="preserve"> a fit and proper person, including any background checks</w:t>
      </w:r>
    </w:p>
    <w:p w14:paraId="5CE76B3E" w14:textId="0BEB882D" w:rsidR="00D74559" w:rsidRPr="00156D37" w:rsidRDefault="00D74559" w:rsidP="004E120D">
      <w:pPr>
        <w:pStyle w:val="BulletLevel1"/>
      </w:pPr>
      <w:r w:rsidRPr="25BC4409">
        <w:t>ha</w:t>
      </w:r>
      <w:r w:rsidR="008D6395">
        <w:t>ve</w:t>
      </w:r>
      <w:r w:rsidRPr="25BC4409">
        <w:t xml:space="preserve"> a high level of knowledge, training and/or experience in:</w:t>
      </w:r>
    </w:p>
    <w:p w14:paraId="350A1007" w14:textId="04A125C1" w:rsidR="00D74559" w:rsidRPr="00E659EF" w:rsidRDefault="00D74559" w:rsidP="004E120D">
      <w:pPr>
        <w:pStyle w:val="BulletLevel2"/>
      </w:pPr>
      <w:r w:rsidRPr="00E659EF">
        <w:t>each part of the activity they are involved in</w:t>
      </w:r>
      <w:r w:rsidR="00F95C60">
        <w:t>, and</w:t>
      </w:r>
    </w:p>
    <w:p w14:paraId="5E15A299" w14:textId="3E1E44BD" w:rsidR="00D74559" w:rsidRPr="00E659EF" w:rsidRDefault="00D74559" w:rsidP="004E120D">
      <w:pPr>
        <w:pStyle w:val="BulletLevel2"/>
      </w:pPr>
      <w:r w:rsidRPr="111F7F31">
        <w:t>working with, training and supervising Participants in such activities</w:t>
      </w:r>
      <w:r w:rsidR="00F95C60">
        <w:t>, and</w:t>
      </w:r>
    </w:p>
    <w:p w14:paraId="7F0BC169" w14:textId="73CF0C26" w:rsidR="00D74559" w:rsidRPr="00156D37" w:rsidRDefault="00D74559" w:rsidP="004E120D">
      <w:pPr>
        <w:pStyle w:val="BulletLevel1"/>
      </w:pPr>
      <w:r w:rsidRPr="00156D37">
        <w:t>ha</w:t>
      </w:r>
      <w:r w:rsidR="008D6395">
        <w:t>ve</w:t>
      </w:r>
      <w:r w:rsidRPr="00156D37">
        <w:t xml:space="preserve"> had </w:t>
      </w:r>
      <w:r w:rsidR="00F95C60">
        <w:t>WHS</w:t>
      </w:r>
      <w:r w:rsidRPr="00156D37">
        <w:t xml:space="preserve"> training.</w:t>
      </w:r>
    </w:p>
    <w:p w14:paraId="0107E6B0" w14:textId="00CE6492" w:rsidR="00D74559" w:rsidRPr="00FB7CD7" w:rsidRDefault="00D74559" w:rsidP="001D0F92">
      <w:pPr>
        <w:pStyle w:val="Heading4"/>
      </w:pPr>
      <w:bookmarkStart w:id="338" w:name="_Toc202900019"/>
      <w:r>
        <w:t>7.8.3</w:t>
      </w:r>
      <w:r w:rsidR="006477F6">
        <w:tab/>
      </w:r>
      <w:r>
        <w:t>Background checks</w:t>
      </w:r>
      <w:bookmarkEnd w:id="338"/>
    </w:p>
    <w:p w14:paraId="2729A610" w14:textId="5797FD39" w:rsidR="00D74559" w:rsidRPr="00A61D35" w:rsidRDefault="00FF297F" w:rsidP="006477F6">
      <w:r>
        <w:t>For the purposes of these Guidelines, b</w:t>
      </w:r>
      <w:r w:rsidR="00D74559" w:rsidRPr="00A61D35">
        <w:t>ackground checks include:</w:t>
      </w:r>
    </w:p>
    <w:p w14:paraId="03D4692B" w14:textId="48A46BB1" w:rsidR="00D74559" w:rsidRPr="00156D37" w:rsidRDefault="00D74559" w:rsidP="004E120D">
      <w:pPr>
        <w:pStyle w:val="BulletLevel1"/>
      </w:pPr>
      <w:r w:rsidRPr="00156D37">
        <w:t xml:space="preserve">Criminal </w:t>
      </w:r>
      <w:r w:rsidR="001644A5">
        <w:t>R</w:t>
      </w:r>
      <w:r>
        <w:t>ecords</w:t>
      </w:r>
      <w:r w:rsidRPr="00156D37">
        <w:t xml:space="preserve"> checks</w:t>
      </w:r>
    </w:p>
    <w:p w14:paraId="06D33BD4" w14:textId="6953B149" w:rsidR="00D74559" w:rsidRPr="00156D37" w:rsidRDefault="00D74559" w:rsidP="004E120D">
      <w:pPr>
        <w:pStyle w:val="BulletLevel1"/>
      </w:pPr>
      <w:r w:rsidRPr="00156D37">
        <w:t xml:space="preserve">Working with Children </w:t>
      </w:r>
      <w:r w:rsidR="0041475C">
        <w:t>C</w:t>
      </w:r>
      <w:r>
        <w:t>hecks, and</w:t>
      </w:r>
    </w:p>
    <w:p w14:paraId="70AADB63" w14:textId="77777777" w:rsidR="00D74559" w:rsidRPr="00156D37" w:rsidRDefault="00D74559" w:rsidP="004E120D">
      <w:pPr>
        <w:pStyle w:val="BulletLevel1"/>
      </w:pPr>
      <w:r w:rsidRPr="00156D37">
        <w:t>Working with Vulnerable People checks</w:t>
      </w:r>
      <w:r>
        <w:t>.</w:t>
      </w:r>
    </w:p>
    <w:p w14:paraId="65AF6354" w14:textId="77777777" w:rsidR="00D74559" w:rsidRPr="00FB7CD7" w:rsidRDefault="00D74559" w:rsidP="00DD2257">
      <w:pPr>
        <w:keepNext/>
      </w:pPr>
      <w:r w:rsidRPr="00FB7CD7">
        <w:t>Providers must:</w:t>
      </w:r>
    </w:p>
    <w:p w14:paraId="14828794" w14:textId="7CDA5EDA" w:rsidR="00D74559" w:rsidRPr="00FB7CD7" w:rsidRDefault="00D74559" w:rsidP="004E120D">
      <w:pPr>
        <w:pStyle w:val="BulletLevel1"/>
      </w:pPr>
      <w:r w:rsidRPr="25BC4409">
        <w:t xml:space="preserve">confirm whether background checks must be conducted for Participants, </w:t>
      </w:r>
      <w:r>
        <w:t>S</w:t>
      </w:r>
      <w:r w:rsidRPr="25BC4409">
        <w:t>upervisors or staff</w:t>
      </w:r>
      <w:r>
        <w:t>, and</w:t>
      </w:r>
    </w:p>
    <w:p w14:paraId="6E97E81E" w14:textId="77777777" w:rsidR="00D74559" w:rsidRPr="00FB7CD7" w:rsidRDefault="00D74559" w:rsidP="004E120D">
      <w:pPr>
        <w:pStyle w:val="BulletLevel1"/>
      </w:pPr>
      <w:r w:rsidRPr="00FB7CD7">
        <w:t>arrange and pay for any required background checks.</w:t>
      </w:r>
    </w:p>
    <w:p w14:paraId="54B0BF4F" w14:textId="26C66EE8" w:rsidR="00D74559" w:rsidRPr="00FB7CD7" w:rsidRDefault="00D74559" w:rsidP="004E0827">
      <w:r w:rsidRPr="25BC4409">
        <w:t>Background checks are normally required where:</w:t>
      </w:r>
    </w:p>
    <w:p w14:paraId="1BA80FA5" w14:textId="77777777" w:rsidR="00D74559" w:rsidRPr="00FB7CD7" w:rsidRDefault="00D74559" w:rsidP="004E120D">
      <w:pPr>
        <w:pStyle w:val="BulletLevel1"/>
      </w:pPr>
      <w:r w:rsidRPr="00FB7CD7">
        <w:t>laws and regulations in their state or territory require the check</w:t>
      </w:r>
    </w:p>
    <w:p w14:paraId="196CED88" w14:textId="0735CEF6" w:rsidR="00D74559" w:rsidRPr="00FB7CD7" w:rsidRDefault="00D74559" w:rsidP="004E120D">
      <w:pPr>
        <w:pStyle w:val="BulletLevel1"/>
      </w:pPr>
      <w:r w:rsidRPr="25BC4409">
        <w:t xml:space="preserve">there are industry standards or legal requirements that Participants, </w:t>
      </w:r>
      <w:r w:rsidR="005A1916">
        <w:t>S</w:t>
      </w:r>
      <w:r>
        <w:t>upervisors</w:t>
      </w:r>
      <w:r w:rsidRPr="25BC4409">
        <w:t xml:space="preserve"> and staff taking part in an activity, cannot have been convicted of specified crimes</w:t>
      </w:r>
    </w:p>
    <w:p w14:paraId="02E143EA" w14:textId="4AAE02CA" w:rsidR="00D74559" w:rsidRPr="00FB7CD7" w:rsidRDefault="00D74559" w:rsidP="004E120D">
      <w:pPr>
        <w:pStyle w:val="BulletLevel1"/>
      </w:pPr>
      <w:r w:rsidRPr="111F7F31">
        <w:t xml:space="preserve">the Participant and/or </w:t>
      </w:r>
      <w:r w:rsidR="005A1916">
        <w:t>S</w:t>
      </w:r>
      <w:r>
        <w:t>upervisor</w:t>
      </w:r>
      <w:r w:rsidRPr="111F7F31">
        <w:t xml:space="preserve"> will have regular or unsupervised contact with </w:t>
      </w:r>
      <w:r w:rsidR="00751BC8">
        <w:t>V</w:t>
      </w:r>
      <w:r w:rsidRPr="111F7F31">
        <w:t xml:space="preserve">ulnerable </w:t>
      </w:r>
      <w:r w:rsidR="45FC6D51">
        <w:t>Persons</w:t>
      </w:r>
      <w:r w:rsidRPr="111F7F31">
        <w:t xml:space="preserve">, including </w:t>
      </w:r>
      <w:r w:rsidR="4028DB47">
        <w:t>c</w:t>
      </w:r>
      <w:r>
        <w:t>hildren</w:t>
      </w:r>
      <w:r w:rsidRPr="111F7F31">
        <w:t xml:space="preserve"> and the elderly, or</w:t>
      </w:r>
    </w:p>
    <w:p w14:paraId="16F722C1" w14:textId="77777777" w:rsidR="00D74559" w:rsidRPr="00FB7CD7" w:rsidRDefault="00D74559" w:rsidP="004E120D">
      <w:pPr>
        <w:pStyle w:val="BulletLevel1"/>
      </w:pPr>
      <w:r w:rsidRPr="00FB7CD7">
        <w:t>required by the Department.</w:t>
      </w:r>
    </w:p>
    <w:p w14:paraId="21FD092E" w14:textId="14B1F6FD" w:rsidR="00D74559" w:rsidRPr="00A61D35" w:rsidRDefault="00D74559" w:rsidP="004E0827">
      <w:r>
        <w:t xml:space="preserve">Background checks are conducted by the relevant Activity </w:t>
      </w:r>
      <w:r w:rsidR="00DD6C7F">
        <w:t>p</w:t>
      </w:r>
      <w:r>
        <w:t xml:space="preserve">rovider for Complementary Activities, where required. Providers </w:t>
      </w:r>
      <w:r w:rsidR="008F0D09">
        <w:t>are</w:t>
      </w:r>
      <w:r>
        <w:t xml:space="preserve"> not required to arrange background checks for Employability Skills Training, Career Transition Assistance, or Self-Employment Assistance activities.</w:t>
      </w:r>
    </w:p>
    <w:p w14:paraId="0355E3A2" w14:textId="1552FB46" w:rsidR="00D74559" w:rsidRPr="00A61D35" w:rsidRDefault="00D74559" w:rsidP="004E0827">
      <w:r w:rsidRPr="111F7F31">
        <w:t xml:space="preserve">Providers must find out from their relevant state and territory rules and regulations if background checks must be conducted for Participants, </w:t>
      </w:r>
      <w:r w:rsidR="00BA0D53">
        <w:t>S</w:t>
      </w:r>
      <w:r>
        <w:t>upervisors</w:t>
      </w:r>
      <w:r w:rsidRPr="111F7F31">
        <w:t xml:space="preserve">, or staff during a </w:t>
      </w:r>
      <w:r w:rsidR="00827072">
        <w:t>S</w:t>
      </w:r>
      <w:r>
        <w:t>pecified</w:t>
      </w:r>
      <w:r w:rsidRPr="111F7F31">
        <w:t xml:space="preserve"> or </w:t>
      </w:r>
      <w:r w:rsidR="007F1398">
        <w:t>O</w:t>
      </w:r>
      <w:r>
        <w:t>ther</w:t>
      </w:r>
      <w:r w:rsidRPr="111F7F31">
        <w:t xml:space="preserve"> activity.</w:t>
      </w:r>
    </w:p>
    <w:p w14:paraId="110A80FE" w14:textId="77777777" w:rsidR="00D74559" w:rsidRPr="00A61D35" w:rsidRDefault="00D74559" w:rsidP="004E0827">
      <w:r w:rsidRPr="111F7F31">
        <w:t>If checks are needed, the Provider must contact the relevant checking organisation in their area to arrange and pay for the check to be completed before Participants are able to take part in an activity.</w:t>
      </w:r>
    </w:p>
    <w:p w14:paraId="5B033A28" w14:textId="77777777" w:rsidR="00D74559" w:rsidRPr="00FB7CD7" w:rsidRDefault="00D74559" w:rsidP="004E0827">
      <w:pPr>
        <w:rPr>
          <w:rFonts w:cstheme="minorHAnsi"/>
          <w:szCs w:val="22"/>
        </w:rPr>
      </w:pPr>
      <w:r w:rsidRPr="00FB7CD7">
        <w:rPr>
          <w:rFonts w:cstheme="minorHAnsi"/>
          <w:b/>
          <w:bCs/>
          <w:szCs w:val="22"/>
        </w:rPr>
        <w:t>Note</w:t>
      </w:r>
      <w:r w:rsidRPr="00FB7CD7">
        <w:rPr>
          <w:rFonts w:cstheme="minorHAnsi"/>
          <w:szCs w:val="22"/>
        </w:rPr>
        <w:t xml:space="preserve">: </w:t>
      </w:r>
      <w:r w:rsidRPr="00A61D35">
        <w:rPr>
          <w:rFonts w:cstheme="minorHAnsi"/>
        </w:rPr>
        <w:t>Background</w:t>
      </w:r>
      <w:r w:rsidRPr="00FB7CD7">
        <w:rPr>
          <w:rFonts w:cstheme="minorHAnsi"/>
          <w:szCs w:val="22"/>
        </w:rPr>
        <w:t xml:space="preserve"> checks may take some time to complete.</w:t>
      </w:r>
    </w:p>
    <w:p w14:paraId="25DAFEFA" w14:textId="77777777" w:rsidR="00D74559" w:rsidRPr="00FB7CD7" w:rsidRDefault="00D74559" w:rsidP="004E0827">
      <w:r w:rsidRPr="25BC4409">
        <w:t xml:space="preserve">If a background check shows that a Participant or </w:t>
      </w:r>
      <w:r>
        <w:t>S</w:t>
      </w:r>
      <w:r w:rsidRPr="25BC4409">
        <w:t xml:space="preserve">upervisor should not participate in a particular </w:t>
      </w:r>
      <w:r>
        <w:t>A</w:t>
      </w:r>
      <w:r w:rsidRPr="25BC4409">
        <w:t>ctivity, then they must be stopped from participating or having supervising duties in that activity.</w:t>
      </w:r>
    </w:p>
    <w:p w14:paraId="5D748C9E" w14:textId="1F41B9EE" w:rsidR="00D74559" w:rsidRPr="00FB7CD7" w:rsidRDefault="00D74559" w:rsidP="004E0827">
      <w:r w:rsidRPr="25BC4409">
        <w:rPr>
          <w:b/>
          <w:bCs/>
        </w:rPr>
        <w:t>Note</w:t>
      </w:r>
      <w:r w:rsidRPr="25BC4409">
        <w:t xml:space="preserve">: Background checks contain </w:t>
      </w:r>
      <w:r w:rsidR="00AF007C">
        <w:t>P</w:t>
      </w:r>
      <w:r>
        <w:t xml:space="preserve">ersonal </w:t>
      </w:r>
      <w:r w:rsidR="00AF007C">
        <w:t>I</w:t>
      </w:r>
      <w:r>
        <w:t>nformation</w:t>
      </w:r>
      <w:r w:rsidRPr="25BC4409">
        <w:t xml:space="preserve"> about the person. Providers must follow obligations about using and disclosing </w:t>
      </w:r>
      <w:r w:rsidR="00865F31">
        <w:t>P</w:t>
      </w:r>
      <w:r>
        <w:t xml:space="preserve">ersonal </w:t>
      </w:r>
      <w:r w:rsidR="00865F31">
        <w:t>I</w:t>
      </w:r>
      <w:r>
        <w:t xml:space="preserve">nformation as outlined in </w:t>
      </w:r>
      <w:r w:rsidR="00572630" w:rsidRPr="00572630">
        <w:rPr>
          <w:rStyle w:val="Hyperlink"/>
        </w:rPr>
        <w:t>Part A Guidelines: Chapter</w:t>
      </w:r>
      <w:r w:rsidR="00572630">
        <w:rPr>
          <w:rStyle w:val="Hyperlink"/>
        </w:rPr>
        <w:t> </w:t>
      </w:r>
      <w:r w:rsidR="00572630" w:rsidRPr="00572630">
        <w:rPr>
          <w:rStyle w:val="Hyperlink"/>
        </w:rPr>
        <w:t>6: Privacy [LINK]</w:t>
      </w:r>
      <w:r w:rsidRPr="25BC4409">
        <w:t>.</w:t>
      </w:r>
    </w:p>
    <w:p w14:paraId="5B437465" w14:textId="2CC67A75" w:rsidR="00D74559" w:rsidRDefault="00D74559" w:rsidP="006E2EF5">
      <w:pPr>
        <w:pStyle w:val="DeedReferences"/>
        <w:rPr>
          <w:rFonts w:ascii="Tahoma" w:eastAsia="Tahoma" w:hAnsi="Tahoma" w:cs="Tahoma"/>
          <w:lang w:val="en-GB"/>
        </w:rPr>
      </w:pPr>
      <w:r w:rsidRPr="218C526D">
        <w:rPr>
          <w:rFonts w:ascii="Tahoma" w:eastAsia="Tahoma" w:hAnsi="Tahoma" w:cs="Tahoma"/>
          <w:color w:val="000000" w:themeColor="text1"/>
          <w:lang w:val="en-GB"/>
        </w:rPr>
        <w:t>(</w:t>
      </w:r>
      <w:r w:rsidR="00A73420">
        <w:rPr>
          <w:rFonts w:ascii="Tahoma" w:eastAsia="Tahoma" w:hAnsi="Tahoma" w:cs="Tahoma"/>
          <w:color w:val="000000" w:themeColor="text1"/>
          <w:lang w:val="en-GB"/>
        </w:rPr>
        <w:t xml:space="preserve">Deed Reference(s): Clause </w:t>
      </w:r>
      <w:r w:rsidRPr="218C526D">
        <w:rPr>
          <w:rFonts w:ascii="Tahoma" w:eastAsia="Tahoma" w:hAnsi="Tahoma" w:cs="Tahoma"/>
          <w:color w:val="000000" w:themeColor="text1"/>
          <w:lang w:val="en-GB"/>
        </w:rPr>
        <w:t>22)</w:t>
      </w:r>
    </w:p>
    <w:p w14:paraId="45D52F37" w14:textId="44EB7B7D" w:rsidR="00D74559" w:rsidRPr="00FB7CD7" w:rsidRDefault="00D74559" w:rsidP="001D0F92">
      <w:pPr>
        <w:pStyle w:val="Heading4"/>
      </w:pPr>
      <w:bookmarkStart w:id="339" w:name="_Toc202900020"/>
      <w:r>
        <w:t>7.8.4</w:t>
      </w:r>
      <w:r w:rsidR="002F6F0B">
        <w:tab/>
        <w:t xml:space="preserve">WHS </w:t>
      </w:r>
      <w:r>
        <w:t>Incident management</w:t>
      </w:r>
      <w:bookmarkEnd w:id="339"/>
    </w:p>
    <w:p w14:paraId="1E8139BC" w14:textId="27563064" w:rsidR="00D74559" w:rsidRPr="00FB7CD7" w:rsidRDefault="00D74559" w:rsidP="006E2EF5">
      <w:pPr>
        <w:tabs>
          <w:tab w:val="right" w:pos="1701"/>
        </w:tabs>
        <w:spacing w:after="120"/>
      </w:pPr>
      <w:r w:rsidRPr="111F7F31">
        <w:t xml:space="preserve">Providers must ensure that </w:t>
      </w:r>
      <w:r w:rsidR="00F504D7">
        <w:t>s</w:t>
      </w:r>
      <w:r w:rsidRPr="111F7F31">
        <w:t xml:space="preserve">upervisors understand how to manage </w:t>
      </w:r>
      <w:r w:rsidR="002F6F0B">
        <w:t>WHS I</w:t>
      </w:r>
      <w:r w:rsidRPr="111F7F31">
        <w:t xml:space="preserve">ncidents at </w:t>
      </w:r>
      <w:r>
        <w:t>A</w:t>
      </w:r>
      <w:r w:rsidRPr="111F7F31">
        <w:t xml:space="preserve">ctivities and report the </w:t>
      </w:r>
      <w:r>
        <w:t>I</w:t>
      </w:r>
      <w:r w:rsidRPr="111F7F31">
        <w:t>ncident to the Provider.</w:t>
      </w:r>
    </w:p>
    <w:p w14:paraId="5E909239" w14:textId="6285CA2A" w:rsidR="00D74559" w:rsidRDefault="00D74559" w:rsidP="00450764">
      <w:pPr>
        <w:pStyle w:val="WorkHealthandSafetyStep"/>
      </w:pPr>
      <w:r w:rsidRPr="00FB7CD7">
        <w:t xml:space="preserve">Providers must notify the Department of any </w:t>
      </w:r>
      <w:r>
        <w:t>I</w:t>
      </w:r>
      <w:r w:rsidRPr="00FB7CD7">
        <w:t xml:space="preserve">ncident at (or while travelling to or from) an </w:t>
      </w:r>
      <w:r>
        <w:t>A</w:t>
      </w:r>
      <w:r w:rsidRPr="00FB7CD7">
        <w:t>ctivity.</w:t>
      </w:r>
    </w:p>
    <w:p w14:paraId="53F4322C" w14:textId="553A03B8" w:rsidR="00450764" w:rsidRPr="00450764" w:rsidRDefault="00450764" w:rsidP="00450764">
      <w:pPr>
        <w:pStyle w:val="TableChartHeading"/>
      </w:pPr>
      <w:r>
        <w:t xml:space="preserve">Reporting </w:t>
      </w:r>
      <w:r w:rsidR="00500013">
        <w:t>requirements</w:t>
      </w:r>
    </w:p>
    <w:tbl>
      <w:tblPr>
        <w:tblStyle w:val="DSSDatatablesty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6"/>
        <w:gridCol w:w="1560"/>
        <w:gridCol w:w="6809"/>
      </w:tblGrid>
      <w:tr w:rsidR="002F6F0B" w:rsidRPr="002F6F0B" w14:paraId="2A9FB3AC" w14:textId="77777777" w:rsidTr="00C43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B1E4E3"/>
          </w:tcPr>
          <w:p w14:paraId="6B4685FF" w14:textId="77777777" w:rsidR="00D74559" w:rsidRPr="002F6F0B" w:rsidRDefault="00D74559" w:rsidP="00EF434C">
            <w:pPr>
              <w:pStyle w:val="TableText"/>
              <w:rPr>
                <w:b w:val="0"/>
                <w:color w:val="000000" w:themeColor="text1"/>
              </w:rPr>
            </w:pPr>
            <w:r w:rsidRPr="002F6F0B">
              <w:rPr>
                <w:color w:val="000000" w:themeColor="text1"/>
              </w:rPr>
              <w:t>Incident type</w:t>
            </w:r>
          </w:p>
        </w:tc>
        <w:tc>
          <w:tcPr>
            <w:tcW w:w="1560" w:type="dxa"/>
            <w:shd w:val="clear" w:color="auto" w:fill="B1E4E3"/>
          </w:tcPr>
          <w:p w14:paraId="0B8F7A0E" w14:textId="77777777" w:rsidR="00D74559" w:rsidRPr="002F6F0B"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2F6F0B">
              <w:rPr>
                <w:color w:val="000000" w:themeColor="text1"/>
              </w:rPr>
              <w:t>Timeframe</w:t>
            </w:r>
          </w:p>
        </w:tc>
        <w:tc>
          <w:tcPr>
            <w:tcW w:w="6809" w:type="dxa"/>
            <w:shd w:val="clear" w:color="auto" w:fill="B1E4E3"/>
          </w:tcPr>
          <w:p w14:paraId="1A4A2CA7" w14:textId="77777777" w:rsidR="00D74559" w:rsidRPr="002F6F0B"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2F6F0B">
              <w:rPr>
                <w:color w:val="000000" w:themeColor="text1"/>
              </w:rPr>
              <w:t>Description</w:t>
            </w:r>
          </w:p>
        </w:tc>
      </w:tr>
      <w:tr w:rsidR="00D74559" w:rsidRPr="00FB7CD7" w14:paraId="79F22158" w14:textId="77777777" w:rsidTr="00C43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BC9F61" w14:textId="77777777" w:rsidR="00D74559" w:rsidRPr="00C436C0" w:rsidRDefault="00D74559" w:rsidP="00EF434C">
            <w:pPr>
              <w:pStyle w:val="TableText"/>
              <w:rPr>
                <w:bCs/>
              </w:rPr>
            </w:pPr>
            <w:r w:rsidRPr="00C436C0">
              <w:rPr>
                <w:bCs/>
              </w:rPr>
              <w:t>Critical</w:t>
            </w:r>
          </w:p>
        </w:tc>
        <w:tc>
          <w:tcPr>
            <w:tcW w:w="1560" w:type="dxa"/>
          </w:tcPr>
          <w:p w14:paraId="1E3B3A89" w14:textId="77777777" w:rsidR="00D74559" w:rsidRPr="00BB61D7" w:rsidRDefault="00D74559" w:rsidP="00EF434C">
            <w:pPr>
              <w:pStyle w:val="TableText"/>
              <w:cnfStyle w:val="000000100000" w:firstRow="0" w:lastRow="0" w:firstColumn="0" w:lastColumn="0" w:oddVBand="0" w:evenVBand="0" w:oddHBand="1" w:evenHBand="0" w:firstRowFirstColumn="0" w:firstRowLastColumn="0" w:lastRowFirstColumn="0" w:lastRowLastColumn="0"/>
              <w:rPr>
                <w:bCs/>
              </w:rPr>
            </w:pPr>
            <w:r w:rsidRPr="00BB61D7">
              <w:rPr>
                <w:bCs/>
              </w:rPr>
              <w:t>Within 1 hour</w:t>
            </w:r>
          </w:p>
        </w:tc>
        <w:tc>
          <w:tcPr>
            <w:tcW w:w="6809" w:type="dxa"/>
          </w:tcPr>
          <w:p w14:paraId="61415BA1" w14:textId="77777777" w:rsidR="00D74559" w:rsidRPr="00FB7CD7"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25BC4409">
              <w:t>Incident that results in a serious injury or death</w:t>
            </w:r>
            <w:r>
              <w:t>.</w:t>
            </w:r>
          </w:p>
          <w:p w14:paraId="236522BB" w14:textId="77777777" w:rsidR="00D74559" w:rsidRPr="00FB7CD7" w:rsidRDefault="00D74559" w:rsidP="007D21CC">
            <w:pPr>
              <w:pStyle w:val="TableList-level1"/>
              <w:cnfStyle w:val="000000100000" w:firstRow="0" w:lastRow="0" w:firstColumn="0" w:lastColumn="0" w:oddVBand="0" w:evenVBand="0" w:oddHBand="1" w:evenHBand="0" w:firstRowFirstColumn="0" w:firstRowLastColumn="0" w:lastRowFirstColumn="0" w:lastRowLastColumn="0"/>
              <w:rPr>
                <w:szCs w:val="22"/>
              </w:rPr>
            </w:pPr>
            <w:r w:rsidRPr="00021B33">
              <w:t>Incident that is potentially dangerous or life threatening, even if no one was injured.</w:t>
            </w:r>
          </w:p>
        </w:tc>
      </w:tr>
      <w:tr w:rsidR="00FD020B" w:rsidRPr="00FB7CD7" w14:paraId="4F69AE02" w14:textId="77777777" w:rsidTr="00C43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8F61CC3" w14:textId="77777777" w:rsidR="00D74559" w:rsidRPr="00C436C0" w:rsidRDefault="00D74559" w:rsidP="00EF434C">
            <w:pPr>
              <w:pStyle w:val="TableText"/>
              <w:rPr>
                <w:bCs/>
              </w:rPr>
            </w:pPr>
            <w:r w:rsidRPr="00C436C0">
              <w:rPr>
                <w:bCs/>
              </w:rPr>
              <w:t>Non-critical</w:t>
            </w:r>
          </w:p>
        </w:tc>
        <w:tc>
          <w:tcPr>
            <w:tcW w:w="1560" w:type="dxa"/>
          </w:tcPr>
          <w:p w14:paraId="74BA3EFA" w14:textId="77777777" w:rsidR="00D74559" w:rsidRPr="00BB61D7" w:rsidRDefault="00D74559" w:rsidP="00EF434C">
            <w:pPr>
              <w:pStyle w:val="TableText"/>
              <w:cnfStyle w:val="000000010000" w:firstRow="0" w:lastRow="0" w:firstColumn="0" w:lastColumn="0" w:oddVBand="0" w:evenVBand="0" w:oddHBand="0" w:evenHBand="1" w:firstRowFirstColumn="0" w:firstRowLastColumn="0" w:lastRowFirstColumn="0" w:lastRowLastColumn="0"/>
              <w:rPr>
                <w:bCs/>
              </w:rPr>
            </w:pPr>
            <w:r w:rsidRPr="00BB61D7">
              <w:rPr>
                <w:bCs/>
              </w:rPr>
              <w:t>Within 1 day</w:t>
            </w:r>
          </w:p>
        </w:tc>
        <w:tc>
          <w:tcPr>
            <w:tcW w:w="6809" w:type="dxa"/>
          </w:tcPr>
          <w:p w14:paraId="280EEA5E" w14:textId="202EC6FB" w:rsidR="00D74559" w:rsidRPr="00FB7CD7"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rsidRPr="25BC4409">
              <w:t xml:space="preserve">Non-critical </w:t>
            </w:r>
            <w:r w:rsidR="00450764">
              <w:t>I</w:t>
            </w:r>
            <w:r w:rsidRPr="25BC4409">
              <w:t xml:space="preserve">ncident relating to a </w:t>
            </w:r>
            <w:r w:rsidR="00450764">
              <w:t>WHS</w:t>
            </w:r>
            <w:r w:rsidRPr="25BC4409">
              <w:t xml:space="preserve"> issue (injury requiring medical attention, minor property damage)</w:t>
            </w:r>
            <w:r>
              <w:t>.</w:t>
            </w:r>
          </w:p>
          <w:p w14:paraId="5F41E134" w14:textId="77777777" w:rsidR="00D74559" w:rsidRPr="00FB7CD7"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rsidRPr="25BC4409">
              <w:t>Incident that could impact on a Participant or the Department</w:t>
            </w:r>
            <w:r>
              <w:t>.</w:t>
            </w:r>
          </w:p>
          <w:p w14:paraId="7D69658C" w14:textId="77777777" w:rsidR="00D74559" w:rsidRPr="00FB7CD7" w:rsidRDefault="00D74559" w:rsidP="007D21CC">
            <w:pPr>
              <w:pStyle w:val="TableList-level1"/>
              <w:cnfStyle w:val="000000010000" w:firstRow="0" w:lastRow="0" w:firstColumn="0" w:lastColumn="0" w:oddVBand="0" w:evenVBand="0" w:oddHBand="0" w:evenHBand="1" w:firstRowFirstColumn="0" w:firstRowLastColumn="0" w:lastRowFirstColumn="0" w:lastRowLastColumn="0"/>
              <w:rPr>
                <w:szCs w:val="22"/>
              </w:rPr>
            </w:pPr>
            <w:r w:rsidRPr="00021B33">
              <w:t>Incident that could bring the program into disrepute.</w:t>
            </w:r>
          </w:p>
        </w:tc>
      </w:tr>
    </w:tbl>
    <w:p w14:paraId="24457033" w14:textId="0A7547D9" w:rsidR="00D74559" w:rsidRPr="00FB7CD7" w:rsidRDefault="00D74559" w:rsidP="004E0827">
      <w:r w:rsidRPr="4E27728F">
        <w:t xml:space="preserve">Providers must complete an </w:t>
      </w:r>
      <w:r w:rsidR="002F6F0B" w:rsidRPr="4E27728F">
        <w:t>WHS I</w:t>
      </w:r>
      <w:r w:rsidRPr="4E27728F">
        <w:t xml:space="preserve">ncident </w:t>
      </w:r>
      <w:r w:rsidR="00174DBD" w:rsidRPr="4E27728F">
        <w:t>R</w:t>
      </w:r>
      <w:r w:rsidRPr="4E27728F">
        <w:t xml:space="preserve">eport and claim form, if the </w:t>
      </w:r>
      <w:r w:rsidR="002F6F0B" w:rsidRPr="4E27728F">
        <w:t>I</w:t>
      </w:r>
      <w:r w:rsidRPr="4E27728F">
        <w:t xml:space="preserve">ncident </w:t>
      </w:r>
      <w:r w:rsidR="004B238A">
        <w:t>could</w:t>
      </w:r>
      <w:r w:rsidR="004B238A" w:rsidRPr="4E27728F">
        <w:t xml:space="preserve"> </w:t>
      </w:r>
      <w:r w:rsidRPr="4E27728F">
        <w:t>result in an insurance claim.</w:t>
      </w:r>
    </w:p>
    <w:p w14:paraId="16EE1678" w14:textId="511BA0DD" w:rsidR="00D74559" w:rsidRDefault="00450764" w:rsidP="004E0827">
      <w:pPr>
        <w:rPr>
          <w:rFonts w:cstheme="minorHAnsi"/>
        </w:rPr>
      </w:pPr>
      <w:r>
        <w:rPr>
          <w:rFonts w:cstheme="minorHAnsi"/>
        </w:rPr>
        <w:t>A summary of required actions that must happen when an WHS Incident</w:t>
      </w:r>
      <w:r w:rsidR="00D74559" w:rsidRPr="00A61D35">
        <w:rPr>
          <w:rFonts w:cstheme="minorHAnsi"/>
        </w:rPr>
        <w:t xml:space="preserve"> occurs at an activity</w:t>
      </w:r>
      <w:r>
        <w:rPr>
          <w:rFonts w:cstheme="minorHAnsi"/>
        </w:rPr>
        <w:t xml:space="preserve"> is included in the following table.</w:t>
      </w:r>
    </w:p>
    <w:p w14:paraId="50D5A377" w14:textId="3B1C95FE" w:rsidR="00495DDC" w:rsidRPr="00495DDC" w:rsidRDefault="00495DDC" w:rsidP="00450764">
      <w:pPr>
        <w:tabs>
          <w:tab w:val="right" w:pos="1701"/>
        </w:tabs>
        <w:spacing w:after="120"/>
        <w:rPr>
          <w:rFonts w:cstheme="minorHAnsi"/>
          <w:szCs w:val="22"/>
        </w:rPr>
      </w:pPr>
      <w:r w:rsidRPr="00FB7CD7">
        <w:rPr>
          <w:rFonts w:cstheme="minorHAnsi"/>
          <w:b/>
          <w:bCs/>
          <w:szCs w:val="22"/>
        </w:rPr>
        <w:t>Note</w:t>
      </w:r>
      <w:r w:rsidRPr="00FB7CD7">
        <w:rPr>
          <w:rFonts w:cstheme="minorHAnsi"/>
          <w:szCs w:val="22"/>
        </w:rPr>
        <w:t xml:space="preserve">: </w:t>
      </w:r>
      <w:r>
        <w:rPr>
          <w:rFonts w:cstheme="minorHAnsi"/>
          <w:szCs w:val="22"/>
        </w:rPr>
        <w:t>T</w:t>
      </w:r>
      <w:r w:rsidRPr="00FB7CD7">
        <w:rPr>
          <w:rFonts w:cstheme="minorHAnsi"/>
          <w:szCs w:val="22"/>
        </w:rPr>
        <w:t xml:space="preserve">here </w:t>
      </w:r>
      <w:r w:rsidRPr="00A61D35">
        <w:rPr>
          <w:rFonts w:cstheme="minorHAnsi"/>
        </w:rPr>
        <w:t>may</w:t>
      </w:r>
      <w:r w:rsidRPr="00FB7CD7">
        <w:rPr>
          <w:rFonts w:cstheme="minorHAnsi"/>
          <w:szCs w:val="22"/>
        </w:rPr>
        <w:t xml:space="preserve"> be time limits for making claims</w:t>
      </w:r>
      <w:r>
        <w:rPr>
          <w:rFonts w:cstheme="minorHAnsi"/>
          <w:szCs w:val="22"/>
        </w:rPr>
        <w:t>.</w:t>
      </w:r>
    </w:p>
    <w:p w14:paraId="40909EDE" w14:textId="37ED51FE" w:rsidR="00450764" w:rsidRPr="00A61D35" w:rsidRDefault="006D042A" w:rsidP="00450764">
      <w:pPr>
        <w:pStyle w:val="TableChartHeading"/>
      </w:pPr>
      <w:r>
        <w:t>Roles and responsibilities for WHS Incidents</w:t>
      </w:r>
    </w:p>
    <w:tbl>
      <w:tblPr>
        <w:tblStyle w:val="DSSDatatablesty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8364"/>
      </w:tblGrid>
      <w:tr w:rsidR="00D74559" w:rsidRPr="00450764" w14:paraId="606FA2C0" w14:textId="77777777" w:rsidTr="00C436C0">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B1E4E3" w:themeFill="accent3"/>
          </w:tcPr>
          <w:p w14:paraId="46E0A713" w14:textId="77777777" w:rsidR="00D74559" w:rsidRPr="00450764" w:rsidRDefault="00D74559" w:rsidP="00EF434C">
            <w:pPr>
              <w:pStyle w:val="TableText"/>
              <w:rPr>
                <w:color w:val="000000" w:themeColor="text1"/>
              </w:rPr>
            </w:pPr>
            <w:r w:rsidRPr="00450764">
              <w:rPr>
                <w:color w:val="000000" w:themeColor="text1"/>
              </w:rPr>
              <w:t>Who</w:t>
            </w:r>
          </w:p>
        </w:tc>
        <w:tc>
          <w:tcPr>
            <w:tcW w:w="8364" w:type="dxa"/>
            <w:shd w:val="clear" w:color="auto" w:fill="B1E4E3" w:themeFill="accent3"/>
          </w:tcPr>
          <w:p w14:paraId="3376678F" w14:textId="77777777" w:rsidR="00D74559" w:rsidRPr="00450764" w:rsidRDefault="00D74559" w:rsidP="00EF434C">
            <w:pPr>
              <w:pStyle w:val="TableText"/>
              <w:cnfStyle w:val="100000000000" w:firstRow="1" w:lastRow="0" w:firstColumn="0" w:lastColumn="0" w:oddVBand="0" w:evenVBand="0" w:oddHBand="0" w:evenHBand="0" w:firstRowFirstColumn="0" w:firstRowLastColumn="0" w:lastRowFirstColumn="0" w:lastRowLastColumn="0"/>
              <w:rPr>
                <w:color w:val="000000" w:themeColor="text1"/>
              </w:rPr>
            </w:pPr>
            <w:r w:rsidRPr="00450764">
              <w:rPr>
                <w:color w:val="000000" w:themeColor="text1"/>
              </w:rPr>
              <w:t>Required action</w:t>
            </w:r>
          </w:p>
        </w:tc>
      </w:tr>
      <w:tr w:rsidR="00D74559" w:rsidRPr="00FB7CD7" w14:paraId="75E0E408" w14:textId="77777777" w:rsidTr="00C436C0">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1701" w:type="dxa"/>
          </w:tcPr>
          <w:p w14:paraId="35C39CBB" w14:textId="77777777" w:rsidR="00D74559" w:rsidRPr="00500013" w:rsidRDefault="00D74559" w:rsidP="00EF434C">
            <w:pPr>
              <w:pStyle w:val="TableText"/>
              <w:rPr>
                <w:b w:val="0"/>
              </w:rPr>
            </w:pPr>
            <w:r w:rsidRPr="00500013">
              <w:rPr>
                <w:b w:val="0"/>
              </w:rPr>
              <w:t>Supervisor</w:t>
            </w:r>
          </w:p>
        </w:tc>
        <w:tc>
          <w:tcPr>
            <w:tcW w:w="8364" w:type="dxa"/>
          </w:tcPr>
          <w:p w14:paraId="2C608AE0" w14:textId="77777777" w:rsidR="00D74559" w:rsidRPr="003343D0"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25BC4409">
              <w:t>Provide appropriate medical attention – may include contacting emergency services</w:t>
            </w:r>
            <w:r>
              <w:t>.</w:t>
            </w:r>
          </w:p>
          <w:p w14:paraId="0EBC7E28" w14:textId="77777777" w:rsidR="00D74559" w:rsidRPr="003343D0"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111F7F31">
              <w:t>Attempt to protect the Participant and others from unnecessary trauma</w:t>
            </w:r>
            <w:r>
              <w:t>.</w:t>
            </w:r>
          </w:p>
          <w:p w14:paraId="704082A5" w14:textId="23FBC606" w:rsidR="00D74559" w:rsidRPr="003343D0"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111F7F31">
              <w:t>Notify the Provider of the</w:t>
            </w:r>
            <w:r>
              <w:t xml:space="preserve"> </w:t>
            </w:r>
            <w:r w:rsidR="006C0DCA">
              <w:t>i</w:t>
            </w:r>
            <w:r w:rsidRPr="111F7F31">
              <w:t>ncident</w:t>
            </w:r>
            <w:r w:rsidR="006C0DCA">
              <w:t xml:space="preserve"> as soon as possible</w:t>
            </w:r>
            <w:r>
              <w:t>.</w:t>
            </w:r>
          </w:p>
        </w:tc>
      </w:tr>
      <w:tr w:rsidR="00FC127C" w:rsidRPr="00FB7CD7" w14:paraId="4B880D76" w14:textId="77777777" w:rsidTr="00C436C0">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1701" w:type="dxa"/>
          </w:tcPr>
          <w:p w14:paraId="4F98FCEB" w14:textId="6D62D79D" w:rsidR="00D74559" w:rsidRPr="00500013" w:rsidRDefault="00500013" w:rsidP="00EF434C">
            <w:pPr>
              <w:pStyle w:val="TableText"/>
              <w:rPr>
                <w:b w:val="0"/>
              </w:rPr>
            </w:pPr>
            <w:r>
              <w:rPr>
                <w:b w:val="0"/>
              </w:rPr>
              <w:t xml:space="preserve">Complementary </w:t>
            </w:r>
            <w:r w:rsidR="455E5874">
              <w:rPr>
                <w:b w:val="0"/>
              </w:rPr>
              <w:t xml:space="preserve">Service </w:t>
            </w:r>
            <w:r w:rsidR="5270CF8F">
              <w:rPr>
                <w:b w:val="0"/>
              </w:rPr>
              <w:t>p</w:t>
            </w:r>
            <w:r w:rsidR="00D74559">
              <w:rPr>
                <w:b w:val="0"/>
              </w:rPr>
              <w:t>rovider</w:t>
            </w:r>
            <w:r>
              <w:rPr>
                <w:b w:val="0"/>
              </w:rPr>
              <w:t xml:space="preserve"> or</w:t>
            </w:r>
            <w:r w:rsidR="00D74559">
              <w:rPr>
                <w:b w:val="0"/>
              </w:rPr>
              <w:t xml:space="preserve"> </w:t>
            </w:r>
            <w:r>
              <w:rPr>
                <w:b w:val="0"/>
              </w:rPr>
              <w:t>H</w:t>
            </w:r>
            <w:r w:rsidR="00D74559">
              <w:rPr>
                <w:b w:val="0"/>
              </w:rPr>
              <w:t xml:space="preserve">ost </w:t>
            </w:r>
            <w:r>
              <w:rPr>
                <w:b w:val="0"/>
              </w:rPr>
              <w:t>O</w:t>
            </w:r>
            <w:r w:rsidR="00D74559">
              <w:rPr>
                <w:b w:val="0"/>
              </w:rPr>
              <w:t>rganisation</w:t>
            </w:r>
          </w:p>
        </w:tc>
        <w:tc>
          <w:tcPr>
            <w:tcW w:w="8364" w:type="dxa"/>
          </w:tcPr>
          <w:p w14:paraId="3B2BA082" w14:textId="5FC111B5" w:rsidR="00D74559" w:rsidRPr="003343D0"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t xml:space="preserve">Notify the WHS </w:t>
            </w:r>
            <w:r w:rsidR="7F82C962">
              <w:t>R</w:t>
            </w:r>
            <w:r>
              <w:t xml:space="preserve">egulator of the incident if it results in death or serious injury or exposes someone to serious risk. Directions by a WHS </w:t>
            </w:r>
            <w:r w:rsidR="7F82C962">
              <w:t>R</w:t>
            </w:r>
            <w:r>
              <w:t>egulator must be followed.</w:t>
            </w:r>
          </w:p>
          <w:p w14:paraId="13B96C9A" w14:textId="1F97A632" w:rsidR="00D74559" w:rsidRPr="003343D0"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rsidRPr="111F7F31">
              <w:t>Notify the Provider of the incident</w:t>
            </w:r>
            <w:r>
              <w:t>.</w:t>
            </w:r>
          </w:p>
        </w:tc>
      </w:tr>
      <w:tr w:rsidR="00D74559" w:rsidRPr="00FB7CD7" w14:paraId="3F704977" w14:textId="77777777" w:rsidTr="00C436C0">
        <w:trPr>
          <w:cnfStyle w:val="000000100000" w:firstRow="0" w:lastRow="0" w:firstColumn="0" w:lastColumn="0" w:oddVBand="0" w:evenVBand="0" w:oddHBand="1" w:evenHBand="0" w:firstRowFirstColumn="0" w:firstRowLastColumn="0" w:lastRowFirstColumn="0" w:lastRowLastColumn="0"/>
          <w:trHeight w:val="1905"/>
        </w:trPr>
        <w:tc>
          <w:tcPr>
            <w:cnfStyle w:val="001000000000" w:firstRow="0" w:lastRow="0" w:firstColumn="1" w:lastColumn="0" w:oddVBand="0" w:evenVBand="0" w:oddHBand="0" w:evenHBand="0" w:firstRowFirstColumn="0" w:firstRowLastColumn="0" w:lastRowFirstColumn="0" w:lastRowLastColumn="0"/>
            <w:tcW w:w="1701" w:type="dxa"/>
          </w:tcPr>
          <w:p w14:paraId="3D794694" w14:textId="77777777" w:rsidR="00D74559" w:rsidRPr="00500013" w:rsidRDefault="00D74559" w:rsidP="00EF434C">
            <w:pPr>
              <w:pStyle w:val="TableText"/>
              <w:rPr>
                <w:b w:val="0"/>
              </w:rPr>
            </w:pPr>
            <w:r w:rsidRPr="00500013">
              <w:rPr>
                <w:b w:val="0"/>
              </w:rPr>
              <w:t>Provider</w:t>
            </w:r>
          </w:p>
        </w:tc>
        <w:tc>
          <w:tcPr>
            <w:tcW w:w="8364" w:type="dxa"/>
          </w:tcPr>
          <w:p w14:paraId="1C9CC91E" w14:textId="17CF8317" w:rsidR="003C0452" w:rsidRDefault="003C0452" w:rsidP="007D21CC">
            <w:pPr>
              <w:pStyle w:val="TableList-level1"/>
              <w:cnfStyle w:val="000000100000" w:firstRow="0" w:lastRow="0" w:firstColumn="0" w:lastColumn="0" w:oddVBand="0" w:evenVBand="0" w:oddHBand="1" w:evenHBand="0" w:firstRowFirstColumn="0" w:firstRowLastColumn="0" w:lastRowFirstColumn="0" w:lastRowLastColumn="0"/>
            </w:pPr>
            <w:r>
              <w:t xml:space="preserve">Notify the Department </w:t>
            </w:r>
          </w:p>
          <w:p w14:paraId="70956604" w14:textId="00ADD721" w:rsidR="00D74559" w:rsidRPr="003343D0"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111F7F31">
              <w:t xml:space="preserve">Complete a </w:t>
            </w:r>
            <w:r w:rsidR="00C82A35" w:rsidRPr="00B97A03">
              <w:rPr>
                <w:rStyle w:val="Hyperlink"/>
              </w:rPr>
              <w:t>Public and Products Liability Incident Report</w:t>
            </w:r>
            <w:r w:rsidR="00C82A35">
              <w:rPr>
                <w:rStyle w:val="Hyperlink"/>
              </w:rPr>
              <w:t xml:space="preserve"> [LINK]</w:t>
            </w:r>
            <w:r w:rsidRPr="111F7F31">
              <w:t>, available on the Provider Portal, when a third party alleges a Participant has been negligent and caused accident, injury or death, or property damage</w:t>
            </w:r>
            <w:r>
              <w:t>.</w:t>
            </w:r>
          </w:p>
          <w:p w14:paraId="2E77A7E2" w14:textId="6C6862FF" w:rsidR="00D74559" w:rsidRPr="003343D0" w:rsidRDefault="00D74559" w:rsidP="007D21CC">
            <w:pPr>
              <w:pStyle w:val="TableList-level1"/>
              <w:cnfStyle w:val="000000100000" w:firstRow="0" w:lastRow="0" w:firstColumn="0" w:lastColumn="0" w:oddVBand="0" w:evenVBand="0" w:oddHBand="1" w:evenHBand="0" w:firstRowFirstColumn="0" w:firstRowLastColumn="0" w:lastRowFirstColumn="0" w:lastRowLastColumn="0"/>
            </w:pPr>
            <w:r w:rsidRPr="25BC4409">
              <w:t xml:space="preserve">Complete a </w:t>
            </w:r>
            <w:r w:rsidR="00B64FE9" w:rsidRPr="00C82A35">
              <w:rPr>
                <w:rStyle w:val="Hyperlink"/>
              </w:rPr>
              <w:t>Public and Products Liability Claim Form</w:t>
            </w:r>
            <w:r w:rsidR="00B64FE9">
              <w:rPr>
                <w:rStyle w:val="Hyperlink"/>
              </w:rPr>
              <w:t xml:space="preserve"> [LINK]</w:t>
            </w:r>
            <w:r w:rsidRPr="25BC4409">
              <w:t xml:space="preserve">, available on the Provider Portal, when a third party is making an insurance claim </w:t>
            </w:r>
            <w:r w:rsidR="005A0431" w:rsidRPr="25BC4409">
              <w:t>because of</w:t>
            </w:r>
            <w:r w:rsidRPr="25BC4409">
              <w:t xml:space="preserve"> a reported </w:t>
            </w:r>
            <w:r>
              <w:t>I</w:t>
            </w:r>
            <w:r w:rsidRPr="25BC4409">
              <w:t>ncident</w:t>
            </w:r>
            <w:r>
              <w:t>.</w:t>
            </w:r>
          </w:p>
        </w:tc>
      </w:tr>
    </w:tbl>
    <w:p w14:paraId="51BF3531" w14:textId="6EF808B0" w:rsidR="00D74559" w:rsidRPr="00FB7CD7" w:rsidRDefault="00D74559" w:rsidP="001D0F92">
      <w:pPr>
        <w:pStyle w:val="Heading4"/>
      </w:pPr>
      <w:bookmarkStart w:id="340" w:name="_Ref202794461"/>
      <w:bookmarkStart w:id="341" w:name="_Toc202900021"/>
      <w:r>
        <w:t>7.8.5</w:t>
      </w:r>
      <w:r w:rsidR="00305DA5">
        <w:tab/>
      </w:r>
      <w:r>
        <w:t xml:space="preserve">Insurance for </w:t>
      </w:r>
      <w:r w:rsidR="00F13251">
        <w:t>A</w:t>
      </w:r>
      <w:r>
        <w:t>ctivities</w:t>
      </w:r>
      <w:bookmarkEnd w:id="340"/>
      <w:bookmarkEnd w:id="341"/>
    </w:p>
    <w:p w14:paraId="2F688646" w14:textId="055C1A2C" w:rsidR="00D74559" w:rsidRDefault="00D74559" w:rsidP="004E0827">
      <w:r w:rsidRPr="25BC4409">
        <w:t xml:space="preserve">The Department purchases insurance policies to cover </w:t>
      </w:r>
      <w:r w:rsidR="00500013">
        <w:t>Complementary and Specified A</w:t>
      </w:r>
      <w:r w:rsidRPr="25BC4409">
        <w:t>ctivities</w:t>
      </w:r>
      <w:r w:rsidR="00495DDC">
        <w:t xml:space="preserve"> as outlined in the table below.</w:t>
      </w:r>
    </w:p>
    <w:p w14:paraId="497CE9DB" w14:textId="7D91BDF1" w:rsidR="00495DDC" w:rsidRPr="00FB7CD7" w:rsidRDefault="00495DDC" w:rsidP="00495DDC">
      <w:pPr>
        <w:pStyle w:val="TableChartHeading"/>
      </w:pPr>
      <w:r>
        <w:t>Department’s Insurance</w:t>
      </w:r>
    </w:p>
    <w:tbl>
      <w:tblPr>
        <w:tblStyle w:val="DSSDatatablestyle"/>
        <w:tblW w:w="0" w:type="auto"/>
        <w:tblLook w:val="04A0" w:firstRow="1" w:lastRow="0" w:firstColumn="1" w:lastColumn="0" w:noHBand="0" w:noVBand="1"/>
      </w:tblPr>
      <w:tblGrid>
        <w:gridCol w:w="2122"/>
        <w:gridCol w:w="7506"/>
      </w:tblGrid>
      <w:tr w:rsidR="00495DDC" w:rsidRPr="00495DDC" w14:paraId="6A0DADED" w14:textId="77777777" w:rsidTr="00DE7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B1E4E3"/>
          </w:tcPr>
          <w:p w14:paraId="57F3ED5E" w14:textId="77777777" w:rsidR="00D74559" w:rsidRPr="00495DDC" w:rsidRDefault="00D74559" w:rsidP="00EF434C">
            <w:pPr>
              <w:pStyle w:val="TableText"/>
              <w:rPr>
                <w:b w:val="0"/>
                <w:color w:val="000000" w:themeColor="text1"/>
              </w:rPr>
            </w:pPr>
            <w:r w:rsidRPr="00495DDC">
              <w:rPr>
                <w:color w:val="000000" w:themeColor="text1"/>
              </w:rPr>
              <w:t>Insurance Policy</w:t>
            </w:r>
          </w:p>
        </w:tc>
        <w:tc>
          <w:tcPr>
            <w:tcW w:w="7506" w:type="dxa"/>
            <w:tcBorders>
              <w:top w:val="single" w:sz="4" w:space="0" w:color="auto"/>
              <w:bottom w:val="single" w:sz="4" w:space="0" w:color="auto"/>
            </w:tcBorders>
            <w:shd w:val="clear" w:color="auto" w:fill="B1E4E3"/>
          </w:tcPr>
          <w:p w14:paraId="43E602FE" w14:textId="77777777" w:rsidR="00D74559" w:rsidRPr="00495DDC" w:rsidRDefault="00D74559" w:rsidP="00EF434C">
            <w:pPr>
              <w:pStyle w:val="Table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495DDC">
              <w:rPr>
                <w:color w:val="000000" w:themeColor="text1"/>
              </w:rPr>
              <w:t>Coverage</w:t>
            </w:r>
          </w:p>
        </w:tc>
      </w:tr>
      <w:tr w:rsidR="00D74559" w:rsidRPr="00FB7CD7" w14:paraId="609C22BA" w14:textId="77777777" w:rsidTr="00DE7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tcPr>
          <w:p w14:paraId="29D64D44" w14:textId="77777777" w:rsidR="00D74559" w:rsidRPr="00BB61D7" w:rsidRDefault="00D74559" w:rsidP="00EF434C">
            <w:pPr>
              <w:pStyle w:val="TableText"/>
              <w:rPr>
                <w:bCs/>
              </w:rPr>
            </w:pPr>
            <w:r w:rsidRPr="00BB61D7">
              <w:rPr>
                <w:bCs/>
              </w:rPr>
              <w:t>Personal Accident</w:t>
            </w:r>
          </w:p>
        </w:tc>
        <w:tc>
          <w:tcPr>
            <w:tcW w:w="7506" w:type="dxa"/>
            <w:tcBorders>
              <w:top w:val="single" w:sz="4" w:space="0" w:color="auto"/>
              <w:bottom w:val="single" w:sz="4" w:space="0" w:color="auto"/>
            </w:tcBorders>
          </w:tcPr>
          <w:p w14:paraId="1D5F0053" w14:textId="12EA602F" w:rsidR="00D74559" w:rsidRPr="00E37CED" w:rsidRDefault="00D74559" w:rsidP="00E37CED">
            <w:pPr>
              <w:pStyle w:val="TableText"/>
              <w:cnfStyle w:val="000000100000" w:firstRow="0" w:lastRow="0" w:firstColumn="0" w:lastColumn="0" w:oddVBand="0" w:evenVBand="0" w:oddHBand="1" w:evenHBand="0" w:firstRowFirstColumn="0" w:firstRowLastColumn="0" w:lastRowFirstColumn="0" w:lastRowLastColumn="0"/>
            </w:pPr>
            <w:r w:rsidRPr="00E37CED">
              <w:t xml:space="preserve">Covers the Participant in respect of personal injury or death that occurs while undertaking </w:t>
            </w:r>
            <w:r w:rsidR="002B06E9">
              <w:t>A</w:t>
            </w:r>
            <w:r w:rsidRPr="00E37CED">
              <w:t>ctivities. This includes direct travel to, from or during the activities</w:t>
            </w:r>
            <w:r w:rsidR="00495DDC">
              <w:t>.</w:t>
            </w:r>
          </w:p>
        </w:tc>
      </w:tr>
      <w:tr w:rsidR="00145E62" w:rsidRPr="00FB7CD7" w14:paraId="01B430FD" w14:textId="77777777" w:rsidTr="00C43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tcPr>
          <w:p w14:paraId="60ED2AB6" w14:textId="77777777" w:rsidR="00D74559" w:rsidRPr="00BB61D7" w:rsidRDefault="00D74559" w:rsidP="00EF434C">
            <w:pPr>
              <w:pStyle w:val="TableText"/>
              <w:rPr>
                <w:bCs/>
              </w:rPr>
            </w:pPr>
            <w:r w:rsidRPr="00BB61D7">
              <w:rPr>
                <w:bCs/>
              </w:rPr>
              <w:t>Public and Products Liability</w:t>
            </w:r>
          </w:p>
        </w:tc>
        <w:tc>
          <w:tcPr>
            <w:tcW w:w="7506" w:type="dxa"/>
            <w:tcBorders>
              <w:top w:val="single" w:sz="4" w:space="0" w:color="auto"/>
              <w:bottom w:val="single" w:sz="4" w:space="0" w:color="auto"/>
            </w:tcBorders>
          </w:tcPr>
          <w:p w14:paraId="058C6C9A" w14:textId="77777777" w:rsidR="00D74559" w:rsidRPr="00FB7CD7" w:rsidRDefault="00D74559" w:rsidP="00E37CED">
            <w:pPr>
              <w:pStyle w:val="TableText"/>
              <w:cnfStyle w:val="000000010000" w:firstRow="0" w:lastRow="0" w:firstColumn="0" w:lastColumn="0" w:oddVBand="0" w:evenVBand="0" w:oddHBand="0" w:evenHBand="1" w:firstRowFirstColumn="0" w:firstRowLastColumn="0" w:lastRowFirstColumn="0" w:lastRowLastColumn="0"/>
            </w:pPr>
            <w:r w:rsidRPr="111F7F31">
              <w:t>Covers the legal liability of the Participant where their negligence causes:</w:t>
            </w:r>
          </w:p>
          <w:p w14:paraId="772EF34F" w14:textId="77777777" w:rsidR="00D74559" w:rsidRPr="003A5417"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rsidRPr="003A5417">
              <w:t xml:space="preserve">personal injury to a third party, or </w:t>
            </w:r>
          </w:p>
          <w:p w14:paraId="5F3913B6" w14:textId="77777777" w:rsidR="00D74559" w:rsidRPr="003A5417" w:rsidRDefault="00D74559" w:rsidP="007D21CC">
            <w:pPr>
              <w:pStyle w:val="TableList-level1"/>
              <w:cnfStyle w:val="000000010000" w:firstRow="0" w:lastRow="0" w:firstColumn="0" w:lastColumn="0" w:oddVBand="0" w:evenVBand="0" w:oddHBand="0" w:evenHBand="1" w:firstRowFirstColumn="0" w:firstRowLastColumn="0" w:lastRowFirstColumn="0" w:lastRowLastColumn="0"/>
            </w:pPr>
            <w:r w:rsidRPr="003A5417">
              <w:t>damage to a third party’s property</w:t>
            </w:r>
          </w:p>
          <w:p w14:paraId="2BB60A41" w14:textId="699FE7E1" w:rsidR="00D74559" w:rsidRPr="00FB7CD7" w:rsidRDefault="00D74559" w:rsidP="00E37CED">
            <w:pPr>
              <w:pStyle w:val="TableText"/>
              <w:cnfStyle w:val="000000010000" w:firstRow="0" w:lastRow="0" w:firstColumn="0" w:lastColumn="0" w:oddVBand="0" w:evenVBand="0" w:oddHBand="0" w:evenHBand="1" w:firstRowFirstColumn="0" w:firstRowLastColumn="0" w:lastRowFirstColumn="0" w:lastRowLastColumn="0"/>
            </w:pPr>
            <w:r w:rsidRPr="25BC4409">
              <w:t xml:space="preserve">while participating in </w:t>
            </w:r>
            <w:r w:rsidR="005B6C69">
              <w:t>the</w:t>
            </w:r>
            <w:r w:rsidRPr="25BC4409">
              <w:t xml:space="preserve"> </w:t>
            </w:r>
            <w:r w:rsidR="00D92446">
              <w:t>A</w:t>
            </w:r>
            <w:r w:rsidRPr="25BC4409">
              <w:t>ctivit</w:t>
            </w:r>
            <w:r w:rsidR="005B6C69">
              <w:t>y.</w:t>
            </w:r>
          </w:p>
        </w:tc>
      </w:tr>
    </w:tbl>
    <w:p w14:paraId="78C8176C" w14:textId="768C504E" w:rsidR="00D74559" w:rsidRPr="00A61D35" w:rsidRDefault="00D74559" w:rsidP="004E0827">
      <w:r w:rsidRPr="00A61D35">
        <w:t xml:space="preserve">The </w:t>
      </w:r>
      <w:r w:rsidR="00577F8B">
        <w:t>D</w:t>
      </w:r>
      <w:r w:rsidRPr="00A61D35">
        <w:t>epartment’s purchased insurance policies do not cover:</w:t>
      </w:r>
    </w:p>
    <w:p w14:paraId="2F378F50" w14:textId="132FD70B" w:rsidR="00D74559" w:rsidRPr="00156D37" w:rsidRDefault="00D74559" w:rsidP="004E120D">
      <w:pPr>
        <w:pStyle w:val="BulletLevel1"/>
      </w:pPr>
      <w:r w:rsidRPr="111F7F31">
        <w:t>illness or sickness a Participant picks up during an activity, including COVID-19</w:t>
      </w:r>
      <w:r w:rsidR="00495DDC">
        <w:t>, or</w:t>
      </w:r>
    </w:p>
    <w:p w14:paraId="0181AB09" w14:textId="59B55D6E" w:rsidR="00D74559" w:rsidRPr="00156D37" w:rsidRDefault="00D74559" w:rsidP="004E120D">
      <w:pPr>
        <w:pStyle w:val="BulletLevel1"/>
      </w:pPr>
      <w:r w:rsidRPr="00156D37">
        <w:t xml:space="preserve">activities that are not </w:t>
      </w:r>
      <w:r w:rsidR="005B6C69">
        <w:t>Complementary and Specified A</w:t>
      </w:r>
      <w:r w:rsidR="005B6C69" w:rsidRPr="25BC4409">
        <w:t>ctivities</w:t>
      </w:r>
      <w:r w:rsidR="00495DDC">
        <w:t>.</w:t>
      </w:r>
    </w:p>
    <w:p w14:paraId="03D2334C" w14:textId="63D296F2" w:rsidR="00D74559" w:rsidRPr="00A61D35" w:rsidRDefault="00D74559" w:rsidP="004E0827">
      <w:r w:rsidRPr="25BC4409">
        <w:t>There may be other exclusions in addition to ones listed above, in the terms and conditions of each insurance policy.</w:t>
      </w:r>
      <w:r w:rsidR="0030028C">
        <w:t xml:space="preserve"> </w:t>
      </w:r>
      <w:r w:rsidRPr="25BC4409">
        <w:t xml:space="preserve">Providers can still deliver </w:t>
      </w:r>
      <w:r w:rsidR="00F96D97">
        <w:t>A</w:t>
      </w:r>
      <w:r w:rsidRPr="25BC4409">
        <w:t>ctivities where tasks are excluded under the department’s policies</w:t>
      </w:r>
      <w:r w:rsidR="00011054">
        <w:t>.</w:t>
      </w:r>
      <w:r w:rsidRPr="25BC4409">
        <w:t xml:space="preserve"> </w:t>
      </w:r>
      <w:r w:rsidR="00DF1BC9">
        <w:t>Provid</w:t>
      </w:r>
      <w:r w:rsidR="00F81D72">
        <w:t>ers need to consider whether</w:t>
      </w:r>
      <w:r w:rsidRPr="25BC4409">
        <w:t xml:space="preserve"> alternative insurance </w:t>
      </w:r>
      <w:r w:rsidR="008F1D2B">
        <w:t xml:space="preserve">is </w:t>
      </w:r>
      <w:r w:rsidR="00A22803">
        <w:t>required</w:t>
      </w:r>
      <w:r w:rsidRPr="25BC4409">
        <w:t xml:space="preserve">. </w:t>
      </w:r>
    </w:p>
    <w:p w14:paraId="32069D0A" w14:textId="5305E202" w:rsidR="00D74559" w:rsidRPr="00A61D35" w:rsidRDefault="00D74559" w:rsidP="004E0827">
      <w:r w:rsidRPr="25BC4409">
        <w:t xml:space="preserve">To access the </w:t>
      </w:r>
      <w:r w:rsidR="004E0827">
        <w:t>D</w:t>
      </w:r>
      <w:r w:rsidRPr="25BC4409">
        <w:t xml:space="preserve">epartment’s insurance coverage, Providers must comply with </w:t>
      </w:r>
      <w:r w:rsidR="00FC2DF3">
        <w:t>I</w:t>
      </w:r>
      <w:r>
        <w:t>ncident</w:t>
      </w:r>
      <w:r w:rsidRPr="25BC4409">
        <w:t xml:space="preserve"> management and reporting requirements.</w:t>
      </w:r>
    </w:p>
    <w:p w14:paraId="42C3457A" w14:textId="022336E5" w:rsidR="00D74559" w:rsidRPr="00A61D35" w:rsidRDefault="00D74559" w:rsidP="005B6C69">
      <w:pPr>
        <w:keepNext/>
        <w:tabs>
          <w:tab w:val="right" w:pos="1701"/>
        </w:tabs>
        <w:spacing w:after="120"/>
      </w:pPr>
      <w:r w:rsidRPr="111F7F31">
        <w:t xml:space="preserve">The Department’s insurance policies do not cover </w:t>
      </w:r>
      <w:r w:rsidR="00B64FE9">
        <w:t>o</w:t>
      </w:r>
      <w:r w:rsidRPr="111F7F31">
        <w:t xml:space="preserve">ther </w:t>
      </w:r>
      <w:r w:rsidR="009E0D8D">
        <w:t>A</w:t>
      </w:r>
      <w:r w:rsidRPr="111F7F31">
        <w:t>ctivities that Providers arrange. Providers must:</w:t>
      </w:r>
    </w:p>
    <w:p w14:paraId="584D1FAD" w14:textId="3E741727" w:rsidR="00D74559" w:rsidRPr="00156D37" w:rsidRDefault="00D74559" w:rsidP="004E120D">
      <w:pPr>
        <w:pStyle w:val="BulletLevel1"/>
      </w:pPr>
      <w:r w:rsidRPr="00156D37">
        <w:t xml:space="preserve">maintain insurances outlined in the </w:t>
      </w:r>
      <w:r w:rsidR="00A51BF1">
        <w:t xml:space="preserve">Deed </w:t>
      </w:r>
      <w:r w:rsidRPr="00156D37">
        <w:t>and must understand their coverage</w:t>
      </w:r>
    </w:p>
    <w:p w14:paraId="21C51F31" w14:textId="758A65CB" w:rsidR="00D74559" w:rsidRPr="00156D37" w:rsidRDefault="00D74559" w:rsidP="004E120D">
      <w:pPr>
        <w:pStyle w:val="BulletLevel1"/>
      </w:pPr>
      <w:r w:rsidRPr="25BC4409">
        <w:t xml:space="preserve">seek their own advice about whether they must take out additional insurance to cover referrals they make to other </w:t>
      </w:r>
      <w:r w:rsidR="009E0D8D">
        <w:t>A</w:t>
      </w:r>
      <w:r w:rsidRPr="25BC4409">
        <w:t>ctivities</w:t>
      </w:r>
    </w:p>
    <w:p w14:paraId="224A717F" w14:textId="0D4A27AD" w:rsidR="00D74559" w:rsidRPr="00156D37" w:rsidRDefault="00D74559" w:rsidP="004E120D">
      <w:pPr>
        <w:pStyle w:val="BulletLevel1"/>
      </w:pPr>
      <w:r w:rsidRPr="25BC4409">
        <w:t xml:space="preserve">confirm that organisations </w:t>
      </w:r>
      <w:r w:rsidR="00F46A47">
        <w:t xml:space="preserve">involved in the </w:t>
      </w:r>
      <w:r w:rsidR="00796954">
        <w:t>o</w:t>
      </w:r>
      <w:r w:rsidR="00F46A47">
        <w:t xml:space="preserve">ther Activity </w:t>
      </w:r>
      <w:r w:rsidRPr="25BC4409">
        <w:t xml:space="preserve">have appropriate insurance coverage. </w:t>
      </w:r>
    </w:p>
    <w:p w14:paraId="1CF0CEAF" w14:textId="262D94E3" w:rsidR="004505B3" w:rsidRDefault="00D74559" w:rsidP="00F53EB7">
      <w:r w:rsidRPr="25BC4409">
        <w:t xml:space="preserve">Where coverage is not broad enough, Providers </w:t>
      </w:r>
      <w:r w:rsidR="00E23E8F">
        <w:t xml:space="preserve">must </w:t>
      </w:r>
      <w:r w:rsidRPr="25BC4409">
        <w:t>purchase or fund additional insurance for the activity.</w:t>
      </w:r>
    </w:p>
    <w:p w14:paraId="297ADC34" w14:textId="38BBB3CF" w:rsidR="004505B3" w:rsidRPr="00A61D35" w:rsidRDefault="004505B3" w:rsidP="004505B3">
      <w:r w:rsidRPr="25BC4409">
        <w:t xml:space="preserve">Providers must advise the </w:t>
      </w:r>
      <w:r>
        <w:t>Department</w:t>
      </w:r>
      <w:r w:rsidRPr="25BC4409">
        <w:t xml:space="preserve"> about </w:t>
      </w:r>
      <w:r>
        <w:t>I</w:t>
      </w:r>
      <w:r w:rsidRPr="25BC4409">
        <w:t xml:space="preserve">ncidents as they could result in a liability claim, even if a claim is not made immediately. </w:t>
      </w:r>
      <w:r>
        <w:t>This includes Incidents that occur during other Activities.</w:t>
      </w:r>
    </w:p>
    <w:p w14:paraId="695E7F7E" w14:textId="77777777" w:rsidR="004505B3" w:rsidRPr="00A61D35" w:rsidRDefault="004505B3" w:rsidP="004505B3">
      <w:r w:rsidRPr="25BC4409">
        <w:t xml:space="preserve">The Provider must also follow any instructions from the </w:t>
      </w:r>
      <w:r>
        <w:t>D</w:t>
      </w:r>
      <w:r w:rsidRPr="25BC4409">
        <w:t xml:space="preserve">epartment or the </w:t>
      </w:r>
      <w:r>
        <w:t>D</w:t>
      </w:r>
      <w:r w:rsidRPr="25BC4409">
        <w:t xml:space="preserve">epartment’s insurance broker and give them all the details of an </w:t>
      </w:r>
      <w:r>
        <w:t>WHS I</w:t>
      </w:r>
      <w:r w:rsidRPr="25BC4409">
        <w:t xml:space="preserve">ncident after it happens. </w:t>
      </w:r>
    </w:p>
    <w:p w14:paraId="694E0559" w14:textId="77777777" w:rsidR="004505B3" w:rsidRPr="00A61D35" w:rsidRDefault="004505B3" w:rsidP="004505B3">
      <w:r w:rsidRPr="111F7F31">
        <w:t xml:space="preserve">Forms for the Provider </w:t>
      </w:r>
      <w:r>
        <w:t>to advise the</w:t>
      </w:r>
      <w:r w:rsidRPr="111F7F31">
        <w:t xml:space="preserve"> </w:t>
      </w:r>
      <w:r>
        <w:t>Department</w:t>
      </w:r>
      <w:r w:rsidRPr="111F7F31">
        <w:t xml:space="preserve"> of any personal accident or public and products liability </w:t>
      </w:r>
      <w:r>
        <w:t>I</w:t>
      </w:r>
      <w:r w:rsidRPr="111F7F31">
        <w:t>ncidents are available on the Provider Portal</w:t>
      </w:r>
      <w:r>
        <w:t xml:space="preserve"> — see </w:t>
      </w:r>
      <w:r w:rsidRPr="00B97A03">
        <w:rPr>
          <w:rStyle w:val="Hyperlink"/>
        </w:rPr>
        <w:t>Public and Products Liability Incident Report</w:t>
      </w:r>
      <w:r>
        <w:rPr>
          <w:rStyle w:val="Hyperlink"/>
        </w:rPr>
        <w:t xml:space="preserve"> [LINK]</w:t>
      </w:r>
      <w:r>
        <w:t xml:space="preserve"> and </w:t>
      </w:r>
      <w:r w:rsidRPr="00C82A35">
        <w:rPr>
          <w:rStyle w:val="Hyperlink"/>
        </w:rPr>
        <w:t>Public and Products Liability Claim Form</w:t>
      </w:r>
      <w:r>
        <w:rPr>
          <w:rStyle w:val="Hyperlink"/>
        </w:rPr>
        <w:t xml:space="preserve"> [LINK]</w:t>
      </w:r>
      <w:r>
        <w:t>.</w:t>
      </w:r>
    </w:p>
    <w:p w14:paraId="633CAB0C" w14:textId="20ECBA41" w:rsidR="004505B3" w:rsidRPr="00A61D35" w:rsidRDefault="004505B3" w:rsidP="00F53EB7">
      <w:pPr>
        <w:pStyle w:val="DocumentaryEvidenceRequirement"/>
      </w:pPr>
      <w:bookmarkStart w:id="342" w:name="_Hlk102125048"/>
      <w:r w:rsidRPr="0078540B">
        <w:t xml:space="preserve">Providers must keep a copy of all </w:t>
      </w:r>
      <w:r>
        <w:t>WHS I</w:t>
      </w:r>
      <w:r w:rsidRPr="0078540B">
        <w:t xml:space="preserve">ncident </w:t>
      </w:r>
      <w:r>
        <w:t>Reports</w:t>
      </w:r>
      <w:r w:rsidRPr="0078540B">
        <w:t xml:space="preserve"> and </w:t>
      </w:r>
      <w:r>
        <w:t>Records</w:t>
      </w:r>
      <w:r w:rsidRPr="0078540B">
        <w:t xml:space="preserve"> so they can be used as supporting evidence in any insurance claims.</w:t>
      </w:r>
      <w:bookmarkStart w:id="343" w:name="_Insurance__"/>
      <w:bookmarkEnd w:id="342"/>
      <w:bookmarkEnd w:id="343"/>
      <w:r w:rsidRPr="0078540B">
        <w:t xml:space="preserve"> </w:t>
      </w:r>
    </w:p>
    <w:p w14:paraId="34DF5DBA" w14:textId="57FFEF1B" w:rsidR="00DC1260" w:rsidRPr="00CD504F" w:rsidRDefault="00DC1260" w:rsidP="00CD504F">
      <w:pPr>
        <w:pStyle w:val="Heading2"/>
        <w:rPr>
          <w:lang w:eastAsia="en-AU"/>
        </w:rPr>
      </w:pPr>
      <w:bookmarkStart w:id="344" w:name="_Ref202791026"/>
      <w:bookmarkStart w:id="345" w:name="_Ref202791769"/>
      <w:bookmarkStart w:id="346" w:name="_Ref202794320"/>
      <w:bookmarkStart w:id="347" w:name="_Ref202885273"/>
      <w:bookmarkStart w:id="348" w:name="_Ref202892269"/>
      <w:bookmarkStart w:id="349" w:name="_Toc202900022"/>
      <w:r w:rsidRPr="4F3EABBB">
        <w:rPr>
          <w:lang w:eastAsia="en-AU"/>
        </w:rPr>
        <w:t>Chapter</w:t>
      </w:r>
      <w:r w:rsidRPr="4F3EABBB">
        <w:rPr>
          <w:rStyle w:val="Emphasis"/>
        </w:rPr>
        <w:t xml:space="preserve"> </w:t>
      </w:r>
      <w:r w:rsidRPr="4F3EABBB">
        <w:rPr>
          <w:lang w:eastAsia="en-AU"/>
        </w:rPr>
        <w:t>8</w:t>
      </w:r>
      <w:r w:rsidR="00A61FB9" w:rsidRPr="4F3EABBB">
        <w:rPr>
          <w:lang w:eastAsia="en-AU"/>
        </w:rPr>
        <w:t>:</w:t>
      </w:r>
      <w:r>
        <w:tab/>
      </w:r>
      <w:r w:rsidRPr="4F3EABBB">
        <w:rPr>
          <w:lang w:eastAsia="en-AU"/>
        </w:rPr>
        <w:t>Wage Subsidies</w:t>
      </w:r>
      <w:bookmarkEnd w:id="344"/>
      <w:bookmarkEnd w:id="345"/>
      <w:bookmarkEnd w:id="346"/>
      <w:bookmarkEnd w:id="347"/>
      <w:bookmarkEnd w:id="348"/>
      <w:bookmarkEnd w:id="349"/>
    </w:p>
    <w:p w14:paraId="2D0E0BD1" w14:textId="4F88A814" w:rsidR="34FB0FE8" w:rsidRPr="002F04B4" w:rsidRDefault="65830D7A" w:rsidP="002F04B4">
      <w:pPr>
        <w:pStyle w:val="Heading-SupportingDocuments"/>
        <w:rPr>
          <w:rStyle w:val="Emphasis"/>
          <w:b/>
          <w:bCs w:val="0"/>
          <w:iCs w:val="0"/>
          <w:spacing w:val="3"/>
        </w:rPr>
      </w:pPr>
      <w:r w:rsidRPr="002F04B4">
        <w:rPr>
          <w:rStyle w:val="Emphasis"/>
          <w:b/>
          <w:bCs w:val="0"/>
          <w:iCs w:val="0"/>
          <w:spacing w:val="3"/>
        </w:rPr>
        <w:t>Supporting Documents for this Chapter</w:t>
      </w:r>
    </w:p>
    <w:p w14:paraId="6272B4F7" w14:textId="4F6082AB" w:rsidR="63C7A2FB" w:rsidRPr="00593799" w:rsidRDefault="00957D9F" w:rsidP="00593799">
      <w:pPr>
        <w:pStyle w:val="Bullet-SupportingDocument"/>
        <w:rPr>
          <w:rStyle w:val="Hyperlink"/>
        </w:rPr>
      </w:pPr>
      <w:r w:rsidRPr="00593799">
        <w:rPr>
          <w:rStyle w:val="Hyperlink"/>
        </w:rPr>
        <w:t xml:space="preserve">Sample </w:t>
      </w:r>
      <w:r w:rsidR="65830D7A" w:rsidRPr="00593799">
        <w:rPr>
          <w:rStyle w:val="Hyperlink"/>
        </w:rPr>
        <w:t xml:space="preserve">Wage </w:t>
      </w:r>
      <w:r w:rsidR="71255FBF" w:rsidRPr="00593799">
        <w:rPr>
          <w:rStyle w:val="Hyperlink"/>
        </w:rPr>
        <w:t xml:space="preserve">Subsidy Head </w:t>
      </w:r>
      <w:r w:rsidR="00825AB2">
        <w:rPr>
          <w:rStyle w:val="Hyperlink"/>
        </w:rPr>
        <w:t xml:space="preserve">Agreement </w:t>
      </w:r>
      <w:r w:rsidR="71255FBF" w:rsidRPr="00593799">
        <w:rPr>
          <w:rStyle w:val="Hyperlink"/>
        </w:rPr>
        <w:t>and Schedule</w:t>
      </w:r>
      <w:r w:rsidR="004505B3">
        <w:rPr>
          <w:rStyle w:val="Hyperlink"/>
        </w:rPr>
        <w:t xml:space="preserve"> [LINK]</w:t>
      </w:r>
      <w:r w:rsidR="71255FBF" w:rsidRPr="00593799">
        <w:rPr>
          <w:rStyle w:val="Hyperlink"/>
        </w:rPr>
        <w:t xml:space="preserve"> </w:t>
      </w:r>
    </w:p>
    <w:p w14:paraId="63E002B1" w14:textId="4FE3A60B" w:rsidR="71255FBF" w:rsidRPr="00593799" w:rsidRDefault="71255FBF" w:rsidP="00593799">
      <w:pPr>
        <w:pStyle w:val="Bullet-SupportingDocument"/>
        <w:rPr>
          <w:rStyle w:val="Hyperlink"/>
        </w:rPr>
      </w:pPr>
      <w:r w:rsidRPr="00593799">
        <w:rPr>
          <w:rStyle w:val="Hyperlink"/>
        </w:rPr>
        <w:t>Wage Subsidy Calculator</w:t>
      </w:r>
      <w:r w:rsidR="004505B3">
        <w:rPr>
          <w:rStyle w:val="Hyperlink"/>
        </w:rPr>
        <w:t xml:space="preserve"> [LINK]</w:t>
      </w:r>
    </w:p>
    <w:p w14:paraId="63B4F370" w14:textId="1B32A06A" w:rsidR="001D2BDE" w:rsidRPr="00593799" w:rsidRDefault="001D2BDE" w:rsidP="00593799">
      <w:pPr>
        <w:pStyle w:val="Bullet-SupportingDocument"/>
        <w:rPr>
          <w:rStyle w:val="Hyperlink"/>
        </w:rPr>
      </w:pPr>
      <w:r w:rsidRPr="00593799">
        <w:rPr>
          <w:rStyle w:val="Hyperlink"/>
        </w:rPr>
        <w:t>Wage Subsid</w:t>
      </w:r>
      <w:r w:rsidR="00F86BDC" w:rsidRPr="00593799">
        <w:rPr>
          <w:rStyle w:val="Hyperlink"/>
        </w:rPr>
        <w:t>ies</w:t>
      </w:r>
      <w:r w:rsidRPr="00593799">
        <w:rPr>
          <w:rStyle w:val="Hyperlink"/>
        </w:rPr>
        <w:t xml:space="preserve"> Payroll Declaration</w:t>
      </w:r>
      <w:r w:rsidR="3821478B" w:rsidRPr="00593799">
        <w:rPr>
          <w:rStyle w:val="Hyperlink"/>
        </w:rPr>
        <w:t xml:space="preserve"> </w:t>
      </w:r>
      <w:r w:rsidR="004505B3">
        <w:rPr>
          <w:rStyle w:val="Hyperlink"/>
        </w:rPr>
        <w:t>[LINK]</w:t>
      </w:r>
    </w:p>
    <w:p w14:paraId="781B7691" w14:textId="56C306E1" w:rsidR="00DC1260" w:rsidRPr="00CD504F" w:rsidRDefault="00DC1260" w:rsidP="00CD504F">
      <w:pPr>
        <w:pStyle w:val="Heading3"/>
      </w:pPr>
      <w:bookmarkStart w:id="350" w:name="_Toc202900023"/>
      <w:r w:rsidRPr="4F3EABBB">
        <w:rPr>
          <w:lang w:eastAsia="en-AU"/>
        </w:rPr>
        <w:t>8.1</w:t>
      </w:r>
      <w:r>
        <w:tab/>
      </w:r>
      <w:r w:rsidR="00A0504F">
        <w:t xml:space="preserve">Chapter </w:t>
      </w:r>
      <w:r w:rsidRPr="4F3EABBB">
        <w:rPr>
          <w:lang w:eastAsia="en-AU"/>
        </w:rPr>
        <w:t>Overview</w:t>
      </w:r>
      <w:bookmarkEnd w:id="350"/>
    </w:p>
    <w:p w14:paraId="2E89D12F" w14:textId="286B1C7B" w:rsidR="004E2F06" w:rsidRPr="00CD504F" w:rsidRDefault="499889E1" w:rsidP="004E2F06">
      <w:r w:rsidRPr="32CF2200">
        <w:rPr>
          <w:lang w:eastAsia="en-AU"/>
        </w:rPr>
        <w:t xml:space="preserve">There is one Wage Subsidy available </w:t>
      </w:r>
      <w:r w:rsidR="2C8D6502" w:rsidRPr="32CF2200">
        <w:rPr>
          <w:lang w:eastAsia="en-AU"/>
        </w:rPr>
        <w:t xml:space="preserve">as </w:t>
      </w:r>
      <w:r w:rsidR="0B22D732" w:rsidRPr="32CF2200">
        <w:rPr>
          <w:lang w:eastAsia="en-AU"/>
        </w:rPr>
        <w:t xml:space="preserve">part of </w:t>
      </w:r>
      <w:r w:rsidR="00353F8E">
        <w:rPr>
          <w:lang w:eastAsia="en-AU"/>
        </w:rPr>
        <w:t>Inclusive Employment Australia</w:t>
      </w:r>
      <w:r w:rsidR="2EE3651D" w:rsidRPr="32CF2200">
        <w:rPr>
          <w:lang w:eastAsia="en-AU"/>
        </w:rPr>
        <w:t>,</w:t>
      </w:r>
      <w:r>
        <w:t xml:space="preserve"> </w:t>
      </w:r>
      <w:r w:rsidRPr="32CF2200">
        <w:rPr>
          <w:lang w:eastAsia="en-AU"/>
        </w:rPr>
        <w:t xml:space="preserve">the </w:t>
      </w:r>
      <w:r w:rsidRPr="00C436C0">
        <w:rPr>
          <w:u w:val="single"/>
          <w:lang w:eastAsia="en-AU"/>
        </w:rPr>
        <w:t>Inclusive Employment Australia Wage Subsidy</w:t>
      </w:r>
      <w:r w:rsidR="005C768A">
        <w:t>.</w:t>
      </w:r>
    </w:p>
    <w:p w14:paraId="50A09C40" w14:textId="31DEB73B" w:rsidR="00DC1260" w:rsidRPr="00CF7B99" w:rsidRDefault="00DC1260" w:rsidP="00CF7B99">
      <w:pPr>
        <w:rPr>
          <w:lang w:eastAsia="en-AU"/>
        </w:rPr>
      </w:pPr>
      <w:r w:rsidRPr="00DC1260">
        <w:rPr>
          <w:lang w:eastAsia="en-AU"/>
        </w:rPr>
        <w:t xml:space="preserve">This </w:t>
      </w:r>
      <w:r w:rsidR="004E2F06">
        <w:rPr>
          <w:lang w:eastAsia="en-AU"/>
        </w:rPr>
        <w:t>C</w:t>
      </w:r>
      <w:r w:rsidRPr="00DC1260">
        <w:rPr>
          <w:lang w:eastAsia="en-AU"/>
        </w:rPr>
        <w:t xml:space="preserve">hapter outlines the responsibilities of Providers in relation to </w:t>
      </w:r>
      <w:r w:rsidR="00CF7B99">
        <w:rPr>
          <w:lang w:eastAsia="en-AU"/>
        </w:rPr>
        <w:t xml:space="preserve">the </w:t>
      </w:r>
      <w:r w:rsidR="00512871">
        <w:rPr>
          <w:lang w:eastAsia="en-AU"/>
        </w:rPr>
        <w:t>Inclusive Employment Australia</w:t>
      </w:r>
      <w:r w:rsidR="00512871" w:rsidRPr="00DC1260">
        <w:rPr>
          <w:lang w:eastAsia="en-AU"/>
        </w:rPr>
        <w:t xml:space="preserve"> </w:t>
      </w:r>
      <w:r w:rsidRPr="00DC1260">
        <w:rPr>
          <w:lang w:eastAsia="en-AU"/>
        </w:rPr>
        <w:t xml:space="preserve">Wage </w:t>
      </w:r>
      <w:r w:rsidR="00CF7B99">
        <w:rPr>
          <w:lang w:eastAsia="en-AU"/>
        </w:rPr>
        <w:t>Subsidy</w:t>
      </w:r>
      <w:r w:rsidRPr="00DC1260">
        <w:rPr>
          <w:lang w:eastAsia="en-AU"/>
        </w:rPr>
        <w:t>, including:</w:t>
      </w:r>
    </w:p>
    <w:p w14:paraId="3C971B97" w14:textId="58D9DDD9" w:rsidR="00DC1260" w:rsidRPr="00DC1260" w:rsidRDefault="00DC1260" w:rsidP="004E120D">
      <w:pPr>
        <w:pStyle w:val="BulletLevel1"/>
        <w:rPr>
          <w:lang w:eastAsia="en-AU"/>
        </w:rPr>
      </w:pPr>
      <w:r w:rsidRPr="32CF2200">
        <w:rPr>
          <w:lang w:eastAsia="en-AU"/>
        </w:rPr>
        <w:t xml:space="preserve">the purpose of </w:t>
      </w:r>
      <w:r w:rsidR="009C6CF4" w:rsidRPr="32CF2200">
        <w:rPr>
          <w:lang w:eastAsia="en-AU"/>
        </w:rPr>
        <w:t xml:space="preserve">the </w:t>
      </w:r>
      <w:r w:rsidRPr="32CF2200">
        <w:rPr>
          <w:lang w:eastAsia="en-AU"/>
        </w:rPr>
        <w:t>Wage Subsidy and when it should be used</w:t>
      </w:r>
    </w:p>
    <w:p w14:paraId="0C0A4F9E" w14:textId="2D8F753D" w:rsidR="00DC1260" w:rsidRPr="00DC1260" w:rsidRDefault="0085313D" w:rsidP="004E120D">
      <w:pPr>
        <w:pStyle w:val="BulletLevel1"/>
        <w:rPr>
          <w:lang w:eastAsia="en-AU"/>
        </w:rPr>
      </w:pPr>
      <w:r>
        <w:rPr>
          <w:lang w:eastAsia="en-AU"/>
        </w:rPr>
        <w:t xml:space="preserve">identifying </w:t>
      </w:r>
      <w:r w:rsidR="00DC1260" w:rsidRPr="00DC1260">
        <w:rPr>
          <w:lang w:eastAsia="en-AU"/>
        </w:rPr>
        <w:t>which Participants, Employers and Placements are eligible</w:t>
      </w:r>
    </w:p>
    <w:p w14:paraId="029D1920" w14:textId="6C849333" w:rsidR="00DC1260" w:rsidRPr="00DC1260" w:rsidRDefault="00DC1260" w:rsidP="004E120D">
      <w:pPr>
        <w:pStyle w:val="BulletLevel1"/>
        <w:rPr>
          <w:lang w:eastAsia="en-AU"/>
        </w:rPr>
      </w:pPr>
      <w:r w:rsidRPr="4F3EABBB">
        <w:rPr>
          <w:lang w:eastAsia="en-AU"/>
        </w:rPr>
        <w:t xml:space="preserve">how different </w:t>
      </w:r>
      <w:r w:rsidR="58C6F76F" w:rsidRPr="4F3EABBB">
        <w:rPr>
          <w:lang w:eastAsia="en-AU"/>
        </w:rPr>
        <w:t xml:space="preserve">levels </w:t>
      </w:r>
      <w:r w:rsidRPr="4F3EABBB">
        <w:rPr>
          <w:lang w:eastAsia="en-AU"/>
        </w:rPr>
        <w:t xml:space="preserve">can support </w:t>
      </w:r>
      <w:r w:rsidR="6C3421A5" w:rsidRPr="4F3EABBB">
        <w:rPr>
          <w:lang w:eastAsia="en-AU"/>
        </w:rPr>
        <w:t xml:space="preserve">Participants with </w:t>
      </w:r>
      <w:r w:rsidRPr="4F3EABBB">
        <w:rPr>
          <w:lang w:eastAsia="en-AU"/>
        </w:rPr>
        <w:t>different work capacities</w:t>
      </w:r>
    </w:p>
    <w:p w14:paraId="36367C19" w14:textId="3920A7D2" w:rsidR="00DC1260" w:rsidRPr="00DC1260" w:rsidRDefault="00DC1260" w:rsidP="004E120D">
      <w:pPr>
        <w:pStyle w:val="BulletLevel1"/>
        <w:rPr>
          <w:lang w:eastAsia="en-AU"/>
        </w:rPr>
      </w:pPr>
      <w:r w:rsidRPr="4F3EABBB">
        <w:rPr>
          <w:lang w:eastAsia="en-AU"/>
        </w:rPr>
        <w:t xml:space="preserve">Provider responsibilities to support, monitor and pay </w:t>
      </w:r>
      <w:r w:rsidR="002F04B4" w:rsidRPr="4F3EABBB">
        <w:rPr>
          <w:lang w:eastAsia="en-AU"/>
        </w:rPr>
        <w:t xml:space="preserve">the </w:t>
      </w:r>
      <w:r w:rsidRPr="4F3EABBB">
        <w:rPr>
          <w:lang w:eastAsia="en-AU"/>
        </w:rPr>
        <w:t>Wage Subsidy</w:t>
      </w:r>
      <w:r w:rsidR="00CF7B99" w:rsidRPr="4F3EABBB">
        <w:rPr>
          <w:lang w:eastAsia="en-AU"/>
        </w:rPr>
        <w:t>, and</w:t>
      </w:r>
    </w:p>
    <w:p w14:paraId="6343A42C" w14:textId="43907767" w:rsidR="00DC1260" w:rsidRPr="00DC1260" w:rsidRDefault="00DC1260" w:rsidP="004E120D">
      <w:pPr>
        <w:pStyle w:val="BulletLevel1"/>
        <w:rPr>
          <w:szCs w:val="22"/>
          <w:lang w:eastAsia="en-AU"/>
        </w:rPr>
      </w:pPr>
      <w:r w:rsidRPr="00DC1260">
        <w:rPr>
          <w:szCs w:val="22"/>
          <w:lang w:eastAsia="en-AU"/>
        </w:rPr>
        <w:t xml:space="preserve">how </w:t>
      </w:r>
      <w:r w:rsidRPr="00DC1260">
        <w:rPr>
          <w:lang w:eastAsia="en-AU"/>
        </w:rPr>
        <w:t>a Provider claims a Reimbursement from the Department.</w:t>
      </w:r>
    </w:p>
    <w:p w14:paraId="70D2FFBE" w14:textId="45828A45" w:rsidR="00EF2174" w:rsidRPr="00DC1260" w:rsidRDefault="00DC1260" w:rsidP="00EF2174">
      <w:pPr>
        <w:rPr>
          <w:lang w:eastAsia="en-AU"/>
        </w:rPr>
      </w:pPr>
      <w:r w:rsidRPr="32CF2200">
        <w:rPr>
          <w:lang w:eastAsia="en-AU"/>
        </w:rPr>
        <w:t xml:space="preserve">The </w:t>
      </w:r>
      <w:r w:rsidR="00512871">
        <w:rPr>
          <w:lang w:eastAsia="en-AU"/>
        </w:rPr>
        <w:t>Inclusive Employment Australia</w:t>
      </w:r>
      <w:r w:rsidR="00512871" w:rsidRPr="32CF2200">
        <w:rPr>
          <w:lang w:eastAsia="en-AU"/>
        </w:rPr>
        <w:t xml:space="preserve"> </w:t>
      </w:r>
      <w:r w:rsidRPr="32CF2200">
        <w:rPr>
          <w:lang w:eastAsia="en-AU"/>
        </w:rPr>
        <w:t xml:space="preserve">Wage Subsidy is a financial incentive </w:t>
      </w:r>
      <w:r w:rsidR="00CB17F5">
        <w:rPr>
          <w:lang w:eastAsia="en-AU"/>
        </w:rPr>
        <w:t xml:space="preserve">of up to $10,000 that </w:t>
      </w:r>
      <w:r w:rsidRPr="32CF2200">
        <w:rPr>
          <w:lang w:eastAsia="en-AU"/>
        </w:rPr>
        <w:t xml:space="preserve">Providers can use to encourage eligible Employers to provide ongoing employment opportunities </w:t>
      </w:r>
      <w:r w:rsidR="00792039" w:rsidRPr="32CF2200">
        <w:rPr>
          <w:lang w:eastAsia="en-AU"/>
        </w:rPr>
        <w:t xml:space="preserve">of at least 8 hours per week </w:t>
      </w:r>
      <w:r w:rsidRPr="32CF2200">
        <w:rPr>
          <w:lang w:eastAsia="en-AU"/>
        </w:rPr>
        <w:t xml:space="preserve">for eligible Participants. The </w:t>
      </w:r>
      <w:r w:rsidR="00353F8E">
        <w:rPr>
          <w:lang w:eastAsia="en-AU"/>
        </w:rPr>
        <w:t>Inclusive Employment Australia</w:t>
      </w:r>
      <w:r w:rsidR="00BA08E7" w:rsidRPr="32CF2200">
        <w:rPr>
          <w:lang w:eastAsia="en-AU"/>
        </w:rPr>
        <w:t xml:space="preserve"> </w:t>
      </w:r>
      <w:r w:rsidRPr="32CF2200">
        <w:rPr>
          <w:lang w:eastAsia="en-AU"/>
        </w:rPr>
        <w:t xml:space="preserve">Wage Subsidy </w:t>
      </w:r>
      <w:r w:rsidR="00594CAF" w:rsidRPr="32CF2200">
        <w:rPr>
          <w:lang w:eastAsia="en-AU"/>
        </w:rPr>
        <w:t xml:space="preserve">can </w:t>
      </w:r>
      <w:r w:rsidRPr="32CF2200">
        <w:rPr>
          <w:lang w:eastAsia="en-AU"/>
        </w:rPr>
        <w:t>help by offsetting some of the upfront costs of hiring a new employee.</w:t>
      </w:r>
      <w:r w:rsidR="00BF18F7" w:rsidRPr="32CF2200">
        <w:rPr>
          <w:lang w:eastAsia="en-AU"/>
        </w:rPr>
        <w:t xml:space="preserve"> </w:t>
      </w:r>
      <w:r w:rsidRPr="32CF2200">
        <w:rPr>
          <w:lang w:eastAsia="en-AU"/>
        </w:rPr>
        <w:t xml:space="preserve">Providers </w:t>
      </w:r>
      <w:r w:rsidR="00E96271" w:rsidRPr="32CF2200">
        <w:rPr>
          <w:lang w:eastAsia="en-AU"/>
        </w:rPr>
        <w:t>can ch</w:t>
      </w:r>
      <w:r w:rsidR="00BB0FD3" w:rsidRPr="32CF2200">
        <w:rPr>
          <w:lang w:eastAsia="en-AU"/>
        </w:rPr>
        <w:t>o</w:t>
      </w:r>
      <w:r w:rsidR="00E96271" w:rsidRPr="32CF2200">
        <w:rPr>
          <w:lang w:eastAsia="en-AU"/>
        </w:rPr>
        <w:t xml:space="preserve">ose </w:t>
      </w:r>
      <w:r w:rsidR="5764D2B3" w:rsidRPr="32CF2200">
        <w:rPr>
          <w:lang w:eastAsia="en-AU"/>
        </w:rPr>
        <w:t xml:space="preserve">not </w:t>
      </w:r>
      <w:r w:rsidR="00E96271" w:rsidRPr="32CF2200">
        <w:rPr>
          <w:lang w:eastAsia="en-AU"/>
        </w:rPr>
        <w:t xml:space="preserve">to offer </w:t>
      </w:r>
      <w:r w:rsidR="00BB0FD3" w:rsidRPr="32CF2200">
        <w:rPr>
          <w:lang w:eastAsia="en-AU"/>
        </w:rPr>
        <w:t xml:space="preserve">an </w:t>
      </w:r>
      <w:r w:rsidR="00353F8E">
        <w:rPr>
          <w:lang w:eastAsia="en-AU"/>
        </w:rPr>
        <w:t>Inclusive Employment Australia</w:t>
      </w:r>
      <w:r w:rsidR="00E96271" w:rsidRPr="32CF2200">
        <w:rPr>
          <w:lang w:eastAsia="en-AU"/>
        </w:rPr>
        <w:t xml:space="preserve"> Wage Subsidy</w:t>
      </w:r>
      <w:r w:rsidR="005576EB" w:rsidRPr="32CF2200">
        <w:rPr>
          <w:lang w:eastAsia="en-AU"/>
        </w:rPr>
        <w:t>,</w:t>
      </w:r>
      <w:r w:rsidR="00825972" w:rsidRPr="32CF2200">
        <w:rPr>
          <w:lang w:eastAsia="en-AU"/>
        </w:rPr>
        <w:t xml:space="preserve"> even if all eligibility requirements are met</w:t>
      </w:r>
      <w:r w:rsidR="001F69CF" w:rsidRPr="32CF2200">
        <w:rPr>
          <w:lang w:eastAsia="en-AU"/>
        </w:rPr>
        <w:t xml:space="preserve">. </w:t>
      </w:r>
    </w:p>
    <w:p w14:paraId="47FD3250" w14:textId="1AAF5538" w:rsidR="00261D39" w:rsidRPr="00261D39" w:rsidRDefault="008D48EE" w:rsidP="2AA6B6BB">
      <w:pPr>
        <w:rPr>
          <w:lang w:eastAsia="en-AU"/>
        </w:rPr>
      </w:pPr>
      <w:r w:rsidRPr="32CF2200">
        <w:rPr>
          <w:lang w:eastAsia="en-AU"/>
        </w:rPr>
        <w:t>The</w:t>
      </w:r>
      <w:r w:rsidR="3BE261C3" w:rsidRPr="32CF2200">
        <w:rPr>
          <w:lang w:eastAsia="en-AU"/>
        </w:rPr>
        <w:t xml:space="preserve"> </w:t>
      </w:r>
      <w:r w:rsidR="00353F8E">
        <w:rPr>
          <w:lang w:eastAsia="en-AU"/>
        </w:rPr>
        <w:t>Inclusive Employment Australia</w:t>
      </w:r>
      <w:r w:rsidR="3BE261C3" w:rsidRPr="32CF2200">
        <w:rPr>
          <w:lang w:eastAsia="en-AU"/>
        </w:rPr>
        <w:t xml:space="preserve"> Wage Subsidy </w:t>
      </w:r>
      <w:r w:rsidR="002356DF" w:rsidRPr="32CF2200">
        <w:rPr>
          <w:lang w:eastAsia="en-AU"/>
        </w:rPr>
        <w:t>must</w:t>
      </w:r>
      <w:r w:rsidR="3BE261C3" w:rsidRPr="32CF2200">
        <w:rPr>
          <w:lang w:eastAsia="en-AU"/>
        </w:rPr>
        <w:t xml:space="preserve"> be negotiated and agreed before </w:t>
      </w:r>
      <w:r w:rsidR="3507F9B4" w:rsidRPr="32CF2200">
        <w:rPr>
          <w:lang w:eastAsia="en-AU"/>
        </w:rPr>
        <w:t xml:space="preserve">the </w:t>
      </w:r>
      <w:r w:rsidR="0B251D6F" w:rsidRPr="32CF2200">
        <w:rPr>
          <w:lang w:eastAsia="en-AU"/>
        </w:rPr>
        <w:t>E</w:t>
      </w:r>
      <w:r w:rsidR="28EDD928" w:rsidRPr="32CF2200">
        <w:rPr>
          <w:lang w:eastAsia="en-AU"/>
        </w:rPr>
        <w:t>mployment</w:t>
      </w:r>
      <w:r w:rsidR="3BE261C3" w:rsidRPr="32CF2200">
        <w:rPr>
          <w:lang w:eastAsia="en-AU"/>
        </w:rPr>
        <w:t xml:space="preserve"> starts. The terms</w:t>
      </w:r>
      <w:r w:rsidR="32EFBFFC" w:rsidRPr="32CF2200">
        <w:rPr>
          <w:lang w:eastAsia="en-AU"/>
        </w:rPr>
        <w:t xml:space="preserve"> </w:t>
      </w:r>
      <w:r w:rsidR="3BE261C3" w:rsidRPr="32CF2200">
        <w:rPr>
          <w:lang w:eastAsia="en-AU"/>
        </w:rPr>
        <w:t xml:space="preserve">must be set out in a Wage Subsidy Agreement and approved </w:t>
      </w:r>
      <w:r w:rsidR="00AC478A" w:rsidRPr="32CF2200">
        <w:rPr>
          <w:lang w:eastAsia="en-AU"/>
        </w:rPr>
        <w:t>online</w:t>
      </w:r>
      <w:r w:rsidR="3BE261C3" w:rsidRPr="32CF2200">
        <w:rPr>
          <w:lang w:eastAsia="en-AU"/>
        </w:rPr>
        <w:t xml:space="preserve"> by the Employer within 28</w:t>
      </w:r>
      <w:r w:rsidR="55AEC443" w:rsidRPr="32CF2200">
        <w:rPr>
          <w:lang w:eastAsia="en-AU"/>
        </w:rPr>
        <w:t xml:space="preserve"> </w:t>
      </w:r>
      <w:r w:rsidR="3BE261C3" w:rsidRPr="32CF2200">
        <w:rPr>
          <w:lang w:eastAsia="en-AU"/>
        </w:rPr>
        <w:t>days of the Participant</w:t>
      </w:r>
      <w:r w:rsidR="00CB5283" w:rsidRPr="32CF2200">
        <w:rPr>
          <w:lang w:eastAsia="en-AU"/>
        </w:rPr>
        <w:t>’s Job Placement Start Date</w:t>
      </w:r>
      <w:r w:rsidR="3BE261C3" w:rsidRPr="32CF2200">
        <w:rPr>
          <w:lang w:eastAsia="en-AU"/>
        </w:rPr>
        <w:t xml:space="preserve">. The terms will include the </w:t>
      </w:r>
      <w:r w:rsidR="1EBA8D60" w:rsidRPr="32CF2200">
        <w:rPr>
          <w:lang w:eastAsia="en-AU"/>
        </w:rPr>
        <w:t>average</w:t>
      </w:r>
      <w:r w:rsidR="3BE261C3" w:rsidRPr="32CF2200">
        <w:rPr>
          <w:lang w:eastAsia="en-AU"/>
        </w:rPr>
        <w:t xml:space="preserve"> number of hours the Participant will be offered each week and the total </w:t>
      </w:r>
      <w:r w:rsidR="000F2A96" w:rsidRPr="32CF2200">
        <w:rPr>
          <w:lang w:eastAsia="en-AU"/>
        </w:rPr>
        <w:t xml:space="preserve">Wage Subsidy </w:t>
      </w:r>
      <w:r w:rsidR="3BE261C3" w:rsidRPr="32CF2200">
        <w:rPr>
          <w:lang w:eastAsia="en-AU"/>
        </w:rPr>
        <w:t xml:space="preserve">value to be paid according to the Wage Subsidy </w:t>
      </w:r>
      <w:r w:rsidR="446AA2C9" w:rsidRPr="32CF2200">
        <w:rPr>
          <w:lang w:eastAsia="en-AU"/>
        </w:rPr>
        <w:t>level</w:t>
      </w:r>
      <w:r w:rsidR="3BE261C3" w:rsidRPr="32CF2200">
        <w:rPr>
          <w:lang w:eastAsia="en-AU"/>
        </w:rPr>
        <w:t>. The length of a Wage Subsidy is for a fixed 26</w:t>
      </w:r>
      <w:r w:rsidR="5BEAFD28" w:rsidRPr="32CF2200">
        <w:rPr>
          <w:lang w:eastAsia="en-AU"/>
        </w:rPr>
        <w:t>-</w:t>
      </w:r>
      <w:r w:rsidR="3BE261C3" w:rsidRPr="32CF2200">
        <w:rPr>
          <w:lang w:eastAsia="en-AU"/>
        </w:rPr>
        <w:t>week</w:t>
      </w:r>
      <w:r w:rsidR="40A2E0F2" w:rsidRPr="32CF2200">
        <w:rPr>
          <w:lang w:eastAsia="en-AU"/>
        </w:rPr>
        <w:t xml:space="preserve"> </w:t>
      </w:r>
      <w:r w:rsidR="3BE261C3" w:rsidRPr="32CF2200">
        <w:rPr>
          <w:lang w:eastAsia="en-AU"/>
        </w:rPr>
        <w:t xml:space="preserve">term </w:t>
      </w:r>
      <w:r w:rsidR="001853D2" w:rsidRPr="32CF2200">
        <w:rPr>
          <w:lang w:eastAsia="en-AU"/>
        </w:rPr>
        <w:t>-</w:t>
      </w:r>
      <w:r w:rsidR="04E23847" w:rsidRPr="32CF2200">
        <w:rPr>
          <w:lang w:eastAsia="en-AU"/>
        </w:rPr>
        <w:t xml:space="preserve"> </w:t>
      </w:r>
      <w:r w:rsidR="3BE261C3" w:rsidRPr="32CF2200">
        <w:rPr>
          <w:lang w:eastAsia="en-AU"/>
        </w:rPr>
        <w:t>a shorter</w:t>
      </w:r>
      <w:r w:rsidR="37293983" w:rsidRPr="32CF2200">
        <w:rPr>
          <w:lang w:eastAsia="en-AU"/>
        </w:rPr>
        <w:t xml:space="preserve"> or longer</w:t>
      </w:r>
      <w:r w:rsidR="3BE261C3" w:rsidRPr="32CF2200">
        <w:rPr>
          <w:lang w:eastAsia="en-AU"/>
        </w:rPr>
        <w:t xml:space="preserve"> length cannot be negotiated. The Wage Subsidy value cannot be more than 100% of the wage paid to the Participant during the 26-week Wage Subsidy Agreement </w:t>
      </w:r>
      <w:r w:rsidR="4C885119" w:rsidRPr="3B5649E4">
        <w:rPr>
          <w:lang w:eastAsia="en-AU"/>
        </w:rPr>
        <w:t>T</w:t>
      </w:r>
      <w:r w:rsidR="3BE261C3" w:rsidRPr="3B5649E4">
        <w:rPr>
          <w:lang w:eastAsia="en-AU"/>
        </w:rPr>
        <w:t>erm.</w:t>
      </w:r>
    </w:p>
    <w:p w14:paraId="2E4AF694" w14:textId="3A6D63A0" w:rsidR="00DC1260" w:rsidRPr="00DC1260" w:rsidRDefault="00512871" w:rsidP="32CF2200">
      <w:pPr>
        <w:rPr>
          <w:lang w:eastAsia="en-AU"/>
        </w:rPr>
      </w:pPr>
      <w:r>
        <w:rPr>
          <w:lang w:eastAsia="en-AU"/>
        </w:rPr>
        <w:t>The Inclusive Employment Australia</w:t>
      </w:r>
      <w:r w:rsidRPr="32CF2200">
        <w:rPr>
          <w:lang w:eastAsia="en-AU"/>
        </w:rPr>
        <w:t xml:space="preserve"> </w:t>
      </w:r>
      <w:r w:rsidR="17367BAD" w:rsidRPr="32CF2200">
        <w:rPr>
          <w:lang w:eastAsia="en-AU"/>
        </w:rPr>
        <w:t xml:space="preserve">Wage </w:t>
      </w:r>
      <w:r w:rsidR="0C1B1853" w:rsidRPr="32CF2200">
        <w:rPr>
          <w:lang w:eastAsia="en-AU"/>
        </w:rPr>
        <w:t>Subsi</w:t>
      </w:r>
      <w:r>
        <w:rPr>
          <w:lang w:eastAsia="en-AU"/>
        </w:rPr>
        <w:t>dy</w:t>
      </w:r>
      <w:r w:rsidR="0C1B1853" w:rsidRPr="32CF2200">
        <w:rPr>
          <w:lang w:eastAsia="en-AU"/>
        </w:rPr>
        <w:t xml:space="preserve"> </w:t>
      </w:r>
      <w:r>
        <w:rPr>
          <w:lang w:eastAsia="en-AU"/>
        </w:rPr>
        <w:t>is</w:t>
      </w:r>
      <w:r w:rsidR="2CA09E45" w:rsidRPr="32CF2200">
        <w:rPr>
          <w:lang w:eastAsia="en-AU"/>
        </w:rPr>
        <w:t xml:space="preserve"> payable for </w:t>
      </w:r>
      <w:r>
        <w:rPr>
          <w:lang w:eastAsia="en-AU"/>
        </w:rPr>
        <w:t xml:space="preserve">Wage Subsidy </w:t>
      </w:r>
      <w:r w:rsidR="2CA09E45" w:rsidRPr="32CF2200">
        <w:rPr>
          <w:lang w:eastAsia="en-AU"/>
        </w:rPr>
        <w:t>Placements that</w:t>
      </w:r>
      <w:r w:rsidR="17367BAD" w:rsidRPr="32CF2200">
        <w:rPr>
          <w:lang w:eastAsia="en-AU"/>
        </w:rPr>
        <w:t xml:space="preserve"> last </w:t>
      </w:r>
      <w:r w:rsidR="2AFD6B67" w:rsidRPr="32CF2200">
        <w:rPr>
          <w:lang w:eastAsia="en-AU"/>
        </w:rPr>
        <w:t>at least</w:t>
      </w:r>
      <w:r w:rsidR="17367BAD" w:rsidRPr="32CF2200">
        <w:rPr>
          <w:lang w:eastAsia="en-AU"/>
        </w:rPr>
        <w:t xml:space="preserve"> 6 </w:t>
      </w:r>
      <w:r w:rsidR="1EEF32AE" w:rsidRPr="32CF2200">
        <w:rPr>
          <w:lang w:eastAsia="en-AU"/>
        </w:rPr>
        <w:t>weeks,</w:t>
      </w:r>
      <w:r w:rsidR="78721FCC" w:rsidRPr="32CF2200">
        <w:rPr>
          <w:lang w:eastAsia="en-AU"/>
        </w:rPr>
        <w:t xml:space="preserve"> and </w:t>
      </w:r>
      <w:r w:rsidR="17367BAD" w:rsidRPr="32CF2200">
        <w:rPr>
          <w:lang w:eastAsia="en-AU"/>
        </w:rPr>
        <w:t xml:space="preserve">a pro-rata Payment </w:t>
      </w:r>
      <w:r w:rsidR="40B64087" w:rsidRPr="32CF2200">
        <w:rPr>
          <w:lang w:eastAsia="en-AU"/>
        </w:rPr>
        <w:t xml:space="preserve">is available </w:t>
      </w:r>
      <w:r w:rsidR="17367BAD" w:rsidRPr="32CF2200">
        <w:rPr>
          <w:lang w:eastAsia="en-AU"/>
        </w:rPr>
        <w:t xml:space="preserve">for Employment </w:t>
      </w:r>
      <w:r w:rsidR="6B48A63F" w:rsidRPr="32CF2200">
        <w:rPr>
          <w:lang w:eastAsia="en-AU"/>
        </w:rPr>
        <w:t xml:space="preserve">lasting between 6 and </w:t>
      </w:r>
      <w:r w:rsidR="17367BAD" w:rsidRPr="32CF2200">
        <w:rPr>
          <w:lang w:eastAsia="en-AU"/>
        </w:rPr>
        <w:t>26 weeks</w:t>
      </w:r>
      <w:r w:rsidR="00862D82" w:rsidRPr="32CF2200">
        <w:rPr>
          <w:lang w:eastAsia="en-AU"/>
        </w:rPr>
        <w:t>.</w:t>
      </w:r>
    </w:p>
    <w:p w14:paraId="20825680" w14:textId="093AD918" w:rsidR="00DC1260" w:rsidRPr="00DC1260" w:rsidRDefault="002578AE" w:rsidP="005A5EC2">
      <w:pPr>
        <w:rPr>
          <w:lang w:eastAsia="en-AU"/>
        </w:rPr>
      </w:pPr>
      <w:r w:rsidRPr="32CF2200">
        <w:rPr>
          <w:lang w:eastAsia="en-AU"/>
        </w:rPr>
        <w:t>Reimbursements</w:t>
      </w:r>
      <w:r w:rsidR="46CB46AB" w:rsidRPr="32CF2200">
        <w:rPr>
          <w:lang w:eastAsia="en-AU"/>
        </w:rPr>
        <w:t xml:space="preserve"> </w:t>
      </w:r>
      <w:r w:rsidR="5EDDD629" w:rsidRPr="32CF2200">
        <w:rPr>
          <w:lang w:eastAsia="en-AU"/>
        </w:rPr>
        <w:t xml:space="preserve">are </w:t>
      </w:r>
      <w:r w:rsidR="5D0C991F" w:rsidRPr="32CF2200">
        <w:rPr>
          <w:lang w:eastAsia="en-AU"/>
        </w:rPr>
        <w:t xml:space="preserve">available after 6 weeks of </w:t>
      </w:r>
      <w:r w:rsidR="00606245">
        <w:rPr>
          <w:lang w:eastAsia="en-AU"/>
        </w:rPr>
        <w:t>E</w:t>
      </w:r>
      <w:r w:rsidR="5D0C991F" w:rsidRPr="32CF2200">
        <w:rPr>
          <w:lang w:eastAsia="en-AU"/>
        </w:rPr>
        <w:t xml:space="preserve">mployment </w:t>
      </w:r>
      <w:r w:rsidR="00735D5A" w:rsidRPr="32CF2200">
        <w:rPr>
          <w:lang w:eastAsia="en-AU"/>
        </w:rPr>
        <w:t>in line with scheduled</w:t>
      </w:r>
      <w:r w:rsidR="00606245">
        <w:rPr>
          <w:lang w:eastAsia="en-AU"/>
        </w:rPr>
        <w:t xml:space="preserve"> Payment</w:t>
      </w:r>
      <w:r w:rsidR="00735D5A" w:rsidRPr="32CF2200">
        <w:rPr>
          <w:lang w:eastAsia="en-AU"/>
        </w:rPr>
        <w:t xml:space="preserve"> instalment</w:t>
      </w:r>
      <w:r w:rsidR="07957172" w:rsidRPr="32CF2200">
        <w:rPr>
          <w:lang w:eastAsia="en-AU"/>
        </w:rPr>
        <w:t>s</w:t>
      </w:r>
      <w:r w:rsidR="00735D5A" w:rsidRPr="32CF2200">
        <w:rPr>
          <w:lang w:eastAsia="en-AU"/>
        </w:rPr>
        <w:t xml:space="preserve">, or at the end of the 26-week term. Reimbursements are </w:t>
      </w:r>
      <w:r w:rsidR="00DC1260" w:rsidRPr="32CF2200">
        <w:rPr>
          <w:lang w:eastAsia="en-AU"/>
        </w:rPr>
        <w:t xml:space="preserve">subject to the </w:t>
      </w:r>
      <w:r w:rsidR="243F8927" w:rsidRPr="32CF2200">
        <w:rPr>
          <w:lang w:eastAsia="en-AU"/>
        </w:rPr>
        <w:t xml:space="preserve">mandatory </w:t>
      </w:r>
      <w:r w:rsidR="00D07552" w:rsidRPr="32CF2200">
        <w:rPr>
          <w:lang w:eastAsia="en-AU"/>
        </w:rPr>
        <w:t>uploading</w:t>
      </w:r>
      <w:r w:rsidR="14FA22C9" w:rsidRPr="32CF2200">
        <w:rPr>
          <w:lang w:eastAsia="en-AU"/>
        </w:rPr>
        <w:t xml:space="preserve"> </w:t>
      </w:r>
      <w:r w:rsidR="00DC1260" w:rsidRPr="32CF2200">
        <w:rPr>
          <w:lang w:eastAsia="en-AU"/>
        </w:rPr>
        <w:t xml:space="preserve">of </w:t>
      </w:r>
      <w:r w:rsidR="51BABB12" w:rsidRPr="32CF2200">
        <w:rPr>
          <w:lang w:eastAsia="en-AU"/>
        </w:rPr>
        <w:t>D</w:t>
      </w:r>
      <w:r w:rsidR="00DC1260" w:rsidRPr="32CF2200">
        <w:rPr>
          <w:lang w:eastAsia="en-AU"/>
        </w:rPr>
        <w:t xml:space="preserve">ocumentary </w:t>
      </w:r>
      <w:r w:rsidR="71DAC145" w:rsidRPr="32CF2200">
        <w:rPr>
          <w:lang w:eastAsia="en-AU"/>
        </w:rPr>
        <w:t>E</w:t>
      </w:r>
      <w:r w:rsidR="00DC1260" w:rsidRPr="32CF2200">
        <w:rPr>
          <w:lang w:eastAsia="en-AU"/>
        </w:rPr>
        <w:t>vidence</w:t>
      </w:r>
      <w:r w:rsidR="003429B0" w:rsidRPr="32CF2200">
        <w:rPr>
          <w:lang w:eastAsia="en-AU"/>
        </w:rPr>
        <w:t xml:space="preserve"> for each </w:t>
      </w:r>
      <w:r w:rsidR="00381C88" w:rsidRPr="32CF2200">
        <w:rPr>
          <w:lang w:eastAsia="en-AU"/>
        </w:rPr>
        <w:t>P</w:t>
      </w:r>
      <w:r w:rsidR="003429B0" w:rsidRPr="32CF2200">
        <w:rPr>
          <w:lang w:eastAsia="en-AU"/>
        </w:rPr>
        <w:t>ayment</w:t>
      </w:r>
      <w:r w:rsidR="30499967" w:rsidRPr="32CF2200">
        <w:rPr>
          <w:lang w:eastAsia="en-AU"/>
        </w:rPr>
        <w:t xml:space="preserve"> in the Department</w:t>
      </w:r>
      <w:r w:rsidR="4AD0ECC4" w:rsidRPr="32CF2200">
        <w:rPr>
          <w:lang w:eastAsia="en-AU"/>
        </w:rPr>
        <w:t>’</w:t>
      </w:r>
      <w:r w:rsidR="51B7D320" w:rsidRPr="32CF2200">
        <w:rPr>
          <w:lang w:eastAsia="en-AU"/>
        </w:rPr>
        <w:t>s IT</w:t>
      </w:r>
      <w:r w:rsidR="30499967" w:rsidRPr="32CF2200">
        <w:rPr>
          <w:lang w:eastAsia="en-AU"/>
        </w:rPr>
        <w:t xml:space="preserve"> System</w:t>
      </w:r>
      <w:r w:rsidR="00DC1260" w:rsidRPr="32CF2200">
        <w:rPr>
          <w:lang w:eastAsia="en-AU"/>
        </w:rPr>
        <w:t xml:space="preserve">. </w:t>
      </w:r>
    </w:p>
    <w:p w14:paraId="41E3AAE1" w14:textId="12091B67" w:rsidR="00DC1260" w:rsidRPr="00303BFC" w:rsidRDefault="00DC1260" w:rsidP="00303BFC">
      <w:pPr>
        <w:pStyle w:val="Heading3"/>
        <w:rPr>
          <w:lang w:eastAsia="en-AU"/>
        </w:rPr>
      </w:pPr>
      <w:bookmarkStart w:id="351" w:name="_Toc202900024"/>
      <w:r>
        <w:t>8.</w:t>
      </w:r>
      <w:r w:rsidR="600643FB">
        <w:t>2</w:t>
      </w:r>
      <w:r>
        <w:tab/>
        <w:t>Eligibility</w:t>
      </w:r>
      <w:bookmarkEnd w:id="351"/>
    </w:p>
    <w:p w14:paraId="561F5AB2" w14:textId="6C31AD2A" w:rsidR="00DC1260" w:rsidRPr="00303BFC" w:rsidRDefault="00DC1260" w:rsidP="00303BFC">
      <w:pPr>
        <w:pStyle w:val="Heading4"/>
      </w:pPr>
      <w:bookmarkStart w:id="352" w:name="_Toc202900025"/>
      <w:r w:rsidRPr="00303BFC">
        <w:t>8.</w:t>
      </w:r>
      <w:r w:rsidR="4061F86D">
        <w:t>2</w:t>
      </w:r>
      <w:r w:rsidRPr="00303BFC">
        <w:t>.1</w:t>
      </w:r>
      <w:r w:rsidR="00303BFC">
        <w:tab/>
      </w:r>
      <w:r w:rsidRPr="00303BFC">
        <w:t>Participant Eligibility</w:t>
      </w:r>
      <w:bookmarkEnd w:id="352"/>
    </w:p>
    <w:p w14:paraId="0BE73A28" w14:textId="34E97439" w:rsidR="00DC1260" w:rsidRPr="00303BFC" w:rsidRDefault="00DC1260" w:rsidP="00303BFC">
      <w:pPr>
        <w:pStyle w:val="Heading5"/>
      </w:pPr>
      <w:r w:rsidRPr="00303BFC">
        <w:t>Time in employment services</w:t>
      </w:r>
    </w:p>
    <w:p w14:paraId="40AEBBB1" w14:textId="58260D77" w:rsidR="00DC1260" w:rsidRDefault="00DC1260" w:rsidP="005A5EC2">
      <w:pPr>
        <w:rPr>
          <w:lang w:eastAsia="en-AU"/>
        </w:rPr>
      </w:pPr>
      <w:r w:rsidRPr="32CF2200">
        <w:rPr>
          <w:lang w:eastAsia="en-AU"/>
        </w:rPr>
        <w:t xml:space="preserve">Providers can offer </w:t>
      </w:r>
      <w:r w:rsidR="00353F8E">
        <w:rPr>
          <w:lang w:eastAsia="en-AU"/>
        </w:rPr>
        <w:t>Inclusive Employment Australia</w:t>
      </w:r>
      <w:r w:rsidR="00ED00F3" w:rsidRPr="32CF2200">
        <w:rPr>
          <w:lang w:eastAsia="en-AU"/>
        </w:rPr>
        <w:t xml:space="preserve"> </w:t>
      </w:r>
      <w:r w:rsidRPr="32CF2200">
        <w:rPr>
          <w:lang w:eastAsia="en-AU"/>
        </w:rPr>
        <w:t xml:space="preserve">Wage Subsidies for Participants who have received </w:t>
      </w:r>
      <w:r w:rsidR="543E68B0" w:rsidRPr="32CF2200">
        <w:rPr>
          <w:lang w:eastAsia="en-AU"/>
        </w:rPr>
        <w:t>at least</w:t>
      </w:r>
      <w:r w:rsidRPr="32CF2200">
        <w:rPr>
          <w:lang w:eastAsia="en-AU"/>
        </w:rPr>
        <w:t xml:space="preserve"> 6 months of continuous </w:t>
      </w:r>
      <w:r w:rsidR="00426BA3" w:rsidRPr="32CF2200">
        <w:rPr>
          <w:lang w:eastAsia="en-AU"/>
        </w:rPr>
        <w:t>P</w:t>
      </w:r>
      <w:r w:rsidRPr="32CF2200">
        <w:rPr>
          <w:lang w:eastAsia="en-AU"/>
        </w:rPr>
        <w:t>rovider-led employment services in:</w:t>
      </w:r>
    </w:p>
    <w:p w14:paraId="59722FB1" w14:textId="7D91EEFF" w:rsidR="56A2B366" w:rsidRDefault="00353F8E" w:rsidP="32CF2200">
      <w:pPr>
        <w:pStyle w:val="BulletLevel1"/>
        <w:rPr>
          <w:szCs w:val="22"/>
          <w:lang w:eastAsia="en-AU"/>
        </w:rPr>
      </w:pPr>
      <w:r>
        <w:rPr>
          <w:lang w:eastAsia="en-AU"/>
        </w:rPr>
        <w:t>Inclusive Employment Australia</w:t>
      </w:r>
      <w:r w:rsidR="15400A9E" w:rsidRPr="32CF2200">
        <w:rPr>
          <w:lang w:eastAsia="en-AU"/>
        </w:rPr>
        <w:t xml:space="preserve"> or </w:t>
      </w:r>
      <w:r w:rsidR="56A2B366" w:rsidRPr="32CF2200">
        <w:rPr>
          <w:lang w:eastAsia="en-AU"/>
        </w:rPr>
        <w:t>DES</w:t>
      </w:r>
    </w:p>
    <w:p w14:paraId="1CB80295" w14:textId="3386049F" w:rsidR="00DC1260" w:rsidRPr="00DC1260" w:rsidRDefault="00DC1260" w:rsidP="004E120D">
      <w:pPr>
        <w:pStyle w:val="BulletLevel1"/>
        <w:rPr>
          <w:lang w:eastAsia="en-AU"/>
        </w:rPr>
      </w:pPr>
      <w:r w:rsidRPr="00DC1260">
        <w:rPr>
          <w:lang w:eastAsia="en-AU"/>
        </w:rPr>
        <w:t>Workforce Australia Services</w:t>
      </w:r>
    </w:p>
    <w:p w14:paraId="5A47D921" w14:textId="2ACBA1EA" w:rsidR="00DC1260" w:rsidRPr="00DC1260" w:rsidRDefault="00DC1260" w:rsidP="004E120D">
      <w:pPr>
        <w:pStyle w:val="BulletLevel1"/>
        <w:rPr>
          <w:lang w:eastAsia="en-AU"/>
        </w:rPr>
      </w:pPr>
      <w:r w:rsidRPr="00DC1260">
        <w:rPr>
          <w:lang w:eastAsia="en-AU"/>
        </w:rPr>
        <w:t>Parent Pathways</w:t>
      </w:r>
      <w:r w:rsidR="00400C6B">
        <w:rPr>
          <w:lang w:eastAsia="en-AU"/>
        </w:rPr>
        <w:t xml:space="preserve"> </w:t>
      </w:r>
    </w:p>
    <w:p w14:paraId="4C7C32A8" w14:textId="26D2A294" w:rsidR="3BE261C3" w:rsidRDefault="3BE261C3" w:rsidP="32CF2200">
      <w:pPr>
        <w:pStyle w:val="BulletLevel1"/>
        <w:rPr>
          <w:lang w:eastAsia="en-AU"/>
        </w:rPr>
      </w:pPr>
      <w:r w:rsidRPr="32CF2200">
        <w:rPr>
          <w:lang w:eastAsia="en-AU"/>
        </w:rPr>
        <w:t>Transition to Wor</w:t>
      </w:r>
      <w:r w:rsidR="4DD2803C" w:rsidRPr="32CF2200">
        <w:rPr>
          <w:lang w:eastAsia="en-AU"/>
        </w:rPr>
        <w:t>k</w:t>
      </w:r>
    </w:p>
    <w:p w14:paraId="2ED72369" w14:textId="585FEEBE" w:rsidR="4DD2803C" w:rsidRDefault="4DD2803C" w:rsidP="32CF2200">
      <w:pPr>
        <w:pStyle w:val="BulletLevel1"/>
        <w:rPr>
          <w:lang w:eastAsia="en-AU"/>
        </w:rPr>
      </w:pPr>
      <w:r w:rsidRPr="32CF2200">
        <w:t>Norfolk Island Employment Services Program</w:t>
      </w:r>
      <w:r w:rsidR="00B05094">
        <w:t>, and/or</w:t>
      </w:r>
    </w:p>
    <w:p w14:paraId="6E1DE03D" w14:textId="49065EFD" w:rsidR="00605FD0" w:rsidRDefault="3BE261C3" w:rsidP="005A5EC2">
      <w:pPr>
        <w:pStyle w:val="BulletLevel1"/>
        <w:rPr>
          <w:lang w:eastAsia="en-AU"/>
        </w:rPr>
      </w:pPr>
      <w:r w:rsidRPr="6DAA3DE4">
        <w:rPr>
          <w:lang w:eastAsia="en-AU"/>
        </w:rPr>
        <w:t>Community Development Program</w:t>
      </w:r>
      <w:r w:rsidR="6C5D7E69" w:rsidRPr="6DAA3DE4">
        <w:rPr>
          <w:lang w:eastAsia="en-AU"/>
        </w:rPr>
        <w:t xml:space="preserve"> or the Remote Australia Employment Service</w:t>
      </w:r>
      <w:r w:rsidRPr="6DAA3DE4">
        <w:rPr>
          <w:lang w:eastAsia="en-AU"/>
        </w:rPr>
        <w:t>.</w:t>
      </w:r>
    </w:p>
    <w:p w14:paraId="17990F7C" w14:textId="573D520A" w:rsidR="000A4763" w:rsidRDefault="00AA2C7C" w:rsidP="00605FD0">
      <w:pPr>
        <w:rPr>
          <w:lang w:eastAsia="en-AU"/>
        </w:rPr>
      </w:pPr>
      <w:r w:rsidRPr="00AA2C7C">
        <w:rPr>
          <w:b/>
          <w:bCs/>
          <w:lang w:eastAsia="en-AU"/>
        </w:rPr>
        <w:t>Note:</w:t>
      </w:r>
      <w:r>
        <w:rPr>
          <w:lang w:eastAsia="en-AU"/>
        </w:rPr>
        <w:t xml:space="preserve"> </w:t>
      </w:r>
      <w:r w:rsidR="00DC1260" w:rsidRPr="00DC1260">
        <w:rPr>
          <w:lang w:eastAsia="en-AU"/>
        </w:rPr>
        <w:t xml:space="preserve">The 6 months of continuous service excludes any period where the </w:t>
      </w:r>
      <w:r w:rsidR="002E496F">
        <w:rPr>
          <w:lang w:eastAsia="en-AU"/>
        </w:rPr>
        <w:t>P</w:t>
      </w:r>
      <w:r w:rsidR="00DC1260" w:rsidRPr="00DC1260">
        <w:rPr>
          <w:lang w:eastAsia="en-AU"/>
        </w:rPr>
        <w:t>articipant</w:t>
      </w:r>
      <w:r w:rsidR="008C2D07">
        <w:rPr>
          <w:lang w:eastAsia="en-AU"/>
        </w:rPr>
        <w:t>’s status</w:t>
      </w:r>
      <w:r w:rsidR="00DC1260" w:rsidRPr="00DC1260">
        <w:rPr>
          <w:lang w:eastAsia="en-AU"/>
        </w:rPr>
        <w:t xml:space="preserve"> was </w:t>
      </w:r>
      <w:r w:rsidR="008C2D07">
        <w:rPr>
          <w:lang w:eastAsia="en-AU"/>
        </w:rPr>
        <w:t xml:space="preserve">Pending, </w:t>
      </w:r>
      <w:r w:rsidR="00C614EE" w:rsidRPr="4B09852D">
        <w:rPr>
          <w:lang w:eastAsia="en-AU"/>
        </w:rPr>
        <w:t>S</w:t>
      </w:r>
      <w:r w:rsidR="00DC1260" w:rsidRPr="4B09852D">
        <w:rPr>
          <w:lang w:eastAsia="en-AU"/>
        </w:rPr>
        <w:t>uspended</w:t>
      </w:r>
      <w:r w:rsidR="00DC1260" w:rsidRPr="00DC1260">
        <w:rPr>
          <w:lang w:eastAsia="en-AU"/>
        </w:rPr>
        <w:t xml:space="preserve"> or </w:t>
      </w:r>
      <w:r w:rsidR="00E74ACB">
        <w:rPr>
          <w:lang w:eastAsia="en-AU"/>
        </w:rPr>
        <w:t>Exited</w:t>
      </w:r>
      <w:r w:rsidR="00DC1260" w:rsidRPr="00DC1260">
        <w:rPr>
          <w:lang w:eastAsia="en-AU"/>
        </w:rPr>
        <w:t>.</w:t>
      </w:r>
    </w:p>
    <w:p w14:paraId="154D52C6" w14:textId="08791DDA" w:rsidR="0080558A" w:rsidRDefault="3BE261C3" w:rsidP="000A4763">
      <w:pPr>
        <w:rPr>
          <w:lang w:eastAsia="en-AU"/>
        </w:rPr>
      </w:pPr>
      <w:r w:rsidRPr="6DAA3DE4">
        <w:rPr>
          <w:lang w:eastAsia="en-AU"/>
        </w:rPr>
        <w:t xml:space="preserve">Providers can also offer Wage Subsidies </w:t>
      </w:r>
      <w:r w:rsidR="0003149D">
        <w:rPr>
          <w:lang w:eastAsia="en-AU"/>
        </w:rPr>
        <w:t>after</w:t>
      </w:r>
      <w:r w:rsidR="00E116A8" w:rsidRPr="6DAA3DE4">
        <w:rPr>
          <w:lang w:eastAsia="en-AU"/>
        </w:rPr>
        <w:t xml:space="preserve"> </w:t>
      </w:r>
      <w:r w:rsidR="00673A0B">
        <w:rPr>
          <w:lang w:eastAsia="en-AU"/>
        </w:rPr>
        <w:t>C</w:t>
      </w:r>
      <w:r w:rsidR="00E116A8" w:rsidRPr="6DAA3DE4">
        <w:rPr>
          <w:lang w:eastAsia="en-AU"/>
        </w:rPr>
        <w:t xml:space="preserve">ommencement in </w:t>
      </w:r>
      <w:r w:rsidR="00353F8E">
        <w:rPr>
          <w:lang w:eastAsia="en-AU"/>
        </w:rPr>
        <w:t>Inclusive Employment Australia</w:t>
      </w:r>
      <w:r w:rsidR="00E116A8" w:rsidRPr="6DAA3DE4">
        <w:rPr>
          <w:lang w:eastAsia="en-AU"/>
        </w:rPr>
        <w:t xml:space="preserve"> </w:t>
      </w:r>
      <w:r w:rsidRPr="6DAA3DE4">
        <w:rPr>
          <w:lang w:eastAsia="en-AU"/>
        </w:rPr>
        <w:t>for Participants who have received 12 months of Workforce Australia Online.</w:t>
      </w:r>
    </w:p>
    <w:p w14:paraId="5D6805BC" w14:textId="3DD96C14" w:rsidR="000A4763" w:rsidRDefault="0080558A" w:rsidP="000A4763">
      <w:pPr>
        <w:rPr>
          <w:lang w:eastAsia="en-AU"/>
        </w:rPr>
      </w:pPr>
      <w:r w:rsidRPr="579C5725">
        <w:rPr>
          <w:b/>
          <w:bCs/>
          <w:lang w:eastAsia="en-AU"/>
        </w:rPr>
        <w:t>Note:</w:t>
      </w:r>
      <w:r w:rsidRPr="579C5725">
        <w:rPr>
          <w:lang w:eastAsia="en-AU"/>
        </w:rPr>
        <w:t xml:space="preserve"> </w:t>
      </w:r>
      <w:r w:rsidR="3BE261C3" w:rsidRPr="579C5725">
        <w:rPr>
          <w:lang w:eastAsia="en-AU"/>
        </w:rPr>
        <w:t>The 12</w:t>
      </w:r>
      <w:r w:rsidR="6DBE76C6" w:rsidRPr="579C5725">
        <w:rPr>
          <w:lang w:eastAsia="en-AU"/>
        </w:rPr>
        <w:t xml:space="preserve"> </w:t>
      </w:r>
      <w:r w:rsidR="3BE261C3" w:rsidRPr="579C5725">
        <w:rPr>
          <w:lang w:eastAsia="en-AU"/>
        </w:rPr>
        <w:t xml:space="preserve">months of Workforce Australia Online excludes any period where the </w:t>
      </w:r>
      <w:r w:rsidR="00EA29CF" w:rsidRPr="579C5725">
        <w:rPr>
          <w:lang w:eastAsia="en-AU"/>
        </w:rPr>
        <w:t>P</w:t>
      </w:r>
      <w:r w:rsidR="3BE261C3" w:rsidRPr="579C5725">
        <w:rPr>
          <w:lang w:eastAsia="en-AU"/>
        </w:rPr>
        <w:t xml:space="preserve">articipant was </w:t>
      </w:r>
      <w:r w:rsidR="009F1BEC" w:rsidRPr="579C5725">
        <w:rPr>
          <w:lang w:eastAsia="en-AU"/>
        </w:rPr>
        <w:t>S</w:t>
      </w:r>
      <w:r w:rsidR="3BE261C3" w:rsidRPr="579C5725">
        <w:rPr>
          <w:lang w:eastAsia="en-AU"/>
        </w:rPr>
        <w:t xml:space="preserve">uspended or </w:t>
      </w:r>
      <w:r w:rsidR="00EA29CF" w:rsidRPr="579C5725">
        <w:rPr>
          <w:lang w:eastAsia="en-AU"/>
        </w:rPr>
        <w:t>Exited</w:t>
      </w:r>
      <w:r w:rsidR="3BE261C3" w:rsidRPr="579C5725">
        <w:rPr>
          <w:lang w:eastAsia="en-AU"/>
        </w:rPr>
        <w:t>.</w:t>
      </w:r>
    </w:p>
    <w:p w14:paraId="6E4B6BDE" w14:textId="6E17699E" w:rsidR="00CD3A0F" w:rsidRDefault="62102532" w:rsidP="579C5725">
      <w:pPr>
        <w:rPr>
          <w:lang w:eastAsia="en-AU"/>
        </w:rPr>
      </w:pPr>
      <w:r w:rsidRPr="579C5725">
        <w:rPr>
          <w:lang w:eastAsia="en-AU"/>
        </w:rPr>
        <w:t xml:space="preserve">Ongoing Support (Work Assist) Participants are not eligible for the </w:t>
      </w:r>
      <w:r w:rsidR="00353F8E">
        <w:rPr>
          <w:lang w:eastAsia="en-AU"/>
        </w:rPr>
        <w:t>Inclusive Employment Australia</w:t>
      </w:r>
      <w:r w:rsidRPr="579C5725">
        <w:rPr>
          <w:lang w:eastAsia="en-AU"/>
        </w:rPr>
        <w:t xml:space="preserve"> Wage Subsidy.</w:t>
      </w:r>
    </w:p>
    <w:p w14:paraId="1CE98720" w14:textId="297AF250" w:rsidR="002C07AC" w:rsidRPr="00532B35" w:rsidRDefault="002C07AC" w:rsidP="002C07AC">
      <w:pPr>
        <w:spacing w:before="240"/>
        <w:rPr>
          <w:sz w:val="20"/>
          <w:szCs w:val="20"/>
        </w:rPr>
      </w:pPr>
      <w:r w:rsidRPr="00532B35">
        <w:rPr>
          <w:sz w:val="20"/>
          <w:szCs w:val="20"/>
        </w:rPr>
        <w:t xml:space="preserve">(Deed Reference(s): Clause </w:t>
      </w:r>
      <w:r w:rsidR="00E652FA" w:rsidRPr="00532B35">
        <w:rPr>
          <w:sz w:val="20"/>
          <w:szCs w:val="20"/>
        </w:rPr>
        <w:t>122.1</w:t>
      </w:r>
      <w:r w:rsidRPr="00532B35">
        <w:rPr>
          <w:sz w:val="20"/>
          <w:szCs w:val="20"/>
        </w:rPr>
        <w:t>)</w:t>
      </w:r>
    </w:p>
    <w:p w14:paraId="2F219650" w14:textId="45A036DA" w:rsidR="00DC1260" w:rsidRPr="007D588F" w:rsidRDefault="00DC1260" w:rsidP="007D588F">
      <w:pPr>
        <w:pStyle w:val="Heading5"/>
        <w:rPr>
          <w:lang w:eastAsia="en-AU"/>
        </w:rPr>
      </w:pPr>
      <w:r>
        <w:t xml:space="preserve">Other </w:t>
      </w:r>
      <w:r w:rsidR="00EA29CF">
        <w:t>P</w:t>
      </w:r>
      <w:r>
        <w:t>articipant requirements</w:t>
      </w:r>
    </w:p>
    <w:p w14:paraId="36903AAD" w14:textId="5475571F" w:rsidR="00DC1260" w:rsidRPr="007D588F" w:rsidRDefault="00DC1260" w:rsidP="007D588F">
      <w:r w:rsidRPr="007D588F">
        <w:t>Providers cannot offer a Wage Subsidy for a Participant who has:</w:t>
      </w:r>
    </w:p>
    <w:p w14:paraId="5627E0DA" w14:textId="62988123" w:rsidR="00DC1260" w:rsidRPr="00DC1260" w:rsidRDefault="00DC1260" w:rsidP="004E120D">
      <w:pPr>
        <w:pStyle w:val="BulletLevel1"/>
        <w:rPr>
          <w:lang w:eastAsia="en-AU"/>
        </w:rPr>
      </w:pPr>
      <w:r w:rsidRPr="00DC1260">
        <w:rPr>
          <w:lang w:eastAsia="en-AU"/>
        </w:rPr>
        <w:t xml:space="preserve">an outstanding </w:t>
      </w:r>
      <w:r w:rsidRPr="00B05094">
        <w:rPr>
          <w:lang w:eastAsia="en-AU"/>
        </w:rPr>
        <w:t>workers compensation</w:t>
      </w:r>
      <w:r w:rsidRPr="00DC1260">
        <w:rPr>
          <w:lang w:eastAsia="en-AU"/>
        </w:rPr>
        <w:t xml:space="preserve"> claim</w:t>
      </w:r>
      <w:r w:rsidR="001167EF" w:rsidRPr="001167EF">
        <w:t xml:space="preserve"> </w:t>
      </w:r>
      <w:r w:rsidR="001167EF" w:rsidRPr="001167EF">
        <w:rPr>
          <w:lang w:eastAsia="en-AU"/>
        </w:rPr>
        <w:t>against the Employer</w:t>
      </w:r>
    </w:p>
    <w:p w14:paraId="52E9FB83" w14:textId="24E625A0" w:rsidR="00DC1260" w:rsidRPr="00DC1260" w:rsidRDefault="00DC1260" w:rsidP="004E120D">
      <w:pPr>
        <w:pStyle w:val="BulletLevel1"/>
        <w:rPr>
          <w:lang w:eastAsia="en-AU"/>
        </w:rPr>
      </w:pPr>
      <w:r w:rsidRPr="00DC1260">
        <w:rPr>
          <w:lang w:eastAsia="en-AU"/>
        </w:rPr>
        <w:t xml:space="preserve">a business or family relationship with the </w:t>
      </w:r>
      <w:r w:rsidR="4CDA63BA" w:rsidRPr="4B09852D">
        <w:rPr>
          <w:lang w:eastAsia="en-AU"/>
        </w:rPr>
        <w:t>E</w:t>
      </w:r>
      <w:r w:rsidRPr="4B09852D">
        <w:rPr>
          <w:lang w:eastAsia="en-AU"/>
        </w:rPr>
        <w:t>mployer</w:t>
      </w:r>
      <w:r w:rsidR="007529A1">
        <w:rPr>
          <w:lang w:eastAsia="en-AU"/>
        </w:rPr>
        <w:t>, or</w:t>
      </w:r>
    </w:p>
    <w:p w14:paraId="7562B524" w14:textId="1CD97245" w:rsidR="00DC1260" w:rsidRPr="00DC1260" w:rsidRDefault="002759A2" w:rsidP="004E120D">
      <w:pPr>
        <w:pStyle w:val="BulletLevel1"/>
        <w:rPr>
          <w:lang w:eastAsia="en-AU"/>
        </w:rPr>
      </w:pPr>
      <w:r w:rsidRPr="32CF2200">
        <w:rPr>
          <w:lang w:eastAsia="en-AU"/>
        </w:rPr>
        <w:t xml:space="preserve">is accessing </w:t>
      </w:r>
      <w:r w:rsidR="00DC1260" w:rsidRPr="32CF2200">
        <w:rPr>
          <w:lang w:eastAsia="en-AU"/>
        </w:rPr>
        <w:t>any other Commonwealth</w:t>
      </w:r>
      <w:r w:rsidR="00776C7D" w:rsidRPr="32CF2200">
        <w:rPr>
          <w:lang w:eastAsia="en-AU"/>
        </w:rPr>
        <w:t>,</w:t>
      </w:r>
      <w:r w:rsidR="00DC1260" w:rsidRPr="32CF2200">
        <w:rPr>
          <w:lang w:eastAsia="en-AU"/>
        </w:rPr>
        <w:t xml:space="preserve"> State </w:t>
      </w:r>
      <w:r w:rsidR="00776C7D" w:rsidRPr="32CF2200">
        <w:rPr>
          <w:lang w:eastAsia="en-AU"/>
        </w:rPr>
        <w:t xml:space="preserve">or Territory </w:t>
      </w:r>
      <w:r w:rsidR="00DC1260" w:rsidRPr="32CF2200">
        <w:rPr>
          <w:lang w:eastAsia="en-AU"/>
        </w:rPr>
        <w:t xml:space="preserve">Government Wage Subsidy that overlaps with the </w:t>
      </w:r>
      <w:r w:rsidR="00353F8E">
        <w:rPr>
          <w:lang w:eastAsia="en-AU"/>
        </w:rPr>
        <w:t>Inclusive Employment Australia</w:t>
      </w:r>
      <w:r w:rsidR="00DC1260" w:rsidRPr="32CF2200">
        <w:rPr>
          <w:lang w:eastAsia="en-AU"/>
        </w:rPr>
        <w:t xml:space="preserve"> Wage Subsidy. </w:t>
      </w:r>
    </w:p>
    <w:p w14:paraId="380C34AA" w14:textId="09FDA8A0" w:rsidR="00DC1260" w:rsidRPr="007F5CD9" w:rsidRDefault="00DC1260" w:rsidP="007F5CD9">
      <w:pPr>
        <w:pStyle w:val="Heading4"/>
      </w:pPr>
      <w:bookmarkStart w:id="353" w:name="_Ref202882337"/>
      <w:bookmarkStart w:id="354" w:name="_Toc202900026"/>
      <w:r w:rsidRPr="007F5CD9">
        <w:t>8.</w:t>
      </w:r>
      <w:r w:rsidR="377F371F">
        <w:t>2</w:t>
      </w:r>
      <w:r w:rsidRPr="007F5CD9">
        <w:t>.2</w:t>
      </w:r>
      <w:r w:rsidR="007F5CD9">
        <w:tab/>
      </w:r>
      <w:r w:rsidRPr="007F5CD9">
        <w:t>Employer Eligibility</w:t>
      </w:r>
      <w:bookmarkEnd w:id="353"/>
      <w:bookmarkEnd w:id="354"/>
    </w:p>
    <w:p w14:paraId="5EE13479" w14:textId="5F44A5E9" w:rsidR="007F5CD9" w:rsidRDefault="00DC1260" w:rsidP="007A5615">
      <w:pPr>
        <w:rPr>
          <w:lang w:eastAsia="en-AU"/>
        </w:rPr>
      </w:pPr>
      <w:r w:rsidRPr="00DC1260">
        <w:rPr>
          <w:lang w:eastAsia="en-AU"/>
        </w:rPr>
        <w:t xml:space="preserve">A Wage Subsidy Employer must be a legal entity with a valid ABN which complies with all eligibility requirements under the Wage Subsidy </w:t>
      </w:r>
      <w:r w:rsidR="00915BC5">
        <w:rPr>
          <w:lang w:eastAsia="en-AU"/>
        </w:rPr>
        <w:t>Head Agreement</w:t>
      </w:r>
      <w:r w:rsidRPr="00DC1260">
        <w:rPr>
          <w:lang w:eastAsia="en-AU"/>
        </w:rPr>
        <w:t xml:space="preserve"> terms and conditions.</w:t>
      </w:r>
    </w:p>
    <w:p w14:paraId="78C7F556" w14:textId="0A5DBA61" w:rsidR="00DC1260" w:rsidRPr="006260EC" w:rsidRDefault="00DC1260" w:rsidP="006260EC">
      <w:r>
        <w:t xml:space="preserve">A Wage Subsidy Employer must have a verified and active Workforce Australia Online for Businesses account before they can be offered </w:t>
      </w:r>
      <w:r w:rsidR="00A07D90">
        <w:t xml:space="preserve">the </w:t>
      </w:r>
      <w:r w:rsidR="00353F8E">
        <w:t>Inclusive Employment Australia</w:t>
      </w:r>
      <w:r>
        <w:t xml:space="preserve"> Wage Subsidy. Employers can find help to obtain a Workforce Australia Online for Businesses account at:</w:t>
      </w:r>
    </w:p>
    <w:p w14:paraId="2A1BE0D9" w14:textId="7C542C21" w:rsidR="00DC1260" w:rsidRPr="00DC1260" w:rsidRDefault="00DC1260" w:rsidP="004E120D">
      <w:pPr>
        <w:pStyle w:val="BulletLevel1"/>
        <w:rPr>
          <w:lang w:eastAsia="en-AU"/>
        </w:rPr>
      </w:pPr>
      <w:hyperlink r:id="rId66" w:tgtFrame="_blank" w:history="1">
        <w:r w:rsidRPr="00DC1260">
          <w:rPr>
            <w:rFonts w:ascii="Tahoma" w:hAnsi="Tahoma" w:cs="Tahoma"/>
            <w:color w:val="0070C0"/>
            <w:u w:val="single"/>
            <w:lang w:eastAsia="en-AU"/>
          </w:rPr>
          <w:t>How to register a business account with myID</w:t>
        </w:r>
      </w:hyperlink>
      <w:r w:rsidR="00400C6B">
        <w:rPr>
          <w:rFonts w:ascii="Tahoma" w:hAnsi="Tahoma" w:cs="Tahoma"/>
          <w:lang w:eastAsia="en-AU"/>
        </w:rPr>
        <w:t xml:space="preserve"> </w:t>
      </w:r>
    </w:p>
    <w:p w14:paraId="0A8DC15F" w14:textId="7F43B647" w:rsidR="00DC1260" w:rsidRPr="00DC1260" w:rsidRDefault="00DC1260" w:rsidP="004E120D">
      <w:pPr>
        <w:pStyle w:val="BulletLevel1"/>
        <w:rPr>
          <w:lang w:eastAsia="en-AU"/>
        </w:rPr>
      </w:pPr>
      <w:hyperlink r:id="rId67" w:tgtFrame="_blank" w:history="1">
        <w:r w:rsidRPr="00DC1260">
          <w:rPr>
            <w:rFonts w:ascii="Tahoma" w:hAnsi="Tahoma" w:cs="Tahoma"/>
            <w:color w:val="0070C0"/>
            <w:u w:val="single"/>
            <w:lang w:eastAsia="en-AU"/>
          </w:rPr>
          <w:t>Sign in as a business user</w:t>
        </w:r>
      </w:hyperlink>
      <w:r w:rsidR="00A84D07">
        <w:t>, and/or</w:t>
      </w:r>
    </w:p>
    <w:p w14:paraId="7B40197F" w14:textId="0BD86069" w:rsidR="00DC1260" w:rsidRPr="00DC1260" w:rsidRDefault="00DC1260" w:rsidP="004E120D">
      <w:pPr>
        <w:pStyle w:val="BulletLevel1"/>
        <w:rPr>
          <w:lang w:eastAsia="en-AU"/>
        </w:rPr>
      </w:pPr>
      <w:hyperlink r:id="rId68" w:tgtFrame="_blank" w:history="1">
        <w:r w:rsidRPr="00DC1260">
          <w:rPr>
            <w:rFonts w:ascii="Tahoma" w:hAnsi="Tahoma" w:cs="Tahoma"/>
            <w:color w:val="0070C0"/>
            <w:u w:val="single"/>
            <w:lang w:eastAsia="en-AU"/>
          </w:rPr>
          <w:t>Common myID questions</w:t>
        </w:r>
      </w:hyperlink>
      <w:r w:rsidR="006260EC">
        <w:rPr>
          <w:lang w:eastAsia="en-AU"/>
        </w:rPr>
        <w:t>.</w:t>
      </w:r>
    </w:p>
    <w:p w14:paraId="651F21FC" w14:textId="63744D3C" w:rsidR="00DC1260" w:rsidRPr="006260EC" w:rsidRDefault="00DC1260" w:rsidP="006260EC">
      <w:r w:rsidRPr="006260EC">
        <w:t>A Wage Subsidy Employer must not be:</w:t>
      </w:r>
    </w:p>
    <w:p w14:paraId="76679C55" w14:textId="43ED726C" w:rsidR="00DC1260" w:rsidRPr="00DC1260" w:rsidRDefault="006260EC" w:rsidP="004E120D">
      <w:pPr>
        <w:pStyle w:val="BulletLevel1"/>
        <w:rPr>
          <w:lang w:eastAsia="en-AU"/>
        </w:rPr>
      </w:pPr>
      <w:r>
        <w:rPr>
          <w:lang w:eastAsia="en-AU"/>
        </w:rPr>
        <w:t>t</w:t>
      </w:r>
      <w:r w:rsidR="00DC1260" w:rsidRPr="00DC1260">
        <w:rPr>
          <w:lang w:eastAsia="en-AU"/>
        </w:rPr>
        <w:t>he Provider’s Own Organisation or a Related Entity of the Provider</w:t>
      </w:r>
    </w:p>
    <w:p w14:paraId="7FE55645" w14:textId="02EE98DE" w:rsidR="00DC1260" w:rsidRPr="00DC1260" w:rsidRDefault="00DC1260" w:rsidP="004E120D">
      <w:pPr>
        <w:pStyle w:val="BulletLevel1"/>
        <w:rPr>
          <w:lang w:eastAsia="en-AU"/>
        </w:rPr>
      </w:pPr>
      <w:r w:rsidRPr="00DC1260">
        <w:rPr>
          <w:lang w:eastAsia="en-AU"/>
        </w:rPr>
        <w:t xml:space="preserve">an Australian, State or Territory </w:t>
      </w:r>
      <w:r w:rsidR="00C14D08">
        <w:rPr>
          <w:lang w:eastAsia="en-AU"/>
        </w:rPr>
        <w:t>G</w:t>
      </w:r>
      <w:r w:rsidRPr="00DC1260">
        <w:rPr>
          <w:lang w:eastAsia="en-AU"/>
        </w:rPr>
        <w:t xml:space="preserve">overnment </w:t>
      </w:r>
      <w:r w:rsidR="00D92484">
        <w:rPr>
          <w:lang w:eastAsia="en-AU"/>
        </w:rPr>
        <w:t>entity</w:t>
      </w:r>
    </w:p>
    <w:p w14:paraId="1C2B9CC4" w14:textId="6B662BC6" w:rsidR="00DC1260" w:rsidRPr="00DC1260" w:rsidRDefault="00DC1260" w:rsidP="004E120D">
      <w:pPr>
        <w:pStyle w:val="BulletLevel1"/>
        <w:rPr>
          <w:lang w:eastAsia="en-AU"/>
        </w:rPr>
      </w:pPr>
      <w:r w:rsidRPr="00DC1260">
        <w:rPr>
          <w:lang w:eastAsia="en-AU"/>
        </w:rPr>
        <w:t xml:space="preserve">a </w:t>
      </w:r>
      <w:r w:rsidR="00D92484">
        <w:rPr>
          <w:lang w:eastAsia="en-AU"/>
        </w:rPr>
        <w:t>l</w:t>
      </w:r>
      <w:r w:rsidRPr="00DC1260">
        <w:rPr>
          <w:lang w:eastAsia="en-AU"/>
        </w:rPr>
        <w:t xml:space="preserve">ocal </w:t>
      </w:r>
      <w:r w:rsidR="00D92484">
        <w:rPr>
          <w:lang w:eastAsia="en-AU"/>
        </w:rPr>
        <w:t>g</w:t>
      </w:r>
      <w:r w:rsidRPr="00DC1260">
        <w:rPr>
          <w:lang w:eastAsia="en-AU"/>
        </w:rPr>
        <w:t xml:space="preserve">overnment entity, if the position is funded by an Australian, State or Territory </w:t>
      </w:r>
      <w:r w:rsidR="00D92484">
        <w:rPr>
          <w:lang w:eastAsia="en-AU"/>
        </w:rPr>
        <w:t>G</w:t>
      </w:r>
      <w:r w:rsidRPr="00DC1260">
        <w:rPr>
          <w:lang w:eastAsia="en-AU"/>
        </w:rPr>
        <w:t>overnment entity</w:t>
      </w:r>
    </w:p>
    <w:p w14:paraId="2EB937AF" w14:textId="77777777" w:rsidR="00FC6913" w:rsidRPr="00DC1260" w:rsidRDefault="00FC6913" w:rsidP="004E120D">
      <w:pPr>
        <w:pStyle w:val="BulletLevel1"/>
        <w:rPr>
          <w:lang w:eastAsia="en-AU"/>
        </w:rPr>
      </w:pPr>
      <w:r w:rsidRPr="00DC1260">
        <w:rPr>
          <w:lang w:eastAsia="en-AU"/>
        </w:rPr>
        <w:t>a Family Member of the Participant</w:t>
      </w:r>
    </w:p>
    <w:p w14:paraId="5029BCE1" w14:textId="752C5857" w:rsidR="00DC1260" w:rsidRPr="00DC1260" w:rsidRDefault="00DC1260" w:rsidP="004E120D">
      <w:pPr>
        <w:pStyle w:val="BulletLevel1"/>
        <w:rPr>
          <w:lang w:eastAsia="en-AU"/>
        </w:rPr>
      </w:pPr>
      <w:r w:rsidRPr="1FF5C044">
        <w:rPr>
          <w:lang w:eastAsia="en-AU"/>
        </w:rPr>
        <w:t xml:space="preserve">a current or </w:t>
      </w:r>
      <w:hyperlink r:id="rId69" w:anchor="_Not_eligible_%E2%80%93_1" w:history="1">
        <w:r w:rsidRPr="1FF5C044">
          <w:rPr>
            <w:lang w:eastAsia="en-AU"/>
          </w:rPr>
          <w:t xml:space="preserve">prior </w:t>
        </w:r>
        <w:r w:rsidR="00E974EA" w:rsidRPr="4B09852D">
          <w:rPr>
            <w:lang w:eastAsia="en-AU"/>
          </w:rPr>
          <w:t>E</w:t>
        </w:r>
        <w:r w:rsidRPr="4B09852D">
          <w:rPr>
            <w:lang w:eastAsia="en-AU"/>
          </w:rPr>
          <w:t>mployer</w:t>
        </w:r>
      </w:hyperlink>
      <w:r w:rsidRPr="1FF5C044">
        <w:rPr>
          <w:lang w:eastAsia="en-AU"/>
        </w:rPr>
        <w:t xml:space="preserve"> or host business of the Participant (within the last 2 years)</w:t>
      </w:r>
    </w:p>
    <w:p w14:paraId="6B99CC1D" w14:textId="5AB5332C" w:rsidR="00DC1260" w:rsidRPr="00DC1260" w:rsidRDefault="00DC1260" w:rsidP="004E120D">
      <w:pPr>
        <w:pStyle w:val="BulletLevel1"/>
        <w:rPr>
          <w:lang w:eastAsia="en-AU"/>
        </w:rPr>
      </w:pPr>
      <w:r w:rsidRPr="00DC1260">
        <w:rPr>
          <w:lang w:eastAsia="en-AU"/>
        </w:rPr>
        <w:t>suspended or excluded from receiving Wage Subsidies</w:t>
      </w:r>
    </w:p>
    <w:p w14:paraId="4A034A67" w14:textId="15A29294" w:rsidR="00907EDF" w:rsidRDefault="00907EDF" w:rsidP="004E120D">
      <w:pPr>
        <w:pStyle w:val="BulletLevel1"/>
        <w:rPr>
          <w:lang w:eastAsia="en-AU"/>
        </w:rPr>
      </w:pPr>
      <w:r w:rsidRPr="32CF2200">
        <w:rPr>
          <w:lang w:eastAsia="en-AU"/>
        </w:rPr>
        <w:t>of a type of character that would bring the Commonwealth Government into disrepute</w:t>
      </w:r>
      <w:r w:rsidR="00971516" w:rsidRPr="32CF2200">
        <w:rPr>
          <w:lang w:eastAsia="en-AU"/>
        </w:rPr>
        <w:t>, including any conflicts of interest</w:t>
      </w:r>
    </w:p>
    <w:p w14:paraId="17AFAE59" w14:textId="17BC2E9E" w:rsidR="6C04F6B9" w:rsidRDefault="002B6745" w:rsidP="6C04F6B9">
      <w:pPr>
        <w:pStyle w:val="BulletLevel1"/>
        <w:rPr>
          <w:lang w:eastAsia="en-AU"/>
        </w:rPr>
      </w:pPr>
      <w:r>
        <w:rPr>
          <w:lang w:eastAsia="en-AU"/>
        </w:rPr>
        <w:t>a</w:t>
      </w:r>
      <w:r w:rsidR="1A48ED04" w:rsidRPr="08AA3761">
        <w:rPr>
          <w:lang w:eastAsia="en-AU"/>
        </w:rPr>
        <w:t xml:space="preserve">n employer who has recently </w:t>
      </w:r>
      <w:r w:rsidR="20F3CFCC" w:rsidRPr="77B82373">
        <w:rPr>
          <w:lang w:eastAsia="en-AU"/>
        </w:rPr>
        <w:t xml:space="preserve">retrenched or reduced the number </w:t>
      </w:r>
      <w:r w:rsidR="20F3CFCC" w:rsidRPr="1E5F9731">
        <w:rPr>
          <w:lang w:eastAsia="en-AU"/>
        </w:rPr>
        <w:t>of workers (or be proposing to do so) w</w:t>
      </w:r>
      <w:r w:rsidR="008D19D2">
        <w:rPr>
          <w:lang w:eastAsia="en-AU"/>
        </w:rPr>
        <w:t>i</w:t>
      </w:r>
      <w:r w:rsidR="20F3CFCC" w:rsidRPr="1E5F9731">
        <w:rPr>
          <w:lang w:eastAsia="en-AU"/>
        </w:rPr>
        <w:t xml:space="preserve">thout providing </w:t>
      </w:r>
      <w:r w:rsidR="20F3CFCC" w:rsidRPr="3FBCB166">
        <w:rPr>
          <w:lang w:eastAsia="en-AU"/>
        </w:rPr>
        <w:t xml:space="preserve">satisfactory explanation to the </w:t>
      </w:r>
      <w:r w:rsidR="15171069" w:rsidRPr="12A2C4E1">
        <w:rPr>
          <w:lang w:eastAsia="en-AU"/>
        </w:rPr>
        <w:t>P</w:t>
      </w:r>
      <w:r w:rsidR="20F3CFCC" w:rsidRPr="12A2C4E1">
        <w:rPr>
          <w:lang w:eastAsia="en-AU"/>
        </w:rPr>
        <w:t>rovider</w:t>
      </w:r>
    </w:p>
    <w:p w14:paraId="0207D5F3" w14:textId="57C18FF7" w:rsidR="001C4F6B" w:rsidRDefault="00DC1260" w:rsidP="004E120D">
      <w:pPr>
        <w:pStyle w:val="BulletLevel1"/>
        <w:rPr>
          <w:lang w:eastAsia="en-AU"/>
        </w:rPr>
      </w:pPr>
      <w:r w:rsidRPr="00DC1260">
        <w:rPr>
          <w:lang w:eastAsia="en-AU"/>
        </w:rPr>
        <w:t xml:space="preserve">a labour hire company or </w:t>
      </w:r>
      <w:r w:rsidR="00D633F4">
        <w:rPr>
          <w:lang w:eastAsia="en-AU"/>
        </w:rPr>
        <w:t>g</w:t>
      </w:r>
      <w:r w:rsidRPr="00DC1260">
        <w:rPr>
          <w:lang w:eastAsia="en-AU"/>
        </w:rPr>
        <w:t xml:space="preserve">roup </w:t>
      </w:r>
      <w:r w:rsidR="00D633F4">
        <w:rPr>
          <w:lang w:eastAsia="en-AU"/>
        </w:rPr>
        <w:t>t</w:t>
      </w:r>
      <w:r w:rsidRPr="00DC1260">
        <w:rPr>
          <w:lang w:eastAsia="en-AU"/>
        </w:rPr>
        <w:t xml:space="preserve">raining </w:t>
      </w:r>
      <w:r w:rsidR="00D633F4">
        <w:rPr>
          <w:lang w:eastAsia="en-AU"/>
        </w:rPr>
        <w:t>o</w:t>
      </w:r>
      <w:r w:rsidRPr="00DC1260">
        <w:rPr>
          <w:lang w:eastAsia="en-AU"/>
        </w:rPr>
        <w:t xml:space="preserve">rganisation, except where the </w:t>
      </w:r>
      <w:r w:rsidR="00BA200A">
        <w:rPr>
          <w:lang w:eastAsia="en-AU"/>
        </w:rPr>
        <w:t xml:space="preserve">below </w:t>
      </w:r>
      <w:r w:rsidRPr="00DC1260">
        <w:rPr>
          <w:lang w:eastAsia="en-AU"/>
        </w:rPr>
        <w:t xml:space="preserve">requirements are met, </w:t>
      </w:r>
      <w:r w:rsidR="00907EDF">
        <w:rPr>
          <w:lang w:eastAsia="en-AU"/>
        </w:rPr>
        <w:t>or</w:t>
      </w:r>
    </w:p>
    <w:p w14:paraId="3BCFABD8" w14:textId="433E3402" w:rsidR="00DC1260" w:rsidRPr="00DC1260" w:rsidRDefault="00DC1260" w:rsidP="004E120D">
      <w:pPr>
        <w:pStyle w:val="BulletLevel1"/>
        <w:rPr>
          <w:lang w:eastAsia="en-AU"/>
        </w:rPr>
      </w:pPr>
      <w:r w:rsidRPr="00DC1260">
        <w:rPr>
          <w:lang w:eastAsia="en-AU"/>
        </w:rPr>
        <w:t>as otherwise advised by the Department.</w:t>
      </w:r>
    </w:p>
    <w:p w14:paraId="29004819" w14:textId="339A6450" w:rsidR="00DC1260" w:rsidRPr="009A5FC8" w:rsidRDefault="00DC1260" w:rsidP="007A5615">
      <w:r w:rsidRPr="00DC1260">
        <w:rPr>
          <w:lang w:eastAsia="en-AU"/>
        </w:rPr>
        <w:t xml:space="preserve">Providers can use the Australian Government’s website ABN Lookup </w:t>
      </w:r>
      <w:r w:rsidR="009E63CA">
        <w:rPr>
          <w:lang w:eastAsia="en-AU"/>
        </w:rPr>
        <w:t>—</w:t>
      </w:r>
      <w:r w:rsidR="00A84D07">
        <w:rPr>
          <w:lang w:eastAsia="en-AU"/>
        </w:rPr>
        <w:t xml:space="preserve"> see</w:t>
      </w:r>
      <w:r w:rsidR="009E63CA">
        <w:rPr>
          <w:lang w:eastAsia="en-AU"/>
        </w:rPr>
        <w:t xml:space="preserve"> </w:t>
      </w:r>
      <w:hyperlink r:id="rId70" w:tgtFrame="_blank" w:history="1">
        <w:r w:rsidRPr="009E63CA">
          <w:rPr>
            <w:color w:val="0070C0"/>
            <w:u w:val="single"/>
            <w:lang w:eastAsia="en-AU"/>
          </w:rPr>
          <w:t>abr.business.gov.au</w:t>
        </w:r>
      </w:hyperlink>
      <w:r w:rsidR="009E63CA">
        <w:t xml:space="preserve"> —</w:t>
      </w:r>
      <w:r w:rsidRPr="00DC1260">
        <w:rPr>
          <w:lang w:eastAsia="en-AU"/>
        </w:rPr>
        <w:t xml:space="preserve"> to </w:t>
      </w:r>
      <w:r w:rsidRPr="009A5FC8">
        <w:t xml:space="preserve">determine if an Employer is </w:t>
      </w:r>
      <w:r w:rsidR="00821888">
        <w:t>eligible</w:t>
      </w:r>
      <w:r w:rsidRPr="009A5FC8">
        <w:t xml:space="preserve"> and/or request proof from the Employer.</w:t>
      </w:r>
    </w:p>
    <w:p w14:paraId="5BA0DEC6" w14:textId="78146983" w:rsidR="220E3C94" w:rsidRDefault="220E3C94">
      <w:r>
        <w:t xml:space="preserve">Wage Subsidies are intended to support an initial period of ongoing </w:t>
      </w:r>
      <w:r w:rsidR="00821888">
        <w:t>E</w:t>
      </w:r>
      <w:r>
        <w:t xml:space="preserve">mployment. </w:t>
      </w:r>
      <w:r w:rsidR="005229C7">
        <w:t xml:space="preserve">Wage </w:t>
      </w:r>
      <w:r w:rsidR="007D7622">
        <w:t>S</w:t>
      </w:r>
      <w:r w:rsidR="005229C7">
        <w:t xml:space="preserve">ubsidies should not be used for a </w:t>
      </w:r>
      <w:r w:rsidR="00821888">
        <w:t>6</w:t>
      </w:r>
      <w:r w:rsidR="40A86397">
        <w:t>-</w:t>
      </w:r>
      <w:r w:rsidR="005229C7">
        <w:t xml:space="preserve">month </w:t>
      </w:r>
      <w:r w:rsidR="007D7622">
        <w:t>Job P</w:t>
      </w:r>
      <w:r w:rsidR="005229C7">
        <w:t xml:space="preserve">lacement where there is no likelihood of an ongoing </w:t>
      </w:r>
      <w:r w:rsidR="00821888">
        <w:t>E</w:t>
      </w:r>
      <w:r w:rsidR="005229C7">
        <w:t xml:space="preserve">mployment. </w:t>
      </w:r>
      <w:r>
        <w:t xml:space="preserve">Employers who have a pattern of terminating </w:t>
      </w:r>
      <w:r w:rsidR="00183486">
        <w:t xml:space="preserve">a </w:t>
      </w:r>
      <w:r>
        <w:t xml:space="preserve">Participant’s </w:t>
      </w:r>
      <w:r w:rsidR="007D7622">
        <w:t>E</w:t>
      </w:r>
      <w:r>
        <w:t xml:space="preserve">mployment when the Wage Subsidy ends should </w:t>
      </w:r>
      <w:r w:rsidR="00785AA6">
        <w:t>not be supported with further Wage Subsidies and</w:t>
      </w:r>
      <w:r>
        <w:t xml:space="preserve"> </w:t>
      </w:r>
      <w:r w:rsidR="005A2A86">
        <w:t xml:space="preserve">should </w:t>
      </w:r>
      <w:r>
        <w:t>be reported to the Department along with any supporting evidence.</w:t>
      </w:r>
    </w:p>
    <w:p w14:paraId="0ADABDA1" w14:textId="13AE5703" w:rsidR="00DC1260" w:rsidRPr="007A5615" w:rsidRDefault="00DC1260" w:rsidP="007A5615">
      <w:pPr>
        <w:pStyle w:val="Heading5"/>
      </w:pPr>
      <w:r w:rsidRPr="007A5615">
        <w:t xml:space="preserve">Labour </w:t>
      </w:r>
      <w:r w:rsidR="00D633F4">
        <w:t>h</w:t>
      </w:r>
      <w:r w:rsidRPr="007A5615">
        <w:t xml:space="preserve">ire </w:t>
      </w:r>
      <w:r w:rsidR="00D633F4">
        <w:t>c</w:t>
      </w:r>
      <w:r w:rsidRPr="007A5615">
        <w:t xml:space="preserve">ompanies and </w:t>
      </w:r>
      <w:r w:rsidR="00D633F4">
        <w:t>g</w:t>
      </w:r>
      <w:r w:rsidRPr="007A5615">
        <w:t xml:space="preserve">roup </w:t>
      </w:r>
      <w:r w:rsidR="00D633F4">
        <w:t>t</w:t>
      </w:r>
      <w:r w:rsidRPr="007A5615">
        <w:t xml:space="preserve">raining </w:t>
      </w:r>
      <w:r w:rsidR="00D633F4">
        <w:t>o</w:t>
      </w:r>
      <w:r w:rsidRPr="007A5615">
        <w:t>rganisations </w:t>
      </w:r>
    </w:p>
    <w:p w14:paraId="04A9751A" w14:textId="068ED752" w:rsidR="00DC1260" w:rsidRPr="009A5FC8" w:rsidRDefault="00DC1260" w:rsidP="009A5FC8">
      <w:r w:rsidRPr="009A5FC8">
        <w:t xml:space="preserve">A Wage Subsidy Employer can be a labour hire company or </w:t>
      </w:r>
      <w:r w:rsidR="00D633F4">
        <w:t>group training organisation</w:t>
      </w:r>
      <w:r w:rsidRPr="009A5FC8">
        <w:t xml:space="preserve"> if:</w:t>
      </w:r>
    </w:p>
    <w:p w14:paraId="73FE0EFB" w14:textId="02EC933B" w:rsidR="00DC1260" w:rsidRPr="00DC1260" w:rsidRDefault="00DC1260" w:rsidP="004E120D">
      <w:pPr>
        <w:pStyle w:val="BulletLevel1"/>
        <w:rPr>
          <w:lang w:eastAsia="en-AU"/>
        </w:rPr>
      </w:pPr>
      <w:r w:rsidRPr="00DC1260">
        <w:rPr>
          <w:lang w:eastAsia="en-AU"/>
        </w:rPr>
        <w:t xml:space="preserve">that company or organisation is </w:t>
      </w:r>
      <w:r w:rsidRPr="00DC1260">
        <w:rPr>
          <w:color w:val="000000"/>
          <w:lang w:eastAsia="en-AU"/>
        </w:rPr>
        <w:t>paying</w:t>
      </w:r>
      <w:r w:rsidRPr="00DC1260">
        <w:rPr>
          <w:lang w:eastAsia="en-AU"/>
        </w:rPr>
        <w:t xml:space="preserve"> the </w:t>
      </w:r>
      <w:r w:rsidR="00CE1F5D">
        <w:rPr>
          <w:lang w:eastAsia="en-AU"/>
        </w:rPr>
        <w:t xml:space="preserve">Wage Subsidy </w:t>
      </w:r>
      <w:r w:rsidRPr="00DC1260">
        <w:rPr>
          <w:lang w:eastAsia="en-AU"/>
        </w:rPr>
        <w:t>Participant’s wages, and</w:t>
      </w:r>
      <w:r w:rsidR="00400C6B">
        <w:rPr>
          <w:lang w:eastAsia="en-AU"/>
        </w:rPr>
        <w:t xml:space="preserve"> </w:t>
      </w:r>
    </w:p>
    <w:p w14:paraId="74919749" w14:textId="18F79923" w:rsidR="00DC1260" w:rsidRPr="00DC1260" w:rsidRDefault="000E1524" w:rsidP="004E120D">
      <w:pPr>
        <w:pStyle w:val="BulletLevel1"/>
        <w:rPr>
          <w:lang w:eastAsia="en-AU"/>
        </w:rPr>
      </w:pPr>
      <w:r>
        <w:rPr>
          <w:lang w:eastAsia="en-AU"/>
        </w:rPr>
        <w:t>Job P</w:t>
      </w:r>
      <w:r w:rsidR="00DC1260" w:rsidRPr="32CF2200">
        <w:rPr>
          <w:lang w:eastAsia="en-AU"/>
        </w:rPr>
        <w:t>lacement</w:t>
      </w:r>
      <w:r w:rsidR="00EC6EA5" w:rsidRPr="32CF2200">
        <w:rPr>
          <w:lang w:eastAsia="en-AU"/>
        </w:rPr>
        <w:t>(</w:t>
      </w:r>
      <w:r w:rsidR="00DC1260" w:rsidRPr="32CF2200">
        <w:rPr>
          <w:lang w:eastAsia="en-AU"/>
        </w:rPr>
        <w:t>s</w:t>
      </w:r>
      <w:r w:rsidR="00EC6EA5" w:rsidRPr="32CF2200">
        <w:rPr>
          <w:lang w:eastAsia="en-AU"/>
        </w:rPr>
        <w:t>)</w:t>
      </w:r>
      <w:r w:rsidR="00DC1260" w:rsidRPr="32CF2200">
        <w:rPr>
          <w:lang w:eastAsia="en-AU"/>
        </w:rPr>
        <w:t xml:space="preserve"> with host business</w:t>
      </w:r>
      <w:r w:rsidR="00EC6EA5" w:rsidRPr="32CF2200">
        <w:rPr>
          <w:lang w:eastAsia="en-AU"/>
        </w:rPr>
        <w:t>(es)</w:t>
      </w:r>
      <w:r w:rsidR="03C5127E" w:rsidRPr="32CF2200">
        <w:rPr>
          <w:lang w:eastAsia="en-AU"/>
        </w:rPr>
        <w:t xml:space="preserve"> </w:t>
      </w:r>
      <w:r w:rsidR="00DC1260" w:rsidRPr="32CF2200">
        <w:rPr>
          <w:lang w:eastAsia="en-AU"/>
        </w:rPr>
        <w:t xml:space="preserve">meet all eligibility criteria of the Wage Subsidy Placement and </w:t>
      </w:r>
      <w:r w:rsidR="003D686C" w:rsidRPr="32CF2200">
        <w:rPr>
          <w:lang w:eastAsia="en-AU"/>
        </w:rPr>
        <w:t>Wage Subsidy</w:t>
      </w:r>
      <w:r w:rsidR="00DC1260" w:rsidRPr="32CF2200">
        <w:rPr>
          <w:lang w:eastAsia="en-AU"/>
        </w:rPr>
        <w:t xml:space="preserve"> Employer.</w:t>
      </w:r>
      <w:r w:rsidR="00400C6B" w:rsidRPr="32CF2200">
        <w:rPr>
          <w:lang w:eastAsia="en-AU"/>
        </w:rPr>
        <w:t xml:space="preserve"> </w:t>
      </w:r>
    </w:p>
    <w:p w14:paraId="1065BF23" w14:textId="09A80742" w:rsidR="00DC1260" w:rsidRPr="005A1562" w:rsidRDefault="00DC1260" w:rsidP="007D7622">
      <w:r w:rsidRPr="005A1562">
        <w:t xml:space="preserve">If a labour hire company or a </w:t>
      </w:r>
      <w:r w:rsidR="00D633F4">
        <w:t>group training organisation</w:t>
      </w:r>
      <w:r w:rsidR="00D633F4" w:rsidRPr="009A5FC8">
        <w:t xml:space="preserve"> </w:t>
      </w:r>
      <w:r w:rsidRPr="005A1562">
        <w:t xml:space="preserve">is receiving a Wage Subsidy for an employee, they </w:t>
      </w:r>
      <w:r w:rsidR="00502DC8">
        <w:t xml:space="preserve">must </w:t>
      </w:r>
      <w:r w:rsidRPr="005A1562">
        <w:t>disclose</w:t>
      </w:r>
      <w:r w:rsidR="0081520D">
        <w:t>,</w:t>
      </w:r>
      <w:r w:rsidR="00144B2D">
        <w:t xml:space="preserve"> in writing</w:t>
      </w:r>
      <w:r w:rsidRPr="005A1562">
        <w:t>:</w:t>
      </w:r>
    </w:p>
    <w:p w14:paraId="2A625FAF" w14:textId="1EBEA812" w:rsidR="00DC1260" w:rsidRPr="00DC1260" w:rsidRDefault="1D0606F8" w:rsidP="004E120D">
      <w:pPr>
        <w:pStyle w:val="BulletLevel1"/>
        <w:rPr>
          <w:lang w:eastAsia="en-AU"/>
        </w:rPr>
      </w:pPr>
      <w:r w:rsidRPr="005E7EF2">
        <w:rPr>
          <w:u w:val="single"/>
          <w:lang w:eastAsia="en-AU"/>
        </w:rPr>
        <w:t>T</w:t>
      </w:r>
      <w:r w:rsidR="3BE261C3" w:rsidRPr="005E7EF2">
        <w:rPr>
          <w:u w:val="single"/>
          <w:lang w:eastAsia="en-AU"/>
        </w:rPr>
        <w:t>o the host business</w:t>
      </w:r>
      <w:r w:rsidR="008B31AB" w:rsidRPr="005E7EF2">
        <w:rPr>
          <w:u w:val="single"/>
          <w:lang w:eastAsia="en-AU"/>
        </w:rPr>
        <w:t>(</w:t>
      </w:r>
      <w:r w:rsidR="3BE261C3" w:rsidRPr="005E7EF2">
        <w:rPr>
          <w:u w:val="single"/>
          <w:lang w:eastAsia="en-AU"/>
        </w:rPr>
        <w:t>es</w:t>
      </w:r>
      <w:r w:rsidR="008B31AB" w:rsidRPr="005E7EF2">
        <w:rPr>
          <w:u w:val="single"/>
          <w:lang w:eastAsia="en-AU"/>
        </w:rPr>
        <w:t>)</w:t>
      </w:r>
      <w:r w:rsidR="3E9EE6D4" w:rsidRPr="6DAA3DE4">
        <w:rPr>
          <w:lang w:eastAsia="en-AU"/>
        </w:rPr>
        <w:t>:</w:t>
      </w:r>
      <w:r w:rsidR="3BE261C3" w:rsidRPr="6DAA3DE4">
        <w:rPr>
          <w:lang w:eastAsia="en-AU"/>
        </w:rPr>
        <w:t xml:space="preserve"> </w:t>
      </w:r>
      <w:r w:rsidR="005E7EF2">
        <w:rPr>
          <w:lang w:eastAsia="en-AU"/>
        </w:rPr>
        <w:t>T</w:t>
      </w:r>
      <w:r w:rsidR="3BE261C3" w:rsidRPr="6DAA3DE4">
        <w:rPr>
          <w:lang w:eastAsia="en-AU"/>
        </w:rPr>
        <w:t xml:space="preserve">hat they are receiving a Wage Subsidy for </w:t>
      </w:r>
      <w:r w:rsidR="00F24E42">
        <w:rPr>
          <w:lang w:eastAsia="en-AU"/>
        </w:rPr>
        <w:t>a Participant</w:t>
      </w:r>
      <w:r w:rsidR="3BE261C3" w:rsidRPr="6DAA3DE4">
        <w:rPr>
          <w:lang w:eastAsia="en-AU"/>
        </w:rPr>
        <w:t>, before or during the Wage Subsidy Placement</w:t>
      </w:r>
      <w:r w:rsidRPr="6DAA3DE4">
        <w:rPr>
          <w:lang w:eastAsia="en-AU"/>
        </w:rPr>
        <w:t>.</w:t>
      </w:r>
      <w:r w:rsidR="2311CCA5" w:rsidRPr="6DAA3DE4">
        <w:rPr>
          <w:lang w:eastAsia="en-AU"/>
        </w:rPr>
        <w:t xml:space="preserve"> </w:t>
      </w:r>
      <w:r w:rsidRPr="6DAA3DE4">
        <w:rPr>
          <w:lang w:eastAsia="en-AU"/>
        </w:rPr>
        <w:t>T</w:t>
      </w:r>
      <w:r w:rsidR="3BE261C3" w:rsidRPr="6DAA3DE4">
        <w:rPr>
          <w:lang w:eastAsia="en-AU"/>
        </w:rPr>
        <w:t xml:space="preserve">he Wage Subsidy Employer must give the Provider </w:t>
      </w:r>
      <w:r w:rsidR="00B85B1D">
        <w:rPr>
          <w:lang w:eastAsia="en-AU"/>
        </w:rPr>
        <w:t>e</w:t>
      </w:r>
      <w:r w:rsidR="3BE261C3" w:rsidRPr="6DAA3DE4">
        <w:rPr>
          <w:lang w:eastAsia="en-AU"/>
        </w:rPr>
        <w:t>vidence of the disclosure.</w:t>
      </w:r>
    </w:p>
    <w:p w14:paraId="1AFD785F" w14:textId="08710A03" w:rsidR="00DC1260" w:rsidRPr="00DC1260" w:rsidRDefault="1D0606F8" w:rsidP="004E120D">
      <w:pPr>
        <w:pStyle w:val="BulletLevel1"/>
        <w:rPr>
          <w:lang w:eastAsia="en-AU"/>
        </w:rPr>
      </w:pPr>
      <w:r w:rsidRPr="005E7EF2">
        <w:rPr>
          <w:u w:val="single"/>
          <w:lang w:eastAsia="en-AU"/>
        </w:rPr>
        <w:t>T</w:t>
      </w:r>
      <w:r w:rsidR="3BE261C3" w:rsidRPr="005E7EF2">
        <w:rPr>
          <w:u w:val="single"/>
          <w:lang w:eastAsia="en-AU"/>
        </w:rPr>
        <w:t>o the Provider</w:t>
      </w:r>
      <w:r w:rsidR="57FA5766" w:rsidRPr="6DAA3DE4">
        <w:rPr>
          <w:lang w:eastAsia="en-AU"/>
        </w:rPr>
        <w:t>:</w:t>
      </w:r>
      <w:r w:rsidR="3BE261C3" w:rsidRPr="6DAA3DE4">
        <w:rPr>
          <w:lang w:eastAsia="en-AU"/>
        </w:rPr>
        <w:t xml:space="preserve"> </w:t>
      </w:r>
      <w:r w:rsidR="005E7EF2">
        <w:rPr>
          <w:lang w:eastAsia="en-AU"/>
        </w:rPr>
        <w:t>T</w:t>
      </w:r>
      <w:r w:rsidR="3BE261C3" w:rsidRPr="6DAA3DE4">
        <w:rPr>
          <w:lang w:eastAsia="en-AU"/>
        </w:rPr>
        <w:t>he ABN of the host business</w:t>
      </w:r>
      <w:r w:rsidR="007E79E1">
        <w:rPr>
          <w:lang w:eastAsia="en-AU"/>
        </w:rPr>
        <w:t>(</w:t>
      </w:r>
      <w:r w:rsidR="3BE261C3" w:rsidRPr="6DAA3DE4">
        <w:rPr>
          <w:lang w:eastAsia="en-AU"/>
        </w:rPr>
        <w:t>es</w:t>
      </w:r>
      <w:r w:rsidR="007E79E1">
        <w:rPr>
          <w:lang w:eastAsia="en-AU"/>
        </w:rPr>
        <w:t>)</w:t>
      </w:r>
      <w:r w:rsidR="3BE261C3" w:rsidRPr="6DAA3DE4">
        <w:rPr>
          <w:lang w:eastAsia="en-AU"/>
        </w:rPr>
        <w:t xml:space="preserve"> the Wage Subsidy Participant was placed with for the duration of the Wage Subsidy Agreement</w:t>
      </w:r>
      <w:r w:rsidR="2C6ADE42" w:rsidRPr="6DAA3DE4">
        <w:rPr>
          <w:lang w:eastAsia="en-AU"/>
        </w:rPr>
        <w:t>.</w:t>
      </w:r>
      <w:r w:rsidR="00BA39BA" w:rsidRPr="6DAA3DE4" w:rsidDel="1D0606F8">
        <w:rPr>
          <w:lang w:eastAsia="en-AU"/>
        </w:rPr>
        <w:t xml:space="preserve"> </w:t>
      </w:r>
      <w:r w:rsidR="00C74D70" w:rsidRPr="6DAA3DE4">
        <w:rPr>
          <w:lang w:eastAsia="en-AU"/>
        </w:rPr>
        <w:t>The</w:t>
      </w:r>
      <w:r w:rsidR="3BE261C3" w:rsidRPr="6DAA3DE4">
        <w:rPr>
          <w:lang w:eastAsia="en-AU"/>
        </w:rPr>
        <w:t xml:space="preserve"> Wage Subsidy Employer must supply these details before they can claim any Wage Subsidy </w:t>
      </w:r>
      <w:r w:rsidR="00CD3CBF">
        <w:rPr>
          <w:lang w:eastAsia="en-AU"/>
        </w:rPr>
        <w:t>P</w:t>
      </w:r>
      <w:r w:rsidR="3BE261C3" w:rsidRPr="6DAA3DE4">
        <w:rPr>
          <w:lang w:eastAsia="en-AU"/>
        </w:rPr>
        <w:t>ayments. </w:t>
      </w:r>
    </w:p>
    <w:p w14:paraId="30AC3061" w14:textId="77777777" w:rsidR="000928CB" w:rsidRDefault="005D2713" w:rsidP="00502DC8">
      <w:pPr>
        <w:rPr>
          <w:lang w:eastAsia="en-AU"/>
        </w:rPr>
      </w:pPr>
      <w:r w:rsidRPr="005E7EF2">
        <w:rPr>
          <w:b/>
          <w:bCs/>
          <w:lang w:eastAsia="en-AU"/>
        </w:rPr>
        <w:t xml:space="preserve">Note: </w:t>
      </w:r>
      <w:r w:rsidR="3BE261C3" w:rsidRPr="32CF2200">
        <w:rPr>
          <w:lang w:eastAsia="en-AU"/>
        </w:rPr>
        <w:t xml:space="preserve">Host businesses who subsequently </w:t>
      </w:r>
      <w:r w:rsidR="005E7EF2">
        <w:rPr>
          <w:lang w:eastAsia="en-AU"/>
        </w:rPr>
        <w:t>hire</w:t>
      </w:r>
      <w:r w:rsidR="3BE261C3" w:rsidRPr="32CF2200">
        <w:rPr>
          <w:lang w:eastAsia="en-AU"/>
        </w:rPr>
        <w:t xml:space="preserve"> a Wage Subsidy Participant on an ongoing basis are not eligible to receive a Wage Subsidy </w:t>
      </w:r>
      <w:r w:rsidR="001F28C8" w:rsidRPr="32CF2200">
        <w:rPr>
          <w:lang w:eastAsia="en-AU"/>
        </w:rPr>
        <w:t>if</w:t>
      </w:r>
      <w:r w:rsidR="3BE261C3" w:rsidRPr="32CF2200">
        <w:rPr>
          <w:lang w:eastAsia="en-AU"/>
        </w:rPr>
        <w:t xml:space="preserve"> that Participant</w:t>
      </w:r>
      <w:r w:rsidR="0084105F" w:rsidRPr="32CF2200">
        <w:rPr>
          <w:lang w:eastAsia="en-AU"/>
        </w:rPr>
        <w:t xml:space="preserve"> </w:t>
      </w:r>
      <w:r w:rsidR="007A6979" w:rsidRPr="32CF2200">
        <w:rPr>
          <w:lang w:eastAsia="en-AU"/>
        </w:rPr>
        <w:t xml:space="preserve">was previously </w:t>
      </w:r>
      <w:r w:rsidR="3BE261C3" w:rsidRPr="32CF2200">
        <w:rPr>
          <w:lang w:eastAsia="en-AU"/>
        </w:rPr>
        <w:t xml:space="preserve">hosted </w:t>
      </w:r>
      <w:r w:rsidR="00F33583" w:rsidRPr="32CF2200">
        <w:rPr>
          <w:lang w:eastAsia="en-AU"/>
        </w:rPr>
        <w:t>by them</w:t>
      </w:r>
      <w:r w:rsidR="3BE261C3" w:rsidRPr="32CF2200">
        <w:rPr>
          <w:lang w:eastAsia="en-AU"/>
        </w:rPr>
        <w:t xml:space="preserve"> within the </w:t>
      </w:r>
      <w:r w:rsidR="008727D0" w:rsidRPr="32CF2200">
        <w:rPr>
          <w:lang w:eastAsia="en-AU"/>
        </w:rPr>
        <w:t>last</w:t>
      </w:r>
      <w:r w:rsidR="4EE902FE" w:rsidRPr="32CF2200">
        <w:rPr>
          <w:lang w:eastAsia="en-AU"/>
        </w:rPr>
        <w:t xml:space="preserve"> </w:t>
      </w:r>
      <w:r w:rsidR="3BE261C3" w:rsidRPr="32CF2200">
        <w:rPr>
          <w:lang w:eastAsia="en-AU"/>
        </w:rPr>
        <w:t>2 years</w:t>
      </w:r>
      <w:r w:rsidR="64AD42AD" w:rsidRPr="7AC76870">
        <w:rPr>
          <w:lang w:eastAsia="en-AU"/>
        </w:rPr>
        <w:t xml:space="preserve"> </w:t>
      </w:r>
      <w:r w:rsidR="64AD42AD" w:rsidRPr="65B3DAF2">
        <w:rPr>
          <w:lang w:eastAsia="en-AU"/>
        </w:rPr>
        <w:t xml:space="preserve">and the Wage Subsidy Participant’s </w:t>
      </w:r>
      <w:r w:rsidR="64AD42AD" w:rsidRPr="4A325C99">
        <w:rPr>
          <w:lang w:eastAsia="en-AU"/>
        </w:rPr>
        <w:t xml:space="preserve">Employment </w:t>
      </w:r>
      <w:r w:rsidR="64AD42AD" w:rsidRPr="5ECE3027">
        <w:rPr>
          <w:lang w:eastAsia="en-AU"/>
        </w:rPr>
        <w:t xml:space="preserve">lasted less than </w:t>
      </w:r>
      <w:r w:rsidR="193D8CBD" w:rsidRPr="02174A52">
        <w:rPr>
          <w:lang w:eastAsia="en-AU"/>
        </w:rPr>
        <w:t>6 months (26 weeks)</w:t>
      </w:r>
      <w:r w:rsidR="3BE261C3" w:rsidRPr="02174A52">
        <w:rPr>
          <w:lang w:eastAsia="en-AU"/>
        </w:rPr>
        <w:t>.</w:t>
      </w:r>
      <w:r w:rsidR="3BE261C3" w:rsidRPr="32CF2200">
        <w:rPr>
          <w:lang w:eastAsia="en-AU"/>
        </w:rPr>
        <w:t xml:space="preserve"> </w:t>
      </w:r>
    </w:p>
    <w:p w14:paraId="6EDC70F4" w14:textId="77777777" w:rsidR="000928CB" w:rsidRDefault="000928CB" w:rsidP="00502DC8">
      <w:pPr>
        <w:rPr>
          <w:lang w:eastAsia="en-AU"/>
        </w:rPr>
      </w:pPr>
      <w:r>
        <w:rPr>
          <w:lang w:eastAsia="en-AU"/>
        </w:rPr>
        <w:t>A</w:t>
      </w:r>
      <w:r w:rsidR="3BE261C3" w:rsidRPr="32CF2200">
        <w:rPr>
          <w:lang w:eastAsia="en-AU"/>
        </w:rPr>
        <w:t xml:space="preserve"> labour hire company is not eligible for a Wage Subsidy </w:t>
      </w:r>
      <w:r w:rsidR="3A146C47" w:rsidRPr="32CF2200">
        <w:rPr>
          <w:lang w:eastAsia="en-AU"/>
        </w:rPr>
        <w:t>for</w:t>
      </w:r>
      <w:r>
        <w:rPr>
          <w:lang w:eastAsia="en-AU"/>
        </w:rPr>
        <w:t>:</w:t>
      </w:r>
    </w:p>
    <w:p w14:paraId="57439A7F" w14:textId="77777777" w:rsidR="00113875" w:rsidRPr="00113875" w:rsidRDefault="3BE261C3" w:rsidP="00076477">
      <w:pPr>
        <w:pStyle w:val="BulletLevel1"/>
      </w:pPr>
      <w:r w:rsidRPr="00113875">
        <w:rPr>
          <w:lang w:eastAsia="en-AU"/>
        </w:rPr>
        <w:t>plac</w:t>
      </w:r>
      <w:r w:rsidR="0E8C0BE5" w:rsidRPr="00113875">
        <w:rPr>
          <w:lang w:eastAsia="en-AU"/>
        </w:rPr>
        <w:t>ing</w:t>
      </w:r>
      <w:r w:rsidRPr="00113875">
        <w:rPr>
          <w:lang w:eastAsia="en-AU"/>
        </w:rPr>
        <w:t xml:space="preserve"> a Participant with </w:t>
      </w:r>
      <w:r w:rsidR="00476524" w:rsidRPr="00113875">
        <w:rPr>
          <w:lang w:eastAsia="en-AU"/>
        </w:rPr>
        <w:t xml:space="preserve">the same </w:t>
      </w:r>
      <w:r w:rsidRPr="00113875">
        <w:rPr>
          <w:lang w:eastAsia="en-AU"/>
        </w:rPr>
        <w:t xml:space="preserve">host business </w:t>
      </w:r>
      <w:r w:rsidR="006F1239" w:rsidRPr="00113875">
        <w:rPr>
          <w:lang w:eastAsia="en-AU"/>
        </w:rPr>
        <w:t>that they were Employed with</w:t>
      </w:r>
      <w:r w:rsidRPr="00113875">
        <w:rPr>
          <w:lang w:eastAsia="en-AU"/>
        </w:rPr>
        <w:t xml:space="preserve"> </w:t>
      </w:r>
      <w:r w:rsidR="006F1239" w:rsidRPr="00113875">
        <w:rPr>
          <w:lang w:eastAsia="en-AU"/>
        </w:rPr>
        <w:t xml:space="preserve">over </w:t>
      </w:r>
      <w:r w:rsidRPr="00113875">
        <w:rPr>
          <w:lang w:eastAsia="en-AU"/>
        </w:rPr>
        <w:t>the past 2</w:t>
      </w:r>
      <w:r w:rsidR="00D507A2" w:rsidRPr="00113875">
        <w:rPr>
          <w:lang w:eastAsia="en-AU"/>
        </w:rPr>
        <w:t> </w:t>
      </w:r>
      <w:r w:rsidRPr="00113875">
        <w:rPr>
          <w:lang w:eastAsia="en-AU"/>
        </w:rPr>
        <w:t>years</w:t>
      </w:r>
      <w:r w:rsidR="7C7F26E7" w:rsidRPr="00113875">
        <w:rPr>
          <w:lang w:eastAsia="en-AU"/>
        </w:rPr>
        <w:t>,</w:t>
      </w:r>
      <w:r w:rsidR="00113875" w:rsidRPr="00113875">
        <w:rPr>
          <w:lang w:eastAsia="en-AU"/>
        </w:rPr>
        <w:t xml:space="preserve"> </w:t>
      </w:r>
      <w:r w:rsidR="51F767F7" w:rsidRPr="00113875">
        <w:rPr>
          <w:lang w:eastAsia="en-AU"/>
        </w:rPr>
        <w:t>if</w:t>
      </w:r>
      <w:r w:rsidRPr="00113875">
        <w:rPr>
          <w:lang w:eastAsia="en-AU"/>
        </w:rPr>
        <w:t xml:space="preserve"> </w:t>
      </w:r>
      <w:r w:rsidR="29EA2C7E" w:rsidRPr="00113875">
        <w:rPr>
          <w:lang w:eastAsia="en-AU"/>
        </w:rPr>
        <w:t>the Wage Subsidy Participant’s Employment lasted less than 6 months (26 weeks)</w:t>
      </w:r>
      <w:r w:rsidR="63B24AF3" w:rsidRPr="00113875">
        <w:rPr>
          <w:lang w:eastAsia="en-AU"/>
        </w:rPr>
        <w:t>,</w:t>
      </w:r>
      <w:r w:rsidR="29EA2C7E" w:rsidRPr="00113875">
        <w:rPr>
          <w:lang w:eastAsia="en-AU"/>
        </w:rPr>
        <w:t xml:space="preserve"> </w:t>
      </w:r>
      <w:r w:rsidRPr="00113875">
        <w:rPr>
          <w:lang w:eastAsia="en-AU"/>
        </w:rPr>
        <w:t>or</w:t>
      </w:r>
    </w:p>
    <w:p w14:paraId="08FF860B" w14:textId="0314FF87" w:rsidR="00DC1260" w:rsidRPr="00113875" w:rsidRDefault="00113875" w:rsidP="00076477">
      <w:pPr>
        <w:pStyle w:val="BulletLevel1"/>
      </w:pPr>
      <w:r w:rsidRPr="00113875">
        <w:rPr>
          <w:lang w:eastAsia="en-AU"/>
        </w:rPr>
        <w:t>placing a Participant with a host business</w:t>
      </w:r>
      <w:r w:rsidR="3BE261C3" w:rsidRPr="00113875">
        <w:rPr>
          <w:lang w:eastAsia="en-AU"/>
        </w:rPr>
        <w:t xml:space="preserve"> </w:t>
      </w:r>
      <w:r w:rsidR="5F17F4EA" w:rsidRPr="00113875">
        <w:rPr>
          <w:lang w:eastAsia="en-AU"/>
        </w:rPr>
        <w:t xml:space="preserve">who </w:t>
      </w:r>
      <w:r w:rsidR="3BE261C3" w:rsidRPr="00113875">
        <w:rPr>
          <w:lang w:eastAsia="en-AU"/>
        </w:rPr>
        <w:t xml:space="preserve">does not meet </w:t>
      </w:r>
      <w:r w:rsidRPr="00113875">
        <w:rPr>
          <w:lang w:eastAsia="en-AU"/>
        </w:rPr>
        <w:t>the general Wage Subsidy</w:t>
      </w:r>
      <w:r w:rsidR="3BE261C3" w:rsidRPr="00113875">
        <w:rPr>
          <w:lang w:eastAsia="en-AU"/>
        </w:rPr>
        <w:t xml:space="preserve"> Employer </w:t>
      </w:r>
      <w:r w:rsidR="09280E18" w:rsidRPr="00113875">
        <w:rPr>
          <w:lang w:eastAsia="en-AU"/>
        </w:rPr>
        <w:t>e</w:t>
      </w:r>
      <w:r w:rsidR="3BE261C3" w:rsidRPr="00113875">
        <w:rPr>
          <w:lang w:eastAsia="en-AU"/>
        </w:rPr>
        <w:t>ligibility requirements</w:t>
      </w:r>
      <w:r w:rsidR="3BE261C3" w:rsidRPr="00113875">
        <w:t>.</w:t>
      </w:r>
    </w:p>
    <w:p w14:paraId="4DC609F2" w14:textId="6C0FE3D1" w:rsidR="00DC1260" w:rsidRPr="00241375" w:rsidRDefault="00DC1260" w:rsidP="00241375">
      <w:pPr>
        <w:pStyle w:val="Heading5"/>
      </w:pPr>
      <w:r w:rsidRPr="00241375">
        <w:t xml:space="preserve">Prior Employment </w:t>
      </w:r>
      <w:r w:rsidR="005D1D31">
        <w:t>and Work Trials</w:t>
      </w:r>
    </w:p>
    <w:p w14:paraId="550EC4CE" w14:textId="17205C71" w:rsidR="00BA34A8" w:rsidRDefault="00C81520" w:rsidP="00180B28">
      <w:pPr>
        <w:rPr>
          <w:lang w:eastAsia="en-AU"/>
        </w:rPr>
      </w:pPr>
      <w:r w:rsidRPr="32CF2200">
        <w:rPr>
          <w:lang w:eastAsia="en-AU"/>
        </w:rPr>
        <w:t xml:space="preserve">An Employer will not be eligible to receive </w:t>
      </w:r>
      <w:r w:rsidR="00B12FB0" w:rsidRPr="32CF2200">
        <w:rPr>
          <w:lang w:eastAsia="en-AU"/>
        </w:rPr>
        <w:t xml:space="preserve">the </w:t>
      </w:r>
      <w:r w:rsidR="00353F8E">
        <w:rPr>
          <w:lang w:eastAsia="en-AU"/>
        </w:rPr>
        <w:t>Inclusive Employment Australia</w:t>
      </w:r>
      <w:r w:rsidRPr="32CF2200">
        <w:rPr>
          <w:lang w:eastAsia="en-AU"/>
        </w:rPr>
        <w:t xml:space="preserve"> Wage Subsidy where, prior to the Job Placement Start Date, the Participant has been employed by the Employer (including placements with host businesses via a labour hire company</w:t>
      </w:r>
      <w:r w:rsidR="00441CCA">
        <w:rPr>
          <w:lang w:eastAsia="en-AU"/>
        </w:rPr>
        <w:t xml:space="preserve"> or group training organisation</w:t>
      </w:r>
      <w:r w:rsidRPr="32CF2200">
        <w:rPr>
          <w:lang w:eastAsia="en-AU"/>
        </w:rPr>
        <w:t>), or any other entities associated with the Employer, within the p</w:t>
      </w:r>
      <w:r w:rsidR="53B337A2" w:rsidRPr="32CF2200">
        <w:rPr>
          <w:lang w:eastAsia="en-AU"/>
        </w:rPr>
        <w:t>ast</w:t>
      </w:r>
      <w:r w:rsidRPr="32CF2200">
        <w:rPr>
          <w:lang w:eastAsia="en-AU"/>
        </w:rPr>
        <w:t xml:space="preserve"> 2 years. </w:t>
      </w:r>
      <w:r w:rsidR="00697474" w:rsidRPr="32CF2200">
        <w:rPr>
          <w:lang w:eastAsia="en-AU"/>
        </w:rPr>
        <w:t>P</w:t>
      </w:r>
      <w:r w:rsidR="1E04A40A" w:rsidRPr="32CF2200">
        <w:rPr>
          <w:lang w:eastAsia="en-AU"/>
        </w:rPr>
        <w:t>revious</w:t>
      </w:r>
      <w:r w:rsidR="0029B9E2" w:rsidRPr="32CF2200">
        <w:rPr>
          <w:lang w:eastAsia="en-AU"/>
        </w:rPr>
        <w:t xml:space="preserve"> </w:t>
      </w:r>
      <w:r w:rsidR="1E04A40A" w:rsidRPr="32CF2200">
        <w:rPr>
          <w:lang w:eastAsia="en-AU"/>
        </w:rPr>
        <w:t>paid</w:t>
      </w:r>
      <w:r w:rsidR="047DB4A9" w:rsidRPr="32CF2200">
        <w:rPr>
          <w:lang w:eastAsia="en-AU"/>
        </w:rPr>
        <w:t xml:space="preserve"> Work Trials and p</w:t>
      </w:r>
      <w:r w:rsidR="362EFA22" w:rsidRPr="32CF2200">
        <w:rPr>
          <w:lang w:eastAsia="en-AU"/>
        </w:rPr>
        <w:t xml:space="preserve">eriods of </w:t>
      </w:r>
      <w:r w:rsidR="0029B9E2" w:rsidRPr="32CF2200">
        <w:rPr>
          <w:lang w:eastAsia="en-AU"/>
        </w:rPr>
        <w:t>unpaid</w:t>
      </w:r>
      <w:r w:rsidR="362EFA22" w:rsidRPr="32CF2200">
        <w:rPr>
          <w:lang w:eastAsia="en-AU"/>
        </w:rPr>
        <w:t xml:space="preserve"> </w:t>
      </w:r>
      <w:r w:rsidR="78F38F1A" w:rsidRPr="32CF2200">
        <w:rPr>
          <w:lang w:eastAsia="en-AU"/>
        </w:rPr>
        <w:t>work</w:t>
      </w:r>
      <w:r w:rsidR="5721E904" w:rsidRPr="32CF2200">
        <w:rPr>
          <w:lang w:eastAsia="en-AU"/>
        </w:rPr>
        <w:t xml:space="preserve"> </w:t>
      </w:r>
      <w:r w:rsidR="2F3AC354" w:rsidRPr="32CF2200">
        <w:rPr>
          <w:lang w:eastAsia="en-AU"/>
        </w:rPr>
        <w:t>(</w:t>
      </w:r>
      <w:r w:rsidR="2555A055" w:rsidRPr="32CF2200">
        <w:rPr>
          <w:lang w:eastAsia="en-AU"/>
        </w:rPr>
        <w:t xml:space="preserve">e.g. </w:t>
      </w:r>
      <w:r w:rsidR="362EFA22" w:rsidRPr="32CF2200">
        <w:rPr>
          <w:lang w:eastAsia="en-AU"/>
        </w:rPr>
        <w:t>unpaid</w:t>
      </w:r>
      <w:r w:rsidR="3E61FF44" w:rsidRPr="32CF2200">
        <w:rPr>
          <w:lang w:eastAsia="en-AU"/>
        </w:rPr>
        <w:t xml:space="preserve"> </w:t>
      </w:r>
      <w:r w:rsidR="00E3030E" w:rsidRPr="32CF2200">
        <w:rPr>
          <w:lang w:eastAsia="en-AU"/>
        </w:rPr>
        <w:t>W</w:t>
      </w:r>
      <w:r w:rsidR="3E61FF44" w:rsidRPr="32CF2200">
        <w:rPr>
          <w:lang w:eastAsia="en-AU"/>
        </w:rPr>
        <w:t>ork</w:t>
      </w:r>
      <w:r w:rsidR="362EFA22" w:rsidRPr="32CF2200">
        <w:rPr>
          <w:lang w:eastAsia="en-AU"/>
        </w:rPr>
        <w:t xml:space="preserve"> </w:t>
      </w:r>
      <w:r w:rsidR="00E3030E" w:rsidRPr="32CF2200">
        <w:rPr>
          <w:lang w:eastAsia="en-AU"/>
        </w:rPr>
        <w:t>T</w:t>
      </w:r>
      <w:r w:rsidR="362EFA22" w:rsidRPr="32CF2200">
        <w:rPr>
          <w:lang w:eastAsia="en-AU"/>
        </w:rPr>
        <w:t xml:space="preserve">rials or </w:t>
      </w:r>
      <w:r w:rsidR="00E3030E" w:rsidRPr="32CF2200">
        <w:rPr>
          <w:lang w:eastAsia="en-AU"/>
        </w:rPr>
        <w:t>V</w:t>
      </w:r>
      <w:r w:rsidR="362EFA22" w:rsidRPr="32CF2200">
        <w:rPr>
          <w:lang w:eastAsia="en-AU"/>
        </w:rPr>
        <w:t xml:space="preserve">oluntary </w:t>
      </w:r>
      <w:r w:rsidR="00E3030E" w:rsidRPr="32CF2200">
        <w:rPr>
          <w:lang w:eastAsia="en-AU"/>
        </w:rPr>
        <w:t>W</w:t>
      </w:r>
      <w:r w:rsidR="362EFA22" w:rsidRPr="32CF2200">
        <w:rPr>
          <w:lang w:eastAsia="en-AU"/>
        </w:rPr>
        <w:t>ork</w:t>
      </w:r>
      <w:r w:rsidR="29A57F12" w:rsidRPr="32CF2200">
        <w:rPr>
          <w:lang w:eastAsia="en-AU"/>
        </w:rPr>
        <w:t>)</w:t>
      </w:r>
      <w:r w:rsidR="362EFA22" w:rsidRPr="32CF2200">
        <w:rPr>
          <w:lang w:eastAsia="en-AU"/>
        </w:rPr>
        <w:t xml:space="preserve"> </w:t>
      </w:r>
      <w:r w:rsidR="3E61FF44" w:rsidRPr="32CF2200">
        <w:rPr>
          <w:lang w:eastAsia="en-AU"/>
        </w:rPr>
        <w:t>are not considered prior Employment</w:t>
      </w:r>
      <w:r w:rsidR="620A1021" w:rsidRPr="32CF2200">
        <w:rPr>
          <w:lang w:eastAsia="en-AU"/>
        </w:rPr>
        <w:t xml:space="preserve"> for the purposes of </w:t>
      </w:r>
      <w:r w:rsidR="00195278" w:rsidRPr="32CF2200">
        <w:rPr>
          <w:lang w:eastAsia="en-AU"/>
        </w:rPr>
        <w:t>the</w:t>
      </w:r>
      <w:r w:rsidR="620A1021" w:rsidRPr="32CF2200">
        <w:rPr>
          <w:lang w:eastAsia="en-AU"/>
        </w:rPr>
        <w:t xml:space="preserve"> </w:t>
      </w:r>
      <w:r w:rsidR="00353F8E">
        <w:rPr>
          <w:lang w:eastAsia="en-AU"/>
        </w:rPr>
        <w:t>Inclusive Employment Australia</w:t>
      </w:r>
      <w:r w:rsidR="620A1021" w:rsidRPr="32CF2200">
        <w:rPr>
          <w:lang w:eastAsia="en-AU"/>
        </w:rPr>
        <w:t xml:space="preserve"> Wage Subsidy</w:t>
      </w:r>
      <w:r w:rsidR="3907613C" w:rsidRPr="32CF2200">
        <w:rPr>
          <w:lang w:eastAsia="en-AU"/>
        </w:rPr>
        <w:t>.</w:t>
      </w:r>
      <w:r w:rsidR="3E61FF44" w:rsidRPr="32CF2200">
        <w:rPr>
          <w:lang w:eastAsia="en-AU"/>
        </w:rPr>
        <w:t xml:space="preserve"> </w:t>
      </w:r>
    </w:p>
    <w:p w14:paraId="7D300A57" w14:textId="60FDE9C4" w:rsidR="1C27D575" w:rsidRDefault="00D13147" w:rsidP="5A8022AE">
      <w:pPr>
        <w:pStyle w:val="SystemStep"/>
        <w:rPr>
          <w:lang w:eastAsia="en-AU"/>
        </w:rPr>
      </w:pPr>
      <w:r w:rsidRPr="5A8022AE">
        <w:rPr>
          <w:lang w:eastAsia="en-AU"/>
        </w:rPr>
        <w:t xml:space="preserve">A Wage Subsidy Agreement cannot be created from a </w:t>
      </w:r>
      <w:r w:rsidR="0034359C">
        <w:rPr>
          <w:lang w:eastAsia="en-AU"/>
        </w:rPr>
        <w:t>p</w:t>
      </w:r>
      <w:r w:rsidRPr="5A8022AE">
        <w:rPr>
          <w:lang w:eastAsia="en-AU"/>
        </w:rPr>
        <w:t>aid Work Trial Vacancy type in the Department’s IT System</w:t>
      </w:r>
      <w:r w:rsidR="068423FF" w:rsidRPr="5A8022AE">
        <w:rPr>
          <w:lang w:eastAsia="en-AU"/>
        </w:rPr>
        <w:t>s</w:t>
      </w:r>
      <w:r w:rsidRPr="5A8022AE">
        <w:rPr>
          <w:lang w:eastAsia="en-AU"/>
        </w:rPr>
        <w:t>. A new Vacancy will be required where ongoing Employment with a</w:t>
      </w:r>
      <w:r w:rsidR="00032E8F" w:rsidRPr="5A8022AE">
        <w:rPr>
          <w:lang w:eastAsia="en-AU"/>
        </w:rPr>
        <w:t>n</w:t>
      </w:r>
      <w:r w:rsidRPr="5A8022AE">
        <w:rPr>
          <w:lang w:eastAsia="en-AU"/>
        </w:rPr>
        <w:t xml:space="preserve"> </w:t>
      </w:r>
      <w:r w:rsidR="00353F8E">
        <w:rPr>
          <w:lang w:eastAsia="en-AU"/>
        </w:rPr>
        <w:t>Inclusive Employment Australia</w:t>
      </w:r>
      <w:r w:rsidRPr="5A8022AE">
        <w:rPr>
          <w:lang w:eastAsia="en-AU"/>
        </w:rPr>
        <w:t xml:space="preserve"> Wage Subsidy has been negotiated. </w:t>
      </w:r>
    </w:p>
    <w:p w14:paraId="412F6645" w14:textId="5F7519AF" w:rsidR="00DC1260" w:rsidRPr="000D2208" w:rsidRDefault="00DC1260" w:rsidP="000D2208">
      <w:pPr>
        <w:pStyle w:val="Heading4"/>
      </w:pPr>
      <w:bookmarkStart w:id="355" w:name="_Toc202900027"/>
      <w:r w:rsidRPr="000D2208">
        <w:t>8.</w:t>
      </w:r>
      <w:r w:rsidR="009159FD">
        <w:t>3</w:t>
      </w:r>
      <w:r w:rsidRPr="000D2208">
        <w:t>.3</w:t>
      </w:r>
      <w:r w:rsidR="000D2208">
        <w:tab/>
      </w:r>
      <w:r w:rsidRPr="000D2208">
        <w:t>Placement Eligibility</w:t>
      </w:r>
      <w:bookmarkEnd w:id="355"/>
    </w:p>
    <w:p w14:paraId="09FC3EAF" w14:textId="21A56423" w:rsidR="00EA29CF" w:rsidRDefault="00DC1260" w:rsidP="007A5615">
      <w:r w:rsidRPr="00DC1260">
        <w:rPr>
          <w:lang w:eastAsia="en-AU"/>
        </w:rPr>
        <w:t xml:space="preserve">A Wage Subsidy Placement is an Employment position with an eligible Employer that meets all </w:t>
      </w:r>
      <w:r w:rsidR="00DD369E">
        <w:rPr>
          <w:lang w:eastAsia="en-AU"/>
        </w:rPr>
        <w:t xml:space="preserve">Wage Subsidy </w:t>
      </w:r>
      <w:r w:rsidRPr="000D2208">
        <w:t xml:space="preserve">eligibility requirements. </w:t>
      </w:r>
    </w:p>
    <w:p w14:paraId="52733FA7" w14:textId="64CC3AE5" w:rsidR="00DC1260" w:rsidRPr="000D2208" w:rsidRDefault="00DC1260" w:rsidP="007A5615">
      <w:r w:rsidRPr="000D2208">
        <w:t>The Employment position can be:</w:t>
      </w:r>
    </w:p>
    <w:p w14:paraId="2A5DDAA9" w14:textId="48F6FD93" w:rsidR="00DC1260" w:rsidRPr="00DC1260" w:rsidRDefault="00DC1260" w:rsidP="004E120D">
      <w:pPr>
        <w:pStyle w:val="BulletLevel1"/>
        <w:rPr>
          <w:lang w:eastAsia="en-AU"/>
        </w:rPr>
      </w:pPr>
      <w:r w:rsidRPr="00DC1260">
        <w:rPr>
          <w:lang w:eastAsia="en-AU"/>
        </w:rPr>
        <w:t>full-time, part-time or casual</w:t>
      </w:r>
    </w:p>
    <w:p w14:paraId="6D9A5BEF" w14:textId="7651AE37" w:rsidR="00DC1260" w:rsidRPr="00DC1260" w:rsidRDefault="00DC1260" w:rsidP="004E120D">
      <w:pPr>
        <w:pStyle w:val="BulletLevel1"/>
        <w:rPr>
          <w:lang w:eastAsia="en-AU"/>
        </w:rPr>
      </w:pPr>
      <w:r w:rsidRPr="00DC1260">
        <w:rPr>
          <w:lang w:eastAsia="en-AU"/>
        </w:rPr>
        <w:t xml:space="preserve">an </w:t>
      </w:r>
      <w:r w:rsidR="00C67EFA">
        <w:rPr>
          <w:lang w:eastAsia="en-AU"/>
        </w:rPr>
        <w:t>A</w:t>
      </w:r>
      <w:r w:rsidRPr="00DC1260">
        <w:rPr>
          <w:lang w:eastAsia="en-AU"/>
        </w:rPr>
        <w:t xml:space="preserve">pprenticeship or </w:t>
      </w:r>
      <w:r w:rsidR="00C67EFA">
        <w:rPr>
          <w:lang w:eastAsia="en-AU"/>
        </w:rPr>
        <w:t>T</w:t>
      </w:r>
      <w:r w:rsidRPr="00DC1260">
        <w:rPr>
          <w:lang w:eastAsia="en-AU"/>
        </w:rPr>
        <w:t>raineeship, and/or</w:t>
      </w:r>
    </w:p>
    <w:p w14:paraId="55C5D828" w14:textId="1469BDF2" w:rsidR="00DC1260" w:rsidRPr="00DC1260" w:rsidRDefault="00DC1260" w:rsidP="004E120D">
      <w:pPr>
        <w:pStyle w:val="BulletLevel1"/>
        <w:rPr>
          <w:lang w:eastAsia="en-AU"/>
        </w:rPr>
      </w:pPr>
      <w:r w:rsidRPr="00DC1260">
        <w:rPr>
          <w:lang w:eastAsia="en-AU"/>
        </w:rPr>
        <w:t>found by the Provider or by the Participant.</w:t>
      </w:r>
    </w:p>
    <w:p w14:paraId="22026BF2" w14:textId="06DB10D6" w:rsidR="00DC1260" w:rsidRPr="000D2208" w:rsidRDefault="00DC1260" w:rsidP="000D2208">
      <w:r w:rsidRPr="000D2208">
        <w:t>A Wage Subsidy Placement must:</w:t>
      </w:r>
    </w:p>
    <w:p w14:paraId="51F3EE97" w14:textId="763C23C2" w:rsidR="00DC1260" w:rsidRPr="00DC1260" w:rsidRDefault="00DC1260" w:rsidP="004E120D">
      <w:pPr>
        <w:pStyle w:val="BulletLevel1"/>
        <w:rPr>
          <w:lang w:eastAsia="en-AU"/>
        </w:rPr>
      </w:pPr>
      <w:r w:rsidRPr="00DC1260">
        <w:rPr>
          <w:lang w:eastAsia="en-AU"/>
        </w:rPr>
        <w:t xml:space="preserve">be a sustainable and ongoing position expected to continue </w:t>
      </w:r>
      <w:r w:rsidR="003C37C2">
        <w:rPr>
          <w:lang w:eastAsia="en-AU"/>
        </w:rPr>
        <w:t>or a long-term contract</w:t>
      </w:r>
      <w:r w:rsidR="2815A94D" w:rsidRPr="52461185">
        <w:rPr>
          <w:lang w:eastAsia="en-AU"/>
        </w:rPr>
        <w:t>.</w:t>
      </w:r>
      <w:r w:rsidR="00141B19">
        <w:rPr>
          <w:lang w:eastAsia="en-AU"/>
        </w:rPr>
        <w:t xml:space="preserve"> </w:t>
      </w:r>
      <w:r w:rsidRPr="00DC1260">
        <w:rPr>
          <w:lang w:eastAsia="en-AU"/>
        </w:rPr>
        <w:t xml:space="preserve">Employment is not intended to end </w:t>
      </w:r>
      <w:r w:rsidR="00141B19">
        <w:rPr>
          <w:lang w:eastAsia="en-AU"/>
        </w:rPr>
        <w:t>once</w:t>
      </w:r>
      <w:r w:rsidRPr="00DC1260">
        <w:rPr>
          <w:lang w:eastAsia="en-AU"/>
        </w:rPr>
        <w:t xml:space="preserve"> the</w:t>
      </w:r>
      <w:r w:rsidR="0009413C">
        <w:rPr>
          <w:lang w:eastAsia="en-AU"/>
        </w:rPr>
        <w:t xml:space="preserve"> </w:t>
      </w:r>
      <w:r w:rsidR="00353F8E">
        <w:rPr>
          <w:lang w:eastAsia="en-AU"/>
        </w:rPr>
        <w:t>Inclusive Employment Australia</w:t>
      </w:r>
      <w:r w:rsidRPr="00DC1260">
        <w:rPr>
          <w:lang w:eastAsia="en-AU"/>
        </w:rPr>
        <w:t xml:space="preserve"> Wage Subsidy ceases</w:t>
      </w:r>
    </w:p>
    <w:p w14:paraId="312E6423" w14:textId="06EE5B89" w:rsidR="004E4585" w:rsidRPr="00125A70" w:rsidRDefault="00254BB6" w:rsidP="006D5D95">
      <w:pPr>
        <w:pStyle w:val="BulletLevel1"/>
        <w:rPr>
          <w:lang w:eastAsia="en-AU"/>
        </w:rPr>
      </w:pPr>
      <w:r w:rsidRPr="00125A70">
        <w:rPr>
          <w:lang w:eastAsia="en-AU"/>
        </w:rPr>
        <w:t xml:space="preserve">provide continuous employment across the full 26-week Wage Subsidy Agreement </w:t>
      </w:r>
      <w:r w:rsidR="3650D3AE" w:rsidRPr="789644F6">
        <w:rPr>
          <w:lang w:eastAsia="en-AU"/>
        </w:rPr>
        <w:t>T</w:t>
      </w:r>
      <w:r w:rsidRPr="789644F6">
        <w:rPr>
          <w:lang w:eastAsia="en-AU"/>
        </w:rPr>
        <w:t>erm</w:t>
      </w:r>
      <w:r w:rsidR="00206C61" w:rsidRPr="00125A70">
        <w:rPr>
          <w:lang w:eastAsia="en-AU"/>
        </w:rPr>
        <w:t xml:space="preserve"> </w:t>
      </w:r>
      <w:r w:rsidR="00D633BC" w:rsidRPr="00125A70">
        <w:rPr>
          <w:lang w:eastAsia="en-AU"/>
        </w:rPr>
        <w:t>from the Job Placement Start Date</w:t>
      </w:r>
      <w:r w:rsidR="006A635F">
        <w:rPr>
          <w:lang w:eastAsia="en-AU"/>
        </w:rPr>
        <w:t xml:space="preserve"> </w:t>
      </w:r>
      <w:r w:rsidR="006A635F" w:rsidRPr="595B2F0B">
        <w:rPr>
          <w:lang w:eastAsia="en-AU"/>
        </w:rPr>
        <w:t xml:space="preserve">of at least </w:t>
      </w:r>
      <w:r w:rsidR="003F1EEC" w:rsidRPr="595B2F0B">
        <w:rPr>
          <w:lang w:eastAsia="en-AU"/>
        </w:rPr>
        <w:t>8 hours per week</w:t>
      </w:r>
    </w:p>
    <w:p w14:paraId="594ACF78" w14:textId="744ED867" w:rsidR="00A11E7F" w:rsidRPr="00125A70" w:rsidRDefault="70C2BEFD" w:rsidP="00A860FA">
      <w:pPr>
        <w:pStyle w:val="BulletLevel1"/>
        <w:rPr>
          <w:lang w:eastAsia="en-AU"/>
        </w:rPr>
      </w:pPr>
      <w:r w:rsidRPr="09D37BD0">
        <w:rPr>
          <w:lang w:eastAsia="en-AU"/>
        </w:rPr>
        <w:t xml:space="preserve">offer the minimum weekly average hours as specified in the Wage Subsidy Agreement to the Wage Subsidy Participant across the whole 26-week Wage Subsidy Agreement </w:t>
      </w:r>
      <w:r w:rsidR="5E9E0E2A" w:rsidRPr="1FDCA3D2">
        <w:rPr>
          <w:lang w:eastAsia="en-AU"/>
        </w:rPr>
        <w:t>T</w:t>
      </w:r>
      <w:r w:rsidRPr="1FDCA3D2">
        <w:rPr>
          <w:lang w:eastAsia="en-AU"/>
        </w:rPr>
        <w:t>erm</w:t>
      </w:r>
    </w:p>
    <w:p w14:paraId="3F035013" w14:textId="1E6902E4" w:rsidR="00DC1260" w:rsidRPr="00DC1260" w:rsidRDefault="00DC1260" w:rsidP="004E120D">
      <w:pPr>
        <w:pStyle w:val="BulletLevel1"/>
        <w:rPr>
          <w:lang w:eastAsia="en-AU"/>
        </w:rPr>
      </w:pPr>
      <w:r w:rsidRPr="00DC1260">
        <w:rPr>
          <w:lang w:eastAsia="en-AU"/>
        </w:rPr>
        <w:t xml:space="preserve">be under </w:t>
      </w:r>
      <w:r w:rsidR="007C7B3A">
        <w:rPr>
          <w:lang w:eastAsia="en-AU"/>
        </w:rPr>
        <w:t>O</w:t>
      </w:r>
      <w:r w:rsidRPr="00DC1260">
        <w:rPr>
          <w:lang w:eastAsia="en-AU"/>
        </w:rPr>
        <w:t xml:space="preserve">pen </w:t>
      </w:r>
      <w:r w:rsidR="007C7B3A">
        <w:rPr>
          <w:lang w:eastAsia="en-AU"/>
        </w:rPr>
        <w:t>E</w:t>
      </w:r>
      <w:r w:rsidRPr="00DC1260">
        <w:rPr>
          <w:lang w:eastAsia="en-AU"/>
        </w:rPr>
        <w:t>mployment conditions consistent with Outcome requirements</w:t>
      </w:r>
    </w:p>
    <w:p w14:paraId="12EC9F00" w14:textId="7940D426" w:rsidR="009744C3" w:rsidRPr="00DC1260" w:rsidRDefault="009744C3" w:rsidP="004E120D">
      <w:pPr>
        <w:pStyle w:val="BulletLevel1"/>
        <w:rPr>
          <w:lang w:eastAsia="en-AU"/>
        </w:rPr>
      </w:pPr>
      <w:r>
        <w:rPr>
          <w:lang w:eastAsia="en-AU"/>
        </w:rPr>
        <w:t>not include any periods of unpaid work</w:t>
      </w:r>
    </w:p>
    <w:p w14:paraId="7D23BD0B" w14:textId="71DC0D73" w:rsidR="00DC1260" w:rsidRPr="00DC1260" w:rsidRDefault="00DC1260" w:rsidP="004E120D">
      <w:pPr>
        <w:pStyle w:val="BulletLevel1"/>
        <w:rPr>
          <w:lang w:eastAsia="en-AU"/>
        </w:rPr>
      </w:pPr>
      <w:r w:rsidRPr="00DC1260">
        <w:rPr>
          <w:lang w:eastAsia="en-AU"/>
        </w:rPr>
        <w:t xml:space="preserve">comply with all </w:t>
      </w:r>
      <w:r w:rsidR="00FF4B3B">
        <w:rPr>
          <w:lang w:eastAsia="en-AU"/>
        </w:rPr>
        <w:t xml:space="preserve">relevant </w:t>
      </w:r>
      <w:r w:rsidRPr="00DC1260">
        <w:rPr>
          <w:lang w:eastAsia="en-AU"/>
        </w:rPr>
        <w:t xml:space="preserve">Employment standards for the Employment position under any </w:t>
      </w:r>
      <w:r w:rsidR="00FF4B3B">
        <w:rPr>
          <w:lang w:eastAsia="en-AU"/>
        </w:rPr>
        <w:t xml:space="preserve">relevant </w:t>
      </w:r>
      <w:r w:rsidRPr="00DC1260">
        <w:rPr>
          <w:lang w:eastAsia="en-AU"/>
        </w:rPr>
        <w:t>Commonwealth, State</w:t>
      </w:r>
      <w:r w:rsidR="00F13507">
        <w:rPr>
          <w:lang w:eastAsia="en-AU"/>
        </w:rPr>
        <w:t>,</w:t>
      </w:r>
      <w:r w:rsidRPr="00DC1260">
        <w:rPr>
          <w:lang w:eastAsia="en-AU"/>
        </w:rPr>
        <w:t xml:space="preserve"> Territory </w:t>
      </w:r>
      <w:r w:rsidR="00F13507">
        <w:rPr>
          <w:lang w:eastAsia="en-AU"/>
        </w:rPr>
        <w:t>and/or Local Authority</w:t>
      </w:r>
      <w:r w:rsidRPr="00DC1260">
        <w:rPr>
          <w:lang w:eastAsia="en-AU"/>
        </w:rPr>
        <w:t xml:space="preserve"> laws</w:t>
      </w:r>
      <w:r w:rsidR="00AB227C">
        <w:rPr>
          <w:lang w:eastAsia="en-AU"/>
        </w:rPr>
        <w:t xml:space="preserve"> and requirements</w:t>
      </w:r>
      <w:r w:rsidRPr="00DC1260">
        <w:rPr>
          <w:lang w:eastAsia="en-AU"/>
        </w:rPr>
        <w:t>, including but not limited to:</w:t>
      </w:r>
    </w:p>
    <w:p w14:paraId="5F184E86" w14:textId="6E3CCADA" w:rsidR="00DC1260" w:rsidRPr="00DD369E" w:rsidRDefault="00DC1260" w:rsidP="00DD369E">
      <w:pPr>
        <w:pStyle w:val="BulletLevel2"/>
      </w:pPr>
      <w:r w:rsidRPr="00DD369E">
        <w:t xml:space="preserve">complying with the </w:t>
      </w:r>
      <w:hyperlink r:id="rId71" w:tgtFrame="_blank" w:history="1">
        <w:r w:rsidRPr="00DD369E">
          <w:t xml:space="preserve">National Employment Standards </w:t>
        </w:r>
        <w:r w:rsidR="00A84D07">
          <w:t>under the</w:t>
        </w:r>
        <w:r w:rsidRPr="00DD369E">
          <w:t xml:space="preserve"> </w:t>
        </w:r>
        <w:r w:rsidRPr="00A84D07">
          <w:rPr>
            <w:i/>
            <w:iCs/>
          </w:rPr>
          <w:t>Fair Work Act 2009</w:t>
        </w:r>
        <w:r w:rsidRPr="00DD369E">
          <w:t xml:space="preserve"> (Cth)</w:t>
        </w:r>
      </w:hyperlink>
      <w:r w:rsidRPr="00DD369E">
        <w:t> </w:t>
      </w:r>
    </w:p>
    <w:p w14:paraId="42894A83" w14:textId="55957FE4" w:rsidR="00DC1260" w:rsidRPr="00DD369E" w:rsidRDefault="00DC1260" w:rsidP="00DD369E">
      <w:pPr>
        <w:pStyle w:val="BulletLevel2"/>
      </w:pPr>
      <w:r w:rsidRPr="00DD369E">
        <w:t>complying with the minimum terms and conditions of employment prescribed in any Modern Award, Enterprise Agreement or workplace determination that covers or applies to the Wage Subsidy Placement</w:t>
      </w:r>
    </w:p>
    <w:p w14:paraId="27FC69A5" w14:textId="336887BE" w:rsidR="00DC1260" w:rsidRPr="00DD369E" w:rsidRDefault="00DC1260" w:rsidP="00DD369E">
      <w:pPr>
        <w:pStyle w:val="BulletLevel2"/>
      </w:pPr>
      <w:r w:rsidRPr="00DD369E">
        <w:t>paying the Wage Subsidy Participant at least the equivalent of the minimum rate prescribed in any Modern Award, Enterprise Agreement or workplace determination that covers or applies to the Employment position</w:t>
      </w:r>
      <w:r w:rsidR="00953E31" w:rsidRPr="00DD369E">
        <w:t>. If</w:t>
      </w:r>
      <w:r w:rsidRPr="00DD369E">
        <w:t xml:space="preserve"> no Modern Award covers or applies to the Employment position, </w:t>
      </w:r>
      <w:r w:rsidR="00112138" w:rsidRPr="00DD369E">
        <w:t xml:space="preserve">pay </w:t>
      </w:r>
      <w:r w:rsidRPr="00DD369E">
        <w:t xml:space="preserve">at least the equivalent of the </w:t>
      </w:r>
      <w:hyperlink r:id="rId72" w:tgtFrame="_blank" w:history="1">
        <w:r w:rsidRPr="00DD369E">
          <w:t>National Minimum Wage</w:t>
        </w:r>
      </w:hyperlink>
    </w:p>
    <w:p w14:paraId="291D25CA" w14:textId="4A3B0C7B" w:rsidR="00A06312" w:rsidRDefault="001D53B3" w:rsidP="00DD369E">
      <w:pPr>
        <w:pStyle w:val="BulletLevel2"/>
      </w:pPr>
      <w:r w:rsidRPr="00DD369E">
        <w:t>complying</w:t>
      </w:r>
      <w:r>
        <w:t xml:space="preserve"> with</w:t>
      </w:r>
      <w:r w:rsidR="0002452F">
        <w:t xml:space="preserve"> the relevant jurisdiction’s</w:t>
      </w:r>
      <w:r>
        <w:t xml:space="preserve"> </w:t>
      </w:r>
      <w:r w:rsidR="0002452F">
        <w:t>WHS Laws</w:t>
      </w:r>
      <w:r w:rsidR="00B54DB6">
        <w:t>.</w:t>
      </w:r>
    </w:p>
    <w:p w14:paraId="1DDB8A6C" w14:textId="3A06F809" w:rsidR="00DC1260" w:rsidRPr="00DC1260" w:rsidRDefault="00DC1260" w:rsidP="004E120D">
      <w:pPr>
        <w:pStyle w:val="BulletLevel1"/>
        <w:rPr>
          <w:lang w:eastAsia="en-AU"/>
        </w:rPr>
      </w:pPr>
      <w:r w:rsidRPr="00DC1260">
        <w:rPr>
          <w:lang w:eastAsia="en-AU"/>
        </w:rPr>
        <w:t xml:space="preserve">making superannuation contributions in accordance with the </w:t>
      </w:r>
      <w:r w:rsidRPr="00A84D07">
        <w:rPr>
          <w:i/>
          <w:iCs/>
        </w:rPr>
        <w:t>Superannuation Guarantee (Administration) Act 1992</w:t>
      </w:r>
      <w:r w:rsidR="00DD369E" w:rsidRPr="00A84D07">
        <w:rPr>
          <w:i/>
          <w:iCs/>
        </w:rPr>
        <w:t xml:space="preserve"> </w:t>
      </w:r>
      <w:r w:rsidR="00DD369E">
        <w:t>(Cth),</w:t>
      </w:r>
      <w:r w:rsidR="000D2208">
        <w:t xml:space="preserve"> and</w:t>
      </w:r>
    </w:p>
    <w:p w14:paraId="0738BF9E" w14:textId="6E779705" w:rsidR="29142A42" w:rsidRPr="006A635F" w:rsidRDefault="00DC1260" w:rsidP="006A635F">
      <w:pPr>
        <w:pStyle w:val="BulletLevel1"/>
        <w:rPr>
          <w:lang w:eastAsia="en-AU"/>
        </w:rPr>
      </w:pPr>
      <w:r w:rsidRPr="2596FA8E">
        <w:rPr>
          <w:lang w:eastAsia="en-AU"/>
        </w:rPr>
        <w:t xml:space="preserve">provide a safe system of work for the Wage Subsidy Participant at all times during the </w:t>
      </w:r>
      <w:r w:rsidR="00DD369E">
        <w:rPr>
          <w:lang w:eastAsia="en-AU"/>
        </w:rPr>
        <w:t xml:space="preserve">Wage Subsidy </w:t>
      </w:r>
      <w:r w:rsidRPr="2596FA8E">
        <w:rPr>
          <w:lang w:eastAsia="en-AU"/>
        </w:rPr>
        <w:t>Placement</w:t>
      </w:r>
      <w:r w:rsidR="000D2208" w:rsidRPr="2596FA8E">
        <w:rPr>
          <w:lang w:eastAsia="en-AU"/>
        </w:rPr>
        <w:t>.</w:t>
      </w:r>
    </w:p>
    <w:p w14:paraId="3C1CF8A6" w14:textId="0DBE2A75" w:rsidR="00DC1260" w:rsidRPr="000D2208" w:rsidRDefault="00DC1260" w:rsidP="000D2208">
      <w:r w:rsidRPr="000D2208">
        <w:t>A Wage Subsidy Placement must not:</w:t>
      </w:r>
    </w:p>
    <w:p w14:paraId="3E7BD597" w14:textId="55A800AB" w:rsidR="00DC1260" w:rsidRPr="00DC1260" w:rsidRDefault="00DC1260" w:rsidP="004E120D">
      <w:pPr>
        <w:pStyle w:val="BulletLevel1"/>
        <w:rPr>
          <w:lang w:eastAsia="en-AU"/>
        </w:rPr>
      </w:pPr>
      <w:r w:rsidRPr="00DC1260">
        <w:rPr>
          <w:lang w:eastAsia="en-AU"/>
        </w:rPr>
        <w:t>displace an existing employee</w:t>
      </w:r>
    </w:p>
    <w:p w14:paraId="2FBDE12A" w14:textId="37A1199B" w:rsidR="00DC1260" w:rsidRPr="00DC1260" w:rsidRDefault="00DC1260" w:rsidP="004E120D">
      <w:pPr>
        <w:pStyle w:val="BulletLevel1"/>
        <w:rPr>
          <w:lang w:eastAsia="en-AU"/>
        </w:rPr>
      </w:pPr>
      <w:r w:rsidRPr="00DC1260">
        <w:rPr>
          <w:lang w:eastAsia="en-AU"/>
        </w:rPr>
        <w:t xml:space="preserve">be a commission-based, self-employment or subcontracted position (excluding </w:t>
      </w:r>
      <w:r w:rsidR="009E5ABB">
        <w:rPr>
          <w:lang w:eastAsia="en-AU"/>
        </w:rPr>
        <w:t>P</w:t>
      </w:r>
      <w:r w:rsidRPr="00DC1260">
        <w:rPr>
          <w:lang w:eastAsia="en-AU"/>
        </w:rPr>
        <w:t xml:space="preserve">lacements with labour hire companies or </w:t>
      </w:r>
      <w:r w:rsidR="006A2707">
        <w:t>group training organisations</w:t>
      </w:r>
      <w:r w:rsidRPr="00DC1260">
        <w:rPr>
          <w:lang w:eastAsia="en-AU"/>
        </w:rPr>
        <w:t>)</w:t>
      </w:r>
    </w:p>
    <w:p w14:paraId="2273E3E6" w14:textId="59C443D5" w:rsidR="00DC1260" w:rsidRPr="00DC1260" w:rsidRDefault="00DC1260" w:rsidP="004E120D">
      <w:pPr>
        <w:pStyle w:val="BulletLevel1"/>
        <w:rPr>
          <w:lang w:eastAsia="en-AU"/>
        </w:rPr>
      </w:pPr>
      <w:r w:rsidRPr="00DC1260">
        <w:rPr>
          <w:lang w:eastAsia="en-AU"/>
        </w:rPr>
        <w:t xml:space="preserve">be funded by </w:t>
      </w:r>
      <w:r w:rsidR="002B0433">
        <w:rPr>
          <w:lang w:eastAsia="en-AU"/>
        </w:rPr>
        <w:t xml:space="preserve">another </w:t>
      </w:r>
      <w:r w:rsidRPr="00DC1260">
        <w:rPr>
          <w:lang w:eastAsia="en-AU"/>
        </w:rPr>
        <w:t>Commonwealth</w:t>
      </w:r>
      <w:r w:rsidR="002B0433">
        <w:rPr>
          <w:lang w:eastAsia="en-AU"/>
        </w:rPr>
        <w:t>,</w:t>
      </w:r>
      <w:r w:rsidRPr="00DC1260">
        <w:rPr>
          <w:lang w:eastAsia="en-AU"/>
        </w:rPr>
        <w:t xml:space="preserve"> State</w:t>
      </w:r>
      <w:r w:rsidR="00B71224">
        <w:rPr>
          <w:lang w:eastAsia="en-AU"/>
        </w:rPr>
        <w:t>,</w:t>
      </w:r>
      <w:r w:rsidR="002B0433">
        <w:rPr>
          <w:lang w:eastAsia="en-AU"/>
        </w:rPr>
        <w:t xml:space="preserve"> </w:t>
      </w:r>
      <w:r w:rsidRPr="00DC1260">
        <w:rPr>
          <w:lang w:eastAsia="en-AU"/>
        </w:rPr>
        <w:t>Territory</w:t>
      </w:r>
      <w:r w:rsidR="00B71224">
        <w:rPr>
          <w:lang w:eastAsia="en-AU"/>
        </w:rPr>
        <w:t>, or Local</w:t>
      </w:r>
      <w:r w:rsidRPr="00DC1260">
        <w:rPr>
          <w:lang w:eastAsia="en-AU"/>
        </w:rPr>
        <w:t xml:space="preserve"> </w:t>
      </w:r>
      <w:r w:rsidR="002B0433">
        <w:rPr>
          <w:lang w:eastAsia="en-AU"/>
        </w:rPr>
        <w:t>G</w:t>
      </w:r>
      <w:r w:rsidRPr="00DC1260">
        <w:rPr>
          <w:lang w:eastAsia="en-AU"/>
        </w:rPr>
        <w:t>overnment</w:t>
      </w:r>
      <w:r w:rsidR="002B0433">
        <w:rPr>
          <w:lang w:eastAsia="en-AU"/>
        </w:rPr>
        <w:t xml:space="preserve"> </w:t>
      </w:r>
      <w:r w:rsidR="00B67FFB">
        <w:rPr>
          <w:lang w:eastAsia="en-AU"/>
        </w:rPr>
        <w:t>initiative</w:t>
      </w:r>
      <w:r w:rsidR="000D2208">
        <w:rPr>
          <w:lang w:eastAsia="en-AU"/>
        </w:rPr>
        <w:t xml:space="preserve">, </w:t>
      </w:r>
      <w:r w:rsidR="00EA29CF">
        <w:rPr>
          <w:lang w:eastAsia="en-AU"/>
        </w:rPr>
        <w:t xml:space="preserve">including the </w:t>
      </w:r>
      <w:r w:rsidR="00EA29CF">
        <w:t>Disabled Australian Apprentice Wage Support Program</w:t>
      </w:r>
      <w:r w:rsidR="000D2208">
        <w:rPr>
          <w:lang w:eastAsia="en-AU"/>
        </w:rPr>
        <w:t>, or</w:t>
      </w:r>
    </w:p>
    <w:p w14:paraId="1AFD1158" w14:textId="65038019" w:rsidR="00DC1260" w:rsidRPr="00DD369E" w:rsidRDefault="00DC1260" w:rsidP="004E120D">
      <w:pPr>
        <w:pStyle w:val="BulletLevel1"/>
        <w:rPr>
          <w:lang w:eastAsia="en-AU"/>
        </w:rPr>
      </w:pPr>
      <w:r w:rsidRPr="00DC1260">
        <w:rPr>
          <w:lang w:eastAsia="en-AU"/>
        </w:rPr>
        <w:t>otherwise</w:t>
      </w:r>
      <w:r w:rsidR="00450639" w:rsidRPr="00DC1260">
        <w:rPr>
          <w:lang w:eastAsia="en-AU"/>
        </w:rPr>
        <w:t>,</w:t>
      </w:r>
      <w:r w:rsidRPr="00DC1260">
        <w:rPr>
          <w:lang w:eastAsia="en-AU"/>
        </w:rPr>
        <w:t xml:space="preserve"> be a position that would result in a Non-</w:t>
      </w:r>
      <w:r w:rsidRPr="00DD369E">
        <w:rPr>
          <w:lang w:eastAsia="en-AU"/>
        </w:rPr>
        <w:t xml:space="preserve">Payable Outcome </w:t>
      </w:r>
      <w:r w:rsidR="000D2208" w:rsidRPr="00DD369E">
        <w:rPr>
          <w:lang w:eastAsia="en-AU"/>
        </w:rPr>
        <w:t>— refer to</w:t>
      </w:r>
      <w:r w:rsidR="00DD369E" w:rsidRPr="00DD369E">
        <w:rPr>
          <w:lang w:eastAsia="en-AU"/>
        </w:rPr>
        <w:t xml:space="preserve"> </w:t>
      </w:r>
      <w:r w:rsidR="003B2E77">
        <w:rPr>
          <w:lang w:eastAsia="en-AU"/>
        </w:rPr>
        <w:fldChar w:fldCharType="begin"/>
      </w:r>
      <w:r w:rsidR="003B2E77">
        <w:rPr>
          <w:lang w:eastAsia="en-AU"/>
        </w:rPr>
        <w:instrText xml:space="preserve"> REF _Ref202798416 \h </w:instrText>
      </w:r>
      <w:r w:rsidR="003B2E77">
        <w:rPr>
          <w:lang w:eastAsia="en-AU"/>
        </w:rPr>
      </w:r>
      <w:r w:rsidR="003B2E77">
        <w:rPr>
          <w:lang w:eastAsia="en-AU"/>
        </w:rPr>
        <w:fldChar w:fldCharType="separate"/>
      </w:r>
      <w:r w:rsidR="003B2E77">
        <w:t>11</w:t>
      </w:r>
      <w:r w:rsidR="003B2E77" w:rsidRPr="25249C38">
        <w:t>.5.</w:t>
      </w:r>
      <w:r w:rsidR="003B2E77">
        <w:t xml:space="preserve">3 </w:t>
      </w:r>
      <w:r w:rsidR="003B2E77" w:rsidRPr="25249C38">
        <w:t>Non-Payable Outcomes</w:t>
      </w:r>
      <w:r w:rsidR="003B2E77">
        <w:rPr>
          <w:lang w:eastAsia="en-AU"/>
        </w:rPr>
        <w:fldChar w:fldCharType="end"/>
      </w:r>
      <w:r w:rsidR="00DD369E" w:rsidRPr="00DD369E">
        <w:rPr>
          <w:lang w:eastAsia="en-AU"/>
        </w:rPr>
        <w:fldChar w:fldCharType="begin"/>
      </w:r>
      <w:r w:rsidR="00DD369E" w:rsidRPr="00DD369E">
        <w:rPr>
          <w:lang w:eastAsia="en-AU"/>
        </w:rPr>
        <w:instrText xml:space="preserve"> REF _Ref202798416 \h </w:instrText>
      </w:r>
      <w:r w:rsidR="00DD369E">
        <w:rPr>
          <w:lang w:eastAsia="en-AU"/>
        </w:rPr>
        <w:instrText xml:space="preserve"> \* MERGEFORMAT </w:instrText>
      </w:r>
      <w:r w:rsidR="00DD369E" w:rsidRPr="00DD369E">
        <w:rPr>
          <w:lang w:eastAsia="en-AU"/>
        </w:rPr>
      </w:r>
      <w:r w:rsidR="00DD369E" w:rsidRPr="00DD369E">
        <w:rPr>
          <w:lang w:eastAsia="en-AU"/>
        </w:rPr>
        <w:fldChar w:fldCharType="separate"/>
      </w:r>
      <w:r w:rsidR="00DD369E" w:rsidRPr="00DD369E">
        <w:rPr>
          <w:lang w:eastAsia="en-AU"/>
        </w:rPr>
        <w:fldChar w:fldCharType="end"/>
      </w:r>
      <w:r w:rsidRPr="00DD369E">
        <w:rPr>
          <w:lang w:eastAsia="en-AU"/>
        </w:rPr>
        <w:t>.</w:t>
      </w:r>
    </w:p>
    <w:p w14:paraId="138E4459" w14:textId="093FFA60" w:rsidR="00677D63" w:rsidRDefault="00677D63" w:rsidP="4F3EABBB">
      <w:r>
        <w:t xml:space="preserve">Employers cannot receive </w:t>
      </w:r>
      <w:r w:rsidR="00905454">
        <w:t xml:space="preserve">the </w:t>
      </w:r>
      <w:r w:rsidR="00353F8E">
        <w:t>Inclusive Employment Australia</w:t>
      </w:r>
      <w:r>
        <w:t xml:space="preserve"> Wage Subsidy if, within the previous 12</w:t>
      </w:r>
      <w:r w:rsidR="00DD369E">
        <w:t> </w:t>
      </w:r>
      <w:r>
        <w:t>month</w:t>
      </w:r>
      <w:r w:rsidR="00905454">
        <w:t>s</w:t>
      </w:r>
      <w:r>
        <w:t xml:space="preserve">, the Employer has received another </w:t>
      </w:r>
      <w:r w:rsidR="00353F8E">
        <w:t>Inclusive Employment Australia</w:t>
      </w:r>
      <w:r>
        <w:t xml:space="preserve"> Wage Subsidy for the same position. This does not include Employers with multiple positions with the same duties, for example factory line workers. In this case</w:t>
      </w:r>
      <w:r w:rsidR="003B0F51">
        <w:t>,</w:t>
      </w:r>
      <w:r>
        <w:t xml:space="preserve"> </w:t>
      </w:r>
      <w:r w:rsidR="009228F0">
        <w:t xml:space="preserve">the </w:t>
      </w:r>
      <w:r w:rsidR="00353F8E">
        <w:t>Inclusive Employment Australia</w:t>
      </w:r>
      <w:r>
        <w:t xml:space="preserve"> Wage Subsidy can be offered for each individual position (</w:t>
      </w:r>
      <w:r w:rsidR="00DD369E">
        <w:t>s</w:t>
      </w:r>
      <w:r>
        <w:t>ee also</w:t>
      </w:r>
      <w:r w:rsidR="00DD369E">
        <w:t xml:space="preserve"> </w:t>
      </w:r>
      <w:r w:rsidR="00C20BDE">
        <w:fldChar w:fldCharType="begin"/>
      </w:r>
      <w:r w:rsidR="00C20BDE">
        <w:instrText xml:space="preserve"> REF _Ref202798496 \h </w:instrText>
      </w:r>
      <w:r w:rsidR="00C20BDE">
        <w:fldChar w:fldCharType="separate"/>
      </w:r>
      <w:r w:rsidR="000D75AE" w:rsidRPr="00842999">
        <w:t>8.5.4</w:t>
      </w:r>
      <w:r w:rsidR="00C33F1F">
        <w:t xml:space="preserve"> </w:t>
      </w:r>
      <w:r w:rsidR="000D75AE" w:rsidRPr="00842999">
        <w:t xml:space="preserve">Concurrent </w:t>
      </w:r>
      <w:r w:rsidR="000D75AE">
        <w:t>f</w:t>
      </w:r>
      <w:r w:rsidR="000D75AE" w:rsidRPr="00842999">
        <w:t>unding</w:t>
      </w:r>
      <w:r w:rsidR="00C20BDE">
        <w:fldChar w:fldCharType="end"/>
      </w:r>
      <w:r>
        <w:t>).</w:t>
      </w:r>
    </w:p>
    <w:p w14:paraId="0AE5451A" w14:textId="686AB939" w:rsidR="00B24EC5" w:rsidRDefault="00B24EC5" w:rsidP="00B24EC5">
      <w:r>
        <w:t xml:space="preserve">An agreed Wage Subsidy </w:t>
      </w:r>
      <w:r w:rsidR="00C20BDE">
        <w:t xml:space="preserve">Placement </w:t>
      </w:r>
      <w:r>
        <w:t>can proceed where the Participant commences Employment up to 14 days earlier than the Job Placement Start Date recorded in the Department’s IT Systems if they were eligible on the actual start date. The Wage Subsidy period can start from either the first week of work, or from the Wage Subsidy Agreement start date for a maximum of 26 weeks. Payroll evidence of the actual start date must be provided.</w:t>
      </w:r>
    </w:p>
    <w:p w14:paraId="1898B709" w14:textId="77777777" w:rsidR="00B24EC5" w:rsidRDefault="00B24EC5" w:rsidP="00B24EC5">
      <w:pPr>
        <w:pStyle w:val="SystemStep"/>
        <w:rPr>
          <w:lang w:eastAsia="en-AU"/>
        </w:rPr>
      </w:pPr>
      <w:r>
        <w:t xml:space="preserve">In these circumstances, do not change the start date in the system, as this will void the approved Wage Subsidy Agreement with the reason ‘Created in Error’. </w:t>
      </w:r>
    </w:p>
    <w:p w14:paraId="7E73D3AC" w14:textId="3FA74033" w:rsidR="00B24EC5" w:rsidRDefault="00B24EC5" w:rsidP="4F3EABBB">
      <w:r w:rsidRPr="007230D7">
        <w:rPr>
          <w:b/>
          <w:bCs/>
        </w:rPr>
        <w:t>Note:</w:t>
      </w:r>
      <w:r>
        <w:t xml:space="preserve"> The 14-day ‘grace period’ applies to approved Wage Subsidy Agreements only. The policy intent is to ensure Employers are not disadvantaged where they have commenced a Participant earlier than advised and be ineligible based on prior employment. Unless otherwise notified by the Department, this flexibility must not be used to extend the 28-day timeframe to enter into a Wage Subsidy Agreement with an Employer.</w:t>
      </w:r>
    </w:p>
    <w:p w14:paraId="036E9DB5" w14:textId="17E864BE" w:rsidR="0CCA6C2F" w:rsidRDefault="0CCA6C2F" w:rsidP="4B09852D">
      <w:pPr>
        <w:pStyle w:val="Heading3"/>
      </w:pPr>
      <w:bookmarkStart w:id="356" w:name="_Ref202809063"/>
      <w:bookmarkStart w:id="357" w:name="_Toc202900028"/>
      <w:r>
        <w:t>8.</w:t>
      </w:r>
      <w:r w:rsidR="2E8DB451">
        <w:t>3</w:t>
      </w:r>
      <w:r>
        <w:tab/>
        <w:t>Wage Subsidy Levels and Participant Employment Benchmarks</w:t>
      </w:r>
      <w:bookmarkEnd w:id="356"/>
      <w:bookmarkEnd w:id="357"/>
    </w:p>
    <w:p w14:paraId="14DBDB14" w14:textId="3798399A" w:rsidR="004B61CD" w:rsidRDefault="20941E33" w:rsidP="004E120D">
      <w:pPr>
        <w:pStyle w:val="BulletLevel1"/>
        <w:numPr>
          <w:ilvl w:val="0"/>
          <w:numId w:val="0"/>
        </w:numPr>
        <w:rPr>
          <w:lang w:eastAsia="en-AU"/>
        </w:rPr>
      </w:pPr>
      <w:r w:rsidRPr="7282C3A2">
        <w:rPr>
          <w:lang w:eastAsia="en-AU"/>
        </w:rPr>
        <w:t xml:space="preserve">The </w:t>
      </w:r>
      <w:r w:rsidR="00353F8E">
        <w:rPr>
          <w:lang w:eastAsia="en-AU"/>
        </w:rPr>
        <w:t>Inclusive Employment Australia</w:t>
      </w:r>
      <w:r w:rsidRPr="7282C3A2">
        <w:rPr>
          <w:lang w:eastAsia="en-AU"/>
        </w:rPr>
        <w:t xml:space="preserve"> Wage Subsidy has different levels based on the number of hours the Employer agrees to provide</w:t>
      </w:r>
      <w:r w:rsidR="001C4480">
        <w:rPr>
          <w:lang w:eastAsia="en-AU"/>
        </w:rPr>
        <w:t>,</w:t>
      </w:r>
      <w:r w:rsidRPr="7282C3A2">
        <w:rPr>
          <w:lang w:eastAsia="en-AU"/>
        </w:rPr>
        <w:t xml:space="preserve"> </w:t>
      </w:r>
      <w:r w:rsidRPr="08BF9AA5">
        <w:rPr>
          <w:lang w:eastAsia="en-AU"/>
        </w:rPr>
        <w:t>on average</w:t>
      </w:r>
      <w:r w:rsidRPr="7282C3A2">
        <w:rPr>
          <w:lang w:eastAsia="en-AU"/>
        </w:rPr>
        <w:t xml:space="preserve"> each week</w:t>
      </w:r>
      <w:r w:rsidR="001C4480">
        <w:rPr>
          <w:lang w:eastAsia="en-AU"/>
        </w:rPr>
        <w:t>,</w:t>
      </w:r>
      <w:r w:rsidRPr="7282C3A2">
        <w:rPr>
          <w:lang w:eastAsia="en-AU"/>
        </w:rPr>
        <w:t xml:space="preserve"> during the </w:t>
      </w:r>
      <w:r w:rsidR="002411B4">
        <w:rPr>
          <w:lang w:eastAsia="en-AU"/>
        </w:rPr>
        <w:t xml:space="preserve">26-week </w:t>
      </w:r>
      <w:r w:rsidRPr="7282C3A2">
        <w:rPr>
          <w:lang w:eastAsia="en-AU"/>
        </w:rPr>
        <w:t xml:space="preserve">Wage Subsidy </w:t>
      </w:r>
      <w:r w:rsidR="00C31A85" w:rsidRPr="4B09852D">
        <w:rPr>
          <w:lang w:eastAsia="en-AU"/>
        </w:rPr>
        <w:t xml:space="preserve">Agreement </w:t>
      </w:r>
      <w:r w:rsidR="55984145" w:rsidRPr="3981EDC9">
        <w:rPr>
          <w:lang w:eastAsia="en-AU"/>
        </w:rPr>
        <w:t>T</w:t>
      </w:r>
      <w:r w:rsidR="00C31A85" w:rsidRPr="3981EDC9">
        <w:rPr>
          <w:lang w:eastAsia="en-AU"/>
        </w:rPr>
        <w:t>erm</w:t>
      </w:r>
      <w:r w:rsidR="00666399">
        <w:rPr>
          <w:lang w:eastAsia="en-AU"/>
        </w:rPr>
        <w:t xml:space="preserve"> as outlined in the table below.</w:t>
      </w:r>
    </w:p>
    <w:p w14:paraId="2BBAC4AE" w14:textId="7DB00155" w:rsidR="004B61CD" w:rsidRDefault="00353F8E" w:rsidP="004B61CD">
      <w:pPr>
        <w:pStyle w:val="TableChartHeading"/>
        <w:rPr>
          <w:lang w:eastAsia="en-AU"/>
        </w:rPr>
      </w:pPr>
      <w:r>
        <w:rPr>
          <w:lang w:eastAsia="en-AU"/>
        </w:rPr>
        <w:t>Inclusive Employment Australia</w:t>
      </w:r>
      <w:r w:rsidR="004B61CD" w:rsidRPr="05D5699F">
        <w:rPr>
          <w:lang w:eastAsia="en-AU"/>
        </w:rPr>
        <w:t xml:space="preserve"> Wage Subsidy </w:t>
      </w:r>
      <w:r w:rsidR="00E47AFC">
        <w:rPr>
          <w:lang w:eastAsia="en-AU"/>
        </w:rPr>
        <w:t>L</w:t>
      </w:r>
      <w:r w:rsidR="004B61CD" w:rsidRPr="05D5699F">
        <w:rPr>
          <w:lang w:eastAsia="en-AU"/>
        </w:rPr>
        <w:t>evels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8080"/>
      </w:tblGrid>
      <w:tr w:rsidR="00FC127C" w14:paraId="6A9A998E" w14:textId="77777777" w:rsidTr="00DE7A9B">
        <w:trPr>
          <w:cnfStyle w:val="100000000000" w:firstRow="1" w:lastRow="0" w:firstColumn="0" w:lastColumn="0" w:oddVBand="0" w:evenVBand="0" w:oddHBand="0" w:evenHBand="0" w:firstRowFirstColumn="0" w:firstRowLastColumn="0" w:lastRowFirstColumn="0" w:lastRowLastColumn="0"/>
          <w:trHeight w:val="300"/>
        </w:trPr>
        <w:tc>
          <w:tcPr>
            <w:tcW w:w="1985" w:type="dxa"/>
          </w:tcPr>
          <w:p w14:paraId="371802C8" w14:textId="5A59B480" w:rsidR="00BF48AA" w:rsidRDefault="00BF48AA" w:rsidP="4B09852D">
            <w:pPr>
              <w:pStyle w:val="TableText"/>
              <w:rPr>
                <w:rFonts w:ascii="Times New Roman" w:hAnsi="Times New Roman"/>
                <w:sz w:val="24"/>
              </w:rPr>
            </w:pPr>
            <w:r>
              <w:t>Level</w:t>
            </w:r>
          </w:p>
        </w:tc>
        <w:tc>
          <w:tcPr>
            <w:tcW w:w="8080" w:type="dxa"/>
          </w:tcPr>
          <w:p w14:paraId="2F2F75A5" w14:textId="7E412587" w:rsidR="00BF48AA" w:rsidRDefault="00BF48AA" w:rsidP="4B09852D">
            <w:pPr>
              <w:pStyle w:val="TableText"/>
              <w:rPr>
                <w:rFonts w:ascii="Times New Roman" w:hAnsi="Times New Roman"/>
                <w:sz w:val="24"/>
              </w:rPr>
            </w:pPr>
            <w:r>
              <w:t>Maximum Value</w:t>
            </w:r>
            <w:r w:rsidR="00E47AFC">
              <w:t xml:space="preserve"> and Average </w:t>
            </w:r>
            <w:r w:rsidR="005202D4">
              <w:t xml:space="preserve">Weekly </w:t>
            </w:r>
            <w:r w:rsidR="00E47AFC">
              <w:t>Hours</w:t>
            </w:r>
          </w:p>
        </w:tc>
      </w:tr>
      <w:tr w:rsidR="00BF48AA" w14:paraId="5A2EAC3B"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4801D718" w14:textId="653D521E" w:rsidR="00BF48AA" w:rsidRPr="00BF48AA" w:rsidRDefault="00BF48AA" w:rsidP="4B09852D">
            <w:pPr>
              <w:pStyle w:val="TableText"/>
              <w:spacing w:before="0" w:after="0"/>
              <w:rPr>
                <w:rFonts w:cstheme="minorBidi"/>
              </w:rPr>
            </w:pPr>
            <w:r w:rsidRPr="4B09852D">
              <w:rPr>
                <w:rFonts w:cstheme="minorBidi"/>
              </w:rPr>
              <w:t>Level 1</w:t>
            </w:r>
          </w:p>
        </w:tc>
        <w:tc>
          <w:tcPr>
            <w:tcW w:w="8080" w:type="dxa"/>
          </w:tcPr>
          <w:p w14:paraId="09A58CE3" w14:textId="422A8127" w:rsidR="00BF48AA" w:rsidRPr="0071343A" w:rsidRDefault="008D5E8A" w:rsidP="2596FA8E">
            <w:pPr>
              <w:pStyle w:val="TableText"/>
              <w:spacing w:before="0" w:after="0"/>
              <w:rPr>
                <w:rFonts w:cstheme="minorBidi"/>
              </w:rPr>
            </w:pPr>
            <w:r>
              <w:t>U</w:t>
            </w:r>
            <w:r w:rsidR="2795D9BA">
              <w:t>p to $3,000 where the Employer agrees to provide Employment of 8 hours or more per week</w:t>
            </w:r>
            <w:r>
              <w:t>.</w:t>
            </w:r>
            <w:r w:rsidR="6DA296DB">
              <w:t>*</w:t>
            </w:r>
          </w:p>
        </w:tc>
      </w:tr>
      <w:tr w:rsidR="00FC127C" w14:paraId="4D224EEE"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985" w:type="dxa"/>
          </w:tcPr>
          <w:p w14:paraId="4B9249D2" w14:textId="430F474B" w:rsidR="0071343A" w:rsidRPr="00BF48AA" w:rsidRDefault="08531B3B" w:rsidP="4F3EABBB">
            <w:pPr>
              <w:pStyle w:val="TableText"/>
              <w:spacing w:before="0" w:after="0"/>
              <w:rPr>
                <w:rFonts w:cstheme="minorBidi"/>
              </w:rPr>
            </w:pPr>
            <w:r w:rsidRPr="4F3EABBB">
              <w:rPr>
                <w:rFonts w:cstheme="minorBidi"/>
              </w:rPr>
              <w:t>Level 2</w:t>
            </w:r>
          </w:p>
        </w:tc>
        <w:tc>
          <w:tcPr>
            <w:tcW w:w="8080" w:type="dxa"/>
          </w:tcPr>
          <w:p w14:paraId="4626D6D4" w14:textId="2F943384" w:rsidR="0071343A" w:rsidRPr="00BF48AA" w:rsidRDefault="008D5E8A" w:rsidP="4F3EABBB">
            <w:pPr>
              <w:pStyle w:val="TableText"/>
              <w:spacing w:before="0" w:after="0"/>
              <w:rPr>
                <w:rFonts w:cstheme="minorBidi"/>
              </w:rPr>
            </w:pPr>
            <w:r>
              <w:t>U</w:t>
            </w:r>
            <w:r w:rsidR="08531B3B">
              <w:t>p to $</w:t>
            </w:r>
            <w:r w:rsidR="03B65DA6">
              <w:t>5</w:t>
            </w:r>
            <w:r w:rsidR="08531B3B">
              <w:t xml:space="preserve">,000 where the Employer agrees to provide Employment of </w:t>
            </w:r>
            <w:r w:rsidR="03B65DA6">
              <w:t>15</w:t>
            </w:r>
            <w:r w:rsidR="08531B3B">
              <w:t xml:space="preserve"> hours or more per week</w:t>
            </w:r>
            <w:r>
              <w:t>.</w:t>
            </w:r>
          </w:p>
        </w:tc>
      </w:tr>
      <w:tr w:rsidR="0071343A" w14:paraId="549EE925"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985" w:type="dxa"/>
          </w:tcPr>
          <w:p w14:paraId="383ADA00" w14:textId="5201523A" w:rsidR="0071343A" w:rsidRPr="00BF48AA" w:rsidRDefault="08531B3B" w:rsidP="4F3EABBB">
            <w:pPr>
              <w:pStyle w:val="TableText"/>
              <w:spacing w:before="0" w:after="0"/>
              <w:rPr>
                <w:rFonts w:cstheme="minorBidi"/>
              </w:rPr>
            </w:pPr>
            <w:r w:rsidRPr="4F3EABBB">
              <w:rPr>
                <w:rFonts w:cstheme="minorBidi"/>
              </w:rPr>
              <w:t>Level 3</w:t>
            </w:r>
          </w:p>
        </w:tc>
        <w:tc>
          <w:tcPr>
            <w:tcW w:w="8080" w:type="dxa"/>
          </w:tcPr>
          <w:p w14:paraId="44CA0E29" w14:textId="63892C03" w:rsidR="0071343A" w:rsidRPr="00BF48AA" w:rsidRDefault="008D5E8A" w:rsidP="4F3EABBB">
            <w:pPr>
              <w:pStyle w:val="TableText"/>
              <w:spacing w:before="0" w:after="0"/>
              <w:rPr>
                <w:rFonts w:cstheme="minorBidi"/>
              </w:rPr>
            </w:pPr>
            <w:r>
              <w:t>U</w:t>
            </w:r>
            <w:r w:rsidR="08531B3B">
              <w:t>p to $</w:t>
            </w:r>
            <w:r w:rsidR="03B65DA6">
              <w:t>7</w:t>
            </w:r>
            <w:r w:rsidR="08531B3B">
              <w:t>,</w:t>
            </w:r>
            <w:r w:rsidR="03B65DA6">
              <w:t>5</w:t>
            </w:r>
            <w:r w:rsidR="08531B3B">
              <w:t xml:space="preserve">00 where the Employer agrees to provide Employment of </w:t>
            </w:r>
            <w:r w:rsidR="03B65DA6">
              <w:t>20</w:t>
            </w:r>
            <w:r w:rsidR="08531B3B">
              <w:t xml:space="preserve"> hours or more per week</w:t>
            </w:r>
            <w:r>
              <w:t>.</w:t>
            </w:r>
          </w:p>
        </w:tc>
      </w:tr>
      <w:tr w:rsidR="00FD020B" w14:paraId="5B464092"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985" w:type="dxa"/>
            <w:tcBorders>
              <w:bottom w:val="single" w:sz="4" w:space="0" w:color="auto"/>
            </w:tcBorders>
          </w:tcPr>
          <w:p w14:paraId="6F63251A" w14:textId="3EDED85D" w:rsidR="0071343A" w:rsidRPr="00BF48AA" w:rsidRDefault="08531B3B" w:rsidP="4F3EABBB">
            <w:pPr>
              <w:pStyle w:val="TableText"/>
              <w:spacing w:before="0" w:after="0"/>
              <w:rPr>
                <w:rFonts w:cstheme="minorBidi"/>
              </w:rPr>
            </w:pPr>
            <w:r w:rsidRPr="4F3EABBB">
              <w:rPr>
                <w:rFonts w:cstheme="minorBidi"/>
              </w:rPr>
              <w:t>Level 4</w:t>
            </w:r>
          </w:p>
        </w:tc>
        <w:tc>
          <w:tcPr>
            <w:tcW w:w="8080" w:type="dxa"/>
            <w:tcBorders>
              <w:bottom w:val="single" w:sz="4" w:space="0" w:color="auto"/>
            </w:tcBorders>
          </w:tcPr>
          <w:p w14:paraId="04DE892C" w14:textId="77777777" w:rsidR="00853FDA" w:rsidRDefault="008D5E8A" w:rsidP="4F3EABBB">
            <w:pPr>
              <w:pStyle w:val="TableText"/>
              <w:spacing w:before="0" w:after="0"/>
            </w:pPr>
            <w:r>
              <w:t>U</w:t>
            </w:r>
            <w:r w:rsidR="03B65DA6">
              <w:t>p to $10,000 where</w:t>
            </w:r>
            <w:r w:rsidR="00853FDA">
              <w:t>:</w:t>
            </w:r>
            <w:r w:rsidR="03B65DA6">
              <w:t xml:space="preserve"> </w:t>
            </w:r>
          </w:p>
          <w:p w14:paraId="444DAD0C" w14:textId="77777777" w:rsidR="00853FDA" w:rsidRPr="00853FDA" w:rsidRDefault="03B65DA6" w:rsidP="00853FDA">
            <w:pPr>
              <w:pStyle w:val="TableList-level1"/>
              <w:rPr>
                <w:rFonts w:cstheme="minorBidi"/>
              </w:rPr>
            </w:pPr>
            <w:r>
              <w:t xml:space="preserve">the Employer agrees to provide Employment of 30 hours or more per week OR </w:t>
            </w:r>
          </w:p>
          <w:p w14:paraId="49934F87" w14:textId="72F47767" w:rsidR="0071343A" w:rsidRPr="00BF48AA" w:rsidRDefault="03B65DA6" w:rsidP="00853FDA">
            <w:pPr>
              <w:pStyle w:val="TableList-level1"/>
              <w:rPr>
                <w:rFonts w:cstheme="minorBidi"/>
              </w:rPr>
            </w:pPr>
            <w:r>
              <w:t>the Employer agrees to provide Employment of 20 hours or more per week, if the Participant is aged under 25 years</w:t>
            </w:r>
            <w:r w:rsidR="008D5E8A">
              <w:t>.</w:t>
            </w:r>
          </w:p>
        </w:tc>
      </w:tr>
    </w:tbl>
    <w:p w14:paraId="6F287B82" w14:textId="7674EF2B" w:rsidR="66357D2C" w:rsidRPr="00666399" w:rsidRDefault="66357D2C" w:rsidP="00666399">
      <w:pPr>
        <w:rPr>
          <w:lang w:eastAsia="en-AU"/>
        </w:rPr>
      </w:pPr>
      <w:r w:rsidRPr="00666399">
        <w:rPr>
          <w:b/>
          <w:bCs/>
          <w:lang w:eastAsia="en-AU"/>
        </w:rPr>
        <w:t>*</w:t>
      </w:r>
      <w:r w:rsidR="006C7138" w:rsidRPr="00666399">
        <w:rPr>
          <w:b/>
          <w:bCs/>
          <w:lang w:eastAsia="en-AU"/>
        </w:rPr>
        <w:t xml:space="preserve"> </w:t>
      </w:r>
      <w:r w:rsidR="00666399" w:rsidRPr="00666399">
        <w:rPr>
          <w:b/>
          <w:bCs/>
          <w:lang w:eastAsia="en-AU"/>
        </w:rPr>
        <w:t xml:space="preserve">Note: </w:t>
      </w:r>
      <w:r w:rsidR="0012001B" w:rsidRPr="4D1424FC">
        <w:rPr>
          <w:lang w:eastAsia="en-AU"/>
        </w:rPr>
        <w:t>P</w:t>
      </w:r>
      <w:r w:rsidR="006C7138" w:rsidRPr="4D1424FC">
        <w:rPr>
          <w:lang w:eastAsia="en-AU"/>
        </w:rPr>
        <w:t xml:space="preserve">articipants with a 0-7 hour work capacity are eligible for a Wage Subsidy if the Employer </w:t>
      </w:r>
      <w:r w:rsidR="0012001B" w:rsidRPr="4D1424FC">
        <w:rPr>
          <w:lang w:eastAsia="en-AU"/>
        </w:rPr>
        <w:t xml:space="preserve">agrees to offer </w:t>
      </w:r>
      <w:r w:rsidR="006C7138" w:rsidRPr="4D1424FC">
        <w:rPr>
          <w:lang w:eastAsia="en-AU"/>
        </w:rPr>
        <w:t xml:space="preserve">8 hours or more on average </w:t>
      </w:r>
      <w:r w:rsidR="00AC5912" w:rsidRPr="4D1424FC">
        <w:rPr>
          <w:lang w:eastAsia="en-AU"/>
        </w:rPr>
        <w:t xml:space="preserve">each </w:t>
      </w:r>
      <w:r w:rsidR="006C7138" w:rsidRPr="4D1424FC">
        <w:rPr>
          <w:lang w:eastAsia="en-AU"/>
        </w:rPr>
        <w:t>week.</w:t>
      </w:r>
      <w:r w:rsidR="00965D02" w:rsidRPr="4D1424FC">
        <w:rPr>
          <w:lang w:eastAsia="en-AU"/>
        </w:rPr>
        <w:t xml:space="preserve"> </w:t>
      </w:r>
      <w:r w:rsidR="00EA28E9" w:rsidRPr="4D1424FC">
        <w:rPr>
          <w:lang w:eastAsia="en-AU"/>
        </w:rPr>
        <w:t>However, t</w:t>
      </w:r>
      <w:r w:rsidR="00CE0C31" w:rsidRPr="4D1424FC">
        <w:rPr>
          <w:lang w:eastAsia="en-AU"/>
        </w:rPr>
        <w:t xml:space="preserve">he </w:t>
      </w:r>
      <w:r w:rsidR="00E83043" w:rsidRPr="4D1424FC">
        <w:rPr>
          <w:lang w:eastAsia="en-AU"/>
        </w:rPr>
        <w:t>Wage Subsidy is payable at</w:t>
      </w:r>
      <w:r w:rsidR="00CE0C31" w:rsidRPr="4D1424FC">
        <w:rPr>
          <w:lang w:eastAsia="en-AU"/>
        </w:rPr>
        <w:t xml:space="preserve"> the Level 1 amount</w:t>
      </w:r>
      <w:r w:rsidR="00E83043" w:rsidRPr="4D1424FC">
        <w:rPr>
          <w:lang w:eastAsia="en-AU"/>
        </w:rPr>
        <w:t xml:space="preserve"> in the Wage Subsidy Agreement</w:t>
      </w:r>
      <w:r w:rsidR="00CE0C31" w:rsidRPr="4D1424FC">
        <w:rPr>
          <w:lang w:eastAsia="en-AU"/>
        </w:rPr>
        <w:t xml:space="preserve"> </w:t>
      </w:r>
      <w:r w:rsidR="00E83043" w:rsidRPr="4D1424FC">
        <w:rPr>
          <w:lang w:eastAsia="en-AU"/>
        </w:rPr>
        <w:t>i</w:t>
      </w:r>
      <w:r w:rsidR="00C47E71" w:rsidRPr="4D1424FC">
        <w:rPr>
          <w:lang w:eastAsia="en-AU"/>
        </w:rPr>
        <w:t xml:space="preserve">f the Wage Subsidy Participant achieves </w:t>
      </w:r>
      <w:r w:rsidR="008D04E7" w:rsidRPr="4D1424FC">
        <w:rPr>
          <w:lang w:eastAsia="en-AU"/>
        </w:rPr>
        <w:t xml:space="preserve">an average of </w:t>
      </w:r>
      <w:r w:rsidR="00E83043" w:rsidRPr="4D1424FC">
        <w:rPr>
          <w:lang w:eastAsia="en-AU"/>
        </w:rPr>
        <w:t xml:space="preserve">at least </w:t>
      </w:r>
      <w:r w:rsidR="008D04E7" w:rsidRPr="4D1424FC">
        <w:rPr>
          <w:lang w:eastAsia="en-AU"/>
        </w:rPr>
        <w:t xml:space="preserve">5 hours per week </w:t>
      </w:r>
      <w:r w:rsidR="008D04E7" w:rsidRPr="00666399">
        <w:rPr>
          <w:lang w:eastAsia="en-AU"/>
        </w:rPr>
        <w:t>Employment</w:t>
      </w:r>
      <w:r w:rsidR="00666399" w:rsidRPr="00666399">
        <w:rPr>
          <w:lang w:eastAsia="en-AU"/>
        </w:rPr>
        <w:t xml:space="preserve"> (s</w:t>
      </w:r>
      <w:r w:rsidR="000A4C43" w:rsidRPr="00666399">
        <w:rPr>
          <w:lang w:eastAsia="en-AU"/>
        </w:rPr>
        <w:t>ee</w:t>
      </w:r>
      <w:r w:rsidR="00666399" w:rsidRPr="00666399">
        <w:rPr>
          <w:lang w:eastAsia="en-AU"/>
        </w:rPr>
        <w:t xml:space="preserve"> </w:t>
      </w:r>
      <w:r w:rsidR="00666399" w:rsidRPr="00666399">
        <w:rPr>
          <w:lang w:eastAsia="en-AU"/>
        </w:rPr>
        <w:fldChar w:fldCharType="begin"/>
      </w:r>
      <w:r w:rsidR="00666399" w:rsidRPr="00666399">
        <w:rPr>
          <w:lang w:eastAsia="en-AU"/>
        </w:rPr>
        <w:instrText xml:space="preserve"> REF _Ref202798567 \h  \* MERGEFORMAT </w:instrText>
      </w:r>
      <w:r w:rsidR="00666399" w:rsidRPr="00666399">
        <w:rPr>
          <w:lang w:eastAsia="en-AU"/>
        </w:rPr>
      </w:r>
      <w:r w:rsidR="00666399" w:rsidRPr="00666399">
        <w:rPr>
          <w:lang w:eastAsia="en-AU"/>
        </w:rPr>
        <w:fldChar w:fldCharType="separate"/>
      </w:r>
      <w:r w:rsidR="000D75AE">
        <w:t>8.5.3</w:t>
      </w:r>
      <w:r w:rsidR="00C33F1F">
        <w:t xml:space="preserve"> </w:t>
      </w:r>
      <w:r w:rsidR="000D75AE" w:rsidRPr="004E40AB">
        <w:t>Calculating Wage Subsidy Payments for Employers</w:t>
      </w:r>
      <w:r w:rsidR="00666399" w:rsidRPr="00666399">
        <w:rPr>
          <w:lang w:eastAsia="en-AU"/>
        </w:rPr>
        <w:fldChar w:fldCharType="end"/>
      </w:r>
      <w:r w:rsidR="000A4C43" w:rsidRPr="00666399">
        <w:rPr>
          <w:lang w:eastAsia="en-AU"/>
        </w:rPr>
        <w:t xml:space="preserve"> </w:t>
      </w:r>
      <w:r w:rsidR="00666399" w:rsidRPr="00666399">
        <w:rPr>
          <w:lang w:eastAsia="en-AU"/>
        </w:rPr>
        <w:t>for more information on p</w:t>
      </w:r>
      <w:r w:rsidR="000A4C43" w:rsidRPr="00666399">
        <w:rPr>
          <w:lang w:eastAsia="en-AU"/>
        </w:rPr>
        <w:t xml:space="preserve">ro-rata </w:t>
      </w:r>
      <w:r w:rsidR="00666399" w:rsidRPr="00666399">
        <w:rPr>
          <w:lang w:eastAsia="en-AU"/>
        </w:rPr>
        <w:t xml:space="preserve">Wage Subsidy </w:t>
      </w:r>
      <w:r w:rsidR="000A4C43" w:rsidRPr="00666399">
        <w:rPr>
          <w:lang w:eastAsia="en-AU"/>
        </w:rPr>
        <w:t>Payments</w:t>
      </w:r>
      <w:r w:rsidR="00666399" w:rsidRPr="00666399">
        <w:rPr>
          <w:lang w:eastAsia="en-AU"/>
        </w:rPr>
        <w:t>).</w:t>
      </w:r>
    </w:p>
    <w:p w14:paraId="6E227DA5" w14:textId="1B0D5D27" w:rsidR="00BD4F90" w:rsidRDefault="04934DD2" w:rsidP="00666399">
      <w:pPr>
        <w:rPr>
          <w:lang w:eastAsia="en-AU"/>
        </w:rPr>
      </w:pPr>
      <w:r w:rsidRPr="00666399">
        <w:rPr>
          <w:lang w:eastAsia="en-AU"/>
        </w:rPr>
        <w:t>The Wage Subsidy value cannot be more than 100% of the wage paid to the</w:t>
      </w:r>
      <w:r w:rsidRPr="4BF09FAD">
        <w:rPr>
          <w:lang w:eastAsia="en-AU"/>
        </w:rPr>
        <w:t xml:space="preserve"> Participant during the 26-week Wage Subsidy Agreement </w:t>
      </w:r>
      <w:r w:rsidR="5BC73D9E" w:rsidRPr="7C680637">
        <w:rPr>
          <w:lang w:eastAsia="en-AU"/>
        </w:rPr>
        <w:t>T</w:t>
      </w:r>
      <w:r w:rsidRPr="7C680637">
        <w:rPr>
          <w:lang w:eastAsia="en-AU"/>
        </w:rPr>
        <w:t>erm.</w:t>
      </w:r>
      <w:r w:rsidRPr="4BF09FAD">
        <w:rPr>
          <w:lang w:eastAsia="en-AU"/>
        </w:rPr>
        <w:t xml:space="preserve"> </w:t>
      </w:r>
      <w:r w:rsidR="00BD4F90" w:rsidRPr="2596FA8E">
        <w:rPr>
          <w:lang w:eastAsia="en-AU"/>
        </w:rPr>
        <w:t xml:space="preserve">Providers must </w:t>
      </w:r>
      <w:r w:rsidR="71A86D4E" w:rsidRPr="4BF09FAD">
        <w:rPr>
          <w:lang w:eastAsia="en-AU"/>
        </w:rPr>
        <w:t xml:space="preserve">also </w:t>
      </w:r>
      <w:r w:rsidR="00BD4F90" w:rsidRPr="2596FA8E">
        <w:rPr>
          <w:lang w:eastAsia="en-AU"/>
        </w:rPr>
        <w:t xml:space="preserve">not supplement the </w:t>
      </w:r>
      <w:r w:rsidR="00353F8E">
        <w:rPr>
          <w:lang w:eastAsia="en-AU"/>
        </w:rPr>
        <w:t>Inclusive Employment Australia</w:t>
      </w:r>
      <w:r w:rsidR="00BD4F90" w:rsidRPr="2596FA8E">
        <w:rPr>
          <w:lang w:eastAsia="en-AU"/>
        </w:rPr>
        <w:t xml:space="preserve"> Wage Subsidy using their own funds or other additional funding. </w:t>
      </w:r>
    </w:p>
    <w:p w14:paraId="7AAD870A" w14:textId="7D448656" w:rsidR="00BD4F90" w:rsidRPr="00931CFC" w:rsidRDefault="00BD4F90" w:rsidP="006539BB">
      <w:pPr>
        <w:rPr>
          <w:sz w:val="20"/>
          <w:szCs w:val="20"/>
          <w:lang w:eastAsia="en-AU"/>
        </w:rPr>
      </w:pPr>
      <w:r w:rsidRPr="00895E42">
        <w:rPr>
          <w:sz w:val="20"/>
          <w:szCs w:val="20"/>
        </w:rPr>
        <w:t xml:space="preserve">(Deed Reference(s): Clause </w:t>
      </w:r>
      <w:r w:rsidR="0F4E77DC" w:rsidRPr="00895E42">
        <w:rPr>
          <w:sz w:val="20"/>
          <w:szCs w:val="20"/>
        </w:rPr>
        <w:t>122.</w:t>
      </w:r>
      <w:r w:rsidR="503A9602" w:rsidRPr="00895E42">
        <w:rPr>
          <w:sz w:val="20"/>
          <w:szCs w:val="20"/>
        </w:rPr>
        <w:t>3, 116.5</w:t>
      </w:r>
      <w:r w:rsidRPr="00895E42">
        <w:rPr>
          <w:sz w:val="20"/>
          <w:szCs w:val="20"/>
        </w:rPr>
        <w:t>)</w:t>
      </w:r>
    </w:p>
    <w:p w14:paraId="53770399" w14:textId="6C13E811" w:rsidR="00B7394C" w:rsidRDefault="1BA778FD" w:rsidP="006539BB">
      <w:pPr>
        <w:rPr>
          <w:lang w:eastAsia="en-AU"/>
        </w:rPr>
      </w:pPr>
      <w:r w:rsidRPr="2596FA8E">
        <w:rPr>
          <w:lang w:eastAsia="en-AU"/>
        </w:rPr>
        <w:t xml:space="preserve">The Provider and Employer must agree in advance of the Wage Subsidy commencing what Wage Subsidy </w:t>
      </w:r>
      <w:r w:rsidR="001B67A5">
        <w:rPr>
          <w:lang w:eastAsia="en-AU"/>
        </w:rPr>
        <w:t xml:space="preserve">Payment </w:t>
      </w:r>
      <w:r w:rsidRPr="2596FA8E">
        <w:rPr>
          <w:lang w:eastAsia="en-AU"/>
        </w:rPr>
        <w:t>amount will apply</w:t>
      </w:r>
      <w:r w:rsidR="00F63FEB" w:rsidRPr="2596FA8E">
        <w:rPr>
          <w:lang w:eastAsia="en-AU"/>
        </w:rPr>
        <w:t xml:space="preserve">. The </w:t>
      </w:r>
      <w:r w:rsidR="00A234AE" w:rsidRPr="2596FA8E">
        <w:rPr>
          <w:lang w:eastAsia="en-AU"/>
        </w:rPr>
        <w:t>agreed</w:t>
      </w:r>
      <w:r w:rsidR="00F63FEB" w:rsidRPr="2596FA8E">
        <w:rPr>
          <w:lang w:eastAsia="en-AU"/>
        </w:rPr>
        <w:t xml:space="preserve"> amount</w:t>
      </w:r>
      <w:r w:rsidR="00AA377B" w:rsidRPr="2596FA8E">
        <w:rPr>
          <w:lang w:eastAsia="en-AU"/>
        </w:rPr>
        <w:t xml:space="preserve"> </w:t>
      </w:r>
      <w:r w:rsidRPr="2596FA8E">
        <w:rPr>
          <w:lang w:eastAsia="en-AU"/>
        </w:rPr>
        <w:t xml:space="preserve">must </w:t>
      </w:r>
      <w:r w:rsidR="00F63FEB" w:rsidRPr="2596FA8E">
        <w:rPr>
          <w:lang w:eastAsia="en-AU"/>
        </w:rPr>
        <w:t xml:space="preserve">be </w:t>
      </w:r>
      <w:r w:rsidRPr="2596FA8E">
        <w:rPr>
          <w:lang w:eastAsia="en-AU"/>
        </w:rPr>
        <w:t xml:space="preserve">set out in </w:t>
      </w:r>
      <w:r w:rsidR="00A234AE" w:rsidRPr="2596FA8E">
        <w:rPr>
          <w:lang w:eastAsia="en-AU"/>
        </w:rPr>
        <w:t>the</w:t>
      </w:r>
      <w:r w:rsidRPr="2596FA8E">
        <w:rPr>
          <w:lang w:eastAsia="en-AU"/>
        </w:rPr>
        <w:t xml:space="preserve"> Wage Subsidy Agreement. </w:t>
      </w:r>
    </w:p>
    <w:p w14:paraId="340E40B3" w14:textId="7F082A98" w:rsidR="00BD4F90" w:rsidRDefault="00B7394C" w:rsidP="006539BB">
      <w:pPr>
        <w:rPr>
          <w:lang w:eastAsia="en-AU"/>
        </w:rPr>
      </w:pPr>
      <w:r w:rsidRPr="00B7394C">
        <w:rPr>
          <w:b/>
          <w:bCs/>
          <w:lang w:eastAsia="en-AU"/>
        </w:rPr>
        <w:t xml:space="preserve">Note: </w:t>
      </w:r>
      <w:r w:rsidR="006539BB" w:rsidRPr="2596FA8E">
        <w:rPr>
          <w:lang w:eastAsia="en-AU"/>
        </w:rPr>
        <w:t xml:space="preserve">Reimbursement </w:t>
      </w:r>
      <w:r w:rsidR="001B67A5">
        <w:rPr>
          <w:lang w:eastAsia="en-AU"/>
        </w:rPr>
        <w:t>of the Wage Subsidy</w:t>
      </w:r>
      <w:r w:rsidR="006539BB" w:rsidRPr="2596FA8E">
        <w:rPr>
          <w:lang w:eastAsia="en-AU"/>
        </w:rPr>
        <w:t xml:space="preserve"> cannot exceed the original amount specified in the Wage Subsidy Agreement</w:t>
      </w:r>
      <w:r w:rsidR="001B67A5">
        <w:rPr>
          <w:lang w:eastAsia="en-AU"/>
        </w:rPr>
        <w:t xml:space="preserve"> (see </w:t>
      </w:r>
      <w:r w:rsidR="001B67A5">
        <w:rPr>
          <w:lang w:eastAsia="en-AU"/>
        </w:rPr>
        <w:fldChar w:fldCharType="begin"/>
      </w:r>
      <w:r w:rsidR="001B67A5">
        <w:rPr>
          <w:lang w:eastAsia="en-AU"/>
        </w:rPr>
        <w:instrText xml:space="preserve"> REF _Ref202798690 \h </w:instrText>
      </w:r>
      <w:r w:rsidR="001B67A5">
        <w:rPr>
          <w:lang w:eastAsia="en-AU"/>
        </w:rPr>
      </w:r>
      <w:r w:rsidR="001B67A5">
        <w:rPr>
          <w:lang w:eastAsia="en-AU"/>
        </w:rPr>
        <w:fldChar w:fldCharType="separate"/>
      </w:r>
      <w:r w:rsidR="000D75AE" w:rsidRPr="00573FA6">
        <w:t>8.6</w:t>
      </w:r>
      <w:r w:rsidR="00C33F1F">
        <w:t xml:space="preserve"> </w:t>
      </w:r>
      <w:r w:rsidR="000D75AE" w:rsidRPr="00573FA6">
        <w:t>Claims for Reimbursement</w:t>
      </w:r>
      <w:r w:rsidR="001B67A5">
        <w:rPr>
          <w:lang w:eastAsia="en-AU"/>
        </w:rPr>
        <w:fldChar w:fldCharType="end"/>
      </w:r>
      <w:r w:rsidR="001B67A5">
        <w:rPr>
          <w:lang w:eastAsia="en-AU"/>
        </w:rPr>
        <w:t>)</w:t>
      </w:r>
      <w:r w:rsidR="006539BB" w:rsidRPr="2596FA8E">
        <w:rPr>
          <w:lang w:eastAsia="en-AU"/>
        </w:rPr>
        <w:t xml:space="preserve">. </w:t>
      </w:r>
    </w:p>
    <w:p w14:paraId="0DC203DE" w14:textId="62199A16" w:rsidR="00A53913" w:rsidRDefault="000E5548" w:rsidP="000E5548">
      <w:pPr>
        <w:rPr>
          <w:lang w:eastAsia="en-AU"/>
        </w:rPr>
      </w:pPr>
      <w:r>
        <w:rPr>
          <w:lang w:eastAsia="en-AU"/>
        </w:rPr>
        <w:t>In terms of a</w:t>
      </w:r>
      <w:r w:rsidR="00517C1D" w:rsidRPr="7DC4F79C">
        <w:rPr>
          <w:lang w:eastAsia="en-AU"/>
        </w:rPr>
        <w:t xml:space="preserve">pplying </w:t>
      </w:r>
      <w:r w:rsidR="00BF3BF9" w:rsidRPr="7DC4F79C">
        <w:rPr>
          <w:lang w:eastAsia="en-AU"/>
        </w:rPr>
        <w:t xml:space="preserve">the </w:t>
      </w:r>
      <w:r w:rsidR="00170982">
        <w:rPr>
          <w:lang w:eastAsia="en-AU"/>
        </w:rPr>
        <w:t>l</w:t>
      </w:r>
      <w:r w:rsidR="00517C1D" w:rsidRPr="7DC4F79C">
        <w:rPr>
          <w:lang w:eastAsia="en-AU"/>
        </w:rPr>
        <w:t xml:space="preserve">evel of </w:t>
      </w:r>
      <w:r w:rsidR="00A53913" w:rsidRPr="7DC4F79C">
        <w:rPr>
          <w:lang w:eastAsia="en-AU"/>
        </w:rPr>
        <w:t>Wage Subsidy</w:t>
      </w:r>
      <w:r>
        <w:rPr>
          <w:lang w:eastAsia="en-AU"/>
        </w:rPr>
        <w:t>, the following is provided as an example.</w:t>
      </w:r>
    </w:p>
    <w:p w14:paraId="71AFF90F" w14:textId="6AE497C6" w:rsidR="009E15C7" w:rsidRDefault="000E5548" w:rsidP="009E15C7">
      <w:pPr>
        <w:pStyle w:val="BulletLevel1"/>
        <w:rPr>
          <w:lang w:eastAsia="en-AU"/>
        </w:rPr>
      </w:pPr>
      <w:r w:rsidRPr="009E15C7">
        <w:rPr>
          <w:rFonts w:eastAsiaTheme="minorEastAsia"/>
        </w:rPr>
        <w:t>T</w:t>
      </w:r>
      <w:r w:rsidRPr="009E15C7">
        <w:rPr>
          <w:rFonts w:eastAsiaTheme="minorEastAsia"/>
          <w:lang w:eastAsia="en-AU"/>
        </w:rPr>
        <w:t xml:space="preserve">he Wage Subsidy Agreement </w:t>
      </w:r>
      <w:r w:rsidRPr="009E15C7">
        <w:rPr>
          <w:rFonts w:eastAsiaTheme="minorEastAsia"/>
        </w:rPr>
        <w:t xml:space="preserve">specifies the </w:t>
      </w:r>
      <w:r w:rsidRPr="009E15C7">
        <w:rPr>
          <w:rFonts w:eastAsiaTheme="minorEastAsia"/>
          <w:lang w:eastAsia="en-AU"/>
        </w:rPr>
        <w:t>Wage Subsidy Employer will provide the Wage Subsidy Participant with an average of 20 hours work per week</w:t>
      </w:r>
      <w:r w:rsidR="000B0AD6" w:rsidRPr="009E15C7">
        <w:rPr>
          <w:rFonts w:eastAsiaTheme="minorEastAsia"/>
          <w:lang w:eastAsia="en-AU"/>
        </w:rPr>
        <w:t xml:space="preserve"> over the Wage Subsidy Agreement Term</w:t>
      </w:r>
      <w:r w:rsidRPr="009E15C7">
        <w:rPr>
          <w:rFonts w:eastAsiaTheme="minorEastAsia"/>
        </w:rPr>
        <w:t>.</w:t>
      </w:r>
      <w:r w:rsidR="00A9151B" w:rsidRPr="009E15C7">
        <w:rPr>
          <w:rFonts w:eastAsiaTheme="minorEastAsia"/>
        </w:rPr>
        <w:t xml:space="preserve"> This meets the criteria for level 3.</w:t>
      </w:r>
      <w:r w:rsidR="009E15C7" w:rsidRPr="009E15C7">
        <w:rPr>
          <w:rFonts w:eastAsiaTheme="minorEastAsia"/>
        </w:rPr>
        <w:t xml:space="preserve"> </w:t>
      </w:r>
      <w:r w:rsidRPr="009E15C7">
        <w:rPr>
          <w:rFonts w:eastAsiaTheme="minorEastAsia"/>
        </w:rPr>
        <w:t xml:space="preserve">The </w:t>
      </w:r>
      <w:r w:rsidRPr="009E15C7">
        <w:rPr>
          <w:rFonts w:eastAsiaTheme="minorEastAsia"/>
          <w:lang w:eastAsia="en-AU"/>
        </w:rPr>
        <w:t xml:space="preserve">maximum agreed Wage Subsidy available for level </w:t>
      </w:r>
      <w:r w:rsidR="00A9151B" w:rsidRPr="009E15C7">
        <w:rPr>
          <w:rFonts w:eastAsiaTheme="minorEastAsia"/>
          <w:lang w:eastAsia="en-AU"/>
        </w:rPr>
        <w:t xml:space="preserve">3 </w:t>
      </w:r>
      <w:r w:rsidRPr="009E15C7">
        <w:rPr>
          <w:rFonts w:eastAsiaTheme="minorEastAsia"/>
          <w:lang w:eastAsia="en-AU"/>
        </w:rPr>
        <w:t xml:space="preserve">is up to $7,500. </w:t>
      </w:r>
      <w:r w:rsidRPr="009E15C7">
        <w:rPr>
          <w:rFonts w:eastAsiaTheme="minorEastAsia"/>
        </w:rPr>
        <w:t>The Provider has discretion to offer a</w:t>
      </w:r>
      <w:r w:rsidRPr="009E15C7">
        <w:rPr>
          <w:rFonts w:eastAsiaTheme="minorEastAsia"/>
          <w:lang w:eastAsia="en-AU"/>
        </w:rPr>
        <w:t xml:space="preserve"> lower amount (e.g. $6,000)</w:t>
      </w:r>
      <w:r w:rsidR="00284538" w:rsidRPr="009E15C7">
        <w:rPr>
          <w:rFonts w:eastAsiaTheme="minorEastAsia"/>
          <w:lang w:eastAsia="en-AU"/>
        </w:rPr>
        <w:t>.</w:t>
      </w:r>
      <w:r w:rsidR="009E15C7">
        <w:rPr>
          <w:rFonts w:eastAsiaTheme="minorEastAsia"/>
          <w:lang w:eastAsia="en-AU"/>
        </w:rPr>
        <w:t xml:space="preserve"> </w:t>
      </w:r>
      <w:r w:rsidR="009E15C7" w:rsidRPr="579C5725">
        <w:rPr>
          <w:lang w:eastAsia="en-AU"/>
        </w:rPr>
        <w:t>In this scenario:</w:t>
      </w:r>
    </w:p>
    <w:p w14:paraId="29856661" w14:textId="05DAB149" w:rsidR="000E5548" w:rsidRPr="00382353" w:rsidRDefault="000E5548" w:rsidP="009E15C7">
      <w:pPr>
        <w:pStyle w:val="BulletLevel2"/>
      </w:pPr>
      <w:r>
        <w:rPr>
          <w:rFonts w:eastAsiaTheme="minorEastAsia"/>
        </w:rPr>
        <w:t>Where the Wage Subsidy Agreement include</w:t>
      </w:r>
      <w:r w:rsidR="00C45E1C">
        <w:rPr>
          <w:rFonts w:eastAsiaTheme="minorEastAsia"/>
        </w:rPr>
        <w:t>s</w:t>
      </w:r>
      <w:r>
        <w:rPr>
          <w:rFonts w:eastAsiaTheme="minorEastAsia"/>
        </w:rPr>
        <w:t xml:space="preserve"> a lower amount</w:t>
      </w:r>
      <w:r w:rsidR="009E15C7">
        <w:t xml:space="preserve"> than the maximum for level 3</w:t>
      </w:r>
      <w:r>
        <w:rPr>
          <w:rFonts w:eastAsiaTheme="minorEastAsia"/>
        </w:rPr>
        <w:t xml:space="preserve">, </w:t>
      </w:r>
      <w:r w:rsidR="00382353">
        <w:rPr>
          <w:rFonts w:eastAsiaTheme="minorEastAsia"/>
        </w:rPr>
        <w:t>t</w:t>
      </w:r>
      <w:r w:rsidR="00382353" w:rsidRPr="7DC4F79C">
        <w:rPr>
          <w:rFonts w:eastAsiaTheme="minorEastAsia"/>
        </w:rPr>
        <w:t xml:space="preserve">he </w:t>
      </w:r>
      <w:r w:rsidR="00382353">
        <w:rPr>
          <w:rFonts w:eastAsiaTheme="minorEastAsia"/>
        </w:rPr>
        <w:t xml:space="preserve">Wage Subsidy </w:t>
      </w:r>
      <w:r w:rsidR="00382353" w:rsidRPr="7DC4F79C">
        <w:rPr>
          <w:rFonts w:eastAsiaTheme="minorEastAsia"/>
        </w:rPr>
        <w:t xml:space="preserve">Employer cannot receive more than the agreed Wage Subsidy </w:t>
      </w:r>
      <w:r w:rsidR="00284538">
        <w:rPr>
          <w:rFonts w:eastAsiaTheme="minorEastAsia"/>
        </w:rPr>
        <w:t xml:space="preserve">Payment </w:t>
      </w:r>
      <w:r w:rsidR="00382353" w:rsidRPr="7DC4F79C">
        <w:rPr>
          <w:rFonts w:eastAsiaTheme="minorEastAsia"/>
        </w:rPr>
        <w:t>amount</w:t>
      </w:r>
      <w:r w:rsidR="00A9151B">
        <w:rPr>
          <w:rFonts w:eastAsiaTheme="minorEastAsia"/>
        </w:rPr>
        <w:t xml:space="preserve"> (i.e. cannot claim $7,500</w:t>
      </w:r>
      <w:r w:rsidR="00284538">
        <w:rPr>
          <w:rFonts w:eastAsiaTheme="minorEastAsia"/>
        </w:rPr>
        <w:t xml:space="preserve"> if they agreed to $6,000</w:t>
      </w:r>
      <w:r w:rsidR="00A9151B">
        <w:rPr>
          <w:rFonts w:eastAsiaTheme="minorEastAsia"/>
        </w:rPr>
        <w:t>)</w:t>
      </w:r>
      <w:r w:rsidR="00382353">
        <w:rPr>
          <w:rFonts w:eastAsiaTheme="minorEastAsia"/>
        </w:rPr>
        <w:t>.</w:t>
      </w:r>
    </w:p>
    <w:p w14:paraId="7898C591" w14:textId="5CBF6064" w:rsidR="00382353" w:rsidRPr="00BC2E6B" w:rsidRDefault="00382353" w:rsidP="009E15C7">
      <w:pPr>
        <w:pStyle w:val="BulletLevel2"/>
      </w:pPr>
      <w:r>
        <w:t xml:space="preserve">If the Wage Subsidy </w:t>
      </w:r>
      <w:r w:rsidRPr="2596FA8E">
        <w:t>Participant works average hours equivalent to a higher level of Wage Subsidy (i.e. 30 hours or more per week)</w:t>
      </w:r>
      <w:r w:rsidR="00C659CF">
        <w:t>, t</w:t>
      </w:r>
      <w:r>
        <w:t>he Wage Subsidy Employer is not eligible for a higher level of Wage Subsidy Payment</w:t>
      </w:r>
      <w:r w:rsidR="00531E87">
        <w:t xml:space="preserve"> (i.e. under level 4 the maximum </w:t>
      </w:r>
      <w:r w:rsidR="00C45E1C">
        <w:t>agreed amount was up to $10,000).</w:t>
      </w:r>
      <w:r w:rsidR="00C45E1C" w:rsidRPr="00C45E1C">
        <w:rPr>
          <w:rFonts w:eastAsiaTheme="minorEastAsia"/>
        </w:rPr>
        <w:t xml:space="preserve"> </w:t>
      </w:r>
      <w:r w:rsidR="00C45E1C">
        <w:rPr>
          <w:rFonts w:eastAsiaTheme="minorEastAsia"/>
        </w:rPr>
        <w:t>T</w:t>
      </w:r>
      <w:r w:rsidR="00C45E1C" w:rsidRPr="7DC4F79C">
        <w:rPr>
          <w:rFonts w:eastAsiaTheme="minorEastAsia"/>
        </w:rPr>
        <w:t xml:space="preserve">he </w:t>
      </w:r>
      <w:r w:rsidR="00C45E1C">
        <w:rPr>
          <w:rFonts w:eastAsiaTheme="minorEastAsia"/>
        </w:rPr>
        <w:t xml:space="preserve">Wage Subsidy </w:t>
      </w:r>
      <w:r w:rsidR="00C45E1C" w:rsidRPr="7DC4F79C">
        <w:rPr>
          <w:rFonts w:eastAsiaTheme="minorEastAsia"/>
        </w:rPr>
        <w:t>Employer cannot receive more than the agreed Wage Subsidy amount</w:t>
      </w:r>
      <w:r w:rsidR="00C45E1C">
        <w:rPr>
          <w:rFonts w:eastAsiaTheme="minorEastAsia"/>
        </w:rPr>
        <w:t>.</w:t>
      </w:r>
    </w:p>
    <w:p w14:paraId="78501E55" w14:textId="31F4AD95" w:rsidR="00017C51" w:rsidRDefault="00BC2E6B" w:rsidP="009B0E28">
      <w:pPr>
        <w:pStyle w:val="BulletLevel2"/>
      </w:pPr>
      <w:r>
        <w:t>I</w:t>
      </w:r>
      <w:r w:rsidRPr="00842999">
        <w:t>f the average hours specified in the Wage Subsidy Agreement</w:t>
      </w:r>
      <w:r w:rsidR="00017C51">
        <w:t xml:space="preserve"> are not met</w:t>
      </w:r>
      <w:r w:rsidR="001C0207">
        <w:t>, including</w:t>
      </w:r>
      <w:r w:rsidR="004D2082">
        <w:t xml:space="preserve"> </w:t>
      </w:r>
      <w:r w:rsidR="001C0207">
        <w:t>if</w:t>
      </w:r>
      <w:r w:rsidRPr="00842999">
        <w:t xml:space="preserve"> a lower number of average hours are achieved</w:t>
      </w:r>
      <w:r>
        <w:t xml:space="preserve"> that would have meet the </w:t>
      </w:r>
      <w:r w:rsidR="003C1BFC" w:rsidRPr="2596FA8E">
        <w:t xml:space="preserve">average hours equivalent to a </w:t>
      </w:r>
      <w:r w:rsidR="00370AE4">
        <w:t>lower</w:t>
      </w:r>
      <w:r w:rsidR="003C1BFC" w:rsidRPr="2596FA8E">
        <w:t xml:space="preserve"> level of Wage Subsidy (i.e. </w:t>
      </w:r>
      <w:r w:rsidR="00370AE4">
        <w:t>15</w:t>
      </w:r>
      <w:r w:rsidR="003C1BFC" w:rsidRPr="2596FA8E">
        <w:t xml:space="preserve"> hours or more per week)</w:t>
      </w:r>
      <w:r w:rsidR="00370AE4">
        <w:t xml:space="preserve">, </w:t>
      </w:r>
      <w:r w:rsidR="007C6314" w:rsidRPr="003C1BFC">
        <w:t xml:space="preserve">a pro-rata </w:t>
      </w:r>
      <w:r w:rsidR="007C6314">
        <w:t xml:space="preserve">Wage Subsidy </w:t>
      </w:r>
      <w:r w:rsidR="007C6314" w:rsidRPr="003C1BFC">
        <w:t xml:space="preserve">Payment must be calculated according to the number of </w:t>
      </w:r>
      <w:r w:rsidR="005C6A5D">
        <w:t>C</w:t>
      </w:r>
      <w:r w:rsidR="007C6314" w:rsidRPr="003C1BFC">
        <w:t xml:space="preserve">onsecutive </w:t>
      </w:r>
      <w:r w:rsidR="005C6A5D">
        <w:t>W</w:t>
      </w:r>
      <w:r w:rsidR="007C6314" w:rsidRPr="003C1BFC">
        <w:t xml:space="preserve">eeks the Wage Subsidy Participant was employed at </w:t>
      </w:r>
      <w:r w:rsidR="007C6314">
        <w:t>2</w:t>
      </w:r>
      <w:r w:rsidR="007C6314" w:rsidRPr="003C1BFC">
        <w:t>0 hours per week, on average, from the Job Placement Start Date</w:t>
      </w:r>
      <w:r w:rsidR="007C6314">
        <w:t>. T</w:t>
      </w:r>
      <w:r w:rsidR="00370AE4">
        <w:t>he Wage Subsidy</w:t>
      </w:r>
      <w:r w:rsidR="004D2082">
        <w:t xml:space="preserve"> Employer</w:t>
      </w:r>
      <w:r w:rsidR="00370AE4">
        <w:t xml:space="preserve"> is not eligible for a</w:t>
      </w:r>
      <w:r w:rsidR="00FD415C">
        <w:t>n equivalent amount for the lower</w:t>
      </w:r>
      <w:r w:rsidR="00370AE4">
        <w:t xml:space="preserve"> level of Wage Subsidy Payment (i.e. under level 2 the maximum agreed amount was up to $5,000).</w:t>
      </w:r>
    </w:p>
    <w:p w14:paraId="58EE0044" w14:textId="77777777" w:rsidR="009F6408" w:rsidRPr="007D588F" w:rsidRDefault="009F6408" w:rsidP="009F6408">
      <w:pPr>
        <w:pStyle w:val="Heading5"/>
      </w:pPr>
      <w:r w:rsidRPr="2596FA8E">
        <w:rPr>
          <w:color w:val="00838A" w:themeColor="accent2" w:themeShade="BF"/>
          <w:lang w:eastAsia="en-AU"/>
        </w:rPr>
        <w:t>Participants a</w:t>
      </w:r>
      <w:r w:rsidRPr="2596FA8E">
        <w:rPr>
          <w:lang w:eastAsia="en-AU"/>
        </w:rPr>
        <w:t>ged under 25 years</w:t>
      </w:r>
    </w:p>
    <w:p w14:paraId="70E9EB1F" w14:textId="3F7CABDB" w:rsidR="009F6408" w:rsidRDefault="009F6408" w:rsidP="009F6408">
      <w:pPr>
        <w:rPr>
          <w:lang w:eastAsia="en-AU"/>
        </w:rPr>
      </w:pPr>
      <w:r w:rsidRPr="2596FA8E">
        <w:rPr>
          <w:lang w:eastAsia="en-AU"/>
        </w:rPr>
        <w:t xml:space="preserve">To help young </w:t>
      </w:r>
      <w:r w:rsidR="00072867" w:rsidRPr="2596FA8E">
        <w:rPr>
          <w:lang w:eastAsia="en-AU"/>
        </w:rPr>
        <w:t>P</w:t>
      </w:r>
      <w:r w:rsidRPr="2596FA8E">
        <w:rPr>
          <w:lang w:eastAsia="en-AU"/>
        </w:rPr>
        <w:t>articipants</w:t>
      </w:r>
      <w:r w:rsidR="002E2FC0" w:rsidRPr="2596FA8E">
        <w:rPr>
          <w:lang w:eastAsia="en-AU"/>
        </w:rPr>
        <w:t xml:space="preserve"> (those aged under 25 years)</w:t>
      </w:r>
      <w:r w:rsidRPr="2596FA8E">
        <w:rPr>
          <w:lang w:eastAsia="en-AU"/>
        </w:rPr>
        <w:t xml:space="preserve"> find </w:t>
      </w:r>
      <w:r w:rsidR="00C45E1C">
        <w:rPr>
          <w:lang w:eastAsia="en-AU"/>
        </w:rPr>
        <w:t>sustainable E</w:t>
      </w:r>
      <w:r w:rsidRPr="2596FA8E">
        <w:rPr>
          <w:lang w:eastAsia="en-AU"/>
        </w:rPr>
        <w:t xml:space="preserve">mployment, when </w:t>
      </w:r>
      <w:r w:rsidR="004F640D" w:rsidRPr="2596FA8E">
        <w:rPr>
          <w:lang w:eastAsia="en-AU"/>
        </w:rPr>
        <w:t>an</w:t>
      </w:r>
      <w:r w:rsidRPr="2596FA8E">
        <w:rPr>
          <w:lang w:eastAsia="en-AU"/>
        </w:rPr>
        <w:t xml:space="preserve"> Employer </w:t>
      </w:r>
      <w:r w:rsidR="1BCC6C87" w:rsidRPr="2596FA8E">
        <w:rPr>
          <w:lang w:eastAsia="en-AU"/>
        </w:rPr>
        <w:t xml:space="preserve">agrees to </w:t>
      </w:r>
      <w:r w:rsidRPr="2596FA8E">
        <w:rPr>
          <w:lang w:eastAsia="en-AU"/>
        </w:rPr>
        <w:t xml:space="preserve">provide </w:t>
      </w:r>
      <w:r w:rsidR="00457D05" w:rsidRPr="2596FA8E">
        <w:rPr>
          <w:lang w:eastAsia="en-AU"/>
        </w:rPr>
        <w:t>a minimum of</w:t>
      </w:r>
      <w:r w:rsidRPr="2596FA8E">
        <w:rPr>
          <w:lang w:eastAsia="en-AU"/>
        </w:rPr>
        <w:t xml:space="preserve"> 20 hours of Employment per week on average </w:t>
      </w:r>
      <w:r w:rsidR="004D65AD" w:rsidRPr="2596FA8E">
        <w:rPr>
          <w:lang w:eastAsia="en-AU"/>
        </w:rPr>
        <w:t>across</w:t>
      </w:r>
      <w:r w:rsidRPr="2596FA8E">
        <w:rPr>
          <w:lang w:eastAsia="en-AU"/>
        </w:rPr>
        <w:t xml:space="preserve"> the Wage Subsidy Agreement </w:t>
      </w:r>
      <w:r w:rsidR="7D30DD36" w:rsidRPr="7C680637">
        <w:rPr>
          <w:lang w:eastAsia="en-AU"/>
        </w:rPr>
        <w:t>T</w:t>
      </w:r>
      <w:r w:rsidRPr="7C680637">
        <w:rPr>
          <w:lang w:eastAsia="en-AU"/>
        </w:rPr>
        <w:t>erm</w:t>
      </w:r>
      <w:r w:rsidR="003367E5" w:rsidRPr="2596FA8E">
        <w:rPr>
          <w:lang w:eastAsia="en-AU"/>
        </w:rPr>
        <w:t xml:space="preserve">, </w:t>
      </w:r>
      <w:r w:rsidRPr="2596FA8E">
        <w:rPr>
          <w:lang w:eastAsia="en-AU"/>
        </w:rPr>
        <w:t xml:space="preserve">the highest </w:t>
      </w:r>
      <w:r w:rsidR="5BAD9A49" w:rsidRPr="2596FA8E">
        <w:rPr>
          <w:lang w:eastAsia="en-AU"/>
        </w:rPr>
        <w:t xml:space="preserve">Wage Subsidy Level </w:t>
      </w:r>
      <w:r w:rsidRPr="2596FA8E">
        <w:rPr>
          <w:lang w:eastAsia="en-AU"/>
        </w:rPr>
        <w:t>of $10,000 appl</w:t>
      </w:r>
      <w:r w:rsidR="3C336904" w:rsidRPr="2596FA8E">
        <w:rPr>
          <w:lang w:eastAsia="en-AU"/>
        </w:rPr>
        <w:t>ies</w:t>
      </w:r>
      <w:r w:rsidR="00C574A4" w:rsidRPr="2596FA8E">
        <w:rPr>
          <w:lang w:eastAsia="en-AU"/>
        </w:rPr>
        <w:t>.</w:t>
      </w:r>
      <w:r w:rsidRPr="2596FA8E">
        <w:rPr>
          <w:lang w:eastAsia="en-AU"/>
        </w:rPr>
        <w:t xml:space="preserve"> </w:t>
      </w:r>
      <w:r>
        <w:t>If a</w:t>
      </w:r>
      <w:r w:rsidR="00ED1AE3">
        <w:t>n Employer</w:t>
      </w:r>
      <w:r>
        <w:t xml:space="preserve"> offers a </w:t>
      </w:r>
      <w:r w:rsidR="00BB0837">
        <w:t xml:space="preserve">young Participant </w:t>
      </w:r>
      <w:r w:rsidR="1756EFB2">
        <w:t xml:space="preserve">less </w:t>
      </w:r>
      <w:r>
        <w:t>than 20 hours of work per week, the</w:t>
      </w:r>
      <w:r w:rsidR="002D7CF1">
        <w:t>y will</w:t>
      </w:r>
      <w:r w:rsidR="001B659D">
        <w:t xml:space="preserve"> only</w:t>
      </w:r>
      <w:r w:rsidR="002D7CF1">
        <w:t xml:space="preserve"> be able to a</w:t>
      </w:r>
      <w:r w:rsidR="4D16FD39">
        <w:t xml:space="preserve">gree </w:t>
      </w:r>
      <w:r>
        <w:t>the maximum Wage Subsidy value specified for that level</w:t>
      </w:r>
      <w:r w:rsidR="00C05A6C">
        <w:t xml:space="preserve"> </w:t>
      </w:r>
      <w:r w:rsidR="00B24053">
        <w:t xml:space="preserve">(i.e. </w:t>
      </w:r>
      <w:r w:rsidR="00853FDA">
        <w:t>l</w:t>
      </w:r>
      <w:r w:rsidR="007A3937">
        <w:t xml:space="preserve">evels 1 to </w:t>
      </w:r>
      <w:r w:rsidR="00853FDA">
        <w:t>3</w:t>
      </w:r>
      <w:r w:rsidR="007A3937">
        <w:t xml:space="preserve"> depending on </w:t>
      </w:r>
      <w:r w:rsidR="0CD8B089">
        <w:t xml:space="preserve">the </w:t>
      </w:r>
      <w:r w:rsidR="003356C4">
        <w:t xml:space="preserve">total weekly </w:t>
      </w:r>
      <w:r w:rsidR="007A3937">
        <w:t>hours wo</w:t>
      </w:r>
      <w:r w:rsidR="003356C4">
        <w:t>r</w:t>
      </w:r>
      <w:r w:rsidR="007A3937">
        <w:t xml:space="preserve">ked </w:t>
      </w:r>
      <w:r w:rsidR="00853FDA">
        <w:t>over the Wage Subsidy Agreement Term, as per the table above</w:t>
      </w:r>
      <w:r w:rsidR="00B24053">
        <w:t>)</w:t>
      </w:r>
      <w:r>
        <w:t>.</w:t>
      </w:r>
      <w:r w:rsidR="00E0342D">
        <w:t xml:space="preserve"> </w:t>
      </w:r>
    </w:p>
    <w:p w14:paraId="439B9773" w14:textId="5E15976F" w:rsidR="529DFD81" w:rsidRDefault="529DFD81" w:rsidP="05D5699F">
      <w:pPr>
        <w:pStyle w:val="Heading5"/>
      </w:pPr>
      <w:r>
        <w:t xml:space="preserve">Subsidy work hours must be enough to </w:t>
      </w:r>
      <w:r w:rsidR="3F01F7FF">
        <w:t xml:space="preserve">have met the level of </w:t>
      </w:r>
      <w:r w:rsidR="6EFC52B5">
        <w:t xml:space="preserve">an Employment </w:t>
      </w:r>
      <w:r>
        <w:t>Outcome</w:t>
      </w:r>
      <w:r w:rsidR="6EFC52B5">
        <w:t xml:space="preserve"> </w:t>
      </w:r>
    </w:p>
    <w:p w14:paraId="1E5B6A0F" w14:textId="3550648E" w:rsidR="00933845" w:rsidRDefault="529DFD81" w:rsidP="05D5699F">
      <w:pPr>
        <w:rPr>
          <w:lang w:eastAsia="en-AU"/>
        </w:rPr>
      </w:pPr>
      <w:r w:rsidRPr="2596FA8E">
        <w:rPr>
          <w:lang w:eastAsia="en-AU"/>
        </w:rPr>
        <w:t xml:space="preserve">Wage Subsidies are intended to ensure Participants are offered </w:t>
      </w:r>
      <w:r w:rsidR="40F77A93" w:rsidRPr="2596FA8E">
        <w:rPr>
          <w:lang w:eastAsia="en-AU"/>
        </w:rPr>
        <w:t>hours of work</w:t>
      </w:r>
      <w:r w:rsidRPr="2596FA8E">
        <w:rPr>
          <w:lang w:eastAsia="en-AU"/>
        </w:rPr>
        <w:t xml:space="preserve"> </w:t>
      </w:r>
      <w:r w:rsidR="72D399FD" w:rsidRPr="2596FA8E">
        <w:rPr>
          <w:lang w:eastAsia="en-AU"/>
        </w:rPr>
        <w:t>appropriate to</w:t>
      </w:r>
      <w:r w:rsidRPr="2596FA8E">
        <w:rPr>
          <w:lang w:eastAsia="en-AU"/>
        </w:rPr>
        <w:t xml:space="preserve"> their work capacity</w:t>
      </w:r>
      <w:r w:rsidR="009D3004">
        <w:rPr>
          <w:lang w:eastAsia="en-AU"/>
        </w:rPr>
        <w:t>.</w:t>
      </w:r>
      <w:r w:rsidR="00164EB8">
        <w:rPr>
          <w:lang w:eastAsia="en-AU"/>
        </w:rPr>
        <w:t xml:space="preserve"> A Wage Subsidy </w:t>
      </w:r>
      <w:r w:rsidR="00ED4C5A">
        <w:rPr>
          <w:lang w:eastAsia="en-AU"/>
        </w:rPr>
        <w:t xml:space="preserve">Agreement </w:t>
      </w:r>
      <w:r w:rsidR="00446FE1">
        <w:rPr>
          <w:lang w:eastAsia="en-AU"/>
        </w:rPr>
        <w:t xml:space="preserve">must </w:t>
      </w:r>
      <w:r w:rsidR="00ED4C5A">
        <w:rPr>
          <w:lang w:eastAsia="en-AU"/>
        </w:rPr>
        <w:t>specify</w:t>
      </w:r>
      <w:r w:rsidR="00446FE1">
        <w:rPr>
          <w:lang w:eastAsia="en-AU"/>
        </w:rPr>
        <w:t xml:space="preserve"> weekly hours </w:t>
      </w:r>
      <w:r w:rsidR="006E07F5">
        <w:rPr>
          <w:lang w:eastAsia="en-AU"/>
        </w:rPr>
        <w:t xml:space="preserve">of Employment </w:t>
      </w:r>
      <w:r w:rsidR="00446FE1">
        <w:rPr>
          <w:lang w:eastAsia="en-AU"/>
        </w:rPr>
        <w:t>that would</w:t>
      </w:r>
      <w:r w:rsidR="00744125">
        <w:rPr>
          <w:lang w:eastAsia="en-AU"/>
        </w:rPr>
        <w:t xml:space="preserve"> </w:t>
      </w:r>
      <w:r w:rsidR="00C5140E" w:rsidRPr="2596FA8E">
        <w:rPr>
          <w:lang w:eastAsia="en-AU"/>
        </w:rPr>
        <w:t>allow</w:t>
      </w:r>
      <w:r w:rsidRPr="2596FA8E">
        <w:rPr>
          <w:lang w:eastAsia="en-AU"/>
        </w:rPr>
        <w:t xml:space="preserve"> the Participant </w:t>
      </w:r>
      <w:r w:rsidR="00D4561F" w:rsidRPr="2596FA8E">
        <w:rPr>
          <w:lang w:eastAsia="en-AU"/>
        </w:rPr>
        <w:t>to achieve</w:t>
      </w:r>
      <w:r w:rsidR="5E6DEAC5" w:rsidRPr="2596FA8E">
        <w:rPr>
          <w:lang w:eastAsia="en-AU"/>
        </w:rPr>
        <w:t xml:space="preserve"> a</w:t>
      </w:r>
      <w:r w:rsidR="00933845" w:rsidRPr="2596FA8E">
        <w:rPr>
          <w:lang w:eastAsia="en-AU"/>
        </w:rPr>
        <w:t>:</w:t>
      </w:r>
    </w:p>
    <w:p w14:paraId="5B547E84" w14:textId="56DC8545" w:rsidR="00933845" w:rsidRDefault="529DFD81" w:rsidP="00933845">
      <w:pPr>
        <w:pStyle w:val="BulletLevel1"/>
      </w:pPr>
      <w:r w:rsidRPr="2596FA8E">
        <w:rPr>
          <w:lang w:eastAsia="en-AU"/>
        </w:rPr>
        <w:t xml:space="preserve">Full or Partial Outcome for </w:t>
      </w:r>
      <w:r w:rsidR="00933845" w:rsidRPr="2596FA8E">
        <w:rPr>
          <w:lang w:eastAsia="en-AU"/>
        </w:rPr>
        <w:t xml:space="preserve">Participants who have an Employment Benchmark or </w:t>
      </w:r>
      <w:r w:rsidRPr="2596FA8E">
        <w:rPr>
          <w:lang w:eastAsia="en-AU"/>
        </w:rPr>
        <w:t xml:space="preserve">15, 23 or 30 hours </w:t>
      </w:r>
      <w:r w:rsidR="00933845" w:rsidRPr="2596FA8E">
        <w:rPr>
          <w:lang w:eastAsia="en-AU"/>
        </w:rPr>
        <w:t>per week</w:t>
      </w:r>
      <w:r w:rsidR="00F97207" w:rsidRPr="2596FA8E">
        <w:rPr>
          <w:lang w:eastAsia="en-AU"/>
        </w:rPr>
        <w:t>,</w:t>
      </w:r>
      <w:r w:rsidRPr="2596FA8E">
        <w:rPr>
          <w:lang w:eastAsia="en-AU"/>
        </w:rPr>
        <w:t xml:space="preserve"> or </w:t>
      </w:r>
    </w:p>
    <w:p w14:paraId="652F6E54" w14:textId="08806AE6" w:rsidR="529DFD81" w:rsidRDefault="529DFD81" w:rsidP="00933845">
      <w:pPr>
        <w:pStyle w:val="BulletLevel1"/>
      </w:pPr>
      <w:r w:rsidRPr="579C5725">
        <w:rPr>
          <w:lang w:eastAsia="en-AU"/>
        </w:rPr>
        <w:t xml:space="preserve">Full Outcome for </w:t>
      </w:r>
      <w:r w:rsidR="00933845" w:rsidRPr="579C5725">
        <w:rPr>
          <w:lang w:eastAsia="en-AU"/>
        </w:rPr>
        <w:t>P</w:t>
      </w:r>
      <w:r w:rsidRPr="579C5725">
        <w:rPr>
          <w:lang w:eastAsia="en-AU"/>
        </w:rPr>
        <w:t>articipants</w:t>
      </w:r>
      <w:r w:rsidR="008773F8" w:rsidRPr="579C5725">
        <w:rPr>
          <w:lang w:eastAsia="en-AU"/>
        </w:rPr>
        <w:t xml:space="preserve"> </w:t>
      </w:r>
      <w:r w:rsidR="00933845" w:rsidRPr="579C5725">
        <w:rPr>
          <w:lang w:eastAsia="en-AU"/>
        </w:rPr>
        <w:t>who have</w:t>
      </w:r>
      <w:r w:rsidR="008773F8" w:rsidRPr="579C5725">
        <w:rPr>
          <w:lang w:eastAsia="en-AU"/>
        </w:rPr>
        <w:t xml:space="preserve"> an </w:t>
      </w:r>
      <w:r w:rsidR="008773F8">
        <w:t>Employment Benchmark of 0 or 8 hours</w:t>
      </w:r>
      <w:r w:rsidR="00933845">
        <w:t xml:space="preserve"> </w:t>
      </w:r>
      <w:r w:rsidR="008D5E8A">
        <w:t xml:space="preserve">per week </w:t>
      </w:r>
      <w:r w:rsidR="00933845">
        <w:t>(</w:t>
      </w:r>
      <w:r w:rsidR="00100894">
        <w:t xml:space="preserve">as </w:t>
      </w:r>
      <w:r w:rsidR="004F46AE">
        <w:t xml:space="preserve">an </w:t>
      </w:r>
      <w:r w:rsidR="00353F8E">
        <w:t>Inclusive Employment Australia</w:t>
      </w:r>
      <w:r w:rsidR="00100894">
        <w:t xml:space="preserve"> Wage Subsidy must be for </w:t>
      </w:r>
      <w:r w:rsidR="004F46AE">
        <w:t xml:space="preserve">a minimum </w:t>
      </w:r>
      <w:r w:rsidR="00721285">
        <w:t xml:space="preserve">of </w:t>
      </w:r>
      <w:r w:rsidR="00100894">
        <w:t>8 hours</w:t>
      </w:r>
      <w:r w:rsidR="00E3027B">
        <w:t xml:space="preserve"> per week</w:t>
      </w:r>
      <w:r w:rsidR="004F46AE">
        <w:t xml:space="preserve"> average</w:t>
      </w:r>
      <w:r w:rsidR="00933845">
        <w:t>)</w:t>
      </w:r>
      <w:r>
        <w:t>.</w:t>
      </w:r>
    </w:p>
    <w:p w14:paraId="04A42BBD" w14:textId="6A9501A7" w:rsidR="00DC1260" w:rsidRDefault="529DFD81" w:rsidP="05D5699F">
      <w:pPr>
        <w:rPr>
          <w:lang w:eastAsia="en-AU"/>
        </w:rPr>
      </w:pPr>
      <w:r w:rsidRPr="05D5699F">
        <w:rPr>
          <w:lang w:eastAsia="en-AU"/>
        </w:rPr>
        <w:t>The following table shows which levels of Wage Subsidy may be available for Participants, based on their Employment Benchmark.</w:t>
      </w:r>
    </w:p>
    <w:p w14:paraId="19C9276D" w14:textId="5DF9817B" w:rsidR="529DFD81" w:rsidRDefault="00353F8E" w:rsidP="05D5699F">
      <w:pPr>
        <w:pStyle w:val="TableChartHeading"/>
        <w:rPr>
          <w:lang w:eastAsia="en-AU"/>
        </w:rPr>
      </w:pPr>
      <w:r>
        <w:rPr>
          <w:lang w:eastAsia="en-AU"/>
        </w:rPr>
        <w:t>Inclusive Employment Australia</w:t>
      </w:r>
      <w:r w:rsidR="529DFD81" w:rsidRPr="05D5699F">
        <w:rPr>
          <w:lang w:eastAsia="en-AU"/>
        </w:rPr>
        <w:t xml:space="preserve"> Wage Subsidy </w:t>
      </w:r>
      <w:r w:rsidR="00E52843" w:rsidRPr="4B09852D">
        <w:rPr>
          <w:lang w:eastAsia="en-AU"/>
        </w:rPr>
        <w:t>L</w:t>
      </w:r>
      <w:r w:rsidR="529DFD81" w:rsidRPr="4B09852D">
        <w:rPr>
          <w:lang w:eastAsia="en-AU"/>
        </w:rPr>
        <w:t>evel</w:t>
      </w:r>
      <w:r w:rsidR="00E52843">
        <w:rPr>
          <w:lang w:eastAsia="en-AU"/>
        </w:rPr>
        <w:t xml:space="preserve"> Availability by </w:t>
      </w:r>
      <w:r w:rsidR="00E52843" w:rsidRPr="4B09852D">
        <w:rPr>
          <w:lang w:eastAsia="en-AU"/>
        </w:rPr>
        <w:t>Benchmarks</w:t>
      </w:r>
    </w:p>
    <w:tbl>
      <w:tblPr>
        <w:tblStyle w:val="DSSTableStyleB"/>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04"/>
        <w:gridCol w:w="1256"/>
        <w:gridCol w:w="1951"/>
        <w:gridCol w:w="1947"/>
        <w:gridCol w:w="1788"/>
        <w:gridCol w:w="1658"/>
      </w:tblGrid>
      <w:tr w:rsidR="000A1E87" w14:paraId="220A85F9" w14:textId="77777777" w:rsidTr="00DE7A9B">
        <w:trPr>
          <w:cnfStyle w:val="100000000000" w:firstRow="1" w:lastRow="0" w:firstColumn="0" w:lastColumn="0" w:oddVBand="0" w:evenVBand="0" w:oddHBand="0" w:evenHBand="0" w:firstRowFirstColumn="0" w:firstRowLastColumn="0" w:lastRowFirstColumn="0" w:lastRowLastColumn="0"/>
          <w:trHeight w:val="300"/>
          <w:jc w:val="center"/>
        </w:trPr>
        <w:tc>
          <w:tcPr>
            <w:tcW w:w="1604" w:type="dxa"/>
          </w:tcPr>
          <w:p w14:paraId="0A4B1A1B" w14:textId="17E7FF1C" w:rsidR="05D5699F" w:rsidRPr="00933845" w:rsidRDefault="05D5699F" w:rsidP="00933845">
            <w:pPr>
              <w:pStyle w:val="TableText"/>
            </w:pPr>
            <w:r>
              <w:t>Participant’s Employment Benchmark</w:t>
            </w:r>
          </w:p>
        </w:tc>
        <w:tc>
          <w:tcPr>
            <w:tcW w:w="1256" w:type="dxa"/>
          </w:tcPr>
          <w:p w14:paraId="0E3759D3" w14:textId="3A329F5A" w:rsidR="05D5699F" w:rsidRPr="00933845" w:rsidRDefault="05D5699F" w:rsidP="00933845">
            <w:pPr>
              <w:pStyle w:val="TableText"/>
            </w:pPr>
            <w:r>
              <w:t>Partial Outcome Hours</w:t>
            </w:r>
          </w:p>
        </w:tc>
        <w:tc>
          <w:tcPr>
            <w:tcW w:w="1951" w:type="dxa"/>
          </w:tcPr>
          <w:p w14:paraId="792A2BB6" w14:textId="6211B823" w:rsidR="05D5699F" w:rsidRPr="00933845" w:rsidRDefault="05D5699F" w:rsidP="007B0715">
            <w:pPr>
              <w:pStyle w:val="TableText"/>
            </w:pPr>
            <w:r>
              <w:t>Level 1:</w:t>
            </w:r>
            <w:r w:rsidR="007B0715">
              <w:br/>
            </w:r>
            <w:r>
              <w:t xml:space="preserve">8-14 hours </w:t>
            </w:r>
            <w:r>
              <w:br/>
              <w:t>per week</w:t>
            </w:r>
          </w:p>
        </w:tc>
        <w:tc>
          <w:tcPr>
            <w:tcW w:w="1947" w:type="dxa"/>
          </w:tcPr>
          <w:p w14:paraId="5DCE198C" w14:textId="70961A6E" w:rsidR="05D5699F" w:rsidRPr="00933845" w:rsidRDefault="05D5699F" w:rsidP="007B0715">
            <w:pPr>
              <w:pStyle w:val="TableText"/>
            </w:pPr>
            <w:r>
              <w:t>Level 2:</w:t>
            </w:r>
            <w:r w:rsidR="007B0715">
              <w:br/>
            </w:r>
            <w:r>
              <w:t>15-19 hours</w:t>
            </w:r>
            <w:r>
              <w:br/>
              <w:t>per week</w:t>
            </w:r>
          </w:p>
        </w:tc>
        <w:tc>
          <w:tcPr>
            <w:tcW w:w="1788" w:type="dxa"/>
          </w:tcPr>
          <w:p w14:paraId="105D7EEF" w14:textId="3A7E7671" w:rsidR="05D5699F" w:rsidRPr="00933845" w:rsidRDefault="05D5699F" w:rsidP="007B0715">
            <w:pPr>
              <w:pStyle w:val="TableText"/>
            </w:pPr>
            <w:r>
              <w:t>Level 3:</w:t>
            </w:r>
            <w:r w:rsidR="007B0715">
              <w:br/>
            </w:r>
            <w:r>
              <w:t>20-29 hours</w:t>
            </w:r>
            <w:r>
              <w:br/>
              <w:t>per week</w:t>
            </w:r>
          </w:p>
        </w:tc>
        <w:tc>
          <w:tcPr>
            <w:tcW w:w="1658" w:type="dxa"/>
          </w:tcPr>
          <w:p w14:paraId="35B2FECA" w14:textId="79BC19F0" w:rsidR="05D5699F" w:rsidRPr="00933845" w:rsidRDefault="05D5699F" w:rsidP="007B0715">
            <w:pPr>
              <w:pStyle w:val="TableText"/>
            </w:pPr>
            <w:r>
              <w:t>Level 4:</w:t>
            </w:r>
            <w:r w:rsidR="007B0715">
              <w:br/>
            </w:r>
            <w:r>
              <w:t>30+ hours</w:t>
            </w:r>
            <w:r>
              <w:br/>
              <w:t>per week</w:t>
            </w:r>
          </w:p>
        </w:tc>
      </w:tr>
      <w:tr w:rsidR="00327234" w14:paraId="51AFE819"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1604" w:type="dxa"/>
          </w:tcPr>
          <w:p w14:paraId="67C27DB6" w14:textId="067D4488" w:rsidR="00327234" w:rsidRDefault="00327234" w:rsidP="00933845">
            <w:pPr>
              <w:pStyle w:val="TableText"/>
            </w:pPr>
            <w:r w:rsidRPr="00933845">
              <w:t>0</w:t>
            </w:r>
            <w:r w:rsidR="008D5E8A">
              <w:t xml:space="preserve"> hours</w:t>
            </w:r>
          </w:p>
        </w:tc>
        <w:tc>
          <w:tcPr>
            <w:tcW w:w="1256" w:type="dxa"/>
          </w:tcPr>
          <w:p w14:paraId="2B5D9FF6" w14:textId="3909E1E8" w:rsidR="00327234" w:rsidRDefault="4810B6DC" w:rsidP="00933845">
            <w:pPr>
              <w:pStyle w:val="TableText"/>
            </w:pPr>
            <w:r>
              <w:t>N/A</w:t>
            </w:r>
            <w:r w:rsidR="00100894">
              <w:t>*</w:t>
            </w:r>
          </w:p>
        </w:tc>
        <w:tc>
          <w:tcPr>
            <w:tcW w:w="1951" w:type="dxa"/>
          </w:tcPr>
          <w:p w14:paraId="41CE68F9" w14:textId="7167FFE6" w:rsidR="00327234" w:rsidRDefault="00327234" w:rsidP="00933845">
            <w:pPr>
              <w:pStyle w:val="TableText"/>
            </w:pPr>
            <w:r>
              <w:t>Available</w:t>
            </w:r>
          </w:p>
        </w:tc>
        <w:tc>
          <w:tcPr>
            <w:tcW w:w="1947" w:type="dxa"/>
          </w:tcPr>
          <w:p w14:paraId="269DF2AC" w14:textId="3DD10A46" w:rsidR="00327234" w:rsidRDefault="00327234" w:rsidP="00933845">
            <w:pPr>
              <w:pStyle w:val="TableText"/>
            </w:pPr>
            <w:r>
              <w:t>Available</w:t>
            </w:r>
          </w:p>
        </w:tc>
        <w:tc>
          <w:tcPr>
            <w:tcW w:w="1788" w:type="dxa"/>
          </w:tcPr>
          <w:p w14:paraId="14737EA3" w14:textId="1783F2AE" w:rsidR="00327234" w:rsidRDefault="00327234" w:rsidP="00933845">
            <w:pPr>
              <w:pStyle w:val="TableText"/>
            </w:pPr>
            <w:r>
              <w:t>Available</w:t>
            </w:r>
          </w:p>
        </w:tc>
        <w:tc>
          <w:tcPr>
            <w:tcW w:w="1658" w:type="dxa"/>
          </w:tcPr>
          <w:p w14:paraId="2DCDF800" w14:textId="3C01A91F" w:rsidR="00327234" w:rsidRDefault="00327234" w:rsidP="00933845">
            <w:pPr>
              <w:pStyle w:val="TableText"/>
            </w:pPr>
            <w:r>
              <w:t>Available</w:t>
            </w:r>
          </w:p>
        </w:tc>
      </w:tr>
      <w:tr w:rsidR="000A1E87" w14:paraId="289A5E02" w14:textId="77777777" w:rsidTr="009E15C7">
        <w:trPr>
          <w:cnfStyle w:val="000000010000" w:firstRow="0" w:lastRow="0" w:firstColumn="0" w:lastColumn="0" w:oddVBand="0" w:evenVBand="0" w:oddHBand="0" w:evenHBand="1" w:firstRowFirstColumn="0" w:firstRowLastColumn="0" w:lastRowFirstColumn="0" w:lastRowLastColumn="0"/>
          <w:trHeight w:val="300"/>
          <w:jc w:val="center"/>
        </w:trPr>
        <w:tc>
          <w:tcPr>
            <w:tcW w:w="1604" w:type="dxa"/>
            <w:tcBorders>
              <w:bottom w:val="single" w:sz="4" w:space="0" w:color="auto"/>
            </w:tcBorders>
          </w:tcPr>
          <w:p w14:paraId="59DB25D0" w14:textId="58B01833" w:rsidR="05D5699F" w:rsidRPr="00933845" w:rsidRDefault="314E81C1" w:rsidP="00933845">
            <w:pPr>
              <w:pStyle w:val="TableText"/>
            </w:pPr>
            <w:r w:rsidRPr="00933845">
              <w:t>8</w:t>
            </w:r>
            <w:r w:rsidR="008D5E8A">
              <w:t xml:space="preserve"> hours</w:t>
            </w:r>
          </w:p>
        </w:tc>
        <w:tc>
          <w:tcPr>
            <w:tcW w:w="1256" w:type="dxa"/>
            <w:tcBorders>
              <w:bottom w:val="single" w:sz="4" w:space="0" w:color="auto"/>
            </w:tcBorders>
          </w:tcPr>
          <w:p w14:paraId="37C5E0A7" w14:textId="4F86224E" w:rsidR="00DC1260" w:rsidRPr="00933845" w:rsidRDefault="769566BF" w:rsidP="00933845">
            <w:pPr>
              <w:pStyle w:val="TableText"/>
            </w:pPr>
            <w:r>
              <w:t>N/A</w:t>
            </w:r>
            <w:r w:rsidR="00100894">
              <w:t>*</w:t>
            </w:r>
          </w:p>
        </w:tc>
        <w:tc>
          <w:tcPr>
            <w:tcW w:w="1951" w:type="dxa"/>
            <w:tcBorders>
              <w:bottom w:val="single" w:sz="4" w:space="0" w:color="auto"/>
            </w:tcBorders>
          </w:tcPr>
          <w:p w14:paraId="3F9A0B93" w14:textId="629DD0EC" w:rsidR="05D5699F" w:rsidRPr="00933845" w:rsidRDefault="05D5699F" w:rsidP="00933845">
            <w:pPr>
              <w:pStyle w:val="TableText"/>
            </w:pPr>
            <w:r>
              <w:t>Available</w:t>
            </w:r>
          </w:p>
        </w:tc>
        <w:tc>
          <w:tcPr>
            <w:tcW w:w="1947" w:type="dxa"/>
            <w:tcBorders>
              <w:bottom w:val="single" w:sz="4" w:space="0" w:color="auto"/>
            </w:tcBorders>
          </w:tcPr>
          <w:p w14:paraId="315AE988" w14:textId="5B64E937" w:rsidR="05D5699F" w:rsidRPr="00933845" w:rsidRDefault="05D5699F" w:rsidP="00933845">
            <w:pPr>
              <w:pStyle w:val="TableText"/>
            </w:pPr>
            <w:r>
              <w:t>Available</w:t>
            </w:r>
          </w:p>
        </w:tc>
        <w:tc>
          <w:tcPr>
            <w:tcW w:w="1788" w:type="dxa"/>
            <w:tcBorders>
              <w:bottom w:val="single" w:sz="4" w:space="0" w:color="auto"/>
            </w:tcBorders>
          </w:tcPr>
          <w:p w14:paraId="6BFFCAB4" w14:textId="4953CA02" w:rsidR="05D5699F" w:rsidRPr="00933845" w:rsidRDefault="05D5699F" w:rsidP="00933845">
            <w:pPr>
              <w:pStyle w:val="TableText"/>
            </w:pPr>
            <w:r>
              <w:t>Available</w:t>
            </w:r>
          </w:p>
        </w:tc>
        <w:tc>
          <w:tcPr>
            <w:tcW w:w="1658" w:type="dxa"/>
            <w:tcBorders>
              <w:bottom w:val="single" w:sz="4" w:space="0" w:color="auto"/>
            </w:tcBorders>
          </w:tcPr>
          <w:p w14:paraId="26201388" w14:textId="2E797F33" w:rsidR="05D5699F" w:rsidRPr="00933845" w:rsidRDefault="05D5699F" w:rsidP="00933845">
            <w:pPr>
              <w:pStyle w:val="TableText"/>
            </w:pPr>
            <w:r>
              <w:t>Available</w:t>
            </w:r>
          </w:p>
        </w:tc>
      </w:tr>
      <w:tr w:rsidR="05D5699F" w14:paraId="5A0CE8EC" w14:textId="77777777" w:rsidTr="009E15C7">
        <w:trPr>
          <w:cnfStyle w:val="000000100000" w:firstRow="0" w:lastRow="0" w:firstColumn="0" w:lastColumn="0" w:oddVBand="0" w:evenVBand="0" w:oddHBand="1" w:evenHBand="0" w:firstRowFirstColumn="0" w:firstRowLastColumn="0" w:lastRowFirstColumn="0" w:lastRowLastColumn="0"/>
          <w:trHeight w:val="300"/>
          <w:jc w:val="center"/>
        </w:trPr>
        <w:tc>
          <w:tcPr>
            <w:tcW w:w="1604" w:type="dxa"/>
            <w:tcBorders>
              <w:bottom w:val="single" w:sz="4" w:space="0" w:color="auto"/>
            </w:tcBorders>
          </w:tcPr>
          <w:p w14:paraId="3882FC53" w14:textId="1C8E212C" w:rsidR="05D5699F" w:rsidRPr="00933845" w:rsidRDefault="05D5699F" w:rsidP="00933845">
            <w:pPr>
              <w:pStyle w:val="TableText"/>
            </w:pPr>
            <w:r w:rsidRPr="00933845">
              <w:t>15</w:t>
            </w:r>
            <w:r w:rsidR="008D5E8A">
              <w:t xml:space="preserve"> hours</w:t>
            </w:r>
          </w:p>
        </w:tc>
        <w:tc>
          <w:tcPr>
            <w:tcW w:w="1256" w:type="dxa"/>
            <w:tcBorders>
              <w:bottom w:val="single" w:sz="4" w:space="0" w:color="auto"/>
            </w:tcBorders>
          </w:tcPr>
          <w:p w14:paraId="31FD36C1" w14:textId="72313CC1" w:rsidR="05D5699F" w:rsidRPr="00933845" w:rsidRDefault="05D5699F" w:rsidP="00933845">
            <w:pPr>
              <w:pStyle w:val="TableText"/>
            </w:pPr>
            <w:r>
              <w:t>10-14</w:t>
            </w:r>
          </w:p>
        </w:tc>
        <w:tc>
          <w:tcPr>
            <w:tcW w:w="1951" w:type="dxa"/>
            <w:tcBorders>
              <w:bottom w:val="single" w:sz="4" w:space="0" w:color="auto"/>
            </w:tcBorders>
          </w:tcPr>
          <w:p w14:paraId="2B0F13F1" w14:textId="5F5BC85D" w:rsidR="05D5699F" w:rsidRPr="00933845" w:rsidRDefault="05D5699F" w:rsidP="00933845">
            <w:pPr>
              <w:pStyle w:val="TableText"/>
            </w:pPr>
            <w:r>
              <w:t>Available*</w:t>
            </w:r>
            <w:r w:rsidR="00100894">
              <w:t>*</w:t>
            </w:r>
          </w:p>
        </w:tc>
        <w:tc>
          <w:tcPr>
            <w:tcW w:w="1947" w:type="dxa"/>
            <w:tcBorders>
              <w:bottom w:val="single" w:sz="4" w:space="0" w:color="auto"/>
            </w:tcBorders>
          </w:tcPr>
          <w:p w14:paraId="00C6F413" w14:textId="2D95FB07" w:rsidR="05D5699F" w:rsidRPr="00933845" w:rsidRDefault="05D5699F" w:rsidP="00933845">
            <w:pPr>
              <w:pStyle w:val="TableText"/>
            </w:pPr>
            <w:r>
              <w:t>Available</w:t>
            </w:r>
          </w:p>
        </w:tc>
        <w:tc>
          <w:tcPr>
            <w:tcW w:w="1788" w:type="dxa"/>
            <w:tcBorders>
              <w:bottom w:val="single" w:sz="4" w:space="0" w:color="auto"/>
            </w:tcBorders>
          </w:tcPr>
          <w:p w14:paraId="313F3C2C" w14:textId="6DCC13E2" w:rsidR="05D5699F" w:rsidRPr="00933845" w:rsidRDefault="05D5699F" w:rsidP="00933845">
            <w:pPr>
              <w:pStyle w:val="TableText"/>
            </w:pPr>
            <w:r>
              <w:t>Available</w:t>
            </w:r>
          </w:p>
        </w:tc>
        <w:tc>
          <w:tcPr>
            <w:tcW w:w="1658" w:type="dxa"/>
            <w:tcBorders>
              <w:bottom w:val="single" w:sz="4" w:space="0" w:color="auto"/>
            </w:tcBorders>
          </w:tcPr>
          <w:p w14:paraId="7CE70BC6" w14:textId="4923A4DC" w:rsidR="05D5699F" w:rsidRPr="00933845" w:rsidRDefault="05D5699F" w:rsidP="00933845">
            <w:pPr>
              <w:pStyle w:val="TableText"/>
            </w:pPr>
            <w:r>
              <w:t>Available</w:t>
            </w:r>
          </w:p>
        </w:tc>
      </w:tr>
      <w:tr w:rsidR="000A1E87" w14:paraId="1BA710A4" w14:textId="77777777" w:rsidTr="009E15C7">
        <w:trPr>
          <w:cnfStyle w:val="000000010000" w:firstRow="0" w:lastRow="0" w:firstColumn="0" w:lastColumn="0" w:oddVBand="0" w:evenVBand="0" w:oddHBand="0" w:evenHBand="1" w:firstRowFirstColumn="0" w:firstRowLastColumn="0" w:lastRowFirstColumn="0" w:lastRowLastColumn="0"/>
          <w:trHeight w:val="300"/>
          <w:jc w:val="center"/>
        </w:trPr>
        <w:tc>
          <w:tcPr>
            <w:tcW w:w="1604" w:type="dxa"/>
            <w:tcBorders>
              <w:top w:val="single" w:sz="4" w:space="0" w:color="auto"/>
              <w:bottom w:val="single" w:sz="4" w:space="0" w:color="auto"/>
            </w:tcBorders>
          </w:tcPr>
          <w:p w14:paraId="646B5970" w14:textId="172DDB22" w:rsidR="05D5699F" w:rsidRPr="00933845" w:rsidRDefault="05D5699F" w:rsidP="00933845">
            <w:pPr>
              <w:pStyle w:val="TableText"/>
            </w:pPr>
            <w:r w:rsidRPr="00933845">
              <w:t>23</w:t>
            </w:r>
            <w:r w:rsidR="008D5E8A">
              <w:t xml:space="preserve"> hours</w:t>
            </w:r>
          </w:p>
        </w:tc>
        <w:tc>
          <w:tcPr>
            <w:tcW w:w="1256" w:type="dxa"/>
            <w:tcBorders>
              <w:top w:val="single" w:sz="4" w:space="0" w:color="auto"/>
              <w:bottom w:val="single" w:sz="4" w:space="0" w:color="auto"/>
            </w:tcBorders>
          </w:tcPr>
          <w:p w14:paraId="7BAB4F99" w14:textId="61B3B233" w:rsidR="05D5699F" w:rsidRPr="00933845" w:rsidRDefault="05D5699F" w:rsidP="00933845">
            <w:pPr>
              <w:pStyle w:val="TableText"/>
            </w:pPr>
            <w:r>
              <w:t>15-22</w:t>
            </w:r>
          </w:p>
        </w:tc>
        <w:tc>
          <w:tcPr>
            <w:tcW w:w="1951" w:type="dxa"/>
            <w:tcBorders>
              <w:top w:val="single" w:sz="4" w:space="0" w:color="auto"/>
              <w:bottom w:val="single" w:sz="4" w:space="0" w:color="auto"/>
            </w:tcBorders>
          </w:tcPr>
          <w:p w14:paraId="1EDAEF5F" w14:textId="0BA869D4" w:rsidR="05D5699F" w:rsidRPr="00933845" w:rsidRDefault="05D5699F" w:rsidP="00933845">
            <w:pPr>
              <w:pStyle w:val="TableText"/>
            </w:pPr>
            <w:r>
              <w:t>Not available</w:t>
            </w:r>
          </w:p>
        </w:tc>
        <w:tc>
          <w:tcPr>
            <w:tcW w:w="1947" w:type="dxa"/>
            <w:tcBorders>
              <w:top w:val="single" w:sz="4" w:space="0" w:color="auto"/>
              <w:bottom w:val="single" w:sz="4" w:space="0" w:color="auto"/>
            </w:tcBorders>
          </w:tcPr>
          <w:p w14:paraId="51DD0228" w14:textId="2C3CDEC0" w:rsidR="05D5699F" w:rsidRPr="00933845" w:rsidRDefault="05D5699F" w:rsidP="00933845">
            <w:pPr>
              <w:pStyle w:val="TableText"/>
            </w:pPr>
            <w:r>
              <w:t>Available</w:t>
            </w:r>
          </w:p>
        </w:tc>
        <w:tc>
          <w:tcPr>
            <w:tcW w:w="1788" w:type="dxa"/>
            <w:tcBorders>
              <w:top w:val="single" w:sz="4" w:space="0" w:color="auto"/>
              <w:bottom w:val="single" w:sz="4" w:space="0" w:color="auto"/>
            </w:tcBorders>
          </w:tcPr>
          <w:p w14:paraId="77D9F9AF" w14:textId="363A3E3F" w:rsidR="05D5699F" w:rsidRPr="00933845" w:rsidRDefault="05D5699F" w:rsidP="00933845">
            <w:pPr>
              <w:pStyle w:val="TableText"/>
            </w:pPr>
            <w:r>
              <w:t>Available</w:t>
            </w:r>
          </w:p>
        </w:tc>
        <w:tc>
          <w:tcPr>
            <w:tcW w:w="1658" w:type="dxa"/>
            <w:tcBorders>
              <w:top w:val="single" w:sz="4" w:space="0" w:color="auto"/>
              <w:bottom w:val="single" w:sz="4" w:space="0" w:color="auto"/>
            </w:tcBorders>
          </w:tcPr>
          <w:p w14:paraId="3C640ADA" w14:textId="7372D033" w:rsidR="05D5699F" w:rsidRPr="00933845" w:rsidRDefault="05D5699F" w:rsidP="00933845">
            <w:pPr>
              <w:pStyle w:val="TableText"/>
            </w:pPr>
            <w:r>
              <w:t>Available</w:t>
            </w:r>
          </w:p>
        </w:tc>
      </w:tr>
      <w:tr w:rsidR="05D5699F" w14:paraId="7FBB2DEB" w14:textId="77777777" w:rsidTr="00DE7A9B">
        <w:trPr>
          <w:cnfStyle w:val="000000100000" w:firstRow="0" w:lastRow="0" w:firstColumn="0" w:lastColumn="0" w:oddVBand="0" w:evenVBand="0" w:oddHBand="1" w:evenHBand="0" w:firstRowFirstColumn="0" w:firstRowLastColumn="0" w:lastRowFirstColumn="0" w:lastRowLastColumn="0"/>
          <w:trHeight w:val="300"/>
          <w:jc w:val="center"/>
        </w:trPr>
        <w:tc>
          <w:tcPr>
            <w:tcW w:w="1604" w:type="dxa"/>
            <w:tcBorders>
              <w:bottom w:val="single" w:sz="4" w:space="0" w:color="auto"/>
            </w:tcBorders>
          </w:tcPr>
          <w:p w14:paraId="1D6CCF89" w14:textId="10EEC66F" w:rsidR="05D5699F" w:rsidRPr="00933845" w:rsidRDefault="05D5699F" w:rsidP="00933845">
            <w:pPr>
              <w:pStyle w:val="TableText"/>
            </w:pPr>
            <w:r w:rsidRPr="00933845">
              <w:t>30</w:t>
            </w:r>
            <w:r w:rsidR="008D5E8A">
              <w:t xml:space="preserve"> hours</w:t>
            </w:r>
          </w:p>
        </w:tc>
        <w:tc>
          <w:tcPr>
            <w:tcW w:w="1256" w:type="dxa"/>
            <w:tcBorders>
              <w:bottom w:val="single" w:sz="4" w:space="0" w:color="auto"/>
            </w:tcBorders>
          </w:tcPr>
          <w:p w14:paraId="6E4DF56D" w14:textId="17ECDBC2" w:rsidR="05D5699F" w:rsidRPr="00933845" w:rsidRDefault="05D5699F" w:rsidP="00933845">
            <w:pPr>
              <w:pStyle w:val="TableText"/>
            </w:pPr>
            <w:r>
              <w:t>20-29</w:t>
            </w:r>
          </w:p>
        </w:tc>
        <w:tc>
          <w:tcPr>
            <w:tcW w:w="1951" w:type="dxa"/>
            <w:tcBorders>
              <w:bottom w:val="single" w:sz="4" w:space="0" w:color="auto"/>
            </w:tcBorders>
          </w:tcPr>
          <w:p w14:paraId="4A840BE0" w14:textId="4FB0D5E8" w:rsidR="05D5699F" w:rsidRPr="00933845" w:rsidRDefault="05D5699F" w:rsidP="00933845">
            <w:pPr>
              <w:pStyle w:val="TableText"/>
            </w:pPr>
            <w:r>
              <w:t>Not available</w:t>
            </w:r>
          </w:p>
        </w:tc>
        <w:tc>
          <w:tcPr>
            <w:tcW w:w="1947" w:type="dxa"/>
            <w:tcBorders>
              <w:bottom w:val="single" w:sz="4" w:space="0" w:color="auto"/>
            </w:tcBorders>
          </w:tcPr>
          <w:p w14:paraId="3C97E2F4" w14:textId="4E0B0DA8" w:rsidR="05D5699F" w:rsidRPr="00933845" w:rsidRDefault="05D5699F" w:rsidP="00933845">
            <w:pPr>
              <w:pStyle w:val="TableText"/>
            </w:pPr>
            <w:r>
              <w:t>Not available</w:t>
            </w:r>
          </w:p>
        </w:tc>
        <w:tc>
          <w:tcPr>
            <w:tcW w:w="1788" w:type="dxa"/>
            <w:tcBorders>
              <w:bottom w:val="single" w:sz="4" w:space="0" w:color="auto"/>
            </w:tcBorders>
          </w:tcPr>
          <w:p w14:paraId="59FBE8EF" w14:textId="30DC4522" w:rsidR="05D5699F" w:rsidRPr="00933845" w:rsidRDefault="05D5699F" w:rsidP="00933845">
            <w:pPr>
              <w:pStyle w:val="TableText"/>
            </w:pPr>
            <w:r>
              <w:t>Available</w:t>
            </w:r>
          </w:p>
        </w:tc>
        <w:tc>
          <w:tcPr>
            <w:tcW w:w="1658" w:type="dxa"/>
            <w:tcBorders>
              <w:bottom w:val="single" w:sz="4" w:space="0" w:color="auto"/>
            </w:tcBorders>
          </w:tcPr>
          <w:p w14:paraId="5D34FA45" w14:textId="0D550092" w:rsidR="05D5699F" w:rsidRPr="00933845" w:rsidRDefault="05D5699F" w:rsidP="00933845">
            <w:pPr>
              <w:pStyle w:val="TableText"/>
            </w:pPr>
            <w:r>
              <w:t>Available</w:t>
            </w:r>
          </w:p>
        </w:tc>
      </w:tr>
    </w:tbl>
    <w:p w14:paraId="3C3F52BB" w14:textId="0949CB2D" w:rsidR="00100894" w:rsidRPr="00931CFC" w:rsidRDefault="00100894" w:rsidP="05D5699F">
      <w:pPr>
        <w:rPr>
          <w:lang w:eastAsia="en-AU"/>
        </w:rPr>
      </w:pPr>
      <w:r w:rsidRPr="00573C29">
        <w:rPr>
          <w:b/>
          <w:lang w:eastAsia="en-AU"/>
        </w:rPr>
        <w:t xml:space="preserve">* </w:t>
      </w:r>
      <w:r w:rsidR="00933845" w:rsidRPr="00573C29">
        <w:rPr>
          <w:b/>
          <w:lang w:eastAsia="en-AU"/>
        </w:rPr>
        <w:t>Note:</w:t>
      </w:r>
      <w:r w:rsidRPr="00573C29">
        <w:rPr>
          <w:b/>
          <w:lang w:eastAsia="en-AU"/>
        </w:rPr>
        <w:t xml:space="preserve"> </w:t>
      </w:r>
      <w:r w:rsidR="280F7B20" w:rsidRPr="00573C29">
        <w:rPr>
          <w:lang w:eastAsia="en-AU"/>
        </w:rPr>
        <w:t>A</w:t>
      </w:r>
      <w:r w:rsidR="00A36BFD" w:rsidRPr="00573C29">
        <w:rPr>
          <w:lang w:eastAsia="en-AU"/>
        </w:rPr>
        <w:t xml:space="preserve">n </w:t>
      </w:r>
      <w:r w:rsidR="00353F8E" w:rsidRPr="00573C29">
        <w:rPr>
          <w:lang w:eastAsia="en-AU"/>
        </w:rPr>
        <w:t>Inclusive Employment Australia</w:t>
      </w:r>
      <w:r w:rsidRPr="00573C29">
        <w:rPr>
          <w:lang w:eastAsia="en-AU"/>
        </w:rPr>
        <w:t xml:space="preserve"> Wage Subsidy </w:t>
      </w:r>
      <w:r w:rsidR="00A36BFD" w:rsidRPr="00573C29">
        <w:rPr>
          <w:lang w:eastAsia="en-AU"/>
        </w:rPr>
        <w:t xml:space="preserve">has a </w:t>
      </w:r>
      <w:r w:rsidR="00436534" w:rsidRPr="00573C29">
        <w:rPr>
          <w:lang w:eastAsia="en-AU"/>
        </w:rPr>
        <w:t xml:space="preserve">minimum </w:t>
      </w:r>
      <w:r w:rsidR="00A36BFD" w:rsidRPr="00573C29">
        <w:rPr>
          <w:lang w:eastAsia="en-AU"/>
        </w:rPr>
        <w:t>requirement of</w:t>
      </w:r>
      <w:r w:rsidRPr="00573C29">
        <w:rPr>
          <w:lang w:eastAsia="en-AU"/>
        </w:rPr>
        <w:t xml:space="preserve"> 8 hours</w:t>
      </w:r>
      <w:r w:rsidR="00436534" w:rsidRPr="00573C29">
        <w:rPr>
          <w:lang w:eastAsia="en-AU"/>
        </w:rPr>
        <w:t xml:space="preserve"> of Employment on average per week</w:t>
      </w:r>
      <w:r w:rsidRPr="00573C29">
        <w:rPr>
          <w:lang w:eastAsia="en-AU"/>
        </w:rPr>
        <w:t>.</w:t>
      </w:r>
    </w:p>
    <w:p w14:paraId="429BDF8C" w14:textId="0DA47EF5" w:rsidR="00D453B0" w:rsidRDefault="00D453B0" w:rsidP="05D5699F">
      <w:pPr>
        <w:rPr>
          <w:szCs w:val="22"/>
          <w:lang w:eastAsia="en-AU"/>
        </w:rPr>
      </w:pPr>
      <w:r w:rsidRPr="00931CFC">
        <w:rPr>
          <w:b/>
          <w:bCs/>
          <w:szCs w:val="22"/>
          <w:lang w:eastAsia="en-AU"/>
        </w:rPr>
        <w:t>**</w:t>
      </w:r>
      <w:r w:rsidRPr="00931CFC">
        <w:rPr>
          <w:szCs w:val="22"/>
          <w:lang w:eastAsia="en-AU"/>
        </w:rPr>
        <w:t xml:space="preserve"> </w:t>
      </w:r>
      <w:r w:rsidRPr="00931CFC">
        <w:rPr>
          <w:b/>
          <w:bCs/>
          <w:szCs w:val="22"/>
          <w:lang w:eastAsia="en-AU"/>
        </w:rPr>
        <w:t>Note:</w:t>
      </w:r>
      <w:r w:rsidRPr="00931CFC">
        <w:rPr>
          <w:szCs w:val="22"/>
          <w:lang w:eastAsia="en-AU"/>
        </w:rPr>
        <w:t xml:space="preserve"> A Participant with an Employment Benchmark of 15 hours per week can achieve a Partial Outcome with Employment of 10 hours per week on average. The Provider can agree a Level 1 Wage Subsidy (8-14 hours per week) for this Participant only when the Employer has agreed to offer an average minimum of 10 hours per week of Employment.</w:t>
      </w:r>
    </w:p>
    <w:p w14:paraId="3C1B1785" w14:textId="07332826" w:rsidR="009E15C7" w:rsidRDefault="009E15C7" w:rsidP="009E15C7">
      <w:pPr>
        <w:rPr>
          <w:lang w:eastAsia="en-AU"/>
        </w:rPr>
      </w:pPr>
      <w:r>
        <w:rPr>
          <w:lang w:eastAsia="en-AU"/>
        </w:rPr>
        <w:t>In terms of a</w:t>
      </w:r>
      <w:r w:rsidRPr="7DC4F79C">
        <w:rPr>
          <w:lang w:eastAsia="en-AU"/>
        </w:rPr>
        <w:t xml:space="preserve">pplying the </w:t>
      </w:r>
      <w:r>
        <w:rPr>
          <w:lang w:eastAsia="en-AU"/>
        </w:rPr>
        <w:t>Employment Benchmark</w:t>
      </w:r>
      <w:r w:rsidRPr="7DC4F79C">
        <w:rPr>
          <w:lang w:eastAsia="en-AU"/>
        </w:rPr>
        <w:t xml:space="preserve"> </w:t>
      </w:r>
      <w:r>
        <w:rPr>
          <w:lang w:eastAsia="en-AU"/>
        </w:rPr>
        <w:t>for a</w:t>
      </w:r>
      <w:r w:rsidRPr="7DC4F79C">
        <w:rPr>
          <w:lang w:eastAsia="en-AU"/>
        </w:rPr>
        <w:t xml:space="preserve"> Wage Subsidy</w:t>
      </w:r>
      <w:r>
        <w:rPr>
          <w:lang w:eastAsia="en-AU"/>
        </w:rPr>
        <w:t>, the following is provided as an example.</w:t>
      </w:r>
    </w:p>
    <w:p w14:paraId="32FB46D9" w14:textId="3F5CD443" w:rsidR="00CC428B" w:rsidRDefault="00CC428B" w:rsidP="009E15C7">
      <w:pPr>
        <w:pStyle w:val="BulletLevel1"/>
        <w:rPr>
          <w:lang w:eastAsia="en-AU"/>
        </w:rPr>
      </w:pPr>
      <w:r>
        <w:rPr>
          <w:lang w:eastAsia="en-AU"/>
        </w:rPr>
        <w:t>A</w:t>
      </w:r>
      <w:r w:rsidRPr="00E54C1B">
        <w:rPr>
          <w:lang w:eastAsia="en-AU"/>
        </w:rPr>
        <w:t xml:space="preserve"> Participant with an assessed work capacity of 23-29 hours per week has an Employment</w:t>
      </w:r>
      <w:r w:rsidRPr="579C5725">
        <w:rPr>
          <w:lang w:eastAsia="en-AU"/>
        </w:rPr>
        <w:t xml:space="preserve"> Benchmark of 23 hours per week. The Participant can achieve a Full Outcome if they work 23</w:t>
      </w:r>
      <w:r w:rsidR="009E15C7">
        <w:rPr>
          <w:lang w:eastAsia="en-AU"/>
        </w:rPr>
        <w:t> </w:t>
      </w:r>
      <w:r w:rsidRPr="579C5725">
        <w:rPr>
          <w:lang w:eastAsia="en-AU"/>
        </w:rPr>
        <w:t>hours per week or higher, and a Partial Outcome if they work between 15 and 22 hours per week. In this scenario, the Provider:</w:t>
      </w:r>
    </w:p>
    <w:p w14:paraId="6CD9B298" w14:textId="77777777" w:rsidR="00CC428B" w:rsidRDefault="00CC428B" w:rsidP="009E15C7">
      <w:pPr>
        <w:pStyle w:val="BulletLevel2"/>
      </w:pPr>
      <w:r>
        <w:t>cannot offer a level 1 Wage Subsidy as Employment at 8-14 hours would not be at the level required for an Outcome</w:t>
      </w:r>
    </w:p>
    <w:p w14:paraId="76A56129" w14:textId="77777777" w:rsidR="00CC428B" w:rsidRDefault="00CC428B" w:rsidP="009E15C7">
      <w:pPr>
        <w:pStyle w:val="BulletLevel2"/>
      </w:pPr>
      <w:r>
        <w:t>can offer a level 2 Wage Subsidy as Employment at 15-19 hours would be at the level required for a Partial Outcome, and</w:t>
      </w:r>
    </w:p>
    <w:p w14:paraId="49FBCC8D" w14:textId="5F23761B" w:rsidR="00CC428B" w:rsidRPr="004B42CD" w:rsidRDefault="00CC428B" w:rsidP="009E15C7">
      <w:pPr>
        <w:pStyle w:val="BulletLevel2"/>
      </w:pPr>
      <w:r>
        <w:t>can offer a level 3 or 4 Wage Subsidy as these hours would achieve a Full Outcome.</w:t>
      </w:r>
    </w:p>
    <w:p w14:paraId="03D1CA7E" w14:textId="775711A9" w:rsidR="529DFD81" w:rsidRPr="00D453B0" w:rsidRDefault="529DFD81" w:rsidP="05D5699F">
      <w:pPr>
        <w:rPr>
          <w:sz w:val="20"/>
          <w:szCs w:val="20"/>
          <w:lang w:eastAsia="en-AU"/>
        </w:rPr>
      </w:pPr>
      <w:r w:rsidRPr="4F3EABBB">
        <w:rPr>
          <w:rFonts w:ascii="Tahoma" w:eastAsia="Times New Roman" w:hAnsi="Tahoma" w:cs="Tahoma"/>
          <w:b/>
          <w:bCs/>
          <w:lang w:eastAsia="en-AU"/>
        </w:rPr>
        <w:t>Note</w:t>
      </w:r>
      <w:r w:rsidRPr="4F3EABBB">
        <w:rPr>
          <w:rFonts w:ascii="Tahoma" w:eastAsia="Times New Roman" w:hAnsi="Tahoma" w:cs="Tahoma"/>
          <w:lang w:eastAsia="en-AU"/>
        </w:rPr>
        <w:t>: If a Wage Subsidy Participant does not work the required hours for some weeks</w:t>
      </w:r>
      <w:r w:rsidR="005E4B2B" w:rsidRPr="4F3EABBB">
        <w:rPr>
          <w:rFonts w:ascii="Tahoma" w:eastAsia="Times New Roman" w:hAnsi="Tahoma" w:cs="Tahoma"/>
          <w:lang w:eastAsia="en-AU"/>
        </w:rPr>
        <w:t xml:space="preserve">, </w:t>
      </w:r>
      <w:r w:rsidRPr="4F3EABBB">
        <w:rPr>
          <w:rFonts w:ascii="Tahoma" w:eastAsia="Times New Roman" w:hAnsi="Tahoma" w:cs="Tahoma"/>
          <w:lang w:eastAsia="en-AU"/>
        </w:rPr>
        <w:t xml:space="preserve">but remains Employed, the Wage Subsidy </w:t>
      </w:r>
      <w:r w:rsidR="00CF10C4">
        <w:rPr>
          <w:rFonts w:ascii="Tahoma" w:eastAsia="Times New Roman" w:hAnsi="Tahoma" w:cs="Tahoma"/>
          <w:lang w:eastAsia="en-AU"/>
        </w:rPr>
        <w:t xml:space="preserve">Agreement </w:t>
      </w:r>
      <w:r w:rsidRPr="4F3EABBB">
        <w:rPr>
          <w:rFonts w:ascii="Tahoma" w:eastAsia="Times New Roman" w:hAnsi="Tahoma" w:cs="Tahoma"/>
          <w:lang w:eastAsia="en-AU"/>
        </w:rPr>
        <w:t xml:space="preserve">must continue even though the Participant may not achieve </w:t>
      </w:r>
      <w:r w:rsidR="005E4B2B" w:rsidRPr="4F3EABBB">
        <w:rPr>
          <w:rFonts w:ascii="Tahoma" w:eastAsia="Times New Roman" w:hAnsi="Tahoma" w:cs="Tahoma"/>
          <w:lang w:eastAsia="en-AU"/>
        </w:rPr>
        <w:t xml:space="preserve">Employment at the level of </w:t>
      </w:r>
      <w:r w:rsidRPr="4F3EABBB">
        <w:rPr>
          <w:rFonts w:ascii="Tahoma" w:eastAsia="Times New Roman" w:hAnsi="Tahoma" w:cs="Tahoma"/>
          <w:lang w:eastAsia="en-AU"/>
        </w:rPr>
        <w:t xml:space="preserve">a Full or Partial Outcome. Providers must continue to support the Wage Subsidy Participant and Employer through the remainder of the Wage Subsidy Agreement </w:t>
      </w:r>
      <w:r w:rsidR="5AF59BAA" w:rsidRPr="7C680637">
        <w:rPr>
          <w:rFonts w:ascii="Tahoma" w:eastAsia="Times New Roman" w:hAnsi="Tahoma" w:cs="Tahoma"/>
          <w:lang w:eastAsia="en-AU"/>
        </w:rPr>
        <w:t>T</w:t>
      </w:r>
      <w:r w:rsidRPr="7C680637">
        <w:rPr>
          <w:rFonts w:ascii="Tahoma" w:eastAsia="Times New Roman" w:hAnsi="Tahoma" w:cs="Tahoma"/>
          <w:lang w:eastAsia="en-AU"/>
        </w:rPr>
        <w:t>erm</w:t>
      </w:r>
      <w:r w:rsidRPr="4F3EABBB">
        <w:rPr>
          <w:rFonts w:ascii="Tahoma" w:eastAsia="Times New Roman" w:hAnsi="Tahoma" w:cs="Tahoma"/>
          <w:lang w:eastAsia="en-AU"/>
        </w:rPr>
        <w:t xml:space="preserve"> and the Employer may be eligible for pro-</w:t>
      </w:r>
      <w:r w:rsidRPr="00CF10C4">
        <w:rPr>
          <w:rFonts w:ascii="Tahoma" w:eastAsia="Times New Roman" w:hAnsi="Tahoma" w:cs="Tahoma"/>
          <w:lang w:eastAsia="en-AU"/>
        </w:rPr>
        <w:t>rata Payments</w:t>
      </w:r>
      <w:r w:rsidR="009A4F63" w:rsidRPr="00CF10C4">
        <w:rPr>
          <w:rFonts w:ascii="Tahoma" w:eastAsia="Times New Roman" w:hAnsi="Tahoma" w:cs="Tahoma"/>
          <w:lang w:eastAsia="en-AU"/>
        </w:rPr>
        <w:t xml:space="preserve"> (</w:t>
      </w:r>
      <w:r w:rsidR="00CF10C4" w:rsidRPr="00CF10C4">
        <w:rPr>
          <w:lang w:eastAsia="en-AU"/>
        </w:rPr>
        <w:t xml:space="preserve">see </w:t>
      </w:r>
      <w:r w:rsidR="00CF10C4" w:rsidRPr="00CF10C4">
        <w:rPr>
          <w:lang w:eastAsia="en-AU"/>
        </w:rPr>
        <w:fldChar w:fldCharType="begin"/>
      </w:r>
      <w:r w:rsidR="00CF10C4" w:rsidRPr="00CF10C4">
        <w:rPr>
          <w:lang w:eastAsia="en-AU"/>
        </w:rPr>
        <w:instrText xml:space="preserve"> REF _Ref202798567 \h  \* MERGEFORMAT </w:instrText>
      </w:r>
      <w:r w:rsidR="00CF10C4" w:rsidRPr="00CF10C4">
        <w:rPr>
          <w:lang w:eastAsia="en-AU"/>
        </w:rPr>
      </w:r>
      <w:r w:rsidR="00CF10C4" w:rsidRPr="00CF10C4">
        <w:rPr>
          <w:lang w:eastAsia="en-AU"/>
        </w:rPr>
        <w:fldChar w:fldCharType="separate"/>
      </w:r>
      <w:r w:rsidR="000D75AE">
        <w:t>8.5.3</w:t>
      </w:r>
      <w:r w:rsidR="00C33F1F">
        <w:t xml:space="preserve"> </w:t>
      </w:r>
      <w:r w:rsidR="000D75AE" w:rsidRPr="004E40AB">
        <w:t>Calculating Wage Subsidy Payments for Employers</w:t>
      </w:r>
      <w:r w:rsidR="00CF10C4" w:rsidRPr="00CF10C4">
        <w:rPr>
          <w:lang w:eastAsia="en-AU"/>
        </w:rPr>
        <w:fldChar w:fldCharType="end"/>
      </w:r>
      <w:r w:rsidR="009A4F63" w:rsidRPr="00CF10C4">
        <w:rPr>
          <w:rFonts w:ascii="Tahoma" w:eastAsia="Times New Roman" w:hAnsi="Tahoma" w:cs="Tahoma"/>
          <w:lang w:eastAsia="en-AU"/>
        </w:rPr>
        <w:t>)</w:t>
      </w:r>
      <w:r w:rsidRPr="00CF10C4">
        <w:rPr>
          <w:rFonts w:ascii="Tahoma" w:eastAsia="Times New Roman" w:hAnsi="Tahoma" w:cs="Tahoma"/>
          <w:lang w:eastAsia="en-AU"/>
        </w:rPr>
        <w:t>.</w:t>
      </w:r>
    </w:p>
    <w:p w14:paraId="74FE74E0" w14:textId="1833FB6D" w:rsidR="00DC1260" w:rsidRPr="00482ED2" w:rsidRDefault="00DC1260" w:rsidP="00482ED2">
      <w:pPr>
        <w:pStyle w:val="Heading3"/>
      </w:pPr>
      <w:bookmarkStart w:id="358" w:name="_Toc202900029"/>
      <w:r w:rsidRPr="00482ED2">
        <w:t>8.4</w:t>
      </w:r>
      <w:r w:rsidR="00E25150" w:rsidRPr="00482ED2">
        <w:tab/>
      </w:r>
      <w:r w:rsidRPr="00482ED2">
        <w:t xml:space="preserve">Negotiating </w:t>
      </w:r>
      <w:r w:rsidR="00203293">
        <w:t>the</w:t>
      </w:r>
      <w:r w:rsidRPr="00482ED2">
        <w:t xml:space="preserve"> </w:t>
      </w:r>
      <w:r w:rsidR="00353F8E">
        <w:t>Inclusive Employment Australia</w:t>
      </w:r>
      <w:r w:rsidR="005F3812">
        <w:t xml:space="preserve"> W</w:t>
      </w:r>
      <w:r w:rsidRPr="00482ED2">
        <w:t xml:space="preserve">age </w:t>
      </w:r>
      <w:r w:rsidR="005F3812">
        <w:t>S</w:t>
      </w:r>
      <w:r w:rsidR="005F3812" w:rsidRPr="00482ED2">
        <w:t>ubsidy</w:t>
      </w:r>
      <w:bookmarkEnd w:id="358"/>
    </w:p>
    <w:p w14:paraId="60D6B2F4" w14:textId="30F19973" w:rsidR="00DC1260" w:rsidRPr="00335CB0" w:rsidRDefault="00DC1260" w:rsidP="00335CB0">
      <w:pPr>
        <w:pStyle w:val="Heading4"/>
      </w:pPr>
      <w:bookmarkStart w:id="359" w:name="_Toc202900030"/>
      <w:r w:rsidRPr="00335CB0">
        <w:t>8.4.1</w:t>
      </w:r>
      <w:r w:rsidR="00E25150">
        <w:tab/>
      </w:r>
      <w:r w:rsidRPr="00335CB0">
        <w:t>Offering and Negotiating Wage Subsidy Agreements</w:t>
      </w:r>
      <w:bookmarkEnd w:id="359"/>
    </w:p>
    <w:p w14:paraId="2C42E7E8" w14:textId="514E52C7" w:rsidR="00DC1260" w:rsidRPr="00DC1260" w:rsidRDefault="431C769C" w:rsidP="00CF10C4">
      <w:pPr>
        <w:rPr>
          <w:rFonts w:ascii="Segoe UI" w:hAnsi="Segoe UI" w:cs="Segoe UI"/>
          <w:sz w:val="18"/>
          <w:szCs w:val="18"/>
          <w:lang w:eastAsia="en-AU"/>
        </w:rPr>
      </w:pPr>
      <w:r w:rsidRPr="198AEDDC">
        <w:rPr>
          <w:lang w:eastAsia="en-AU"/>
        </w:rPr>
        <w:t xml:space="preserve">Providers are expected to use their discretion to determine if a Wage Subsidy is the most effective intervention to secure </w:t>
      </w:r>
      <w:r w:rsidR="00F666AB" w:rsidRPr="198AEDDC">
        <w:rPr>
          <w:lang w:eastAsia="en-AU"/>
        </w:rPr>
        <w:t>employment</w:t>
      </w:r>
      <w:r w:rsidR="6D3FB15B" w:rsidRPr="6EB58010">
        <w:rPr>
          <w:lang w:eastAsia="en-AU"/>
        </w:rPr>
        <w:t>. </w:t>
      </w:r>
      <w:r w:rsidR="3E0F9A48" w:rsidRPr="6EB58010">
        <w:rPr>
          <w:lang w:eastAsia="en-AU"/>
        </w:rPr>
        <w:t>Wage Subsidies are not intended to support the ongoing financial viability of a business. </w:t>
      </w:r>
      <w:r w:rsidR="00DC1260" w:rsidRPr="00DC1260">
        <w:rPr>
          <w:lang w:eastAsia="en-AU"/>
        </w:rPr>
        <w:t>Wage Subsidies are not intended to support the ongoing financial viability of a business. </w:t>
      </w:r>
    </w:p>
    <w:p w14:paraId="1DC77065" w14:textId="1467F0BF" w:rsidR="00DC1260" w:rsidRPr="00DC1260" w:rsidRDefault="0057314B" w:rsidP="00CF10C4">
      <w:pPr>
        <w:rPr>
          <w:rFonts w:ascii="Segoe UI" w:hAnsi="Segoe UI" w:cs="Segoe UI"/>
          <w:sz w:val="18"/>
          <w:szCs w:val="18"/>
          <w:lang w:eastAsia="en-AU"/>
        </w:rPr>
      </w:pPr>
      <w:r>
        <w:rPr>
          <w:lang w:eastAsia="en-AU"/>
        </w:rPr>
        <w:t xml:space="preserve">Instances where </w:t>
      </w:r>
      <w:r w:rsidR="00DC1260" w:rsidRPr="00DC1260">
        <w:rPr>
          <w:lang w:eastAsia="en-AU"/>
        </w:rPr>
        <w:t xml:space="preserve">a </w:t>
      </w:r>
      <w:r w:rsidR="00BF6FAE">
        <w:rPr>
          <w:lang w:eastAsia="en-AU"/>
        </w:rPr>
        <w:t xml:space="preserve">Provider might consider a </w:t>
      </w:r>
      <w:r w:rsidR="00DC1260" w:rsidRPr="00DC1260">
        <w:rPr>
          <w:lang w:eastAsia="en-AU"/>
        </w:rPr>
        <w:t xml:space="preserve">Wage Subsidy is </w:t>
      </w:r>
      <w:r w:rsidR="00776B91" w:rsidRPr="00DC1260">
        <w:rPr>
          <w:lang w:eastAsia="en-AU"/>
        </w:rPr>
        <w:t>appropriate</w:t>
      </w:r>
      <w:r w:rsidR="00776B91">
        <w:rPr>
          <w:lang w:eastAsia="en-AU"/>
        </w:rPr>
        <w:t xml:space="preserve"> includes</w:t>
      </w:r>
      <w:r w:rsidR="000668A6">
        <w:rPr>
          <w:lang w:eastAsia="en-AU"/>
        </w:rPr>
        <w:t xml:space="preserve"> </w:t>
      </w:r>
      <w:r w:rsidR="00DC1260" w:rsidRPr="00DC1260">
        <w:rPr>
          <w:lang w:eastAsia="en-AU"/>
        </w:rPr>
        <w:t>if the financial incentive: </w:t>
      </w:r>
    </w:p>
    <w:p w14:paraId="072FA69D" w14:textId="77777777" w:rsidR="00DC1260" w:rsidRPr="00DC1260" w:rsidRDefault="00DC1260" w:rsidP="004E120D">
      <w:pPr>
        <w:pStyle w:val="BulletLevel1"/>
        <w:rPr>
          <w:lang w:eastAsia="en-AU"/>
        </w:rPr>
      </w:pPr>
      <w:r w:rsidRPr="00DC1260">
        <w:rPr>
          <w:lang w:eastAsia="en-AU"/>
        </w:rPr>
        <w:t>would cause the Employer to offer an appropriate employment opportunity, or </w:t>
      </w:r>
    </w:p>
    <w:p w14:paraId="4A17994B" w14:textId="0F55291F" w:rsidR="00DC1260" w:rsidRPr="00DC1260" w:rsidRDefault="00DC1260" w:rsidP="004E120D">
      <w:pPr>
        <w:pStyle w:val="BulletLevel1"/>
        <w:rPr>
          <w:lang w:eastAsia="en-AU"/>
        </w:rPr>
      </w:pPr>
      <w:r w:rsidRPr="00DC1260">
        <w:rPr>
          <w:lang w:eastAsia="en-AU"/>
        </w:rPr>
        <w:t xml:space="preserve">would result in the Employer increasing the number of hours of work being offered, </w:t>
      </w:r>
      <w:r w:rsidR="002B0D17">
        <w:rPr>
          <w:lang w:eastAsia="en-AU"/>
        </w:rPr>
        <w:t xml:space="preserve">on an ongoing basis, </w:t>
      </w:r>
      <w:r w:rsidRPr="00DC1260">
        <w:rPr>
          <w:lang w:eastAsia="en-AU"/>
        </w:rPr>
        <w:t>to an appropriate number of work hours for the Participant. </w:t>
      </w:r>
    </w:p>
    <w:p w14:paraId="0660BE4C" w14:textId="0FEA1105" w:rsidR="00DC1260" w:rsidRPr="00A706A6" w:rsidRDefault="00DC1260" w:rsidP="00A706A6">
      <w:pPr>
        <w:pStyle w:val="Heading5"/>
      </w:pPr>
      <w:r w:rsidRPr="00A706A6">
        <w:t>Confirming eligibility</w:t>
      </w:r>
    </w:p>
    <w:p w14:paraId="36086B94" w14:textId="3ADBEDF7" w:rsidR="00DC1260" w:rsidRPr="00DC1260" w:rsidRDefault="00C33627" w:rsidP="00CF10C4">
      <w:pPr>
        <w:keepNext/>
        <w:rPr>
          <w:rFonts w:ascii="Segoe UI" w:hAnsi="Segoe UI" w:cs="Segoe UI"/>
          <w:sz w:val="18"/>
          <w:szCs w:val="18"/>
          <w:lang w:eastAsia="en-AU"/>
        </w:rPr>
      </w:pPr>
      <w:r w:rsidRPr="5C26B018">
        <w:rPr>
          <w:lang w:eastAsia="en-AU"/>
        </w:rPr>
        <w:t>Before offering a</w:t>
      </w:r>
      <w:r w:rsidR="00DC1260" w:rsidRPr="5C26B018">
        <w:rPr>
          <w:lang w:eastAsia="en-AU"/>
        </w:rPr>
        <w:t xml:space="preserve"> Wage Subsidy</w:t>
      </w:r>
      <w:r w:rsidRPr="5C26B018">
        <w:rPr>
          <w:lang w:eastAsia="en-AU"/>
        </w:rPr>
        <w:t>,</w:t>
      </w:r>
      <w:r w:rsidR="00DC1260" w:rsidRPr="5C26B018">
        <w:rPr>
          <w:lang w:eastAsia="en-AU"/>
        </w:rPr>
        <w:t xml:space="preserve"> the</w:t>
      </w:r>
      <w:r w:rsidRPr="5C26B018">
        <w:rPr>
          <w:lang w:eastAsia="en-AU"/>
        </w:rPr>
        <w:t xml:space="preserve"> Provider</w:t>
      </w:r>
      <w:r w:rsidR="00DC1260" w:rsidRPr="5C26B018">
        <w:rPr>
          <w:lang w:eastAsia="en-AU"/>
        </w:rPr>
        <w:t xml:space="preserve"> must confirm that: </w:t>
      </w:r>
    </w:p>
    <w:p w14:paraId="7C13E94C" w14:textId="23F3BEDC" w:rsidR="00DC1260" w:rsidRPr="00DC1260" w:rsidRDefault="00DC1260" w:rsidP="004E120D">
      <w:pPr>
        <w:pStyle w:val="BulletLevel1"/>
        <w:rPr>
          <w:lang w:eastAsia="en-AU"/>
        </w:rPr>
      </w:pPr>
      <w:r w:rsidRPr="00DC1260">
        <w:rPr>
          <w:lang w:eastAsia="en-AU"/>
        </w:rPr>
        <w:t xml:space="preserve">the Participant meets </w:t>
      </w:r>
      <w:r w:rsidR="00C20F59">
        <w:rPr>
          <w:lang w:eastAsia="en-AU"/>
        </w:rPr>
        <w:t xml:space="preserve">Wage Subsidy </w:t>
      </w:r>
      <w:r w:rsidRPr="00DC1260">
        <w:rPr>
          <w:lang w:eastAsia="en-AU"/>
        </w:rPr>
        <w:t xml:space="preserve">Participant eligibility requirements, and determine what </w:t>
      </w:r>
      <w:r w:rsidR="56437F96" w:rsidRPr="4B09852D">
        <w:rPr>
          <w:lang w:eastAsia="en-AU"/>
        </w:rPr>
        <w:t>level</w:t>
      </w:r>
      <w:r w:rsidRPr="4B09852D">
        <w:rPr>
          <w:lang w:eastAsia="en-AU"/>
        </w:rPr>
        <w:t>s</w:t>
      </w:r>
      <w:r w:rsidRPr="00DC1260">
        <w:rPr>
          <w:lang w:eastAsia="en-AU"/>
        </w:rPr>
        <w:t xml:space="preserve"> of Wage Subsidy are available for the Participant </w:t>
      </w:r>
    </w:p>
    <w:p w14:paraId="22EA1554" w14:textId="64B55777" w:rsidR="00DC1260" w:rsidRPr="00DC1260" w:rsidRDefault="00DC1260" w:rsidP="004E120D">
      <w:pPr>
        <w:pStyle w:val="BulletLevel1"/>
        <w:rPr>
          <w:lang w:eastAsia="en-AU"/>
        </w:rPr>
      </w:pPr>
      <w:r w:rsidRPr="00DC1260">
        <w:rPr>
          <w:lang w:eastAsia="en-AU"/>
        </w:rPr>
        <w:t xml:space="preserve">the Employer meets </w:t>
      </w:r>
      <w:r w:rsidR="00C20F59">
        <w:rPr>
          <w:lang w:eastAsia="en-AU"/>
        </w:rPr>
        <w:t xml:space="preserve">Wage Subsidy </w:t>
      </w:r>
      <w:r w:rsidRPr="00DC1260">
        <w:rPr>
          <w:lang w:eastAsia="en-AU"/>
        </w:rPr>
        <w:t xml:space="preserve">Employer eligibility requirements, and has </w:t>
      </w:r>
      <w:r w:rsidR="008E15F9">
        <w:rPr>
          <w:lang w:eastAsia="en-AU"/>
        </w:rPr>
        <w:t>(</w:t>
      </w:r>
      <w:r w:rsidR="004C6BF0">
        <w:rPr>
          <w:lang w:eastAsia="en-AU"/>
        </w:rPr>
        <w:t>or is willing to</w:t>
      </w:r>
      <w:r w:rsidR="008E15F9">
        <w:rPr>
          <w:lang w:eastAsia="en-AU"/>
        </w:rPr>
        <w:t>)</w:t>
      </w:r>
      <w:r w:rsidR="004C6BF0">
        <w:rPr>
          <w:lang w:eastAsia="en-AU"/>
        </w:rPr>
        <w:t xml:space="preserve"> </w:t>
      </w:r>
      <w:r w:rsidR="009F4EE4">
        <w:rPr>
          <w:lang w:eastAsia="en-AU"/>
        </w:rPr>
        <w:t xml:space="preserve">open </w:t>
      </w:r>
      <w:r w:rsidRPr="00DC1260">
        <w:rPr>
          <w:lang w:eastAsia="en-AU"/>
        </w:rPr>
        <w:t>an active Workforce Australia Online for Businesses account, and </w:t>
      </w:r>
    </w:p>
    <w:p w14:paraId="0940EFCA" w14:textId="38F98A42" w:rsidR="00DC1260" w:rsidRPr="00DC1260" w:rsidRDefault="00DC1260" w:rsidP="004E120D">
      <w:pPr>
        <w:pStyle w:val="BulletLevel1"/>
        <w:rPr>
          <w:lang w:eastAsia="en-AU"/>
        </w:rPr>
      </w:pPr>
      <w:r w:rsidRPr="00DC1260">
        <w:rPr>
          <w:lang w:eastAsia="en-AU"/>
        </w:rPr>
        <w:t xml:space="preserve">the proposed </w:t>
      </w:r>
      <w:r w:rsidR="00CE50D8">
        <w:rPr>
          <w:lang w:eastAsia="en-AU"/>
        </w:rPr>
        <w:t>Job P</w:t>
      </w:r>
      <w:r w:rsidRPr="00DC1260">
        <w:rPr>
          <w:lang w:eastAsia="en-AU"/>
        </w:rPr>
        <w:t xml:space="preserve">lacement meets </w:t>
      </w:r>
      <w:r w:rsidR="00C20F59">
        <w:rPr>
          <w:lang w:eastAsia="en-AU"/>
        </w:rPr>
        <w:t xml:space="preserve">Wage Subsidy </w:t>
      </w:r>
      <w:r w:rsidRPr="00DC1260">
        <w:rPr>
          <w:lang w:eastAsia="en-AU"/>
        </w:rPr>
        <w:t>Placement eligibility requirements. </w:t>
      </w:r>
    </w:p>
    <w:p w14:paraId="1B3BDBAC" w14:textId="1267E9BB" w:rsidR="00DC1260" w:rsidRPr="00482ED2" w:rsidRDefault="00DC1260" w:rsidP="00482ED2">
      <w:pPr>
        <w:pStyle w:val="Heading5"/>
      </w:pPr>
      <w:r w:rsidRPr="00482ED2">
        <w:t>Offering and negotiating a Wage Subsidy</w:t>
      </w:r>
    </w:p>
    <w:p w14:paraId="4495A1F1" w14:textId="4AD97E8E" w:rsidR="00114100" w:rsidRDefault="00DC1260" w:rsidP="00114100">
      <w:pPr>
        <w:rPr>
          <w:lang w:eastAsia="en-AU"/>
        </w:rPr>
      </w:pPr>
      <w:r w:rsidRPr="00DC1260">
        <w:rPr>
          <w:lang w:eastAsia="en-AU"/>
        </w:rPr>
        <w:t xml:space="preserve">Providers </w:t>
      </w:r>
      <w:r w:rsidR="008834E7" w:rsidRPr="49A19D3A">
        <w:rPr>
          <w:lang w:eastAsia="en-AU"/>
        </w:rPr>
        <w:t>must</w:t>
      </w:r>
      <w:r w:rsidRPr="00DC1260">
        <w:rPr>
          <w:lang w:eastAsia="en-AU"/>
        </w:rPr>
        <w:t xml:space="preserve"> commence Wage Subsidy Agreement </w:t>
      </w:r>
      <w:r w:rsidR="001366A5">
        <w:rPr>
          <w:lang w:eastAsia="en-AU"/>
        </w:rPr>
        <w:t>negotiations</w:t>
      </w:r>
      <w:r w:rsidRPr="00DC1260">
        <w:rPr>
          <w:lang w:eastAsia="en-AU"/>
        </w:rPr>
        <w:t xml:space="preserve"> with an eligible Employer </w:t>
      </w:r>
      <w:r w:rsidR="008834E7" w:rsidRPr="49A19D3A">
        <w:rPr>
          <w:lang w:eastAsia="en-AU"/>
        </w:rPr>
        <w:t>before</w:t>
      </w:r>
      <w:r w:rsidRPr="00DC1260">
        <w:rPr>
          <w:lang w:eastAsia="en-AU"/>
        </w:rPr>
        <w:t xml:space="preserve"> </w:t>
      </w:r>
      <w:r w:rsidR="008834E7">
        <w:rPr>
          <w:lang w:eastAsia="en-AU"/>
        </w:rPr>
        <w:t xml:space="preserve">the </w:t>
      </w:r>
      <w:r w:rsidR="00B518BF">
        <w:rPr>
          <w:lang w:eastAsia="en-AU"/>
        </w:rPr>
        <w:t>Wage Subsidy Placement</w:t>
      </w:r>
      <w:r w:rsidR="008834E7">
        <w:rPr>
          <w:lang w:eastAsia="en-AU"/>
        </w:rPr>
        <w:t xml:space="preserve"> starts</w:t>
      </w:r>
      <w:r w:rsidRPr="00DC1260">
        <w:rPr>
          <w:lang w:eastAsia="en-AU"/>
        </w:rPr>
        <w:t>. The Provider must ensure the Employer understands that:</w:t>
      </w:r>
    </w:p>
    <w:p w14:paraId="23D631AF" w14:textId="11F307B6" w:rsidR="00DC1260" w:rsidRPr="00DC1260" w:rsidRDefault="00DC1260" w:rsidP="004E120D">
      <w:pPr>
        <w:pStyle w:val="BulletLevel1"/>
        <w:rPr>
          <w:lang w:eastAsia="en-AU"/>
        </w:rPr>
      </w:pPr>
      <w:r w:rsidRPr="00DC1260">
        <w:rPr>
          <w:lang w:eastAsia="en-AU"/>
        </w:rPr>
        <w:t>no Wage Subsidy has been agreed or promised until the Employer approves a Wage Subsidy Agreement that sets out the terms of the subsidy</w:t>
      </w:r>
    </w:p>
    <w:p w14:paraId="6F094C3E" w14:textId="40B200E2" w:rsidR="0047009B" w:rsidRDefault="0096430D" w:rsidP="004E120D">
      <w:pPr>
        <w:pStyle w:val="BulletLevel1"/>
        <w:rPr>
          <w:lang w:eastAsia="en-AU"/>
        </w:rPr>
      </w:pPr>
      <w:r w:rsidRPr="0096430D">
        <w:rPr>
          <w:lang w:eastAsia="en-AU"/>
        </w:rPr>
        <w:t>the Employer must have an active Workforce Australia Online for Business account</w:t>
      </w:r>
      <w:r w:rsidR="00D61C28">
        <w:rPr>
          <w:lang w:eastAsia="en-AU"/>
        </w:rPr>
        <w:t xml:space="preserve"> to be eligible for </w:t>
      </w:r>
      <w:r w:rsidR="004430ED">
        <w:rPr>
          <w:lang w:eastAsia="en-AU"/>
        </w:rPr>
        <w:t>a</w:t>
      </w:r>
      <w:r w:rsidR="00D61C28">
        <w:rPr>
          <w:lang w:eastAsia="en-AU"/>
        </w:rPr>
        <w:t xml:space="preserve"> Wage Subsidy</w:t>
      </w:r>
      <w:r w:rsidR="007476BC">
        <w:rPr>
          <w:lang w:eastAsia="en-AU"/>
        </w:rPr>
        <w:t>, and</w:t>
      </w:r>
      <w:r w:rsidR="00D61C28">
        <w:rPr>
          <w:lang w:eastAsia="en-AU"/>
        </w:rPr>
        <w:t xml:space="preserve"> </w:t>
      </w:r>
    </w:p>
    <w:p w14:paraId="153E64F0" w14:textId="46A954CD" w:rsidR="00DC1260" w:rsidRPr="00DC1260" w:rsidRDefault="00DC1260" w:rsidP="004E120D">
      <w:pPr>
        <w:pStyle w:val="BulletLevel1"/>
        <w:rPr>
          <w:lang w:eastAsia="en-AU"/>
        </w:rPr>
      </w:pPr>
      <w:r w:rsidRPr="4F3EABBB">
        <w:rPr>
          <w:lang w:eastAsia="en-AU"/>
        </w:rPr>
        <w:t xml:space="preserve">no Wage Subsidy </w:t>
      </w:r>
      <w:r w:rsidR="00411B92" w:rsidRPr="4F3EABBB">
        <w:rPr>
          <w:lang w:eastAsia="en-AU"/>
        </w:rPr>
        <w:t>P</w:t>
      </w:r>
      <w:r w:rsidRPr="4F3EABBB">
        <w:rPr>
          <w:lang w:eastAsia="en-AU"/>
        </w:rPr>
        <w:t xml:space="preserve">ayment will be made if the Wage Subsidy Placement ends within the first </w:t>
      </w:r>
      <w:r w:rsidR="004430ED">
        <w:rPr>
          <w:lang w:eastAsia="en-AU"/>
        </w:rPr>
        <w:t>6 </w:t>
      </w:r>
      <w:r w:rsidRPr="4F3EABBB">
        <w:rPr>
          <w:lang w:eastAsia="en-AU"/>
        </w:rPr>
        <w:t xml:space="preserve">weeks </w:t>
      </w:r>
      <w:r w:rsidR="00EB102D" w:rsidRPr="4F3EABBB">
        <w:rPr>
          <w:lang w:eastAsia="en-AU"/>
        </w:rPr>
        <w:t xml:space="preserve">(42 days) </w:t>
      </w:r>
      <w:r w:rsidRPr="4F3EABBB">
        <w:rPr>
          <w:lang w:eastAsia="en-AU"/>
        </w:rPr>
        <w:t xml:space="preserve">of the Wage Subsidy </w:t>
      </w:r>
      <w:r w:rsidR="00822EA6" w:rsidRPr="1F0EE377">
        <w:rPr>
          <w:lang w:eastAsia="en-AU"/>
        </w:rPr>
        <w:t>Agreement</w:t>
      </w:r>
      <w:r w:rsidR="00822EA6">
        <w:rPr>
          <w:lang w:eastAsia="en-AU"/>
        </w:rPr>
        <w:t xml:space="preserve"> </w:t>
      </w:r>
      <w:r w:rsidR="7705CFC4" w:rsidRPr="7DC064DC">
        <w:rPr>
          <w:lang w:eastAsia="en-AU"/>
        </w:rPr>
        <w:t>T</w:t>
      </w:r>
      <w:r w:rsidR="00822EA6" w:rsidRPr="7DC064DC">
        <w:rPr>
          <w:lang w:eastAsia="en-AU"/>
        </w:rPr>
        <w:t>erm</w:t>
      </w:r>
      <w:r w:rsidRPr="4F3EABBB">
        <w:rPr>
          <w:lang w:eastAsia="en-AU"/>
        </w:rPr>
        <w:t>.</w:t>
      </w:r>
    </w:p>
    <w:p w14:paraId="387B245E" w14:textId="16FC31EA" w:rsidR="00114100" w:rsidRDefault="00DC1260" w:rsidP="00114100">
      <w:pPr>
        <w:rPr>
          <w:lang w:eastAsia="en-AU"/>
        </w:rPr>
      </w:pPr>
      <w:r w:rsidRPr="00DC1260">
        <w:rPr>
          <w:lang w:eastAsia="en-AU"/>
        </w:rPr>
        <w:t xml:space="preserve">Providers are responsible for negotiating and managing all elements of a Wage Subsidy Agreement including making </w:t>
      </w:r>
      <w:r w:rsidR="00C11AF3">
        <w:rPr>
          <w:lang w:eastAsia="en-AU"/>
        </w:rPr>
        <w:t xml:space="preserve">Wage Subsidy </w:t>
      </w:r>
      <w:r w:rsidR="00136683" w:rsidRPr="4B09852D">
        <w:rPr>
          <w:lang w:eastAsia="en-AU"/>
        </w:rPr>
        <w:t>P</w:t>
      </w:r>
      <w:r w:rsidRPr="4B09852D">
        <w:rPr>
          <w:lang w:eastAsia="en-AU"/>
        </w:rPr>
        <w:t>ayments</w:t>
      </w:r>
      <w:r w:rsidRPr="00DC1260">
        <w:rPr>
          <w:lang w:eastAsia="en-AU"/>
        </w:rPr>
        <w:t xml:space="preserve"> to Wage Subsidy Employers. Providers must not charge Wage Subsidy Employers to manage </w:t>
      </w:r>
      <w:r w:rsidR="00CF2A2E">
        <w:rPr>
          <w:lang w:eastAsia="en-AU"/>
        </w:rPr>
        <w:t xml:space="preserve">their </w:t>
      </w:r>
      <w:r w:rsidRPr="00DC1260">
        <w:rPr>
          <w:lang w:eastAsia="en-AU"/>
        </w:rPr>
        <w:t>Wage Subsidy Agreement or use any of the Wage Subsidy for this purpose.</w:t>
      </w:r>
    </w:p>
    <w:p w14:paraId="11AF311A" w14:textId="1FE50B00" w:rsidR="00DC1260" w:rsidRPr="0022424B" w:rsidRDefault="00DC1260" w:rsidP="0022424B">
      <w:r>
        <w:t xml:space="preserve">Providers </w:t>
      </w:r>
      <w:r w:rsidR="001B1DEE">
        <w:t>will</w:t>
      </w:r>
      <w:r w:rsidR="00604F9B">
        <w:t xml:space="preserve"> </w:t>
      </w:r>
      <w:r>
        <w:t>negotiate:</w:t>
      </w:r>
    </w:p>
    <w:p w14:paraId="0D78AD10" w14:textId="6BBD5AB4" w:rsidR="001E1E0D" w:rsidRDefault="0024558F" w:rsidP="00EF385B">
      <w:pPr>
        <w:pStyle w:val="BulletLevel1"/>
        <w:rPr>
          <w:lang w:eastAsia="en-AU"/>
        </w:rPr>
      </w:pPr>
      <w:r>
        <w:rPr>
          <w:lang w:eastAsia="en-AU"/>
        </w:rPr>
        <w:t xml:space="preserve">the </w:t>
      </w:r>
      <w:r w:rsidR="008E6862">
        <w:rPr>
          <w:lang w:eastAsia="en-AU"/>
        </w:rPr>
        <w:t>date Employment will commence</w:t>
      </w:r>
      <w:r w:rsidR="00E41065">
        <w:rPr>
          <w:lang w:eastAsia="en-AU"/>
        </w:rPr>
        <w:t>,</w:t>
      </w:r>
      <w:r w:rsidR="00CF2A2E">
        <w:rPr>
          <w:lang w:eastAsia="en-AU"/>
        </w:rPr>
        <w:t xml:space="preserve"> </w:t>
      </w:r>
      <w:r w:rsidR="0094053C">
        <w:rPr>
          <w:lang w:eastAsia="en-AU"/>
        </w:rPr>
        <w:t xml:space="preserve">from </w:t>
      </w:r>
      <w:r w:rsidR="5A5F9A58" w:rsidRPr="2A05E84B">
        <w:rPr>
          <w:lang w:eastAsia="en-AU"/>
        </w:rPr>
        <w:t>when</w:t>
      </w:r>
      <w:r w:rsidR="00662C1C">
        <w:rPr>
          <w:lang w:eastAsia="en-AU"/>
        </w:rPr>
        <w:t xml:space="preserve"> </w:t>
      </w:r>
      <w:r w:rsidR="000B7FEF">
        <w:rPr>
          <w:lang w:eastAsia="en-AU"/>
        </w:rPr>
        <w:t>the</w:t>
      </w:r>
      <w:r w:rsidR="00306255">
        <w:rPr>
          <w:lang w:eastAsia="en-AU"/>
        </w:rPr>
        <w:t xml:space="preserve"> </w:t>
      </w:r>
      <w:r w:rsidR="1469A47B" w:rsidRPr="2A05E84B">
        <w:rPr>
          <w:lang w:eastAsia="en-AU"/>
        </w:rPr>
        <w:t xml:space="preserve">Wage Subsidy Agreement </w:t>
      </w:r>
      <w:r w:rsidR="005157D4">
        <w:rPr>
          <w:lang w:eastAsia="en-AU"/>
        </w:rPr>
        <w:t xml:space="preserve">will take effect </w:t>
      </w:r>
    </w:p>
    <w:p w14:paraId="3045579D" w14:textId="4EEBF722" w:rsidR="00DC1260" w:rsidRPr="00DC1260" w:rsidRDefault="5A5F9A58" w:rsidP="004E120D">
      <w:pPr>
        <w:pStyle w:val="BulletLevel1"/>
        <w:rPr>
          <w:lang w:eastAsia="en-AU"/>
        </w:rPr>
      </w:pPr>
      <w:r w:rsidRPr="4F3EABBB">
        <w:rPr>
          <w:lang w:eastAsia="en-AU"/>
        </w:rPr>
        <w:t>how many hours will be offered as part of the placement</w:t>
      </w:r>
      <w:r w:rsidR="00CF10C4">
        <w:rPr>
          <w:lang w:eastAsia="en-AU"/>
        </w:rPr>
        <w:t xml:space="preserve"> —</w:t>
      </w:r>
      <w:r w:rsidR="0058579E">
        <w:rPr>
          <w:lang w:eastAsia="en-AU"/>
        </w:rPr>
        <w:t xml:space="preserve"> </w:t>
      </w:r>
      <w:r w:rsidR="00CF10C4">
        <w:rPr>
          <w:lang w:eastAsia="en-AU"/>
        </w:rPr>
        <w:t>t</w:t>
      </w:r>
      <w:r w:rsidR="0058579E">
        <w:rPr>
          <w:lang w:eastAsia="en-AU"/>
        </w:rPr>
        <w:t xml:space="preserve">his will determine the appropriate </w:t>
      </w:r>
      <w:r w:rsidRPr="4F3EABBB">
        <w:rPr>
          <w:lang w:eastAsia="en-AU"/>
        </w:rPr>
        <w:t xml:space="preserve">Wage Subsidy </w:t>
      </w:r>
      <w:r w:rsidR="56437F96" w:rsidRPr="4F3EABBB">
        <w:rPr>
          <w:lang w:eastAsia="en-AU"/>
        </w:rPr>
        <w:t>level</w:t>
      </w:r>
      <w:r w:rsidRPr="4F3EABBB">
        <w:rPr>
          <w:lang w:eastAsia="en-AU"/>
        </w:rPr>
        <w:t xml:space="preserve"> </w:t>
      </w:r>
      <w:r w:rsidR="0058579E">
        <w:rPr>
          <w:lang w:eastAsia="en-AU"/>
        </w:rPr>
        <w:t>to be applied</w:t>
      </w:r>
      <w:r w:rsidR="0057332A">
        <w:rPr>
          <w:lang w:eastAsia="en-AU"/>
        </w:rPr>
        <w:t xml:space="preserve"> </w:t>
      </w:r>
      <w:r w:rsidR="41C0A25C" w:rsidRPr="4F3EABBB">
        <w:rPr>
          <w:lang w:eastAsia="en-AU"/>
        </w:rPr>
        <w:t>– th</w:t>
      </w:r>
      <w:r w:rsidRPr="4F3EABBB">
        <w:rPr>
          <w:lang w:eastAsia="en-AU"/>
        </w:rPr>
        <w:t xml:space="preserve">e Provider must consider the Participant’s Employment Benchmark and </w:t>
      </w:r>
      <w:r w:rsidR="00D5361E">
        <w:rPr>
          <w:lang w:eastAsia="en-AU"/>
        </w:rPr>
        <w:t xml:space="preserve">personal </w:t>
      </w:r>
      <w:r w:rsidRPr="4F3EABBB">
        <w:rPr>
          <w:lang w:eastAsia="en-AU"/>
        </w:rPr>
        <w:t xml:space="preserve">circumstances </w:t>
      </w:r>
      <w:r w:rsidR="00D5361E">
        <w:rPr>
          <w:lang w:eastAsia="en-AU"/>
        </w:rPr>
        <w:t xml:space="preserve">in </w:t>
      </w:r>
      <w:r w:rsidRPr="4F3EABBB">
        <w:rPr>
          <w:lang w:eastAsia="en-AU"/>
        </w:rPr>
        <w:t xml:space="preserve">determining </w:t>
      </w:r>
      <w:r w:rsidR="00D5361E">
        <w:rPr>
          <w:lang w:eastAsia="en-AU"/>
        </w:rPr>
        <w:t xml:space="preserve">a Participant’s average weekly </w:t>
      </w:r>
      <w:r w:rsidRPr="4F3EABBB">
        <w:rPr>
          <w:lang w:eastAsia="en-AU"/>
        </w:rPr>
        <w:t>hours</w:t>
      </w:r>
    </w:p>
    <w:p w14:paraId="6F3EEFBC" w14:textId="22C27AA0" w:rsidR="00DC1260" w:rsidRDefault="00DC1260" w:rsidP="004E120D">
      <w:pPr>
        <w:pStyle w:val="BulletLevel1"/>
        <w:rPr>
          <w:lang w:eastAsia="en-AU"/>
        </w:rPr>
      </w:pPr>
      <w:r w:rsidRPr="00DC1260">
        <w:rPr>
          <w:lang w:eastAsia="en-AU"/>
        </w:rPr>
        <w:t>how the Provider</w:t>
      </w:r>
      <w:r w:rsidR="00846C83">
        <w:rPr>
          <w:lang w:eastAsia="en-AU"/>
        </w:rPr>
        <w:t xml:space="preserve"> </w:t>
      </w:r>
      <w:r w:rsidR="00A75B31">
        <w:rPr>
          <w:lang w:eastAsia="en-AU"/>
        </w:rPr>
        <w:t xml:space="preserve">will support the </w:t>
      </w:r>
      <w:r w:rsidR="00A75B31" w:rsidRPr="00DC1260">
        <w:rPr>
          <w:lang w:eastAsia="en-AU"/>
        </w:rPr>
        <w:t xml:space="preserve">Participant </w:t>
      </w:r>
      <w:r w:rsidRPr="00DC1260">
        <w:rPr>
          <w:lang w:eastAsia="en-AU"/>
        </w:rPr>
        <w:t xml:space="preserve">and Employer during the </w:t>
      </w:r>
      <w:r w:rsidR="0022424B">
        <w:rPr>
          <w:lang w:eastAsia="en-AU"/>
        </w:rPr>
        <w:t>Wage Subsidy P</w:t>
      </w:r>
      <w:r w:rsidRPr="00DC1260">
        <w:rPr>
          <w:lang w:eastAsia="en-AU"/>
        </w:rPr>
        <w:t>lacement</w:t>
      </w:r>
      <w:r w:rsidR="001B1DEE">
        <w:rPr>
          <w:lang w:eastAsia="en-AU"/>
        </w:rPr>
        <w:t xml:space="preserve">, including </w:t>
      </w:r>
      <w:r w:rsidR="009221C3">
        <w:rPr>
          <w:lang w:eastAsia="en-AU"/>
        </w:rPr>
        <w:t>if</w:t>
      </w:r>
      <w:r w:rsidR="001B1DEE">
        <w:rPr>
          <w:lang w:eastAsia="en-AU"/>
        </w:rPr>
        <w:t xml:space="preserve"> any </w:t>
      </w:r>
      <w:r w:rsidR="00E17F2B">
        <w:rPr>
          <w:lang w:eastAsia="en-AU"/>
        </w:rPr>
        <w:t xml:space="preserve">ongoing </w:t>
      </w:r>
      <w:r w:rsidR="001B1DEE">
        <w:rPr>
          <w:lang w:eastAsia="en-AU"/>
        </w:rPr>
        <w:t xml:space="preserve">adjustments are required </w:t>
      </w:r>
      <w:r w:rsidR="00495B28">
        <w:rPr>
          <w:lang w:eastAsia="en-AU"/>
        </w:rPr>
        <w:t>and</w:t>
      </w:r>
      <w:r w:rsidR="006A0F88">
        <w:rPr>
          <w:lang w:eastAsia="en-AU"/>
        </w:rPr>
        <w:t xml:space="preserve"> </w:t>
      </w:r>
      <w:r w:rsidR="00DD7851">
        <w:rPr>
          <w:lang w:eastAsia="en-AU"/>
        </w:rPr>
        <w:t>any applications to the Employment Assistance Fund</w:t>
      </w:r>
      <w:r w:rsidR="00185310">
        <w:rPr>
          <w:lang w:eastAsia="en-AU"/>
        </w:rPr>
        <w:t xml:space="preserve"> (EAF)</w:t>
      </w:r>
    </w:p>
    <w:p w14:paraId="595CFE8B" w14:textId="45694E29" w:rsidR="001B1DEE" w:rsidRDefault="001B1DEE" w:rsidP="004E120D">
      <w:pPr>
        <w:pStyle w:val="BulletLevel1"/>
        <w:rPr>
          <w:lang w:eastAsia="en-AU"/>
        </w:rPr>
      </w:pPr>
      <w:r>
        <w:rPr>
          <w:lang w:eastAsia="en-AU"/>
        </w:rPr>
        <w:t>how the Employer will support the Participant</w:t>
      </w:r>
    </w:p>
    <w:p w14:paraId="55DA111C" w14:textId="124F7E61" w:rsidR="006C3E44" w:rsidRPr="00DC1260" w:rsidRDefault="006C3E44" w:rsidP="004E120D">
      <w:pPr>
        <w:pStyle w:val="BulletLevel1"/>
        <w:rPr>
          <w:lang w:eastAsia="en-AU"/>
        </w:rPr>
      </w:pPr>
      <w:r>
        <w:rPr>
          <w:lang w:eastAsia="en-AU"/>
        </w:rPr>
        <w:t xml:space="preserve">the </w:t>
      </w:r>
      <w:r w:rsidR="004B75D5">
        <w:rPr>
          <w:lang w:eastAsia="en-AU"/>
        </w:rPr>
        <w:t>W</w:t>
      </w:r>
      <w:r>
        <w:rPr>
          <w:lang w:eastAsia="en-AU"/>
        </w:rPr>
        <w:t xml:space="preserve">age </w:t>
      </w:r>
      <w:r w:rsidR="004B75D5">
        <w:rPr>
          <w:lang w:eastAsia="en-AU"/>
        </w:rPr>
        <w:t>S</w:t>
      </w:r>
      <w:r>
        <w:rPr>
          <w:lang w:eastAsia="en-AU"/>
        </w:rPr>
        <w:t>ubsid</w:t>
      </w:r>
      <w:r w:rsidR="004B75D5">
        <w:rPr>
          <w:lang w:eastAsia="en-AU"/>
        </w:rPr>
        <w:t xml:space="preserve">y </w:t>
      </w:r>
      <w:r w:rsidR="00045F96">
        <w:rPr>
          <w:lang w:eastAsia="en-AU"/>
        </w:rPr>
        <w:t>value</w:t>
      </w:r>
      <w:r w:rsidR="004B75D5">
        <w:rPr>
          <w:lang w:eastAsia="en-AU"/>
        </w:rPr>
        <w:t xml:space="preserve"> (up to the</w:t>
      </w:r>
      <w:r w:rsidR="00DC0E54">
        <w:rPr>
          <w:lang w:eastAsia="en-AU"/>
        </w:rPr>
        <w:t xml:space="preserve"> set </w:t>
      </w:r>
      <w:r w:rsidR="00C56C7E">
        <w:rPr>
          <w:lang w:eastAsia="en-AU"/>
        </w:rPr>
        <w:t>m</w:t>
      </w:r>
      <w:r w:rsidR="00DC0E54">
        <w:rPr>
          <w:lang w:eastAsia="en-AU"/>
        </w:rPr>
        <w:t xml:space="preserve">aximum </w:t>
      </w:r>
      <w:r w:rsidR="00C56C7E">
        <w:rPr>
          <w:lang w:eastAsia="en-AU"/>
        </w:rPr>
        <w:t xml:space="preserve">value for the </w:t>
      </w:r>
      <w:r w:rsidR="00A83DB6">
        <w:rPr>
          <w:lang w:eastAsia="en-AU"/>
        </w:rPr>
        <w:t>Participant’s</w:t>
      </w:r>
      <w:r w:rsidR="00C56C7E" w:rsidDel="00A83DB6">
        <w:rPr>
          <w:lang w:eastAsia="en-AU"/>
        </w:rPr>
        <w:t xml:space="preserve"> </w:t>
      </w:r>
      <w:r w:rsidR="00C56C7E">
        <w:rPr>
          <w:lang w:eastAsia="en-AU"/>
        </w:rPr>
        <w:t>circumstances)</w:t>
      </w:r>
    </w:p>
    <w:p w14:paraId="5C7FE6FF" w14:textId="50651519" w:rsidR="00DC1260" w:rsidRPr="00CF10C4" w:rsidRDefault="00BD5926" w:rsidP="004E120D">
      <w:pPr>
        <w:pStyle w:val="BulletLevel1"/>
        <w:rPr>
          <w:lang w:eastAsia="en-AU"/>
        </w:rPr>
      </w:pPr>
      <w:r w:rsidRPr="00CF10C4">
        <w:t>what Instalment Payment period</w:t>
      </w:r>
      <w:r w:rsidR="003A7D1B">
        <w:t>(</w:t>
      </w:r>
      <w:r w:rsidR="00DA0672" w:rsidRPr="00CF10C4">
        <w:t>s</w:t>
      </w:r>
      <w:r w:rsidR="003A7D1B">
        <w:t>)</w:t>
      </w:r>
      <w:r w:rsidRPr="00CF10C4">
        <w:t xml:space="preserve"> work best for the Wage Subsidy Employer’s business </w:t>
      </w:r>
      <w:r w:rsidR="00CF10C4" w:rsidRPr="00CF10C4">
        <w:t xml:space="preserve">— refer to </w:t>
      </w:r>
      <w:r w:rsidR="00CF10C4" w:rsidRPr="00CF10C4">
        <w:fldChar w:fldCharType="begin"/>
      </w:r>
      <w:r w:rsidR="00CF10C4" w:rsidRPr="00CF10C4">
        <w:instrText xml:space="preserve"> REF _Ref202800059 \h </w:instrText>
      </w:r>
      <w:r w:rsidR="00CF10C4">
        <w:instrText xml:space="preserve"> \* MERGEFORMAT </w:instrText>
      </w:r>
      <w:r w:rsidR="00CF10C4" w:rsidRPr="00CF10C4">
        <w:fldChar w:fldCharType="separate"/>
      </w:r>
      <w:r w:rsidR="000D75AE" w:rsidRPr="0031035E">
        <w:t>8.5</w:t>
      </w:r>
      <w:r w:rsidR="003B2E77">
        <w:t xml:space="preserve"> </w:t>
      </w:r>
      <w:r w:rsidR="000D75AE" w:rsidRPr="0031035E">
        <w:t>Payments to Wage Subsidy Employers</w:t>
      </w:r>
      <w:r w:rsidR="00CF10C4" w:rsidRPr="00CF10C4">
        <w:fldChar w:fldCharType="end"/>
      </w:r>
      <w:r w:rsidRPr="00CF10C4">
        <w:rPr>
          <w:lang w:eastAsia="en-AU"/>
        </w:rPr>
        <w:t xml:space="preserve">, </w:t>
      </w:r>
      <w:r w:rsidR="00634366" w:rsidRPr="00CF10C4">
        <w:rPr>
          <w:lang w:eastAsia="en-AU"/>
        </w:rPr>
        <w:t>and</w:t>
      </w:r>
    </w:p>
    <w:p w14:paraId="31CDAD76" w14:textId="50E741A3" w:rsidR="00DC1260" w:rsidRPr="00CF10C4" w:rsidRDefault="00F4302A" w:rsidP="004E120D">
      <w:pPr>
        <w:pStyle w:val="BulletLevel1"/>
        <w:rPr>
          <w:lang w:eastAsia="en-AU"/>
        </w:rPr>
      </w:pPr>
      <w:r w:rsidRPr="00CF10C4">
        <w:rPr>
          <w:lang w:eastAsia="en-AU"/>
        </w:rPr>
        <w:t xml:space="preserve">the </w:t>
      </w:r>
      <w:r w:rsidR="00082E9D" w:rsidRPr="00CF10C4">
        <w:rPr>
          <w:lang w:eastAsia="en-AU"/>
        </w:rPr>
        <w:t xml:space="preserve">mechanism the </w:t>
      </w:r>
      <w:r w:rsidRPr="00CF10C4">
        <w:rPr>
          <w:lang w:eastAsia="en-AU"/>
        </w:rPr>
        <w:t xml:space="preserve">Wage Subsidy </w:t>
      </w:r>
      <w:r w:rsidR="00DC1260" w:rsidRPr="00CF10C4">
        <w:rPr>
          <w:lang w:eastAsia="en-AU"/>
        </w:rPr>
        <w:t xml:space="preserve">Employer will </w:t>
      </w:r>
      <w:r w:rsidR="00082E9D" w:rsidRPr="00CF10C4">
        <w:rPr>
          <w:lang w:eastAsia="en-AU"/>
        </w:rPr>
        <w:t>use</w:t>
      </w:r>
      <w:r w:rsidRPr="00CF10C4">
        <w:rPr>
          <w:lang w:eastAsia="en-AU"/>
        </w:rPr>
        <w:t xml:space="preserve"> </w:t>
      </w:r>
      <w:r w:rsidR="001E7A5A" w:rsidRPr="00CF10C4">
        <w:rPr>
          <w:lang w:eastAsia="en-AU"/>
        </w:rPr>
        <w:t xml:space="preserve">to </w:t>
      </w:r>
      <w:r w:rsidR="00DC1260" w:rsidRPr="00CF10C4">
        <w:rPr>
          <w:lang w:eastAsia="en-AU"/>
        </w:rPr>
        <w:t xml:space="preserve">demonstrate that the Wage Subsidy conditions were </w:t>
      </w:r>
      <w:r w:rsidR="00F04B86">
        <w:rPr>
          <w:lang w:eastAsia="en-AU"/>
        </w:rPr>
        <w:t>— refer</w:t>
      </w:r>
      <w:r w:rsidR="00DC1260" w:rsidRPr="00CF10C4">
        <w:rPr>
          <w:lang w:eastAsia="en-AU"/>
        </w:rPr>
        <w:t xml:space="preserve"> t</w:t>
      </w:r>
      <w:r w:rsidR="00F04B86">
        <w:rPr>
          <w:lang w:eastAsia="en-AU"/>
        </w:rPr>
        <w:t>o Documentary Evidence</w:t>
      </w:r>
      <w:r w:rsidR="00DC1260" w:rsidRPr="00CF10C4">
        <w:rPr>
          <w:lang w:eastAsia="en-AU"/>
        </w:rPr>
        <w:t xml:space="preserve"> requirements outlined in </w:t>
      </w:r>
      <w:r w:rsidR="00CF10C4" w:rsidRPr="00CF10C4">
        <w:fldChar w:fldCharType="begin"/>
      </w:r>
      <w:r w:rsidR="00CF10C4" w:rsidRPr="00CF10C4">
        <w:instrText xml:space="preserve"> REF _Ref202800064 \h </w:instrText>
      </w:r>
      <w:r w:rsidR="00CF10C4">
        <w:instrText xml:space="preserve"> \* MERGEFORMAT </w:instrText>
      </w:r>
      <w:r w:rsidR="00CF10C4" w:rsidRPr="00CF10C4">
        <w:fldChar w:fldCharType="separate"/>
      </w:r>
      <w:r w:rsidR="000D75AE" w:rsidRPr="00CD504F">
        <w:t>8.8</w:t>
      </w:r>
      <w:r w:rsidR="003B2E77">
        <w:t xml:space="preserve"> </w:t>
      </w:r>
      <w:r w:rsidR="000D75AE">
        <w:t>Record Keeping</w:t>
      </w:r>
      <w:r w:rsidR="00CF10C4" w:rsidRPr="00CF10C4">
        <w:fldChar w:fldCharType="end"/>
      </w:r>
      <w:r w:rsidR="00023259" w:rsidRPr="00CF10C4">
        <w:rPr>
          <w:lang w:eastAsia="en-AU"/>
        </w:rPr>
        <w:t>.</w:t>
      </w:r>
    </w:p>
    <w:p w14:paraId="3A846621" w14:textId="21DC295F" w:rsidR="00DC1260" w:rsidRPr="00023259" w:rsidRDefault="00DC1260" w:rsidP="00023259">
      <w:r w:rsidRPr="00023259">
        <w:t>Based on these negotiations, some standard Wage Subsidy conditions are set:</w:t>
      </w:r>
    </w:p>
    <w:p w14:paraId="06BC1D7E" w14:textId="72893011" w:rsidR="0071693E" w:rsidRDefault="0071693E" w:rsidP="004E120D">
      <w:pPr>
        <w:pStyle w:val="BulletLevel1"/>
        <w:rPr>
          <w:lang w:eastAsia="en-AU"/>
        </w:rPr>
      </w:pPr>
      <w:r>
        <w:rPr>
          <w:lang w:eastAsia="en-AU"/>
        </w:rPr>
        <w:t xml:space="preserve">the </w:t>
      </w:r>
      <w:r w:rsidR="00411117">
        <w:rPr>
          <w:lang w:eastAsia="en-AU"/>
        </w:rPr>
        <w:t xml:space="preserve">date of </w:t>
      </w:r>
      <w:r>
        <w:rPr>
          <w:lang w:eastAsia="en-AU"/>
        </w:rPr>
        <w:t>commence</w:t>
      </w:r>
      <w:r w:rsidR="00411117">
        <w:rPr>
          <w:lang w:eastAsia="en-AU"/>
        </w:rPr>
        <w:t xml:space="preserve">ment of the </w:t>
      </w:r>
      <w:r>
        <w:rPr>
          <w:lang w:eastAsia="en-AU"/>
        </w:rPr>
        <w:t xml:space="preserve">Wage Subsidy </w:t>
      </w:r>
      <w:r w:rsidR="002753FC">
        <w:rPr>
          <w:lang w:eastAsia="en-AU"/>
        </w:rPr>
        <w:t>is</w:t>
      </w:r>
      <w:r>
        <w:rPr>
          <w:lang w:eastAsia="en-AU"/>
        </w:rPr>
        <w:t xml:space="preserve"> the Job Placement Start Date</w:t>
      </w:r>
    </w:p>
    <w:p w14:paraId="044EC6CD" w14:textId="598402DF" w:rsidR="00DC1260" w:rsidRPr="00DC1260" w:rsidRDefault="5A5F9A58" w:rsidP="004E120D">
      <w:pPr>
        <w:pStyle w:val="BulletLevel1"/>
        <w:rPr>
          <w:lang w:eastAsia="en-AU"/>
        </w:rPr>
      </w:pPr>
      <w:r w:rsidRPr="2A05E84B">
        <w:rPr>
          <w:lang w:eastAsia="en-AU"/>
        </w:rPr>
        <w:t xml:space="preserve">the </w:t>
      </w:r>
      <w:r w:rsidR="772F2213" w:rsidRPr="2A05E84B">
        <w:rPr>
          <w:lang w:eastAsia="en-AU"/>
        </w:rPr>
        <w:t xml:space="preserve">duration of the </w:t>
      </w:r>
      <w:r w:rsidRPr="2A05E84B">
        <w:rPr>
          <w:lang w:eastAsia="en-AU"/>
        </w:rPr>
        <w:t xml:space="preserve">Wage Subsidy </w:t>
      </w:r>
      <w:r w:rsidR="000F4820">
        <w:rPr>
          <w:lang w:eastAsia="en-AU"/>
        </w:rPr>
        <w:t xml:space="preserve">Agreement </w:t>
      </w:r>
      <w:r w:rsidR="1031B4DB" w:rsidRPr="5E536DB8">
        <w:rPr>
          <w:lang w:eastAsia="en-AU"/>
        </w:rPr>
        <w:t>T</w:t>
      </w:r>
      <w:r w:rsidR="000F4820" w:rsidRPr="5E536DB8">
        <w:rPr>
          <w:lang w:eastAsia="en-AU"/>
        </w:rPr>
        <w:t>erm</w:t>
      </w:r>
      <w:r w:rsidRPr="2A05E84B">
        <w:rPr>
          <w:lang w:eastAsia="en-AU"/>
        </w:rPr>
        <w:t xml:space="preserve"> </w:t>
      </w:r>
      <w:r w:rsidR="772F2213" w:rsidRPr="2A05E84B">
        <w:rPr>
          <w:lang w:eastAsia="en-AU"/>
        </w:rPr>
        <w:t xml:space="preserve">is </w:t>
      </w:r>
      <w:r w:rsidRPr="2A05E84B">
        <w:rPr>
          <w:lang w:eastAsia="en-AU"/>
        </w:rPr>
        <w:t>26</w:t>
      </w:r>
      <w:r w:rsidR="4FFEA17E" w:rsidRPr="2A05E84B">
        <w:rPr>
          <w:lang w:eastAsia="en-AU"/>
        </w:rPr>
        <w:t> </w:t>
      </w:r>
      <w:r w:rsidRPr="2A05E84B">
        <w:rPr>
          <w:lang w:eastAsia="en-AU"/>
        </w:rPr>
        <w:t>weeks</w:t>
      </w:r>
      <w:r w:rsidR="4FFEA17E" w:rsidRPr="2A05E84B">
        <w:rPr>
          <w:lang w:eastAsia="en-AU"/>
        </w:rPr>
        <w:t>, and</w:t>
      </w:r>
    </w:p>
    <w:p w14:paraId="5D2D4C89" w14:textId="54B6E0D5" w:rsidR="00DC1260" w:rsidRPr="00DC1260" w:rsidRDefault="00DC1260" w:rsidP="004E120D">
      <w:pPr>
        <w:pStyle w:val="BulletLevel1"/>
        <w:rPr>
          <w:lang w:eastAsia="en-AU"/>
        </w:rPr>
      </w:pPr>
      <w:r w:rsidRPr="00DC1260">
        <w:rPr>
          <w:lang w:eastAsia="en-AU"/>
        </w:rPr>
        <w:t xml:space="preserve">the maximum value and </w:t>
      </w:r>
      <w:r w:rsidR="005B70FA">
        <w:rPr>
          <w:lang w:eastAsia="en-AU"/>
        </w:rPr>
        <w:t xml:space="preserve">minimum </w:t>
      </w:r>
      <w:r w:rsidRPr="00DC1260">
        <w:rPr>
          <w:lang w:eastAsia="en-AU"/>
        </w:rPr>
        <w:t xml:space="preserve">employment hours of the Wage Subsidy are determined by the </w:t>
      </w:r>
      <w:r w:rsidR="56437F96" w:rsidRPr="4B09852D">
        <w:rPr>
          <w:lang w:eastAsia="en-AU"/>
        </w:rPr>
        <w:t>level</w:t>
      </w:r>
      <w:r w:rsidRPr="00DC1260">
        <w:rPr>
          <w:lang w:eastAsia="en-AU"/>
        </w:rPr>
        <w:t xml:space="preserve"> being offered and/or </w:t>
      </w:r>
      <w:r w:rsidR="00DF5A61">
        <w:rPr>
          <w:lang w:eastAsia="en-AU"/>
        </w:rPr>
        <w:t xml:space="preserve">if </w:t>
      </w:r>
      <w:r w:rsidRPr="00DC1260">
        <w:rPr>
          <w:lang w:eastAsia="en-AU"/>
        </w:rPr>
        <w:t>the Participant is under 25 years of age.</w:t>
      </w:r>
      <w:r w:rsidR="00400C6B">
        <w:rPr>
          <w:lang w:eastAsia="en-AU"/>
        </w:rPr>
        <w:t xml:space="preserve"> </w:t>
      </w:r>
    </w:p>
    <w:p w14:paraId="2DDE081A" w14:textId="4A528CF0" w:rsidR="00DC1260" w:rsidRPr="00023259" w:rsidRDefault="00DC1260" w:rsidP="00023259">
      <w:r>
        <w:t xml:space="preserve">The agreed terms and conditions of </w:t>
      </w:r>
      <w:r w:rsidR="00A752A8">
        <w:t>the</w:t>
      </w:r>
      <w:r w:rsidDel="00A752A8">
        <w:t xml:space="preserve"> </w:t>
      </w:r>
      <w:r>
        <w:t>Wage Subsidy must be set out in a Wage Subsidy Agreement</w:t>
      </w:r>
      <w:r w:rsidR="00707C8C">
        <w:t xml:space="preserve"> that mu</w:t>
      </w:r>
      <w:r w:rsidR="00A752A8">
        <w:t>s</w:t>
      </w:r>
      <w:r w:rsidR="00707C8C">
        <w:t xml:space="preserve">t be approved </w:t>
      </w:r>
      <w:r w:rsidR="00A752A8">
        <w:t xml:space="preserve">by the Wage Subsidy Employer </w:t>
      </w:r>
      <w:r w:rsidR="00707C8C">
        <w:t>within 28 days of the Wage Subsidy Participant’s Job Placement Start Date</w:t>
      </w:r>
      <w:r>
        <w:t>.</w:t>
      </w:r>
    </w:p>
    <w:p w14:paraId="39E9893D" w14:textId="161CB219" w:rsidR="00DC1260" w:rsidRPr="00023259" w:rsidRDefault="00DC1260" w:rsidP="00023259">
      <w:pPr>
        <w:pStyle w:val="Heading4"/>
      </w:pPr>
      <w:bookmarkStart w:id="360" w:name="_Toc202900031"/>
      <w:r w:rsidRPr="00023259">
        <w:t>8.4.2</w:t>
      </w:r>
      <w:r w:rsidR="00023259">
        <w:tab/>
      </w:r>
      <w:r w:rsidR="00E50FF3">
        <w:t xml:space="preserve">Entering into </w:t>
      </w:r>
      <w:r w:rsidRPr="00023259">
        <w:t>Wage Subsidy Agreement</w:t>
      </w:r>
      <w:r w:rsidR="00E50FF3">
        <w:t>s</w:t>
      </w:r>
      <w:bookmarkEnd w:id="360"/>
    </w:p>
    <w:p w14:paraId="4F42C10D" w14:textId="4ABAB03F" w:rsidR="00DC1260" w:rsidRPr="00023259" w:rsidRDefault="00573FA6" w:rsidP="00023259">
      <w:pPr>
        <w:pStyle w:val="Heading5"/>
      </w:pPr>
      <w:r>
        <w:t xml:space="preserve">Head </w:t>
      </w:r>
      <w:r w:rsidR="00F63A34">
        <w:t>A</w:t>
      </w:r>
      <w:r w:rsidR="00EE4DD6" w:rsidRPr="00EE4DD6">
        <w:t xml:space="preserve">greement </w:t>
      </w:r>
      <w:r w:rsidR="00DC1260" w:rsidRPr="00023259">
        <w:t xml:space="preserve">and </w:t>
      </w:r>
      <w:r w:rsidR="00F63A34">
        <w:t>S</w:t>
      </w:r>
      <w:r w:rsidR="00EE4DD6" w:rsidRPr="00EE4DD6">
        <w:t>chedule</w:t>
      </w:r>
      <w:r w:rsidR="0029001E">
        <w:t>s</w:t>
      </w:r>
    </w:p>
    <w:p w14:paraId="4EF4EC09" w14:textId="273B9050" w:rsidR="00DC1260" w:rsidRPr="00B93ED0" w:rsidRDefault="00DC1260" w:rsidP="00B93ED0">
      <w:r w:rsidRPr="00B93ED0">
        <w:t xml:space="preserve">The Wage Subsidy Agreement </w:t>
      </w:r>
      <w:r w:rsidR="00E54888">
        <w:t>includes</w:t>
      </w:r>
      <w:r w:rsidR="00915BC5">
        <w:t xml:space="preserve"> a</w:t>
      </w:r>
      <w:r w:rsidRPr="00B93ED0">
        <w:t>:</w:t>
      </w:r>
    </w:p>
    <w:p w14:paraId="250FE6B8" w14:textId="331C190A" w:rsidR="00DC1260" w:rsidRPr="00DC1260" w:rsidRDefault="00023259" w:rsidP="004E120D">
      <w:pPr>
        <w:pStyle w:val="BulletLevel1"/>
        <w:rPr>
          <w:lang w:eastAsia="en-AU"/>
        </w:rPr>
      </w:pPr>
      <w:r>
        <w:rPr>
          <w:lang w:eastAsia="en-AU"/>
        </w:rPr>
        <w:t>‘</w:t>
      </w:r>
      <w:r w:rsidR="00F63A34">
        <w:rPr>
          <w:lang w:eastAsia="en-AU"/>
        </w:rPr>
        <w:t>H</w:t>
      </w:r>
      <w:r w:rsidR="00573FA6">
        <w:rPr>
          <w:lang w:eastAsia="en-AU"/>
        </w:rPr>
        <w:t xml:space="preserve">ead </w:t>
      </w:r>
      <w:r w:rsidR="00F63A34">
        <w:rPr>
          <w:lang w:eastAsia="en-AU"/>
        </w:rPr>
        <w:t>A</w:t>
      </w:r>
      <w:r w:rsidR="00573FA6">
        <w:rPr>
          <w:lang w:eastAsia="en-AU"/>
        </w:rPr>
        <w:t>greement</w:t>
      </w:r>
      <w:r>
        <w:rPr>
          <w:lang w:eastAsia="en-AU"/>
        </w:rPr>
        <w:t>’</w:t>
      </w:r>
      <w:r w:rsidR="00DC1260" w:rsidRPr="00DC1260">
        <w:rPr>
          <w:lang w:eastAsia="en-AU"/>
        </w:rPr>
        <w:t xml:space="preserve"> </w:t>
      </w:r>
      <w:r w:rsidR="00A223CB">
        <w:rPr>
          <w:lang w:eastAsia="en-AU"/>
        </w:rPr>
        <w:t>with</w:t>
      </w:r>
      <w:r w:rsidR="00DC1260" w:rsidRPr="00DC1260">
        <w:rPr>
          <w:lang w:eastAsia="en-AU"/>
        </w:rPr>
        <w:t xml:space="preserve"> general terms and conditions, and</w:t>
      </w:r>
    </w:p>
    <w:p w14:paraId="6E12E553" w14:textId="57F97584" w:rsidR="00DC1260" w:rsidRPr="00DC1260" w:rsidRDefault="00023259" w:rsidP="004E120D">
      <w:pPr>
        <w:pStyle w:val="BulletLevel1"/>
        <w:rPr>
          <w:lang w:eastAsia="en-AU"/>
        </w:rPr>
      </w:pPr>
      <w:r>
        <w:rPr>
          <w:lang w:eastAsia="en-AU"/>
        </w:rPr>
        <w:t>‘</w:t>
      </w:r>
      <w:r w:rsidR="00F63A34">
        <w:rPr>
          <w:lang w:eastAsia="en-AU"/>
        </w:rPr>
        <w:t>S</w:t>
      </w:r>
      <w:r w:rsidR="00573FA6">
        <w:rPr>
          <w:lang w:eastAsia="en-AU"/>
        </w:rPr>
        <w:t>chedule</w:t>
      </w:r>
      <w:r>
        <w:rPr>
          <w:lang w:eastAsia="en-AU"/>
        </w:rPr>
        <w:t>’</w:t>
      </w:r>
      <w:r w:rsidR="00DC1260" w:rsidRPr="00DC1260">
        <w:rPr>
          <w:lang w:eastAsia="en-AU"/>
        </w:rPr>
        <w:t xml:space="preserve"> </w:t>
      </w:r>
      <w:r w:rsidR="00A223CB">
        <w:rPr>
          <w:lang w:eastAsia="en-AU"/>
        </w:rPr>
        <w:t>with</w:t>
      </w:r>
      <w:r w:rsidR="00DC1260" w:rsidRPr="00DC1260">
        <w:rPr>
          <w:lang w:eastAsia="en-AU"/>
        </w:rPr>
        <w:t xml:space="preserve"> the specific terms relating to the Wage Subsidy Placement and Wage Subsidy Participant.</w:t>
      </w:r>
      <w:r w:rsidR="00400C6B">
        <w:rPr>
          <w:lang w:eastAsia="en-AU"/>
        </w:rPr>
        <w:t xml:space="preserve"> </w:t>
      </w:r>
    </w:p>
    <w:p w14:paraId="65F4A21A" w14:textId="2119432C" w:rsidR="00DC1260" w:rsidRPr="00023259" w:rsidRDefault="3BE261C3" w:rsidP="00023259">
      <w:r>
        <w:t xml:space="preserve">Providers must enter into </w:t>
      </w:r>
      <w:r w:rsidRPr="00C26F39">
        <w:t xml:space="preserve">a </w:t>
      </w:r>
      <w:r w:rsidR="00557E90">
        <w:t>H</w:t>
      </w:r>
      <w:r w:rsidR="46A32FD8" w:rsidRPr="00C26F39">
        <w:t xml:space="preserve">ead </w:t>
      </w:r>
      <w:r w:rsidR="00557E90">
        <w:t>A</w:t>
      </w:r>
      <w:r w:rsidR="46A32FD8" w:rsidRPr="00C26F39">
        <w:t>greement</w:t>
      </w:r>
      <w:r w:rsidRPr="00C26F39">
        <w:t xml:space="preserve"> once with each Wage Subsidy Employer,</w:t>
      </w:r>
      <w:r>
        <w:t xml:space="preserve"> via the Department’s IT Systems and the </w:t>
      </w:r>
      <w:r w:rsidR="00472B53">
        <w:t xml:space="preserve">Wage Subsidy </w:t>
      </w:r>
      <w:r>
        <w:t>Employer's Workforce Australia Online for Businesses account.</w:t>
      </w:r>
    </w:p>
    <w:p w14:paraId="74FBB082" w14:textId="0E0DF7D4" w:rsidR="00DC1260" w:rsidRPr="00023259" w:rsidRDefault="00DC1260" w:rsidP="00023259">
      <w:r w:rsidRPr="00023259">
        <w:t xml:space="preserve">A separate </w:t>
      </w:r>
      <w:r w:rsidR="00557E90">
        <w:t>S</w:t>
      </w:r>
      <w:r w:rsidR="00C7506B">
        <w:t>chedule</w:t>
      </w:r>
      <w:r w:rsidRPr="00023259">
        <w:t xml:space="preserve"> for each new Wage Subsidy Participant </w:t>
      </w:r>
      <w:r w:rsidR="00254CCD">
        <w:t xml:space="preserve">will be </w:t>
      </w:r>
      <w:r w:rsidRPr="00023259">
        <w:t xml:space="preserve">attached to the </w:t>
      </w:r>
      <w:r w:rsidR="00557E90">
        <w:t>H</w:t>
      </w:r>
      <w:r w:rsidR="00915BC5">
        <w:t xml:space="preserve">ead </w:t>
      </w:r>
      <w:r w:rsidR="00557E90">
        <w:t>A</w:t>
      </w:r>
      <w:r w:rsidR="00915BC5">
        <w:t>greement</w:t>
      </w:r>
      <w:r w:rsidRPr="00023259">
        <w:t xml:space="preserve">. </w:t>
      </w:r>
      <w:r w:rsidR="00573FA6">
        <w:t>Schedule</w:t>
      </w:r>
      <w:r w:rsidRPr="00023259">
        <w:t>s contain the specific details of the Wage Subsidy Placement for each new Wage Subsidy Participant.</w:t>
      </w:r>
      <w:r w:rsidR="00400C6B" w:rsidRPr="00023259">
        <w:t xml:space="preserve"> </w:t>
      </w:r>
    </w:p>
    <w:p w14:paraId="4126997A" w14:textId="05847457" w:rsidR="00D750EC" w:rsidRDefault="00DC1260" w:rsidP="009B5583">
      <w:pPr>
        <w:rPr>
          <w:lang w:eastAsia="en-AU"/>
        </w:rPr>
      </w:pPr>
      <w:r w:rsidRPr="00DC1260">
        <w:rPr>
          <w:lang w:eastAsia="en-AU"/>
        </w:rPr>
        <w:t xml:space="preserve">Each </w:t>
      </w:r>
      <w:r w:rsidR="00557E90">
        <w:rPr>
          <w:lang w:eastAsia="en-AU"/>
        </w:rPr>
        <w:t>S</w:t>
      </w:r>
      <w:r w:rsidR="00C7506B">
        <w:rPr>
          <w:lang w:eastAsia="en-AU"/>
        </w:rPr>
        <w:t>chedule</w:t>
      </w:r>
      <w:r w:rsidRPr="00DC1260">
        <w:rPr>
          <w:lang w:eastAsia="en-AU"/>
        </w:rPr>
        <w:t xml:space="preserve"> the Provider attaches to the </w:t>
      </w:r>
      <w:r w:rsidR="00557E90">
        <w:rPr>
          <w:lang w:eastAsia="en-AU"/>
        </w:rPr>
        <w:t>H</w:t>
      </w:r>
      <w:r w:rsidR="00915BC5">
        <w:rPr>
          <w:lang w:eastAsia="en-AU"/>
        </w:rPr>
        <w:t xml:space="preserve">ead </w:t>
      </w:r>
      <w:r w:rsidR="00557E90">
        <w:rPr>
          <w:lang w:eastAsia="en-AU"/>
        </w:rPr>
        <w:t>A</w:t>
      </w:r>
      <w:r w:rsidR="00915BC5">
        <w:rPr>
          <w:lang w:eastAsia="en-AU"/>
        </w:rPr>
        <w:t>greement</w:t>
      </w:r>
      <w:r w:rsidRPr="00DC1260">
        <w:rPr>
          <w:lang w:eastAsia="en-AU"/>
        </w:rPr>
        <w:t xml:space="preserve"> will relate to a single Wage Subsidy Placement and will create a separate </w:t>
      </w:r>
      <w:r w:rsidR="00067869">
        <w:rPr>
          <w:lang w:eastAsia="en-AU"/>
        </w:rPr>
        <w:t>Wage Subsidy Agreement</w:t>
      </w:r>
      <w:r w:rsidRPr="00DC1260">
        <w:rPr>
          <w:lang w:eastAsia="en-AU"/>
        </w:rPr>
        <w:t xml:space="preserve"> between the Provider and the Wage Subsidy Employer in relation to that </w:t>
      </w:r>
      <w:r w:rsidR="006D0E40">
        <w:rPr>
          <w:lang w:eastAsia="en-AU"/>
        </w:rPr>
        <w:t>specific</w:t>
      </w:r>
      <w:r w:rsidRPr="00DC1260">
        <w:rPr>
          <w:lang w:eastAsia="en-AU"/>
        </w:rPr>
        <w:t xml:space="preserve"> Wage Subsidy Placement. </w:t>
      </w:r>
    </w:p>
    <w:p w14:paraId="76AF6F19" w14:textId="5FA32B23" w:rsidR="00DC1260" w:rsidRPr="00D750EC" w:rsidRDefault="3BE261C3" w:rsidP="00D750EC">
      <w:r>
        <w:t xml:space="preserve">Both the </w:t>
      </w:r>
      <w:r w:rsidR="00557E90">
        <w:t>H</w:t>
      </w:r>
      <w:r w:rsidR="46A32FD8">
        <w:t xml:space="preserve">ead </w:t>
      </w:r>
      <w:r w:rsidR="00557E90">
        <w:t>A</w:t>
      </w:r>
      <w:r w:rsidR="46A32FD8">
        <w:t>greement</w:t>
      </w:r>
      <w:r>
        <w:t xml:space="preserve"> and the </w:t>
      </w:r>
      <w:r w:rsidR="00557E90">
        <w:t>S</w:t>
      </w:r>
      <w:r w:rsidR="77571823">
        <w:t>chedule</w:t>
      </w:r>
      <w:r>
        <w:t xml:space="preserve"> must be in the form</w:t>
      </w:r>
      <w:r w:rsidR="006D0E40">
        <w:t>at</w:t>
      </w:r>
      <w:r>
        <w:t xml:space="preserve"> specified by the Department, created in the Department’s IT Systems.</w:t>
      </w:r>
    </w:p>
    <w:p w14:paraId="4346064C" w14:textId="14922F3D" w:rsidR="00DC1260" w:rsidRPr="00DC1260" w:rsidRDefault="00DC1260" w:rsidP="0079424A">
      <w:pPr>
        <w:pStyle w:val="DocumentaryEvidenceRequirement"/>
        <w:rPr>
          <w:lang w:eastAsia="en-AU"/>
        </w:rPr>
      </w:pPr>
      <w:r w:rsidRPr="00DC1260">
        <w:rPr>
          <w:lang w:eastAsia="en-AU"/>
        </w:rPr>
        <w:t>Where the Department</w:t>
      </w:r>
      <w:r w:rsidR="0084671B">
        <w:rPr>
          <w:lang w:eastAsia="en-AU"/>
        </w:rPr>
        <w:t xml:space="preserve"> </w:t>
      </w:r>
      <w:r w:rsidRPr="00DC1260">
        <w:rPr>
          <w:lang w:eastAsia="en-AU"/>
        </w:rPr>
        <w:t>change</w:t>
      </w:r>
      <w:r w:rsidR="009A387E">
        <w:rPr>
          <w:lang w:eastAsia="en-AU"/>
        </w:rPr>
        <w:t>s</w:t>
      </w:r>
      <w:r w:rsidRPr="00DC1260">
        <w:rPr>
          <w:lang w:eastAsia="en-AU"/>
        </w:rPr>
        <w:t xml:space="preserve"> the terms and conditions of the </w:t>
      </w:r>
      <w:r w:rsidR="00454604">
        <w:rPr>
          <w:lang w:eastAsia="en-AU"/>
        </w:rPr>
        <w:t>H</w:t>
      </w:r>
      <w:r w:rsidR="00915BC5">
        <w:rPr>
          <w:lang w:eastAsia="en-AU"/>
        </w:rPr>
        <w:t xml:space="preserve">ead </w:t>
      </w:r>
      <w:r w:rsidR="00454604">
        <w:rPr>
          <w:lang w:eastAsia="en-AU"/>
        </w:rPr>
        <w:t>A</w:t>
      </w:r>
      <w:r w:rsidR="00915BC5">
        <w:rPr>
          <w:lang w:eastAsia="en-AU"/>
        </w:rPr>
        <w:t>greement</w:t>
      </w:r>
      <w:r w:rsidRPr="00DC1260">
        <w:rPr>
          <w:lang w:eastAsia="en-AU"/>
        </w:rPr>
        <w:t xml:space="preserve">, the Provider must enter into a new </w:t>
      </w:r>
      <w:r w:rsidR="00454604">
        <w:rPr>
          <w:lang w:eastAsia="en-AU"/>
        </w:rPr>
        <w:t>H</w:t>
      </w:r>
      <w:r w:rsidR="00915BC5">
        <w:rPr>
          <w:lang w:eastAsia="en-AU"/>
        </w:rPr>
        <w:t xml:space="preserve">ead </w:t>
      </w:r>
      <w:r w:rsidR="00454604">
        <w:rPr>
          <w:lang w:eastAsia="en-AU"/>
        </w:rPr>
        <w:t>A</w:t>
      </w:r>
      <w:r w:rsidR="00915BC5">
        <w:rPr>
          <w:lang w:eastAsia="en-AU"/>
        </w:rPr>
        <w:t>greement</w:t>
      </w:r>
      <w:r w:rsidRPr="00DC1260">
        <w:rPr>
          <w:lang w:eastAsia="en-AU"/>
        </w:rPr>
        <w:t xml:space="preserve"> with each Wage Subsidy Employer in accordance with the updated terms and conditions before attaching any new </w:t>
      </w:r>
      <w:r w:rsidR="00454604">
        <w:rPr>
          <w:lang w:eastAsia="en-AU"/>
        </w:rPr>
        <w:t>S</w:t>
      </w:r>
      <w:r w:rsidR="00C7506B">
        <w:rPr>
          <w:lang w:eastAsia="en-AU"/>
        </w:rPr>
        <w:t>chedule</w:t>
      </w:r>
      <w:r w:rsidRPr="00DC1260">
        <w:rPr>
          <w:lang w:eastAsia="en-AU"/>
        </w:rPr>
        <w:t>s</w:t>
      </w:r>
      <w:r w:rsidR="00327F59">
        <w:rPr>
          <w:lang w:eastAsia="en-AU"/>
        </w:rPr>
        <w:t xml:space="preserve"> for each</w:t>
      </w:r>
      <w:r w:rsidR="00C6448A">
        <w:rPr>
          <w:lang w:eastAsia="en-AU"/>
        </w:rPr>
        <w:t xml:space="preserve"> new</w:t>
      </w:r>
      <w:r w:rsidR="00327F59">
        <w:rPr>
          <w:lang w:eastAsia="en-AU"/>
        </w:rPr>
        <w:t xml:space="preserve"> Wage Subsidy Participant</w:t>
      </w:r>
      <w:r w:rsidRPr="00DC1260">
        <w:rPr>
          <w:lang w:eastAsia="en-AU"/>
        </w:rPr>
        <w:t>.</w:t>
      </w:r>
    </w:p>
    <w:p w14:paraId="706C60F5" w14:textId="7EA0F797" w:rsidR="00DC1260" w:rsidRPr="0031035E" w:rsidRDefault="00DC1260" w:rsidP="009B5583">
      <w:r w:rsidRPr="00DC1260">
        <w:rPr>
          <w:lang w:eastAsia="en-AU"/>
        </w:rPr>
        <w:t>Providers must explain the terms and conditions of the Wage Subsidy Agreement to the Employer to ensure they fully understand their rights and obligations in accepting the Wage Subsidy. This includes Documentary Evidence require</w:t>
      </w:r>
      <w:r w:rsidR="00F8685C">
        <w:rPr>
          <w:lang w:eastAsia="en-AU"/>
        </w:rPr>
        <w:t>ments</w:t>
      </w:r>
      <w:r w:rsidRPr="00DC1260">
        <w:rPr>
          <w:lang w:eastAsia="en-AU"/>
        </w:rPr>
        <w:t xml:space="preserve"> and that </w:t>
      </w:r>
      <w:r w:rsidRPr="0031035E">
        <w:t xml:space="preserve">the Employer must advise immediately if the </w:t>
      </w:r>
      <w:r w:rsidR="00F02A05">
        <w:t xml:space="preserve">Wage Subsidy </w:t>
      </w:r>
      <w:r w:rsidRPr="0031035E">
        <w:t>Placement terminates early.</w:t>
      </w:r>
    </w:p>
    <w:p w14:paraId="08D07E8F" w14:textId="461047C8" w:rsidR="00DC1260" w:rsidRDefault="3BE261C3" w:rsidP="004C7141">
      <w:pPr>
        <w:pStyle w:val="SystemStep"/>
        <w:rPr>
          <w:lang w:eastAsia="en-AU"/>
        </w:rPr>
      </w:pPr>
      <w:r w:rsidRPr="6DAA3DE4">
        <w:rPr>
          <w:lang w:eastAsia="en-AU"/>
        </w:rPr>
        <w:t>Wage Subsidy Agreements must be created in the Department’s IT Systems by the Provider and approved online by the Employer in their Workforce Australia Online for Business account.</w:t>
      </w:r>
      <w:r w:rsidR="04FF0463" w:rsidRPr="6DAA3DE4">
        <w:rPr>
          <w:lang w:eastAsia="en-AU"/>
        </w:rPr>
        <w:t xml:space="preserve"> </w:t>
      </w:r>
    </w:p>
    <w:p w14:paraId="7A47B9FA" w14:textId="4AB7F33C" w:rsidR="00AE4E0C" w:rsidRPr="007141BC" w:rsidRDefault="00AE4E0C" w:rsidP="00AE4E0C">
      <w:pPr>
        <w:pStyle w:val="SystemStep"/>
        <w:rPr>
          <w:lang w:eastAsia="en-AU"/>
        </w:rPr>
      </w:pPr>
      <w:r w:rsidRPr="00DC1260">
        <w:rPr>
          <w:lang w:eastAsia="en-AU"/>
        </w:rPr>
        <w:t xml:space="preserve">The Wage Subsidy Agreement </w:t>
      </w:r>
      <w:r w:rsidR="00F02A05">
        <w:rPr>
          <w:lang w:eastAsia="en-AU"/>
        </w:rPr>
        <w:t>S</w:t>
      </w:r>
      <w:r>
        <w:rPr>
          <w:lang w:eastAsia="en-AU"/>
        </w:rPr>
        <w:t>chedule</w:t>
      </w:r>
      <w:r w:rsidRPr="00DC1260">
        <w:rPr>
          <w:lang w:eastAsia="en-AU"/>
        </w:rPr>
        <w:t xml:space="preserve"> must:</w:t>
      </w:r>
    </w:p>
    <w:p w14:paraId="2CB6B1CB" w14:textId="77777777" w:rsidR="00AE4E0C" w:rsidRPr="00DC1260" w:rsidRDefault="00AE4E0C" w:rsidP="00AE4E0C">
      <w:pPr>
        <w:pStyle w:val="BulletLevel2"/>
      </w:pPr>
      <w:r w:rsidRPr="00DC1260">
        <w:t xml:space="preserve">link the Vacancy, </w:t>
      </w:r>
      <w:r>
        <w:t xml:space="preserve">Wage Subsidy </w:t>
      </w:r>
      <w:r w:rsidRPr="00DC1260">
        <w:t>Employer and Placement details</w:t>
      </w:r>
      <w:r>
        <w:t xml:space="preserve"> </w:t>
      </w:r>
    </w:p>
    <w:p w14:paraId="77CF89E4" w14:textId="77777777" w:rsidR="00AE4E0C" w:rsidRPr="00DC1260" w:rsidRDefault="00AE4E0C" w:rsidP="00AE4E0C">
      <w:pPr>
        <w:pStyle w:val="BulletLevel2"/>
      </w:pPr>
      <w:r w:rsidRPr="00DC1260">
        <w:t xml:space="preserve">specify the minimum average hours of employment that the Employer must provide </w:t>
      </w:r>
      <w:r>
        <w:t xml:space="preserve">the Wage Subsidy Participant </w:t>
      </w:r>
      <w:r w:rsidRPr="00DC1260">
        <w:t>each week, and</w:t>
      </w:r>
      <w:r>
        <w:t xml:space="preserve"> </w:t>
      </w:r>
    </w:p>
    <w:p w14:paraId="67B6F492" w14:textId="379E53A3" w:rsidR="00AE4E0C" w:rsidRPr="00DC1260" w:rsidRDefault="00AE4E0C" w:rsidP="00AE4E0C">
      <w:pPr>
        <w:pStyle w:val="BulletLevel2"/>
      </w:pPr>
      <w:r w:rsidRPr="00DC1260">
        <w:t>set out the maximum amount of the Wage Subsidy being offered</w:t>
      </w:r>
      <w:r>
        <w:t>, based on the agreed level</w:t>
      </w:r>
      <w:r w:rsidRPr="00DC1260">
        <w:t>.</w:t>
      </w:r>
      <w:r>
        <w:t xml:space="preserve"> </w:t>
      </w:r>
    </w:p>
    <w:p w14:paraId="4193E8A0" w14:textId="6067BF5E" w:rsidR="00DC1260" w:rsidRPr="0031035E" w:rsidRDefault="00DC1260" w:rsidP="0031035E">
      <w:pPr>
        <w:rPr>
          <w:lang w:eastAsia="en-AU"/>
        </w:rPr>
      </w:pPr>
      <w:r w:rsidRPr="0031035E">
        <w:t>Wage Subsidy Agreements will not be accepted in an offline format</w:t>
      </w:r>
      <w:r w:rsidR="00A604E8">
        <w:t>.</w:t>
      </w:r>
    </w:p>
    <w:p w14:paraId="39202DFD" w14:textId="09C2A966" w:rsidR="00B34233" w:rsidRPr="000B303A" w:rsidRDefault="3BE261C3" w:rsidP="000B303A">
      <w:pPr>
        <w:pStyle w:val="SystemStep"/>
        <w:rPr>
          <w:lang w:eastAsia="en-AU"/>
        </w:rPr>
      </w:pPr>
      <w:r w:rsidRPr="6DAA3DE4">
        <w:rPr>
          <w:lang w:eastAsia="en-AU"/>
        </w:rPr>
        <w:t xml:space="preserve">If amendments to the </w:t>
      </w:r>
      <w:r w:rsidR="00472B53">
        <w:t xml:space="preserve">Wage Subsidy </w:t>
      </w:r>
      <w:r w:rsidRPr="6DAA3DE4">
        <w:rPr>
          <w:lang w:eastAsia="en-AU"/>
        </w:rPr>
        <w:t>Employer</w:t>
      </w:r>
      <w:r w:rsidR="082B0B28" w:rsidRPr="6DAA3DE4">
        <w:rPr>
          <w:lang w:eastAsia="en-AU"/>
        </w:rPr>
        <w:t>’</w:t>
      </w:r>
      <w:r w:rsidRPr="6DAA3DE4">
        <w:rPr>
          <w:lang w:eastAsia="en-AU"/>
        </w:rPr>
        <w:t xml:space="preserve">s information </w:t>
      </w:r>
      <w:r w:rsidR="00F8685C">
        <w:rPr>
          <w:lang w:eastAsia="en-AU"/>
        </w:rPr>
        <w:t>are</w:t>
      </w:r>
      <w:r w:rsidRPr="6DAA3DE4">
        <w:rPr>
          <w:lang w:eastAsia="en-AU"/>
        </w:rPr>
        <w:t xml:space="preserve"> required </w:t>
      </w:r>
      <w:r w:rsidR="007F3C65">
        <w:rPr>
          <w:lang w:eastAsia="en-AU"/>
        </w:rPr>
        <w:t>- for example,</w:t>
      </w:r>
      <w:r w:rsidRPr="6DAA3DE4">
        <w:rPr>
          <w:lang w:eastAsia="en-AU"/>
        </w:rPr>
        <w:t xml:space="preserve"> a change to the Employer’s ABN</w:t>
      </w:r>
      <w:r w:rsidR="007F3C65">
        <w:rPr>
          <w:lang w:eastAsia="en-AU"/>
        </w:rPr>
        <w:t xml:space="preserve"> -</w:t>
      </w:r>
      <w:r w:rsidRPr="6DAA3DE4">
        <w:rPr>
          <w:lang w:eastAsia="en-AU"/>
        </w:rPr>
        <w:t xml:space="preserve"> the Provider must update the </w:t>
      </w:r>
      <w:r w:rsidR="001333BF">
        <w:rPr>
          <w:lang w:eastAsia="en-AU"/>
        </w:rPr>
        <w:t xml:space="preserve">changed </w:t>
      </w:r>
      <w:r w:rsidRPr="6DAA3DE4">
        <w:rPr>
          <w:lang w:eastAsia="en-AU"/>
        </w:rPr>
        <w:t>details in the Department’s IT Systems.</w:t>
      </w:r>
    </w:p>
    <w:p w14:paraId="7ECDA1DB" w14:textId="0595DB78" w:rsidR="00435555" w:rsidRPr="00797F35" w:rsidRDefault="00D05E15" w:rsidP="003A6D55">
      <w:pPr>
        <w:keepNext/>
        <w:spacing w:before="240"/>
        <w:rPr>
          <w:u w:val="single"/>
        </w:rPr>
      </w:pPr>
      <w:r w:rsidRPr="00797F35">
        <w:rPr>
          <w:u w:val="single"/>
        </w:rPr>
        <w:t xml:space="preserve">Large Employers and </w:t>
      </w:r>
      <w:r w:rsidR="0084624B" w:rsidRPr="00797F35">
        <w:rPr>
          <w:u w:val="single"/>
        </w:rPr>
        <w:t>ABN</w:t>
      </w:r>
    </w:p>
    <w:p w14:paraId="27C51DBE" w14:textId="727FD612" w:rsidR="00D05E15" w:rsidRPr="0084624B" w:rsidRDefault="00467A84" w:rsidP="0084624B">
      <w:r>
        <w:t xml:space="preserve">Where a large </w:t>
      </w:r>
      <w:r w:rsidR="0080413F">
        <w:t>E</w:t>
      </w:r>
      <w:r>
        <w:t xml:space="preserve">mployer has multiple </w:t>
      </w:r>
      <w:r w:rsidR="00B507E5">
        <w:t>subsidiaries</w:t>
      </w:r>
      <w:r w:rsidR="00CB05C7">
        <w:t>,</w:t>
      </w:r>
      <w:r w:rsidR="00B507E5">
        <w:t xml:space="preserve"> </w:t>
      </w:r>
      <w:r w:rsidR="00BE7FC4">
        <w:t xml:space="preserve">the </w:t>
      </w:r>
      <w:r w:rsidR="00BE4581" w:rsidRPr="00BE4581">
        <w:t>ABN of the subsidiary business directly employing the Participant (i.e. the Wage Subsidy Employer)</w:t>
      </w:r>
      <w:r w:rsidR="00AA1E5E">
        <w:t>,</w:t>
      </w:r>
      <w:r w:rsidR="00BE4581" w:rsidRPr="00BE4581">
        <w:t xml:space="preserve"> must be </w:t>
      </w:r>
      <w:r w:rsidR="00AA1E5E">
        <w:t xml:space="preserve">listed </w:t>
      </w:r>
      <w:r w:rsidR="00BE4581" w:rsidRPr="00BE4581">
        <w:t xml:space="preserve">on the </w:t>
      </w:r>
      <w:r w:rsidR="003C7FBB">
        <w:t>Wage Subsidy Agreement</w:t>
      </w:r>
      <w:r w:rsidR="00BE4581" w:rsidRPr="00BE4581">
        <w:t xml:space="preserve">. </w:t>
      </w:r>
      <w:r w:rsidR="001B048B">
        <w:t>The Provider</w:t>
      </w:r>
      <w:r w:rsidR="00BE4581" w:rsidRPr="00BE4581">
        <w:t xml:space="preserve"> must ensure the Employer understands which ABN is required to be recorded in the Department’s IT System for </w:t>
      </w:r>
      <w:r w:rsidR="00D60A72">
        <w:t>each</w:t>
      </w:r>
      <w:r w:rsidR="00BE4581" w:rsidRPr="00BE4581">
        <w:t xml:space="preserve"> </w:t>
      </w:r>
      <w:r w:rsidR="003C7FBB">
        <w:t>Head</w:t>
      </w:r>
      <w:r w:rsidR="00BE4581" w:rsidRPr="00BE4581">
        <w:t xml:space="preserve"> Agreement.</w:t>
      </w:r>
    </w:p>
    <w:p w14:paraId="348A58B5" w14:textId="4C5B5124" w:rsidR="00DC1260" w:rsidRPr="0031035E" w:rsidRDefault="00DC1260" w:rsidP="0031035E">
      <w:pPr>
        <w:pStyle w:val="Heading5"/>
      </w:pPr>
      <w:r w:rsidRPr="0031035E">
        <w:t>Time requirements for approving a Wage Subsidy</w:t>
      </w:r>
    </w:p>
    <w:p w14:paraId="3A79EBF9" w14:textId="3CC7E596" w:rsidR="00DC1260" w:rsidRPr="0031035E" w:rsidRDefault="00DC1260" w:rsidP="0031035E">
      <w:r w:rsidRPr="0031035E">
        <w:t>Providers</w:t>
      </w:r>
      <w:r w:rsidR="003D440C">
        <w:t xml:space="preserve"> must</w:t>
      </w:r>
      <w:r w:rsidRPr="0031035E">
        <w:t>:</w:t>
      </w:r>
    </w:p>
    <w:p w14:paraId="7DDE882D" w14:textId="0C634784" w:rsidR="009B5583" w:rsidRDefault="00DC1260" w:rsidP="004E120D">
      <w:pPr>
        <w:pStyle w:val="BulletLevel1"/>
        <w:rPr>
          <w:lang w:eastAsia="en-AU"/>
        </w:rPr>
      </w:pPr>
      <w:r w:rsidRPr="00DC1260">
        <w:rPr>
          <w:lang w:eastAsia="en-AU"/>
        </w:rPr>
        <w:t xml:space="preserve">negotiate and agree a Wage Subsidy with an eligible Employer prior to the </w:t>
      </w:r>
      <w:r w:rsidR="00E5007E">
        <w:rPr>
          <w:lang w:eastAsia="en-AU"/>
        </w:rPr>
        <w:t>Participant’s</w:t>
      </w:r>
      <w:r w:rsidRPr="00DC1260">
        <w:rPr>
          <w:lang w:eastAsia="en-AU"/>
        </w:rPr>
        <w:t xml:space="preserve"> Job Placement Start Date</w:t>
      </w:r>
      <w:r w:rsidR="0031035E">
        <w:rPr>
          <w:lang w:eastAsia="en-AU"/>
        </w:rPr>
        <w:t>, and</w:t>
      </w:r>
    </w:p>
    <w:p w14:paraId="30B76F6B" w14:textId="2A5DEBDE" w:rsidR="00DC1260" w:rsidRPr="009B5583" w:rsidRDefault="00DC1260" w:rsidP="004E120D">
      <w:pPr>
        <w:pStyle w:val="BulletLevel1"/>
        <w:rPr>
          <w:lang w:eastAsia="en-AU"/>
        </w:rPr>
      </w:pPr>
      <w:r w:rsidRPr="4F3EABBB">
        <w:rPr>
          <w:lang w:eastAsia="en-AU"/>
        </w:rPr>
        <w:t xml:space="preserve">ensure that the Employer has approved the Wage Subsidy Agreement within 28 days of the </w:t>
      </w:r>
      <w:r w:rsidR="00A35CA9" w:rsidRPr="4F3EABBB">
        <w:rPr>
          <w:lang w:eastAsia="en-AU"/>
        </w:rPr>
        <w:t>Job Placement Start Date</w:t>
      </w:r>
      <w:r w:rsidRPr="4F3EABBB">
        <w:rPr>
          <w:lang w:eastAsia="en-AU"/>
        </w:rPr>
        <w:t>.</w:t>
      </w:r>
    </w:p>
    <w:p w14:paraId="29B9F8BD" w14:textId="4489FD19" w:rsidR="0031035E" w:rsidRDefault="00DC1260" w:rsidP="009B5583">
      <w:pPr>
        <w:rPr>
          <w:lang w:eastAsia="en-AU"/>
        </w:rPr>
      </w:pPr>
      <w:r w:rsidRPr="00DC1260">
        <w:rPr>
          <w:lang w:eastAsia="en-AU"/>
        </w:rPr>
        <w:t xml:space="preserve">The 28-day timeframe allows Employers time to consider the terms and conditions of the Wage Subsidy Agreement and to </w:t>
      </w:r>
      <w:r w:rsidR="00314534">
        <w:rPr>
          <w:lang w:eastAsia="en-AU"/>
        </w:rPr>
        <w:t>provide</w:t>
      </w:r>
      <w:r w:rsidRPr="00DC1260">
        <w:rPr>
          <w:lang w:eastAsia="en-AU"/>
        </w:rPr>
        <w:t xml:space="preserve"> their approval</w:t>
      </w:r>
      <w:r w:rsidR="00314534">
        <w:rPr>
          <w:lang w:eastAsia="en-AU"/>
        </w:rPr>
        <w:t xml:space="preserve"> online</w:t>
      </w:r>
      <w:r w:rsidRPr="00DC1260">
        <w:rPr>
          <w:lang w:eastAsia="en-AU"/>
        </w:rPr>
        <w:t xml:space="preserve">. Providers must ensure Employers are aware that Wage Subsidy Agreements will not be approved </w:t>
      </w:r>
      <w:r w:rsidR="00314534">
        <w:rPr>
          <w:lang w:eastAsia="en-AU"/>
        </w:rPr>
        <w:t xml:space="preserve">beyond the </w:t>
      </w:r>
      <w:r w:rsidRPr="00DC1260">
        <w:rPr>
          <w:lang w:eastAsia="en-AU"/>
        </w:rPr>
        <w:t>28</w:t>
      </w:r>
      <w:r w:rsidR="00DF604A">
        <w:rPr>
          <w:lang w:eastAsia="en-AU"/>
        </w:rPr>
        <w:t>-</w:t>
      </w:r>
      <w:r w:rsidRPr="00DC1260">
        <w:rPr>
          <w:lang w:eastAsia="en-AU"/>
        </w:rPr>
        <w:t>day</w:t>
      </w:r>
      <w:r w:rsidR="0036723A">
        <w:rPr>
          <w:lang w:eastAsia="en-AU"/>
        </w:rPr>
        <w:t xml:space="preserve"> period</w:t>
      </w:r>
      <w:r w:rsidRPr="00DC1260">
        <w:rPr>
          <w:lang w:eastAsia="en-AU"/>
        </w:rPr>
        <w:t xml:space="preserve"> from the commencement of Employment.</w:t>
      </w:r>
      <w:r w:rsidR="00400C6B">
        <w:rPr>
          <w:lang w:eastAsia="en-AU"/>
        </w:rPr>
        <w:t xml:space="preserve"> </w:t>
      </w:r>
    </w:p>
    <w:p w14:paraId="329A822F" w14:textId="7CBF83B7" w:rsidR="0031035E" w:rsidRDefault="00DC1260" w:rsidP="009B5583">
      <w:pPr>
        <w:rPr>
          <w:lang w:eastAsia="en-AU"/>
        </w:rPr>
      </w:pPr>
      <w:r w:rsidRPr="00DC1260">
        <w:rPr>
          <w:lang w:eastAsia="en-AU"/>
        </w:rPr>
        <w:t xml:space="preserve">Providers will not be Reimbursed for any payments made to </w:t>
      </w:r>
      <w:r w:rsidR="0036723A">
        <w:rPr>
          <w:lang w:eastAsia="en-AU"/>
        </w:rPr>
        <w:t xml:space="preserve">a </w:t>
      </w:r>
      <w:r w:rsidRPr="00DC1260">
        <w:rPr>
          <w:lang w:eastAsia="en-AU"/>
        </w:rPr>
        <w:t xml:space="preserve">Employer where </w:t>
      </w:r>
      <w:r w:rsidR="0036723A">
        <w:rPr>
          <w:lang w:eastAsia="en-AU"/>
        </w:rPr>
        <w:t xml:space="preserve">an </w:t>
      </w:r>
      <w:r w:rsidRPr="00DC1260">
        <w:rPr>
          <w:lang w:eastAsia="en-AU"/>
        </w:rPr>
        <w:t xml:space="preserve">approved Wage Subsidy Agreement </w:t>
      </w:r>
      <w:r w:rsidR="0036723A">
        <w:rPr>
          <w:lang w:eastAsia="en-AU"/>
        </w:rPr>
        <w:t xml:space="preserve">is not </w:t>
      </w:r>
      <w:r w:rsidRPr="00DC1260">
        <w:rPr>
          <w:lang w:eastAsia="en-AU"/>
        </w:rPr>
        <w:t>in place.</w:t>
      </w:r>
      <w:r w:rsidR="00400C6B">
        <w:rPr>
          <w:lang w:eastAsia="en-AU"/>
        </w:rPr>
        <w:t xml:space="preserve"> </w:t>
      </w:r>
    </w:p>
    <w:p w14:paraId="01937887" w14:textId="1A2A369D" w:rsidR="00DC1260" w:rsidRPr="0031035E" w:rsidRDefault="00DC1260" w:rsidP="009B5583">
      <w:r w:rsidRPr="00DC1260">
        <w:rPr>
          <w:lang w:eastAsia="en-AU"/>
        </w:rPr>
        <w:t xml:space="preserve">Providers must have appropriate administrative processes in place to meet the 28-day timeframe and must work with Employers to ensure that this timeframe is met. </w:t>
      </w:r>
      <w:r w:rsidR="00F60177">
        <w:rPr>
          <w:lang w:eastAsia="en-AU"/>
        </w:rPr>
        <w:t xml:space="preserve">The </w:t>
      </w:r>
      <w:r w:rsidR="00F60177" w:rsidRPr="00DC1260">
        <w:rPr>
          <w:lang w:eastAsia="en-AU"/>
        </w:rPr>
        <w:t>Department may take compliance action</w:t>
      </w:r>
      <w:r w:rsidR="00F60177">
        <w:rPr>
          <w:lang w:eastAsia="en-AU"/>
        </w:rPr>
        <w:t>(s)</w:t>
      </w:r>
      <w:r w:rsidR="00F60177" w:rsidRPr="00DC1260">
        <w:rPr>
          <w:lang w:eastAsia="en-AU"/>
        </w:rPr>
        <w:t xml:space="preserve"> against a Provider </w:t>
      </w:r>
      <w:r w:rsidR="00F60177">
        <w:rPr>
          <w:lang w:eastAsia="en-AU"/>
        </w:rPr>
        <w:t xml:space="preserve">where </w:t>
      </w:r>
      <w:r w:rsidRPr="00DC1260">
        <w:rPr>
          <w:lang w:eastAsia="en-AU"/>
        </w:rPr>
        <w:t xml:space="preserve">there is evidence (e.g. correspondence and/or a draft Wage Subsidy Agreement in the Department’s IT Systems) that the Provider delayed the Employer’s </w:t>
      </w:r>
      <w:r w:rsidR="00E0156A">
        <w:rPr>
          <w:lang w:eastAsia="en-AU"/>
        </w:rPr>
        <w:t>online</w:t>
      </w:r>
      <w:r w:rsidRPr="00DC1260">
        <w:rPr>
          <w:lang w:eastAsia="en-AU"/>
        </w:rPr>
        <w:t xml:space="preserve"> approval. This includes</w:t>
      </w:r>
      <w:r w:rsidR="00F60177">
        <w:rPr>
          <w:lang w:eastAsia="en-AU"/>
        </w:rPr>
        <w:t>,</w:t>
      </w:r>
      <w:r w:rsidRPr="00DC1260">
        <w:rPr>
          <w:lang w:eastAsia="en-AU"/>
        </w:rPr>
        <w:t xml:space="preserve"> </w:t>
      </w:r>
      <w:r w:rsidR="00F60177">
        <w:rPr>
          <w:lang w:eastAsia="en-AU"/>
        </w:rPr>
        <w:t xml:space="preserve">and </w:t>
      </w:r>
      <w:r w:rsidRPr="00DC1260">
        <w:rPr>
          <w:lang w:eastAsia="en-AU"/>
        </w:rPr>
        <w:t>is not limited to</w:t>
      </w:r>
      <w:r w:rsidR="00F60177">
        <w:rPr>
          <w:lang w:eastAsia="en-AU"/>
        </w:rPr>
        <w:t>,</w:t>
      </w:r>
      <w:r w:rsidRPr="00DC1260">
        <w:rPr>
          <w:lang w:eastAsia="en-AU"/>
        </w:rPr>
        <w:t xml:space="preserve"> </w:t>
      </w:r>
      <w:r w:rsidR="005B0D1C">
        <w:rPr>
          <w:lang w:eastAsia="en-AU"/>
        </w:rPr>
        <w:t xml:space="preserve">Provider </w:t>
      </w:r>
      <w:r w:rsidRPr="00DC1260">
        <w:rPr>
          <w:lang w:eastAsia="en-AU"/>
        </w:rPr>
        <w:t>delays caused by</w:t>
      </w:r>
      <w:r w:rsidRPr="0031035E">
        <w:t>:</w:t>
      </w:r>
    </w:p>
    <w:p w14:paraId="118374EA" w14:textId="607DE998" w:rsidR="00DC1260" w:rsidRPr="00DC1260" w:rsidRDefault="00DC1260" w:rsidP="004E120D">
      <w:pPr>
        <w:pStyle w:val="BulletLevel1"/>
        <w:rPr>
          <w:lang w:eastAsia="en-AU"/>
        </w:rPr>
      </w:pPr>
      <w:r w:rsidRPr="00DC1260">
        <w:rPr>
          <w:lang w:eastAsia="en-AU"/>
        </w:rPr>
        <w:t>not confirming the Employer's eligibility prior to offering a Wage Subsidy</w:t>
      </w:r>
    </w:p>
    <w:p w14:paraId="7B28EC61" w14:textId="5130EAC1" w:rsidR="00DC1260" w:rsidRPr="00DC1260" w:rsidRDefault="00DC1260" w:rsidP="004E120D">
      <w:pPr>
        <w:pStyle w:val="BulletLevel1"/>
        <w:rPr>
          <w:lang w:eastAsia="en-AU"/>
        </w:rPr>
      </w:pPr>
      <w:r w:rsidRPr="00DC1260">
        <w:rPr>
          <w:lang w:eastAsia="en-AU"/>
        </w:rPr>
        <w:t>offering a Wage Subsidy to a</w:t>
      </w:r>
      <w:r w:rsidR="00367DA9">
        <w:rPr>
          <w:lang w:eastAsia="en-AU"/>
        </w:rPr>
        <w:t>n</w:t>
      </w:r>
      <w:r w:rsidRPr="00DC1260">
        <w:rPr>
          <w:lang w:eastAsia="en-AU"/>
        </w:rPr>
        <w:t xml:space="preserve"> Employer after </w:t>
      </w:r>
      <w:r w:rsidR="00FE00B7">
        <w:rPr>
          <w:lang w:eastAsia="en-AU"/>
        </w:rPr>
        <w:t xml:space="preserve">the </w:t>
      </w:r>
      <w:r w:rsidR="00755C30">
        <w:rPr>
          <w:lang w:eastAsia="en-AU"/>
        </w:rPr>
        <w:t>Participant has commenced their</w:t>
      </w:r>
      <w:r w:rsidR="00FE00B7">
        <w:rPr>
          <w:lang w:eastAsia="en-AU"/>
        </w:rPr>
        <w:t xml:space="preserve"> Job </w:t>
      </w:r>
      <w:r w:rsidR="00FE00B7" w:rsidRPr="4B09852D">
        <w:rPr>
          <w:lang w:eastAsia="en-AU"/>
        </w:rPr>
        <w:t>Placement</w:t>
      </w:r>
      <w:r w:rsidR="0031035E">
        <w:rPr>
          <w:lang w:eastAsia="en-AU"/>
        </w:rPr>
        <w:t>, or</w:t>
      </w:r>
    </w:p>
    <w:p w14:paraId="6C01337E" w14:textId="59774DC6" w:rsidR="00DC1260" w:rsidRPr="00DC1260" w:rsidRDefault="00DC1260" w:rsidP="004E120D">
      <w:pPr>
        <w:pStyle w:val="BulletLevel1"/>
        <w:rPr>
          <w:lang w:eastAsia="en-AU"/>
        </w:rPr>
      </w:pPr>
      <w:r w:rsidRPr="00DC1260">
        <w:rPr>
          <w:lang w:eastAsia="en-AU"/>
        </w:rPr>
        <w:t>failing to respond to Employer enquiries in a timely manner.</w:t>
      </w:r>
    </w:p>
    <w:p w14:paraId="7E0B3B6A" w14:textId="77777777" w:rsidR="00E3670C" w:rsidRDefault="00E3670C" w:rsidP="00E3670C">
      <w:pPr>
        <w:pStyle w:val="Heading5"/>
      </w:pPr>
      <w:r>
        <w:t>Employer Notifications</w:t>
      </w:r>
    </w:p>
    <w:p w14:paraId="49731F1B" w14:textId="0B838CC7" w:rsidR="0094793C" w:rsidRPr="0094793C" w:rsidRDefault="00E3670C" w:rsidP="4B09852D">
      <w:r>
        <w:t>T</w:t>
      </w:r>
      <w:r w:rsidRPr="00E4677F">
        <w:t>hroughout the Wage Subsidy Agreement</w:t>
      </w:r>
      <w:r w:rsidR="004F539A">
        <w:t xml:space="preserve"> Term</w:t>
      </w:r>
      <w:r w:rsidR="00FD7C23">
        <w:t>,</w:t>
      </w:r>
      <w:r>
        <w:t xml:space="preserve"> the Department</w:t>
      </w:r>
      <w:r w:rsidR="00A81557">
        <w:t>’s IT</w:t>
      </w:r>
      <w:r>
        <w:t xml:space="preserve"> </w:t>
      </w:r>
      <w:r w:rsidR="00A81557">
        <w:t>S</w:t>
      </w:r>
      <w:r>
        <w:t>ystem</w:t>
      </w:r>
      <w:r w:rsidR="00A81557">
        <w:t>s</w:t>
      </w:r>
      <w:r>
        <w:t xml:space="preserve"> will send </w:t>
      </w:r>
      <w:r w:rsidR="0094793C">
        <w:t>n</w:t>
      </w:r>
      <w:r w:rsidRPr="00E4677F">
        <w:t xml:space="preserve">otifications to a </w:t>
      </w:r>
      <w:r w:rsidR="009E66B2">
        <w:t xml:space="preserve">Wage Subsidy </w:t>
      </w:r>
      <w:r w:rsidRPr="00E4677F">
        <w:t>Employer’s email address</w:t>
      </w:r>
      <w:r>
        <w:t xml:space="preserve"> to</w:t>
      </w:r>
      <w:r w:rsidRPr="00266656">
        <w:t xml:space="preserve"> </w:t>
      </w:r>
      <w:r>
        <w:t>prompt action related to the Wage Subsidy Agreement</w:t>
      </w:r>
      <w:r w:rsidRPr="00E4677F">
        <w:t xml:space="preserve">. </w:t>
      </w:r>
      <w:r w:rsidR="0036540F" w:rsidRPr="0036540F">
        <w:t xml:space="preserve">Some </w:t>
      </w:r>
      <w:r w:rsidR="0094793C">
        <w:t>n</w:t>
      </w:r>
      <w:r w:rsidR="009C3C63">
        <w:t xml:space="preserve">otifications </w:t>
      </w:r>
      <w:r w:rsidR="0036540F" w:rsidRPr="0036540F">
        <w:t xml:space="preserve">are triggered </w:t>
      </w:r>
      <w:r w:rsidR="00841A5C">
        <w:t>manually</w:t>
      </w:r>
      <w:r w:rsidR="0036540F" w:rsidRPr="0036540F">
        <w:t xml:space="preserve"> by</w:t>
      </w:r>
      <w:r w:rsidR="00841A5C">
        <w:t xml:space="preserve"> the</w:t>
      </w:r>
      <w:r w:rsidR="0036540F" w:rsidRPr="0036540F">
        <w:t xml:space="preserve"> </w:t>
      </w:r>
      <w:r w:rsidR="007C3A2A">
        <w:t>Provider</w:t>
      </w:r>
      <w:r w:rsidR="0036540F" w:rsidRPr="0036540F">
        <w:t xml:space="preserve">, </w:t>
      </w:r>
      <w:r w:rsidR="007C3A2A">
        <w:t xml:space="preserve">while </w:t>
      </w:r>
      <w:r w:rsidR="0036540F" w:rsidRPr="0036540F">
        <w:t xml:space="preserve">others are </w:t>
      </w:r>
      <w:r w:rsidR="009C3C63" w:rsidRPr="0036540F">
        <w:t>automat</w:t>
      </w:r>
      <w:r w:rsidR="009C3C63">
        <w:t>ed</w:t>
      </w:r>
      <w:r w:rsidR="009C3C63" w:rsidRPr="0036540F">
        <w:t>.</w:t>
      </w:r>
      <w:r w:rsidR="009C3C63">
        <w:t xml:space="preserve"> </w:t>
      </w:r>
      <w:r w:rsidR="0094793C" w:rsidRPr="0094793C">
        <w:t xml:space="preserve">The following </w:t>
      </w:r>
      <w:r w:rsidR="005C35B1">
        <w:t xml:space="preserve">outlines </w:t>
      </w:r>
      <w:r w:rsidR="0094793C" w:rsidRPr="0094793C">
        <w:t xml:space="preserve">the </w:t>
      </w:r>
      <w:r w:rsidR="0094793C">
        <w:t>different</w:t>
      </w:r>
      <w:r w:rsidR="0094793C" w:rsidRPr="0094793C">
        <w:t xml:space="preserve"> </w:t>
      </w:r>
      <w:r w:rsidR="00C70AB0">
        <w:t>types of</w:t>
      </w:r>
      <w:r w:rsidR="0094793C" w:rsidRPr="0094793C">
        <w:t xml:space="preserve"> notifications a </w:t>
      </w:r>
      <w:r w:rsidR="009E66B2">
        <w:t xml:space="preserve">Wage Subsidy </w:t>
      </w:r>
      <w:r w:rsidR="0094793C" w:rsidRPr="0094793C">
        <w:t>Employer may receive</w:t>
      </w:r>
      <w:r w:rsidR="00650D6C">
        <w:t>.</w:t>
      </w:r>
    </w:p>
    <w:p w14:paraId="4100B271" w14:textId="380D0519" w:rsidR="00F27A02" w:rsidRDefault="00E3670C" w:rsidP="00F27A02">
      <w:pPr>
        <w:rPr>
          <w:u w:val="single"/>
        </w:rPr>
      </w:pPr>
      <w:r w:rsidRPr="008E191B">
        <w:rPr>
          <w:u w:val="single"/>
        </w:rPr>
        <w:t xml:space="preserve">Wage Subsidy Agreement is ready for </w:t>
      </w:r>
      <w:r w:rsidR="005C35B1">
        <w:rPr>
          <w:u w:val="single"/>
        </w:rPr>
        <w:t>approval</w:t>
      </w:r>
    </w:p>
    <w:p w14:paraId="6E264255" w14:textId="4FE7D8CB" w:rsidR="008B07F1" w:rsidRDefault="00F27A02" w:rsidP="00F27A02">
      <w:r w:rsidRPr="00F27A02">
        <w:t>When a Wage Subsidy Agreement is ready for the Employer to approve</w:t>
      </w:r>
      <w:r>
        <w:t>,</w:t>
      </w:r>
      <w:r w:rsidRPr="00F27A02">
        <w:t xml:space="preserve"> </w:t>
      </w:r>
      <w:r w:rsidR="00B26F43">
        <w:t>a</w:t>
      </w:r>
      <w:r w:rsidR="00E543B7">
        <w:t>n email</w:t>
      </w:r>
      <w:r w:rsidR="00B26F43">
        <w:t xml:space="preserve"> notification </w:t>
      </w:r>
      <w:r w:rsidR="00B57E7F">
        <w:t>will</w:t>
      </w:r>
      <w:r w:rsidR="00B26F43">
        <w:t xml:space="preserve"> be sent to the Employer</w:t>
      </w:r>
      <w:r w:rsidR="00096842">
        <w:t>.</w:t>
      </w:r>
    </w:p>
    <w:p w14:paraId="12427331" w14:textId="055AADE1" w:rsidR="00A076CF" w:rsidRDefault="00EB2C43" w:rsidP="00F052D9">
      <w:pPr>
        <w:pStyle w:val="SystemStep"/>
      </w:pPr>
      <w:r>
        <w:t>T</w:t>
      </w:r>
      <w:r w:rsidRPr="008B07F1">
        <w:t>o</w:t>
      </w:r>
      <w:r w:rsidR="008B07F1" w:rsidRPr="008B07F1">
        <w:t xml:space="preserve"> trigger the notification</w:t>
      </w:r>
      <w:r w:rsidR="00D644B0" w:rsidRPr="008B07F1">
        <w:t>,</w:t>
      </w:r>
      <w:r>
        <w:t xml:space="preserve"> s</w:t>
      </w:r>
      <w:r w:rsidR="008B07F1" w:rsidRPr="008B07F1">
        <w:t xml:space="preserve">elect ‘Send for </w:t>
      </w:r>
      <w:r w:rsidR="00EA7585">
        <w:t>a</w:t>
      </w:r>
      <w:r w:rsidR="008B07F1" w:rsidRPr="008B07F1">
        <w:t>pproval’</w:t>
      </w:r>
      <w:r w:rsidR="00166F9C">
        <w:t xml:space="preserve"> on</w:t>
      </w:r>
      <w:r w:rsidR="003E4646">
        <w:t xml:space="preserve"> the </w:t>
      </w:r>
      <w:r w:rsidR="001E7F54">
        <w:t xml:space="preserve">draft </w:t>
      </w:r>
      <w:r w:rsidR="00166F9C">
        <w:t xml:space="preserve">Agreement </w:t>
      </w:r>
      <w:r w:rsidR="00420E9F">
        <w:t>screen</w:t>
      </w:r>
      <w:r w:rsidR="008B07F1" w:rsidRPr="008B07F1">
        <w:t xml:space="preserve">. </w:t>
      </w:r>
      <w:r w:rsidR="00390E56">
        <w:t>The email will include a</w:t>
      </w:r>
      <w:r w:rsidR="00A076CF" w:rsidRPr="008B07F1">
        <w:t xml:space="preserve"> link to Workforce Australia Online for Businesses</w:t>
      </w:r>
      <w:r w:rsidR="008B3E75">
        <w:t>. The</w:t>
      </w:r>
      <w:r w:rsidR="00A076CF" w:rsidRPr="008B07F1">
        <w:t xml:space="preserve"> Employer must use </w:t>
      </w:r>
      <w:r w:rsidR="008B3E75">
        <w:t>this link</w:t>
      </w:r>
      <w:r w:rsidR="00A076CF" w:rsidRPr="008B07F1">
        <w:t xml:space="preserve"> to access the </w:t>
      </w:r>
      <w:r w:rsidR="00CF1911">
        <w:t xml:space="preserve">online </w:t>
      </w:r>
      <w:r w:rsidR="00A076CF" w:rsidRPr="008B07F1">
        <w:t>draft Agreement for approval.</w:t>
      </w:r>
    </w:p>
    <w:p w14:paraId="012E464E" w14:textId="1D07CFA0" w:rsidR="000F1D50" w:rsidRDefault="008B07F1" w:rsidP="008B07F1">
      <w:r w:rsidRPr="008B07F1">
        <w:t xml:space="preserve">For Employers entering into their first Wage Subsidy with </w:t>
      </w:r>
      <w:r w:rsidR="001B048B">
        <w:t>the Provider</w:t>
      </w:r>
      <w:r w:rsidRPr="008B07F1">
        <w:t xml:space="preserve">, </w:t>
      </w:r>
      <w:r w:rsidR="00F86E44">
        <w:t>the</w:t>
      </w:r>
      <w:r w:rsidRPr="008B07F1">
        <w:t xml:space="preserve"> notification </w:t>
      </w:r>
      <w:r w:rsidR="00E07CCA">
        <w:t>will</w:t>
      </w:r>
      <w:r w:rsidRPr="008B07F1" w:rsidDel="000A3A54">
        <w:t xml:space="preserve"> </w:t>
      </w:r>
      <w:r w:rsidRPr="008B07F1">
        <w:t>trigger two approval requests</w:t>
      </w:r>
      <w:r w:rsidR="00824E3A">
        <w:t xml:space="preserve"> </w:t>
      </w:r>
      <w:r w:rsidR="00A43CA7">
        <w:t>—</w:t>
      </w:r>
      <w:r w:rsidR="001C1208">
        <w:t xml:space="preserve"> </w:t>
      </w:r>
      <w:r w:rsidR="00E07CCA">
        <w:t xml:space="preserve">one </w:t>
      </w:r>
      <w:r w:rsidR="00D97C17">
        <w:t xml:space="preserve">to accept </w:t>
      </w:r>
      <w:r w:rsidR="001C1208">
        <w:t xml:space="preserve">the </w:t>
      </w:r>
      <w:r w:rsidR="0089554D">
        <w:t>t</w:t>
      </w:r>
      <w:r w:rsidR="00D97C17" w:rsidRPr="008B07F1">
        <w:t xml:space="preserve">erms and </w:t>
      </w:r>
      <w:r w:rsidR="0089554D">
        <w:t>c</w:t>
      </w:r>
      <w:r w:rsidR="00D97C17" w:rsidRPr="008B07F1">
        <w:t>onditions of</w:t>
      </w:r>
      <w:r w:rsidR="00D97C17">
        <w:t xml:space="preserve"> the </w:t>
      </w:r>
      <w:r w:rsidR="001C1208" w:rsidRPr="008B07F1">
        <w:t>Head Agreement</w:t>
      </w:r>
      <w:r w:rsidR="001C1208">
        <w:t xml:space="preserve"> and </w:t>
      </w:r>
      <w:r w:rsidR="00F560F8">
        <w:t>another</w:t>
      </w:r>
      <w:r w:rsidR="00E07CCA">
        <w:t xml:space="preserve"> </w:t>
      </w:r>
      <w:r w:rsidR="006D6964">
        <w:t xml:space="preserve">to confirm the </w:t>
      </w:r>
      <w:r w:rsidR="001C1208">
        <w:t>Schedule</w:t>
      </w:r>
      <w:r w:rsidRPr="008B07F1">
        <w:t xml:space="preserve">. </w:t>
      </w:r>
    </w:p>
    <w:p w14:paraId="6035E8E4" w14:textId="2C15FC6C" w:rsidR="00FB5DF8" w:rsidRDefault="00FB5DF8" w:rsidP="008B07F1">
      <w:r>
        <w:t xml:space="preserve">For any subsequent </w:t>
      </w:r>
      <w:r w:rsidR="00A43CA7">
        <w:t>Wage Subsidies</w:t>
      </w:r>
      <w:r w:rsidR="009D6565">
        <w:t xml:space="preserve">, </w:t>
      </w:r>
      <w:r w:rsidR="009D6565" w:rsidDel="009D7044">
        <w:t>t</w:t>
      </w:r>
      <w:r w:rsidR="009D6565">
        <w:t xml:space="preserve">he </w:t>
      </w:r>
      <w:r>
        <w:t>Head Agreement</w:t>
      </w:r>
      <w:r w:rsidR="009D6565">
        <w:t xml:space="preserve"> remains</w:t>
      </w:r>
      <w:r w:rsidR="00331269">
        <w:t xml:space="preserve"> the</w:t>
      </w:r>
      <w:r w:rsidR="00BE537D">
        <w:t xml:space="preserve"> same</w:t>
      </w:r>
      <w:r w:rsidR="00B30A41">
        <w:t>, so</w:t>
      </w:r>
      <w:r w:rsidDel="00331269">
        <w:t xml:space="preserve"> this</w:t>
      </w:r>
      <w:r>
        <w:t xml:space="preserve"> notification will ask Employers to review and approve the </w:t>
      </w:r>
      <w:r w:rsidR="00331269">
        <w:t xml:space="preserve">additional </w:t>
      </w:r>
      <w:r>
        <w:t>Schedule</w:t>
      </w:r>
      <w:r w:rsidR="00C9753F">
        <w:t>s</w:t>
      </w:r>
      <w:r>
        <w:t xml:space="preserve"> only. </w:t>
      </w:r>
    </w:p>
    <w:p w14:paraId="0D3EC713" w14:textId="58EF428A" w:rsidR="00F7787C" w:rsidRPr="0094793C" w:rsidRDefault="00F7787C" w:rsidP="00F7787C">
      <w:r>
        <w:t xml:space="preserve">The first Wage Subsidy approved between the Provider and the Employer via this notification will also link the Employer’s Workforce Australia Online for Business </w:t>
      </w:r>
      <w:r w:rsidR="000F5FC3">
        <w:t>a</w:t>
      </w:r>
      <w:r>
        <w:t xml:space="preserve">ccount </w:t>
      </w:r>
      <w:r w:rsidR="00682273">
        <w:t>with</w:t>
      </w:r>
      <w:r>
        <w:t xml:space="preserve"> the </w:t>
      </w:r>
      <w:r w:rsidR="007C04C8">
        <w:t>H</w:t>
      </w:r>
      <w:r>
        <w:t xml:space="preserve">ead </w:t>
      </w:r>
      <w:r w:rsidR="007C04C8">
        <w:t>A</w:t>
      </w:r>
      <w:r>
        <w:t>greement. This ensures the Employer can access and manage this and all future Wage Subsidy Agreements via their account.</w:t>
      </w:r>
    </w:p>
    <w:p w14:paraId="4A8BD3A1" w14:textId="46BF8078" w:rsidR="00E3670C" w:rsidRPr="005C35B1" w:rsidRDefault="00E3670C" w:rsidP="004F539A">
      <w:pPr>
        <w:keepNext/>
        <w:rPr>
          <w:u w:val="single"/>
        </w:rPr>
      </w:pPr>
      <w:r w:rsidRPr="005C35B1">
        <w:rPr>
          <w:u w:val="single"/>
        </w:rPr>
        <w:t>Wage Subsidy Agreement is ready to view and manage</w:t>
      </w:r>
    </w:p>
    <w:p w14:paraId="600781C0" w14:textId="4BE07783" w:rsidR="00950194" w:rsidRDefault="00E77C39" w:rsidP="00893D27">
      <w:r>
        <w:t>After the</w:t>
      </w:r>
      <w:r w:rsidR="000E64CF">
        <w:t xml:space="preserve"> </w:t>
      </w:r>
      <w:r>
        <w:t xml:space="preserve">Employer approves a </w:t>
      </w:r>
      <w:r w:rsidR="003859E7">
        <w:t>S</w:t>
      </w:r>
      <w:r>
        <w:t>chedule</w:t>
      </w:r>
      <w:r w:rsidR="00C7503C">
        <w:t>,</w:t>
      </w:r>
      <w:r>
        <w:t xml:space="preserve"> the </w:t>
      </w:r>
      <w:r w:rsidR="00E35E41" w:rsidRPr="00E35E41">
        <w:t xml:space="preserve">Employer </w:t>
      </w:r>
      <w:r w:rsidR="005975D2">
        <w:t xml:space="preserve">will </w:t>
      </w:r>
      <w:r w:rsidR="00E35E41" w:rsidRPr="00E35E41">
        <w:t xml:space="preserve">automatically </w:t>
      </w:r>
      <w:r w:rsidR="001C027D">
        <w:t xml:space="preserve">receive a notification </w:t>
      </w:r>
      <w:r w:rsidR="005C3C17">
        <w:t>confirming t</w:t>
      </w:r>
      <w:r w:rsidR="004E04E8">
        <w:t>he</w:t>
      </w:r>
      <w:r w:rsidR="00E35E41" w:rsidRPr="00E35E41">
        <w:t xml:space="preserve"> </w:t>
      </w:r>
      <w:r w:rsidR="00C003AC">
        <w:t xml:space="preserve">Wage Subsidy </w:t>
      </w:r>
      <w:r w:rsidR="00E35E41" w:rsidRPr="00E35E41">
        <w:t xml:space="preserve">Agreement </w:t>
      </w:r>
      <w:r w:rsidR="004E04E8">
        <w:t xml:space="preserve">is </w:t>
      </w:r>
      <w:r w:rsidR="00CE5892">
        <w:t xml:space="preserve">now </w:t>
      </w:r>
      <w:r w:rsidR="004E04E8">
        <w:t>active</w:t>
      </w:r>
      <w:r w:rsidR="005C3C17">
        <w:t xml:space="preserve">. </w:t>
      </w:r>
      <w:r w:rsidR="000A420A">
        <w:t>Th</w:t>
      </w:r>
      <w:r w:rsidR="00955EC4">
        <w:t>e</w:t>
      </w:r>
      <w:r w:rsidR="000A420A">
        <w:t xml:space="preserve"> notification </w:t>
      </w:r>
      <w:r w:rsidR="00955EC4">
        <w:t xml:space="preserve">will </w:t>
      </w:r>
      <w:r w:rsidR="00521955">
        <w:t>advise t</w:t>
      </w:r>
      <w:r w:rsidR="00955EC4">
        <w:t xml:space="preserve">he </w:t>
      </w:r>
      <w:r w:rsidR="000E64CF">
        <w:t xml:space="preserve">Wage Subsidy </w:t>
      </w:r>
      <w:r w:rsidR="00955EC4">
        <w:t xml:space="preserve">Employer </w:t>
      </w:r>
      <w:r w:rsidR="00521955">
        <w:t xml:space="preserve">that </w:t>
      </w:r>
      <w:r w:rsidR="003129B5">
        <w:t xml:space="preserve">they will </w:t>
      </w:r>
      <w:r w:rsidR="00786840">
        <w:t xml:space="preserve">start </w:t>
      </w:r>
      <w:r w:rsidR="008D2368">
        <w:t>receiving</w:t>
      </w:r>
      <w:r w:rsidR="003129B5">
        <w:t xml:space="preserve"> </w:t>
      </w:r>
      <w:r w:rsidR="00CC3737">
        <w:t xml:space="preserve">email reminders </w:t>
      </w:r>
      <w:r w:rsidR="003306EC">
        <w:t>request</w:t>
      </w:r>
      <w:r w:rsidR="008D2368">
        <w:t>ing</w:t>
      </w:r>
      <w:r w:rsidR="003306EC">
        <w:t xml:space="preserve"> </w:t>
      </w:r>
      <w:r w:rsidR="00C7503C">
        <w:t>W</w:t>
      </w:r>
      <w:r w:rsidR="003306EC">
        <w:t xml:space="preserve">age </w:t>
      </w:r>
      <w:r w:rsidR="00C7503C">
        <w:t>S</w:t>
      </w:r>
      <w:r w:rsidR="003306EC">
        <w:t xml:space="preserve">ubsidy </w:t>
      </w:r>
      <w:r w:rsidR="00C7503C">
        <w:t>P</w:t>
      </w:r>
      <w:r w:rsidR="003306EC">
        <w:t xml:space="preserve">ayments </w:t>
      </w:r>
      <w:r w:rsidR="00F4199B">
        <w:t xml:space="preserve">after the </w:t>
      </w:r>
      <w:r w:rsidR="00F20841">
        <w:t xml:space="preserve">Wage Subsidy </w:t>
      </w:r>
      <w:r w:rsidR="00F4199B">
        <w:t xml:space="preserve">Participant has remained </w:t>
      </w:r>
      <w:r w:rsidR="00F12DE9">
        <w:t>E</w:t>
      </w:r>
      <w:r w:rsidR="00F4199B">
        <w:t xml:space="preserve">mployed </w:t>
      </w:r>
      <w:r w:rsidR="00A57282">
        <w:t xml:space="preserve">for </w:t>
      </w:r>
      <w:r w:rsidR="0034520D">
        <w:t xml:space="preserve">the minimum </w:t>
      </w:r>
      <w:r w:rsidR="00A57282">
        <w:t>6</w:t>
      </w:r>
      <w:r w:rsidR="0052480A">
        <w:t>-</w:t>
      </w:r>
      <w:r w:rsidR="00A57282">
        <w:t>week</w:t>
      </w:r>
      <w:r w:rsidR="0034520D">
        <w:t xml:space="preserve"> period</w:t>
      </w:r>
      <w:r w:rsidR="0052480A">
        <w:t xml:space="preserve"> of Employment</w:t>
      </w:r>
      <w:r w:rsidR="00A57282">
        <w:t>.</w:t>
      </w:r>
    </w:p>
    <w:p w14:paraId="6E440653" w14:textId="1D6EAC10" w:rsidR="00C27933" w:rsidRPr="00C27933" w:rsidRDefault="00986540" w:rsidP="00950194">
      <w:pPr>
        <w:pStyle w:val="SystemStep"/>
        <w:ind w:left="641" w:hanging="357"/>
      </w:pPr>
      <w:r>
        <w:t xml:space="preserve">Following approval of the </w:t>
      </w:r>
      <w:r w:rsidR="00076080">
        <w:t>A</w:t>
      </w:r>
      <w:r>
        <w:t xml:space="preserve">greement by the Employer, </w:t>
      </w:r>
      <w:r w:rsidR="00E35E41" w:rsidRPr="00E35E41">
        <w:t>the status of the Agreement in the Department’s IT System</w:t>
      </w:r>
      <w:r w:rsidR="00EA2F96">
        <w:t>s</w:t>
      </w:r>
      <w:r w:rsidR="00E35E41" w:rsidRPr="00E35E41">
        <w:t xml:space="preserve"> </w:t>
      </w:r>
      <w:r w:rsidR="009D76EA">
        <w:t xml:space="preserve">will change </w:t>
      </w:r>
      <w:r w:rsidR="007C2962">
        <w:t xml:space="preserve">from ‘Draft’ </w:t>
      </w:r>
      <w:r w:rsidR="009D76EA">
        <w:t xml:space="preserve">to </w:t>
      </w:r>
      <w:r w:rsidR="00C14026">
        <w:t>‘</w:t>
      </w:r>
      <w:r w:rsidR="009D76EA">
        <w:t>A</w:t>
      </w:r>
      <w:r w:rsidR="00E35E41" w:rsidRPr="00E35E41">
        <w:t>pproved</w:t>
      </w:r>
      <w:r w:rsidR="00C14026">
        <w:t>’</w:t>
      </w:r>
      <w:r w:rsidR="00E35E41" w:rsidRPr="00E35E41">
        <w:t>.</w:t>
      </w:r>
    </w:p>
    <w:p w14:paraId="7142AEA9" w14:textId="1BB5B70A" w:rsidR="00E3670C" w:rsidRPr="005C35B1" w:rsidRDefault="00E3670C" w:rsidP="005C35B1">
      <w:pPr>
        <w:rPr>
          <w:u w:val="single"/>
        </w:rPr>
      </w:pPr>
      <w:r w:rsidRPr="005C35B1">
        <w:rPr>
          <w:u w:val="single"/>
        </w:rPr>
        <w:t>ABN attached to a Wage Subsidy Head Agreement has been updated</w:t>
      </w:r>
      <w:r w:rsidR="00F7699D" w:rsidRPr="005C35B1">
        <w:rPr>
          <w:u w:val="single"/>
        </w:rPr>
        <w:t xml:space="preserve"> and requires </w:t>
      </w:r>
      <w:r w:rsidR="002502AE" w:rsidRPr="005C35B1">
        <w:rPr>
          <w:u w:val="single"/>
        </w:rPr>
        <w:t>Employer re</w:t>
      </w:r>
      <w:r w:rsidR="004F6230">
        <w:rPr>
          <w:u w:val="single"/>
        </w:rPr>
        <w:noBreakHyphen/>
      </w:r>
      <w:r w:rsidR="00F7699D" w:rsidRPr="005C35B1">
        <w:rPr>
          <w:u w:val="single"/>
        </w:rPr>
        <w:t>approval</w:t>
      </w:r>
    </w:p>
    <w:p w14:paraId="42DD5CB8" w14:textId="5EE9EE63" w:rsidR="00C7503C" w:rsidRDefault="003D16E9" w:rsidP="003D16E9">
      <w:r w:rsidRPr="003D16E9">
        <w:t>When a Wage Subsidy Employer changes their ABN</w:t>
      </w:r>
      <w:r w:rsidR="00C7503C">
        <w:t>,</w:t>
      </w:r>
      <w:r w:rsidRPr="003D16E9">
        <w:t xml:space="preserve"> they will need to set up a new Workforce Australia </w:t>
      </w:r>
      <w:r w:rsidR="00EA3E58">
        <w:t xml:space="preserve">Online for Business </w:t>
      </w:r>
      <w:r w:rsidRPr="003D16E9">
        <w:t xml:space="preserve">Account linked to the new ABN. </w:t>
      </w:r>
    </w:p>
    <w:p w14:paraId="4D98B255" w14:textId="38E678F0" w:rsidR="005C5F98" w:rsidRDefault="00C7503C" w:rsidP="003D16E9">
      <w:r>
        <w:t xml:space="preserve">Once the </w:t>
      </w:r>
      <w:r w:rsidR="0054587D">
        <w:t xml:space="preserve">Wage Subsidy </w:t>
      </w:r>
      <w:r>
        <w:t xml:space="preserve">Employer has </w:t>
      </w:r>
      <w:r w:rsidR="009C5497">
        <w:t>set up</w:t>
      </w:r>
      <w:r>
        <w:t xml:space="preserve"> their account, the Provider</w:t>
      </w:r>
      <w:r w:rsidR="003D16E9">
        <w:t xml:space="preserve"> </w:t>
      </w:r>
      <w:r w:rsidR="00517758">
        <w:t>must</w:t>
      </w:r>
      <w:r w:rsidR="003D16E9">
        <w:t xml:space="preserve"> update the </w:t>
      </w:r>
      <w:r w:rsidR="0054587D">
        <w:t>Wage Subsidy</w:t>
      </w:r>
      <w:r w:rsidR="003D16E9">
        <w:t xml:space="preserve"> Employer’s </w:t>
      </w:r>
      <w:r w:rsidR="001A274B">
        <w:t>Head Agreement</w:t>
      </w:r>
      <w:r w:rsidR="003D16E9">
        <w:t xml:space="preserve"> in the Department’s IT System</w:t>
      </w:r>
      <w:r w:rsidR="00EA2F96">
        <w:t>s</w:t>
      </w:r>
      <w:r w:rsidR="003D16E9">
        <w:t xml:space="preserve"> with the new ABN</w:t>
      </w:r>
      <w:r w:rsidR="00517758">
        <w:t xml:space="preserve">. </w:t>
      </w:r>
      <w:r w:rsidR="00A65ED0">
        <w:t xml:space="preserve">The Provider </w:t>
      </w:r>
      <w:r w:rsidR="003B54AF">
        <w:t>must</w:t>
      </w:r>
      <w:r w:rsidR="00A65ED0">
        <w:t xml:space="preserve"> check if the Wage Subsidy Employer’s email details are still current and correct and then </w:t>
      </w:r>
      <w:r w:rsidR="00623074">
        <w:t xml:space="preserve">send the </w:t>
      </w:r>
      <w:r w:rsidR="007C04C8">
        <w:t>H</w:t>
      </w:r>
      <w:r w:rsidR="00103D2F">
        <w:t xml:space="preserve">ead </w:t>
      </w:r>
      <w:r w:rsidR="007C04C8">
        <w:t>A</w:t>
      </w:r>
      <w:r w:rsidR="003D16E9">
        <w:t xml:space="preserve">greement </w:t>
      </w:r>
      <w:r w:rsidR="00623074">
        <w:t>for</w:t>
      </w:r>
      <w:r w:rsidR="003D16E9">
        <w:t xml:space="preserve"> re</w:t>
      </w:r>
      <w:r w:rsidR="00345797">
        <w:t>-</w:t>
      </w:r>
      <w:r w:rsidR="003D16E9">
        <w:t xml:space="preserve">approval. </w:t>
      </w:r>
    </w:p>
    <w:p w14:paraId="05C58F8C" w14:textId="66DE671F" w:rsidR="00C14026" w:rsidRPr="00E428BA" w:rsidRDefault="003D16E9" w:rsidP="00E428BA">
      <w:pPr>
        <w:pStyle w:val="SystemStep"/>
      </w:pPr>
      <w:r w:rsidRPr="00E428BA">
        <w:t xml:space="preserve">Select ‘Resend for Approval’ to trigger notification to the </w:t>
      </w:r>
      <w:r w:rsidR="003E5BCA">
        <w:t xml:space="preserve">Wage Subsidy </w:t>
      </w:r>
      <w:r w:rsidRPr="00E428BA">
        <w:t>Employer’s email address.</w:t>
      </w:r>
    </w:p>
    <w:p w14:paraId="17D17E4A" w14:textId="5E89387D" w:rsidR="005C5F98" w:rsidRPr="00E428BA" w:rsidRDefault="000249BA" w:rsidP="00C14026">
      <w:r>
        <w:t xml:space="preserve">The </w:t>
      </w:r>
      <w:r w:rsidR="007C04C8">
        <w:t>H</w:t>
      </w:r>
      <w:r>
        <w:t xml:space="preserve">ead </w:t>
      </w:r>
      <w:r w:rsidR="007C04C8">
        <w:t>A</w:t>
      </w:r>
      <w:r>
        <w:t xml:space="preserve">greement must be re-approved by the Wage Subsidy Employer before the end </w:t>
      </w:r>
      <w:r w:rsidR="00846EBF">
        <w:t xml:space="preserve">date of </w:t>
      </w:r>
      <w:r w:rsidR="00057D8B">
        <w:t>any</w:t>
      </w:r>
      <w:r w:rsidR="00D0496A">
        <w:t xml:space="preserve"> </w:t>
      </w:r>
      <w:r w:rsidR="007C04C8">
        <w:t>S</w:t>
      </w:r>
      <w:r w:rsidR="00D0496A">
        <w:t>chedule</w:t>
      </w:r>
      <w:r w:rsidR="005C5F98">
        <w:t xml:space="preserve">. If </w:t>
      </w:r>
      <w:r w:rsidR="00E87B9E">
        <w:t xml:space="preserve">a </w:t>
      </w:r>
      <w:r w:rsidR="00D864C2">
        <w:t>S</w:t>
      </w:r>
      <w:r w:rsidR="00846EBF">
        <w:t xml:space="preserve">chedule </w:t>
      </w:r>
      <w:r w:rsidR="005C5F98">
        <w:t>reaches the end date without re</w:t>
      </w:r>
      <w:r w:rsidR="00C2411A">
        <w:t>-</w:t>
      </w:r>
      <w:r w:rsidR="005C5F98">
        <w:t xml:space="preserve">approval, </w:t>
      </w:r>
      <w:r w:rsidR="00846EBF">
        <w:t xml:space="preserve">the </w:t>
      </w:r>
      <w:r w:rsidR="00756F3F">
        <w:t xml:space="preserve">Department’s </w:t>
      </w:r>
      <w:r w:rsidR="00846EBF">
        <w:t>IT System</w:t>
      </w:r>
      <w:r w:rsidR="00756F3F">
        <w:t>s</w:t>
      </w:r>
      <w:r w:rsidR="005C5F98">
        <w:t xml:space="preserve"> will </w:t>
      </w:r>
      <w:r w:rsidR="008D1565">
        <w:t>prevent any</w:t>
      </w:r>
      <w:r w:rsidR="005C5F98">
        <w:t xml:space="preserve"> Wage Subsidy </w:t>
      </w:r>
      <w:r w:rsidR="00E428BA">
        <w:t>P</w:t>
      </w:r>
      <w:r w:rsidR="005C5F98">
        <w:t>ayments.</w:t>
      </w:r>
    </w:p>
    <w:p w14:paraId="26338E2B" w14:textId="43498293" w:rsidR="00E3670C" w:rsidRPr="004F6230" w:rsidRDefault="00E3670C" w:rsidP="00CB1D4B">
      <w:pPr>
        <w:rPr>
          <w:u w:val="single"/>
        </w:rPr>
      </w:pPr>
      <w:r w:rsidRPr="004F6230">
        <w:rPr>
          <w:u w:val="single"/>
        </w:rPr>
        <w:t xml:space="preserve">Wage Subsidy </w:t>
      </w:r>
      <w:r w:rsidR="00DC4361" w:rsidRPr="004F6230">
        <w:rPr>
          <w:u w:val="single"/>
        </w:rPr>
        <w:t>P</w:t>
      </w:r>
      <w:r w:rsidRPr="004F6230">
        <w:rPr>
          <w:u w:val="single"/>
        </w:rPr>
        <w:t>ayment is due</w:t>
      </w:r>
    </w:p>
    <w:p w14:paraId="3B1B67FC" w14:textId="3CB0B483" w:rsidR="009C347D" w:rsidRDefault="00A35E97" w:rsidP="00AA14A2">
      <w:r w:rsidRPr="00AA14A2">
        <w:t>After</w:t>
      </w:r>
      <w:r w:rsidR="006319CF" w:rsidRPr="00AA14A2">
        <w:t xml:space="preserve"> </w:t>
      </w:r>
      <w:r w:rsidRPr="00AA14A2">
        <w:t xml:space="preserve">each </w:t>
      </w:r>
      <w:r w:rsidR="006319CF" w:rsidRPr="00AA14A2">
        <w:t xml:space="preserve">agreed </w:t>
      </w:r>
      <w:r w:rsidR="00E87B9E">
        <w:t>Wage Subsidy</w:t>
      </w:r>
      <w:r w:rsidR="00AA14A2" w:rsidRPr="00AA14A2">
        <w:t xml:space="preserve"> </w:t>
      </w:r>
      <w:r w:rsidR="00AA14A2">
        <w:t xml:space="preserve">Payment </w:t>
      </w:r>
      <w:r w:rsidR="00E87B9E">
        <w:t xml:space="preserve">instalment </w:t>
      </w:r>
      <w:r w:rsidR="006319CF" w:rsidRPr="00AA14A2">
        <w:t>period</w:t>
      </w:r>
      <w:r w:rsidR="00E61400">
        <w:t xml:space="preserve"> </w:t>
      </w:r>
      <w:r w:rsidR="00880891">
        <w:t>(</w:t>
      </w:r>
      <w:r w:rsidR="006319CF" w:rsidRPr="00AA14A2">
        <w:t>complete</w:t>
      </w:r>
      <w:r w:rsidR="00F47F6B">
        <w:t xml:space="preserve">d </w:t>
      </w:r>
      <w:r w:rsidR="00AE3DCC">
        <w:t>after the first</w:t>
      </w:r>
      <w:r w:rsidR="00391B85">
        <w:t xml:space="preserve"> </w:t>
      </w:r>
      <w:r w:rsidR="000C38B9">
        <w:t>6 weeks</w:t>
      </w:r>
      <w:r w:rsidR="00AE3DCC">
        <w:t xml:space="preserve"> of the Wage Subsidy Agreement</w:t>
      </w:r>
      <w:r w:rsidR="00043B06">
        <w:t xml:space="preserve"> </w:t>
      </w:r>
      <w:r w:rsidR="653F24D8">
        <w:t>T</w:t>
      </w:r>
      <w:r w:rsidR="00043B06">
        <w:t>erm</w:t>
      </w:r>
      <w:r w:rsidR="00880891">
        <w:t>)</w:t>
      </w:r>
      <w:r w:rsidR="000C656B">
        <w:t>,</w:t>
      </w:r>
      <w:r w:rsidR="006319CF" w:rsidRPr="00AA14A2">
        <w:t xml:space="preserve"> the </w:t>
      </w:r>
      <w:r w:rsidR="0054587D">
        <w:t xml:space="preserve">Wage Subsidy </w:t>
      </w:r>
      <w:r w:rsidR="006319CF" w:rsidRPr="00AA14A2">
        <w:t>Employer</w:t>
      </w:r>
      <w:r w:rsidR="00872526" w:rsidRPr="00AA14A2">
        <w:t xml:space="preserve"> will be sent a </w:t>
      </w:r>
      <w:r w:rsidR="00163B0E">
        <w:t xml:space="preserve">reminder </w:t>
      </w:r>
      <w:r w:rsidR="00872526" w:rsidRPr="00AA14A2">
        <w:t>notification</w:t>
      </w:r>
      <w:r w:rsidR="007423AB">
        <w:t>. This will</w:t>
      </w:r>
      <w:r w:rsidR="00872526" w:rsidRPr="00AA14A2">
        <w:t xml:space="preserve"> </w:t>
      </w:r>
      <w:r w:rsidR="00BE0B4E" w:rsidRPr="00AA14A2">
        <w:t>inform them</w:t>
      </w:r>
      <w:r w:rsidR="00F93B1C" w:rsidRPr="00AA14A2">
        <w:t xml:space="preserve"> they can request a </w:t>
      </w:r>
      <w:r w:rsidR="000C656B" w:rsidRPr="00AA14A2">
        <w:t>Wage Subsidy Payment</w:t>
      </w:r>
      <w:r w:rsidR="00C43E6D">
        <w:t>,</w:t>
      </w:r>
      <w:r w:rsidR="000C656B" w:rsidRPr="00AA14A2">
        <w:t xml:space="preserve"> </w:t>
      </w:r>
      <w:r w:rsidR="000B22AD" w:rsidRPr="00AA14A2">
        <w:t xml:space="preserve">as </w:t>
      </w:r>
      <w:r w:rsidR="000B22AD">
        <w:t>set out</w:t>
      </w:r>
      <w:r w:rsidR="000B22AD" w:rsidRPr="00AA14A2">
        <w:t xml:space="preserve"> in </w:t>
      </w:r>
      <w:r w:rsidR="00CB1D4B">
        <w:t>the</w:t>
      </w:r>
      <w:r w:rsidR="000B22AD" w:rsidRPr="00AA14A2">
        <w:t xml:space="preserve"> </w:t>
      </w:r>
      <w:r w:rsidR="0012155E">
        <w:t>s</w:t>
      </w:r>
      <w:r w:rsidR="000B22AD" w:rsidRPr="00AA14A2">
        <w:t>chedule</w:t>
      </w:r>
      <w:r w:rsidR="00C43E6D">
        <w:t>, by invoicing the Provider and supplying documentary evidence.</w:t>
      </w:r>
    </w:p>
    <w:p w14:paraId="22E1DC5E" w14:textId="4AD640B9" w:rsidR="00E3670C" w:rsidRPr="004F6230" w:rsidRDefault="00E3670C" w:rsidP="00880891">
      <w:pPr>
        <w:keepNext/>
        <w:rPr>
          <w:u w:val="single"/>
        </w:rPr>
      </w:pPr>
      <w:r w:rsidRPr="004F6230">
        <w:rPr>
          <w:u w:val="single"/>
        </w:rPr>
        <w:t xml:space="preserve">Wage Subsidy Agreement </w:t>
      </w:r>
      <w:r w:rsidR="00C54542" w:rsidRPr="004F6230">
        <w:rPr>
          <w:u w:val="single"/>
        </w:rPr>
        <w:t xml:space="preserve">Term </w:t>
      </w:r>
      <w:r w:rsidRPr="004F6230">
        <w:rPr>
          <w:u w:val="single"/>
        </w:rPr>
        <w:t xml:space="preserve">has </w:t>
      </w:r>
      <w:r w:rsidR="006E6EAB" w:rsidRPr="004F6230">
        <w:rPr>
          <w:u w:val="single"/>
        </w:rPr>
        <w:t>been completed</w:t>
      </w:r>
    </w:p>
    <w:p w14:paraId="0D1764AF" w14:textId="1F1C80CA" w:rsidR="00E3670C" w:rsidRDefault="00A35E97" w:rsidP="0031035E">
      <w:pPr>
        <w:rPr>
          <w:lang w:eastAsia="en-AU"/>
        </w:rPr>
      </w:pPr>
      <w:r w:rsidRPr="00A35E97">
        <w:rPr>
          <w:lang w:eastAsia="en-AU"/>
        </w:rPr>
        <w:t xml:space="preserve">On the Wage Subsidy Agreement end date, an automatic notification is sent to the </w:t>
      </w:r>
      <w:r w:rsidR="00DD2ACE" w:rsidRPr="00DD2ACE">
        <w:rPr>
          <w:lang w:eastAsia="en-AU"/>
        </w:rPr>
        <w:t xml:space="preserve">Wage Subsidy </w:t>
      </w:r>
      <w:r w:rsidRPr="00A35E97">
        <w:rPr>
          <w:lang w:eastAsia="en-AU"/>
        </w:rPr>
        <w:t xml:space="preserve">Employer to advise them to submit their documentary evidence and invoice for the final Wage Subsidy </w:t>
      </w:r>
      <w:r w:rsidR="00CB1D4B">
        <w:rPr>
          <w:lang w:eastAsia="en-AU"/>
        </w:rPr>
        <w:t>P</w:t>
      </w:r>
      <w:r w:rsidRPr="00A35E97">
        <w:rPr>
          <w:lang w:eastAsia="en-AU"/>
        </w:rPr>
        <w:t xml:space="preserve">ayment within 28 days of the </w:t>
      </w:r>
      <w:r w:rsidR="0012155E">
        <w:rPr>
          <w:lang w:eastAsia="en-AU"/>
        </w:rPr>
        <w:t xml:space="preserve">Wage Subsidy </w:t>
      </w:r>
      <w:r w:rsidRPr="00A35E97">
        <w:rPr>
          <w:lang w:eastAsia="en-AU"/>
        </w:rPr>
        <w:t xml:space="preserve">Agreement </w:t>
      </w:r>
      <w:r w:rsidR="0080527B">
        <w:rPr>
          <w:lang w:eastAsia="en-AU"/>
        </w:rPr>
        <w:t>end date</w:t>
      </w:r>
      <w:r w:rsidRPr="00A35E97">
        <w:rPr>
          <w:lang w:eastAsia="en-AU"/>
        </w:rPr>
        <w:t>.</w:t>
      </w:r>
    </w:p>
    <w:p w14:paraId="6C88DECA" w14:textId="3E388D29" w:rsidR="00DC1260" w:rsidRPr="0031035E" w:rsidRDefault="00DC1260" w:rsidP="0031035E">
      <w:pPr>
        <w:pStyle w:val="Heading3"/>
      </w:pPr>
      <w:bookmarkStart w:id="361" w:name="_Ref202800059"/>
      <w:bookmarkStart w:id="362" w:name="_Toc202900032"/>
      <w:r w:rsidRPr="0031035E">
        <w:t>8.5</w:t>
      </w:r>
      <w:r w:rsidR="0031035E">
        <w:tab/>
      </w:r>
      <w:r w:rsidRPr="0031035E">
        <w:t>Payments to Wage Subsidy Employers</w:t>
      </w:r>
      <w:bookmarkEnd w:id="361"/>
      <w:bookmarkEnd w:id="362"/>
    </w:p>
    <w:p w14:paraId="61F87E6A" w14:textId="2C0B9920" w:rsidR="00EB6854" w:rsidRDefault="00547B9D" w:rsidP="00424A58">
      <w:r>
        <w:t xml:space="preserve">A Provider may pay a Wage Subsidy Employer a Wage Subsidy </w:t>
      </w:r>
      <w:r w:rsidR="0021492E">
        <w:t xml:space="preserve">Payment </w:t>
      </w:r>
      <w:r>
        <w:t xml:space="preserve">progressively throughout the 26-week Wage Subsidy </w:t>
      </w:r>
      <w:r w:rsidR="002D4D36">
        <w:t>at</w:t>
      </w:r>
      <w:r>
        <w:t xml:space="preserve"> agreed </w:t>
      </w:r>
      <w:r w:rsidR="0021492E">
        <w:t>in</w:t>
      </w:r>
      <w:r>
        <w:t xml:space="preserve">stalment </w:t>
      </w:r>
      <w:r w:rsidR="0021492E">
        <w:t>p</w:t>
      </w:r>
      <w:r>
        <w:t>eriods</w:t>
      </w:r>
      <w:r w:rsidR="00DC1260" w:rsidRPr="00424A58">
        <w:t xml:space="preserve">, or at the conclusion of the 26-week Wage Subsidy Agreement </w:t>
      </w:r>
      <w:r w:rsidR="2255A60F">
        <w:t>T</w:t>
      </w:r>
      <w:r w:rsidR="00DC1260">
        <w:t>erm</w:t>
      </w:r>
      <w:r w:rsidR="00DC1260" w:rsidRPr="00424A58">
        <w:t xml:space="preserve">. </w:t>
      </w:r>
    </w:p>
    <w:p w14:paraId="59D7EB0F" w14:textId="5B80141E" w:rsidR="00DC1260" w:rsidRPr="00424A58" w:rsidRDefault="00DC1260" w:rsidP="00EB6854">
      <w:pPr>
        <w:keepNext/>
      </w:pPr>
      <w:r w:rsidRPr="00424A58">
        <w:t xml:space="preserve">The Provider must only pay a Wage Subsidy </w:t>
      </w:r>
      <w:r w:rsidR="0021492E">
        <w:t>P</w:t>
      </w:r>
      <w:r>
        <w:t>ayment</w:t>
      </w:r>
      <w:r w:rsidRPr="00424A58">
        <w:t xml:space="preserve"> if the Wage Subsidy Employer has:</w:t>
      </w:r>
    </w:p>
    <w:p w14:paraId="4B618C12" w14:textId="2B55AF2C" w:rsidR="00DC1260" w:rsidRPr="00DC1260" w:rsidRDefault="00DC1260" w:rsidP="004E120D">
      <w:pPr>
        <w:pStyle w:val="BulletLevel1"/>
        <w:rPr>
          <w:lang w:eastAsia="en-AU"/>
        </w:rPr>
      </w:pPr>
      <w:r w:rsidRPr="00DC1260">
        <w:rPr>
          <w:lang w:eastAsia="en-AU"/>
        </w:rPr>
        <w:t>approved the Wage Subsidy Agreement online via Workforce Australia Online for Businesses</w:t>
      </w:r>
    </w:p>
    <w:p w14:paraId="78475E69" w14:textId="1A5993BF" w:rsidR="00DC1260" w:rsidRPr="00DC1260" w:rsidRDefault="00DC1260" w:rsidP="004E120D">
      <w:pPr>
        <w:pStyle w:val="BulletLevel1"/>
        <w:rPr>
          <w:lang w:eastAsia="en-AU"/>
        </w:rPr>
      </w:pPr>
      <w:r w:rsidRPr="00DC1260">
        <w:rPr>
          <w:lang w:eastAsia="en-AU"/>
        </w:rPr>
        <w:t xml:space="preserve">invoiced the Provider for a Wage Subsidy </w:t>
      </w:r>
      <w:r w:rsidR="00AB3CF7" w:rsidRPr="4B09852D">
        <w:rPr>
          <w:lang w:eastAsia="en-AU"/>
        </w:rPr>
        <w:t>P</w:t>
      </w:r>
      <w:r w:rsidRPr="4B09852D">
        <w:rPr>
          <w:lang w:eastAsia="en-AU"/>
        </w:rPr>
        <w:t>ayment</w:t>
      </w:r>
      <w:r w:rsidR="00EB6854">
        <w:rPr>
          <w:lang w:eastAsia="en-AU"/>
        </w:rPr>
        <w:t>, and</w:t>
      </w:r>
    </w:p>
    <w:p w14:paraId="64FDD41C" w14:textId="3D5124B6" w:rsidR="00DC1260" w:rsidRPr="00DC1260" w:rsidRDefault="00DC1260" w:rsidP="004E120D">
      <w:pPr>
        <w:pStyle w:val="BulletLevel1"/>
        <w:rPr>
          <w:lang w:eastAsia="en-AU"/>
        </w:rPr>
      </w:pPr>
      <w:r w:rsidRPr="00DC1260">
        <w:rPr>
          <w:lang w:eastAsia="en-AU"/>
        </w:rPr>
        <w:t xml:space="preserve">submitted </w:t>
      </w:r>
      <w:r w:rsidR="0021492E">
        <w:rPr>
          <w:lang w:eastAsia="en-AU"/>
        </w:rPr>
        <w:t>d</w:t>
      </w:r>
      <w:r w:rsidRPr="00DC1260">
        <w:rPr>
          <w:lang w:eastAsia="en-AU"/>
        </w:rPr>
        <w:t xml:space="preserve">ocumentary </w:t>
      </w:r>
      <w:r w:rsidR="0021492E">
        <w:rPr>
          <w:lang w:eastAsia="en-AU"/>
        </w:rPr>
        <w:t>e</w:t>
      </w:r>
      <w:r w:rsidRPr="00DC1260">
        <w:rPr>
          <w:lang w:eastAsia="en-AU"/>
        </w:rPr>
        <w:t>vidence that demonstrates the conditions of the Wage Subsidy Agreement</w:t>
      </w:r>
      <w:r w:rsidR="001A2E51">
        <w:rPr>
          <w:lang w:eastAsia="en-AU"/>
        </w:rPr>
        <w:t xml:space="preserve"> have been met</w:t>
      </w:r>
      <w:r w:rsidR="00EB6854">
        <w:rPr>
          <w:lang w:eastAsia="en-AU"/>
        </w:rPr>
        <w:t>.</w:t>
      </w:r>
    </w:p>
    <w:p w14:paraId="77DFB47B" w14:textId="411219A5" w:rsidR="005D7FBD" w:rsidRDefault="02E7F33F" w:rsidP="00076477">
      <w:pPr>
        <w:pStyle w:val="DocumentaryEvidenceRequirement"/>
        <w:rPr>
          <w:lang w:eastAsia="en-AU"/>
        </w:rPr>
      </w:pPr>
      <w:r w:rsidRPr="4F3EABBB">
        <w:rPr>
          <w:color w:val="000000" w:themeColor="text1"/>
          <w:lang w:eastAsia="en-AU"/>
        </w:rPr>
        <w:t>Do</w:t>
      </w:r>
      <w:r w:rsidRPr="4F3EABBB">
        <w:rPr>
          <w:lang w:eastAsia="en-AU"/>
        </w:rPr>
        <w:t xml:space="preserve">cumentary Evidence must confirm </w:t>
      </w:r>
      <w:r w:rsidR="1B249709" w:rsidRPr="4F3EABBB">
        <w:rPr>
          <w:lang w:eastAsia="en-AU"/>
        </w:rPr>
        <w:t xml:space="preserve">the </w:t>
      </w:r>
      <w:r w:rsidRPr="4F3EABBB">
        <w:rPr>
          <w:lang w:eastAsia="en-AU"/>
        </w:rPr>
        <w:t xml:space="preserve">Wage Subsidy Participant has worked the </w:t>
      </w:r>
      <w:r w:rsidR="00FC0F10" w:rsidRPr="4F3EABBB">
        <w:rPr>
          <w:lang w:eastAsia="en-AU"/>
        </w:rPr>
        <w:t>required</w:t>
      </w:r>
      <w:r w:rsidRPr="4F3EABBB">
        <w:rPr>
          <w:lang w:eastAsia="en-AU"/>
        </w:rPr>
        <w:t xml:space="preserve"> </w:t>
      </w:r>
      <w:r w:rsidR="00A54E31" w:rsidRPr="4F3EABBB">
        <w:rPr>
          <w:lang w:eastAsia="en-AU"/>
        </w:rPr>
        <w:t xml:space="preserve">minimum average weekly hours </w:t>
      </w:r>
      <w:r w:rsidRPr="4F3EABBB">
        <w:rPr>
          <w:lang w:eastAsia="en-AU"/>
        </w:rPr>
        <w:t>under the Wage Subsidy Agreement for the invoiced period</w:t>
      </w:r>
      <w:r w:rsidR="009D1F02">
        <w:rPr>
          <w:lang w:eastAsia="en-AU"/>
        </w:rPr>
        <w:t>.</w:t>
      </w:r>
    </w:p>
    <w:p w14:paraId="16F5F101" w14:textId="624D77C1" w:rsidR="00EB6854" w:rsidRPr="00076230" w:rsidRDefault="3BE261C3" w:rsidP="6DAA3DE4">
      <w:r w:rsidRPr="00DC1260">
        <w:rPr>
          <w:lang w:eastAsia="en-AU"/>
        </w:rPr>
        <w:t xml:space="preserve">The Wage Subsidy Employer may be eligible for a pro-rata </w:t>
      </w:r>
      <w:r w:rsidR="009F255A">
        <w:rPr>
          <w:lang w:eastAsia="en-AU"/>
        </w:rPr>
        <w:t>P</w:t>
      </w:r>
      <w:r w:rsidRPr="00DC1260">
        <w:rPr>
          <w:lang w:eastAsia="en-AU"/>
        </w:rPr>
        <w:t xml:space="preserve">ayment if </w:t>
      </w:r>
      <w:r w:rsidRPr="6DAA3DE4">
        <w:rPr>
          <w:rFonts w:ascii="Tahoma" w:eastAsia="Times New Roman" w:hAnsi="Tahoma" w:cs="Tahoma"/>
          <w:spacing w:val="0"/>
          <w:lang w:eastAsia="en-AU"/>
        </w:rPr>
        <w:t>the Employment ends early</w:t>
      </w:r>
      <w:r w:rsidR="5B4A8B08" w:rsidRPr="6DAA3DE4">
        <w:rPr>
          <w:rFonts w:ascii="Tahoma" w:eastAsia="Times New Roman" w:hAnsi="Tahoma" w:cs="Tahoma"/>
          <w:spacing w:val="0"/>
          <w:lang w:eastAsia="en-AU"/>
        </w:rPr>
        <w:t xml:space="preserve">, provided </w:t>
      </w:r>
      <w:r w:rsidR="5B4A8B08" w:rsidRPr="6DAA3DE4">
        <w:rPr>
          <w:lang w:eastAsia="en-AU"/>
        </w:rPr>
        <w:t xml:space="preserve">the </w:t>
      </w:r>
      <w:r w:rsidR="5B4A8B08" w:rsidRPr="00F534BD">
        <w:rPr>
          <w:lang w:eastAsia="en-AU"/>
        </w:rPr>
        <w:t xml:space="preserve">Employment </w:t>
      </w:r>
      <w:r w:rsidR="5B4A8B08" w:rsidRPr="00076230">
        <w:t>lasts at least 6 weeks</w:t>
      </w:r>
      <w:r w:rsidRPr="00076230">
        <w:t xml:space="preserve"> (see</w:t>
      </w:r>
      <w:r w:rsidR="00F534BD" w:rsidRPr="00076230">
        <w:t xml:space="preserve"> </w:t>
      </w:r>
      <w:r w:rsidR="00F534BD" w:rsidRPr="00076230">
        <w:fldChar w:fldCharType="begin"/>
      </w:r>
      <w:r w:rsidR="00F534BD" w:rsidRPr="00076230">
        <w:instrText xml:space="preserve"> REF _Ref202808027 \h  \* MERGEFORMAT </w:instrText>
      </w:r>
      <w:r w:rsidR="00F534BD" w:rsidRPr="00076230">
        <w:fldChar w:fldCharType="separate"/>
      </w:r>
      <w:r w:rsidR="000D75AE">
        <w:t>8.5.3</w:t>
      </w:r>
      <w:r w:rsidR="00C33F1F">
        <w:t xml:space="preserve"> </w:t>
      </w:r>
      <w:r w:rsidR="000D75AE" w:rsidRPr="004E40AB">
        <w:t>Calculating Wage Subsidy Payments for Employers</w:t>
      </w:r>
      <w:r w:rsidR="00F534BD" w:rsidRPr="00076230">
        <w:fldChar w:fldCharType="end"/>
      </w:r>
      <w:r w:rsidRPr="00076230">
        <w:t xml:space="preserve">). </w:t>
      </w:r>
    </w:p>
    <w:p w14:paraId="5EF612B4" w14:textId="17692BC7" w:rsidR="00DC1260" w:rsidRPr="00EB6854" w:rsidRDefault="00DC1260" w:rsidP="00E55BAE">
      <w:r w:rsidRPr="4B09852D">
        <w:rPr>
          <w:rFonts w:ascii="Tahoma" w:eastAsia="Times New Roman" w:hAnsi="Tahoma" w:cs="Tahoma"/>
          <w:spacing w:val="0"/>
          <w:lang w:eastAsia="en-AU"/>
        </w:rPr>
        <w:t xml:space="preserve">In all cases, Wage </w:t>
      </w:r>
      <w:r w:rsidRPr="00EB6854">
        <w:t xml:space="preserve">Subsidy </w:t>
      </w:r>
      <w:r w:rsidR="00513E7A">
        <w:t>P</w:t>
      </w:r>
      <w:r w:rsidRPr="00EB6854">
        <w:t>ayments must not exceed:</w:t>
      </w:r>
    </w:p>
    <w:p w14:paraId="21386074" w14:textId="786F606D" w:rsidR="00DC1260" w:rsidRPr="003504C8" w:rsidRDefault="00DC1260" w:rsidP="004E120D">
      <w:pPr>
        <w:pStyle w:val="BulletLevel1"/>
      </w:pPr>
      <w:r w:rsidRPr="003504C8">
        <w:t>the actual wages paid to the Participant, or</w:t>
      </w:r>
      <w:r w:rsidR="00400C6B">
        <w:t xml:space="preserve"> </w:t>
      </w:r>
    </w:p>
    <w:p w14:paraId="77BC11BD" w14:textId="0F3487EA" w:rsidR="00104593" w:rsidRDefault="00DC1260" w:rsidP="4B09852D">
      <w:pPr>
        <w:pStyle w:val="BulletLevel1"/>
      </w:pPr>
      <w:r w:rsidRPr="003504C8">
        <w:t>the maximum value specified in the Wage Subsidy Agreement.</w:t>
      </w:r>
    </w:p>
    <w:p w14:paraId="43C3187F" w14:textId="749DD875" w:rsidR="00DC1260" w:rsidRPr="00D4754B" w:rsidRDefault="00DC1260" w:rsidP="00D4754B">
      <w:pPr>
        <w:pStyle w:val="Heading4"/>
      </w:pPr>
      <w:bookmarkStart w:id="363" w:name="_Toc202900033"/>
      <w:r w:rsidRPr="00D4754B">
        <w:t>8.5.1</w:t>
      </w:r>
      <w:r w:rsidR="00D4754B" w:rsidRPr="00D4754B">
        <w:tab/>
      </w:r>
      <w:r w:rsidRPr="00D4754B">
        <w:t>Assessing Periods of Leave</w:t>
      </w:r>
      <w:bookmarkEnd w:id="363"/>
    </w:p>
    <w:p w14:paraId="2E8F9E79" w14:textId="0205EBBA" w:rsidR="00DC1260" w:rsidRPr="00D4754B" w:rsidRDefault="00DC1260" w:rsidP="00D4754B">
      <w:r w:rsidRPr="00DC1260">
        <w:rPr>
          <w:lang w:eastAsia="en-AU"/>
        </w:rPr>
        <w:t xml:space="preserve">Where a Wage Subsidy Participant has </w:t>
      </w:r>
      <w:r w:rsidR="00501918" w:rsidRPr="4B09852D">
        <w:rPr>
          <w:lang w:eastAsia="en-AU"/>
        </w:rPr>
        <w:t xml:space="preserve">paid or unpaid </w:t>
      </w:r>
      <w:r w:rsidRPr="00DC1260">
        <w:rPr>
          <w:lang w:eastAsia="en-AU"/>
        </w:rPr>
        <w:t xml:space="preserve">leave approved in accordance with entitlements </w:t>
      </w:r>
      <w:r w:rsidRPr="4B09852D">
        <w:rPr>
          <w:lang w:eastAsia="en-AU"/>
        </w:rPr>
        <w:t>under a relevant Modern Award or the</w:t>
      </w:r>
      <w:r w:rsidR="00E16B96">
        <w:rPr>
          <w:lang w:eastAsia="en-AU"/>
        </w:rPr>
        <w:t xml:space="preserve"> National Employment Standards</w:t>
      </w:r>
      <w:r w:rsidRPr="4B09852D">
        <w:rPr>
          <w:lang w:eastAsia="en-AU"/>
        </w:rPr>
        <w:t xml:space="preserve">, it </w:t>
      </w:r>
      <w:r>
        <w:t>can count towards the minimum hours required under the Wage Subsidy.</w:t>
      </w:r>
      <w:r w:rsidR="00610A0E">
        <w:t xml:space="preserve"> Unpaid leave </w:t>
      </w:r>
      <w:r w:rsidR="001B1320">
        <w:t>will</w:t>
      </w:r>
      <w:r w:rsidR="00610A0E">
        <w:t xml:space="preserve"> not count </w:t>
      </w:r>
      <w:r w:rsidR="00D86FF7">
        <w:t xml:space="preserve">as wages paid by the Employer </w:t>
      </w:r>
      <w:r w:rsidR="00C628D0">
        <w:t xml:space="preserve">in </w:t>
      </w:r>
      <w:r w:rsidR="00D86FF7">
        <w:t xml:space="preserve">calculating the </w:t>
      </w:r>
      <w:r w:rsidR="00874E89">
        <w:t xml:space="preserve">total </w:t>
      </w:r>
      <w:r w:rsidR="00D86FF7">
        <w:t>Wage Subs</w:t>
      </w:r>
      <w:r w:rsidR="00874E89">
        <w:t>i</w:t>
      </w:r>
      <w:r w:rsidR="00D86FF7">
        <w:t xml:space="preserve">dy </w:t>
      </w:r>
      <w:r w:rsidR="00581F85">
        <w:t>P</w:t>
      </w:r>
      <w:r w:rsidR="00D86FF7">
        <w:t xml:space="preserve">ayment </w:t>
      </w:r>
      <w:r w:rsidR="00C628D0">
        <w:t>amount</w:t>
      </w:r>
      <w:r w:rsidR="00D86FF7">
        <w:t xml:space="preserve"> </w:t>
      </w:r>
      <w:r w:rsidR="00D47EEB">
        <w:t xml:space="preserve">that </w:t>
      </w:r>
      <w:r w:rsidR="00D86FF7">
        <w:t xml:space="preserve">the </w:t>
      </w:r>
      <w:r w:rsidR="00C628D0">
        <w:t>Wage Subsidy</w:t>
      </w:r>
      <w:r w:rsidR="00D86FF7">
        <w:t xml:space="preserve"> Employer is eligible to receive</w:t>
      </w:r>
      <w:r w:rsidR="00D363CC">
        <w:t xml:space="preserve"> from the Provider</w:t>
      </w:r>
      <w:r w:rsidR="00D86FF7">
        <w:t xml:space="preserve">. </w:t>
      </w:r>
    </w:p>
    <w:p w14:paraId="56BF55BB" w14:textId="1A7EF3B3" w:rsidR="00DC1260" w:rsidRPr="00D4754B" w:rsidRDefault="00DC1260" w:rsidP="00D4754B">
      <w:r w:rsidRPr="00D4754B">
        <w:t>A Wage Subsidy Employer cannot use approved leave to regularly supplement a Wage Subsidy Participant’s work hours for the purpose of meeting the minimum average number of hours per week.</w:t>
      </w:r>
      <w:r w:rsidR="00A11F3B">
        <w:t xml:space="preserve"> </w:t>
      </w:r>
      <w:r w:rsidR="00A11F3B" w:rsidRPr="00A11F3B">
        <w:t xml:space="preserve">A </w:t>
      </w:r>
      <w:r w:rsidR="00581F85">
        <w:t>Wage Subsidy P</w:t>
      </w:r>
      <w:r w:rsidR="00A11F3B" w:rsidRPr="00A11F3B">
        <w:t xml:space="preserve">articipant declining work or failing to turn up </w:t>
      </w:r>
      <w:r w:rsidR="00A95AE2">
        <w:t xml:space="preserve">for work </w:t>
      </w:r>
      <w:r w:rsidR="00A11F3B" w:rsidRPr="00A11F3B">
        <w:t>is not approved leave.</w:t>
      </w:r>
    </w:p>
    <w:p w14:paraId="018079FD" w14:textId="5842D598" w:rsidR="00EB188E" w:rsidRPr="00DC1260" w:rsidRDefault="00EB188E" w:rsidP="0079424A">
      <w:pPr>
        <w:pStyle w:val="DocumentaryEvidenceRequirement"/>
        <w:rPr>
          <w:lang w:eastAsia="en-AU"/>
        </w:rPr>
      </w:pPr>
      <w:r w:rsidRPr="00DC1260">
        <w:rPr>
          <w:lang w:eastAsia="en-AU"/>
        </w:rPr>
        <w:t xml:space="preserve">The </w:t>
      </w:r>
      <w:r w:rsidR="00A95AE2">
        <w:rPr>
          <w:lang w:eastAsia="en-AU"/>
        </w:rPr>
        <w:t xml:space="preserve">Wage Subsidy </w:t>
      </w:r>
      <w:r w:rsidRPr="00DC1260">
        <w:rPr>
          <w:lang w:eastAsia="en-AU"/>
        </w:rPr>
        <w:t xml:space="preserve">Employer must provide </w:t>
      </w:r>
      <w:r w:rsidR="00A95AE2">
        <w:rPr>
          <w:lang w:eastAsia="en-AU"/>
        </w:rPr>
        <w:t>records</w:t>
      </w:r>
      <w:r w:rsidRPr="00DC1260">
        <w:rPr>
          <w:lang w:eastAsia="en-AU"/>
        </w:rPr>
        <w:t xml:space="preserve"> of approved leave.</w:t>
      </w:r>
      <w:r w:rsidR="00D26F7C">
        <w:rPr>
          <w:lang w:eastAsia="en-AU"/>
        </w:rPr>
        <w:t xml:space="preserve"> </w:t>
      </w:r>
      <w:r w:rsidR="00D26F7C" w:rsidRPr="00DC1260">
        <w:t xml:space="preserve">Evidence of approved leave (paid or unpaid) must show that the Wage Subsidy Employer agreed to the leave at the time the Wage Subsidy Participant requested it, and </w:t>
      </w:r>
      <w:r w:rsidR="00D26F7C">
        <w:t xml:space="preserve">can </w:t>
      </w:r>
      <w:r w:rsidR="00D26F7C" w:rsidRPr="00DC1260">
        <w:t>either be:</w:t>
      </w:r>
    </w:p>
    <w:p w14:paraId="4F0C059C" w14:textId="3DB3EB73" w:rsidR="00EB188E" w:rsidRDefault="00EB188E" w:rsidP="00DB5AA2">
      <w:pPr>
        <w:pStyle w:val="BulletLevel2"/>
      </w:pPr>
      <w:r w:rsidRPr="00DC1260">
        <w:t xml:space="preserve">recorded on the Wage Subsidy Participant’s </w:t>
      </w:r>
      <w:r w:rsidR="00FA4AA6">
        <w:t>payslip</w:t>
      </w:r>
      <w:r>
        <w:t>,</w:t>
      </w:r>
      <w:r w:rsidRPr="00DC1260">
        <w:t xml:space="preserve"> or</w:t>
      </w:r>
    </w:p>
    <w:p w14:paraId="673415AB" w14:textId="501819B7" w:rsidR="00EB188E" w:rsidRPr="00DC1260" w:rsidRDefault="00EB188E" w:rsidP="00DB5AA2">
      <w:pPr>
        <w:pStyle w:val="BulletLevel2"/>
      </w:pPr>
      <w:r w:rsidRPr="00DC1260">
        <w:t xml:space="preserve">on a written declaration from the </w:t>
      </w:r>
      <w:r w:rsidR="008B6959">
        <w:t xml:space="preserve">Wage Subsidy </w:t>
      </w:r>
      <w:r w:rsidRPr="00DC1260">
        <w:t>Employer.</w:t>
      </w:r>
    </w:p>
    <w:p w14:paraId="0DE411CD" w14:textId="4A925909" w:rsidR="00B626D1" w:rsidRDefault="00B626D1" w:rsidP="4B09852D">
      <w:pPr>
        <w:pStyle w:val="Heading5"/>
      </w:pPr>
      <w:bookmarkStart w:id="364" w:name="_Workers_Compensation"/>
      <w:bookmarkEnd w:id="364"/>
      <w:r w:rsidRPr="00B626D1">
        <w:t>Workers Compensation</w:t>
      </w:r>
    </w:p>
    <w:p w14:paraId="7C28202C" w14:textId="7BEC3DFA" w:rsidR="000F6D65" w:rsidRDefault="00DC1260" w:rsidP="00D4754B">
      <w:r w:rsidRPr="00D4754B">
        <w:t xml:space="preserve">Workers Compensation payments are an acceptable form of approved leave and count toward the hours worked by the Wage Subsidy Participant, provided this is reflected in </w:t>
      </w:r>
      <w:r w:rsidR="5140F633">
        <w:t>D</w:t>
      </w:r>
      <w:r>
        <w:t xml:space="preserve">ocumentary </w:t>
      </w:r>
      <w:r w:rsidR="780555B7">
        <w:t>E</w:t>
      </w:r>
      <w:r>
        <w:t>vidence</w:t>
      </w:r>
      <w:r w:rsidRPr="00D4754B">
        <w:t xml:space="preserve">. </w:t>
      </w:r>
    </w:p>
    <w:p w14:paraId="5E0EAEF6" w14:textId="2D462AC1" w:rsidR="00B77D4B" w:rsidRDefault="00DC1260" w:rsidP="00D4754B">
      <w:r>
        <w:t>Workers Compensation payments made to the Participant</w:t>
      </w:r>
      <w:r w:rsidR="00832B5E">
        <w:t xml:space="preserve"> </w:t>
      </w:r>
      <w:r>
        <w:t xml:space="preserve">do not count as wages paid by the Employer </w:t>
      </w:r>
      <w:r w:rsidR="00993FD3">
        <w:t>in</w:t>
      </w:r>
      <w:r>
        <w:t xml:space="preserve"> calculating the total Wage Subsidy </w:t>
      </w:r>
      <w:r w:rsidR="000456B5">
        <w:t>P</w:t>
      </w:r>
      <w:r>
        <w:t xml:space="preserve">ayment that the </w:t>
      </w:r>
      <w:r w:rsidR="00993FD3">
        <w:t>Wage Subsidy</w:t>
      </w:r>
      <w:r>
        <w:t xml:space="preserve"> Employer is eligible to receive. </w:t>
      </w:r>
    </w:p>
    <w:p w14:paraId="0548D59B" w14:textId="4264164D" w:rsidR="00DC1260" w:rsidRPr="00D4754B" w:rsidRDefault="00DC1260" w:rsidP="00D4754B">
      <w:r w:rsidRPr="00D4754B">
        <w:t xml:space="preserve">Providers cannot offer a Wage Subsidy for Participants already receiving Workers Compensation payments. The Worker’s Compensation must have commenced during the 26-week Wage Subsidy Agreement </w:t>
      </w:r>
      <w:r w:rsidR="6E1DB6BE">
        <w:t>T</w:t>
      </w:r>
      <w:r>
        <w:t>erm</w:t>
      </w:r>
      <w:r w:rsidRPr="00D4754B">
        <w:t xml:space="preserve"> to count towards the hours worked.</w:t>
      </w:r>
    </w:p>
    <w:p w14:paraId="1AE87C4D" w14:textId="04B632F9" w:rsidR="00DC1260" w:rsidRPr="00E23168" w:rsidRDefault="00DC1260" w:rsidP="00E23168">
      <w:pPr>
        <w:pStyle w:val="Heading4"/>
      </w:pPr>
      <w:bookmarkStart w:id="365" w:name="_Toc202900034"/>
      <w:r w:rsidRPr="00E23168">
        <w:t>8.5.2</w:t>
      </w:r>
      <w:r w:rsidR="00E23168">
        <w:tab/>
      </w:r>
      <w:r w:rsidRPr="00E23168">
        <w:t>Change of Business Ownership</w:t>
      </w:r>
      <w:bookmarkEnd w:id="365"/>
    </w:p>
    <w:p w14:paraId="63F56685" w14:textId="092C49E9" w:rsidR="00DC1260" w:rsidRPr="00E23168" w:rsidRDefault="00DC1260" w:rsidP="00882DE7">
      <w:r w:rsidRPr="00DC1260">
        <w:rPr>
          <w:lang w:eastAsia="en-AU"/>
        </w:rPr>
        <w:t xml:space="preserve">If a Wage Subsidy Employer changes ownership, the new owner is eligible to claim the remaining Wage Subsidy </w:t>
      </w:r>
      <w:r w:rsidR="00D45A0E" w:rsidRPr="4B09852D">
        <w:rPr>
          <w:lang w:eastAsia="en-AU"/>
        </w:rPr>
        <w:t>P</w:t>
      </w:r>
      <w:r w:rsidRPr="4B09852D">
        <w:rPr>
          <w:lang w:eastAsia="en-AU"/>
        </w:rPr>
        <w:t>ayment</w:t>
      </w:r>
      <w:r w:rsidR="00430F06">
        <w:rPr>
          <w:lang w:eastAsia="en-AU"/>
        </w:rPr>
        <w:t>(</w:t>
      </w:r>
      <w:r w:rsidRPr="00DC1260">
        <w:rPr>
          <w:lang w:eastAsia="en-AU"/>
        </w:rPr>
        <w:t>s</w:t>
      </w:r>
      <w:r w:rsidR="00430F06">
        <w:rPr>
          <w:lang w:eastAsia="en-AU"/>
        </w:rPr>
        <w:t>)</w:t>
      </w:r>
      <w:r w:rsidRPr="00DC1260">
        <w:rPr>
          <w:lang w:eastAsia="en-AU"/>
        </w:rPr>
        <w:t xml:space="preserve">, provided all other eligibility requirements are met. The Wage Subsidy Agreement must be novated between the parties before the new owner can claim the remaining </w:t>
      </w:r>
      <w:r w:rsidRPr="00E23168">
        <w:t xml:space="preserve">Wage Subsidy </w:t>
      </w:r>
      <w:r w:rsidR="007402C5">
        <w:t>P</w:t>
      </w:r>
      <w:r w:rsidRPr="00E23168">
        <w:t>ayment</w:t>
      </w:r>
      <w:r w:rsidR="00430F06">
        <w:t>(</w:t>
      </w:r>
      <w:r w:rsidRPr="00E23168">
        <w:t>s</w:t>
      </w:r>
      <w:r w:rsidR="00430F06">
        <w:t>)</w:t>
      </w:r>
      <w:r w:rsidRPr="00E23168">
        <w:t>.</w:t>
      </w:r>
    </w:p>
    <w:p w14:paraId="0686DB96" w14:textId="0F3F91A4" w:rsidR="00A80240" w:rsidRPr="004E40AB" w:rsidRDefault="00CB5907" w:rsidP="00A80240">
      <w:pPr>
        <w:pStyle w:val="Heading4"/>
      </w:pPr>
      <w:bookmarkStart w:id="366" w:name="_Ref202798567"/>
      <w:bookmarkStart w:id="367" w:name="_Ref202808027"/>
      <w:bookmarkStart w:id="368" w:name="_Toc202900035"/>
      <w:r>
        <w:t>8</w:t>
      </w:r>
      <w:r w:rsidR="004E40AB">
        <w:t>.5.3</w:t>
      </w:r>
      <w:r w:rsidR="004E40AB">
        <w:tab/>
      </w:r>
      <w:r w:rsidR="00A80240" w:rsidRPr="004E40AB">
        <w:t>Calculating Wage Subsidy Payments for Employers</w:t>
      </w:r>
      <w:bookmarkEnd w:id="366"/>
      <w:bookmarkEnd w:id="367"/>
      <w:bookmarkEnd w:id="368"/>
    </w:p>
    <w:p w14:paraId="7EA2C6A2" w14:textId="5D94E862" w:rsidR="00A80240" w:rsidRDefault="00A80240" w:rsidP="007277AE">
      <w:pPr>
        <w:contextualSpacing/>
      </w:pPr>
      <w:r>
        <w:t>The Wage Subsidy Employer may be eligible for the following payment types throughout the term of the Wage Subsidy Agreement:</w:t>
      </w:r>
    </w:p>
    <w:p w14:paraId="45AB2E13" w14:textId="14853DF3" w:rsidR="00A80240" w:rsidRDefault="00A80240" w:rsidP="004E120D">
      <w:pPr>
        <w:pStyle w:val="BulletLevel1"/>
      </w:pPr>
      <w:r>
        <w:t xml:space="preserve">Instalment </w:t>
      </w:r>
      <w:r w:rsidR="00824241">
        <w:t>P</w:t>
      </w:r>
      <w:r>
        <w:t>ayments</w:t>
      </w:r>
    </w:p>
    <w:p w14:paraId="53137BEC" w14:textId="483AFB52" w:rsidR="00A80240" w:rsidRDefault="00A80240" w:rsidP="004E120D">
      <w:pPr>
        <w:pStyle w:val="BulletLevel1"/>
      </w:pPr>
      <w:r>
        <w:t xml:space="preserve">Pro-rata </w:t>
      </w:r>
      <w:r w:rsidR="00824241">
        <w:t>P</w:t>
      </w:r>
      <w:r>
        <w:t>ayments</w:t>
      </w:r>
      <w:r w:rsidR="00251C13">
        <w:t>, and</w:t>
      </w:r>
    </w:p>
    <w:p w14:paraId="2D85F197" w14:textId="1CA2101B" w:rsidR="00A80240" w:rsidRDefault="007277AE" w:rsidP="004E120D">
      <w:pPr>
        <w:pStyle w:val="BulletLevel1"/>
      </w:pPr>
      <w:r>
        <w:t>F</w:t>
      </w:r>
      <w:r w:rsidR="00A80240">
        <w:t xml:space="preserve">inal Wage Subsidy </w:t>
      </w:r>
      <w:r w:rsidR="00824241">
        <w:t>P</w:t>
      </w:r>
      <w:r w:rsidR="00A80240">
        <w:t>ayment</w:t>
      </w:r>
      <w:r w:rsidR="00251C13">
        <w:t>.</w:t>
      </w:r>
    </w:p>
    <w:p w14:paraId="0691F411" w14:textId="76663FD5" w:rsidR="00A80240" w:rsidRPr="00512C24" w:rsidRDefault="00A80240" w:rsidP="00512C24">
      <w:pPr>
        <w:pStyle w:val="Heading5"/>
      </w:pPr>
      <w:r w:rsidRPr="00512C24">
        <w:t>Instalment Payment</w:t>
      </w:r>
      <w:r w:rsidR="004E40AB" w:rsidRPr="00512C24">
        <w:t>s</w:t>
      </w:r>
    </w:p>
    <w:p w14:paraId="284CEB39" w14:textId="595299D0" w:rsidR="00A80240" w:rsidRDefault="00A80240" w:rsidP="00A80240">
      <w:r>
        <w:t>When discussing the terms of the Wage Subsidy Agreement</w:t>
      </w:r>
      <w:r w:rsidR="00982042">
        <w:t>,</w:t>
      </w:r>
      <w:r>
        <w:t xml:space="preserve"> the Provider must negotiate with the Wage Subsidy Employer </w:t>
      </w:r>
      <w:r w:rsidR="00982042">
        <w:t xml:space="preserve">the </w:t>
      </w:r>
      <w:r>
        <w:t xml:space="preserve">Wage Subsidy </w:t>
      </w:r>
      <w:r w:rsidR="00C07974">
        <w:t>P</w:t>
      </w:r>
      <w:r>
        <w:t xml:space="preserve">ayment frequency </w:t>
      </w:r>
      <w:r w:rsidR="00011659">
        <w:t>to create instalments</w:t>
      </w:r>
      <w:r>
        <w:t xml:space="preserve"> that suit</w:t>
      </w:r>
      <w:r w:rsidRPr="00DF5C28">
        <w:t xml:space="preserve"> the Wage Subsidy Employer’s business</w:t>
      </w:r>
      <w:r>
        <w:t>.</w:t>
      </w:r>
    </w:p>
    <w:p w14:paraId="29E8A248" w14:textId="6788046F" w:rsidR="00A80240" w:rsidRDefault="00A80240" w:rsidP="00A80240">
      <w:r>
        <w:t xml:space="preserve">Payments can be made progressively to the Wage Subsidy Employer in either </w:t>
      </w:r>
      <w:r w:rsidRPr="00DF5C28">
        <w:t xml:space="preserve">weekly, fortnightly, </w:t>
      </w:r>
      <w:r>
        <w:t xml:space="preserve">or </w:t>
      </w:r>
      <w:r w:rsidRPr="00DF5C28">
        <w:t>monthly</w:t>
      </w:r>
      <w:r>
        <w:t xml:space="preserve"> </w:t>
      </w:r>
      <w:r w:rsidR="007402C5">
        <w:t>i</w:t>
      </w:r>
      <w:r>
        <w:t>nstalments</w:t>
      </w:r>
      <w:r w:rsidR="00853F5D">
        <w:t>. Alternatively, they may be paid</w:t>
      </w:r>
      <w:r>
        <w:t xml:space="preserve"> as a lump sum </w:t>
      </w:r>
      <w:r w:rsidR="00DD7B78">
        <w:t xml:space="preserve">of the full amount </w:t>
      </w:r>
      <w:r>
        <w:t>up</w:t>
      </w:r>
      <w:r w:rsidRPr="00DF5C28">
        <w:t>on completion</w:t>
      </w:r>
      <w:r>
        <w:t xml:space="preserve"> of the</w:t>
      </w:r>
      <w:r w:rsidRPr="2A2F5EEA">
        <w:t xml:space="preserve"> 26</w:t>
      </w:r>
      <w:r w:rsidR="601B746D">
        <w:t>-</w:t>
      </w:r>
      <w:r w:rsidRPr="2A2F5EEA">
        <w:t xml:space="preserve">week Wage Subsidy </w:t>
      </w:r>
      <w:r w:rsidR="00853F5D">
        <w:t xml:space="preserve">Agreement </w:t>
      </w:r>
      <w:r w:rsidR="47EDE392">
        <w:t>T</w:t>
      </w:r>
      <w:r>
        <w:t>erm</w:t>
      </w:r>
      <w:r w:rsidRPr="00DF5C28">
        <w:t xml:space="preserve">, or </w:t>
      </w:r>
      <w:r w:rsidR="0083008F">
        <w:t>ano</w:t>
      </w:r>
      <w:r w:rsidRPr="00DF5C28">
        <w:t>ther timeframe as agreed by the Provider and Wage Subsidy Employer</w:t>
      </w:r>
      <w:r>
        <w:t>.</w:t>
      </w:r>
      <w:r w:rsidR="00AF5BDB">
        <w:t xml:space="preserve"> </w:t>
      </w:r>
    </w:p>
    <w:p w14:paraId="5CA65CF3" w14:textId="1A722094" w:rsidR="00A80240" w:rsidRDefault="3946F6B4" w:rsidP="00A80240">
      <w:r>
        <w:t xml:space="preserve">The Wage Subsidy Employer is only eligible to receive a Wage Subsidy </w:t>
      </w:r>
      <w:r w:rsidR="00D2072C">
        <w:t>P</w:t>
      </w:r>
      <w:r>
        <w:t xml:space="preserve">ayment where they have met the </w:t>
      </w:r>
      <w:r w:rsidR="005350CD">
        <w:t>t</w:t>
      </w:r>
      <w:r>
        <w:t xml:space="preserve">erms and </w:t>
      </w:r>
      <w:r w:rsidR="005350CD">
        <w:t>c</w:t>
      </w:r>
      <w:r>
        <w:t xml:space="preserve">onditions of the </w:t>
      </w:r>
      <w:r w:rsidR="005350CD">
        <w:t xml:space="preserve">Wage Subsidy </w:t>
      </w:r>
      <w:r>
        <w:t>Agreement</w:t>
      </w:r>
      <w:r w:rsidR="7669E65D">
        <w:t>,</w:t>
      </w:r>
      <w:r>
        <w:t xml:space="preserve"> including meet</w:t>
      </w:r>
      <w:r w:rsidR="52C90DCA">
        <w:t>ing</w:t>
      </w:r>
      <w:r>
        <w:t xml:space="preserve"> the agreed</w:t>
      </w:r>
      <w:r w:rsidR="00E97173">
        <w:t xml:space="preserve"> cumulative</w:t>
      </w:r>
      <w:r>
        <w:t xml:space="preserve"> </w:t>
      </w:r>
      <w:r w:rsidR="7DB2965B">
        <w:t xml:space="preserve">average </w:t>
      </w:r>
      <w:r w:rsidR="00853F5D">
        <w:t xml:space="preserve">weekly </w:t>
      </w:r>
      <w:r>
        <w:t>hours</w:t>
      </w:r>
      <w:r w:rsidR="48BDA9B4">
        <w:t xml:space="preserve"> applicable</w:t>
      </w:r>
      <w:r>
        <w:t xml:space="preserve"> at the time of requesting </w:t>
      </w:r>
      <w:r w:rsidR="4C863020">
        <w:t xml:space="preserve">each Wage Subsidy </w:t>
      </w:r>
      <w:r w:rsidR="00AC33D6">
        <w:t>P</w:t>
      </w:r>
      <w:r>
        <w:t>ayment.</w:t>
      </w:r>
    </w:p>
    <w:p w14:paraId="7548CA57" w14:textId="2F02D35C" w:rsidR="00A80240" w:rsidRDefault="59FE8738" w:rsidP="002914EF">
      <w:pPr>
        <w:pStyle w:val="SystemStep"/>
      </w:pPr>
      <w:r>
        <w:t>Provider</w:t>
      </w:r>
      <w:r w:rsidR="00CA131A">
        <w:t>s</w:t>
      </w:r>
      <w:r w:rsidR="00A80240">
        <w:t xml:space="preserve"> </w:t>
      </w:r>
      <w:r w:rsidR="00961AF6">
        <w:t xml:space="preserve">will </w:t>
      </w:r>
      <w:r w:rsidR="00A80240">
        <w:t xml:space="preserve">need </w:t>
      </w:r>
      <w:r w:rsidR="44BE0C0E">
        <w:t xml:space="preserve">to </w:t>
      </w:r>
      <w:r w:rsidR="00774F88">
        <w:t xml:space="preserve">set the </w:t>
      </w:r>
      <w:r w:rsidR="005350CD">
        <w:t>i</w:t>
      </w:r>
      <w:r w:rsidR="00774F88">
        <w:t xml:space="preserve">nstalment </w:t>
      </w:r>
      <w:r w:rsidR="00A80240">
        <w:t xml:space="preserve">frequency </w:t>
      </w:r>
      <w:r w:rsidR="00774F88">
        <w:t xml:space="preserve">to align with the </w:t>
      </w:r>
      <w:r w:rsidR="00C7506B">
        <w:t>Schedule</w:t>
      </w:r>
      <w:r w:rsidR="00774F88">
        <w:t xml:space="preserve"> </w:t>
      </w:r>
      <w:r w:rsidR="00A80240">
        <w:t xml:space="preserve">negotiated with the Employer. The </w:t>
      </w:r>
      <w:r w:rsidR="007F79D8">
        <w:t>f</w:t>
      </w:r>
      <w:r w:rsidR="00A80240">
        <w:t>requency selected will trigger system notifications to the Employe</w:t>
      </w:r>
      <w:r w:rsidR="005F29C4">
        <w:t>r.</w:t>
      </w:r>
    </w:p>
    <w:p w14:paraId="586AE045" w14:textId="0CD4E721" w:rsidR="00DC1260" w:rsidRPr="00E23168" w:rsidRDefault="00DC1260" w:rsidP="00512C24">
      <w:pPr>
        <w:pStyle w:val="Heading5"/>
      </w:pPr>
      <w:r w:rsidRPr="00E23168">
        <w:t>Pro-rata Payments</w:t>
      </w:r>
    </w:p>
    <w:p w14:paraId="172A9CBF" w14:textId="060D3233" w:rsidR="00DC1260" w:rsidRPr="00E23168" w:rsidRDefault="00DC1260" w:rsidP="00D06B19">
      <w:r>
        <w:t xml:space="preserve">A pro-rata </w:t>
      </w:r>
      <w:r w:rsidR="00F40CD4">
        <w:t xml:space="preserve">Wage Subsidy </w:t>
      </w:r>
      <w:r w:rsidR="00F73F92">
        <w:t>P</w:t>
      </w:r>
      <w:r>
        <w:t xml:space="preserve">ayment </w:t>
      </w:r>
      <w:r w:rsidR="192A9160">
        <w:t>is</w:t>
      </w:r>
      <w:r w:rsidRPr="00E23168">
        <w:t xml:space="preserve"> available </w:t>
      </w:r>
      <w:r w:rsidR="00283F2A">
        <w:t>to a Wage Subsidy Employer</w:t>
      </w:r>
      <w:r w:rsidRPr="00E23168">
        <w:t xml:space="preserve"> if</w:t>
      </w:r>
      <w:r w:rsidR="00D06B19">
        <w:t xml:space="preserve"> </w:t>
      </w:r>
      <w:r w:rsidR="00D06B19" w:rsidRPr="4F3EABBB">
        <w:rPr>
          <w:lang w:eastAsia="en-AU"/>
        </w:rPr>
        <w:t xml:space="preserve">the </w:t>
      </w:r>
      <w:r w:rsidR="00D06B19">
        <w:rPr>
          <w:lang w:eastAsia="en-AU"/>
        </w:rPr>
        <w:t xml:space="preserve">Wage Subsidy </w:t>
      </w:r>
      <w:r w:rsidR="00D06B19" w:rsidRPr="4F3EABBB">
        <w:rPr>
          <w:lang w:eastAsia="en-AU"/>
        </w:rPr>
        <w:t xml:space="preserve">Participant has completed </w:t>
      </w:r>
      <w:r w:rsidR="19F0E5DA" w:rsidRPr="090E26E8">
        <w:rPr>
          <w:lang w:eastAsia="en-AU"/>
        </w:rPr>
        <w:t>the first 6</w:t>
      </w:r>
      <w:r w:rsidR="00D06B19" w:rsidRPr="4F3EABBB">
        <w:rPr>
          <w:lang w:eastAsia="en-AU"/>
        </w:rPr>
        <w:t xml:space="preserve"> weeks </w:t>
      </w:r>
      <w:r w:rsidR="366BC399" w:rsidRPr="090E26E8">
        <w:rPr>
          <w:lang w:eastAsia="en-AU"/>
        </w:rPr>
        <w:t xml:space="preserve">(42-days) </w:t>
      </w:r>
      <w:r w:rsidR="00D06B19" w:rsidRPr="4F3EABBB">
        <w:rPr>
          <w:lang w:eastAsia="en-AU"/>
        </w:rPr>
        <w:t>of the</w:t>
      </w:r>
      <w:r w:rsidR="00D06B19">
        <w:rPr>
          <w:lang w:eastAsia="en-AU"/>
        </w:rPr>
        <w:t>ir</w:t>
      </w:r>
      <w:r w:rsidR="00D06B19" w:rsidRPr="4F3EABBB">
        <w:rPr>
          <w:lang w:eastAsia="en-AU"/>
        </w:rPr>
        <w:t xml:space="preserve"> Job Placement</w:t>
      </w:r>
      <w:r w:rsidR="00D06B19">
        <w:rPr>
          <w:lang w:eastAsia="en-AU"/>
        </w:rPr>
        <w:t xml:space="preserve"> and</w:t>
      </w:r>
      <w:r w:rsidRPr="00E23168">
        <w:t>:</w:t>
      </w:r>
    </w:p>
    <w:p w14:paraId="58CC1185" w14:textId="4ABC0B33" w:rsidR="00DC1260" w:rsidRPr="00DC1260" w:rsidRDefault="3BE261C3" w:rsidP="004E120D">
      <w:pPr>
        <w:pStyle w:val="BulletLevel1"/>
        <w:rPr>
          <w:lang w:eastAsia="en-AU"/>
        </w:rPr>
      </w:pPr>
      <w:r w:rsidRPr="65170F79">
        <w:rPr>
          <w:lang w:eastAsia="en-AU"/>
        </w:rPr>
        <w:t xml:space="preserve">the </w:t>
      </w:r>
      <w:r w:rsidR="00F40CD4">
        <w:rPr>
          <w:lang w:eastAsia="en-AU"/>
        </w:rPr>
        <w:t>Job</w:t>
      </w:r>
      <w:r w:rsidRPr="65170F79">
        <w:rPr>
          <w:lang w:eastAsia="en-AU"/>
        </w:rPr>
        <w:t xml:space="preserve"> </w:t>
      </w:r>
      <w:r w:rsidR="00D95E74" w:rsidRPr="65170F79">
        <w:rPr>
          <w:lang w:eastAsia="en-AU"/>
        </w:rPr>
        <w:t>P</w:t>
      </w:r>
      <w:r w:rsidRPr="65170F79">
        <w:rPr>
          <w:lang w:eastAsia="en-AU"/>
        </w:rPr>
        <w:t xml:space="preserve">lacement ends </w:t>
      </w:r>
      <w:r w:rsidR="30425594" w:rsidRPr="65170F79">
        <w:rPr>
          <w:lang w:eastAsia="en-AU"/>
        </w:rPr>
        <w:t>early</w:t>
      </w:r>
      <w:r w:rsidR="00F40CD4">
        <w:rPr>
          <w:lang w:eastAsia="en-AU"/>
        </w:rPr>
        <w:t xml:space="preserve"> (i.e.</w:t>
      </w:r>
      <w:r w:rsidR="30425594" w:rsidRPr="65170F79">
        <w:rPr>
          <w:lang w:eastAsia="en-AU"/>
        </w:rPr>
        <w:t xml:space="preserve"> </w:t>
      </w:r>
      <w:r w:rsidRPr="65170F79">
        <w:rPr>
          <w:lang w:eastAsia="en-AU"/>
        </w:rPr>
        <w:t>before 26-week</w:t>
      </w:r>
      <w:r w:rsidR="5DE20697" w:rsidRPr="65170F79">
        <w:rPr>
          <w:lang w:eastAsia="en-AU"/>
        </w:rPr>
        <w:t>s</w:t>
      </w:r>
      <w:r w:rsidRPr="65170F79">
        <w:rPr>
          <w:lang w:eastAsia="en-AU"/>
        </w:rPr>
        <w:t xml:space="preserve"> </w:t>
      </w:r>
      <w:r w:rsidR="5DE20697" w:rsidRPr="65170F79">
        <w:rPr>
          <w:lang w:eastAsia="en-AU"/>
        </w:rPr>
        <w:t xml:space="preserve">of the </w:t>
      </w:r>
      <w:r w:rsidRPr="65170F79">
        <w:rPr>
          <w:lang w:eastAsia="en-AU"/>
        </w:rPr>
        <w:t xml:space="preserve">Wage Subsidy Agreement </w:t>
      </w:r>
      <w:r w:rsidR="47B21D97" w:rsidRPr="090E26E8">
        <w:rPr>
          <w:lang w:eastAsia="en-AU"/>
        </w:rPr>
        <w:t>T</w:t>
      </w:r>
      <w:r w:rsidR="15B94588" w:rsidRPr="090E26E8">
        <w:rPr>
          <w:lang w:eastAsia="en-AU"/>
        </w:rPr>
        <w:t>erm</w:t>
      </w:r>
      <w:r w:rsidR="00F40CD4">
        <w:rPr>
          <w:lang w:eastAsia="en-AU"/>
        </w:rPr>
        <w:t>)</w:t>
      </w:r>
      <w:r w:rsidRPr="65170F79">
        <w:rPr>
          <w:lang w:eastAsia="en-AU"/>
        </w:rPr>
        <w:t>, and/or</w:t>
      </w:r>
    </w:p>
    <w:p w14:paraId="27C8F5C2" w14:textId="0161ADC0" w:rsidR="00DC1260" w:rsidRPr="00DC1260" w:rsidRDefault="5A5F9A58" w:rsidP="004E120D">
      <w:pPr>
        <w:pStyle w:val="BulletLevel1"/>
        <w:rPr>
          <w:lang w:eastAsia="en-AU"/>
        </w:rPr>
      </w:pPr>
      <w:r w:rsidRPr="4F3EABBB">
        <w:rPr>
          <w:lang w:eastAsia="en-AU"/>
        </w:rPr>
        <w:t xml:space="preserve">the Wage Subsidy Participant does not work the minimum </w:t>
      </w:r>
      <w:r w:rsidR="1949973F" w:rsidRPr="4F3EABBB">
        <w:rPr>
          <w:lang w:eastAsia="en-AU"/>
        </w:rPr>
        <w:t xml:space="preserve">average </w:t>
      </w:r>
      <w:r w:rsidRPr="4F3EABBB">
        <w:rPr>
          <w:lang w:eastAsia="en-AU"/>
        </w:rPr>
        <w:t>weekly hours specified in the Wage Subsidy Agreement</w:t>
      </w:r>
      <w:r w:rsidR="1C41A059" w:rsidRPr="4F3EABBB">
        <w:rPr>
          <w:lang w:eastAsia="en-AU"/>
        </w:rPr>
        <w:t xml:space="preserve"> </w:t>
      </w:r>
      <w:r w:rsidR="3B550FAE" w:rsidRPr="4F3EABBB">
        <w:rPr>
          <w:lang w:eastAsia="en-AU"/>
        </w:rPr>
        <w:t xml:space="preserve">across </w:t>
      </w:r>
      <w:r w:rsidR="7DDAB67D" w:rsidRPr="4F3EABBB">
        <w:rPr>
          <w:lang w:eastAsia="en-AU"/>
        </w:rPr>
        <w:t xml:space="preserve">the Wage Subsidy Agreement </w:t>
      </w:r>
      <w:r w:rsidR="1EA52F6A" w:rsidRPr="090E26E8">
        <w:rPr>
          <w:lang w:eastAsia="en-AU"/>
        </w:rPr>
        <w:t>T</w:t>
      </w:r>
      <w:r w:rsidR="4A59EB1B" w:rsidRPr="090E26E8">
        <w:rPr>
          <w:lang w:eastAsia="en-AU"/>
        </w:rPr>
        <w:t>erm</w:t>
      </w:r>
      <w:r w:rsidR="40A2939A" w:rsidRPr="4F3EABBB">
        <w:rPr>
          <w:lang w:eastAsia="en-AU"/>
        </w:rPr>
        <w:t xml:space="preserve"> </w:t>
      </w:r>
      <w:r w:rsidRPr="4F3EABBB">
        <w:rPr>
          <w:lang w:eastAsia="en-AU"/>
        </w:rPr>
        <w:t>after considering any approved leave.</w:t>
      </w:r>
    </w:p>
    <w:p w14:paraId="574CE328" w14:textId="76BF27D3" w:rsidR="005648AA" w:rsidRDefault="005648AA" w:rsidP="00882DE7">
      <w:pPr>
        <w:rPr>
          <w:lang w:eastAsia="en-AU"/>
        </w:rPr>
      </w:pPr>
      <w:r w:rsidRPr="4F3EABBB">
        <w:rPr>
          <w:lang w:eastAsia="en-AU"/>
        </w:rPr>
        <w:t xml:space="preserve">If a Wage Subsidy Placement ends within the first </w:t>
      </w:r>
      <w:r>
        <w:rPr>
          <w:lang w:eastAsia="en-AU"/>
        </w:rPr>
        <w:t>6</w:t>
      </w:r>
      <w:r w:rsidRPr="4F3EABBB">
        <w:rPr>
          <w:lang w:eastAsia="en-AU"/>
        </w:rPr>
        <w:t xml:space="preserve"> weeks (42 days) of the 26-week Wage Subsidy Agreement </w:t>
      </w:r>
      <w:r w:rsidR="70EF33F2" w:rsidRPr="090E26E8">
        <w:rPr>
          <w:lang w:eastAsia="en-AU"/>
        </w:rPr>
        <w:t>T</w:t>
      </w:r>
      <w:r w:rsidR="2F390A67" w:rsidRPr="090E26E8">
        <w:rPr>
          <w:lang w:eastAsia="en-AU"/>
        </w:rPr>
        <w:t>erm</w:t>
      </w:r>
      <w:r w:rsidRPr="4F3EABBB">
        <w:rPr>
          <w:lang w:eastAsia="en-AU"/>
        </w:rPr>
        <w:t xml:space="preserve">, the </w:t>
      </w:r>
      <w:r>
        <w:rPr>
          <w:lang w:eastAsia="en-AU"/>
        </w:rPr>
        <w:t xml:space="preserve">Wage Subsidy </w:t>
      </w:r>
      <w:r w:rsidRPr="4F3EABBB">
        <w:rPr>
          <w:lang w:eastAsia="en-AU"/>
        </w:rPr>
        <w:t>Employer is not entitled to any Wage Subsidy</w:t>
      </w:r>
      <w:r w:rsidR="00D82925">
        <w:rPr>
          <w:lang w:eastAsia="en-AU"/>
        </w:rPr>
        <w:t xml:space="preserve"> Payment(s)</w:t>
      </w:r>
      <w:r w:rsidRPr="4F3EABBB">
        <w:rPr>
          <w:lang w:eastAsia="en-AU"/>
        </w:rPr>
        <w:t>.</w:t>
      </w:r>
      <w:r>
        <w:rPr>
          <w:lang w:eastAsia="en-AU"/>
        </w:rPr>
        <w:t xml:space="preserve"> </w:t>
      </w:r>
    </w:p>
    <w:p w14:paraId="12A6E069" w14:textId="68AA55A9" w:rsidR="00DC1260" w:rsidRPr="00044396" w:rsidRDefault="00DC1260" w:rsidP="00882DE7">
      <w:pPr>
        <w:rPr>
          <w:lang w:eastAsia="en-AU"/>
        </w:rPr>
      </w:pPr>
      <w:r w:rsidRPr="00044396">
        <w:rPr>
          <w:lang w:eastAsia="en-AU"/>
        </w:rPr>
        <w:t xml:space="preserve">To </w:t>
      </w:r>
      <w:r w:rsidR="2D4414ED" w:rsidRPr="090E26E8">
        <w:rPr>
          <w:lang w:eastAsia="en-AU"/>
        </w:rPr>
        <w:t>determine</w:t>
      </w:r>
      <w:r w:rsidRPr="00044396">
        <w:rPr>
          <w:lang w:eastAsia="en-AU"/>
        </w:rPr>
        <w:t xml:space="preserve"> the Wage Subsidy </w:t>
      </w:r>
      <w:r w:rsidR="006304AC">
        <w:rPr>
          <w:lang w:eastAsia="en-AU"/>
        </w:rPr>
        <w:t xml:space="preserve">Payment </w:t>
      </w:r>
      <w:r w:rsidRPr="00044396">
        <w:rPr>
          <w:lang w:eastAsia="en-AU"/>
        </w:rPr>
        <w:t>amount</w:t>
      </w:r>
      <w:r w:rsidR="4B2F1DE5" w:rsidRPr="090E26E8">
        <w:rPr>
          <w:lang w:eastAsia="en-AU"/>
        </w:rPr>
        <w:t xml:space="preserve"> </w:t>
      </w:r>
      <w:r w:rsidR="672459F0" w:rsidRPr="090E26E8">
        <w:rPr>
          <w:lang w:eastAsia="en-AU"/>
        </w:rPr>
        <w:t>that</w:t>
      </w:r>
      <w:r w:rsidRPr="00044396">
        <w:rPr>
          <w:lang w:eastAsia="en-AU"/>
        </w:rPr>
        <w:t xml:space="preserve"> the Wage Subsidy Employer is entitled to:</w:t>
      </w:r>
    </w:p>
    <w:p w14:paraId="248A968F" w14:textId="5BBD6D3D" w:rsidR="5D80570B" w:rsidRPr="00044396" w:rsidRDefault="00DC1260" w:rsidP="2A7367A1">
      <w:pPr>
        <w:pStyle w:val="BulletLevel1"/>
        <w:rPr>
          <w:lang w:eastAsia="en-AU"/>
        </w:rPr>
      </w:pPr>
      <w:r w:rsidRPr="3F270129">
        <w:rPr>
          <w:lang w:eastAsia="en-AU"/>
        </w:rPr>
        <w:t xml:space="preserve">divide the total Wage Subsidy </w:t>
      </w:r>
      <w:r w:rsidR="006304AC">
        <w:rPr>
          <w:lang w:eastAsia="en-AU"/>
        </w:rPr>
        <w:t>value</w:t>
      </w:r>
      <w:r w:rsidRPr="3F270129">
        <w:rPr>
          <w:lang w:eastAsia="en-AU"/>
        </w:rPr>
        <w:t xml:space="preserve"> by the 26 weeks of the Wage Subsidy </w:t>
      </w:r>
      <w:r w:rsidR="2A25728D" w:rsidRPr="3F270129">
        <w:rPr>
          <w:lang w:eastAsia="en-AU"/>
        </w:rPr>
        <w:t xml:space="preserve">Agreement </w:t>
      </w:r>
      <w:r w:rsidR="6BE10675" w:rsidRPr="090E26E8">
        <w:rPr>
          <w:lang w:eastAsia="en-AU"/>
        </w:rPr>
        <w:t>T</w:t>
      </w:r>
      <w:r w:rsidR="771F9FCD" w:rsidRPr="090E26E8">
        <w:rPr>
          <w:lang w:eastAsia="en-AU"/>
        </w:rPr>
        <w:t>erm</w:t>
      </w:r>
      <w:r w:rsidR="33B92871" w:rsidRPr="090E26E8">
        <w:rPr>
          <w:lang w:eastAsia="en-AU"/>
        </w:rPr>
        <w:t>,</w:t>
      </w:r>
      <w:r w:rsidRPr="3F270129">
        <w:rPr>
          <w:lang w:eastAsia="en-AU"/>
        </w:rPr>
        <w:t xml:space="preserve"> to calculate the weekly rate</w:t>
      </w:r>
      <w:r w:rsidR="009E7D85">
        <w:rPr>
          <w:lang w:eastAsia="en-AU"/>
        </w:rPr>
        <w:t>, an</w:t>
      </w:r>
      <w:r w:rsidR="002B5FF4">
        <w:rPr>
          <w:lang w:eastAsia="en-AU"/>
        </w:rPr>
        <w:t>d</w:t>
      </w:r>
    </w:p>
    <w:p w14:paraId="519A808B" w14:textId="46534066" w:rsidR="45109E6F" w:rsidRPr="00044396" w:rsidRDefault="5D80570B" w:rsidP="1B589BE4">
      <w:pPr>
        <w:pStyle w:val="BulletLevel1"/>
        <w:rPr>
          <w:lang w:eastAsia="en-AU"/>
        </w:rPr>
      </w:pPr>
      <w:r w:rsidRPr="65170F79">
        <w:rPr>
          <w:lang w:eastAsia="en-AU"/>
        </w:rPr>
        <w:t>multiply th</w:t>
      </w:r>
      <w:r w:rsidR="75481B19" w:rsidRPr="65170F79">
        <w:rPr>
          <w:lang w:eastAsia="en-AU"/>
        </w:rPr>
        <w:t>e weekly rate</w:t>
      </w:r>
      <w:r w:rsidRPr="65170F79">
        <w:rPr>
          <w:lang w:eastAsia="en-AU"/>
        </w:rPr>
        <w:t xml:space="preserve"> by the number of </w:t>
      </w:r>
      <w:r w:rsidR="005C6A5D">
        <w:rPr>
          <w:lang w:eastAsia="en-AU"/>
        </w:rPr>
        <w:t>C</w:t>
      </w:r>
      <w:r w:rsidR="2F7618C5" w:rsidRPr="65170F79">
        <w:rPr>
          <w:lang w:eastAsia="en-AU"/>
        </w:rPr>
        <w:t xml:space="preserve">onsecutive </w:t>
      </w:r>
      <w:r w:rsidR="005C6A5D">
        <w:rPr>
          <w:lang w:eastAsia="en-AU"/>
        </w:rPr>
        <w:t>W</w:t>
      </w:r>
      <w:r w:rsidRPr="65170F79">
        <w:rPr>
          <w:lang w:eastAsia="en-AU"/>
        </w:rPr>
        <w:t xml:space="preserve">eeks the Wage Subsidy Participant </w:t>
      </w:r>
      <w:r w:rsidR="37FD377A" w:rsidRPr="65170F79">
        <w:rPr>
          <w:lang w:eastAsia="en-AU"/>
        </w:rPr>
        <w:t xml:space="preserve">was employed for the minimum </w:t>
      </w:r>
      <w:r w:rsidR="6AC595C8" w:rsidRPr="65170F79">
        <w:rPr>
          <w:lang w:eastAsia="en-AU"/>
        </w:rPr>
        <w:t>average weekly hours</w:t>
      </w:r>
      <w:r w:rsidR="37FD377A" w:rsidRPr="65170F79">
        <w:rPr>
          <w:lang w:eastAsia="en-AU"/>
        </w:rPr>
        <w:t xml:space="preserve"> specified in the Wage Subsidy Agreement</w:t>
      </w:r>
      <w:r w:rsidR="00C2395F">
        <w:rPr>
          <w:lang w:eastAsia="en-AU"/>
        </w:rPr>
        <w:t>,</w:t>
      </w:r>
      <w:r w:rsidR="37FD377A" w:rsidRPr="65170F79">
        <w:rPr>
          <w:lang w:eastAsia="en-AU"/>
        </w:rPr>
        <w:t xml:space="preserve"> from the Job Placement Start Date. </w:t>
      </w:r>
    </w:p>
    <w:p w14:paraId="22C41A3D" w14:textId="63840F33" w:rsidR="005B582C" w:rsidRDefault="005B582C" w:rsidP="187BB0A3">
      <w:pPr>
        <w:spacing w:after="60"/>
      </w:pPr>
      <w:r>
        <w:t xml:space="preserve">The Department has made available a </w:t>
      </w:r>
      <w:r w:rsidRPr="00593799">
        <w:rPr>
          <w:rStyle w:val="Hyperlink"/>
        </w:rPr>
        <w:t>Wage Subsidy Calculator</w:t>
      </w:r>
      <w:r>
        <w:rPr>
          <w:rStyle w:val="Hyperlink"/>
        </w:rPr>
        <w:t xml:space="preserve"> [LINK]</w:t>
      </w:r>
      <w:r>
        <w:t xml:space="preserve"> on the Provider Portal to help with determining the Wage Subsidy Payment amount.</w:t>
      </w:r>
    </w:p>
    <w:p w14:paraId="5F97FBE5" w14:textId="7276188D" w:rsidR="45109E6F" w:rsidRPr="00044396" w:rsidRDefault="005B582C" w:rsidP="187BB0A3">
      <w:pPr>
        <w:spacing w:after="60"/>
        <w:rPr>
          <w:lang w:eastAsia="en-AU"/>
        </w:rPr>
      </w:pPr>
      <w:r w:rsidRPr="005B582C">
        <w:rPr>
          <w:b/>
          <w:bCs/>
        </w:rPr>
        <w:t xml:space="preserve">Note: </w:t>
      </w:r>
      <w:r w:rsidR="50B41E52" w:rsidRPr="005B582C">
        <w:rPr>
          <w:b/>
          <w:bCs/>
        </w:rPr>
        <w:t>T</w:t>
      </w:r>
      <w:r w:rsidR="45109E6F" w:rsidRPr="005B582C">
        <w:rPr>
          <w:b/>
          <w:bCs/>
        </w:rPr>
        <w:t>he</w:t>
      </w:r>
      <w:r w:rsidR="45109E6F">
        <w:t xml:space="preserve"> </w:t>
      </w:r>
      <w:r w:rsidR="45109E6F" w:rsidRPr="00044396">
        <w:t xml:space="preserve">100% rule applies to all </w:t>
      </w:r>
      <w:r w:rsidR="00D90FEF">
        <w:t>Wage Subsidy</w:t>
      </w:r>
      <w:r w:rsidR="45109E6F" w:rsidRPr="00044396">
        <w:t xml:space="preserve"> </w:t>
      </w:r>
      <w:r w:rsidR="00DB3D03">
        <w:t>P</w:t>
      </w:r>
      <w:r w:rsidR="45109E6F" w:rsidRPr="00044396">
        <w:t>ayments</w:t>
      </w:r>
      <w:r w:rsidR="00DA1C06">
        <w:t xml:space="preserve"> </w:t>
      </w:r>
      <w:r w:rsidR="0077605C">
        <w:t>—</w:t>
      </w:r>
      <w:r w:rsidR="000B2605" w:rsidRPr="000B2605">
        <w:t xml:space="preserve"> the total value wi</w:t>
      </w:r>
      <w:r w:rsidR="00DA1C06" w:rsidRPr="00DA1C06">
        <w:t>ll not exceed 100</w:t>
      </w:r>
      <w:r w:rsidR="220AF4DC">
        <w:t>%</w:t>
      </w:r>
      <w:r w:rsidR="00DA1C06" w:rsidRPr="00DA1C06">
        <w:t xml:space="preserve"> of the </w:t>
      </w:r>
      <w:r w:rsidR="00D90FEF">
        <w:t xml:space="preserve">Wage Subsidy </w:t>
      </w:r>
      <w:r w:rsidR="00DA1C06" w:rsidRPr="00DA1C06">
        <w:t>Participant’s wages at any point over the Wage Subsidy Agreement Term</w:t>
      </w:r>
      <w:r w:rsidR="000B2605">
        <w:t>.</w:t>
      </w:r>
    </w:p>
    <w:p w14:paraId="3F423083" w14:textId="50F80E97" w:rsidR="00842999" w:rsidRPr="00842999" w:rsidRDefault="00DC1260" w:rsidP="00842999">
      <w:r w:rsidRPr="00842999">
        <w:t xml:space="preserve">Wage Subsidies </w:t>
      </w:r>
      <w:r w:rsidR="2C9783BB">
        <w:t>must not</w:t>
      </w:r>
      <w:r w:rsidRPr="00842999">
        <w:t xml:space="preserve"> be paid at a lower </w:t>
      </w:r>
      <w:r w:rsidR="56437F96">
        <w:t>level</w:t>
      </w:r>
      <w:r w:rsidRPr="00842999">
        <w:t xml:space="preserve"> if the average hours specified in the Wage Subsidy Agreement are not met,</w:t>
      </w:r>
      <w:r w:rsidR="003771AD">
        <w:t xml:space="preserve"> including</w:t>
      </w:r>
      <w:r w:rsidRPr="00842999">
        <w:t xml:space="preserve"> </w:t>
      </w:r>
      <w:r w:rsidR="003771AD">
        <w:t>if</w:t>
      </w:r>
      <w:r w:rsidRPr="00842999">
        <w:t xml:space="preserve"> a lower number of average hours are achieved</w:t>
      </w:r>
      <w:r w:rsidR="003771AD">
        <w:t xml:space="preserve"> that would have meet the criteria for that level of Wage Subsidy</w:t>
      </w:r>
      <w:r w:rsidR="005B582C">
        <w:t xml:space="preserve"> (s</w:t>
      </w:r>
      <w:r w:rsidR="00146BC4">
        <w:t xml:space="preserve">ee the example provided in </w:t>
      </w:r>
      <w:r w:rsidR="00146BC4">
        <w:fldChar w:fldCharType="begin"/>
      </w:r>
      <w:r w:rsidR="00146BC4">
        <w:instrText xml:space="preserve"> REF _Ref202809063 \h </w:instrText>
      </w:r>
      <w:r w:rsidR="00146BC4">
        <w:fldChar w:fldCharType="separate"/>
      </w:r>
      <w:r w:rsidR="000D75AE">
        <w:t>8.3</w:t>
      </w:r>
      <w:r w:rsidR="00C33F1F">
        <w:t xml:space="preserve"> </w:t>
      </w:r>
      <w:r w:rsidR="000D75AE">
        <w:t>Wage Subsidy Levels and Participant Employment Benchmarks</w:t>
      </w:r>
      <w:r w:rsidR="00146BC4">
        <w:fldChar w:fldCharType="end"/>
      </w:r>
      <w:r w:rsidR="005B582C">
        <w:t>)</w:t>
      </w:r>
      <w:r w:rsidR="00146BC4">
        <w:t>.</w:t>
      </w:r>
    </w:p>
    <w:p w14:paraId="6C117A63" w14:textId="58C13267" w:rsidR="00DC1260" w:rsidRPr="00842999" w:rsidRDefault="3BE261C3" w:rsidP="00842999">
      <w:r>
        <w:t xml:space="preserve">For </w:t>
      </w:r>
      <w:r w:rsidR="0033391D">
        <w:t>Wage Subsidy P</w:t>
      </w:r>
      <w:r>
        <w:t>articipants with a 0</w:t>
      </w:r>
      <w:r w:rsidR="00BE1BEB">
        <w:t>-</w:t>
      </w:r>
      <w:r w:rsidR="00C70860">
        <w:t>hour Benchmark (</w:t>
      </w:r>
      <w:r>
        <w:t>0-7</w:t>
      </w:r>
      <w:r w:rsidR="1B54F59F">
        <w:t xml:space="preserve"> </w:t>
      </w:r>
      <w:r>
        <w:t>h</w:t>
      </w:r>
      <w:r w:rsidR="6525CB86">
        <w:t>ou</w:t>
      </w:r>
      <w:r>
        <w:t xml:space="preserve">r </w:t>
      </w:r>
      <w:r w:rsidR="33C9DFB6">
        <w:t xml:space="preserve">assessed </w:t>
      </w:r>
      <w:r>
        <w:t>work capacity</w:t>
      </w:r>
      <w:r w:rsidR="00C70860">
        <w:t>)</w:t>
      </w:r>
      <w:r>
        <w:t xml:space="preserve"> only, if the Wage Subsidy Participant is offered an average of 8 hours per week Employment in the Wage Subsidy Agreement but only achieves an average of 5 hours per week Employment, the Provider </w:t>
      </w:r>
      <w:r w:rsidR="4F2C8EB2">
        <w:t>may be eligible</w:t>
      </w:r>
      <w:r>
        <w:t xml:space="preserve"> for reimbursement for the full </w:t>
      </w:r>
      <w:r w:rsidR="0BADBCEC">
        <w:t>L</w:t>
      </w:r>
      <w:r w:rsidR="56437F96">
        <w:t>evel</w:t>
      </w:r>
      <w:r>
        <w:t xml:space="preserve"> </w:t>
      </w:r>
      <w:r w:rsidR="300574A2">
        <w:t>1</w:t>
      </w:r>
      <w:r>
        <w:t xml:space="preserve"> amount specified in the Wage Subsidy Agreement</w:t>
      </w:r>
      <w:r w:rsidR="1D981290">
        <w:t>. The Provider may only be reimbursed for</w:t>
      </w:r>
      <w:r w:rsidR="00625C2C">
        <w:t xml:space="preserve"> up to 100</w:t>
      </w:r>
      <w:r w:rsidR="002B5FF4">
        <w:t>%</w:t>
      </w:r>
      <w:r w:rsidR="00625C2C">
        <w:t xml:space="preserve"> of the wages paid</w:t>
      </w:r>
      <w:r>
        <w:t>.</w:t>
      </w:r>
    </w:p>
    <w:p w14:paraId="7D681458" w14:textId="26F4BB15" w:rsidR="004E40AB" w:rsidRPr="00512C24" w:rsidRDefault="004E40AB" w:rsidP="00512C24">
      <w:pPr>
        <w:pStyle w:val="Heading5"/>
      </w:pPr>
      <w:r w:rsidRPr="00512C24">
        <w:t>Final Payment</w:t>
      </w:r>
      <w:r w:rsidR="004D474A">
        <w:t>s</w:t>
      </w:r>
    </w:p>
    <w:p w14:paraId="0C8E0A62" w14:textId="7129E738" w:rsidR="003A3C13" w:rsidRDefault="25096FB8" w:rsidP="2A05E84B">
      <w:pPr>
        <w:contextualSpacing/>
      </w:pPr>
      <w:r>
        <w:t xml:space="preserve">As specified in the Wage Subsidy Head Agreement, </w:t>
      </w:r>
      <w:r w:rsidR="00566F7B">
        <w:t xml:space="preserve">Wage Subsidy </w:t>
      </w:r>
      <w:r>
        <w:t>Employers have 28</w:t>
      </w:r>
      <w:r w:rsidR="0221241E">
        <w:t>-</w:t>
      </w:r>
      <w:r>
        <w:t xml:space="preserve">days from the </w:t>
      </w:r>
      <w:r w:rsidR="1BAF53FB">
        <w:t xml:space="preserve">end date of the </w:t>
      </w:r>
      <w:r>
        <w:t xml:space="preserve">Wage Subsidy Agreement to request </w:t>
      </w:r>
      <w:r w:rsidR="24F337D4">
        <w:t>P</w:t>
      </w:r>
      <w:r>
        <w:t>ayment of any remaining</w:t>
      </w:r>
      <w:r w:rsidR="003A7D1B">
        <w:t xml:space="preserve"> </w:t>
      </w:r>
      <w:r w:rsidR="4D01F1F5">
        <w:t>/</w:t>
      </w:r>
      <w:r w:rsidR="003A7D1B">
        <w:t xml:space="preserve"> </w:t>
      </w:r>
      <w:r w:rsidR="4D01F1F5">
        <w:t>final</w:t>
      </w:r>
      <w:r>
        <w:t xml:space="preserve"> balance</w:t>
      </w:r>
      <w:r w:rsidR="7F5418B3">
        <w:t>.</w:t>
      </w:r>
      <w:r>
        <w:t xml:space="preserve"> </w:t>
      </w:r>
    </w:p>
    <w:p w14:paraId="0F1BBA5B" w14:textId="093F3BF8" w:rsidR="004E40AB" w:rsidRDefault="25096FB8" w:rsidP="2A05E84B">
      <w:pPr>
        <w:contextualSpacing/>
        <w:rPr>
          <w:highlight w:val="yellow"/>
        </w:rPr>
      </w:pPr>
      <w:r>
        <w:t xml:space="preserve">Employers must submit an invoice to the Provider, based on evidence </w:t>
      </w:r>
      <w:r w:rsidR="00B0525A">
        <w:t>that</w:t>
      </w:r>
      <w:r>
        <w:t xml:space="preserve"> the </w:t>
      </w:r>
      <w:r w:rsidR="00B0525A">
        <w:t xml:space="preserve">Wage Subsidy </w:t>
      </w:r>
      <w:r>
        <w:t xml:space="preserve">Participant has worked the required </w:t>
      </w:r>
      <w:r w:rsidR="00BC0556">
        <w:t xml:space="preserve">average </w:t>
      </w:r>
      <w:r>
        <w:t xml:space="preserve">minimum </w:t>
      </w:r>
      <w:r w:rsidR="32FD34D4">
        <w:t xml:space="preserve">weekly </w:t>
      </w:r>
      <w:r>
        <w:t>hours</w:t>
      </w:r>
      <w:r w:rsidR="4D298725">
        <w:t xml:space="preserve"> across</w:t>
      </w:r>
      <w:r>
        <w:t xml:space="preserve"> the duration of the Wage Subsidy Agreement</w:t>
      </w:r>
      <w:r w:rsidR="003A3C13">
        <w:t xml:space="preserve"> Term</w:t>
      </w:r>
      <w:r w:rsidR="00BE1BEB">
        <w:t>.</w:t>
      </w:r>
    </w:p>
    <w:p w14:paraId="75910912" w14:textId="29AA3AE6" w:rsidR="00DC1260" w:rsidRPr="00842999" w:rsidRDefault="00DC1260" w:rsidP="00842999">
      <w:pPr>
        <w:pStyle w:val="Heading4"/>
      </w:pPr>
      <w:bookmarkStart w:id="369" w:name="_Ref202798496"/>
      <w:bookmarkStart w:id="370" w:name="_Toc202900036"/>
      <w:r w:rsidRPr="00842999">
        <w:t>8.5.4</w:t>
      </w:r>
      <w:r w:rsidR="00573FA6">
        <w:tab/>
      </w:r>
      <w:r w:rsidRPr="00842999">
        <w:t xml:space="preserve">Concurrent </w:t>
      </w:r>
      <w:r w:rsidR="00CA729F">
        <w:t>f</w:t>
      </w:r>
      <w:r w:rsidRPr="00842999">
        <w:t>unding</w:t>
      </w:r>
      <w:bookmarkEnd w:id="369"/>
      <w:bookmarkEnd w:id="370"/>
    </w:p>
    <w:p w14:paraId="562D150A" w14:textId="3DFAD4A8" w:rsidR="00801376" w:rsidRDefault="00DC1260" w:rsidP="00AD020C">
      <w:pPr>
        <w:rPr>
          <w:lang w:eastAsia="en-AU"/>
        </w:rPr>
      </w:pPr>
      <w:r w:rsidRPr="00DC1260">
        <w:rPr>
          <w:lang w:eastAsia="en-AU"/>
        </w:rPr>
        <w:t xml:space="preserve">Under the </w:t>
      </w:r>
      <w:r w:rsidR="00B93ED0">
        <w:rPr>
          <w:lang w:eastAsia="en-AU"/>
        </w:rPr>
        <w:t>t</w:t>
      </w:r>
      <w:r w:rsidRPr="00DC1260">
        <w:rPr>
          <w:lang w:eastAsia="en-AU"/>
        </w:rPr>
        <w:t xml:space="preserve">erms and </w:t>
      </w:r>
      <w:r w:rsidR="00B93ED0">
        <w:rPr>
          <w:lang w:eastAsia="en-AU"/>
        </w:rPr>
        <w:t>c</w:t>
      </w:r>
      <w:r w:rsidRPr="00DC1260">
        <w:rPr>
          <w:lang w:eastAsia="en-AU"/>
        </w:rPr>
        <w:t xml:space="preserve">onditions </w:t>
      </w:r>
      <w:r w:rsidR="007C64F9">
        <w:rPr>
          <w:lang w:eastAsia="en-AU"/>
        </w:rPr>
        <w:t xml:space="preserve">in the </w:t>
      </w:r>
      <w:r w:rsidR="00915BC5">
        <w:rPr>
          <w:lang w:eastAsia="en-AU"/>
        </w:rPr>
        <w:t>Head Agreement</w:t>
      </w:r>
      <w:r w:rsidRPr="00DC1260">
        <w:rPr>
          <w:lang w:eastAsia="en-AU"/>
        </w:rPr>
        <w:t xml:space="preserve">, Wage Subsidy Employers are required to notify Providers of any </w:t>
      </w:r>
      <w:r w:rsidR="00655B79">
        <w:rPr>
          <w:lang w:eastAsia="en-AU"/>
        </w:rPr>
        <w:t>Commonwealth,</w:t>
      </w:r>
      <w:r w:rsidRPr="00DC1260">
        <w:rPr>
          <w:lang w:eastAsia="en-AU"/>
        </w:rPr>
        <w:t xml:space="preserve"> State or Territory </w:t>
      </w:r>
      <w:r w:rsidR="002B0433">
        <w:rPr>
          <w:lang w:eastAsia="en-AU"/>
        </w:rPr>
        <w:t>G</w:t>
      </w:r>
      <w:r w:rsidRPr="00DC1260">
        <w:rPr>
          <w:lang w:eastAsia="en-AU"/>
        </w:rPr>
        <w:t>overnment funding they receive for the Wage Subsidy Participant.</w:t>
      </w:r>
    </w:p>
    <w:p w14:paraId="7F4D9BE6" w14:textId="78B8D94F" w:rsidR="00801376" w:rsidRDefault="00DC1260" w:rsidP="00AD020C">
      <w:pPr>
        <w:rPr>
          <w:lang w:eastAsia="en-AU"/>
        </w:rPr>
      </w:pPr>
      <w:r w:rsidRPr="00DC1260">
        <w:rPr>
          <w:lang w:eastAsia="en-AU"/>
        </w:rPr>
        <w:t xml:space="preserve">Wage Subsidy Employers cannot access </w:t>
      </w:r>
      <w:r w:rsidR="0074408D">
        <w:rPr>
          <w:lang w:eastAsia="en-AU"/>
        </w:rPr>
        <w:t xml:space="preserve">the </w:t>
      </w:r>
      <w:r w:rsidR="00353F8E">
        <w:rPr>
          <w:lang w:eastAsia="en-AU"/>
        </w:rPr>
        <w:t>Inclusive Employment Australia</w:t>
      </w:r>
      <w:r w:rsidRPr="00DC1260">
        <w:rPr>
          <w:lang w:eastAsia="en-AU"/>
        </w:rPr>
        <w:t xml:space="preserve"> Wage Subsid</w:t>
      </w:r>
      <w:r w:rsidR="000B26A5">
        <w:rPr>
          <w:lang w:eastAsia="en-AU"/>
        </w:rPr>
        <w:t>y</w:t>
      </w:r>
      <w:r w:rsidRPr="00DC1260">
        <w:rPr>
          <w:lang w:eastAsia="en-AU"/>
        </w:rPr>
        <w:t xml:space="preserve"> if they receive funding from other </w:t>
      </w:r>
      <w:r w:rsidR="006343C6">
        <w:rPr>
          <w:lang w:eastAsia="en-AU"/>
        </w:rPr>
        <w:t>Commonwealth</w:t>
      </w:r>
      <w:r w:rsidRPr="00DC1260">
        <w:rPr>
          <w:lang w:eastAsia="en-AU"/>
        </w:rPr>
        <w:t xml:space="preserve">, State or Territory </w:t>
      </w:r>
      <w:r w:rsidR="002473FD">
        <w:rPr>
          <w:lang w:eastAsia="en-AU"/>
        </w:rPr>
        <w:t xml:space="preserve">Government </w:t>
      </w:r>
      <w:r w:rsidRPr="00DC1260">
        <w:rPr>
          <w:lang w:eastAsia="en-AU"/>
        </w:rPr>
        <w:t xml:space="preserve">wage subsidies or similar employment program funding for the same Participant in the same </w:t>
      </w:r>
      <w:r w:rsidR="00756C31">
        <w:rPr>
          <w:lang w:eastAsia="en-AU"/>
        </w:rPr>
        <w:t xml:space="preserve">position as the </w:t>
      </w:r>
      <w:r w:rsidRPr="00DC1260">
        <w:rPr>
          <w:lang w:eastAsia="en-AU"/>
        </w:rPr>
        <w:t>Wage Subsidy Placement.</w:t>
      </w:r>
    </w:p>
    <w:p w14:paraId="50227829" w14:textId="1C51FD67" w:rsidR="00DC1260" w:rsidRDefault="00DC1260" w:rsidP="00AD020C">
      <w:pPr>
        <w:rPr>
          <w:lang w:eastAsia="en-AU"/>
        </w:rPr>
      </w:pPr>
      <w:r w:rsidRPr="00DC1260">
        <w:rPr>
          <w:lang w:eastAsia="en-AU"/>
        </w:rPr>
        <w:t xml:space="preserve">The Provider should continue to check whether </w:t>
      </w:r>
      <w:r w:rsidR="00C97C67">
        <w:rPr>
          <w:lang w:eastAsia="en-AU"/>
        </w:rPr>
        <w:t xml:space="preserve">or not </w:t>
      </w:r>
      <w:r w:rsidRPr="00DC1260">
        <w:rPr>
          <w:lang w:eastAsia="en-AU"/>
        </w:rPr>
        <w:t xml:space="preserve">the Wage Subsidy Employer is following the above requirements throughout the Wage Subsidy Agreement </w:t>
      </w:r>
      <w:r w:rsidR="150BAE6C" w:rsidRPr="1097D283">
        <w:rPr>
          <w:lang w:eastAsia="en-AU"/>
        </w:rPr>
        <w:t>T</w:t>
      </w:r>
      <w:r w:rsidRPr="1097D283">
        <w:rPr>
          <w:lang w:eastAsia="en-AU"/>
        </w:rPr>
        <w:t>erm</w:t>
      </w:r>
      <w:r w:rsidRPr="00DC1260">
        <w:rPr>
          <w:lang w:eastAsia="en-AU"/>
        </w:rPr>
        <w:t>.</w:t>
      </w:r>
    </w:p>
    <w:p w14:paraId="5568AE8F" w14:textId="1D6C71AC" w:rsidR="00DC1260" w:rsidRPr="00573FA6" w:rsidRDefault="00DC1260" w:rsidP="00573FA6">
      <w:pPr>
        <w:pStyle w:val="Heading4"/>
      </w:pPr>
      <w:bookmarkStart w:id="371" w:name="_Toc202900037"/>
      <w:r w:rsidRPr="09CAFF8E">
        <w:rPr>
          <w:lang w:eastAsia="en-AU"/>
        </w:rPr>
        <w:t>8.5.5</w:t>
      </w:r>
      <w:r w:rsidR="00573FA6" w:rsidRPr="00573FA6">
        <w:tab/>
      </w:r>
      <w:r w:rsidRPr="09CAFF8E">
        <w:rPr>
          <w:lang w:eastAsia="en-AU"/>
        </w:rPr>
        <w:t xml:space="preserve">Wage Subsidy Employers </w:t>
      </w:r>
      <w:r w:rsidR="00CA729F">
        <w:rPr>
          <w:lang w:eastAsia="en-AU"/>
        </w:rPr>
        <w:t>n</w:t>
      </w:r>
      <w:r w:rsidRPr="09CAFF8E">
        <w:rPr>
          <w:lang w:eastAsia="en-AU"/>
        </w:rPr>
        <w:t xml:space="preserve">ot </w:t>
      </w:r>
      <w:r w:rsidR="00CA729F">
        <w:rPr>
          <w:lang w:eastAsia="en-AU"/>
        </w:rPr>
        <w:t>r</w:t>
      </w:r>
      <w:r w:rsidRPr="09CAFF8E">
        <w:rPr>
          <w:lang w:eastAsia="en-AU"/>
        </w:rPr>
        <w:t>egistered for GST</w:t>
      </w:r>
      <w:bookmarkEnd w:id="371"/>
    </w:p>
    <w:p w14:paraId="4B6F2F06" w14:textId="0249D61D" w:rsidR="00DC1260" w:rsidRDefault="00DC1260" w:rsidP="000C2F34">
      <w:pPr>
        <w:rPr>
          <w:lang w:eastAsia="en-AU"/>
        </w:rPr>
      </w:pPr>
      <w:r w:rsidRPr="00DC1260">
        <w:rPr>
          <w:lang w:eastAsia="en-AU"/>
        </w:rPr>
        <w:t xml:space="preserve">The total maximum amounts of </w:t>
      </w:r>
      <w:r w:rsidR="69E8AA6C" w:rsidRPr="244AB87D">
        <w:rPr>
          <w:lang w:eastAsia="en-AU"/>
        </w:rPr>
        <w:t xml:space="preserve">a </w:t>
      </w:r>
      <w:r w:rsidRPr="244AB87D">
        <w:rPr>
          <w:lang w:eastAsia="en-AU"/>
        </w:rPr>
        <w:t>Wage</w:t>
      </w:r>
      <w:r w:rsidRPr="00DC1260">
        <w:rPr>
          <w:lang w:eastAsia="en-AU"/>
        </w:rPr>
        <w:t xml:space="preserve"> Subsidy specified in </w:t>
      </w:r>
      <w:r w:rsidR="000C2F34">
        <w:rPr>
          <w:lang w:eastAsia="en-AU"/>
        </w:rPr>
        <w:t>these</w:t>
      </w:r>
      <w:r w:rsidRPr="00DC1260">
        <w:rPr>
          <w:lang w:eastAsia="en-AU"/>
        </w:rPr>
        <w:t xml:space="preserve"> Guideline</w:t>
      </w:r>
      <w:r w:rsidR="000C2F34">
        <w:rPr>
          <w:lang w:eastAsia="en-AU"/>
        </w:rPr>
        <w:t>s</w:t>
      </w:r>
      <w:r w:rsidRPr="00DC1260">
        <w:rPr>
          <w:lang w:eastAsia="en-AU"/>
        </w:rPr>
        <w:t xml:space="preserve"> are GST inclusive. Where a non-GST registered Wage Subsidy Employer submits a </w:t>
      </w:r>
      <w:r w:rsidR="00B2643E" w:rsidRPr="4B09852D">
        <w:rPr>
          <w:lang w:eastAsia="en-AU"/>
        </w:rPr>
        <w:t>T</w:t>
      </w:r>
      <w:r w:rsidRPr="4B09852D">
        <w:rPr>
          <w:lang w:eastAsia="en-AU"/>
        </w:rPr>
        <w:t xml:space="preserve">ax </w:t>
      </w:r>
      <w:r w:rsidR="00B2643E" w:rsidRPr="4B09852D">
        <w:rPr>
          <w:lang w:eastAsia="en-AU"/>
        </w:rPr>
        <w:t>I</w:t>
      </w:r>
      <w:r w:rsidRPr="4B09852D">
        <w:rPr>
          <w:lang w:eastAsia="en-AU"/>
        </w:rPr>
        <w:t>nvoice</w:t>
      </w:r>
      <w:r w:rsidRPr="00DC1260">
        <w:rPr>
          <w:lang w:eastAsia="en-AU"/>
        </w:rPr>
        <w:t xml:space="preserve"> for the correct amount of a Wage Subsidy to a Provider, the Provider must pay the Wage Subsidy Employer the amount (GST</w:t>
      </w:r>
      <w:r w:rsidR="00C22794">
        <w:rPr>
          <w:lang w:eastAsia="en-AU"/>
        </w:rPr>
        <w:t> </w:t>
      </w:r>
      <w:r w:rsidRPr="00DC1260">
        <w:rPr>
          <w:lang w:eastAsia="en-AU"/>
        </w:rPr>
        <w:t>exclusive).</w:t>
      </w:r>
      <w:r w:rsidR="00400C6B">
        <w:rPr>
          <w:lang w:eastAsia="en-AU"/>
        </w:rPr>
        <w:t xml:space="preserve"> </w:t>
      </w:r>
    </w:p>
    <w:p w14:paraId="6829F031" w14:textId="76BB479C" w:rsidR="00DC1260" w:rsidRPr="000C2F34" w:rsidRDefault="00DC1260" w:rsidP="000C2F34">
      <w:r w:rsidRPr="000C2F34">
        <w:t>When the Provider submits a claim for Reimbursement, the Department will pay the full</w:t>
      </w:r>
      <w:r w:rsidR="00C22794">
        <w:t xml:space="preserve"> amount</w:t>
      </w:r>
      <w:r w:rsidRPr="000C2F34">
        <w:t xml:space="preserve"> (GST</w:t>
      </w:r>
      <w:r w:rsidR="00C22794">
        <w:t> </w:t>
      </w:r>
      <w:r w:rsidRPr="000C2F34">
        <w:t>inclusive). The Provider is responsible for remitting the GST amount to the Australian Tax Office.</w:t>
      </w:r>
      <w:r w:rsidR="00400C6B" w:rsidRPr="000C2F34">
        <w:t xml:space="preserve"> </w:t>
      </w:r>
    </w:p>
    <w:p w14:paraId="5CBAADC0" w14:textId="4E4FD84D" w:rsidR="00DC1260" w:rsidRPr="00573FA6" w:rsidRDefault="00DC1260" w:rsidP="00573FA6">
      <w:pPr>
        <w:pStyle w:val="Heading3"/>
      </w:pPr>
      <w:bookmarkStart w:id="372" w:name="_Ref202798690"/>
      <w:bookmarkStart w:id="373" w:name="_Toc202900038"/>
      <w:r w:rsidRPr="00573FA6">
        <w:t>8.6</w:t>
      </w:r>
      <w:r w:rsidR="00573FA6">
        <w:tab/>
      </w:r>
      <w:r w:rsidRPr="00573FA6">
        <w:t>Claims for Reimbursement</w:t>
      </w:r>
      <w:bookmarkEnd w:id="372"/>
      <w:bookmarkEnd w:id="373"/>
    </w:p>
    <w:p w14:paraId="00A88987" w14:textId="37192B3C" w:rsidR="00DC1260" w:rsidRDefault="00DC1260" w:rsidP="00AD020C">
      <w:pPr>
        <w:rPr>
          <w:lang w:eastAsia="en-AU"/>
        </w:rPr>
      </w:pPr>
      <w:r w:rsidRPr="00DC1260">
        <w:rPr>
          <w:lang w:eastAsia="en-AU"/>
        </w:rPr>
        <w:t xml:space="preserve">A </w:t>
      </w:r>
      <w:r w:rsidR="00754B03">
        <w:rPr>
          <w:lang w:eastAsia="en-AU"/>
        </w:rPr>
        <w:t xml:space="preserve">Provider can </w:t>
      </w:r>
      <w:r w:rsidRPr="00DC1260">
        <w:rPr>
          <w:lang w:eastAsia="en-AU"/>
        </w:rPr>
        <w:t xml:space="preserve">claim Reimbursement for a Wage Subsidy </w:t>
      </w:r>
      <w:r w:rsidR="00692BF0" w:rsidRPr="4B09852D">
        <w:rPr>
          <w:lang w:eastAsia="en-AU"/>
        </w:rPr>
        <w:t>P</w:t>
      </w:r>
      <w:r w:rsidRPr="4B09852D">
        <w:rPr>
          <w:lang w:eastAsia="en-AU"/>
        </w:rPr>
        <w:t>ayment</w:t>
      </w:r>
      <w:r w:rsidRPr="00DC1260">
        <w:rPr>
          <w:lang w:eastAsia="en-AU"/>
        </w:rPr>
        <w:t xml:space="preserve"> if:</w:t>
      </w:r>
    </w:p>
    <w:p w14:paraId="5CB0AD4C" w14:textId="1C26E3E4" w:rsidR="00DC1260" w:rsidRDefault="00DC1260" w:rsidP="004E120D">
      <w:pPr>
        <w:pStyle w:val="BulletLevel1"/>
        <w:rPr>
          <w:lang w:eastAsia="en-AU"/>
        </w:rPr>
      </w:pPr>
      <w:r w:rsidRPr="00DC1260">
        <w:rPr>
          <w:lang w:eastAsia="en-AU"/>
        </w:rPr>
        <w:t xml:space="preserve">all terms and conditions of the Deed, </w:t>
      </w:r>
      <w:r w:rsidR="000C2F34">
        <w:rPr>
          <w:lang w:eastAsia="en-AU"/>
        </w:rPr>
        <w:t>these</w:t>
      </w:r>
      <w:r w:rsidRPr="00DC1260">
        <w:rPr>
          <w:lang w:eastAsia="en-AU"/>
        </w:rPr>
        <w:t xml:space="preserve"> Guideline</w:t>
      </w:r>
      <w:r w:rsidR="000C2F34">
        <w:rPr>
          <w:lang w:eastAsia="en-AU"/>
        </w:rPr>
        <w:t>s</w:t>
      </w:r>
      <w:r w:rsidRPr="00DC1260">
        <w:rPr>
          <w:lang w:eastAsia="en-AU"/>
        </w:rPr>
        <w:t xml:space="preserve">, and </w:t>
      </w:r>
      <w:r w:rsidR="00682DC9">
        <w:rPr>
          <w:lang w:eastAsia="en-AU"/>
        </w:rPr>
        <w:t xml:space="preserve">the </w:t>
      </w:r>
      <w:r w:rsidRPr="00DC1260">
        <w:rPr>
          <w:lang w:eastAsia="en-AU"/>
        </w:rPr>
        <w:t>Wage Subsidy Agreement have been met</w:t>
      </w:r>
    </w:p>
    <w:p w14:paraId="23ED613D" w14:textId="271EDD81" w:rsidR="0074355F" w:rsidRPr="00DC1260" w:rsidRDefault="0074355F" w:rsidP="004E120D">
      <w:pPr>
        <w:pStyle w:val="BulletLevel1"/>
        <w:rPr>
          <w:lang w:eastAsia="en-AU"/>
        </w:rPr>
      </w:pPr>
      <w:r>
        <w:rPr>
          <w:lang w:eastAsia="en-AU"/>
        </w:rPr>
        <w:t>the Participant has remained Employed for at least 6 weeks</w:t>
      </w:r>
    </w:p>
    <w:p w14:paraId="00F531BA" w14:textId="2D247029" w:rsidR="00DC1260" w:rsidRPr="00DC1260" w:rsidRDefault="0074355F" w:rsidP="004E120D">
      <w:pPr>
        <w:pStyle w:val="BulletLevel1"/>
        <w:rPr>
          <w:lang w:eastAsia="en-AU"/>
        </w:rPr>
      </w:pPr>
      <w:r>
        <w:rPr>
          <w:lang w:eastAsia="en-AU"/>
        </w:rPr>
        <w:t xml:space="preserve">the Provider has made an agreed Instalment Payment </w:t>
      </w:r>
      <w:r w:rsidR="00DC1260" w:rsidRPr="00DC1260">
        <w:rPr>
          <w:lang w:eastAsia="en-AU"/>
        </w:rPr>
        <w:t>out of their own funds to the Wage Subsidy Employer</w:t>
      </w:r>
    </w:p>
    <w:p w14:paraId="598167D6" w14:textId="364F5576" w:rsidR="00DC1260" w:rsidRPr="00DC1260" w:rsidRDefault="00DC1260" w:rsidP="004E120D">
      <w:pPr>
        <w:pStyle w:val="BulletLevel1"/>
        <w:rPr>
          <w:lang w:eastAsia="en-AU"/>
        </w:rPr>
      </w:pPr>
      <w:r w:rsidRPr="00DC1260">
        <w:rPr>
          <w:lang w:eastAsia="en-AU"/>
        </w:rPr>
        <w:t>the Reimbursement claim is for the same dollar value they paid the Wage Subsidy Employer</w:t>
      </w:r>
      <w:r w:rsidR="00573FA6">
        <w:rPr>
          <w:lang w:eastAsia="en-AU"/>
        </w:rPr>
        <w:t>, and</w:t>
      </w:r>
    </w:p>
    <w:p w14:paraId="54797095" w14:textId="4A452E42" w:rsidR="00DC1260" w:rsidRPr="00DC1260" w:rsidRDefault="00DC1260" w:rsidP="004E120D">
      <w:pPr>
        <w:pStyle w:val="BulletLevel1"/>
        <w:rPr>
          <w:lang w:eastAsia="en-AU"/>
        </w:rPr>
      </w:pPr>
      <w:r w:rsidRPr="00DC1260">
        <w:rPr>
          <w:lang w:eastAsia="en-AU"/>
        </w:rPr>
        <w:t>they have retained sufficient Documentary Evidence to demonstrate the above.</w:t>
      </w:r>
    </w:p>
    <w:p w14:paraId="51E0E263" w14:textId="6CF3B353" w:rsidR="00573FA6" w:rsidRDefault="00DC1260" w:rsidP="00AD020C">
      <w:pPr>
        <w:rPr>
          <w:lang w:eastAsia="en-AU"/>
        </w:rPr>
      </w:pPr>
      <w:r w:rsidRPr="00DC1260">
        <w:rPr>
          <w:lang w:eastAsia="en-AU"/>
        </w:rPr>
        <w:t>The Department has no obligation to Reimburse the Provider for a Wage Subsidy where the Provider has failed to make a claim for Reimbursement.</w:t>
      </w:r>
      <w:r w:rsidR="00400C6B">
        <w:rPr>
          <w:lang w:eastAsia="en-AU"/>
        </w:rPr>
        <w:t xml:space="preserve"> </w:t>
      </w:r>
    </w:p>
    <w:p w14:paraId="3B59DD23" w14:textId="288B1727" w:rsidR="00DC1260" w:rsidRDefault="00DC1260" w:rsidP="00AD020C">
      <w:pPr>
        <w:rPr>
          <w:lang w:eastAsia="en-AU"/>
        </w:rPr>
      </w:pPr>
      <w:r w:rsidRPr="00DC1260">
        <w:rPr>
          <w:lang w:eastAsia="en-AU"/>
        </w:rPr>
        <w:t>The Department will monitor Providers’ use and Reimbursement of Wage Subsidies</w:t>
      </w:r>
      <w:r w:rsidR="008F4170">
        <w:rPr>
          <w:lang w:eastAsia="en-AU"/>
        </w:rPr>
        <w:t>.</w:t>
      </w:r>
      <w:r w:rsidR="000B303A">
        <w:rPr>
          <w:lang w:eastAsia="en-AU"/>
        </w:rPr>
        <w:t xml:space="preserve"> </w:t>
      </w:r>
      <w:r w:rsidR="008F4170">
        <w:rPr>
          <w:lang w:eastAsia="en-AU"/>
        </w:rPr>
        <w:t>I</w:t>
      </w:r>
      <w:r w:rsidRPr="00DC1260">
        <w:rPr>
          <w:lang w:eastAsia="en-AU"/>
        </w:rPr>
        <w:t xml:space="preserve">ncidents of misuse or misappropriation </w:t>
      </w:r>
      <w:r w:rsidR="000F4343">
        <w:rPr>
          <w:lang w:eastAsia="en-AU"/>
        </w:rPr>
        <w:t xml:space="preserve">by a Provider </w:t>
      </w:r>
      <w:r w:rsidRPr="00DC1260">
        <w:rPr>
          <w:lang w:eastAsia="en-AU"/>
        </w:rPr>
        <w:t xml:space="preserve">may be subject to the </w:t>
      </w:r>
      <w:r w:rsidRPr="00573FA6">
        <w:rPr>
          <w:i/>
          <w:iCs/>
          <w:lang w:eastAsia="en-AU"/>
        </w:rPr>
        <w:t>Criminal Code Act 1995</w:t>
      </w:r>
      <w:r w:rsidRPr="00DC1260">
        <w:rPr>
          <w:lang w:eastAsia="en-AU"/>
        </w:rPr>
        <w:t xml:space="preserve"> (Cth).</w:t>
      </w:r>
    </w:p>
    <w:p w14:paraId="01855425" w14:textId="2EFF6C88" w:rsidR="00DC1260" w:rsidRPr="00573FA6" w:rsidRDefault="00DC1260" w:rsidP="00573FA6">
      <w:pPr>
        <w:pStyle w:val="Heading4"/>
      </w:pPr>
      <w:bookmarkStart w:id="374" w:name="_Toc202900039"/>
      <w:r w:rsidRPr="00DC1260">
        <w:rPr>
          <w:lang w:eastAsia="en-AU"/>
        </w:rPr>
        <w:t>8.6.1</w:t>
      </w:r>
      <w:r w:rsidR="00573FA6">
        <w:tab/>
      </w:r>
      <w:r w:rsidRPr="00DC1260">
        <w:rPr>
          <w:lang w:eastAsia="en-AU"/>
        </w:rPr>
        <w:t>Time requirements for claiming a Reimbursement</w:t>
      </w:r>
      <w:bookmarkEnd w:id="374"/>
    </w:p>
    <w:p w14:paraId="72F9CD68" w14:textId="416B033C" w:rsidR="00573FA6" w:rsidRDefault="00DC1260" w:rsidP="00AD020C">
      <w:pPr>
        <w:rPr>
          <w:lang w:eastAsia="en-AU"/>
        </w:rPr>
      </w:pPr>
      <w:r w:rsidRPr="00DC1260">
        <w:rPr>
          <w:lang w:eastAsia="en-AU"/>
        </w:rPr>
        <w:t>Providers must submit a</w:t>
      </w:r>
      <w:r w:rsidR="00445EEE">
        <w:rPr>
          <w:lang w:eastAsia="en-AU"/>
        </w:rPr>
        <w:t>ll</w:t>
      </w:r>
      <w:r w:rsidRPr="00DC1260">
        <w:rPr>
          <w:lang w:eastAsia="en-AU"/>
        </w:rPr>
        <w:t xml:space="preserve"> claim</w:t>
      </w:r>
      <w:r w:rsidR="00445EEE">
        <w:rPr>
          <w:lang w:eastAsia="en-AU"/>
        </w:rPr>
        <w:t>s</w:t>
      </w:r>
      <w:r w:rsidRPr="00DC1260">
        <w:rPr>
          <w:lang w:eastAsia="en-AU"/>
        </w:rPr>
        <w:t xml:space="preserve"> for Reimbursement no later than 56 days after the end of the Wage Subsidy Placement.</w:t>
      </w:r>
    </w:p>
    <w:p w14:paraId="175C227A" w14:textId="703F23AD" w:rsidR="00175A3C" w:rsidRDefault="007C64F9" w:rsidP="00AD020C">
      <w:pPr>
        <w:rPr>
          <w:lang w:eastAsia="en-AU"/>
        </w:rPr>
      </w:pPr>
      <w:r w:rsidRPr="00DC1260">
        <w:rPr>
          <w:lang w:eastAsia="en-AU"/>
        </w:rPr>
        <w:t xml:space="preserve">Under the </w:t>
      </w:r>
      <w:r>
        <w:rPr>
          <w:lang w:eastAsia="en-AU"/>
        </w:rPr>
        <w:t>g</w:t>
      </w:r>
      <w:r w:rsidRPr="00DC1260">
        <w:rPr>
          <w:lang w:eastAsia="en-AU"/>
        </w:rPr>
        <w:t xml:space="preserve">eneral </w:t>
      </w:r>
      <w:r>
        <w:rPr>
          <w:lang w:eastAsia="en-AU"/>
        </w:rPr>
        <w:t>t</w:t>
      </w:r>
      <w:r w:rsidRPr="00DC1260">
        <w:rPr>
          <w:lang w:eastAsia="en-AU"/>
        </w:rPr>
        <w:t xml:space="preserve">erms and </w:t>
      </w:r>
      <w:r>
        <w:rPr>
          <w:lang w:eastAsia="en-AU"/>
        </w:rPr>
        <w:t>c</w:t>
      </w:r>
      <w:r w:rsidRPr="00DC1260">
        <w:rPr>
          <w:lang w:eastAsia="en-AU"/>
        </w:rPr>
        <w:t xml:space="preserve">onditions </w:t>
      </w:r>
      <w:r>
        <w:rPr>
          <w:lang w:eastAsia="en-AU"/>
        </w:rPr>
        <w:t xml:space="preserve">in the </w:t>
      </w:r>
      <w:r w:rsidR="00915BC5">
        <w:rPr>
          <w:lang w:eastAsia="en-AU"/>
        </w:rPr>
        <w:t>Head Agreement</w:t>
      </w:r>
      <w:r w:rsidRPr="00DC1260">
        <w:rPr>
          <w:lang w:eastAsia="en-AU"/>
        </w:rPr>
        <w:t>,</w:t>
      </w:r>
      <w:r w:rsidR="00DC1260" w:rsidRPr="00DC1260">
        <w:rPr>
          <w:lang w:eastAsia="en-AU"/>
        </w:rPr>
        <w:t xml:space="preserve"> Wage Subsidy Employers </w:t>
      </w:r>
      <w:r>
        <w:rPr>
          <w:lang w:eastAsia="en-AU"/>
        </w:rPr>
        <w:t xml:space="preserve">are required </w:t>
      </w:r>
      <w:r w:rsidR="00DC1260" w:rsidRPr="00DC1260">
        <w:rPr>
          <w:lang w:eastAsia="en-AU"/>
        </w:rPr>
        <w:t xml:space="preserve">to notify Providers immediately if the Wage Subsidy Participant's Employment ends before the </w:t>
      </w:r>
      <w:r w:rsidR="3AB3A630" w:rsidRPr="2E7B4DB5">
        <w:rPr>
          <w:lang w:eastAsia="en-AU"/>
        </w:rPr>
        <w:t xml:space="preserve">end date of the </w:t>
      </w:r>
      <w:r w:rsidR="00DC1260" w:rsidRPr="00DC1260">
        <w:rPr>
          <w:lang w:eastAsia="en-AU"/>
        </w:rPr>
        <w:t>Wage Subsidy Agreement</w:t>
      </w:r>
      <w:r w:rsidR="0322CE9B" w:rsidRPr="2E7B4DB5">
        <w:rPr>
          <w:lang w:eastAsia="en-AU"/>
        </w:rPr>
        <w:t>.</w:t>
      </w:r>
      <w:r w:rsidR="00DC1260" w:rsidRPr="00DC1260">
        <w:rPr>
          <w:lang w:eastAsia="en-AU"/>
        </w:rPr>
        <w:t xml:space="preserve"> Providers must record the correct Placement end date in the Department’s IT Systems and must claim Reimbursement no later than 56</w:t>
      </w:r>
      <w:r w:rsidR="004D1A1A">
        <w:rPr>
          <w:lang w:eastAsia="en-AU"/>
        </w:rPr>
        <w:t>-</w:t>
      </w:r>
      <w:r w:rsidR="00DC1260" w:rsidRPr="00DC1260">
        <w:rPr>
          <w:lang w:eastAsia="en-AU"/>
        </w:rPr>
        <w:t>days from the end of the Wage Subsidy Placement.</w:t>
      </w:r>
    </w:p>
    <w:p w14:paraId="53AD0A9E" w14:textId="20B04656" w:rsidR="00DC1260" w:rsidRDefault="00DC1260" w:rsidP="00AD020C">
      <w:pPr>
        <w:rPr>
          <w:lang w:eastAsia="en-AU"/>
        </w:rPr>
      </w:pPr>
      <w:r w:rsidRPr="00DC1260">
        <w:rPr>
          <w:lang w:eastAsia="en-AU"/>
        </w:rPr>
        <w:t>Providers must have appropriate administrative processes in place to meet the 56-day timeframe and must work with Wage Subsidy Employers to ensure that this timeframe is met. Providers who fail to meet the 56-day timeframe may not be Reimbursed.</w:t>
      </w:r>
    </w:p>
    <w:p w14:paraId="307D2ABD" w14:textId="302B31E2" w:rsidR="00DC1260" w:rsidRPr="00573FA6" w:rsidRDefault="00DC1260" w:rsidP="00573FA6">
      <w:pPr>
        <w:pStyle w:val="Heading5"/>
      </w:pPr>
      <w:r w:rsidRPr="00DC1260">
        <w:rPr>
          <w:lang w:eastAsia="en-AU"/>
        </w:rPr>
        <w:t>Payments to Employers</w:t>
      </w:r>
    </w:p>
    <w:p w14:paraId="4CDD583F" w14:textId="7555F6A8" w:rsidR="00DC1260" w:rsidRPr="00DC1260" w:rsidRDefault="00DC1260" w:rsidP="00032984">
      <w:pPr>
        <w:rPr>
          <w:rFonts w:ascii="Segoe UI" w:hAnsi="Segoe UI" w:cs="Segoe UI"/>
          <w:sz w:val="18"/>
          <w:szCs w:val="18"/>
          <w:lang w:eastAsia="en-AU"/>
        </w:rPr>
      </w:pPr>
      <w:r w:rsidRPr="00DC1260">
        <w:rPr>
          <w:lang w:eastAsia="en-AU"/>
        </w:rPr>
        <w:t xml:space="preserve">Under the </w:t>
      </w:r>
      <w:r w:rsidR="00573FA6">
        <w:rPr>
          <w:lang w:eastAsia="en-AU"/>
        </w:rPr>
        <w:t xml:space="preserve">Head </w:t>
      </w:r>
      <w:r w:rsidR="00915BC5">
        <w:rPr>
          <w:lang w:eastAsia="en-AU"/>
        </w:rPr>
        <w:t>Agreement</w:t>
      </w:r>
      <w:r w:rsidRPr="00DC1260">
        <w:rPr>
          <w:lang w:eastAsia="en-AU"/>
        </w:rPr>
        <w:t xml:space="preserve">, Providers must make the final Wage Subsidy </w:t>
      </w:r>
      <w:r w:rsidR="00A55582" w:rsidRPr="00DC1260">
        <w:rPr>
          <w:lang w:eastAsia="en-AU"/>
        </w:rPr>
        <w:t>payment</w:t>
      </w:r>
      <w:r w:rsidRPr="00DC1260">
        <w:rPr>
          <w:lang w:eastAsia="en-AU"/>
        </w:rPr>
        <w:t xml:space="preserve"> to the Wage Subsidy Employer where</w:t>
      </w:r>
      <w:r w:rsidR="00DF4D3E">
        <w:rPr>
          <w:lang w:eastAsia="en-AU"/>
        </w:rPr>
        <w:t>,</w:t>
      </w:r>
      <w:r w:rsidRPr="00DC1260">
        <w:rPr>
          <w:lang w:eastAsia="en-AU"/>
        </w:rPr>
        <w:t xml:space="preserve"> </w:t>
      </w:r>
      <w:r w:rsidR="00DF4D3E" w:rsidRPr="00DC1260">
        <w:rPr>
          <w:lang w:eastAsia="en-AU"/>
        </w:rPr>
        <w:t>within 28 days from the end of the Wage Subsidy Placement</w:t>
      </w:r>
      <w:r w:rsidR="00DF4D3E">
        <w:rPr>
          <w:lang w:eastAsia="en-AU"/>
        </w:rPr>
        <w:t>,</w:t>
      </w:r>
      <w:r w:rsidR="00DF4D3E" w:rsidRPr="00DF4D3E">
        <w:rPr>
          <w:lang w:eastAsia="en-AU"/>
        </w:rPr>
        <w:t xml:space="preserve"> </w:t>
      </w:r>
      <w:r w:rsidR="00DF4D3E" w:rsidRPr="00DC1260">
        <w:rPr>
          <w:lang w:eastAsia="en-AU"/>
        </w:rPr>
        <w:t>the Employer</w:t>
      </w:r>
      <w:r w:rsidRPr="00DC1260">
        <w:rPr>
          <w:lang w:eastAsia="en-AU"/>
        </w:rPr>
        <w:t>: </w:t>
      </w:r>
    </w:p>
    <w:p w14:paraId="628F3C94" w14:textId="7432425A" w:rsidR="00DC1260" w:rsidRPr="00DC1260" w:rsidRDefault="00DC1260" w:rsidP="004E120D">
      <w:pPr>
        <w:pStyle w:val="BulletLevel1"/>
        <w:rPr>
          <w:lang w:eastAsia="en-AU"/>
        </w:rPr>
      </w:pPr>
      <w:r w:rsidRPr="00DC1260">
        <w:rPr>
          <w:lang w:eastAsia="en-AU"/>
        </w:rPr>
        <w:t>requests the final Wage Subsidy payment, and </w:t>
      </w:r>
    </w:p>
    <w:p w14:paraId="2C13F5D9" w14:textId="1F06F318" w:rsidR="00DC1260" w:rsidRPr="00DC1260" w:rsidRDefault="00DC1260" w:rsidP="004E120D">
      <w:pPr>
        <w:pStyle w:val="BulletLevel1"/>
        <w:rPr>
          <w:lang w:eastAsia="en-AU"/>
        </w:rPr>
      </w:pPr>
      <w:r w:rsidRPr="00DC1260">
        <w:rPr>
          <w:lang w:eastAsia="en-AU"/>
        </w:rPr>
        <w:t xml:space="preserve">supplies the required Documentary Evidence for that </w:t>
      </w:r>
      <w:r w:rsidR="00460F70">
        <w:rPr>
          <w:lang w:eastAsia="en-AU"/>
        </w:rPr>
        <w:t>p</w:t>
      </w:r>
      <w:r w:rsidRPr="00DC1260">
        <w:rPr>
          <w:lang w:eastAsia="en-AU"/>
        </w:rPr>
        <w:t>ayment to the Provider. </w:t>
      </w:r>
    </w:p>
    <w:p w14:paraId="14CB57E2" w14:textId="67FD523B" w:rsidR="00DC1260" w:rsidRPr="00DC1260" w:rsidRDefault="00DC1260" w:rsidP="00032984">
      <w:pPr>
        <w:rPr>
          <w:rFonts w:ascii="Segoe UI" w:hAnsi="Segoe UI" w:cs="Segoe UI"/>
          <w:sz w:val="18"/>
          <w:szCs w:val="18"/>
          <w:lang w:eastAsia="en-AU"/>
        </w:rPr>
      </w:pPr>
      <w:r w:rsidRPr="00DC1260">
        <w:rPr>
          <w:lang w:eastAsia="en-AU"/>
        </w:rPr>
        <w:t xml:space="preserve">Providers may choose to make the final Wage Subsidy payment to the Wage Subsidy Employer </w:t>
      </w:r>
      <w:r w:rsidR="00E257B1">
        <w:rPr>
          <w:lang w:eastAsia="en-AU"/>
        </w:rPr>
        <w:t>when</w:t>
      </w:r>
      <w:r w:rsidR="00E257B1" w:rsidRPr="00DC1260">
        <w:rPr>
          <w:lang w:eastAsia="en-AU"/>
        </w:rPr>
        <w:t xml:space="preserve"> </w:t>
      </w:r>
      <w:r w:rsidRPr="00DC1260">
        <w:rPr>
          <w:lang w:eastAsia="en-AU"/>
        </w:rPr>
        <w:t xml:space="preserve">they submit the required Documentary Evidence after the 28-day timeframe, </w:t>
      </w:r>
      <w:r w:rsidR="00DF4D3E">
        <w:rPr>
          <w:lang w:eastAsia="en-AU"/>
        </w:rPr>
        <w:t>if</w:t>
      </w:r>
      <w:r w:rsidRPr="00DC1260" w:rsidDel="00E257B1">
        <w:rPr>
          <w:lang w:eastAsia="en-AU"/>
        </w:rPr>
        <w:t xml:space="preserve"> </w:t>
      </w:r>
      <w:r w:rsidRPr="00DC1260">
        <w:rPr>
          <w:lang w:eastAsia="en-AU"/>
        </w:rPr>
        <w:t xml:space="preserve">all other eligibility requirements </w:t>
      </w:r>
      <w:r w:rsidR="00DF4D3E">
        <w:rPr>
          <w:lang w:eastAsia="en-AU"/>
        </w:rPr>
        <w:t>are</w:t>
      </w:r>
      <w:r w:rsidR="00E257B1">
        <w:rPr>
          <w:lang w:eastAsia="en-AU"/>
        </w:rPr>
        <w:t xml:space="preserve"> </w:t>
      </w:r>
      <w:r w:rsidRPr="00DC1260">
        <w:rPr>
          <w:lang w:eastAsia="en-AU"/>
        </w:rPr>
        <w:t>met. However, the Provider must claim the Reimbursement from the Department no later than 56 days from the end of the Wage Subsidy Placement. </w:t>
      </w:r>
    </w:p>
    <w:p w14:paraId="57F7289B" w14:textId="77777777" w:rsidR="00DC1260" w:rsidRPr="00DC1260" w:rsidRDefault="00DC1260" w:rsidP="00AD020C">
      <w:pPr>
        <w:pStyle w:val="Heading5"/>
        <w:rPr>
          <w:rFonts w:ascii="Segoe UI" w:hAnsi="Segoe UI" w:cs="Segoe UI"/>
          <w:sz w:val="18"/>
          <w:szCs w:val="18"/>
          <w:lang w:eastAsia="en-AU"/>
        </w:rPr>
      </w:pPr>
      <w:r w:rsidRPr="00DC1260">
        <w:rPr>
          <w:lang w:eastAsia="en-AU"/>
        </w:rPr>
        <w:t>Recovery of Reimbursement Claims Paid </w:t>
      </w:r>
    </w:p>
    <w:p w14:paraId="3FDDA24B" w14:textId="7BC6D003" w:rsidR="00DC1260" w:rsidRPr="00DC1260" w:rsidRDefault="00DC1260" w:rsidP="00032984">
      <w:pPr>
        <w:rPr>
          <w:rFonts w:ascii="Segoe UI" w:hAnsi="Segoe UI" w:cs="Segoe UI"/>
          <w:sz w:val="18"/>
          <w:szCs w:val="18"/>
          <w:lang w:eastAsia="en-AU"/>
        </w:rPr>
      </w:pPr>
      <w:r w:rsidRPr="00DC1260">
        <w:rPr>
          <w:lang w:eastAsia="en-AU"/>
        </w:rPr>
        <w:t>The Department may recover any Reimbursements made to the Provider where the Department determines, at its absolute discretion</w:t>
      </w:r>
      <w:r w:rsidR="000D258A">
        <w:rPr>
          <w:lang w:eastAsia="en-AU"/>
        </w:rPr>
        <w:t>,</w:t>
      </w:r>
      <w:r w:rsidRPr="00DC1260">
        <w:rPr>
          <w:lang w:eastAsia="en-AU"/>
        </w:rPr>
        <w:t xml:space="preserve"> that the Wage Subsidy Employer has: </w:t>
      </w:r>
    </w:p>
    <w:p w14:paraId="34A7E4DF" w14:textId="3F26699F" w:rsidR="00DC1260" w:rsidRPr="00DC1260" w:rsidRDefault="00DC1260" w:rsidP="004E120D">
      <w:pPr>
        <w:pStyle w:val="BulletLevel1"/>
        <w:rPr>
          <w:lang w:eastAsia="en-AU"/>
        </w:rPr>
      </w:pPr>
      <w:r w:rsidRPr="00DC1260">
        <w:rPr>
          <w:lang w:eastAsia="en-AU"/>
        </w:rPr>
        <w:t>misused the Wage Subsidy</w:t>
      </w:r>
      <w:r w:rsidR="00400C6B">
        <w:rPr>
          <w:lang w:eastAsia="en-AU"/>
        </w:rPr>
        <w:t xml:space="preserve"> </w:t>
      </w:r>
    </w:p>
    <w:p w14:paraId="28041FBF" w14:textId="77777777" w:rsidR="00DC1260" w:rsidRPr="00DC1260" w:rsidRDefault="00DC1260" w:rsidP="004E120D">
      <w:pPr>
        <w:pStyle w:val="BulletLevel1"/>
        <w:rPr>
          <w:lang w:eastAsia="en-AU"/>
        </w:rPr>
      </w:pPr>
      <w:r w:rsidRPr="00DC1260">
        <w:rPr>
          <w:lang w:eastAsia="en-AU"/>
        </w:rPr>
        <w:t>not met the terms and conditions of the Wage Subsidy Agreement </w:t>
      </w:r>
    </w:p>
    <w:p w14:paraId="4142A8F8" w14:textId="77777777" w:rsidR="00DC1260" w:rsidRPr="00DC1260" w:rsidRDefault="00DC1260" w:rsidP="004E120D">
      <w:pPr>
        <w:pStyle w:val="BulletLevel1"/>
        <w:rPr>
          <w:lang w:eastAsia="en-AU"/>
        </w:rPr>
      </w:pPr>
      <w:r w:rsidRPr="00DC1260">
        <w:rPr>
          <w:lang w:eastAsia="en-AU"/>
        </w:rPr>
        <w:t>been suspended and/or excluded by the Department from participating in Wage Subsidies, or </w:t>
      </w:r>
    </w:p>
    <w:p w14:paraId="35590FFB" w14:textId="7D3356B0" w:rsidR="00DC1260" w:rsidRPr="00DC1260" w:rsidRDefault="00DC1260" w:rsidP="004E120D">
      <w:pPr>
        <w:pStyle w:val="BulletLevel1"/>
        <w:rPr>
          <w:lang w:eastAsia="en-AU"/>
        </w:rPr>
      </w:pPr>
      <w:r w:rsidRPr="00DC1260">
        <w:rPr>
          <w:lang w:eastAsia="en-AU"/>
        </w:rPr>
        <w:t xml:space="preserve">otherwise engaged in </w:t>
      </w:r>
      <w:r w:rsidR="00834527">
        <w:rPr>
          <w:lang w:eastAsia="en-AU"/>
        </w:rPr>
        <w:t xml:space="preserve">an </w:t>
      </w:r>
      <w:r w:rsidRPr="00DC1260">
        <w:rPr>
          <w:lang w:eastAsia="en-AU"/>
        </w:rPr>
        <w:t xml:space="preserve">activity that may bring, or could be perceived to bring, the use of </w:t>
      </w:r>
      <w:r w:rsidR="005201EA">
        <w:rPr>
          <w:lang w:eastAsia="en-AU"/>
        </w:rPr>
        <w:t>government payments</w:t>
      </w:r>
      <w:r w:rsidRPr="00DC1260">
        <w:rPr>
          <w:lang w:eastAsia="en-AU"/>
        </w:rPr>
        <w:t xml:space="preserve"> or the Commonwealth of Australia into disrepute. </w:t>
      </w:r>
    </w:p>
    <w:p w14:paraId="58E047F0" w14:textId="734CBC15" w:rsidR="000C2F34" w:rsidRPr="000C2F34" w:rsidRDefault="00DC1260" w:rsidP="00032984">
      <w:pPr>
        <w:rPr>
          <w:lang w:eastAsia="en-AU"/>
        </w:rPr>
      </w:pPr>
      <w:r w:rsidRPr="00DC1260">
        <w:rPr>
          <w:lang w:eastAsia="en-AU"/>
        </w:rPr>
        <w:t xml:space="preserve">The Department may </w:t>
      </w:r>
      <w:r w:rsidR="00444F94" w:rsidRPr="00DC1260">
        <w:rPr>
          <w:lang w:eastAsia="en-AU"/>
        </w:rPr>
        <w:t>at its absolute discretion</w:t>
      </w:r>
      <w:r w:rsidR="00444F94">
        <w:rPr>
          <w:lang w:eastAsia="en-AU"/>
        </w:rPr>
        <w:t>,</w:t>
      </w:r>
      <w:r w:rsidR="00444F94" w:rsidRPr="00DC1260">
        <w:rPr>
          <w:lang w:eastAsia="en-AU"/>
        </w:rPr>
        <w:t xml:space="preserve"> </w:t>
      </w:r>
      <w:r w:rsidRPr="00DC1260">
        <w:rPr>
          <w:lang w:eastAsia="en-AU"/>
        </w:rPr>
        <w:t>also recover any Reimbursement made to the Provider where the Department determines that the Provider has not met the requirements of the Deed or th</w:t>
      </w:r>
      <w:r w:rsidR="00032984">
        <w:rPr>
          <w:lang w:eastAsia="en-AU"/>
        </w:rPr>
        <w:t>ese</w:t>
      </w:r>
      <w:r w:rsidRPr="00DC1260">
        <w:rPr>
          <w:lang w:eastAsia="en-AU"/>
        </w:rPr>
        <w:t xml:space="preserve"> Guideline</w:t>
      </w:r>
      <w:r w:rsidR="00032984">
        <w:rPr>
          <w:lang w:eastAsia="en-AU"/>
        </w:rPr>
        <w:t>s</w:t>
      </w:r>
      <w:r w:rsidRPr="00DC1260">
        <w:rPr>
          <w:lang w:eastAsia="en-AU"/>
        </w:rPr>
        <w:t>.</w:t>
      </w:r>
    </w:p>
    <w:p w14:paraId="279FB38E" w14:textId="32C1775F" w:rsidR="00A07613" w:rsidRPr="00A07613" w:rsidRDefault="00DC1260" w:rsidP="00A07613">
      <w:pPr>
        <w:pStyle w:val="Heading3"/>
        <w:ind w:left="567" w:right="-286" w:hanging="567"/>
        <w:rPr>
          <w:lang w:eastAsia="en-AU"/>
        </w:rPr>
      </w:pPr>
      <w:bookmarkStart w:id="375" w:name="_Toc202900040"/>
      <w:r w:rsidRPr="00DC1260">
        <w:rPr>
          <w:lang w:eastAsia="en-AU"/>
        </w:rPr>
        <w:t>8.7</w:t>
      </w:r>
      <w:r w:rsidR="00A07613">
        <w:rPr>
          <w:lang w:eastAsia="en-AU"/>
        </w:rPr>
        <w:tab/>
      </w:r>
      <w:r w:rsidRPr="00DC1260">
        <w:rPr>
          <w:lang w:eastAsia="en-AU"/>
        </w:rPr>
        <w:t>Managing Wage Subsidy Agreements for Wage Subsidy</w:t>
      </w:r>
      <w:r w:rsidR="00AD020C">
        <w:rPr>
          <w:lang w:eastAsia="en-AU"/>
        </w:rPr>
        <w:t xml:space="preserve"> </w:t>
      </w:r>
      <w:r w:rsidRPr="00DC1260">
        <w:rPr>
          <w:lang w:eastAsia="en-AU"/>
        </w:rPr>
        <w:t>Participants</w:t>
      </w:r>
      <w:bookmarkEnd w:id="375"/>
    </w:p>
    <w:p w14:paraId="02081A80" w14:textId="55AF9790" w:rsidR="00A07613" w:rsidRDefault="00DC1260" w:rsidP="00A07613">
      <w:pPr>
        <w:pStyle w:val="Heading4"/>
        <w:rPr>
          <w:lang w:eastAsia="en-AU"/>
        </w:rPr>
      </w:pPr>
      <w:bookmarkStart w:id="376" w:name="_Toc202900041"/>
      <w:r w:rsidRPr="00DC1260">
        <w:rPr>
          <w:lang w:eastAsia="en-AU"/>
        </w:rPr>
        <w:t>8.7.1</w:t>
      </w:r>
      <w:r w:rsidR="00A07613">
        <w:rPr>
          <w:lang w:eastAsia="en-AU"/>
        </w:rPr>
        <w:tab/>
      </w:r>
      <w:r w:rsidRPr="00DC1260">
        <w:rPr>
          <w:lang w:eastAsia="en-AU"/>
        </w:rPr>
        <w:t>Supporting Participants on Wage Subsidies</w:t>
      </w:r>
      <w:bookmarkEnd w:id="376"/>
    </w:p>
    <w:p w14:paraId="523E7E8C" w14:textId="5833F113" w:rsidR="00A07613" w:rsidRDefault="00DC1260" w:rsidP="00A07613">
      <w:pPr>
        <w:rPr>
          <w:lang w:eastAsia="en-AU"/>
        </w:rPr>
      </w:pPr>
      <w:r w:rsidRPr="00DC1260">
        <w:rPr>
          <w:lang w:eastAsia="en-AU"/>
        </w:rPr>
        <w:t>Providers are expected to support Wage Subsidy Participants and Wage Subsidy Employers to maximise the success of Wage Subsidy Placements.</w:t>
      </w:r>
      <w:r w:rsidRPr="00DC1260">
        <w:rPr>
          <w:color w:val="FF0000"/>
          <w:lang w:eastAsia="en-AU"/>
        </w:rPr>
        <w:t xml:space="preserve"> </w:t>
      </w:r>
      <w:r w:rsidRPr="00DC1260">
        <w:rPr>
          <w:lang w:eastAsia="en-AU"/>
        </w:rPr>
        <w:t xml:space="preserve">As a Wage Subsidy Participant is usually in Post Placement Support, the Provider’s support may also assist the </w:t>
      </w:r>
      <w:r w:rsidR="00EB7D01">
        <w:t xml:space="preserve">Wage Subsidy </w:t>
      </w:r>
      <w:r w:rsidRPr="00DC1260">
        <w:rPr>
          <w:lang w:eastAsia="en-AU"/>
        </w:rPr>
        <w:t xml:space="preserve">Participant to successfully complete an </w:t>
      </w:r>
      <w:r w:rsidR="00EB7D01">
        <w:rPr>
          <w:lang w:eastAsia="en-AU"/>
        </w:rPr>
        <w:t xml:space="preserve">Employment </w:t>
      </w:r>
      <w:r w:rsidRPr="00DC1260">
        <w:rPr>
          <w:lang w:eastAsia="en-AU"/>
        </w:rPr>
        <w:t>Outcome.</w:t>
      </w:r>
      <w:r w:rsidR="00400C6B">
        <w:rPr>
          <w:lang w:eastAsia="en-AU"/>
        </w:rPr>
        <w:t xml:space="preserve"> </w:t>
      </w:r>
    </w:p>
    <w:p w14:paraId="78986F22" w14:textId="57548AC6" w:rsidR="00A07613" w:rsidRDefault="00DC1260" w:rsidP="00A07613">
      <w:pPr>
        <w:rPr>
          <w:lang w:eastAsia="en-AU"/>
        </w:rPr>
      </w:pPr>
      <w:r w:rsidRPr="00DC1260">
        <w:rPr>
          <w:lang w:eastAsia="en-AU"/>
        </w:rPr>
        <w:t xml:space="preserve">In some cases, a Wage Subsidy Participant may return to Pre-Employment </w:t>
      </w:r>
      <w:r w:rsidRPr="4B09852D">
        <w:rPr>
          <w:lang w:eastAsia="en-AU"/>
        </w:rPr>
        <w:t>Support</w:t>
      </w:r>
      <w:r w:rsidRPr="00DC1260">
        <w:rPr>
          <w:lang w:eastAsia="en-AU"/>
        </w:rPr>
        <w:t xml:space="preserve"> because they have not worked the agreed minimum average hours and will therefore not </w:t>
      </w:r>
      <w:r w:rsidR="00577D75">
        <w:rPr>
          <w:lang w:eastAsia="en-AU"/>
        </w:rPr>
        <w:t xml:space="preserve">meet </w:t>
      </w:r>
      <w:r w:rsidRPr="00DC1260">
        <w:rPr>
          <w:lang w:eastAsia="en-AU"/>
        </w:rPr>
        <w:t xml:space="preserve">the required hours to achieve an Outcome. The Provider must continue to support these Participants during the remaining part of the Wage Subsidy Agreement </w:t>
      </w:r>
      <w:r w:rsidR="000A3664">
        <w:rPr>
          <w:lang w:eastAsia="en-AU"/>
        </w:rPr>
        <w:t>T</w:t>
      </w:r>
      <w:r w:rsidRPr="00DC1260">
        <w:rPr>
          <w:lang w:eastAsia="en-AU"/>
        </w:rPr>
        <w:t>erm</w:t>
      </w:r>
      <w:r w:rsidR="00577D75">
        <w:rPr>
          <w:lang w:eastAsia="en-AU"/>
        </w:rPr>
        <w:t>.</w:t>
      </w:r>
      <w:r w:rsidRPr="00DC1260">
        <w:rPr>
          <w:lang w:eastAsia="en-AU"/>
        </w:rPr>
        <w:t xml:space="preserve"> The Provider can re-anchor the </w:t>
      </w:r>
      <w:r w:rsidR="005B582C">
        <w:rPr>
          <w:lang w:eastAsia="en-AU"/>
        </w:rPr>
        <w:t xml:space="preserve">Job </w:t>
      </w:r>
      <w:r w:rsidR="00D85699" w:rsidRPr="4B09852D">
        <w:rPr>
          <w:lang w:eastAsia="en-AU"/>
        </w:rPr>
        <w:t>P</w:t>
      </w:r>
      <w:r w:rsidRPr="4B09852D">
        <w:rPr>
          <w:lang w:eastAsia="en-AU"/>
        </w:rPr>
        <w:t>lacement</w:t>
      </w:r>
      <w:r w:rsidRPr="00DC1260">
        <w:rPr>
          <w:lang w:eastAsia="en-AU"/>
        </w:rPr>
        <w:t xml:space="preserve"> in Post Placement Support</w:t>
      </w:r>
      <w:r w:rsidR="005B582C">
        <w:rPr>
          <w:lang w:eastAsia="en-AU"/>
        </w:rPr>
        <w:t>,</w:t>
      </w:r>
      <w:r w:rsidRPr="00DC1260">
        <w:rPr>
          <w:lang w:eastAsia="en-AU"/>
        </w:rPr>
        <w:t xml:space="preserve"> where appropriate</w:t>
      </w:r>
      <w:r w:rsidR="005B582C">
        <w:rPr>
          <w:lang w:eastAsia="en-AU"/>
        </w:rPr>
        <w:t xml:space="preserve"> (see </w:t>
      </w:r>
      <w:r w:rsidR="005B582C">
        <w:rPr>
          <w:lang w:eastAsia="en-AU"/>
        </w:rPr>
        <w:fldChar w:fldCharType="begin"/>
      </w:r>
      <w:r w:rsidR="005B582C">
        <w:rPr>
          <w:lang w:eastAsia="en-AU"/>
        </w:rPr>
        <w:instrText xml:space="preserve"> REF _Ref202880577 \h </w:instrText>
      </w:r>
      <w:r w:rsidR="005B582C">
        <w:rPr>
          <w:lang w:eastAsia="en-AU"/>
        </w:rPr>
      </w:r>
      <w:r w:rsidR="005B582C">
        <w:rPr>
          <w:lang w:eastAsia="en-AU"/>
        </w:rPr>
        <w:fldChar w:fldCharType="separate"/>
      </w:r>
      <w:r w:rsidR="000D75AE" w:rsidRPr="25249C38">
        <w:t>9.</w:t>
      </w:r>
      <w:r w:rsidR="000D75AE">
        <w:t>5</w:t>
      </w:r>
      <w:r w:rsidR="000D75AE" w:rsidRPr="25249C38">
        <w:t>.</w:t>
      </w:r>
      <w:r w:rsidR="000D75AE">
        <w:t>4</w:t>
      </w:r>
      <w:r w:rsidR="00C33F1F">
        <w:t xml:space="preserve"> </w:t>
      </w:r>
      <w:r w:rsidR="000D75AE" w:rsidRPr="25249C38">
        <w:t xml:space="preserve">Re-anchoring </w:t>
      </w:r>
      <w:r w:rsidR="000D75AE">
        <w:t>Job P</w:t>
      </w:r>
      <w:r w:rsidR="000D75AE" w:rsidRPr="25249C38">
        <w:t>lacements</w:t>
      </w:r>
      <w:r w:rsidR="005B582C">
        <w:rPr>
          <w:lang w:eastAsia="en-AU"/>
        </w:rPr>
        <w:fldChar w:fldCharType="end"/>
      </w:r>
      <w:r w:rsidR="005B582C">
        <w:rPr>
          <w:lang w:eastAsia="en-AU"/>
        </w:rPr>
        <w:t>)</w:t>
      </w:r>
      <w:r w:rsidRPr="00DC1260">
        <w:rPr>
          <w:lang w:eastAsia="en-AU"/>
        </w:rPr>
        <w:t>.</w:t>
      </w:r>
    </w:p>
    <w:p w14:paraId="58C2EAED" w14:textId="57F94843" w:rsidR="00DC1260" w:rsidRDefault="00DC1260" w:rsidP="00A07613">
      <w:pPr>
        <w:rPr>
          <w:lang w:eastAsia="en-AU"/>
        </w:rPr>
      </w:pPr>
      <w:r w:rsidRPr="00DC1260">
        <w:rPr>
          <w:lang w:eastAsia="en-AU"/>
        </w:rPr>
        <w:t xml:space="preserve">Providers should immediately advise the Department if a Wage Subsidy Participant reports any </w:t>
      </w:r>
      <w:r w:rsidR="00D77F31">
        <w:rPr>
          <w:lang w:eastAsia="en-AU"/>
        </w:rPr>
        <w:t>I</w:t>
      </w:r>
      <w:r w:rsidRPr="00DC1260">
        <w:rPr>
          <w:lang w:eastAsia="en-AU"/>
        </w:rPr>
        <w:t xml:space="preserve">ncidents of inappropriate or unsafe workplace behaviour and </w:t>
      </w:r>
      <w:r w:rsidR="00AB3900">
        <w:rPr>
          <w:lang w:eastAsia="en-AU"/>
        </w:rPr>
        <w:t>must</w:t>
      </w:r>
      <w:r w:rsidRPr="00DC1260">
        <w:rPr>
          <w:lang w:eastAsia="en-AU"/>
        </w:rPr>
        <w:t xml:space="preserve"> follow the appropriate process and protocols</w:t>
      </w:r>
      <w:r w:rsidR="00D77F31">
        <w:rPr>
          <w:lang w:eastAsia="en-AU"/>
        </w:rPr>
        <w:t xml:space="preserve"> as outlined in these Guidelines</w:t>
      </w:r>
      <w:r w:rsidRPr="00DC1260">
        <w:rPr>
          <w:lang w:eastAsia="en-AU"/>
        </w:rPr>
        <w:t>.</w:t>
      </w:r>
    </w:p>
    <w:p w14:paraId="467AAF1E" w14:textId="002CCA80" w:rsidR="00A07613" w:rsidRPr="00A07613" w:rsidRDefault="00DC1260" w:rsidP="00A07613">
      <w:pPr>
        <w:pStyle w:val="Heading4"/>
        <w:rPr>
          <w:lang w:eastAsia="en-AU"/>
        </w:rPr>
      </w:pPr>
      <w:bookmarkStart w:id="377" w:name="_Toc202900042"/>
      <w:r w:rsidRPr="00DC1260">
        <w:rPr>
          <w:lang w:eastAsia="en-AU"/>
        </w:rPr>
        <w:t>8.7.2</w:t>
      </w:r>
      <w:r w:rsidR="00A07613">
        <w:rPr>
          <w:lang w:eastAsia="en-AU"/>
        </w:rPr>
        <w:tab/>
      </w:r>
      <w:r w:rsidRPr="00DC1260">
        <w:rPr>
          <w:lang w:eastAsia="en-AU"/>
        </w:rPr>
        <w:t>Managing Wage Subsidy Agreements for Transferred Participants</w:t>
      </w:r>
      <w:bookmarkEnd w:id="377"/>
    </w:p>
    <w:p w14:paraId="57CC66D1" w14:textId="3F8645F8" w:rsidR="00DC1260" w:rsidRDefault="00DC1260" w:rsidP="00BE68A6">
      <w:pPr>
        <w:rPr>
          <w:lang w:eastAsia="en-AU"/>
        </w:rPr>
      </w:pPr>
      <w:r w:rsidRPr="00DC1260">
        <w:rPr>
          <w:lang w:eastAsia="en-AU"/>
        </w:rPr>
        <w:t xml:space="preserve">If a Wage Subsidy Participant transfers to another Provider, the </w:t>
      </w:r>
      <w:r w:rsidR="00530DDB" w:rsidRPr="4B09852D">
        <w:rPr>
          <w:lang w:eastAsia="en-AU"/>
        </w:rPr>
        <w:t>G</w:t>
      </w:r>
      <w:r w:rsidRPr="4B09852D">
        <w:rPr>
          <w:lang w:eastAsia="en-AU"/>
        </w:rPr>
        <w:t>aining</w:t>
      </w:r>
      <w:r w:rsidRPr="00DC1260">
        <w:rPr>
          <w:lang w:eastAsia="en-AU"/>
        </w:rPr>
        <w:t xml:space="preserve"> Provider must contact the Transferred Wage Subsidy Participant’s Employer and use their best endeavours to enter into a new Wage Subsidy Agreement with the </w:t>
      </w:r>
      <w:r w:rsidR="000213D9">
        <w:t xml:space="preserve">Wage Subsidy </w:t>
      </w:r>
      <w:r w:rsidRPr="00DC1260">
        <w:rPr>
          <w:lang w:eastAsia="en-AU"/>
        </w:rPr>
        <w:t>Employer</w:t>
      </w:r>
      <w:r w:rsidR="004B194F">
        <w:rPr>
          <w:lang w:eastAsia="en-AU"/>
        </w:rPr>
        <w:t xml:space="preserve"> to maintain the terms and conditions</w:t>
      </w:r>
      <w:r w:rsidR="00E31AB7">
        <w:rPr>
          <w:lang w:eastAsia="en-AU"/>
        </w:rPr>
        <w:t xml:space="preserve"> </w:t>
      </w:r>
      <w:r w:rsidR="000213D9">
        <w:rPr>
          <w:lang w:eastAsia="en-AU"/>
        </w:rPr>
        <w:t xml:space="preserve">in the </w:t>
      </w:r>
      <w:r w:rsidR="00BD7921">
        <w:rPr>
          <w:lang w:eastAsia="en-AU"/>
        </w:rPr>
        <w:t xml:space="preserve">original </w:t>
      </w:r>
      <w:r w:rsidR="000213D9">
        <w:t>Wage Subsidy Agreement</w:t>
      </w:r>
      <w:r w:rsidRPr="00DC1260">
        <w:rPr>
          <w:lang w:eastAsia="en-AU"/>
        </w:rPr>
        <w:t>.</w:t>
      </w:r>
      <w:r w:rsidR="00400C6B">
        <w:rPr>
          <w:lang w:eastAsia="en-AU"/>
        </w:rPr>
        <w:t xml:space="preserve"> </w:t>
      </w:r>
    </w:p>
    <w:p w14:paraId="5791320C" w14:textId="05C4472B" w:rsidR="00DC1260" w:rsidRPr="00DC1260" w:rsidRDefault="00DC1260" w:rsidP="00BE68A6">
      <w:pPr>
        <w:pStyle w:val="DeedReferences"/>
        <w:rPr>
          <w:rFonts w:ascii="Segoe UI" w:hAnsi="Segoe UI" w:cs="Segoe UI"/>
          <w:sz w:val="18"/>
          <w:szCs w:val="18"/>
          <w:lang w:eastAsia="en-AU"/>
        </w:rPr>
      </w:pPr>
      <w:r w:rsidRPr="001C03A2">
        <w:rPr>
          <w:lang w:eastAsia="en-AU"/>
        </w:rPr>
        <w:t>(</w:t>
      </w:r>
      <w:r w:rsidR="00A73420" w:rsidRPr="001C03A2">
        <w:rPr>
          <w:lang w:eastAsia="en-AU"/>
        </w:rPr>
        <w:t xml:space="preserve">Deed Reference(s): Clause </w:t>
      </w:r>
      <w:r w:rsidR="004B5D67" w:rsidRPr="001C03A2">
        <w:rPr>
          <w:lang w:eastAsia="en-AU"/>
        </w:rPr>
        <w:t>122.6, 122.7</w:t>
      </w:r>
      <w:r w:rsidRPr="001C03A2">
        <w:rPr>
          <w:lang w:eastAsia="en-AU"/>
        </w:rPr>
        <w:t>)</w:t>
      </w:r>
    </w:p>
    <w:p w14:paraId="7839D331" w14:textId="65DBA40F" w:rsidR="00DC1260" w:rsidRDefault="003D6A0F" w:rsidP="00BE68A6">
      <w:pPr>
        <w:rPr>
          <w:lang w:eastAsia="en-AU"/>
        </w:rPr>
      </w:pPr>
      <w:r w:rsidRPr="4B09852D">
        <w:rPr>
          <w:lang w:eastAsia="en-AU"/>
        </w:rPr>
        <w:t>A</w:t>
      </w:r>
      <w:r w:rsidR="00DC1260" w:rsidRPr="00DC1260">
        <w:rPr>
          <w:lang w:eastAsia="en-AU"/>
        </w:rPr>
        <w:t xml:space="preserve"> new Wage Subsidy Agreement between the </w:t>
      </w:r>
      <w:r w:rsidR="00D4230F">
        <w:t>Wage Subsidy</w:t>
      </w:r>
      <w:r w:rsidR="00DC1260" w:rsidRPr="00DC1260">
        <w:rPr>
          <w:lang w:eastAsia="en-AU"/>
        </w:rPr>
        <w:t xml:space="preserve"> Employer and the </w:t>
      </w:r>
      <w:r w:rsidR="00351463">
        <w:rPr>
          <w:lang w:eastAsia="en-AU"/>
        </w:rPr>
        <w:t>Gaining</w:t>
      </w:r>
      <w:r w:rsidR="00DC1260" w:rsidRPr="00DC1260">
        <w:rPr>
          <w:lang w:eastAsia="en-AU"/>
        </w:rPr>
        <w:t xml:space="preserve"> Provider ensure</w:t>
      </w:r>
      <w:r w:rsidR="00D4230F">
        <w:rPr>
          <w:lang w:eastAsia="en-AU"/>
        </w:rPr>
        <w:t>s</w:t>
      </w:r>
      <w:r w:rsidR="00DC1260" w:rsidRPr="00DC1260">
        <w:rPr>
          <w:lang w:eastAsia="en-AU"/>
        </w:rPr>
        <w:t xml:space="preserve"> that the Participant continues to be supported </w:t>
      </w:r>
      <w:r w:rsidR="002A15CB">
        <w:rPr>
          <w:lang w:eastAsia="en-AU"/>
        </w:rPr>
        <w:t xml:space="preserve">in their </w:t>
      </w:r>
      <w:r w:rsidR="00E9222D">
        <w:rPr>
          <w:lang w:eastAsia="en-AU"/>
        </w:rPr>
        <w:t>P</w:t>
      </w:r>
      <w:r w:rsidR="002A15CB">
        <w:rPr>
          <w:lang w:eastAsia="en-AU"/>
        </w:rPr>
        <w:t>lacement</w:t>
      </w:r>
      <w:r w:rsidR="00DC1260" w:rsidRPr="00DC1260">
        <w:rPr>
          <w:lang w:eastAsia="en-AU"/>
        </w:rPr>
        <w:t xml:space="preserve">, and that </w:t>
      </w:r>
      <w:r w:rsidR="00096F2A">
        <w:rPr>
          <w:lang w:eastAsia="en-AU"/>
        </w:rPr>
        <w:t>all</w:t>
      </w:r>
      <w:r w:rsidR="00DC1260" w:rsidRPr="00DC1260">
        <w:rPr>
          <w:lang w:eastAsia="en-AU"/>
        </w:rPr>
        <w:t xml:space="preserve"> parties understand the terms and conditions of the </w:t>
      </w:r>
      <w:r w:rsidR="002A15CB">
        <w:rPr>
          <w:lang w:eastAsia="en-AU"/>
        </w:rPr>
        <w:t xml:space="preserve">new </w:t>
      </w:r>
      <w:r w:rsidR="00DC1260" w:rsidRPr="00DC1260">
        <w:rPr>
          <w:lang w:eastAsia="en-AU"/>
        </w:rPr>
        <w:t>Wage Subsidy Agreement.</w:t>
      </w:r>
      <w:r w:rsidR="00400C6B">
        <w:rPr>
          <w:lang w:eastAsia="en-AU"/>
        </w:rPr>
        <w:t xml:space="preserve"> </w:t>
      </w:r>
    </w:p>
    <w:p w14:paraId="57DA4806" w14:textId="6FCC8F29" w:rsidR="00DC1260" w:rsidRDefault="00DC1260" w:rsidP="00CD504F">
      <w:pPr>
        <w:pStyle w:val="Heading3"/>
      </w:pPr>
      <w:bookmarkStart w:id="378" w:name="_Ref202800064"/>
      <w:bookmarkStart w:id="379" w:name="_Toc202900043"/>
      <w:r w:rsidRPr="00CD504F">
        <w:t>8.8</w:t>
      </w:r>
      <w:r w:rsidR="00CD504F">
        <w:tab/>
      </w:r>
      <w:r w:rsidR="00B81DF2">
        <w:t>Record Keeping</w:t>
      </w:r>
      <w:bookmarkEnd w:id="378"/>
      <w:bookmarkEnd w:id="379"/>
    </w:p>
    <w:p w14:paraId="7122A9A2" w14:textId="77777777" w:rsidR="00431E65" w:rsidRPr="00D861AE" w:rsidRDefault="00431E65" w:rsidP="00431E65">
      <w:pPr>
        <w:keepNext/>
      </w:pPr>
      <w:r>
        <w:t>Below is a summary of the Documentary Evidence requirements for this Chapter.</w:t>
      </w:r>
    </w:p>
    <w:p w14:paraId="1E70963F" w14:textId="133B6198" w:rsidR="00DC1260" w:rsidRPr="00431E65" w:rsidRDefault="00DC1260" w:rsidP="00431E65">
      <w:pPr>
        <w:keepNext/>
        <w:rPr>
          <w:rFonts w:ascii="Tahoma" w:eastAsia="Tahoma" w:hAnsi="Tahoma"/>
          <w:b/>
          <w:bCs/>
        </w:rPr>
      </w:pPr>
      <w:r w:rsidRPr="00431E65">
        <w:rPr>
          <w:rFonts w:ascii="Tahoma" w:eastAsia="Tahoma" w:hAnsi="Tahoma"/>
          <w:b/>
          <w:bCs/>
        </w:rPr>
        <w:t xml:space="preserve">Evidence from the </w:t>
      </w:r>
      <w:r w:rsidR="001D1DDC" w:rsidRPr="00431E65">
        <w:rPr>
          <w:rFonts w:ascii="Tahoma" w:eastAsia="Tahoma" w:hAnsi="Tahoma"/>
          <w:b/>
          <w:bCs/>
        </w:rPr>
        <w:t>Wage Subsidy</w:t>
      </w:r>
      <w:r w:rsidRPr="00431E65">
        <w:rPr>
          <w:rFonts w:ascii="Tahoma" w:eastAsia="Tahoma" w:hAnsi="Tahoma"/>
          <w:b/>
          <w:bCs/>
        </w:rPr>
        <w:t xml:space="preserve"> Employer </w:t>
      </w:r>
      <w:r w:rsidR="008D6327">
        <w:rPr>
          <w:rFonts w:ascii="Tahoma" w:eastAsia="Tahoma" w:hAnsi="Tahoma"/>
          <w:b/>
          <w:bCs/>
        </w:rPr>
        <w:t>of</w:t>
      </w:r>
      <w:r w:rsidRPr="00431E65">
        <w:rPr>
          <w:rFonts w:ascii="Tahoma" w:eastAsia="Tahoma" w:hAnsi="Tahoma"/>
          <w:b/>
          <w:bCs/>
        </w:rPr>
        <w:t xml:space="preserve"> Participant</w:t>
      </w:r>
      <w:r w:rsidR="008D6327">
        <w:rPr>
          <w:rFonts w:ascii="Tahoma" w:eastAsia="Tahoma" w:hAnsi="Tahoma"/>
          <w:b/>
          <w:bCs/>
        </w:rPr>
        <w:t>’s</w:t>
      </w:r>
      <w:r w:rsidRPr="00431E65">
        <w:rPr>
          <w:rFonts w:ascii="Tahoma" w:eastAsia="Tahoma" w:hAnsi="Tahoma"/>
          <w:b/>
          <w:bCs/>
        </w:rPr>
        <w:t xml:space="preserve"> Employment</w:t>
      </w:r>
    </w:p>
    <w:p w14:paraId="6040BBB0" w14:textId="7CEE2492" w:rsidR="00DC1260" w:rsidRPr="00DC1260" w:rsidRDefault="00DC1260" w:rsidP="00CD504F">
      <w:pPr>
        <w:rPr>
          <w:rFonts w:ascii="Segoe UI" w:hAnsi="Segoe UI" w:cs="Segoe UI"/>
          <w:sz w:val="18"/>
          <w:szCs w:val="18"/>
          <w:lang w:eastAsia="en-AU"/>
        </w:rPr>
      </w:pPr>
      <w:r w:rsidRPr="00DC1260">
        <w:rPr>
          <w:lang w:eastAsia="en-AU"/>
        </w:rPr>
        <w:t xml:space="preserve">Providers must upload mandatory Documentary Evidence of the Wage Subsidy Participant’s Employment into the Department's IT </w:t>
      </w:r>
      <w:r w:rsidRPr="1FF5C044">
        <w:rPr>
          <w:lang w:eastAsia="en-AU"/>
        </w:rPr>
        <w:t>System</w:t>
      </w:r>
      <w:r w:rsidR="681FA316" w:rsidRPr="1FF5C044">
        <w:rPr>
          <w:lang w:eastAsia="en-AU"/>
        </w:rPr>
        <w:t>s</w:t>
      </w:r>
      <w:r w:rsidRPr="00DC1260">
        <w:rPr>
          <w:lang w:eastAsia="en-AU"/>
        </w:rPr>
        <w:t xml:space="preserve"> at the time of making a claim for Wage Subsidy </w:t>
      </w:r>
      <w:r w:rsidR="005D655C" w:rsidRPr="4B09852D">
        <w:rPr>
          <w:lang w:eastAsia="en-AU"/>
        </w:rPr>
        <w:t>R</w:t>
      </w:r>
      <w:r w:rsidRPr="4B09852D">
        <w:rPr>
          <w:lang w:eastAsia="en-AU"/>
        </w:rPr>
        <w:t>eimbursement</w:t>
      </w:r>
      <w:r w:rsidRPr="00DC1260">
        <w:rPr>
          <w:lang w:eastAsia="en-AU"/>
        </w:rPr>
        <w:t>. </w:t>
      </w:r>
    </w:p>
    <w:p w14:paraId="11199269" w14:textId="77777777" w:rsidR="000B5115" w:rsidRDefault="00DE2D73" w:rsidP="006D72E6">
      <w:pPr>
        <w:pStyle w:val="DocumentaryEvidenceRequirement"/>
        <w:rPr>
          <w:lang w:eastAsia="en-AU"/>
        </w:rPr>
      </w:pPr>
      <w:r w:rsidRPr="00F2463A">
        <w:rPr>
          <w:lang w:eastAsia="en-AU"/>
        </w:rPr>
        <w:t xml:space="preserve">Documentary Evidence must confirm the Wage Subsidy Employer's details </w:t>
      </w:r>
      <w:r w:rsidR="006F3CB2">
        <w:rPr>
          <w:lang w:eastAsia="en-AU"/>
        </w:rPr>
        <w:t>(</w:t>
      </w:r>
      <w:r w:rsidRPr="00F2463A">
        <w:rPr>
          <w:lang w:eastAsia="en-AU"/>
        </w:rPr>
        <w:t>including name and ABN</w:t>
      </w:r>
      <w:r w:rsidR="006F3CB2">
        <w:rPr>
          <w:lang w:eastAsia="en-AU"/>
        </w:rPr>
        <w:t>)</w:t>
      </w:r>
      <w:r w:rsidRPr="00F2463A">
        <w:rPr>
          <w:lang w:eastAsia="en-AU"/>
        </w:rPr>
        <w:t xml:space="preserve"> and the Wage Subsidy Participant's full name.</w:t>
      </w:r>
      <w:r>
        <w:rPr>
          <w:lang w:eastAsia="en-AU"/>
        </w:rPr>
        <w:t xml:space="preserve"> </w:t>
      </w:r>
    </w:p>
    <w:p w14:paraId="0BDB9AF4" w14:textId="77777777" w:rsidR="000B5115" w:rsidRDefault="000B5115" w:rsidP="000B5115">
      <w:pPr>
        <w:pStyle w:val="BulletLevel2"/>
      </w:pPr>
      <w:r>
        <w:t>The ABN on the Documentary Evidence must match the ABN on the approved Wage Subsidy Agreement. E</w:t>
      </w:r>
      <w:r w:rsidRPr="007B48FC">
        <w:t xml:space="preserve">xceptions </w:t>
      </w:r>
      <w:r>
        <w:t xml:space="preserve">that </w:t>
      </w:r>
      <w:r w:rsidRPr="007B48FC">
        <w:t>can be supported with additional evidence</w:t>
      </w:r>
      <w:r>
        <w:t xml:space="preserve"> are</w:t>
      </w:r>
      <w:r w:rsidRPr="007B48FC">
        <w:t>:</w:t>
      </w:r>
    </w:p>
    <w:p w14:paraId="02D43AFE" w14:textId="71F4D6BD" w:rsidR="000B5115" w:rsidRDefault="000B5115" w:rsidP="000B5115">
      <w:pPr>
        <w:pStyle w:val="BulletLevel3"/>
      </w:pPr>
      <w:r w:rsidRPr="00B14FFD">
        <w:t xml:space="preserve">Employer engages a third party to act on their behalf to manage the administration of a </w:t>
      </w:r>
      <w:r w:rsidR="00CC1BC8">
        <w:t>W</w:t>
      </w:r>
      <w:r w:rsidRPr="00B14FFD">
        <w:t xml:space="preserve">age </w:t>
      </w:r>
      <w:r w:rsidR="00CC1BC8">
        <w:t>S</w:t>
      </w:r>
      <w:r w:rsidRPr="00B14FFD">
        <w:t>ubsidy</w:t>
      </w:r>
    </w:p>
    <w:p w14:paraId="22E7C62B" w14:textId="58DF11FC" w:rsidR="000B5115" w:rsidRDefault="000B5115" w:rsidP="000B5115">
      <w:pPr>
        <w:pStyle w:val="BulletLevel3"/>
      </w:pPr>
      <w:r w:rsidRPr="00BE24FB">
        <w:t>Employer has a separate ABN for the payroll function in their business structure</w:t>
      </w:r>
      <w:r>
        <w:t>, or</w:t>
      </w:r>
    </w:p>
    <w:p w14:paraId="30AA1353" w14:textId="43B7E761" w:rsidR="000B5115" w:rsidRDefault="000B5115" w:rsidP="000B5115">
      <w:pPr>
        <w:pStyle w:val="BulletLevel3"/>
      </w:pPr>
      <w:r>
        <w:t>Employer’s ABN has changed since the agreement was approved and the Department's IT system does not support a corresponding change to the Head Agreement</w:t>
      </w:r>
      <w:r w:rsidR="0051385A">
        <w:t xml:space="preserve"> (f</w:t>
      </w:r>
      <w:r>
        <w:t xml:space="preserve">or example, when the ABN change is not identified until after the </w:t>
      </w:r>
      <w:r w:rsidR="0051385A">
        <w:t xml:space="preserve">Wage Subsidy </w:t>
      </w:r>
      <w:r>
        <w:t>Agreement end date</w:t>
      </w:r>
      <w:r w:rsidR="0051385A">
        <w:t>)</w:t>
      </w:r>
      <w:r>
        <w:t>.</w:t>
      </w:r>
    </w:p>
    <w:p w14:paraId="07B42E5F" w14:textId="77777777" w:rsidR="000B5115" w:rsidRPr="00DC1260" w:rsidRDefault="000B5115" w:rsidP="0051385A">
      <w:pPr>
        <w:pStyle w:val="BulletLevel2"/>
        <w:numPr>
          <w:ilvl w:val="0"/>
          <w:numId w:val="0"/>
        </w:numPr>
        <w:ind w:left="851"/>
      </w:pPr>
      <w:r w:rsidRPr="000D514E">
        <w:t xml:space="preserve">In these cases, </w:t>
      </w:r>
      <w:r>
        <w:t>the Provider</w:t>
      </w:r>
      <w:r w:rsidRPr="000D514E">
        <w:t xml:space="preserve"> should obtain sufficient </w:t>
      </w:r>
      <w:r>
        <w:t>Doc</w:t>
      </w:r>
      <w:r w:rsidRPr="000D514E">
        <w:t xml:space="preserve">umentary </w:t>
      </w:r>
      <w:r>
        <w:t>E</w:t>
      </w:r>
      <w:r w:rsidRPr="000D514E">
        <w:t xml:space="preserve">vidence which clearly explains the relationship across the ABNs. This includes a written statement from the Employer that explains the reason for the discrepancy, supported with </w:t>
      </w:r>
      <w:r>
        <w:t>the Provider’s</w:t>
      </w:r>
      <w:r w:rsidRPr="000D514E">
        <w:t xml:space="preserve"> record of </w:t>
      </w:r>
      <w:r>
        <w:t xml:space="preserve">any </w:t>
      </w:r>
      <w:r w:rsidRPr="000D514E">
        <w:t>impacting IT issue</w:t>
      </w:r>
      <w:r>
        <w:t>,</w:t>
      </w:r>
      <w:r w:rsidRPr="000D514E">
        <w:t xml:space="preserve"> if relevant.</w:t>
      </w:r>
    </w:p>
    <w:p w14:paraId="262C7B23" w14:textId="32CABC97" w:rsidR="000B5115" w:rsidRPr="00DC1260" w:rsidRDefault="000B5115" w:rsidP="000B5115">
      <w:pPr>
        <w:pStyle w:val="BulletLevel2"/>
      </w:pPr>
      <w:r>
        <w:t>I</w:t>
      </w:r>
      <w:r w:rsidRPr="00DC1260">
        <w:t>f the Wage Subsidy Employer is a labour hire company or group training organisation:</w:t>
      </w:r>
      <w:r>
        <w:t xml:space="preserve"> </w:t>
      </w:r>
    </w:p>
    <w:p w14:paraId="137CC2D6" w14:textId="6A3A1149" w:rsidR="000B5115" w:rsidRPr="000B5115" w:rsidRDefault="000B5115" w:rsidP="000B5115">
      <w:pPr>
        <w:pStyle w:val="BulletLevel3"/>
      </w:pPr>
      <w:r>
        <w:t>t</w:t>
      </w:r>
      <w:r w:rsidRPr="00496F70">
        <w:t>he ABN of the host business</w:t>
      </w:r>
      <w:r w:rsidR="003A7D1B">
        <w:t>(</w:t>
      </w:r>
      <w:r w:rsidRPr="00496F70">
        <w:t>es</w:t>
      </w:r>
      <w:r w:rsidR="003A7D1B">
        <w:t>)</w:t>
      </w:r>
      <w:r w:rsidRPr="00496F70">
        <w:t xml:space="preserve"> the Wage Subsidy Participant was placed with throughout the Wage Subsidy Agreement Term</w:t>
      </w:r>
      <w:r>
        <w:t xml:space="preserve">. </w:t>
      </w:r>
      <w:r w:rsidRPr="6DE7B6E8">
        <w:t xml:space="preserve">This can be recorded on the Wage </w:t>
      </w:r>
      <w:r w:rsidRPr="000B5115">
        <w:t>Subsidy Payroll Declaration template, provided via email or included in the statutory declaration, and</w:t>
      </w:r>
    </w:p>
    <w:p w14:paraId="344B4C68" w14:textId="77777777" w:rsidR="000B5115" w:rsidRPr="00496F70" w:rsidRDefault="000B5115" w:rsidP="000B5115">
      <w:pPr>
        <w:pStyle w:val="BulletLevel3"/>
      </w:pPr>
      <w:r w:rsidRPr="000B5115">
        <w:t>evidence</w:t>
      </w:r>
      <w:r>
        <w:t xml:space="preserve"> the labour hire company or group training organisation disclosed they were receiving an Inclusive Employment Australia Wage Subsidy to the host business.</w:t>
      </w:r>
    </w:p>
    <w:p w14:paraId="3FB1F3F4" w14:textId="50E09455" w:rsidR="00DC1260" w:rsidRPr="000B5115" w:rsidRDefault="00DC1260" w:rsidP="000B5115">
      <w:pPr>
        <w:pStyle w:val="DocumentaryEvidenceRequirement"/>
      </w:pPr>
      <w:r w:rsidRPr="00DC1260">
        <w:rPr>
          <w:lang w:eastAsia="en-AU"/>
        </w:rPr>
        <w:t xml:space="preserve">Documentary Evidence </w:t>
      </w:r>
      <w:r w:rsidR="00593001">
        <w:rPr>
          <w:lang w:eastAsia="en-AU"/>
        </w:rPr>
        <w:t xml:space="preserve">must </w:t>
      </w:r>
      <w:r w:rsidRPr="00DC1260">
        <w:rPr>
          <w:lang w:eastAsia="en-AU"/>
        </w:rPr>
        <w:t>include</w:t>
      </w:r>
      <w:r w:rsidR="000B5115">
        <w:rPr>
          <w:lang w:eastAsia="en-AU"/>
        </w:rPr>
        <w:t xml:space="preserve"> </w:t>
      </w:r>
      <w:r w:rsidR="000B5115" w:rsidRPr="000B5115">
        <w:t>e</w:t>
      </w:r>
      <w:r w:rsidR="5A5F9A58" w:rsidRPr="000B5115">
        <w:t xml:space="preserve">vidence to confirm the Wage Subsidy Participant's Employment which demonstrates the hours worked </w:t>
      </w:r>
      <w:r w:rsidR="00F22E64" w:rsidRPr="000B5115">
        <w:t>each week</w:t>
      </w:r>
      <w:r w:rsidR="5A5F9A58" w:rsidRPr="000B5115">
        <w:t xml:space="preserve"> (including any periods of approved leave taken) and wages paid</w:t>
      </w:r>
      <w:r w:rsidR="00077A38" w:rsidRPr="000B5115">
        <w:t xml:space="preserve"> for the entire Wage Subsidy Period</w:t>
      </w:r>
      <w:r w:rsidR="5A5F9A58" w:rsidRPr="000B5115">
        <w:t>, which may be in the form of (but is not limited to): </w:t>
      </w:r>
    </w:p>
    <w:p w14:paraId="27EBAC22" w14:textId="0972BCFF" w:rsidR="00390349" w:rsidRDefault="002E3749" w:rsidP="00545F85">
      <w:pPr>
        <w:pStyle w:val="BulletLevel2"/>
        <w:ind w:left="1418"/>
      </w:pPr>
      <w:r>
        <w:t xml:space="preserve">a completed </w:t>
      </w:r>
      <w:r w:rsidR="004505B3" w:rsidRPr="00593799">
        <w:rPr>
          <w:rStyle w:val="Hyperlink"/>
        </w:rPr>
        <w:t xml:space="preserve">Wage Subsidies Payroll Declaration </w:t>
      </w:r>
      <w:r w:rsidR="004505B3">
        <w:rPr>
          <w:rStyle w:val="Hyperlink"/>
        </w:rPr>
        <w:t>[LINK]</w:t>
      </w:r>
      <w:r w:rsidR="004505B3">
        <w:t xml:space="preserve"> </w:t>
      </w:r>
      <w:r w:rsidR="20EE25E7">
        <w:t>(</w:t>
      </w:r>
      <w:r w:rsidR="00695E8F">
        <w:t>available on</w:t>
      </w:r>
      <w:r w:rsidR="20EE25E7">
        <w:t xml:space="preserve"> </w:t>
      </w:r>
      <w:r w:rsidR="20EE25E7" w:rsidRPr="2F8BEBFF">
        <w:t>the Provider Portal)</w:t>
      </w:r>
      <w:r w:rsidR="789D86AA">
        <w:t>, or</w:t>
      </w:r>
    </w:p>
    <w:p w14:paraId="28E8A259" w14:textId="23B312F9" w:rsidR="00DC1260" w:rsidRPr="00DC1260" w:rsidRDefault="00FA4AA6" w:rsidP="00545F85">
      <w:pPr>
        <w:pStyle w:val="BulletLevel2"/>
        <w:ind w:left="1418"/>
      </w:pPr>
      <w:r>
        <w:t>payslip</w:t>
      </w:r>
      <w:r w:rsidR="00DC1260" w:rsidRPr="00DC1260">
        <w:t>s or a printout from the Wage Subsidy Employer’s payroll software, or </w:t>
      </w:r>
    </w:p>
    <w:p w14:paraId="7FA8E77A" w14:textId="70FF1266" w:rsidR="00DC1260" w:rsidRDefault="00DC1260" w:rsidP="00545F85">
      <w:pPr>
        <w:pStyle w:val="BulletLevel2"/>
        <w:ind w:left="1418"/>
      </w:pPr>
      <w:r w:rsidRPr="00DC1260">
        <w:t>a statutory declaration, email or other correspondence from the Wage Subsidy Employer</w:t>
      </w:r>
      <w:r w:rsidR="00301F34">
        <w:t>.</w:t>
      </w:r>
    </w:p>
    <w:p w14:paraId="494E36AA" w14:textId="34DE2837" w:rsidR="00DC1260" w:rsidRDefault="00E86B1D" w:rsidP="00677AAF">
      <w:pPr>
        <w:pStyle w:val="DocumentaryEvidenceRequirement"/>
        <w:rPr>
          <w:lang w:eastAsia="en-AU"/>
        </w:rPr>
      </w:pPr>
      <w:r>
        <w:rPr>
          <w:lang w:eastAsia="en-AU"/>
        </w:rPr>
        <w:t>W</w:t>
      </w:r>
      <w:r w:rsidRPr="2A05E84B">
        <w:rPr>
          <w:lang w:eastAsia="en-AU"/>
        </w:rPr>
        <w:t xml:space="preserve">here a Wage Subsidy Participant's Employment ends </w:t>
      </w:r>
      <w:r w:rsidR="000504EA">
        <w:rPr>
          <w:lang w:eastAsia="en-AU"/>
        </w:rPr>
        <w:t>before</w:t>
      </w:r>
      <w:r w:rsidRPr="2A05E84B">
        <w:rPr>
          <w:lang w:eastAsia="en-AU"/>
        </w:rPr>
        <w:t xml:space="preserve"> the Wage Subsidy Placement end date, </w:t>
      </w:r>
      <w:r w:rsidRPr="790FAF7E">
        <w:rPr>
          <w:lang w:eastAsia="en-AU"/>
        </w:rPr>
        <w:t xml:space="preserve">a </w:t>
      </w:r>
      <w:r w:rsidR="3951EF02" w:rsidRPr="790FAF7E">
        <w:rPr>
          <w:lang w:eastAsia="en-AU"/>
        </w:rPr>
        <w:t>written statement of the reason why the Employment ended</w:t>
      </w:r>
      <w:r w:rsidR="00677AAF">
        <w:rPr>
          <w:lang w:eastAsia="en-AU"/>
        </w:rPr>
        <w:t xml:space="preserve"> is required</w:t>
      </w:r>
      <w:r w:rsidR="002854A5">
        <w:rPr>
          <w:lang w:eastAsia="en-AU"/>
        </w:rPr>
        <w:t>.</w:t>
      </w:r>
    </w:p>
    <w:p w14:paraId="204C6DDC" w14:textId="365B344F" w:rsidR="00B14045" w:rsidRPr="00B14045" w:rsidRDefault="5A5F9A58" w:rsidP="005976F2">
      <w:pPr>
        <w:rPr>
          <w:lang w:eastAsia="en-AU"/>
        </w:rPr>
      </w:pPr>
      <w:r w:rsidRPr="2A05E84B">
        <w:rPr>
          <w:lang w:eastAsia="en-AU"/>
        </w:rPr>
        <w:t xml:space="preserve">The Department can request additional Documentary Evidence from Providers relating to a Wage Subsidy Placement, Wage Subsidy Participant and/or Wage Subsidy Agreement from Providers, to support Program Assurance Activities. If Providers do not have this Documentary Evidence, they can request it from </w:t>
      </w:r>
      <w:r w:rsidR="005F1787">
        <w:rPr>
          <w:lang w:eastAsia="en-AU"/>
        </w:rPr>
        <w:t>a</w:t>
      </w:r>
      <w:r w:rsidRPr="2A05E84B">
        <w:rPr>
          <w:lang w:eastAsia="en-AU"/>
        </w:rPr>
        <w:t xml:space="preserve"> Wage Subsidy Employer. Employers are required under the Wage Subsidy Agreement to supply </w:t>
      </w:r>
      <w:r w:rsidR="000B06C1">
        <w:rPr>
          <w:lang w:eastAsia="en-AU"/>
        </w:rPr>
        <w:t xml:space="preserve">any </w:t>
      </w:r>
      <w:r w:rsidRPr="2A05E84B">
        <w:rPr>
          <w:lang w:eastAsia="en-AU"/>
        </w:rPr>
        <w:t>requested information.</w:t>
      </w:r>
    </w:p>
    <w:p w14:paraId="10E298A0" w14:textId="3113F128" w:rsidR="001031CD" w:rsidRPr="006A2707" w:rsidRDefault="00DC1260" w:rsidP="006A2707">
      <w:pPr>
        <w:keepNext/>
        <w:rPr>
          <w:rFonts w:ascii="Tahoma" w:eastAsia="Tahoma" w:hAnsi="Tahoma"/>
          <w:b/>
          <w:bCs/>
        </w:rPr>
      </w:pPr>
      <w:r w:rsidRPr="006A2707">
        <w:rPr>
          <w:rFonts w:ascii="Tahoma" w:eastAsia="Tahoma" w:hAnsi="Tahoma"/>
          <w:b/>
          <w:bCs/>
        </w:rPr>
        <w:t xml:space="preserve">Evidence from Provider </w:t>
      </w:r>
      <w:r w:rsidR="006A2707">
        <w:rPr>
          <w:rFonts w:ascii="Tahoma" w:eastAsia="Tahoma" w:hAnsi="Tahoma"/>
          <w:b/>
          <w:bCs/>
        </w:rPr>
        <w:t>for</w:t>
      </w:r>
      <w:r w:rsidRPr="006A2707">
        <w:rPr>
          <w:rFonts w:ascii="Tahoma" w:eastAsia="Tahoma" w:hAnsi="Tahoma"/>
          <w:b/>
          <w:bCs/>
        </w:rPr>
        <w:t xml:space="preserve"> Claims for Reimbursement</w:t>
      </w:r>
    </w:p>
    <w:p w14:paraId="5E3F26D6" w14:textId="76515DB1" w:rsidR="00DC1260" w:rsidRPr="001031CD" w:rsidRDefault="00DC1260" w:rsidP="001031CD">
      <w:pPr>
        <w:rPr>
          <w:lang w:eastAsia="en-AU"/>
        </w:rPr>
      </w:pPr>
      <w:r w:rsidRPr="00DC1260">
        <w:rPr>
          <w:lang w:eastAsia="en-AU"/>
        </w:rPr>
        <w:t xml:space="preserve">Providers must also demonstrate </w:t>
      </w:r>
      <w:r w:rsidR="007228EB">
        <w:rPr>
          <w:lang w:eastAsia="en-AU"/>
        </w:rPr>
        <w:t>p</w:t>
      </w:r>
      <w:r w:rsidRPr="00DC1260">
        <w:rPr>
          <w:lang w:eastAsia="en-AU"/>
        </w:rPr>
        <w:t>ayment of a Wage Subsidy amount to the Wage Subsidy Employer before claiming a Reimbursement.</w:t>
      </w:r>
    </w:p>
    <w:p w14:paraId="37C1CA4B" w14:textId="44EF27D2" w:rsidR="00DC1260" w:rsidRDefault="5A5F9A58" w:rsidP="000575DE">
      <w:pPr>
        <w:rPr>
          <w:lang w:eastAsia="en-AU"/>
        </w:rPr>
      </w:pPr>
      <w:r w:rsidRPr="2A05E84B">
        <w:rPr>
          <w:lang w:eastAsia="en-AU"/>
        </w:rPr>
        <w:t xml:space="preserve">Tax File Numbers must be redacted from any </w:t>
      </w:r>
      <w:r w:rsidR="00FA4AA6">
        <w:rPr>
          <w:lang w:eastAsia="en-AU"/>
        </w:rPr>
        <w:t>payslip</w:t>
      </w:r>
      <w:r w:rsidRPr="2A05E84B">
        <w:rPr>
          <w:lang w:eastAsia="en-AU"/>
        </w:rPr>
        <w:t xml:space="preserve">s </w:t>
      </w:r>
      <w:r w:rsidR="00744018">
        <w:rPr>
          <w:lang w:eastAsia="en-AU"/>
        </w:rPr>
        <w:t>before</w:t>
      </w:r>
      <w:r w:rsidRPr="2A05E84B">
        <w:rPr>
          <w:lang w:eastAsia="en-AU"/>
        </w:rPr>
        <w:t xml:space="preserve"> being uploaded into the Department's IT Systems as Documentary Evidence to support Wage Subsidy </w:t>
      </w:r>
      <w:r w:rsidR="5818B556" w:rsidRPr="4B09852D">
        <w:rPr>
          <w:lang w:eastAsia="en-AU"/>
        </w:rPr>
        <w:t>P</w:t>
      </w:r>
      <w:r w:rsidRPr="4B09852D">
        <w:rPr>
          <w:lang w:eastAsia="en-AU"/>
        </w:rPr>
        <w:t>ayments</w:t>
      </w:r>
      <w:r w:rsidRPr="2A05E84B">
        <w:rPr>
          <w:lang w:eastAsia="en-AU"/>
        </w:rPr>
        <w:t>.</w:t>
      </w:r>
    </w:p>
    <w:p w14:paraId="207A5DF7" w14:textId="7887A213" w:rsidR="00DC1260" w:rsidRPr="00DC1260" w:rsidRDefault="00DC1260" w:rsidP="0079424A">
      <w:pPr>
        <w:pStyle w:val="DocumentaryEvidenceRequirement"/>
        <w:rPr>
          <w:lang w:eastAsia="en-AU"/>
        </w:rPr>
      </w:pPr>
      <w:r w:rsidRPr="00DC1260">
        <w:rPr>
          <w:lang w:eastAsia="en-AU"/>
        </w:rPr>
        <w:t>Documentary Evidence</w:t>
      </w:r>
      <w:r w:rsidR="00CA1337">
        <w:rPr>
          <w:lang w:eastAsia="en-AU"/>
        </w:rPr>
        <w:t xml:space="preserve"> demonstrating payment </w:t>
      </w:r>
      <w:r w:rsidRPr="00DC1260">
        <w:rPr>
          <w:lang w:eastAsia="en-AU"/>
        </w:rPr>
        <w:t>may be in the form of a:</w:t>
      </w:r>
    </w:p>
    <w:p w14:paraId="1173817C" w14:textId="70A5B2A2" w:rsidR="00DC1260" w:rsidRPr="00DC1260" w:rsidRDefault="00DC1260" w:rsidP="004E120D">
      <w:pPr>
        <w:pStyle w:val="BulletLevel2"/>
      </w:pPr>
      <w:r w:rsidRPr="00DC1260">
        <w:t>record of transaction (bank statement or report from the Provider’s financial system)</w:t>
      </w:r>
    </w:p>
    <w:p w14:paraId="173B20BB" w14:textId="3DC9A8B4" w:rsidR="00DC1260" w:rsidRPr="00DC1260" w:rsidRDefault="00001799" w:rsidP="004E120D">
      <w:pPr>
        <w:pStyle w:val="BulletLevel2"/>
      </w:pPr>
      <w:r>
        <w:t>T</w:t>
      </w:r>
      <w:r w:rsidR="00DC1260">
        <w:t xml:space="preserve">ax </w:t>
      </w:r>
      <w:r>
        <w:t>I</w:t>
      </w:r>
      <w:r w:rsidR="00DC1260">
        <w:t>nvoice</w:t>
      </w:r>
      <w:r w:rsidR="00DC1260" w:rsidRPr="00DC1260">
        <w:t xml:space="preserve"> and corresponding receipt from the Wage Subsidy Employer</w:t>
      </w:r>
    </w:p>
    <w:p w14:paraId="52635FA1" w14:textId="1B824939" w:rsidR="00DC1260" w:rsidRPr="00DC1260" w:rsidRDefault="00001799" w:rsidP="004E120D">
      <w:pPr>
        <w:pStyle w:val="BulletLevel2"/>
      </w:pPr>
      <w:r>
        <w:t>T</w:t>
      </w:r>
      <w:r w:rsidR="00DC1260">
        <w:t xml:space="preserve">ax </w:t>
      </w:r>
      <w:r>
        <w:t>I</w:t>
      </w:r>
      <w:r w:rsidR="00DC1260">
        <w:t>nvoice</w:t>
      </w:r>
      <w:r w:rsidR="00DC1260" w:rsidRPr="00DC1260">
        <w:t xml:space="preserve"> from the Wage Subsidy Employer and a remittance advice, or</w:t>
      </w:r>
    </w:p>
    <w:p w14:paraId="49587815" w14:textId="4698C4A4" w:rsidR="00DC1260" w:rsidRPr="00DC1260" w:rsidRDefault="00DC1260" w:rsidP="004E120D">
      <w:pPr>
        <w:pStyle w:val="BulletLevel2"/>
      </w:pPr>
      <w:r w:rsidRPr="00DC1260">
        <w:t>statutory declaration, email or other correspondence from the Provider.</w:t>
      </w:r>
    </w:p>
    <w:p w14:paraId="62039A3D" w14:textId="73C4533E" w:rsidR="00DC1260" w:rsidRPr="00DC1260" w:rsidRDefault="00DC1260" w:rsidP="0079424A">
      <w:pPr>
        <w:pStyle w:val="DocumentaryEvidenceRequirement"/>
        <w:rPr>
          <w:lang w:eastAsia="en-AU"/>
        </w:rPr>
      </w:pPr>
      <w:r w:rsidRPr="00DC1260">
        <w:rPr>
          <w:lang w:eastAsia="en-AU"/>
        </w:rPr>
        <w:t>Documentary Evidence to support a claim for Reimbursement must confirm:</w:t>
      </w:r>
    </w:p>
    <w:p w14:paraId="3F41037B" w14:textId="0921F549" w:rsidR="00DC1260" w:rsidRPr="00DC1260" w:rsidRDefault="00DC1260" w:rsidP="004E120D">
      <w:pPr>
        <w:pStyle w:val="BulletLevel2"/>
      </w:pPr>
      <w:r w:rsidRPr="00DC1260">
        <w:t>the Wage Subsidy Participant’s name and JSID</w:t>
      </w:r>
    </w:p>
    <w:p w14:paraId="3C2F600C" w14:textId="7D579E60" w:rsidR="00DC1260" w:rsidRPr="00DC1260" w:rsidRDefault="00DC1260" w:rsidP="004E120D">
      <w:pPr>
        <w:pStyle w:val="BulletLevel2"/>
      </w:pPr>
      <w:r w:rsidRPr="00DC1260">
        <w:t>the Wage Subsidy Employer’s details (including name and ABN)</w:t>
      </w:r>
    </w:p>
    <w:p w14:paraId="00848873" w14:textId="049B80C6" w:rsidR="00DC1260" w:rsidRPr="00DC1260" w:rsidRDefault="00DC1260" w:rsidP="004E120D">
      <w:pPr>
        <w:pStyle w:val="BulletLevel2"/>
      </w:pPr>
      <w:r w:rsidRPr="00DC1260">
        <w:t xml:space="preserve">the amount of the Wage Subsidy </w:t>
      </w:r>
      <w:r w:rsidR="00C67C24">
        <w:t>P</w:t>
      </w:r>
      <w:r>
        <w:t>ayment</w:t>
      </w:r>
      <w:r w:rsidRPr="00DC1260">
        <w:t>, and</w:t>
      </w:r>
    </w:p>
    <w:p w14:paraId="77736051" w14:textId="5D87F5F3" w:rsidR="00DC1260" w:rsidRPr="00DC1260" w:rsidRDefault="00DC1260" w:rsidP="004E120D">
      <w:pPr>
        <w:pStyle w:val="BulletLevel2"/>
      </w:pPr>
      <w:r w:rsidRPr="00DC1260">
        <w:t xml:space="preserve">the date the Wage Subsidy </w:t>
      </w:r>
      <w:r w:rsidR="00C67C24">
        <w:t>P</w:t>
      </w:r>
      <w:r>
        <w:t>ayment</w:t>
      </w:r>
      <w:r w:rsidRPr="00DC1260">
        <w:t xml:space="preserve"> was made.</w:t>
      </w:r>
    </w:p>
    <w:p w14:paraId="2042FAA4" w14:textId="66E53D29" w:rsidR="00DC1260" w:rsidRDefault="000B06C1" w:rsidP="000C0EEC">
      <w:pPr>
        <w:rPr>
          <w:lang w:eastAsia="en-AU"/>
        </w:rPr>
      </w:pPr>
      <w:r>
        <w:rPr>
          <w:lang w:eastAsia="en-AU"/>
        </w:rPr>
        <w:t xml:space="preserve">In addition </w:t>
      </w:r>
      <w:r w:rsidR="00836105">
        <w:rPr>
          <w:lang w:eastAsia="en-AU"/>
        </w:rPr>
        <w:t>to</w:t>
      </w:r>
      <w:r>
        <w:rPr>
          <w:lang w:eastAsia="en-AU"/>
        </w:rPr>
        <w:t xml:space="preserve"> the mandatory </w:t>
      </w:r>
      <w:r w:rsidR="00E836D9">
        <w:rPr>
          <w:lang w:eastAsia="en-AU"/>
        </w:rPr>
        <w:t>D</w:t>
      </w:r>
      <w:r>
        <w:rPr>
          <w:lang w:eastAsia="en-AU"/>
        </w:rPr>
        <w:t xml:space="preserve">ocumentary </w:t>
      </w:r>
      <w:r w:rsidR="00E836D9">
        <w:rPr>
          <w:lang w:eastAsia="en-AU"/>
        </w:rPr>
        <w:t>E</w:t>
      </w:r>
      <w:r>
        <w:rPr>
          <w:lang w:eastAsia="en-AU"/>
        </w:rPr>
        <w:t xml:space="preserve">vidence requirements </w:t>
      </w:r>
      <w:r w:rsidRPr="2A05E84B">
        <w:rPr>
          <w:lang w:eastAsia="en-AU"/>
        </w:rPr>
        <w:t xml:space="preserve">to support </w:t>
      </w:r>
      <w:r w:rsidRPr="4B09852D">
        <w:rPr>
          <w:lang w:eastAsia="en-AU"/>
        </w:rPr>
        <w:t>Payment</w:t>
      </w:r>
      <w:r w:rsidRPr="2A05E84B">
        <w:rPr>
          <w:lang w:eastAsia="en-AU"/>
        </w:rPr>
        <w:t xml:space="preserve"> integrity activities</w:t>
      </w:r>
      <w:r>
        <w:rPr>
          <w:lang w:eastAsia="en-AU"/>
        </w:rPr>
        <w:t>,</w:t>
      </w:r>
      <w:r w:rsidRPr="2A05E84B">
        <w:rPr>
          <w:lang w:eastAsia="en-AU"/>
        </w:rPr>
        <w:t xml:space="preserve"> </w:t>
      </w:r>
      <w:r w:rsidR="5A5F9A58" w:rsidRPr="2A05E84B">
        <w:rPr>
          <w:lang w:eastAsia="en-AU"/>
        </w:rPr>
        <w:t xml:space="preserve">Providers are also encouraged to </w:t>
      </w:r>
      <w:r w:rsidR="00DA5FCC">
        <w:rPr>
          <w:lang w:eastAsia="en-AU"/>
        </w:rPr>
        <w:t>upload</w:t>
      </w:r>
      <w:r w:rsidR="5A5F9A58" w:rsidRPr="2A05E84B">
        <w:rPr>
          <w:lang w:eastAsia="en-AU"/>
        </w:rPr>
        <w:t xml:space="preserve"> other relevant evidence (correspondence or file notes) </w:t>
      </w:r>
      <w:r>
        <w:rPr>
          <w:lang w:eastAsia="en-AU"/>
        </w:rPr>
        <w:t>to support their claims</w:t>
      </w:r>
      <w:r w:rsidR="5A5F9A58" w:rsidRPr="2A05E84B">
        <w:rPr>
          <w:lang w:eastAsia="en-AU"/>
        </w:rPr>
        <w:t xml:space="preserve">, particularly if there were unusual or complex circumstances that require </w:t>
      </w:r>
      <w:r>
        <w:rPr>
          <w:lang w:eastAsia="en-AU"/>
        </w:rPr>
        <w:t>further</w:t>
      </w:r>
      <w:r w:rsidR="5A5F9A58" w:rsidRPr="2A05E84B">
        <w:rPr>
          <w:lang w:eastAsia="en-AU"/>
        </w:rPr>
        <w:t xml:space="preserve"> explanation.</w:t>
      </w:r>
    </w:p>
    <w:p w14:paraId="2EE17FFC" w14:textId="141BA973" w:rsidR="00D74559" w:rsidRPr="00BA23D8" w:rsidRDefault="00D74559" w:rsidP="000335E0">
      <w:pPr>
        <w:pStyle w:val="Heading2"/>
      </w:pPr>
      <w:bookmarkStart w:id="380" w:name="_Ref202789140"/>
      <w:bookmarkStart w:id="381" w:name="_Ref202792311"/>
      <w:bookmarkStart w:id="382" w:name="_Ref202796868"/>
      <w:bookmarkStart w:id="383" w:name="_Ref202896425"/>
      <w:bookmarkStart w:id="384" w:name="_Ref202896704"/>
      <w:bookmarkStart w:id="385" w:name="_Toc202900044"/>
      <w:r w:rsidRPr="00BA23D8">
        <w:t>Chapter 9</w:t>
      </w:r>
      <w:r w:rsidR="00A61FB9">
        <w:t>:</w:t>
      </w:r>
      <w:r w:rsidR="00807498">
        <w:tab/>
      </w:r>
      <w:r w:rsidRPr="00BA23D8">
        <w:t>Post Placement Support</w:t>
      </w:r>
      <w:bookmarkEnd w:id="380"/>
      <w:bookmarkEnd w:id="381"/>
      <w:bookmarkEnd w:id="382"/>
      <w:bookmarkEnd w:id="383"/>
      <w:bookmarkEnd w:id="384"/>
      <w:bookmarkEnd w:id="385"/>
    </w:p>
    <w:p w14:paraId="1BF7B18D" w14:textId="77777777" w:rsidR="00D74559" w:rsidRPr="00A61FB9" w:rsidRDefault="00D74559" w:rsidP="001D0F92">
      <w:pPr>
        <w:pStyle w:val="Heading-SupportingDocuments"/>
        <w:rPr>
          <w:rStyle w:val="Emphasis"/>
          <w:b/>
          <w:bCs w:val="0"/>
          <w:iCs w:val="0"/>
          <w:spacing w:val="3"/>
        </w:rPr>
      </w:pPr>
      <w:r w:rsidRPr="00A61FB9">
        <w:rPr>
          <w:rStyle w:val="Emphasis"/>
          <w:b/>
          <w:iCs w:val="0"/>
          <w:spacing w:val="3"/>
        </w:rPr>
        <w:t>Supporting Documents for this Chapter</w:t>
      </w:r>
    </w:p>
    <w:p w14:paraId="0863413F" w14:textId="6F065FAA" w:rsidR="00D74559" w:rsidRDefault="00D74559" w:rsidP="00620350">
      <w:pPr>
        <w:pStyle w:val="Bullet-SupportingDocument"/>
        <w:rPr>
          <w:rStyle w:val="Hyperlink"/>
        </w:rPr>
      </w:pPr>
      <w:r w:rsidRPr="00E85864">
        <w:rPr>
          <w:rStyle w:val="Hyperlink"/>
        </w:rPr>
        <w:t>Meaningful exchange of email or text messages Provider Fact Sheet</w:t>
      </w:r>
      <w:r w:rsidR="00132B26">
        <w:rPr>
          <w:rStyle w:val="Hyperlink"/>
        </w:rPr>
        <w:t xml:space="preserve"> [LINK]</w:t>
      </w:r>
    </w:p>
    <w:p w14:paraId="58F38589" w14:textId="5B250CD6" w:rsidR="00596E14" w:rsidRDefault="00596E14" w:rsidP="00596E14">
      <w:pPr>
        <w:pStyle w:val="Bullet-SupportingDocument"/>
        <w:rPr>
          <w:rStyle w:val="Hyperlink"/>
        </w:rPr>
      </w:pPr>
      <w:r>
        <w:rPr>
          <w:rStyle w:val="Hyperlink"/>
        </w:rPr>
        <w:t>Permissible Breaks in Employment Provider Fact Sheet</w:t>
      </w:r>
      <w:r w:rsidR="00132B26">
        <w:rPr>
          <w:rStyle w:val="Hyperlink"/>
        </w:rPr>
        <w:t xml:space="preserve"> [LINK]</w:t>
      </w:r>
    </w:p>
    <w:p w14:paraId="18E44D64" w14:textId="53B29F06" w:rsidR="00D74559" w:rsidRPr="00E85864" w:rsidRDefault="00D74559" w:rsidP="00620350">
      <w:pPr>
        <w:pStyle w:val="Bullet-SupportingDocument"/>
        <w:rPr>
          <w:rStyle w:val="Hyperlink"/>
        </w:rPr>
      </w:pPr>
      <w:hyperlink r:id="rId73" w:history="1">
        <w:r w:rsidRPr="005C6DAA">
          <w:rPr>
            <w:rStyle w:val="Hyperlink"/>
          </w:rPr>
          <w:t>Employment Assistance Fund Guidelines</w:t>
        </w:r>
      </w:hyperlink>
    </w:p>
    <w:p w14:paraId="0979A177" w14:textId="50BAD2D1" w:rsidR="00D74559" w:rsidRPr="00A333A9" w:rsidRDefault="00D74559" w:rsidP="001D0F92">
      <w:pPr>
        <w:pStyle w:val="Heading3"/>
      </w:pPr>
      <w:bookmarkStart w:id="386" w:name="_Toc202900045"/>
      <w:r w:rsidRPr="005B0984">
        <w:t>9.1</w:t>
      </w:r>
      <w:r w:rsidR="006F727E">
        <w:tab/>
      </w:r>
      <w:r w:rsidRPr="00F707D6">
        <w:t>Chapter</w:t>
      </w:r>
      <w:r w:rsidRPr="005B0984">
        <w:t xml:space="preserve"> Overview</w:t>
      </w:r>
      <w:bookmarkEnd w:id="386"/>
    </w:p>
    <w:p w14:paraId="1A34052F" w14:textId="1580B58F" w:rsidR="00D74559" w:rsidRDefault="00D74559" w:rsidP="006E2EF5">
      <w:r>
        <w:t xml:space="preserve">This Chapter outlines </w:t>
      </w:r>
      <w:r w:rsidR="000527E1">
        <w:t xml:space="preserve">a </w:t>
      </w:r>
      <w:r>
        <w:t xml:space="preserve">Provider’s </w:t>
      </w:r>
      <w:r w:rsidR="00697F21">
        <w:t>responsibilities</w:t>
      </w:r>
      <w:r>
        <w:t xml:space="preserve"> when delivering Post Placement Support. This includes:</w:t>
      </w:r>
    </w:p>
    <w:p w14:paraId="58B7A354" w14:textId="77777777" w:rsidR="00D74559" w:rsidRDefault="00D74559" w:rsidP="004E120D">
      <w:pPr>
        <w:pStyle w:val="BulletLevel1"/>
      </w:pPr>
      <w:r>
        <w:t>when to move a Participant to Post Placement Support</w:t>
      </w:r>
    </w:p>
    <w:p w14:paraId="1801C3C1" w14:textId="77777777" w:rsidR="00D74559" w:rsidRDefault="00D74559" w:rsidP="004E120D">
      <w:pPr>
        <w:pStyle w:val="BulletLevel1"/>
      </w:pPr>
      <w:r>
        <w:t>how to support a Participant to achieve Employment Outcomes</w:t>
      </w:r>
    </w:p>
    <w:p w14:paraId="16BF8EB8" w14:textId="77777777" w:rsidR="00D74559" w:rsidRDefault="00D74559" w:rsidP="004E120D">
      <w:pPr>
        <w:pStyle w:val="BulletLevel1"/>
      </w:pPr>
      <w:r>
        <w:t xml:space="preserve">how Post Placement Support links to Ongoing Support, and </w:t>
      </w:r>
    </w:p>
    <w:p w14:paraId="4DD2E6E2" w14:textId="77777777" w:rsidR="00D74559" w:rsidRDefault="00D74559" w:rsidP="004E120D">
      <w:pPr>
        <w:pStyle w:val="BulletLevel1"/>
      </w:pPr>
      <w:r w:rsidRPr="6E68D962">
        <w:t>when a Participant Exits from Post Placement Support.</w:t>
      </w:r>
    </w:p>
    <w:p w14:paraId="2EF0553A" w14:textId="35DF0336" w:rsidR="00D74559" w:rsidRDefault="00874E1A" w:rsidP="006E2EF5">
      <w:pPr>
        <w:rPr>
          <w:szCs w:val="22"/>
        </w:rPr>
      </w:pPr>
      <w:r>
        <w:t xml:space="preserve">Post Placement Support is available as part of the In-Employment Support phase of Inclusive Employment </w:t>
      </w:r>
      <w:r w:rsidRPr="006E751C">
        <w:t xml:space="preserve">Australia. </w:t>
      </w:r>
      <w:r w:rsidR="00D74559" w:rsidRPr="539AEF4B">
        <w:t xml:space="preserve">A Participant </w:t>
      </w:r>
      <w:r w:rsidR="00D74559">
        <w:t xml:space="preserve">receives Post Placement Support when </w:t>
      </w:r>
      <w:r w:rsidR="00672E79">
        <w:t>their Provider consider</w:t>
      </w:r>
      <w:r w:rsidR="0004371C">
        <w:t>s</w:t>
      </w:r>
      <w:r w:rsidR="00672E79">
        <w:t xml:space="preserve"> </w:t>
      </w:r>
      <w:r w:rsidR="00D74559">
        <w:t>the Participant</w:t>
      </w:r>
      <w:r w:rsidR="00672E79">
        <w:t>’s</w:t>
      </w:r>
      <w:r w:rsidR="00D74559" w:rsidDel="00672E79">
        <w:t xml:space="preserve"> </w:t>
      </w:r>
      <w:r w:rsidR="00D74559" w:rsidRPr="539AEF4B">
        <w:t xml:space="preserve">Job Placement is </w:t>
      </w:r>
      <w:r w:rsidR="00D74559">
        <w:t>likely to continue to</w:t>
      </w:r>
      <w:r w:rsidR="00D74559" w:rsidRPr="539AEF4B">
        <w:t xml:space="preserve"> an Employment Outcome</w:t>
      </w:r>
      <w:r w:rsidR="00D74559">
        <w:t xml:space="preserve">. </w:t>
      </w:r>
      <w:r w:rsidR="00D74559" w:rsidRPr="539AEF4B">
        <w:rPr>
          <w:szCs w:val="22"/>
        </w:rPr>
        <w:t xml:space="preserve">The </w:t>
      </w:r>
      <w:r w:rsidR="00D74559">
        <w:rPr>
          <w:szCs w:val="22"/>
        </w:rPr>
        <w:t>P</w:t>
      </w:r>
      <w:r w:rsidR="00D74559" w:rsidRPr="539AEF4B">
        <w:rPr>
          <w:szCs w:val="22"/>
        </w:rPr>
        <w:t xml:space="preserve">rovider decides when to </w:t>
      </w:r>
      <w:r w:rsidR="00D74559">
        <w:rPr>
          <w:szCs w:val="22"/>
        </w:rPr>
        <w:t xml:space="preserve">anchor a Job Placement by </w:t>
      </w:r>
      <w:r w:rsidR="00D74559" w:rsidRPr="539AEF4B">
        <w:rPr>
          <w:szCs w:val="22"/>
        </w:rPr>
        <w:t>mov</w:t>
      </w:r>
      <w:r w:rsidR="00D74559">
        <w:rPr>
          <w:szCs w:val="22"/>
        </w:rPr>
        <w:t xml:space="preserve">ing the Participant </w:t>
      </w:r>
      <w:r w:rsidR="00D74559" w:rsidRPr="539AEF4B">
        <w:rPr>
          <w:szCs w:val="22"/>
        </w:rPr>
        <w:t xml:space="preserve">to Post Placement Support. </w:t>
      </w:r>
      <w:r w:rsidR="006D51FA">
        <w:rPr>
          <w:szCs w:val="22"/>
        </w:rPr>
        <w:t>This</w:t>
      </w:r>
      <w:r w:rsidR="00D74559">
        <w:rPr>
          <w:szCs w:val="22"/>
        </w:rPr>
        <w:t xml:space="preserve"> start</w:t>
      </w:r>
      <w:r w:rsidR="006D51FA">
        <w:rPr>
          <w:szCs w:val="22"/>
        </w:rPr>
        <w:t>s</w:t>
      </w:r>
      <w:r w:rsidR="00D74559">
        <w:rPr>
          <w:szCs w:val="22"/>
        </w:rPr>
        <w:t xml:space="preserve"> an Outcome Period</w:t>
      </w:r>
      <w:r w:rsidR="006D51FA">
        <w:rPr>
          <w:szCs w:val="22"/>
        </w:rPr>
        <w:t>.</w:t>
      </w:r>
      <w:r w:rsidR="00D74559">
        <w:rPr>
          <w:szCs w:val="22"/>
        </w:rPr>
        <w:t xml:space="preserve"> </w:t>
      </w:r>
    </w:p>
    <w:p w14:paraId="550265D7" w14:textId="77777777" w:rsidR="00D74559" w:rsidRDefault="00D74559" w:rsidP="006E2EF5">
      <w:pPr>
        <w:rPr>
          <w:szCs w:val="22"/>
        </w:rPr>
      </w:pPr>
      <w:r w:rsidRPr="539AEF4B">
        <w:rPr>
          <w:szCs w:val="22"/>
        </w:rPr>
        <w:t xml:space="preserve">During </w:t>
      </w:r>
      <w:r>
        <w:rPr>
          <w:szCs w:val="22"/>
        </w:rPr>
        <w:t>Post Placement Support</w:t>
      </w:r>
      <w:r w:rsidRPr="539AEF4B">
        <w:rPr>
          <w:szCs w:val="22"/>
        </w:rPr>
        <w:t xml:space="preserve">: </w:t>
      </w:r>
    </w:p>
    <w:p w14:paraId="5809C5CA" w14:textId="017EFBDA" w:rsidR="00D74559" w:rsidRPr="005B0984" w:rsidRDefault="00D74559" w:rsidP="004E120D">
      <w:pPr>
        <w:pStyle w:val="BulletLevel1"/>
        <w:rPr>
          <w:b/>
          <w:bCs/>
        </w:rPr>
      </w:pPr>
      <w:r>
        <w:t>Participant</w:t>
      </w:r>
      <w:r w:rsidRPr="005B0984">
        <w:t xml:space="preserve">s and their </w:t>
      </w:r>
      <w:r>
        <w:t>Employer</w:t>
      </w:r>
      <w:r w:rsidRPr="005B0984">
        <w:t xml:space="preserve"> can receive support to ensure the</w:t>
      </w:r>
      <w:r w:rsidR="008D0F78">
        <w:t xml:space="preserve"> Job</w:t>
      </w:r>
      <w:r w:rsidRPr="005B0984">
        <w:t xml:space="preserve"> </w:t>
      </w:r>
      <w:r w:rsidR="00EC604F">
        <w:t>P</w:t>
      </w:r>
      <w:r w:rsidRPr="005B0984">
        <w:t>lacement is</w:t>
      </w:r>
      <w:r>
        <w:t xml:space="preserve"> </w:t>
      </w:r>
      <w:r w:rsidRPr="005B0984">
        <w:t>successful</w:t>
      </w:r>
      <w:r w:rsidR="004A0C54">
        <w:t>, and</w:t>
      </w:r>
    </w:p>
    <w:p w14:paraId="09F5CAAD" w14:textId="631B55FB" w:rsidR="00D74559" w:rsidRPr="005B0984" w:rsidRDefault="00D74559" w:rsidP="004E120D">
      <w:pPr>
        <w:pStyle w:val="BulletLevel1"/>
        <w:rPr>
          <w:b/>
          <w:bCs/>
        </w:rPr>
      </w:pPr>
      <w:r>
        <w:t>Provider</w:t>
      </w:r>
      <w:r w:rsidRPr="005B0984">
        <w:t xml:space="preserve">s receive </w:t>
      </w:r>
      <w:r w:rsidR="005A7D19">
        <w:t>F</w:t>
      </w:r>
      <w:r w:rsidRPr="005B0984">
        <w:t xml:space="preserve">ees </w:t>
      </w:r>
      <w:r w:rsidR="00E2574E">
        <w:t xml:space="preserve">to </w:t>
      </w:r>
      <w:r>
        <w:t>support</w:t>
      </w:r>
      <w:r w:rsidRPr="005B0984">
        <w:t xml:space="preserve"> sustained and successful</w:t>
      </w:r>
      <w:r>
        <w:t xml:space="preserve"> Job Placements</w:t>
      </w:r>
      <w:r w:rsidRPr="005B0984">
        <w:t xml:space="preserve">. </w:t>
      </w:r>
    </w:p>
    <w:p w14:paraId="356CFEBA" w14:textId="77777777" w:rsidR="00D74559" w:rsidRDefault="00D74559" w:rsidP="006E2EF5">
      <w:r>
        <w:t>Fees available in Post Placement Support may include:</w:t>
      </w:r>
    </w:p>
    <w:p w14:paraId="31750208" w14:textId="0296C5E3" w:rsidR="00D74559" w:rsidRPr="00DE0823" w:rsidRDefault="00D74559" w:rsidP="00DE0823">
      <w:pPr>
        <w:pStyle w:val="BulletLevel1"/>
      </w:pPr>
      <w:r w:rsidRPr="00DE7270">
        <w:t xml:space="preserve">Progress Fees after </w:t>
      </w:r>
      <w:r w:rsidR="00733499">
        <w:t>4-</w:t>
      </w:r>
      <w:r w:rsidRPr="00DE7270">
        <w:t xml:space="preserve">weeks of sustained </w:t>
      </w:r>
      <w:r w:rsidR="00111AD8">
        <w:t>E</w:t>
      </w:r>
      <w:r w:rsidRPr="00DE7270">
        <w:t>mployment</w:t>
      </w:r>
      <w:r w:rsidR="00D96582">
        <w:t xml:space="preserve"> — refer to </w:t>
      </w:r>
      <w:r w:rsidR="003B2E77">
        <w:fldChar w:fldCharType="begin"/>
      </w:r>
      <w:r w:rsidR="003B2E77">
        <w:instrText xml:space="preserve"> REF _Ref202881355 \h  \* MERGEFORMAT </w:instrText>
      </w:r>
      <w:r w:rsidR="003B2E77">
        <w:fldChar w:fldCharType="separate"/>
      </w:r>
      <w:r w:rsidR="003B2E77" w:rsidRPr="003B2E77">
        <w:t>11.4</w:t>
      </w:r>
      <w:r w:rsidR="003B2E77">
        <w:t xml:space="preserve"> </w:t>
      </w:r>
      <w:r w:rsidR="003B2E77" w:rsidRPr="003B2E77">
        <w:t>Progress Fees</w:t>
      </w:r>
      <w:r w:rsidR="003B2E77">
        <w:fldChar w:fldCharType="end"/>
      </w:r>
      <w:r w:rsidR="00D96582" w:rsidRPr="00DE0823">
        <w:fldChar w:fldCharType="begin"/>
      </w:r>
      <w:r w:rsidR="00D96582" w:rsidRPr="00DE0823">
        <w:instrText xml:space="preserve"> REF _Ref202880904 \h </w:instrText>
      </w:r>
      <w:r w:rsidR="00DE0823">
        <w:instrText xml:space="preserve"> \* MERGEFORMAT </w:instrText>
      </w:r>
      <w:r w:rsidR="00D96582" w:rsidRPr="00DE0823">
        <w:fldChar w:fldCharType="separate"/>
      </w:r>
      <w:r w:rsidR="00D96582" w:rsidRPr="00DE0823">
        <w:fldChar w:fldCharType="end"/>
      </w:r>
    </w:p>
    <w:p w14:paraId="70DBCC4A" w14:textId="46AE1167" w:rsidR="00D74559" w:rsidRPr="007E1066" w:rsidRDefault="00D74559" w:rsidP="007E1066">
      <w:pPr>
        <w:pStyle w:val="BulletLevel1"/>
      </w:pPr>
      <w:r w:rsidRPr="007E1066">
        <w:t xml:space="preserve">Outcome Fees after </w:t>
      </w:r>
      <w:r w:rsidR="00596E14" w:rsidRPr="007E1066">
        <w:t xml:space="preserve">a </w:t>
      </w:r>
      <w:r w:rsidRPr="007E1066">
        <w:t>12</w:t>
      </w:r>
      <w:r w:rsidR="00596E14" w:rsidRPr="007E1066">
        <w:t>-</w:t>
      </w:r>
      <w:r w:rsidRPr="007E1066">
        <w:t>week</w:t>
      </w:r>
      <w:r w:rsidR="00596E14" w:rsidRPr="007E1066">
        <w:t xml:space="preserve"> Period</w:t>
      </w:r>
      <w:r w:rsidRPr="007E1066">
        <w:t>, 26</w:t>
      </w:r>
      <w:r w:rsidR="00596E14" w:rsidRPr="007E1066">
        <w:t>-</w:t>
      </w:r>
      <w:r w:rsidRPr="007E1066">
        <w:t>week</w:t>
      </w:r>
      <w:r w:rsidR="00596E14" w:rsidRPr="007E1066">
        <w:t xml:space="preserve"> Period</w:t>
      </w:r>
      <w:r w:rsidRPr="007E1066">
        <w:t xml:space="preserve"> and 52-week</w:t>
      </w:r>
      <w:r w:rsidR="00596E14" w:rsidRPr="007E1066">
        <w:t xml:space="preserve"> Period</w:t>
      </w:r>
      <w:r w:rsidRPr="007E1066">
        <w:t xml:space="preserve"> of sustained </w:t>
      </w:r>
      <w:r w:rsidR="00111AD8" w:rsidRPr="007E1066">
        <w:t>E</w:t>
      </w:r>
      <w:r w:rsidRPr="007E1066">
        <w:t>mployment</w:t>
      </w:r>
      <w:r w:rsidR="00D96582" w:rsidRPr="007E1066">
        <w:t xml:space="preserve"> — refer to </w:t>
      </w:r>
      <w:r w:rsidR="003B2E77">
        <w:fldChar w:fldCharType="begin"/>
      </w:r>
      <w:r w:rsidR="003B2E77">
        <w:instrText xml:space="preserve"> REF _Ref202785050 \h  \* MERGEFORMAT </w:instrText>
      </w:r>
      <w:r w:rsidR="003B2E77">
        <w:fldChar w:fldCharType="separate"/>
      </w:r>
      <w:r w:rsidR="003B2E77" w:rsidRPr="003B2E77">
        <w:t>11.5</w:t>
      </w:r>
      <w:r w:rsidR="003B2E77">
        <w:t xml:space="preserve"> </w:t>
      </w:r>
      <w:r w:rsidR="003B2E77" w:rsidRPr="003B2E77">
        <w:t>Outcome Fees</w:t>
      </w:r>
      <w:r w:rsidR="003B2E77">
        <w:fldChar w:fldCharType="end"/>
      </w:r>
      <w:r w:rsidR="007E1066" w:rsidRPr="007E1066">
        <w:fldChar w:fldCharType="begin"/>
      </w:r>
      <w:r w:rsidR="007E1066" w:rsidRPr="007E1066">
        <w:instrText xml:space="preserve"> REF _Ref202785050 \h </w:instrText>
      </w:r>
      <w:r w:rsidR="007E1066">
        <w:instrText xml:space="preserve"> \* MERGEFORMAT </w:instrText>
      </w:r>
      <w:r w:rsidR="007E1066" w:rsidRPr="007E1066">
        <w:fldChar w:fldCharType="separate"/>
      </w:r>
      <w:r w:rsidR="007E1066" w:rsidRPr="007E1066">
        <w:fldChar w:fldCharType="end"/>
      </w:r>
      <w:r w:rsidR="00DE0823" w:rsidRPr="007E1066">
        <w:fldChar w:fldCharType="begin"/>
      </w:r>
      <w:r w:rsidR="00DE0823" w:rsidRPr="007E1066">
        <w:instrText xml:space="preserve"> REF _Ref202785050 \h  \* MERGEFORMAT </w:instrText>
      </w:r>
      <w:r w:rsidR="00DE0823" w:rsidRPr="007E1066">
        <w:fldChar w:fldCharType="separate"/>
      </w:r>
      <w:r w:rsidR="00DE0823" w:rsidRPr="007E1066">
        <w:fldChar w:fldCharType="end"/>
      </w:r>
      <w:r w:rsidR="00D96582" w:rsidRPr="007E1066">
        <w:fldChar w:fldCharType="begin"/>
      </w:r>
      <w:r w:rsidR="00D96582" w:rsidRPr="007E1066">
        <w:instrText xml:space="preserve"> REF _Ref202785050 \h </w:instrText>
      </w:r>
      <w:r w:rsidR="00687665" w:rsidRPr="007E1066">
        <w:instrText xml:space="preserve"> \* MERGEFORMAT </w:instrText>
      </w:r>
      <w:r w:rsidR="00D96582" w:rsidRPr="007E1066">
        <w:fldChar w:fldCharType="separate"/>
      </w:r>
      <w:r w:rsidR="00D96582" w:rsidRPr="007E1066">
        <w:fldChar w:fldCharType="end"/>
      </w:r>
      <w:r w:rsidRPr="007E1066">
        <w:t>, and</w:t>
      </w:r>
    </w:p>
    <w:p w14:paraId="3B39157D" w14:textId="6D3256A6" w:rsidR="00D74559" w:rsidRPr="00DE7270" w:rsidRDefault="00D74559" w:rsidP="009B0E28">
      <w:pPr>
        <w:pStyle w:val="BulletLevel1"/>
      </w:pPr>
      <w:r w:rsidRPr="00F67E80">
        <w:t xml:space="preserve">Moderate Intellectual Disability </w:t>
      </w:r>
      <w:r w:rsidR="00F67E80">
        <w:t xml:space="preserve">(MID) </w:t>
      </w:r>
      <w:r w:rsidRPr="00F67E80">
        <w:t>Payments</w:t>
      </w:r>
      <w:r w:rsidR="00056238" w:rsidRPr="00F67E80">
        <w:t>,</w:t>
      </w:r>
      <w:r w:rsidRPr="00F67E80">
        <w:t xml:space="preserve"> </w:t>
      </w:r>
      <w:r w:rsidR="00CD2249" w:rsidRPr="00F67E80">
        <w:t xml:space="preserve">which may be paid in addition to </w:t>
      </w:r>
      <w:r w:rsidR="007A29E5" w:rsidRPr="00F67E80">
        <w:t>Full Employment Outcome Fees</w:t>
      </w:r>
      <w:r w:rsidR="00F67E80" w:rsidRPr="00F67E80">
        <w:t xml:space="preserve"> </w:t>
      </w:r>
      <w:r w:rsidR="00300301" w:rsidRPr="00DE7270">
        <w:t>if the Participant has moderate intellectual disability</w:t>
      </w:r>
      <w:r w:rsidR="00300301">
        <w:t xml:space="preserve"> and has worked on average at least 15 hours per week over the Outcome Period </w:t>
      </w:r>
      <w:r w:rsidR="00F67E80" w:rsidRPr="00F67E80">
        <w:t xml:space="preserve">— refer to </w:t>
      </w:r>
      <w:r w:rsidR="00F67E80" w:rsidRPr="00F67E80">
        <w:fldChar w:fldCharType="begin"/>
      </w:r>
      <w:r w:rsidR="00F67E80" w:rsidRPr="00F67E80">
        <w:instrText xml:space="preserve"> REF _Ref202881484 \h </w:instrText>
      </w:r>
      <w:r w:rsidR="00F67E80">
        <w:instrText xml:space="preserve"> \* MERGEFORMAT </w:instrText>
      </w:r>
      <w:r w:rsidR="00F67E80" w:rsidRPr="00F67E80">
        <w:fldChar w:fldCharType="separate"/>
      </w:r>
      <w:r w:rsidR="000D75AE" w:rsidRPr="000D75AE">
        <w:t>11.6</w:t>
      </w:r>
      <w:r w:rsidR="003B2E77">
        <w:t xml:space="preserve"> </w:t>
      </w:r>
      <w:r w:rsidR="000D75AE" w:rsidRPr="000D75AE">
        <w:t>Moderate Intellectual Disability Payment</w:t>
      </w:r>
      <w:r w:rsidR="00F67E80" w:rsidRPr="00F67E80">
        <w:fldChar w:fldCharType="end"/>
      </w:r>
      <w:r w:rsidR="004727E7">
        <w:t>.</w:t>
      </w:r>
    </w:p>
    <w:p w14:paraId="17FA37C0" w14:textId="229766BB" w:rsidR="00D023C6" w:rsidRDefault="00D74559" w:rsidP="00D023C6">
      <w:r>
        <w:t xml:space="preserve">Providers must </w:t>
      </w:r>
      <w:r w:rsidR="00F4691C">
        <w:t>deliver</w:t>
      </w:r>
      <w:r>
        <w:t xml:space="preserve"> Post Placement Support to a Participant </w:t>
      </w:r>
      <w:r w:rsidR="008323E7">
        <w:t>who</w:t>
      </w:r>
      <w:r w:rsidR="003C6329">
        <w:t xml:space="preserve"> has commenced a Job Placement </w:t>
      </w:r>
      <w:r w:rsidR="00085EC7">
        <w:t>which is progressing to</w:t>
      </w:r>
      <w:r w:rsidR="001C7488">
        <w:t>wards an Employment Outcome</w:t>
      </w:r>
      <w:r w:rsidR="00D023C6">
        <w:t xml:space="preserve"> until the Participant has completed a 26-week Employment Outcome. The Provider must continue to support the Participant until they achieve a 52</w:t>
      </w:r>
      <w:r w:rsidR="00D023C6">
        <w:noBreakHyphen/>
        <w:t xml:space="preserve">week Employment Outcome by delivering either Post Placement Support or Ongoing Support. </w:t>
      </w:r>
    </w:p>
    <w:p w14:paraId="75398455" w14:textId="615CB88D" w:rsidR="00D74559" w:rsidRDefault="00D74559" w:rsidP="006E2EF5">
      <w:pPr>
        <w:rPr>
          <w:rFonts w:ascii="Tahoma" w:eastAsia="Tahoma" w:hAnsi="Tahoma" w:cs="Tahoma"/>
        </w:rPr>
      </w:pPr>
      <w:r>
        <w:t xml:space="preserve">The Participant will receive Post Placement Support to help with keeping their Employment until the Participant returns to Pre-Employment Support, </w:t>
      </w:r>
      <w:r w:rsidR="00D023C6">
        <w:t>s</w:t>
      </w:r>
      <w:r>
        <w:t>tarts receiving Ongoing Support</w:t>
      </w:r>
      <w:r w:rsidR="00D023C6" w:rsidRPr="00D023C6">
        <w:t xml:space="preserve"> </w:t>
      </w:r>
      <w:r w:rsidR="00D023C6">
        <w:t>or is Exited</w:t>
      </w:r>
      <w:r w:rsidR="00877611">
        <w:t xml:space="preserve"> (see </w:t>
      </w:r>
      <w:r w:rsidR="00877611">
        <w:fldChar w:fldCharType="begin"/>
      </w:r>
      <w:r w:rsidR="00877611">
        <w:instrText xml:space="preserve"> REF _Ref202881611 \h </w:instrText>
      </w:r>
      <w:r w:rsidR="00877611">
        <w:fldChar w:fldCharType="separate"/>
      </w:r>
      <w:r w:rsidR="000D75AE">
        <w:t>9.6</w:t>
      </w:r>
      <w:r w:rsidR="00C33F1F">
        <w:t xml:space="preserve"> </w:t>
      </w:r>
      <w:r w:rsidR="000D75AE">
        <w:t>Moving between</w:t>
      </w:r>
      <w:r w:rsidR="000D75AE" w:rsidRPr="539AEF4B">
        <w:t xml:space="preserve"> Post Placement Support</w:t>
      </w:r>
      <w:r w:rsidR="000D75AE">
        <w:t xml:space="preserve"> and other phases</w:t>
      </w:r>
      <w:r w:rsidR="00877611">
        <w:fldChar w:fldCharType="end"/>
      </w:r>
      <w:r w:rsidR="00877611">
        <w:t>)</w:t>
      </w:r>
      <w:r>
        <w:t>.</w:t>
      </w:r>
      <w:r w:rsidRPr="25249C38">
        <w:rPr>
          <w:rFonts w:ascii="Calibri" w:eastAsia="Calibri" w:hAnsi="Calibri" w:cs="Calibri"/>
        </w:rPr>
        <w:t xml:space="preserve"> </w:t>
      </w:r>
    </w:p>
    <w:p w14:paraId="22797E6F" w14:textId="5EE8B1FF" w:rsidR="00D023C6" w:rsidRDefault="00D023C6" w:rsidP="00D023C6">
      <w:r>
        <w:t>The Provider must Exit a Participant (Voluntary) who does not wish to receive Post Placement Support and who is eligible to Exit, as outlined in</w:t>
      </w:r>
      <w:r w:rsidR="00FE246E">
        <w:t xml:space="preserve"> </w:t>
      </w:r>
      <w:r w:rsidR="004572F7">
        <w:fldChar w:fldCharType="begin"/>
      </w:r>
      <w:r w:rsidR="004572F7">
        <w:instrText xml:space="preserve"> REF _Ref202780811 \h </w:instrText>
      </w:r>
      <w:r w:rsidR="004572F7">
        <w:fldChar w:fldCharType="separate"/>
      </w:r>
      <w:r w:rsidR="004572F7" w:rsidRPr="00BA23D8">
        <w:t>Chapter 3</w:t>
      </w:r>
      <w:r w:rsidR="004572F7">
        <w:t xml:space="preserve">: </w:t>
      </w:r>
      <w:r w:rsidR="004572F7" w:rsidRPr="00BA23D8">
        <w:t>Commencements, Transfers, Suspensions and Exits</w:t>
      </w:r>
      <w:r w:rsidR="004572F7">
        <w:fldChar w:fldCharType="end"/>
      </w:r>
      <w:r w:rsidR="00FE246E">
        <w:fldChar w:fldCharType="begin"/>
      </w:r>
      <w:r w:rsidR="00FE246E">
        <w:instrText xml:space="preserve"> REF _Ref202784863 \h </w:instrText>
      </w:r>
      <w:r w:rsidR="00FE246E">
        <w:fldChar w:fldCharType="separate"/>
      </w:r>
      <w:r w:rsidR="00FE246E">
        <w:fldChar w:fldCharType="end"/>
      </w:r>
      <w:r w:rsidR="00FE246E">
        <w:t>.</w:t>
      </w:r>
    </w:p>
    <w:p w14:paraId="72B7E2A0" w14:textId="435C5D25" w:rsidR="00093671" w:rsidDel="00B00F01" w:rsidRDefault="00093671" w:rsidP="00093671">
      <w:pPr>
        <w:pStyle w:val="Heading3"/>
      </w:pPr>
      <w:bookmarkStart w:id="387" w:name="_Toc202900046"/>
      <w:r>
        <w:t>9.2</w:t>
      </w:r>
      <w:r>
        <w:tab/>
        <w:t>Post Placement Support</w:t>
      </w:r>
      <w:bookmarkEnd w:id="387"/>
      <w:r>
        <w:t xml:space="preserve"> </w:t>
      </w:r>
    </w:p>
    <w:p w14:paraId="7B742EB0" w14:textId="0E7F96AE" w:rsidR="006703D8" w:rsidRDefault="00093671" w:rsidP="00F36022">
      <w:r>
        <w:t xml:space="preserve">Providers must deliver Post Placement Support to Participants </w:t>
      </w:r>
      <w:r w:rsidR="00401C63">
        <w:t>for the duration that they</w:t>
      </w:r>
      <w:r>
        <w:t xml:space="preserve"> are in Post Placement Support. </w:t>
      </w:r>
    </w:p>
    <w:p w14:paraId="137E0725" w14:textId="560A08EB" w:rsidR="00093671" w:rsidRDefault="00DA4AB3" w:rsidP="00093671">
      <w:r>
        <w:t>Post Placement Support can include</w:t>
      </w:r>
      <w:r w:rsidR="00093671">
        <w:t>:</w:t>
      </w:r>
    </w:p>
    <w:p w14:paraId="64E4C306" w14:textId="7CCD4B6B" w:rsidR="00093671" w:rsidRPr="00DF0FFD" w:rsidDel="00B00F01" w:rsidRDefault="00093671" w:rsidP="00DF0FFD">
      <w:pPr>
        <w:pStyle w:val="BulletLevel1"/>
      </w:pPr>
      <w:r w:rsidRPr="00180D10" w:rsidDel="00B00F01">
        <w:t xml:space="preserve">regular </w:t>
      </w:r>
      <w:r w:rsidRPr="00DF0FFD">
        <w:t>C</w:t>
      </w:r>
      <w:r w:rsidRPr="00DF0FFD" w:rsidDel="00B00F01">
        <w:t>ontact</w:t>
      </w:r>
      <w:r w:rsidRPr="00DF0FFD">
        <w:t>s</w:t>
      </w:r>
      <w:r w:rsidRPr="00DF0FFD" w:rsidDel="00B00F01">
        <w:t xml:space="preserve"> </w:t>
      </w:r>
      <w:r w:rsidRPr="00DF0FFD">
        <w:t>to</w:t>
      </w:r>
      <w:r w:rsidRPr="00DF0FFD" w:rsidDel="00B00F01">
        <w:t xml:space="preserve"> the</w:t>
      </w:r>
      <w:r w:rsidRPr="00DF0FFD">
        <w:t xml:space="preserve"> Participant</w:t>
      </w:r>
      <w:r w:rsidRPr="00DF0FFD" w:rsidDel="00B00F01">
        <w:t>, as needed</w:t>
      </w:r>
      <w:r w:rsidRPr="00DF0FFD">
        <w:t>,</w:t>
      </w:r>
      <w:r w:rsidRPr="00DF0FFD" w:rsidDel="00B00F01">
        <w:t xml:space="preserve"> to support the </w:t>
      </w:r>
      <w:r w:rsidR="00401C63" w:rsidRPr="00DF0FFD">
        <w:t xml:space="preserve">Job </w:t>
      </w:r>
      <w:r w:rsidRPr="00DF0FFD">
        <w:t>P</w:t>
      </w:r>
      <w:r w:rsidRPr="00DF0FFD" w:rsidDel="00B00F01">
        <w:t xml:space="preserve">lacement </w:t>
      </w:r>
    </w:p>
    <w:p w14:paraId="371A99F1" w14:textId="0B037F53" w:rsidR="00093671" w:rsidRPr="00DF0FFD" w:rsidDel="00B00F01" w:rsidRDefault="00093671" w:rsidP="00DF0FFD">
      <w:pPr>
        <w:pStyle w:val="BulletLevel1"/>
      </w:pPr>
      <w:r w:rsidRPr="00DF0FFD" w:rsidDel="00B00F01">
        <w:t>support</w:t>
      </w:r>
      <w:r w:rsidR="00DA4AB3" w:rsidRPr="00DF0FFD">
        <w:t xml:space="preserve"> for</w:t>
      </w:r>
      <w:r w:rsidRPr="00DF0FFD" w:rsidDel="00B00F01">
        <w:t xml:space="preserve"> the </w:t>
      </w:r>
      <w:r w:rsidRPr="00DF0FFD">
        <w:t>Employer</w:t>
      </w:r>
      <w:r w:rsidRPr="00DF0FFD" w:rsidDel="00B00F01">
        <w:t xml:space="preserve"> </w:t>
      </w:r>
      <w:r w:rsidRPr="00DF0FFD">
        <w:t>(where agreed by the Participant)</w:t>
      </w:r>
      <w:r w:rsidR="00DA4AB3" w:rsidRPr="00DF0FFD">
        <w:t>,</w:t>
      </w:r>
      <w:r w:rsidRPr="00DF0FFD" w:rsidDel="00B00F01">
        <w:t xml:space="preserve"> </w:t>
      </w:r>
      <w:r w:rsidR="00DA4AB3" w:rsidRPr="00DF0FFD">
        <w:t>including</w:t>
      </w:r>
      <w:r w:rsidRPr="00DF0FFD" w:rsidDel="00B00F01">
        <w:t xml:space="preserve"> advi</w:t>
      </w:r>
      <w:r w:rsidRPr="00DF0FFD">
        <w:t>c</w:t>
      </w:r>
      <w:r w:rsidRPr="00DF0FFD" w:rsidDel="00B00F01">
        <w:t xml:space="preserve">e about disability management and available support </w:t>
      </w:r>
    </w:p>
    <w:p w14:paraId="12908773" w14:textId="77777777" w:rsidR="00093671" w:rsidRPr="00DF0FFD" w:rsidDel="00B00F01" w:rsidRDefault="00093671" w:rsidP="00DF0FFD">
      <w:pPr>
        <w:pStyle w:val="BulletLevel1"/>
      </w:pPr>
      <w:r w:rsidRPr="00DF0FFD">
        <w:t xml:space="preserve">help with the costs of necessary equipment, licenses or transport </w:t>
      </w:r>
    </w:p>
    <w:p w14:paraId="4DA8F289" w14:textId="0C3A5CC7" w:rsidR="00093671" w:rsidRPr="008E592E" w:rsidDel="00B00F01" w:rsidRDefault="00C437EE" w:rsidP="00DF0FFD">
      <w:pPr>
        <w:pStyle w:val="BulletLevel1"/>
      </w:pPr>
      <w:r w:rsidRPr="00DF0FFD">
        <w:t>supporting the</w:t>
      </w:r>
      <w:r w:rsidR="00093671" w:rsidRPr="00DF0FFD">
        <w:t xml:space="preserve"> Participant and/or Employer </w:t>
      </w:r>
      <w:r w:rsidRPr="00DF0FFD">
        <w:t>to</w:t>
      </w:r>
      <w:r w:rsidR="00093671" w:rsidRPr="00DF0FFD" w:rsidDel="00B00F01">
        <w:t xml:space="preserve"> acces</w:t>
      </w:r>
      <w:r w:rsidRPr="00DF0FFD">
        <w:t>s</w:t>
      </w:r>
      <w:r w:rsidR="00093671" w:rsidRPr="00DF0FFD" w:rsidDel="00B00F01">
        <w:t xml:space="preserve"> funding for workplace modifications and equipment</w:t>
      </w:r>
      <w:r w:rsidR="00093671" w:rsidRPr="00DF0FFD">
        <w:t xml:space="preserve"> where</w:t>
      </w:r>
      <w:r w:rsidR="00093671">
        <w:t xml:space="preserve"> needed</w:t>
      </w:r>
      <w:r w:rsidR="00093671" w:rsidRPr="00180D10" w:rsidDel="00B00F01">
        <w:t xml:space="preserve">, through </w:t>
      </w:r>
      <w:r w:rsidR="00093671" w:rsidRPr="008E592E" w:rsidDel="00B00F01">
        <w:t>the Employment Assistance Fund</w:t>
      </w:r>
      <w:r w:rsidR="00093671">
        <w:t xml:space="preserve"> (EAF)</w:t>
      </w:r>
      <w:r w:rsidR="00093671" w:rsidRPr="008E592E" w:rsidDel="00B00F01">
        <w:t xml:space="preserve">. </w:t>
      </w:r>
    </w:p>
    <w:p w14:paraId="656D4E9B" w14:textId="760A2F55" w:rsidR="00093671" w:rsidRPr="009A4232" w:rsidRDefault="00C437EE" w:rsidP="00093671">
      <w:r>
        <w:t xml:space="preserve">Services </w:t>
      </w:r>
      <w:r w:rsidR="00093671">
        <w:t xml:space="preserve">provided </w:t>
      </w:r>
      <w:r w:rsidR="005D7964">
        <w:t xml:space="preserve">during the Post Placement Support phase </w:t>
      </w:r>
      <w:r w:rsidR="00093671">
        <w:t>will vary depending on the circumstances of the Participant, Employer and Job Placement.</w:t>
      </w:r>
    </w:p>
    <w:p w14:paraId="2747D4FE" w14:textId="0CEEC132" w:rsidR="006E2FA2" w:rsidRDefault="00093671" w:rsidP="00093671">
      <w:r>
        <w:t xml:space="preserve">Providers </w:t>
      </w:r>
      <w:r w:rsidR="00FB506C">
        <w:t xml:space="preserve">should </w:t>
      </w:r>
      <w:r>
        <w:t>keep an effective</w:t>
      </w:r>
      <w:r w:rsidR="000A5F0C">
        <w:t>, positive</w:t>
      </w:r>
      <w:r>
        <w:t xml:space="preserve"> relationship with the Participant and</w:t>
      </w:r>
      <w:r w:rsidR="00EE5458">
        <w:t>/</w:t>
      </w:r>
      <w:r w:rsidR="2E14CE5E">
        <w:t xml:space="preserve">or </w:t>
      </w:r>
      <w:r>
        <w:t xml:space="preserve">Employer to ensure the effectiveness of the Job Placement. An effective relationship will also help the Provider to collect Documentary Evidence that must support any claim for an </w:t>
      </w:r>
      <w:r w:rsidR="000D30B4">
        <w:t xml:space="preserve">Employment </w:t>
      </w:r>
      <w:r>
        <w:t>Outcome Fee.</w:t>
      </w:r>
      <w:r w:rsidR="1A5FF555">
        <w:t xml:space="preserve">  </w:t>
      </w:r>
    </w:p>
    <w:p w14:paraId="59DBA1FC" w14:textId="651BF792" w:rsidR="00093671" w:rsidRDefault="1A5FF555" w:rsidP="00093671">
      <w:r>
        <w:t xml:space="preserve">Providers </w:t>
      </w:r>
      <w:r w:rsidR="00F62D45">
        <w:t>must</w:t>
      </w:r>
      <w:r>
        <w:t xml:space="preserve"> take into account</w:t>
      </w:r>
      <w:r w:rsidR="18A46D7A">
        <w:t xml:space="preserve"> </w:t>
      </w:r>
      <w:r w:rsidR="395CF373">
        <w:t>any sensitiv</w:t>
      </w:r>
      <w:r w:rsidR="72B310AA">
        <w:t>ities</w:t>
      </w:r>
      <w:r w:rsidR="7FB23284">
        <w:t>, for example</w:t>
      </w:r>
      <w:r w:rsidR="00C97C67">
        <w:t>,</w:t>
      </w:r>
      <w:r w:rsidR="395CF373">
        <w:t xml:space="preserve"> whether </w:t>
      </w:r>
      <w:r w:rsidR="005A4504">
        <w:t xml:space="preserve">the Participant has </w:t>
      </w:r>
      <w:r w:rsidR="00960A12">
        <w:t xml:space="preserve">not </w:t>
      </w:r>
      <w:r w:rsidR="005A4504">
        <w:t>disc</w:t>
      </w:r>
      <w:r w:rsidR="00915C72">
        <w:t>losed their disability to their Employer</w:t>
      </w:r>
      <w:r w:rsidR="005C3F04">
        <w:t xml:space="preserve"> and/</w:t>
      </w:r>
      <w:r w:rsidR="395CF373">
        <w:t xml:space="preserve">or whether the </w:t>
      </w:r>
      <w:r w:rsidR="34366188">
        <w:t>P</w:t>
      </w:r>
      <w:r w:rsidR="395CF373">
        <w:t xml:space="preserve">articipant </w:t>
      </w:r>
      <w:r w:rsidR="00960A12">
        <w:t xml:space="preserve">does not </w:t>
      </w:r>
      <w:r w:rsidR="395CF373">
        <w:t xml:space="preserve">want their </w:t>
      </w:r>
      <w:r w:rsidR="2FD61F56">
        <w:t>P</w:t>
      </w:r>
      <w:r w:rsidR="395CF373">
        <w:t>ro</w:t>
      </w:r>
      <w:r w:rsidR="05308193">
        <w:t xml:space="preserve">vider to contact their </w:t>
      </w:r>
      <w:r w:rsidR="1163FBE3">
        <w:t>E</w:t>
      </w:r>
      <w:r w:rsidR="05308193">
        <w:t xml:space="preserve">mployer. </w:t>
      </w:r>
      <w:r w:rsidR="1FA3CA51">
        <w:t xml:space="preserve">In these </w:t>
      </w:r>
      <w:r w:rsidR="3BF87B5D">
        <w:t>instances,</w:t>
      </w:r>
      <w:r w:rsidR="1FA3CA51">
        <w:t xml:space="preserve"> the </w:t>
      </w:r>
      <w:r w:rsidR="00960A12">
        <w:t>P</w:t>
      </w:r>
      <w:r w:rsidR="1FA3CA51">
        <w:t xml:space="preserve">rovider would contact the </w:t>
      </w:r>
      <w:r w:rsidR="698EBB3B">
        <w:t>P</w:t>
      </w:r>
      <w:r w:rsidR="1FA3CA51">
        <w:t>articipant only</w:t>
      </w:r>
      <w:r w:rsidR="3B69F81A">
        <w:t>.</w:t>
      </w:r>
      <w:r w:rsidR="00093671">
        <w:t xml:space="preserve"> Providers must not </w:t>
      </w:r>
      <w:r w:rsidR="1073311B">
        <w:t>disclose</w:t>
      </w:r>
      <w:r w:rsidR="00093671">
        <w:t xml:space="preserve"> the Participant’s disability, health condition or other personal details to the Participant’s Employer unless the Participant has consented to the disclosure.</w:t>
      </w:r>
    </w:p>
    <w:p w14:paraId="1E7D3FCA" w14:textId="599120B3" w:rsidR="000D2AD4" w:rsidRDefault="000D2AD4" w:rsidP="00093671">
      <w:pPr>
        <w:rPr>
          <w:sz w:val="20"/>
          <w:szCs w:val="20"/>
        </w:rPr>
      </w:pPr>
      <w:r w:rsidRPr="000442C2">
        <w:rPr>
          <w:sz w:val="20"/>
          <w:szCs w:val="20"/>
        </w:rPr>
        <w:t>(Deed Reference(s): Clause 119</w:t>
      </w:r>
      <w:r>
        <w:rPr>
          <w:sz w:val="20"/>
          <w:szCs w:val="20"/>
        </w:rPr>
        <w:t>, 121</w:t>
      </w:r>
      <w:r w:rsidRPr="000442C2">
        <w:rPr>
          <w:sz w:val="20"/>
          <w:szCs w:val="20"/>
        </w:rPr>
        <w:t>)</w:t>
      </w:r>
    </w:p>
    <w:p w14:paraId="41288EFB" w14:textId="21A21F68" w:rsidR="00D74559" w:rsidRDefault="00D74559" w:rsidP="001D0F92">
      <w:pPr>
        <w:pStyle w:val="Heading3"/>
      </w:pPr>
      <w:bookmarkStart w:id="388" w:name="_Ref202885093"/>
      <w:bookmarkStart w:id="389" w:name="_Toc202900047"/>
      <w:r>
        <w:t>9.</w:t>
      </w:r>
      <w:r w:rsidR="00093671">
        <w:t>3</w:t>
      </w:r>
      <w:r w:rsidR="006F727E">
        <w:tab/>
      </w:r>
      <w:r>
        <w:t>Movement to Post Placement Support</w:t>
      </w:r>
      <w:bookmarkEnd w:id="388"/>
      <w:bookmarkEnd w:id="389"/>
    </w:p>
    <w:p w14:paraId="6C151989" w14:textId="744A5C6D" w:rsidR="00D74559" w:rsidRDefault="00D74559" w:rsidP="001D0F92">
      <w:pPr>
        <w:pStyle w:val="Heading4"/>
      </w:pPr>
      <w:bookmarkStart w:id="390" w:name="_Toc202900048"/>
      <w:r w:rsidRPr="25249C38">
        <w:t>9.</w:t>
      </w:r>
      <w:r w:rsidR="00B93A55">
        <w:t>3</w:t>
      </w:r>
      <w:r w:rsidRPr="25249C38">
        <w:t>.1</w:t>
      </w:r>
      <w:r w:rsidR="006F727E">
        <w:tab/>
      </w:r>
      <w:r>
        <w:t>Vacancy</w:t>
      </w:r>
      <w:r w:rsidRPr="25249C38">
        <w:t xml:space="preserve"> management</w:t>
      </w:r>
      <w:bookmarkEnd w:id="390"/>
    </w:p>
    <w:p w14:paraId="38934774" w14:textId="3E220CD0" w:rsidR="00320CAA" w:rsidRDefault="00D74559" w:rsidP="006E2EF5">
      <w:r w:rsidRPr="008A1229">
        <w:t xml:space="preserve">Providers </w:t>
      </w:r>
      <w:r>
        <w:t>record</w:t>
      </w:r>
      <w:r w:rsidR="00331C18">
        <w:t xml:space="preserve"> the</w:t>
      </w:r>
      <w:r>
        <w:t xml:space="preserve"> details of </w:t>
      </w:r>
      <w:r w:rsidR="00311541">
        <w:t>Job Placement</w:t>
      </w:r>
      <w:r w:rsidR="00307641">
        <w:t>s</w:t>
      </w:r>
      <w:r w:rsidR="001624D4">
        <w:t xml:space="preserve">, including </w:t>
      </w:r>
      <w:r w:rsidR="00A335A9">
        <w:t>Vacancies sourced by the Participant</w:t>
      </w:r>
      <w:r w:rsidR="00DB2DE6">
        <w:t>,</w:t>
      </w:r>
      <w:r>
        <w:t xml:space="preserve"> in</w:t>
      </w:r>
      <w:r w:rsidRPr="008A1229">
        <w:t xml:space="preserve"> the Department’s IT </w:t>
      </w:r>
      <w:r>
        <w:t>System</w:t>
      </w:r>
      <w:r w:rsidR="6AD8D889">
        <w:t>s</w:t>
      </w:r>
      <w:r w:rsidRPr="008A1229">
        <w:t xml:space="preserve"> as a Vacancy.</w:t>
      </w:r>
      <w:r w:rsidR="00E1383C">
        <w:t xml:space="preserve"> </w:t>
      </w:r>
    </w:p>
    <w:p w14:paraId="00818B98" w14:textId="73239EE2" w:rsidR="00D74559" w:rsidRDefault="00E1383C" w:rsidP="006E2EF5">
      <w:r w:rsidRPr="00A17B7B">
        <w:t xml:space="preserve">Providers </w:t>
      </w:r>
      <w:r>
        <w:t xml:space="preserve">will </w:t>
      </w:r>
      <w:r w:rsidRPr="00A17B7B">
        <w:t>need to enter a range of information including a job description, Employer details, hours, salary, Vacancy type and whether the job was sourced by the Participan</w:t>
      </w:r>
      <w:r w:rsidR="00B54505">
        <w:t>t.</w:t>
      </w:r>
    </w:p>
    <w:p w14:paraId="2DA60150" w14:textId="42589085" w:rsidR="00E541B6" w:rsidRDefault="00E541B6" w:rsidP="006E2EF5">
      <w:r>
        <w:t xml:space="preserve">Vacancy types </w:t>
      </w:r>
      <w:r w:rsidR="0006038E">
        <w:t>are</w:t>
      </w:r>
      <w:r>
        <w:t>:</w:t>
      </w:r>
    </w:p>
    <w:p w14:paraId="2C7B76BB" w14:textId="207CDB41" w:rsidR="00561E4B" w:rsidRDefault="006B5009" w:rsidP="004E120D">
      <w:pPr>
        <w:pStyle w:val="BulletLevel1"/>
      </w:pPr>
      <w:r>
        <w:t>n</w:t>
      </w:r>
      <w:r w:rsidR="00561E4B">
        <w:t xml:space="preserve">ormal position — used when none </w:t>
      </w:r>
      <w:r w:rsidR="00464302">
        <w:t xml:space="preserve">of </w:t>
      </w:r>
      <w:r w:rsidR="00561E4B">
        <w:t xml:space="preserve">the </w:t>
      </w:r>
      <w:r w:rsidR="002E05ED">
        <w:t xml:space="preserve">more specific types </w:t>
      </w:r>
      <w:r w:rsidR="00AC3B03">
        <w:t xml:space="preserve">below </w:t>
      </w:r>
      <w:r w:rsidR="002E05ED">
        <w:t>are applicable</w:t>
      </w:r>
    </w:p>
    <w:p w14:paraId="46D6A9E9" w14:textId="576C0A64" w:rsidR="00E541B6" w:rsidRDefault="0011022B" w:rsidP="004E120D">
      <w:pPr>
        <w:pStyle w:val="BulletLevel1"/>
      </w:pPr>
      <w:r>
        <w:t>Apprenticeship or Traineeship</w:t>
      </w:r>
    </w:p>
    <w:p w14:paraId="746BCCCE" w14:textId="6D701C53" w:rsidR="0011022B" w:rsidRDefault="0000113C" w:rsidP="004E120D">
      <w:pPr>
        <w:pStyle w:val="BulletLevel1"/>
      </w:pPr>
      <w:r>
        <w:t>P</w:t>
      </w:r>
      <w:r w:rsidR="0011022B">
        <w:t>re-</w:t>
      </w:r>
      <w:r>
        <w:t>E</w:t>
      </w:r>
      <w:r w:rsidR="0011022B">
        <w:t>xisting Employment</w:t>
      </w:r>
    </w:p>
    <w:p w14:paraId="2F00FFAC" w14:textId="02E9915B" w:rsidR="0011022B" w:rsidRDefault="006B5009" w:rsidP="004E120D">
      <w:pPr>
        <w:pStyle w:val="BulletLevel1"/>
      </w:pPr>
      <w:r>
        <w:t>i</w:t>
      </w:r>
      <w:r w:rsidR="0011022B">
        <w:t>nternship</w:t>
      </w:r>
    </w:p>
    <w:p w14:paraId="1370F9DB" w14:textId="44F2B3D6" w:rsidR="0011022B" w:rsidRDefault="006B5009" w:rsidP="004E120D">
      <w:pPr>
        <w:pStyle w:val="BulletLevel1"/>
      </w:pPr>
      <w:r>
        <w:t>g</w:t>
      </w:r>
      <w:r w:rsidR="003E0D79">
        <w:t>raduate</w:t>
      </w:r>
    </w:p>
    <w:p w14:paraId="18975535" w14:textId="1FC33752" w:rsidR="003E0D79" w:rsidRDefault="006B5009" w:rsidP="004E120D">
      <w:pPr>
        <w:pStyle w:val="BulletLevel1"/>
      </w:pPr>
      <w:r>
        <w:t>s</w:t>
      </w:r>
      <w:r w:rsidR="003E0D79">
        <w:t>easonal</w:t>
      </w:r>
    </w:p>
    <w:p w14:paraId="7840BE08" w14:textId="643AB209" w:rsidR="003E0D79" w:rsidRDefault="006B5009" w:rsidP="004E120D">
      <w:pPr>
        <w:pStyle w:val="BulletLevel1"/>
      </w:pPr>
      <w:r>
        <w:t>s</w:t>
      </w:r>
      <w:r w:rsidR="003E0D79">
        <w:t>elf-</w:t>
      </w:r>
      <w:r>
        <w:t>e</w:t>
      </w:r>
      <w:r w:rsidR="003E0D79">
        <w:t>mployment</w:t>
      </w:r>
      <w:r w:rsidR="00AC726C">
        <w:t>.</w:t>
      </w:r>
    </w:p>
    <w:p w14:paraId="272FD5D6" w14:textId="7C5C02E5" w:rsidR="00D74559" w:rsidRDefault="7889D5B6" w:rsidP="006D3A54">
      <w:r>
        <w:t xml:space="preserve">When sourcing Vacancies for a Participant, </w:t>
      </w:r>
      <w:r w:rsidR="00D74559">
        <w:t>Providers must</w:t>
      </w:r>
      <w:r w:rsidR="60D7460A">
        <w:t xml:space="preserve"> </w:t>
      </w:r>
      <w:r w:rsidR="00D74559" w:rsidRPr="006724D7">
        <w:t xml:space="preserve">ensure the Vacancy is not a </w:t>
      </w:r>
      <w:r w:rsidR="0044763A">
        <w:t xml:space="preserve">Non-Payable </w:t>
      </w:r>
      <w:r w:rsidR="0009724A">
        <w:t>Outcome</w:t>
      </w:r>
      <w:r w:rsidR="00D74559" w:rsidRPr="006724D7">
        <w:t xml:space="preserve">, </w:t>
      </w:r>
      <w:r w:rsidR="7BDD607C">
        <w:t xml:space="preserve">including that </w:t>
      </w:r>
      <w:r w:rsidR="00D74559" w:rsidRPr="6E68D962">
        <w:t>the relevant minimum wage is satisfied</w:t>
      </w:r>
      <w:r w:rsidR="07C73D73">
        <w:t xml:space="preserve"> </w:t>
      </w:r>
      <w:r w:rsidR="00E81832">
        <w:t xml:space="preserve">— Providers may </w:t>
      </w:r>
      <w:r w:rsidR="008334D2">
        <w:t>wish to refer to</w:t>
      </w:r>
      <w:r w:rsidR="00E81832">
        <w:t xml:space="preserve"> </w:t>
      </w:r>
      <w:r w:rsidR="00D77249">
        <w:t>information on</w:t>
      </w:r>
      <w:r w:rsidR="00C54E43">
        <w:t xml:space="preserve"> </w:t>
      </w:r>
      <w:r w:rsidR="4365188F">
        <w:t>Minimum Wages</w:t>
      </w:r>
      <w:r w:rsidR="00D77249">
        <w:t xml:space="preserve"> published by the </w:t>
      </w:r>
      <w:hyperlink r:id="rId74" w:history="1">
        <w:r w:rsidR="00C52AC0">
          <w:rPr>
            <w:rStyle w:val="Hyperlink"/>
          </w:rPr>
          <w:t>Fair Work Ombudsman</w:t>
        </w:r>
      </w:hyperlink>
      <w:r w:rsidR="4AB17620">
        <w:t>.</w:t>
      </w:r>
      <w:r w:rsidR="1152EE01">
        <w:t xml:space="preserve"> Providers m</w:t>
      </w:r>
      <w:r w:rsidR="6DFA54F9">
        <w:t>ust not refer Participant</w:t>
      </w:r>
      <w:r w:rsidR="690DAEE7">
        <w:t>s</w:t>
      </w:r>
      <w:r w:rsidR="6DFA54F9">
        <w:t xml:space="preserve"> to any Vaca</w:t>
      </w:r>
      <w:r w:rsidR="434A28CE">
        <w:t>ncy that does not meet minimum requirements under applicable workplace legislation.</w:t>
      </w:r>
    </w:p>
    <w:p w14:paraId="3D84EDBF" w14:textId="131D1447" w:rsidR="00645BDC" w:rsidRDefault="00FC2C48" w:rsidP="00645BDC">
      <w:r>
        <w:t>In addition, Providers must not anchor</w:t>
      </w:r>
      <w:r w:rsidR="00881C25" w:rsidRPr="00881C25">
        <w:t xml:space="preserve"> </w:t>
      </w:r>
      <w:r w:rsidR="00E8521E">
        <w:t xml:space="preserve">any Participant-sourced Vacancy or claim an Outcome Fee </w:t>
      </w:r>
      <w:r w:rsidR="00945710">
        <w:t>for that placement</w:t>
      </w:r>
      <w:r w:rsidR="00881C25" w:rsidRPr="00881C25">
        <w:t xml:space="preserve"> if </w:t>
      </w:r>
      <w:r w:rsidR="00945710">
        <w:t>the</w:t>
      </w:r>
      <w:r w:rsidR="00881C25" w:rsidRPr="00881C25">
        <w:t xml:space="preserve"> Provider becomes aware the employment does not meet National Minimum Wage requirements</w:t>
      </w:r>
      <w:r w:rsidR="006F712E">
        <w:t>.</w:t>
      </w:r>
      <w:r w:rsidR="00881C25">
        <w:t xml:space="preserve"> </w:t>
      </w:r>
      <w:r w:rsidR="006F712E">
        <w:t xml:space="preserve">In this case, the Provider </w:t>
      </w:r>
      <w:r w:rsidR="009131AF" w:rsidRPr="009131AF">
        <w:t>should ensure the Participant is aware of the information and assistance available to them through the Fair Work Ombudsman</w:t>
      </w:r>
      <w:r w:rsidR="009131AF">
        <w:t>.</w:t>
      </w:r>
    </w:p>
    <w:p w14:paraId="3D905C7D" w14:textId="67F4DDE6" w:rsidR="00115398" w:rsidRPr="00A17B7B" w:rsidRDefault="00D663BF" w:rsidP="00115398">
      <w:pPr>
        <w:pStyle w:val="SystemStep"/>
      </w:pPr>
      <w:r>
        <w:t>Providers must lodge Vacancies</w:t>
      </w:r>
      <w:r w:rsidR="00115398" w:rsidRPr="00A17B7B">
        <w:t xml:space="preserve"> in the Department’s IT Systems</w:t>
      </w:r>
      <w:r w:rsidR="005C4331">
        <w:t xml:space="preserve"> </w:t>
      </w:r>
      <w:r w:rsidR="003016F3">
        <w:t>and</w:t>
      </w:r>
      <w:r w:rsidR="009579AD">
        <w:t xml:space="preserve"> </w:t>
      </w:r>
      <w:r w:rsidR="008A5C9C">
        <w:t xml:space="preserve">follow the workflow to </w:t>
      </w:r>
      <w:r w:rsidR="009579AD">
        <w:t>provid</w:t>
      </w:r>
      <w:r w:rsidR="003016F3">
        <w:t>e</w:t>
      </w:r>
      <w:r w:rsidR="009579AD">
        <w:t xml:space="preserve"> a complete record</w:t>
      </w:r>
      <w:r w:rsidR="00841E09">
        <w:t xml:space="preserve"> of the </w:t>
      </w:r>
      <w:r w:rsidR="00E818DD">
        <w:t>Employment details.</w:t>
      </w:r>
    </w:p>
    <w:p w14:paraId="712B3606" w14:textId="77777777" w:rsidR="00D74559" w:rsidRPr="00A17B7B" w:rsidRDefault="00D74559" w:rsidP="006F727E">
      <w:pPr>
        <w:pStyle w:val="SystemStep"/>
      </w:pPr>
      <w:r w:rsidRPr="00A17B7B">
        <w:t>Providers must connect the Vacancy record with a Participant in the Department’s IT Systems when the Participant is placed into the Vacancy. This includes the date the Participant started in the Job Placement.</w:t>
      </w:r>
    </w:p>
    <w:p w14:paraId="21C488BB" w14:textId="77777777" w:rsidR="00D74559" w:rsidRDefault="00D74559" w:rsidP="006D1645">
      <w:pPr>
        <w:pStyle w:val="Heading5"/>
      </w:pPr>
      <w:r>
        <w:t>Placements with the Provider or Related Entity</w:t>
      </w:r>
    </w:p>
    <w:p w14:paraId="19F1B55A" w14:textId="6302E34B" w:rsidR="00D74559" w:rsidRDefault="00D74559" w:rsidP="006E2EF5">
      <w:r>
        <w:t xml:space="preserve">Providers can place a Participant into a paid </w:t>
      </w:r>
      <w:r w:rsidR="005D5C8E">
        <w:t>E</w:t>
      </w:r>
      <w:r>
        <w:t>mployment position with the Provider’s Own Organisation or Related Entity.</w:t>
      </w:r>
      <w:r w:rsidR="001F00CE">
        <w:t xml:space="preserve"> </w:t>
      </w:r>
      <w:r w:rsidR="00FA6B73">
        <w:t xml:space="preserve">However, </w:t>
      </w:r>
      <w:r w:rsidR="0018378B">
        <w:t>Job</w:t>
      </w:r>
      <w:r>
        <w:t xml:space="preserve"> </w:t>
      </w:r>
      <w:r w:rsidR="0018378B">
        <w:t>P</w:t>
      </w:r>
      <w:r>
        <w:t>lacements with</w:t>
      </w:r>
      <w:r w:rsidR="00994600">
        <w:t>in</w:t>
      </w:r>
      <w:r>
        <w:t xml:space="preserve"> a Provider’s Own Organisation or Related Entity cannot form part of any </w:t>
      </w:r>
      <w:r w:rsidR="00FB3F99">
        <w:t xml:space="preserve">Employment </w:t>
      </w:r>
      <w:r>
        <w:t xml:space="preserve">Outcome </w:t>
      </w:r>
      <w:r w:rsidR="00FB3F99">
        <w:t>claim</w:t>
      </w:r>
      <w:r>
        <w:t xml:space="preserve"> unless the Provider has obtained the Department’s written agreement that the</w:t>
      </w:r>
      <w:r w:rsidR="00FB3F99">
        <w:t xml:space="preserve"> Job</w:t>
      </w:r>
      <w:r>
        <w:t xml:space="preserve"> </w:t>
      </w:r>
      <w:r w:rsidR="00BD340B">
        <w:t>P</w:t>
      </w:r>
      <w:r>
        <w:t xml:space="preserve">lacement can be used this way. This is because there is a real or apparent </w:t>
      </w:r>
      <w:r w:rsidR="00FB3F99">
        <w:t>c</w:t>
      </w:r>
      <w:r>
        <w:t xml:space="preserve">onflict of interest when a Provider can claim an Outcome Fee by </w:t>
      </w:r>
      <w:r w:rsidR="00233AC3">
        <w:t>E</w:t>
      </w:r>
      <w:r>
        <w:t xml:space="preserve">mploying a Participant on their own </w:t>
      </w:r>
      <w:r w:rsidR="005C37ED">
        <w:t>C</w:t>
      </w:r>
      <w:r>
        <w:t>aseload.</w:t>
      </w:r>
    </w:p>
    <w:p w14:paraId="68C6F72A" w14:textId="66AF98C8" w:rsidR="00D74559" w:rsidRDefault="00D74559" w:rsidP="006E2EF5">
      <w:r>
        <w:t xml:space="preserve">Providers can seek the Department’s approval of an Own Organisation or Related Entity </w:t>
      </w:r>
      <w:r w:rsidR="007F4F95">
        <w:t>Job P</w:t>
      </w:r>
      <w:r>
        <w:t xml:space="preserve">lacement by sending an email to the relevant Relationship Account Manager that sets out the full circumstances of the </w:t>
      </w:r>
      <w:r w:rsidR="007F4F95">
        <w:t>Job</w:t>
      </w:r>
      <w:r>
        <w:t xml:space="preserve"> </w:t>
      </w:r>
      <w:r w:rsidR="007F4F95">
        <w:t>P</w:t>
      </w:r>
      <w:r>
        <w:t>lacement, including:</w:t>
      </w:r>
    </w:p>
    <w:p w14:paraId="3404EC50" w14:textId="53337D05" w:rsidR="00D74559" w:rsidRDefault="00D74559" w:rsidP="004E120D">
      <w:pPr>
        <w:pStyle w:val="BulletLevel1"/>
      </w:pPr>
      <w:r>
        <w:t xml:space="preserve">the intended </w:t>
      </w:r>
      <w:r w:rsidR="00BE7B9D">
        <w:t>work</w:t>
      </w:r>
      <w:r>
        <w:t xml:space="preserve"> duties, </w:t>
      </w:r>
      <w:r w:rsidR="00D758E9">
        <w:t>term of employment</w:t>
      </w:r>
      <w:r>
        <w:t>, hours and wages</w:t>
      </w:r>
    </w:p>
    <w:p w14:paraId="3BEA7BAD" w14:textId="77777777" w:rsidR="00D74559" w:rsidRDefault="00D74559" w:rsidP="004E120D">
      <w:pPr>
        <w:pStyle w:val="BulletLevel1"/>
      </w:pPr>
      <w:r>
        <w:t>why the Provider wishes to make the placement, and</w:t>
      </w:r>
    </w:p>
    <w:p w14:paraId="2D9761AF" w14:textId="11A11439" w:rsidR="00D74559" w:rsidRDefault="00D74559" w:rsidP="004E120D">
      <w:pPr>
        <w:pStyle w:val="BulletLevel1"/>
      </w:pPr>
      <w:r>
        <w:t xml:space="preserve">any other relevant employment placements the Participant has undertaken relating to the proposed </w:t>
      </w:r>
      <w:r w:rsidR="0046294B">
        <w:t>V</w:t>
      </w:r>
      <w:r>
        <w:t>acancy.</w:t>
      </w:r>
    </w:p>
    <w:p w14:paraId="238B3524" w14:textId="1F079176" w:rsidR="00D74559" w:rsidRDefault="00D74559" w:rsidP="00D050BE">
      <w:r>
        <w:t xml:space="preserve">The Department may agree to an Own Organisation or Related Entity </w:t>
      </w:r>
      <w:r w:rsidR="00693DAE">
        <w:t xml:space="preserve">Job </w:t>
      </w:r>
      <w:r w:rsidR="003751C2">
        <w:t>P</w:t>
      </w:r>
      <w:r>
        <w:t xml:space="preserve">lacement where the Department is satisfied that the </w:t>
      </w:r>
      <w:r w:rsidR="00693DAE">
        <w:t xml:space="preserve">Job </w:t>
      </w:r>
      <w:r w:rsidR="003751C2">
        <w:t>P</w:t>
      </w:r>
      <w:r>
        <w:t xml:space="preserve">lacement is genuine </w:t>
      </w:r>
      <w:r w:rsidR="00FF3A5C">
        <w:t>E</w:t>
      </w:r>
      <w:r>
        <w:t xml:space="preserve">mployment that is suitable for the Participant, and where the Provider would bear the full cost of the </w:t>
      </w:r>
      <w:r w:rsidR="007F2D82">
        <w:t>E</w:t>
      </w:r>
      <w:r>
        <w:t xml:space="preserve">mployment for the </w:t>
      </w:r>
      <w:r w:rsidR="00D156A8">
        <w:t>F</w:t>
      </w:r>
      <w:r>
        <w:t>ull Outcome Period.</w:t>
      </w:r>
    </w:p>
    <w:p w14:paraId="2E827341" w14:textId="1F29403E" w:rsidR="00D74559" w:rsidRDefault="00D74559" w:rsidP="00D050BE">
      <w:r>
        <w:t xml:space="preserve">If the Department does not provide agreement, the Provider can continue to </w:t>
      </w:r>
      <w:r w:rsidR="00253D49">
        <w:t>support</w:t>
      </w:r>
      <w:r>
        <w:t xml:space="preserve"> the </w:t>
      </w:r>
      <w:r w:rsidR="003D2465">
        <w:t>Participant</w:t>
      </w:r>
      <w:r w:rsidR="00620A5B">
        <w:t>’s Employment</w:t>
      </w:r>
      <w:r w:rsidR="003D2465">
        <w:t xml:space="preserve"> in the </w:t>
      </w:r>
      <w:r>
        <w:t xml:space="preserve">Own Organisation or Related Entity but cannot anchor the </w:t>
      </w:r>
      <w:r w:rsidR="00283BE6">
        <w:t xml:space="preserve">Job </w:t>
      </w:r>
      <w:r w:rsidR="003751C2">
        <w:t>P</w:t>
      </w:r>
      <w:r>
        <w:t xml:space="preserve">lacement or claim an </w:t>
      </w:r>
      <w:r w:rsidR="00283BE6">
        <w:t xml:space="preserve">Employment </w:t>
      </w:r>
      <w:r w:rsidR="00D77B21">
        <w:t>O</w:t>
      </w:r>
      <w:r>
        <w:t>utcome.</w:t>
      </w:r>
    </w:p>
    <w:p w14:paraId="043C7AB8" w14:textId="20015DB4" w:rsidR="007A5160" w:rsidRDefault="007A5160" w:rsidP="007A5160">
      <w:r>
        <w:t>Providers cannot use a Wage Subsidy for any Job Placement with a Provider’s Own Organisation or Related Entity</w:t>
      </w:r>
      <w:r w:rsidR="001F1547">
        <w:t xml:space="preserve"> (as outlined in</w:t>
      </w:r>
      <w:r w:rsidR="00823D82">
        <w:t xml:space="preserve"> </w:t>
      </w:r>
      <w:r w:rsidR="00823D82">
        <w:rPr>
          <w:highlight w:val="yellow"/>
        </w:rPr>
        <w:fldChar w:fldCharType="begin"/>
      </w:r>
      <w:r w:rsidR="00823D82">
        <w:instrText xml:space="preserve"> REF _Ref202882337 \h </w:instrText>
      </w:r>
      <w:r w:rsidR="00823D82">
        <w:rPr>
          <w:highlight w:val="yellow"/>
        </w:rPr>
      </w:r>
      <w:r w:rsidR="00823D82">
        <w:rPr>
          <w:highlight w:val="yellow"/>
        </w:rPr>
        <w:fldChar w:fldCharType="separate"/>
      </w:r>
      <w:r w:rsidR="000D75AE" w:rsidRPr="007F5CD9">
        <w:t>8.</w:t>
      </w:r>
      <w:r w:rsidR="000D75AE">
        <w:t>2</w:t>
      </w:r>
      <w:r w:rsidR="000D75AE" w:rsidRPr="007F5CD9">
        <w:t>.2</w:t>
      </w:r>
      <w:r w:rsidR="004572F7">
        <w:t xml:space="preserve"> </w:t>
      </w:r>
      <w:r w:rsidR="000D75AE" w:rsidRPr="007F5CD9">
        <w:t>Employer Eligibility</w:t>
      </w:r>
      <w:r w:rsidR="00823D82">
        <w:rPr>
          <w:highlight w:val="yellow"/>
        </w:rPr>
        <w:fldChar w:fldCharType="end"/>
      </w:r>
      <w:r w:rsidR="007727DA">
        <w:t>)</w:t>
      </w:r>
      <w:r>
        <w:t>.</w:t>
      </w:r>
    </w:p>
    <w:p w14:paraId="32814507" w14:textId="31F1DEFB" w:rsidR="00A10B01" w:rsidRPr="009537A7" w:rsidRDefault="000659D4" w:rsidP="007A5160">
      <w:pPr>
        <w:rPr>
          <w:sz w:val="20"/>
          <w:szCs w:val="20"/>
        </w:rPr>
      </w:pPr>
      <w:r w:rsidRPr="009537A7">
        <w:rPr>
          <w:sz w:val="20"/>
          <w:szCs w:val="20"/>
        </w:rPr>
        <w:t>(</w:t>
      </w:r>
      <w:r w:rsidR="00A10B01" w:rsidRPr="009537A7">
        <w:rPr>
          <w:sz w:val="20"/>
          <w:szCs w:val="20"/>
        </w:rPr>
        <w:t>Deed Reference</w:t>
      </w:r>
      <w:r w:rsidRPr="009537A7">
        <w:rPr>
          <w:sz w:val="20"/>
          <w:szCs w:val="20"/>
        </w:rPr>
        <w:t>(</w:t>
      </w:r>
      <w:r w:rsidR="00A10B01" w:rsidRPr="009537A7">
        <w:rPr>
          <w:sz w:val="20"/>
          <w:szCs w:val="20"/>
        </w:rPr>
        <w:t>s</w:t>
      </w:r>
      <w:r w:rsidRPr="009537A7">
        <w:rPr>
          <w:sz w:val="20"/>
          <w:szCs w:val="20"/>
        </w:rPr>
        <w:t>) Clauses</w:t>
      </w:r>
      <w:r w:rsidR="0003594E" w:rsidRPr="009537A7">
        <w:rPr>
          <w:sz w:val="20"/>
          <w:szCs w:val="20"/>
        </w:rPr>
        <w:t xml:space="preserve"> 122.4</w:t>
      </w:r>
      <w:r w:rsidR="00EA437B" w:rsidRPr="009537A7">
        <w:rPr>
          <w:sz w:val="20"/>
          <w:szCs w:val="20"/>
        </w:rPr>
        <w:t>, 163.2)</w:t>
      </w:r>
    </w:p>
    <w:p w14:paraId="5D8C61E6" w14:textId="1B9B869B" w:rsidR="00D74559" w:rsidRDefault="00D74559" w:rsidP="001D0F92">
      <w:pPr>
        <w:pStyle w:val="Heading4"/>
      </w:pPr>
      <w:bookmarkStart w:id="391" w:name="_Ref202893039"/>
      <w:bookmarkStart w:id="392" w:name="_Toc202900049"/>
      <w:r w:rsidRPr="25249C38">
        <w:t>9.</w:t>
      </w:r>
      <w:r w:rsidR="00B93A55">
        <w:t>3</w:t>
      </w:r>
      <w:r w:rsidRPr="25249C38">
        <w:t>.2</w:t>
      </w:r>
      <w:r w:rsidR="006F727E">
        <w:tab/>
      </w:r>
      <w:r w:rsidRPr="25249C38">
        <w:t>Anchoring a Job Placement</w:t>
      </w:r>
      <w:bookmarkEnd w:id="391"/>
      <w:bookmarkEnd w:id="392"/>
    </w:p>
    <w:p w14:paraId="35641305" w14:textId="32085F0F" w:rsidR="00535F17" w:rsidRDefault="00D74559" w:rsidP="006E2EF5">
      <w:r>
        <w:t xml:space="preserve">Participants may work in one or more Job Placements during the Pre-Employment Support phase, including as </w:t>
      </w:r>
      <w:r w:rsidR="00BA61CA">
        <w:t>short-term</w:t>
      </w:r>
      <w:r w:rsidR="00E224E9">
        <w:t xml:space="preserve"> or casual </w:t>
      </w:r>
      <w:r>
        <w:t>paid work</w:t>
      </w:r>
      <w:r w:rsidR="00713946">
        <w:t xml:space="preserve">, paid </w:t>
      </w:r>
      <w:r>
        <w:t>work experience placements</w:t>
      </w:r>
      <w:r w:rsidR="00A5548C">
        <w:t xml:space="preserve"> </w:t>
      </w:r>
      <w:r w:rsidR="00713946">
        <w:t xml:space="preserve">or paid Work Trials </w:t>
      </w:r>
      <w:r w:rsidR="00A5548C">
        <w:t xml:space="preserve">— see </w:t>
      </w:r>
      <w:r w:rsidR="00713946">
        <w:fldChar w:fldCharType="begin"/>
      </w:r>
      <w:r w:rsidR="00713946">
        <w:instrText xml:space="preserve"> REF _Ref202883070 \h </w:instrText>
      </w:r>
      <w:r w:rsidR="00713946">
        <w:fldChar w:fldCharType="separate"/>
      </w:r>
      <w:r w:rsidR="000D75AE">
        <w:t>7</w:t>
      </w:r>
      <w:r w:rsidR="00C33F1F">
        <w:t>.</w:t>
      </w:r>
      <w:r w:rsidR="000D75AE">
        <w:t>7.1</w:t>
      </w:r>
      <w:r w:rsidR="00C33F1F">
        <w:t xml:space="preserve"> </w:t>
      </w:r>
      <w:r w:rsidR="000D75AE" w:rsidRPr="000A55EB">
        <w:t>Paid Employment</w:t>
      </w:r>
      <w:r w:rsidR="00713946">
        <w:fldChar w:fldCharType="end"/>
      </w:r>
      <w:r w:rsidR="00713946">
        <w:t xml:space="preserve"> </w:t>
      </w:r>
      <w:r w:rsidR="00A5548C">
        <w:t>for more information</w:t>
      </w:r>
      <w:r>
        <w:t>.</w:t>
      </w:r>
    </w:p>
    <w:p w14:paraId="77F960EB" w14:textId="2CBD4305" w:rsidR="00D74559" w:rsidRDefault="0077639D" w:rsidP="006E2EF5">
      <w:r>
        <w:t>P</w:t>
      </w:r>
      <w:r w:rsidR="00D74559">
        <w:t xml:space="preserve">roviders must consider </w:t>
      </w:r>
      <w:r w:rsidR="00B22851">
        <w:t>whether</w:t>
      </w:r>
      <w:r w:rsidR="000817CF">
        <w:t xml:space="preserve"> </w:t>
      </w:r>
      <w:r w:rsidR="00D74559">
        <w:t>a Participant is likely to achieve an Employment Outcome when deciding to move a Participant to Post Placement Support</w:t>
      </w:r>
      <w:r w:rsidR="00A51518">
        <w:t xml:space="preserve">, as this movement </w:t>
      </w:r>
      <w:r w:rsidR="009665FB">
        <w:t>ceases</w:t>
      </w:r>
      <w:r w:rsidR="00D74559">
        <w:t xml:space="preserve"> Service Fee </w:t>
      </w:r>
      <w:r w:rsidR="009665FB">
        <w:t>payments</w:t>
      </w:r>
      <w:r w:rsidR="00D74559">
        <w:t xml:space="preserve"> </w:t>
      </w:r>
      <w:r w:rsidR="009665FB">
        <w:t xml:space="preserve">and </w:t>
      </w:r>
      <w:r w:rsidR="00D74559">
        <w:t>starts progress towards Outcome Fees</w:t>
      </w:r>
      <w:r w:rsidR="00C91643">
        <w:t xml:space="preserve"> and/or a Progress Fee (where relevant)</w:t>
      </w:r>
      <w:r w:rsidR="00D74559">
        <w:t>.</w:t>
      </w:r>
    </w:p>
    <w:p w14:paraId="1357AA53" w14:textId="0A2AFC1E" w:rsidR="00D74559" w:rsidRPr="00A17B7B" w:rsidRDefault="00D74559" w:rsidP="006F727E">
      <w:pPr>
        <w:pStyle w:val="SystemStep"/>
      </w:pPr>
      <w:r w:rsidRPr="00A17B7B">
        <w:t>Providers can anchor a Job Placement in the Department’s IT Systems by moving the Participant to Post Placement Support when the Participant has been placed against a recorded Vacancy.</w:t>
      </w:r>
      <w:r w:rsidR="005603F7">
        <w:t xml:space="preserve"> The Anchor Date can be as early as the date the Participant starts in the Job Placement, or any later date.</w:t>
      </w:r>
    </w:p>
    <w:p w14:paraId="6CD7C2C5" w14:textId="42F59F9E" w:rsidR="00D74559" w:rsidRDefault="00D74559" w:rsidP="006E2EF5">
      <w:r w:rsidRPr="00B06B06">
        <w:rPr>
          <w:b/>
          <w:bCs/>
        </w:rPr>
        <w:t>Note:</w:t>
      </w:r>
      <w:r>
        <w:t xml:space="preserve"> Only one Job Placement can be anchored, even if the Participant is working in more than one Job Placement. The Participant’s work </w:t>
      </w:r>
      <w:r w:rsidR="00994600">
        <w:t>across</w:t>
      </w:r>
      <w:r>
        <w:t xml:space="preserve"> all recorded Job Placements can count towards Employment Outcome requirements.</w:t>
      </w:r>
    </w:p>
    <w:p w14:paraId="5ADF36D6" w14:textId="13E3FE50" w:rsidR="002E735D" w:rsidRDefault="00841AB2" w:rsidP="002E735D">
      <w:r>
        <w:t xml:space="preserve">Providers can </w:t>
      </w:r>
      <w:r w:rsidR="00882021">
        <w:t xml:space="preserve">record and </w:t>
      </w:r>
      <w:r w:rsidR="0075756D">
        <w:t>a</w:t>
      </w:r>
      <w:r w:rsidR="00C845F2">
        <w:t xml:space="preserve">nchor </w:t>
      </w:r>
      <w:r w:rsidR="0075756D">
        <w:t xml:space="preserve">a </w:t>
      </w:r>
      <w:r w:rsidR="00443527">
        <w:t>Job Placement</w:t>
      </w:r>
      <w:r w:rsidR="0075756D">
        <w:t xml:space="preserve"> on the Department’s IT systems where they </w:t>
      </w:r>
      <w:r w:rsidR="00C845F2">
        <w:t xml:space="preserve">satisfied that the </w:t>
      </w:r>
      <w:r w:rsidR="00882021">
        <w:t>P</w:t>
      </w:r>
      <w:r w:rsidR="00C845F2">
        <w:t>articipant is undertaking Unsubsi</w:t>
      </w:r>
      <w:r w:rsidR="00882021">
        <w:t xml:space="preserve">dised Self-Employment. </w:t>
      </w:r>
      <w:r w:rsidR="00135FE6">
        <w:t xml:space="preserve">A Participant undertaking subsidised self-employment should not be anchored as they are ineligible to achieve an </w:t>
      </w:r>
      <w:r w:rsidR="005979F7">
        <w:t>O</w:t>
      </w:r>
      <w:r w:rsidR="00135FE6">
        <w:t xml:space="preserve">utcome for that </w:t>
      </w:r>
      <w:r w:rsidR="00B07E43">
        <w:t>s</w:t>
      </w:r>
      <w:r w:rsidR="00135FE6">
        <w:t>elf-</w:t>
      </w:r>
      <w:r w:rsidR="00B07E43">
        <w:t>e</w:t>
      </w:r>
      <w:r w:rsidR="00135FE6">
        <w:t>mployment.</w:t>
      </w:r>
    </w:p>
    <w:p w14:paraId="12BB4932" w14:textId="3ABEB5D0" w:rsidR="00443527" w:rsidRDefault="00A547D6" w:rsidP="00443527">
      <w:pPr>
        <w:pStyle w:val="Heading5"/>
      </w:pPr>
      <w:r>
        <w:t>Next actions</w:t>
      </w:r>
    </w:p>
    <w:p w14:paraId="4F56A54D" w14:textId="063397DF" w:rsidR="00443527" w:rsidRDefault="00443527" w:rsidP="00443527">
      <w:pPr>
        <w:rPr>
          <w:lang w:val="en-GB"/>
        </w:rPr>
      </w:pPr>
      <w:r>
        <w:rPr>
          <w:lang w:val="en-GB"/>
        </w:rPr>
        <w:t>Providers must update a Participant’s Job Plan when they anchor a Job Placement</w:t>
      </w:r>
      <w:r w:rsidR="00552EF9">
        <w:rPr>
          <w:lang w:val="en-GB"/>
        </w:rPr>
        <w:t xml:space="preserve"> (</w:t>
      </w:r>
      <w:r w:rsidR="00552EF9" w:rsidRPr="002C5A93">
        <w:rPr>
          <w:rFonts w:ascii="Tahoma" w:eastAsia="Tahoma" w:hAnsi="Tahoma" w:cs="Tahoma"/>
          <w:color w:val="000000" w:themeColor="text1"/>
        </w:rPr>
        <w:t>see</w:t>
      </w:r>
      <w:r w:rsidR="00552EF9">
        <w:rPr>
          <w:rFonts w:ascii="Tahoma" w:eastAsia="Tahoma" w:hAnsi="Tahoma" w:cs="Tahoma"/>
          <w:color w:val="000000" w:themeColor="text1"/>
        </w:rPr>
        <w:t xml:space="preserve"> </w:t>
      </w:r>
      <w:r w:rsidR="00552EF9">
        <w:rPr>
          <w:rFonts w:ascii="Tahoma" w:eastAsia="Tahoma" w:hAnsi="Tahoma" w:cs="Tahoma"/>
          <w:color w:val="000000" w:themeColor="text1"/>
          <w:highlight w:val="yellow"/>
        </w:rPr>
        <w:fldChar w:fldCharType="begin"/>
      </w:r>
      <w:r w:rsidR="00552EF9">
        <w:rPr>
          <w:rFonts w:ascii="Tahoma" w:eastAsia="Tahoma" w:hAnsi="Tahoma" w:cs="Tahoma"/>
          <w:color w:val="000000" w:themeColor="text1"/>
        </w:rPr>
        <w:instrText xml:space="preserve"> REF _Ref202883414 \h </w:instrText>
      </w:r>
      <w:r w:rsidR="00552EF9">
        <w:rPr>
          <w:rFonts w:ascii="Tahoma" w:eastAsia="Tahoma" w:hAnsi="Tahoma" w:cs="Tahoma"/>
          <w:color w:val="000000" w:themeColor="text1"/>
          <w:highlight w:val="yellow"/>
        </w:rPr>
      </w:r>
      <w:r w:rsidR="00552EF9">
        <w:rPr>
          <w:rFonts w:ascii="Tahoma" w:eastAsia="Tahoma" w:hAnsi="Tahoma" w:cs="Tahoma"/>
          <w:color w:val="000000" w:themeColor="text1"/>
          <w:highlight w:val="yellow"/>
        </w:rPr>
        <w:fldChar w:fldCharType="separate"/>
      </w:r>
      <w:r w:rsidR="000D75AE">
        <w:t>4.9</w:t>
      </w:r>
      <w:r w:rsidR="00C33F1F">
        <w:t xml:space="preserve"> </w:t>
      </w:r>
      <w:r w:rsidR="000D75AE">
        <w:t>Updating a Job Plan</w:t>
      </w:r>
      <w:r w:rsidR="00552EF9">
        <w:rPr>
          <w:rFonts w:ascii="Tahoma" w:eastAsia="Tahoma" w:hAnsi="Tahoma" w:cs="Tahoma"/>
          <w:color w:val="000000" w:themeColor="text1"/>
          <w:highlight w:val="yellow"/>
        </w:rPr>
        <w:fldChar w:fldCharType="end"/>
      </w:r>
      <w:r w:rsidR="00552EF9">
        <w:rPr>
          <w:rFonts w:ascii="Tahoma" w:eastAsia="Tahoma" w:hAnsi="Tahoma" w:cs="Tahoma"/>
          <w:color w:val="000000" w:themeColor="text1"/>
        </w:rPr>
        <w:t>)</w:t>
      </w:r>
      <w:r>
        <w:rPr>
          <w:lang w:val="en-GB"/>
        </w:rPr>
        <w:t>.</w:t>
      </w:r>
      <w:r w:rsidR="00552EF9">
        <w:rPr>
          <w:lang w:val="en-GB"/>
        </w:rPr>
        <w:t xml:space="preserve"> </w:t>
      </w:r>
      <w:r w:rsidR="00D17FF3">
        <w:rPr>
          <w:lang w:val="en-GB"/>
        </w:rPr>
        <w:t>This</w:t>
      </w:r>
      <w:r w:rsidR="00D17FF3" w:rsidRPr="06DF8913">
        <w:rPr>
          <w:lang w:val="en-GB"/>
        </w:rPr>
        <w:t xml:space="preserve"> </w:t>
      </w:r>
      <w:r w:rsidR="00D17FF3">
        <w:rPr>
          <w:lang w:val="en-GB"/>
        </w:rPr>
        <w:t>must</w:t>
      </w:r>
      <w:r w:rsidR="00D17FF3" w:rsidRPr="06DF8913">
        <w:rPr>
          <w:lang w:val="en-GB"/>
        </w:rPr>
        <w:t xml:space="preserve"> be done shortly after the movement between the Pre-Employment Support and Post Placement Support phase</w:t>
      </w:r>
      <w:r w:rsidR="00D17FF3">
        <w:rPr>
          <w:lang w:val="en-GB"/>
        </w:rPr>
        <w:t>s</w:t>
      </w:r>
      <w:r w:rsidR="00383B5A">
        <w:rPr>
          <w:lang w:val="en-GB"/>
        </w:rPr>
        <w:t>, at the next Contact</w:t>
      </w:r>
      <w:r w:rsidR="00D17FF3" w:rsidRPr="06DF8913">
        <w:rPr>
          <w:lang w:val="en-GB"/>
        </w:rPr>
        <w:t xml:space="preserve">. </w:t>
      </w:r>
      <w:r w:rsidR="00552EF9">
        <w:rPr>
          <w:lang w:val="en-GB"/>
        </w:rPr>
        <w:t>Once updated, the Job Plan will capture that the Participant is receiving Post Placement Support.</w:t>
      </w:r>
    </w:p>
    <w:p w14:paraId="49315035" w14:textId="1429051B" w:rsidR="00443527" w:rsidRPr="00443527" w:rsidRDefault="00443527" w:rsidP="00443527">
      <w:pPr>
        <w:rPr>
          <w:lang w:val="en-GB"/>
        </w:rPr>
      </w:pPr>
      <w:r w:rsidRPr="00C0101B">
        <w:rPr>
          <w:u w:val="single"/>
          <w:lang w:val="en-GB"/>
        </w:rPr>
        <w:t>If the Participant has a Meaningful Engagement Job Plan</w:t>
      </w:r>
      <w:r w:rsidRPr="00443527">
        <w:rPr>
          <w:lang w:val="en-GB"/>
        </w:rPr>
        <w:t xml:space="preserve">, Providers </w:t>
      </w:r>
      <w:r w:rsidR="005E2D8E">
        <w:rPr>
          <w:lang w:val="en-GB"/>
        </w:rPr>
        <w:t xml:space="preserve">also </w:t>
      </w:r>
      <w:r w:rsidRPr="00443527">
        <w:rPr>
          <w:lang w:val="en-GB"/>
        </w:rPr>
        <w:t xml:space="preserve">must ensure they review the tasks and activities agreed with the Participant </w:t>
      </w:r>
      <w:r w:rsidR="001B4590">
        <w:rPr>
          <w:lang w:val="en-GB"/>
        </w:rPr>
        <w:t xml:space="preserve">as part of the plan for meaningful engagement </w:t>
      </w:r>
      <w:r w:rsidRPr="00443527">
        <w:rPr>
          <w:lang w:val="en-GB"/>
        </w:rPr>
        <w:t>and adjust</w:t>
      </w:r>
      <w:r w:rsidR="003A7D1B">
        <w:rPr>
          <w:lang w:val="en-GB"/>
        </w:rPr>
        <w:t xml:space="preserve"> </w:t>
      </w:r>
      <w:r w:rsidRPr="00443527">
        <w:rPr>
          <w:lang w:val="en-GB"/>
        </w:rPr>
        <w:t>/</w:t>
      </w:r>
      <w:r w:rsidR="003A7D1B">
        <w:rPr>
          <w:lang w:val="en-GB"/>
        </w:rPr>
        <w:t xml:space="preserve"> </w:t>
      </w:r>
      <w:r w:rsidRPr="00443527">
        <w:rPr>
          <w:lang w:val="en-GB"/>
        </w:rPr>
        <w:t xml:space="preserve">remove any that conflict with the Participant’s focus on paid Employment. </w:t>
      </w:r>
    </w:p>
    <w:p w14:paraId="03DED40E" w14:textId="51404E63" w:rsidR="00443527" w:rsidRDefault="00443527" w:rsidP="00443527">
      <w:pPr>
        <w:rPr>
          <w:lang w:val="en-GB"/>
        </w:rPr>
      </w:pPr>
      <w:r w:rsidRPr="00C0101B">
        <w:rPr>
          <w:u w:val="single"/>
          <w:lang w:val="en-GB"/>
        </w:rPr>
        <w:t>If the Participant has a Detailed Job Plan</w:t>
      </w:r>
      <w:r w:rsidRPr="00443527">
        <w:rPr>
          <w:lang w:val="en-GB"/>
        </w:rPr>
        <w:t xml:space="preserve">, Providers must </w:t>
      </w:r>
      <w:r w:rsidR="00C0101B">
        <w:rPr>
          <w:lang w:val="en-GB"/>
        </w:rPr>
        <w:t xml:space="preserve">also </w:t>
      </w:r>
      <w:r w:rsidR="00DC1F6B">
        <w:rPr>
          <w:lang w:val="en-GB"/>
        </w:rPr>
        <w:t>adjust</w:t>
      </w:r>
      <w:r w:rsidRPr="00443527">
        <w:rPr>
          <w:lang w:val="en-GB"/>
        </w:rPr>
        <w:t xml:space="preserve"> the</w:t>
      </w:r>
      <w:r w:rsidR="002F51FD">
        <w:rPr>
          <w:lang w:val="en-GB"/>
        </w:rPr>
        <w:t xml:space="preserve"> requirements in the</w:t>
      </w:r>
      <w:r w:rsidRPr="00443527">
        <w:rPr>
          <w:lang w:val="en-GB"/>
        </w:rPr>
        <w:t xml:space="preserve"> Participant’s Job Plan</w:t>
      </w:r>
      <w:r>
        <w:rPr>
          <w:lang w:val="en-GB"/>
        </w:rPr>
        <w:t>.</w:t>
      </w:r>
      <w:r w:rsidRPr="06DF8913">
        <w:rPr>
          <w:lang w:val="en-GB"/>
        </w:rPr>
        <w:t xml:space="preserve"> </w:t>
      </w:r>
      <w:r>
        <w:rPr>
          <w:lang w:val="en-GB"/>
        </w:rPr>
        <w:t>This update includes:</w:t>
      </w:r>
    </w:p>
    <w:p w14:paraId="1679C58D" w14:textId="77777777" w:rsidR="00443527" w:rsidRPr="003A0A41" w:rsidRDefault="00443527" w:rsidP="00443527">
      <w:pPr>
        <w:pStyle w:val="BulletLevel1"/>
        <w:rPr>
          <w:lang w:val="en-GB"/>
        </w:rPr>
      </w:pPr>
      <w:r>
        <w:rPr>
          <w:lang w:val="en-GB"/>
        </w:rPr>
        <w:t xml:space="preserve">adding </w:t>
      </w:r>
      <w:r>
        <w:t>Code EM56</w:t>
      </w:r>
      <w:r w:rsidRPr="111F7F31">
        <w:t xml:space="preserve"> </w:t>
      </w:r>
      <w:r>
        <w:t>[Paid Work], EM54 [S</w:t>
      </w:r>
      <w:r w:rsidRPr="111F7F31">
        <w:t>elf</w:t>
      </w:r>
      <w:r>
        <w:t>-E</w:t>
      </w:r>
      <w:r w:rsidRPr="111F7F31">
        <w:t>mployment</w:t>
      </w:r>
      <w:r>
        <w:t>] or ET53 [Apprenticeship/Traineeship] — depending on the nature of the Employment</w:t>
      </w:r>
    </w:p>
    <w:p w14:paraId="589C68FE" w14:textId="5996622C" w:rsidR="00443527" w:rsidRDefault="00443527" w:rsidP="00443527">
      <w:pPr>
        <w:pStyle w:val="BulletLevel1"/>
        <w:rPr>
          <w:lang w:val="en-GB"/>
        </w:rPr>
      </w:pPr>
      <w:r w:rsidRPr="06DF8913">
        <w:rPr>
          <w:lang w:val="en-GB"/>
        </w:rPr>
        <w:t>remov</w:t>
      </w:r>
      <w:r>
        <w:rPr>
          <w:lang w:val="en-GB"/>
        </w:rPr>
        <w:t>ing</w:t>
      </w:r>
      <w:r w:rsidRPr="06DF8913">
        <w:rPr>
          <w:lang w:val="en-GB"/>
        </w:rPr>
        <w:t xml:space="preserve"> </w:t>
      </w:r>
      <w:r>
        <w:rPr>
          <w:lang w:val="en-GB"/>
        </w:rPr>
        <w:t>A</w:t>
      </w:r>
      <w:r w:rsidRPr="06DF8913">
        <w:rPr>
          <w:lang w:val="en-GB"/>
        </w:rPr>
        <w:t xml:space="preserve">ctivities that conflict with </w:t>
      </w:r>
      <w:r>
        <w:rPr>
          <w:lang w:val="en-GB"/>
        </w:rPr>
        <w:t>the focus on paid Employment, and</w:t>
      </w:r>
    </w:p>
    <w:p w14:paraId="0374D003" w14:textId="783E01D4" w:rsidR="00443527" w:rsidRDefault="00443527" w:rsidP="00443527">
      <w:pPr>
        <w:pStyle w:val="BulletLevel1"/>
        <w:rPr>
          <w:lang w:val="en-GB"/>
        </w:rPr>
      </w:pPr>
      <w:r w:rsidRPr="06DF8913">
        <w:rPr>
          <w:lang w:val="en-GB"/>
        </w:rPr>
        <w:t>adjust</w:t>
      </w:r>
      <w:r>
        <w:rPr>
          <w:lang w:val="en-GB"/>
        </w:rPr>
        <w:t>ing</w:t>
      </w:r>
      <w:r w:rsidRPr="06DF8913">
        <w:rPr>
          <w:lang w:val="en-GB"/>
        </w:rPr>
        <w:t xml:space="preserve"> </w:t>
      </w:r>
      <w:r>
        <w:rPr>
          <w:lang w:val="en-GB"/>
        </w:rPr>
        <w:t xml:space="preserve">tasks and </w:t>
      </w:r>
      <w:r w:rsidR="00D17FF3">
        <w:rPr>
          <w:lang w:val="en-GB"/>
        </w:rPr>
        <w:t>a</w:t>
      </w:r>
      <w:r w:rsidR="00076A2F">
        <w:rPr>
          <w:lang w:val="en-GB"/>
        </w:rPr>
        <w:t>c</w:t>
      </w:r>
      <w:r w:rsidRPr="06DF8913">
        <w:rPr>
          <w:lang w:val="en-GB"/>
        </w:rPr>
        <w:t>tivities to recognise the Participant needs to prioritise their paid Employment</w:t>
      </w:r>
      <w:r>
        <w:rPr>
          <w:lang w:val="en-GB"/>
        </w:rPr>
        <w:t>, including the Job Search Requirement for a Participant (Mutual Obligation)</w:t>
      </w:r>
      <w:r w:rsidRPr="06DF8913">
        <w:rPr>
          <w:lang w:val="en-GB"/>
        </w:rPr>
        <w:t>.</w:t>
      </w:r>
    </w:p>
    <w:p w14:paraId="4130A52B" w14:textId="1EDE7E0D" w:rsidR="000E6525" w:rsidRPr="009F2EF6" w:rsidRDefault="00443527" w:rsidP="002E735D">
      <w:r w:rsidRPr="00B8690E">
        <w:rPr>
          <w:b/>
          <w:bCs/>
        </w:rPr>
        <w:t xml:space="preserve">Note: </w:t>
      </w:r>
      <w:r>
        <w:t>If a Participant (Mutual Obligation) is Fully Meeting their Mutual Obligation Requirements while receiving Post Placement Support, they will have no compulsory requirements in their Job Plan —</w:t>
      </w:r>
      <w:r>
        <w:rPr>
          <w:rFonts w:ascii="Tahoma" w:eastAsia="Tahoma" w:hAnsi="Tahoma" w:cs="Tahoma"/>
          <w:color w:val="000000" w:themeColor="text1"/>
        </w:rPr>
        <w:t>refer to</w:t>
      </w:r>
      <w:r w:rsidR="002D1E24">
        <w:rPr>
          <w:rFonts w:ascii="Tahoma" w:eastAsia="Tahoma" w:hAnsi="Tahoma" w:cs="Tahoma"/>
          <w:color w:val="000000" w:themeColor="text1"/>
        </w:rPr>
        <w:t xml:space="preserve"> </w:t>
      </w:r>
      <w:r w:rsidR="00FE3746">
        <w:rPr>
          <w:rFonts w:ascii="Tahoma" w:eastAsia="Tahoma" w:hAnsi="Tahoma" w:cs="Tahoma"/>
          <w:color w:val="000000" w:themeColor="text1"/>
        </w:rPr>
        <w:fldChar w:fldCharType="begin"/>
      </w:r>
      <w:r w:rsidR="00FE3746">
        <w:rPr>
          <w:rFonts w:ascii="Tahoma" w:eastAsia="Tahoma" w:hAnsi="Tahoma" w:cs="Tahoma"/>
          <w:color w:val="000000" w:themeColor="text1"/>
        </w:rPr>
        <w:instrText xml:space="preserve"> REF _Ref202785097 \h </w:instrText>
      </w:r>
      <w:r w:rsidR="00FE3746">
        <w:rPr>
          <w:rFonts w:ascii="Tahoma" w:eastAsia="Tahoma" w:hAnsi="Tahoma" w:cs="Tahoma"/>
          <w:color w:val="000000" w:themeColor="text1"/>
        </w:rPr>
      </w:r>
      <w:r w:rsidR="00FE3746">
        <w:rPr>
          <w:rFonts w:ascii="Tahoma" w:eastAsia="Tahoma" w:hAnsi="Tahoma" w:cs="Tahoma"/>
          <w:color w:val="000000" w:themeColor="text1"/>
        </w:rPr>
        <w:fldChar w:fldCharType="separate"/>
      </w:r>
      <w:r w:rsidR="000D75AE">
        <w:t>5.2.1</w:t>
      </w:r>
      <w:r w:rsidR="003B2E77">
        <w:t xml:space="preserve"> </w:t>
      </w:r>
      <w:r w:rsidR="000D75AE">
        <w:t>Mutual Obligation Requirements</w:t>
      </w:r>
      <w:r w:rsidR="00FE3746">
        <w:rPr>
          <w:rFonts w:ascii="Tahoma" w:eastAsia="Tahoma" w:hAnsi="Tahoma" w:cs="Tahoma"/>
          <w:color w:val="000000" w:themeColor="text1"/>
        </w:rPr>
        <w:fldChar w:fldCharType="end"/>
      </w:r>
      <w:r>
        <w:rPr>
          <w:rFonts w:ascii="Tahoma" w:eastAsia="Tahoma" w:hAnsi="Tahoma" w:cs="Tahoma"/>
          <w:color w:val="000000" w:themeColor="text1"/>
        </w:rPr>
        <w:t>. Those Fully Meeting their requirements are not required to look for additional work or participate in other Activities.</w:t>
      </w:r>
    </w:p>
    <w:p w14:paraId="4F589A92" w14:textId="6D0919C3" w:rsidR="00D74559" w:rsidRPr="00553C12" w:rsidRDefault="00D74559" w:rsidP="001D0F92">
      <w:pPr>
        <w:pStyle w:val="Heading3"/>
      </w:pPr>
      <w:bookmarkStart w:id="393" w:name="_Toc202900050"/>
      <w:r w:rsidRPr="00553C12">
        <w:t>9.</w:t>
      </w:r>
      <w:r>
        <w:t>4</w:t>
      </w:r>
      <w:r w:rsidR="0000176D">
        <w:tab/>
      </w:r>
      <w:r>
        <w:t>Participant</w:t>
      </w:r>
      <w:r w:rsidRPr="00553C12">
        <w:t xml:space="preserve"> Contact</w:t>
      </w:r>
      <w:bookmarkEnd w:id="393"/>
    </w:p>
    <w:p w14:paraId="152EBD97" w14:textId="0BB0A451" w:rsidR="00D74559" w:rsidRDefault="00D74559" w:rsidP="006E2EF5">
      <w:pPr>
        <w:rPr>
          <w:lang w:val="en-GB"/>
        </w:rPr>
      </w:pPr>
      <w:r w:rsidRPr="57E0F73C">
        <w:rPr>
          <w:lang w:val="en-GB"/>
        </w:rPr>
        <w:t xml:space="preserve">Providers </w:t>
      </w:r>
      <w:r w:rsidR="00A00E9C">
        <w:rPr>
          <w:lang w:val="en-GB"/>
        </w:rPr>
        <w:t xml:space="preserve">are </w:t>
      </w:r>
      <w:r w:rsidRPr="57E0F73C">
        <w:rPr>
          <w:lang w:val="en-GB"/>
        </w:rPr>
        <w:t>expected to deliver regular support tailored to each Participant</w:t>
      </w:r>
      <w:r w:rsidR="00CE37B1">
        <w:rPr>
          <w:lang w:val="en-GB"/>
        </w:rPr>
        <w:t xml:space="preserve"> </w:t>
      </w:r>
      <w:r w:rsidR="00CE37B1" w:rsidRPr="57E0F73C">
        <w:rPr>
          <w:lang w:val="en-GB"/>
        </w:rPr>
        <w:t xml:space="preserve">in Post Placement Support </w:t>
      </w:r>
      <w:r w:rsidR="00CE37B1">
        <w:rPr>
          <w:lang w:val="en-GB"/>
        </w:rPr>
        <w:t xml:space="preserve">but </w:t>
      </w:r>
      <w:r w:rsidR="00A00E9C">
        <w:rPr>
          <w:lang w:val="en-GB"/>
        </w:rPr>
        <w:t xml:space="preserve">are </w:t>
      </w:r>
      <w:r w:rsidRPr="57E0F73C">
        <w:rPr>
          <w:lang w:val="en-GB"/>
        </w:rPr>
        <w:t xml:space="preserve">not </w:t>
      </w:r>
      <w:bookmarkStart w:id="394" w:name="_Int_MEtz8TSZ"/>
      <w:r w:rsidRPr="57E0F73C">
        <w:rPr>
          <w:lang w:val="en-GB"/>
        </w:rPr>
        <w:t>required</w:t>
      </w:r>
      <w:bookmarkEnd w:id="394"/>
      <w:r w:rsidRPr="57E0F73C">
        <w:rPr>
          <w:lang w:val="en-GB"/>
        </w:rPr>
        <w:t xml:space="preserve"> to deliver a minimum number of Contacts.</w:t>
      </w:r>
    </w:p>
    <w:p w14:paraId="3D2C0892" w14:textId="791B18E9" w:rsidR="00D74559" w:rsidRPr="00B5075C" w:rsidRDefault="00D74559" w:rsidP="00DD1219">
      <w:pPr>
        <w:pStyle w:val="DeedReferences"/>
      </w:pPr>
      <w:r w:rsidRPr="00B5075C">
        <w:t>(</w:t>
      </w:r>
      <w:r w:rsidR="00A73420">
        <w:t xml:space="preserve">Deed Reference(s): Clause </w:t>
      </w:r>
      <w:r w:rsidRPr="00B5075C">
        <w:t>114</w:t>
      </w:r>
      <w:r w:rsidR="001E3872">
        <w:t>.1</w:t>
      </w:r>
      <w:r w:rsidRPr="00B5075C">
        <w:t>)</w:t>
      </w:r>
    </w:p>
    <w:p w14:paraId="1781F345" w14:textId="627899CF" w:rsidR="000424E2" w:rsidRDefault="00961741" w:rsidP="006E2EF5">
      <w:pPr>
        <w:rPr>
          <w:lang w:val="en-GB"/>
        </w:rPr>
      </w:pPr>
      <w:r>
        <w:rPr>
          <w:lang w:val="en-GB"/>
        </w:rPr>
        <w:t xml:space="preserve">Providers are not required to </w:t>
      </w:r>
      <w:r w:rsidR="00B909E6">
        <w:rPr>
          <w:lang w:val="en-GB"/>
        </w:rPr>
        <w:t xml:space="preserve">deliver </w:t>
      </w:r>
      <w:r w:rsidR="000424E2">
        <w:rPr>
          <w:lang w:val="en-GB"/>
        </w:rPr>
        <w:t>specific supports during Post Placement Support because:</w:t>
      </w:r>
    </w:p>
    <w:p w14:paraId="47741F50" w14:textId="56880191" w:rsidR="009D6F17" w:rsidRPr="00B4313A" w:rsidRDefault="00B4313A" w:rsidP="0094262B">
      <w:pPr>
        <w:pStyle w:val="BulletLevel1"/>
        <w:rPr>
          <w:lang w:val="en-GB"/>
        </w:rPr>
      </w:pPr>
      <w:r>
        <w:rPr>
          <w:lang w:val="en-GB"/>
        </w:rPr>
        <w:t>t</w:t>
      </w:r>
      <w:r w:rsidR="000424E2" w:rsidRPr="00B4313A">
        <w:rPr>
          <w:lang w:val="en-GB"/>
        </w:rPr>
        <w:t xml:space="preserve">he </w:t>
      </w:r>
      <w:r w:rsidR="005E6A43">
        <w:rPr>
          <w:lang w:val="en-GB"/>
        </w:rPr>
        <w:t>P</w:t>
      </w:r>
      <w:r w:rsidR="000424E2" w:rsidRPr="00B4313A">
        <w:rPr>
          <w:lang w:val="en-GB"/>
        </w:rPr>
        <w:t>artici</w:t>
      </w:r>
      <w:r>
        <w:rPr>
          <w:lang w:val="en-GB"/>
        </w:rPr>
        <w:t>pant</w:t>
      </w:r>
      <w:r w:rsidR="000424E2" w:rsidRPr="00B4313A">
        <w:rPr>
          <w:lang w:val="en-GB"/>
        </w:rPr>
        <w:t xml:space="preserve"> is expected to concentrate on </w:t>
      </w:r>
      <w:r w:rsidR="00F5028C" w:rsidRPr="00B4313A">
        <w:rPr>
          <w:lang w:val="en-GB"/>
        </w:rPr>
        <w:t xml:space="preserve">successfully undertaking their </w:t>
      </w:r>
      <w:r w:rsidR="00CA11F1">
        <w:rPr>
          <w:lang w:val="en-GB"/>
        </w:rPr>
        <w:t>E</w:t>
      </w:r>
      <w:r w:rsidR="00F5028C" w:rsidRPr="00B4313A">
        <w:rPr>
          <w:lang w:val="en-GB"/>
        </w:rPr>
        <w:t>mployment</w:t>
      </w:r>
      <w:r w:rsidR="009D6F17" w:rsidRPr="00B4313A">
        <w:rPr>
          <w:lang w:val="en-GB"/>
        </w:rPr>
        <w:t>, and</w:t>
      </w:r>
    </w:p>
    <w:p w14:paraId="44FFBE3E" w14:textId="1FB979D0" w:rsidR="00B4313A" w:rsidRPr="00B4313A" w:rsidRDefault="00820821" w:rsidP="0094262B">
      <w:pPr>
        <w:pStyle w:val="BulletLevel1"/>
        <w:rPr>
          <w:lang w:val="en-GB"/>
        </w:rPr>
      </w:pPr>
      <w:r>
        <w:rPr>
          <w:lang w:val="en-GB"/>
        </w:rPr>
        <w:t>t</w:t>
      </w:r>
      <w:r w:rsidR="009D6F17" w:rsidRPr="00B4313A">
        <w:rPr>
          <w:lang w:val="en-GB"/>
        </w:rPr>
        <w:t xml:space="preserve">he Provider is expected to </w:t>
      </w:r>
      <w:r w:rsidR="00B4313A" w:rsidRPr="00B4313A">
        <w:rPr>
          <w:lang w:val="en-GB"/>
        </w:rPr>
        <w:t>provide any supports the Participant may need.</w:t>
      </w:r>
    </w:p>
    <w:p w14:paraId="0CB113E3" w14:textId="170E3B2B" w:rsidR="00896F88" w:rsidRDefault="00D74559" w:rsidP="006E2EF5">
      <w:r w:rsidRPr="00553C12">
        <w:t>Provider</w:t>
      </w:r>
      <w:r>
        <w:t>s</w:t>
      </w:r>
      <w:r w:rsidRPr="00553C12">
        <w:t xml:space="preserve"> must agree </w:t>
      </w:r>
      <w:r w:rsidR="00F77306">
        <w:rPr>
          <w:rFonts w:cstheme="minorHAnsi"/>
        </w:rPr>
        <w:t>a</w:t>
      </w:r>
      <w:r>
        <w:rPr>
          <w:rFonts w:cstheme="minorHAnsi"/>
        </w:rPr>
        <w:t xml:space="preserve"> mode of contact with the Participant while delivering Post Placement Support</w:t>
      </w:r>
      <w:r w:rsidR="00C8220F">
        <w:rPr>
          <w:rFonts w:cstheme="minorHAnsi"/>
        </w:rPr>
        <w:t xml:space="preserve">. Providers </w:t>
      </w:r>
      <w:r w:rsidR="00F77306">
        <w:rPr>
          <w:rFonts w:cstheme="minorHAnsi"/>
        </w:rPr>
        <w:t xml:space="preserve">may </w:t>
      </w:r>
      <w:r w:rsidR="00C8220F">
        <w:rPr>
          <w:rFonts w:cstheme="minorHAnsi"/>
        </w:rPr>
        <w:t xml:space="preserve">also </w:t>
      </w:r>
      <w:r w:rsidR="00F77306">
        <w:rPr>
          <w:rFonts w:cstheme="minorHAnsi"/>
        </w:rPr>
        <w:t xml:space="preserve">agree a Contact </w:t>
      </w:r>
      <w:r w:rsidR="001269C4">
        <w:rPr>
          <w:rFonts w:cstheme="minorHAnsi"/>
        </w:rPr>
        <w:t>schedule</w:t>
      </w:r>
      <w:r w:rsidR="007D5657">
        <w:rPr>
          <w:rFonts w:cstheme="minorHAnsi"/>
        </w:rPr>
        <w:t xml:space="preserve"> with the Participant</w:t>
      </w:r>
      <w:r w:rsidR="00C8220F">
        <w:rPr>
          <w:rFonts w:cstheme="minorHAnsi"/>
        </w:rPr>
        <w:t xml:space="preserve"> </w:t>
      </w:r>
      <w:r w:rsidR="00FB0FEB">
        <w:rPr>
          <w:rFonts w:cstheme="minorHAnsi"/>
        </w:rPr>
        <w:t xml:space="preserve">if this approach will aid in delivering </w:t>
      </w:r>
      <w:r w:rsidR="00E77C6C">
        <w:rPr>
          <w:rFonts w:cstheme="minorHAnsi"/>
        </w:rPr>
        <w:t>support</w:t>
      </w:r>
      <w:r>
        <w:t>.</w:t>
      </w:r>
    </w:p>
    <w:p w14:paraId="1F8F7797" w14:textId="77777777" w:rsidR="00E64A5F" w:rsidRDefault="00E64A5F" w:rsidP="00E64A5F">
      <w:r>
        <w:t>A Contact can be delivered via the following Engagement Methods:</w:t>
      </w:r>
    </w:p>
    <w:p w14:paraId="5DEBA369" w14:textId="77777777" w:rsidR="00E64A5F" w:rsidRPr="00156D37" w:rsidRDefault="00E64A5F" w:rsidP="00E64A5F">
      <w:pPr>
        <w:pStyle w:val="BulletLevel1"/>
      </w:pPr>
      <w:r w:rsidRPr="00156D37">
        <w:t>face-to-face</w:t>
      </w:r>
    </w:p>
    <w:p w14:paraId="33E8DEE4" w14:textId="77777777" w:rsidR="00E64A5F" w:rsidRPr="00156D37" w:rsidRDefault="00E64A5F" w:rsidP="00E64A5F">
      <w:pPr>
        <w:pStyle w:val="BulletLevel1"/>
      </w:pPr>
      <w:r w:rsidRPr="00156D37">
        <w:t>as a</w:t>
      </w:r>
      <w:r>
        <w:t xml:space="preserve"> phone </w:t>
      </w:r>
      <w:r w:rsidRPr="00156D37">
        <w:t>conversation</w:t>
      </w:r>
    </w:p>
    <w:p w14:paraId="07BBB250" w14:textId="77777777" w:rsidR="00E64A5F" w:rsidRDefault="00E64A5F" w:rsidP="00E64A5F">
      <w:pPr>
        <w:pStyle w:val="BulletLevel1"/>
      </w:pPr>
      <w:r w:rsidRPr="00156D37">
        <w:t>as a videoconference</w:t>
      </w:r>
      <w:r>
        <w:t>, and</w:t>
      </w:r>
    </w:p>
    <w:p w14:paraId="661A0191" w14:textId="0E1FAAB9" w:rsidR="003C1CFE" w:rsidRDefault="003C1CFE" w:rsidP="003C1CFE">
      <w:pPr>
        <w:pStyle w:val="BulletLevel1"/>
      </w:pPr>
      <w:r>
        <w:t xml:space="preserve">as meaningful email or text message exchanges (see </w:t>
      </w:r>
      <w:r w:rsidRPr="00E85864">
        <w:rPr>
          <w:rStyle w:val="Hyperlink"/>
        </w:rPr>
        <w:t>Meaningful exchange of email or text messages Provider Fact Sheet</w:t>
      </w:r>
      <w:r>
        <w:rPr>
          <w:rStyle w:val="Hyperlink"/>
        </w:rPr>
        <w:t xml:space="preserve"> [LINK]</w:t>
      </w:r>
      <w:r>
        <w:t xml:space="preserve"> on the Provider Portal for more details).</w:t>
      </w:r>
    </w:p>
    <w:p w14:paraId="5D51A427" w14:textId="093B5E6B" w:rsidR="00D74559" w:rsidRDefault="00E9384E" w:rsidP="006E2EF5">
      <w:r>
        <w:t>The</w:t>
      </w:r>
      <w:r w:rsidR="00D74559">
        <w:t xml:space="preserve"> Provider must ensure the Participant knows how they can request support, when needed.</w:t>
      </w:r>
    </w:p>
    <w:p w14:paraId="20134137" w14:textId="77777777" w:rsidR="00D74559" w:rsidRPr="00A17B7B" w:rsidRDefault="00D74559" w:rsidP="006F727E">
      <w:pPr>
        <w:pStyle w:val="SystemStep"/>
      </w:pPr>
      <w:r w:rsidRPr="00A17B7B">
        <w:t xml:space="preserve">If the Participant has not </w:t>
      </w:r>
      <w:r w:rsidR="00573FA6">
        <w:t>schedule</w:t>
      </w:r>
      <w:r w:rsidRPr="00A17B7B">
        <w:t xml:space="preserve">d their hours of work as a Personal Event in the Participant’s Electronic Calendar, the Provider must record this for them. The Provider must not </w:t>
      </w:r>
      <w:r w:rsidR="00573FA6">
        <w:t>schedule</w:t>
      </w:r>
      <w:r w:rsidRPr="00A17B7B">
        <w:t xml:space="preserve"> Contacts during Personal Events without first getting the agreement of the Participant.</w:t>
      </w:r>
    </w:p>
    <w:p w14:paraId="1DB994AD" w14:textId="4582026B" w:rsidR="00D74559" w:rsidRDefault="00D74559" w:rsidP="006E2EF5">
      <w:r>
        <w:t>Providers can deliver Contacts in the workplace with the agreement of the Participant and the Employer. When scheduling Contacts during the Participant’s work hours, the Provider must</w:t>
      </w:r>
      <w:r w:rsidR="00EA050F">
        <w:t xml:space="preserve"> record in a file</w:t>
      </w:r>
      <w:r>
        <w:t xml:space="preserve"> note the Employer’s willingness to allow the Participant to engage during work hours, and agreement as to whether the Contact can occur at the workplace or not.</w:t>
      </w:r>
    </w:p>
    <w:p w14:paraId="7C325DB6" w14:textId="50EBB9E3" w:rsidR="005E2A10" w:rsidRPr="00DE7270" w:rsidRDefault="00560FC6" w:rsidP="005E2A10">
      <w:r w:rsidRPr="00BA4701">
        <w:rPr>
          <w:b/>
          <w:bCs/>
        </w:rPr>
        <w:t xml:space="preserve">Note: </w:t>
      </w:r>
      <w:r>
        <w:t xml:space="preserve">Participation requirements may continue to apply to </w:t>
      </w:r>
      <w:r w:rsidDel="00CC3587">
        <w:t xml:space="preserve">Participants </w:t>
      </w:r>
      <w:r>
        <w:t xml:space="preserve">(Mutual Obligation) and DSP Recipients (Compulsory Requirements) while they receive </w:t>
      </w:r>
      <w:r w:rsidR="00A50053">
        <w:t>Post Placement</w:t>
      </w:r>
      <w:r>
        <w:t xml:space="preserve"> Support. </w:t>
      </w:r>
      <w:r w:rsidR="004E0605">
        <w:t>Providers should r</w:t>
      </w:r>
      <w:r>
        <w:t xml:space="preserve">efer to </w:t>
      </w:r>
      <w:r w:rsidR="003B2E77">
        <w:fldChar w:fldCharType="begin"/>
      </w:r>
      <w:r w:rsidR="003B2E77">
        <w:instrText xml:space="preserve"> REF _Ref202792444 \h </w:instrText>
      </w:r>
      <w:r w:rsidR="003B2E77">
        <w:fldChar w:fldCharType="separate"/>
      </w:r>
      <w:r w:rsidR="003B2E77">
        <w:t xml:space="preserve">5.6.1 </w:t>
      </w:r>
      <w:r w:rsidR="003B2E77" w:rsidRPr="00631287">
        <w:t>Appointments</w:t>
      </w:r>
      <w:r w:rsidR="003B2E77">
        <w:fldChar w:fldCharType="end"/>
      </w:r>
      <w:r w:rsidR="00775963">
        <w:fldChar w:fldCharType="begin"/>
      </w:r>
      <w:r w:rsidR="00775963">
        <w:instrText xml:space="preserve"> REF _Ref202884234 \h </w:instrText>
      </w:r>
      <w:r w:rsidR="00775963">
        <w:fldChar w:fldCharType="separate"/>
      </w:r>
      <w:r w:rsidR="00775963">
        <w:fldChar w:fldCharType="end"/>
      </w:r>
      <w:r w:rsidR="00775963">
        <w:t xml:space="preserve"> </w:t>
      </w:r>
      <w:r>
        <w:t>for further information</w:t>
      </w:r>
      <w:r w:rsidR="004E0605">
        <w:t xml:space="preserve"> on how to capture Contacts and Contact Appointments </w:t>
      </w:r>
      <w:r w:rsidR="00DE2F1F">
        <w:t>for those with a Meaningful Engagement Job Plan or Detailed Job Plan</w:t>
      </w:r>
      <w:r w:rsidR="005E2A10">
        <w:t>.</w:t>
      </w:r>
    </w:p>
    <w:p w14:paraId="29770F1F" w14:textId="698AE1E6" w:rsidR="00C700EB" w:rsidRPr="009A4232" w:rsidRDefault="00C700EB" w:rsidP="001B6632">
      <w:pPr>
        <w:pStyle w:val="Heading3"/>
      </w:pPr>
      <w:bookmarkStart w:id="395" w:name="_Ref202785049"/>
      <w:bookmarkStart w:id="396" w:name="_Toc202900051"/>
      <w:r>
        <w:t>9.5</w:t>
      </w:r>
      <w:r>
        <w:tab/>
        <w:t>Employment Outcome conditions</w:t>
      </w:r>
      <w:bookmarkEnd w:id="395"/>
      <w:bookmarkEnd w:id="396"/>
    </w:p>
    <w:p w14:paraId="578BDB79" w14:textId="750AB0EA" w:rsidR="00C700EB" w:rsidRDefault="00E60A35" w:rsidP="00C700EB">
      <w:r>
        <w:t>M</w:t>
      </w:r>
      <w:r w:rsidR="00C700EB">
        <w:t>ov</w:t>
      </w:r>
      <w:r>
        <w:t>ing</w:t>
      </w:r>
      <w:r w:rsidR="00C700EB">
        <w:t xml:space="preserve"> </w:t>
      </w:r>
      <w:r>
        <w:t xml:space="preserve">a </w:t>
      </w:r>
      <w:r w:rsidR="00C700EB">
        <w:t>Participant to Post Placement Support anchor</w:t>
      </w:r>
      <w:r>
        <w:t>s</w:t>
      </w:r>
      <w:r w:rsidR="00C700EB">
        <w:t xml:space="preserve"> the first Outcome Period and start</w:t>
      </w:r>
      <w:r>
        <w:t>s</w:t>
      </w:r>
      <w:r w:rsidR="00C700EB">
        <w:t xml:space="preserve"> the Participant’s progress towards meeting Employment Outcome requirements.</w:t>
      </w:r>
    </w:p>
    <w:p w14:paraId="2B6F882D" w14:textId="6B7F080B" w:rsidR="00C700EB" w:rsidRDefault="00C700EB" w:rsidP="00C700EB">
      <w:r w:rsidRPr="2CC6209F">
        <w:t xml:space="preserve">Providers may claim </w:t>
      </w:r>
      <w:r w:rsidR="006360DE">
        <w:t xml:space="preserve">Outcome Fees </w:t>
      </w:r>
      <w:r w:rsidRPr="2CC6209F">
        <w:t xml:space="preserve">when a Participant they are servicing achieves </w:t>
      </w:r>
      <w:r w:rsidR="001A55A6">
        <w:t xml:space="preserve">an Employment Outcome in </w:t>
      </w:r>
      <w:r w:rsidRPr="2CC6209F">
        <w:t xml:space="preserve">Employment, Unsubsidised Self-Employment, an </w:t>
      </w:r>
      <w:r>
        <w:t>A</w:t>
      </w:r>
      <w:r w:rsidRPr="2CC6209F">
        <w:t>pprenticeship or</w:t>
      </w:r>
      <w:r>
        <w:t xml:space="preserve"> T</w:t>
      </w:r>
      <w:r w:rsidRPr="2CC6209F">
        <w:t xml:space="preserve">raineeship. This includes </w:t>
      </w:r>
      <w:r w:rsidR="00F87FF8" w:rsidRPr="2CC6209F">
        <w:t xml:space="preserve">self-employment </w:t>
      </w:r>
      <w:r w:rsidR="00F87FF8">
        <w:t>through</w:t>
      </w:r>
      <w:r w:rsidR="00F87FF8" w:rsidRPr="2CC6209F">
        <w:t xml:space="preserve"> </w:t>
      </w:r>
      <w:r w:rsidR="006D2324">
        <w:t>S-EA</w:t>
      </w:r>
      <w:r w:rsidR="00F87FF8" w:rsidRPr="2CC6209F">
        <w:t xml:space="preserve"> </w:t>
      </w:r>
      <w:r w:rsidR="00F87FF8">
        <w:t>and e</w:t>
      </w:r>
      <w:r w:rsidRPr="2CC6209F">
        <w:t xml:space="preserve">mployment </w:t>
      </w:r>
      <w:r>
        <w:t>arranged by</w:t>
      </w:r>
      <w:r w:rsidRPr="2CC6209F">
        <w:t xml:space="preserve"> </w:t>
      </w:r>
      <w:r>
        <w:t>a</w:t>
      </w:r>
      <w:r w:rsidRPr="2CC6209F">
        <w:t xml:space="preserve"> CTA or EST Provider</w:t>
      </w:r>
      <w:r>
        <w:t>.</w:t>
      </w:r>
    </w:p>
    <w:p w14:paraId="28367D93" w14:textId="068696C7" w:rsidR="006C63BE" w:rsidRDefault="00AF0888" w:rsidP="00C700EB">
      <w:r>
        <w:t>As noted in</w:t>
      </w:r>
      <w:r w:rsidR="001A0ADA">
        <w:t xml:space="preserve"> </w:t>
      </w:r>
      <w:r w:rsidR="004572F7">
        <w:fldChar w:fldCharType="begin"/>
      </w:r>
      <w:r w:rsidR="004572F7">
        <w:instrText xml:space="preserve"> REF _Ref202798416 \h </w:instrText>
      </w:r>
      <w:r w:rsidR="004572F7">
        <w:fldChar w:fldCharType="separate"/>
      </w:r>
      <w:r w:rsidR="004572F7">
        <w:t>11</w:t>
      </w:r>
      <w:r w:rsidR="004572F7" w:rsidRPr="25249C38">
        <w:t>.5.</w:t>
      </w:r>
      <w:r w:rsidR="004572F7">
        <w:t xml:space="preserve">3 </w:t>
      </w:r>
      <w:r w:rsidR="004572F7" w:rsidRPr="25249C38">
        <w:t>Non-Payable Outcomes</w:t>
      </w:r>
      <w:r w:rsidR="004572F7">
        <w:fldChar w:fldCharType="end"/>
      </w:r>
      <w:r w:rsidR="001A0ADA">
        <w:fldChar w:fldCharType="begin"/>
      </w:r>
      <w:r w:rsidR="001A0ADA">
        <w:instrText xml:space="preserve"> REF _Ref202884334 \h </w:instrText>
      </w:r>
      <w:r w:rsidR="001A0ADA">
        <w:fldChar w:fldCharType="separate"/>
      </w:r>
      <w:r w:rsidR="001A0ADA">
        <w:fldChar w:fldCharType="end"/>
      </w:r>
      <w:r>
        <w:t xml:space="preserve">, </w:t>
      </w:r>
      <w:r w:rsidR="00C700EB">
        <w:t>a Participant</w:t>
      </w:r>
      <w:r w:rsidR="00590622">
        <w:t>’s</w:t>
      </w:r>
      <w:r w:rsidR="00C700EB">
        <w:t xml:space="preserve"> Employment prior to Commencing in </w:t>
      </w:r>
      <w:r w:rsidR="00353F8E">
        <w:t>Inclusive Employment Australia</w:t>
      </w:r>
      <w:r w:rsidR="00C700EB">
        <w:t xml:space="preserve"> </w:t>
      </w:r>
      <w:r w:rsidR="00590622">
        <w:t>cannot</w:t>
      </w:r>
      <w:r w:rsidR="00C700EB">
        <w:t xml:space="preserve"> count towards an Employment Outcome</w:t>
      </w:r>
      <w:r w:rsidR="00590622">
        <w:t xml:space="preserve"> unless the</w:t>
      </w:r>
      <w:r w:rsidR="006C63BE">
        <w:t xml:space="preserve"> Participant</w:t>
      </w:r>
      <w:r w:rsidR="00590622">
        <w:t>’s</w:t>
      </w:r>
      <w:r w:rsidR="006C63BE">
        <w:t xml:space="preserve"> working hours </w:t>
      </w:r>
      <w:r w:rsidR="00590622">
        <w:t xml:space="preserve">in that Employment increased </w:t>
      </w:r>
      <w:r w:rsidR="006C63BE">
        <w:t xml:space="preserve">after Commencement in </w:t>
      </w:r>
      <w:r w:rsidR="00353F8E">
        <w:t>Inclusive Employment Australia</w:t>
      </w:r>
      <w:r w:rsidR="00B33EBF">
        <w:t>.</w:t>
      </w:r>
    </w:p>
    <w:p w14:paraId="4074A8DF" w14:textId="57F07512" w:rsidR="00C700EB" w:rsidRPr="001A0ADA" w:rsidRDefault="00C700EB" w:rsidP="001A0ADA">
      <w:r>
        <w:t xml:space="preserve">More details on Outcomes </w:t>
      </w:r>
      <w:r w:rsidR="001B6632">
        <w:t xml:space="preserve">Fees </w:t>
      </w:r>
      <w:r>
        <w:t>and the requirements</w:t>
      </w:r>
      <w:r w:rsidR="001B6632">
        <w:t xml:space="preserve"> for claiming these Fees</w:t>
      </w:r>
      <w:r>
        <w:t xml:space="preserve"> are included in </w:t>
      </w:r>
      <w:r w:rsidR="001A0ADA" w:rsidRPr="001A0ADA">
        <w:fldChar w:fldCharType="begin"/>
      </w:r>
      <w:r w:rsidR="001A0ADA" w:rsidRPr="001A0ADA">
        <w:instrText xml:space="preserve"> REF _Ref202785050 \h  \* MERGEFORMAT </w:instrText>
      </w:r>
      <w:r w:rsidR="001A0ADA" w:rsidRPr="001A0ADA">
        <w:fldChar w:fldCharType="separate"/>
      </w:r>
      <w:r w:rsidR="001A0ADA" w:rsidRPr="001A0ADA">
        <w:fldChar w:fldCharType="end"/>
      </w:r>
      <w:r w:rsidR="001A0ADA">
        <w:t>.</w:t>
      </w:r>
    </w:p>
    <w:p w14:paraId="5761A92A" w14:textId="400AECC5" w:rsidR="00E336B0" w:rsidRDefault="00C56D96" w:rsidP="00C56D96">
      <w:pPr>
        <w:pStyle w:val="Heading4"/>
      </w:pPr>
      <w:bookmarkStart w:id="397" w:name="_Ref202896803"/>
      <w:bookmarkStart w:id="398" w:name="_Toc202900052"/>
      <w:r>
        <w:t>9.5.1</w:t>
      </w:r>
      <w:r w:rsidR="008A2FE7">
        <w:tab/>
      </w:r>
      <w:r w:rsidR="00E336B0">
        <w:t xml:space="preserve">Full or Partial </w:t>
      </w:r>
      <w:r w:rsidR="00E336B0" w:rsidRPr="25249C38">
        <w:t>Outcome</w:t>
      </w:r>
      <w:r>
        <w:t xml:space="preserve"> requirements</w:t>
      </w:r>
      <w:bookmarkEnd w:id="397"/>
      <w:bookmarkEnd w:id="398"/>
    </w:p>
    <w:p w14:paraId="58A3926A" w14:textId="77777777" w:rsidR="00E336B0" w:rsidRDefault="00E336B0" w:rsidP="001A0ADA">
      <w:r>
        <w:t>There are different Outcome requirements for Full Outcome and Partial Outcomes.</w:t>
      </w:r>
    </w:p>
    <w:p w14:paraId="1634C467" w14:textId="519AC924" w:rsidR="00E336B0" w:rsidRDefault="00E336B0" w:rsidP="001A0ADA">
      <w:r>
        <w:t>A Participant can achieve a Full Outcome when, across an Outcome Period, the Participant:</w:t>
      </w:r>
    </w:p>
    <w:p w14:paraId="015F595F" w14:textId="77777777" w:rsidR="00E336B0" w:rsidRDefault="00E336B0" w:rsidP="004E120D">
      <w:pPr>
        <w:pStyle w:val="BulletLevel1"/>
      </w:pPr>
      <w:r>
        <w:t>works an average number of hours at least equal to their Employment Benchmark, or</w:t>
      </w:r>
    </w:p>
    <w:p w14:paraId="41F43C98" w14:textId="0C1C8BC6" w:rsidR="00E336B0" w:rsidRDefault="00E336B0" w:rsidP="004E120D">
      <w:pPr>
        <w:pStyle w:val="BulletLevel1"/>
      </w:pPr>
      <w:r>
        <w:t>reports to Centrelink income earning</w:t>
      </w:r>
      <w:r w:rsidR="00FB37E9">
        <w:t>s</w:t>
      </w:r>
      <w:r>
        <w:t xml:space="preserve"> that are sufficient to cause the Basic Rate of their Income Support Payment to cease.</w:t>
      </w:r>
    </w:p>
    <w:p w14:paraId="51C57E11" w14:textId="32038213" w:rsidR="00E336B0" w:rsidRDefault="00E336B0" w:rsidP="00E336B0">
      <w:r>
        <w:t xml:space="preserve">A Participant can achieve a Partial Outcome when, across an Outcome Period, the Participant works an average number of hours </w:t>
      </w:r>
      <w:r w:rsidR="005357AB">
        <w:t xml:space="preserve">per week </w:t>
      </w:r>
      <w:r>
        <w:t xml:space="preserve">which is </w:t>
      </w:r>
      <w:r w:rsidR="00FE5AC3">
        <w:t>approximately</w:t>
      </w:r>
      <w:r>
        <w:t xml:space="preserve"> two-thirds </w:t>
      </w:r>
      <w:r w:rsidR="00EE4A78">
        <w:t xml:space="preserve">or more </w:t>
      </w:r>
      <w:r>
        <w:t>of their Employment Benchmark.</w:t>
      </w:r>
    </w:p>
    <w:p w14:paraId="3EB3F20C" w14:textId="77777777" w:rsidR="00E336B0" w:rsidRDefault="00E336B0" w:rsidP="00E336B0">
      <w:r>
        <w:t>The average number of hours a Participant must work to meet Outcome requirements is shown in the table below.</w:t>
      </w:r>
    </w:p>
    <w:p w14:paraId="197F0E12" w14:textId="7CEB791E" w:rsidR="00171FCE" w:rsidRDefault="00AA3C5F" w:rsidP="004D0D00">
      <w:pPr>
        <w:pStyle w:val="TableChartHeading"/>
      </w:pPr>
      <w:r>
        <w:t>Hours required for F</w:t>
      </w:r>
      <w:r w:rsidR="004D0D00">
        <w:t>ull and</w:t>
      </w:r>
      <w:r>
        <w:t xml:space="preserve"> Partial Outcomes</w:t>
      </w:r>
    </w:p>
    <w:tbl>
      <w:tblPr>
        <w:tblStyle w:val="DSSTableStyleB"/>
        <w:tblW w:w="0" w:type="auto"/>
        <w:tblLook w:val="04A0" w:firstRow="1" w:lastRow="0" w:firstColumn="1" w:lastColumn="0" w:noHBand="0" w:noVBand="1"/>
      </w:tblPr>
      <w:tblGrid>
        <w:gridCol w:w="2977"/>
        <w:gridCol w:w="3544"/>
        <w:gridCol w:w="3673"/>
      </w:tblGrid>
      <w:tr w:rsidR="00047484" w14:paraId="16063E76" w14:textId="77777777" w:rsidTr="00DE7A9B">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bottom w:val="single" w:sz="4" w:space="0" w:color="auto"/>
            </w:tcBorders>
          </w:tcPr>
          <w:p w14:paraId="18597C32" w14:textId="77777777" w:rsidR="00E336B0" w:rsidRDefault="00E336B0">
            <w:pPr>
              <w:pStyle w:val="TableText"/>
            </w:pPr>
            <w:r>
              <w:t>Employment Benchmark</w:t>
            </w:r>
          </w:p>
        </w:tc>
        <w:tc>
          <w:tcPr>
            <w:tcW w:w="3544" w:type="dxa"/>
            <w:tcBorders>
              <w:top w:val="single" w:sz="4" w:space="0" w:color="auto"/>
              <w:bottom w:val="single" w:sz="4" w:space="0" w:color="auto"/>
            </w:tcBorders>
          </w:tcPr>
          <w:p w14:paraId="3BFE48BB" w14:textId="77777777" w:rsidR="00E336B0" w:rsidRDefault="00E336B0">
            <w:pPr>
              <w:pStyle w:val="TableText"/>
            </w:pPr>
            <w:r>
              <w:t>Average weekly hours required for a Full Outcome</w:t>
            </w:r>
          </w:p>
        </w:tc>
        <w:tc>
          <w:tcPr>
            <w:tcW w:w="3673" w:type="dxa"/>
            <w:tcBorders>
              <w:top w:val="single" w:sz="4" w:space="0" w:color="auto"/>
              <w:bottom w:val="single" w:sz="4" w:space="0" w:color="auto"/>
            </w:tcBorders>
          </w:tcPr>
          <w:p w14:paraId="2538FB1D" w14:textId="77777777" w:rsidR="00E336B0" w:rsidRDefault="00E336B0">
            <w:pPr>
              <w:pStyle w:val="TableText"/>
            </w:pPr>
            <w:r>
              <w:t>Average weekly hours required for a Partial Outcome</w:t>
            </w:r>
          </w:p>
        </w:tc>
      </w:tr>
      <w:tr w:rsidR="00E336B0" w14:paraId="77EF641E" w14:textId="77777777" w:rsidTr="00DE7A9B">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bottom w:val="single" w:sz="4" w:space="0" w:color="auto"/>
            </w:tcBorders>
          </w:tcPr>
          <w:p w14:paraId="0896EDD1" w14:textId="71769D19" w:rsidR="00E336B0" w:rsidRDefault="00E336B0" w:rsidP="00933845">
            <w:pPr>
              <w:pStyle w:val="TableText"/>
              <w:keepNext/>
              <w:keepLines/>
              <w:jc w:val="center"/>
            </w:pPr>
            <w:r>
              <w:t>0</w:t>
            </w:r>
            <w:r w:rsidR="008D5E8A">
              <w:t xml:space="preserve"> hours</w:t>
            </w:r>
          </w:p>
        </w:tc>
        <w:tc>
          <w:tcPr>
            <w:tcW w:w="3544" w:type="dxa"/>
            <w:tcBorders>
              <w:top w:val="single" w:sz="4" w:space="0" w:color="auto"/>
              <w:bottom w:val="single" w:sz="4" w:space="0" w:color="auto"/>
            </w:tcBorders>
          </w:tcPr>
          <w:p w14:paraId="212E2034" w14:textId="7BFA585E" w:rsidR="00E336B0" w:rsidRDefault="00E30DDE" w:rsidP="00933845">
            <w:pPr>
              <w:pStyle w:val="TableText"/>
              <w:keepNext/>
              <w:keepLines/>
              <w:jc w:val="center"/>
            </w:pPr>
            <w:r>
              <w:t xml:space="preserve">  </w:t>
            </w:r>
            <w:r w:rsidR="00E336B0">
              <w:t>8*</w:t>
            </w:r>
          </w:p>
        </w:tc>
        <w:tc>
          <w:tcPr>
            <w:tcW w:w="3673" w:type="dxa"/>
            <w:tcBorders>
              <w:top w:val="single" w:sz="4" w:space="0" w:color="auto"/>
              <w:bottom w:val="single" w:sz="4" w:space="0" w:color="auto"/>
            </w:tcBorders>
          </w:tcPr>
          <w:p w14:paraId="019623FD" w14:textId="77777777" w:rsidR="00E336B0" w:rsidRDefault="00E336B0" w:rsidP="00933845">
            <w:pPr>
              <w:pStyle w:val="TableText"/>
              <w:keepNext/>
              <w:keepLines/>
              <w:jc w:val="center"/>
            </w:pPr>
            <w:r>
              <w:t>5</w:t>
            </w:r>
          </w:p>
        </w:tc>
      </w:tr>
      <w:tr w:rsidR="00047484" w14:paraId="21D8672D" w14:textId="77777777" w:rsidTr="00DE7A9B">
        <w:trPr>
          <w:cnfStyle w:val="000000010000" w:firstRow="0" w:lastRow="0" w:firstColumn="0" w:lastColumn="0" w:oddVBand="0" w:evenVBand="0" w:oddHBand="0" w:evenHBand="1" w:firstRowFirstColumn="0" w:firstRowLastColumn="0" w:lastRowFirstColumn="0" w:lastRowLastColumn="0"/>
        </w:trPr>
        <w:tc>
          <w:tcPr>
            <w:tcW w:w="2977" w:type="dxa"/>
            <w:tcBorders>
              <w:top w:val="single" w:sz="4" w:space="0" w:color="auto"/>
              <w:bottom w:val="single" w:sz="4" w:space="0" w:color="auto"/>
            </w:tcBorders>
          </w:tcPr>
          <w:p w14:paraId="35E0D07B" w14:textId="6DC43C1B" w:rsidR="00E336B0" w:rsidRDefault="00E336B0" w:rsidP="00D1288A">
            <w:pPr>
              <w:pStyle w:val="TableText"/>
              <w:keepLines/>
              <w:jc w:val="center"/>
            </w:pPr>
            <w:r>
              <w:t>8</w:t>
            </w:r>
            <w:r w:rsidR="008D5E8A">
              <w:t xml:space="preserve"> hours</w:t>
            </w:r>
          </w:p>
        </w:tc>
        <w:tc>
          <w:tcPr>
            <w:tcW w:w="3544" w:type="dxa"/>
            <w:tcBorders>
              <w:top w:val="single" w:sz="4" w:space="0" w:color="auto"/>
              <w:bottom w:val="single" w:sz="4" w:space="0" w:color="auto"/>
            </w:tcBorders>
          </w:tcPr>
          <w:p w14:paraId="0CAACE30" w14:textId="77777777" w:rsidR="00E336B0" w:rsidRDefault="00E336B0" w:rsidP="00D1288A">
            <w:pPr>
              <w:pStyle w:val="TableText"/>
              <w:keepLines/>
              <w:jc w:val="center"/>
            </w:pPr>
            <w:r>
              <w:t>8</w:t>
            </w:r>
          </w:p>
        </w:tc>
        <w:tc>
          <w:tcPr>
            <w:tcW w:w="3673" w:type="dxa"/>
            <w:tcBorders>
              <w:top w:val="single" w:sz="4" w:space="0" w:color="auto"/>
              <w:bottom w:val="single" w:sz="4" w:space="0" w:color="auto"/>
            </w:tcBorders>
          </w:tcPr>
          <w:p w14:paraId="0FB4B034" w14:textId="77777777" w:rsidR="00E336B0" w:rsidRDefault="00E336B0" w:rsidP="00D1288A">
            <w:pPr>
              <w:pStyle w:val="TableText"/>
              <w:keepLines/>
              <w:jc w:val="center"/>
            </w:pPr>
            <w:r>
              <w:t>5</w:t>
            </w:r>
          </w:p>
        </w:tc>
      </w:tr>
      <w:tr w:rsidR="00E336B0" w14:paraId="24DD7805" w14:textId="77777777" w:rsidTr="00DE7A9B">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bottom w:val="single" w:sz="4" w:space="0" w:color="auto"/>
            </w:tcBorders>
          </w:tcPr>
          <w:p w14:paraId="05FAEA3D" w14:textId="24BA4C89" w:rsidR="00E336B0" w:rsidRDefault="00E336B0" w:rsidP="00D1288A">
            <w:pPr>
              <w:pStyle w:val="TableText"/>
              <w:keepLines/>
              <w:jc w:val="center"/>
            </w:pPr>
            <w:r>
              <w:t>15</w:t>
            </w:r>
            <w:r w:rsidR="008D5E8A">
              <w:t xml:space="preserve"> hours</w:t>
            </w:r>
          </w:p>
        </w:tc>
        <w:tc>
          <w:tcPr>
            <w:tcW w:w="3544" w:type="dxa"/>
            <w:tcBorders>
              <w:top w:val="single" w:sz="4" w:space="0" w:color="auto"/>
              <w:bottom w:val="single" w:sz="4" w:space="0" w:color="auto"/>
            </w:tcBorders>
          </w:tcPr>
          <w:p w14:paraId="05F8E52E" w14:textId="77777777" w:rsidR="00E336B0" w:rsidRDefault="00E336B0" w:rsidP="00D1288A">
            <w:pPr>
              <w:pStyle w:val="TableText"/>
              <w:keepLines/>
              <w:jc w:val="center"/>
            </w:pPr>
            <w:r>
              <w:t>15</w:t>
            </w:r>
          </w:p>
        </w:tc>
        <w:tc>
          <w:tcPr>
            <w:tcW w:w="3673" w:type="dxa"/>
            <w:tcBorders>
              <w:top w:val="single" w:sz="4" w:space="0" w:color="auto"/>
              <w:bottom w:val="single" w:sz="4" w:space="0" w:color="auto"/>
            </w:tcBorders>
          </w:tcPr>
          <w:p w14:paraId="387CBFF9" w14:textId="77777777" w:rsidR="00E336B0" w:rsidRDefault="00E336B0" w:rsidP="00D1288A">
            <w:pPr>
              <w:pStyle w:val="TableText"/>
              <w:keepLines/>
              <w:jc w:val="center"/>
            </w:pPr>
            <w:r>
              <w:t>10</w:t>
            </w:r>
          </w:p>
        </w:tc>
      </w:tr>
      <w:tr w:rsidR="00047484" w14:paraId="721F50F2" w14:textId="77777777" w:rsidTr="00DE7A9B">
        <w:trPr>
          <w:cnfStyle w:val="000000010000" w:firstRow="0" w:lastRow="0" w:firstColumn="0" w:lastColumn="0" w:oddVBand="0" w:evenVBand="0" w:oddHBand="0" w:evenHBand="1" w:firstRowFirstColumn="0" w:firstRowLastColumn="0" w:lastRowFirstColumn="0" w:lastRowLastColumn="0"/>
        </w:trPr>
        <w:tc>
          <w:tcPr>
            <w:tcW w:w="2977" w:type="dxa"/>
            <w:tcBorders>
              <w:top w:val="single" w:sz="4" w:space="0" w:color="auto"/>
              <w:bottom w:val="single" w:sz="4" w:space="0" w:color="auto"/>
            </w:tcBorders>
          </w:tcPr>
          <w:p w14:paraId="5F521302" w14:textId="113152AD" w:rsidR="00E336B0" w:rsidRDefault="00E336B0" w:rsidP="00D1288A">
            <w:pPr>
              <w:pStyle w:val="TableText"/>
              <w:keepLines/>
              <w:jc w:val="center"/>
            </w:pPr>
            <w:r>
              <w:t>23</w:t>
            </w:r>
            <w:r w:rsidR="008D5E8A">
              <w:t xml:space="preserve"> hours</w:t>
            </w:r>
          </w:p>
        </w:tc>
        <w:tc>
          <w:tcPr>
            <w:tcW w:w="3544" w:type="dxa"/>
            <w:tcBorders>
              <w:top w:val="single" w:sz="4" w:space="0" w:color="auto"/>
              <w:bottom w:val="single" w:sz="4" w:space="0" w:color="auto"/>
            </w:tcBorders>
          </w:tcPr>
          <w:p w14:paraId="6AB02098" w14:textId="77777777" w:rsidR="00E336B0" w:rsidRDefault="00E336B0" w:rsidP="00D1288A">
            <w:pPr>
              <w:pStyle w:val="TableText"/>
              <w:keepLines/>
              <w:jc w:val="center"/>
            </w:pPr>
            <w:r>
              <w:t>23</w:t>
            </w:r>
          </w:p>
        </w:tc>
        <w:tc>
          <w:tcPr>
            <w:tcW w:w="3673" w:type="dxa"/>
            <w:tcBorders>
              <w:top w:val="single" w:sz="4" w:space="0" w:color="auto"/>
              <w:bottom w:val="single" w:sz="4" w:space="0" w:color="auto"/>
            </w:tcBorders>
          </w:tcPr>
          <w:p w14:paraId="01DF6481" w14:textId="77777777" w:rsidR="00E336B0" w:rsidRDefault="00E336B0" w:rsidP="00D1288A">
            <w:pPr>
              <w:pStyle w:val="TableText"/>
              <w:keepLines/>
              <w:jc w:val="center"/>
            </w:pPr>
            <w:r>
              <w:t>15</w:t>
            </w:r>
          </w:p>
        </w:tc>
      </w:tr>
      <w:tr w:rsidR="00E336B0" w14:paraId="05AD38F7" w14:textId="77777777" w:rsidTr="00DE7A9B">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bottom w:val="single" w:sz="4" w:space="0" w:color="auto"/>
            </w:tcBorders>
          </w:tcPr>
          <w:p w14:paraId="36715AF0" w14:textId="572AA5AD" w:rsidR="00E336B0" w:rsidRDefault="00E336B0" w:rsidP="00D1288A">
            <w:pPr>
              <w:pStyle w:val="TableText"/>
              <w:keepLines/>
              <w:jc w:val="center"/>
            </w:pPr>
            <w:r>
              <w:t>30</w:t>
            </w:r>
            <w:r w:rsidR="008D5E8A">
              <w:t xml:space="preserve"> hours</w:t>
            </w:r>
          </w:p>
        </w:tc>
        <w:tc>
          <w:tcPr>
            <w:tcW w:w="3544" w:type="dxa"/>
            <w:tcBorders>
              <w:top w:val="single" w:sz="4" w:space="0" w:color="auto"/>
              <w:bottom w:val="single" w:sz="4" w:space="0" w:color="auto"/>
            </w:tcBorders>
          </w:tcPr>
          <w:p w14:paraId="35BA7FE1" w14:textId="77777777" w:rsidR="00E336B0" w:rsidRDefault="00E336B0" w:rsidP="00D1288A">
            <w:pPr>
              <w:pStyle w:val="TableText"/>
              <w:keepLines/>
              <w:jc w:val="center"/>
            </w:pPr>
            <w:r>
              <w:t>30</w:t>
            </w:r>
          </w:p>
        </w:tc>
        <w:tc>
          <w:tcPr>
            <w:tcW w:w="3673" w:type="dxa"/>
            <w:tcBorders>
              <w:top w:val="single" w:sz="4" w:space="0" w:color="auto"/>
              <w:bottom w:val="single" w:sz="4" w:space="0" w:color="auto"/>
            </w:tcBorders>
          </w:tcPr>
          <w:p w14:paraId="4EC8BAA5" w14:textId="77777777" w:rsidR="00E336B0" w:rsidRDefault="00E336B0" w:rsidP="00D1288A">
            <w:pPr>
              <w:pStyle w:val="TableText"/>
              <w:keepLines/>
              <w:jc w:val="center"/>
            </w:pPr>
            <w:r>
              <w:t>20</w:t>
            </w:r>
          </w:p>
        </w:tc>
      </w:tr>
    </w:tbl>
    <w:p w14:paraId="616F1A38" w14:textId="0A05CCC6" w:rsidR="00E336B0" w:rsidRPr="00B04AA9" w:rsidRDefault="00E336B0" w:rsidP="00397DD8">
      <w:r>
        <w:rPr>
          <w:b/>
          <w:bCs/>
        </w:rPr>
        <w:t>*</w:t>
      </w:r>
      <w:r w:rsidRPr="00095BAF">
        <w:rPr>
          <w:b/>
          <w:bCs/>
        </w:rPr>
        <w:t>Note:</w:t>
      </w:r>
      <w:r>
        <w:t xml:space="preserve"> </w:t>
      </w:r>
      <w:r w:rsidRPr="00B04AA9">
        <w:t xml:space="preserve">For Participants with an Employment Benchmark of </w:t>
      </w:r>
      <w:r>
        <w:t>0</w:t>
      </w:r>
      <w:r w:rsidR="00933845">
        <w:t xml:space="preserve"> hours</w:t>
      </w:r>
      <w:r w:rsidR="008D5E8A">
        <w:t xml:space="preserve"> per week</w:t>
      </w:r>
      <w:r w:rsidR="008F75D3">
        <w:t>,</w:t>
      </w:r>
      <w:r>
        <w:t xml:space="preserve"> there is some additional flexibility to account for building work capacity or unanticipated gaps in weekly hours.</w:t>
      </w:r>
      <w:r w:rsidR="00397DD8">
        <w:t xml:space="preserve"> A</w:t>
      </w:r>
      <w:r w:rsidRPr="00B04AA9">
        <w:t xml:space="preserve"> Full Outcome will also be available for working at least 8 hours per week for:</w:t>
      </w:r>
    </w:p>
    <w:p w14:paraId="7E4DC2E9" w14:textId="77777777" w:rsidR="00E336B0" w:rsidRPr="00B04AA9" w:rsidRDefault="00E336B0" w:rsidP="004E120D">
      <w:pPr>
        <w:pStyle w:val="BulletLevel1"/>
      </w:pPr>
      <w:r w:rsidRPr="00B04AA9">
        <w:t>9 of 12 weeks for a 12-week Employment Outcome, and</w:t>
      </w:r>
    </w:p>
    <w:p w14:paraId="083B6C6B" w14:textId="77777777" w:rsidR="00E336B0" w:rsidRPr="00B04AA9" w:rsidRDefault="00E336B0" w:rsidP="004E120D">
      <w:pPr>
        <w:pStyle w:val="BulletLevel1"/>
      </w:pPr>
      <w:r w:rsidRPr="00B04AA9">
        <w:t>20 of 26 weeks for the 26-week Employment Outcome, and</w:t>
      </w:r>
    </w:p>
    <w:p w14:paraId="6ABAFD71" w14:textId="77777777" w:rsidR="00E336B0" w:rsidRDefault="00E336B0" w:rsidP="004E120D">
      <w:pPr>
        <w:pStyle w:val="BulletLevel1"/>
      </w:pPr>
      <w:r w:rsidRPr="00B04AA9">
        <w:t>20 of 26 weeks for the remaining 26 weeks of the 52-week Employment Outcome.</w:t>
      </w:r>
    </w:p>
    <w:p w14:paraId="191DE008" w14:textId="054575BA" w:rsidR="00CA436E" w:rsidRDefault="00D25CA3" w:rsidP="00E336B0">
      <w:r>
        <w:t>An</w:t>
      </w:r>
      <w:r w:rsidR="00CA436E">
        <w:t xml:space="preserve"> Employment</w:t>
      </w:r>
      <w:r>
        <w:t xml:space="preserve"> Outcome can only be claimed if </w:t>
      </w:r>
      <w:r w:rsidR="00CA436E">
        <w:t xml:space="preserve">the preceding </w:t>
      </w:r>
      <w:r w:rsidR="004B2F0D">
        <w:t>O</w:t>
      </w:r>
      <w:r w:rsidR="00CA436E">
        <w:t>utcome was claimed. That is:</w:t>
      </w:r>
    </w:p>
    <w:p w14:paraId="1C06E707" w14:textId="00D0D89D" w:rsidR="00CA436E" w:rsidRDefault="00CA436E" w:rsidP="00CA436E">
      <w:pPr>
        <w:pStyle w:val="BulletLevel1"/>
      </w:pPr>
      <w:r>
        <w:t>a 26-week Employment Outcome cannot be claimed unless a 12-week Employment Outcome was claimed during the 26 weeks of the 26-week Outcome Period</w:t>
      </w:r>
    </w:p>
    <w:p w14:paraId="7E166050" w14:textId="64AF5CB8" w:rsidR="00E336B0" w:rsidRDefault="00CA436E" w:rsidP="00E336B0">
      <w:pPr>
        <w:pStyle w:val="BulletLevel1"/>
      </w:pPr>
      <w:r>
        <w:t>a 52-week Employment Outcome cannot be claimed unless a 26-week Employment Outcome was claimed immediately before the 26 weeks of the 52-week Outcome Period</w:t>
      </w:r>
      <w:r w:rsidR="00A87FDC">
        <w:t>.</w:t>
      </w:r>
    </w:p>
    <w:p w14:paraId="11031CF9" w14:textId="6AF4A12C" w:rsidR="001B629D" w:rsidRPr="00B43C80" w:rsidRDefault="001B629D" w:rsidP="00E336B0">
      <w:pPr>
        <w:rPr>
          <w:sz w:val="20"/>
          <w:szCs w:val="20"/>
        </w:rPr>
      </w:pPr>
      <w:r w:rsidRPr="00B43C80">
        <w:rPr>
          <w:sz w:val="20"/>
          <w:szCs w:val="20"/>
        </w:rPr>
        <w:t>Deed Reference(s): Clause 163.</w:t>
      </w:r>
      <w:r w:rsidR="001C4841">
        <w:rPr>
          <w:sz w:val="20"/>
          <w:szCs w:val="20"/>
        </w:rPr>
        <w:t>1</w:t>
      </w:r>
      <w:r w:rsidR="00445383">
        <w:rPr>
          <w:sz w:val="20"/>
          <w:szCs w:val="20"/>
        </w:rPr>
        <w:t xml:space="preserve">, 163.2, </w:t>
      </w:r>
      <w:r w:rsidRPr="00B43C80">
        <w:rPr>
          <w:sz w:val="20"/>
          <w:szCs w:val="20"/>
        </w:rPr>
        <w:t>163.3</w:t>
      </w:r>
    </w:p>
    <w:p w14:paraId="22E96FFA" w14:textId="08BF32C1" w:rsidR="00912119" w:rsidRPr="009A4232" w:rsidRDefault="00912119" w:rsidP="00912119">
      <w:pPr>
        <w:pStyle w:val="Heading4"/>
      </w:pPr>
      <w:bookmarkStart w:id="399" w:name="_Ref202896614"/>
      <w:bookmarkStart w:id="400" w:name="_Toc202900053"/>
      <w:r>
        <w:t>9.</w:t>
      </w:r>
      <w:r w:rsidR="005523BA">
        <w:t>5</w:t>
      </w:r>
      <w:r>
        <w:t>.</w:t>
      </w:r>
      <w:r w:rsidR="00C56D96">
        <w:t>2</w:t>
      </w:r>
      <w:r>
        <w:tab/>
        <w:t>Outcome Periods</w:t>
      </w:r>
      <w:bookmarkEnd w:id="399"/>
      <w:bookmarkEnd w:id="400"/>
    </w:p>
    <w:p w14:paraId="70798802" w14:textId="77777777" w:rsidR="00912119" w:rsidRDefault="00912119" w:rsidP="00912119">
      <w:r>
        <w:t>Outcome Periods are Consecutive Weeks of Employment over defined periods of 12 or 26 weeks. When a Provider can show that a Participant worked the required number of hours or earned enough income during an Outcome Period, the Provider can claim the Outcome Fee for that Outcome Period.</w:t>
      </w:r>
    </w:p>
    <w:p w14:paraId="0163ABCB" w14:textId="77777777" w:rsidR="00912119" w:rsidRDefault="00912119" w:rsidP="00912119">
      <w:r>
        <w:t>An Outcome Period may be broken by one or more Permissible Breaks. When a Permissible Break is used, the Outcome Period consists of the relevant number of Consecutive Weeks on either side of the Permissible Break.</w:t>
      </w:r>
    </w:p>
    <w:p w14:paraId="35477B65" w14:textId="20351693" w:rsidR="00912119" w:rsidRDefault="00912119" w:rsidP="00912119">
      <w:r>
        <w:t xml:space="preserve">Once </w:t>
      </w:r>
      <w:r w:rsidRPr="2CC6209F">
        <w:t xml:space="preserve">an Employment Outcome has been claimed, the Outcome </w:t>
      </w:r>
      <w:r w:rsidR="63F3B93F">
        <w:t>Period</w:t>
      </w:r>
      <w:r>
        <w:t xml:space="preserve"> </w:t>
      </w:r>
      <w:r w:rsidRPr="2CC6209F">
        <w:t>Start Date cannot be changed</w:t>
      </w:r>
      <w:r>
        <w:t>.</w:t>
      </w:r>
    </w:p>
    <w:p w14:paraId="5BBF9200" w14:textId="77777777" w:rsidR="00966C91" w:rsidRPr="009B5982" w:rsidRDefault="00966C91" w:rsidP="00966C91">
      <w:pPr>
        <w:pStyle w:val="BulletLevel1"/>
        <w:numPr>
          <w:ilvl w:val="0"/>
          <w:numId w:val="0"/>
        </w:numPr>
        <w:rPr>
          <w:sz w:val="20"/>
          <w:szCs w:val="20"/>
        </w:rPr>
      </w:pPr>
      <w:r w:rsidRPr="009B5982">
        <w:rPr>
          <w:sz w:val="20"/>
          <w:szCs w:val="20"/>
        </w:rPr>
        <w:t>(Deed Reference(s)</w:t>
      </w:r>
      <w:r>
        <w:rPr>
          <w:sz w:val="20"/>
          <w:szCs w:val="20"/>
        </w:rPr>
        <w:t>: Clause 163</w:t>
      </w:r>
      <w:r w:rsidRPr="009B5982">
        <w:rPr>
          <w:sz w:val="20"/>
          <w:szCs w:val="20"/>
        </w:rPr>
        <w:t>)</w:t>
      </w:r>
    </w:p>
    <w:p w14:paraId="1255B294" w14:textId="77777777" w:rsidR="00912119" w:rsidRDefault="00912119" w:rsidP="00912119">
      <w:pPr>
        <w:pStyle w:val="Heading5"/>
      </w:pPr>
      <w:r>
        <w:t>12-week Period (12 Consecutive Weeks)</w:t>
      </w:r>
    </w:p>
    <w:p w14:paraId="7CB085EB" w14:textId="32AC3F39" w:rsidR="00912119" w:rsidRDefault="00912119" w:rsidP="00912119">
      <w:r>
        <w:t xml:space="preserve">The 12-week Period is a period of 12 Consecutive Weeks that starts on the </w:t>
      </w:r>
      <w:r w:rsidR="00700407">
        <w:t>Job Placement</w:t>
      </w:r>
      <w:r>
        <w:t xml:space="preserve"> Anchor Date set when a Participant moves to Post Placement Support and ends when the Participant completes 12 Consecutive Weeks of Employment.</w:t>
      </w:r>
    </w:p>
    <w:p w14:paraId="1B0E8461" w14:textId="77777777" w:rsidR="00912119" w:rsidRDefault="00912119" w:rsidP="00912119">
      <w:r>
        <w:t>A Provider can claim a 12-week Outcome if, during the 12-week Period, the Participant:</w:t>
      </w:r>
    </w:p>
    <w:p w14:paraId="16F94865" w14:textId="77777777" w:rsidR="00912119" w:rsidRDefault="00912119" w:rsidP="004E120D">
      <w:pPr>
        <w:pStyle w:val="BulletLevel1"/>
      </w:pPr>
      <w:r>
        <w:t>worked enough hours each week, on average, to achieve at least a Partial Outcome, or</w:t>
      </w:r>
    </w:p>
    <w:p w14:paraId="745B0548" w14:textId="77777777" w:rsidR="00912119" w:rsidRDefault="00912119" w:rsidP="004E120D">
      <w:pPr>
        <w:pStyle w:val="BulletLevel1"/>
      </w:pPr>
      <w:r>
        <w:t>earned enough income to cause their Basic Rate of Income Support Payments to cease.</w:t>
      </w:r>
    </w:p>
    <w:p w14:paraId="62E69D01" w14:textId="77777777" w:rsidR="00912119" w:rsidRDefault="00912119" w:rsidP="00912119">
      <w:pPr>
        <w:pStyle w:val="Heading5"/>
      </w:pPr>
      <w:r>
        <w:t>26-week Period (26 Consecutive Weeks)</w:t>
      </w:r>
    </w:p>
    <w:p w14:paraId="44222753" w14:textId="0DA4BC04" w:rsidR="00912119" w:rsidRDefault="00912119" w:rsidP="00912119">
      <w:r w:rsidRPr="6E68D962">
        <w:t xml:space="preserve">The 26-week Period is a period of 26 Consecutive Weeks that starts on the </w:t>
      </w:r>
      <w:r w:rsidR="00700407">
        <w:t>Job Placement</w:t>
      </w:r>
      <w:r w:rsidRPr="6E68D962">
        <w:t xml:space="preserve"> </w:t>
      </w:r>
      <w:r>
        <w:t>Anchor Date</w:t>
      </w:r>
      <w:r w:rsidRPr="6E68D962">
        <w:t xml:space="preserve"> set when a Participant moves to Post Placement Support and ends when the Participant </w:t>
      </w:r>
      <w:r>
        <w:t>completes</w:t>
      </w:r>
      <w:r w:rsidRPr="6E68D962">
        <w:t xml:space="preserve"> 26</w:t>
      </w:r>
      <w:r>
        <w:t> </w:t>
      </w:r>
      <w:r w:rsidRPr="6E68D962">
        <w:t>Consecutive Weeks of Employment. This means that the time, hours and earnings from the 12</w:t>
      </w:r>
      <w:r>
        <w:noBreakHyphen/>
      </w:r>
      <w:r w:rsidRPr="6E68D962">
        <w:t>week Period form part of the time, hours and earnings of the 26-week Period.</w:t>
      </w:r>
    </w:p>
    <w:p w14:paraId="6D4B6D92" w14:textId="77777777" w:rsidR="00912119" w:rsidRDefault="00912119" w:rsidP="00912119">
      <w:pPr>
        <w:keepNext/>
      </w:pPr>
      <w:r>
        <w:t>A Provider can claim a 26-week Outcome if, during the 26-week Outcome Period, the Participant:</w:t>
      </w:r>
    </w:p>
    <w:p w14:paraId="01B772C1" w14:textId="77777777" w:rsidR="00912119" w:rsidRDefault="00912119" w:rsidP="004E120D">
      <w:pPr>
        <w:pStyle w:val="BulletLevel1"/>
      </w:pPr>
      <w:r>
        <w:t>worked enough hours each week, on average, to achieve at least a Partial Outcome, or</w:t>
      </w:r>
    </w:p>
    <w:p w14:paraId="75B9FB33" w14:textId="77777777" w:rsidR="00912119" w:rsidRDefault="00912119" w:rsidP="004E120D">
      <w:pPr>
        <w:pStyle w:val="BulletLevel1"/>
      </w:pPr>
      <w:r>
        <w:t>earned enough income to cause their Basic Rate of Income Support Payments to cease.</w:t>
      </w:r>
    </w:p>
    <w:p w14:paraId="03D43B82" w14:textId="77777777" w:rsidR="00912119" w:rsidRDefault="00912119" w:rsidP="00912119">
      <w:pPr>
        <w:pStyle w:val="Heading5"/>
      </w:pPr>
      <w:r>
        <w:t>52-week Period (26 Consecutive Weeks)</w:t>
      </w:r>
    </w:p>
    <w:p w14:paraId="7FFB94DB" w14:textId="77777777" w:rsidR="00912119" w:rsidRDefault="00912119" w:rsidP="00912119">
      <w:r w:rsidRPr="6E68D962">
        <w:t>The 52-week Period is a period of 26 Consecutive Weeks that starts on the day after the 26</w:t>
      </w:r>
      <w:r>
        <w:noBreakHyphen/>
      </w:r>
      <w:r w:rsidRPr="6E68D962">
        <w:t>week Period ends and ends when the Participant completes a further 26 Consecutive Weeks of Employment. This means that the time, hours and earnings from the 12-week Period and the 26</w:t>
      </w:r>
      <w:r>
        <w:noBreakHyphen/>
      </w:r>
      <w:r w:rsidRPr="6E68D962">
        <w:t>week Period do not form any part of the time, hours and earnings of the 26-week Period.</w:t>
      </w:r>
    </w:p>
    <w:p w14:paraId="718AA352" w14:textId="08E2C49D" w:rsidR="00912119" w:rsidRDefault="00912119" w:rsidP="00912119">
      <w:r>
        <w:t xml:space="preserve">A Provider can claim a 52-week Outcome if, during the </w:t>
      </w:r>
      <w:r w:rsidR="0066230A">
        <w:t xml:space="preserve">relevant 26 weeks of the </w:t>
      </w:r>
      <w:r>
        <w:t>52-week Outcome Period, the Participant:</w:t>
      </w:r>
    </w:p>
    <w:p w14:paraId="6EA8741A" w14:textId="77777777" w:rsidR="00912119" w:rsidRDefault="00912119" w:rsidP="004E120D">
      <w:pPr>
        <w:pStyle w:val="BulletLevel1"/>
      </w:pPr>
      <w:r>
        <w:t>worked enough hours each week, on average, to achieve at least a Partial Outcome, or</w:t>
      </w:r>
    </w:p>
    <w:p w14:paraId="4F7AF843" w14:textId="77777777" w:rsidR="00912119" w:rsidRDefault="00912119" w:rsidP="004E120D">
      <w:pPr>
        <w:pStyle w:val="BulletLevel1"/>
      </w:pPr>
      <w:r>
        <w:t>earned enough income to cause their Basic Rate of Income Support Payments to cease.</w:t>
      </w:r>
    </w:p>
    <w:p w14:paraId="3B93150E" w14:textId="64046E70" w:rsidR="00912119" w:rsidRDefault="00DA48A8" w:rsidP="00DA48A8">
      <w:pPr>
        <w:pStyle w:val="Heading4"/>
      </w:pPr>
      <w:bookmarkStart w:id="401" w:name="_Ref202884620"/>
      <w:bookmarkStart w:id="402" w:name="_Ref202892065"/>
      <w:bookmarkStart w:id="403" w:name="_Ref202896668"/>
      <w:bookmarkStart w:id="404" w:name="_Toc202900054"/>
      <w:r>
        <w:t>9.5.</w:t>
      </w:r>
      <w:r w:rsidR="007C663D">
        <w:t>3</w:t>
      </w:r>
      <w:r>
        <w:tab/>
      </w:r>
      <w:r w:rsidR="00912119" w:rsidRPr="25249C38">
        <w:t>Permissible Breaks</w:t>
      </w:r>
      <w:r w:rsidR="00F269D7">
        <w:t xml:space="preserve"> and Voluntary Changes in Employment</w:t>
      </w:r>
      <w:bookmarkEnd w:id="401"/>
      <w:bookmarkEnd w:id="402"/>
      <w:bookmarkEnd w:id="403"/>
      <w:bookmarkEnd w:id="404"/>
    </w:p>
    <w:p w14:paraId="3E448DC7" w14:textId="77777777" w:rsidR="0029768D" w:rsidRPr="00966C91" w:rsidRDefault="0029768D" w:rsidP="00966C91">
      <w:pPr>
        <w:pStyle w:val="Heading5"/>
      </w:pPr>
      <w:r w:rsidRPr="00966C91">
        <w:t>Permissible breaks</w:t>
      </w:r>
    </w:p>
    <w:p w14:paraId="604D56CE" w14:textId="3FAD3B8C" w:rsidR="00F55B97" w:rsidRDefault="000D41EC" w:rsidP="00966C91">
      <w:r>
        <w:t>Providers can record a Permissible Break within an Outcome Period</w:t>
      </w:r>
      <w:r w:rsidR="000D113C">
        <w:t xml:space="preserve"> </w:t>
      </w:r>
      <w:r w:rsidR="006665D2">
        <w:t xml:space="preserve">where </w:t>
      </w:r>
      <w:r w:rsidR="00DD73FC">
        <w:t xml:space="preserve">a </w:t>
      </w:r>
      <w:r w:rsidR="00BE64F9">
        <w:t xml:space="preserve">Participant </w:t>
      </w:r>
      <w:r w:rsidR="00DD73FC">
        <w:t xml:space="preserve">in Post Placement Support </w:t>
      </w:r>
      <w:r w:rsidR="001C05FB">
        <w:t xml:space="preserve">or Ongoing Support </w:t>
      </w:r>
      <w:r w:rsidR="006C558F">
        <w:t xml:space="preserve">who is tracking towards an Employment Outcome </w:t>
      </w:r>
      <w:r w:rsidR="00CC7FD9">
        <w:t xml:space="preserve">is unable to work at their </w:t>
      </w:r>
      <w:r w:rsidR="00323E21">
        <w:t xml:space="preserve">normal employment conditions </w:t>
      </w:r>
      <w:r w:rsidR="00A23BF1">
        <w:t xml:space="preserve">due to </w:t>
      </w:r>
      <w:r w:rsidR="00EB2265">
        <w:t xml:space="preserve">circumstances </w:t>
      </w:r>
      <w:r w:rsidR="00A23BF1">
        <w:t>outside</w:t>
      </w:r>
      <w:r w:rsidR="00DA67FD">
        <w:t xml:space="preserve"> </w:t>
      </w:r>
      <w:r w:rsidR="00A23BF1">
        <w:t xml:space="preserve">the </w:t>
      </w:r>
      <w:r w:rsidR="00323E21">
        <w:t xml:space="preserve">control of the </w:t>
      </w:r>
      <w:r w:rsidR="00A23BF1">
        <w:t>Participant or Provider</w:t>
      </w:r>
      <w:r w:rsidR="0013536F">
        <w:t>.</w:t>
      </w:r>
    </w:p>
    <w:p w14:paraId="0CCBBB91" w14:textId="47644305" w:rsidR="00F76606" w:rsidRDefault="00F76606" w:rsidP="00966C91">
      <w:r>
        <w:t xml:space="preserve">Permissible Break provisions recognise that unforeseen situations may temporarily disrupt Employment that is otherwise sustained and ongoing. This can include short gaps where a Participant </w:t>
      </w:r>
      <w:r w:rsidR="001E21F6">
        <w:t xml:space="preserve">unexpectedly </w:t>
      </w:r>
      <w:r>
        <w:t>finishes one Employment placement but then continues their Employment in another placement</w:t>
      </w:r>
      <w:r w:rsidR="00680D37">
        <w:t xml:space="preserve"> within </w:t>
      </w:r>
      <w:r w:rsidR="005249B5">
        <w:t xml:space="preserve">the </w:t>
      </w:r>
      <w:r w:rsidR="00A66D5C">
        <w:t>number of available Permissible Break days</w:t>
      </w:r>
      <w:r>
        <w:t>.</w:t>
      </w:r>
    </w:p>
    <w:p w14:paraId="0A1860E0" w14:textId="7E9E2B85" w:rsidR="00FC2FFF" w:rsidRPr="00DC02EB" w:rsidRDefault="00AB106F" w:rsidP="00966C91">
      <w:r w:rsidRPr="00DC02EB">
        <w:t xml:space="preserve">A Permissible Break does not form part of </w:t>
      </w:r>
      <w:r w:rsidR="00822E1F" w:rsidRPr="00DC02EB">
        <w:t>an</w:t>
      </w:r>
      <w:r w:rsidRPr="00DC02EB">
        <w:t xml:space="preserve"> Outcome Period. </w:t>
      </w:r>
      <w:r w:rsidR="004F71F7" w:rsidRPr="00DC02EB">
        <w:t xml:space="preserve">The Outcome Period is extended by the </w:t>
      </w:r>
      <w:r w:rsidR="00092473" w:rsidRPr="00DC02EB">
        <w:t>number</w:t>
      </w:r>
      <w:r w:rsidR="004F71F7" w:rsidRPr="00DC02EB">
        <w:t xml:space="preserve"> of </w:t>
      </w:r>
      <w:r w:rsidR="00092473" w:rsidRPr="00DC02EB">
        <w:t xml:space="preserve">days equal to </w:t>
      </w:r>
      <w:r w:rsidR="004F71F7" w:rsidRPr="00DC02EB">
        <w:t>any Permissible Breaks</w:t>
      </w:r>
      <w:r w:rsidR="00092473" w:rsidRPr="00DC02EB">
        <w:t>,</w:t>
      </w:r>
      <w:r w:rsidR="004F71F7" w:rsidRPr="00DC02EB">
        <w:t xml:space="preserve"> so that </w:t>
      </w:r>
      <w:r w:rsidR="00FA2055">
        <w:t xml:space="preserve">the </w:t>
      </w:r>
      <w:r w:rsidR="00092473" w:rsidRPr="00DC02EB">
        <w:t>Outcome Period</w:t>
      </w:r>
      <w:r w:rsidR="000A0328" w:rsidRPr="00DC02EB">
        <w:t xml:space="preserve"> continues to </w:t>
      </w:r>
      <w:r w:rsidR="00E30390" w:rsidRPr="00DC02EB">
        <w:t>count as</w:t>
      </w:r>
      <w:r w:rsidR="000A0328" w:rsidRPr="00DC02EB">
        <w:t xml:space="preserve"> 12 or 26 Consecutive Weeks</w:t>
      </w:r>
      <w:r w:rsidR="00DA0412" w:rsidRPr="00DC02EB">
        <w:t>.</w:t>
      </w:r>
    </w:p>
    <w:p w14:paraId="4FF813D1" w14:textId="6DD05AE3" w:rsidR="00AC0A70" w:rsidRDefault="00542AD9" w:rsidP="00966C91">
      <w:r>
        <w:t xml:space="preserve">Providers do not need to use Permissible Breaks. </w:t>
      </w:r>
      <w:r w:rsidR="00265090">
        <w:t>When a Participant’s circumstances would allow</w:t>
      </w:r>
      <w:r w:rsidR="00912119" w:rsidDel="00D9537C">
        <w:t xml:space="preserve"> a Permissible Break to </w:t>
      </w:r>
      <w:r w:rsidR="00265090">
        <w:t>be used,</w:t>
      </w:r>
      <w:r w:rsidR="00AC0A70">
        <w:t xml:space="preserve"> the Provider </w:t>
      </w:r>
      <w:r w:rsidR="00265090">
        <w:t>must</w:t>
      </w:r>
      <w:r w:rsidR="00AC0A70">
        <w:t xml:space="preserve"> decide whether or not to enter a Permissible Break</w:t>
      </w:r>
      <w:r w:rsidR="00265090">
        <w:t>.</w:t>
      </w:r>
      <w:r w:rsidR="00856422">
        <w:t xml:space="preserve"> Providers must </w:t>
      </w:r>
      <w:r w:rsidR="000746AC">
        <w:t>retain</w:t>
      </w:r>
      <w:r w:rsidR="00623FDB">
        <w:t xml:space="preserve"> Documentary Evidence </w:t>
      </w:r>
      <w:r>
        <w:t>of the need for any</w:t>
      </w:r>
      <w:r w:rsidR="000746AC">
        <w:t xml:space="preserve"> </w:t>
      </w:r>
      <w:r>
        <w:t>Permissible B</w:t>
      </w:r>
      <w:r w:rsidR="00AE7367">
        <w:t xml:space="preserve">reak </w:t>
      </w:r>
      <w:r>
        <w:t>used</w:t>
      </w:r>
      <w:r w:rsidR="00623FDB">
        <w:t>.</w:t>
      </w:r>
    </w:p>
    <w:p w14:paraId="74E3822F" w14:textId="14CE94D6" w:rsidR="0040520A" w:rsidRPr="00DC02EB" w:rsidRDefault="0040520A" w:rsidP="00966C91">
      <w:r w:rsidRPr="00DC02EB">
        <w:t xml:space="preserve">Any hours worked and any income earned </w:t>
      </w:r>
      <w:r w:rsidR="0000100C">
        <w:t xml:space="preserve">by a Participant </w:t>
      </w:r>
      <w:r w:rsidRPr="00DC02EB">
        <w:t xml:space="preserve">during </w:t>
      </w:r>
      <w:r>
        <w:t>a</w:t>
      </w:r>
      <w:r w:rsidRPr="00DC02EB">
        <w:t xml:space="preserve"> Permissible Break period, do not count towards the Outcome requirements.</w:t>
      </w:r>
    </w:p>
    <w:p w14:paraId="1D49E5E3" w14:textId="77777777" w:rsidR="00912119" w:rsidRDefault="00912119" w:rsidP="00966C91">
      <w:pPr>
        <w:rPr>
          <w:bCs/>
        </w:rPr>
      </w:pPr>
      <w:r w:rsidRPr="00F707D6">
        <w:rPr>
          <w:bCs/>
        </w:rPr>
        <w:t>In general, Participants can have Permissible Breaks of up to</w:t>
      </w:r>
      <w:r>
        <w:rPr>
          <w:bCs/>
        </w:rPr>
        <w:t>:</w:t>
      </w:r>
    </w:p>
    <w:p w14:paraId="3704FF45" w14:textId="0729F882" w:rsidR="00912119" w:rsidRPr="002C7FE6" w:rsidRDefault="005E68A5" w:rsidP="004E120D">
      <w:pPr>
        <w:pStyle w:val="BulletLevel1"/>
      </w:pPr>
      <w:r>
        <w:t>28 days</w:t>
      </w:r>
      <w:r w:rsidR="00912119" w:rsidRPr="002C3E31">
        <w:t xml:space="preserve"> during the </w:t>
      </w:r>
      <w:r w:rsidR="00912119" w:rsidRPr="002C7FE6">
        <w:t>12 Consecutive Weeks of the 12-week Period</w:t>
      </w:r>
    </w:p>
    <w:p w14:paraId="55C1D0AF" w14:textId="702F57B5" w:rsidR="00912119" w:rsidRPr="002C7FE6" w:rsidRDefault="005E68A5" w:rsidP="004E120D">
      <w:pPr>
        <w:pStyle w:val="BulletLevel1"/>
      </w:pPr>
      <w:r>
        <w:t>28 days</w:t>
      </w:r>
      <w:r w:rsidR="00912119" w:rsidRPr="002C7FE6">
        <w:t xml:space="preserve"> in the 14 Consecutive Weeks between the end of the 12-week Period and the end of the 26-week Period</w:t>
      </w:r>
      <w:r w:rsidR="00912119">
        <w:t>, and</w:t>
      </w:r>
    </w:p>
    <w:p w14:paraId="076FA285" w14:textId="75DD2A3A" w:rsidR="00912119" w:rsidRPr="002C3E31" w:rsidRDefault="00FE54BB" w:rsidP="004E120D">
      <w:pPr>
        <w:pStyle w:val="BulletLevel1"/>
      </w:pPr>
      <w:r>
        <w:t xml:space="preserve">28 </w:t>
      </w:r>
      <w:r w:rsidR="005E68A5">
        <w:t>days</w:t>
      </w:r>
      <w:r w:rsidR="00912119" w:rsidRPr="002C3E31">
        <w:t xml:space="preserve"> for each </w:t>
      </w:r>
      <w:r w:rsidR="00212F93">
        <w:t>13</w:t>
      </w:r>
      <w:r w:rsidR="00912119" w:rsidRPr="002C3E31">
        <w:t xml:space="preserve">-weeks </w:t>
      </w:r>
      <w:r w:rsidR="00912119" w:rsidRPr="002C3E31" w:rsidDel="00E95078">
        <w:t xml:space="preserve">between the 26-week and 52-week </w:t>
      </w:r>
      <w:r w:rsidR="00912119" w:rsidRPr="002C3E31" w:rsidDel="005C56C5">
        <w:t>Outcome</w:t>
      </w:r>
      <w:r w:rsidR="00DD7869">
        <w:t>s</w:t>
      </w:r>
      <w:r w:rsidR="00912119" w:rsidRPr="002C3E31">
        <w:t xml:space="preserve">. </w:t>
      </w:r>
    </w:p>
    <w:p w14:paraId="6A5BB2A1" w14:textId="31BAE7BC" w:rsidR="00BC20A9" w:rsidRDefault="00786C2F" w:rsidP="00966C91">
      <w:r>
        <w:t>Each</w:t>
      </w:r>
      <w:r w:rsidR="00450787">
        <w:t xml:space="preserve"> maximum of 28 days </w:t>
      </w:r>
      <w:r w:rsidR="00441057">
        <w:t>can include one or more break</w:t>
      </w:r>
      <w:r w:rsidR="006323FD">
        <w:t xml:space="preserve"> period</w:t>
      </w:r>
      <w:r w:rsidR="00441057">
        <w:t>s</w:t>
      </w:r>
      <w:r w:rsidR="00F35401">
        <w:t>.</w:t>
      </w:r>
    </w:p>
    <w:p w14:paraId="62A8E5CE" w14:textId="3DC930A3" w:rsidR="009B7793" w:rsidRDefault="009B7793" w:rsidP="00966C91">
      <w:r>
        <w:t xml:space="preserve">Providers can submit a request to the Department for approval of </w:t>
      </w:r>
      <w:r w:rsidR="0073204F">
        <w:t>additional</w:t>
      </w:r>
      <w:r>
        <w:t xml:space="preserve"> Permissible Breaks </w:t>
      </w:r>
      <w:r w:rsidR="005E68A5">
        <w:t xml:space="preserve">exceeding the 28 day limits described above </w:t>
      </w:r>
      <w:r>
        <w:t>for any Participant where needed because of exceptional circumstances. Additional Permissible Breaks will usually be approved only where there is a very clear need for a further break, for reasons beyond the Participant’s or Provider’s control, such as the impact of a natural disaster.</w:t>
      </w:r>
    </w:p>
    <w:p w14:paraId="67FFA4E4" w14:textId="6D854F5C" w:rsidR="009D179E" w:rsidRDefault="00912119" w:rsidP="00966C91">
      <w:r w:rsidDel="00BC3BE9">
        <w:t xml:space="preserve">Principal Carer Parents </w:t>
      </w:r>
      <w:r w:rsidR="004B274C">
        <w:t>can have</w:t>
      </w:r>
      <w:r w:rsidDel="00BC3BE9">
        <w:t xml:space="preserve"> </w:t>
      </w:r>
      <w:r w:rsidR="00184CAD">
        <w:t xml:space="preserve">an additional </w:t>
      </w:r>
      <w:r w:rsidDel="00BC3BE9">
        <w:t>Permissible Break</w:t>
      </w:r>
      <w:r w:rsidR="00F87825">
        <w:t xml:space="preserve"> of up to </w:t>
      </w:r>
      <w:r w:rsidR="00E80EA9">
        <w:t>8-weeks</w:t>
      </w:r>
      <w:r w:rsidR="00F87825">
        <w:t xml:space="preserve"> </w:t>
      </w:r>
      <w:r w:rsidR="00DD6BE5" w:rsidRPr="00EE558B">
        <w:rPr>
          <w:rFonts w:cstheme="minorHAnsi"/>
          <w:szCs w:val="22"/>
        </w:rPr>
        <w:t>for an Employer</w:t>
      </w:r>
      <w:r w:rsidR="00E80EA9">
        <w:rPr>
          <w:rFonts w:cstheme="minorHAnsi"/>
          <w:szCs w:val="22"/>
        </w:rPr>
        <w:t>-</w:t>
      </w:r>
      <w:r w:rsidR="00DD6BE5" w:rsidRPr="00EE558B">
        <w:rPr>
          <w:rFonts w:cstheme="minorHAnsi"/>
          <w:szCs w:val="22"/>
        </w:rPr>
        <w:t>initiated shutdown over the Christmas period, providing that the Participant will resume their Employment in the New Year</w:t>
      </w:r>
      <w:r w:rsidDel="00BC3BE9">
        <w:t>.</w:t>
      </w:r>
    </w:p>
    <w:p w14:paraId="5FEE45CF" w14:textId="50AE09D7" w:rsidR="00912119" w:rsidRPr="00F707D6" w:rsidRDefault="00912119" w:rsidP="00966C91">
      <w:r>
        <w:t xml:space="preserve">More details on how Permissible Breaks are applied are included in the </w:t>
      </w:r>
      <w:r w:rsidRPr="00966C91">
        <w:rPr>
          <w:rStyle w:val="Hyperlink"/>
        </w:rPr>
        <w:t xml:space="preserve">Permissible Breaks in Employment </w:t>
      </w:r>
      <w:r w:rsidR="005A5C81" w:rsidRPr="00966C91">
        <w:rPr>
          <w:rStyle w:val="Hyperlink"/>
        </w:rPr>
        <w:t xml:space="preserve">Provider </w:t>
      </w:r>
      <w:r w:rsidRPr="00966C91">
        <w:rPr>
          <w:rStyle w:val="Hyperlink"/>
        </w:rPr>
        <w:t xml:space="preserve">Fact Sheet </w:t>
      </w:r>
      <w:r w:rsidR="00966C91" w:rsidRPr="00966C91">
        <w:rPr>
          <w:rStyle w:val="Hyperlink"/>
        </w:rPr>
        <w:t>[LINK]</w:t>
      </w:r>
      <w:r w:rsidR="00966C91">
        <w:t xml:space="preserve"> </w:t>
      </w:r>
      <w:r>
        <w:t>on the Provider Portal.</w:t>
      </w:r>
    </w:p>
    <w:p w14:paraId="52F8F342" w14:textId="77777777" w:rsidR="00912119" w:rsidRPr="00A17B7B" w:rsidRDefault="00912119" w:rsidP="00912119">
      <w:pPr>
        <w:pStyle w:val="SystemStep"/>
      </w:pPr>
      <w:r w:rsidRPr="00A17B7B">
        <w:t>To record a Permissible Break</w:t>
      </w:r>
      <w:r>
        <w:t>, Providers must undertake the following steps in the Department’s IT Systems:</w:t>
      </w:r>
    </w:p>
    <w:p w14:paraId="33991BBF" w14:textId="77777777" w:rsidR="00912119" w:rsidRPr="00F4359E" w:rsidRDefault="00912119" w:rsidP="004E120D">
      <w:pPr>
        <w:pStyle w:val="BulletLevel2"/>
      </w:pPr>
      <w:r>
        <w:t>Step 1: N</w:t>
      </w:r>
      <w:r w:rsidRPr="00F4359E">
        <w:t xml:space="preserve">avigate to the Breaks section of the Outcome Details </w:t>
      </w:r>
      <w:r>
        <w:t>screen.</w:t>
      </w:r>
    </w:p>
    <w:p w14:paraId="13CA3007" w14:textId="4A9460D5" w:rsidR="00912119" w:rsidRPr="00F4359E" w:rsidRDefault="00912119" w:rsidP="004E120D">
      <w:pPr>
        <w:pStyle w:val="BulletLevel2"/>
      </w:pPr>
      <w:r>
        <w:t>Step 2: E</w:t>
      </w:r>
      <w:r w:rsidRPr="00F4359E">
        <w:t xml:space="preserve">nter the number of </w:t>
      </w:r>
      <w:r>
        <w:t>P</w:t>
      </w:r>
      <w:r w:rsidRPr="00F4359E">
        <w:t xml:space="preserve">ermissible </w:t>
      </w:r>
      <w:r>
        <w:t>B</w:t>
      </w:r>
      <w:r w:rsidRPr="00F4359E">
        <w:t>reak days</w:t>
      </w:r>
      <w:r>
        <w:t>.</w:t>
      </w:r>
    </w:p>
    <w:p w14:paraId="4EA13484" w14:textId="77777777" w:rsidR="00912119" w:rsidRPr="00F4359E" w:rsidRDefault="00912119" w:rsidP="004E120D">
      <w:pPr>
        <w:pStyle w:val="BulletLevel2"/>
      </w:pPr>
      <w:r>
        <w:t>Step 3: A</w:t>
      </w:r>
      <w:r w:rsidRPr="00F4359E">
        <w:t>gree with the declaration and select ‘Update Breaks’</w:t>
      </w:r>
      <w:r>
        <w:t>.</w:t>
      </w:r>
    </w:p>
    <w:p w14:paraId="5812C33D" w14:textId="20AFB80A" w:rsidR="00912119" w:rsidRPr="00F707D6" w:rsidRDefault="00912119" w:rsidP="0079424A">
      <w:pPr>
        <w:pStyle w:val="DocumentaryEvidenceRequirement"/>
      </w:pPr>
      <w:r w:rsidDel="006C2DA5">
        <w:t xml:space="preserve">Providers must </w:t>
      </w:r>
      <w:r w:rsidR="00464A26">
        <w:t xml:space="preserve">retain </w:t>
      </w:r>
      <w:r w:rsidR="00032E9B">
        <w:t>D</w:t>
      </w:r>
      <w:r w:rsidR="00464A26">
        <w:t>ocumentary</w:t>
      </w:r>
      <w:r w:rsidR="00FD5051">
        <w:t xml:space="preserve"> </w:t>
      </w:r>
      <w:r w:rsidR="00032E9B">
        <w:t>E</w:t>
      </w:r>
      <w:r w:rsidR="00FD5051">
        <w:t xml:space="preserve">vidence that </w:t>
      </w:r>
      <w:r w:rsidR="00862DC5">
        <w:t>each Permissible Break meets re</w:t>
      </w:r>
      <w:r w:rsidR="004C405B">
        <w:t>quirements</w:t>
      </w:r>
      <w:r w:rsidR="007A7CB7">
        <w:t xml:space="preserve">. </w:t>
      </w:r>
      <w:r>
        <w:t xml:space="preserve">For each Permissible Break used, the Provider must keep a statement (signed and dated hard copy or email) from the Participant or Employer, confirming: </w:t>
      </w:r>
    </w:p>
    <w:p w14:paraId="62D8DFDD" w14:textId="77777777" w:rsidR="00912119" w:rsidRPr="00FF3A89" w:rsidRDefault="00912119" w:rsidP="004E120D">
      <w:pPr>
        <w:pStyle w:val="BulletLevel2"/>
      </w:pPr>
      <w:r w:rsidRPr="00FF3A89">
        <w:t xml:space="preserve">the Employer organisation name </w:t>
      </w:r>
    </w:p>
    <w:p w14:paraId="3510FFEC" w14:textId="77777777" w:rsidR="00912119" w:rsidRPr="00FF3A89" w:rsidRDefault="00912119" w:rsidP="004E120D">
      <w:pPr>
        <w:pStyle w:val="BulletLevel2"/>
      </w:pPr>
      <w:r w:rsidRPr="00FF3A89">
        <w:t xml:space="preserve">the event or circumstances requiring the </w:t>
      </w:r>
      <w:r>
        <w:t>P</w:t>
      </w:r>
      <w:r w:rsidRPr="00FF3A89">
        <w:t xml:space="preserve">ermissible </w:t>
      </w:r>
      <w:r>
        <w:t>B</w:t>
      </w:r>
      <w:r w:rsidRPr="00FF3A89">
        <w:t xml:space="preserve">reak </w:t>
      </w:r>
    </w:p>
    <w:p w14:paraId="6836C405" w14:textId="77777777" w:rsidR="00912119" w:rsidRPr="00FF3A89" w:rsidRDefault="00912119" w:rsidP="004E120D">
      <w:pPr>
        <w:pStyle w:val="BulletLevel2"/>
      </w:pPr>
      <w:r w:rsidRPr="00FF3A89">
        <w:t xml:space="preserve">the start and end dates of that event or circumstances </w:t>
      </w:r>
    </w:p>
    <w:p w14:paraId="180AD201" w14:textId="77777777" w:rsidR="00912119" w:rsidRPr="00FF3A89" w:rsidRDefault="00912119" w:rsidP="004E120D">
      <w:pPr>
        <w:pStyle w:val="BulletLevel2"/>
      </w:pPr>
      <w:r>
        <w:t>that the Participant is still employed following the event or circumstances (where relevant), and</w:t>
      </w:r>
    </w:p>
    <w:p w14:paraId="72273033" w14:textId="564AE06E" w:rsidR="00912119" w:rsidRDefault="00912119" w:rsidP="004E120D">
      <w:pPr>
        <w:pStyle w:val="BulletLevel2"/>
      </w:pPr>
      <w:r w:rsidRPr="00FF3A89">
        <w:t xml:space="preserve">the full name, phone number and email address of the person making the statement. </w:t>
      </w:r>
    </w:p>
    <w:p w14:paraId="468137DF" w14:textId="664DAB9F" w:rsidR="000F5BB3" w:rsidRDefault="000F5BB3" w:rsidP="000F5BB3">
      <w:pPr>
        <w:pStyle w:val="Heading5"/>
      </w:pPr>
      <w:r>
        <w:t xml:space="preserve">Voluntary </w:t>
      </w:r>
      <w:r w:rsidR="004929CC">
        <w:t>C</w:t>
      </w:r>
      <w:r>
        <w:t>hange in Employment</w:t>
      </w:r>
    </w:p>
    <w:p w14:paraId="1F50C344" w14:textId="77777777" w:rsidR="000173D0" w:rsidRDefault="00545EAA" w:rsidP="00604825">
      <w:r>
        <w:t xml:space="preserve">Voluntary Change in Employment </w:t>
      </w:r>
      <w:r w:rsidR="004929CC">
        <w:t>breaks</w:t>
      </w:r>
      <w:r w:rsidDel="004929CC">
        <w:t xml:space="preserve"> </w:t>
      </w:r>
      <w:r>
        <w:t xml:space="preserve">are available </w:t>
      </w:r>
      <w:r w:rsidR="00274558">
        <w:t xml:space="preserve">to </w:t>
      </w:r>
      <w:r w:rsidR="006C558F">
        <w:t>P</w:t>
      </w:r>
      <w:r w:rsidR="00274558">
        <w:t>articipants tracking towards an Employment Outcome</w:t>
      </w:r>
      <w:r>
        <w:t xml:space="preserve"> in recognition that Participants </w:t>
      </w:r>
      <w:r w:rsidR="002E4EA3">
        <w:t xml:space="preserve">in Post Placement Support (or Ongoing Support) </w:t>
      </w:r>
      <w:r>
        <w:t xml:space="preserve">and their Providers should not be penalised for finding alternative Employment. </w:t>
      </w:r>
    </w:p>
    <w:p w14:paraId="3D3CF4A0" w14:textId="10FD84FA" w:rsidR="00545EAA" w:rsidRDefault="00545EAA" w:rsidP="00604825">
      <w:r>
        <w:t xml:space="preserve">Where a Participant voluntarily changes their Employment during </w:t>
      </w:r>
      <w:r w:rsidR="004E70B9">
        <w:t>an</w:t>
      </w:r>
      <w:r>
        <w:t xml:space="preserve"> </w:t>
      </w:r>
      <w:r w:rsidR="00E04FB6">
        <w:t>Outcome</w:t>
      </w:r>
      <w:r w:rsidR="002715CE">
        <w:t xml:space="preserve"> </w:t>
      </w:r>
      <w:r>
        <w:t xml:space="preserve">Period, </w:t>
      </w:r>
      <w:r w:rsidR="004E70B9">
        <w:t>Providers</w:t>
      </w:r>
      <w:r>
        <w:t xml:space="preserve"> can </w:t>
      </w:r>
      <w:r w:rsidR="004E70B9">
        <w:t>record</w:t>
      </w:r>
      <w:r>
        <w:t xml:space="preserve"> a </w:t>
      </w:r>
      <w:r w:rsidR="003064C2">
        <w:t xml:space="preserve">short </w:t>
      </w:r>
      <w:r>
        <w:t xml:space="preserve">break of up to 7 Calendar Days between Job Placements </w:t>
      </w:r>
      <w:r w:rsidR="00EA0ACA">
        <w:t>so that</w:t>
      </w:r>
      <w:r>
        <w:t xml:space="preserve"> the Provider </w:t>
      </w:r>
      <w:r w:rsidR="00EA0ACA">
        <w:t>does not have</w:t>
      </w:r>
      <w:r>
        <w:t xml:space="preserve"> to re-anchor the Outcome.</w:t>
      </w:r>
      <w:r w:rsidR="0045202B">
        <w:t xml:space="preserve"> </w:t>
      </w:r>
      <w:r w:rsidR="00757CDF">
        <w:t>A</w:t>
      </w:r>
      <w:r w:rsidR="0045202B">
        <w:t xml:space="preserve"> </w:t>
      </w:r>
      <w:r w:rsidR="00D6114D">
        <w:t>Volunta</w:t>
      </w:r>
      <w:r w:rsidR="00873EBC">
        <w:t>ry Change in Employ</w:t>
      </w:r>
      <w:r w:rsidR="00E01BC8">
        <w:t xml:space="preserve">ment </w:t>
      </w:r>
      <w:r w:rsidR="0045202B">
        <w:t xml:space="preserve">break </w:t>
      </w:r>
      <w:r w:rsidR="00757CDF">
        <w:t xml:space="preserve">may be used </w:t>
      </w:r>
      <w:r w:rsidR="0045202B">
        <w:t xml:space="preserve">for each change in </w:t>
      </w:r>
      <w:r w:rsidR="00D6114D">
        <w:t>E</w:t>
      </w:r>
      <w:r w:rsidR="0045202B">
        <w:t>mployment</w:t>
      </w:r>
      <w:r w:rsidR="00F43A11">
        <w:t>.</w:t>
      </w:r>
    </w:p>
    <w:p w14:paraId="3A3E15E6" w14:textId="2EC7658D" w:rsidR="00F125F2" w:rsidRPr="00F4359E" w:rsidRDefault="00F3602A" w:rsidP="00ED7321">
      <w:r>
        <w:t>If the break between Job Placements is longer than 7 Calendar days, the Provider must re-</w:t>
      </w:r>
      <w:r w:rsidR="00AA7F96">
        <w:t>a</w:t>
      </w:r>
      <w:r>
        <w:t>nchor the new Job Placement</w:t>
      </w:r>
      <w:r w:rsidR="00E5605C">
        <w:t xml:space="preserve"> to recommence the Outcome Period.</w:t>
      </w:r>
    </w:p>
    <w:p w14:paraId="13C8C9F0" w14:textId="6CCBF251" w:rsidR="00A5662A" w:rsidRPr="00F707D6" w:rsidRDefault="00A5662A" w:rsidP="00A5662A">
      <w:pPr>
        <w:pStyle w:val="DocumentaryEvidenceRequirement"/>
      </w:pPr>
      <w:r>
        <w:t xml:space="preserve">For each Voluntary Change in Employment break used, the Provider must keep a statement (signed and dated hard copy or email) from the Participant </w:t>
      </w:r>
      <w:r w:rsidR="00DF307F">
        <w:t xml:space="preserve">or the Provider </w:t>
      </w:r>
      <w:r>
        <w:t>confirming:</w:t>
      </w:r>
    </w:p>
    <w:p w14:paraId="4BB24848" w14:textId="77777777" w:rsidR="00DF307F" w:rsidRDefault="00A5662A" w:rsidP="00A5662A">
      <w:pPr>
        <w:pStyle w:val="BulletLevel2"/>
      </w:pPr>
      <w:r w:rsidRPr="00FF3A89">
        <w:t xml:space="preserve">the </w:t>
      </w:r>
      <w:r w:rsidR="00411F44">
        <w:t>change in Employment</w:t>
      </w:r>
    </w:p>
    <w:p w14:paraId="18F7C10D" w14:textId="2FB96215" w:rsidR="00A5662A" w:rsidRPr="00FF3A89" w:rsidRDefault="00DF307F" w:rsidP="00A5662A">
      <w:pPr>
        <w:pStyle w:val="BulletLevel2"/>
      </w:pPr>
      <w:r>
        <w:t xml:space="preserve">the new </w:t>
      </w:r>
      <w:r w:rsidR="00A5662A" w:rsidRPr="00FF3A89">
        <w:t>Employer organisation name</w:t>
      </w:r>
    </w:p>
    <w:p w14:paraId="1287290A" w14:textId="3929306B" w:rsidR="00A5662A" w:rsidRPr="00FF3A89" w:rsidRDefault="00A5662A" w:rsidP="004918EF">
      <w:pPr>
        <w:pStyle w:val="BulletLevel2"/>
      </w:pPr>
      <w:r w:rsidRPr="00FF3A89">
        <w:t xml:space="preserve">the </w:t>
      </w:r>
      <w:r w:rsidR="00F904F3">
        <w:t>end</w:t>
      </w:r>
      <w:r w:rsidRPr="00FF3A89">
        <w:t xml:space="preserve"> and </w:t>
      </w:r>
      <w:r w:rsidR="00F904F3">
        <w:t>start</w:t>
      </w:r>
      <w:r w:rsidRPr="00FF3A89">
        <w:t xml:space="preserve"> dates of </w:t>
      </w:r>
      <w:r w:rsidR="00F904F3">
        <w:t>the two employment placements</w:t>
      </w:r>
      <w:r w:rsidR="004918EF">
        <w:t xml:space="preserve">, </w:t>
      </w:r>
      <w:r>
        <w:t>and</w:t>
      </w:r>
    </w:p>
    <w:p w14:paraId="31B07013" w14:textId="77777777" w:rsidR="00BD448F" w:rsidRDefault="00A5662A" w:rsidP="00BD448F">
      <w:pPr>
        <w:pStyle w:val="BulletLevel2"/>
      </w:pPr>
      <w:r w:rsidRPr="00FF3A89">
        <w:t xml:space="preserve">the full name, phone number and email address of the person making the statement. </w:t>
      </w:r>
    </w:p>
    <w:p w14:paraId="1E32663F" w14:textId="2AB9BE40" w:rsidR="005523BA" w:rsidRDefault="005523BA" w:rsidP="003427A0">
      <w:pPr>
        <w:pStyle w:val="Heading4"/>
        <w:ind w:left="0" w:firstLine="0"/>
      </w:pPr>
      <w:bookmarkStart w:id="405" w:name="_Ref202880577"/>
      <w:bookmarkStart w:id="406" w:name="_Ref202884824"/>
      <w:bookmarkStart w:id="407" w:name="_Toc202900055"/>
      <w:r w:rsidRPr="25249C38">
        <w:t>9.</w:t>
      </w:r>
      <w:r>
        <w:t>5</w:t>
      </w:r>
      <w:r w:rsidRPr="25249C38">
        <w:t>.</w:t>
      </w:r>
      <w:r w:rsidR="007C663D">
        <w:t>4</w:t>
      </w:r>
      <w:r>
        <w:tab/>
      </w:r>
      <w:r w:rsidRPr="25249C38">
        <w:t xml:space="preserve">Re-anchoring </w:t>
      </w:r>
      <w:r w:rsidR="007D1BAE">
        <w:t>Job P</w:t>
      </w:r>
      <w:r w:rsidRPr="25249C38">
        <w:t>lacements</w:t>
      </w:r>
      <w:bookmarkEnd w:id="405"/>
      <w:bookmarkEnd w:id="406"/>
      <w:bookmarkEnd w:id="407"/>
    </w:p>
    <w:p w14:paraId="4229D6C4" w14:textId="59CC21E1" w:rsidR="005523BA" w:rsidRDefault="005523BA" w:rsidP="005523BA">
      <w:r>
        <w:t xml:space="preserve">Re-anchoring a Job Placement re-starts the Outcome Period from the new Anchor Date. Providers can re-anchor a Job Placement at any time. </w:t>
      </w:r>
    </w:p>
    <w:p w14:paraId="5A20EF66" w14:textId="36FC7FA7" w:rsidR="005523BA" w:rsidRDefault="005523BA" w:rsidP="005523BA">
      <w:r>
        <w:t xml:space="preserve">Providers may choose to re-anchor a Job Placement if they think the Participant is likely to achieve a better outcome in the new Outcome Period. </w:t>
      </w:r>
    </w:p>
    <w:p w14:paraId="084072AB" w14:textId="1F5DD1A5" w:rsidR="005523BA" w:rsidRDefault="005523BA" w:rsidP="00436D8A">
      <w:r>
        <w:t>If a Job Placement is re-anchored</w:t>
      </w:r>
      <w:r w:rsidR="006220C3">
        <w:t>,</w:t>
      </w:r>
      <w:r w:rsidR="00436D8A">
        <w:t xml:space="preserve"> </w:t>
      </w:r>
      <w:r>
        <w:t>the Outcome Period starts from the new Anchor Date and does not include any hours or earnings from the earlier Outcome Period</w:t>
      </w:r>
      <w:r w:rsidR="00E134DD">
        <w:t>.</w:t>
      </w:r>
    </w:p>
    <w:p w14:paraId="2A8E585F" w14:textId="5124AC7E" w:rsidR="0012397C" w:rsidRDefault="00436D8A" w:rsidP="00436D8A">
      <w:pPr>
        <w:pStyle w:val="BulletLevel1"/>
        <w:numPr>
          <w:ilvl w:val="0"/>
          <w:numId w:val="0"/>
        </w:numPr>
      </w:pPr>
      <w:r>
        <w:t xml:space="preserve">If a Provider </w:t>
      </w:r>
      <w:r w:rsidR="003A3D20">
        <w:t>re-anchors a Job Placement, the Provider cannot claim a</w:t>
      </w:r>
      <w:r w:rsidR="003D44C0">
        <w:t>ny</w:t>
      </w:r>
      <w:r w:rsidR="00E2268C">
        <w:t xml:space="preserve"> </w:t>
      </w:r>
      <w:r w:rsidR="00084FE9">
        <w:t>12-week</w:t>
      </w:r>
      <w:r w:rsidR="002E1F28">
        <w:t xml:space="preserve">, 26-week </w:t>
      </w:r>
      <w:r w:rsidR="00F176FC">
        <w:t>or 52-week</w:t>
      </w:r>
      <w:r w:rsidR="00084FE9">
        <w:t xml:space="preserve"> Outcome Payment</w:t>
      </w:r>
      <w:r w:rsidR="001516CD">
        <w:t xml:space="preserve"> </w:t>
      </w:r>
      <w:r w:rsidR="003D44C0">
        <w:t xml:space="preserve">that the </w:t>
      </w:r>
      <w:r w:rsidR="00271BF5">
        <w:t>Provider claimed in the previous</w:t>
      </w:r>
      <w:r w:rsidR="0002123E">
        <w:t>ly anchored Outcome Period. The Provider</w:t>
      </w:r>
      <w:r w:rsidR="00415253">
        <w:t>:</w:t>
      </w:r>
    </w:p>
    <w:p w14:paraId="00E2FD8D" w14:textId="75EA67ED" w:rsidR="0013397F" w:rsidRDefault="00353751" w:rsidP="00115DE7">
      <w:pPr>
        <w:pStyle w:val="BulletLevel1"/>
      </w:pPr>
      <w:r>
        <w:t xml:space="preserve">must submit a claim for $0 for any previously claimed Outcome, after </w:t>
      </w:r>
      <w:r w:rsidR="0012397C">
        <w:t>confirm</w:t>
      </w:r>
      <w:r>
        <w:t>ing</w:t>
      </w:r>
      <w:r w:rsidR="0012397C">
        <w:t xml:space="preserve"> that the Participant met the requirements of a Partial Outcome or Full Outcome </w:t>
      </w:r>
      <w:r>
        <w:t>for that</w:t>
      </w:r>
      <w:r w:rsidR="0013397F">
        <w:t xml:space="preserve"> </w:t>
      </w:r>
      <w:r w:rsidR="0012397C">
        <w:t>Outcome</w:t>
      </w:r>
      <w:r>
        <w:t xml:space="preserve"> in the re-anchored Outcome Period</w:t>
      </w:r>
      <w:r w:rsidR="0012397C">
        <w:t>,</w:t>
      </w:r>
      <w:r>
        <w:t xml:space="preserve"> and</w:t>
      </w:r>
    </w:p>
    <w:p w14:paraId="7425A556" w14:textId="62EEE393" w:rsidR="00434FAD" w:rsidRDefault="00434FAD" w:rsidP="00115DE7">
      <w:pPr>
        <w:pStyle w:val="BulletLevel1"/>
      </w:pPr>
      <w:r>
        <w:t xml:space="preserve">can then claim </w:t>
      </w:r>
      <w:r w:rsidR="006E38D1">
        <w:t xml:space="preserve">any </w:t>
      </w:r>
      <w:r w:rsidR="005A3409">
        <w:t>O</w:t>
      </w:r>
      <w:r w:rsidR="006E38D1">
        <w:t>utcome not previously claimed</w:t>
      </w:r>
      <w:r w:rsidR="007E38BF">
        <w:t>, after confirming that the Participant met the requirements of that Outcome in the re-anchored Outcome Period.</w:t>
      </w:r>
    </w:p>
    <w:p w14:paraId="6BDC0B10" w14:textId="0033B8C3" w:rsidR="00D74559" w:rsidRPr="009A4232" w:rsidRDefault="00D74559" w:rsidP="001D0F92">
      <w:pPr>
        <w:pStyle w:val="Heading3"/>
      </w:pPr>
      <w:bookmarkStart w:id="408" w:name="_Ref202881611"/>
      <w:bookmarkStart w:id="409" w:name="_Toc202900056"/>
      <w:r>
        <w:t>9.6</w:t>
      </w:r>
      <w:r w:rsidR="00EC0852">
        <w:tab/>
      </w:r>
      <w:r>
        <w:t>Moving between</w:t>
      </w:r>
      <w:r w:rsidRPr="539AEF4B">
        <w:t xml:space="preserve"> Post Placement Support</w:t>
      </w:r>
      <w:r>
        <w:t xml:space="preserve"> and other phases</w:t>
      </w:r>
      <w:bookmarkEnd w:id="408"/>
      <w:bookmarkEnd w:id="409"/>
    </w:p>
    <w:p w14:paraId="73A143D2" w14:textId="37AC5437" w:rsidR="00D74559" w:rsidRDefault="00D74559" w:rsidP="006E2EF5">
      <w:r>
        <w:t>Participants continue to receive Post Placement Support until the Participant:</w:t>
      </w:r>
    </w:p>
    <w:p w14:paraId="0CB3B56B" w14:textId="77777777" w:rsidR="00D74559" w:rsidRDefault="00D74559" w:rsidP="004E120D">
      <w:pPr>
        <w:pStyle w:val="BulletLevel1"/>
      </w:pPr>
      <w:r>
        <w:t>moves to Ongoing Support</w:t>
      </w:r>
    </w:p>
    <w:p w14:paraId="65439386" w14:textId="4C4FC85A" w:rsidR="00D74559" w:rsidRDefault="00857EA3" w:rsidP="004E120D">
      <w:pPr>
        <w:pStyle w:val="BulletLevel1"/>
      </w:pPr>
      <w:r>
        <w:t xml:space="preserve">achieves a 52-week Outcome and </w:t>
      </w:r>
      <w:r w:rsidR="00D74559">
        <w:t>Exits the Program, or</w:t>
      </w:r>
    </w:p>
    <w:p w14:paraId="6C7F6AB9" w14:textId="77777777" w:rsidR="00D74559" w:rsidRDefault="00D74559" w:rsidP="004E120D">
      <w:pPr>
        <w:pStyle w:val="BulletLevel1"/>
      </w:pPr>
      <w:r>
        <w:t>returns to Pre-Employment Support.</w:t>
      </w:r>
    </w:p>
    <w:p w14:paraId="6F2E1C63" w14:textId="1AFB5948" w:rsidR="00D74559" w:rsidRDefault="00D74559" w:rsidP="001D0F92">
      <w:pPr>
        <w:pStyle w:val="Heading4"/>
      </w:pPr>
      <w:bookmarkStart w:id="410" w:name="_Ref202896530"/>
      <w:bookmarkStart w:id="411" w:name="_Toc202900057"/>
      <w:r w:rsidRPr="25249C38">
        <w:t>9.6.1</w:t>
      </w:r>
      <w:r w:rsidR="00EC0852">
        <w:tab/>
      </w:r>
      <w:r w:rsidRPr="25249C38">
        <w:t>Changing Participant circumstances</w:t>
      </w:r>
      <w:bookmarkEnd w:id="410"/>
      <w:bookmarkEnd w:id="411"/>
    </w:p>
    <w:p w14:paraId="5703F26E" w14:textId="77777777" w:rsidR="00D74559" w:rsidRDefault="00D74559" w:rsidP="006E2EF5">
      <w:r>
        <w:t xml:space="preserve">Providers must decide how to support a Participant in Post Placement Support when their circumstances change. </w:t>
      </w:r>
    </w:p>
    <w:p w14:paraId="4D785887" w14:textId="77777777" w:rsidR="00D74559" w:rsidRDefault="00D74559" w:rsidP="006D1645">
      <w:pPr>
        <w:pStyle w:val="Heading5"/>
      </w:pPr>
      <w:r>
        <w:t>Participant completes a 26-week Employment Outcome</w:t>
      </w:r>
    </w:p>
    <w:p w14:paraId="64A17FD4" w14:textId="3EC8098F" w:rsidR="00D74559" w:rsidRDefault="00D74559" w:rsidP="006E2EF5">
      <w:r>
        <w:t xml:space="preserve">When a Participant </w:t>
      </w:r>
      <w:r w:rsidR="00692504">
        <w:t xml:space="preserve">with higher levels of support needs </w:t>
      </w:r>
      <w:r w:rsidR="003D3C83">
        <w:t>is nearing completion of</w:t>
      </w:r>
      <w:r>
        <w:t xml:space="preserve"> a 26-week Employment Outcome, </w:t>
      </w:r>
      <w:r w:rsidR="003D3C83">
        <w:t>a</w:t>
      </w:r>
      <w:r>
        <w:t xml:space="preserve"> Provider </w:t>
      </w:r>
      <w:r w:rsidR="00692504">
        <w:t>can</w:t>
      </w:r>
      <w:r>
        <w:t xml:space="preserve"> refer the Participant for an Ongoing Support Assessment, as described in</w:t>
      </w:r>
      <w:r w:rsidR="00115DE7">
        <w:t xml:space="preserve"> </w:t>
      </w:r>
      <w:r w:rsidR="00115DE7">
        <w:rPr>
          <w:highlight w:val="yellow"/>
        </w:rPr>
        <w:fldChar w:fldCharType="begin"/>
      </w:r>
      <w:r w:rsidR="00115DE7">
        <w:instrText xml:space="preserve"> REF _Ref202780074 \h </w:instrText>
      </w:r>
      <w:r w:rsidR="00115DE7">
        <w:rPr>
          <w:highlight w:val="yellow"/>
        </w:rPr>
      </w:r>
      <w:r w:rsidR="00115DE7">
        <w:rPr>
          <w:highlight w:val="yellow"/>
        </w:rPr>
        <w:fldChar w:fldCharType="separate"/>
      </w:r>
      <w:r w:rsidR="000D75AE" w:rsidRPr="00BA23D8">
        <w:t>Chapter 10</w:t>
      </w:r>
      <w:r w:rsidR="000D75AE">
        <w:t>:</w:t>
      </w:r>
      <w:r w:rsidR="000D75AE" w:rsidRPr="00BA23D8">
        <w:t>Ongoing Support</w:t>
      </w:r>
      <w:r w:rsidR="00115DE7">
        <w:rPr>
          <w:highlight w:val="yellow"/>
        </w:rPr>
        <w:fldChar w:fldCharType="end"/>
      </w:r>
      <w:r>
        <w:t>.</w:t>
      </w:r>
      <w:r w:rsidR="003965DC">
        <w:t xml:space="preserve"> </w:t>
      </w:r>
      <w:r w:rsidR="0012318E">
        <w:t>Otherwise</w:t>
      </w:r>
      <w:r w:rsidR="002E1ADC">
        <w:t>,</w:t>
      </w:r>
      <w:r w:rsidR="0012318E">
        <w:t xml:space="preserve"> the Provider continues to offer Post Placement Support</w:t>
      </w:r>
      <w:r w:rsidR="00087955">
        <w:t>.</w:t>
      </w:r>
    </w:p>
    <w:p w14:paraId="22B1D0EB" w14:textId="5D945BCC" w:rsidR="00D74559" w:rsidRDefault="00D74559" w:rsidP="006E2EF5">
      <w:r>
        <w:t xml:space="preserve">The Provider can </w:t>
      </w:r>
      <w:r w:rsidR="008C6773">
        <w:t xml:space="preserve">also </w:t>
      </w:r>
      <w:r w:rsidR="00087955">
        <w:t xml:space="preserve">refer </w:t>
      </w:r>
      <w:r w:rsidR="008C6773">
        <w:t xml:space="preserve">a </w:t>
      </w:r>
      <w:r>
        <w:t xml:space="preserve">Participant to </w:t>
      </w:r>
      <w:r w:rsidR="00087955">
        <w:t xml:space="preserve">an </w:t>
      </w:r>
      <w:r>
        <w:t xml:space="preserve">Ongoing Support </w:t>
      </w:r>
      <w:r w:rsidR="00087955">
        <w:t xml:space="preserve">Assessment </w:t>
      </w:r>
      <w:r>
        <w:t xml:space="preserve">at any time after the Participant </w:t>
      </w:r>
      <w:r w:rsidR="001A3330">
        <w:t xml:space="preserve">receiving Post Placement Support </w:t>
      </w:r>
      <w:r>
        <w:t>completes a 26-week Outcome</w:t>
      </w:r>
      <w:r w:rsidR="005C3826">
        <w:t xml:space="preserve"> until the Participant has completed a 52-week Outcome</w:t>
      </w:r>
      <w:r w:rsidR="001A3330">
        <w:t>,</w:t>
      </w:r>
      <w:r w:rsidR="001D07D8">
        <w:t xml:space="preserve"> </w:t>
      </w:r>
      <w:r w:rsidR="00137316">
        <w:t>if</w:t>
      </w:r>
      <w:r w:rsidR="001D07D8">
        <w:t xml:space="preserve"> </w:t>
      </w:r>
      <w:r w:rsidR="00BF0222">
        <w:t>the</w:t>
      </w:r>
      <w:r w:rsidR="001A3330">
        <w:t xml:space="preserve"> Provider</w:t>
      </w:r>
      <w:r w:rsidR="00BF0222">
        <w:t xml:space="preserve"> consider</w:t>
      </w:r>
      <w:r w:rsidR="001A3330">
        <w:t>s</w:t>
      </w:r>
      <w:r w:rsidR="00BF0222">
        <w:t xml:space="preserve"> higher levels of support are required</w:t>
      </w:r>
      <w:r>
        <w:t>.</w:t>
      </w:r>
    </w:p>
    <w:p w14:paraId="1AA8863D" w14:textId="77777777" w:rsidR="00D74559" w:rsidRDefault="00D74559" w:rsidP="006D1645">
      <w:pPr>
        <w:pStyle w:val="Heading5"/>
      </w:pPr>
      <w:r>
        <w:t>Participant completes a 52-week Employment Outcome</w:t>
      </w:r>
    </w:p>
    <w:p w14:paraId="4E3294D9" w14:textId="441E9C21" w:rsidR="00D74559" w:rsidRDefault="00D74559" w:rsidP="006E2EF5">
      <w:r>
        <w:t>When a Participant has completed a 52-week Employment Outcome, the Provider can:</w:t>
      </w:r>
    </w:p>
    <w:p w14:paraId="058515A3" w14:textId="43961B10" w:rsidR="00D74559" w:rsidRDefault="00D74559" w:rsidP="004E120D">
      <w:pPr>
        <w:pStyle w:val="BulletLevel1"/>
      </w:pPr>
      <w:r>
        <w:t xml:space="preserve">Exit the Participant from </w:t>
      </w:r>
      <w:r w:rsidR="00353F8E">
        <w:t>Inclusive Employment Australia</w:t>
      </w:r>
      <w:r>
        <w:t xml:space="preserve"> if they can continue working </w:t>
      </w:r>
      <w:r w:rsidR="005D7DF7">
        <w:t>independently</w:t>
      </w:r>
    </w:p>
    <w:p w14:paraId="5AC2C5AD" w14:textId="1B237A82" w:rsidR="00D74559" w:rsidRDefault="00D74559" w:rsidP="000F6BF9">
      <w:pPr>
        <w:pStyle w:val="BulletLevel1"/>
      </w:pPr>
      <w:r>
        <w:t>move the Participant to Ongoing Support if the Provider considers that the Participant needs more support</w:t>
      </w:r>
      <w:r w:rsidR="009274F1">
        <w:t>. This includes</w:t>
      </w:r>
      <w:r w:rsidR="000F6BF9">
        <w:t xml:space="preserve"> </w:t>
      </w:r>
      <w:r>
        <w:t>refer</w:t>
      </w:r>
      <w:r w:rsidR="000F6BF9">
        <w:t>ring</w:t>
      </w:r>
      <w:r>
        <w:t xml:space="preserve"> the Participant for an Ongoing Support Assessment to confirm the Participant’s Ongoing Support needs, as described in </w:t>
      </w:r>
      <w:r w:rsidR="004D6562">
        <w:rPr>
          <w:highlight w:val="yellow"/>
        </w:rPr>
        <w:fldChar w:fldCharType="begin"/>
      </w:r>
      <w:r w:rsidR="004D6562">
        <w:instrText xml:space="preserve"> REF _Ref202780074 \h </w:instrText>
      </w:r>
      <w:r w:rsidR="004D6562">
        <w:rPr>
          <w:highlight w:val="yellow"/>
        </w:rPr>
      </w:r>
      <w:r w:rsidR="004D6562">
        <w:rPr>
          <w:highlight w:val="yellow"/>
        </w:rPr>
        <w:fldChar w:fldCharType="separate"/>
      </w:r>
      <w:r w:rsidR="000D75AE" w:rsidRPr="00BA23D8">
        <w:t>Chapter 10</w:t>
      </w:r>
      <w:r w:rsidR="000D75AE">
        <w:t>:</w:t>
      </w:r>
      <w:r w:rsidR="000D75AE" w:rsidRPr="00BA23D8">
        <w:t>Ongoing Support</w:t>
      </w:r>
      <w:r w:rsidR="004D6562">
        <w:rPr>
          <w:highlight w:val="yellow"/>
        </w:rPr>
        <w:fldChar w:fldCharType="end"/>
      </w:r>
      <w:r w:rsidR="002378A1">
        <w:t>, or</w:t>
      </w:r>
    </w:p>
    <w:p w14:paraId="22FFD357" w14:textId="76709A4D" w:rsidR="002378A1" w:rsidRDefault="002378A1" w:rsidP="002378A1">
      <w:pPr>
        <w:pStyle w:val="BulletLevel1"/>
      </w:pPr>
      <w:r>
        <w:t>continue to support the Participant in their Placement in Ongoing Support</w:t>
      </w:r>
      <w:r w:rsidR="00965F9B">
        <w:t>,</w:t>
      </w:r>
      <w:r w:rsidR="005F01DD">
        <w:t xml:space="preserve"> if the Participant is already receiving Ongoing Support</w:t>
      </w:r>
      <w:r w:rsidR="00965F9B">
        <w:t>.</w:t>
      </w:r>
    </w:p>
    <w:p w14:paraId="7D266EE9" w14:textId="77777777" w:rsidR="00D74559" w:rsidRPr="00294867" w:rsidRDefault="00D74559" w:rsidP="006D1645">
      <w:pPr>
        <w:pStyle w:val="Heading5"/>
      </w:pPr>
      <w:r w:rsidRPr="00C33D2D">
        <w:t>Participant is no longer</w:t>
      </w:r>
      <w:r>
        <w:t xml:space="preserve"> E</w:t>
      </w:r>
      <w:r w:rsidRPr="00C33D2D">
        <w:t xml:space="preserve">mployed </w:t>
      </w:r>
    </w:p>
    <w:p w14:paraId="07A2473B" w14:textId="1AC9AF1D" w:rsidR="00880C5F" w:rsidRDefault="00D74559" w:rsidP="00CC3C85">
      <w:pPr>
        <w:keepNext/>
      </w:pPr>
      <w:r>
        <w:t xml:space="preserve">If a Participant is no longer Employed, </w:t>
      </w:r>
      <w:r w:rsidR="000B6603">
        <w:t xml:space="preserve">the </w:t>
      </w:r>
      <w:r w:rsidR="000B4777">
        <w:t>P</w:t>
      </w:r>
      <w:r w:rsidR="000B6603">
        <w:t xml:space="preserve">rovider </w:t>
      </w:r>
      <w:r w:rsidR="00880C5F">
        <w:t>can:</w:t>
      </w:r>
    </w:p>
    <w:p w14:paraId="295052E2" w14:textId="7E4708D0" w:rsidR="00C06A2A" w:rsidRDefault="001B352D" w:rsidP="004E120D">
      <w:pPr>
        <w:pStyle w:val="BulletLevel1"/>
      </w:pPr>
      <w:r>
        <w:t xml:space="preserve">consider </w:t>
      </w:r>
      <w:r w:rsidR="000B4777">
        <w:t>if</w:t>
      </w:r>
      <w:r>
        <w:t xml:space="preserve"> a Permissible Break </w:t>
      </w:r>
      <w:r w:rsidR="00797589">
        <w:t xml:space="preserve">or </w:t>
      </w:r>
      <w:r w:rsidR="00047C7A">
        <w:t xml:space="preserve">a break for </w:t>
      </w:r>
      <w:r w:rsidR="00435F94">
        <w:t xml:space="preserve">a </w:t>
      </w:r>
      <w:r w:rsidR="00797589">
        <w:t xml:space="preserve">Voluntary </w:t>
      </w:r>
      <w:r w:rsidR="00EA6796">
        <w:t xml:space="preserve">Change in Employment </w:t>
      </w:r>
      <w:r>
        <w:t>would cover a short break in Employment</w:t>
      </w:r>
      <w:r w:rsidR="00367C56">
        <w:t xml:space="preserve"> — refer to </w:t>
      </w:r>
      <w:r w:rsidR="00CC3C85">
        <w:rPr>
          <w:highlight w:val="yellow"/>
        </w:rPr>
        <w:fldChar w:fldCharType="begin"/>
      </w:r>
      <w:r w:rsidR="00CC3C85">
        <w:instrText xml:space="preserve"> REF _Ref202884620 \h </w:instrText>
      </w:r>
      <w:r w:rsidR="00CC3C85">
        <w:rPr>
          <w:highlight w:val="yellow"/>
        </w:rPr>
      </w:r>
      <w:r w:rsidR="00CC3C85">
        <w:rPr>
          <w:highlight w:val="yellow"/>
        </w:rPr>
        <w:fldChar w:fldCharType="separate"/>
      </w:r>
      <w:r w:rsidR="000D75AE">
        <w:t>9.5.3</w:t>
      </w:r>
      <w:r w:rsidR="003B2E77">
        <w:t xml:space="preserve"> </w:t>
      </w:r>
      <w:r w:rsidR="000D75AE" w:rsidRPr="25249C38">
        <w:t>Permissible Breaks</w:t>
      </w:r>
      <w:r w:rsidR="000D75AE">
        <w:t xml:space="preserve"> and Voluntary Changes in Employment</w:t>
      </w:r>
      <w:r w:rsidR="00CC3C85">
        <w:rPr>
          <w:highlight w:val="yellow"/>
        </w:rPr>
        <w:fldChar w:fldCharType="end"/>
      </w:r>
    </w:p>
    <w:p w14:paraId="52E0D004" w14:textId="14C32AFF" w:rsidR="00880C5F" w:rsidRDefault="00880C5F" w:rsidP="004E120D">
      <w:pPr>
        <w:pStyle w:val="BulletLevel1"/>
      </w:pPr>
      <w:r>
        <w:t xml:space="preserve">return the Participant to Pre-Employment Support, </w:t>
      </w:r>
      <w:r w:rsidR="00C06A2A">
        <w:t>or</w:t>
      </w:r>
    </w:p>
    <w:p w14:paraId="15991979" w14:textId="6B197E0C" w:rsidR="00880C5F" w:rsidRDefault="00880C5F" w:rsidP="004E120D">
      <w:pPr>
        <w:pStyle w:val="BulletLevel1"/>
      </w:pPr>
      <w:r>
        <w:t xml:space="preserve">Exit the Participant from </w:t>
      </w:r>
      <w:r w:rsidR="00353F8E">
        <w:t>Inclusive Employment Australia</w:t>
      </w:r>
      <w:r w:rsidR="00F75FC8">
        <w:t xml:space="preserve">, if </w:t>
      </w:r>
      <w:r w:rsidR="00112EE3">
        <w:t xml:space="preserve">the Participant </w:t>
      </w:r>
      <w:r w:rsidR="00E32A5B">
        <w:t xml:space="preserve">no longer </w:t>
      </w:r>
      <w:r w:rsidR="00112EE3">
        <w:t>wishes</w:t>
      </w:r>
      <w:r w:rsidR="00E32A5B">
        <w:t xml:space="preserve"> to receive support and </w:t>
      </w:r>
      <w:r w:rsidR="00FB3C78">
        <w:t xml:space="preserve">is </w:t>
      </w:r>
      <w:r w:rsidR="00F75FC8">
        <w:t>eligible</w:t>
      </w:r>
      <w:r w:rsidR="00E32A5B">
        <w:t xml:space="preserve"> for a Provider Exit — refer to</w:t>
      </w:r>
      <w:r w:rsidR="00EA3011">
        <w:t xml:space="preserve"> </w:t>
      </w:r>
      <w:r w:rsidR="003B2E77">
        <w:fldChar w:fldCharType="begin"/>
      </w:r>
      <w:r w:rsidR="003B2E77">
        <w:instrText xml:space="preserve"> REF _Ref202784863 \h </w:instrText>
      </w:r>
      <w:r w:rsidR="003B2E77">
        <w:fldChar w:fldCharType="separate"/>
      </w:r>
      <w:r w:rsidR="003B2E77" w:rsidRPr="005A0947">
        <w:t>3.6</w:t>
      </w:r>
      <w:r w:rsidR="003B2E77">
        <w:t xml:space="preserve"> </w:t>
      </w:r>
      <w:r w:rsidR="003B2E77" w:rsidRPr="00961F42">
        <w:t>E</w:t>
      </w:r>
      <w:r w:rsidR="003B2E77" w:rsidRPr="005A0947">
        <w:t>xits</w:t>
      </w:r>
      <w:r w:rsidR="003B2E77">
        <w:fldChar w:fldCharType="end"/>
      </w:r>
      <w:r w:rsidR="00EA3011">
        <w:rPr>
          <w:highlight w:val="yellow"/>
        </w:rPr>
        <w:fldChar w:fldCharType="begin"/>
      </w:r>
      <w:r w:rsidR="00EA3011">
        <w:instrText xml:space="preserve"> REF _Ref202784863 \h </w:instrText>
      </w:r>
      <w:r w:rsidR="00EA3011">
        <w:rPr>
          <w:highlight w:val="yellow"/>
        </w:rPr>
      </w:r>
      <w:r w:rsidR="00EA3011">
        <w:rPr>
          <w:highlight w:val="yellow"/>
        </w:rPr>
        <w:fldChar w:fldCharType="separate"/>
      </w:r>
      <w:r w:rsidR="00EA3011">
        <w:rPr>
          <w:highlight w:val="yellow"/>
        </w:rPr>
        <w:fldChar w:fldCharType="end"/>
      </w:r>
      <w:r w:rsidR="00F75FC8">
        <w:t>.</w:t>
      </w:r>
    </w:p>
    <w:p w14:paraId="19AEF04E" w14:textId="77777777" w:rsidR="004415E8" w:rsidRDefault="001064BF" w:rsidP="006E2EF5">
      <w:r>
        <w:t>If a</w:t>
      </w:r>
      <w:r w:rsidR="00D74559">
        <w:t xml:space="preserve"> Participant </w:t>
      </w:r>
      <w:r w:rsidR="005546B4">
        <w:t>returns</w:t>
      </w:r>
      <w:r>
        <w:t xml:space="preserve"> </w:t>
      </w:r>
      <w:r w:rsidR="00D74559">
        <w:t xml:space="preserve">to Pre-Employment Support </w:t>
      </w:r>
      <w:r w:rsidR="009117B5">
        <w:t>because</w:t>
      </w:r>
      <w:r w:rsidR="009117B5" w:rsidRPr="6E16DB6F">
        <w:t xml:space="preserve"> </w:t>
      </w:r>
      <w:r w:rsidR="00D74559" w:rsidRPr="6E16DB6F">
        <w:t xml:space="preserve">the Participant ceases Employment or does not meet the required hours for </w:t>
      </w:r>
      <w:r w:rsidR="00F43D53">
        <w:t>an</w:t>
      </w:r>
      <w:r w:rsidR="00D74559" w:rsidRPr="6E16DB6F">
        <w:t xml:space="preserve"> Employment Outcome</w:t>
      </w:r>
      <w:r w:rsidR="009A61B0">
        <w:t>, the</w:t>
      </w:r>
      <w:r w:rsidR="00D74559">
        <w:t xml:space="preserve"> Provider must</w:t>
      </w:r>
      <w:r w:rsidR="004415E8">
        <w:t>:</w:t>
      </w:r>
    </w:p>
    <w:p w14:paraId="3A410027" w14:textId="77777777" w:rsidR="004415E8" w:rsidRDefault="00D74559" w:rsidP="00AE65EF">
      <w:pPr>
        <w:pStyle w:val="BulletLevel1"/>
      </w:pPr>
      <w:r w:rsidRPr="6E16DB6F">
        <w:t xml:space="preserve">hold a </w:t>
      </w:r>
      <w:r w:rsidR="00B9375A">
        <w:t>face-to-face Contact</w:t>
      </w:r>
      <w:r w:rsidRPr="6E16DB6F">
        <w:t xml:space="preserve"> Appointment</w:t>
      </w:r>
      <w:r w:rsidR="00EC49F6">
        <w:t xml:space="preserve"> for the purposes of Re-engagement</w:t>
      </w:r>
    </w:p>
    <w:p w14:paraId="35C8F432" w14:textId="77777777" w:rsidR="004415E8" w:rsidRDefault="00B1010F" w:rsidP="00AE65EF">
      <w:pPr>
        <w:pStyle w:val="BulletLevel1"/>
      </w:pPr>
      <w:r>
        <w:t xml:space="preserve">review and </w:t>
      </w:r>
      <w:r w:rsidR="00D74559">
        <w:t>update the Participant’s Job Plan</w:t>
      </w:r>
      <w:r w:rsidR="00FA49A7">
        <w:t xml:space="preserve"> (if appropriate)</w:t>
      </w:r>
      <w:r w:rsidR="00D74559">
        <w:t>,</w:t>
      </w:r>
      <w:r w:rsidR="00D74559" w:rsidRPr="6E16DB6F">
        <w:t xml:space="preserve"> and </w:t>
      </w:r>
    </w:p>
    <w:p w14:paraId="65614850" w14:textId="1747BA76" w:rsidR="00D74559" w:rsidRPr="00101E19" w:rsidRDefault="00D74559" w:rsidP="00AE65EF">
      <w:pPr>
        <w:pStyle w:val="BulletLevel1"/>
      </w:pPr>
      <w:r w:rsidRPr="6E16DB6F">
        <w:t xml:space="preserve">resume delivering </w:t>
      </w:r>
      <w:r w:rsidR="006C4CE8">
        <w:t>Pre-Employment S</w:t>
      </w:r>
      <w:r>
        <w:t>upport.</w:t>
      </w:r>
    </w:p>
    <w:p w14:paraId="49D2AF70" w14:textId="1C3D795C" w:rsidR="00D74559" w:rsidRPr="00AF70AE" w:rsidRDefault="00D74559" w:rsidP="006D1645">
      <w:pPr>
        <w:pStyle w:val="Heading5"/>
      </w:pPr>
      <w:r w:rsidRPr="00AF70AE">
        <w:t>Participant’s hours of employment reduced</w:t>
      </w:r>
    </w:p>
    <w:p w14:paraId="32A140FE" w14:textId="7726913A" w:rsidR="00D74559" w:rsidRDefault="00D74559" w:rsidP="006E2EF5">
      <w:r>
        <w:t>If a Participant’s hours of employment reduce, the Provider can:</w:t>
      </w:r>
    </w:p>
    <w:p w14:paraId="6F4719ED" w14:textId="4B272053" w:rsidR="00D74559" w:rsidRDefault="00D74559" w:rsidP="004E120D">
      <w:pPr>
        <w:pStyle w:val="BulletLevel1"/>
      </w:pPr>
      <w:r>
        <w:t xml:space="preserve">continue to support in Post Placement Support </w:t>
      </w:r>
      <w:r w:rsidR="00AE65EF">
        <w:t>(</w:t>
      </w:r>
      <w:r>
        <w:t>or Ongoing Support</w:t>
      </w:r>
      <w:r w:rsidR="00AE65EF">
        <w:t>)</w:t>
      </w:r>
      <w:r w:rsidR="009D15D0">
        <w:t>,</w:t>
      </w:r>
      <w:r>
        <w:t xml:space="preserve"> if the Participant may still achieve a Partial Outcome </w:t>
      </w:r>
    </w:p>
    <w:p w14:paraId="15BA8825" w14:textId="211AD850" w:rsidR="00D74559" w:rsidRDefault="00D74559" w:rsidP="004E120D">
      <w:pPr>
        <w:pStyle w:val="BulletLevel1"/>
      </w:pPr>
      <w:r>
        <w:t xml:space="preserve">return </w:t>
      </w:r>
      <w:r w:rsidR="007E14BE">
        <w:t xml:space="preserve">the </w:t>
      </w:r>
      <w:r>
        <w:t>Participant to Pre-Employment Support</w:t>
      </w:r>
      <w:r w:rsidR="00AE4687">
        <w:t xml:space="preserve"> whil</w:t>
      </w:r>
      <w:r w:rsidR="00AC30F8">
        <w:t>e</w:t>
      </w:r>
      <w:r w:rsidR="00AE4687">
        <w:t xml:space="preserve"> supporting </w:t>
      </w:r>
      <w:r w:rsidR="00C04EBE">
        <w:t xml:space="preserve">any </w:t>
      </w:r>
      <w:r w:rsidR="00AE4687">
        <w:t>continued employment and looking for opp</w:t>
      </w:r>
      <w:r w:rsidR="006009DA">
        <w:t>ortunities to increase employment</w:t>
      </w:r>
      <w:r w:rsidR="007177BA">
        <w:t>, or</w:t>
      </w:r>
    </w:p>
    <w:p w14:paraId="3005AE69" w14:textId="42D5962B" w:rsidR="00D74559" w:rsidRDefault="00D74559" w:rsidP="004E120D">
      <w:pPr>
        <w:pStyle w:val="BulletLevel1"/>
      </w:pPr>
      <w:r>
        <w:t xml:space="preserve">Exit the Participant from </w:t>
      </w:r>
      <w:r w:rsidR="00353F8E">
        <w:t>Inclusive Employment Australia</w:t>
      </w:r>
      <w:r>
        <w:t>, if the Participant has already achieved a 26-week Outcome</w:t>
      </w:r>
      <w:r w:rsidR="006A01AA">
        <w:t xml:space="preserve"> and is eligible for a Provider Exit — refer to</w:t>
      </w:r>
      <w:r w:rsidR="00EA3011">
        <w:t xml:space="preserve"> </w:t>
      </w:r>
      <w:r w:rsidR="003B2E77">
        <w:fldChar w:fldCharType="begin"/>
      </w:r>
      <w:r w:rsidR="003B2E77">
        <w:instrText xml:space="preserve"> REF _Ref202784863 \h </w:instrText>
      </w:r>
      <w:r w:rsidR="003B2E77">
        <w:fldChar w:fldCharType="separate"/>
      </w:r>
      <w:r w:rsidR="003B2E77" w:rsidRPr="005A0947">
        <w:t>3.6</w:t>
      </w:r>
      <w:r w:rsidR="003B2E77">
        <w:t xml:space="preserve"> </w:t>
      </w:r>
      <w:r w:rsidR="003B2E77" w:rsidRPr="00961F42">
        <w:t>E</w:t>
      </w:r>
      <w:r w:rsidR="003B2E77" w:rsidRPr="005A0947">
        <w:t>xits</w:t>
      </w:r>
      <w:r w:rsidR="003B2E77">
        <w:fldChar w:fldCharType="end"/>
      </w:r>
      <w:r w:rsidR="00EA3011">
        <w:rPr>
          <w:highlight w:val="yellow"/>
        </w:rPr>
        <w:fldChar w:fldCharType="begin"/>
      </w:r>
      <w:r w:rsidR="00EA3011">
        <w:instrText xml:space="preserve"> REF _Ref202784863 \h </w:instrText>
      </w:r>
      <w:r w:rsidR="00EA3011">
        <w:rPr>
          <w:highlight w:val="yellow"/>
        </w:rPr>
      </w:r>
      <w:r w:rsidR="00EA3011">
        <w:rPr>
          <w:highlight w:val="yellow"/>
        </w:rPr>
        <w:fldChar w:fldCharType="separate"/>
      </w:r>
      <w:r w:rsidR="00EA3011">
        <w:rPr>
          <w:highlight w:val="yellow"/>
        </w:rPr>
        <w:fldChar w:fldCharType="end"/>
      </w:r>
      <w:r>
        <w:t xml:space="preserve">. </w:t>
      </w:r>
    </w:p>
    <w:p w14:paraId="6500CA1C" w14:textId="620CA187" w:rsidR="00D74559" w:rsidRPr="006132EA" w:rsidRDefault="00532E59" w:rsidP="006E2EF5">
      <w:r>
        <w:t>A</w:t>
      </w:r>
      <w:r w:rsidR="00D74559" w:rsidRPr="6E68D962">
        <w:t xml:space="preserve"> Participant </w:t>
      </w:r>
      <w:r>
        <w:t xml:space="preserve">who </w:t>
      </w:r>
      <w:r w:rsidR="00D74559" w:rsidRPr="6E68D962">
        <w:t>return</w:t>
      </w:r>
      <w:r>
        <w:t>s</w:t>
      </w:r>
      <w:r w:rsidR="00D74559" w:rsidRPr="6E68D962">
        <w:t xml:space="preserve"> to Pre-Employment Support can </w:t>
      </w:r>
      <w:r w:rsidR="00814FA0">
        <w:t>return to</w:t>
      </w:r>
      <w:r w:rsidR="00D74559" w:rsidRPr="6E68D962">
        <w:t xml:space="preserve"> Post Placement Support when they are undertaking one or more </w:t>
      </w:r>
      <w:r w:rsidR="00D74559">
        <w:t>Job</w:t>
      </w:r>
      <w:r w:rsidR="00D74559" w:rsidRPr="6E68D962">
        <w:t xml:space="preserve"> Placements that are expected to </w:t>
      </w:r>
      <w:r w:rsidR="00AF3AF1">
        <w:t xml:space="preserve">achieve an Employment Outcome, </w:t>
      </w:r>
      <w:r w:rsidR="00E850D7">
        <w:t xml:space="preserve">in accordance with </w:t>
      </w:r>
      <w:r w:rsidR="00E850D7">
        <w:fldChar w:fldCharType="begin"/>
      </w:r>
      <w:r w:rsidR="00E850D7">
        <w:instrText xml:space="preserve"> REF _Ref202885093 \h </w:instrText>
      </w:r>
      <w:r w:rsidR="00E850D7">
        <w:fldChar w:fldCharType="separate"/>
      </w:r>
      <w:r w:rsidR="000D75AE">
        <w:t>9.3</w:t>
      </w:r>
      <w:r w:rsidR="003B2E77">
        <w:t xml:space="preserve"> </w:t>
      </w:r>
      <w:r w:rsidR="000D75AE">
        <w:t>Movement to Post Placement Support</w:t>
      </w:r>
      <w:r w:rsidR="00E850D7">
        <w:fldChar w:fldCharType="end"/>
      </w:r>
      <w:r w:rsidR="00D74559" w:rsidRPr="6E68D962">
        <w:t xml:space="preserve">. This can include </w:t>
      </w:r>
      <w:r w:rsidR="004C5354">
        <w:t>re</w:t>
      </w:r>
      <w:r w:rsidR="004C5354">
        <w:noBreakHyphen/>
      </w:r>
      <w:r w:rsidR="00476DE5">
        <w:t xml:space="preserve">anchoring a Participant in a </w:t>
      </w:r>
      <w:r w:rsidR="00D74559" w:rsidRPr="6E68D962">
        <w:t xml:space="preserve">previously anchored </w:t>
      </w:r>
      <w:r w:rsidR="00D74559">
        <w:t>Job</w:t>
      </w:r>
      <w:r w:rsidR="00D74559" w:rsidRPr="6E68D962">
        <w:t xml:space="preserve"> Placement, if the Participant’s work hours increase</w:t>
      </w:r>
      <w:r w:rsidR="007D1BAE">
        <w:t xml:space="preserve"> (see</w:t>
      </w:r>
      <w:r w:rsidR="0013707E">
        <w:t xml:space="preserve"> </w:t>
      </w:r>
      <w:r w:rsidR="00477ACE">
        <w:fldChar w:fldCharType="begin"/>
      </w:r>
      <w:r w:rsidR="00477ACE">
        <w:instrText xml:space="preserve"> REF _Ref202884824 \h </w:instrText>
      </w:r>
      <w:r w:rsidR="00477ACE">
        <w:fldChar w:fldCharType="separate"/>
      </w:r>
      <w:r w:rsidR="000D75AE" w:rsidRPr="25249C38">
        <w:t>9.</w:t>
      </w:r>
      <w:r w:rsidR="000D75AE">
        <w:t>5</w:t>
      </w:r>
      <w:r w:rsidR="000D75AE" w:rsidRPr="25249C38">
        <w:t>.</w:t>
      </w:r>
      <w:r w:rsidR="000D75AE">
        <w:t>4</w:t>
      </w:r>
      <w:r w:rsidR="003B2E77">
        <w:t xml:space="preserve"> </w:t>
      </w:r>
      <w:r w:rsidR="000D75AE" w:rsidRPr="25249C38">
        <w:t xml:space="preserve">Re-anchoring </w:t>
      </w:r>
      <w:r w:rsidR="000D75AE">
        <w:t>Job P</w:t>
      </w:r>
      <w:r w:rsidR="000D75AE" w:rsidRPr="25249C38">
        <w:t>lacements</w:t>
      </w:r>
      <w:r w:rsidR="00477ACE">
        <w:fldChar w:fldCharType="end"/>
      </w:r>
      <w:r w:rsidR="007D1BAE">
        <w:t>)</w:t>
      </w:r>
      <w:r w:rsidR="0013707E">
        <w:t>.</w:t>
      </w:r>
    </w:p>
    <w:p w14:paraId="6A567773" w14:textId="3A024E85" w:rsidR="00D74559" w:rsidRDefault="00D74559" w:rsidP="006D1645">
      <w:pPr>
        <w:pStyle w:val="Heading5"/>
      </w:pPr>
      <w:r w:rsidRPr="00AF70AE">
        <w:t xml:space="preserve">Participant’s hours of </w:t>
      </w:r>
      <w:r w:rsidR="00FF75BC">
        <w:t>E</w:t>
      </w:r>
      <w:r w:rsidRPr="00AF70AE">
        <w:t>mployment increased</w:t>
      </w:r>
    </w:p>
    <w:p w14:paraId="12316A78" w14:textId="3FA12C6C" w:rsidR="00D74559" w:rsidRDefault="00D74559" w:rsidP="006E2EF5">
      <w:r>
        <w:t xml:space="preserve">If a Participant’s hours of </w:t>
      </w:r>
      <w:r w:rsidR="00074B1A">
        <w:t>E</w:t>
      </w:r>
      <w:r>
        <w:t xml:space="preserve">mployment increase, the Provider may decide that the Participant’s hours of Employment may now result in a higher Employment Outcome. </w:t>
      </w:r>
      <w:r w:rsidR="00505DAA">
        <w:t>In this circumstance t</w:t>
      </w:r>
      <w:r>
        <w:t>he Provider can:</w:t>
      </w:r>
    </w:p>
    <w:p w14:paraId="0CCE4275" w14:textId="514E2D89" w:rsidR="00D74559" w:rsidRDefault="00D74559" w:rsidP="004E120D">
      <w:pPr>
        <w:pStyle w:val="BulletLevel1"/>
      </w:pPr>
      <w:r>
        <w:t xml:space="preserve">continue to support the Participant in Post Placement Support </w:t>
      </w:r>
      <w:r w:rsidR="00A23658">
        <w:t>(</w:t>
      </w:r>
      <w:r>
        <w:t>or Ongoing Support</w:t>
      </w:r>
      <w:r w:rsidR="00A23658">
        <w:t>)</w:t>
      </w:r>
      <w:r>
        <w:t xml:space="preserve">, </w:t>
      </w:r>
      <w:r w:rsidR="00EE050E">
        <w:t>and</w:t>
      </w:r>
    </w:p>
    <w:p w14:paraId="5FD83335" w14:textId="199DAB23" w:rsidR="00D74559" w:rsidRDefault="00D74559" w:rsidP="004E120D">
      <w:pPr>
        <w:pStyle w:val="BulletLevel1"/>
      </w:pPr>
      <w:r>
        <w:t xml:space="preserve">re-anchor the </w:t>
      </w:r>
      <w:r w:rsidR="008E100D">
        <w:t xml:space="preserve">Job </w:t>
      </w:r>
      <w:r>
        <w:t>Placement</w:t>
      </w:r>
      <w:r w:rsidR="005E4F71">
        <w:t xml:space="preserve">— refer to </w:t>
      </w:r>
      <w:r w:rsidR="00B64F3D">
        <w:fldChar w:fldCharType="begin"/>
      </w:r>
      <w:r w:rsidR="00B64F3D">
        <w:instrText xml:space="preserve"> REF _Ref202884824 \h </w:instrText>
      </w:r>
      <w:r w:rsidR="00B64F3D">
        <w:fldChar w:fldCharType="separate"/>
      </w:r>
      <w:r w:rsidR="000D75AE" w:rsidRPr="25249C38">
        <w:t>9.</w:t>
      </w:r>
      <w:r w:rsidR="000D75AE">
        <w:t>5</w:t>
      </w:r>
      <w:r w:rsidR="000D75AE" w:rsidRPr="25249C38">
        <w:t>.</w:t>
      </w:r>
      <w:r w:rsidR="000D75AE">
        <w:t>4</w:t>
      </w:r>
      <w:r w:rsidR="003B2E77">
        <w:t xml:space="preserve"> </w:t>
      </w:r>
      <w:r w:rsidR="000D75AE" w:rsidRPr="25249C38">
        <w:t xml:space="preserve">Re-anchoring </w:t>
      </w:r>
      <w:r w:rsidR="000D75AE">
        <w:t>Job P</w:t>
      </w:r>
      <w:r w:rsidR="000D75AE" w:rsidRPr="25249C38">
        <w:t>lacements</w:t>
      </w:r>
      <w:r w:rsidR="00B64F3D">
        <w:fldChar w:fldCharType="end"/>
      </w:r>
      <w:r>
        <w:t>.</w:t>
      </w:r>
    </w:p>
    <w:p w14:paraId="043154A5" w14:textId="62D02F30" w:rsidR="00D74559" w:rsidRDefault="00D74559" w:rsidP="001D0F92">
      <w:pPr>
        <w:pStyle w:val="Heading3"/>
      </w:pPr>
      <w:bookmarkStart w:id="412" w:name="_Toc202900058"/>
      <w:r>
        <w:t>9.7</w:t>
      </w:r>
      <w:r w:rsidR="00A93A63">
        <w:tab/>
      </w:r>
      <w:r>
        <w:t>Support to be provided to Employers</w:t>
      </w:r>
      <w:bookmarkEnd w:id="412"/>
    </w:p>
    <w:p w14:paraId="7388EFFE" w14:textId="060834AF" w:rsidR="00D74559" w:rsidRDefault="00301924" w:rsidP="006E2EF5">
      <w:r>
        <w:t>Most</w:t>
      </w:r>
      <w:r w:rsidR="00D74559">
        <w:t xml:space="preserve"> Post Placement Support </w:t>
      </w:r>
      <w:bookmarkStart w:id="413" w:name="_Int_soXlztXI"/>
      <w:r w:rsidR="00D74559">
        <w:t>assistance</w:t>
      </w:r>
      <w:bookmarkEnd w:id="413"/>
      <w:r w:rsidR="00D74559">
        <w:t xml:space="preserve"> is expected to be on-the-job help and is delivered through Provider Contacts with Participants.</w:t>
      </w:r>
      <w:r w:rsidR="00DC4031">
        <w:t xml:space="preserve"> These supports </w:t>
      </w:r>
      <w:r w:rsidR="00466EC3">
        <w:t>may be delivered in the Participant</w:t>
      </w:r>
      <w:r>
        <w:t>’</w:t>
      </w:r>
      <w:r w:rsidR="00466EC3">
        <w:t>s workplace if required.</w:t>
      </w:r>
    </w:p>
    <w:p w14:paraId="2D313D0A" w14:textId="72675C26" w:rsidR="00D74559" w:rsidRDefault="00D74559" w:rsidP="006E2EF5">
      <w:pPr>
        <w:rPr>
          <w:rFonts w:cstheme="minorHAnsi"/>
        </w:rPr>
      </w:pPr>
      <w:r w:rsidRPr="00E31E88">
        <w:rPr>
          <w:rFonts w:cstheme="minorHAnsi"/>
        </w:rPr>
        <w:t xml:space="preserve">Supports </w:t>
      </w:r>
      <w:r w:rsidR="00CC74BB">
        <w:rPr>
          <w:rFonts w:cstheme="minorHAnsi"/>
        </w:rPr>
        <w:t xml:space="preserve">must </w:t>
      </w:r>
      <w:r w:rsidRPr="00E31E88">
        <w:rPr>
          <w:rFonts w:cstheme="minorHAnsi"/>
        </w:rPr>
        <w:t xml:space="preserve">be tailored to the individual needs of the Participant and the Employer. </w:t>
      </w:r>
      <w:r w:rsidR="00230001">
        <w:rPr>
          <w:rFonts w:cstheme="minorHAnsi"/>
        </w:rPr>
        <w:t xml:space="preserve">Examples of </w:t>
      </w:r>
      <w:r w:rsidRPr="00E31E88">
        <w:rPr>
          <w:rFonts w:cstheme="minorHAnsi"/>
        </w:rPr>
        <w:t>Employer supports</w:t>
      </w:r>
      <w:r>
        <w:rPr>
          <w:rFonts w:cstheme="minorHAnsi"/>
        </w:rPr>
        <w:t xml:space="preserve"> </w:t>
      </w:r>
      <w:r w:rsidRPr="00E31E88">
        <w:rPr>
          <w:rFonts w:cstheme="minorHAnsi"/>
        </w:rPr>
        <w:t xml:space="preserve">are outlined in the following </w:t>
      </w:r>
      <w:r>
        <w:rPr>
          <w:rFonts w:cstheme="minorHAnsi"/>
        </w:rPr>
        <w:t>t</w:t>
      </w:r>
      <w:r w:rsidRPr="00E31E88">
        <w:rPr>
          <w:rFonts w:cstheme="minorHAnsi"/>
        </w:rPr>
        <w:t>able.</w:t>
      </w:r>
    </w:p>
    <w:p w14:paraId="23ADE0A9" w14:textId="554B6CDA" w:rsidR="00BA309A" w:rsidRPr="00E31E88" w:rsidRDefault="00BA309A" w:rsidP="00BA309A">
      <w:pPr>
        <w:pStyle w:val="DeedReferences"/>
      </w:pPr>
      <w:r w:rsidRPr="00370BB2">
        <w:t>(</w:t>
      </w:r>
      <w:r>
        <w:t xml:space="preserve">Deed Reference(s): Clause </w:t>
      </w:r>
      <w:r w:rsidRPr="00370BB2">
        <w:t xml:space="preserve">9, </w:t>
      </w:r>
      <w:r>
        <w:t>121</w:t>
      </w:r>
      <w:r w:rsidRPr="00370BB2">
        <w:t>)</w:t>
      </w:r>
    </w:p>
    <w:p w14:paraId="54FF76B5" w14:textId="71DC62F1" w:rsidR="00D74559" w:rsidRDefault="00AB0C24" w:rsidP="006E2EF5">
      <w:pPr>
        <w:pStyle w:val="TableChartHeading"/>
      </w:pPr>
      <w:r>
        <w:t xml:space="preserve">Examples of </w:t>
      </w:r>
      <w:r w:rsidR="00BB3550">
        <w:t xml:space="preserve">In-Employment Support for </w:t>
      </w:r>
      <w:r w:rsidR="00D74559">
        <w:t>Employer</w:t>
      </w:r>
      <w:r w:rsidR="00BB3550">
        <w:t>s</w:t>
      </w:r>
      <w:r w:rsidR="00D74559">
        <w:t xml:space="preserve"> </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6798"/>
      </w:tblGrid>
      <w:tr w:rsidR="00731CAB" w:rsidRPr="00FB7CD7" w14:paraId="4D072021" w14:textId="77777777" w:rsidTr="005B501A">
        <w:trPr>
          <w:cnfStyle w:val="100000000000" w:firstRow="1" w:lastRow="0" w:firstColumn="0" w:lastColumn="0" w:oddVBand="0" w:evenVBand="0" w:oddHBand="0" w:evenHBand="0" w:firstRowFirstColumn="0" w:firstRowLastColumn="0" w:lastRowFirstColumn="0" w:lastRowLastColumn="0"/>
        </w:trPr>
        <w:tc>
          <w:tcPr>
            <w:tcW w:w="2830" w:type="dxa"/>
          </w:tcPr>
          <w:p w14:paraId="6779E1EE" w14:textId="77777777" w:rsidR="00D74559" w:rsidRPr="00FB7CD7" w:rsidRDefault="00D74559" w:rsidP="00E37CED">
            <w:pPr>
              <w:pStyle w:val="TableText"/>
              <w:rPr>
                <w:b w:val="0"/>
              </w:rPr>
            </w:pPr>
            <w:r w:rsidRPr="00FB7CD7">
              <w:t>Category</w:t>
            </w:r>
          </w:p>
        </w:tc>
        <w:tc>
          <w:tcPr>
            <w:tcW w:w="6798" w:type="dxa"/>
          </w:tcPr>
          <w:p w14:paraId="5A13C5CF" w14:textId="2EA18A52" w:rsidR="00115FD4" w:rsidRDefault="00D74559" w:rsidP="00E37CED">
            <w:pPr>
              <w:pStyle w:val="TableText"/>
              <w:rPr>
                <w:b w:val="0"/>
              </w:rPr>
            </w:pPr>
            <w:r>
              <w:t xml:space="preserve">In-Employment </w:t>
            </w:r>
            <w:r w:rsidRPr="00FB7CD7">
              <w:t xml:space="preserve">Supports </w:t>
            </w:r>
          </w:p>
          <w:p w14:paraId="49DD620B" w14:textId="5FFBCDD1" w:rsidR="00D74559" w:rsidRPr="00FB7CD7" w:rsidRDefault="00D74559" w:rsidP="00E37CED">
            <w:pPr>
              <w:pStyle w:val="TableText"/>
              <w:rPr>
                <w:b w:val="0"/>
              </w:rPr>
            </w:pPr>
            <w:r w:rsidRPr="00FB7CD7">
              <w:t>may include</w:t>
            </w:r>
            <w:r>
              <w:t>:</w:t>
            </w:r>
          </w:p>
        </w:tc>
      </w:tr>
      <w:tr w:rsidR="00D74559" w:rsidRPr="00FB7CD7" w14:paraId="0AE9FC44" w14:textId="77777777" w:rsidTr="005B501A">
        <w:trPr>
          <w:cnfStyle w:val="000000100000" w:firstRow="0" w:lastRow="0" w:firstColumn="0" w:lastColumn="0" w:oddVBand="0" w:evenVBand="0" w:oddHBand="1" w:evenHBand="0" w:firstRowFirstColumn="0" w:firstRowLastColumn="0" w:lastRowFirstColumn="0" w:lastRowLastColumn="0"/>
        </w:trPr>
        <w:tc>
          <w:tcPr>
            <w:tcW w:w="2830" w:type="dxa"/>
          </w:tcPr>
          <w:p w14:paraId="25686D8D" w14:textId="77777777" w:rsidR="00D74559" w:rsidRPr="00BB61D7" w:rsidRDefault="00D74559" w:rsidP="00E37CED">
            <w:pPr>
              <w:pStyle w:val="TableText"/>
            </w:pPr>
            <w:r>
              <w:t>Employer access to suitable employees</w:t>
            </w:r>
          </w:p>
        </w:tc>
        <w:tc>
          <w:tcPr>
            <w:tcW w:w="6798" w:type="dxa"/>
          </w:tcPr>
          <w:p w14:paraId="323F92B7" w14:textId="77777777" w:rsidR="00D74559" w:rsidRPr="00245C2B" w:rsidRDefault="00D74559" w:rsidP="007D21CC">
            <w:pPr>
              <w:pStyle w:val="TableList-level1"/>
            </w:pPr>
            <w:r>
              <w:t>R</w:t>
            </w:r>
            <w:r w:rsidRPr="00F1354A">
              <w:t>efer</w:t>
            </w:r>
            <w:r>
              <w:t xml:space="preserve">ring </w:t>
            </w:r>
            <w:r w:rsidRPr="00F1354A">
              <w:t>the most suitable Participants to Vacancies</w:t>
            </w:r>
            <w:r>
              <w:t>.</w:t>
            </w:r>
          </w:p>
          <w:p w14:paraId="4BEC3DD0" w14:textId="77777777" w:rsidR="00D74559" w:rsidRPr="00D7432C" w:rsidRDefault="00D74559" w:rsidP="007D21CC">
            <w:pPr>
              <w:pStyle w:val="TableList-level1"/>
            </w:pPr>
            <w:r>
              <w:t>Matching employees to an Employer and respecting</w:t>
            </w:r>
            <w:r w:rsidRPr="00EF0812">
              <w:t xml:space="preserve"> the cultural </w:t>
            </w:r>
            <w:r>
              <w:t>safety</w:t>
            </w:r>
            <w:r w:rsidRPr="00EF0812">
              <w:t xml:space="preserve"> requirements </w:t>
            </w:r>
            <w:r>
              <w:t>set by an</w:t>
            </w:r>
            <w:r w:rsidRPr="00EF0812">
              <w:t xml:space="preserve"> Employer</w:t>
            </w:r>
            <w:r>
              <w:t>, ensuring that a Participant</w:t>
            </w:r>
            <w:r w:rsidRPr="00EF0812">
              <w:t xml:space="preserve"> understands these requirements</w:t>
            </w:r>
            <w:r>
              <w:t xml:space="preserve"> and that any</w:t>
            </w:r>
            <w:r w:rsidRPr="00EF0812">
              <w:t xml:space="preserve"> training on these issues </w:t>
            </w:r>
            <w:r>
              <w:t xml:space="preserve">the Provider commits to </w:t>
            </w:r>
            <w:r w:rsidRPr="00EF0812">
              <w:t xml:space="preserve">provide to the Participant </w:t>
            </w:r>
            <w:r>
              <w:t>is undertaken.</w:t>
            </w:r>
          </w:p>
          <w:p w14:paraId="7E5AE2A1" w14:textId="30AAF785" w:rsidR="00D74559" w:rsidRDefault="00D74559" w:rsidP="007D21CC">
            <w:pPr>
              <w:pStyle w:val="TableList-level1"/>
            </w:pPr>
            <w:r>
              <w:t>M</w:t>
            </w:r>
            <w:r w:rsidRPr="1CE3CB1E">
              <w:t>anag</w:t>
            </w:r>
            <w:r w:rsidR="00AB1867">
              <w:t>ing</w:t>
            </w:r>
            <w:r w:rsidRPr="1CE3CB1E">
              <w:t xml:space="preserve"> paid work experience</w:t>
            </w:r>
            <w:r w:rsidR="00A95E8E">
              <w:t xml:space="preserve"> placements</w:t>
            </w:r>
            <w:r w:rsidRPr="1CE3CB1E">
              <w:t xml:space="preserve"> </w:t>
            </w:r>
            <w:r>
              <w:t>or Work Tr</w:t>
            </w:r>
            <w:r w:rsidR="00FB33BF">
              <w:t>i</w:t>
            </w:r>
            <w:r>
              <w:t>als</w:t>
            </w:r>
            <w:r w:rsidRPr="1CE3CB1E">
              <w:t xml:space="preserve"> that allow</w:t>
            </w:r>
            <w:r>
              <w:t xml:space="preserve"> an</w:t>
            </w:r>
            <w:r w:rsidRPr="1CE3CB1E">
              <w:t xml:space="preserve"> Employer to see if a Participant will be a good fit for their business</w:t>
            </w:r>
            <w:r>
              <w:t>.</w:t>
            </w:r>
          </w:p>
          <w:p w14:paraId="410C2B68" w14:textId="10A45925" w:rsidR="00D74559" w:rsidRPr="00E03357" w:rsidRDefault="00760DBF" w:rsidP="007D21CC">
            <w:pPr>
              <w:pStyle w:val="TableList-level1"/>
            </w:pPr>
            <w:r>
              <w:t>Supporting</w:t>
            </w:r>
            <w:r w:rsidR="002F1516">
              <w:t xml:space="preserve"> upskilling and training </w:t>
            </w:r>
            <w:r>
              <w:t xml:space="preserve">of </w:t>
            </w:r>
            <w:r w:rsidR="002F1516">
              <w:t xml:space="preserve">individuals </w:t>
            </w:r>
            <w:r w:rsidR="005008FC">
              <w:t>to increase capability and capacity for suitable roles.</w:t>
            </w:r>
          </w:p>
        </w:tc>
      </w:tr>
      <w:tr w:rsidR="00731CAB" w:rsidRPr="00FB7CD7" w14:paraId="5FFC3A20" w14:textId="77777777" w:rsidTr="005B501A">
        <w:trPr>
          <w:cnfStyle w:val="000000010000" w:firstRow="0" w:lastRow="0" w:firstColumn="0" w:lastColumn="0" w:oddVBand="0" w:evenVBand="0" w:oddHBand="0" w:evenHBand="1" w:firstRowFirstColumn="0" w:firstRowLastColumn="0" w:lastRowFirstColumn="0" w:lastRowLastColumn="0"/>
        </w:trPr>
        <w:tc>
          <w:tcPr>
            <w:tcW w:w="2830" w:type="dxa"/>
          </w:tcPr>
          <w:p w14:paraId="4D7F7B1E" w14:textId="77777777" w:rsidR="00D74559" w:rsidRDefault="00D74559" w:rsidP="00E37CED">
            <w:pPr>
              <w:pStyle w:val="TableText"/>
            </w:pPr>
            <w:r>
              <w:t>Employer capability-building support</w:t>
            </w:r>
          </w:p>
        </w:tc>
        <w:tc>
          <w:tcPr>
            <w:tcW w:w="6798" w:type="dxa"/>
          </w:tcPr>
          <w:p w14:paraId="2EA31381" w14:textId="47134789" w:rsidR="00D74559" w:rsidRDefault="00D74559" w:rsidP="007D21CC">
            <w:pPr>
              <w:pStyle w:val="TableList-level1"/>
            </w:pPr>
            <w:r>
              <w:t>Provid</w:t>
            </w:r>
            <w:r w:rsidR="00540B8B">
              <w:t>ing</w:t>
            </w:r>
            <w:r>
              <w:t xml:space="preserve"> guidance on creating accessible and inclusive workplaces to help Employers to manage employees with disability, and support Employers to access information a</w:t>
            </w:r>
            <w:r w:rsidR="008B76A2">
              <w:t>rou</w:t>
            </w:r>
            <w:r>
              <w:t>nd disability training for their workplace.</w:t>
            </w:r>
          </w:p>
          <w:p w14:paraId="1735CB63" w14:textId="0B217B0D" w:rsidR="001F7C73" w:rsidRDefault="003143C7" w:rsidP="009123BD">
            <w:pPr>
              <w:pStyle w:val="TableList-level1"/>
            </w:pPr>
            <w:r>
              <w:t>H</w:t>
            </w:r>
            <w:r w:rsidR="008B76A2">
              <w:t>elp</w:t>
            </w:r>
            <w:r w:rsidR="00A03271">
              <w:t>ing</w:t>
            </w:r>
            <w:r w:rsidR="008B76A2">
              <w:t xml:space="preserve"> Employers to access information a</w:t>
            </w:r>
            <w:r w:rsidR="00342E82">
              <w:t>round cultural safety assessments and/or</w:t>
            </w:r>
            <w:r w:rsidR="008B76A2">
              <w:t xml:space="preserve"> training for their workplace</w:t>
            </w:r>
            <w:r w:rsidR="009F7847">
              <w:t>.</w:t>
            </w:r>
            <w:r w:rsidR="001F7C73">
              <w:t xml:space="preserve"> </w:t>
            </w:r>
            <w:r w:rsidR="001F7C73" w:rsidRPr="00EF0812">
              <w:t>Employers may have employees from a variety of backgrounds where an understanding of the cultural needs of others ensures workplace harmony. In some ESAs, there may be several organisations that are First Nations entities, where a demonstration of cultural safety may be a pre-requisite of working in the organisation. Providers must assess, on a case-by-case basis, an Employer’s requirements for cultural safety in the workplace and ensure the</w:t>
            </w:r>
            <w:r w:rsidR="001F7C73">
              <w:t xml:space="preserve"> </w:t>
            </w:r>
            <w:r w:rsidR="00957895">
              <w:t>P</w:t>
            </w:r>
            <w:r w:rsidR="001F7C73">
              <w:t>articipant has the required support</w:t>
            </w:r>
            <w:r w:rsidR="001F7C73" w:rsidRPr="00EF0812">
              <w:t>.</w:t>
            </w:r>
          </w:p>
          <w:p w14:paraId="4A5470B3" w14:textId="7EF0D1A6" w:rsidR="009F7847" w:rsidRDefault="009F7847" w:rsidP="00071FE7">
            <w:pPr>
              <w:pStyle w:val="TableList-level1"/>
            </w:pPr>
            <w:r>
              <w:t>Provid</w:t>
            </w:r>
            <w:r w:rsidR="00A03271">
              <w:t>ing</w:t>
            </w:r>
            <w:r>
              <w:t xml:space="preserve"> guidance on job design and job customisation to facilitate the creation of employment opportunities.</w:t>
            </w:r>
          </w:p>
          <w:p w14:paraId="412FFB07" w14:textId="614CB373" w:rsidR="00D74559" w:rsidRPr="00153828" w:rsidRDefault="00D74559" w:rsidP="007D21CC">
            <w:pPr>
              <w:pStyle w:val="TableList-level1"/>
            </w:pPr>
            <w:r>
              <w:t>Provid</w:t>
            </w:r>
            <w:r w:rsidR="00A03271">
              <w:t>ing</w:t>
            </w:r>
            <w:r>
              <w:t xml:space="preserve"> guidance on employee retention strategies to help Employers to effectively onboard people with disability and reduce turnover.</w:t>
            </w:r>
          </w:p>
          <w:p w14:paraId="68BE1A1A" w14:textId="1840393B" w:rsidR="00D74559" w:rsidRPr="00EF0812" w:rsidRDefault="00D74559" w:rsidP="007D21CC">
            <w:pPr>
              <w:pStyle w:val="TableList-level1"/>
            </w:pPr>
            <w:r>
              <w:t>L</w:t>
            </w:r>
            <w:r w:rsidRPr="00153828">
              <w:t>ink</w:t>
            </w:r>
            <w:r w:rsidR="00A03271">
              <w:t>ing</w:t>
            </w:r>
            <w:r w:rsidRPr="00153828">
              <w:t xml:space="preserve"> Employers to relevant Commonwealth, State</w:t>
            </w:r>
            <w:r w:rsidR="00FC32A5">
              <w:t xml:space="preserve"> and</w:t>
            </w:r>
            <w:r w:rsidRPr="00153828">
              <w:t xml:space="preserve"> Territory</w:t>
            </w:r>
            <w:r w:rsidR="00FC32A5">
              <w:t xml:space="preserve"> Government,</w:t>
            </w:r>
            <w:r w:rsidRPr="00153828">
              <w:t xml:space="preserve"> local government, and non-government programs, and to communities</w:t>
            </w:r>
            <w:r>
              <w:t xml:space="preserve"> of practice.</w:t>
            </w:r>
          </w:p>
        </w:tc>
      </w:tr>
      <w:tr w:rsidR="00D74559" w:rsidRPr="00FB7CD7" w14:paraId="28D02FD7" w14:textId="77777777" w:rsidTr="005B501A">
        <w:trPr>
          <w:cnfStyle w:val="000000100000" w:firstRow="0" w:lastRow="0" w:firstColumn="0" w:lastColumn="0" w:oddVBand="0" w:evenVBand="0" w:oddHBand="1" w:evenHBand="0" w:firstRowFirstColumn="0" w:firstRowLastColumn="0" w:lastRowFirstColumn="0" w:lastRowLastColumn="0"/>
        </w:trPr>
        <w:tc>
          <w:tcPr>
            <w:tcW w:w="2830" w:type="dxa"/>
          </w:tcPr>
          <w:p w14:paraId="6A4EBFEE" w14:textId="3B92BD0E" w:rsidR="00D74559" w:rsidRDefault="009B24B2" w:rsidP="00E37CED">
            <w:pPr>
              <w:pStyle w:val="TableText"/>
            </w:pPr>
            <w:r>
              <w:t>Additional Supports</w:t>
            </w:r>
            <w:r w:rsidR="00D74559">
              <w:t xml:space="preserve"> for Employers</w:t>
            </w:r>
          </w:p>
        </w:tc>
        <w:tc>
          <w:tcPr>
            <w:tcW w:w="6798" w:type="dxa"/>
          </w:tcPr>
          <w:p w14:paraId="302F582B" w14:textId="03420A06" w:rsidR="005008FC" w:rsidRDefault="005008FC" w:rsidP="007D21CC">
            <w:pPr>
              <w:pStyle w:val="TableList-level1"/>
            </w:pPr>
            <w:r>
              <w:t>Provid</w:t>
            </w:r>
            <w:r w:rsidR="00A03271">
              <w:t>ing</w:t>
            </w:r>
            <w:r>
              <w:t xml:space="preserve"> a clear contact person, to ensure there is a clear path for issue resolution</w:t>
            </w:r>
            <w:r w:rsidR="0031535A">
              <w:t xml:space="preserve"> and responses to requests.</w:t>
            </w:r>
          </w:p>
          <w:p w14:paraId="6A25F349" w14:textId="0455FC30" w:rsidR="00D74559" w:rsidRDefault="00D74559" w:rsidP="007D21CC">
            <w:pPr>
              <w:pStyle w:val="TableList-level1"/>
            </w:pPr>
            <w:r>
              <w:t xml:space="preserve">As </w:t>
            </w:r>
            <w:bookmarkStart w:id="414" w:name="_Int_UpC0sMsV"/>
            <w:r>
              <w:t>appropriate</w:t>
            </w:r>
            <w:bookmarkEnd w:id="414"/>
            <w:r>
              <w:t>, help</w:t>
            </w:r>
            <w:r w:rsidR="00A03271">
              <w:t>ing</w:t>
            </w:r>
            <w:r>
              <w:t xml:space="preserve"> Employers to access financial </w:t>
            </w:r>
            <w:bookmarkStart w:id="415" w:name="_Int_dKncNKNh"/>
            <w:r>
              <w:t>assistance</w:t>
            </w:r>
            <w:bookmarkEnd w:id="415"/>
            <w:r>
              <w:t xml:space="preserve"> through the </w:t>
            </w:r>
            <w:r w:rsidR="00B4636D">
              <w:t>EAF</w:t>
            </w:r>
            <w:r>
              <w:t xml:space="preserve"> for work-related modifications and services </w:t>
            </w:r>
            <w:r w:rsidR="00416DB6">
              <w:t xml:space="preserve">(see </w:t>
            </w:r>
            <w:r w:rsidR="00416DB6">
              <w:fldChar w:fldCharType="begin"/>
            </w:r>
            <w:r w:rsidR="00416DB6">
              <w:instrText xml:space="preserve"> REF _Ref202784009 \h </w:instrText>
            </w:r>
            <w:r w:rsidR="00416DB6">
              <w:fldChar w:fldCharType="separate"/>
            </w:r>
            <w:r w:rsidR="000D75AE" w:rsidRPr="539AEF4B">
              <w:t>9.</w:t>
            </w:r>
            <w:r w:rsidR="000D75AE">
              <w:t>8</w:t>
            </w:r>
            <w:r w:rsidR="00C33F1F">
              <w:t xml:space="preserve"> </w:t>
            </w:r>
            <w:r w:rsidR="000D75AE" w:rsidRPr="539AEF4B">
              <w:t>Employment Assistance Fund</w:t>
            </w:r>
            <w:r w:rsidR="00416DB6">
              <w:fldChar w:fldCharType="end"/>
            </w:r>
            <w:r w:rsidR="00416DB6">
              <w:t>)</w:t>
            </w:r>
            <w:r>
              <w:t>.</w:t>
            </w:r>
          </w:p>
          <w:p w14:paraId="3991F1FB" w14:textId="1FAEBFE4" w:rsidR="00D74559" w:rsidRDefault="00D74559" w:rsidP="007D21CC">
            <w:pPr>
              <w:pStyle w:val="TableList-level1"/>
            </w:pPr>
            <w:r>
              <w:t xml:space="preserve">As </w:t>
            </w:r>
            <w:bookmarkStart w:id="416" w:name="_Int_7jX3OF7b"/>
            <w:r>
              <w:t>appropriate</w:t>
            </w:r>
            <w:bookmarkEnd w:id="416"/>
            <w:r>
              <w:t>, help</w:t>
            </w:r>
            <w:r w:rsidR="00A03271">
              <w:t>ing</w:t>
            </w:r>
            <w:r>
              <w:t xml:space="preserve"> an Employer to make an application in respect of the Supported Wage System.</w:t>
            </w:r>
          </w:p>
          <w:p w14:paraId="197A734D" w14:textId="71B87D6C" w:rsidR="00D74559" w:rsidRDefault="000670F3" w:rsidP="007D21CC">
            <w:pPr>
              <w:pStyle w:val="TableList-level1"/>
            </w:pPr>
            <w:r>
              <w:t xml:space="preserve">As appropriate, </w:t>
            </w:r>
            <w:r w:rsidR="00A03271">
              <w:t xml:space="preserve">providing </w:t>
            </w:r>
            <w:r w:rsidR="0073131C">
              <w:t xml:space="preserve">information and training on how </w:t>
            </w:r>
            <w:r>
              <w:t>access to Wage Subsidies</w:t>
            </w:r>
            <w:r w:rsidR="007E22FB">
              <w:t xml:space="preserve"> to support </w:t>
            </w:r>
            <w:r w:rsidR="00FC32A5">
              <w:t>P</w:t>
            </w:r>
            <w:r w:rsidR="007E22FB">
              <w:t>articipants and Employers</w:t>
            </w:r>
            <w:r w:rsidR="00416DB6">
              <w:t xml:space="preserve"> (see </w:t>
            </w:r>
            <w:r w:rsidR="00416DB6">
              <w:fldChar w:fldCharType="begin"/>
            </w:r>
            <w:r w:rsidR="00416DB6">
              <w:instrText xml:space="preserve"> REF _Ref202885273 \h </w:instrText>
            </w:r>
            <w:r w:rsidR="00416DB6">
              <w:fldChar w:fldCharType="separate"/>
            </w:r>
            <w:r w:rsidR="000D75AE" w:rsidRPr="4F3EABBB">
              <w:t>Chapter</w:t>
            </w:r>
            <w:r w:rsidR="000D75AE" w:rsidRPr="4F3EABBB">
              <w:rPr>
                <w:rStyle w:val="Emphasis"/>
              </w:rPr>
              <w:t xml:space="preserve"> </w:t>
            </w:r>
            <w:r w:rsidR="000D75AE" w:rsidRPr="4F3EABBB">
              <w:t>8:</w:t>
            </w:r>
            <w:r w:rsidR="00C33F1F">
              <w:t xml:space="preserve"> </w:t>
            </w:r>
            <w:r w:rsidR="000D75AE" w:rsidRPr="4F3EABBB">
              <w:t>Wage Subsidies</w:t>
            </w:r>
            <w:r w:rsidR="00416DB6">
              <w:fldChar w:fldCharType="end"/>
            </w:r>
            <w:r w:rsidR="00416DB6">
              <w:t>)</w:t>
            </w:r>
            <w:r w:rsidR="007E22FB">
              <w:t>.</w:t>
            </w:r>
          </w:p>
          <w:p w14:paraId="4CF331F4" w14:textId="6AB09F73" w:rsidR="00D74559" w:rsidRDefault="00030F31" w:rsidP="007D21CC">
            <w:pPr>
              <w:pStyle w:val="TableList-level1"/>
            </w:pPr>
            <w:r>
              <w:t>As appropriate, providing information on</w:t>
            </w:r>
            <w:r w:rsidR="00C642A6">
              <w:t xml:space="preserve"> the Disabled Australian Apprentice Wage Support Program.</w:t>
            </w:r>
          </w:p>
        </w:tc>
      </w:tr>
    </w:tbl>
    <w:p w14:paraId="75FCBA99" w14:textId="39E570AF" w:rsidR="00D74559" w:rsidRDefault="00D74559" w:rsidP="001D0F92">
      <w:pPr>
        <w:pStyle w:val="Heading3"/>
      </w:pPr>
      <w:bookmarkStart w:id="417" w:name="_Ref202784009"/>
      <w:bookmarkStart w:id="418" w:name="_Toc202900059"/>
      <w:r w:rsidRPr="539AEF4B">
        <w:t>9.</w:t>
      </w:r>
      <w:r>
        <w:t>8</w:t>
      </w:r>
      <w:r w:rsidR="00A93A63">
        <w:tab/>
      </w:r>
      <w:r w:rsidRPr="539AEF4B">
        <w:t>Employment Assistance Fund</w:t>
      </w:r>
      <w:bookmarkEnd w:id="417"/>
      <w:bookmarkEnd w:id="418"/>
    </w:p>
    <w:p w14:paraId="366EC1CF" w14:textId="4B3DA81C" w:rsidR="00EB446E" w:rsidRDefault="003E2453" w:rsidP="00BA309A">
      <w:r w:rsidRPr="004221C1">
        <w:t xml:space="preserve">The </w:t>
      </w:r>
      <w:r w:rsidR="000C3C58">
        <w:t>Employment Assistance Fund (</w:t>
      </w:r>
      <w:r w:rsidRPr="004221C1">
        <w:t>EAF</w:t>
      </w:r>
      <w:r w:rsidR="000C3C58">
        <w:t>)</w:t>
      </w:r>
      <w:r w:rsidRPr="004221C1">
        <w:t xml:space="preserve"> provides reimbursements for </w:t>
      </w:r>
      <w:r w:rsidR="000F48B7">
        <w:t>pre-</w:t>
      </w:r>
      <w:r w:rsidR="009273F3">
        <w:t xml:space="preserve">approved </w:t>
      </w:r>
      <w:r w:rsidRPr="004221C1">
        <w:t xml:space="preserve">reasonable workplace modifications, equipment and services necessary for a person with disability to perform their employment duties. The EAF is </w:t>
      </w:r>
      <w:r w:rsidR="00DD6212">
        <w:t xml:space="preserve">delivered through the </w:t>
      </w:r>
      <w:r w:rsidRPr="004221C1">
        <w:t xml:space="preserve">JobAccess </w:t>
      </w:r>
      <w:r w:rsidR="00DD6212">
        <w:t xml:space="preserve">provider </w:t>
      </w:r>
      <w:r w:rsidRPr="004221C1">
        <w:t>on behalf of the Department</w:t>
      </w:r>
      <w:r w:rsidR="00EB446E">
        <w:t>. JobAccess</w:t>
      </w:r>
      <w:r w:rsidRPr="004221C1">
        <w:t xml:space="preserve"> also provides an information and advice service to help employers and people with a disability find or maintain employment.</w:t>
      </w:r>
    </w:p>
    <w:p w14:paraId="7D0C4B50" w14:textId="31D065D4" w:rsidR="003F0394" w:rsidRPr="00C07A69" w:rsidRDefault="003F0394" w:rsidP="00BA309A">
      <w:pPr>
        <w:rPr>
          <w:rFonts w:cstheme="minorHAnsi"/>
          <w:color w:val="000000" w:themeColor="text1"/>
        </w:rPr>
      </w:pPr>
      <w:r w:rsidRPr="00C07A69">
        <w:rPr>
          <w:rFonts w:cstheme="minorHAnsi"/>
          <w:color w:val="000000" w:themeColor="text1"/>
        </w:rPr>
        <w:t xml:space="preserve">Employers have obligations under the </w:t>
      </w:r>
      <w:r w:rsidRPr="00C07A69">
        <w:rPr>
          <w:rFonts w:cstheme="minorHAnsi"/>
          <w:i/>
          <w:color w:val="000000" w:themeColor="text1"/>
        </w:rPr>
        <w:t>Disability Discrimination Act 1992</w:t>
      </w:r>
      <w:r w:rsidR="00FF07BB">
        <w:rPr>
          <w:rFonts w:cstheme="minorHAnsi"/>
          <w:i/>
          <w:color w:val="000000" w:themeColor="text1"/>
        </w:rPr>
        <w:t xml:space="preserve"> </w:t>
      </w:r>
      <w:r w:rsidR="00BA309A">
        <w:rPr>
          <w:rFonts w:cstheme="minorHAnsi"/>
          <w:iCs/>
          <w:color w:val="000000" w:themeColor="text1"/>
        </w:rPr>
        <w:t xml:space="preserve">(Cth) </w:t>
      </w:r>
      <w:r w:rsidRPr="00C07A69">
        <w:rPr>
          <w:rFonts w:cstheme="minorHAnsi"/>
          <w:color w:val="000000" w:themeColor="text1"/>
        </w:rPr>
        <w:t xml:space="preserve">to make reasonable adjustments in work arrangements for their employees with disability, to ensure they have equal opportunities in the workplace. </w:t>
      </w:r>
    </w:p>
    <w:p w14:paraId="63CB7D2C" w14:textId="1D55E7C1" w:rsidR="00D74559" w:rsidRDefault="00BF10ED" w:rsidP="00BA309A">
      <w:r>
        <w:t xml:space="preserve">The EAF is available to a person with disability </w:t>
      </w:r>
      <w:r w:rsidR="00661754">
        <w:t>who meets the eligibility criteria</w:t>
      </w:r>
      <w:r>
        <w:t xml:space="preserve">. </w:t>
      </w:r>
      <w:r w:rsidR="00D74559" w:rsidDel="00AD36E5">
        <w:t>Provider</w:t>
      </w:r>
      <w:r w:rsidR="00D74559">
        <w:t xml:space="preserve">s can help eligible Participants and </w:t>
      </w:r>
      <w:r w:rsidR="005C2AB2">
        <w:t xml:space="preserve">their </w:t>
      </w:r>
      <w:r w:rsidR="00D74559">
        <w:t xml:space="preserve">Employers to access the EAF, where </w:t>
      </w:r>
      <w:r w:rsidR="00230001">
        <w:t xml:space="preserve">a </w:t>
      </w:r>
      <w:r w:rsidR="00D74559">
        <w:t>need</w:t>
      </w:r>
      <w:r w:rsidR="00230001">
        <w:t xml:space="preserve"> is identified</w:t>
      </w:r>
      <w:r w:rsidR="00D74559">
        <w:t xml:space="preserve">. </w:t>
      </w:r>
    </w:p>
    <w:p w14:paraId="61C024C6" w14:textId="7DC7876B" w:rsidR="005529C5" w:rsidRDefault="005529C5" w:rsidP="00BA309A">
      <w:r w:rsidRPr="534D8722">
        <w:t xml:space="preserve">Access to information about the EAF can be found on the </w:t>
      </w:r>
      <w:hyperlink r:id="rId75" w:history="1">
        <w:r w:rsidRPr="00553A86">
          <w:rPr>
            <w:rStyle w:val="Hyperlink"/>
          </w:rPr>
          <w:t>JobAccess website</w:t>
        </w:r>
      </w:hyperlink>
      <w:r>
        <w:t>.</w:t>
      </w:r>
    </w:p>
    <w:p w14:paraId="108DE684" w14:textId="77777777" w:rsidR="00D74559" w:rsidRDefault="00D74559" w:rsidP="00BA309A">
      <w:r>
        <w:t>Providers can request support for Participants who:</w:t>
      </w:r>
    </w:p>
    <w:p w14:paraId="2ED10E27" w14:textId="672597C0" w:rsidR="00D74559" w:rsidRDefault="00D74559" w:rsidP="004E120D">
      <w:pPr>
        <w:pStyle w:val="BulletLevel1"/>
      </w:pPr>
      <w:r w:rsidRPr="6E68D962">
        <w:t xml:space="preserve">have been offered, or are working, </w:t>
      </w:r>
      <w:r w:rsidR="00974BC4">
        <w:t xml:space="preserve">in </w:t>
      </w:r>
      <w:r w:rsidR="008330EC">
        <w:t>E</w:t>
      </w:r>
      <w:r w:rsidRPr="6E68D962">
        <w:t xml:space="preserve">mployment of at least 8 hours per week for at least </w:t>
      </w:r>
      <w:r w:rsidR="00E01EF2" w:rsidRPr="6E68D962">
        <w:t>1</w:t>
      </w:r>
      <w:r w:rsidR="00E01EF2">
        <w:t>3 </w:t>
      </w:r>
      <w:r w:rsidRPr="6E68D962">
        <w:t>weeks</w:t>
      </w:r>
      <w:r w:rsidR="00693167">
        <w:t>, and/or</w:t>
      </w:r>
    </w:p>
    <w:p w14:paraId="2518AA7D" w14:textId="77777777" w:rsidR="00D74559" w:rsidRDefault="00D74559" w:rsidP="004E120D">
      <w:pPr>
        <w:pStyle w:val="BulletLevel1"/>
      </w:pPr>
      <w:r w:rsidRPr="6E68D962">
        <w:t xml:space="preserve">need work-related assistive technology, special work equipment or Auslan interpreting. </w:t>
      </w:r>
    </w:p>
    <w:p w14:paraId="3E6EFDF4" w14:textId="77777777" w:rsidR="00981BEE" w:rsidRDefault="00981BEE" w:rsidP="00981BEE">
      <w:r>
        <w:t>The EAF can be used to help with the cost of:</w:t>
      </w:r>
    </w:p>
    <w:p w14:paraId="43113FEC" w14:textId="77777777" w:rsidR="00981BEE" w:rsidRDefault="00981BEE" w:rsidP="00981BEE">
      <w:pPr>
        <w:pStyle w:val="BulletLevel1"/>
      </w:pPr>
      <w:r>
        <w:t>computer software and software upgrades</w:t>
      </w:r>
    </w:p>
    <w:p w14:paraId="07CE291D" w14:textId="77777777" w:rsidR="00981BEE" w:rsidRDefault="00981BEE" w:rsidP="00981BEE">
      <w:pPr>
        <w:pStyle w:val="BulletLevel1"/>
      </w:pPr>
      <w:r>
        <w:t>modifications to work vehicles</w:t>
      </w:r>
    </w:p>
    <w:p w14:paraId="0B0BF1FD" w14:textId="77777777" w:rsidR="00981BEE" w:rsidRDefault="00981BEE" w:rsidP="00981BEE">
      <w:pPr>
        <w:pStyle w:val="BulletLevel1"/>
      </w:pPr>
      <w:r>
        <w:t>communication and assistive technology devices</w:t>
      </w:r>
    </w:p>
    <w:p w14:paraId="644F3014" w14:textId="77777777" w:rsidR="00981BEE" w:rsidRDefault="00981BEE" w:rsidP="00981BEE">
      <w:pPr>
        <w:pStyle w:val="BulletLevel1"/>
      </w:pPr>
      <w:r>
        <w:t>items of work equipment, or modifications to existing work equipment</w:t>
      </w:r>
    </w:p>
    <w:p w14:paraId="4CF45FCF" w14:textId="77777777" w:rsidR="00981BEE" w:rsidRDefault="00981BEE" w:rsidP="00981BEE">
      <w:pPr>
        <w:pStyle w:val="BulletLevel1"/>
      </w:pPr>
      <w:r>
        <w:t>building modifications</w:t>
      </w:r>
    </w:p>
    <w:p w14:paraId="560C5B4B" w14:textId="77777777" w:rsidR="00981BEE" w:rsidRDefault="00981BEE" w:rsidP="00981BEE">
      <w:pPr>
        <w:pStyle w:val="BulletLevel1"/>
      </w:pPr>
      <w:r w:rsidRPr="6E68D962">
        <w:t xml:space="preserve">Auslan interpreting services (not available for </w:t>
      </w:r>
      <w:r>
        <w:t>A</w:t>
      </w:r>
      <w:r w:rsidRPr="6E68D962">
        <w:t>ppointments with the Provider)</w:t>
      </w:r>
    </w:p>
    <w:p w14:paraId="331736F2" w14:textId="77777777" w:rsidR="00981BEE" w:rsidRDefault="00981BEE" w:rsidP="00981BEE">
      <w:pPr>
        <w:pStyle w:val="BulletLevel1"/>
      </w:pPr>
      <w:r>
        <w:t>assistance to help a person with disability learn to use specific modifications or equipment</w:t>
      </w:r>
    </w:p>
    <w:p w14:paraId="1CA3AE91" w14:textId="77777777" w:rsidR="00981BEE" w:rsidRDefault="00981BEE" w:rsidP="00981BEE">
      <w:pPr>
        <w:pStyle w:val="BulletLevel1"/>
      </w:pPr>
      <w:r>
        <w:t>specialised support and training packages for people with mental health conditions or specific learning disorders, and</w:t>
      </w:r>
    </w:p>
    <w:p w14:paraId="4E6CC38C" w14:textId="77777777" w:rsidR="00981BEE" w:rsidRDefault="00981BEE" w:rsidP="00981BEE">
      <w:pPr>
        <w:pStyle w:val="BulletLevel1"/>
      </w:pPr>
      <w:r>
        <w:t>disability awareness training for the workplace (including deafness awareness training and mental health awareness training.</w:t>
      </w:r>
    </w:p>
    <w:p w14:paraId="3E51395A" w14:textId="5E299A52" w:rsidR="00D74559" w:rsidRDefault="00D74559" w:rsidP="006E2EF5">
      <w:r>
        <w:t>Providers can seek EAF help by:</w:t>
      </w:r>
    </w:p>
    <w:p w14:paraId="4D121786" w14:textId="0DAE0CFE" w:rsidR="00D74559" w:rsidRPr="003942C3" w:rsidRDefault="00D74559" w:rsidP="004E120D">
      <w:pPr>
        <w:pStyle w:val="BulletLevel1"/>
      </w:pPr>
      <w:r>
        <w:t xml:space="preserve">confirming the Participant meets the eligibility requirements </w:t>
      </w:r>
    </w:p>
    <w:p w14:paraId="5FBCEEF2" w14:textId="4F8F061C" w:rsidR="00D74559" w:rsidRDefault="00D74559" w:rsidP="00467EA7">
      <w:pPr>
        <w:pStyle w:val="BulletLevel1"/>
      </w:pPr>
      <w:r>
        <w:t>collecting the Documentary Evidence required, and</w:t>
      </w:r>
    </w:p>
    <w:p w14:paraId="6E279DB7" w14:textId="77777777" w:rsidR="00D74559" w:rsidRDefault="00D74559" w:rsidP="004E120D">
      <w:pPr>
        <w:pStyle w:val="BulletLevel1"/>
      </w:pPr>
      <w:r w:rsidRPr="6E68D962">
        <w:t>completing the EAF application on JobAccess Secure</w:t>
      </w:r>
      <w:r>
        <w:t>.</w:t>
      </w:r>
    </w:p>
    <w:p w14:paraId="1B64FB94" w14:textId="77777777" w:rsidR="00CA245F" w:rsidRDefault="00CA245F" w:rsidP="00CA245F">
      <w:r>
        <w:t>Providers will be advised whether or not the EAF application has been approved.</w:t>
      </w:r>
    </w:p>
    <w:p w14:paraId="57910FF1" w14:textId="77777777" w:rsidR="00D74559" w:rsidRDefault="00D74559" w:rsidP="00BB4FF9">
      <w:r>
        <w:t>If the EAF application is approved, the Provider:</w:t>
      </w:r>
    </w:p>
    <w:p w14:paraId="731D7135" w14:textId="6174B516" w:rsidR="00D74559" w:rsidRDefault="00D74559" w:rsidP="004E120D">
      <w:pPr>
        <w:pStyle w:val="BulletLevel1"/>
      </w:pPr>
      <w:r>
        <w:t xml:space="preserve">must create an EAF application file to hold all relevant </w:t>
      </w:r>
      <w:r w:rsidR="00451765">
        <w:t>D</w:t>
      </w:r>
      <w:r>
        <w:t>ocumenta</w:t>
      </w:r>
      <w:r w:rsidR="00451765">
        <w:t>ry Evidence</w:t>
      </w:r>
    </w:p>
    <w:p w14:paraId="4B8CEFB2" w14:textId="77777777" w:rsidR="00D74559" w:rsidRDefault="00D74559" w:rsidP="004E120D">
      <w:pPr>
        <w:pStyle w:val="BulletLevel1"/>
      </w:pPr>
      <w:r>
        <w:t>can buy the approved EAF help, and</w:t>
      </w:r>
    </w:p>
    <w:p w14:paraId="78D459CD" w14:textId="2DE5DBD6" w:rsidR="00D74559" w:rsidRDefault="00D74559" w:rsidP="004E120D">
      <w:pPr>
        <w:pStyle w:val="BulletLevel1"/>
      </w:pPr>
      <w:r>
        <w:t xml:space="preserve">can claim </w:t>
      </w:r>
      <w:r w:rsidR="00CD32ED">
        <w:t>R</w:t>
      </w:r>
      <w:r>
        <w:t xml:space="preserve">eimbursement of EAF expenses through the Department’s IT </w:t>
      </w:r>
      <w:r w:rsidR="001965A4">
        <w:t>S</w:t>
      </w:r>
      <w:r>
        <w:t>ystem</w:t>
      </w:r>
      <w:r w:rsidR="5A4F5F19">
        <w:t>s</w:t>
      </w:r>
      <w:r>
        <w:t>.</w:t>
      </w:r>
    </w:p>
    <w:p w14:paraId="4F57643B" w14:textId="0AACF3CE" w:rsidR="001965A4" w:rsidRDefault="001965A4" w:rsidP="001965A4">
      <w:r>
        <w:t xml:space="preserve">Providers must refer to the </w:t>
      </w:r>
      <w:hyperlink r:id="rId76" w:history="1">
        <w:r w:rsidRPr="005C6DAA">
          <w:rPr>
            <w:rStyle w:val="Hyperlink"/>
          </w:rPr>
          <w:t>Employment Assistance Fund Guidelines</w:t>
        </w:r>
      </w:hyperlink>
      <w:r>
        <w:t xml:space="preserve"> for details on eligibility for EAF, the EAF application process and claiming Reimbursement of approved EAF expenses.</w:t>
      </w:r>
    </w:p>
    <w:p w14:paraId="0585FB06" w14:textId="77777777" w:rsidR="00D74559" w:rsidRPr="00E37CED" w:rsidRDefault="00D74559" w:rsidP="00CA245F">
      <w:pPr>
        <w:pStyle w:val="DocumentaryEvidenceRequirement"/>
        <w:keepNext/>
      </w:pPr>
      <w:r w:rsidRPr="00E37CED">
        <w:t>The EAF application file must hold:</w:t>
      </w:r>
    </w:p>
    <w:p w14:paraId="76C9C3AB" w14:textId="4E396DFC" w:rsidR="00D74559" w:rsidRDefault="0088013E" w:rsidP="00CA245F">
      <w:pPr>
        <w:pStyle w:val="BulletLevel2"/>
        <w:keepNext/>
      </w:pPr>
      <w:r>
        <w:t xml:space="preserve">a </w:t>
      </w:r>
      <w:r w:rsidR="00D74559">
        <w:t>copy of the completed EAF application</w:t>
      </w:r>
    </w:p>
    <w:p w14:paraId="3564796C" w14:textId="50737430" w:rsidR="00D74559" w:rsidRDefault="00D74559" w:rsidP="004E120D">
      <w:pPr>
        <w:pStyle w:val="BulletLevel2"/>
      </w:pPr>
      <w:r>
        <w:t>quotations obtained, and any technical or descriptive information on items requested</w:t>
      </w:r>
    </w:p>
    <w:p w14:paraId="6A92F947" w14:textId="77777777" w:rsidR="00D74559" w:rsidRDefault="00D74559" w:rsidP="004E120D">
      <w:pPr>
        <w:pStyle w:val="BulletLevel2"/>
      </w:pPr>
      <w:r>
        <w:t>evidence of expenditure, supplier receipts and Tax Invoices</w:t>
      </w:r>
    </w:p>
    <w:p w14:paraId="2371F8DA" w14:textId="77777777" w:rsidR="00D74559" w:rsidRDefault="00D74559" w:rsidP="004E120D">
      <w:pPr>
        <w:pStyle w:val="BulletLevel2"/>
      </w:pPr>
      <w:r>
        <w:t>a declaration from the Participant or Provider that help has been provided</w:t>
      </w:r>
    </w:p>
    <w:p w14:paraId="666497CA" w14:textId="77777777" w:rsidR="00D74559" w:rsidRDefault="00D74559" w:rsidP="004E120D">
      <w:pPr>
        <w:pStyle w:val="BulletLevel2"/>
      </w:pPr>
      <w:r>
        <w:t>any completed 13-week Post Implementation EAF Outcomes Survey, and</w:t>
      </w:r>
    </w:p>
    <w:p w14:paraId="3C1FFCFF" w14:textId="2C1F0511" w:rsidR="00D74559" w:rsidRDefault="00D74559" w:rsidP="004E120D">
      <w:pPr>
        <w:pStyle w:val="BulletLevel2"/>
      </w:pPr>
      <w:r w:rsidRPr="6E68D962">
        <w:t>written agreement of affected parties</w:t>
      </w:r>
      <w:r w:rsidR="00256D6A">
        <w:t>’</w:t>
      </w:r>
      <w:r w:rsidRPr="6E68D962">
        <w:t xml:space="preserve"> ownership of any workplace modification</w:t>
      </w:r>
      <w:r>
        <w:t>.</w:t>
      </w:r>
    </w:p>
    <w:p w14:paraId="32398998" w14:textId="5061215E" w:rsidR="00D74559" w:rsidRPr="00E37CED" w:rsidRDefault="00D74559" w:rsidP="006F727E">
      <w:pPr>
        <w:pStyle w:val="SystemStep"/>
      </w:pPr>
      <w:r w:rsidRPr="00E37CED">
        <w:t xml:space="preserve">To claim </w:t>
      </w:r>
      <w:r w:rsidR="00C27771">
        <w:t>R</w:t>
      </w:r>
      <w:r w:rsidRPr="00E37CED">
        <w:t>eimbursement of approved EAF expenses, Providers must undertake the following steps in the Department’s IT Systems.</w:t>
      </w:r>
    </w:p>
    <w:p w14:paraId="3BDD8D87" w14:textId="4C0F9310" w:rsidR="00D74559" w:rsidRDefault="000B1C45" w:rsidP="004E120D">
      <w:pPr>
        <w:pStyle w:val="BulletLevel2"/>
      </w:pPr>
      <w:r>
        <w:t>[RESERVED]</w:t>
      </w:r>
    </w:p>
    <w:p w14:paraId="2A6F76A2" w14:textId="2FD9F01B" w:rsidR="00D74559" w:rsidRPr="00BA23D8" w:rsidRDefault="00D74559" w:rsidP="000335E0">
      <w:pPr>
        <w:pStyle w:val="Heading2"/>
      </w:pPr>
      <w:bookmarkStart w:id="419" w:name="_Ref202780074"/>
      <w:bookmarkStart w:id="420" w:name="_Toc202900060"/>
      <w:r w:rsidRPr="00BA23D8">
        <w:t>Chapter 10</w:t>
      </w:r>
      <w:r w:rsidR="00A61FB9">
        <w:t>:</w:t>
      </w:r>
      <w:r w:rsidR="00807498">
        <w:tab/>
      </w:r>
      <w:r w:rsidRPr="00BA23D8">
        <w:t>Ongoing Support</w:t>
      </w:r>
      <w:bookmarkEnd w:id="419"/>
      <w:bookmarkEnd w:id="420"/>
    </w:p>
    <w:p w14:paraId="1126F04F" w14:textId="77777777" w:rsidR="00D74559" w:rsidRPr="00807498" w:rsidRDefault="00D74559" w:rsidP="001D0F92">
      <w:pPr>
        <w:pStyle w:val="Heading-SupportingDocuments"/>
        <w:rPr>
          <w:rStyle w:val="Emphasis"/>
          <w:b/>
          <w:bCs w:val="0"/>
          <w:iCs w:val="0"/>
          <w:spacing w:val="3"/>
        </w:rPr>
      </w:pPr>
      <w:r w:rsidRPr="00807498">
        <w:rPr>
          <w:rStyle w:val="Emphasis"/>
          <w:b/>
          <w:iCs w:val="0"/>
          <w:spacing w:val="3"/>
        </w:rPr>
        <w:t>Supporting Documents for this Chapter</w:t>
      </w:r>
    </w:p>
    <w:p w14:paraId="1DDDB6CE" w14:textId="7F1D298B" w:rsidR="00D74559" w:rsidRDefault="00D74559" w:rsidP="00620350">
      <w:pPr>
        <w:pStyle w:val="Bullet-SupportingDocument"/>
        <w:rPr>
          <w:rStyle w:val="Hyperlink"/>
        </w:rPr>
      </w:pPr>
      <w:r w:rsidRPr="62EC0267">
        <w:rPr>
          <w:rStyle w:val="Hyperlink"/>
        </w:rPr>
        <w:t xml:space="preserve">Ongoing Support </w:t>
      </w:r>
      <w:r w:rsidR="00FE2A67">
        <w:rPr>
          <w:rStyle w:val="Hyperlink"/>
        </w:rPr>
        <w:t>r</w:t>
      </w:r>
      <w:r w:rsidRPr="62EC0267">
        <w:rPr>
          <w:rStyle w:val="Hyperlink"/>
        </w:rPr>
        <w:t>equired to keep and support Open Employment</w:t>
      </w:r>
      <w:r w:rsidR="001469AC">
        <w:rPr>
          <w:rStyle w:val="Hyperlink"/>
        </w:rPr>
        <w:t xml:space="preserve"> [LINK]</w:t>
      </w:r>
    </w:p>
    <w:p w14:paraId="5DBAC7D6" w14:textId="296EAE8A" w:rsidR="00D74559" w:rsidRPr="00E85864" w:rsidRDefault="00D74559" w:rsidP="00620350">
      <w:pPr>
        <w:pStyle w:val="Bullet-SupportingDocument"/>
        <w:rPr>
          <w:rStyle w:val="Hyperlink"/>
        </w:rPr>
      </w:pPr>
      <w:r w:rsidRPr="62EC0267">
        <w:rPr>
          <w:rStyle w:val="Hyperlink"/>
        </w:rPr>
        <w:t>Purchased help and consideration of hours of Ongoing Support</w:t>
      </w:r>
      <w:r w:rsidR="001469AC">
        <w:rPr>
          <w:rStyle w:val="Hyperlink"/>
        </w:rPr>
        <w:t xml:space="preserve"> [LINK]</w:t>
      </w:r>
    </w:p>
    <w:p w14:paraId="61915620" w14:textId="7F6D031A" w:rsidR="00D74559" w:rsidRPr="0078540B" w:rsidRDefault="00D74559" w:rsidP="00620350">
      <w:pPr>
        <w:pStyle w:val="Bullet-SupportingDocument"/>
        <w:rPr>
          <w:rStyle w:val="Hyperlink"/>
        </w:rPr>
      </w:pPr>
      <w:r w:rsidRPr="0078540B">
        <w:rPr>
          <w:rStyle w:val="Hyperlink"/>
        </w:rPr>
        <w:t>Modes of Contact for Ongoing Support – Provider Fact Sheet</w:t>
      </w:r>
      <w:r w:rsidR="001469AC">
        <w:rPr>
          <w:rStyle w:val="Hyperlink"/>
        </w:rPr>
        <w:t xml:space="preserve"> [LINK]</w:t>
      </w:r>
    </w:p>
    <w:p w14:paraId="1FA1ED5B" w14:textId="14013BD8" w:rsidR="00D74559" w:rsidRPr="0078540B" w:rsidRDefault="00D74559" w:rsidP="00620350">
      <w:pPr>
        <w:pStyle w:val="Bullet-SupportingDocument"/>
        <w:rPr>
          <w:rStyle w:val="Hyperlink"/>
        </w:rPr>
      </w:pPr>
      <w:r w:rsidRPr="0078540B">
        <w:rPr>
          <w:rStyle w:val="Hyperlink"/>
        </w:rPr>
        <w:t>Ongoing Support Assessments – Provider Fact Sheet</w:t>
      </w:r>
      <w:r w:rsidR="001469AC">
        <w:rPr>
          <w:rStyle w:val="Hyperlink"/>
        </w:rPr>
        <w:t xml:space="preserve"> [LINK]</w:t>
      </w:r>
    </w:p>
    <w:p w14:paraId="15F699E1" w14:textId="341EB5E3" w:rsidR="00D74559" w:rsidRDefault="00D74559" w:rsidP="001D0F92">
      <w:pPr>
        <w:pStyle w:val="Heading3"/>
        <w:rPr>
          <w:rFonts w:ascii="Tahoma" w:eastAsia="Tahoma" w:hAnsi="Tahoma" w:cs="Tahoma"/>
          <w:color w:val="00838A" w:themeColor="accent2" w:themeShade="BF"/>
        </w:rPr>
      </w:pPr>
      <w:bookmarkStart w:id="421" w:name="_Toc202900061"/>
      <w:r>
        <w:t>10.1</w:t>
      </w:r>
      <w:r w:rsidR="00807498">
        <w:tab/>
      </w:r>
      <w:r>
        <w:t>Chapter Overview</w:t>
      </w:r>
      <w:bookmarkEnd w:id="421"/>
    </w:p>
    <w:p w14:paraId="3079FFB1" w14:textId="636171A3" w:rsidR="00D74559" w:rsidRPr="00FB7CD7" w:rsidRDefault="00D74559" w:rsidP="006E751C">
      <w:r w:rsidRPr="0114377B">
        <w:t xml:space="preserve">Ongoing Support is available to employees with disability, injury or a health condition who require support to maintain their </w:t>
      </w:r>
      <w:r w:rsidR="008330EC">
        <w:t>E</w:t>
      </w:r>
      <w:r w:rsidRPr="0114377B">
        <w:t>mployment. Providers deliver continuing, tailored support to Participants, with the aim of building Participants</w:t>
      </w:r>
      <w:r w:rsidR="005C6349">
        <w:t>’</w:t>
      </w:r>
      <w:r w:rsidRPr="0114377B">
        <w:t xml:space="preserve"> and Employers</w:t>
      </w:r>
      <w:r w:rsidR="005C6349">
        <w:t>’</w:t>
      </w:r>
      <w:r w:rsidRPr="0114377B">
        <w:t xml:space="preserve"> capability to manage disability</w:t>
      </w:r>
      <w:r w:rsidR="00497AC7">
        <w:t>-</w:t>
      </w:r>
      <w:r w:rsidRPr="0114377B">
        <w:t xml:space="preserve">related barriers in the workplace and building each Participant’s capacity to work independently. </w:t>
      </w:r>
    </w:p>
    <w:p w14:paraId="5352F08F" w14:textId="7B408E05" w:rsidR="00D74559" w:rsidRPr="006E751C" w:rsidRDefault="00D74559" w:rsidP="006E751C">
      <w:r>
        <w:t xml:space="preserve">Ongoing Support is available </w:t>
      </w:r>
      <w:r w:rsidR="000018A3">
        <w:t>as part of the</w:t>
      </w:r>
      <w:r>
        <w:t xml:space="preserve"> In-Employment Support phase of </w:t>
      </w:r>
      <w:r w:rsidR="00353F8E">
        <w:t xml:space="preserve">Inclusive Employment </w:t>
      </w:r>
      <w:r w:rsidR="00353F8E" w:rsidRPr="006E751C">
        <w:t>Australia</w:t>
      </w:r>
      <w:r w:rsidR="001B041E" w:rsidRPr="006E751C">
        <w:t>. Entry into Ongoing Support is available to</w:t>
      </w:r>
      <w:r w:rsidRPr="006E751C">
        <w:t>:</w:t>
      </w:r>
    </w:p>
    <w:p w14:paraId="2FE36DD3" w14:textId="2761187A" w:rsidR="00D74559" w:rsidRDefault="00D1335E" w:rsidP="004E120D">
      <w:pPr>
        <w:pStyle w:val="BulletLevel1"/>
      </w:pPr>
      <w:r>
        <w:t xml:space="preserve">eligible </w:t>
      </w:r>
      <w:r w:rsidR="00D74559">
        <w:t xml:space="preserve">Participants receiving Post Placement Support from the time they achieve a 26-week Employment Outcome </w:t>
      </w:r>
      <w:r w:rsidR="00D74559" w:rsidDel="00E928DD">
        <w:t>until they achieve a 52-week Employment Outcome</w:t>
      </w:r>
      <w:r w:rsidR="53CB8BEF">
        <w:t>,</w:t>
      </w:r>
      <w:r w:rsidR="001D5569">
        <w:t xml:space="preserve"> </w:t>
      </w:r>
      <w:r w:rsidR="00D74559">
        <w:t xml:space="preserve">and who need Ongoing Support to keep their </w:t>
      </w:r>
      <w:r w:rsidR="008F2E95">
        <w:t>E</w:t>
      </w:r>
      <w:r w:rsidR="00D74559">
        <w:t>mployment, and</w:t>
      </w:r>
    </w:p>
    <w:p w14:paraId="42F90341" w14:textId="0AA988FC" w:rsidR="00D74559" w:rsidRDefault="00D74559" w:rsidP="004E120D">
      <w:pPr>
        <w:pStyle w:val="BulletLevel1"/>
      </w:pPr>
      <w:r>
        <w:t xml:space="preserve">employees already in Employment who access </w:t>
      </w:r>
      <w:r w:rsidR="00353F8E">
        <w:t>Inclusive Employment Australia</w:t>
      </w:r>
      <w:r>
        <w:t xml:space="preserve"> as an eligible Ongoing Support (Work Assist) Participant because they are having difficulty performing the essential functions of their job due to their disability, injury or health condition.</w:t>
      </w:r>
    </w:p>
    <w:p w14:paraId="4D3196EE" w14:textId="0FDCACAA" w:rsidR="00011B37" w:rsidRDefault="00011B37" w:rsidP="006E751C">
      <w:r w:rsidRPr="00011B37">
        <w:t>Initially, a Participant's need for and Level of Ongoing Support is identified by the Provider. An independent Ongoing Support Assessment (OSA) is then conducted by a National Panel of Assessors (NPA) provider</w:t>
      </w:r>
      <w:r w:rsidR="008B6FED">
        <w:t xml:space="preserve">. The </w:t>
      </w:r>
      <w:r w:rsidR="00B55880">
        <w:t>OSA</w:t>
      </w:r>
      <w:r w:rsidR="008B6FED">
        <w:t xml:space="preserve"> will</w:t>
      </w:r>
      <w:r w:rsidRPr="00011B37">
        <w:t xml:space="preserve"> confirm </w:t>
      </w:r>
      <w:r w:rsidR="004645B3">
        <w:t xml:space="preserve">that </w:t>
      </w:r>
      <w:r w:rsidRPr="00011B37">
        <w:t xml:space="preserve">Ongoing Support </w:t>
      </w:r>
      <w:r w:rsidR="004645B3">
        <w:t xml:space="preserve">is </w:t>
      </w:r>
      <w:r w:rsidR="0081507B">
        <w:t>needed</w:t>
      </w:r>
      <w:r w:rsidR="004645B3">
        <w:t xml:space="preserve"> or recommend that it is not </w:t>
      </w:r>
      <w:r w:rsidR="0081507B">
        <w:t>needed</w:t>
      </w:r>
      <w:r w:rsidRPr="00011B37">
        <w:t xml:space="preserve">. OSAs </w:t>
      </w:r>
      <w:r w:rsidR="00E42695">
        <w:t xml:space="preserve">that recommend Ongoing Support is </w:t>
      </w:r>
      <w:r w:rsidR="0081507B">
        <w:t>needed</w:t>
      </w:r>
      <w:r w:rsidRPr="00011B37">
        <w:t xml:space="preserve"> remain current for a set period (either 1, 2 or 5-years) based on the circumstances of the individual Participant</w:t>
      </w:r>
      <w:r w:rsidR="00B55880">
        <w:t>,</w:t>
      </w:r>
      <w:r w:rsidRPr="00011B37">
        <w:t xml:space="preserve"> and must be reviewed to allow the Participant to continue receiving Ongoing Support.</w:t>
      </w:r>
    </w:p>
    <w:p w14:paraId="0160C2AB" w14:textId="6F74829A" w:rsidR="00631D13" w:rsidRDefault="00EB4911" w:rsidP="006E751C">
      <w:r>
        <w:t xml:space="preserve">Ongoing Support may continue </w:t>
      </w:r>
      <w:r w:rsidR="006B4C5F">
        <w:t>for</w:t>
      </w:r>
      <w:r w:rsidR="00C62309">
        <w:t xml:space="preserve"> eligible Particip</w:t>
      </w:r>
      <w:r w:rsidR="006B4C5F">
        <w:t>ants</w:t>
      </w:r>
      <w:r w:rsidR="00C62309">
        <w:t xml:space="preserve"> for as long as it is required</w:t>
      </w:r>
      <w:r w:rsidR="00EE4C2F">
        <w:t xml:space="preserve"> to help them keep their </w:t>
      </w:r>
      <w:r w:rsidR="00292E95">
        <w:t>E</w:t>
      </w:r>
      <w:r w:rsidR="00EE4C2F">
        <w:t xml:space="preserve">mployment, or until </w:t>
      </w:r>
      <w:r w:rsidR="000C2F28">
        <w:t>a</w:t>
      </w:r>
      <w:r w:rsidR="00391ABA">
        <w:t>n eligib</w:t>
      </w:r>
      <w:r w:rsidR="000A0965">
        <w:t>le</w:t>
      </w:r>
      <w:r w:rsidR="00EE4C2F">
        <w:t xml:space="preserve"> Particip</w:t>
      </w:r>
      <w:r w:rsidR="00631D13">
        <w:t>ant</w:t>
      </w:r>
      <w:r w:rsidR="00EE4C2F">
        <w:t xml:space="preserve"> no longer wishes to receive Ongoing S</w:t>
      </w:r>
      <w:r w:rsidR="00631D13">
        <w:t>upport.</w:t>
      </w:r>
      <w:r w:rsidR="00011B37">
        <w:t xml:space="preserve"> This is subject to the Participant having a current</w:t>
      </w:r>
      <w:r w:rsidR="00E6182D">
        <w:t xml:space="preserve"> OSA that recommends they require Ongoing Support</w:t>
      </w:r>
      <w:r w:rsidR="00011B37">
        <w:t>. Other requirements the Participant must meet to remain eligible for Ongoing Support are outlined in</w:t>
      </w:r>
      <w:r w:rsidR="006E751C">
        <w:t xml:space="preserve"> </w:t>
      </w:r>
      <w:r w:rsidR="006E751C">
        <w:fldChar w:fldCharType="begin"/>
      </w:r>
      <w:r w:rsidR="006E751C">
        <w:instrText xml:space="preserve"> REF _Ref202780305 \h </w:instrText>
      </w:r>
      <w:r w:rsidR="006E751C">
        <w:fldChar w:fldCharType="separate"/>
      </w:r>
      <w:r w:rsidR="000D75AE">
        <w:t>10.7</w:t>
      </w:r>
      <w:r w:rsidR="004572F7">
        <w:t xml:space="preserve"> </w:t>
      </w:r>
      <w:r w:rsidR="000D75AE">
        <w:t>When Ongoing Support can be provided</w:t>
      </w:r>
      <w:r w:rsidR="006E751C">
        <w:fldChar w:fldCharType="end"/>
      </w:r>
      <w:r w:rsidR="00011B37">
        <w:t>.</w:t>
      </w:r>
    </w:p>
    <w:p w14:paraId="00A3BFE6" w14:textId="108C537F" w:rsidR="00A931C0" w:rsidRDefault="00D74559" w:rsidP="006E751C">
      <w:r w:rsidRPr="0114377B">
        <w:t>This Chapter outlines the Provider’s responsibilities to</w:t>
      </w:r>
      <w:r w:rsidR="00A931C0">
        <w:t xml:space="preserve"> in relation to Ongoing Support. This includes:</w:t>
      </w:r>
    </w:p>
    <w:p w14:paraId="1DB4437E" w14:textId="77777777" w:rsidR="00A931C0" w:rsidRDefault="00BE2525" w:rsidP="00A931C0">
      <w:pPr>
        <w:pStyle w:val="BulletLevel1"/>
      </w:pPr>
      <w:r>
        <w:t>identify</w:t>
      </w:r>
      <w:r w:rsidR="00A931C0">
        <w:t>ing</w:t>
      </w:r>
      <w:r w:rsidRPr="0114377B">
        <w:t xml:space="preserve"> </w:t>
      </w:r>
      <w:r w:rsidR="00D74559" w:rsidRPr="0114377B">
        <w:t>a Participant’s need for Ongoing Support</w:t>
      </w:r>
    </w:p>
    <w:p w14:paraId="049B0B82" w14:textId="77777777" w:rsidR="00A931C0" w:rsidRDefault="00D74559" w:rsidP="00A931C0">
      <w:pPr>
        <w:pStyle w:val="BulletLevel1"/>
      </w:pPr>
      <w:r w:rsidRPr="0114377B">
        <w:t>organis</w:t>
      </w:r>
      <w:r w:rsidR="00A931C0">
        <w:t xml:space="preserve">ing </w:t>
      </w:r>
      <w:r w:rsidRPr="0114377B">
        <w:t>and support</w:t>
      </w:r>
      <w:r w:rsidR="00A931C0">
        <w:t>ing</w:t>
      </w:r>
      <w:r w:rsidRPr="0114377B">
        <w:t xml:space="preserve"> </w:t>
      </w:r>
      <w:r w:rsidR="00567D8E">
        <w:t xml:space="preserve">initial </w:t>
      </w:r>
      <w:r w:rsidRPr="0114377B">
        <w:t>OSAs</w:t>
      </w:r>
      <w:r w:rsidR="00F16854">
        <w:t xml:space="preserve"> and </w:t>
      </w:r>
      <w:r w:rsidR="00567D8E">
        <w:t>OSA</w:t>
      </w:r>
      <w:r w:rsidR="00F16854">
        <w:t xml:space="preserve"> reviews</w:t>
      </w:r>
      <w:r w:rsidRPr="0114377B">
        <w:t xml:space="preserve">, and </w:t>
      </w:r>
    </w:p>
    <w:p w14:paraId="780CB793" w14:textId="09A21C1B" w:rsidR="00D74559" w:rsidRDefault="005C217F" w:rsidP="00A931C0">
      <w:pPr>
        <w:pStyle w:val="BulletLevel1"/>
      </w:pPr>
      <w:r>
        <w:t xml:space="preserve">how to support a Participant through </w:t>
      </w:r>
      <w:r w:rsidR="00D74559" w:rsidRPr="0114377B">
        <w:t>Ongoing Support.</w:t>
      </w:r>
    </w:p>
    <w:p w14:paraId="1AEB7C8A" w14:textId="1CD4801B" w:rsidR="00D74559" w:rsidRDefault="00D74559" w:rsidP="006E751C">
      <w:r>
        <w:t xml:space="preserve">Providers receive </w:t>
      </w:r>
      <w:r w:rsidR="00621430">
        <w:t>Ongoing Support F</w:t>
      </w:r>
      <w:r>
        <w:t>ees to deliver Ongoing Support to eligible Participants</w:t>
      </w:r>
      <w:r w:rsidR="007D4AD1">
        <w:t xml:space="preserve"> — refer </w:t>
      </w:r>
      <w:r w:rsidR="007D4AD1" w:rsidRPr="009F2330">
        <w:t xml:space="preserve">to </w:t>
      </w:r>
      <w:r w:rsidR="003B2E77">
        <w:fldChar w:fldCharType="begin"/>
      </w:r>
      <w:r w:rsidR="003B2E77">
        <w:instrText xml:space="preserve"> REF _Ref202882450 \h  \* MERGEFORMAT </w:instrText>
      </w:r>
      <w:r w:rsidR="003B2E77">
        <w:fldChar w:fldCharType="separate"/>
      </w:r>
      <w:r w:rsidR="003B2E77" w:rsidRPr="003B2E77">
        <w:t>11.7</w:t>
      </w:r>
      <w:r w:rsidR="003B2E77">
        <w:t xml:space="preserve"> </w:t>
      </w:r>
      <w:r w:rsidR="003B2E77" w:rsidRPr="003B2E77">
        <w:t>Ongoing Support Fees</w:t>
      </w:r>
      <w:r w:rsidR="003B2E77">
        <w:fldChar w:fldCharType="end"/>
      </w:r>
      <w:r w:rsidR="007D4AD1" w:rsidRPr="009F2330">
        <w:fldChar w:fldCharType="begin"/>
      </w:r>
      <w:r w:rsidR="007D4AD1" w:rsidRPr="009F2330">
        <w:instrText xml:space="preserve"> REF _Ref202882450 \h </w:instrText>
      </w:r>
      <w:r w:rsidR="009F2330" w:rsidRPr="009F2330">
        <w:instrText xml:space="preserve"> \* MERGEFORMAT </w:instrText>
      </w:r>
      <w:r w:rsidR="007D4AD1" w:rsidRPr="009F2330">
        <w:fldChar w:fldCharType="separate"/>
      </w:r>
      <w:r w:rsidR="007D4AD1" w:rsidRPr="009F2330">
        <w:fldChar w:fldCharType="end"/>
      </w:r>
      <w:r>
        <w:t>.</w:t>
      </w:r>
    </w:p>
    <w:p w14:paraId="303FC7DC" w14:textId="2446C2C9" w:rsidR="00621430" w:rsidRDefault="00621430" w:rsidP="006E751C">
      <w:r>
        <w:t xml:space="preserve">Other fees available </w:t>
      </w:r>
      <w:r w:rsidR="009F2330">
        <w:t>while delivering</w:t>
      </w:r>
      <w:r>
        <w:t xml:space="preserve"> </w:t>
      </w:r>
      <w:r w:rsidR="009F2330">
        <w:t>Ongoing Support</w:t>
      </w:r>
      <w:r>
        <w:t xml:space="preserve"> may include:</w:t>
      </w:r>
    </w:p>
    <w:p w14:paraId="336F5FA7" w14:textId="629033F0" w:rsidR="006C0C18" w:rsidRPr="006C0C18" w:rsidRDefault="006C0C18" w:rsidP="006C0C18">
      <w:pPr>
        <w:pStyle w:val="BulletLevel1"/>
      </w:pPr>
      <w:r w:rsidRPr="006C0C18">
        <w:t xml:space="preserve">Outcome Fees after a 52-week Period of sustained Employment — refer to </w:t>
      </w:r>
      <w:r w:rsidRPr="006C0C18">
        <w:fldChar w:fldCharType="begin"/>
      </w:r>
      <w:r w:rsidRPr="006C0C18">
        <w:instrText xml:space="preserve"> REF _Ref202785050 \h  \* MERGEFORMAT </w:instrText>
      </w:r>
      <w:r w:rsidRPr="006C0C18">
        <w:fldChar w:fldCharType="separate"/>
      </w:r>
      <w:r w:rsidRPr="006C0C18">
        <w:fldChar w:fldCharType="end"/>
      </w:r>
      <w:r w:rsidRPr="006C0C18">
        <w:fldChar w:fldCharType="begin"/>
      </w:r>
      <w:r w:rsidRPr="006C0C18">
        <w:instrText xml:space="preserve"> REF _Ref202785050 \h  \* MERGEFORMAT </w:instrText>
      </w:r>
      <w:r w:rsidRPr="006C0C18">
        <w:fldChar w:fldCharType="separate"/>
      </w:r>
      <w:r w:rsidRPr="006C0C18">
        <w:fldChar w:fldCharType="end"/>
      </w:r>
      <w:r w:rsidRPr="006C0C18">
        <w:fldChar w:fldCharType="begin"/>
      </w:r>
      <w:r w:rsidRPr="006C0C18">
        <w:instrText xml:space="preserve"> REF _Ref202785050 \h  \* MERGEFORMAT </w:instrText>
      </w:r>
      <w:r w:rsidRPr="006C0C18">
        <w:fldChar w:fldCharType="separate"/>
      </w:r>
      <w:r w:rsidRPr="006C0C18">
        <w:fldChar w:fldCharType="end"/>
      </w:r>
      <w:r w:rsidRPr="006C0C18">
        <w:t>, and</w:t>
      </w:r>
    </w:p>
    <w:p w14:paraId="0FCFC185" w14:textId="1F434A27" w:rsidR="00621430" w:rsidRDefault="006C0C18" w:rsidP="006C0C18">
      <w:pPr>
        <w:pStyle w:val="BulletLevel1"/>
      </w:pPr>
      <w:r w:rsidRPr="006C0C18">
        <w:t xml:space="preserve">Moderate Intellectual Disability (MID) Payments, which may be paid in addition to Full Employment Outcome Fees if the Participant has moderate intellectual disability and has worked on average at least 15 hours per week over the Outcome Period — refer to </w:t>
      </w:r>
      <w:r w:rsidRPr="006C0C18">
        <w:fldChar w:fldCharType="begin"/>
      </w:r>
      <w:r w:rsidRPr="006C0C18">
        <w:instrText xml:space="preserve"> REF _Ref202881484 \h  \* MERGEFORMAT </w:instrText>
      </w:r>
      <w:r w:rsidRPr="006C0C18">
        <w:fldChar w:fldCharType="separate"/>
      </w:r>
      <w:r w:rsidR="000D75AE" w:rsidRPr="000D75AE">
        <w:t>11.6</w:t>
      </w:r>
      <w:r w:rsidR="003B2E77">
        <w:t xml:space="preserve"> </w:t>
      </w:r>
      <w:r w:rsidR="000D75AE" w:rsidRPr="000D75AE">
        <w:t>Moderate Intellectual Disability Payment</w:t>
      </w:r>
      <w:r w:rsidRPr="006C0C18">
        <w:fldChar w:fldCharType="end"/>
      </w:r>
      <w:r>
        <w:t>.</w:t>
      </w:r>
    </w:p>
    <w:p w14:paraId="5715709B" w14:textId="76FA9E9C" w:rsidR="00D74559" w:rsidRDefault="00D74559" w:rsidP="001D0F92">
      <w:pPr>
        <w:pStyle w:val="Heading3"/>
      </w:pPr>
      <w:bookmarkStart w:id="422" w:name="_Toc202900062"/>
      <w:r>
        <w:t>10.2</w:t>
      </w:r>
      <w:r w:rsidR="00807498">
        <w:tab/>
      </w:r>
      <w:r>
        <w:t>Levels of Ongoing Support</w:t>
      </w:r>
      <w:bookmarkEnd w:id="422"/>
    </w:p>
    <w:p w14:paraId="6C8DC62B" w14:textId="77777777" w:rsidR="00D74559" w:rsidRDefault="00D74559" w:rsidP="00F27DB3">
      <w:pPr>
        <w:keepNext/>
      </w:pPr>
      <w:r>
        <w:t>Ongoing Support is available at 3 levels of intensity based on a Participant’s individual support needs as outlined in the table below.</w:t>
      </w:r>
    </w:p>
    <w:p w14:paraId="7E9A470F" w14:textId="524907CF" w:rsidR="008A2FE7" w:rsidRPr="001D1919" w:rsidRDefault="008A2FE7" w:rsidP="00F27DB3">
      <w:pPr>
        <w:pStyle w:val="DeedReferences"/>
        <w:keepNext/>
      </w:pPr>
      <w:r>
        <w:t xml:space="preserve">(Deed Reference(s): Clause </w:t>
      </w:r>
      <w:r w:rsidR="007B5EA3">
        <w:t>125.</w:t>
      </w:r>
      <w:r>
        <w:t>1)</w:t>
      </w:r>
    </w:p>
    <w:p w14:paraId="14B805D2" w14:textId="5546EFB6" w:rsidR="00807498" w:rsidRPr="00685A47" w:rsidRDefault="00807498" w:rsidP="00807498">
      <w:pPr>
        <w:pStyle w:val="TableChartHeading"/>
      </w:pPr>
      <w:r>
        <w:t>Levels of Ongoing Support</w:t>
      </w:r>
    </w:p>
    <w:tbl>
      <w:tblPr>
        <w:tblStyle w:val="DSSTableStyleB"/>
        <w:tblW w:w="10065" w:type="dxa"/>
        <w:tblBorders>
          <w:top w:val="single" w:sz="4" w:space="0" w:color="auto"/>
          <w:bottom w:val="single" w:sz="4" w:space="0" w:color="auto"/>
          <w:insideH w:val="single" w:sz="4" w:space="0" w:color="auto"/>
        </w:tblBorders>
        <w:tblLook w:val="04A0" w:firstRow="1" w:lastRow="0" w:firstColumn="1" w:lastColumn="0" w:noHBand="0" w:noVBand="1"/>
      </w:tblPr>
      <w:tblGrid>
        <w:gridCol w:w="1284"/>
        <w:gridCol w:w="5662"/>
        <w:gridCol w:w="3119"/>
      </w:tblGrid>
      <w:tr w:rsidR="00FD020B" w:rsidRPr="00FB7CD7" w14:paraId="12F9DC94" w14:textId="77777777" w:rsidTr="00DE7A9B">
        <w:trPr>
          <w:cnfStyle w:val="100000000000" w:firstRow="1" w:lastRow="0" w:firstColumn="0" w:lastColumn="0" w:oddVBand="0" w:evenVBand="0" w:oddHBand="0" w:evenHBand="0" w:firstRowFirstColumn="0" w:firstRowLastColumn="0" w:lastRowFirstColumn="0" w:lastRowLastColumn="0"/>
          <w:trHeight w:val="300"/>
        </w:trPr>
        <w:tc>
          <w:tcPr>
            <w:tcW w:w="1284" w:type="dxa"/>
          </w:tcPr>
          <w:p w14:paraId="15F853FD" w14:textId="14521259" w:rsidR="00D74559" w:rsidRPr="00595771" w:rsidRDefault="00D74559" w:rsidP="008A2FE7">
            <w:pPr>
              <w:pStyle w:val="TableText"/>
              <w:keepNext/>
              <w:rPr>
                <w:b w:val="0"/>
              </w:rPr>
            </w:pPr>
            <w:r w:rsidRPr="00FB7CD7">
              <w:t>Level</w:t>
            </w:r>
          </w:p>
        </w:tc>
        <w:tc>
          <w:tcPr>
            <w:tcW w:w="5662" w:type="dxa"/>
          </w:tcPr>
          <w:p w14:paraId="72BAC7D4" w14:textId="77777777" w:rsidR="00D74559" w:rsidRPr="00FB7CD7" w:rsidRDefault="00D74559" w:rsidP="008A2FE7">
            <w:pPr>
              <w:pStyle w:val="TableText"/>
              <w:keepNext/>
            </w:pPr>
            <w:r w:rsidRPr="00FB7CD7">
              <w:t xml:space="preserve">Participant support </w:t>
            </w:r>
            <w:r>
              <w:t>needs</w:t>
            </w:r>
          </w:p>
        </w:tc>
        <w:tc>
          <w:tcPr>
            <w:tcW w:w="3119" w:type="dxa"/>
          </w:tcPr>
          <w:p w14:paraId="029115B1" w14:textId="001F45EF" w:rsidR="00D74559" w:rsidRPr="00FB7CD7" w:rsidRDefault="00D74559" w:rsidP="008A2FE7">
            <w:pPr>
              <w:pStyle w:val="TableText"/>
              <w:keepNext/>
              <w:rPr>
                <w:b w:val="0"/>
              </w:rPr>
            </w:pPr>
            <w:r w:rsidRPr="13D35372">
              <w:t>Support over 6-months</w:t>
            </w:r>
            <w:r w:rsidR="00CD0093">
              <w:t>*</w:t>
            </w:r>
          </w:p>
        </w:tc>
      </w:tr>
      <w:tr w:rsidR="00D74559" w:rsidRPr="00FB7CD7" w14:paraId="673B2973"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284" w:type="dxa"/>
          </w:tcPr>
          <w:p w14:paraId="168FD2DE" w14:textId="77777777" w:rsidR="00D74559" w:rsidRPr="00E23145" w:rsidRDefault="00D74559" w:rsidP="008A2FE7">
            <w:pPr>
              <w:pStyle w:val="TableText"/>
              <w:keepNext/>
              <w:rPr>
                <w:bCs/>
              </w:rPr>
            </w:pPr>
            <w:r w:rsidRPr="00E23145">
              <w:rPr>
                <w:bCs/>
              </w:rPr>
              <w:t>Flexible</w:t>
            </w:r>
          </w:p>
        </w:tc>
        <w:tc>
          <w:tcPr>
            <w:tcW w:w="5662" w:type="dxa"/>
          </w:tcPr>
          <w:p w14:paraId="26994280" w14:textId="77777777" w:rsidR="00D74559" w:rsidRPr="00A85143" w:rsidRDefault="00D74559" w:rsidP="008A2FE7">
            <w:pPr>
              <w:pStyle w:val="TableText"/>
              <w:keepNext/>
            </w:pPr>
            <w:r w:rsidRPr="0114377B">
              <w:t>Sporadic, episodic or irregular</w:t>
            </w:r>
          </w:p>
        </w:tc>
        <w:tc>
          <w:tcPr>
            <w:tcW w:w="3119" w:type="dxa"/>
          </w:tcPr>
          <w:p w14:paraId="6098F6A6" w14:textId="77777777" w:rsidR="00D74559" w:rsidRPr="00A85143" w:rsidRDefault="00D74559" w:rsidP="008A2FE7">
            <w:pPr>
              <w:pStyle w:val="TableText"/>
              <w:keepNext/>
              <w:rPr>
                <w:bCs/>
              </w:rPr>
            </w:pPr>
            <w:r>
              <w:rPr>
                <w:bCs/>
              </w:rPr>
              <w:t>Up to 25 hours</w:t>
            </w:r>
          </w:p>
        </w:tc>
      </w:tr>
      <w:tr w:rsidR="00FD020B" w:rsidRPr="00FB7CD7" w14:paraId="388C3E25" w14:textId="77777777" w:rsidTr="00DE7A9B">
        <w:trPr>
          <w:cnfStyle w:val="000000010000" w:firstRow="0" w:lastRow="0" w:firstColumn="0" w:lastColumn="0" w:oddVBand="0" w:evenVBand="0" w:oddHBand="0" w:evenHBand="1" w:firstRowFirstColumn="0" w:firstRowLastColumn="0" w:lastRowFirstColumn="0" w:lastRowLastColumn="0"/>
          <w:trHeight w:val="300"/>
        </w:trPr>
        <w:tc>
          <w:tcPr>
            <w:tcW w:w="1284" w:type="dxa"/>
            <w:tcBorders>
              <w:bottom w:val="single" w:sz="4" w:space="0" w:color="auto"/>
            </w:tcBorders>
          </w:tcPr>
          <w:p w14:paraId="63B2173D" w14:textId="77777777" w:rsidR="00D74559" w:rsidRPr="00E23145" w:rsidRDefault="00D74559" w:rsidP="00E37CED">
            <w:pPr>
              <w:pStyle w:val="TableText"/>
              <w:rPr>
                <w:bCs/>
              </w:rPr>
            </w:pPr>
            <w:r w:rsidRPr="00E23145">
              <w:rPr>
                <w:bCs/>
              </w:rPr>
              <w:t>Moderate</w:t>
            </w:r>
          </w:p>
        </w:tc>
        <w:tc>
          <w:tcPr>
            <w:tcW w:w="5662" w:type="dxa"/>
            <w:tcBorders>
              <w:bottom w:val="single" w:sz="4" w:space="0" w:color="auto"/>
            </w:tcBorders>
          </w:tcPr>
          <w:p w14:paraId="42325FAB" w14:textId="77777777" w:rsidR="00D74559" w:rsidRPr="00A85143" w:rsidRDefault="00D74559" w:rsidP="00E37CED">
            <w:pPr>
              <w:pStyle w:val="TableText"/>
              <w:rPr>
                <w:bCs/>
              </w:rPr>
            </w:pPr>
            <w:r w:rsidRPr="00A85143">
              <w:rPr>
                <w:bCs/>
              </w:rPr>
              <w:t>Regular and ongoing</w:t>
            </w:r>
          </w:p>
        </w:tc>
        <w:tc>
          <w:tcPr>
            <w:tcW w:w="3119" w:type="dxa"/>
            <w:tcBorders>
              <w:bottom w:val="single" w:sz="4" w:space="0" w:color="auto"/>
            </w:tcBorders>
          </w:tcPr>
          <w:p w14:paraId="218CFB2A" w14:textId="77777777" w:rsidR="00D74559" w:rsidRPr="00595771" w:rsidRDefault="00D74559" w:rsidP="00E37CED">
            <w:pPr>
              <w:pStyle w:val="TableText"/>
              <w:rPr>
                <w:bCs/>
              </w:rPr>
            </w:pPr>
            <w:r w:rsidRPr="00F54C00">
              <w:rPr>
                <w:bCs/>
              </w:rPr>
              <w:t>25 – 42 hours</w:t>
            </w:r>
          </w:p>
        </w:tc>
      </w:tr>
      <w:tr w:rsidR="00D74559" w:rsidRPr="00FB7CD7" w14:paraId="124486FF" w14:textId="77777777" w:rsidTr="00DE7A9B">
        <w:trPr>
          <w:cnfStyle w:val="000000100000" w:firstRow="0" w:lastRow="0" w:firstColumn="0" w:lastColumn="0" w:oddVBand="0" w:evenVBand="0" w:oddHBand="1" w:evenHBand="0" w:firstRowFirstColumn="0" w:firstRowLastColumn="0" w:lastRowFirstColumn="0" w:lastRowLastColumn="0"/>
          <w:trHeight w:val="300"/>
        </w:trPr>
        <w:tc>
          <w:tcPr>
            <w:tcW w:w="1284" w:type="dxa"/>
            <w:tcBorders>
              <w:bottom w:val="single" w:sz="4" w:space="0" w:color="auto"/>
            </w:tcBorders>
          </w:tcPr>
          <w:p w14:paraId="7738DAA5" w14:textId="77777777" w:rsidR="00D74559" w:rsidRPr="00E23145" w:rsidRDefault="00D74559" w:rsidP="00E37CED">
            <w:pPr>
              <w:pStyle w:val="TableText"/>
              <w:rPr>
                <w:bCs/>
              </w:rPr>
            </w:pPr>
            <w:r w:rsidRPr="00E23145">
              <w:rPr>
                <w:bCs/>
              </w:rPr>
              <w:t>High</w:t>
            </w:r>
          </w:p>
        </w:tc>
        <w:tc>
          <w:tcPr>
            <w:tcW w:w="5662" w:type="dxa"/>
            <w:tcBorders>
              <w:bottom w:val="single" w:sz="4" w:space="0" w:color="auto"/>
            </w:tcBorders>
          </w:tcPr>
          <w:p w14:paraId="5B28D789" w14:textId="77777777" w:rsidR="00D74559" w:rsidRPr="00A85143" w:rsidRDefault="00D74559" w:rsidP="00E37CED">
            <w:pPr>
              <w:pStyle w:val="TableText"/>
              <w:rPr>
                <w:bCs/>
              </w:rPr>
            </w:pPr>
            <w:r w:rsidRPr="00A85143">
              <w:rPr>
                <w:bCs/>
              </w:rPr>
              <w:t>Regular and ongoing, significant in hours or intensity</w:t>
            </w:r>
          </w:p>
        </w:tc>
        <w:tc>
          <w:tcPr>
            <w:tcW w:w="3119" w:type="dxa"/>
            <w:tcBorders>
              <w:bottom w:val="single" w:sz="4" w:space="0" w:color="auto"/>
            </w:tcBorders>
          </w:tcPr>
          <w:p w14:paraId="48E19CAD" w14:textId="77777777" w:rsidR="00D74559" w:rsidRPr="00A85143" w:rsidRDefault="00D74559" w:rsidP="00E37CED">
            <w:pPr>
              <w:pStyle w:val="TableText"/>
              <w:rPr>
                <w:bCs/>
              </w:rPr>
            </w:pPr>
            <w:r>
              <w:rPr>
                <w:bCs/>
              </w:rPr>
              <w:t>More than 42 hours</w:t>
            </w:r>
          </w:p>
        </w:tc>
      </w:tr>
    </w:tbl>
    <w:p w14:paraId="476B7247" w14:textId="471B7AC8" w:rsidR="00006483" w:rsidRDefault="00CD0093" w:rsidP="002F4EEF">
      <w:r>
        <w:rPr>
          <w:b/>
          <w:bCs/>
        </w:rPr>
        <w:t>*</w:t>
      </w:r>
      <w:r w:rsidR="004D4FF6">
        <w:rPr>
          <w:b/>
          <w:bCs/>
        </w:rPr>
        <w:t xml:space="preserve"> </w:t>
      </w:r>
      <w:r w:rsidR="00006483" w:rsidRPr="62EC0267">
        <w:rPr>
          <w:b/>
          <w:bCs/>
        </w:rPr>
        <w:t>Note:</w:t>
      </w:r>
      <w:r w:rsidR="00006483">
        <w:rPr>
          <w:b/>
          <w:bCs/>
        </w:rPr>
        <w:t xml:space="preserve"> </w:t>
      </w:r>
      <w:r w:rsidR="00006483" w:rsidRPr="00FA1C55">
        <w:t xml:space="preserve">This table provides an indicative guide </w:t>
      </w:r>
      <w:r w:rsidR="00862D2F">
        <w:t xml:space="preserve">of hours of support </w:t>
      </w:r>
      <w:r w:rsidR="00AE7801">
        <w:t xml:space="preserve">to help </w:t>
      </w:r>
      <w:r w:rsidR="00862D2F">
        <w:t>Providers</w:t>
      </w:r>
      <w:r w:rsidR="00AE7801">
        <w:t xml:space="preserve"> determine the Level of Support</w:t>
      </w:r>
      <w:r w:rsidR="00893BE2">
        <w:t xml:space="preserve"> required by the Participant based on the hours of </w:t>
      </w:r>
      <w:r w:rsidR="00F87EAD">
        <w:t>Ongoing S</w:t>
      </w:r>
      <w:r w:rsidR="00893BE2">
        <w:t xml:space="preserve">upport </w:t>
      </w:r>
      <w:r w:rsidR="00F87EAD">
        <w:t>the Participant is being</w:t>
      </w:r>
      <w:r w:rsidR="00893BE2">
        <w:t xml:space="preserve"> </w:t>
      </w:r>
      <w:r w:rsidR="00154E66">
        <w:t>provided</w:t>
      </w:r>
      <w:r w:rsidR="00881063">
        <w:t xml:space="preserve"> or require</w:t>
      </w:r>
      <w:r w:rsidR="00F87EAD">
        <w:t>s</w:t>
      </w:r>
      <w:r w:rsidR="00154E66">
        <w:t>.</w:t>
      </w:r>
    </w:p>
    <w:p w14:paraId="7418A16E" w14:textId="53A90855" w:rsidR="00D74559" w:rsidRPr="00E37CED" w:rsidRDefault="00D74559" w:rsidP="001D0F92">
      <w:pPr>
        <w:pStyle w:val="Heading3"/>
        <w:rPr>
          <w:rStyle w:val="Heading2Char1"/>
          <w:rFonts w:asciiTheme="majorHAnsi" w:hAnsiTheme="majorHAnsi"/>
          <w:i w:val="0"/>
          <w:color w:val="005A70" w:themeColor="accent1"/>
          <w:sz w:val="32"/>
          <w:szCs w:val="24"/>
        </w:rPr>
      </w:pPr>
      <w:bookmarkStart w:id="423" w:name="_Toc202900063"/>
      <w:r w:rsidRPr="00E37CED">
        <w:rPr>
          <w:rStyle w:val="Heading2Char1"/>
          <w:rFonts w:asciiTheme="majorHAnsi" w:hAnsiTheme="majorHAnsi"/>
          <w:i w:val="0"/>
          <w:color w:val="005A70" w:themeColor="accent1"/>
          <w:sz w:val="32"/>
          <w:szCs w:val="24"/>
        </w:rPr>
        <w:t>10.3</w:t>
      </w:r>
      <w:r w:rsidR="001F07BB">
        <w:rPr>
          <w:rStyle w:val="Heading2Char1"/>
          <w:rFonts w:asciiTheme="majorHAnsi" w:hAnsiTheme="majorHAnsi"/>
          <w:i w:val="0"/>
          <w:color w:val="005A70" w:themeColor="accent1"/>
          <w:sz w:val="32"/>
          <w:szCs w:val="24"/>
        </w:rPr>
        <w:tab/>
      </w:r>
      <w:r w:rsidRPr="00E37CED">
        <w:rPr>
          <w:rStyle w:val="Heading2Char1"/>
          <w:rFonts w:asciiTheme="majorHAnsi" w:hAnsiTheme="majorHAnsi"/>
          <w:i w:val="0"/>
          <w:color w:val="005A70" w:themeColor="accent1"/>
          <w:sz w:val="32"/>
          <w:szCs w:val="24"/>
        </w:rPr>
        <w:t>Determining the need for Ongoing Support</w:t>
      </w:r>
      <w:bookmarkEnd w:id="423"/>
    </w:p>
    <w:p w14:paraId="6FF5DFFC" w14:textId="3528E32F" w:rsidR="00D74559" w:rsidRPr="00FB7CD7" w:rsidRDefault="00D74559" w:rsidP="0036274C">
      <w:r w:rsidRPr="62EC0267">
        <w:t xml:space="preserve">Ongoing Support is available where: </w:t>
      </w:r>
    </w:p>
    <w:p w14:paraId="5D7A7FA5" w14:textId="5E3C1EBF" w:rsidR="008A32AC" w:rsidRDefault="00D74559" w:rsidP="004E120D">
      <w:pPr>
        <w:pStyle w:val="BulletLevel1"/>
      </w:pPr>
      <w:r w:rsidRPr="62EC0267">
        <w:t xml:space="preserve">the Provider finds the Participant needs </w:t>
      </w:r>
      <w:r w:rsidR="00F14E07">
        <w:t xml:space="preserve">higher levels of </w:t>
      </w:r>
      <w:r w:rsidRPr="62EC0267">
        <w:t>support</w:t>
      </w:r>
      <w:r w:rsidR="00F14E07">
        <w:t xml:space="preserve"> than most participants to maintain employment</w:t>
      </w:r>
    </w:p>
    <w:p w14:paraId="75A3938E" w14:textId="375F81E0" w:rsidR="008A32AC" w:rsidRPr="00FB7CD7" w:rsidRDefault="008A32AC" w:rsidP="004E120D">
      <w:pPr>
        <w:pStyle w:val="BulletLevel1"/>
      </w:pPr>
      <w:r>
        <w:t>the Participant agrees to receive Ongoing Support</w:t>
      </w:r>
      <w:r w:rsidR="00D74559" w:rsidRPr="62EC0267">
        <w:t>, and</w:t>
      </w:r>
    </w:p>
    <w:p w14:paraId="52D71588" w14:textId="77777777" w:rsidR="00D74559" w:rsidRPr="00FB7CD7" w:rsidRDefault="00D74559" w:rsidP="004E120D">
      <w:pPr>
        <w:pStyle w:val="BulletLevel1"/>
      </w:pPr>
      <w:r w:rsidRPr="7F65F737">
        <w:t xml:space="preserve">an independent OSA confirms the Participant needs </w:t>
      </w:r>
      <w:r>
        <w:t>Ongoing Support</w:t>
      </w:r>
      <w:r w:rsidRPr="7F65F737">
        <w:t>.</w:t>
      </w:r>
    </w:p>
    <w:p w14:paraId="2061EF0E" w14:textId="07091829" w:rsidR="00D74559" w:rsidRPr="00A61D35" w:rsidRDefault="00D74559" w:rsidP="0036274C">
      <w:r w:rsidRPr="62EC0267">
        <w:t xml:space="preserve">When </w:t>
      </w:r>
      <w:r w:rsidR="003B7EBC">
        <w:t>determining if</w:t>
      </w:r>
      <w:r w:rsidRPr="62EC0267">
        <w:t xml:space="preserve"> a Participant in Post Placement Support requires Ongoing Support, Providers must consider how much support the Participant has needed since their Job Placement started. </w:t>
      </w:r>
    </w:p>
    <w:p w14:paraId="681CAE18" w14:textId="60206365" w:rsidR="00D74559" w:rsidRDefault="00D74559" w:rsidP="0036274C">
      <w:r w:rsidRPr="7F65F737">
        <w:t xml:space="preserve">Providers </w:t>
      </w:r>
      <w:r w:rsidR="0053790D">
        <w:t>must assess</w:t>
      </w:r>
      <w:r w:rsidRPr="7F65F737">
        <w:t xml:space="preserve"> whether a Participant needs </w:t>
      </w:r>
      <w:r>
        <w:t>Ongoing Support</w:t>
      </w:r>
      <w:r w:rsidRPr="7F65F737" w:rsidDel="0046422F">
        <w:t xml:space="preserve"> when</w:t>
      </w:r>
      <w:r w:rsidR="00756AE0" w:rsidDel="0046422F">
        <w:t xml:space="preserve"> a</w:t>
      </w:r>
      <w:r w:rsidRPr="7F65F737">
        <w:t>:</w:t>
      </w:r>
    </w:p>
    <w:p w14:paraId="2F4FCFE5" w14:textId="05DDAF62" w:rsidR="00D74559" w:rsidRPr="005823CA" w:rsidRDefault="00D74559" w:rsidP="004E120D">
      <w:pPr>
        <w:pStyle w:val="BulletLevel1"/>
      </w:pPr>
      <w:r w:rsidRPr="005823CA">
        <w:t xml:space="preserve">Participant in Post Placement Support </w:t>
      </w:r>
      <w:r w:rsidR="00451B0A">
        <w:t xml:space="preserve">is approaching </w:t>
      </w:r>
      <w:r w:rsidRPr="005823CA">
        <w:t>a 26-week Employment Outcome</w:t>
      </w:r>
      <w:r w:rsidR="004C0B03">
        <w:t>,</w:t>
      </w:r>
      <w:r w:rsidRPr="005823CA">
        <w:t xml:space="preserve"> </w:t>
      </w:r>
      <w:r w:rsidR="00820264">
        <w:t>or</w:t>
      </w:r>
      <w:r w:rsidR="00D33743">
        <w:t xml:space="preserve"> </w:t>
      </w:r>
      <w:r w:rsidR="000C6AF4">
        <w:t xml:space="preserve">if a higher need for support becomes apparent </w:t>
      </w:r>
      <w:r w:rsidR="00607C70">
        <w:t xml:space="preserve">at </w:t>
      </w:r>
      <w:r w:rsidR="00051A5A">
        <w:t xml:space="preserve">any time after the </w:t>
      </w:r>
      <w:r w:rsidR="00D33743">
        <w:t>Participant has achieved a 26</w:t>
      </w:r>
      <w:r w:rsidR="008A32AC">
        <w:t>-</w:t>
      </w:r>
      <w:r w:rsidR="00D33743">
        <w:t>week O</w:t>
      </w:r>
      <w:r w:rsidR="009242FA">
        <w:t xml:space="preserve">utcome and </w:t>
      </w:r>
      <w:r w:rsidRPr="005823CA">
        <w:t xml:space="preserve">is tracking towards a 52-week </w:t>
      </w:r>
      <w:r w:rsidR="00D2682E">
        <w:t>O</w:t>
      </w:r>
      <w:r w:rsidRPr="005823CA">
        <w:t>utcome</w:t>
      </w:r>
      <w:r w:rsidR="00820264">
        <w:t>,</w:t>
      </w:r>
    </w:p>
    <w:p w14:paraId="23E763BA" w14:textId="3FFB665C" w:rsidR="00D74559" w:rsidRPr="005823CA" w:rsidRDefault="00D74559" w:rsidP="004E120D">
      <w:pPr>
        <w:pStyle w:val="BulletLevel1"/>
      </w:pPr>
      <w:r w:rsidRPr="005823CA">
        <w:t>Participant in Post Placement Support achieves a 52-week Employment Outcome</w:t>
      </w:r>
      <w:r w:rsidR="000C6AF4">
        <w:t xml:space="preserve"> and </w:t>
      </w:r>
      <w:r w:rsidR="00100603">
        <w:t>must be Exited</w:t>
      </w:r>
      <w:r w:rsidR="00496BE4">
        <w:t xml:space="preserve"> from </w:t>
      </w:r>
      <w:r w:rsidR="00202A96">
        <w:t>Inclusive Employment Australia</w:t>
      </w:r>
      <w:r w:rsidR="00100603">
        <w:t xml:space="preserve"> if </w:t>
      </w:r>
      <w:r w:rsidR="00496BE4">
        <w:t>Ongoing Support</w:t>
      </w:r>
      <w:r w:rsidR="00AF017E">
        <w:t xml:space="preserve"> is not required</w:t>
      </w:r>
      <w:r w:rsidRPr="005823CA">
        <w:t>, or</w:t>
      </w:r>
    </w:p>
    <w:p w14:paraId="7EE9A0BF" w14:textId="76D7E5D2" w:rsidR="00D74559" w:rsidRPr="005823CA" w:rsidRDefault="0053790D" w:rsidP="004E120D">
      <w:pPr>
        <w:pStyle w:val="BulletLevel1"/>
      </w:pPr>
      <w:r>
        <w:t>p</w:t>
      </w:r>
      <w:r w:rsidR="00D74559">
        <w:t xml:space="preserve">erson who is already </w:t>
      </w:r>
      <w:r w:rsidR="008330EC">
        <w:t>E</w:t>
      </w:r>
      <w:r w:rsidR="00D74559">
        <w:t xml:space="preserve">mployed (not currently in </w:t>
      </w:r>
      <w:r w:rsidR="00202A96">
        <w:t>Inclusive Employment Australia</w:t>
      </w:r>
      <w:r w:rsidR="00D74559">
        <w:t xml:space="preserve">) approaches a Provider to </w:t>
      </w:r>
      <w:r w:rsidR="00A66572">
        <w:t>Directly Register as</w:t>
      </w:r>
      <w:r w:rsidR="00D74559">
        <w:t xml:space="preserve"> an Ongoing Support (Work Assist) Participant.</w:t>
      </w:r>
    </w:p>
    <w:p w14:paraId="63C8B8D8" w14:textId="27C582AC" w:rsidR="00D74559" w:rsidRDefault="00D74559" w:rsidP="7F65F737">
      <w:pPr>
        <w:tabs>
          <w:tab w:val="right" w:pos="1701"/>
        </w:tabs>
        <w:spacing w:after="120"/>
      </w:pPr>
      <w:r>
        <w:t xml:space="preserve">Details </w:t>
      </w:r>
      <w:r w:rsidR="00AB25E0">
        <w:t xml:space="preserve">on determining the need for Ongoing Support </w:t>
      </w:r>
      <w:r>
        <w:t>are included in the table below.</w:t>
      </w:r>
    </w:p>
    <w:p w14:paraId="47D1E9D8" w14:textId="2B9B47B3" w:rsidR="00E61AAC" w:rsidRDefault="00E61AAC" w:rsidP="00E61AAC">
      <w:pPr>
        <w:pStyle w:val="DeedReferences"/>
      </w:pPr>
      <w:r>
        <w:t>(Deed Reference(s): Clause 125</w:t>
      </w:r>
      <w:r w:rsidR="00D61E44">
        <w:t>, 126</w:t>
      </w:r>
      <w:r>
        <w:t>)</w:t>
      </w:r>
    </w:p>
    <w:p w14:paraId="2668213E" w14:textId="77777777" w:rsidR="00D74559" w:rsidRPr="00FB7CD7" w:rsidRDefault="00D74559" w:rsidP="000376E1">
      <w:pPr>
        <w:pStyle w:val="TableChartHeading"/>
      </w:pPr>
      <w:r w:rsidRPr="62EC0267">
        <w:t>Requirements when deciding need for Ongoing Support</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7643"/>
      </w:tblGrid>
      <w:tr w:rsidR="00FC127C" w:rsidRPr="00FB7CD7" w14:paraId="716F12F7" w14:textId="77777777" w:rsidTr="002975D4">
        <w:trPr>
          <w:cnfStyle w:val="100000000000" w:firstRow="1" w:lastRow="0" w:firstColumn="0" w:lastColumn="0" w:oddVBand="0" w:evenVBand="0" w:oddHBand="0" w:evenHBand="0" w:firstRowFirstColumn="0" w:firstRowLastColumn="0" w:lastRowFirstColumn="0" w:lastRowLastColumn="0"/>
          <w:cantSplit/>
          <w:trHeight w:val="300"/>
        </w:trPr>
        <w:tc>
          <w:tcPr>
            <w:tcW w:w="1985" w:type="dxa"/>
          </w:tcPr>
          <w:p w14:paraId="03D01B26" w14:textId="77777777" w:rsidR="00D74559" w:rsidRPr="00FB7CD7" w:rsidRDefault="00D74559" w:rsidP="00E37CED">
            <w:pPr>
              <w:pStyle w:val="TableText"/>
              <w:rPr>
                <w:b w:val="0"/>
              </w:rPr>
            </w:pPr>
            <w:r w:rsidRPr="00FB7CD7">
              <w:t>Condition</w:t>
            </w:r>
          </w:p>
        </w:tc>
        <w:tc>
          <w:tcPr>
            <w:tcW w:w="7643" w:type="dxa"/>
          </w:tcPr>
          <w:p w14:paraId="61AE2930" w14:textId="77777777" w:rsidR="00D74559" w:rsidRPr="00FB7CD7" w:rsidRDefault="00D74559" w:rsidP="00E37CED">
            <w:pPr>
              <w:pStyle w:val="TableText"/>
              <w:rPr>
                <w:b w:val="0"/>
              </w:rPr>
            </w:pPr>
            <w:r w:rsidRPr="00FB7CD7">
              <w:t>Details</w:t>
            </w:r>
          </w:p>
        </w:tc>
      </w:tr>
      <w:tr w:rsidR="00D74559" w:rsidRPr="00FB7CD7" w14:paraId="0C5325A1" w14:textId="77777777" w:rsidTr="002975D4">
        <w:trPr>
          <w:cnfStyle w:val="000000100000" w:firstRow="0" w:lastRow="0" w:firstColumn="0" w:lastColumn="0" w:oddVBand="0" w:evenVBand="0" w:oddHBand="1" w:evenHBand="0" w:firstRowFirstColumn="0" w:firstRowLastColumn="0" w:lastRowFirstColumn="0" w:lastRowLastColumn="0"/>
          <w:cantSplit/>
          <w:trHeight w:val="300"/>
        </w:trPr>
        <w:tc>
          <w:tcPr>
            <w:tcW w:w="1985" w:type="dxa"/>
            <w:tcBorders>
              <w:bottom w:val="single" w:sz="4" w:space="0" w:color="auto"/>
            </w:tcBorders>
          </w:tcPr>
          <w:p w14:paraId="4D378996" w14:textId="4958A3C8" w:rsidR="00D74559" w:rsidRPr="00FB7CD7" w:rsidRDefault="00D74559" w:rsidP="00E37CED">
            <w:pPr>
              <w:pStyle w:val="TableText"/>
            </w:pPr>
            <w:r>
              <w:t>Participant in Post</w:t>
            </w:r>
            <w:r w:rsidR="00F14FF9">
              <w:t> </w:t>
            </w:r>
            <w:r>
              <w:t>Placement Support</w:t>
            </w:r>
            <w:r w:rsidR="00640D2B">
              <w:t xml:space="preserve"> is </w:t>
            </w:r>
            <w:r w:rsidR="00451B0A">
              <w:t>approaching</w:t>
            </w:r>
            <w:r w:rsidR="00A95886">
              <w:t xml:space="preserve"> or</w:t>
            </w:r>
            <w:r>
              <w:t xml:space="preserve"> </w:t>
            </w:r>
            <w:r w:rsidR="00DF3FD1">
              <w:t xml:space="preserve">has </w:t>
            </w:r>
            <w:r w:rsidR="00451B0A">
              <w:t xml:space="preserve">already </w:t>
            </w:r>
            <w:r>
              <w:t>achieve</w:t>
            </w:r>
            <w:r w:rsidR="00DF3FD1">
              <w:t>d</w:t>
            </w:r>
            <w:r>
              <w:t xml:space="preserve"> a 26</w:t>
            </w:r>
            <w:r w:rsidR="00F14FF9">
              <w:noBreakHyphen/>
            </w:r>
            <w:r>
              <w:t xml:space="preserve">week Employment Outcome </w:t>
            </w:r>
          </w:p>
        </w:tc>
        <w:tc>
          <w:tcPr>
            <w:tcW w:w="7643" w:type="dxa"/>
            <w:tcBorders>
              <w:bottom w:val="single" w:sz="4" w:space="0" w:color="auto"/>
            </w:tcBorders>
          </w:tcPr>
          <w:p w14:paraId="66A62312" w14:textId="77777777" w:rsidR="00D74559" w:rsidRPr="00A85143" w:rsidRDefault="00D74559" w:rsidP="00E37CED">
            <w:pPr>
              <w:pStyle w:val="TableText"/>
            </w:pPr>
            <w:r>
              <w:t xml:space="preserve">This is when Ongoing Support becomes available for a Participant in Post Placement Support. </w:t>
            </w:r>
          </w:p>
          <w:p w14:paraId="0E9C52BE" w14:textId="0FC748DB" w:rsidR="00D74559" w:rsidRPr="00A85143" w:rsidRDefault="00D74559" w:rsidP="00E37CED">
            <w:pPr>
              <w:pStyle w:val="TableText"/>
            </w:pPr>
            <w:r w:rsidRPr="62EC0267">
              <w:t xml:space="preserve">The Provider must decide </w:t>
            </w:r>
            <w:r w:rsidR="00181D8C">
              <w:t>if</w:t>
            </w:r>
            <w:r w:rsidRPr="62EC0267">
              <w:t xml:space="preserve"> the Participant can achieve a 52-week Employment Outcome </w:t>
            </w:r>
            <w:r w:rsidR="00DD2289">
              <w:t xml:space="preserve">with the </w:t>
            </w:r>
            <w:r w:rsidR="00F57641">
              <w:t xml:space="preserve">support provided </w:t>
            </w:r>
            <w:r w:rsidRPr="62EC0267">
              <w:t xml:space="preserve">in Post Placement Support, or </w:t>
            </w:r>
            <w:r w:rsidR="00181D8C">
              <w:t>if</w:t>
            </w:r>
            <w:r w:rsidRPr="62EC0267">
              <w:t xml:space="preserve"> the</w:t>
            </w:r>
            <w:r w:rsidR="008B7CD0">
              <w:t xml:space="preserve"> Participant </w:t>
            </w:r>
            <w:r w:rsidR="007F7734">
              <w:t xml:space="preserve">has higher </w:t>
            </w:r>
            <w:r w:rsidRPr="62EC0267">
              <w:t>need</w:t>
            </w:r>
            <w:r w:rsidR="007F7734">
              <w:t>s</w:t>
            </w:r>
            <w:r w:rsidRPr="62EC0267">
              <w:t xml:space="preserve"> </w:t>
            </w:r>
            <w:r w:rsidR="007F7734">
              <w:t xml:space="preserve">that can only be </w:t>
            </w:r>
            <w:r w:rsidR="005439E0">
              <w:t>met</w:t>
            </w:r>
            <w:r w:rsidRPr="62EC0267">
              <w:t xml:space="preserve"> through Ongoing Support.</w:t>
            </w:r>
          </w:p>
          <w:p w14:paraId="1E1EF767" w14:textId="4F9CA422" w:rsidR="00D74559" w:rsidRPr="00FB7CD7" w:rsidRDefault="00D74559" w:rsidP="00E37CED">
            <w:pPr>
              <w:pStyle w:val="TableText"/>
            </w:pPr>
            <w:r w:rsidRPr="7F65F737">
              <w:t xml:space="preserve">If the Provider thinks the Participant needs </w:t>
            </w:r>
            <w:r>
              <w:t>Ongoing Support</w:t>
            </w:r>
            <w:r w:rsidR="00496BE4">
              <w:t xml:space="preserve"> and the Participant agrees to receive Ongoing Support</w:t>
            </w:r>
            <w:r w:rsidRPr="7F65F737">
              <w:t>, the Provider:</w:t>
            </w:r>
          </w:p>
          <w:p w14:paraId="2505DC9F" w14:textId="1565A902" w:rsidR="00D74559" w:rsidRPr="00FB7CD7" w:rsidRDefault="00D74559" w:rsidP="007D21CC">
            <w:pPr>
              <w:pStyle w:val="TableList-level1"/>
            </w:pPr>
            <w:r w:rsidRPr="0114377B">
              <w:t xml:space="preserve">must request an OSA </w:t>
            </w:r>
            <w:bookmarkStart w:id="424" w:name="_Int_rbfj9pGf"/>
            <w:r w:rsidRPr="0114377B">
              <w:t>immediately</w:t>
            </w:r>
            <w:bookmarkEnd w:id="424"/>
            <w:r w:rsidR="00F560B9">
              <w:t>*</w:t>
            </w:r>
          </w:p>
          <w:p w14:paraId="4D5D9CCD" w14:textId="77777777" w:rsidR="00B41C59" w:rsidRDefault="00D74559" w:rsidP="007D21CC">
            <w:pPr>
              <w:pStyle w:val="TableList-level1"/>
            </w:pPr>
            <w:r w:rsidRPr="0114377B">
              <w:t xml:space="preserve">can deliver the Level of Ongoing Support they think is </w:t>
            </w:r>
            <w:bookmarkStart w:id="425" w:name="_Int_PNcq5t63"/>
            <w:r w:rsidRPr="0114377B">
              <w:t>appropriate until</w:t>
            </w:r>
            <w:bookmarkEnd w:id="425"/>
            <w:r w:rsidRPr="0114377B">
              <w:t xml:space="preserve"> the OSA is completed (maximum of 28 days)</w:t>
            </w:r>
          </w:p>
          <w:p w14:paraId="1FFB2722" w14:textId="65821845" w:rsidR="00DA25A0" w:rsidRDefault="00B41C59" w:rsidP="007D21CC">
            <w:pPr>
              <w:pStyle w:val="TableList-level1"/>
            </w:pPr>
            <w:r>
              <w:t>can</w:t>
            </w:r>
            <w:r w:rsidR="008A56D1">
              <w:t xml:space="preserve">, if </w:t>
            </w:r>
            <w:r w:rsidR="001C6F07">
              <w:t>the</w:t>
            </w:r>
            <w:r w:rsidR="008A56D1">
              <w:t xml:space="preserve"> OSA </w:t>
            </w:r>
            <w:r w:rsidR="0015040F">
              <w:t xml:space="preserve">recommends Ongoing Support is required, </w:t>
            </w:r>
            <w:r w:rsidR="00DA25A0">
              <w:t>continue to deliver Ongoing Support</w:t>
            </w:r>
            <w:r w:rsidR="00D27C10">
              <w:t>, and</w:t>
            </w:r>
          </w:p>
          <w:p w14:paraId="6CED8E0F" w14:textId="633F11D7" w:rsidR="00D74559" w:rsidRPr="00FB7CD7" w:rsidRDefault="00FD437C" w:rsidP="007D21CC">
            <w:pPr>
              <w:pStyle w:val="TableList-level1"/>
            </w:pPr>
            <w:r>
              <w:t xml:space="preserve">must, if </w:t>
            </w:r>
            <w:r w:rsidR="001C6F07">
              <w:t>the</w:t>
            </w:r>
            <w:r>
              <w:t xml:space="preserve"> OSA recommends Ongoing Support is not required</w:t>
            </w:r>
            <w:r w:rsidR="00AD2CF5">
              <w:t xml:space="preserve">, </w:t>
            </w:r>
            <w:r w:rsidR="00C94B92">
              <w:t xml:space="preserve">return the Participant to Post Placement Support if they are </w:t>
            </w:r>
            <w:r w:rsidR="008333FB">
              <w:t>continuing to track to</w:t>
            </w:r>
            <w:r w:rsidR="00C76281">
              <w:t>wards</w:t>
            </w:r>
            <w:r w:rsidR="008333FB">
              <w:t xml:space="preserve"> a 52</w:t>
            </w:r>
            <w:r w:rsidR="00AC6FCC">
              <w:t>-</w:t>
            </w:r>
            <w:r w:rsidR="008333FB">
              <w:t xml:space="preserve">week </w:t>
            </w:r>
            <w:r w:rsidR="001C6F07">
              <w:t xml:space="preserve">Employment </w:t>
            </w:r>
            <w:r w:rsidR="008333FB">
              <w:t>Outcome</w:t>
            </w:r>
          </w:p>
          <w:p w14:paraId="64A6DBC4" w14:textId="17030A46" w:rsidR="00D74559" w:rsidRDefault="00D74559" w:rsidP="00B41C59">
            <w:pPr>
              <w:pStyle w:val="TableList-level1"/>
              <w:numPr>
                <w:ilvl w:val="0"/>
                <w:numId w:val="0"/>
              </w:numPr>
            </w:pPr>
            <w:r w:rsidRPr="62EC0267">
              <w:t xml:space="preserve">Participants can move from Post Placement Support to Ongoing Support at any time as needed </w:t>
            </w:r>
            <w:r w:rsidR="00EA11D7">
              <w:t xml:space="preserve">from the time they achieve </w:t>
            </w:r>
            <w:r w:rsidR="00B41C59">
              <w:t>a 26</w:t>
            </w:r>
            <w:r w:rsidR="00AC6FCC">
              <w:t>-</w:t>
            </w:r>
            <w:r w:rsidR="00B41C59">
              <w:t xml:space="preserve">week </w:t>
            </w:r>
            <w:r w:rsidR="003B05EA">
              <w:t>Employment O</w:t>
            </w:r>
            <w:r w:rsidR="00B41C59">
              <w:t xml:space="preserve">utcome </w:t>
            </w:r>
            <w:r w:rsidR="003B05EA">
              <w:t>until a 52</w:t>
            </w:r>
            <w:r w:rsidR="00B6139A">
              <w:t>-</w:t>
            </w:r>
            <w:r w:rsidR="003B05EA">
              <w:t>week Employment Outcome is achieved</w:t>
            </w:r>
            <w:r w:rsidRPr="62EC0267">
              <w:t xml:space="preserve">. </w:t>
            </w:r>
          </w:p>
          <w:p w14:paraId="706FCE88" w14:textId="7F112E1B" w:rsidR="00D74559" w:rsidRPr="00CF3606" w:rsidRDefault="00F560B9" w:rsidP="004E120D">
            <w:pPr>
              <w:pStyle w:val="BulletLevel1"/>
              <w:numPr>
                <w:ilvl w:val="0"/>
                <w:numId w:val="0"/>
              </w:numPr>
            </w:pPr>
            <w:r>
              <w:t>*</w:t>
            </w:r>
            <w:r w:rsidR="00FA1C55" w:rsidRPr="00020C61">
              <w:rPr>
                <w:b/>
                <w:bCs/>
              </w:rPr>
              <w:t xml:space="preserve"> Note: </w:t>
            </w:r>
            <w:r w:rsidR="00FA1C55" w:rsidRPr="00020C61">
              <w:t xml:space="preserve">A Provider </w:t>
            </w:r>
            <w:r w:rsidR="00FA1C55">
              <w:t>may, with the agreement of the Participant, request an OSA Allocation up to 14 days prior to the date the Participant</w:t>
            </w:r>
            <w:r w:rsidR="00D74559">
              <w:t xml:space="preserve"> is </w:t>
            </w:r>
            <w:r w:rsidR="00FA1C55">
              <w:t>expected to achieve a 26-week Employment Outcome.</w:t>
            </w:r>
          </w:p>
        </w:tc>
      </w:tr>
      <w:tr w:rsidR="00FD020B" w:rsidRPr="00FB7CD7" w14:paraId="234D20CB" w14:textId="77777777" w:rsidTr="00147ED2">
        <w:trPr>
          <w:cnfStyle w:val="000000010000" w:firstRow="0" w:lastRow="0" w:firstColumn="0" w:lastColumn="0" w:oddVBand="0" w:evenVBand="0" w:oddHBand="0" w:evenHBand="1" w:firstRowFirstColumn="0" w:firstRowLastColumn="0" w:lastRowFirstColumn="0" w:lastRowLastColumn="0"/>
          <w:cantSplit/>
          <w:trHeight w:val="300"/>
        </w:trPr>
        <w:tc>
          <w:tcPr>
            <w:tcW w:w="1985" w:type="dxa"/>
            <w:tcBorders>
              <w:bottom w:val="single" w:sz="4" w:space="0" w:color="auto"/>
            </w:tcBorders>
          </w:tcPr>
          <w:p w14:paraId="6CD74C74" w14:textId="7FA9A281" w:rsidR="00D74559" w:rsidRPr="00FB7CD7" w:rsidRDefault="00D74559" w:rsidP="00E37CED">
            <w:pPr>
              <w:pStyle w:val="TableText"/>
            </w:pPr>
            <w:r>
              <w:t>Participant in Post</w:t>
            </w:r>
            <w:r w:rsidR="00F14FF9">
              <w:t> </w:t>
            </w:r>
            <w:r>
              <w:t xml:space="preserve">Placement Support </w:t>
            </w:r>
            <w:r w:rsidR="00B6139A">
              <w:t xml:space="preserve">is approaching or has already achieved a </w:t>
            </w:r>
            <w:r>
              <w:t>52</w:t>
            </w:r>
            <w:r w:rsidR="00B6139A">
              <w:noBreakHyphen/>
            </w:r>
            <w:r>
              <w:t>week Employment Outcome</w:t>
            </w:r>
          </w:p>
        </w:tc>
        <w:tc>
          <w:tcPr>
            <w:tcW w:w="7643" w:type="dxa"/>
            <w:tcBorders>
              <w:bottom w:val="single" w:sz="4" w:space="0" w:color="auto"/>
            </w:tcBorders>
          </w:tcPr>
          <w:p w14:paraId="1A9CFC79" w14:textId="2ACDA995" w:rsidR="00D74559" w:rsidRPr="00A85143" w:rsidRDefault="00D74559" w:rsidP="00E37CED">
            <w:pPr>
              <w:pStyle w:val="TableText"/>
            </w:pPr>
            <w:r>
              <w:t xml:space="preserve">This is when Ongoing Support becomes the only </w:t>
            </w:r>
            <w:r w:rsidR="00202A96">
              <w:t>Inclusive Employment Australia</w:t>
            </w:r>
            <w:r>
              <w:t xml:space="preserve"> support choice available for the Participant</w:t>
            </w:r>
            <w:r w:rsidR="00761713">
              <w:t xml:space="preserve"> if they continue to be employed</w:t>
            </w:r>
            <w:r>
              <w:t>.</w:t>
            </w:r>
          </w:p>
          <w:p w14:paraId="138E6B07" w14:textId="58704360" w:rsidR="00D74559" w:rsidRPr="00A85143" w:rsidRDefault="00D74559" w:rsidP="00E37CED">
            <w:pPr>
              <w:pStyle w:val="TableText"/>
            </w:pPr>
            <w:r w:rsidRPr="0114377B">
              <w:t xml:space="preserve">The Provider must decide </w:t>
            </w:r>
            <w:r w:rsidR="00181D8C">
              <w:t>if</w:t>
            </w:r>
            <w:r w:rsidRPr="0114377B">
              <w:t xml:space="preserve"> the Participant can work independently, or </w:t>
            </w:r>
            <w:r w:rsidR="00CC2CE3">
              <w:t>if</w:t>
            </w:r>
            <w:r w:rsidRPr="0114377B">
              <w:t xml:space="preserve"> they need Ongoing Support to maintain their </w:t>
            </w:r>
            <w:r w:rsidR="00AA0A6F">
              <w:t>E</w:t>
            </w:r>
            <w:r w:rsidRPr="0114377B">
              <w:t>mployment.</w:t>
            </w:r>
          </w:p>
          <w:p w14:paraId="59ACA071" w14:textId="0E83723A" w:rsidR="00D74559" w:rsidRPr="00FB7CD7" w:rsidRDefault="00D74559" w:rsidP="00E37CED">
            <w:pPr>
              <w:pStyle w:val="TableText"/>
            </w:pPr>
            <w:r>
              <w:t xml:space="preserve">If the Provider thinks the Participant needs Ongoing Support in the lead-up to the 52-week </w:t>
            </w:r>
            <w:r w:rsidR="00D2682E">
              <w:t>O</w:t>
            </w:r>
            <w:r>
              <w:t xml:space="preserve">utcome or when it is achieved, </w:t>
            </w:r>
            <w:r w:rsidR="00D26C13">
              <w:t>and the Particip</w:t>
            </w:r>
            <w:r w:rsidR="005856FC">
              <w:t xml:space="preserve">ant </w:t>
            </w:r>
            <w:r w:rsidR="00451B0A">
              <w:t>agrees</w:t>
            </w:r>
            <w:r w:rsidR="005856FC">
              <w:t xml:space="preserve"> to receive Ongoing Support</w:t>
            </w:r>
            <w:r w:rsidR="00E57CB0">
              <w:t xml:space="preserve">, </w:t>
            </w:r>
            <w:r>
              <w:t>the Provider:</w:t>
            </w:r>
          </w:p>
          <w:p w14:paraId="4E93F208" w14:textId="66E9ED80" w:rsidR="00D74559" w:rsidRPr="00FB7CD7" w:rsidRDefault="00D74559" w:rsidP="007D21CC">
            <w:pPr>
              <w:pStyle w:val="TableList-level1"/>
            </w:pPr>
            <w:r w:rsidRPr="0114377B">
              <w:t xml:space="preserve">must request an OSA </w:t>
            </w:r>
            <w:bookmarkStart w:id="426" w:name="_Int_Fxz8w6Px"/>
            <w:r w:rsidRPr="0114377B">
              <w:t>immediately</w:t>
            </w:r>
            <w:bookmarkEnd w:id="426"/>
          </w:p>
          <w:p w14:paraId="682B8BD6" w14:textId="77777777" w:rsidR="001D4BED" w:rsidRDefault="00D74559" w:rsidP="007D21CC">
            <w:pPr>
              <w:pStyle w:val="TableList-level1"/>
            </w:pPr>
            <w:r w:rsidRPr="0114377B">
              <w:t xml:space="preserve">can deliver the Level of Ongoing Support they think is </w:t>
            </w:r>
            <w:bookmarkStart w:id="427" w:name="_Int_lbT1lEHr"/>
            <w:r w:rsidRPr="0114377B">
              <w:t>appropriate until</w:t>
            </w:r>
            <w:bookmarkEnd w:id="427"/>
            <w:r w:rsidRPr="0114377B">
              <w:t xml:space="preserve"> the OSA is completed (maximum of 28 days)</w:t>
            </w:r>
          </w:p>
          <w:p w14:paraId="364CEF75" w14:textId="069E2262" w:rsidR="001D4BED" w:rsidRDefault="001D4BED" w:rsidP="001D4BED">
            <w:pPr>
              <w:pStyle w:val="TableList-level1"/>
            </w:pPr>
            <w:r>
              <w:t xml:space="preserve">can, if </w:t>
            </w:r>
            <w:r w:rsidR="001C6F07">
              <w:t>the</w:t>
            </w:r>
            <w:r>
              <w:t xml:space="preserve"> OSA recommends Ongoing Support is required, continue to deliver Ongoing Support</w:t>
            </w:r>
            <w:r w:rsidR="00D27C10">
              <w:t>, and</w:t>
            </w:r>
          </w:p>
          <w:p w14:paraId="1CB8F4BA" w14:textId="12DD8461" w:rsidR="00D74559" w:rsidRDefault="001D4BED" w:rsidP="007D21CC">
            <w:pPr>
              <w:pStyle w:val="TableList-level1"/>
            </w:pPr>
            <w:r>
              <w:t xml:space="preserve">must, if </w:t>
            </w:r>
            <w:r w:rsidR="001C6F07">
              <w:t>the</w:t>
            </w:r>
            <w:r>
              <w:t xml:space="preserve"> OSA recommends Ongoing Support is not required, </w:t>
            </w:r>
            <w:r w:rsidR="00147ED2">
              <w:t>E</w:t>
            </w:r>
            <w:r w:rsidR="001C6F07">
              <w:t>xit the Participant once a 52</w:t>
            </w:r>
            <w:r w:rsidR="00AC6FCC">
              <w:t>-</w:t>
            </w:r>
            <w:r w:rsidR="001C6F07">
              <w:t>week Employment Outcome is achieved</w:t>
            </w:r>
            <w:r w:rsidR="00D74559" w:rsidRPr="0114377B">
              <w:t>.</w:t>
            </w:r>
          </w:p>
          <w:p w14:paraId="3303E79D" w14:textId="77777777" w:rsidR="00863C56" w:rsidRDefault="00D74559" w:rsidP="00E37CED">
            <w:pPr>
              <w:pStyle w:val="TableText"/>
            </w:pPr>
            <w:r>
              <w:t xml:space="preserve">If the Provider </w:t>
            </w:r>
            <w:r w:rsidR="00775049">
              <w:t xml:space="preserve">and/or the Participant </w:t>
            </w:r>
            <w:r>
              <w:t xml:space="preserve">decide that </w:t>
            </w:r>
            <w:r w:rsidR="00DF7F7F">
              <w:t>the</w:t>
            </w:r>
            <w:r>
              <w:t xml:space="preserve"> Participant </w:t>
            </w:r>
            <w:r w:rsidR="00775049">
              <w:t xml:space="preserve">can </w:t>
            </w:r>
            <w:r w:rsidR="00157DC4">
              <w:t>maintain their employment</w:t>
            </w:r>
            <w:r w:rsidR="00775049">
              <w:t xml:space="preserve"> without </w:t>
            </w:r>
            <w:r w:rsidR="00DB0F4B">
              <w:t>additional assistance</w:t>
            </w:r>
            <w:r w:rsidR="00740170">
              <w:t xml:space="preserve"> through Ongoing Support</w:t>
            </w:r>
            <w:r>
              <w:t>, an OSA</w:t>
            </w:r>
            <w:r w:rsidR="00DF7F7F">
              <w:t xml:space="preserve"> is</w:t>
            </w:r>
            <w:r w:rsidR="00460863">
              <w:t xml:space="preserve"> </w:t>
            </w:r>
            <w:r>
              <w:t xml:space="preserve">not </w:t>
            </w:r>
            <w:r w:rsidR="00460863">
              <w:t>require</w:t>
            </w:r>
            <w:r w:rsidR="00DF7F7F">
              <w:t>d</w:t>
            </w:r>
            <w:r>
              <w:t xml:space="preserve">. </w:t>
            </w:r>
          </w:p>
          <w:p w14:paraId="7E91328C" w14:textId="25156ED0" w:rsidR="00D77470" w:rsidRPr="00172F74" w:rsidRDefault="00B22CFD" w:rsidP="00E37CED">
            <w:pPr>
              <w:pStyle w:val="TableText"/>
            </w:pPr>
            <w:r>
              <w:t xml:space="preserve">Once the </w:t>
            </w:r>
            <w:r w:rsidR="00D74559">
              <w:t xml:space="preserve">Participant </w:t>
            </w:r>
            <w:r>
              <w:t>has achieved</w:t>
            </w:r>
            <w:r w:rsidR="00D74559">
              <w:t xml:space="preserve"> a 52-week Employment Outcome</w:t>
            </w:r>
            <w:r>
              <w:t xml:space="preserve">, </w:t>
            </w:r>
            <w:r w:rsidR="00D74559">
              <w:t>the Provider must Exit</w:t>
            </w:r>
            <w:r w:rsidR="005D7DF7">
              <w:t xml:space="preserve"> </w:t>
            </w:r>
            <w:r w:rsidR="00C37C0E">
              <w:t xml:space="preserve">the Participant </w:t>
            </w:r>
            <w:r w:rsidR="00D74559">
              <w:t>— refer to</w:t>
            </w:r>
            <w:r w:rsidR="00C37C0E">
              <w:t xml:space="preserve"> </w:t>
            </w:r>
            <w:r w:rsidR="003B2E77">
              <w:fldChar w:fldCharType="begin"/>
            </w:r>
            <w:r w:rsidR="003B2E77">
              <w:instrText xml:space="preserve"> REF _Ref202784863 \h </w:instrText>
            </w:r>
            <w:r w:rsidR="003B2E77">
              <w:fldChar w:fldCharType="separate"/>
            </w:r>
            <w:r w:rsidR="003B2E77" w:rsidRPr="005A0947">
              <w:t>3.6</w:t>
            </w:r>
            <w:r w:rsidR="003B2E77">
              <w:t xml:space="preserve"> </w:t>
            </w:r>
            <w:r w:rsidR="003B2E77" w:rsidRPr="00961F42">
              <w:t>E</w:t>
            </w:r>
            <w:r w:rsidR="003B2E77" w:rsidRPr="005A0947">
              <w:t>xits</w:t>
            </w:r>
            <w:r w:rsidR="003B2E77">
              <w:fldChar w:fldCharType="end"/>
            </w:r>
            <w:r w:rsidR="00C37C0E">
              <w:rPr>
                <w:highlight w:val="yellow"/>
              </w:rPr>
              <w:fldChar w:fldCharType="begin"/>
            </w:r>
            <w:r w:rsidR="00C37C0E">
              <w:instrText xml:space="preserve"> REF _Ref202784863 \h </w:instrText>
            </w:r>
            <w:r w:rsidR="00C37C0E">
              <w:rPr>
                <w:highlight w:val="yellow"/>
              </w:rPr>
            </w:r>
            <w:r w:rsidR="00C37C0E">
              <w:rPr>
                <w:highlight w:val="yellow"/>
              </w:rPr>
              <w:fldChar w:fldCharType="separate"/>
            </w:r>
            <w:r w:rsidR="00C37C0E">
              <w:rPr>
                <w:highlight w:val="yellow"/>
              </w:rPr>
              <w:fldChar w:fldCharType="end"/>
            </w:r>
            <w:r w:rsidR="00D74559">
              <w:t>.</w:t>
            </w:r>
          </w:p>
        </w:tc>
      </w:tr>
      <w:tr w:rsidR="00D74559" w:rsidRPr="00FB7CD7" w14:paraId="68AC779C" w14:textId="77777777" w:rsidTr="002975D4">
        <w:trPr>
          <w:cnfStyle w:val="000000100000" w:firstRow="0" w:lastRow="0" w:firstColumn="0" w:lastColumn="0" w:oddVBand="0" w:evenVBand="0" w:oddHBand="1" w:evenHBand="0" w:firstRowFirstColumn="0" w:firstRowLastColumn="0" w:lastRowFirstColumn="0" w:lastRowLastColumn="0"/>
          <w:cantSplit/>
          <w:trHeight w:val="300"/>
        </w:trPr>
        <w:tc>
          <w:tcPr>
            <w:tcW w:w="1985" w:type="dxa"/>
            <w:tcBorders>
              <w:top w:val="single" w:sz="4" w:space="0" w:color="auto"/>
              <w:bottom w:val="single" w:sz="4" w:space="0" w:color="auto"/>
            </w:tcBorders>
          </w:tcPr>
          <w:p w14:paraId="60EFD001" w14:textId="770EFBFA" w:rsidR="00D74559" w:rsidRPr="00FB7CD7" w:rsidRDefault="00D74559" w:rsidP="00E37CED">
            <w:pPr>
              <w:pStyle w:val="TableText"/>
            </w:pPr>
            <w:r>
              <w:t xml:space="preserve">Employee Directly Registers as an Ongoing Support (Work Assist) Participant </w:t>
            </w:r>
          </w:p>
        </w:tc>
        <w:tc>
          <w:tcPr>
            <w:tcW w:w="7643" w:type="dxa"/>
            <w:tcBorders>
              <w:top w:val="single" w:sz="4" w:space="0" w:color="auto"/>
              <w:bottom w:val="single" w:sz="4" w:space="0" w:color="auto"/>
            </w:tcBorders>
          </w:tcPr>
          <w:p w14:paraId="1AAB3659" w14:textId="77777777" w:rsidR="00C807DC" w:rsidRDefault="00D74559" w:rsidP="00E37CED">
            <w:pPr>
              <w:pStyle w:val="TableText"/>
              <w:rPr>
                <w:rFonts w:ascii="Tahoma" w:eastAsia="Tahoma" w:hAnsi="Tahoma" w:cs="Tahoma"/>
              </w:rPr>
            </w:pPr>
            <w:r w:rsidRPr="435DA128">
              <w:rPr>
                <w:rFonts w:ascii="Tahoma" w:eastAsia="Tahoma" w:hAnsi="Tahoma" w:cs="Tahoma"/>
              </w:rPr>
              <w:t xml:space="preserve">Ongoing Support is also available to employees in existing Employment who are not currently receiving support through </w:t>
            </w:r>
            <w:r w:rsidR="00202A96">
              <w:rPr>
                <w:rFonts w:ascii="Tahoma" w:eastAsia="Tahoma" w:hAnsi="Tahoma" w:cs="Tahoma"/>
              </w:rPr>
              <w:t>Inclusive Employment Australia</w:t>
            </w:r>
            <w:r w:rsidRPr="435DA128">
              <w:rPr>
                <w:rFonts w:ascii="Tahoma" w:eastAsia="Tahoma" w:hAnsi="Tahoma" w:cs="Tahoma"/>
              </w:rPr>
              <w:t>. Eligible employees can volunteer to receive Services as an Ongoing Support (Work Assist) Participant if they are having difficulty performing the essential functions of their job because of their disability, injury or health condition.</w:t>
            </w:r>
            <w:r w:rsidR="0030028C">
              <w:rPr>
                <w:rFonts w:ascii="Tahoma" w:eastAsia="Tahoma" w:hAnsi="Tahoma" w:cs="Tahoma"/>
              </w:rPr>
              <w:t xml:space="preserve"> </w:t>
            </w:r>
          </w:p>
          <w:p w14:paraId="6B0BA268" w14:textId="60904B72" w:rsidR="00D74559" w:rsidRPr="00A85143" w:rsidRDefault="00D74559" w:rsidP="00E37CED">
            <w:pPr>
              <w:pStyle w:val="TableText"/>
            </w:pPr>
            <w:r>
              <w:t xml:space="preserve">The Provider must decide </w:t>
            </w:r>
            <w:r w:rsidR="00CC2CE3">
              <w:t>if</w:t>
            </w:r>
            <w:r>
              <w:t xml:space="preserve"> the Participant need</w:t>
            </w:r>
            <w:r w:rsidR="00DD4856">
              <w:t>s</w:t>
            </w:r>
            <w:r>
              <w:t xml:space="preserve"> </w:t>
            </w:r>
            <w:r w:rsidR="00AF017E">
              <w:t>Ongoing S</w:t>
            </w:r>
            <w:r>
              <w:t xml:space="preserve">upport to </w:t>
            </w:r>
            <w:r w:rsidR="00DD4856">
              <w:t>maintain</w:t>
            </w:r>
            <w:r>
              <w:t xml:space="preserve"> their </w:t>
            </w:r>
            <w:r w:rsidR="00CC2CE3">
              <w:t>E</w:t>
            </w:r>
            <w:r w:rsidR="00DD4856">
              <w:t>mployment</w:t>
            </w:r>
            <w:r>
              <w:t>.</w:t>
            </w:r>
          </w:p>
          <w:p w14:paraId="38626D23" w14:textId="1E6FC5C3" w:rsidR="00D74559" w:rsidRDefault="00D74559" w:rsidP="00E37CED">
            <w:pPr>
              <w:pStyle w:val="TableText"/>
            </w:pPr>
            <w:r w:rsidRPr="792BECF6">
              <w:t xml:space="preserve">If the </w:t>
            </w:r>
            <w:r>
              <w:t>Provider</w:t>
            </w:r>
            <w:r w:rsidRPr="792BECF6">
              <w:t xml:space="preserve"> thinks the </w:t>
            </w:r>
            <w:r w:rsidR="00C807DC">
              <w:t>employee</w:t>
            </w:r>
            <w:r w:rsidRPr="792BECF6">
              <w:t xml:space="preserve"> needs </w:t>
            </w:r>
            <w:r>
              <w:t>Ongoing Support</w:t>
            </w:r>
            <w:r w:rsidRPr="792BECF6">
              <w:t xml:space="preserve">, the </w:t>
            </w:r>
            <w:r>
              <w:t>Provider</w:t>
            </w:r>
            <w:r w:rsidRPr="792BECF6">
              <w:t>:</w:t>
            </w:r>
          </w:p>
          <w:p w14:paraId="3301AD36" w14:textId="1A83A624" w:rsidR="00D74559" w:rsidRDefault="00D74559" w:rsidP="007D21CC">
            <w:pPr>
              <w:pStyle w:val="TableList-level1"/>
              <w:rPr>
                <w:szCs w:val="22"/>
              </w:rPr>
            </w:pPr>
            <w:r>
              <w:t xml:space="preserve">must </w:t>
            </w:r>
            <w:r w:rsidR="00DD4856">
              <w:t>check eligibility</w:t>
            </w:r>
            <w:r w:rsidR="00AF017E">
              <w:t>*</w:t>
            </w:r>
            <w:r w:rsidR="00DD4856">
              <w:t xml:space="preserve"> and </w:t>
            </w:r>
            <w:r>
              <w:t xml:space="preserve">Directly Register the Participant for </w:t>
            </w:r>
            <w:r w:rsidR="00202A96">
              <w:t>Inclusive Employment Australia</w:t>
            </w:r>
          </w:p>
          <w:p w14:paraId="625EADC2" w14:textId="713D7096" w:rsidR="00D74559" w:rsidRDefault="00D74559" w:rsidP="007D21CC">
            <w:pPr>
              <w:pStyle w:val="TableList-level1"/>
            </w:pPr>
            <w:r w:rsidRPr="0114377B">
              <w:t xml:space="preserve">must </w:t>
            </w:r>
            <w:bookmarkStart w:id="428" w:name="_Int_XBXQ1UiW"/>
            <w:r w:rsidR="00A76F85" w:rsidRPr="0114377B">
              <w:t>immediately</w:t>
            </w:r>
            <w:bookmarkEnd w:id="428"/>
            <w:r w:rsidR="00A76F85" w:rsidRPr="0114377B">
              <w:t xml:space="preserve"> </w:t>
            </w:r>
            <w:r w:rsidRPr="0114377B">
              <w:t xml:space="preserve">request an OSA </w:t>
            </w:r>
          </w:p>
          <w:p w14:paraId="46602834" w14:textId="77777777" w:rsidR="00CD6DE6" w:rsidRDefault="00D74559" w:rsidP="007D21CC">
            <w:pPr>
              <w:pStyle w:val="TableList-level1"/>
            </w:pPr>
            <w:r w:rsidRPr="62EC0267">
              <w:t>can only deliver Moderate Ongoing Support until the first OSA is completed (maximum of 28 days)</w:t>
            </w:r>
          </w:p>
          <w:p w14:paraId="0CA59DFF" w14:textId="4E383127" w:rsidR="00062975" w:rsidRDefault="00062975" w:rsidP="00062975">
            <w:pPr>
              <w:pStyle w:val="TableList-level1"/>
            </w:pPr>
            <w:r>
              <w:t xml:space="preserve">can, if the OSA recommends Ongoing Support is required, continue to deliver </w:t>
            </w:r>
            <w:r w:rsidR="00B8587E">
              <w:t xml:space="preserve">Moderate or High </w:t>
            </w:r>
            <w:r>
              <w:t>Ongoing Support</w:t>
            </w:r>
            <w:r w:rsidR="00D27C10">
              <w:t>, and</w:t>
            </w:r>
          </w:p>
          <w:p w14:paraId="1F6F2FC7" w14:textId="50576809" w:rsidR="00D74559" w:rsidRDefault="00062975" w:rsidP="007D21CC">
            <w:pPr>
              <w:pStyle w:val="TableList-level1"/>
            </w:pPr>
            <w:r>
              <w:t xml:space="preserve">must, if the OSA recommends Ongoing Support is not required, </w:t>
            </w:r>
            <w:r w:rsidR="003569BE">
              <w:t>E</w:t>
            </w:r>
            <w:r>
              <w:t xml:space="preserve">xit the Participant </w:t>
            </w:r>
            <w:r w:rsidR="005B284C">
              <w:t xml:space="preserve">from the </w:t>
            </w:r>
            <w:r w:rsidR="00202A96">
              <w:t>Inclusive Employment Australia</w:t>
            </w:r>
            <w:r w:rsidR="00D74559" w:rsidRPr="62EC0267">
              <w:t>.</w:t>
            </w:r>
          </w:p>
          <w:p w14:paraId="653CCDB5" w14:textId="63C34155" w:rsidR="00D74559" w:rsidRPr="00A85143" w:rsidRDefault="00F560B9" w:rsidP="000447AE">
            <w:pPr>
              <w:pStyle w:val="TableText"/>
            </w:pPr>
            <w:r>
              <w:rPr>
                <w:b/>
                <w:bCs/>
              </w:rPr>
              <w:t>*</w:t>
            </w:r>
            <w:r w:rsidRPr="62EC0267">
              <w:rPr>
                <w:b/>
                <w:bCs/>
              </w:rPr>
              <w:t>Note:</w:t>
            </w:r>
            <w:r w:rsidRPr="62EC0267">
              <w:t xml:space="preserve"> When deciding the need for Ongoing Support, Providers must also check that the</w:t>
            </w:r>
            <w:r w:rsidR="00946793">
              <w:t xml:space="preserve"> employee</w:t>
            </w:r>
            <w:r w:rsidRPr="62EC0267">
              <w:t xml:space="preserve"> meet</w:t>
            </w:r>
            <w:r w:rsidR="00946793">
              <w:t>s</w:t>
            </w:r>
            <w:r w:rsidRPr="62EC0267">
              <w:t xml:space="preserve"> the requirements for eligibility and Direct Registration as </w:t>
            </w:r>
            <w:r w:rsidR="00946793">
              <w:t>an Ongoing Support (Work Assist) Participant</w:t>
            </w:r>
            <w:r w:rsidR="0098281E">
              <w:t xml:space="preserve">, </w:t>
            </w:r>
            <w:r w:rsidRPr="62EC0267">
              <w:t>as outlined in</w:t>
            </w:r>
            <w:r w:rsidR="003E3F72">
              <w:t xml:space="preserve"> </w:t>
            </w:r>
            <w:r w:rsidR="003E3F72">
              <w:fldChar w:fldCharType="begin"/>
            </w:r>
            <w:r w:rsidR="003E3F72">
              <w:instrText xml:space="preserve"> REF _Ref202783302 \h </w:instrText>
            </w:r>
            <w:r w:rsidR="003E3F72">
              <w:fldChar w:fldCharType="separate"/>
            </w:r>
            <w:r w:rsidR="000D75AE">
              <w:t>1.3.6</w:t>
            </w:r>
            <w:r w:rsidR="004572F7">
              <w:t xml:space="preserve"> </w:t>
            </w:r>
            <w:r w:rsidR="000D75AE">
              <w:t>Ongoing Support (Work Assist) Participants</w:t>
            </w:r>
            <w:r w:rsidR="003E3F72">
              <w:fldChar w:fldCharType="end"/>
            </w:r>
            <w:r w:rsidR="003E3F72">
              <w:t>.</w:t>
            </w:r>
          </w:p>
        </w:tc>
      </w:tr>
    </w:tbl>
    <w:p w14:paraId="0B533628" w14:textId="513CEB9B" w:rsidR="00D74559" w:rsidRDefault="00D74559" w:rsidP="001D0F92">
      <w:pPr>
        <w:pStyle w:val="Heading4"/>
      </w:pPr>
      <w:bookmarkStart w:id="429" w:name="_Toc202900064"/>
      <w:r>
        <w:t>10.3.1</w:t>
      </w:r>
      <w:r w:rsidR="007D021E">
        <w:tab/>
      </w:r>
      <w:r>
        <w:t>Movement into Ongoing Support</w:t>
      </w:r>
      <w:bookmarkEnd w:id="429"/>
    </w:p>
    <w:p w14:paraId="12516284" w14:textId="53391FBC" w:rsidR="00D74559" w:rsidRDefault="00D74559" w:rsidP="00546076">
      <w:r>
        <w:t xml:space="preserve">Movement into Ongoing Support differs for Ongoing Support Participants transitioning from Post Placement Support and those who enter </w:t>
      </w:r>
      <w:r w:rsidR="00202A96">
        <w:t>Inclusive Employment Australia</w:t>
      </w:r>
      <w:r>
        <w:t xml:space="preserve"> as Ongoing Support (Work Assist) Participants.</w:t>
      </w:r>
    </w:p>
    <w:p w14:paraId="573D2E74" w14:textId="29D4FBE5" w:rsidR="00D74559" w:rsidRPr="00FB7CD7" w:rsidRDefault="00D74559" w:rsidP="00546076">
      <w:r w:rsidRPr="005D563F">
        <w:rPr>
          <w:u w:val="single"/>
        </w:rPr>
        <w:t>For Participants transitioning from Post Placement Support</w:t>
      </w:r>
      <w:r>
        <w:t xml:space="preserve">, Providers must first </w:t>
      </w:r>
      <w:r w:rsidR="00980EDD">
        <w:t>hold a Contact Appointment with</w:t>
      </w:r>
      <w:r>
        <w:t xml:space="preserve"> the Participant to:</w:t>
      </w:r>
    </w:p>
    <w:p w14:paraId="07FA7B77" w14:textId="77777777" w:rsidR="008A6B85" w:rsidRDefault="00D74559" w:rsidP="004E120D">
      <w:pPr>
        <w:pStyle w:val="BulletLevel1"/>
      </w:pPr>
      <w:r w:rsidRPr="000A5454">
        <w:t>discuss</w:t>
      </w:r>
      <w:r w:rsidR="007B7CF1">
        <w:t xml:space="preserve"> the Participant’s circumstances</w:t>
      </w:r>
      <w:r w:rsidR="004A3CFD">
        <w:t xml:space="preserve">, </w:t>
      </w:r>
      <w:r w:rsidR="00AE2339">
        <w:t>Employment situation</w:t>
      </w:r>
      <w:r w:rsidRPr="000A5454">
        <w:t xml:space="preserve"> </w:t>
      </w:r>
      <w:r w:rsidR="004A3CFD">
        <w:t xml:space="preserve">and support needs </w:t>
      </w:r>
    </w:p>
    <w:p w14:paraId="7F7B8A80" w14:textId="46D22C4E" w:rsidR="006B59C0" w:rsidRDefault="00D74559" w:rsidP="004E120D">
      <w:pPr>
        <w:pStyle w:val="BulletLevel1"/>
      </w:pPr>
      <w:r w:rsidRPr="000A5454">
        <w:t xml:space="preserve">explain the </w:t>
      </w:r>
      <w:r w:rsidR="008F2E95">
        <w:t xml:space="preserve">range of </w:t>
      </w:r>
      <w:r w:rsidRPr="000A5454">
        <w:t>support</w:t>
      </w:r>
      <w:r w:rsidR="00651AAE">
        <w:t>s</w:t>
      </w:r>
      <w:r w:rsidRPr="000A5454">
        <w:t xml:space="preserve"> that </w:t>
      </w:r>
      <w:r w:rsidR="00651AAE">
        <w:t>can</w:t>
      </w:r>
      <w:r w:rsidR="005349CF" w:rsidRPr="000A5454">
        <w:t xml:space="preserve"> </w:t>
      </w:r>
      <w:r w:rsidRPr="000A5454">
        <w:t xml:space="preserve">be provided through Ongoing Support </w:t>
      </w:r>
    </w:p>
    <w:p w14:paraId="612C0370" w14:textId="297E4E70" w:rsidR="00D74559" w:rsidRPr="000A5454" w:rsidRDefault="00651AAE" w:rsidP="004E120D">
      <w:pPr>
        <w:pStyle w:val="BulletLevel1"/>
      </w:pPr>
      <w:r>
        <w:t>seek</w:t>
      </w:r>
      <w:r w:rsidR="00CA7948">
        <w:t xml:space="preserve"> the </w:t>
      </w:r>
      <w:r>
        <w:t>P</w:t>
      </w:r>
      <w:r w:rsidR="00CA7948">
        <w:t>articipant</w:t>
      </w:r>
      <w:r>
        <w:t>’s</w:t>
      </w:r>
      <w:r w:rsidR="00CA7948">
        <w:t xml:space="preserve"> </w:t>
      </w:r>
      <w:r>
        <w:t>agreement</w:t>
      </w:r>
      <w:r w:rsidR="00CA7948">
        <w:t xml:space="preserve"> to receive Ongoing Support, </w:t>
      </w:r>
      <w:r w:rsidR="00D74559" w:rsidRPr="000A5454">
        <w:t xml:space="preserve">and </w:t>
      </w:r>
    </w:p>
    <w:p w14:paraId="468FE8D5" w14:textId="684393D2" w:rsidR="00A27B01" w:rsidRDefault="000F6C57" w:rsidP="004E120D">
      <w:pPr>
        <w:pStyle w:val="BulletLevel1"/>
      </w:pPr>
      <w:r>
        <w:t xml:space="preserve">if the </w:t>
      </w:r>
      <w:r w:rsidR="00C8222D">
        <w:t>P</w:t>
      </w:r>
      <w:r>
        <w:t xml:space="preserve">articipant agrees to </w:t>
      </w:r>
      <w:r w:rsidR="00706772">
        <w:t>receive Ongoing Support</w:t>
      </w:r>
      <w:r w:rsidR="002975E1">
        <w:t>:</w:t>
      </w:r>
    </w:p>
    <w:p w14:paraId="2FA7114E" w14:textId="77777777" w:rsidR="00A27B01" w:rsidRDefault="00A27B01" w:rsidP="004E120D">
      <w:pPr>
        <w:pStyle w:val="BulletLevel2"/>
      </w:pPr>
      <w:r>
        <w:t>request an OSA</w:t>
      </w:r>
    </w:p>
    <w:p w14:paraId="487A887E" w14:textId="6D5AAD80" w:rsidR="009E7DA9" w:rsidRDefault="007C4F19" w:rsidP="004E120D">
      <w:pPr>
        <w:pStyle w:val="BulletLevel2"/>
      </w:pPr>
      <w:r>
        <w:t>commence the Particip</w:t>
      </w:r>
      <w:r w:rsidR="009E7DA9">
        <w:t xml:space="preserve">ant in Ongoing </w:t>
      </w:r>
      <w:r w:rsidR="00411161">
        <w:t>Support, and</w:t>
      </w:r>
    </w:p>
    <w:p w14:paraId="708CBDB8" w14:textId="09099962" w:rsidR="00D74559" w:rsidRPr="000A5454" w:rsidRDefault="00411161" w:rsidP="004E120D">
      <w:pPr>
        <w:pStyle w:val="BulletLevel2"/>
      </w:pPr>
      <w:r>
        <w:t>once the Participant has commenced</w:t>
      </w:r>
      <w:r w:rsidR="007C4F19">
        <w:t xml:space="preserve"> in Ongoing Support</w:t>
      </w:r>
      <w:r>
        <w:t xml:space="preserve">, </w:t>
      </w:r>
      <w:r w:rsidR="00D74559" w:rsidRPr="000A5454">
        <w:t xml:space="preserve">update the Participant’s Job Plan </w:t>
      </w:r>
      <w:r w:rsidR="008F2E95">
        <w:t xml:space="preserve">to reflect </w:t>
      </w:r>
      <w:r w:rsidR="00335A97">
        <w:t>that the Participant is now receiving Ongoing Support</w:t>
      </w:r>
      <w:r w:rsidR="00D74559" w:rsidRPr="000A5454">
        <w:t>.</w:t>
      </w:r>
    </w:p>
    <w:p w14:paraId="0DF9075C" w14:textId="2E06600A" w:rsidR="00D74559" w:rsidRPr="003E77F4" w:rsidRDefault="00D74559" w:rsidP="00295C94">
      <w:pPr>
        <w:tabs>
          <w:tab w:val="right" w:pos="1701"/>
        </w:tabs>
        <w:spacing w:after="120"/>
      </w:pPr>
      <w:r w:rsidRPr="0114377B">
        <w:t xml:space="preserve">Providers can </w:t>
      </w:r>
      <w:bookmarkStart w:id="430" w:name="_Int_2HtD7AOi"/>
      <w:r w:rsidRPr="0114377B">
        <w:t>immediately</w:t>
      </w:r>
      <w:bookmarkEnd w:id="430"/>
      <w:r w:rsidRPr="0114377B">
        <w:t xml:space="preserve"> start delivering Ongoing Support to </w:t>
      </w:r>
      <w:r w:rsidR="006D596F">
        <w:t>the</w:t>
      </w:r>
      <w:r w:rsidRPr="0114377B">
        <w:t xml:space="preserve"> Participant </w:t>
      </w:r>
      <w:r w:rsidR="006D596F">
        <w:t>once they have moved</w:t>
      </w:r>
      <w:r w:rsidRPr="0114377B">
        <w:t xml:space="preserve"> them to the Ongoing Support phase in the Department’s IT Systems.</w:t>
      </w:r>
    </w:p>
    <w:p w14:paraId="259C1E3A" w14:textId="28D3A3E4" w:rsidR="00D74559" w:rsidRPr="00A17B7B" w:rsidRDefault="00D74559" w:rsidP="006F727E">
      <w:pPr>
        <w:pStyle w:val="SystemStep"/>
      </w:pPr>
      <w:r w:rsidRPr="00A17B7B">
        <w:t xml:space="preserve">Providers must </w:t>
      </w:r>
      <w:r w:rsidR="003B388F">
        <w:t>change</w:t>
      </w:r>
      <w:r w:rsidRPr="00A17B7B">
        <w:t xml:space="preserve"> a Participant</w:t>
      </w:r>
      <w:r w:rsidR="003B388F">
        <w:t>’s phase</w:t>
      </w:r>
      <w:r w:rsidRPr="00A17B7B">
        <w:t xml:space="preserve"> to Ongoing Support in the Department’s IT Systems.</w:t>
      </w:r>
    </w:p>
    <w:p w14:paraId="71406DAF" w14:textId="750691AC" w:rsidR="00D74559" w:rsidRPr="00FB7CD7" w:rsidRDefault="00D74559" w:rsidP="0023206A">
      <w:r w:rsidRPr="62EC0267">
        <w:t xml:space="preserve">For Participants who transition from Post Placement Support, the Level of Ongoing Support is </w:t>
      </w:r>
      <w:r w:rsidR="00000345">
        <w:t>determined</w:t>
      </w:r>
      <w:r w:rsidR="00000345" w:rsidRPr="62EC0267">
        <w:t xml:space="preserve"> </w:t>
      </w:r>
      <w:r w:rsidRPr="62EC0267">
        <w:t>by:</w:t>
      </w:r>
    </w:p>
    <w:p w14:paraId="4FBCD1E0" w14:textId="77777777" w:rsidR="00D74559" w:rsidRDefault="00D74559" w:rsidP="004E120D">
      <w:pPr>
        <w:pStyle w:val="BulletLevel1"/>
      </w:pPr>
      <w:r w:rsidRPr="62EC0267">
        <w:t xml:space="preserve">the Provider in the period before the first OSA is completed, and </w:t>
      </w:r>
    </w:p>
    <w:p w14:paraId="19CC6F98" w14:textId="77777777" w:rsidR="00D74559" w:rsidRDefault="00D74559" w:rsidP="004E120D">
      <w:pPr>
        <w:pStyle w:val="BulletLevel1"/>
      </w:pPr>
      <w:r w:rsidRPr="62EC0267">
        <w:t xml:space="preserve">the first OSA, from the date it is completed. </w:t>
      </w:r>
    </w:p>
    <w:p w14:paraId="69050E7D" w14:textId="77777777" w:rsidR="00F760D0" w:rsidRPr="006E247B" w:rsidRDefault="00F760D0" w:rsidP="00F760D0">
      <w:r w:rsidRPr="005D563F">
        <w:rPr>
          <w:u w:val="single"/>
        </w:rPr>
        <w:t>For Ongoing Support (Work Assist) Participants</w:t>
      </w:r>
      <w:r>
        <w:t>, Providers must at the Initial Interview:</w:t>
      </w:r>
    </w:p>
    <w:p w14:paraId="0209B61E" w14:textId="0DA02DF0" w:rsidR="00F760D0" w:rsidRDefault="00F760D0" w:rsidP="00F760D0">
      <w:pPr>
        <w:pStyle w:val="BulletLevel1"/>
      </w:pPr>
      <w:r w:rsidRPr="0114377B">
        <w:t>discuss</w:t>
      </w:r>
      <w:r>
        <w:t xml:space="preserve"> the </w:t>
      </w:r>
      <w:r w:rsidR="008E63C0">
        <w:t>Participant’s</w:t>
      </w:r>
      <w:r>
        <w:t xml:space="preserve"> circumstances</w:t>
      </w:r>
      <w:r w:rsidRPr="0114377B">
        <w:t xml:space="preserve">, </w:t>
      </w:r>
      <w:r>
        <w:t xml:space="preserve">Employment situation and support needs </w:t>
      </w:r>
    </w:p>
    <w:p w14:paraId="499C552B" w14:textId="77777777" w:rsidR="00F760D0" w:rsidRPr="00E60D23" w:rsidRDefault="00F760D0" w:rsidP="00F760D0">
      <w:pPr>
        <w:pStyle w:val="BulletLevel1"/>
      </w:pPr>
      <w:r w:rsidRPr="0114377B">
        <w:t xml:space="preserve">explain the </w:t>
      </w:r>
      <w:r>
        <w:t xml:space="preserve">range of </w:t>
      </w:r>
      <w:r w:rsidRPr="0114377B">
        <w:t>support</w:t>
      </w:r>
      <w:r>
        <w:t>s</w:t>
      </w:r>
      <w:r w:rsidRPr="0114377B">
        <w:t xml:space="preserve"> that </w:t>
      </w:r>
      <w:r>
        <w:t>can</w:t>
      </w:r>
      <w:r w:rsidRPr="0114377B">
        <w:t xml:space="preserve"> be provided through Ongoing Support</w:t>
      </w:r>
    </w:p>
    <w:p w14:paraId="0D7C3C47" w14:textId="79036B9B" w:rsidR="00F760D0" w:rsidRPr="00AA06A1" w:rsidRDefault="00F760D0" w:rsidP="00F760D0">
      <w:pPr>
        <w:pStyle w:val="BulletLevel1"/>
        <w:rPr>
          <w:rFonts w:cstheme="minorHAnsi"/>
        </w:rPr>
      </w:pPr>
      <w:r>
        <w:t xml:space="preserve">if the Provider considers the </w:t>
      </w:r>
      <w:r w:rsidR="00685214">
        <w:t>Participant</w:t>
      </w:r>
      <w:r>
        <w:t xml:space="preserve"> needs Ongoing Support to maintain their Employment, seek the employee’s agreement to receive Ongoing Support</w:t>
      </w:r>
    </w:p>
    <w:p w14:paraId="72211840" w14:textId="77777777" w:rsidR="00F760D0" w:rsidRPr="00F13792" w:rsidRDefault="00F760D0" w:rsidP="00F760D0">
      <w:pPr>
        <w:pStyle w:val="BulletLevel1"/>
      </w:pPr>
      <w:r>
        <w:t>if the employee agrees to receive Ongoing Support:</w:t>
      </w:r>
    </w:p>
    <w:p w14:paraId="7AAC52BF" w14:textId="77777777" w:rsidR="00F760D0" w:rsidRPr="001369A6" w:rsidRDefault="00F760D0" w:rsidP="00F760D0">
      <w:pPr>
        <w:pStyle w:val="BulletLevel2"/>
        <w:rPr>
          <w:rFonts w:cstheme="minorHAnsi"/>
        </w:rPr>
      </w:pPr>
      <w:r>
        <w:t>request an OSA, and</w:t>
      </w:r>
    </w:p>
    <w:p w14:paraId="3FEF6133" w14:textId="77777777" w:rsidR="00F760D0" w:rsidRDefault="00F760D0" w:rsidP="00F760D0">
      <w:pPr>
        <w:pStyle w:val="BulletLevel2"/>
      </w:pPr>
      <w:r>
        <w:t>enter into a voluntary Meaningful Engagement Job Plan with the Participant (in order to Commence the Participant).</w:t>
      </w:r>
    </w:p>
    <w:p w14:paraId="52E1DF4D" w14:textId="0FB109DB" w:rsidR="00D74559" w:rsidRDefault="00D74559" w:rsidP="0023206A">
      <w:r>
        <w:t>For Ongoing Support (Work Assist) Participants</w:t>
      </w:r>
      <w:r w:rsidR="00000345">
        <w:t xml:space="preserve">, the </w:t>
      </w:r>
      <w:r w:rsidR="00746813">
        <w:t>L</w:t>
      </w:r>
      <w:r w:rsidR="00000345">
        <w:t>evel of Ongoin</w:t>
      </w:r>
      <w:r w:rsidR="00AC1185">
        <w:t>g Support is</w:t>
      </w:r>
      <w:r>
        <w:t>:</w:t>
      </w:r>
    </w:p>
    <w:p w14:paraId="3E4078F2" w14:textId="391B8DB3" w:rsidR="00D74559" w:rsidRDefault="00B74B09" w:rsidP="004E120D">
      <w:pPr>
        <w:pStyle w:val="BulletLevel1"/>
      </w:pPr>
      <w:r>
        <w:t>set at</w:t>
      </w:r>
      <w:r w:rsidR="00D74559" w:rsidRPr="62EC0267">
        <w:t xml:space="preserve"> Moderate Ongoing Support</w:t>
      </w:r>
      <w:r w:rsidRPr="00B74B09">
        <w:t xml:space="preserve"> </w:t>
      </w:r>
      <w:r w:rsidRPr="62EC0267">
        <w:t>in the period before the first OSA is completed</w:t>
      </w:r>
      <w:r w:rsidR="00D74559" w:rsidRPr="62EC0267">
        <w:t xml:space="preserve"> </w:t>
      </w:r>
    </w:p>
    <w:p w14:paraId="4A6CABF0" w14:textId="54165EEC" w:rsidR="00D74559" w:rsidRPr="00F62A3C" w:rsidRDefault="005E37F1" w:rsidP="004E120D">
      <w:pPr>
        <w:pStyle w:val="BulletLevel1"/>
      </w:pPr>
      <w:r>
        <w:t xml:space="preserve">determined </w:t>
      </w:r>
      <w:r w:rsidR="00721B5C">
        <w:t>by</w:t>
      </w:r>
      <w:r>
        <w:t xml:space="preserve"> the </w:t>
      </w:r>
      <w:r w:rsidR="00D74559" w:rsidRPr="62EC0267">
        <w:t xml:space="preserve">first OSA from the date it is completed, </w:t>
      </w:r>
      <w:r w:rsidR="00392729">
        <w:t xml:space="preserve">noting that the </w:t>
      </w:r>
      <w:r w:rsidR="00A42DB5">
        <w:t xml:space="preserve">first OSA may </w:t>
      </w:r>
      <w:r w:rsidR="00721B5C">
        <w:t xml:space="preserve">only </w:t>
      </w:r>
      <w:r w:rsidR="00A42DB5">
        <w:t>recommend</w:t>
      </w:r>
      <w:r w:rsidR="00D74559" w:rsidRPr="62EC0267" w:rsidDel="00A42DB5">
        <w:t xml:space="preserve"> </w:t>
      </w:r>
      <w:r w:rsidR="00D74559" w:rsidRPr="62EC0267">
        <w:t>either Moderate or High Ongoing Support</w:t>
      </w:r>
      <w:r w:rsidR="00CE1028">
        <w:t>, and</w:t>
      </w:r>
    </w:p>
    <w:p w14:paraId="72547ECC" w14:textId="18E9948F" w:rsidR="00485ECB" w:rsidRPr="00F62A3C" w:rsidRDefault="00485ECB" w:rsidP="004E120D">
      <w:pPr>
        <w:pStyle w:val="BulletLevel1"/>
      </w:pPr>
      <w:r>
        <w:t xml:space="preserve">determined by the OSA from the </w:t>
      </w:r>
      <w:r w:rsidR="00CE1028">
        <w:t xml:space="preserve">first </w:t>
      </w:r>
      <w:r>
        <w:t xml:space="preserve">1-year OSA </w:t>
      </w:r>
      <w:r w:rsidR="0055084A">
        <w:t>review and any subsequent reviews</w:t>
      </w:r>
      <w:r>
        <w:t>, noting that</w:t>
      </w:r>
      <w:r w:rsidR="004B48AC">
        <w:t xml:space="preserve"> </w:t>
      </w:r>
      <w:r w:rsidR="00CE1028">
        <w:t xml:space="preserve">the </w:t>
      </w:r>
      <w:r w:rsidR="0055084A">
        <w:t xml:space="preserve">OSA can </w:t>
      </w:r>
      <w:r w:rsidR="00CE1028">
        <w:t xml:space="preserve">now recommend </w:t>
      </w:r>
      <w:r w:rsidR="002212D3">
        <w:t xml:space="preserve">either </w:t>
      </w:r>
      <w:r w:rsidR="004B48AC">
        <w:t>Flexible</w:t>
      </w:r>
      <w:r w:rsidR="002212D3">
        <w:t>,</w:t>
      </w:r>
      <w:r w:rsidR="00CE1028">
        <w:t xml:space="preserve"> </w:t>
      </w:r>
      <w:r w:rsidR="004B48AC">
        <w:t xml:space="preserve">Moderate </w:t>
      </w:r>
      <w:r w:rsidR="002212D3">
        <w:t>or</w:t>
      </w:r>
      <w:r w:rsidR="004B48AC">
        <w:t xml:space="preserve"> High Ongoing Support</w:t>
      </w:r>
      <w:r w:rsidR="00CE1028">
        <w:t xml:space="preserve"> </w:t>
      </w:r>
      <w:r w:rsidR="0055084A">
        <w:t>as</w:t>
      </w:r>
      <w:r w:rsidR="00CE1028">
        <w:t xml:space="preserve"> required.</w:t>
      </w:r>
      <w:r>
        <w:t xml:space="preserve"> </w:t>
      </w:r>
    </w:p>
    <w:p w14:paraId="175697CF" w14:textId="747B6824" w:rsidR="00D74559" w:rsidRDefault="00D74559" w:rsidP="008525A7">
      <w:pPr>
        <w:tabs>
          <w:tab w:val="right" w:pos="1701"/>
        </w:tabs>
        <w:spacing w:after="120"/>
      </w:pPr>
      <w:r w:rsidRPr="62EC0267">
        <w:rPr>
          <w:b/>
          <w:bCs/>
        </w:rPr>
        <w:t>Note:</w:t>
      </w:r>
      <w:r w:rsidRPr="62EC0267">
        <w:t xml:space="preserve"> Flexible Ongoing Support </w:t>
      </w:r>
      <w:r w:rsidR="00591DDD">
        <w:t xml:space="preserve">generally </w:t>
      </w:r>
      <w:r w:rsidRPr="62EC0267">
        <w:t>cannot be provided to Ongoing Support (Work Assist) Participants prior to their first OSA review</w:t>
      </w:r>
      <w:r w:rsidR="001F0D93">
        <w:t xml:space="preserve">, </w:t>
      </w:r>
      <w:r w:rsidR="00920D6C">
        <w:t xml:space="preserve">which is due </w:t>
      </w:r>
      <w:r w:rsidR="00721B5C">
        <w:t>1-year from</w:t>
      </w:r>
      <w:r w:rsidR="00F044B2">
        <w:t xml:space="preserve"> </w:t>
      </w:r>
      <w:r w:rsidR="00920D6C">
        <w:t xml:space="preserve">the </w:t>
      </w:r>
      <w:r w:rsidR="00721B5C">
        <w:t xml:space="preserve">date of the </w:t>
      </w:r>
      <w:r w:rsidR="00D64251">
        <w:t>initial</w:t>
      </w:r>
      <w:r w:rsidR="00D64251" w:rsidRPr="62EC0267">
        <w:t xml:space="preserve"> </w:t>
      </w:r>
      <w:r w:rsidR="00721B5C" w:rsidRPr="62EC0267">
        <w:t>OSA</w:t>
      </w:r>
      <w:r w:rsidRPr="62EC0267">
        <w:t xml:space="preserve">. </w:t>
      </w:r>
      <w:r w:rsidR="008A5113">
        <w:t xml:space="preserve">However, </w:t>
      </w:r>
      <w:r w:rsidR="008B786F">
        <w:t>a</w:t>
      </w:r>
      <w:r w:rsidR="008A5113">
        <w:t xml:space="preserve"> </w:t>
      </w:r>
      <w:r w:rsidRPr="62EC0267">
        <w:t xml:space="preserve">Participant can be </w:t>
      </w:r>
      <w:r w:rsidR="004D03A0">
        <w:t>r</w:t>
      </w:r>
      <w:r w:rsidRPr="62EC0267">
        <w:t xml:space="preserve">eferred for a Change of Circumstances OSA to review the </w:t>
      </w:r>
      <w:r w:rsidR="00A06B7A">
        <w:t xml:space="preserve">initial </w:t>
      </w:r>
      <w:r w:rsidRPr="62EC0267">
        <w:t xml:space="preserve">OSA if </w:t>
      </w:r>
      <w:r w:rsidR="00A06B7A">
        <w:t>the Provider considers</w:t>
      </w:r>
      <w:r w:rsidR="00E0678E">
        <w:t xml:space="preserve"> </w:t>
      </w:r>
      <w:r w:rsidRPr="62EC0267">
        <w:t xml:space="preserve">Flexible Ongoing Support is </w:t>
      </w:r>
      <w:r w:rsidR="005C4CDF">
        <w:t>appropriate</w:t>
      </w:r>
      <w:r w:rsidRPr="62EC0267">
        <w:t xml:space="preserve">, and the </w:t>
      </w:r>
      <w:r w:rsidR="008E06F3">
        <w:t xml:space="preserve">Ongoing Support (Work Assist) </w:t>
      </w:r>
      <w:r w:rsidRPr="62EC0267">
        <w:t>Participant has been in Ongoing Support for at least 26</w:t>
      </w:r>
      <w:r w:rsidR="00616F23">
        <w:noBreakHyphen/>
      </w:r>
      <w:r w:rsidRPr="62EC0267">
        <w:t>weeks.</w:t>
      </w:r>
    </w:p>
    <w:p w14:paraId="34DA8101" w14:textId="6228A0B9" w:rsidR="009C2D8E" w:rsidRDefault="009C2D8E" w:rsidP="009C2D8E">
      <w:pPr>
        <w:tabs>
          <w:tab w:val="right" w:pos="1701"/>
        </w:tabs>
        <w:spacing w:after="120"/>
      </w:pPr>
      <w:r w:rsidRPr="009C2D8E">
        <w:rPr>
          <w:u w:val="single"/>
        </w:rPr>
        <w:t xml:space="preserve">Once the </w:t>
      </w:r>
      <w:r>
        <w:rPr>
          <w:u w:val="single"/>
        </w:rPr>
        <w:t>initial</w:t>
      </w:r>
      <w:r w:rsidRPr="009C2D8E">
        <w:rPr>
          <w:u w:val="single"/>
        </w:rPr>
        <w:t xml:space="preserve"> OSA is completed</w:t>
      </w:r>
      <w:r w:rsidRPr="62EC0267">
        <w:t xml:space="preserve">, the Provider </w:t>
      </w:r>
      <w:r>
        <w:t>will generally</w:t>
      </w:r>
      <w:r w:rsidRPr="62EC0267">
        <w:t xml:space="preserve"> deliver Services </w:t>
      </w:r>
      <w:r>
        <w:t>at</w:t>
      </w:r>
      <w:r w:rsidRPr="62EC0267">
        <w:t xml:space="preserve"> the Level of Ongoing Support recommended in the OSA report.</w:t>
      </w:r>
    </w:p>
    <w:p w14:paraId="3D93D5A3" w14:textId="2DB7042A" w:rsidR="009C2D8E" w:rsidRPr="00FB7CD7" w:rsidRDefault="009C2D8E" w:rsidP="009C2D8E">
      <w:pPr>
        <w:tabs>
          <w:tab w:val="right" w:pos="1701"/>
        </w:tabs>
        <w:spacing w:after="120"/>
      </w:pPr>
      <w:r w:rsidRPr="62EC0267">
        <w:t xml:space="preserve">If a Participant has lower support needs for a period, </w:t>
      </w:r>
      <w:r>
        <w:t xml:space="preserve">a </w:t>
      </w:r>
      <w:r w:rsidRPr="62EC0267">
        <w:t xml:space="preserve">Provider can move </w:t>
      </w:r>
      <w:r>
        <w:t xml:space="preserve">a </w:t>
      </w:r>
      <w:r w:rsidRPr="62EC0267">
        <w:t xml:space="preserve">Participant to a lower Level of Ongoing Support, deliver the support needed for that level, and </w:t>
      </w:r>
      <w:r>
        <w:t>receive</w:t>
      </w:r>
      <w:r w:rsidRPr="62EC0267">
        <w:t xml:space="preserve"> the corresponding </w:t>
      </w:r>
      <w:r w:rsidR="00BA7F0E">
        <w:t xml:space="preserve">Ongoing Support </w:t>
      </w:r>
      <w:r w:rsidRPr="62EC0267">
        <w:t xml:space="preserve">Fees. </w:t>
      </w:r>
      <w:r>
        <w:t>The Provider can, if required, at a later time return the Participant to the higher Level of Ongoing Support recommended in the OSA.</w:t>
      </w:r>
    </w:p>
    <w:p w14:paraId="6B77929F" w14:textId="77777777" w:rsidR="009C2D8E" w:rsidRDefault="009C2D8E" w:rsidP="009C2D8E">
      <w:pPr>
        <w:tabs>
          <w:tab w:val="right" w:pos="1701"/>
        </w:tabs>
        <w:spacing w:after="120"/>
      </w:pPr>
      <w:r w:rsidRPr="7F65F737">
        <w:t xml:space="preserve">Providers cannot change the Participant to a higher </w:t>
      </w:r>
      <w:r>
        <w:t>L</w:t>
      </w:r>
      <w:r w:rsidRPr="7F65F737">
        <w:t xml:space="preserve">evel of </w:t>
      </w:r>
      <w:r>
        <w:t>Ongoing Support</w:t>
      </w:r>
      <w:r w:rsidRPr="7F65F737">
        <w:t xml:space="preserve"> than </w:t>
      </w:r>
      <w:r>
        <w:t>that recommended in the OSA</w:t>
      </w:r>
      <w:r w:rsidRPr="7F65F737">
        <w:t xml:space="preserve">. If a Participant’s circumstances change so that they need more support, the Provider can request </w:t>
      </w:r>
      <w:r>
        <w:t xml:space="preserve">a Change of Circumstances </w:t>
      </w:r>
      <w:r w:rsidRPr="7F65F737">
        <w:t>OSA.</w:t>
      </w:r>
    </w:p>
    <w:p w14:paraId="7E38A689" w14:textId="5FB141C6" w:rsidR="009C2D8E" w:rsidRPr="00FB7CD7" w:rsidRDefault="009C2D8E" w:rsidP="008525A7">
      <w:pPr>
        <w:tabs>
          <w:tab w:val="right" w:pos="1701"/>
        </w:tabs>
        <w:spacing w:after="120"/>
      </w:pPr>
      <w:r w:rsidRPr="62EC0267">
        <w:rPr>
          <w:b/>
          <w:bCs/>
        </w:rPr>
        <w:t>Note:</w:t>
      </w:r>
      <w:r w:rsidRPr="62EC0267">
        <w:t xml:space="preserve"> For </w:t>
      </w:r>
      <w:r>
        <w:t>P</w:t>
      </w:r>
      <w:r w:rsidRPr="62EC0267">
        <w:t>ayment arrangements before the first OSA is completed refer to</w:t>
      </w:r>
      <w:r w:rsidR="003B2E77">
        <w:t xml:space="preserve"> relevant sections in </w:t>
      </w:r>
      <w:r w:rsidR="003B2E77">
        <w:fldChar w:fldCharType="begin"/>
      </w:r>
      <w:r w:rsidR="003B2E77">
        <w:instrText xml:space="preserve"> REF _Ref202782945 \h </w:instrText>
      </w:r>
      <w:r w:rsidR="003B2E77">
        <w:fldChar w:fldCharType="separate"/>
      </w:r>
      <w:r w:rsidR="003B2E77">
        <w:t>Chapter 11:</w:t>
      </w:r>
      <w:r w:rsidR="003B2E77">
        <w:tab/>
        <w:t xml:space="preserve"> Payments to Providers</w:t>
      </w:r>
      <w:r w:rsidR="003B2E77">
        <w:fldChar w:fldCharType="end"/>
      </w:r>
      <w:r w:rsidR="008401E0" w:rsidRPr="009F2330">
        <w:fldChar w:fldCharType="begin"/>
      </w:r>
      <w:r w:rsidR="008401E0" w:rsidRPr="009F2330">
        <w:instrText xml:space="preserve"> REF _Ref202882450 \h  \* MERGEFORMAT </w:instrText>
      </w:r>
      <w:r w:rsidR="008401E0" w:rsidRPr="009F2330">
        <w:fldChar w:fldCharType="separate"/>
      </w:r>
      <w:r w:rsidR="008401E0" w:rsidRPr="009F2330">
        <w:fldChar w:fldCharType="end"/>
      </w:r>
      <w:r>
        <w:t>.</w:t>
      </w:r>
    </w:p>
    <w:p w14:paraId="700AADBF" w14:textId="304DECAF" w:rsidR="00D74559" w:rsidRPr="00B53927" w:rsidRDefault="00D74559" w:rsidP="007507FC">
      <w:pPr>
        <w:pStyle w:val="DeedReferences"/>
      </w:pPr>
      <w:r>
        <w:t>(</w:t>
      </w:r>
      <w:r w:rsidR="00A73420">
        <w:t xml:space="preserve">Deed Reference(s): Clause </w:t>
      </w:r>
      <w:r>
        <w:t xml:space="preserve">126, </w:t>
      </w:r>
      <w:r w:rsidR="00A06034">
        <w:t xml:space="preserve">127, </w:t>
      </w:r>
      <w:r>
        <w:t xml:space="preserve">128, </w:t>
      </w:r>
      <w:r w:rsidR="00FF02F7">
        <w:t>130</w:t>
      </w:r>
      <w:r>
        <w:t xml:space="preserve">, </w:t>
      </w:r>
      <w:r w:rsidR="00B9496E">
        <w:t>132</w:t>
      </w:r>
      <w:r>
        <w:t>)</w:t>
      </w:r>
    </w:p>
    <w:p w14:paraId="64B87883" w14:textId="7D455A99" w:rsidR="00D74559" w:rsidRPr="000A5454" w:rsidRDefault="00D74559" w:rsidP="001D0F92">
      <w:pPr>
        <w:pStyle w:val="Heading3"/>
      </w:pPr>
      <w:bookmarkStart w:id="431" w:name="_Ref202783910"/>
      <w:bookmarkStart w:id="432" w:name="_Toc202900065"/>
      <w:r w:rsidRPr="000A5454">
        <w:rPr>
          <w:rStyle w:val="Heading2Char1"/>
          <w:rFonts w:asciiTheme="majorHAnsi" w:hAnsiTheme="majorHAnsi"/>
          <w:i w:val="0"/>
          <w:color w:val="005A70" w:themeColor="accent1"/>
          <w:sz w:val="32"/>
          <w:szCs w:val="24"/>
        </w:rPr>
        <w:t>10.4</w:t>
      </w:r>
      <w:r w:rsidR="003E4166">
        <w:tab/>
      </w:r>
      <w:r w:rsidRPr="000A5454">
        <w:t>Ongoing Support Assessments</w:t>
      </w:r>
      <w:bookmarkEnd w:id="431"/>
      <w:bookmarkEnd w:id="432"/>
    </w:p>
    <w:p w14:paraId="13F42ACF" w14:textId="2F88B128" w:rsidR="00D74559" w:rsidRPr="008401E0" w:rsidRDefault="00117233" w:rsidP="26077AA1">
      <w:pPr>
        <w:tabs>
          <w:tab w:val="right" w:pos="1701"/>
        </w:tabs>
      </w:pPr>
      <w:r>
        <w:t>OSA</w:t>
      </w:r>
      <w:r w:rsidR="00B07308">
        <w:t>s</w:t>
      </w:r>
      <w:r>
        <w:t xml:space="preserve"> </w:t>
      </w:r>
      <w:r w:rsidR="00D74559">
        <w:t>provide an independent assessment of a Participant’s need for Ongoing Support, including for Ongoing Support (Work Assist) Participants. As noted in</w:t>
      </w:r>
      <w:r w:rsidR="008401E0">
        <w:t xml:space="preserve"> </w:t>
      </w:r>
      <w:r w:rsidR="008401E0" w:rsidRPr="008401E0">
        <w:rPr>
          <w:highlight w:val="yellow"/>
        </w:rPr>
        <w:fldChar w:fldCharType="begin"/>
      </w:r>
      <w:r w:rsidR="008401E0" w:rsidRPr="008401E0">
        <w:instrText xml:space="preserve"> REF _Ref202887499 \h </w:instrText>
      </w:r>
      <w:r w:rsidR="008401E0">
        <w:rPr>
          <w:highlight w:val="yellow"/>
        </w:rPr>
        <w:instrText xml:space="preserve"> \* MERGEFORMAT </w:instrText>
      </w:r>
      <w:r w:rsidR="008401E0" w:rsidRPr="008401E0">
        <w:rPr>
          <w:highlight w:val="yellow"/>
        </w:rPr>
      </w:r>
      <w:r w:rsidR="008401E0" w:rsidRPr="008401E0">
        <w:rPr>
          <w:highlight w:val="yellow"/>
        </w:rPr>
        <w:fldChar w:fldCharType="separate"/>
      </w:r>
      <w:r w:rsidR="000D75AE" w:rsidRPr="000D75AE">
        <w:t>2.6</w:t>
      </w:r>
      <w:r w:rsidR="003B2E77">
        <w:t xml:space="preserve"> </w:t>
      </w:r>
      <w:r w:rsidR="000D75AE">
        <w:t>Ongoing Support Assessments</w:t>
      </w:r>
      <w:r w:rsidR="008401E0" w:rsidRPr="008401E0">
        <w:rPr>
          <w:highlight w:val="yellow"/>
        </w:rPr>
        <w:fldChar w:fldCharType="end"/>
      </w:r>
      <w:r w:rsidR="00D74559" w:rsidRPr="008401E0">
        <w:t xml:space="preserve">, OSAs are conducted by Ongoing Support Assessors who are NPA </w:t>
      </w:r>
      <w:r w:rsidR="00FA1C55" w:rsidRPr="008401E0">
        <w:t>p</w:t>
      </w:r>
      <w:r w:rsidR="00D74559" w:rsidRPr="008401E0">
        <w:t xml:space="preserve">roviders. </w:t>
      </w:r>
    </w:p>
    <w:p w14:paraId="191B0C49" w14:textId="2D88C0C1" w:rsidR="00D74559" w:rsidRDefault="000D7021" w:rsidP="0098552B">
      <w:pPr>
        <w:tabs>
          <w:tab w:val="right" w:pos="1701"/>
        </w:tabs>
      </w:pPr>
      <w:r>
        <w:t>T</w:t>
      </w:r>
      <w:r w:rsidR="00D74559" w:rsidRPr="62EC0267">
        <w:t xml:space="preserve">he Ongoing Support Assessor will make a recommendation on the Level of Ongoing Support required by the Participant (Flexible, Moderate and High) or may recommend that Ongoing Support is not needed, as set out in the </w:t>
      </w:r>
      <w:r w:rsidR="00D74559" w:rsidRPr="00697695">
        <w:rPr>
          <w:rStyle w:val="Hyperlink"/>
        </w:rPr>
        <w:t>NPA Guidelines: Chapter 3: Ongoing Support Assessments</w:t>
      </w:r>
      <w:r w:rsidR="00697695" w:rsidRPr="00697695">
        <w:rPr>
          <w:rStyle w:val="Hyperlink"/>
        </w:rPr>
        <w:t xml:space="preserve"> [LINK]</w:t>
      </w:r>
      <w:r w:rsidR="00D74559" w:rsidRPr="62EC0267">
        <w:t>.</w:t>
      </w:r>
    </w:p>
    <w:p w14:paraId="3DB31221" w14:textId="1BCB381C" w:rsidR="00D74559" w:rsidRDefault="00D74559" w:rsidP="00F80682">
      <w:pPr>
        <w:tabs>
          <w:tab w:val="right" w:pos="1701"/>
        </w:tabs>
      </w:pPr>
      <w:r>
        <w:t>The Ongoing Support Assessor will also recommend a time</w:t>
      </w:r>
      <w:r w:rsidR="00310A49">
        <w:t xml:space="preserve">frame for </w:t>
      </w:r>
      <w:r>
        <w:t xml:space="preserve">the </w:t>
      </w:r>
      <w:r w:rsidR="00310A49">
        <w:t xml:space="preserve">next </w:t>
      </w:r>
      <w:r>
        <w:t>OSA review of either 1, 2 or 5-years. The time</w:t>
      </w:r>
      <w:r w:rsidR="00476DFA">
        <w:t>frame</w:t>
      </w:r>
      <w:r w:rsidR="006C5F94">
        <w:t xml:space="preserve"> for the next</w:t>
      </w:r>
      <w:r>
        <w:t xml:space="preserve"> </w:t>
      </w:r>
      <w:r w:rsidR="00455992">
        <w:t xml:space="preserve">OSA </w:t>
      </w:r>
      <w:r>
        <w:t xml:space="preserve">review is based on the Participant’s circumstances, the requirements of their Employment, and stability and permanence of their support needs. </w:t>
      </w:r>
    </w:p>
    <w:p w14:paraId="19CB4C04" w14:textId="2A614A86" w:rsidR="00D74559" w:rsidRPr="000922CF" w:rsidRDefault="00D74559" w:rsidP="62EC0267">
      <w:pPr>
        <w:spacing w:line="276" w:lineRule="auto"/>
        <w:rPr>
          <w:rFonts w:ascii="Tahoma" w:eastAsia="Tahoma" w:hAnsi="Tahoma" w:cs="Tahoma"/>
        </w:rPr>
      </w:pPr>
      <w:r w:rsidRPr="62EC0267">
        <w:rPr>
          <w:rFonts w:ascii="Tahoma" w:eastAsia="Tahoma" w:hAnsi="Tahoma" w:cs="Tahoma"/>
        </w:rPr>
        <w:t xml:space="preserve">All Ongoing Support (Work Assist) Participants will have their first OSA review set at 1-year from </w:t>
      </w:r>
      <w:r w:rsidR="0055084A">
        <w:rPr>
          <w:rFonts w:ascii="Tahoma" w:eastAsia="Tahoma" w:hAnsi="Tahoma" w:cs="Tahoma"/>
        </w:rPr>
        <w:t xml:space="preserve">the date of </w:t>
      </w:r>
      <w:r w:rsidRPr="62EC0267">
        <w:rPr>
          <w:rFonts w:ascii="Tahoma" w:eastAsia="Tahoma" w:hAnsi="Tahoma" w:cs="Tahoma"/>
        </w:rPr>
        <w:t>their first OSA.</w:t>
      </w:r>
      <w:r w:rsidR="00307868">
        <w:rPr>
          <w:rFonts w:ascii="Tahoma" w:eastAsia="Tahoma" w:hAnsi="Tahoma" w:cs="Tahoma"/>
        </w:rPr>
        <w:t xml:space="preserve"> </w:t>
      </w:r>
      <w:r w:rsidR="00BC0C54">
        <w:rPr>
          <w:rFonts w:ascii="Tahoma" w:eastAsia="Tahoma" w:hAnsi="Tahoma" w:cs="Tahoma"/>
        </w:rPr>
        <w:t xml:space="preserve">At </w:t>
      </w:r>
      <w:r w:rsidR="00F62E55">
        <w:rPr>
          <w:rFonts w:ascii="Tahoma" w:eastAsia="Tahoma" w:hAnsi="Tahoma" w:cs="Tahoma"/>
        </w:rPr>
        <w:t>any</w:t>
      </w:r>
      <w:r w:rsidR="00BC0C54">
        <w:rPr>
          <w:rFonts w:ascii="Tahoma" w:eastAsia="Tahoma" w:hAnsi="Tahoma" w:cs="Tahoma"/>
        </w:rPr>
        <w:t xml:space="preserve"> next and subsequent </w:t>
      </w:r>
      <w:r w:rsidR="0055084A">
        <w:rPr>
          <w:rFonts w:ascii="Tahoma" w:eastAsia="Tahoma" w:hAnsi="Tahoma" w:cs="Tahoma"/>
        </w:rPr>
        <w:t>review</w:t>
      </w:r>
      <w:r w:rsidR="00CA4774">
        <w:rPr>
          <w:rFonts w:ascii="Tahoma" w:eastAsia="Tahoma" w:hAnsi="Tahoma" w:cs="Tahoma"/>
        </w:rPr>
        <w:t>s</w:t>
      </w:r>
      <w:r w:rsidR="0055084A">
        <w:rPr>
          <w:rFonts w:ascii="Tahoma" w:eastAsia="Tahoma" w:hAnsi="Tahoma" w:cs="Tahoma"/>
        </w:rPr>
        <w:t>,</w:t>
      </w:r>
      <w:r w:rsidR="00D25178">
        <w:rPr>
          <w:rFonts w:ascii="Tahoma" w:eastAsia="Tahoma" w:hAnsi="Tahoma" w:cs="Tahoma"/>
        </w:rPr>
        <w:t xml:space="preserve"> the </w:t>
      </w:r>
      <w:r w:rsidR="00307868">
        <w:rPr>
          <w:rFonts w:ascii="Tahoma" w:eastAsia="Tahoma" w:hAnsi="Tahoma" w:cs="Tahoma"/>
        </w:rPr>
        <w:t xml:space="preserve">Ongoing Support Assessor may set the </w:t>
      </w:r>
      <w:r w:rsidR="00D039B7">
        <w:rPr>
          <w:rFonts w:ascii="Tahoma" w:eastAsia="Tahoma" w:hAnsi="Tahoma" w:cs="Tahoma"/>
        </w:rPr>
        <w:t xml:space="preserve">next review </w:t>
      </w:r>
      <w:r w:rsidR="00D25178">
        <w:rPr>
          <w:rFonts w:ascii="Tahoma" w:eastAsia="Tahoma" w:hAnsi="Tahoma" w:cs="Tahoma"/>
        </w:rPr>
        <w:t>due date at 1, 2 or 5</w:t>
      </w:r>
      <w:r w:rsidR="0055084A">
        <w:rPr>
          <w:rFonts w:ascii="Tahoma" w:eastAsia="Tahoma" w:hAnsi="Tahoma" w:cs="Tahoma"/>
        </w:rPr>
        <w:t>-</w:t>
      </w:r>
      <w:r w:rsidR="00D25178">
        <w:rPr>
          <w:rFonts w:ascii="Tahoma" w:eastAsia="Tahoma" w:hAnsi="Tahoma" w:cs="Tahoma"/>
        </w:rPr>
        <w:t>years</w:t>
      </w:r>
      <w:r w:rsidR="00F62E55">
        <w:rPr>
          <w:rFonts w:ascii="Tahoma" w:eastAsia="Tahoma" w:hAnsi="Tahoma" w:cs="Tahoma"/>
        </w:rPr>
        <w:t>.</w:t>
      </w:r>
      <w:r w:rsidR="00307868">
        <w:rPr>
          <w:rFonts w:ascii="Tahoma" w:eastAsia="Tahoma" w:hAnsi="Tahoma" w:cs="Tahoma"/>
        </w:rPr>
        <w:t xml:space="preserve"> </w:t>
      </w:r>
    </w:p>
    <w:p w14:paraId="272FE8A2" w14:textId="637294E2" w:rsidR="00D74559" w:rsidRDefault="00D74559" w:rsidP="006E2EF5">
      <w:pPr>
        <w:tabs>
          <w:tab w:val="right" w:pos="1701"/>
        </w:tabs>
        <w:rPr>
          <w:rFonts w:ascii="Tahoma" w:eastAsia="Tahoma" w:hAnsi="Tahoma" w:cs="Tahoma"/>
        </w:rPr>
      </w:pPr>
      <w:r>
        <w:t xml:space="preserve">Providers </w:t>
      </w:r>
      <w:bookmarkStart w:id="433" w:name="_Int_0kAw7aeR"/>
      <w:r>
        <w:t>are responsible for</w:t>
      </w:r>
      <w:bookmarkEnd w:id="433"/>
      <w:r>
        <w:t xml:space="preserve"> deciding when an OSA is needed:</w:t>
      </w:r>
    </w:p>
    <w:p w14:paraId="73FC44A6" w14:textId="77777777" w:rsidR="00D74559" w:rsidRPr="00922477" w:rsidRDefault="00D74559" w:rsidP="004E120D">
      <w:pPr>
        <w:pStyle w:val="BulletLevel1"/>
      </w:pPr>
      <w:r w:rsidRPr="62EC0267">
        <w:t>to confirm a Provider’s Assessment that a Participant needs Ongoing Support (‘initial’ OSA)</w:t>
      </w:r>
    </w:p>
    <w:p w14:paraId="2FE27E2E" w14:textId="77777777" w:rsidR="00D74559" w:rsidRDefault="00D74559" w:rsidP="004E120D">
      <w:pPr>
        <w:pStyle w:val="BulletLevel1"/>
        <w:rPr>
          <w:rFonts w:ascii="Tahoma" w:eastAsia="Tahoma" w:hAnsi="Tahoma" w:cs="Tahoma"/>
        </w:rPr>
      </w:pPr>
      <w:r>
        <w:t>when a Provider thinks an Ongoing Support Participant’s support needs have changed (Change of Circumstances OSA).</w:t>
      </w:r>
    </w:p>
    <w:p w14:paraId="1F0F7784" w14:textId="5F268639" w:rsidR="00D74559" w:rsidRPr="0088117A" w:rsidRDefault="00D74559" w:rsidP="00F80682">
      <w:r w:rsidRPr="62EC0267">
        <w:rPr>
          <w:rFonts w:ascii="Tahoma" w:eastAsia="Tahoma" w:hAnsi="Tahoma" w:cs="Tahoma"/>
        </w:rPr>
        <w:t xml:space="preserve">The Department’s IT Systems will </w:t>
      </w:r>
      <w:r w:rsidR="005E2EA6">
        <w:rPr>
          <w:rFonts w:ascii="Tahoma" w:eastAsia="Tahoma" w:hAnsi="Tahoma" w:cs="Tahoma"/>
        </w:rPr>
        <w:t>remind Providers</w:t>
      </w:r>
      <w:r w:rsidRPr="62EC0267">
        <w:rPr>
          <w:rFonts w:ascii="Tahoma" w:eastAsia="Tahoma" w:hAnsi="Tahoma" w:cs="Tahoma"/>
        </w:rPr>
        <w:t xml:space="preserve"> when OSA reviews are due based on the time for review set at the last OSA, of either 1, 2 or 5-years. After that period expires, a new OSA must be conducted if the Provider decides</w:t>
      </w:r>
      <w:r w:rsidR="00F16E9C">
        <w:rPr>
          <w:rFonts w:ascii="Tahoma" w:eastAsia="Tahoma" w:hAnsi="Tahoma" w:cs="Tahoma"/>
        </w:rPr>
        <w:t>, and the Participant agrees,</w:t>
      </w:r>
      <w:r w:rsidRPr="62EC0267">
        <w:rPr>
          <w:rFonts w:ascii="Tahoma" w:eastAsia="Tahoma" w:hAnsi="Tahoma" w:cs="Tahoma"/>
        </w:rPr>
        <w:t xml:space="preserve"> that the Participant continues to need Ongoing Support. </w:t>
      </w:r>
    </w:p>
    <w:p w14:paraId="2F68BD66" w14:textId="51CEC076" w:rsidR="00D74559" w:rsidRPr="00A44957" w:rsidRDefault="00D74559" w:rsidP="007507FC">
      <w:pPr>
        <w:pStyle w:val="DeedReferences"/>
      </w:pPr>
      <w:r>
        <w:t>(</w:t>
      </w:r>
      <w:r w:rsidR="00A73420">
        <w:t xml:space="preserve">Deed Reference(s): Clause </w:t>
      </w:r>
      <w:r w:rsidR="00735532">
        <w:t>108.4</w:t>
      </w:r>
      <w:r>
        <w:t xml:space="preserve">, </w:t>
      </w:r>
      <w:r w:rsidR="00FC1199">
        <w:t>125</w:t>
      </w:r>
      <w:r>
        <w:t xml:space="preserve">, </w:t>
      </w:r>
      <w:r w:rsidR="007D4813">
        <w:t>129</w:t>
      </w:r>
      <w:r w:rsidR="000A0622">
        <w:t>, 130</w:t>
      </w:r>
      <w:r>
        <w:t>)</w:t>
      </w:r>
    </w:p>
    <w:p w14:paraId="6036BF9B" w14:textId="762B2E65" w:rsidR="00D74559" w:rsidRPr="00402B07" w:rsidRDefault="00D74559" w:rsidP="001D0F92">
      <w:pPr>
        <w:pStyle w:val="Heading4"/>
      </w:pPr>
      <w:bookmarkStart w:id="434" w:name="_Toc202900066"/>
      <w:r>
        <w:t>10</w:t>
      </w:r>
      <w:r w:rsidRPr="00402B07">
        <w:t>.</w:t>
      </w:r>
      <w:r>
        <w:t>4</w:t>
      </w:r>
      <w:r w:rsidRPr="00402B07">
        <w:t>.</w:t>
      </w:r>
      <w:r>
        <w:t>1</w:t>
      </w:r>
      <w:r w:rsidR="003E4166">
        <w:tab/>
      </w:r>
      <w:r w:rsidRPr="00402B07">
        <w:t>Requesting an OSA</w:t>
      </w:r>
      <w:bookmarkEnd w:id="434"/>
    </w:p>
    <w:p w14:paraId="2F617713" w14:textId="3ED0EE26" w:rsidR="00D74559" w:rsidRDefault="00D74559" w:rsidP="00F80682">
      <w:pPr>
        <w:tabs>
          <w:tab w:val="right" w:pos="1701"/>
        </w:tabs>
      </w:pPr>
      <w:r>
        <w:t xml:space="preserve">Providers must </w:t>
      </w:r>
      <w:bookmarkStart w:id="435" w:name="_Int_uap2o8F2"/>
      <w:r>
        <w:t>submit</w:t>
      </w:r>
      <w:bookmarkEnd w:id="435"/>
      <w:r>
        <w:t xml:space="preserve"> an OSA </w:t>
      </w:r>
      <w:r w:rsidR="006518EC">
        <w:t>A</w:t>
      </w:r>
      <w:r>
        <w:t>llocation</w:t>
      </w:r>
      <w:r w:rsidR="00752B4F">
        <w:t xml:space="preserve"> request</w:t>
      </w:r>
      <w:r w:rsidR="002F387C">
        <w:t xml:space="preserve"> no later than</w:t>
      </w:r>
      <w:r>
        <w:t>:</w:t>
      </w:r>
    </w:p>
    <w:p w14:paraId="4921DE9B" w14:textId="099BD780" w:rsidR="00D74559" w:rsidRPr="003B002F" w:rsidRDefault="00D74559" w:rsidP="003B002F">
      <w:pPr>
        <w:pStyle w:val="BulletLevel1"/>
      </w:pPr>
      <w:r w:rsidRPr="003B002F">
        <w:t>within two days of a Participant moving to the Ongoing Support phase for Participants who have achieved a 26 or 52-week Employment Outcome</w:t>
      </w:r>
    </w:p>
    <w:p w14:paraId="3365BDD2" w14:textId="3FC48A2D" w:rsidR="00D74559" w:rsidRPr="003B002F" w:rsidRDefault="00D74559" w:rsidP="003B002F">
      <w:pPr>
        <w:pStyle w:val="BulletLevel1"/>
      </w:pPr>
      <w:r w:rsidRPr="003B002F">
        <w:t xml:space="preserve">within two days of </w:t>
      </w:r>
      <w:r w:rsidR="00952232" w:rsidRPr="003B002F">
        <w:t xml:space="preserve">the Provider moving </w:t>
      </w:r>
      <w:r w:rsidRPr="003B002F">
        <w:t>a</w:t>
      </w:r>
      <w:r w:rsidR="00BB47C3" w:rsidRPr="003B002F">
        <w:t>n Ongoing Support (Work Assist)</w:t>
      </w:r>
      <w:r w:rsidRPr="003B002F">
        <w:t xml:space="preserve"> Participant in</w:t>
      </w:r>
      <w:r w:rsidR="00952232" w:rsidRPr="003B002F">
        <w:t>to</w:t>
      </w:r>
      <w:r w:rsidRPr="003B002F">
        <w:t xml:space="preserve"> the Ongoing Support phase, or</w:t>
      </w:r>
    </w:p>
    <w:p w14:paraId="612FEF23" w14:textId="01CDF22E" w:rsidR="00D74559" w:rsidRPr="003B002F" w:rsidRDefault="00D74559" w:rsidP="003B002F">
      <w:pPr>
        <w:pStyle w:val="BulletLevel1"/>
      </w:pPr>
      <w:r w:rsidRPr="003B002F">
        <w:t xml:space="preserve">within two days of being notified that an OSA review is </w:t>
      </w:r>
      <w:r w:rsidR="0062438F" w:rsidRPr="003B002F">
        <w:t>due</w:t>
      </w:r>
      <w:r w:rsidRPr="003B002F">
        <w:t>.</w:t>
      </w:r>
    </w:p>
    <w:p w14:paraId="54859725" w14:textId="09AC731F" w:rsidR="00920634" w:rsidRPr="00920634" w:rsidRDefault="00920634" w:rsidP="004E120D">
      <w:pPr>
        <w:pStyle w:val="BulletLevel1"/>
        <w:numPr>
          <w:ilvl w:val="0"/>
          <w:numId w:val="0"/>
        </w:numPr>
      </w:pPr>
      <w:r w:rsidRPr="00020C61">
        <w:rPr>
          <w:b/>
          <w:bCs/>
        </w:rPr>
        <w:t xml:space="preserve">Note: </w:t>
      </w:r>
      <w:r w:rsidRPr="00020C61">
        <w:t xml:space="preserve">A Provider </w:t>
      </w:r>
      <w:r>
        <w:t>may</w:t>
      </w:r>
      <w:r w:rsidR="00032A82">
        <w:t>, with the agreement of the Participant,</w:t>
      </w:r>
      <w:r>
        <w:t xml:space="preserve"> submit an OSA Allocation </w:t>
      </w:r>
      <w:r w:rsidR="004F57F3">
        <w:t xml:space="preserve">request up to 14 days prior to the date a </w:t>
      </w:r>
      <w:r w:rsidR="00A05FA8">
        <w:t>Post</w:t>
      </w:r>
      <w:r w:rsidR="00CA4774">
        <w:t>-</w:t>
      </w:r>
      <w:r w:rsidR="00A05FA8">
        <w:t xml:space="preserve">Placement Support </w:t>
      </w:r>
      <w:r w:rsidR="00020C61">
        <w:t>Participant</w:t>
      </w:r>
      <w:r w:rsidR="004F57F3">
        <w:t xml:space="preserve"> is expected to achieve a 26</w:t>
      </w:r>
      <w:r w:rsidR="00CA4774">
        <w:t>-</w:t>
      </w:r>
      <w:r w:rsidR="004F57F3">
        <w:t>week Employment Outcome</w:t>
      </w:r>
      <w:r w:rsidR="00946CF6">
        <w:t>.</w:t>
      </w:r>
    </w:p>
    <w:p w14:paraId="06F6075B" w14:textId="2B53A627" w:rsidR="00D74559" w:rsidRPr="00A17B7B" w:rsidRDefault="00D74559" w:rsidP="006F727E">
      <w:pPr>
        <w:pStyle w:val="SystemStep"/>
      </w:pPr>
      <w:r w:rsidRPr="00A17B7B">
        <w:t xml:space="preserve">The Department’s IT Systems will notify Providers 6-weeks before an OSA review is </w:t>
      </w:r>
      <w:r w:rsidR="003A0329">
        <w:t>due</w:t>
      </w:r>
      <w:r w:rsidRPr="00A17B7B">
        <w:t xml:space="preserve">. The Provider must request an OSA </w:t>
      </w:r>
      <w:r w:rsidR="005C7667">
        <w:t>A</w:t>
      </w:r>
      <w:r w:rsidRPr="00A17B7B">
        <w:t>llocation through the Department’s IT Systems.</w:t>
      </w:r>
      <w:r w:rsidR="0030028C">
        <w:t xml:space="preserve"> </w:t>
      </w:r>
    </w:p>
    <w:p w14:paraId="2784E848" w14:textId="1A202588" w:rsidR="00D74559" w:rsidRDefault="00D74559" w:rsidP="00E23A31">
      <w:r w:rsidRPr="0114377B">
        <w:t xml:space="preserve">The Department’s IT Systems will </w:t>
      </w:r>
      <w:bookmarkStart w:id="436" w:name="_Int_UJ2KtRr3"/>
      <w:r w:rsidRPr="0114377B">
        <w:t>allocate</w:t>
      </w:r>
      <w:bookmarkEnd w:id="436"/>
      <w:r w:rsidRPr="0114377B">
        <w:t xml:space="preserve"> the OSA to an Ongoing Support Assessor, who will accept or reject the allocation within </w:t>
      </w:r>
      <w:r w:rsidR="00C26540">
        <w:t>2</w:t>
      </w:r>
      <w:r w:rsidR="003B002F">
        <w:t xml:space="preserve"> </w:t>
      </w:r>
      <w:r w:rsidRPr="0114377B">
        <w:t>Business Day</w:t>
      </w:r>
      <w:r w:rsidR="00C26540">
        <w:t>s</w:t>
      </w:r>
      <w:r w:rsidRPr="0114377B">
        <w:t xml:space="preserve"> of receiving it. If the </w:t>
      </w:r>
      <w:r w:rsidR="00E65315">
        <w:t xml:space="preserve">OSA </w:t>
      </w:r>
      <w:r w:rsidR="00B15488">
        <w:t>a</w:t>
      </w:r>
      <w:r w:rsidRPr="0114377B">
        <w:t xml:space="preserve">llocation is rejected, the Provider must resubmit the OSA </w:t>
      </w:r>
      <w:r w:rsidR="00B15488">
        <w:t>a</w:t>
      </w:r>
      <w:r w:rsidRPr="0114377B">
        <w:t>llocation.</w:t>
      </w:r>
    </w:p>
    <w:p w14:paraId="30CFCACE" w14:textId="48F60882" w:rsidR="00D74559" w:rsidRDefault="00D74559" w:rsidP="00D53C86">
      <w:r w:rsidRPr="0088117A">
        <w:rPr>
          <w:b/>
          <w:bCs/>
        </w:rPr>
        <w:t>Note:</w:t>
      </w:r>
      <w:r>
        <w:t xml:space="preserve"> </w:t>
      </w:r>
      <w:r w:rsidRPr="26077AA1">
        <w:t xml:space="preserve">If the Provider does not think further Ongoing Support is needed beyond the end of the current period of Ongoing Support, the Provider does not need to take any action to </w:t>
      </w:r>
      <w:r w:rsidR="00573FA6">
        <w:t>schedule</w:t>
      </w:r>
      <w:r w:rsidRPr="26077AA1">
        <w:t xml:space="preserve"> an OSA review. Ongoing Support must end by the OSA review due date, and the Provider must Exit the Participant </w:t>
      </w:r>
      <w:r w:rsidR="00323C72">
        <w:t xml:space="preserve">from Ongoing Support or from Inclusive Employment Australia </w:t>
      </w:r>
      <w:r w:rsidR="00E30E79">
        <w:t xml:space="preserve">in accordance with </w:t>
      </w:r>
      <w:r w:rsidR="00E30E79">
        <w:fldChar w:fldCharType="begin"/>
      </w:r>
      <w:r w:rsidR="00E30E79">
        <w:instrText xml:space="preserve"> REF _Ref202887730 \h </w:instrText>
      </w:r>
      <w:r w:rsidR="00E30E79">
        <w:fldChar w:fldCharType="separate"/>
      </w:r>
      <w:r w:rsidR="000D75AE">
        <w:t>10.8.2</w:t>
      </w:r>
      <w:r w:rsidR="003F2FD9">
        <w:t xml:space="preserve"> </w:t>
      </w:r>
      <w:r w:rsidR="000D75AE">
        <w:t>Exits from Ongoing Support</w:t>
      </w:r>
      <w:r w:rsidR="00E30E79">
        <w:fldChar w:fldCharType="end"/>
      </w:r>
      <w:r>
        <w:t>.</w:t>
      </w:r>
    </w:p>
    <w:p w14:paraId="2EA4009A" w14:textId="03BA4FAE" w:rsidR="00D74559" w:rsidRPr="0022069B" w:rsidRDefault="00D74559" w:rsidP="007507FC">
      <w:pPr>
        <w:pStyle w:val="DeedReferences"/>
      </w:pPr>
      <w:r w:rsidRPr="0022069B">
        <w:t>(</w:t>
      </w:r>
      <w:r w:rsidR="00A73420">
        <w:t xml:space="preserve">Deed Reference(s): Clause </w:t>
      </w:r>
      <w:r w:rsidR="00CB12DB">
        <w:t>125</w:t>
      </w:r>
      <w:r>
        <w:t>)</w:t>
      </w:r>
    </w:p>
    <w:p w14:paraId="64B7DD86" w14:textId="05C002AD" w:rsidR="00D74559" w:rsidRPr="00CB6133" w:rsidRDefault="00D74559" w:rsidP="001D0F92">
      <w:pPr>
        <w:pStyle w:val="Heading4"/>
      </w:pPr>
      <w:bookmarkStart w:id="437" w:name="_Toc202900067"/>
      <w:r>
        <w:t>10.4.2</w:t>
      </w:r>
      <w:r w:rsidR="003E4166">
        <w:tab/>
      </w:r>
      <w:r>
        <w:t>Supporting the OSA</w:t>
      </w:r>
      <w:bookmarkEnd w:id="437"/>
    </w:p>
    <w:p w14:paraId="7CBA45C0" w14:textId="3E303B68" w:rsidR="00D74559" w:rsidRDefault="00D74559" w:rsidP="26077AA1">
      <w:pPr>
        <w:tabs>
          <w:tab w:val="right" w:pos="1701"/>
        </w:tabs>
        <w:spacing w:after="120"/>
      </w:pPr>
      <w:r w:rsidRPr="62EC0267">
        <w:t xml:space="preserve">As noted in </w:t>
      </w:r>
      <w:r w:rsidR="00E30E79" w:rsidRPr="008401E0">
        <w:rPr>
          <w:highlight w:val="yellow"/>
        </w:rPr>
        <w:fldChar w:fldCharType="begin"/>
      </w:r>
      <w:r w:rsidR="00E30E79" w:rsidRPr="008401E0">
        <w:instrText xml:space="preserve"> REF _Ref202887499 \h </w:instrText>
      </w:r>
      <w:r w:rsidR="00E30E79">
        <w:rPr>
          <w:highlight w:val="yellow"/>
        </w:rPr>
        <w:instrText xml:space="preserve"> \* MERGEFORMAT </w:instrText>
      </w:r>
      <w:r w:rsidR="00E30E79" w:rsidRPr="008401E0">
        <w:rPr>
          <w:highlight w:val="yellow"/>
        </w:rPr>
      </w:r>
      <w:r w:rsidR="00E30E79" w:rsidRPr="008401E0">
        <w:rPr>
          <w:highlight w:val="yellow"/>
        </w:rPr>
        <w:fldChar w:fldCharType="separate"/>
      </w:r>
      <w:r w:rsidR="000D75AE" w:rsidRPr="000D75AE">
        <w:t>2.6</w:t>
      </w:r>
      <w:r w:rsidR="004572F7">
        <w:t xml:space="preserve"> </w:t>
      </w:r>
      <w:r w:rsidR="000D75AE">
        <w:t>Ongoing Support Assessments</w:t>
      </w:r>
      <w:r w:rsidR="00E30E79" w:rsidRPr="008401E0">
        <w:rPr>
          <w:highlight w:val="yellow"/>
        </w:rPr>
        <w:fldChar w:fldCharType="end"/>
      </w:r>
      <w:r w:rsidRPr="62EC0267">
        <w:t xml:space="preserve">, Providers must support the Ongoing Support Assessor with information about the Participant, including providing any supporting evidence as outlined in </w:t>
      </w:r>
      <w:r w:rsidR="00E91389">
        <w:fldChar w:fldCharType="begin"/>
      </w:r>
      <w:r w:rsidR="00E91389">
        <w:instrText xml:space="preserve"> REF _Ref202887803 \h </w:instrText>
      </w:r>
      <w:r w:rsidR="00E91389">
        <w:fldChar w:fldCharType="separate"/>
      </w:r>
      <w:r w:rsidR="000D75AE">
        <w:t>10</w:t>
      </w:r>
      <w:r w:rsidR="000D75AE" w:rsidRPr="007C2BF9">
        <w:t>.</w:t>
      </w:r>
      <w:r w:rsidR="000D75AE">
        <w:t>4</w:t>
      </w:r>
      <w:r w:rsidR="000D75AE" w:rsidRPr="007C2BF9">
        <w:t>.</w:t>
      </w:r>
      <w:r w:rsidR="000D75AE">
        <w:t>3</w:t>
      </w:r>
      <w:r w:rsidR="004572F7">
        <w:t xml:space="preserve"> </w:t>
      </w:r>
      <w:r w:rsidR="000D75AE" w:rsidRPr="00402B07">
        <w:t>Supporting evidence for OSAs</w:t>
      </w:r>
      <w:r w:rsidR="00E91389">
        <w:fldChar w:fldCharType="end"/>
      </w:r>
      <w:r w:rsidRPr="62EC0267">
        <w:t>.</w:t>
      </w:r>
    </w:p>
    <w:p w14:paraId="1112E26B" w14:textId="77777777" w:rsidR="00D74559" w:rsidRPr="00A61D35" w:rsidRDefault="00D74559" w:rsidP="62EA99E0">
      <w:pPr>
        <w:tabs>
          <w:tab w:val="right" w:pos="1701"/>
        </w:tabs>
        <w:spacing w:after="120"/>
      </w:pPr>
      <w:r w:rsidRPr="62EC0267">
        <w:t>The Ongoing Support Assessor may seek the Provider’s help in contacting the Participant to arrange an interview. The Provider must advise the Ongoing Support Assessor as soon as possible if they cannot contact the Participant.</w:t>
      </w:r>
    </w:p>
    <w:p w14:paraId="1C84EC87" w14:textId="376D4956" w:rsidR="00D74559" w:rsidRPr="00A61D35" w:rsidRDefault="00D74559" w:rsidP="00973E5A">
      <w:r w:rsidRPr="62EC0267">
        <w:t>The Ongoing Support Assessor may ask the Provider</w:t>
      </w:r>
      <w:r w:rsidR="00862135">
        <w:t xml:space="preserve"> to</w:t>
      </w:r>
      <w:r w:rsidRPr="62EC0267">
        <w:t>:</w:t>
      </w:r>
    </w:p>
    <w:p w14:paraId="1A8C9769" w14:textId="57EDC0B2" w:rsidR="007B7799" w:rsidRDefault="00770FCB" w:rsidP="004E120D">
      <w:pPr>
        <w:pStyle w:val="BulletLevel1"/>
      </w:pPr>
      <w:r>
        <w:t>s</w:t>
      </w:r>
      <w:r w:rsidR="00D74559" w:rsidRPr="00156D37">
        <w:t xml:space="preserve">upport and attend </w:t>
      </w:r>
      <w:r w:rsidR="0013310B">
        <w:t>the</w:t>
      </w:r>
      <w:r w:rsidR="00D74559" w:rsidRPr="00156D37">
        <w:t xml:space="preserve"> interview with the </w:t>
      </w:r>
      <w:r w:rsidR="00D74559">
        <w:t>Participant</w:t>
      </w:r>
      <w:r w:rsidR="00A26197">
        <w:t xml:space="preserve">, </w:t>
      </w:r>
      <w:r w:rsidR="00BB1540">
        <w:t>a Participant’s</w:t>
      </w:r>
      <w:r w:rsidR="00A26197">
        <w:t xml:space="preserve"> court appointment nominee and/or </w:t>
      </w:r>
      <w:r w:rsidR="00E900CE">
        <w:t>Participant’s advocate</w:t>
      </w:r>
      <w:r w:rsidR="00BB1540">
        <w:t>(s)</w:t>
      </w:r>
    </w:p>
    <w:p w14:paraId="0D7A95D5" w14:textId="3B15C456" w:rsidR="00B556BA" w:rsidRDefault="00770FCB" w:rsidP="007B7799">
      <w:pPr>
        <w:pStyle w:val="BulletLevel2"/>
      </w:pPr>
      <w:r>
        <w:t>t</w:t>
      </w:r>
      <w:r w:rsidR="00D74559" w:rsidRPr="00156D37">
        <w:t xml:space="preserve">he interview can include </w:t>
      </w:r>
      <w:r w:rsidR="0097334C">
        <w:t xml:space="preserve">third party attendance by </w:t>
      </w:r>
      <w:r w:rsidR="00D74559" w:rsidRPr="00156D37">
        <w:t xml:space="preserve">a nominee or advocate for the </w:t>
      </w:r>
      <w:r w:rsidR="00D74559">
        <w:t>Participant</w:t>
      </w:r>
      <w:r w:rsidR="00D43DF1">
        <w:t xml:space="preserve">, </w:t>
      </w:r>
      <w:r w:rsidR="00B556BA">
        <w:t>or</w:t>
      </w:r>
    </w:p>
    <w:p w14:paraId="3272BFB9" w14:textId="60D60494" w:rsidR="00D74559" w:rsidRPr="00156D37" w:rsidRDefault="00AE4C05" w:rsidP="007B7799">
      <w:pPr>
        <w:pStyle w:val="BulletLevel2"/>
      </w:pPr>
      <w:r>
        <w:t>with the Participant’s consent</w:t>
      </w:r>
      <w:r w:rsidR="00D74559" w:rsidRPr="00156D37">
        <w:t xml:space="preserve">, the interview can be with the nominee or advocate instead of the </w:t>
      </w:r>
      <w:r w:rsidR="00D74559">
        <w:t>Participant</w:t>
      </w:r>
    </w:p>
    <w:p w14:paraId="1C51841C" w14:textId="27F0726B" w:rsidR="00D228EE" w:rsidRDefault="00D74559" w:rsidP="004E120D">
      <w:pPr>
        <w:pStyle w:val="BulletLevel1"/>
      </w:pPr>
      <w:r w:rsidRPr="62EC0267">
        <w:t>arrange</w:t>
      </w:r>
      <w:r w:rsidR="00336142">
        <w:t xml:space="preserve"> </w:t>
      </w:r>
      <w:r w:rsidR="008C0FE6">
        <w:t>the</w:t>
      </w:r>
      <w:r w:rsidR="008C0FE6" w:rsidRPr="62EC0267">
        <w:t xml:space="preserve"> </w:t>
      </w:r>
      <w:r w:rsidRPr="62EC0267">
        <w:t xml:space="preserve">workplace </w:t>
      </w:r>
      <w:r w:rsidR="008C0FE6">
        <w:t>component</w:t>
      </w:r>
      <w:r w:rsidRPr="62EC0267">
        <w:t xml:space="preserve"> of the OSA </w:t>
      </w:r>
      <w:r w:rsidR="005C2DF6">
        <w:t>if</w:t>
      </w:r>
      <w:r w:rsidR="00DF32CC">
        <w:t xml:space="preserve"> the Particip</w:t>
      </w:r>
      <w:r w:rsidR="00AB4B3C">
        <w:t>ant</w:t>
      </w:r>
      <w:r w:rsidR="00DF32CC">
        <w:t xml:space="preserve"> has given consent for the</w:t>
      </w:r>
      <w:r w:rsidR="00AB4B3C">
        <w:t xml:space="preserve">ir Employer </w:t>
      </w:r>
      <w:r w:rsidR="007C7B47">
        <w:t>to be cont</w:t>
      </w:r>
      <w:r w:rsidR="00DA772A">
        <w:t>acted,</w:t>
      </w:r>
      <w:r w:rsidR="00DF32CC">
        <w:t xml:space="preserve"> </w:t>
      </w:r>
      <w:r w:rsidR="00777095">
        <w:t>to allow</w:t>
      </w:r>
      <w:r w:rsidRPr="62EC0267">
        <w:t xml:space="preserve"> the Ongoing Support Assessor </w:t>
      </w:r>
      <w:r w:rsidR="00777095">
        <w:t>to</w:t>
      </w:r>
      <w:r w:rsidRPr="62EC0267">
        <w:t xml:space="preserve"> conduct the Employer interview in the Participant’s workplace</w:t>
      </w:r>
      <w:r w:rsidR="004301ED">
        <w:t>,</w:t>
      </w:r>
      <w:r w:rsidR="00D228EE">
        <w:t xml:space="preserve"> and</w:t>
      </w:r>
    </w:p>
    <w:p w14:paraId="7731FD63" w14:textId="15C20998" w:rsidR="00D74559" w:rsidRDefault="00D228EE" w:rsidP="004E120D">
      <w:pPr>
        <w:pStyle w:val="BulletLevel1"/>
      </w:pPr>
      <w:r>
        <w:t xml:space="preserve">take part in the </w:t>
      </w:r>
      <w:r w:rsidR="00C97377">
        <w:t xml:space="preserve">Employer </w:t>
      </w:r>
      <w:r w:rsidR="00A90BF6">
        <w:t>interview</w:t>
      </w:r>
      <w:r w:rsidR="00D74559" w:rsidRPr="62EC0267">
        <w:t>.</w:t>
      </w:r>
    </w:p>
    <w:p w14:paraId="53D2AF5B" w14:textId="2264BBD2" w:rsidR="00D74559" w:rsidRDefault="00D74559" w:rsidP="007507FC">
      <w:pPr>
        <w:pStyle w:val="DeedReferences"/>
      </w:pPr>
      <w:r w:rsidRPr="00C0579F">
        <w:t>(</w:t>
      </w:r>
      <w:r w:rsidR="00A73420">
        <w:t xml:space="preserve">Deed Reference(s): Clause </w:t>
      </w:r>
      <w:r w:rsidR="00D40F73">
        <w:t>133.3</w:t>
      </w:r>
      <w:r w:rsidRPr="00C0579F">
        <w:t>)</w:t>
      </w:r>
      <w:r w:rsidRPr="00E23A31">
        <w:t> </w:t>
      </w:r>
    </w:p>
    <w:p w14:paraId="549E2194" w14:textId="2C44D28A" w:rsidR="00D74559" w:rsidRPr="007C2BF9" w:rsidRDefault="00D74559" w:rsidP="001D0F92">
      <w:pPr>
        <w:pStyle w:val="Heading4"/>
      </w:pPr>
      <w:bookmarkStart w:id="438" w:name="_Ref202887803"/>
      <w:bookmarkStart w:id="439" w:name="_Toc202900068"/>
      <w:r>
        <w:t>10</w:t>
      </w:r>
      <w:r w:rsidRPr="007C2BF9">
        <w:t>.</w:t>
      </w:r>
      <w:r>
        <w:t>4</w:t>
      </w:r>
      <w:r w:rsidRPr="007C2BF9">
        <w:t>.</w:t>
      </w:r>
      <w:r>
        <w:t>3</w:t>
      </w:r>
      <w:r w:rsidR="003E4166">
        <w:tab/>
      </w:r>
      <w:r w:rsidRPr="00402B07">
        <w:t>Supporting evidence for OSAs</w:t>
      </w:r>
      <w:bookmarkEnd w:id="438"/>
      <w:bookmarkEnd w:id="439"/>
    </w:p>
    <w:p w14:paraId="517B1DB4" w14:textId="77777777" w:rsidR="00D74559" w:rsidRDefault="00D74559" w:rsidP="00F80682">
      <w:r w:rsidRPr="62EC0267">
        <w:t>Providers must help the Ongoing Support Assessor make a correct assessment in the OSA by providing documentation outlining the support provided to the Participant over the Job Placement period.</w:t>
      </w:r>
    </w:p>
    <w:p w14:paraId="7ED1485F" w14:textId="26E1573E" w:rsidR="00241D61" w:rsidRDefault="003032BC" w:rsidP="00241D61">
      <w:pPr>
        <w:pStyle w:val="TableChartHeading"/>
      </w:pPr>
      <w:r>
        <w:t>Evidence sources for OSAs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23"/>
      </w:tblGrid>
      <w:tr w:rsidR="00D74559" w14:paraId="69CB5E8D" w14:textId="77777777" w:rsidTr="006E2EF5">
        <w:trPr>
          <w:trHeight w:val="300"/>
          <w:tblHeader/>
        </w:trPr>
        <w:tc>
          <w:tcPr>
            <w:tcW w:w="4106" w:type="dxa"/>
            <w:shd w:val="clear" w:color="auto" w:fill="B1E4E3" w:themeFill="accent3"/>
            <w:tcMar>
              <w:top w:w="80" w:type="dxa"/>
              <w:left w:w="80" w:type="dxa"/>
              <w:bottom w:w="80" w:type="dxa"/>
              <w:right w:w="80" w:type="dxa"/>
            </w:tcMar>
          </w:tcPr>
          <w:p w14:paraId="7B2F74A7" w14:textId="77777777" w:rsidR="00D74559" w:rsidRPr="00D42F11" w:rsidRDefault="00D74559" w:rsidP="00D42F11">
            <w:pPr>
              <w:pStyle w:val="TableText"/>
              <w:rPr>
                <w:b/>
                <w:bCs/>
              </w:rPr>
            </w:pPr>
            <w:r w:rsidRPr="00D42F11">
              <w:rPr>
                <w:rFonts w:eastAsia="Tahoma"/>
                <w:b/>
                <w:bCs/>
              </w:rPr>
              <w:t>Information that must be provided</w:t>
            </w:r>
          </w:p>
        </w:tc>
        <w:tc>
          <w:tcPr>
            <w:tcW w:w="5523" w:type="dxa"/>
            <w:shd w:val="clear" w:color="auto" w:fill="B1E4E3" w:themeFill="accent3"/>
            <w:tcMar>
              <w:top w:w="80" w:type="dxa"/>
              <w:left w:w="80" w:type="dxa"/>
              <w:bottom w:w="80" w:type="dxa"/>
              <w:right w:w="80" w:type="dxa"/>
            </w:tcMar>
          </w:tcPr>
          <w:p w14:paraId="669B2AF1" w14:textId="77777777" w:rsidR="00D74559" w:rsidRPr="00D42F11" w:rsidRDefault="00D74559" w:rsidP="00D42F11">
            <w:pPr>
              <w:pStyle w:val="TableText"/>
              <w:rPr>
                <w:b/>
                <w:bCs/>
              </w:rPr>
            </w:pPr>
            <w:r w:rsidRPr="00D42F11">
              <w:rPr>
                <w:rFonts w:eastAsia="Tahoma"/>
                <w:b/>
                <w:bCs/>
              </w:rPr>
              <w:t>Possible evidence sources</w:t>
            </w:r>
          </w:p>
        </w:tc>
      </w:tr>
      <w:tr w:rsidR="00D74559" w14:paraId="3E4D6CF7" w14:textId="77777777" w:rsidTr="006E2EF5">
        <w:trPr>
          <w:trHeight w:val="300"/>
        </w:trPr>
        <w:tc>
          <w:tcPr>
            <w:tcW w:w="4106" w:type="dxa"/>
            <w:tcMar>
              <w:top w:w="80" w:type="dxa"/>
              <w:left w:w="80" w:type="dxa"/>
              <w:bottom w:w="80" w:type="dxa"/>
              <w:right w:w="80" w:type="dxa"/>
            </w:tcMar>
          </w:tcPr>
          <w:p w14:paraId="39F742DB" w14:textId="77777777" w:rsidR="00D74559" w:rsidRPr="006D0E88" w:rsidRDefault="00D74559" w:rsidP="007D21CC">
            <w:pPr>
              <w:pStyle w:val="TableList-level1"/>
            </w:pPr>
            <w:r w:rsidRPr="6B1A4B0E">
              <w:t>Frequency of support</w:t>
            </w:r>
          </w:p>
          <w:p w14:paraId="5DCC9A28" w14:textId="317E2F9D" w:rsidR="00D74559" w:rsidRPr="006D0E88" w:rsidRDefault="00D74559" w:rsidP="007D21CC">
            <w:pPr>
              <w:pStyle w:val="TableList-level1"/>
            </w:pPr>
            <w:r w:rsidRPr="6B1A4B0E">
              <w:t xml:space="preserve">Number of </w:t>
            </w:r>
            <w:r w:rsidR="00EC1AB3">
              <w:t>C</w:t>
            </w:r>
            <w:r w:rsidRPr="6B1A4B0E">
              <w:t>ontacts provided</w:t>
            </w:r>
          </w:p>
          <w:p w14:paraId="0D42DF21" w14:textId="77777777" w:rsidR="00D74559" w:rsidRPr="006D0E88" w:rsidRDefault="00D74559" w:rsidP="007D21CC">
            <w:pPr>
              <w:pStyle w:val="TableList-level1"/>
            </w:pPr>
            <w:r w:rsidRPr="6B1A4B0E">
              <w:t>Hours of support provided</w:t>
            </w:r>
          </w:p>
          <w:p w14:paraId="5976AC5C" w14:textId="77777777" w:rsidR="00D74559" w:rsidRPr="006D0E88" w:rsidRDefault="00D74559" w:rsidP="007D21CC">
            <w:pPr>
              <w:pStyle w:val="TableList-level1"/>
            </w:pPr>
            <w:r w:rsidRPr="6B1A4B0E">
              <w:t>Specific strategies for support provided</w:t>
            </w:r>
          </w:p>
        </w:tc>
        <w:tc>
          <w:tcPr>
            <w:tcW w:w="5523" w:type="dxa"/>
            <w:tcMar>
              <w:top w:w="80" w:type="dxa"/>
              <w:left w:w="80" w:type="dxa"/>
              <w:bottom w:w="80" w:type="dxa"/>
              <w:right w:w="80" w:type="dxa"/>
            </w:tcMar>
          </w:tcPr>
          <w:p w14:paraId="38BF282E" w14:textId="179FDAD0" w:rsidR="00D74559" w:rsidRPr="006D0E88" w:rsidRDefault="00D74559" w:rsidP="007D21CC">
            <w:pPr>
              <w:pStyle w:val="TableList-level1"/>
            </w:pPr>
            <w:r w:rsidRPr="6B1A4B0E">
              <w:t xml:space="preserve">The Department’s IT Systems </w:t>
            </w:r>
            <w:r w:rsidR="00D0159F">
              <w:t>R</w:t>
            </w:r>
            <w:r w:rsidRPr="6B1A4B0E">
              <w:t xml:space="preserve">ecords </w:t>
            </w:r>
            <w:r>
              <w:t xml:space="preserve">— for example, </w:t>
            </w:r>
            <w:r w:rsidRPr="6B1A4B0E">
              <w:t>Contact dates</w:t>
            </w:r>
            <w:r>
              <w:t>,</w:t>
            </w:r>
            <w:r w:rsidRPr="6B1A4B0E">
              <w:t xml:space="preserve"> times and formats</w:t>
            </w:r>
            <w:r>
              <w:t>,</w:t>
            </w:r>
            <w:r w:rsidRPr="6B1A4B0E">
              <w:t xml:space="preserve"> comments on servicing</w:t>
            </w:r>
            <w:r>
              <w:t>,</w:t>
            </w:r>
            <w:r w:rsidRPr="6B1A4B0E">
              <w:t xml:space="preserve"> Job Plan</w:t>
            </w:r>
            <w:r>
              <w:t xml:space="preserve"> history</w:t>
            </w:r>
          </w:p>
          <w:p w14:paraId="18752FA0" w14:textId="77777777" w:rsidR="00D74559" w:rsidRPr="006D0E88" w:rsidRDefault="00D74559" w:rsidP="007D21CC">
            <w:pPr>
              <w:pStyle w:val="TableList-level1"/>
            </w:pPr>
            <w:r w:rsidRPr="0114377B">
              <w:t>ESAts and other reports</w:t>
            </w:r>
          </w:p>
          <w:p w14:paraId="62B0C877" w14:textId="77777777" w:rsidR="00D74559" w:rsidRPr="006D0E88" w:rsidRDefault="00D74559" w:rsidP="007D21CC">
            <w:pPr>
              <w:pStyle w:val="TableList-level1"/>
            </w:pPr>
            <w:r w:rsidRPr="6B1A4B0E">
              <w:t>Medical reports</w:t>
            </w:r>
          </w:p>
          <w:p w14:paraId="3307780A" w14:textId="77777777" w:rsidR="00D74559" w:rsidRPr="006D0E88" w:rsidRDefault="00D74559" w:rsidP="007D21CC">
            <w:pPr>
              <w:pStyle w:val="TableList-level1"/>
            </w:pPr>
            <w:r w:rsidRPr="6B1A4B0E">
              <w:t>Invoices and receipts</w:t>
            </w:r>
          </w:p>
          <w:p w14:paraId="4094E64F" w14:textId="77777777" w:rsidR="00D74559" w:rsidRPr="006D0E88" w:rsidRDefault="00D74559" w:rsidP="007D21CC">
            <w:pPr>
              <w:pStyle w:val="TableList-level1"/>
            </w:pPr>
            <w:r w:rsidRPr="6B1A4B0E">
              <w:t>Provider file assessments</w:t>
            </w:r>
          </w:p>
          <w:p w14:paraId="2B5433E6" w14:textId="7F52FBF8" w:rsidR="00D74559" w:rsidRPr="006D0E88" w:rsidRDefault="00D74559" w:rsidP="007D21CC">
            <w:pPr>
              <w:pStyle w:val="TableList-level1"/>
            </w:pPr>
            <w:r w:rsidRPr="6B1A4B0E">
              <w:t xml:space="preserve">Observation </w:t>
            </w:r>
            <w:r w:rsidR="00D0159F">
              <w:t>R</w:t>
            </w:r>
            <w:r w:rsidRPr="6B1A4B0E">
              <w:t>ecords</w:t>
            </w:r>
          </w:p>
          <w:p w14:paraId="5857D82B" w14:textId="21D31F14" w:rsidR="00D74559" w:rsidRPr="006D0E88" w:rsidRDefault="00D74559" w:rsidP="007D21CC">
            <w:pPr>
              <w:pStyle w:val="TableList-level1"/>
            </w:pPr>
            <w:r w:rsidRPr="0114377B">
              <w:t xml:space="preserve">Information from interviews with Participants, parents, advocates, Employers and </w:t>
            </w:r>
            <w:r w:rsidR="009D5671">
              <w:t>S</w:t>
            </w:r>
            <w:r w:rsidRPr="0114377B">
              <w:t>upervisors</w:t>
            </w:r>
          </w:p>
          <w:p w14:paraId="3D0CCCC0" w14:textId="77777777" w:rsidR="00D74559" w:rsidRPr="006D0E88" w:rsidRDefault="00D74559" w:rsidP="007D21CC">
            <w:pPr>
              <w:pStyle w:val="TableList-level1"/>
            </w:pPr>
            <w:r w:rsidRPr="6B1A4B0E">
              <w:t>File notes of conversations</w:t>
            </w:r>
          </w:p>
          <w:p w14:paraId="2F17C781" w14:textId="77777777" w:rsidR="00D74559" w:rsidRPr="006D0E88" w:rsidRDefault="00D74559" w:rsidP="007D21CC">
            <w:pPr>
              <w:pStyle w:val="TableList-level1"/>
            </w:pPr>
            <w:r w:rsidRPr="6B1A4B0E">
              <w:t xml:space="preserve">File notes detailing progress made by the </w:t>
            </w:r>
            <w:r>
              <w:t>Participant</w:t>
            </w:r>
          </w:p>
        </w:tc>
      </w:tr>
    </w:tbl>
    <w:p w14:paraId="3B5A160C" w14:textId="77777777" w:rsidR="00D74559" w:rsidRDefault="00D74559" w:rsidP="00F80682">
      <w:pPr>
        <w:tabs>
          <w:tab w:val="right" w:pos="1701"/>
        </w:tabs>
      </w:pPr>
      <w:r w:rsidRPr="62EC0267">
        <w:t xml:space="preserve">Providers can also help the Ongoing Support Assessor by including information about the Participant’s: </w:t>
      </w:r>
    </w:p>
    <w:p w14:paraId="0A0CADCB" w14:textId="77777777" w:rsidR="00D74559" w:rsidRPr="0048796D" w:rsidRDefault="00D74559" w:rsidP="004E120D">
      <w:pPr>
        <w:pStyle w:val="BulletLevel1"/>
        <w:rPr>
          <w:rFonts w:ascii="Tahoma" w:eastAsia="Tahoma" w:hAnsi="Tahoma" w:cs="Tahoma"/>
        </w:rPr>
      </w:pPr>
      <w:r w:rsidRPr="62EC0267">
        <w:t>current and earlier barriers to work, including how those barriers affect the Participant and the Participant’s progress against them, and</w:t>
      </w:r>
    </w:p>
    <w:p w14:paraId="2373F9A6" w14:textId="77777777" w:rsidR="00D74559" w:rsidRPr="001C446A" w:rsidRDefault="00D74559" w:rsidP="004E120D">
      <w:pPr>
        <w:pStyle w:val="BulletLevel1"/>
        <w:rPr>
          <w:rFonts w:ascii="Tahoma" w:eastAsia="Tahoma" w:hAnsi="Tahoma" w:cs="Tahoma"/>
        </w:rPr>
      </w:pPr>
      <w:r w:rsidRPr="62EC0267">
        <w:t>support history and expected support requirements.</w:t>
      </w:r>
    </w:p>
    <w:p w14:paraId="333D11EC" w14:textId="1D785A87" w:rsidR="00D74559" w:rsidRPr="00FB7CD7" w:rsidRDefault="00D74559" w:rsidP="001D0F92">
      <w:pPr>
        <w:pStyle w:val="Heading4"/>
      </w:pPr>
      <w:bookmarkStart w:id="440" w:name="_Toc202900069"/>
      <w:r>
        <w:t>10.4.</w:t>
      </w:r>
      <w:r w:rsidR="00566119">
        <w:t>4</w:t>
      </w:r>
      <w:r w:rsidR="003E4166">
        <w:tab/>
      </w:r>
      <w:r>
        <w:t>OSA outcomes</w:t>
      </w:r>
      <w:bookmarkEnd w:id="440"/>
    </w:p>
    <w:p w14:paraId="48E5628D" w14:textId="77777777" w:rsidR="00D74559" w:rsidRPr="00FB7CD7" w:rsidRDefault="00D74559" w:rsidP="00F80682">
      <w:pPr>
        <w:tabs>
          <w:tab w:val="right" w:pos="1701"/>
        </w:tabs>
        <w:spacing w:after="120"/>
      </w:pPr>
      <w:r w:rsidRPr="792BECF6">
        <w:t xml:space="preserve">The </w:t>
      </w:r>
      <w:r>
        <w:t>Ongoing Support A</w:t>
      </w:r>
      <w:r w:rsidRPr="792BECF6">
        <w:t xml:space="preserve">ssessor undertakes the </w:t>
      </w:r>
      <w:r>
        <w:t>OSA</w:t>
      </w:r>
      <w:r w:rsidRPr="792BECF6">
        <w:t xml:space="preserve"> by:</w:t>
      </w:r>
    </w:p>
    <w:p w14:paraId="23029091" w14:textId="77777777" w:rsidR="00D74559" w:rsidRPr="00FB7CD7" w:rsidRDefault="00D74559" w:rsidP="004E120D">
      <w:pPr>
        <w:pStyle w:val="BulletLevel1"/>
      </w:pPr>
      <w:r w:rsidRPr="00FB7CD7">
        <w:t xml:space="preserve">conducting interviews with the </w:t>
      </w:r>
      <w:r>
        <w:t>Provider</w:t>
      </w:r>
      <w:r w:rsidRPr="00FB7CD7">
        <w:t xml:space="preserve">, </w:t>
      </w:r>
      <w:r>
        <w:t>Participant</w:t>
      </w:r>
      <w:r w:rsidRPr="00FB7CD7">
        <w:t xml:space="preserve"> and </w:t>
      </w:r>
      <w:r>
        <w:t>E</w:t>
      </w:r>
      <w:r w:rsidRPr="00FB7CD7">
        <w:t>mployer (where agreed)</w:t>
      </w:r>
    </w:p>
    <w:p w14:paraId="3470E03F" w14:textId="77777777" w:rsidR="00D74559" w:rsidRPr="00FB7CD7" w:rsidRDefault="00D74559" w:rsidP="004E120D">
      <w:pPr>
        <w:pStyle w:val="BulletLevel1"/>
      </w:pPr>
      <w:r w:rsidRPr="00FB7CD7">
        <w:t xml:space="preserve">preparing the </w:t>
      </w:r>
      <w:r>
        <w:t>Assessment</w:t>
      </w:r>
      <w:r w:rsidRPr="00FB7CD7">
        <w:t xml:space="preserve"> report and deciding on a recommendation</w:t>
      </w:r>
    </w:p>
    <w:p w14:paraId="695794FF" w14:textId="77777777" w:rsidR="00D74559" w:rsidRPr="00FB7CD7" w:rsidRDefault="00D74559" w:rsidP="004E120D">
      <w:pPr>
        <w:pStyle w:val="BulletLevel1"/>
      </w:pPr>
      <w:r w:rsidRPr="0114377B">
        <w:t xml:space="preserve">completing and </w:t>
      </w:r>
      <w:bookmarkStart w:id="441" w:name="_Int_SyfXn2Xg"/>
      <w:r w:rsidRPr="0114377B">
        <w:t>submitting</w:t>
      </w:r>
      <w:bookmarkEnd w:id="441"/>
      <w:r w:rsidRPr="0114377B">
        <w:t xml:space="preserve"> the Assessment report on the Department’s IT Systems.</w:t>
      </w:r>
    </w:p>
    <w:p w14:paraId="5FFBD8BF" w14:textId="77777777" w:rsidR="00D74559" w:rsidRPr="00A17B7B" w:rsidRDefault="00D74559" w:rsidP="006F727E">
      <w:pPr>
        <w:pStyle w:val="SystemStep"/>
      </w:pPr>
      <w:r w:rsidRPr="00A17B7B">
        <w:t>The Department’s IT Systems will notify the Provider of the OSA recommendation, and the full Assessment report will be viewable.</w:t>
      </w:r>
    </w:p>
    <w:p w14:paraId="5BB6F69F" w14:textId="77777777" w:rsidR="00D74559" w:rsidRDefault="00D74559" w:rsidP="003032BC">
      <w:pPr>
        <w:keepNext/>
      </w:pPr>
      <w:r w:rsidRPr="0114377B">
        <w:t>Possible recommendations in the OSA report are:</w:t>
      </w:r>
    </w:p>
    <w:p w14:paraId="1520066F" w14:textId="77777777" w:rsidR="00D74559" w:rsidRPr="00DA66D6" w:rsidRDefault="00D74559" w:rsidP="004E120D">
      <w:pPr>
        <w:pStyle w:val="BulletLevel1"/>
      </w:pPr>
      <w:r>
        <w:t xml:space="preserve">Ongoing </w:t>
      </w:r>
      <w:r w:rsidRPr="00DA66D6">
        <w:t>Support is needed (and the Level of Ongoing Support)</w:t>
      </w:r>
      <w:r>
        <w:t>, or</w:t>
      </w:r>
    </w:p>
    <w:p w14:paraId="08A38D8B" w14:textId="77777777" w:rsidR="00D74559" w:rsidRPr="00DA66D6" w:rsidRDefault="00D74559" w:rsidP="004E120D">
      <w:pPr>
        <w:pStyle w:val="BulletLevel1"/>
      </w:pPr>
      <w:r w:rsidRPr="00DA66D6">
        <w:t>Ongoing Support not needed</w:t>
      </w:r>
      <w:r>
        <w:t>.</w:t>
      </w:r>
    </w:p>
    <w:p w14:paraId="1095BA8B" w14:textId="77777777" w:rsidR="00C57610" w:rsidRPr="0046784C" w:rsidRDefault="00C57610" w:rsidP="00C57610">
      <w:pPr>
        <w:pStyle w:val="DeedReferences"/>
      </w:pPr>
      <w:r>
        <w:t>(Deed Reference(s): Clause 125.6)</w:t>
      </w:r>
    </w:p>
    <w:p w14:paraId="2D3A279E" w14:textId="14BCCD96" w:rsidR="00D74559" w:rsidRDefault="00567DFC" w:rsidP="00D42F11">
      <w:pPr>
        <w:pStyle w:val="Heading5"/>
      </w:pPr>
      <w:r>
        <w:t xml:space="preserve">When </w:t>
      </w:r>
      <w:r w:rsidR="00882259">
        <w:t xml:space="preserve">an OSA recommends </w:t>
      </w:r>
      <w:r w:rsidR="00D74559" w:rsidRPr="62EC0267">
        <w:t>Ongoing Support is needed</w:t>
      </w:r>
    </w:p>
    <w:p w14:paraId="2B0EB0F7" w14:textId="57D2AB30" w:rsidR="00D74559" w:rsidRPr="00FB7CD7" w:rsidRDefault="005B1E50" w:rsidP="008E2C5E">
      <w:pPr>
        <w:spacing w:before="60" w:after="60"/>
        <w:rPr>
          <w:rFonts w:cstheme="minorHAnsi"/>
          <w:szCs w:val="22"/>
        </w:rPr>
      </w:pPr>
      <w:r>
        <w:rPr>
          <w:rFonts w:cstheme="minorHAnsi"/>
          <w:szCs w:val="22"/>
        </w:rPr>
        <w:t>When the outcome of an OSA is that Ongoing Support is needed, t</w:t>
      </w:r>
      <w:r w:rsidR="00D74559">
        <w:rPr>
          <w:rFonts w:cstheme="minorHAnsi"/>
          <w:szCs w:val="22"/>
        </w:rPr>
        <w:t>he Provider</w:t>
      </w:r>
      <w:r w:rsidR="00D74559" w:rsidRPr="00FB7CD7">
        <w:rPr>
          <w:rFonts w:cstheme="minorHAnsi"/>
          <w:szCs w:val="22"/>
        </w:rPr>
        <w:t xml:space="preserve"> must:</w:t>
      </w:r>
    </w:p>
    <w:p w14:paraId="6DA7C207" w14:textId="0DC3A5B3" w:rsidR="00D74559" w:rsidRPr="00FB7CD7" w:rsidRDefault="00D74559" w:rsidP="004E120D">
      <w:pPr>
        <w:pStyle w:val="BulletLevel1"/>
      </w:pPr>
      <w:r w:rsidRPr="00FB7CD7">
        <w:t xml:space="preserve">discuss the recommended </w:t>
      </w:r>
      <w:r>
        <w:t>Level of Ongoing Support</w:t>
      </w:r>
      <w:r w:rsidRPr="00FB7CD7">
        <w:t xml:space="preserve"> </w:t>
      </w:r>
      <w:r>
        <w:t>(Flexible, Moderate or High)</w:t>
      </w:r>
      <w:r w:rsidRPr="00FB7CD7">
        <w:t xml:space="preserve"> with the </w:t>
      </w:r>
      <w:r>
        <w:t>Participant</w:t>
      </w:r>
      <w:r w:rsidRPr="00FB7CD7">
        <w:t xml:space="preserve"> at the</w:t>
      </w:r>
      <w:r>
        <w:t>ir</w:t>
      </w:r>
      <w:r w:rsidRPr="00FB7CD7">
        <w:t xml:space="preserve"> next </w:t>
      </w:r>
      <w:r w:rsidR="00420CB6">
        <w:t>C</w:t>
      </w:r>
      <w:r w:rsidRPr="00FB7CD7">
        <w:t>ontact</w:t>
      </w:r>
    </w:p>
    <w:p w14:paraId="57CB7FA0" w14:textId="77777777" w:rsidR="00D74559" w:rsidRPr="00FB7CD7" w:rsidRDefault="00D74559" w:rsidP="004E120D">
      <w:pPr>
        <w:pStyle w:val="BulletLevel1"/>
      </w:pPr>
      <w:r w:rsidRPr="00FB7CD7">
        <w:t xml:space="preserve">agree how the </w:t>
      </w:r>
      <w:r>
        <w:t>Ongoing Support</w:t>
      </w:r>
      <w:r w:rsidRPr="00FB7CD7">
        <w:t xml:space="preserve"> will be delivered</w:t>
      </w:r>
    </w:p>
    <w:p w14:paraId="34EC0B58" w14:textId="77777777" w:rsidR="00D74559" w:rsidRPr="00FB7CD7" w:rsidRDefault="00D74559" w:rsidP="004E120D">
      <w:pPr>
        <w:pStyle w:val="BulletLevel1"/>
      </w:pPr>
      <w:r w:rsidRPr="00FB7CD7">
        <w:t xml:space="preserve">update the </w:t>
      </w:r>
      <w:r>
        <w:t>Participant</w:t>
      </w:r>
      <w:r w:rsidRPr="00FB7CD7">
        <w:t xml:space="preserve">’s </w:t>
      </w:r>
      <w:r>
        <w:t>Job Plan</w:t>
      </w:r>
      <w:r w:rsidRPr="00FB7CD7">
        <w:t>, if needed</w:t>
      </w:r>
      <w:r>
        <w:t>, and</w:t>
      </w:r>
    </w:p>
    <w:p w14:paraId="5E7C1039" w14:textId="77777777" w:rsidR="00D74559" w:rsidRPr="00FB7CD7" w:rsidRDefault="00D74559" w:rsidP="004E120D">
      <w:pPr>
        <w:pStyle w:val="BulletLevel1"/>
      </w:pPr>
      <w:r>
        <w:t>deliver the recommended Level of Ongoing Support (except in the circumstances outlined below).</w:t>
      </w:r>
    </w:p>
    <w:p w14:paraId="58875211" w14:textId="77777777" w:rsidR="00D74559" w:rsidRPr="00FB7CD7" w:rsidRDefault="00D74559" w:rsidP="008E2C5E">
      <w:pPr>
        <w:spacing w:before="60" w:after="60"/>
      </w:pPr>
      <w:r>
        <w:t>The Provider:</w:t>
      </w:r>
    </w:p>
    <w:p w14:paraId="5A643D93" w14:textId="17BB083E" w:rsidR="00D74559" w:rsidRPr="00E85864" w:rsidRDefault="00D74559" w:rsidP="004E120D">
      <w:pPr>
        <w:pStyle w:val="BulletLevel1"/>
        <w:rPr>
          <w:rFonts w:cstheme="minorHAnsi"/>
          <w:szCs w:val="22"/>
        </w:rPr>
      </w:pPr>
      <w:r>
        <w:t>cannot</w:t>
      </w:r>
      <w:r w:rsidDel="00C37435">
        <w:t xml:space="preserve"> </w:t>
      </w:r>
      <w:r w:rsidR="00C37435">
        <w:t xml:space="preserve">receive Payment for </w:t>
      </w:r>
      <w:r>
        <w:t xml:space="preserve">a higher Level of Ongoing Support than the </w:t>
      </w:r>
      <w:r w:rsidRPr="00E85864">
        <w:rPr>
          <w:rFonts w:cstheme="minorHAnsi"/>
          <w:szCs w:val="22"/>
        </w:rPr>
        <w:t>recommended Level</w:t>
      </w:r>
      <w:r w:rsidR="001D4FD7">
        <w:rPr>
          <w:rFonts w:cstheme="minorHAnsi"/>
          <w:szCs w:val="22"/>
        </w:rPr>
        <w:t xml:space="preserve"> of Support</w:t>
      </w:r>
    </w:p>
    <w:p w14:paraId="529B23B7" w14:textId="42A84553" w:rsidR="00D74559" w:rsidRPr="00E85864" w:rsidRDefault="00D74559" w:rsidP="004E120D">
      <w:pPr>
        <w:pStyle w:val="BulletLevel1"/>
      </w:pPr>
      <w:r w:rsidRPr="62EC0267">
        <w:t>can refer a Participant for a Change of Circumstances OSA at any time if the Participant’s needs have changed and they need a higher Level of Ongoing Support, and</w:t>
      </w:r>
    </w:p>
    <w:p w14:paraId="24B6123A" w14:textId="125F3A88" w:rsidR="00D74559" w:rsidRPr="00E85864" w:rsidRDefault="00D74559" w:rsidP="004E120D">
      <w:pPr>
        <w:pStyle w:val="BulletLevel1"/>
      </w:pPr>
      <w:r w:rsidRPr="62EC0267">
        <w:t>can deliver a lower Level of Ongoing Support than the recommended Level during periods where the Participant does not need their usual Level of Ongoing Support (</w:t>
      </w:r>
      <w:r w:rsidR="001E5B52">
        <w:t xml:space="preserve">see </w:t>
      </w:r>
      <w:r w:rsidR="00952232">
        <w:t>the</w:t>
      </w:r>
      <w:r w:rsidR="001E5B52">
        <w:t xml:space="preserve"> following exception</w:t>
      </w:r>
      <w:r w:rsidRPr="62EC0267">
        <w:t xml:space="preserve"> for Ongoing Support (Work Assist) Participants).</w:t>
      </w:r>
    </w:p>
    <w:p w14:paraId="77E60060" w14:textId="77777777" w:rsidR="00D74559" w:rsidRPr="00303797" w:rsidRDefault="00D74559" w:rsidP="006E2EF5">
      <w:r>
        <w:t>F</w:t>
      </w:r>
      <w:r w:rsidRPr="00303797">
        <w:t>or Ongoing Support (Work Assist) Participants</w:t>
      </w:r>
      <w:r>
        <w:t>, the Provider</w:t>
      </w:r>
      <w:r w:rsidRPr="00303797">
        <w:t>:</w:t>
      </w:r>
    </w:p>
    <w:p w14:paraId="4DA963C0" w14:textId="5A9957AE" w:rsidR="00D74559" w:rsidRPr="003F7D77" w:rsidRDefault="00D74559" w:rsidP="004E120D">
      <w:pPr>
        <w:pStyle w:val="BulletLevel1"/>
      </w:pPr>
      <w:r w:rsidRPr="003F7D77">
        <w:t xml:space="preserve">cannot </w:t>
      </w:r>
      <w:r w:rsidR="002766EC">
        <w:t xml:space="preserve">generally </w:t>
      </w:r>
      <w:r w:rsidRPr="003F7D77">
        <w:t>deliver Flexible Ongoing Support to an Ongoing Support (Work Assist) Participant prior to their first OSA review</w:t>
      </w:r>
      <w:r w:rsidR="00BD7AA8">
        <w:t xml:space="preserve">, which is due </w:t>
      </w:r>
      <w:r w:rsidR="00DA3AA5">
        <w:t>1-year from</w:t>
      </w:r>
      <w:r w:rsidR="00BD7AA8">
        <w:t xml:space="preserve"> the </w:t>
      </w:r>
      <w:r w:rsidR="00DA3AA5">
        <w:t>date that the first OSA was completed</w:t>
      </w:r>
      <w:r w:rsidRPr="003F7D77">
        <w:t>, and</w:t>
      </w:r>
    </w:p>
    <w:p w14:paraId="7664A6C5" w14:textId="53470B68" w:rsidR="00D74559" w:rsidRPr="003F7D77" w:rsidRDefault="00D74559" w:rsidP="004E120D">
      <w:pPr>
        <w:pStyle w:val="BulletLevel1"/>
      </w:pPr>
      <w:r w:rsidRPr="003F7D77">
        <w:t xml:space="preserve">can refer a Participant for a Change of Circumstances OSA if </w:t>
      </w:r>
      <w:r w:rsidR="002052DA">
        <w:t xml:space="preserve">the Provider decides </w:t>
      </w:r>
      <w:r w:rsidRPr="003F7D77">
        <w:t xml:space="preserve">Flexible Ongoing Support is </w:t>
      </w:r>
      <w:r w:rsidR="00774D28">
        <w:t>the most appropriate Level</w:t>
      </w:r>
      <w:r>
        <w:t xml:space="preserve">, </w:t>
      </w:r>
      <w:r w:rsidRPr="003F7D77">
        <w:t>and the Participant has been in Ongoing Support for at least 26-weeks.</w:t>
      </w:r>
    </w:p>
    <w:p w14:paraId="0E5ED499" w14:textId="0DF2650F" w:rsidR="00D74559" w:rsidRPr="008E2C5E" w:rsidRDefault="00567DFC" w:rsidP="00D42F11">
      <w:pPr>
        <w:pStyle w:val="Heading5"/>
      </w:pPr>
      <w:r>
        <w:t xml:space="preserve">When </w:t>
      </w:r>
      <w:r w:rsidR="00882259">
        <w:t xml:space="preserve">an OSA recommends </w:t>
      </w:r>
      <w:r w:rsidR="00D74559" w:rsidRPr="62EC0267">
        <w:t>Ongoing Support</w:t>
      </w:r>
      <w:r w:rsidR="0067630E">
        <w:t xml:space="preserve"> is</w:t>
      </w:r>
      <w:r w:rsidR="00D74559" w:rsidRPr="62EC0267">
        <w:t xml:space="preserve"> not needed</w:t>
      </w:r>
    </w:p>
    <w:p w14:paraId="670E9CF7" w14:textId="2105C0BA" w:rsidR="00D74559" w:rsidRPr="00FB7CD7" w:rsidRDefault="00F20DCA" w:rsidP="007C27FC">
      <w:pPr>
        <w:spacing w:before="60" w:after="60"/>
        <w:rPr>
          <w:rFonts w:cstheme="minorHAnsi"/>
          <w:szCs w:val="22"/>
        </w:rPr>
      </w:pPr>
      <w:r>
        <w:rPr>
          <w:rFonts w:cstheme="minorHAnsi"/>
          <w:szCs w:val="22"/>
        </w:rPr>
        <w:t>When the outcome of an OSA is that Ongoing Support is not needed, t</w:t>
      </w:r>
      <w:r w:rsidR="00D74559">
        <w:rPr>
          <w:rFonts w:cstheme="minorHAnsi"/>
          <w:szCs w:val="22"/>
        </w:rPr>
        <w:t>he Provider</w:t>
      </w:r>
      <w:r w:rsidR="00D74559" w:rsidRPr="00FB7CD7">
        <w:rPr>
          <w:rFonts w:cstheme="minorHAnsi"/>
          <w:szCs w:val="22"/>
        </w:rPr>
        <w:t xml:space="preserve"> must:</w:t>
      </w:r>
    </w:p>
    <w:p w14:paraId="4C39E05D" w14:textId="7CBB5FC2" w:rsidR="004D11FF" w:rsidRDefault="008A0E33" w:rsidP="004E120D">
      <w:pPr>
        <w:pStyle w:val="BulletLevel1"/>
      </w:pPr>
      <w:r>
        <w:t xml:space="preserve">for a </w:t>
      </w:r>
      <w:r w:rsidR="00952232">
        <w:t>P</w:t>
      </w:r>
      <w:r w:rsidR="00090130">
        <w:t xml:space="preserve">articipant who </w:t>
      </w:r>
      <w:r w:rsidR="00952232">
        <w:t>has achieved a 26-week Employment Outcome</w:t>
      </w:r>
      <w:r w:rsidR="004D11FF">
        <w:t>:</w:t>
      </w:r>
    </w:p>
    <w:p w14:paraId="36A89017" w14:textId="2CD4ED6A" w:rsidR="00D74559" w:rsidRPr="00C57610" w:rsidRDefault="0087501B" w:rsidP="00C57610">
      <w:pPr>
        <w:pStyle w:val="BulletLevel2"/>
      </w:pPr>
      <w:r>
        <w:t>i</w:t>
      </w:r>
      <w:r w:rsidRPr="008E2C5E">
        <w:t xml:space="preserve">f </w:t>
      </w:r>
      <w:r>
        <w:t xml:space="preserve">the Participant is still Employed and is continuing to work towards a </w:t>
      </w:r>
      <w:r w:rsidRPr="008E2C5E">
        <w:t xml:space="preserve">52-week </w:t>
      </w:r>
      <w:r w:rsidRPr="00C57610">
        <w:t xml:space="preserve">Employment Outcome, </w:t>
      </w:r>
      <w:r w:rsidR="00D74559" w:rsidRPr="00C57610">
        <w:t xml:space="preserve">return the Participant to Post Placement Support </w:t>
      </w:r>
    </w:p>
    <w:p w14:paraId="7BAC8C75" w14:textId="3EAC4EF0" w:rsidR="00D74559" w:rsidRPr="008E2C5E" w:rsidRDefault="0087501B" w:rsidP="00C57610">
      <w:pPr>
        <w:pStyle w:val="BulletLevel2"/>
      </w:pPr>
      <w:r w:rsidRPr="00C57610">
        <w:t>if the Participant is still Employed and the 52-week Employment Outcome has been achieved</w:t>
      </w:r>
      <w:r>
        <w:t>,</w:t>
      </w:r>
      <w:r w:rsidRPr="008E2C5E">
        <w:t xml:space="preserve"> </w:t>
      </w:r>
      <w:r w:rsidR="00D74559" w:rsidRPr="008E2C5E">
        <w:t xml:space="preserve">Exit </w:t>
      </w:r>
      <w:r w:rsidR="00D74559">
        <w:t xml:space="preserve">the </w:t>
      </w:r>
      <w:r w:rsidR="00D74559" w:rsidRPr="008E2C5E">
        <w:t xml:space="preserve">Participant </w:t>
      </w:r>
      <w:r w:rsidR="001659FC">
        <w:t xml:space="preserve">from Inclusive Employment Australia </w:t>
      </w:r>
      <w:r w:rsidR="00D74559" w:rsidRPr="008E2C5E">
        <w:t xml:space="preserve">as an </w:t>
      </w:r>
      <w:r w:rsidR="004D11FF">
        <w:t>i</w:t>
      </w:r>
      <w:r w:rsidR="00D74559" w:rsidRPr="008E2C5E">
        <w:t xml:space="preserve">ndependent </w:t>
      </w:r>
      <w:r w:rsidR="004D11FF">
        <w:t>w</w:t>
      </w:r>
      <w:r w:rsidR="00D74559" w:rsidRPr="008E2C5E">
        <w:t>orker</w:t>
      </w:r>
      <w:r w:rsidR="00D74559">
        <w:t xml:space="preserve"> </w:t>
      </w:r>
    </w:p>
    <w:p w14:paraId="259556FF" w14:textId="0E8520E9" w:rsidR="00D74559" w:rsidRPr="008E2C5E" w:rsidRDefault="000E3E3B" w:rsidP="005E656E">
      <w:pPr>
        <w:pStyle w:val="BulletLevel1"/>
      </w:pPr>
      <w:r>
        <w:t xml:space="preserve">if </w:t>
      </w:r>
      <w:r w:rsidR="00260059">
        <w:t xml:space="preserve">the </w:t>
      </w:r>
      <w:r>
        <w:t xml:space="preserve">Participant is no longer tracking towards a 52-week Employment Outcome, </w:t>
      </w:r>
      <w:r w:rsidR="00D74559">
        <w:t xml:space="preserve">Exit the Participant from </w:t>
      </w:r>
      <w:r w:rsidR="00202A96">
        <w:t>Inclusive Employment Australia</w:t>
      </w:r>
      <w:r w:rsidR="00D74559">
        <w:t>, or</w:t>
      </w:r>
    </w:p>
    <w:p w14:paraId="6D373D17" w14:textId="2292F3A0" w:rsidR="00D74559" w:rsidRPr="008E2C5E" w:rsidRDefault="00D74559" w:rsidP="004E120D">
      <w:pPr>
        <w:pStyle w:val="BulletLevel1"/>
      </w:pPr>
      <w:r>
        <w:t xml:space="preserve">for an Ongoing Support (Work Assist) Participant, Exit </w:t>
      </w:r>
      <w:r w:rsidR="00C67708">
        <w:t xml:space="preserve">the </w:t>
      </w:r>
      <w:r>
        <w:t xml:space="preserve">Participant from </w:t>
      </w:r>
      <w:r w:rsidR="00202A96">
        <w:t>Inclusive Employment Australia</w:t>
      </w:r>
      <w:r>
        <w:t>.</w:t>
      </w:r>
    </w:p>
    <w:p w14:paraId="6A67462D" w14:textId="021329AD" w:rsidR="00D74559" w:rsidRPr="00FB7CD7" w:rsidRDefault="00D74559" w:rsidP="001D0F92">
      <w:pPr>
        <w:pStyle w:val="Heading4"/>
      </w:pPr>
      <w:bookmarkStart w:id="442" w:name="_Toc202900070"/>
      <w:r>
        <w:t>10.4.</w:t>
      </w:r>
      <w:r w:rsidR="00566119">
        <w:t>5</w:t>
      </w:r>
      <w:r w:rsidR="00567DFC">
        <w:tab/>
      </w:r>
      <w:r>
        <w:t>Disputing the OSA</w:t>
      </w:r>
      <w:bookmarkEnd w:id="442"/>
    </w:p>
    <w:p w14:paraId="16FC24C3" w14:textId="649C7588" w:rsidR="00D74559" w:rsidRPr="00FB7CD7" w:rsidRDefault="00D74559" w:rsidP="7F65F737">
      <w:pPr>
        <w:tabs>
          <w:tab w:val="right" w:pos="1701"/>
        </w:tabs>
        <w:spacing w:after="120"/>
      </w:pPr>
      <w:r w:rsidRPr="0114377B">
        <w:t xml:space="preserve">Providers or Participants can dispute an OSA report if they think the content or recommendation of the report is not right. Assessments must be disputed as soon as possible, and within 28 days of the OSA completion date. Providers can include more information, if </w:t>
      </w:r>
      <w:bookmarkStart w:id="443" w:name="_Int_tZpTruph"/>
      <w:r w:rsidRPr="0114377B">
        <w:t>appropriate</w:t>
      </w:r>
      <w:bookmarkEnd w:id="443"/>
      <w:r w:rsidRPr="0114377B">
        <w:t>.</w:t>
      </w:r>
    </w:p>
    <w:p w14:paraId="621AFC58" w14:textId="77777777" w:rsidR="00D74559" w:rsidRPr="00A61D35" w:rsidRDefault="00D74559" w:rsidP="003032BC">
      <w:pPr>
        <w:keepNext/>
        <w:tabs>
          <w:tab w:val="right" w:pos="1701"/>
        </w:tabs>
        <w:spacing w:after="120"/>
        <w:rPr>
          <w:rFonts w:cstheme="minorHAnsi"/>
        </w:rPr>
      </w:pPr>
      <w:r w:rsidRPr="00A61D35">
        <w:rPr>
          <w:rFonts w:cstheme="minorHAnsi"/>
        </w:rPr>
        <w:t>To dispute an OSA report (within 28 days of OSA completion date):</w:t>
      </w:r>
    </w:p>
    <w:p w14:paraId="404F9BF4" w14:textId="77777777" w:rsidR="00D74559" w:rsidRPr="00156D37" w:rsidRDefault="00D74559" w:rsidP="004E120D">
      <w:pPr>
        <w:pStyle w:val="BulletLevel1"/>
      </w:pPr>
      <w:r w:rsidRPr="62EC0267">
        <w:t>the Provider or Participant contacts the Ongoing Support Assessor to explain their view and to present reasons and evidence (including any other information)</w:t>
      </w:r>
    </w:p>
    <w:p w14:paraId="491EAD44" w14:textId="6CF2DC79" w:rsidR="00D74559" w:rsidRPr="00156D37" w:rsidRDefault="00D74559" w:rsidP="004E120D">
      <w:pPr>
        <w:pStyle w:val="BulletLevel1"/>
      </w:pPr>
      <w:r w:rsidRPr="62EC0267">
        <w:t xml:space="preserve">if the </w:t>
      </w:r>
      <w:r w:rsidR="00B11AA1">
        <w:t>Ongoing Support A</w:t>
      </w:r>
      <w:r w:rsidRPr="62EC0267">
        <w:t>ssessor agrees changes are needed, they will:</w:t>
      </w:r>
    </w:p>
    <w:p w14:paraId="38E9EA70" w14:textId="6E020608" w:rsidR="00D74559" w:rsidRPr="00D16AF1" w:rsidRDefault="00D74559" w:rsidP="004E120D">
      <w:pPr>
        <w:pStyle w:val="BulletLevel2"/>
      </w:pPr>
      <w:r w:rsidRPr="0114377B">
        <w:t>ask the DSS Relationship Manager to set the OSA report status to ‘In review’</w:t>
      </w:r>
      <w:r w:rsidR="0030028C">
        <w:t xml:space="preserve"> </w:t>
      </w:r>
    </w:p>
    <w:p w14:paraId="00D39146" w14:textId="2F919184" w:rsidR="00D74559" w:rsidRPr="00D16AF1" w:rsidRDefault="00D74559" w:rsidP="004E120D">
      <w:pPr>
        <w:pStyle w:val="BulletLevel2"/>
      </w:pPr>
      <w:r w:rsidRPr="00D16AF1">
        <w:t>update the Recommendation Summary section of the report, setting out the review reasons and outcome, including a summary of any changes</w:t>
      </w:r>
    </w:p>
    <w:p w14:paraId="4F78E1F3" w14:textId="0E585A5A" w:rsidR="00D74559" w:rsidRPr="00156D37" w:rsidRDefault="00D74559" w:rsidP="004E120D">
      <w:pPr>
        <w:pStyle w:val="BulletLevel1"/>
      </w:pPr>
      <w:r w:rsidRPr="62EC0267">
        <w:t xml:space="preserve">if the </w:t>
      </w:r>
      <w:r w:rsidR="00B11AA1">
        <w:t>Ongoing Support A</w:t>
      </w:r>
      <w:r w:rsidRPr="62EC0267">
        <w:t>ssessor does not agree to change the OSA report and the Provider still considers the recommendation is incorrect, the</w:t>
      </w:r>
      <w:r w:rsidR="00001A30">
        <w:t xml:space="preserve"> Provider</w:t>
      </w:r>
      <w:r w:rsidRPr="62EC0267">
        <w:t xml:space="preserve"> can contact the DSS Relationship Manager. The Department will </w:t>
      </w:r>
      <w:r w:rsidR="0040217F">
        <w:t>aim</w:t>
      </w:r>
      <w:r w:rsidR="0040217F" w:rsidRPr="62EC0267">
        <w:t xml:space="preserve"> </w:t>
      </w:r>
      <w:r w:rsidRPr="62EC0267">
        <w:t>to decide an outcome to the dispute within 28 Business Days.</w:t>
      </w:r>
    </w:p>
    <w:p w14:paraId="6B8117F8" w14:textId="77777777" w:rsidR="00D74559" w:rsidRPr="00FB7CD7" w:rsidRDefault="00D74559" w:rsidP="7F65F737">
      <w:pPr>
        <w:tabs>
          <w:tab w:val="right" w:pos="1701"/>
        </w:tabs>
        <w:spacing w:after="120"/>
      </w:pPr>
      <w:r>
        <w:t xml:space="preserve">Providers and Participants cannot dispute an OSA more than 28 Business Days after the report is completed. Providers can request a Change of Circumstances OSA to review the OSA if they think an OSA completed more than 28 days ago does not reflect the Participant’s current needs. </w:t>
      </w:r>
    </w:p>
    <w:p w14:paraId="52817197" w14:textId="52F9FE9F" w:rsidR="00D74559" w:rsidRPr="00FB7CD7" w:rsidRDefault="00D74559" w:rsidP="7F65F737">
      <w:pPr>
        <w:tabs>
          <w:tab w:val="right" w:pos="1701"/>
        </w:tabs>
        <w:spacing w:after="120"/>
      </w:pPr>
      <w:r w:rsidRPr="62EC0267">
        <w:rPr>
          <w:b/>
          <w:bCs/>
        </w:rPr>
        <w:t>Note</w:t>
      </w:r>
      <w:r w:rsidRPr="62EC0267">
        <w:t xml:space="preserve">: The Department’s Assessment team tracks OSA requests. If the Department thinks a Provider is making unnecessary OSA requests, the Provider will </w:t>
      </w:r>
      <w:r w:rsidR="000412EB">
        <w:t xml:space="preserve">be asked to provide </w:t>
      </w:r>
      <w:r w:rsidR="00B91E22">
        <w:t>justifications</w:t>
      </w:r>
      <w:r w:rsidR="001B59A8">
        <w:t xml:space="preserve"> for consideration by the Assessment team</w:t>
      </w:r>
      <w:r w:rsidRPr="62EC0267">
        <w:t>.</w:t>
      </w:r>
    </w:p>
    <w:p w14:paraId="4AEF884B" w14:textId="2A9659E0" w:rsidR="00D74559" w:rsidRPr="00D42F11" w:rsidRDefault="00D74559" w:rsidP="001D0F92">
      <w:pPr>
        <w:pStyle w:val="Heading3"/>
        <w:rPr>
          <w:rStyle w:val="Heading2Char1"/>
          <w:rFonts w:asciiTheme="majorHAnsi" w:hAnsiTheme="majorHAnsi"/>
          <w:i w:val="0"/>
          <w:color w:val="005A70" w:themeColor="accent1"/>
          <w:sz w:val="32"/>
          <w:szCs w:val="24"/>
        </w:rPr>
      </w:pPr>
      <w:bookmarkStart w:id="444" w:name="_Ref202892156"/>
      <w:bookmarkStart w:id="445" w:name="_Toc202900071"/>
      <w:r w:rsidRPr="00D42F11">
        <w:rPr>
          <w:rStyle w:val="Heading2Char1"/>
          <w:rFonts w:asciiTheme="majorHAnsi" w:hAnsiTheme="majorHAnsi"/>
          <w:i w:val="0"/>
          <w:color w:val="005A70" w:themeColor="accent1"/>
          <w:sz w:val="32"/>
          <w:szCs w:val="24"/>
        </w:rPr>
        <w:t>10.5</w:t>
      </w:r>
      <w:r w:rsidR="00567DFC">
        <w:rPr>
          <w:rStyle w:val="Heading2Char1"/>
          <w:rFonts w:asciiTheme="majorHAnsi" w:hAnsiTheme="majorHAnsi"/>
          <w:i w:val="0"/>
          <w:color w:val="005A70" w:themeColor="accent1"/>
          <w:sz w:val="32"/>
          <w:szCs w:val="24"/>
        </w:rPr>
        <w:tab/>
      </w:r>
      <w:r w:rsidRPr="00D42F11">
        <w:rPr>
          <w:rStyle w:val="Heading2Char1"/>
          <w:rFonts w:asciiTheme="majorHAnsi" w:hAnsiTheme="majorHAnsi"/>
          <w:i w:val="0"/>
          <w:color w:val="005A70" w:themeColor="accent1"/>
          <w:sz w:val="32"/>
          <w:szCs w:val="24"/>
        </w:rPr>
        <w:t>Support to be provided to Participants</w:t>
      </w:r>
      <w:bookmarkEnd w:id="444"/>
      <w:bookmarkEnd w:id="445"/>
    </w:p>
    <w:p w14:paraId="624C884D" w14:textId="5B63DFAB" w:rsidR="00D74559" w:rsidRPr="00FB7CD7" w:rsidRDefault="00D74559" w:rsidP="4B8024B2">
      <w:pPr>
        <w:tabs>
          <w:tab w:val="right" w:pos="1701"/>
        </w:tabs>
        <w:spacing w:before="180" w:after="120"/>
      </w:pPr>
      <w:r w:rsidRPr="0114377B">
        <w:t>Providers must deliver support needed for the Participant’s Level of Ongoing Support, including Ongoing Support Contacts as outlined in</w:t>
      </w:r>
      <w:r w:rsidR="00C57610">
        <w:t xml:space="preserve"> </w:t>
      </w:r>
      <w:r w:rsidR="00C57610">
        <w:rPr>
          <w:highlight w:val="yellow"/>
        </w:rPr>
        <w:fldChar w:fldCharType="begin"/>
      </w:r>
      <w:r w:rsidR="00C57610">
        <w:instrText xml:space="preserve"> REF _Ref202780075 \h </w:instrText>
      </w:r>
      <w:r w:rsidR="00C57610">
        <w:rPr>
          <w:highlight w:val="yellow"/>
        </w:rPr>
      </w:r>
      <w:r w:rsidR="00C57610">
        <w:rPr>
          <w:highlight w:val="yellow"/>
        </w:rPr>
        <w:fldChar w:fldCharType="separate"/>
      </w:r>
      <w:r w:rsidR="000D75AE">
        <w:t>10.6</w:t>
      </w:r>
      <w:r w:rsidR="004572F7">
        <w:t xml:space="preserve"> </w:t>
      </w:r>
      <w:r w:rsidR="000D75AE">
        <w:t>Participant Contact</w:t>
      </w:r>
      <w:r w:rsidR="00C57610">
        <w:rPr>
          <w:highlight w:val="yellow"/>
        </w:rPr>
        <w:fldChar w:fldCharType="end"/>
      </w:r>
      <w:r w:rsidRPr="0114377B">
        <w:t xml:space="preserve">. Most of the Ongoing Support is expected to be </w:t>
      </w:r>
      <w:r w:rsidRPr="00AC16FF">
        <w:t>on-the-job</w:t>
      </w:r>
      <w:r w:rsidRPr="0114377B">
        <w:t xml:space="preserve"> assistance and is delivered through Provider Contacts with Participants.</w:t>
      </w:r>
      <w:r w:rsidR="00B769F3">
        <w:t xml:space="preserve"> </w:t>
      </w:r>
      <w:r w:rsidR="00427639">
        <w:t>C</w:t>
      </w:r>
      <w:r w:rsidR="00B769F3">
        <w:t xml:space="preserve">ontacts may be </w:t>
      </w:r>
      <w:r w:rsidR="00185D96">
        <w:t>delivered</w:t>
      </w:r>
      <w:r w:rsidR="00CF2D98">
        <w:t xml:space="preserve"> </w:t>
      </w:r>
      <w:r w:rsidR="00B769F3">
        <w:t>in the Particip</w:t>
      </w:r>
      <w:r w:rsidR="001D3CA9">
        <w:t xml:space="preserve">ant’s </w:t>
      </w:r>
      <w:r w:rsidR="00465CCC">
        <w:t xml:space="preserve">workplace where </w:t>
      </w:r>
      <w:r w:rsidR="000D3001">
        <w:t>all</w:t>
      </w:r>
      <w:r w:rsidR="00465CCC">
        <w:t xml:space="preserve"> </w:t>
      </w:r>
      <w:r w:rsidR="009B2969">
        <w:t xml:space="preserve">parties </w:t>
      </w:r>
      <w:r w:rsidR="0056148F">
        <w:t xml:space="preserve">agree </w:t>
      </w:r>
      <w:r w:rsidR="000D3001">
        <w:t>(</w:t>
      </w:r>
      <w:r w:rsidR="0056148F">
        <w:t xml:space="preserve">i.e. </w:t>
      </w:r>
      <w:r w:rsidR="000D3001">
        <w:t>the Participant, Employer and Provider</w:t>
      </w:r>
      <w:r w:rsidR="0070427E">
        <w:t>)</w:t>
      </w:r>
      <w:r w:rsidR="009B2969">
        <w:t>.</w:t>
      </w:r>
      <w:r w:rsidR="00465CCC">
        <w:t xml:space="preserve"> </w:t>
      </w:r>
    </w:p>
    <w:p w14:paraId="2D15D0C2" w14:textId="302A378C" w:rsidR="00D74559" w:rsidRDefault="00D74559" w:rsidP="006B50BB">
      <w:pPr>
        <w:tabs>
          <w:tab w:val="right" w:pos="1701"/>
        </w:tabs>
        <w:spacing w:after="120"/>
      </w:pPr>
      <w:r>
        <w:t xml:space="preserve">Support must focus on helping the Participant meet the requirements of their current Employment, as outlined below and in the </w:t>
      </w:r>
      <w:r w:rsidRPr="0056148F">
        <w:rPr>
          <w:rStyle w:val="Hyperlink"/>
        </w:rPr>
        <w:t xml:space="preserve">Ongoing Support </w:t>
      </w:r>
      <w:r w:rsidR="00FE2A67">
        <w:rPr>
          <w:rStyle w:val="Hyperlink"/>
        </w:rPr>
        <w:t>r</w:t>
      </w:r>
      <w:r w:rsidRPr="0056148F">
        <w:rPr>
          <w:rStyle w:val="Hyperlink"/>
        </w:rPr>
        <w:t xml:space="preserve">equired to keep and support Open Employment </w:t>
      </w:r>
      <w:r w:rsidR="0056148F" w:rsidRPr="0056148F">
        <w:rPr>
          <w:rStyle w:val="Hyperlink"/>
        </w:rPr>
        <w:t>[LINK]</w:t>
      </w:r>
      <w:r w:rsidR="0056148F">
        <w:rPr>
          <w:rFonts w:eastAsia="SimSun"/>
        </w:rPr>
        <w:t xml:space="preserve"> </w:t>
      </w:r>
      <w:r w:rsidRPr="4B8024B2">
        <w:rPr>
          <w:rFonts w:eastAsia="SimSun"/>
        </w:rPr>
        <w:t>supporting document on the Provider Portal.</w:t>
      </w:r>
      <w:r>
        <w:t xml:space="preserve"> </w:t>
      </w:r>
    </w:p>
    <w:p w14:paraId="38F673B3" w14:textId="66B8DB7E" w:rsidR="00D74559" w:rsidRPr="00C35548" w:rsidRDefault="00D74559" w:rsidP="62EC0267">
      <w:pPr>
        <w:tabs>
          <w:tab w:val="right" w:pos="1701"/>
        </w:tabs>
        <w:spacing w:after="120"/>
        <w:rPr>
          <w:highlight w:val="cyan"/>
        </w:rPr>
      </w:pPr>
      <w:r w:rsidRPr="62EC0267">
        <w:t xml:space="preserve">However, Providers </w:t>
      </w:r>
      <w:r w:rsidR="00DB009E">
        <w:t xml:space="preserve">can </w:t>
      </w:r>
      <w:r w:rsidR="00542AF5">
        <w:t>also</w:t>
      </w:r>
      <w:r w:rsidR="00DB009E">
        <w:t xml:space="preserve"> </w:t>
      </w:r>
      <w:r w:rsidR="00542AF5">
        <w:t>provide</w:t>
      </w:r>
      <w:r w:rsidR="007E0117">
        <w:t xml:space="preserve"> support to </w:t>
      </w:r>
      <w:r w:rsidR="00E05EB0">
        <w:t>help</w:t>
      </w:r>
      <w:r w:rsidR="0075646E">
        <w:t xml:space="preserve"> </w:t>
      </w:r>
      <w:r w:rsidR="003A410D">
        <w:t xml:space="preserve">a </w:t>
      </w:r>
      <w:r w:rsidR="0075646E">
        <w:t xml:space="preserve">Participant to </w:t>
      </w:r>
      <w:r w:rsidR="007E0117">
        <w:t xml:space="preserve">change roles </w:t>
      </w:r>
      <w:r w:rsidR="0075646E">
        <w:t xml:space="preserve">where this support </w:t>
      </w:r>
      <w:r w:rsidR="007E0117">
        <w:t>assist</w:t>
      </w:r>
      <w:r w:rsidR="0075646E">
        <w:t xml:space="preserve">s them to </w:t>
      </w:r>
      <w:r w:rsidR="007E0117">
        <w:t xml:space="preserve">maintain ongoing Employment </w:t>
      </w:r>
      <w:r w:rsidR="00E05EB0">
        <w:t>long</w:t>
      </w:r>
      <w:r w:rsidR="001B12E4">
        <w:t>er</w:t>
      </w:r>
      <w:r w:rsidR="00E05EB0">
        <w:t>-term</w:t>
      </w:r>
      <w:r w:rsidR="00E17AD1">
        <w:t>.</w:t>
      </w:r>
      <w:r w:rsidR="0075646E">
        <w:t xml:space="preserve"> Supports to change roles </w:t>
      </w:r>
      <w:r w:rsidR="00E05EB0">
        <w:t>can</w:t>
      </w:r>
      <w:r w:rsidR="003A77DE">
        <w:t xml:space="preserve"> </w:t>
      </w:r>
      <w:r w:rsidR="00E05EB0">
        <w:t>be used</w:t>
      </w:r>
      <w:r w:rsidR="003A77DE">
        <w:t xml:space="preserve"> to</w:t>
      </w:r>
      <w:r w:rsidR="0075646E">
        <w:t xml:space="preserve"> </w:t>
      </w:r>
      <w:r w:rsidR="00E17AD1">
        <w:t xml:space="preserve">help Participants to </w:t>
      </w:r>
      <w:r w:rsidR="003A77DE">
        <w:t xml:space="preserve">either </w:t>
      </w:r>
      <w:r w:rsidR="00E17AD1">
        <w:t xml:space="preserve">seek a promotion </w:t>
      </w:r>
      <w:r w:rsidR="003A77DE">
        <w:t xml:space="preserve">or </w:t>
      </w:r>
      <w:r w:rsidR="00E05EB0">
        <w:t>role change</w:t>
      </w:r>
      <w:r w:rsidR="00E17AD1">
        <w:t xml:space="preserve"> with their current Employer or obtain new</w:t>
      </w:r>
      <w:r w:rsidR="003A77DE">
        <w:t>, sustainable Employment</w:t>
      </w:r>
      <w:r w:rsidR="00E17AD1">
        <w:t xml:space="preserve"> </w:t>
      </w:r>
      <w:r w:rsidR="007E0117">
        <w:t xml:space="preserve">and </w:t>
      </w:r>
      <w:r w:rsidR="0075646E">
        <w:t>include</w:t>
      </w:r>
      <w:r w:rsidRPr="62EC0267">
        <w:t>:</w:t>
      </w:r>
    </w:p>
    <w:p w14:paraId="61C16FF8" w14:textId="27DD97CB" w:rsidR="00D74559" w:rsidRPr="00FB7CD7" w:rsidRDefault="00D74559" w:rsidP="004E120D">
      <w:pPr>
        <w:pStyle w:val="BulletLevel1"/>
      </w:pPr>
      <w:r w:rsidRPr="0114377B">
        <w:t xml:space="preserve">up-skilling of a Participant, including qualifications, if the Participant is reasonably likely to find new </w:t>
      </w:r>
      <w:r w:rsidR="008B4203">
        <w:t>sustainable</w:t>
      </w:r>
      <w:r w:rsidRPr="0114377B">
        <w:t xml:space="preserve"> Employment or is seeking opportunities for promotion </w:t>
      </w:r>
      <w:r w:rsidR="00E05EB0">
        <w:t>or a role change</w:t>
      </w:r>
      <w:r w:rsidRPr="0114377B">
        <w:t xml:space="preserve"> with their current Employer. Up-skilling does not need to be in the Participant’s current industry</w:t>
      </w:r>
      <w:r w:rsidR="0075646E">
        <w:t>, and</w:t>
      </w:r>
    </w:p>
    <w:p w14:paraId="2C99AC0C" w14:textId="5DCEC7F9" w:rsidR="00C9676E" w:rsidRDefault="05C9CDE4" w:rsidP="004E120D">
      <w:pPr>
        <w:pStyle w:val="BulletLevel1"/>
      </w:pPr>
      <w:r>
        <w:t>J</w:t>
      </w:r>
      <w:r w:rsidR="00D74559">
        <w:t xml:space="preserve">ob </w:t>
      </w:r>
      <w:r w:rsidR="4E3CE74D">
        <w:t>S</w:t>
      </w:r>
      <w:r w:rsidR="00D74559">
        <w:t xml:space="preserve">earch </w:t>
      </w:r>
      <w:r w:rsidR="0075646E">
        <w:t xml:space="preserve">to </w:t>
      </w:r>
      <w:r w:rsidR="00D74559">
        <w:t xml:space="preserve">help </w:t>
      </w:r>
      <w:r w:rsidR="0075646E">
        <w:t xml:space="preserve">the Participant </w:t>
      </w:r>
      <w:r w:rsidR="00D74559">
        <w:t>to look for new sustainable Employment.</w:t>
      </w:r>
    </w:p>
    <w:p w14:paraId="54F1640B" w14:textId="0CC70872" w:rsidR="00D74559" w:rsidRPr="00C35548" w:rsidRDefault="00C9676E" w:rsidP="004E120D">
      <w:pPr>
        <w:pStyle w:val="BulletLevel1"/>
        <w:numPr>
          <w:ilvl w:val="0"/>
          <w:numId w:val="0"/>
        </w:numPr>
      </w:pPr>
      <w:r>
        <w:t xml:space="preserve">Providers </w:t>
      </w:r>
      <w:r w:rsidR="004733D2">
        <w:t>should</w:t>
      </w:r>
      <w:r>
        <w:t xml:space="preserve"> </w:t>
      </w:r>
      <w:r w:rsidR="005F386A">
        <w:t xml:space="preserve">ensure that </w:t>
      </w:r>
      <w:r w:rsidR="00E05EB0">
        <w:t xml:space="preserve">any </w:t>
      </w:r>
      <w:r w:rsidR="00656C9E">
        <w:t xml:space="preserve">supports provided through </w:t>
      </w:r>
      <w:r w:rsidR="005F386A">
        <w:t xml:space="preserve">Ongoing Support to </w:t>
      </w:r>
      <w:r w:rsidR="00A66EFE">
        <w:t>help</w:t>
      </w:r>
      <w:r w:rsidR="00990DF6">
        <w:t xml:space="preserve"> a Participant to change roles</w:t>
      </w:r>
      <w:r w:rsidR="00BC2B4A">
        <w:t>,</w:t>
      </w:r>
      <w:r w:rsidR="00990DF6">
        <w:t xml:space="preserve"> </w:t>
      </w:r>
      <w:r w:rsidR="00E05EB0">
        <w:t>are</w:t>
      </w:r>
      <w:r w:rsidR="00990DF6">
        <w:t xml:space="preserve"> balanced </w:t>
      </w:r>
      <w:r w:rsidR="00901F8B">
        <w:t xml:space="preserve">against the need to continue </w:t>
      </w:r>
      <w:r w:rsidR="00B60743">
        <w:t>providing Ongoing Support to</w:t>
      </w:r>
      <w:r w:rsidR="00901F8B">
        <w:t xml:space="preserve"> the </w:t>
      </w:r>
      <w:r w:rsidR="004733D2">
        <w:t>Participant</w:t>
      </w:r>
      <w:r w:rsidR="00901F8B">
        <w:t xml:space="preserve"> to maintain their current Employment while working towards </w:t>
      </w:r>
      <w:r w:rsidR="004733D2">
        <w:t>a change in role.</w:t>
      </w:r>
      <w:r w:rsidR="00D74559">
        <w:t xml:space="preserve"> </w:t>
      </w:r>
    </w:p>
    <w:p w14:paraId="1DF3A465" w14:textId="5B0A0E7E" w:rsidR="00D74559" w:rsidRPr="00C35548" w:rsidRDefault="00D74559" w:rsidP="001D0F92">
      <w:pPr>
        <w:pStyle w:val="Heading4"/>
      </w:pPr>
      <w:bookmarkStart w:id="446" w:name="_Toc202900072"/>
      <w:r>
        <w:t>10.5.1</w:t>
      </w:r>
      <w:r w:rsidR="00567DFC">
        <w:tab/>
      </w:r>
      <w:r>
        <w:t xml:space="preserve">Provider </w:t>
      </w:r>
      <w:r w:rsidR="00AC167A">
        <w:t>s</w:t>
      </w:r>
      <w:r>
        <w:t>upports</w:t>
      </w:r>
      <w:bookmarkEnd w:id="446"/>
    </w:p>
    <w:p w14:paraId="26F679C1" w14:textId="77777777" w:rsidR="00D74559" w:rsidRPr="00FB7CD7" w:rsidRDefault="00D74559" w:rsidP="00643ADD">
      <w:pPr>
        <w:rPr>
          <w:rFonts w:cstheme="minorHAnsi"/>
          <w:szCs w:val="22"/>
        </w:rPr>
      </w:pPr>
      <w:r w:rsidRPr="003E77F4">
        <w:rPr>
          <w:rFonts w:cstheme="minorHAnsi"/>
        </w:rPr>
        <w:t>Providers</w:t>
      </w:r>
      <w:r w:rsidRPr="00FB7CD7">
        <w:rPr>
          <w:rFonts w:cstheme="minorHAnsi"/>
          <w:szCs w:val="22"/>
        </w:rPr>
        <w:t xml:space="preserve"> can deliver a range of supports through </w:t>
      </w:r>
      <w:r>
        <w:rPr>
          <w:rFonts w:cstheme="minorHAnsi"/>
          <w:szCs w:val="22"/>
        </w:rPr>
        <w:t>Ongoing Support</w:t>
      </w:r>
      <w:r w:rsidRPr="00FB7CD7">
        <w:rPr>
          <w:rFonts w:cstheme="minorHAnsi"/>
          <w:szCs w:val="22"/>
        </w:rPr>
        <w:t>, including:</w:t>
      </w:r>
    </w:p>
    <w:p w14:paraId="58A9AA64" w14:textId="77777777" w:rsidR="00D74559" w:rsidRPr="00156D37" w:rsidRDefault="00D74559" w:rsidP="004E120D">
      <w:pPr>
        <w:pStyle w:val="BulletLevel1"/>
      </w:pPr>
      <w:r w:rsidRPr="62EC0267">
        <w:t>social and behavioural help</w:t>
      </w:r>
    </w:p>
    <w:p w14:paraId="7FFAB0E4" w14:textId="77777777" w:rsidR="00D74559" w:rsidRPr="00156D37" w:rsidRDefault="00D74559" w:rsidP="004E120D">
      <w:pPr>
        <w:pStyle w:val="BulletLevel1"/>
      </w:pPr>
      <w:r w:rsidRPr="62EC0267">
        <w:t>cognitive help</w:t>
      </w:r>
    </w:p>
    <w:p w14:paraId="4F61109D" w14:textId="77777777" w:rsidR="00D74559" w:rsidRPr="00156D37" w:rsidRDefault="00D74559" w:rsidP="004E120D">
      <w:pPr>
        <w:pStyle w:val="BulletLevel1"/>
      </w:pPr>
      <w:r w:rsidRPr="62EC0267">
        <w:t>vocational help</w:t>
      </w:r>
    </w:p>
    <w:p w14:paraId="59C7458E" w14:textId="77777777" w:rsidR="00D74559" w:rsidRPr="00156D37" w:rsidRDefault="00D74559" w:rsidP="004E120D">
      <w:pPr>
        <w:pStyle w:val="BulletLevel1"/>
      </w:pPr>
      <w:r w:rsidRPr="62EC0267">
        <w:t>physical help and personal care</w:t>
      </w:r>
    </w:p>
    <w:p w14:paraId="4CC42F5A" w14:textId="77777777" w:rsidR="00D74559" w:rsidRPr="00156D37" w:rsidRDefault="00D74559" w:rsidP="004E120D">
      <w:pPr>
        <w:pStyle w:val="BulletLevel1"/>
      </w:pPr>
      <w:r w:rsidRPr="62EC0267">
        <w:t>workplace environment help</w:t>
      </w:r>
    </w:p>
    <w:p w14:paraId="1D597693" w14:textId="77777777" w:rsidR="00D74559" w:rsidRPr="00156D37" w:rsidRDefault="00D74559" w:rsidP="004E120D">
      <w:pPr>
        <w:pStyle w:val="BulletLevel1"/>
      </w:pPr>
      <w:r w:rsidRPr="62EC0267">
        <w:t>special help (counselling, treatment of episodic conditions, prevention of harm).</w:t>
      </w:r>
    </w:p>
    <w:p w14:paraId="0C26A7F1" w14:textId="77777777" w:rsidR="00D74559" w:rsidRPr="00FE2337" w:rsidRDefault="00D74559" w:rsidP="00643ADD">
      <w:pPr>
        <w:rPr>
          <w:rFonts w:cstheme="minorHAnsi"/>
        </w:rPr>
      </w:pPr>
      <w:r w:rsidRPr="00FE2337">
        <w:rPr>
          <w:rFonts w:cstheme="minorHAnsi"/>
        </w:rPr>
        <w:t>The support provided through Ongoing Support must:</w:t>
      </w:r>
    </w:p>
    <w:p w14:paraId="4205876A" w14:textId="2B562EDF" w:rsidR="00D74559" w:rsidRPr="00156D37" w:rsidRDefault="00D74559" w:rsidP="004E120D">
      <w:pPr>
        <w:pStyle w:val="BulletLevel1"/>
      </w:pPr>
      <w:r w:rsidRPr="0114377B">
        <w:t>be necessary, reasonable and directly relate to keeping the Participant’s Employment</w:t>
      </w:r>
    </w:p>
    <w:p w14:paraId="6928D68E" w14:textId="77777777" w:rsidR="00D74559" w:rsidRPr="00156D37" w:rsidRDefault="00D74559" w:rsidP="004E120D">
      <w:pPr>
        <w:pStyle w:val="BulletLevel1"/>
      </w:pPr>
      <w:r>
        <w:t>address the gap between the Participant’s job requirements and what they can do (or has difficulty doing) due to their disability, injury, or health condition</w:t>
      </w:r>
    </w:p>
    <w:p w14:paraId="5EBBF8C0" w14:textId="77777777" w:rsidR="00D74559" w:rsidRPr="00156D37" w:rsidRDefault="00D74559" w:rsidP="004E120D">
      <w:pPr>
        <w:pStyle w:val="BulletLevel1"/>
      </w:pPr>
      <w:r>
        <w:t>for professional services such as psychological Interventions, must be evidence-based and delivered by health professionals that meet Australian registration requirements</w:t>
      </w:r>
    </w:p>
    <w:p w14:paraId="6C42BE8E" w14:textId="77777777" w:rsidR="00D74559" w:rsidRPr="00156D37" w:rsidRDefault="00D74559" w:rsidP="004E120D">
      <w:pPr>
        <w:pStyle w:val="BulletLevel1"/>
      </w:pPr>
      <w:r w:rsidRPr="00156D37">
        <w:t>be value for money.</w:t>
      </w:r>
    </w:p>
    <w:p w14:paraId="57954180" w14:textId="77777777" w:rsidR="00D74559" w:rsidRPr="009F6EA2" w:rsidRDefault="00D74559" w:rsidP="004E120D">
      <w:pPr>
        <w:pStyle w:val="BulletLevel1"/>
        <w:numPr>
          <w:ilvl w:val="0"/>
          <w:numId w:val="0"/>
        </w:numPr>
      </w:pPr>
      <w:r w:rsidRPr="009F6EA2">
        <w:t>The support may include:</w:t>
      </w:r>
    </w:p>
    <w:p w14:paraId="13FEA558" w14:textId="62DB81B9" w:rsidR="00D74559" w:rsidRPr="00156D37" w:rsidRDefault="00D74559" w:rsidP="004E120D">
      <w:pPr>
        <w:pStyle w:val="BulletLevel1"/>
      </w:pPr>
      <w:r w:rsidRPr="7F65F737">
        <w:t xml:space="preserve">Participant </w:t>
      </w:r>
      <w:r w:rsidR="007C2CFA">
        <w:t>T</w:t>
      </w:r>
      <w:r w:rsidRPr="7F65F737">
        <w:t xml:space="preserve">raining related to their current </w:t>
      </w:r>
      <w:r>
        <w:t>O</w:t>
      </w:r>
      <w:r w:rsidRPr="7F65F737">
        <w:t xml:space="preserve">pen </w:t>
      </w:r>
      <w:r>
        <w:t>E</w:t>
      </w:r>
      <w:r w:rsidRPr="7F65F737">
        <w:t>mployment</w:t>
      </w:r>
    </w:p>
    <w:p w14:paraId="2B19CC47" w14:textId="77777777" w:rsidR="00D74559" w:rsidRPr="00156D37" w:rsidRDefault="00D74559" w:rsidP="004E120D">
      <w:pPr>
        <w:pStyle w:val="BulletLevel1"/>
      </w:pPr>
      <w:r w:rsidRPr="62EC0267">
        <w:t>on-the-job help and guidance</w:t>
      </w:r>
    </w:p>
    <w:p w14:paraId="17BE992F" w14:textId="3846D9F1" w:rsidR="00D74559" w:rsidRPr="00156D37" w:rsidRDefault="00D74559" w:rsidP="004E120D">
      <w:pPr>
        <w:pStyle w:val="BulletLevel1"/>
      </w:pPr>
      <w:r w:rsidRPr="7F65F737">
        <w:t xml:space="preserve">skills </w:t>
      </w:r>
      <w:r w:rsidR="007C2CFA">
        <w:t>T</w:t>
      </w:r>
      <w:r w:rsidRPr="7F65F737">
        <w:t xml:space="preserve">raining required to up-skill a Participant’s qualification and or skills in their current </w:t>
      </w:r>
      <w:r>
        <w:t>E</w:t>
      </w:r>
      <w:r w:rsidRPr="7F65F737">
        <w:t xml:space="preserve">mployment or new </w:t>
      </w:r>
      <w:r>
        <w:t>E</w:t>
      </w:r>
      <w:r w:rsidRPr="7F65F737">
        <w:t>mployment</w:t>
      </w:r>
    </w:p>
    <w:p w14:paraId="06076E4E" w14:textId="77777777" w:rsidR="00D74559" w:rsidRPr="00156D37" w:rsidRDefault="00D74559" w:rsidP="004E120D">
      <w:pPr>
        <w:pStyle w:val="BulletLevel1"/>
      </w:pPr>
      <w:r w:rsidRPr="00156D37">
        <w:t>co-worker training</w:t>
      </w:r>
    </w:p>
    <w:p w14:paraId="661F4BB9" w14:textId="1544A2FB" w:rsidR="00D74559" w:rsidRPr="00156D37" w:rsidRDefault="00D74559" w:rsidP="004E120D">
      <w:pPr>
        <w:pStyle w:val="BulletLevel1"/>
      </w:pPr>
      <w:r w:rsidRPr="00156D37">
        <w:t>evidence</w:t>
      </w:r>
      <w:r w:rsidR="00497B07">
        <w:t>-</w:t>
      </w:r>
      <w:r w:rsidRPr="00156D37">
        <w:t>based psychological counselling such as cognitive behavioural therapy</w:t>
      </w:r>
    </w:p>
    <w:p w14:paraId="59A8EA8C" w14:textId="77777777" w:rsidR="00D74559" w:rsidRPr="00156D37" w:rsidRDefault="00D74559" w:rsidP="004E120D">
      <w:pPr>
        <w:pStyle w:val="BulletLevel1"/>
      </w:pPr>
      <w:r w:rsidRPr="00156D37">
        <w:t>advising or counselling family members</w:t>
      </w:r>
    </w:p>
    <w:p w14:paraId="403ADDBE" w14:textId="77777777" w:rsidR="00D74559" w:rsidRPr="00156D37" w:rsidRDefault="00D74559" w:rsidP="004E120D">
      <w:pPr>
        <w:pStyle w:val="BulletLevel1"/>
      </w:pPr>
      <w:r w:rsidRPr="00156D37">
        <w:t>traveling time to provide support.</w:t>
      </w:r>
    </w:p>
    <w:p w14:paraId="2D59968B" w14:textId="4D777F14" w:rsidR="00D74559" w:rsidRPr="00A17B7B" w:rsidRDefault="00D74559" w:rsidP="006F727E">
      <w:pPr>
        <w:pStyle w:val="SystemStep"/>
      </w:pPr>
      <w:r w:rsidRPr="00A17B7B">
        <w:t>Providers must record details of Ongoing Support delivered to a Participant in the Department’s IT Systems</w:t>
      </w:r>
      <w:r w:rsidR="00660C85">
        <w:t>, including</w:t>
      </w:r>
      <w:r w:rsidRPr="00A17B7B">
        <w:t xml:space="preserve"> information on the </w:t>
      </w:r>
      <w:r w:rsidR="009C193A">
        <w:t>I</w:t>
      </w:r>
      <w:r w:rsidRPr="00A17B7B">
        <w:t xml:space="preserve">nstances of Flexible Ongoing Support provided and the </w:t>
      </w:r>
      <w:r w:rsidR="009C193A">
        <w:t>C</w:t>
      </w:r>
      <w:r w:rsidRPr="00A17B7B">
        <w:t>ontacts delivered for Moderate and High Ongoing Support.</w:t>
      </w:r>
    </w:p>
    <w:p w14:paraId="60F12823" w14:textId="77777777" w:rsidR="00D74559" w:rsidRPr="003E77F4" w:rsidRDefault="00D74559" w:rsidP="00643ADD">
      <w:pPr>
        <w:rPr>
          <w:rFonts w:cstheme="minorHAnsi"/>
        </w:rPr>
      </w:pPr>
      <w:r>
        <w:rPr>
          <w:rFonts w:cstheme="minorHAnsi"/>
        </w:rPr>
        <w:t>The support provided</w:t>
      </w:r>
      <w:r w:rsidRPr="003E77F4">
        <w:rPr>
          <w:rFonts w:cstheme="minorHAnsi"/>
        </w:rPr>
        <w:t xml:space="preserve"> must not duplicate, substitute, or subsidise:</w:t>
      </w:r>
    </w:p>
    <w:p w14:paraId="1E9DB829" w14:textId="77777777" w:rsidR="00D74559" w:rsidRPr="00156D37" w:rsidRDefault="00D74559" w:rsidP="004E120D">
      <w:pPr>
        <w:pStyle w:val="BulletLevel1"/>
      </w:pPr>
      <w:r>
        <w:t>E</w:t>
      </w:r>
      <w:r w:rsidRPr="00156D37">
        <w:t>mployer obligations</w:t>
      </w:r>
    </w:p>
    <w:p w14:paraId="23AEB086" w14:textId="77777777" w:rsidR="00D74559" w:rsidRPr="00156D37" w:rsidRDefault="00D74559" w:rsidP="004E120D">
      <w:pPr>
        <w:pStyle w:val="BulletLevel1"/>
      </w:pPr>
      <w:r w:rsidRPr="792BECF6">
        <w:t>other requirements under the Deed</w:t>
      </w:r>
      <w:r>
        <w:t>, or</w:t>
      </w:r>
    </w:p>
    <w:p w14:paraId="7FB6BDEC" w14:textId="331D25FB" w:rsidR="00D74559" w:rsidRPr="00156D37" w:rsidRDefault="00D74559" w:rsidP="004E120D">
      <w:pPr>
        <w:pStyle w:val="BulletLevel1"/>
      </w:pPr>
      <w:r w:rsidRPr="62EC0267">
        <w:t xml:space="preserve">help available under any other Commonwealth, State or Territory Government service, including supports available as part of a </w:t>
      </w:r>
      <w:r w:rsidR="001E418B">
        <w:t xml:space="preserve">Participant’s </w:t>
      </w:r>
      <w:r w:rsidRPr="62EC0267">
        <w:t>NDIS plan.</w:t>
      </w:r>
    </w:p>
    <w:p w14:paraId="20A0FE3F" w14:textId="3561FDC9" w:rsidR="00D74559" w:rsidRPr="00C24F26" w:rsidRDefault="00D74559" w:rsidP="1BEAC265">
      <w:pPr>
        <w:tabs>
          <w:tab w:val="right" w:pos="1701"/>
        </w:tabs>
        <w:spacing w:after="120"/>
      </w:pPr>
      <w:r w:rsidRPr="1BEAC265">
        <w:rPr>
          <w:b/>
          <w:bCs/>
        </w:rPr>
        <w:t>Note</w:t>
      </w:r>
      <w:r w:rsidRPr="1BEAC265">
        <w:t xml:space="preserve">: Where a Participant requires Ongoing Support and is also receiving assistance through a worker’s compensation scheme, the Provider must only provide the Services the Participant requires that are over and above what they are being provided through worker’s compensation, as well as giving consideration to whether </w:t>
      </w:r>
      <w:r w:rsidR="00CC2CE3">
        <w:t>or not</w:t>
      </w:r>
      <w:r w:rsidRPr="1BEAC265">
        <w:t xml:space="preserve"> Ongoing Support can be provided as detailed in</w:t>
      </w:r>
      <w:r w:rsidR="00643ADD">
        <w:t xml:space="preserve"> </w:t>
      </w:r>
      <w:r w:rsidR="00643ADD">
        <w:fldChar w:fldCharType="begin"/>
      </w:r>
      <w:r w:rsidR="00643ADD">
        <w:instrText xml:space="preserve"> REF _Ref202780305 \h </w:instrText>
      </w:r>
      <w:r w:rsidR="00643ADD">
        <w:fldChar w:fldCharType="separate"/>
      </w:r>
      <w:r w:rsidR="000D75AE">
        <w:t>10.7</w:t>
      </w:r>
      <w:r w:rsidR="00E12BF6">
        <w:t xml:space="preserve"> </w:t>
      </w:r>
      <w:r w:rsidR="000D75AE">
        <w:t>When Ongoing Support can be provided</w:t>
      </w:r>
      <w:r w:rsidR="00643ADD">
        <w:fldChar w:fldCharType="end"/>
      </w:r>
      <w:r w:rsidR="00643ADD">
        <w:t>.</w:t>
      </w:r>
    </w:p>
    <w:p w14:paraId="5B4685EF" w14:textId="77777777" w:rsidR="00D74559" w:rsidRPr="003E77F4" w:rsidRDefault="00D74559" w:rsidP="00643ADD">
      <w:r w:rsidRPr="7F65F737">
        <w:t xml:space="preserve">The following Provider actions may not be counted towards </w:t>
      </w:r>
      <w:r>
        <w:t>Ongoing Support</w:t>
      </w:r>
      <w:r w:rsidRPr="7F65F737">
        <w:t xml:space="preserve"> provided to a Participant:</w:t>
      </w:r>
    </w:p>
    <w:p w14:paraId="3B8D13DE" w14:textId="24EA155F" w:rsidR="00D74559" w:rsidRPr="00156D37" w:rsidRDefault="002E6626" w:rsidP="004E120D">
      <w:pPr>
        <w:pStyle w:val="BulletLevel1"/>
      </w:pPr>
      <w:r>
        <w:t>c</w:t>
      </w:r>
      <w:r w:rsidR="00D74559" w:rsidRPr="62EC0267">
        <w:t xml:space="preserve">ontacts that do not </w:t>
      </w:r>
      <w:r w:rsidR="009E30B4">
        <w:t>help</w:t>
      </w:r>
      <w:r w:rsidR="009E30B4" w:rsidRPr="62EC0267">
        <w:t xml:space="preserve"> </w:t>
      </w:r>
      <w:r w:rsidR="00D74559" w:rsidRPr="62EC0267">
        <w:t>to keep or support the Participant’s current Open Employment</w:t>
      </w:r>
    </w:p>
    <w:p w14:paraId="2E3FF0A9" w14:textId="35D64F98" w:rsidR="00D74559" w:rsidRPr="00156D37" w:rsidRDefault="0073042F" w:rsidP="004E120D">
      <w:pPr>
        <w:pStyle w:val="BulletLevel1"/>
      </w:pPr>
      <w:r>
        <w:t>j</w:t>
      </w:r>
      <w:r w:rsidR="00D74559" w:rsidRPr="00156D37">
        <w:t xml:space="preserve">ob </w:t>
      </w:r>
      <w:r>
        <w:t>s</w:t>
      </w:r>
      <w:r w:rsidR="00D74559" w:rsidRPr="00156D37">
        <w:t xml:space="preserve">earch activities, except after </w:t>
      </w:r>
      <w:r w:rsidR="00D74559">
        <w:t>upskilling</w:t>
      </w:r>
      <w:r w:rsidR="00D74559" w:rsidRPr="00156D37">
        <w:t xml:space="preserve"> has been completed and recorded in the </w:t>
      </w:r>
      <w:r w:rsidR="00D74559">
        <w:t>Job Plan</w:t>
      </w:r>
    </w:p>
    <w:p w14:paraId="520217EF" w14:textId="2E00584F" w:rsidR="00986DF2" w:rsidRPr="00156D37" w:rsidRDefault="00986DF2" w:rsidP="004E120D">
      <w:pPr>
        <w:pStyle w:val="BulletLevel1"/>
      </w:pPr>
      <w:r>
        <w:t xml:space="preserve">contacts </w:t>
      </w:r>
      <w:r w:rsidR="001B559D">
        <w:t>and</w:t>
      </w:r>
      <w:r>
        <w:t xml:space="preserve"> interventions </w:t>
      </w:r>
      <w:r w:rsidR="00E41081">
        <w:t>that are delivered as part of an NDIS plan</w:t>
      </w:r>
      <w:r w:rsidR="008F2505">
        <w:t>, including</w:t>
      </w:r>
      <w:r w:rsidR="00E41081">
        <w:t xml:space="preserve"> where the Provider is also an NDIS provider for the Participant</w:t>
      </w:r>
    </w:p>
    <w:p w14:paraId="66004208" w14:textId="77777777" w:rsidR="00D74559" w:rsidRPr="00156D37" w:rsidRDefault="00D74559" w:rsidP="004E120D">
      <w:pPr>
        <w:pStyle w:val="BulletLevel1"/>
      </w:pPr>
      <w:r w:rsidRPr="00156D37">
        <w:t>Subcontracting arrangements unless approved by the Department</w:t>
      </w:r>
      <w:r>
        <w:t>, and</w:t>
      </w:r>
    </w:p>
    <w:p w14:paraId="32F2276A" w14:textId="6FC52092" w:rsidR="00D74559" w:rsidRDefault="00D74559" w:rsidP="004E120D">
      <w:pPr>
        <w:pStyle w:val="BulletLevel1"/>
      </w:pPr>
      <w:r>
        <w:t>t</w:t>
      </w:r>
      <w:r w:rsidRPr="00156D37">
        <w:t>ime spent by staff at meetings, training and undertaking administration.</w:t>
      </w:r>
    </w:p>
    <w:p w14:paraId="0EDEE6AD" w14:textId="6BD9656C" w:rsidR="00D74559" w:rsidRPr="009F6EA2" w:rsidRDefault="00D74559" w:rsidP="006E2EF5">
      <w:pPr>
        <w:rPr>
          <w:b/>
          <w:bCs/>
        </w:rPr>
      </w:pPr>
      <w:r w:rsidRPr="62EC0267">
        <w:t xml:space="preserve">Further guidance on supports is available in the </w:t>
      </w:r>
      <w:r w:rsidRPr="00643ADD">
        <w:rPr>
          <w:rStyle w:val="Hyperlink"/>
        </w:rPr>
        <w:t xml:space="preserve">Ongoing Support </w:t>
      </w:r>
      <w:r w:rsidR="00643ADD" w:rsidRPr="00643ADD">
        <w:rPr>
          <w:rStyle w:val="Hyperlink"/>
        </w:rPr>
        <w:t>r</w:t>
      </w:r>
      <w:r w:rsidRPr="00643ADD">
        <w:rPr>
          <w:rStyle w:val="Hyperlink"/>
        </w:rPr>
        <w:t xml:space="preserve">equired to keep and support Open Employment </w:t>
      </w:r>
      <w:r w:rsidR="00643ADD" w:rsidRPr="00643ADD">
        <w:rPr>
          <w:rStyle w:val="Hyperlink"/>
        </w:rPr>
        <w:t>[LINK]</w:t>
      </w:r>
      <w:r w:rsidR="00643ADD">
        <w:rPr>
          <w:rFonts w:eastAsia="SimSun"/>
        </w:rPr>
        <w:t xml:space="preserve"> </w:t>
      </w:r>
      <w:r w:rsidRPr="62EC0267">
        <w:t>supporting document on the Provider Portal.</w:t>
      </w:r>
    </w:p>
    <w:p w14:paraId="1844342C" w14:textId="3084F9DA" w:rsidR="00D74559" w:rsidRPr="00FB7CD7" w:rsidRDefault="00D74559" w:rsidP="001D0F92">
      <w:pPr>
        <w:pStyle w:val="Heading4"/>
      </w:pPr>
      <w:bookmarkStart w:id="447" w:name="_Toc202900073"/>
      <w:r>
        <w:t>10.5.2</w:t>
      </w:r>
      <w:r w:rsidR="00567DFC">
        <w:tab/>
      </w:r>
      <w:r>
        <w:t>Purchased support</w:t>
      </w:r>
      <w:bookmarkEnd w:id="447"/>
    </w:p>
    <w:p w14:paraId="0B922DBE" w14:textId="77777777" w:rsidR="00D74559" w:rsidRDefault="00D74559" w:rsidP="00F45FDF">
      <w:r w:rsidRPr="62EC0267">
        <w:t>Support bought from the Provider’s Own Entity, a Related Entity or third-party organisation can be delivered in addition to required Contacts.</w:t>
      </w:r>
    </w:p>
    <w:p w14:paraId="01F17685" w14:textId="77BED2B5" w:rsidR="00D74559" w:rsidRDefault="00D74559" w:rsidP="00F45FDF">
      <w:r w:rsidRPr="62EC0267">
        <w:t xml:space="preserve">Details on whether bought support can or cannot be counted towards Ongoing Support provided to the Participant are included in the </w:t>
      </w:r>
      <w:r w:rsidRPr="00643ADD">
        <w:rPr>
          <w:rStyle w:val="Hyperlink"/>
        </w:rPr>
        <w:t>Purchased help and consideration of hours of Ongoing Support</w:t>
      </w:r>
      <w:r w:rsidR="00643ADD" w:rsidRPr="00643ADD">
        <w:rPr>
          <w:rStyle w:val="Hyperlink"/>
        </w:rPr>
        <w:t xml:space="preserve"> [LINK]</w:t>
      </w:r>
      <w:r w:rsidRPr="62EC0267">
        <w:t xml:space="preserve"> supporting document on the Provider Portal.</w:t>
      </w:r>
    </w:p>
    <w:p w14:paraId="275C6B0A" w14:textId="77195D98" w:rsidR="00D74559" w:rsidRDefault="00D74559" w:rsidP="00F45FDF">
      <w:r w:rsidRPr="0114377B">
        <w:rPr>
          <w:b/>
          <w:bCs/>
        </w:rPr>
        <w:t>Note:</w:t>
      </w:r>
      <w:r w:rsidRPr="0114377B">
        <w:t xml:space="preserve"> Bought support will be considered by an Ongoing Support Assessor when deciding how much support the Participant needs during an OSA review. Ongoing Support Assessors will generally consider that bought support delivered in a group setting equates to a lesser amount of individual support. For example, an Ongoing Support Assessor may consider that a Participant’s attendance at a</w:t>
      </w:r>
      <w:r>
        <w:t xml:space="preserve">n </w:t>
      </w:r>
      <w:r w:rsidRPr="0114377B">
        <w:t>8</w:t>
      </w:r>
      <w:r w:rsidR="00512285">
        <w:t>-</w:t>
      </w:r>
      <w:r w:rsidRPr="0114377B">
        <w:t xml:space="preserve">hour group-training course translates to one hour of </w:t>
      </w:r>
      <w:r w:rsidR="00415F3E">
        <w:t>Ongoing Support</w:t>
      </w:r>
      <w:r w:rsidRPr="0114377B">
        <w:t>.</w:t>
      </w:r>
    </w:p>
    <w:p w14:paraId="1F83243F" w14:textId="15CB7712" w:rsidR="00D74559" w:rsidRPr="007519A3" w:rsidRDefault="00D74559" w:rsidP="001D0F92">
      <w:pPr>
        <w:pStyle w:val="Heading3"/>
      </w:pPr>
      <w:bookmarkStart w:id="448" w:name="_Ref202780075"/>
      <w:bookmarkStart w:id="449" w:name="_Toc202900074"/>
      <w:r>
        <w:t>10.6</w:t>
      </w:r>
      <w:r w:rsidR="00567DFC">
        <w:tab/>
      </w:r>
      <w:r>
        <w:t>Participant Contact</w:t>
      </w:r>
      <w:bookmarkEnd w:id="448"/>
      <w:bookmarkEnd w:id="449"/>
    </w:p>
    <w:p w14:paraId="0512458E" w14:textId="05C7BAEB" w:rsidR="00D74559" w:rsidRPr="00FB7CD7" w:rsidRDefault="00D74559" w:rsidP="00643ADD">
      <w:r w:rsidRPr="003E6847">
        <w:rPr>
          <w:u w:val="single"/>
        </w:rPr>
        <w:t>F</w:t>
      </w:r>
      <w:r w:rsidR="00F6542E">
        <w:rPr>
          <w:u w:val="single"/>
        </w:rPr>
        <w:t>or F</w:t>
      </w:r>
      <w:r w:rsidRPr="003E6847">
        <w:rPr>
          <w:u w:val="single"/>
        </w:rPr>
        <w:t>lexible Ongoing Support</w:t>
      </w:r>
      <w:r w:rsidR="00F6542E">
        <w:t xml:space="preserve">, a Provider </w:t>
      </w:r>
      <w:r w:rsidRPr="46FCF3DB">
        <w:t xml:space="preserve">can delivered </w:t>
      </w:r>
      <w:r w:rsidR="00F6542E">
        <w:t xml:space="preserve">support </w:t>
      </w:r>
      <w:r w:rsidRPr="46FCF3DB">
        <w:t xml:space="preserve">when needed, up to a maximum of </w:t>
      </w:r>
      <w:r w:rsidR="00A4162D" w:rsidRPr="46FCF3DB">
        <w:t>6</w:t>
      </w:r>
      <w:r w:rsidR="00F6542E">
        <w:t> </w:t>
      </w:r>
      <w:r w:rsidRPr="46FCF3DB">
        <w:t xml:space="preserve">‘Instances’ of support in any 26-calendar week period. An Instance is one or more contacts equating to at least </w:t>
      </w:r>
      <w:r w:rsidR="00705EA7" w:rsidRPr="46FCF3DB">
        <w:t>4</w:t>
      </w:r>
      <w:r w:rsidR="008B1473" w:rsidRPr="46FCF3DB">
        <w:t> </w:t>
      </w:r>
      <w:r w:rsidRPr="46FCF3DB">
        <w:t>hours of Service</w:t>
      </w:r>
      <w:r w:rsidR="00E558E8" w:rsidRPr="46FCF3DB">
        <w:t xml:space="preserve"> and can be delivered on a single day or across multiple dates</w:t>
      </w:r>
      <w:r w:rsidRPr="46FCF3DB">
        <w:t xml:space="preserve">. A </w:t>
      </w:r>
      <w:r w:rsidR="009320E2">
        <w:t>P</w:t>
      </w:r>
      <w:r w:rsidR="00900E85" w:rsidRPr="46FCF3DB">
        <w:t xml:space="preserve">ayment </w:t>
      </w:r>
      <w:r w:rsidR="00A62D1F" w:rsidRPr="46FCF3DB">
        <w:t>will</w:t>
      </w:r>
      <w:r w:rsidRPr="46FCF3DB">
        <w:t xml:space="preserve"> be made for each </w:t>
      </w:r>
      <w:r w:rsidR="00BB6482" w:rsidRPr="46FCF3DB">
        <w:t xml:space="preserve">completed </w:t>
      </w:r>
      <w:r w:rsidRPr="46FCF3DB">
        <w:t>Instance of Flexible Ongoing Support</w:t>
      </w:r>
      <w:r w:rsidR="00BB6482" w:rsidRPr="46FCF3DB">
        <w:t>, up to the maximum</w:t>
      </w:r>
      <w:r w:rsidR="00BC426B" w:rsidRPr="46FCF3DB">
        <w:t xml:space="preserve"> allowed </w:t>
      </w:r>
      <w:r w:rsidR="004C7C01" w:rsidRPr="46FCF3DB">
        <w:t>of 6</w:t>
      </w:r>
      <w:r w:rsidR="00C66A6E" w:rsidRPr="46FCF3DB">
        <w:t> </w:t>
      </w:r>
      <w:r w:rsidR="26951D61" w:rsidRPr="46FCF3DB">
        <w:t>I</w:t>
      </w:r>
      <w:r w:rsidR="004C7C01" w:rsidRPr="46FCF3DB">
        <w:t xml:space="preserve">nstances </w:t>
      </w:r>
      <w:r w:rsidR="00BC426B" w:rsidRPr="46FCF3DB">
        <w:t>within any 26-calendar week period</w:t>
      </w:r>
      <w:r w:rsidRPr="46FCF3DB">
        <w:t>.</w:t>
      </w:r>
      <w:r w:rsidR="0006077C" w:rsidRPr="46FCF3DB">
        <w:t xml:space="preserve"> </w:t>
      </w:r>
    </w:p>
    <w:p w14:paraId="2C362B41" w14:textId="4423E886" w:rsidR="0061131B" w:rsidRDefault="00D74559" w:rsidP="00D45444">
      <w:pPr>
        <w:pStyle w:val="SystemStep"/>
      </w:pPr>
      <w:r w:rsidRPr="00A17B7B">
        <w:t xml:space="preserve">Providers must record details of </w:t>
      </w:r>
      <w:r w:rsidR="009520AF">
        <w:t xml:space="preserve">each </w:t>
      </w:r>
      <w:r w:rsidRPr="00A17B7B">
        <w:t xml:space="preserve">Flexible Ongoing Support </w:t>
      </w:r>
      <w:r w:rsidR="00FA78C6">
        <w:t>I</w:t>
      </w:r>
      <w:r w:rsidR="009520AF">
        <w:t xml:space="preserve">nstance </w:t>
      </w:r>
      <w:r w:rsidRPr="00A17B7B">
        <w:t>provided in the Department’s IT Systems</w:t>
      </w:r>
      <w:r w:rsidR="00924D6F">
        <w:t xml:space="preserve"> to generate the </w:t>
      </w:r>
      <w:r w:rsidR="009320E2">
        <w:t>P</w:t>
      </w:r>
      <w:r w:rsidR="00924D6F">
        <w:t xml:space="preserve">ayment of </w:t>
      </w:r>
      <w:r w:rsidR="00E27E76">
        <w:t xml:space="preserve">a Flexible </w:t>
      </w:r>
      <w:r w:rsidR="00924D6F">
        <w:t xml:space="preserve">Ongoing Support </w:t>
      </w:r>
      <w:r w:rsidR="00126331">
        <w:t>F</w:t>
      </w:r>
      <w:r w:rsidR="00924D6F">
        <w:t>ee</w:t>
      </w:r>
      <w:r w:rsidRPr="00A17B7B">
        <w:t>.</w:t>
      </w:r>
      <w:r w:rsidR="0045692B">
        <w:t xml:space="preserve"> The </w:t>
      </w:r>
      <w:r w:rsidR="00A56A18" w:rsidRPr="00A17B7B">
        <w:t>Department’s IT Systems</w:t>
      </w:r>
      <w:r w:rsidR="00A56A18">
        <w:t xml:space="preserve"> </w:t>
      </w:r>
      <w:r w:rsidR="0045692B">
        <w:t xml:space="preserve">will allow </w:t>
      </w:r>
      <w:r w:rsidR="005A1064">
        <w:t xml:space="preserve">Providers to record </w:t>
      </w:r>
      <w:r w:rsidR="00FF052F">
        <w:t xml:space="preserve">details for </w:t>
      </w:r>
      <w:r w:rsidR="00AD58D6">
        <w:t>Instances that occur across multiple dates.</w:t>
      </w:r>
      <w:r w:rsidR="00B63E08">
        <w:t xml:space="preserve"> </w:t>
      </w:r>
    </w:p>
    <w:p w14:paraId="0FDDF9CC" w14:textId="12BB73DF" w:rsidR="00C94F1E" w:rsidRPr="004C6BCD" w:rsidRDefault="0061131B" w:rsidP="004C6BCD">
      <w:pPr>
        <w:pStyle w:val="SystemStep"/>
        <w:numPr>
          <w:ilvl w:val="0"/>
          <w:numId w:val="0"/>
        </w:numPr>
        <w:ind w:left="644"/>
        <w:rPr>
          <w:b/>
          <w:bCs/>
        </w:rPr>
      </w:pPr>
      <w:r w:rsidRPr="0061131B">
        <w:rPr>
          <w:b/>
          <w:bCs/>
        </w:rPr>
        <w:t>Note:</w:t>
      </w:r>
      <w:r w:rsidRPr="004C6BCD">
        <w:rPr>
          <w:b/>
          <w:bCs/>
        </w:rPr>
        <w:t xml:space="preserve"> </w:t>
      </w:r>
      <w:r w:rsidR="00BD2A72" w:rsidRPr="00011409">
        <w:t xml:space="preserve">For current Ongoing Support </w:t>
      </w:r>
      <w:r w:rsidR="009F1B40" w:rsidRPr="00011409">
        <w:t xml:space="preserve">Participants and Ongoing Support </w:t>
      </w:r>
      <w:r w:rsidR="00D11084" w:rsidRPr="00011409">
        <w:t xml:space="preserve">(Work Assist) </w:t>
      </w:r>
      <w:r w:rsidR="009F1B40" w:rsidRPr="00011409">
        <w:t xml:space="preserve">Participants, </w:t>
      </w:r>
      <w:r w:rsidR="00B63E08" w:rsidRPr="00011409">
        <w:t xml:space="preserve">Instances </w:t>
      </w:r>
      <w:r w:rsidR="009F1B40" w:rsidRPr="00011409">
        <w:t xml:space="preserve">of Flexible Ongoing Support </w:t>
      </w:r>
      <w:r w:rsidR="00B63E08" w:rsidRPr="00011409">
        <w:t>can be recorded and completed in the Department</w:t>
      </w:r>
      <w:r w:rsidR="006D3F80" w:rsidRPr="00011409">
        <w:t xml:space="preserve">’s IT systems up to 28 days after </w:t>
      </w:r>
      <w:r w:rsidR="006B4904" w:rsidRPr="00011409">
        <w:t>they were completed.</w:t>
      </w:r>
      <w:r w:rsidR="003C0AC5" w:rsidRPr="004C6BCD">
        <w:rPr>
          <w:b/>
          <w:bCs/>
        </w:rPr>
        <w:t xml:space="preserve"> </w:t>
      </w:r>
    </w:p>
    <w:p w14:paraId="7EA25B78" w14:textId="0CFFD6C5" w:rsidR="00D45444" w:rsidRPr="00011409" w:rsidRDefault="00C94F1E" w:rsidP="004C6BCD">
      <w:pPr>
        <w:pStyle w:val="SystemStep"/>
        <w:numPr>
          <w:ilvl w:val="0"/>
          <w:numId w:val="0"/>
        </w:numPr>
        <w:ind w:left="644"/>
      </w:pPr>
      <w:r>
        <w:rPr>
          <w:b/>
          <w:bCs/>
        </w:rPr>
        <w:t>Note:</w:t>
      </w:r>
      <w:r w:rsidRPr="004C6BCD">
        <w:rPr>
          <w:b/>
          <w:bCs/>
        </w:rPr>
        <w:t xml:space="preserve"> </w:t>
      </w:r>
      <w:r w:rsidR="003C0AC5" w:rsidRPr="00011409">
        <w:t xml:space="preserve">If a </w:t>
      </w:r>
      <w:r w:rsidR="008959B2" w:rsidRPr="00011409">
        <w:t>P</w:t>
      </w:r>
      <w:r w:rsidR="003C0AC5" w:rsidRPr="00011409">
        <w:t xml:space="preserve">articipant Exits, all Instances </w:t>
      </w:r>
      <w:r w:rsidR="009F1B40" w:rsidRPr="00011409">
        <w:t xml:space="preserve">of Flexible Ongoing Support </w:t>
      </w:r>
      <w:r w:rsidR="003C0AC5" w:rsidRPr="00011409">
        <w:t xml:space="preserve">must be completed in the Department’s IT </w:t>
      </w:r>
      <w:r w:rsidR="00E058D9" w:rsidRPr="00011409">
        <w:t>S</w:t>
      </w:r>
      <w:r w:rsidR="003C0AC5" w:rsidRPr="00011409">
        <w:t>ystem</w:t>
      </w:r>
      <w:r w:rsidR="00E058D9" w:rsidRPr="00011409">
        <w:t>s</w:t>
      </w:r>
      <w:r w:rsidR="003C0AC5" w:rsidRPr="00011409">
        <w:t xml:space="preserve"> before the Participant is Exited.</w:t>
      </w:r>
    </w:p>
    <w:p w14:paraId="738B43A6" w14:textId="084FE3BA" w:rsidR="00D74559" w:rsidRPr="006D0DEC" w:rsidRDefault="001947A7" w:rsidP="001A5A36">
      <w:r w:rsidRPr="003E6847">
        <w:rPr>
          <w:u w:val="single"/>
        </w:rPr>
        <w:t xml:space="preserve">For </w:t>
      </w:r>
      <w:r w:rsidR="00D74559" w:rsidRPr="003E6847">
        <w:rPr>
          <w:u w:val="single"/>
        </w:rPr>
        <w:t>Moderate or High Ongoing Support</w:t>
      </w:r>
      <w:r w:rsidR="00D74559" w:rsidRPr="006D0DEC">
        <w:t xml:space="preserve">, a </w:t>
      </w:r>
      <w:r w:rsidR="003002B5">
        <w:t>P</w:t>
      </w:r>
      <w:r w:rsidR="00D74559" w:rsidRPr="006D0DEC">
        <w:t xml:space="preserve">rovider must deliver the minimum number of </w:t>
      </w:r>
      <w:r w:rsidR="00D9537A">
        <w:t>C</w:t>
      </w:r>
      <w:r w:rsidR="00D74559" w:rsidRPr="006D0DEC">
        <w:t xml:space="preserve">ontacts to a Participant – 6 </w:t>
      </w:r>
      <w:r w:rsidR="00D9537A">
        <w:t>C</w:t>
      </w:r>
      <w:r w:rsidR="00D74559" w:rsidRPr="006D0DEC">
        <w:t xml:space="preserve">ontacts per quarter for Moderate Ongoing Support, and 12 </w:t>
      </w:r>
      <w:r w:rsidR="00D9537A">
        <w:t>C</w:t>
      </w:r>
      <w:r w:rsidR="00D74559" w:rsidRPr="006D0DEC">
        <w:t>ontacts per quarter for High Ongoing Support.</w:t>
      </w:r>
    </w:p>
    <w:p w14:paraId="402FE712" w14:textId="77777777" w:rsidR="007770F6" w:rsidRDefault="00D74559" w:rsidP="006F727E">
      <w:pPr>
        <w:pStyle w:val="SystemStep"/>
      </w:pPr>
      <w:r w:rsidRPr="00A17B7B">
        <w:t xml:space="preserve">Providers must record details of </w:t>
      </w:r>
      <w:r w:rsidR="009520AF">
        <w:t xml:space="preserve">each </w:t>
      </w:r>
      <w:r w:rsidRPr="00A17B7B">
        <w:t xml:space="preserve">Moderate and High </w:t>
      </w:r>
      <w:r w:rsidR="006F3FDA">
        <w:t xml:space="preserve">Ongoing Support </w:t>
      </w:r>
      <w:r w:rsidR="00C24817">
        <w:t>C</w:t>
      </w:r>
      <w:r w:rsidRPr="00A17B7B">
        <w:t>ontact in the Department’s IT Systems</w:t>
      </w:r>
      <w:r w:rsidR="006F3FDA">
        <w:t xml:space="preserve"> to </w:t>
      </w:r>
      <w:r w:rsidR="00A31204">
        <w:t xml:space="preserve">both </w:t>
      </w:r>
      <w:r w:rsidR="006F3FDA">
        <w:t xml:space="preserve">generate </w:t>
      </w:r>
      <w:r w:rsidR="009320E2">
        <w:t>P</w:t>
      </w:r>
      <w:r w:rsidR="006F3FDA">
        <w:t>ayment</w:t>
      </w:r>
      <w:r w:rsidR="001A122E">
        <w:t>s</w:t>
      </w:r>
      <w:r w:rsidR="006F3FDA">
        <w:t xml:space="preserve"> </w:t>
      </w:r>
      <w:r w:rsidR="00C74026">
        <w:t xml:space="preserve">of </w:t>
      </w:r>
      <w:r w:rsidR="008A3992">
        <w:t xml:space="preserve">Ongoing Support </w:t>
      </w:r>
      <w:r w:rsidR="0068322B">
        <w:t>F</w:t>
      </w:r>
      <w:r w:rsidR="00C74026">
        <w:t>ees</w:t>
      </w:r>
      <w:r w:rsidR="009520AF">
        <w:t xml:space="preserve"> and to support </w:t>
      </w:r>
      <w:r w:rsidR="00A31204">
        <w:t xml:space="preserve">minimum </w:t>
      </w:r>
      <w:r w:rsidR="00C24817">
        <w:t>C</w:t>
      </w:r>
      <w:r w:rsidR="00A31204">
        <w:t>ontact assurance processes</w:t>
      </w:r>
      <w:r w:rsidRPr="00A17B7B">
        <w:t>.</w:t>
      </w:r>
      <w:r w:rsidR="00650237">
        <w:t xml:space="preserve"> </w:t>
      </w:r>
    </w:p>
    <w:p w14:paraId="78BA0BC7" w14:textId="0959EF2D" w:rsidR="000C155B" w:rsidRDefault="007770F6" w:rsidP="007770F6">
      <w:pPr>
        <w:pStyle w:val="SystemStep"/>
        <w:numPr>
          <w:ilvl w:val="0"/>
          <w:numId w:val="0"/>
        </w:numPr>
        <w:ind w:left="644"/>
      </w:pPr>
      <w:r w:rsidRPr="007770F6">
        <w:rPr>
          <w:b/>
          <w:bCs/>
        </w:rPr>
        <w:t>Note:</w:t>
      </w:r>
      <w:r>
        <w:t xml:space="preserve"> </w:t>
      </w:r>
      <w:r w:rsidR="00540F25">
        <w:t xml:space="preserve">For </w:t>
      </w:r>
      <w:r w:rsidR="00B3607E">
        <w:t>c</w:t>
      </w:r>
      <w:r w:rsidR="00540F25">
        <w:t>urrent Ongoing Support and Ongoing Support (Work Assis</w:t>
      </w:r>
      <w:r w:rsidR="00A64654">
        <w:t>t) Participants</w:t>
      </w:r>
      <w:r w:rsidR="008959B2">
        <w:t xml:space="preserve">, </w:t>
      </w:r>
      <w:r w:rsidR="00650237">
        <w:t xml:space="preserve">Contacts </w:t>
      </w:r>
      <w:r w:rsidR="008959B2">
        <w:t xml:space="preserve">for Moderate or High Ongoing Support </w:t>
      </w:r>
      <w:r w:rsidR="00650237">
        <w:t>can be recorded and completed in the Department’s IT systems up to 28 days after they were completed.</w:t>
      </w:r>
      <w:r>
        <w:t xml:space="preserve"> </w:t>
      </w:r>
    </w:p>
    <w:p w14:paraId="40AF211B" w14:textId="469E4526" w:rsidR="00D74559" w:rsidRPr="00A17B7B" w:rsidRDefault="000C155B" w:rsidP="007770F6">
      <w:pPr>
        <w:pStyle w:val="SystemStep"/>
        <w:numPr>
          <w:ilvl w:val="0"/>
          <w:numId w:val="0"/>
        </w:numPr>
        <w:ind w:left="644"/>
      </w:pPr>
      <w:r>
        <w:rPr>
          <w:b/>
          <w:bCs/>
        </w:rPr>
        <w:t>Note:</w:t>
      </w:r>
      <w:r w:rsidR="00DF683B">
        <w:rPr>
          <w:b/>
          <w:bCs/>
        </w:rPr>
        <w:t xml:space="preserve"> </w:t>
      </w:r>
      <w:r w:rsidR="007770F6">
        <w:t xml:space="preserve">If a </w:t>
      </w:r>
      <w:r w:rsidR="008959B2">
        <w:t>P</w:t>
      </w:r>
      <w:r w:rsidR="007770F6">
        <w:t xml:space="preserve">articipant Exits </w:t>
      </w:r>
      <w:r w:rsidR="00202A96">
        <w:t>Inclusive Employment Australia</w:t>
      </w:r>
      <w:r w:rsidR="007770F6">
        <w:t xml:space="preserve">, all </w:t>
      </w:r>
      <w:r w:rsidR="00895B75">
        <w:t>Contacts</w:t>
      </w:r>
      <w:r w:rsidR="007770F6">
        <w:t xml:space="preserve"> </w:t>
      </w:r>
      <w:r w:rsidR="008959B2">
        <w:t xml:space="preserve">for Moderate or High Ongoing Support </w:t>
      </w:r>
      <w:r w:rsidR="007770F6">
        <w:t xml:space="preserve">must be completed in the Department’s IT </w:t>
      </w:r>
      <w:r w:rsidR="00E058D9">
        <w:t>S</w:t>
      </w:r>
      <w:r w:rsidR="007770F6">
        <w:t>ystem</w:t>
      </w:r>
      <w:r w:rsidR="00E058D9">
        <w:t>s</w:t>
      </w:r>
      <w:r w:rsidR="007770F6">
        <w:t xml:space="preserve"> before the Participant is Exited.</w:t>
      </w:r>
    </w:p>
    <w:p w14:paraId="1995CE92" w14:textId="13A6230E" w:rsidR="00D74559" w:rsidRDefault="00B02DE0" w:rsidP="47BA683B">
      <w:pPr>
        <w:tabs>
          <w:tab w:val="right" w:pos="1701"/>
        </w:tabs>
        <w:spacing w:after="120"/>
      </w:pPr>
      <w:r>
        <w:t xml:space="preserve">Moderate and High Ongoing Support </w:t>
      </w:r>
      <w:r w:rsidR="001047B6">
        <w:t xml:space="preserve">Fees </w:t>
      </w:r>
      <w:r>
        <w:t xml:space="preserve">may be payable </w:t>
      </w:r>
      <w:r w:rsidR="001047B6">
        <w:t>to a Provider monthly (by default) or quarterly.</w:t>
      </w:r>
      <w:r>
        <w:t xml:space="preserve"> </w:t>
      </w:r>
      <w:r w:rsidR="00D74559" w:rsidRPr="0114377B">
        <w:t xml:space="preserve">The frequency of Moderate and High Ongoing Support </w:t>
      </w:r>
      <w:r w:rsidR="00C24817">
        <w:t>C</w:t>
      </w:r>
      <w:r w:rsidR="00D74559" w:rsidRPr="0114377B">
        <w:t xml:space="preserve">ontacts required for each </w:t>
      </w:r>
      <w:r w:rsidR="00281DA8">
        <w:t>month or quarter is outlined in</w:t>
      </w:r>
      <w:r w:rsidR="00D74559" w:rsidRPr="0114377B">
        <w:t xml:space="preserve"> the </w:t>
      </w:r>
      <w:r w:rsidR="00281DA8">
        <w:t>following table</w:t>
      </w:r>
      <w:r w:rsidR="00D74559" w:rsidRPr="0114377B">
        <w:t>.</w:t>
      </w:r>
    </w:p>
    <w:p w14:paraId="2B932D0A" w14:textId="5E8CD3DC" w:rsidR="00011409" w:rsidRPr="00002266" w:rsidRDefault="004D5EF7" w:rsidP="00011409">
      <w:pPr>
        <w:pStyle w:val="TableChartHeading"/>
      </w:pPr>
      <w:r>
        <w:t>Ongoing Support Contacts</w:t>
      </w:r>
      <w:r w:rsidR="00A90A4A">
        <w:t xml:space="preserve"> </w:t>
      </w:r>
      <w:r>
        <w:t>and Payment requirements</w:t>
      </w:r>
    </w:p>
    <w:tbl>
      <w:tblPr>
        <w:tblStyle w:val="DSSTableStyleB"/>
        <w:tblW w:w="10206" w:type="dxa"/>
        <w:tblBorders>
          <w:top w:val="single" w:sz="4" w:space="0" w:color="auto"/>
          <w:bottom w:val="single" w:sz="4" w:space="0" w:color="auto"/>
          <w:insideH w:val="single" w:sz="4" w:space="0" w:color="auto"/>
        </w:tblBorders>
        <w:tblLook w:val="04A0" w:firstRow="1" w:lastRow="0" w:firstColumn="1" w:lastColumn="0" w:noHBand="0" w:noVBand="1"/>
      </w:tblPr>
      <w:tblGrid>
        <w:gridCol w:w="1237"/>
        <w:gridCol w:w="4484"/>
        <w:gridCol w:w="4485"/>
      </w:tblGrid>
      <w:tr w:rsidR="00FD020B" w:rsidRPr="00002266" w14:paraId="1941AB55" w14:textId="77777777" w:rsidTr="00A76B0F">
        <w:trPr>
          <w:cnfStyle w:val="100000000000" w:firstRow="1" w:lastRow="0" w:firstColumn="0" w:lastColumn="0" w:oddVBand="0" w:evenVBand="0" w:oddHBand="0" w:evenHBand="0" w:firstRowFirstColumn="0" w:firstRowLastColumn="0" w:lastRowFirstColumn="0" w:lastRowLastColumn="0"/>
          <w:cantSplit/>
        </w:trPr>
        <w:tc>
          <w:tcPr>
            <w:tcW w:w="1237" w:type="dxa"/>
          </w:tcPr>
          <w:p w14:paraId="23226EA3" w14:textId="77777777" w:rsidR="00D74559" w:rsidRPr="00002266" w:rsidRDefault="00D74559" w:rsidP="00857581">
            <w:pPr>
              <w:pStyle w:val="TableText"/>
              <w:rPr>
                <w:b w:val="0"/>
              </w:rPr>
            </w:pPr>
            <w:r>
              <w:t>Level of Ongoing Support</w:t>
            </w:r>
            <w:r w:rsidRPr="00002266">
              <w:t xml:space="preserve"> </w:t>
            </w:r>
          </w:p>
        </w:tc>
        <w:tc>
          <w:tcPr>
            <w:tcW w:w="4484" w:type="dxa"/>
          </w:tcPr>
          <w:p w14:paraId="7AFB3482" w14:textId="74F5D29C" w:rsidR="00D74559" w:rsidRPr="00002266" w:rsidRDefault="00D74559" w:rsidP="00857581">
            <w:pPr>
              <w:pStyle w:val="TableText"/>
              <w:rPr>
                <w:b w:val="0"/>
              </w:rPr>
            </w:pPr>
            <w:r w:rsidRPr="00002266">
              <w:t xml:space="preserve">Quarterly </w:t>
            </w:r>
            <w:r w:rsidR="00307D72">
              <w:t xml:space="preserve">Contact and </w:t>
            </w:r>
            <w:r w:rsidR="00A76B0F">
              <w:br/>
            </w:r>
            <w:r w:rsidR="00C550A1">
              <w:t>P</w:t>
            </w:r>
            <w:r w:rsidR="00CC6DB4">
              <w:t>ayment</w:t>
            </w:r>
            <w:r w:rsidR="00CC6DB4" w:rsidRPr="00002266">
              <w:t xml:space="preserve"> </w:t>
            </w:r>
            <w:r w:rsidRPr="00002266">
              <w:t>requirement</w:t>
            </w:r>
          </w:p>
        </w:tc>
        <w:tc>
          <w:tcPr>
            <w:tcW w:w="4485" w:type="dxa"/>
          </w:tcPr>
          <w:p w14:paraId="121A6281" w14:textId="159D918D" w:rsidR="00D74559" w:rsidRPr="00002266" w:rsidRDefault="00D74559" w:rsidP="00CD2106">
            <w:pPr>
              <w:pStyle w:val="TableText"/>
              <w:rPr>
                <w:b w:val="0"/>
              </w:rPr>
            </w:pPr>
            <w:r w:rsidRPr="00002266">
              <w:t xml:space="preserve">Monthly </w:t>
            </w:r>
            <w:r w:rsidR="00307D72">
              <w:t xml:space="preserve">Contact and </w:t>
            </w:r>
            <w:r w:rsidR="00A76B0F">
              <w:br/>
            </w:r>
            <w:r w:rsidR="00C550A1">
              <w:t>P</w:t>
            </w:r>
            <w:r w:rsidR="00CC6DB4">
              <w:t>ayment</w:t>
            </w:r>
            <w:r w:rsidR="00CC6DB4" w:rsidRPr="00002266">
              <w:t xml:space="preserve"> </w:t>
            </w:r>
            <w:r w:rsidRPr="00002266">
              <w:t>requirement</w:t>
            </w:r>
          </w:p>
        </w:tc>
      </w:tr>
      <w:tr w:rsidR="00D74559" w:rsidRPr="009532EF" w14:paraId="60FFCD01" w14:textId="77777777" w:rsidTr="00A76B0F">
        <w:trPr>
          <w:cnfStyle w:val="000000100000" w:firstRow="0" w:lastRow="0" w:firstColumn="0" w:lastColumn="0" w:oddVBand="0" w:evenVBand="0" w:oddHBand="1" w:evenHBand="0" w:firstRowFirstColumn="0" w:firstRowLastColumn="0" w:lastRowFirstColumn="0" w:lastRowLastColumn="0"/>
          <w:cantSplit/>
        </w:trPr>
        <w:tc>
          <w:tcPr>
            <w:tcW w:w="1237" w:type="dxa"/>
            <w:tcBorders>
              <w:bottom w:val="single" w:sz="4" w:space="0" w:color="auto"/>
            </w:tcBorders>
          </w:tcPr>
          <w:p w14:paraId="0756A5C3" w14:textId="77777777" w:rsidR="00D74559" w:rsidRPr="009532EF" w:rsidRDefault="00D74559" w:rsidP="009532EF">
            <w:pPr>
              <w:pStyle w:val="TableText"/>
            </w:pPr>
            <w:r w:rsidRPr="009532EF">
              <w:t>Moderate</w:t>
            </w:r>
          </w:p>
        </w:tc>
        <w:tc>
          <w:tcPr>
            <w:tcW w:w="4484" w:type="dxa"/>
            <w:tcBorders>
              <w:bottom w:val="single" w:sz="4" w:space="0" w:color="auto"/>
            </w:tcBorders>
          </w:tcPr>
          <w:p w14:paraId="2221E110" w14:textId="0A85180A" w:rsidR="00D74559" w:rsidRPr="009532EF" w:rsidRDefault="00D74559" w:rsidP="009532EF">
            <w:pPr>
              <w:pStyle w:val="TableText"/>
            </w:pPr>
            <w:r w:rsidRPr="009532EF">
              <w:t>A</w:t>
            </w:r>
            <w:r w:rsidR="00491093">
              <w:t xml:space="preserve">t least 3 </w:t>
            </w:r>
            <w:r w:rsidR="00CD6B0E">
              <w:t>C</w:t>
            </w:r>
            <w:r w:rsidR="00491093">
              <w:t xml:space="preserve">ontacts must be </w:t>
            </w:r>
            <w:r w:rsidR="00311CBE">
              <w:t xml:space="preserve">delivered and </w:t>
            </w:r>
            <w:r w:rsidR="004270AB">
              <w:t>completed in the Department’s IT systems</w:t>
            </w:r>
            <w:r w:rsidR="00756FA3">
              <w:t xml:space="preserve"> </w:t>
            </w:r>
            <w:r w:rsidR="0009425F">
              <w:t>withi</w:t>
            </w:r>
            <w:r w:rsidR="00756FA3">
              <w:t xml:space="preserve">n the Payment quarter </w:t>
            </w:r>
            <w:r w:rsidR="002341A8">
              <w:t xml:space="preserve">to </w:t>
            </w:r>
            <w:r w:rsidR="001E76DC">
              <w:t>trigger</w:t>
            </w:r>
            <w:r w:rsidR="002341A8">
              <w:t xml:space="preserve"> Payment</w:t>
            </w:r>
            <w:r w:rsidR="32C2A6CC">
              <w:t>.</w:t>
            </w:r>
            <w:r w:rsidR="006B4C1D">
              <w:t xml:space="preserve"> </w:t>
            </w:r>
            <w:r w:rsidR="73106A1A">
              <w:t>At</w:t>
            </w:r>
            <w:r w:rsidRPr="009532EF">
              <w:t xml:space="preserve"> least 6 </w:t>
            </w:r>
            <w:r w:rsidR="00567DFC" w:rsidRPr="009532EF">
              <w:t>C</w:t>
            </w:r>
            <w:r w:rsidRPr="009532EF">
              <w:t xml:space="preserve">ontacts </w:t>
            </w:r>
            <w:r w:rsidR="00CF012C">
              <w:t>must be delivered and recorded in the Department’s IT systems</w:t>
            </w:r>
            <w:r w:rsidR="00454230">
              <w:t xml:space="preserve"> each quarter to meet the minimum </w:t>
            </w:r>
            <w:r w:rsidR="00821384">
              <w:t>C</w:t>
            </w:r>
            <w:r w:rsidR="00454230">
              <w:t xml:space="preserve">ontact requirement </w:t>
            </w:r>
            <w:r w:rsidR="00210683">
              <w:t>of at least 6 contacts per</w:t>
            </w:r>
            <w:r w:rsidRPr="009532EF">
              <w:t xml:space="preserve"> quarter</w:t>
            </w:r>
            <w:r w:rsidR="00567DFC" w:rsidRPr="009532EF">
              <w:t>.</w:t>
            </w:r>
          </w:p>
        </w:tc>
        <w:tc>
          <w:tcPr>
            <w:tcW w:w="4485" w:type="dxa"/>
            <w:tcBorders>
              <w:bottom w:val="single" w:sz="4" w:space="0" w:color="auto"/>
            </w:tcBorders>
          </w:tcPr>
          <w:p w14:paraId="08C3F7A3" w14:textId="5AE1F8C3" w:rsidR="00D74559" w:rsidRPr="009532EF" w:rsidRDefault="00F83342" w:rsidP="009532EF">
            <w:pPr>
              <w:pStyle w:val="TableText"/>
            </w:pPr>
            <w:r w:rsidRPr="009532EF">
              <w:t xml:space="preserve">At least 1 Contact must be </w:t>
            </w:r>
            <w:r w:rsidR="00311CBE">
              <w:t>delivered</w:t>
            </w:r>
            <w:r w:rsidR="00311CBE" w:rsidRPr="009532EF">
              <w:t xml:space="preserve"> </w:t>
            </w:r>
            <w:r w:rsidR="00BC6735">
              <w:t>and completed in the Department’s IT systems</w:t>
            </w:r>
            <w:r w:rsidR="00523DE2">
              <w:t xml:space="preserve"> </w:t>
            </w:r>
            <w:r w:rsidRPr="009532EF">
              <w:t xml:space="preserve">within the </w:t>
            </w:r>
            <w:r w:rsidR="00742B40">
              <w:t>P</w:t>
            </w:r>
            <w:r w:rsidR="00CC6DB4">
              <w:t>ayment</w:t>
            </w:r>
            <w:r w:rsidR="00CC6DB4" w:rsidRPr="009532EF">
              <w:t xml:space="preserve"> </w:t>
            </w:r>
            <w:r w:rsidRPr="009532EF">
              <w:t>month</w:t>
            </w:r>
            <w:r w:rsidR="00157398">
              <w:t xml:space="preserve"> to </w:t>
            </w:r>
            <w:r w:rsidR="001E76DC">
              <w:t>trigger</w:t>
            </w:r>
            <w:r w:rsidR="00157398">
              <w:t xml:space="preserve"> payment</w:t>
            </w:r>
            <w:r w:rsidR="331F2745">
              <w:t>.</w:t>
            </w:r>
            <w:r>
              <w:t xml:space="preserve"> </w:t>
            </w:r>
            <w:r w:rsidR="2B27849D">
              <w:t>A</w:t>
            </w:r>
            <w:r w:rsidR="002F1422">
              <w:t xml:space="preserve">n average of 2 </w:t>
            </w:r>
            <w:r w:rsidR="00835F35">
              <w:t>C</w:t>
            </w:r>
            <w:r w:rsidR="002F1422">
              <w:t xml:space="preserve">ontacts must be </w:t>
            </w:r>
            <w:r w:rsidR="00A335B5">
              <w:t xml:space="preserve">delivered and completed in the Department’s IT systems </w:t>
            </w:r>
            <w:r w:rsidR="00E7251C">
              <w:t xml:space="preserve">each month to meet the </w:t>
            </w:r>
            <w:r w:rsidR="00FC70F5">
              <w:t xml:space="preserve">minimum </w:t>
            </w:r>
            <w:r w:rsidR="00835F35">
              <w:t>C</w:t>
            </w:r>
            <w:r w:rsidR="00E7251C">
              <w:t>ontact requirement</w:t>
            </w:r>
            <w:r w:rsidR="00DD2051">
              <w:t xml:space="preserve"> of </w:t>
            </w:r>
            <w:r w:rsidR="00D8347C">
              <w:t xml:space="preserve">at least </w:t>
            </w:r>
            <w:r>
              <w:t>6</w:t>
            </w:r>
            <w:r w:rsidRPr="009532EF">
              <w:t xml:space="preserve"> </w:t>
            </w:r>
            <w:r w:rsidR="0078324F">
              <w:t>C</w:t>
            </w:r>
            <w:r w:rsidRPr="009532EF">
              <w:t>ontacts</w:t>
            </w:r>
            <w:r w:rsidR="00A966F4">
              <w:t xml:space="preserve"> per quarte</w:t>
            </w:r>
            <w:r w:rsidR="0060591D">
              <w:t>r</w:t>
            </w:r>
            <w:r w:rsidRPr="009532EF">
              <w:t>.</w:t>
            </w:r>
          </w:p>
        </w:tc>
      </w:tr>
      <w:tr w:rsidR="00FD020B" w:rsidRPr="009532EF" w14:paraId="1615FCE2" w14:textId="77777777" w:rsidTr="00A76B0F">
        <w:trPr>
          <w:cnfStyle w:val="000000010000" w:firstRow="0" w:lastRow="0" w:firstColumn="0" w:lastColumn="0" w:oddVBand="0" w:evenVBand="0" w:oddHBand="0" w:evenHBand="1" w:firstRowFirstColumn="0" w:firstRowLastColumn="0" w:lastRowFirstColumn="0" w:lastRowLastColumn="0"/>
          <w:cantSplit/>
        </w:trPr>
        <w:tc>
          <w:tcPr>
            <w:tcW w:w="1237" w:type="dxa"/>
            <w:tcBorders>
              <w:bottom w:val="single" w:sz="4" w:space="0" w:color="auto"/>
            </w:tcBorders>
          </w:tcPr>
          <w:p w14:paraId="50688052" w14:textId="77777777" w:rsidR="00D74559" w:rsidRPr="009532EF" w:rsidRDefault="00D74559" w:rsidP="009532EF">
            <w:pPr>
              <w:pStyle w:val="TableText"/>
            </w:pPr>
            <w:r w:rsidRPr="009532EF">
              <w:t>High</w:t>
            </w:r>
          </w:p>
        </w:tc>
        <w:tc>
          <w:tcPr>
            <w:tcW w:w="4484" w:type="dxa"/>
            <w:tcBorders>
              <w:bottom w:val="single" w:sz="4" w:space="0" w:color="auto"/>
            </w:tcBorders>
          </w:tcPr>
          <w:p w14:paraId="540FA547" w14:textId="21F53EF7" w:rsidR="00D74559" w:rsidRPr="009532EF" w:rsidRDefault="00D74559" w:rsidP="009532EF">
            <w:pPr>
              <w:pStyle w:val="TableText"/>
            </w:pPr>
            <w:r w:rsidRPr="009532EF">
              <w:t>A</w:t>
            </w:r>
            <w:r w:rsidR="00210683">
              <w:t xml:space="preserve">t least 3 </w:t>
            </w:r>
            <w:r w:rsidR="00CD6B0E">
              <w:t>C</w:t>
            </w:r>
            <w:r w:rsidR="00210683">
              <w:t xml:space="preserve">ontacts </w:t>
            </w:r>
            <w:r w:rsidR="00CD6B0E">
              <w:t xml:space="preserve">must be delivered and completed in the Department’s IT systems </w:t>
            </w:r>
            <w:r w:rsidR="0009425F">
              <w:t>within the Payment quarter</w:t>
            </w:r>
            <w:r w:rsidR="00996BCF">
              <w:t xml:space="preserve"> to </w:t>
            </w:r>
            <w:r w:rsidR="008443BE">
              <w:t>trigger</w:t>
            </w:r>
            <w:r w:rsidR="00996BCF">
              <w:t xml:space="preserve"> Payment</w:t>
            </w:r>
            <w:r w:rsidR="01CF3988">
              <w:t>.</w:t>
            </w:r>
            <w:r w:rsidR="007D5917">
              <w:t xml:space="preserve"> </w:t>
            </w:r>
            <w:r w:rsidR="7D363FB3">
              <w:t>At</w:t>
            </w:r>
            <w:r w:rsidRPr="009532EF">
              <w:t xml:space="preserve"> least 12 </w:t>
            </w:r>
            <w:r w:rsidR="001B571C" w:rsidRPr="009532EF">
              <w:t>C</w:t>
            </w:r>
            <w:r w:rsidRPr="009532EF">
              <w:t xml:space="preserve">ontacts </w:t>
            </w:r>
            <w:r w:rsidR="00996BCF">
              <w:t xml:space="preserve">must be delivered </w:t>
            </w:r>
            <w:r w:rsidR="00821384">
              <w:t xml:space="preserve">and recorded </w:t>
            </w:r>
            <w:r w:rsidR="00996BCF">
              <w:t xml:space="preserve">in the </w:t>
            </w:r>
            <w:r w:rsidR="00821384">
              <w:t xml:space="preserve">Department’s IT systems each quarter to meet the minimum Contact </w:t>
            </w:r>
            <w:r w:rsidR="00EF48D9">
              <w:t>requirement of at least 12 Contacts per</w:t>
            </w:r>
            <w:r w:rsidRPr="009532EF">
              <w:t xml:space="preserve"> quarter</w:t>
            </w:r>
            <w:r w:rsidR="001B571C" w:rsidRPr="009532EF">
              <w:t>.</w:t>
            </w:r>
          </w:p>
        </w:tc>
        <w:tc>
          <w:tcPr>
            <w:tcW w:w="4485" w:type="dxa"/>
            <w:tcBorders>
              <w:bottom w:val="single" w:sz="4" w:space="0" w:color="auto"/>
            </w:tcBorders>
          </w:tcPr>
          <w:p w14:paraId="77446650" w14:textId="725A95D1" w:rsidR="00D74559" w:rsidRPr="009532EF" w:rsidRDefault="00D74559" w:rsidP="009532EF">
            <w:pPr>
              <w:pStyle w:val="TableText"/>
            </w:pPr>
            <w:r w:rsidRPr="009532EF">
              <w:t xml:space="preserve">At least 1 </w:t>
            </w:r>
            <w:r w:rsidR="009532EF" w:rsidRPr="009532EF">
              <w:t>C</w:t>
            </w:r>
            <w:r w:rsidRPr="009532EF">
              <w:t xml:space="preserve">ontact must be </w:t>
            </w:r>
            <w:r w:rsidR="00142E7C">
              <w:t>delivered and completed</w:t>
            </w:r>
            <w:r w:rsidR="00203A7B">
              <w:t xml:space="preserve"> in the Department’s IT systems</w:t>
            </w:r>
            <w:r w:rsidR="00142E7C" w:rsidRPr="009532EF">
              <w:t xml:space="preserve"> </w:t>
            </w:r>
            <w:r w:rsidRPr="009532EF">
              <w:t xml:space="preserve">within the </w:t>
            </w:r>
            <w:r w:rsidR="00742B40">
              <w:t>P</w:t>
            </w:r>
            <w:r w:rsidR="002F4AB6">
              <w:t>ayment</w:t>
            </w:r>
            <w:r w:rsidR="002F4AB6" w:rsidRPr="009532EF">
              <w:t xml:space="preserve"> </w:t>
            </w:r>
            <w:r w:rsidRPr="009532EF">
              <w:t>month</w:t>
            </w:r>
            <w:r w:rsidR="002F09FE">
              <w:t xml:space="preserve"> to </w:t>
            </w:r>
            <w:r w:rsidR="008443BE">
              <w:t>trigger</w:t>
            </w:r>
            <w:r w:rsidR="002F09FE">
              <w:t xml:space="preserve"> payment</w:t>
            </w:r>
            <w:r w:rsidR="080B4633">
              <w:t>.</w:t>
            </w:r>
            <w:r w:rsidR="1C5BA128">
              <w:t xml:space="preserve"> An</w:t>
            </w:r>
            <w:r w:rsidR="00CD547C">
              <w:t xml:space="preserve"> average of 3 Contacts must be </w:t>
            </w:r>
            <w:r w:rsidR="00AD2BA3">
              <w:t>delivered and completed in the Department’s IT system</w:t>
            </w:r>
            <w:r w:rsidR="00F65334">
              <w:t>s</w:t>
            </w:r>
            <w:r w:rsidR="00CD547C">
              <w:t xml:space="preserve"> </w:t>
            </w:r>
            <w:r w:rsidR="00BE4DC0">
              <w:t xml:space="preserve">each month to meet the Contact requirement of </w:t>
            </w:r>
            <w:r w:rsidR="00D8347C">
              <w:t xml:space="preserve">at least </w:t>
            </w:r>
            <w:r w:rsidR="00BE4DC0">
              <w:t>12</w:t>
            </w:r>
            <w:r w:rsidR="005D4502">
              <w:t xml:space="preserve"> </w:t>
            </w:r>
            <w:r w:rsidR="00651D46">
              <w:t>C</w:t>
            </w:r>
            <w:r w:rsidRPr="009532EF">
              <w:t>ontacts</w:t>
            </w:r>
            <w:r w:rsidR="00F65334">
              <w:t xml:space="preserve"> per quarter</w:t>
            </w:r>
            <w:r w:rsidRPr="009532EF">
              <w:t>.</w:t>
            </w:r>
          </w:p>
        </w:tc>
      </w:tr>
    </w:tbl>
    <w:p w14:paraId="22391215" w14:textId="71A093F1" w:rsidR="003847A6" w:rsidRDefault="00D74559" w:rsidP="47BA683B">
      <w:pPr>
        <w:tabs>
          <w:tab w:val="right" w:pos="1701"/>
        </w:tabs>
        <w:spacing w:after="120"/>
      </w:pPr>
      <w:r w:rsidRPr="47BA683B">
        <w:rPr>
          <w:b/>
          <w:bCs/>
        </w:rPr>
        <w:t>Note:</w:t>
      </w:r>
      <w:r w:rsidRPr="47BA683B">
        <w:t xml:space="preserve"> Providers </w:t>
      </w:r>
      <w:r>
        <w:t>are required to</w:t>
      </w:r>
      <w:r w:rsidRPr="47BA683B">
        <w:t xml:space="preserve"> deliver the minimum number of </w:t>
      </w:r>
      <w:r>
        <w:t>C</w:t>
      </w:r>
      <w:r w:rsidRPr="47BA683B">
        <w:t>ontacts for the Level of Ongoing Support</w:t>
      </w:r>
      <w:r>
        <w:t xml:space="preserve"> as</w:t>
      </w:r>
      <w:r w:rsidRPr="47BA683B">
        <w:t xml:space="preserve"> recommended by the OSA</w:t>
      </w:r>
      <w:r w:rsidR="00A542E9">
        <w:t xml:space="preserve">. </w:t>
      </w:r>
      <w:r w:rsidR="00182CBE">
        <w:t>Overpaid fees are recoverable on a pro-rata basis for Contacts not delivered</w:t>
      </w:r>
      <w:r w:rsidR="00A542E9">
        <w:t xml:space="preserve">. </w:t>
      </w:r>
    </w:p>
    <w:p w14:paraId="64931A47" w14:textId="1DCAF005" w:rsidR="00D74559" w:rsidRDefault="003847A6" w:rsidP="47BA683B">
      <w:pPr>
        <w:tabs>
          <w:tab w:val="right" w:pos="1701"/>
        </w:tabs>
        <w:spacing w:after="120"/>
      </w:pPr>
      <w:r w:rsidRPr="003847A6">
        <w:rPr>
          <w:b/>
          <w:bCs/>
        </w:rPr>
        <w:t>Note:</w:t>
      </w:r>
      <w:r>
        <w:t xml:space="preserve"> </w:t>
      </w:r>
      <w:r w:rsidR="00A542E9">
        <w:t>I</w:t>
      </w:r>
      <w:r w:rsidR="00D74559">
        <w:t>f</w:t>
      </w:r>
      <w:r w:rsidR="00D74559" w:rsidRPr="47BA683B">
        <w:t xml:space="preserve"> a Participant has lower support needs for a period, </w:t>
      </w:r>
      <w:r w:rsidR="007946D0">
        <w:t xml:space="preserve">a </w:t>
      </w:r>
      <w:r w:rsidR="00D74559" w:rsidRPr="47BA683B">
        <w:t xml:space="preserve">Provider can move </w:t>
      </w:r>
      <w:r w:rsidR="00065C6C">
        <w:t xml:space="preserve">the </w:t>
      </w:r>
      <w:r w:rsidR="00D74559" w:rsidRPr="47BA683B">
        <w:t xml:space="preserve">Participant to a lower Level of Ongoing Support, deliver the support required for that </w:t>
      </w:r>
      <w:r w:rsidR="00D74559">
        <w:t>l</w:t>
      </w:r>
      <w:r w:rsidR="00D74559" w:rsidRPr="47BA683B">
        <w:t xml:space="preserve">evel, and </w:t>
      </w:r>
      <w:r w:rsidR="007946D0">
        <w:t xml:space="preserve">receive </w:t>
      </w:r>
      <w:r w:rsidR="00D52E70">
        <w:t>P</w:t>
      </w:r>
      <w:r w:rsidR="007946D0">
        <w:t>ayment for</w:t>
      </w:r>
      <w:r w:rsidR="007946D0" w:rsidRPr="47BA683B">
        <w:t xml:space="preserve"> </w:t>
      </w:r>
      <w:r w:rsidR="00D74559" w:rsidRPr="47BA683B">
        <w:t xml:space="preserve">the corresponding </w:t>
      </w:r>
      <w:r w:rsidR="00316F07">
        <w:t xml:space="preserve">Ongoing Support </w:t>
      </w:r>
      <w:r w:rsidR="00D74559" w:rsidRPr="47BA683B">
        <w:t>Fees</w:t>
      </w:r>
      <w:r w:rsidR="00D74559">
        <w:t>.</w:t>
      </w:r>
    </w:p>
    <w:p w14:paraId="7A640E20" w14:textId="77777777" w:rsidR="00D74559" w:rsidRPr="003E77F4" w:rsidRDefault="00D74559" w:rsidP="006E2EF5">
      <w:r w:rsidRPr="003E77F4">
        <w:t xml:space="preserve">Providers must agree </w:t>
      </w:r>
      <w:r w:rsidRPr="005B0772">
        <w:t xml:space="preserve">the </w:t>
      </w:r>
      <w:r>
        <w:t>C</w:t>
      </w:r>
      <w:r w:rsidRPr="005B0772">
        <w:t xml:space="preserve">ontact </w:t>
      </w:r>
      <w:r w:rsidR="00573FA6">
        <w:t>schedule</w:t>
      </w:r>
      <w:r w:rsidRPr="005B0772">
        <w:t xml:space="preserve"> an</w:t>
      </w:r>
      <w:r>
        <w:t xml:space="preserve">d Engagement Methods with the Participant when providing Ongoing Support. </w:t>
      </w:r>
      <w:r w:rsidRPr="003E77F4">
        <w:t xml:space="preserve">Support counts as an </w:t>
      </w:r>
      <w:r>
        <w:t>Ongoing Support</w:t>
      </w:r>
      <w:r w:rsidRPr="003E77F4">
        <w:t xml:space="preserve"> </w:t>
      </w:r>
      <w:r>
        <w:t>C</w:t>
      </w:r>
      <w:r w:rsidRPr="003E77F4">
        <w:t xml:space="preserve">ontact when it is delivered in one of the </w:t>
      </w:r>
      <w:r>
        <w:t xml:space="preserve">following accepted </w:t>
      </w:r>
      <w:r w:rsidRPr="003E77F4">
        <w:t>forms:</w:t>
      </w:r>
    </w:p>
    <w:p w14:paraId="6B7ED6E3" w14:textId="77777777" w:rsidR="00D74559" w:rsidRPr="000024CD" w:rsidRDefault="00D74559" w:rsidP="004E120D">
      <w:pPr>
        <w:pStyle w:val="BulletLevel1"/>
        <w:rPr>
          <w:lang w:eastAsia="en-AU"/>
        </w:rPr>
      </w:pPr>
      <w:r>
        <w:t>f</w:t>
      </w:r>
      <w:r w:rsidRPr="00156D37">
        <w:t>ace</w:t>
      </w:r>
      <w:r>
        <w:t>-</w:t>
      </w:r>
      <w:r w:rsidRPr="000024CD">
        <w:rPr>
          <w:lang w:eastAsia="en-AU"/>
        </w:rPr>
        <w:t>to-face</w:t>
      </w:r>
    </w:p>
    <w:p w14:paraId="7C06A6A4" w14:textId="698DE54B" w:rsidR="00D74559" w:rsidRPr="000024CD" w:rsidRDefault="00D9789A" w:rsidP="004E120D">
      <w:pPr>
        <w:pStyle w:val="BulletLevel1"/>
        <w:rPr>
          <w:lang w:eastAsia="en-AU"/>
        </w:rPr>
      </w:pPr>
      <w:r>
        <w:rPr>
          <w:lang w:eastAsia="en-AU"/>
        </w:rPr>
        <w:t>phone</w:t>
      </w:r>
      <w:r w:rsidR="00D74559">
        <w:rPr>
          <w:lang w:eastAsia="en-AU"/>
        </w:rPr>
        <w:t xml:space="preserve"> conversation</w:t>
      </w:r>
    </w:p>
    <w:p w14:paraId="2633DC3D" w14:textId="43F0DADB" w:rsidR="00D74559" w:rsidRPr="000024CD" w:rsidRDefault="00D74559" w:rsidP="004E120D">
      <w:pPr>
        <w:pStyle w:val="BulletLevel1"/>
        <w:rPr>
          <w:lang w:eastAsia="en-AU"/>
        </w:rPr>
      </w:pPr>
      <w:r w:rsidRPr="000024CD">
        <w:rPr>
          <w:lang w:eastAsia="en-AU"/>
        </w:rPr>
        <w:t>videoconference, and</w:t>
      </w:r>
    </w:p>
    <w:p w14:paraId="2E94D0F9" w14:textId="77777777" w:rsidR="00D74559" w:rsidRPr="000024CD" w:rsidRDefault="00D74559" w:rsidP="004E120D">
      <w:pPr>
        <w:pStyle w:val="BulletLevel1"/>
        <w:rPr>
          <w:lang w:eastAsia="en-AU"/>
        </w:rPr>
      </w:pPr>
      <w:r w:rsidRPr="000024CD">
        <w:rPr>
          <w:lang w:eastAsia="en-AU"/>
        </w:rPr>
        <w:t xml:space="preserve">meaningful exchange of email or text messages </w:t>
      </w:r>
      <w:r>
        <w:rPr>
          <w:lang w:eastAsia="en-AU"/>
        </w:rPr>
        <w:t xml:space="preserve">— that is, </w:t>
      </w:r>
      <w:r w:rsidRPr="000024CD">
        <w:rPr>
          <w:lang w:eastAsia="en-AU"/>
        </w:rPr>
        <w:t>more than one message that includes:</w:t>
      </w:r>
    </w:p>
    <w:p w14:paraId="1E21BEDE" w14:textId="77777777" w:rsidR="00D74559" w:rsidRPr="002F4A83" w:rsidRDefault="00D74559" w:rsidP="004E120D">
      <w:pPr>
        <w:pStyle w:val="BulletLevel2"/>
      </w:pPr>
      <w:r w:rsidRPr="002F4A83">
        <w:t>details about support the Participant needs to keep Employment and work independently</w:t>
      </w:r>
    </w:p>
    <w:p w14:paraId="0FA41F65" w14:textId="77777777" w:rsidR="00D74559" w:rsidRPr="002F4A83" w:rsidRDefault="00D74559" w:rsidP="004E120D">
      <w:pPr>
        <w:pStyle w:val="BulletLevel2"/>
      </w:pPr>
      <w:r w:rsidRPr="002F4A83">
        <w:t>one or more responses to the messages by the Participant.</w:t>
      </w:r>
    </w:p>
    <w:p w14:paraId="265529E1" w14:textId="37F938AE" w:rsidR="00D74559" w:rsidRDefault="00D74559" w:rsidP="006E2EF5">
      <w:r>
        <w:t xml:space="preserve">More information on use of email or text messages is available in the </w:t>
      </w:r>
      <w:r w:rsidR="00C871B1" w:rsidRPr="0078540B">
        <w:rPr>
          <w:rStyle w:val="Hyperlink"/>
        </w:rPr>
        <w:t>Modes of Contact for Ongoing Support – Provider Fact Sheet</w:t>
      </w:r>
      <w:r w:rsidR="00C871B1">
        <w:rPr>
          <w:rStyle w:val="Hyperlink"/>
        </w:rPr>
        <w:t xml:space="preserve"> [LINK]</w:t>
      </w:r>
      <w:r w:rsidR="00C871B1">
        <w:t xml:space="preserve"> a</w:t>
      </w:r>
      <w:r>
        <w:t xml:space="preserve">vailable on the Provider Portal. </w:t>
      </w:r>
    </w:p>
    <w:p w14:paraId="23DBBA71" w14:textId="7A45B803" w:rsidR="005E2A10" w:rsidRDefault="002D5E82" w:rsidP="005E2A10">
      <w:r w:rsidRPr="00BA4701">
        <w:rPr>
          <w:b/>
          <w:bCs/>
        </w:rPr>
        <w:t>Note:</w:t>
      </w:r>
      <w:r w:rsidR="005E2A10" w:rsidRPr="00BA4701">
        <w:rPr>
          <w:b/>
          <w:bCs/>
        </w:rPr>
        <w:t xml:space="preserve"> </w:t>
      </w:r>
      <w:r w:rsidR="00CC3587">
        <w:t xml:space="preserve">Participation requirements </w:t>
      </w:r>
      <w:r w:rsidR="00C22B04">
        <w:t xml:space="preserve">may continue to apply to </w:t>
      </w:r>
      <w:r w:rsidR="005E2A10" w:rsidDel="00CC3587">
        <w:t xml:space="preserve">Participants </w:t>
      </w:r>
      <w:r w:rsidR="005E2A10">
        <w:t xml:space="preserve">(Mutual Obligation) and DSP Recipients (Compulsory Requirements) </w:t>
      </w:r>
      <w:r w:rsidR="00C22B04">
        <w:t>while they receive</w:t>
      </w:r>
      <w:r w:rsidR="005E2A10">
        <w:t xml:space="preserve"> </w:t>
      </w:r>
      <w:r w:rsidR="000916E0">
        <w:t>Ongoing</w:t>
      </w:r>
      <w:r w:rsidR="005E2A10">
        <w:t xml:space="preserve"> Support.</w:t>
      </w:r>
      <w:r w:rsidR="00F2050B">
        <w:t xml:space="preserve"> </w:t>
      </w:r>
      <w:r w:rsidR="009B0E28">
        <w:t>Providers should refer to</w:t>
      </w:r>
      <w:r w:rsidR="003B2E77">
        <w:t xml:space="preserve"> </w:t>
      </w:r>
      <w:r w:rsidR="003B2E77">
        <w:fldChar w:fldCharType="begin"/>
      </w:r>
      <w:r w:rsidR="003B2E77">
        <w:instrText xml:space="preserve"> REF _Ref202792444 \h </w:instrText>
      </w:r>
      <w:r w:rsidR="003B2E77">
        <w:fldChar w:fldCharType="separate"/>
      </w:r>
      <w:r w:rsidR="003B2E77">
        <w:t xml:space="preserve">5.6.1 </w:t>
      </w:r>
      <w:r w:rsidR="003B2E77" w:rsidRPr="00631287">
        <w:t>Appointments</w:t>
      </w:r>
      <w:r w:rsidR="003B2E77">
        <w:fldChar w:fldCharType="end"/>
      </w:r>
      <w:r w:rsidR="003B2E77">
        <w:t xml:space="preserve"> </w:t>
      </w:r>
      <w:r w:rsidR="009B0E28">
        <w:fldChar w:fldCharType="begin"/>
      </w:r>
      <w:r w:rsidR="009B0E28">
        <w:instrText xml:space="preserve"> REF _Ref202884234 \h </w:instrText>
      </w:r>
      <w:r w:rsidR="009B0E28">
        <w:fldChar w:fldCharType="separate"/>
      </w:r>
      <w:r w:rsidR="009B0E28">
        <w:fldChar w:fldCharType="end"/>
      </w:r>
      <w:r w:rsidR="009B0E28">
        <w:t>for further information on how to capture Contacts and Contact Appointments for those with a Meaningful Engagement Job Plan or Detailed Job Plan.</w:t>
      </w:r>
    </w:p>
    <w:p w14:paraId="31E9C32A" w14:textId="4BDDED8B" w:rsidR="00D74559" w:rsidRPr="00FB7CD7" w:rsidRDefault="00D74559" w:rsidP="001D0F92">
      <w:pPr>
        <w:pStyle w:val="Heading3"/>
      </w:pPr>
      <w:bookmarkStart w:id="450" w:name="_Ref202780305"/>
      <w:bookmarkStart w:id="451" w:name="_Toc202900075"/>
      <w:r>
        <w:t>10.7</w:t>
      </w:r>
      <w:r w:rsidR="00F83342">
        <w:tab/>
      </w:r>
      <w:r>
        <w:t>When Ongoing Support can be provided</w:t>
      </w:r>
      <w:bookmarkEnd w:id="450"/>
      <w:bookmarkEnd w:id="451"/>
    </w:p>
    <w:p w14:paraId="6FF0FDD1" w14:textId="48C933CE" w:rsidR="00D74559" w:rsidRPr="009B0E28" w:rsidRDefault="00D74559" w:rsidP="009B0E28">
      <w:r w:rsidRPr="7F65F737">
        <w:t xml:space="preserve">Providers </w:t>
      </w:r>
      <w:r>
        <w:t>are expected to</w:t>
      </w:r>
      <w:r w:rsidRPr="7F65F737">
        <w:t xml:space="preserve"> deliver </w:t>
      </w:r>
      <w:r>
        <w:t>Ongoing Support</w:t>
      </w:r>
      <w:r w:rsidRPr="7F65F737">
        <w:t xml:space="preserve"> to an eligible </w:t>
      </w:r>
      <w:r>
        <w:t>Ongoing Support</w:t>
      </w:r>
      <w:r w:rsidRPr="7F65F737">
        <w:t xml:space="preserve"> </w:t>
      </w:r>
      <w:r w:rsidR="00442CC6">
        <w:t xml:space="preserve">Participant </w:t>
      </w:r>
      <w:r w:rsidRPr="7F65F737">
        <w:t xml:space="preserve">or </w:t>
      </w:r>
      <w:r w:rsidRPr="009B0E28">
        <w:t>Ongoing Support (Work Assist) Participant while the Participant:</w:t>
      </w:r>
    </w:p>
    <w:p w14:paraId="0B4639C8" w14:textId="47E26CF9" w:rsidR="00D74559" w:rsidRPr="00FB7CD7" w:rsidRDefault="00D74559" w:rsidP="004E120D">
      <w:pPr>
        <w:pStyle w:val="BulletLevel1"/>
      </w:pPr>
      <w:r w:rsidRPr="00FB7CD7">
        <w:t xml:space="preserve">remains </w:t>
      </w:r>
      <w:r w:rsidR="004B2B36">
        <w:t>E</w:t>
      </w:r>
      <w:r w:rsidRPr="00FB7CD7">
        <w:t xml:space="preserve">mployed and working in an </w:t>
      </w:r>
      <w:r>
        <w:t>O</w:t>
      </w:r>
      <w:r w:rsidRPr="00FB7CD7">
        <w:t xml:space="preserve">pen </w:t>
      </w:r>
      <w:r>
        <w:t>E</w:t>
      </w:r>
      <w:r w:rsidRPr="00FB7CD7">
        <w:t>mployment position, and</w:t>
      </w:r>
    </w:p>
    <w:p w14:paraId="20237511" w14:textId="5777B35E" w:rsidR="00D74559" w:rsidRDefault="00D74559" w:rsidP="004E120D">
      <w:pPr>
        <w:pStyle w:val="BulletLevel1"/>
      </w:pPr>
      <w:r w:rsidRPr="00FB7CD7">
        <w:t>undertakes work at an average of at least 8 or more hours per week</w:t>
      </w:r>
      <w:r>
        <w:t xml:space="preserve"> where a Participant’s assessed </w:t>
      </w:r>
      <w:r w:rsidR="00D23B8D">
        <w:t>f</w:t>
      </w:r>
      <w:r>
        <w:t xml:space="preserve">uture </w:t>
      </w:r>
      <w:r w:rsidR="00D23B8D">
        <w:t>w</w:t>
      </w:r>
      <w:r>
        <w:t xml:space="preserve">ork </w:t>
      </w:r>
      <w:r w:rsidR="00D23B8D">
        <w:t>c</w:t>
      </w:r>
      <w:r>
        <w:t xml:space="preserve">apacity with </w:t>
      </w:r>
      <w:r w:rsidR="00D23B8D">
        <w:t>i</w:t>
      </w:r>
      <w:r>
        <w:t>ntervention</w:t>
      </w:r>
      <w:r w:rsidRPr="13D35372">
        <w:t xml:space="preserve"> </w:t>
      </w:r>
      <w:r>
        <w:t>is 8 hours or more, or</w:t>
      </w:r>
    </w:p>
    <w:p w14:paraId="0B4EC4A0" w14:textId="6C8CAA9F" w:rsidR="00D74559" w:rsidRPr="00FB7CD7" w:rsidRDefault="00D74559" w:rsidP="004E120D">
      <w:pPr>
        <w:pStyle w:val="BulletLevel1"/>
      </w:pPr>
      <w:r w:rsidRPr="13D35372">
        <w:t>the Participant can work fewer than 8</w:t>
      </w:r>
      <w:r>
        <w:t xml:space="preserve"> </w:t>
      </w:r>
      <w:r w:rsidRPr="13D35372">
        <w:t xml:space="preserve">hours a week where the Participant’s </w:t>
      </w:r>
      <w:r>
        <w:t xml:space="preserve">assessed </w:t>
      </w:r>
      <w:r w:rsidR="00D23B8D">
        <w:t>future work capacity with intervention</w:t>
      </w:r>
      <w:r w:rsidR="00D23B8D" w:rsidRPr="13D35372">
        <w:t xml:space="preserve"> </w:t>
      </w:r>
      <w:r w:rsidRPr="13D35372">
        <w:t>is less than 8</w:t>
      </w:r>
      <w:r>
        <w:t xml:space="preserve"> </w:t>
      </w:r>
      <w:r w:rsidRPr="13D35372">
        <w:t xml:space="preserve">hours, or they are an </w:t>
      </w:r>
      <w:r>
        <w:t>Ongoing Support</w:t>
      </w:r>
      <w:r w:rsidRPr="13D35372">
        <w:t xml:space="preserve"> (Work Assist) Participant. </w:t>
      </w:r>
    </w:p>
    <w:p w14:paraId="67D9F17C" w14:textId="6E4310D4" w:rsidR="00D74559" w:rsidRDefault="00D74559" w:rsidP="7F65F737">
      <w:pPr>
        <w:tabs>
          <w:tab w:val="right" w:pos="1701"/>
        </w:tabs>
        <w:spacing w:after="120"/>
      </w:pPr>
      <w:r w:rsidRPr="62EC0267">
        <w:rPr>
          <w:b/>
          <w:bCs/>
        </w:rPr>
        <w:t>Note:</w:t>
      </w:r>
      <w:r w:rsidRPr="62EC0267">
        <w:t xml:space="preserve"> Participants who have received Ongoing Support since before 1 July 2018 can continue to receive Ongoing Support under the conditions that applied when they first received Ongoing Support. These ‘grandfathered’ Participants can receive Ongoing Support while they are still </w:t>
      </w:r>
      <w:r w:rsidR="004B2B36">
        <w:t>E</w:t>
      </w:r>
      <w:r w:rsidRPr="62EC0267">
        <w:t>mployed and working, even if they average less than 8</w:t>
      </w:r>
      <w:r>
        <w:t xml:space="preserve"> </w:t>
      </w:r>
      <w:r w:rsidRPr="62EC0267">
        <w:t xml:space="preserve">hours work per week. </w:t>
      </w:r>
    </w:p>
    <w:p w14:paraId="0F6EB1DA" w14:textId="28B6833A" w:rsidR="00535EEA" w:rsidRPr="00AD694A" w:rsidRDefault="00D74559" w:rsidP="007507FC">
      <w:pPr>
        <w:pStyle w:val="DeedReferences"/>
      </w:pPr>
      <w:r>
        <w:t>(</w:t>
      </w:r>
      <w:r w:rsidR="00A73420">
        <w:t xml:space="preserve">Deed Reference(s): Clause </w:t>
      </w:r>
      <w:r w:rsidR="003261AB">
        <w:t xml:space="preserve">125, </w:t>
      </w:r>
      <w:r>
        <w:t>12</w:t>
      </w:r>
      <w:r w:rsidR="00E864B9">
        <w:t>6</w:t>
      </w:r>
      <w:r w:rsidR="00237D99">
        <w:t>, 127</w:t>
      </w:r>
      <w:r w:rsidR="00812C6B">
        <w:t>, 128</w:t>
      </w:r>
      <w:r>
        <w:t>)</w:t>
      </w:r>
      <w:r w:rsidRPr="00874465">
        <w:t> </w:t>
      </w:r>
    </w:p>
    <w:p w14:paraId="1F3D7FBF" w14:textId="77777777" w:rsidR="0092408A" w:rsidRPr="00943684" w:rsidRDefault="0092408A" w:rsidP="0092408A">
      <w:pPr>
        <w:pStyle w:val="Heading5"/>
      </w:pPr>
      <w:r w:rsidRPr="00943684">
        <w:t>When a Participant moves to a new job while in Ongoing Support</w:t>
      </w:r>
    </w:p>
    <w:p w14:paraId="2BE86A3B" w14:textId="3B098F83" w:rsidR="0092408A" w:rsidRDefault="0092408A" w:rsidP="0092408A">
      <w:pPr>
        <w:pStyle w:val="SystemStep"/>
        <w:numPr>
          <w:ilvl w:val="0"/>
          <w:numId w:val="0"/>
        </w:numPr>
      </w:pPr>
      <w:r w:rsidRPr="00DB3620">
        <w:t xml:space="preserve">Multiple changes of Employment are available during any period of Ongoing Support, but all new Employment </w:t>
      </w:r>
      <w:r w:rsidR="00345588">
        <w:t xml:space="preserve">must be Employment that </w:t>
      </w:r>
      <w:r w:rsidR="0066204B">
        <w:t xml:space="preserve">contributes to an Employment </w:t>
      </w:r>
      <w:r w:rsidR="005377BB">
        <w:t>O</w:t>
      </w:r>
      <w:r w:rsidR="0066204B">
        <w:t>utcome</w:t>
      </w:r>
      <w:r w:rsidR="005377BB">
        <w:t xml:space="preserve">. That is, it </w:t>
      </w:r>
      <w:r>
        <w:t>cannot</w:t>
      </w:r>
      <w:r w:rsidRPr="00DB3620">
        <w:t xml:space="preserve"> </w:t>
      </w:r>
      <w:r>
        <w:t xml:space="preserve">be Employment that meets the definition of a </w:t>
      </w:r>
      <w:r w:rsidRPr="00825096">
        <w:t>Non-Payable Outcome</w:t>
      </w:r>
      <w:r>
        <w:t>.</w:t>
      </w:r>
    </w:p>
    <w:p w14:paraId="01B983D1" w14:textId="77777777" w:rsidR="0092408A" w:rsidRPr="00A17B7B" w:rsidRDefault="0092408A" w:rsidP="0092408A">
      <w:pPr>
        <w:pStyle w:val="SystemStep"/>
      </w:pPr>
      <w:r w:rsidRPr="00A17B7B">
        <w:t>If the Participant finds a new job, the Provider must enter details of the new Employment into the Department’s IT Systems and keep Documentary Evidence as verification.</w:t>
      </w:r>
    </w:p>
    <w:p w14:paraId="0DF52717" w14:textId="77777777" w:rsidR="0092408A" w:rsidRPr="009001FD" w:rsidRDefault="0092408A" w:rsidP="0092408A">
      <w:r w:rsidRPr="0114377B">
        <w:rPr>
          <w:b/>
          <w:bCs/>
        </w:rPr>
        <w:t>Note:</w:t>
      </w:r>
      <w:r w:rsidRPr="0114377B">
        <w:t xml:space="preserve"> A Change of Circumstances OSA is only required if the Provider considers that the Participant’s circumstances have changed due to the change in Employment.</w:t>
      </w:r>
    </w:p>
    <w:p w14:paraId="61AB119B" w14:textId="7C95137E" w:rsidR="00D74559" w:rsidRPr="00FB7CD7" w:rsidRDefault="00D74559" w:rsidP="00FF5EDE">
      <w:pPr>
        <w:pStyle w:val="Heading5"/>
      </w:pPr>
      <w:r>
        <w:t>Participants receiving worker’s compensation</w:t>
      </w:r>
    </w:p>
    <w:p w14:paraId="7ACF5E97" w14:textId="60375866" w:rsidR="00D74559" w:rsidRDefault="00D74559" w:rsidP="00124E91">
      <w:r w:rsidRPr="62EC0267">
        <w:t xml:space="preserve">A Participant is usually considered to be </w:t>
      </w:r>
      <w:r w:rsidR="005A0B1C">
        <w:t>E</w:t>
      </w:r>
      <w:r w:rsidRPr="62EC0267">
        <w:t xml:space="preserve">mployed while they are receiving worker’s compensation payments. During this period, worker’s compensation is the primary source of Employment supports. This means a Participant may need less (or no) Ongoing Support during a period of worker’s compensation. </w:t>
      </w:r>
    </w:p>
    <w:p w14:paraId="006CCDA8" w14:textId="77777777" w:rsidR="00D74559" w:rsidRPr="00FB7CD7" w:rsidRDefault="00D74559" w:rsidP="00124E91">
      <w:r w:rsidRPr="47BA683B">
        <w:t>The Provider must:</w:t>
      </w:r>
    </w:p>
    <w:p w14:paraId="691A50D0" w14:textId="17422751" w:rsidR="00D74559" w:rsidRPr="00857581" w:rsidRDefault="00D74559" w:rsidP="004E120D">
      <w:pPr>
        <w:pStyle w:val="BulletLevel1"/>
      </w:pPr>
      <w:r w:rsidRPr="00857581">
        <w:t>Exit the Participant, if the Provider or Ongoing Support Assessor decides the Participant no longer needs Ongoing Support</w:t>
      </w:r>
      <w:r w:rsidR="009513C5">
        <w:t xml:space="preserve"> above the support provided through worker’s compensation</w:t>
      </w:r>
      <w:r w:rsidRPr="00857581">
        <w:t>, or</w:t>
      </w:r>
    </w:p>
    <w:p w14:paraId="319B30E7" w14:textId="52E61387" w:rsidR="00D74559" w:rsidRPr="00857581" w:rsidRDefault="00D74559" w:rsidP="004E120D">
      <w:pPr>
        <w:pStyle w:val="BulletLevel1"/>
      </w:pPr>
      <w:r w:rsidRPr="00857581">
        <w:t>Suspend the Participant, if they are working fewer than 8 hours per week and have an Employment Benchmark of 8</w:t>
      </w:r>
      <w:r w:rsidR="00933845">
        <w:t xml:space="preserve"> hours</w:t>
      </w:r>
      <w:r w:rsidRPr="00857581">
        <w:t xml:space="preserve"> (unless exempt as outlined above).</w:t>
      </w:r>
    </w:p>
    <w:p w14:paraId="29AFDE18" w14:textId="2E353E58" w:rsidR="00D74559" w:rsidRDefault="00D74559" w:rsidP="00124E91">
      <w:r w:rsidRPr="0114377B">
        <w:rPr>
          <w:b/>
          <w:bCs/>
        </w:rPr>
        <w:t>Note:</w:t>
      </w:r>
      <w:r w:rsidRPr="0114377B">
        <w:t xml:space="preserve"> Refer to </w:t>
      </w:r>
      <w:r w:rsidR="00124E91">
        <w:fldChar w:fldCharType="begin"/>
      </w:r>
      <w:r w:rsidR="00124E91">
        <w:instrText xml:space="preserve"> REF _Ref202785347 \h </w:instrText>
      </w:r>
      <w:r w:rsidR="00124E91">
        <w:fldChar w:fldCharType="separate"/>
      </w:r>
      <w:r w:rsidR="000D75AE">
        <w:t>10.8.1</w:t>
      </w:r>
      <w:r w:rsidR="003B2E77">
        <w:t xml:space="preserve"> </w:t>
      </w:r>
      <w:r w:rsidR="000D75AE">
        <w:t>Suspending Ongoing Support</w:t>
      </w:r>
      <w:r w:rsidR="00124E91">
        <w:fldChar w:fldCharType="end"/>
      </w:r>
      <w:r w:rsidR="00124E91">
        <w:t xml:space="preserve"> </w:t>
      </w:r>
      <w:r w:rsidRPr="0114377B">
        <w:t xml:space="preserve">for additional circumstances where a </w:t>
      </w:r>
      <w:r w:rsidR="00241A0D">
        <w:t>Provider</w:t>
      </w:r>
      <w:r w:rsidR="00241A0D" w:rsidRPr="0114377B">
        <w:t xml:space="preserve"> </w:t>
      </w:r>
      <w:r w:rsidRPr="0114377B">
        <w:t>Exit must be considered.</w:t>
      </w:r>
    </w:p>
    <w:p w14:paraId="5AE7FFD5" w14:textId="5F4400C6" w:rsidR="00D74559" w:rsidRDefault="00D74559" w:rsidP="00124E91">
      <w:r>
        <w:t xml:space="preserve">If a Provider intends to continue delivering Ongoing Support to a Participant receiving worker’s compensation, they must refer the Participant for a Change of Circumstances OSA. The OSA will assess how much support the Participant needs through Ongoing Support while they are being supported through worker’s compensation. This avoids doubling up of resources. </w:t>
      </w:r>
    </w:p>
    <w:p w14:paraId="114E624D" w14:textId="7B7895A3" w:rsidR="00D74559" w:rsidRDefault="00D74559" w:rsidP="00124E91">
      <w:r w:rsidRPr="62EC0267">
        <w:t xml:space="preserve">There is a worker’s compensation scheme for each </w:t>
      </w:r>
      <w:r w:rsidR="001B7003">
        <w:t>s</w:t>
      </w:r>
      <w:r w:rsidRPr="62EC0267">
        <w:t xml:space="preserve">tate and </w:t>
      </w:r>
      <w:r w:rsidR="001B7003">
        <w:t>t</w:t>
      </w:r>
      <w:r w:rsidRPr="62EC0267">
        <w:t xml:space="preserve">erritory and 3 Commonwealth schemes. Each one is governed by different laws and may vary in the way it runs. Providers should familiarise themselves with the relevant schemes to understand what support is provided under schemes that </w:t>
      </w:r>
      <w:r w:rsidR="000324C4">
        <w:t>apply</w:t>
      </w:r>
      <w:r w:rsidRPr="62EC0267">
        <w:t xml:space="preserve"> in their ESA.</w:t>
      </w:r>
    </w:p>
    <w:p w14:paraId="071DE83C" w14:textId="5A32C8D8" w:rsidR="00D74559" w:rsidRDefault="00D74559" w:rsidP="001D0F92">
      <w:pPr>
        <w:pStyle w:val="Heading3"/>
      </w:pPr>
      <w:bookmarkStart w:id="452" w:name="_Toc202900076"/>
      <w:r w:rsidRPr="62EC0267">
        <w:t>10.8</w:t>
      </w:r>
      <w:r w:rsidR="00F83342">
        <w:tab/>
      </w:r>
      <w:r w:rsidRPr="62EC0267">
        <w:t xml:space="preserve">When Ongoing Support is </w:t>
      </w:r>
      <w:r w:rsidR="00F603AE">
        <w:t>not</w:t>
      </w:r>
      <w:r w:rsidRPr="62EC0267">
        <w:t xml:space="preserve"> needed</w:t>
      </w:r>
      <w:bookmarkEnd w:id="452"/>
    </w:p>
    <w:p w14:paraId="21630B7B" w14:textId="44462F8B" w:rsidR="00D74559" w:rsidRDefault="00D74559" w:rsidP="00AA4CD3">
      <w:r w:rsidRPr="62EC0267">
        <w:t>When a Participant does not need Ongoing Support, the Provider must follow the guidance for Suspending and Exiting Participants as outlined in</w:t>
      </w:r>
      <w:r w:rsidR="00124E91">
        <w:t xml:space="preserve"> </w:t>
      </w:r>
      <w:r w:rsidR="00124E91">
        <w:rPr>
          <w:highlight w:val="yellow"/>
        </w:rPr>
        <w:fldChar w:fldCharType="begin"/>
      </w:r>
      <w:r w:rsidR="00124E91">
        <w:instrText xml:space="preserve"> REF _Ref202780811 \h </w:instrText>
      </w:r>
      <w:r w:rsidR="00124E91">
        <w:rPr>
          <w:highlight w:val="yellow"/>
        </w:rPr>
      </w:r>
      <w:r w:rsidR="00124E91">
        <w:rPr>
          <w:highlight w:val="yellow"/>
        </w:rPr>
        <w:fldChar w:fldCharType="separate"/>
      </w:r>
      <w:r w:rsidR="000D75AE" w:rsidRPr="00BA23D8">
        <w:t>Chapter 3</w:t>
      </w:r>
      <w:r w:rsidR="000D75AE">
        <w:t>:</w:t>
      </w:r>
      <w:r w:rsidR="004572F7">
        <w:t xml:space="preserve"> </w:t>
      </w:r>
      <w:r w:rsidR="000D75AE" w:rsidRPr="00BA23D8">
        <w:t>Commencements, Transfers, Suspensions and Exits</w:t>
      </w:r>
      <w:r w:rsidR="00124E91">
        <w:rPr>
          <w:highlight w:val="yellow"/>
        </w:rPr>
        <w:fldChar w:fldCharType="end"/>
      </w:r>
      <w:r w:rsidRPr="62EC0267">
        <w:t>. In addition to this guidance, other considerations for Suspending and Exiting Participants from Ongoing Support are outlined below.</w:t>
      </w:r>
    </w:p>
    <w:p w14:paraId="6FBC44AC" w14:textId="3984B9DC" w:rsidR="00D74559" w:rsidRPr="00FB7CD7" w:rsidRDefault="00D74559" w:rsidP="001D0F92">
      <w:pPr>
        <w:pStyle w:val="Heading4"/>
      </w:pPr>
      <w:bookmarkStart w:id="453" w:name="_Ref202785347"/>
      <w:bookmarkStart w:id="454" w:name="_Toc202900077"/>
      <w:r>
        <w:t>10.8.1</w:t>
      </w:r>
      <w:r w:rsidR="00F83342">
        <w:tab/>
      </w:r>
      <w:r>
        <w:t>Suspending Ongoing Support</w:t>
      </w:r>
      <w:bookmarkEnd w:id="453"/>
      <w:bookmarkEnd w:id="454"/>
    </w:p>
    <w:p w14:paraId="24A37645" w14:textId="72BAC14C" w:rsidR="00D74559" w:rsidRPr="003E77F4" w:rsidRDefault="00D74559" w:rsidP="00124E91">
      <w:r w:rsidRPr="4E05A77C">
        <w:t xml:space="preserve">Providers can Suspend </w:t>
      </w:r>
      <w:r>
        <w:t xml:space="preserve">a Participant in </w:t>
      </w:r>
      <w:r w:rsidRPr="4E05A77C">
        <w:t>Ongoing Support</w:t>
      </w:r>
      <w:r>
        <w:t xml:space="preserve">, to </w:t>
      </w:r>
      <w:r w:rsidR="009B6AF4">
        <w:t>p</w:t>
      </w:r>
      <w:r>
        <w:t>ause the</w:t>
      </w:r>
      <w:r w:rsidRPr="0052146B">
        <w:t xml:space="preserve"> </w:t>
      </w:r>
      <w:r>
        <w:t>Participant’s Period of Registration and temporarily stop delivery of Ongoing Support for the duration of the Suspension period. Suspending the Participant prevents:</w:t>
      </w:r>
    </w:p>
    <w:p w14:paraId="2DFCEB3E" w14:textId="77777777" w:rsidR="00D74559" w:rsidRPr="00156D37" w:rsidRDefault="00D74559" w:rsidP="004E120D">
      <w:pPr>
        <w:pStyle w:val="BulletLevel1"/>
      </w:pPr>
      <w:r w:rsidRPr="62EC0267">
        <w:t>continued delivery of Contacts at a time when the Participant is unable to receive help from the support, and</w:t>
      </w:r>
    </w:p>
    <w:p w14:paraId="5AD96983" w14:textId="77777777" w:rsidR="00D74559" w:rsidRDefault="00D74559" w:rsidP="004E120D">
      <w:pPr>
        <w:pStyle w:val="BulletLevel1"/>
      </w:pPr>
      <w:r w:rsidRPr="0114377B">
        <w:t>condensed delivery of Contacts, once a Participant can participate, to meet support requirements for the relevant Level of Ongoing Support within the set Ongoing Support delivery period.</w:t>
      </w:r>
    </w:p>
    <w:p w14:paraId="61B1A513" w14:textId="3F728102" w:rsidR="00D74559" w:rsidRDefault="00D74559" w:rsidP="00E83FE4">
      <w:r w:rsidRPr="0114377B">
        <w:t xml:space="preserve">Providers can Suspend </w:t>
      </w:r>
      <w:r w:rsidR="00E83FE4">
        <w:t>a Participant</w:t>
      </w:r>
      <w:r w:rsidRPr="0114377B">
        <w:t xml:space="preserve">, as </w:t>
      </w:r>
      <w:bookmarkStart w:id="455" w:name="_Int_ogPfFAoW"/>
      <w:r w:rsidRPr="0114377B">
        <w:t>appropriate</w:t>
      </w:r>
      <w:bookmarkEnd w:id="455"/>
      <w:r w:rsidRPr="0114377B">
        <w:t xml:space="preserve">, for up to 13 </w:t>
      </w:r>
      <w:r w:rsidR="00A41EA8">
        <w:t>C</w:t>
      </w:r>
      <w:r w:rsidRPr="0114377B">
        <w:t xml:space="preserve">onsecutive </w:t>
      </w:r>
      <w:r w:rsidR="00A41EA8">
        <w:t>W</w:t>
      </w:r>
      <w:r w:rsidRPr="0114377B">
        <w:t xml:space="preserve">eeks. The Provider is able to extend the Suspension period for a further 13 weeks if required by the Participant. The Provider may extend the Suspension multiple times to </w:t>
      </w:r>
      <w:r w:rsidR="00001D3F">
        <w:t xml:space="preserve">a </w:t>
      </w:r>
      <w:r w:rsidRPr="0114377B">
        <w:t xml:space="preserve">maximum of 12 months in one consecutive period. </w:t>
      </w:r>
    </w:p>
    <w:p w14:paraId="78E303AD" w14:textId="77777777" w:rsidR="00E83FE4" w:rsidRDefault="00D74559" w:rsidP="00E83FE4">
      <w:r w:rsidRPr="00C00039">
        <w:rPr>
          <w:b/>
          <w:bCs/>
        </w:rPr>
        <w:t>Note:</w:t>
      </w:r>
      <w:r>
        <w:t xml:space="preserve"> The Provider must discuss the Suspension period and any extensions to this period with the Participant. </w:t>
      </w:r>
    </w:p>
    <w:p w14:paraId="7716A59D" w14:textId="26CBF0D6" w:rsidR="00D74559" w:rsidRPr="003E77F4" w:rsidRDefault="00D74559" w:rsidP="00E83FE4">
      <w:r w:rsidRPr="47BA683B">
        <w:t>Providers:</w:t>
      </w:r>
    </w:p>
    <w:p w14:paraId="3ADC5E76" w14:textId="4BA581A5" w:rsidR="00D74559" w:rsidRPr="00E83FE4" w:rsidRDefault="00D74559" w:rsidP="00E83FE4">
      <w:pPr>
        <w:pStyle w:val="BulletLevel1"/>
      </w:pPr>
      <w:r w:rsidRPr="0114377B">
        <w:t xml:space="preserve">must Suspend Ongoing Support when a Participant does not meet the requirements to receive Ongoing Support (unless an Exit is more </w:t>
      </w:r>
      <w:r w:rsidRPr="00E83FE4">
        <w:t>appropriate)— refer to</w:t>
      </w:r>
      <w:r w:rsidR="00E83FE4">
        <w:t xml:space="preserve"> </w:t>
      </w:r>
      <w:r w:rsidR="00E83FE4">
        <w:fldChar w:fldCharType="begin"/>
      </w:r>
      <w:r w:rsidR="00E83FE4">
        <w:instrText xml:space="preserve"> REF _Ref202780305 \h </w:instrText>
      </w:r>
      <w:r w:rsidR="00E83FE4">
        <w:fldChar w:fldCharType="separate"/>
      </w:r>
      <w:r w:rsidR="000D75AE">
        <w:t>10.7</w:t>
      </w:r>
      <w:r w:rsidR="003B2E77">
        <w:t xml:space="preserve"> </w:t>
      </w:r>
      <w:r w:rsidR="000D75AE">
        <w:t>When Ongoing Support can be provided</w:t>
      </w:r>
      <w:r w:rsidR="00E83FE4">
        <w:fldChar w:fldCharType="end"/>
      </w:r>
      <w:r w:rsidRPr="00E83FE4">
        <w:t>, and</w:t>
      </w:r>
    </w:p>
    <w:p w14:paraId="3320BA65" w14:textId="77777777" w:rsidR="00D74559" w:rsidRDefault="00D74559" w:rsidP="00E83FE4">
      <w:pPr>
        <w:pStyle w:val="BulletLevel1"/>
      </w:pPr>
      <w:r w:rsidRPr="00E83FE4">
        <w:t>may Suspend Ongoing Support during periods</w:t>
      </w:r>
      <w:r w:rsidRPr="62EC0267">
        <w:t xml:space="preserve"> when they consider the Participant does not need Ongoing Support.</w:t>
      </w:r>
    </w:p>
    <w:p w14:paraId="099B9341" w14:textId="49E32140" w:rsidR="00D74559" w:rsidRDefault="00D74559" w:rsidP="00AA4CD3">
      <w:pPr>
        <w:tabs>
          <w:tab w:val="right" w:pos="1701"/>
        </w:tabs>
        <w:spacing w:after="120"/>
      </w:pPr>
      <w:r>
        <w:t xml:space="preserve">Examples of scenarios where </w:t>
      </w:r>
      <w:r w:rsidRPr="62EC0267">
        <w:t xml:space="preserve">Providers </w:t>
      </w:r>
      <w:r>
        <w:t>can</w:t>
      </w:r>
      <w:r w:rsidRPr="62EC0267">
        <w:t xml:space="preserve"> Suspend a Participant to allow for any breaks in the Participant’s Employment or periods where the Participant is temporarily unable to meet their requirement to keep Ongoing Support eligibility</w:t>
      </w:r>
      <w:r w:rsidR="00B2484C">
        <w:t>,</w:t>
      </w:r>
      <w:r w:rsidRPr="62EC0267">
        <w:t xml:space="preserve"> </w:t>
      </w:r>
      <w:r>
        <w:t xml:space="preserve">are </w:t>
      </w:r>
      <w:r w:rsidRPr="62EC0267">
        <w:t xml:space="preserve">outlined below. </w:t>
      </w:r>
    </w:p>
    <w:p w14:paraId="306CE0EF" w14:textId="77777777" w:rsidR="00D74559" w:rsidRDefault="00D74559" w:rsidP="006D1645">
      <w:pPr>
        <w:pStyle w:val="Heading5"/>
      </w:pPr>
      <w:r w:rsidRPr="007A71C6">
        <w:t>When a Participant takes leave</w:t>
      </w:r>
      <w:r>
        <w:t xml:space="preserve"> </w:t>
      </w:r>
    </w:p>
    <w:p w14:paraId="5BFDECC4" w14:textId="1CFF0F55" w:rsidR="00D74559" w:rsidRPr="00BA327F" w:rsidRDefault="00D74559" w:rsidP="47BA683B">
      <w:pPr>
        <w:tabs>
          <w:tab w:val="right" w:pos="1701"/>
        </w:tabs>
        <w:spacing w:after="120"/>
      </w:pPr>
      <w:r w:rsidRPr="62EC0267">
        <w:t xml:space="preserve">Providers may Suspend </w:t>
      </w:r>
      <w:r w:rsidR="000F0E48">
        <w:t>a Participant in</w:t>
      </w:r>
      <w:r w:rsidRPr="62EC0267">
        <w:t xml:space="preserve"> Ongoing Support if a Participant does not need support for a period (for example, during Christmas shutdowns, annual leave, extended periods of sickness leave, parental leave or long service leave). </w:t>
      </w:r>
    </w:p>
    <w:p w14:paraId="37710108" w14:textId="684CAEC2" w:rsidR="00D74559" w:rsidRDefault="00D74559" w:rsidP="0036018B">
      <w:pPr>
        <w:tabs>
          <w:tab w:val="right" w:pos="1701"/>
        </w:tabs>
        <w:spacing w:after="120"/>
      </w:pPr>
      <w:r w:rsidRPr="62EC0267">
        <w:t xml:space="preserve">Providers can </w:t>
      </w:r>
      <w:r w:rsidR="00063539">
        <w:t>offer to</w:t>
      </w:r>
      <w:r w:rsidRPr="62EC0267">
        <w:t xml:space="preserve"> continue to deliver Ongoing Support for up to 4 weeks without Suspending the Participant if the Participant requires help to keep their Open Employment during a period of short leave such as annual leave or over the Christmas shutdown. If the Participant does not agree to receive help over this period, the Provider must Suspend the Participant.</w:t>
      </w:r>
    </w:p>
    <w:p w14:paraId="6E4F8D6D" w14:textId="2E697982" w:rsidR="00746052" w:rsidRDefault="00746052" w:rsidP="0036018B">
      <w:pPr>
        <w:tabs>
          <w:tab w:val="right" w:pos="1701"/>
        </w:tabs>
        <w:spacing w:after="120"/>
      </w:pPr>
      <w:r>
        <w:t xml:space="preserve">A Participant </w:t>
      </w:r>
      <w:r w:rsidR="004823C1">
        <w:t>who is Suspended f</w:t>
      </w:r>
      <w:r w:rsidR="00F06522">
        <w:t>rom</w:t>
      </w:r>
      <w:r w:rsidR="004823C1">
        <w:t xml:space="preserve"> Ongoing Support </w:t>
      </w:r>
      <w:r>
        <w:t xml:space="preserve">may request </w:t>
      </w:r>
      <w:r w:rsidR="00F06522">
        <w:t xml:space="preserve">that they receive </w:t>
      </w:r>
      <w:r w:rsidR="00BC5E5A">
        <w:t>Ongoing Support before the Suspension is due to be completed</w:t>
      </w:r>
      <w:r w:rsidR="00EA7492">
        <w:t xml:space="preserve">, for example, to assist them to </w:t>
      </w:r>
      <w:r w:rsidR="00136C4D">
        <w:t>prepare</w:t>
      </w:r>
      <w:r w:rsidR="00EA7492">
        <w:t xml:space="preserve"> to return to </w:t>
      </w:r>
      <w:r w:rsidR="009A14A9">
        <w:t>E</w:t>
      </w:r>
      <w:r w:rsidR="00EA7492">
        <w:t>mployment following</w:t>
      </w:r>
      <w:r w:rsidR="00F06522">
        <w:t xml:space="preserve"> a </w:t>
      </w:r>
      <w:r w:rsidR="000D073A">
        <w:t>period of leave</w:t>
      </w:r>
      <w:r w:rsidR="00F06522">
        <w:t xml:space="preserve">. In such cases, the Provider may lift the </w:t>
      </w:r>
      <w:r w:rsidR="000D073A">
        <w:t>Suspension early and provide Ongoing Support.</w:t>
      </w:r>
    </w:p>
    <w:p w14:paraId="054163FB" w14:textId="04934E43" w:rsidR="00D74559" w:rsidRDefault="00423D44" w:rsidP="00993214">
      <w:r>
        <w:t xml:space="preserve">Providers can generally only </w:t>
      </w:r>
      <w:r w:rsidR="00CC3AE0">
        <w:t xml:space="preserve">Suspend </w:t>
      </w:r>
      <w:r w:rsidR="00D74559" w:rsidRPr="0114377B">
        <w:t>Participants in Moderate or High Ongoing Support for a maximum of</w:t>
      </w:r>
      <w:r w:rsidR="00353772">
        <w:t xml:space="preserve"> 4 consecutive 13-week periods</w:t>
      </w:r>
      <w:r w:rsidR="00D74559" w:rsidRPr="0114377B" w:rsidDel="00080E63">
        <w:t xml:space="preserve"> </w:t>
      </w:r>
      <w:r w:rsidR="00353772">
        <w:t xml:space="preserve">(up to a total of </w:t>
      </w:r>
      <w:r w:rsidR="00D74559" w:rsidRPr="0114377B">
        <w:t>12 months</w:t>
      </w:r>
      <w:r w:rsidR="00353772">
        <w:t>)</w:t>
      </w:r>
      <w:r w:rsidR="00D74559" w:rsidRPr="0114377B">
        <w:t xml:space="preserve">. In some cases, the Department may approve an extension of a Participant’s Suspension beyond 12 months, for example if the Participant is on parental leave. Where approved, the Provider may extend the Suspension period for a further 13 weeks. This may be done multiple times, with approval. Providers should follow their Organisation’s communication protocol to submit a request to the Department's Account Manager for </w:t>
      </w:r>
      <w:r w:rsidR="000C6C3D">
        <w:t xml:space="preserve">Ongoing Support </w:t>
      </w:r>
      <w:r w:rsidR="00D74559" w:rsidRPr="0114377B">
        <w:t xml:space="preserve">Suspension extensions. </w:t>
      </w:r>
    </w:p>
    <w:p w14:paraId="741EC000" w14:textId="77777777" w:rsidR="00D74559" w:rsidRDefault="00D74559" w:rsidP="006D1645">
      <w:pPr>
        <w:pStyle w:val="Heading5"/>
      </w:pPr>
      <w:r>
        <w:t>When a Participant is unable to meet the 8-hour Employment requirement</w:t>
      </w:r>
    </w:p>
    <w:p w14:paraId="5AB8C7FE" w14:textId="539ACEAC" w:rsidR="00D74559" w:rsidRPr="00FB7CD7" w:rsidRDefault="00D74559" w:rsidP="00E83FE4">
      <w:r w:rsidRPr="0114377B">
        <w:t>Unless exempt, Participants must work at an average of at least 8 or more hours per week to receive Ongoing Support. If the hours of Employment for an Ongoing Support Participant fall below 8</w:t>
      </w:r>
      <w:r>
        <w:t xml:space="preserve"> </w:t>
      </w:r>
      <w:r w:rsidRPr="0114377B">
        <w:t>hours per week on average, the Provider should Suspend delivery of Ongoing Support until the hours increase or the Provider assesses that the Participant should be Exited as outlined in</w:t>
      </w:r>
      <w:r w:rsidR="000676DC">
        <w:t xml:space="preserve"> </w:t>
      </w:r>
      <w:r w:rsidR="000676DC">
        <w:rPr>
          <w:highlight w:val="yellow"/>
        </w:rPr>
        <w:fldChar w:fldCharType="begin"/>
      </w:r>
      <w:r w:rsidR="000676DC">
        <w:instrText xml:space="preserve"> REF _Ref202892022 \h </w:instrText>
      </w:r>
      <w:r w:rsidR="000676DC">
        <w:rPr>
          <w:highlight w:val="yellow"/>
        </w:rPr>
      </w:r>
      <w:r w:rsidR="000676DC">
        <w:rPr>
          <w:highlight w:val="yellow"/>
        </w:rPr>
        <w:fldChar w:fldCharType="separate"/>
      </w:r>
      <w:r w:rsidR="000D75AE">
        <w:t>10.8.2</w:t>
      </w:r>
      <w:r w:rsidR="004572F7">
        <w:t xml:space="preserve"> </w:t>
      </w:r>
      <w:r w:rsidR="000D75AE">
        <w:t>Exits from Ongoing Support</w:t>
      </w:r>
      <w:r w:rsidR="000676DC">
        <w:rPr>
          <w:highlight w:val="yellow"/>
        </w:rPr>
        <w:fldChar w:fldCharType="end"/>
      </w:r>
      <w:r w:rsidRPr="0114377B">
        <w:t xml:space="preserve">. </w:t>
      </w:r>
    </w:p>
    <w:p w14:paraId="7DDD4F2F" w14:textId="74F77AE4" w:rsidR="00D74559" w:rsidRDefault="00D74559" w:rsidP="00E83FE4">
      <w:r w:rsidRPr="00160F27">
        <w:rPr>
          <w:b/>
          <w:bCs/>
        </w:rPr>
        <w:t>Note:</w:t>
      </w:r>
      <w:r>
        <w:t xml:space="preserve"> Exempt </w:t>
      </w:r>
      <w:r w:rsidR="00933845">
        <w:t>P</w:t>
      </w:r>
      <w:r>
        <w:t>articipants include Participants with an Employment Benchmark of less than 8</w:t>
      </w:r>
      <w:r w:rsidR="00B4704F">
        <w:t xml:space="preserve"> hours</w:t>
      </w:r>
      <w:r>
        <w:t xml:space="preserve">, Ongoing Support (Work Assist) Participants and ‘grandfathered’ Participants who have continued to receive Ongoing Support since before 1 July 2018, as outlined in </w:t>
      </w:r>
      <w:r w:rsidR="00E83FE4">
        <w:fldChar w:fldCharType="begin"/>
      </w:r>
      <w:r w:rsidR="00E83FE4">
        <w:instrText xml:space="preserve"> REF _Ref202780305 \h  \* MERGEFORMAT </w:instrText>
      </w:r>
      <w:r w:rsidR="00E83FE4">
        <w:fldChar w:fldCharType="separate"/>
      </w:r>
      <w:r w:rsidR="000D75AE">
        <w:t>10.7</w:t>
      </w:r>
      <w:r w:rsidR="004572F7">
        <w:t xml:space="preserve"> </w:t>
      </w:r>
      <w:r w:rsidR="000D75AE">
        <w:t>When Ongoing Support can be provided</w:t>
      </w:r>
      <w:r w:rsidR="00E83FE4">
        <w:fldChar w:fldCharType="end"/>
      </w:r>
      <w:r>
        <w:t>.</w:t>
      </w:r>
    </w:p>
    <w:p w14:paraId="2524AE4C" w14:textId="4D0149D4" w:rsidR="00925521" w:rsidRDefault="00925521" w:rsidP="00B04B04">
      <w:pPr>
        <w:pStyle w:val="Heading5"/>
      </w:pPr>
      <w:r>
        <w:t xml:space="preserve">When a </w:t>
      </w:r>
      <w:r w:rsidR="00432B80">
        <w:t>Participant receiving Ongoing Support is tracking towards an Employment Outcome</w:t>
      </w:r>
    </w:p>
    <w:p w14:paraId="48046D19" w14:textId="553277EF" w:rsidR="005F6725" w:rsidRPr="005F6725" w:rsidRDefault="00317A69" w:rsidP="005F6725">
      <w:r>
        <w:t xml:space="preserve">In addition to the Suspension provisions </w:t>
      </w:r>
      <w:r w:rsidR="001010DF">
        <w:t xml:space="preserve">outlined above, </w:t>
      </w:r>
      <w:r w:rsidR="00EA5C25">
        <w:t xml:space="preserve">if an Ongoing </w:t>
      </w:r>
      <w:r w:rsidR="00E65CC5">
        <w:t xml:space="preserve">Support Participant is tracking </w:t>
      </w:r>
      <w:r w:rsidR="00C61BDD">
        <w:t>towards a 52 week Employment Outcome, the</w:t>
      </w:r>
      <w:r w:rsidR="004779DF">
        <w:t xml:space="preserve">y may </w:t>
      </w:r>
      <w:r w:rsidR="0061364C">
        <w:t xml:space="preserve">have </w:t>
      </w:r>
      <w:r w:rsidR="00D12652">
        <w:t xml:space="preserve">a </w:t>
      </w:r>
      <w:r w:rsidR="0061364C">
        <w:t xml:space="preserve">short break in Employment </w:t>
      </w:r>
      <w:r w:rsidR="00D12652">
        <w:t>for</w:t>
      </w:r>
      <w:r w:rsidR="00F10E4B">
        <w:t xml:space="preserve"> a Permissible Break or Voluntary Change in Employment</w:t>
      </w:r>
      <w:r w:rsidR="00B67494">
        <w:t xml:space="preserve">. Further </w:t>
      </w:r>
      <w:r w:rsidR="00DD3B81">
        <w:t>information</w:t>
      </w:r>
      <w:r w:rsidR="00B67494">
        <w:t xml:space="preserve"> about </w:t>
      </w:r>
      <w:r w:rsidR="00F05A69">
        <w:t>Permissible Break</w:t>
      </w:r>
      <w:r w:rsidR="00B67494">
        <w:t>s</w:t>
      </w:r>
      <w:r w:rsidR="00F05A69">
        <w:t xml:space="preserve"> and Voluntary </w:t>
      </w:r>
      <w:r w:rsidR="009B1F8D">
        <w:t>Change</w:t>
      </w:r>
      <w:r w:rsidR="00B67494">
        <w:t>s</w:t>
      </w:r>
      <w:r w:rsidR="009B1F8D">
        <w:t xml:space="preserve"> in Employment </w:t>
      </w:r>
      <w:r w:rsidR="009015CB">
        <w:t>is at</w:t>
      </w:r>
      <w:r w:rsidR="000676DC">
        <w:t xml:space="preserve"> </w:t>
      </w:r>
      <w:r w:rsidR="000676DC">
        <w:rPr>
          <w:highlight w:val="yellow"/>
        </w:rPr>
        <w:fldChar w:fldCharType="begin"/>
      </w:r>
      <w:r w:rsidR="000676DC">
        <w:instrText xml:space="preserve"> REF _Ref202892065 \h </w:instrText>
      </w:r>
      <w:r w:rsidR="000676DC">
        <w:rPr>
          <w:highlight w:val="yellow"/>
        </w:rPr>
      </w:r>
      <w:r w:rsidR="000676DC">
        <w:rPr>
          <w:highlight w:val="yellow"/>
        </w:rPr>
        <w:fldChar w:fldCharType="separate"/>
      </w:r>
      <w:r w:rsidR="000D75AE">
        <w:t>9.5.3</w:t>
      </w:r>
      <w:r w:rsidR="004572F7">
        <w:t xml:space="preserve"> </w:t>
      </w:r>
      <w:r w:rsidR="000D75AE" w:rsidRPr="25249C38">
        <w:t>Permissible Breaks</w:t>
      </w:r>
      <w:r w:rsidR="000D75AE">
        <w:t xml:space="preserve"> and Voluntary Changes in Employment</w:t>
      </w:r>
      <w:r w:rsidR="000676DC">
        <w:rPr>
          <w:highlight w:val="yellow"/>
        </w:rPr>
        <w:fldChar w:fldCharType="end"/>
      </w:r>
      <w:r w:rsidR="00197887">
        <w:t>.</w:t>
      </w:r>
    </w:p>
    <w:p w14:paraId="2E33BE34" w14:textId="62D6D963" w:rsidR="00D74559" w:rsidRPr="00FB7CD7" w:rsidRDefault="00D74559" w:rsidP="001D0F92">
      <w:pPr>
        <w:pStyle w:val="Heading4"/>
      </w:pPr>
      <w:bookmarkStart w:id="456" w:name="_Ref202887730"/>
      <w:bookmarkStart w:id="457" w:name="_Ref202892022"/>
      <w:bookmarkStart w:id="458" w:name="_Toc202900078"/>
      <w:r>
        <w:t>10.8.2</w:t>
      </w:r>
      <w:r w:rsidR="00F83342">
        <w:tab/>
      </w:r>
      <w:r>
        <w:t>Exits from Ongoing Support</w:t>
      </w:r>
      <w:bookmarkEnd w:id="456"/>
      <w:bookmarkEnd w:id="457"/>
      <w:bookmarkEnd w:id="458"/>
    </w:p>
    <w:p w14:paraId="12149BBF" w14:textId="237C3BB5" w:rsidR="00D74559" w:rsidRDefault="00D74559" w:rsidP="006E2EF5">
      <w:r>
        <w:t xml:space="preserve">The Department’s IT Systems will automatically Exit any Participant </w:t>
      </w:r>
      <w:r w:rsidR="00FE0A03">
        <w:t xml:space="preserve">receiving </w:t>
      </w:r>
      <w:r>
        <w:t xml:space="preserve">Ongoing Support who has not received any </w:t>
      </w:r>
      <w:r w:rsidR="00A92FCE">
        <w:t xml:space="preserve">Flexible </w:t>
      </w:r>
      <w:r>
        <w:t xml:space="preserve">Ongoing Support </w:t>
      </w:r>
      <w:r w:rsidR="00BC109F">
        <w:t>Instances</w:t>
      </w:r>
      <w:r>
        <w:t xml:space="preserve"> for </w:t>
      </w:r>
      <w:r w:rsidR="00797FF2">
        <w:t>any period of</w:t>
      </w:r>
      <w:r>
        <w:t xml:space="preserve"> 52 </w:t>
      </w:r>
      <w:r w:rsidR="00DC4453">
        <w:t>C</w:t>
      </w:r>
      <w:r>
        <w:t xml:space="preserve">onsecutive </w:t>
      </w:r>
      <w:r w:rsidR="00DC4453">
        <w:t>W</w:t>
      </w:r>
      <w:r>
        <w:t>eeks.</w:t>
      </w:r>
    </w:p>
    <w:p w14:paraId="3BA7B379" w14:textId="0C3F7B9D" w:rsidR="00D74559" w:rsidRPr="00FB7CD7" w:rsidRDefault="00D74559" w:rsidP="006E2EF5">
      <w:r w:rsidRPr="7F65F737">
        <w:t xml:space="preserve">Providers must </w:t>
      </w:r>
      <w:r>
        <w:t>E</w:t>
      </w:r>
      <w:r w:rsidRPr="7F65F737">
        <w:t>xit a</w:t>
      </w:r>
      <w:r w:rsidR="00FA3231">
        <w:t>n</w:t>
      </w:r>
      <w:r w:rsidR="00B06C2A">
        <w:t xml:space="preserve"> </w:t>
      </w:r>
      <w:r>
        <w:t>Ongoing Support</w:t>
      </w:r>
      <w:r w:rsidRPr="7F65F737">
        <w:t xml:space="preserve"> Participant </w:t>
      </w:r>
      <w:r w:rsidR="00B06C2A">
        <w:t xml:space="preserve">from Inclusive Employment Australia </w:t>
      </w:r>
      <w:r w:rsidRPr="7F65F737">
        <w:t>if:</w:t>
      </w:r>
    </w:p>
    <w:p w14:paraId="2CE4D3F1" w14:textId="2E2E0029" w:rsidR="00BF06FC" w:rsidRDefault="00BF06FC" w:rsidP="004E120D">
      <w:pPr>
        <w:pStyle w:val="BulletLevel1"/>
      </w:pPr>
      <w:r>
        <w:t xml:space="preserve">the Provider decides </w:t>
      </w:r>
      <w:r w:rsidR="00BC78FF">
        <w:t>the Participant no longer requires</w:t>
      </w:r>
      <w:r w:rsidR="00A74506">
        <w:t xml:space="preserve"> Ongoing Support</w:t>
      </w:r>
      <w:r w:rsidR="00C429BD">
        <w:t>, unless the Particip</w:t>
      </w:r>
      <w:r w:rsidR="00E10AA9">
        <w:t>ant</w:t>
      </w:r>
      <w:r w:rsidR="00C429BD">
        <w:t xml:space="preserve"> is moved back to </w:t>
      </w:r>
      <w:r w:rsidR="00E10AA9">
        <w:t>Post Placement</w:t>
      </w:r>
      <w:r>
        <w:t xml:space="preserve"> Support </w:t>
      </w:r>
      <w:r w:rsidR="00F5106F">
        <w:t>because they are tracking towards a 52</w:t>
      </w:r>
      <w:r w:rsidR="00091FF9">
        <w:t>-</w:t>
      </w:r>
      <w:r w:rsidR="00F5106F">
        <w:t>week Employment Outcome</w:t>
      </w:r>
    </w:p>
    <w:p w14:paraId="2291C957" w14:textId="6A9577A4" w:rsidR="00A74506" w:rsidRDefault="003D484C" w:rsidP="00A74506">
      <w:pPr>
        <w:pStyle w:val="BulletLevel1"/>
      </w:pPr>
      <w:r>
        <w:t xml:space="preserve">an OSA recommends </w:t>
      </w:r>
      <w:r w:rsidR="00F17DAC">
        <w:t>the</w:t>
      </w:r>
      <w:r>
        <w:t xml:space="preserve"> Participant no longer </w:t>
      </w:r>
      <w:r w:rsidR="00A74506">
        <w:t>requires Ongoing Support, unless the Participant is moved back to Post Placement Support because they are tracking towards a 52</w:t>
      </w:r>
      <w:r w:rsidR="00F17DAC">
        <w:t>-</w:t>
      </w:r>
      <w:r w:rsidR="00A74506">
        <w:t>week Employment Outcome</w:t>
      </w:r>
    </w:p>
    <w:p w14:paraId="3DC52B4F" w14:textId="482FD334" w:rsidR="00036F3C" w:rsidRDefault="00906630" w:rsidP="004E120D">
      <w:pPr>
        <w:pStyle w:val="BulletLevel1"/>
      </w:pPr>
      <w:r>
        <w:t>the</w:t>
      </w:r>
      <w:r w:rsidR="00A74506">
        <w:t xml:space="preserve"> Participant</w:t>
      </w:r>
      <w:r w:rsidR="00C85849">
        <w:t xml:space="preserve"> </w:t>
      </w:r>
      <w:r w:rsidR="00A74506">
        <w:t>has achieved</w:t>
      </w:r>
      <w:r w:rsidR="00C85849">
        <w:t xml:space="preserve"> </w:t>
      </w:r>
      <w:r w:rsidR="00E21AE7">
        <w:t xml:space="preserve">a 52-week Employment Outcome and </w:t>
      </w:r>
      <w:r w:rsidR="001F0693">
        <w:t>requests to leave Ongoing Support</w:t>
      </w:r>
      <w:r w:rsidR="00473DD2">
        <w:t xml:space="preserve">, </w:t>
      </w:r>
      <w:r w:rsidR="00036F3C">
        <w:t>and is:</w:t>
      </w:r>
    </w:p>
    <w:p w14:paraId="7E663575" w14:textId="77777777" w:rsidR="00036F3C" w:rsidRPr="002A7398" w:rsidRDefault="00036F3C" w:rsidP="002A7398">
      <w:pPr>
        <w:pStyle w:val="BulletLevel2"/>
      </w:pPr>
      <w:r w:rsidRPr="002F4A83">
        <w:t xml:space="preserve">Fully Meeting their </w:t>
      </w:r>
      <w:r w:rsidRPr="002A7398">
        <w:t>Mutual Obligation Requirements or has an Exemption, or</w:t>
      </w:r>
    </w:p>
    <w:p w14:paraId="605250A3" w14:textId="70E0DDE2" w:rsidR="00F5106F" w:rsidRDefault="00036F3C" w:rsidP="002A7398">
      <w:pPr>
        <w:pStyle w:val="BulletLevel2"/>
      </w:pPr>
      <w:r w:rsidRPr="002A7398">
        <w:t>a Volunteer (Non-Mutual</w:t>
      </w:r>
      <w:r w:rsidRPr="002F4A83">
        <w:t xml:space="preserve"> Obligation)</w:t>
      </w:r>
    </w:p>
    <w:p w14:paraId="52C75AC9" w14:textId="6DC64116" w:rsidR="00590E8A" w:rsidRDefault="00906630" w:rsidP="004E120D">
      <w:pPr>
        <w:pStyle w:val="BulletLevel1"/>
      </w:pPr>
      <w:r>
        <w:t>the</w:t>
      </w:r>
      <w:r w:rsidR="0045204A">
        <w:t xml:space="preserve"> Participant</w:t>
      </w:r>
      <w:r w:rsidR="00741F88">
        <w:t xml:space="preserve"> ceases to be in Employment, Unsubsidised Self-Employment</w:t>
      </w:r>
      <w:r w:rsidR="00AE4905">
        <w:t xml:space="preserve">, </w:t>
      </w:r>
      <w:r w:rsidR="00781067">
        <w:t>Traineeship or Apprenticeship</w:t>
      </w:r>
      <w:r w:rsidR="00DB0149">
        <w:t xml:space="preserve"> </w:t>
      </w:r>
      <w:r w:rsidR="004A2BA5">
        <w:t>(</w:t>
      </w:r>
      <w:r w:rsidR="00DB0149">
        <w:t>excluding any time during a Voluntary Change in Employment</w:t>
      </w:r>
      <w:r w:rsidR="004A2BA5">
        <w:t>)</w:t>
      </w:r>
      <w:r w:rsidR="00DB0149">
        <w:t xml:space="preserve">, unless the Participant </w:t>
      </w:r>
      <w:r w:rsidR="00FD0F9B">
        <w:t>is</w:t>
      </w:r>
      <w:r w:rsidR="00E02E1E">
        <w:t xml:space="preserve"> moved back to Pre-Employment Support</w:t>
      </w:r>
      <w:r w:rsidR="00590E8A">
        <w:t>, or</w:t>
      </w:r>
    </w:p>
    <w:p w14:paraId="54A85E51" w14:textId="0C2FF673" w:rsidR="00E10AA9" w:rsidRDefault="009D43E9" w:rsidP="004E120D">
      <w:pPr>
        <w:pStyle w:val="BulletLevel1"/>
      </w:pPr>
      <w:r w:rsidRPr="7F65F737">
        <w:t xml:space="preserve">the Participant is in Moderate or High </w:t>
      </w:r>
      <w:r>
        <w:t>Ongoing Support</w:t>
      </w:r>
      <w:r w:rsidRPr="7F65F737">
        <w:t xml:space="preserve"> and </w:t>
      </w:r>
      <w:r>
        <w:t>Ongoing Support</w:t>
      </w:r>
      <w:r w:rsidRPr="7F65F737">
        <w:t xml:space="preserve"> has been </w:t>
      </w:r>
      <w:r>
        <w:t>S</w:t>
      </w:r>
      <w:r w:rsidRPr="7F65F737">
        <w:t>uspended for more than 12 months (unless otherwise agreed by the Department</w:t>
      </w:r>
      <w:r>
        <w:t xml:space="preserve"> as outlined in </w:t>
      </w:r>
      <w:r w:rsidR="00124E91">
        <w:fldChar w:fldCharType="begin"/>
      </w:r>
      <w:r w:rsidR="00124E91">
        <w:instrText xml:space="preserve"> REF _Ref202785347 \h </w:instrText>
      </w:r>
      <w:r w:rsidR="00124E91">
        <w:fldChar w:fldCharType="separate"/>
      </w:r>
      <w:r w:rsidR="000D75AE">
        <w:t>10.8.1</w:t>
      </w:r>
      <w:r w:rsidR="004572F7">
        <w:t xml:space="preserve"> </w:t>
      </w:r>
      <w:r w:rsidR="000D75AE">
        <w:t>Suspending Ongoing Support</w:t>
      </w:r>
      <w:r w:rsidR="00124E91">
        <w:fldChar w:fldCharType="end"/>
      </w:r>
      <w:r w:rsidRPr="7F65F737">
        <w:t>)</w:t>
      </w:r>
      <w:r w:rsidR="00473DD2">
        <w:t>.</w:t>
      </w:r>
    </w:p>
    <w:p w14:paraId="0382256F" w14:textId="55B159D9" w:rsidR="00473DD2" w:rsidRDefault="0089774A" w:rsidP="00E83FE4">
      <w:r>
        <w:t xml:space="preserve">Providers must Exit </w:t>
      </w:r>
      <w:r w:rsidR="00FB0AD9">
        <w:t xml:space="preserve">an Ongoing Support (Work Assist) Participant from Inclusive </w:t>
      </w:r>
      <w:r w:rsidR="00250C64">
        <w:t>Employment Australia if</w:t>
      </w:r>
      <w:r w:rsidR="00433881">
        <w:t xml:space="preserve"> the</w:t>
      </w:r>
      <w:r w:rsidR="00250C64">
        <w:t>:</w:t>
      </w:r>
    </w:p>
    <w:p w14:paraId="04BCBC1D" w14:textId="0DEB925D" w:rsidR="00003833" w:rsidRDefault="005E3B61" w:rsidP="00003833">
      <w:pPr>
        <w:pStyle w:val="BulletLevel1"/>
      </w:pPr>
      <w:r>
        <w:t>Provider considers the Participant no longer requires Ongoing Support</w:t>
      </w:r>
    </w:p>
    <w:p w14:paraId="41E33A06" w14:textId="084DAD09" w:rsidR="00097B17" w:rsidRDefault="00003833">
      <w:pPr>
        <w:pStyle w:val="BulletLevel1"/>
      </w:pPr>
      <w:r>
        <w:t xml:space="preserve">OSA recommends the </w:t>
      </w:r>
      <w:r w:rsidR="00097B17">
        <w:t>Participant no longer requires Ongoing Support</w:t>
      </w:r>
    </w:p>
    <w:p w14:paraId="411CABEE" w14:textId="215AB4D5" w:rsidR="009D43E9" w:rsidRDefault="003B3CC4" w:rsidP="004E120D">
      <w:pPr>
        <w:pStyle w:val="BulletLevel1"/>
      </w:pPr>
      <w:r>
        <w:t xml:space="preserve">Participant </w:t>
      </w:r>
      <w:r w:rsidR="006E5EF2">
        <w:t>requests to leave Ongoing Support</w:t>
      </w:r>
    </w:p>
    <w:p w14:paraId="7054D87F" w14:textId="06ACE7FF" w:rsidR="00097B17" w:rsidRDefault="00097B17" w:rsidP="004E120D">
      <w:pPr>
        <w:pStyle w:val="BulletLevel1"/>
      </w:pPr>
      <w:r>
        <w:t>Participant ceases to be in Employment, Unsubsidised Self-Employment, Traineeship or Apprenticeship, or</w:t>
      </w:r>
    </w:p>
    <w:p w14:paraId="547B7EDD" w14:textId="270E5F76" w:rsidR="009D43E9" w:rsidRDefault="009D43E9" w:rsidP="009D43E9">
      <w:pPr>
        <w:pStyle w:val="BulletLevel1"/>
      </w:pPr>
      <w:r w:rsidRPr="7F65F737">
        <w:t xml:space="preserve">Participant is in Moderate or High </w:t>
      </w:r>
      <w:r>
        <w:t>Ongoing Support</w:t>
      </w:r>
      <w:r w:rsidRPr="7F65F737">
        <w:t xml:space="preserve"> and </w:t>
      </w:r>
      <w:r>
        <w:t>Ongoing Support</w:t>
      </w:r>
      <w:r w:rsidRPr="7F65F737">
        <w:t xml:space="preserve"> has been </w:t>
      </w:r>
      <w:r>
        <w:t>S</w:t>
      </w:r>
      <w:r w:rsidRPr="7F65F737">
        <w:t>uspended for more than 12 months (unless otherwise agreed by the Department</w:t>
      </w:r>
      <w:r>
        <w:t xml:space="preserve"> as outlined in </w:t>
      </w:r>
      <w:r w:rsidR="00124E91">
        <w:fldChar w:fldCharType="begin"/>
      </w:r>
      <w:r w:rsidR="00124E91">
        <w:instrText xml:space="preserve"> REF _Ref202785347 \h </w:instrText>
      </w:r>
      <w:r w:rsidR="00124E91">
        <w:fldChar w:fldCharType="separate"/>
      </w:r>
      <w:r w:rsidR="000D75AE">
        <w:t>10.8.1</w:t>
      </w:r>
      <w:r w:rsidR="004572F7">
        <w:t xml:space="preserve"> </w:t>
      </w:r>
      <w:r w:rsidR="000D75AE">
        <w:t>Suspending Ongoing Support</w:t>
      </w:r>
      <w:r w:rsidR="00124E91">
        <w:fldChar w:fldCharType="end"/>
      </w:r>
      <w:r w:rsidRPr="7F65F737">
        <w:t>)</w:t>
      </w:r>
      <w:r w:rsidR="00097B17">
        <w:t>.</w:t>
      </w:r>
    </w:p>
    <w:p w14:paraId="5ABDF6E7" w14:textId="368DF614" w:rsidR="00B1077F" w:rsidRDefault="00D74559" w:rsidP="00AA3E43">
      <w:r w:rsidRPr="435DA128">
        <w:rPr>
          <w:b/>
          <w:bCs/>
        </w:rPr>
        <w:t>Note:</w:t>
      </w:r>
      <w:r>
        <w:t xml:space="preserve"> Participants who have been Exited </w:t>
      </w:r>
      <w:r w:rsidR="006A045E">
        <w:t xml:space="preserve">from Inclusive Employment Australia </w:t>
      </w:r>
      <w:r>
        <w:t xml:space="preserve">but are still in Employment may re-enter </w:t>
      </w:r>
      <w:r w:rsidR="00202A96">
        <w:t>Inclusive Employment Australia</w:t>
      </w:r>
      <w:r>
        <w:t xml:space="preserve"> </w:t>
      </w:r>
      <w:r w:rsidR="00735CA1">
        <w:t xml:space="preserve">as an </w:t>
      </w:r>
      <w:r>
        <w:t xml:space="preserve">Ongoing Support (Work Assist) </w:t>
      </w:r>
      <w:r w:rsidR="00735CA1">
        <w:t xml:space="preserve">Participant </w:t>
      </w:r>
      <w:r>
        <w:t xml:space="preserve">if they need Ongoing Support again in the future. </w:t>
      </w:r>
    </w:p>
    <w:p w14:paraId="056429EE" w14:textId="7038BAC8" w:rsidR="00D74559" w:rsidRPr="0062105D" w:rsidRDefault="00D74559" w:rsidP="00E83FE4">
      <w:pPr>
        <w:pStyle w:val="DeedReferences"/>
      </w:pPr>
      <w:r>
        <w:t>(</w:t>
      </w:r>
      <w:r w:rsidR="00A73420">
        <w:t xml:space="preserve">Deed Reference(s): Clause </w:t>
      </w:r>
      <w:r>
        <w:t>12</w:t>
      </w:r>
      <w:r w:rsidR="00E7549C">
        <w:t>6</w:t>
      </w:r>
      <w:r>
        <w:t xml:space="preserve">.1(b), </w:t>
      </w:r>
      <w:r w:rsidR="00B4385B">
        <w:t xml:space="preserve">128, </w:t>
      </w:r>
      <w:r w:rsidR="00367F18">
        <w:t xml:space="preserve">132.1(e), </w:t>
      </w:r>
      <w:r>
        <w:t>15</w:t>
      </w:r>
      <w:r w:rsidR="00E76C31">
        <w:t>4</w:t>
      </w:r>
      <w:r>
        <w:t>.</w:t>
      </w:r>
      <w:r w:rsidR="003236DD">
        <w:t xml:space="preserve">12, </w:t>
      </w:r>
      <w:r>
        <w:t>15</w:t>
      </w:r>
      <w:r w:rsidR="00E76C31">
        <w:t>4</w:t>
      </w:r>
      <w:r>
        <w:t>.13)</w:t>
      </w:r>
    </w:p>
    <w:p w14:paraId="6EA934D9" w14:textId="24A73360" w:rsidR="00D74559" w:rsidRPr="00257EB6" w:rsidRDefault="00D74559" w:rsidP="001D0F92">
      <w:pPr>
        <w:pStyle w:val="Heading3"/>
      </w:pPr>
      <w:bookmarkStart w:id="459" w:name="_Toc182576264"/>
      <w:bookmarkStart w:id="460" w:name="Work_Assist_chapter"/>
      <w:bookmarkStart w:id="461" w:name="_Toc202900079"/>
      <w:r>
        <w:t>10.9</w:t>
      </w:r>
      <w:r w:rsidR="00F83342">
        <w:tab/>
      </w:r>
      <w:r>
        <w:t>Additional considerations for Ongoing Support (Work Assist</w:t>
      </w:r>
      <w:bookmarkEnd w:id="459"/>
      <w:bookmarkEnd w:id="460"/>
      <w:r>
        <w:t>) Participants</w:t>
      </w:r>
      <w:bookmarkEnd w:id="461"/>
    </w:p>
    <w:p w14:paraId="23F8BE87" w14:textId="3C4107E4" w:rsidR="000D46E6" w:rsidRDefault="00E6308A" w:rsidP="00E83FE4">
      <w:r>
        <w:t>E</w:t>
      </w:r>
      <w:r w:rsidR="00D369FA">
        <w:t xml:space="preserve">mployees who are already in Employment (not currently in </w:t>
      </w:r>
      <w:r w:rsidR="00202A96">
        <w:t>Inclusive Employment Australia</w:t>
      </w:r>
      <w:r w:rsidR="00D369FA">
        <w:t xml:space="preserve"> or </w:t>
      </w:r>
      <w:r w:rsidR="000D46E6">
        <w:t xml:space="preserve">an </w:t>
      </w:r>
      <w:r w:rsidR="005A6A92">
        <w:t>Other Employment Service</w:t>
      </w:r>
      <w:r w:rsidR="00D369FA">
        <w:t>)</w:t>
      </w:r>
      <w:r w:rsidR="002D0AF8">
        <w:t xml:space="preserve"> may be</w:t>
      </w:r>
      <w:r w:rsidR="00A40923">
        <w:t xml:space="preserve">come an </w:t>
      </w:r>
      <w:r w:rsidR="00202A96">
        <w:t>Inclusive Employment Australia</w:t>
      </w:r>
      <w:r w:rsidR="00A40923">
        <w:t xml:space="preserve"> </w:t>
      </w:r>
      <w:r w:rsidR="002E6B80">
        <w:t xml:space="preserve">Participant to </w:t>
      </w:r>
      <w:r w:rsidR="00B153EB">
        <w:t xml:space="preserve">access Ongoing Support because they are </w:t>
      </w:r>
      <w:r w:rsidR="00B440ED">
        <w:t>experiencing</w:t>
      </w:r>
      <w:r w:rsidR="00B153EB">
        <w:t xml:space="preserve"> difficulty </w:t>
      </w:r>
      <w:r w:rsidR="00FA0E07">
        <w:t>performing the essential functions of their job</w:t>
      </w:r>
      <w:r w:rsidR="00604AF4">
        <w:t xml:space="preserve"> </w:t>
      </w:r>
      <w:r w:rsidR="0005631A">
        <w:t>due to their disability, injury or health condition.</w:t>
      </w:r>
    </w:p>
    <w:p w14:paraId="563F58B1" w14:textId="010D9361" w:rsidR="00D369FA" w:rsidRPr="009764F4" w:rsidRDefault="00531DFE" w:rsidP="00E83FE4">
      <w:r>
        <w:t>Some of t</w:t>
      </w:r>
      <w:r w:rsidR="00A157FC">
        <w:t>hese Participant</w:t>
      </w:r>
      <w:r w:rsidR="008F5FE8">
        <w:t>s</w:t>
      </w:r>
      <w:r w:rsidR="00A157FC">
        <w:t xml:space="preserve"> may have found their own </w:t>
      </w:r>
      <w:r w:rsidR="008F5FE8">
        <w:t>E</w:t>
      </w:r>
      <w:r w:rsidR="00A157FC">
        <w:t xml:space="preserve">mployment </w:t>
      </w:r>
      <w:r w:rsidR="008F5FE8">
        <w:t xml:space="preserve">and </w:t>
      </w:r>
      <w:r w:rsidR="00D369FA">
        <w:t xml:space="preserve">may have never interacted with </w:t>
      </w:r>
      <w:r w:rsidR="00202A96">
        <w:t>Inclusive Employment Australia</w:t>
      </w:r>
      <w:r w:rsidR="00D369FA">
        <w:t xml:space="preserve"> or </w:t>
      </w:r>
      <w:r w:rsidR="008F5FE8">
        <w:t>an</w:t>
      </w:r>
      <w:r w:rsidR="00D53284">
        <w:t xml:space="preserve"> </w:t>
      </w:r>
      <w:r w:rsidR="00EA397F">
        <w:t>Other Employment Service</w:t>
      </w:r>
      <w:r w:rsidR="00D369FA">
        <w:t xml:space="preserve"> before. </w:t>
      </w:r>
      <w:r w:rsidR="008F5FE8">
        <w:t>Other</w:t>
      </w:r>
      <w:r>
        <w:t xml:space="preserve">s may </w:t>
      </w:r>
      <w:r w:rsidR="008205F2">
        <w:t xml:space="preserve">be former </w:t>
      </w:r>
      <w:r w:rsidR="0074227B">
        <w:t>Participants</w:t>
      </w:r>
      <w:r w:rsidR="00421AE6">
        <w:t xml:space="preserve"> who </w:t>
      </w:r>
      <w:r w:rsidR="00334D7E">
        <w:t xml:space="preserve">have Exited </w:t>
      </w:r>
      <w:r w:rsidR="00202A96">
        <w:t>Inclusive Employment Australia</w:t>
      </w:r>
      <w:r w:rsidR="003D7673">
        <w:t xml:space="preserve"> and then </w:t>
      </w:r>
      <w:r w:rsidR="006E12F8">
        <w:t xml:space="preserve">commence in </w:t>
      </w:r>
      <w:r w:rsidR="00202A96">
        <w:t>Inclusive Employment Australia</w:t>
      </w:r>
      <w:r w:rsidR="006E12F8">
        <w:t xml:space="preserve"> again as an Ongoing Support (Work Assist) </w:t>
      </w:r>
      <w:r w:rsidR="00C812DF">
        <w:t>Participant</w:t>
      </w:r>
      <w:r w:rsidR="00640028">
        <w:t xml:space="preserve"> because </w:t>
      </w:r>
      <w:r w:rsidR="00322160">
        <w:t xml:space="preserve">there has been a change in their circumstances that is affecting their </w:t>
      </w:r>
      <w:r w:rsidR="002A652F">
        <w:t>E</w:t>
      </w:r>
      <w:r w:rsidR="00024D2C">
        <w:t>mployment.</w:t>
      </w:r>
      <w:r w:rsidR="00131CEE">
        <w:t xml:space="preserve"> </w:t>
      </w:r>
    </w:p>
    <w:p w14:paraId="547F8804" w14:textId="43E9A1C5" w:rsidR="00D74559" w:rsidRPr="00FB7CD7" w:rsidRDefault="00D74559" w:rsidP="00E83FE4">
      <w:r w:rsidRPr="0114377B">
        <w:t xml:space="preserve">Ongoing Support (Work Assist) Participants do not have an Employment Benchmark. Providers must address the Participant’s Employment barriers and build their </w:t>
      </w:r>
      <w:bookmarkStart w:id="462" w:name="_Int_uEaztG0X"/>
      <w:r w:rsidRPr="0114377B">
        <w:t>capacity</w:t>
      </w:r>
      <w:bookmarkEnd w:id="462"/>
      <w:r w:rsidRPr="0114377B">
        <w:t>, so Participants can keep or resume their usual hours of Employment.</w:t>
      </w:r>
    </w:p>
    <w:p w14:paraId="3B91E3FC" w14:textId="6EF5882C" w:rsidR="00D74559" w:rsidRPr="00A65666" w:rsidRDefault="00D74559" w:rsidP="00E83FE4">
      <w:r w:rsidRPr="62EC0267">
        <w:t xml:space="preserve">Ongoing Support (Work Assist) Participants receive the same supports as </w:t>
      </w:r>
      <w:r w:rsidR="00202A96">
        <w:t>Inclusive Employment Australia</w:t>
      </w:r>
      <w:r w:rsidR="00C10BE8">
        <w:t xml:space="preserve"> Participants who move from Post Placement Support to </w:t>
      </w:r>
      <w:r w:rsidRPr="62EC0267">
        <w:t xml:space="preserve">Ongoing Support. </w:t>
      </w:r>
    </w:p>
    <w:p w14:paraId="66E40EEA" w14:textId="1CCAFA94" w:rsidR="00D74559" w:rsidRPr="0076116D" w:rsidRDefault="00D74559" w:rsidP="00E83FE4">
      <w:r w:rsidRPr="0114377B">
        <w:t xml:space="preserve">There are some special conditions for </w:t>
      </w:r>
      <w:r w:rsidR="005B5632">
        <w:t>R</w:t>
      </w:r>
      <w:r w:rsidRPr="0114377B">
        <w:t xml:space="preserve">egistering, </w:t>
      </w:r>
      <w:r w:rsidR="00E63AFB">
        <w:t>commencing</w:t>
      </w:r>
      <w:r w:rsidRPr="0114377B">
        <w:t xml:space="preserve">, assessing and servicing Ongoing Support (Work Assist) Participants. </w:t>
      </w:r>
    </w:p>
    <w:p w14:paraId="561D1514" w14:textId="77777777" w:rsidR="00D74559" w:rsidRPr="0076116D" w:rsidRDefault="00D74559" w:rsidP="00E83FE4">
      <w:pPr>
        <w:rPr>
          <w:rFonts w:cstheme="minorHAnsi"/>
        </w:rPr>
      </w:pPr>
      <w:r>
        <w:rPr>
          <w:rFonts w:cstheme="minorHAnsi"/>
        </w:rPr>
        <w:t>Ongoing Support</w:t>
      </w:r>
      <w:r w:rsidRPr="0076116D">
        <w:rPr>
          <w:rFonts w:cstheme="minorHAnsi"/>
        </w:rPr>
        <w:t xml:space="preserve"> (Work Assist) Participants:</w:t>
      </w:r>
    </w:p>
    <w:p w14:paraId="34BE7396" w14:textId="0548F7F9" w:rsidR="00D74559" w:rsidRPr="002A7398" w:rsidRDefault="00F24523" w:rsidP="002A7398">
      <w:pPr>
        <w:pStyle w:val="BulletLevel1"/>
      </w:pPr>
      <w:r>
        <w:t xml:space="preserve">must </w:t>
      </w:r>
      <w:r w:rsidR="00D74559" w:rsidRPr="0076116D">
        <w:t>meet</w:t>
      </w:r>
      <w:r w:rsidR="00D74559">
        <w:t xml:space="preserve"> </w:t>
      </w:r>
      <w:r w:rsidR="00D74559" w:rsidRPr="002A7398">
        <w:t>the eligibility criteria to be Directly Registered as listed in</w:t>
      </w:r>
      <w:r w:rsidR="003E3F72" w:rsidRPr="002A7398">
        <w:t xml:space="preserve"> </w:t>
      </w:r>
      <w:r w:rsidR="003E3F72" w:rsidRPr="002A7398">
        <w:fldChar w:fldCharType="begin"/>
      </w:r>
      <w:r w:rsidR="003E3F72" w:rsidRPr="002A7398">
        <w:instrText xml:space="preserve"> REF _Ref202783302 \h </w:instrText>
      </w:r>
      <w:r w:rsidR="002A7398">
        <w:instrText xml:space="preserve"> \* MERGEFORMAT </w:instrText>
      </w:r>
      <w:r w:rsidR="003E3F72" w:rsidRPr="002A7398">
        <w:fldChar w:fldCharType="separate"/>
      </w:r>
      <w:r w:rsidR="000D75AE">
        <w:t>1.3.6Ongoing Support (Work Assist) Participants</w:t>
      </w:r>
      <w:r w:rsidR="003E3F72" w:rsidRPr="002A7398">
        <w:fldChar w:fldCharType="end"/>
      </w:r>
    </w:p>
    <w:p w14:paraId="09651ABC" w14:textId="77777777" w:rsidR="00D74559" w:rsidRPr="002A7398" w:rsidRDefault="00D74559" w:rsidP="002A7398">
      <w:pPr>
        <w:pStyle w:val="BulletLevel1"/>
      </w:pPr>
      <w:r w:rsidRPr="002A7398">
        <w:t>do not require an ESAt or JCA</w:t>
      </w:r>
    </w:p>
    <w:p w14:paraId="6DBC82BA" w14:textId="77777777" w:rsidR="004D6C53" w:rsidRPr="002A7398" w:rsidRDefault="004D6C53" w:rsidP="002A7398">
      <w:pPr>
        <w:pStyle w:val="BulletLevel1"/>
      </w:pPr>
      <w:r w:rsidRPr="002A7398">
        <w:t xml:space="preserve">do not have to work a minimum of 8 hours to continue receiving Ongoing Support </w:t>
      </w:r>
    </w:p>
    <w:p w14:paraId="06BF5E97" w14:textId="7A5A1AA1" w:rsidR="00D74559" w:rsidRPr="002A7398" w:rsidRDefault="00D74559" w:rsidP="002A7398">
      <w:pPr>
        <w:pStyle w:val="BulletLevel1"/>
      </w:pPr>
      <w:r w:rsidRPr="002A7398">
        <w:t>are not subject to the Initial Engagement Period</w:t>
      </w:r>
    </w:p>
    <w:p w14:paraId="769C747C" w14:textId="77777777" w:rsidR="00D74559" w:rsidRPr="002A7398" w:rsidRDefault="00D74559" w:rsidP="002A7398">
      <w:pPr>
        <w:pStyle w:val="BulletLevel1"/>
      </w:pPr>
      <w:r w:rsidRPr="002A7398">
        <w:t xml:space="preserve">can only receive Moderate Ongoing Support until the </w:t>
      </w:r>
      <w:bookmarkStart w:id="463" w:name="_Int_b7zrc1hJ"/>
      <w:r w:rsidRPr="002A7398">
        <w:t>initial</w:t>
      </w:r>
      <w:bookmarkEnd w:id="463"/>
      <w:r w:rsidRPr="002A7398">
        <w:t xml:space="preserve"> OSA is completed</w:t>
      </w:r>
    </w:p>
    <w:p w14:paraId="2DBCA000" w14:textId="083B4229" w:rsidR="00CC0FD3" w:rsidRPr="002A7398" w:rsidRDefault="00D74559" w:rsidP="002A7398">
      <w:pPr>
        <w:pStyle w:val="BulletLevel1"/>
      </w:pPr>
      <w:r w:rsidRPr="002A7398">
        <w:t>will have the</w:t>
      </w:r>
      <w:r w:rsidR="00CC0FD3" w:rsidRPr="002A7398">
        <w:t xml:space="preserve"> due date for </w:t>
      </w:r>
      <w:r w:rsidRPr="002A7398">
        <w:t xml:space="preserve">their first OSA review </w:t>
      </w:r>
      <w:r w:rsidR="00CC7CB4" w:rsidRPr="002A7398">
        <w:t xml:space="preserve">set 1-year from the date the </w:t>
      </w:r>
      <w:r w:rsidR="0018526B" w:rsidRPr="002A7398">
        <w:t>initial</w:t>
      </w:r>
      <w:r w:rsidR="00CC7CB4" w:rsidRPr="002A7398">
        <w:t xml:space="preserve"> OSA was completed</w:t>
      </w:r>
      <w:r w:rsidR="006B116E" w:rsidRPr="002A7398">
        <w:t>, and</w:t>
      </w:r>
    </w:p>
    <w:p w14:paraId="51F81724" w14:textId="100756DA" w:rsidR="00D74559" w:rsidRPr="0002693D" w:rsidRDefault="00D74559" w:rsidP="002A7398">
      <w:pPr>
        <w:pStyle w:val="BulletLevel1"/>
        <w:keepLines/>
        <w:rPr>
          <w:rFonts w:cstheme="minorHAnsi"/>
        </w:rPr>
      </w:pPr>
      <w:r w:rsidRPr="002A7398">
        <w:t xml:space="preserve">cannot </w:t>
      </w:r>
      <w:r w:rsidR="006B68B6" w:rsidRPr="002A7398">
        <w:t>in general</w:t>
      </w:r>
      <w:r w:rsidR="00214D8E" w:rsidRPr="002A7398">
        <w:t>*</w:t>
      </w:r>
      <w:r w:rsidRPr="002A7398">
        <w:t xml:space="preserve"> receive Flexible Ongoing Support prior to their first OSA review</w:t>
      </w:r>
      <w:r w:rsidR="001F3A2A" w:rsidRPr="002A7398">
        <w:t xml:space="preserve"> to allow the Provider and Ongoing Support (Work Assist) Participant adequate time and more regular contact </w:t>
      </w:r>
      <w:r w:rsidR="00B27CE7" w:rsidRPr="002A7398">
        <w:t>through Moderate</w:t>
      </w:r>
      <w:r w:rsidR="00B27CE7">
        <w:t xml:space="preserve"> or High Ongoing Support </w:t>
      </w:r>
      <w:r w:rsidR="001F3A2A">
        <w:t xml:space="preserve">to develop a relationship that enables them to work together to address the barriers and urgent support needs that prompted the Participant to reach out for support through </w:t>
      </w:r>
      <w:r w:rsidR="00202A96">
        <w:t>Inclusive Employment Australia</w:t>
      </w:r>
      <w:r w:rsidR="00777226">
        <w:t>.</w:t>
      </w:r>
    </w:p>
    <w:p w14:paraId="7070C8FC" w14:textId="2AD82A50" w:rsidR="007C7974" w:rsidRPr="00FB7CD7" w:rsidRDefault="00214D8E" w:rsidP="002A7398">
      <w:r>
        <w:rPr>
          <w:b/>
          <w:bCs/>
        </w:rPr>
        <w:t>*</w:t>
      </w:r>
      <w:r w:rsidR="007C7974" w:rsidRPr="00A120F4">
        <w:rPr>
          <w:b/>
          <w:bCs/>
        </w:rPr>
        <w:t>Note:</w:t>
      </w:r>
      <w:r w:rsidR="007C7974">
        <w:t xml:space="preserve"> </w:t>
      </w:r>
      <w:r w:rsidR="00A50A13">
        <w:t xml:space="preserve">If a Provider </w:t>
      </w:r>
      <w:r w:rsidR="00E50E63">
        <w:t>decides</w:t>
      </w:r>
      <w:r w:rsidR="002D7D89">
        <w:t xml:space="preserve"> </w:t>
      </w:r>
      <w:r w:rsidR="007F2061">
        <w:t xml:space="preserve">during </w:t>
      </w:r>
      <w:r w:rsidR="002D7D89">
        <w:t xml:space="preserve">the first year of Ongoing Support that Flexible Ongoing </w:t>
      </w:r>
      <w:r w:rsidR="00940107">
        <w:t xml:space="preserve">Support is the most appropriate </w:t>
      </w:r>
      <w:r w:rsidR="002D3AA7">
        <w:t>L</w:t>
      </w:r>
      <w:r w:rsidR="00940107">
        <w:t>evel of Ongoing Support for an</w:t>
      </w:r>
      <w:r w:rsidR="00777226">
        <w:t xml:space="preserve"> Ongoing Support (Work Assist) Participant</w:t>
      </w:r>
      <w:r w:rsidR="00940107">
        <w:t xml:space="preserve">, the Provider may, after </w:t>
      </w:r>
      <w:r w:rsidR="00DE1932">
        <w:t xml:space="preserve">at least </w:t>
      </w:r>
      <w:r w:rsidR="00940107">
        <w:t xml:space="preserve">26 </w:t>
      </w:r>
      <w:r w:rsidR="00DE1932">
        <w:t>weeks of Moderate or High Ongoing Support, refer the Participant</w:t>
      </w:r>
      <w:r w:rsidR="00777226" w:rsidRPr="62EC0267">
        <w:t xml:space="preserve"> for a Change of Circumstances OSA to </w:t>
      </w:r>
      <w:r w:rsidR="00E50E63">
        <w:t>determine</w:t>
      </w:r>
      <w:r w:rsidR="00777226" w:rsidRPr="62EC0267">
        <w:t xml:space="preserve"> if Flexible Ongoing Support is </w:t>
      </w:r>
      <w:r w:rsidR="001176F0">
        <w:t xml:space="preserve">the </w:t>
      </w:r>
      <w:r w:rsidR="00344A8F">
        <w:t>right</w:t>
      </w:r>
      <w:r w:rsidR="00FD0BFF">
        <w:t xml:space="preserve"> Level of Ongoing Support </w:t>
      </w:r>
      <w:r w:rsidR="00344A8F">
        <w:t>for</w:t>
      </w:r>
      <w:r w:rsidR="00541969">
        <w:t xml:space="preserve"> the Participant</w:t>
      </w:r>
      <w:r w:rsidR="00966F49">
        <w:t>.</w:t>
      </w:r>
      <w:r w:rsidR="009F7A7B">
        <w:t xml:space="preserve"> </w:t>
      </w:r>
    </w:p>
    <w:p w14:paraId="2A54BBF2" w14:textId="75088C51" w:rsidR="00C77BAB" w:rsidRPr="002A7398" w:rsidRDefault="00C77BAB" w:rsidP="002A7398">
      <w:r w:rsidRPr="002A7398">
        <w:t xml:space="preserve">Providers should refer to </w:t>
      </w:r>
      <w:r w:rsidR="002A7398" w:rsidRPr="002A7398">
        <w:fldChar w:fldCharType="begin"/>
      </w:r>
      <w:r w:rsidR="002A7398" w:rsidRPr="002A7398">
        <w:instrText xml:space="preserve"> REF _Ref202783910 \h </w:instrText>
      </w:r>
      <w:r w:rsidR="002A7398">
        <w:instrText xml:space="preserve"> \* MERGEFORMAT </w:instrText>
      </w:r>
      <w:r w:rsidR="002A7398" w:rsidRPr="002A7398">
        <w:fldChar w:fldCharType="separate"/>
      </w:r>
      <w:r w:rsidR="000D75AE" w:rsidRPr="000D75AE">
        <w:t>10.4</w:t>
      </w:r>
      <w:r w:rsidR="003B2E77">
        <w:t xml:space="preserve"> </w:t>
      </w:r>
      <w:r w:rsidR="000D75AE" w:rsidRPr="000A5454">
        <w:t>Ongoing Support Assessments</w:t>
      </w:r>
      <w:r w:rsidR="002A7398" w:rsidRPr="002A7398">
        <w:fldChar w:fldCharType="end"/>
      </w:r>
      <w:r w:rsidR="002A7398">
        <w:t xml:space="preserve"> and </w:t>
      </w:r>
      <w:r w:rsidR="002A7398" w:rsidRPr="002A7398">
        <w:fldChar w:fldCharType="begin"/>
      </w:r>
      <w:r w:rsidR="002A7398" w:rsidRPr="002A7398">
        <w:instrText xml:space="preserve"> REF _Ref202892156 \h </w:instrText>
      </w:r>
      <w:r w:rsidR="002A7398">
        <w:instrText xml:space="preserve"> \* MERGEFORMAT </w:instrText>
      </w:r>
      <w:r w:rsidR="002A7398" w:rsidRPr="002A7398">
        <w:fldChar w:fldCharType="separate"/>
      </w:r>
      <w:r w:rsidR="000D75AE" w:rsidRPr="000D75AE">
        <w:t>10.5</w:t>
      </w:r>
      <w:r w:rsidR="003B2E77">
        <w:t xml:space="preserve"> </w:t>
      </w:r>
      <w:r w:rsidR="000D75AE" w:rsidRPr="000D75AE">
        <w:t>Support to be provided to Participants</w:t>
      </w:r>
      <w:r w:rsidR="002A7398" w:rsidRPr="002A7398">
        <w:fldChar w:fldCharType="end"/>
      </w:r>
      <w:r w:rsidR="002A7398">
        <w:t xml:space="preserve"> </w:t>
      </w:r>
      <w:r w:rsidRPr="002A7398">
        <w:t>for further guidance on OSAs and delivery of support for</w:t>
      </w:r>
      <w:r w:rsidR="00324768" w:rsidRPr="002A7398">
        <w:t xml:space="preserve"> Ongoing Support (Work Assist) </w:t>
      </w:r>
      <w:r w:rsidRPr="002A7398">
        <w:t>Participants.</w:t>
      </w:r>
    </w:p>
    <w:p w14:paraId="0F2F5C24" w14:textId="6300182D" w:rsidR="00C77BAB" w:rsidRDefault="00D74559" w:rsidP="00C77BAB">
      <w:pPr>
        <w:pStyle w:val="DeedReferences"/>
      </w:pPr>
      <w:r>
        <w:t>(</w:t>
      </w:r>
      <w:r w:rsidR="00A73420">
        <w:t xml:space="preserve">Deed Reference(s): Clause </w:t>
      </w:r>
      <w:r w:rsidR="00C1106D">
        <w:t xml:space="preserve">108.4, </w:t>
      </w:r>
      <w:r w:rsidR="00294558">
        <w:t>113.</w:t>
      </w:r>
      <w:r w:rsidR="000A5DD0">
        <w:t>6</w:t>
      </w:r>
      <w:r w:rsidR="00294558">
        <w:t xml:space="preserve">, </w:t>
      </w:r>
      <w:r w:rsidR="00F26D47">
        <w:t xml:space="preserve">125.4, </w:t>
      </w:r>
      <w:r w:rsidR="008E50FA">
        <w:t>127</w:t>
      </w:r>
      <w:r>
        <w:t xml:space="preserve">, </w:t>
      </w:r>
      <w:r w:rsidR="005137BC">
        <w:t>128</w:t>
      </w:r>
      <w:r>
        <w:t xml:space="preserve">, </w:t>
      </w:r>
      <w:r w:rsidR="00372EA8">
        <w:t xml:space="preserve">129, </w:t>
      </w:r>
      <w:r w:rsidR="00B775B4">
        <w:t>130</w:t>
      </w:r>
      <w:r>
        <w:t xml:space="preserve">, </w:t>
      </w:r>
      <w:r w:rsidR="00F33498">
        <w:t>132</w:t>
      </w:r>
      <w:r>
        <w:t>)</w:t>
      </w:r>
      <w:r w:rsidRPr="00666FDD">
        <w:t> </w:t>
      </w:r>
    </w:p>
    <w:p w14:paraId="4DE098BF" w14:textId="1164AA72" w:rsidR="00D74559" w:rsidRDefault="00D74559" w:rsidP="001D0F92">
      <w:pPr>
        <w:pStyle w:val="Heading3"/>
      </w:pPr>
      <w:bookmarkStart w:id="464" w:name="_Toc202900080"/>
      <w:r>
        <w:t>10.10</w:t>
      </w:r>
      <w:r w:rsidR="00F35935">
        <w:tab/>
      </w:r>
      <w:r>
        <w:t>Support to be provided to Employers</w:t>
      </w:r>
      <w:bookmarkEnd w:id="464"/>
    </w:p>
    <w:p w14:paraId="3C50AA8F" w14:textId="77777777" w:rsidR="00D74559" w:rsidRPr="00E31E88" w:rsidRDefault="00D74559" w:rsidP="00726044">
      <w:pPr>
        <w:tabs>
          <w:tab w:val="right" w:pos="1701"/>
        </w:tabs>
        <w:spacing w:after="120"/>
      </w:pPr>
      <w:r w:rsidRPr="62EC0267">
        <w:t xml:space="preserve">If a Participant who is eligible to receive Ongoing Support chooses not to </w:t>
      </w:r>
      <w:r>
        <w:t>disclose</w:t>
      </w:r>
      <w:r w:rsidRPr="62EC0267">
        <w:t xml:space="preserve"> their injury, disability or health condition to their Employer, the Provider must not </w:t>
      </w:r>
      <w:r>
        <w:t>disclose</w:t>
      </w:r>
      <w:r w:rsidRPr="62EC0267">
        <w:t xml:space="preserve"> this information to the Employer and must not contact the Employer about Ongoing Support. In this situation, the Provider will deliver Ongoing Support to the Participant only.</w:t>
      </w:r>
    </w:p>
    <w:p w14:paraId="7DABFB40" w14:textId="77777777" w:rsidR="00D74559" w:rsidRPr="00E31E88" w:rsidRDefault="00D74559" w:rsidP="47BA683B">
      <w:pPr>
        <w:tabs>
          <w:tab w:val="right" w:pos="1701"/>
        </w:tabs>
        <w:spacing w:after="120"/>
      </w:pPr>
      <w:r w:rsidRPr="62EC0267">
        <w:t>When a Participant does agree to the Provider contacting their Employer about Ongoing Support, the Provider must work with both the Participant and the Employer to support the Participant to keep their current Employment.</w:t>
      </w:r>
    </w:p>
    <w:p w14:paraId="49D2B525" w14:textId="7844D3D7" w:rsidR="00D74559" w:rsidRDefault="00D74559" w:rsidP="47BA683B">
      <w:pPr>
        <w:tabs>
          <w:tab w:val="right" w:pos="1701"/>
        </w:tabs>
        <w:spacing w:after="120"/>
      </w:pPr>
      <w:r w:rsidRPr="0114377B">
        <w:t>Most of the Ongoing Support help is expected to be on-the-job assistance and is delivered through Provider Contacts with Participants</w:t>
      </w:r>
      <w:r w:rsidR="00AA4779">
        <w:t xml:space="preserve"> to support them to meet the requirements of their role.</w:t>
      </w:r>
    </w:p>
    <w:p w14:paraId="337C1FB0" w14:textId="1E60F19D" w:rsidR="00D74559" w:rsidRDefault="00D74559" w:rsidP="00E31E88">
      <w:pPr>
        <w:tabs>
          <w:tab w:val="right" w:pos="1701"/>
        </w:tabs>
        <w:spacing w:after="120"/>
        <w:rPr>
          <w:rFonts w:cstheme="minorHAnsi"/>
        </w:rPr>
      </w:pPr>
      <w:r w:rsidRPr="00E31E88">
        <w:rPr>
          <w:rFonts w:cstheme="minorHAnsi"/>
        </w:rPr>
        <w:t xml:space="preserve">Supports </w:t>
      </w:r>
      <w:r w:rsidR="00BD1E00">
        <w:rPr>
          <w:rFonts w:cstheme="minorHAnsi"/>
        </w:rPr>
        <w:t xml:space="preserve">must </w:t>
      </w:r>
      <w:r w:rsidRPr="00E31E88">
        <w:rPr>
          <w:rFonts w:cstheme="minorHAnsi"/>
        </w:rPr>
        <w:t xml:space="preserve">be tailored to the individual needs of the Participant and the Employer. Employer supports are outlined in the following </w:t>
      </w:r>
      <w:r>
        <w:rPr>
          <w:rFonts w:cstheme="minorHAnsi"/>
        </w:rPr>
        <w:t>t</w:t>
      </w:r>
      <w:r w:rsidRPr="00E31E88">
        <w:rPr>
          <w:rFonts w:cstheme="minorHAnsi"/>
        </w:rPr>
        <w:t>able.</w:t>
      </w:r>
    </w:p>
    <w:p w14:paraId="10E35FAF" w14:textId="77777777" w:rsidR="00702A2D" w:rsidRPr="00602D64" w:rsidRDefault="00702A2D" w:rsidP="00702A2D">
      <w:pPr>
        <w:rPr>
          <w:sz w:val="20"/>
          <w:szCs w:val="20"/>
        </w:rPr>
      </w:pPr>
      <w:r w:rsidRPr="00602D64">
        <w:rPr>
          <w:sz w:val="20"/>
          <w:szCs w:val="20"/>
        </w:rPr>
        <w:t>(Deed Reference(s) Clause 121)</w:t>
      </w:r>
    </w:p>
    <w:p w14:paraId="3BD87536" w14:textId="77777777" w:rsidR="00D74559" w:rsidRDefault="00D74559" w:rsidP="00D829E9">
      <w:pPr>
        <w:pStyle w:val="TableChartHeading"/>
      </w:pPr>
      <w:r>
        <w:t>Employer Supports</w:t>
      </w:r>
    </w:p>
    <w:tbl>
      <w:tblPr>
        <w:tblStyle w:val="DSSTableStyleB"/>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6798"/>
      </w:tblGrid>
      <w:tr w:rsidR="00FC127C" w:rsidRPr="00FB7CD7" w14:paraId="01CC7F03" w14:textId="77777777" w:rsidTr="00DE7A9B">
        <w:trPr>
          <w:cnfStyle w:val="100000000000" w:firstRow="1" w:lastRow="0" w:firstColumn="0" w:lastColumn="0" w:oddVBand="0" w:evenVBand="0" w:oddHBand="0" w:evenHBand="0" w:firstRowFirstColumn="0" w:firstRowLastColumn="0" w:lastRowFirstColumn="0" w:lastRowLastColumn="0"/>
        </w:trPr>
        <w:tc>
          <w:tcPr>
            <w:tcW w:w="2830" w:type="dxa"/>
          </w:tcPr>
          <w:p w14:paraId="7A155D06" w14:textId="77777777" w:rsidR="00646E7F" w:rsidRPr="00FB7CD7" w:rsidRDefault="00646E7F">
            <w:pPr>
              <w:pStyle w:val="TableText"/>
              <w:rPr>
                <w:b w:val="0"/>
              </w:rPr>
            </w:pPr>
            <w:r w:rsidRPr="00FB7CD7">
              <w:t>Category</w:t>
            </w:r>
          </w:p>
        </w:tc>
        <w:tc>
          <w:tcPr>
            <w:tcW w:w="6798" w:type="dxa"/>
          </w:tcPr>
          <w:p w14:paraId="209EA92A" w14:textId="77777777" w:rsidR="00646E7F" w:rsidRPr="00FB7CD7" w:rsidRDefault="00646E7F">
            <w:pPr>
              <w:pStyle w:val="TableText"/>
              <w:rPr>
                <w:b w:val="0"/>
              </w:rPr>
            </w:pPr>
            <w:r>
              <w:t xml:space="preserve">In-Employment </w:t>
            </w:r>
            <w:r w:rsidRPr="00FB7CD7">
              <w:t>Supports may include</w:t>
            </w:r>
            <w:r>
              <w:t>:</w:t>
            </w:r>
          </w:p>
        </w:tc>
      </w:tr>
      <w:tr w:rsidR="00646E7F" w:rsidRPr="00FB7CD7" w14:paraId="5672786E" w14:textId="77777777" w:rsidTr="00702A2D">
        <w:trPr>
          <w:cnfStyle w:val="000000100000" w:firstRow="0" w:lastRow="0" w:firstColumn="0" w:lastColumn="0" w:oddVBand="0" w:evenVBand="0" w:oddHBand="1" w:evenHBand="0" w:firstRowFirstColumn="0" w:firstRowLastColumn="0" w:lastRowFirstColumn="0" w:lastRowLastColumn="0"/>
        </w:trPr>
        <w:tc>
          <w:tcPr>
            <w:tcW w:w="2830" w:type="dxa"/>
            <w:tcBorders>
              <w:bottom w:val="single" w:sz="4" w:space="0" w:color="auto"/>
            </w:tcBorders>
          </w:tcPr>
          <w:p w14:paraId="1D3145E6" w14:textId="77777777" w:rsidR="00646E7F" w:rsidRPr="00BB61D7" w:rsidRDefault="00646E7F">
            <w:pPr>
              <w:pStyle w:val="TableText"/>
            </w:pPr>
            <w:r>
              <w:t>On-the-job support</w:t>
            </w:r>
          </w:p>
        </w:tc>
        <w:tc>
          <w:tcPr>
            <w:tcW w:w="6798" w:type="dxa"/>
            <w:tcBorders>
              <w:bottom w:val="single" w:sz="4" w:space="0" w:color="auto"/>
            </w:tcBorders>
          </w:tcPr>
          <w:p w14:paraId="065337B1" w14:textId="6D7108DB" w:rsidR="00646E7F" w:rsidRPr="00832B2C" w:rsidRDefault="00646E7F">
            <w:pPr>
              <w:pStyle w:val="TableList-level1"/>
            </w:pPr>
            <w:r w:rsidRPr="0114377B">
              <w:t>Support</w:t>
            </w:r>
            <w:r>
              <w:t>ing</w:t>
            </w:r>
            <w:r w:rsidRPr="0114377B">
              <w:t xml:space="preserve"> Employers through </w:t>
            </w:r>
            <w:r w:rsidR="00702A2D">
              <w:t>Ongoing Support</w:t>
            </w:r>
            <w:r w:rsidRPr="0114377B">
              <w:t xml:space="preserve"> provided to Participants</w:t>
            </w:r>
            <w:r w:rsidR="00702A2D">
              <w:t xml:space="preserve"> (</w:t>
            </w:r>
            <w:r w:rsidRPr="0114377B">
              <w:t xml:space="preserve">as outlined in </w:t>
            </w:r>
            <w:r w:rsidR="002A7398" w:rsidRPr="002A7398">
              <w:fldChar w:fldCharType="begin"/>
            </w:r>
            <w:r w:rsidR="002A7398" w:rsidRPr="002A7398">
              <w:instrText xml:space="preserve"> REF _Ref202892156 \h </w:instrText>
            </w:r>
            <w:r w:rsidR="002A7398">
              <w:instrText xml:space="preserve"> \* MERGEFORMAT </w:instrText>
            </w:r>
            <w:r w:rsidR="002A7398" w:rsidRPr="002A7398">
              <w:fldChar w:fldCharType="separate"/>
            </w:r>
            <w:r w:rsidR="000D75AE" w:rsidRPr="000D75AE">
              <w:t>10.5</w:t>
            </w:r>
            <w:r w:rsidR="004572F7">
              <w:t xml:space="preserve"> </w:t>
            </w:r>
            <w:r w:rsidR="000D75AE" w:rsidRPr="000D75AE">
              <w:t>Support</w:t>
            </w:r>
            <w:r w:rsidR="000D75AE" w:rsidRPr="000D75AE">
              <w:rPr>
                <w:rFonts w:eastAsiaTheme="majorEastAsia"/>
              </w:rPr>
              <w:t xml:space="preserve"> </w:t>
            </w:r>
            <w:r w:rsidR="000D75AE" w:rsidRPr="000D75AE">
              <w:t>to</w:t>
            </w:r>
            <w:r w:rsidR="000D75AE" w:rsidRPr="000D75AE">
              <w:rPr>
                <w:rFonts w:eastAsiaTheme="majorEastAsia"/>
              </w:rPr>
              <w:t xml:space="preserve"> be provided to Participants</w:t>
            </w:r>
            <w:r w:rsidR="002A7398" w:rsidRPr="002A7398">
              <w:fldChar w:fldCharType="end"/>
            </w:r>
            <w:r w:rsidR="00702A2D">
              <w:t>)</w:t>
            </w:r>
            <w:r w:rsidR="004E763B">
              <w:t>,</w:t>
            </w:r>
            <w:r>
              <w:t xml:space="preserve"> to a</w:t>
            </w:r>
            <w:r w:rsidRPr="0114377B">
              <w:t>ssist Employers to build each Participant’s capacity to work independently.</w:t>
            </w:r>
          </w:p>
          <w:p w14:paraId="418C2F15" w14:textId="6C92C5B2" w:rsidR="00646E7F" w:rsidRDefault="00646E7F">
            <w:pPr>
              <w:pStyle w:val="TableList-level1"/>
            </w:pPr>
            <w:r>
              <w:t>Assisting Employers to adjust duties or provid</w:t>
            </w:r>
            <w:r w:rsidR="004E763B">
              <w:t>ing</w:t>
            </w:r>
            <w:r>
              <w:t xml:space="preserve"> training to learn new skills.</w:t>
            </w:r>
          </w:p>
          <w:p w14:paraId="39F711CB" w14:textId="2D986BE3" w:rsidR="00646E7F" w:rsidRPr="00625575" w:rsidRDefault="00646E7F">
            <w:pPr>
              <w:pStyle w:val="TableList-level1"/>
            </w:pPr>
            <w:r>
              <w:t>Organising workplace assessments and modifications.</w:t>
            </w:r>
          </w:p>
        </w:tc>
      </w:tr>
      <w:tr w:rsidR="00FC127C" w:rsidRPr="00FB7CD7" w14:paraId="7A4A60EF" w14:textId="77777777" w:rsidTr="00702A2D">
        <w:trPr>
          <w:cnfStyle w:val="000000010000" w:firstRow="0" w:lastRow="0" w:firstColumn="0" w:lastColumn="0" w:oddVBand="0" w:evenVBand="0" w:oddHBand="0" w:evenHBand="1" w:firstRowFirstColumn="0" w:firstRowLastColumn="0" w:lastRowFirstColumn="0" w:lastRowLastColumn="0"/>
        </w:trPr>
        <w:tc>
          <w:tcPr>
            <w:tcW w:w="2830" w:type="dxa"/>
            <w:tcBorders>
              <w:bottom w:val="single" w:sz="4" w:space="0" w:color="auto"/>
            </w:tcBorders>
          </w:tcPr>
          <w:p w14:paraId="0082EC15" w14:textId="77777777" w:rsidR="00646E7F" w:rsidRDefault="00646E7F">
            <w:pPr>
              <w:pStyle w:val="TableText"/>
            </w:pPr>
            <w:r>
              <w:t>Employer capability-building support</w:t>
            </w:r>
          </w:p>
        </w:tc>
        <w:tc>
          <w:tcPr>
            <w:tcW w:w="6798" w:type="dxa"/>
            <w:tcBorders>
              <w:bottom w:val="single" w:sz="4" w:space="0" w:color="auto"/>
            </w:tcBorders>
          </w:tcPr>
          <w:p w14:paraId="0865709E" w14:textId="77777777" w:rsidR="00646E7F" w:rsidRDefault="00646E7F">
            <w:pPr>
              <w:pStyle w:val="TableList-level1"/>
            </w:pPr>
            <w:r>
              <w:t>Providing guidance on creating accessible and inclusive workplaces to help Employers to manage employees with disability.</w:t>
            </w:r>
          </w:p>
          <w:p w14:paraId="39A7861F" w14:textId="5E914062" w:rsidR="00646E7F" w:rsidRDefault="00646E7F">
            <w:pPr>
              <w:pStyle w:val="TableList-level1"/>
            </w:pPr>
            <w:r>
              <w:t>Supporting Employers to access information around disability training for their workplace.</w:t>
            </w:r>
          </w:p>
          <w:p w14:paraId="6AD11858" w14:textId="1667B649" w:rsidR="00646E7F" w:rsidRDefault="00646E7F">
            <w:pPr>
              <w:pStyle w:val="TableList-level1"/>
            </w:pPr>
            <w:r>
              <w:t>Providing guidance on employee retention strategies to help Employers to effectively support people with disability and reduce turnover.</w:t>
            </w:r>
          </w:p>
          <w:p w14:paraId="0ACE0BE4" w14:textId="486198BB" w:rsidR="00646E7F" w:rsidRPr="00153828" w:rsidRDefault="00646E7F">
            <w:pPr>
              <w:pStyle w:val="TableList-level1"/>
            </w:pPr>
            <w:r>
              <w:t>Providing guidance on job design and job customisation.</w:t>
            </w:r>
          </w:p>
          <w:p w14:paraId="729FDF67" w14:textId="54AEC47B" w:rsidR="00646E7F" w:rsidRPr="00EF0812" w:rsidRDefault="00646E7F">
            <w:pPr>
              <w:pStyle w:val="TableList-level1"/>
            </w:pPr>
            <w:r>
              <w:t>Linking Employers to relevant Commonwealth, State and Territory Government, local government, and non-government programs, and to communities of practice.</w:t>
            </w:r>
          </w:p>
        </w:tc>
      </w:tr>
      <w:tr w:rsidR="00646E7F" w:rsidRPr="00FB7CD7" w14:paraId="342A0A9D" w14:textId="77777777" w:rsidTr="00702A2D">
        <w:trPr>
          <w:cnfStyle w:val="000000100000" w:firstRow="0" w:lastRow="0" w:firstColumn="0" w:lastColumn="0" w:oddVBand="0" w:evenVBand="0" w:oddHBand="1" w:evenHBand="0" w:firstRowFirstColumn="0" w:firstRowLastColumn="0" w:lastRowFirstColumn="0" w:lastRowLastColumn="0"/>
          <w:cantSplit/>
        </w:trPr>
        <w:tc>
          <w:tcPr>
            <w:tcW w:w="2830" w:type="dxa"/>
            <w:tcBorders>
              <w:top w:val="single" w:sz="4" w:space="0" w:color="auto"/>
              <w:bottom w:val="single" w:sz="4" w:space="0" w:color="auto"/>
            </w:tcBorders>
          </w:tcPr>
          <w:p w14:paraId="1275AE08" w14:textId="5CF077DB" w:rsidR="00646E7F" w:rsidRDefault="00646E7F">
            <w:pPr>
              <w:pStyle w:val="TableText"/>
            </w:pPr>
            <w:r>
              <w:t>Additional support</w:t>
            </w:r>
            <w:r w:rsidRPr="62EC0267">
              <w:t xml:space="preserve"> for Employers</w:t>
            </w:r>
          </w:p>
        </w:tc>
        <w:tc>
          <w:tcPr>
            <w:tcW w:w="6798" w:type="dxa"/>
            <w:tcBorders>
              <w:top w:val="single" w:sz="4" w:space="0" w:color="auto"/>
              <w:bottom w:val="single" w:sz="4" w:space="0" w:color="auto"/>
            </w:tcBorders>
          </w:tcPr>
          <w:p w14:paraId="78FC9F3A" w14:textId="0B870A6B" w:rsidR="00646E7F" w:rsidRDefault="00646E7F">
            <w:pPr>
              <w:pStyle w:val="TableList-level1"/>
            </w:pPr>
            <w:r w:rsidRPr="0114377B">
              <w:t>As appropriate, help</w:t>
            </w:r>
            <w:r>
              <w:t>ing</w:t>
            </w:r>
            <w:r w:rsidRPr="0114377B">
              <w:t xml:space="preserve"> Employers to access financial assistance through the Employment Assistance Fund </w:t>
            </w:r>
            <w:r>
              <w:t xml:space="preserve">(EAF) </w:t>
            </w:r>
            <w:r w:rsidRPr="0114377B">
              <w:t>for work-related modifications and services</w:t>
            </w:r>
            <w:r w:rsidR="00702A2D">
              <w:t xml:space="preserve"> (see </w:t>
            </w:r>
            <w:r w:rsidR="00702A2D">
              <w:fldChar w:fldCharType="begin"/>
            </w:r>
            <w:r w:rsidR="00702A2D">
              <w:instrText xml:space="preserve"> REF _Ref202784009 \h </w:instrText>
            </w:r>
            <w:r w:rsidR="00702A2D">
              <w:fldChar w:fldCharType="separate"/>
            </w:r>
            <w:r w:rsidR="000D75AE" w:rsidRPr="539AEF4B">
              <w:t>9.</w:t>
            </w:r>
            <w:r w:rsidR="000D75AE">
              <w:t>8</w:t>
            </w:r>
            <w:r w:rsidR="00C33F1F">
              <w:t xml:space="preserve"> </w:t>
            </w:r>
            <w:r w:rsidR="000D75AE" w:rsidRPr="539AEF4B">
              <w:t>Employment Assistance Fund</w:t>
            </w:r>
            <w:r w:rsidR="00702A2D">
              <w:fldChar w:fldCharType="end"/>
            </w:r>
            <w:r w:rsidR="00702A2D">
              <w:t>).</w:t>
            </w:r>
          </w:p>
          <w:p w14:paraId="1F1E88A7" w14:textId="21441C07" w:rsidR="00646E7F" w:rsidRDefault="00646E7F">
            <w:pPr>
              <w:pStyle w:val="TableList-level1"/>
            </w:pPr>
            <w:r>
              <w:t>As appropriate, helping an Employer to make an application in respect of the Supported Wage System.</w:t>
            </w:r>
          </w:p>
          <w:p w14:paraId="47A23076" w14:textId="4DB09D15" w:rsidR="00646E7F" w:rsidRDefault="00646E7F">
            <w:pPr>
              <w:pStyle w:val="TableList-level1"/>
            </w:pPr>
            <w:r>
              <w:t>As appropriate, providing information and training on how access to Wage Subsidies to support Participants and Employers</w:t>
            </w:r>
            <w:r w:rsidR="00702A2D">
              <w:t xml:space="preserve"> (see </w:t>
            </w:r>
            <w:r w:rsidR="00702A2D">
              <w:fldChar w:fldCharType="begin"/>
            </w:r>
            <w:r w:rsidR="00702A2D">
              <w:instrText xml:space="preserve"> REF _Ref202892269 \h </w:instrText>
            </w:r>
            <w:r w:rsidR="00702A2D">
              <w:fldChar w:fldCharType="separate"/>
            </w:r>
            <w:r w:rsidR="000D75AE" w:rsidRPr="4F3EABBB">
              <w:t>Chapter</w:t>
            </w:r>
            <w:r w:rsidR="000D75AE" w:rsidRPr="4F3EABBB">
              <w:rPr>
                <w:rStyle w:val="Emphasis"/>
              </w:rPr>
              <w:t xml:space="preserve"> </w:t>
            </w:r>
            <w:r w:rsidR="000D75AE" w:rsidRPr="4F3EABBB">
              <w:t>8:</w:t>
            </w:r>
            <w:r w:rsidR="00C33F1F">
              <w:t xml:space="preserve"> </w:t>
            </w:r>
            <w:r w:rsidR="000D75AE" w:rsidRPr="4F3EABBB">
              <w:t>Wage Subsidies</w:t>
            </w:r>
            <w:r w:rsidR="00702A2D">
              <w:fldChar w:fldCharType="end"/>
            </w:r>
            <w:r w:rsidR="00702A2D">
              <w:t>).</w:t>
            </w:r>
          </w:p>
        </w:tc>
      </w:tr>
    </w:tbl>
    <w:p w14:paraId="3D0E0740" w14:textId="77777777" w:rsidR="00646E7F" w:rsidRPr="00602D64" w:rsidRDefault="00646E7F" w:rsidP="00602D64">
      <w:pPr>
        <w:rPr>
          <w:sz w:val="20"/>
          <w:szCs w:val="20"/>
        </w:rPr>
      </w:pPr>
    </w:p>
    <w:p w14:paraId="24ED2FD4" w14:textId="03DF14CB" w:rsidR="00182CBD" w:rsidRDefault="00182CBD" w:rsidP="000335E0">
      <w:pPr>
        <w:pStyle w:val="Heading2"/>
      </w:pPr>
      <w:bookmarkStart w:id="465" w:name="_Ref202782945"/>
      <w:bookmarkStart w:id="466" w:name="_Toc202900081"/>
      <w:r>
        <w:t>Chapter 11</w:t>
      </w:r>
      <w:r w:rsidR="00A61FB9">
        <w:t>:</w:t>
      </w:r>
      <w:r w:rsidR="00A61FB9">
        <w:tab/>
      </w:r>
      <w:r>
        <w:t>Payments to Providers</w:t>
      </w:r>
      <w:bookmarkEnd w:id="465"/>
      <w:bookmarkEnd w:id="466"/>
    </w:p>
    <w:p w14:paraId="3A50A99D" w14:textId="13A1289D" w:rsidR="00182CBD" w:rsidRPr="001D0C9B" w:rsidRDefault="001D0C9B" w:rsidP="001D0F92">
      <w:pPr>
        <w:pStyle w:val="Heading-SupportingDocuments"/>
        <w:rPr>
          <w:i/>
        </w:rPr>
      </w:pPr>
      <w:r w:rsidRPr="00E37CED">
        <w:rPr>
          <w:rStyle w:val="Emphasis"/>
          <w:b/>
          <w:iCs w:val="0"/>
          <w:spacing w:val="3"/>
        </w:rPr>
        <w:t>Supporting Documents for this Chapter</w:t>
      </w:r>
    </w:p>
    <w:p w14:paraId="4387BE75" w14:textId="1FBEA78C" w:rsidR="00182CBD" w:rsidRDefault="00182CBD" w:rsidP="00620350">
      <w:pPr>
        <w:pStyle w:val="Bullet-SupportingDocument"/>
        <w:rPr>
          <w:rStyle w:val="Hyperlink"/>
        </w:rPr>
      </w:pPr>
      <w:r w:rsidRPr="0078540B">
        <w:rPr>
          <w:rStyle w:val="Hyperlink"/>
        </w:rPr>
        <w:t>Manual claim provider advice</w:t>
      </w:r>
      <w:r w:rsidR="00702A2D">
        <w:rPr>
          <w:rStyle w:val="Hyperlink"/>
        </w:rPr>
        <w:t xml:space="preserve"> [LINK]</w:t>
      </w:r>
    </w:p>
    <w:p w14:paraId="49A260DA" w14:textId="4B22FD4F" w:rsidR="00182CBD" w:rsidRPr="006B55D3" w:rsidRDefault="00182CBD" w:rsidP="001D0F92">
      <w:pPr>
        <w:pStyle w:val="Heading3"/>
      </w:pPr>
      <w:bookmarkStart w:id="467" w:name="_Toc202900082"/>
      <w:r>
        <w:t>11.1</w:t>
      </w:r>
      <w:r w:rsidR="00535DD6">
        <w:tab/>
      </w:r>
      <w:r>
        <w:t>Chapter Overview</w:t>
      </w:r>
      <w:bookmarkEnd w:id="467"/>
    </w:p>
    <w:p w14:paraId="756A5692" w14:textId="59B5AF17" w:rsidR="00182CBD" w:rsidRDefault="00182CBD" w:rsidP="00726044">
      <w:r w:rsidRPr="42C107D3">
        <w:t xml:space="preserve">This Chapter outlines </w:t>
      </w:r>
      <w:r w:rsidR="004020F0">
        <w:t>P</w:t>
      </w:r>
      <w:r w:rsidRPr="42C107D3">
        <w:t xml:space="preserve">ayments available to Providers and any actions required to claim each </w:t>
      </w:r>
      <w:r w:rsidR="00310AA3">
        <w:t>P</w:t>
      </w:r>
      <w:r w:rsidRPr="42C107D3">
        <w:t>ayment.</w:t>
      </w:r>
    </w:p>
    <w:p w14:paraId="0B8814E8" w14:textId="77777777" w:rsidR="00182CBD" w:rsidRDefault="00182CBD" w:rsidP="00182CBD">
      <w:pPr>
        <w:ind w:left="720" w:hanging="720"/>
      </w:pPr>
      <w:r>
        <w:t>The Chapter outlines:</w:t>
      </w:r>
    </w:p>
    <w:p w14:paraId="7E96B11D" w14:textId="77777777" w:rsidR="00182CBD" w:rsidRDefault="00182CBD" w:rsidP="004E120D">
      <w:pPr>
        <w:pStyle w:val="BulletLevel1"/>
      </w:pPr>
      <w:r>
        <w:t>Employment Benchmarks</w:t>
      </w:r>
    </w:p>
    <w:p w14:paraId="7615A582" w14:textId="77777777" w:rsidR="00182CBD" w:rsidRDefault="00182CBD" w:rsidP="004E120D">
      <w:pPr>
        <w:pStyle w:val="BulletLevel1"/>
      </w:pPr>
      <w:r>
        <w:t>Service Fees</w:t>
      </w:r>
    </w:p>
    <w:p w14:paraId="377B75B9" w14:textId="77777777" w:rsidR="00182CBD" w:rsidRDefault="00182CBD" w:rsidP="004E120D">
      <w:pPr>
        <w:pStyle w:val="BulletLevel1"/>
      </w:pPr>
      <w:r>
        <w:t>Progress Fees</w:t>
      </w:r>
    </w:p>
    <w:p w14:paraId="165FF9AD" w14:textId="77777777" w:rsidR="00182CBD" w:rsidRDefault="00182CBD" w:rsidP="004E120D">
      <w:pPr>
        <w:pStyle w:val="BulletLevel1"/>
      </w:pPr>
      <w:r>
        <w:t>Outcome Fees</w:t>
      </w:r>
    </w:p>
    <w:p w14:paraId="7AFA0F8D" w14:textId="77777777" w:rsidR="00182CBD" w:rsidRDefault="00182CBD" w:rsidP="004E120D">
      <w:pPr>
        <w:pStyle w:val="BulletLevel1"/>
      </w:pPr>
      <w:r>
        <w:t>Moderate Intellectual Disability (MID) Payment, and</w:t>
      </w:r>
    </w:p>
    <w:p w14:paraId="66338CC8" w14:textId="77777777" w:rsidR="00182CBD" w:rsidRDefault="00182CBD" w:rsidP="004E120D">
      <w:pPr>
        <w:pStyle w:val="BulletLevel1"/>
      </w:pPr>
      <w:r>
        <w:t>Ongoing Support Fees.</w:t>
      </w:r>
    </w:p>
    <w:p w14:paraId="62ACB889" w14:textId="3BF07CDE" w:rsidR="00182CBD" w:rsidRDefault="00182CBD" w:rsidP="00182CBD">
      <w:r w:rsidRPr="42C107D3">
        <w:t xml:space="preserve">The Participant Investment Funding Model applies to Service Fees and Outcome Fees. Under the Participant Investment Funding Model, more </w:t>
      </w:r>
      <w:r w:rsidR="001A097F">
        <w:t>f</w:t>
      </w:r>
      <w:r w:rsidRPr="42C107D3">
        <w:t>unding is available to support Participants who have multiple or complex barriers to Employment as determined by factors such as:</w:t>
      </w:r>
    </w:p>
    <w:p w14:paraId="30D9BEF0" w14:textId="59049ADE" w:rsidR="00182CBD" w:rsidRPr="00C70AB8" w:rsidRDefault="00182CBD" w:rsidP="004E120D">
      <w:pPr>
        <w:pStyle w:val="BulletLevel1"/>
      </w:pPr>
      <w:r w:rsidRPr="00C70AB8">
        <w:t>demographic characteristics</w:t>
      </w:r>
    </w:p>
    <w:p w14:paraId="2C7ED741" w14:textId="77777777" w:rsidR="00182CBD" w:rsidRPr="00C70AB8" w:rsidRDefault="00182CBD" w:rsidP="004E120D">
      <w:pPr>
        <w:pStyle w:val="BulletLevel1"/>
      </w:pPr>
      <w:r w:rsidRPr="42C107D3">
        <w:t>disability type, as captured by the ESAt or JCA, and</w:t>
      </w:r>
    </w:p>
    <w:p w14:paraId="191498D4" w14:textId="720357EC" w:rsidR="00182CBD" w:rsidRPr="00C70AB8" w:rsidRDefault="00182CBD" w:rsidP="004E120D">
      <w:pPr>
        <w:pStyle w:val="BulletLevel1"/>
      </w:pPr>
      <w:r w:rsidRPr="00C70AB8">
        <w:t>other relevant statistical data</w:t>
      </w:r>
      <w:r>
        <w:t xml:space="preserve"> collected by </w:t>
      </w:r>
      <w:r w:rsidRPr="035483C0">
        <w:t xml:space="preserve">the Australian Bureau of Statistics (ABS), Services Australia and </w:t>
      </w:r>
      <w:r w:rsidR="00E32C99">
        <w:t>DEWR</w:t>
      </w:r>
      <w:r w:rsidRPr="00C70AB8">
        <w:t xml:space="preserve">. </w:t>
      </w:r>
    </w:p>
    <w:p w14:paraId="4637CA0B" w14:textId="176FA9F4" w:rsidR="00182CBD" w:rsidRPr="00EC6252" w:rsidRDefault="00182CBD" w:rsidP="004653CF">
      <w:r w:rsidRPr="42C107D3">
        <w:t>The Department will periodically recalibrate the Participant Investment Funding Model, where appropriate, to reflect changes in the relative likelihoods of Employment on which Participants</w:t>
      </w:r>
      <w:r w:rsidR="00417CDB">
        <w:t>’</w:t>
      </w:r>
      <w:r w:rsidRPr="42C107D3">
        <w:t xml:space="preserve"> Funding Level</w:t>
      </w:r>
      <w:r w:rsidR="00417CDB">
        <w:t>s</w:t>
      </w:r>
      <w:r w:rsidRPr="42C107D3">
        <w:t xml:space="preserve"> are based.</w:t>
      </w:r>
    </w:p>
    <w:p w14:paraId="654ED758" w14:textId="30CBDF7A" w:rsidR="00182CBD" w:rsidRDefault="00182CBD" w:rsidP="00182CBD">
      <w:r w:rsidRPr="42C107D3">
        <w:t xml:space="preserve">Providers will need to meet Documentary Evidence requirements for </w:t>
      </w:r>
      <w:r w:rsidR="00835F34">
        <w:t>P</w:t>
      </w:r>
      <w:r w:rsidRPr="42C107D3">
        <w:t xml:space="preserve">ayment claims. Providers </w:t>
      </w:r>
      <w:r>
        <w:t>will</w:t>
      </w:r>
      <w:r w:rsidRPr="42C107D3">
        <w:t xml:space="preserve"> be required to supply Documentary Evidence at the time of making the relevant claim for a </w:t>
      </w:r>
      <w:r w:rsidR="00835F34">
        <w:t>P</w:t>
      </w:r>
      <w:r w:rsidRPr="42C107D3">
        <w:t xml:space="preserve">ayment through the Department’s IT Systems or </w:t>
      </w:r>
      <w:r w:rsidR="00D73A1A" w:rsidRPr="42C107D3">
        <w:t xml:space="preserve">within </w:t>
      </w:r>
      <w:r w:rsidR="00D73A1A">
        <w:t>10</w:t>
      </w:r>
      <w:r w:rsidR="00D73A1A" w:rsidRPr="42C107D3">
        <w:t xml:space="preserve"> Business </w:t>
      </w:r>
      <w:r w:rsidR="00D73A1A">
        <w:t>Days</w:t>
      </w:r>
      <w:r w:rsidR="00D73A1A" w:rsidRPr="42C107D3">
        <w:t xml:space="preserve"> </w:t>
      </w:r>
      <w:r w:rsidR="00706498">
        <w:t>of a r</w:t>
      </w:r>
      <w:r w:rsidRPr="42C107D3">
        <w:t>equest by the Department.</w:t>
      </w:r>
    </w:p>
    <w:p w14:paraId="1CA83286" w14:textId="4BFB07AE" w:rsidR="00182CBD" w:rsidRDefault="00182CBD" w:rsidP="00182CBD">
      <w:r>
        <w:t xml:space="preserve">This Chapter should be read in conjunction with </w:t>
      </w:r>
      <w:r w:rsidRPr="00572630">
        <w:rPr>
          <w:rStyle w:val="Hyperlink"/>
        </w:rPr>
        <w:t xml:space="preserve">Part A Guidelines: Chapter </w:t>
      </w:r>
      <w:r w:rsidR="0086302A" w:rsidRPr="00572630">
        <w:rPr>
          <w:rStyle w:val="Hyperlink"/>
        </w:rPr>
        <w:t>5</w:t>
      </w:r>
      <w:r w:rsidRPr="00572630">
        <w:rPr>
          <w:rStyle w:val="Hyperlink"/>
        </w:rPr>
        <w:t>: Record Management Instructions</w:t>
      </w:r>
      <w:r w:rsidR="00572630" w:rsidRPr="00572630">
        <w:rPr>
          <w:rStyle w:val="Hyperlink"/>
        </w:rPr>
        <w:t xml:space="preserve"> [LINK]</w:t>
      </w:r>
      <w:r>
        <w:t>.</w:t>
      </w:r>
      <w:r w:rsidR="0030028C">
        <w:t xml:space="preserve"> </w:t>
      </w:r>
    </w:p>
    <w:p w14:paraId="7BA6F333" w14:textId="6D889319" w:rsidR="00182CBD" w:rsidRDefault="00182CBD" w:rsidP="00182CBD">
      <w:pPr>
        <w:rPr>
          <w:rFonts w:ascii="Tahoma" w:eastAsia="Tahoma" w:hAnsi="Tahoma" w:cs="Tahoma"/>
          <w:color w:val="000000" w:themeColor="text1"/>
        </w:rPr>
      </w:pPr>
      <w:r w:rsidRPr="00D02042">
        <w:rPr>
          <w:b/>
          <w:bCs/>
        </w:rPr>
        <w:t>Note:</w:t>
      </w:r>
      <w:r>
        <w:t xml:space="preserve"> </w:t>
      </w:r>
      <w:r w:rsidR="00025B94">
        <w:t>All</w:t>
      </w:r>
      <w:r w:rsidR="00025B94" w:rsidRPr="00025B94">
        <w:t xml:space="preserve"> Fees for </w:t>
      </w:r>
      <w:r w:rsidR="00202A96">
        <w:t>Inclusive Employment Australia</w:t>
      </w:r>
      <w:r w:rsidR="00025B94" w:rsidRPr="00025B94">
        <w:t xml:space="preserve"> are specified in Annexure B</w:t>
      </w:r>
      <w:r w:rsidR="00177082">
        <w:t xml:space="preserve"> – Fees and Outcomes</w:t>
      </w:r>
      <w:r w:rsidR="00025B94" w:rsidRPr="00025B94">
        <w:t xml:space="preserve"> of the </w:t>
      </w:r>
      <w:r w:rsidR="00202A96">
        <w:t>Inclusive Employment Australia</w:t>
      </w:r>
      <w:r w:rsidR="00177082">
        <w:t xml:space="preserve"> </w:t>
      </w:r>
      <w:r w:rsidR="00025B94" w:rsidRPr="00025B94">
        <w:t>Deed</w:t>
      </w:r>
      <w:r w:rsidR="00025B94">
        <w:t xml:space="preserve"> a</w:t>
      </w:r>
      <w:r>
        <w:t xml:space="preserve">nd </w:t>
      </w:r>
      <w:r w:rsidRPr="00151091">
        <w:t>s</w:t>
      </w:r>
      <w:r w:rsidRPr="00151091">
        <w:rPr>
          <w:rFonts w:ascii="Tahoma" w:eastAsia="Tahoma" w:hAnsi="Tahoma" w:cs="Tahoma"/>
          <w:color w:val="000000" w:themeColor="text1"/>
        </w:rPr>
        <w:t>ubject to indexation</w:t>
      </w:r>
      <w:r w:rsidR="006640C8">
        <w:rPr>
          <w:rFonts w:ascii="Tahoma" w:eastAsia="Tahoma" w:hAnsi="Tahoma" w:cs="Tahoma"/>
          <w:color w:val="000000" w:themeColor="text1"/>
        </w:rPr>
        <w:t xml:space="preserve"> </w:t>
      </w:r>
      <w:r w:rsidR="009C3065">
        <w:rPr>
          <w:rFonts w:ascii="Tahoma" w:eastAsia="Tahoma" w:hAnsi="Tahoma" w:cs="Tahoma"/>
          <w:color w:val="000000" w:themeColor="text1"/>
        </w:rPr>
        <w:t xml:space="preserve">rate </w:t>
      </w:r>
      <w:r w:rsidR="006640C8">
        <w:rPr>
          <w:rFonts w:ascii="Tahoma" w:eastAsia="Tahoma" w:hAnsi="Tahoma" w:cs="Tahoma"/>
          <w:color w:val="000000" w:themeColor="text1"/>
        </w:rPr>
        <w:t>determinations</w:t>
      </w:r>
      <w:r w:rsidRPr="00151091">
        <w:rPr>
          <w:rFonts w:ascii="Tahoma" w:eastAsia="Tahoma" w:hAnsi="Tahoma" w:cs="Tahoma"/>
          <w:color w:val="000000" w:themeColor="text1"/>
        </w:rPr>
        <w:t>.</w:t>
      </w:r>
    </w:p>
    <w:p w14:paraId="4ECCF864" w14:textId="166754EC" w:rsidR="00182CBD" w:rsidRPr="000547B1" w:rsidRDefault="00182CBD" w:rsidP="001D0F92">
      <w:pPr>
        <w:pStyle w:val="Heading3"/>
        <w:rPr>
          <w:noProof/>
          <w:lang w:eastAsia="en-AU"/>
        </w:rPr>
      </w:pPr>
      <w:bookmarkStart w:id="468" w:name="_Ref202896917"/>
      <w:bookmarkStart w:id="469" w:name="_Toc202900083"/>
      <w:r>
        <w:rPr>
          <w:noProof/>
          <w:lang w:eastAsia="en-AU"/>
        </w:rPr>
        <w:t>11.2</w:t>
      </w:r>
      <w:r w:rsidR="00535DD6">
        <w:rPr>
          <w:noProof/>
          <w:lang w:eastAsia="en-AU"/>
        </w:rPr>
        <w:tab/>
      </w:r>
      <w:r w:rsidRPr="000547B1">
        <w:rPr>
          <w:noProof/>
          <w:lang w:eastAsia="en-AU"/>
        </w:rPr>
        <w:t>Employment Benchmarks</w:t>
      </w:r>
      <w:bookmarkEnd w:id="468"/>
      <w:bookmarkEnd w:id="469"/>
    </w:p>
    <w:p w14:paraId="286200C0" w14:textId="0D28FC24" w:rsidR="00182CBD" w:rsidRPr="000547B1" w:rsidRDefault="00182CBD" w:rsidP="004653CF">
      <w:r w:rsidRPr="000547B1">
        <w:t>Employment Benchmarks will be used to calculate eligibility for Full or Partial Outcome Fees</w:t>
      </w:r>
      <w:r>
        <w:t xml:space="preserve"> and Progress Fees (voluntary work).</w:t>
      </w:r>
      <w:r w:rsidR="00153260">
        <w:t xml:space="preserve"> </w:t>
      </w:r>
    </w:p>
    <w:p w14:paraId="610A16B3" w14:textId="77777777" w:rsidR="004B3A85" w:rsidRPr="000547B1" w:rsidRDefault="004B3A85" w:rsidP="004B3A85">
      <w:r w:rsidRPr="000547B1">
        <w:t xml:space="preserve">Participants will have an Employment Benchmark of </w:t>
      </w:r>
      <w:r>
        <w:t xml:space="preserve">0, </w:t>
      </w:r>
      <w:r w:rsidRPr="000547B1">
        <w:t>8, 15, 23, or 30</w:t>
      </w:r>
      <w:r>
        <w:t xml:space="preserve"> hours per week</w:t>
      </w:r>
      <w:r w:rsidRPr="000547B1">
        <w:t>.</w:t>
      </w:r>
      <w:r>
        <w:t xml:space="preserve"> </w:t>
      </w:r>
    </w:p>
    <w:p w14:paraId="49002807" w14:textId="09B115DE" w:rsidR="00751D37" w:rsidRDefault="00751D37" w:rsidP="00751D37">
      <w:r w:rsidRPr="000547B1">
        <w:t xml:space="preserve">A Participant’s Employment Benchmark is based on </w:t>
      </w:r>
      <w:r w:rsidR="00C53606">
        <w:t xml:space="preserve">the </w:t>
      </w:r>
      <w:r w:rsidR="00264C75">
        <w:t xml:space="preserve">start of their </w:t>
      </w:r>
      <w:r>
        <w:t>future work capacity with intervention</w:t>
      </w:r>
      <w:r w:rsidRPr="13D35372">
        <w:t xml:space="preserve"> </w:t>
      </w:r>
      <w:r w:rsidR="00264C75">
        <w:t xml:space="preserve">bandwidth </w:t>
      </w:r>
      <w:r w:rsidRPr="000547B1">
        <w:t>as assessed by an ESAt</w:t>
      </w:r>
      <w:r w:rsidR="00A27AF7">
        <w:t xml:space="preserve"> or JCA</w:t>
      </w:r>
      <w:r w:rsidR="00713DDF">
        <w:t xml:space="preserve"> </w:t>
      </w:r>
      <w:r w:rsidR="004B3A85">
        <w:t>except as set out in the table below</w:t>
      </w:r>
      <w:r w:rsidR="00CB5C7C">
        <w:t>.</w:t>
      </w:r>
    </w:p>
    <w:p w14:paraId="25872CBA" w14:textId="24559196" w:rsidR="00182CBD" w:rsidRPr="000547B1" w:rsidRDefault="000A6FAA" w:rsidP="004653CF">
      <w:r>
        <w:t>P</w:t>
      </w:r>
      <w:r w:rsidR="00182CBD" w:rsidRPr="000547B1">
        <w:t xml:space="preserve">articipants with a </w:t>
      </w:r>
      <w:r w:rsidR="005446CD">
        <w:t>f</w:t>
      </w:r>
      <w:r w:rsidR="00182CBD" w:rsidRPr="000547B1">
        <w:t xml:space="preserve">uture </w:t>
      </w:r>
      <w:r w:rsidR="005446CD">
        <w:t>w</w:t>
      </w:r>
      <w:r w:rsidR="00182CBD" w:rsidRPr="000547B1">
        <w:t xml:space="preserve">ork </w:t>
      </w:r>
      <w:r w:rsidR="005446CD">
        <w:t>c</w:t>
      </w:r>
      <w:r w:rsidR="00182CBD" w:rsidRPr="000547B1">
        <w:t xml:space="preserve">apacity </w:t>
      </w:r>
      <w:r w:rsidR="005446CD">
        <w:t xml:space="preserve">with intervention </w:t>
      </w:r>
      <w:r w:rsidR="00182CBD" w:rsidRPr="000547B1">
        <w:t>of 0-7 hours per week</w:t>
      </w:r>
      <w:r>
        <w:t xml:space="preserve"> can receive support under </w:t>
      </w:r>
      <w:r w:rsidR="00202A96">
        <w:t>Inclusive Employment Australia</w:t>
      </w:r>
      <w:r w:rsidR="003C5A6A">
        <w:t xml:space="preserve"> and with </w:t>
      </w:r>
      <w:r w:rsidR="000A1A44">
        <w:t>be assigned</w:t>
      </w:r>
      <w:r w:rsidR="003C5A6A">
        <w:t xml:space="preserve"> a Benchmark of 0</w:t>
      </w:r>
      <w:r w:rsidR="00FF003D">
        <w:t xml:space="preserve"> hours</w:t>
      </w:r>
      <w:r w:rsidR="00182CBD" w:rsidRPr="000547B1">
        <w:t xml:space="preserve">. </w:t>
      </w:r>
    </w:p>
    <w:p w14:paraId="4DCBB050" w14:textId="57DFDC11" w:rsidR="00182CBD" w:rsidRPr="000547B1" w:rsidRDefault="001E1B85" w:rsidP="001E1B85">
      <w:pPr>
        <w:pStyle w:val="TableChartHeading"/>
      </w:pPr>
      <w:r>
        <w:t>Employment Benchmarks</w:t>
      </w:r>
    </w:p>
    <w:tbl>
      <w:tblPr>
        <w:tblStyle w:val="DSSTableStyleB"/>
        <w:tblpPr w:leftFromText="180" w:rightFromText="180" w:vertAnchor="text" w:tblpXSpec="center" w:tblpY="1"/>
        <w:tblW w:w="10349"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8222"/>
        <w:gridCol w:w="2127"/>
      </w:tblGrid>
      <w:tr w:rsidR="00FC127C" w:rsidRPr="000547B1" w14:paraId="122780DE" w14:textId="77777777" w:rsidTr="001E1B85">
        <w:trPr>
          <w:cnfStyle w:val="100000000000" w:firstRow="1" w:lastRow="0" w:firstColumn="0" w:lastColumn="0" w:oddVBand="0" w:evenVBand="0" w:oddHBand="0" w:evenHBand="0" w:firstRowFirstColumn="0" w:firstRowLastColumn="0" w:lastRowFirstColumn="0" w:lastRowLastColumn="0"/>
          <w:trHeight w:val="288"/>
        </w:trPr>
        <w:tc>
          <w:tcPr>
            <w:tcW w:w="8222" w:type="dxa"/>
          </w:tcPr>
          <w:p w14:paraId="1A37D79D" w14:textId="77777777" w:rsidR="00182CBD" w:rsidRPr="000547B1" w:rsidRDefault="00182CBD" w:rsidP="00F57DE0">
            <w:pPr>
              <w:pStyle w:val="TableText"/>
              <w:rPr>
                <w:rFonts w:eastAsia="Tahoma"/>
                <w:b w:val="0"/>
              </w:rPr>
            </w:pPr>
            <w:r w:rsidRPr="000547B1">
              <w:rPr>
                <w:rFonts w:eastAsia="Tahoma"/>
              </w:rPr>
              <w:t>Participant</w:t>
            </w:r>
          </w:p>
        </w:tc>
        <w:tc>
          <w:tcPr>
            <w:tcW w:w="2127" w:type="dxa"/>
          </w:tcPr>
          <w:p w14:paraId="6B5760BF" w14:textId="77777777" w:rsidR="00182CBD" w:rsidRPr="000547B1" w:rsidRDefault="00182CBD" w:rsidP="00B4704F">
            <w:pPr>
              <w:pStyle w:val="TableText"/>
              <w:jc w:val="center"/>
              <w:rPr>
                <w:rFonts w:eastAsia="Tahoma"/>
                <w:b w:val="0"/>
              </w:rPr>
            </w:pPr>
            <w:r w:rsidRPr="000547B1">
              <w:rPr>
                <w:rFonts w:eastAsia="Tahoma"/>
              </w:rPr>
              <w:t>Employment Benchmark</w:t>
            </w:r>
          </w:p>
        </w:tc>
      </w:tr>
      <w:tr w:rsidR="00182CBD" w:rsidRPr="000547B1" w14:paraId="532D079F" w14:textId="77777777" w:rsidTr="001E1B85">
        <w:trPr>
          <w:trHeight w:val="288"/>
        </w:trPr>
        <w:tc>
          <w:tcPr>
            <w:tcW w:w="8222" w:type="dxa"/>
          </w:tcPr>
          <w:p w14:paraId="2DF78740" w14:textId="77777777" w:rsidR="00182CBD" w:rsidRPr="000547B1" w:rsidRDefault="00182CBD" w:rsidP="00F57DE0">
            <w:pPr>
              <w:pStyle w:val="TableText"/>
            </w:pPr>
            <w:r w:rsidRPr="000547B1">
              <w:t>Future work capacity of 0-7 hours per week</w:t>
            </w:r>
          </w:p>
        </w:tc>
        <w:tc>
          <w:tcPr>
            <w:tcW w:w="2127" w:type="dxa"/>
          </w:tcPr>
          <w:p w14:paraId="0C0C6937" w14:textId="7FEEB443" w:rsidR="00182CBD" w:rsidRPr="000547B1" w:rsidRDefault="002A6EA4" w:rsidP="00F57DE0">
            <w:pPr>
              <w:pStyle w:val="TableText"/>
              <w:jc w:val="center"/>
            </w:pPr>
            <w:r>
              <w:t>0</w:t>
            </w:r>
            <w:r w:rsidR="00B4704F">
              <w:t xml:space="preserve"> hours</w:t>
            </w:r>
          </w:p>
        </w:tc>
      </w:tr>
      <w:tr w:rsidR="00182CBD" w:rsidRPr="000547B1" w14:paraId="21030BBE" w14:textId="77777777" w:rsidTr="001E1B85">
        <w:trPr>
          <w:trHeight w:val="288"/>
        </w:trPr>
        <w:tc>
          <w:tcPr>
            <w:tcW w:w="8222" w:type="dxa"/>
          </w:tcPr>
          <w:p w14:paraId="018A31C9" w14:textId="77777777" w:rsidR="00182CBD" w:rsidRPr="000547B1" w:rsidRDefault="00182CBD" w:rsidP="00F57DE0">
            <w:pPr>
              <w:pStyle w:val="TableText"/>
            </w:pPr>
            <w:r w:rsidRPr="000547B1">
              <w:t>Future work capacity of 8-14 or 8+ hours per week</w:t>
            </w:r>
          </w:p>
        </w:tc>
        <w:tc>
          <w:tcPr>
            <w:tcW w:w="2127" w:type="dxa"/>
          </w:tcPr>
          <w:p w14:paraId="2DA4A963" w14:textId="0FA72B34" w:rsidR="00182CBD" w:rsidRPr="000547B1" w:rsidRDefault="00182CBD" w:rsidP="00F57DE0">
            <w:pPr>
              <w:pStyle w:val="TableText"/>
              <w:jc w:val="center"/>
            </w:pPr>
            <w:r w:rsidRPr="000547B1">
              <w:t>8</w:t>
            </w:r>
            <w:r w:rsidR="00B4704F">
              <w:t xml:space="preserve"> hours</w:t>
            </w:r>
          </w:p>
        </w:tc>
      </w:tr>
      <w:tr w:rsidR="00182CBD" w:rsidRPr="000547B1" w14:paraId="416E294E" w14:textId="77777777" w:rsidTr="001E1B85">
        <w:trPr>
          <w:trHeight w:val="288"/>
        </w:trPr>
        <w:tc>
          <w:tcPr>
            <w:tcW w:w="8222" w:type="dxa"/>
          </w:tcPr>
          <w:p w14:paraId="0CE62FA9" w14:textId="77777777" w:rsidR="00182CBD" w:rsidRPr="000547B1" w:rsidRDefault="00182CBD" w:rsidP="00F57DE0">
            <w:pPr>
              <w:pStyle w:val="TableText"/>
            </w:pPr>
            <w:r w:rsidRPr="000547B1">
              <w:t>Future work capacity of 15-22 hours per week</w:t>
            </w:r>
          </w:p>
        </w:tc>
        <w:tc>
          <w:tcPr>
            <w:tcW w:w="2127" w:type="dxa"/>
          </w:tcPr>
          <w:p w14:paraId="75BF27FE" w14:textId="73C17618" w:rsidR="00182CBD" w:rsidRPr="000547B1" w:rsidRDefault="00182CBD" w:rsidP="00F57DE0">
            <w:pPr>
              <w:pStyle w:val="TableText"/>
              <w:jc w:val="center"/>
            </w:pPr>
            <w:r w:rsidRPr="000547B1">
              <w:t>15</w:t>
            </w:r>
            <w:r w:rsidR="00B4704F">
              <w:t xml:space="preserve"> hours</w:t>
            </w:r>
          </w:p>
        </w:tc>
      </w:tr>
      <w:tr w:rsidR="00182CBD" w:rsidRPr="000547B1" w14:paraId="3EF95AA6" w14:textId="77777777" w:rsidTr="001E1B85">
        <w:trPr>
          <w:trHeight w:val="288"/>
        </w:trPr>
        <w:tc>
          <w:tcPr>
            <w:tcW w:w="8222" w:type="dxa"/>
          </w:tcPr>
          <w:p w14:paraId="3A337877" w14:textId="77777777" w:rsidR="00182CBD" w:rsidRPr="000547B1" w:rsidRDefault="00182CBD" w:rsidP="00F57DE0">
            <w:pPr>
              <w:pStyle w:val="TableText"/>
            </w:pPr>
            <w:r w:rsidRPr="000547B1">
              <w:t>Future work capacity of 23-29 hours per week</w:t>
            </w:r>
          </w:p>
        </w:tc>
        <w:tc>
          <w:tcPr>
            <w:tcW w:w="2127" w:type="dxa"/>
          </w:tcPr>
          <w:p w14:paraId="63A152FB" w14:textId="14A1F203" w:rsidR="00182CBD" w:rsidRPr="000547B1" w:rsidRDefault="00182CBD" w:rsidP="00F57DE0">
            <w:pPr>
              <w:pStyle w:val="TableText"/>
              <w:jc w:val="center"/>
            </w:pPr>
            <w:r w:rsidRPr="000547B1">
              <w:t>23</w:t>
            </w:r>
            <w:r w:rsidR="00B4704F">
              <w:t xml:space="preserve"> hours</w:t>
            </w:r>
          </w:p>
        </w:tc>
      </w:tr>
      <w:tr w:rsidR="00182CBD" w:rsidRPr="000547B1" w14:paraId="13BD5624" w14:textId="77777777" w:rsidTr="001E1B85">
        <w:trPr>
          <w:trHeight w:val="288"/>
        </w:trPr>
        <w:tc>
          <w:tcPr>
            <w:tcW w:w="8222" w:type="dxa"/>
          </w:tcPr>
          <w:p w14:paraId="7F17689E" w14:textId="14E4F611" w:rsidR="00182CBD" w:rsidRPr="000547B1" w:rsidRDefault="00182CBD" w:rsidP="00F57DE0">
            <w:pPr>
              <w:pStyle w:val="TableText"/>
            </w:pPr>
            <w:r w:rsidRPr="000547B1">
              <w:t xml:space="preserve">Future work capacity of 30+ hours per week </w:t>
            </w:r>
            <w:r w:rsidR="57D2AFE6">
              <w:t>*</w:t>
            </w:r>
          </w:p>
        </w:tc>
        <w:tc>
          <w:tcPr>
            <w:tcW w:w="2127" w:type="dxa"/>
          </w:tcPr>
          <w:p w14:paraId="40157F31" w14:textId="40C449E4" w:rsidR="00182CBD" w:rsidRPr="000547B1" w:rsidRDefault="00182CBD" w:rsidP="00F57DE0">
            <w:pPr>
              <w:pStyle w:val="TableText"/>
              <w:jc w:val="center"/>
            </w:pPr>
            <w:r w:rsidRPr="000547B1">
              <w:t>30</w:t>
            </w:r>
            <w:r w:rsidR="00B4704F">
              <w:t xml:space="preserve"> hours</w:t>
            </w:r>
          </w:p>
        </w:tc>
      </w:tr>
      <w:tr w:rsidR="00182CBD" w:rsidRPr="000547B1" w14:paraId="34E88F5A" w14:textId="77777777" w:rsidTr="001E1B85">
        <w:trPr>
          <w:trHeight w:val="288"/>
        </w:trPr>
        <w:tc>
          <w:tcPr>
            <w:tcW w:w="8222" w:type="dxa"/>
          </w:tcPr>
          <w:p w14:paraId="360537F8" w14:textId="6B8869FD" w:rsidR="00182CBD" w:rsidRPr="000547B1" w:rsidRDefault="00264C75" w:rsidP="00F57DE0">
            <w:pPr>
              <w:pStyle w:val="TableText"/>
            </w:pPr>
            <w:r>
              <w:t>Eligible School Leaver (</w:t>
            </w:r>
            <w:r w:rsidR="00CE12B5">
              <w:t>ESL</w:t>
            </w:r>
            <w:r>
              <w:t>)</w:t>
            </w:r>
            <w:r w:rsidR="00DE0D6F">
              <w:t xml:space="preserve"> </w:t>
            </w:r>
            <w:r w:rsidR="00446581">
              <w:t>Participants</w:t>
            </w:r>
            <w:r w:rsidR="00182CBD" w:rsidRPr="000547B1">
              <w:t xml:space="preserve"> </w:t>
            </w:r>
            <w:r w:rsidR="009E608F">
              <w:t xml:space="preserve">- </w:t>
            </w:r>
            <w:r w:rsidR="00182CBD" w:rsidRPr="000547B1">
              <w:t xml:space="preserve">who </w:t>
            </w:r>
            <w:r w:rsidR="009E608F">
              <w:t>do not need an ESAt</w:t>
            </w:r>
          </w:p>
        </w:tc>
        <w:tc>
          <w:tcPr>
            <w:tcW w:w="2127" w:type="dxa"/>
          </w:tcPr>
          <w:p w14:paraId="0140FAF7" w14:textId="119767CC" w:rsidR="00182CBD" w:rsidRPr="000547B1" w:rsidRDefault="00182CBD" w:rsidP="00F57DE0">
            <w:pPr>
              <w:pStyle w:val="TableText"/>
              <w:jc w:val="center"/>
            </w:pPr>
            <w:r w:rsidRPr="000547B1">
              <w:t>8</w:t>
            </w:r>
            <w:r w:rsidR="00B4704F">
              <w:t xml:space="preserve"> hours</w:t>
            </w:r>
          </w:p>
        </w:tc>
      </w:tr>
      <w:tr w:rsidR="00446581" w:rsidRPr="000547B1" w14:paraId="22460CF2" w14:textId="77777777" w:rsidTr="001E1B85">
        <w:trPr>
          <w:trHeight w:val="288"/>
        </w:trPr>
        <w:tc>
          <w:tcPr>
            <w:tcW w:w="8222" w:type="dxa"/>
          </w:tcPr>
          <w:p w14:paraId="07265C4E" w14:textId="12B99AE6" w:rsidR="00446581" w:rsidRDefault="00264C75" w:rsidP="00446581">
            <w:pPr>
              <w:pStyle w:val="TableText"/>
            </w:pPr>
            <w:r>
              <w:t>Special Class Client (</w:t>
            </w:r>
            <w:r w:rsidR="00CE12B5">
              <w:t>SCC</w:t>
            </w:r>
            <w:r>
              <w:t>)</w:t>
            </w:r>
            <w:r w:rsidR="00446581">
              <w:t xml:space="preserve"> Participants </w:t>
            </w:r>
            <w:r w:rsidR="009E608F">
              <w:t xml:space="preserve">- </w:t>
            </w:r>
            <w:r w:rsidR="009E608F" w:rsidRPr="000547B1">
              <w:t xml:space="preserve">who </w:t>
            </w:r>
            <w:r w:rsidR="009E608F">
              <w:t>do not need an ESAt</w:t>
            </w:r>
          </w:p>
        </w:tc>
        <w:tc>
          <w:tcPr>
            <w:tcW w:w="2127" w:type="dxa"/>
          </w:tcPr>
          <w:p w14:paraId="65AFBF2D" w14:textId="2D7AAC26" w:rsidR="00446581" w:rsidRPr="000547B1" w:rsidRDefault="00446581" w:rsidP="00446581">
            <w:pPr>
              <w:pStyle w:val="TableText"/>
              <w:jc w:val="center"/>
            </w:pPr>
            <w:r w:rsidRPr="000547B1">
              <w:t>8</w:t>
            </w:r>
            <w:r w:rsidR="00B4704F">
              <w:t xml:space="preserve"> hours</w:t>
            </w:r>
          </w:p>
        </w:tc>
      </w:tr>
      <w:tr w:rsidR="00182CBD" w:rsidRPr="000547B1" w14:paraId="2CC33E73" w14:textId="77777777" w:rsidTr="00B4704F">
        <w:trPr>
          <w:trHeight w:val="288"/>
        </w:trPr>
        <w:tc>
          <w:tcPr>
            <w:tcW w:w="8222" w:type="dxa"/>
          </w:tcPr>
          <w:p w14:paraId="58D03D52" w14:textId="6E2A3630" w:rsidR="00182CBD" w:rsidRPr="000547B1" w:rsidRDefault="00182CBD" w:rsidP="00F57DE0">
            <w:pPr>
              <w:pStyle w:val="TableText"/>
            </w:pPr>
            <w:r w:rsidRPr="000547B1">
              <w:t xml:space="preserve">Principal Carer Parents, or </w:t>
            </w:r>
            <w:r w:rsidR="00B4704F">
              <w:br/>
            </w:r>
            <w:r w:rsidRPr="000547B1">
              <w:t xml:space="preserve">Parenting Payment </w:t>
            </w:r>
            <w:r w:rsidR="00B4704F" w:rsidRPr="000547B1">
              <w:t xml:space="preserve">recipients </w:t>
            </w:r>
            <w:r w:rsidRPr="000547B1">
              <w:t>without participation requirements</w:t>
            </w:r>
          </w:p>
        </w:tc>
        <w:tc>
          <w:tcPr>
            <w:tcW w:w="2127" w:type="dxa"/>
            <w:vAlign w:val="center"/>
          </w:tcPr>
          <w:p w14:paraId="47CD5F06" w14:textId="13C3A168" w:rsidR="00182CBD" w:rsidRPr="000547B1" w:rsidRDefault="00182CBD" w:rsidP="00F57DE0">
            <w:pPr>
              <w:pStyle w:val="TableText"/>
              <w:jc w:val="center"/>
            </w:pPr>
            <w:r w:rsidRPr="000547B1">
              <w:t>15</w:t>
            </w:r>
            <w:r w:rsidR="00B4704F">
              <w:t xml:space="preserve"> hours</w:t>
            </w:r>
          </w:p>
        </w:tc>
      </w:tr>
      <w:tr w:rsidR="00182CBD" w:rsidRPr="000547B1" w14:paraId="72495654" w14:textId="77777777" w:rsidTr="00B4704F">
        <w:trPr>
          <w:trHeight w:val="288"/>
        </w:trPr>
        <w:tc>
          <w:tcPr>
            <w:tcW w:w="8222" w:type="dxa"/>
          </w:tcPr>
          <w:p w14:paraId="593F9060" w14:textId="0CED6CFC" w:rsidR="00182CBD" w:rsidRPr="000547B1" w:rsidRDefault="000019A7" w:rsidP="00F57DE0">
            <w:pPr>
              <w:pStyle w:val="TableText"/>
            </w:pPr>
            <w:r w:rsidRPr="00B51329">
              <w:t xml:space="preserve">Carer </w:t>
            </w:r>
            <w:r w:rsidR="00427E48">
              <w:t>Payment recipients</w:t>
            </w:r>
            <w:r w:rsidRPr="000547B1">
              <w:t xml:space="preserve"> </w:t>
            </w:r>
            <w:r w:rsidR="00182CBD" w:rsidRPr="000547B1">
              <w:t>who choose to work reduced hours due to caring</w:t>
            </w:r>
            <w:r w:rsidR="00B4704F">
              <w:t> </w:t>
            </w:r>
            <w:r w:rsidR="00182CBD" w:rsidRPr="000547B1">
              <w:t>responsibilities</w:t>
            </w:r>
          </w:p>
        </w:tc>
        <w:tc>
          <w:tcPr>
            <w:tcW w:w="2127" w:type="dxa"/>
            <w:vAlign w:val="center"/>
          </w:tcPr>
          <w:p w14:paraId="7692A177" w14:textId="4DC29752" w:rsidR="00182CBD" w:rsidRPr="000547B1" w:rsidRDefault="00182CBD" w:rsidP="00F57DE0">
            <w:pPr>
              <w:pStyle w:val="TableText"/>
              <w:jc w:val="center"/>
            </w:pPr>
            <w:r w:rsidRPr="000547B1">
              <w:t>15</w:t>
            </w:r>
            <w:r w:rsidR="00B4704F">
              <w:t xml:space="preserve"> hours</w:t>
            </w:r>
          </w:p>
        </w:tc>
      </w:tr>
    </w:tbl>
    <w:p w14:paraId="0281B75A" w14:textId="5695CC0F" w:rsidR="00182CBD" w:rsidRPr="003410AA" w:rsidRDefault="417381D9" w:rsidP="00CF1EFB">
      <w:pPr>
        <w:rPr>
          <w:sz w:val="20"/>
          <w:szCs w:val="20"/>
        </w:rPr>
      </w:pPr>
      <w:r w:rsidRPr="5176DD7B">
        <w:rPr>
          <w:b/>
          <w:bCs/>
        </w:rPr>
        <w:t>*</w:t>
      </w:r>
      <w:r w:rsidR="00182CBD" w:rsidRPr="00F57DE0">
        <w:rPr>
          <w:b/>
          <w:bCs/>
        </w:rPr>
        <w:t>Note:</w:t>
      </w:r>
      <w:r w:rsidR="00182CBD" w:rsidRPr="005267F0">
        <w:t xml:space="preserve"> </w:t>
      </w:r>
      <w:r w:rsidR="00277A1E">
        <w:t>Individuals</w:t>
      </w:r>
      <w:r w:rsidR="00182CBD" w:rsidRPr="005267F0">
        <w:t xml:space="preserve"> with an assessed work capacity</w:t>
      </w:r>
      <w:r w:rsidR="00427E48">
        <w:t xml:space="preserve"> </w:t>
      </w:r>
      <w:r w:rsidR="00182CBD" w:rsidRPr="005267F0">
        <w:t xml:space="preserve">of 30 hours </w:t>
      </w:r>
      <w:r w:rsidR="00B4704F">
        <w:t>or more</w:t>
      </w:r>
      <w:r w:rsidR="00182CBD" w:rsidRPr="005267F0">
        <w:t xml:space="preserve"> per week </w:t>
      </w:r>
      <w:r w:rsidR="00EF6DC8">
        <w:t xml:space="preserve">are </w:t>
      </w:r>
      <w:r w:rsidR="00182CBD" w:rsidRPr="005267F0">
        <w:t xml:space="preserve">ineligible to </w:t>
      </w:r>
      <w:r w:rsidR="00150B70">
        <w:t>C</w:t>
      </w:r>
      <w:r w:rsidR="00182CBD" w:rsidRPr="005267F0">
        <w:t xml:space="preserve">ommence </w:t>
      </w:r>
      <w:r w:rsidR="00EF6DC8">
        <w:t xml:space="preserve">in </w:t>
      </w:r>
      <w:r w:rsidR="00202A96">
        <w:t>Inclusive Employment Australia</w:t>
      </w:r>
      <w:r w:rsidR="00182CBD" w:rsidRPr="005267F0">
        <w:t xml:space="preserve">, but </w:t>
      </w:r>
      <w:r w:rsidR="00EF6DC8">
        <w:t>P</w:t>
      </w:r>
      <w:r w:rsidR="00182CBD" w:rsidRPr="005267F0">
        <w:t xml:space="preserve">articipants </w:t>
      </w:r>
      <w:r w:rsidR="00EF6DC8">
        <w:t>w</w:t>
      </w:r>
      <w:r w:rsidR="00AB01B8">
        <w:t xml:space="preserve">ho </w:t>
      </w:r>
      <w:r w:rsidR="00A51CE2">
        <w:t>C</w:t>
      </w:r>
      <w:r w:rsidR="00AB01B8">
        <w:t xml:space="preserve">ommenced in DES prior to </w:t>
      </w:r>
      <w:r w:rsidR="00AB01B8" w:rsidRPr="005267F0">
        <w:t>1 July 2021</w:t>
      </w:r>
      <w:r w:rsidR="00BE6F17">
        <w:t xml:space="preserve"> </w:t>
      </w:r>
      <w:r w:rsidR="00182CBD" w:rsidRPr="005267F0">
        <w:t>may have an Employment Benchmark of 30</w:t>
      </w:r>
      <w:r w:rsidR="005C2C2A">
        <w:t xml:space="preserve"> hours</w:t>
      </w:r>
      <w:r w:rsidR="00182CBD" w:rsidRPr="005267F0">
        <w:t>.</w:t>
      </w:r>
    </w:p>
    <w:p w14:paraId="19492414" w14:textId="27DB3C22" w:rsidR="00182CBD" w:rsidRPr="00687396" w:rsidRDefault="00182CBD" w:rsidP="001D0F92">
      <w:pPr>
        <w:pStyle w:val="Heading3"/>
      </w:pPr>
      <w:bookmarkStart w:id="470" w:name="_Toc182576243"/>
      <w:bookmarkStart w:id="471" w:name="Service_Fees"/>
      <w:bookmarkStart w:id="472" w:name="_Ref202881055"/>
      <w:bookmarkStart w:id="473" w:name="_Toc202900084"/>
      <w:bookmarkStart w:id="474" w:name="_Ref202973600"/>
      <w:r w:rsidRPr="5C73D78C">
        <w:t>11.</w:t>
      </w:r>
      <w:r>
        <w:t>3</w:t>
      </w:r>
      <w:r w:rsidR="00BE6F17">
        <w:tab/>
      </w:r>
      <w:r w:rsidRPr="00687396">
        <w:t>Service Fees</w:t>
      </w:r>
      <w:bookmarkEnd w:id="470"/>
      <w:bookmarkEnd w:id="471"/>
      <w:bookmarkEnd w:id="472"/>
      <w:bookmarkEnd w:id="473"/>
      <w:bookmarkEnd w:id="474"/>
    </w:p>
    <w:p w14:paraId="3DB8B505" w14:textId="56A771E7" w:rsidR="00107433" w:rsidRDefault="00860302" w:rsidP="003A2650">
      <w:pPr>
        <w:tabs>
          <w:tab w:val="right" w:pos="1701"/>
        </w:tabs>
        <w:spacing w:after="120"/>
      </w:pPr>
      <w:r>
        <w:t xml:space="preserve">A </w:t>
      </w:r>
      <w:r w:rsidR="00182CBD">
        <w:t>Provider</w:t>
      </w:r>
      <w:r>
        <w:t xml:space="preserve"> </w:t>
      </w:r>
      <w:r w:rsidR="3EEA987D">
        <w:t xml:space="preserve">may be eligible </w:t>
      </w:r>
      <w:r>
        <w:t>for</w:t>
      </w:r>
      <w:r w:rsidRPr="4BAE7055">
        <w:t xml:space="preserve"> Service</w:t>
      </w:r>
      <w:r w:rsidR="00182CBD" w:rsidRPr="4BAE7055">
        <w:t xml:space="preserve"> Fees for a Participant while the Participant is receiving Pre-Employment Support</w:t>
      </w:r>
      <w:r w:rsidR="00182CBD">
        <w:t>.</w:t>
      </w:r>
      <w:r w:rsidR="00B72F72" w:rsidRPr="00B72F72">
        <w:t xml:space="preserve"> </w:t>
      </w:r>
      <w:r w:rsidR="005F0020" w:rsidRPr="4BAE7055">
        <w:t xml:space="preserve">The Service Fees </w:t>
      </w:r>
      <w:r w:rsidR="000D3A1C">
        <w:t xml:space="preserve">recognise </w:t>
      </w:r>
      <w:r w:rsidR="00A76733">
        <w:t>delivery of</w:t>
      </w:r>
      <w:r w:rsidR="005F0020" w:rsidRPr="4BAE7055">
        <w:t xml:space="preserve"> quality person-centred case management that invests in building </w:t>
      </w:r>
      <w:r w:rsidR="009563E0">
        <w:t xml:space="preserve">a </w:t>
      </w:r>
      <w:r w:rsidR="00696C4D">
        <w:t>Participant</w:t>
      </w:r>
      <w:r w:rsidR="00944312">
        <w:t>’</w:t>
      </w:r>
      <w:r w:rsidR="00696C4D">
        <w:t xml:space="preserve">s </w:t>
      </w:r>
      <w:r w:rsidR="005F0020" w:rsidRPr="4BAE7055">
        <w:t>Work Readiness</w:t>
      </w:r>
      <w:r w:rsidR="005F0020">
        <w:t xml:space="preserve"> and </w:t>
      </w:r>
      <w:r w:rsidR="00A76733">
        <w:t>support</w:t>
      </w:r>
      <w:r w:rsidR="009563E0">
        <w:t>s</w:t>
      </w:r>
      <w:r w:rsidR="005F0020">
        <w:t xml:space="preserve"> </w:t>
      </w:r>
      <w:r w:rsidR="009563E0">
        <w:t>them in finding</w:t>
      </w:r>
      <w:r w:rsidR="00F907A1">
        <w:t xml:space="preserve"> sustainable </w:t>
      </w:r>
      <w:r w:rsidR="0083758E">
        <w:t>O</w:t>
      </w:r>
      <w:r w:rsidR="00F907A1">
        <w:t>pen</w:t>
      </w:r>
      <w:r w:rsidR="005F0020">
        <w:t xml:space="preserve"> Employment</w:t>
      </w:r>
      <w:r w:rsidR="00D7099B">
        <w:t xml:space="preserve"> </w:t>
      </w:r>
      <w:r w:rsidR="00D7099B" w:rsidRPr="4BAE7055">
        <w:t>(</w:t>
      </w:r>
      <w:r w:rsidR="00761231">
        <w:t>see</w:t>
      </w:r>
      <w:r w:rsidR="009174F5">
        <w:t xml:space="preserve"> </w:t>
      </w:r>
      <w:r w:rsidR="009174F5">
        <w:fldChar w:fldCharType="begin"/>
      </w:r>
      <w:r w:rsidR="009174F5">
        <w:instrText xml:space="preserve"> REF _Ref202784175 \h </w:instrText>
      </w:r>
      <w:r w:rsidR="009174F5">
        <w:fldChar w:fldCharType="separate"/>
      </w:r>
      <w:r w:rsidR="000D75AE" w:rsidRPr="00BA23D8">
        <w:t>Chapter 6</w:t>
      </w:r>
      <w:r w:rsidR="000D75AE">
        <w:t>:</w:t>
      </w:r>
      <w:r w:rsidR="00C33F1F">
        <w:t xml:space="preserve"> </w:t>
      </w:r>
      <w:r w:rsidR="000D75AE" w:rsidRPr="00BA23D8">
        <w:t>Pre-Employment Support</w:t>
      </w:r>
      <w:r w:rsidR="009174F5">
        <w:fldChar w:fldCharType="end"/>
      </w:r>
      <w:r w:rsidR="00D7099B" w:rsidRPr="4BAE7055">
        <w:t>)</w:t>
      </w:r>
      <w:r w:rsidR="00D7099B">
        <w:t>.</w:t>
      </w:r>
      <w:r w:rsidR="004E33B0">
        <w:t xml:space="preserve"> Service </w:t>
      </w:r>
      <w:r w:rsidR="009174F5">
        <w:t>F</w:t>
      </w:r>
      <w:r w:rsidR="004E33B0">
        <w:t xml:space="preserve">ees also contribute to any investments the Participant </w:t>
      </w:r>
      <w:r w:rsidR="002A56CE">
        <w:t>requires to improve their work readines</w:t>
      </w:r>
      <w:r w:rsidR="00F51828">
        <w:t>s</w:t>
      </w:r>
      <w:r w:rsidR="002A56CE">
        <w:t xml:space="preserve"> or vocational skills</w:t>
      </w:r>
      <w:r w:rsidR="0042339E">
        <w:t>.</w:t>
      </w:r>
    </w:p>
    <w:p w14:paraId="7C5E00C4" w14:textId="2C932664" w:rsidR="00182CBD" w:rsidRPr="00C70AB8" w:rsidRDefault="00182CBD" w:rsidP="003A2650">
      <w:r w:rsidRPr="42C107D3">
        <w:t xml:space="preserve">There are 5 Service Fee Funding Levels for those receiving the Intensive Service, as determined by the Participant Investment Funding Model. The higher </w:t>
      </w:r>
      <w:r w:rsidR="005C6605">
        <w:t>F</w:t>
      </w:r>
      <w:r w:rsidRPr="42C107D3">
        <w:t>unding</w:t>
      </w:r>
      <w:r w:rsidR="006E3BF6">
        <w:t xml:space="preserve"> Levels</w:t>
      </w:r>
      <w:r w:rsidRPr="42C107D3">
        <w:t xml:space="preserve"> recognise that greater investment will be required to support them to prepare for and find work.</w:t>
      </w:r>
    </w:p>
    <w:p w14:paraId="3D5063D4" w14:textId="5F1FB68E" w:rsidR="00182CBD" w:rsidRPr="00C70AB8" w:rsidRDefault="00182CBD" w:rsidP="003A2650">
      <w:r w:rsidRPr="00C70AB8">
        <w:t xml:space="preserve">The Flexible Service </w:t>
      </w:r>
      <w:r>
        <w:t>has</w:t>
      </w:r>
      <w:r w:rsidRPr="00C70AB8">
        <w:t xml:space="preserve"> </w:t>
      </w:r>
      <w:r>
        <w:t>a</w:t>
      </w:r>
      <w:r w:rsidRPr="00C70AB8">
        <w:t xml:space="preserve"> </w:t>
      </w:r>
      <w:r>
        <w:t xml:space="preserve">single </w:t>
      </w:r>
      <w:r w:rsidRPr="00C70AB8">
        <w:t>flat fee, in line with the less intensive support needed.</w:t>
      </w:r>
    </w:p>
    <w:p w14:paraId="7DBD89D7" w14:textId="3C79631E" w:rsidR="00D20FC8" w:rsidRDefault="00D20FC8" w:rsidP="00D20FC8">
      <w:pPr>
        <w:tabs>
          <w:tab w:val="right" w:pos="1701"/>
        </w:tabs>
        <w:spacing w:after="120"/>
      </w:pPr>
      <w:r w:rsidRPr="02295749">
        <w:t xml:space="preserve">Providers must </w:t>
      </w:r>
      <w:r>
        <w:t xml:space="preserve">deliver minimum </w:t>
      </w:r>
      <w:r w:rsidRPr="02295749">
        <w:t xml:space="preserve">Contacts </w:t>
      </w:r>
      <w:r>
        <w:t>to be eligible for Service Fees</w:t>
      </w:r>
      <w:r w:rsidRPr="02295749">
        <w:t xml:space="preserve">. </w:t>
      </w:r>
      <w:r w:rsidR="00761231">
        <w:t xml:space="preserve">As noted in </w:t>
      </w:r>
      <w:r w:rsidR="002D5130">
        <w:fldChar w:fldCharType="begin"/>
      </w:r>
      <w:r w:rsidR="002D5130">
        <w:instrText xml:space="preserve"> REF _Ref202791119 \h </w:instrText>
      </w:r>
      <w:r w:rsidR="002D5130">
        <w:fldChar w:fldCharType="separate"/>
      </w:r>
      <w:r w:rsidR="002D5130">
        <w:t>6.6 Participant Contact</w:t>
      </w:r>
      <w:r w:rsidR="002D5130">
        <w:fldChar w:fldCharType="end"/>
      </w:r>
      <w:r w:rsidR="00761231">
        <w:fldChar w:fldCharType="begin"/>
      </w:r>
      <w:r w:rsidR="00761231">
        <w:instrText xml:space="preserve"> REF _Ref202892462 \h </w:instrText>
      </w:r>
      <w:r w:rsidR="00761231">
        <w:fldChar w:fldCharType="separate"/>
      </w:r>
      <w:r w:rsidR="00761231">
        <w:fldChar w:fldCharType="end"/>
      </w:r>
      <w:r w:rsidR="00761231">
        <w:t>, t</w:t>
      </w:r>
      <w:r w:rsidRPr="02295749">
        <w:t xml:space="preserve">he minimum Contacts a Provider </w:t>
      </w:r>
      <w:r>
        <w:t>must</w:t>
      </w:r>
      <w:r w:rsidRPr="02295749">
        <w:t xml:space="preserve"> deliver to a Participant in Pre</w:t>
      </w:r>
      <w:r w:rsidR="00741863">
        <w:noBreakHyphen/>
      </w:r>
      <w:r w:rsidRPr="02295749">
        <w:t>Employment Support are:</w:t>
      </w:r>
      <w:r>
        <w:t xml:space="preserve"> </w:t>
      </w:r>
    </w:p>
    <w:p w14:paraId="6B5DFA15" w14:textId="77777777" w:rsidR="00D20FC8" w:rsidRPr="005C0D91" w:rsidRDefault="00D20FC8" w:rsidP="004E120D">
      <w:pPr>
        <w:pStyle w:val="BulletLevel1"/>
      </w:pPr>
      <w:r w:rsidRPr="005C0D91">
        <w:t xml:space="preserve">for Participants in the Intensive Service </w:t>
      </w:r>
      <w:r>
        <w:t>–</w:t>
      </w:r>
      <w:r w:rsidRPr="005C0D91">
        <w:t xml:space="preserve"> at least 6 Contacts each 3 months, and</w:t>
      </w:r>
    </w:p>
    <w:p w14:paraId="0F4FF6EF" w14:textId="77777777" w:rsidR="00D20FC8" w:rsidRPr="005C0D91" w:rsidRDefault="00D20FC8" w:rsidP="004E120D">
      <w:pPr>
        <w:pStyle w:val="BulletLevel1"/>
      </w:pPr>
      <w:r w:rsidRPr="005C0D91">
        <w:t>for Participants in the Flexible Service – at least 2 Contacts each 3 months.</w:t>
      </w:r>
    </w:p>
    <w:p w14:paraId="09C0F9AE" w14:textId="129DA44C" w:rsidR="00D20FC8" w:rsidRPr="00577BC8" w:rsidRDefault="00D20FC8" w:rsidP="00D20FC8">
      <w:pPr>
        <w:tabs>
          <w:tab w:val="right" w:pos="1701"/>
        </w:tabs>
        <w:spacing w:after="120"/>
        <w:rPr>
          <w:sz w:val="20"/>
          <w:szCs w:val="20"/>
        </w:rPr>
      </w:pPr>
      <w:r w:rsidRPr="00577BC8">
        <w:rPr>
          <w:sz w:val="20"/>
          <w:szCs w:val="20"/>
        </w:rPr>
        <w:t>(</w:t>
      </w:r>
      <w:r w:rsidR="00A73420">
        <w:rPr>
          <w:sz w:val="20"/>
          <w:szCs w:val="20"/>
        </w:rPr>
        <w:t xml:space="preserve">Deed Reference(s): Clause </w:t>
      </w:r>
      <w:r w:rsidR="00E32950">
        <w:rPr>
          <w:sz w:val="20"/>
          <w:szCs w:val="20"/>
        </w:rPr>
        <w:t>114.1</w:t>
      </w:r>
      <w:r w:rsidRPr="00577BC8">
        <w:rPr>
          <w:sz w:val="20"/>
          <w:szCs w:val="20"/>
        </w:rPr>
        <w:t>)</w:t>
      </w:r>
    </w:p>
    <w:p w14:paraId="6CE824F3" w14:textId="5642D62B" w:rsidR="00756BBA" w:rsidRPr="00DE66DC" w:rsidRDefault="009A1B10" w:rsidP="00EC7BF1">
      <w:pPr>
        <w:pStyle w:val="DocumentaryEvidenceRequirement"/>
        <w:keepLines/>
        <w:ind w:left="363"/>
      </w:pPr>
      <w:r>
        <w:t>P</w:t>
      </w:r>
      <w:r w:rsidR="00C9196D" w:rsidRPr="00C9196D">
        <w:t>roviders are required to retain sufficient Documentary Evidence that demonstrates that Services have been delivered to support each Service Fee claim.</w:t>
      </w:r>
      <w:r w:rsidR="00C9196D">
        <w:t xml:space="preserve"> </w:t>
      </w:r>
      <w:r w:rsidR="00756BBA" w:rsidRPr="009B38CE">
        <w:t xml:space="preserve">Providers must meet Documentary Evidence </w:t>
      </w:r>
      <w:r w:rsidR="00395520" w:rsidRPr="009B38CE">
        <w:t>requirement</w:t>
      </w:r>
      <w:r w:rsidR="00D546BD">
        <w:t>s</w:t>
      </w:r>
      <w:r w:rsidR="00395520" w:rsidRPr="009B38CE">
        <w:t xml:space="preserve"> for </w:t>
      </w:r>
      <w:r w:rsidR="009B38CE">
        <w:t>C</w:t>
      </w:r>
      <w:r w:rsidR="00395520" w:rsidRPr="009B38CE">
        <w:t xml:space="preserve">ontacts </w:t>
      </w:r>
      <w:r w:rsidR="00756BBA" w:rsidRPr="009B38CE">
        <w:t xml:space="preserve">as set out in </w:t>
      </w:r>
      <w:r w:rsidR="00761231">
        <w:fldChar w:fldCharType="begin"/>
      </w:r>
      <w:r w:rsidR="00761231">
        <w:instrText xml:space="preserve"> REF _Ref202892462 \h </w:instrText>
      </w:r>
      <w:r w:rsidR="00761231">
        <w:fldChar w:fldCharType="separate"/>
      </w:r>
      <w:r w:rsidR="00761231">
        <w:fldChar w:fldCharType="end"/>
      </w:r>
      <w:r w:rsidR="003C2302">
        <w:t>.</w:t>
      </w:r>
    </w:p>
    <w:p w14:paraId="727D9CEA" w14:textId="0B6E8AB0" w:rsidR="000F420A" w:rsidRDefault="00A01EA0" w:rsidP="003A2650">
      <w:r w:rsidRPr="42C107D3">
        <w:t xml:space="preserve">Providers do not need to submit a claim for </w:t>
      </w:r>
      <w:r>
        <w:t>P</w:t>
      </w:r>
      <w:r w:rsidRPr="42C107D3">
        <w:t>ayment</w:t>
      </w:r>
      <w:r>
        <w:t xml:space="preserve">. </w:t>
      </w:r>
      <w:r w:rsidR="00182CBD" w:rsidRPr="43A28149">
        <w:t>The Department’s IT System</w:t>
      </w:r>
      <w:r w:rsidR="00BE6F17">
        <w:t>s</w:t>
      </w:r>
      <w:r w:rsidR="00182CBD">
        <w:t xml:space="preserve"> will</w:t>
      </w:r>
      <w:r w:rsidR="00182CBD" w:rsidRPr="43A28149">
        <w:t xml:space="preserve"> automatically calculate and pay </w:t>
      </w:r>
      <w:r w:rsidR="00182CBD">
        <w:t xml:space="preserve">a </w:t>
      </w:r>
      <w:r w:rsidR="00182CBD" w:rsidRPr="43E5A97E">
        <w:t>Provider</w:t>
      </w:r>
      <w:r w:rsidR="00182CBD" w:rsidRPr="43A28149">
        <w:t xml:space="preserve"> a Service Fee for each eligible Participant</w:t>
      </w:r>
      <w:r w:rsidR="00EC7BF1">
        <w:t xml:space="preserve"> Commenced on the Provider’s Caseload</w:t>
      </w:r>
      <w:r w:rsidR="001D2353" w:rsidRPr="00860302">
        <w:t>.</w:t>
      </w:r>
    </w:p>
    <w:p w14:paraId="713764D1" w14:textId="588AA6F5" w:rsidR="00182CBD" w:rsidRDefault="00182CBD" w:rsidP="003A2650">
      <w:r w:rsidRPr="005C4056">
        <w:t xml:space="preserve">Payments </w:t>
      </w:r>
      <w:r w:rsidRPr="2F621DC7">
        <w:t>are made</w:t>
      </w:r>
      <w:r w:rsidRPr="45E903F2">
        <w:t xml:space="preserve"> </w:t>
      </w:r>
      <w:r w:rsidRPr="43A28149">
        <w:t xml:space="preserve">in arrears after 28 calendar days of </w:t>
      </w:r>
      <w:r w:rsidR="00002721">
        <w:t>P</w:t>
      </w:r>
      <w:r>
        <w:t>re-</w:t>
      </w:r>
      <w:r w:rsidR="00002721">
        <w:t>E</w:t>
      </w:r>
      <w:r>
        <w:t>mployment</w:t>
      </w:r>
      <w:r w:rsidR="00002721">
        <w:t xml:space="preserve"> Support</w:t>
      </w:r>
      <w:r w:rsidRPr="43A28149">
        <w:t>, starting from the Participant’s Commencement Date with the Provider.</w:t>
      </w:r>
    </w:p>
    <w:p w14:paraId="7523A85F" w14:textId="77777777" w:rsidR="00182CBD" w:rsidRPr="008F6CCA" w:rsidRDefault="00182CBD" w:rsidP="003A2650">
      <w:r>
        <w:t>The Service Fee period ends, and a pro-rata Service Fee is paid, when:</w:t>
      </w:r>
    </w:p>
    <w:p w14:paraId="73FF4DDA" w14:textId="4EA8C3F9" w:rsidR="00182CBD" w:rsidRPr="00EB1841" w:rsidRDefault="00182CBD" w:rsidP="004E120D">
      <w:pPr>
        <w:pStyle w:val="BulletLevel1"/>
      </w:pPr>
      <w:r w:rsidRPr="00EB1841">
        <w:t>the Participant moves from Pre-Employment Support into Post Placement Support</w:t>
      </w:r>
    </w:p>
    <w:p w14:paraId="74D5FD9C" w14:textId="2DCCC634" w:rsidR="00D1190D" w:rsidRDefault="00182CBD" w:rsidP="004E120D">
      <w:pPr>
        <w:pStyle w:val="BulletLevel1"/>
      </w:pPr>
      <w:r w:rsidRPr="00EB1841">
        <w:t xml:space="preserve">the Participant’s Period of Registration is </w:t>
      </w:r>
      <w:r w:rsidR="009B6AF4">
        <w:t>p</w:t>
      </w:r>
      <w:r w:rsidRPr="00EB1841">
        <w:t xml:space="preserve">aused due to a </w:t>
      </w:r>
      <w:r w:rsidR="00395290">
        <w:t>S</w:t>
      </w:r>
      <w:r w:rsidR="00395290" w:rsidRPr="00EB1841">
        <w:t>uspension</w:t>
      </w:r>
      <w:r w:rsidR="00D1190D">
        <w:t>,</w:t>
      </w:r>
      <w:r w:rsidR="00395290" w:rsidRPr="00EB1841">
        <w:t xml:space="preserve"> </w:t>
      </w:r>
      <w:r w:rsidRPr="00EB1841">
        <w:t>or</w:t>
      </w:r>
    </w:p>
    <w:p w14:paraId="245AA274" w14:textId="049D2709" w:rsidR="00182CBD" w:rsidRPr="00EB1841" w:rsidRDefault="00D1190D" w:rsidP="004E120D">
      <w:pPr>
        <w:pStyle w:val="BulletLevel1"/>
      </w:pPr>
      <w:r w:rsidRPr="00EB1841">
        <w:t>the Participant’s Period of Registration</w:t>
      </w:r>
      <w:r w:rsidR="00395290" w:rsidRPr="00EB1841" w:rsidDel="00D1190D">
        <w:t xml:space="preserve"> </w:t>
      </w:r>
      <w:r w:rsidR="00182CBD" w:rsidRPr="00EB1841">
        <w:t xml:space="preserve">ends because the Participant transfers to another Provider or </w:t>
      </w:r>
      <w:r w:rsidR="00C05823">
        <w:t>the Participant</w:t>
      </w:r>
      <w:r w:rsidR="00182CBD" w:rsidRPr="00EB1841">
        <w:t xml:space="preserve"> </w:t>
      </w:r>
      <w:r w:rsidR="00160E3B">
        <w:t>E</w:t>
      </w:r>
      <w:r w:rsidR="00182CBD" w:rsidRPr="00EB1841">
        <w:t xml:space="preserve">xits the </w:t>
      </w:r>
      <w:r w:rsidR="00202A96">
        <w:t>Inclusive Employment Australia</w:t>
      </w:r>
      <w:r w:rsidR="00C05823">
        <w:t xml:space="preserve"> </w:t>
      </w:r>
      <w:r w:rsidR="00182CBD" w:rsidRPr="00EB1841">
        <w:t>Program.</w:t>
      </w:r>
    </w:p>
    <w:p w14:paraId="4416F22A" w14:textId="63FBFEF4" w:rsidR="00182CBD" w:rsidRPr="002E3F19" w:rsidRDefault="00182CBD" w:rsidP="00182CBD">
      <w:r>
        <w:t xml:space="preserve">A new Service Fee period will start if a Participant returns to Pre-Employment Support, ends a period of Suspension, or resumes their Period of Service within 13 weeks of </w:t>
      </w:r>
      <w:r w:rsidR="00A558AF">
        <w:t>E</w:t>
      </w:r>
      <w:r>
        <w:t xml:space="preserve">xiting from the Program </w:t>
      </w:r>
      <w:r w:rsidR="008B5513">
        <w:t>(</w:t>
      </w:r>
      <w:r>
        <w:t xml:space="preserve">refer to relevant </w:t>
      </w:r>
      <w:r w:rsidR="004D024D">
        <w:t>S</w:t>
      </w:r>
      <w:r>
        <w:t>ections in</w:t>
      </w:r>
      <w:r w:rsidR="004D024D">
        <w:t xml:space="preserve"> </w:t>
      </w:r>
      <w:r w:rsidR="004D024D">
        <w:fldChar w:fldCharType="begin"/>
      </w:r>
      <w:r w:rsidR="004D024D">
        <w:instrText xml:space="preserve"> REF _Ref202780811 \h </w:instrText>
      </w:r>
      <w:r w:rsidR="004D024D">
        <w:fldChar w:fldCharType="separate"/>
      </w:r>
      <w:r w:rsidR="000D75AE" w:rsidRPr="00BA23D8">
        <w:t>Chapter 3</w:t>
      </w:r>
      <w:r w:rsidR="000D75AE">
        <w:t>:</w:t>
      </w:r>
      <w:r w:rsidR="003B2E77">
        <w:t xml:space="preserve"> </w:t>
      </w:r>
      <w:r w:rsidR="000D75AE" w:rsidRPr="00BA23D8">
        <w:t>Commencements, Transfers, Suspensions and Exits</w:t>
      </w:r>
      <w:r w:rsidR="004D024D">
        <w:fldChar w:fldCharType="end"/>
      </w:r>
      <w:r w:rsidR="008B5513" w:rsidRPr="00860302">
        <w:t>)</w:t>
      </w:r>
      <w:r w:rsidRPr="00860302">
        <w:t>.</w:t>
      </w:r>
    </w:p>
    <w:p w14:paraId="3F550DAC" w14:textId="3A3626BF" w:rsidR="00182CBD" w:rsidRPr="00FB7CD7" w:rsidRDefault="00182CBD" w:rsidP="00182CBD">
      <w:pPr>
        <w:rPr>
          <w:rFonts w:cstheme="minorHAnsi"/>
        </w:rPr>
      </w:pPr>
      <w:r>
        <w:rPr>
          <w:rFonts w:cstheme="minorHAnsi"/>
        </w:rPr>
        <w:t>The S</w:t>
      </w:r>
      <w:r w:rsidRPr="00FB7CD7">
        <w:rPr>
          <w:rFonts w:cstheme="minorHAnsi"/>
        </w:rPr>
        <w:t xml:space="preserve">ervice </w:t>
      </w:r>
      <w:r>
        <w:rPr>
          <w:rFonts w:cstheme="minorHAnsi"/>
        </w:rPr>
        <w:t>F</w:t>
      </w:r>
      <w:r w:rsidRPr="00FB7CD7">
        <w:rPr>
          <w:rFonts w:cstheme="minorHAnsi"/>
        </w:rPr>
        <w:t xml:space="preserve">ee </w:t>
      </w:r>
      <w:r w:rsidR="003553F1">
        <w:rPr>
          <w:rFonts w:cstheme="minorHAnsi"/>
        </w:rPr>
        <w:t>P</w:t>
      </w:r>
      <w:r w:rsidRPr="00FB7CD7">
        <w:rPr>
          <w:rFonts w:cstheme="minorHAnsi"/>
        </w:rPr>
        <w:t xml:space="preserve">ayment value </w:t>
      </w:r>
      <w:r>
        <w:rPr>
          <w:rFonts w:cstheme="minorHAnsi"/>
        </w:rPr>
        <w:t xml:space="preserve">will </w:t>
      </w:r>
      <w:r w:rsidRPr="00FB7CD7">
        <w:rPr>
          <w:rFonts w:cstheme="minorHAnsi"/>
        </w:rPr>
        <w:t xml:space="preserve">depend on the </w:t>
      </w:r>
      <w:r>
        <w:rPr>
          <w:rFonts w:cstheme="minorHAnsi"/>
        </w:rPr>
        <w:t>Participant</w:t>
      </w:r>
      <w:r w:rsidRPr="00FB7CD7">
        <w:rPr>
          <w:rFonts w:cstheme="minorHAnsi"/>
        </w:rPr>
        <w:t xml:space="preserve">’s </w:t>
      </w:r>
      <w:r w:rsidRPr="001038A0">
        <w:rPr>
          <w:rFonts w:cstheme="minorHAnsi"/>
        </w:rPr>
        <w:t xml:space="preserve">Funding Level </w:t>
      </w:r>
      <w:r>
        <w:rPr>
          <w:rFonts w:cstheme="minorHAnsi"/>
        </w:rPr>
        <w:t xml:space="preserve">applicable for each day of the Service Fee period </w:t>
      </w:r>
      <w:r w:rsidRPr="001038A0">
        <w:rPr>
          <w:rFonts w:cstheme="minorHAnsi"/>
        </w:rPr>
        <w:t xml:space="preserve">and whether the Participant </w:t>
      </w:r>
      <w:r>
        <w:rPr>
          <w:rFonts w:cstheme="minorHAnsi"/>
        </w:rPr>
        <w:t>was</w:t>
      </w:r>
      <w:r w:rsidRPr="001038A0">
        <w:rPr>
          <w:rFonts w:cstheme="minorHAnsi"/>
        </w:rPr>
        <w:t xml:space="preserve"> </w:t>
      </w:r>
      <w:r>
        <w:rPr>
          <w:rFonts w:cstheme="minorHAnsi"/>
        </w:rPr>
        <w:t>receiving the Intensive</w:t>
      </w:r>
      <w:r w:rsidRPr="001038A0">
        <w:rPr>
          <w:rFonts w:cstheme="minorHAnsi"/>
        </w:rPr>
        <w:t xml:space="preserve"> Service or </w:t>
      </w:r>
      <w:r>
        <w:rPr>
          <w:rFonts w:cstheme="minorHAnsi"/>
        </w:rPr>
        <w:t>Flexible</w:t>
      </w:r>
      <w:r w:rsidRPr="001038A0">
        <w:rPr>
          <w:rFonts w:cstheme="minorHAnsi"/>
        </w:rPr>
        <w:t xml:space="preserve"> Service.</w:t>
      </w:r>
      <w:r w:rsidR="00CC6E4E">
        <w:rPr>
          <w:rFonts w:cstheme="minorHAnsi"/>
        </w:rPr>
        <w:t xml:space="preserve"> </w:t>
      </w:r>
    </w:p>
    <w:p w14:paraId="3CFA6636" w14:textId="04C65A3E" w:rsidR="00182CBD" w:rsidRPr="003E1393" w:rsidRDefault="00A01EA0" w:rsidP="006F727E">
      <w:pPr>
        <w:pStyle w:val="SystemStep"/>
      </w:pPr>
      <w:r>
        <w:t>A</w:t>
      </w:r>
      <w:r w:rsidR="00182CBD" w:rsidRPr="005753C8">
        <w:t xml:space="preserve">t each </w:t>
      </w:r>
      <w:r w:rsidR="004C3D40">
        <w:t>P</w:t>
      </w:r>
      <w:r w:rsidR="00182CBD" w:rsidRPr="005753C8">
        <w:t>ayment date, the Department</w:t>
      </w:r>
      <w:r w:rsidR="00182CBD">
        <w:t>’s IT</w:t>
      </w:r>
      <w:r w:rsidR="00182CBD" w:rsidRPr="005753C8">
        <w:t xml:space="preserve"> System</w:t>
      </w:r>
      <w:r w:rsidR="00182CBD">
        <w:t>s</w:t>
      </w:r>
      <w:r w:rsidR="00182CBD" w:rsidRPr="005753C8">
        <w:t xml:space="preserve"> will generate a </w:t>
      </w:r>
      <w:r w:rsidR="00A50663">
        <w:t>T</w:t>
      </w:r>
      <w:r w:rsidR="00182CBD" w:rsidRPr="005753C8">
        <w:t xml:space="preserve">ax </w:t>
      </w:r>
      <w:r w:rsidR="00A50663">
        <w:t>I</w:t>
      </w:r>
      <w:r w:rsidR="00182CBD" w:rsidRPr="005753C8">
        <w:t xml:space="preserve">nvoice for each </w:t>
      </w:r>
      <w:r w:rsidR="00182CBD">
        <w:t>Commenced Participant</w:t>
      </w:r>
      <w:r w:rsidR="00182CBD" w:rsidRPr="005753C8">
        <w:t xml:space="preserve"> and pay </w:t>
      </w:r>
      <w:r w:rsidR="00182CBD">
        <w:t>the calculated S</w:t>
      </w:r>
      <w:r w:rsidR="00182CBD" w:rsidRPr="005753C8">
        <w:t xml:space="preserve">ervice </w:t>
      </w:r>
      <w:r w:rsidR="00182CBD">
        <w:t>F</w:t>
      </w:r>
      <w:r w:rsidR="00182CBD" w:rsidRPr="005753C8">
        <w:t>ee</w:t>
      </w:r>
      <w:r w:rsidR="00182CBD">
        <w:t xml:space="preserve"> </w:t>
      </w:r>
      <w:r w:rsidR="004C3D40">
        <w:t>P</w:t>
      </w:r>
      <w:r w:rsidR="00182CBD">
        <w:t>ayment</w:t>
      </w:r>
      <w:r w:rsidR="00182CBD" w:rsidRPr="00156D37">
        <w:t>.</w:t>
      </w:r>
    </w:p>
    <w:p w14:paraId="6D300094" w14:textId="44B4AEFB" w:rsidR="00182CBD" w:rsidRDefault="00E85BC8" w:rsidP="00580B55">
      <w:pPr>
        <w:pStyle w:val="DeedReferences"/>
      </w:pPr>
      <w:bookmarkStart w:id="475" w:name="_Legal"/>
      <w:bookmarkStart w:id="476" w:name="_Sufficient"/>
      <w:bookmarkStart w:id="477" w:name="_Ongoing"/>
      <w:bookmarkStart w:id="478" w:name="_Open"/>
      <w:bookmarkStart w:id="479" w:name="_Payable"/>
      <w:bookmarkEnd w:id="475"/>
      <w:bookmarkEnd w:id="476"/>
      <w:bookmarkEnd w:id="477"/>
      <w:bookmarkEnd w:id="478"/>
      <w:bookmarkEnd w:id="479"/>
      <w:r>
        <w:t>(</w:t>
      </w:r>
      <w:r w:rsidR="00A73420">
        <w:t xml:space="preserve">Deed Reference(s): Clause </w:t>
      </w:r>
      <w:r w:rsidR="00E77205">
        <w:t>161</w:t>
      </w:r>
      <w:r w:rsidR="00182CBD" w:rsidRPr="00B76613">
        <w:t>, Annexure B1</w:t>
      </w:r>
      <w:r>
        <w:t>)</w:t>
      </w:r>
    </w:p>
    <w:p w14:paraId="65931B3C" w14:textId="3AFAA5F9" w:rsidR="00182CBD" w:rsidRPr="00904704" w:rsidRDefault="00182CBD" w:rsidP="001D0F92">
      <w:pPr>
        <w:pStyle w:val="Heading3"/>
        <w:rPr>
          <w:rStyle w:val="Heading2Char1"/>
          <w:rFonts w:asciiTheme="majorHAnsi" w:hAnsiTheme="majorHAnsi"/>
          <w:i w:val="0"/>
          <w:color w:val="005A70" w:themeColor="accent1"/>
          <w:sz w:val="32"/>
          <w:szCs w:val="24"/>
        </w:rPr>
      </w:pPr>
      <w:bookmarkStart w:id="480" w:name="_Ref202881355"/>
      <w:bookmarkStart w:id="481" w:name="_Toc202900085"/>
      <w:r w:rsidRPr="00904704">
        <w:rPr>
          <w:rStyle w:val="Heading2Char1"/>
          <w:rFonts w:asciiTheme="majorHAnsi" w:hAnsiTheme="majorHAnsi"/>
          <w:i w:val="0"/>
          <w:color w:val="005A70" w:themeColor="accent1"/>
          <w:sz w:val="32"/>
          <w:szCs w:val="24"/>
        </w:rPr>
        <w:t>11.4</w:t>
      </w:r>
      <w:r w:rsidR="00BE6F17">
        <w:rPr>
          <w:rStyle w:val="Heading2Char1"/>
          <w:rFonts w:asciiTheme="majorHAnsi" w:hAnsiTheme="majorHAnsi"/>
          <w:i w:val="0"/>
          <w:color w:val="005A70" w:themeColor="accent1"/>
          <w:sz w:val="32"/>
          <w:szCs w:val="24"/>
        </w:rPr>
        <w:tab/>
      </w:r>
      <w:r w:rsidRPr="00904704">
        <w:rPr>
          <w:rStyle w:val="Heading2Char1"/>
          <w:rFonts w:asciiTheme="majorHAnsi" w:hAnsiTheme="majorHAnsi"/>
          <w:i w:val="0"/>
          <w:color w:val="005A70" w:themeColor="accent1"/>
          <w:sz w:val="32"/>
          <w:szCs w:val="24"/>
        </w:rPr>
        <w:t>Progress Fees</w:t>
      </w:r>
      <w:bookmarkEnd w:id="480"/>
      <w:bookmarkEnd w:id="481"/>
    </w:p>
    <w:p w14:paraId="5788B52C" w14:textId="0248614D" w:rsidR="00182CBD" w:rsidRDefault="00182CBD" w:rsidP="00182CBD">
      <w:pPr>
        <w:spacing w:before="200" w:line="276" w:lineRule="auto"/>
        <w:rPr>
          <w:rFonts w:eastAsia="Calibri" w:cstheme="minorHAnsi"/>
          <w:spacing w:val="0"/>
          <w:szCs w:val="22"/>
        </w:rPr>
      </w:pPr>
      <w:r w:rsidRPr="002676AB">
        <w:t xml:space="preserve">A Progress Fee is a </w:t>
      </w:r>
      <w:r w:rsidR="00906F35" w:rsidRPr="002676AB">
        <w:t>P</w:t>
      </w:r>
      <w:r w:rsidRPr="002676AB">
        <w:t xml:space="preserve">ayment available to a Provider </w:t>
      </w:r>
      <w:r w:rsidR="00FF2A0D" w:rsidRPr="002676AB">
        <w:t xml:space="preserve">for </w:t>
      </w:r>
      <w:r w:rsidRPr="002676AB">
        <w:t>a</w:t>
      </w:r>
      <w:r w:rsidR="00FF2A0D" w:rsidRPr="002676AB">
        <w:t xml:space="preserve"> demonstrable</w:t>
      </w:r>
      <w:r w:rsidRPr="002676AB">
        <w:t xml:space="preserve"> improvement in the Participant’s</w:t>
      </w:r>
      <w:r w:rsidRPr="009879C9">
        <w:rPr>
          <w:rFonts w:eastAsia="Calibri" w:cstheme="minorHAnsi"/>
          <w:spacing w:val="0"/>
          <w:szCs w:val="22"/>
        </w:rPr>
        <w:t xml:space="preserve"> </w:t>
      </w:r>
      <w:r w:rsidR="00913146">
        <w:rPr>
          <w:rFonts w:eastAsia="Calibri" w:cstheme="minorHAnsi"/>
          <w:spacing w:val="0"/>
          <w:szCs w:val="22"/>
        </w:rPr>
        <w:t>W</w:t>
      </w:r>
      <w:r w:rsidRPr="009879C9">
        <w:rPr>
          <w:rFonts w:eastAsia="Calibri" w:cstheme="minorHAnsi"/>
          <w:spacing w:val="0"/>
          <w:szCs w:val="22"/>
        </w:rPr>
        <w:t xml:space="preserve">ork </w:t>
      </w:r>
      <w:r w:rsidR="00913146">
        <w:rPr>
          <w:rFonts w:eastAsia="Calibri" w:cstheme="minorHAnsi"/>
          <w:spacing w:val="0"/>
          <w:szCs w:val="22"/>
        </w:rPr>
        <w:t>R</w:t>
      </w:r>
      <w:r w:rsidRPr="009879C9">
        <w:rPr>
          <w:rFonts w:eastAsia="Calibri" w:cstheme="minorHAnsi"/>
          <w:spacing w:val="0"/>
          <w:szCs w:val="22"/>
        </w:rPr>
        <w:t>eadiness and progress towards Employment</w:t>
      </w:r>
      <w:r>
        <w:rPr>
          <w:rFonts w:eastAsia="Calibri" w:cstheme="minorHAnsi"/>
          <w:spacing w:val="0"/>
          <w:szCs w:val="22"/>
        </w:rPr>
        <w:t xml:space="preserve"> t</w:t>
      </w:r>
      <w:r w:rsidRPr="00DA037A">
        <w:rPr>
          <w:rFonts w:eastAsia="Calibri" w:cstheme="minorHAnsi"/>
          <w:spacing w:val="0"/>
          <w:szCs w:val="22"/>
        </w:rPr>
        <w:t>hrough</w:t>
      </w:r>
      <w:r w:rsidRPr="000D1E3C">
        <w:rPr>
          <w:rFonts w:eastAsia="Calibri" w:cstheme="minorHAnsi"/>
          <w:spacing w:val="0"/>
          <w:szCs w:val="22"/>
        </w:rPr>
        <w:t xml:space="preserve"> the provision of Services</w:t>
      </w:r>
      <w:r>
        <w:rPr>
          <w:rFonts w:eastAsia="Calibri" w:cstheme="minorHAnsi"/>
          <w:spacing w:val="0"/>
          <w:szCs w:val="22"/>
        </w:rPr>
        <w:t>.</w:t>
      </w:r>
    </w:p>
    <w:p w14:paraId="329B33CC" w14:textId="62A9B5F0" w:rsidR="00182CBD" w:rsidRPr="00E85BC8" w:rsidRDefault="0070091A" w:rsidP="00E85BC8">
      <w:pPr>
        <w:pStyle w:val="DeedReferences"/>
      </w:pPr>
      <w:r>
        <w:t>(</w:t>
      </w:r>
      <w:r w:rsidR="00A73420">
        <w:t xml:space="preserve">Deed Reference(s): Clause </w:t>
      </w:r>
      <w:r w:rsidR="00E77205">
        <w:t>162</w:t>
      </w:r>
      <w:r w:rsidR="00182CBD" w:rsidRPr="00E85BC8">
        <w:t>, Annexure B1</w:t>
      </w:r>
      <w:r>
        <w:t>)</w:t>
      </w:r>
    </w:p>
    <w:p w14:paraId="071EF8A6" w14:textId="10FB8169" w:rsidR="00182CBD" w:rsidRDefault="00182CBD" w:rsidP="001D0F92">
      <w:pPr>
        <w:pStyle w:val="Heading4"/>
      </w:pPr>
      <w:bookmarkStart w:id="482" w:name="_Toc202900086"/>
      <w:r>
        <w:t>11.4.1</w:t>
      </w:r>
      <w:r w:rsidR="00BE6F17">
        <w:tab/>
      </w:r>
      <w:r w:rsidRPr="005D5F0A">
        <w:t>Eligibility for Progress Fees</w:t>
      </w:r>
      <w:bookmarkEnd w:id="482"/>
    </w:p>
    <w:p w14:paraId="4A359C1F" w14:textId="7A41A074" w:rsidR="00182CBD" w:rsidRPr="001F28B6" w:rsidRDefault="00182CBD" w:rsidP="00182CBD">
      <w:r w:rsidRPr="42C107D3">
        <w:t>Progress Fees recognise that there are various steps individual Participants may take to move closer to sustainable Employment.</w:t>
      </w:r>
      <w:r w:rsidR="0030028C">
        <w:t xml:space="preserve"> </w:t>
      </w:r>
      <w:r w:rsidRPr="42C107D3">
        <w:t>There are 3 ways a Participant can demonstrate progress including through:</w:t>
      </w:r>
    </w:p>
    <w:p w14:paraId="05B3245C" w14:textId="70C98C3F" w:rsidR="00182CBD" w:rsidRDefault="00182CBD" w:rsidP="004E120D">
      <w:pPr>
        <w:pStyle w:val="BulletLevel1"/>
      </w:pPr>
      <w:r>
        <w:t>Employment (</w:t>
      </w:r>
      <w:r w:rsidR="003F5D1E">
        <w:t>for detail</w:t>
      </w:r>
      <w:r w:rsidR="006E274B">
        <w:t>s, see</w:t>
      </w:r>
      <w:r w:rsidR="003A1BE1">
        <w:t xml:space="preserve"> </w:t>
      </w:r>
      <w:r w:rsidR="003A1BE1">
        <w:fldChar w:fldCharType="begin"/>
      </w:r>
      <w:r w:rsidR="003A1BE1">
        <w:instrText xml:space="preserve"> REF _Ref202892736 \h </w:instrText>
      </w:r>
      <w:r w:rsidR="003A1BE1">
        <w:fldChar w:fldCharType="separate"/>
      </w:r>
      <w:r w:rsidR="000D75AE">
        <w:t>11.4.2</w:t>
      </w:r>
      <w:r w:rsidR="00C33F1F">
        <w:t xml:space="preserve"> </w:t>
      </w:r>
      <w:r w:rsidR="000D75AE" w:rsidRPr="001A4CA5">
        <w:t xml:space="preserve">Progress Fees for Employment and </w:t>
      </w:r>
      <w:r w:rsidR="000D75AE">
        <w:t>p</w:t>
      </w:r>
      <w:r w:rsidR="000D75AE" w:rsidRPr="001A4CA5">
        <w:t xml:space="preserve">aid </w:t>
      </w:r>
      <w:r w:rsidR="000D75AE">
        <w:t>w</w:t>
      </w:r>
      <w:r w:rsidR="000D75AE" w:rsidRPr="001A4CA5">
        <w:t xml:space="preserve">ork </w:t>
      </w:r>
      <w:r w:rsidR="000D75AE">
        <w:t>e</w:t>
      </w:r>
      <w:r w:rsidR="000D75AE" w:rsidRPr="001A4CA5">
        <w:t>xperience</w:t>
      </w:r>
      <w:r w:rsidR="003A1BE1">
        <w:fldChar w:fldCharType="end"/>
      </w:r>
      <w:r w:rsidRPr="004A6644">
        <w:t>)</w:t>
      </w:r>
      <w:r w:rsidR="002676AB">
        <w:t>, with</w:t>
      </w:r>
    </w:p>
    <w:p w14:paraId="4486A1C2" w14:textId="77777777" w:rsidR="00182CBD" w:rsidRPr="00B606AF" w:rsidRDefault="00182CBD" w:rsidP="00B606AF">
      <w:pPr>
        <w:pStyle w:val="BulletLevel2"/>
      </w:pPr>
      <w:r w:rsidRPr="00B606AF">
        <w:t>achievement of 4-weeks of Employment, or</w:t>
      </w:r>
    </w:p>
    <w:p w14:paraId="7BF85C20" w14:textId="46872FB9" w:rsidR="00182CBD" w:rsidRPr="00C5265E" w:rsidRDefault="00182CBD" w:rsidP="00B606AF">
      <w:pPr>
        <w:pStyle w:val="BulletLevel2"/>
      </w:pPr>
      <w:r w:rsidRPr="00B606AF">
        <w:t>co</w:t>
      </w:r>
      <w:r w:rsidRPr="00C5265E">
        <w:t xml:space="preserve">mpletion of paid work experience, including shorter jobs </w:t>
      </w:r>
      <w:r w:rsidR="00334A45">
        <w:t>(</w:t>
      </w:r>
      <w:r w:rsidRPr="00C5265E">
        <w:t>that may be non-ongoing</w:t>
      </w:r>
      <w:r w:rsidR="00334A45">
        <w:t>)</w:t>
      </w:r>
      <w:r w:rsidRPr="00C5265E">
        <w:t xml:space="preserve"> and work in a social enterprise</w:t>
      </w:r>
      <w:r w:rsidR="0096150B">
        <w:t>.</w:t>
      </w:r>
    </w:p>
    <w:p w14:paraId="01F330DD" w14:textId="7F164B36" w:rsidR="00182CBD" w:rsidRDefault="00182CBD" w:rsidP="004E120D">
      <w:pPr>
        <w:pStyle w:val="BulletLevel1"/>
      </w:pPr>
      <w:r>
        <w:t>Education or Training (</w:t>
      </w:r>
      <w:r w:rsidR="006E274B">
        <w:t xml:space="preserve">for details, </w:t>
      </w:r>
      <w:r>
        <w:t>see</w:t>
      </w:r>
      <w:r w:rsidR="003A1BE1">
        <w:t xml:space="preserve"> </w:t>
      </w:r>
      <w:r w:rsidR="003A1BE1">
        <w:fldChar w:fldCharType="begin"/>
      </w:r>
      <w:r w:rsidR="003A1BE1">
        <w:instrText xml:space="preserve"> REF _Ref202892746 \h </w:instrText>
      </w:r>
      <w:r w:rsidR="003A1BE1">
        <w:fldChar w:fldCharType="separate"/>
      </w:r>
      <w:r w:rsidR="000D75AE" w:rsidRPr="42EF8D0B">
        <w:t>11.4.3</w:t>
      </w:r>
      <w:r w:rsidR="00C33F1F">
        <w:t xml:space="preserve"> </w:t>
      </w:r>
      <w:r w:rsidR="000D75AE" w:rsidRPr="42EF8D0B">
        <w:t>Progress Fees for Education and Training</w:t>
      </w:r>
      <w:r w:rsidR="003A1BE1">
        <w:fldChar w:fldCharType="end"/>
      </w:r>
      <w:r>
        <w:t>)</w:t>
      </w:r>
      <w:r w:rsidR="002676AB">
        <w:t>, with</w:t>
      </w:r>
    </w:p>
    <w:p w14:paraId="7E02672D" w14:textId="5D00669A" w:rsidR="00DE145E" w:rsidRPr="00B606AF" w:rsidRDefault="00DE145E" w:rsidP="00B606AF">
      <w:pPr>
        <w:pStyle w:val="BulletLevel2"/>
      </w:pPr>
      <w:r w:rsidRPr="00B606AF">
        <w:t>attainment or participation in a Certificate III or higher qualification, or</w:t>
      </w:r>
    </w:p>
    <w:p w14:paraId="69A63DDD" w14:textId="049894C6" w:rsidR="00182CBD" w:rsidRPr="008B2EE4" w:rsidRDefault="00182CBD" w:rsidP="00B606AF">
      <w:pPr>
        <w:pStyle w:val="BulletLevel2"/>
      </w:pPr>
      <w:r w:rsidRPr="00B606AF">
        <w:t>attain</w:t>
      </w:r>
      <w:r w:rsidRPr="00BF4E02">
        <w:t>ment</w:t>
      </w:r>
      <w:r w:rsidRPr="008B2EE4">
        <w:t xml:space="preserve"> of a Certificate II, where the Participant does not already hold a </w:t>
      </w:r>
      <w:r w:rsidR="005E7045">
        <w:t>Y</w:t>
      </w:r>
      <w:r w:rsidRPr="008B2EE4">
        <w:t>ear 12 or equivalent qualification.</w:t>
      </w:r>
    </w:p>
    <w:p w14:paraId="29A02E3E" w14:textId="1550606A" w:rsidR="00182CBD" w:rsidRDefault="008F55CF" w:rsidP="004E120D">
      <w:pPr>
        <w:pStyle w:val="BulletLevel1"/>
      </w:pPr>
      <w:r>
        <w:t>A</w:t>
      </w:r>
      <w:r w:rsidR="00182CBD" w:rsidRPr="00A6048D">
        <w:t>ctivities</w:t>
      </w:r>
      <w:r w:rsidR="00FF19C9">
        <w:t xml:space="preserve"> that address Vocational Barriers</w:t>
      </w:r>
      <w:r w:rsidR="00182CBD">
        <w:t xml:space="preserve"> (</w:t>
      </w:r>
      <w:r w:rsidR="006E274B">
        <w:t xml:space="preserve">for details, </w:t>
      </w:r>
      <w:r w:rsidR="00182CBD">
        <w:t xml:space="preserve">see </w:t>
      </w:r>
      <w:r w:rsidR="003A1BE1">
        <w:fldChar w:fldCharType="begin"/>
      </w:r>
      <w:r w:rsidR="003A1BE1">
        <w:instrText xml:space="preserve"> REF _Ref202892757 \h </w:instrText>
      </w:r>
      <w:r w:rsidR="003A1BE1">
        <w:fldChar w:fldCharType="separate"/>
      </w:r>
      <w:r w:rsidR="000D75AE">
        <w:t>11.4.4</w:t>
      </w:r>
      <w:r w:rsidR="00C33F1F">
        <w:t xml:space="preserve"> </w:t>
      </w:r>
      <w:r w:rsidR="000D75AE" w:rsidRPr="00ED220A">
        <w:t xml:space="preserve">Progress Fees for </w:t>
      </w:r>
      <w:r w:rsidR="000D75AE">
        <w:t>A</w:t>
      </w:r>
      <w:r w:rsidR="000D75AE" w:rsidRPr="00ED220A">
        <w:t>ctivities</w:t>
      </w:r>
      <w:r w:rsidR="000D75AE">
        <w:t xml:space="preserve"> that address Vocational Barriers</w:t>
      </w:r>
      <w:r w:rsidR="003A1BE1">
        <w:fldChar w:fldCharType="end"/>
      </w:r>
      <w:r w:rsidR="00182CBD" w:rsidRPr="004A6644">
        <w:t>)</w:t>
      </w:r>
      <w:r w:rsidR="002676AB">
        <w:t>, with</w:t>
      </w:r>
    </w:p>
    <w:p w14:paraId="243576CE" w14:textId="1B67E165" w:rsidR="00023E05" w:rsidRDefault="002676AB" w:rsidP="00B606AF">
      <w:pPr>
        <w:pStyle w:val="BulletLevel2"/>
      </w:pPr>
      <w:r>
        <w:t>participation in</w:t>
      </w:r>
      <w:r w:rsidR="00182CBD" w:rsidRPr="008B2EE4">
        <w:t xml:space="preserve"> </w:t>
      </w:r>
      <w:r w:rsidR="00E8727C">
        <w:t>an</w:t>
      </w:r>
      <w:r w:rsidR="00182CBD" w:rsidRPr="008B2EE4">
        <w:t xml:space="preserve"> </w:t>
      </w:r>
      <w:r w:rsidR="00E8727C">
        <w:t>Complementary or Specified</w:t>
      </w:r>
      <w:r w:rsidR="00E8727C" w:rsidRPr="00A6048D">
        <w:t xml:space="preserve"> </w:t>
      </w:r>
      <w:r w:rsidR="00AD03AF">
        <w:t>A</w:t>
      </w:r>
      <w:r w:rsidR="00182CBD" w:rsidRPr="008B2EE4">
        <w:t xml:space="preserve">ctivity that builds </w:t>
      </w:r>
      <w:r w:rsidR="00940253">
        <w:t>W</w:t>
      </w:r>
      <w:r w:rsidR="00182CBD" w:rsidRPr="008B2EE4">
        <w:t xml:space="preserve">ork </w:t>
      </w:r>
      <w:r w:rsidR="00940253">
        <w:t>R</w:t>
      </w:r>
      <w:r w:rsidR="00182CBD" w:rsidRPr="008B2EE4">
        <w:t>eadiness</w:t>
      </w:r>
      <w:r w:rsidR="00023E05">
        <w:t>, or</w:t>
      </w:r>
    </w:p>
    <w:p w14:paraId="011ABAAC" w14:textId="229DFA0D" w:rsidR="00182CBD" w:rsidRPr="008B2EE4" w:rsidRDefault="00023E05" w:rsidP="00B606AF">
      <w:pPr>
        <w:pStyle w:val="BulletLevel2"/>
      </w:pPr>
      <w:r>
        <w:t>participation in approved Voluntary Work</w:t>
      </w:r>
      <w:r w:rsidR="00182CBD" w:rsidRPr="008B2EE4">
        <w:t>.</w:t>
      </w:r>
    </w:p>
    <w:p w14:paraId="79780A29" w14:textId="5F99CC0F" w:rsidR="00182CBD" w:rsidRDefault="00E0771F" w:rsidP="00182CBD">
      <w:pPr>
        <w:pStyle w:val="Heading5"/>
        <w:spacing w:before="240"/>
      </w:pPr>
      <w:r>
        <w:t>Services and p</w:t>
      </w:r>
      <w:r w:rsidR="00182CBD">
        <w:t>hases in which Progress Fees may be claimed</w:t>
      </w:r>
    </w:p>
    <w:p w14:paraId="13281487" w14:textId="72AF3C99" w:rsidR="00767FFB" w:rsidRDefault="00182CBD" w:rsidP="00182CBD">
      <w:r w:rsidRPr="00F84BB4">
        <w:t xml:space="preserve">A Progress Fee </w:t>
      </w:r>
      <w:r w:rsidRPr="42C107D3">
        <w:t>may be payable for Employment that commences while a Participant is in Pre</w:t>
      </w:r>
      <w:r w:rsidR="00767FFB">
        <w:noBreakHyphen/>
      </w:r>
      <w:r w:rsidRPr="42C107D3">
        <w:t>Employment Support (</w:t>
      </w:r>
      <w:r w:rsidR="005C082C">
        <w:t xml:space="preserve">Intensive or </w:t>
      </w:r>
      <w:r w:rsidR="006B3C9C" w:rsidRPr="42C107D3">
        <w:t xml:space="preserve">Flexible Service </w:t>
      </w:r>
      <w:r w:rsidR="006B3C9C">
        <w:t xml:space="preserve">and </w:t>
      </w:r>
      <w:r w:rsidRPr="42C107D3">
        <w:t>Work Preparation</w:t>
      </w:r>
      <w:r w:rsidR="006B3C9C">
        <w:t xml:space="preserve"> or</w:t>
      </w:r>
      <w:r w:rsidRPr="42C107D3" w:rsidDel="006B3C9C">
        <w:t xml:space="preserve"> </w:t>
      </w:r>
      <w:r w:rsidRPr="42C107D3">
        <w:t>Job Search</w:t>
      </w:r>
      <w:r w:rsidRPr="42C107D3" w:rsidDel="006B3C9C">
        <w:t xml:space="preserve"> </w:t>
      </w:r>
      <w:r w:rsidRPr="42C107D3">
        <w:t>phase</w:t>
      </w:r>
      <w:r w:rsidR="006B3C9C">
        <w:t>s</w:t>
      </w:r>
      <w:r w:rsidRPr="42C107D3">
        <w:t xml:space="preserve">). The Progress Fee may be claimed during Pre-Employment </w:t>
      </w:r>
      <w:r w:rsidR="00AD51DF">
        <w:t xml:space="preserve">Support </w:t>
      </w:r>
      <w:r w:rsidRPr="42C107D3">
        <w:t xml:space="preserve">if the Job Placement is not </w:t>
      </w:r>
      <w:r w:rsidR="00767FFB">
        <w:t>a</w:t>
      </w:r>
      <w:r w:rsidRPr="42C107D3">
        <w:t xml:space="preserve">nchored, for example because it is a paid </w:t>
      </w:r>
      <w:r w:rsidR="005F25AB">
        <w:t>W</w:t>
      </w:r>
      <w:r w:rsidRPr="42C107D3">
        <w:t xml:space="preserve">ork </w:t>
      </w:r>
      <w:r w:rsidR="005F25AB">
        <w:t>T</w:t>
      </w:r>
      <w:r w:rsidRPr="42C107D3">
        <w:t>rial</w:t>
      </w:r>
      <w:r w:rsidR="00B31AEA">
        <w:t xml:space="preserve"> or work experience placement</w:t>
      </w:r>
      <w:r w:rsidRPr="42C107D3">
        <w:t xml:space="preserve">. </w:t>
      </w:r>
    </w:p>
    <w:p w14:paraId="0D2AB126" w14:textId="478F777B" w:rsidR="00182CBD" w:rsidRDefault="00767FFB" w:rsidP="00182CBD">
      <w:r>
        <w:t>A</w:t>
      </w:r>
      <w:r w:rsidR="00182CBD" w:rsidRPr="42C107D3">
        <w:t xml:space="preserve"> Progress Fee may be claimed during Post Placement Support if the Job Placement is ongoing and has been </w:t>
      </w:r>
      <w:r>
        <w:t>a</w:t>
      </w:r>
      <w:r w:rsidR="00182CBD" w:rsidRPr="42C107D3">
        <w:t>nchored</w:t>
      </w:r>
      <w:r w:rsidR="00B31AEA">
        <w:t xml:space="preserve"> (see </w:t>
      </w:r>
      <w:r w:rsidR="00FF19C9">
        <w:fldChar w:fldCharType="begin"/>
      </w:r>
      <w:r w:rsidR="00FF19C9">
        <w:instrText xml:space="preserve"> REF _Ref202893039 \h </w:instrText>
      </w:r>
      <w:r w:rsidR="00FF19C9">
        <w:fldChar w:fldCharType="separate"/>
      </w:r>
      <w:r w:rsidR="000D75AE" w:rsidRPr="25249C38">
        <w:t>9.</w:t>
      </w:r>
      <w:r w:rsidR="000D75AE">
        <w:t>3</w:t>
      </w:r>
      <w:r w:rsidR="000D75AE" w:rsidRPr="25249C38">
        <w:t>.2</w:t>
      </w:r>
      <w:r w:rsidR="00C33F1F">
        <w:t xml:space="preserve"> </w:t>
      </w:r>
      <w:r w:rsidR="000D75AE" w:rsidRPr="25249C38">
        <w:t>Anchoring a Job Placement</w:t>
      </w:r>
      <w:r w:rsidR="00FF19C9">
        <w:fldChar w:fldCharType="end"/>
      </w:r>
      <w:r w:rsidR="00FF19C9">
        <w:t>)</w:t>
      </w:r>
    </w:p>
    <w:p w14:paraId="1532CEA0" w14:textId="115C3020" w:rsidR="00182CBD" w:rsidRDefault="00182CBD" w:rsidP="00182CBD">
      <w:r w:rsidRPr="00CB53C0">
        <w:t>A Progress Fee for Education</w:t>
      </w:r>
      <w:r w:rsidR="00FF19C9">
        <w:t xml:space="preserve"> and</w:t>
      </w:r>
      <w:r w:rsidRPr="00CB53C0">
        <w:t xml:space="preserve"> Training or Activities</w:t>
      </w:r>
      <w:r w:rsidR="00FF19C9">
        <w:t xml:space="preserve"> that address Vocational Barriers</w:t>
      </w:r>
      <w:r w:rsidRPr="00CB53C0">
        <w:t xml:space="preserve"> may be payable </w:t>
      </w:r>
      <w:r w:rsidR="00F83482">
        <w:t>while a Participant is receiving</w:t>
      </w:r>
      <w:r w:rsidRPr="00CB53C0">
        <w:t xml:space="preserve"> Pre</w:t>
      </w:r>
      <w:r w:rsidR="09C73504" w:rsidRPr="00CB53C0">
        <w:t>-</w:t>
      </w:r>
      <w:r>
        <w:t>Employment Support or Post</w:t>
      </w:r>
      <w:r w:rsidR="5EE560E7">
        <w:t>-</w:t>
      </w:r>
      <w:r>
        <w:t>Placement Support</w:t>
      </w:r>
      <w:r w:rsidR="00F83482">
        <w:t>.</w:t>
      </w:r>
    </w:p>
    <w:p w14:paraId="592D8ED7" w14:textId="57DC0C1C" w:rsidR="00182CBD" w:rsidRPr="00340925" w:rsidRDefault="00182CBD" w:rsidP="00182CBD">
      <w:r>
        <w:t>No Progress Fees are payable in Ongoing Support.</w:t>
      </w:r>
    </w:p>
    <w:p w14:paraId="43CDA938" w14:textId="77777777" w:rsidR="00182CBD" w:rsidRPr="00655979" w:rsidRDefault="00182CBD" w:rsidP="00182CBD">
      <w:pPr>
        <w:pStyle w:val="Heading5"/>
        <w:spacing w:before="240"/>
        <w:rPr>
          <w:szCs w:val="32"/>
        </w:rPr>
      </w:pPr>
      <w:r>
        <w:t>Progress Fee</w:t>
      </w:r>
      <w:r w:rsidRPr="00F90CD6">
        <w:t xml:space="preserve"> </w:t>
      </w:r>
      <w:r>
        <w:t>a</w:t>
      </w:r>
      <w:r w:rsidRPr="00F90CD6">
        <w:t>vailability to claim</w:t>
      </w:r>
    </w:p>
    <w:p w14:paraId="43E19E63" w14:textId="6EA5D07B" w:rsidR="00182CBD" w:rsidRDefault="00182CBD" w:rsidP="00CF38F5">
      <w:pPr>
        <w:rPr>
          <w:spacing w:val="0"/>
        </w:rPr>
      </w:pPr>
      <w:r>
        <w:rPr>
          <w:spacing w:val="0"/>
        </w:rPr>
        <w:t xml:space="preserve">Providers are eligible to claim up to 2 Progress Fees for a Participant </w:t>
      </w:r>
      <w:r w:rsidRPr="00187B45">
        <w:rPr>
          <w:spacing w:val="0"/>
        </w:rPr>
        <w:t xml:space="preserve">for </w:t>
      </w:r>
      <w:r w:rsidRPr="003410AA">
        <w:t xml:space="preserve">each 12 months </w:t>
      </w:r>
      <w:r w:rsidR="008158CE">
        <w:t>(</w:t>
      </w:r>
      <w:r w:rsidR="003D0039">
        <w:t xml:space="preserve">52 Consecutive Weeks) </w:t>
      </w:r>
      <w:r w:rsidRPr="003410AA">
        <w:t>the Participant remains Registered with the Provider.</w:t>
      </w:r>
      <w:r>
        <w:t xml:space="preserve"> If a Participant transfers and Commences with a new Provider, a new 12-month period will start. </w:t>
      </w:r>
    </w:p>
    <w:p w14:paraId="41861C06" w14:textId="66D109FB" w:rsidR="00182CBD" w:rsidRDefault="00182CBD" w:rsidP="006F727E">
      <w:pPr>
        <w:pStyle w:val="SystemStep"/>
      </w:pPr>
      <w:r>
        <w:t xml:space="preserve">When a Participant transfers after completing the requirements for a Progress Fee (i.e. the completion of the </w:t>
      </w:r>
      <w:r w:rsidR="004A3F31">
        <w:t>A</w:t>
      </w:r>
      <w:r>
        <w:t xml:space="preserve">ctivity occurred while the Participant was on the </w:t>
      </w:r>
      <w:r w:rsidR="00403999">
        <w:t>R</w:t>
      </w:r>
      <w:r>
        <w:t xml:space="preserve">elinquishing Provider’s </w:t>
      </w:r>
      <w:r w:rsidR="005C37ED">
        <w:t>C</w:t>
      </w:r>
      <w:r>
        <w:t xml:space="preserve">aseload), the </w:t>
      </w:r>
      <w:r w:rsidR="00403999">
        <w:t>R</w:t>
      </w:r>
      <w:r>
        <w:t xml:space="preserve">elinquishing Provider must claim a Progress Fee Payment within 28 calendar days from the date of transfer. </w:t>
      </w:r>
    </w:p>
    <w:p w14:paraId="51BB168A" w14:textId="77777777" w:rsidR="00182CBD" w:rsidRDefault="00182CBD" w:rsidP="00182CBD">
      <w:pPr>
        <w:pStyle w:val="Heading5"/>
      </w:pPr>
      <w:r w:rsidRPr="00483B23">
        <w:t>Non-Payable Progress Fees</w:t>
      </w:r>
    </w:p>
    <w:p w14:paraId="115C9975" w14:textId="75FFC3CF" w:rsidR="00182CBD" w:rsidRDefault="00182CBD" w:rsidP="00904981">
      <w:pPr>
        <w:rPr>
          <w:spacing w:val="0"/>
        </w:rPr>
      </w:pPr>
      <w:r>
        <w:t>A</w:t>
      </w:r>
      <w:r w:rsidR="00F8072D">
        <w:t>fter 2</w:t>
      </w:r>
      <w:r>
        <w:t xml:space="preserve"> Progress Fee</w:t>
      </w:r>
      <w:r w:rsidR="00F8072D">
        <w:t>s</w:t>
      </w:r>
      <w:r>
        <w:t xml:space="preserve"> </w:t>
      </w:r>
      <w:r w:rsidR="00F8072D">
        <w:t>have been claimed</w:t>
      </w:r>
      <w:r>
        <w:t xml:space="preserve"> </w:t>
      </w:r>
      <w:r w:rsidR="00F8072D">
        <w:t>in a</w:t>
      </w:r>
      <w:r>
        <w:t xml:space="preserve"> 12-month period,</w:t>
      </w:r>
      <w:r w:rsidR="00F8072D">
        <w:t xml:space="preserve"> no further claims can be made</w:t>
      </w:r>
      <w:r>
        <w:t xml:space="preserve"> even where the Participant </w:t>
      </w:r>
      <w:r w:rsidR="004870FB">
        <w:t>meets the eligibility for a Progress Fee</w:t>
      </w:r>
      <w:r>
        <w:t>. The date the requirements for a Progress Fee have been met determines which period the fee falls in.</w:t>
      </w:r>
    </w:p>
    <w:p w14:paraId="17AD1DF4" w14:textId="36F31A2D" w:rsidR="00182CBD" w:rsidRDefault="00182CBD" w:rsidP="00904981">
      <w:r w:rsidRPr="6AAB6FFF">
        <w:t>Only 1 of the 2 </w:t>
      </w:r>
      <w:r w:rsidRPr="42C107D3">
        <w:rPr>
          <w:spacing w:val="0"/>
        </w:rPr>
        <w:t>Progress F</w:t>
      </w:r>
      <w:r>
        <w:t xml:space="preserve">ees can be claimed for </w:t>
      </w:r>
      <w:r w:rsidR="694B46A8" w:rsidRPr="42C107D3">
        <w:rPr>
          <w:spacing w:val="0"/>
        </w:rPr>
        <w:t>E</w:t>
      </w:r>
      <w:r>
        <w:t xml:space="preserve">ducation and </w:t>
      </w:r>
      <w:r w:rsidR="5B0B0167" w:rsidRPr="42C107D3">
        <w:rPr>
          <w:spacing w:val="0"/>
        </w:rPr>
        <w:t>T</w:t>
      </w:r>
      <w:r w:rsidRPr="42C107D3">
        <w:rPr>
          <w:spacing w:val="0"/>
        </w:rPr>
        <w:t>raining</w:t>
      </w:r>
      <w:r w:rsidRPr="6AAB6FFF">
        <w:t xml:space="preserve"> in a 12</w:t>
      </w:r>
      <w:r>
        <w:t>-</w:t>
      </w:r>
      <w:r w:rsidRPr="6AAB6FFF">
        <w:t>month period</w:t>
      </w:r>
      <w:r>
        <w:t xml:space="preserve">. </w:t>
      </w:r>
    </w:p>
    <w:p w14:paraId="6762D62E" w14:textId="43D20360" w:rsidR="00182CBD" w:rsidRPr="00EC43C8" w:rsidRDefault="6AA6998D" w:rsidP="00904981">
      <w:r>
        <w:t xml:space="preserve">Providers are not eligible to claim a </w:t>
      </w:r>
      <w:r w:rsidR="00F7651D">
        <w:t>P</w:t>
      </w:r>
      <w:r>
        <w:t xml:space="preserve">rogress </w:t>
      </w:r>
      <w:r w:rsidR="00F7651D">
        <w:t>Fe</w:t>
      </w:r>
      <w:r>
        <w:t xml:space="preserve">e for a </w:t>
      </w:r>
      <w:r w:rsidR="097F3742">
        <w:t>P</w:t>
      </w:r>
      <w:r>
        <w:t>articipant placed in:</w:t>
      </w:r>
    </w:p>
    <w:p w14:paraId="55BF99EC" w14:textId="31C203A4" w:rsidR="00182CBD" w:rsidRDefault="000A12AD" w:rsidP="004E120D">
      <w:pPr>
        <w:pStyle w:val="BulletLevel1"/>
      </w:pPr>
      <w:r>
        <w:t>other government</w:t>
      </w:r>
      <w:r w:rsidR="00182CBD">
        <w:t xml:space="preserve"> program</w:t>
      </w:r>
      <w:r>
        <w:t xml:space="preserve"> (i.e. those</w:t>
      </w:r>
      <w:r w:rsidR="00182CBD">
        <w:t xml:space="preserve"> funded by the </w:t>
      </w:r>
      <w:r>
        <w:t>Commonwealth,</w:t>
      </w:r>
      <w:r w:rsidR="00182CBD">
        <w:t xml:space="preserve"> State or Territory Government</w:t>
      </w:r>
      <w:r w:rsidR="00795F76">
        <w:t xml:space="preserve"> and not listed as a Complementary or Specified Activity in these Guidelines)</w:t>
      </w:r>
    </w:p>
    <w:p w14:paraId="10690ECE" w14:textId="66AE7810" w:rsidR="00795F76" w:rsidRPr="00F7651D" w:rsidRDefault="00795F76" w:rsidP="004E120D">
      <w:pPr>
        <w:pStyle w:val="BulletLevel1"/>
      </w:pPr>
      <w:r>
        <w:t>Non-Vocational Activities and Interventions</w:t>
      </w:r>
    </w:p>
    <w:p w14:paraId="3280CC33" w14:textId="031501D0" w:rsidR="00182CBD" w:rsidRPr="00F7651D" w:rsidRDefault="00904981" w:rsidP="004E120D">
      <w:pPr>
        <w:pStyle w:val="BulletLevel1"/>
      </w:pPr>
      <w:r>
        <w:t>V</w:t>
      </w:r>
      <w:r w:rsidR="00182CBD" w:rsidRPr="00F7651D">
        <w:t xml:space="preserve">olunteer </w:t>
      </w:r>
      <w:r>
        <w:t>W</w:t>
      </w:r>
      <w:r w:rsidR="00182CBD" w:rsidRPr="00F7651D">
        <w:t xml:space="preserve">ork that is not </w:t>
      </w:r>
      <w:r w:rsidR="00C104BB">
        <w:t>with</w:t>
      </w:r>
      <w:r w:rsidR="00182CBD" w:rsidRPr="00F7651D">
        <w:t xml:space="preserve"> an </w:t>
      </w:r>
      <w:r w:rsidR="004649CC">
        <w:t>e</w:t>
      </w:r>
      <w:r w:rsidR="00B662F2">
        <w:t>ligible</w:t>
      </w:r>
      <w:r w:rsidR="00182CBD" w:rsidRPr="00F7651D">
        <w:t xml:space="preserve"> organisation as specified in </w:t>
      </w:r>
      <w:r w:rsidR="00CF5E9E" w:rsidRPr="00F7651D">
        <w:t xml:space="preserve">these </w:t>
      </w:r>
      <w:r w:rsidR="00182CBD" w:rsidRPr="00F7651D">
        <w:t>Guidelines</w:t>
      </w:r>
    </w:p>
    <w:p w14:paraId="122695B9" w14:textId="607B77BE" w:rsidR="00182CBD" w:rsidRPr="00F7651D" w:rsidRDefault="00182CBD" w:rsidP="004E120D">
      <w:pPr>
        <w:pStyle w:val="BulletLevel1"/>
      </w:pPr>
      <w:r w:rsidRPr="00F7651D">
        <w:t>a position in a social enterprise that is not registered with Social Traders Australia or People and Planet First</w:t>
      </w:r>
    </w:p>
    <w:p w14:paraId="6D4AA1D6" w14:textId="35C9FE20" w:rsidR="00182CBD" w:rsidRPr="00F7651D" w:rsidRDefault="00B23B3B" w:rsidP="004E120D">
      <w:pPr>
        <w:pStyle w:val="BulletLevel1"/>
      </w:pPr>
      <w:r w:rsidRPr="00F7651D">
        <w:t>E</w:t>
      </w:r>
      <w:r w:rsidR="00182CBD" w:rsidRPr="00F7651D">
        <w:t>mployment</w:t>
      </w:r>
      <w:r w:rsidR="00904981">
        <w:t>, Work Trials</w:t>
      </w:r>
      <w:r w:rsidR="00182CBD" w:rsidRPr="00F7651D">
        <w:t xml:space="preserve"> or paid work experience within the Provider’s Own Organisation or a Related Entity</w:t>
      </w:r>
      <w:r w:rsidR="00904981">
        <w:t>, or</w:t>
      </w:r>
    </w:p>
    <w:p w14:paraId="632F8175" w14:textId="341EC0B7" w:rsidR="00182CBD" w:rsidRPr="00D2062E" w:rsidRDefault="00182CBD" w:rsidP="004E120D">
      <w:pPr>
        <w:pStyle w:val="BulletLevel1"/>
      </w:pPr>
      <w:r w:rsidRPr="00F7651D">
        <w:t>a position for which the type of work is inappropriate for the Participant based on their ESAt</w:t>
      </w:r>
      <w:r w:rsidRPr="42C107D3">
        <w:t>.</w:t>
      </w:r>
    </w:p>
    <w:p w14:paraId="58F83533" w14:textId="34693FCE" w:rsidR="00391F2C" w:rsidRDefault="00182CBD" w:rsidP="00B23E2F">
      <w:pPr>
        <w:keepLines/>
      </w:pPr>
      <w:r w:rsidRPr="006A4C92">
        <w:t xml:space="preserve">Providers </w:t>
      </w:r>
      <w:r>
        <w:t xml:space="preserve">cannot </w:t>
      </w:r>
      <w:r w:rsidRPr="006A4C92">
        <w:t>claim multiple Progress Fees linked to the same job</w:t>
      </w:r>
      <w:r w:rsidR="00085559">
        <w:t xml:space="preserve"> or </w:t>
      </w:r>
      <w:r w:rsidR="00A1261F">
        <w:t>course</w:t>
      </w:r>
      <w:r w:rsidR="00A017CD">
        <w:t>. F</w:t>
      </w:r>
      <w:r w:rsidR="00B3707B">
        <w:t>or example,</w:t>
      </w:r>
      <w:r w:rsidRPr="006A4C92">
        <w:t xml:space="preserve"> </w:t>
      </w:r>
      <w:r w:rsidR="00EC059A">
        <w:t xml:space="preserve">a </w:t>
      </w:r>
      <w:r w:rsidR="000B5CED">
        <w:t>Progress Fee</w:t>
      </w:r>
      <w:r w:rsidR="00EC059A">
        <w:t xml:space="preserve"> that has been claimed</w:t>
      </w:r>
      <w:r w:rsidRPr="006A4C92">
        <w:t xml:space="preserve"> for </w:t>
      </w:r>
      <w:r w:rsidR="00B3707B">
        <w:t>V</w:t>
      </w:r>
      <w:r w:rsidRPr="006A4C92">
        <w:t xml:space="preserve">oluntary </w:t>
      </w:r>
      <w:r w:rsidR="00B3707B">
        <w:t>W</w:t>
      </w:r>
      <w:r w:rsidRPr="006A4C92">
        <w:t xml:space="preserve">ork, Observational Work Experience, </w:t>
      </w:r>
      <w:r w:rsidR="000E03F8">
        <w:t>or</w:t>
      </w:r>
      <w:r w:rsidRPr="006A4C92">
        <w:t xml:space="preserve"> paid work experience </w:t>
      </w:r>
      <w:r w:rsidR="00961B62">
        <w:t xml:space="preserve">cannot </w:t>
      </w:r>
      <w:r w:rsidR="00CD0BBF">
        <w:t xml:space="preserve">then </w:t>
      </w:r>
      <w:r w:rsidR="00961B62">
        <w:t>be claimed again</w:t>
      </w:r>
      <w:r w:rsidRPr="006A4C92">
        <w:t xml:space="preserve"> for 4</w:t>
      </w:r>
      <w:r w:rsidR="00F7651D">
        <w:t>-</w:t>
      </w:r>
      <w:r w:rsidRPr="006A4C92">
        <w:t>weeks Employment with the same Employer.</w:t>
      </w:r>
      <w:r w:rsidR="00240C11">
        <w:t xml:space="preserve"> Similarly, if a Progress Fee is claimed for </w:t>
      </w:r>
      <w:r w:rsidR="00A50E8C">
        <w:t xml:space="preserve">a </w:t>
      </w:r>
      <w:r w:rsidR="008F20AE">
        <w:t>P</w:t>
      </w:r>
      <w:r w:rsidR="00A50E8C">
        <w:t xml:space="preserve">articipant </w:t>
      </w:r>
      <w:r w:rsidR="00EA4EA2" w:rsidRPr="42C107D3">
        <w:t>complet</w:t>
      </w:r>
      <w:r w:rsidR="00EA4EA2">
        <w:t xml:space="preserve">ing </w:t>
      </w:r>
      <w:r w:rsidR="00EA4EA2" w:rsidRPr="42C107D3">
        <w:t xml:space="preserve">26 </w:t>
      </w:r>
      <w:r w:rsidR="00EA4EA2">
        <w:t>C</w:t>
      </w:r>
      <w:r w:rsidR="00EA4EA2" w:rsidRPr="42C107D3">
        <w:t xml:space="preserve">onsecutive </w:t>
      </w:r>
      <w:r w:rsidR="00EA4EA2">
        <w:t>W</w:t>
      </w:r>
      <w:r w:rsidR="00EA4EA2" w:rsidRPr="42C107D3">
        <w:t xml:space="preserve">eeks of </w:t>
      </w:r>
      <w:r w:rsidR="00A60483">
        <w:t xml:space="preserve">a </w:t>
      </w:r>
      <w:r w:rsidR="00A60483" w:rsidRPr="42C107D3">
        <w:t>Certificate III</w:t>
      </w:r>
      <w:r w:rsidR="00EA4EA2" w:rsidRPr="42C107D3">
        <w:t xml:space="preserve"> certification</w:t>
      </w:r>
      <w:r w:rsidR="008F20AE">
        <w:t>,</w:t>
      </w:r>
      <w:r w:rsidR="00B508DC">
        <w:t xml:space="preserve"> a Progress Fee cannot be claimed </w:t>
      </w:r>
      <w:r w:rsidR="007556D9">
        <w:t>when the</w:t>
      </w:r>
      <w:r w:rsidR="0011301E">
        <w:t>y attain the certification</w:t>
      </w:r>
      <w:r w:rsidR="007B7CCA">
        <w:t xml:space="preserve"> for the same course</w:t>
      </w:r>
      <w:r w:rsidR="0011301E">
        <w:t>.</w:t>
      </w:r>
    </w:p>
    <w:p w14:paraId="15C11EE1" w14:textId="23B5A177" w:rsidR="002F10EE" w:rsidRPr="00391F2C" w:rsidRDefault="002F10EE" w:rsidP="004E2114">
      <w:pPr>
        <w:rPr>
          <w:sz w:val="20"/>
          <w:szCs w:val="22"/>
        </w:rPr>
      </w:pPr>
      <w:r w:rsidRPr="00391F2C">
        <w:rPr>
          <w:sz w:val="20"/>
          <w:szCs w:val="22"/>
        </w:rPr>
        <w:t>(</w:t>
      </w:r>
      <w:r w:rsidR="00A73420" w:rsidRPr="00391F2C">
        <w:rPr>
          <w:sz w:val="20"/>
          <w:szCs w:val="22"/>
        </w:rPr>
        <w:t xml:space="preserve">Deed Reference(s): Clause </w:t>
      </w:r>
      <w:r w:rsidR="000E4E39">
        <w:rPr>
          <w:sz w:val="20"/>
          <w:szCs w:val="22"/>
        </w:rPr>
        <w:t>162</w:t>
      </w:r>
      <w:r w:rsidRPr="00391F2C">
        <w:rPr>
          <w:sz w:val="20"/>
          <w:szCs w:val="22"/>
        </w:rPr>
        <w:t>, Annexure B1)</w:t>
      </w:r>
    </w:p>
    <w:p w14:paraId="29C2DE6F" w14:textId="7EEAAD54" w:rsidR="00182CBD" w:rsidRPr="001A4CA5" w:rsidRDefault="00182CBD" w:rsidP="001D0F92">
      <w:pPr>
        <w:pStyle w:val="Heading4"/>
      </w:pPr>
      <w:bookmarkStart w:id="483" w:name="_Progress_Fees_for"/>
      <w:bookmarkStart w:id="484" w:name="_Ref202880904"/>
      <w:bookmarkStart w:id="485" w:name="_Ref202892736"/>
      <w:bookmarkStart w:id="486" w:name="_Toc202900087"/>
      <w:bookmarkEnd w:id="483"/>
      <w:r>
        <w:t>11.4.2</w:t>
      </w:r>
      <w:r w:rsidR="007264AB">
        <w:tab/>
      </w:r>
      <w:r w:rsidRPr="001A4CA5">
        <w:t xml:space="preserve">Progress Fees for Employment and </w:t>
      </w:r>
      <w:r w:rsidR="003A1BE1">
        <w:t>p</w:t>
      </w:r>
      <w:r w:rsidRPr="001A4CA5">
        <w:t xml:space="preserve">aid </w:t>
      </w:r>
      <w:r w:rsidR="003A1BE1">
        <w:t>w</w:t>
      </w:r>
      <w:r w:rsidRPr="001A4CA5">
        <w:t xml:space="preserve">ork </w:t>
      </w:r>
      <w:r w:rsidR="003A1BE1">
        <w:t>e</w:t>
      </w:r>
      <w:r w:rsidRPr="001A4CA5">
        <w:t>xperience</w:t>
      </w:r>
      <w:bookmarkEnd w:id="484"/>
      <w:bookmarkEnd w:id="485"/>
      <w:bookmarkEnd w:id="486"/>
    </w:p>
    <w:p w14:paraId="4B9AF589" w14:textId="0C865087" w:rsidR="006547D8" w:rsidRDefault="006547D8" w:rsidP="00BF4E02">
      <w:r w:rsidRPr="00887DC1">
        <w:t xml:space="preserve">A Progress Fee based on Employment </w:t>
      </w:r>
      <w:r>
        <w:t xml:space="preserve">or paid </w:t>
      </w:r>
      <w:r w:rsidR="00A71747">
        <w:t>w</w:t>
      </w:r>
      <w:r>
        <w:t xml:space="preserve">ork </w:t>
      </w:r>
      <w:r w:rsidR="00A71747">
        <w:t>e</w:t>
      </w:r>
      <w:r>
        <w:t xml:space="preserve">xperience </w:t>
      </w:r>
      <w:r w:rsidRPr="00887DC1">
        <w:t>may be claimed for</w:t>
      </w:r>
      <w:r>
        <w:t>:</w:t>
      </w:r>
    </w:p>
    <w:p w14:paraId="61363287" w14:textId="47268058" w:rsidR="006547D8" w:rsidRDefault="006547D8" w:rsidP="00D91457">
      <w:pPr>
        <w:pStyle w:val="BulletLevel1"/>
      </w:pPr>
      <w:r w:rsidRPr="00887DC1">
        <w:t>achievement of 4</w:t>
      </w:r>
      <w:r>
        <w:t xml:space="preserve"> </w:t>
      </w:r>
      <w:r w:rsidRPr="00887DC1">
        <w:t>weeks Employment, with or without an Anchor Date set for an Employment Outcome</w:t>
      </w:r>
      <w:r w:rsidR="00D91457">
        <w:t>.</w:t>
      </w:r>
    </w:p>
    <w:p w14:paraId="036E781B" w14:textId="11DF9A7D" w:rsidR="006547D8" w:rsidRDefault="006547D8" w:rsidP="00BF4E02">
      <w:r>
        <w:t xml:space="preserve">To claim a Progress Fee based on Employment or paid </w:t>
      </w:r>
      <w:r w:rsidR="00AD3264">
        <w:t>w</w:t>
      </w:r>
      <w:r>
        <w:t xml:space="preserve">ork </w:t>
      </w:r>
      <w:r w:rsidR="00AD3264">
        <w:t>e</w:t>
      </w:r>
      <w:r>
        <w:t>xperience</w:t>
      </w:r>
      <w:r w:rsidR="00AD3264">
        <w:t>, Providers</w:t>
      </w:r>
      <w:r>
        <w:t xml:space="preserve"> must:</w:t>
      </w:r>
    </w:p>
    <w:p w14:paraId="43186314" w14:textId="03C9408D" w:rsidR="006547D8" w:rsidRDefault="006547D8" w:rsidP="00D91457">
      <w:pPr>
        <w:pStyle w:val="BulletLevel1"/>
      </w:pPr>
      <w:r>
        <w:t xml:space="preserve">support the </w:t>
      </w:r>
      <w:r w:rsidR="00AD3264">
        <w:t>P</w:t>
      </w:r>
      <w:r>
        <w:t xml:space="preserve">articipant to work for </w:t>
      </w:r>
      <w:r w:rsidR="00AD3264">
        <w:t>a minimum of</w:t>
      </w:r>
      <w:r>
        <w:t xml:space="preserve"> 24 hours </w:t>
      </w:r>
      <w:r w:rsidR="00AD3264">
        <w:t>over a</w:t>
      </w:r>
      <w:r>
        <w:t xml:space="preserve"> continuous 4-week period</w:t>
      </w:r>
      <w:r w:rsidR="00AD3264">
        <w:t>, and</w:t>
      </w:r>
    </w:p>
    <w:p w14:paraId="4E1FB630" w14:textId="2E351038" w:rsidR="006547D8" w:rsidRDefault="00FC53E9" w:rsidP="00D91457">
      <w:pPr>
        <w:pStyle w:val="BulletLevel1"/>
      </w:pPr>
      <w:r>
        <w:t>confirm</w:t>
      </w:r>
      <w:r w:rsidR="006547D8">
        <w:t xml:space="preserve"> the </w:t>
      </w:r>
      <w:r>
        <w:t xml:space="preserve">Participant is paid at the </w:t>
      </w:r>
      <w:r w:rsidRPr="002B541D">
        <w:t>relevant</w:t>
      </w:r>
      <w:r w:rsidR="00A1618D">
        <w:t xml:space="preserve"> Modern</w:t>
      </w:r>
      <w:r w:rsidRPr="002B541D">
        <w:t xml:space="preserve"> </w:t>
      </w:r>
      <w:r>
        <w:t>A</w:t>
      </w:r>
      <w:r w:rsidRPr="002B541D">
        <w:t>ward</w:t>
      </w:r>
      <w:r>
        <w:t xml:space="preserve">, </w:t>
      </w:r>
      <w:r w:rsidRPr="009A5C7B">
        <w:t>National Minimum Wage</w:t>
      </w:r>
      <w:r w:rsidRPr="002B541D">
        <w:t xml:space="preserve"> or Enterprise Agreement rate in Open Employment</w:t>
      </w:r>
      <w:r w:rsidR="00A1618D">
        <w:t>.</w:t>
      </w:r>
    </w:p>
    <w:p w14:paraId="1DCC5088" w14:textId="6C743007" w:rsidR="00FC53E9" w:rsidRDefault="00FC53E9" w:rsidP="00BF4E02">
      <w:r>
        <w:t>The placement does not need to:</w:t>
      </w:r>
    </w:p>
    <w:p w14:paraId="3468625E" w14:textId="0F0D681A" w:rsidR="006547D8" w:rsidRDefault="00FC53E9" w:rsidP="00D91457">
      <w:pPr>
        <w:pStyle w:val="BulletLevel1"/>
      </w:pPr>
      <w:r>
        <w:t>be anchored</w:t>
      </w:r>
      <w:r w:rsidR="003A09E6">
        <w:t>, u</w:t>
      </w:r>
      <w:r w:rsidR="0018225F">
        <w:t>nless the Participant is in Post Placement Support</w:t>
      </w:r>
    </w:p>
    <w:p w14:paraId="28946978" w14:textId="77F2F3F8" w:rsidR="00FC53E9" w:rsidRDefault="00FC53E9" w:rsidP="00D91457">
      <w:pPr>
        <w:pStyle w:val="BulletLevel1"/>
      </w:pPr>
      <w:r>
        <w:t>meet the Participant’s Employment Benchmark</w:t>
      </w:r>
    </w:p>
    <w:p w14:paraId="2970C6ED" w14:textId="551000A3" w:rsidR="00DD26F5" w:rsidRDefault="00FC53E9" w:rsidP="00AA0C99">
      <w:pPr>
        <w:pStyle w:val="BulletLevel1"/>
      </w:pPr>
      <w:r>
        <w:t xml:space="preserve">be </w:t>
      </w:r>
      <w:r w:rsidR="001570F3">
        <w:t>ongoing Employment</w:t>
      </w:r>
      <w:r w:rsidR="008048FD">
        <w:t xml:space="preserve"> (for example, it could be short term or </w:t>
      </w:r>
      <w:r w:rsidR="00582197">
        <w:t>seasonal work</w:t>
      </w:r>
      <w:r w:rsidR="008048FD">
        <w:t>)</w:t>
      </w:r>
      <w:r w:rsidR="00D91457">
        <w:t>.</w:t>
      </w:r>
    </w:p>
    <w:p w14:paraId="5B930EAD" w14:textId="77777777" w:rsidR="008048FD" w:rsidRPr="002B541D" w:rsidRDefault="008048FD" w:rsidP="008048FD">
      <w:r>
        <w:t>If the position is in a social enterprise, the social enterprise must be registered with Social Traders Australia or People and Planet First, and must not be for work in Supported Employment Services. P</w:t>
      </w:r>
      <w:r w:rsidRPr="42C107D3">
        <w:t>osition</w:t>
      </w:r>
      <w:r>
        <w:t>s</w:t>
      </w:r>
      <w:r w:rsidRPr="42C107D3">
        <w:t xml:space="preserve"> paid under the Supported Wage System</w:t>
      </w:r>
      <w:r>
        <w:t xml:space="preserve"> may be eligible for a </w:t>
      </w:r>
      <w:r w:rsidRPr="42C107D3">
        <w:t>Progress Fee.</w:t>
      </w:r>
    </w:p>
    <w:p w14:paraId="196FF3F0" w14:textId="06BB2C2D" w:rsidR="00182CBD" w:rsidRDefault="00F33CC1" w:rsidP="00BF4E02">
      <w:r>
        <w:t>T</w:t>
      </w:r>
      <w:r w:rsidR="00182CBD" w:rsidRPr="42C107D3">
        <w:t xml:space="preserve">he </w:t>
      </w:r>
      <w:r w:rsidR="00B96E8F">
        <w:t xml:space="preserve">period for the </w:t>
      </w:r>
      <w:r w:rsidR="00182CBD">
        <w:t xml:space="preserve">Progress Fee </w:t>
      </w:r>
      <w:r w:rsidR="00182CBD" w:rsidRPr="42C107D3">
        <w:t>can count towards a 12-week Employment Outcome.</w:t>
      </w:r>
    </w:p>
    <w:p w14:paraId="014BB54F" w14:textId="77777777" w:rsidR="00A430BA" w:rsidRPr="00743A9F" w:rsidRDefault="00A430BA" w:rsidP="00A430BA">
      <w:pPr>
        <w:pStyle w:val="SystemStep"/>
      </w:pPr>
      <w:r w:rsidRPr="00F50920">
        <w:t xml:space="preserve">The </w:t>
      </w:r>
      <w:r>
        <w:t>Job</w:t>
      </w:r>
      <w:r w:rsidRPr="00F50920">
        <w:t xml:space="preserve"> Placement Vacancy ID must be recorded in the Progress Payment </w:t>
      </w:r>
      <w:r>
        <w:t>screen</w:t>
      </w:r>
      <w:r w:rsidRPr="00F50920">
        <w:t xml:space="preserve"> in the Department’s IT Systems.</w:t>
      </w:r>
    </w:p>
    <w:p w14:paraId="76EDF110" w14:textId="56A05B46" w:rsidR="00182CBD" w:rsidRPr="00972C14" w:rsidRDefault="00182CBD" w:rsidP="0079424A">
      <w:pPr>
        <w:pStyle w:val="DocumentaryEvidenceRequirement"/>
      </w:pPr>
      <w:r>
        <w:t xml:space="preserve">Documentary Evidence, showing the Participant remained Employed or in Paid Work Experience for the entire </w:t>
      </w:r>
      <w:r w:rsidR="00733499">
        <w:t>4</w:t>
      </w:r>
      <w:r>
        <w:t xml:space="preserve">-week </w:t>
      </w:r>
      <w:r w:rsidR="009F0C2D">
        <w:t>p</w:t>
      </w:r>
      <w:r>
        <w:t>eriod and worked the required 24 hours, must be in the form of:</w:t>
      </w:r>
    </w:p>
    <w:p w14:paraId="2145D977" w14:textId="1047923E" w:rsidR="00182CBD" w:rsidRDefault="00182CBD" w:rsidP="004E120D">
      <w:pPr>
        <w:pStyle w:val="BulletLevel2"/>
      </w:pPr>
      <w:r w:rsidRPr="00DC1048">
        <w:t xml:space="preserve">copies of payslips covering the </w:t>
      </w:r>
      <w:r w:rsidR="00733499">
        <w:t>entire 4-</w:t>
      </w:r>
      <w:r>
        <w:t>week</w:t>
      </w:r>
      <w:r w:rsidR="00733499">
        <w:t xml:space="preserve"> </w:t>
      </w:r>
      <w:r w:rsidR="009F0C2D">
        <w:t>p</w:t>
      </w:r>
      <w:r w:rsidR="00733499">
        <w:t>eriod</w:t>
      </w:r>
      <w:r w:rsidR="002428CB">
        <w:t>, or</w:t>
      </w:r>
    </w:p>
    <w:p w14:paraId="1A61020B" w14:textId="05D35141" w:rsidR="00182CBD" w:rsidRDefault="00182CBD" w:rsidP="004E120D">
      <w:pPr>
        <w:pStyle w:val="BulletLevel2"/>
      </w:pPr>
      <w:r>
        <w:t>a signed and dated written statement or email from the Employer or Participant</w:t>
      </w:r>
      <w:r w:rsidR="50B86B0F">
        <w:t>.</w:t>
      </w:r>
    </w:p>
    <w:p w14:paraId="59751817" w14:textId="3EB2AFBC" w:rsidR="00563A7F" w:rsidRDefault="006E6BFE" w:rsidP="00AA0C99">
      <w:r w:rsidRPr="6B7CB045">
        <w:rPr>
          <w:b/>
          <w:bCs/>
        </w:rPr>
        <w:t>Note:</w:t>
      </w:r>
      <w:r>
        <w:t xml:space="preserve"> </w:t>
      </w:r>
      <w:r w:rsidR="00090D58" w:rsidRPr="00090D58">
        <w:t xml:space="preserve">Providers may ask Participants for payslips for the purposes of verifying Employment Outcomes, </w:t>
      </w:r>
      <w:r w:rsidR="00090D58">
        <w:t>but</w:t>
      </w:r>
      <w:r w:rsidR="00090D58" w:rsidRPr="00090D58">
        <w:t xml:space="preserve"> Participants are under no obligation to provide this information. If a Participant does not want to supply payslips, Providers must not attempt to coerce or pressure the Participant. Providers must not threaten to</w:t>
      </w:r>
      <w:r w:rsidR="008E0F05">
        <w:t>,</w:t>
      </w:r>
      <w:r w:rsidR="00090D58" w:rsidRPr="00090D58">
        <w:t xml:space="preserve"> or apply</w:t>
      </w:r>
      <w:r w:rsidR="008E0F05">
        <w:t>,</w:t>
      </w:r>
      <w:r w:rsidR="00090D58" w:rsidRPr="00090D58">
        <w:t xml:space="preserve"> payment suspensions or Demerits under the Targeted Compliance Framework (TCF) to compel Participants to supply payslips or other evidence of Employment. Additionally, Providers must not contact an Employer directly to ask for evidence without the Participant’s permission or consent</w:t>
      </w:r>
      <w:r w:rsidR="00FD29A3">
        <w:t>, and</w:t>
      </w:r>
      <w:r w:rsidR="00090D58" w:rsidRPr="00090D58">
        <w:t xml:space="preserve"> </w:t>
      </w:r>
      <w:r w:rsidR="00563A7F">
        <w:t xml:space="preserve">Providers must not visit a Participant’s Private Residence seeking payslips. </w:t>
      </w:r>
    </w:p>
    <w:p w14:paraId="23A08CDF" w14:textId="4825492D" w:rsidR="006E6BFE" w:rsidRDefault="00090D58" w:rsidP="00AA0C99">
      <w:r w:rsidRPr="00090D58">
        <w:t>The Department will thoroughly investigate any claims of this nature and pursue action for a Breach of the Deed as appropriate.</w:t>
      </w:r>
      <w:r>
        <w:t xml:space="preserve"> </w:t>
      </w:r>
    </w:p>
    <w:p w14:paraId="6410108A" w14:textId="08659CAE" w:rsidR="00182CBD" w:rsidRDefault="00182CBD" w:rsidP="001D0F92">
      <w:pPr>
        <w:pStyle w:val="Heading4"/>
      </w:pPr>
      <w:bookmarkStart w:id="487" w:name="_Progress_Fees_for_1"/>
      <w:bookmarkStart w:id="488" w:name="_Ref202892746"/>
      <w:bookmarkStart w:id="489" w:name="_Toc202900088"/>
      <w:bookmarkEnd w:id="487"/>
      <w:r w:rsidRPr="42EF8D0B">
        <w:t>11.4.3</w:t>
      </w:r>
      <w:r w:rsidR="007264AB">
        <w:tab/>
      </w:r>
      <w:r w:rsidRPr="42EF8D0B">
        <w:t>Progress Fees for Education and Training</w:t>
      </w:r>
      <w:bookmarkEnd w:id="488"/>
      <w:bookmarkEnd w:id="489"/>
    </w:p>
    <w:p w14:paraId="57576F59" w14:textId="77777777" w:rsidR="00182CBD" w:rsidRPr="00983CEF" w:rsidRDefault="00182CBD" w:rsidP="00B23E2F">
      <w:pPr>
        <w:keepNext/>
      </w:pPr>
      <w:r w:rsidRPr="00983CEF">
        <w:t>A Progress Fee based on accredited Education and Training may be claimed where:</w:t>
      </w:r>
    </w:p>
    <w:p w14:paraId="505794C7" w14:textId="3968F67F" w:rsidR="00182CBD" w:rsidRPr="00983CEF" w:rsidRDefault="00182CBD" w:rsidP="004E120D">
      <w:pPr>
        <w:pStyle w:val="BulletLevel1"/>
      </w:pPr>
      <w:r w:rsidRPr="42C107D3">
        <w:t xml:space="preserve">a Certificate II is attained </w:t>
      </w:r>
      <w:r w:rsidR="00950A8C">
        <w:t>and</w:t>
      </w:r>
      <w:r w:rsidRPr="42C107D3">
        <w:t xml:space="preserve"> the Participant does not already hold a </w:t>
      </w:r>
      <w:r w:rsidR="001D46AC">
        <w:t>Y</w:t>
      </w:r>
      <w:r w:rsidRPr="42C107D3">
        <w:t>ear 12 or equivalent qualification</w:t>
      </w:r>
      <w:r w:rsidR="007D4DEF">
        <w:t xml:space="preserve"> —</w:t>
      </w:r>
      <w:r w:rsidRPr="42C107D3">
        <w:t xml:space="preserve"> </w:t>
      </w:r>
      <w:r w:rsidR="007D4DEF">
        <w:t>noting t</w:t>
      </w:r>
      <w:r w:rsidRPr="42C107D3">
        <w:t>he Certificate must be attained and not just participated in, or</w:t>
      </w:r>
    </w:p>
    <w:p w14:paraId="4AF38244" w14:textId="36D58CC2" w:rsidR="00182CBD" w:rsidRDefault="00182CBD" w:rsidP="004E120D">
      <w:pPr>
        <w:pStyle w:val="BulletLevel1"/>
      </w:pPr>
      <w:r w:rsidRPr="42C107D3">
        <w:t xml:space="preserve">a Certificate III or higher qualification is </w:t>
      </w:r>
      <w:r w:rsidR="007815B8">
        <w:t xml:space="preserve">either </w:t>
      </w:r>
      <w:r w:rsidRPr="42C107D3">
        <w:t xml:space="preserve">attained, or 26 </w:t>
      </w:r>
      <w:r w:rsidR="00DF1941">
        <w:t>C</w:t>
      </w:r>
      <w:r w:rsidRPr="42C107D3">
        <w:t xml:space="preserve">onsecutive </w:t>
      </w:r>
      <w:r w:rsidR="00DF1941">
        <w:t>W</w:t>
      </w:r>
      <w:r w:rsidRPr="42C107D3">
        <w:t>eeks of the certification</w:t>
      </w:r>
      <w:r w:rsidR="000B4E94">
        <w:t xml:space="preserve"> is completed</w:t>
      </w:r>
      <w:r w:rsidRPr="42C107D3">
        <w:t>.</w:t>
      </w:r>
    </w:p>
    <w:p w14:paraId="06BCBE65" w14:textId="77777777" w:rsidR="00AF0017" w:rsidRPr="00743A9F" w:rsidRDefault="00AF0017" w:rsidP="00AF0017">
      <w:pPr>
        <w:pStyle w:val="SystemStep"/>
      </w:pPr>
      <w:r w:rsidRPr="00743A9F">
        <w:t xml:space="preserve">The Activity ID must be recorded in the Progress Payment </w:t>
      </w:r>
      <w:r>
        <w:t>screen</w:t>
      </w:r>
      <w:r w:rsidRPr="00743A9F">
        <w:t xml:space="preserve"> in the Department’s IT Systems.</w:t>
      </w:r>
    </w:p>
    <w:p w14:paraId="7AD93AB9" w14:textId="77777777" w:rsidR="00182CBD" w:rsidRPr="00743A9F" w:rsidRDefault="00182CBD" w:rsidP="00FA4AA6">
      <w:pPr>
        <w:pStyle w:val="DocumentaryEvidenceRequirement"/>
        <w:keepNext/>
      </w:pPr>
      <w:r w:rsidRPr="00743A9F">
        <w:t xml:space="preserve">Documentary Evidence must be in the form of either: </w:t>
      </w:r>
    </w:p>
    <w:p w14:paraId="7AAECB1B" w14:textId="1C8E8B80" w:rsidR="00182CBD" w:rsidRPr="00743A9F" w:rsidRDefault="00182CBD" w:rsidP="004E120D">
      <w:pPr>
        <w:pStyle w:val="BulletLevel2"/>
      </w:pPr>
      <w:r w:rsidRPr="00743A9F">
        <w:t xml:space="preserve">a copy of the qualification or statement issued by the Registered Training Organisation or Education institution showing the qualification achieved, the Participant’s name, </w:t>
      </w:r>
      <w:r w:rsidR="00F835D8">
        <w:t xml:space="preserve">and </w:t>
      </w:r>
      <w:r w:rsidRPr="00743A9F">
        <w:t xml:space="preserve">details of the </w:t>
      </w:r>
      <w:r w:rsidR="00AF0017" w:rsidRPr="00743A9F">
        <w:t xml:space="preserve">Registered Training Organisation </w:t>
      </w:r>
      <w:r w:rsidRPr="00743A9F">
        <w:t>or Education institution</w:t>
      </w:r>
      <w:r w:rsidR="009769F4">
        <w:t>,</w:t>
      </w:r>
      <w:r w:rsidRPr="00743A9F">
        <w:t xml:space="preserve"> or </w:t>
      </w:r>
    </w:p>
    <w:p w14:paraId="1EB2CD69" w14:textId="12E11843" w:rsidR="00182CBD" w:rsidRPr="00743A9F" w:rsidRDefault="00182CBD" w:rsidP="004E120D">
      <w:pPr>
        <w:pStyle w:val="BulletLevel2"/>
      </w:pPr>
      <w:r w:rsidRPr="00743A9F">
        <w:t xml:space="preserve">confirmation from the </w:t>
      </w:r>
      <w:r w:rsidR="00AF0017" w:rsidRPr="00743A9F">
        <w:t xml:space="preserve">Registered Training Organisation </w:t>
      </w:r>
      <w:r w:rsidRPr="00743A9F">
        <w:t xml:space="preserve">or Education institution that the course is full-time study as defined by the </w:t>
      </w:r>
      <w:r w:rsidR="00AF0017" w:rsidRPr="00743A9F">
        <w:t xml:space="preserve">Registered Training Organisation </w:t>
      </w:r>
      <w:r w:rsidRPr="00743A9F">
        <w:t xml:space="preserve">or Education institution and that the Participant is still participating in the course 6 months after commencement. This may be in the form of correspondence from the </w:t>
      </w:r>
      <w:r w:rsidR="00AF0017" w:rsidRPr="00743A9F">
        <w:t xml:space="preserve">Registered Training Organisation </w:t>
      </w:r>
      <w:r w:rsidRPr="00743A9F">
        <w:t>or Education institution, a certificate of attainment, an academic transcript or extract.</w:t>
      </w:r>
    </w:p>
    <w:p w14:paraId="3F24459A" w14:textId="3A9318F0" w:rsidR="00182CBD" w:rsidRPr="00ED220A" w:rsidRDefault="00182CBD" w:rsidP="001D0F92">
      <w:pPr>
        <w:pStyle w:val="Heading4"/>
      </w:pPr>
      <w:bookmarkStart w:id="490" w:name="_Progress_Fees_for_2"/>
      <w:bookmarkStart w:id="491" w:name="_Ref202892757"/>
      <w:bookmarkStart w:id="492" w:name="_Toc202900089"/>
      <w:bookmarkEnd w:id="490"/>
      <w:r>
        <w:t>11.4.4</w:t>
      </w:r>
      <w:r w:rsidR="007264AB">
        <w:tab/>
      </w:r>
      <w:r w:rsidRPr="00ED220A">
        <w:t xml:space="preserve">Progress Fees for </w:t>
      </w:r>
      <w:r w:rsidR="003A1BE1">
        <w:t>A</w:t>
      </w:r>
      <w:r w:rsidRPr="00ED220A">
        <w:t>ctivities</w:t>
      </w:r>
      <w:r w:rsidR="007264AB">
        <w:t xml:space="preserve"> that address Vocational Barriers</w:t>
      </w:r>
      <w:bookmarkEnd w:id="491"/>
      <w:bookmarkEnd w:id="492"/>
    </w:p>
    <w:p w14:paraId="6D8EFB09" w14:textId="266726E7" w:rsidR="00182CBD" w:rsidRPr="00DC0AC7" w:rsidRDefault="00182CBD" w:rsidP="007264AB">
      <w:r w:rsidRPr="00DC0AC7">
        <w:t xml:space="preserve">A Provider may be able to claim a </w:t>
      </w:r>
      <w:r w:rsidRPr="00900DEA">
        <w:t>Progress</w:t>
      </w:r>
      <w:r w:rsidRPr="00DC0AC7">
        <w:t xml:space="preserve"> Fee for a Participant’s participation in</w:t>
      </w:r>
      <w:r w:rsidR="007570B1">
        <w:t>,</w:t>
      </w:r>
      <w:r w:rsidRPr="00DC0AC7">
        <w:t xml:space="preserve"> or completion of</w:t>
      </w:r>
      <w:r w:rsidR="007570B1">
        <w:t>,</w:t>
      </w:r>
      <w:r w:rsidRPr="00DC0AC7">
        <w:t xml:space="preserve"> the following </w:t>
      </w:r>
      <w:r>
        <w:t>A</w:t>
      </w:r>
      <w:r w:rsidRPr="00DC0AC7">
        <w:t>ctivities:</w:t>
      </w:r>
    </w:p>
    <w:p w14:paraId="21417D29" w14:textId="38AA8B3C" w:rsidR="00182CBD" w:rsidRPr="00DC0AC7" w:rsidRDefault="00182CBD" w:rsidP="004E120D">
      <w:pPr>
        <w:pStyle w:val="BulletLevel1"/>
      </w:pPr>
      <w:r>
        <w:t>V</w:t>
      </w:r>
      <w:r w:rsidRPr="00DC0AC7">
        <w:t xml:space="preserve">oluntary </w:t>
      </w:r>
      <w:r>
        <w:t>W</w:t>
      </w:r>
      <w:r w:rsidRPr="00DC0AC7">
        <w:t>ork</w:t>
      </w:r>
      <w:r w:rsidR="00A430BA">
        <w:t xml:space="preserve"> </w:t>
      </w:r>
      <w:r w:rsidR="001E1A40">
        <w:t>—</w:t>
      </w:r>
      <w:r w:rsidR="00A430BA">
        <w:t xml:space="preserve"> Provider or Participant Sourced</w:t>
      </w:r>
    </w:p>
    <w:p w14:paraId="686B4F28" w14:textId="030B16A8" w:rsidR="00182CBD" w:rsidRPr="00DC0AC7" w:rsidRDefault="00182CBD" w:rsidP="004E120D">
      <w:pPr>
        <w:pStyle w:val="BulletLevel1"/>
      </w:pPr>
      <w:r w:rsidRPr="00DC0AC7">
        <w:t xml:space="preserve">Observational Work Experience </w:t>
      </w:r>
      <w:r w:rsidR="001E1A40">
        <w:t>(OWE)</w:t>
      </w:r>
    </w:p>
    <w:p w14:paraId="77C89362" w14:textId="77777777" w:rsidR="00182CBD" w:rsidRPr="00DC0AC7" w:rsidRDefault="00182CBD" w:rsidP="004E120D">
      <w:pPr>
        <w:pStyle w:val="BulletLevel1"/>
      </w:pPr>
      <w:r w:rsidRPr="20B71216">
        <w:t>Adult Migrant English Program (AMEP)</w:t>
      </w:r>
    </w:p>
    <w:p w14:paraId="64CB1F58" w14:textId="77777777" w:rsidR="00182CBD" w:rsidRPr="00DC0AC7" w:rsidRDefault="00182CBD" w:rsidP="004E120D">
      <w:pPr>
        <w:pStyle w:val="BulletLevel1"/>
      </w:pPr>
      <w:r w:rsidRPr="20B71216">
        <w:t>Skills for Education and Employment (SEE)</w:t>
      </w:r>
    </w:p>
    <w:p w14:paraId="5F7E5FD7" w14:textId="77777777" w:rsidR="00182CBD" w:rsidRPr="00DC0AC7" w:rsidRDefault="00182CBD" w:rsidP="004E120D">
      <w:pPr>
        <w:pStyle w:val="BulletLevel1"/>
      </w:pPr>
      <w:r w:rsidRPr="00DC0AC7">
        <w:t xml:space="preserve">Career Transition Assistance </w:t>
      </w:r>
      <w:r>
        <w:t>(CTA)</w:t>
      </w:r>
    </w:p>
    <w:p w14:paraId="0E2F9207" w14:textId="77777777" w:rsidR="00182CBD" w:rsidRPr="00DC0AC7" w:rsidRDefault="00182CBD" w:rsidP="004E120D">
      <w:pPr>
        <w:pStyle w:val="BulletLevel1"/>
      </w:pPr>
      <w:r w:rsidRPr="00DC0AC7">
        <w:t xml:space="preserve">Employability Skills Training </w:t>
      </w:r>
      <w:r>
        <w:t>(EST), or</w:t>
      </w:r>
    </w:p>
    <w:p w14:paraId="5201BEA1" w14:textId="7DCE7A2D" w:rsidR="00182CBD" w:rsidRDefault="00182CBD" w:rsidP="004E120D">
      <w:pPr>
        <w:pStyle w:val="BulletLevel1"/>
      </w:pPr>
      <w:r w:rsidRPr="00DC0AC7">
        <w:t xml:space="preserve">Self-Employment Assistance </w:t>
      </w:r>
      <w:r>
        <w:t>(S</w:t>
      </w:r>
      <w:r w:rsidR="007570B1">
        <w:t>-</w:t>
      </w:r>
      <w:r>
        <w:t>EA):</w:t>
      </w:r>
    </w:p>
    <w:p w14:paraId="27FB0726" w14:textId="77777777" w:rsidR="00182CBD" w:rsidRPr="00E3724F" w:rsidRDefault="00182CBD" w:rsidP="004E120D">
      <w:pPr>
        <w:pStyle w:val="BulletLevel2"/>
      </w:pPr>
      <w:r w:rsidRPr="00E3724F">
        <w:t>Exploring Self-Employment Workshop, or</w:t>
      </w:r>
    </w:p>
    <w:p w14:paraId="644DFC6B" w14:textId="77777777" w:rsidR="00182CBD" w:rsidRPr="00E3724F" w:rsidRDefault="00182CBD" w:rsidP="004E120D">
      <w:pPr>
        <w:pStyle w:val="BulletLevel2"/>
      </w:pPr>
      <w:r w:rsidRPr="00E3724F">
        <w:t>Small Business Training.</w:t>
      </w:r>
    </w:p>
    <w:p w14:paraId="1ED976E1" w14:textId="77777777" w:rsidR="00182CBD" w:rsidRPr="007D30F3" w:rsidRDefault="00182CBD" w:rsidP="00182CBD">
      <w:pPr>
        <w:pStyle w:val="Heading5"/>
      </w:pPr>
      <w:r w:rsidRPr="00E34A5C">
        <w:t>Voluntary Work</w:t>
      </w:r>
    </w:p>
    <w:p w14:paraId="17B25FB2" w14:textId="55A67FCD" w:rsidR="00182CBD" w:rsidRDefault="00182CBD" w:rsidP="00D93EC8">
      <w:r>
        <w:t>To be eligible to claim a Progress Fee for Voluntary Work</w:t>
      </w:r>
      <w:r w:rsidR="00C104BB">
        <w:t>,</w:t>
      </w:r>
      <w:r>
        <w:t xml:space="preserve"> the </w:t>
      </w:r>
      <w:r w:rsidR="00C104BB">
        <w:t xml:space="preserve">Voluntary Work </w:t>
      </w:r>
      <w:r>
        <w:t>placement must:</w:t>
      </w:r>
    </w:p>
    <w:p w14:paraId="310DEDDB" w14:textId="65E793A1" w:rsidR="00182CBD" w:rsidRDefault="00182CBD" w:rsidP="004E120D">
      <w:pPr>
        <w:pStyle w:val="BulletLevel1"/>
      </w:pPr>
      <w:r>
        <w:t xml:space="preserve">be </w:t>
      </w:r>
      <w:r w:rsidR="00C3103B">
        <w:t>with</w:t>
      </w:r>
      <w:r>
        <w:t xml:space="preserve"> </w:t>
      </w:r>
      <w:r w:rsidRPr="00DC0AC7">
        <w:t xml:space="preserve">an </w:t>
      </w:r>
      <w:r w:rsidR="002B6D8E">
        <w:t>E</w:t>
      </w:r>
      <w:r w:rsidR="001461FC">
        <w:t>ligible</w:t>
      </w:r>
      <w:r>
        <w:t xml:space="preserve"> Host</w:t>
      </w:r>
      <w:r w:rsidRPr="00DC0AC7">
        <w:t xml:space="preserve"> </w:t>
      </w:r>
      <w:r>
        <w:t>O</w:t>
      </w:r>
      <w:r w:rsidRPr="00DC0AC7">
        <w:t>rganisation</w:t>
      </w:r>
      <w:r w:rsidR="00647441">
        <w:t>,</w:t>
      </w:r>
      <w:r>
        <w:t xml:space="preserve"> </w:t>
      </w:r>
      <w:r w:rsidR="00517B2D">
        <w:t xml:space="preserve">for Provider-Sourced </w:t>
      </w:r>
      <w:r w:rsidR="008D1CEF">
        <w:t>Voluntary Work</w:t>
      </w:r>
      <w:r>
        <w:t xml:space="preserve"> (see</w:t>
      </w:r>
      <w:r w:rsidR="001E1A40">
        <w:t xml:space="preserve"> </w:t>
      </w:r>
      <w:r w:rsidR="008E363B">
        <w:fldChar w:fldCharType="begin"/>
      </w:r>
      <w:r w:rsidR="008E363B">
        <w:instrText xml:space="preserve"> REF _Ref202894053 \h </w:instrText>
      </w:r>
      <w:r w:rsidR="008E363B">
        <w:fldChar w:fldCharType="separate"/>
      </w:r>
      <w:r w:rsidR="000D75AE">
        <w:t>7.6.1</w:t>
      </w:r>
      <w:r w:rsidR="00C33F1F">
        <w:t xml:space="preserve"> </w:t>
      </w:r>
      <w:r w:rsidR="000D75AE">
        <w:t>Provider Sourced Voluntary Work</w:t>
      </w:r>
      <w:r w:rsidR="008E363B">
        <w:fldChar w:fldCharType="end"/>
      </w:r>
      <w:r w:rsidRPr="00CE4DDC">
        <w:t>)</w:t>
      </w:r>
    </w:p>
    <w:p w14:paraId="2397DD9E" w14:textId="0017818D" w:rsidR="005F304D" w:rsidRDefault="00E54F90" w:rsidP="004E120D">
      <w:pPr>
        <w:pStyle w:val="BulletLevel1"/>
      </w:pPr>
      <w:r>
        <w:t xml:space="preserve">meet the </w:t>
      </w:r>
      <w:r w:rsidR="00966BF2">
        <w:t>criteria</w:t>
      </w:r>
      <w:r>
        <w:t xml:space="preserve"> for</w:t>
      </w:r>
      <w:r w:rsidR="00C84778">
        <w:t xml:space="preserve"> approved</w:t>
      </w:r>
      <w:r w:rsidR="00966BF2">
        <w:t xml:space="preserve"> Voluntary Work</w:t>
      </w:r>
      <w:r w:rsidR="00647441">
        <w:t>,</w:t>
      </w:r>
      <w:r w:rsidR="00C84778">
        <w:t xml:space="preserve"> for Participant-Sourced Vo</w:t>
      </w:r>
      <w:r w:rsidR="002B6D8E">
        <w:t>l</w:t>
      </w:r>
      <w:r w:rsidR="00C84778">
        <w:t xml:space="preserve">untary Work </w:t>
      </w:r>
      <w:r w:rsidR="002B6D8E">
        <w:t>(</w:t>
      </w:r>
      <w:r w:rsidR="00271DAD">
        <w:t>see</w:t>
      </w:r>
      <w:r w:rsidR="0087382E">
        <w:t xml:space="preserve"> </w:t>
      </w:r>
      <w:r w:rsidR="00F11508">
        <w:fldChar w:fldCharType="begin"/>
      </w:r>
      <w:r w:rsidR="00F11508">
        <w:instrText xml:space="preserve"> REF _Ref202894767 \h </w:instrText>
      </w:r>
      <w:r w:rsidR="00F11508">
        <w:fldChar w:fldCharType="separate"/>
      </w:r>
      <w:r w:rsidR="000D75AE">
        <w:t>7.7.3</w:t>
      </w:r>
      <w:r w:rsidR="00C33F1F">
        <w:t xml:space="preserve"> </w:t>
      </w:r>
      <w:r w:rsidR="000D75AE">
        <w:t>Participant Sourced Voluntary Work</w:t>
      </w:r>
      <w:r w:rsidR="00F11508">
        <w:fldChar w:fldCharType="end"/>
      </w:r>
      <w:r w:rsidR="00271DAD" w:rsidRPr="00CE4DDC">
        <w:t>)</w:t>
      </w:r>
      <w:r w:rsidR="00C84778">
        <w:t xml:space="preserve"> </w:t>
      </w:r>
    </w:p>
    <w:p w14:paraId="7E6ABB41" w14:textId="5A3002C4" w:rsidR="00182CBD" w:rsidRDefault="00182CBD" w:rsidP="004E120D">
      <w:pPr>
        <w:pStyle w:val="BulletLevel1"/>
      </w:pPr>
      <w:r>
        <w:t xml:space="preserve">be continuous for </w:t>
      </w:r>
      <w:r w:rsidRPr="00DC0AC7">
        <w:t>at least 4-weeks</w:t>
      </w:r>
      <w:r w:rsidR="0023416A">
        <w:t xml:space="preserve"> </w:t>
      </w:r>
    </w:p>
    <w:p w14:paraId="5F9E9E81" w14:textId="27B4012F" w:rsidR="00182CBD" w:rsidRDefault="00182CBD" w:rsidP="004E120D">
      <w:pPr>
        <w:pStyle w:val="BulletLevel1"/>
      </w:pPr>
      <w:r>
        <w:t>result in hours worked that are equivalent</w:t>
      </w:r>
      <w:r w:rsidR="003B3C1B">
        <w:t xml:space="preserve"> to</w:t>
      </w:r>
      <w:r>
        <w:t xml:space="preserve"> or above the Participant</w:t>
      </w:r>
      <w:r w:rsidR="00FA4AA6">
        <w:t>’</w:t>
      </w:r>
      <w:r>
        <w:t>s Employment Benchmark over the 4-week period, and</w:t>
      </w:r>
    </w:p>
    <w:p w14:paraId="6333984C" w14:textId="2A0EE5E2" w:rsidR="00182CBD" w:rsidRDefault="00182CBD" w:rsidP="004E120D">
      <w:pPr>
        <w:pStyle w:val="BulletLevel1"/>
      </w:pPr>
      <w:r>
        <w:t xml:space="preserve">not be a </w:t>
      </w:r>
      <w:r w:rsidR="13D66B7C">
        <w:t>N</w:t>
      </w:r>
      <w:r>
        <w:t>on-</w:t>
      </w:r>
      <w:r w:rsidR="24E56820">
        <w:t>P</w:t>
      </w:r>
      <w:r>
        <w:t xml:space="preserve">ayable </w:t>
      </w:r>
      <w:r w:rsidR="0621DB28">
        <w:t>P</w:t>
      </w:r>
      <w:r>
        <w:t xml:space="preserve">rogress </w:t>
      </w:r>
      <w:r w:rsidR="35A94712">
        <w:t>P</w:t>
      </w:r>
      <w:r>
        <w:t>lacement.</w:t>
      </w:r>
    </w:p>
    <w:p w14:paraId="11EA12CB" w14:textId="1CBB01AF" w:rsidR="00AF0017" w:rsidRDefault="00AF0017" w:rsidP="00AF0017">
      <w:pPr>
        <w:pStyle w:val="SystemStep"/>
      </w:pPr>
      <w:bookmarkStart w:id="493" w:name="_Hlk191992292"/>
      <w:r w:rsidRPr="00072615">
        <w:t xml:space="preserve">The </w:t>
      </w:r>
      <w:r w:rsidRPr="00A93C7D">
        <w:t>Voluntary Work</w:t>
      </w:r>
      <w:r>
        <w:t xml:space="preserve"> </w:t>
      </w:r>
      <w:r w:rsidRPr="00072615">
        <w:t xml:space="preserve">Activity ID must be recorded in the Progress Payment </w:t>
      </w:r>
      <w:r>
        <w:t>screen</w:t>
      </w:r>
      <w:r w:rsidRPr="00072615">
        <w:t xml:space="preserve"> in the Department’s IT Systems.</w:t>
      </w:r>
    </w:p>
    <w:bookmarkEnd w:id="493"/>
    <w:p w14:paraId="5705C41A" w14:textId="77777777" w:rsidR="001A5500" w:rsidRDefault="00182CBD" w:rsidP="001A5500">
      <w:pPr>
        <w:pStyle w:val="DocumentaryEvidenceRequirement"/>
        <w:keepNext/>
      </w:pPr>
      <w:r w:rsidRPr="42C107D3">
        <w:t xml:space="preserve">Documentary Evidence must be in the form of written confirmation that the Participant participated in the </w:t>
      </w:r>
      <w:r w:rsidR="003C0CBE">
        <w:t xml:space="preserve">Voluntary Work </w:t>
      </w:r>
      <w:r w:rsidR="00AF0017">
        <w:t>p</w:t>
      </w:r>
      <w:r w:rsidRPr="42C107D3">
        <w:t xml:space="preserve">lacement for the required </w:t>
      </w:r>
      <w:r>
        <w:t>4-week period</w:t>
      </w:r>
      <w:r w:rsidRPr="42C107D3">
        <w:t xml:space="preserve">. </w:t>
      </w:r>
    </w:p>
    <w:p w14:paraId="4D6688DB" w14:textId="70E41DC8" w:rsidR="00182CBD" w:rsidRPr="004E5A5A" w:rsidRDefault="00182CBD" w:rsidP="001A5500">
      <w:pPr>
        <w:pStyle w:val="BulletLevel2"/>
        <w:keepNext/>
      </w:pPr>
      <w:r w:rsidRPr="42C107D3">
        <w:t xml:space="preserve">Confirmation can be in the form of </w:t>
      </w:r>
      <w:r w:rsidRPr="0028493B">
        <w:t xml:space="preserve">a signed and dated written statement or email from the </w:t>
      </w:r>
      <w:r w:rsidR="00941C26">
        <w:t>Host O</w:t>
      </w:r>
      <w:r w:rsidR="00900416">
        <w:t>rganisation</w:t>
      </w:r>
      <w:r w:rsidR="003A7D1B">
        <w:t xml:space="preserve"> </w:t>
      </w:r>
      <w:r w:rsidR="00941C26">
        <w:t>/</w:t>
      </w:r>
      <w:r w:rsidR="003A7D1B">
        <w:t xml:space="preserve"> </w:t>
      </w:r>
      <w:r w:rsidR="00941C26">
        <w:t>voluntary work organisation</w:t>
      </w:r>
      <w:r w:rsidR="001A1980">
        <w:t xml:space="preserve"> that</w:t>
      </w:r>
      <w:r w:rsidRPr="42C107D3">
        <w:t xml:space="preserve"> include</w:t>
      </w:r>
      <w:r w:rsidR="001A1980">
        <w:t>s</w:t>
      </w:r>
      <w:r w:rsidRPr="42C107D3">
        <w:t>:</w:t>
      </w:r>
    </w:p>
    <w:p w14:paraId="719D0CF3" w14:textId="55EBE901" w:rsidR="00182CBD" w:rsidRDefault="00182CBD" w:rsidP="001A5500">
      <w:pPr>
        <w:pStyle w:val="BulletLevel3"/>
      </w:pPr>
      <w:r w:rsidRPr="42C107D3">
        <w:t xml:space="preserve">details uniquely identifying the specific </w:t>
      </w:r>
      <w:r w:rsidR="00863CBE">
        <w:t>p</w:t>
      </w:r>
      <w:r w:rsidRPr="42C107D3">
        <w:t xml:space="preserve">lacement (such as the Activity ID, or details of the </w:t>
      </w:r>
      <w:r w:rsidR="001B60E4">
        <w:t xml:space="preserve">Participant and agreed </w:t>
      </w:r>
      <w:r w:rsidR="00863CBE">
        <w:t xml:space="preserve">start and end </w:t>
      </w:r>
      <w:r w:rsidRPr="42C107D3">
        <w:t>dates</w:t>
      </w:r>
      <w:r w:rsidR="00863CBE">
        <w:t xml:space="preserve"> for the Voluntary Work placement</w:t>
      </w:r>
      <w:r w:rsidRPr="42C107D3">
        <w:t xml:space="preserve">), </w:t>
      </w:r>
    </w:p>
    <w:p w14:paraId="3106CCDA" w14:textId="6C04EA63" w:rsidR="00182CBD" w:rsidRPr="004E5A5A" w:rsidRDefault="00182CBD" w:rsidP="001A5500">
      <w:pPr>
        <w:pStyle w:val="BulletLevel3"/>
      </w:pPr>
      <w:r>
        <w:t xml:space="preserve">hours </w:t>
      </w:r>
      <w:r w:rsidR="0057086A">
        <w:t>volunteered</w:t>
      </w:r>
      <w:r>
        <w:t xml:space="preserve">, </w:t>
      </w:r>
      <w:r w:rsidRPr="42C107D3">
        <w:t>and</w:t>
      </w:r>
    </w:p>
    <w:p w14:paraId="6CED835C" w14:textId="72D9A288" w:rsidR="00182CBD" w:rsidRDefault="00182CBD" w:rsidP="001A5500">
      <w:pPr>
        <w:pStyle w:val="BulletLevel3"/>
      </w:pPr>
      <w:r>
        <w:t xml:space="preserve">the </w:t>
      </w:r>
      <w:r w:rsidRPr="004E5A5A">
        <w:t>Host Organisation's business name</w:t>
      </w:r>
      <w:r w:rsidR="00351697">
        <w:t xml:space="preserve"> and ABN</w:t>
      </w:r>
      <w:r w:rsidRPr="004E5A5A">
        <w:t>.</w:t>
      </w:r>
    </w:p>
    <w:p w14:paraId="0A16D564" w14:textId="77777777" w:rsidR="00182CBD" w:rsidRDefault="00182CBD" w:rsidP="00182CBD">
      <w:pPr>
        <w:pStyle w:val="Heading5"/>
      </w:pPr>
      <w:r w:rsidRPr="00A5217A">
        <w:t>Observational Work Experience</w:t>
      </w:r>
    </w:p>
    <w:p w14:paraId="4381F393" w14:textId="20D1AD94" w:rsidR="00182CBD" w:rsidRDefault="00957ED6" w:rsidP="00957ED6">
      <w:r>
        <w:t xml:space="preserve">To be eligible to claim a Progress Fee for OWE, the Participant must have </w:t>
      </w:r>
      <w:r w:rsidR="00182CBD">
        <w:t>completed</w:t>
      </w:r>
      <w:r>
        <w:t xml:space="preserve"> an</w:t>
      </w:r>
      <w:r w:rsidR="00182CBD">
        <w:t xml:space="preserve"> </w:t>
      </w:r>
      <w:r w:rsidR="0004658E">
        <w:t>OWE</w:t>
      </w:r>
      <w:r w:rsidR="55EB6767">
        <w:t xml:space="preserve"> </w:t>
      </w:r>
      <w:r w:rsidR="00E868B9">
        <w:t>pla</w:t>
      </w:r>
      <w:r w:rsidR="00850767">
        <w:t xml:space="preserve">cement </w:t>
      </w:r>
      <w:r w:rsidR="00182CBD">
        <w:t>of at least 8 hours</w:t>
      </w:r>
      <w:r w:rsidR="00B02ABA">
        <w:t xml:space="preserve"> </w:t>
      </w:r>
      <w:r w:rsidR="008D6077">
        <w:t>—</w:t>
      </w:r>
      <w:r w:rsidR="00182CBD">
        <w:t xml:space="preserve"> noting the maximum </w:t>
      </w:r>
      <w:r w:rsidR="008D6077">
        <w:t>is 25</w:t>
      </w:r>
      <w:r w:rsidR="008D6077" w:rsidRPr="00B504F5">
        <w:t xml:space="preserve"> hours </w:t>
      </w:r>
      <w:r w:rsidR="008D6077">
        <w:t>over</w:t>
      </w:r>
      <w:r w:rsidR="00182CBD">
        <w:t xml:space="preserve"> 4 weeks</w:t>
      </w:r>
      <w:r w:rsidR="0004658E">
        <w:t xml:space="preserve"> (</w:t>
      </w:r>
      <w:r w:rsidR="0004658E" w:rsidRPr="008D6077">
        <w:t>s</w:t>
      </w:r>
      <w:r w:rsidR="00E868B9" w:rsidRPr="008D6077">
        <w:t xml:space="preserve">ee </w:t>
      </w:r>
      <w:r w:rsidRPr="008D6077">
        <w:fldChar w:fldCharType="begin"/>
      </w:r>
      <w:r w:rsidRPr="008D6077">
        <w:instrText xml:space="preserve"> REF _Ref202895057 \h </w:instrText>
      </w:r>
      <w:r w:rsidR="008D6077">
        <w:instrText xml:space="preserve"> \* MERGEFORMAT </w:instrText>
      </w:r>
      <w:r w:rsidRPr="008D6077">
        <w:fldChar w:fldCharType="separate"/>
      </w:r>
      <w:r w:rsidR="000D75AE">
        <w:t>7.6.2</w:t>
      </w:r>
      <w:r w:rsidR="00C33F1F">
        <w:t xml:space="preserve"> </w:t>
      </w:r>
      <w:r w:rsidR="000D75AE">
        <w:t>Observational Work Experience</w:t>
      </w:r>
      <w:r w:rsidRPr="008D6077">
        <w:fldChar w:fldCharType="end"/>
      </w:r>
      <w:r w:rsidR="008D6077">
        <w:t>).</w:t>
      </w:r>
    </w:p>
    <w:p w14:paraId="62C20CEF" w14:textId="2F25A154" w:rsidR="008D6077" w:rsidRPr="00665472" w:rsidRDefault="008D6077" w:rsidP="008D6077">
      <w:pPr>
        <w:pStyle w:val="SystemStep"/>
      </w:pPr>
      <w:r w:rsidRPr="00665472">
        <w:t xml:space="preserve">The </w:t>
      </w:r>
      <w:r w:rsidR="00447E3D">
        <w:t>OWE</w:t>
      </w:r>
      <w:r w:rsidRPr="00665472">
        <w:t xml:space="preserve"> Activity ID must be recorded in the Progress Payment </w:t>
      </w:r>
      <w:r>
        <w:t>screen</w:t>
      </w:r>
      <w:r w:rsidRPr="00665472">
        <w:t xml:space="preserve"> in the Department’s IT Systems.</w:t>
      </w:r>
    </w:p>
    <w:p w14:paraId="6D6307C6" w14:textId="77777777" w:rsidR="001A5500" w:rsidRDefault="00182CBD" w:rsidP="0079424A">
      <w:pPr>
        <w:pStyle w:val="DocumentaryEvidenceRequirement"/>
      </w:pPr>
      <w:r w:rsidRPr="42C107D3">
        <w:t xml:space="preserve">Documentary Evidence must be in the form of written confirmation from the Host Organisation that the Participant participated in the </w:t>
      </w:r>
      <w:r w:rsidR="00447E3D">
        <w:t xml:space="preserve">OWE </w:t>
      </w:r>
      <w:r w:rsidRPr="42C107D3">
        <w:t xml:space="preserve">placement for </w:t>
      </w:r>
      <w:r w:rsidR="00447E3D">
        <w:t>the</w:t>
      </w:r>
      <w:r w:rsidRPr="42C107D3">
        <w:t xml:space="preserve"> required duration. </w:t>
      </w:r>
    </w:p>
    <w:p w14:paraId="6B6A31AE" w14:textId="0BE86D20" w:rsidR="00182CBD" w:rsidRDefault="00182CBD" w:rsidP="001A5500">
      <w:pPr>
        <w:pStyle w:val="BulletLevel2"/>
      </w:pPr>
      <w:r w:rsidRPr="42C107D3">
        <w:t>Confirmation can be in the form of a letter or email</w:t>
      </w:r>
      <w:r w:rsidR="00351697">
        <w:t xml:space="preserve"> from the Host Organisation that</w:t>
      </w:r>
      <w:r w:rsidRPr="42C107D3">
        <w:t xml:space="preserve"> include</w:t>
      </w:r>
      <w:r w:rsidR="00351697">
        <w:t>s</w:t>
      </w:r>
      <w:r w:rsidRPr="42C107D3">
        <w:t xml:space="preserve">: </w:t>
      </w:r>
    </w:p>
    <w:p w14:paraId="6400D3E6" w14:textId="33678B73" w:rsidR="00182CBD" w:rsidRDefault="00182CBD" w:rsidP="001A5500">
      <w:pPr>
        <w:pStyle w:val="BulletLevel3"/>
      </w:pPr>
      <w:r>
        <w:t>details uniquely identifying the specific</w:t>
      </w:r>
      <w:r w:rsidR="3B2E70C0">
        <w:t xml:space="preserve"> participant</w:t>
      </w:r>
      <w:r>
        <w:t xml:space="preserve"> placement (such as </w:t>
      </w:r>
      <w:r w:rsidR="78EC66F4">
        <w:t xml:space="preserve">the </w:t>
      </w:r>
      <w:r>
        <w:t>Participant</w:t>
      </w:r>
      <w:r w:rsidR="00574A37">
        <w:t>’</w:t>
      </w:r>
      <w:r w:rsidR="26BEC54A">
        <w:t>s</w:t>
      </w:r>
      <w:r>
        <w:t xml:space="preserve"> </w:t>
      </w:r>
      <w:r w:rsidR="0FE38DED">
        <w:t xml:space="preserve">full name </w:t>
      </w:r>
      <w:r>
        <w:t xml:space="preserve">and </w:t>
      </w:r>
      <w:r w:rsidR="66143A69">
        <w:t xml:space="preserve">their </w:t>
      </w:r>
      <w:r>
        <w:t>placement dates</w:t>
      </w:r>
      <w:r w:rsidR="2575D538">
        <w:t xml:space="preserve"> or the unique </w:t>
      </w:r>
      <w:r w:rsidR="49812AC3">
        <w:t>OWE</w:t>
      </w:r>
      <w:r w:rsidR="43B0ACB1">
        <w:t xml:space="preserve"> </w:t>
      </w:r>
      <w:r w:rsidR="2575D538">
        <w:t>Activity ID</w:t>
      </w:r>
      <w:r>
        <w:t xml:space="preserve">), and </w:t>
      </w:r>
    </w:p>
    <w:p w14:paraId="0ECE09C8" w14:textId="427640C8" w:rsidR="00182CBD" w:rsidRDefault="63E496FC" w:rsidP="001A5500">
      <w:pPr>
        <w:pStyle w:val="BulletLevel3"/>
      </w:pPr>
      <w:r>
        <w:t xml:space="preserve">the </w:t>
      </w:r>
      <w:r w:rsidR="00182CBD">
        <w:t xml:space="preserve">Host Organisation's </w:t>
      </w:r>
      <w:r w:rsidR="001A5500">
        <w:t xml:space="preserve">business </w:t>
      </w:r>
      <w:r w:rsidR="00182CBD">
        <w:t>name and ABN</w:t>
      </w:r>
      <w:r w:rsidR="001A5500">
        <w:t>.</w:t>
      </w:r>
    </w:p>
    <w:p w14:paraId="57C2ABAF" w14:textId="77777777" w:rsidR="007910A8" w:rsidRDefault="007910A8" w:rsidP="007910A8">
      <w:pPr>
        <w:pStyle w:val="Heading5"/>
      </w:pPr>
      <w:r w:rsidRPr="00E34A5C">
        <w:t>Skills for Education and Employment</w:t>
      </w:r>
    </w:p>
    <w:p w14:paraId="62413ABA" w14:textId="77777777" w:rsidR="007910A8" w:rsidRDefault="007910A8" w:rsidP="007910A8">
      <w:r w:rsidRPr="42C107D3">
        <w:t xml:space="preserve">Providers may claim a Progress Fee when the Participant achieves advancement in at least one level of a Core Skill in the Australian Core Skills Framework </w:t>
      </w:r>
      <w:r>
        <w:t>(</w:t>
      </w:r>
      <w:r w:rsidRPr="42C107D3">
        <w:t xml:space="preserve">i.e. </w:t>
      </w:r>
      <w:r>
        <w:t>l</w:t>
      </w:r>
      <w:r w:rsidRPr="42C107D3">
        <w:t xml:space="preserve">earning, </w:t>
      </w:r>
      <w:r>
        <w:t>r</w:t>
      </w:r>
      <w:r w:rsidRPr="42C107D3">
        <w:t xml:space="preserve">eading, </w:t>
      </w:r>
      <w:r>
        <w:t>w</w:t>
      </w:r>
      <w:r w:rsidRPr="42C107D3">
        <w:t xml:space="preserve">riting, </w:t>
      </w:r>
      <w:r>
        <w:t>o</w:t>
      </w:r>
      <w:r w:rsidRPr="42C107D3">
        <w:t xml:space="preserve">ral </w:t>
      </w:r>
      <w:r>
        <w:t>c</w:t>
      </w:r>
      <w:r w:rsidRPr="42C107D3">
        <w:t xml:space="preserve">ommunication, </w:t>
      </w:r>
      <w:r>
        <w:t>n</w:t>
      </w:r>
      <w:r w:rsidRPr="42C107D3">
        <w:t xml:space="preserve">umeracy and/or </w:t>
      </w:r>
      <w:r>
        <w:t>di</w:t>
      </w:r>
      <w:r w:rsidRPr="42C107D3">
        <w:t xml:space="preserve">gital </w:t>
      </w:r>
      <w:r>
        <w:t>s</w:t>
      </w:r>
      <w:r w:rsidRPr="42C107D3">
        <w:t>kills</w:t>
      </w:r>
      <w:r>
        <w:t xml:space="preserve">) </w:t>
      </w:r>
      <w:r w:rsidRPr="42C107D3">
        <w:t>as part of participating in the SEE program</w:t>
      </w:r>
      <w:r>
        <w:t>,</w:t>
      </w:r>
      <w:r w:rsidRPr="42C107D3">
        <w:t xml:space="preserve"> or has participated in </w:t>
      </w:r>
      <w:r>
        <w:t>SEE</w:t>
      </w:r>
      <w:r w:rsidRPr="42C107D3">
        <w:t xml:space="preserve"> for at least 26 </w:t>
      </w:r>
      <w:r>
        <w:t>C</w:t>
      </w:r>
      <w:r w:rsidRPr="42C107D3">
        <w:t xml:space="preserve">onsecutive </w:t>
      </w:r>
      <w:r>
        <w:t>W</w:t>
      </w:r>
      <w:r w:rsidRPr="42C107D3">
        <w:t>eeks.</w:t>
      </w:r>
    </w:p>
    <w:p w14:paraId="7B76EFD2" w14:textId="749E8E0D" w:rsidR="007910A8" w:rsidRPr="001517A8" w:rsidRDefault="007910A8" w:rsidP="007910A8">
      <w:r w:rsidRPr="42C107D3">
        <w:t xml:space="preserve">This applies to advancement in levels 1 through to 5 in the Australian Core Skills Framework and within Pre Levels A and B outlined </w:t>
      </w:r>
      <w:r w:rsidRPr="00140809">
        <w:t>in the Pre Level 1 supplement</w:t>
      </w:r>
      <w:r w:rsidR="00140809">
        <w:t>,</w:t>
      </w:r>
      <w:r w:rsidR="0070191E">
        <w:t xml:space="preserve"> which is available for download on the </w:t>
      </w:r>
      <w:hyperlink r:id="rId77" w:history="1">
        <w:r w:rsidR="0070191E" w:rsidRPr="00140809">
          <w:rPr>
            <w:rStyle w:val="Hyperlink"/>
          </w:rPr>
          <w:t>Department of Employment and Workplace Relations’ website</w:t>
        </w:r>
      </w:hyperlink>
      <w:r w:rsidRPr="42C107D3">
        <w:t>.</w:t>
      </w:r>
    </w:p>
    <w:p w14:paraId="1CDB4DF7" w14:textId="77777777" w:rsidR="007910A8" w:rsidRDefault="007910A8" w:rsidP="007910A8">
      <w:r w:rsidRPr="42C107D3">
        <w:t>Advancement to the next level in all indicators of an individual Core Skill must be demonstrated, noting that in some cases, the indicators may span more than one level.</w:t>
      </w:r>
    </w:p>
    <w:p w14:paraId="6224FEA5" w14:textId="77777777" w:rsidR="00140809" w:rsidRPr="001517A8" w:rsidRDefault="00140809" w:rsidP="00140809">
      <w:pPr>
        <w:pStyle w:val="SystemStep"/>
      </w:pPr>
      <w:r>
        <w:t>T</w:t>
      </w:r>
      <w:r w:rsidRPr="00BB6F4C">
        <w:t xml:space="preserve">he </w:t>
      </w:r>
      <w:r>
        <w:t xml:space="preserve">SEE Program </w:t>
      </w:r>
      <w:r w:rsidRPr="00BB6F4C">
        <w:t xml:space="preserve">Activity ID </w:t>
      </w:r>
      <w:r>
        <w:t xml:space="preserve">must be recorded </w:t>
      </w:r>
      <w:r w:rsidRPr="00BB6F4C">
        <w:t xml:space="preserve">in the Progress Payment </w:t>
      </w:r>
      <w:r>
        <w:t>screen</w:t>
      </w:r>
      <w:r w:rsidRPr="00BB6F4C">
        <w:t xml:space="preserve"> in the Department’s IT Systems.</w:t>
      </w:r>
    </w:p>
    <w:p w14:paraId="244ACE2E" w14:textId="1B9C58F0" w:rsidR="007910A8" w:rsidRPr="001517A8" w:rsidRDefault="007910A8" w:rsidP="007910A8">
      <w:pPr>
        <w:pStyle w:val="DocumentaryEvidenceRequirement"/>
        <w:keepNext/>
      </w:pPr>
      <w:r w:rsidRPr="001517A8">
        <w:t xml:space="preserve">The Documentary Evidence </w:t>
      </w:r>
      <w:r w:rsidR="006A6F66">
        <w:t>must</w:t>
      </w:r>
      <w:r w:rsidRPr="001517A8">
        <w:t xml:space="preserve"> be in the form of</w:t>
      </w:r>
      <w:r w:rsidR="006A6F66">
        <w:t xml:space="preserve"> either</w:t>
      </w:r>
      <w:r w:rsidRPr="001517A8">
        <w:t>:</w:t>
      </w:r>
    </w:p>
    <w:p w14:paraId="64D47F32" w14:textId="74AACEA5" w:rsidR="007910A8" w:rsidRPr="001517A8" w:rsidRDefault="007910A8" w:rsidP="007910A8">
      <w:pPr>
        <w:pStyle w:val="BulletLevel2"/>
      </w:pPr>
      <w:r w:rsidRPr="42C107D3">
        <w:t>a statement from the SEE provider including the dates the Participant was participating in SEE or that they are continuing in SEE</w:t>
      </w:r>
    </w:p>
    <w:p w14:paraId="47207BC1" w14:textId="77777777" w:rsidR="007910A8" w:rsidRPr="001517A8" w:rsidRDefault="007910A8" w:rsidP="007910A8">
      <w:pPr>
        <w:pStyle w:val="BulletLevel2"/>
      </w:pPr>
      <w:r w:rsidRPr="001517A8">
        <w:t xml:space="preserve">a statement from the SEE provider detailing the advancement(s) the Participant has achieved in terms of level(s), such as via email or </w:t>
      </w:r>
      <w:r>
        <w:t>as</w:t>
      </w:r>
      <w:r w:rsidRPr="001517A8">
        <w:t xml:space="preserve"> </w:t>
      </w:r>
      <w:r>
        <w:t>a</w:t>
      </w:r>
      <w:r w:rsidRPr="001517A8">
        <w:t xml:space="preserve">dditional comments </w:t>
      </w:r>
      <w:r>
        <w:t>in</w:t>
      </w:r>
      <w:r w:rsidRPr="001517A8">
        <w:t xml:space="preserve"> the SEE/AMEP Capability Guide</w:t>
      </w:r>
      <w:r>
        <w:t>,</w:t>
      </w:r>
      <w:r w:rsidRPr="001517A8">
        <w:t xml:space="preserve"> or</w:t>
      </w:r>
    </w:p>
    <w:p w14:paraId="443865BE" w14:textId="77777777" w:rsidR="007910A8" w:rsidRDefault="007910A8" w:rsidP="007910A8">
      <w:pPr>
        <w:pStyle w:val="BulletLevel2"/>
      </w:pPr>
      <w:r w:rsidRPr="42C107D3">
        <w:t xml:space="preserve">a copy of the Customised Training Plan completed by the SEE </w:t>
      </w:r>
      <w:r>
        <w:t>p</w:t>
      </w:r>
      <w:r w:rsidRPr="42C107D3">
        <w:t>rovider, indicating progress achieved.</w:t>
      </w:r>
    </w:p>
    <w:p w14:paraId="421A1BCF" w14:textId="77777777" w:rsidR="00182CBD" w:rsidRDefault="00182CBD" w:rsidP="00182CBD">
      <w:pPr>
        <w:pStyle w:val="Heading5"/>
        <w:spacing w:before="240"/>
      </w:pPr>
      <w:r w:rsidRPr="00E34A5C">
        <w:t>Adult Migrant English Program</w:t>
      </w:r>
    </w:p>
    <w:p w14:paraId="7EA9AC9C" w14:textId="5520B644" w:rsidR="00182CBD" w:rsidRDefault="00182CBD" w:rsidP="00182CBD">
      <w:r w:rsidRPr="42C107D3">
        <w:t xml:space="preserve">Providers may claim a Progress Fee when the Participation has a achieved a Statement of Attainment as part of participating in AMEP or following participation in AMEP for at least 26 </w:t>
      </w:r>
      <w:r w:rsidR="00605D3B">
        <w:t>C</w:t>
      </w:r>
      <w:r w:rsidRPr="42C107D3">
        <w:t xml:space="preserve">onsecutive </w:t>
      </w:r>
      <w:r w:rsidR="00605D3B">
        <w:t>W</w:t>
      </w:r>
      <w:r w:rsidRPr="42C107D3">
        <w:t>eeks.</w:t>
      </w:r>
    </w:p>
    <w:p w14:paraId="69C7F8A7" w14:textId="77777777" w:rsidR="006A6F66" w:rsidRPr="00793BA9" w:rsidRDefault="006A6F66" w:rsidP="006A6F66">
      <w:pPr>
        <w:pStyle w:val="SystemStep"/>
      </w:pPr>
      <w:r>
        <w:t>T</w:t>
      </w:r>
      <w:r w:rsidRPr="00BB6F4C">
        <w:t>he</w:t>
      </w:r>
      <w:r>
        <w:t xml:space="preserve"> AMEP</w:t>
      </w:r>
      <w:r w:rsidRPr="00BB6F4C">
        <w:t xml:space="preserve"> Activity ID </w:t>
      </w:r>
      <w:r>
        <w:t xml:space="preserve">must be recorded </w:t>
      </w:r>
      <w:r w:rsidRPr="00BB6F4C">
        <w:t xml:space="preserve">in the Progress Payment </w:t>
      </w:r>
      <w:r>
        <w:t>screen</w:t>
      </w:r>
      <w:r w:rsidRPr="00BB6F4C">
        <w:t xml:space="preserve"> in the Department’s IT Systems.</w:t>
      </w:r>
    </w:p>
    <w:p w14:paraId="4E4FE9C3" w14:textId="1CA257E7" w:rsidR="00182CBD" w:rsidRPr="00793BA9" w:rsidRDefault="00182CBD" w:rsidP="0079424A">
      <w:pPr>
        <w:pStyle w:val="DocumentaryEvidenceRequirement"/>
      </w:pPr>
      <w:r w:rsidRPr="00793BA9">
        <w:t>Documentary Evidence</w:t>
      </w:r>
      <w:r w:rsidR="006A6F66">
        <w:t xml:space="preserve"> must be</w:t>
      </w:r>
      <w:r w:rsidRPr="00793BA9">
        <w:t xml:space="preserve"> in the form of either:</w:t>
      </w:r>
    </w:p>
    <w:p w14:paraId="6AC7B8E0" w14:textId="5B4970B1" w:rsidR="00182CBD" w:rsidRPr="00793BA9" w:rsidRDefault="00182CBD" w:rsidP="004E120D">
      <w:pPr>
        <w:pStyle w:val="BulletLevel2"/>
      </w:pPr>
      <w:r w:rsidRPr="00793BA9">
        <w:t>a copy of the Statement of Attainment (Statements of Attainment are available with the Unique Student Identifier</w:t>
      </w:r>
      <w:r w:rsidR="00320307">
        <w:t xml:space="preserve"> (USI)</w:t>
      </w:r>
      <w:r w:rsidRPr="00793BA9">
        <w:t xml:space="preserve"> through the </w:t>
      </w:r>
      <w:hyperlink r:id="rId78" w:history="1">
        <w:r w:rsidRPr="00320307">
          <w:rPr>
            <w:rStyle w:val="Hyperlink"/>
          </w:rPr>
          <w:t>USI website</w:t>
        </w:r>
      </w:hyperlink>
      <w:r w:rsidRPr="00793BA9">
        <w:t xml:space="preserve"> or the Provider can contact the </w:t>
      </w:r>
      <w:r w:rsidR="00320307">
        <w:t>Register Training Organisation</w:t>
      </w:r>
      <w:r w:rsidRPr="00793BA9">
        <w:t xml:space="preserve"> for documentation)</w:t>
      </w:r>
      <w:r w:rsidR="009769F4">
        <w:t>,</w:t>
      </w:r>
      <w:r w:rsidRPr="00793BA9">
        <w:t xml:space="preserve"> or</w:t>
      </w:r>
    </w:p>
    <w:p w14:paraId="0B0C5DD1" w14:textId="53A06291" w:rsidR="00182CBD" w:rsidRDefault="00182CBD" w:rsidP="004E120D">
      <w:pPr>
        <w:pStyle w:val="BulletLevel2"/>
      </w:pPr>
      <w:r w:rsidRPr="42C107D3">
        <w:t>written confirmation from the AMEP provider acknowledging participation for at least 6</w:t>
      </w:r>
      <w:r w:rsidR="005C6A5D">
        <w:t> </w:t>
      </w:r>
      <w:r w:rsidRPr="42C107D3">
        <w:t>months. The confirmation can be in any format (e.g. email exchange) but must include the Participant's start date and end date</w:t>
      </w:r>
      <w:r w:rsidR="000864A0">
        <w:t>,</w:t>
      </w:r>
      <w:r w:rsidRPr="42C107D3">
        <w:t xml:space="preserve"> or the start date and acknowledgment that the Participant is still undertaking AMEP. An AMEP provider is not required to provide specific hours and/or days attended by the Participant. </w:t>
      </w:r>
    </w:p>
    <w:p w14:paraId="64867269" w14:textId="77777777" w:rsidR="007910A8" w:rsidRPr="00E34A5C" w:rsidRDefault="007910A8" w:rsidP="007910A8">
      <w:pPr>
        <w:pStyle w:val="Heading5"/>
      </w:pPr>
      <w:r w:rsidRPr="00E34A5C">
        <w:t xml:space="preserve">Employability Skills Training (EST) </w:t>
      </w:r>
    </w:p>
    <w:p w14:paraId="7B58A125" w14:textId="77777777" w:rsidR="00DF0C81" w:rsidRDefault="007910A8" w:rsidP="00DF0C81">
      <w:r>
        <w:t>Providers may claim a Progress Fee when a Participant completes</w:t>
      </w:r>
      <w:r w:rsidRPr="00DC0AC7">
        <w:t xml:space="preserve"> </w:t>
      </w:r>
      <w:r>
        <w:t xml:space="preserve">the EST course </w:t>
      </w:r>
      <w:r w:rsidRPr="00DC0AC7">
        <w:t xml:space="preserve">or </w:t>
      </w:r>
      <w:r>
        <w:t xml:space="preserve">achieves at least 60 hours of </w:t>
      </w:r>
      <w:r w:rsidRPr="00DC0AC7">
        <w:t xml:space="preserve">attendance </w:t>
      </w:r>
      <w:r>
        <w:t>over the EST course (either a training block 1 or 2).</w:t>
      </w:r>
      <w:r w:rsidR="00DF0C81" w:rsidRPr="00DF0C81">
        <w:t xml:space="preserve"> </w:t>
      </w:r>
    </w:p>
    <w:p w14:paraId="640C0948" w14:textId="6B4CC619" w:rsidR="00DF0C81" w:rsidRDefault="00DF0C81" w:rsidP="00DF0C81">
      <w:r w:rsidRPr="42C107D3">
        <w:t xml:space="preserve">Providers can determine, for an individual Participant, </w:t>
      </w:r>
      <w:r>
        <w:t xml:space="preserve">if </w:t>
      </w:r>
      <w:r w:rsidRPr="42C107D3">
        <w:t xml:space="preserve">completion of one or both </w:t>
      </w:r>
      <w:r>
        <w:t>T</w:t>
      </w:r>
      <w:r w:rsidRPr="42C107D3">
        <w:t xml:space="preserve">raining </w:t>
      </w:r>
      <w:r>
        <w:t>B</w:t>
      </w:r>
      <w:r w:rsidRPr="42C107D3">
        <w:t xml:space="preserve">lock 1 </w:t>
      </w:r>
      <w:r>
        <w:t>C</w:t>
      </w:r>
      <w:r w:rsidRPr="42C107D3">
        <w:t xml:space="preserve">ourse or/and </w:t>
      </w:r>
      <w:r>
        <w:t>T</w:t>
      </w:r>
      <w:r w:rsidRPr="42C107D3">
        <w:t xml:space="preserve">raining </w:t>
      </w:r>
      <w:r>
        <w:t>B</w:t>
      </w:r>
      <w:r w:rsidRPr="42C107D3">
        <w:t xml:space="preserve">lock 2 </w:t>
      </w:r>
      <w:r w:rsidRPr="42C107D3" w:rsidDel="006D7DC1">
        <w:t xml:space="preserve">Course </w:t>
      </w:r>
      <w:r w:rsidRPr="42C107D3">
        <w:t>of EST may be sufficient depending on the Participant’s circumstances.</w:t>
      </w:r>
    </w:p>
    <w:p w14:paraId="3CCCFA01" w14:textId="77777777" w:rsidR="00DF0C81" w:rsidRDefault="00DF0C81" w:rsidP="00DF0C81">
      <w:pPr>
        <w:pStyle w:val="SystemStep"/>
      </w:pPr>
      <w:r>
        <w:t>T</w:t>
      </w:r>
      <w:r w:rsidRPr="00BB6F4C">
        <w:t xml:space="preserve">he </w:t>
      </w:r>
      <w:r>
        <w:t xml:space="preserve">EST course </w:t>
      </w:r>
      <w:r w:rsidRPr="00BB6F4C">
        <w:t xml:space="preserve">Activity ID </w:t>
      </w:r>
      <w:r>
        <w:t xml:space="preserve">must be recorded </w:t>
      </w:r>
      <w:r w:rsidRPr="00BB6F4C">
        <w:t xml:space="preserve">in the Progress Payment </w:t>
      </w:r>
      <w:r>
        <w:t>screen</w:t>
      </w:r>
      <w:r w:rsidRPr="00BB6F4C">
        <w:t xml:space="preserve"> in the Department’s IT Systems.</w:t>
      </w:r>
    </w:p>
    <w:p w14:paraId="7548E038" w14:textId="1F47009E" w:rsidR="007910A8" w:rsidRDefault="007910A8" w:rsidP="007910A8">
      <w:pPr>
        <w:pStyle w:val="DocumentaryEvidenceRequirement"/>
      </w:pPr>
      <w:r w:rsidRPr="001517A8">
        <w:t xml:space="preserve">Documentary Evidence </w:t>
      </w:r>
      <w:r w:rsidR="00A561F2">
        <w:t>[</w:t>
      </w:r>
      <w:r>
        <w:t>RESERVED</w:t>
      </w:r>
      <w:r w:rsidR="00A561F2">
        <w:t>]</w:t>
      </w:r>
    </w:p>
    <w:p w14:paraId="55CCAEC3" w14:textId="62D31A89" w:rsidR="00182CBD" w:rsidRPr="00E34A5C" w:rsidRDefault="00182CBD" w:rsidP="00182CBD">
      <w:pPr>
        <w:pStyle w:val="Heading5"/>
        <w:spacing w:before="240"/>
      </w:pPr>
      <w:r w:rsidRPr="00E34A5C">
        <w:t>Career Transition Assistance</w:t>
      </w:r>
    </w:p>
    <w:p w14:paraId="28595139" w14:textId="13A0D326" w:rsidR="00182CBD" w:rsidRPr="000E4ACC" w:rsidRDefault="00182CBD" w:rsidP="00182CBD">
      <w:r w:rsidRPr="000E4ACC">
        <w:t xml:space="preserve">Providers may claim a Progress Fee when a Participant completes </w:t>
      </w:r>
      <w:r w:rsidR="001B59E1">
        <w:t xml:space="preserve">the CTA course </w:t>
      </w:r>
      <w:r w:rsidRPr="000E4ACC">
        <w:t xml:space="preserve">or </w:t>
      </w:r>
      <w:r w:rsidR="007677E3">
        <w:t>achieves at</w:t>
      </w:r>
      <w:r w:rsidR="00BF0B90">
        <w:t xml:space="preserve"> </w:t>
      </w:r>
      <w:r w:rsidR="007677E3">
        <w:t xml:space="preserve">least 60 hours of </w:t>
      </w:r>
      <w:r w:rsidRPr="000E4ACC">
        <w:t xml:space="preserve">attendance </w:t>
      </w:r>
      <w:r w:rsidR="00BF0B90">
        <w:t xml:space="preserve">over the </w:t>
      </w:r>
      <w:r w:rsidRPr="000E4ACC">
        <w:t>CTA course.</w:t>
      </w:r>
    </w:p>
    <w:p w14:paraId="25F93E8B" w14:textId="77777777" w:rsidR="00DF0C81" w:rsidRPr="000E4ACC" w:rsidRDefault="00DF0C81" w:rsidP="00DF0C81">
      <w:pPr>
        <w:pStyle w:val="DocumentaryEvidenceRequirement"/>
      </w:pPr>
      <w:r w:rsidRPr="000E4ACC">
        <w:t>The CTA course Activity ID must be recorded in the Progress Payment screen in the Department’s IT Systems.</w:t>
      </w:r>
    </w:p>
    <w:p w14:paraId="058DBE25" w14:textId="76DDFA9E" w:rsidR="00182CBD" w:rsidRPr="000E4ACC" w:rsidRDefault="00182CBD" w:rsidP="0079424A">
      <w:pPr>
        <w:pStyle w:val="DocumentaryEvidenceRequirement"/>
      </w:pPr>
      <w:r w:rsidRPr="000E4ACC">
        <w:t xml:space="preserve">Documentary Evidence </w:t>
      </w:r>
      <w:r w:rsidR="00A561F2">
        <w:t>[</w:t>
      </w:r>
      <w:r w:rsidR="00DE157D" w:rsidRPr="000E4ACC">
        <w:t>RESERVED</w:t>
      </w:r>
      <w:r w:rsidR="00A561F2">
        <w:t>]</w:t>
      </w:r>
    </w:p>
    <w:p w14:paraId="53609ECE" w14:textId="6C4064F8" w:rsidR="00182CBD" w:rsidRDefault="00182CBD" w:rsidP="00182CBD">
      <w:pPr>
        <w:pStyle w:val="Heading5"/>
        <w:tabs>
          <w:tab w:val="left" w:pos="7200"/>
        </w:tabs>
        <w:spacing w:before="240"/>
      </w:pPr>
      <w:r w:rsidRPr="00E34A5C">
        <w:t>Self-Employment Assistance</w:t>
      </w:r>
    </w:p>
    <w:p w14:paraId="59E548C3" w14:textId="3B98ABA4" w:rsidR="0081588E" w:rsidRDefault="00182CBD" w:rsidP="00182CBD">
      <w:r w:rsidRPr="42C107D3">
        <w:t xml:space="preserve">Providers may claim a Progress Fee </w:t>
      </w:r>
      <w:r w:rsidR="0081588E">
        <w:t xml:space="preserve">in relation to S-EA </w:t>
      </w:r>
      <w:r w:rsidR="0081588E" w:rsidRPr="42C107D3">
        <w:t>Exploring Self-Employment Workshop</w:t>
      </w:r>
      <w:r w:rsidR="0081588E">
        <w:t xml:space="preserve"> or </w:t>
      </w:r>
      <w:r w:rsidR="003921F3" w:rsidRPr="42C107D3">
        <w:t>Small Business Training</w:t>
      </w:r>
      <w:r w:rsidR="003921F3">
        <w:t>.</w:t>
      </w:r>
    </w:p>
    <w:p w14:paraId="0FAFED51" w14:textId="6C33B264" w:rsidR="0097019E" w:rsidRPr="001517A8" w:rsidRDefault="0097019E" w:rsidP="0097019E">
      <w:pPr>
        <w:pStyle w:val="DocumentaryEvidenceRequirement"/>
      </w:pPr>
      <w:r>
        <w:t>For both Self-Employment Workshop and Small Business Training, t</w:t>
      </w:r>
      <w:r w:rsidRPr="001517A8">
        <w:t xml:space="preserve">he Documentary Evidence </w:t>
      </w:r>
      <w:r>
        <w:t>must</w:t>
      </w:r>
      <w:r w:rsidRPr="001517A8">
        <w:t xml:space="preserve"> be in the form of</w:t>
      </w:r>
      <w:r>
        <w:t xml:space="preserve"> either</w:t>
      </w:r>
      <w:r w:rsidRPr="001517A8">
        <w:t>:</w:t>
      </w:r>
    </w:p>
    <w:p w14:paraId="6B300328" w14:textId="77777777" w:rsidR="0097019E" w:rsidRDefault="0097019E" w:rsidP="0097019E">
      <w:pPr>
        <w:pStyle w:val="BulletLevel2"/>
      </w:pPr>
      <w:r w:rsidRPr="004C4E09">
        <w:t>a statement of attainment</w:t>
      </w:r>
    </w:p>
    <w:p w14:paraId="2BF6015B" w14:textId="77777777" w:rsidR="0097019E" w:rsidRDefault="0097019E" w:rsidP="0097019E">
      <w:pPr>
        <w:pStyle w:val="BulletLevel2"/>
      </w:pPr>
      <w:r w:rsidRPr="004C4E09">
        <w:t>academic transcrip</w:t>
      </w:r>
      <w:r>
        <w:t>t,</w:t>
      </w:r>
      <w:r w:rsidRPr="004C4E09">
        <w:t xml:space="preserve"> or</w:t>
      </w:r>
    </w:p>
    <w:p w14:paraId="179EC239" w14:textId="77777777" w:rsidR="0097019E" w:rsidRPr="004C4E09" w:rsidRDefault="0097019E" w:rsidP="0097019E">
      <w:pPr>
        <w:pStyle w:val="BulletLevel2"/>
      </w:pPr>
      <w:r>
        <w:t xml:space="preserve">completion </w:t>
      </w:r>
      <w:r w:rsidRPr="004C4E09">
        <w:t>certificate.</w:t>
      </w:r>
    </w:p>
    <w:p w14:paraId="276CE6E8" w14:textId="6AFD9721" w:rsidR="00182CBD" w:rsidRPr="00860866" w:rsidRDefault="0081588E" w:rsidP="00860866">
      <w:pPr>
        <w:rPr>
          <w:u w:val="single"/>
        </w:rPr>
      </w:pPr>
      <w:r>
        <w:rPr>
          <w:u w:val="single"/>
        </w:rPr>
        <w:t xml:space="preserve">Exploring </w:t>
      </w:r>
      <w:r w:rsidR="003921F3">
        <w:rPr>
          <w:u w:val="single"/>
        </w:rPr>
        <w:t>S</w:t>
      </w:r>
      <w:r w:rsidR="00182CBD" w:rsidRPr="00860866">
        <w:rPr>
          <w:u w:val="single"/>
        </w:rPr>
        <w:t>elf-Employment Workshop</w:t>
      </w:r>
    </w:p>
    <w:p w14:paraId="17E314AC" w14:textId="2510F926" w:rsidR="00182CBD" w:rsidRDefault="00182CBD" w:rsidP="00182CBD">
      <w:r>
        <w:t>The Participant must complete an Exploring Self-Employment Workshop</w:t>
      </w:r>
      <w:r w:rsidR="00265FB6">
        <w:t>,</w:t>
      </w:r>
      <w:r>
        <w:t xml:space="preserve"> which is recorded by the </w:t>
      </w:r>
      <w:r>
        <w:br/>
        <w:t>S</w:t>
      </w:r>
      <w:r w:rsidR="00982DF3">
        <w:t>-</w:t>
      </w:r>
      <w:r>
        <w:t>EA provider in the Department’s IT System.</w:t>
      </w:r>
    </w:p>
    <w:p w14:paraId="7D9CBB69" w14:textId="75A2095A" w:rsidR="00182CBD" w:rsidRDefault="00182CBD" w:rsidP="006F727E">
      <w:pPr>
        <w:pStyle w:val="SystemStep"/>
      </w:pPr>
      <w:r>
        <w:t>T</w:t>
      </w:r>
      <w:r w:rsidRPr="00BB6F4C">
        <w:t xml:space="preserve">he </w:t>
      </w:r>
      <w:r>
        <w:t>S</w:t>
      </w:r>
      <w:r w:rsidR="00073187">
        <w:t>-</w:t>
      </w:r>
      <w:r>
        <w:t xml:space="preserve">EA Workshop </w:t>
      </w:r>
      <w:r w:rsidRPr="00BB6F4C">
        <w:t xml:space="preserve">Activity ID </w:t>
      </w:r>
      <w:r>
        <w:t xml:space="preserve">for the completed Workshop must be recorded </w:t>
      </w:r>
      <w:r w:rsidRPr="00BB6F4C">
        <w:t xml:space="preserve">in the Progress Payment </w:t>
      </w:r>
      <w:r w:rsidR="00860866">
        <w:t>screen</w:t>
      </w:r>
      <w:r w:rsidRPr="00BB6F4C">
        <w:t xml:space="preserve"> in the Department’s IT Systems.</w:t>
      </w:r>
    </w:p>
    <w:p w14:paraId="00CE9C71" w14:textId="644DB8AE" w:rsidR="00182CBD" w:rsidRPr="00860866" w:rsidRDefault="00182CBD" w:rsidP="00860866">
      <w:pPr>
        <w:rPr>
          <w:u w:val="single"/>
        </w:rPr>
      </w:pPr>
      <w:r w:rsidRPr="00860866">
        <w:rPr>
          <w:u w:val="single"/>
        </w:rPr>
        <w:t>Participation in Small Business Training</w:t>
      </w:r>
    </w:p>
    <w:p w14:paraId="115440BE" w14:textId="23E6EEE2" w:rsidR="00182CBD" w:rsidRDefault="00073187" w:rsidP="00182CBD">
      <w:r>
        <w:t xml:space="preserve">The Participant must </w:t>
      </w:r>
      <w:r w:rsidR="003921F3" w:rsidRPr="42C107D3">
        <w:t>enrol</w:t>
      </w:r>
      <w:r w:rsidR="003921F3">
        <w:t xml:space="preserve"> </w:t>
      </w:r>
      <w:r w:rsidR="003921F3" w:rsidRPr="42C107D3">
        <w:t xml:space="preserve">in and complete at least one of the accredited units of competency available through </w:t>
      </w:r>
      <w:r w:rsidR="00ED68FE">
        <w:t xml:space="preserve">Small Business Training </w:t>
      </w:r>
      <w:r w:rsidR="003921F3">
        <w:t>with a S-EA provider</w:t>
      </w:r>
      <w:r w:rsidR="00182CBD">
        <w:t>.</w:t>
      </w:r>
    </w:p>
    <w:p w14:paraId="60BB0145" w14:textId="1A04D97E" w:rsidR="00182CBD" w:rsidRDefault="00182CBD" w:rsidP="006F727E">
      <w:pPr>
        <w:pStyle w:val="SystemStep"/>
      </w:pPr>
      <w:r>
        <w:t>The S</w:t>
      </w:r>
      <w:r w:rsidR="20B1CC07">
        <w:t>-</w:t>
      </w:r>
      <w:r>
        <w:t xml:space="preserve">EA program Activity ID must be recorded in the Progress Payment </w:t>
      </w:r>
      <w:r w:rsidR="00860866">
        <w:t>screen</w:t>
      </w:r>
      <w:r>
        <w:t xml:space="preserve"> in the Department’s IT Systems.</w:t>
      </w:r>
    </w:p>
    <w:p w14:paraId="012C9241" w14:textId="3401B9E3" w:rsidR="00182CBD" w:rsidRPr="00C80FB1" w:rsidRDefault="00182CBD" w:rsidP="001D0F92">
      <w:pPr>
        <w:pStyle w:val="Heading3"/>
        <w:rPr>
          <w:rStyle w:val="Heading2Char1"/>
          <w:rFonts w:asciiTheme="majorHAnsi" w:hAnsiTheme="majorHAnsi"/>
          <w:i w:val="0"/>
          <w:color w:val="005A70" w:themeColor="accent1"/>
          <w:sz w:val="32"/>
          <w:szCs w:val="32"/>
        </w:rPr>
      </w:pPr>
      <w:bookmarkStart w:id="494" w:name="_Ref202785050"/>
      <w:bookmarkStart w:id="495" w:name="_Toc202900090"/>
      <w:r w:rsidRPr="3ACE1B1E">
        <w:rPr>
          <w:rStyle w:val="Heading2Char1"/>
          <w:rFonts w:asciiTheme="majorHAnsi" w:hAnsiTheme="majorHAnsi"/>
          <w:i w:val="0"/>
          <w:color w:val="005A70" w:themeColor="accent1"/>
          <w:sz w:val="32"/>
          <w:szCs w:val="32"/>
        </w:rPr>
        <w:t>11.5</w:t>
      </w:r>
      <w:r w:rsidR="00073187">
        <w:tab/>
      </w:r>
      <w:r w:rsidRPr="3ACE1B1E">
        <w:rPr>
          <w:rStyle w:val="Heading2Char1"/>
          <w:rFonts w:asciiTheme="majorHAnsi" w:hAnsiTheme="majorHAnsi"/>
          <w:i w:val="0"/>
          <w:color w:val="005A70" w:themeColor="accent1"/>
          <w:sz w:val="32"/>
          <w:szCs w:val="32"/>
        </w:rPr>
        <w:t>Outcome Fees</w:t>
      </w:r>
      <w:bookmarkEnd w:id="494"/>
      <w:bookmarkEnd w:id="495"/>
    </w:p>
    <w:p w14:paraId="0AA03DB1" w14:textId="2213CA19" w:rsidR="00182CBD" w:rsidRDefault="00182CBD" w:rsidP="00C80FB1">
      <w:r>
        <w:t>Outcome Fees reward Providers for achieving sustainable Employment for Participants</w:t>
      </w:r>
      <w:r w:rsidR="7AC16A91">
        <w:t xml:space="preserve"> and recognise</w:t>
      </w:r>
      <w:r>
        <w:t xml:space="preserve"> </w:t>
      </w:r>
      <w:r w:rsidR="1E4575C9">
        <w:t xml:space="preserve">the work Providers need to do to assist each Participant to find </w:t>
      </w:r>
      <w:r w:rsidR="009C557F">
        <w:t>and maintain</w:t>
      </w:r>
      <w:r w:rsidR="1E4575C9">
        <w:t xml:space="preserve"> Employment. </w:t>
      </w:r>
    </w:p>
    <w:p w14:paraId="75F688A7" w14:textId="272D6D00" w:rsidR="00182CBD" w:rsidRDefault="00182CBD" w:rsidP="00C80FB1">
      <w:pPr>
        <w:spacing w:after="60"/>
      </w:pPr>
      <w:r w:rsidRPr="42C107D3">
        <w:t xml:space="preserve">There are 5 levels of Outcomes </w:t>
      </w:r>
      <w:r w:rsidR="00E24162">
        <w:t>F</w:t>
      </w:r>
      <w:r w:rsidRPr="42C107D3">
        <w:t xml:space="preserve">ees, as determined by the Participant Investment Funding Model. The higher </w:t>
      </w:r>
      <w:r w:rsidR="00580A68">
        <w:t>F</w:t>
      </w:r>
      <w:r w:rsidRPr="42C107D3">
        <w:t>unding</w:t>
      </w:r>
      <w:r w:rsidR="006E3BF6">
        <w:t xml:space="preserve"> Levels</w:t>
      </w:r>
      <w:r w:rsidRPr="42C107D3">
        <w:t xml:space="preserve"> recognise that greater investment is likely to be required </w:t>
      </w:r>
      <w:r w:rsidR="00251B1A">
        <w:t xml:space="preserve">for some Participants </w:t>
      </w:r>
      <w:r w:rsidRPr="42C107D3">
        <w:t xml:space="preserve">to help </w:t>
      </w:r>
      <w:r w:rsidR="00251B1A">
        <w:t>them</w:t>
      </w:r>
      <w:r w:rsidRPr="42C107D3">
        <w:t xml:space="preserve"> find and maintain Employment.</w:t>
      </w:r>
    </w:p>
    <w:p w14:paraId="0DE55B9E" w14:textId="77777777" w:rsidR="00182CBD" w:rsidRDefault="00182CBD" w:rsidP="00862AA2">
      <w:pPr>
        <w:keepNext/>
        <w:spacing w:after="60"/>
      </w:pPr>
      <w:r>
        <w:t>The Employment Outcome Fee amount will also depend on:</w:t>
      </w:r>
    </w:p>
    <w:p w14:paraId="32F87412" w14:textId="0A1CD96A" w:rsidR="00182CBD" w:rsidRDefault="00182CBD" w:rsidP="004E120D">
      <w:pPr>
        <w:pStyle w:val="BulletLevel1"/>
      </w:pPr>
      <w:r>
        <w:t>the duration of the Employment Outcome (12, 26 or 52-weeks),</w:t>
      </w:r>
      <w:r w:rsidR="00F33785">
        <w:t xml:space="preserve"> and</w:t>
      </w:r>
    </w:p>
    <w:p w14:paraId="0089AECF" w14:textId="780F05B3" w:rsidR="00182CBD" w:rsidRDefault="00E21268" w:rsidP="004E120D">
      <w:pPr>
        <w:pStyle w:val="BulletLevel1"/>
      </w:pPr>
      <w:r>
        <w:t>if</w:t>
      </w:r>
      <w:r w:rsidR="00182CBD">
        <w:t xml:space="preserve"> a Full </w:t>
      </w:r>
      <w:r>
        <w:t xml:space="preserve">Outcome </w:t>
      </w:r>
      <w:r w:rsidR="00182CBD">
        <w:t>or a Partial Outcome is achieved.</w:t>
      </w:r>
    </w:p>
    <w:p w14:paraId="3D03EDA0" w14:textId="26FCD8D1" w:rsidR="00182CBD" w:rsidRDefault="00182CBD" w:rsidP="00D46A9D">
      <w:r w:rsidRPr="42C107D3">
        <w:t xml:space="preserve">See </w:t>
      </w:r>
      <w:r w:rsidR="00ED68FE">
        <w:fldChar w:fldCharType="begin"/>
      </w:r>
      <w:r w:rsidR="00ED68FE">
        <w:instrText xml:space="preserve"> REF _Ref202896425 \h </w:instrText>
      </w:r>
      <w:r w:rsidR="00ED68FE">
        <w:fldChar w:fldCharType="separate"/>
      </w:r>
      <w:r w:rsidR="000D75AE" w:rsidRPr="00BA23D8">
        <w:t>Chapter 9</w:t>
      </w:r>
      <w:r w:rsidR="000D75AE">
        <w:t>:</w:t>
      </w:r>
      <w:r w:rsidR="00C33F1F">
        <w:t xml:space="preserve"> </w:t>
      </w:r>
      <w:r w:rsidR="000D75AE" w:rsidRPr="00BA23D8">
        <w:t>Post Placement Support</w:t>
      </w:r>
      <w:r w:rsidR="00ED68FE">
        <w:fldChar w:fldCharType="end"/>
      </w:r>
      <w:r w:rsidR="00ED68FE">
        <w:t xml:space="preserve"> </w:t>
      </w:r>
      <w:r w:rsidRPr="00860302">
        <w:t>for further information about Job Placements</w:t>
      </w:r>
      <w:r w:rsidR="00C56D96" w:rsidRPr="00860302">
        <w:t xml:space="preserve"> and Empl</w:t>
      </w:r>
      <w:r w:rsidR="00C56D96">
        <w:t>oyment Outcome conditions</w:t>
      </w:r>
      <w:r w:rsidRPr="42C107D3">
        <w:t>.</w:t>
      </w:r>
      <w:r w:rsidR="0030028C">
        <w:t xml:space="preserve"> </w:t>
      </w:r>
    </w:p>
    <w:p w14:paraId="74FB470A" w14:textId="60BFAE59" w:rsidR="00182CBD" w:rsidRPr="00D664B2" w:rsidRDefault="0070091A" w:rsidP="00D664B2">
      <w:pPr>
        <w:pStyle w:val="DeedReferences"/>
      </w:pPr>
      <w:r>
        <w:t>(</w:t>
      </w:r>
      <w:r w:rsidR="00A73420">
        <w:t xml:space="preserve">Deed Reference(s): Clause </w:t>
      </w:r>
      <w:r w:rsidR="009E5F10">
        <w:t>163</w:t>
      </w:r>
      <w:r w:rsidR="00182CBD" w:rsidRPr="00D664B2">
        <w:t>, Annexure B1</w:t>
      </w:r>
      <w:r>
        <w:t>)</w:t>
      </w:r>
    </w:p>
    <w:p w14:paraId="030153D5" w14:textId="77777777" w:rsidR="00F93082" w:rsidRDefault="00F93082" w:rsidP="00F93082">
      <w:pPr>
        <w:pStyle w:val="Heading4"/>
      </w:pPr>
      <w:bookmarkStart w:id="496" w:name="_Toc202900091"/>
      <w:r>
        <w:t>11.5.1</w:t>
      </w:r>
      <w:r>
        <w:tab/>
        <w:t>Claiming Employment Outcome Fees</w:t>
      </w:r>
      <w:bookmarkEnd w:id="496"/>
    </w:p>
    <w:p w14:paraId="64F9CA80" w14:textId="7D44E35C" w:rsidR="00F93082" w:rsidRDefault="00F93082" w:rsidP="00F93082">
      <w:r w:rsidRPr="42C107D3">
        <w:t xml:space="preserve">An Employment Outcome is achieved </w:t>
      </w:r>
      <w:r w:rsidR="00511BB9">
        <w:t>if</w:t>
      </w:r>
      <w:r w:rsidRPr="42C107D3">
        <w:t xml:space="preserve">, for the entire </w:t>
      </w:r>
      <w:r>
        <w:t>O</w:t>
      </w:r>
      <w:r w:rsidRPr="42C107D3">
        <w:t xml:space="preserve">utcome </w:t>
      </w:r>
      <w:r w:rsidR="00BA030E">
        <w:t>P</w:t>
      </w:r>
      <w:r w:rsidRPr="42C107D3">
        <w:t xml:space="preserve">eriod, a Participant: </w:t>
      </w:r>
    </w:p>
    <w:p w14:paraId="5DDA6C37" w14:textId="4DB4AD20" w:rsidR="00F93082" w:rsidRDefault="00F93082" w:rsidP="004E120D">
      <w:pPr>
        <w:pStyle w:val="BulletLevel1"/>
      </w:pPr>
      <w:r w:rsidRPr="44F1B9E3">
        <w:t xml:space="preserve">remains </w:t>
      </w:r>
      <w:r>
        <w:t>E</w:t>
      </w:r>
      <w:r w:rsidRPr="44F1B9E3">
        <w:t xml:space="preserve">mployed or in </w:t>
      </w:r>
      <w:r>
        <w:t>U</w:t>
      </w:r>
      <w:r w:rsidRPr="00FD2FAF">
        <w:t>nsubsidised</w:t>
      </w:r>
      <w:r w:rsidRPr="44F1B9E3">
        <w:t xml:space="preserve"> </w:t>
      </w:r>
      <w:r>
        <w:t>S</w:t>
      </w:r>
      <w:r w:rsidRPr="44F1B9E3">
        <w:t>elf-</w:t>
      </w:r>
      <w:r>
        <w:t>E</w:t>
      </w:r>
      <w:r w:rsidRPr="44F1B9E3">
        <w:t>mployment and</w:t>
      </w:r>
      <w:r>
        <w:t xml:space="preserve"> </w:t>
      </w:r>
    </w:p>
    <w:p w14:paraId="1F76510D" w14:textId="77777777" w:rsidR="00F93082" w:rsidRDefault="00F93082" w:rsidP="004E120D">
      <w:pPr>
        <w:pStyle w:val="BulletLevel1"/>
      </w:pPr>
      <w:r w:rsidRPr="44F1B9E3">
        <w:t xml:space="preserve">meets </w:t>
      </w:r>
      <w:r>
        <w:t>a requirement</w:t>
      </w:r>
      <w:r w:rsidRPr="44F1B9E3">
        <w:t xml:space="preserve"> for a </w:t>
      </w:r>
      <w:r>
        <w:t>F</w:t>
      </w:r>
      <w:r w:rsidRPr="44F1B9E3">
        <w:t xml:space="preserve">ull </w:t>
      </w:r>
      <w:r>
        <w:t>O</w:t>
      </w:r>
      <w:r w:rsidRPr="44F1B9E3">
        <w:t xml:space="preserve">utcome or </w:t>
      </w:r>
      <w:r>
        <w:t>P</w:t>
      </w:r>
      <w:r w:rsidRPr="00FD2FAF">
        <w:t xml:space="preserve">artial </w:t>
      </w:r>
      <w:r>
        <w:t>O</w:t>
      </w:r>
      <w:r w:rsidRPr="44F1B9E3">
        <w:t>utcome.</w:t>
      </w:r>
    </w:p>
    <w:p w14:paraId="0E65A15D" w14:textId="43DAA4EF" w:rsidR="00EC02DB" w:rsidRDefault="00EC02DB" w:rsidP="00EC02DB">
      <w:r>
        <w:t xml:space="preserve">Outcome Fees are available to claim on the Department’s IT Systems at the end of each Outcome </w:t>
      </w:r>
      <w:r w:rsidR="004246F6">
        <w:t>P</w:t>
      </w:r>
      <w:r>
        <w:t>eriod</w:t>
      </w:r>
      <w:r w:rsidR="004246F6">
        <w:t xml:space="preserve"> (i.e. 12-week Period, 26-week Period and 52-week Period)</w:t>
      </w:r>
      <w:r>
        <w:t>.</w:t>
      </w:r>
    </w:p>
    <w:p w14:paraId="191015C0" w14:textId="77777777" w:rsidR="00F93082" w:rsidRDefault="00F93082" w:rsidP="00F93082">
      <w:pPr>
        <w:pStyle w:val="TableChartHeading"/>
      </w:pPr>
      <w:r>
        <w:t>Outcomes</w:t>
      </w:r>
    </w:p>
    <w:tbl>
      <w:tblPr>
        <w:tblStyle w:val="TableGrid"/>
        <w:tblW w:w="10065" w:type="dxa"/>
        <w:tblBorders>
          <w:left w:val="none" w:sz="0" w:space="0" w:color="auto"/>
          <w:right w:val="none" w:sz="0" w:space="0" w:color="auto"/>
          <w:insideV w:val="none" w:sz="0" w:space="0" w:color="auto"/>
        </w:tblBorders>
        <w:tblLayout w:type="fixed"/>
        <w:tblLook w:val="06A0" w:firstRow="1" w:lastRow="0" w:firstColumn="1" w:lastColumn="0" w:noHBand="1" w:noVBand="1"/>
      </w:tblPr>
      <w:tblGrid>
        <w:gridCol w:w="1701"/>
        <w:gridCol w:w="1418"/>
        <w:gridCol w:w="3118"/>
        <w:gridCol w:w="3828"/>
      </w:tblGrid>
      <w:tr w:rsidR="00F93082" w:rsidRPr="005F5612" w14:paraId="7C961209" w14:textId="77777777" w:rsidTr="00B4704F">
        <w:trPr>
          <w:trHeight w:val="300"/>
          <w:tblHeader/>
        </w:trPr>
        <w:tc>
          <w:tcPr>
            <w:tcW w:w="1701" w:type="dxa"/>
            <w:shd w:val="clear" w:color="auto" w:fill="B1E4E3" w:themeFill="accent3"/>
            <w:vAlign w:val="center"/>
          </w:tcPr>
          <w:p w14:paraId="191F18CE" w14:textId="77777777" w:rsidR="00F93082" w:rsidRDefault="00F93082">
            <w:pPr>
              <w:pStyle w:val="TableText"/>
              <w:rPr>
                <w:rFonts w:eastAsia="Tahoma"/>
                <w:b/>
                <w:bCs/>
              </w:rPr>
            </w:pPr>
            <w:r>
              <w:rPr>
                <w:rFonts w:eastAsia="Tahoma"/>
                <w:b/>
                <w:bCs/>
              </w:rPr>
              <w:t>Participant’s Employment Benchmark</w:t>
            </w:r>
          </w:p>
        </w:tc>
        <w:tc>
          <w:tcPr>
            <w:tcW w:w="1418" w:type="dxa"/>
            <w:shd w:val="clear" w:color="auto" w:fill="B1E4E3" w:themeFill="accent3"/>
            <w:tcMar>
              <w:left w:w="105" w:type="dxa"/>
              <w:right w:w="105" w:type="dxa"/>
            </w:tcMar>
            <w:vAlign w:val="center"/>
          </w:tcPr>
          <w:p w14:paraId="59075733" w14:textId="77777777" w:rsidR="00F93082" w:rsidRPr="00D664B2" w:rsidRDefault="00F93082">
            <w:pPr>
              <w:pStyle w:val="TableText"/>
              <w:rPr>
                <w:rFonts w:eastAsia="Tahoma"/>
                <w:b/>
                <w:bCs/>
              </w:rPr>
            </w:pPr>
            <w:r w:rsidRPr="00D664B2">
              <w:rPr>
                <w:rFonts w:eastAsia="Tahoma"/>
                <w:b/>
                <w:bCs/>
              </w:rPr>
              <w:t>Outcome Level</w:t>
            </w:r>
          </w:p>
        </w:tc>
        <w:tc>
          <w:tcPr>
            <w:tcW w:w="3118" w:type="dxa"/>
            <w:shd w:val="clear" w:color="auto" w:fill="B1E4E3" w:themeFill="accent3"/>
            <w:tcMar>
              <w:left w:w="105" w:type="dxa"/>
              <w:right w:w="105" w:type="dxa"/>
            </w:tcMar>
            <w:vAlign w:val="center"/>
          </w:tcPr>
          <w:p w14:paraId="09A91A7E" w14:textId="77777777" w:rsidR="00F93082" w:rsidRPr="00D664B2" w:rsidRDefault="00F93082">
            <w:pPr>
              <w:pStyle w:val="TableText"/>
              <w:rPr>
                <w:rFonts w:eastAsia="Tahoma"/>
                <w:b/>
                <w:bCs/>
              </w:rPr>
            </w:pPr>
            <w:r w:rsidRPr="00D664B2">
              <w:rPr>
                <w:rFonts w:eastAsia="Tahoma"/>
                <w:b/>
                <w:bCs/>
              </w:rPr>
              <w:t>Earnings based Outcome</w:t>
            </w:r>
          </w:p>
        </w:tc>
        <w:tc>
          <w:tcPr>
            <w:tcW w:w="3828" w:type="dxa"/>
            <w:shd w:val="clear" w:color="auto" w:fill="B1E4E3" w:themeFill="accent3"/>
            <w:tcMar>
              <w:left w:w="105" w:type="dxa"/>
              <w:right w:w="105" w:type="dxa"/>
            </w:tcMar>
            <w:vAlign w:val="center"/>
          </w:tcPr>
          <w:p w14:paraId="376A1AE2" w14:textId="77777777" w:rsidR="00F93082" w:rsidRPr="00D664B2" w:rsidRDefault="00F93082">
            <w:pPr>
              <w:pStyle w:val="TableText"/>
              <w:rPr>
                <w:rFonts w:eastAsia="Tahoma"/>
                <w:b/>
                <w:bCs/>
              </w:rPr>
            </w:pPr>
            <w:r w:rsidRPr="00D664B2">
              <w:rPr>
                <w:rFonts w:eastAsia="Tahoma"/>
                <w:b/>
                <w:bCs/>
              </w:rPr>
              <w:t>Hours based Outcome</w:t>
            </w:r>
          </w:p>
        </w:tc>
      </w:tr>
      <w:tr w:rsidR="00F93082" w14:paraId="79DAB62A" w14:textId="77777777" w:rsidTr="00B4704F">
        <w:trPr>
          <w:trHeight w:val="300"/>
        </w:trPr>
        <w:tc>
          <w:tcPr>
            <w:tcW w:w="1701" w:type="dxa"/>
            <w:vAlign w:val="center"/>
          </w:tcPr>
          <w:p w14:paraId="243EDD7B" w14:textId="1F0DF4F1" w:rsidR="00F93082" w:rsidRDefault="00F93082">
            <w:pPr>
              <w:pStyle w:val="TableText"/>
            </w:pPr>
            <w:r w:rsidRPr="00B4704F">
              <w:t xml:space="preserve">8 </w:t>
            </w:r>
            <w:r w:rsidR="00B4704F" w:rsidRPr="00B4704F">
              <w:t>hours</w:t>
            </w:r>
            <w:r w:rsidR="00B47591">
              <w:t xml:space="preserve"> or more</w:t>
            </w:r>
          </w:p>
        </w:tc>
        <w:tc>
          <w:tcPr>
            <w:tcW w:w="1418" w:type="dxa"/>
            <w:tcMar>
              <w:left w:w="105" w:type="dxa"/>
              <w:right w:w="105" w:type="dxa"/>
            </w:tcMar>
            <w:vAlign w:val="center"/>
          </w:tcPr>
          <w:p w14:paraId="1AC3750D" w14:textId="77777777" w:rsidR="00F93082" w:rsidRDefault="00F93082">
            <w:pPr>
              <w:pStyle w:val="TableText"/>
            </w:pPr>
            <w:r w:rsidRPr="44F1B9E3">
              <w:t>Full Outcome</w:t>
            </w:r>
          </w:p>
        </w:tc>
        <w:tc>
          <w:tcPr>
            <w:tcW w:w="3118" w:type="dxa"/>
            <w:tcMar>
              <w:left w:w="105" w:type="dxa"/>
              <w:right w:w="105" w:type="dxa"/>
            </w:tcMar>
            <w:vAlign w:val="center"/>
          </w:tcPr>
          <w:p w14:paraId="576E447F" w14:textId="07136770" w:rsidR="00F93082" w:rsidRDefault="00F93082">
            <w:pPr>
              <w:pStyle w:val="TableText"/>
            </w:pPr>
            <w:r w:rsidRPr="44F1B9E3">
              <w:t xml:space="preserve">Income earned is enough to reduce the </w:t>
            </w:r>
            <w:r>
              <w:t>Participant</w:t>
            </w:r>
            <w:r w:rsidRPr="44F1B9E3">
              <w:t xml:space="preserve">’s </w:t>
            </w:r>
            <w:r>
              <w:t>Income Support Payment</w:t>
            </w:r>
            <w:r w:rsidRPr="44F1B9E3">
              <w:t>s to zero</w:t>
            </w:r>
            <w:r w:rsidR="00B4704F" w:rsidRPr="00B4704F">
              <w:t>.</w:t>
            </w:r>
          </w:p>
        </w:tc>
        <w:tc>
          <w:tcPr>
            <w:tcW w:w="3828" w:type="dxa"/>
            <w:tcMar>
              <w:left w:w="105" w:type="dxa"/>
              <w:right w:w="105" w:type="dxa"/>
            </w:tcMar>
            <w:vAlign w:val="center"/>
          </w:tcPr>
          <w:p w14:paraId="3C468EA2" w14:textId="77777777" w:rsidR="00F93082" w:rsidRDefault="00F93082">
            <w:pPr>
              <w:pStyle w:val="TableText"/>
            </w:pPr>
            <w:r w:rsidRPr="44F1B9E3">
              <w:t xml:space="preserve">Hours worked each week are, on average, at least equal to the </w:t>
            </w:r>
            <w:r>
              <w:t>Participant</w:t>
            </w:r>
            <w:r w:rsidRPr="44F1B9E3">
              <w:t xml:space="preserve">’s individual </w:t>
            </w:r>
            <w:r>
              <w:t>E</w:t>
            </w:r>
            <w:r w:rsidRPr="44F1B9E3">
              <w:t xml:space="preserve">mployment </w:t>
            </w:r>
            <w:r>
              <w:t>B</w:t>
            </w:r>
            <w:r w:rsidRPr="44F1B9E3">
              <w:t>enchmark</w:t>
            </w:r>
          </w:p>
        </w:tc>
      </w:tr>
      <w:tr w:rsidR="00F93082" w14:paraId="65A345D1" w14:textId="77777777" w:rsidTr="00B4704F">
        <w:trPr>
          <w:trHeight w:val="300"/>
        </w:trPr>
        <w:tc>
          <w:tcPr>
            <w:tcW w:w="1701" w:type="dxa"/>
            <w:vAlign w:val="center"/>
          </w:tcPr>
          <w:p w14:paraId="568B56E0" w14:textId="26CD2FE2" w:rsidR="00F93082" w:rsidRPr="44F1B9E3" w:rsidRDefault="00B4704F">
            <w:pPr>
              <w:pStyle w:val="TableText"/>
            </w:pPr>
            <w:r w:rsidRPr="00B4704F">
              <w:t>8 hours</w:t>
            </w:r>
            <w:r w:rsidR="00B47591">
              <w:t xml:space="preserve"> or more</w:t>
            </w:r>
          </w:p>
        </w:tc>
        <w:tc>
          <w:tcPr>
            <w:tcW w:w="1418" w:type="dxa"/>
            <w:tcMar>
              <w:left w:w="105" w:type="dxa"/>
              <w:right w:w="105" w:type="dxa"/>
            </w:tcMar>
            <w:vAlign w:val="center"/>
          </w:tcPr>
          <w:p w14:paraId="5EFCC382" w14:textId="4E50D983" w:rsidR="00F93082" w:rsidRDefault="00F93082">
            <w:pPr>
              <w:pStyle w:val="TableText"/>
            </w:pPr>
            <w:r w:rsidRPr="44F1B9E3">
              <w:t>Pa</w:t>
            </w:r>
            <w:r w:rsidRPr="00FD2FAF">
              <w:t xml:space="preserve">rtial </w:t>
            </w:r>
            <w:r w:rsidRPr="44F1B9E3">
              <w:t>Outcome</w:t>
            </w:r>
          </w:p>
        </w:tc>
        <w:tc>
          <w:tcPr>
            <w:tcW w:w="3118" w:type="dxa"/>
            <w:tcMar>
              <w:left w:w="105" w:type="dxa"/>
              <w:right w:w="105" w:type="dxa"/>
            </w:tcMar>
            <w:vAlign w:val="center"/>
          </w:tcPr>
          <w:p w14:paraId="21E53283" w14:textId="77777777" w:rsidR="00F93082" w:rsidRDefault="00F93082">
            <w:pPr>
              <w:pStyle w:val="TableText"/>
            </w:pPr>
            <w:r>
              <w:t>N/A</w:t>
            </w:r>
          </w:p>
        </w:tc>
        <w:tc>
          <w:tcPr>
            <w:tcW w:w="3828" w:type="dxa"/>
            <w:tcMar>
              <w:left w:w="105" w:type="dxa"/>
              <w:right w:w="105" w:type="dxa"/>
            </w:tcMar>
            <w:vAlign w:val="center"/>
          </w:tcPr>
          <w:p w14:paraId="70CF8EB9" w14:textId="25ADCA71" w:rsidR="00F93082" w:rsidRDefault="00F93082">
            <w:pPr>
              <w:pStyle w:val="TableText"/>
            </w:pPr>
            <w:r w:rsidRPr="44F1B9E3">
              <w:t xml:space="preserve">Hours worked each week, on average, are close to the </w:t>
            </w:r>
            <w:r>
              <w:t>Participant</w:t>
            </w:r>
            <w:r w:rsidRPr="44F1B9E3">
              <w:t xml:space="preserve">’s individual </w:t>
            </w:r>
            <w:r>
              <w:t>E</w:t>
            </w:r>
            <w:r w:rsidRPr="44F1B9E3">
              <w:t xml:space="preserve">mployment </w:t>
            </w:r>
            <w:r>
              <w:t>B</w:t>
            </w:r>
            <w:r w:rsidRPr="44F1B9E3">
              <w:t>enchmark</w:t>
            </w:r>
            <w:r w:rsidR="00B4704F" w:rsidRPr="00B4704F">
              <w:t>.</w:t>
            </w:r>
          </w:p>
        </w:tc>
      </w:tr>
      <w:tr w:rsidR="00F93082" w14:paraId="4D0E2BD6" w14:textId="77777777" w:rsidTr="00031E0D">
        <w:trPr>
          <w:cantSplit/>
          <w:trHeight w:val="300"/>
        </w:trPr>
        <w:tc>
          <w:tcPr>
            <w:tcW w:w="1701" w:type="dxa"/>
            <w:vAlign w:val="center"/>
          </w:tcPr>
          <w:p w14:paraId="43BA5172" w14:textId="72C76A87" w:rsidR="00F93082" w:rsidRPr="44F1B9E3" w:rsidRDefault="00F93082">
            <w:pPr>
              <w:pStyle w:val="TableText"/>
            </w:pPr>
            <w:r w:rsidRPr="00B4704F">
              <w:t>0</w:t>
            </w:r>
            <w:r w:rsidR="00B4704F" w:rsidRPr="00B4704F">
              <w:t xml:space="preserve"> hours</w:t>
            </w:r>
          </w:p>
        </w:tc>
        <w:tc>
          <w:tcPr>
            <w:tcW w:w="1418" w:type="dxa"/>
            <w:tcMar>
              <w:left w:w="105" w:type="dxa"/>
              <w:right w:w="105" w:type="dxa"/>
            </w:tcMar>
            <w:vAlign w:val="center"/>
          </w:tcPr>
          <w:p w14:paraId="5DD3592E" w14:textId="77777777" w:rsidR="00F93082" w:rsidRPr="44F1B9E3" w:rsidRDefault="00F93082">
            <w:pPr>
              <w:pStyle w:val="TableText"/>
            </w:pPr>
            <w:r w:rsidRPr="44F1B9E3">
              <w:t>Full Outcome</w:t>
            </w:r>
          </w:p>
        </w:tc>
        <w:tc>
          <w:tcPr>
            <w:tcW w:w="3118" w:type="dxa"/>
            <w:tcMar>
              <w:left w:w="105" w:type="dxa"/>
              <w:right w:w="105" w:type="dxa"/>
            </w:tcMar>
            <w:vAlign w:val="center"/>
          </w:tcPr>
          <w:p w14:paraId="10112097" w14:textId="77777777" w:rsidR="00F93082" w:rsidRDefault="00F93082">
            <w:pPr>
              <w:pStyle w:val="TableText"/>
            </w:pPr>
            <w:r>
              <w:t>N/A</w:t>
            </w:r>
          </w:p>
        </w:tc>
        <w:tc>
          <w:tcPr>
            <w:tcW w:w="3828" w:type="dxa"/>
            <w:tcMar>
              <w:left w:w="105" w:type="dxa"/>
              <w:right w:w="105" w:type="dxa"/>
            </w:tcMar>
            <w:vAlign w:val="center"/>
          </w:tcPr>
          <w:p w14:paraId="7C1C0363" w14:textId="0E2A96EF" w:rsidR="00F93082" w:rsidRDefault="00F93082">
            <w:pPr>
              <w:pStyle w:val="TableText"/>
            </w:pPr>
            <w:r>
              <w:t>8 hours worked each week on average</w:t>
            </w:r>
            <w:r w:rsidRPr="00D017D9">
              <w:t xml:space="preserve"> </w:t>
            </w:r>
            <w:r>
              <w:t xml:space="preserve">in the </w:t>
            </w:r>
            <w:r w:rsidR="004246F6">
              <w:t>O</w:t>
            </w:r>
            <w:r>
              <w:t xml:space="preserve">utcome </w:t>
            </w:r>
            <w:r w:rsidR="004246F6">
              <w:t>P</w:t>
            </w:r>
            <w:r>
              <w:t>eriod</w:t>
            </w:r>
            <w:r w:rsidR="00B4704F" w:rsidRPr="00B4704F">
              <w:t>.</w:t>
            </w:r>
          </w:p>
          <w:p w14:paraId="59BAF88E" w14:textId="77777777" w:rsidR="00F93082" w:rsidRDefault="00F93082">
            <w:pPr>
              <w:pStyle w:val="TableText"/>
            </w:pPr>
            <w:r>
              <w:t>OR</w:t>
            </w:r>
          </w:p>
          <w:p w14:paraId="74DE48B5" w14:textId="0E73DE7A" w:rsidR="00F93082" w:rsidRDefault="00F93082">
            <w:pPr>
              <w:pStyle w:val="TableText"/>
            </w:pPr>
            <w:r>
              <w:t>Minimum of 8 hours worked in</w:t>
            </w:r>
            <w:r w:rsidR="00B4704F" w:rsidRPr="00B4704F">
              <w:t>:</w:t>
            </w:r>
          </w:p>
          <w:p w14:paraId="0E9841E4" w14:textId="0C61A995" w:rsidR="00F93082" w:rsidRDefault="00F93082" w:rsidP="00B4704F">
            <w:pPr>
              <w:pStyle w:val="TableText"/>
            </w:pPr>
            <w:r>
              <w:t>9 out of</w:t>
            </w:r>
            <w:r w:rsidRPr="00D017D9">
              <w:t xml:space="preserve"> 12 Consecutive Weeks (for the 12-week </w:t>
            </w:r>
            <w:r>
              <w:t>Outcome</w:t>
            </w:r>
            <w:r w:rsidRPr="00B4704F">
              <w:t>)</w:t>
            </w:r>
            <w:r w:rsidR="00B4704F" w:rsidRPr="00B4704F">
              <w:t>, or</w:t>
            </w:r>
          </w:p>
          <w:p w14:paraId="02247E4E" w14:textId="77777777" w:rsidR="00F93082" w:rsidRPr="44F1B9E3" w:rsidRDefault="00F93082" w:rsidP="00B4704F">
            <w:pPr>
              <w:pStyle w:val="TableText"/>
            </w:pPr>
            <w:r>
              <w:t xml:space="preserve">20 out of </w:t>
            </w:r>
            <w:r w:rsidRPr="00D017D9">
              <w:t xml:space="preserve">26 Consecutive Weeks (for </w:t>
            </w:r>
            <w:r>
              <w:t>each of</w:t>
            </w:r>
            <w:r w:rsidRPr="00D017D9">
              <w:t xml:space="preserve"> the 26-week or 52-week </w:t>
            </w:r>
            <w:r>
              <w:t>Outcomes</w:t>
            </w:r>
            <w:r w:rsidRPr="00D017D9">
              <w:t>).</w:t>
            </w:r>
          </w:p>
        </w:tc>
      </w:tr>
      <w:tr w:rsidR="00F93082" w14:paraId="1B5387E2" w14:textId="77777777" w:rsidTr="00B4704F">
        <w:trPr>
          <w:trHeight w:val="300"/>
        </w:trPr>
        <w:tc>
          <w:tcPr>
            <w:tcW w:w="1701" w:type="dxa"/>
            <w:vAlign w:val="center"/>
          </w:tcPr>
          <w:p w14:paraId="33B47EBF" w14:textId="6C8E1EA3" w:rsidR="00F93082" w:rsidRDefault="00B4704F">
            <w:pPr>
              <w:pStyle w:val="TableText"/>
            </w:pPr>
            <w:r w:rsidRPr="00B4704F">
              <w:t>0 hours</w:t>
            </w:r>
          </w:p>
        </w:tc>
        <w:tc>
          <w:tcPr>
            <w:tcW w:w="1418" w:type="dxa"/>
            <w:tcMar>
              <w:left w:w="105" w:type="dxa"/>
              <w:right w:w="105" w:type="dxa"/>
            </w:tcMar>
            <w:vAlign w:val="center"/>
          </w:tcPr>
          <w:p w14:paraId="7B0D7A6E" w14:textId="169A06BD" w:rsidR="00F93082" w:rsidRPr="44F1B9E3" w:rsidRDefault="00F93082">
            <w:pPr>
              <w:pStyle w:val="TableText"/>
            </w:pPr>
            <w:r w:rsidRPr="44F1B9E3">
              <w:t>Pa</w:t>
            </w:r>
            <w:r w:rsidRPr="00FD2FAF">
              <w:t xml:space="preserve">rtial </w:t>
            </w:r>
            <w:r w:rsidRPr="44F1B9E3">
              <w:t>Outcome</w:t>
            </w:r>
          </w:p>
        </w:tc>
        <w:tc>
          <w:tcPr>
            <w:tcW w:w="3118" w:type="dxa"/>
            <w:tcMar>
              <w:left w:w="105" w:type="dxa"/>
              <w:right w:w="105" w:type="dxa"/>
            </w:tcMar>
            <w:vAlign w:val="center"/>
          </w:tcPr>
          <w:p w14:paraId="4F1ED4E8" w14:textId="77777777" w:rsidR="00F93082" w:rsidRDefault="00F93082">
            <w:pPr>
              <w:pStyle w:val="TableText"/>
            </w:pPr>
            <w:r>
              <w:t>N/A</w:t>
            </w:r>
          </w:p>
        </w:tc>
        <w:tc>
          <w:tcPr>
            <w:tcW w:w="3828" w:type="dxa"/>
            <w:tcMar>
              <w:left w:w="105" w:type="dxa"/>
              <w:right w:w="105" w:type="dxa"/>
            </w:tcMar>
            <w:vAlign w:val="center"/>
          </w:tcPr>
          <w:p w14:paraId="6CDAA75D" w14:textId="7D451D70" w:rsidR="00F93082" w:rsidRPr="44F1B9E3" w:rsidRDefault="00F93082">
            <w:pPr>
              <w:pStyle w:val="TableText"/>
            </w:pPr>
            <w:r>
              <w:t>5 hours worked each week on average</w:t>
            </w:r>
            <w:r w:rsidRPr="00D017D9">
              <w:t xml:space="preserve"> </w:t>
            </w:r>
            <w:r>
              <w:t xml:space="preserve">in the </w:t>
            </w:r>
            <w:r w:rsidR="005A45D4">
              <w:t>O</w:t>
            </w:r>
            <w:r>
              <w:t xml:space="preserve">utcome </w:t>
            </w:r>
            <w:r w:rsidR="005A45D4">
              <w:t>P</w:t>
            </w:r>
            <w:r>
              <w:t>eriod</w:t>
            </w:r>
            <w:r w:rsidR="00B4704F" w:rsidRPr="00B4704F">
              <w:t>.</w:t>
            </w:r>
          </w:p>
        </w:tc>
      </w:tr>
    </w:tbl>
    <w:p w14:paraId="6E90AE8F" w14:textId="77777777" w:rsidR="00F93082" w:rsidRPr="0014773E" w:rsidRDefault="00F93082" w:rsidP="00F93082">
      <w:r w:rsidRPr="0014773E">
        <w:t xml:space="preserve">Before claiming </w:t>
      </w:r>
      <w:r>
        <w:t>Outcome</w:t>
      </w:r>
      <w:r w:rsidRPr="0014773E">
        <w:t xml:space="preserve"> Fees, Providers should ensure the following conditions have been met:</w:t>
      </w:r>
    </w:p>
    <w:p w14:paraId="3F858C66" w14:textId="77777777" w:rsidR="00F93082" w:rsidRPr="0014773E" w:rsidRDefault="00F93082" w:rsidP="004E120D">
      <w:pPr>
        <w:pStyle w:val="BulletLevel1"/>
      </w:pPr>
      <w:r>
        <w:t>The Participant has met Outcome requirements for hours worked or income earned over the Outcome Period, including any Permissible Breaks.</w:t>
      </w:r>
    </w:p>
    <w:p w14:paraId="016806FD" w14:textId="27B7CAE9" w:rsidR="00F93082" w:rsidRDefault="00F93082" w:rsidP="004E120D">
      <w:pPr>
        <w:pStyle w:val="BulletLevel1"/>
      </w:pPr>
      <w:r w:rsidRPr="42C107D3">
        <w:t xml:space="preserve">If a </w:t>
      </w:r>
      <w:r w:rsidR="00D2003A" w:rsidRPr="42C107D3">
        <w:t>26-week</w:t>
      </w:r>
      <w:r w:rsidRPr="42C107D3">
        <w:t xml:space="preserve"> Outcome is being claimed, a </w:t>
      </w:r>
      <w:r w:rsidR="00D2003A" w:rsidRPr="42C107D3">
        <w:t>12-week</w:t>
      </w:r>
      <w:r w:rsidRPr="42C107D3">
        <w:t xml:space="preserve"> Outcome has been paid in relation to the Participant </w:t>
      </w:r>
      <w:r w:rsidR="00C54B9B">
        <w:t>for the</w:t>
      </w:r>
      <w:r w:rsidR="000C62AD">
        <w:t xml:space="preserve"> 12 Consecutive Weeks following the same anchor date</w:t>
      </w:r>
      <w:r>
        <w:t>.</w:t>
      </w:r>
    </w:p>
    <w:p w14:paraId="0EE0DAE6" w14:textId="25DC2D6C" w:rsidR="00F93082" w:rsidRPr="0014773E" w:rsidRDefault="00F93082" w:rsidP="004E120D">
      <w:pPr>
        <w:pStyle w:val="BulletLevel1"/>
      </w:pPr>
      <w:r w:rsidRPr="42C107D3">
        <w:t xml:space="preserve">If a </w:t>
      </w:r>
      <w:r w:rsidR="00D2003A" w:rsidRPr="42C107D3">
        <w:t>52-week</w:t>
      </w:r>
      <w:r w:rsidRPr="42C107D3">
        <w:t xml:space="preserve"> Outcome is being claimed, a </w:t>
      </w:r>
      <w:r w:rsidR="00D2003A" w:rsidRPr="42C107D3">
        <w:t>26-week</w:t>
      </w:r>
      <w:r w:rsidRPr="42C107D3">
        <w:t xml:space="preserve"> Outcome has been paid in relation to the Participant </w:t>
      </w:r>
      <w:r w:rsidR="000C62AD">
        <w:t>for the 26 Consecutive Weeks immediately before the 52-week Outcome Period</w:t>
      </w:r>
      <w:r>
        <w:t>.</w:t>
      </w:r>
    </w:p>
    <w:p w14:paraId="633A6BDE" w14:textId="79D91631" w:rsidR="00F93082" w:rsidRPr="0014773E" w:rsidRDefault="00D834A7" w:rsidP="004E120D">
      <w:pPr>
        <w:pStyle w:val="BulletLevel1"/>
      </w:pPr>
      <w:r>
        <w:t>None</w:t>
      </w:r>
      <w:r w:rsidRPr="00D834A7">
        <w:t xml:space="preserve"> of the conditions defined as a Non-Payable Outcome in the Deed </w:t>
      </w:r>
      <w:r>
        <w:t>apply to the Job Placement</w:t>
      </w:r>
      <w:r w:rsidR="005C4EC7">
        <w:t>.</w:t>
      </w:r>
    </w:p>
    <w:p w14:paraId="5348FF79" w14:textId="00ACBF17" w:rsidR="00F93082" w:rsidRDefault="00F93082" w:rsidP="004E120D">
      <w:pPr>
        <w:pStyle w:val="BulletLevel1"/>
      </w:pPr>
      <w:r>
        <w:t>The Provider has obtained the Department’s written agreement that the Employment Placement can be used to an achieve an Outcome, if the Employment Placement was with the Provider’s Own Organisation or a Related Entity.</w:t>
      </w:r>
    </w:p>
    <w:p w14:paraId="327DA29E" w14:textId="77777777" w:rsidR="00F93082" w:rsidRDefault="00F93082" w:rsidP="004E120D">
      <w:pPr>
        <w:pStyle w:val="BulletLevel1"/>
      </w:pPr>
      <w:r w:rsidRPr="0014773E">
        <w:t xml:space="preserve">The Provider has </w:t>
      </w:r>
      <w:r w:rsidRPr="00C85795">
        <w:t>complete</w:t>
      </w:r>
      <w:r>
        <w:t>d</w:t>
      </w:r>
      <w:r w:rsidRPr="00C85795">
        <w:t xml:space="preserve"> </w:t>
      </w:r>
      <w:r>
        <w:t>the</w:t>
      </w:r>
      <w:r w:rsidRPr="00C85795">
        <w:t xml:space="preserve"> required </w:t>
      </w:r>
      <w:r>
        <w:t>processes</w:t>
      </w:r>
      <w:r w:rsidRPr="00C85795">
        <w:t xml:space="preserve"> </w:t>
      </w:r>
      <w:r>
        <w:t>with</w:t>
      </w:r>
      <w:r w:rsidRPr="00C85795">
        <w:t xml:space="preserve">in the Department’s IT </w:t>
      </w:r>
      <w:r>
        <w:t>systems</w:t>
      </w:r>
      <w:r w:rsidRPr="00C85795">
        <w:t xml:space="preserve"> to enable the </w:t>
      </w:r>
      <w:r>
        <w:t>P</w:t>
      </w:r>
      <w:r w:rsidRPr="00C85795">
        <w:t>ayment</w:t>
      </w:r>
      <w:r>
        <w:t>.</w:t>
      </w:r>
    </w:p>
    <w:p w14:paraId="18D46330" w14:textId="77777777" w:rsidR="00F93082" w:rsidRDefault="00F93082" w:rsidP="004E120D">
      <w:pPr>
        <w:pStyle w:val="BulletLevel1"/>
      </w:pPr>
      <w:r>
        <w:t xml:space="preserve">The Provider has collected and uploaded any required Documentary Evidence to support the claim for payment. </w:t>
      </w:r>
    </w:p>
    <w:p w14:paraId="485E9B38" w14:textId="7D49138D" w:rsidR="00F93082" w:rsidRPr="00A119AF" w:rsidDel="00F81A5F" w:rsidRDefault="00F93082" w:rsidP="00F93082">
      <w:pPr>
        <w:rPr>
          <w:lang w:eastAsia="en-AU"/>
        </w:rPr>
      </w:pPr>
      <w:r w:rsidDel="00F81A5F">
        <w:t xml:space="preserve">As noted above, Participants with an Employment Benchmark of 0 </w:t>
      </w:r>
      <w:r w:rsidR="009632F2" w:rsidDel="00F81A5F">
        <w:t xml:space="preserve">hours </w:t>
      </w:r>
      <w:r w:rsidDel="00F81A5F">
        <w:t>have similar requirements for Outcomes as those with an Employment Benchmark of 8</w:t>
      </w:r>
      <w:r w:rsidR="00C17260" w:rsidDel="00F81A5F">
        <w:t xml:space="preserve"> hours</w:t>
      </w:r>
      <w:r w:rsidDel="00F81A5F">
        <w:t xml:space="preserve">, but additional flexibility applies to achieving a Full Outcome. A </w:t>
      </w:r>
      <w:r w:rsidRPr="00A119AF" w:rsidDel="00F81A5F">
        <w:rPr>
          <w:lang w:eastAsia="en-AU"/>
        </w:rPr>
        <w:t xml:space="preserve">Full Outcome </w:t>
      </w:r>
      <w:r w:rsidDel="00F81A5F">
        <w:rPr>
          <w:lang w:eastAsia="en-AU"/>
        </w:rPr>
        <w:t xml:space="preserve">for these Participants </w:t>
      </w:r>
      <w:r w:rsidRPr="00A119AF" w:rsidDel="00F81A5F">
        <w:rPr>
          <w:lang w:eastAsia="en-AU"/>
        </w:rPr>
        <w:t>will be available for working at least 8 hours per week for:</w:t>
      </w:r>
    </w:p>
    <w:p w14:paraId="7075A169" w14:textId="77777777" w:rsidR="00F93082" w:rsidRPr="00300A63" w:rsidDel="00F81A5F" w:rsidRDefault="00F93082" w:rsidP="004E120D">
      <w:pPr>
        <w:pStyle w:val="BulletLevel1"/>
      </w:pPr>
      <w:r w:rsidRPr="00300A63" w:rsidDel="00F81A5F">
        <w:t>9 of 12 weeks for a 12-week Employment Outcome</w:t>
      </w:r>
    </w:p>
    <w:p w14:paraId="6BBE32D3" w14:textId="77777777" w:rsidR="00F93082" w:rsidRPr="00300A63" w:rsidDel="00F81A5F" w:rsidRDefault="00F93082" w:rsidP="00E3030E">
      <w:pPr>
        <w:pStyle w:val="BulletLevel1"/>
      </w:pPr>
      <w:r w:rsidRPr="00300A63" w:rsidDel="00F81A5F">
        <w:t>20 of 26 weeks for the 26-week Employment Outcome, and</w:t>
      </w:r>
    </w:p>
    <w:p w14:paraId="7AB0C841" w14:textId="77777777" w:rsidR="00F93082" w:rsidRPr="00C85795" w:rsidDel="00F81A5F" w:rsidRDefault="00F93082" w:rsidP="00E3030E">
      <w:pPr>
        <w:pStyle w:val="BulletLevel1"/>
      </w:pPr>
      <w:r w:rsidRPr="00300A63" w:rsidDel="00F81A5F">
        <w:t>20 of 26 weeks for the remaining 26 weeks of the 52-week Employment Outcome.</w:t>
      </w:r>
    </w:p>
    <w:p w14:paraId="6AFF4C56" w14:textId="70BA5AB7" w:rsidR="00F93082" w:rsidRDefault="00F93082" w:rsidP="00F93082">
      <w:r w:rsidRPr="0032322E">
        <w:t xml:space="preserve">Outcomes can be achieved at different levels for the different Outcome Periods. For example, a Participant may achieve a Full Outcome at </w:t>
      </w:r>
      <w:r>
        <w:t>12</w:t>
      </w:r>
      <w:r w:rsidRPr="0032322E">
        <w:t xml:space="preserve"> and </w:t>
      </w:r>
      <w:r>
        <w:t>26</w:t>
      </w:r>
      <w:r w:rsidRPr="0032322E">
        <w:t xml:space="preserve"> Weeks, but a Partial Outcome at </w:t>
      </w:r>
      <w:r>
        <w:t>52</w:t>
      </w:r>
      <w:r w:rsidRPr="0032322E">
        <w:t xml:space="preserve"> Weeks.</w:t>
      </w:r>
    </w:p>
    <w:p w14:paraId="5F2080A4" w14:textId="4C7AD639" w:rsidR="00F93082" w:rsidRDefault="000636B0" w:rsidP="00F93082">
      <w:r>
        <w:t>For more</w:t>
      </w:r>
      <w:r w:rsidR="00286ED0">
        <w:t xml:space="preserve"> detailed information</w:t>
      </w:r>
      <w:r>
        <w:t xml:space="preserve">, refer to </w:t>
      </w:r>
      <w:r w:rsidR="007154D9">
        <w:t xml:space="preserve">the relevant Sections in </w:t>
      </w:r>
      <w:r w:rsidR="007154D9">
        <w:fldChar w:fldCharType="begin"/>
      </w:r>
      <w:r w:rsidR="007154D9">
        <w:instrText xml:space="preserve"> REF _Ref202896704 \h </w:instrText>
      </w:r>
      <w:r w:rsidR="007154D9">
        <w:fldChar w:fldCharType="separate"/>
      </w:r>
      <w:r w:rsidR="000D75AE" w:rsidRPr="00BA23D8">
        <w:t>Chapter 9</w:t>
      </w:r>
      <w:r w:rsidR="000D75AE">
        <w:t>:</w:t>
      </w:r>
      <w:r w:rsidR="003B2E77">
        <w:t xml:space="preserve"> </w:t>
      </w:r>
      <w:r w:rsidR="000D75AE" w:rsidRPr="00BA23D8">
        <w:t>Post Placement Support</w:t>
      </w:r>
      <w:r w:rsidR="007154D9">
        <w:fldChar w:fldCharType="end"/>
      </w:r>
      <w:r w:rsidR="007154D9">
        <w:t xml:space="preserve">, in particular </w:t>
      </w:r>
      <w:r>
        <w:fldChar w:fldCharType="begin"/>
      </w:r>
      <w:r>
        <w:instrText xml:space="preserve"> REF _Ref202896614 \h </w:instrText>
      </w:r>
      <w:r>
        <w:fldChar w:fldCharType="separate"/>
      </w:r>
      <w:r w:rsidR="000D75AE">
        <w:t>9.5.2</w:t>
      </w:r>
      <w:r w:rsidR="003B2E77">
        <w:t xml:space="preserve"> </w:t>
      </w:r>
      <w:r w:rsidR="000D75AE">
        <w:t>Outcome Periods</w:t>
      </w:r>
      <w:r>
        <w:fldChar w:fldCharType="end"/>
      </w:r>
      <w:r w:rsidR="007154D9">
        <w:t>,</w:t>
      </w:r>
      <w:r>
        <w:t xml:space="preserve"> </w:t>
      </w:r>
      <w:r>
        <w:fldChar w:fldCharType="begin"/>
      </w:r>
      <w:r>
        <w:instrText xml:space="preserve"> REF _Ref202896668 \h </w:instrText>
      </w:r>
      <w:r>
        <w:fldChar w:fldCharType="separate"/>
      </w:r>
      <w:r w:rsidR="000D75AE">
        <w:t>9.5.3</w:t>
      </w:r>
      <w:r w:rsidR="003B2E77">
        <w:t xml:space="preserve"> </w:t>
      </w:r>
      <w:r w:rsidR="000D75AE" w:rsidRPr="25249C38">
        <w:t>Permissible Breaks</w:t>
      </w:r>
      <w:r w:rsidR="000D75AE">
        <w:t xml:space="preserve"> and Voluntary Changes in Employment</w:t>
      </w:r>
      <w:r>
        <w:fldChar w:fldCharType="end"/>
      </w:r>
      <w:r w:rsidR="007154D9">
        <w:t xml:space="preserve"> and </w:t>
      </w:r>
      <w:r w:rsidR="00397C19">
        <w:fldChar w:fldCharType="begin"/>
      </w:r>
      <w:r w:rsidR="00397C19">
        <w:instrText xml:space="preserve"> REF _Ref202896530 \h </w:instrText>
      </w:r>
      <w:r w:rsidR="00397C19">
        <w:fldChar w:fldCharType="separate"/>
      </w:r>
      <w:r w:rsidR="000D75AE" w:rsidRPr="25249C38">
        <w:t>9.6.1</w:t>
      </w:r>
      <w:r w:rsidR="003B2E77">
        <w:t xml:space="preserve"> </w:t>
      </w:r>
      <w:r w:rsidR="000D75AE" w:rsidRPr="25249C38">
        <w:t>Changing Participant circumstances</w:t>
      </w:r>
      <w:r w:rsidR="00397C19">
        <w:fldChar w:fldCharType="end"/>
      </w:r>
      <w:r w:rsidR="00F93082">
        <w:t>.</w:t>
      </w:r>
    </w:p>
    <w:p w14:paraId="38E74581" w14:textId="4F36C5F3" w:rsidR="00F93082" w:rsidRDefault="00F93082" w:rsidP="00F93082">
      <w:r>
        <w:t>Providers must not attempt to harass, coerce or pressure the Participant into providing Documentary Evidence</w:t>
      </w:r>
      <w:r w:rsidR="007154D9">
        <w:t xml:space="preserve"> related to their Employment</w:t>
      </w:r>
      <w:r>
        <w:t xml:space="preserve">. Further information is provided in </w:t>
      </w:r>
      <w:r w:rsidR="000636B0">
        <w:t>below on c</w:t>
      </w:r>
      <w:r w:rsidRPr="000636B0">
        <w:t>laiming Outcomes using Documentary Evidence</w:t>
      </w:r>
      <w:r>
        <w:t xml:space="preserve">. </w:t>
      </w:r>
    </w:p>
    <w:p w14:paraId="1B62361D" w14:textId="77777777" w:rsidR="00F93082" w:rsidRDefault="00F93082" w:rsidP="00FE6C3D">
      <w:pPr>
        <w:pStyle w:val="Heading5"/>
      </w:pPr>
      <w:r>
        <w:t>Earnings-based Outcomes</w:t>
      </w:r>
    </w:p>
    <w:p w14:paraId="21C2BE9E" w14:textId="3C95D99D" w:rsidR="00F93082" w:rsidRDefault="00F93082" w:rsidP="00F93082">
      <w:r>
        <w:t xml:space="preserve">A Full Outcome may be claimed when the </w:t>
      </w:r>
      <w:r w:rsidRPr="0074017D">
        <w:t>Income earned</w:t>
      </w:r>
      <w:r>
        <w:t xml:space="preserve"> by a Participant</w:t>
      </w:r>
      <w:r w:rsidRPr="0074017D">
        <w:t xml:space="preserve"> is enough to reduce the Participant’s Income Support Payments to zero</w:t>
      </w:r>
      <w:r>
        <w:t xml:space="preserve">. An earnings-based Outcome is claimed and verified by using Services Australia data in the Department’s IT Systems. </w:t>
      </w:r>
    </w:p>
    <w:p w14:paraId="6C110029" w14:textId="77777777" w:rsidR="00F93082" w:rsidRDefault="00F93082" w:rsidP="00F93082">
      <w:r>
        <w:t xml:space="preserve">Partial Outcomes cannot be claimed based on earnings. </w:t>
      </w:r>
    </w:p>
    <w:p w14:paraId="2B4FAAB3" w14:textId="77777777" w:rsidR="00F93082" w:rsidRDefault="00F93082" w:rsidP="00FE6C3D">
      <w:pPr>
        <w:pStyle w:val="Heading5"/>
      </w:pPr>
      <w:r>
        <w:t>Hours-based Outcomes</w:t>
      </w:r>
    </w:p>
    <w:p w14:paraId="1E833D61" w14:textId="4D168711" w:rsidR="009A718E" w:rsidRDefault="00F93082" w:rsidP="009A718E">
      <w:r w:rsidRPr="44F1B9E3">
        <w:t xml:space="preserve">The hours each </w:t>
      </w:r>
      <w:r>
        <w:t>P</w:t>
      </w:r>
      <w:r w:rsidRPr="44F1B9E3">
        <w:t xml:space="preserve">articipant must work to achieve an hours-based </w:t>
      </w:r>
      <w:r>
        <w:t>O</w:t>
      </w:r>
      <w:r w:rsidRPr="44F1B9E3">
        <w:t xml:space="preserve">utcome is based on their individual </w:t>
      </w:r>
      <w:r>
        <w:t>E</w:t>
      </w:r>
      <w:r w:rsidRPr="44F1B9E3">
        <w:t xml:space="preserve">mployment </w:t>
      </w:r>
      <w:r>
        <w:t>B</w:t>
      </w:r>
      <w:r w:rsidRPr="44F1B9E3">
        <w:t>enchmark</w:t>
      </w:r>
      <w:r w:rsidR="00835515">
        <w:t xml:space="preserve"> (see </w:t>
      </w:r>
      <w:r w:rsidR="00835515">
        <w:fldChar w:fldCharType="begin"/>
      </w:r>
      <w:r w:rsidR="00835515">
        <w:instrText xml:space="preserve"> REF _Ref202896917 \h </w:instrText>
      </w:r>
      <w:r w:rsidR="00835515">
        <w:fldChar w:fldCharType="separate"/>
      </w:r>
      <w:r w:rsidR="000D75AE">
        <w:rPr>
          <w:noProof/>
          <w:lang w:eastAsia="en-AU"/>
        </w:rPr>
        <w:t>11.2</w:t>
      </w:r>
      <w:r w:rsidR="00C33F1F">
        <w:rPr>
          <w:noProof/>
          <w:lang w:eastAsia="en-AU"/>
        </w:rPr>
        <w:t xml:space="preserve"> </w:t>
      </w:r>
      <w:r w:rsidR="000D75AE" w:rsidRPr="000547B1">
        <w:rPr>
          <w:noProof/>
          <w:lang w:eastAsia="en-AU"/>
        </w:rPr>
        <w:t>Employment Benchmarks</w:t>
      </w:r>
      <w:r w:rsidR="00835515">
        <w:fldChar w:fldCharType="end"/>
      </w:r>
      <w:r w:rsidR="00835515">
        <w:t>)</w:t>
      </w:r>
      <w:r>
        <w:t>.</w:t>
      </w:r>
      <w:r w:rsidR="00EC6D5B">
        <w:t xml:space="preserve"> </w:t>
      </w:r>
      <w:r w:rsidR="009A718E">
        <w:t>A Participant’s Employment Benchmark may change at any time during their Period of Service. Examples of when a Participant’s Employment Benchmark could change include:</w:t>
      </w:r>
    </w:p>
    <w:p w14:paraId="2BD666FD" w14:textId="77777777" w:rsidR="009A718E" w:rsidRDefault="009A718E" w:rsidP="009A718E">
      <w:pPr>
        <w:pStyle w:val="BulletLevel1"/>
      </w:pPr>
      <w:r>
        <w:t xml:space="preserve">following a Change of Circumstances ESAt — which assesses the Participant with a different work capacity, or </w:t>
      </w:r>
    </w:p>
    <w:p w14:paraId="5B39CCF4" w14:textId="77777777" w:rsidR="009A718E" w:rsidRDefault="009A718E" w:rsidP="009A718E">
      <w:pPr>
        <w:pStyle w:val="BulletLevel1"/>
      </w:pPr>
      <w:r>
        <w:t>if the Participant changes Income Support Payment.</w:t>
      </w:r>
    </w:p>
    <w:p w14:paraId="7F17E6E7" w14:textId="3AA49D93" w:rsidR="00F93082" w:rsidRDefault="00B4704F" w:rsidP="00F93082">
      <w:r>
        <w:t xml:space="preserve">The following table outlines the hours </w:t>
      </w:r>
      <w:r w:rsidR="00F93082" w:rsidRPr="44F1B9E3">
        <w:t xml:space="preserve">Participants must work to </w:t>
      </w:r>
      <w:r w:rsidR="00F93082">
        <w:t>achieve</w:t>
      </w:r>
      <w:r w:rsidR="00F93082" w:rsidRPr="44F1B9E3">
        <w:t xml:space="preserve"> a </w:t>
      </w:r>
      <w:r w:rsidR="00F93082">
        <w:t>F</w:t>
      </w:r>
      <w:r w:rsidR="00F93082" w:rsidRPr="44F1B9E3">
        <w:t xml:space="preserve">ull or </w:t>
      </w:r>
      <w:r w:rsidR="00F93082">
        <w:t>P</w:t>
      </w:r>
      <w:r w:rsidR="00F93082" w:rsidRPr="00C85795">
        <w:t xml:space="preserve">artial </w:t>
      </w:r>
      <w:r w:rsidR="00F93082">
        <w:t>E</w:t>
      </w:r>
      <w:r w:rsidR="00F93082" w:rsidRPr="44F1B9E3">
        <w:t xml:space="preserve">mployment </w:t>
      </w:r>
      <w:r w:rsidR="00F93082">
        <w:t>O</w:t>
      </w:r>
      <w:r w:rsidR="00F93082" w:rsidRPr="44F1B9E3">
        <w:t>utcome</w:t>
      </w:r>
      <w:r>
        <w:t>.</w:t>
      </w:r>
      <w:r w:rsidR="006D68C4">
        <w:t xml:space="preserve"> Scenarios follow in relation to claiming Outcomes where the Employment Benchmark changes during the </w:t>
      </w:r>
      <w:r w:rsidR="00FB5E34">
        <w:t>Outcome period.</w:t>
      </w:r>
    </w:p>
    <w:p w14:paraId="29241B05" w14:textId="10E91477" w:rsidR="00B4704F" w:rsidRDefault="00B4704F" w:rsidP="00B4704F">
      <w:pPr>
        <w:pStyle w:val="TableChartHeading"/>
      </w:pPr>
      <w:r>
        <w:t>Required hours for achievement of hours-based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693"/>
        <w:gridCol w:w="1210"/>
        <w:gridCol w:w="1448"/>
        <w:gridCol w:w="1448"/>
        <w:gridCol w:w="1448"/>
        <w:gridCol w:w="1448"/>
        <w:gridCol w:w="1448"/>
      </w:tblGrid>
      <w:tr w:rsidR="00F93082" w14:paraId="2AE13BE9" w14:textId="77777777" w:rsidTr="00286ED0">
        <w:trPr>
          <w:trHeight w:val="300"/>
          <w:tblHeader/>
        </w:trPr>
        <w:tc>
          <w:tcPr>
            <w:tcW w:w="1693" w:type="dxa"/>
            <w:vMerge w:val="restart"/>
            <w:tcBorders>
              <w:top w:val="single" w:sz="4" w:space="0" w:color="auto"/>
              <w:left w:val="single" w:sz="4" w:space="0" w:color="auto"/>
              <w:right w:val="single" w:sz="4" w:space="0" w:color="auto"/>
            </w:tcBorders>
            <w:shd w:val="clear" w:color="auto" w:fill="B1E4E3" w:themeFill="accent3"/>
            <w:tcMar>
              <w:left w:w="105" w:type="dxa"/>
              <w:right w:w="105" w:type="dxa"/>
            </w:tcMar>
          </w:tcPr>
          <w:p w14:paraId="53021EB5" w14:textId="77777777" w:rsidR="00F93082" w:rsidRPr="00D664B2" w:rsidRDefault="00F93082">
            <w:pPr>
              <w:pStyle w:val="TableText"/>
              <w:rPr>
                <w:b/>
                <w:bCs/>
              </w:rPr>
            </w:pPr>
            <w:r w:rsidRPr="00D664B2">
              <w:rPr>
                <w:b/>
                <w:bCs/>
              </w:rPr>
              <w:t>Employment Benchmark</w:t>
            </w:r>
          </w:p>
        </w:tc>
        <w:tc>
          <w:tcPr>
            <w:tcW w:w="4106" w:type="dxa"/>
            <w:gridSpan w:val="3"/>
            <w:tcBorders>
              <w:top w:val="single" w:sz="4" w:space="0" w:color="auto"/>
              <w:left w:val="single" w:sz="4" w:space="0" w:color="auto"/>
              <w:right w:val="single" w:sz="4" w:space="0" w:color="auto"/>
            </w:tcBorders>
            <w:shd w:val="clear" w:color="auto" w:fill="B1E4E3" w:themeFill="accent3"/>
            <w:tcMar>
              <w:left w:w="105" w:type="dxa"/>
              <w:right w:w="105" w:type="dxa"/>
            </w:tcMar>
          </w:tcPr>
          <w:p w14:paraId="1360EA16" w14:textId="77777777" w:rsidR="00F93082" w:rsidRPr="00E34A5C" w:rsidRDefault="00F93082">
            <w:pPr>
              <w:pStyle w:val="TableText"/>
              <w:jc w:val="center"/>
              <w:rPr>
                <w:rFonts w:ascii="Tahoma" w:eastAsia="Tahoma" w:hAnsi="Tahoma" w:cs="Tahoma"/>
                <w:b/>
                <w:bCs/>
                <w:szCs w:val="22"/>
              </w:rPr>
            </w:pPr>
            <w:r w:rsidRPr="00E34A5C">
              <w:rPr>
                <w:rFonts w:ascii="Tahoma" w:eastAsia="Tahoma" w:hAnsi="Tahoma" w:cs="Tahoma"/>
                <w:b/>
                <w:bCs/>
                <w:szCs w:val="22"/>
              </w:rPr>
              <w:t>Full Outcome – required hours</w:t>
            </w:r>
          </w:p>
        </w:tc>
        <w:tc>
          <w:tcPr>
            <w:tcW w:w="4344" w:type="dxa"/>
            <w:gridSpan w:val="3"/>
            <w:tcBorders>
              <w:top w:val="single" w:sz="4" w:space="0" w:color="auto"/>
              <w:left w:val="single" w:sz="4" w:space="0" w:color="auto"/>
              <w:right w:val="single" w:sz="4" w:space="0" w:color="auto"/>
            </w:tcBorders>
            <w:shd w:val="clear" w:color="auto" w:fill="B1E4E3" w:themeFill="accent3"/>
            <w:tcMar>
              <w:left w:w="105" w:type="dxa"/>
              <w:right w:w="105" w:type="dxa"/>
            </w:tcMar>
          </w:tcPr>
          <w:p w14:paraId="080109CA" w14:textId="77777777" w:rsidR="00F93082" w:rsidRPr="00E34A5C" w:rsidRDefault="00F93082">
            <w:pPr>
              <w:pStyle w:val="TableText"/>
              <w:jc w:val="center"/>
              <w:rPr>
                <w:rFonts w:ascii="Tahoma" w:eastAsia="Tahoma" w:hAnsi="Tahoma" w:cs="Tahoma"/>
                <w:b/>
                <w:bCs/>
                <w:szCs w:val="22"/>
              </w:rPr>
            </w:pPr>
            <w:r w:rsidRPr="00E34A5C">
              <w:rPr>
                <w:rFonts w:ascii="Tahoma" w:eastAsia="Tahoma" w:hAnsi="Tahoma" w:cs="Tahoma"/>
                <w:b/>
                <w:bCs/>
                <w:szCs w:val="22"/>
              </w:rPr>
              <w:t>Partial Outcome – required hours</w:t>
            </w:r>
          </w:p>
        </w:tc>
      </w:tr>
      <w:tr w:rsidR="00F93082" w14:paraId="1DF0F50B" w14:textId="77777777" w:rsidTr="00286ED0">
        <w:trPr>
          <w:trHeight w:val="300"/>
          <w:tblHeader/>
        </w:trPr>
        <w:tc>
          <w:tcPr>
            <w:tcW w:w="1693" w:type="dxa"/>
            <w:vMerge/>
            <w:tcBorders>
              <w:left w:val="single" w:sz="4" w:space="0" w:color="auto"/>
              <w:bottom w:val="single" w:sz="4" w:space="0" w:color="auto"/>
              <w:right w:val="single" w:sz="4" w:space="0" w:color="auto"/>
            </w:tcBorders>
            <w:shd w:val="clear" w:color="auto" w:fill="B1E4E3" w:themeFill="accent3"/>
            <w:vAlign w:val="center"/>
          </w:tcPr>
          <w:p w14:paraId="1DC435F5" w14:textId="77777777" w:rsidR="00F93082" w:rsidRPr="00B4704F" w:rsidRDefault="00F93082">
            <w:pPr>
              <w:pStyle w:val="TableText"/>
              <w:rPr>
                <w:b/>
              </w:rPr>
            </w:pPr>
          </w:p>
        </w:tc>
        <w:tc>
          <w:tcPr>
            <w:tcW w:w="1210" w:type="dxa"/>
            <w:tcBorders>
              <w:left w:val="single" w:sz="4" w:space="0" w:color="auto"/>
              <w:bottom w:val="single" w:sz="4" w:space="0" w:color="auto"/>
            </w:tcBorders>
            <w:shd w:val="clear" w:color="auto" w:fill="B1E4E3" w:themeFill="accent3"/>
            <w:tcMar>
              <w:left w:w="105" w:type="dxa"/>
              <w:right w:w="105" w:type="dxa"/>
            </w:tcMar>
          </w:tcPr>
          <w:p w14:paraId="0B56C974"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12-week</w:t>
            </w:r>
          </w:p>
        </w:tc>
        <w:tc>
          <w:tcPr>
            <w:tcW w:w="1448" w:type="dxa"/>
            <w:tcBorders>
              <w:bottom w:val="single" w:sz="4" w:space="0" w:color="auto"/>
            </w:tcBorders>
            <w:shd w:val="clear" w:color="auto" w:fill="B1E4E3" w:themeFill="accent3"/>
            <w:tcMar>
              <w:left w:w="105" w:type="dxa"/>
              <w:right w:w="105" w:type="dxa"/>
            </w:tcMar>
          </w:tcPr>
          <w:p w14:paraId="1B7B2BA1"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26-week</w:t>
            </w:r>
          </w:p>
        </w:tc>
        <w:tc>
          <w:tcPr>
            <w:tcW w:w="1448" w:type="dxa"/>
            <w:tcBorders>
              <w:bottom w:val="single" w:sz="4" w:space="0" w:color="auto"/>
              <w:right w:val="single" w:sz="4" w:space="0" w:color="auto"/>
            </w:tcBorders>
            <w:shd w:val="clear" w:color="auto" w:fill="B1E4E3" w:themeFill="accent3"/>
            <w:tcMar>
              <w:left w:w="105" w:type="dxa"/>
              <w:right w:w="105" w:type="dxa"/>
            </w:tcMar>
          </w:tcPr>
          <w:p w14:paraId="5F4573B6"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52-week</w:t>
            </w:r>
          </w:p>
        </w:tc>
        <w:tc>
          <w:tcPr>
            <w:tcW w:w="1448" w:type="dxa"/>
            <w:tcBorders>
              <w:left w:val="single" w:sz="4" w:space="0" w:color="auto"/>
              <w:bottom w:val="single" w:sz="4" w:space="0" w:color="auto"/>
            </w:tcBorders>
            <w:shd w:val="clear" w:color="auto" w:fill="B1E4E3" w:themeFill="accent3"/>
            <w:tcMar>
              <w:left w:w="105" w:type="dxa"/>
              <w:right w:w="105" w:type="dxa"/>
            </w:tcMar>
          </w:tcPr>
          <w:p w14:paraId="0674FE1D"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12-week</w:t>
            </w:r>
          </w:p>
        </w:tc>
        <w:tc>
          <w:tcPr>
            <w:tcW w:w="1448" w:type="dxa"/>
            <w:tcBorders>
              <w:bottom w:val="single" w:sz="4" w:space="0" w:color="auto"/>
            </w:tcBorders>
            <w:shd w:val="clear" w:color="auto" w:fill="B1E4E3" w:themeFill="accent3"/>
            <w:tcMar>
              <w:left w:w="105" w:type="dxa"/>
              <w:right w:w="105" w:type="dxa"/>
            </w:tcMar>
          </w:tcPr>
          <w:p w14:paraId="51454EB7"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26-week</w:t>
            </w:r>
          </w:p>
        </w:tc>
        <w:tc>
          <w:tcPr>
            <w:tcW w:w="1448" w:type="dxa"/>
            <w:tcBorders>
              <w:bottom w:val="single" w:sz="4" w:space="0" w:color="auto"/>
              <w:right w:val="single" w:sz="4" w:space="0" w:color="auto"/>
            </w:tcBorders>
            <w:shd w:val="clear" w:color="auto" w:fill="B1E4E3" w:themeFill="accent3"/>
            <w:tcMar>
              <w:left w:w="105" w:type="dxa"/>
              <w:right w:w="105" w:type="dxa"/>
            </w:tcMar>
          </w:tcPr>
          <w:p w14:paraId="6AE99473" w14:textId="77777777" w:rsidR="00F93082" w:rsidRPr="00B4704F" w:rsidRDefault="00F93082">
            <w:pPr>
              <w:pStyle w:val="TableText"/>
              <w:jc w:val="center"/>
              <w:rPr>
                <w:rFonts w:ascii="Tahoma" w:eastAsia="Tahoma" w:hAnsi="Tahoma" w:cs="Tahoma"/>
                <w:b/>
                <w:szCs w:val="22"/>
              </w:rPr>
            </w:pPr>
            <w:r w:rsidRPr="00B4704F">
              <w:rPr>
                <w:rFonts w:ascii="Tahoma" w:eastAsia="Tahoma" w:hAnsi="Tahoma" w:cs="Tahoma"/>
                <w:b/>
                <w:szCs w:val="22"/>
              </w:rPr>
              <w:t>52-week</w:t>
            </w:r>
          </w:p>
        </w:tc>
      </w:tr>
      <w:tr w:rsidR="00F93082" w14:paraId="4C0470FE" w14:textId="77777777" w:rsidTr="00286ED0">
        <w:trPr>
          <w:trHeight w:val="300"/>
        </w:trPr>
        <w:tc>
          <w:tcPr>
            <w:tcW w:w="1693" w:type="dxa"/>
            <w:tcBorders>
              <w:top w:val="single" w:sz="4" w:space="0" w:color="auto"/>
              <w:left w:val="single" w:sz="4" w:space="0" w:color="auto"/>
              <w:bottom w:val="single" w:sz="4" w:space="0" w:color="auto"/>
              <w:right w:val="single" w:sz="4" w:space="0" w:color="auto"/>
            </w:tcBorders>
            <w:tcMar>
              <w:left w:w="105" w:type="dxa"/>
              <w:right w:w="105" w:type="dxa"/>
            </w:tcMar>
          </w:tcPr>
          <w:p w14:paraId="3FF564D0" w14:textId="1BDB39E7" w:rsidR="00F93082" w:rsidRPr="44F1B9E3" w:rsidRDefault="00F93082">
            <w:pPr>
              <w:pStyle w:val="TableText"/>
            </w:pPr>
            <w:r>
              <w:t xml:space="preserve">0 </w:t>
            </w:r>
            <w:r w:rsidR="00B4704F">
              <w:t>hours</w:t>
            </w:r>
          </w:p>
        </w:tc>
        <w:tc>
          <w:tcPr>
            <w:tcW w:w="1210" w:type="dxa"/>
            <w:tcBorders>
              <w:top w:val="single" w:sz="4" w:space="0" w:color="auto"/>
              <w:left w:val="single" w:sz="4" w:space="0" w:color="auto"/>
              <w:bottom w:val="single" w:sz="4" w:space="0" w:color="auto"/>
            </w:tcBorders>
            <w:tcMar>
              <w:left w:w="105" w:type="dxa"/>
              <w:right w:w="105" w:type="dxa"/>
            </w:tcMar>
          </w:tcPr>
          <w:p w14:paraId="442953C8" w14:textId="7819FD31" w:rsidR="00F93082" w:rsidRPr="00E34A5C" w:rsidRDefault="00F93082">
            <w:pPr>
              <w:pStyle w:val="TableText"/>
              <w:jc w:val="center"/>
            </w:pPr>
          </w:p>
        </w:tc>
        <w:tc>
          <w:tcPr>
            <w:tcW w:w="1448" w:type="dxa"/>
            <w:tcBorders>
              <w:top w:val="single" w:sz="4" w:space="0" w:color="auto"/>
              <w:bottom w:val="single" w:sz="4" w:space="0" w:color="auto"/>
            </w:tcBorders>
            <w:tcMar>
              <w:left w:w="105" w:type="dxa"/>
              <w:right w:w="105" w:type="dxa"/>
            </w:tcMar>
          </w:tcPr>
          <w:p w14:paraId="007FFFCB" w14:textId="31A3E3DF" w:rsidR="00F93082" w:rsidRPr="00E34A5C" w:rsidRDefault="005B3523">
            <w:pPr>
              <w:pStyle w:val="TableText"/>
              <w:jc w:val="center"/>
            </w:pPr>
            <w:r>
              <w:t>See below*</w:t>
            </w:r>
          </w:p>
        </w:tc>
        <w:tc>
          <w:tcPr>
            <w:tcW w:w="1448" w:type="dxa"/>
            <w:tcBorders>
              <w:top w:val="single" w:sz="4" w:space="0" w:color="auto"/>
              <w:bottom w:val="single" w:sz="4" w:space="0" w:color="auto"/>
              <w:right w:val="single" w:sz="4" w:space="0" w:color="auto"/>
            </w:tcBorders>
            <w:tcMar>
              <w:left w:w="105" w:type="dxa"/>
              <w:right w:w="105" w:type="dxa"/>
            </w:tcMar>
          </w:tcPr>
          <w:p w14:paraId="4984C3F2" w14:textId="2F190334" w:rsidR="00F93082" w:rsidRPr="00E34A5C" w:rsidRDefault="00F93082">
            <w:pPr>
              <w:pStyle w:val="TableText"/>
              <w:jc w:val="center"/>
            </w:pPr>
          </w:p>
        </w:tc>
        <w:tc>
          <w:tcPr>
            <w:tcW w:w="1448" w:type="dxa"/>
            <w:tcBorders>
              <w:top w:val="single" w:sz="4" w:space="0" w:color="auto"/>
              <w:left w:val="single" w:sz="4" w:space="0" w:color="auto"/>
              <w:bottom w:val="single" w:sz="4" w:space="0" w:color="auto"/>
            </w:tcBorders>
            <w:tcMar>
              <w:left w:w="105" w:type="dxa"/>
              <w:right w:w="105" w:type="dxa"/>
            </w:tcMar>
          </w:tcPr>
          <w:p w14:paraId="055DF369" w14:textId="77777777" w:rsidR="00F93082" w:rsidRPr="00E34A5C" w:rsidRDefault="00F93082">
            <w:pPr>
              <w:pStyle w:val="TableText"/>
              <w:jc w:val="center"/>
            </w:pPr>
            <w:r w:rsidRPr="00E34A5C">
              <w:t>60</w:t>
            </w:r>
          </w:p>
        </w:tc>
        <w:tc>
          <w:tcPr>
            <w:tcW w:w="1448" w:type="dxa"/>
            <w:tcBorders>
              <w:top w:val="single" w:sz="4" w:space="0" w:color="auto"/>
              <w:bottom w:val="single" w:sz="4" w:space="0" w:color="auto"/>
            </w:tcBorders>
            <w:tcMar>
              <w:left w:w="105" w:type="dxa"/>
              <w:right w:w="105" w:type="dxa"/>
            </w:tcMar>
          </w:tcPr>
          <w:p w14:paraId="004FAF95" w14:textId="77777777" w:rsidR="00F93082" w:rsidRPr="00E34A5C" w:rsidRDefault="00F93082">
            <w:pPr>
              <w:pStyle w:val="TableText"/>
              <w:jc w:val="center"/>
            </w:pPr>
            <w:r w:rsidRPr="00E34A5C">
              <w:t>130</w:t>
            </w:r>
          </w:p>
        </w:tc>
        <w:tc>
          <w:tcPr>
            <w:tcW w:w="1448" w:type="dxa"/>
            <w:tcBorders>
              <w:top w:val="single" w:sz="4" w:space="0" w:color="auto"/>
              <w:bottom w:val="single" w:sz="4" w:space="0" w:color="auto"/>
              <w:right w:val="single" w:sz="4" w:space="0" w:color="auto"/>
            </w:tcBorders>
            <w:tcMar>
              <w:left w:w="105" w:type="dxa"/>
              <w:right w:w="105" w:type="dxa"/>
            </w:tcMar>
          </w:tcPr>
          <w:p w14:paraId="0C0F8F98" w14:textId="77777777" w:rsidR="00F93082" w:rsidRPr="00E34A5C" w:rsidRDefault="00F93082">
            <w:pPr>
              <w:pStyle w:val="TableText"/>
              <w:jc w:val="center"/>
            </w:pPr>
            <w:r w:rsidRPr="00E34A5C">
              <w:t>130</w:t>
            </w:r>
          </w:p>
        </w:tc>
      </w:tr>
      <w:tr w:rsidR="00F93082" w14:paraId="3E736409" w14:textId="77777777" w:rsidTr="00286ED0">
        <w:trPr>
          <w:trHeight w:val="300"/>
        </w:trPr>
        <w:tc>
          <w:tcPr>
            <w:tcW w:w="1693" w:type="dxa"/>
            <w:tcBorders>
              <w:top w:val="single" w:sz="4" w:space="0" w:color="auto"/>
              <w:left w:val="single" w:sz="4" w:space="0" w:color="auto"/>
              <w:bottom w:val="single" w:sz="4" w:space="0" w:color="auto"/>
              <w:right w:val="single" w:sz="4" w:space="0" w:color="auto"/>
            </w:tcBorders>
            <w:tcMar>
              <w:left w:w="105" w:type="dxa"/>
              <w:right w:w="105" w:type="dxa"/>
            </w:tcMar>
          </w:tcPr>
          <w:p w14:paraId="616FA005" w14:textId="63CC9CA3" w:rsidR="00F93082" w:rsidRDefault="00F93082">
            <w:pPr>
              <w:pStyle w:val="TableText"/>
            </w:pPr>
            <w:r w:rsidRPr="44F1B9E3">
              <w:t xml:space="preserve">8 </w:t>
            </w:r>
            <w:r w:rsidR="00B4704F">
              <w:t>hours</w:t>
            </w:r>
          </w:p>
        </w:tc>
        <w:tc>
          <w:tcPr>
            <w:tcW w:w="1210" w:type="dxa"/>
            <w:tcBorders>
              <w:top w:val="single" w:sz="4" w:space="0" w:color="auto"/>
              <w:left w:val="single" w:sz="4" w:space="0" w:color="auto"/>
              <w:bottom w:val="single" w:sz="4" w:space="0" w:color="auto"/>
            </w:tcBorders>
            <w:tcMar>
              <w:left w:w="105" w:type="dxa"/>
              <w:right w:w="105" w:type="dxa"/>
            </w:tcMar>
          </w:tcPr>
          <w:p w14:paraId="125AD5FB" w14:textId="4AB6D1D6" w:rsidR="00F93082" w:rsidRPr="00E34A5C" w:rsidRDefault="00F93082">
            <w:pPr>
              <w:pStyle w:val="TableText"/>
              <w:jc w:val="center"/>
            </w:pPr>
            <w:r w:rsidRPr="00E34A5C">
              <w:t>96</w:t>
            </w:r>
          </w:p>
        </w:tc>
        <w:tc>
          <w:tcPr>
            <w:tcW w:w="1448" w:type="dxa"/>
            <w:tcBorders>
              <w:top w:val="single" w:sz="4" w:space="0" w:color="auto"/>
              <w:bottom w:val="single" w:sz="4" w:space="0" w:color="auto"/>
            </w:tcBorders>
            <w:tcMar>
              <w:left w:w="105" w:type="dxa"/>
              <w:right w:w="105" w:type="dxa"/>
            </w:tcMar>
          </w:tcPr>
          <w:p w14:paraId="41CFC2D1" w14:textId="629CDF3F" w:rsidR="00F93082" w:rsidRPr="00E34A5C" w:rsidRDefault="00F93082">
            <w:pPr>
              <w:pStyle w:val="TableText"/>
              <w:jc w:val="center"/>
            </w:pPr>
            <w:r w:rsidRPr="00E34A5C">
              <w:t>208</w:t>
            </w:r>
          </w:p>
        </w:tc>
        <w:tc>
          <w:tcPr>
            <w:tcW w:w="1448" w:type="dxa"/>
            <w:tcBorders>
              <w:top w:val="single" w:sz="4" w:space="0" w:color="auto"/>
              <w:bottom w:val="single" w:sz="4" w:space="0" w:color="auto"/>
              <w:right w:val="single" w:sz="4" w:space="0" w:color="auto"/>
            </w:tcBorders>
            <w:tcMar>
              <w:left w:w="105" w:type="dxa"/>
              <w:right w:w="105" w:type="dxa"/>
            </w:tcMar>
          </w:tcPr>
          <w:p w14:paraId="5A71B473" w14:textId="372D724B" w:rsidR="00F93082" w:rsidRPr="00E34A5C" w:rsidRDefault="00F93082">
            <w:pPr>
              <w:pStyle w:val="TableText"/>
              <w:jc w:val="center"/>
            </w:pPr>
            <w:r w:rsidRPr="00E34A5C">
              <w:t>208</w:t>
            </w:r>
          </w:p>
        </w:tc>
        <w:tc>
          <w:tcPr>
            <w:tcW w:w="1448" w:type="dxa"/>
            <w:tcBorders>
              <w:top w:val="single" w:sz="4" w:space="0" w:color="auto"/>
              <w:left w:val="single" w:sz="4" w:space="0" w:color="auto"/>
              <w:bottom w:val="single" w:sz="4" w:space="0" w:color="auto"/>
            </w:tcBorders>
            <w:tcMar>
              <w:left w:w="105" w:type="dxa"/>
              <w:right w:w="105" w:type="dxa"/>
            </w:tcMar>
          </w:tcPr>
          <w:p w14:paraId="57248887" w14:textId="77777777" w:rsidR="00F93082" w:rsidRPr="00E34A5C" w:rsidRDefault="00F93082">
            <w:pPr>
              <w:pStyle w:val="TableText"/>
              <w:jc w:val="center"/>
            </w:pPr>
            <w:r w:rsidRPr="00E34A5C">
              <w:t>60</w:t>
            </w:r>
          </w:p>
        </w:tc>
        <w:tc>
          <w:tcPr>
            <w:tcW w:w="1448" w:type="dxa"/>
            <w:tcBorders>
              <w:top w:val="single" w:sz="4" w:space="0" w:color="auto"/>
              <w:bottom w:val="single" w:sz="4" w:space="0" w:color="auto"/>
            </w:tcBorders>
            <w:tcMar>
              <w:left w:w="105" w:type="dxa"/>
              <w:right w:w="105" w:type="dxa"/>
            </w:tcMar>
          </w:tcPr>
          <w:p w14:paraId="2F967A56" w14:textId="77777777" w:rsidR="00F93082" w:rsidRPr="00E34A5C" w:rsidRDefault="00F93082">
            <w:pPr>
              <w:pStyle w:val="TableText"/>
              <w:jc w:val="center"/>
            </w:pPr>
            <w:r w:rsidRPr="00E34A5C">
              <w:t>130</w:t>
            </w:r>
          </w:p>
        </w:tc>
        <w:tc>
          <w:tcPr>
            <w:tcW w:w="1448" w:type="dxa"/>
            <w:tcBorders>
              <w:top w:val="single" w:sz="4" w:space="0" w:color="auto"/>
              <w:bottom w:val="single" w:sz="4" w:space="0" w:color="auto"/>
              <w:right w:val="single" w:sz="4" w:space="0" w:color="auto"/>
            </w:tcBorders>
            <w:tcMar>
              <w:left w:w="105" w:type="dxa"/>
              <w:right w:w="105" w:type="dxa"/>
            </w:tcMar>
          </w:tcPr>
          <w:p w14:paraId="3AE0002C" w14:textId="77777777" w:rsidR="00F93082" w:rsidRPr="00E34A5C" w:rsidRDefault="00F93082">
            <w:pPr>
              <w:pStyle w:val="TableText"/>
              <w:jc w:val="center"/>
            </w:pPr>
            <w:r w:rsidRPr="00E34A5C">
              <w:t>130</w:t>
            </w:r>
          </w:p>
        </w:tc>
      </w:tr>
      <w:tr w:rsidR="00F93082" w14:paraId="01AB7A3C" w14:textId="77777777" w:rsidTr="00286ED0">
        <w:trPr>
          <w:trHeight w:val="300"/>
        </w:trPr>
        <w:tc>
          <w:tcPr>
            <w:tcW w:w="1693" w:type="dxa"/>
            <w:tcBorders>
              <w:top w:val="single" w:sz="4" w:space="0" w:color="auto"/>
              <w:left w:val="single" w:sz="4" w:space="0" w:color="auto"/>
              <w:bottom w:val="single" w:sz="4" w:space="0" w:color="auto"/>
              <w:right w:val="single" w:sz="4" w:space="0" w:color="auto"/>
            </w:tcBorders>
            <w:tcMar>
              <w:left w:w="105" w:type="dxa"/>
              <w:right w:w="105" w:type="dxa"/>
            </w:tcMar>
          </w:tcPr>
          <w:p w14:paraId="6BD1951E" w14:textId="464B4771" w:rsidR="00F93082" w:rsidRDefault="00F93082">
            <w:pPr>
              <w:pStyle w:val="TableText"/>
            </w:pPr>
            <w:r w:rsidRPr="44F1B9E3">
              <w:t xml:space="preserve">15 </w:t>
            </w:r>
            <w:r w:rsidR="00B4704F">
              <w:t>hours</w:t>
            </w:r>
          </w:p>
        </w:tc>
        <w:tc>
          <w:tcPr>
            <w:tcW w:w="1210" w:type="dxa"/>
            <w:tcBorders>
              <w:top w:val="single" w:sz="4" w:space="0" w:color="auto"/>
              <w:left w:val="single" w:sz="4" w:space="0" w:color="auto"/>
              <w:bottom w:val="single" w:sz="4" w:space="0" w:color="auto"/>
            </w:tcBorders>
            <w:tcMar>
              <w:left w:w="105" w:type="dxa"/>
              <w:right w:w="105" w:type="dxa"/>
            </w:tcMar>
          </w:tcPr>
          <w:p w14:paraId="625296A8" w14:textId="77777777" w:rsidR="00F93082" w:rsidRPr="00E34A5C" w:rsidRDefault="00F93082">
            <w:pPr>
              <w:pStyle w:val="TableText"/>
              <w:jc w:val="center"/>
            </w:pPr>
            <w:r w:rsidRPr="00E34A5C">
              <w:t>180</w:t>
            </w:r>
          </w:p>
        </w:tc>
        <w:tc>
          <w:tcPr>
            <w:tcW w:w="1448" w:type="dxa"/>
            <w:tcBorders>
              <w:top w:val="single" w:sz="4" w:space="0" w:color="auto"/>
              <w:bottom w:val="single" w:sz="4" w:space="0" w:color="auto"/>
            </w:tcBorders>
            <w:tcMar>
              <w:left w:w="105" w:type="dxa"/>
              <w:right w:w="105" w:type="dxa"/>
            </w:tcMar>
          </w:tcPr>
          <w:p w14:paraId="156AA77D" w14:textId="77777777" w:rsidR="00F93082" w:rsidRPr="00E34A5C" w:rsidRDefault="00F93082">
            <w:pPr>
              <w:pStyle w:val="TableText"/>
              <w:jc w:val="center"/>
            </w:pPr>
            <w:r w:rsidRPr="00E34A5C">
              <w:t>390</w:t>
            </w:r>
          </w:p>
        </w:tc>
        <w:tc>
          <w:tcPr>
            <w:tcW w:w="1448" w:type="dxa"/>
            <w:tcBorders>
              <w:top w:val="single" w:sz="4" w:space="0" w:color="auto"/>
              <w:bottom w:val="single" w:sz="4" w:space="0" w:color="auto"/>
              <w:right w:val="single" w:sz="4" w:space="0" w:color="auto"/>
            </w:tcBorders>
            <w:tcMar>
              <w:left w:w="105" w:type="dxa"/>
              <w:right w:w="105" w:type="dxa"/>
            </w:tcMar>
          </w:tcPr>
          <w:p w14:paraId="37A834F0" w14:textId="77777777" w:rsidR="00F93082" w:rsidRPr="00E34A5C" w:rsidRDefault="00F93082">
            <w:pPr>
              <w:pStyle w:val="TableText"/>
              <w:jc w:val="center"/>
            </w:pPr>
            <w:r w:rsidRPr="00E34A5C">
              <w:t>390</w:t>
            </w:r>
          </w:p>
        </w:tc>
        <w:tc>
          <w:tcPr>
            <w:tcW w:w="1448" w:type="dxa"/>
            <w:tcBorders>
              <w:top w:val="single" w:sz="4" w:space="0" w:color="auto"/>
              <w:left w:val="single" w:sz="4" w:space="0" w:color="auto"/>
              <w:bottom w:val="single" w:sz="4" w:space="0" w:color="auto"/>
            </w:tcBorders>
            <w:tcMar>
              <w:left w:w="105" w:type="dxa"/>
              <w:right w:w="105" w:type="dxa"/>
            </w:tcMar>
          </w:tcPr>
          <w:p w14:paraId="4B039C73" w14:textId="77777777" w:rsidR="00F93082" w:rsidRPr="00E34A5C" w:rsidRDefault="00F93082">
            <w:pPr>
              <w:pStyle w:val="TableText"/>
              <w:jc w:val="center"/>
            </w:pPr>
            <w:r w:rsidRPr="00E34A5C">
              <w:t>120</w:t>
            </w:r>
          </w:p>
        </w:tc>
        <w:tc>
          <w:tcPr>
            <w:tcW w:w="1448" w:type="dxa"/>
            <w:tcBorders>
              <w:top w:val="single" w:sz="4" w:space="0" w:color="auto"/>
              <w:bottom w:val="single" w:sz="4" w:space="0" w:color="auto"/>
            </w:tcBorders>
            <w:tcMar>
              <w:left w:w="105" w:type="dxa"/>
              <w:right w:w="105" w:type="dxa"/>
            </w:tcMar>
          </w:tcPr>
          <w:p w14:paraId="6495C9A2" w14:textId="77777777" w:rsidR="00F93082" w:rsidRPr="00E34A5C" w:rsidRDefault="00F93082">
            <w:pPr>
              <w:pStyle w:val="TableText"/>
              <w:jc w:val="center"/>
            </w:pPr>
            <w:r w:rsidRPr="00E34A5C">
              <w:t>260</w:t>
            </w:r>
          </w:p>
        </w:tc>
        <w:tc>
          <w:tcPr>
            <w:tcW w:w="1448" w:type="dxa"/>
            <w:tcBorders>
              <w:top w:val="single" w:sz="4" w:space="0" w:color="auto"/>
              <w:bottom w:val="single" w:sz="4" w:space="0" w:color="auto"/>
              <w:right w:val="single" w:sz="4" w:space="0" w:color="auto"/>
            </w:tcBorders>
            <w:tcMar>
              <w:left w:w="105" w:type="dxa"/>
              <w:right w:w="105" w:type="dxa"/>
            </w:tcMar>
          </w:tcPr>
          <w:p w14:paraId="61652E3B" w14:textId="77777777" w:rsidR="00F93082" w:rsidRPr="00E34A5C" w:rsidRDefault="00F93082">
            <w:pPr>
              <w:pStyle w:val="TableText"/>
              <w:jc w:val="center"/>
            </w:pPr>
            <w:r w:rsidRPr="00E34A5C">
              <w:t>260</w:t>
            </w:r>
          </w:p>
        </w:tc>
      </w:tr>
      <w:tr w:rsidR="00F93082" w14:paraId="650D6EC7" w14:textId="77777777" w:rsidTr="00286ED0">
        <w:trPr>
          <w:trHeight w:val="300"/>
        </w:trPr>
        <w:tc>
          <w:tcPr>
            <w:tcW w:w="1693" w:type="dxa"/>
            <w:tcBorders>
              <w:top w:val="single" w:sz="4" w:space="0" w:color="auto"/>
              <w:left w:val="single" w:sz="4" w:space="0" w:color="auto"/>
              <w:bottom w:val="single" w:sz="4" w:space="0" w:color="auto"/>
              <w:right w:val="single" w:sz="4" w:space="0" w:color="auto"/>
            </w:tcBorders>
            <w:tcMar>
              <w:left w:w="105" w:type="dxa"/>
              <w:right w:w="105" w:type="dxa"/>
            </w:tcMar>
          </w:tcPr>
          <w:p w14:paraId="2A7CF962" w14:textId="7896CFAA" w:rsidR="00F93082" w:rsidRDefault="00F93082">
            <w:pPr>
              <w:pStyle w:val="TableText"/>
            </w:pPr>
            <w:r w:rsidRPr="44F1B9E3">
              <w:t xml:space="preserve">23 </w:t>
            </w:r>
            <w:r w:rsidR="00B4704F">
              <w:t>hours</w:t>
            </w:r>
          </w:p>
        </w:tc>
        <w:tc>
          <w:tcPr>
            <w:tcW w:w="1210" w:type="dxa"/>
            <w:tcBorders>
              <w:top w:val="single" w:sz="4" w:space="0" w:color="auto"/>
              <w:left w:val="single" w:sz="4" w:space="0" w:color="auto"/>
              <w:bottom w:val="single" w:sz="4" w:space="0" w:color="auto"/>
            </w:tcBorders>
            <w:tcMar>
              <w:left w:w="105" w:type="dxa"/>
              <w:right w:w="105" w:type="dxa"/>
            </w:tcMar>
          </w:tcPr>
          <w:p w14:paraId="1777F72D" w14:textId="77777777" w:rsidR="00F93082" w:rsidRPr="00E34A5C" w:rsidRDefault="00F93082">
            <w:pPr>
              <w:pStyle w:val="TableText"/>
              <w:jc w:val="center"/>
            </w:pPr>
            <w:r w:rsidRPr="00E34A5C">
              <w:t>276</w:t>
            </w:r>
          </w:p>
        </w:tc>
        <w:tc>
          <w:tcPr>
            <w:tcW w:w="1448" w:type="dxa"/>
            <w:tcBorders>
              <w:top w:val="single" w:sz="4" w:space="0" w:color="auto"/>
              <w:bottom w:val="single" w:sz="4" w:space="0" w:color="auto"/>
            </w:tcBorders>
            <w:tcMar>
              <w:left w:w="105" w:type="dxa"/>
              <w:right w:w="105" w:type="dxa"/>
            </w:tcMar>
          </w:tcPr>
          <w:p w14:paraId="70524A45" w14:textId="77777777" w:rsidR="00F93082" w:rsidRPr="00E34A5C" w:rsidRDefault="00F93082">
            <w:pPr>
              <w:pStyle w:val="TableText"/>
              <w:jc w:val="center"/>
            </w:pPr>
            <w:r w:rsidRPr="00E34A5C">
              <w:t>598</w:t>
            </w:r>
          </w:p>
        </w:tc>
        <w:tc>
          <w:tcPr>
            <w:tcW w:w="1448" w:type="dxa"/>
            <w:tcBorders>
              <w:top w:val="single" w:sz="4" w:space="0" w:color="auto"/>
              <w:bottom w:val="single" w:sz="4" w:space="0" w:color="auto"/>
              <w:right w:val="single" w:sz="4" w:space="0" w:color="auto"/>
            </w:tcBorders>
            <w:tcMar>
              <w:left w:w="105" w:type="dxa"/>
              <w:right w:w="105" w:type="dxa"/>
            </w:tcMar>
          </w:tcPr>
          <w:p w14:paraId="1FF81980" w14:textId="77777777" w:rsidR="00F93082" w:rsidRPr="00E34A5C" w:rsidRDefault="00F93082">
            <w:pPr>
              <w:pStyle w:val="TableText"/>
              <w:jc w:val="center"/>
            </w:pPr>
            <w:r w:rsidRPr="00E34A5C">
              <w:t>598</w:t>
            </w:r>
          </w:p>
        </w:tc>
        <w:tc>
          <w:tcPr>
            <w:tcW w:w="1448" w:type="dxa"/>
            <w:tcBorders>
              <w:top w:val="single" w:sz="4" w:space="0" w:color="auto"/>
              <w:left w:val="single" w:sz="4" w:space="0" w:color="auto"/>
              <w:bottom w:val="single" w:sz="4" w:space="0" w:color="auto"/>
            </w:tcBorders>
            <w:tcMar>
              <w:left w:w="105" w:type="dxa"/>
              <w:right w:w="105" w:type="dxa"/>
            </w:tcMar>
          </w:tcPr>
          <w:p w14:paraId="0BF714A7" w14:textId="77777777" w:rsidR="00F93082" w:rsidRPr="00E34A5C" w:rsidRDefault="00F93082">
            <w:pPr>
              <w:pStyle w:val="TableText"/>
              <w:jc w:val="center"/>
            </w:pPr>
            <w:r w:rsidRPr="00E34A5C">
              <w:t>180</w:t>
            </w:r>
          </w:p>
        </w:tc>
        <w:tc>
          <w:tcPr>
            <w:tcW w:w="1448" w:type="dxa"/>
            <w:tcBorders>
              <w:top w:val="single" w:sz="4" w:space="0" w:color="auto"/>
              <w:bottom w:val="single" w:sz="4" w:space="0" w:color="auto"/>
            </w:tcBorders>
            <w:tcMar>
              <w:left w:w="105" w:type="dxa"/>
              <w:right w:w="105" w:type="dxa"/>
            </w:tcMar>
          </w:tcPr>
          <w:p w14:paraId="20DFF348" w14:textId="77777777" w:rsidR="00F93082" w:rsidRPr="00E34A5C" w:rsidRDefault="00F93082">
            <w:pPr>
              <w:pStyle w:val="TableText"/>
              <w:jc w:val="center"/>
            </w:pPr>
            <w:r w:rsidRPr="00E34A5C">
              <w:t>390</w:t>
            </w:r>
          </w:p>
        </w:tc>
        <w:tc>
          <w:tcPr>
            <w:tcW w:w="1448" w:type="dxa"/>
            <w:tcBorders>
              <w:top w:val="single" w:sz="4" w:space="0" w:color="auto"/>
              <w:bottom w:val="single" w:sz="4" w:space="0" w:color="auto"/>
              <w:right w:val="single" w:sz="4" w:space="0" w:color="auto"/>
            </w:tcBorders>
            <w:tcMar>
              <w:left w:w="105" w:type="dxa"/>
              <w:right w:w="105" w:type="dxa"/>
            </w:tcMar>
          </w:tcPr>
          <w:p w14:paraId="4A84D5DD" w14:textId="77777777" w:rsidR="00F93082" w:rsidRPr="00E34A5C" w:rsidRDefault="00F93082">
            <w:pPr>
              <w:pStyle w:val="TableText"/>
              <w:jc w:val="center"/>
            </w:pPr>
            <w:r w:rsidRPr="00E34A5C">
              <w:t>390</w:t>
            </w:r>
          </w:p>
        </w:tc>
      </w:tr>
      <w:tr w:rsidR="00F93082" w14:paraId="1BA23D20" w14:textId="77777777" w:rsidTr="00286ED0">
        <w:trPr>
          <w:trHeight w:val="207"/>
        </w:trPr>
        <w:tc>
          <w:tcPr>
            <w:tcW w:w="1693" w:type="dxa"/>
            <w:tcBorders>
              <w:top w:val="single" w:sz="4" w:space="0" w:color="auto"/>
              <w:left w:val="single" w:sz="4" w:space="0" w:color="auto"/>
              <w:bottom w:val="single" w:sz="4" w:space="0" w:color="auto"/>
              <w:right w:val="single" w:sz="4" w:space="0" w:color="auto"/>
            </w:tcBorders>
            <w:tcMar>
              <w:left w:w="105" w:type="dxa"/>
              <w:right w:w="105" w:type="dxa"/>
            </w:tcMar>
          </w:tcPr>
          <w:p w14:paraId="4F5FACEC" w14:textId="40CD3247" w:rsidR="00F93082" w:rsidRDefault="00F93082">
            <w:pPr>
              <w:pStyle w:val="TableText"/>
            </w:pPr>
            <w:r w:rsidRPr="44F1B9E3">
              <w:t xml:space="preserve">30 </w:t>
            </w:r>
            <w:r w:rsidR="00B4704F">
              <w:t>hours</w:t>
            </w:r>
          </w:p>
        </w:tc>
        <w:tc>
          <w:tcPr>
            <w:tcW w:w="1210" w:type="dxa"/>
            <w:tcBorders>
              <w:top w:val="single" w:sz="4" w:space="0" w:color="auto"/>
              <w:left w:val="single" w:sz="4" w:space="0" w:color="auto"/>
              <w:bottom w:val="single" w:sz="4" w:space="0" w:color="auto"/>
            </w:tcBorders>
            <w:tcMar>
              <w:left w:w="105" w:type="dxa"/>
              <w:right w:w="105" w:type="dxa"/>
            </w:tcMar>
          </w:tcPr>
          <w:p w14:paraId="2479B167" w14:textId="77777777" w:rsidR="00F93082" w:rsidRPr="00E34A5C" w:rsidRDefault="00F93082">
            <w:pPr>
              <w:pStyle w:val="TableText"/>
              <w:jc w:val="center"/>
            </w:pPr>
            <w:r w:rsidRPr="00E34A5C">
              <w:t>360</w:t>
            </w:r>
          </w:p>
        </w:tc>
        <w:tc>
          <w:tcPr>
            <w:tcW w:w="1448" w:type="dxa"/>
            <w:tcBorders>
              <w:top w:val="single" w:sz="4" w:space="0" w:color="auto"/>
              <w:bottom w:val="single" w:sz="4" w:space="0" w:color="auto"/>
            </w:tcBorders>
            <w:tcMar>
              <w:left w:w="105" w:type="dxa"/>
              <w:right w:w="105" w:type="dxa"/>
            </w:tcMar>
          </w:tcPr>
          <w:p w14:paraId="6B9783D3" w14:textId="77777777" w:rsidR="00F93082" w:rsidRPr="00E34A5C" w:rsidRDefault="00F93082">
            <w:pPr>
              <w:pStyle w:val="TableText"/>
              <w:jc w:val="center"/>
            </w:pPr>
            <w:r w:rsidRPr="00E34A5C">
              <w:t>780</w:t>
            </w:r>
          </w:p>
        </w:tc>
        <w:tc>
          <w:tcPr>
            <w:tcW w:w="1448" w:type="dxa"/>
            <w:tcBorders>
              <w:top w:val="single" w:sz="4" w:space="0" w:color="auto"/>
              <w:bottom w:val="single" w:sz="4" w:space="0" w:color="auto"/>
              <w:right w:val="single" w:sz="4" w:space="0" w:color="auto"/>
            </w:tcBorders>
            <w:tcMar>
              <w:left w:w="105" w:type="dxa"/>
              <w:right w:w="105" w:type="dxa"/>
            </w:tcMar>
          </w:tcPr>
          <w:p w14:paraId="2EA91377" w14:textId="77777777" w:rsidR="00F93082" w:rsidRPr="00E34A5C" w:rsidRDefault="00F93082">
            <w:pPr>
              <w:pStyle w:val="TableText"/>
              <w:jc w:val="center"/>
            </w:pPr>
            <w:r w:rsidRPr="00E34A5C">
              <w:t>780</w:t>
            </w:r>
          </w:p>
        </w:tc>
        <w:tc>
          <w:tcPr>
            <w:tcW w:w="1448" w:type="dxa"/>
            <w:tcBorders>
              <w:top w:val="single" w:sz="4" w:space="0" w:color="auto"/>
              <w:left w:val="single" w:sz="4" w:space="0" w:color="auto"/>
              <w:bottom w:val="single" w:sz="4" w:space="0" w:color="auto"/>
            </w:tcBorders>
            <w:tcMar>
              <w:left w:w="105" w:type="dxa"/>
              <w:right w:w="105" w:type="dxa"/>
            </w:tcMar>
          </w:tcPr>
          <w:p w14:paraId="275C7F98" w14:textId="77777777" w:rsidR="00F93082" w:rsidRPr="00E34A5C" w:rsidRDefault="00F93082">
            <w:pPr>
              <w:pStyle w:val="TableText"/>
              <w:jc w:val="center"/>
            </w:pPr>
            <w:r w:rsidRPr="00E34A5C">
              <w:t>240</w:t>
            </w:r>
          </w:p>
        </w:tc>
        <w:tc>
          <w:tcPr>
            <w:tcW w:w="1448" w:type="dxa"/>
            <w:tcBorders>
              <w:top w:val="single" w:sz="4" w:space="0" w:color="auto"/>
              <w:bottom w:val="single" w:sz="4" w:space="0" w:color="auto"/>
            </w:tcBorders>
            <w:tcMar>
              <w:left w:w="105" w:type="dxa"/>
              <w:right w:w="105" w:type="dxa"/>
            </w:tcMar>
          </w:tcPr>
          <w:p w14:paraId="2297A903" w14:textId="77777777" w:rsidR="00F93082" w:rsidRPr="00E34A5C" w:rsidRDefault="00F93082">
            <w:pPr>
              <w:pStyle w:val="TableText"/>
              <w:jc w:val="center"/>
            </w:pPr>
            <w:r w:rsidRPr="00E34A5C">
              <w:t>520</w:t>
            </w:r>
          </w:p>
        </w:tc>
        <w:tc>
          <w:tcPr>
            <w:tcW w:w="1448" w:type="dxa"/>
            <w:tcBorders>
              <w:top w:val="single" w:sz="4" w:space="0" w:color="auto"/>
              <w:bottom w:val="single" w:sz="4" w:space="0" w:color="auto"/>
              <w:right w:val="single" w:sz="4" w:space="0" w:color="auto"/>
            </w:tcBorders>
            <w:tcMar>
              <w:left w:w="105" w:type="dxa"/>
              <w:right w:w="105" w:type="dxa"/>
            </w:tcMar>
          </w:tcPr>
          <w:p w14:paraId="2F3B93CF" w14:textId="77777777" w:rsidR="00F93082" w:rsidRPr="00E34A5C" w:rsidRDefault="00F93082">
            <w:pPr>
              <w:pStyle w:val="TableText"/>
              <w:jc w:val="center"/>
            </w:pPr>
            <w:r w:rsidRPr="00E34A5C">
              <w:t>520</w:t>
            </w:r>
          </w:p>
        </w:tc>
      </w:tr>
    </w:tbl>
    <w:p w14:paraId="4976210A" w14:textId="2FAA1451" w:rsidR="005B3523" w:rsidRDefault="00F93082" w:rsidP="00F93082">
      <w:pPr>
        <w:rPr>
          <w:lang w:eastAsia="en-AU"/>
        </w:rPr>
      </w:pPr>
      <w:r w:rsidRPr="00A119AF">
        <w:rPr>
          <w:lang w:eastAsia="en-AU"/>
        </w:rPr>
        <w:t xml:space="preserve">* Participants with an Employment Benchmark of </w:t>
      </w:r>
      <w:r>
        <w:rPr>
          <w:lang w:eastAsia="en-AU"/>
        </w:rPr>
        <w:t>0</w:t>
      </w:r>
      <w:r w:rsidRPr="00A119AF">
        <w:rPr>
          <w:lang w:eastAsia="en-AU"/>
        </w:rPr>
        <w:t xml:space="preserve"> hours</w:t>
      </w:r>
      <w:r w:rsidR="0073696E">
        <w:rPr>
          <w:lang w:eastAsia="en-AU"/>
        </w:rPr>
        <w:t xml:space="preserve"> can achieve a </w:t>
      </w:r>
      <w:r w:rsidRPr="00A119AF">
        <w:rPr>
          <w:lang w:eastAsia="en-AU"/>
        </w:rPr>
        <w:t xml:space="preserve">Full Outcome </w:t>
      </w:r>
      <w:r w:rsidR="005B3523">
        <w:rPr>
          <w:lang w:eastAsia="en-AU"/>
        </w:rPr>
        <w:t>by working:</w:t>
      </w:r>
    </w:p>
    <w:p w14:paraId="66A37CFC" w14:textId="6828B356" w:rsidR="005B3523" w:rsidRDefault="005B3523" w:rsidP="00B43F20">
      <w:pPr>
        <w:pStyle w:val="BulletLevel1"/>
        <w:rPr>
          <w:lang w:eastAsia="en-AU"/>
        </w:rPr>
      </w:pPr>
      <w:r>
        <w:rPr>
          <w:lang w:eastAsia="en-AU"/>
        </w:rPr>
        <w:t>the hours a Participant with an Employment Benchmark of 8 requires for a Full Outcome, or</w:t>
      </w:r>
    </w:p>
    <w:p w14:paraId="3A0FAEB2" w14:textId="4E38BD22" w:rsidR="00F93082" w:rsidRPr="00A119AF" w:rsidRDefault="00F93082" w:rsidP="00B43F20">
      <w:pPr>
        <w:pStyle w:val="BulletLevel1"/>
        <w:rPr>
          <w:lang w:eastAsia="en-AU"/>
        </w:rPr>
      </w:pPr>
      <w:r w:rsidRPr="00A119AF">
        <w:rPr>
          <w:lang w:eastAsia="en-AU"/>
        </w:rPr>
        <w:t xml:space="preserve">at least 8 hours per week </w:t>
      </w:r>
      <w:r>
        <w:rPr>
          <w:lang w:eastAsia="en-AU"/>
        </w:rPr>
        <w:t>in</w:t>
      </w:r>
      <w:r w:rsidRPr="00A119AF">
        <w:rPr>
          <w:lang w:eastAsia="en-AU"/>
        </w:rPr>
        <w:t>:</w:t>
      </w:r>
    </w:p>
    <w:p w14:paraId="06ADB3BE" w14:textId="77777777" w:rsidR="00F93082" w:rsidRPr="00300A63" w:rsidRDefault="00F93082" w:rsidP="00B43F20">
      <w:pPr>
        <w:pStyle w:val="BulletLevel2"/>
      </w:pPr>
      <w:r w:rsidRPr="00300A63">
        <w:t>9 of 12 weeks for a 12-week Employment Outcome</w:t>
      </w:r>
    </w:p>
    <w:p w14:paraId="50D521AA" w14:textId="77777777" w:rsidR="00F93082" w:rsidRPr="00300A63" w:rsidRDefault="00F93082" w:rsidP="00B43F20">
      <w:pPr>
        <w:pStyle w:val="BulletLevel2"/>
      </w:pPr>
      <w:r w:rsidRPr="00300A63">
        <w:t>20 of 26 weeks for the 26-week Employment Outcome, and</w:t>
      </w:r>
    </w:p>
    <w:p w14:paraId="1B7965F4" w14:textId="77777777" w:rsidR="00F93082" w:rsidRPr="00C85795" w:rsidRDefault="00F93082" w:rsidP="00B43F20">
      <w:pPr>
        <w:pStyle w:val="BulletLevel2"/>
      </w:pPr>
      <w:r w:rsidRPr="00300A63">
        <w:t>20 of 26 weeks for the remaining 26 weeks of the 52-week Employment Outcome.</w:t>
      </w:r>
    </w:p>
    <w:p w14:paraId="3653B439" w14:textId="77777777" w:rsidR="00CD66B6" w:rsidRDefault="00F93082" w:rsidP="00F93082">
      <w:r w:rsidRPr="00CD66B6">
        <w:rPr>
          <w:u w:val="single"/>
        </w:rPr>
        <w:t>Decrease in Employment Benchmark during any Outcome Period</w:t>
      </w:r>
      <w:r>
        <w:t xml:space="preserve"> </w:t>
      </w:r>
    </w:p>
    <w:p w14:paraId="30FC6D88" w14:textId="09A9133D" w:rsidR="00F93082" w:rsidRPr="00965833" w:rsidRDefault="00F93082" w:rsidP="00F93082">
      <w:pPr>
        <w:rPr>
          <w:highlight w:val="yellow"/>
        </w:rPr>
      </w:pPr>
      <w:r>
        <w:t xml:space="preserve">If the Provider anchors a </w:t>
      </w:r>
      <w:r w:rsidR="008E100D">
        <w:t>Job</w:t>
      </w:r>
      <w:r>
        <w:t xml:space="preserve"> Placement and the Employment Benchmark subsequently reduces, the Provider is eligible to claim an Outcome based on the lower Employment Benchmark. </w:t>
      </w:r>
    </w:p>
    <w:p w14:paraId="00F1967C" w14:textId="77777777" w:rsidR="00CD66B6" w:rsidRDefault="00F93082" w:rsidP="00F93082">
      <w:r w:rsidRPr="00CD66B6">
        <w:rPr>
          <w:u w:val="single"/>
        </w:rPr>
        <w:t>Increase in Employment Benchmark during the 12-week or 26-week Outcome Period</w:t>
      </w:r>
      <w:r>
        <w:t xml:space="preserve"> </w:t>
      </w:r>
    </w:p>
    <w:p w14:paraId="5F02B72C" w14:textId="4CA8C099" w:rsidR="00F93082" w:rsidRDefault="00F93082" w:rsidP="00F93082">
      <w:r>
        <w:t xml:space="preserve">If a Participant has already been anchored in a </w:t>
      </w:r>
      <w:r w:rsidR="008E100D">
        <w:t>Job</w:t>
      </w:r>
      <w:r>
        <w:t xml:space="preserve"> Placement and their Employment Benchmark increases within the 12-week or 26-week Outcome Period, the Provider can claim Outcome Fees: </w:t>
      </w:r>
    </w:p>
    <w:p w14:paraId="0639F8BE" w14:textId="7980FA1F" w:rsidR="00F93082" w:rsidRDefault="00F93082" w:rsidP="004E120D">
      <w:pPr>
        <w:pStyle w:val="BulletLevel1"/>
      </w:pPr>
      <w:r>
        <w:t xml:space="preserve">for both the 12-week Period and 26-week Period, based on the </w:t>
      </w:r>
      <w:r w:rsidR="00E10249">
        <w:t xml:space="preserve">lower </w:t>
      </w:r>
      <w:r>
        <w:t>Employment Benchmark that applied at the Anchor Dat</w:t>
      </w:r>
      <w:r w:rsidR="00FA5FD9">
        <w:t>e</w:t>
      </w:r>
    </w:p>
    <w:p w14:paraId="790837C2" w14:textId="4CBF7077" w:rsidR="00F93082" w:rsidRDefault="00F93082" w:rsidP="004E120D">
      <w:pPr>
        <w:pStyle w:val="BulletLevel1"/>
      </w:pPr>
      <w:r>
        <w:t>for the 52-week Period, based on the Employment Benchmark at the start of the period (i.e. after 26-week Outcome).</w:t>
      </w:r>
    </w:p>
    <w:p w14:paraId="1F4FC0B3" w14:textId="0C813741" w:rsidR="00CD66B6" w:rsidRPr="00CD66B6" w:rsidRDefault="00F93082" w:rsidP="005313C7">
      <w:pPr>
        <w:keepNext/>
        <w:rPr>
          <w:u w:val="single"/>
        </w:rPr>
      </w:pPr>
      <w:r w:rsidRPr="00CD66B6">
        <w:rPr>
          <w:u w:val="single"/>
        </w:rPr>
        <w:t>Increase in the Employment Benchmark during the 52-week Outcome Period</w:t>
      </w:r>
    </w:p>
    <w:p w14:paraId="58A283F6" w14:textId="3C9FE798" w:rsidR="00F93082" w:rsidRDefault="00F93082" w:rsidP="00F93082">
      <w:r w:rsidRPr="00576591">
        <w:t xml:space="preserve">If a Participant has already been anchored in a </w:t>
      </w:r>
      <w:r w:rsidR="008E100D">
        <w:t>Job</w:t>
      </w:r>
      <w:r w:rsidRPr="00576591">
        <w:t xml:space="preserve"> Placement and their Employment Benchmark increases within the </w:t>
      </w:r>
      <w:r>
        <w:t>5</w:t>
      </w:r>
      <w:r w:rsidRPr="00576591">
        <w:t>2-week Outcome Period</w:t>
      </w:r>
      <w:r w:rsidR="00766B4D">
        <w:t xml:space="preserve"> (that is, after the 26-Week Outcome)</w:t>
      </w:r>
      <w:r w:rsidRPr="00576591">
        <w:t>, the Provider can claim Outcome Fees</w:t>
      </w:r>
      <w:r>
        <w:t xml:space="preserve"> based upon the Employment Benchmark that applied at the end of the 26-week Period. </w:t>
      </w:r>
    </w:p>
    <w:p w14:paraId="5203474F" w14:textId="5EC863FE" w:rsidR="00831D3C" w:rsidRPr="009B5476" w:rsidRDefault="00F93082" w:rsidP="00E84083">
      <w:pPr>
        <w:pStyle w:val="Heading4"/>
      </w:pPr>
      <w:bookmarkStart w:id="497" w:name="_Toc202900092"/>
      <w:r w:rsidRPr="00E84083">
        <w:t>11.5.2</w:t>
      </w:r>
      <w:r w:rsidR="00785ACB">
        <w:tab/>
      </w:r>
      <w:r w:rsidRPr="00E84083">
        <w:t xml:space="preserve">Outcome </w:t>
      </w:r>
      <w:r w:rsidR="00F059EA" w:rsidRPr="009B5476">
        <w:t>Claim</w:t>
      </w:r>
      <w:r w:rsidR="003B064D" w:rsidRPr="00E84083">
        <w:t>ing</w:t>
      </w:r>
      <w:r w:rsidR="00F059EA" w:rsidRPr="009B5476">
        <w:t xml:space="preserve"> Methods</w:t>
      </w:r>
      <w:bookmarkEnd w:id="497"/>
    </w:p>
    <w:p w14:paraId="15CD031F" w14:textId="6E47AF9A" w:rsidR="0018111B" w:rsidRPr="0018111B" w:rsidRDefault="0018111B" w:rsidP="0018111B">
      <w:r w:rsidRPr="0018111B">
        <w:t xml:space="preserve">Providers may be able to claim </w:t>
      </w:r>
      <w:r w:rsidR="00A4738A">
        <w:t>O</w:t>
      </w:r>
      <w:r w:rsidRPr="0018111B">
        <w:t xml:space="preserve">utcome </w:t>
      </w:r>
      <w:r w:rsidR="00A4738A">
        <w:t>F</w:t>
      </w:r>
      <w:r w:rsidRPr="0018111B">
        <w:t>ees using:</w:t>
      </w:r>
    </w:p>
    <w:p w14:paraId="74FD6B3D" w14:textId="62D72BDF" w:rsidR="0018111B" w:rsidRPr="0018111B" w:rsidRDefault="0018111B" w:rsidP="00E84083">
      <w:pPr>
        <w:pStyle w:val="BulletLevel1"/>
      </w:pPr>
      <w:r w:rsidRPr="0018111B">
        <w:t xml:space="preserve">information declared to </w:t>
      </w:r>
      <w:r w:rsidR="00AD7CEE">
        <w:t>Centrelink (</w:t>
      </w:r>
      <w:r w:rsidRPr="0018111B">
        <w:t>Services Australia</w:t>
      </w:r>
      <w:r w:rsidR="00AD7CEE">
        <w:t>)</w:t>
      </w:r>
      <w:r w:rsidRPr="0018111B">
        <w:t>, if the Participant is receiving an Income Support payment, or</w:t>
      </w:r>
    </w:p>
    <w:p w14:paraId="3907FF18" w14:textId="58E5EE7D" w:rsidR="0018111B" w:rsidRPr="0018111B" w:rsidRDefault="0018111B" w:rsidP="00E84083">
      <w:pPr>
        <w:pStyle w:val="BulletLevel1"/>
      </w:pPr>
      <w:r w:rsidRPr="0018111B">
        <w:t xml:space="preserve">Documentary </w:t>
      </w:r>
      <w:r w:rsidR="00FB5E34">
        <w:t>E</w:t>
      </w:r>
      <w:r w:rsidRPr="0018111B">
        <w:t>vidence collected by the Provider.</w:t>
      </w:r>
    </w:p>
    <w:p w14:paraId="16D424C2" w14:textId="723AA635" w:rsidR="00421CD7" w:rsidRDefault="00AD7CEE" w:rsidP="0018111B">
      <w:r>
        <w:t xml:space="preserve">If a Participant is </w:t>
      </w:r>
      <w:r w:rsidR="0030059B" w:rsidRPr="0018111B">
        <w:t>receiving an Income Support Payment</w:t>
      </w:r>
      <w:r>
        <w:t>, t</w:t>
      </w:r>
      <w:r w:rsidR="0018111B" w:rsidRPr="0018111B">
        <w:t xml:space="preserve">he Department’s IT Systems will track </w:t>
      </w:r>
      <w:r w:rsidR="0030059B">
        <w:t>Employment O</w:t>
      </w:r>
      <w:r w:rsidR="0018111B" w:rsidRPr="0018111B">
        <w:t xml:space="preserve">utcomes using </w:t>
      </w:r>
      <w:r w:rsidR="0030059B">
        <w:t>the income and hours</w:t>
      </w:r>
      <w:r>
        <w:t xml:space="preserve"> </w:t>
      </w:r>
      <w:r w:rsidR="0018111B" w:rsidRPr="0018111B">
        <w:t>information</w:t>
      </w:r>
      <w:r w:rsidR="0030059B">
        <w:t xml:space="preserve"> that the Participant reports to Services Australia</w:t>
      </w:r>
      <w:r>
        <w:t>.</w:t>
      </w:r>
      <w:r w:rsidR="0018111B" w:rsidRPr="0018111B">
        <w:t xml:space="preserve"> </w:t>
      </w:r>
    </w:p>
    <w:p w14:paraId="70E9F518" w14:textId="4BDA98C1" w:rsidR="00421CD7" w:rsidRDefault="0018111B" w:rsidP="00421CD7">
      <w:r w:rsidRPr="0018111B">
        <w:t>Providers can instead choose to claim outcomes using Documentary Evidence.</w:t>
      </w:r>
      <w:r w:rsidR="00421CD7">
        <w:t xml:space="preserve"> This may be used for:</w:t>
      </w:r>
    </w:p>
    <w:p w14:paraId="5A6C7FB2" w14:textId="77777777" w:rsidR="00421CD7" w:rsidRDefault="00421CD7" w:rsidP="00421CD7">
      <w:pPr>
        <w:pStyle w:val="BulletLevel1"/>
      </w:pPr>
      <w:r>
        <w:t>claims where information is incomplete or not available for Participants; or</w:t>
      </w:r>
    </w:p>
    <w:p w14:paraId="0F6BB1C0" w14:textId="77777777" w:rsidR="00421CD7" w:rsidRDefault="00421CD7" w:rsidP="00421CD7">
      <w:pPr>
        <w:pStyle w:val="BulletLevel1"/>
      </w:pPr>
      <w:r>
        <w:t>claims where the Provider disagrees with the information in the Department’s IT Systems.</w:t>
      </w:r>
    </w:p>
    <w:p w14:paraId="5A15C42D" w14:textId="0510F930" w:rsidR="00DA5185" w:rsidRDefault="0018111B" w:rsidP="00862AA2">
      <w:r w:rsidRPr="0018111B">
        <w:t>If a Participant is not receiving an Income Support Payment</w:t>
      </w:r>
      <w:r w:rsidR="00F672BE">
        <w:t xml:space="preserve"> or </w:t>
      </w:r>
      <w:r w:rsidR="00845D14">
        <w:t xml:space="preserve">has an Employment Benchmark </w:t>
      </w:r>
      <w:r w:rsidR="005313C7">
        <w:t xml:space="preserve">of </w:t>
      </w:r>
      <w:r w:rsidR="00845D14">
        <w:t>0</w:t>
      </w:r>
      <w:r w:rsidR="005313C7">
        <w:noBreakHyphen/>
        <w:t>hours</w:t>
      </w:r>
      <w:r w:rsidR="00845D14">
        <w:t xml:space="preserve">, </w:t>
      </w:r>
      <w:r w:rsidRPr="0018111B">
        <w:t xml:space="preserve">the </w:t>
      </w:r>
      <w:r w:rsidR="005313C7">
        <w:t>O</w:t>
      </w:r>
      <w:r w:rsidRPr="0018111B">
        <w:t xml:space="preserve">utcome must be claimed using </w:t>
      </w:r>
      <w:r w:rsidR="0030059B">
        <w:t>D</w:t>
      </w:r>
      <w:r w:rsidRPr="0018111B">
        <w:t xml:space="preserve">ocumentary </w:t>
      </w:r>
      <w:r w:rsidR="0030059B">
        <w:t>E</w:t>
      </w:r>
      <w:r w:rsidRPr="0018111B">
        <w:t>vidence.</w:t>
      </w:r>
      <w:r w:rsidR="006905BC">
        <w:t xml:space="preserve"> </w:t>
      </w:r>
    </w:p>
    <w:p w14:paraId="64D01EF4" w14:textId="3EA1EEFB" w:rsidR="00BC4BA2" w:rsidRPr="00E84083" w:rsidRDefault="00BC4BA2" w:rsidP="00E84083">
      <w:pPr>
        <w:pStyle w:val="Heading5"/>
      </w:pPr>
      <w:bookmarkStart w:id="498" w:name="_Claiming_an_Outcome"/>
      <w:bookmarkEnd w:id="498"/>
      <w:r>
        <w:t xml:space="preserve">Claiming an </w:t>
      </w:r>
      <w:r w:rsidR="00580D4D">
        <w:t>O</w:t>
      </w:r>
      <w:r>
        <w:t xml:space="preserve">utcome based on information </w:t>
      </w:r>
      <w:r w:rsidR="00DA5185">
        <w:t>declared to Services Australia</w:t>
      </w:r>
    </w:p>
    <w:p w14:paraId="49954616" w14:textId="77777777" w:rsidR="0049485F" w:rsidRPr="0049485F" w:rsidRDefault="0049485F" w:rsidP="00E84083">
      <w:pPr>
        <w:pStyle w:val="BulletLevel1"/>
        <w:numPr>
          <w:ilvl w:val="0"/>
          <w:numId w:val="0"/>
        </w:numPr>
      </w:pPr>
      <w:r w:rsidRPr="0049485F">
        <w:t xml:space="preserve">The Department’s IT Systems will use earnings and/or hours worked information declared by the Participant to Services Australia, or entered by the Provider based on Documentary Evidence, to determine if an Outcome is payable. The Department’s IT Systems will automatically make Partial or Full Outcomes available if Outcome requirements have been met. </w:t>
      </w:r>
    </w:p>
    <w:p w14:paraId="7EAE9759" w14:textId="77777777" w:rsidR="0049485F" w:rsidRPr="0049485F" w:rsidRDefault="0049485F" w:rsidP="00E84083">
      <w:pPr>
        <w:pStyle w:val="SystemStep"/>
      </w:pPr>
      <w:r w:rsidRPr="0049485F">
        <w:t>If the Outcome requirements have been met, the Department’s IT Systems will present the Employment Outcome as available to be claimed by the Provider.</w:t>
      </w:r>
    </w:p>
    <w:p w14:paraId="0AF13DFA" w14:textId="77777777" w:rsidR="0049485F" w:rsidRPr="0049485F" w:rsidRDefault="0049485F" w:rsidP="00E84083">
      <w:pPr>
        <w:pStyle w:val="DocumentaryEvidenceRequirement"/>
        <w:ind w:left="567" w:hanging="283"/>
      </w:pPr>
      <w:r w:rsidRPr="0049485F">
        <w:t>Providers do not need to hold Documentary Evidence for Employment Outcomes where the Department’s IT Systems are able to use Services Australia data to verify that an Employment Outcome is payable.</w:t>
      </w:r>
    </w:p>
    <w:p w14:paraId="7BC59675" w14:textId="77777777" w:rsidR="0018111E" w:rsidRDefault="0018111E" w:rsidP="0018111E">
      <w:pPr>
        <w:pStyle w:val="BulletLevel1"/>
        <w:numPr>
          <w:ilvl w:val="0"/>
          <w:numId w:val="0"/>
        </w:numPr>
      </w:pPr>
      <w:r>
        <w:t xml:space="preserve">Participants report income and hours worked to Services Australia on set fortnightly periods. </w:t>
      </w:r>
    </w:p>
    <w:p w14:paraId="6629FD90" w14:textId="45583E9C" w:rsidR="0018111E" w:rsidRDefault="0018111E" w:rsidP="0018111E">
      <w:pPr>
        <w:pStyle w:val="BulletLevel1"/>
        <w:numPr>
          <w:ilvl w:val="0"/>
          <w:numId w:val="0"/>
        </w:numPr>
      </w:pPr>
      <w:r>
        <w:t xml:space="preserve">When a </w:t>
      </w:r>
      <w:r w:rsidR="004F7D9E">
        <w:t>Job P</w:t>
      </w:r>
      <w:r>
        <w:t>lacement is anchored during a fortnight:</w:t>
      </w:r>
    </w:p>
    <w:p w14:paraId="73F16F47" w14:textId="77777777" w:rsidR="0018111E" w:rsidRDefault="0018111E" w:rsidP="0018111E">
      <w:pPr>
        <w:pStyle w:val="BulletLevel1"/>
      </w:pPr>
      <w:r>
        <w:t>for hours-based outcomes, the Department’s IT Systems will count a proportion of the hours worked for the outcome period equal to the proportion of that fortnight within the outcome period. When the outcome period ends during a fortnight, it will include a similar pro-rating of hours worked during that fortnight.</w:t>
      </w:r>
    </w:p>
    <w:p w14:paraId="1046DB33" w14:textId="77777777" w:rsidR="0018111E" w:rsidRDefault="0018111E" w:rsidP="0018111E">
      <w:pPr>
        <w:pStyle w:val="BulletLevel1"/>
      </w:pPr>
      <w:r>
        <w:t>for earnings-based outcomes, the Participant must achieve a 100% reduction in their income support payments for the entire outcome period, including fortnights that cross the start or end of the outcome period.</w:t>
      </w:r>
    </w:p>
    <w:p w14:paraId="0C15A6AE" w14:textId="74487967" w:rsidR="0049485F" w:rsidRPr="00FD18A1" w:rsidRDefault="00DB3B41" w:rsidP="00E84083">
      <w:pPr>
        <w:pStyle w:val="BulletLevel1"/>
        <w:numPr>
          <w:ilvl w:val="0"/>
          <w:numId w:val="0"/>
        </w:numPr>
      </w:pPr>
      <w:r>
        <w:t xml:space="preserve">When a Permissible Break includes part of a Services Australia fortnightly reporting period, the </w:t>
      </w:r>
      <w:r w:rsidR="0081634D">
        <w:t>Department’s IT System will calculate hours and earnings based outcomes using the same pro-rata calculation</w:t>
      </w:r>
      <w:r w:rsidR="00EE27C3">
        <w:t xml:space="preserve"> (see </w:t>
      </w:r>
      <w:r w:rsidR="00EE27C3">
        <w:rPr>
          <w:highlight w:val="yellow"/>
        </w:rPr>
        <w:fldChar w:fldCharType="begin"/>
      </w:r>
      <w:r w:rsidR="00EE27C3">
        <w:instrText xml:space="preserve"> REF _Ref202892065 \h </w:instrText>
      </w:r>
      <w:r w:rsidR="00EE27C3">
        <w:rPr>
          <w:highlight w:val="yellow"/>
        </w:rPr>
      </w:r>
      <w:r w:rsidR="00EE27C3">
        <w:rPr>
          <w:highlight w:val="yellow"/>
        </w:rPr>
        <w:fldChar w:fldCharType="separate"/>
      </w:r>
      <w:r w:rsidR="000D75AE">
        <w:t>9.5.3</w:t>
      </w:r>
      <w:r w:rsidR="00C33F1F">
        <w:t xml:space="preserve"> </w:t>
      </w:r>
      <w:r w:rsidR="000D75AE" w:rsidRPr="25249C38">
        <w:t>Permissible Breaks</w:t>
      </w:r>
      <w:r w:rsidR="000D75AE">
        <w:t xml:space="preserve"> and Voluntary Changes in Employment</w:t>
      </w:r>
      <w:r w:rsidR="00EE27C3">
        <w:rPr>
          <w:highlight w:val="yellow"/>
        </w:rPr>
        <w:fldChar w:fldCharType="end"/>
      </w:r>
      <w:r w:rsidR="00EE27C3">
        <w:t>).</w:t>
      </w:r>
    </w:p>
    <w:p w14:paraId="7F17E3FB" w14:textId="1087A2C0" w:rsidR="00503886" w:rsidRPr="00D47A4C" w:rsidRDefault="00BE55BF" w:rsidP="00D47A4C">
      <w:pPr>
        <w:keepNext/>
        <w:rPr>
          <w:u w:val="single"/>
        </w:rPr>
      </w:pPr>
      <w:r w:rsidRPr="00D47A4C">
        <w:rPr>
          <w:u w:val="single"/>
        </w:rPr>
        <w:t>Earnings-based Outcomes</w:t>
      </w:r>
    </w:p>
    <w:p w14:paraId="3866DB63" w14:textId="77777777" w:rsidR="000E7793" w:rsidRDefault="000E7793" w:rsidP="00E84083">
      <w:pPr>
        <w:pStyle w:val="BulletLevel1"/>
        <w:numPr>
          <w:ilvl w:val="0"/>
          <w:numId w:val="0"/>
        </w:numPr>
      </w:pPr>
      <w:r w:rsidRPr="004C1304">
        <w:t>Earnings-based outcomes may be available through the Job Seeker Rate Reduction (JRRR) tool. The JRRR shows how much the Participant’s Income Support Payment was reduced in each fortnight because of income reported by the Participant. If the JRRR shows a 100% rate reduction in each fortnight of the outcome period, the Provider can claim a Full Outcome. There are no Partial Outcomes available for earnings-based outcomes.</w:t>
      </w:r>
    </w:p>
    <w:p w14:paraId="32CE6DB3" w14:textId="1488088D" w:rsidR="00BE55BF" w:rsidRPr="00D47A4C" w:rsidRDefault="00BE55BF" w:rsidP="00D47A4C">
      <w:pPr>
        <w:keepNext/>
        <w:rPr>
          <w:u w:val="single"/>
        </w:rPr>
      </w:pPr>
      <w:r w:rsidRPr="00D47A4C">
        <w:rPr>
          <w:u w:val="single"/>
        </w:rPr>
        <w:t>Hours-based Outcomes</w:t>
      </w:r>
    </w:p>
    <w:p w14:paraId="272CBBBE" w14:textId="1251EBAB" w:rsidR="003628F3" w:rsidRDefault="00F551E0" w:rsidP="0033698B">
      <w:pPr>
        <w:pStyle w:val="BulletLevel1"/>
        <w:numPr>
          <w:ilvl w:val="0"/>
          <w:numId w:val="0"/>
        </w:numPr>
      </w:pPr>
      <w:r w:rsidRPr="00F551E0">
        <w:t>Hours-based outcomes may be available through the Job Seeker Employment Hours</w:t>
      </w:r>
      <w:r w:rsidR="009F1B72">
        <w:t xml:space="preserve"> Result</w:t>
      </w:r>
      <w:r w:rsidRPr="00F551E0">
        <w:t xml:space="preserve"> (JEHR) tool. The JEHR collects information about the Participant’s reported hours of employment. If the JEHR shows that the </w:t>
      </w:r>
      <w:r w:rsidR="00863355">
        <w:t>P</w:t>
      </w:r>
      <w:r w:rsidRPr="00F551E0">
        <w:t>articipant worked the required number of hours during the outcome period required by the Participant’s Employment Benchmark, the Provider can claim a Full or Partial Outcome.</w:t>
      </w:r>
    </w:p>
    <w:p w14:paraId="5FF8293A" w14:textId="77777777" w:rsidR="00212059" w:rsidRPr="00212059" w:rsidRDefault="00212059" w:rsidP="00212059">
      <w:r w:rsidRPr="00212059">
        <w:rPr>
          <w:b/>
          <w:bCs/>
        </w:rPr>
        <w:t>Note</w:t>
      </w:r>
      <w:r w:rsidRPr="00212059">
        <w:t>: If the Provider considers the Participant is not accurately declaring earnings and work hours to Services Australia, the Provider should ensure the Participant is aware of the importance of correct declarations. Accurate declarations help to ensure the Participant receives the correct amount of Income Support Payments and avoids payment delays, debts or penalties being incurred.</w:t>
      </w:r>
    </w:p>
    <w:p w14:paraId="19DEC05B" w14:textId="28F6057D" w:rsidR="00182CBD" w:rsidRPr="0033698B" w:rsidRDefault="00182CBD" w:rsidP="0033698B">
      <w:pPr>
        <w:pStyle w:val="Heading5"/>
      </w:pPr>
      <w:r w:rsidRPr="0033698B">
        <w:t xml:space="preserve">Claiming </w:t>
      </w:r>
      <w:r w:rsidR="00211E80" w:rsidRPr="0033698B">
        <w:t>O</w:t>
      </w:r>
      <w:r w:rsidRPr="0033698B">
        <w:t xml:space="preserve">utcomes using </w:t>
      </w:r>
      <w:r w:rsidR="13814406" w:rsidRPr="0033698B">
        <w:t>D</w:t>
      </w:r>
      <w:r w:rsidRPr="0033698B">
        <w:t xml:space="preserve">ocumentary </w:t>
      </w:r>
      <w:r w:rsidR="78590858" w:rsidRPr="0033698B">
        <w:t>E</w:t>
      </w:r>
      <w:r w:rsidRPr="0033698B">
        <w:t>vidence</w:t>
      </w:r>
    </w:p>
    <w:p w14:paraId="3EB8E4C3" w14:textId="77777777" w:rsidR="00235523" w:rsidRPr="0033698B" w:rsidRDefault="00235523" w:rsidP="0033698B">
      <w:r w:rsidRPr="0033698B">
        <w:t>The Provider may submit a claim for an Outcome using Documentary Evidence if the requirements of an Employment Outcome have been met.</w:t>
      </w:r>
    </w:p>
    <w:p w14:paraId="11861D5B" w14:textId="76B76AAA" w:rsidR="00182CBD" w:rsidRDefault="00486CF8" w:rsidP="00486CF8">
      <w:pPr>
        <w:pStyle w:val="SystemStep"/>
      </w:pPr>
      <w:r w:rsidRPr="008A023F">
        <w:t xml:space="preserve">Providers must upload </w:t>
      </w:r>
      <w:r>
        <w:t>Documentary Evidence</w:t>
      </w:r>
      <w:r w:rsidRPr="008A023F">
        <w:t xml:space="preserve"> to the Department’s IT </w:t>
      </w:r>
      <w:r>
        <w:t>Systems</w:t>
      </w:r>
      <w:r w:rsidRPr="008A023F">
        <w:t xml:space="preserve"> to support a claim.</w:t>
      </w:r>
      <w:r>
        <w:t xml:space="preserve"> E</w:t>
      </w:r>
      <w:r w:rsidR="00182CBD" w:rsidRPr="44F1B9E3">
        <w:t>vidence</w:t>
      </w:r>
      <w:r>
        <w:t xml:space="preserve"> uploaded must</w:t>
      </w:r>
      <w:r w:rsidR="00182CBD" w:rsidRPr="44F1B9E3">
        <w:t xml:space="preserve"> show that the </w:t>
      </w:r>
      <w:r w:rsidR="00182CBD">
        <w:t>Participant</w:t>
      </w:r>
      <w:r w:rsidR="00182CBD" w:rsidRPr="44F1B9E3">
        <w:t xml:space="preserve">: </w:t>
      </w:r>
    </w:p>
    <w:p w14:paraId="6120EBAC" w14:textId="79E4CD04" w:rsidR="00182CBD" w:rsidRDefault="00182CBD" w:rsidP="00486CF8">
      <w:pPr>
        <w:pStyle w:val="BulletLevel2"/>
      </w:pPr>
      <w:r w:rsidRPr="44F1B9E3">
        <w:t xml:space="preserve">was </w:t>
      </w:r>
      <w:r>
        <w:t>E</w:t>
      </w:r>
      <w:r w:rsidRPr="44F1B9E3">
        <w:t xml:space="preserve">mployed or in </w:t>
      </w:r>
      <w:r>
        <w:t>U</w:t>
      </w:r>
      <w:r w:rsidRPr="44F1B9E3">
        <w:t xml:space="preserve">nsubsidised </w:t>
      </w:r>
      <w:r>
        <w:t>S</w:t>
      </w:r>
      <w:r w:rsidRPr="44F1B9E3">
        <w:t>elf-</w:t>
      </w:r>
      <w:r>
        <w:t>E</w:t>
      </w:r>
      <w:r w:rsidRPr="44F1B9E3">
        <w:t xml:space="preserve">mployment for the </w:t>
      </w:r>
      <w:r w:rsidR="00B65D6D">
        <w:t xml:space="preserve">full </w:t>
      </w:r>
      <w:r w:rsidR="00211E80">
        <w:t>O</w:t>
      </w:r>
      <w:r w:rsidRPr="44F1B9E3">
        <w:t xml:space="preserve">utcome period being claimed </w:t>
      </w:r>
    </w:p>
    <w:p w14:paraId="46FE077E" w14:textId="0A1AC76F" w:rsidR="00182CBD" w:rsidRDefault="00182CBD" w:rsidP="00486CF8">
      <w:pPr>
        <w:pStyle w:val="BulletLevel2"/>
      </w:pPr>
      <w:r w:rsidRPr="44F1B9E3">
        <w:t xml:space="preserve">worked </w:t>
      </w:r>
      <w:r w:rsidR="001C6032">
        <w:t>the</w:t>
      </w:r>
      <w:r w:rsidR="001C6032" w:rsidRPr="44F1B9E3">
        <w:t xml:space="preserve"> </w:t>
      </w:r>
      <w:r w:rsidRPr="44F1B9E3">
        <w:t xml:space="preserve">hours </w:t>
      </w:r>
      <w:r w:rsidR="001C6032">
        <w:t xml:space="preserve">required </w:t>
      </w:r>
      <w:r w:rsidRPr="44F1B9E3">
        <w:t xml:space="preserve">to complete a </w:t>
      </w:r>
      <w:r>
        <w:t>F</w:t>
      </w:r>
      <w:r w:rsidRPr="44F1B9E3">
        <w:t xml:space="preserve">ull or </w:t>
      </w:r>
      <w:r>
        <w:t>P</w:t>
      </w:r>
      <w:r w:rsidRPr="44F1B9E3">
        <w:t>a</w:t>
      </w:r>
      <w:r w:rsidRPr="00C85795">
        <w:t xml:space="preserve">rtial </w:t>
      </w:r>
      <w:r>
        <w:t>E</w:t>
      </w:r>
      <w:r w:rsidRPr="44F1B9E3">
        <w:t xml:space="preserve">mployment </w:t>
      </w:r>
      <w:r>
        <w:t>O</w:t>
      </w:r>
      <w:r w:rsidRPr="44F1B9E3">
        <w:t>utcome</w:t>
      </w:r>
      <w:r w:rsidR="001C6032">
        <w:t>,</w:t>
      </w:r>
      <w:r w:rsidR="0030028C">
        <w:t xml:space="preserve"> </w:t>
      </w:r>
      <w:r w:rsidR="00BE524F">
        <w:t>and</w:t>
      </w:r>
    </w:p>
    <w:p w14:paraId="1A7236BB" w14:textId="77777777" w:rsidR="00182CBD" w:rsidRDefault="00182CBD" w:rsidP="00486CF8">
      <w:pPr>
        <w:pStyle w:val="BulletLevel2"/>
      </w:pPr>
      <w:r w:rsidRPr="44F1B9E3">
        <w:t xml:space="preserve">received an hourly rate of payment (or earnings, if self-employed) of at least: </w:t>
      </w:r>
    </w:p>
    <w:p w14:paraId="2AAA6220" w14:textId="77777777" w:rsidR="00182CBD" w:rsidRPr="0013119A" w:rsidRDefault="00182CBD" w:rsidP="00486CF8">
      <w:pPr>
        <w:pStyle w:val="BulletLevel3"/>
      </w:pPr>
      <w:r>
        <w:t xml:space="preserve">the relevant Award or agreement wage for the position, or </w:t>
      </w:r>
    </w:p>
    <w:p w14:paraId="65833652" w14:textId="77777777" w:rsidR="00182CBD" w:rsidRPr="0013119A" w:rsidRDefault="00182CBD" w:rsidP="00486CF8">
      <w:pPr>
        <w:pStyle w:val="BulletLevel3"/>
      </w:pPr>
      <w:r>
        <w:t xml:space="preserve">the National Minimum Wage (if there is no Award wage for the job), or </w:t>
      </w:r>
    </w:p>
    <w:p w14:paraId="75C7D9AD" w14:textId="2F1EC4F5" w:rsidR="00182CBD" w:rsidRPr="0013119A" w:rsidRDefault="00182CBD" w:rsidP="00486CF8">
      <w:pPr>
        <w:pStyle w:val="BulletLevel3"/>
      </w:pPr>
      <w:r>
        <w:t>the agreed Supported Wage System wage rate (if this applies).</w:t>
      </w:r>
    </w:p>
    <w:p w14:paraId="0EF6C5A6" w14:textId="36535BD5" w:rsidR="00182CBD" w:rsidRDefault="00182CBD" w:rsidP="00182CBD">
      <w:r w:rsidRPr="009834C5">
        <w:t xml:space="preserve">Providers may ask Participants for </w:t>
      </w:r>
      <w:r w:rsidR="00FA4AA6">
        <w:t>payslip</w:t>
      </w:r>
      <w:r w:rsidRPr="009834C5">
        <w:t>s for the purposes of verifying Employment Outcomes</w:t>
      </w:r>
      <w:r w:rsidR="009769F4">
        <w:t>,</w:t>
      </w:r>
      <w:r w:rsidRPr="009834C5">
        <w:t xml:space="preserve"> however, Participants are under no obligation to provide this information. If a Participant does not want to supply </w:t>
      </w:r>
      <w:r w:rsidR="00FA4AA6">
        <w:t>payslip</w:t>
      </w:r>
      <w:r w:rsidRPr="009834C5">
        <w:t xml:space="preserve">s, Providers must not attempt to coerce or pressure the Participant. Providers must not threaten to or apply payment suspensions or </w:t>
      </w:r>
      <w:r w:rsidR="2E9485C7">
        <w:t>D</w:t>
      </w:r>
      <w:r w:rsidRPr="009834C5">
        <w:t>emerits under the Targeted Compliance Framework</w:t>
      </w:r>
      <w:r w:rsidR="009201EE">
        <w:t xml:space="preserve"> (TCF)</w:t>
      </w:r>
      <w:r w:rsidRPr="009834C5">
        <w:t xml:space="preserve"> to compel Participants to supply </w:t>
      </w:r>
      <w:r w:rsidR="00FA4AA6">
        <w:t>payslip</w:t>
      </w:r>
      <w:r w:rsidRPr="009834C5">
        <w:t xml:space="preserve">s or other evidence of Employment. Additionally, Providers must not contact an Employer directly to ask for evidence without the Participant’s permission or consent. </w:t>
      </w:r>
      <w:r w:rsidR="00563A7F">
        <w:t xml:space="preserve">Providers must not visit a Participant’s Private Residence seeking payslips. </w:t>
      </w:r>
      <w:r w:rsidRPr="009834C5">
        <w:t xml:space="preserve">The Department will thoroughly investigate any claims of this nature and pursue action </w:t>
      </w:r>
      <w:r w:rsidR="002820ED">
        <w:t>for a Breach of</w:t>
      </w:r>
      <w:r w:rsidRPr="009834C5">
        <w:t xml:space="preserve"> the </w:t>
      </w:r>
      <w:r>
        <w:t>Deed</w:t>
      </w:r>
      <w:r w:rsidRPr="009834C5">
        <w:t xml:space="preserve"> as appropriate.</w:t>
      </w:r>
    </w:p>
    <w:p w14:paraId="2C093843" w14:textId="00DF7FCB" w:rsidR="00182CBD" w:rsidRDefault="00182CBD" w:rsidP="00182CBD">
      <w:r>
        <w:t xml:space="preserve">If the Outcome Fee relates to a </w:t>
      </w:r>
      <w:r w:rsidR="00881B71">
        <w:t xml:space="preserve">Job </w:t>
      </w:r>
      <w:r>
        <w:t xml:space="preserve">Placement that was with the Provider’s Own Organisation or Related Entity, the </w:t>
      </w:r>
      <w:r w:rsidR="00A25A94">
        <w:t>P</w:t>
      </w:r>
      <w:r>
        <w:t xml:space="preserve">rovider must also upload the Department’s written agreement that the </w:t>
      </w:r>
      <w:r w:rsidR="00881B71">
        <w:t xml:space="preserve">Job </w:t>
      </w:r>
      <w:r>
        <w:t>Placement is eligible to achieve an Outcome.</w:t>
      </w:r>
    </w:p>
    <w:p w14:paraId="16E856BB" w14:textId="5176F131" w:rsidR="00182CBD" w:rsidRDefault="00182CBD" w:rsidP="0079424A">
      <w:pPr>
        <w:pStyle w:val="DocumentaryEvidenceRequirement"/>
      </w:pPr>
      <w:r w:rsidRPr="44F1B9E3">
        <w:t xml:space="preserve">Acceptable forms of evidence for </w:t>
      </w:r>
      <w:r w:rsidRPr="00862AA2">
        <w:t xml:space="preserve">paid </w:t>
      </w:r>
      <w:r w:rsidR="006F212A" w:rsidRPr="00862AA2">
        <w:t>E</w:t>
      </w:r>
      <w:r w:rsidRPr="00862AA2">
        <w:t>mployment</w:t>
      </w:r>
      <w:r w:rsidRPr="44F1B9E3">
        <w:t xml:space="preserve"> include: </w:t>
      </w:r>
    </w:p>
    <w:p w14:paraId="6A54106F" w14:textId="614F6FA9" w:rsidR="00182CBD" w:rsidRDefault="00182CBD" w:rsidP="004E120D">
      <w:pPr>
        <w:pStyle w:val="BulletLevel2"/>
      </w:pPr>
      <w:r w:rsidRPr="00C85795">
        <w:rPr>
          <w:rFonts w:eastAsia="Times New Roman" w:cstheme="minorHAnsi"/>
        </w:rPr>
        <w:t>copies</w:t>
      </w:r>
      <w:r w:rsidRPr="44F1B9E3">
        <w:t xml:space="preserve"> of </w:t>
      </w:r>
      <w:r w:rsidR="00FA4AA6">
        <w:t>payslip</w:t>
      </w:r>
      <w:r w:rsidRPr="44F1B9E3">
        <w:t xml:space="preserve">s covering the entire </w:t>
      </w:r>
      <w:r w:rsidR="00211E80">
        <w:t>O</w:t>
      </w:r>
      <w:r w:rsidRPr="44F1B9E3">
        <w:t xml:space="preserve">utcome </w:t>
      </w:r>
      <w:r w:rsidR="0033698B">
        <w:t>P</w:t>
      </w:r>
      <w:r w:rsidRPr="44F1B9E3">
        <w:t xml:space="preserve">eriod of the claim </w:t>
      </w:r>
    </w:p>
    <w:p w14:paraId="36075D9F" w14:textId="3F7B882D" w:rsidR="00182CBD" w:rsidRDefault="00182CBD" w:rsidP="004E120D">
      <w:pPr>
        <w:pStyle w:val="BulletLevel2"/>
      </w:pPr>
      <w:r w:rsidRPr="1FF5C044">
        <w:rPr>
          <w:rFonts w:eastAsia="Times New Roman"/>
        </w:rPr>
        <w:t>signed</w:t>
      </w:r>
      <w:r w:rsidRPr="44F1B9E3">
        <w:t xml:space="preserve"> and dated written statement or email from the </w:t>
      </w:r>
      <w:r w:rsidR="407F0657">
        <w:t>E</w:t>
      </w:r>
      <w:r>
        <w:t>mployer</w:t>
      </w:r>
      <w:r w:rsidRPr="44F1B9E3">
        <w:t xml:space="preserve"> or </w:t>
      </w:r>
      <w:r>
        <w:t>Participant</w:t>
      </w:r>
      <w:r w:rsidRPr="44F1B9E3">
        <w:t xml:space="preserve"> (see below) </w:t>
      </w:r>
    </w:p>
    <w:p w14:paraId="5B12B63B" w14:textId="4E2F2A4E" w:rsidR="007C28C6" w:rsidRDefault="00182CBD" w:rsidP="004E120D">
      <w:pPr>
        <w:pStyle w:val="BulletLevel2"/>
      </w:pPr>
      <w:r w:rsidRPr="44F1B9E3">
        <w:t xml:space="preserve">file </w:t>
      </w:r>
      <w:r w:rsidRPr="00C85795">
        <w:rPr>
          <w:rFonts w:eastAsia="Times New Roman" w:cstheme="minorHAnsi"/>
        </w:rPr>
        <w:t>notes</w:t>
      </w:r>
      <w:r w:rsidRPr="44F1B9E3">
        <w:t xml:space="preserve">. </w:t>
      </w:r>
    </w:p>
    <w:p w14:paraId="2BDDF18B" w14:textId="77777777" w:rsidR="00E06D43" w:rsidRDefault="00E06D43" w:rsidP="00486CF8">
      <w:pPr>
        <w:pStyle w:val="DocumentaryEvidenceRequirement"/>
        <w:keepNext/>
      </w:pPr>
      <w:r>
        <w:rPr>
          <w:lang w:eastAsia="en-AU"/>
        </w:rPr>
        <w:t xml:space="preserve">Provider file notes </w:t>
      </w:r>
      <w:r w:rsidRPr="56B04BBA">
        <w:rPr>
          <w:lang w:eastAsia="en-AU"/>
        </w:rPr>
        <w:t>and</w:t>
      </w:r>
      <w:r>
        <w:rPr>
          <w:lang w:eastAsia="en-AU"/>
        </w:rPr>
        <w:t xml:space="preserve"> </w:t>
      </w:r>
      <w:r>
        <w:t>s</w:t>
      </w:r>
      <w:r w:rsidRPr="44F1B9E3">
        <w:t xml:space="preserve">tatements or emails from </w:t>
      </w:r>
      <w:r>
        <w:t>E</w:t>
      </w:r>
      <w:r w:rsidRPr="44F1B9E3">
        <w:t xml:space="preserve">mployers or </w:t>
      </w:r>
      <w:r>
        <w:t>Participant</w:t>
      </w:r>
      <w:r w:rsidRPr="44F1B9E3">
        <w:t>s must include the following details:</w:t>
      </w:r>
    </w:p>
    <w:p w14:paraId="7C88211B" w14:textId="77777777" w:rsidR="00E06D43" w:rsidRPr="00C85795" w:rsidRDefault="00E06D43" w:rsidP="00486CF8">
      <w:pPr>
        <w:pStyle w:val="BulletLevel2"/>
      </w:pPr>
      <w:r w:rsidRPr="00C85795">
        <w:t xml:space="preserve">name of the </w:t>
      </w:r>
      <w:r>
        <w:t>E</w:t>
      </w:r>
      <w:r w:rsidRPr="00C85795">
        <w:t xml:space="preserve">mployer (can be the </w:t>
      </w:r>
      <w:r>
        <w:t>Participant</w:t>
      </w:r>
      <w:r w:rsidRPr="00C85795">
        <w:t xml:space="preserve">, for self-employment) </w:t>
      </w:r>
    </w:p>
    <w:p w14:paraId="0D6B112E" w14:textId="77777777" w:rsidR="00E06D43" w:rsidRPr="00C85795" w:rsidRDefault="00E06D43" w:rsidP="00486CF8">
      <w:pPr>
        <w:pStyle w:val="BulletLevel2"/>
      </w:pPr>
      <w:r w:rsidRPr="00C85795">
        <w:t xml:space="preserve">period covered by the statement </w:t>
      </w:r>
    </w:p>
    <w:p w14:paraId="5F7EDBAA" w14:textId="77777777" w:rsidR="00E06D43" w:rsidRPr="00C85795" w:rsidRDefault="00E06D43" w:rsidP="00486CF8">
      <w:pPr>
        <w:pStyle w:val="BulletLevel2"/>
      </w:pPr>
      <w:r w:rsidRPr="00C85795">
        <w:t xml:space="preserve">hourly rate of payment during the statement period </w:t>
      </w:r>
    </w:p>
    <w:p w14:paraId="20BDED50" w14:textId="77777777" w:rsidR="00E06D43" w:rsidRPr="00C85795" w:rsidRDefault="00E06D43" w:rsidP="00486CF8">
      <w:pPr>
        <w:pStyle w:val="BulletLevel2"/>
      </w:pPr>
      <w:r w:rsidRPr="00C85795">
        <w:t xml:space="preserve">hours of paid </w:t>
      </w:r>
      <w:r>
        <w:t>E</w:t>
      </w:r>
      <w:r w:rsidRPr="00C85795">
        <w:t xml:space="preserve">mployment each week/fortnight of the </w:t>
      </w:r>
      <w:r>
        <w:t>O</w:t>
      </w:r>
      <w:r w:rsidRPr="00C85795">
        <w:t xml:space="preserve">utcome period </w:t>
      </w:r>
    </w:p>
    <w:p w14:paraId="3145E6C3" w14:textId="77777777" w:rsidR="00E06D43" w:rsidRPr="00C85795" w:rsidRDefault="00E06D43" w:rsidP="00486CF8">
      <w:pPr>
        <w:pStyle w:val="BulletLevel2"/>
      </w:pPr>
      <w:r w:rsidRPr="00C85795">
        <w:t xml:space="preserve">gross income each week/fortnight of the </w:t>
      </w:r>
      <w:r>
        <w:t>O</w:t>
      </w:r>
      <w:r w:rsidRPr="00C85795">
        <w:t xml:space="preserve">utcome period </w:t>
      </w:r>
    </w:p>
    <w:p w14:paraId="61B2925E" w14:textId="715120B0" w:rsidR="00E06D43" w:rsidRPr="00C85795" w:rsidRDefault="00E06D43" w:rsidP="00486CF8">
      <w:pPr>
        <w:pStyle w:val="BulletLevel2"/>
      </w:pPr>
      <w:r w:rsidRPr="00C85795">
        <w:t>full name, phone number an</w:t>
      </w:r>
      <w:r w:rsidR="00CC3070">
        <w:t>d</w:t>
      </w:r>
      <w:r w:rsidRPr="00C85795">
        <w:t xml:space="preserve"> email of person making the statement </w:t>
      </w:r>
    </w:p>
    <w:p w14:paraId="1AA5FD96" w14:textId="77777777" w:rsidR="00E06D43" w:rsidRPr="00C85795" w:rsidRDefault="00E06D43" w:rsidP="00486CF8">
      <w:pPr>
        <w:pStyle w:val="BulletLevel2"/>
      </w:pPr>
      <w:r w:rsidRPr="00C85795">
        <w:t xml:space="preserve">date the statement was made. </w:t>
      </w:r>
    </w:p>
    <w:p w14:paraId="539F7ACC" w14:textId="6ED2D244" w:rsidR="00182CBD" w:rsidRDefault="003A3313" w:rsidP="007C28C6">
      <w:r w:rsidRPr="003A3313">
        <w:rPr>
          <w:b/>
          <w:bCs/>
        </w:rPr>
        <w:t>Note:</w:t>
      </w:r>
      <w:r>
        <w:t xml:space="preserve"> </w:t>
      </w:r>
      <w:r w:rsidR="00182CBD" w:rsidRPr="44F1B9E3">
        <w:t xml:space="preserve">File notes will be accepted only if the </w:t>
      </w:r>
      <w:r w:rsidR="00182CBD">
        <w:t>D</w:t>
      </w:r>
      <w:r w:rsidR="00182CBD" w:rsidRPr="44F1B9E3">
        <w:t xml:space="preserve">epartment is satisfied by evidence from the </w:t>
      </w:r>
      <w:r w:rsidR="00182CBD">
        <w:t>Provider</w:t>
      </w:r>
      <w:r w:rsidR="00182CBD" w:rsidRPr="44F1B9E3">
        <w:t xml:space="preserve"> that they made</w:t>
      </w:r>
      <w:r w:rsidR="00182CBD">
        <w:t xml:space="preserve"> </w:t>
      </w:r>
      <w:r w:rsidR="00182CBD" w:rsidRPr="44F1B9E3">
        <w:t xml:space="preserve">reasonable efforts to obtain </w:t>
      </w:r>
      <w:r w:rsidR="00FA4AA6">
        <w:t>payslip</w:t>
      </w:r>
      <w:r w:rsidR="00182CBD" w:rsidRPr="44F1B9E3">
        <w:t>s or a written statement</w:t>
      </w:r>
      <w:r w:rsidR="00602270">
        <w:t xml:space="preserve"> </w:t>
      </w:r>
      <w:r w:rsidR="00182CBD" w:rsidRPr="44F1B9E3">
        <w:t xml:space="preserve">/ email but could not do so. </w:t>
      </w:r>
      <w:r w:rsidR="00E06D43">
        <w:t xml:space="preserve">Provider File Notes should include </w:t>
      </w:r>
      <w:r w:rsidR="00057CE4">
        <w:t xml:space="preserve">evidence of </w:t>
      </w:r>
      <w:r w:rsidR="00C914B8">
        <w:t xml:space="preserve">such </w:t>
      </w:r>
      <w:r w:rsidR="00057CE4">
        <w:t xml:space="preserve">efforts. </w:t>
      </w:r>
    </w:p>
    <w:p w14:paraId="57D76772" w14:textId="1BA268B2" w:rsidR="001A247C" w:rsidRDefault="001A247C" w:rsidP="001A247C">
      <w:pPr>
        <w:pStyle w:val="Heading5"/>
      </w:pPr>
      <w:bookmarkStart w:id="499" w:name="_Claiming_an_Outcome_1"/>
      <w:bookmarkEnd w:id="499"/>
      <w:r>
        <w:t>Claiming a</w:t>
      </w:r>
      <w:r w:rsidR="009D5FEA">
        <w:t>n</w:t>
      </w:r>
      <w:r w:rsidR="00FA7071">
        <w:t xml:space="preserve"> </w:t>
      </w:r>
      <w:r>
        <w:t>Outcome</w:t>
      </w:r>
      <w:r w:rsidR="009D5FEA">
        <w:t xml:space="preserve"> </w:t>
      </w:r>
      <w:r w:rsidR="00014F64">
        <w:t>for Participants in</w:t>
      </w:r>
      <w:r w:rsidR="00FA7071">
        <w:t xml:space="preserve"> </w:t>
      </w:r>
      <w:r>
        <w:t>Unsubsidised Self-Employment</w:t>
      </w:r>
    </w:p>
    <w:p w14:paraId="185947AF" w14:textId="77777777" w:rsidR="0037760F" w:rsidRDefault="0037760F" w:rsidP="0037760F">
      <w:r w:rsidRPr="0038172E">
        <w:t xml:space="preserve">Where a Participant who is in Unsubsidised Self-Employment earns enough income to cause the Participant’s Basic Rate of Income Support to cease, and all other requirements of a Full Outcome are met, a Full Outcome Fee may be claimed. </w:t>
      </w:r>
    </w:p>
    <w:p w14:paraId="25F0000D" w14:textId="1227EF4F" w:rsidR="00E3792B" w:rsidRDefault="001A247C" w:rsidP="001A247C">
      <w:r w:rsidRPr="0038172E">
        <w:t xml:space="preserve">Where an Outcome Fee is being claimed </w:t>
      </w:r>
      <w:r w:rsidR="00FA5FD9" w:rsidRPr="0038172E">
        <w:t>based on</w:t>
      </w:r>
      <w:r w:rsidRPr="0038172E">
        <w:t xml:space="preserve"> hours worked, the Participant must work the required number of hours relative to their Employment Benchmark, on average, </w:t>
      </w:r>
      <w:r w:rsidR="00E3792B">
        <w:t>throughout</w:t>
      </w:r>
      <w:r w:rsidRPr="0038172E">
        <w:t xml:space="preserve"> the 1</w:t>
      </w:r>
      <w:r>
        <w:t>2</w:t>
      </w:r>
      <w:r w:rsidRPr="0038172E">
        <w:t xml:space="preserve">-week Period, 26-week Period and 52-week period. </w:t>
      </w:r>
    </w:p>
    <w:p w14:paraId="04C7DC40" w14:textId="77E55702" w:rsidR="00E3792B" w:rsidRDefault="00E3792B" w:rsidP="001A247C">
      <w:r>
        <w:t xml:space="preserve">For example, </w:t>
      </w:r>
      <w:r w:rsidR="00CE7ECB">
        <w:t xml:space="preserve">a Participant </w:t>
      </w:r>
      <w:r w:rsidR="00F22D5B">
        <w:t>with an Employment Benchmark of 15 hours may work 1</w:t>
      </w:r>
      <w:r w:rsidR="000410CB">
        <w:t>2</w:t>
      </w:r>
      <w:r w:rsidR="00F22D5B">
        <w:t xml:space="preserve"> hours per week </w:t>
      </w:r>
      <w:r w:rsidR="00913197">
        <w:t xml:space="preserve">preparing goods for sale, </w:t>
      </w:r>
      <w:r w:rsidR="000410CB">
        <w:t xml:space="preserve">and an additional 20 hours </w:t>
      </w:r>
      <w:r w:rsidR="00053478">
        <w:t xml:space="preserve">every month </w:t>
      </w:r>
      <w:r w:rsidR="000410CB">
        <w:t xml:space="preserve">during </w:t>
      </w:r>
      <w:r w:rsidR="00053478">
        <w:t>market days</w:t>
      </w:r>
      <w:r w:rsidR="000410CB">
        <w:t xml:space="preserve">. </w:t>
      </w:r>
      <w:r w:rsidR="00053478">
        <w:t xml:space="preserve">The Participant will meet their Employment Benchmark when these hours are averaged across the weeks of the Outcome Period. </w:t>
      </w:r>
      <w:r w:rsidR="00913197">
        <w:t xml:space="preserve"> </w:t>
      </w:r>
    </w:p>
    <w:p w14:paraId="1F896114" w14:textId="47EED092" w:rsidR="001A247C" w:rsidRDefault="00EC342B" w:rsidP="001A247C">
      <w:r w:rsidRPr="00EC342B">
        <w:t>A Participant in Unsubsidised Self-Employment may be in receipt of some Centrelink Income Support during an Outcome period and still meet the requirements of an Outcome Fee based on self-</w:t>
      </w:r>
      <w:r w:rsidRPr="00EC342B" w:rsidDel="00B86C77">
        <w:t xml:space="preserve"> </w:t>
      </w:r>
      <w:r w:rsidR="001A247C" w:rsidRPr="0038172E">
        <w:t>employment, provided that all other requirements for the Fee have been met (for example, that the self-employment is not subsidised, and the Participant</w:t>
      </w:r>
      <w:r w:rsidR="004F4509">
        <w:t xml:space="preserve">’s earnings are at a rate equivalent to </w:t>
      </w:r>
      <w:r w:rsidR="00DA3694">
        <w:t>the Minimum Wage</w:t>
      </w:r>
      <w:r w:rsidR="001A247C" w:rsidRPr="0038172E">
        <w:t>).</w:t>
      </w:r>
      <w:r w:rsidR="001A247C" w:rsidRPr="00A3262F">
        <w:t xml:space="preserve"> </w:t>
      </w:r>
    </w:p>
    <w:p w14:paraId="401E0F45" w14:textId="46553044" w:rsidR="5EFC3796" w:rsidRDefault="61A633A7">
      <w:r>
        <w:t>A Participant undertaking Small Business Coaching through the Self-Employment Assistance program is considered to be in Unsubsidised Self-Employment.</w:t>
      </w:r>
    </w:p>
    <w:p w14:paraId="6C8AE39E" w14:textId="729C45D8" w:rsidR="0091170A" w:rsidRDefault="003F18B8">
      <w:r>
        <w:t xml:space="preserve">A Provider may also claim using Documentary Evidence of </w:t>
      </w:r>
      <w:r w:rsidRPr="00862AA2">
        <w:t>Unsubsidised Self-Employment</w:t>
      </w:r>
      <w:r>
        <w:t xml:space="preserve"> provided by the Participant.</w:t>
      </w:r>
    </w:p>
    <w:p w14:paraId="02FEE892" w14:textId="77777777" w:rsidR="0016084D" w:rsidRDefault="0016084D" w:rsidP="0079424A">
      <w:pPr>
        <w:pStyle w:val="DocumentaryEvidenceRequirement"/>
      </w:pPr>
      <w:r w:rsidRPr="44F1B9E3">
        <w:t xml:space="preserve">Acceptable forms of evidence for </w:t>
      </w:r>
      <w:r w:rsidRPr="00862AA2">
        <w:t>Unsubsidised Self-Employment</w:t>
      </w:r>
      <w:r w:rsidRPr="44F1B9E3">
        <w:t xml:space="preserve"> include: </w:t>
      </w:r>
    </w:p>
    <w:p w14:paraId="082CE091" w14:textId="77777777" w:rsidR="0016084D" w:rsidRPr="00C85795" w:rsidRDefault="0016084D" w:rsidP="0091170A">
      <w:pPr>
        <w:pStyle w:val="BulletLevel2"/>
      </w:pPr>
      <w:r w:rsidRPr="00C85795">
        <w:t xml:space="preserve">sales </w:t>
      </w:r>
      <w:r>
        <w:t>R</w:t>
      </w:r>
      <w:r w:rsidRPr="00C85795">
        <w:t xml:space="preserve">ecords (including receipts), contracts with clients or contracts of </w:t>
      </w:r>
      <w:r>
        <w:t>E</w:t>
      </w:r>
      <w:r w:rsidRPr="00C85795">
        <w:t xml:space="preserve">mployment </w:t>
      </w:r>
    </w:p>
    <w:p w14:paraId="3CAFBEA5" w14:textId="77777777" w:rsidR="0016084D" w:rsidRPr="00C85795" w:rsidRDefault="0016084D" w:rsidP="0091170A">
      <w:pPr>
        <w:pStyle w:val="BulletLevel2"/>
      </w:pPr>
      <w:r w:rsidRPr="00C85795">
        <w:t xml:space="preserve">statement relating to the </w:t>
      </w:r>
      <w:r>
        <w:t>Participant</w:t>
      </w:r>
      <w:r w:rsidRPr="00C85795">
        <w:t xml:space="preserve">’s business from a Certified Practicing Accountant or Certified Accountant </w:t>
      </w:r>
    </w:p>
    <w:p w14:paraId="3D31919B" w14:textId="14054854" w:rsidR="0016084D" w:rsidRDefault="0016084D" w:rsidP="0091170A">
      <w:pPr>
        <w:pStyle w:val="BulletLevel2"/>
      </w:pPr>
      <w:r w:rsidRPr="00C85795">
        <w:t>signed and dated written statement or email from an accountant and/or registered bookkeeper</w:t>
      </w:r>
      <w:r w:rsidR="003F18B8">
        <w:t>, and/or</w:t>
      </w:r>
    </w:p>
    <w:p w14:paraId="31ABB16A" w14:textId="77777777" w:rsidR="0016084D" w:rsidRDefault="0016084D" w:rsidP="0091170A">
      <w:pPr>
        <w:pStyle w:val="BulletLevel2"/>
      </w:pPr>
      <w:r w:rsidRPr="00C85795">
        <w:t xml:space="preserve">signed and dated written statement or email from the </w:t>
      </w:r>
      <w:r>
        <w:t>Participant</w:t>
      </w:r>
      <w:r w:rsidRPr="00C85795">
        <w:t xml:space="preserve"> (see below).</w:t>
      </w:r>
    </w:p>
    <w:p w14:paraId="22C1FBA3" w14:textId="54F1B296" w:rsidR="0016084D" w:rsidRDefault="0016084D" w:rsidP="00F55C29">
      <w:pPr>
        <w:pStyle w:val="DocumentaryEvidenceRequirement"/>
      </w:pPr>
      <w:r>
        <w:rPr>
          <w:lang w:eastAsia="en-AU"/>
        </w:rPr>
        <w:t xml:space="preserve">Provider file notes </w:t>
      </w:r>
      <w:r w:rsidRPr="56B04BBA">
        <w:rPr>
          <w:lang w:eastAsia="en-AU"/>
        </w:rPr>
        <w:t>and</w:t>
      </w:r>
      <w:r>
        <w:rPr>
          <w:lang w:eastAsia="en-AU"/>
        </w:rPr>
        <w:t xml:space="preserve"> </w:t>
      </w:r>
      <w:r>
        <w:t>s</w:t>
      </w:r>
      <w:r w:rsidRPr="44F1B9E3">
        <w:t>tatements</w:t>
      </w:r>
      <w:r w:rsidR="00261A34">
        <w:t>,</w:t>
      </w:r>
      <w:r w:rsidRPr="44F1B9E3">
        <w:t xml:space="preserve"> or emails from </w:t>
      </w:r>
      <w:r w:rsidR="00CF4AEF">
        <w:t>the</w:t>
      </w:r>
      <w:r w:rsidRPr="44F1B9E3">
        <w:t xml:space="preserve"> </w:t>
      </w:r>
      <w:r>
        <w:t>Participant</w:t>
      </w:r>
      <w:r w:rsidR="00261A34">
        <w:t>,</w:t>
      </w:r>
      <w:r w:rsidRPr="44F1B9E3">
        <w:t xml:space="preserve"> must </w:t>
      </w:r>
      <w:r w:rsidR="00CF4AEF">
        <w:t>include</w:t>
      </w:r>
      <w:r w:rsidRPr="44F1B9E3">
        <w:t>:</w:t>
      </w:r>
    </w:p>
    <w:p w14:paraId="06DF64AD" w14:textId="78CD324A" w:rsidR="0016084D" w:rsidRPr="00C85795" w:rsidRDefault="0016084D" w:rsidP="0091170A">
      <w:pPr>
        <w:pStyle w:val="BulletLevel2"/>
      </w:pPr>
      <w:r w:rsidRPr="00C85795">
        <w:t xml:space="preserve">name of the </w:t>
      </w:r>
      <w:r w:rsidR="00CF4AEF">
        <w:t>Participant</w:t>
      </w:r>
      <w:r w:rsidRPr="00C85795">
        <w:t xml:space="preserve"> </w:t>
      </w:r>
    </w:p>
    <w:p w14:paraId="4325E6C3" w14:textId="77777777" w:rsidR="0016084D" w:rsidRPr="00C85795" w:rsidRDefault="0016084D" w:rsidP="0091170A">
      <w:pPr>
        <w:pStyle w:val="BulletLevel2"/>
      </w:pPr>
      <w:r w:rsidRPr="00C85795">
        <w:t xml:space="preserve">period covered by the statement </w:t>
      </w:r>
    </w:p>
    <w:p w14:paraId="20129D3C" w14:textId="77777777" w:rsidR="0016084D" w:rsidRPr="00C85795" w:rsidRDefault="0016084D" w:rsidP="0091170A">
      <w:pPr>
        <w:pStyle w:val="BulletLevel2"/>
      </w:pPr>
      <w:r w:rsidRPr="00C85795">
        <w:t xml:space="preserve">hourly rate of payment during the statement period </w:t>
      </w:r>
    </w:p>
    <w:p w14:paraId="0526CAD6" w14:textId="41B64E7D" w:rsidR="0016084D" w:rsidRPr="00C85795" w:rsidRDefault="0016084D" w:rsidP="0091170A">
      <w:pPr>
        <w:pStyle w:val="BulletLevel2"/>
      </w:pPr>
      <w:r w:rsidRPr="00C85795">
        <w:t xml:space="preserve">hours of </w:t>
      </w:r>
      <w:r w:rsidR="00CF4AEF">
        <w:t>Unsubsidised Self-Employment undertaken</w:t>
      </w:r>
      <w:r w:rsidRPr="00C85795">
        <w:t xml:space="preserve"> each week/fortnight </w:t>
      </w:r>
    </w:p>
    <w:p w14:paraId="3C402485" w14:textId="192D413E" w:rsidR="0016084D" w:rsidRPr="00C85795" w:rsidRDefault="0016084D" w:rsidP="0091170A">
      <w:pPr>
        <w:pStyle w:val="BulletLevel2"/>
      </w:pPr>
      <w:r w:rsidRPr="00C85795">
        <w:t xml:space="preserve">gross income each week/fortnight of the </w:t>
      </w:r>
      <w:r>
        <w:t>O</w:t>
      </w:r>
      <w:r w:rsidRPr="00C85795">
        <w:t>utcome period</w:t>
      </w:r>
      <w:r w:rsidR="00B86C77">
        <w:t xml:space="preserve"> (excluding any Self-Employment Allowance received while the Participant is </w:t>
      </w:r>
      <w:r w:rsidR="009355E0">
        <w:t>undertaking Self-Employment Assistance)</w:t>
      </w:r>
      <w:r w:rsidRPr="00C85795">
        <w:t xml:space="preserve"> </w:t>
      </w:r>
    </w:p>
    <w:p w14:paraId="03C5E5AD" w14:textId="72B78955" w:rsidR="0016084D" w:rsidRPr="00C85795" w:rsidRDefault="0016084D" w:rsidP="0091170A">
      <w:pPr>
        <w:pStyle w:val="BulletLevel2"/>
      </w:pPr>
      <w:r w:rsidRPr="00C85795">
        <w:t>full name, phone number an</w:t>
      </w:r>
      <w:r w:rsidR="00CF4AEF">
        <w:t>d</w:t>
      </w:r>
      <w:r w:rsidRPr="00C85795">
        <w:t xml:space="preserve"> email of person making the statement</w:t>
      </w:r>
      <w:r w:rsidR="003F18B8">
        <w:t>, and</w:t>
      </w:r>
      <w:r w:rsidRPr="00C85795">
        <w:t xml:space="preserve"> </w:t>
      </w:r>
    </w:p>
    <w:p w14:paraId="5A08CBC7" w14:textId="77777777" w:rsidR="0016084D" w:rsidRPr="00C85795" w:rsidRDefault="0016084D" w:rsidP="0091170A">
      <w:pPr>
        <w:pStyle w:val="BulletLevel2"/>
      </w:pPr>
      <w:r w:rsidRPr="00C85795">
        <w:t xml:space="preserve">date the statement was made. </w:t>
      </w:r>
    </w:p>
    <w:p w14:paraId="7E672295" w14:textId="42B2315A" w:rsidR="001A247C" w:rsidRDefault="0016084D" w:rsidP="00F55C29">
      <w:r w:rsidRPr="42C107D3">
        <w:t xml:space="preserve">If the evidence used is a statement from the Participant, the Provider must check the consistency of the statement with any other evidence that may be available for part of the </w:t>
      </w:r>
      <w:r>
        <w:t>O</w:t>
      </w:r>
      <w:r w:rsidRPr="42C107D3">
        <w:t xml:space="preserve">utcome period, such as a </w:t>
      </w:r>
      <w:hyperlink r:id="rId79" w:history="1">
        <w:r w:rsidR="00DD56B2" w:rsidRPr="00FB7CD7">
          <w:rPr>
            <w:rStyle w:val="Hyperlink"/>
            <w:rFonts w:cstheme="minorHAnsi"/>
          </w:rPr>
          <w:t>Profit and Loss Statement</w:t>
        </w:r>
      </w:hyperlink>
      <w:r w:rsidR="00DD56B2" w:rsidRPr="00FB7CD7">
        <w:rPr>
          <w:rFonts w:cstheme="minorHAnsi"/>
        </w:rPr>
        <w:t xml:space="preserve">, </w:t>
      </w:r>
      <w:hyperlink r:id="rId80" w:history="1">
        <w:r w:rsidR="00DD56B2" w:rsidRPr="00FB7CD7">
          <w:rPr>
            <w:rStyle w:val="Hyperlink"/>
            <w:rFonts w:cstheme="minorHAnsi"/>
          </w:rPr>
          <w:t>Business Activity Statement</w:t>
        </w:r>
      </w:hyperlink>
      <w:r w:rsidR="00DD56B2">
        <w:t xml:space="preserve"> </w:t>
      </w:r>
      <w:r w:rsidRPr="42C107D3">
        <w:t>or tax return statement.</w:t>
      </w:r>
    </w:p>
    <w:p w14:paraId="60B347B3" w14:textId="77777777" w:rsidR="00DD56B2" w:rsidRPr="001F325C" w:rsidRDefault="00DD56B2" w:rsidP="00DD56B2">
      <w:r w:rsidRPr="001F325C">
        <w:t>Proof of business establishment alone is not sufficient evidence to support an Outcome Payment. </w:t>
      </w:r>
    </w:p>
    <w:p w14:paraId="58D27637" w14:textId="4165CFC8" w:rsidR="00DD56B2" w:rsidRPr="001F325C" w:rsidRDefault="00DD56B2" w:rsidP="00DD56B2">
      <w:r>
        <w:t xml:space="preserve">The records or statements provided </w:t>
      </w:r>
      <w:r w:rsidR="00690E9E">
        <w:t>must</w:t>
      </w:r>
      <w:r>
        <w:t xml:space="preserve"> show the Participant has earned enough to </w:t>
      </w:r>
      <w:r w:rsidR="00E27D85">
        <w:t>record a profit</w:t>
      </w:r>
      <w:r>
        <w:t xml:space="preserve"> </w:t>
      </w:r>
      <w:r w:rsidR="00BE55A7">
        <w:t>—</w:t>
      </w:r>
      <w:r w:rsidR="009355E0">
        <w:t xml:space="preserve"> </w:t>
      </w:r>
      <w:r>
        <w:t xml:space="preserve">i.e. generating sufficient personal income (net of business expenses, including tax). These records or statements should also confirm </w:t>
      </w:r>
      <w:r w:rsidR="00690E9E">
        <w:t>whether</w:t>
      </w:r>
      <w:r>
        <w:t xml:space="preserve"> the National Minimum Wage rate has been achieved when combined with evidence that the Participant has worked the required hours each week/fortnight to achieve sufficient hours (such as a record of the Participant’s appointments or diary entries).</w:t>
      </w:r>
    </w:p>
    <w:p w14:paraId="2D5B11A1" w14:textId="6C5D7044" w:rsidR="00690E9E" w:rsidRPr="001F325C" w:rsidRDefault="00690E9E" w:rsidP="00DD56B2">
      <w:r w:rsidRPr="29126000">
        <w:rPr>
          <w:b/>
          <w:bCs/>
        </w:rPr>
        <w:t>Note:</w:t>
      </w:r>
      <w:r>
        <w:t xml:space="preserve"> Providers do not need to hold Documentary Evidence if the Department’s IT Systems are able to use Services Australia data to verify that an Employment Outcome is payable.</w:t>
      </w:r>
    </w:p>
    <w:p w14:paraId="485F2CF2" w14:textId="278C18BE" w:rsidR="00CD66B6" w:rsidRPr="003D1268" w:rsidRDefault="00CD66B6" w:rsidP="00CD66B6">
      <w:pPr>
        <w:pStyle w:val="Heading5"/>
      </w:pPr>
      <w:r>
        <w:t>Additional considerations for Transferred Participants</w:t>
      </w:r>
    </w:p>
    <w:p w14:paraId="064C0A79" w14:textId="65C9785A" w:rsidR="00CD66B6" w:rsidRDefault="00CD66B6" w:rsidP="00CD66B6">
      <w:r>
        <w:t>Where a Participant transfers while progressing towards an Outcome Fee, the Outcome Fee is only available to the Provider with whom the Participant is Commenced at the time the Outcome Fee becomes claimable.</w:t>
      </w:r>
      <w:r w:rsidDel="00A6028B">
        <w:t xml:space="preserve"> </w:t>
      </w:r>
      <w:r>
        <w:t xml:space="preserve">Employment Outcome Payments </w:t>
      </w:r>
      <w:r w:rsidRPr="00155A3F">
        <w:t>cannot</w:t>
      </w:r>
      <w:r>
        <w:t xml:space="preserve"> be claimed on a pro-rata basis. </w:t>
      </w:r>
    </w:p>
    <w:p w14:paraId="24DFDB9C" w14:textId="50583390" w:rsidR="00182CBD" w:rsidRPr="003410AA" w:rsidRDefault="00CD66B6" w:rsidP="00182CBD">
      <w:pPr>
        <w:pStyle w:val="Heading5"/>
      </w:pPr>
      <w:r>
        <w:t xml:space="preserve">Additional considerations for </w:t>
      </w:r>
      <w:r w:rsidR="00182CBD" w:rsidRPr="003410AA">
        <w:t>Participants moving into Employment</w:t>
      </w:r>
      <w:r>
        <w:t xml:space="preserve"> while participating in Complementary Services</w:t>
      </w:r>
    </w:p>
    <w:p w14:paraId="3AF8C64A" w14:textId="7F99735C" w:rsidR="00182CBD" w:rsidRDefault="00182CBD" w:rsidP="00182CBD">
      <w:r>
        <w:t xml:space="preserve">An employment or training program administered by the Commonwealth (other than </w:t>
      </w:r>
      <w:r w:rsidR="00202A96">
        <w:t>Inclusive Employment Australia</w:t>
      </w:r>
      <w:r>
        <w:t>), or provided by a State or Territory Government, is called a Complementary Service. Providers may access these programs to provide additional or alternative specialised assistance to a Participant.</w:t>
      </w:r>
    </w:p>
    <w:p w14:paraId="74DBDDD2" w14:textId="49584492" w:rsidR="00182CBD" w:rsidRDefault="00182CBD" w:rsidP="00182CBD">
      <w:r>
        <w:t xml:space="preserve">If a Participant moves from a Complementary Service into Employment that satisfies the requirements for an Outcome and the service provided under the Complementary Service </w:t>
      </w:r>
      <w:r w:rsidR="008D5E8A">
        <w:t>is</w:t>
      </w:r>
      <w:r>
        <w:t xml:space="preserve"> the same or a similar service to </w:t>
      </w:r>
      <w:r w:rsidR="00EA301A">
        <w:t>Inclusive Employment Australia</w:t>
      </w:r>
      <w:r>
        <w:t xml:space="preserve">, the Provider may only claim an amount equal to </w:t>
      </w:r>
      <w:r w:rsidRPr="2E8B150F">
        <w:rPr>
          <w:b/>
          <w:bCs/>
        </w:rPr>
        <w:t>the difference</w:t>
      </w:r>
      <w:r>
        <w:t xml:space="preserve"> between:</w:t>
      </w:r>
    </w:p>
    <w:p w14:paraId="31D9B26F" w14:textId="77777777" w:rsidR="00182CBD" w:rsidRDefault="00182CBD" w:rsidP="004E120D">
      <w:pPr>
        <w:pStyle w:val="BulletLevel1"/>
      </w:pPr>
      <w:r>
        <w:t>the Outcome Fee, plus any Moderate Intellectual Disability Payment, payable, and</w:t>
      </w:r>
    </w:p>
    <w:p w14:paraId="079F0A98" w14:textId="4A053FFD" w:rsidR="00182CBD" w:rsidRDefault="00182CBD" w:rsidP="004E120D">
      <w:pPr>
        <w:pStyle w:val="BulletLevel1"/>
      </w:pPr>
      <w:r>
        <w:t xml:space="preserve">the fee, if any, payable to the relevant Complementary Services </w:t>
      </w:r>
      <w:r w:rsidR="00CD66B6">
        <w:t>p</w:t>
      </w:r>
      <w:r>
        <w:t>rovider in relation to the same Employment related activity under any contract with the Commonwealth, or any State or Territory Government.</w:t>
      </w:r>
    </w:p>
    <w:p w14:paraId="6E9FC4FF" w14:textId="504BD576" w:rsidR="00D67F15" w:rsidRPr="00391F2C" w:rsidRDefault="00D67F15" w:rsidP="00D67F15">
      <w:pPr>
        <w:rPr>
          <w:sz w:val="20"/>
          <w:szCs w:val="22"/>
        </w:rPr>
      </w:pPr>
      <w:r w:rsidRPr="00391F2C">
        <w:rPr>
          <w:sz w:val="20"/>
          <w:szCs w:val="22"/>
        </w:rPr>
        <w:t>(</w:t>
      </w:r>
      <w:r w:rsidR="000024FD" w:rsidRPr="00391F2C">
        <w:rPr>
          <w:sz w:val="20"/>
          <w:szCs w:val="22"/>
        </w:rPr>
        <w:t>Deed Reference</w:t>
      </w:r>
      <w:r w:rsidRPr="00391F2C">
        <w:rPr>
          <w:sz w:val="20"/>
          <w:szCs w:val="22"/>
        </w:rPr>
        <w:t xml:space="preserve">: Clause </w:t>
      </w:r>
      <w:r>
        <w:rPr>
          <w:sz w:val="20"/>
          <w:szCs w:val="22"/>
        </w:rPr>
        <w:t>157.3</w:t>
      </w:r>
      <w:r w:rsidRPr="00391F2C">
        <w:rPr>
          <w:sz w:val="20"/>
          <w:szCs w:val="22"/>
        </w:rPr>
        <w:t>)</w:t>
      </w:r>
    </w:p>
    <w:p w14:paraId="12940D34" w14:textId="31FB6E5F" w:rsidR="0094553D" w:rsidRDefault="00494342" w:rsidP="0094553D">
      <w:pPr>
        <w:pStyle w:val="Heading4"/>
      </w:pPr>
      <w:bookmarkStart w:id="500" w:name="_Ref202798416"/>
      <w:bookmarkStart w:id="501" w:name="_Ref202884334"/>
      <w:bookmarkStart w:id="502" w:name="_Ref202899184"/>
      <w:bookmarkStart w:id="503" w:name="_Toc202900093"/>
      <w:r>
        <w:t>1</w:t>
      </w:r>
      <w:r w:rsidR="00B669D0">
        <w:t>1</w:t>
      </w:r>
      <w:r w:rsidR="0094553D" w:rsidRPr="25249C38">
        <w:t>.5.</w:t>
      </w:r>
      <w:r w:rsidR="00386EBD">
        <w:t>3</w:t>
      </w:r>
      <w:r w:rsidR="0094553D">
        <w:tab/>
      </w:r>
      <w:r w:rsidR="0094553D" w:rsidRPr="25249C38">
        <w:t>Non-Payable Outcomes</w:t>
      </w:r>
      <w:bookmarkEnd w:id="500"/>
      <w:bookmarkEnd w:id="501"/>
      <w:bookmarkEnd w:id="502"/>
      <w:bookmarkEnd w:id="503"/>
    </w:p>
    <w:p w14:paraId="54CB4D65" w14:textId="77777777" w:rsidR="0094553D" w:rsidRDefault="0094553D" w:rsidP="0094553D">
      <w:r w:rsidRPr="00C70AB8">
        <w:t xml:space="preserve">There are some situations </w:t>
      </w:r>
      <w:r>
        <w:t>where achievement of Employment Outcomes</w:t>
      </w:r>
      <w:r w:rsidRPr="00C70AB8">
        <w:t xml:space="preserve"> do</w:t>
      </w:r>
      <w:r>
        <w:t>es</w:t>
      </w:r>
      <w:r w:rsidRPr="00C70AB8">
        <w:t xml:space="preserve"> not attract Outcome Fees, </w:t>
      </w:r>
      <w:r>
        <w:t xml:space="preserve">even where the Participant works sufficient hours or earns sufficient income to meet the Employment Outcome requirements. These are referred to as Non-Payable Outcomes. </w:t>
      </w:r>
    </w:p>
    <w:p w14:paraId="1664FCCD" w14:textId="77777777" w:rsidR="0094553D" w:rsidRDefault="0094553D" w:rsidP="0094553D">
      <w:r>
        <w:t>The following Employment types are examples of Non-Payable Outcomes:</w:t>
      </w:r>
    </w:p>
    <w:p w14:paraId="1584DC0D" w14:textId="000D5581" w:rsidR="0094553D" w:rsidRDefault="0094553D" w:rsidP="004E120D">
      <w:pPr>
        <w:pStyle w:val="BulletLevel1"/>
      </w:pPr>
      <w:r>
        <w:t xml:space="preserve">volunteer work, </w:t>
      </w:r>
      <w:r w:rsidR="00FE48FF">
        <w:t xml:space="preserve">unpaid </w:t>
      </w:r>
      <w:r>
        <w:t xml:space="preserve">work experience or unpaid </w:t>
      </w:r>
      <w:r w:rsidR="00FE48FF">
        <w:t>W</w:t>
      </w:r>
      <w:r>
        <w:t>ork</w:t>
      </w:r>
      <w:r w:rsidR="00FE48FF">
        <w:t xml:space="preserve"> Trail</w:t>
      </w:r>
    </w:p>
    <w:p w14:paraId="24FAAAED" w14:textId="7CB4FAC5" w:rsidR="0094553D" w:rsidRDefault="0094553D" w:rsidP="004E120D">
      <w:pPr>
        <w:pStyle w:val="BulletLevel1"/>
      </w:pPr>
      <w:r>
        <w:t xml:space="preserve">non-ongoing </w:t>
      </w:r>
      <w:r w:rsidR="005147AB">
        <w:t xml:space="preserve">paid </w:t>
      </w:r>
      <w:r>
        <w:t xml:space="preserve">work or </w:t>
      </w:r>
      <w:r w:rsidR="005147AB">
        <w:t xml:space="preserve">paid </w:t>
      </w:r>
      <w:r>
        <w:t>Work Trial</w:t>
      </w:r>
    </w:p>
    <w:p w14:paraId="3F7C1586" w14:textId="4C0D0FDA" w:rsidR="0094553D" w:rsidRDefault="00BB00C8" w:rsidP="004E120D">
      <w:pPr>
        <w:pStyle w:val="BulletLevel1"/>
      </w:pPr>
      <w:r>
        <w:t xml:space="preserve">work under </w:t>
      </w:r>
      <w:r w:rsidR="0094553D">
        <w:t>a program funded by the Australian Government, or a State or Territory Government, unless otherwise advised by the Department</w:t>
      </w:r>
    </w:p>
    <w:p w14:paraId="16527DD7" w14:textId="5D5620C8" w:rsidR="0094553D" w:rsidRDefault="0094553D" w:rsidP="004E120D">
      <w:pPr>
        <w:pStyle w:val="BulletLevel1"/>
      </w:pPr>
      <w:r>
        <w:t xml:space="preserve">position generating income or earnings </w:t>
      </w:r>
      <w:r w:rsidRPr="00862AA2">
        <w:t>directly</w:t>
      </w:r>
      <w:r>
        <w:t xml:space="preserve"> from gambling</w:t>
      </w:r>
    </w:p>
    <w:p w14:paraId="75B25182" w14:textId="1582E1BB" w:rsidR="0094553D" w:rsidRDefault="0094553D" w:rsidP="004E120D">
      <w:pPr>
        <w:pStyle w:val="BulletLevel1"/>
      </w:pPr>
      <w:r>
        <w:t>position generating income or earning</w:t>
      </w:r>
      <w:r w:rsidR="007021E6">
        <w:t>s</w:t>
      </w:r>
      <w:r>
        <w:t xml:space="preserve"> </w:t>
      </w:r>
      <w:r w:rsidRPr="00862AA2">
        <w:t>directly</w:t>
      </w:r>
      <w:r>
        <w:t xml:space="preserve"> from commission</w:t>
      </w:r>
    </w:p>
    <w:p w14:paraId="422F016C" w14:textId="529723C3" w:rsidR="0094553D" w:rsidRDefault="0094553D" w:rsidP="004E120D">
      <w:pPr>
        <w:pStyle w:val="BulletLevel1"/>
      </w:pPr>
      <w:r>
        <w:t xml:space="preserve">position </w:t>
      </w:r>
      <w:r w:rsidR="007021E6">
        <w:t xml:space="preserve">(or similar position) </w:t>
      </w:r>
      <w:r>
        <w:t xml:space="preserve">vacated </w:t>
      </w:r>
      <w:r w:rsidR="007021E6">
        <w:t>within</w:t>
      </w:r>
      <w:r>
        <w:t xml:space="preserve"> </w:t>
      </w:r>
      <w:r w:rsidR="007D5C07">
        <w:t>14 Calendar</w:t>
      </w:r>
      <w:r>
        <w:t xml:space="preserve"> Days by another Participant</w:t>
      </w:r>
      <w:r w:rsidR="007021E6">
        <w:t>, for which</w:t>
      </w:r>
      <w:r>
        <w:t xml:space="preserve"> the Provider claimed an Outcome Fee.</w:t>
      </w:r>
    </w:p>
    <w:p w14:paraId="20565212" w14:textId="3462F911" w:rsidR="0094553D" w:rsidRDefault="0094553D" w:rsidP="0094553D">
      <w:pPr>
        <w:pStyle w:val="Heading5"/>
      </w:pPr>
      <w:r>
        <w:t>Pre-</w:t>
      </w:r>
      <w:r w:rsidR="00EC69D1">
        <w:t>E</w:t>
      </w:r>
      <w:r>
        <w:t>xisting Employment</w:t>
      </w:r>
    </w:p>
    <w:p w14:paraId="2A973B1B" w14:textId="13AC842C" w:rsidR="0094553D" w:rsidRDefault="003156E7" w:rsidP="0094553D">
      <w:r>
        <w:t>Employment</w:t>
      </w:r>
      <w:r w:rsidR="0094553D">
        <w:t xml:space="preserve"> </w:t>
      </w:r>
      <w:r w:rsidR="00C52214">
        <w:t>that</w:t>
      </w:r>
      <w:r w:rsidR="0094553D">
        <w:t xml:space="preserve"> a Participant is already undertaking </w:t>
      </w:r>
      <w:r>
        <w:t>when they</w:t>
      </w:r>
      <w:r w:rsidR="0094553D">
        <w:t xml:space="preserve"> Commenc</w:t>
      </w:r>
      <w:r>
        <w:t>e</w:t>
      </w:r>
      <w:r w:rsidR="0094553D">
        <w:t xml:space="preserve"> in </w:t>
      </w:r>
      <w:r w:rsidR="00202A96">
        <w:t>Inclusive Employment Australia</w:t>
      </w:r>
      <w:r w:rsidR="0094553D">
        <w:t xml:space="preserve"> is not </w:t>
      </w:r>
      <w:r w:rsidR="00F51E86">
        <w:t xml:space="preserve">generally </w:t>
      </w:r>
      <w:r w:rsidR="0094553D">
        <w:t xml:space="preserve">eligible </w:t>
      </w:r>
      <w:r w:rsidR="00F51E86">
        <w:t>for</w:t>
      </w:r>
      <w:r w:rsidR="0094553D">
        <w:t xml:space="preserve"> an Employment Outcome.</w:t>
      </w:r>
    </w:p>
    <w:p w14:paraId="6179C93C" w14:textId="77777777" w:rsidR="007D4AD1" w:rsidRDefault="0094553D" w:rsidP="007D4AD1">
      <w:r>
        <w:t xml:space="preserve">However, </w:t>
      </w:r>
      <w:r w:rsidR="20AA1C80">
        <w:t>if</w:t>
      </w:r>
      <w:r>
        <w:t xml:space="preserve"> a Participant increases their working hours to their Employment Benchmark</w:t>
      </w:r>
      <w:r w:rsidR="00FB2C8F">
        <w:t xml:space="preserve"> or more</w:t>
      </w:r>
      <w:r>
        <w:t xml:space="preserve">, </w:t>
      </w:r>
      <w:r w:rsidR="67F9552E">
        <w:t xml:space="preserve">either through more hours in the Pre-Existing position or through the addition of a new Job Placement </w:t>
      </w:r>
      <w:r>
        <w:t xml:space="preserve">an Outcome </w:t>
      </w:r>
      <w:r w:rsidR="003871A9">
        <w:t xml:space="preserve">will </w:t>
      </w:r>
      <w:r>
        <w:t>be payable</w:t>
      </w:r>
      <w:r w:rsidR="00FB2C8F">
        <w:t xml:space="preserve"> based on the </w:t>
      </w:r>
      <w:r w:rsidR="003871A9">
        <w:t>extra hours.</w:t>
      </w:r>
    </w:p>
    <w:p w14:paraId="0CAD6BD6" w14:textId="33B5D359" w:rsidR="0094553D" w:rsidRDefault="0094553D" w:rsidP="0094553D">
      <w:pPr>
        <w:pStyle w:val="Heading5"/>
      </w:pPr>
      <w:r>
        <w:t>Recurring Employment</w:t>
      </w:r>
    </w:p>
    <w:p w14:paraId="740EA9AF" w14:textId="77777777" w:rsidR="0094553D" w:rsidRDefault="0094553D" w:rsidP="0094553D">
      <w:r>
        <w:t xml:space="preserve">Outcome Fees are not payable in instances of Recurring Employment. </w:t>
      </w:r>
    </w:p>
    <w:p w14:paraId="7190A092" w14:textId="16880993" w:rsidR="0094553D" w:rsidRPr="001841C1" w:rsidRDefault="0094553D" w:rsidP="0094553D">
      <w:r>
        <w:t xml:space="preserve">Employment or Unsubsidised Self-Employment that results in more than one Employment Outcome for a Participant with the same Employer is considered Recurring Employment. It does not apply to Employment or Unsubsidised Self-Employment that occurred prior to the </w:t>
      </w:r>
      <w:r w:rsidR="0052156C">
        <w:t>C</w:t>
      </w:r>
      <w:r>
        <w:t xml:space="preserve">ommencement in </w:t>
      </w:r>
      <w:r w:rsidR="00202A96">
        <w:t>Inclusive Employment Australia</w:t>
      </w:r>
      <w:r>
        <w:t>.</w:t>
      </w:r>
    </w:p>
    <w:p w14:paraId="546D06EF" w14:textId="77777777" w:rsidR="0094553D" w:rsidRDefault="0094553D" w:rsidP="0094553D">
      <w:pPr>
        <w:pStyle w:val="Heading5"/>
      </w:pPr>
      <w:r>
        <w:t>Contrived Employment</w:t>
      </w:r>
    </w:p>
    <w:p w14:paraId="75AFEF70" w14:textId="738DECC7" w:rsidR="0094553D" w:rsidRDefault="0094553D" w:rsidP="0094553D">
      <w:pPr>
        <w:rPr>
          <w:rFonts w:cstheme="minorHAnsi"/>
          <w:szCs w:val="22"/>
        </w:rPr>
      </w:pPr>
      <w:r>
        <w:rPr>
          <w:rFonts w:cstheme="minorHAnsi"/>
          <w:szCs w:val="22"/>
        </w:rPr>
        <w:t xml:space="preserve">Outcome Fees are not payable in instances of contrived </w:t>
      </w:r>
      <w:r w:rsidR="0042338A">
        <w:rPr>
          <w:rFonts w:cstheme="minorHAnsi"/>
          <w:szCs w:val="22"/>
        </w:rPr>
        <w:t>E</w:t>
      </w:r>
      <w:r>
        <w:rPr>
          <w:rFonts w:cstheme="minorHAnsi"/>
          <w:szCs w:val="22"/>
        </w:rPr>
        <w:t>mployment.</w:t>
      </w:r>
    </w:p>
    <w:p w14:paraId="79819C1D" w14:textId="7EF263A6" w:rsidR="0094553D" w:rsidRDefault="0094553D" w:rsidP="0094553D">
      <w:r w:rsidRPr="10FF4AF5">
        <w:t xml:space="preserve">Contrived </w:t>
      </w:r>
      <w:r w:rsidR="0042338A">
        <w:t>E</w:t>
      </w:r>
      <w:r w:rsidRPr="10FF4AF5">
        <w:t xml:space="preserve">mployment is an arrangement whereby a Provider or another person creates an artificial work opportunity </w:t>
      </w:r>
      <w:r w:rsidR="00AB498E">
        <w:t>to</w:t>
      </w:r>
      <w:r w:rsidRPr="10FF4AF5">
        <w:t xml:space="preserve"> maximis</w:t>
      </w:r>
      <w:r w:rsidR="00AB498E">
        <w:t>e</w:t>
      </w:r>
      <w:r w:rsidRPr="10FF4AF5">
        <w:t xml:space="preserve"> </w:t>
      </w:r>
      <w:r w:rsidR="000E7116">
        <w:t>P</w:t>
      </w:r>
      <w:r w:rsidRPr="10FF4AF5">
        <w:t>ayments or otherwise obtain a benefit. The Department will decide instances of contrived employment in its absolute discretion.</w:t>
      </w:r>
    </w:p>
    <w:p w14:paraId="09FBE73F" w14:textId="4352A1FA" w:rsidR="1731143F" w:rsidRDefault="4D2DE040" w:rsidP="1731143F">
      <w:pPr>
        <w:pStyle w:val="Heading5"/>
      </w:pPr>
      <w:r>
        <w:t xml:space="preserve">A position that is </w:t>
      </w:r>
      <w:r w:rsidR="00717B0B">
        <w:t xml:space="preserve">not </w:t>
      </w:r>
      <w:r>
        <w:t>in Open Employment</w:t>
      </w:r>
    </w:p>
    <w:p w14:paraId="0D257DBF" w14:textId="77777777" w:rsidR="00F46DCD" w:rsidRDefault="4D2DE040" w:rsidP="0240B6FD">
      <w:pPr>
        <w:tabs>
          <w:tab w:val="right" w:pos="1701"/>
        </w:tabs>
        <w:spacing w:after="120"/>
      </w:pPr>
      <w:r w:rsidRPr="0223D81D">
        <w:t xml:space="preserve">Placements must be in </w:t>
      </w:r>
      <w:r w:rsidRPr="361F2B44">
        <w:t>Open</w:t>
      </w:r>
      <w:r w:rsidRPr="0B7B5E8E">
        <w:t xml:space="preserve"> Employment positions to be eligible for Outcome payments. </w:t>
      </w:r>
    </w:p>
    <w:p w14:paraId="25071464" w14:textId="47EDE98C" w:rsidR="0094553D" w:rsidRDefault="4D2DE040" w:rsidP="0240B6FD">
      <w:pPr>
        <w:tabs>
          <w:tab w:val="right" w:pos="1701"/>
        </w:tabs>
        <w:spacing w:after="120"/>
      </w:pPr>
      <w:r w:rsidRPr="0B7B5E8E">
        <w:t>Indicators</w:t>
      </w:r>
      <w:r w:rsidRPr="0240B6FD">
        <w:t xml:space="preserve"> that the Placement is in Open Employment include:</w:t>
      </w:r>
    </w:p>
    <w:p w14:paraId="53D2D90D" w14:textId="7744DF77" w:rsidR="4D2DE040" w:rsidRDefault="4D2DE040" w:rsidP="004E120D">
      <w:pPr>
        <w:pStyle w:val="BulletLevel1"/>
      </w:pPr>
      <w:r>
        <w:t xml:space="preserve">the position is </w:t>
      </w:r>
      <w:r w:rsidR="00326D20">
        <w:t xml:space="preserve">not </w:t>
      </w:r>
      <w:r>
        <w:t xml:space="preserve">in </w:t>
      </w:r>
      <w:r w:rsidR="00326D20">
        <w:t>a segregat</w:t>
      </w:r>
      <w:r>
        <w:t>e</w:t>
      </w:r>
      <w:r w:rsidR="00326D20">
        <w:t>d</w:t>
      </w:r>
      <w:r>
        <w:t xml:space="preserve"> work</w:t>
      </w:r>
      <w:r w:rsidR="00326D20">
        <w:t>pla</w:t>
      </w:r>
      <w:r>
        <w:t>ce</w:t>
      </w:r>
      <w:r w:rsidR="00326D20">
        <w:t xml:space="preserve"> setting</w:t>
      </w:r>
    </w:p>
    <w:p w14:paraId="49F9FAEA" w14:textId="61E6EFA6" w:rsidR="4D2DE040" w:rsidRDefault="4D2DE040" w:rsidP="004E120D">
      <w:pPr>
        <w:pStyle w:val="BulletLevel1"/>
      </w:pPr>
      <w:r>
        <w:t>the Employer and any organisation where the Participant is placed by the Employer is a commercial business or organisation, or if it is a social enterprise, is working on a commercial basis</w:t>
      </w:r>
      <w:r w:rsidR="006D4ADE">
        <w:t>,</w:t>
      </w:r>
      <w:r w:rsidR="00326D20">
        <w:t xml:space="preserve"> and</w:t>
      </w:r>
    </w:p>
    <w:p w14:paraId="5EF2B871" w14:textId="3DAF07E8" w:rsidR="4D2DE040" w:rsidRDefault="4D2DE040" w:rsidP="004E120D">
      <w:pPr>
        <w:pStyle w:val="BulletLevel1"/>
      </w:pPr>
      <w:r>
        <w:t>the position is available to the open labour market including people without disability or involves functions and conditions comparable to those of a similar role in a commercial business.</w:t>
      </w:r>
    </w:p>
    <w:p w14:paraId="60FB7E11" w14:textId="644C7D24" w:rsidR="0094553D" w:rsidRPr="00F901C8" w:rsidRDefault="0094553D" w:rsidP="005971A9">
      <w:pPr>
        <w:rPr>
          <w:rFonts w:cstheme="minorHAnsi"/>
          <w:szCs w:val="22"/>
        </w:rPr>
      </w:pPr>
      <w:r w:rsidRPr="00F901C8">
        <w:rPr>
          <w:rFonts w:cstheme="minorHAnsi"/>
          <w:szCs w:val="22"/>
        </w:rPr>
        <w:t>Indicators that the Placement is not in Open Employment</w:t>
      </w:r>
      <w:r>
        <w:rPr>
          <w:rFonts w:cstheme="minorHAnsi"/>
          <w:szCs w:val="22"/>
        </w:rPr>
        <w:t xml:space="preserve"> include:</w:t>
      </w:r>
    </w:p>
    <w:p w14:paraId="2B20365B" w14:textId="220D5D4C" w:rsidR="0094553D" w:rsidRPr="00E37CED" w:rsidRDefault="0094553D" w:rsidP="004E120D">
      <w:pPr>
        <w:pStyle w:val="BulletLevel1"/>
      </w:pPr>
      <w:r w:rsidRPr="00E37CED">
        <w:t>the organisation is a Support</w:t>
      </w:r>
      <w:r w:rsidR="00BC408B">
        <w:t>ed</w:t>
      </w:r>
      <w:r w:rsidRPr="00E37CED">
        <w:t xml:space="preserve"> Employment Services provider</w:t>
      </w:r>
    </w:p>
    <w:p w14:paraId="0DD21548" w14:textId="77777777" w:rsidR="0094553D" w:rsidRPr="00E37CED" w:rsidRDefault="0094553D" w:rsidP="004E120D">
      <w:pPr>
        <w:pStyle w:val="BulletLevel1"/>
      </w:pPr>
      <w:r w:rsidRPr="00E37CED">
        <w:t xml:space="preserve">the Employer and any organisation where the Participant </w:t>
      </w:r>
      <w:bookmarkStart w:id="504" w:name="_Int_FhVEmcN4"/>
      <w:r w:rsidRPr="00E37CED">
        <w:t>is</w:t>
      </w:r>
      <w:bookmarkEnd w:id="504"/>
      <w:r w:rsidRPr="00E37CED">
        <w:t xml:space="preserve"> placed by the Employer is a social enterprise focussing on the employment of people with disability and is not working on a commercial basis</w:t>
      </w:r>
    </w:p>
    <w:p w14:paraId="4F8724ED" w14:textId="77777777" w:rsidR="0094553D" w:rsidRPr="00E37CED" w:rsidRDefault="0094553D" w:rsidP="004E120D">
      <w:pPr>
        <w:pStyle w:val="BulletLevel1"/>
      </w:pPr>
      <w:r w:rsidRPr="00E37CED">
        <w:t>the position involves functions or conditions that are not comparable to those for a similar role in a commercial business, and</w:t>
      </w:r>
    </w:p>
    <w:p w14:paraId="0EA073AA" w14:textId="77777777" w:rsidR="0094553D" w:rsidRPr="00E37CED" w:rsidRDefault="0094553D" w:rsidP="004E120D">
      <w:pPr>
        <w:pStyle w:val="BulletLevel1"/>
      </w:pPr>
      <w:r w:rsidRPr="00E37CED">
        <w:t>the position involves interaction mainly with other employees and non-employees in the physical work environment, who have disability or are in a work experience position.</w:t>
      </w:r>
    </w:p>
    <w:p w14:paraId="19385F7B" w14:textId="1CEDD64D" w:rsidR="002322CB" w:rsidRDefault="002322CB" w:rsidP="0094553D">
      <w:pPr>
        <w:pStyle w:val="Heading5"/>
      </w:pPr>
      <w:bookmarkStart w:id="505" w:name="_Toc106379895"/>
      <w:bookmarkStart w:id="506" w:name="_Toc107393382"/>
      <w:r>
        <w:t xml:space="preserve">A position </w:t>
      </w:r>
      <w:r w:rsidR="00A05AA6">
        <w:t>where the conditions of employment do not meet legal requirements</w:t>
      </w:r>
    </w:p>
    <w:p w14:paraId="6294000A" w14:textId="08524787" w:rsidR="00BF005E" w:rsidRDefault="00A05AA6" w:rsidP="00862AA2">
      <w:r>
        <w:t>Outcome fees are not payable for</w:t>
      </w:r>
      <w:r w:rsidR="00BF005E">
        <w:t xml:space="preserve"> employment that contravenes Commonwealth, State or Territory legislation or provides terms and conditions of employment that are inconsistent with the relevant workplace relations </w:t>
      </w:r>
      <w:r w:rsidR="00F01C25">
        <w:t>legislation.</w:t>
      </w:r>
    </w:p>
    <w:p w14:paraId="115EC078" w14:textId="5B78CDB3" w:rsidR="00BF005E" w:rsidRPr="00BF005E" w:rsidRDefault="008F75BA" w:rsidP="00BD03EC">
      <w:r>
        <w:t xml:space="preserve">Providers should also ensure the Participant is aware of their rights </w:t>
      </w:r>
      <w:r w:rsidR="008342E7">
        <w:t xml:space="preserve">and who </w:t>
      </w:r>
      <w:r w:rsidR="00453037">
        <w:t>to</w:t>
      </w:r>
      <w:r w:rsidR="008342E7">
        <w:t xml:space="preserve"> contact to enforce workplace laws</w:t>
      </w:r>
      <w:r w:rsidR="00246550">
        <w:t xml:space="preserve">. </w:t>
      </w:r>
      <w:r w:rsidR="00B97558">
        <w:t xml:space="preserve"> </w:t>
      </w:r>
    </w:p>
    <w:p w14:paraId="3C81F2E3" w14:textId="10B8B65A" w:rsidR="0094553D" w:rsidRDefault="0094553D" w:rsidP="0094553D">
      <w:pPr>
        <w:pStyle w:val="Heading5"/>
        <w:rPr>
          <w:spacing w:val="0"/>
        </w:rPr>
      </w:pPr>
      <w:r>
        <w:t>Employment with the Provider’s Own Organisation or Related Entity</w:t>
      </w:r>
      <w:bookmarkEnd w:id="505"/>
      <w:bookmarkEnd w:id="506"/>
    </w:p>
    <w:p w14:paraId="604FB5CC" w14:textId="3D956855" w:rsidR="0094553D" w:rsidRDefault="0094553D" w:rsidP="0094553D">
      <w:r>
        <w:t xml:space="preserve">Generally, </w:t>
      </w:r>
      <w:r w:rsidR="008B25E4">
        <w:t xml:space="preserve">an Employment Outcome is not available for </w:t>
      </w:r>
      <w:r>
        <w:t xml:space="preserve">a Participant </w:t>
      </w:r>
      <w:r w:rsidR="008B25E4">
        <w:t xml:space="preserve">who </w:t>
      </w:r>
      <w:r>
        <w:t xml:space="preserve">is </w:t>
      </w:r>
      <w:r w:rsidR="00F70EB4">
        <w:t>E</w:t>
      </w:r>
      <w:r>
        <w:t>mployed</w:t>
      </w:r>
      <w:r w:rsidRPr="00C067BB">
        <w:t xml:space="preserve"> within the Provider’s Own Organisation or a Related Entity</w:t>
      </w:r>
      <w:r>
        <w:t>.</w:t>
      </w:r>
    </w:p>
    <w:p w14:paraId="4F1301F4" w14:textId="27D06C82" w:rsidR="00523F0B" w:rsidRDefault="009206C8" w:rsidP="0094553D">
      <w:r>
        <w:t xml:space="preserve">Providers may </w:t>
      </w:r>
      <w:r w:rsidR="005933AB">
        <w:t>seek</w:t>
      </w:r>
      <w:r>
        <w:t xml:space="preserve"> </w:t>
      </w:r>
      <w:r w:rsidR="00E11471">
        <w:t>approval from the Department to claim an Employment Outcome</w:t>
      </w:r>
      <w:r w:rsidR="00931924">
        <w:t xml:space="preserve"> for a Participant </w:t>
      </w:r>
      <w:r w:rsidR="00931924" w:rsidRPr="00931924">
        <w:t>Employed within the Provider’s Own Organisation or a Related Entity</w:t>
      </w:r>
      <w:r w:rsidR="008424EA">
        <w:t xml:space="preserve">. </w:t>
      </w:r>
      <w:r w:rsidR="00523F0B">
        <w:t>T</w:t>
      </w:r>
      <w:r w:rsidR="00523F0B" w:rsidRPr="00523F0B">
        <w:t xml:space="preserve">he Department will consider such requests on a </w:t>
      </w:r>
      <w:r w:rsidR="00456C9D" w:rsidRPr="00523F0B">
        <w:t>case-by-case</w:t>
      </w:r>
      <w:r w:rsidR="00523F0B" w:rsidRPr="00523F0B">
        <w:t xml:space="preserve"> basis</w:t>
      </w:r>
      <w:r w:rsidR="00917316">
        <w:t>. The Provider should indicate</w:t>
      </w:r>
      <w:r w:rsidR="00523F0B">
        <w:t xml:space="preserve"> </w:t>
      </w:r>
      <w:r w:rsidR="00ED2616">
        <w:t>if</w:t>
      </w:r>
      <w:r w:rsidR="00523F0B">
        <w:t>:</w:t>
      </w:r>
    </w:p>
    <w:p w14:paraId="1AE8981C" w14:textId="62BAEA25" w:rsidR="00534739" w:rsidRDefault="004F4E5E" w:rsidP="004E120D">
      <w:pPr>
        <w:pStyle w:val="BulletLevel1"/>
      </w:pPr>
      <w:r>
        <w:t>the Employment in the Own Organisation or Related Entity was offered on an ongoing basis</w:t>
      </w:r>
    </w:p>
    <w:p w14:paraId="6B8F1B17" w14:textId="189DECB2" w:rsidR="00523F0B" w:rsidRPr="00707E34" w:rsidRDefault="00523F0B" w:rsidP="004E120D">
      <w:pPr>
        <w:pStyle w:val="BulletLevel1"/>
      </w:pPr>
      <w:r>
        <w:t xml:space="preserve">the period </w:t>
      </w:r>
      <w:r w:rsidR="004F4E5E">
        <w:t>of Employment</w:t>
      </w:r>
      <w:r>
        <w:t xml:space="preserve"> </w:t>
      </w:r>
      <w:r w:rsidR="00703977">
        <w:t xml:space="preserve">does not continue </w:t>
      </w:r>
      <w:r w:rsidR="000D00F0">
        <w:t>an outcome period from a</w:t>
      </w:r>
      <w:r w:rsidR="009E3055">
        <w:t>n</w:t>
      </w:r>
      <w:r w:rsidR="000D00F0">
        <w:t xml:space="preserve"> anchored job placement</w:t>
      </w:r>
      <w:r w:rsidR="009E3055">
        <w:t xml:space="preserve"> with a different Employer</w:t>
      </w:r>
      <w:r w:rsidR="007401A2">
        <w:t xml:space="preserve"> who is not the Provider’s Own Organisation or a Related Entity</w:t>
      </w:r>
      <w:r w:rsidR="000D00F0">
        <w:t xml:space="preserve"> </w:t>
      </w:r>
    </w:p>
    <w:p w14:paraId="6C0F3844" w14:textId="77777777" w:rsidR="00523F0B" w:rsidRPr="00707E34" w:rsidRDefault="00523F0B" w:rsidP="004E120D">
      <w:pPr>
        <w:pStyle w:val="BulletLevel1"/>
      </w:pPr>
      <w:r w:rsidRPr="00707E34">
        <w:t xml:space="preserve">the Participant is provided with normal Post Placement Support and searching for alternative Employment is not an activity listed in the Participant’s </w:t>
      </w:r>
      <w:r>
        <w:t>Job</w:t>
      </w:r>
      <w:r w:rsidRPr="00707E34">
        <w:t xml:space="preserve"> Plan</w:t>
      </w:r>
      <w:r>
        <w:t>,</w:t>
      </w:r>
      <w:r w:rsidRPr="00707E34">
        <w:t xml:space="preserve"> and </w:t>
      </w:r>
    </w:p>
    <w:p w14:paraId="4F3DECA7" w14:textId="1C9B139B" w:rsidR="00917316" w:rsidRDefault="00523F0B" w:rsidP="004E120D">
      <w:pPr>
        <w:pStyle w:val="BulletLevel1"/>
      </w:pPr>
      <w:r w:rsidRPr="00707E34">
        <w:t xml:space="preserve">the </w:t>
      </w:r>
      <w:r>
        <w:t xml:space="preserve">Job </w:t>
      </w:r>
      <w:r w:rsidRPr="00707E34">
        <w:t>Placement is not otherwise a Non-Payable Outcome</w:t>
      </w:r>
      <w:r w:rsidR="00160CC2">
        <w:t>.</w:t>
      </w:r>
    </w:p>
    <w:p w14:paraId="1EEE6CBC" w14:textId="1BB133D3" w:rsidR="00523F0B" w:rsidRPr="00707E34" w:rsidRDefault="00160CC2" w:rsidP="00BB00C8">
      <w:r>
        <w:t>The Provider may include</w:t>
      </w:r>
      <w:r w:rsidR="00917316">
        <w:t xml:space="preserve"> any other additional information supporting their case </w:t>
      </w:r>
      <w:r w:rsidR="00802A40">
        <w:t>to claim an Outcome.</w:t>
      </w:r>
      <w:r w:rsidR="009E781C">
        <w:t xml:space="preserve"> </w:t>
      </w:r>
    </w:p>
    <w:p w14:paraId="723491D6" w14:textId="725399AF" w:rsidR="009206C8" w:rsidRPr="00383B5F" w:rsidRDefault="005933AB" w:rsidP="00BB00C8">
      <w:r>
        <w:t xml:space="preserve">Evidence of the Department’s approval should be uploaded as Documentary Evidence with the claim for payment of the Outcome. </w:t>
      </w:r>
    </w:p>
    <w:p w14:paraId="7B661A85" w14:textId="352392E5" w:rsidR="00182CBD" w:rsidRPr="003A74E1" w:rsidRDefault="00182CBD" w:rsidP="001D0F92">
      <w:pPr>
        <w:pStyle w:val="Heading3"/>
        <w:rPr>
          <w:rStyle w:val="Heading2Char1"/>
          <w:rFonts w:asciiTheme="majorHAnsi" w:hAnsiTheme="majorHAnsi"/>
          <w:i w:val="0"/>
          <w:color w:val="005A70" w:themeColor="accent1"/>
          <w:sz w:val="32"/>
          <w:szCs w:val="24"/>
        </w:rPr>
      </w:pPr>
      <w:bookmarkStart w:id="507" w:name="_Ref202881484"/>
      <w:bookmarkStart w:id="508" w:name="_Toc202900094"/>
      <w:r w:rsidRPr="003A74E1">
        <w:rPr>
          <w:rStyle w:val="Heading2Char1"/>
          <w:rFonts w:asciiTheme="majorHAnsi" w:hAnsiTheme="majorHAnsi"/>
          <w:i w:val="0"/>
          <w:color w:val="005A70" w:themeColor="accent1"/>
          <w:sz w:val="32"/>
          <w:szCs w:val="24"/>
        </w:rPr>
        <w:t>11.6</w:t>
      </w:r>
      <w:r w:rsidR="007F093C">
        <w:rPr>
          <w:rStyle w:val="Heading2Char1"/>
          <w:rFonts w:asciiTheme="majorHAnsi" w:hAnsiTheme="majorHAnsi"/>
          <w:i w:val="0"/>
          <w:color w:val="005A70" w:themeColor="accent1"/>
          <w:sz w:val="32"/>
          <w:szCs w:val="24"/>
        </w:rPr>
        <w:tab/>
      </w:r>
      <w:r w:rsidRPr="003A74E1">
        <w:rPr>
          <w:rStyle w:val="Heading2Char1"/>
          <w:rFonts w:asciiTheme="majorHAnsi" w:hAnsiTheme="majorHAnsi"/>
          <w:i w:val="0"/>
          <w:color w:val="005A70" w:themeColor="accent1"/>
          <w:sz w:val="32"/>
          <w:szCs w:val="24"/>
        </w:rPr>
        <w:t>Moderate Intellectual Disability</w:t>
      </w:r>
      <w:r w:rsidR="007F093C">
        <w:rPr>
          <w:rStyle w:val="Heading2Char1"/>
          <w:rFonts w:asciiTheme="majorHAnsi" w:hAnsiTheme="majorHAnsi"/>
          <w:i w:val="0"/>
          <w:color w:val="005A70" w:themeColor="accent1"/>
          <w:sz w:val="32"/>
          <w:szCs w:val="24"/>
        </w:rPr>
        <w:t xml:space="preserve"> </w:t>
      </w:r>
      <w:r w:rsidRPr="003A74E1">
        <w:rPr>
          <w:rStyle w:val="Heading2Char1"/>
          <w:rFonts w:asciiTheme="majorHAnsi" w:hAnsiTheme="majorHAnsi"/>
          <w:i w:val="0"/>
          <w:color w:val="005A70" w:themeColor="accent1"/>
          <w:sz w:val="32"/>
          <w:szCs w:val="24"/>
        </w:rPr>
        <w:t>Payment</w:t>
      </w:r>
      <w:bookmarkEnd w:id="507"/>
      <w:bookmarkEnd w:id="508"/>
    </w:p>
    <w:p w14:paraId="17144E17" w14:textId="192FF2F8" w:rsidR="00182CBD" w:rsidRDefault="00182CBD" w:rsidP="00182CBD">
      <w:r w:rsidRPr="44F1B9E3">
        <w:t xml:space="preserve">The </w:t>
      </w:r>
      <w:r>
        <w:t>Moderate Intellectual Disability (</w:t>
      </w:r>
      <w:r w:rsidRPr="44F1B9E3">
        <w:t>MID</w:t>
      </w:r>
      <w:r>
        <w:t>)</w:t>
      </w:r>
      <w:r w:rsidRPr="44F1B9E3">
        <w:t xml:space="preserve"> Payment can be claimed</w:t>
      </w:r>
      <w:r w:rsidR="00456C9D">
        <w:t xml:space="preserve"> </w:t>
      </w:r>
      <w:r w:rsidRPr="44F1B9E3">
        <w:t xml:space="preserve">when a Participant with moderate intellectual disability </w:t>
      </w:r>
      <w:r w:rsidR="00E464A2">
        <w:t>has worked</w:t>
      </w:r>
      <w:r w:rsidR="009A2962">
        <w:t xml:space="preserve"> </w:t>
      </w:r>
      <w:r w:rsidR="0017170F">
        <w:t xml:space="preserve">an average of </w:t>
      </w:r>
      <w:r w:rsidR="009A2962">
        <w:t xml:space="preserve">at </w:t>
      </w:r>
      <w:r w:rsidRPr="44F1B9E3">
        <w:t xml:space="preserve">least </w:t>
      </w:r>
      <w:r w:rsidRPr="00233615">
        <w:t>15</w:t>
      </w:r>
      <w:r w:rsidRPr="44F1B9E3">
        <w:t> hours per week</w:t>
      </w:r>
      <w:r w:rsidR="0017170F">
        <w:t xml:space="preserve"> over the Outcome </w:t>
      </w:r>
      <w:r w:rsidR="00DE4601">
        <w:t>Period and</w:t>
      </w:r>
      <w:r w:rsidR="000B5C16">
        <w:t xml:space="preserve"> is not a Non-Payable Outcome</w:t>
      </w:r>
      <w:r w:rsidRPr="44F1B9E3">
        <w:t xml:space="preserve">. It is paid in addition to the associated </w:t>
      </w:r>
      <w:r w:rsidR="000B5C16">
        <w:t xml:space="preserve">Full </w:t>
      </w:r>
      <w:r w:rsidRPr="44F1B9E3">
        <w:t xml:space="preserve">Outcome Fee. </w:t>
      </w:r>
    </w:p>
    <w:p w14:paraId="4FE39E57" w14:textId="52A6228C" w:rsidR="008A388B" w:rsidRDefault="008A388B" w:rsidP="008A388B">
      <w:r>
        <w:t xml:space="preserve">To be eligible for the </w:t>
      </w:r>
      <w:r w:rsidR="004E5DDA">
        <w:t>MID</w:t>
      </w:r>
      <w:r>
        <w:t xml:space="preserve"> Payment, the </w:t>
      </w:r>
      <w:r w:rsidR="004E5DDA">
        <w:t>Participant</w:t>
      </w:r>
      <w:r>
        <w:t xml:space="preserve"> must have either:</w:t>
      </w:r>
    </w:p>
    <w:p w14:paraId="6B826AC8" w14:textId="77777777" w:rsidR="00230F59" w:rsidRDefault="008A388B" w:rsidP="00BB00C8">
      <w:pPr>
        <w:pStyle w:val="BulletLevel1"/>
      </w:pPr>
      <w:r>
        <w:t>have an assessed Intelligence Quotient (IQ) of 60 or less, or</w:t>
      </w:r>
      <w:r w:rsidR="00230F59">
        <w:t xml:space="preserve"> </w:t>
      </w:r>
    </w:p>
    <w:p w14:paraId="516D1FF2" w14:textId="710E8482" w:rsidR="00230F59" w:rsidRDefault="008A388B" w:rsidP="00BB00C8">
      <w:pPr>
        <w:pStyle w:val="BulletLevel1"/>
      </w:pPr>
      <w:r>
        <w:t>have been classified by a registered psychologist, using a recognised assessment tool, as having moderate intellectual disability.</w:t>
      </w:r>
    </w:p>
    <w:p w14:paraId="3E99CC39" w14:textId="2A40BB5C" w:rsidR="009E781C" w:rsidRDefault="009E781C" w:rsidP="00DE4601">
      <w:pPr>
        <w:pStyle w:val="Heading5"/>
      </w:pPr>
      <w:r>
        <w:t>Registering a Participant with Moderate Intellectual Disability</w:t>
      </w:r>
    </w:p>
    <w:p w14:paraId="750D73DB" w14:textId="4504F2B8" w:rsidR="00035EA6" w:rsidRPr="00035EA6" w:rsidRDefault="00C66B71" w:rsidP="00035EA6">
      <w:r>
        <w:t xml:space="preserve">The </w:t>
      </w:r>
      <w:r w:rsidRPr="007C4DF7">
        <w:t>Moderate Intellectual Disability flag</w:t>
      </w:r>
      <w:r w:rsidR="009D529E">
        <w:t xml:space="preserve"> must be added to</w:t>
      </w:r>
      <w:r>
        <w:t xml:space="preserve"> the </w:t>
      </w:r>
      <w:r w:rsidRPr="007C4DF7">
        <w:t>Participant’s</w:t>
      </w:r>
      <w:r>
        <w:t xml:space="preserve"> Registration R</w:t>
      </w:r>
      <w:r w:rsidRPr="007C4DF7">
        <w:t>ecord</w:t>
      </w:r>
      <w:r w:rsidR="009D529E">
        <w:t>,</w:t>
      </w:r>
      <w:r>
        <w:t xml:space="preserve"> </w:t>
      </w:r>
      <w:r w:rsidR="009D529E">
        <w:t>o</w:t>
      </w:r>
      <w:r w:rsidR="009D529E" w:rsidRPr="007C4DF7">
        <w:t xml:space="preserve">nce the eligibility of the Participant </w:t>
      </w:r>
      <w:r w:rsidR="004802D3">
        <w:t xml:space="preserve">for MID Payment </w:t>
      </w:r>
      <w:r w:rsidR="009D529E" w:rsidRPr="007C4DF7">
        <w:t xml:space="preserve">has been established with </w:t>
      </w:r>
      <w:r w:rsidR="009D529E">
        <w:t>D</w:t>
      </w:r>
      <w:r w:rsidR="009D529E" w:rsidRPr="007C4DF7">
        <w:t xml:space="preserve">ocumentary </w:t>
      </w:r>
      <w:r w:rsidR="009D529E">
        <w:t>E</w:t>
      </w:r>
      <w:r w:rsidR="009D529E" w:rsidRPr="007C4DF7">
        <w:t>vidence</w:t>
      </w:r>
      <w:r w:rsidR="009D529E">
        <w:t xml:space="preserve">. </w:t>
      </w:r>
      <w:r w:rsidR="009D529E" w:rsidRPr="007C4DF7">
        <w:t xml:space="preserve">This is generally done </w:t>
      </w:r>
      <w:r w:rsidR="009D529E">
        <w:t>during the Referral or Direct Registration process.</w:t>
      </w:r>
    </w:p>
    <w:p w14:paraId="2AFDB6ED" w14:textId="246332C8" w:rsidR="00BC1EFF" w:rsidRPr="007C4DF7" w:rsidRDefault="009D529E" w:rsidP="00EA3B61">
      <w:pPr>
        <w:pStyle w:val="SystemStep"/>
      </w:pPr>
      <w:r>
        <w:t>T</w:t>
      </w:r>
      <w:r w:rsidR="00BC1EFF" w:rsidRPr="007C4DF7">
        <w:t xml:space="preserve">he Provider can apply </w:t>
      </w:r>
      <w:r>
        <w:t xml:space="preserve">flag </w:t>
      </w:r>
      <w:r w:rsidR="00BC1EFF" w:rsidRPr="007C4DF7">
        <w:t xml:space="preserve">the to the Participant’s record through the </w:t>
      </w:r>
      <w:r>
        <w:t>R</w:t>
      </w:r>
      <w:r w:rsidR="00BC1EFF" w:rsidRPr="007C4DF7">
        <w:t xml:space="preserve">egistration screen in the Department’s IT System. The flag </w:t>
      </w:r>
      <w:r>
        <w:t>is</w:t>
      </w:r>
      <w:r w:rsidR="00BC1EFF" w:rsidRPr="007C4DF7">
        <w:t xml:space="preserve"> applied by adding ‘Moderate Intellectual Disability’ special client type</w:t>
      </w:r>
      <w:r w:rsidR="00230F59" w:rsidRPr="007C4DF7">
        <w:t>.</w:t>
      </w:r>
      <w:r w:rsidR="002C3BEE" w:rsidRPr="007C4DF7">
        <w:t xml:space="preserve"> </w:t>
      </w:r>
    </w:p>
    <w:p w14:paraId="661E85C3" w14:textId="52F7F107" w:rsidR="00182CBD" w:rsidRDefault="00BC1EFF" w:rsidP="00182CBD">
      <w:r>
        <w:t xml:space="preserve">Providers are required to retain suitable Documentary Evidence to support their decision to apply the </w:t>
      </w:r>
      <w:r w:rsidR="004802D3" w:rsidRPr="007C4DF7">
        <w:t>Moderate Intellectual Disability flag</w:t>
      </w:r>
      <w:r w:rsidR="00230F59">
        <w:t>.</w:t>
      </w:r>
      <w:r w:rsidR="00182CBD" w:rsidRPr="42C107D3">
        <w:t xml:space="preserve"> </w:t>
      </w:r>
    </w:p>
    <w:p w14:paraId="3BFE88FE" w14:textId="08BC872C" w:rsidR="00182CBD" w:rsidRDefault="009E781C" w:rsidP="0079424A">
      <w:pPr>
        <w:pStyle w:val="DocumentaryEvidenceRequirement"/>
      </w:pPr>
      <w:r w:rsidRPr="00230F59">
        <w:rPr>
          <w:rFonts w:eastAsia="Times New Roman"/>
          <w:lang w:eastAsia="en-AU"/>
        </w:rPr>
        <w:t>Providers</w:t>
      </w:r>
      <w:r w:rsidRPr="44F1B9E3">
        <w:t xml:space="preserve"> must upload the evidence that the </w:t>
      </w:r>
      <w:r>
        <w:t>Participant</w:t>
      </w:r>
      <w:r w:rsidRPr="44F1B9E3">
        <w:t xml:space="preserve"> has a moderate intellectual disability. </w:t>
      </w:r>
      <w:r w:rsidR="00182CBD" w:rsidRPr="00862AA2">
        <w:t>Documentary Evidence</w:t>
      </w:r>
      <w:r w:rsidR="00182CBD" w:rsidRPr="20B71216">
        <w:t xml:space="preserve"> of the person’s moderate intellectual disability can include: </w:t>
      </w:r>
    </w:p>
    <w:p w14:paraId="2EDA5B7B" w14:textId="77777777" w:rsidR="00182CBD" w:rsidRPr="009E6A8A" w:rsidRDefault="00182CBD" w:rsidP="008E5139">
      <w:pPr>
        <w:pStyle w:val="BulletLevel2"/>
      </w:pPr>
      <w:r w:rsidRPr="009E6A8A">
        <w:t xml:space="preserve">copy of an IQ assessment report clearly indicating the person’s IQ is 60 or less </w:t>
      </w:r>
    </w:p>
    <w:p w14:paraId="09F4440B" w14:textId="77777777" w:rsidR="00182CBD" w:rsidRPr="009E6A8A" w:rsidRDefault="00182CBD" w:rsidP="008E5139">
      <w:pPr>
        <w:pStyle w:val="BulletLevel2"/>
      </w:pPr>
      <w:r w:rsidRPr="009E6A8A">
        <w:t xml:space="preserve">signed statement from a registered psychologist that the person’s IQ is 60 or less </w:t>
      </w:r>
    </w:p>
    <w:p w14:paraId="7AE322F9" w14:textId="7B237BF6" w:rsidR="00182CBD" w:rsidRPr="00FE3965" w:rsidRDefault="00182CBD" w:rsidP="008E5139">
      <w:pPr>
        <w:pStyle w:val="BulletLevel2"/>
      </w:pPr>
      <w:r w:rsidRPr="009E6A8A">
        <w:t xml:space="preserve">signed statement from an officer in Services Australia, an ESAt assessor, an education authority or a </w:t>
      </w:r>
      <w:r w:rsidR="00C477B9">
        <w:t>s</w:t>
      </w:r>
      <w:r w:rsidRPr="009E6A8A">
        <w:t>tate</w:t>
      </w:r>
      <w:r w:rsidR="00C477B9">
        <w:t xml:space="preserve"> or </w:t>
      </w:r>
      <w:r w:rsidRPr="009E6A8A">
        <w:t>territory</w:t>
      </w:r>
      <w:r w:rsidRPr="42C107D3">
        <w:t xml:space="preserve"> disability commission that they have evidence on file that the person’s IQ is 60 or less </w:t>
      </w:r>
    </w:p>
    <w:p w14:paraId="76C1A782" w14:textId="77777777" w:rsidR="00182CBD" w:rsidRPr="00FE3965" w:rsidRDefault="00182CBD" w:rsidP="008E5139">
      <w:pPr>
        <w:pStyle w:val="BulletLevel2"/>
      </w:pPr>
      <w:r w:rsidRPr="009E6A8A">
        <w:t>signed</w:t>
      </w:r>
      <w:r w:rsidRPr="42C107D3">
        <w:t xml:space="preserve"> statement from a registered psychologist containing: </w:t>
      </w:r>
    </w:p>
    <w:p w14:paraId="7E442C92" w14:textId="40FBCA3A" w:rsidR="00182CBD" w:rsidRPr="00A12D01" w:rsidRDefault="00182CBD" w:rsidP="008E5139">
      <w:pPr>
        <w:pStyle w:val="BulletLevel3"/>
      </w:pPr>
      <w:r w:rsidRPr="00A12D01">
        <w:t>a statement that the person falls within a moderate intellectual disability classification, based on a combination of IQ and other adaptive factors in a recognised assessment tool</w:t>
      </w:r>
      <w:r w:rsidR="0030028C">
        <w:t xml:space="preserve"> </w:t>
      </w:r>
    </w:p>
    <w:p w14:paraId="186ED11B" w14:textId="77777777" w:rsidR="00182CBD" w:rsidRPr="00A12D01" w:rsidRDefault="00182CBD" w:rsidP="008E5139">
      <w:pPr>
        <w:pStyle w:val="BulletLevel3"/>
      </w:pPr>
      <w:r w:rsidRPr="00A12D01">
        <w:t xml:space="preserve">the name the assessment tool used (including version or revision number) </w:t>
      </w:r>
    </w:p>
    <w:p w14:paraId="6E58BA38" w14:textId="21ED0D1F" w:rsidR="00182CBD" w:rsidRPr="00A12D01" w:rsidRDefault="00182CBD" w:rsidP="008E5139">
      <w:pPr>
        <w:pStyle w:val="BulletLevel3"/>
      </w:pPr>
      <w:r w:rsidRPr="00A12D01">
        <w:t>the score or assessment relevant to the classification scale</w:t>
      </w:r>
      <w:r w:rsidR="000900F3">
        <w:t>, and</w:t>
      </w:r>
    </w:p>
    <w:p w14:paraId="5CECE623" w14:textId="126A936C" w:rsidR="00182CBD" w:rsidRPr="00A12D01" w:rsidRDefault="00182CBD" w:rsidP="008E5139">
      <w:pPr>
        <w:pStyle w:val="BulletLevel3"/>
      </w:pPr>
      <w:r w:rsidRPr="00A12D01">
        <w:t>the assessment outcome</w:t>
      </w:r>
      <w:r w:rsidR="000900F3">
        <w:t>, or</w:t>
      </w:r>
      <w:r w:rsidRPr="00A12D01">
        <w:t xml:space="preserve"> </w:t>
      </w:r>
    </w:p>
    <w:p w14:paraId="0745A6DB" w14:textId="77777777" w:rsidR="00182CBD" w:rsidRPr="00580B55" w:rsidRDefault="00182CBD" w:rsidP="008E5139">
      <w:pPr>
        <w:pStyle w:val="BulletLevel2"/>
      </w:pPr>
      <w:r w:rsidRPr="00580B55">
        <w:t xml:space="preserve">statement in a completed ESAt report that the assessor sighted a relevant assessment which indicates that the Participant has an IQ of 60 or less. </w:t>
      </w:r>
    </w:p>
    <w:p w14:paraId="58DF7B77" w14:textId="782A373C" w:rsidR="002C3BEE" w:rsidRDefault="002C3BEE" w:rsidP="00EA3B61">
      <w:pPr>
        <w:pStyle w:val="Heading5"/>
      </w:pPr>
      <w:r>
        <w:t>Claiming the MID Payment</w:t>
      </w:r>
    </w:p>
    <w:p w14:paraId="6F8E09D4" w14:textId="47DE4DB6" w:rsidR="00790E21" w:rsidRDefault="0042550B" w:rsidP="00D3636E">
      <w:r>
        <w:t>A MID</w:t>
      </w:r>
      <w:r w:rsidR="001862AB">
        <w:t xml:space="preserve"> </w:t>
      </w:r>
      <w:r>
        <w:t>P</w:t>
      </w:r>
      <w:r w:rsidR="001862AB">
        <w:t>ayment</w:t>
      </w:r>
      <w:r>
        <w:t xml:space="preserve"> will be </w:t>
      </w:r>
      <w:r w:rsidR="0058798D">
        <w:t>automatically paid</w:t>
      </w:r>
      <w:r>
        <w:t xml:space="preserve"> when a Provider: </w:t>
      </w:r>
    </w:p>
    <w:p w14:paraId="78B2820B" w14:textId="2C516702" w:rsidR="00E27D10" w:rsidRPr="004E120D" w:rsidRDefault="0042550B" w:rsidP="004E120D">
      <w:pPr>
        <w:pStyle w:val="BulletLevel1"/>
      </w:pPr>
      <w:r>
        <w:t xml:space="preserve">submits a claim </w:t>
      </w:r>
      <w:r w:rsidRPr="004E120D">
        <w:t>for</w:t>
      </w:r>
      <w:r w:rsidR="00875F18">
        <w:t xml:space="preserve">, and is paid, </w:t>
      </w:r>
      <w:r w:rsidRPr="004E120D">
        <w:t>a 1</w:t>
      </w:r>
      <w:r w:rsidR="00790E21" w:rsidRPr="004E120D">
        <w:t>2</w:t>
      </w:r>
      <w:r w:rsidRPr="004E120D">
        <w:t xml:space="preserve">-week Outcome, 26-week Outcome or 52-week </w:t>
      </w:r>
      <w:r w:rsidR="00EE1921">
        <w:t xml:space="preserve">Full </w:t>
      </w:r>
      <w:r w:rsidRPr="004E120D">
        <w:t xml:space="preserve">Outcome for a </w:t>
      </w:r>
      <w:r w:rsidR="00881B71" w:rsidRPr="004E120D">
        <w:t>P</w:t>
      </w:r>
      <w:r w:rsidRPr="004E120D">
        <w:t>articipant recorded in the systems as having a moderate intellectual disability</w:t>
      </w:r>
      <w:r w:rsidR="0058798D">
        <w:t>, and</w:t>
      </w:r>
      <w:r w:rsidRPr="004E120D">
        <w:t xml:space="preserve"> </w:t>
      </w:r>
    </w:p>
    <w:p w14:paraId="6DEB3B56" w14:textId="7AB36CF3" w:rsidR="00E27D10" w:rsidRDefault="00875F18" w:rsidP="001862AB">
      <w:pPr>
        <w:pStyle w:val="BulletLevel1"/>
      </w:pPr>
      <w:r>
        <w:t>the</w:t>
      </w:r>
      <w:r w:rsidR="0042550B" w:rsidRPr="004E120D">
        <w:t xml:space="preserve"> </w:t>
      </w:r>
      <w:r w:rsidR="0042550B">
        <w:t xml:space="preserve">Participant </w:t>
      </w:r>
      <w:r>
        <w:t xml:space="preserve">has </w:t>
      </w:r>
      <w:r w:rsidR="00EE1921">
        <w:t>worked</w:t>
      </w:r>
      <w:r w:rsidR="0042550B">
        <w:t xml:space="preserve"> at least 15 hours per week, on average</w:t>
      </w:r>
      <w:r>
        <w:t>.</w:t>
      </w:r>
    </w:p>
    <w:p w14:paraId="3A86CFEE" w14:textId="448C908C" w:rsidR="00182CBD" w:rsidRPr="00583E56" w:rsidRDefault="00182CBD" w:rsidP="001D0F92">
      <w:pPr>
        <w:pStyle w:val="Heading3"/>
        <w:rPr>
          <w:rStyle w:val="Heading2Char1"/>
          <w:rFonts w:asciiTheme="majorHAnsi" w:hAnsiTheme="majorHAnsi"/>
          <w:i w:val="0"/>
          <w:color w:val="005A70" w:themeColor="accent1"/>
          <w:sz w:val="32"/>
          <w:szCs w:val="24"/>
        </w:rPr>
      </w:pPr>
      <w:bookmarkStart w:id="509" w:name="_Ref202882450"/>
      <w:bookmarkStart w:id="510" w:name="_Toc202900095"/>
      <w:r w:rsidRPr="00583E56">
        <w:rPr>
          <w:rStyle w:val="Heading2Char1"/>
          <w:rFonts w:asciiTheme="majorHAnsi" w:hAnsiTheme="majorHAnsi"/>
          <w:i w:val="0"/>
          <w:color w:val="005A70" w:themeColor="accent1"/>
          <w:sz w:val="32"/>
          <w:szCs w:val="24"/>
        </w:rPr>
        <w:t>11.7</w:t>
      </w:r>
      <w:r w:rsidR="001814F1">
        <w:rPr>
          <w:rStyle w:val="Heading2Char1"/>
          <w:rFonts w:asciiTheme="majorHAnsi" w:hAnsiTheme="majorHAnsi"/>
          <w:i w:val="0"/>
          <w:color w:val="005A70" w:themeColor="accent1"/>
          <w:sz w:val="32"/>
          <w:szCs w:val="24"/>
        </w:rPr>
        <w:tab/>
      </w:r>
      <w:r w:rsidRPr="00583E56">
        <w:rPr>
          <w:rStyle w:val="Heading2Char1"/>
          <w:rFonts w:asciiTheme="majorHAnsi" w:hAnsiTheme="majorHAnsi"/>
          <w:i w:val="0"/>
          <w:color w:val="005A70" w:themeColor="accent1"/>
          <w:sz w:val="32"/>
          <w:szCs w:val="24"/>
        </w:rPr>
        <w:t>Ongoing Support Fees</w:t>
      </w:r>
      <w:bookmarkEnd w:id="509"/>
      <w:bookmarkEnd w:id="510"/>
      <w:r w:rsidRPr="00583E56">
        <w:rPr>
          <w:rStyle w:val="Heading2Char1"/>
          <w:rFonts w:asciiTheme="majorHAnsi" w:hAnsiTheme="majorHAnsi"/>
          <w:i w:val="0"/>
          <w:color w:val="005A70" w:themeColor="accent1"/>
          <w:sz w:val="32"/>
          <w:szCs w:val="24"/>
        </w:rPr>
        <w:t xml:space="preserve"> </w:t>
      </w:r>
    </w:p>
    <w:p w14:paraId="60E3AD2F" w14:textId="1B6669A5" w:rsidR="00182CBD" w:rsidRDefault="00182CBD" w:rsidP="00F4796B">
      <w:pPr>
        <w:tabs>
          <w:tab w:val="right" w:pos="1701"/>
        </w:tabs>
        <w:spacing w:after="120"/>
        <w:rPr>
          <w:lang w:val="en-GB"/>
        </w:rPr>
      </w:pPr>
      <w:r w:rsidRPr="7824D022">
        <w:rPr>
          <w:lang w:val="en-GB"/>
        </w:rPr>
        <w:t>Ongoing Support Fees are paid to Providers to deliver continuing, tailored support</w:t>
      </w:r>
      <w:r w:rsidR="00DF77A8">
        <w:rPr>
          <w:lang w:val="en-GB"/>
        </w:rPr>
        <w:t xml:space="preserve"> that</w:t>
      </w:r>
      <w:r w:rsidRPr="7824D022">
        <w:rPr>
          <w:lang w:val="en-GB"/>
        </w:rPr>
        <w:t xml:space="preserve"> to help a Participant remain in Employment</w:t>
      </w:r>
      <w:r w:rsidR="00DF77A8" w:rsidRPr="00DF77A8">
        <w:rPr>
          <w:lang w:val="en-GB"/>
        </w:rPr>
        <w:t xml:space="preserve"> </w:t>
      </w:r>
      <w:r w:rsidR="00DF77A8">
        <w:rPr>
          <w:lang w:val="en-GB"/>
        </w:rPr>
        <w:t xml:space="preserve">as part of the Ongoing Support phase </w:t>
      </w:r>
      <w:r w:rsidR="008E5139">
        <w:rPr>
          <w:lang w:val="en-GB"/>
        </w:rPr>
        <w:t>(see</w:t>
      </w:r>
      <w:r w:rsidR="00A573C1">
        <w:rPr>
          <w:lang w:val="en-GB"/>
        </w:rPr>
        <w:t xml:space="preserve"> </w:t>
      </w:r>
      <w:r w:rsidR="00A573C1">
        <w:rPr>
          <w:lang w:val="en-GB"/>
        </w:rPr>
        <w:fldChar w:fldCharType="begin"/>
      </w:r>
      <w:r w:rsidR="00A573C1">
        <w:rPr>
          <w:lang w:val="en-GB"/>
        </w:rPr>
        <w:instrText xml:space="preserve"> REF _Ref202780074 \h </w:instrText>
      </w:r>
      <w:r w:rsidR="00A573C1">
        <w:rPr>
          <w:lang w:val="en-GB"/>
        </w:rPr>
      </w:r>
      <w:r w:rsidR="00A573C1">
        <w:rPr>
          <w:lang w:val="en-GB"/>
        </w:rPr>
        <w:fldChar w:fldCharType="separate"/>
      </w:r>
      <w:r w:rsidR="000D75AE" w:rsidRPr="00BA23D8">
        <w:t>Chapter 10</w:t>
      </w:r>
      <w:r w:rsidR="000D75AE">
        <w:t>:</w:t>
      </w:r>
      <w:r w:rsidR="00C33F1F">
        <w:t xml:space="preserve"> </w:t>
      </w:r>
      <w:r w:rsidR="000D75AE" w:rsidRPr="00BA23D8">
        <w:t>Ongoing Support</w:t>
      </w:r>
      <w:r w:rsidR="00A573C1">
        <w:rPr>
          <w:lang w:val="en-GB"/>
        </w:rPr>
        <w:fldChar w:fldCharType="end"/>
      </w:r>
      <w:r w:rsidR="00A573C1">
        <w:rPr>
          <w:lang w:val="en-GB"/>
        </w:rPr>
        <w:t>).</w:t>
      </w:r>
      <w:r w:rsidR="00A573C1">
        <w:rPr>
          <w:highlight w:val="yellow"/>
          <w:lang w:val="en-GB"/>
        </w:rPr>
        <w:fldChar w:fldCharType="begin"/>
      </w:r>
      <w:r w:rsidR="00A573C1">
        <w:rPr>
          <w:lang w:val="en-GB"/>
        </w:rPr>
        <w:instrText xml:space="preserve"> REF _Ref202782945 \h </w:instrText>
      </w:r>
      <w:r w:rsidR="00A573C1">
        <w:rPr>
          <w:highlight w:val="yellow"/>
          <w:lang w:val="en-GB"/>
        </w:rPr>
      </w:r>
      <w:r w:rsidR="00A573C1">
        <w:rPr>
          <w:highlight w:val="yellow"/>
          <w:lang w:val="en-GB"/>
        </w:rPr>
        <w:fldChar w:fldCharType="separate"/>
      </w:r>
      <w:r w:rsidR="00A573C1">
        <w:rPr>
          <w:highlight w:val="yellow"/>
          <w:lang w:val="en-GB"/>
        </w:rPr>
        <w:fldChar w:fldCharType="end"/>
      </w:r>
    </w:p>
    <w:p w14:paraId="560E29EA" w14:textId="2BE806D1" w:rsidR="00182CBD" w:rsidRDefault="00182CBD" w:rsidP="001D0F92">
      <w:pPr>
        <w:pStyle w:val="Heading4"/>
      </w:pPr>
      <w:bookmarkStart w:id="511" w:name="_Toc202900096"/>
      <w:r>
        <w:t>11.7.1</w:t>
      </w:r>
      <w:r w:rsidR="001814F1">
        <w:tab/>
      </w:r>
      <w:r w:rsidDel="00205E13">
        <w:t>E</w:t>
      </w:r>
      <w:r>
        <w:t>ligibility for Ongoing Support</w:t>
      </w:r>
      <w:r w:rsidDel="000D1765">
        <w:t xml:space="preserve"> Fees</w:t>
      </w:r>
      <w:bookmarkEnd w:id="511"/>
    </w:p>
    <w:p w14:paraId="43C33885" w14:textId="1E9532DA" w:rsidR="00ED14A7" w:rsidRDefault="00182CBD" w:rsidP="00182CBD">
      <w:r>
        <w:t xml:space="preserve">The Participant must have a current Ongoing Support Assessment (OSA) in </w:t>
      </w:r>
      <w:r w:rsidR="00ED0FC5">
        <w:t>place or</w:t>
      </w:r>
      <w:r w:rsidR="00FA101F">
        <w:t xml:space="preserve"> must be in the first 28 days of Ongoing S</w:t>
      </w:r>
      <w:r w:rsidR="00AC7D9C">
        <w:t>upport, for the Provider</w:t>
      </w:r>
      <w:r>
        <w:t xml:space="preserve"> to be eligible for Ongoing Support Fees.</w:t>
      </w:r>
      <w:r w:rsidR="476E4D01">
        <w:t xml:space="preserve"> </w:t>
      </w:r>
      <w:r>
        <w:t>I</w:t>
      </w:r>
      <w:r w:rsidDel="00182CBD">
        <w:t xml:space="preserve">f the Provider does not submit the OSA </w:t>
      </w:r>
      <w:r w:rsidDel="000F52EB">
        <w:t>A</w:t>
      </w:r>
      <w:r w:rsidDel="00182CBD">
        <w:t xml:space="preserve">llocation by the OSA due date, then the Department’s IT Systems will </w:t>
      </w:r>
      <w:r w:rsidDel="00FF7E82">
        <w:t>p</w:t>
      </w:r>
      <w:r w:rsidDel="00182CBD">
        <w:t>ause</w:t>
      </w:r>
      <w:r w:rsidR="000C4FC0">
        <w:t xml:space="preserve"> Ongoing Support</w:t>
      </w:r>
      <w:r w:rsidDel="00182CBD">
        <w:t xml:space="preserve">, and the Provider cannot </w:t>
      </w:r>
      <w:r w:rsidR="00C96E77">
        <w:t xml:space="preserve">complete an Instance or </w:t>
      </w:r>
      <w:r w:rsidR="004D5873">
        <w:t>Contact</w:t>
      </w:r>
      <w:r w:rsidR="00F05A6D">
        <w:t xml:space="preserve"> of Ongoing Support</w:t>
      </w:r>
      <w:r w:rsidR="006D06E8">
        <w:t xml:space="preserve"> until the OSA </w:t>
      </w:r>
      <w:r w:rsidR="001A189C">
        <w:t>Allocation has been submitted</w:t>
      </w:r>
      <w:r w:rsidDel="00182CBD">
        <w:t xml:space="preserve">. </w:t>
      </w:r>
    </w:p>
    <w:p w14:paraId="786AC91A" w14:textId="4F5F408B" w:rsidR="00182CBD" w:rsidRDefault="00182CBD" w:rsidP="00182CBD">
      <w:r w:rsidDel="00182CBD">
        <w:t xml:space="preserve">Providers should not submit a </w:t>
      </w:r>
      <w:r w:rsidR="00D04FAF">
        <w:t>Request Payment</w:t>
      </w:r>
      <w:r w:rsidDel="00182CBD">
        <w:t xml:space="preserve"> </w:t>
      </w:r>
      <w:r w:rsidR="000E40A7">
        <w:t>because an OSA Allocation has not been submitted by the OSA due date</w:t>
      </w:r>
      <w:r w:rsidDel="00182CBD">
        <w:t xml:space="preserve">. Once the Provider has submitted the OSA </w:t>
      </w:r>
      <w:r w:rsidDel="00BB6761">
        <w:t>A</w:t>
      </w:r>
      <w:r w:rsidDel="00182CBD">
        <w:t xml:space="preserve">llocation, </w:t>
      </w:r>
      <w:r w:rsidR="005F1518">
        <w:t>P</w:t>
      </w:r>
      <w:r w:rsidR="005F0E63">
        <w:t>ayment</w:t>
      </w:r>
      <w:r w:rsidR="005F0E63" w:rsidDel="00182CBD">
        <w:t xml:space="preserve"> </w:t>
      </w:r>
      <w:r w:rsidR="0072390E">
        <w:t xml:space="preserve">will be triggered for </w:t>
      </w:r>
      <w:r w:rsidDel="00182CBD">
        <w:t xml:space="preserve">the relevant Ongoing Support Fees as they become available. </w:t>
      </w:r>
    </w:p>
    <w:p w14:paraId="336C3765" w14:textId="732DDE5B" w:rsidR="00182CBD" w:rsidRPr="00ED2F16" w:rsidRDefault="00182CBD" w:rsidP="001D0F92">
      <w:pPr>
        <w:pStyle w:val="Heading4"/>
      </w:pPr>
      <w:bookmarkStart w:id="512" w:name="_11.x.x_Documentary_Evidence"/>
      <w:bookmarkStart w:id="513" w:name="_Toc202900097"/>
      <w:bookmarkEnd w:id="512"/>
      <w:r>
        <w:t>11.7.2</w:t>
      </w:r>
      <w:r w:rsidR="0020093A">
        <w:tab/>
      </w:r>
      <w:r w:rsidR="00B77DEF">
        <w:t xml:space="preserve">Payment of </w:t>
      </w:r>
      <w:r>
        <w:t>Ongoing Support Fees</w:t>
      </w:r>
      <w:bookmarkEnd w:id="513"/>
    </w:p>
    <w:p w14:paraId="108719AB" w14:textId="77777777" w:rsidR="00D83705" w:rsidRDefault="00182CBD" w:rsidP="00182CBD">
      <w:r>
        <w:t xml:space="preserve">Ongoing Support Fees </w:t>
      </w:r>
      <w:r w:rsidR="00B93639">
        <w:t>are payable</w:t>
      </w:r>
      <w:r w:rsidDel="002B5AEA">
        <w:t xml:space="preserve"> </w:t>
      </w:r>
      <w:r>
        <w:t>for</w:t>
      </w:r>
      <w:r w:rsidR="00874393">
        <w:t xml:space="preserve"> </w:t>
      </w:r>
      <w:r>
        <w:t xml:space="preserve">eligible Ongoing Support and Ongoing Support (Work Assist) Participants. </w:t>
      </w:r>
    </w:p>
    <w:p w14:paraId="5995F668" w14:textId="29F07FE7" w:rsidR="00182CBD" w:rsidRDefault="004E53EE" w:rsidP="00187988">
      <w:pPr>
        <w:keepNext/>
      </w:pPr>
      <w:r>
        <w:t xml:space="preserve">To be </w:t>
      </w:r>
      <w:r w:rsidR="007F3E0B">
        <w:t xml:space="preserve">eligible for </w:t>
      </w:r>
      <w:r w:rsidR="00182CBD" w:rsidDel="00113292">
        <w:t xml:space="preserve">Ongoing Support Fees, </w:t>
      </w:r>
      <w:r w:rsidR="00182CBD">
        <w:t xml:space="preserve">Providers </w:t>
      </w:r>
      <w:r w:rsidR="00182CBD" w:rsidDel="00113292">
        <w:t xml:space="preserve">should ensure </w:t>
      </w:r>
      <w:r w:rsidR="00182CBD">
        <w:t xml:space="preserve">the following conditions </w:t>
      </w:r>
      <w:r w:rsidR="00182CBD" w:rsidDel="00AE7F4B">
        <w:t>have been met</w:t>
      </w:r>
      <w:r w:rsidR="00182CBD">
        <w:t>:</w:t>
      </w:r>
    </w:p>
    <w:p w14:paraId="691AD004" w14:textId="45A743B3" w:rsidR="00182CBD" w:rsidRDefault="00182CBD" w:rsidP="004E120D">
      <w:pPr>
        <w:pStyle w:val="BulletLevel1"/>
      </w:pPr>
      <w:r>
        <w:t xml:space="preserve">The Participant has a current OSA in </w:t>
      </w:r>
      <w:r w:rsidR="00246BDD">
        <w:t>place or</w:t>
      </w:r>
      <w:r>
        <w:t xml:space="preserve"> is in the first 28 days of Ongoing Support</w:t>
      </w:r>
      <w:r w:rsidR="009D29A8">
        <w:t>.</w:t>
      </w:r>
    </w:p>
    <w:p w14:paraId="6CB59934" w14:textId="3CDD055E" w:rsidR="007F3E0B" w:rsidRDefault="00182CBD" w:rsidP="004E120D">
      <w:pPr>
        <w:pStyle w:val="BulletLevel1"/>
      </w:pPr>
      <w:r>
        <w:t>The Participant has met the 8 hours of work per week requirement (unless exempt)</w:t>
      </w:r>
      <w:r w:rsidR="009D29A8">
        <w:t>.</w:t>
      </w:r>
      <w:r w:rsidR="00A4406D">
        <w:t xml:space="preserve"> </w:t>
      </w:r>
    </w:p>
    <w:p w14:paraId="08DF54B1" w14:textId="414FFBC6" w:rsidR="00374300" w:rsidRDefault="006A05BE" w:rsidP="009B682B">
      <w:pPr>
        <w:pStyle w:val="BulletLevel1"/>
        <w:keepNext/>
      </w:pPr>
      <w:r>
        <w:t xml:space="preserve">Requirements as outlined in </w:t>
      </w:r>
      <w:r w:rsidR="004572F7">
        <w:fldChar w:fldCharType="begin"/>
      </w:r>
      <w:r w:rsidR="004572F7">
        <w:instrText xml:space="preserve"> REF _Ref202780075 \h </w:instrText>
      </w:r>
      <w:r w:rsidR="004572F7">
        <w:fldChar w:fldCharType="separate"/>
      </w:r>
      <w:r w:rsidR="004572F7">
        <w:t>10.6 Participant Contact</w:t>
      </w:r>
      <w:r w:rsidR="004572F7">
        <w:fldChar w:fldCharType="end"/>
      </w:r>
      <w:r>
        <w:fldChar w:fldCharType="begin"/>
      </w:r>
      <w:r>
        <w:instrText xml:space="preserve"> REF _Ref202780075 \h </w:instrText>
      </w:r>
      <w:r>
        <w:fldChar w:fldCharType="separate"/>
      </w:r>
      <w:r>
        <w:fldChar w:fldCharType="end"/>
      </w:r>
      <w:r>
        <w:t xml:space="preserve"> have been met</w:t>
      </w:r>
      <w:r w:rsidR="00374300">
        <w:t>:</w:t>
      </w:r>
    </w:p>
    <w:p w14:paraId="731C9E36" w14:textId="52EF222A" w:rsidR="00182CBD" w:rsidRDefault="00374300" w:rsidP="00374300">
      <w:pPr>
        <w:pStyle w:val="BulletLevel2"/>
      </w:pPr>
      <w:r>
        <w:t>f</w:t>
      </w:r>
      <w:r w:rsidR="00182CBD" w:rsidDel="00C103FD">
        <w:t xml:space="preserve">or </w:t>
      </w:r>
      <w:r w:rsidR="00182CBD" w:rsidDel="002E26D2">
        <w:t xml:space="preserve">Moderate or High Ongoing Support, the Provider </w:t>
      </w:r>
      <w:r w:rsidR="00182CBD" w:rsidDel="00C103FD">
        <w:t xml:space="preserve">has delivered </w:t>
      </w:r>
      <w:r w:rsidR="00182CBD" w:rsidDel="00851F4C">
        <w:t>the minimum</w:t>
      </w:r>
      <w:r w:rsidR="00182CBD" w:rsidDel="002E26D2">
        <w:t xml:space="preserve"> </w:t>
      </w:r>
      <w:r w:rsidR="00D2156C">
        <w:t>C</w:t>
      </w:r>
      <w:r w:rsidR="00182CBD" w:rsidDel="002E26D2">
        <w:t>ontact</w:t>
      </w:r>
      <w:r w:rsidR="00182CBD" w:rsidDel="00851F4C">
        <w:t>s</w:t>
      </w:r>
      <w:r w:rsidR="00182CBD" w:rsidDel="002E26D2">
        <w:t xml:space="preserve"> </w:t>
      </w:r>
      <w:r w:rsidR="00883F59">
        <w:t>– 6</w:t>
      </w:r>
      <w:r w:rsidR="009D29A8">
        <w:t> </w:t>
      </w:r>
      <w:r w:rsidR="00883F59">
        <w:t>per quarter for Moderate Ongoing Support and 12 per quarter for High Ongoing Support</w:t>
      </w:r>
      <w:r>
        <w:t>, or</w:t>
      </w:r>
    </w:p>
    <w:p w14:paraId="66EA1C99" w14:textId="50505466" w:rsidR="00075EF1" w:rsidDel="002E26D2" w:rsidRDefault="00374300" w:rsidP="00374300">
      <w:pPr>
        <w:pStyle w:val="BulletLevel2"/>
      </w:pPr>
      <w:r>
        <w:t>f</w:t>
      </w:r>
      <w:r w:rsidR="00075EF1">
        <w:t xml:space="preserve">or Flexible Ongoing Support the </w:t>
      </w:r>
      <w:r w:rsidR="00E15158">
        <w:t>P</w:t>
      </w:r>
      <w:r w:rsidR="00075EF1">
        <w:t>rovider has completed an Instance</w:t>
      </w:r>
      <w:r w:rsidR="006D5F07">
        <w:t xml:space="preserve"> of Ongoing Support as required</w:t>
      </w:r>
      <w:r w:rsidR="009D29A8">
        <w:t>.</w:t>
      </w:r>
    </w:p>
    <w:p w14:paraId="776C1250" w14:textId="0F5C3B09" w:rsidR="00182CBD" w:rsidRDefault="00182CBD" w:rsidP="004E120D">
      <w:pPr>
        <w:pStyle w:val="BulletLevel1"/>
      </w:pPr>
      <w:r w:rsidDel="0058601D">
        <w:t xml:space="preserve">The Provider has recorded all required information in the Department’s IT Systems, including moving a Participant to Ongoing Support, </w:t>
      </w:r>
      <w:r w:rsidR="00E15158">
        <w:t xml:space="preserve">recording </w:t>
      </w:r>
      <w:r w:rsidDel="0058601D">
        <w:t xml:space="preserve">details of the Ongoing Support </w:t>
      </w:r>
      <w:r w:rsidR="00E15158">
        <w:t xml:space="preserve">Instances or Contacts </w:t>
      </w:r>
      <w:r w:rsidDel="0058601D">
        <w:t>delivered to a Participant</w:t>
      </w:r>
      <w:r w:rsidR="001E715D">
        <w:t>.</w:t>
      </w:r>
    </w:p>
    <w:p w14:paraId="20B551DE" w14:textId="2EAC6235" w:rsidR="00182CBD" w:rsidRDefault="008A7913" w:rsidP="0079424A">
      <w:pPr>
        <w:pStyle w:val="DocumentaryEvidenceRequirement"/>
      </w:pPr>
      <w:r w:rsidRPr="42C107D3">
        <w:t xml:space="preserve">Providers must retain </w:t>
      </w:r>
      <w:r>
        <w:t>Documentary Evidence</w:t>
      </w:r>
      <w:r w:rsidRPr="42C107D3">
        <w:t xml:space="preserve"> to demonstrate that throughout the </w:t>
      </w:r>
      <w:r w:rsidR="00BD14D7">
        <w:t xml:space="preserve">Ongoing Support </w:t>
      </w:r>
      <w:r>
        <w:t>Payment</w:t>
      </w:r>
      <w:r w:rsidRPr="42C107D3">
        <w:t xml:space="preserve"> period</w:t>
      </w:r>
      <w:r>
        <w:t xml:space="preserve"> </w:t>
      </w:r>
      <w:r w:rsidR="00182CBD" w:rsidRPr="00025EF2">
        <w:rPr>
          <w:color w:val="000000" w:themeColor="text1"/>
        </w:rPr>
        <w:t xml:space="preserve">to </w:t>
      </w:r>
      <w:r w:rsidR="00182CBD">
        <w:t xml:space="preserve">support their </w:t>
      </w:r>
      <w:r w:rsidR="002770CB">
        <w:t>eligibility</w:t>
      </w:r>
      <w:r w:rsidR="002770CB" w:rsidDel="00F36AC8">
        <w:t xml:space="preserve"> </w:t>
      </w:r>
      <w:r w:rsidR="00182CBD">
        <w:t xml:space="preserve">for </w:t>
      </w:r>
      <w:r w:rsidR="00B06D4F">
        <w:t>P</w:t>
      </w:r>
      <w:r w:rsidR="20909CE2">
        <w:t>ayment</w:t>
      </w:r>
      <w:r>
        <w:t>.</w:t>
      </w:r>
    </w:p>
    <w:p w14:paraId="7AD0595A" w14:textId="41F73AEE" w:rsidR="00765676" w:rsidRDefault="00765676" w:rsidP="00765676">
      <w:pPr>
        <w:pStyle w:val="BulletLevel2"/>
      </w:pPr>
      <w:r>
        <w:t xml:space="preserve">Providers must </w:t>
      </w:r>
      <w:r w:rsidR="008729E8">
        <w:t>c</w:t>
      </w:r>
      <w:r>
        <w:t>ollect evidence that the Participant:</w:t>
      </w:r>
    </w:p>
    <w:p w14:paraId="2600B953" w14:textId="75B7830A" w:rsidR="00765676" w:rsidRDefault="00765676" w:rsidP="00765676">
      <w:pPr>
        <w:pStyle w:val="BulletLevel3"/>
      </w:pPr>
      <w:r>
        <w:t>was employed for the Full Payment period</w:t>
      </w:r>
    </w:p>
    <w:p w14:paraId="04D260B9" w14:textId="055EDE85" w:rsidR="00765676" w:rsidRDefault="00765676" w:rsidP="00765676">
      <w:pPr>
        <w:pStyle w:val="BulletLevel3"/>
      </w:pPr>
      <w:r>
        <w:t xml:space="preserve">worked at least 8 hours per week, on average. </w:t>
      </w:r>
    </w:p>
    <w:p w14:paraId="58ACABC1" w14:textId="1FD2A725" w:rsidR="00765676" w:rsidRDefault="00765676" w:rsidP="00765676">
      <w:pPr>
        <w:pStyle w:val="BulletLevel2"/>
        <w:numPr>
          <w:ilvl w:val="0"/>
          <w:numId w:val="0"/>
        </w:numPr>
        <w:ind w:left="851"/>
      </w:pPr>
      <w:r>
        <w:t xml:space="preserve">Note: Some participant types are exempt from the 8 hours per week requirement, as noted in </w:t>
      </w:r>
      <w:r w:rsidR="003D641E">
        <w:fldChar w:fldCharType="begin"/>
      </w:r>
      <w:r w:rsidR="003D641E">
        <w:instrText xml:space="preserve"> REF _Ref202780074 \h </w:instrText>
      </w:r>
      <w:r w:rsidR="003D641E">
        <w:fldChar w:fldCharType="separate"/>
      </w:r>
      <w:r w:rsidR="000D75AE" w:rsidRPr="00BA23D8">
        <w:t>Chapter 10</w:t>
      </w:r>
      <w:r w:rsidR="000D75AE">
        <w:t>:</w:t>
      </w:r>
      <w:r w:rsidR="004572F7">
        <w:t xml:space="preserve"> </w:t>
      </w:r>
      <w:r w:rsidR="000D75AE" w:rsidRPr="00BA23D8">
        <w:t>Ongoing Support</w:t>
      </w:r>
      <w:r w:rsidR="003D641E">
        <w:fldChar w:fldCharType="end"/>
      </w:r>
      <w:r w:rsidR="003D641E">
        <w:t xml:space="preserve">, </w:t>
      </w:r>
      <w:r w:rsidR="006F4D13">
        <w:fldChar w:fldCharType="begin"/>
      </w:r>
      <w:r w:rsidR="006F4D13">
        <w:instrText xml:space="preserve"> REF _Ref202780305 \h </w:instrText>
      </w:r>
      <w:r w:rsidR="006F4D13">
        <w:fldChar w:fldCharType="separate"/>
      </w:r>
      <w:r w:rsidR="000D75AE">
        <w:t>10.7</w:t>
      </w:r>
      <w:r w:rsidR="004572F7">
        <w:t xml:space="preserve"> </w:t>
      </w:r>
      <w:r w:rsidR="000D75AE">
        <w:t>When Ongoing Support can be provided</w:t>
      </w:r>
      <w:r w:rsidR="006F4D13">
        <w:fldChar w:fldCharType="end"/>
      </w:r>
      <w:r>
        <w:t>.</w:t>
      </w:r>
    </w:p>
    <w:p w14:paraId="4188DB6E" w14:textId="77777777" w:rsidR="000636E8" w:rsidRDefault="000636E8" w:rsidP="000636E8">
      <w:pPr>
        <w:pStyle w:val="BulletLevel2"/>
      </w:pPr>
      <w:r>
        <w:t>Acceptable forms of evidence for paid Employment include:</w:t>
      </w:r>
    </w:p>
    <w:p w14:paraId="3A56F3A3" w14:textId="2691065D" w:rsidR="000636E8" w:rsidRDefault="000636E8" w:rsidP="000636E8">
      <w:pPr>
        <w:pStyle w:val="BulletLevel3"/>
      </w:pPr>
      <w:r>
        <w:t>copies of payslips covering the entire Payment period</w:t>
      </w:r>
    </w:p>
    <w:p w14:paraId="34CD848A" w14:textId="3D6C900D" w:rsidR="000636E8" w:rsidRDefault="000636E8" w:rsidP="000636E8">
      <w:pPr>
        <w:pStyle w:val="BulletLevel3"/>
      </w:pPr>
      <w:r>
        <w:t>signed and dated written statement or email from the Employer or Participant, including:</w:t>
      </w:r>
    </w:p>
    <w:p w14:paraId="4B62712F" w14:textId="421F14AF" w:rsidR="000636E8" w:rsidRDefault="000636E8" w:rsidP="000636E8">
      <w:pPr>
        <w:pStyle w:val="BulletLevel4"/>
      </w:pPr>
      <w:r>
        <w:t>name of the Employer</w:t>
      </w:r>
    </w:p>
    <w:p w14:paraId="1A9CE3C1" w14:textId="0F70567B" w:rsidR="000636E8" w:rsidRDefault="000636E8" w:rsidP="000636E8">
      <w:pPr>
        <w:pStyle w:val="BulletLevel4"/>
      </w:pPr>
      <w:r>
        <w:t>period covered by the statement</w:t>
      </w:r>
    </w:p>
    <w:p w14:paraId="0FDA2820" w14:textId="4FD49766" w:rsidR="000636E8" w:rsidRDefault="000636E8" w:rsidP="000636E8">
      <w:pPr>
        <w:pStyle w:val="BulletLevel4"/>
      </w:pPr>
      <w:r>
        <w:t>statement about the hours of paid Employment during the Payment period</w:t>
      </w:r>
    </w:p>
    <w:p w14:paraId="3F421244" w14:textId="2AE13051" w:rsidR="000636E8" w:rsidRDefault="000636E8" w:rsidP="000636E8">
      <w:pPr>
        <w:pStyle w:val="BulletLevel4"/>
      </w:pPr>
      <w:r>
        <w:t>full name, phone number and email of the person making the statement, and</w:t>
      </w:r>
    </w:p>
    <w:p w14:paraId="45ADFED9" w14:textId="1C076C4B" w:rsidR="000636E8" w:rsidRDefault="000636E8" w:rsidP="000636E8">
      <w:pPr>
        <w:pStyle w:val="BulletLevel4"/>
      </w:pPr>
      <w:r>
        <w:t>date the statement was made.</w:t>
      </w:r>
    </w:p>
    <w:p w14:paraId="7E245F94" w14:textId="77777777" w:rsidR="008729E8" w:rsidRDefault="008729E8" w:rsidP="008729E8">
      <w:pPr>
        <w:pStyle w:val="BulletLevel2"/>
      </w:pPr>
      <w:r>
        <w:t>Providers must retain records of support provided to the Participant in the form of a file note or other evidence showing:</w:t>
      </w:r>
    </w:p>
    <w:p w14:paraId="5473A641" w14:textId="05D20BD8" w:rsidR="008729E8" w:rsidRDefault="008729E8" w:rsidP="008729E8">
      <w:pPr>
        <w:pStyle w:val="BulletLevel3"/>
      </w:pPr>
      <w:r>
        <w:t>Support provided to the Participant at each Instance or Contact, including evidence of delivery of Contacts.</w:t>
      </w:r>
    </w:p>
    <w:p w14:paraId="73BDDE42" w14:textId="18FF7F0C" w:rsidR="008729E8" w:rsidRDefault="008729E8" w:rsidP="008729E8">
      <w:pPr>
        <w:pStyle w:val="BulletLevel3"/>
      </w:pPr>
      <w:r>
        <w:t xml:space="preserve">Delivery of the required minimum number of Moderate or High Ongoing Support Contacts within the </w:t>
      </w:r>
      <w:r w:rsidR="008754E1">
        <w:t xml:space="preserve">Ongoing Support </w:t>
      </w:r>
      <w:r>
        <w:t>Payment period.</w:t>
      </w:r>
    </w:p>
    <w:p w14:paraId="5604713A" w14:textId="77777777" w:rsidR="008729E8" w:rsidRDefault="008729E8" w:rsidP="008729E8">
      <w:pPr>
        <w:pStyle w:val="BulletLevel3"/>
      </w:pPr>
      <w:r>
        <w:t xml:space="preserve">Relevant changes to the Participant’s circumstances and support needs. </w:t>
      </w:r>
    </w:p>
    <w:p w14:paraId="137D2AB0" w14:textId="0378A39A" w:rsidR="000636E8" w:rsidRDefault="008729E8" w:rsidP="008729E8">
      <w:pPr>
        <w:pStyle w:val="BulletLevel3"/>
      </w:pPr>
      <w:r>
        <w:t>Any assistance that was purchased, including receipts and invoices.</w:t>
      </w:r>
    </w:p>
    <w:p w14:paraId="671279BA" w14:textId="54C0F4F2" w:rsidR="00182CBD" w:rsidRDefault="00182CBD" w:rsidP="00182CBD">
      <w:r w:rsidRPr="00ED2F16">
        <w:t xml:space="preserve">Providers will be paid on </w:t>
      </w:r>
      <w:r w:rsidR="00F0593C">
        <w:t xml:space="preserve">completion of an </w:t>
      </w:r>
      <w:r w:rsidR="4BB0262D">
        <w:t>I</w:t>
      </w:r>
      <w:r w:rsidR="22DF20C6">
        <w:t>nstance</w:t>
      </w:r>
      <w:r w:rsidR="00F0593C">
        <w:t xml:space="preserve"> of</w:t>
      </w:r>
      <w:r w:rsidRPr="00ED2F16">
        <w:t xml:space="preserve"> </w:t>
      </w:r>
      <w:r>
        <w:t>F</w:t>
      </w:r>
      <w:r w:rsidRPr="00ED2F16">
        <w:t xml:space="preserve">lexible </w:t>
      </w:r>
      <w:r>
        <w:t>O</w:t>
      </w:r>
      <w:r w:rsidRPr="00ED2F16">
        <w:t xml:space="preserve">ngoing </w:t>
      </w:r>
      <w:r>
        <w:t>S</w:t>
      </w:r>
      <w:r w:rsidRPr="00ED2F16">
        <w:t>upport</w:t>
      </w:r>
      <w:r>
        <w:t>,</w:t>
      </w:r>
      <w:r w:rsidRPr="00ED2F16">
        <w:t xml:space="preserve"> </w:t>
      </w:r>
      <w:r>
        <w:t>and</w:t>
      </w:r>
      <w:r w:rsidRPr="00ED2F16">
        <w:t xml:space="preserve"> </w:t>
      </w:r>
      <w:r>
        <w:t xml:space="preserve">monthly </w:t>
      </w:r>
      <w:r w:rsidR="00E15158">
        <w:t>(default)</w:t>
      </w:r>
      <w:r>
        <w:t xml:space="preserve"> or </w:t>
      </w:r>
      <w:r w:rsidRPr="00ED2F16">
        <w:t>quarterly</w:t>
      </w:r>
      <w:r>
        <w:t xml:space="preserve"> </w:t>
      </w:r>
      <w:r w:rsidRPr="00ED2F16">
        <w:t xml:space="preserve">in arrears for </w:t>
      </w:r>
      <w:r>
        <w:t>M</w:t>
      </w:r>
      <w:r w:rsidRPr="00ED2F16">
        <w:t xml:space="preserve">oderate or </w:t>
      </w:r>
      <w:r>
        <w:t>H</w:t>
      </w:r>
      <w:r w:rsidRPr="00ED2F16">
        <w:t xml:space="preserve">igh </w:t>
      </w:r>
      <w:r>
        <w:t>O</w:t>
      </w:r>
      <w:r w:rsidRPr="00ED2F16">
        <w:t xml:space="preserve">ngoing </w:t>
      </w:r>
      <w:r>
        <w:t>S</w:t>
      </w:r>
      <w:r w:rsidRPr="00ED2F16">
        <w:t>upport.</w:t>
      </w:r>
    </w:p>
    <w:p w14:paraId="4AD4CABB" w14:textId="42EF90EB" w:rsidR="00182CBD" w:rsidRDefault="00182CBD" w:rsidP="00182CBD">
      <w:pPr>
        <w:tabs>
          <w:tab w:val="right" w:pos="1701"/>
        </w:tabs>
        <w:spacing w:after="120"/>
      </w:pPr>
      <w:r>
        <w:t>Ongoing Support Fees</w:t>
      </w:r>
      <w:r w:rsidRPr="0031023E">
        <w:t xml:space="preserve"> </w:t>
      </w:r>
      <w:r>
        <w:t xml:space="preserve">will not be </w:t>
      </w:r>
      <w:r w:rsidR="00E15158">
        <w:t xml:space="preserve">paid </w:t>
      </w:r>
      <w:r>
        <w:t>for Job Placements</w:t>
      </w:r>
      <w:r w:rsidRPr="0031023E">
        <w:t xml:space="preserve"> that meet any of the conditions defined as a </w:t>
      </w:r>
      <w:r>
        <w:t>N</w:t>
      </w:r>
      <w:r w:rsidRPr="00350946">
        <w:t>on-</w:t>
      </w:r>
      <w:r>
        <w:t>P</w:t>
      </w:r>
      <w:r w:rsidRPr="00350946">
        <w:t xml:space="preserve">ayable </w:t>
      </w:r>
      <w:r>
        <w:t>O</w:t>
      </w:r>
      <w:r w:rsidRPr="00350946">
        <w:t>utcome</w:t>
      </w:r>
      <w:r>
        <w:t>, except for Recurring Employment (</w:t>
      </w:r>
      <w:r w:rsidR="0017613E">
        <w:t xml:space="preserve">see </w:t>
      </w:r>
      <w:r w:rsidR="0017613E">
        <w:fldChar w:fldCharType="begin"/>
      </w:r>
      <w:r w:rsidR="0017613E">
        <w:instrText xml:space="preserve"> REF _Ref202899184 \h </w:instrText>
      </w:r>
      <w:r w:rsidR="0017613E">
        <w:fldChar w:fldCharType="separate"/>
      </w:r>
      <w:r w:rsidR="000D75AE">
        <w:t>11</w:t>
      </w:r>
      <w:r w:rsidR="000D75AE" w:rsidRPr="25249C38">
        <w:t>.5.</w:t>
      </w:r>
      <w:r w:rsidR="000D75AE">
        <w:t>3</w:t>
      </w:r>
      <w:r w:rsidR="00C33F1F">
        <w:t xml:space="preserve"> </w:t>
      </w:r>
      <w:r w:rsidR="000D75AE" w:rsidRPr="25249C38">
        <w:t>Non-Payable Outcomes</w:t>
      </w:r>
      <w:r w:rsidR="0017613E">
        <w:fldChar w:fldCharType="end"/>
      </w:r>
      <w:r>
        <w:t>)</w:t>
      </w:r>
      <w:r w:rsidRPr="0031023E">
        <w:t>.</w:t>
      </w:r>
      <w:r>
        <w:t xml:space="preserve"> </w:t>
      </w:r>
    </w:p>
    <w:p w14:paraId="0A550A7A" w14:textId="19D82C7C" w:rsidR="009B682B" w:rsidRDefault="009B682B" w:rsidP="009B682B">
      <w:r w:rsidRPr="00307387">
        <w:t xml:space="preserve">If a Participant </w:t>
      </w:r>
      <w:r>
        <w:t>Period of Service ends</w:t>
      </w:r>
      <w:r w:rsidRPr="00307387">
        <w:t xml:space="preserve"> </w:t>
      </w:r>
      <w:r>
        <w:t>during an Ongoing Support Payment period</w:t>
      </w:r>
      <w:r w:rsidRPr="00307387">
        <w:t xml:space="preserve">, the </w:t>
      </w:r>
      <w:r w:rsidRPr="007C4DF7">
        <w:t>Provider</w:t>
      </w:r>
      <w:r>
        <w:t xml:space="preserve"> will</w:t>
      </w:r>
      <w:r w:rsidRPr="007C4DF7">
        <w:t xml:space="preserve"> </w:t>
      </w:r>
      <w:r>
        <w:t>not receive any payment for Moderate or High Ongoing Support for that period, including as a pro-rata payment</w:t>
      </w:r>
      <w:r w:rsidRPr="007C4DF7">
        <w:t>.</w:t>
      </w:r>
      <w:r>
        <w:t xml:space="preserve"> Providers cannot record Instances of Flexible Support following the Participant’s Exit.</w:t>
      </w:r>
      <w:r w:rsidR="00727A35">
        <w:t xml:space="preserve"> Providers will not receive payment for </w:t>
      </w:r>
      <w:r w:rsidR="00316068">
        <w:t xml:space="preserve">an </w:t>
      </w:r>
      <w:r w:rsidR="00727A35">
        <w:t>Instance of Flexible Support</w:t>
      </w:r>
      <w:r w:rsidR="00316068">
        <w:t xml:space="preserve"> that has not met the conditions for the Flexible Ongoing Support Fee</w:t>
      </w:r>
      <w:r w:rsidR="00727A35">
        <w:t>.</w:t>
      </w:r>
    </w:p>
    <w:p w14:paraId="1CE45CFD" w14:textId="34907169" w:rsidR="00182CBD" w:rsidRDefault="00E85BC8" w:rsidP="00580B55">
      <w:pPr>
        <w:pStyle w:val="DeedReferences"/>
      </w:pPr>
      <w:r>
        <w:t>(</w:t>
      </w:r>
      <w:r w:rsidR="00A73420">
        <w:t xml:space="preserve">Deed Reference(s): Clause </w:t>
      </w:r>
      <w:r w:rsidR="00F85A8B">
        <w:t>165</w:t>
      </w:r>
      <w:r>
        <w:t>)</w:t>
      </w:r>
    </w:p>
    <w:p w14:paraId="7FD0184B" w14:textId="77777777" w:rsidR="00182CBD" w:rsidRPr="00860866" w:rsidRDefault="00182CBD" w:rsidP="009B682B">
      <w:pPr>
        <w:keepNext/>
        <w:rPr>
          <w:u w:val="single"/>
        </w:rPr>
      </w:pPr>
      <w:r w:rsidRPr="00860866">
        <w:rPr>
          <w:u w:val="single"/>
        </w:rPr>
        <w:t>Suspended Participants</w:t>
      </w:r>
    </w:p>
    <w:p w14:paraId="25A01F94" w14:textId="017D76FC" w:rsidR="00B9569A" w:rsidRDefault="00182CBD" w:rsidP="00182CBD">
      <w:pPr>
        <w:rPr>
          <w:rFonts w:eastAsia="Calibri"/>
        </w:rPr>
      </w:pPr>
      <w:r w:rsidRPr="001353BC">
        <w:rPr>
          <w:rFonts w:eastAsia="Calibri"/>
        </w:rPr>
        <w:t xml:space="preserve">Ongoing Support Fees are only payable </w:t>
      </w:r>
      <w:r w:rsidR="00875E18">
        <w:rPr>
          <w:rFonts w:eastAsia="Calibri"/>
        </w:rPr>
        <w:t xml:space="preserve">for a Participant who is Suspended by Services Australia if </w:t>
      </w:r>
      <w:r w:rsidRPr="001353BC">
        <w:rPr>
          <w:rFonts w:eastAsia="Calibri"/>
        </w:rPr>
        <w:t xml:space="preserve">the Participant </w:t>
      </w:r>
      <w:r w:rsidR="00BD14D7">
        <w:rPr>
          <w:rFonts w:eastAsia="Calibri"/>
        </w:rPr>
        <w:t>is in an active Volunteer Period (i.e. has volunteered to continue to receive Services)</w:t>
      </w:r>
      <w:r w:rsidRPr="001353BC">
        <w:rPr>
          <w:rFonts w:eastAsia="Calibri"/>
        </w:rPr>
        <w:t xml:space="preserve"> </w:t>
      </w:r>
      <w:r w:rsidR="000D32B9">
        <w:rPr>
          <w:rFonts w:eastAsia="Calibri"/>
        </w:rPr>
        <w:t>and continues to meet the eligibility requirements for Ongoing Support</w:t>
      </w:r>
      <w:r w:rsidR="00875E18">
        <w:rPr>
          <w:rFonts w:eastAsia="Calibri"/>
        </w:rPr>
        <w:t>,</w:t>
      </w:r>
      <w:r w:rsidR="000D32B9">
        <w:rPr>
          <w:rFonts w:eastAsia="Calibri"/>
        </w:rPr>
        <w:t xml:space="preserve"> including </w:t>
      </w:r>
      <w:r w:rsidR="007A268D">
        <w:rPr>
          <w:rFonts w:eastAsia="Calibri"/>
        </w:rPr>
        <w:t>the requirement to be Employed</w:t>
      </w:r>
      <w:r w:rsidRPr="003410AA">
        <w:rPr>
          <w:rFonts w:eastAsia="Calibri"/>
        </w:rPr>
        <w:t xml:space="preserve">. </w:t>
      </w:r>
    </w:p>
    <w:p w14:paraId="6FB352EB" w14:textId="2305B115" w:rsidR="00182CBD" w:rsidRPr="00580B55" w:rsidRDefault="00E85BC8" w:rsidP="00580B55">
      <w:pPr>
        <w:pStyle w:val="DeedReferences"/>
      </w:pPr>
      <w:r>
        <w:t>(</w:t>
      </w:r>
      <w:r w:rsidR="00A73420">
        <w:t xml:space="preserve">Deed Reference(s): Clause </w:t>
      </w:r>
      <w:r w:rsidR="00182CBD" w:rsidRPr="00580B55">
        <w:t>15</w:t>
      </w:r>
      <w:r w:rsidR="00EA597A">
        <w:t>2</w:t>
      </w:r>
      <w:r>
        <w:t>)</w:t>
      </w:r>
    </w:p>
    <w:p w14:paraId="4D80FAD4" w14:textId="4DFF14C2" w:rsidR="00182CBD" w:rsidRDefault="00203782" w:rsidP="00182CBD">
      <w:pPr>
        <w:pStyle w:val="Heading5"/>
      </w:pPr>
      <w:r>
        <w:t>First 28-days of Ongoing Support</w:t>
      </w:r>
    </w:p>
    <w:p w14:paraId="682381C9" w14:textId="5EA94456" w:rsidR="00182CBD" w:rsidRDefault="007466E4" w:rsidP="00182CBD">
      <w:r>
        <w:t xml:space="preserve">Ongoing Support Fees are available for </w:t>
      </w:r>
      <w:r w:rsidR="00375A4E" w:rsidDel="00375A4E">
        <w:t>s</w:t>
      </w:r>
      <w:r w:rsidR="00375A4E" w:rsidDel="00182CBD">
        <w:t xml:space="preserve">upport delivered in the first 28 days and before the </w:t>
      </w:r>
      <w:r w:rsidR="00375A4E" w:rsidDel="009960A8">
        <w:t>i</w:t>
      </w:r>
      <w:r w:rsidR="00375A4E" w:rsidDel="00182CBD">
        <w:t xml:space="preserve">nitial OSA </w:t>
      </w:r>
      <w:r w:rsidR="00375A4E" w:rsidDel="00664EE7">
        <w:t>is completed</w:t>
      </w:r>
      <w:r w:rsidR="00375A4E" w:rsidDel="00182CBD">
        <w:t>, even if the OSA recommends no Ongoing Support is required or a different Level of Ongoing Support</w:t>
      </w:r>
      <w:r w:rsidR="00171098">
        <w:t xml:space="preserve"> is required</w:t>
      </w:r>
      <w:r w:rsidR="00375A4E" w:rsidDel="00182CBD">
        <w:t>.</w:t>
      </w:r>
    </w:p>
    <w:p w14:paraId="3536F601" w14:textId="758D4A03" w:rsidR="00182CBD" w:rsidRDefault="00182CBD" w:rsidP="00182CBD">
      <w:r w:rsidDel="00182CBD">
        <w:t xml:space="preserve">Providers cannot </w:t>
      </w:r>
      <w:r w:rsidDel="006D178A">
        <w:t xml:space="preserve">receive </w:t>
      </w:r>
      <w:r w:rsidR="00942D3D">
        <w:t>P</w:t>
      </w:r>
      <w:r w:rsidDel="006D178A">
        <w:t xml:space="preserve">ayment </w:t>
      </w:r>
      <w:r w:rsidDel="00182CBD">
        <w:t xml:space="preserve">for any further support delivered after the first 28 days until the </w:t>
      </w:r>
      <w:r w:rsidDel="001501AB">
        <w:t>i</w:t>
      </w:r>
      <w:r w:rsidDel="00182CBD">
        <w:t xml:space="preserve">nitial OSA has been completed. Once the </w:t>
      </w:r>
      <w:r w:rsidDel="001501AB">
        <w:t>i</w:t>
      </w:r>
      <w:r w:rsidDel="00182CBD">
        <w:t xml:space="preserve">nitial OSA confirms the Participant’s Ongoing Support needs, the Provider can </w:t>
      </w:r>
      <w:r w:rsidDel="00E260F4">
        <w:t>receive</w:t>
      </w:r>
      <w:r w:rsidDel="00182CBD">
        <w:t>:</w:t>
      </w:r>
    </w:p>
    <w:p w14:paraId="1888531E" w14:textId="485D5AFD" w:rsidR="00182CBD" w:rsidRPr="00CD5C78" w:rsidRDefault="00182CBD" w:rsidP="004E120D">
      <w:pPr>
        <w:pStyle w:val="BulletLevel1"/>
        <w:rPr>
          <w:rFonts w:eastAsia="Calibri"/>
        </w:rPr>
      </w:pPr>
      <w:r>
        <w:t xml:space="preserve">Flexible Ongoing Support Fees as </w:t>
      </w:r>
      <w:r w:rsidR="6191C2FB">
        <w:t>I</w:t>
      </w:r>
      <w:r>
        <w:t xml:space="preserve">nstances are completed. </w:t>
      </w:r>
    </w:p>
    <w:p w14:paraId="7E9D7CD6" w14:textId="776FAC37" w:rsidR="007466E4" w:rsidRDefault="00182CBD" w:rsidP="004E120D">
      <w:pPr>
        <w:pStyle w:val="BulletLevel1"/>
      </w:pPr>
      <w:r w:rsidDel="00182CBD">
        <w:t xml:space="preserve">Moderate or High Ongoing Support Fees when they fall due, with the second Ongoing Support </w:t>
      </w:r>
      <w:r w:rsidR="0008326E">
        <w:t>P</w:t>
      </w:r>
      <w:r w:rsidDel="003833C1">
        <w:t xml:space="preserve">ayment </w:t>
      </w:r>
      <w:r w:rsidDel="00182CBD">
        <w:t xml:space="preserve">period </w:t>
      </w:r>
      <w:r w:rsidR="00A41CC2">
        <w:t xml:space="preserve">commencing </w:t>
      </w:r>
      <w:r w:rsidR="008C4C54">
        <w:t>from</w:t>
      </w:r>
      <w:r w:rsidR="007466E4">
        <w:t>:</w:t>
      </w:r>
    </w:p>
    <w:p w14:paraId="7D4C878D" w14:textId="1EAF90EE" w:rsidR="007466E4" w:rsidRDefault="008C4C54" w:rsidP="00862AA2">
      <w:pPr>
        <w:pStyle w:val="BulletLevel2"/>
      </w:pPr>
      <w:r>
        <w:t xml:space="preserve">the </w:t>
      </w:r>
      <w:r w:rsidR="00415A0F">
        <w:t>day after completion of the</w:t>
      </w:r>
      <w:r w:rsidR="00A564E5">
        <w:t xml:space="preserve"> initial 28 day period</w:t>
      </w:r>
      <w:r w:rsidR="007466E4">
        <w:t>,</w:t>
      </w:r>
      <w:r w:rsidR="00A564E5">
        <w:t xml:space="preserve"> if the OSA has been completed, or </w:t>
      </w:r>
    </w:p>
    <w:p w14:paraId="40E955B4" w14:textId="5057AD56" w:rsidR="00182CBD" w:rsidRDefault="008C4C54" w:rsidP="00862AA2">
      <w:pPr>
        <w:pStyle w:val="BulletLevel2"/>
      </w:pPr>
      <w:r>
        <w:t>date the OSA is completed</w:t>
      </w:r>
      <w:r w:rsidR="007466E4">
        <w:t>,</w:t>
      </w:r>
      <w:r>
        <w:t xml:space="preserve"> if the OSA is not completed within the first 28 days</w:t>
      </w:r>
      <w:r w:rsidR="00182CBD" w:rsidDel="00182CBD">
        <w:t xml:space="preserve">. </w:t>
      </w:r>
    </w:p>
    <w:p w14:paraId="31E37E7B" w14:textId="5D2CDE13" w:rsidR="00F27614" w:rsidRPr="00F27614" w:rsidRDefault="00F27614" w:rsidP="003F5649">
      <w:pPr>
        <w:pStyle w:val="DeedReferences"/>
      </w:pPr>
      <w:r w:rsidRPr="00F27614">
        <w:t>(Deed Reference(s): Clause</w:t>
      </w:r>
      <w:r w:rsidR="003F5649">
        <w:t xml:space="preserve"> </w:t>
      </w:r>
      <w:r w:rsidRPr="00F27614">
        <w:t>125)</w:t>
      </w:r>
    </w:p>
    <w:p w14:paraId="5289AFE2" w14:textId="77777777" w:rsidR="00182CBD" w:rsidRDefault="00182CBD" w:rsidP="00182CBD">
      <w:pPr>
        <w:pStyle w:val="Heading5"/>
      </w:pPr>
      <w:r>
        <w:t>Flexible Ongoing Support Fees</w:t>
      </w:r>
    </w:p>
    <w:p w14:paraId="0EBDCA88" w14:textId="77777777" w:rsidR="000109E8" w:rsidRDefault="00182CBD" w:rsidP="00182CBD">
      <w:r w:rsidRPr="42C107D3">
        <w:t xml:space="preserve">Flexible Ongoing Support </w:t>
      </w:r>
      <w:r w:rsidR="00E24162">
        <w:t>F</w:t>
      </w:r>
      <w:r>
        <w:t>ees</w:t>
      </w:r>
      <w:r w:rsidRPr="42C107D3">
        <w:t xml:space="preserve"> are paid on a fee‐for‐service basis for each Instance of support over </w:t>
      </w:r>
      <w:r w:rsidR="00F670D9">
        <w:t>4</w:t>
      </w:r>
      <w:r w:rsidR="000109E8">
        <w:t> </w:t>
      </w:r>
      <w:r w:rsidRPr="42C107D3">
        <w:t xml:space="preserve">hours delivered and </w:t>
      </w:r>
      <w:r w:rsidR="004B229B">
        <w:t xml:space="preserve">completed in the Department’s IT </w:t>
      </w:r>
      <w:r w:rsidR="103280B2">
        <w:t>S</w:t>
      </w:r>
      <w:r w:rsidR="004B229B">
        <w:t>ystem</w:t>
      </w:r>
      <w:r w:rsidR="2E260B47">
        <w:t>s</w:t>
      </w:r>
      <w:r>
        <w:t>.</w:t>
      </w:r>
      <w:r w:rsidRPr="42C107D3">
        <w:t xml:space="preserve"> An Instance can cover an accumulated number of smaller contacts, or a single Instance of more intensive support. </w:t>
      </w:r>
    </w:p>
    <w:p w14:paraId="072D549C" w14:textId="751055F0" w:rsidR="00182CBD" w:rsidRDefault="00182CBD" w:rsidP="00182CBD">
      <w:r w:rsidRPr="42C107D3">
        <w:t xml:space="preserve">A maximum of </w:t>
      </w:r>
      <w:r w:rsidR="00BA6746">
        <w:t>6</w:t>
      </w:r>
      <w:r w:rsidR="00BA6746" w:rsidRPr="42C107D3" w:rsidDel="00D15500">
        <w:t xml:space="preserve"> </w:t>
      </w:r>
      <w:r w:rsidRPr="42C107D3">
        <w:t xml:space="preserve">Instances of Flexible Ongoing Support can be </w:t>
      </w:r>
      <w:r w:rsidR="4BED1859">
        <w:t>paid</w:t>
      </w:r>
      <w:r w:rsidR="00A0527C">
        <w:t xml:space="preserve"> </w:t>
      </w:r>
      <w:r>
        <w:t>for</w:t>
      </w:r>
      <w:r w:rsidRPr="42C107D3">
        <w:t xml:space="preserve"> a Participant within a 26-week period. If further support is required, a Change of Circumstances OSA must be requested to determine if a different Level of Ongoing Support is required. </w:t>
      </w:r>
    </w:p>
    <w:p w14:paraId="2987D795" w14:textId="4EA1A2E5" w:rsidR="0AA2758D" w:rsidRDefault="0AA2758D">
      <w:r>
        <w:t xml:space="preserve">Flexible Ongoing Support Fees are paid automatically once an Instance of Support over </w:t>
      </w:r>
      <w:r w:rsidR="00BA6746">
        <w:t>4</w:t>
      </w:r>
      <w:r>
        <w:t xml:space="preserve"> hours is </w:t>
      </w:r>
      <w:r w:rsidR="007E4138">
        <w:t>recorded</w:t>
      </w:r>
      <w:r>
        <w:t xml:space="preserve"> in the Department’s IT Systems. Providers do not need to claim for </w:t>
      </w:r>
      <w:r w:rsidR="00C21184">
        <w:t>P</w:t>
      </w:r>
      <w:r>
        <w:t xml:space="preserve">ayment. </w:t>
      </w:r>
    </w:p>
    <w:p w14:paraId="159A308F" w14:textId="61CC98DF" w:rsidR="001918DA" w:rsidRPr="003F5649" w:rsidRDefault="001918DA" w:rsidP="003F5649">
      <w:pPr>
        <w:pStyle w:val="DeedReferences"/>
      </w:pPr>
      <w:r w:rsidRPr="003F5649">
        <w:t xml:space="preserve">(Deed </w:t>
      </w:r>
      <w:r w:rsidR="002977AD" w:rsidRPr="003F5649">
        <w:t>Reference(s)</w:t>
      </w:r>
      <w:r w:rsidR="009D6C04" w:rsidRPr="003F5649">
        <w:t>:</w:t>
      </w:r>
      <w:r w:rsidR="002977AD" w:rsidRPr="003F5649">
        <w:t xml:space="preserve"> Clause </w:t>
      </w:r>
      <w:r w:rsidR="00CC5953" w:rsidRPr="003F5649">
        <w:t xml:space="preserve">114, </w:t>
      </w:r>
      <w:r w:rsidR="00BB45AE" w:rsidRPr="003F5649">
        <w:t>130, 165)</w:t>
      </w:r>
    </w:p>
    <w:p w14:paraId="7113A089" w14:textId="77777777" w:rsidR="00182CBD" w:rsidRDefault="00182CBD" w:rsidP="00182CBD">
      <w:pPr>
        <w:pStyle w:val="Heading5"/>
      </w:pPr>
      <w:r>
        <w:t>Moderate and High Ongoing Support Fees</w:t>
      </w:r>
    </w:p>
    <w:p w14:paraId="2C6C7B70" w14:textId="10F386BE" w:rsidR="0076635E" w:rsidRDefault="00182CBD" w:rsidP="00182CBD">
      <w:r w:rsidRPr="42C107D3">
        <w:t>Moderate and High Ongoing Support fees are paid monthly or quarterly in arrears</w:t>
      </w:r>
      <w:r w:rsidR="008E1C62">
        <w:t>.</w:t>
      </w:r>
      <w:r w:rsidRPr="42C107D3">
        <w:t xml:space="preserve"> </w:t>
      </w:r>
      <w:r>
        <w:t xml:space="preserve"> </w:t>
      </w:r>
    </w:p>
    <w:p w14:paraId="1902ACFF" w14:textId="46C29668" w:rsidR="00182CBD" w:rsidRDefault="00182CBD" w:rsidP="00182CBD">
      <w:r w:rsidRPr="42C107D3">
        <w:t xml:space="preserve">The Provider </w:t>
      </w:r>
      <w:r w:rsidR="00DB750F">
        <w:t>is required to</w:t>
      </w:r>
      <w:r w:rsidR="00DB750F" w:rsidRPr="42C107D3">
        <w:t xml:space="preserve"> </w:t>
      </w:r>
      <w:r w:rsidRPr="42C107D3">
        <w:t xml:space="preserve">deliver the minimum </w:t>
      </w:r>
      <w:r w:rsidR="0043787E">
        <w:t xml:space="preserve">number of Ongoing Support </w:t>
      </w:r>
      <w:r w:rsidR="00255DAB">
        <w:t>C</w:t>
      </w:r>
      <w:r w:rsidRPr="42C107D3">
        <w:t xml:space="preserve">ontacts within the </w:t>
      </w:r>
      <w:r w:rsidR="00041463">
        <w:t>P</w:t>
      </w:r>
      <w:r w:rsidR="00DB750F">
        <w:t xml:space="preserve">ayment </w:t>
      </w:r>
      <w:r w:rsidRPr="42C107D3">
        <w:t>period</w:t>
      </w:r>
      <w:r>
        <w:t>.</w:t>
      </w:r>
    </w:p>
    <w:p w14:paraId="792E10CA" w14:textId="0DDDFA2C" w:rsidR="42D51D38" w:rsidRPr="00307DE7" w:rsidRDefault="42D51D38">
      <w:r w:rsidRPr="00F44F93">
        <w:t xml:space="preserve">Moderate and High Ongoing Support Fees will be </w:t>
      </w:r>
      <w:r w:rsidR="00761735" w:rsidRPr="00F44F93">
        <w:t xml:space="preserve">triggered for automatic </w:t>
      </w:r>
      <w:r w:rsidR="00475477" w:rsidRPr="00F44F93">
        <w:t>P</w:t>
      </w:r>
      <w:r w:rsidR="00761735" w:rsidRPr="00F44F93">
        <w:t>ayment</w:t>
      </w:r>
      <w:r w:rsidRPr="00F44F93">
        <w:t xml:space="preserve"> </w:t>
      </w:r>
      <w:r w:rsidR="0A9C1AE5" w:rsidRPr="00F44F93">
        <w:t xml:space="preserve">to </w:t>
      </w:r>
      <w:r w:rsidR="00A736DE" w:rsidRPr="00F44F93">
        <w:t xml:space="preserve">a </w:t>
      </w:r>
      <w:r w:rsidR="0A9C1AE5" w:rsidRPr="00F44F93">
        <w:t xml:space="preserve">Provider </w:t>
      </w:r>
      <w:r w:rsidR="00365473">
        <w:t xml:space="preserve">who </w:t>
      </w:r>
      <w:r w:rsidR="008775E5" w:rsidRPr="00F44F93">
        <w:t xml:space="preserve">has </w:t>
      </w:r>
      <w:r w:rsidR="008756B2">
        <w:t>recorded</w:t>
      </w:r>
      <w:r w:rsidR="008775E5" w:rsidRPr="00F44F93">
        <w:t xml:space="preserve"> in the Department’s IT Systems</w:t>
      </w:r>
      <w:r w:rsidR="00393DC3" w:rsidRPr="00F44F93">
        <w:t xml:space="preserve"> at least one Contact in each monthly </w:t>
      </w:r>
      <w:r w:rsidR="00D32E3E">
        <w:t xml:space="preserve">Ongoing Support </w:t>
      </w:r>
      <w:r w:rsidR="00393DC3" w:rsidRPr="00F44F93">
        <w:t xml:space="preserve">Payment period </w:t>
      </w:r>
      <w:r w:rsidR="00C70083" w:rsidRPr="00F44F93">
        <w:t xml:space="preserve">or at least </w:t>
      </w:r>
      <w:r w:rsidR="00A72723">
        <w:t>3</w:t>
      </w:r>
      <w:r w:rsidR="00C70083" w:rsidRPr="00F44F93">
        <w:t xml:space="preserve"> Contacts in </w:t>
      </w:r>
      <w:r w:rsidR="00F44F93" w:rsidRPr="00F44F93">
        <w:t>e</w:t>
      </w:r>
      <w:r w:rsidR="00C70083" w:rsidRPr="00F44F93">
        <w:t xml:space="preserve">ach quarterly </w:t>
      </w:r>
      <w:r w:rsidR="00D32E3E">
        <w:t xml:space="preserve">Ongoing Support </w:t>
      </w:r>
      <w:r w:rsidR="00F44F93" w:rsidRPr="00F44F93">
        <w:t>Payment period</w:t>
      </w:r>
      <w:r w:rsidR="6B0B940C" w:rsidRPr="00F44F93">
        <w:t>.</w:t>
      </w:r>
      <w:r w:rsidR="00B44B9D" w:rsidRPr="00F44F93">
        <w:t xml:space="preserve"> </w:t>
      </w:r>
      <w:r w:rsidR="004F1DC6" w:rsidRPr="00F44F93">
        <w:t>Providers do not need to claim for Payment.</w:t>
      </w:r>
    </w:p>
    <w:p w14:paraId="2E16D0D1" w14:textId="052AAFAC" w:rsidR="0006617E" w:rsidRPr="00862AA2" w:rsidRDefault="001C7C20" w:rsidP="00307DE7">
      <w:r w:rsidRPr="00307DE7">
        <w:t xml:space="preserve">If a Provider receives a monthly or quarterly Ongoing Support Fee </w:t>
      </w:r>
      <w:r w:rsidR="00761735" w:rsidRPr="00307DE7">
        <w:t xml:space="preserve">for a Participant </w:t>
      </w:r>
      <w:r w:rsidRPr="00307DE7">
        <w:t>but has not delivered the required minimum</w:t>
      </w:r>
      <w:r w:rsidR="00EE1112" w:rsidRPr="00307DE7">
        <w:t xml:space="preserve"> number of Contacts</w:t>
      </w:r>
      <w:r w:rsidR="00A808D9" w:rsidRPr="00307DE7">
        <w:t xml:space="preserve"> </w:t>
      </w:r>
      <w:r w:rsidR="00EB1149">
        <w:t>—</w:t>
      </w:r>
      <w:r w:rsidR="00A808D9" w:rsidRPr="00307DE7">
        <w:t xml:space="preserve"> 6 per quarter for Moderate Ongoing Support </w:t>
      </w:r>
      <w:r w:rsidR="00A808D9" w:rsidRPr="00F44F93">
        <w:t xml:space="preserve">and 12 per quarter for High Ongoing Support </w:t>
      </w:r>
      <w:r w:rsidR="00EB1149">
        <w:t>–</w:t>
      </w:r>
      <w:r w:rsidR="00A808D9" w:rsidRPr="00F44F93">
        <w:t xml:space="preserve"> </w:t>
      </w:r>
      <w:r w:rsidR="007F462D">
        <w:t xml:space="preserve">part of the Ongoing Support Fee will be </w:t>
      </w:r>
      <w:r w:rsidR="009224BC">
        <w:t>offset</w:t>
      </w:r>
      <w:r w:rsidR="007F462D">
        <w:t xml:space="preserve"> </w:t>
      </w:r>
      <w:r w:rsidR="009224BC">
        <w:t xml:space="preserve">against </w:t>
      </w:r>
      <w:r w:rsidR="003F5EF2">
        <w:t xml:space="preserve">later </w:t>
      </w:r>
      <w:r w:rsidR="00EB1149">
        <w:t xml:space="preserve">Ongoing Support </w:t>
      </w:r>
      <w:r w:rsidR="003F5EF2">
        <w:t xml:space="preserve">Fees. The offset amount will be the proportion of the required Contacts that were not delivered within the Ongoing Support </w:t>
      </w:r>
      <w:r w:rsidR="00EB1149">
        <w:t>P</w:t>
      </w:r>
      <w:r w:rsidR="003F5EF2">
        <w:t>ayment period</w:t>
      </w:r>
      <w:r w:rsidR="00086055" w:rsidRPr="00F44F93">
        <w:t>.</w:t>
      </w:r>
    </w:p>
    <w:p w14:paraId="2EF26AEB" w14:textId="7EE6F0EB" w:rsidR="008A21B4" w:rsidRPr="00FF4A41" w:rsidRDefault="008A21B4" w:rsidP="00A41F4F">
      <w:pPr>
        <w:pStyle w:val="DeedReferences"/>
        <w:rPr>
          <w:b/>
          <w:bCs/>
          <w:iCs/>
        </w:rPr>
      </w:pPr>
      <w:r w:rsidRPr="00FF4A41">
        <w:t>(Deed Reference(s)</w:t>
      </w:r>
      <w:r w:rsidR="009D6C04">
        <w:t>: Clause 114</w:t>
      </w:r>
      <w:r w:rsidR="00482F8E">
        <w:t>, 165)</w:t>
      </w:r>
    </w:p>
    <w:p w14:paraId="16B3649E" w14:textId="2D4B02FA" w:rsidR="00182CBD" w:rsidRPr="00860866" w:rsidRDefault="00FB3C91" w:rsidP="00860866">
      <w:pPr>
        <w:rPr>
          <w:u w:val="single"/>
        </w:rPr>
      </w:pPr>
      <w:r w:rsidRPr="00FF4A41">
        <w:rPr>
          <w:rFonts w:asciiTheme="majorHAnsi" w:eastAsiaTheme="majorEastAsia" w:hAnsiTheme="majorHAnsi" w:cstheme="majorBidi"/>
          <w:bCs/>
          <w:color w:val="00838A"/>
          <w:sz w:val="24"/>
        </w:rPr>
        <w:t>Monthly or quarterly</w:t>
      </w:r>
      <w:r w:rsidR="00182CBD" w:rsidRPr="00FF4A41">
        <w:rPr>
          <w:rFonts w:asciiTheme="majorHAnsi" w:eastAsiaTheme="majorEastAsia" w:hAnsiTheme="majorHAnsi" w:cstheme="majorBidi"/>
          <w:bCs/>
          <w:color w:val="00838A"/>
          <w:sz w:val="24"/>
        </w:rPr>
        <w:t xml:space="preserve"> </w:t>
      </w:r>
      <w:r w:rsidR="00041463" w:rsidRPr="00FF4A41">
        <w:rPr>
          <w:rFonts w:asciiTheme="majorHAnsi" w:eastAsiaTheme="majorEastAsia" w:hAnsiTheme="majorHAnsi" w:cstheme="majorBidi"/>
          <w:bCs/>
          <w:color w:val="00838A"/>
          <w:sz w:val="24"/>
        </w:rPr>
        <w:t>P</w:t>
      </w:r>
      <w:r w:rsidR="00182CBD" w:rsidRPr="00FF4A41">
        <w:rPr>
          <w:rFonts w:asciiTheme="majorHAnsi" w:eastAsiaTheme="majorEastAsia" w:hAnsiTheme="majorHAnsi" w:cstheme="majorBidi"/>
          <w:bCs/>
          <w:color w:val="00838A"/>
          <w:sz w:val="24"/>
        </w:rPr>
        <w:t>ayment</w:t>
      </w:r>
      <w:r w:rsidRPr="00FF4A41">
        <w:rPr>
          <w:rFonts w:asciiTheme="majorHAnsi" w:eastAsiaTheme="majorEastAsia" w:hAnsiTheme="majorHAnsi" w:cstheme="majorBidi"/>
          <w:bCs/>
          <w:color w:val="00838A"/>
          <w:sz w:val="24"/>
        </w:rPr>
        <w:t xml:space="preserve"> period</w:t>
      </w:r>
      <w:r w:rsidR="00182CBD" w:rsidRPr="00FF4A41">
        <w:rPr>
          <w:rFonts w:asciiTheme="majorHAnsi" w:eastAsiaTheme="majorEastAsia" w:hAnsiTheme="majorHAnsi" w:cstheme="majorBidi"/>
          <w:bCs/>
          <w:color w:val="00838A"/>
          <w:sz w:val="24"/>
        </w:rPr>
        <w:t>s</w:t>
      </w:r>
    </w:p>
    <w:p w14:paraId="58027FF1" w14:textId="3A1D4DC9" w:rsidR="00C363F8" w:rsidRDefault="00182CBD" w:rsidP="00C363F8">
      <w:r>
        <w:t xml:space="preserve">Moderate or High Ongoing Support Fees will be paid monthly </w:t>
      </w:r>
      <w:r w:rsidR="00C363F8">
        <w:t xml:space="preserve">in arrears </w:t>
      </w:r>
      <w:r>
        <w:t>by default.</w:t>
      </w:r>
    </w:p>
    <w:p w14:paraId="350DDE31" w14:textId="102DF814" w:rsidR="00182CBD" w:rsidRDefault="00C363F8" w:rsidP="00C363F8">
      <w:r>
        <w:t>If a Provider wishes to</w:t>
      </w:r>
      <w:r w:rsidR="00A67BF4">
        <w:t xml:space="preserve"> be paid Moderate or High Ongoing Support Fees quarterly in arrears</w:t>
      </w:r>
      <w:r w:rsidR="00645414">
        <w:t xml:space="preserve">, the Provider may </w:t>
      </w:r>
      <w:r w:rsidR="002147DC">
        <w:t xml:space="preserve">request a change to the payment </w:t>
      </w:r>
      <w:r w:rsidR="00467D71">
        <w:t xml:space="preserve">schedule </w:t>
      </w:r>
      <w:r w:rsidR="000C6F00">
        <w:t xml:space="preserve">via email to </w:t>
      </w:r>
      <w:hyperlink r:id="rId81" w:history="1">
        <w:r w:rsidR="00AF3412" w:rsidRPr="00F40B1F">
          <w:rPr>
            <w:rStyle w:val="Hyperlink"/>
          </w:rPr>
          <w:t>desadmin@dss.gov.au</w:t>
        </w:r>
      </w:hyperlink>
      <w:r w:rsidR="000E3AA0">
        <w:t>.</w:t>
      </w:r>
    </w:p>
    <w:p w14:paraId="4BBB4BBF" w14:textId="44E3DA8C" w:rsidR="00AF3412" w:rsidRDefault="00AF3412" w:rsidP="00C363F8">
      <w:pPr>
        <w:rPr>
          <w:lang w:val="en-GB"/>
        </w:rPr>
      </w:pPr>
      <w:r w:rsidRPr="009740B1">
        <w:rPr>
          <w:b/>
          <w:bCs/>
        </w:rPr>
        <w:t>Note:</w:t>
      </w:r>
      <w:r>
        <w:t xml:space="preserve"> </w:t>
      </w:r>
      <w:r w:rsidR="00073974">
        <w:t>T</w:t>
      </w:r>
      <w:r w:rsidR="009740B1">
        <w:t xml:space="preserve">he </w:t>
      </w:r>
      <w:r w:rsidR="002212B5">
        <w:t>Ongoing Support P</w:t>
      </w:r>
      <w:r w:rsidR="009740B1">
        <w:t xml:space="preserve">ayment schedule is set at a contract level, so will apply across all Ongoing Support </w:t>
      </w:r>
      <w:r w:rsidR="00073974">
        <w:t>P</w:t>
      </w:r>
      <w:r w:rsidR="009740B1">
        <w:t xml:space="preserve">articipants on a </w:t>
      </w:r>
      <w:r w:rsidR="00073974">
        <w:t>P</w:t>
      </w:r>
      <w:r w:rsidR="009740B1">
        <w:t>rovider</w:t>
      </w:r>
      <w:r w:rsidR="00073974">
        <w:t>’</w:t>
      </w:r>
      <w:r w:rsidR="009740B1">
        <w:t xml:space="preserve">s </w:t>
      </w:r>
      <w:r w:rsidR="00E45E5A">
        <w:t>C</w:t>
      </w:r>
      <w:r w:rsidR="009740B1">
        <w:t>aseload.</w:t>
      </w:r>
    </w:p>
    <w:p w14:paraId="46D557DD" w14:textId="375B6FEF" w:rsidR="00182CBD" w:rsidRPr="00FB7CD7" w:rsidRDefault="00182CBD" w:rsidP="0072095E">
      <w:pPr>
        <w:pStyle w:val="Heading5"/>
      </w:pPr>
      <w:r>
        <w:t xml:space="preserve">Changes in Level of Ongoing Support </w:t>
      </w:r>
    </w:p>
    <w:p w14:paraId="0198A629" w14:textId="23322B09" w:rsidR="00182CBD" w:rsidRPr="003E77F4" w:rsidRDefault="00182CBD" w:rsidP="00182CBD">
      <w:pPr>
        <w:tabs>
          <w:tab w:val="right" w:pos="1701"/>
        </w:tabs>
        <w:spacing w:after="120"/>
        <w:rPr>
          <w:rFonts w:cstheme="minorHAnsi"/>
        </w:rPr>
      </w:pPr>
      <w:r w:rsidRPr="003E77F4">
        <w:rPr>
          <w:rFonts w:cstheme="minorHAnsi"/>
        </w:rPr>
        <w:t xml:space="preserve">Pro-rata </w:t>
      </w:r>
      <w:r w:rsidR="00724F34">
        <w:rPr>
          <w:rFonts w:cstheme="minorHAnsi"/>
        </w:rPr>
        <w:t>P</w:t>
      </w:r>
      <w:r w:rsidRPr="003E77F4">
        <w:rPr>
          <w:rFonts w:cstheme="minorHAnsi"/>
        </w:rPr>
        <w:t xml:space="preserve">ayments will be made if a </w:t>
      </w:r>
      <w:r>
        <w:rPr>
          <w:rFonts w:cstheme="minorHAnsi"/>
        </w:rPr>
        <w:t>Participant</w:t>
      </w:r>
      <w:r w:rsidRPr="003E77F4">
        <w:rPr>
          <w:rFonts w:cstheme="minorHAnsi"/>
        </w:rPr>
        <w:t xml:space="preserve"> changes </w:t>
      </w:r>
      <w:r>
        <w:rPr>
          <w:rFonts w:cstheme="minorHAnsi"/>
        </w:rPr>
        <w:t>their Level of Ongoing Support</w:t>
      </w:r>
      <w:r w:rsidRPr="003E77F4">
        <w:rPr>
          <w:rFonts w:cstheme="minorHAnsi"/>
        </w:rPr>
        <w:t xml:space="preserve"> during a </w:t>
      </w:r>
      <w:r w:rsidR="007F706B">
        <w:rPr>
          <w:rFonts w:cstheme="minorHAnsi"/>
        </w:rPr>
        <w:t>P</w:t>
      </w:r>
      <w:r w:rsidR="00A724F2">
        <w:rPr>
          <w:rFonts w:cstheme="minorHAnsi"/>
        </w:rPr>
        <w:t>ayment</w:t>
      </w:r>
      <w:r w:rsidR="00A724F2" w:rsidRPr="003E77F4" w:rsidDel="00C57AAC">
        <w:rPr>
          <w:rFonts w:cstheme="minorHAnsi"/>
        </w:rPr>
        <w:t xml:space="preserve"> </w:t>
      </w:r>
      <w:r w:rsidRPr="003E77F4">
        <w:rPr>
          <w:rFonts w:cstheme="minorHAnsi"/>
        </w:rPr>
        <w:t>period</w:t>
      </w:r>
      <w:r>
        <w:rPr>
          <w:rFonts w:cstheme="minorHAnsi"/>
        </w:rPr>
        <w:t>.</w:t>
      </w:r>
    </w:p>
    <w:p w14:paraId="582B2372" w14:textId="4B9286DE" w:rsidR="00182CBD" w:rsidRPr="00156D37" w:rsidRDefault="00182CBD" w:rsidP="00182CBD">
      <w:r w:rsidRPr="00156D37">
        <w:t xml:space="preserve">Where a </w:t>
      </w:r>
      <w:r>
        <w:t>Participant</w:t>
      </w:r>
      <w:r w:rsidRPr="00156D37">
        <w:t xml:space="preserve"> was in both Moderate and High </w:t>
      </w:r>
      <w:r>
        <w:t>Ongoing Support</w:t>
      </w:r>
      <w:r w:rsidRPr="00156D37">
        <w:t xml:space="preserve"> during a </w:t>
      </w:r>
      <w:r w:rsidR="00A05429">
        <w:t>P</w:t>
      </w:r>
      <w:r w:rsidR="00A724F2">
        <w:t>ayment</w:t>
      </w:r>
      <w:r w:rsidR="00A724F2" w:rsidRPr="00156D37">
        <w:t xml:space="preserve"> </w:t>
      </w:r>
      <w:r w:rsidRPr="00156D37">
        <w:t xml:space="preserve">period, the </w:t>
      </w:r>
      <w:r>
        <w:t>Ongoing Support</w:t>
      </w:r>
      <w:r w:rsidRPr="00156D37">
        <w:t xml:space="preserve"> </w:t>
      </w:r>
      <w:r>
        <w:t>F</w:t>
      </w:r>
      <w:r w:rsidRPr="00156D37">
        <w:t>ee will be</w:t>
      </w:r>
      <w:r w:rsidR="00307387">
        <w:t xml:space="preserve"> </w:t>
      </w:r>
      <w:r w:rsidR="00307387" w:rsidRPr="00307387">
        <w:t>based on the proportion of the period in each level of support</w:t>
      </w:r>
      <w:r w:rsidR="00307387">
        <w:t>.</w:t>
      </w:r>
      <w:r w:rsidRPr="00156D37">
        <w:t xml:space="preserve"> </w:t>
      </w:r>
    </w:p>
    <w:p w14:paraId="72053A66" w14:textId="46FDCCE5" w:rsidR="00237445" w:rsidRDefault="00182CBD" w:rsidP="00307387">
      <w:r w:rsidRPr="00EA6F41">
        <w:t xml:space="preserve">Where a </w:t>
      </w:r>
      <w:r>
        <w:t>Participant</w:t>
      </w:r>
      <w:r w:rsidRPr="00EA6F41">
        <w:t xml:space="preserve"> was in Flexible </w:t>
      </w:r>
      <w:r>
        <w:t>Ongoing Support</w:t>
      </w:r>
      <w:r w:rsidRPr="00EA6F41">
        <w:t xml:space="preserve"> and at least one other </w:t>
      </w:r>
      <w:r>
        <w:t>Level of Ongoing Support</w:t>
      </w:r>
      <w:r w:rsidRPr="00EA6F41">
        <w:t xml:space="preserve"> during a </w:t>
      </w:r>
      <w:r w:rsidR="00A05429">
        <w:t>P</w:t>
      </w:r>
      <w:r w:rsidR="00FB6342">
        <w:t>ayment</w:t>
      </w:r>
      <w:r w:rsidR="00FB6342" w:rsidRPr="00EA6F41">
        <w:t xml:space="preserve"> </w:t>
      </w:r>
      <w:r w:rsidRPr="00EA6F41">
        <w:t>period, the</w:t>
      </w:r>
      <w:r>
        <w:t xml:space="preserve"> Provider will be paid the Flexible Ongoing Support Fee for Instances of Flexible Support delivered, and a High or Moderate Ongoing Support</w:t>
      </w:r>
      <w:r w:rsidRPr="00EA6F41">
        <w:t xml:space="preserve"> </w:t>
      </w:r>
      <w:r w:rsidR="003059A7">
        <w:t>F</w:t>
      </w:r>
      <w:r w:rsidRPr="00EA6F41">
        <w:t xml:space="preserve">ee </w:t>
      </w:r>
      <w:r w:rsidR="00073974">
        <w:t xml:space="preserve">equal to the </w:t>
      </w:r>
      <w:r w:rsidRPr="00EA6F41">
        <w:t xml:space="preserve">proportion of the period </w:t>
      </w:r>
      <w:r w:rsidR="00073974">
        <w:t xml:space="preserve">that the Participant was receiving </w:t>
      </w:r>
      <w:r w:rsidRPr="00EA6F41">
        <w:t>Moderate</w:t>
      </w:r>
      <w:r>
        <w:t xml:space="preserve"> or </w:t>
      </w:r>
      <w:r w:rsidRPr="00EA6F41">
        <w:t xml:space="preserve">High </w:t>
      </w:r>
      <w:r>
        <w:t>Ongoing Support</w:t>
      </w:r>
      <w:r w:rsidRPr="00EA6F41">
        <w:t>.</w:t>
      </w:r>
    </w:p>
    <w:p w14:paraId="2453611F" w14:textId="3112C0CD" w:rsidR="006756A6" w:rsidRPr="006756A6" w:rsidRDefault="006756A6" w:rsidP="006756A6">
      <w:pPr>
        <w:pStyle w:val="BulletLevel1"/>
        <w:numPr>
          <w:ilvl w:val="0"/>
          <w:numId w:val="0"/>
        </w:numPr>
        <w:rPr>
          <w:sz w:val="20"/>
          <w:szCs w:val="20"/>
        </w:rPr>
      </w:pPr>
      <w:r w:rsidRPr="006756A6">
        <w:rPr>
          <w:sz w:val="20"/>
          <w:szCs w:val="20"/>
        </w:rPr>
        <w:t>(Deed Reference(s): Clause 165)</w:t>
      </w:r>
    </w:p>
    <w:p w14:paraId="23730954" w14:textId="7D038064" w:rsidR="003C766D" w:rsidRDefault="0072095E" w:rsidP="0072095E">
      <w:pPr>
        <w:pStyle w:val="Heading5"/>
      </w:pPr>
      <w:r>
        <w:t xml:space="preserve">Additional </w:t>
      </w:r>
      <w:r w:rsidR="006C3A6A">
        <w:t>c</w:t>
      </w:r>
      <w:r>
        <w:t xml:space="preserve">onsiderations for </w:t>
      </w:r>
      <w:r w:rsidR="00F564F6">
        <w:t>Transfer</w:t>
      </w:r>
      <w:r w:rsidR="00535B4A">
        <w:t>red Participations</w:t>
      </w:r>
    </w:p>
    <w:p w14:paraId="1A1A743A" w14:textId="77777777" w:rsidR="00862C0D" w:rsidRDefault="00862C0D" w:rsidP="00A41F4F">
      <w:pPr>
        <w:keepNext/>
      </w:pPr>
      <w:r>
        <w:t>If a Flexible Ongoing Support Participant transfers to a new Provider:</w:t>
      </w:r>
    </w:p>
    <w:p w14:paraId="03E98AA6" w14:textId="77777777" w:rsidR="00862C0D" w:rsidRDefault="00862C0D" w:rsidP="00862C0D">
      <w:pPr>
        <w:pStyle w:val="BulletLevel1"/>
      </w:pPr>
      <w:r>
        <w:t>the Relinquishing Provider will receive</w:t>
      </w:r>
      <w:r w:rsidDel="00182CBD">
        <w:t xml:space="preserve"> </w:t>
      </w:r>
      <w:r>
        <w:t>a Flexible Ongoing Support Fee for each completed Instance of Flexible Ongoing Support</w:t>
      </w:r>
      <w:r w:rsidRPr="008D0EA0">
        <w:t xml:space="preserve"> delivered</w:t>
      </w:r>
      <w:r>
        <w:t xml:space="preserve"> before the Transfer, and</w:t>
      </w:r>
    </w:p>
    <w:p w14:paraId="3178B0E9" w14:textId="77777777" w:rsidR="00862C0D" w:rsidRDefault="00862C0D" w:rsidP="00862C0D">
      <w:pPr>
        <w:pStyle w:val="BulletLevel1"/>
      </w:pPr>
      <w:r>
        <w:t>the Gaining Provider will receive</w:t>
      </w:r>
      <w:r w:rsidDel="00182CBD">
        <w:t xml:space="preserve"> </w:t>
      </w:r>
      <w:r>
        <w:t>a Flexible Ongoing Support Fee for each completed Instance of Flexible Ongoing Support</w:t>
      </w:r>
      <w:r w:rsidRPr="008D0EA0">
        <w:t xml:space="preserve"> delivered</w:t>
      </w:r>
      <w:r>
        <w:t xml:space="preserve"> after the Transfer</w:t>
      </w:r>
    </w:p>
    <w:p w14:paraId="7E27B3BB" w14:textId="77777777" w:rsidR="00862C0D" w:rsidRPr="008D0EA0" w:rsidRDefault="00862C0D" w:rsidP="00535B4A">
      <w:r>
        <w:t>Each Provider can be paid up to the maximum of 6 Instances allowed in a 26-week period.</w:t>
      </w:r>
    </w:p>
    <w:p w14:paraId="54270C03" w14:textId="73D57B2C" w:rsidR="00862C0D" w:rsidRDefault="00862C0D" w:rsidP="00535B4A">
      <w:r w:rsidRPr="00C9109A">
        <w:t>If a Moderate or High Ongoing Support Participant transfers to a new Provide</w:t>
      </w:r>
      <w:r>
        <w:t>r:</w:t>
      </w:r>
    </w:p>
    <w:p w14:paraId="7904AB53" w14:textId="77777777" w:rsidR="00862C0D" w:rsidRDefault="00862C0D" w:rsidP="00862C0D">
      <w:pPr>
        <w:pStyle w:val="BulletLevel1"/>
      </w:pPr>
      <w:r w:rsidRPr="00C9109A">
        <w:t>the Relinquishing Provider will receive a pro-rata Payment for the proportion of</w:t>
      </w:r>
      <w:r w:rsidRPr="008D0EA0">
        <w:t xml:space="preserve"> the </w:t>
      </w:r>
      <w:r>
        <w:t>final Payment</w:t>
      </w:r>
      <w:r w:rsidRPr="008D0EA0" w:rsidDel="00B7785D">
        <w:t xml:space="preserve"> </w:t>
      </w:r>
      <w:r w:rsidRPr="008D0EA0">
        <w:t xml:space="preserve">period </w:t>
      </w:r>
      <w:r>
        <w:t>that they</w:t>
      </w:r>
      <w:r w:rsidRPr="008D0EA0">
        <w:t xml:space="preserve"> supported the </w:t>
      </w:r>
      <w:r>
        <w:t>Participant, and</w:t>
      </w:r>
    </w:p>
    <w:p w14:paraId="432D7FFF" w14:textId="77777777" w:rsidR="00862C0D" w:rsidRPr="00335ADD" w:rsidRDefault="00862C0D" w:rsidP="00862C0D">
      <w:pPr>
        <w:pStyle w:val="BulletLevel1"/>
      </w:pPr>
      <w:r>
        <w:t>the Participant commences a new Moderate or High Ongoing Support Payment period from the transfer date to the Gaining Provider.</w:t>
      </w:r>
    </w:p>
    <w:p w14:paraId="570DE0CA" w14:textId="77777777" w:rsidR="00A25105" w:rsidRPr="006756A6" w:rsidRDefault="00A25105" w:rsidP="00A25105">
      <w:pPr>
        <w:pStyle w:val="BulletLevel1"/>
        <w:numPr>
          <w:ilvl w:val="0"/>
          <w:numId w:val="0"/>
        </w:numPr>
        <w:rPr>
          <w:sz w:val="20"/>
          <w:szCs w:val="20"/>
        </w:rPr>
      </w:pPr>
      <w:r w:rsidRPr="006756A6">
        <w:rPr>
          <w:sz w:val="20"/>
          <w:szCs w:val="20"/>
        </w:rPr>
        <w:t>(Deed Reference(s): Clause 165)</w:t>
      </w:r>
    </w:p>
    <w:p w14:paraId="296F15C4" w14:textId="61B5351C" w:rsidR="00D94A30" w:rsidRDefault="00D94A30" w:rsidP="000335E0">
      <w:pPr>
        <w:pStyle w:val="Heading2"/>
      </w:pPr>
      <w:bookmarkStart w:id="514" w:name="_Ref202782924"/>
      <w:bookmarkStart w:id="515" w:name="_Ref202785398"/>
      <w:bookmarkStart w:id="516" w:name="_Ref202786058"/>
      <w:bookmarkStart w:id="517" w:name="_Toc202900098"/>
      <w:r>
        <w:t>Chapter 12</w:t>
      </w:r>
      <w:r w:rsidR="00A61FB9">
        <w:t>:</w:t>
      </w:r>
      <w:r w:rsidR="00A61FB9">
        <w:tab/>
      </w:r>
      <w:r>
        <w:t>Compliance</w:t>
      </w:r>
      <w:bookmarkEnd w:id="514"/>
      <w:bookmarkEnd w:id="515"/>
      <w:bookmarkEnd w:id="516"/>
      <w:bookmarkEnd w:id="517"/>
    </w:p>
    <w:p w14:paraId="25A2D76C" w14:textId="33DD4FE1" w:rsidR="00D94A30" w:rsidRPr="00A0504F" w:rsidRDefault="00D94A30" w:rsidP="00A0504F">
      <w:pPr>
        <w:pStyle w:val="Heading-SupportingDocuments"/>
        <w:rPr>
          <w:rStyle w:val="Emphasis"/>
          <w:b/>
          <w:iCs w:val="0"/>
          <w:spacing w:val="3"/>
        </w:rPr>
      </w:pPr>
      <w:r w:rsidRPr="00A0504F">
        <w:rPr>
          <w:rStyle w:val="Emphasis"/>
          <w:b/>
          <w:iCs w:val="0"/>
          <w:spacing w:val="3"/>
        </w:rPr>
        <w:t>Supporting Documents for this Chapter</w:t>
      </w:r>
    </w:p>
    <w:p w14:paraId="732F0E31" w14:textId="0276CC05"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Provider Actions – Demerits and Payment Suspensions</w:t>
      </w:r>
      <w:r w:rsidR="00292988">
        <w:rPr>
          <w:rStyle w:val="Hyperlink"/>
          <w:rFonts w:ascii="Tahoma" w:eastAsia="Tahoma" w:hAnsi="Tahoma" w:cs="Tahoma"/>
        </w:rPr>
        <w:t xml:space="preserve"> [LINK]</w:t>
      </w:r>
    </w:p>
    <w:p w14:paraId="6F406456" w14:textId="72ECCF13"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Provider Actions – Conducting a Capability Interview</w:t>
      </w:r>
      <w:r w:rsidR="00292988">
        <w:rPr>
          <w:rStyle w:val="Hyperlink"/>
          <w:rFonts w:ascii="Tahoma" w:eastAsia="Tahoma" w:hAnsi="Tahoma" w:cs="Tahoma"/>
        </w:rPr>
        <w:t xml:space="preserve"> [LINK]</w:t>
      </w:r>
    </w:p>
    <w:p w14:paraId="14561EDF" w14:textId="72905576" w:rsidR="00D94A30" w:rsidRPr="00042C89" w:rsidRDefault="00FE3746" w:rsidP="00042C89">
      <w:pPr>
        <w:pStyle w:val="Bullet-SupportingDocument"/>
        <w:rPr>
          <w:rStyle w:val="Hyperlink"/>
          <w:rFonts w:ascii="Tahoma" w:eastAsia="Tahoma" w:hAnsi="Tahoma" w:cs="Tahoma"/>
        </w:rPr>
      </w:pPr>
      <w:r>
        <w:rPr>
          <w:rStyle w:val="Hyperlink"/>
          <w:rFonts w:ascii="Tahoma" w:eastAsia="Tahoma" w:hAnsi="Tahoma" w:cs="Tahoma"/>
        </w:rPr>
        <w:t>Provider Actions</w:t>
      </w:r>
      <w:r w:rsidR="00D94A30" w:rsidRPr="0DFD7869">
        <w:rPr>
          <w:rStyle w:val="Hyperlink"/>
          <w:rFonts w:ascii="Tahoma" w:eastAsia="Tahoma" w:hAnsi="Tahoma" w:cs="Tahoma"/>
        </w:rPr>
        <w:t xml:space="preserve"> – Reporting Work Refusal Failures</w:t>
      </w:r>
      <w:r w:rsidR="00D22D61">
        <w:rPr>
          <w:rStyle w:val="Hyperlink"/>
          <w:rFonts w:ascii="Tahoma" w:eastAsia="Tahoma" w:hAnsi="Tahoma" w:cs="Tahoma"/>
        </w:rPr>
        <w:t xml:space="preserve"> [LINK]</w:t>
      </w:r>
    </w:p>
    <w:p w14:paraId="46EB0C94" w14:textId="4CDE2F18" w:rsidR="00D94A30" w:rsidRDefault="00FE3746" w:rsidP="00042C89">
      <w:pPr>
        <w:pStyle w:val="Bullet-SupportingDocument"/>
        <w:rPr>
          <w:rStyle w:val="Hyperlink"/>
          <w:rFonts w:ascii="Tahoma" w:eastAsia="Tahoma" w:hAnsi="Tahoma" w:cs="Tahoma"/>
        </w:rPr>
      </w:pPr>
      <w:r>
        <w:rPr>
          <w:rStyle w:val="Hyperlink"/>
          <w:rFonts w:ascii="Tahoma" w:eastAsia="Tahoma" w:hAnsi="Tahoma" w:cs="Tahoma"/>
        </w:rPr>
        <w:t>Provider Actions</w:t>
      </w:r>
      <w:r w:rsidR="00D94A30" w:rsidRPr="0DFD7869">
        <w:rPr>
          <w:rStyle w:val="Hyperlink"/>
          <w:rFonts w:ascii="Tahoma" w:eastAsia="Tahoma" w:hAnsi="Tahoma" w:cs="Tahoma"/>
        </w:rPr>
        <w:t xml:space="preserve"> – Reporting Unemployment Failures</w:t>
      </w:r>
      <w:r w:rsidR="00D22D61">
        <w:rPr>
          <w:rStyle w:val="Hyperlink"/>
          <w:rFonts w:ascii="Tahoma" w:eastAsia="Tahoma" w:hAnsi="Tahoma" w:cs="Tahoma"/>
        </w:rPr>
        <w:t xml:space="preserve"> [LINK]</w:t>
      </w:r>
    </w:p>
    <w:p w14:paraId="1E21044F" w14:textId="4F8E5720" w:rsidR="00B57E2E" w:rsidRPr="00042C89" w:rsidRDefault="00B57E2E" w:rsidP="00042C89">
      <w:pPr>
        <w:pStyle w:val="Bullet-SupportingDocument"/>
        <w:rPr>
          <w:rStyle w:val="Hyperlink"/>
          <w:rFonts w:ascii="Tahoma" w:eastAsia="Tahoma" w:hAnsi="Tahoma" w:cs="Tahoma"/>
        </w:rPr>
      </w:pPr>
      <w:r w:rsidRPr="00B57E2E">
        <w:rPr>
          <w:rStyle w:val="Hyperlink"/>
          <w:rFonts w:ascii="Tahoma" w:eastAsia="Tahoma" w:hAnsi="Tahoma" w:cs="Tahoma"/>
        </w:rPr>
        <w:t>Capability Interview Best Practice Guide</w:t>
      </w:r>
      <w:r>
        <w:rPr>
          <w:rStyle w:val="Hyperlink"/>
          <w:rFonts w:ascii="Tahoma" w:eastAsia="Tahoma" w:hAnsi="Tahoma" w:cs="Tahoma"/>
        </w:rPr>
        <w:t xml:space="preserve"> [LINK]</w:t>
      </w:r>
    </w:p>
    <w:p w14:paraId="424E731D" w14:textId="4395CB41" w:rsidR="00D94A30" w:rsidRPr="00042C89" w:rsidRDefault="00D94A30" w:rsidP="00042C89">
      <w:pPr>
        <w:pStyle w:val="Bullet-SupportingDocument"/>
        <w:rPr>
          <w:rStyle w:val="Hyperlink"/>
          <w:rFonts w:ascii="Tahoma" w:eastAsia="Tahoma" w:hAnsi="Tahoma" w:cs="Tahoma"/>
        </w:rPr>
      </w:pPr>
      <w:bookmarkStart w:id="518" w:name="_Hlk189301149"/>
      <w:r w:rsidRPr="0DFD7869">
        <w:rPr>
          <w:rStyle w:val="Hyperlink"/>
          <w:rFonts w:ascii="Tahoma" w:eastAsia="Tahoma" w:hAnsi="Tahoma" w:cs="Tahoma"/>
        </w:rPr>
        <w:t>Valid Reason assessment options</w:t>
      </w:r>
      <w:r w:rsidR="00D22D61">
        <w:rPr>
          <w:rStyle w:val="Hyperlink"/>
          <w:rFonts w:ascii="Tahoma" w:eastAsia="Tahoma" w:hAnsi="Tahoma" w:cs="Tahoma"/>
        </w:rPr>
        <w:t xml:space="preserve"> [LINK]</w:t>
      </w:r>
    </w:p>
    <w:bookmarkEnd w:id="518"/>
    <w:p w14:paraId="56A30835" w14:textId="467FFBE4"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Manual Demerit Removal options</w:t>
      </w:r>
      <w:r w:rsidR="00D22D61">
        <w:rPr>
          <w:rStyle w:val="Hyperlink"/>
          <w:rFonts w:ascii="Tahoma" w:eastAsia="Tahoma" w:hAnsi="Tahoma" w:cs="Tahoma"/>
        </w:rPr>
        <w:t xml:space="preserve"> [LINK]</w:t>
      </w:r>
    </w:p>
    <w:p w14:paraId="477ECFF1" w14:textId="4D8E2101"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Re-engagement reason options</w:t>
      </w:r>
      <w:r w:rsidR="00D22D61">
        <w:rPr>
          <w:rStyle w:val="Hyperlink"/>
          <w:rFonts w:ascii="Tahoma" w:eastAsia="Tahoma" w:hAnsi="Tahoma" w:cs="Tahoma"/>
        </w:rPr>
        <w:t xml:space="preserve"> [LINK]</w:t>
      </w:r>
    </w:p>
    <w:p w14:paraId="66FC1F99" w14:textId="1218A7D9" w:rsidR="00D94A30" w:rsidRPr="00042C89" w:rsidRDefault="00D94A30" w:rsidP="00042C89">
      <w:pPr>
        <w:pStyle w:val="Bullet-SupportingDocument"/>
        <w:rPr>
          <w:rStyle w:val="Hyperlink"/>
          <w:rFonts w:ascii="Tahoma" w:eastAsia="Tahoma" w:hAnsi="Tahoma" w:cs="Tahoma"/>
        </w:rPr>
      </w:pPr>
      <w:bookmarkStart w:id="519" w:name="_Hlk189133507"/>
      <w:r w:rsidRPr="0DFD7869">
        <w:rPr>
          <w:rStyle w:val="Hyperlink"/>
          <w:rFonts w:ascii="Tahoma" w:eastAsia="Tahoma" w:hAnsi="Tahoma" w:cs="Tahoma"/>
        </w:rPr>
        <w:t>Work Refusal Failure reason options</w:t>
      </w:r>
      <w:r w:rsidR="00D22D61">
        <w:rPr>
          <w:rStyle w:val="Hyperlink"/>
          <w:rFonts w:ascii="Tahoma" w:eastAsia="Tahoma" w:hAnsi="Tahoma" w:cs="Tahoma"/>
        </w:rPr>
        <w:t xml:space="preserve"> [LINK]</w:t>
      </w:r>
    </w:p>
    <w:bookmarkEnd w:id="519"/>
    <w:p w14:paraId="7155229F" w14:textId="4081FBF3"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Unemployment Failure reason options</w:t>
      </w:r>
      <w:r w:rsidR="00D22D61">
        <w:rPr>
          <w:rStyle w:val="Hyperlink"/>
          <w:rFonts w:ascii="Tahoma" w:eastAsia="Tahoma" w:hAnsi="Tahoma" w:cs="Tahoma"/>
        </w:rPr>
        <w:t xml:space="preserve"> [LINK]</w:t>
      </w:r>
    </w:p>
    <w:p w14:paraId="6A1E1922" w14:textId="4680C928" w:rsidR="00D94A30" w:rsidRPr="00042C89" w:rsidRDefault="00D94A30" w:rsidP="00042C89">
      <w:pPr>
        <w:pStyle w:val="Bullet-SupportingDocument"/>
        <w:rPr>
          <w:rStyle w:val="Hyperlink"/>
          <w:rFonts w:ascii="Tahoma" w:eastAsia="Tahoma" w:hAnsi="Tahoma" w:cs="Tahoma"/>
        </w:rPr>
      </w:pPr>
      <w:r w:rsidRPr="0DFD7869">
        <w:rPr>
          <w:rStyle w:val="Hyperlink"/>
          <w:rFonts w:ascii="Tahoma" w:eastAsia="Tahoma" w:hAnsi="Tahoma" w:cs="Tahoma"/>
        </w:rPr>
        <w:t xml:space="preserve">Targeted Compliance Framework (TCF) </w:t>
      </w:r>
      <w:r w:rsidR="00292988">
        <w:rPr>
          <w:rStyle w:val="Hyperlink"/>
          <w:rFonts w:ascii="Tahoma" w:eastAsia="Tahoma" w:hAnsi="Tahoma" w:cs="Tahoma"/>
        </w:rPr>
        <w:t>w</w:t>
      </w:r>
      <w:r w:rsidRPr="0DFD7869">
        <w:rPr>
          <w:rStyle w:val="Hyperlink"/>
          <w:rFonts w:ascii="Tahoma" w:eastAsia="Tahoma" w:hAnsi="Tahoma" w:cs="Tahoma"/>
        </w:rPr>
        <w:t>orkflow</w:t>
      </w:r>
      <w:r w:rsidR="00292988">
        <w:rPr>
          <w:rStyle w:val="Hyperlink"/>
          <w:rFonts w:ascii="Tahoma" w:eastAsia="Tahoma" w:hAnsi="Tahoma" w:cs="Tahoma"/>
        </w:rPr>
        <w:t xml:space="preserve"> [LINK]</w:t>
      </w:r>
    </w:p>
    <w:p w14:paraId="1FB7126F" w14:textId="6F160D4F" w:rsidR="00D94A30" w:rsidRPr="00042C89" w:rsidRDefault="003A32DC" w:rsidP="00042C89">
      <w:pPr>
        <w:pStyle w:val="Bullet-SupportingDocument"/>
        <w:rPr>
          <w:rStyle w:val="Hyperlink"/>
          <w:rFonts w:ascii="Tahoma" w:eastAsia="Tahoma" w:hAnsi="Tahoma" w:cs="Tahoma"/>
        </w:rPr>
      </w:pPr>
      <w:hyperlink r:id="rId82">
        <w:r>
          <w:rPr>
            <w:rStyle w:val="Hyperlink"/>
            <w:rFonts w:ascii="Tahoma" w:eastAsia="Tahoma" w:hAnsi="Tahoma" w:cs="Tahoma"/>
          </w:rPr>
          <w:t>Compliance, Demerits and zones - Information for Participants</w:t>
        </w:r>
      </w:hyperlink>
      <w:r w:rsidR="00D94A30" w:rsidRPr="0DFD7869">
        <w:rPr>
          <w:rStyle w:val="Hyperlink"/>
          <w:rFonts w:ascii="Tahoma" w:eastAsia="Tahoma" w:hAnsi="Tahoma" w:cs="Tahoma"/>
        </w:rPr>
        <w:t xml:space="preserve"> </w:t>
      </w:r>
    </w:p>
    <w:p w14:paraId="41123050" w14:textId="4F4D1FB9" w:rsidR="0005295B" w:rsidRDefault="0005295B" w:rsidP="0005295B">
      <w:r w:rsidRPr="005C27F9">
        <w:rPr>
          <w:b/>
          <w:bCs/>
        </w:rPr>
        <w:t>Note:</w:t>
      </w:r>
      <w:r>
        <w:t xml:space="preserve"> </w:t>
      </w:r>
      <w:r w:rsidR="00AF52F5">
        <w:t>Providers should review the Department of Workplace Relations (DEWR) website for updates on the review of the Targeted Compliance Framework</w:t>
      </w:r>
      <w:r w:rsidR="00D03ABB">
        <w:t xml:space="preserve"> </w:t>
      </w:r>
      <w:r w:rsidR="00871A46">
        <w:t>(</w:t>
      </w:r>
      <w:r w:rsidR="00D03ABB">
        <w:t>TCF</w:t>
      </w:r>
      <w:r w:rsidR="00871A46">
        <w:t>)</w:t>
      </w:r>
      <w:r w:rsidR="00D03ABB">
        <w:t xml:space="preserve"> and decisions to pause some part of the TCF</w:t>
      </w:r>
      <w:r w:rsidR="00D03FFB">
        <w:t xml:space="preserve"> — see</w:t>
      </w:r>
      <w:r w:rsidR="00292988">
        <w:t xml:space="preserve"> the </w:t>
      </w:r>
      <w:hyperlink r:id="rId83" w:history="1">
        <w:r w:rsidR="00292988" w:rsidRPr="00292988">
          <w:rPr>
            <w:rStyle w:val="Hyperlink"/>
          </w:rPr>
          <w:t>Department of Employment and Workplace Relations website</w:t>
        </w:r>
      </w:hyperlink>
      <w:r w:rsidR="00D03ABB">
        <w:t>.</w:t>
      </w:r>
      <w:r w:rsidR="00AF52F5">
        <w:t xml:space="preserve"> </w:t>
      </w:r>
      <w:r w:rsidR="00D03ABB">
        <w:t>This Chapter has not been updated to reflect</w:t>
      </w:r>
      <w:r w:rsidR="00F0172A">
        <w:t xml:space="preserve"> the current pauses</w:t>
      </w:r>
      <w:r w:rsidR="00EB7C8F">
        <w:t xml:space="preserve"> but will be adjusted</w:t>
      </w:r>
      <w:r w:rsidR="003A47E9">
        <w:t xml:space="preserve"> if required to</w:t>
      </w:r>
      <w:r w:rsidR="00EB7C8F">
        <w:t xml:space="preserve"> </w:t>
      </w:r>
      <w:r w:rsidR="003A47E9">
        <w:t>reflect current policy at the time these Guidelines come into effect.</w:t>
      </w:r>
    </w:p>
    <w:p w14:paraId="1A78A5FA" w14:textId="47EF440B" w:rsidR="00D94A30" w:rsidRPr="000335E0" w:rsidRDefault="00D94A30" w:rsidP="000335E0">
      <w:pPr>
        <w:pStyle w:val="Heading3"/>
      </w:pPr>
      <w:bookmarkStart w:id="520" w:name="_Toc202900099"/>
      <w:r w:rsidRPr="000335E0">
        <w:t>12.1</w:t>
      </w:r>
      <w:r w:rsidRPr="000335E0">
        <w:tab/>
        <w:t xml:space="preserve">Chapter </w:t>
      </w:r>
      <w:r w:rsidR="00E042B8" w:rsidRPr="000335E0">
        <w:t>O</w:t>
      </w:r>
      <w:r w:rsidRPr="000335E0">
        <w:t>verview</w:t>
      </w:r>
      <w:bookmarkEnd w:id="520"/>
    </w:p>
    <w:p w14:paraId="2184160E" w14:textId="347AC1A8" w:rsidR="00D94A30" w:rsidRDefault="00D94A30" w:rsidP="00E75267">
      <w:pPr>
        <w:rPr>
          <w:lang w:val="en-GB"/>
        </w:rPr>
      </w:pPr>
      <w:r w:rsidRPr="0DFD7869">
        <w:rPr>
          <w:lang w:val="en-GB"/>
        </w:rPr>
        <w:t xml:space="preserve">This </w:t>
      </w:r>
      <w:r w:rsidR="00E042B8" w:rsidRPr="0DFD7869">
        <w:rPr>
          <w:lang w:val="en-GB"/>
        </w:rPr>
        <w:t>C</w:t>
      </w:r>
      <w:r w:rsidRPr="0DFD7869">
        <w:rPr>
          <w:lang w:val="en-GB"/>
        </w:rPr>
        <w:t xml:space="preserve">hapter explains what happens when a Participant </w:t>
      </w:r>
      <w:r w:rsidR="00177F74">
        <w:rPr>
          <w:lang w:val="en-GB"/>
        </w:rPr>
        <w:t>does not comply</w:t>
      </w:r>
      <w:r w:rsidRPr="0DFD7869">
        <w:rPr>
          <w:lang w:val="en-GB"/>
        </w:rPr>
        <w:t xml:space="preserve"> with their participation requirements as outlined in </w:t>
      </w:r>
      <w:r w:rsidR="00C654B4">
        <w:fldChar w:fldCharType="begin"/>
      </w:r>
      <w:r w:rsidR="00C654B4">
        <w:rPr>
          <w:lang w:val="en-GB"/>
        </w:rPr>
        <w:instrText xml:space="preserve"> REF _Ref202783027 \h </w:instrText>
      </w:r>
      <w:r w:rsidR="00C654B4">
        <w:fldChar w:fldCharType="separate"/>
      </w:r>
      <w:r w:rsidR="000D75AE" w:rsidRPr="00BA23D8">
        <w:t>Chapter 5</w:t>
      </w:r>
      <w:r w:rsidR="000D75AE">
        <w:t>:</w:t>
      </w:r>
      <w:r w:rsidR="004572F7">
        <w:t xml:space="preserve"> </w:t>
      </w:r>
      <w:r w:rsidR="000D75AE" w:rsidRPr="00BA23D8">
        <w:t>Participation requirements</w:t>
      </w:r>
      <w:r w:rsidR="00C654B4">
        <w:fldChar w:fldCharType="end"/>
      </w:r>
      <w:r w:rsidRPr="0DFD7869">
        <w:rPr>
          <w:lang w:val="en-GB"/>
        </w:rPr>
        <w:t>. It also details the actions a Provider must take in response to non-compliance.</w:t>
      </w:r>
    </w:p>
    <w:p w14:paraId="634ECD55" w14:textId="2873C5BE" w:rsidR="00D94A30" w:rsidRDefault="00D94A30" w:rsidP="00D94A30">
      <w:pPr>
        <w:rPr>
          <w:rFonts w:ascii="Tahoma" w:eastAsia="Tahoma" w:hAnsi="Tahoma" w:cs="Tahoma"/>
          <w:color w:val="000000" w:themeColor="text1"/>
        </w:rPr>
      </w:pPr>
      <w:r>
        <w:t>This Chapter:</w:t>
      </w:r>
    </w:p>
    <w:p w14:paraId="61282333" w14:textId="634E6794" w:rsidR="00D94A30" w:rsidRDefault="00D94A30" w:rsidP="004E120D">
      <w:pPr>
        <w:pStyle w:val="BulletLevel1"/>
      </w:pPr>
      <w:r>
        <w:t xml:space="preserve">outlines </w:t>
      </w:r>
      <w:r w:rsidRPr="000335E0">
        <w:t>the actions that must be taken when a Participant has a Meaningful Engagement Job Plan, and the Participant is not meeting this Meaningful Engagement Requirement</w:t>
      </w:r>
    </w:p>
    <w:p w14:paraId="4AADD715" w14:textId="6FDA9AEB" w:rsidR="00B54F8B" w:rsidRPr="000335E0" w:rsidRDefault="00B54F8B" w:rsidP="004E120D">
      <w:pPr>
        <w:pStyle w:val="BulletLevel1"/>
      </w:pPr>
      <w:r>
        <w:t xml:space="preserve">provides information about when and how </w:t>
      </w:r>
      <w:r w:rsidR="00AF27EE">
        <w:t>a Provider can</w:t>
      </w:r>
      <w:r>
        <w:t xml:space="preserve"> compel a Participant on a Meaningful Engagement Job Plan to attend</w:t>
      </w:r>
      <w:r w:rsidR="00AF27EE">
        <w:t xml:space="preserve"> a Contact Appointment</w:t>
      </w:r>
    </w:p>
    <w:p w14:paraId="5BDB35E4" w14:textId="1957863E" w:rsidR="00D94A30" w:rsidRPr="000335E0" w:rsidRDefault="00D94A30" w:rsidP="004E120D">
      <w:pPr>
        <w:pStyle w:val="BulletLevel1"/>
      </w:pPr>
      <w:r w:rsidRPr="000335E0">
        <w:t>provides information about the Targeted Compliance Framework (TCF) and outlines how it applies to Participants (Mutual Obligation) in</w:t>
      </w:r>
      <w:r w:rsidR="00E16218">
        <w:t xml:space="preserve"> </w:t>
      </w:r>
      <w:r w:rsidR="00202A96">
        <w:t>Inclusive Employment Australia</w:t>
      </w:r>
    </w:p>
    <w:p w14:paraId="03AF47EB" w14:textId="30ED8959" w:rsidR="00D94A30" w:rsidRPr="000335E0" w:rsidRDefault="00D94A30" w:rsidP="004E120D">
      <w:pPr>
        <w:pStyle w:val="BulletLevel1"/>
      </w:pPr>
      <w:r w:rsidRPr="000335E0">
        <w:t xml:space="preserve">describes what happens when Participants (Mutual Obligation) commit Mutual Obligation Failures, Work Refusal Failures and Unemployment Failures and Provider actions in response — including guidance on assessing reasons for failures and ensuring correct and </w:t>
      </w:r>
      <w:bookmarkStart w:id="521" w:name="_Int_8pUdSKpc"/>
      <w:r w:rsidRPr="000335E0">
        <w:t>timely</w:t>
      </w:r>
      <w:bookmarkEnd w:id="521"/>
      <w:r w:rsidRPr="000335E0">
        <w:t xml:space="preserve"> reporting against Participant’s Mutual Obligation Requirements</w:t>
      </w:r>
    </w:p>
    <w:p w14:paraId="7666BEE9" w14:textId="60D2E2C7" w:rsidR="00D94A30" w:rsidRPr="000335E0" w:rsidRDefault="00D94A30" w:rsidP="004E120D">
      <w:pPr>
        <w:pStyle w:val="BulletLevel1"/>
      </w:pPr>
      <w:r w:rsidRPr="000335E0">
        <w:t>provides information about Capability Interviews and Capability Assessments — safeguards under the TCF determine the suitability of a Participant’s Job Plan and Mutual Obligation Requirements, and</w:t>
      </w:r>
    </w:p>
    <w:p w14:paraId="5EB6E7DB" w14:textId="094D6ADF" w:rsidR="00D94A30" w:rsidRDefault="00D94A30" w:rsidP="004E120D">
      <w:pPr>
        <w:pStyle w:val="BulletLevel1"/>
      </w:pPr>
      <w:r w:rsidRPr="000335E0">
        <w:t>provides information</w:t>
      </w:r>
      <w:r>
        <w:t xml:space="preserve"> about the compliance arrangements for DSP Recipients (Compulsory Requirements), who are not subject to the TCF.</w:t>
      </w:r>
    </w:p>
    <w:p w14:paraId="0130193F" w14:textId="1F792DA3" w:rsidR="00D94A30" w:rsidRDefault="00D94A30" w:rsidP="00D94A30">
      <w:pPr>
        <w:rPr>
          <w:rFonts w:ascii="Tahoma" w:eastAsia="Tahoma" w:hAnsi="Tahoma"/>
          <w:color w:val="000000" w:themeColor="text1"/>
        </w:rPr>
      </w:pPr>
      <w:r w:rsidRPr="5DD2C18A">
        <w:rPr>
          <w:rFonts w:ascii="Tahoma" w:eastAsia="Tahoma" w:hAnsi="Tahoma"/>
          <w:color w:val="000000" w:themeColor="text1"/>
        </w:rPr>
        <w:t xml:space="preserve">Participants (Voluntary) do not have compulsory requirements. </w:t>
      </w:r>
      <w:r>
        <w:t xml:space="preserve">A Participant (Voluntary), who is not volunteering while they have an Exemption to their participation requirements, must be Suspended if they are not meaningfully engaging and </w:t>
      </w:r>
      <w:r w:rsidR="00997B4E">
        <w:t>then</w:t>
      </w:r>
      <w:r>
        <w:t xml:space="preserve"> be Exited </w:t>
      </w:r>
      <w:r w:rsidR="00997B4E">
        <w:t xml:space="preserve">if they do not make contact with the Provider </w:t>
      </w:r>
      <w:r>
        <w:rPr>
          <w:rFonts w:ascii="Tahoma" w:eastAsia="Tahoma" w:hAnsi="Tahoma"/>
          <w:color w:val="000000" w:themeColor="text1"/>
        </w:rPr>
        <w:t xml:space="preserve">— refer to relevant </w:t>
      </w:r>
      <w:r w:rsidR="00D507A2">
        <w:rPr>
          <w:rFonts w:ascii="Tahoma" w:eastAsia="Tahoma" w:hAnsi="Tahoma"/>
          <w:color w:val="000000" w:themeColor="text1"/>
        </w:rPr>
        <w:t>S</w:t>
      </w:r>
      <w:r>
        <w:rPr>
          <w:rFonts w:ascii="Tahoma" w:eastAsia="Tahoma" w:hAnsi="Tahoma"/>
          <w:color w:val="000000" w:themeColor="text1"/>
        </w:rPr>
        <w:t>ections</w:t>
      </w:r>
      <w:r w:rsidRPr="5DD2C18A">
        <w:rPr>
          <w:rFonts w:ascii="Tahoma" w:eastAsia="Tahoma" w:hAnsi="Tahoma"/>
          <w:color w:val="000000" w:themeColor="text1"/>
        </w:rPr>
        <w:t xml:space="preserve"> in</w:t>
      </w:r>
      <w:r w:rsidR="00F36022">
        <w:rPr>
          <w:rFonts w:ascii="Tahoma" w:eastAsia="Tahoma" w:hAnsi="Tahoma"/>
          <w:color w:val="000000" w:themeColor="text1"/>
        </w:rPr>
        <w:t xml:space="preserve"> </w:t>
      </w:r>
      <w:r w:rsidR="00F36022">
        <w:rPr>
          <w:rFonts w:ascii="Tahoma" w:eastAsia="Tahoma" w:hAnsi="Tahoma"/>
          <w:color w:val="000000" w:themeColor="text1"/>
        </w:rPr>
        <w:fldChar w:fldCharType="begin"/>
      </w:r>
      <w:r w:rsidR="00F36022">
        <w:rPr>
          <w:rFonts w:ascii="Tahoma" w:eastAsia="Tahoma" w:hAnsi="Tahoma"/>
          <w:color w:val="000000" w:themeColor="text1"/>
        </w:rPr>
        <w:instrText xml:space="preserve"> REF _Ref202780811 \h </w:instrText>
      </w:r>
      <w:r w:rsidR="00F36022">
        <w:rPr>
          <w:rFonts w:ascii="Tahoma" w:eastAsia="Tahoma" w:hAnsi="Tahoma"/>
          <w:color w:val="000000" w:themeColor="text1"/>
        </w:rPr>
      </w:r>
      <w:r w:rsidR="00F36022">
        <w:rPr>
          <w:rFonts w:ascii="Tahoma" w:eastAsia="Tahoma" w:hAnsi="Tahoma"/>
          <w:color w:val="000000" w:themeColor="text1"/>
        </w:rPr>
        <w:fldChar w:fldCharType="separate"/>
      </w:r>
      <w:r w:rsidR="000D75AE" w:rsidRPr="00BA23D8">
        <w:t>Chapter 3</w:t>
      </w:r>
      <w:r w:rsidR="000D75AE">
        <w:t>:</w:t>
      </w:r>
      <w:r w:rsidR="003B2E77">
        <w:t xml:space="preserve"> </w:t>
      </w:r>
      <w:r w:rsidR="000D75AE" w:rsidRPr="00BA23D8">
        <w:t>Commencements, Transfers, Suspensions and Exits</w:t>
      </w:r>
      <w:r w:rsidR="00F36022">
        <w:rPr>
          <w:rFonts w:ascii="Tahoma" w:eastAsia="Tahoma" w:hAnsi="Tahoma"/>
          <w:color w:val="000000" w:themeColor="text1"/>
        </w:rPr>
        <w:fldChar w:fldCharType="end"/>
      </w:r>
      <w:r w:rsidR="00F36022">
        <w:rPr>
          <w:rFonts w:ascii="Tahoma" w:eastAsia="Tahoma" w:hAnsi="Tahoma"/>
          <w:color w:val="000000" w:themeColor="text1"/>
        </w:rPr>
        <w:t>.</w:t>
      </w:r>
    </w:p>
    <w:p w14:paraId="1447ACE1" w14:textId="699FDF57" w:rsidR="00136F44" w:rsidRDefault="00136F44" w:rsidP="00D94A30">
      <w:r>
        <w:rPr>
          <w:rFonts w:ascii="Tahoma" w:eastAsia="Tahoma" w:hAnsi="Tahoma"/>
          <w:color w:val="000000" w:themeColor="text1"/>
        </w:rPr>
        <w:t xml:space="preserve">Providers should </w:t>
      </w:r>
      <w:r w:rsidR="00B52107">
        <w:rPr>
          <w:rFonts w:ascii="Tahoma" w:eastAsia="Tahoma" w:hAnsi="Tahoma"/>
          <w:color w:val="000000" w:themeColor="text1"/>
        </w:rPr>
        <w:t>be</w:t>
      </w:r>
      <w:r>
        <w:rPr>
          <w:rFonts w:ascii="Tahoma" w:eastAsia="Tahoma" w:hAnsi="Tahoma"/>
          <w:color w:val="000000" w:themeColor="text1"/>
        </w:rPr>
        <w:t xml:space="preserve"> aware of the role of the National Customer Service Line (NCSL)</w:t>
      </w:r>
      <w:r w:rsidR="00C653A6">
        <w:rPr>
          <w:rFonts w:ascii="Tahoma" w:eastAsia="Tahoma" w:hAnsi="Tahoma"/>
          <w:color w:val="000000" w:themeColor="text1"/>
        </w:rPr>
        <w:t xml:space="preserve"> </w:t>
      </w:r>
      <w:r w:rsidR="00E05016">
        <w:rPr>
          <w:rFonts w:ascii="Tahoma" w:eastAsia="Tahoma" w:hAnsi="Tahoma"/>
          <w:color w:val="000000" w:themeColor="text1"/>
        </w:rPr>
        <w:t>when reading this Chapter.</w:t>
      </w:r>
    </w:p>
    <w:p w14:paraId="2D454966" w14:textId="1D3243F8" w:rsidR="00D94A30" w:rsidRDefault="00D94A30" w:rsidP="00D94A30">
      <w:pPr>
        <w:pStyle w:val="Heading3"/>
      </w:pPr>
      <w:bookmarkStart w:id="522" w:name="_Ref202787380"/>
      <w:bookmarkStart w:id="523" w:name="_Ref202787509"/>
      <w:bookmarkStart w:id="524" w:name="_Ref202789095"/>
      <w:bookmarkStart w:id="525" w:name="_Toc202900100"/>
      <w:r>
        <w:t>12.2</w:t>
      </w:r>
      <w:r>
        <w:tab/>
        <w:t>Steps when a Participant has failed to meet the Meaningful Engagement Requirement</w:t>
      </w:r>
      <w:bookmarkEnd w:id="522"/>
      <w:bookmarkEnd w:id="523"/>
      <w:bookmarkEnd w:id="524"/>
      <w:bookmarkEnd w:id="525"/>
    </w:p>
    <w:p w14:paraId="561D9AC8" w14:textId="477F6644" w:rsidR="00D94A30" w:rsidRDefault="00D94A30" w:rsidP="00D94A30">
      <w:pPr>
        <w:keepNext/>
        <w:rPr>
          <w:rStyle w:val="Emphasis"/>
        </w:rPr>
      </w:pPr>
      <w:r>
        <w:rPr>
          <w:rStyle w:val="Emphasis"/>
        </w:rPr>
        <w:t xml:space="preserve">This </w:t>
      </w:r>
      <w:r w:rsidR="007A4B96">
        <w:rPr>
          <w:rStyle w:val="Emphasis"/>
        </w:rPr>
        <w:t>S</w:t>
      </w:r>
      <w:r>
        <w:rPr>
          <w:rStyle w:val="Emphasis"/>
        </w:rPr>
        <w:t>ection applies to Participants</w:t>
      </w:r>
      <w:r w:rsidRPr="00281735">
        <w:rPr>
          <w:rStyle w:val="Emphasis"/>
        </w:rPr>
        <w:t xml:space="preserve"> (Mutual Obligation) </w:t>
      </w:r>
      <w:r>
        <w:rPr>
          <w:rStyle w:val="Emphasis"/>
        </w:rPr>
        <w:t>and</w:t>
      </w:r>
      <w:r w:rsidRPr="00281735">
        <w:rPr>
          <w:rStyle w:val="Emphasis"/>
        </w:rPr>
        <w:t xml:space="preserve"> </w:t>
      </w:r>
      <w:r>
        <w:rPr>
          <w:rStyle w:val="Emphasis"/>
        </w:rPr>
        <w:t>DSP</w:t>
      </w:r>
      <w:r w:rsidRPr="00281735">
        <w:rPr>
          <w:rStyle w:val="Emphasis"/>
        </w:rPr>
        <w:t xml:space="preserve"> Recipient</w:t>
      </w:r>
      <w:r>
        <w:rPr>
          <w:rStyle w:val="Emphasis"/>
        </w:rPr>
        <w:t>s</w:t>
      </w:r>
      <w:r w:rsidRPr="00281735">
        <w:rPr>
          <w:rStyle w:val="Emphasis"/>
        </w:rPr>
        <w:t xml:space="preserve"> (Compulsory Requirements)</w:t>
      </w:r>
      <w:r>
        <w:rPr>
          <w:rStyle w:val="Emphasis"/>
        </w:rPr>
        <w:t>.</w:t>
      </w:r>
    </w:p>
    <w:p w14:paraId="48C7CFFF" w14:textId="221042DB" w:rsidR="00D94A30" w:rsidRPr="00105817" w:rsidRDefault="00D94A30" w:rsidP="00105817">
      <w:r w:rsidRPr="00105817">
        <w:t>A Participant with a Meaningful Engagement Job Plan must meet the Meaningful Engagement Requirement as described in</w:t>
      </w:r>
      <w:r w:rsidR="00105817" w:rsidRPr="00105817">
        <w:t xml:space="preserve"> </w:t>
      </w:r>
      <w:r w:rsidR="00105817" w:rsidRPr="00105817">
        <w:fldChar w:fldCharType="begin"/>
      </w:r>
      <w:r w:rsidR="00105817" w:rsidRPr="00105817">
        <w:instrText xml:space="preserve"> REF _Ref202785974 \h </w:instrText>
      </w:r>
      <w:r w:rsidR="00105817">
        <w:instrText xml:space="preserve"> \* MERGEFORMAT </w:instrText>
      </w:r>
      <w:r w:rsidR="00105817" w:rsidRPr="00105817">
        <w:fldChar w:fldCharType="separate"/>
      </w:r>
      <w:r w:rsidR="000D75AE" w:rsidRPr="000D75AE">
        <w:t>5</w:t>
      </w:r>
      <w:r w:rsidR="000D75AE" w:rsidRPr="009B292C">
        <w:t>5</w:t>
      </w:r>
      <w:r w:rsidR="000D75AE" w:rsidRPr="000D75AE">
        <w:t>Meaningful Engagement Requirement</w:t>
      </w:r>
      <w:r w:rsidR="00105817" w:rsidRPr="00105817">
        <w:fldChar w:fldCharType="end"/>
      </w:r>
      <w:r w:rsidRPr="00105817">
        <w:t>.</w:t>
      </w:r>
    </w:p>
    <w:p w14:paraId="5A2E9A86" w14:textId="17DC3823" w:rsidR="00C0139C" w:rsidRPr="00105817" w:rsidRDefault="00734C71" w:rsidP="00105817">
      <w:r w:rsidRPr="00105817">
        <w:t>As noted in</w:t>
      </w:r>
      <w:r w:rsidR="002E2CA5">
        <w:t xml:space="preserve"> </w:t>
      </w:r>
      <w:r w:rsidR="00202710">
        <w:fldChar w:fldCharType="begin"/>
      </w:r>
      <w:r w:rsidR="00202710">
        <w:instrText xml:space="preserve"> REF _Ref202789001 \h </w:instrText>
      </w:r>
      <w:r w:rsidR="00202710">
        <w:fldChar w:fldCharType="separate"/>
      </w:r>
      <w:r w:rsidR="000D75AE" w:rsidRPr="008212EF">
        <w:t>5.5.4</w:t>
      </w:r>
      <w:r w:rsidR="002D5130">
        <w:t xml:space="preserve"> </w:t>
      </w:r>
      <w:r w:rsidR="000D75AE" w:rsidRPr="008212EF">
        <w:t>Determining if a Participant is meeting the Meaningful Engagement Requirement</w:t>
      </w:r>
      <w:r w:rsidR="00202710">
        <w:fldChar w:fldCharType="end"/>
      </w:r>
      <w:r w:rsidRPr="00105817">
        <w:t xml:space="preserve">, </w:t>
      </w:r>
      <w:r w:rsidR="001B7B0E" w:rsidRPr="00105817">
        <w:t xml:space="preserve">before a Participant can be found to have a Pattern of Disengagement and failed to meet the Meaningful Engagement Requirement </w:t>
      </w:r>
      <w:r w:rsidR="004C2215" w:rsidRPr="00105817">
        <w:t>a Provider must</w:t>
      </w:r>
      <w:r w:rsidR="00C0139C" w:rsidRPr="00105817">
        <w:t>:</w:t>
      </w:r>
    </w:p>
    <w:p w14:paraId="1B97ADF0" w14:textId="77777777" w:rsidR="00FB7346" w:rsidRDefault="004C2215" w:rsidP="00C0139C">
      <w:pPr>
        <w:pStyle w:val="BulletLevel1"/>
      </w:pPr>
      <w:r>
        <w:t>take steps to increase a Participant’s overall level of engagement</w:t>
      </w:r>
      <w:r w:rsidR="009B3752">
        <w:t xml:space="preserve">, </w:t>
      </w:r>
      <w:r w:rsidR="00FB7346">
        <w:t>and</w:t>
      </w:r>
    </w:p>
    <w:p w14:paraId="33184F1C" w14:textId="12A49B48" w:rsidR="00FB7346" w:rsidRDefault="00FB7346" w:rsidP="00C0139C">
      <w:pPr>
        <w:pStyle w:val="BulletLevel1"/>
      </w:pPr>
      <w:r>
        <w:t>issue a warning that the Participant is at risk of failing to meet the Me</w:t>
      </w:r>
      <w:r w:rsidR="00BC04A2">
        <w:t>aningful Engagement Requirement.</w:t>
      </w:r>
    </w:p>
    <w:p w14:paraId="601C4B10" w14:textId="47FDD53E" w:rsidR="000D5E7D" w:rsidRDefault="00BC04A2" w:rsidP="00601D4B">
      <w:r>
        <w:t xml:space="preserve">This process </w:t>
      </w:r>
      <w:r w:rsidR="00601D4B">
        <w:t>should</w:t>
      </w:r>
      <w:r w:rsidR="000D5E7D">
        <w:t xml:space="preserve"> include:</w:t>
      </w:r>
    </w:p>
    <w:p w14:paraId="38787C08" w14:textId="3450C19E" w:rsidR="000D5E7D" w:rsidRDefault="000D5E7D" w:rsidP="00601D4B">
      <w:pPr>
        <w:pStyle w:val="BulletLevel1"/>
      </w:pPr>
      <w:r>
        <w:t>continuing to schedule regular Contacts, in accordance with the previously agreed schedule for Appointments and Contacts</w:t>
      </w:r>
    </w:p>
    <w:p w14:paraId="013B02DF" w14:textId="77777777" w:rsidR="000D5E7D" w:rsidRDefault="000D5E7D" w:rsidP="00601D4B">
      <w:pPr>
        <w:pStyle w:val="BulletLevel1"/>
      </w:pPr>
      <w:r>
        <w:t>during a Contact, including engagement via email or SMS (if the participant has agreed to these methods of contact):</w:t>
      </w:r>
    </w:p>
    <w:p w14:paraId="4FE9CED2" w14:textId="48D1992A" w:rsidR="000D5E7D" w:rsidRDefault="000D5E7D" w:rsidP="00601D4B">
      <w:pPr>
        <w:pStyle w:val="BulletLevel2"/>
      </w:pPr>
      <w:r>
        <w:t xml:space="preserve">discussing </w:t>
      </w:r>
      <w:r w:rsidR="00465D06">
        <w:t>if</w:t>
      </w:r>
      <w:r>
        <w:t xml:space="preserve"> there has been a change in circumstances impacting capability to engage</w:t>
      </w:r>
    </w:p>
    <w:p w14:paraId="57B035C4" w14:textId="77777777" w:rsidR="000D5E7D" w:rsidRPr="00E042B8" w:rsidRDefault="000D5E7D" w:rsidP="00601D4B">
      <w:pPr>
        <w:pStyle w:val="BulletLevel2"/>
      </w:pPr>
      <w:r w:rsidRPr="00E042B8">
        <w:t>explain</w:t>
      </w:r>
      <w:r>
        <w:t>ing</w:t>
      </w:r>
      <w:r w:rsidRPr="00E042B8">
        <w:t xml:space="preserve"> how the Participant can meet the Meaningful Engagement Requirement</w:t>
      </w:r>
    </w:p>
    <w:p w14:paraId="1E0B7F97" w14:textId="77777777" w:rsidR="000D5E7D" w:rsidRDefault="000D5E7D" w:rsidP="00601D4B">
      <w:pPr>
        <w:pStyle w:val="BulletLevel2"/>
      </w:pPr>
      <w:r>
        <w:t>reviewing tasks and activities that have been agreed to in the plan for meaningfully engaging to ensure that the Participant understands why these have been included, and</w:t>
      </w:r>
    </w:p>
    <w:p w14:paraId="3A2A8019" w14:textId="77777777" w:rsidR="000D5E7D" w:rsidRDefault="000D5E7D" w:rsidP="00601D4B">
      <w:pPr>
        <w:pStyle w:val="BulletLevel2"/>
      </w:pPr>
      <w:r>
        <w:t>changing the agreed tasks and activities, if appropriate.</w:t>
      </w:r>
    </w:p>
    <w:p w14:paraId="21CD8C09" w14:textId="58220867" w:rsidR="00BE7EC3" w:rsidRDefault="00D519A4" w:rsidP="00601D4B">
      <w:pPr>
        <w:pStyle w:val="BulletLevel1"/>
      </w:pPr>
      <w:r>
        <w:t xml:space="preserve">warning </w:t>
      </w:r>
      <w:r w:rsidR="00B64BAE">
        <w:t xml:space="preserve">to </w:t>
      </w:r>
      <w:r w:rsidR="002F7022">
        <w:t>ensure that the Participant is</w:t>
      </w:r>
      <w:r w:rsidR="00F65FE7">
        <w:t xml:space="preserve"> aware that continued disengagement will result in the</w:t>
      </w:r>
      <w:r w:rsidR="003669AF">
        <w:t xml:space="preserve"> determination that they have failed to </w:t>
      </w:r>
      <w:r w:rsidR="00C51AE0">
        <w:t>meet</w:t>
      </w:r>
      <w:r w:rsidR="003669AF">
        <w:t xml:space="preserve"> the Meaningful Engagement Requirement.</w:t>
      </w:r>
    </w:p>
    <w:p w14:paraId="5DD3D93C" w14:textId="32EA848F" w:rsidR="00081349" w:rsidRDefault="00A561F2" w:rsidP="00B64BAE">
      <w:pPr>
        <w:pStyle w:val="SystemStep"/>
      </w:pPr>
      <w:r>
        <w:t>[</w:t>
      </w:r>
      <w:r w:rsidR="00B64BAE">
        <w:t>RESERVED</w:t>
      </w:r>
      <w:r>
        <w:t>]</w:t>
      </w:r>
    </w:p>
    <w:p w14:paraId="1DB734C2" w14:textId="66D67924" w:rsidR="00D94A30" w:rsidRPr="00E16554" w:rsidRDefault="00D94A30" w:rsidP="00B26BC3">
      <w:pPr>
        <w:keepNext/>
        <w:rPr>
          <w:rFonts w:ascii="Tahoma" w:eastAsia="Tahoma" w:hAnsi="Tahoma" w:cs="Tahoma"/>
          <w:lang w:val="en-GB"/>
        </w:rPr>
      </w:pPr>
      <w:r w:rsidRPr="006A5443">
        <w:t xml:space="preserve">Once </w:t>
      </w:r>
      <w:r w:rsidR="00360655">
        <w:t xml:space="preserve">the Participant has </w:t>
      </w:r>
      <w:r w:rsidR="00812ECF">
        <w:t>shown a Pattern of Disengagement (i.e. multiple failures</w:t>
      </w:r>
      <w:r w:rsidR="00360655">
        <w:t xml:space="preserve"> to meet the Meaningful Engagement Requirement)</w:t>
      </w:r>
      <w:r w:rsidR="00D519A4">
        <w:t>,</w:t>
      </w:r>
      <w:r>
        <w:t xml:space="preserve"> </w:t>
      </w:r>
      <w:r w:rsidRPr="00E16554">
        <w:rPr>
          <w:rFonts w:ascii="Tahoma" w:eastAsia="Tahoma" w:hAnsi="Tahoma" w:cs="Tahoma"/>
          <w:lang w:val="en-GB"/>
        </w:rPr>
        <w:t xml:space="preserve">the Provider must </w:t>
      </w:r>
      <w:r w:rsidR="00573FA6">
        <w:rPr>
          <w:rFonts w:ascii="Tahoma" w:eastAsia="Tahoma" w:hAnsi="Tahoma" w:cs="Tahoma"/>
          <w:lang w:val="en-GB"/>
        </w:rPr>
        <w:t>schedule</w:t>
      </w:r>
      <w:r w:rsidRPr="00E16554">
        <w:rPr>
          <w:rFonts w:ascii="Tahoma" w:eastAsia="Tahoma" w:hAnsi="Tahoma" w:cs="Tahoma"/>
          <w:lang w:val="en-GB"/>
        </w:rPr>
        <w:t xml:space="preserve"> a </w:t>
      </w:r>
      <w:r w:rsidR="001D1D7E">
        <w:rPr>
          <w:rFonts w:ascii="Tahoma" w:eastAsia="Tahoma" w:hAnsi="Tahoma" w:cs="Tahoma"/>
          <w:lang w:val="en-GB"/>
        </w:rPr>
        <w:t xml:space="preserve">face-to-face </w:t>
      </w:r>
      <w:r w:rsidRPr="00E16554">
        <w:rPr>
          <w:rFonts w:ascii="Tahoma" w:eastAsia="Tahoma" w:hAnsi="Tahoma" w:cs="Tahoma"/>
          <w:lang w:val="en-GB"/>
        </w:rPr>
        <w:t>Contact Appointment</w:t>
      </w:r>
      <w:r w:rsidR="00E07EBE">
        <w:rPr>
          <w:rFonts w:ascii="Tahoma" w:eastAsia="Tahoma" w:hAnsi="Tahoma" w:cs="Tahoma"/>
          <w:lang w:val="en-GB"/>
        </w:rPr>
        <w:t xml:space="preserve">, </w:t>
      </w:r>
      <w:r w:rsidR="00D65E94">
        <w:rPr>
          <w:rFonts w:ascii="Tahoma" w:eastAsia="Tahoma" w:hAnsi="Tahoma" w:cs="Tahoma"/>
          <w:lang w:val="en-GB"/>
        </w:rPr>
        <w:t>if</w:t>
      </w:r>
      <w:r w:rsidR="00E07EBE">
        <w:rPr>
          <w:rFonts w:ascii="Tahoma" w:eastAsia="Tahoma" w:hAnsi="Tahoma" w:cs="Tahoma"/>
          <w:lang w:val="en-GB"/>
        </w:rPr>
        <w:t xml:space="preserve"> possible</w:t>
      </w:r>
      <w:r w:rsidRPr="00E16554">
        <w:rPr>
          <w:rFonts w:ascii="Tahoma" w:eastAsia="Tahoma" w:hAnsi="Tahoma" w:cs="Tahoma"/>
          <w:lang w:val="en-GB"/>
        </w:rPr>
        <w:t xml:space="preserve">. </w:t>
      </w:r>
      <w:r>
        <w:rPr>
          <w:rFonts w:ascii="Tahoma" w:eastAsia="Tahoma" w:hAnsi="Tahoma" w:cs="Tahoma"/>
          <w:lang w:val="en-GB"/>
        </w:rPr>
        <w:t>At this Appointment, the</w:t>
      </w:r>
      <w:r w:rsidRPr="00E16554">
        <w:rPr>
          <w:rFonts w:ascii="Tahoma" w:eastAsia="Tahoma" w:hAnsi="Tahoma" w:cs="Tahoma"/>
          <w:lang w:val="en-GB"/>
        </w:rPr>
        <w:t xml:space="preserve"> Provider must:</w:t>
      </w:r>
    </w:p>
    <w:p w14:paraId="72C4481A" w14:textId="4731AA19" w:rsidR="00C00A99" w:rsidRDefault="00D94A30" w:rsidP="004E120D">
      <w:pPr>
        <w:pStyle w:val="BulletLevel1"/>
      </w:pPr>
      <w:r>
        <w:rPr>
          <w:lang w:val="en-GB"/>
        </w:rPr>
        <w:t>advise</w:t>
      </w:r>
      <w:r w:rsidRPr="000A67A8">
        <w:rPr>
          <w:lang w:val="en-GB"/>
        </w:rPr>
        <w:t xml:space="preserve"> the Participant that they </w:t>
      </w:r>
      <w:r w:rsidRPr="00413B62">
        <w:t xml:space="preserve">have </w:t>
      </w:r>
      <w:r w:rsidR="00867D3D">
        <w:t xml:space="preserve">demonstrated a </w:t>
      </w:r>
      <w:r w:rsidR="00DA6C0A">
        <w:t>P</w:t>
      </w:r>
      <w:r w:rsidR="00867D3D">
        <w:t xml:space="preserve">attern of </w:t>
      </w:r>
      <w:r w:rsidR="00DA6C0A">
        <w:t>D</w:t>
      </w:r>
      <w:r w:rsidR="00867D3D">
        <w:t>isengagement</w:t>
      </w:r>
    </w:p>
    <w:p w14:paraId="74741854" w14:textId="5C48F6FF" w:rsidR="006C5EA2" w:rsidRDefault="00867D3D" w:rsidP="004E120D">
      <w:pPr>
        <w:pStyle w:val="BulletLevel1"/>
      </w:pPr>
      <w:r>
        <w:t xml:space="preserve">outline the </w:t>
      </w:r>
      <w:r w:rsidR="005B04DF">
        <w:t>evidence for finding the Participant has failed to meet the Meaningful Engagement Requirement</w:t>
      </w:r>
      <w:r w:rsidR="00812ECF">
        <w:t>, and</w:t>
      </w:r>
    </w:p>
    <w:p w14:paraId="12EB385F" w14:textId="06D89365" w:rsidR="00D94A30" w:rsidRDefault="000A7C48" w:rsidP="004E120D">
      <w:pPr>
        <w:pStyle w:val="BulletLevel1"/>
        <w:rPr>
          <w:lang w:val="en-GB"/>
        </w:rPr>
      </w:pPr>
      <w:r>
        <w:t>if</w:t>
      </w:r>
      <w:r w:rsidR="003B5558">
        <w:t xml:space="preserve"> </w:t>
      </w:r>
      <w:r w:rsidR="000F4175">
        <w:t xml:space="preserve">after the above discussions no additional reasons are provided that a Provider deems sufficient </w:t>
      </w:r>
      <w:r w:rsidR="0080120E">
        <w:t>to mitigate the Pattern of Disengagement,</w:t>
      </w:r>
      <w:r>
        <w:t xml:space="preserve"> </w:t>
      </w:r>
      <w:r w:rsidR="00BE1493">
        <w:t>then</w:t>
      </w:r>
      <w:r>
        <w:t xml:space="preserve"> </w:t>
      </w:r>
      <w:r w:rsidR="00D94A30" w:rsidRPr="00413B62">
        <w:t>create a Detailed Job Plan that include</w:t>
      </w:r>
      <w:r w:rsidR="00D94A30" w:rsidRPr="00E16554">
        <w:rPr>
          <w:lang w:val="en-GB"/>
        </w:rPr>
        <w:t xml:space="preserve">s a list of compulsory requirements </w:t>
      </w:r>
      <w:r w:rsidR="00662EF4">
        <w:rPr>
          <w:lang w:val="en-GB"/>
        </w:rPr>
        <w:t>and explain the consequences of failing to meet any of the compulsory requirements</w:t>
      </w:r>
      <w:r w:rsidR="00D94A30" w:rsidRPr="00E16554">
        <w:rPr>
          <w:lang w:val="en-GB"/>
        </w:rPr>
        <w:t xml:space="preserve"> </w:t>
      </w:r>
      <w:r w:rsidR="00D94A30">
        <w:rPr>
          <w:lang w:val="en-GB"/>
        </w:rPr>
        <w:t>— refer to</w:t>
      </w:r>
      <w:r w:rsidR="00DE6DC1">
        <w:rPr>
          <w:lang w:val="en-GB"/>
        </w:rPr>
        <w:t xml:space="preserve"> </w:t>
      </w:r>
      <w:r w:rsidR="00DE6DC1">
        <w:rPr>
          <w:lang w:val="en-GB"/>
        </w:rPr>
        <w:fldChar w:fldCharType="begin"/>
      </w:r>
      <w:r w:rsidR="00DE6DC1">
        <w:rPr>
          <w:lang w:val="en-GB"/>
        </w:rPr>
        <w:instrText xml:space="preserve"> REF _Ref202784317 \h </w:instrText>
      </w:r>
      <w:r w:rsidR="00DE6DC1">
        <w:rPr>
          <w:lang w:val="en-GB"/>
        </w:rPr>
      </w:r>
      <w:r w:rsidR="00DE6DC1">
        <w:rPr>
          <w:lang w:val="en-GB"/>
        </w:rPr>
        <w:fldChar w:fldCharType="separate"/>
      </w:r>
      <w:r w:rsidR="000D75AE">
        <w:t>4.7</w:t>
      </w:r>
      <w:r w:rsidR="003B2E77">
        <w:t xml:space="preserve"> </w:t>
      </w:r>
      <w:r w:rsidR="000D75AE">
        <w:t>Contents of a Detailed Job Plan</w:t>
      </w:r>
      <w:r w:rsidR="00DE6DC1">
        <w:rPr>
          <w:lang w:val="en-GB"/>
        </w:rPr>
        <w:fldChar w:fldCharType="end"/>
      </w:r>
      <w:r w:rsidR="00D94A30">
        <w:rPr>
          <w:lang w:val="en-GB"/>
        </w:rPr>
        <w:t>.</w:t>
      </w:r>
    </w:p>
    <w:p w14:paraId="5B7031C0" w14:textId="148AFCA8" w:rsidR="008A61E5" w:rsidRPr="007033B1" w:rsidRDefault="001F5DAF" w:rsidP="008A61E5">
      <w:pPr>
        <w:rPr>
          <w:lang w:val="en-GB"/>
        </w:rPr>
      </w:pPr>
      <w:r>
        <w:rPr>
          <w:b/>
          <w:bCs/>
          <w:lang w:val="en-GB"/>
        </w:rPr>
        <w:t xml:space="preserve">Note: </w:t>
      </w:r>
      <w:r w:rsidRPr="00744FD9">
        <w:rPr>
          <w:lang w:val="en-GB"/>
        </w:rPr>
        <w:t xml:space="preserve">Providers have discretion around </w:t>
      </w:r>
      <w:r w:rsidR="00812ECF">
        <w:rPr>
          <w:lang w:val="en-GB"/>
        </w:rPr>
        <w:t>whether</w:t>
      </w:r>
      <w:r w:rsidRPr="00744FD9">
        <w:rPr>
          <w:lang w:val="en-GB"/>
        </w:rPr>
        <w:t xml:space="preserve"> the actions undertaken by the </w:t>
      </w:r>
      <w:r w:rsidR="00465D06">
        <w:rPr>
          <w:lang w:val="en-GB"/>
        </w:rPr>
        <w:t>P</w:t>
      </w:r>
      <w:r w:rsidRPr="00744FD9">
        <w:rPr>
          <w:lang w:val="en-GB"/>
        </w:rPr>
        <w:t>articipant constitu</w:t>
      </w:r>
      <w:r w:rsidR="00340C71">
        <w:rPr>
          <w:lang w:val="en-GB"/>
        </w:rPr>
        <w:t>t</w:t>
      </w:r>
      <w:r w:rsidRPr="00744FD9">
        <w:rPr>
          <w:lang w:val="en-GB"/>
        </w:rPr>
        <w:t>e a Pattern of Disengagement. There is no</w:t>
      </w:r>
      <w:r w:rsidR="00340C71">
        <w:rPr>
          <w:lang w:val="en-GB"/>
        </w:rPr>
        <w:t xml:space="preserve"> set </w:t>
      </w:r>
      <w:r w:rsidR="00A42B4F">
        <w:rPr>
          <w:lang w:val="en-GB"/>
        </w:rPr>
        <w:t>rule to be followed. As general guidance</w:t>
      </w:r>
      <w:r w:rsidR="00E074BD">
        <w:rPr>
          <w:lang w:val="en-GB"/>
        </w:rPr>
        <w:t>,</w:t>
      </w:r>
      <w:r w:rsidR="00A42B4F">
        <w:rPr>
          <w:lang w:val="en-GB"/>
        </w:rPr>
        <w:t xml:space="preserve"> a Pattern of Disengagement </w:t>
      </w:r>
      <w:r w:rsidR="00B10159">
        <w:rPr>
          <w:lang w:val="en-GB"/>
        </w:rPr>
        <w:t>w</w:t>
      </w:r>
      <w:r w:rsidR="000C4226">
        <w:rPr>
          <w:lang w:val="en-GB"/>
        </w:rPr>
        <w:t>ould</w:t>
      </w:r>
      <w:r w:rsidR="00A42B4F">
        <w:rPr>
          <w:lang w:val="en-GB"/>
        </w:rPr>
        <w:t xml:space="preserve"> be </w:t>
      </w:r>
      <w:r w:rsidR="00CB1E4C">
        <w:rPr>
          <w:lang w:val="en-GB"/>
        </w:rPr>
        <w:t xml:space="preserve">where </w:t>
      </w:r>
      <w:r w:rsidR="00FA5039">
        <w:rPr>
          <w:lang w:val="en-GB"/>
        </w:rPr>
        <w:t xml:space="preserve">a </w:t>
      </w:r>
      <w:r w:rsidR="00CB1E4C">
        <w:rPr>
          <w:lang w:val="en-GB"/>
        </w:rPr>
        <w:t>Participant has</w:t>
      </w:r>
      <w:r w:rsidR="00FA5039">
        <w:rPr>
          <w:lang w:val="en-GB"/>
        </w:rPr>
        <w:t xml:space="preserve"> not meaningfully </w:t>
      </w:r>
      <w:r w:rsidR="00CB1E4C">
        <w:rPr>
          <w:lang w:val="en-GB"/>
        </w:rPr>
        <w:t xml:space="preserve">engaged </w:t>
      </w:r>
      <w:r w:rsidR="00A42B4F">
        <w:rPr>
          <w:lang w:val="en-GB"/>
        </w:rPr>
        <w:t>more</w:t>
      </w:r>
      <w:r>
        <w:rPr>
          <w:lang w:val="en-GB"/>
        </w:rPr>
        <w:t xml:space="preserve"> </w:t>
      </w:r>
      <w:r w:rsidR="00FA5039">
        <w:rPr>
          <w:lang w:val="en-GB"/>
        </w:rPr>
        <w:t xml:space="preserve">than </w:t>
      </w:r>
      <w:r w:rsidR="00E86324">
        <w:rPr>
          <w:lang w:val="en-GB"/>
        </w:rPr>
        <w:t>once</w:t>
      </w:r>
      <w:r w:rsidR="00FA5039">
        <w:rPr>
          <w:lang w:val="en-GB"/>
        </w:rPr>
        <w:t xml:space="preserve"> and </w:t>
      </w:r>
      <w:r w:rsidR="00845596">
        <w:rPr>
          <w:lang w:val="en-GB"/>
        </w:rPr>
        <w:t xml:space="preserve">these occurrences have </w:t>
      </w:r>
      <w:r w:rsidR="002A4F42">
        <w:rPr>
          <w:lang w:val="en-GB"/>
        </w:rPr>
        <w:t>taken place</w:t>
      </w:r>
      <w:r w:rsidR="00CB1E4C">
        <w:rPr>
          <w:lang w:val="en-GB"/>
        </w:rPr>
        <w:t xml:space="preserve"> within a</w:t>
      </w:r>
      <w:r w:rsidR="00B10159">
        <w:rPr>
          <w:lang w:val="en-GB"/>
        </w:rPr>
        <w:t>ny</w:t>
      </w:r>
      <w:r w:rsidR="00CB1E4C">
        <w:rPr>
          <w:lang w:val="en-GB"/>
        </w:rPr>
        <w:t xml:space="preserve"> 3-</w:t>
      </w:r>
      <w:r w:rsidR="00FD3B7B">
        <w:rPr>
          <w:lang w:val="en-GB"/>
        </w:rPr>
        <w:t>month</w:t>
      </w:r>
      <w:r w:rsidR="00CB1E4C">
        <w:rPr>
          <w:lang w:val="en-GB"/>
        </w:rPr>
        <w:t xml:space="preserve"> period</w:t>
      </w:r>
      <w:r w:rsidR="00FD3B7B">
        <w:rPr>
          <w:lang w:val="en-GB"/>
        </w:rPr>
        <w:t>.</w:t>
      </w:r>
      <w:r w:rsidRPr="00744FD9">
        <w:rPr>
          <w:lang w:val="en-GB"/>
        </w:rPr>
        <w:t xml:space="preserve"> </w:t>
      </w:r>
    </w:p>
    <w:p w14:paraId="64DE47C3" w14:textId="006EB126" w:rsidR="00D94A30" w:rsidRDefault="00A561F2" w:rsidP="006F727E">
      <w:pPr>
        <w:pStyle w:val="SystemStep"/>
      </w:pPr>
      <w:r>
        <w:t>[</w:t>
      </w:r>
      <w:r w:rsidR="00D94A30">
        <w:t>RESERVED</w:t>
      </w:r>
      <w:r>
        <w:t>]</w:t>
      </w:r>
    </w:p>
    <w:p w14:paraId="3E73E6F8" w14:textId="36DE4DEE" w:rsidR="00D94A30" w:rsidRDefault="00D94A30" w:rsidP="00D94A30">
      <w:pPr>
        <w:rPr>
          <w:u w:val="single"/>
        </w:rPr>
      </w:pPr>
      <w:r w:rsidRPr="006A5443">
        <w:rPr>
          <w:u w:val="single"/>
        </w:rPr>
        <w:t xml:space="preserve">If a Provider is unable to contact a </w:t>
      </w:r>
      <w:r w:rsidRPr="00C32519">
        <w:rPr>
          <w:u w:val="single"/>
        </w:rPr>
        <w:t>Participant having made reasonable attempts to do so</w:t>
      </w:r>
      <w:r w:rsidRPr="006A5443">
        <w:t>, a Provider may compel the disengaged Participant to attend a Contact Appointment</w:t>
      </w:r>
      <w:r w:rsidR="00C75D13">
        <w:t>, by scheduling a compulsory Appointment and notifying the Participant accordingly using the scripts provided by the Department</w:t>
      </w:r>
      <w:r w:rsidRPr="006A5443">
        <w:t xml:space="preserve">. Further details are outlined in the </w:t>
      </w:r>
      <w:r w:rsidR="007A4B96">
        <w:t>S</w:t>
      </w:r>
      <w:r w:rsidRPr="006A5443">
        <w:t>ections below.</w:t>
      </w:r>
    </w:p>
    <w:p w14:paraId="7F709DD8" w14:textId="70EC11BE" w:rsidR="00D94A30" w:rsidRPr="00E16554" w:rsidRDefault="00D94A30" w:rsidP="00D94A30">
      <w:r w:rsidRPr="00E16554">
        <w:t xml:space="preserve">If a </w:t>
      </w:r>
      <w:r>
        <w:t xml:space="preserve">disengaged </w:t>
      </w:r>
      <w:r w:rsidRPr="00E16554">
        <w:t xml:space="preserve">Participant (Mutual Obligation) does not attend </w:t>
      </w:r>
      <w:r>
        <w:t>the</w:t>
      </w:r>
      <w:r w:rsidRPr="00E16554">
        <w:t xml:space="preserve"> </w:t>
      </w:r>
      <w:r w:rsidR="00C75D13">
        <w:t>com</w:t>
      </w:r>
      <w:r w:rsidR="0021049C">
        <w:t>pulsory</w:t>
      </w:r>
      <w:r w:rsidRPr="00E16554">
        <w:t xml:space="preserve"> </w:t>
      </w:r>
      <w:r w:rsidR="00B227C0">
        <w:t xml:space="preserve">Contact </w:t>
      </w:r>
      <w:r>
        <w:t>A</w:t>
      </w:r>
      <w:r w:rsidRPr="00E16554">
        <w:t xml:space="preserve">ppointment, the Provider must undertake compliance actions </w:t>
      </w:r>
      <w:r>
        <w:t xml:space="preserve">for reporting failure to attend a compulsory Appointment and </w:t>
      </w:r>
      <w:r w:rsidR="00573FA6">
        <w:t>schedule</w:t>
      </w:r>
      <w:r>
        <w:t xml:space="preserve"> a Re-engagement Appointment</w:t>
      </w:r>
      <w:r w:rsidR="001F5CC1">
        <w:t xml:space="preserve"> </w:t>
      </w:r>
      <w:r w:rsidR="00C04920">
        <w:t xml:space="preserve">(as the </w:t>
      </w:r>
      <w:r w:rsidR="003276D9">
        <w:t xml:space="preserve">appropriate </w:t>
      </w:r>
      <w:r w:rsidR="00C04920">
        <w:t>Re</w:t>
      </w:r>
      <w:r w:rsidR="003276D9">
        <w:noBreakHyphen/>
      </w:r>
      <w:r w:rsidR="00C04920">
        <w:t>engagement Requirement)</w:t>
      </w:r>
      <w:r>
        <w:t xml:space="preserve">, </w:t>
      </w:r>
      <w:r w:rsidRPr="00E16554">
        <w:t xml:space="preserve">as outlined in </w:t>
      </w:r>
      <w:r w:rsidR="00382789">
        <w:fldChar w:fldCharType="begin"/>
      </w:r>
      <w:r w:rsidR="00382789">
        <w:instrText xml:space="preserve"> REF _Ref202784488 \h </w:instrText>
      </w:r>
      <w:r w:rsidR="00382789">
        <w:fldChar w:fldCharType="separate"/>
      </w:r>
      <w:r w:rsidR="000D75AE">
        <w:t>12.4</w:t>
      </w:r>
      <w:r w:rsidR="004572F7">
        <w:t xml:space="preserve"> </w:t>
      </w:r>
      <w:r w:rsidR="000D75AE">
        <w:t>Compliance actions - Mutual Obligation Failures</w:t>
      </w:r>
      <w:r w:rsidR="00382789">
        <w:fldChar w:fldCharType="end"/>
      </w:r>
      <w:r w:rsidR="0040761F">
        <w:t xml:space="preserve"> and </w:t>
      </w:r>
      <w:r w:rsidR="0040761F">
        <w:fldChar w:fldCharType="begin"/>
      </w:r>
      <w:r w:rsidR="0040761F">
        <w:instrText xml:space="preserve"> REF _Ref202789969 \h </w:instrText>
      </w:r>
      <w:r w:rsidR="0040761F">
        <w:fldChar w:fldCharType="separate"/>
      </w:r>
      <w:r w:rsidR="000D75AE">
        <w:t>12.4.6</w:t>
      </w:r>
      <w:r w:rsidR="004572F7">
        <w:t xml:space="preserve"> </w:t>
      </w:r>
      <w:r w:rsidR="000D75AE">
        <w:t>Re-engagement Requirements</w:t>
      </w:r>
      <w:r w:rsidR="0040761F">
        <w:fldChar w:fldCharType="end"/>
      </w:r>
      <w:r w:rsidRPr="00E16554">
        <w:t>.</w:t>
      </w:r>
    </w:p>
    <w:p w14:paraId="1E645AF0" w14:textId="2B718E53" w:rsidR="00D94A30" w:rsidRDefault="00D94A30" w:rsidP="00D94A30">
      <w:r w:rsidRPr="00E16554">
        <w:t xml:space="preserve">If a disengaged DSP Recipient (Compulsory Requirements) does not attend </w:t>
      </w:r>
      <w:r>
        <w:t>the</w:t>
      </w:r>
      <w:r w:rsidRPr="00E16554">
        <w:t xml:space="preserve"> compellable </w:t>
      </w:r>
      <w:r>
        <w:t>A</w:t>
      </w:r>
      <w:r w:rsidRPr="7751327C">
        <w:t xml:space="preserve">ppointment, </w:t>
      </w:r>
      <w:r>
        <w:t xml:space="preserve">the Provider must undertake compliance actions for non-attendance at an Appointment, </w:t>
      </w:r>
      <w:r w:rsidRPr="7751327C">
        <w:t>as outlined in</w:t>
      </w:r>
      <w:r w:rsidR="0040761F">
        <w:t xml:space="preserve"> </w:t>
      </w:r>
      <w:r w:rsidR="0040761F">
        <w:fldChar w:fldCharType="begin"/>
      </w:r>
      <w:r w:rsidR="0040761F">
        <w:instrText xml:space="preserve"> REF _Ref202788708 \h </w:instrText>
      </w:r>
      <w:r w:rsidR="0040761F">
        <w:fldChar w:fldCharType="separate"/>
      </w:r>
      <w:r w:rsidR="000D75AE">
        <w:t>12.7</w:t>
      </w:r>
      <w:r w:rsidR="004572F7">
        <w:t xml:space="preserve"> </w:t>
      </w:r>
      <w:r w:rsidR="000D75AE">
        <w:t>DSP non-compliance and associated compliance actions</w:t>
      </w:r>
      <w:r w:rsidR="0040761F">
        <w:fldChar w:fldCharType="end"/>
      </w:r>
      <w:r w:rsidR="00D14F19">
        <w:t>.</w:t>
      </w:r>
      <w:r w:rsidRPr="7751327C">
        <w:t xml:space="preserve"> </w:t>
      </w:r>
    </w:p>
    <w:p w14:paraId="0B015938" w14:textId="4776BB99" w:rsidR="00D94A30" w:rsidRPr="00CB247C" w:rsidRDefault="00D94A30" w:rsidP="00D94A30">
      <w:pPr>
        <w:pStyle w:val="Heading4"/>
      </w:pPr>
      <w:bookmarkStart w:id="526" w:name="_Toc202900101"/>
      <w:r w:rsidRPr="00CB247C">
        <w:t>12.2.1</w:t>
      </w:r>
      <w:r w:rsidR="00AC167A">
        <w:tab/>
      </w:r>
      <w:r w:rsidRPr="00CB247C">
        <w:t>Reasonable attempts</w:t>
      </w:r>
      <w:bookmarkEnd w:id="526"/>
    </w:p>
    <w:p w14:paraId="4DC87D61" w14:textId="49F0B2F1" w:rsidR="00D94A30" w:rsidRDefault="00D94A30" w:rsidP="00D94A30">
      <w:r>
        <w:t xml:space="preserve">Providers must make reasonable attempts to </w:t>
      </w:r>
      <w:r w:rsidR="00573FA6">
        <w:t>schedule</w:t>
      </w:r>
      <w:r>
        <w:t xml:space="preserve"> a Contact </w:t>
      </w:r>
      <w:r w:rsidR="00E15D14">
        <w:t xml:space="preserve">Appointment </w:t>
      </w:r>
      <w:r>
        <w:t>with a disengaged Participant. This means that the Provider must make 3 attempts to arrange and deliver a Contact Appointment</w:t>
      </w:r>
      <w:r w:rsidR="00D35D28">
        <w:t>. This needs to occur</w:t>
      </w:r>
      <w:r w:rsidR="00067B82">
        <w:t xml:space="preserve"> over the shortest timefram</w:t>
      </w:r>
      <w:r w:rsidR="00D35D28">
        <w:t>e possible while still ensuring the Participant receives sufficient notice of the requirement to attend a Contact Appointment</w:t>
      </w:r>
      <w:r>
        <w:t>.</w:t>
      </w:r>
    </w:p>
    <w:p w14:paraId="6BB3843C" w14:textId="78CAC5DA" w:rsidR="00850EEC" w:rsidRDefault="00817970" w:rsidP="00122882">
      <w:pPr>
        <w:keepNext/>
      </w:pPr>
      <w:r>
        <w:t>Providers must schedule an Appointment in the Participant’s Electronic Calendar regardless of whether it is to be held face-to-face or via a phone call or videoconference</w:t>
      </w:r>
      <w:r w:rsidR="00A628E0">
        <w:t>, in accordance with the guidance for Contacts and Contact Appointments under</w:t>
      </w:r>
      <w:r w:rsidR="0040761F">
        <w:t xml:space="preserve"> </w:t>
      </w:r>
      <w:r w:rsidR="0040761F">
        <w:fldChar w:fldCharType="begin"/>
      </w:r>
      <w:r w:rsidR="0040761F">
        <w:instrText xml:space="preserve"> REF _Ref202792444 \h </w:instrText>
      </w:r>
      <w:r w:rsidR="0040761F">
        <w:fldChar w:fldCharType="separate"/>
      </w:r>
      <w:r w:rsidR="0040761F">
        <w:fldChar w:fldCharType="end"/>
      </w:r>
      <w:r>
        <w:t>.</w:t>
      </w:r>
      <w:r w:rsidR="00A628E0">
        <w:t xml:space="preserve"> </w:t>
      </w:r>
    </w:p>
    <w:p w14:paraId="5212A883" w14:textId="12EF42EE" w:rsidR="00D94A30" w:rsidRPr="0088324B" w:rsidRDefault="00850EEC" w:rsidP="00122882">
      <w:pPr>
        <w:keepNext/>
      </w:pPr>
      <w:r>
        <w:t>A</w:t>
      </w:r>
      <w:r w:rsidR="00D94A30" w:rsidRPr="00915A49">
        <w:t xml:space="preserve"> Contact Appointment</w:t>
      </w:r>
      <w:r w:rsidR="00D94A30" w:rsidRPr="008D2D47">
        <w:rPr>
          <w:lang w:val="en-GB"/>
        </w:rPr>
        <w:t xml:space="preserve"> </w:t>
      </w:r>
      <w:r w:rsidR="00EE6399">
        <w:rPr>
          <w:lang w:val="en-GB"/>
        </w:rPr>
        <w:t xml:space="preserve">made in advance of the </w:t>
      </w:r>
      <w:r w:rsidR="006C6565">
        <w:rPr>
          <w:lang w:val="en-GB"/>
        </w:rPr>
        <w:t>Participant’s failure to meet the Meaningful</w:t>
      </w:r>
      <w:r w:rsidR="00D551C5">
        <w:rPr>
          <w:lang w:val="en-GB"/>
        </w:rPr>
        <w:t xml:space="preserve"> Engagement Requirement</w:t>
      </w:r>
      <w:r w:rsidRPr="00850EEC">
        <w:rPr>
          <w:lang w:val="en-GB"/>
        </w:rPr>
        <w:t xml:space="preserve"> </w:t>
      </w:r>
      <w:r>
        <w:rPr>
          <w:lang w:val="en-GB"/>
        </w:rPr>
        <w:t xml:space="preserve">can also be count as an attempt </w:t>
      </w:r>
      <w:r w:rsidR="00153224">
        <w:rPr>
          <w:lang w:val="en-GB"/>
        </w:rPr>
        <w:t xml:space="preserve">at organising a </w:t>
      </w:r>
      <w:r w:rsidR="00836007">
        <w:rPr>
          <w:lang w:val="en-GB"/>
        </w:rPr>
        <w:t>Contact</w:t>
      </w:r>
      <w:r w:rsidR="00C81202">
        <w:rPr>
          <w:lang w:val="en-GB"/>
        </w:rPr>
        <w:t>.</w:t>
      </w:r>
    </w:p>
    <w:p w14:paraId="30D790B1" w14:textId="161526F9" w:rsidR="00D94A30" w:rsidRDefault="00D94A30" w:rsidP="00D94A30">
      <w:r>
        <w:t xml:space="preserve">If the Participant has not attended a Contact Appointment after 3 attempts </w:t>
      </w:r>
      <w:r w:rsidR="00E239A8">
        <w:t xml:space="preserve">at organising the Contact </w:t>
      </w:r>
      <w:r>
        <w:t xml:space="preserve">by the Provider, the Provider can notify the Participant to attend a </w:t>
      </w:r>
      <w:r w:rsidRPr="0021049C">
        <w:t>compulsory</w:t>
      </w:r>
      <w:r>
        <w:t xml:space="preserve"> Contact Appointment, as described at</w:t>
      </w:r>
      <w:r w:rsidR="0040761F">
        <w:t xml:space="preserve"> </w:t>
      </w:r>
      <w:r w:rsidR="008134E3">
        <w:fldChar w:fldCharType="begin"/>
      </w:r>
      <w:r w:rsidR="008134E3">
        <w:instrText xml:space="preserve"> REF _Ref202789057 \h </w:instrText>
      </w:r>
      <w:r w:rsidR="008134E3">
        <w:fldChar w:fldCharType="separate"/>
      </w:r>
      <w:r w:rsidR="000D75AE">
        <w:t>12.2. Contact Appointment</w:t>
      </w:r>
      <w:r w:rsidR="008134E3">
        <w:fldChar w:fldCharType="end"/>
      </w:r>
      <w:r>
        <w:t xml:space="preserve">. The TCF applies if the Participant fails to attend a </w:t>
      </w:r>
      <w:r w:rsidR="0021049C">
        <w:t>compulsory</w:t>
      </w:r>
      <w:r>
        <w:t xml:space="preserve"> Contact Appointment.</w:t>
      </w:r>
    </w:p>
    <w:p w14:paraId="58D6ADBE" w14:textId="44F6A129" w:rsidR="00D94A30" w:rsidRPr="00C75D93" w:rsidRDefault="00D94A30" w:rsidP="006F727E">
      <w:pPr>
        <w:pStyle w:val="SystemStep"/>
      </w:pPr>
      <w:r w:rsidRPr="00C75D93">
        <w:t xml:space="preserve">All attempts to contact the Participant </w:t>
      </w:r>
      <w:r>
        <w:t>must be documented</w:t>
      </w:r>
      <w:r w:rsidRPr="00D74914">
        <w:t xml:space="preserve"> </w:t>
      </w:r>
      <w:r w:rsidRPr="006A5443">
        <w:t>using comment functionality</w:t>
      </w:r>
      <w:r>
        <w:t xml:space="preserve"> in</w:t>
      </w:r>
      <w:r w:rsidRPr="00C75D93">
        <w:t xml:space="preserve"> the Participant</w:t>
      </w:r>
      <w:r>
        <w:t>’s</w:t>
      </w:r>
      <w:r w:rsidRPr="00C75D93">
        <w:t xml:space="preserve"> Summary </w:t>
      </w:r>
      <w:r>
        <w:t>on</w:t>
      </w:r>
      <w:r w:rsidRPr="00C75D93">
        <w:t xml:space="preserve"> the Department’s IT Systems.</w:t>
      </w:r>
    </w:p>
    <w:p w14:paraId="3ED42AE4" w14:textId="218B68D2" w:rsidR="00D94A30" w:rsidRDefault="00D94A30" w:rsidP="00D94A30">
      <w:pPr>
        <w:pStyle w:val="Heading5"/>
      </w:pPr>
      <w:r>
        <w:t xml:space="preserve">Attempting </w:t>
      </w:r>
      <w:r w:rsidR="003C228F">
        <w:t>to schedule Contact Appointment</w:t>
      </w:r>
      <w:r>
        <w:t xml:space="preserve"> with a Participant</w:t>
      </w:r>
    </w:p>
    <w:p w14:paraId="57AEF73F" w14:textId="22180397" w:rsidR="00E93A0C" w:rsidRDefault="00491EB0" w:rsidP="00D94A30">
      <w:r>
        <w:t xml:space="preserve">Providers </w:t>
      </w:r>
      <w:r w:rsidR="00FC7C8C">
        <w:t>should seek to contact the Participant</w:t>
      </w:r>
      <w:r w:rsidR="00827797">
        <w:t>,</w:t>
      </w:r>
      <w:r w:rsidR="00FC7C8C">
        <w:t xml:space="preserve"> </w:t>
      </w:r>
      <w:r w:rsidR="00827797">
        <w:t xml:space="preserve">via email or a </w:t>
      </w:r>
      <w:r w:rsidR="00D9789A">
        <w:t>phone</w:t>
      </w:r>
      <w:r w:rsidR="00827797">
        <w:t xml:space="preserve"> call, </w:t>
      </w:r>
      <w:r w:rsidR="00FC7C8C">
        <w:t>in order to schedule the Contact Appointment at a mutually agreed time.</w:t>
      </w:r>
      <w:r w:rsidR="00C52256">
        <w:t xml:space="preserve"> Providers may also use SMS if the Participant has agreed to </w:t>
      </w:r>
      <w:r w:rsidR="00A765BD">
        <w:t>c</w:t>
      </w:r>
      <w:r w:rsidR="00C52256">
        <w:t xml:space="preserve">ontact via </w:t>
      </w:r>
      <w:r w:rsidR="00FC2D98">
        <w:t>this Engagement</w:t>
      </w:r>
      <w:r w:rsidR="005D7632">
        <w:t xml:space="preserve"> </w:t>
      </w:r>
      <w:r w:rsidR="00FC2D98">
        <w:t>Method.</w:t>
      </w:r>
    </w:p>
    <w:p w14:paraId="6C7E30A3" w14:textId="359001E4" w:rsidR="00D94A30" w:rsidRDefault="00D94A30" w:rsidP="00D94A30">
      <w:r w:rsidRPr="00B61AB6">
        <w:t xml:space="preserve">The nature and frequency of attempts to </w:t>
      </w:r>
      <w:r w:rsidR="00AB55DF">
        <w:t>contact</w:t>
      </w:r>
      <w:r w:rsidR="00AB55DF" w:rsidRPr="00B61AB6">
        <w:t xml:space="preserve"> </w:t>
      </w:r>
      <w:r w:rsidRPr="00B61AB6">
        <w:t xml:space="preserve">the Participant should be based on the Provider’s understanding of the Participant, the Participant’s receptiveness to engage, and the different types of </w:t>
      </w:r>
      <w:r>
        <w:t>Engagement M</w:t>
      </w:r>
      <w:r w:rsidRPr="00B61AB6">
        <w:t>ethods available</w:t>
      </w:r>
      <w:r>
        <w:t>.</w:t>
      </w:r>
    </w:p>
    <w:p w14:paraId="401CC5D1" w14:textId="070BF24D" w:rsidR="00D94A30" w:rsidRDefault="00D94A30" w:rsidP="00D94A30">
      <w:r w:rsidRPr="005E0354">
        <w:rPr>
          <w:b/>
          <w:bCs/>
        </w:rPr>
        <w:t>Note:</w:t>
      </w:r>
      <w:r>
        <w:t xml:space="preserve"> Providers must attempt to contact the Participant using the Participant’s preferred contact method, but should also consider using alternative methods if this is unsuccessful.</w:t>
      </w:r>
    </w:p>
    <w:p w14:paraId="2ADDAC48" w14:textId="615BF2DD" w:rsidR="00D94A30" w:rsidRPr="00C75D93" w:rsidRDefault="00D94A30" w:rsidP="006F727E">
      <w:pPr>
        <w:pStyle w:val="SystemStep"/>
      </w:pPr>
      <w:r w:rsidRPr="00C75D93">
        <w:t xml:space="preserve">A Participant’s preferred contact method is listed in the Department’s IT Systems under the Personal details </w:t>
      </w:r>
      <w:r w:rsidR="00860866">
        <w:t>screen</w:t>
      </w:r>
      <w:r w:rsidRPr="00C75D93">
        <w:t xml:space="preserve"> of the Participant’s profile.</w:t>
      </w:r>
    </w:p>
    <w:p w14:paraId="79581475" w14:textId="0A788816" w:rsidR="003F31A2" w:rsidRDefault="00D94A30" w:rsidP="00D94A30">
      <w:r w:rsidRPr="004F7969">
        <w:rPr>
          <w:u w:val="single"/>
        </w:rPr>
        <w:t xml:space="preserve">Where </w:t>
      </w:r>
      <w:r>
        <w:rPr>
          <w:u w:val="single"/>
        </w:rPr>
        <w:t>contact</w:t>
      </w:r>
      <w:r w:rsidRPr="004F7969">
        <w:rPr>
          <w:u w:val="single"/>
        </w:rPr>
        <w:t xml:space="preserve"> is successful</w:t>
      </w:r>
      <w:r>
        <w:t>, Providers must agree a suitable time with the Participant to meet and inform them that</w:t>
      </w:r>
      <w:r w:rsidR="0021049C">
        <w:t>, if they fail to attend,</w:t>
      </w:r>
      <w:r>
        <w:t xml:space="preserve"> they</w:t>
      </w:r>
      <w:r w:rsidR="0021049C">
        <w:t xml:space="preserve"> then</w:t>
      </w:r>
      <w:r>
        <w:t xml:space="preserve"> may be required to attend a</w:t>
      </w:r>
      <w:r w:rsidR="0021049C">
        <w:t xml:space="preserve"> compulsory</w:t>
      </w:r>
      <w:r>
        <w:t xml:space="preserve"> Appointment that could result in their Income Support Payments being suspended by Services Australia. </w:t>
      </w:r>
      <w:r w:rsidR="00E702D4">
        <w:t>Unless otherwise agreed with the Participant, the Appointment scheduled should be made at least 2 Business Days into the future.</w:t>
      </w:r>
    </w:p>
    <w:p w14:paraId="36894856" w14:textId="1CC0C5E2" w:rsidR="00706770" w:rsidRDefault="00706770" w:rsidP="00D94A30">
      <w:r w:rsidRPr="004F7969">
        <w:rPr>
          <w:u w:val="single"/>
        </w:rPr>
        <w:t xml:space="preserve">Where contact is </w:t>
      </w:r>
      <w:r w:rsidR="004F7969" w:rsidRPr="004F7969">
        <w:rPr>
          <w:u w:val="single"/>
        </w:rPr>
        <w:t xml:space="preserve">not </w:t>
      </w:r>
      <w:r w:rsidRPr="004F7969">
        <w:rPr>
          <w:u w:val="single"/>
        </w:rPr>
        <w:t>successful</w:t>
      </w:r>
      <w:r>
        <w:t xml:space="preserve">, Providers can schedule </w:t>
      </w:r>
      <w:r w:rsidR="0039557F">
        <w:t>based on availability in the Participant’s</w:t>
      </w:r>
      <w:r>
        <w:t xml:space="preserve"> </w:t>
      </w:r>
      <w:r w:rsidR="00C360EE">
        <w:t xml:space="preserve">Electronic Calendar — taking into account any Personal Events. The Appointment scheduled should be made at least </w:t>
      </w:r>
      <w:r w:rsidR="004F7969">
        <w:t>5 Business Days into the future if the Participant is to be notified via email or at least 8 Business Days into the future if the Participant is to be notified via letter.</w:t>
      </w:r>
      <w:r w:rsidR="00042057">
        <w:t xml:space="preserve"> Providers may also rely on existing </w:t>
      </w:r>
      <w:r w:rsidR="006612DE">
        <w:t>Contact Appointments booked in the Participant’s Electronic Calendar.</w:t>
      </w:r>
    </w:p>
    <w:p w14:paraId="230431C3" w14:textId="7AC7B645" w:rsidR="00251C13" w:rsidRDefault="00D94A30" w:rsidP="006F727E">
      <w:pPr>
        <w:pStyle w:val="SystemStep"/>
      </w:pPr>
      <w:r>
        <w:t xml:space="preserve">The Contact Appointment must be in the Participant’s Electronic Calendar. </w:t>
      </w:r>
      <w:r w:rsidR="00C27899">
        <w:t xml:space="preserve">The Provider must ensure the Contact Appointment is entered as a voluntary requirement. </w:t>
      </w:r>
      <w:r>
        <w:t xml:space="preserve">The Department’s IT Systems will automatically create relevant notifications </w:t>
      </w:r>
      <w:r w:rsidR="002F5931">
        <w:t>when scheduling</w:t>
      </w:r>
      <w:r>
        <w:t xml:space="preserve"> </w:t>
      </w:r>
      <w:r w:rsidR="002F5931">
        <w:t xml:space="preserve">the </w:t>
      </w:r>
      <w:r>
        <w:t>Contact Appointment.</w:t>
      </w:r>
    </w:p>
    <w:p w14:paraId="57F21ED2" w14:textId="5B065003" w:rsidR="00D94A30" w:rsidRDefault="00573FA6" w:rsidP="00D94A30">
      <w:pPr>
        <w:pStyle w:val="Heading5"/>
      </w:pPr>
      <w:r>
        <w:t>Schedule</w:t>
      </w:r>
      <w:r w:rsidR="00D94A30">
        <w:t>d Contact Appointments</w:t>
      </w:r>
    </w:p>
    <w:p w14:paraId="3C9A270B" w14:textId="58850E46" w:rsidR="00D94A30" w:rsidRDefault="00047009" w:rsidP="00D94A30">
      <w:r>
        <w:t>Once</w:t>
      </w:r>
      <w:r w:rsidR="00D94A30">
        <w:t xml:space="preserve"> a Contact Appointment has been </w:t>
      </w:r>
      <w:r w:rsidR="00573FA6">
        <w:t>schedule</w:t>
      </w:r>
      <w:r w:rsidR="00D94A30">
        <w:t xml:space="preserve">d, </w:t>
      </w:r>
      <w:r>
        <w:t>if</w:t>
      </w:r>
      <w:r w:rsidR="00D94A30">
        <w:t xml:space="preserve"> the Participant either re</w:t>
      </w:r>
      <w:r w:rsidR="00573FA6">
        <w:t>schedule</w:t>
      </w:r>
      <w:r w:rsidR="00D94A30">
        <w:t xml:space="preserve">s or does not attend, this </w:t>
      </w:r>
      <w:r w:rsidR="00C82D84">
        <w:t>will</w:t>
      </w:r>
      <w:r w:rsidR="00F840D8">
        <w:t xml:space="preserve"> </w:t>
      </w:r>
      <w:r w:rsidR="00D94A30">
        <w:t>form part of the 3 attempts to arrange and deliver a Contact Appointment — regardless of the Participant ha</w:t>
      </w:r>
      <w:r w:rsidR="00B73424">
        <w:t>ving</w:t>
      </w:r>
      <w:r w:rsidR="00EB6DA7">
        <w:t xml:space="preserve"> what would</w:t>
      </w:r>
      <w:r w:rsidR="00D94A30">
        <w:t xml:space="preserve"> otherwise be considered a valid </w:t>
      </w:r>
      <w:r w:rsidR="00B73424">
        <w:t>reason</w:t>
      </w:r>
      <w:r w:rsidR="00EB6DA7">
        <w:t xml:space="preserve"> or </w:t>
      </w:r>
      <w:r w:rsidR="00D94A30">
        <w:t>reasonable</w:t>
      </w:r>
      <w:r w:rsidR="00EB6DA7">
        <w:t xml:space="preserve"> excuse</w:t>
      </w:r>
      <w:r w:rsidR="00D94A30">
        <w:t>.</w:t>
      </w:r>
    </w:p>
    <w:p w14:paraId="00D8958F" w14:textId="28957FB3" w:rsidR="00D94A30" w:rsidRPr="00D669C2" w:rsidRDefault="00D94A30" w:rsidP="006F727E">
      <w:pPr>
        <w:pStyle w:val="SystemStep"/>
      </w:pPr>
      <w:r w:rsidRPr="00277EFF">
        <w:t>If the Participant tell</w:t>
      </w:r>
      <w:r>
        <w:t>s</w:t>
      </w:r>
      <w:r w:rsidRPr="00277EFF">
        <w:t xml:space="preserve"> the Provider </w:t>
      </w:r>
      <w:r>
        <w:t xml:space="preserve">they cannot attend the Appointment </w:t>
      </w:r>
      <w:r w:rsidRPr="00277EFF">
        <w:t xml:space="preserve">before the </w:t>
      </w:r>
      <w:r w:rsidR="00573FA6">
        <w:t>schedule</w:t>
      </w:r>
      <w:r>
        <w:t xml:space="preserve">d </w:t>
      </w:r>
      <w:r w:rsidRPr="00277EFF">
        <w:t xml:space="preserve">start </w:t>
      </w:r>
      <w:r w:rsidRPr="00D669C2">
        <w:t xml:space="preserve">time, the Provider </w:t>
      </w:r>
      <w:r w:rsidR="00272219">
        <w:t xml:space="preserve">must </w:t>
      </w:r>
      <w:r w:rsidRPr="00D669C2">
        <w:t>record a result of ‘Re</w:t>
      </w:r>
      <w:r w:rsidR="00573FA6">
        <w:t>schedule</w:t>
      </w:r>
      <w:r w:rsidRPr="00D669C2">
        <w:t>d’ in the Department’s IT Systems.</w:t>
      </w:r>
    </w:p>
    <w:p w14:paraId="0FEE4A25" w14:textId="069FD209" w:rsidR="00D94A30" w:rsidRDefault="00D94A30" w:rsidP="006F727E">
      <w:pPr>
        <w:pStyle w:val="SystemStep"/>
      </w:pPr>
      <w:r w:rsidRPr="00D669C2">
        <w:t xml:space="preserve">If the Participant does not attend the </w:t>
      </w:r>
      <w:r w:rsidR="00573FA6">
        <w:t>schedule</w:t>
      </w:r>
      <w:r w:rsidRPr="00D669C2">
        <w:t>d Appointment, the Provider must record a result of ‘Did Not Attend’ in the Department’s</w:t>
      </w:r>
      <w:r>
        <w:t xml:space="preserve"> IT Systems by the end of the day on which the Contact was </w:t>
      </w:r>
      <w:r w:rsidR="00573FA6">
        <w:t>schedule</w:t>
      </w:r>
      <w:r>
        <w:t>d to occur</w:t>
      </w:r>
      <w:r w:rsidRPr="00277EFF">
        <w:t>.</w:t>
      </w:r>
    </w:p>
    <w:p w14:paraId="439F33F3" w14:textId="4AE1DE69" w:rsidR="00D94A30" w:rsidRDefault="0061479F" w:rsidP="00D94A30">
      <w:r>
        <w:t xml:space="preserve">After </w:t>
      </w:r>
      <w:r w:rsidR="00D94A30">
        <w:t xml:space="preserve">a Provider </w:t>
      </w:r>
      <w:r>
        <w:t xml:space="preserve">has </w:t>
      </w:r>
      <w:r w:rsidR="00D94A30">
        <w:t>record</w:t>
      </w:r>
      <w:r>
        <w:t>ed</w:t>
      </w:r>
      <w:r w:rsidR="00D94A30">
        <w:t xml:space="preserve"> a result of ‘Re</w:t>
      </w:r>
      <w:r w:rsidR="00573FA6">
        <w:t>schedule</w:t>
      </w:r>
      <w:r w:rsidR="00D94A30">
        <w:t>d’ or ‘Did Not Attend’, t</w:t>
      </w:r>
      <w:r w:rsidR="00D94A30" w:rsidRPr="00277EFF">
        <w:t xml:space="preserve">he Provider </w:t>
      </w:r>
      <w:r w:rsidR="00D94A30">
        <w:t>must:</w:t>
      </w:r>
    </w:p>
    <w:p w14:paraId="4D98D3B2" w14:textId="6E020989" w:rsidR="00D94A30" w:rsidRPr="00272219" w:rsidRDefault="00573FA6" w:rsidP="004E120D">
      <w:pPr>
        <w:pStyle w:val="BulletLevel1"/>
      </w:pPr>
      <w:r>
        <w:t>schedule</w:t>
      </w:r>
      <w:r w:rsidR="00D94A30" w:rsidRPr="00277EFF">
        <w:t xml:space="preserve"> </w:t>
      </w:r>
      <w:r w:rsidR="00D94A30" w:rsidRPr="00410E34">
        <w:rPr>
          <w:rFonts w:ascii="Tahoma" w:eastAsia="Tahoma" w:hAnsi="Tahoma" w:cs="Tahoma"/>
          <w:color w:val="052E16"/>
          <w:lang w:val="en-GB"/>
        </w:rPr>
        <w:t>another</w:t>
      </w:r>
      <w:r w:rsidR="00D94A30" w:rsidRPr="00277EFF">
        <w:t xml:space="preserve"> Contact </w:t>
      </w:r>
      <w:r w:rsidR="00D94A30" w:rsidRPr="00272219">
        <w:t xml:space="preserve">Appointment at next available opportunity, if fewer than 3 attempts have been made to </w:t>
      </w:r>
      <w:r w:rsidR="006A5CAF">
        <w:t>deliver</w:t>
      </w:r>
      <w:r w:rsidR="00D94A30" w:rsidRPr="00272219">
        <w:t xml:space="preserve"> the Contact Appointment, or</w:t>
      </w:r>
    </w:p>
    <w:p w14:paraId="7AFE30B9" w14:textId="4484CBCA" w:rsidR="00D94A30" w:rsidRPr="00277EFF" w:rsidRDefault="00573FA6" w:rsidP="004E120D">
      <w:pPr>
        <w:pStyle w:val="BulletLevel1"/>
      </w:pPr>
      <w:r w:rsidRPr="00272219">
        <w:t>schedule</w:t>
      </w:r>
      <w:r w:rsidR="00D94A30" w:rsidRPr="00272219">
        <w:t xml:space="preserve"> a </w:t>
      </w:r>
      <w:r w:rsidR="00BF070E">
        <w:t>compulsory</w:t>
      </w:r>
      <w:r w:rsidR="00BF070E" w:rsidRPr="00272219">
        <w:t xml:space="preserve"> </w:t>
      </w:r>
      <w:r w:rsidR="00D94A30" w:rsidRPr="00272219">
        <w:t>Contact Appo</w:t>
      </w:r>
      <w:r w:rsidR="00D94A30">
        <w:t xml:space="preserve">intment, if 3 attempts have been made to </w:t>
      </w:r>
      <w:r w:rsidR="00374C7D">
        <w:t>deliver</w:t>
      </w:r>
      <w:r w:rsidR="00D94A30">
        <w:t xml:space="preserve"> the Contact Appointment. This process is described in </w:t>
      </w:r>
      <w:r w:rsidR="008134E3">
        <w:fldChar w:fldCharType="begin"/>
      </w:r>
      <w:r w:rsidR="008134E3">
        <w:instrText xml:space="preserve"> REF _Ref202789057 \h </w:instrText>
      </w:r>
      <w:r w:rsidR="008134E3">
        <w:fldChar w:fldCharType="separate"/>
      </w:r>
      <w:r w:rsidR="000D75AE">
        <w:t>12.2.2Compellable Contact Appointment</w:t>
      </w:r>
      <w:r w:rsidR="008134E3">
        <w:fldChar w:fldCharType="end"/>
      </w:r>
      <w:r w:rsidR="00D94A30">
        <w:t>.</w:t>
      </w:r>
    </w:p>
    <w:p w14:paraId="04A019FA" w14:textId="0B3A4F97" w:rsidR="00D94A30" w:rsidRDefault="00D94A30" w:rsidP="00D94A30">
      <w:pPr>
        <w:pStyle w:val="Heading4"/>
      </w:pPr>
      <w:bookmarkStart w:id="527" w:name="_Ref202789057"/>
      <w:bookmarkStart w:id="528" w:name="_Toc202900102"/>
      <w:r>
        <w:t>12.2.2</w:t>
      </w:r>
      <w:r w:rsidR="00AC167A">
        <w:tab/>
      </w:r>
      <w:r>
        <w:t>Compellable Contact Appointment</w:t>
      </w:r>
      <w:bookmarkEnd w:id="527"/>
      <w:bookmarkEnd w:id="528"/>
    </w:p>
    <w:p w14:paraId="27CB4986" w14:textId="21EB8651" w:rsidR="001943B8" w:rsidRDefault="00D424E0" w:rsidP="00077819">
      <w:r>
        <w:t xml:space="preserve">Under Social Security Law, </w:t>
      </w:r>
      <w:r w:rsidR="001943B8">
        <w:t xml:space="preserve">Provider staff </w:t>
      </w:r>
      <w:r>
        <w:t>are</w:t>
      </w:r>
      <w:r w:rsidR="001943B8">
        <w:t xml:space="preserve"> delegated </w:t>
      </w:r>
      <w:r>
        <w:t>to make the decision to issue a notice to attend a compulsory Appointment.</w:t>
      </w:r>
    </w:p>
    <w:p w14:paraId="0986BDFF" w14:textId="6849390A" w:rsidR="00077819" w:rsidRDefault="00B718AD" w:rsidP="00077819">
      <w:r>
        <w:t xml:space="preserve">When the following circumstances have occurred, Providers can </w:t>
      </w:r>
      <w:r w:rsidR="00F555FF">
        <w:t>book a compulsory Contact Appointment in a Participant’s Electronic Calendar</w:t>
      </w:r>
      <w:r w:rsidR="00501B97">
        <w:t xml:space="preserve"> </w:t>
      </w:r>
      <w:r w:rsidR="004363B0">
        <w:t xml:space="preserve">where </w:t>
      </w:r>
      <w:r w:rsidR="00E65FF3">
        <w:t>a</w:t>
      </w:r>
      <w:r w:rsidR="00501B97">
        <w:t xml:space="preserve"> Participant </w:t>
      </w:r>
      <w:r w:rsidR="00E65FF3">
        <w:t xml:space="preserve">(Mutual Obligation) or </w:t>
      </w:r>
      <w:r w:rsidR="00E65FF3" w:rsidRPr="00E65FF3">
        <w:t>DSP Recipient (Compulsory Requirements)</w:t>
      </w:r>
      <w:r w:rsidR="00E65FF3">
        <w:t xml:space="preserve"> </w:t>
      </w:r>
      <w:r w:rsidR="004363B0">
        <w:t>has a</w:t>
      </w:r>
      <w:r w:rsidR="00501B97">
        <w:t xml:space="preserve"> Meaningful Engagement Job Plan</w:t>
      </w:r>
      <w:r w:rsidR="00F555FF">
        <w:t>. The Participant will receive a formal notification that they are required to attend under Social Security Law</w:t>
      </w:r>
      <w:r w:rsidR="00812477">
        <w:t>, with t</w:t>
      </w:r>
      <w:r w:rsidR="00E7786C" w:rsidRPr="000335E0">
        <w:t xml:space="preserve">he </w:t>
      </w:r>
      <w:r w:rsidR="00E7786C">
        <w:t xml:space="preserve">notification </w:t>
      </w:r>
      <w:r w:rsidR="00E7786C" w:rsidRPr="000335E0">
        <w:t>inform</w:t>
      </w:r>
      <w:r w:rsidR="00812477">
        <w:t>ing</w:t>
      </w:r>
      <w:r w:rsidR="00E7786C">
        <w:t xml:space="preserve"> the Participant</w:t>
      </w:r>
      <w:r w:rsidR="00E7786C" w:rsidRPr="000335E0">
        <w:t xml:space="preserve"> of the requirement </w:t>
      </w:r>
      <w:r w:rsidR="00E7786C">
        <w:t>to attend</w:t>
      </w:r>
      <w:r w:rsidR="00812477">
        <w:t xml:space="preserve"> the Appointment</w:t>
      </w:r>
      <w:r w:rsidR="00E7786C">
        <w:t xml:space="preserve"> </w:t>
      </w:r>
      <w:r w:rsidR="00E7786C" w:rsidRPr="000335E0">
        <w:t xml:space="preserve">under Section 63 of the </w:t>
      </w:r>
      <w:r w:rsidR="00E7786C" w:rsidRPr="00174637">
        <w:rPr>
          <w:i/>
          <w:iCs/>
        </w:rPr>
        <w:t>Social Security (Administration) Act</w:t>
      </w:r>
      <w:r w:rsidR="00E87AED" w:rsidRPr="00174637">
        <w:rPr>
          <w:i/>
          <w:iCs/>
        </w:rPr>
        <w:t> </w:t>
      </w:r>
      <w:r w:rsidR="00E7786C" w:rsidRPr="00174637">
        <w:rPr>
          <w:i/>
          <w:iCs/>
        </w:rPr>
        <w:t>1999</w:t>
      </w:r>
      <w:r w:rsidR="00174637">
        <w:t xml:space="preserve"> (Cth)</w:t>
      </w:r>
      <w:r w:rsidR="006B3611" w:rsidRPr="002E1F43">
        <w:t>.</w:t>
      </w:r>
    </w:p>
    <w:p w14:paraId="39D9C082" w14:textId="198107E8" w:rsidR="00055082" w:rsidRDefault="00055082" w:rsidP="002E1F43">
      <w:pPr>
        <w:keepNext/>
      </w:pPr>
      <w:r>
        <w:t xml:space="preserve">Circumstances for </w:t>
      </w:r>
      <w:r w:rsidR="006B39B1">
        <w:t>compelling a Participant to attend a compulsory</w:t>
      </w:r>
      <w:r>
        <w:t xml:space="preserve"> Contact Appointment are:</w:t>
      </w:r>
    </w:p>
    <w:p w14:paraId="7ED79434" w14:textId="023D6882" w:rsidR="00055082" w:rsidRDefault="00055082" w:rsidP="004E120D">
      <w:pPr>
        <w:pStyle w:val="BulletLevel1"/>
      </w:pPr>
      <w:r>
        <w:t>Participant has failed to meet the Meaningful Engagement Requirement</w:t>
      </w:r>
      <w:r w:rsidR="00CB4F56">
        <w:t xml:space="preserve"> and the Provider has made a reasonable attempt to schedule a</w:t>
      </w:r>
      <w:r w:rsidR="007732A6">
        <w:t xml:space="preserve"> Contact Appointment with the Participant</w:t>
      </w:r>
    </w:p>
    <w:p w14:paraId="6DE370E4" w14:textId="487069AF" w:rsidR="003F215F" w:rsidRDefault="003F215F" w:rsidP="004E120D">
      <w:pPr>
        <w:pStyle w:val="BulletLevel1"/>
      </w:pPr>
      <w:r>
        <w:t>Participant has committed an apparent Work Refusal</w:t>
      </w:r>
      <w:r w:rsidR="007D21CC">
        <w:t>, or</w:t>
      </w:r>
    </w:p>
    <w:p w14:paraId="7C87DD63" w14:textId="5BBB21AF" w:rsidR="00055082" w:rsidRDefault="00055082" w:rsidP="004E120D">
      <w:pPr>
        <w:pStyle w:val="BulletLevel1"/>
      </w:pPr>
      <w:r>
        <w:t xml:space="preserve">Participant has committed a </w:t>
      </w:r>
      <w:r w:rsidR="00044EC7">
        <w:t>potential</w:t>
      </w:r>
      <w:r>
        <w:t xml:space="preserve"> Unemployment Failure.</w:t>
      </w:r>
    </w:p>
    <w:p w14:paraId="318B8958" w14:textId="6902C310" w:rsidR="00B371B2" w:rsidRDefault="00FF52E7" w:rsidP="00FF52E7">
      <w:r w:rsidRPr="00F821B4">
        <w:rPr>
          <w:b/>
          <w:bCs/>
        </w:rPr>
        <w:t>Note:</w:t>
      </w:r>
      <w:r>
        <w:t xml:space="preserve"> Providers must not use the option of scheduling a compulsory </w:t>
      </w:r>
      <w:r w:rsidR="00C72825">
        <w:t>Contact A</w:t>
      </w:r>
      <w:r>
        <w:t xml:space="preserve">ppointment for a Participant with a Meaningful Engagement </w:t>
      </w:r>
      <w:r w:rsidR="00501B97">
        <w:t>Job Plan</w:t>
      </w:r>
      <w:r w:rsidR="00FC3549">
        <w:t xml:space="preserve"> for any other reason than listed above. Failure to attend </w:t>
      </w:r>
      <w:r w:rsidR="00C72825">
        <w:t>a compulsory</w:t>
      </w:r>
      <w:r w:rsidR="00FC3549">
        <w:t xml:space="preserve"> Appointment </w:t>
      </w:r>
      <w:r w:rsidR="00C72825">
        <w:t>may</w:t>
      </w:r>
      <w:r w:rsidR="00FC3549">
        <w:t xml:space="preserve"> result in compliance </w:t>
      </w:r>
      <w:r w:rsidR="007D21CC">
        <w:t xml:space="preserve">actions </w:t>
      </w:r>
      <w:r w:rsidR="00FC3549">
        <w:t>under the TCF.</w:t>
      </w:r>
    </w:p>
    <w:p w14:paraId="0D114D89" w14:textId="4757C183" w:rsidR="00D94A30" w:rsidRPr="003A0373" w:rsidRDefault="00CE0600" w:rsidP="003A0373">
      <w:pPr>
        <w:pStyle w:val="SystemStep"/>
      </w:pPr>
      <w:r>
        <w:t>[</w:t>
      </w:r>
      <w:r w:rsidR="003A0373">
        <w:t>RESERVED</w:t>
      </w:r>
      <w:r>
        <w:t>]</w:t>
      </w:r>
    </w:p>
    <w:p w14:paraId="6BD83FB5" w14:textId="3B0C8C04" w:rsidR="00D94A30" w:rsidRPr="0034476E" w:rsidRDefault="00D94A30" w:rsidP="00D94A30">
      <w:pPr>
        <w:pStyle w:val="Heading3"/>
      </w:pPr>
      <w:bookmarkStart w:id="529" w:name="_Toc202900103"/>
      <w:r>
        <w:t>12.3</w:t>
      </w:r>
      <w:r>
        <w:tab/>
        <w:t>Targeted Compliance Framework</w:t>
      </w:r>
      <w:bookmarkEnd w:id="529"/>
    </w:p>
    <w:p w14:paraId="6210F2C5" w14:textId="57027520" w:rsidR="00D94A30" w:rsidRDefault="00D94A30" w:rsidP="00D94A30">
      <w:pPr>
        <w:rPr>
          <w:rFonts w:ascii="Tahoma" w:eastAsia="Tahoma" w:hAnsi="Tahoma"/>
        </w:rPr>
      </w:pPr>
      <w:r>
        <w:rPr>
          <w:rStyle w:val="Emphasis"/>
        </w:rPr>
        <w:t xml:space="preserve">This </w:t>
      </w:r>
      <w:r w:rsidR="007A4B96">
        <w:rPr>
          <w:rStyle w:val="Emphasis"/>
        </w:rPr>
        <w:t>S</w:t>
      </w:r>
      <w:r>
        <w:rPr>
          <w:rStyle w:val="Emphasis"/>
        </w:rPr>
        <w:t>ection applies to Participants</w:t>
      </w:r>
      <w:r w:rsidRPr="00281735">
        <w:rPr>
          <w:rStyle w:val="Emphasis"/>
        </w:rPr>
        <w:t xml:space="preserve"> (Mutual Obligation)</w:t>
      </w:r>
      <w:r>
        <w:rPr>
          <w:rStyle w:val="Emphasis"/>
        </w:rPr>
        <w:t>.</w:t>
      </w:r>
    </w:p>
    <w:p w14:paraId="3F3E5EAF" w14:textId="249440C2" w:rsidR="00D94A30" w:rsidRDefault="00D94A30" w:rsidP="00D94A30">
      <w:pPr>
        <w:rPr>
          <w:rFonts w:ascii="Tahoma" w:eastAsia="Tahoma" w:hAnsi="Tahoma"/>
        </w:rPr>
      </w:pPr>
      <w:r w:rsidRPr="7751327C">
        <w:rPr>
          <w:rFonts w:ascii="Tahoma" w:eastAsia="Tahoma" w:hAnsi="Tahoma"/>
        </w:rPr>
        <w:t xml:space="preserve">For Participants (Mutual Obligation), instances of non-compliance </w:t>
      </w:r>
      <w:r>
        <w:rPr>
          <w:rFonts w:ascii="Tahoma" w:eastAsia="Tahoma" w:hAnsi="Tahoma"/>
        </w:rPr>
        <w:t xml:space="preserve">are actioned </w:t>
      </w:r>
      <w:r w:rsidRPr="7751327C">
        <w:rPr>
          <w:rFonts w:ascii="Tahoma" w:eastAsia="Tahoma" w:hAnsi="Tahoma"/>
        </w:rPr>
        <w:t>under the TCF.</w:t>
      </w:r>
    </w:p>
    <w:p w14:paraId="56C347B9" w14:textId="38526904" w:rsidR="00D94A30" w:rsidRDefault="00D94A30" w:rsidP="00D94A30">
      <w:pPr>
        <w:rPr>
          <w:rFonts w:ascii="Tahoma" w:eastAsia="Tahoma" w:hAnsi="Tahoma"/>
        </w:rPr>
      </w:pPr>
      <w:r w:rsidRPr="00942805">
        <w:rPr>
          <w:rFonts w:ascii="Tahoma" w:eastAsia="Tahoma" w:hAnsi="Tahoma"/>
        </w:rPr>
        <w:t xml:space="preserve">The TCF encourages </w:t>
      </w:r>
      <w:r>
        <w:rPr>
          <w:rFonts w:ascii="Tahoma" w:eastAsia="Tahoma" w:hAnsi="Tahoma"/>
        </w:rPr>
        <w:t>P</w:t>
      </w:r>
      <w:r w:rsidRPr="00942805">
        <w:rPr>
          <w:rFonts w:ascii="Tahoma" w:eastAsia="Tahoma" w:hAnsi="Tahoma"/>
        </w:rPr>
        <w:t xml:space="preserve">articipants to engage with their </w:t>
      </w:r>
      <w:r>
        <w:rPr>
          <w:rFonts w:ascii="Tahoma" w:eastAsia="Tahoma" w:hAnsi="Tahoma"/>
        </w:rPr>
        <w:t>P</w:t>
      </w:r>
      <w:r w:rsidRPr="00942805">
        <w:rPr>
          <w:rFonts w:ascii="Tahoma" w:eastAsia="Tahoma" w:hAnsi="Tahoma"/>
        </w:rPr>
        <w:t xml:space="preserve">rovider, take personal responsibility for managing and meeting their </w:t>
      </w:r>
      <w:r>
        <w:rPr>
          <w:rFonts w:ascii="Tahoma" w:eastAsia="Tahoma" w:hAnsi="Tahoma"/>
        </w:rPr>
        <w:t>M</w:t>
      </w:r>
      <w:r w:rsidRPr="00942805">
        <w:rPr>
          <w:rFonts w:ascii="Tahoma" w:eastAsia="Tahoma" w:hAnsi="Tahoma"/>
        </w:rPr>
        <w:t xml:space="preserve">utual </w:t>
      </w:r>
      <w:r>
        <w:rPr>
          <w:rFonts w:ascii="Tahoma" w:eastAsia="Tahoma" w:hAnsi="Tahoma"/>
        </w:rPr>
        <w:t>O</w:t>
      </w:r>
      <w:r w:rsidRPr="00942805">
        <w:rPr>
          <w:rFonts w:ascii="Tahoma" w:eastAsia="Tahoma" w:hAnsi="Tahoma"/>
        </w:rPr>
        <w:t xml:space="preserve">bligation </w:t>
      </w:r>
      <w:r>
        <w:rPr>
          <w:rFonts w:ascii="Tahoma" w:eastAsia="Tahoma" w:hAnsi="Tahoma"/>
        </w:rPr>
        <w:t>R</w:t>
      </w:r>
      <w:r w:rsidRPr="00942805">
        <w:rPr>
          <w:rFonts w:ascii="Tahoma" w:eastAsia="Tahoma" w:hAnsi="Tahoma"/>
        </w:rPr>
        <w:t>equirements, actively look for work</w:t>
      </w:r>
      <w:r>
        <w:rPr>
          <w:rFonts w:ascii="Tahoma" w:eastAsia="Tahoma" w:hAnsi="Tahoma"/>
        </w:rPr>
        <w:t xml:space="preserve"> (within their assessed work capacity, if they are able)</w:t>
      </w:r>
      <w:r w:rsidRPr="00942805">
        <w:rPr>
          <w:rFonts w:ascii="Tahoma" w:eastAsia="Tahoma" w:hAnsi="Tahoma"/>
        </w:rPr>
        <w:t xml:space="preserve">, and improve their </w:t>
      </w:r>
      <w:r w:rsidR="00862E68">
        <w:rPr>
          <w:rFonts w:ascii="Tahoma" w:eastAsia="Tahoma" w:hAnsi="Tahoma"/>
        </w:rPr>
        <w:t>job</w:t>
      </w:r>
      <w:r w:rsidRPr="00942805">
        <w:rPr>
          <w:rFonts w:ascii="Tahoma" w:eastAsia="Tahoma" w:hAnsi="Tahoma"/>
        </w:rPr>
        <w:t xml:space="preserve"> prospects</w:t>
      </w:r>
      <w:r>
        <w:rPr>
          <w:rFonts w:ascii="Tahoma" w:eastAsia="Tahoma" w:hAnsi="Tahoma"/>
        </w:rPr>
        <w:t>.</w:t>
      </w:r>
    </w:p>
    <w:p w14:paraId="1CA3707B" w14:textId="7F27D0CE" w:rsidR="00D94A30" w:rsidRDefault="00D94A30" w:rsidP="00D94A30">
      <w:pPr>
        <w:rPr>
          <w:rFonts w:ascii="Tahoma" w:eastAsia="Tahoma" w:hAnsi="Tahoma"/>
        </w:rPr>
      </w:pPr>
      <w:r w:rsidRPr="005E6F64">
        <w:rPr>
          <w:rFonts w:ascii="Tahoma" w:eastAsia="Tahoma" w:hAnsi="Tahoma"/>
        </w:rPr>
        <w:t xml:space="preserve">The TCF </w:t>
      </w:r>
      <w:r>
        <w:rPr>
          <w:rFonts w:ascii="Tahoma" w:eastAsia="Tahoma" w:hAnsi="Tahoma"/>
        </w:rPr>
        <w:t>targets</w:t>
      </w:r>
      <w:r w:rsidRPr="005E6F64">
        <w:rPr>
          <w:rFonts w:ascii="Tahoma" w:eastAsia="Tahoma" w:hAnsi="Tahoma"/>
        </w:rPr>
        <w:t xml:space="preserve"> financial penalties </w:t>
      </w:r>
      <w:r>
        <w:rPr>
          <w:rFonts w:ascii="Tahoma" w:eastAsia="Tahoma" w:hAnsi="Tahoma"/>
        </w:rPr>
        <w:t>towards</w:t>
      </w:r>
      <w:r w:rsidRPr="005E6F64">
        <w:rPr>
          <w:rFonts w:ascii="Tahoma" w:eastAsia="Tahoma" w:hAnsi="Tahoma"/>
        </w:rPr>
        <w:t xml:space="preserve"> Participants who </w:t>
      </w:r>
      <w:r>
        <w:rPr>
          <w:rFonts w:ascii="Tahoma" w:eastAsia="Tahoma" w:hAnsi="Tahoma"/>
        </w:rPr>
        <w:t>persistently</w:t>
      </w:r>
      <w:r w:rsidRPr="005E6F64">
        <w:rPr>
          <w:rFonts w:ascii="Tahoma" w:eastAsia="Tahoma" w:hAnsi="Tahoma"/>
        </w:rPr>
        <w:t xml:space="preserve"> fail to meet Mutual Obligation Requirements without a Valid Reason or Reasonable Excuse</w:t>
      </w:r>
      <w:r>
        <w:rPr>
          <w:rFonts w:ascii="Tahoma" w:eastAsia="Tahoma" w:hAnsi="Tahoma"/>
        </w:rPr>
        <w:t xml:space="preserve">, while </w:t>
      </w:r>
      <w:r w:rsidRPr="004C6C8E">
        <w:rPr>
          <w:rFonts w:ascii="Tahoma" w:eastAsia="Tahoma" w:hAnsi="Tahoma"/>
        </w:rPr>
        <w:t xml:space="preserve">protections </w:t>
      </w:r>
      <w:r w:rsidR="00F239F4">
        <w:rPr>
          <w:rFonts w:ascii="Tahoma" w:eastAsia="Tahoma" w:hAnsi="Tahoma"/>
        </w:rPr>
        <w:t xml:space="preserve">exist </w:t>
      </w:r>
      <w:r w:rsidRPr="004C6C8E">
        <w:rPr>
          <w:rFonts w:ascii="Tahoma" w:eastAsia="Tahoma" w:hAnsi="Tahoma"/>
        </w:rPr>
        <w:t xml:space="preserve">for those who are trying to comply with their </w:t>
      </w:r>
      <w:r>
        <w:rPr>
          <w:rFonts w:ascii="Tahoma" w:eastAsia="Tahoma" w:hAnsi="Tahoma"/>
        </w:rPr>
        <w:t xml:space="preserve">participation </w:t>
      </w:r>
      <w:r w:rsidRPr="004C6C8E">
        <w:rPr>
          <w:rFonts w:ascii="Tahoma" w:eastAsia="Tahoma" w:hAnsi="Tahoma"/>
        </w:rPr>
        <w:t>requirements</w:t>
      </w:r>
      <w:r w:rsidRPr="005E6F64">
        <w:rPr>
          <w:rFonts w:ascii="Tahoma" w:eastAsia="Tahoma" w:hAnsi="Tahoma"/>
        </w:rPr>
        <w:t>.</w:t>
      </w:r>
    </w:p>
    <w:p w14:paraId="451EE438" w14:textId="17706ACA" w:rsidR="00D94A30" w:rsidRPr="00360CA6" w:rsidRDefault="00D94A30" w:rsidP="00D94A30">
      <w:r>
        <w:t xml:space="preserve">A guide to types of failures for Participants with Mutual Obligation Requirements can be found in the Social Security Guide </w:t>
      </w:r>
      <w:r w:rsidR="003B3DAA">
        <w:t>— see</w:t>
      </w:r>
      <w:r>
        <w:t xml:space="preserve"> </w:t>
      </w:r>
      <w:hyperlink r:id="rId84" w:anchor=":~:text=If%20they%20are%20subject%20to%20the%20targeted%20compliance,of%20employment%20not%20being%20made%20to%20that%20person.">
        <w:r w:rsidRPr="0DFD7869">
          <w:rPr>
            <w:rStyle w:val="Hyperlink"/>
          </w:rPr>
          <w:t>3.11.13.30 Types of failures | Social Security Guide</w:t>
        </w:r>
      </w:hyperlink>
      <w:r>
        <w:t>.</w:t>
      </w:r>
    </w:p>
    <w:p w14:paraId="4D260166" w14:textId="55C2200B" w:rsidR="00D94A30" w:rsidRDefault="00D94A30" w:rsidP="00814BEA">
      <w:pPr>
        <w:keepNext/>
        <w:rPr>
          <w:rFonts w:ascii="Tahoma" w:eastAsia="Tahoma" w:hAnsi="Tahoma"/>
        </w:rPr>
      </w:pPr>
      <w:r w:rsidRPr="0DFD7869">
        <w:rPr>
          <w:rFonts w:ascii="Tahoma" w:eastAsia="Tahoma" w:hAnsi="Tahoma"/>
        </w:rPr>
        <w:t>Under the TCF, a Participant’s Income Support Payment may be:</w:t>
      </w:r>
    </w:p>
    <w:p w14:paraId="461083B7" w14:textId="0C4CE955" w:rsidR="00D94A30" w:rsidRPr="000335E0" w:rsidRDefault="00D94A30" w:rsidP="004E120D">
      <w:pPr>
        <w:pStyle w:val="BulletLevel1"/>
      </w:pPr>
      <w:r w:rsidRPr="000335E0">
        <w:t>suspended and/or cancelled if they fail to attend their Initial Interview</w:t>
      </w:r>
    </w:p>
    <w:p w14:paraId="0299DF46" w14:textId="0F0CEDE3" w:rsidR="00D94A30" w:rsidRPr="000335E0" w:rsidRDefault="00D94A30" w:rsidP="004E120D">
      <w:pPr>
        <w:pStyle w:val="BulletLevel1"/>
      </w:pPr>
      <w:r w:rsidRPr="000335E0">
        <w:t>suspended, reduced and/or cancelled if they fail to agree to their Job Plan</w:t>
      </w:r>
    </w:p>
    <w:p w14:paraId="64172119" w14:textId="2974C5E1" w:rsidR="00D94A30" w:rsidRPr="000335E0" w:rsidRDefault="323B36B7" w:rsidP="004E120D">
      <w:pPr>
        <w:pStyle w:val="BulletLevel1"/>
      </w:pPr>
      <w:r>
        <w:t>suspended, reduced and/or cancelled if fail to meet a compulsory requirement in their Detailed Job</w:t>
      </w:r>
      <w:r w:rsidR="2AB4E098">
        <w:t xml:space="preserve"> </w:t>
      </w:r>
      <w:r>
        <w:t>Plan</w:t>
      </w:r>
      <w:r w:rsidR="00B24092">
        <w:t xml:space="preserve"> — n</w:t>
      </w:r>
      <w:r>
        <w:t>ote that this does not apply to compulsory requirements in the Meaningful Engagement Job Plan</w:t>
      </w:r>
    </w:p>
    <w:p w14:paraId="665D9D6A" w14:textId="3E6DD9FF" w:rsidR="00D94A30" w:rsidRPr="000335E0" w:rsidRDefault="00D94A30" w:rsidP="004E120D">
      <w:pPr>
        <w:pStyle w:val="BulletLevel1"/>
      </w:pPr>
      <w:r w:rsidRPr="000335E0">
        <w:t>suspended and/or cancelled if they fail to attend, or are not punctual for, a</w:t>
      </w:r>
      <w:r w:rsidR="00484911">
        <w:t xml:space="preserve">n </w:t>
      </w:r>
      <w:r w:rsidRPr="000335E0">
        <w:t>Appointment</w:t>
      </w:r>
      <w:r w:rsidR="0030799D">
        <w:t xml:space="preserve"> </w:t>
      </w:r>
      <w:r w:rsidR="00484911">
        <w:t xml:space="preserve">they are required to attend </w:t>
      </w:r>
      <w:r w:rsidR="0030799D">
        <w:t>— t</w:t>
      </w:r>
      <w:r w:rsidRPr="000335E0">
        <w:t>his applies when</w:t>
      </w:r>
      <w:r w:rsidR="00A77BB8">
        <w:t xml:space="preserve"> compelled to attend </w:t>
      </w:r>
      <w:r w:rsidR="0027137E">
        <w:t>a</w:t>
      </w:r>
      <w:r w:rsidR="00844C38">
        <w:t xml:space="preserve"> Contact Appointment </w:t>
      </w:r>
      <w:r w:rsidR="00A77BB8">
        <w:t xml:space="preserve">as outlined in </w:t>
      </w:r>
      <w:r w:rsidR="00174637">
        <w:fldChar w:fldCharType="begin"/>
      </w:r>
      <w:r w:rsidR="00174637">
        <w:instrText xml:space="preserve"> REF _Ref202789057 \h </w:instrText>
      </w:r>
      <w:r w:rsidR="00174637">
        <w:fldChar w:fldCharType="separate"/>
      </w:r>
      <w:r w:rsidR="000D75AE">
        <w:t>12.2.2</w:t>
      </w:r>
      <w:r w:rsidR="004572F7">
        <w:t xml:space="preserve"> </w:t>
      </w:r>
      <w:r w:rsidR="000D75AE">
        <w:t>Compellable Contact Appointment</w:t>
      </w:r>
      <w:r w:rsidR="00174637">
        <w:fldChar w:fldCharType="end"/>
      </w:r>
    </w:p>
    <w:p w14:paraId="306CDA7A" w14:textId="4E67A970" w:rsidR="00D94A30" w:rsidRPr="000335E0" w:rsidRDefault="00D94A30" w:rsidP="004E120D">
      <w:pPr>
        <w:pStyle w:val="BulletLevel1"/>
      </w:pPr>
      <w:r w:rsidRPr="000335E0">
        <w:t>suspended and/or cancelled if they commit a Work Refusal Failure</w:t>
      </w:r>
    </w:p>
    <w:p w14:paraId="5B065488" w14:textId="07EA0A71" w:rsidR="00D94A30" w:rsidRPr="000335E0" w:rsidRDefault="00D94A30" w:rsidP="004E120D">
      <w:pPr>
        <w:pStyle w:val="BulletLevel1"/>
      </w:pPr>
      <w:r w:rsidRPr="000335E0">
        <w:t xml:space="preserve">cancelled if they commit an Unemployment Failure, or </w:t>
      </w:r>
    </w:p>
    <w:p w14:paraId="1CE5D9EC" w14:textId="779A47FD" w:rsidR="00D94A30" w:rsidRDefault="00D94A30" w:rsidP="004E120D">
      <w:pPr>
        <w:pStyle w:val="BulletLevel1"/>
      </w:pPr>
      <w:r w:rsidRPr="000335E0">
        <w:t>cancelled</w:t>
      </w:r>
      <w:r w:rsidRPr="7751327C">
        <w:t xml:space="preserve"> if they do not meet a Re-engagement Requirement within 28 calendar days of being notified of the </w:t>
      </w:r>
      <w:r>
        <w:t>Re-engagement R</w:t>
      </w:r>
      <w:r w:rsidRPr="7751327C">
        <w:t>equirement.</w:t>
      </w:r>
    </w:p>
    <w:p w14:paraId="38E5F785" w14:textId="5BD13C15" w:rsidR="00D94A30" w:rsidRPr="009F34F3" w:rsidRDefault="00D94A30" w:rsidP="00D94A30">
      <w:r w:rsidRPr="009F34F3">
        <w:t xml:space="preserve">The </w:t>
      </w:r>
      <w:r>
        <w:t>TCF</w:t>
      </w:r>
      <w:r w:rsidRPr="009F34F3">
        <w:t xml:space="preserve"> includes </w:t>
      </w:r>
      <w:r>
        <w:t>safeguards</w:t>
      </w:r>
      <w:r w:rsidRPr="009F34F3">
        <w:t xml:space="preserve"> to </w:t>
      </w:r>
      <w:r>
        <w:t>en</w:t>
      </w:r>
      <w:r w:rsidRPr="009F34F3">
        <w:t xml:space="preserve">sure that requirements in a </w:t>
      </w:r>
      <w:r>
        <w:t>Participant</w:t>
      </w:r>
      <w:r w:rsidRPr="009F34F3">
        <w:t xml:space="preserve">’s Job Plan </w:t>
      </w:r>
      <w:r>
        <w:t>are</w:t>
      </w:r>
      <w:r w:rsidRPr="009F34F3">
        <w:t xml:space="preserve"> reasonable. This includes the </w:t>
      </w:r>
      <w:r>
        <w:t>Participant</w:t>
      </w:r>
      <w:r w:rsidRPr="009F34F3">
        <w:t xml:space="preserve"> attending:</w:t>
      </w:r>
    </w:p>
    <w:p w14:paraId="6955796A" w14:textId="124DA272" w:rsidR="00D94A30" w:rsidRPr="000335E0" w:rsidRDefault="00D94A30" w:rsidP="004E120D">
      <w:pPr>
        <w:pStyle w:val="BulletLevel1"/>
      </w:pPr>
      <w:r w:rsidRPr="5DD2C18A">
        <w:t xml:space="preserve">a </w:t>
      </w:r>
      <w:r w:rsidRPr="000335E0">
        <w:t>Capability Interview with the Provider when they accrue a total of 3 Demerits, and</w:t>
      </w:r>
    </w:p>
    <w:p w14:paraId="0F1FB805" w14:textId="27E8F258" w:rsidR="00D94A30" w:rsidRDefault="00D94A30" w:rsidP="004E120D">
      <w:pPr>
        <w:pStyle w:val="BulletLevel1"/>
      </w:pPr>
      <w:r w:rsidRPr="000335E0">
        <w:t>a Capa</w:t>
      </w:r>
      <w:r w:rsidRPr="5DD2C18A">
        <w:t xml:space="preserve">bility Assessment with Services Australia when they </w:t>
      </w:r>
      <w:r>
        <w:t>accrue</w:t>
      </w:r>
      <w:r w:rsidRPr="5DD2C18A">
        <w:t xml:space="preserve"> </w:t>
      </w:r>
      <w:r>
        <w:t xml:space="preserve">a total of </w:t>
      </w:r>
      <w:r w:rsidRPr="5DD2C18A">
        <w:t xml:space="preserve">5 </w:t>
      </w:r>
      <w:r>
        <w:t>Demerit</w:t>
      </w:r>
      <w:r w:rsidRPr="5DD2C18A">
        <w:t>s.</w:t>
      </w:r>
    </w:p>
    <w:p w14:paraId="4EE3497E" w14:textId="2F5EDE9B" w:rsidR="00D94A30" w:rsidRDefault="00D94A30" w:rsidP="00D94A30">
      <w:pPr>
        <w:rPr>
          <w:rFonts w:ascii="Tahoma" w:eastAsia="Tahoma" w:hAnsi="Tahoma" w:cs="Tahoma"/>
        </w:rPr>
      </w:pPr>
      <w:r w:rsidRPr="00DD6F95">
        <w:rPr>
          <w:rFonts w:eastAsiaTheme="minorEastAsia"/>
          <w:b/>
          <w:bCs/>
        </w:rPr>
        <w:t xml:space="preserve">Note: </w:t>
      </w:r>
      <w:r w:rsidRPr="7751327C">
        <w:rPr>
          <w:rFonts w:eastAsiaTheme="minorEastAsia"/>
        </w:rPr>
        <w:t xml:space="preserve">Providers must not use or threaten </w:t>
      </w:r>
      <w:r w:rsidR="00226464">
        <w:rPr>
          <w:rFonts w:eastAsiaTheme="minorEastAsia"/>
        </w:rPr>
        <w:t>or apply payment suspensions or Demerits under</w:t>
      </w:r>
      <w:r w:rsidRPr="7751327C">
        <w:rPr>
          <w:rFonts w:eastAsiaTheme="minorEastAsia"/>
        </w:rPr>
        <w:t xml:space="preserve"> the TCF </w:t>
      </w:r>
      <w:r w:rsidR="00226464">
        <w:rPr>
          <w:rFonts w:eastAsiaTheme="minorEastAsia"/>
        </w:rPr>
        <w:t xml:space="preserve">in order </w:t>
      </w:r>
      <w:r w:rsidRPr="7751327C">
        <w:rPr>
          <w:rFonts w:eastAsiaTheme="minorEastAsia"/>
        </w:rPr>
        <w:t xml:space="preserve">to </w:t>
      </w:r>
      <w:r w:rsidR="00226464">
        <w:rPr>
          <w:rFonts w:eastAsiaTheme="minorEastAsia"/>
        </w:rPr>
        <w:t>compel Participants to supply</w:t>
      </w:r>
      <w:r w:rsidRPr="7751327C">
        <w:rPr>
          <w:rFonts w:eastAsiaTheme="minorEastAsia"/>
        </w:rPr>
        <w:t xml:space="preserve"> payslips or other </w:t>
      </w:r>
      <w:r w:rsidR="00FD5148">
        <w:rPr>
          <w:rFonts w:eastAsiaTheme="minorEastAsia"/>
        </w:rPr>
        <w:t>evidence of Emp</w:t>
      </w:r>
      <w:r w:rsidRPr="7751327C">
        <w:rPr>
          <w:rFonts w:eastAsiaTheme="minorEastAsia"/>
        </w:rPr>
        <w:t xml:space="preserve">loyment. </w:t>
      </w:r>
      <w:r w:rsidR="00A525FC">
        <w:rPr>
          <w:rFonts w:eastAsiaTheme="minorEastAsia"/>
        </w:rPr>
        <w:t>The Department will thoroughly investigate any claims of this nature</w:t>
      </w:r>
      <w:r w:rsidR="00C7295B">
        <w:rPr>
          <w:rFonts w:eastAsiaTheme="minorEastAsia"/>
        </w:rPr>
        <w:t>.</w:t>
      </w:r>
    </w:p>
    <w:p w14:paraId="00875107" w14:textId="4CEA2671" w:rsidR="00D94A30" w:rsidRDefault="00D94A30" w:rsidP="00D94A30">
      <w:pPr>
        <w:pStyle w:val="Heading5"/>
      </w:pPr>
      <w:r>
        <w:t>Key elements of the TCF</w:t>
      </w:r>
    </w:p>
    <w:p w14:paraId="623C1C62" w14:textId="232BFB8D" w:rsidR="00D94A30" w:rsidRDefault="00D94A30" w:rsidP="00DF712F">
      <w:pPr>
        <w:keepNext/>
        <w:rPr>
          <w:rFonts w:ascii="Tahoma" w:eastAsia="Tahoma" w:hAnsi="Tahoma"/>
        </w:rPr>
      </w:pPr>
      <w:r w:rsidRPr="0DFD7869">
        <w:rPr>
          <w:rFonts w:ascii="Tahoma" w:eastAsia="Tahoma" w:hAnsi="Tahoma"/>
        </w:rPr>
        <w:t>The TCF comprises 3 zones for Participants, as outlined in the table below.</w:t>
      </w:r>
    </w:p>
    <w:p w14:paraId="72FBCE89" w14:textId="123A5749" w:rsidR="00D94A30" w:rsidRDefault="002D0816" w:rsidP="002D0816">
      <w:pPr>
        <w:keepNext/>
        <w:rPr>
          <w:rFonts w:eastAsiaTheme="minorEastAsia"/>
        </w:rPr>
      </w:pPr>
      <w:r>
        <w:rPr>
          <w:rFonts w:ascii="Tahoma" w:eastAsia="Tahoma" w:hAnsi="Tahoma"/>
        </w:rPr>
        <w:t>Participants</w:t>
      </w:r>
      <w:r w:rsidR="00D94A30">
        <w:rPr>
          <w:rFonts w:ascii="Tahoma" w:eastAsia="Tahoma" w:hAnsi="Tahoma"/>
        </w:rPr>
        <w:t xml:space="preserve"> </w:t>
      </w:r>
      <w:r w:rsidR="00D94A30">
        <w:rPr>
          <w:rFonts w:eastAsiaTheme="minorEastAsia"/>
        </w:rPr>
        <w:t>accrue Demerits when</w:t>
      </w:r>
      <w:r w:rsidR="00E95AFF">
        <w:rPr>
          <w:rFonts w:eastAsiaTheme="minorEastAsia"/>
        </w:rPr>
        <w:t xml:space="preserve"> </w:t>
      </w:r>
      <w:r w:rsidR="00D94A30">
        <w:rPr>
          <w:rFonts w:eastAsiaTheme="minorEastAsia"/>
        </w:rPr>
        <w:t>Mutual Obligation Failure</w:t>
      </w:r>
      <w:r w:rsidR="00FA7E2B">
        <w:rPr>
          <w:rFonts w:eastAsiaTheme="minorEastAsia"/>
        </w:rPr>
        <w:t>s</w:t>
      </w:r>
      <w:r w:rsidR="00E95AFF">
        <w:rPr>
          <w:rFonts w:eastAsiaTheme="minorEastAsia"/>
        </w:rPr>
        <w:t xml:space="preserve"> </w:t>
      </w:r>
      <w:r w:rsidR="00FA7E2B">
        <w:rPr>
          <w:rFonts w:eastAsiaTheme="minorEastAsia"/>
        </w:rPr>
        <w:t>are</w:t>
      </w:r>
      <w:r w:rsidR="00D94A30">
        <w:rPr>
          <w:rFonts w:eastAsiaTheme="minorEastAsia"/>
        </w:rPr>
        <w:t xml:space="preserve"> applied, which causes them to move through the zones</w:t>
      </w:r>
      <w:r w:rsidR="0087665E">
        <w:rPr>
          <w:rFonts w:eastAsiaTheme="minorEastAsia"/>
        </w:rPr>
        <w:t xml:space="preserve"> dependent on the outcome of any Capability Interview or Capability Assessments</w:t>
      </w:r>
      <w:r w:rsidR="00D94A30">
        <w:rPr>
          <w:rFonts w:eastAsiaTheme="minorEastAsia"/>
        </w:rPr>
        <w:t>.</w:t>
      </w:r>
    </w:p>
    <w:p w14:paraId="53997557" w14:textId="37C72B9E" w:rsidR="00996689" w:rsidRPr="00996689" w:rsidRDefault="00996689" w:rsidP="00D94A30">
      <w:r>
        <w:rPr>
          <w:rFonts w:eastAsiaTheme="minorEastAsia"/>
        </w:rPr>
        <w:t xml:space="preserve">A </w:t>
      </w:r>
      <w:r w:rsidRPr="7751327C">
        <w:rPr>
          <w:rFonts w:eastAsiaTheme="minorEastAsia"/>
        </w:rPr>
        <w:t xml:space="preserve">Participant (Mutual Obligation) </w:t>
      </w:r>
      <w:r>
        <w:rPr>
          <w:rFonts w:eastAsiaTheme="minorEastAsia"/>
        </w:rPr>
        <w:t>who</w:t>
      </w:r>
      <w:r w:rsidRPr="7751327C">
        <w:rPr>
          <w:rFonts w:eastAsiaTheme="minorEastAsia"/>
        </w:rPr>
        <w:t xml:space="preserve"> persistently commits </w:t>
      </w:r>
      <w:r w:rsidRPr="7751327C">
        <w:t xml:space="preserve">Mutual Obligation Failures </w:t>
      </w:r>
      <w:r>
        <w:t>will</w:t>
      </w:r>
      <w:r w:rsidRPr="7751327C">
        <w:t xml:space="preserve"> progress through the 3 zones of the TCF — Green Zone, Warning Zone and Penalty Zone.</w:t>
      </w:r>
    </w:p>
    <w:p w14:paraId="412F43E6" w14:textId="1E79DA6E" w:rsidR="00D94A30" w:rsidRPr="00A13913" w:rsidRDefault="00D94A30" w:rsidP="009F5ECB">
      <w:pPr>
        <w:pStyle w:val="TableChartHeading"/>
      </w:pPr>
      <w:r>
        <w:t>TCF Zones</w:t>
      </w:r>
    </w:p>
    <w:tbl>
      <w:tblPr>
        <w:tblStyle w:val="TableGrid"/>
        <w:tblW w:w="9918" w:type="dxa"/>
        <w:tblLook w:val="04A0" w:firstRow="1" w:lastRow="0" w:firstColumn="1" w:lastColumn="0" w:noHBand="0" w:noVBand="1"/>
      </w:tblPr>
      <w:tblGrid>
        <w:gridCol w:w="9918"/>
      </w:tblGrid>
      <w:tr w:rsidR="00D94A30" w:rsidRPr="00EA1381" w14:paraId="0E78184D" w14:textId="77777777" w:rsidTr="00862AA2">
        <w:tc>
          <w:tcPr>
            <w:tcW w:w="9918" w:type="dxa"/>
            <w:vAlign w:val="bottom"/>
          </w:tcPr>
          <w:p w14:paraId="4D4C9835" w14:textId="77777777" w:rsidR="00D94A30" w:rsidRPr="00EA1381" w:rsidRDefault="00D94A30" w:rsidP="00DB46F2">
            <w:pPr>
              <w:keepNext/>
              <w:spacing w:before="180" w:after="60"/>
              <w:rPr>
                <w:rFonts w:cstheme="minorHAnsi"/>
                <w:b/>
              </w:rPr>
            </w:pPr>
            <w:r w:rsidRPr="00C17564">
              <w:rPr>
                <w:rFonts w:eastAsia="Times New Roman" w:cstheme="minorHAnsi"/>
                <w:noProof/>
                <w:sz w:val="24"/>
                <w:lang w:eastAsia="en-AU"/>
              </w:rPr>
              <w:drawing>
                <wp:anchor distT="0" distB="0" distL="114300" distR="114300" simplePos="0" relativeHeight="251658240" behindDoc="0" locked="0" layoutInCell="1" allowOverlap="1" wp14:anchorId="6F611C09" wp14:editId="55D0C311">
                  <wp:simplePos x="0" y="0"/>
                  <wp:positionH relativeFrom="column">
                    <wp:posOffset>-2540</wp:posOffset>
                  </wp:positionH>
                  <wp:positionV relativeFrom="paragraph">
                    <wp:posOffset>37465</wp:posOffset>
                  </wp:positionV>
                  <wp:extent cx="360000" cy="360000"/>
                  <wp:effectExtent l="0" t="0" r="2540" b="2540"/>
                  <wp:wrapSquare wrapText="bothSides"/>
                  <wp:docPr id="10" name="Picture 6" descr="A graphic of a red cross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A graphic of a red cross in a circl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1381">
              <w:rPr>
                <w:rFonts w:cstheme="minorHAnsi"/>
                <w:b/>
              </w:rPr>
              <w:t>Green Zone</w:t>
            </w:r>
          </w:p>
        </w:tc>
      </w:tr>
      <w:tr w:rsidR="00D94A30" w:rsidRPr="00EA1381" w14:paraId="3314B474" w14:textId="77777777" w:rsidTr="00862AA2">
        <w:tc>
          <w:tcPr>
            <w:tcW w:w="9918" w:type="dxa"/>
          </w:tcPr>
          <w:p w14:paraId="3048FCCB" w14:textId="6CCF899E" w:rsidR="00D94A30" w:rsidRPr="00EA1381" w:rsidRDefault="00D94A30" w:rsidP="003A4D0F">
            <w:pPr>
              <w:pStyle w:val="TableText"/>
            </w:pPr>
            <w:r w:rsidRPr="5DD2C18A">
              <w:t xml:space="preserve">All Participants (Mutual Obligation) start in the Green Zone when they </w:t>
            </w:r>
            <w:r w:rsidR="00DA7FF0">
              <w:t>C</w:t>
            </w:r>
            <w:r w:rsidRPr="5DD2C18A">
              <w:t xml:space="preserve">ommence in employment services. </w:t>
            </w:r>
          </w:p>
          <w:p w14:paraId="7B16C1C6" w14:textId="4527A770" w:rsidR="00D94A30" w:rsidRPr="00EA1381" w:rsidRDefault="00D94A30" w:rsidP="003A4D0F">
            <w:pPr>
              <w:pStyle w:val="TableText"/>
            </w:pPr>
            <w:r w:rsidRPr="5DD2C18A">
              <w:rPr>
                <w:rFonts w:eastAsia="Tahoma"/>
              </w:rPr>
              <w:t xml:space="preserve">They stay in this zone </w:t>
            </w:r>
            <w:r>
              <w:rPr>
                <w:rFonts w:eastAsia="Tahoma"/>
              </w:rPr>
              <w:t xml:space="preserve">if they </w:t>
            </w:r>
            <w:r w:rsidRPr="5DD2C18A">
              <w:rPr>
                <w:rFonts w:eastAsia="Tahoma"/>
              </w:rPr>
              <w:t>do not commit any Mutual Obligation Failures without a Valid Reason.</w:t>
            </w:r>
          </w:p>
        </w:tc>
      </w:tr>
      <w:tr w:rsidR="00D94A30" w:rsidRPr="00EA1381" w14:paraId="201B489E" w14:textId="77777777" w:rsidTr="00862AA2">
        <w:tc>
          <w:tcPr>
            <w:tcW w:w="9918" w:type="dxa"/>
          </w:tcPr>
          <w:p w14:paraId="3C5B92CB" w14:textId="77777777" w:rsidR="00D94A30" w:rsidRPr="00EA1381" w:rsidRDefault="00D94A30">
            <w:pPr>
              <w:spacing w:before="180" w:after="60"/>
              <w:rPr>
                <w:rFonts w:cstheme="minorHAnsi"/>
                <w:b/>
              </w:rPr>
            </w:pPr>
            <w:r w:rsidRPr="00C17564">
              <w:rPr>
                <w:rFonts w:eastAsia="Times New Roman" w:cstheme="minorHAnsi"/>
                <w:noProof/>
                <w:sz w:val="24"/>
                <w:lang w:eastAsia="en-AU"/>
              </w:rPr>
              <w:drawing>
                <wp:anchor distT="0" distB="0" distL="114300" distR="114300" simplePos="0" relativeHeight="251658241" behindDoc="0" locked="0" layoutInCell="1" allowOverlap="1" wp14:anchorId="1526765E" wp14:editId="7F97B7CE">
                  <wp:simplePos x="0" y="0"/>
                  <wp:positionH relativeFrom="column">
                    <wp:posOffset>-2540</wp:posOffset>
                  </wp:positionH>
                  <wp:positionV relativeFrom="paragraph">
                    <wp:posOffset>39370</wp:posOffset>
                  </wp:positionV>
                  <wp:extent cx="360000" cy="360000"/>
                  <wp:effectExtent l="0" t="0" r="2540" b="2540"/>
                  <wp:wrapSquare wrapText="bothSides"/>
                  <wp:docPr id="11" name="Picture 5" descr="A graphic of a orange exclamation mark in a circle. The circle is made up of 5 lighter coloured segments, which can be coloured darker depending on how many demerits have been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aphic of a orange exclamation mark in a circle. The circle is made up of 5 lighter coloured segments, which can be coloured darker depending on how many demerits have been appli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EA1381">
              <w:rPr>
                <w:rFonts w:cstheme="minorHAnsi"/>
                <w:b/>
              </w:rPr>
              <w:t>Warning Zone</w:t>
            </w:r>
          </w:p>
        </w:tc>
      </w:tr>
      <w:tr w:rsidR="00D94A30" w:rsidRPr="00EA1381" w14:paraId="2C65BDEF" w14:textId="77777777" w:rsidTr="00862AA2">
        <w:tc>
          <w:tcPr>
            <w:tcW w:w="9918" w:type="dxa"/>
          </w:tcPr>
          <w:p w14:paraId="51BDAB31" w14:textId="77777777" w:rsidR="00D94A30" w:rsidRDefault="00D94A30" w:rsidP="003A4D0F">
            <w:pPr>
              <w:pStyle w:val="TableText"/>
              <w:rPr>
                <w:rFonts w:eastAsia="Tahoma"/>
              </w:rPr>
            </w:pPr>
            <w:r w:rsidRPr="00BD2818">
              <w:rPr>
                <w:rFonts w:eastAsia="Tahoma"/>
              </w:rPr>
              <w:t xml:space="preserve">Participants are in the Warning Zone when they have 1 to 5 </w:t>
            </w:r>
            <w:r>
              <w:rPr>
                <w:rFonts w:eastAsia="Tahoma"/>
              </w:rPr>
              <w:t>Demerit</w:t>
            </w:r>
            <w:r w:rsidRPr="00BD2818">
              <w:rPr>
                <w:rFonts w:eastAsia="Tahoma"/>
              </w:rPr>
              <w:t xml:space="preserve">s. Each </w:t>
            </w:r>
            <w:r>
              <w:rPr>
                <w:rFonts w:eastAsia="Tahoma"/>
              </w:rPr>
              <w:t>Demerit</w:t>
            </w:r>
            <w:r w:rsidRPr="00BD2818">
              <w:rPr>
                <w:rFonts w:eastAsia="Tahoma"/>
              </w:rPr>
              <w:t xml:space="preserve"> automatically expires after 6 active months (182 days, excluding any </w:t>
            </w:r>
            <w:r>
              <w:rPr>
                <w:rFonts w:eastAsia="Tahoma"/>
              </w:rPr>
              <w:t>E</w:t>
            </w:r>
            <w:r w:rsidRPr="00BD2818">
              <w:rPr>
                <w:rFonts w:eastAsia="Tahoma"/>
              </w:rPr>
              <w:t>xemption or penalty period)</w:t>
            </w:r>
            <w:r>
              <w:rPr>
                <w:rFonts w:eastAsia="Tahoma"/>
              </w:rPr>
              <w:t>.</w:t>
            </w:r>
          </w:p>
          <w:p w14:paraId="745D4FD0" w14:textId="23E042DA" w:rsidR="00D94A30" w:rsidRPr="00EA1381" w:rsidRDefault="00D94A30" w:rsidP="003A4D0F">
            <w:pPr>
              <w:pStyle w:val="TableText"/>
              <w:rPr>
                <w:rFonts w:cstheme="minorHAnsi"/>
              </w:rPr>
            </w:pPr>
            <w:r w:rsidRPr="00EA1381">
              <w:rPr>
                <w:rFonts w:cstheme="minorHAnsi"/>
              </w:rPr>
              <w:t xml:space="preserve">When a Mutual Obligation Failure is applied to </w:t>
            </w:r>
            <w:r>
              <w:rPr>
                <w:rFonts w:cstheme="minorHAnsi"/>
              </w:rPr>
              <w:t>Participant</w:t>
            </w:r>
            <w:r w:rsidRPr="00EA1381">
              <w:rPr>
                <w:rFonts w:cstheme="minorHAnsi"/>
              </w:rPr>
              <w:t xml:space="preserve"> in the Warning Zone, the </w:t>
            </w:r>
            <w:r>
              <w:rPr>
                <w:rFonts w:cstheme="minorHAnsi"/>
              </w:rPr>
              <w:t>Participant</w:t>
            </w:r>
            <w:r w:rsidRPr="00EA1381">
              <w:rPr>
                <w:rFonts w:cstheme="minorHAnsi"/>
              </w:rPr>
              <w:t xml:space="preserve">’s payments may be suspended until </w:t>
            </w:r>
            <w:r w:rsidR="00591FD1">
              <w:rPr>
                <w:rFonts w:cstheme="minorHAnsi"/>
              </w:rPr>
              <w:t xml:space="preserve">they provider a Valid Reason or </w:t>
            </w:r>
            <w:r w:rsidRPr="00EA1381">
              <w:rPr>
                <w:rFonts w:cstheme="minorHAnsi"/>
              </w:rPr>
              <w:t>a Re-engagement Requirement is met.</w:t>
            </w:r>
          </w:p>
          <w:p w14:paraId="3ACBD6AC" w14:textId="77777777" w:rsidR="00D94A30" w:rsidRPr="00EA1381" w:rsidRDefault="00D94A30" w:rsidP="003A4D0F">
            <w:pPr>
              <w:pStyle w:val="TableText"/>
              <w:rPr>
                <w:rFonts w:cstheme="minorHAnsi"/>
              </w:rPr>
            </w:pPr>
            <w:r>
              <w:rPr>
                <w:rFonts w:cstheme="minorHAnsi"/>
              </w:rPr>
              <w:t>Participant</w:t>
            </w:r>
            <w:r w:rsidRPr="00EA1381">
              <w:rPr>
                <w:rFonts w:cstheme="minorHAnsi"/>
              </w:rPr>
              <w:t>s must attend:</w:t>
            </w:r>
          </w:p>
          <w:p w14:paraId="38F764EB" w14:textId="31850996" w:rsidR="00D94A30" w:rsidRPr="00EA1381" w:rsidRDefault="00D94A30" w:rsidP="007D21CC">
            <w:pPr>
              <w:pStyle w:val="TableList-level1"/>
            </w:pPr>
            <w:r w:rsidRPr="5DD2C18A">
              <w:t xml:space="preserve">a Capability Interview with their </w:t>
            </w:r>
            <w:r w:rsidR="053CC8D9">
              <w:t>P</w:t>
            </w:r>
            <w:r>
              <w:t>rovider</w:t>
            </w:r>
            <w:r w:rsidRPr="5DD2C18A">
              <w:t xml:space="preserve"> if the</w:t>
            </w:r>
            <w:r w:rsidR="005E292D">
              <w:t xml:space="preserve">y </w:t>
            </w:r>
            <w:r w:rsidRPr="5DD2C18A">
              <w:t>accrue 3</w:t>
            </w:r>
            <w:r>
              <w:t xml:space="preserve"> Demerit</w:t>
            </w:r>
            <w:r w:rsidRPr="5DD2C18A">
              <w:t xml:space="preserve">s. The Capability Interview determines whether the Participant stays in the </w:t>
            </w:r>
            <w:r w:rsidR="00184C03">
              <w:t>W</w:t>
            </w:r>
            <w:r w:rsidRPr="5DD2C18A">
              <w:t xml:space="preserve">arning </w:t>
            </w:r>
            <w:r w:rsidR="00184C03">
              <w:t>Z</w:t>
            </w:r>
            <w:r w:rsidRPr="5DD2C18A">
              <w:t xml:space="preserve">one or returns to the </w:t>
            </w:r>
            <w:r w:rsidR="00184C03">
              <w:t>G</w:t>
            </w:r>
            <w:r w:rsidRPr="5DD2C18A">
              <w:t xml:space="preserve">reen </w:t>
            </w:r>
            <w:r w:rsidR="00184C03">
              <w:t>Z</w:t>
            </w:r>
            <w:r w:rsidRPr="5DD2C18A">
              <w:t xml:space="preserve">one with their </w:t>
            </w:r>
            <w:r>
              <w:t>Demerit</w:t>
            </w:r>
            <w:r w:rsidRPr="5DD2C18A">
              <w:t>s reset to zero</w:t>
            </w:r>
            <w:r>
              <w:t>.</w:t>
            </w:r>
          </w:p>
          <w:p w14:paraId="05E75C73" w14:textId="7DCFAA36" w:rsidR="00D94A30" w:rsidRPr="00EA1381" w:rsidRDefault="00D94A30" w:rsidP="007D21CC">
            <w:pPr>
              <w:pStyle w:val="TableList-level1"/>
            </w:pPr>
            <w:r w:rsidRPr="5DD2C18A">
              <w:t xml:space="preserve">a Capability Assessment with Services Australia if </w:t>
            </w:r>
            <w:r w:rsidR="005E292D">
              <w:t>they</w:t>
            </w:r>
            <w:r w:rsidRPr="5DD2C18A">
              <w:t xml:space="preserve"> accrue 5</w:t>
            </w:r>
            <w:r>
              <w:t xml:space="preserve"> Demerit</w:t>
            </w:r>
            <w:r w:rsidRPr="5DD2C18A">
              <w:t xml:space="preserve">s. The Capability Assessment determines whether the Participant will progress to the Penalty Zone or go back to the Green Zone with </w:t>
            </w:r>
            <w:r>
              <w:t>Demerit</w:t>
            </w:r>
            <w:r w:rsidRPr="5DD2C18A">
              <w:t>s reset to zero.</w:t>
            </w:r>
          </w:p>
          <w:p w14:paraId="17D2496C" w14:textId="33BC6C15" w:rsidR="00D94A30" w:rsidRDefault="00D94A30">
            <w:pPr>
              <w:rPr>
                <w:rFonts w:cstheme="minorHAnsi"/>
              </w:rPr>
            </w:pPr>
            <w:r>
              <w:rPr>
                <w:rFonts w:cstheme="minorHAnsi"/>
              </w:rPr>
              <w:t>Participant</w:t>
            </w:r>
            <w:r w:rsidRPr="00EA1381">
              <w:rPr>
                <w:rFonts w:cstheme="minorHAnsi"/>
              </w:rPr>
              <w:t xml:space="preserve">s will also be fast-tracked to the next capability review if they commit a ‘fast-track’ </w:t>
            </w:r>
            <w:r>
              <w:rPr>
                <w:rFonts w:cstheme="minorHAnsi"/>
              </w:rPr>
              <w:t>M</w:t>
            </w:r>
            <w:r w:rsidRPr="00EA1381">
              <w:rPr>
                <w:rFonts w:cstheme="minorHAnsi"/>
              </w:rPr>
              <w:t xml:space="preserve">utual </w:t>
            </w:r>
            <w:r>
              <w:rPr>
                <w:rFonts w:cstheme="minorHAnsi"/>
              </w:rPr>
              <w:t>O</w:t>
            </w:r>
            <w:r w:rsidRPr="00EA1381">
              <w:rPr>
                <w:rFonts w:cstheme="minorHAnsi"/>
              </w:rPr>
              <w:t xml:space="preserve">bligation </w:t>
            </w:r>
            <w:r>
              <w:rPr>
                <w:rFonts w:cstheme="minorHAnsi"/>
              </w:rPr>
              <w:t>F</w:t>
            </w:r>
            <w:r w:rsidRPr="00EA1381">
              <w:rPr>
                <w:rFonts w:cstheme="minorHAnsi"/>
              </w:rPr>
              <w:t>ailure</w:t>
            </w:r>
            <w:r w:rsidR="00542265">
              <w:rPr>
                <w:rFonts w:cstheme="minorHAnsi"/>
              </w:rPr>
              <w:t>.</w:t>
            </w:r>
          </w:p>
          <w:p w14:paraId="79577D10" w14:textId="13669B42" w:rsidR="00D94A30" w:rsidRPr="003B05B9" w:rsidRDefault="00D94A30">
            <w:r w:rsidRPr="003645BA">
              <w:t xml:space="preserve">Participants progress to the Penalty Zone </w:t>
            </w:r>
            <w:r w:rsidR="00542265">
              <w:t xml:space="preserve">only </w:t>
            </w:r>
            <w:r w:rsidRPr="003645BA">
              <w:t xml:space="preserve">if a Capability Assessment confirms that the </w:t>
            </w:r>
            <w:r w:rsidR="00E90868">
              <w:t xml:space="preserve">Participant is capable of meeting their requirements and that </w:t>
            </w:r>
            <w:r>
              <w:t>P</w:t>
            </w:r>
            <w:r w:rsidRPr="003645BA">
              <w:t xml:space="preserve">articipant’s </w:t>
            </w:r>
            <w:r>
              <w:t>M</w:t>
            </w:r>
            <w:r w:rsidRPr="003645BA">
              <w:t xml:space="preserve">utual </w:t>
            </w:r>
            <w:r>
              <w:t>O</w:t>
            </w:r>
            <w:r w:rsidRPr="003645BA">
              <w:t xml:space="preserve">bligation </w:t>
            </w:r>
            <w:r>
              <w:t>R</w:t>
            </w:r>
            <w:r w:rsidRPr="003645BA">
              <w:t>equirement</w:t>
            </w:r>
            <w:r>
              <w:t>s</w:t>
            </w:r>
            <w:r w:rsidRPr="003645BA">
              <w:t xml:space="preserve"> were suitable for them</w:t>
            </w:r>
            <w:r>
              <w:t>.</w:t>
            </w:r>
          </w:p>
        </w:tc>
      </w:tr>
      <w:tr w:rsidR="00D94A30" w:rsidRPr="00EA1381" w14:paraId="2CE29BD1" w14:textId="77777777" w:rsidTr="00862AA2">
        <w:tc>
          <w:tcPr>
            <w:tcW w:w="9918" w:type="dxa"/>
            <w:vAlign w:val="bottom"/>
          </w:tcPr>
          <w:p w14:paraId="56343BAF" w14:textId="77777777" w:rsidR="00D94A30" w:rsidRPr="00EA1381" w:rsidRDefault="00D94A30">
            <w:pPr>
              <w:spacing w:before="180" w:after="60"/>
              <w:rPr>
                <w:rFonts w:cstheme="minorHAnsi"/>
                <w:b/>
                <w:szCs w:val="22"/>
              </w:rPr>
            </w:pPr>
            <w:r w:rsidRPr="00C17564">
              <w:rPr>
                <w:rFonts w:eastAsia="Times New Roman" w:cstheme="minorHAnsi"/>
                <w:b/>
                <w:bCs/>
                <w:noProof/>
                <w:szCs w:val="22"/>
                <w:lang w:eastAsia="en-AU"/>
              </w:rPr>
              <w:drawing>
                <wp:anchor distT="0" distB="0" distL="114300" distR="114300" simplePos="0" relativeHeight="251658242" behindDoc="0" locked="0" layoutInCell="1" allowOverlap="1" wp14:anchorId="7A735ADC" wp14:editId="37532C7F">
                  <wp:simplePos x="0" y="0"/>
                  <wp:positionH relativeFrom="column">
                    <wp:posOffset>-2540</wp:posOffset>
                  </wp:positionH>
                  <wp:positionV relativeFrom="paragraph">
                    <wp:posOffset>38735</wp:posOffset>
                  </wp:positionV>
                  <wp:extent cx="360000" cy="360000"/>
                  <wp:effectExtent l="0" t="0" r="2540" b="2540"/>
                  <wp:wrapSquare wrapText="bothSides"/>
                  <wp:docPr id="12" name="Picture 4" descr="A graphic of a green tic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graphic of a green tick in a circl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EA1381">
              <w:rPr>
                <w:rFonts w:eastAsia="Times New Roman" w:cstheme="minorHAnsi"/>
                <w:b/>
                <w:bCs/>
                <w:noProof/>
                <w:szCs w:val="22"/>
                <w:lang w:eastAsia="en-AU"/>
              </w:rPr>
              <w:t>Penalty</w:t>
            </w:r>
            <w:r w:rsidRPr="00EA1381">
              <w:rPr>
                <w:rFonts w:cstheme="minorHAnsi"/>
                <w:b/>
                <w:szCs w:val="22"/>
              </w:rPr>
              <w:t xml:space="preserve"> Zone</w:t>
            </w:r>
          </w:p>
        </w:tc>
      </w:tr>
      <w:tr w:rsidR="00D94A30" w:rsidRPr="00EA1381" w14:paraId="304B2292" w14:textId="77777777" w:rsidTr="00862AA2">
        <w:tc>
          <w:tcPr>
            <w:tcW w:w="9918" w:type="dxa"/>
          </w:tcPr>
          <w:p w14:paraId="0C806257" w14:textId="3C503953" w:rsidR="00D94A30" w:rsidRDefault="00D94A30" w:rsidP="000335E0">
            <w:pPr>
              <w:pStyle w:val="TableText"/>
            </w:pPr>
            <w:r w:rsidRPr="00734A73">
              <w:t xml:space="preserve">Participants in the Penalty Zone do not accrue </w:t>
            </w:r>
            <w:r>
              <w:t>Demerit</w:t>
            </w:r>
            <w:r w:rsidRPr="00734A73">
              <w:t xml:space="preserve">s but incur financial penalties if they continue to commit </w:t>
            </w:r>
            <w:r w:rsidR="262726D4">
              <w:t>M</w:t>
            </w:r>
            <w:r>
              <w:t xml:space="preserve">utual </w:t>
            </w:r>
            <w:r w:rsidR="262726D4">
              <w:t>O</w:t>
            </w:r>
            <w:r>
              <w:t xml:space="preserve">bligation </w:t>
            </w:r>
            <w:r w:rsidR="262726D4">
              <w:t>F</w:t>
            </w:r>
            <w:r>
              <w:t>ailures</w:t>
            </w:r>
            <w:r w:rsidRPr="00734A73">
              <w:t xml:space="preserve"> without a </w:t>
            </w:r>
            <w:r w:rsidR="08D67D79">
              <w:t>R</w:t>
            </w:r>
            <w:r>
              <w:t>easonable</w:t>
            </w:r>
            <w:r w:rsidRPr="00734A73">
              <w:t xml:space="preserve"> </w:t>
            </w:r>
            <w:r w:rsidR="08D67D79">
              <w:t>E</w:t>
            </w:r>
            <w:r>
              <w:t>xcuse</w:t>
            </w:r>
            <w:r w:rsidRPr="00734A73">
              <w:t xml:space="preserve">: </w:t>
            </w:r>
          </w:p>
          <w:p w14:paraId="34496D09" w14:textId="77777777" w:rsidR="00D94A30" w:rsidRDefault="00D94A30" w:rsidP="007D21CC">
            <w:pPr>
              <w:pStyle w:val="TableList-level1"/>
            </w:pPr>
            <w:r>
              <w:t>f</w:t>
            </w:r>
            <w:r w:rsidRPr="00734A73">
              <w:t xml:space="preserve">irst </w:t>
            </w:r>
            <w:r>
              <w:t>M</w:t>
            </w:r>
            <w:r w:rsidRPr="00734A73">
              <w:t xml:space="preserve">utual </w:t>
            </w:r>
            <w:r>
              <w:t>O</w:t>
            </w:r>
            <w:r w:rsidRPr="00734A73">
              <w:t xml:space="preserve">bligation </w:t>
            </w:r>
            <w:r>
              <w:t>F</w:t>
            </w:r>
            <w:r w:rsidRPr="00734A73">
              <w:t xml:space="preserve">ailure — loss of </w:t>
            </w:r>
            <w:r>
              <w:t>I</w:t>
            </w:r>
            <w:r w:rsidRPr="00734A73">
              <w:t xml:space="preserve">ncome </w:t>
            </w:r>
            <w:r>
              <w:t>S</w:t>
            </w:r>
            <w:r w:rsidRPr="00734A73">
              <w:t xml:space="preserve">upport </w:t>
            </w:r>
            <w:r>
              <w:t>P</w:t>
            </w:r>
            <w:r w:rsidRPr="00734A73">
              <w:t xml:space="preserve">ayment </w:t>
            </w:r>
            <w:r>
              <w:t>for one</w:t>
            </w:r>
            <w:r w:rsidRPr="00734A73">
              <w:t xml:space="preserve"> week</w:t>
            </w:r>
            <w:r>
              <w:t>, and</w:t>
            </w:r>
          </w:p>
          <w:p w14:paraId="7FE8CC68" w14:textId="77777777" w:rsidR="00D94A30" w:rsidRPr="0042772A" w:rsidRDefault="00D94A30" w:rsidP="007D21CC">
            <w:pPr>
              <w:pStyle w:val="TableList-level1"/>
            </w:pPr>
            <w:r w:rsidRPr="0042772A">
              <w:t>second Mutual Obligation Failure — loss of Income Support Payment for 2 weeks.</w:t>
            </w:r>
          </w:p>
          <w:p w14:paraId="20F69F54" w14:textId="541A15AA" w:rsidR="00D94A30" w:rsidRPr="0042772A" w:rsidRDefault="00D94A30" w:rsidP="000335E0">
            <w:pPr>
              <w:pStyle w:val="TableText"/>
            </w:pPr>
            <w:r w:rsidRPr="0058062B">
              <w:t xml:space="preserve">A participant in the Penalty Zone will return to the Green Zone if they do not commit any further </w:t>
            </w:r>
            <w:r w:rsidR="008D0505">
              <w:t>M</w:t>
            </w:r>
            <w:r w:rsidRPr="0058062B">
              <w:t xml:space="preserve">utual </w:t>
            </w:r>
            <w:r w:rsidR="008D0505">
              <w:t>O</w:t>
            </w:r>
            <w:r w:rsidRPr="0058062B">
              <w:t xml:space="preserve">bligation </w:t>
            </w:r>
            <w:r w:rsidR="008D0505">
              <w:t>F</w:t>
            </w:r>
            <w:r w:rsidRPr="0058062B">
              <w:t>ailures for 91 days.</w:t>
            </w:r>
          </w:p>
        </w:tc>
      </w:tr>
    </w:tbl>
    <w:p w14:paraId="4D7A18B3" w14:textId="560B3B2B" w:rsidR="00D94A30" w:rsidRDefault="00D94A30" w:rsidP="00D94A30">
      <w:pPr>
        <w:keepNext/>
        <w:rPr>
          <w:rFonts w:ascii="Tahoma" w:eastAsia="Tahoma" w:hAnsi="Tahoma"/>
        </w:rPr>
      </w:pPr>
      <w:r w:rsidRPr="0DFD7869">
        <w:rPr>
          <w:rFonts w:ascii="Tahoma" w:eastAsia="Tahoma" w:hAnsi="Tahoma"/>
        </w:rPr>
        <w:t>Penalties for Work Refusal Failures and Unemployment Failures reinforce the principles that:</w:t>
      </w:r>
    </w:p>
    <w:p w14:paraId="601266D0" w14:textId="22769DE6" w:rsidR="00D94A30" w:rsidRPr="000335E0" w:rsidRDefault="00D94A30" w:rsidP="004E120D">
      <w:pPr>
        <w:pStyle w:val="BulletLevel1"/>
      </w:pPr>
      <w:r w:rsidRPr="68799C3B">
        <w:t xml:space="preserve">Income Support Payments for </w:t>
      </w:r>
      <w:r>
        <w:t>Participant</w:t>
      </w:r>
      <w:r w:rsidRPr="68799C3B">
        <w:t xml:space="preserve">s should only be available to those who are genuine in their efforts to move into </w:t>
      </w:r>
      <w:r w:rsidRPr="000335E0">
        <w:t>paid work, and</w:t>
      </w:r>
    </w:p>
    <w:p w14:paraId="3CFF26F5" w14:textId="5C62FFE2" w:rsidR="00D94A30" w:rsidRPr="0044390A" w:rsidRDefault="00D94A30" w:rsidP="004E120D">
      <w:pPr>
        <w:pStyle w:val="BulletLevel1"/>
      </w:pPr>
      <w:r w:rsidRPr="000335E0">
        <w:t>where Participants gai</w:t>
      </w:r>
      <w:r>
        <w:t>n Employment, they must take all reasonable steps to remain in the workforce and reduce their reliance and need for an Income Support Payment.</w:t>
      </w:r>
    </w:p>
    <w:p w14:paraId="23866656" w14:textId="2A1CB800" w:rsidR="00D94A30" w:rsidRPr="00904704" w:rsidRDefault="00D94A30" w:rsidP="00D94A30">
      <w:pPr>
        <w:pStyle w:val="Heading5"/>
      </w:pPr>
      <w:r w:rsidRPr="00904704">
        <w:t>Interaction with Job Plan types</w:t>
      </w:r>
    </w:p>
    <w:p w14:paraId="7610C934" w14:textId="7B976720" w:rsidR="00D94A30" w:rsidRDefault="00D94A30" w:rsidP="00D94A30">
      <w:pPr>
        <w:rPr>
          <w:rFonts w:eastAsiaTheme="minorEastAsia"/>
        </w:rPr>
      </w:pPr>
      <w:r w:rsidRPr="0DFD7869">
        <w:rPr>
          <w:rFonts w:eastAsiaTheme="minorEastAsia"/>
        </w:rPr>
        <w:t>A Participant (Mutual Obligation) may either have a Meaningful Engagement Job Plan or Detailed Job Plan — see</w:t>
      </w:r>
      <w:r w:rsidR="00DB46F2">
        <w:rPr>
          <w:rFonts w:eastAsiaTheme="minorEastAsia"/>
        </w:rPr>
        <w:t xml:space="preserve"> </w:t>
      </w:r>
      <w:r w:rsidR="00DB46F2">
        <w:rPr>
          <w:rFonts w:eastAsiaTheme="minorEastAsia"/>
          <w:highlight w:val="yellow"/>
        </w:rPr>
        <w:fldChar w:fldCharType="begin"/>
      </w:r>
      <w:r w:rsidR="00DB46F2">
        <w:rPr>
          <w:rFonts w:eastAsiaTheme="minorEastAsia"/>
        </w:rPr>
        <w:instrText xml:space="preserve"> REF _Ref202784061 \h </w:instrText>
      </w:r>
      <w:r w:rsidR="00DB46F2">
        <w:rPr>
          <w:rFonts w:eastAsiaTheme="minorEastAsia"/>
          <w:highlight w:val="yellow"/>
        </w:rPr>
      </w:r>
      <w:r w:rsidR="00DB46F2">
        <w:rPr>
          <w:rFonts w:eastAsiaTheme="minorEastAsia"/>
          <w:highlight w:val="yellow"/>
        </w:rPr>
        <w:fldChar w:fldCharType="separate"/>
      </w:r>
      <w:r w:rsidR="000D75AE" w:rsidRPr="00BA23D8">
        <w:t>Chapter 4</w:t>
      </w:r>
      <w:r w:rsidR="000D75AE">
        <w:t>:</w:t>
      </w:r>
      <w:r w:rsidR="00C33F1F">
        <w:t xml:space="preserve"> </w:t>
      </w:r>
      <w:r w:rsidR="000D75AE" w:rsidRPr="00BA23D8">
        <w:t>Job Plans</w:t>
      </w:r>
      <w:r w:rsidR="00DB46F2">
        <w:rPr>
          <w:rFonts w:eastAsiaTheme="minorEastAsia"/>
          <w:highlight w:val="yellow"/>
        </w:rPr>
        <w:fldChar w:fldCharType="end"/>
      </w:r>
      <w:r w:rsidRPr="0DFD7869">
        <w:rPr>
          <w:rFonts w:eastAsiaTheme="minorEastAsia"/>
        </w:rPr>
        <w:t>. The Participant’s Job Plan type will impact the application of the TCF.</w:t>
      </w:r>
    </w:p>
    <w:p w14:paraId="7D03D988" w14:textId="187BD90A" w:rsidR="00D94A30" w:rsidRDefault="00D94A30" w:rsidP="00D94A30">
      <w:pPr>
        <w:keepNext/>
        <w:rPr>
          <w:rFonts w:eastAsiaTheme="minorEastAsia"/>
        </w:rPr>
      </w:pPr>
      <w:r w:rsidRPr="5DD2C18A">
        <w:rPr>
          <w:rFonts w:eastAsiaTheme="minorEastAsia"/>
        </w:rPr>
        <w:t>A Participant (Mutual Obligation) with a</w:t>
      </w:r>
      <w:r w:rsidRPr="005D0DBD">
        <w:rPr>
          <w:rFonts w:eastAsiaTheme="minorEastAsia"/>
        </w:rPr>
        <w:t xml:space="preserve"> </w:t>
      </w:r>
      <w:r>
        <w:rPr>
          <w:rFonts w:eastAsiaTheme="minorEastAsia"/>
          <w:u w:val="single"/>
        </w:rPr>
        <w:t>Meaningful Engagement Job Plan</w:t>
      </w:r>
      <w:r w:rsidRPr="5DD2C18A">
        <w:rPr>
          <w:rFonts w:eastAsiaTheme="minorEastAsia"/>
        </w:rPr>
        <w:t xml:space="preserve"> </w:t>
      </w:r>
      <w:r>
        <w:rPr>
          <w:rFonts w:eastAsiaTheme="minorEastAsia"/>
        </w:rPr>
        <w:t>may</w:t>
      </w:r>
      <w:r w:rsidR="0024544F">
        <w:rPr>
          <w:rFonts w:eastAsiaTheme="minorEastAsia"/>
        </w:rPr>
        <w:t xml:space="preserve"> </w:t>
      </w:r>
      <w:r w:rsidR="00E80B10">
        <w:rPr>
          <w:rFonts w:eastAsiaTheme="minorEastAsia"/>
        </w:rPr>
        <w:t>accrue</w:t>
      </w:r>
      <w:r w:rsidR="0024544F">
        <w:rPr>
          <w:rFonts w:eastAsiaTheme="minorEastAsia"/>
        </w:rPr>
        <w:t xml:space="preserve"> Demerits and</w:t>
      </w:r>
      <w:r w:rsidR="00706384">
        <w:rPr>
          <w:rFonts w:eastAsiaTheme="minorEastAsia"/>
        </w:rPr>
        <w:t>/or</w:t>
      </w:r>
      <w:r>
        <w:rPr>
          <w:rFonts w:eastAsiaTheme="minorEastAsia"/>
        </w:rPr>
        <w:t xml:space="preserve"> be subject to </w:t>
      </w:r>
      <w:r w:rsidR="005D5C28">
        <w:rPr>
          <w:rFonts w:eastAsiaTheme="minorEastAsia"/>
        </w:rPr>
        <w:t>payment suspension</w:t>
      </w:r>
      <w:r>
        <w:rPr>
          <w:rFonts w:eastAsiaTheme="minorEastAsia"/>
        </w:rPr>
        <w:t xml:space="preserve"> </w:t>
      </w:r>
      <w:r w:rsidR="009A4746">
        <w:rPr>
          <w:rFonts w:eastAsiaTheme="minorEastAsia"/>
        </w:rPr>
        <w:t xml:space="preserve">and/or financial penalties </w:t>
      </w:r>
      <w:r>
        <w:rPr>
          <w:rFonts w:eastAsiaTheme="minorEastAsia"/>
        </w:rPr>
        <w:t>under the TCF if</w:t>
      </w:r>
      <w:r w:rsidR="00C61F6D">
        <w:rPr>
          <w:rFonts w:eastAsiaTheme="minorEastAsia"/>
        </w:rPr>
        <w:t>, without a Valid Reason,</w:t>
      </w:r>
      <w:r>
        <w:rPr>
          <w:rFonts w:eastAsiaTheme="minorEastAsia"/>
        </w:rPr>
        <w:t xml:space="preserve"> they do not</w:t>
      </w:r>
      <w:r w:rsidRPr="5DD2C18A">
        <w:rPr>
          <w:rFonts w:eastAsiaTheme="minorEastAsia"/>
        </w:rPr>
        <w:t>:</w:t>
      </w:r>
    </w:p>
    <w:p w14:paraId="76EC43AE" w14:textId="74A598D0" w:rsidR="00706384" w:rsidRDefault="00706384" w:rsidP="004E120D">
      <w:pPr>
        <w:pStyle w:val="BulletLevel1"/>
      </w:pPr>
      <w:r>
        <w:t xml:space="preserve">attend, </w:t>
      </w:r>
      <w:r w:rsidRPr="000335E0">
        <w:t xml:space="preserve">and be punctual for, </w:t>
      </w:r>
      <w:r>
        <w:t>their Initial Interview</w:t>
      </w:r>
    </w:p>
    <w:p w14:paraId="7A7CD0BD" w14:textId="186DE1CB" w:rsidR="00B26013" w:rsidRDefault="00B26013" w:rsidP="004E120D">
      <w:pPr>
        <w:pStyle w:val="BulletLevel1"/>
      </w:pPr>
      <w:r>
        <w:t>agree to their Job Plan</w:t>
      </w:r>
    </w:p>
    <w:p w14:paraId="4F07A5E3" w14:textId="650C2670" w:rsidR="00D94A30" w:rsidRPr="000335E0" w:rsidRDefault="00D94A30" w:rsidP="004E120D">
      <w:pPr>
        <w:pStyle w:val="BulletLevel1"/>
      </w:pPr>
      <w:r w:rsidRPr="000335E0">
        <w:t xml:space="preserve">attend, and be punctual for, a </w:t>
      </w:r>
      <w:r w:rsidR="00DE75DC">
        <w:t>compulsory</w:t>
      </w:r>
      <w:r w:rsidRPr="000335E0">
        <w:t xml:space="preserve"> Contact Appointment, once notified</w:t>
      </w:r>
      <w:r w:rsidR="007A1C82">
        <w:t xml:space="preserve"> that they are being compelled to attend under Social Security Law</w:t>
      </w:r>
      <w:r w:rsidR="00B26013">
        <w:t>, or</w:t>
      </w:r>
    </w:p>
    <w:p w14:paraId="3CE794E1" w14:textId="3D174681" w:rsidR="00D94A30" w:rsidRDefault="002B6C55" w:rsidP="00201C84">
      <w:pPr>
        <w:pStyle w:val="BulletLevel1"/>
      </w:pPr>
      <w:r w:rsidRPr="000335E0">
        <w:t>attend, and be punctual for, a Re-engagement Requirement</w:t>
      </w:r>
      <w:r w:rsidR="00D94A30" w:rsidRPr="7751327C">
        <w:t>.</w:t>
      </w:r>
    </w:p>
    <w:p w14:paraId="1B475116" w14:textId="01AC653C" w:rsidR="00D94A30" w:rsidRDefault="00D94A30" w:rsidP="00D94A30">
      <w:pPr>
        <w:rPr>
          <w:rFonts w:eastAsiaTheme="minorEastAsia"/>
        </w:rPr>
      </w:pPr>
      <w:r w:rsidRPr="7751327C">
        <w:rPr>
          <w:rFonts w:eastAsiaTheme="minorEastAsia"/>
        </w:rPr>
        <w:t>A Participant (Mutual Obligation) with a</w:t>
      </w:r>
      <w:r w:rsidRPr="004443C9">
        <w:rPr>
          <w:rFonts w:eastAsiaTheme="minorEastAsia"/>
        </w:rPr>
        <w:t xml:space="preserve"> </w:t>
      </w:r>
      <w:r>
        <w:rPr>
          <w:rFonts w:eastAsiaTheme="minorEastAsia"/>
          <w:u w:val="single"/>
        </w:rPr>
        <w:t>Detailed Job Plan</w:t>
      </w:r>
      <w:r w:rsidRPr="7751327C">
        <w:rPr>
          <w:rFonts w:eastAsiaTheme="minorEastAsia"/>
        </w:rPr>
        <w:t xml:space="preserve"> </w:t>
      </w:r>
      <w:r>
        <w:rPr>
          <w:rFonts w:eastAsiaTheme="minorEastAsia"/>
        </w:rPr>
        <w:t>may accrue Demerits</w:t>
      </w:r>
      <w:r w:rsidR="00CE16B0">
        <w:rPr>
          <w:rFonts w:eastAsiaTheme="minorEastAsia"/>
        </w:rPr>
        <w:t xml:space="preserve">, be subject to payment </w:t>
      </w:r>
      <w:r w:rsidR="00C041DE">
        <w:rPr>
          <w:rFonts w:eastAsiaTheme="minorEastAsia"/>
        </w:rPr>
        <w:t>suspension</w:t>
      </w:r>
      <w:r>
        <w:rPr>
          <w:rFonts w:eastAsiaTheme="minorEastAsia"/>
        </w:rPr>
        <w:t xml:space="preserve"> and</w:t>
      </w:r>
      <w:r w:rsidR="00CE16B0">
        <w:rPr>
          <w:rFonts w:eastAsiaTheme="minorEastAsia"/>
        </w:rPr>
        <w:t>/or</w:t>
      </w:r>
      <w:r>
        <w:rPr>
          <w:rFonts w:eastAsiaTheme="minorEastAsia"/>
        </w:rPr>
        <w:t xml:space="preserve"> financial penalties under the TCF if</w:t>
      </w:r>
      <w:r w:rsidR="008542B1">
        <w:rPr>
          <w:rFonts w:eastAsiaTheme="minorEastAsia"/>
        </w:rPr>
        <w:t>, without a Valid Reason,</w:t>
      </w:r>
      <w:r>
        <w:rPr>
          <w:rFonts w:eastAsiaTheme="minorEastAsia"/>
        </w:rPr>
        <w:t xml:space="preserve"> they do not</w:t>
      </w:r>
      <w:r w:rsidRPr="7751327C">
        <w:rPr>
          <w:rFonts w:eastAsiaTheme="minorEastAsia"/>
        </w:rPr>
        <w:t>:</w:t>
      </w:r>
    </w:p>
    <w:p w14:paraId="19FE6833" w14:textId="0960D2A9" w:rsidR="00D94A30" w:rsidRPr="000335E0" w:rsidRDefault="00D94A30" w:rsidP="004E120D">
      <w:pPr>
        <w:pStyle w:val="BulletLevel1"/>
      </w:pPr>
      <w:r w:rsidRPr="000335E0">
        <w:t xml:space="preserve">attend, and be punctual for, their Initial Interview, noting that a Participant may transfer </w:t>
      </w:r>
      <w:r w:rsidR="00D76E51">
        <w:t>P</w:t>
      </w:r>
      <w:r w:rsidRPr="000335E0">
        <w:t>roviders which will result in an Initial Interview with the Gaining Provider</w:t>
      </w:r>
    </w:p>
    <w:p w14:paraId="4FF030A3" w14:textId="109F3931" w:rsidR="00D94A30" w:rsidRPr="000335E0" w:rsidRDefault="00D94A30" w:rsidP="004E120D">
      <w:pPr>
        <w:pStyle w:val="BulletLevel1"/>
      </w:pPr>
      <w:r w:rsidRPr="000335E0">
        <w:t>agree to their Job Plan</w:t>
      </w:r>
    </w:p>
    <w:p w14:paraId="4C86BB53" w14:textId="2F0E5B80" w:rsidR="00D94A30" w:rsidRDefault="00D94A30" w:rsidP="004E120D">
      <w:pPr>
        <w:pStyle w:val="BulletLevel1"/>
      </w:pPr>
      <w:r w:rsidRPr="000335E0">
        <w:t>attend, and be punctual for, compulsory Appointments with their Provider</w:t>
      </w:r>
    </w:p>
    <w:p w14:paraId="67CD3E62" w14:textId="437A9D6D" w:rsidR="00D94A30" w:rsidRPr="000335E0" w:rsidRDefault="00D94A30" w:rsidP="004E120D">
      <w:pPr>
        <w:pStyle w:val="BulletLevel1"/>
      </w:pPr>
      <w:r w:rsidRPr="000335E0">
        <w:t>meet the compulsory tasks and activities detailed in their Job Plan</w:t>
      </w:r>
      <w:r w:rsidR="005D35A2">
        <w:t xml:space="preserve">, including </w:t>
      </w:r>
      <w:r w:rsidR="009149FC">
        <w:t>their Job Search Requirement</w:t>
      </w:r>
    </w:p>
    <w:p w14:paraId="58599A6E" w14:textId="07B9312D" w:rsidR="00D94A30" w:rsidRDefault="00D94A30" w:rsidP="00201C84">
      <w:pPr>
        <w:pStyle w:val="BulletLevel1"/>
      </w:pPr>
      <w:r w:rsidRPr="000335E0">
        <w:t>attend, and be punctual for, a Re-engagement Requirement</w:t>
      </w:r>
      <w:r>
        <w:t>.</w:t>
      </w:r>
    </w:p>
    <w:p w14:paraId="6FD7D5F9" w14:textId="584BD242" w:rsidR="008542B1" w:rsidRDefault="008542B1" w:rsidP="008542B1">
      <w:r>
        <w:t>Irrespective of the Job Plan type, a Participant (Mutual Obligation)</w:t>
      </w:r>
      <w:r w:rsidR="00C93E13">
        <w:t xml:space="preserve"> may be subject to financial penalties </w:t>
      </w:r>
      <w:r w:rsidR="00D50952">
        <w:t>if, without a Reasonable Excuse, they</w:t>
      </w:r>
      <w:r w:rsidR="00EF6742">
        <w:t xml:space="preserve"> do not</w:t>
      </w:r>
      <w:r w:rsidR="00D50952">
        <w:t>:</w:t>
      </w:r>
    </w:p>
    <w:p w14:paraId="0C9B0CE6" w14:textId="0BFA27A9" w:rsidR="00EF6742" w:rsidRDefault="00D50952" w:rsidP="00B26013">
      <w:pPr>
        <w:pStyle w:val="BulletLevel1"/>
      </w:pPr>
      <w:r w:rsidRPr="000335E0">
        <w:t>accept suitable work</w:t>
      </w:r>
      <w:r w:rsidR="00EF6742">
        <w:t xml:space="preserve"> or</w:t>
      </w:r>
      <w:r w:rsidRPr="000335E0">
        <w:t xml:space="preserve"> start a job as planned</w:t>
      </w:r>
      <w:r w:rsidR="00EF6742" w:rsidRPr="00EF6742">
        <w:t xml:space="preserve"> </w:t>
      </w:r>
      <w:r w:rsidR="007546C1">
        <w:t xml:space="preserve">— </w:t>
      </w:r>
      <w:r w:rsidR="00EF6742">
        <w:t>that is, commit a Work Refusal Failure, or</w:t>
      </w:r>
    </w:p>
    <w:p w14:paraId="33AD2B2B" w14:textId="6B328E69" w:rsidR="00D50952" w:rsidRDefault="00D50952" w:rsidP="00B26013">
      <w:pPr>
        <w:pStyle w:val="BulletLevel1"/>
      </w:pPr>
      <w:r w:rsidRPr="000335E0">
        <w:t xml:space="preserve">keep their job unless they </w:t>
      </w:r>
      <w:r w:rsidR="007546C1">
        <w:t>leave</w:t>
      </w:r>
      <w:r w:rsidRPr="000335E0">
        <w:t xml:space="preserve"> due to something beyond their control</w:t>
      </w:r>
      <w:r>
        <w:t xml:space="preserve"> —</w:t>
      </w:r>
      <w:r w:rsidR="007546C1">
        <w:t xml:space="preserve"> that is, commit a</w:t>
      </w:r>
      <w:r>
        <w:t xml:space="preserve"> Unemployment Failure</w:t>
      </w:r>
      <w:r w:rsidR="007546C1">
        <w:t>.</w:t>
      </w:r>
    </w:p>
    <w:p w14:paraId="3CCA9AA2" w14:textId="11FB397B" w:rsidR="00D94A30" w:rsidRDefault="00D94A30" w:rsidP="00D94A30">
      <w:pPr>
        <w:pStyle w:val="Heading4"/>
      </w:pPr>
      <w:bookmarkStart w:id="530" w:name="_Ref202786179"/>
      <w:bookmarkStart w:id="531" w:name="_Toc202900104"/>
      <w:r>
        <w:t>12.3.1</w:t>
      </w:r>
      <w:r w:rsidR="00305DA5">
        <w:tab/>
      </w:r>
      <w:r>
        <w:t>Provider Obligations</w:t>
      </w:r>
      <w:bookmarkEnd w:id="530"/>
      <w:bookmarkEnd w:id="531"/>
    </w:p>
    <w:p w14:paraId="439B116B" w14:textId="23B0F1E0" w:rsidR="00D94A30" w:rsidRDefault="00D94A30" w:rsidP="00D94A30">
      <w:r w:rsidRPr="00130902">
        <w:t xml:space="preserve">Provider </w:t>
      </w:r>
      <w:r>
        <w:t>staff</w:t>
      </w:r>
      <w:r w:rsidRPr="00130902">
        <w:t xml:space="preserve"> </w:t>
      </w:r>
      <w:r>
        <w:t>have</w:t>
      </w:r>
      <w:r w:rsidRPr="00130902">
        <w:t xml:space="preserve"> delegated powers under </w:t>
      </w:r>
      <w:r>
        <w:t>S</w:t>
      </w:r>
      <w:r w:rsidRPr="00130902">
        <w:t xml:space="preserve">ocial </w:t>
      </w:r>
      <w:r>
        <w:t>S</w:t>
      </w:r>
      <w:r w:rsidRPr="00130902">
        <w:t xml:space="preserve">ecurity </w:t>
      </w:r>
      <w:r>
        <w:t>L</w:t>
      </w:r>
      <w:r w:rsidRPr="00130902">
        <w:t xml:space="preserve">aw to notify </w:t>
      </w:r>
      <w:r>
        <w:t>Participant</w:t>
      </w:r>
      <w:r w:rsidRPr="00130902">
        <w:t>s (Mutual Obligation) of their requirements</w:t>
      </w:r>
      <w:r>
        <w:t>.</w:t>
      </w:r>
    </w:p>
    <w:p w14:paraId="2EF80FA3" w14:textId="50EAA6D8" w:rsidR="00D94A30" w:rsidRDefault="00D94A30" w:rsidP="00D94A30">
      <w:pPr>
        <w:keepNext/>
        <w:rPr>
          <w:rFonts w:ascii="Tahoma" w:eastAsia="Tahoma" w:hAnsi="Tahoma"/>
        </w:rPr>
      </w:pPr>
      <w:r w:rsidRPr="0DFD7869">
        <w:rPr>
          <w:rFonts w:ascii="Tahoma" w:eastAsia="Tahoma" w:hAnsi="Tahoma"/>
        </w:rPr>
        <w:t xml:space="preserve">The Provider’s main obligations relating to the TCF include: </w:t>
      </w:r>
    </w:p>
    <w:p w14:paraId="7D7CAAEA" w14:textId="3D9B409D" w:rsidR="00D94A30" w:rsidRPr="00967151" w:rsidRDefault="00D94A30" w:rsidP="00967151">
      <w:pPr>
        <w:pStyle w:val="BulletLevel1"/>
      </w:pPr>
      <w:r w:rsidRPr="00967151">
        <w:t xml:space="preserve">checking a Participant’s ability to record and report their own participation — refer to </w:t>
      </w:r>
      <w:r w:rsidR="00967151" w:rsidRPr="00967151">
        <w:fldChar w:fldCharType="begin"/>
      </w:r>
      <w:r w:rsidR="00967151" w:rsidRPr="00967151">
        <w:instrText xml:space="preserve"> REF _Ref202786035 \h  \* MERGEFORMAT </w:instrText>
      </w:r>
      <w:r w:rsidR="00967151" w:rsidRPr="00967151">
        <w:fldChar w:fldCharType="separate"/>
      </w:r>
      <w:r w:rsidR="000D75AE" w:rsidRPr="000D75AE">
        <w:rPr>
          <w:rStyle w:val="Heading2Char1"/>
          <w:rFonts w:eastAsiaTheme="minorHAnsi" w:cstheme="minorBidi"/>
          <w:i w:val="0"/>
          <w:color w:val="auto"/>
          <w:sz w:val="22"/>
          <w:szCs w:val="24"/>
        </w:rPr>
        <w:t>5.10</w:t>
      </w:r>
      <w:r w:rsidR="003B2E77">
        <w:rPr>
          <w:rStyle w:val="Heading2Char1"/>
          <w:rFonts w:eastAsiaTheme="minorHAnsi" w:cstheme="minorBidi"/>
          <w:i w:val="0"/>
          <w:color w:val="auto"/>
          <w:sz w:val="22"/>
          <w:szCs w:val="24"/>
        </w:rPr>
        <w:t xml:space="preserve"> </w:t>
      </w:r>
      <w:r w:rsidR="000D75AE" w:rsidRPr="000D75AE">
        <w:rPr>
          <w:rStyle w:val="Heading2Char1"/>
          <w:rFonts w:eastAsiaTheme="minorHAnsi" w:cstheme="minorBidi"/>
          <w:i w:val="0"/>
          <w:color w:val="auto"/>
          <w:sz w:val="22"/>
          <w:szCs w:val="24"/>
        </w:rPr>
        <w:t>Personal responsibility for reporting attendance</w:t>
      </w:r>
      <w:r w:rsidR="00967151" w:rsidRPr="00967151">
        <w:fldChar w:fldCharType="end"/>
      </w:r>
      <w:r w:rsidR="00967151" w:rsidRPr="00967151">
        <w:t xml:space="preserve"> </w:t>
      </w:r>
    </w:p>
    <w:p w14:paraId="5094CBCF" w14:textId="080AA659" w:rsidR="00A85D7B" w:rsidRPr="00F83937" w:rsidRDefault="00D94A30" w:rsidP="00967151">
      <w:pPr>
        <w:pStyle w:val="BulletLevel1"/>
      </w:pPr>
      <w:r w:rsidRPr="00967151">
        <w:t xml:space="preserve">ensuring the Participant’s Mutual Obligations Requirements are set out in their Job Plan </w:t>
      </w:r>
      <w:r w:rsidRPr="00F83937">
        <w:t xml:space="preserve">(including any Job Search Requirement, where applicable) </w:t>
      </w:r>
      <w:r w:rsidR="00495607" w:rsidRPr="00F83937">
        <w:t xml:space="preserve">— refer to </w:t>
      </w:r>
      <w:r w:rsidR="00F83937" w:rsidRPr="00F83937">
        <w:fldChar w:fldCharType="begin"/>
      </w:r>
      <w:r w:rsidR="00F83937" w:rsidRPr="00F83937">
        <w:instrText xml:space="preserve"> REF _Ref202784061 \h </w:instrText>
      </w:r>
      <w:r w:rsidR="00F83937">
        <w:instrText xml:space="preserve"> \* MERGEFORMAT </w:instrText>
      </w:r>
      <w:r w:rsidR="00F83937" w:rsidRPr="00F83937">
        <w:fldChar w:fldCharType="separate"/>
      </w:r>
      <w:r w:rsidR="000D75AE" w:rsidRPr="00BA23D8">
        <w:t>Chapter 4</w:t>
      </w:r>
      <w:r w:rsidR="000D75AE">
        <w:t>:</w:t>
      </w:r>
      <w:r w:rsidR="003B2E77">
        <w:t xml:space="preserve"> </w:t>
      </w:r>
      <w:r w:rsidR="000D75AE" w:rsidRPr="00BA23D8">
        <w:t>Job Plans</w:t>
      </w:r>
      <w:r w:rsidR="00F83937" w:rsidRPr="00F83937">
        <w:fldChar w:fldCharType="end"/>
      </w:r>
      <w:r w:rsidR="00F83937" w:rsidRPr="00F83937">
        <w:t xml:space="preserve"> and </w:t>
      </w:r>
      <w:r w:rsidR="00F83937" w:rsidRPr="00F83937">
        <w:fldChar w:fldCharType="begin"/>
      </w:r>
      <w:r w:rsidR="00F83937" w:rsidRPr="00F83937">
        <w:instrText xml:space="preserve"> REF _Ref202783027 \h </w:instrText>
      </w:r>
      <w:r w:rsidR="00F83937">
        <w:instrText xml:space="preserve"> \* MERGEFORMAT </w:instrText>
      </w:r>
      <w:r w:rsidR="00F83937" w:rsidRPr="00F83937">
        <w:fldChar w:fldCharType="separate"/>
      </w:r>
      <w:r w:rsidR="000D75AE" w:rsidRPr="00BA23D8">
        <w:t>Chapter 5</w:t>
      </w:r>
      <w:r w:rsidR="000D75AE">
        <w:t>:</w:t>
      </w:r>
      <w:r w:rsidR="000D75AE" w:rsidRPr="00BA23D8">
        <w:t>Participation requirements</w:t>
      </w:r>
      <w:r w:rsidR="00F83937" w:rsidRPr="00F83937">
        <w:fldChar w:fldCharType="end"/>
      </w:r>
    </w:p>
    <w:p w14:paraId="32B5D6E2" w14:textId="1B9C599C" w:rsidR="00D94A30" w:rsidRPr="00F83937" w:rsidRDefault="00A85D7B" w:rsidP="004E120D">
      <w:pPr>
        <w:pStyle w:val="BulletLevel1"/>
      </w:pPr>
      <w:r w:rsidRPr="00F83937">
        <w:t xml:space="preserve">ensuring the Participant’s Mutual Obligations Requirements </w:t>
      </w:r>
      <w:r w:rsidR="00D94A30" w:rsidRPr="00F83937">
        <w:t xml:space="preserve">are suitable and tailored to their personal circumstances and commitments — refer to </w:t>
      </w:r>
      <w:r w:rsidR="00F83937" w:rsidRPr="00F83937">
        <w:fldChar w:fldCharType="begin"/>
      </w:r>
      <w:r w:rsidR="00F83937" w:rsidRPr="00F83937">
        <w:instrText xml:space="preserve"> REF _Ref202783027 \h </w:instrText>
      </w:r>
      <w:r w:rsidR="00F83937">
        <w:instrText xml:space="preserve"> \* MERGEFORMAT </w:instrText>
      </w:r>
      <w:r w:rsidR="00F83937" w:rsidRPr="00F83937">
        <w:fldChar w:fldCharType="separate"/>
      </w:r>
      <w:r w:rsidR="000D75AE" w:rsidRPr="00BA23D8">
        <w:t>Chapter 5</w:t>
      </w:r>
      <w:r w:rsidR="000D75AE">
        <w:t>:</w:t>
      </w:r>
      <w:r w:rsidR="003B2E77">
        <w:t xml:space="preserve"> </w:t>
      </w:r>
      <w:r w:rsidR="000D75AE" w:rsidRPr="00BA23D8">
        <w:t>Participation requirements</w:t>
      </w:r>
      <w:r w:rsidR="00F83937" w:rsidRPr="00F83937">
        <w:fldChar w:fldCharType="end"/>
      </w:r>
    </w:p>
    <w:p w14:paraId="050169F5" w14:textId="0EF4F96B" w:rsidR="00D94A30" w:rsidRPr="000335E0" w:rsidRDefault="00D94A30" w:rsidP="004E120D">
      <w:pPr>
        <w:pStyle w:val="BulletLevel1"/>
      </w:pPr>
      <w:r w:rsidRPr="000335E0">
        <w:t xml:space="preserve">actively checking and recording each Participant’s attendance and </w:t>
      </w:r>
      <w:r w:rsidR="00CD391B">
        <w:t xml:space="preserve">level of </w:t>
      </w:r>
      <w:r w:rsidRPr="000335E0">
        <w:t>engagement</w:t>
      </w:r>
    </w:p>
    <w:p w14:paraId="224A84EB" w14:textId="20B149AA" w:rsidR="00D94A30" w:rsidRDefault="00D94A30" w:rsidP="004E120D">
      <w:pPr>
        <w:pStyle w:val="BulletLevel1"/>
      </w:pPr>
      <w:r w:rsidRPr="000335E0">
        <w:t>actively checking and recording each Participant’s compliance with their Mutual Obligation</w:t>
      </w:r>
      <w:r w:rsidRPr="5DD2C18A">
        <w:t xml:space="preserve"> Requirements</w:t>
      </w:r>
    </w:p>
    <w:p w14:paraId="1FD9E598" w14:textId="01ECCF52" w:rsidR="00D94A30" w:rsidRPr="00AF51F9" w:rsidRDefault="00D94A30" w:rsidP="004E120D">
      <w:pPr>
        <w:pStyle w:val="BulletLevel1"/>
        <w:rPr>
          <w:rFonts w:eastAsiaTheme="minorEastAsia"/>
        </w:rPr>
      </w:pPr>
      <w:bookmarkStart w:id="532" w:name="_Int_TUt58xze"/>
      <w:r w:rsidRPr="7751327C">
        <w:rPr>
          <w:rFonts w:eastAsiaTheme="minorEastAsia"/>
        </w:rPr>
        <w:t>timely</w:t>
      </w:r>
      <w:bookmarkEnd w:id="532"/>
      <w:r w:rsidRPr="7751327C">
        <w:rPr>
          <w:rFonts w:eastAsiaTheme="minorEastAsia"/>
        </w:rPr>
        <w:t xml:space="preserve"> and correct </w:t>
      </w:r>
      <w:r w:rsidRPr="000335E0">
        <w:t>recording</w:t>
      </w:r>
      <w:r w:rsidRPr="7751327C">
        <w:rPr>
          <w:rFonts w:eastAsiaTheme="minorEastAsia"/>
        </w:rPr>
        <w:t xml:space="preserve"> in </w:t>
      </w:r>
      <w:r w:rsidRPr="7751327C">
        <w:t xml:space="preserve">the </w:t>
      </w:r>
      <w:r w:rsidRPr="7751327C">
        <w:rPr>
          <w:rFonts w:eastAsiaTheme="minorEastAsia"/>
        </w:rPr>
        <w:t>Department's</w:t>
      </w:r>
      <w:r w:rsidRPr="7751327C">
        <w:t xml:space="preserve"> IT Systems when a Participant has committed a Mutual Obligation Failure, Work Refusal Failure or Unemployment Failure — refer to</w:t>
      </w:r>
      <w:r w:rsidR="00F83937">
        <w:t xml:space="preserve"> </w:t>
      </w:r>
      <w:r w:rsidR="003B2E77">
        <w:t>12</w:t>
      </w:r>
      <w:r w:rsidR="00F83937">
        <w:fldChar w:fldCharType="begin"/>
      </w:r>
      <w:r w:rsidR="00F83937">
        <w:instrText xml:space="preserve"> REF _Ref202876668 \h </w:instrText>
      </w:r>
      <w:r w:rsidR="00F83937">
        <w:fldChar w:fldCharType="separate"/>
      </w:r>
      <w:r w:rsidR="000D75AE">
        <w:t>.5</w:t>
      </w:r>
      <w:r w:rsidR="003B2E77">
        <w:t xml:space="preserve"> </w:t>
      </w:r>
      <w:r w:rsidR="000D75AE">
        <w:t>Compliance actions - Work Refusal Failures</w:t>
      </w:r>
      <w:r w:rsidR="00F83937">
        <w:fldChar w:fldCharType="end"/>
      </w:r>
      <w:r w:rsidR="00F83937">
        <w:t xml:space="preserve"> </w:t>
      </w:r>
      <w:r w:rsidR="00682173">
        <w:t xml:space="preserve">and </w:t>
      </w:r>
      <w:r w:rsidR="00F83937">
        <w:fldChar w:fldCharType="begin"/>
      </w:r>
      <w:r w:rsidR="00F83937">
        <w:instrText xml:space="preserve"> REF _Ref202876673 \h </w:instrText>
      </w:r>
      <w:r w:rsidR="00F83937">
        <w:fldChar w:fldCharType="separate"/>
      </w:r>
      <w:r w:rsidR="000D75AE">
        <w:t>12.6</w:t>
      </w:r>
      <w:r w:rsidR="003B2E77">
        <w:t xml:space="preserve"> </w:t>
      </w:r>
      <w:r w:rsidR="000D75AE">
        <w:t>Compliance actions - Unemployment Failures</w:t>
      </w:r>
      <w:r w:rsidR="00F83937">
        <w:fldChar w:fldCharType="end"/>
      </w:r>
      <w:r w:rsidRPr="7751327C">
        <w:t xml:space="preserve"> </w:t>
      </w:r>
    </w:p>
    <w:p w14:paraId="0549B0DE" w14:textId="67992F82" w:rsidR="00D94A30" w:rsidRPr="000335E0" w:rsidRDefault="00D94A30" w:rsidP="004E120D">
      <w:pPr>
        <w:pStyle w:val="BulletLevel1"/>
      </w:pPr>
      <w:r>
        <w:rPr>
          <w:rFonts w:eastAsiaTheme="minorEastAsia"/>
        </w:rPr>
        <w:t>notifying Participants of R</w:t>
      </w:r>
      <w:r w:rsidRPr="00AF51F9">
        <w:rPr>
          <w:rFonts w:eastAsiaTheme="minorEastAsia"/>
        </w:rPr>
        <w:t>e</w:t>
      </w:r>
      <w:r>
        <w:rPr>
          <w:rFonts w:eastAsiaTheme="minorEastAsia"/>
        </w:rPr>
        <w:t>-</w:t>
      </w:r>
      <w:r w:rsidRPr="00AF51F9">
        <w:rPr>
          <w:rFonts w:eastAsiaTheme="minorEastAsia"/>
        </w:rPr>
        <w:t xml:space="preserve">engagement </w:t>
      </w:r>
      <w:r>
        <w:rPr>
          <w:rFonts w:eastAsiaTheme="minorEastAsia"/>
        </w:rPr>
        <w:t>Re</w:t>
      </w:r>
      <w:r w:rsidRPr="00AF51F9">
        <w:rPr>
          <w:rFonts w:eastAsiaTheme="minorEastAsia"/>
        </w:rPr>
        <w:t>quirements</w:t>
      </w:r>
      <w:r>
        <w:rPr>
          <w:rFonts w:eastAsiaTheme="minorEastAsia"/>
        </w:rPr>
        <w:t xml:space="preserve"> </w:t>
      </w:r>
      <w:r>
        <w:t xml:space="preserve">— </w:t>
      </w:r>
      <w:r w:rsidRPr="00493648">
        <w:t xml:space="preserve">refer to </w:t>
      </w:r>
      <w:r w:rsidR="00F83937">
        <w:fldChar w:fldCharType="begin"/>
      </w:r>
      <w:r w:rsidR="00F83937">
        <w:instrText xml:space="preserve"> REF _Ref202789969 \h </w:instrText>
      </w:r>
      <w:r w:rsidR="00F83937">
        <w:fldChar w:fldCharType="separate"/>
      </w:r>
      <w:r w:rsidR="000D75AE">
        <w:t>12.4.6</w:t>
      </w:r>
      <w:r w:rsidR="003B2E77">
        <w:t xml:space="preserve"> </w:t>
      </w:r>
      <w:r w:rsidR="000D75AE">
        <w:t>Reengagement Requirements</w:t>
      </w:r>
      <w:r w:rsidR="00F83937">
        <w:fldChar w:fldCharType="end"/>
      </w:r>
      <w:r w:rsidRPr="000335E0">
        <w:t>, and</w:t>
      </w:r>
    </w:p>
    <w:p w14:paraId="7712F469" w14:textId="55743EC7" w:rsidR="00D94A30" w:rsidRPr="000335E0" w:rsidRDefault="00D94A30" w:rsidP="004E120D">
      <w:pPr>
        <w:pStyle w:val="BulletLevel1"/>
      </w:pPr>
      <w:r w:rsidRPr="000335E0">
        <w:t>conducting Capability Interviews once a Participant accrues 3 Demerits or is fast-tracked to the equivalent point — refer to</w:t>
      </w:r>
      <w:r w:rsidR="00472271">
        <w:t xml:space="preserve"> </w:t>
      </w:r>
      <w:r w:rsidR="00472271">
        <w:rPr>
          <w:highlight w:val="yellow"/>
        </w:rPr>
        <w:fldChar w:fldCharType="begin"/>
      </w:r>
      <w:r w:rsidR="00472271">
        <w:instrText xml:space="preserve"> REF _Ref202782980 \h </w:instrText>
      </w:r>
      <w:r w:rsidR="00472271">
        <w:rPr>
          <w:highlight w:val="yellow"/>
        </w:rPr>
      </w:r>
      <w:r w:rsidR="00472271">
        <w:rPr>
          <w:highlight w:val="yellow"/>
        </w:rPr>
        <w:fldChar w:fldCharType="separate"/>
      </w:r>
      <w:r w:rsidR="000D75AE">
        <w:t>12.4.7</w:t>
      </w:r>
      <w:r w:rsidR="003B2E77">
        <w:t xml:space="preserve"> </w:t>
      </w:r>
      <w:r w:rsidR="000D75AE">
        <w:t>Capability Interviews</w:t>
      </w:r>
      <w:r w:rsidR="00472271">
        <w:rPr>
          <w:highlight w:val="yellow"/>
        </w:rPr>
        <w:fldChar w:fldCharType="end"/>
      </w:r>
      <w:r w:rsidRPr="000335E0">
        <w:t>.</w:t>
      </w:r>
    </w:p>
    <w:p w14:paraId="2D375017" w14:textId="567F80FB" w:rsidR="00D94A30" w:rsidRDefault="00D94A30" w:rsidP="00D94A30">
      <w:pPr>
        <w:pStyle w:val="DeedReferences"/>
      </w:pPr>
      <w:bookmarkStart w:id="533" w:name="_Hlk188984516"/>
      <w:r>
        <w:t>(</w:t>
      </w:r>
      <w:r w:rsidR="00A73420">
        <w:t xml:space="preserve">Deed Reference(s): Clause </w:t>
      </w:r>
      <w:r w:rsidR="00C85395">
        <w:t>135.1</w:t>
      </w:r>
      <w:r>
        <w:t>,</w:t>
      </w:r>
      <w:r w:rsidR="00612F6A">
        <w:t>136.1</w:t>
      </w:r>
      <w:r>
        <w:t xml:space="preserve">, </w:t>
      </w:r>
      <w:r w:rsidR="00612F6A">
        <w:t>136.2</w:t>
      </w:r>
      <w:r>
        <w:t xml:space="preserve">, </w:t>
      </w:r>
      <w:r w:rsidR="002B3D22">
        <w:t>136-</w:t>
      </w:r>
      <w:r w:rsidR="0079673B">
        <w:t>142</w:t>
      </w:r>
      <w:r>
        <w:t>)</w:t>
      </w:r>
    </w:p>
    <w:bookmarkEnd w:id="533"/>
    <w:p w14:paraId="3E084438" w14:textId="4DE9E787" w:rsidR="00D94A30" w:rsidRDefault="00D94A30" w:rsidP="00D94A30">
      <w:pPr>
        <w:pStyle w:val="Heading5"/>
      </w:pPr>
      <w:r w:rsidRPr="68799C3B">
        <w:t>Training</w:t>
      </w:r>
    </w:p>
    <w:p w14:paraId="5E2DE538" w14:textId="3D361FF8" w:rsidR="00D94A30" w:rsidRDefault="00D94A30" w:rsidP="00D94A30">
      <w:r w:rsidRPr="5DD2C18A">
        <w:rPr>
          <w:rFonts w:ascii="Tahoma" w:eastAsia="Tahoma" w:hAnsi="Tahoma"/>
        </w:rPr>
        <w:t>Provider staff must successfully complete mandatory TCF training at least every 12 months.</w:t>
      </w:r>
      <w:r>
        <w:t xml:space="preserve"> </w:t>
      </w:r>
    </w:p>
    <w:p w14:paraId="21BF7D1F" w14:textId="510CA948" w:rsidR="00D94A30" w:rsidRPr="00C70AB8" w:rsidRDefault="00D94A30" w:rsidP="00D94A30">
      <w:r w:rsidRPr="00C70AB8">
        <w:t xml:space="preserve">It is essential that each </w:t>
      </w:r>
      <w:r>
        <w:t>staff member</w:t>
      </w:r>
      <w:r w:rsidRPr="00C70AB8">
        <w:t xml:space="preserve"> understand</w:t>
      </w:r>
      <w:r>
        <w:t>s</w:t>
      </w:r>
      <w:r w:rsidRPr="00C70AB8">
        <w:t xml:space="preserve"> the </w:t>
      </w:r>
      <w:r>
        <w:t>TCF</w:t>
      </w:r>
      <w:r w:rsidRPr="00C70AB8">
        <w:t>.</w:t>
      </w:r>
    </w:p>
    <w:p w14:paraId="4A2FD7B1" w14:textId="0DD81884" w:rsidR="00D94A30" w:rsidRPr="004879CB" w:rsidRDefault="00D94A30" w:rsidP="00D94A30">
      <w:pPr>
        <w:pStyle w:val="DeedReferences"/>
      </w:pPr>
      <w:r w:rsidRPr="004879CB">
        <w:t>(</w:t>
      </w:r>
      <w:r w:rsidR="00A73420">
        <w:t xml:space="preserve">Deed Reference(s): Clause </w:t>
      </w:r>
      <w:r w:rsidR="005E6282">
        <w:t>61.3</w:t>
      </w:r>
      <w:r w:rsidRPr="004879CB">
        <w:t xml:space="preserve">, </w:t>
      </w:r>
      <w:r w:rsidR="002F7036">
        <w:t>143</w:t>
      </w:r>
      <w:r w:rsidRPr="004879CB">
        <w:t>)</w:t>
      </w:r>
    </w:p>
    <w:p w14:paraId="28727B71" w14:textId="6E39887A" w:rsidR="00D94A30" w:rsidRDefault="00D94A30" w:rsidP="00D94A30">
      <w:pPr>
        <w:pStyle w:val="Heading5"/>
      </w:pPr>
      <w:r>
        <w:t>Ensuring a Participant understands their rights and responsibilities</w:t>
      </w:r>
    </w:p>
    <w:p w14:paraId="4AF6653B" w14:textId="6E87C7A2" w:rsidR="00D94A30" w:rsidRDefault="00D94A30" w:rsidP="00D94A30">
      <w:r>
        <w:t>The Provider must ensure the Participant is aware of their rights and obligations under Social Security Law, including:</w:t>
      </w:r>
    </w:p>
    <w:p w14:paraId="699677B3" w14:textId="02ED0DFD" w:rsidR="00D94A30" w:rsidRPr="000335E0" w:rsidRDefault="00D94A30" w:rsidP="004E120D">
      <w:pPr>
        <w:pStyle w:val="BulletLevel1"/>
      </w:pPr>
      <w:r w:rsidRPr="000335E0">
        <w:t>their Mutual Obligation Requirements and what they must do to meet their requirements</w:t>
      </w:r>
    </w:p>
    <w:p w14:paraId="4C7B041D" w14:textId="7437321F" w:rsidR="00D94A30" w:rsidRPr="000335E0" w:rsidRDefault="00D94A30" w:rsidP="004E120D">
      <w:pPr>
        <w:pStyle w:val="BulletLevel1"/>
      </w:pPr>
      <w:r w:rsidRPr="000335E0">
        <w:t>that in meeting the Meaningful Engagement Requirement they can meet their Mutual Obligation Requirements</w:t>
      </w:r>
    </w:p>
    <w:p w14:paraId="2659B091" w14:textId="74DA3847" w:rsidR="00D94A30" w:rsidRPr="00740FE9" w:rsidRDefault="00D94A30" w:rsidP="004E120D">
      <w:pPr>
        <w:pStyle w:val="BulletLevel1"/>
      </w:pPr>
      <w:r w:rsidRPr="000335E0">
        <w:t xml:space="preserve">their personal responsibility to self-report their </w:t>
      </w:r>
      <w:r w:rsidR="00740FE9">
        <w:t>attendance at Appointments and Activities</w:t>
      </w:r>
      <w:r w:rsidRPr="000335E0">
        <w:t xml:space="preserve"> (unless the Participant is assessed as not being capable of self-reporting) — </w:t>
      </w:r>
      <w:r w:rsidRPr="00740FE9">
        <w:t xml:space="preserve">refer to </w:t>
      </w:r>
      <w:r w:rsidR="00740FE9" w:rsidRPr="00740FE9">
        <w:fldChar w:fldCharType="begin"/>
      </w:r>
      <w:r w:rsidR="00740FE9" w:rsidRPr="00740FE9">
        <w:instrText xml:space="preserve"> REF _Ref202786035 \h  \* MERGEFORMAT </w:instrText>
      </w:r>
      <w:r w:rsidR="00740FE9" w:rsidRPr="00740FE9">
        <w:fldChar w:fldCharType="separate"/>
      </w:r>
      <w:r w:rsidR="000D75AE" w:rsidRPr="000D75AE">
        <w:rPr>
          <w:rStyle w:val="Heading2Char1"/>
          <w:rFonts w:eastAsiaTheme="minorHAnsi" w:cstheme="minorBidi"/>
          <w:i w:val="0"/>
          <w:color w:val="auto"/>
          <w:sz w:val="22"/>
          <w:szCs w:val="24"/>
        </w:rPr>
        <w:t>5.10</w:t>
      </w:r>
      <w:r w:rsidR="003B2E77">
        <w:rPr>
          <w:rStyle w:val="Heading2Char1"/>
          <w:rFonts w:eastAsiaTheme="minorHAnsi" w:cstheme="minorBidi"/>
          <w:i w:val="0"/>
          <w:color w:val="auto"/>
          <w:sz w:val="22"/>
          <w:szCs w:val="24"/>
        </w:rPr>
        <w:t xml:space="preserve"> </w:t>
      </w:r>
      <w:r w:rsidR="000D75AE" w:rsidRPr="000D75AE">
        <w:rPr>
          <w:rStyle w:val="Heading2Char1"/>
          <w:rFonts w:eastAsiaTheme="minorHAnsi" w:cstheme="minorBidi"/>
          <w:i w:val="0"/>
          <w:color w:val="auto"/>
          <w:sz w:val="22"/>
          <w:szCs w:val="24"/>
        </w:rPr>
        <w:t>Personal responsibility for reporting attendance</w:t>
      </w:r>
      <w:r w:rsidR="00740FE9" w:rsidRPr="00740FE9">
        <w:fldChar w:fldCharType="end"/>
      </w:r>
    </w:p>
    <w:p w14:paraId="59D770F5" w14:textId="03874E24" w:rsidR="00D94A30" w:rsidRPr="000335E0" w:rsidRDefault="00D94A30" w:rsidP="004E120D">
      <w:pPr>
        <w:pStyle w:val="BulletLevel1"/>
      </w:pPr>
      <w:r w:rsidRPr="000335E0">
        <w:t>the option to re</w:t>
      </w:r>
      <w:r w:rsidR="00573FA6">
        <w:t>schedule</w:t>
      </w:r>
      <w:r w:rsidRPr="000335E0">
        <w:t xml:space="preserve"> Appointments, Activities or Job Interviews if contact with a Provider is made in advance </w:t>
      </w:r>
      <w:r w:rsidR="00EE6A24">
        <w:t xml:space="preserve">of the start time </w:t>
      </w:r>
      <w:r w:rsidRPr="000335E0">
        <w:t>and they can provide an Acceptable Reason as to why they are unable to attend</w:t>
      </w:r>
    </w:p>
    <w:p w14:paraId="39154F61" w14:textId="3269C948" w:rsidR="00D94A30" w:rsidRPr="000335E0" w:rsidRDefault="00D94A30" w:rsidP="004E120D">
      <w:pPr>
        <w:pStyle w:val="BulletLevel1"/>
      </w:pPr>
      <w:r w:rsidRPr="000335E0">
        <w:t>the circumstances in which a Mutual Obligation Failure can occur and the consequences of not meeting their Mutual Obligation Requirements, including possible financial penalties</w:t>
      </w:r>
    </w:p>
    <w:p w14:paraId="0193170E" w14:textId="0E0BE86F" w:rsidR="00D94A30" w:rsidRPr="000335E0" w:rsidRDefault="00D94A30" w:rsidP="004E120D">
      <w:pPr>
        <w:pStyle w:val="BulletLevel1"/>
      </w:pPr>
      <w:r w:rsidRPr="000335E0">
        <w:t>the circumstances where a Work Refusal Failure can occur and the consequences of refusing or not accepting suitable Employment</w:t>
      </w:r>
    </w:p>
    <w:p w14:paraId="02E82D43" w14:textId="290FC9FF" w:rsidR="00D94A30" w:rsidRPr="000335E0" w:rsidRDefault="00D94A30" w:rsidP="004E120D">
      <w:pPr>
        <w:pStyle w:val="BulletLevel1"/>
      </w:pPr>
      <w:r w:rsidRPr="000335E0">
        <w:t>the circumstances in which an Unemployment Failure can occur and the consequences of leaving a job or being dismissed from an Employment due to misconduct, and</w:t>
      </w:r>
    </w:p>
    <w:p w14:paraId="201D0729" w14:textId="64733792" w:rsidR="00D94A30" w:rsidRPr="000335E0" w:rsidRDefault="00D94A30" w:rsidP="004E120D">
      <w:pPr>
        <w:pStyle w:val="BulletLevel1"/>
      </w:pPr>
      <w:r w:rsidRPr="000335E0">
        <w:t>the circumstances in which they may have a Re-engagement Requirement and the consequences of not meeting this requirement.</w:t>
      </w:r>
    </w:p>
    <w:p w14:paraId="14A86821" w14:textId="2B1FCACF" w:rsidR="00D94A30" w:rsidRPr="00644DE7" w:rsidRDefault="00D94A30" w:rsidP="00D94A30">
      <w:pPr>
        <w:pStyle w:val="DeedReferences"/>
      </w:pPr>
      <w:r w:rsidRPr="0023045E">
        <w:t>(</w:t>
      </w:r>
      <w:r w:rsidR="00A73420">
        <w:t xml:space="preserve">Deed Reference(s): Clause </w:t>
      </w:r>
      <w:r w:rsidR="00FF1B38">
        <w:t>134.1</w:t>
      </w:r>
      <w:r w:rsidRPr="0023045E">
        <w:t xml:space="preserve">, </w:t>
      </w:r>
      <w:r w:rsidR="00E66BC0">
        <w:t>134.19</w:t>
      </w:r>
      <w:r w:rsidRPr="0023045E">
        <w:t>)</w:t>
      </w:r>
    </w:p>
    <w:p w14:paraId="231B3643" w14:textId="6EDD5A3B" w:rsidR="003C554D" w:rsidRDefault="00D94A30" w:rsidP="00D94A30">
      <w:bookmarkStart w:id="534" w:name="_Hlk190852754"/>
      <w:r w:rsidRPr="7751327C">
        <w:t xml:space="preserve">All Participants have the right to ask for a review of a decision made under Social Security Law </w:t>
      </w:r>
      <w:r w:rsidR="002742B7">
        <w:t xml:space="preserve">through </w:t>
      </w:r>
      <w:r w:rsidRPr="7751327C" w:rsidDel="002742B7">
        <w:t xml:space="preserve">the </w:t>
      </w:r>
      <w:bookmarkEnd w:id="534"/>
      <w:r>
        <w:t>Social Security Appeals Process</w:t>
      </w:r>
      <w:r w:rsidR="003C554D">
        <w:t>.</w:t>
      </w:r>
    </w:p>
    <w:p w14:paraId="1BAF75F9" w14:textId="1F9BD0FF" w:rsidR="00D94A30" w:rsidRDefault="00F44EB6" w:rsidP="00D94A30">
      <w:r>
        <w:t xml:space="preserve">The application of a </w:t>
      </w:r>
      <w:r w:rsidR="003C554D">
        <w:t xml:space="preserve">formal review, </w:t>
      </w:r>
      <w:r w:rsidR="003C554D" w:rsidRPr="7751327C">
        <w:t>and</w:t>
      </w:r>
      <w:r w:rsidR="003C554D">
        <w:t xml:space="preserve"> the right</w:t>
      </w:r>
      <w:r w:rsidR="003C554D" w:rsidRPr="7751327C">
        <w:t xml:space="preserve"> to appeal the decision to a tribunal or court</w:t>
      </w:r>
      <w:r w:rsidR="003C554D">
        <w:t>,</w:t>
      </w:r>
      <w:r w:rsidR="00D94A30" w:rsidRPr="7751327C">
        <w:t xml:space="preserve"> </w:t>
      </w:r>
      <w:r w:rsidR="00D94A30">
        <w:t>applies to</w:t>
      </w:r>
      <w:r w:rsidR="00D94A30" w:rsidRPr="7751327C">
        <w:t xml:space="preserve"> decisions to suspend a Participant’s Income Support Payment because of non‑compliance, and decisions made by Services Australia to reduce or cancel their Income Support Payment.</w:t>
      </w:r>
      <w:r w:rsidR="00292CF3">
        <w:t xml:space="preserve"> </w:t>
      </w:r>
    </w:p>
    <w:p w14:paraId="354D813A" w14:textId="38F4E9F8" w:rsidR="00D94A30" w:rsidRDefault="00D94A30" w:rsidP="00D94A30">
      <w:r w:rsidRPr="7751327C">
        <w:t xml:space="preserve">If a Participant does not agree with a decision that has resulted in a </w:t>
      </w:r>
      <w:r w:rsidR="00A65AED">
        <w:t xml:space="preserve">payment suspension or </w:t>
      </w:r>
      <w:r w:rsidRPr="7751327C">
        <w:t>financial penalty, they can ask Services Australia to review the decision. A review can be requested by calling either Services Australia</w:t>
      </w:r>
      <w:r w:rsidR="000225E7">
        <w:t xml:space="preserve"> </w:t>
      </w:r>
      <w:r w:rsidR="006D7F94" w:rsidRPr="48661572">
        <w:rPr>
          <w:lang w:val="en-GB"/>
        </w:rPr>
        <w:t xml:space="preserve">on their regular payment line (which can be found on the </w:t>
      </w:r>
      <w:hyperlink r:id="rId88">
        <w:r w:rsidR="006D7F94" w:rsidRPr="48661572">
          <w:rPr>
            <w:rStyle w:val="Hyperlink"/>
            <w:lang w:val="en-GB"/>
          </w:rPr>
          <w:t>Services Australia website</w:t>
        </w:r>
      </w:hyperlink>
      <w:r w:rsidR="006D7F94" w:rsidRPr="48661572">
        <w:rPr>
          <w:lang w:val="en-GB"/>
        </w:rPr>
        <w:t>)</w:t>
      </w:r>
      <w:r w:rsidRPr="7751327C">
        <w:t xml:space="preserve">, appearing in person at a Centrelink office, or by </w:t>
      </w:r>
      <w:bookmarkStart w:id="535" w:name="_Int_Q1AcGkFU"/>
      <w:r w:rsidR="00B0072F">
        <w:t xml:space="preserve">downloading and </w:t>
      </w:r>
      <w:r w:rsidRPr="7751327C">
        <w:t>submitting</w:t>
      </w:r>
      <w:bookmarkEnd w:id="535"/>
      <w:r w:rsidRPr="7751327C">
        <w:t xml:space="preserve"> an </w:t>
      </w:r>
      <w:hyperlink r:id="rId89" w:history="1">
        <w:r w:rsidRPr="00740FE9">
          <w:rPr>
            <w:rStyle w:val="Hyperlink"/>
          </w:rPr>
          <w:t>Explanation or formal review of a decision form (SS351)</w:t>
        </w:r>
      </w:hyperlink>
      <w:r w:rsidRPr="00740FE9">
        <w:t>.</w:t>
      </w:r>
      <w:r w:rsidR="00DB7E91" w:rsidRPr="00740FE9">
        <w:t xml:space="preserve"> </w:t>
      </w:r>
      <w:r w:rsidR="00432ED4" w:rsidRPr="00740FE9">
        <w:t>More i</w:t>
      </w:r>
      <w:r w:rsidR="00DB7E91" w:rsidRPr="00740FE9">
        <w:t xml:space="preserve">nformation </w:t>
      </w:r>
      <w:r w:rsidR="00A37C8D">
        <w:t xml:space="preserve">on the request for an explanation or formal review of Centrelink decisions </w:t>
      </w:r>
      <w:r w:rsidR="00DB7E91" w:rsidRPr="00740FE9">
        <w:t xml:space="preserve">is available </w:t>
      </w:r>
      <w:r w:rsidR="00101B59" w:rsidRPr="00740FE9">
        <w:t>for Income</w:t>
      </w:r>
      <w:r w:rsidR="00101B59">
        <w:t xml:space="preserve"> Support Payment recipients </w:t>
      </w:r>
      <w:r w:rsidR="00EA5D6F">
        <w:t xml:space="preserve">on </w:t>
      </w:r>
      <w:r w:rsidR="00A37C8D">
        <w:t>the</w:t>
      </w:r>
      <w:r w:rsidR="00DB7E91">
        <w:t xml:space="preserve"> </w:t>
      </w:r>
      <w:hyperlink r:id="rId90" w:history="1">
        <w:r w:rsidR="00A37C8D">
          <w:rPr>
            <w:rStyle w:val="Hyperlink"/>
          </w:rPr>
          <w:t>Services Australia website</w:t>
        </w:r>
      </w:hyperlink>
      <w:r w:rsidR="00DB7E91">
        <w:t>.</w:t>
      </w:r>
    </w:p>
    <w:p w14:paraId="79634CE5" w14:textId="0099BA45" w:rsidR="00D94A30" w:rsidRDefault="000421C6" w:rsidP="00D94A30">
      <w:bookmarkStart w:id="536" w:name="_Hlk190852818"/>
      <w:r>
        <w:t xml:space="preserve">Decisions related to </w:t>
      </w:r>
      <w:r w:rsidR="00D94A30">
        <w:t>Demerit</w:t>
      </w:r>
      <w:r>
        <w:t>s, a Participant’s TCF zone</w:t>
      </w:r>
      <w:r w:rsidR="00D94A30" w:rsidRPr="7751327C" w:rsidDel="000421C6">
        <w:t xml:space="preserve"> </w:t>
      </w:r>
      <w:r w:rsidR="00D94A30">
        <w:t>and t</w:t>
      </w:r>
      <w:r w:rsidR="00D94A30" w:rsidRPr="7751327C">
        <w:t xml:space="preserve">he </w:t>
      </w:r>
      <w:r>
        <w:t>requirement</w:t>
      </w:r>
      <w:r w:rsidR="00D94A30">
        <w:t xml:space="preserve"> </w:t>
      </w:r>
      <w:r w:rsidR="00D94A30" w:rsidRPr="7751327C">
        <w:t xml:space="preserve">to change to a </w:t>
      </w:r>
      <w:r w:rsidR="00D94A30">
        <w:t>Detailed Job Plan</w:t>
      </w:r>
      <w:r w:rsidR="00D94A30" w:rsidRPr="7751327C">
        <w:t xml:space="preserve"> are not decisions </w:t>
      </w:r>
      <w:r w:rsidR="001B302F">
        <w:t>based on</w:t>
      </w:r>
      <w:r w:rsidR="00D94A30" w:rsidRPr="7751327C">
        <w:t xml:space="preserve"> Social Security Law, </w:t>
      </w:r>
      <w:r w:rsidR="00ED191F">
        <w:t xml:space="preserve">but rather </w:t>
      </w:r>
      <w:r w:rsidR="00C60D93">
        <w:t>decisions</w:t>
      </w:r>
      <w:r w:rsidR="001B302F">
        <w:t xml:space="preserve"> made </w:t>
      </w:r>
      <w:r w:rsidR="00A96C2B">
        <w:t>under Government policy.</w:t>
      </w:r>
      <w:r w:rsidR="00ED191F">
        <w:t xml:space="preserve"> </w:t>
      </w:r>
      <w:r w:rsidR="00B729E8">
        <w:t>As such,</w:t>
      </w:r>
      <w:r w:rsidR="00B729E8" w:rsidRPr="7751327C">
        <w:t xml:space="preserve"> </w:t>
      </w:r>
      <w:r w:rsidR="00D94A30" w:rsidRPr="7751327C">
        <w:t xml:space="preserve">Participants cannot appeal or ask for a formal review </w:t>
      </w:r>
      <w:bookmarkEnd w:id="536"/>
      <w:r w:rsidR="00D94A30" w:rsidRPr="7751327C">
        <w:t>using the same processes as those that apply for decisions under Social Security Law. However, Participants can dispute these decisions using the following process.</w:t>
      </w:r>
    </w:p>
    <w:p w14:paraId="7189E5F0" w14:textId="2A27CE4C" w:rsidR="00D94A30" w:rsidRPr="000335E0" w:rsidRDefault="00D94A30" w:rsidP="004E120D">
      <w:pPr>
        <w:pStyle w:val="BulletLevel1"/>
      </w:pPr>
      <w:r w:rsidRPr="000335E0">
        <w:t xml:space="preserve">Participants should discuss their concerns about these decisions with their Provider. </w:t>
      </w:r>
      <w:r w:rsidR="00496299">
        <w:t>The Provider is responsible for providing the Participant with an explanation of the decision and initial reconsideration of the decision</w:t>
      </w:r>
      <w:r w:rsidR="00E85DE0">
        <w:t>.</w:t>
      </w:r>
    </w:p>
    <w:p w14:paraId="52470A45" w14:textId="58F888DB" w:rsidR="00D94A30" w:rsidRPr="000335E0" w:rsidRDefault="00D94A30" w:rsidP="004E120D">
      <w:pPr>
        <w:pStyle w:val="BulletLevel1"/>
      </w:pPr>
      <w:r w:rsidRPr="000335E0">
        <w:t xml:space="preserve">If they </w:t>
      </w:r>
      <w:r w:rsidR="00305E16">
        <w:t xml:space="preserve">don’t feel comfortable talking to their provider or </w:t>
      </w:r>
      <w:r w:rsidRPr="000335E0">
        <w:t xml:space="preserve">still wish to dispute the decision after </w:t>
      </w:r>
      <w:r w:rsidR="00305E16">
        <w:t>a</w:t>
      </w:r>
      <w:r w:rsidR="00305E16" w:rsidRPr="000335E0">
        <w:t xml:space="preserve"> </w:t>
      </w:r>
      <w:r w:rsidRPr="000335E0">
        <w:t>discussion</w:t>
      </w:r>
      <w:r w:rsidR="00305E16">
        <w:t xml:space="preserve"> with their Provider</w:t>
      </w:r>
      <w:r w:rsidRPr="000335E0">
        <w:t xml:space="preserve">, they can contact the </w:t>
      </w:r>
      <w:hyperlink r:id="rId91">
        <w:r w:rsidRPr="000335E0">
          <w:rPr>
            <w:rStyle w:val="Hyperlink"/>
            <w:color w:val="auto"/>
            <w:u w:val="none"/>
          </w:rPr>
          <w:t>NCSL</w:t>
        </w:r>
      </w:hyperlink>
      <w:r w:rsidR="008B37B2">
        <w:t xml:space="preserve"> (details for which can be found on the </w:t>
      </w:r>
      <w:hyperlink r:id="rId92" w:history="1">
        <w:r w:rsidR="008B37B2" w:rsidRPr="008B37B2">
          <w:rPr>
            <w:rStyle w:val="Hyperlink"/>
          </w:rPr>
          <w:t>Workforce Australia website</w:t>
        </w:r>
      </w:hyperlink>
      <w:r w:rsidR="008B37B2">
        <w:t>)</w:t>
      </w:r>
      <w:r w:rsidRPr="000335E0">
        <w:t xml:space="preserve">. By contacting the NCSL, the Participant is in effect making an </w:t>
      </w:r>
      <w:r w:rsidR="00202A96">
        <w:t>Inclusive Employment Australia</w:t>
      </w:r>
      <w:r w:rsidRPr="000335E0">
        <w:t xml:space="preserve">-related </w:t>
      </w:r>
      <w:r w:rsidR="00580147">
        <w:t>C</w:t>
      </w:r>
      <w:r>
        <w:t>omplaint</w:t>
      </w:r>
      <w:r w:rsidRPr="000335E0">
        <w:t xml:space="preserve">. </w:t>
      </w:r>
    </w:p>
    <w:p w14:paraId="0A61CA11" w14:textId="797A6F8D" w:rsidR="00D94A30" w:rsidRDefault="00D94A30" w:rsidP="004E120D">
      <w:pPr>
        <w:pStyle w:val="BulletLevel1"/>
      </w:pPr>
      <w:r w:rsidRPr="000335E0">
        <w:t xml:space="preserve">If required, the Provider must action </w:t>
      </w:r>
      <w:r w:rsidR="00EA7DA1">
        <w:t>C</w:t>
      </w:r>
      <w:r>
        <w:t>omplaints</w:t>
      </w:r>
      <w:r w:rsidRPr="000335E0">
        <w:t xml:space="preserve"> that are referred to them by the NCSL. This may include reviewing the decision-making process, including any Documentary Evidence recorded on the Department’s IT Systems.</w:t>
      </w:r>
    </w:p>
    <w:p w14:paraId="12E75F0D" w14:textId="3BE39393" w:rsidR="00935736" w:rsidRPr="000335E0" w:rsidRDefault="002D415C" w:rsidP="00836697">
      <w:r w:rsidRPr="008B37B2">
        <w:rPr>
          <w:b/>
          <w:bCs/>
        </w:rPr>
        <w:t>Note:</w:t>
      </w:r>
      <w:r>
        <w:t xml:space="preserve"> If a Participant was to fail to agree to their Job Plan when required to enter into a Detailed Job Plan</w:t>
      </w:r>
      <w:r w:rsidR="00B32A4A">
        <w:t xml:space="preserve">, and this resulted in the </w:t>
      </w:r>
      <w:r w:rsidR="00066CF5">
        <w:t>decision by Services Australia to apply a</w:t>
      </w:r>
      <w:r w:rsidR="00B32A4A">
        <w:t xml:space="preserve"> payment suspension or financial penalty</w:t>
      </w:r>
      <w:r w:rsidR="00A319E4">
        <w:t xml:space="preserve"> as a result of the Mutual Obligation Failure</w:t>
      </w:r>
      <w:r w:rsidR="00B32A4A">
        <w:t xml:space="preserve">, </w:t>
      </w:r>
      <w:r w:rsidR="00066CF5">
        <w:t xml:space="preserve">the Participant would be able to </w:t>
      </w:r>
      <w:r w:rsidR="0097423B">
        <w:t>request a</w:t>
      </w:r>
      <w:r w:rsidR="00C60D93">
        <w:t xml:space="preserve"> formal</w:t>
      </w:r>
      <w:r w:rsidR="0097423B">
        <w:t xml:space="preserve"> review </w:t>
      </w:r>
      <w:r w:rsidR="00696EA2">
        <w:t xml:space="preserve">of their requirement to agree to </w:t>
      </w:r>
      <w:r w:rsidR="00422F07">
        <w:t>the</w:t>
      </w:r>
      <w:r w:rsidR="00696EA2">
        <w:t xml:space="preserve"> Job Plan </w:t>
      </w:r>
      <w:r w:rsidR="00C60D93">
        <w:t>under the mechanism outlined above.</w:t>
      </w:r>
    </w:p>
    <w:p w14:paraId="6491AF36" w14:textId="29224673" w:rsidR="00D94A30" w:rsidRDefault="00D94A30" w:rsidP="00D94A30">
      <w:pPr>
        <w:pStyle w:val="Heading5"/>
      </w:pPr>
      <w:r>
        <w:t>Recording participation by close of business</w:t>
      </w:r>
    </w:p>
    <w:p w14:paraId="43FB9DEF" w14:textId="48F0D460" w:rsidR="00D94A30" w:rsidRDefault="00D94A30" w:rsidP="00D94A30">
      <w:pPr>
        <w:rPr>
          <w:rFonts w:ascii="Tahoma" w:eastAsia="Tahoma" w:hAnsi="Tahoma"/>
        </w:rPr>
      </w:pPr>
      <w:r w:rsidRPr="0DFD7869">
        <w:rPr>
          <w:rFonts w:ascii="Tahoma" w:eastAsia="Tahoma" w:hAnsi="Tahoma"/>
        </w:rPr>
        <w:t xml:space="preserve">Providers must </w:t>
      </w:r>
      <w:r w:rsidR="00573FA6">
        <w:rPr>
          <w:rFonts w:ascii="Tahoma" w:eastAsia="Tahoma" w:hAnsi="Tahoma"/>
        </w:rPr>
        <w:t>schedule</w:t>
      </w:r>
      <w:r w:rsidRPr="0DFD7869">
        <w:rPr>
          <w:rFonts w:ascii="Tahoma" w:eastAsia="Tahoma" w:hAnsi="Tahoma"/>
        </w:rPr>
        <w:t xml:space="preserve"> all Mutual Obligation Requirements in each Participant’s Electronic Calendar, except the Participant's requirement to:</w:t>
      </w:r>
    </w:p>
    <w:p w14:paraId="26E6A235" w14:textId="633D1323" w:rsidR="00D94A30" w:rsidRPr="000335E0" w:rsidRDefault="00D94A30" w:rsidP="004E120D">
      <w:pPr>
        <w:pStyle w:val="BulletLevel1"/>
      </w:pPr>
      <w:r w:rsidRPr="000335E0">
        <w:t>enter into a Job Plan</w:t>
      </w:r>
    </w:p>
    <w:p w14:paraId="78E9908F" w14:textId="6DECAE8E" w:rsidR="00D94A30" w:rsidRPr="000335E0" w:rsidRDefault="00D94A30" w:rsidP="004E120D">
      <w:pPr>
        <w:pStyle w:val="BulletLevel1"/>
      </w:pPr>
      <w:r w:rsidRPr="000335E0">
        <w:t>undertake Job Search, or</w:t>
      </w:r>
    </w:p>
    <w:p w14:paraId="335BBED4" w14:textId="414CF74E" w:rsidR="00D94A30" w:rsidRPr="000335E0" w:rsidRDefault="00D94A30" w:rsidP="004E120D">
      <w:pPr>
        <w:pStyle w:val="BulletLevel1"/>
      </w:pPr>
      <w:r w:rsidRPr="000335E0">
        <w:t xml:space="preserve">action a Job Referral. </w:t>
      </w:r>
    </w:p>
    <w:p w14:paraId="61B48EAD" w14:textId="39815F02" w:rsidR="00D94A30" w:rsidRDefault="00D94A30" w:rsidP="00D94A30">
      <w:pPr>
        <w:rPr>
          <w:rFonts w:ascii="Tahoma" w:eastAsia="Tahoma" w:hAnsi="Tahoma"/>
        </w:rPr>
      </w:pPr>
      <w:r w:rsidRPr="2D4A0EA8">
        <w:rPr>
          <w:rFonts w:ascii="Tahoma" w:eastAsia="Tahoma" w:hAnsi="Tahoma"/>
        </w:rPr>
        <w:t xml:space="preserve">Providers must confirm and/or record the Participant’s participation against each </w:t>
      </w:r>
      <w:r w:rsidR="00573FA6">
        <w:rPr>
          <w:rFonts w:ascii="Tahoma" w:eastAsia="Tahoma" w:hAnsi="Tahoma"/>
        </w:rPr>
        <w:t>schedule</w:t>
      </w:r>
      <w:r w:rsidRPr="2D4A0EA8">
        <w:rPr>
          <w:rFonts w:ascii="Tahoma" w:eastAsia="Tahoma" w:hAnsi="Tahoma"/>
        </w:rPr>
        <w:t>d</w:t>
      </w:r>
      <w:r>
        <w:rPr>
          <w:rFonts w:ascii="Tahoma" w:eastAsia="Tahoma" w:hAnsi="Tahoma"/>
        </w:rPr>
        <w:t xml:space="preserve"> requirements</w:t>
      </w:r>
      <w:r w:rsidRPr="2D4A0EA8">
        <w:rPr>
          <w:rFonts w:ascii="Tahoma" w:eastAsia="Tahoma" w:hAnsi="Tahoma"/>
        </w:rPr>
        <w:t xml:space="preserve"> in the Participant’s Electronic Calendar. Providers must do this </w:t>
      </w:r>
      <w:r>
        <w:rPr>
          <w:rFonts w:ascii="Tahoma" w:eastAsia="Tahoma" w:hAnsi="Tahoma"/>
        </w:rPr>
        <w:t>by</w:t>
      </w:r>
      <w:r w:rsidRPr="2D4A0EA8">
        <w:rPr>
          <w:rFonts w:ascii="Tahoma" w:eastAsia="Tahoma" w:hAnsi="Tahoma"/>
        </w:rPr>
        <w:t xml:space="preserve"> close of business on the day that the </w:t>
      </w:r>
      <w:r>
        <w:rPr>
          <w:rFonts w:ascii="Tahoma" w:eastAsia="Tahoma" w:hAnsi="Tahoma"/>
        </w:rPr>
        <w:t>r</w:t>
      </w:r>
      <w:r w:rsidRPr="2D4A0EA8">
        <w:rPr>
          <w:rFonts w:ascii="Tahoma" w:eastAsia="Tahoma" w:hAnsi="Tahoma"/>
        </w:rPr>
        <w:t xml:space="preserve">equirement is </w:t>
      </w:r>
      <w:r w:rsidR="00573FA6">
        <w:rPr>
          <w:rFonts w:ascii="Tahoma" w:eastAsia="Tahoma" w:hAnsi="Tahoma"/>
        </w:rPr>
        <w:t>schedule</w:t>
      </w:r>
      <w:r w:rsidRPr="2D4A0EA8">
        <w:rPr>
          <w:rFonts w:ascii="Tahoma" w:eastAsia="Tahoma" w:hAnsi="Tahoma"/>
        </w:rPr>
        <w:t>d to occur in the Participant’s Electronic Calendar.</w:t>
      </w:r>
      <w:r>
        <w:rPr>
          <w:rFonts w:ascii="Tahoma" w:eastAsia="Tahoma" w:hAnsi="Tahoma"/>
        </w:rPr>
        <w:t xml:space="preserve"> </w:t>
      </w:r>
      <w:r w:rsidRPr="6055448A">
        <w:rPr>
          <w:rFonts w:ascii="Tahoma" w:eastAsia="Tahoma" w:hAnsi="Tahoma"/>
        </w:rPr>
        <w:t>Further details are included in</w:t>
      </w:r>
      <w:r>
        <w:rPr>
          <w:rFonts w:ascii="Tahoma" w:eastAsia="Tahoma" w:hAnsi="Tahoma"/>
        </w:rPr>
        <w:t xml:space="preserve"> </w:t>
      </w:r>
      <w:r w:rsidR="003A32DC">
        <w:fldChar w:fldCharType="begin"/>
      </w:r>
      <w:r w:rsidR="003A32DC">
        <w:instrText xml:space="preserve"> REF _Ref202784488 \h </w:instrText>
      </w:r>
      <w:r w:rsidR="003A32DC">
        <w:fldChar w:fldCharType="separate"/>
      </w:r>
      <w:r w:rsidR="000D75AE">
        <w:t>12.4Compliance actions - Mutual Obligation Failures</w:t>
      </w:r>
      <w:r w:rsidR="003A32DC">
        <w:fldChar w:fldCharType="end"/>
      </w:r>
      <w:r>
        <w:rPr>
          <w:rFonts w:ascii="Tahoma" w:eastAsia="Tahoma" w:hAnsi="Tahoma"/>
        </w:rPr>
        <w:t>.</w:t>
      </w:r>
    </w:p>
    <w:p w14:paraId="66D25D82" w14:textId="47B8F4AD" w:rsidR="00D94A30" w:rsidRDefault="00D94A30" w:rsidP="00D94A30">
      <w:pPr>
        <w:pStyle w:val="DeedReferences"/>
      </w:pPr>
      <w:r w:rsidRPr="00F165F3">
        <w:t>(</w:t>
      </w:r>
      <w:r w:rsidR="00A73420">
        <w:t xml:space="preserve">Deed Reference(s): Clause </w:t>
      </w:r>
      <w:r w:rsidRPr="00F165F3">
        <w:t xml:space="preserve">112.4, 112.5, 112.6, 134, </w:t>
      </w:r>
      <w:r w:rsidR="00C73184">
        <w:t>136</w:t>
      </w:r>
      <w:r w:rsidRPr="00F165F3">
        <w:t xml:space="preserve">, and </w:t>
      </w:r>
      <w:r w:rsidR="00E43724">
        <w:t>155</w:t>
      </w:r>
      <w:r w:rsidRPr="00F165F3">
        <w:t>)</w:t>
      </w:r>
    </w:p>
    <w:p w14:paraId="2F5A3C30" w14:textId="6DD3AAE1" w:rsidR="00D94A30" w:rsidRDefault="00D94A30" w:rsidP="00D94A30">
      <w:pPr>
        <w:rPr>
          <w:rFonts w:ascii="Tahoma" w:eastAsia="Tahoma" w:hAnsi="Tahoma"/>
        </w:rPr>
      </w:pPr>
      <w:r w:rsidRPr="6055448A">
        <w:rPr>
          <w:rFonts w:ascii="Tahoma" w:eastAsia="Tahoma" w:hAnsi="Tahoma"/>
        </w:rPr>
        <w:t xml:space="preserve">Providers must also act on and report instances of Work Refusal Failures and Unemployment Failures on the same Business Day that they become aware of the apparent failure. Further details are included in </w:t>
      </w:r>
      <w:r w:rsidR="00402DDF">
        <w:fldChar w:fldCharType="begin"/>
      </w:r>
      <w:r w:rsidR="00402DDF">
        <w:instrText xml:space="preserve"> REF _Ref202876668 \h </w:instrText>
      </w:r>
      <w:r w:rsidR="00402DDF">
        <w:fldChar w:fldCharType="separate"/>
      </w:r>
      <w:r w:rsidR="000D75AE">
        <w:t>12.5Compliance actions - Work Refusal Failures</w:t>
      </w:r>
      <w:r w:rsidR="00402DDF">
        <w:fldChar w:fldCharType="end"/>
      </w:r>
      <w:r w:rsidR="00402DDF">
        <w:t xml:space="preserve"> </w:t>
      </w:r>
      <w:r w:rsidRPr="6055448A">
        <w:rPr>
          <w:rFonts w:ascii="Tahoma" w:eastAsia="Tahoma" w:hAnsi="Tahoma"/>
        </w:rPr>
        <w:t>and</w:t>
      </w:r>
      <w:r w:rsidR="006D69F5">
        <w:rPr>
          <w:rFonts w:ascii="Tahoma" w:eastAsia="Tahoma" w:hAnsi="Tahoma"/>
        </w:rPr>
        <w:t xml:space="preserve"> </w:t>
      </w:r>
      <w:r w:rsidR="006D69F5">
        <w:fldChar w:fldCharType="begin"/>
      </w:r>
      <w:r w:rsidR="006D69F5">
        <w:instrText xml:space="preserve"> REF _Ref202876673 \h </w:instrText>
      </w:r>
      <w:r w:rsidR="006D69F5">
        <w:fldChar w:fldCharType="separate"/>
      </w:r>
      <w:r w:rsidR="000D75AE">
        <w:t>12.6Compliance actions - Unemployment Failures</w:t>
      </w:r>
      <w:r w:rsidR="006D69F5">
        <w:fldChar w:fldCharType="end"/>
      </w:r>
      <w:r w:rsidRPr="6055448A">
        <w:rPr>
          <w:rFonts w:ascii="Tahoma" w:eastAsia="Tahoma" w:hAnsi="Tahoma"/>
        </w:rPr>
        <w:t>.</w:t>
      </w:r>
    </w:p>
    <w:p w14:paraId="33C3CFDC" w14:textId="690BFD99" w:rsidR="00D94A30" w:rsidRDefault="00D94A30" w:rsidP="00D94A30">
      <w:pPr>
        <w:pStyle w:val="Heading5"/>
        <w:rPr>
          <w:rFonts w:ascii="Tahoma" w:eastAsia="Tahoma" w:hAnsi="Tahoma"/>
          <w:b/>
        </w:rPr>
      </w:pPr>
      <w:r>
        <w:t>Resolution time prior to Income Support Payment suspensions for Participants in the Green or Warning Zone</w:t>
      </w:r>
    </w:p>
    <w:p w14:paraId="7A09FD44" w14:textId="385EE8A0" w:rsidR="00D94A30" w:rsidRDefault="00F01757" w:rsidP="00D94A30">
      <w:pPr>
        <w:rPr>
          <w:rFonts w:ascii="Tahoma" w:eastAsia="Tahoma" w:hAnsi="Tahoma"/>
        </w:rPr>
      </w:pPr>
      <w:r>
        <w:rPr>
          <w:rFonts w:ascii="Tahoma" w:eastAsia="Tahoma" w:hAnsi="Tahoma"/>
        </w:rPr>
        <w:t>R</w:t>
      </w:r>
      <w:r w:rsidR="00D94A30">
        <w:rPr>
          <w:rFonts w:ascii="Tahoma" w:eastAsia="Tahoma" w:hAnsi="Tahoma"/>
        </w:rPr>
        <w:t>esolution time</w:t>
      </w:r>
      <w:r w:rsidR="00D94A30" w:rsidRPr="5DD2C18A">
        <w:rPr>
          <w:rFonts w:ascii="Tahoma" w:eastAsia="Tahoma" w:hAnsi="Tahoma"/>
        </w:rPr>
        <w:t xml:space="preserve"> </w:t>
      </w:r>
      <w:r>
        <w:rPr>
          <w:rFonts w:ascii="Tahoma" w:eastAsia="Tahoma" w:hAnsi="Tahoma"/>
        </w:rPr>
        <w:t>is</w:t>
      </w:r>
      <w:r w:rsidR="00D94A30">
        <w:rPr>
          <w:rFonts w:ascii="Tahoma" w:eastAsia="Tahoma" w:hAnsi="Tahoma"/>
        </w:rPr>
        <w:t xml:space="preserve"> </w:t>
      </w:r>
      <w:r w:rsidR="00D94A30" w:rsidRPr="5DD2C18A">
        <w:rPr>
          <w:rFonts w:ascii="Tahoma" w:eastAsia="Tahoma" w:hAnsi="Tahoma"/>
        </w:rPr>
        <w:t xml:space="preserve">applies when a Participant commits a Mutual Obligations Failure while in the Green Zone or Warning Zone. It allows the Participant </w:t>
      </w:r>
      <w:r>
        <w:rPr>
          <w:rFonts w:ascii="Tahoma" w:eastAsia="Tahoma" w:hAnsi="Tahoma"/>
        </w:rPr>
        <w:t xml:space="preserve">a period of </w:t>
      </w:r>
      <w:r w:rsidR="00D94A30" w:rsidRPr="5DD2C18A">
        <w:rPr>
          <w:rFonts w:ascii="Tahoma" w:eastAsia="Tahoma" w:hAnsi="Tahoma"/>
        </w:rPr>
        <w:t>5 Business Days to contact their Provider to discuss and resolve the Mutual Obligation Failure</w:t>
      </w:r>
      <w:r w:rsidR="00D94A30">
        <w:rPr>
          <w:rFonts w:ascii="Tahoma" w:eastAsia="Tahoma" w:hAnsi="Tahoma"/>
        </w:rPr>
        <w:t>, if possible</w:t>
      </w:r>
      <w:r w:rsidR="00D94A30" w:rsidRPr="5DD2C18A">
        <w:rPr>
          <w:rFonts w:ascii="Tahoma" w:eastAsia="Tahoma" w:hAnsi="Tahoma"/>
        </w:rPr>
        <w:t xml:space="preserve">, before the Participant’s payment is </w:t>
      </w:r>
      <w:r w:rsidR="00D94A30">
        <w:rPr>
          <w:rFonts w:ascii="Tahoma" w:eastAsia="Tahoma" w:hAnsi="Tahoma"/>
        </w:rPr>
        <w:t>affected</w:t>
      </w:r>
      <w:r w:rsidR="00D94A30" w:rsidRPr="5DD2C18A">
        <w:rPr>
          <w:rFonts w:ascii="Tahoma" w:eastAsia="Tahoma" w:hAnsi="Tahoma"/>
        </w:rPr>
        <w:t>.</w:t>
      </w:r>
    </w:p>
    <w:p w14:paraId="6C460B71" w14:textId="21B90F84" w:rsidR="00D94A30" w:rsidRDefault="00D94A30" w:rsidP="00D94A30">
      <w:pPr>
        <w:rPr>
          <w:rFonts w:ascii="Tahoma" w:eastAsia="Tahoma" w:hAnsi="Tahoma"/>
        </w:rPr>
      </w:pPr>
      <w:r w:rsidRPr="06C735AC">
        <w:rPr>
          <w:rFonts w:ascii="Tahoma" w:eastAsia="Tahoma" w:hAnsi="Tahoma"/>
        </w:rPr>
        <w:t xml:space="preserve">During the 5 Business Days of </w:t>
      </w:r>
      <w:r>
        <w:rPr>
          <w:rFonts w:ascii="Tahoma" w:eastAsia="Tahoma" w:hAnsi="Tahoma"/>
        </w:rPr>
        <w:t>resolution time</w:t>
      </w:r>
      <w:r w:rsidRPr="06C735AC">
        <w:rPr>
          <w:rFonts w:ascii="Tahoma" w:eastAsia="Tahoma" w:hAnsi="Tahoma"/>
        </w:rPr>
        <w:t xml:space="preserve">, the Provider must be available to engage with </w:t>
      </w:r>
      <w:r>
        <w:rPr>
          <w:rFonts w:ascii="Tahoma" w:eastAsia="Tahoma" w:hAnsi="Tahoma"/>
        </w:rPr>
        <w:t>Participant</w:t>
      </w:r>
      <w:r w:rsidRPr="06C735AC">
        <w:rPr>
          <w:rFonts w:ascii="Tahoma" w:eastAsia="Tahoma" w:hAnsi="Tahoma"/>
        </w:rPr>
        <w:t>s who make contact to discuss a Mutual Obligation Failure.</w:t>
      </w:r>
    </w:p>
    <w:p w14:paraId="5631E410" w14:textId="61E55792" w:rsidR="00D94A30" w:rsidRDefault="00D94A30" w:rsidP="00D94A30">
      <w:pPr>
        <w:rPr>
          <w:rFonts w:ascii="Tahoma" w:eastAsia="Tahoma" w:hAnsi="Tahoma"/>
        </w:rPr>
      </w:pPr>
      <w:r>
        <w:rPr>
          <w:rFonts w:ascii="Tahoma" w:eastAsia="Tahoma" w:hAnsi="Tahoma"/>
        </w:rPr>
        <w:t xml:space="preserve">A Participant’s Income Support Payment will not be affected if, within the </w:t>
      </w:r>
      <w:r w:rsidR="00633785">
        <w:rPr>
          <w:rFonts w:ascii="Tahoma" w:eastAsia="Tahoma" w:hAnsi="Tahoma"/>
        </w:rPr>
        <w:t xml:space="preserve">period of </w:t>
      </w:r>
      <w:r>
        <w:rPr>
          <w:rFonts w:ascii="Tahoma" w:eastAsia="Tahoma" w:hAnsi="Tahoma"/>
        </w:rPr>
        <w:t>resolution time:</w:t>
      </w:r>
    </w:p>
    <w:p w14:paraId="530716F3" w14:textId="65456B57" w:rsidR="00D94A30" w:rsidRPr="00502DEE" w:rsidRDefault="00D94A30" w:rsidP="00502DEE">
      <w:pPr>
        <w:pStyle w:val="BulletLevel1"/>
      </w:pPr>
      <w:r>
        <w:t xml:space="preserve">the Provider records the </w:t>
      </w:r>
      <w:r w:rsidRPr="00502DEE">
        <w:t xml:space="preserve">Participant has a Valid Reason, or </w:t>
      </w:r>
    </w:p>
    <w:p w14:paraId="520839A6" w14:textId="69154DED" w:rsidR="00D94A30" w:rsidRDefault="00D94A30" w:rsidP="00502DEE">
      <w:pPr>
        <w:pStyle w:val="BulletLevel1"/>
      </w:pPr>
      <w:r w:rsidRPr="00502DEE">
        <w:t>the Provider records the Participant does not have a Valid Reason, but the Participant has met a Re</w:t>
      </w:r>
      <w:r w:rsidR="000033EB" w:rsidRPr="00502DEE">
        <w:noBreakHyphen/>
      </w:r>
      <w:r w:rsidRPr="00502DEE">
        <w:t>engagement Requirement</w:t>
      </w:r>
      <w:r w:rsidRPr="68799C3B">
        <w:t xml:space="preserve"> </w:t>
      </w:r>
      <w:r>
        <w:t xml:space="preserve">that has been set. </w:t>
      </w:r>
    </w:p>
    <w:p w14:paraId="20987930" w14:textId="39FED47D" w:rsidR="00D94A30" w:rsidRDefault="00D94A30" w:rsidP="00D94A30">
      <w:r>
        <w:t>Resolution time</w:t>
      </w:r>
      <w:r w:rsidRPr="00A6040F">
        <w:t xml:space="preserve"> does not apply when participants are in the Penalty Zone. Instead, the </w:t>
      </w:r>
      <w:r>
        <w:t>P</w:t>
      </w:r>
      <w:r w:rsidRPr="00A6040F">
        <w:t xml:space="preserve">articipant’s payment is suspended </w:t>
      </w:r>
      <w:r>
        <w:t>immediately</w:t>
      </w:r>
      <w:r w:rsidRPr="00A6040F">
        <w:t xml:space="preserve">, to encourage the </w:t>
      </w:r>
      <w:r>
        <w:t>P</w:t>
      </w:r>
      <w:r w:rsidRPr="00A6040F">
        <w:t>articipant to contact the</w:t>
      </w:r>
      <w:r>
        <w:t>ir</w:t>
      </w:r>
      <w:r w:rsidRPr="00A6040F">
        <w:t xml:space="preserve"> </w:t>
      </w:r>
      <w:r>
        <w:t>P</w:t>
      </w:r>
      <w:r w:rsidRPr="00A6040F">
        <w:t xml:space="preserve">rovider to discuss the </w:t>
      </w:r>
      <w:r>
        <w:t>Mutual Obligation F</w:t>
      </w:r>
      <w:r w:rsidRPr="00A6040F">
        <w:t>ailure.</w:t>
      </w:r>
    </w:p>
    <w:p w14:paraId="146DDEC9" w14:textId="1B2CD167" w:rsidR="00D94A30" w:rsidRDefault="00D94A30" w:rsidP="00D94A30">
      <w:pPr>
        <w:pStyle w:val="Heading3"/>
      </w:pPr>
      <w:bookmarkStart w:id="537" w:name="_Ref202784488"/>
      <w:bookmarkStart w:id="538" w:name="_Toc202900105"/>
      <w:r>
        <w:t>12.4</w:t>
      </w:r>
      <w:r>
        <w:tab/>
        <w:t>Compliance actions - Mutual Obligation Failures</w:t>
      </w:r>
      <w:bookmarkEnd w:id="537"/>
      <w:bookmarkEnd w:id="538"/>
    </w:p>
    <w:p w14:paraId="56088F46" w14:textId="03A74773" w:rsidR="00D94A30" w:rsidRDefault="00D94A30" w:rsidP="00D94A30">
      <w:pPr>
        <w:keepNext/>
        <w:rPr>
          <w:rFonts w:ascii="Tahoma" w:eastAsia="Tahoma" w:hAnsi="Tahoma"/>
        </w:rPr>
      </w:pPr>
      <w:r>
        <w:rPr>
          <w:rStyle w:val="Emphasis"/>
        </w:rPr>
        <w:t xml:space="preserve">This </w:t>
      </w:r>
      <w:r w:rsidR="007A4B96">
        <w:rPr>
          <w:rStyle w:val="Emphasis"/>
        </w:rPr>
        <w:t>S</w:t>
      </w:r>
      <w:r>
        <w:rPr>
          <w:rStyle w:val="Emphasis"/>
        </w:rPr>
        <w:t>ection applies to Participants</w:t>
      </w:r>
      <w:r w:rsidRPr="00281735">
        <w:rPr>
          <w:rStyle w:val="Emphasis"/>
        </w:rPr>
        <w:t xml:space="preserve"> (Mutual Obligation)</w:t>
      </w:r>
      <w:r>
        <w:rPr>
          <w:rStyle w:val="Emphasis"/>
        </w:rPr>
        <w:t>.</w:t>
      </w:r>
    </w:p>
    <w:p w14:paraId="216D4A7F" w14:textId="3EED17FD" w:rsidR="00D94A30" w:rsidRDefault="00D94A30" w:rsidP="00D94A30">
      <w:pPr>
        <w:pStyle w:val="Heading4"/>
      </w:pPr>
      <w:bookmarkStart w:id="539" w:name="_Toc202900106"/>
      <w:r>
        <w:t>12.4.1</w:t>
      </w:r>
      <w:r w:rsidR="00E042B8">
        <w:tab/>
      </w:r>
      <w:r>
        <w:t>What are Mutual Obligation Failures</w:t>
      </w:r>
      <w:bookmarkEnd w:id="539"/>
    </w:p>
    <w:p w14:paraId="78CFAA59" w14:textId="1360767F" w:rsidR="00D94A30" w:rsidRDefault="00D94A30" w:rsidP="00D94A30">
      <w:pPr>
        <w:rPr>
          <w:rFonts w:ascii="Tahoma" w:eastAsia="Tahoma" w:hAnsi="Tahoma"/>
        </w:rPr>
      </w:pPr>
      <w:r w:rsidRPr="5DD2C18A">
        <w:rPr>
          <w:rFonts w:ascii="Tahoma" w:eastAsia="Tahoma" w:hAnsi="Tahoma"/>
        </w:rPr>
        <w:t xml:space="preserve">Participants commit Mutual </w:t>
      </w:r>
      <w:r>
        <w:t>Obligation Failures when they fail to meet their Mutual Obligation Requirements without a Valid Reason, noting that a</w:t>
      </w:r>
      <w:r w:rsidRPr="5DD2C18A">
        <w:rPr>
          <w:rFonts w:ascii="Tahoma" w:eastAsia="Tahoma" w:hAnsi="Tahoma"/>
        </w:rPr>
        <w:t xml:space="preserve"> Participant’s requirements will vary depending on their Job Plan type.</w:t>
      </w:r>
    </w:p>
    <w:p w14:paraId="77107554" w14:textId="77777777" w:rsidR="00AD51DD" w:rsidRDefault="00D94A30" w:rsidP="00D94A30">
      <w:pPr>
        <w:rPr>
          <w:rFonts w:ascii="Tahoma" w:eastAsia="Tahoma" w:hAnsi="Tahoma"/>
        </w:rPr>
      </w:pPr>
      <w:r>
        <w:rPr>
          <w:rFonts w:ascii="Tahoma" w:eastAsia="Tahoma" w:hAnsi="Tahoma"/>
        </w:rPr>
        <w:t>A summary of the types of Mutual Obligations Failures is outlined in the table below.</w:t>
      </w:r>
      <w:r w:rsidR="00B8740C">
        <w:rPr>
          <w:rFonts w:ascii="Tahoma" w:eastAsia="Tahoma" w:hAnsi="Tahoma"/>
        </w:rPr>
        <w:t xml:space="preserve"> </w:t>
      </w:r>
    </w:p>
    <w:p w14:paraId="51C70BB9" w14:textId="1D12BDBE" w:rsidR="00D94A30" w:rsidRDefault="00AD51DD" w:rsidP="00D94A30">
      <w:pPr>
        <w:rPr>
          <w:rFonts w:ascii="Tahoma" w:eastAsia="Tahoma" w:hAnsi="Tahoma"/>
        </w:rPr>
      </w:pPr>
      <w:r w:rsidRPr="005A55CD">
        <w:rPr>
          <w:rFonts w:ascii="Tahoma" w:eastAsia="Tahoma" w:hAnsi="Tahoma"/>
          <w:b/>
          <w:bCs/>
        </w:rPr>
        <w:t>Note:</w:t>
      </w:r>
      <w:r>
        <w:rPr>
          <w:rFonts w:ascii="Tahoma" w:eastAsia="Tahoma" w:hAnsi="Tahoma"/>
        </w:rPr>
        <w:t xml:space="preserve"> </w:t>
      </w:r>
      <w:r w:rsidR="00B8740C">
        <w:rPr>
          <w:rFonts w:ascii="Tahoma" w:eastAsia="Tahoma" w:hAnsi="Tahoma"/>
        </w:rPr>
        <w:t>The description below may not be the same as the descriptions shown in the Department’s IT</w:t>
      </w:r>
      <w:r>
        <w:rPr>
          <w:rFonts w:ascii="Tahoma" w:eastAsia="Tahoma" w:hAnsi="Tahoma"/>
        </w:rPr>
        <w:t xml:space="preserve"> Systems when managing non-compliance.</w:t>
      </w:r>
    </w:p>
    <w:p w14:paraId="5C19878E" w14:textId="311B4887" w:rsidR="00D94A30" w:rsidRPr="00A13913" w:rsidRDefault="00D94A30" w:rsidP="009F5ECB">
      <w:pPr>
        <w:pStyle w:val="TableChartHeading"/>
      </w:pPr>
      <w:r>
        <w:t>Mutual Obligation Failures</w:t>
      </w:r>
    </w:p>
    <w:tbl>
      <w:tblPr>
        <w:tblStyle w:val="DSSTableStyleB"/>
        <w:tblW w:w="0" w:type="auto"/>
        <w:tblLook w:val="04E0" w:firstRow="1" w:lastRow="1" w:firstColumn="1" w:lastColumn="0" w:noHBand="0" w:noVBand="1"/>
        <w:tblDescription w:val="Example of a table styled with the second of the two DSS table styles. It is populated with food-related dummy data."/>
      </w:tblPr>
      <w:tblGrid>
        <w:gridCol w:w="2127"/>
        <w:gridCol w:w="7938"/>
      </w:tblGrid>
      <w:tr w:rsidR="00145E62" w14:paraId="3EEE9973" w14:textId="77777777" w:rsidTr="00DE7A9B">
        <w:trPr>
          <w:cnfStyle w:val="100000000000" w:firstRow="1" w:lastRow="0" w:firstColumn="0" w:lastColumn="0" w:oddVBand="0" w:evenVBand="0" w:oddHBand="0" w:evenHBand="0" w:firstRowFirstColumn="0" w:firstRowLastColumn="0" w:lastRowFirstColumn="0" w:lastRowLastColumn="0"/>
        </w:trPr>
        <w:tc>
          <w:tcPr>
            <w:tcW w:w="2127" w:type="dxa"/>
            <w:tcBorders>
              <w:top w:val="single" w:sz="4" w:space="0" w:color="auto"/>
              <w:bottom w:val="single" w:sz="4" w:space="0" w:color="auto"/>
            </w:tcBorders>
          </w:tcPr>
          <w:p w14:paraId="5A723A23" w14:textId="77777777" w:rsidR="00D94A30" w:rsidRDefault="00D94A30" w:rsidP="00E042B8">
            <w:pPr>
              <w:pStyle w:val="TableText"/>
            </w:pPr>
            <w:r>
              <w:t>Failure type</w:t>
            </w:r>
          </w:p>
        </w:tc>
        <w:tc>
          <w:tcPr>
            <w:tcW w:w="7938" w:type="dxa"/>
            <w:tcBorders>
              <w:top w:val="single" w:sz="4" w:space="0" w:color="auto"/>
              <w:bottom w:val="single" w:sz="4" w:space="0" w:color="auto"/>
            </w:tcBorders>
          </w:tcPr>
          <w:p w14:paraId="6B2D2B9A" w14:textId="0DD433A1" w:rsidR="00D94A30" w:rsidRDefault="008F6BA1" w:rsidP="00E042B8">
            <w:pPr>
              <w:pStyle w:val="TableText"/>
            </w:pPr>
            <w:r>
              <w:t>Mutual Obligation</w:t>
            </w:r>
            <w:r w:rsidR="00727F1F">
              <w:t xml:space="preserve"> Failure definition</w:t>
            </w:r>
            <w:r w:rsidR="00D94A30">
              <w:t xml:space="preserve"> in Social Security Law</w:t>
            </w:r>
          </w:p>
        </w:tc>
      </w:tr>
      <w:tr w:rsidR="00D94A30" w14:paraId="11DEF5CC" w14:textId="77777777" w:rsidTr="00DE7A9B">
        <w:trPr>
          <w:cnfStyle w:val="000000100000" w:firstRow="0" w:lastRow="0" w:firstColumn="0" w:lastColumn="0" w:oddVBand="0" w:evenVBand="0" w:oddHBand="1" w:evenHBand="0" w:firstRowFirstColumn="0" w:firstRowLastColumn="0" w:lastRowFirstColumn="0" w:lastRowLastColumn="0"/>
        </w:trPr>
        <w:tc>
          <w:tcPr>
            <w:tcW w:w="2127" w:type="dxa"/>
            <w:tcBorders>
              <w:top w:val="single" w:sz="4" w:space="0" w:color="auto"/>
              <w:bottom w:val="single" w:sz="4" w:space="0" w:color="auto"/>
            </w:tcBorders>
          </w:tcPr>
          <w:p w14:paraId="628196D5" w14:textId="77777777" w:rsidR="00D94A30" w:rsidRPr="00BF1F25" w:rsidRDefault="00D94A30" w:rsidP="00E042B8">
            <w:pPr>
              <w:pStyle w:val="TableText"/>
            </w:pPr>
            <w:r w:rsidRPr="00BF1F25">
              <w:t>Job Plan</w:t>
            </w:r>
          </w:p>
        </w:tc>
        <w:tc>
          <w:tcPr>
            <w:tcW w:w="7938" w:type="dxa"/>
            <w:tcBorders>
              <w:top w:val="single" w:sz="4" w:space="0" w:color="auto"/>
              <w:bottom w:val="single" w:sz="4" w:space="0" w:color="auto"/>
            </w:tcBorders>
          </w:tcPr>
          <w:p w14:paraId="20846337" w14:textId="071BD137" w:rsidR="00D94A30" w:rsidRDefault="00D94A30" w:rsidP="007D21CC">
            <w:pPr>
              <w:pStyle w:val="TableList-level1"/>
            </w:pPr>
            <w:r>
              <w:t>Fail</w:t>
            </w:r>
            <w:r w:rsidR="00727F1F">
              <w:t>ing</w:t>
            </w:r>
            <w:r>
              <w:t xml:space="preserve"> to agree to Job Plan.</w:t>
            </w:r>
          </w:p>
        </w:tc>
      </w:tr>
      <w:tr w:rsidR="00145E62" w14:paraId="435B9651" w14:textId="77777777" w:rsidTr="00DE7A9B">
        <w:trPr>
          <w:cnfStyle w:val="000000010000" w:firstRow="0" w:lastRow="0" w:firstColumn="0" w:lastColumn="0" w:oddVBand="0" w:evenVBand="0" w:oddHBand="0" w:evenHBand="1" w:firstRowFirstColumn="0" w:firstRowLastColumn="0" w:lastRowFirstColumn="0" w:lastRowLastColumn="0"/>
        </w:trPr>
        <w:tc>
          <w:tcPr>
            <w:tcW w:w="2127" w:type="dxa"/>
            <w:tcBorders>
              <w:top w:val="single" w:sz="4" w:space="0" w:color="auto"/>
              <w:bottom w:val="single" w:sz="4" w:space="0" w:color="auto"/>
            </w:tcBorders>
          </w:tcPr>
          <w:p w14:paraId="31884B28" w14:textId="77777777" w:rsidR="00D94A30" w:rsidRPr="00BF1F25" w:rsidRDefault="00D94A30" w:rsidP="00E042B8">
            <w:pPr>
              <w:pStyle w:val="TableText"/>
            </w:pPr>
            <w:r w:rsidRPr="00BF1F25">
              <w:t>Non-attendance</w:t>
            </w:r>
          </w:p>
        </w:tc>
        <w:tc>
          <w:tcPr>
            <w:tcW w:w="7938" w:type="dxa"/>
            <w:tcBorders>
              <w:top w:val="single" w:sz="4" w:space="0" w:color="auto"/>
              <w:bottom w:val="single" w:sz="4" w:space="0" w:color="auto"/>
            </w:tcBorders>
          </w:tcPr>
          <w:p w14:paraId="54B81246" w14:textId="77777777" w:rsidR="00D94A30" w:rsidRDefault="00D94A30" w:rsidP="00E042B8">
            <w:pPr>
              <w:pStyle w:val="TableText"/>
            </w:pPr>
            <w:r>
              <w:t>In relation to a compulsory Job Plan requirement or notified requirement:</w:t>
            </w:r>
          </w:p>
          <w:p w14:paraId="34A1F1FB" w14:textId="44229F44" w:rsidR="00D94A30" w:rsidRDefault="00727F1F" w:rsidP="007D21CC">
            <w:pPr>
              <w:pStyle w:val="TableList-level1"/>
            </w:pPr>
            <w:r>
              <w:t>failing</w:t>
            </w:r>
            <w:r w:rsidR="00D94A30">
              <w:t xml:space="preserve"> to attend, or be punctual for, an Appointment</w:t>
            </w:r>
          </w:p>
          <w:p w14:paraId="43CCE8E6" w14:textId="2FE25AEC" w:rsidR="00D94A30" w:rsidRDefault="00727F1F" w:rsidP="007D21CC">
            <w:pPr>
              <w:pStyle w:val="TableList-level1"/>
            </w:pPr>
            <w:r>
              <w:t>failing</w:t>
            </w:r>
            <w:r w:rsidR="00D94A30">
              <w:t xml:space="preserve"> to attend, </w:t>
            </w:r>
            <w:r w:rsidR="001F090F">
              <w:t>or</w:t>
            </w:r>
            <w:r w:rsidR="00D94A30">
              <w:t xml:space="preserve"> participate in, an Activity</w:t>
            </w:r>
          </w:p>
          <w:p w14:paraId="270F9AAB" w14:textId="2CB89A02" w:rsidR="00D94A30" w:rsidRDefault="00D94A30" w:rsidP="007D21CC">
            <w:pPr>
              <w:pStyle w:val="TableList-level1"/>
            </w:pPr>
            <w:r>
              <w:t>fail</w:t>
            </w:r>
            <w:r w:rsidR="00727F1F">
              <w:t>ing</w:t>
            </w:r>
            <w:r>
              <w:t xml:space="preserve"> to attend a Job Interview, and</w:t>
            </w:r>
          </w:p>
          <w:p w14:paraId="1CAD672B" w14:textId="0FC6D123" w:rsidR="00D94A30" w:rsidRDefault="00D94A30" w:rsidP="007D21CC">
            <w:pPr>
              <w:pStyle w:val="TableList-level1"/>
            </w:pPr>
            <w:r>
              <w:t>fail</w:t>
            </w:r>
            <w:r w:rsidR="00B8740C">
              <w:t>ing</w:t>
            </w:r>
            <w:r>
              <w:t xml:space="preserve"> to comply with any other requirement.</w:t>
            </w:r>
          </w:p>
        </w:tc>
      </w:tr>
      <w:tr w:rsidR="00D94A30" w14:paraId="02D4D5BD" w14:textId="77777777" w:rsidTr="00DE7A9B">
        <w:trPr>
          <w:cnfStyle w:val="000000100000" w:firstRow="0" w:lastRow="0" w:firstColumn="0" w:lastColumn="0" w:oddVBand="0" w:evenVBand="0" w:oddHBand="1" w:evenHBand="0" w:firstRowFirstColumn="0" w:firstRowLastColumn="0" w:lastRowFirstColumn="0" w:lastRowLastColumn="0"/>
        </w:trPr>
        <w:tc>
          <w:tcPr>
            <w:tcW w:w="2127" w:type="dxa"/>
            <w:tcBorders>
              <w:top w:val="single" w:sz="4" w:space="0" w:color="auto"/>
              <w:bottom w:val="single" w:sz="4" w:space="0" w:color="auto"/>
            </w:tcBorders>
          </w:tcPr>
          <w:p w14:paraId="2BA27605" w14:textId="77777777" w:rsidR="00D94A30" w:rsidRPr="00BF1F25" w:rsidRDefault="00D94A30" w:rsidP="00E042B8">
            <w:pPr>
              <w:pStyle w:val="TableText"/>
            </w:pPr>
            <w:r w:rsidRPr="00BF1F25">
              <w:t>Job Search</w:t>
            </w:r>
          </w:p>
        </w:tc>
        <w:tc>
          <w:tcPr>
            <w:tcW w:w="7938" w:type="dxa"/>
            <w:tcBorders>
              <w:top w:val="single" w:sz="4" w:space="0" w:color="auto"/>
              <w:bottom w:val="single" w:sz="4" w:space="0" w:color="auto"/>
            </w:tcBorders>
          </w:tcPr>
          <w:p w14:paraId="31E394EB" w14:textId="0011DECA" w:rsidR="00D94A30" w:rsidRDefault="00D94A30" w:rsidP="00E042B8">
            <w:pPr>
              <w:pStyle w:val="TableList-level1"/>
            </w:pPr>
            <w:r>
              <w:t>Fail</w:t>
            </w:r>
            <w:r w:rsidR="00B8740C">
              <w:t>ing</w:t>
            </w:r>
            <w:r>
              <w:t xml:space="preserve"> to undertake the number of Job Searches in their Job Plan.</w:t>
            </w:r>
          </w:p>
        </w:tc>
      </w:tr>
      <w:tr w:rsidR="00145E62" w14:paraId="7EFB29D9" w14:textId="77777777" w:rsidTr="00DE7A9B">
        <w:trPr>
          <w:cnfStyle w:val="000000010000" w:firstRow="0" w:lastRow="0" w:firstColumn="0" w:lastColumn="0" w:oddVBand="0" w:evenVBand="0" w:oddHBand="0" w:evenHBand="1" w:firstRowFirstColumn="0" w:firstRowLastColumn="0" w:lastRowFirstColumn="0" w:lastRowLastColumn="0"/>
        </w:trPr>
        <w:tc>
          <w:tcPr>
            <w:tcW w:w="2127" w:type="dxa"/>
            <w:tcBorders>
              <w:top w:val="single" w:sz="4" w:space="0" w:color="auto"/>
              <w:bottom w:val="single" w:sz="4" w:space="0" w:color="auto"/>
            </w:tcBorders>
          </w:tcPr>
          <w:p w14:paraId="3A186962" w14:textId="77777777" w:rsidR="00D94A30" w:rsidRPr="00BF1F25" w:rsidRDefault="00D94A30" w:rsidP="00E042B8">
            <w:pPr>
              <w:pStyle w:val="TableText"/>
            </w:pPr>
            <w:r w:rsidRPr="00BF1F25">
              <w:t>Misconduct</w:t>
            </w:r>
          </w:p>
        </w:tc>
        <w:tc>
          <w:tcPr>
            <w:tcW w:w="7938" w:type="dxa"/>
            <w:tcBorders>
              <w:top w:val="single" w:sz="4" w:space="0" w:color="auto"/>
              <w:bottom w:val="single" w:sz="4" w:space="0" w:color="auto"/>
            </w:tcBorders>
          </w:tcPr>
          <w:p w14:paraId="558FB782" w14:textId="77777777" w:rsidR="00D94A30" w:rsidRDefault="00D94A30" w:rsidP="00E042B8">
            <w:pPr>
              <w:pStyle w:val="TableText"/>
            </w:pPr>
            <w:r>
              <w:t>In relation to a compulsory Job Plan requirement or notified requirement:</w:t>
            </w:r>
          </w:p>
          <w:p w14:paraId="057FDE15" w14:textId="77777777" w:rsidR="00D94A30" w:rsidRDefault="00D94A30" w:rsidP="007D21CC">
            <w:pPr>
              <w:pStyle w:val="TableList-level1"/>
            </w:pPr>
            <w:r w:rsidRPr="68799C3B">
              <w:t>act</w:t>
            </w:r>
            <w:r>
              <w:t>ing</w:t>
            </w:r>
            <w:r w:rsidRPr="68799C3B">
              <w:t xml:space="preserve"> in an inappropriate manner</w:t>
            </w:r>
            <w:r>
              <w:t xml:space="preserve"> during an Appointment</w:t>
            </w:r>
          </w:p>
          <w:p w14:paraId="157775AB" w14:textId="77777777" w:rsidR="00D94A30" w:rsidRDefault="00D94A30" w:rsidP="007D21CC">
            <w:pPr>
              <w:pStyle w:val="TableList-level1"/>
            </w:pPr>
            <w:r w:rsidRPr="68799C3B">
              <w:t>act</w:t>
            </w:r>
            <w:r>
              <w:t>ing</w:t>
            </w:r>
            <w:r w:rsidRPr="68799C3B">
              <w:t xml:space="preserve"> in an inappropriate manner</w:t>
            </w:r>
            <w:r>
              <w:t xml:space="preserve"> while participating in an Activity</w:t>
            </w:r>
          </w:p>
          <w:p w14:paraId="22E9D0C7" w14:textId="55834E8A" w:rsidR="00D94A30" w:rsidRDefault="00D94A30" w:rsidP="007D21CC">
            <w:pPr>
              <w:pStyle w:val="TableList-level1"/>
            </w:pPr>
            <w:r w:rsidRPr="004B4CB2">
              <w:t xml:space="preserve">intentionally acting in a way that could result in </w:t>
            </w:r>
            <w:r w:rsidR="0063520E">
              <w:t>a job offer</w:t>
            </w:r>
            <w:r w:rsidRPr="004B4CB2">
              <w:t xml:space="preserve"> not being</w:t>
            </w:r>
            <w:r>
              <w:t xml:space="preserve"> made.</w:t>
            </w:r>
          </w:p>
        </w:tc>
      </w:tr>
      <w:tr w:rsidR="00145E62" w:rsidRPr="00682F4D" w14:paraId="3121A25A" w14:textId="77777777" w:rsidTr="00DE7A9B">
        <w:trPr>
          <w:cnfStyle w:val="010000000000" w:firstRow="0" w:lastRow="1" w:firstColumn="0" w:lastColumn="0" w:oddVBand="0" w:evenVBand="0" w:oddHBand="0" w:evenHBand="0" w:firstRowFirstColumn="0" w:firstRowLastColumn="0" w:lastRowFirstColumn="0" w:lastRowLastColumn="0"/>
        </w:trPr>
        <w:tc>
          <w:tcPr>
            <w:tcW w:w="2127" w:type="dxa"/>
            <w:tcBorders>
              <w:top w:val="single" w:sz="4" w:space="0" w:color="auto"/>
              <w:bottom w:val="single" w:sz="4" w:space="0" w:color="auto"/>
            </w:tcBorders>
          </w:tcPr>
          <w:p w14:paraId="04815595" w14:textId="77777777" w:rsidR="00D94A30" w:rsidRPr="00BF1F25" w:rsidRDefault="00D94A30" w:rsidP="00E042B8">
            <w:pPr>
              <w:pStyle w:val="TableText"/>
              <w:rPr>
                <w:b w:val="0"/>
              </w:rPr>
            </w:pPr>
            <w:r w:rsidRPr="00BF1F25">
              <w:rPr>
                <w:b w:val="0"/>
              </w:rPr>
              <w:t>Job Referral</w:t>
            </w:r>
          </w:p>
        </w:tc>
        <w:tc>
          <w:tcPr>
            <w:tcW w:w="7938" w:type="dxa"/>
            <w:tcBorders>
              <w:top w:val="single" w:sz="4" w:space="0" w:color="auto"/>
              <w:bottom w:val="single" w:sz="4" w:space="0" w:color="auto"/>
            </w:tcBorders>
          </w:tcPr>
          <w:p w14:paraId="1B5F4688" w14:textId="486D7E88" w:rsidR="00285975" w:rsidRPr="00B12801" w:rsidRDefault="00D94A30" w:rsidP="003F19D3">
            <w:pPr>
              <w:pStyle w:val="TableList-level1"/>
              <w:rPr>
                <w:b w:val="0"/>
              </w:rPr>
            </w:pPr>
            <w:r w:rsidRPr="000033EB">
              <w:rPr>
                <w:b w:val="0"/>
                <w:bCs/>
              </w:rPr>
              <w:t>Fail</w:t>
            </w:r>
            <w:r w:rsidR="00B8740C">
              <w:rPr>
                <w:b w:val="0"/>
                <w:bCs/>
              </w:rPr>
              <w:t xml:space="preserve">ing </w:t>
            </w:r>
            <w:r w:rsidRPr="000033EB">
              <w:rPr>
                <w:b w:val="0"/>
                <w:bCs/>
              </w:rPr>
              <w:t>to act on a job opportunity when notified to do so by their Provider.</w:t>
            </w:r>
          </w:p>
        </w:tc>
      </w:tr>
    </w:tbl>
    <w:p w14:paraId="725E3374" w14:textId="2B9C08F7" w:rsidR="00D94A30" w:rsidRDefault="00D94A30" w:rsidP="00790013">
      <w:pPr>
        <w:keepNext/>
      </w:pPr>
      <w:r w:rsidRPr="00250BCE">
        <w:t xml:space="preserve">Where a </w:t>
      </w:r>
      <w:r>
        <w:t>Participant</w:t>
      </w:r>
      <w:r w:rsidRPr="00250BCE">
        <w:t xml:space="preserve"> commits a Mutual Obligation Failure</w:t>
      </w:r>
      <w:r>
        <w:t xml:space="preserve">, depending on the TCF Zone they are in, the consequences for the Participant may </w:t>
      </w:r>
      <w:r w:rsidR="00362270">
        <w:t>include</w:t>
      </w:r>
      <w:r>
        <w:t>:</w:t>
      </w:r>
    </w:p>
    <w:p w14:paraId="25EB0D01" w14:textId="77777777" w:rsidR="00300BE7" w:rsidRDefault="00300BE7" w:rsidP="00790013">
      <w:pPr>
        <w:pStyle w:val="BulletLevel1"/>
        <w:keepNext/>
      </w:pPr>
      <w:r>
        <w:t xml:space="preserve">they </w:t>
      </w:r>
      <w:r>
        <w:rPr>
          <w:rFonts w:eastAsiaTheme="minorEastAsia"/>
        </w:rPr>
        <w:t>accrue</w:t>
      </w:r>
      <w:r>
        <w:t xml:space="preserve"> a Demerit if they do not have a Valid Reason </w:t>
      </w:r>
      <w:r w:rsidRPr="009769F4">
        <w:t>and</w:t>
      </w:r>
      <w:r>
        <w:t xml:space="preserve"> are in the Green Zone or the Warning Zone </w:t>
      </w:r>
    </w:p>
    <w:p w14:paraId="22E8E466" w14:textId="17A232DA" w:rsidR="00D94A30" w:rsidRPr="00250BCE" w:rsidRDefault="00D94A30" w:rsidP="00790013">
      <w:pPr>
        <w:pStyle w:val="BulletLevel1"/>
        <w:keepNext/>
      </w:pPr>
      <w:r>
        <w:t xml:space="preserve">their Income Support Payment </w:t>
      </w:r>
      <w:r w:rsidR="00AB7B94">
        <w:t>being</w:t>
      </w:r>
      <w:r>
        <w:t>:</w:t>
      </w:r>
    </w:p>
    <w:p w14:paraId="5B8EEF40" w14:textId="467FEACA" w:rsidR="00D94A30" w:rsidRPr="00250BCE" w:rsidRDefault="00AB7F33" w:rsidP="004E120D">
      <w:pPr>
        <w:pStyle w:val="BulletLevel2"/>
      </w:pPr>
      <w:r>
        <w:t xml:space="preserve">suspended or cancelled, </w:t>
      </w:r>
      <w:r w:rsidR="00D94A30">
        <w:t xml:space="preserve">if the Participant is in the Green Zone or the Warning Zone if, following resolution </w:t>
      </w:r>
      <w:r w:rsidR="004D47C4">
        <w:t>time</w:t>
      </w:r>
      <w:r w:rsidR="00D94A30">
        <w:t>, they do not provide a Valid Reason or meet a Re-engagement Requirement, or</w:t>
      </w:r>
    </w:p>
    <w:p w14:paraId="032846D5" w14:textId="5E5654B2" w:rsidR="00D94A30" w:rsidRPr="00250BCE" w:rsidRDefault="00324CFB" w:rsidP="00324CFB">
      <w:pPr>
        <w:pStyle w:val="BulletLevel2"/>
      </w:pPr>
      <w:r>
        <w:t xml:space="preserve">suspended, reduced or cancelled, </w:t>
      </w:r>
      <w:r w:rsidR="00D94A30">
        <w:t>if the Participant is in the Penalty Zone</w:t>
      </w:r>
      <w:r>
        <w:t>.</w:t>
      </w:r>
    </w:p>
    <w:p w14:paraId="3B320164" w14:textId="71C9590C" w:rsidR="00D94A30" w:rsidRDefault="00D94A30" w:rsidP="00D94A30">
      <w:pPr>
        <w:pStyle w:val="Heading5"/>
      </w:pPr>
      <w:r>
        <w:t>Fast-track Mutual Obligation Failures</w:t>
      </w:r>
    </w:p>
    <w:p w14:paraId="086C3306" w14:textId="1AE80E5C" w:rsidR="00D94A30" w:rsidRDefault="00D94A30" w:rsidP="00D94A30">
      <w:pPr>
        <w:rPr>
          <w:rFonts w:ascii="Tahoma" w:eastAsia="Tahoma" w:hAnsi="Tahoma"/>
        </w:rPr>
      </w:pPr>
      <w:r w:rsidRPr="6055448A">
        <w:rPr>
          <w:rFonts w:ascii="Tahoma" w:eastAsia="Tahoma" w:hAnsi="Tahoma"/>
        </w:rPr>
        <w:t>Certain types of Mutual Obligation Failures are referred to as ‘fast-track’ Mutual Obligation Failures because they can result in a Participant having a Capability Interview or Capability Assessment more quickly than would otherwise be the case.</w:t>
      </w:r>
    </w:p>
    <w:p w14:paraId="7F8A1D26" w14:textId="2F2CF828" w:rsidR="00D94A30" w:rsidRDefault="00D94A30" w:rsidP="00D94A30">
      <w:pPr>
        <w:rPr>
          <w:rFonts w:ascii="Tahoma" w:eastAsia="Tahoma" w:hAnsi="Tahoma"/>
        </w:rPr>
      </w:pPr>
      <w:r w:rsidRPr="0DFD7869">
        <w:rPr>
          <w:rFonts w:ascii="Tahoma" w:eastAsia="Tahoma" w:hAnsi="Tahoma"/>
        </w:rPr>
        <w:t>A fast-track Mutual Obligation Failure occurs when a Participant</w:t>
      </w:r>
      <w:r w:rsidR="00790013">
        <w:rPr>
          <w:rFonts w:ascii="Tahoma" w:eastAsia="Tahoma" w:hAnsi="Tahoma"/>
        </w:rPr>
        <w:t xml:space="preserve"> (with a Detailed Job Plan)</w:t>
      </w:r>
      <w:r w:rsidRPr="0DFD7869">
        <w:rPr>
          <w:rFonts w:ascii="Tahoma" w:eastAsia="Tahoma" w:hAnsi="Tahoma"/>
        </w:rPr>
        <w:t>:</w:t>
      </w:r>
    </w:p>
    <w:p w14:paraId="7362E163" w14:textId="533B513F" w:rsidR="00D94A30" w:rsidRPr="009769F4" w:rsidRDefault="00D94A30" w:rsidP="004E120D">
      <w:pPr>
        <w:pStyle w:val="BulletLevel1"/>
      </w:pPr>
      <w:r w:rsidRPr="009769F4">
        <w:t xml:space="preserve">fails to attend or take part appropriately at a </w:t>
      </w:r>
      <w:r w:rsidR="00573FA6">
        <w:t>schedule</w:t>
      </w:r>
      <w:r w:rsidRPr="009769F4">
        <w:t>d Job Interview, or</w:t>
      </w:r>
    </w:p>
    <w:p w14:paraId="336D883B" w14:textId="0DC507A4" w:rsidR="00D94A30" w:rsidRPr="009769F4" w:rsidRDefault="00D94A30" w:rsidP="004E120D">
      <w:pPr>
        <w:pStyle w:val="BulletLevel1"/>
      </w:pPr>
      <w:r w:rsidRPr="009769F4">
        <w:t xml:space="preserve">fails to act on a Job Referral </w:t>
      </w:r>
      <w:r w:rsidR="007D2016">
        <w:t>task</w:t>
      </w:r>
      <w:r w:rsidRPr="009769F4">
        <w:t xml:space="preserve"> when requested to do so by their Provider. </w:t>
      </w:r>
    </w:p>
    <w:p w14:paraId="0C0FFD41" w14:textId="216FB034" w:rsidR="00D94A30" w:rsidRDefault="00D94A30" w:rsidP="00D94A30">
      <w:pPr>
        <w:rPr>
          <w:rFonts w:ascii="Tahoma" w:eastAsia="Tahoma" w:hAnsi="Tahoma"/>
        </w:rPr>
      </w:pPr>
      <w:r w:rsidRPr="0DFD7869">
        <w:rPr>
          <w:rFonts w:ascii="Tahoma" w:eastAsia="Tahoma" w:hAnsi="Tahoma"/>
        </w:rPr>
        <w:t>The Department’s IT Systems will automatically increase the number of Demerits to:</w:t>
      </w:r>
    </w:p>
    <w:p w14:paraId="5C735478" w14:textId="44A84251" w:rsidR="00D94A30" w:rsidRPr="009769F4" w:rsidRDefault="00D94A30" w:rsidP="004E120D">
      <w:pPr>
        <w:pStyle w:val="BulletLevel1"/>
      </w:pPr>
      <w:r w:rsidRPr="1685E615">
        <w:t xml:space="preserve">3 </w:t>
      </w:r>
      <w:r>
        <w:t>Demerit</w:t>
      </w:r>
      <w:r w:rsidRPr="1685E615">
        <w:t xml:space="preserve">s if the </w:t>
      </w:r>
      <w:r>
        <w:t>Participant</w:t>
      </w:r>
      <w:r w:rsidRPr="1685E615">
        <w:t xml:space="preserve"> has fewer than 3 </w:t>
      </w:r>
      <w:r>
        <w:t>Demerit</w:t>
      </w:r>
      <w:r w:rsidRPr="1685E615">
        <w:t xml:space="preserve">s when they commit a fast-track </w:t>
      </w:r>
      <w:r w:rsidRPr="0DFD7869">
        <w:t xml:space="preserve">Mutual </w:t>
      </w:r>
      <w:r w:rsidRPr="009769F4">
        <w:t>Obligation Failure, or</w:t>
      </w:r>
    </w:p>
    <w:p w14:paraId="4F7C5FBA" w14:textId="4D703B43" w:rsidR="00D94A30" w:rsidRDefault="00D94A30" w:rsidP="004E120D">
      <w:pPr>
        <w:pStyle w:val="BulletLevel1"/>
      </w:pPr>
      <w:r w:rsidRPr="009769F4">
        <w:t>5</w:t>
      </w:r>
      <w:r w:rsidRPr="1685E615">
        <w:t xml:space="preserve"> </w:t>
      </w:r>
      <w:r>
        <w:t>Demerit</w:t>
      </w:r>
      <w:r w:rsidRPr="1685E615">
        <w:t xml:space="preserve">s if the </w:t>
      </w:r>
      <w:r>
        <w:t>Participant</w:t>
      </w:r>
      <w:r w:rsidRPr="1685E615">
        <w:t xml:space="preserve"> has either 3 or 4 </w:t>
      </w:r>
      <w:r>
        <w:t>Demerit</w:t>
      </w:r>
      <w:r w:rsidRPr="1685E615">
        <w:t xml:space="preserve">s when they commit a fast-track </w:t>
      </w:r>
      <w:r w:rsidRPr="06C735AC">
        <w:t>Mutual Obligation Failure</w:t>
      </w:r>
      <w:r w:rsidRPr="1685E615">
        <w:t>.</w:t>
      </w:r>
    </w:p>
    <w:p w14:paraId="71713E21" w14:textId="57AF2F4F" w:rsidR="00D94A30" w:rsidRDefault="00D94A30" w:rsidP="00D94A30">
      <w:pPr>
        <w:pStyle w:val="Heading4"/>
      </w:pPr>
      <w:bookmarkStart w:id="540" w:name="_Toc202900107"/>
      <w:bookmarkStart w:id="541" w:name="_Ref202949826"/>
      <w:bookmarkStart w:id="542" w:name="_Ref202949915"/>
      <w:r>
        <w:t>12.4.2</w:t>
      </w:r>
      <w:r w:rsidR="0020451F">
        <w:tab/>
      </w:r>
      <w:r>
        <w:t>Identifying Mutual Obligation Failures</w:t>
      </w:r>
      <w:bookmarkEnd w:id="540"/>
      <w:bookmarkEnd w:id="541"/>
      <w:bookmarkEnd w:id="542"/>
    </w:p>
    <w:p w14:paraId="206976D8" w14:textId="59513E0F" w:rsidR="00D94A30" w:rsidRDefault="00D94A30" w:rsidP="00D94A30">
      <w:pPr>
        <w:rPr>
          <w:rFonts w:ascii="Tahoma" w:eastAsia="Tahoma" w:hAnsi="Tahoma"/>
        </w:rPr>
      </w:pPr>
      <w:r w:rsidRPr="0DFD7869">
        <w:rPr>
          <w:rFonts w:ascii="Tahoma" w:eastAsia="Tahoma" w:hAnsi="Tahoma"/>
        </w:rPr>
        <w:t xml:space="preserve">Providers have Deed obligations when they become aware that a Participant </w:t>
      </w:r>
      <w:r w:rsidR="000F2168">
        <w:rPr>
          <w:rFonts w:ascii="Tahoma" w:eastAsia="Tahoma" w:hAnsi="Tahoma"/>
        </w:rPr>
        <w:t>may have</w:t>
      </w:r>
      <w:r w:rsidR="00267EF3">
        <w:rPr>
          <w:rFonts w:ascii="Tahoma" w:eastAsia="Tahoma" w:hAnsi="Tahoma"/>
        </w:rPr>
        <w:t xml:space="preserve"> </w:t>
      </w:r>
      <w:r w:rsidR="000F2168">
        <w:rPr>
          <w:rFonts w:ascii="Tahoma" w:eastAsia="Tahoma" w:hAnsi="Tahoma"/>
        </w:rPr>
        <w:t>failed to meet</w:t>
      </w:r>
      <w:r w:rsidRPr="0DFD7869">
        <w:rPr>
          <w:rFonts w:ascii="Tahoma" w:eastAsia="Tahoma" w:hAnsi="Tahoma"/>
        </w:rPr>
        <w:t xml:space="preserve"> a Mutual Obligation </w:t>
      </w:r>
      <w:r w:rsidR="00267EF3">
        <w:rPr>
          <w:rFonts w:ascii="Tahoma" w:eastAsia="Tahoma" w:hAnsi="Tahoma"/>
        </w:rPr>
        <w:t>Requirement</w:t>
      </w:r>
      <w:r w:rsidRPr="0DFD7869">
        <w:rPr>
          <w:rFonts w:ascii="Tahoma" w:eastAsia="Tahoma" w:hAnsi="Tahoma"/>
        </w:rPr>
        <w:t>.</w:t>
      </w:r>
    </w:p>
    <w:p w14:paraId="06FE8630" w14:textId="1D8F6B83" w:rsidR="00D94A30" w:rsidRPr="000033EB" w:rsidRDefault="00D94A30" w:rsidP="000033EB">
      <w:pPr>
        <w:pStyle w:val="DeedReferences"/>
      </w:pPr>
      <w:r w:rsidRPr="000033EB">
        <w:t>(</w:t>
      </w:r>
      <w:r w:rsidR="00A73420">
        <w:t xml:space="preserve">Deed Reference(s): Clause </w:t>
      </w:r>
      <w:r w:rsidR="00DE1DF2">
        <w:t>139</w:t>
      </w:r>
      <w:r w:rsidRPr="000033EB">
        <w:t>)</w:t>
      </w:r>
    </w:p>
    <w:p w14:paraId="170D8A88" w14:textId="1BD82416" w:rsidR="00A35D56" w:rsidRDefault="00FA30A8" w:rsidP="00753B0C">
      <w:pPr>
        <w:rPr>
          <w:rFonts w:ascii="Tahoma" w:eastAsia="Tahoma" w:hAnsi="Tahoma"/>
        </w:rPr>
      </w:pPr>
      <w:r>
        <w:rPr>
          <w:rFonts w:ascii="Tahoma" w:eastAsia="Tahoma" w:hAnsi="Tahoma"/>
        </w:rPr>
        <w:t>The Department’s IT Systems will</w:t>
      </w:r>
      <w:r w:rsidR="00F2152F">
        <w:rPr>
          <w:rFonts w:ascii="Tahoma" w:eastAsia="Tahoma" w:hAnsi="Tahoma"/>
        </w:rPr>
        <w:t xml:space="preserve"> assist in</w:t>
      </w:r>
      <w:r>
        <w:rPr>
          <w:rFonts w:ascii="Tahoma" w:eastAsia="Tahoma" w:hAnsi="Tahoma"/>
        </w:rPr>
        <w:t xml:space="preserve"> identify</w:t>
      </w:r>
      <w:r w:rsidR="00F2152F">
        <w:rPr>
          <w:rFonts w:ascii="Tahoma" w:eastAsia="Tahoma" w:hAnsi="Tahoma"/>
        </w:rPr>
        <w:t>ing</w:t>
      </w:r>
      <w:r>
        <w:rPr>
          <w:rFonts w:ascii="Tahoma" w:eastAsia="Tahoma" w:hAnsi="Tahoma"/>
        </w:rPr>
        <w:t xml:space="preserve"> if:</w:t>
      </w:r>
    </w:p>
    <w:p w14:paraId="40EA50D7" w14:textId="72DBCFEA" w:rsidR="00FA30A8" w:rsidRDefault="00F2152F" w:rsidP="00FA30A8">
      <w:pPr>
        <w:pStyle w:val="BulletLevel1"/>
      </w:pPr>
      <w:r>
        <w:t>a</w:t>
      </w:r>
      <w:r w:rsidR="00FA30A8">
        <w:t xml:space="preserve"> Participant did not attend </w:t>
      </w:r>
      <w:r w:rsidR="00343A5B">
        <w:t>a Provider Appointment</w:t>
      </w:r>
    </w:p>
    <w:p w14:paraId="1DBC9DC2" w14:textId="191C9102" w:rsidR="00753B0C" w:rsidRDefault="00DF2C18" w:rsidP="00DF2C18">
      <w:pPr>
        <w:pStyle w:val="BulletLevel1"/>
        <w:rPr>
          <w:rFonts w:ascii="Tahoma" w:eastAsia="Tahoma" w:hAnsi="Tahoma"/>
        </w:rPr>
      </w:pPr>
      <w:r>
        <w:t xml:space="preserve">a Participant did not attend a </w:t>
      </w:r>
      <w:r w:rsidRPr="0DFD7869">
        <w:rPr>
          <w:rFonts w:ascii="Tahoma" w:eastAsia="Tahoma" w:hAnsi="Tahoma"/>
        </w:rPr>
        <w:t>compulsory Activity or Job Interview</w:t>
      </w:r>
      <w:r>
        <w:rPr>
          <w:rFonts w:ascii="Tahoma" w:eastAsia="Tahoma" w:hAnsi="Tahoma"/>
        </w:rPr>
        <w:t xml:space="preserve">, or if a participation result has </w:t>
      </w:r>
      <w:r w:rsidR="00753B0C" w:rsidRPr="0DFD7869">
        <w:rPr>
          <w:rFonts w:ascii="Tahoma" w:eastAsia="Tahoma" w:hAnsi="Tahoma"/>
          <w:u w:val="single"/>
        </w:rPr>
        <w:t>not</w:t>
      </w:r>
      <w:r w:rsidR="00753B0C" w:rsidRPr="0DFD7869">
        <w:rPr>
          <w:rFonts w:ascii="Tahoma" w:eastAsia="Tahoma" w:hAnsi="Tahoma"/>
        </w:rPr>
        <w:t xml:space="preserve"> </w:t>
      </w:r>
      <w:r>
        <w:rPr>
          <w:rFonts w:ascii="Tahoma" w:eastAsia="Tahoma" w:hAnsi="Tahoma"/>
        </w:rPr>
        <w:t xml:space="preserve">been </w:t>
      </w:r>
      <w:r w:rsidR="00753B0C" w:rsidRPr="0DFD7869">
        <w:rPr>
          <w:rFonts w:ascii="Tahoma" w:eastAsia="Tahoma" w:hAnsi="Tahoma"/>
        </w:rPr>
        <w:t xml:space="preserve">recorded by </w:t>
      </w:r>
      <w:r w:rsidR="00F21F7E">
        <w:rPr>
          <w:rFonts w:ascii="Tahoma" w:eastAsia="Tahoma" w:hAnsi="Tahoma"/>
        </w:rPr>
        <w:t>a</w:t>
      </w:r>
      <w:r w:rsidR="00753B0C" w:rsidRPr="0DFD7869">
        <w:rPr>
          <w:rFonts w:ascii="Tahoma" w:eastAsia="Tahoma" w:hAnsi="Tahoma"/>
        </w:rPr>
        <w:t xml:space="preserve"> Participant</w:t>
      </w:r>
      <w:r w:rsidR="00F21F7E">
        <w:rPr>
          <w:rFonts w:ascii="Tahoma" w:eastAsia="Tahoma" w:hAnsi="Tahoma"/>
        </w:rPr>
        <w:t xml:space="preserve"> with the requirement to self-report</w:t>
      </w:r>
    </w:p>
    <w:p w14:paraId="048D4A06" w14:textId="7A5C3C12" w:rsidR="00066085" w:rsidRDefault="00066085" w:rsidP="00DF2C18">
      <w:pPr>
        <w:pStyle w:val="BulletLevel1"/>
        <w:rPr>
          <w:rFonts w:ascii="Tahoma" w:eastAsia="Tahoma" w:hAnsi="Tahoma"/>
        </w:rPr>
      </w:pPr>
      <w:r>
        <w:rPr>
          <w:rFonts w:ascii="Tahoma" w:eastAsia="Tahoma" w:hAnsi="Tahoma"/>
        </w:rPr>
        <w:t xml:space="preserve">a Participant </w:t>
      </w:r>
      <w:r w:rsidRPr="5DD2C18A">
        <w:rPr>
          <w:rFonts w:ascii="Tahoma" w:eastAsia="Tahoma" w:hAnsi="Tahoma"/>
        </w:rPr>
        <w:t xml:space="preserve">has not agreed to their Job Plan </w:t>
      </w:r>
      <w:r>
        <w:rPr>
          <w:rFonts w:ascii="Tahoma" w:eastAsia="Tahoma" w:hAnsi="Tahoma"/>
        </w:rPr>
        <w:t>after</w:t>
      </w:r>
      <w:r w:rsidRPr="5DD2C18A">
        <w:rPr>
          <w:rFonts w:ascii="Tahoma" w:eastAsia="Tahoma" w:hAnsi="Tahoma"/>
        </w:rPr>
        <w:t xml:space="preserve"> the </w:t>
      </w:r>
      <w:r>
        <w:rPr>
          <w:rFonts w:ascii="Tahoma" w:eastAsia="Tahoma" w:hAnsi="Tahoma"/>
        </w:rPr>
        <w:t>2 Business Days ‘think time’ period</w:t>
      </w:r>
      <w:r w:rsidR="00516E44">
        <w:rPr>
          <w:rFonts w:ascii="Tahoma" w:eastAsia="Tahoma" w:hAnsi="Tahoma"/>
        </w:rPr>
        <w:t xml:space="preserve"> </w:t>
      </w:r>
      <w:r w:rsidR="00516E44" w:rsidRPr="5DD2C18A">
        <w:rPr>
          <w:rFonts w:ascii="Tahoma" w:eastAsia="Tahoma" w:hAnsi="Tahoma"/>
        </w:rPr>
        <w:t xml:space="preserve">(see </w:t>
      </w:r>
      <w:r w:rsidR="005A55CD">
        <w:rPr>
          <w:rFonts w:ascii="Tahoma" w:eastAsia="Tahoma" w:hAnsi="Tahoma"/>
        </w:rPr>
        <w:t xml:space="preserve"> </w:t>
      </w:r>
      <w:r w:rsidR="005A55CD">
        <w:rPr>
          <w:rFonts w:ascii="Tahoma" w:eastAsia="Tahoma" w:hAnsi="Tahoma"/>
        </w:rPr>
        <w:fldChar w:fldCharType="begin"/>
      </w:r>
      <w:r w:rsidR="005A55CD">
        <w:rPr>
          <w:rFonts w:ascii="Tahoma" w:eastAsia="Tahoma" w:hAnsi="Tahoma"/>
        </w:rPr>
        <w:instrText xml:space="preserve"> REF _Ref202787727 \h </w:instrText>
      </w:r>
      <w:r w:rsidR="005A55CD">
        <w:rPr>
          <w:rFonts w:ascii="Tahoma" w:eastAsia="Tahoma" w:hAnsi="Tahoma"/>
        </w:rPr>
      </w:r>
      <w:r w:rsidR="005A55CD">
        <w:rPr>
          <w:rFonts w:ascii="Tahoma" w:eastAsia="Tahoma" w:hAnsi="Tahoma"/>
        </w:rPr>
        <w:fldChar w:fldCharType="separate"/>
      </w:r>
      <w:r w:rsidR="000D75AE">
        <w:t>4.8</w:t>
      </w:r>
      <w:r w:rsidR="00C33F1F">
        <w:t xml:space="preserve"> </w:t>
      </w:r>
      <w:r w:rsidR="000D75AE">
        <w:t>Review and Agreement of the Job Plan</w:t>
      </w:r>
      <w:r w:rsidR="005A55CD">
        <w:rPr>
          <w:rFonts w:ascii="Tahoma" w:eastAsia="Tahoma" w:hAnsi="Tahoma"/>
        </w:rPr>
        <w:fldChar w:fldCharType="end"/>
      </w:r>
      <w:r w:rsidR="00516E44" w:rsidRPr="5DD2C18A">
        <w:rPr>
          <w:rFonts w:ascii="Tahoma" w:eastAsia="Tahoma" w:hAnsi="Tahoma"/>
        </w:rPr>
        <w:t xml:space="preserve"> for more information)</w:t>
      </w:r>
      <w:r w:rsidR="00F2152F">
        <w:rPr>
          <w:rFonts w:ascii="Tahoma" w:eastAsia="Tahoma" w:hAnsi="Tahoma"/>
        </w:rPr>
        <w:t>, or</w:t>
      </w:r>
    </w:p>
    <w:p w14:paraId="422133E3" w14:textId="63686453" w:rsidR="00066085" w:rsidRDefault="00516E44" w:rsidP="00DF2C18">
      <w:pPr>
        <w:pStyle w:val="BulletLevel1"/>
        <w:rPr>
          <w:rFonts w:ascii="Tahoma" w:eastAsia="Tahoma" w:hAnsi="Tahoma"/>
        </w:rPr>
      </w:pPr>
      <w:r>
        <w:rPr>
          <w:rFonts w:ascii="Tahoma" w:eastAsia="Tahoma" w:hAnsi="Tahoma"/>
        </w:rPr>
        <w:t xml:space="preserve">a </w:t>
      </w:r>
      <w:r w:rsidRPr="0DFD7869">
        <w:rPr>
          <w:rFonts w:ascii="Tahoma" w:eastAsia="Tahoma" w:hAnsi="Tahoma"/>
        </w:rPr>
        <w:t>Participant has</w:t>
      </w:r>
      <w:r>
        <w:rPr>
          <w:rFonts w:ascii="Tahoma" w:eastAsia="Tahoma" w:hAnsi="Tahoma"/>
        </w:rPr>
        <w:t xml:space="preserve"> </w:t>
      </w:r>
      <w:r w:rsidR="009B140B">
        <w:rPr>
          <w:rFonts w:ascii="Tahoma" w:eastAsia="Tahoma" w:hAnsi="Tahoma"/>
        </w:rPr>
        <w:t>not met their</w:t>
      </w:r>
      <w:r w:rsidRPr="0DFD7869">
        <w:rPr>
          <w:rFonts w:ascii="Tahoma" w:eastAsia="Tahoma" w:hAnsi="Tahoma"/>
        </w:rPr>
        <w:t xml:space="preserve"> compulsory Job Search Requirement</w:t>
      </w:r>
      <w:r w:rsidR="00F2152F">
        <w:rPr>
          <w:rFonts w:ascii="Tahoma" w:eastAsia="Tahoma" w:hAnsi="Tahoma"/>
        </w:rPr>
        <w:t xml:space="preserve"> (</w:t>
      </w:r>
      <w:r w:rsidR="00F2152F" w:rsidRPr="0DFD7869">
        <w:rPr>
          <w:rFonts w:ascii="Tahoma" w:eastAsia="Tahoma" w:hAnsi="Tahoma"/>
        </w:rPr>
        <w:t xml:space="preserve">see </w:t>
      </w:r>
      <w:r w:rsidR="00C33F1F">
        <w:rPr>
          <w:rFonts w:ascii="Tahoma" w:eastAsia="Tahoma" w:hAnsi="Tahoma"/>
        </w:rPr>
        <w:fldChar w:fldCharType="begin"/>
      </w:r>
      <w:r w:rsidR="00C33F1F">
        <w:rPr>
          <w:rFonts w:ascii="Tahoma" w:eastAsia="Tahoma" w:hAnsi="Tahoma"/>
        </w:rPr>
        <w:instrText xml:space="preserve"> REF _Ref202973852 \h </w:instrText>
      </w:r>
      <w:r w:rsidR="00C33F1F">
        <w:rPr>
          <w:rFonts w:ascii="Tahoma" w:eastAsia="Tahoma" w:hAnsi="Tahoma"/>
        </w:rPr>
      </w:r>
      <w:r w:rsidR="00C33F1F">
        <w:rPr>
          <w:rFonts w:ascii="Tahoma" w:eastAsia="Tahoma" w:hAnsi="Tahoma"/>
        </w:rPr>
        <w:fldChar w:fldCharType="separate"/>
      </w:r>
      <w:r w:rsidR="00C33F1F" w:rsidRPr="652192F6">
        <w:t>5.</w:t>
      </w:r>
      <w:r w:rsidR="00C33F1F">
        <w:t>7</w:t>
      </w:r>
      <w:r w:rsidR="00C33F1F" w:rsidRPr="652192F6">
        <w:t>.</w:t>
      </w:r>
      <w:r w:rsidR="00C33F1F">
        <w:t xml:space="preserve">2 </w:t>
      </w:r>
      <w:r w:rsidR="00C33F1F" w:rsidRPr="652192F6">
        <w:t>Arrangements for Participants (Mutual Obligation)</w:t>
      </w:r>
      <w:r w:rsidR="00C33F1F">
        <w:rPr>
          <w:rFonts w:ascii="Tahoma" w:eastAsia="Tahoma" w:hAnsi="Tahoma"/>
        </w:rPr>
        <w:fldChar w:fldCharType="end"/>
      </w:r>
      <w:r w:rsidR="005A55CD">
        <w:rPr>
          <w:rFonts w:ascii="Tahoma" w:eastAsia="Tahoma" w:hAnsi="Tahoma"/>
          <w:highlight w:val="yellow"/>
        </w:rPr>
        <w:fldChar w:fldCharType="begin"/>
      </w:r>
      <w:r w:rsidR="005A55CD">
        <w:rPr>
          <w:rFonts w:ascii="Tahoma" w:eastAsia="Tahoma" w:hAnsi="Tahoma"/>
        </w:rPr>
        <w:instrText xml:space="preserve"> REF _Ref202949102 \h </w:instrText>
      </w:r>
      <w:r w:rsidR="005A55CD">
        <w:rPr>
          <w:rFonts w:ascii="Tahoma" w:eastAsia="Tahoma" w:hAnsi="Tahoma"/>
          <w:highlight w:val="yellow"/>
        </w:rPr>
      </w:r>
      <w:r w:rsidR="005A55CD">
        <w:rPr>
          <w:rFonts w:ascii="Tahoma" w:eastAsia="Tahoma" w:hAnsi="Tahoma"/>
          <w:highlight w:val="yellow"/>
        </w:rPr>
        <w:fldChar w:fldCharType="separate"/>
      </w:r>
      <w:r w:rsidR="005A55CD">
        <w:rPr>
          <w:rFonts w:ascii="Tahoma" w:eastAsia="Tahoma" w:hAnsi="Tahoma"/>
          <w:highlight w:val="yellow"/>
        </w:rPr>
        <w:fldChar w:fldCharType="end"/>
      </w:r>
      <w:r w:rsidR="00D2721F">
        <w:rPr>
          <w:rFonts w:ascii="Tahoma" w:eastAsia="Tahoma" w:hAnsi="Tahoma"/>
        </w:rPr>
        <w:t xml:space="preserve"> </w:t>
      </w:r>
      <w:r w:rsidR="00F2152F" w:rsidRPr="0DFD7869">
        <w:rPr>
          <w:rFonts w:ascii="Tahoma" w:eastAsia="Tahoma" w:hAnsi="Tahoma"/>
        </w:rPr>
        <w:t>for more information)</w:t>
      </w:r>
      <w:r w:rsidR="00F2152F">
        <w:rPr>
          <w:rFonts w:ascii="Tahoma" w:eastAsia="Tahoma" w:hAnsi="Tahoma"/>
        </w:rPr>
        <w:t>.</w:t>
      </w:r>
    </w:p>
    <w:p w14:paraId="1F8CE96F" w14:textId="618BD69F" w:rsidR="009904A2" w:rsidRDefault="00CE0600" w:rsidP="009904A2">
      <w:pPr>
        <w:pStyle w:val="SystemStep"/>
      </w:pPr>
      <w:r>
        <w:t>[</w:t>
      </w:r>
      <w:r w:rsidR="009904A2">
        <w:t>RESERVED</w:t>
      </w:r>
      <w:r>
        <w:t>]</w:t>
      </w:r>
    </w:p>
    <w:p w14:paraId="263314E6" w14:textId="48E27711" w:rsidR="00D94A30" w:rsidRPr="001F5B6E" w:rsidRDefault="006B3666" w:rsidP="00D94A30">
      <w:pPr>
        <w:pStyle w:val="Heading5"/>
      </w:pPr>
      <w:r>
        <w:t>C</w:t>
      </w:r>
      <w:r w:rsidR="00D94A30">
        <w:t xml:space="preserve">ontact with </w:t>
      </w:r>
      <w:r w:rsidR="00FF453B">
        <w:t>the</w:t>
      </w:r>
      <w:r w:rsidR="00D94A30">
        <w:t xml:space="preserve"> Participant</w:t>
      </w:r>
    </w:p>
    <w:p w14:paraId="20F1D836" w14:textId="41A79AF0" w:rsidR="00D94A30" w:rsidRDefault="0074365A" w:rsidP="00D94A30">
      <w:r>
        <w:t>Before reporting non-compliance, t</w:t>
      </w:r>
      <w:r w:rsidR="00D94A30" w:rsidRPr="7751327C">
        <w:t xml:space="preserve">he Provider must </w:t>
      </w:r>
      <w:r>
        <w:t>attempt</w:t>
      </w:r>
      <w:r w:rsidR="00D94A30" w:rsidRPr="7751327C">
        <w:t xml:space="preserve"> to contact the Participant on the same Business Day that the Participant </w:t>
      </w:r>
      <w:r w:rsidR="00DA3BEB">
        <w:t xml:space="preserve">has </w:t>
      </w:r>
      <w:r w:rsidR="00305D51">
        <w:t>not meet a</w:t>
      </w:r>
      <w:r w:rsidR="00D94A30" w:rsidRPr="7751327C">
        <w:t xml:space="preserve"> Mutual Obligation Requirement</w:t>
      </w:r>
      <w:r w:rsidR="000E6FB8">
        <w:t xml:space="preserve"> as a result of non-attendance or misconduct</w:t>
      </w:r>
      <w:r w:rsidR="0010388F">
        <w:t xml:space="preserve"> for a scheduled attendance-based requirement</w:t>
      </w:r>
      <w:r w:rsidR="00D94A30" w:rsidRPr="7751327C">
        <w:t>.</w:t>
      </w:r>
    </w:p>
    <w:p w14:paraId="79005094" w14:textId="3BA915A5" w:rsidR="00D94A30" w:rsidRDefault="00D94A30" w:rsidP="00D94A30">
      <w:r w:rsidRPr="7751327C">
        <w:rPr>
          <w:b/>
          <w:bCs/>
        </w:rPr>
        <w:t xml:space="preserve">Note: </w:t>
      </w:r>
      <w:r w:rsidRPr="7751327C">
        <w:t>If a Participant has failed to enter into a Job Plan</w:t>
      </w:r>
      <w:r w:rsidR="00FB087E">
        <w:t xml:space="preserve"> or failed to </w:t>
      </w:r>
      <w:r w:rsidR="00305235">
        <w:t>meet their Job Search Requirement for a</w:t>
      </w:r>
      <w:r w:rsidR="00FB087E">
        <w:t xml:space="preserve"> Job Search Reporting Period</w:t>
      </w:r>
      <w:r w:rsidRPr="7751327C">
        <w:t xml:space="preserve">, the </w:t>
      </w:r>
      <w:r w:rsidR="00305235">
        <w:t>D</w:t>
      </w:r>
      <w:r w:rsidR="00FB087E">
        <w:t>epartment’s IT Systems will automatically notify the Participant of the</w:t>
      </w:r>
      <w:r w:rsidR="002A46B1">
        <w:t xml:space="preserve">ir non-compliance and </w:t>
      </w:r>
      <w:r w:rsidR="000E6FB8">
        <w:t>request that they contact their Provider.</w:t>
      </w:r>
      <w:r w:rsidR="00305235">
        <w:t xml:space="preserve"> The </w:t>
      </w:r>
      <w:r w:rsidR="00305235" w:rsidRPr="7751327C">
        <w:t>onus</w:t>
      </w:r>
      <w:r w:rsidR="00305235">
        <w:t xml:space="preserve"> therefore</w:t>
      </w:r>
      <w:r w:rsidR="00305235" w:rsidRPr="7751327C">
        <w:t xml:space="preserve"> is on the Participant contacting the Provider.</w:t>
      </w:r>
    </w:p>
    <w:p w14:paraId="1C202A1D" w14:textId="01D28219" w:rsidR="00D94A30" w:rsidRDefault="00D94A30" w:rsidP="00D94A30">
      <w:pPr>
        <w:rPr>
          <w:rFonts w:ascii="Tahoma" w:eastAsia="Tahoma" w:hAnsi="Tahoma"/>
        </w:rPr>
      </w:pPr>
      <w:r w:rsidRPr="5DD2C18A">
        <w:rPr>
          <w:u w:val="single"/>
        </w:rPr>
        <w:t>Where contact can be made with the Participant</w:t>
      </w:r>
      <w:r>
        <w:t xml:space="preserve">, the Provider must </w:t>
      </w:r>
      <w:r w:rsidRPr="5DD2C18A">
        <w:rPr>
          <w:rFonts w:ascii="Tahoma" w:eastAsia="Tahoma" w:hAnsi="Tahoma"/>
        </w:rPr>
        <w:t>discuss the circumstances of the apparent failure</w:t>
      </w:r>
      <w:r>
        <w:rPr>
          <w:rFonts w:ascii="Tahoma" w:eastAsia="Tahoma" w:hAnsi="Tahoma"/>
        </w:rPr>
        <w:t xml:space="preserve"> </w:t>
      </w:r>
      <w:r w:rsidRPr="5DD2C18A">
        <w:rPr>
          <w:rFonts w:ascii="Tahoma" w:eastAsia="Tahoma" w:hAnsi="Tahoma"/>
        </w:rPr>
        <w:t xml:space="preserve">and </w:t>
      </w:r>
      <w:r>
        <w:rPr>
          <w:rFonts w:ascii="Tahoma" w:eastAsia="Tahoma" w:hAnsi="Tahoma"/>
        </w:rPr>
        <w:t>determine</w:t>
      </w:r>
      <w:r w:rsidRPr="5DD2C18A">
        <w:rPr>
          <w:rFonts w:ascii="Tahoma" w:eastAsia="Tahoma" w:hAnsi="Tahoma"/>
        </w:rPr>
        <w:t xml:space="preserve"> </w:t>
      </w:r>
      <w:r w:rsidR="00EB6DA7">
        <w:rPr>
          <w:rFonts w:ascii="Tahoma" w:eastAsia="Tahoma" w:hAnsi="Tahoma"/>
        </w:rPr>
        <w:t>if</w:t>
      </w:r>
      <w:r w:rsidRPr="5DD2C18A">
        <w:rPr>
          <w:rFonts w:ascii="Tahoma" w:eastAsia="Tahoma" w:hAnsi="Tahoma"/>
        </w:rPr>
        <w:t xml:space="preserve"> </w:t>
      </w:r>
      <w:r w:rsidR="00060022">
        <w:rPr>
          <w:rFonts w:ascii="Tahoma" w:eastAsia="Tahoma" w:hAnsi="Tahoma"/>
        </w:rPr>
        <w:t>the Participant had a Valid Reason for the non-compliance.</w:t>
      </w:r>
    </w:p>
    <w:p w14:paraId="18FC6731" w14:textId="0F3B27B9" w:rsidR="00D94A30" w:rsidRDefault="00D94A30" w:rsidP="00D94A30">
      <w:pPr>
        <w:rPr>
          <w:rFonts w:ascii="Tahoma" w:eastAsia="Tahoma" w:hAnsi="Tahoma"/>
        </w:rPr>
      </w:pPr>
      <w:r>
        <w:rPr>
          <w:rFonts w:ascii="Tahoma" w:eastAsia="Tahoma" w:hAnsi="Tahoma"/>
        </w:rPr>
        <w:t>If, after discussing the circumstances of the Mutual Obligation Failure, the Provider cannot establish</w:t>
      </w:r>
      <w:r w:rsidR="002518F6">
        <w:rPr>
          <w:rFonts w:ascii="Tahoma" w:eastAsia="Tahoma" w:hAnsi="Tahoma"/>
        </w:rPr>
        <w:t xml:space="preserve"> the Participant had</w:t>
      </w:r>
      <w:r>
        <w:rPr>
          <w:rFonts w:ascii="Tahoma" w:eastAsia="Tahoma" w:hAnsi="Tahoma"/>
        </w:rPr>
        <w:t xml:space="preserve"> a Valid </w:t>
      </w:r>
      <w:r w:rsidRPr="0DFD7869">
        <w:rPr>
          <w:rFonts w:ascii="Tahoma" w:eastAsia="Tahoma" w:hAnsi="Tahoma"/>
        </w:rPr>
        <w:t xml:space="preserve">Reason for the non-compliance, the Provider must immediately record this </w:t>
      </w:r>
      <w:r w:rsidRPr="00D43A7F">
        <w:rPr>
          <w:rFonts w:ascii="Tahoma" w:eastAsia="Tahoma" w:hAnsi="Tahoma"/>
        </w:rPr>
        <w:t xml:space="preserve">in the Department’s IT Systems in accordance with </w:t>
      </w:r>
      <w:r w:rsidR="001D1BF8" w:rsidRPr="00D43A7F">
        <w:rPr>
          <w:rFonts w:ascii="Tahoma" w:eastAsia="Tahoma" w:hAnsi="Tahoma"/>
        </w:rPr>
        <w:fldChar w:fldCharType="begin"/>
      </w:r>
      <w:r w:rsidR="001D1BF8" w:rsidRPr="00D43A7F">
        <w:rPr>
          <w:rFonts w:ascii="Tahoma" w:eastAsia="Tahoma" w:hAnsi="Tahoma"/>
        </w:rPr>
        <w:instrText xml:space="preserve"> REF _Ref202949225 \h </w:instrText>
      </w:r>
      <w:r w:rsidR="00D43A7F">
        <w:rPr>
          <w:rFonts w:ascii="Tahoma" w:eastAsia="Tahoma" w:hAnsi="Tahoma"/>
        </w:rPr>
        <w:instrText xml:space="preserve"> \* MERGEFORMAT </w:instrText>
      </w:r>
      <w:r w:rsidR="001D1BF8" w:rsidRPr="00D43A7F">
        <w:rPr>
          <w:rFonts w:ascii="Tahoma" w:eastAsia="Tahoma" w:hAnsi="Tahoma"/>
        </w:rPr>
      </w:r>
      <w:r w:rsidR="001D1BF8" w:rsidRPr="00D43A7F">
        <w:rPr>
          <w:rFonts w:ascii="Tahoma" w:eastAsia="Tahoma" w:hAnsi="Tahoma"/>
        </w:rPr>
        <w:fldChar w:fldCharType="separate"/>
      </w:r>
      <w:r w:rsidR="000D75AE">
        <w:t>12.4.4</w:t>
      </w:r>
      <w:r w:rsidR="00C33F1F">
        <w:t xml:space="preserve"> </w:t>
      </w:r>
      <w:r w:rsidR="000D75AE">
        <w:t>Reporting Mutual Obligation Failures</w:t>
      </w:r>
      <w:r w:rsidR="001D1BF8" w:rsidRPr="00D43A7F">
        <w:rPr>
          <w:rFonts w:ascii="Tahoma" w:eastAsia="Tahoma" w:hAnsi="Tahoma"/>
        </w:rPr>
        <w:fldChar w:fldCharType="end"/>
      </w:r>
      <w:r w:rsidR="001D1BF8" w:rsidRPr="00D43A7F">
        <w:rPr>
          <w:rFonts w:ascii="Tahoma" w:eastAsia="Tahoma" w:hAnsi="Tahoma"/>
        </w:rPr>
        <w:t xml:space="preserve"> </w:t>
      </w:r>
      <w:r w:rsidRPr="00D43A7F">
        <w:rPr>
          <w:rFonts w:ascii="Tahoma" w:eastAsia="Tahoma" w:hAnsi="Tahoma"/>
        </w:rPr>
        <w:t xml:space="preserve">and determine if a </w:t>
      </w:r>
      <w:r w:rsidRPr="00D43A7F">
        <w:t xml:space="preserve">Re-engagement Requirement </w:t>
      </w:r>
      <w:r w:rsidRPr="00D43A7F">
        <w:rPr>
          <w:rFonts w:ascii="Tahoma" w:eastAsia="Tahoma" w:hAnsi="Tahoma"/>
        </w:rPr>
        <w:t xml:space="preserve">should be set for the Participant — which may be a Capability Interview or Capability Assessment. Further details are included in </w:t>
      </w:r>
      <w:r w:rsidR="00F94EAF" w:rsidRPr="00D43A7F">
        <w:fldChar w:fldCharType="begin"/>
      </w:r>
      <w:r w:rsidR="00F94EAF" w:rsidRPr="00D43A7F">
        <w:instrText xml:space="preserve"> REF _Ref202789969 \h </w:instrText>
      </w:r>
      <w:r w:rsidR="00D43A7F">
        <w:instrText xml:space="preserve"> \* MERGEFORMAT </w:instrText>
      </w:r>
      <w:r w:rsidR="00F94EAF" w:rsidRPr="00D43A7F">
        <w:fldChar w:fldCharType="separate"/>
      </w:r>
      <w:r w:rsidR="000D75AE">
        <w:t>12.4.6</w:t>
      </w:r>
      <w:r w:rsidR="00C33F1F">
        <w:t xml:space="preserve"> </w:t>
      </w:r>
      <w:r w:rsidR="000D75AE">
        <w:t>Re-engagement Requirements</w:t>
      </w:r>
      <w:r w:rsidR="00F94EAF" w:rsidRPr="00D43A7F">
        <w:fldChar w:fldCharType="end"/>
      </w:r>
      <w:r w:rsidRPr="00D43A7F">
        <w:rPr>
          <w:rFonts w:ascii="Tahoma" w:eastAsia="Tahoma" w:hAnsi="Tahoma"/>
        </w:rPr>
        <w:t xml:space="preserve">, </w:t>
      </w:r>
      <w:r w:rsidR="00D43A7F" w:rsidRPr="00D43A7F">
        <w:rPr>
          <w:rFonts w:ascii="Tahoma" w:eastAsia="Tahoma" w:hAnsi="Tahoma"/>
        </w:rPr>
        <w:fldChar w:fldCharType="begin"/>
      </w:r>
      <w:r w:rsidR="00D43A7F" w:rsidRPr="00D43A7F">
        <w:rPr>
          <w:rFonts w:ascii="Tahoma" w:eastAsia="Tahoma" w:hAnsi="Tahoma"/>
        </w:rPr>
        <w:instrText xml:space="preserve"> REF _Ref202782980 \h </w:instrText>
      </w:r>
      <w:r w:rsidR="00D43A7F">
        <w:rPr>
          <w:rFonts w:ascii="Tahoma" w:eastAsia="Tahoma" w:hAnsi="Tahoma"/>
        </w:rPr>
        <w:instrText xml:space="preserve"> \* MERGEFORMAT </w:instrText>
      </w:r>
      <w:r w:rsidR="00D43A7F" w:rsidRPr="00D43A7F">
        <w:rPr>
          <w:rFonts w:ascii="Tahoma" w:eastAsia="Tahoma" w:hAnsi="Tahoma"/>
        </w:rPr>
      </w:r>
      <w:r w:rsidR="00D43A7F" w:rsidRPr="00D43A7F">
        <w:rPr>
          <w:rFonts w:ascii="Tahoma" w:eastAsia="Tahoma" w:hAnsi="Tahoma"/>
        </w:rPr>
        <w:fldChar w:fldCharType="separate"/>
      </w:r>
      <w:r w:rsidR="000D75AE">
        <w:t>12.4.7</w:t>
      </w:r>
      <w:r w:rsidR="00C33F1F">
        <w:t xml:space="preserve"> </w:t>
      </w:r>
      <w:r w:rsidR="000D75AE">
        <w:t>Capability Interviews</w:t>
      </w:r>
      <w:r w:rsidR="00D43A7F" w:rsidRPr="00D43A7F">
        <w:rPr>
          <w:rFonts w:ascii="Tahoma" w:eastAsia="Tahoma" w:hAnsi="Tahoma"/>
        </w:rPr>
        <w:fldChar w:fldCharType="end"/>
      </w:r>
      <w:r w:rsidR="00D43A7F" w:rsidRPr="00D43A7F">
        <w:rPr>
          <w:rFonts w:ascii="Tahoma" w:eastAsia="Tahoma" w:hAnsi="Tahoma"/>
        </w:rPr>
        <w:t xml:space="preserve"> and </w:t>
      </w:r>
      <w:r w:rsidR="00D43A7F" w:rsidRPr="00D43A7F">
        <w:rPr>
          <w:rFonts w:ascii="Tahoma" w:eastAsia="Tahoma" w:hAnsi="Tahoma"/>
        </w:rPr>
        <w:fldChar w:fldCharType="begin"/>
      </w:r>
      <w:r w:rsidR="00D43A7F" w:rsidRPr="00D43A7F">
        <w:rPr>
          <w:rFonts w:ascii="Tahoma" w:eastAsia="Tahoma" w:hAnsi="Tahoma"/>
        </w:rPr>
        <w:instrText xml:space="preserve"> REF _Ref202949340 \h </w:instrText>
      </w:r>
      <w:r w:rsidR="00D43A7F">
        <w:rPr>
          <w:rFonts w:ascii="Tahoma" w:eastAsia="Tahoma" w:hAnsi="Tahoma"/>
        </w:rPr>
        <w:instrText xml:space="preserve"> \* MERGEFORMAT </w:instrText>
      </w:r>
      <w:r w:rsidR="00D43A7F" w:rsidRPr="00D43A7F">
        <w:rPr>
          <w:rFonts w:ascii="Tahoma" w:eastAsia="Tahoma" w:hAnsi="Tahoma"/>
        </w:rPr>
      </w:r>
      <w:r w:rsidR="00D43A7F" w:rsidRPr="00D43A7F">
        <w:rPr>
          <w:rFonts w:ascii="Tahoma" w:eastAsia="Tahoma" w:hAnsi="Tahoma"/>
        </w:rPr>
        <w:fldChar w:fldCharType="separate"/>
      </w:r>
      <w:r w:rsidR="000D75AE">
        <w:t>12.4.8</w:t>
      </w:r>
      <w:r w:rsidR="00C33F1F">
        <w:t xml:space="preserve"> </w:t>
      </w:r>
      <w:r w:rsidR="000D75AE">
        <w:t>Capability Assessment</w:t>
      </w:r>
      <w:r w:rsidR="00D43A7F" w:rsidRPr="00D43A7F">
        <w:rPr>
          <w:rFonts w:ascii="Tahoma" w:eastAsia="Tahoma" w:hAnsi="Tahoma"/>
        </w:rPr>
        <w:fldChar w:fldCharType="end"/>
      </w:r>
      <w:r w:rsidRPr="00D43A7F">
        <w:rPr>
          <w:rFonts w:ascii="Tahoma" w:eastAsia="Tahoma" w:hAnsi="Tahoma"/>
        </w:rPr>
        <w:t>.</w:t>
      </w:r>
    </w:p>
    <w:p w14:paraId="260F6F4F" w14:textId="6203DD41" w:rsidR="00D94A30" w:rsidRDefault="00D94A30" w:rsidP="00D94A30">
      <w:r w:rsidRPr="5DD2C18A">
        <w:rPr>
          <w:rFonts w:ascii="Tahoma" w:eastAsia="Tahoma" w:hAnsi="Tahoma"/>
        </w:rPr>
        <w:t xml:space="preserve">If, after discussing the circumstances of the Mutual Obligation Failure, the Provider </w:t>
      </w:r>
      <w:r w:rsidR="002518F6">
        <w:rPr>
          <w:rFonts w:ascii="Tahoma" w:eastAsia="Tahoma" w:hAnsi="Tahoma"/>
        </w:rPr>
        <w:t xml:space="preserve">establishes the Participant had a Valid Reason for the non-compliance, </w:t>
      </w:r>
      <w:r>
        <w:t xml:space="preserve">a Mutual Obligation Failure </w:t>
      </w:r>
      <w:r w:rsidR="00B61E9F">
        <w:t>has not occurred</w:t>
      </w:r>
      <w:r>
        <w:t>.</w:t>
      </w:r>
    </w:p>
    <w:p w14:paraId="7F31C743" w14:textId="6B6F9A01" w:rsidR="00B61E9F" w:rsidRDefault="00B61E9F" w:rsidP="00D94A30">
      <w:r>
        <w:t xml:space="preserve">Providers must record whether or not there was a Valid Reason as outlined in </w:t>
      </w:r>
      <w:r w:rsidR="000D5DC6">
        <w:rPr>
          <w:highlight w:val="yellow"/>
        </w:rPr>
        <w:fldChar w:fldCharType="begin"/>
      </w:r>
      <w:r w:rsidR="000D5DC6">
        <w:instrText xml:space="preserve"> REF _Ref202949262 \h </w:instrText>
      </w:r>
      <w:r w:rsidR="000D5DC6">
        <w:rPr>
          <w:highlight w:val="yellow"/>
        </w:rPr>
      </w:r>
      <w:r w:rsidR="000D5DC6">
        <w:rPr>
          <w:highlight w:val="yellow"/>
        </w:rPr>
        <w:fldChar w:fldCharType="separate"/>
      </w:r>
      <w:r w:rsidR="000D75AE">
        <w:t>12.4.3</w:t>
      </w:r>
      <w:r w:rsidR="00C33F1F">
        <w:t xml:space="preserve"> </w:t>
      </w:r>
      <w:r w:rsidR="000D75AE">
        <w:t>Recording if a Participant had a Valid Reason</w:t>
      </w:r>
      <w:r w:rsidR="000D5DC6">
        <w:rPr>
          <w:highlight w:val="yellow"/>
        </w:rPr>
        <w:fldChar w:fldCharType="end"/>
      </w:r>
      <w:r w:rsidR="00B11D43">
        <w:t>.</w:t>
      </w:r>
    </w:p>
    <w:p w14:paraId="2BB46A26" w14:textId="78814B95" w:rsidR="004C3E51" w:rsidRDefault="004C3E51" w:rsidP="004C3E51">
      <w:pPr>
        <w:rPr>
          <w:rFonts w:ascii="Tahoma" w:eastAsia="Tahoma" w:hAnsi="Tahoma"/>
        </w:rPr>
      </w:pPr>
      <w:r w:rsidRPr="5DD2C18A">
        <w:rPr>
          <w:rFonts w:ascii="Tahoma" w:eastAsia="Tahoma" w:hAnsi="Tahoma"/>
        </w:rPr>
        <w:t xml:space="preserve">On the day the Provider </w:t>
      </w:r>
      <w:r>
        <w:rPr>
          <w:rFonts w:ascii="Tahoma" w:eastAsia="Tahoma" w:hAnsi="Tahoma"/>
        </w:rPr>
        <w:t>determines</w:t>
      </w:r>
      <w:r w:rsidRPr="5DD2C18A">
        <w:rPr>
          <w:rFonts w:ascii="Tahoma" w:eastAsia="Tahoma" w:hAnsi="Tahoma"/>
        </w:rPr>
        <w:t xml:space="preserve"> a Participant </w:t>
      </w:r>
      <w:r w:rsidR="00185C72">
        <w:rPr>
          <w:rFonts w:ascii="Tahoma" w:eastAsia="Tahoma" w:hAnsi="Tahoma"/>
        </w:rPr>
        <w:t>did</w:t>
      </w:r>
      <w:r w:rsidRPr="5DD2C18A">
        <w:rPr>
          <w:rFonts w:ascii="Tahoma" w:eastAsia="Tahoma" w:hAnsi="Tahoma"/>
        </w:rPr>
        <w:t xml:space="preserve"> not have a Valid Reason, the Provider must inform the Participant:</w:t>
      </w:r>
    </w:p>
    <w:p w14:paraId="1A9816FA" w14:textId="6E0205F6" w:rsidR="008347B5" w:rsidRDefault="00375F69" w:rsidP="004C3E51">
      <w:pPr>
        <w:pStyle w:val="BulletLevel1"/>
      </w:pPr>
      <w:r w:rsidRPr="00F277FE">
        <w:t>what and when the Participant’s Re-engagement Requirement will be, if relevant</w:t>
      </w:r>
    </w:p>
    <w:p w14:paraId="4358FAE9" w14:textId="35E7D9B7" w:rsidR="004C3E51" w:rsidRPr="009769F4" w:rsidRDefault="004C3E51" w:rsidP="004C3E51">
      <w:pPr>
        <w:pStyle w:val="BulletLevel1"/>
      </w:pPr>
      <w:r w:rsidRPr="009769F4">
        <w:t>why their given reason was not a Valid Reason (including the consequences of having no Valid Reason for non-compliance)</w:t>
      </w:r>
    </w:p>
    <w:p w14:paraId="479EA4F2" w14:textId="77777777" w:rsidR="004C3E51" w:rsidRPr="009769F4" w:rsidRDefault="004C3E51" w:rsidP="004C3E51">
      <w:pPr>
        <w:pStyle w:val="BulletLevel1"/>
      </w:pPr>
      <w:r w:rsidRPr="009769F4">
        <w:t>how this determination will be displayed on the ‘Participant’s Compliance Status Indicator’ on their Workforce Australia homepage, including the number of Demerits the Participant has accrued</w:t>
      </w:r>
    </w:p>
    <w:p w14:paraId="2C2AABC3" w14:textId="70BADDB0" w:rsidR="004C3E51" w:rsidRPr="009769F4" w:rsidRDefault="00BE0F04" w:rsidP="004C3E51">
      <w:pPr>
        <w:pStyle w:val="BulletLevel1"/>
      </w:pPr>
      <w:r>
        <w:t>if</w:t>
      </w:r>
      <w:r w:rsidR="004C3E51" w:rsidRPr="009769F4">
        <w:t xml:space="preserve"> the Mutual Obligation Failure is a ‘fast-track’ Mutual Obligation Failure and, if so, what that means and what the next steps are</w:t>
      </w:r>
    </w:p>
    <w:p w14:paraId="7C0C1521" w14:textId="77777777" w:rsidR="004C3E51" w:rsidRPr="009769F4" w:rsidRDefault="004C3E51" w:rsidP="004C3E51">
      <w:pPr>
        <w:pStyle w:val="BulletLevel1"/>
      </w:pPr>
      <w:r w:rsidRPr="009769F4">
        <w:t>the importance of meeting all Mutual Obligation Requirements</w:t>
      </w:r>
    </w:p>
    <w:p w14:paraId="76938327" w14:textId="77777777" w:rsidR="004C3E51" w:rsidRPr="009769F4" w:rsidRDefault="004C3E51" w:rsidP="004C3E51">
      <w:pPr>
        <w:pStyle w:val="BulletLevel1"/>
      </w:pPr>
      <w:r w:rsidRPr="009769F4">
        <w:t>the consequences of persistent non‑compliance</w:t>
      </w:r>
    </w:p>
    <w:p w14:paraId="141B6C3A" w14:textId="77777777" w:rsidR="004C3E51" w:rsidRPr="009769F4" w:rsidRDefault="004C3E51" w:rsidP="004C3E51">
      <w:pPr>
        <w:pStyle w:val="BulletLevel1"/>
      </w:pPr>
      <w:r w:rsidRPr="009769F4">
        <w:t>impact on their Income Support Payment, that is:</w:t>
      </w:r>
    </w:p>
    <w:p w14:paraId="7B13A6B0" w14:textId="7E6ABB97" w:rsidR="004C3E51" w:rsidRDefault="004C3E51" w:rsidP="004C3E51">
      <w:pPr>
        <w:pStyle w:val="BulletLevel2"/>
      </w:pPr>
      <w:r w:rsidRPr="00794B24">
        <w:rPr>
          <w:u w:val="single"/>
        </w:rPr>
        <w:t xml:space="preserve">for </w:t>
      </w:r>
      <w:r>
        <w:rPr>
          <w:u w:val="single"/>
        </w:rPr>
        <w:t>Participant</w:t>
      </w:r>
      <w:r w:rsidRPr="00794B24">
        <w:rPr>
          <w:u w:val="single"/>
        </w:rPr>
        <w:t>s in the Green or Warning Zone</w:t>
      </w:r>
      <w:r>
        <w:t xml:space="preserve">, </w:t>
      </w:r>
      <w:r w:rsidRPr="68799C3B">
        <w:t xml:space="preserve">their Income Support Payment </w:t>
      </w:r>
      <w:r>
        <w:t>may</w:t>
      </w:r>
      <w:r w:rsidRPr="68799C3B">
        <w:t xml:space="preserve"> be suspended in 5 Business Days unless the </w:t>
      </w:r>
      <w:r>
        <w:t>Participant</w:t>
      </w:r>
      <w:r w:rsidRPr="68799C3B">
        <w:t xml:space="preserve"> is able to meet a </w:t>
      </w:r>
      <w:r>
        <w:t>Re-engagement Requirement</w:t>
      </w:r>
      <w:r w:rsidRPr="68799C3B">
        <w:t xml:space="preserve"> before those 5 Business Days lapse</w:t>
      </w:r>
      <w:r w:rsidR="006D21BB">
        <w:t xml:space="preserve"> or, if their payment is already suspended</w:t>
      </w:r>
      <w:r w:rsidR="00E21448">
        <w:t xml:space="preserve">, that it </w:t>
      </w:r>
      <w:r w:rsidR="00E43AC5">
        <w:t>may be cancelled if they do not</w:t>
      </w:r>
      <w:r w:rsidR="00E21448">
        <w:t xml:space="preserve"> they meet the Re-engagement Requirement</w:t>
      </w:r>
      <w:r w:rsidR="00E43AC5">
        <w:t xml:space="preserve"> within 4 weeks</w:t>
      </w:r>
      <w:r w:rsidR="00E21448">
        <w:t>, or</w:t>
      </w:r>
    </w:p>
    <w:p w14:paraId="61164F27" w14:textId="5403907B" w:rsidR="004C3E51" w:rsidRPr="004C3E51" w:rsidRDefault="004C3E51" w:rsidP="00201C84">
      <w:pPr>
        <w:pStyle w:val="BulletLevel2"/>
      </w:pPr>
      <w:r w:rsidRPr="00E21448">
        <w:rPr>
          <w:u w:val="single"/>
        </w:rPr>
        <w:t>for Participants in the Penalty Zone</w:t>
      </w:r>
      <w:r>
        <w:t>,</w:t>
      </w:r>
      <w:r w:rsidRPr="68799C3B">
        <w:t xml:space="preserve"> their Income Support Payment has been suspended, and</w:t>
      </w:r>
      <w:r w:rsidR="00E21448">
        <w:t xml:space="preserve"> </w:t>
      </w:r>
      <w:r w:rsidRPr="68799C3B">
        <w:t xml:space="preserve">they </w:t>
      </w:r>
      <w:r>
        <w:t>need to</w:t>
      </w:r>
      <w:r w:rsidRPr="68799C3B">
        <w:t xml:space="preserve"> meet a </w:t>
      </w:r>
      <w:r>
        <w:t>Re-engagement Requirement</w:t>
      </w:r>
      <w:r w:rsidRPr="68799C3B">
        <w:t xml:space="preserve"> to </w:t>
      </w:r>
      <w:r w:rsidR="00406116">
        <w:t>avoid having</w:t>
      </w:r>
      <w:r w:rsidRPr="68799C3B">
        <w:t xml:space="preserve"> their Income Support Payment </w:t>
      </w:r>
      <w:r w:rsidR="00406116">
        <w:t>reduced or cancelled</w:t>
      </w:r>
      <w:r w:rsidR="005A640C">
        <w:t>.</w:t>
      </w:r>
    </w:p>
    <w:p w14:paraId="392DFF7E" w14:textId="5FBA01F0" w:rsidR="00D94A30" w:rsidRDefault="00D94A30" w:rsidP="00D94A30">
      <w:r w:rsidRPr="5DD2C18A">
        <w:rPr>
          <w:rFonts w:ascii="Tahoma" w:eastAsia="Tahoma" w:hAnsi="Tahoma"/>
          <w:u w:val="single"/>
        </w:rPr>
        <w:t>Where contact cannot be made with the Participant</w:t>
      </w:r>
      <w:r w:rsidRPr="5DD2C18A">
        <w:rPr>
          <w:rFonts w:ascii="Tahoma" w:eastAsia="Tahoma" w:hAnsi="Tahoma"/>
        </w:rPr>
        <w:t xml:space="preserve">, the Provider must </w:t>
      </w:r>
      <w:r>
        <w:rPr>
          <w:rFonts w:ascii="Tahoma" w:eastAsia="Tahoma" w:hAnsi="Tahoma"/>
        </w:rPr>
        <w:t xml:space="preserve">record that they are not in contact with the Participant and </w:t>
      </w:r>
      <w:r>
        <w:t xml:space="preserve">undertake the steps needed to report the apparent Mutual Obligation Failure as outlined in </w:t>
      </w:r>
      <w:r w:rsidR="000D5DC6">
        <w:rPr>
          <w:rFonts w:ascii="Tahoma" w:eastAsia="Tahoma" w:hAnsi="Tahoma"/>
          <w:highlight w:val="yellow"/>
        </w:rPr>
        <w:fldChar w:fldCharType="begin"/>
      </w:r>
      <w:r w:rsidR="000D5DC6">
        <w:rPr>
          <w:rFonts w:ascii="Tahoma" w:eastAsia="Tahoma" w:hAnsi="Tahoma"/>
        </w:rPr>
        <w:instrText xml:space="preserve"> REF _Ref202949225 \h </w:instrText>
      </w:r>
      <w:r w:rsidR="000D5DC6">
        <w:rPr>
          <w:rFonts w:ascii="Tahoma" w:eastAsia="Tahoma" w:hAnsi="Tahoma"/>
          <w:highlight w:val="yellow"/>
        </w:rPr>
      </w:r>
      <w:r w:rsidR="000D5DC6">
        <w:rPr>
          <w:rFonts w:ascii="Tahoma" w:eastAsia="Tahoma" w:hAnsi="Tahoma"/>
          <w:highlight w:val="yellow"/>
        </w:rPr>
        <w:fldChar w:fldCharType="separate"/>
      </w:r>
      <w:r w:rsidR="000D75AE">
        <w:t>12.4.4</w:t>
      </w:r>
      <w:r w:rsidR="00E12BF6">
        <w:t xml:space="preserve"> </w:t>
      </w:r>
      <w:r w:rsidR="000D75AE">
        <w:t>Reporting Mutual Obligation Failures</w:t>
      </w:r>
      <w:r w:rsidR="000D5DC6">
        <w:rPr>
          <w:rFonts w:ascii="Tahoma" w:eastAsia="Tahoma" w:hAnsi="Tahoma"/>
          <w:highlight w:val="yellow"/>
        </w:rPr>
        <w:fldChar w:fldCharType="end"/>
      </w:r>
      <w:r>
        <w:t>.</w:t>
      </w:r>
      <w:r w:rsidR="00634FCC">
        <w:t xml:space="preserve"> This may trigger a Re</w:t>
      </w:r>
      <w:r w:rsidR="00634FCC">
        <w:noBreakHyphen/>
        <w:t>engagement Requirement being set for the Participant</w:t>
      </w:r>
      <w:r w:rsidR="00090ABA">
        <w:t xml:space="preserve"> as detailed in </w:t>
      </w:r>
      <w:r w:rsidR="001A5FD3">
        <w:fldChar w:fldCharType="begin"/>
      </w:r>
      <w:r w:rsidR="001A5FD3">
        <w:instrText xml:space="preserve"> REF _Ref202789969 \h </w:instrText>
      </w:r>
      <w:r w:rsidR="001A5FD3">
        <w:fldChar w:fldCharType="separate"/>
      </w:r>
      <w:r w:rsidR="000D75AE">
        <w:t>12.4.6</w:t>
      </w:r>
      <w:r w:rsidR="00E12BF6">
        <w:t xml:space="preserve"> </w:t>
      </w:r>
      <w:r w:rsidR="000D75AE">
        <w:t>Reengagement Requirements</w:t>
      </w:r>
      <w:r w:rsidR="001A5FD3">
        <w:fldChar w:fldCharType="end"/>
      </w:r>
      <w:r w:rsidR="00090ABA">
        <w:rPr>
          <w:rFonts w:ascii="Tahoma" w:eastAsia="Tahoma" w:hAnsi="Tahoma"/>
        </w:rPr>
        <w:t>.</w:t>
      </w:r>
    </w:p>
    <w:p w14:paraId="34AF5DCA" w14:textId="1750EF4B" w:rsidR="00D94A30" w:rsidRDefault="00D94A30" w:rsidP="00D94A30">
      <w:r w:rsidRPr="6055448A">
        <w:t xml:space="preserve">If the Provider is later contacted by the Participant, the Provider must discuss with the Participant the circumstances of the failure and </w:t>
      </w:r>
      <w:r w:rsidR="000B0066">
        <w:t>determine</w:t>
      </w:r>
      <w:r w:rsidRPr="6055448A">
        <w:t xml:space="preserve"> </w:t>
      </w:r>
      <w:r w:rsidR="00BE0F04">
        <w:t>if</w:t>
      </w:r>
      <w:r w:rsidRPr="6055448A">
        <w:t xml:space="preserve"> they had a Valid Reason</w:t>
      </w:r>
      <w:r w:rsidR="007522AF">
        <w:t>. The Provider</w:t>
      </w:r>
      <w:r w:rsidR="00090ABA">
        <w:t xml:space="preserve"> </w:t>
      </w:r>
      <w:r w:rsidR="007522AF">
        <w:t>must</w:t>
      </w:r>
      <w:r w:rsidR="00090ABA">
        <w:t xml:space="preserve"> update </w:t>
      </w:r>
      <w:r w:rsidR="007522AF">
        <w:t>the report</w:t>
      </w:r>
      <w:r w:rsidR="00B86233">
        <w:t xml:space="preserve"> record</w:t>
      </w:r>
      <w:r w:rsidR="007522AF">
        <w:t>ing</w:t>
      </w:r>
      <w:r w:rsidR="00B86233">
        <w:t xml:space="preserve"> non-compliance in the </w:t>
      </w:r>
      <w:r w:rsidR="00B86233" w:rsidRPr="0DFD7869">
        <w:t>Department’s IT Systems</w:t>
      </w:r>
      <w:r w:rsidR="00291D57">
        <w:t>,</w:t>
      </w:r>
      <w:r w:rsidR="00B86233" w:rsidRPr="0DFD7869">
        <w:t xml:space="preserve"> in accordance with </w:t>
      </w:r>
      <w:r w:rsidR="00D43A7F">
        <w:rPr>
          <w:highlight w:val="yellow"/>
        </w:rPr>
        <w:fldChar w:fldCharType="begin"/>
      </w:r>
      <w:r w:rsidR="00D43A7F">
        <w:instrText xml:space="preserve"> REF _Ref202949313 \h </w:instrText>
      </w:r>
      <w:r w:rsidR="00D43A7F">
        <w:rPr>
          <w:highlight w:val="yellow"/>
        </w:rPr>
      </w:r>
      <w:r w:rsidR="00D43A7F">
        <w:rPr>
          <w:highlight w:val="yellow"/>
        </w:rPr>
        <w:fldChar w:fldCharType="separate"/>
      </w:r>
      <w:r w:rsidR="000D75AE">
        <w:t>12.4.4</w:t>
      </w:r>
      <w:r w:rsidR="004572F7">
        <w:t xml:space="preserve"> </w:t>
      </w:r>
      <w:r w:rsidR="000D75AE">
        <w:t>Reporting Mutual Obligation Failures</w:t>
      </w:r>
      <w:r w:rsidR="00D43A7F">
        <w:rPr>
          <w:highlight w:val="yellow"/>
        </w:rPr>
        <w:fldChar w:fldCharType="end"/>
      </w:r>
      <w:r w:rsidRPr="6055448A">
        <w:t>.</w:t>
      </w:r>
    </w:p>
    <w:p w14:paraId="415D52DD" w14:textId="1AB350B0" w:rsidR="00D94A30" w:rsidRDefault="00D94A30" w:rsidP="00D94A30">
      <w:r w:rsidRPr="5DD2C18A">
        <w:rPr>
          <w:u w:val="single"/>
        </w:rPr>
        <w:t xml:space="preserve">If a Participant contacts the Provider prior to the </w:t>
      </w:r>
      <w:r w:rsidR="00573FA6">
        <w:rPr>
          <w:u w:val="single"/>
        </w:rPr>
        <w:t>schedule</w:t>
      </w:r>
      <w:r w:rsidRPr="5DD2C18A">
        <w:rPr>
          <w:u w:val="single"/>
        </w:rPr>
        <w:t>d start time for a Mutual Obligation Requirement</w:t>
      </w:r>
      <w:r>
        <w:t xml:space="preserve">, the Provider must then assess </w:t>
      </w:r>
      <w:r w:rsidR="00BE0F04">
        <w:t>if</w:t>
      </w:r>
      <w:r>
        <w:t xml:space="preserve"> the Participant’s reason for being unable to </w:t>
      </w:r>
      <w:r w:rsidR="005C2C2A">
        <w:t>comply with</w:t>
      </w:r>
      <w:r>
        <w:t xml:space="preserve"> the Mutual Obligation Requirement is an Acceptable Reason.</w:t>
      </w:r>
    </w:p>
    <w:p w14:paraId="12A44A70" w14:textId="0A0B8916" w:rsidR="00D94A30" w:rsidRDefault="00D94A30" w:rsidP="00D94A30">
      <w:r>
        <w:t>If the Provider is satisfied that the Participant has an Acceptable Reason, the</w:t>
      </w:r>
      <w:r w:rsidR="0084459C">
        <w:t xml:space="preserve"> Provider</w:t>
      </w:r>
      <w:r>
        <w:t xml:space="preserve"> must re</w:t>
      </w:r>
      <w:r w:rsidR="00573FA6">
        <w:t>schedule</w:t>
      </w:r>
      <w:r>
        <w:t xml:space="preserve"> or remove the </w:t>
      </w:r>
      <w:r w:rsidR="00573FA6">
        <w:t>schedule</w:t>
      </w:r>
      <w:r>
        <w:t>d Mutual Obligation Requirement from the Electronic Calendar.</w:t>
      </w:r>
    </w:p>
    <w:p w14:paraId="34891545" w14:textId="71FA4AB6" w:rsidR="00641C29" w:rsidRDefault="00D94A30" w:rsidP="00D94A30">
      <w:r w:rsidRPr="7751327C">
        <w:t xml:space="preserve">If the Provider is not satisfied that the Participant had an Acceptable Reason, </w:t>
      </w:r>
      <w:r w:rsidR="0084459C">
        <w:t>the Provider must:</w:t>
      </w:r>
    </w:p>
    <w:p w14:paraId="49743ED1" w14:textId="545DF4D1" w:rsidR="0084459C" w:rsidRDefault="000A7305" w:rsidP="0084459C">
      <w:pPr>
        <w:pStyle w:val="BulletLevel1"/>
      </w:pPr>
      <w:r>
        <w:t>inform the Participant that they are still expected to meet the requirement, and</w:t>
      </w:r>
    </w:p>
    <w:p w14:paraId="4BF45C99" w14:textId="2E911322" w:rsidR="000A7305" w:rsidRDefault="000A7305" w:rsidP="0084459C">
      <w:pPr>
        <w:pStyle w:val="BulletLevel1"/>
      </w:pPr>
      <w:r>
        <w:t>remind the Participant of the consequences of not meeting the requirement.</w:t>
      </w:r>
    </w:p>
    <w:p w14:paraId="7C82F861" w14:textId="59983884" w:rsidR="00D94A30" w:rsidRDefault="00D94A30" w:rsidP="006F727E">
      <w:pPr>
        <w:pStyle w:val="SystemStep"/>
      </w:pPr>
      <w:r w:rsidRPr="0097118E">
        <w:rPr>
          <w:b/>
          <w:bCs/>
        </w:rPr>
        <w:t>Rescheduling</w:t>
      </w:r>
      <w:r>
        <w:t xml:space="preserve"> means that the Provider moves the relevant Engagement to another day and/or time in the Electronic Calendar. Providers must formally notify the Participant of the details of their new date and/or time of the Engagement and the consequences of not meeting the relevant Mutual Obligation Requirement. The Provider does this by undertaking the following steps in the </w:t>
      </w:r>
      <w:r w:rsidRPr="004E0B19">
        <w:t>Department’s</w:t>
      </w:r>
      <w:r>
        <w:t xml:space="preserve"> IT Systems</w:t>
      </w:r>
      <w:r w:rsidRPr="52F0E74A">
        <w:t>:</w:t>
      </w:r>
    </w:p>
    <w:p w14:paraId="477F93E1" w14:textId="4D2EFA64" w:rsidR="00D94A30" w:rsidRDefault="00291D57" w:rsidP="004E120D">
      <w:pPr>
        <w:pStyle w:val="BulletLevel2"/>
      </w:pPr>
      <w:r>
        <w:t>Step 1: S</w:t>
      </w:r>
      <w:r w:rsidR="00D94A30" w:rsidRPr="52F0E74A">
        <w:t>elect ‘Re</w:t>
      </w:r>
      <w:r w:rsidR="00573FA6">
        <w:t>schedule</w:t>
      </w:r>
      <w:r w:rsidR="00D94A30" w:rsidRPr="52F0E74A">
        <w:t>d’ against the Mutual Obligation Requirement</w:t>
      </w:r>
      <w:r>
        <w:t>.</w:t>
      </w:r>
    </w:p>
    <w:p w14:paraId="0458F549" w14:textId="5B1153AA" w:rsidR="00D94A30" w:rsidRDefault="00291D57" w:rsidP="004E120D">
      <w:pPr>
        <w:pStyle w:val="BulletLevel2"/>
      </w:pPr>
      <w:r>
        <w:t>Step 2: S</w:t>
      </w:r>
      <w:r w:rsidR="00D94A30" w:rsidRPr="52F0E74A">
        <w:t>elect the description from the drop-down menu</w:t>
      </w:r>
      <w:r w:rsidR="00D94A30">
        <w:t xml:space="preserve"> that</w:t>
      </w:r>
      <w:r w:rsidR="00D94A30" w:rsidRPr="52F0E74A">
        <w:t xml:space="preserve"> most </w:t>
      </w:r>
      <w:r w:rsidR="00D94A30">
        <w:t>closely aligns with the</w:t>
      </w:r>
      <w:r w:rsidR="00D94A30" w:rsidRPr="52F0E74A">
        <w:t xml:space="preserve"> </w:t>
      </w:r>
      <w:r w:rsidR="00D94A30">
        <w:t>Participant</w:t>
      </w:r>
      <w:r w:rsidR="00D94A30" w:rsidRPr="52F0E74A">
        <w:t>’s Acceptable Reason</w:t>
      </w:r>
      <w:r>
        <w:t>.</w:t>
      </w:r>
    </w:p>
    <w:p w14:paraId="63C69D20" w14:textId="1B24791D" w:rsidR="00D94A30" w:rsidRDefault="00291D57" w:rsidP="004E120D">
      <w:pPr>
        <w:pStyle w:val="BulletLevel2"/>
      </w:pPr>
      <w:r>
        <w:t>Step 3: F</w:t>
      </w:r>
      <w:r w:rsidR="00D94A30">
        <w:t>ollow the workflow to generate the notification.</w:t>
      </w:r>
    </w:p>
    <w:p w14:paraId="5586C9E3" w14:textId="68739DDE" w:rsidR="00D94A30" w:rsidRDefault="00D94A30" w:rsidP="006F727E">
      <w:pPr>
        <w:pStyle w:val="SystemStep"/>
      </w:pPr>
      <w:r w:rsidRPr="6055448A">
        <w:rPr>
          <w:b/>
          <w:bCs/>
        </w:rPr>
        <w:t>Removing</w:t>
      </w:r>
      <w:r w:rsidRPr="6055448A">
        <w:t xml:space="preserve"> means that the Provider records in the Department’s IT Systems that the relevant Engagement is ‘No Longer Required’. Providers must notify the Participant as soon as this is done, to ensure there is no confusion. The Provider does this by undertaking the following steps in the Department’s IT Systems:</w:t>
      </w:r>
    </w:p>
    <w:p w14:paraId="2EFBED92" w14:textId="3F3ABBAD" w:rsidR="00D94A30" w:rsidRDefault="00AC13FE" w:rsidP="004E120D">
      <w:pPr>
        <w:pStyle w:val="BulletLevel2"/>
      </w:pPr>
      <w:r>
        <w:t>Step 1: S</w:t>
      </w:r>
      <w:r w:rsidR="00D94A30" w:rsidRPr="52F0E74A">
        <w:t>elect ‘</w:t>
      </w:r>
      <w:r w:rsidR="00D94A30">
        <w:t>No Longer Required</w:t>
      </w:r>
      <w:r w:rsidR="00D94A30" w:rsidRPr="52F0E74A">
        <w:t>’ against the Mutual Obligation Requirement</w:t>
      </w:r>
    </w:p>
    <w:p w14:paraId="11D5C74B" w14:textId="0AE0E312" w:rsidR="00D94A30" w:rsidRDefault="00AC13FE" w:rsidP="004E120D">
      <w:pPr>
        <w:pStyle w:val="BulletLevel2"/>
      </w:pPr>
      <w:r>
        <w:t>Step 2: S</w:t>
      </w:r>
      <w:r w:rsidR="00D94A30" w:rsidRPr="52F0E74A">
        <w:t>elect the description from the drop-down menu</w:t>
      </w:r>
      <w:r w:rsidR="00D94A30">
        <w:t xml:space="preserve"> that</w:t>
      </w:r>
      <w:r w:rsidR="00D94A30" w:rsidRPr="52F0E74A">
        <w:t xml:space="preserve"> most </w:t>
      </w:r>
      <w:r w:rsidR="00D94A30">
        <w:t>closely aligns with the</w:t>
      </w:r>
      <w:r w:rsidR="00D94A30" w:rsidRPr="52F0E74A">
        <w:t xml:space="preserve"> </w:t>
      </w:r>
      <w:r w:rsidR="00D94A30">
        <w:t>Participant</w:t>
      </w:r>
      <w:r w:rsidR="00D94A30" w:rsidRPr="52F0E74A">
        <w:t>’s Acceptable Reason</w:t>
      </w:r>
      <w:r>
        <w:t>.</w:t>
      </w:r>
    </w:p>
    <w:p w14:paraId="514B4623" w14:textId="3A4A619A" w:rsidR="00D94A30" w:rsidRDefault="00AC13FE" w:rsidP="004E120D">
      <w:pPr>
        <w:pStyle w:val="BulletLevel2"/>
      </w:pPr>
      <w:r>
        <w:t>Step 3: F</w:t>
      </w:r>
      <w:r w:rsidR="00D94A30">
        <w:t>ollow the workflow to generate the notification.</w:t>
      </w:r>
    </w:p>
    <w:p w14:paraId="4FCE87E7" w14:textId="7B8489BA" w:rsidR="00D94A30" w:rsidRDefault="00D94A30" w:rsidP="00D94A30">
      <w:pPr>
        <w:pStyle w:val="Heading5"/>
      </w:pPr>
      <w:r>
        <w:rPr>
          <w:rFonts w:ascii="Tahoma" w:eastAsia="Tahoma" w:hAnsi="Tahoma"/>
        </w:rPr>
        <w:t>Determining</w:t>
      </w:r>
      <w:r w:rsidRPr="5DD2C18A">
        <w:rPr>
          <w:rFonts w:ascii="Tahoma" w:eastAsia="Tahoma" w:hAnsi="Tahoma"/>
        </w:rPr>
        <w:t xml:space="preserve"> </w:t>
      </w:r>
      <w:r w:rsidR="002C2D3B">
        <w:t>if</w:t>
      </w:r>
      <w:r>
        <w:t xml:space="preserve"> the Participant has a Valid Reason</w:t>
      </w:r>
    </w:p>
    <w:p w14:paraId="414084EE" w14:textId="524D1963" w:rsidR="00D94A30" w:rsidRDefault="00D94A30" w:rsidP="00D94A30">
      <w:r>
        <w:t xml:space="preserve">When the Provider discusses the reasons that the Participant </w:t>
      </w:r>
      <w:r w:rsidR="00AC13FE">
        <w:t>gives for failing</w:t>
      </w:r>
      <w:r>
        <w:t xml:space="preserve"> to meet a requirement, the Provider must assess </w:t>
      </w:r>
      <w:r w:rsidR="00BE0F04">
        <w:t>if</w:t>
      </w:r>
      <w:r>
        <w:t xml:space="preserve"> the Participant has a Valid Reason.</w:t>
      </w:r>
    </w:p>
    <w:p w14:paraId="4767167C" w14:textId="77777777" w:rsidR="00FC591B" w:rsidRDefault="00AC13FE" w:rsidP="00D94A30">
      <w:r>
        <w:t>A</w:t>
      </w:r>
      <w:r w:rsidR="00D94A30">
        <w:t xml:space="preserve"> Participant has a Valid Reason if th</w:t>
      </w:r>
      <w:r w:rsidR="00AF005E">
        <w:t>e Provider is</w:t>
      </w:r>
      <w:r w:rsidR="00D94A30">
        <w:t xml:space="preserve"> satisfied that</w:t>
      </w:r>
      <w:r w:rsidR="00FC591B">
        <w:t>:</w:t>
      </w:r>
    </w:p>
    <w:p w14:paraId="06325B56" w14:textId="3659494C" w:rsidR="00FC591B" w:rsidRDefault="00FC591B" w:rsidP="00FC591B">
      <w:pPr>
        <w:pStyle w:val="BulletLevel1"/>
      </w:pPr>
      <w:r>
        <w:t>it was not reasonable for the Participant to give prior notice of their inability to comply, and</w:t>
      </w:r>
    </w:p>
    <w:p w14:paraId="63387A65" w14:textId="0E76FF71" w:rsidR="00D94A30" w:rsidRDefault="00D94A30" w:rsidP="00FC591B">
      <w:pPr>
        <w:pStyle w:val="BulletLevel1"/>
      </w:pPr>
      <w:r>
        <w:t>the reason provided for missing their requirement:</w:t>
      </w:r>
    </w:p>
    <w:p w14:paraId="08BC7007" w14:textId="2AE5AF80" w:rsidR="00D94A30" w:rsidRPr="00AF005E" w:rsidRDefault="00D94A30" w:rsidP="00FC591B">
      <w:pPr>
        <w:pStyle w:val="BulletLevel2"/>
      </w:pPr>
      <w:r>
        <w:t xml:space="preserve">would directly have prevented the Participant from meeting the Mutual Obligation Requirement at the relevant time that the Mutual </w:t>
      </w:r>
      <w:r w:rsidRPr="00AF005E">
        <w:t>Obligation Failure occurred,</w:t>
      </w:r>
    </w:p>
    <w:p w14:paraId="40226F45" w14:textId="1830785A" w:rsidR="00D94A30" w:rsidRPr="00AF005E" w:rsidRDefault="00D94A30" w:rsidP="00FC591B">
      <w:pPr>
        <w:pStyle w:val="BulletLevel2"/>
      </w:pPr>
      <w:r w:rsidRPr="00AF005E">
        <w:t>would be considered reasonable by a member of the general public, and</w:t>
      </w:r>
    </w:p>
    <w:p w14:paraId="041382C9" w14:textId="5A52B92D" w:rsidR="00D94A30" w:rsidRDefault="00D94A30" w:rsidP="00FC591B">
      <w:pPr>
        <w:pStyle w:val="BulletLevel2"/>
      </w:pPr>
      <w:r w:rsidRPr="00AF005E">
        <w:t xml:space="preserve">aligns with their personal circumstances </w:t>
      </w:r>
      <w:r>
        <w:t>as known by the Provider.</w:t>
      </w:r>
    </w:p>
    <w:p w14:paraId="7B8D0EE4" w14:textId="6D87DA59" w:rsidR="00D94A30" w:rsidRDefault="00D94A30" w:rsidP="00D94A30">
      <w:pPr>
        <w:rPr>
          <w:rFonts w:ascii="Tahoma" w:eastAsia="Tahoma" w:hAnsi="Tahoma"/>
          <w:color w:val="000000" w:themeColor="text1"/>
        </w:rPr>
      </w:pPr>
      <w:r w:rsidRPr="6055448A">
        <w:rPr>
          <w:rFonts w:ascii="Tahoma" w:eastAsia="Tahoma" w:hAnsi="Tahoma"/>
          <w:color w:val="000000" w:themeColor="text1"/>
        </w:rPr>
        <w:t>Providers notified of family and domestic violence as the reason for a Participant not meeting their Mutual Obligation Requirements must consider this in their assessment of whether</w:t>
      </w:r>
      <w:r>
        <w:rPr>
          <w:rFonts w:ascii="Tahoma" w:eastAsia="Tahoma" w:hAnsi="Tahoma"/>
          <w:color w:val="000000" w:themeColor="text1"/>
        </w:rPr>
        <w:t xml:space="preserve"> </w:t>
      </w:r>
      <w:r w:rsidR="002C2D3B">
        <w:rPr>
          <w:rFonts w:ascii="Tahoma" w:eastAsia="Tahoma" w:hAnsi="Tahoma"/>
          <w:color w:val="000000" w:themeColor="text1"/>
        </w:rPr>
        <w:t>or not</w:t>
      </w:r>
      <w:r>
        <w:rPr>
          <w:rFonts w:ascii="Tahoma" w:eastAsia="Tahoma" w:hAnsi="Tahoma"/>
          <w:color w:val="000000" w:themeColor="text1"/>
        </w:rPr>
        <w:t xml:space="preserve"> </w:t>
      </w:r>
      <w:r w:rsidRPr="6055448A">
        <w:rPr>
          <w:rFonts w:ascii="Tahoma" w:eastAsia="Tahoma" w:hAnsi="Tahoma"/>
          <w:color w:val="000000" w:themeColor="text1"/>
        </w:rPr>
        <w:t>the Participant had a Valid Reason.</w:t>
      </w:r>
      <w:r>
        <w:rPr>
          <w:rFonts w:ascii="Tahoma" w:eastAsia="Tahoma" w:hAnsi="Tahoma"/>
          <w:color w:val="000000" w:themeColor="text1"/>
        </w:rPr>
        <w:t xml:space="preserve"> Providers should also advi</w:t>
      </w:r>
      <w:r w:rsidR="00093F5F">
        <w:rPr>
          <w:rFonts w:ascii="Tahoma" w:eastAsia="Tahoma" w:hAnsi="Tahoma"/>
          <w:color w:val="000000" w:themeColor="text1"/>
        </w:rPr>
        <w:t>s</w:t>
      </w:r>
      <w:r>
        <w:rPr>
          <w:rFonts w:ascii="Tahoma" w:eastAsia="Tahoma" w:hAnsi="Tahoma"/>
          <w:color w:val="000000" w:themeColor="text1"/>
        </w:rPr>
        <w:t>e the Participant that they can contact Services Australia for an Exemption.</w:t>
      </w:r>
    </w:p>
    <w:p w14:paraId="6D8131AB" w14:textId="4533E044" w:rsidR="00D94A30" w:rsidRDefault="00D94A30" w:rsidP="00D94A30">
      <w:pPr>
        <w:rPr>
          <w:rFonts w:ascii="Tahoma" w:eastAsia="Tahoma" w:hAnsi="Tahoma"/>
          <w:color w:val="000000" w:themeColor="text1"/>
        </w:rPr>
      </w:pPr>
      <w:r w:rsidRPr="0DFD7869">
        <w:rPr>
          <w:rFonts w:ascii="Tahoma" w:eastAsia="Tahoma" w:hAnsi="Tahoma"/>
          <w:color w:val="000000" w:themeColor="text1"/>
        </w:rPr>
        <w:t xml:space="preserve">See the </w:t>
      </w:r>
      <w:r w:rsidRPr="00D43A7F">
        <w:rPr>
          <w:rStyle w:val="Hyperlink"/>
        </w:rPr>
        <w:t xml:space="preserve">Valid Reason assessment options </w:t>
      </w:r>
      <w:r w:rsidR="00D43A7F" w:rsidRPr="00D43A7F">
        <w:rPr>
          <w:rStyle w:val="Hyperlink"/>
        </w:rPr>
        <w:t>[LINK]</w:t>
      </w:r>
      <w:r w:rsidR="00D43A7F">
        <w:rPr>
          <w:rFonts w:ascii="Tahoma" w:eastAsia="Tahoma" w:hAnsi="Tahoma" w:cs="Tahoma"/>
          <w:color w:val="000000" w:themeColor="text1"/>
        </w:rPr>
        <w:t xml:space="preserve"> </w:t>
      </w:r>
      <w:r w:rsidRPr="0DFD7869">
        <w:rPr>
          <w:rFonts w:ascii="Tahoma" w:eastAsia="Tahoma" w:hAnsi="Tahoma" w:cs="Tahoma"/>
          <w:color w:val="000000" w:themeColor="text1"/>
        </w:rPr>
        <w:t>supporting document</w:t>
      </w:r>
      <w:r w:rsidRPr="0DFD7869">
        <w:rPr>
          <w:rFonts w:ascii="Tahoma" w:eastAsia="Tahoma" w:hAnsi="Tahoma"/>
          <w:color w:val="000000" w:themeColor="text1"/>
        </w:rPr>
        <w:t xml:space="preserve"> for more information on Valid Reasons.</w:t>
      </w:r>
    </w:p>
    <w:p w14:paraId="105B5C3E" w14:textId="261D8B9A" w:rsidR="00D94A30" w:rsidRDefault="00D94A30" w:rsidP="00D94A30">
      <w:pPr>
        <w:rPr>
          <w:rFonts w:ascii="Tahoma" w:eastAsia="Tahoma" w:hAnsi="Tahoma"/>
          <w:color w:val="000000" w:themeColor="text1"/>
        </w:rPr>
      </w:pPr>
      <w:r w:rsidRPr="5DD2C18A">
        <w:rPr>
          <w:rFonts w:ascii="Tahoma" w:eastAsia="Tahoma" w:hAnsi="Tahoma"/>
          <w:color w:val="000000" w:themeColor="text1"/>
        </w:rPr>
        <w:t xml:space="preserve">The exception to the above relates to </w:t>
      </w:r>
      <w:r w:rsidRPr="5DD2C18A">
        <w:rPr>
          <w:rFonts w:ascii="Tahoma" w:eastAsia="Tahoma" w:hAnsi="Tahoma"/>
          <w:color w:val="000000" w:themeColor="text1"/>
          <w:u w:val="single"/>
        </w:rPr>
        <w:t>drug and alcohol dependency or misuse</w:t>
      </w:r>
      <w:r w:rsidRPr="5DD2C18A">
        <w:rPr>
          <w:rFonts w:ascii="Tahoma" w:eastAsia="Tahoma" w:hAnsi="Tahoma"/>
          <w:color w:val="000000" w:themeColor="text1"/>
        </w:rPr>
        <w:t xml:space="preserve">. There are limits on the circumstances in which a Provider can </w:t>
      </w:r>
      <w:r>
        <w:rPr>
          <w:rFonts w:ascii="Tahoma" w:eastAsia="Tahoma" w:hAnsi="Tahoma"/>
        </w:rPr>
        <w:t>determine</w:t>
      </w:r>
      <w:r w:rsidRPr="5DD2C18A">
        <w:rPr>
          <w:rFonts w:ascii="Tahoma" w:eastAsia="Tahoma" w:hAnsi="Tahoma"/>
        </w:rPr>
        <w:t xml:space="preserve"> </w:t>
      </w:r>
      <w:r w:rsidRPr="5DD2C18A">
        <w:rPr>
          <w:rFonts w:ascii="Tahoma" w:eastAsia="Tahoma" w:hAnsi="Tahoma"/>
          <w:color w:val="000000" w:themeColor="text1"/>
        </w:rPr>
        <w:t>that a Participant’s drug or alcohol misuse or dependency is a</w:t>
      </w:r>
      <w:r w:rsidR="00FA057B">
        <w:rPr>
          <w:rFonts w:ascii="Tahoma" w:eastAsia="Tahoma" w:hAnsi="Tahoma"/>
          <w:color w:val="000000" w:themeColor="text1"/>
        </w:rPr>
        <w:t xml:space="preserve">n Acceptable Reason or </w:t>
      </w:r>
      <w:r w:rsidRPr="5DD2C18A">
        <w:rPr>
          <w:rFonts w:ascii="Tahoma" w:eastAsia="Tahoma" w:hAnsi="Tahoma"/>
          <w:color w:val="000000" w:themeColor="text1"/>
        </w:rPr>
        <w:t>Valid Reason for a Mutual Obligation Failure</w:t>
      </w:r>
      <w:r w:rsidR="006747FC">
        <w:rPr>
          <w:rFonts w:ascii="Tahoma" w:eastAsia="Tahoma" w:hAnsi="Tahoma"/>
          <w:color w:val="000000" w:themeColor="text1"/>
        </w:rPr>
        <w:t xml:space="preserve"> as outlined separately within this Section</w:t>
      </w:r>
      <w:r w:rsidR="00BC0C32">
        <w:rPr>
          <w:rFonts w:ascii="Tahoma" w:eastAsia="Tahoma" w:hAnsi="Tahoma"/>
          <w:color w:val="000000" w:themeColor="text1"/>
        </w:rPr>
        <w:t>.</w:t>
      </w:r>
    </w:p>
    <w:p w14:paraId="1B029C84" w14:textId="3D42D2A6" w:rsidR="00D94A30" w:rsidRDefault="00D94A30" w:rsidP="00D94A30">
      <w:pPr>
        <w:pStyle w:val="Heading5"/>
      </w:pPr>
      <w:r>
        <w:t xml:space="preserve">Acceptable Reasons when giving prior notice </w:t>
      </w:r>
    </w:p>
    <w:p w14:paraId="4E3B3EBB" w14:textId="44D53A9B" w:rsidR="00D94A30" w:rsidRDefault="00D94A30" w:rsidP="00D94A30">
      <w:pPr>
        <w:rPr>
          <w:rFonts w:ascii="Tahoma" w:eastAsia="Tahoma" w:hAnsi="Tahoma"/>
        </w:rPr>
      </w:pPr>
      <w:r w:rsidRPr="6055448A">
        <w:rPr>
          <w:rFonts w:ascii="Tahoma" w:eastAsia="Tahoma" w:hAnsi="Tahoma"/>
        </w:rPr>
        <w:t xml:space="preserve">If a Participant </w:t>
      </w:r>
      <w:r w:rsidR="00561ED9">
        <w:rPr>
          <w:rFonts w:ascii="Tahoma" w:eastAsia="Tahoma" w:hAnsi="Tahoma"/>
        </w:rPr>
        <w:t>contacts</w:t>
      </w:r>
      <w:r w:rsidRPr="6055448A">
        <w:rPr>
          <w:rFonts w:ascii="Tahoma" w:eastAsia="Tahoma" w:hAnsi="Tahoma"/>
        </w:rPr>
        <w:t xml:space="preserve"> </w:t>
      </w:r>
      <w:r w:rsidR="00561ED9">
        <w:rPr>
          <w:rFonts w:ascii="Tahoma" w:eastAsia="Tahoma" w:hAnsi="Tahoma"/>
        </w:rPr>
        <w:t>their</w:t>
      </w:r>
      <w:r w:rsidRPr="6055448A">
        <w:rPr>
          <w:rFonts w:ascii="Tahoma" w:eastAsia="Tahoma" w:hAnsi="Tahoma"/>
        </w:rPr>
        <w:t xml:space="preserve"> Provider prior </w:t>
      </w:r>
      <w:r w:rsidR="005546F5">
        <w:rPr>
          <w:rFonts w:ascii="Tahoma" w:eastAsia="Tahoma" w:hAnsi="Tahoma"/>
        </w:rPr>
        <w:t>to the</w:t>
      </w:r>
      <w:r w:rsidRPr="6055448A">
        <w:rPr>
          <w:rFonts w:ascii="Tahoma" w:eastAsia="Tahoma" w:hAnsi="Tahoma"/>
        </w:rPr>
        <w:t xml:space="preserve"> </w:t>
      </w:r>
      <w:r w:rsidR="00573FA6">
        <w:rPr>
          <w:rFonts w:ascii="Tahoma" w:eastAsia="Tahoma" w:hAnsi="Tahoma"/>
        </w:rPr>
        <w:t>schedule</w:t>
      </w:r>
      <w:r w:rsidRPr="6055448A">
        <w:rPr>
          <w:rFonts w:ascii="Tahoma" w:eastAsia="Tahoma" w:hAnsi="Tahoma"/>
        </w:rPr>
        <w:t>d</w:t>
      </w:r>
      <w:r w:rsidR="005546F5">
        <w:rPr>
          <w:rFonts w:ascii="Tahoma" w:eastAsia="Tahoma" w:hAnsi="Tahoma"/>
        </w:rPr>
        <w:t xml:space="preserve"> start time for a</w:t>
      </w:r>
      <w:r w:rsidRPr="6055448A">
        <w:rPr>
          <w:rFonts w:ascii="Tahoma" w:eastAsia="Tahoma" w:hAnsi="Tahoma"/>
        </w:rPr>
        <w:t xml:space="preserve"> Mutual Obligation Requirement, the Provider must assess </w:t>
      </w:r>
      <w:r w:rsidR="00BE0F04">
        <w:rPr>
          <w:rFonts w:ascii="Tahoma" w:eastAsia="Tahoma" w:hAnsi="Tahoma"/>
        </w:rPr>
        <w:t>if</w:t>
      </w:r>
      <w:r w:rsidRPr="6055448A">
        <w:rPr>
          <w:rFonts w:ascii="Tahoma" w:eastAsia="Tahoma" w:hAnsi="Tahoma"/>
        </w:rPr>
        <w:t xml:space="preserve"> the Participant has an </w:t>
      </w:r>
      <w:r w:rsidRPr="005546F5">
        <w:rPr>
          <w:rFonts w:ascii="Tahoma" w:eastAsia="Tahoma" w:hAnsi="Tahoma"/>
        </w:rPr>
        <w:t>Acceptable Reason</w:t>
      </w:r>
      <w:r w:rsidRPr="6055448A">
        <w:rPr>
          <w:rFonts w:ascii="Tahoma" w:eastAsia="Tahoma" w:hAnsi="Tahoma"/>
        </w:rPr>
        <w:t xml:space="preserve"> for being unable to </w:t>
      </w:r>
      <w:r>
        <w:rPr>
          <w:rFonts w:ascii="Tahoma" w:eastAsia="Tahoma" w:hAnsi="Tahoma"/>
        </w:rPr>
        <w:t>meet</w:t>
      </w:r>
      <w:r w:rsidRPr="6055448A">
        <w:rPr>
          <w:rFonts w:ascii="Tahoma" w:eastAsia="Tahoma" w:hAnsi="Tahoma"/>
        </w:rPr>
        <w:t xml:space="preserve"> the Mutual Obligation Requirement.</w:t>
      </w:r>
    </w:p>
    <w:p w14:paraId="51E27069" w14:textId="29D5A054" w:rsidR="00D94A30" w:rsidRDefault="00D94A30" w:rsidP="00D94A30">
      <w:pPr>
        <w:keepNext/>
      </w:pPr>
      <w:r>
        <w:t>The Participant has an Acceptable Reason if:</w:t>
      </w:r>
    </w:p>
    <w:p w14:paraId="76FF5C3C" w14:textId="7DB067A1" w:rsidR="00D94A30" w:rsidRPr="009769F4" w:rsidRDefault="00D94A30" w:rsidP="004E120D">
      <w:pPr>
        <w:pStyle w:val="BulletLevel1"/>
      </w:pPr>
      <w:r>
        <w:t xml:space="preserve">the </w:t>
      </w:r>
      <w:r w:rsidRPr="009769F4">
        <w:t xml:space="preserve">Participant notified the Provider, before the </w:t>
      </w:r>
      <w:r w:rsidR="00573FA6">
        <w:t>schedule</w:t>
      </w:r>
      <w:r w:rsidRPr="009769F4">
        <w:t>d start time for a Mutual Obligation Requirement, that the Participant is unable to meet the Mutual Obligation Requirement</w:t>
      </w:r>
      <w:r w:rsidR="009769F4">
        <w:t>,</w:t>
      </w:r>
      <w:r w:rsidRPr="009769F4">
        <w:t xml:space="preserve"> and</w:t>
      </w:r>
    </w:p>
    <w:p w14:paraId="3D825FCF" w14:textId="5864C997" w:rsidR="00D94A30" w:rsidRDefault="00D94A30" w:rsidP="004E120D">
      <w:pPr>
        <w:pStyle w:val="BulletLevel1"/>
      </w:pPr>
      <w:r w:rsidRPr="009769F4">
        <w:t>the Provider</w:t>
      </w:r>
      <w:r>
        <w:t xml:space="preserve"> is satisfied that the Participant has a Valid Reason for being unable to meet the Mutual Obligation Requirement.</w:t>
      </w:r>
    </w:p>
    <w:p w14:paraId="4DA26556" w14:textId="7C21520D" w:rsidR="00D94A30" w:rsidRDefault="00D94A30" w:rsidP="00D94A30">
      <w:r w:rsidRPr="7751327C">
        <w:rPr>
          <w:b/>
          <w:bCs/>
        </w:rPr>
        <w:t>Note:</w:t>
      </w:r>
      <w:r w:rsidRPr="7751327C">
        <w:t xml:space="preserve"> A person notifying the Provider that they will be working at the time of a requirement is considered an Acceptable Reason. A confirmed Personal Event in the Participant’s Electronic Calendar is also considered acceptable.</w:t>
      </w:r>
    </w:p>
    <w:p w14:paraId="0D61AA56" w14:textId="77777777" w:rsidR="00FA057B" w:rsidRDefault="00FA057B" w:rsidP="00FA057B">
      <w:pPr>
        <w:rPr>
          <w:rFonts w:ascii="Tahoma" w:eastAsia="Tahoma" w:hAnsi="Tahoma"/>
          <w:color w:val="000000" w:themeColor="text1"/>
        </w:rPr>
      </w:pPr>
      <w:r w:rsidRPr="5DD2C18A">
        <w:rPr>
          <w:rFonts w:ascii="Tahoma" w:eastAsia="Tahoma" w:hAnsi="Tahoma"/>
          <w:color w:val="000000" w:themeColor="text1"/>
        </w:rPr>
        <w:t xml:space="preserve">The exception to the above relates to </w:t>
      </w:r>
      <w:r w:rsidRPr="5DD2C18A">
        <w:rPr>
          <w:rFonts w:ascii="Tahoma" w:eastAsia="Tahoma" w:hAnsi="Tahoma"/>
          <w:color w:val="000000" w:themeColor="text1"/>
          <w:u w:val="single"/>
        </w:rPr>
        <w:t>drug and alcohol dependency or misuse</w:t>
      </w:r>
      <w:r w:rsidRPr="5DD2C18A">
        <w:rPr>
          <w:rFonts w:ascii="Tahoma" w:eastAsia="Tahoma" w:hAnsi="Tahoma"/>
          <w:color w:val="000000" w:themeColor="text1"/>
        </w:rPr>
        <w:t xml:space="preserve">. There are limits on the circumstances in which a Provider can </w:t>
      </w:r>
      <w:r>
        <w:rPr>
          <w:rFonts w:ascii="Tahoma" w:eastAsia="Tahoma" w:hAnsi="Tahoma"/>
        </w:rPr>
        <w:t>determine</w:t>
      </w:r>
      <w:r w:rsidRPr="5DD2C18A">
        <w:rPr>
          <w:rFonts w:ascii="Tahoma" w:eastAsia="Tahoma" w:hAnsi="Tahoma"/>
        </w:rPr>
        <w:t xml:space="preserve"> </w:t>
      </w:r>
      <w:r w:rsidRPr="5DD2C18A">
        <w:rPr>
          <w:rFonts w:ascii="Tahoma" w:eastAsia="Tahoma" w:hAnsi="Tahoma"/>
          <w:color w:val="000000" w:themeColor="text1"/>
        </w:rPr>
        <w:t>that a Participant’s drug or alcohol misuse or dependency is a</w:t>
      </w:r>
      <w:r>
        <w:rPr>
          <w:rFonts w:ascii="Tahoma" w:eastAsia="Tahoma" w:hAnsi="Tahoma"/>
          <w:color w:val="000000" w:themeColor="text1"/>
        </w:rPr>
        <w:t xml:space="preserve">n Acceptable Reason or </w:t>
      </w:r>
      <w:r w:rsidRPr="5DD2C18A">
        <w:rPr>
          <w:rFonts w:ascii="Tahoma" w:eastAsia="Tahoma" w:hAnsi="Tahoma"/>
          <w:color w:val="000000" w:themeColor="text1"/>
        </w:rPr>
        <w:t>Valid Reason for a Mutual Obligation Failure</w:t>
      </w:r>
      <w:r>
        <w:rPr>
          <w:rFonts w:ascii="Tahoma" w:eastAsia="Tahoma" w:hAnsi="Tahoma"/>
          <w:color w:val="000000" w:themeColor="text1"/>
        </w:rPr>
        <w:t xml:space="preserve"> as outlined separately within this Section.</w:t>
      </w:r>
    </w:p>
    <w:p w14:paraId="78451BE9" w14:textId="53E0DFDB" w:rsidR="00D94A30" w:rsidRDefault="00D94A30" w:rsidP="00D94A30">
      <w:pPr>
        <w:rPr>
          <w:rFonts w:ascii="Tahoma" w:eastAsia="Tahoma" w:hAnsi="Tahoma"/>
        </w:rPr>
      </w:pPr>
      <w:r w:rsidRPr="0DFD7869">
        <w:rPr>
          <w:rFonts w:ascii="Tahoma" w:eastAsia="Tahoma" w:hAnsi="Tahoma"/>
        </w:rPr>
        <w:t xml:space="preserve">See the </w:t>
      </w:r>
      <w:r w:rsidR="00D43A7F" w:rsidRPr="00D43A7F">
        <w:rPr>
          <w:rStyle w:val="Hyperlink"/>
        </w:rPr>
        <w:t>Valid Reason assessment options [LINK]</w:t>
      </w:r>
      <w:r w:rsidR="00D43A7F">
        <w:rPr>
          <w:rFonts w:ascii="Tahoma" w:eastAsia="Tahoma" w:hAnsi="Tahoma" w:cs="Tahoma"/>
          <w:color w:val="000000" w:themeColor="text1"/>
        </w:rPr>
        <w:t xml:space="preserve"> </w:t>
      </w:r>
      <w:r w:rsidRPr="0DFD7869">
        <w:rPr>
          <w:rFonts w:ascii="Tahoma" w:eastAsia="Tahoma" w:hAnsi="Tahoma"/>
        </w:rPr>
        <w:t>supporting document for guidance on what reasons can be accepted or not accepted.</w:t>
      </w:r>
    </w:p>
    <w:p w14:paraId="0E4CBEB8" w14:textId="2CF15702" w:rsidR="00D94A30" w:rsidRDefault="00D94A30" w:rsidP="00D94A30">
      <w:pPr>
        <w:pStyle w:val="Heading5"/>
      </w:pPr>
      <w:r>
        <w:t>Misconduct — Acting in an inappropriate manner</w:t>
      </w:r>
    </w:p>
    <w:p w14:paraId="313D6319" w14:textId="1EE4FBB3" w:rsidR="00D94A30" w:rsidRDefault="00D94A30" w:rsidP="00D94A30">
      <w:pPr>
        <w:rPr>
          <w:rFonts w:ascii="Tahoma" w:eastAsia="Tahoma" w:hAnsi="Tahoma"/>
        </w:rPr>
      </w:pPr>
      <w:r w:rsidRPr="6055448A">
        <w:rPr>
          <w:rFonts w:ascii="Tahoma" w:eastAsia="Tahoma" w:hAnsi="Tahoma"/>
        </w:rPr>
        <w:t xml:space="preserve">Certain types of Mutual Obligation Failures are referred to as ‘misconduct’ in the Department’s IT Systems. </w:t>
      </w:r>
    </w:p>
    <w:p w14:paraId="1B0F9026" w14:textId="696DC1C2" w:rsidR="00D94A30" w:rsidRDefault="00D94A30" w:rsidP="00D94A30">
      <w:pPr>
        <w:keepNext/>
        <w:rPr>
          <w:rFonts w:ascii="Tahoma" w:eastAsia="Tahoma" w:hAnsi="Tahoma"/>
        </w:rPr>
      </w:pPr>
      <w:r w:rsidRPr="0DFD7869">
        <w:rPr>
          <w:rFonts w:ascii="Tahoma" w:eastAsia="Tahoma" w:hAnsi="Tahoma"/>
        </w:rPr>
        <w:t xml:space="preserve">Misconduct refers to </w:t>
      </w:r>
      <w:r w:rsidRPr="1685E615">
        <w:t xml:space="preserve">inappropriate </w:t>
      </w:r>
      <w:r w:rsidRPr="0DFD7869">
        <w:rPr>
          <w:rFonts w:ascii="Tahoma" w:eastAsia="Tahoma" w:hAnsi="Tahoma"/>
        </w:rPr>
        <w:t>behaviour</w:t>
      </w:r>
      <w:r w:rsidRPr="1685E615">
        <w:t xml:space="preserve"> by the </w:t>
      </w:r>
      <w:r>
        <w:t>Participant</w:t>
      </w:r>
      <w:r w:rsidRPr="1685E615">
        <w:t>:</w:t>
      </w:r>
    </w:p>
    <w:p w14:paraId="3F19C205" w14:textId="5489812A" w:rsidR="00D94A30" w:rsidRPr="009769F4" w:rsidRDefault="00D94A30" w:rsidP="004E120D">
      <w:pPr>
        <w:pStyle w:val="BulletLevel1"/>
      </w:pPr>
      <w:r w:rsidRPr="009769F4">
        <w:t>during an Appointment they were notified about and needed to attend as part of their Mutual Obligation Requirements, or</w:t>
      </w:r>
    </w:p>
    <w:p w14:paraId="5A3506D7" w14:textId="677EF8D5" w:rsidR="00D94A30" w:rsidRPr="009769F4" w:rsidRDefault="00D94A30" w:rsidP="004E120D">
      <w:pPr>
        <w:pStyle w:val="BulletLevel1"/>
      </w:pPr>
      <w:r w:rsidRPr="009769F4">
        <w:t>while taking part in an Activity they were notified about and needed to undertake as part of their Mutual Obligation Requirements, or</w:t>
      </w:r>
    </w:p>
    <w:p w14:paraId="3F545BD1" w14:textId="06D6BC63" w:rsidR="00D94A30" w:rsidRPr="009769F4" w:rsidRDefault="00D94A30" w:rsidP="004E120D">
      <w:pPr>
        <w:pStyle w:val="BulletLevel1"/>
      </w:pPr>
      <w:r w:rsidRPr="009769F4">
        <w:t>during a Job Interview that could, or did, result in an offer of Employment not being made.</w:t>
      </w:r>
    </w:p>
    <w:p w14:paraId="2253487B" w14:textId="499A3483" w:rsidR="00D94A30" w:rsidRDefault="00D94A30" w:rsidP="00D94A30">
      <w:pPr>
        <w:rPr>
          <w:rFonts w:ascii="Tahoma" w:eastAsia="Tahoma" w:hAnsi="Tahoma"/>
        </w:rPr>
      </w:pPr>
      <w:r w:rsidRPr="5DD2C18A">
        <w:rPr>
          <w:rFonts w:ascii="Tahoma" w:eastAsia="Tahoma" w:hAnsi="Tahoma"/>
        </w:rPr>
        <w:t xml:space="preserve">A Provider must </w:t>
      </w:r>
      <w:r>
        <w:rPr>
          <w:rFonts w:ascii="Tahoma" w:eastAsia="Tahoma" w:hAnsi="Tahoma"/>
        </w:rPr>
        <w:t>determine</w:t>
      </w:r>
      <w:r w:rsidRPr="5DD2C18A">
        <w:rPr>
          <w:rFonts w:ascii="Tahoma" w:eastAsia="Tahoma" w:hAnsi="Tahoma"/>
        </w:rPr>
        <w:t xml:space="preserve"> that a Participant’s behaviour involved ‘misconduct’ when the Participant’s behaviour during the requirement:</w:t>
      </w:r>
    </w:p>
    <w:p w14:paraId="70104B35" w14:textId="4B14EE98" w:rsidR="00D94A30" w:rsidRPr="009769F4" w:rsidRDefault="00D94A30" w:rsidP="004E120D">
      <w:pPr>
        <w:pStyle w:val="BulletLevel1"/>
      </w:pPr>
      <w:r w:rsidRPr="009769F4">
        <w:t>was within the Participant’s control</w:t>
      </w:r>
    </w:p>
    <w:p w14:paraId="3C2216C2" w14:textId="449B6AC0" w:rsidR="00D94A30" w:rsidRPr="009769F4" w:rsidRDefault="00D94A30" w:rsidP="004E120D">
      <w:pPr>
        <w:pStyle w:val="BulletLevel1"/>
      </w:pPr>
      <w:r w:rsidRPr="009769F4">
        <w:t>prevented the purpose of the relevant Appointment, Activity or Job Interview from being met, and</w:t>
      </w:r>
    </w:p>
    <w:p w14:paraId="02CFD68A" w14:textId="28901EB0" w:rsidR="00D94A30" w:rsidRPr="009769F4" w:rsidRDefault="00D94A30" w:rsidP="004E120D">
      <w:pPr>
        <w:pStyle w:val="BulletLevel1"/>
      </w:pPr>
      <w:r w:rsidRPr="009769F4">
        <w:t>would be considered as inappropriate in the circumstances by the general public.</w:t>
      </w:r>
    </w:p>
    <w:p w14:paraId="7A66193D" w14:textId="5BC70737" w:rsidR="00D94A30" w:rsidRDefault="00D94A30" w:rsidP="00D94A30">
      <w:pPr>
        <w:rPr>
          <w:rFonts w:ascii="Tahoma" w:eastAsia="Tahoma" w:hAnsi="Tahoma"/>
        </w:rPr>
      </w:pPr>
      <w:r w:rsidRPr="0DFD7869">
        <w:rPr>
          <w:rFonts w:ascii="Tahoma" w:eastAsia="Tahoma" w:hAnsi="Tahoma"/>
        </w:rPr>
        <w:t>This behaviour may include:</w:t>
      </w:r>
    </w:p>
    <w:p w14:paraId="39E32057" w14:textId="5F698024" w:rsidR="00D94A30" w:rsidRPr="009769F4" w:rsidRDefault="00D94A30" w:rsidP="004E120D">
      <w:pPr>
        <w:pStyle w:val="BulletLevel1"/>
      </w:pPr>
      <w:r w:rsidRPr="009769F4">
        <w:t>dressing inappropriately for the requirement</w:t>
      </w:r>
    </w:p>
    <w:p w14:paraId="595C78A7" w14:textId="16EB4B9B" w:rsidR="00D94A30" w:rsidRPr="009769F4" w:rsidRDefault="00D94A30" w:rsidP="004E120D">
      <w:pPr>
        <w:pStyle w:val="BulletLevel1"/>
      </w:pPr>
      <w:r w:rsidRPr="009769F4">
        <w:t xml:space="preserve">using offensive language </w:t>
      </w:r>
    </w:p>
    <w:p w14:paraId="4B8D90B5" w14:textId="41A9B9C6" w:rsidR="00D94A30" w:rsidRPr="009769F4" w:rsidRDefault="00D94A30" w:rsidP="004E120D">
      <w:pPr>
        <w:pStyle w:val="BulletLevel1"/>
      </w:pPr>
      <w:r w:rsidRPr="009769F4">
        <w:t>showing an obvious lack of interest to the extent that it limits or prevents participation</w:t>
      </w:r>
    </w:p>
    <w:p w14:paraId="10F55B21" w14:textId="3B4AD494" w:rsidR="00D94A30" w:rsidRPr="009769F4" w:rsidRDefault="00D94A30" w:rsidP="004E120D">
      <w:pPr>
        <w:pStyle w:val="BulletLevel1"/>
      </w:pPr>
      <w:r w:rsidRPr="009769F4">
        <w:t>exaggerating the severity of an injury or illness to avoid fully taking part in the requirement, or</w:t>
      </w:r>
    </w:p>
    <w:p w14:paraId="2FB5BFA1" w14:textId="51D45C38" w:rsidR="00D94A30" w:rsidRPr="009769F4" w:rsidRDefault="00D94A30" w:rsidP="004E120D">
      <w:pPr>
        <w:pStyle w:val="BulletLevel1"/>
      </w:pPr>
      <w:r w:rsidRPr="009769F4">
        <w:t>leaving the requirement before its completion.</w:t>
      </w:r>
    </w:p>
    <w:p w14:paraId="6A8557A1" w14:textId="00D213AC" w:rsidR="00D94A30" w:rsidRDefault="00D94A30" w:rsidP="00D94A30">
      <w:pPr>
        <w:rPr>
          <w:rFonts w:ascii="Tahoma" w:eastAsia="Tahoma" w:hAnsi="Tahoma"/>
        </w:rPr>
      </w:pPr>
      <w:r w:rsidRPr="5DD2C18A">
        <w:rPr>
          <w:rFonts w:ascii="Tahoma" w:eastAsia="Tahoma" w:hAnsi="Tahoma"/>
        </w:rPr>
        <w:t xml:space="preserve">Behaviour that appears to be inappropriate but is out of the Participant’s control </w:t>
      </w:r>
      <w:r>
        <w:rPr>
          <w:rFonts w:ascii="Tahoma" w:eastAsia="Tahoma" w:hAnsi="Tahoma"/>
        </w:rPr>
        <w:t>is not</w:t>
      </w:r>
      <w:r w:rsidRPr="5DD2C18A">
        <w:rPr>
          <w:rFonts w:ascii="Tahoma" w:eastAsia="Tahoma" w:hAnsi="Tahoma"/>
        </w:rPr>
        <w:t xml:space="preserve"> misconduct. For example, a Participant may act in an inappropriate manner because they:</w:t>
      </w:r>
    </w:p>
    <w:p w14:paraId="187FBB05" w14:textId="785F2CB5" w:rsidR="00D94A30" w:rsidRPr="009769F4" w:rsidRDefault="00D94A30" w:rsidP="004E120D">
      <w:pPr>
        <w:pStyle w:val="BulletLevel1"/>
      </w:pPr>
      <w:r w:rsidRPr="009769F4">
        <w:t>do not have appropriate clothes to wear</w:t>
      </w:r>
    </w:p>
    <w:p w14:paraId="77366822" w14:textId="02BE0381" w:rsidR="00D94A30" w:rsidRPr="009769F4" w:rsidRDefault="00D94A30" w:rsidP="004E120D">
      <w:pPr>
        <w:pStyle w:val="BulletLevel1"/>
      </w:pPr>
      <w:r w:rsidRPr="009769F4">
        <w:t>are affected by a personal crisis</w:t>
      </w:r>
    </w:p>
    <w:p w14:paraId="7D45DED4" w14:textId="4E72BB1F" w:rsidR="00D94A30" w:rsidRPr="009769F4" w:rsidRDefault="00D94A30" w:rsidP="004E120D">
      <w:pPr>
        <w:pStyle w:val="BulletLevel1"/>
      </w:pPr>
      <w:r w:rsidRPr="009769F4">
        <w:t>are affected by a medical condition.</w:t>
      </w:r>
    </w:p>
    <w:p w14:paraId="15A87CFC" w14:textId="50984C44" w:rsidR="00DB3050" w:rsidRPr="008F2238" w:rsidRDefault="00DB3050" w:rsidP="00DB3050">
      <w:pPr>
        <w:pStyle w:val="Heading5"/>
        <w:rPr>
          <w:rFonts w:ascii="Tahoma" w:eastAsia="Tahoma" w:hAnsi="Tahoma"/>
        </w:rPr>
      </w:pPr>
      <w:r>
        <w:rPr>
          <w:rFonts w:ascii="Tahoma" w:eastAsia="Tahoma" w:hAnsi="Tahoma"/>
        </w:rPr>
        <w:t>Additional considerations for Participants who disclose d</w:t>
      </w:r>
      <w:r w:rsidRPr="008F2238">
        <w:rPr>
          <w:rFonts w:ascii="Tahoma" w:eastAsia="Tahoma" w:hAnsi="Tahoma"/>
        </w:rPr>
        <w:t>rug or alcohol dependence</w:t>
      </w:r>
    </w:p>
    <w:p w14:paraId="7BCF8A10" w14:textId="37DB7892" w:rsidR="00DB3050" w:rsidRPr="00646925" w:rsidRDefault="00DB3050" w:rsidP="00DB3050">
      <w:pPr>
        <w:rPr>
          <w:rFonts w:ascii="Tahoma" w:eastAsia="Tahoma" w:hAnsi="Tahoma" w:cstheme="majorBidi"/>
          <w:bCs/>
          <w:color w:val="000000" w:themeColor="text1"/>
          <w:szCs w:val="22"/>
        </w:rPr>
      </w:pPr>
      <w:r w:rsidRPr="00646925">
        <w:rPr>
          <w:rFonts w:ascii="Tahoma" w:eastAsia="Tahoma" w:hAnsi="Tahoma" w:cstheme="majorBidi"/>
          <w:bCs/>
          <w:color w:val="000000" w:themeColor="text1"/>
          <w:szCs w:val="22"/>
        </w:rPr>
        <w:t xml:space="preserve">There are </w:t>
      </w:r>
      <w:r>
        <w:rPr>
          <w:rFonts w:ascii="Tahoma" w:eastAsia="Tahoma" w:hAnsi="Tahoma" w:cstheme="majorBidi"/>
          <w:bCs/>
          <w:color w:val="000000" w:themeColor="text1"/>
          <w:szCs w:val="22"/>
        </w:rPr>
        <w:t>additional considerations for</w:t>
      </w:r>
      <w:r w:rsidRPr="00646925">
        <w:rPr>
          <w:rFonts w:ascii="Tahoma" w:eastAsia="Tahoma" w:hAnsi="Tahoma" w:cstheme="majorBidi"/>
          <w:bCs/>
          <w:color w:val="000000" w:themeColor="text1"/>
          <w:szCs w:val="22"/>
        </w:rPr>
        <w:t xml:space="preserve"> </w:t>
      </w:r>
      <w:r>
        <w:rPr>
          <w:rFonts w:ascii="Tahoma" w:eastAsia="Tahoma" w:hAnsi="Tahoma" w:cstheme="majorBidi"/>
          <w:bCs/>
          <w:color w:val="000000" w:themeColor="text1"/>
          <w:szCs w:val="22"/>
        </w:rPr>
        <w:t>P</w:t>
      </w:r>
      <w:r w:rsidRPr="00646925">
        <w:rPr>
          <w:rFonts w:ascii="Tahoma" w:eastAsia="Tahoma" w:hAnsi="Tahoma" w:cstheme="majorBidi"/>
          <w:bCs/>
          <w:color w:val="000000" w:themeColor="text1"/>
          <w:szCs w:val="22"/>
        </w:rPr>
        <w:t xml:space="preserve">articipants </w:t>
      </w:r>
      <w:r>
        <w:rPr>
          <w:rFonts w:ascii="Tahoma" w:eastAsia="Tahoma" w:hAnsi="Tahoma" w:cstheme="majorBidi"/>
          <w:bCs/>
          <w:color w:val="000000" w:themeColor="text1"/>
          <w:szCs w:val="22"/>
        </w:rPr>
        <w:t xml:space="preserve">who </w:t>
      </w:r>
      <w:r w:rsidR="00C95C71">
        <w:rPr>
          <w:rFonts w:ascii="Tahoma" w:eastAsia="Tahoma" w:hAnsi="Tahoma"/>
          <w:color w:val="000000" w:themeColor="text1"/>
        </w:rPr>
        <w:t xml:space="preserve">disclose that drug or </w:t>
      </w:r>
      <w:r w:rsidR="00C95C71" w:rsidRPr="00646925">
        <w:rPr>
          <w:rFonts w:ascii="Tahoma" w:eastAsia="Tahoma" w:hAnsi="Tahoma" w:cstheme="majorBidi"/>
          <w:color w:val="000000" w:themeColor="text1"/>
        </w:rPr>
        <w:t>alcohol use or dependency is impacting their ability to meet their requirements</w:t>
      </w:r>
      <w:r w:rsidR="00C95C71">
        <w:rPr>
          <w:rFonts w:ascii="Tahoma" w:eastAsia="Tahoma" w:hAnsi="Tahoma" w:cstheme="majorBidi"/>
          <w:bCs/>
          <w:color w:val="000000" w:themeColor="text1"/>
          <w:szCs w:val="22"/>
        </w:rPr>
        <w:t xml:space="preserve"> </w:t>
      </w:r>
      <w:r w:rsidRPr="00646925">
        <w:rPr>
          <w:rFonts w:ascii="Tahoma" w:eastAsia="Tahoma" w:hAnsi="Tahoma" w:cstheme="majorBidi"/>
          <w:bCs/>
          <w:color w:val="000000" w:themeColor="text1"/>
          <w:szCs w:val="22"/>
        </w:rPr>
        <w:t>and secure paid work.</w:t>
      </w:r>
    </w:p>
    <w:p w14:paraId="30328205" w14:textId="77777777" w:rsidR="006F61AA" w:rsidRDefault="006F61AA" w:rsidP="006F61AA">
      <w:pPr>
        <w:rPr>
          <w:rFonts w:ascii="Tahoma" w:eastAsia="Tahoma" w:hAnsi="Tahoma"/>
          <w:color w:val="000000" w:themeColor="text1"/>
        </w:rPr>
      </w:pPr>
      <w:r>
        <w:rPr>
          <w:rFonts w:ascii="Tahoma" w:eastAsia="Tahoma" w:hAnsi="Tahoma"/>
          <w:color w:val="000000" w:themeColor="text1"/>
        </w:rPr>
        <w:t>T</w:t>
      </w:r>
      <w:r w:rsidRPr="00094000">
        <w:rPr>
          <w:rFonts w:ascii="Tahoma" w:eastAsia="Tahoma" w:hAnsi="Tahoma"/>
          <w:color w:val="000000" w:themeColor="text1"/>
        </w:rPr>
        <w:t>he first time a Participant cites drug or alcohol misuse or dependency as the reason they are not able to meet an upcoming Mutual Obligation Requirement or have committed a Mutual Obligation Failure, the Provider may determine this is an Acceptable Reason or a Valid Reason, respectively</w:t>
      </w:r>
      <w:r>
        <w:rPr>
          <w:rFonts w:ascii="Tahoma" w:eastAsia="Tahoma" w:hAnsi="Tahoma"/>
          <w:color w:val="000000" w:themeColor="text1"/>
        </w:rPr>
        <w:t>.</w:t>
      </w:r>
    </w:p>
    <w:p w14:paraId="63F082B1" w14:textId="241C7E90" w:rsidR="00DB3050" w:rsidRDefault="00DB3050" w:rsidP="00DB3050">
      <w:pPr>
        <w:rPr>
          <w:rFonts w:ascii="Tahoma" w:eastAsia="Tahoma" w:hAnsi="Tahoma" w:cstheme="majorBidi"/>
          <w:color w:val="000000" w:themeColor="text1"/>
        </w:rPr>
      </w:pPr>
      <w:r w:rsidRPr="00646925">
        <w:rPr>
          <w:rFonts w:ascii="Tahoma" w:eastAsia="Tahoma" w:hAnsi="Tahoma" w:cstheme="majorBidi"/>
          <w:color w:val="000000" w:themeColor="text1"/>
        </w:rPr>
        <w:t xml:space="preserve">Drug or alcohol </w:t>
      </w:r>
      <w:r w:rsidR="006F61AA">
        <w:rPr>
          <w:rFonts w:ascii="Tahoma" w:eastAsia="Tahoma" w:hAnsi="Tahoma" w:cstheme="majorBidi"/>
          <w:color w:val="000000" w:themeColor="text1"/>
        </w:rPr>
        <w:t>mis</w:t>
      </w:r>
      <w:r w:rsidRPr="00646925">
        <w:rPr>
          <w:rFonts w:ascii="Tahoma" w:eastAsia="Tahoma" w:hAnsi="Tahoma" w:cstheme="majorBidi"/>
          <w:color w:val="000000" w:themeColor="text1"/>
        </w:rPr>
        <w:t>use</w:t>
      </w:r>
      <w:r w:rsidR="006F61AA">
        <w:rPr>
          <w:rFonts w:ascii="Tahoma" w:eastAsia="Tahoma" w:hAnsi="Tahoma" w:cstheme="majorBidi"/>
          <w:color w:val="000000" w:themeColor="text1"/>
        </w:rPr>
        <w:t xml:space="preserve"> or dependency, however,</w:t>
      </w:r>
      <w:r w:rsidRPr="00646925">
        <w:rPr>
          <w:rFonts w:ascii="Tahoma" w:eastAsia="Tahoma" w:hAnsi="Tahoma" w:cstheme="majorBidi"/>
          <w:color w:val="000000" w:themeColor="text1"/>
        </w:rPr>
        <w:t xml:space="preserve"> should not be used as a repeated excuse for not meeting requirements</w:t>
      </w:r>
      <w:r>
        <w:rPr>
          <w:rFonts w:ascii="Tahoma" w:eastAsia="Tahoma" w:hAnsi="Tahoma" w:cstheme="majorBidi"/>
          <w:color w:val="000000" w:themeColor="text1"/>
        </w:rPr>
        <w:t xml:space="preserve">. Instead, </w:t>
      </w:r>
      <w:r w:rsidRPr="00646925">
        <w:rPr>
          <w:rFonts w:ascii="Tahoma" w:eastAsia="Tahoma" w:hAnsi="Tahoma" w:cstheme="majorBidi"/>
          <w:color w:val="000000" w:themeColor="text1"/>
        </w:rPr>
        <w:t xml:space="preserve">the expectation is that </w:t>
      </w:r>
      <w:r>
        <w:rPr>
          <w:rFonts w:ascii="Tahoma" w:eastAsia="Tahoma" w:hAnsi="Tahoma" w:cstheme="majorBidi"/>
          <w:color w:val="000000" w:themeColor="text1"/>
        </w:rPr>
        <w:t>P</w:t>
      </w:r>
      <w:r w:rsidRPr="00646925">
        <w:rPr>
          <w:rFonts w:ascii="Tahoma" w:eastAsia="Tahoma" w:hAnsi="Tahoma" w:cstheme="majorBidi"/>
          <w:color w:val="000000" w:themeColor="text1"/>
        </w:rPr>
        <w:t xml:space="preserve">roviders will assist </w:t>
      </w:r>
      <w:r>
        <w:rPr>
          <w:rFonts w:ascii="Tahoma" w:eastAsia="Tahoma" w:hAnsi="Tahoma" w:cstheme="majorBidi"/>
          <w:color w:val="000000" w:themeColor="text1"/>
        </w:rPr>
        <w:t>the P</w:t>
      </w:r>
      <w:r w:rsidRPr="00646925">
        <w:rPr>
          <w:rFonts w:ascii="Tahoma" w:eastAsia="Tahoma" w:hAnsi="Tahoma" w:cstheme="majorBidi"/>
          <w:color w:val="000000" w:themeColor="text1"/>
        </w:rPr>
        <w:t>articipant</w:t>
      </w:r>
      <w:r>
        <w:rPr>
          <w:rFonts w:ascii="Tahoma" w:eastAsia="Tahoma" w:hAnsi="Tahoma" w:cstheme="majorBidi"/>
          <w:color w:val="000000" w:themeColor="text1"/>
        </w:rPr>
        <w:t xml:space="preserve"> to access</w:t>
      </w:r>
      <w:r w:rsidRPr="00646925">
        <w:rPr>
          <w:rFonts w:ascii="Tahoma" w:eastAsia="Tahoma" w:hAnsi="Tahoma" w:cstheme="majorBidi"/>
          <w:color w:val="000000" w:themeColor="text1"/>
        </w:rPr>
        <w:t xml:space="preserve"> treatment services to overcome </w:t>
      </w:r>
      <w:r>
        <w:rPr>
          <w:rFonts w:ascii="Tahoma" w:eastAsia="Tahoma" w:hAnsi="Tahoma" w:cstheme="majorBidi"/>
          <w:color w:val="000000" w:themeColor="text1"/>
        </w:rPr>
        <w:t>their</w:t>
      </w:r>
      <w:r w:rsidRPr="00646925">
        <w:rPr>
          <w:rFonts w:ascii="Tahoma" w:eastAsia="Tahoma" w:hAnsi="Tahoma" w:cstheme="majorBidi"/>
          <w:color w:val="000000" w:themeColor="text1"/>
        </w:rPr>
        <w:t xml:space="preserve"> dependency, where available and as appropriate</w:t>
      </w:r>
      <w:r>
        <w:rPr>
          <w:rFonts w:ascii="Tahoma" w:eastAsia="Tahoma" w:hAnsi="Tahoma" w:cstheme="majorBidi"/>
          <w:color w:val="000000" w:themeColor="text1"/>
        </w:rPr>
        <w:t>.</w:t>
      </w:r>
    </w:p>
    <w:p w14:paraId="1CD2BC4F" w14:textId="72AE0489" w:rsidR="00DB3050" w:rsidRDefault="00F326A2" w:rsidP="00DB3050">
      <w:pPr>
        <w:rPr>
          <w:rFonts w:ascii="Tahoma" w:eastAsia="Tahoma" w:hAnsi="Tahoma" w:cstheme="majorBidi"/>
          <w:color w:val="000000" w:themeColor="text1"/>
        </w:rPr>
      </w:pPr>
      <w:r>
        <w:rPr>
          <w:rFonts w:ascii="Tahoma" w:eastAsia="Tahoma" w:hAnsi="Tahoma"/>
          <w:color w:val="000000" w:themeColor="text1"/>
        </w:rPr>
        <w:t>Following the disclosure</w:t>
      </w:r>
      <w:r w:rsidR="00122F04">
        <w:rPr>
          <w:rFonts w:ascii="Tahoma" w:eastAsia="Tahoma" w:hAnsi="Tahoma"/>
          <w:color w:val="000000" w:themeColor="text1"/>
        </w:rPr>
        <w:t xml:space="preserve">, </w:t>
      </w:r>
      <w:r w:rsidR="00B474E0" w:rsidRPr="00646925">
        <w:rPr>
          <w:rFonts w:ascii="Tahoma" w:eastAsia="Tahoma" w:hAnsi="Tahoma" w:cstheme="majorBidi"/>
          <w:color w:val="000000" w:themeColor="text1"/>
        </w:rPr>
        <w:t xml:space="preserve">the </w:t>
      </w:r>
      <w:r w:rsidR="008B0E0C">
        <w:rPr>
          <w:rFonts w:ascii="Tahoma" w:eastAsia="Tahoma" w:hAnsi="Tahoma" w:cstheme="majorBidi"/>
          <w:color w:val="000000" w:themeColor="text1"/>
        </w:rPr>
        <w:t>P</w:t>
      </w:r>
      <w:r w:rsidR="00B474E0" w:rsidRPr="00646925">
        <w:rPr>
          <w:rFonts w:ascii="Tahoma" w:eastAsia="Tahoma" w:hAnsi="Tahoma" w:cstheme="majorBidi"/>
          <w:color w:val="000000" w:themeColor="text1"/>
        </w:rPr>
        <w:t>articipant must be offered appropriate treatment to address this barrier and</w:t>
      </w:r>
      <w:r w:rsidR="00FE4509">
        <w:rPr>
          <w:rFonts w:ascii="Tahoma" w:eastAsia="Tahoma" w:hAnsi="Tahoma" w:cstheme="majorBidi"/>
          <w:color w:val="000000" w:themeColor="text1"/>
        </w:rPr>
        <w:t xml:space="preserve"> </w:t>
      </w:r>
      <w:r w:rsidR="000E6117">
        <w:rPr>
          <w:rFonts w:ascii="Tahoma" w:eastAsia="Tahoma" w:hAnsi="Tahoma" w:cstheme="majorBidi"/>
          <w:color w:val="000000" w:themeColor="text1"/>
        </w:rPr>
        <w:t>their response (i.e.</w:t>
      </w:r>
      <w:r w:rsidR="00FE4509">
        <w:rPr>
          <w:rFonts w:ascii="Tahoma" w:eastAsia="Tahoma" w:hAnsi="Tahoma" w:cstheme="majorBidi"/>
          <w:color w:val="000000" w:themeColor="text1"/>
        </w:rPr>
        <w:t xml:space="preserve"> the Participant accepts or refuses services </w:t>
      </w:r>
      <w:r w:rsidR="009F4B3A">
        <w:rPr>
          <w:rFonts w:ascii="Tahoma" w:eastAsia="Tahoma" w:hAnsi="Tahoma" w:cstheme="majorBidi"/>
          <w:color w:val="000000" w:themeColor="text1"/>
        </w:rPr>
        <w:t>this support</w:t>
      </w:r>
      <w:r w:rsidR="00B474E0" w:rsidRPr="00646925">
        <w:rPr>
          <w:rFonts w:ascii="Tahoma" w:eastAsia="Tahoma" w:hAnsi="Tahoma" w:cstheme="majorBidi"/>
          <w:color w:val="000000" w:themeColor="text1"/>
        </w:rPr>
        <w:t xml:space="preserve"> must be recorded in the Capability Management Tool</w:t>
      </w:r>
      <w:r w:rsidR="000E6117">
        <w:rPr>
          <w:rFonts w:ascii="Tahoma" w:eastAsia="Tahoma" w:hAnsi="Tahoma" w:cstheme="majorBidi"/>
          <w:color w:val="000000" w:themeColor="text1"/>
        </w:rPr>
        <w:t>.</w:t>
      </w:r>
      <w:r w:rsidR="00210C32">
        <w:rPr>
          <w:rFonts w:ascii="Tahoma" w:eastAsia="Tahoma" w:hAnsi="Tahoma" w:cstheme="majorBidi"/>
          <w:color w:val="000000" w:themeColor="text1"/>
        </w:rPr>
        <w:t xml:space="preserve"> Refer to </w:t>
      </w:r>
      <w:r w:rsidR="00210C32">
        <w:rPr>
          <w:rFonts w:ascii="Tahoma" w:eastAsia="Tahoma" w:hAnsi="Tahoma" w:cstheme="majorBidi"/>
          <w:color w:val="000000" w:themeColor="text1"/>
          <w:highlight w:val="yellow"/>
        </w:rPr>
        <w:fldChar w:fldCharType="begin"/>
      </w:r>
      <w:r w:rsidR="00210C32">
        <w:rPr>
          <w:rFonts w:ascii="Tahoma" w:eastAsia="Tahoma" w:hAnsi="Tahoma" w:cstheme="majorBidi"/>
          <w:color w:val="000000" w:themeColor="text1"/>
        </w:rPr>
        <w:instrText xml:space="preserve"> REF _Ref202791607 \h </w:instrText>
      </w:r>
      <w:r w:rsidR="00210C32">
        <w:rPr>
          <w:rFonts w:ascii="Tahoma" w:eastAsia="Tahoma" w:hAnsi="Tahoma" w:cstheme="majorBidi"/>
          <w:color w:val="000000" w:themeColor="text1"/>
          <w:highlight w:val="yellow"/>
        </w:rPr>
      </w:r>
      <w:r w:rsidR="00210C32">
        <w:rPr>
          <w:rFonts w:ascii="Tahoma" w:eastAsia="Tahoma" w:hAnsi="Tahoma" w:cstheme="majorBidi"/>
          <w:color w:val="000000" w:themeColor="text1"/>
          <w:highlight w:val="yellow"/>
        </w:rPr>
        <w:fldChar w:fldCharType="separate"/>
      </w:r>
      <w:r w:rsidR="000D75AE" w:rsidRPr="2E254F05">
        <w:rPr>
          <w:lang w:val="en-GB"/>
        </w:rPr>
        <w:t>7.7.5</w:t>
      </w:r>
      <w:r w:rsidR="003B2E77">
        <w:rPr>
          <w:lang w:val="en-GB"/>
        </w:rPr>
        <w:t xml:space="preserve"> </w:t>
      </w:r>
      <w:r w:rsidR="000D75AE">
        <w:rPr>
          <w:lang w:val="en-GB"/>
        </w:rPr>
        <w:t>I</w:t>
      </w:r>
      <w:r w:rsidR="000D75AE" w:rsidRPr="2E254F05">
        <w:rPr>
          <w:lang w:val="en-GB"/>
        </w:rPr>
        <w:t>nterventions</w:t>
      </w:r>
      <w:r w:rsidR="000D75AE">
        <w:rPr>
          <w:lang w:val="en-GB"/>
        </w:rPr>
        <w:t xml:space="preserve"> and other non-vocational supports</w:t>
      </w:r>
      <w:r w:rsidR="00210C32">
        <w:rPr>
          <w:rFonts w:ascii="Tahoma" w:eastAsia="Tahoma" w:hAnsi="Tahoma" w:cstheme="majorBidi"/>
          <w:color w:val="000000" w:themeColor="text1"/>
          <w:highlight w:val="yellow"/>
        </w:rPr>
        <w:fldChar w:fldCharType="end"/>
      </w:r>
      <w:r w:rsidR="000E6117">
        <w:rPr>
          <w:rFonts w:ascii="Tahoma" w:eastAsia="Tahoma" w:hAnsi="Tahoma" w:cstheme="majorBidi"/>
          <w:color w:val="000000" w:themeColor="text1"/>
        </w:rPr>
        <w:t xml:space="preserve"> for more information</w:t>
      </w:r>
      <w:r w:rsidR="00964E3D">
        <w:rPr>
          <w:rFonts w:ascii="Tahoma" w:eastAsia="Tahoma" w:hAnsi="Tahoma" w:cstheme="majorBidi"/>
          <w:color w:val="000000" w:themeColor="text1"/>
        </w:rPr>
        <w:t xml:space="preserve"> on referrals to drug and alco</w:t>
      </w:r>
      <w:r w:rsidR="00210C32">
        <w:rPr>
          <w:rFonts w:ascii="Tahoma" w:eastAsia="Tahoma" w:hAnsi="Tahoma" w:cstheme="majorBidi"/>
          <w:color w:val="000000" w:themeColor="text1"/>
        </w:rPr>
        <w:t>hol treatment or rehabilitation programs</w:t>
      </w:r>
      <w:r w:rsidR="005C42E5">
        <w:rPr>
          <w:rFonts w:ascii="Tahoma" w:eastAsia="Tahoma" w:hAnsi="Tahoma" w:cstheme="majorBidi"/>
          <w:color w:val="000000" w:themeColor="text1"/>
        </w:rPr>
        <w:t>.</w:t>
      </w:r>
      <w:r w:rsidR="00132F64">
        <w:rPr>
          <w:rFonts w:ascii="Tahoma" w:eastAsia="Tahoma" w:hAnsi="Tahoma" w:cstheme="majorBidi"/>
          <w:color w:val="000000" w:themeColor="text1"/>
        </w:rPr>
        <w:t xml:space="preserve"> </w:t>
      </w:r>
    </w:p>
    <w:p w14:paraId="5B8EEDC7" w14:textId="6770E7EA" w:rsidR="00DB3050" w:rsidRPr="00AD65DC" w:rsidRDefault="00DB3050" w:rsidP="004855CB">
      <w:pPr>
        <w:keepNext/>
        <w:rPr>
          <w:rFonts w:ascii="Tahoma" w:eastAsia="Tahoma" w:hAnsi="Tahoma"/>
          <w:color w:val="000000" w:themeColor="text1"/>
        </w:rPr>
      </w:pPr>
      <w:r w:rsidRPr="6055448A">
        <w:rPr>
          <w:rFonts w:ascii="Tahoma" w:eastAsia="Tahoma" w:hAnsi="Tahoma"/>
          <w:color w:val="000000" w:themeColor="text1"/>
        </w:rPr>
        <w:t xml:space="preserve">If a Participant states </w:t>
      </w:r>
      <w:r>
        <w:rPr>
          <w:rFonts w:ascii="Tahoma" w:eastAsia="Tahoma" w:hAnsi="Tahoma"/>
          <w:color w:val="000000" w:themeColor="text1"/>
        </w:rPr>
        <w:t xml:space="preserve">that </w:t>
      </w:r>
      <w:r w:rsidRPr="6055448A">
        <w:rPr>
          <w:rFonts w:ascii="Tahoma" w:eastAsia="Tahoma" w:hAnsi="Tahoma"/>
          <w:color w:val="000000" w:themeColor="text1"/>
        </w:rPr>
        <w:t xml:space="preserve">drug or alcohol misuse or dependency </w:t>
      </w:r>
      <w:r>
        <w:rPr>
          <w:rFonts w:ascii="Tahoma" w:eastAsia="Tahoma" w:hAnsi="Tahoma"/>
          <w:color w:val="000000" w:themeColor="text1"/>
        </w:rPr>
        <w:t>w</w:t>
      </w:r>
      <w:r w:rsidRPr="6055448A">
        <w:rPr>
          <w:rFonts w:ascii="Tahoma" w:eastAsia="Tahoma" w:hAnsi="Tahoma"/>
          <w:color w:val="000000" w:themeColor="text1"/>
        </w:rPr>
        <w:t xml:space="preserve">as the reason they have committed a Mutual Obligation Failure, the Provider must not </w:t>
      </w:r>
      <w:r>
        <w:rPr>
          <w:rFonts w:ascii="Tahoma" w:eastAsia="Tahoma" w:hAnsi="Tahoma"/>
        </w:rPr>
        <w:t>determine</w:t>
      </w:r>
      <w:r w:rsidRPr="5DD2C18A">
        <w:rPr>
          <w:rFonts w:ascii="Tahoma" w:eastAsia="Tahoma" w:hAnsi="Tahoma"/>
        </w:rPr>
        <w:t xml:space="preserve"> </w:t>
      </w:r>
      <w:r w:rsidRPr="6055448A">
        <w:rPr>
          <w:rFonts w:ascii="Tahoma" w:eastAsia="Tahoma" w:hAnsi="Tahoma"/>
          <w:color w:val="000000" w:themeColor="text1"/>
        </w:rPr>
        <w:t>that this is a</w:t>
      </w:r>
      <w:r w:rsidR="004855CB">
        <w:rPr>
          <w:rFonts w:ascii="Tahoma" w:eastAsia="Tahoma" w:hAnsi="Tahoma"/>
          <w:color w:val="000000" w:themeColor="text1"/>
        </w:rPr>
        <w:t>n Acceptable Reason or</w:t>
      </w:r>
      <w:r w:rsidRPr="6055448A">
        <w:rPr>
          <w:rFonts w:ascii="Tahoma" w:eastAsia="Tahoma" w:hAnsi="Tahoma"/>
          <w:color w:val="000000" w:themeColor="text1"/>
        </w:rPr>
        <w:t xml:space="preserve"> Valid Reason</w:t>
      </w:r>
      <w:r w:rsidR="004855CB">
        <w:rPr>
          <w:rFonts w:ascii="Tahoma" w:eastAsia="Tahoma" w:hAnsi="Tahoma"/>
          <w:color w:val="000000" w:themeColor="text1"/>
        </w:rPr>
        <w:t>, as relevant,</w:t>
      </w:r>
      <w:r w:rsidRPr="6055448A">
        <w:rPr>
          <w:rFonts w:ascii="Tahoma" w:eastAsia="Tahoma" w:hAnsi="Tahoma"/>
          <w:color w:val="000000" w:themeColor="text1"/>
        </w:rPr>
        <w:t xml:space="preserve"> if:</w:t>
      </w:r>
    </w:p>
    <w:p w14:paraId="1544C549" w14:textId="5C2D911C" w:rsidR="00DB3050" w:rsidRPr="00AD65DC" w:rsidRDefault="00DB3050" w:rsidP="00DB3050">
      <w:pPr>
        <w:pStyle w:val="BulletLevel1"/>
      </w:pPr>
      <w:r w:rsidRPr="5DD2C18A">
        <w:t xml:space="preserve">the Provider </w:t>
      </w:r>
      <w:r w:rsidR="004855CB">
        <w:t xml:space="preserve">previously </w:t>
      </w:r>
      <w:r>
        <w:rPr>
          <w:rFonts w:ascii="Tahoma" w:hAnsi="Tahoma"/>
        </w:rPr>
        <w:t>determined</w:t>
      </w:r>
      <w:r w:rsidRPr="5DD2C18A">
        <w:rPr>
          <w:rFonts w:ascii="Tahoma" w:hAnsi="Tahoma"/>
        </w:rPr>
        <w:t xml:space="preserve"> </w:t>
      </w:r>
      <w:r w:rsidRPr="5DD2C18A">
        <w:t>that the Participant’s drug or alcohol misuse or dependency was a</w:t>
      </w:r>
      <w:r w:rsidR="004855CB">
        <w:t>n Acceptable Reason or</w:t>
      </w:r>
      <w:r w:rsidRPr="5DD2C18A">
        <w:t xml:space="preserve"> Valid Reason, so </w:t>
      </w:r>
      <w:r w:rsidR="0036754E" w:rsidRPr="0036754E">
        <w:t xml:space="preserve">he relevant upcoming Mutual Obligation Failure was rescheduled or the relevant Mutual Obligation </w:t>
      </w:r>
      <w:r w:rsidR="0036754E">
        <w:t>Failure</w:t>
      </w:r>
      <w:r w:rsidRPr="5DD2C18A">
        <w:t xml:space="preserve"> did not result in a </w:t>
      </w:r>
      <w:r>
        <w:t>Demerit</w:t>
      </w:r>
    </w:p>
    <w:p w14:paraId="0A513AC5" w14:textId="1F814AF8" w:rsidR="00DB3050" w:rsidRPr="00AD65DC" w:rsidRDefault="00DB3050" w:rsidP="00DB3050">
      <w:pPr>
        <w:pStyle w:val="BulletLevel1"/>
      </w:pPr>
      <w:r w:rsidRPr="7751327C">
        <w:t xml:space="preserve">the Provider referred to Participant to </w:t>
      </w:r>
      <w:r w:rsidR="0036754E">
        <w:t xml:space="preserve">available and appropriate </w:t>
      </w:r>
      <w:r w:rsidRPr="7751327C">
        <w:t>treatment to address the drug or alcohol misuse or dependency</w:t>
      </w:r>
      <w:r>
        <w:t>, and</w:t>
      </w:r>
    </w:p>
    <w:p w14:paraId="69484259" w14:textId="5F77F768" w:rsidR="00DB3050" w:rsidRPr="00AD65DC" w:rsidRDefault="00DB3050" w:rsidP="00DB3050">
      <w:pPr>
        <w:pStyle w:val="BulletLevel1"/>
      </w:pPr>
      <w:r w:rsidRPr="5DD2C18A">
        <w:t>the Participant refused or did not take part in the treatment</w:t>
      </w:r>
      <w:r w:rsidR="007532ED">
        <w:t>.</w:t>
      </w:r>
    </w:p>
    <w:p w14:paraId="142645AC" w14:textId="003E581E" w:rsidR="00DB3050" w:rsidRPr="00AD65DC" w:rsidRDefault="007532ED" w:rsidP="00E479AC">
      <w:r>
        <w:t>The exception to the above rules are when one</w:t>
      </w:r>
      <w:r w:rsidR="00DB3050" w:rsidRPr="5DD2C18A">
        <w:t xml:space="preserve"> of the following </w:t>
      </w:r>
      <w:r w:rsidR="002A6B2D">
        <w:t xml:space="preserve">exceptions </w:t>
      </w:r>
      <w:r w:rsidR="00DB3050" w:rsidRPr="5DD2C18A">
        <w:t>applies:</w:t>
      </w:r>
    </w:p>
    <w:p w14:paraId="1B4B9C32" w14:textId="1C483B41" w:rsidR="00DB3050" w:rsidRPr="00AD65DC" w:rsidRDefault="00DB3050" w:rsidP="00DB3050">
      <w:pPr>
        <w:pStyle w:val="BulletLevel1"/>
      </w:pPr>
      <w:r w:rsidRPr="5DD2C18A">
        <w:t xml:space="preserve">the treatment that the Participant was referred to was not available or </w:t>
      </w:r>
      <w:r w:rsidR="00EC15A9">
        <w:t>appropriate</w:t>
      </w:r>
      <w:r w:rsidRPr="5DD2C18A">
        <w:t xml:space="preserve"> for the Participant</w:t>
      </w:r>
    </w:p>
    <w:p w14:paraId="3EB3F34B" w14:textId="77777777" w:rsidR="00DB3050" w:rsidRPr="00AD65DC" w:rsidRDefault="00DB3050" w:rsidP="00DB3050">
      <w:pPr>
        <w:pStyle w:val="BulletLevel1"/>
      </w:pPr>
      <w:r w:rsidRPr="5DD2C18A">
        <w:t>the Participant was genuinely unable to take part in the treatment</w:t>
      </w:r>
    </w:p>
    <w:p w14:paraId="188968E1" w14:textId="7FA82340" w:rsidR="00DB3050" w:rsidRPr="00AD65DC" w:rsidRDefault="00DB3050" w:rsidP="00DB3050">
      <w:pPr>
        <w:pStyle w:val="BulletLevel1"/>
      </w:pPr>
      <w:r w:rsidRPr="5DD2C18A">
        <w:t xml:space="preserve">the Participant agreed to take part in the treatment but, despite taking all reasonable steps to start the treatment, the treatment did not </w:t>
      </w:r>
      <w:r w:rsidR="001F0DBC">
        <w:t>commence</w:t>
      </w:r>
      <w:r w:rsidRPr="5DD2C18A">
        <w:t>, or</w:t>
      </w:r>
    </w:p>
    <w:p w14:paraId="6A89310A" w14:textId="77777777" w:rsidR="00DB3050" w:rsidRPr="00AD65DC" w:rsidRDefault="00DB3050" w:rsidP="00DB3050">
      <w:pPr>
        <w:pStyle w:val="BulletLevel1"/>
      </w:pPr>
      <w:r w:rsidRPr="00AD65DC">
        <w:t xml:space="preserve">before the </w:t>
      </w:r>
      <w:r>
        <w:t>Participant</w:t>
      </w:r>
      <w:r w:rsidRPr="00AD65DC">
        <w:t xml:space="preserve"> was referred to the treatment, the </w:t>
      </w:r>
      <w:r>
        <w:t>Participant</w:t>
      </w:r>
      <w:r w:rsidRPr="00AD65DC">
        <w:t xml:space="preserve"> had:</w:t>
      </w:r>
    </w:p>
    <w:p w14:paraId="2C2B3A67" w14:textId="77777777" w:rsidR="00DB3050" w:rsidRPr="00AD65DC" w:rsidRDefault="00DB3050" w:rsidP="00DB3050">
      <w:pPr>
        <w:pStyle w:val="BulletLevel2"/>
      </w:pPr>
      <w:r w:rsidRPr="00AD65DC">
        <w:t>completed the same type of treatment as the treatment they were referred to, or</w:t>
      </w:r>
    </w:p>
    <w:p w14:paraId="116C5F3B" w14:textId="77777777" w:rsidR="00DB3050" w:rsidRDefault="00DB3050" w:rsidP="00DB3050">
      <w:pPr>
        <w:pStyle w:val="BulletLevel2"/>
      </w:pPr>
      <w:r w:rsidRPr="6055448A">
        <w:t xml:space="preserve">completed treatment that was substantially like the treatment they were referred to and, in the opinion of an appropriately qualified medical professional, the Participant would not </w:t>
      </w:r>
      <w:r>
        <w:t>be</w:t>
      </w:r>
      <w:r w:rsidRPr="6055448A">
        <w:t xml:space="preserve"> help</w:t>
      </w:r>
      <w:r>
        <w:t>ed by</w:t>
      </w:r>
      <w:r w:rsidRPr="6055448A">
        <w:t xml:space="preserve"> further treatment of the same kind as the type of treatment already completed by the person.</w:t>
      </w:r>
    </w:p>
    <w:p w14:paraId="7C825C3B" w14:textId="3BC47DEB" w:rsidR="00D94A30" w:rsidRDefault="00D94A30" w:rsidP="00D94A30">
      <w:pPr>
        <w:pStyle w:val="Heading4"/>
      </w:pPr>
      <w:bookmarkStart w:id="543" w:name="_Toc202900108"/>
      <w:bookmarkStart w:id="544" w:name="_Ref202949262"/>
      <w:bookmarkStart w:id="545" w:name="_Ref202949768"/>
      <w:r>
        <w:t>12.4.3</w:t>
      </w:r>
      <w:r w:rsidR="0020451F">
        <w:tab/>
      </w:r>
      <w:r>
        <w:t>Re</w:t>
      </w:r>
      <w:r w:rsidR="00DA3BEB">
        <w:t>cording</w:t>
      </w:r>
      <w:r>
        <w:t xml:space="preserve"> if a Participant had a Valid Reason</w:t>
      </w:r>
      <w:bookmarkEnd w:id="543"/>
      <w:bookmarkEnd w:id="544"/>
      <w:bookmarkEnd w:id="545"/>
    </w:p>
    <w:p w14:paraId="30192EF5" w14:textId="1D669BEA" w:rsidR="00D94A30" w:rsidRPr="00BB3E02" w:rsidRDefault="00D94A30" w:rsidP="00D94A30">
      <w:pPr>
        <w:rPr>
          <w:rFonts w:ascii="Tahoma" w:eastAsia="Tahoma" w:hAnsi="Tahoma"/>
        </w:rPr>
      </w:pPr>
      <w:r w:rsidRPr="6055448A">
        <w:rPr>
          <w:rFonts w:ascii="Tahoma" w:eastAsia="Tahoma" w:hAnsi="Tahoma"/>
        </w:rPr>
        <w:t xml:space="preserve">On the day the Provider </w:t>
      </w:r>
      <w:r>
        <w:rPr>
          <w:rFonts w:ascii="Tahoma" w:eastAsia="Tahoma" w:hAnsi="Tahoma"/>
        </w:rPr>
        <w:t>determines</w:t>
      </w:r>
      <w:r w:rsidRPr="5DD2C18A">
        <w:rPr>
          <w:rFonts w:ascii="Tahoma" w:eastAsia="Tahoma" w:hAnsi="Tahoma"/>
        </w:rPr>
        <w:t xml:space="preserve"> </w:t>
      </w:r>
      <w:r w:rsidRPr="6055448A">
        <w:rPr>
          <w:rFonts w:ascii="Tahoma" w:eastAsia="Tahoma" w:hAnsi="Tahoma"/>
        </w:rPr>
        <w:t xml:space="preserve">a Participant has a Valid Reason for a Mutual Obligation Failure, the Provider must record this in the Department’s IT Systems. </w:t>
      </w:r>
    </w:p>
    <w:p w14:paraId="512B39A8" w14:textId="26F832BB" w:rsidR="00D94A30" w:rsidRDefault="00D94A30" w:rsidP="00D94A30">
      <w:pPr>
        <w:rPr>
          <w:rFonts w:ascii="Tahoma" w:eastAsia="Tahoma" w:hAnsi="Tahoma"/>
        </w:rPr>
      </w:pPr>
      <w:r w:rsidRPr="0DFD7869">
        <w:rPr>
          <w:rFonts w:ascii="Tahoma" w:eastAsia="Tahoma" w:hAnsi="Tahoma"/>
        </w:rPr>
        <w:t>The way the Provider records this differs depending on the type of Mutual Obligation Failure the Participant has committed, as outlined below.</w:t>
      </w:r>
    </w:p>
    <w:p w14:paraId="024FB4E8" w14:textId="1205ADF0" w:rsidR="00D94A30" w:rsidRDefault="00D94A30" w:rsidP="00D94A30">
      <w:pPr>
        <w:rPr>
          <w:rFonts w:ascii="Tahoma" w:eastAsia="Tahoma" w:hAnsi="Tahoma"/>
        </w:rPr>
      </w:pPr>
      <w:r w:rsidRPr="0DFD7869">
        <w:rPr>
          <w:rFonts w:ascii="Tahoma" w:eastAsia="Tahoma" w:hAnsi="Tahoma"/>
        </w:rPr>
        <w:t>By recording a reason that the Participant had a Valid Reason, the Provider is:</w:t>
      </w:r>
    </w:p>
    <w:p w14:paraId="46DBD7B6" w14:textId="77A53620" w:rsidR="00D94A30" w:rsidRPr="009769F4" w:rsidRDefault="00D94A30" w:rsidP="004E120D">
      <w:pPr>
        <w:pStyle w:val="BulletLevel1"/>
      </w:pPr>
      <w:r w:rsidRPr="68799C3B">
        <w:t xml:space="preserve">finalising the Mutual Obligation Failure to prevent the </w:t>
      </w:r>
      <w:r>
        <w:t>Participant</w:t>
      </w:r>
      <w:r w:rsidRPr="68799C3B">
        <w:t xml:space="preserve">’s Income Support Payment being </w:t>
      </w:r>
      <w:r w:rsidRPr="009769F4">
        <w:t xml:space="preserve">affected </w:t>
      </w:r>
    </w:p>
    <w:p w14:paraId="7AEF3A22" w14:textId="5FA990FE" w:rsidR="00D94A30" w:rsidRPr="009769F4" w:rsidRDefault="00D94A30" w:rsidP="004E120D">
      <w:pPr>
        <w:pStyle w:val="BulletLevel1"/>
      </w:pPr>
      <w:r w:rsidRPr="009769F4">
        <w:t>removing any Re-engagement Requirement associated with the Mutual Obligation Failure</w:t>
      </w:r>
    </w:p>
    <w:p w14:paraId="4696131A" w14:textId="1010C2A2" w:rsidR="00D94A30" w:rsidRPr="009769F4" w:rsidRDefault="00D94A30" w:rsidP="004E120D">
      <w:pPr>
        <w:pStyle w:val="BulletLevel1"/>
      </w:pPr>
      <w:r w:rsidRPr="009769F4">
        <w:t>lifting the Participant’s payment suspension if the Participant’s Income Support Payment is suspended</w:t>
      </w:r>
      <w:r w:rsidR="009769F4">
        <w:t>, and</w:t>
      </w:r>
    </w:p>
    <w:p w14:paraId="0667A3E4" w14:textId="4995EAEC" w:rsidR="00D94A30" w:rsidRPr="009769F4" w:rsidRDefault="00D94A30" w:rsidP="004E120D">
      <w:pPr>
        <w:pStyle w:val="BulletLevel1"/>
      </w:pPr>
      <w:r w:rsidRPr="009769F4">
        <w:t>removing any relevant</w:t>
      </w:r>
      <w:r w:rsidR="00F9036C">
        <w:t xml:space="preserve"> pending</w:t>
      </w:r>
      <w:r w:rsidRPr="009769F4">
        <w:t xml:space="preserve"> Demerit from the Participant’s record.</w:t>
      </w:r>
    </w:p>
    <w:p w14:paraId="51071454" w14:textId="28DD33EA" w:rsidR="00D94A30" w:rsidRDefault="00D94A30" w:rsidP="00D94A30">
      <w:pPr>
        <w:rPr>
          <w:rFonts w:ascii="Tahoma" w:eastAsia="Tahoma" w:hAnsi="Tahoma"/>
        </w:rPr>
      </w:pPr>
      <w:r w:rsidRPr="5DD2C18A">
        <w:rPr>
          <w:rFonts w:ascii="Tahoma" w:eastAsia="Tahoma" w:hAnsi="Tahoma"/>
        </w:rPr>
        <w:t xml:space="preserve">A Provider </w:t>
      </w:r>
      <w:r>
        <w:rPr>
          <w:rFonts w:ascii="Tahoma" w:eastAsia="Tahoma" w:hAnsi="Tahoma"/>
        </w:rPr>
        <w:t>must</w:t>
      </w:r>
      <w:r w:rsidRPr="5DD2C18A">
        <w:rPr>
          <w:rFonts w:ascii="Tahoma" w:eastAsia="Tahoma" w:hAnsi="Tahoma"/>
        </w:rPr>
        <w:t xml:space="preserve"> manually remove </w:t>
      </w:r>
      <w:r>
        <w:rPr>
          <w:rFonts w:ascii="Tahoma" w:eastAsia="Tahoma" w:hAnsi="Tahoma"/>
        </w:rPr>
        <w:t>Demerit</w:t>
      </w:r>
      <w:r w:rsidRPr="5DD2C18A">
        <w:rPr>
          <w:rFonts w:ascii="Tahoma" w:eastAsia="Tahoma" w:hAnsi="Tahoma"/>
        </w:rPr>
        <w:t xml:space="preserve">s if a Participant is in the Penalty Zone </w:t>
      </w:r>
      <w:r>
        <w:rPr>
          <w:rFonts w:ascii="Tahoma" w:eastAsia="Tahoma" w:hAnsi="Tahoma"/>
        </w:rPr>
        <w:t>because</w:t>
      </w:r>
      <w:r>
        <w:t xml:space="preserve"> of a Mutual Obligation Failure by a Participant who was later found to have had a Valid Reason for committing the Mutual Obligation Failure.</w:t>
      </w:r>
    </w:p>
    <w:p w14:paraId="17A3C4B1" w14:textId="071181A5" w:rsidR="00D94A30" w:rsidRPr="00203C46" w:rsidRDefault="00D94A30" w:rsidP="00D94A30">
      <w:r w:rsidRPr="5DD2C18A">
        <w:rPr>
          <w:rFonts w:ascii="Tahoma" w:eastAsia="Tahoma" w:hAnsi="Tahoma"/>
        </w:rPr>
        <w:t xml:space="preserve">See the </w:t>
      </w:r>
      <w:r w:rsidRPr="002A6A3C">
        <w:rPr>
          <w:rStyle w:val="Hyperlink"/>
        </w:rPr>
        <w:t xml:space="preserve">Provider Actions – Demerits and Payment Suspensions </w:t>
      </w:r>
      <w:r w:rsidR="002A6A3C" w:rsidRPr="002A6A3C">
        <w:rPr>
          <w:rStyle w:val="Hyperlink"/>
        </w:rPr>
        <w:t>[LINK]</w:t>
      </w:r>
      <w:r w:rsidR="002A6A3C">
        <w:rPr>
          <w:rFonts w:ascii="Tahoma" w:eastAsia="Tahoma" w:hAnsi="Tahoma"/>
        </w:rPr>
        <w:t xml:space="preserve"> </w:t>
      </w:r>
      <w:r w:rsidRPr="5DD2C18A">
        <w:rPr>
          <w:rFonts w:ascii="Tahoma" w:eastAsia="Tahoma" w:hAnsi="Tahoma"/>
        </w:rPr>
        <w:t xml:space="preserve">supporting document </w:t>
      </w:r>
      <w:r>
        <w:t>on the Provider Portal</w:t>
      </w:r>
      <w:r w:rsidRPr="5DD2C18A">
        <w:rPr>
          <w:rFonts w:ascii="Tahoma" w:eastAsia="Tahoma" w:hAnsi="Tahoma"/>
        </w:rPr>
        <w:t xml:space="preserve"> for information on the circumstances in which a Participant will </w:t>
      </w:r>
      <w:r>
        <w:rPr>
          <w:rFonts w:eastAsiaTheme="minorEastAsia"/>
        </w:rPr>
        <w:t>accrue</w:t>
      </w:r>
      <w:r w:rsidRPr="5DD2C18A">
        <w:rPr>
          <w:rFonts w:ascii="Tahoma" w:eastAsia="Tahoma" w:hAnsi="Tahoma"/>
        </w:rPr>
        <w:t xml:space="preserve"> a </w:t>
      </w:r>
      <w:r>
        <w:rPr>
          <w:rFonts w:ascii="Tahoma" w:eastAsia="Tahoma" w:hAnsi="Tahoma"/>
        </w:rPr>
        <w:t>Demerit</w:t>
      </w:r>
      <w:r w:rsidRPr="5DD2C18A">
        <w:rPr>
          <w:rFonts w:ascii="Tahoma" w:eastAsia="Tahoma" w:hAnsi="Tahoma"/>
        </w:rPr>
        <w:t xml:space="preserve"> and the process for removing a </w:t>
      </w:r>
      <w:r>
        <w:rPr>
          <w:rFonts w:ascii="Tahoma" w:eastAsia="Tahoma" w:hAnsi="Tahoma"/>
        </w:rPr>
        <w:t>Demerit</w:t>
      </w:r>
      <w:r w:rsidRPr="5DD2C18A">
        <w:rPr>
          <w:rFonts w:ascii="Tahoma" w:eastAsia="Tahoma" w:hAnsi="Tahoma"/>
        </w:rPr>
        <w:t>.</w:t>
      </w:r>
    </w:p>
    <w:p w14:paraId="00BD7C8B" w14:textId="772706FD" w:rsidR="00D94A30" w:rsidRDefault="00D94A30" w:rsidP="00D94A30">
      <w:pPr>
        <w:pStyle w:val="Heading5"/>
      </w:pPr>
      <w:r w:rsidRPr="7751327C">
        <w:t>Failure to enter into a Job Plan</w:t>
      </w:r>
    </w:p>
    <w:p w14:paraId="005F837E" w14:textId="0E9CDD48" w:rsidR="00D94A30" w:rsidRPr="00191B73" w:rsidRDefault="00D94A30" w:rsidP="00D94A30">
      <w:r w:rsidRPr="7751327C">
        <w:t xml:space="preserve">On the day the Provider becomes aware the Participant had a Valid Reason for a Mutual Obligation Failure due to the Participant not entering into a Job Plan the Provider must record this in the Department’s IT Systems by close of </w:t>
      </w:r>
      <w:r w:rsidR="001C26B8">
        <w:t>B</w:t>
      </w:r>
      <w:r>
        <w:t>usiness</w:t>
      </w:r>
      <w:r w:rsidRPr="7751327C">
        <w:t xml:space="preserve"> </w:t>
      </w:r>
      <w:r w:rsidR="001C26B8">
        <w:t>D</w:t>
      </w:r>
      <w:r>
        <w:t>ay</w:t>
      </w:r>
      <w:r w:rsidRPr="7751327C">
        <w:t>.</w:t>
      </w:r>
    </w:p>
    <w:p w14:paraId="6B442594" w14:textId="099108A4" w:rsidR="00D94A30" w:rsidRDefault="00D94A30" w:rsidP="006F727E">
      <w:pPr>
        <w:pStyle w:val="SystemStep"/>
        <w:rPr>
          <w:rFonts w:ascii="Tahoma" w:eastAsia="Tahoma" w:hAnsi="Tahoma"/>
        </w:rPr>
      </w:pPr>
      <w:r>
        <w:t xml:space="preserve">To report that a Participant did not meet this requirement but had a Valid Reason, the Provider must undertake the following steps in the Department’s IT Systems: </w:t>
      </w:r>
    </w:p>
    <w:p w14:paraId="30629BEF" w14:textId="317AB440" w:rsidR="00D94A30" w:rsidRDefault="00D94A30" w:rsidP="004E120D">
      <w:pPr>
        <w:pStyle w:val="BulletLevel2"/>
      </w:pPr>
      <w:r>
        <w:t xml:space="preserve">Step 1: Go to </w:t>
      </w:r>
      <w:r w:rsidRPr="1685E615">
        <w:t xml:space="preserve">the Outstanding Non-Compliance </w:t>
      </w:r>
      <w:r w:rsidR="00860866">
        <w:t>screen</w:t>
      </w:r>
      <w:r>
        <w:t>.</w:t>
      </w:r>
    </w:p>
    <w:p w14:paraId="5204E2E2" w14:textId="71A8BCC7" w:rsidR="00D94A30" w:rsidRDefault="00D94A30" w:rsidP="004E120D">
      <w:pPr>
        <w:pStyle w:val="BulletLevel2"/>
      </w:pPr>
      <w:r>
        <w:t>Step 2: S</w:t>
      </w:r>
      <w:r w:rsidRPr="7751327C">
        <w:t xml:space="preserve">elect ‘yes’ to </w:t>
      </w:r>
      <w:bookmarkStart w:id="546" w:name="_Int_CyefTsNw"/>
      <w:r w:rsidRPr="7751327C">
        <w:t>indicate</w:t>
      </w:r>
      <w:bookmarkEnd w:id="546"/>
      <w:r w:rsidRPr="7751327C">
        <w:t xml:space="preserve"> the Participant’s reason for not entering into a Job Plan has been accepted</w:t>
      </w:r>
      <w:r>
        <w:t>.</w:t>
      </w:r>
    </w:p>
    <w:p w14:paraId="2080E7BF" w14:textId="3415E683" w:rsidR="00D94A30" w:rsidRDefault="00D94A30" w:rsidP="004E120D">
      <w:pPr>
        <w:pStyle w:val="BulletLevel2"/>
      </w:pPr>
      <w:r>
        <w:t>Step 3: Select the reason from the ‘Reasons accepted’ column of the drop-down menu that most closely aligns with the accepted reason as to why they did not attend their requirement. A full list of these drop-down menu options can be found within the</w:t>
      </w:r>
      <w:r w:rsidR="002A6A3C">
        <w:t xml:space="preserve"> </w:t>
      </w:r>
      <w:r w:rsidR="002A6A3C" w:rsidRPr="00D43A7F">
        <w:rPr>
          <w:rStyle w:val="Hyperlink"/>
        </w:rPr>
        <w:t>Valid Reason assessment options [LINK]</w:t>
      </w:r>
      <w:r w:rsidR="002A6A3C">
        <w:rPr>
          <w:rFonts w:ascii="Tahoma" w:eastAsia="Tahoma" w:hAnsi="Tahoma" w:cs="Tahoma"/>
          <w:color w:val="000000" w:themeColor="text1"/>
        </w:rPr>
        <w:t xml:space="preserve"> </w:t>
      </w:r>
      <w:r w:rsidRPr="6055448A">
        <w:rPr>
          <w:rFonts w:cs="Tahoma"/>
          <w:color w:val="000000" w:themeColor="text1"/>
        </w:rPr>
        <w:t>supporting document</w:t>
      </w:r>
      <w:r>
        <w:t>.</w:t>
      </w:r>
    </w:p>
    <w:p w14:paraId="0C475698" w14:textId="0D718462" w:rsidR="00D94A30" w:rsidRDefault="00D94A30" w:rsidP="004E120D">
      <w:pPr>
        <w:pStyle w:val="BulletLevel2"/>
      </w:pPr>
      <w:r>
        <w:t>Step 4: S</w:t>
      </w:r>
      <w:r w:rsidRPr="7751327C">
        <w:t>elect ‘submit’, which will close the report.</w:t>
      </w:r>
    </w:p>
    <w:p w14:paraId="27D1AE48" w14:textId="0F1D5D77" w:rsidR="00D94A30" w:rsidRDefault="00D94A30" w:rsidP="00D94A30">
      <w:r w:rsidRPr="6055448A">
        <w:t>Once the Provider has recorded that the Participant has a Valid Reason, the Provider must then create a Contact Appointment for the Participant to attend within 2 Business Days to renegotiate a Job Plan.</w:t>
      </w:r>
    </w:p>
    <w:p w14:paraId="3217C850" w14:textId="57B18A44" w:rsidR="00D94A30" w:rsidRDefault="00D94A30" w:rsidP="00D94A30">
      <w:r>
        <w:t>If the Participant attends the Appointment, the Provider must discuss the Job Plan with the Participant.</w:t>
      </w:r>
    </w:p>
    <w:p w14:paraId="556C7BD4" w14:textId="10764511" w:rsidR="00D94A30" w:rsidRDefault="00D94A30" w:rsidP="00D94A30">
      <w:r>
        <w:t xml:space="preserve">If the Participant does not attend the Appointment to </w:t>
      </w:r>
      <w:r w:rsidRPr="00D84BF1">
        <w:t xml:space="preserve">discuss the Job Plan, this may </w:t>
      </w:r>
      <w:r>
        <w:t xml:space="preserve">also </w:t>
      </w:r>
      <w:r w:rsidRPr="00D84BF1">
        <w:t xml:space="preserve">be a Mutual Obligation Failure depending on </w:t>
      </w:r>
      <w:r w:rsidR="00BE0F04">
        <w:t>if</w:t>
      </w:r>
      <w:r w:rsidRPr="00D84BF1">
        <w:t xml:space="preserve"> the </w:t>
      </w:r>
      <w:r>
        <w:t>A</w:t>
      </w:r>
      <w:r w:rsidRPr="00D84BF1">
        <w:t>ppointment was compulsory or not.</w:t>
      </w:r>
    </w:p>
    <w:p w14:paraId="3DD75AE5" w14:textId="753B2594" w:rsidR="00D94A30" w:rsidRDefault="00D94A30" w:rsidP="00D94A30">
      <w:r>
        <w:t xml:space="preserve">Information on the processes to create, update and withdraw a Job Plan is included in </w:t>
      </w:r>
      <w:r w:rsidR="002A6A3C">
        <w:rPr>
          <w:highlight w:val="yellow"/>
        </w:rPr>
        <w:fldChar w:fldCharType="begin"/>
      </w:r>
      <w:r w:rsidR="002A6A3C">
        <w:instrText xml:space="preserve"> REF _Ref202784061 \h </w:instrText>
      </w:r>
      <w:r w:rsidR="002A6A3C">
        <w:rPr>
          <w:highlight w:val="yellow"/>
        </w:rPr>
      </w:r>
      <w:r w:rsidR="002A6A3C">
        <w:rPr>
          <w:highlight w:val="yellow"/>
        </w:rPr>
        <w:fldChar w:fldCharType="separate"/>
      </w:r>
      <w:r w:rsidR="000D75AE" w:rsidRPr="00BA23D8">
        <w:t>Chapter 4</w:t>
      </w:r>
      <w:r w:rsidR="000D75AE">
        <w:t>:</w:t>
      </w:r>
      <w:r w:rsidR="000D75AE" w:rsidRPr="00BA23D8">
        <w:t>Job Plans</w:t>
      </w:r>
      <w:r w:rsidR="002A6A3C">
        <w:rPr>
          <w:highlight w:val="yellow"/>
        </w:rPr>
        <w:fldChar w:fldCharType="end"/>
      </w:r>
      <w:r>
        <w:t>.</w:t>
      </w:r>
    </w:p>
    <w:p w14:paraId="09C6C5BB" w14:textId="5A108D2E" w:rsidR="00D94A30" w:rsidRDefault="00D94A30" w:rsidP="00D94A30">
      <w:pPr>
        <w:pStyle w:val="Heading5"/>
      </w:pPr>
      <w:r>
        <w:t>Attendance-based</w:t>
      </w:r>
      <w:r w:rsidRPr="52F0E74A">
        <w:t xml:space="preserve"> requirements</w:t>
      </w:r>
    </w:p>
    <w:p w14:paraId="299C55CD" w14:textId="573BCB67" w:rsidR="00D94A30" w:rsidRPr="00191B73" w:rsidRDefault="00D94A30" w:rsidP="00D94A30">
      <w:r>
        <w:t xml:space="preserve">On the day the Provider becomes aware the Participant had a Valid Reason for a Mutual Obligation Failure due to the Participant not attending a compulsory Appointment, Activity or Job Interview </w:t>
      </w:r>
      <w:r w:rsidR="00573FA6">
        <w:t>schedule</w:t>
      </w:r>
      <w:r>
        <w:t xml:space="preserve">d in their Electronic Calendar, the Provider must record this in the Department’s IT Systems by close of </w:t>
      </w:r>
      <w:r w:rsidR="001C26B8">
        <w:t>B</w:t>
      </w:r>
      <w:r>
        <w:t xml:space="preserve">usiness </w:t>
      </w:r>
      <w:r w:rsidR="001C26B8">
        <w:t>D</w:t>
      </w:r>
      <w:r>
        <w:t>ay.</w:t>
      </w:r>
    </w:p>
    <w:p w14:paraId="6D945C28" w14:textId="6F3EE774" w:rsidR="00D94A30" w:rsidRDefault="00D94A30" w:rsidP="006F727E">
      <w:pPr>
        <w:pStyle w:val="SystemStep"/>
        <w:rPr>
          <w:rFonts w:ascii="Tahoma" w:eastAsia="Tahoma" w:hAnsi="Tahoma"/>
        </w:rPr>
      </w:pPr>
      <w:r>
        <w:t xml:space="preserve">To report that a Participant had a Valid Reason for an attendance-based Mutual Obligation Failure, the Provider must undertake the following steps in the Department’s IT Systems: </w:t>
      </w:r>
    </w:p>
    <w:p w14:paraId="6FA05DB2" w14:textId="2F79FCE1" w:rsidR="00D94A30" w:rsidRDefault="00D94A30" w:rsidP="004E120D">
      <w:pPr>
        <w:pStyle w:val="BulletLevel2"/>
      </w:pPr>
      <w:r>
        <w:t>Step 1: Select the relevant Appointment, Activity or Job Interview in the Participant’s Electronic Calendar.</w:t>
      </w:r>
    </w:p>
    <w:p w14:paraId="7637568B" w14:textId="69F9BDCE" w:rsidR="00D94A30" w:rsidRDefault="00D94A30" w:rsidP="004E120D">
      <w:pPr>
        <w:pStyle w:val="BulletLevel2"/>
      </w:pPr>
      <w:r>
        <w:t>Step 2: A</w:t>
      </w:r>
      <w:r w:rsidRPr="52F0E74A">
        <w:t xml:space="preserve">nswer ‘yes’ to the question of </w:t>
      </w:r>
      <w:r w:rsidR="00BE0F04">
        <w:t>if</w:t>
      </w:r>
      <w:r w:rsidRPr="52F0E74A">
        <w:t xml:space="preserve"> they are in contact with the </w:t>
      </w:r>
      <w:r>
        <w:t>Participant.</w:t>
      </w:r>
    </w:p>
    <w:p w14:paraId="44000D74" w14:textId="339A97E8" w:rsidR="00D94A30" w:rsidRDefault="00D94A30" w:rsidP="004E120D">
      <w:pPr>
        <w:pStyle w:val="BulletLevel2"/>
      </w:pPr>
      <w:r>
        <w:t>Step 3: S</w:t>
      </w:r>
      <w:r w:rsidRPr="1685E615">
        <w:t>elect</w:t>
      </w:r>
      <w:r>
        <w:t>:</w:t>
      </w:r>
    </w:p>
    <w:p w14:paraId="5110F7D4" w14:textId="7341E9A8" w:rsidR="00D94A30" w:rsidRDefault="00D94A30" w:rsidP="004E120D">
      <w:pPr>
        <w:pStyle w:val="BulletLevel3"/>
      </w:pPr>
      <w:r w:rsidRPr="7751327C">
        <w:t>‘Did Not Attend—Valid’, if an attendance result has not already been recorded, or</w:t>
      </w:r>
    </w:p>
    <w:p w14:paraId="13004DF2" w14:textId="14AE4535" w:rsidR="00D94A30" w:rsidRDefault="00D94A30" w:rsidP="004E120D">
      <w:pPr>
        <w:pStyle w:val="BulletLevel3"/>
      </w:pPr>
      <w:r>
        <w:t xml:space="preserve">‘yes’ in response to the question of </w:t>
      </w:r>
      <w:r w:rsidR="00BE0F04">
        <w:t>if</w:t>
      </w:r>
      <w:r>
        <w:t xml:space="preserve"> they accept the Participant’s reason, if the Provider has already recorded ‘Did Not Attend—Invalid’ in relation to the relevant Mutual Obligation Requirement.</w:t>
      </w:r>
    </w:p>
    <w:p w14:paraId="0DBAECCC" w14:textId="3CBB65E1" w:rsidR="00D94A30" w:rsidRDefault="00D94A30" w:rsidP="004E120D">
      <w:pPr>
        <w:pStyle w:val="BulletLevel2"/>
      </w:pPr>
      <w:r>
        <w:t xml:space="preserve">Step 4: Select the reason from the </w:t>
      </w:r>
      <w:r w:rsidRPr="68799C3B">
        <w:t>‘</w:t>
      </w:r>
      <w:r>
        <w:t>R</w:t>
      </w:r>
      <w:r w:rsidRPr="68799C3B">
        <w:t>easons accepted’</w:t>
      </w:r>
      <w:r>
        <w:t xml:space="preserve"> </w:t>
      </w:r>
      <w:r w:rsidRPr="52F0E74A">
        <w:t xml:space="preserve">column of the drop-down menu that most closely aligns with the reason that the </w:t>
      </w:r>
      <w:r>
        <w:t>Participant</w:t>
      </w:r>
      <w:r w:rsidRPr="52F0E74A">
        <w:t xml:space="preserve"> gave as to why they </w:t>
      </w:r>
      <w:r>
        <w:t>did not attend their requirement</w:t>
      </w:r>
      <w:r w:rsidRPr="52F0E74A">
        <w:t xml:space="preserve">. A full list of these drop-down menu options can be found </w:t>
      </w:r>
      <w:r>
        <w:t>within the</w:t>
      </w:r>
      <w:r w:rsidRPr="52F0E74A">
        <w:t xml:space="preserve"> </w:t>
      </w:r>
      <w:r w:rsidR="002A6A3C" w:rsidRPr="00D43A7F">
        <w:rPr>
          <w:rStyle w:val="Hyperlink"/>
        </w:rPr>
        <w:t>Valid Reason assessment options [LINK]</w:t>
      </w:r>
      <w:r w:rsidR="002A6A3C">
        <w:rPr>
          <w:rFonts w:ascii="Tahoma" w:eastAsia="Tahoma" w:hAnsi="Tahoma" w:cs="Tahoma"/>
          <w:color w:val="000000" w:themeColor="text1"/>
        </w:rPr>
        <w:t xml:space="preserve"> </w:t>
      </w:r>
      <w:r w:rsidRPr="0089244C">
        <w:rPr>
          <w:rFonts w:cs="Tahoma"/>
          <w:color w:val="000000" w:themeColor="text1"/>
        </w:rPr>
        <w:t>supporting document</w:t>
      </w:r>
      <w:r>
        <w:t>.</w:t>
      </w:r>
    </w:p>
    <w:p w14:paraId="571B0435" w14:textId="6B60C89D" w:rsidR="00D94A30" w:rsidRDefault="00D94A30" w:rsidP="004E120D">
      <w:pPr>
        <w:pStyle w:val="BulletLevel2"/>
      </w:pPr>
      <w:r>
        <w:t>Step 5: S</w:t>
      </w:r>
      <w:r w:rsidRPr="7751327C">
        <w:t>elect ‘submit’, which will close the report.</w:t>
      </w:r>
    </w:p>
    <w:p w14:paraId="427D44A3" w14:textId="50038362" w:rsidR="00D94A30" w:rsidRDefault="00D94A30" w:rsidP="00D94A30">
      <w:r>
        <w:t>If the Provider’s earlier attempts to contact the Participant were not successful (i.e. the Provider has already recorded ‘Did Not Attend—Invalid’ in relation to the relevant Mutual Obligation Requirement in the Participant’s Electronic Calendar), the Provider will need to update the record for the relevant Appointment, Activity or Job Interview. When the Provider updates the record to show the Participant has a Valid Reason for a Mutual Obligation Failure, any Demerit on their record relating to that Mutual Obligation Failure will be removed.</w:t>
      </w:r>
    </w:p>
    <w:p w14:paraId="5ABF03D2" w14:textId="02730B22" w:rsidR="00D94A30" w:rsidRDefault="00D94A30" w:rsidP="00D94A30">
      <w:r w:rsidRPr="0DFD7869">
        <w:rPr>
          <w:rFonts w:ascii="Tahoma" w:eastAsia="Tahoma" w:hAnsi="Tahoma"/>
        </w:rPr>
        <w:t>See</w:t>
      </w:r>
      <w:r w:rsidRPr="0DFD7869">
        <w:rPr>
          <w:rFonts w:ascii="Tahoma" w:eastAsia="Tahoma" w:hAnsi="Tahoma"/>
          <w:color w:val="000000" w:themeColor="text1"/>
        </w:rPr>
        <w:t xml:space="preserve"> the </w:t>
      </w:r>
      <w:r w:rsidRPr="0056238F">
        <w:rPr>
          <w:rStyle w:val="Hyperlink"/>
        </w:rPr>
        <w:t xml:space="preserve">Provider Actions – Demerits and Payment Suspensions </w:t>
      </w:r>
      <w:r w:rsidR="0056238F" w:rsidRPr="0056238F">
        <w:rPr>
          <w:rStyle w:val="Hyperlink"/>
        </w:rPr>
        <w:t>[LINK]</w:t>
      </w:r>
      <w:r w:rsidR="0056238F">
        <w:rPr>
          <w:rFonts w:ascii="Tahoma" w:eastAsia="Tahoma" w:hAnsi="Tahoma" w:cs="Tahoma"/>
          <w:color w:val="000000" w:themeColor="text1"/>
        </w:rPr>
        <w:t xml:space="preserve"> </w:t>
      </w:r>
      <w:r>
        <w:t>on the Provider Portal</w:t>
      </w:r>
      <w:r w:rsidRPr="0DFD7869">
        <w:rPr>
          <w:rFonts w:ascii="Tahoma" w:eastAsia="Tahoma" w:hAnsi="Tahoma"/>
          <w:color w:val="000000" w:themeColor="text1"/>
        </w:rPr>
        <w:t xml:space="preserve"> for information on the circumstances in which a Demerit (pending confirmation) will be confirmed or removed from the Participant’s record.</w:t>
      </w:r>
    </w:p>
    <w:p w14:paraId="6D026AA0" w14:textId="1A8798F5" w:rsidR="00D94A30" w:rsidRDefault="00D94A30" w:rsidP="00D94A30">
      <w:pPr>
        <w:pStyle w:val="Heading5"/>
      </w:pPr>
      <w:r>
        <w:t>Failures to act on a Job Referral</w:t>
      </w:r>
    </w:p>
    <w:p w14:paraId="10C16614" w14:textId="661961C9" w:rsidR="00D94A30" w:rsidRDefault="00D94A30" w:rsidP="00D94A30">
      <w:r w:rsidRPr="7751327C">
        <w:t xml:space="preserve">On the day the Provider becomes aware the Participant had a Valid Reason for a Mutual Obligation Failure due to the Participant not acting on a Job Referral </w:t>
      </w:r>
      <w:r w:rsidR="00F9036C">
        <w:t>task</w:t>
      </w:r>
      <w:r w:rsidRPr="7751327C">
        <w:t xml:space="preserve"> when requested to do so by the Provider, the Provider must record this in the Department’s IT Systems by close of </w:t>
      </w:r>
      <w:r w:rsidR="0063520E">
        <w:t>b</w:t>
      </w:r>
      <w:r w:rsidRPr="7751327C">
        <w:t>usiness</w:t>
      </w:r>
      <w:r w:rsidR="0063520E">
        <w:t xml:space="preserve"> on the day it becomes aware of the failure</w:t>
      </w:r>
      <w:r w:rsidRPr="7751327C">
        <w:t>.</w:t>
      </w:r>
    </w:p>
    <w:p w14:paraId="6675BABF" w14:textId="168FE04C" w:rsidR="00D94A30" w:rsidRDefault="00D94A30" w:rsidP="006F727E">
      <w:pPr>
        <w:pStyle w:val="SystemStep"/>
        <w:rPr>
          <w:rFonts w:ascii="Tahoma" w:eastAsia="Tahoma" w:hAnsi="Tahoma"/>
        </w:rPr>
      </w:pPr>
      <w:r>
        <w:t xml:space="preserve">To report that a Participant did not meet this requirement but had a Valid Reason, the Provider must undertake the following steps in the Department’s IT Systems: </w:t>
      </w:r>
    </w:p>
    <w:p w14:paraId="4D8A150A" w14:textId="02838D2E" w:rsidR="00D94A30" w:rsidRDefault="00D94A30" w:rsidP="004E120D">
      <w:pPr>
        <w:pStyle w:val="BulletLevel2"/>
      </w:pPr>
      <w:r>
        <w:t xml:space="preserve">Step 1: Go to </w:t>
      </w:r>
      <w:r w:rsidRPr="1685E615">
        <w:t xml:space="preserve">the Outstanding Non-Compliance </w:t>
      </w:r>
      <w:r w:rsidR="00860866">
        <w:t>screen</w:t>
      </w:r>
      <w:r>
        <w:t>.</w:t>
      </w:r>
    </w:p>
    <w:p w14:paraId="455610CD" w14:textId="61E2831E" w:rsidR="00D94A30" w:rsidRDefault="00D94A30" w:rsidP="004E120D">
      <w:pPr>
        <w:pStyle w:val="BulletLevel2"/>
      </w:pPr>
      <w:r>
        <w:t>Step 2: S</w:t>
      </w:r>
      <w:r w:rsidRPr="7751327C">
        <w:t xml:space="preserve">elect ‘Unsatisfactory—Valid’ to </w:t>
      </w:r>
      <w:bookmarkStart w:id="547" w:name="_Int_fRP6v1sj"/>
      <w:r w:rsidRPr="7751327C">
        <w:t>indicate</w:t>
      </w:r>
      <w:bookmarkEnd w:id="547"/>
      <w:r w:rsidRPr="7751327C">
        <w:t xml:space="preserve"> the Participant’s reason for not acting on a Job Referral or Job Opportunity has been accepted</w:t>
      </w:r>
      <w:r>
        <w:t>.</w:t>
      </w:r>
    </w:p>
    <w:p w14:paraId="11CF5F18" w14:textId="3FF505B6" w:rsidR="00D94A30" w:rsidRDefault="00D94A30" w:rsidP="004E120D">
      <w:pPr>
        <w:pStyle w:val="BulletLevel2"/>
      </w:pPr>
      <w:r>
        <w:t xml:space="preserve">Step 3: Select the reason from the ‘Reasons accepted’ column of the drop-down menu that most closely aligns with the reason that the Participant gave as to why they did not attend their requirement. A full list of these drop-down menu options can be found within the </w:t>
      </w:r>
      <w:r w:rsidR="0056238F" w:rsidRPr="00D43A7F">
        <w:rPr>
          <w:rStyle w:val="Hyperlink"/>
        </w:rPr>
        <w:t>Valid Reason assessment options [LINK]</w:t>
      </w:r>
      <w:r w:rsidR="0056238F">
        <w:rPr>
          <w:rFonts w:ascii="Tahoma" w:eastAsia="Tahoma" w:hAnsi="Tahoma" w:cs="Tahoma"/>
          <w:color w:val="000000" w:themeColor="text1"/>
        </w:rPr>
        <w:t xml:space="preserve"> </w:t>
      </w:r>
      <w:r w:rsidRPr="6055448A">
        <w:rPr>
          <w:rFonts w:cs="Tahoma"/>
          <w:color w:val="000000" w:themeColor="text1"/>
        </w:rPr>
        <w:t>supporting document</w:t>
      </w:r>
      <w:r>
        <w:rPr>
          <w:rFonts w:cs="Tahoma"/>
          <w:color w:val="000000" w:themeColor="text1"/>
        </w:rPr>
        <w:t>.</w:t>
      </w:r>
    </w:p>
    <w:p w14:paraId="5B7FCE4B" w14:textId="290D030A" w:rsidR="00D94A30" w:rsidRPr="00191B73" w:rsidRDefault="00D94A30" w:rsidP="004E120D">
      <w:pPr>
        <w:pStyle w:val="BulletLevel2"/>
      </w:pPr>
      <w:r>
        <w:t>Step 4: S</w:t>
      </w:r>
      <w:r w:rsidRPr="7751327C">
        <w:t>elect ‘submit’, which will close the report</w:t>
      </w:r>
      <w:r>
        <w:t>.</w:t>
      </w:r>
    </w:p>
    <w:p w14:paraId="511A0463" w14:textId="10C1E8B5" w:rsidR="00D94A30" w:rsidRDefault="00D94A30" w:rsidP="00D94A30">
      <w:pPr>
        <w:pStyle w:val="Heading4"/>
      </w:pPr>
      <w:bookmarkStart w:id="548" w:name="_Toc202900109"/>
      <w:bookmarkStart w:id="549" w:name="_Ref202949225"/>
      <w:bookmarkStart w:id="550" w:name="_Ref202949313"/>
      <w:r>
        <w:t>12.4.4</w:t>
      </w:r>
      <w:r>
        <w:tab/>
        <w:t>Reporting Mutual Obligation Failures</w:t>
      </w:r>
      <w:bookmarkEnd w:id="548"/>
      <w:bookmarkEnd w:id="549"/>
      <w:bookmarkEnd w:id="550"/>
    </w:p>
    <w:p w14:paraId="5A979D59" w14:textId="31A888C2" w:rsidR="005D5165" w:rsidRDefault="005D5165" w:rsidP="00D94A30">
      <w:pPr>
        <w:rPr>
          <w:rFonts w:ascii="Tahoma" w:eastAsia="Tahoma" w:hAnsi="Tahoma"/>
        </w:rPr>
      </w:pPr>
      <w:r>
        <w:rPr>
          <w:rFonts w:ascii="Tahoma" w:eastAsia="Tahoma" w:hAnsi="Tahoma"/>
        </w:rPr>
        <w:t xml:space="preserve">Irrespective of whether the Provider is successful at contacting the Participation, they must </w:t>
      </w:r>
      <w:r w:rsidR="00095343">
        <w:rPr>
          <w:rFonts w:ascii="Tahoma" w:eastAsia="Tahoma" w:hAnsi="Tahoma"/>
        </w:rPr>
        <w:t>record the appropriate result against the requirement in the Department’s IT Systems.</w:t>
      </w:r>
    </w:p>
    <w:p w14:paraId="6E272E71" w14:textId="2059B4B9" w:rsidR="00D94A30" w:rsidRDefault="00D94A30" w:rsidP="00D94A30">
      <w:pPr>
        <w:rPr>
          <w:rFonts w:ascii="Tahoma" w:eastAsia="Tahoma" w:hAnsi="Tahoma"/>
        </w:rPr>
      </w:pPr>
      <w:r w:rsidRPr="5DD2C18A">
        <w:rPr>
          <w:rFonts w:ascii="Tahoma" w:eastAsia="Tahoma" w:hAnsi="Tahoma"/>
        </w:rPr>
        <w:t>Where the Provider has been unsuccessful at contacting the Participant, they must</w:t>
      </w:r>
      <w:r w:rsidR="005D5165">
        <w:rPr>
          <w:rFonts w:ascii="Tahoma" w:eastAsia="Tahoma" w:hAnsi="Tahoma"/>
        </w:rPr>
        <w:t xml:space="preserve"> </w:t>
      </w:r>
      <w:r w:rsidRPr="5DD2C18A">
        <w:rPr>
          <w:rFonts w:ascii="Tahoma" w:eastAsia="Tahoma" w:hAnsi="Tahoma"/>
        </w:rPr>
        <w:t>report</w:t>
      </w:r>
      <w:r w:rsidR="00661323">
        <w:rPr>
          <w:rFonts w:ascii="Tahoma" w:eastAsia="Tahoma" w:hAnsi="Tahoma"/>
        </w:rPr>
        <w:t xml:space="preserve"> </w:t>
      </w:r>
      <w:r w:rsidR="00AB72C8">
        <w:rPr>
          <w:rFonts w:ascii="Tahoma" w:eastAsia="Tahoma" w:hAnsi="Tahoma"/>
        </w:rPr>
        <w:t>that they are not in contact with the Participant in the Department’s IT Systems</w:t>
      </w:r>
      <w:r w:rsidRPr="5DD2C18A">
        <w:rPr>
          <w:rFonts w:ascii="Tahoma" w:eastAsia="Tahoma" w:hAnsi="Tahoma"/>
        </w:rPr>
        <w:t>.</w:t>
      </w:r>
    </w:p>
    <w:p w14:paraId="702D9524" w14:textId="049CEAB0" w:rsidR="00D94A30" w:rsidRPr="00BB3E02" w:rsidRDefault="00C00366" w:rsidP="00D94A30">
      <w:pPr>
        <w:rPr>
          <w:rFonts w:ascii="Tahoma" w:eastAsia="Tahoma" w:hAnsi="Tahoma"/>
        </w:rPr>
      </w:pPr>
      <w:r>
        <w:rPr>
          <w:rFonts w:ascii="Tahoma" w:eastAsia="Tahoma" w:hAnsi="Tahoma"/>
        </w:rPr>
        <w:t>O</w:t>
      </w:r>
      <w:r w:rsidR="00D94A30" w:rsidRPr="5DD2C18A">
        <w:rPr>
          <w:rFonts w:ascii="Tahoma" w:eastAsia="Tahoma" w:hAnsi="Tahoma"/>
        </w:rPr>
        <w:t xml:space="preserve">n the day the Provider </w:t>
      </w:r>
      <w:r w:rsidR="00D94A30">
        <w:rPr>
          <w:rFonts w:ascii="Tahoma" w:eastAsia="Tahoma" w:hAnsi="Tahoma"/>
        </w:rPr>
        <w:t>determines</w:t>
      </w:r>
      <w:r w:rsidR="00D94A30" w:rsidRPr="5DD2C18A">
        <w:rPr>
          <w:rFonts w:ascii="Tahoma" w:eastAsia="Tahoma" w:hAnsi="Tahoma"/>
        </w:rPr>
        <w:t xml:space="preserve"> a Participant does not have a Valid Reason for a Mutual Obligation Failure, </w:t>
      </w:r>
      <w:r>
        <w:rPr>
          <w:rFonts w:ascii="Tahoma" w:eastAsia="Tahoma" w:hAnsi="Tahoma"/>
        </w:rPr>
        <w:t xml:space="preserve">the Provider must </w:t>
      </w:r>
      <w:r w:rsidR="00D94A30" w:rsidRPr="5DD2C18A">
        <w:rPr>
          <w:rFonts w:ascii="Tahoma" w:eastAsia="Tahoma" w:hAnsi="Tahoma"/>
        </w:rPr>
        <w:t>record this in the Department’s IT Systems.</w:t>
      </w:r>
    </w:p>
    <w:p w14:paraId="1FBF7C18" w14:textId="63F773E3" w:rsidR="00D94A30" w:rsidRDefault="00D94A30" w:rsidP="00D94A30">
      <w:pPr>
        <w:rPr>
          <w:rFonts w:ascii="Tahoma" w:eastAsia="Tahoma" w:hAnsi="Tahoma"/>
        </w:rPr>
      </w:pPr>
      <w:r w:rsidRPr="0DFD7869">
        <w:rPr>
          <w:rFonts w:ascii="Tahoma" w:eastAsia="Tahoma" w:hAnsi="Tahoma"/>
        </w:rPr>
        <w:t xml:space="preserve">The way the Provider records this </w:t>
      </w:r>
      <w:r w:rsidR="00E11409">
        <w:rPr>
          <w:rFonts w:ascii="Tahoma" w:eastAsia="Tahoma" w:hAnsi="Tahoma"/>
        </w:rPr>
        <w:t xml:space="preserve">information will </w:t>
      </w:r>
      <w:r w:rsidRPr="0DFD7869">
        <w:rPr>
          <w:rFonts w:ascii="Tahoma" w:eastAsia="Tahoma" w:hAnsi="Tahoma"/>
        </w:rPr>
        <w:t>differ depending on the type of Mutual Obligation Failure the Participant has committed, as outlined below.</w:t>
      </w:r>
    </w:p>
    <w:p w14:paraId="10085B7F" w14:textId="361852D5" w:rsidR="00D94A30" w:rsidRDefault="00D94A30" w:rsidP="00D94A30">
      <w:pPr>
        <w:rPr>
          <w:rFonts w:ascii="Tahoma" w:eastAsia="Tahoma" w:hAnsi="Tahoma"/>
        </w:rPr>
      </w:pPr>
      <w:r w:rsidRPr="0DFD7869">
        <w:rPr>
          <w:rFonts w:ascii="Tahoma" w:eastAsia="Tahoma" w:hAnsi="Tahoma"/>
        </w:rPr>
        <w:t>By recording the Participant’s reason is not a Valid Reason, the Provider is confirming the relevant Mutual Obligation Failure on the Participant’s record.</w:t>
      </w:r>
    </w:p>
    <w:p w14:paraId="77937AFC" w14:textId="74ACF0C6" w:rsidR="00D94A30" w:rsidRDefault="00D94A30" w:rsidP="00D94A30">
      <w:pPr>
        <w:pStyle w:val="Heading5"/>
      </w:pPr>
      <w:r w:rsidRPr="7751327C">
        <w:t>Failure to enter into a Job Plan</w:t>
      </w:r>
    </w:p>
    <w:p w14:paraId="6FE211A0" w14:textId="2FD495AD" w:rsidR="00D94A30" w:rsidRPr="00191B73" w:rsidRDefault="00D94A30" w:rsidP="00D94A30">
      <w:r w:rsidRPr="6055448A">
        <w:t xml:space="preserve">On the day the Provider becomes aware the Participant has a Mutual Obligation Failure </w:t>
      </w:r>
      <w:r>
        <w:t>due to</w:t>
      </w:r>
      <w:r w:rsidRPr="6055448A">
        <w:t xml:space="preserve"> not entering into a Job Plan without a Valid Reason, the Provider must record this in the Department’s IT Systems by close of </w:t>
      </w:r>
      <w:r w:rsidR="00490CF8">
        <w:t>B</w:t>
      </w:r>
      <w:r>
        <w:t xml:space="preserve">usiness </w:t>
      </w:r>
      <w:r w:rsidR="00490CF8">
        <w:t>D</w:t>
      </w:r>
      <w:r>
        <w:t>ay</w:t>
      </w:r>
      <w:r w:rsidRPr="6055448A">
        <w:t>.</w:t>
      </w:r>
    </w:p>
    <w:p w14:paraId="4ECB1F89" w14:textId="63AE0166" w:rsidR="00D94A30" w:rsidRDefault="00D94A30" w:rsidP="006F727E">
      <w:pPr>
        <w:pStyle w:val="SystemStep"/>
        <w:rPr>
          <w:rFonts w:ascii="Tahoma" w:eastAsia="Tahoma" w:hAnsi="Tahoma"/>
        </w:rPr>
      </w:pPr>
      <w:r>
        <w:t xml:space="preserve">To report that a Participant failed to meet this requirement and did not have a Valid Reason, the Provider must undertake the following steps in the Department’s IT Systems: </w:t>
      </w:r>
    </w:p>
    <w:p w14:paraId="6185A0B6" w14:textId="23BDA048" w:rsidR="00D94A30" w:rsidRDefault="00D94A30" w:rsidP="004E120D">
      <w:pPr>
        <w:pStyle w:val="BulletLevel2"/>
      </w:pPr>
      <w:r>
        <w:t xml:space="preserve">Step 1: Go to </w:t>
      </w:r>
      <w:r w:rsidRPr="1685E615">
        <w:t xml:space="preserve">the Outstanding Non-Compliance </w:t>
      </w:r>
      <w:r w:rsidR="00860866">
        <w:t>screen</w:t>
      </w:r>
    </w:p>
    <w:p w14:paraId="5E734D11" w14:textId="70BFAF24" w:rsidR="00D94A30" w:rsidRDefault="00D94A30" w:rsidP="004E120D">
      <w:pPr>
        <w:pStyle w:val="BulletLevel2"/>
      </w:pPr>
      <w:r>
        <w:t>Step 2: S</w:t>
      </w:r>
      <w:r w:rsidRPr="6055448A">
        <w:t xml:space="preserve">elect ‘no’ to </w:t>
      </w:r>
      <w:bookmarkStart w:id="551" w:name="_Int_gJpioqbv"/>
      <w:r w:rsidRPr="6055448A">
        <w:t>indicate</w:t>
      </w:r>
      <w:bookmarkEnd w:id="551"/>
      <w:r w:rsidRPr="6055448A">
        <w:t xml:space="preserve"> that the Participant’s reason for not entering into a Job Plan has not been accepted</w:t>
      </w:r>
    </w:p>
    <w:p w14:paraId="0860750C" w14:textId="46313B81" w:rsidR="00D94A30" w:rsidRDefault="00D94A30" w:rsidP="004E120D">
      <w:pPr>
        <w:pStyle w:val="BulletLevel2"/>
      </w:pPr>
      <w:r>
        <w:t xml:space="preserve">Step 3: Select the reason from the </w:t>
      </w:r>
      <w:r w:rsidRPr="68799C3B">
        <w:t>‘</w:t>
      </w:r>
      <w:r>
        <w:t>R</w:t>
      </w:r>
      <w:r w:rsidRPr="68799C3B">
        <w:t>easons not accepted’</w:t>
      </w:r>
      <w:r>
        <w:t xml:space="preserve"> </w:t>
      </w:r>
      <w:r w:rsidRPr="52F0E74A">
        <w:t xml:space="preserve">column of the drop-down menu that most closely aligns with the reason that the </w:t>
      </w:r>
      <w:r>
        <w:t>Participant</w:t>
      </w:r>
      <w:r w:rsidRPr="52F0E74A">
        <w:t xml:space="preserve"> gave as to why they </w:t>
      </w:r>
      <w:r>
        <w:t>did not attend their requirement — a</w:t>
      </w:r>
      <w:r w:rsidRPr="52F0E74A">
        <w:t xml:space="preserve"> full list of these drop-down menu options can be found </w:t>
      </w:r>
      <w:r>
        <w:t>within the</w:t>
      </w:r>
      <w:r w:rsidRPr="52F0E74A">
        <w:t xml:space="preserve"> </w:t>
      </w:r>
      <w:r w:rsidR="0056238F" w:rsidRPr="00D43A7F">
        <w:rPr>
          <w:rStyle w:val="Hyperlink"/>
        </w:rPr>
        <w:t>Valid Reason assessment options [LINK]</w:t>
      </w:r>
      <w:r w:rsidR="0056238F">
        <w:rPr>
          <w:rFonts w:ascii="Tahoma" w:eastAsia="Tahoma" w:hAnsi="Tahoma" w:cs="Tahoma"/>
          <w:color w:val="000000" w:themeColor="text1"/>
        </w:rPr>
        <w:t xml:space="preserve"> </w:t>
      </w:r>
      <w:r w:rsidRPr="0089244C">
        <w:rPr>
          <w:rFonts w:cs="Tahoma"/>
          <w:color w:val="000000" w:themeColor="text1"/>
        </w:rPr>
        <w:t>supporting document</w:t>
      </w:r>
      <w:r w:rsidRPr="52F0E74A">
        <w:t>, and</w:t>
      </w:r>
    </w:p>
    <w:p w14:paraId="7777081A" w14:textId="67F045F5" w:rsidR="00D94A30" w:rsidRDefault="00D94A30" w:rsidP="004E120D">
      <w:pPr>
        <w:pStyle w:val="BulletLevel2"/>
      </w:pPr>
      <w:r>
        <w:t>Step 4: S</w:t>
      </w:r>
      <w:r w:rsidRPr="7751327C">
        <w:t>elect ‘submit’, which will close the report.</w:t>
      </w:r>
    </w:p>
    <w:p w14:paraId="2C7EB6DF" w14:textId="3524D5E5" w:rsidR="00D94A30" w:rsidRDefault="00D94A30" w:rsidP="00D94A30">
      <w:r>
        <w:t>If the</w:t>
      </w:r>
      <w:r w:rsidRPr="6055448A">
        <w:t xml:space="preserve"> Participant </w:t>
      </w:r>
      <w:r>
        <w:t>did not have</w:t>
      </w:r>
      <w:r w:rsidRPr="6055448A">
        <w:t xml:space="preserve"> a Valid Reason, the Provider </w:t>
      </w:r>
      <w:r>
        <w:t>does not need</w:t>
      </w:r>
      <w:r w:rsidRPr="6055448A">
        <w:t xml:space="preserve"> to renegotiate a Job Plan</w:t>
      </w:r>
      <w:r>
        <w:t xml:space="preserve"> with the Participant</w:t>
      </w:r>
      <w:r w:rsidRPr="6055448A">
        <w:t>.</w:t>
      </w:r>
    </w:p>
    <w:p w14:paraId="143A525F" w14:textId="56A420DD" w:rsidR="00D94A30" w:rsidRDefault="00D94A30" w:rsidP="00D94A30">
      <w:pPr>
        <w:pStyle w:val="Heading5"/>
      </w:pPr>
      <w:r>
        <w:t>Attendance-based non-compliance</w:t>
      </w:r>
    </w:p>
    <w:p w14:paraId="1C76B352" w14:textId="473FB167" w:rsidR="00D94A30" w:rsidRDefault="00D94A30" w:rsidP="00D94A30">
      <w:r>
        <w:t xml:space="preserve">On the day the Provider becomes aware the Participant has an apparent Mutual Obligation Failure because of non-attendance at a compulsory Appointment, Activity or Job Interview </w:t>
      </w:r>
      <w:r w:rsidR="00573FA6">
        <w:t>schedule</w:t>
      </w:r>
      <w:r>
        <w:t>d in their Electronic Calendar, the Provider must report the failure by close of business.</w:t>
      </w:r>
    </w:p>
    <w:p w14:paraId="10CA1C18" w14:textId="53C9A8C5" w:rsidR="00D94A30" w:rsidRDefault="00D94A30" w:rsidP="00D94A30">
      <w:r w:rsidRPr="7751327C">
        <w:t xml:space="preserve">On the day the Provider becomes aware the Participant did not have a Valid Reason, the Provider must record this in the Department’s IT Systems by close of </w:t>
      </w:r>
      <w:r w:rsidR="00490CF8">
        <w:t>B</w:t>
      </w:r>
      <w:r>
        <w:t xml:space="preserve">usiness </w:t>
      </w:r>
      <w:r w:rsidR="00490CF8">
        <w:t>D</w:t>
      </w:r>
      <w:r>
        <w:t>ay.</w:t>
      </w:r>
      <w:r w:rsidRPr="7751327C">
        <w:t xml:space="preserve"> By recording the Participant’s reason is not a Valid Reason, the Provider is confirming the relevant </w:t>
      </w:r>
      <w:r>
        <w:t>Demerit</w:t>
      </w:r>
      <w:r w:rsidRPr="7751327C">
        <w:t xml:space="preserve"> on the Participant’s record.</w:t>
      </w:r>
    </w:p>
    <w:p w14:paraId="34A48D40" w14:textId="797A1A44" w:rsidR="00D94A30" w:rsidRDefault="00D94A30" w:rsidP="006F727E">
      <w:pPr>
        <w:pStyle w:val="SystemStep"/>
        <w:rPr>
          <w:rFonts w:ascii="Tahoma" w:eastAsia="Tahoma" w:hAnsi="Tahoma"/>
        </w:rPr>
      </w:pPr>
      <w:r>
        <w:t xml:space="preserve">To report that a Participant missed a requirement and did not have a Valid Reason, the Provider must undertake the following steps in the Department’s IT Systems: </w:t>
      </w:r>
    </w:p>
    <w:p w14:paraId="27CBA37F" w14:textId="74C2DE34" w:rsidR="00D94A30" w:rsidRDefault="009769F4" w:rsidP="004E120D">
      <w:pPr>
        <w:pStyle w:val="BulletLevel2"/>
      </w:pPr>
      <w:r>
        <w:t>Step 1: S</w:t>
      </w:r>
      <w:r w:rsidR="00D94A30">
        <w:t>elect the relevant Appointment, Activity or Job Interview in the Participant’s Electronic Calendar</w:t>
      </w:r>
      <w:r>
        <w:t>.</w:t>
      </w:r>
    </w:p>
    <w:p w14:paraId="4A4C1168" w14:textId="6207E124" w:rsidR="00D94A30" w:rsidRDefault="009769F4" w:rsidP="004E120D">
      <w:pPr>
        <w:pStyle w:val="BulletLevel2"/>
      </w:pPr>
      <w:r>
        <w:t>Step 2: A</w:t>
      </w:r>
      <w:r w:rsidR="00D94A30" w:rsidRPr="52F0E74A">
        <w:t xml:space="preserve">nswer ‘yes’ to the question of </w:t>
      </w:r>
      <w:r w:rsidR="00BE0F04">
        <w:t>if</w:t>
      </w:r>
      <w:r w:rsidR="00D94A30" w:rsidRPr="52F0E74A">
        <w:t xml:space="preserve"> they are in contact with the </w:t>
      </w:r>
      <w:r w:rsidR="00D94A30">
        <w:t>Participant</w:t>
      </w:r>
      <w:r>
        <w:t>.</w:t>
      </w:r>
    </w:p>
    <w:p w14:paraId="6344AD8D" w14:textId="1365F3DB" w:rsidR="00D94A30" w:rsidRDefault="009769F4" w:rsidP="004E120D">
      <w:pPr>
        <w:pStyle w:val="BulletLevel2"/>
      </w:pPr>
      <w:r>
        <w:t>Step 3: S</w:t>
      </w:r>
      <w:r w:rsidR="00D94A30" w:rsidRPr="7751327C">
        <w:t>elect ‘Did Not Attend—Invalid’</w:t>
      </w:r>
      <w:r>
        <w:t>.</w:t>
      </w:r>
    </w:p>
    <w:p w14:paraId="5CC2F434" w14:textId="4EC432DF" w:rsidR="00D94A30" w:rsidRDefault="009769F4" w:rsidP="004E120D">
      <w:pPr>
        <w:pStyle w:val="BulletLevel2"/>
      </w:pPr>
      <w:r>
        <w:t>Step 4: S</w:t>
      </w:r>
      <w:r w:rsidR="00D94A30">
        <w:t xml:space="preserve">elect ‘no’ in response to the question of </w:t>
      </w:r>
      <w:r w:rsidR="00BE0F04">
        <w:t>if</w:t>
      </w:r>
      <w:r w:rsidR="00D94A30">
        <w:t xml:space="preserve"> they accept the Participant’s reason</w:t>
      </w:r>
      <w:r w:rsidR="008011AA">
        <w:t>.</w:t>
      </w:r>
    </w:p>
    <w:p w14:paraId="3E1F6401" w14:textId="36DA3474" w:rsidR="00D94A30" w:rsidRDefault="008011AA" w:rsidP="004E120D">
      <w:pPr>
        <w:pStyle w:val="BulletLevel2"/>
      </w:pPr>
      <w:r>
        <w:t>Step 5: Se</w:t>
      </w:r>
      <w:r w:rsidR="00D94A30">
        <w:t xml:space="preserve">lect the reason from the </w:t>
      </w:r>
      <w:r w:rsidR="00D94A30" w:rsidRPr="68799C3B">
        <w:t>‘</w:t>
      </w:r>
      <w:r w:rsidR="00D94A30">
        <w:t>R</w:t>
      </w:r>
      <w:r w:rsidR="00D94A30" w:rsidRPr="68799C3B">
        <w:t>easons not accepted’</w:t>
      </w:r>
      <w:r w:rsidR="00D94A30">
        <w:t xml:space="preserve"> </w:t>
      </w:r>
      <w:r w:rsidR="00D94A30" w:rsidRPr="52F0E74A">
        <w:t xml:space="preserve">column of the drop-down menu that most closely aligns with the reason that the </w:t>
      </w:r>
      <w:r w:rsidR="00D94A30">
        <w:t>Participant</w:t>
      </w:r>
      <w:r w:rsidR="00D94A30" w:rsidRPr="52F0E74A">
        <w:t xml:space="preserve"> gave as to why they </w:t>
      </w:r>
      <w:r w:rsidR="00D94A30">
        <w:t>did not attend their requirement</w:t>
      </w:r>
      <w:r w:rsidR="00D94A30" w:rsidRPr="52F0E74A">
        <w:t xml:space="preserve">. A full list of these drop-down menu options can be found </w:t>
      </w:r>
      <w:r w:rsidR="00D94A30">
        <w:t>within the</w:t>
      </w:r>
      <w:r w:rsidR="00D94A30" w:rsidRPr="52F0E74A">
        <w:t xml:space="preserve"> </w:t>
      </w:r>
      <w:r w:rsidR="0056238F" w:rsidRPr="00D43A7F">
        <w:rPr>
          <w:rStyle w:val="Hyperlink"/>
        </w:rPr>
        <w:t>Valid Reason assessment options [LINK]</w:t>
      </w:r>
      <w:r w:rsidR="0056238F">
        <w:rPr>
          <w:rFonts w:ascii="Tahoma" w:eastAsia="Tahoma" w:hAnsi="Tahoma" w:cs="Tahoma"/>
          <w:color w:val="000000" w:themeColor="text1"/>
        </w:rPr>
        <w:t xml:space="preserve"> </w:t>
      </w:r>
      <w:r w:rsidR="00D94A30" w:rsidRPr="0089244C">
        <w:rPr>
          <w:rFonts w:cs="Tahoma"/>
          <w:color w:val="000000" w:themeColor="text1"/>
        </w:rPr>
        <w:t>supporting document</w:t>
      </w:r>
      <w:r>
        <w:t>.</w:t>
      </w:r>
    </w:p>
    <w:p w14:paraId="554C5088" w14:textId="4A41247B" w:rsidR="00D94A30" w:rsidRDefault="008011AA" w:rsidP="004E120D">
      <w:pPr>
        <w:pStyle w:val="BulletLevel2"/>
      </w:pPr>
      <w:r>
        <w:t>Step 6: S</w:t>
      </w:r>
      <w:r w:rsidR="00D94A30" w:rsidRPr="7751327C">
        <w:t>elect ‘submit’, which will close the report.</w:t>
      </w:r>
    </w:p>
    <w:p w14:paraId="6BBA46E6" w14:textId="163D303A" w:rsidR="00D94A30" w:rsidRDefault="00D94A30" w:rsidP="00D94A30">
      <w:r>
        <w:t>When a Provider’s attempts to contact the Participant are not successful, the Provider must record they are not in contact with the Participant and select ‘Did Not Attend—Invalid’ in relation to the relevant Mutual Obligation Requirement in the Participant’s Electronic Calendar. A pending Demerit will be created on the Participant’s record.</w:t>
      </w:r>
    </w:p>
    <w:p w14:paraId="643EC90F" w14:textId="2ACD477F" w:rsidR="00D94A30" w:rsidRDefault="00D94A30" w:rsidP="00D94A30">
      <w:pPr>
        <w:rPr>
          <w:rFonts w:ascii="Tahoma" w:eastAsia="Tahoma" w:hAnsi="Tahoma"/>
        </w:rPr>
      </w:pPr>
      <w:r>
        <w:t xml:space="preserve">If the Provider needs to update the record to record that the Participant did not have a Valid Reason, the Provider should select the relevant Appointment, Activity or Job Interview and the </w:t>
      </w:r>
      <w:r w:rsidRPr="52F0E74A">
        <w:t xml:space="preserve">system will prompt Providers to record the reason the </w:t>
      </w:r>
      <w:r>
        <w:t>Participant</w:t>
      </w:r>
      <w:r w:rsidRPr="52F0E74A">
        <w:t xml:space="preserve"> provided.</w:t>
      </w:r>
      <w:r>
        <w:t xml:space="preserve"> Once the Provider records </w:t>
      </w:r>
      <w:r w:rsidRPr="0DFD7869">
        <w:rPr>
          <w:rFonts w:ascii="Tahoma" w:eastAsia="Tahoma" w:hAnsi="Tahoma"/>
        </w:rPr>
        <w:t xml:space="preserve">in the Department’s IT Systems that the Participant </w:t>
      </w:r>
      <w:r w:rsidRPr="68799C3B">
        <w:t xml:space="preserve">does not have a Valid Reason, the </w:t>
      </w:r>
      <w:r>
        <w:t>Demerit</w:t>
      </w:r>
      <w:r w:rsidRPr="68799C3B">
        <w:t xml:space="preserve"> will be confirmed</w:t>
      </w:r>
      <w:r>
        <w:t>.</w:t>
      </w:r>
    </w:p>
    <w:p w14:paraId="57B426AE" w14:textId="76938DAF" w:rsidR="00D94A30" w:rsidRDefault="00D94A30" w:rsidP="00D94A30">
      <w:pPr>
        <w:rPr>
          <w:rFonts w:ascii="Tahoma" w:eastAsia="Tahoma" w:hAnsi="Tahoma"/>
        </w:rPr>
      </w:pPr>
      <w:r w:rsidRPr="5DD2C18A">
        <w:rPr>
          <w:rFonts w:ascii="Tahoma" w:eastAsia="Tahoma" w:hAnsi="Tahoma"/>
        </w:rPr>
        <w:t xml:space="preserve">A Participant does not necessarily </w:t>
      </w:r>
      <w:r>
        <w:rPr>
          <w:rFonts w:eastAsiaTheme="minorEastAsia"/>
        </w:rPr>
        <w:t>accrue</w:t>
      </w:r>
      <w:r w:rsidRPr="5DD2C18A">
        <w:rPr>
          <w:rFonts w:ascii="Tahoma" w:eastAsia="Tahoma" w:hAnsi="Tahoma"/>
        </w:rPr>
        <w:t xml:space="preserve"> a </w:t>
      </w:r>
      <w:r>
        <w:rPr>
          <w:rFonts w:ascii="Tahoma" w:eastAsia="Tahoma" w:hAnsi="Tahoma"/>
        </w:rPr>
        <w:t>Demerit</w:t>
      </w:r>
      <w:r w:rsidRPr="5DD2C18A">
        <w:rPr>
          <w:rFonts w:ascii="Tahoma" w:eastAsia="Tahoma" w:hAnsi="Tahoma"/>
        </w:rPr>
        <w:t xml:space="preserve"> for not recording their participation against a Mutual Obligation Requirement. They do, however, </w:t>
      </w:r>
      <w:r>
        <w:rPr>
          <w:rFonts w:eastAsiaTheme="minorEastAsia"/>
        </w:rPr>
        <w:t>accrue</w:t>
      </w:r>
      <w:r w:rsidRPr="5DD2C18A">
        <w:rPr>
          <w:rFonts w:ascii="Tahoma" w:eastAsia="Tahoma" w:hAnsi="Tahoma"/>
        </w:rPr>
        <w:t xml:space="preserve"> a </w:t>
      </w:r>
      <w:r>
        <w:rPr>
          <w:rFonts w:ascii="Tahoma" w:eastAsia="Tahoma" w:hAnsi="Tahoma"/>
        </w:rPr>
        <w:t>Demerit</w:t>
      </w:r>
      <w:r w:rsidRPr="5DD2C18A">
        <w:rPr>
          <w:rFonts w:ascii="Tahoma" w:eastAsia="Tahoma" w:hAnsi="Tahoma"/>
        </w:rPr>
        <w:t xml:space="preserve"> if the Provider </w:t>
      </w:r>
      <w:r>
        <w:rPr>
          <w:rFonts w:ascii="Tahoma" w:eastAsia="Tahoma" w:hAnsi="Tahoma"/>
        </w:rPr>
        <w:t>determines</w:t>
      </w:r>
      <w:r w:rsidRPr="5DD2C18A">
        <w:rPr>
          <w:rFonts w:ascii="Tahoma" w:eastAsia="Tahoma" w:hAnsi="Tahoma"/>
        </w:rPr>
        <w:t xml:space="preserve"> </w:t>
      </w:r>
      <w:r>
        <w:rPr>
          <w:rFonts w:ascii="Tahoma" w:eastAsia="Tahoma" w:hAnsi="Tahoma"/>
        </w:rPr>
        <w:t xml:space="preserve">they did not have a Valid Reason for their </w:t>
      </w:r>
      <w:r w:rsidRPr="5DD2C18A">
        <w:rPr>
          <w:rFonts w:ascii="Tahoma" w:eastAsia="Tahoma" w:hAnsi="Tahoma"/>
        </w:rPr>
        <w:t>failure to attend or take part in the Mutual Obligation Requirement, including when they did not give prior notice to their Provider of their inability to meet the requirement when it was reasonable to expect them to do so.</w:t>
      </w:r>
    </w:p>
    <w:p w14:paraId="353CC012" w14:textId="6678DFF7" w:rsidR="00D94A30" w:rsidRPr="00063F2E" w:rsidRDefault="00D94A30" w:rsidP="00D94A30">
      <w:pPr>
        <w:rPr>
          <w:rFonts w:ascii="Tahoma" w:eastAsia="Tahoma" w:hAnsi="Tahoma"/>
        </w:rPr>
      </w:pPr>
      <w:r w:rsidRPr="0DFD7869">
        <w:rPr>
          <w:rFonts w:ascii="Tahoma" w:eastAsia="Tahoma" w:hAnsi="Tahoma"/>
        </w:rPr>
        <w:t>See</w:t>
      </w:r>
      <w:r w:rsidRPr="0DFD7869">
        <w:rPr>
          <w:rFonts w:ascii="Tahoma" w:eastAsia="Tahoma" w:hAnsi="Tahoma"/>
          <w:color w:val="000000" w:themeColor="text1"/>
        </w:rPr>
        <w:t xml:space="preserve"> the </w:t>
      </w:r>
      <w:r w:rsidRPr="0056238F">
        <w:rPr>
          <w:rStyle w:val="Hyperlink"/>
        </w:rPr>
        <w:t xml:space="preserve">Provider Actions – Demerits and Payment Suspensions </w:t>
      </w:r>
      <w:r w:rsidR="0056238F" w:rsidRPr="0056238F">
        <w:rPr>
          <w:rStyle w:val="Hyperlink"/>
        </w:rPr>
        <w:t>[LINK]</w:t>
      </w:r>
      <w:r w:rsidR="0056238F">
        <w:rPr>
          <w:rFonts w:ascii="Tahoma" w:eastAsia="Tahoma" w:hAnsi="Tahoma" w:cs="Tahoma"/>
          <w:color w:val="000000" w:themeColor="text1"/>
        </w:rPr>
        <w:t xml:space="preserve"> </w:t>
      </w:r>
      <w:r w:rsidRPr="0DFD7869">
        <w:rPr>
          <w:rFonts w:ascii="Tahoma" w:eastAsia="Tahoma" w:hAnsi="Tahoma" w:cs="Tahoma"/>
          <w:color w:val="000000" w:themeColor="text1"/>
        </w:rPr>
        <w:t xml:space="preserve">supporting document </w:t>
      </w:r>
      <w:r>
        <w:t>on the Provider Portal</w:t>
      </w:r>
      <w:r w:rsidRPr="0DFD7869">
        <w:rPr>
          <w:rFonts w:ascii="Tahoma" w:eastAsia="Tahoma" w:hAnsi="Tahoma"/>
          <w:color w:val="000000" w:themeColor="text1"/>
        </w:rPr>
        <w:t xml:space="preserve"> for information on the circumstances in which a Demerit (pending confirmation) will be confirmed or removed from the Participant’s record.</w:t>
      </w:r>
    </w:p>
    <w:p w14:paraId="76A14ABA" w14:textId="5F13A231" w:rsidR="00D94A30" w:rsidRDefault="00D94A30" w:rsidP="00D94A30">
      <w:pPr>
        <w:pStyle w:val="Heading5"/>
      </w:pPr>
      <w:r>
        <w:t>Misconduct</w:t>
      </w:r>
    </w:p>
    <w:p w14:paraId="24BCB9C2" w14:textId="14DDD0D8" w:rsidR="00D94A30" w:rsidRDefault="00D94A30" w:rsidP="00D94A30">
      <w:r w:rsidRPr="6055448A">
        <w:t>On the day the Provider becomes aware the Participant has an apparent Mutual Obligation Failure because of misconduct at a compulsory Appointment, Activity or Job Interview, the Provider must report the failure by close of business.</w:t>
      </w:r>
    </w:p>
    <w:p w14:paraId="772F0870" w14:textId="21ED8BED" w:rsidR="00D94A30" w:rsidRDefault="00D94A30" w:rsidP="006F727E">
      <w:pPr>
        <w:pStyle w:val="SystemStep"/>
        <w:rPr>
          <w:rFonts w:ascii="Tahoma" w:eastAsia="Tahoma" w:hAnsi="Tahoma"/>
        </w:rPr>
      </w:pPr>
      <w:r>
        <w:t xml:space="preserve">To report a Participant’s misconduct during a requirement, the Provider must undertake the following steps in the Department’s IT Systems: </w:t>
      </w:r>
    </w:p>
    <w:p w14:paraId="62639D08" w14:textId="2097D345" w:rsidR="00D94A30" w:rsidRDefault="00D94A30" w:rsidP="004E120D">
      <w:pPr>
        <w:pStyle w:val="BulletLevel2"/>
      </w:pPr>
      <w:r>
        <w:t>Step 1: Select the relevant Appointment, Activity or Job Interview in the Participant’s Electronic Calendar.</w:t>
      </w:r>
    </w:p>
    <w:p w14:paraId="228C2EEC" w14:textId="7B6F58BA" w:rsidR="00D94A30" w:rsidRDefault="00D94A30" w:rsidP="004E120D">
      <w:pPr>
        <w:pStyle w:val="BulletLevel2"/>
      </w:pPr>
      <w:r>
        <w:t>Step 2: S</w:t>
      </w:r>
      <w:r w:rsidRPr="7751327C">
        <w:t>elect ‘Misconduct’</w:t>
      </w:r>
      <w:r>
        <w:t>.</w:t>
      </w:r>
    </w:p>
    <w:p w14:paraId="76F0E69A" w14:textId="022855DA" w:rsidR="00D94A30" w:rsidRPr="001062A1" w:rsidRDefault="00D94A30" w:rsidP="004E120D">
      <w:pPr>
        <w:pStyle w:val="BulletLevel2"/>
      </w:pPr>
      <w:r>
        <w:t>Step 3: F</w:t>
      </w:r>
      <w:r w:rsidRPr="7751327C">
        <w:t xml:space="preserve">ollow any other prompts within the system and then </w:t>
      </w:r>
      <w:bookmarkStart w:id="552" w:name="_Int_UyrmFyFT"/>
      <w:r w:rsidRPr="7751327C">
        <w:t>submit</w:t>
      </w:r>
      <w:bookmarkEnd w:id="552"/>
      <w:r w:rsidRPr="7751327C">
        <w:t>, which will close the report.</w:t>
      </w:r>
    </w:p>
    <w:p w14:paraId="12CB9E1B" w14:textId="0C25FAB3" w:rsidR="00D94A30" w:rsidRDefault="00D94A30" w:rsidP="00D94A30">
      <w:pPr>
        <w:pStyle w:val="Heading5"/>
      </w:pPr>
      <w:r w:rsidRPr="52F0E74A">
        <w:t xml:space="preserve">Failures to act on a </w:t>
      </w:r>
      <w:r>
        <w:t>J</w:t>
      </w:r>
      <w:r w:rsidRPr="52F0E74A">
        <w:t xml:space="preserve">ob </w:t>
      </w:r>
      <w:r>
        <w:t>R</w:t>
      </w:r>
      <w:r w:rsidRPr="52F0E74A">
        <w:t>eferral</w:t>
      </w:r>
    </w:p>
    <w:p w14:paraId="287D2489" w14:textId="1BCE8B2E" w:rsidR="00D94A30" w:rsidRPr="00191B73" w:rsidRDefault="00D94A30" w:rsidP="00D94A30">
      <w:r w:rsidRPr="6055448A">
        <w:t>On the day the Provider becomes aware the Participant has a Mutual Obligation Failure, because of a failure to act on a job opportunity when requested to do so by the Provider without a Valid Reason, the Provider must record this in the Department’s IT Systems by close of business day.</w:t>
      </w:r>
    </w:p>
    <w:p w14:paraId="63EF747C" w14:textId="43153DEB" w:rsidR="00D94A30" w:rsidRDefault="00D94A30" w:rsidP="006F727E">
      <w:pPr>
        <w:pStyle w:val="SystemStep"/>
        <w:rPr>
          <w:rFonts w:ascii="Tahoma" w:eastAsia="Tahoma" w:hAnsi="Tahoma"/>
        </w:rPr>
      </w:pPr>
      <w:r>
        <w:t xml:space="preserve">To report that a Participant failed to meet this requirement and did not have a Valid Reason, the Provider must undertake the following steps in the Department’s IT Systems: </w:t>
      </w:r>
    </w:p>
    <w:p w14:paraId="74549548" w14:textId="5E54C483" w:rsidR="00D94A30" w:rsidRDefault="00D94A30" w:rsidP="004E120D">
      <w:pPr>
        <w:pStyle w:val="BulletLevel2"/>
      </w:pPr>
      <w:r>
        <w:t xml:space="preserve">Step 1: Go to </w:t>
      </w:r>
      <w:r w:rsidRPr="1685E615">
        <w:t xml:space="preserve">the Outstanding Non-Compliance </w:t>
      </w:r>
      <w:r w:rsidR="00860866">
        <w:t>screen</w:t>
      </w:r>
      <w:r>
        <w:t>.</w:t>
      </w:r>
    </w:p>
    <w:p w14:paraId="6BEFDBFF" w14:textId="0802EF7F" w:rsidR="00D94A30" w:rsidRDefault="00D94A30" w:rsidP="004E120D">
      <w:pPr>
        <w:pStyle w:val="BulletLevel2"/>
      </w:pPr>
      <w:r>
        <w:t xml:space="preserve">Step 2: </w:t>
      </w:r>
      <w:r w:rsidRPr="7751327C">
        <w:t xml:space="preserve">select ‘no’ to </w:t>
      </w:r>
      <w:bookmarkStart w:id="553" w:name="_Int_r6ovplgC"/>
      <w:r w:rsidRPr="7751327C">
        <w:t>indicate</w:t>
      </w:r>
      <w:bookmarkEnd w:id="553"/>
      <w:r w:rsidRPr="7751327C">
        <w:t xml:space="preserve"> that the Participant’s reason for failing to </w:t>
      </w:r>
      <w:r>
        <w:t xml:space="preserve">act on a Job Referral </w:t>
      </w:r>
      <w:r w:rsidRPr="7751327C">
        <w:t>has not been accepted</w:t>
      </w:r>
      <w:r>
        <w:t>.</w:t>
      </w:r>
    </w:p>
    <w:p w14:paraId="6BD7B4C1" w14:textId="2FFB86EB" w:rsidR="00D94A30" w:rsidRDefault="00D94A30" w:rsidP="004E120D">
      <w:pPr>
        <w:pStyle w:val="BulletLevel2"/>
      </w:pPr>
      <w:r>
        <w:t xml:space="preserve">Step 3: Select the reason from the ‘Reasons not accepted’ column of the drop-down menu that most closely aligns with the reason that the Participant gave as to why they did not attend their requirement — a full list of these drop-down menu options can be found within the </w:t>
      </w:r>
      <w:r w:rsidR="0056238F" w:rsidRPr="00D43A7F">
        <w:rPr>
          <w:rStyle w:val="Hyperlink"/>
        </w:rPr>
        <w:t>Valid Reason assessment options [LINK]</w:t>
      </w:r>
      <w:r w:rsidR="0056238F">
        <w:rPr>
          <w:rFonts w:ascii="Tahoma" w:eastAsia="Tahoma" w:hAnsi="Tahoma" w:cs="Tahoma"/>
          <w:color w:val="000000" w:themeColor="text1"/>
        </w:rPr>
        <w:t xml:space="preserve"> </w:t>
      </w:r>
      <w:r w:rsidRPr="6055448A">
        <w:rPr>
          <w:rFonts w:cs="Tahoma"/>
          <w:color w:val="000000" w:themeColor="text1"/>
        </w:rPr>
        <w:t>supporting document</w:t>
      </w:r>
      <w:r>
        <w:rPr>
          <w:rFonts w:cs="Tahoma"/>
          <w:color w:val="000000" w:themeColor="text1"/>
        </w:rPr>
        <w:t>.</w:t>
      </w:r>
    </w:p>
    <w:p w14:paraId="4D3E3857" w14:textId="38B5BA61" w:rsidR="00D94A30" w:rsidRDefault="00D94A30" w:rsidP="004E120D">
      <w:pPr>
        <w:pStyle w:val="BulletLevel2"/>
      </w:pPr>
      <w:r>
        <w:t>Step 4: S</w:t>
      </w:r>
      <w:r w:rsidRPr="7751327C">
        <w:t>elect ‘submit’, which will close the report.</w:t>
      </w:r>
    </w:p>
    <w:p w14:paraId="67042E8E" w14:textId="44B0CC48" w:rsidR="00D94A30" w:rsidRDefault="00D94A30" w:rsidP="00D94A30">
      <w:pPr>
        <w:pStyle w:val="Heading5"/>
      </w:pPr>
      <w:r>
        <w:t>Non-compliance reports when Participant is in Penalty Zone</w:t>
      </w:r>
    </w:p>
    <w:p w14:paraId="267AEC55" w14:textId="348311BF" w:rsidR="00D94A30" w:rsidRDefault="00D94A30" w:rsidP="00D94A30">
      <w:pPr>
        <w:rPr>
          <w:rFonts w:ascii="Tahoma" w:eastAsia="Tahoma" w:hAnsi="Tahoma"/>
        </w:rPr>
      </w:pPr>
      <w:r w:rsidRPr="7751327C">
        <w:rPr>
          <w:rFonts w:ascii="Tahoma" w:eastAsia="Tahoma" w:hAnsi="Tahoma"/>
        </w:rPr>
        <w:t xml:space="preserve">If a Participant is in the Penalty Zone and the Provider records ‘Did Not Attend—Invalid’ or ‘Misconduct’ as discussed above, the Department’s IT Systems creates a non‑compliance report and </w:t>
      </w:r>
      <w:bookmarkStart w:id="554" w:name="_Int_0NM3Prhr"/>
      <w:r w:rsidRPr="7751327C">
        <w:rPr>
          <w:rFonts w:ascii="Tahoma" w:eastAsia="Tahoma" w:hAnsi="Tahoma"/>
        </w:rPr>
        <w:t>submits</w:t>
      </w:r>
      <w:bookmarkEnd w:id="554"/>
      <w:r w:rsidRPr="7751327C">
        <w:rPr>
          <w:rFonts w:ascii="Tahoma" w:eastAsia="Tahoma" w:hAnsi="Tahoma"/>
        </w:rPr>
        <w:t xml:space="preserve"> it to Services Australia for investigation instead of recording a </w:t>
      </w:r>
      <w:r>
        <w:rPr>
          <w:rFonts w:ascii="Tahoma" w:eastAsia="Tahoma" w:hAnsi="Tahoma"/>
        </w:rPr>
        <w:t>Demerit</w:t>
      </w:r>
      <w:r w:rsidRPr="7751327C">
        <w:rPr>
          <w:rFonts w:ascii="Tahoma" w:eastAsia="Tahoma" w:hAnsi="Tahoma"/>
        </w:rPr>
        <w:t xml:space="preserve">. </w:t>
      </w:r>
    </w:p>
    <w:p w14:paraId="54C93E30" w14:textId="0DDB0682" w:rsidR="00D94A30" w:rsidRDefault="00D94A30" w:rsidP="00D94A30">
      <w:pPr>
        <w:rPr>
          <w:rFonts w:ascii="Tahoma" w:eastAsia="Tahoma" w:hAnsi="Tahoma"/>
        </w:rPr>
      </w:pPr>
      <w:r w:rsidRPr="6055448A">
        <w:rPr>
          <w:rFonts w:ascii="Tahoma" w:eastAsia="Tahoma" w:hAnsi="Tahoma"/>
        </w:rPr>
        <w:t xml:space="preserve">The Participant’s Income Support Payment will be suspended </w:t>
      </w:r>
      <w:r>
        <w:rPr>
          <w:rFonts w:ascii="Tahoma" w:eastAsia="Tahoma" w:hAnsi="Tahoma"/>
        </w:rPr>
        <w:t>due to</w:t>
      </w:r>
      <w:r w:rsidRPr="6055448A">
        <w:rPr>
          <w:rFonts w:ascii="Tahoma" w:eastAsia="Tahoma" w:hAnsi="Tahoma"/>
        </w:rPr>
        <w:t xml:space="preserve"> the creation of a non‑compliance report.</w:t>
      </w:r>
    </w:p>
    <w:p w14:paraId="476391F3" w14:textId="791D8D0F" w:rsidR="00D94A30" w:rsidRDefault="00D94A30" w:rsidP="00D94A30">
      <w:pPr>
        <w:rPr>
          <w:rFonts w:ascii="Tahoma" w:eastAsia="Tahoma" w:hAnsi="Tahoma"/>
        </w:rPr>
      </w:pPr>
      <w:r w:rsidRPr="0DFD7869">
        <w:rPr>
          <w:rFonts w:ascii="Tahoma" w:eastAsia="Tahoma" w:hAnsi="Tahoma"/>
        </w:rPr>
        <w:t xml:space="preserve">If a Participant is in the Penalty Zone and the Provider records ‘Did Not Attend—Valid’ as discussed in </w:t>
      </w:r>
      <w:r w:rsidR="00FD7074">
        <w:rPr>
          <w:rFonts w:ascii="Tahoma" w:eastAsia="Tahoma" w:hAnsi="Tahoma"/>
          <w:highlight w:val="yellow"/>
        </w:rPr>
        <w:fldChar w:fldCharType="begin"/>
      </w:r>
      <w:r w:rsidR="00FD7074">
        <w:rPr>
          <w:rFonts w:ascii="Tahoma" w:eastAsia="Tahoma" w:hAnsi="Tahoma"/>
        </w:rPr>
        <w:instrText xml:space="preserve"> REF _Ref202949768 \h </w:instrText>
      </w:r>
      <w:r w:rsidR="00FD7074">
        <w:rPr>
          <w:rFonts w:ascii="Tahoma" w:eastAsia="Tahoma" w:hAnsi="Tahoma"/>
          <w:highlight w:val="yellow"/>
        </w:rPr>
      </w:r>
      <w:r w:rsidR="00FD7074">
        <w:rPr>
          <w:rFonts w:ascii="Tahoma" w:eastAsia="Tahoma" w:hAnsi="Tahoma"/>
          <w:highlight w:val="yellow"/>
        </w:rPr>
        <w:fldChar w:fldCharType="separate"/>
      </w:r>
      <w:r w:rsidR="000D75AE">
        <w:t>12.4.3Recording if a Participant had a Valid Reason</w:t>
      </w:r>
      <w:r w:rsidR="00FD7074">
        <w:rPr>
          <w:rFonts w:ascii="Tahoma" w:eastAsia="Tahoma" w:hAnsi="Tahoma"/>
          <w:highlight w:val="yellow"/>
        </w:rPr>
        <w:fldChar w:fldCharType="end"/>
      </w:r>
      <w:r w:rsidRPr="0DFD7869">
        <w:rPr>
          <w:rFonts w:ascii="Tahoma" w:eastAsia="Tahoma" w:hAnsi="Tahoma"/>
        </w:rPr>
        <w:t xml:space="preserve">, any non‑compliance report on their record relating to that Mutual Obligation Failure will be closed. </w:t>
      </w:r>
    </w:p>
    <w:p w14:paraId="51E3014D" w14:textId="19824E73" w:rsidR="00D94A30" w:rsidRDefault="00D94A30" w:rsidP="00D94A30">
      <w:pPr>
        <w:rPr>
          <w:rFonts w:ascii="Tahoma" w:eastAsia="Tahoma" w:hAnsi="Tahoma"/>
        </w:rPr>
      </w:pPr>
      <w:r w:rsidRPr="6055448A">
        <w:rPr>
          <w:rFonts w:ascii="Tahoma" w:eastAsia="Tahoma" w:hAnsi="Tahoma"/>
        </w:rPr>
        <w:t>An open non‑compliance report on a Participant’s record will prevent them</w:t>
      </w:r>
      <w:r>
        <w:rPr>
          <w:rFonts w:ascii="Tahoma" w:eastAsia="Tahoma" w:hAnsi="Tahoma"/>
        </w:rPr>
        <w:t xml:space="preserve"> </w:t>
      </w:r>
      <w:r w:rsidRPr="6055448A">
        <w:rPr>
          <w:rFonts w:ascii="Tahoma" w:eastAsia="Tahoma" w:hAnsi="Tahoma"/>
        </w:rPr>
        <w:t xml:space="preserve">from finalising their fortnightly reporting requirement </w:t>
      </w:r>
      <w:r>
        <w:rPr>
          <w:rFonts w:ascii="Tahoma" w:eastAsia="Tahoma" w:hAnsi="Tahoma"/>
        </w:rPr>
        <w:t xml:space="preserve">with Centrelink </w:t>
      </w:r>
      <w:r w:rsidRPr="6055448A">
        <w:rPr>
          <w:rFonts w:ascii="Tahoma" w:eastAsia="Tahoma" w:hAnsi="Tahoma"/>
        </w:rPr>
        <w:t xml:space="preserve">and from receiving their Income Support Payment. Participants will be </w:t>
      </w:r>
      <w:r>
        <w:rPr>
          <w:rFonts w:ascii="Tahoma" w:eastAsia="Tahoma" w:hAnsi="Tahoma"/>
        </w:rPr>
        <w:t>notified</w:t>
      </w:r>
      <w:r w:rsidRPr="6055448A">
        <w:rPr>
          <w:rFonts w:ascii="Tahoma" w:eastAsia="Tahoma" w:hAnsi="Tahoma"/>
        </w:rPr>
        <w:t xml:space="preserve"> to contact Services Australia to discuss the non-compliance report when they are completing their fortnightly report.</w:t>
      </w:r>
    </w:p>
    <w:p w14:paraId="0CB5C1A4" w14:textId="2B503E23" w:rsidR="00D94A30" w:rsidRDefault="00D94A30" w:rsidP="00D94A30">
      <w:pPr>
        <w:pStyle w:val="Heading4"/>
        <w:rPr>
          <w:rFonts w:ascii="Tahoma" w:eastAsia="Tahoma" w:hAnsi="Tahoma"/>
          <w:b/>
        </w:rPr>
      </w:pPr>
      <w:bookmarkStart w:id="555" w:name="_Toc202900110"/>
      <w:r>
        <w:t>12.4.5</w:t>
      </w:r>
      <w:r>
        <w:tab/>
      </w:r>
      <w:r w:rsidRPr="52F0E74A">
        <w:t xml:space="preserve">Notifications to </w:t>
      </w:r>
      <w:r>
        <w:t>Participant</w:t>
      </w:r>
      <w:r w:rsidRPr="52F0E74A">
        <w:t>s of Mutual Obligation Failures</w:t>
      </w:r>
      <w:bookmarkEnd w:id="555"/>
    </w:p>
    <w:p w14:paraId="33D25BD0" w14:textId="4CBEB5FA" w:rsidR="00D94A30" w:rsidRDefault="00D94A30" w:rsidP="00D94A30">
      <w:pPr>
        <w:rPr>
          <w:rFonts w:ascii="Tahoma" w:eastAsia="Tahoma" w:hAnsi="Tahoma"/>
        </w:rPr>
      </w:pPr>
      <w:r w:rsidRPr="0DFD7869">
        <w:rPr>
          <w:rFonts w:ascii="Tahoma" w:eastAsia="Tahoma" w:hAnsi="Tahoma"/>
        </w:rPr>
        <w:t xml:space="preserve">When the Provider records in the Department’s IT Systems that a Participant has committed a Mutual Obligation Failure, the Department’s IT Systems creates a notification on the Provider’s behalf. </w:t>
      </w:r>
    </w:p>
    <w:p w14:paraId="28190CFC" w14:textId="6C196DFF" w:rsidR="00D94A30" w:rsidRDefault="00D94A30" w:rsidP="00D94A30">
      <w:pPr>
        <w:rPr>
          <w:rFonts w:ascii="Tahoma" w:eastAsia="Tahoma" w:hAnsi="Tahoma"/>
        </w:rPr>
      </w:pPr>
      <w:r w:rsidRPr="0DFD7869">
        <w:rPr>
          <w:rFonts w:ascii="Tahoma" w:eastAsia="Tahoma" w:hAnsi="Tahoma"/>
        </w:rPr>
        <w:t>The notification:</w:t>
      </w:r>
    </w:p>
    <w:p w14:paraId="6413F1E4" w14:textId="27C1AE70" w:rsidR="00D94A30" w:rsidRPr="008011AA" w:rsidRDefault="00D94A30" w:rsidP="004E120D">
      <w:pPr>
        <w:pStyle w:val="BulletLevel1"/>
      </w:pPr>
      <w:r w:rsidRPr="008011AA">
        <w:t>is automatically sent to the Participant, if the Participant has SMS or email details recorded in the Department’s IT Systems for automatic notification, or</w:t>
      </w:r>
    </w:p>
    <w:p w14:paraId="6C33A991" w14:textId="4E32BC19" w:rsidR="00D94A30" w:rsidRDefault="00D94A30" w:rsidP="004E120D">
      <w:pPr>
        <w:pStyle w:val="BulletLevel1"/>
      </w:pPr>
      <w:r w:rsidRPr="008011AA">
        <w:t xml:space="preserve">must be sent by the Provider to the Participant’s </w:t>
      </w:r>
      <w:r w:rsidR="0016030A">
        <w:t xml:space="preserve">postal </w:t>
      </w:r>
      <w:r w:rsidRPr="008011AA">
        <w:t>address on the same day the Provider records</w:t>
      </w:r>
      <w:r w:rsidRPr="1685E615">
        <w:t xml:space="preserve"> in the Department’s IT Systems that the </w:t>
      </w:r>
      <w:r>
        <w:t>Participant</w:t>
      </w:r>
      <w:r w:rsidRPr="1685E615">
        <w:t xml:space="preserve"> has committed a Mutual Obligation Failure, if the </w:t>
      </w:r>
      <w:r>
        <w:t>Participant</w:t>
      </w:r>
      <w:r w:rsidRPr="1685E615">
        <w:t xml:space="preserve"> does not have SMS or email details recorded in the Department’s IT Systems for automatic notification.</w:t>
      </w:r>
    </w:p>
    <w:p w14:paraId="14FD158A" w14:textId="4D7DF757" w:rsidR="00D94A30" w:rsidRDefault="00D94A30" w:rsidP="00D94A30">
      <w:pPr>
        <w:rPr>
          <w:rFonts w:ascii="Tahoma" w:eastAsia="Tahoma" w:hAnsi="Tahoma"/>
        </w:rPr>
      </w:pPr>
      <w:r w:rsidRPr="0DFD7869">
        <w:rPr>
          <w:rFonts w:ascii="Tahoma" w:eastAsia="Tahoma" w:hAnsi="Tahoma"/>
          <w:u w:val="single"/>
        </w:rPr>
        <w:t>If the Participant was in the Green Zone or Warning Zone</w:t>
      </w:r>
      <w:r w:rsidRPr="0DFD7869">
        <w:rPr>
          <w:rFonts w:ascii="Tahoma" w:eastAsia="Tahoma" w:hAnsi="Tahoma"/>
        </w:rPr>
        <w:t xml:space="preserve"> when the Mutual Obligation Failure occurred, the notification advises the Participant:</w:t>
      </w:r>
    </w:p>
    <w:p w14:paraId="4C301E55" w14:textId="304C663C" w:rsidR="00D94A30" w:rsidRPr="008011AA" w:rsidRDefault="00D94A30" w:rsidP="004E120D">
      <w:pPr>
        <w:pStyle w:val="BulletLevel1"/>
      </w:pPr>
      <w:r w:rsidRPr="008011AA">
        <w:t>they have failed to meet a Mutual Obligation Requirement</w:t>
      </w:r>
    </w:p>
    <w:p w14:paraId="6D087C7E" w14:textId="3774B70F" w:rsidR="00D94A30" w:rsidRPr="008011AA" w:rsidRDefault="00D94A30" w:rsidP="004E120D">
      <w:pPr>
        <w:pStyle w:val="BulletLevel1"/>
      </w:pPr>
      <w:r w:rsidRPr="008011AA">
        <w:t>to contact their Provider as soon as possible, and</w:t>
      </w:r>
    </w:p>
    <w:p w14:paraId="799CD0E6" w14:textId="2569642D" w:rsidR="00D94A30" w:rsidRDefault="00D94A30" w:rsidP="004E120D">
      <w:pPr>
        <w:pStyle w:val="BulletLevel1"/>
      </w:pPr>
      <w:r w:rsidRPr="008011AA">
        <w:t>their Income Support Payment may be suspended after 5 Business Days have passed if they take no</w:t>
      </w:r>
      <w:r w:rsidRPr="1685E615">
        <w:t xml:space="preserve"> further action.</w:t>
      </w:r>
    </w:p>
    <w:p w14:paraId="100713C0" w14:textId="26E5D8CE" w:rsidR="00D94A30" w:rsidRDefault="00D94A30" w:rsidP="00D94A30">
      <w:pPr>
        <w:rPr>
          <w:rFonts w:ascii="Tahoma" w:eastAsia="Tahoma" w:hAnsi="Tahoma"/>
        </w:rPr>
      </w:pPr>
      <w:r w:rsidRPr="0DFD7869">
        <w:rPr>
          <w:rFonts w:ascii="Tahoma" w:eastAsia="Tahoma" w:hAnsi="Tahoma"/>
        </w:rPr>
        <w:t xml:space="preserve">A further notification will be created if the Participant’s Income Support Payment is suspended after the 5 Business Days </w:t>
      </w:r>
      <w:r w:rsidR="007677B9">
        <w:rPr>
          <w:rFonts w:ascii="Tahoma" w:eastAsia="Tahoma" w:hAnsi="Tahoma"/>
        </w:rPr>
        <w:t>r</w:t>
      </w:r>
      <w:r w:rsidRPr="0DFD7869">
        <w:rPr>
          <w:rFonts w:ascii="Tahoma" w:eastAsia="Tahoma" w:hAnsi="Tahoma"/>
        </w:rPr>
        <w:t>esolution time, advising the Participant:</w:t>
      </w:r>
    </w:p>
    <w:p w14:paraId="7A8D5A87" w14:textId="0FD8A05E" w:rsidR="00D94A30" w:rsidRPr="008011AA" w:rsidRDefault="00D94A30" w:rsidP="004E120D">
      <w:pPr>
        <w:pStyle w:val="BulletLevel1"/>
      </w:pPr>
      <w:r w:rsidRPr="008011AA">
        <w:t>that their Income Support Payment is suspended</w:t>
      </w:r>
    </w:p>
    <w:p w14:paraId="1BD6EC93" w14:textId="2A32EBF9" w:rsidR="00D94A30" w:rsidRPr="008011AA" w:rsidRDefault="00D94A30" w:rsidP="004E120D">
      <w:pPr>
        <w:pStyle w:val="BulletLevel1"/>
      </w:pPr>
      <w:r w:rsidRPr="008011AA">
        <w:t>why their Income Support Payment is suspended</w:t>
      </w:r>
    </w:p>
    <w:p w14:paraId="1F3E7CE0" w14:textId="7E636470" w:rsidR="00D94A30" w:rsidRPr="008011AA" w:rsidRDefault="00D94A30" w:rsidP="004E120D">
      <w:pPr>
        <w:pStyle w:val="BulletLevel1"/>
      </w:pPr>
      <w:r w:rsidRPr="008011AA">
        <w:t>what they must do for the Income Support Payment suspension to be lifted, and</w:t>
      </w:r>
    </w:p>
    <w:p w14:paraId="3B495D11" w14:textId="20228D6F" w:rsidR="00D94A30" w:rsidRPr="008011AA" w:rsidRDefault="00D94A30" w:rsidP="004E120D">
      <w:pPr>
        <w:pStyle w:val="BulletLevel1"/>
      </w:pPr>
      <w:r w:rsidRPr="008011AA">
        <w:t>to contact their Provider as soon as possible.</w:t>
      </w:r>
    </w:p>
    <w:p w14:paraId="088417CA" w14:textId="3C15FDF7" w:rsidR="00D94A30" w:rsidRDefault="00D94A30" w:rsidP="00D94A30">
      <w:pPr>
        <w:rPr>
          <w:rFonts w:ascii="Tahoma" w:eastAsia="Tahoma" w:hAnsi="Tahoma"/>
        </w:rPr>
      </w:pPr>
      <w:r w:rsidRPr="0DFD7869">
        <w:rPr>
          <w:rFonts w:ascii="Tahoma" w:eastAsia="Tahoma" w:hAnsi="Tahoma"/>
          <w:u w:val="single"/>
        </w:rPr>
        <w:t>If the Participant was in the Penalty Zone</w:t>
      </w:r>
      <w:r w:rsidRPr="0DFD7869">
        <w:rPr>
          <w:rFonts w:ascii="Tahoma" w:eastAsia="Tahoma" w:hAnsi="Tahoma"/>
        </w:rPr>
        <w:t xml:space="preserve"> when the Mutual Obligation Failure occurred, the notification advises the Participant:</w:t>
      </w:r>
    </w:p>
    <w:p w14:paraId="4E916637" w14:textId="11725E64" w:rsidR="00D94A30" w:rsidRPr="008011AA" w:rsidRDefault="00D94A30" w:rsidP="004E120D">
      <w:pPr>
        <w:pStyle w:val="BulletLevel1"/>
      </w:pPr>
      <w:r w:rsidRPr="008011AA">
        <w:t>their Income Support Payment is suspended</w:t>
      </w:r>
    </w:p>
    <w:p w14:paraId="3B0B30E9" w14:textId="5E419BA1" w:rsidR="00D94A30" w:rsidRPr="008011AA" w:rsidRDefault="00D94A30" w:rsidP="004E120D">
      <w:pPr>
        <w:pStyle w:val="BulletLevel1"/>
      </w:pPr>
      <w:r w:rsidRPr="008011AA">
        <w:t>why their Income Support Payment is suspended</w:t>
      </w:r>
    </w:p>
    <w:p w14:paraId="376027D2" w14:textId="1FFD8105" w:rsidR="00D94A30" w:rsidRPr="008011AA" w:rsidRDefault="00D94A30" w:rsidP="004E120D">
      <w:pPr>
        <w:pStyle w:val="BulletLevel1"/>
      </w:pPr>
      <w:r w:rsidRPr="008011AA">
        <w:t>what they must do for the Income Support Payment suspension to be lifted, and</w:t>
      </w:r>
    </w:p>
    <w:p w14:paraId="7EE48092" w14:textId="1F3A6AB2" w:rsidR="00D94A30" w:rsidRPr="008011AA" w:rsidRDefault="00D94A30" w:rsidP="004E120D">
      <w:pPr>
        <w:pStyle w:val="BulletLevel1"/>
      </w:pPr>
      <w:r w:rsidRPr="008011AA">
        <w:t>to contact their Provider as soon as possible.</w:t>
      </w:r>
    </w:p>
    <w:p w14:paraId="1F2566B7" w14:textId="785B0817" w:rsidR="00D94A30" w:rsidRDefault="00D94A30" w:rsidP="00D94A30">
      <w:pPr>
        <w:rPr>
          <w:rFonts w:ascii="Tahoma" w:eastAsia="Tahoma" w:hAnsi="Tahoma"/>
        </w:rPr>
      </w:pPr>
      <w:r w:rsidRPr="0DFD7869">
        <w:rPr>
          <w:rFonts w:ascii="Tahoma" w:eastAsia="Tahoma" w:hAnsi="Tahoma"/>
        </w:rPr>
        <w:t xml:space="preserve">A Participant’s Income Support Payment will normally remain suspended until they meet a </w:t>
      </w:r>
      <w:r>
        <w:t>Reengagement Requirement</w:t>
      </w:r>
      <w:r w:rsidRPr="68799C3B">
        <w:t xml:space="preserve"> </w:t>
      </w:r>
      <w:r w:rsidRPr="0DFD7869">
        <w:rPr>
          <w:rFonts w:ascii="Tahoma" w:eastAsia="Tahoma" w:hAnsi="Tahoma"/>
        </w:rPr>
        <w:t xml:space="preserve">or until the Provider records a Valid Reason in the Department’s IT Systems. </w:t>
      </w:r>
    </w:p>
    <w:p w14:paraId="78E22FC0" w14:textId="7D394CAE" w:rsidR="00D94A30" w:rsidRDefault="00D94A30" w:rsidP="00D94A30">
      <w:pPr>
        <w:rPr>
          <w:rFonts w:ascii="Tahoma" w:eastAsia="Tahoma" w:hAnsi="Tahoma"/>
        </w:rPr>
      </w:pPr>
      <w:r w:rsidRPr="008016D2">
        <w:rPr>
          <w:rFonts w:ascii="Tahoma" w:eastAsia="Tahoma" w:hAnsi="Tahoma"/>
        </w:rPr>
        <w:t xml:space="preserve">If the </w:t>
      </w:r>
      <w:r>
        <w:rPr>
          <w:rFonts w:ascii="Tahoma" w:eastAsia="Tahoma" w:hAnsi="Tahoma"/>
        </w:rPr>
        <w:t>P</w:t>
      </w:r>
      <w:r w:rsidRPr="008016D2">
        <w:rPr>
          <w:rFonts w:ascii="Tahoma" w:eastAsia="Tahoma" w:hAnsi="Tahoma"/>
        </w:rPr>
        <w:t xml:space="preserve">articipant does not comply with a </w:t>
      </w:r>
      <w:r>
        <w:t>Re-engagement Requirement</w:t>
      </w:r>
      <w:r w:rsidRPr="68799C3B">
        <w:t xml:space="preserve"> </w:t>
      </w:r>
      <w:r w:rsidRPr="008016D2">
        <w:rPr>
          <w:rFonts w:ascii="Tahoma" w:eastAsia="Tahoma" w:hAnsi="Tahoma"/>
        </w:rPr>
        <w:t xml:space="preserve">within 28 </w:t>
      </w:r>
      <w:r>
        <w:rPr>
          <w:rFonts w:ascii="Tahoma" w:eastAsia="Tahoma" w:hAnsi="Tahoma"/>
        </w:rPr>
        <w:t xml:space="preserve">calendar </w:t>
      </w:r>
      <w:r w:rsidRPr="008016D2">
        <w:rPr>
          <w:rFonts w:ascii="Tahoma" w:eastAsia="Tahoma" w:hAnsi="Tahoma"/>
        </w:rPr>
        <w:t xml:space="preserve">days of receiving </w:t>
      </w:r>
      <w:r>
        <w:rPr>
          <w:rFonts w:ascii="Tahoma" w:eastAsia="Tahoma" w:hAnsi="Tahoma"/>
        </w:rPr>
        <w:t>the</w:t>
      </w:r>
      <w:r w:rsidRPr="008016D2">
        <w:rPr>
          <w:rFonts w:ascii="Tahoma" w:eastAsia="Tahoma" w:hAnsi="Tahoma"/>
        </w:rPr>
        <w:t xml:space="preserve"> notification, Services Australia will normally cancel the </w:t>
      </w:r>
      <w:r>
        <w:rPr>
          <w:rFonts w:ascii="Tahoma" w:eastAsia="Tahoma" w:hAnsi="Tahoma"/>
        </w:rPr>
        <w:t>P</w:t>
      </w:r>
      <w:r w:rsidRPr="008016D2">
        <w:rPr>
          <w:rFonts w:ascii="Tahoma" w:eastAsia="Tahoma" w:hAnsi="Tahoma"/>
        </w:rPr>
        <w:t xml:space="preserve">articipant’s </w:t>
      </w:r>
      <w:r>
        <w:rPr>
          <w:rFonts w:ascii="Tahoma" w:eastAsia="Tahoma" w:hAnsi="Tahoma"/>
        </w:rPr>
        <w:t>I</w:t>
      </w:r>
      <w:r w:rsidRPr="008016D2">
        <w:rPr>
          <w:rFonts w:ascii="Tahoma" w:eastAsia="Tahoma" w:hAnsi="Tahoma"/>
        </w:rPr>
        <w:t xml:space="preserve">ncome </w:t>
      </w:r>
      <w:r>
        <w:rPr>
          <w:rFonts w:ascii="Tahoma" w:eastAsia="Tahoma" w:hAnsi="Tahoma"/>
        </w:rPr>
        <w:t>S</w:t>
      </w:r>
      <w:r w:rsidRPr="008016D2">
        <w:rPr>
          <w:rFonts w:ascii="Tahoma" w:eastAsia="Tahoma" w:hAnsi="Tahoma"/>
        </w:rPr>
        <w:t xml:space="preserve">upport </w:t>
      </w:r>
      <w:r>
        <w:rPr>
          <w:rFonts w:ascii="Tahoma" w:eastAsia="Tahoma" w:hAnsi="Tahoma"/>
        </w:rPr>
        <w:t>P</w:t>
      </w:r>
      <w:r w:rsidRPr="008016D2">
        <w:rPr>
          <w:rFonts w:ascii="Tahoma" w:eastAsia="Tahoma" w:hAnsi="Tahoma"/>
        </w:rPr>
        <w:t>ayments</w:t>
      </w:r>
      <w:r>
        <w:rPr>
          <w:rFonts w:ascii="Tahoma" w:eastAsia="Tahoma" w:hAnsi="Tahoma"/>
        </w:rPr>
        <w:t>.</w:t>
      </w:r>
    </w:p>
    <w:p w14:paraId="184EDE93" w14:textId="24D0926D" w:rsidR="00D94A30" w:rsidRDefault="00D94A30" w:rsidP="00D94A30">
      <w:pPr>
        <w:pStyle w:val="Heading4"/>
      </w:pPr>
      <w:bookmarkStart w:id="556" w:name="_Ref202789969"/>
      <w:bookmarkStart w:id="557" w:name="_Toc202900111"/>
      <w:r>
        <w:t>12.4.6</w:t>
      </w:r>
      <w:r>
        <w:tab/>
        <w:t>Re-engagement Requirements</w:t>
      </w:r>
      <w:bookmarkEnd w:id="556"/>
      <w:bookmarkEnd w:id="557"/>
    </w:p>
    <w:p w14:paraId="24BD70C4" w14:textId="21918D5A" w:rsidR="00D94A30" w:rsidRDefault="00D94A30" w:rsidP="00D94A30">
      <w:pPr>
        <w:rPr>
          <w:color w:val="000000" w:themeColor="text1"/>
        </w:rPr>
      </w:pPr>
      <w:bookmarkStart w:id="558" w:name="_Ref202945817"/>
      <w:r>
        <w:t xml:space="preserve">Re-engagement Requirements are set following </w:t>
      </w:r>
      <w:r w:rsidRPr="0DFD7869">
        <w:rPr>
          <w:color w:val="000000" w:themeColor="text1"/>
        </w:rPr>
        <w:t>Mutual Obligation Failures.</w:t>
      </w:r>
      <w:bookmarkEnd w:id="558"/>
      <w:r w:rsidRPr="0DFD7869">
        <w:rPr>
          <w:color w:val="000000" w:themeColor="text1"/>
        </w:rPr>
        <w:t xml:space="preserve"> </w:t>
      </w:r>
    </w:p>
    <w:p w14:paraId="129BCDFF" w14:textId="0E9680BE" w:rsidR="00D94A30" w:rsidRDefault="00D94A30" w:rsidP="00D94A30">
      <w:pPr>
        <w:keepNext/>
        <w:rPr>
          <w:rFonts w:ascii="Tahoma" w:eastAsia="Tahoma" w:hAnsi="Tahoma"/>
        </w:rPr>
      </w:pPr>
      <w:r w:rsidRPr="0DFD7869">
        <w:rPr>
          <w:rFonts w:ascii="Tahoma" w:eastAsia="Tahoma" w:hAnsi="Tahoma"/>
        </w:rPr>
        <w:t>A Re-engagement Requirement is what a Participant must do:</w:t>
      </w:r>
    </w:p>
    <w:p w14:paraId="7E3A6B5A" w14:textId="41082F19" w:rsidR="00D94A30" w:rsidRPr="008011AA" w:rsidRDefault="00D94A30" w:rsidP="004E120D">
      <w:pPr>
        <w:pStyle w:val="BulletLevel1"/>
      </w:pPr>
      <w:r w:rsidRPr="52F0E74A">
        <w:t xml:space="preserve">during </w:t>
      </w:r>
      <w:r>
        <w:t>resolution time</w:t>
      </w:r>
      <w:r w:rsidRPr="52F0E74A">
        <w:t xml:space="preserve">, to prevent their Income Support Payment </w:t>
      </w:r>
      <w:r w:rsidRPr="008011AA">
        <w:t>from being suspended, or</w:t>
      </w:r>
    </w:p>
    <w:p w14:paraId="223552FC" w14:textId="0C50E977" w:rsidR="00D94A30" w:rsidRDefault="00D94A30" w:rsidP="004E120D">
      <w:pPr>
        <w:pStyle w:val="BulletLevel1"/>
      </w:pPr>
      <w:r w:rsidRPr="008011AA">
        <w:t>if the Participant’s Income Support Payment has been suspended, to have</w:t>
      </w:r>
      <w:r w:rsidRPr="52F0E74A">
        <w:t xml:space="preserve"> their Income Support Payment suspension lifted.</w:t>
      </w:r>
    </w:p>
    <w:p w14:paraId="62714978" w14:textId="09FEC6FB" w:rsidR="00D94A30" w:rsidRPr="008011AA" w:rsidRDefault="00D94A30" w:rsidP="006A2AFC">
      <w:pPr>
        <w:keepNext/>
      </w:pPr>
      <w:r w:rsidRPr="0DFD7869">
        <w:rPr>
          <w:rFonts w:ascii="Tahoma" w:eastAsia="Tahoma" w:hAnsi="Tahoma"/>
        </w:rPr>
        <w:t>Re-engagement Requirements are set</w:t>
      </w:r>
      <w:r w:rsidR="00A906FF">
        <w:rPr>
          <w:rFonts w:ascii="Tahoma" w:eastAsia="Tahoma" w:hAnsi="Tahoma"/>
        </w:rPr>
        <w:t xml:space="preserve"> </w:t>
      </w:r>
      <w:r w:rsidRPr="008011AA">
        <w:t>automatically by the Department’s IT Systems, when the Participant has failed to:</w:t>
      </w:r>
    </w:p>
    <w:p w14:paraId="2F1C6F1D" w14:textId="6A684835" w:rsidR="00D94A30" w:rsidRDefault="00D94A30" w:rsidP="004E120D">
      <w:pPr>
        <w:pStyle w:val="BulletLevel2"/>
      </w:pPr>
      <w:r>
        <w:t>complete the number of Job Searches required in their Detailed Job Plan, or</w:t>
      </w:r>
    </w:p>
    <w:p w14:paraId="70DF824D" w14:textId="242AD070" w:rsidR="00D94A30" w:rsidRDefault="00D94A30" w:rsidP="004E120D">
      <w:pPr>
        <w:pStyle w:val="BulletLevel2"/>
      </w:pPr>
      <w:r w:rsidRPr="7751327C">
        <w:t>enter into a Job Plan</w:t>
      </w:r>
      <w:r w:rsidR="00A906FF">
        <w:t>.</w:t>
      </w:r>
    </w:p>
    <w:p w14:paraId="6FFDBDD5" w14:textId="0582FFB1" w:rsidR="00D94A30" w:rsidRDefault="00AD083F" w:rsidP="00D94A30">
      <w:r>
        <w:t>For all other failures,</w:t>
      </w:r>
      <w:r w:rsidR="007D0851">
        <w:t xml:space="preserve"> where the Participant does not have a Valid Reason,</w:t>
      </w:r>
      <w:r>
        <w:t xml:space="preserve"> the Provider will need to set the Re-engagement Requirement. </w:t>
      </w:r>
    </w:p>
    <w:p w14:paraId="746887EA" w14:textId="12552D56" w:rsidR="00D94A30" w:rsidRDefault="00D94A30" w:rsidP="00D94A30">
      <w:r>
        <w:t>Once set, a Re-engagement Requirement is a Mutual Obligation Requirement. This means that, among other things, the Provider must comply with the Deed:</w:t>
      </w:r>
    </w:p>
    <w:p w14:paraId="69331FCE" w14:textId="5C7CE9B6" w:rsidR="00D94A30" w:rsidRPr="008011AA" w:rsidRDefault="00D94A30" w:rsidP="004E120D">
      <w:pPr>
        <w:pStyle w:val="BulletLevel1"/>
      </w:pPr>
      <w:r w:rsidRPr="68799C3B">
        <w:t xml:space="preserve">when recording </w:t>
      </w:r>
      <w:r>
        <w:t>Re-engagement Requirement</w:t>
      </w:r>
      <w:r w:rsidRPr="68799C3B">
        <w:t xml:space="preserve">s in a </w:t>
      </w:r>
      <w:r>
        <w:t>Participant</w:t>
      </w:r>
      <w:r w:rsidRPr="68799C3B">
        <w:t xml:space="preserve">’s </w:t>
      </w:r>
      <w:r w:rsidRPr="008011AA">
        <w:t>Electronic Calendar, and</w:t>
      </w:r>
    </w:p>
    <w:p w14:paraId="69580F27" w14:textId="54CD59C6" w:rsidR="00D94A30" w:rsidRDefault="00D94A30" w:rsidP="004E120D">
      <w:pPr>
        <w:pStyle w:val="BulletLevel1"/>
      </w:pPr>
      <w:r w:rsidRPr="008011AA">
        <w:t>in relation to rescheduling or removing a Re-engagement Requir</w:t>
      </w:r>
      <w:r>
        <w:t>ement</w:t>
      </w:r>
      <w:r w:rsidRPr="68799C3B">
        <w:t xml:space="preserve"> from a </w:t>
      </w:r>
      <w:r>
        <w:t>Participant</w:t>
      </w:r>
      <w:r w:rsidRPr="68799C3B">
        <w:t>’s Electronic Calendar.</w:t>
      </w:r>
    </w:p>
    <w:p w14:paraId="724A4BE4" w14:textId="3389CDDC" w:rsidR="00D94A30" w:rsidRPr="00FA2512" w:rsidRDefault="00D94A30" w:rsidP="00D94A30">
      <w:pPr>
        <w:pStyle w:val="DeedReferences"/>
      </w:pPr>
      <w:r w:rsidRPr="00FA2512">
        <w:t>(</w:t>
      </w:r>
      <w:r w:rsidR="00A73420">
        <w:t xml:space="preserve">Deed Reference(s): Clause </w:t>
      </w:r>
      <w:r w:rsidR="002736B5">
        <w:t>134</w:t>
      </w:r>
      <w:r w:rsidR="00D57A9A">
        <w:t>,</w:t>
      </w:r>
      <w:r w:rsidRPr="00FA2512">
        <w:t xml:space="preserve"> </w:t>
      </w:r>
      <w:r w:rsidR="008351F7">
        <w:t>138</w:t>
      </w:r>
      <w:r w:rsidRPr="00FA2512">
        <w:t>)</w:t>
      </w:r>
    </w:p>
    <w:p w14:paraId="274E6C48" w14:textId="59630EFB" w:rsidR="00D94A30" w:rsidRDefault="00D94A30" w:rsidP="00D94A30">
      <w:pPr>
        <w:rPr>
          <w:rFonts w:eastAsia="Tahoma"/>
        </w:rPr>
      </w:pPr>
      <w:r>
        <w:t xml:space="preserve">After a </w:t>
      </w:r>
      <w:r w:rsidRPr="0DFD7869">
        <w:rPr>
          <w:rFonts w:ascii="Tahoma" w:eastAsia="Tahoma" w:hAnsi="Tahoma"/>
        </w:rPr>
        <w:t>Re-engagement Requirement is set, it may be appropriate in some case</w:t>
      </w:r>
      <w:r w:rsidR="00352F87">
        <w:rPr>
          <w:rFonts w:ascii="Tahoma" w:eastAsia="Tahoma" w:hAnsi="Tahoma"/>
        </w:rPr>
        <w:t>s</w:t>
      </w:r>
      <w:r w:rsidRPr="0DFD7869">
        <w:rPr>
          <w:rFonts w:ascii="Tahoma" w:eastAsia="Tahoma" w:hAnsi="Tahoma"/>
        </w:rPr>
        <w:t xml:space="preserve"> to remove the need for the requirement — that is, the Re-engagement Requirement is no longer required. Recording ‘</w:t>
      </w:r>
      <w:r w:rsidR="00352F87">
        <w:rPr>
          <w:rFonts w:ascii="Tahoma" w:eastAsia="Tahoma" w:hAnsi="Tahoma"/>
        </w:rPr>
        <w:t xml:space="preserve">Compliance Action No Longer Appropriate </w:t>
      </w:r>
      <w:r w:rsidRPr="0DFD7869">
        <w:rPr>
          <w:rFonts w:ascii="Tahoma" w:eastAsia="Tahoma" w:hAnsi="Tahoma"/>
        </w:rPr>
        <w:t>’ will remove the need for the requirement</w:t>
      </w:r>
      <w:r w:rsidR="00765738">
        <w:rPr>
          <w:rFonts w:ascii="Tahoma" w:eastAsia="Tahoma" w:hAnsi="Tahoma"/>
        </w:rPr>
        <w:t xml:space="preserve"> and </w:t>
      </w:r>
      <w:r w:rsidRPr="0DFD7869">
        <w:rPr>
          <w:rFonts w:ascii="Tahoma" w:eastAsia="Tahoma" w:hAnsi="Tahoma"/>
        </w:rPr>
        <w:t>end resolution time</w:t>
      </w:r>
      <w:r w:rsidR="00352F87">
        <w:rPr>
          <w:rFonts w:ascii="Tahoma" w:eastAsia="Tahoma" w:hAnsi="Tahoma"/>
        </w:rPr>
        <w:t xml:space="preserve"> or </w:t>
      </w:r>
      <w:r w:rsidR="00765738">
        <w:rPr>
          <w:rFonts w:ascii="Tahoma" w:eastAsia="Tahoma" w:hAnsi="Tahoma"/>
        </w:rPr>
        <w:t>lift the payment suspension (as relevant)</w:t>
      </w:r>
      <w:r w:rsidRPr="0DFD7869">
        <w:rPr>
          <w:rFonts w:ascii="Tahoma" w:eastAsia="Tahoma" w:hAnsi="Tahoma"/>
        </w:rPr>
        <w:t>.</w:t>
      </w:r>
    </w:p>
    <w:p w14:paraId="069CC2C7" w14:textId="79AC3705" w:rsidR="00D94A30" w:rsidRDefault="00D94A30" w:rsidP="00D94A30">
      <w:r>
        <w:t xml:space="preserve">In instances where </w:t>
      </w:r>
      <w:r w:rsidRPr="00642749">
        <w:t xml:space="preserve">the </w:t>
      </w:r>
      <w:r w:rsidR="007F0DFB">
        <w:t xml:space="preserve">purpose of the </w:t>
      </w:r>
      <w:r w:rsidRPr="00642749">
        <w:t xml:space="preserve">initial </w:t>
      </w:r>
      <w:r w:rsidR="007F0DFB">
        <w:t>Re-engagement R</w:t>
      </w:r>
      <w:r w:rsidRPr="00642749">
        <w:t xml:space="preserve">equirement needs more time to be achieved (for example to discuss Job Search), a new </w:t>
      </w:r>
      <w:r w:rsidRPr="0DFD7869">
        <w:rPr>
          <w:rFonts w:ascii="Tahoma" w:eastAsia="Tahoma" w:hAnsi="Tahoma"/>
        </w:rPr>
        <w:t xml:space="preserve">Re-engagement Requirement </w:t>
      </w:r>
      <w:r w:rsidRPr="00642749">
        <w:t xml:space="preserve">can be </w:t>
      </w:r>
      <w:r w:rsidR="00573FA6">
        <w:t>schedule</w:t>
      </w:r>
      <w:r>
        <w:t>d.</w:t>
      </w:r>
    </w:p>
    <w:p w14:paraId="46E8FDBF" w14:textId="30D27D8B" w:rsidR="00D94A30" w:rsidRDefault="00D94A30" w:rsidP="00D94A30">
      <w:pPr>
        <w:rPr>
          <w:rFonts w:ascii="Tahoma" w:eastAsia="Tahoma" w:hAnsi="Tahoma"/>
        </w:rPr>
      </w:pPr>
      <w:r w:rsidRPr="0DFD7869">
        <w:rPr>
          <w:rFonts w:ascii="Tahoma" w:eastAsia="Tahoma" w:hAnsi="Tahoma"/>
        </w:rPr>
        <w:t>When a Participant commits multiple Mutual Obligation Failures before contact with their Provider to discuss those Mutual Obligation Failures:</w:t>
      </w:r>
    </w:p>
    <w:p w14:paraId="735B5DBA" w14:textId="2CF355A4" w:rsidR="00D94A30" w:rsidRPr="008011AA" w:rsidRDefault="00D94A30" w:rsidP="004E120D">
      <w:pPr>
        <w:pStyle w:val="BulletLevel1"/>
      </w:pPr>
      <w:r w:rsidRPr="008011AA">
        <w:t>only one Re-engagement Requirement can be set, and</w:t>
      </w:r>
    </w:p>
    <w:p w14:paraId="1327A481" w14:textId="7ACB6F2D" w:rsidR="00D94A30" w:rsidRPr="008011AA" w:rsidRDefault="00D94A30" w:rsidP="004E120D">
      <w:pPr>
        <w:pStyle w:val="BulletLevel1"/>
      </w:pPr>
      <w:r w:rsidRPr="008011AA">
        <w:t>the Provider must tell the Participant they only have to meet one Re-engagement Requirement.</w:t>
      </w:r>
    </w:p>
    <w:p w14:paraId="72DEAD1F" w14:textId="49C0DBBC" w:rsidR="00D94A30" w:rsidRDefault="00D94A30" w:rsidP="00D94A30">
      <w:pPr>
        <w:rPr>
          <w:rFonts w:ascii="Tahoma" w:eastAsia="Tahoma" w:hAnsi="Tahoma"/>
        </w:rPr>
      </w:pPr>
      <w:r w:rsidRPr="0DFD7869">
        <w:rPr>
          <w:rFonts w:ascii="Tahoma" w:eastAsia="Tahoma" w:hAnsi="Tahoma"/>
        </w:rPr>
        <w:t>Providers must still create reports for Work Refusal Failures and Unemployment Failures, regardless of the Participant ha</w:t>
      </w:r>
      <w:r w:rsidR="00BE0F04">
        <w:rPr>
          <w:rFonts w:ascii="Tahoma" w:eastAsia="Tahoma" w:hAnsi="Tahoma"/>
        </w:rPr>
        <w:t>ving</w:t>
      </w:r>
      <w:r w:rsidRPr="0DFD7869">
        <w:rPr>
          <w:rFonts w:ascii="Tahoma" w:eastAsia="Tahoma" w:hAnsi="Tahoma"/>
        </w:rPr>
        <w:t xml:space="preserve"> a Re-engagement Requirement set in the Department’s IT Systems.</w:t>
      </w:r>
    </w:p>
    <w:p w14:paraId="63A46A4E" w14:textId="2E07D547" w:rsidR="00D94A30" w:rsidRDefault="00D94A30" w:rsidP="00D94A30">
      <w:pPr>
        <w:rPr>
          <w:rFonts w:ascii="Tahoma" w:eastAsia="Tahoma" w:hAnsi="Tahoma"/>
        </w:rPr>
      </w:pPr>
      <w:r w:rsidRPr="0DFD7869">
        <w:rPr>
          <w:rFonts w:ascii="Tahoma" w:eastAsia="Tahoma" w:hAnsi="Tahoma"/>
        </w:rPr>
        <w:t>See</w:t>
      </w:r>
      <w:r w:rsidRPr="0DFD7869">
        <w:rPr>
          <w:rFonts w:ascii="Tahoma" w:eastAsia="Tahoma" w:hAnsi="Tahoma"/>
          <w:color w:val="000000" w:themeColor="text1"/>
        </w:rPr>
        <w:t xml:space="preserve"> the </w:t>
      </w:r>
      <w:r w:rsidRPr="006A2AFC">
        <w:rPr>
          <w:rStyle w:val="Hyperlink"/>
        </w:rPr>
        <w:t xml:space="preserve">Provider Actions – Demerits and Payment Suspensions </w:t>
      </w:r>
      <w:r w:rsidR="006A2AFC" w:rsidRPr="006A2AFC">
        <w:rPr>
          <w:rStyle w:val="Hyperlink"/>
        </w:rPr>
        <w:t>[LINK]</w:t>
      </w:r>
      <w:r w:rsidR="006A2AFC">
        <w:rPr>
          <w:rFonts w:ascii="Tahoma" w:eastAsia="Tahoma" w:hAnsi="Tahoma" w:cs="Tahoma"/>
          <w:color w:val="000000" w:themeColor="text1"/>
        </w:rPr>
        <w:t xml:space="preserve"> </w:t>
      </w:r>
      <w:r w:rsidRPr="0DFD7869">
        <w:rPr>
          <w:rFonts w:ascii="Tahoma" w:eastAsia="Tahoma" w:hAnsi="Tahoma" w:cs="Tahoma"/>
          <w:color w:val="000000" w:themeColor="text1"/>
        </w:rPr>
        <w:t xml:space="preserve">supporting document </w:t>
      </w:r>
      <w:r>
        <w:t>on the Provider Portal</w:t>
      </w:r>
      <w:r w:rsidRPr="0DFD7869">
        <w:rPr>
          <w:rFonts w:ascii="Tahoma" w:eastAsia="Tahoma" w:hAnsi="Tahoma"/>
          <w:color w:val="000000" w:themeColor="text1"/>
        </w:rPr>
        <w:t xml:space="preserve"> for information on the circumstances in which a Participant’s payment suspension is lifted.</w:t>
      </w:r>
    </w:p>
    <w:p w14:paraId="358F2FD7" w14:textId="6A8EAD3A" w:rsidR="00D94A30" w:rsidRDefault="00D94A30" w:rsidP="00D94A30">
      <w:pPr>
        <w:pStyle w:val="Heading5"/>
      </w:pPr>
      <w:r>
        <w:t>Scheduling</w:t>
      </w:r>
      <w:r w:rsidRPr="52F0E74A">
        <w:t xml:space="preserve"> a </w:t>
      </w:r>
      <w:r>
        <w:t>Re-engagement Requirement</w:t>
      </w:r>
    </w:p>
    <w:p w14:paraId="512B2E76" w14:textId="7CC29350" w:rsidR="00D94A30" w:rsidRDefault="00D94A30" w:rsidP="00D94A30">
      <w:pPr>
        <w:rPr>
          <w:rFonts w:ascii="Tahoma" w:eastAsia="Tahoma" w:hAnsi="Tahoma"/>
        </w:rPr>
      </w:pPr>
      <w:r w:rsidRPr="0DFD7869">
        <w:rPr>
          <w:rFonts w:ascii="Tahoma" w:eastAsia="Tahoma" w:hAnsi="Tahoma"/>
        </w:rPr>
        <w:t>When setting a Re-engagement Requirement, the Provider must follow the prompts in the Department’s IT Systems and notify the Participant of the Re-engagement Requirement.</w:t>
      </w:r>
    </w:p>
    <w:p w14:paraId="2B877313" w14:textId="77777777" w:rsidR="00074F14" w:rsidRDefault="00D94A30" w:rsidP="00D94A30">
      <w:pPr>
        <w:rPr>
          <w:rFonts w:ascii="Tahoma" w:eastAsia="Tahoma" w:hAnsi="Tahoma"/>
        </w:rPr>
      </w:pPr>
      <w:r w:rsidRPr="0DFD7869">
        <w:rPr>
          <w:rFonts w:ascii="Tahoma" w:eastAsia="Tahoma" w:hAnsi="Tahoma"/>
        </w:rPr>
        <w:t>If the Re-engagement Requirement is not automatically set, the Department’s IT Systems will specify the type of Re-engagement Requirement which the Provider must set</w:t>
      </w:r>
      <w:r w:rsidR="00074F14">
        <w:rPr>
          <w:rFonts w:ascii="Tahoma" w:eastAsia="Tahoma" w:hAnsi="Tahoma"/>
        </w:rPr>
        <w:t xml:space="preserve"> </w:t>
      </w:r>
      <w:r w:rsidR="00074F14" w:rsidRPr="009F5117">
        <w:t>for the purposes of complying with their Deed obligation</w:t>
      </w:r>
      <w:r w:rsidR="00074F14">
        <w:t>s.</w:t>
      </w:r>
      <w:r w:rsidRPr="0DFD7869">
        <w:rPr>
          <w:rFonts w:ascii="Tahoma" w:eastAsia="Tahoma" w:hAnsi="Tahoma"/>
        </w:rPr>
        <w:t xml:space="preserve"> </w:t>
      </w:r>
    </w:p>
    <w:p w14:paraId="00A2392A" w14:textId="75AA90F1" w:rsidR="00D94A30" w:rsidRDefault="00D94A30" w:rsidP="00D94A30">
      <w:pPr>
        <w:rPr>
          <w:rFonts w:ascii="Tahoma" w:eastAsia="Tahoma" w:hAnsi="Tahoma"/>
        </w:rPr>
      </w:pPr>
      <w:r w:rsidRPr="0DFD7869">
        <w:rPr>
          <w:rFonts w:ascii="Tahoma" w:eastAsia="Tahoma" w:hAnsi="Tahoma"/>
        </w:rPr>
        <w:t xml:space="preserve">The Re-engagement Requirement must be </w:t>
      </w:r>
      <w:r w:rsidR="00573FA6">
        <w:rPr>
          <w:rFonts w:ascii="Tahoma" w:eastAsia="Tahoma" w:hAnsi="Tahoma"/>
        </w:rPr>
        <w:t>schedule</w:t>
      </w:r>
      <w:r w:rsidRPr="0DFD7869">
        <w:rPr>
          <w:rFonts w:ascii="Tahoma" w:eastAsia="Tahoma" w:hAnsi="Tahoma"/>
        </w:rPr>
        <w:t xml:space="preserve">d to occur within 2 </w:t>
      </w:r>
      <w:r w:rsidR="00490CF8" w:rsidRPr="78907827">
        <w:rPr>
          <w:rFonts w:ascii="Tahoma" w:eastAsia="Tahoma" w:hAnsi="Tahoma"/>
        </w:rPr>
        <w:t>B</w:t>
      </w:r>
      <w:r w:rsidRPr="78907827">
        <w:rPr>
          <w:rFonts w:ascii="Tahoma" w:eastAsia="Tahoma" w:hAnsi="Tahoma"/>
        </w:rPr>
        <w:t xml:space="preserve">usiness </w:t>
      </w:r>
      <w:r w:rsidR="00490CF8" w:rsidRPr="78907827">
        <w:rPr>
          <w:rFonts w:ascii="Tahoma" w:eastAsia="Tahoma" w:hAnsi="Tahoma"/>
        </w:rPr>
        <w:t>D</w:t>
      </w:r>
      <w:r w:rsidRPr="78907827">
        <w:rPr>
          <w:rFonts w:ascii="Tahoma" w:eastAsia="Tahoma" w:hAnsi="Tahoma"/>
        </w:rPr>
        <w:t>ays</w:t>
      </w:r>
      <w:r w:rsidRPr="0DFD7869">
        <w:rPr>
          <w:rFonts w:ascii="Tahoma" w:eastAsia="Tahoma" w:hAnsi="Tahoma"/>
        </w:rPr>
        <w:t xml:space="preserve"> following the day the </w:t>
      </w:r>
      <w:r w:rsidR="00123A8C">
        <w:rPr>
          <w:rFonts w:ascii="Tahoma" w:eastAsia="Tahoma" w:hAnsi="Tahoma"/>
        </w:rPr>
        <w:t>P</w:t>
      </w:r>
      <w:r w:rsidRPr="0DFD7869">
        <w:rPr>
          <w:rFonts w:ascii="Tahoma" w:eastAsia="Tahoma" w:hAnsi="Tahoma"/>
        </w:rPr>
        <w:t>rovider discussed the failure with the participant. The Participant must be notified in advance of the Re-engagement Requirement.</w:t>
      </w:r>
    </w:p>
    <w:p w14:paraId="6A77C0FE" w14:textId="100F26A5" w:rsidR="00D94A30" w:rsidRDefault="00D94A30" w:rsidP="006F727E">
      <w:pPr>
        <w:pStyle w:val="SystemStep"/>
      </w:pPr>
      <w:r>
        <w:t>P</w:t>
      </w:r>
      <w:r w:rsidRPr="005B0772">
        <w:t xml:space="preserve">roviders must </w:t>
      </w:r>
      <w:r>
        <w:t>have</w:t>
      </w:r>
      <w:r w:rsidRPr="005B0772">
        <w:t xml:space="preserve"> the </w:t>
      </w:r>
      <w:r>
        <w:t>available</w:t>
      </w:r>
      <w:r w:rsidRPr="005B0772">
        <w:t xml:space="preserve"> sessions in the </w:t>
      </w:r>
      <w:r>
        <w:t>E</w:t>
      </w:r>
      <w:r w:rsidRPr="005B0772">
        <w:t xml:space="preserve">lectronic </w:t>
      </w:r>
      <w:r>
        <w:t>C</w:t>
      </w:r>
      <w:r w:rsidRPr="005B0772">
        <w:t>alendar</w:t>
      </w:r>
      <w:r w:rsidRPr="00CD2C13">
        <w:t xml:space="preserve"> </w:t>
      </w:r>
      <w:r>
        <w:t>— Re</w:t>
      </w:r>
      <w:r w:rsidR="00C11E04">
        <w:t>-</w:t>
      </w:r>
      <w:r>
        <w:t xml:space="preserve">engagement Appointments or All Appointment Types can be used to </w:t>
      </w:r>
      <w:r w:rsidR="00573FA6">
        <w:t>schedule</w:t>
      </w:r>
      <w:r>
        <w:t xml:space="preserve"> an Appointment for Re-engagement</w:t>
      </w:r>
      <w:r w:rsidRPr="005B0772">
        <w:t>.</w:t>
      </w:r>
    </w:p>
    <w:p w14:paraId="0F33CE15" w14:textId="12D9B7E9" w:rsidR="00D94A30" w:rsidRPr="001E3EC5" w:rsidRDefault="00D94A30" w:rsidP="00D94A30">
      <w:pPr>
        <w:pStyle w:val="DeedReferences"/>
      </w:pPr>
      <w:r>
        <w:t>(</w:t>
      </w:r>
      <w:r w:rsidR="00A73420">
        <w:t xml:space="preserve">Deed Reference(s): Clause </w:t>
      </w:r>
      <w:r>
        <w:t>112.1)</w:t>
      </w:r>
    </w:p>
    <w:p w14:paraId="5175B998" w14:textId="03791BE0" w:rsidR="00D94A30" w:rsidRDefault="00D94A30" w:rsidP="00D94A30">
      <w:pPr>
        <w:rPr>
          <w:rFonts w:ascii="Tahoma" w:eastAsia="Tahoma" w:hAnsi="Tahoma"/>
        </w:rPr>
      </w:pPr>
      <w:r w:rsidRPr="0DFD7869">
        <w:rPr>
          <w:rFonts w:ascii="Tahoma" w:eastAsia="Tahoma" w:hAnsi="Tahoma"/>
        </w:rPr>
        <w:t>Exceptions to this 2 Business Day requirement are:</w:t>
      </w:r>
    </w:p>
    <w:p w14:paraId="2828E0C5" w14:textId="476C8C60" w:rsidR="00D94A30" w:rsidRPr="008011AA" w:rsidRDefault="00D94A30" w:rsidP="004E120D">
      <w:pPr>
        <w:pStyle w:val="BulletLevel1"/>
      </w:pPr>
      <w:r w:rsidRPr="008011AA">
        <w:t>the Participant has a</w:t>
      </w:r>
      <w:r w:rsidR="001122A3">
        <w:t>n</w:t>
      </w:r>
      <w:r w:rsidRPr="008011AA">
        <w:t xml:space="preserve"> </w:t>
      </w:r>
      <w:r w:rsidR="001122A3">
        <w:t>Acceptable</w:t>
      </w:r>
      <w:r w:rsidRPr="008011AA">
        <w:t xml:space="preserve"> Reason for not being able to meet the Re-engagement Requirement within the 2 Business Day timeframe, or</w:t>
      </w:r>
    </w:p>
    <w:p w14:paraId="43439B84" w14:textId="3E05F64F" w:rsidR="00D94A30" w:rsidRPr="008011AA" w:rsidRDefault="00D94A30" w:rsidP="004E120D">
      <w:pPr>
        <w:pStyle w:val="BulletLevel1"/>
      </w:pPr>
      <w:r w:rsidRPr="008011AA">
        <w:t>the Provider is not able to arrange or deliver the Re-engagement Requirement within the 2 Business Day timeframe.</w:t>
      </w:r>
    </w:p>
    <w:p w14:paraId="13B1E867" w14:textId="79A969B3" w:rsidR="00D94A30" w:rsidRPr="005F4FA5" w:rsidRDefault="001122A3" w:rsidP="00D94A30">
      <w:pPr>
        <w:keepNext/>
        <w:rPr>
          <w:rFonts w:ascii="Tahoma" w:eastAsia="Tahoma" w:hAnsi="Tahoma"/>
          <w:u w:val="single"/>
        </w:rPr>
      </w:pPr>
      <w:r>
        <w:rPr>
          <w:u w:val="single"/>
        </w:rPr>
        <w:t>Exception</w:t>
      </w:r>
      <w:r w:rsidR="00D94A30" w:rsidRPr="005F4FA5">
        <w:rPr>
          <w:u w:val="single"/>
        </w:rPr>
        <w:t xml:space="preserve"> 1: </w:t>
      </w:r>
      <w:hyperlink r:id="rId93" w:anchor="_Valid_Reason_to">
        <w:r>
          <w:rPr>
            <w:rStyle w:val="Hyperlink"/>
            <w:rFonts w:ascii="Tahoma" w:eastAsia="Tahoma" w:hAnsi="Tahoma"/>
            <w:color w:val="000000" w:themeColor="text1"/>
          </w:rPr>
          <w:t>Acceptable</w:t>
        </w:r>
        <w:r w:rsidR="00D94A30" w:rsidRPr="0DFD7869">
          <w:rPr>
            <w:rStyle w:val="Hyperlink"/>
            <w:rFonts w:ascii="Tahoma" w:eastAsia="Tahoma" w:hAnsi="Tahoma"/>
            <w:color w:val="000000" w:themeColor="text1"/>
          </w:rPr>
          <w:t xml:space="preserve"> Reason to not meet Re-engagement Requirement within 2 Business Days</w:t>
        </w:r>
      </w:hyperlink>
      <w:r w:rsidR="00D94A30" w:rsidRPr="005F4FA5">
        <w:rPr>
          <w:rFonts w:ascii="Tahoma" w:eastAsia="Tahoma" w:hAnsi="Tahoma"/>
          <w:u w:val="single"/>
        </w:rPr>
        <w:t>.</w:t>
      </w:r>
    </w:p>
    <w:p w14:paraId="2B2D7BE7" w14:textId="16F8DA0E" w:rsidR="00D94A30" w:rsidRDefault="00D94A30" w:rsidP="00D94A30">
      <w:pPr>
        <w:rPr>
          <w:rFonts w:ascii="Tahoma" w:eastAsia="Tahoma" w:hAnsi="Tahoma"/>
        </w:rPr>
      </w:pPr>
      <w:r w:rsidRPr="52F0E74A">
        <w:t xml:space="preserve">When the Provider is in contact with a </w:t>
      </w:r>
      <w:r>
        <w:t>Participant</w:t>
      </w:r>
      <w:r w:rsidRPr="52F0E74A">
        <w:t xml:space="preserve"> to discuss an apparent Mutual Obligation Failure(s)</w:t>
      </w:r>
      <w:r>
        <w:t>,</w:t>
      </w:r>
      <w:r w:rsidRPr="52F0E74A">
        <w:t xml:space="preserve"> </w:t>
      </w:r>
      <w:r>
        <w:t xml:space="preserve">as outlined in </w:t>
      </w:r>
      <w:r w:rsidR="006A2AFC">
        <w:rPr>
          <w:highlight w:val="yellow"/>
        </w:rPr>
        <w:fldChar w:fldCharType="begin"/>
      </w:r>
      <w:r w:rsidR="006A2AFC">
        <w:instrText xml:space="preserve"> REF _Ref202949826 \h </w:instrText>
      </w:r>
      <w:r w:rsidR="006A2AFC">
        <w:rPr>
          <w:highlight w:val="yellow"/>
        </w:rPr>
      </w:r>
      <w:r w:rsidR="006A2AFC">
        <w:rPr>
          <w:highlight w:val="yellow"/>
        </w:rPr>
        <w:fldChar w:fldCharType="separate"/>
      </w:r>
      <w:r w:rsidR="000D75AE">
        <w:t>12.4.2</w:t>
      </w:r>
      <w:r w:rsidR="004572F7">
        <w:t xml:space="preserve"> </w:t>
      </w:r>
      <w:r w:rsidR="000D75AE">
        <w:t>Identifying Mutual Obligation Failures</w:t>
      </w:r>
      <w:r w:rsidR="006A2AFC">
        <w:rPr>
          <w:highlight w:val="yellow"/>
        </w:rPr>
        <w:fldChar w:fldCharType="end"/>
      </w:r>
      <w:r>
        <w:t xml:space="preserve">, </w:t>
      </w:r>
      <w:r w:rsidRPr="52F0E74A">
        <w:t xml:space="preserve">and determines that the </w:t>
      </w:r>
      <w:r>
        <w:t>Participant</w:t>
      </w:r>
      <w:r w:rsidRPr="52F0E74A">
        <w:t xml:space="preserve"> has committed a Mutual Obligation Failure, the Provider must consider </w:t>
      </w:r>
      <w:r w:rsidR="00BE0F04">
        <w:t>if</w:t>
      </w:r>
      <w:r w:rsidRPr="52F0E74A">
        <w:t xml:space="preserve"> the </w:t>
      </w:r>
      <w:r>
        <w:t>Participant</w:t>
      </w:r>
      <w:r w:rsidRPr="52F0E74A">
        <w:t xml:space="preserve"> has a</w:t>
      </w:r>
      <w:r w:rsidR="000C7E54">
        <w:t>n Acceptable</w:t>
      </w:r>
      <w:r w:rsidRPr="52F0E74A">
        <w:t xml:space="preserve"> Reason for being unable to meet their </w:t>
      </w:r>
      <w:r>
        <w:t>Re-engagement Requirement</w:t>
      </w:r>
      <w:r w:rsidRPr="52F0E74A">
        <w:t xml:space="preserve"> within 2</w:t>
      </w:r>
      <w:r>
        <w:t> </w:t>
      </w:r>
      <w:r w:rsidRPr="52F0E74A">
        <w:t xml:space="preserve">Business Days following that contact. </w:t>
      </w:r>
    </w:p>
    <w:p w14:paraId="0AF72783" w14:textId="7CC9DE6E" w:rsidR="00D94A30" w:rsidRDefault="00D94A30" w:rsidP="006F727E">
      <w:pPr>
        <w:pStyle w:val="SystemStep"/>
      </w:pPr>
      <w:r w:rsidRPr="52F0E74A">
        <w:t xml:space="preserve">If the Provider considers that the </w:t>
      </w:r>
      <w:r>
        <w:t>Participant</w:t>
      </w:r>
      <w:r w:rsidRPr="52F0E74A">
        <w:t xml:space="preserve"> has a Valid Reason for being unable to meet their </w:t>
      </w:r>
      <w:r>
        <w:t>Re-engagement Requirement</w:t>
      </w:r>
      <w:r w:rsidRPr="52F0E74A">
        <w:t xml:space="preserve"> within 2 Business Days, the Provider must</w:t>
      </w:r>
      <w:r>
        <w:t xml:space="preserve"> undertake the following steps in the </w:t>
      </w:r>
      <w:r w:rsidRPr="52F0E74A">
        <w:t>Department’s IT Systems</w:t>
      </w:r>
      <w:r>
        <w:t>:</w:t>
      </w:r>
    </w:p>
    <w:p w14:paraId="46B370DB" w14:textId="6FE2B999" w:rsidR="00D94A30" w:rsidRDefault="00D94A30" w:rsidP="004E120D">
      <w:pPr>
        <w:pStyle w:val="BulletLevel2"/>
      </w:pPr>
      <w:r>
        <w:t xml:space="preserve">Step 1: Go to the </w:t>
      </w:r>
      <w:r w:rsidRPr="52F0E74A">
        <w:t xml:space="preserve">Outstanding Non-Compliance </w:t>
      </w:r>
      <w:r w:rsidR="00860866">
        <w:t>screen</w:t>
      </w:r>
      <w:r w:rsidR="000D36A5">
        <w:t>.</w:t>
      </w:r>
    </w:p>
    <w:p w14:paraId="6CFD5819" w14:textId="48EB49B3" w:rsidR="00D94A30" w:rsidRDefault="00D94A30" w:rsidP="004E120D">
      <w:pPr>
        <w:pStyle w:val="BulletLevel2"/>
      </w:pPr>
      <w:r>
        <w:t>Step 2: S</w:t>
      </w:r>
      <w:r w:rsidRPr="52F0E74A">
        <w:t>elect ‘Unable to Re-engage Within 2 Business Days’</w:t>
      </w:r>
      <w:r>
        <w:t xml:space="preserve"> — t</w:t>
      </w:r>
      <w:r w:rsidRPr="52F0E74A">
        <w:t xml:space="preserve">his will prevent or lift suspension of the </w:t>
      </w:r>
      <w:r>
        <w:t>Participant</w:t>
      </w:r>
      <w:r w:rsidRPr="52F0E74A">
        <w:t xml:space="preserve">’s Income Support Payment suspension and remove the need for a </w:t>
      </w:r>
      <w:r>
        <w:t>Re-engagement Requirement.</w:t>
      </w:r>
    </w:p>
    <w:p w14:paraId="4E29AF6B" w14:textId="09194130" w:rsidR="00D94A30" w:rsidRDefault="00D94A30" w:rsidP="004E120D">
      <w:pPr>
        <w:pStyle w:val="BulletLevel2"/>
      </w:pPr>
      <w:r>
        <w:t>Step 3: S</w:t>
      </w:r>
      <w:r w:rsidRPr="6055448A">
        <w:t xml:space="preserve">elect from the drop-down menu a description of the relevant </w:t>
      </w:r>
      <w:r w:rsidR="000C7E54">
        <w:t>Acceptable</w:t>
      </w:r>
      <w:r w:rsidRPr="6055448A">
        <w:t xml:space="preserve"> Reason that is most like the </w:t>
      </w:r>
      <w:r w:rsidR="000C7E54">
        <w:t>reason</w:t>
      </w:r>
      <w:r w:rsidRPr="6055448A">
        <w:t xml:space="preserve"> as described</w:t>
      </w:r>
      <w:r w:rsidR="002E755C">
        <w:t xml:space="preserve"> by the Participant</w:t>
      </w:r>
      <w:r w:rsidRPr="6055448A">
        <w:t xml:space="preserve"> to the Provider —</w:t>
      </w:r>
      <w:r w:rsidRPr="6055448A">
        <w:rPr>
          <w:color w:val="000000" w:themeColor="text1"/>
        </w:rPr>
        <w:t xml:space="preserve"> a full list of these drop-down menu options can be found in the </w:t>
      </w:r>
      <w:r w:rsidRPr="006A2AFC">
        <w:rPr>
          <w:rStyle w:val="Hyperlink"/>
        </w:rPr>
        <w:t xml:space="preserve">Re-engagement reason options </w:t>
      </w:r>
      <w:r w:rsidR="006A2AFC" w:rsidRPr="006A2AFC">
        <w:rPr>
          <w:rStyle w:val="Hyperlink"/>
        </w:rPr>
        <w:t>[LINK]</w:t>
      </w:r>
      <w:r w:rsidR="006A2AFC">
        <w:rPr>
          <w:rFonts w:eastAsiaTheme="minorEastAsia"/>
        </w:rPr>
        <w:t xml:space="preserve"> </w:t>
      </w:r>
      <w:r w:rsidRPr="6055448A">
        <w:rPr>
          <w:rFonts w:eastAsiaTheme="minorEastAsia"/>
        </w:rPr>
        <w:t>supporting document</w:t>
      </w:r>
      <w:r w:rsidRPr="6055448A">
        <w:rPr>
          <w:color w:val="000000" w:themeColor="text1"/>
        </w:rPr>
        <w:t>.</w:t>
      </w:r>
    </w:p>
    <w:p w14:paraId="303B6AEC" w14:textId="19171DB3" w:rsidR="00D94A30" w:rsidRPr="00970FCC" w:rsidRDefault="001122A3" w:rsidP="00D94A30">
      <w:pPr>
        <w:keepNext/>
        <w:rPr>
          <w:u w:val="single"/>
        </w:rPr>
      </w:pPr>
      <w:r>
        <w:rPr>
          <w:u w:val="single"/>
        </w:rPr>
        <w:t>Exception</w:t>
      </w:r>
      <w:r w:rsidR="00D94A30">
        <w:rPr>
          <w:u w:val="single"/>
        </w:rPr>
        <w:t xml:space="preserve"> 2: </w:t>
      </w:r>
      <w:r w:rsidR="00D94A30" w:rsidRPr="00970FCC">
        <w:rPr>
          <w:u w:val="single"/>
        </w:rPr>
        <w:t>Provider not able to arrange or deliver the Re-engagement Requirement within 2</w:t>
      </w:r>
      <w:r w:rsidR="00D94A30">
        <w:rPr>
          <w:u w:val="single"/>
        </w:rPr>
        <w:t> </w:t>
      </w:r>
      <w:r w:rsidR="00D94A30" w:rsidRPr="00970FCC">
        <w:rPr>
          <w:u w:val="single"/>
        </w:rPr>
        <w:t>Business Days</w:t>
      </w:r>
    </w:p>
    <w:p w14:paraId="7281AB69" w14:textId="64FBB4A0" w:rsidR="00D94A30" w:rsidRDefault="00D94A30" w:rsidP="00D94A30">
      <w:pPr>
        <w:rPr>
          <w:rFonts w:ascii="Tahoma" w:eastAsia="Tahoma" w:hAnsi="Tahoma"/>
        </w:rPr>
      </w:pPr>
      <w:r w:rsidRPr="6055448A">
        <w:rPr>
          <w:rFonts w:ascii="Tahoma" w:eastAsia="Tahoma" w:hAnsi="Tahoma"/>
        </w:rPr>
        <w:t>In limited circumstances, a Provider may not be able to arrange or deliver the Re-engagement Requirement within 2 Business Days after the contact between the Participant and the Provider.</w:t>
      </w:r>
    </w:p>
    <w:p w14:paraId="7399C684" w14:textId="2878732F" w:rsidR="00D94A30" w:rsidRDefault="00D94A30" w:rsidP="006F727E">
      <w:pPr>
        <w:pStyle w:val="SystemStep"/>
      </w:pPr>
      <w:r w:rsidRPr="52F0E74A">
        <w:t xml:space="preserve">If the Provider cannot arrange or deliver the </w:t>
      </w:r>
      <w:r>
        <w:t>Re-engagement Requirement</w:t>
      </w:r>
      <w:r w:rsidRPr="52F0E74A">
        <w:t xml:space="preserve"> within 2 Business Days, the Provider must</w:t>
      </w:r>
      <w:r>
        <w:t xml:space="preserve"> undertake the following steps in the </w:t>
      </w:r>
      <w:r w:rsidRPr="52F0E74A">
        <w:t>Department’s IT Systems</w:t>
      </w:r>
      <w:r>
        <w:t>:</w:t>
      </w:r>
    </w:p>
    <w:p w14:paraId="6D619B07" w14:textId="24A14DC4" w:rsidR="00D94A30" w:rsidRDefault="00D94A30" w:rsidP="004E120D">
      <w:pPr>
        <w:pStyle w:val="BulletLevel2"/>
      </w:pPr>
      <w:r>
        <w:t>Step 1: S</w:t>
      </w:r>
      <w:r w:rsidRPr="7751327C">
        <w:t xml:space="preserve">elect ‘Re‑engagement Not Required’ on the Outstanding Non-Compliance </w:t>
      </w:r>
      <w:r w:rsidR="00860866">
        <w:t>screen</w:t>
      </w:r>
      <w:r w:rsidRPr="7751327C">
        <w:t xml:space="preserve"> — this will prevent or lift suspension of the Participant’s Income Support Payment suspension and remove the need for a Re-engagement Requirement</w:t>
      </w:r>
      <w:r>
        <w:t>.</w:t>
      </w:r>
    </w:p>
    <w:p w14:paraId="54855D18" w14:textId="51DCAF1B" w:rsidR="00D94A30" w:rsidRDefault="00D94A30" w:rsidP="004E120D">
      <w:pPr>
        <w:pStyle w:val="BulletLevel2"/>
      </w:pPr>
      <w:r>
        <w:t>Step 2: S</w:t>
      </w:r>
      <w:r w:rsidRPr="6055448A">
        <w:t xml:space="preserve">elect from the drop-down menu a description of the relevant reason that is most like the actual reason </w:t>
      </w:r>
      <w:r>
        <w:t xml:space="preserve">as to why the requirement could not be arranged or delivered </w:t>
      </w:r>
      <w:r w:rsidRPr="6055448A">
        <w:t>— a</w:t>
      </w:r>
      <w:r w:rsidRPr="6055448A">
        <w:rPr>
          <w:color w:val="000000" w:themeColor="text1"/>
        </w:rPr>
        <w:t xml:space="preserve"> full list of these drop-down menu options can be found in the </w:t>
      </w:r>
      <w:r w:rsidR="006A2AFC" w:rsidRPr="006A2AFC">
        <w:rPr>
          <w:rStyle w:val="Hyperlink"/>
        </w:rPr>
        <w:t>Re-engagement reason options [LINK]</w:t>
      </w:r>
      <w:r w:rsidR="006A2AFC">
        <w:rPr>
          <w:rFonts w:eastAsiaTheme="minorEastAsia"/>
        </w:rPr>
        <w:t xml:space="preserve"> s</w:t>
      </w:r>
      <w:r w:rsidRPr="6055448A">
        <w:rPr>
          <w:rFonts w:eastAsiaTheme="minorEastAsia"/>
        </w:rPr>
        <w:t>upporting document</w:t>
      </w:r>
      <w:r w:rsidRPr="6055448A">
        <w:rPr>
          <w:color w:val="000000" w:themeColor="text1"/>
        </w:rPr>
        <w:t>.</w:t>
      </w:r>
    </w:p>
    <w:p w14:paraId="1B513DCF" w14:textId="449DB26C" w:rsidR="00D94A30" w:rsidRDefault="00C90ABE" w:rsidP="00D94A30">
      <w:pPr>
        <w:pStyle w:val="Heading5"/>
      </w:pPr>
      <w:r>
        <w:t>Re-engagement Requirement</w:t>
      </w:r>
      <w:r w:rsidR="001D1CB6">
        <w:t xml:space="preserve"> </w:t>
      </w:r>
      <w:r w:rsidR="00207083">
        <w:t xml:space="preserve">is </w:t>
      </w:r>
      <w:r w:rsidR="001D1CB6">
        <w:t>no</w:t>
      </w:r>
      <w:r w:rsidR="00D94A30" w:rsidRPr="6055448A">
        <w:t xml:space="preserve"> longer appropriate</w:t>
      </w:r>
      <w:r w:rsidR="00D017BA">
        <w:t xml:space="preserve"> or required</w:t>
      </w:r>
    </w:p>
    <w:p w14:paraId="16BCEABE" w14:textId="3AF8430A" w:rsidR="00D94A30" w:rsidRDefault="00D94A30" w:rsidP="00D94A30">
      <w:pPr>
        <w:rPr>
          <w:rFonts w:ascii="Tahoma" w:eastAsia="Tahoma" w:hAnsi="Tahoma"/>
        </w:rPr>
      </w:pPr>
      <w:r w:rsidRPr="5DD2C18A">
        <w:rPr>
          <w:rFonts w:ascii="Tahoma" w:eastAsia="Tahoma" w:hAnsi="Tahoma"/>
        </w:rPr>
        <w:t>Once a Participant’s Re-engagement Requirement has been set, unexpected circumstances may make it inappropriate to expect the</w:t>
      </w:r>
      <w:r>
        <w:rPr>
          <w:rFonts w:ascii="Tahoma" w:eastAsia="Tahoma" w:hAnsi="Tahoma"/>
        </w:rPr>
        <w:t xml:space="preserve"> Participant</w:t>
      </w:r>
      <w:r w:rsidRPr="5DD2C18A">
        <w:rPr>
          <w:rFonts w:ascii="Tahoma" w:eastAsia="Tahoma" w:hAnsi="Tahoma"/>
        </w:rPr>
        <w:t xml:space="preserve"> to meet </w:t>
      </w:r>
      <w:r>
        <w:rPr>
          <w:rFonts w:ascii="Tahoma" w:eastAsia="Tahoma" w:hAnsi="Tahoma"/>
        </w:rPr>
        <w:t>the requirement</w:t>
      </w:r>
      <w:r w:rsidR="00207083">
        <w:rPr>
          <w:rFonts w:ascii="Tahoma" w:eastAsia="Tahoma" w:hAnsi="Tahoma"/>
        </w:rPr>
        <w:t>, have their payment suspended</w:t>
      </w:r>
      <w:r w:rsidRPr="5DD2C18A">
        <w:rPr>
          <w:rFonts w:ascii="Tahoma" w:eastAsia="Tahoma" w:hAnsi="Tahoma"/>
        </w:rPr>
        <w:t xml:space="preserve"> and/or </w:t>
      </w:r>
      <w:r>
        <w:rPr>
          <w:rFonts w:ascii="Tahoma" w:eastAsia="Tahoma" w:hAnsi="Tahoma"/>
        </w:rPr>
        <w:t>have</w:t>
      </w:r>
      <w:r w:rsidRPr="5DD2C18A">
        <w:rPr>
          <w:rFonts w:ascii="Tahoma" w:eastAsia="Tahoma" w:hAnsi="Tahoma"/>
        </w:rPr>
        <w:t xml:space="preserve"> their payment suspension</w:t>
      </w:r>
      <w:r>
        <w:rPr>
          <w:rFonts w:ascii="Tahoma" w:eastAsia="Tahoma" w:hAnsi="Tahoma"/>
        </w:rPr>
        <w:t xml:space="preserve"> continue.</w:t>
      </w:r>
    </w:p>
    <w:p w14:paraId="68864BDE" w14:textId="5D5736D5" w:rsidR="00D94A30" w:rsidRPr="00A73457" w:rsidRDefault="00D94A30" w:rsidP="006F727E">
      <w:pPr>
        <w:pStyle w:val="SystemStep"/>
      </w:pPr>
      <w:r w:rsidRPr="7751327C">
        <w:t xml:space="preserve">If it is no longer </w:t>
      </w:r>
      <w:bookmarkStart w:id="559" w:name="_Int_pB0MLUWk"/>
      <w:r w:rsidRPr="7751327C">
        <w:t>appropriate to</w:t>
      </w:r>
      <w:bookmarkEnd w:id="559"/>
      <w:r w:rsidRPr="7751327C">
        <w:t xml:space="preserve"> undertake compliance action, the Provider must undertake the following steps in the Department’s IT Systems:</w:t>
      </w:r>
    </w:p>
    <w:p w14:paraId="0319837B" w14:textId="04E19525" w:rsidR="00D94A30" w:rsidRDefault="00D94A30" w:rsidP="004E120D">
      <w:pPr>
        <w:pStyle w:val="BulletLevel2"/>
        <w:rPr>
          <w:color w:val="000000" w:themeColor="text1"/>
        </w:rPr>
      </w:pPr>
      <w:r>
        <w:t>Step 1: S</w:t>
      </w:r>
      <w:r w:rsidRPr="52F0E74A">
        <w:t xml:space="preserve">elect ‘Compliance </w:t>
      </w:r>
      <w:r w:rsidRPr="52F0E74A">
        <w:rPr>
          <w:color w:val="000000" w:themeColor="text1"/>
        </w:rPr>
        <w:t>action</w:t>
      </w:r>
      <w:r w:rsidRPr="52F0E74A">
        <w:t xml:space="preserve"> no longer appropriate’ on the Outstanding Non-Compliance </w:t>
      </w:r>
      <w:r w:rsidR="00860866">
        <w:t>screen</w:t>
      </w:r>
      <w:r>
        <w:t xml:space="preserve"> — t</w:t>
      </w:r>
      <w:r w:rsidRPr="52F0E74A">
        <w:t xml:space="preserve">his will prevent or lift suspension of the </w:t>
      </w:r>
      <w:r>
        <w:t>Participant</w:t>
      </w:r>
      <w:r w:rsidRPr="52F0E74A">
        <w:t>’s Income Support</w:t>
      </w:r>
    </w:p>
    <w:p w14:paraId="04D5B485" w14:textId="47D5157F" w:rsidR="00D94A30" w:rsidRDefault="00D94A30" w:rsidP="004E120D">
      <w:pPr>
        <w:pStyle w:val="BulletLevel2"/>
        <w:rPr>
          <w:rFonts w:eastAsiaTheme="minorEastAsia"/>
          <w:color w:val="000000" w:themeColor="text1"/>
        </w:rPr>
      </w:pPr>
      <w:r>
        <w:t>Step 2: S</w:t>
      </w:r>
      <w:r w:rsidRPr="6055448A">
        <w:t xml:space="preserve">elect from the </w:t>
      </w:r>
      <w:r w:rsidRPr="6055448A">
        <w:rPr>
          <w:rFonts w:eastAsiaTheme="minorEastAsia"/>
          <w:color w:val="000000" w:themeColor="text1"/>
        </w:rPr>
        <w:t>drop</w:t>
      </w:r>
      <w:r w:rsidRPr="6055448A">
        <w:t xml:space="preserve">-down menu a description of the relevant reason that is most like the actual reason — </w:t>
      </w:r>
      <w:r w:rsidRPr="6055448A">
        <w:rPr>
          <w:color w:val="000000" w:themeColor="text1"/>
        </w:rPr>
        <w:t xml:space="preserve">a full list of these drop-down menu options can be found in the </w:t>
      </w:r>
      <w:r w:rsidRPr="006A2AFC">
        <w:rPr>
          <w:rStyle w:val="Hyperlink"/>
        </w:rPr>
        <w:t>Re</w:t>
      </w:r>
      <w:r w:rsidR="006A2AFC" w:rsidRPr="006A2AFC">
        <w:rPr>
          <w:rStyle w:val="Hyperlink"/>
        </w:rPr>
        <w:noBreakHyphen/>
      </w:r>
      <w:r w:rsidRPr="006A2AFC">
        <w:rPr>
          <w:rStyle w:val="Hyperlink"/>
        </w:rPr>
        <w:t xml:space="preserve">engagement reason options </w:t>
      </w:r>
      <w:r w:rsidR="006A2AFC" w:rsidRPr="006A2AFC">
        <w:rPr>
          <w:rStyle w:val="Hyperlink"/>
        </w:rPr>
        <w:t>[LINK]</w:t>
      </w:r>
      <w:r w:rsidR="006A2AFC">
        <w:rPr>
          <w:rFonts w:eastAsiaTheme="minorEastAsia"/>
        </w:rPr>
        <w:t xml:space="preserve"> </w:t>
      </w:r>
      <w:r w:rsidRPr="6055448A">
        <w:rPr>
          <w:rFonts w:eastAsiaTheme="minorEastAsia"/>
        </w:rPr>
        <w:t>supporting document</w:t>
      </w:r>
      <w:r w:rsidRPr="6055448A">
        <w:rPr>
          <w:color w:val="000000" w:themeColor="text1"/>
        </w:rPr>
        <w:t>.</w:t>
      </w:r>
    </w:p>
    <w:p w14:paraId="1C207930" w14:textId="420C410C" w:rsidR="00D017BA" w:rsidRDefault="003170FF" w:rsidP="00D94A30">
      <w:pPr>
        <w:rPr>
          <w:rFonts w:ascii="Tahoma" w:eastAsia="Tahoma" w:hAnsi="Tahoma"/>
        </w:rPr>
      </w:pPr>
      <w:r>
        <w:rPr>
          <w:rFonts w:ascii="Tahoma" w:eastAsia="Tahoma" w:hAnsi="Tahoma"/>
        </w:rPr>
        <w:t xml:space="preserve">Where the Provider finalises attendance-based non-compliance prior to the end of resolution time, </w:t>
      </w:r>
      <w:r w:rsidR="00752F46">
        <w:rPr>
          <w:rFonts w:ascii="Tahoma" w:eastAsia="Tahoma" w:hAnsi="Tahoma"/>
        </w:rPr>
        <w:t>and are satisfied that a Re-engagement Requirement is not necessary</w:t>
      </w:r>
      <w:r w:rsidR="0092272B">
        <w:rPr>
          <w:rFonts w:ascii="Tahoma" w:eastAsia="Tahoma" w:hAnsi="Tahoma"/>
        </w:rPr>
        <w:t xml:space="preserve">, the Provider can end the </w:t>
      </w:r>
      <w:r w:rsidR="00786C9A">
        <w:rPr>
          <w:rFonts w:ascii="Tahoma" w:eastAsia="Tahoma" w:hAnsi="Tahoma"/>
        </w:rPr>
        <w:t>need for the Participant to have a Re-engagement Requirement booked.</w:t>
      </w:r>
    </w:p>
    <w:p w14:paraId="28DFA4D7" w14:textId="31279C79" w:rsidR="00D94A30" w:rsidRPr="005E1339" w:rsidRDefault="00D94A30" w:rsidP="006F727E">
      <w:pPr>
        <w:pStyle w:val="SystemStep"/>
      </w:pPr>
      <w:r>
        <w:t>If the Re-engagement Requirement is no longer required, t</w:t>
      </w:r>
      <w:r w:rsidRPr="005E1339">
        <w:t>he Provider must record ‘Re</w:t>
      </w:r>
      <w:r>
        <w:noBreakHyphen/>
      </w:r>
      <w:r w:rsidRPr="005E1339">
        <w:t>engagement Not Required – non-compliance discussed’ in the Department’s IT Systems</w:t>
      </w:r>
      <w:r>
        <w:t xml:space="preserve"> —</w:t>
      </w:r>
      <w:r w:rsidRPr="005E1339">
        <w:t xml:space="preserve"> this will end the need for the </w:t>
      </w:r>
      <w:r>
        <w:t>Participant</w:t>
      </w:r>
      <w:r w:rsidRPr="005E1339">
        <w:t xml:space="preserve"> to have a separate </w:t>
      </w:r>
      <w:r>
        <w:t>R</w:t>
      </w:r>
      <w:r w:rsidRPr="005E1339">
        <w:t>e</w:t>
      </w:r>
      <w:r>
        <w:noBreakHyphen/>
      </w:r>
      <w:r w:rsidRPr="005E1339">
        <w:t xml:space="preserve">engagement </w:t>
      </w:r>
      <w:r>
        <w:t>R</w:t>
      </w:r>
      <w:r w:rsidRPr="005E1339">
        <w:t xml:space="preserve">equirement booked and end </w:t>
      </w:r>
      <w:r w:rsidR="008323E2">
        <w:t>r</w:t>
      </w:r>
      <w:r>
        <w:t>esolution time</w:t>
      </w:r>
      <w:r w:rsidRPr="005E1339">
        <w:t>.</w:t>
      </w:r>
    </w:p>
    <w:p w14:paraId="26C39127" w14:textId="6E4BCAAF" w:rsidR="00D94A30" w:rsidRDefault="00D94A30" w:rsidP="00D94A30">
      <w:pPr>
        <w:rPr>
          <w:rFonts w:ascii="Tahoma" w:eastAsia="Tahoma" w:hAnsi="Tahoma"/>
          <w:color w:val="000000" w:themeColor="text1"/>
        </w:rPr>
      </w:pPr>
      <w:r w:rsidRPr="00726547">
        <w:rPr>
          <w:rFonts w:ascii="Tahoma" w:eastAsia="Tahoma" w:hAnsi="Tahoma"/>
          <w:b/>
          <w:bCs/>
          <w:color w:val="000000" w:themeColor="text1"/>
        </w:rPr>
        <w:t>Note:</w:t>
      </w:r>
      <w:r>
        <w:rPr>
          <w:rFonts w:ascii="Tahoma" w:eastAsia="Tahoma" w:hAnsi="Tahoma"/>
          <w:color w:val="000000" w:themeColor="text1"/>
        </w:rPr>
        <w:t xml:space="preserve"> </w:t>
      </w:r>
      <w:r w:rsidRPr="5DD2C18A">
        <w:rPr>
          <w:rFonts w:ascii="Tahoma" w:eastAsia="Tahoma" w:hAnsi="Tahoma"/>
          <w:color w:val="000000" w:themeColor="text1"/>
        </w:rPr>
        <w:t>Re-engagement Requirements are always required following Mutual Obligation Failures for:</w:t>
      </w:r>
    </w:p>
    <w:p w14:paraId="37A45A7A" w14:textId="252AE78F" w:rsidR="00D94A30" w:rsidRPr="008011AA" w:rsidRDefault="00D94A30" w:rsidP="004E120D">
      <w:pPr>
        <w:pStyle w:val="BulletLevel1"/>
      </w:pPr>
      <w:r w:rsidRPr="008011AA">
        <w:t>Initial Interviews</w:t>
      </w:r>
    </w:p>
    <w:p w14:paraId="372FB939" w14:textId="0FDDEB38" w:rsidR="00D94A30" w:rsidRPr="008011AA" w:rsidRDefault="00D94A30" w:rsidP="004E120D">
      <w:pPr>
        <w:pStyle w:val="BulletLevel1"/>
      </w:pPr>
      <w:r w:rsidRPr="008011AA">
        <w:t>Job Plans, or</w:t>
      </w:r>
    </w:p>
    <w:p w14:paraId="3CE19906" w14:textId="69F5013A" w:rsidR="00D94A30" w:rsidRPr="008011AA" w:rsidRDefault="00D94A30" w:rsidP="004E120D">
      <w:pPr>
        <w:pStyle w:val="BulletLevel1"/>
      </w:pPr>
      <w:r w:rsidRPr="008011AA">
        <w:t xml:space="preserve">when the Participant </w:t>
      </w:r>
      <w:r w:rsidR="00E32FB5">
        <w:t>has</w:t>
      </w:r>
      <w:r w:rsidRPr="008011AA">
        <w:t xml:space="preserve"> a</w:t>
      </w:r>
      <w:r w:rsidR="00E32FB5">
        <w:t xml:space="preserve"> requirement to attend either a</w:t>
      </w:r>
      <w:r w:rsidRPr="008011AA">
        <w:t xml:space="preserve"> Capability Interview or Capability Assessment.</w:t>
      </w:r>
    </w:p>
    <w:p w14:paraId="35B84270" w14:textId="107ED07F" w:rsidR="00D94A30" w:rsidRDefault="00D94A30" w:rsidP="00D94A30">
      <w:pPr>
        <w:pStyle w:val="Heading5"/>
        <w:rPr>
          <w:rFonts w:ascii="Tahoma" w:eastAsia="Tahoma" w:hAnsi="Tahoma"/>
          <w:b/>
          <w:bCs w:val="0"/>
          <w:sz w:val="22"/>
          <w:szCs w:val="22"/>
        </w:rPr>
      </w:pPr>
      <w:r w:rsidRPr="52F0E74A">
        <w:t xml:space="preserve">Failure to meet a </w:t>
      </w:r>
      <w:r>
        <w:t>Re-engagement Requirement</w:t>
      </w:r>
    </w:p>
    <w:p w14:paraId="78D9928F" w14:textId="690DA066" w:rsidR="00D94A30" w:rsidRDefault="00D94A30" w:rsidP="00D94A30">
      <w:r>
        <w:t xml:space="preserve">If the Provider becomes aware that a Participant has failed to meet a Re-engagement Requirement, the </w:t>
      </w:r>
      <w:r w:rsidRPr="5DD2C18A">
        <w:rPr>
          <w:rFonts w:ascii="Tahoma" w:eastAsia="Tahoma" w:hAnsi="Tahoma"/>
        </w:rPr>
        <w:t>Provider</w:t>
      </w:r>
      <w:r>
        <w:t xml:space="preserve"> must try to contact the Participant on the same Business Day. </w:t>
      </w:r>
    </w:p>
    <w:p w14:paraId="4DD869EA" w14:textId="63D1FB57" w:rsidR="00D94A30" w:rsidRDefault="00D94A30" w:rsidP="00D94A30">
      <w:pPr>
        <w:rPr>
          <w:rFonts w:ascii="Tahoma" w:eastAsia="Tahoma" w:hAnsi="Tahoma"/>
        </w:rPr>
      </w:pPr>
      <w:r w:rsidRPr="6055448A">
        <w:rPr>
          <w:rFonts w:eastAsiaTheme="minorEastAsia"/>
          <w:color w:val="000000" w:themeColor="text1"/>
          <w:u w:val="single"/>
        </w:rPr>
        <w:t>If the Provider is able to contact the Participant</w:t>
      </w:r>
      <w:r w:rsidRPr="6055448A">
        <w:rPr>
          <w:rFonts w:eastAsiaTheme="minorEastAsia"/>
          <w:color w:val="000000" w:themeColor="text1"/>
        </w:rPr>
        <w:t>, the Provider must discuss the Participant’s reasons for not meeting the Re-engagement Requirement and assess if they had a Valid Reason</w:t>
      </w:r>
      <w:r w:rsidRPr="6055448A">
        <w:rPr>
          <w:rFonts w:ascii="Tahoma" w:eastAsia="Tahoma" w:hAnsi="Tahoma"/>
        </w:rPr>
        <w:t xml:space="preserve"> for being unable to meet their Re-engagement Requirement</w:t>
      </w:r>
      <w:r w:rsidRPr="6055448A">
        <w:rPr>
          <w:rFonts w:eastAsiaTheme="minorEastAsia"/>
          <w:color w:val="000000" w:themeColor="text1"/>
        </w:rPr>
        <w:t xml:space="preserve">, following the processes </w:t>
      </w:r>
      <w:r w:rsidRPr="6055448A">
        <w:rPr>
          <w:rFonts w:ascii="Tahoma" w:eastAsia="Tahoma" w:hAnsi="Tahoma"/>
        </w:rPr>
        <w:t>outlined in</w:t>
      </w:r>
      <w:r w:rsidR="006A2AFC">
        <w:rPr>
          <w:rFonts w:ascii="Tahoma" w:eastAsia="Tahoma" w:hAnsi="Tahoma"/>
        </w:rPr>
        <w:t xml:space="preserve"> </w:t>
      </w:r>
      <w:r w:rsidR="006A2AFC">
        <w:rPr>
          <w:rFonts w:ascii="Tahoma" w:eastAsia="Tahoma" w:hAnsi="Tahoma"/>
          <w:highlight w:val="yellow"/>
        </w:rPr>
        <w:fldChar w:fldCharType="begin"/>
      </w:r>
      <w:r w:rsidR="006A2AFC">
        <w:rPr>
          <w:rFonts w:ascii="Tahoma" w:eastAsia="Tahoma" w:hAnsi="Tahoma"/>
        </w:rPr>
        <w:instrText xml:space="preserve"> REF _Ref202949915 \h </w:instrText>
      </w:r>
      <w:r w:rsidR="006A2AFC">
        <w:rPr>
          <w:rFonts w:ascii="Tahoma" w:eastAsia="Tahoma" w:hAnsi="Tahoma"/>
          <w:highlight w:val="yellow"/>
        </w:rPr>
      </w:r>
      <w:r w:rsidR="006A2AFC">
        <w:rPr>
          <w:rFonts w:ascii="Tahoma" w:eastAsia="Tahoma" w:hAnsi="Tahoma"/>
          <w:highlight w:val="yellow"/>
        </w:rPr>
        <w:fldChar w:fldCharType="separate"/>
      </w:r>
      <w:r w:rsidR="000D75AE">
        <w:t>12.4.2</w:t>
      </w:r>
      <w:r w:rsidR="004572F7">
        <w:t xml:space="preserve"> </w:t>
      </w:r>
      <w:r w:rsidR="000D75AE">
        <w:t>Identifying Mutual Obligation Failures</w:t>
      </w:r>
      <w:r w:rsidR="006A2AFC">
        <w:rPr>
          <w:rFonts w:ascii="Tahoma" w:eastAsia="Tahoma" w:hAnsi="Tahoma"/>
          <w:highlight w:val="yellow"/>
        </w:rPr>
        <w:fldChar w:fldCharType="end"/>
      </w:r>
      <w:r w:rsidRPr="6055448A">
        <w:rPr>
          <w:rFonts w:ascii="Tahoma" w:eastAsia="Tahoma" w:hAnsi="Tahoma"/>
        </w:rPr>
        <w:t>.</w:t>
      </w:r>
    </w:p>
    <w:p w14:paraId="02641A7E" w14:textId="47027B75" w:rsidR="00D94A30" w:rsidRDefault="00D94A30" w:rsidP="006F727E">
      <w:pPr>
        <w:pStyle w:val="SystemStep"/>
      </w:pPr>
      <w:r w:rsidRPr="52F0E74A">
        <w:t xml:space="preserve">If the </w:t>
      </w:r>
      <w:r>
        <w:t>Participant</w:t>
      </w:r>
      <w:r w:rsidRPr="52F0E74A">
        <w:t xml:space="preserve"> had a Valid Reason, the Provider must select ‘Did Not Attend–Valid’ in relation to the </w:t>
      </w:r>
      <w:r>
        <w:t>Re-engagement Requirement</w:t>
      </w:r>
      <w:r w:rsidRPr="52F0E74A">
        <w:t xml:space="preserve"> in the </w:t>
      </w:r>
      <w:r>
        <w:t>Participant</w:t>
      </w:r>
      <w:r w:rsidRPr="52F0E74A">
        <w:t>’s Electronic Calendar.</w:t>
      </w:r>
    </w:p>
    <w:p w14:paraId="5558F723" w14:textId="70863D51" w:rsidR="00D94A30" w:rsidRPr="006A5443" w:rsidRDefault="00D94A30" w:rsidP="00D94A30">
      <w:r w:rsidRPr="00AA1AA8">
        <w:t>I</w:t>
      </w:r>
      <w:r>
        <w:t>n the case where a</w:t>
      </w:r>
      <w:r w:rsidRPr="00AA1AA8">
        <w:t xml:space="preserve"> Participant ha</w:t>
      </w:r>
      <w:r>
        <w:t>s</w:t>
      </w:r>
      <w:r w:rsidRPr="00AA1AA8">
        <w:t xml:space="preserve"> a Valid Reason,</w:t>
      </w:r>
      <w:r>
        <w:t xml:space="preserve"> recording the result ‘</w:t>
      </w:r>
      <w:r w:rsidRPr="52F0E74A">
        <w:t>Did Not Attend–Valid’</w:t>
      </w:r>
      <w:r>
        <w:t xml:space="preserve"> will </w:t>
      </w:r>
      <w:r w:rsidRPr="006A5443">
        <w:t>lift any suspension of the Participant’s Income Support Payment</w:t>
      </w:r>
      <w:r>
        <w:t>. However</w:t>
      </w:r>
      <w:r w:rsidRPr="006A5443">
        <w:t xml:space="preserve">, the Provider must set a </w:t>
      </w:r>
      <w:r>
        <w:t xml:space="preserve">new </w:t>
      </w:r>
      <w:r w:rsidRPr="006A5443">
        <w:t>Mutual Obligation Requirement for the Participant:</w:t>
      </w:r>
    </w:p>
    <w:p w14:paraId="510DEFBB" w14:textId="080938EB" w:rsidR="00D94A30" w:rsidRDefault="00D94A30" w:rsidP="004E120D">
      <w:pPr>
        <w:pStyle w:val="BulletLevel1"/>
        <w:numPr>
          <w:ilvl w:val="0"/>
          <w:numId w:val="0"/>
        </w:numPr>
      </w:pPr>
      <w:r>
        <w:t>T</w:t>
      </w:r>
      <w:r w:rsidRPr="006A5443">
        <w:t>o occur within 2 Business Days after the day on which the Provider determines that the Participant has a Valid Reason for not meeting the Re-engagement Requirement</w:t>
      </w:r>
      <w:r>
        <w:t>.</w:t>
      </w:r>
    </w:p>
    <w:p w14:paraId="1EB2A6A3" w14:textId="2BD69AEA" w:rsidR="00D94A30" w:rsidRDefault="00D94A30" w:rsidP="004E120D">
      <w:pPr>
        <w:pStyle w:val="BulletLevel1"/>
        <w:numPr>
          <w:ilvl w:val="0"/>
          <w:numId w:val="0"/>
        </w:numPr>
      </w:pPr>
      <w:r>
        <w:t>T</w:t>
      </w:r>
      <w:r w:rsidRPr="006A5443">
        <w:t>hat is the same type as the Mutual Obligation Requirement the Participant failed to meet</w:t>
      </w:r>
      <w:r>
        <w:t xml:space="preserve"> originally.</w:t>
      </w:r>
    </w:p>
    <w:p w14:paraId="46AF7C8D" w14:textId="618BD11C" w:rsidR="00D94A30" w:rsidRPr="008F1372" w:rsidRDefault="00D94A30" w:rsidP="006F727E">
      <w:pPr>
        <w:pStyle w:val="SystemStep"/>
        <w:rPr>
          <w:rFonts w:ascii="Tahoma" w:eastAsia="Tahoma" w:hAnsi="Tahoma"/>
        </w:rPr>
      </w:pPr>
      <w:r w:rsidRPr="52F0E74A">
        <w:t xml:space="preserve">If the </w:t>
      </w:r>
      <w:r>
        <w:t>Participant</w:t>
      </w:r>
      <w:r w:rsidRPr="52F0E74A">
        <w:t xml:space="preserve"> did not have a Valid Reason, the Provider must select ‘Did Not Attend—Invalid’ in relation to the </w:t>
      </w:r>
      <w:r>
        <w:t>Re-engagement Requirement</w:t>
      </w:r>
      <w:r w:rsidRPr="52F0E74A">
        <w:t xml:space="preserve"> in the </w:t>
      </w:r>
      <w:r>
        <w:t>Participant</w:t>
      </w:r>
      <w:r w:rsidRPr="52F0E74A">
        <w:t xml:space="preserve">’s Electronic Calendar. </w:t>
      </w:r>
    </w:p>
    <w:p w14:paraId="554A160C" w14:textId="21ACF287" w:rsidR="00D94A30" w:rsidRDefault="00D94A30" w:rsidP="00D94A30">
      <w:pPr>
        <w:rPr>
          <w:rFonts w:ascii="Tahoma" w:eastAsia="Tahoma" w:hAnsi="Tahoma"/>
        </w:rPr>
      </w:pPr>
      <w:r>
        <w:t xml:space="preserve">In the case where a </w:t>
      </w:r>
      <w:r w:rsidRPr="00AA1AA8">
        <w:t xml:space="preserve">Participant </w:t>
      </w:r>
      <w:r>
        <w:t xml:space="preserve">did not </w:t>
      </w:r>
      <w:r w:rsidRPr="00AA1AA8">
        <w:t>ha</w:t>
      </w:r>
      <w:r>
        <w:t>ve</w:t>
      </w:r>
      <w:r w:rsidRPr="00AA1AA8">
        <w:t xml:space="preserve"> a Valid Reason</w:t>
      </w:r>
      <w:r>
        <w:t>:</w:t>
      </w:r>
    </w:p>
    <w:p w14:paraId="163CA89F" w14:textId="447B62C2" w:rsidR="00D94A30" w:rsidRPr="006B5133" w:rsidRDefault="00D94A30" w:rsidP="006B5133">
      <w:pPr>
        <w:pStyle w:val="BulletLevel1"/>
      </w:pPr>
      <w:r w:rsidRPr="68799C3B">
        <w:t xml:space="preserve">if the </w:t>
      </w:r>
      <w:r w:rsidRPr="006B5133">
        <w:t xml:space="preserve">Participant’s Income Support Payment is not yet suspended, it will be suspended if the Participant does not meet another Re-engagement Requirement </w:t>
      </w:r>
      <w:r w:rsidR="00080061">
        <w:t xml:space="preserve">before the original </w:t>
      </w:r>
      <w:r w:rsidR="00C84F6E">
        <w:t>5</w:t>
      </w:r>
      <w:r w:rsidRPr="006B5133">
        <w:t xml:space="preserve"> Business Days </w:t>
      </w:r>
      <w:r w:rsidR="00C84F6E">
        <w:t xml:space="preserve">resolution </w:t>
      </w:r>
      <w:r w:rsidR="00080061">
        <w:t>time expires</w:t>
      </w:r>
      <w:r w:rsidRPr="006B5133">
        <w:t>, or</w:t>
      </w:r>
    </w:p>
    <w:p w14:paraId="301DA292" w14:textId="7EF36BD7" w:rsidR="00D94A30" w:rsidRDefault="00D94A30" w:rsidP="006B5133">
      <w:pPr>
        <w:pStyle w:val="BulletLevel1"/>
      </w:pPr>
      <w:r w:rsidRPr="006B5133">
        <w:t>if the Participant’s</w:t>
      </w:r>
      <w:r w:rsidRPr="68799C3B">
        <w:t xml:space="preserve"> Income Support Payment is suspended, the payment will remain suspended, and the Provider must </w:t>
      </w:r>
      <w:r w:rsidR="009E7689">
        <w:t>book a new</w:t>
      </w:r>
      <w:r w:rsidRPr="68799C3B">
        <w:t xml:space="preserve"> </w:t>
      </w:r>
      <w:r>
        <w:t>Re-engagement Requirement</w:t>
      </w:r>
      <w:r w:rsidRPr="68799C3B">
        <w:t>.</w:t>
      </w:r>
    </w:p>
    <w:p w14:paraId="7BF28776" w14:textId="2A560316" w:rsidR="00D94A30" w:rsidRDefault="00D94A30" w:rsidP="00D94A30">
      <w:r w:rsidRPr="00CD2E0C">
        <w:rPr>
          <w:u w:val="single"/>
        </w:rPr>
        <w:t xml:space="preserve">If the Provider cannot contact the </w:t>
      </w:r>
      <w:r>
        <w:rPr>
          <w:u w:val="single"/>
        </w:rPr>
        <w:t>Participant</w:t>
      </w:r>
      <w:r w:rsidRPr="00CD2E0C">
        <w:rPr>
          <w:u w:val="single"/>
        </w:rPr>
        <w:t>,</w:t>
      </w:r>
      <w:r w:rsidRPr="52F0E74A">
        <w:t xml:space="preserve"> the Provider </w:t>
      </w:r>
      <w:r w:rsidRPr="5DD2C18A">
        <w:rPr>
          <w:rFonts w:ascii="Tahoma" w:eastAsia="Tahoma" w:hAnsi="Tahoma"/>
        </w:rPr>
        <w:t xml:space="preserve">must </w:t>
      </w:r>
      <w:r>
        <w:rPr>
          <w:rFonts w:ascii="Tahoma" w:eastAsia="Tahoma" w:hAnsi="Tahoma"/>
        </w:rPr>
        <w:t xml:space="preserve">record that they are not in contact with the Participant and </w:t>
      </w:r>
      <w:r>
        <w:t>report that the Participant has failed to meet the requirement.</w:t>
      </w:r>
    </w:p>
    <w:p w14:paraId="2243C490" w14:textId="146C1FF9" w:rsidR="00D94A30" w:rsidRDefault="00D94A30" w:rsidP="006F727E">
      <w:pPr>
        <w:pStyle w:val="SystemStep"/>
      </w:pPr>
      <w:r>
        <w:t>The Provider must</w:t>
      </w:r>
      <w:r w:rsidRPr="52F0E74A">
        <w:t xml:space="preserve"> select ‘Did Not Attend—Invalid’ in relation to the </w:t>
      </w:r>
      <w:r>
        <w:t>Re-engagement Requirement</w:t>
      </w:r>
      <w:r w:rsidRPr="52F0E74A">
        <w:t xml:space="preserve"> in the </w:t>
      </w:r>
      <w:r>
        <w:t>Participant</w:t>
      </w:r>
      <w:r w:rsidRPr="52F0E74A">
        <w:t>’s Electronic Calendar.</w:t>
      </w:r>
    </w:p>
    <w:p w14:paraId="1CD8842F" w14:textId="48D9CAEE" w:rsidR="00D94A30" w:rsidRDefault="00D94A30" w:rsidP="00D94A30">
      <w:pPr>
        <w:rPr>
          <w:color w:val="000000" w:themeColor="text1"/>
        </w:rPr>
      </w:pPr>
      <w:r w:rsidRPr="52F0E74A">
        <w:t>In this case:</w:t>
      </w:r>
    </w:p>
    <w:p w14:paraId="3953B792" w14:textId="389AC2CC" w:rsidR="00D94A30" w:rsidRPr="000C42EA" w:rsidRDefault="00D94A30" w:rsidP="000C42EA">
      <w:pPr>
        <w:pStyle w:val="BulletLevel1"/>
      </w:pPr>
      <w:r w:rsidRPr="52F0E74A">
        <w:t xml:space="preserve">if the </w:t>
      </w:r>
      <w:r w:rsidRPr="000C42EA">
        <w:t xml:space="preserve">Participant’s Income Support Payment is not yet suspended, it will be suspended when the 5 Business Days </w:t>
      </w:r>
      <w:r w:rsidR="008323E2">
        <w:t>r</w:t>
      </w:r>
      <w:r w:rsidRPr="000C42EA">
        <w:t>esolution time following the original failure expires, or</w:t>
      </w:r>
    </w:p>
    <w:p w14:paraId="5BB6343A" w14:textId="2E4587D2" w:rsidR="00D94A30" w:rsidRDefault="00D94A30" w:rsidP="000C42EA">
      <w:pPr>
        <w:pStyle w:val="BulletLevel1"/>
      </w:pPr>
      <w:r w:rsidRPr="000C42EA">
        <w:t>if the Participant’s</w:t>
      </w:r>
      <w:r w:rsidRPr="52F0E74A">
        <w:t xml:space="preserve"> Income Support Payment is suspended, the payment will remain suspended until the </w:t>
      </w:r>
      <w:r>
        <w:t>Re-engagement Requirement</w:t>
      </w:r>
      <w:r w:rsidRPr="52F0E74A">
        <w:t xml:space="preserve"> is met.</w:t>
      </w:r>
    </w:p>
    <w:p w14:paraId="77FE8D41" w14:textId="29FB787F" w:rsidR="00D94A30" w:rsidRDefault="00D94A30" w:rsidP="00D94A30">
      <w:pPr>
        <w:pStyle w:val="Heading4"/>
      </w:pPr>
      <w:bookmarkStart w:id="560" w:name="_Ref202782980"/>
      <w:bookmarkStart w:id="561" w:name="_Toc202900112"/>
      <w:r>
        <w:t>12.4.7</w:t>
      </w:r>
      <w:r w:rsidR="00267E84">
        <w:tab/>
      </w:r>
      <w:r>
        <w:t>Capability Interviews</w:t>
      </w:r>
      <w:bookmarkEnd w:id="560"/>
      <w:bookmarkEnd w:id="561"/>
    </w:p>
    <w:p w14:paraId="2E68032C" w14:textId="5B40F764" w:rsidR="000C42EA" w:rsidRDefault="000C42EA" w:rsidP="00D94A30">
      <w:pPr>
        <w:rPr>
          <w:rFonts w:ascii="Tahoma" w:eastAsia="Tahoma" w:hAnsi="Tahoma"/>
        </w:rPr>
      </w:pPr>
      <w:r>
        <w:rPr>
          <w:rFonts w:ascii="Tahoma" w:eastAsia="Tahoma" w:hAnsi="Tahoma"/>
        </w:rPr>
        <w:t>A Capability Interview is the Re-engagement Requirement when a Participant has 3 confirmed Demerits or a fast-track failure.</w:t>
      </w:r>
    </w:p>
    <w:p w14:paraId="7B7DDDF0" w14:textId="043FD0BC" w:rsidR="00D94A30" w:rsidRDefault="00D94A30" w:rsidP="00D94A30">
      <w:pPr>
        <w:rPr>
          <w:rFonts w:ascii="Tahoma" w:eastAsia="Tahoma" w:hAnsi="Tahoma"/>
        </w:rPr>
      </w:pPr>
      <w:r w:rsidRPr="5DD2C18A">
        <w:rPr>
          <w:rFonts w:ascii="Tahoma" w:eastAsia="Tahoma" w:hAnsi="Tahoma"/>
        </w:rPr>
        <w:t xml:space="preserve">The purpose of the Capability Interview is to determine </w:t>
      </w:r>
      <w:r w:rsidR="00BE0F04">
        <w:rPr>
          <w:rFonts w:ascii="Tahoma" w:eastAsia="Tahoma" w:hAnsi="Tahoma"/>
        </w:rPr>
        <w:t>if</w:t>
      </w:r>
      <w:r w:rsidRPr="5DD2C18A">
        <w:rPr>
          <w:rFonts w:ascii="Tahoma" w:eastAsia="Tahoma" w:hAnsi="Tahoma"/>
        </w:rPr>
        <w:t>:</w:t>
      </w:r>
    </w:p>
    <w:p w14:paraId="26B82C9C" w14:textId="422A9AA9" w:rsidR="00D94A30" w:rsidRPr="008011AA" w:rsidRDefault="00D94A30" w:rsidP="004E120D">
      <w:pPr>
        <w:pStyle w:val="BulletLevel1"/>
      </w:pPr>
      <w:r w:rsidRPr="008011AA">
        <w:t>the requirements in the Participant’s Job Plan are appropriate for their circumstances, and</w:t>
      </w:r>
    </w:p>
    <w:p w14:paraId="02943039" w14:textId="23F65F82" w:rsidR="00D94A30" w:rsidRPr="008011AA" w:rsidRDefault="00D94A30" w:rsidP="004E120D">
      <w:pPr>
        <w:pStyle w:val="BulletLevel1"/>
      </w:pPr>
      <w:r w:rsidRPr="008011AA">
        <w:t>the participant can meet the requirements.</w:t>
      </w:r>
    </w:p>
    <w:p w14:paraId="0A0A9C21" w14:textId="4EB26C9E" w:rsidR="00D94A30" w:rsidRDefault="00D94A30" w:rsidP="00D94A30">
      <w:pPr>
        <w:keepNext/>
        <w:rPr>
          <w:rFonts w:ascii="Tahoma" w:eastAsia="Tahoma" w:hAnsi="Tahoma"/>
        </w:rPr>
      </w:pPr>
      <w:r w:rsidRPr="0DFD7869">
        <w:rPr>
          <w:rFonts w:ascii="Tahoma" w:eastAsia="Tahoma" w:hAnsi="Tahoma"/>
        </w:rPr>
        <w:t>Mutual Obligation Requirements are suitable if:</w:t>
      </w:r>
    </w:p>
    <w:p w14:paraId="541451EA" w14:textId="6F7A9B64" w:rsidR="00D94A30" w:rsidRPr="008011AA" w:rsidRDefault="00D94A30" w:rsidP="004E120D">
      <w:pPr>
        <w:pStyle w:val="BulletLevel1"/>
      </w:pPr>
      <w:r w:rsidRPr="008011AA">
        <w:t xml:space="preserve">they are appropriate to the Participant’s circumstances, and </w:t>
      </w:r>
    </w:p>
    <w:p w14:paraId="2A976A1F" w14:textId="0F42BC6E" w:rsidR="00D94A30" w:rsidRPr="008011AA" w:rsidRDefault="00D94A30" w:rsidP="004E120D">
      <w:pPr>
        <w:pStyle w:val="BulletLevel1"/>
      </w:pPr>
      <w:r w:rsidRPr="008011AA">
        <w:t xml:space="preserve">the Participant can meet them. </w:t>
      </w:r>
    </w:p>
    <w:p w14:paraId="0DCEF5F1" w14:textId="420188B1" w:rsidR="00D94A30" w:rsidRDefault="00D94A30" w:rsidP="003068C9">
      <w:r w:rsidRPr="5DD2C18A">
        <w:t>The Department’s IT Systems will determine the outcome of the Capability Interview based on the information that the Provider records in the Department’s IT Systems in relation to the Capability Interview.</w:t>
      </w:r>
    </w:p>
    <w:p w14:paraId="0917E2E6" w14:textId="1BD9D9BE" w:rsidR="00D94A30" w:rsidRDefault="003068C9" w:rsidP="003068C9">
      <w:r w:rsidRPr="003068C9">
        <w:rPr>
          <w:rFonts w:ascii="Tahoma" w:eastAsia="Tahoma" w:hAnsi="Tahoma"/>
          <w:u w:val="single"/>
        </w:rPr>
        <w:t>If the</w:t>
      </w:r>
      <w:r w:rsidR="00D94A30" w:rsidRPr="003068C9">
        <w:rPr>
          <w:rFonts w:ascii="Tahoma" w:eastAsia="Tahoma" w:hAnsi="Tahoma"/>
          <w:u w:val="single"/>
        </w:rPr>
        <w:t xml:space="preserve"> outcome of the </w:t>
      </w:r>
      <w:r w:rsidR="00D94A30" w:rsidRPr="003068C9">
        <w:rPr>
          <w:u w:val="single"/>
        </w:rPr>
        <w:t xml:space="preserve">Capability Interview </w:t>
      </w:r>
      <w:r w:rsidRPr="003068C9">
        <w:rPr>
          <w:u w:val="single"/>
        </w:rPr>
        <w:t>is that the Participant was not capable</w:t>
      </w:r>
      <w:r>
        <w:t xml:space="preserve"> of meeting their requirements, the </w:t>
      </w:r>
      <w:r w:rsidR="00D94A30" w:rsidRPr="0DFD7869">
        <w:rPr>
          <w:rFonts w:ascii="Tahoma" w:eastAsia="Tahoma" w:hAnsi="Tahoma"/>
        </w:rPr>
        <w:t>Participant will</w:t>
      </w:r>
      <w:r>
        <w:rPr>
          <w:rFonts w:ascii="Tahoma" w:eastAsia="Tahoma" w:hAnsi="Tahoma"/>
        </w:rPr>
        <w:t xml:space="preserve"> </w:t>
      </w:r>
      <w:r w:rsidR="00D94A30" w:rsidRPr="52F0E74A">
        <w:t xml:space="preserve">return to the Green Zone with their </w:t>
      </w:r>
      <w:r w:rsidR="00D94A30">
        <w:t>Demerit</w:t>
      </w:r>
      <w:r w:rsidR="00D94A30" w:rsidRPr="52F0E74A">
        <w:t>s reset to zero</w:t>
      </w:r>
      <w:r w:rsidR="00924F57">
        <w:t>.</w:t>
      </w:r>
      <w:r w:rsidR="00D23A54" w:rsidRPr="00D23A54">
        <w:t xml:space="preserve"> </w:t>
      </w:r>
      <w:r w:rsidR="00D23A54">
        <w:t>T</w:t>
      </w:r>
      <w:r w:rsidR="00D23A54" w:rsidRPr="68799C3B">
        <w:t xml:space="preserve">he Provider must review the </w:t>
      </w:r>
      <w:r w:rsidR="00D23A54">
        <w:t>Participant</w:t>
      </w:r>
      <w:r w:rsidR="00D23A54" w:rsidRPr="68799C3B">
        <w:t xml:space="preserve">’s requirements and adjust the </w:t>
      </w:r>
      <w:r w:rsidR="00D23A54">
        <w:t>Participant</w:t>
      </w:r>
      <w:r w:rsidR="00D23A54" w:rsidRPr="68799C3B">
        <w:t xml:space="preserve">’s </w:t>
      </w:r>
      <w:r w:rsidR="00D23A54">
        <w:t>J</w:t>
      </w:r>
      <w:r w:rsidR="00D23A54" w:rsidRPr="68799C3B">
        <w:t>ob Plan so that it includes only suitable requirements</w:t>
      </w:r>
      <w:r w:rsidR="00A6436E">
        <w:t>.</w:t>
      </w:r>
    </w:p>
    <w:p w14:paraId="420F8434" w14:textId="5A43D7A1" w:rsidR="003068C9" w:rsidRDefault="003068C9" w:rsidP="003068C9">
      <w:r w:rsidRPr="003068C9">
        <w:rPr>
          <w:rFonts w:ascii="Tahoma" w:eastAsia="Tahoma" w:hAnsi="Tahoma"/>
          <w:u w:val="single"/>
        </w:rPr>
        <w:t xml:space="preserve">If the outcome of the </w:t>
      </w:r>
      <w:r w:rsidRPr="003068C9">
        <w:rPr>
          <w:u w:val="single"/>
        </w:rPr>
        <w:t>Capability Interview is that the Participant was capable</w:t>
      </w:r>
      <w:r>
        <w:t xml:space="preserve"> of meeting their requirements, the </w:t>
      </w:r>
      <w:r w:rsidRPr="0DFD7869">
        <w:rPr>
          <w:rFonts w:ascii="Tahoma" w:eastAsia="Tahoma" w:hAnsi="Tahoma"/>
        </w:rPr>
        <w:t>Participant will</w:t>
      </w:r>
      <w:r w:rsidRPr="003068C9">
        <w:t xml:space="preserve"> </w:t>
      </w:r>
      <w:r w:rsidRPr="008011AA">
        <w:t xml:space="preserve">continue in the Warning Zone </w:t>
      </w:r>
      <w:r w:rsidR="00E170CE">
        <w:t>with their Demerit count unchanged.</w:t>
      </w:r>
    </w:p>
    <w:p w14:paraId="5D5D6CD8" w14:textId="2D322BD1" w:rsidR="00D94A30" w:rsidRDefault="00D94A30" w:rsidP="00D94A30">
      <w:r w:rsidRPr="005A3DAC">
        <w:t xml:space="preserve">Providers must still comply with their obligations relating to Work Refusal Failures and Unemployment Failures, regardless of </w:t>
      </w:r>
      <w:r w:rsidR="00BE0F04">
        <w:t>if</w:t>
      </w:r>
      <w:r w:rsidRPr="005A3DAC">
        <w:t xml:space="preserve"> </w:t>
      </w:r>
      <w:r w:rsidR="00A6436E">
        <w:t xml:space="preserve">the Participant </w:t>
      </w:r>
      <w:r>
        <w:t>has an outstanding</w:t>
      </w:r>
      <w:r w:rsidRPr="005A3DAC">
        <w:t xml:space="preserve"> Capability </w:t>
      </w:r>
      <w:r>
        <w:t>Interview</w:t>
      </w:r>
      <w:r w:rsidRPr="005A3DAC">
        <w:t xml:space="preserve"> in the Department’s IT Systems</w:t>
      </w:r>
      <w:r>
        <w:t>.</w:t>
      </w:r>
    </w:p>
    <w:p w14:paraId="642584DD" w14:textId="0418BEA3" w:rsidR="00D94A30" w:rsidRDefault="00D94A30" w:rsidP="00D94A30">
      <w:pPr>
        <w:pStyle w:val="Heading5"/>
      </w:pPr>
      <w:r>
        <w:t>When a Capability Interview is triggered</w:t>
      </w:r>
    </w:p>
    <w:p w14:paraId="0E670FCB" w14:textId="347C8AC1" w:rsidR="00D94A30" w:rsidRDefault="00D94A30" w:rsidP="00D94A30">
      <w:pPr>
        <w:rPr>
          <w:rFonts w:ascii="Tahoma" w:eastAsia="Tahoma" w:hAnsi="Tahoma"/>
        </w:rPr>
      </w:pPr>
      <w:r>
        <w:rPr>
          <w:rFonts w:ascii="Tahoma" w:eastAsia="Tahoma" w:hAnsi="Tahoma"/>
        </w:rPr>
        <w:t xml:space="preserve">The </w:t>
      </w:r>
      <w:r w:rsidRPr="5DD2C18A">
        <w:rPr>
          <w:rFonts w:ascii="Tahoma" w:eastAsia="Tahoma" w:hAnsi="Tahoma"/>
        </w:rPr>
        <w:t>Department’s IT Systems</w:t>
      </w:r>
      <w:r>
        <w:rPr>
          <w:rFonts w:ascii="Tahoma" w:eastAsia="Tahoma" w:hAnsi="Tahoma"/>
        </w:rPr>
        <w:t xml:space="preserve"> will identify that a Participant’s Re-engagement Requirement is a </w:t>
      </w:r>
      <w:r w:rsidRPr="5DD2C18A">
        <w:rPr>
          <w:rFonts w:ascii="Tahoma" w:eastAsia="Tahoma" w:hAnsi="Tahoma"/>
        </w:rPr>
        <w:t>Capability Interview</w:t>
      </w:r>
      <w:r>
        <w:rPr>
          <w:rFonts w:ascii="Tahoma" w:eastAsia="Tahoma" w:hAnsi="Tahoma"/>
        </w:rPr>
        <w:t xml:space="preserve"> when:</w:t>
      </w:r>
    </w:p>
    <w:p w14:paraId="22D59BBD" w14:textId="30316CFB" w:rsidR="00D94A30" w:rsidRPr="00A6436E" w:rsidRDefault="00D94A30" w:rsidP="00A6436E">
      <w:pPr>
        <w:pStyle w:val="BulletLevel1"/>
      </w:pPr>
      <w:r>
        <w:t>they have</w:t>
      </w:r>
      <w:r w:rsidRPr="0024181D">
        <w:t xml:space="preserve"> </w:t>
      </w:r>
      <w:r w:rsidRPr="00A6436E">
        <w:t xml:space="preserve">reached 3 </w:t>
      </w:r>
      <w:r w:rsidR="13D20510" w:rsidRPr="00A6436E">
        <w:t>D</w:t>
      </w:r>
      <w:r w:rsidR="36075853" w:rsidRPr="00A6436E">
        <w:t>emerits</w:t>
      </w:r>
      <w:r w:rsidRPr="00A6436E">
        <w:t xml:space="preserve"> (including through a ‘fast-track’ failure), and </w:t>
      </w:r>
    </w:p>
    <w:p w14:paraId="77C475F4" w14:textId="23053458" w:rsidR="00D94A30" w:rsidRDefault="00D94A30" w:rsidP="00A6436E">
      <w:pPr>
        <w:pStyle w:val="BulletLevel1"/>
      </w:pPr>
      <w:r w:rsidRPr="00A6436E">
        <w:t>they have n</w:t>
      </w:r>
      <w:r w:rsidRPr="0024181D">
        <w:t>ot had a Capability Interview in the last 60 days that found their requirements suitable</w:t>
      </w:r>
      <w:r>
        <w:t>.</w:t>
      </w:r>
    </w:p>
    <w:p w14:paraId="46EDF8BE" w14:textId="28138CBE" w:rsidR="00D94A30" w:rsidRDefault="00D94A30" w:rsidP="00D94A30">
      <w:r w:rsidRPr="5DD2C18A">
        <w:rPr>
          <w:rFonts w:ascii="Tahoma" w:eastAsia="Tahoma" w:hAnsi="Tahoma"/>
        </w:rPr>
        <w:t xml:space="preserve">In these circumstances, a Capability Interview is said to be ‘triggered’, and </w:t>
      </w:r>
      <w:r>
        <w:t>the Department’s IT Systems will list the Capability Interview as ‘outstanding’.</w:t>
      </w:r>
    </w:p>
    <w:p w14:paraId="326C6877" w14:textId="48C45FE9" w:rsidR="00D94A30" w:rsidRDefault="00D94A30" w:rsidP="00D94A30">
      <w:r>
        <w:t xml:space="preserve">The </w:t>
      </w:r>
      <w:r w:rsidRPr="00FC20C2">
        <w:t>Department’s IT Systems will identify that a Capability Interview is ‘outstanding’ until it is finalised.</w:t>
      </w:r>
    </w:p>
    <w:p w14:paraId="03F07619" w14:textId="552E0AF3" w:rsidR="00D94A30" w:rsidRDefault="00D94A30" w:rsidP="00D94A30">
      <w:pPr>
        <w:rPr>
          <w:rFonts w:ascii="Tahoma" w:eastAsia="Tahoma" w:hAnsi="Tahoma"/>
        </w:rPr>
      </w:pPr>
      <w:r>
        <w:rPr>
          <w:rFonts w:ascii="Tahoma" w:eastAsia="Tahoma" w:hAnsi="Tahoma"/>
        </w:rPr>
        <w:t>While the Capability Interview is outstanding</w:t>
      </w:r>
      <w:r w:rsidR="00D1741F">
        <w:rPr>
          <w:rFonts w:ascii="Tahoma" w:eastAsia="Tahoma" w:hAnsi="Tahoma"/>
        </w:rPr>
        <w:t xml:space="preserve"> </w:t>
      </w:r>
      <w:r w:rsidR="00D1741F" w:rsidRPr="008011AA">
        <w:t>the</w:t>
      </w:r>
      <w:r w:rsidR="00D1741F">
        <w:t xml:space="preserve"> Participant cannot accrue further Demerits and the Participant’s Job Plan cannot be updated.</w:t>
      </w:r>
    </w:p>
    <w:p w14:paraId="17DB8C52" w14:textId="3E1FD3E5" w:rsidR="00D94A30" w:rsidRDefault="00D94A30" w:rsidP="006F727E">
      <w:pPr>
        <w:pStyle w:val="SystemStep"/>
        <w:rPr>
          <w:rFonts w:ascii="Tahoma" w:eastAsia="Tahoma" w:hAnsi="Tahoma"/>
        </w:rPr>
      </w:pPr>
      <w:r w:rsidRPr="52F0E74A">
        <w:t xml:space="preserve">The Capability Interview will be finalised when the Provider selects ‘submit’ in the Department’s IT Systems after completing the pre-interview check and recording all the relevant information during the Capability Interview (as </w:t>
      </w:r>
      <w:r>
        <w:t>outlined</w:t>
      </w:r>
      <w:r w:rsidRPr="52F0E74A">
        <w:t xml:space="preserve"> </w:t>
      </w:r>
      <w:r>
        <w:t xml:space="preserve">in </w:t>
      </w:r>
      <w:r w:rsidRPr="0DFD7869">
        <w:rPr>
          <w:rFonts w:ascii="Tahoma" w:eastAsia="Tahoma" w:hAnsi="Tahoma"/>
        </w:rPr>
        <w:t xml:space="preserve">the </w:t>
      </w:r>
      <w:r w:rsidRPr="006A2AFC">
        <w:rPr>
          <w:rStyle w:val="Hyperlink"/>
        </w:rPr>
        <w:t xml:space="preserve">Provider Actions – Conducting a Capability Interview </w:t>
      </w:r>
      <w:r w:rsidR="006A2AFC" w:rsidRPr="006A2AFC">
        <w:rPr>
          <w:rStyle w:val="Hyperlink"/>
        </w:rPr>
        <w:t>[LINK]</w:t>
      </w:r>
      <w:r w:rsidR="006A2AFC">
        <w:t xml:space="preserve"> </w:t>
      </w:r>
      <w:r>
        <w:t>supporting document on the Provider Portal</w:t>
      </w:r>
      <w:r w:rsidRPr="52F0E74A">
        <w:t>).</w:t>
      </w:r>
    </w:p>
    <w:p w14:paraId="5CA2D298" w14:textId="426BA6C6" w:rsidR="00D94A30" w:rsidRDefault="00D94A30" w:rsidP="00D94A30">
      <w:pPr>
        <w:pStyle w:val="Heading5"/>
        <w:rPr>
          <w:sz w:val="22"/>
          <w:szCs w:val="22"/>
        </w:rPr>
      </w:pPr>
      <w:r>
        <w:t>Scheduling a Capability Interview</w:t>
      </w:r>
    </w:p>
    <w:p w14:paraId="6D7602E2" w14:textId="54A5A979" w:rsidR="00D94A30" w:rsidRDefault="00D94A30" w:rsidP="00D94A30">
      <w:r>
        <w:t xml:space="preserve">The Provider must </w:t>
      </w:r>
      <w:r w:rsidR="00573FA6">
        <w:t>schedule</w:t>
      </w:r>
      <w:r>
        <w:t xml:space="preserve"> the Capability Interview to occur within 2 Business Days after the Participant accrues the relevant Demerit.</w:t>
      </w:r>
    </w:p>
    <w:p w14:paraId="635986FE" w14:textId="00451F8D" w:rsidR="00D94A30" w:rsidRDefault="00D94A30" w:rsidP="00D94A30">
      <w:pPr>
        <w:keepNext/>
        <w:tabs>
          <w:tab w:val="left" w:pos="3584"/>
        </w:tabs>
      </w:pPr>
      <w:r>
        <w:t>Exceptions to delivery of the Capability Interview</w:t>
      </w:r>
      <w:r w:rsidRPr="5DD2C18A">
        <w:rPr>
          <w:rFonts w:ascii="Tahoma" w:eastAsia="Tahoma" w:hAnsi="Tahoma"/>
        </w:rPr>
        <w:t xml:space="preserve"> within 2 Business Days</w:t>
      </w:r>
      <w:r>
        <w:t xml:space="preserve"> are:</w:t>
      </w:r>
    </w:p>
    <w:p w14:paraId="7C9CB7E1" w14:textId="57C2895D" w:rsidR="00D94A30" w:rsidRPr="008011AA" w:rsidRDefault="00D94A30" w:rsidP="004E120D">
      <w:pPr>
        <w:pStyle w:val="BulletLevel1"/>
      </w:pPr>
      <w:r w:rsidRPr="7751327C">
        <w:t>the Participant has a</w:t>
      </w:r>
      <w:r>
        <w:t xml:space="preserve">n Acceptable Reason </w:t>
      </w:r>
      <w:r w:rsidRPr="7751327C">
        <w:t xml:space="preserve">for not being able to </w:t>
      </w:r>
      <w:r>
        <w:t xml:space="preserve">attend the Capability Interview </w:t>
      </w:r>
      <w:r w:rsidRPr="7751327C">
        <w:t xml:space="preserve">within </w:t>
      </w:r>
      <w:r w:rsidRPr="008011AA">
        <w:t>the 2 Business Day timeframe,</w:t>
      </w:r>
    </w:p>
    <w:p w14:paraId="23472B60" w14:textId="662D6E59" w:rsidR="00D94A30" w:rsidRPr="008011AA" w:rsidRDefault="00D94A30" w:rsidP="004E120D">
      <w:pPr>
        <w:pStyle w:val="BulletLevel1"/>
      </w:pPr>
      <w:r w:rsidRPr="008011AA">
        <w:t xml:space="preserve">when operating hours of </w:t>
      </w:r>
      <w:r w:rsidR="00B47B6C">
        <w:t>P</w:t>
      </w:r>
      <w:r>
        <w:t>art-</w:t>
      </w:r>
      <w:r w:rsidR="00B47B6C">
        <w:t>T</w:t>
      </w:r>
      <w:r>
        <w:t>ime</w:t>
      </w:r>
      <w:r w:rsidRPr="008011AA">
        <w:t xml:space="preserve"> or </w:t>
      </w:r>
      <w:r w:rsidR="00114F65">
        <w:t>O</w:t>
      </w:r>
      <w:r>
        <w:t>utreach</w:t>
      </w:r>
      <w:r w:rsidRPr="008011AA">
        <w:t xml:space="preserve"> Sites prevents delivery of the Capability Interview within 2 Business Day timeframe</w:t>
      </w:r>
    </w:p>
    <w:p w14:paraId="7C57C66E" w14:textId="6DFA9F1F" w:rsidR="00D94A30" w:rsidRPr="008011AA" w:rsidRDefault="00D94A30" w:rsidP="004E120D">
      <w:pPr>
        <w:pStyle w:val="BulletLevel1"/>
      </w:pPr>
      <w:r w:rsidRPr="008011AA">
        <w:t xml:space="preserve">when the Participant is transferred to another Provider, or </w:t>
      </w:r>
    </w:p>
    <w:p w14:paraId="4E6471E1" w14:textId="6E2AD3FB" w:rsidR="00D94A30" w:rsidRPr="008011AA" w:rsidRDefault="00D94A30" w:rsidP="004E120D">
      <w:pPr>
        <w:pStyle w:val="BulletLevel1"/>
      </w:pPr>
      <w:r w:rsidRPr="008011AA">
        <w:t>the Participant is returning to service after an Exemption.</w:t>
      </w:r>
    </w:p>
    <w:p w14:paraId="7E71B1C1" w14:textId="5A45063B" w:rsidR="00D94A30" w:rsidRDefault="00D94A30" w:rsidP="00D94A30">
      <w:pPr>
        <w:rPr>
          <w:rFonts w:ascii="Tahoma" w:eastAsia="Tahoma" w:hAnsi="Tahoma"/>
        </w:rPr>
      </w:pPr>
      <w:r w:rsidRPr="68799C3B">
        <w:t>Providers must conduct Capability Interviews face-to-face except in allowable circumstances</w:t>
      </w:r>
      <w:r>
        <w:t xml:space="preserve">, which </w:t>
      </w:r>
      <w:r w:rsidRPr="0DFD7869">
        <w:rPr>
          <w:rFonts w:ascii="Tahoma" w:eastAsia="Tahoma" w:hAnsi="Tahoma"/>
        </w:rPr>
        <w:t>are limited to circumstances that:</w:t>
      </w:r>
    </w:p>
    <w:p w14:paraId="6ABD4454" w14:textId="078929AA" w:rsidR="00D94A30" w:rsidRPr="008011AA" w:rsidRDefault="00D94A30" w:rsidP="004E120D">
      <w:pPr>
        <w:pStyle w:val="BulletLevel1"/>
      </w:pPr>
      <w:r w:rsidRPr="008011AA">
        <w:t>are beyond the Participant or Provider’s control, and</w:t>
      </w:r>
    </w:p>
    <w:p w14:paraId="79F3373C" w14:textId="5EEAE0D3" w:rsidR="00D94A30" w:rsidRPr="008011AA" w:rsidRDefault="00D94A30" w:rsidP="004E120D">
      <w:pPr>
        <w:pStyle w:val="BulletLevel1"/>
      </w:pPr>
      <w:r w:rsidRPr="008011AA">
        <w:t>prevent the Capability Interview from being delivered face-to-face.</w:t>
      </w:r>
    </w:p>
    <w:p w14:paraId="029AE825" w14:textId="3359F410" w:rsidR="00D94A30" w:rsidRDefault="00D94A30" w:rsidP="008011AA">
      <w:pPr>
        <w:keepNext/>
      </w:pPr>
      <w:r>
        <w:t xml:space="preserve">Allowable circumstances include </w:t>
      </w:r>
      <w:r w:rsidRPr="68799C3B">
        <w:t xml:space="preserve">where any one or more of the following applies to the </w:t>
      </w:r>
      <w:r>
        <w:t>Participant</w:t>
      </w:r>
      <w:r w:rsidRPr="68799C3B">
        <w:t>:</w:t>
      </w:r>
    </w:p>
    <w:p w14:paraId="0BC883EC" w14:textId="33BC1A21" w:rsidR="00D94A30" w:rsidRPr="008011AA" w:rsidRDefault="00D94A30" w:rsidP="004E120D">
      <w:pPr>
        <w:pStyle w:val="BulletLevel1"/>
      </w:pPr>
      <w:r w:rsidRPr="008011AA">
        <w:t>they live in an area that is affected by:</w:t>
      </w:r>
    </w:p>
    <w:p w14:paraId="2679BC38" w14:textId="26ED60DF" w:rsidR="00D94A30" w:rsidRDefault="00D94A30" w:rsidP="004E120D">
      <w:pPr>
        <w:pStyle w:val="BulletLevel2"/>
      </w:pPr>
      <w:r w:rsidRPr="68799C3B">
        <w:rPr>
          <w:rFonts w:ascii="Tahoma" w:eastAsia="Tahoma" w:hAnsi="Tahoma"/>
        </w:rPr>
        <w:t>extrem</w:t>
      </w:r>
      <w:r w:rsidRPr="68799C3B">
        <w:t>e weather conditions</w:t>
      </w:r>
    </w:p>
    <w:p w14:paraId="273685C1" w14:textId="59810BFB" w:rsidR="00D94A30" w:rsidRDefault="00D94A30" w:rsidP="004E120D">
      <w:pPr>
        <w:pStyle w:val="BulletLevel2"/>
      </w:pPr>
      <w:r w:rsidRPr="68799C3B">
        <w:t xml:space="preserve">a natural disaster </w:t>
      </w:r>
    </w:p>
    <w:p w14:paraId="71B60A66" w14:textId="78D63ADD" w:rsidR="00D94A30" w:rsidRDefault="00D94A30" w:rsidP="004E120D">
      <w:pPr>
        <w:pStyle w:val="BulletLevel2"/>
      </w:pPr>
      <w:r w:rsidRPr="68799C3B">
        <w:t xml:space="preserve">public transport strikes, and/or </w:t>
      </w:r>
    </w:p>
    <w:p w14:paraId="6FB9E5F9" w14:textId="25751224" w:rsidR="00D94A30" w:rsidRDefault="628A5547" w:rsidP="004E120D">
      <w:pPr>
        <w:pStyle w:val="BulletLevel2"/>
      </w:pPr>
      <w:r>
        <w:t xml:space="preserve">a written </w:t>
      </w:r>
      <w:r w:rsidR="1BF3FCD2">
        <w:t>D</w:t>
      </w:r>
      <w:r>
        <w:t xml:space="preserve">irection as </w:t>
      </w:r>
      <w:r w:rsidR="0CECBDC8">
        <w:t>N</w:t>
      </w:r>
      <w:r>
        <w:t xml:space="preserve">otified by the Department, addressing expectations in relation to Provider servicing arrangements and Participants’ Mutual Obligation Requirements, </w:t>
      </w:r>
    </w:p>
    <w:p w14:paraId="49B86DE1" w14:textId="6AB9A80B" w:rsidR="00D94A30" w:rsidRPr="008011AA" w:rsidRDefault="00D94A30" w:rsidP="004E120D">
      <w:pPr>
        <w:pStyle w:val="BulletLevel1"/>
      </w:pPr>
      <w:r w:rsidRPr="008011AA">
        <w:t>they are participating in full-time Education or Training, and this participation restricts their availability to attend the Capability Interview face-to-face</w:t>
      </w:r>
    </w:p>
    <w:p w14:paraId="435C2449" w14:textId="7668BF4C" w:rsidR="00D94A30" w:rsidRPr="008011AA" w:rsidRDefault="00D94A30" w:rsidP="004E120D">
      <w:pPr>
        <w:pStyle w:val="BulletLevel1"/>
      </w:pPr>
      <w:r w:rsidRPr="008011AA">
        <w:t>they are Employed and their hours restrict their availability to attend the Capability Interview face-to-face, and/or</w:t>
      </w:r>
    </w:p>
    <w:p w14:paraId="40E8CC4D" w14:textId="7AB067D0" w:rsidR="00D94A30" w:rsidRPr="008011AA" w:rsidRDefault="00D94A30" w:rsidP="004E120D">
      <w:pPr>
        <w:pStyle w:val="BulletLevel1"/>
      </w:pPr>
      <w:r w:rsidRPr="008011AA">
        <w:t>they are not medically fit to attend the Capability Interview face-to-face.</w:t>
      </w:r>
    </w:p>
    <w:p w14:paraId="3DF28043" w14:textId="0B73A319" w:rsidR="00D94A30" w:rsidRDefault="00D94A30" w:rsidP="00D94A30">
      <w:r w:rsidRPr="7751327C">
        <w:t xml:space="preserve">If allowable circumstances prevent the Capability Interview from being delivered face-to-face, the Provider may conduct the Capability Interview via </w:t>
      </w:r>
      <w:r w:rsidR="00D94D3B">
        <w:t xml:space="preserve">a </w:t>
      </w:r>
      <w:r w:rsidR="00D9789A">
        <w:t>phone</w:t>
      </w:r>
      <w:r w:rsidRPr="7751327C">
        <w:t xml:space="preserve"> </w:t>
      </w:r>
      <w:r w:rsidR="00D94D3B">
        <w:t>call</w:t>
      </w:r>
      <w:r w:rsidRPr="7751327C">
        <w:t xml:space="preserve"> or videoconference so that it is delivered within the standard 2 Business Days timeframe.</w:t>
      </w:r>
    </w:p>
    <w:p w14:paraId="1B2F5F76" w14:textId="5DD2E5F8" w:rsidR="00D94A30" w:rsidRDefault="00D94A30" w:rsidP="006F727E">
      <w:pPr>
        <w:pStyle w:val="SystemStep"/>
        <w:rPr>
          <w:rFonts w:ascii="Tahoma" w:eastAsia="Tahoma" w:hAnsi="Tahoma"/>
        </w:rPr>
      </w:pPr>
      <w:r w:rsidRPr="52F0E74A">
        <w:t xml:space="preserve">When scheduling the Capability Interview to be delivered via </w:t>
      </w:r>
      <w:r w:rsidR="00D94D3B">
        <w:t xml:space="preserve">a </w:t>
      </w:r>
      <w:r w:rsidR="00D9789A">
        <w:t>phone</w:t>
      </w:r>
      <w:r w:rsidR="00D94D3B" w:rsidRPr="7751327C">
        <w:t xml:space="preserve"> </w:t>
      </w:r>
      <w:r w:rsidR="00D94D3B">
        <w:t>call</w:t>
      </w:r>
      <w:r w:rsidRPr="52F0E74A">
        <w:t xml:space="preserve"> or videoconference, the Provider must record the ‘allowable circumstance’ in the Department’s IT Systems.</w:t>
      </w:r>
    </w:p>
    <w:p w14:paraId="036DF289" w14:textId="5B46515B" w:rsidR="00D94A30" w:rsidRDefault="00D94A30" w:rsidP="00D94A30">
      <w:r w:rsidRPr="68799C3B">
        <w:t xml:space="preserve">Providers must ensure the </w:t>
      </w:r>
      <w:r w:rsidR="00573FA6">
        <w:t>schedule</w:t>
      </w:r>
      <w:r w:rsidRPr="68799C3B">
        <w:t xml:space="preserve">d Capability Interview appointment time is of sufficient length to allow for a thorough review of the </w:t>
      </w:r>
      <w:r>
        <w:t>Participant</w:t>
      </w:r>
      <w:r w:rsidRPr="68799C3B">
        <w:t>’s personal circumstances and have a detailed discussion. The recommended time for a Capability Interview is between 30 and 60 minutes.</w:t>
      </w:r>
    </w:p>
    <w:p w14:paraId="2BFE1BE1" w14:textId="345EC21B" w:rsidR="00D94A30" w:rsidRDefault="00D94A30" w:rsidP="00D94A30">
      <w:r w:rsidRPr="52F0E74A">
        <w:t xml:space="preserve">As with all other compulsory </w:t>
      </w:r>
      <w:r>
        <w:t>A</w:t>
      </w:r>
      <w:r w:rsidRPr="52F0E74A">
        <w:t xml:space="preserve">ppointments, Providers must ensure efforts are made to avoid clashes with any Personal Events in </w:t>
      </w:r>
      <w:r>
        <w:t>a Participant’s</w:t>
      </w:r>
      <w:r w:rsidRPr="52F0E74A">
        <w:t xml:space="preserve"> </w:t>
      </w:r>
      <w:r>
        <w:t xml:space="preserve">Electronic </w:t>
      </w:r>
      <w:r w:rsidRPr="52F0E74A">
        <w:t>Calendar.</w:t>
      </w:r>
    </w:p>
    <w:p w14:paraId="4E8063B9" w14:textId="30203FD3" w:rsidR="00D94A30" w:rsidRDefault="00D94A30" w:rsidP="00D94A30">
      <w:r w:rsidRPr="68799C3B">
        <w:t xml:space="preserve">When scheduling the Capability Interview, the Provider must ensure that they explain to the </w:t>
      </w:r>
      <w:r>
        <w:t>Participant</w:t>
      </w:r>
      <w:r w:rsidRPr="68799C3B">
        <w:t>:</w:t>
      </w:r>
    </w:p>
    <w:p w14:paraId="2E7E9A02" w14:textId="04F77092" w:rsidR="00D94A30" w:rsidRPr="00033226" w:rsidRDefault="00D94A30" w:rsidP="004E120D">
      <w:pPr>
        <w:pStyle w:val="BulletLevel1"/>
      </w:pPr>
      <w:r w:rsidRPr="00033226">
        <w:t xml:space="preserve">the purpose of the Capability Interview </w:t>
      </w:r>
    </w:p>
    <w:p w14:paraId="49E7047C" w14:textId="3D7A17EA" w:rsidR="00D94A30" w:rsidRPr="00033226" w:rsidRDefault="00D94A30" w:rsidP="004E120D">
      <w:pPr>
        <w:pStyle w:val="BulletLevel1"/>
      </w:pPr>
      <w:r w:rsidRPr="00033226">
        <w:t xml:space="preserve">the reason they must participate in a Capability Interview (either because they accrued 3 Demerits or because they committed a fast-track Mutual Obligation Failure), and </w:t>
      </w:r>
    </w:p>
    <w:p w14:paraId="3EA3E702" w14:textId="00A04240" w:rsidR="00D94A30" w:rsidRPr="00033226" w:rsidRDefault="00D94A30" w:rsidP="004E120D">
      <w:pPr>
        <w:pStyle w:val="BulletLevel1"/>
      </w:pPr>
      <w:r w:rsidRPr="00033226">
        <w:t>the potential consequences of continued Mutual Obligation Failures.</w:t>
      </w:r>
    </w:p>
    <w:p w14:paraId="30E20906" w14:textId="6D407971" w:rsidR="00D94A30" w:rsidRPr="00667099" w:rsidRDefault="00D94A30" w:rsidP="00D94A30">
      <w:pPr>
        <w:pStyle w:val="DeedReferences"/>
      </w:pPr>
      <w:r w:rsidRPr="00667099">
        <w:t>(</w:t>
      </w:r>
      <w:r w:rsidR="00A73420">
        <w:t xml:space="preserve">Deed Reference(s): Clause </w:t>
      </w:r>
      <w:r w:rsidR="00B458CC">
        <w:t>139.8</w:t>
      </w:r>
      <w:r w:rsidRPr="00667099">
        <w:t xml:space="preserve">, </w:t>
      </w:r>
      <w:r w:rsidR="00D663F4">
        <w:t>139.9, 139.</w:t>
      </w:r>
      <w:r w:rsidRPr="00667099">
        <w:t>10)</w:t>
      </w:r>
    </w:p>
    <w:p w14:paraId="6A810817" w14:textId="766FF05F" w:rsidR="00D94A30" w:rsidRPr="00EB5CE9" w:rsidRDefault="00D94A30" w:rsidP="00D94A30">
      <w:pPr>
        <w:keepNext/>
        <w:rPr>
          <w:rFonts w:ascii="Tahoma" w:eastAsia="Tahoma" w:hAnsi="Tahoma"/>
          <w:u w:val="single"/>
        </w:rPr>
      </w:pPr>
      <w:r w:rsidRPr="00EB5CE9">
        <w:rPr>
          <w:u w:val="single"/>
        </w:rPr>
        <w:t xml:space="preserve">Circumstance 1: </w:t>
      </w:r>
      <w:r>
        <w:rPr>
          <w:u w:val="single"/>
        </w:rPr>
        <w:t>Participant</w:t>
      </w:r>
      <w:r w:rsidRPr="00EB5CE9">
        <w:rPr>
          <w:u w:val="single"/>
        </w:rPr>
        <w:t xml:space="preserve"> has an Acceptable Reason</w:t>
      </w:r>
    </w:p>
    <w:p w14:paraId="73203D2F" w14:textId="23CEB1F9" w:rsidR="00D94A30" w:rsidRDefault="00D94A30" w:rsidP="00D94A30">
      <w:r w:rsidRPr="52F0E74A">
        <w:t xml:space="preserve">If a </w:t>
      </w:r>
      <w:r>
        <w:t>Participant</w:t>
      </w:r>
      <w:r w:rsidRPr="52F0E74A">
        <w:t xml:space="preserve"> notifies the Provider that they are unable to attend a </w:t>
      </w:r>
      <w:r w:rsidR="00573FA6">
        <w:t>schedule</w:t>
      </w:r>
      <w:r w:rsidRPr="52F0E74A">
        <w:t xml:space="preserve">d Capability Interview, the Provider must assess </w:t>
      </w:r>
      <w:r w:rsidR="00BE0F04">
        <w:t>if</w:t>
      </w:r>
      <w:r w:rsidRPr="52F0E74A">
        <w:t xml:space="preserve"> the </w:t>
      </w:r>
      <w:r>
        <w:t>Participant</w:t>
      </w:r>
      <w:r w:rsidRPr="52F0E74A">
        <w:t>’s reason</w:t>
      </w:r>
      <w:r>
        <w:t xml:space="preserve"> for not being able to attend with 2</w:t>
      </w:r>
      <w:r w:rsidRPr="52F0E74A">
        <w:t xml:space="preserve"> is an Acceptable Reason.</w:t>
      </w:r>
    </w:p>
    <w:p w14:paraId="36D82451" w14:textId="287C33ED" w:rsidR="00D94A30" w:rsidRDefault="00D94A30" w:rsidP="00D94A30">
      <w:r w:rsidRPr="7751327C">
        <w:t>The Provider must determine that a Participant has an Acceptable Reason for being unable to attend the Capability Interview within the standard 2 Business Days timeframe if:</w:t>
      </w:r>
    </w:p>
    <w:p w14:paraId="1CF6152A" w14:textId="4D24648B" w:rsidR="00D94A30" w:rsidRPr="00033226" w:rsidRDefault="00D94A30" w:rsidP="004E120D">
      <w:pPr>
        <w:pStyle w:val="BulletLevel1"/>
      </w:pPr>
      <w:r w:rsidRPr="7751327C">
        <w:t xml:space="preserve">the Participant notified the Provider, before the end of the standard 2 Business Days timeframe, that </w:t>
      </w:r>
      <w:r w:rsidRPr="00033226">
        <w:t>the Participant is unable to attend the Capability Interview, and</w:t>
      </w:r>
    </w:p>
    <w:p w14:paraId="2796A8A7" w14:textId="1D85E864" w:rsidR="00D94A30" w:rsidRDefault="00D94A30" w:rsidP="004E120D">
      <w:pPr>
        <w:pStyle w:val="BulletLevel1"/>
      </w:pPr>
      <w:r w:rsidRPr="00033226">
        <w:t>the</w:t>
      </w:r>
      <w:r w:rsidRPr="7751327C">
        <w:t xml:space="preserve"> Provider is satisfied that the Participant has a </w:t>
      </w:r>
      <w:r w:rsidRPr="7751327C">
        <w:rPr>
          <w:rFonts w:eastAsia="Tahoma"/>
        </w:rPr>
        <w:t>Valid Reason</w:t>
      </w:r>
      <w:r w:rsidRPr="7751327C">
        <w:t xml:space="preserve"> for being unable to attend the Capability Interview within the standard 2 Business Days timeframe.</w:t>
      </w:r>
    </w:p>
    <w:p w14:paraId="59D0D194" w14:textId="1AB7454C" w:rsidR="00D94A30" w:rsidRDefault="00D94A30" w:rsidP="00D94A30">
      <w:r w:rsidRPr="7751327C">
        <w:t xml:space="preserve">If the Provider determines a Participant has an Acceptable Reason, the Provider must </w:t>
      </w:r>
      <w:r w:rsidR="00573FA6">
        <w:t>schedule</w:t>
      </w:r>
      <w:r w:rsidRPr="7751327C">
        <w:t xml:space="preserve"> the Capability Interview to occur within 12 Business Days after the standard 2 Business Days timeframe (14 Business Days after the Participant accrues the </w:t>
      </w:r>
      <w:r>
        <w:t>Demerit</w:t>
      </w:r>
      <w:r w:rsidRPr="7751327C">
        <w:t xml:space="preserve"> that triggers the Capability Interview).</w:t>
      </w:r>
    </w:p>
    <w:p w14:paraId="3B04FC79" w14:textId="6041E166" w:rsidR="00D94A30" w:rsidRDefault="00D94A30" w:rsidP="006F727E">
      <w:pPr>
        <w:pStyle w:val="SystemStep"/>
      </w:pPr>
      <w:r>
        <w:t xml:space="preserve">If there is an Acceptable Reason, the </w:t>
      </w:r>
      <w:r w:rsidRPr="52F0E74A">
        <w:t>Provider must</w:t>
      </w:r>
      <w:r>
        <w:t xml:space="preserve"> undertake the following steps in </w:t>
      </w:r>
      <w:r w:rsidRPr="52F0E74A">
        <w:t>the Department’s IT Systems</w:t>
      </w:r>
      <w:r>
        <w:t>:</w:t>
      </w:r>
    </w:p>
    <w:p w14:paraId="49568267" w14:textId="6BECEDDA" w:rsidR="00D94A30" w:rsidRPr="00817D77" w:rsidRDefault="00D94A30" w:rsidP="004E120D">
      <w:pPr>
        <w:pStyle w:val="BulletLevel2"/>
      </w:pPr>
      <w:r>
        <w:t>Step 1: S</w:t>
      </w:r>
      <w:r w:rsidRPr="52F0E74A">
        <w:t xml:space="preserve">elect </w:t>
      </w:r>
      <w:r w:rsidRPr="0DFD7869">
        <w:rPr>
          <w:rFonts w:eastAsiaTheme="minorEastAsia"/>
          <w:color w:val="000000" w:themeColor="text1"/>
        </w:rPr>
        <w:t>‘unable</w:t>
      </w:r>
      <w:r w:rsidRPr="52F0E74A">
        <w:t xml:space="preserve"> to re-engage within 2 Business Days’ </w:t>
      </w:r>
      <w:r>
        <w:t>—</w:t>
      </w:r>
      <w:r w:rsidRPr="52F0E74A">
        <w:t xml:space="preserve"> </w:t>
      </w:r>
      <w:r>
        <w:t>t</w:t>
      </w:r>
      <w:r w:rsidRPr="52F0E74A">
        <w:t xml:space="preserve">his will lift the </w:t>
      </w:r>
      <w:r>
        <w:t>Participant</w:t>
      </w:r>
      <w:r w:rsidRPr="52F0E74A">
        <w:t xml:space="preserve">’s Income Support Payment suspension, but the requirement to attend the Capability Interview will still be </w:t>
      </w:r>
      <w:r w:rsidRPr="00817D77">
        <w:t xml:space="preserve">outstanding on the </w:t>
      </w:r>
      <w:r>
        <w:t>Participant</w:t>
      </w:r>
      <w:r w:rsidRPr="00817D77">
        <w:t>’s record</w:t>
      </w:r>
    </w:p>
    <w:p w14:paraId="16D57818" w14:textId="02D61595" w:rsidR="00D94A30" w:rsidRPr="00817D77" w:rsidRDefault="00D94A30" w:rsidP="004E120D">
      <w:pPr>
        <w:pStyle w:val="BulletLevel2"/>
        <w:rPr>
          <w:rFonts w:eastAsiaTheme="minorEastAsia"/>
        </w:rPr>
      </w:pPr>
      <w:r>
        <w:t>Step 2: S</w:t>
      </w:r>
      <w:r w:rsidRPr="6055448A">
        <w:t>elect from the drop-down menu a description of the relevant Valid Reason that is</w:t>
      </w:r>
      <w:r w:rsidR="002E755C" w:rsidRPr="6055448A">
        <w:t xml:space="preserve"> most like the </w:t>
      </w:r>
      <w:r w:rsidR="002E755C">
        <w:t>reason</w:t>
      </w:r>
      <w:r w:rsidR="002E755C" w:rsidRPr="6055448A">
        <w:t xml:space="preserve"> as described</w:t>
      </w:r>
      <w:r w:rsidR="002E755C">
        <w:t xml:space="preserve"> by the Participant</w:t>
      </w:r>
      <w:r w:rsidR="002E755C" w:rsidRPr="6055448A">
        <w:t xml:space="preserve"> to the Provider </w:t>
      </w:r>
      <w:r w:rsidRPr="6055448A">
        <w:t xml:space="preserve">— a full list of the reasons that appear in the drop-down menu can be found in the </w:t>
      </w:r>
      <w:r w:rsidRPr="006D1302">
        <w:rPr>
          <w:rStyle w:val="Hyperlink"/>
        </w:rPr>
        <w:t xml:space="preserve">Re-engagement reason options </w:t>
      </w:r>
      <w:r w:rsidR="006A2AFC" w:rsidRPr="006D1302">
        <w:rPr>
          <w:rStyle w:val="Hyperlink"/>
        </w:rPr>
        <w:t>[LINK]</w:t>
      </w:r>
      <w:r w:rsidR="006A2AFC">
        <w:rPr>
          <w:rFonts w:eastAsiaTheme="minorEastAsia"/>
        </w:rPr>
        <w:t xml:space="preserve"> </w:t>
      </w:r>
      <w:r w:rsidRPr="6055448A">
        <w:rPr>
          <w:rFonts w:eastAsiaTheme="minorEastAsia"/>
        </w:rPr>
        <w:t>supporting document, and</w:t>
      </w:r>
    </w:p>
    <w:p w14:paraId="166CFFEC" w14:textId="5811C6F3" w:rsidR="00D94A30" w:rsidRDefault="00D94A30" w:rsidP="004E120D">
      <w:pPr>
        <w:pStyle w:val="BulletLevel2"/>
      </w:pPr>
      <w:r>
        <w:t xml:space="preserve">Step 3: </w:t>
      </w:r>
      <w:r w:rsidR="00573FA6">
        <w:t>Schedule</w:t>
      </w:r>
      <w:r w:rsidRPr="7751327C">
        <w:t xml:space="preserve"> the Capability Interview within the 14 Business Day timeframe. </w:t>
      </w:r>
    </w:p>
    <w:p w14:paraId="6EA2B3FC" w14:textId="0149A65A" w:rsidR="00D94A30" w:rsidRPr="00A61104" w:rsidRDefault="00D94A30" w:rsidP="00D94A30">
      <w:pPr>
        <w:rPr>
          <w:u w:val="single"/>
        </w:rPr>
      </w:pPr>
      <w:r>
        <w:rPr>
          <w:u w:val="single"/>
        </w:rPr>
        <w:t>Circumstance 2: Participant</w:t>
      </w:r>
      <w:r w:rsidRPr="00A61104">
        <w:rPr>
          <w:u w:val="single"/>
        </w:rPr>
        <w:t xml:space="preserve"> does not have an Acceptable Reason</w:t>
      </w:r>
    </w:p>
    <w:p w14:paraId="72DFADAD" w14:textId="72281FBD" w:rsidR="00D94A30" w:rsidRDefault="00D94A30" w:rsidP="00D94A30">
      <w:pPr>
        <w:rPr>
          <w:rFonts w:ascii="Tahoma" w:eastAsia="Tahoma" w:hAnsi="Tahoma"/>
        </w:rPr>
      </w:pPr>
      <w:r w:rsidRPr="0DFD7869">
        <w:rPr>
          <w:rFonts w:ascii="Tahoma" w:eastAsia="Tahoma" w:hAnsi="Tahoma"/>
        </w:rPr>
        <w:t>If the Provider assesses that the Participant’s reason is not an Acceptable Reason as discussed above, the Provider must:</w:t>
      </w:r>
    </w:p>
    <w:p w14:paraId="0A16ABAE" w14:textId="4AFB7799" w:rsidR="00D94A30" w:rsidRPr="00033226" w:rsidRDefault="00573FA6" w:rsidP="004E120D">
      <w:pPr>
        <w:pStyle w:val="BulletLevel1"/>
      </w:pPr>
      <w:r>
        <w:t>schedule</w:t>
      </w:r>
      <w:r w:rsidR="00D94A30" w:rsidRPr="00033226">
        <w:t xml:space="preserve"> the Capability Interview within the standard 2 Business Days timeframe</w:t>
      </w:r>
    </w:p>
    <w:p w14:paraId="22C4DFFF" w14:textId="3CF4B215" w:rsidR="00D94A30" w:rsidRPr="00033226" w:rsidRDefault="00D94A30" w:rsidP="004E120D">
      <w:pPr>
        <w:pStyle w:val="BulletLevel1"/>
      </w:pPr>
      <w:r w:rsidRPr="00033226">
        <w:t>tell the Participant why their reason is not an Acceptable Reason</w:t>
      </w:r>
    </w:p>
    <w:p w14:paraId="75D1EC6F" w14:textId="2CC88ADC" w:rsidR="00D94A30" w:rsidRPr="00033226" w:rsidRDefault="00D94A30" w:rsidP="004E120D">
      <w:pPr>
        <w:pStyle w:val="BulletLevel1"/>
      </w:pPr>
      <w:r w:rsidRPr="00033226">
        <w:t xml:space="preserve">inform the Participant that they are still expected to attend the Capability Interview, and </w:t>
      </w:r>
    </w:p>
    <w:p w14:paraId="11686460" w14:textId="6C6EA3FB" w:rsidR="00D94A30" w:rsidRDefault="00D94A30" w:rsidP="004E120D">
      <w:pPr>
        <w:pStyle w:val="BulletLevel1"/>
      </w:pPr>
      <w:r w:rsidRPr="00033226">
        <w:t>remind the Participant their Income Support Payment suspension will not be lifted until they attend</w:t>
      </w:r>
      <w:r w:rsidRPr="52F0E74A">
        <w:t xml:space="preserve"> the Capability Interview.</w:t>
      </w:r>
    </w:p>
    <w:p w14:paraId="6CDF68B3" w14:textId="786D2923" w:rsidR="00D94A30" w:rsidRPr="00A61104" w:rsidRDefault="00D94A30" w:rsidP="00D94A30">
      <w:pPr>
        <w:rPr>
          <w:u w:val="single"/>
        </w:rPr>
      </w:pPr>
      <w:r>
        <w:rPr>
          <w:u w:val="single"/>
        </w:rPr>
        <w:t xml:space="preserve">Circumstance 3: </w:t>
      </w:r>
      <w:r w:rsidRPr="00A61104">
        <w:rPr>
          <w:u w:val="single"/>
        </w:rPr>
        <w:t xml:space="preserve">When </w:t>
      </w:r>
      <w:r w:rsidR="00184504" w:rsidRPr="753FAF60">
        <w:rPr>
          <w:u w:val="single"/>
        </w:rPr>
        <w:t>P</w:t>
      </w:r>
      <w:r w:rsidRPr="753FAF60">
        <w:rPr>
          <w:u w:val="single"/>
        </w:rPr>
        <w:t>art-</w:t>
      </w:r>
      <w:r w:rsidR="00184504" w:rsidRPr="753FAF60">
        <w:rPr>
          <w:u w:val="single"/>
        </w:rPr>
        <w:t>T</w:t>
      </w:r>
      <w:r w:rsidRPr="753FAF60">
        <w:rPr>
          <w:u w:val="single"/>
        </w:rPr>
        <w:t>ime</w:t>
      </w:r>
      <w:r w:rsidRPr="00A61104">
        <w:rPr>
          <w:u w:val="single"/>
        </w:rPr>
        <w:t xml:space="preserve"> or </w:t>
      </w:r>
      <w:r w:rsidR="00184504" w:rsidRPr="753FAF60">
        <w:rPr>
          <w:u w:val="single"/>
        </w:rPr>
        <w:t>O</w:t>
      </w:r>
      <w:r w:rsidRPr="753FAF60">
        <w:rPr>
          <w:u w:val="single"/>
        </w:rPr>
        <w:t>utreach</w:t>
      </w:r>
      <w:r w:rsidRPr="00A61104">
        <w:rPr>
          <w:u w:val="single"/>
        </w:rPr>
        <w:t xml:space="preserve"> </w:t>
      </w:r>
      <w:r w:rsidR="00C81202">
        <w:rPr>
          <w:u w:val="single"/>
        </w:rPr>
        <w:t>S</w:t>
      </w:r>
      <w:r w:rsidR="003E2178">
        <w:rPr>
          <w:u w:val="single"/>
        </w:rPr>
        <w:t xml:space="preserve">ite operations </w:t>
      </w:r>
      <w:r w:rsidRPr="00A61104">
        <w:rPr>
          <w:u w:val="single"/>
        </w:rPr>
        <w:t>prevent delivery of the Capability Interview within 2 Business Days</w:t>
      </w:r>
    </w:p>
    <w:p w14:paraId="51C09336" w14:textId="6CF4C69C" w:rsidR="00D94A30" w:rsidRPr="009A3CF2" w:rsidRDefault="00D94A30" w:rsidP="00D94A30">
      <w:r w:rsidRPr="52F0E74A">
        <w:t xml:space="preserve">If </w:t>
      </w:r>
      <w:r w:rsidR="003E2178">
        <w:t>P</w:t>
      </w:r>
      <w:r>
        <w:t>art</w:t>
      </w:r>
      <w:r w:rsidRPr="52F0E74A">
        <w:t>-</w:t>
      </w:r>
      <w:r w:rsidR="003E2178">
        <w:t>T</w:t>
      </w:r>
      <w:r>
        <w:t>ime</w:t>
      </w:r>
      <w:r w:rsidRPr="52F0E74A">
        <w:t xml:space="preserve"> or </w:t>
      </w:r>
      <w:r w:rsidR="003E2178">
        <w:t>O</w:t>
      </w:r>
      <w:r>
        <w:t>utreach</w:t>
      </w:r>
      <w:r w:rsidRPr="52F0E74A">
        <w:t xml:space="preserve"> </w:t>
      </w:r>
      <w:r w:rsidR="003B35B0">
        <w:t>S</w:t>
      </w:r>
      <w:r w:rsidR="003E2178">
        <w:t xml:space="preserve">ite </w:t>
      </w:r>
      <w:r w:rsidR="00933AF7">
        <w:t>hours of</w:t>
      </w:r>
      <w:r w:rsidR="003E2178">
        <w:t xml:space="preserve"> operations</w:t>
      </w:r>
      <w:r w:rsidRPr="52F0E74A" w:rsidDel="003E2178">
        <w:t xml:space="preserve"> </w:t>
      </w:r>
      <w:r w:rsidRPr="52F0E74A">
        <w:t xml:space="preserve">prevent the Provider from delivering the Capability Interview face-to-face within the standard 2 Business Days timeframe, but the Provider has determined the Capability Interview must be conducted face-to-face (e.g. because it is unsuitable to deliver the Capability Interview via </w:t>
      </w:r>
      <w:r w:rsidR="00F731F9">
        <w:t xml:space="preserve">a </w:t>
      </w:r>
      <w:r w:rsidR="00D9789A">
        <w:t>phone</w:t>
      </w:r>
      <w:r w:rsidR="00F731F9">
        <w:t xml:space="preserve"> call</w:t>
      </w:r>
      <w:r w:rsidRPr="52F0E74A">
        <w:t xml:space="preserve"> or videoconference or no allowable circumstance exists), the Provider must </w:t>
      </w:r>
      <w:r w:rsidR="00573FA6">
        <w:t>schedule</w:t>
      </w:r>
      <w:r w:rsidRPr="52F0E74A">
        <w:t xml:space="preserve"> the Capability Interview to occur as soon as possible after the standard 2 Business Days </w:t>
      </w:r>
      <w:r w:rsidRPr="009A3CF2">
        <w:t xml:space="preserve">timeframe. </w:t>
      </w:r>
    </w:p>
    <w:p w14:paraId="63DC65F1" w14:textId="5886D07A" w:rsidR="00D94A30" w:rsidRDefault="00D94A30" w:rsidP="00D94A30">
      <w:r w:rsidRPr="7751327C">
        <w:t xml:space="preserve">In any event, the Provider must </w:t>
      </w:r>
      <w:r w:rsidR="00573FA6">
        <w:t>schedule</w:t>
      </w:r>
      <w:r w:rsidRPr="7751327C">
        <w:t xml:space="preserve"> the Capability interview to occur within 12 Business Days after the standard 2 Business Days timeframe. Broadly speaking, this means that the Provider must </w:t>
      </w:r>
      <w:r w:rsidR="00573FA6">
        <w:t>schedule</w:t>
      </w:r>
      <w:r w:rsidRPr="7751327C">
        <w:t xml:space="preserve"> the Capability Interview within 14 Business Days after the Participant accrues the </w:t>
      </w:r>
      <w:r>
        <w:t>Demerit</w:t>
      </w:r>
      <w:r w:rsidRPr="7751327C">
        <w:t xml:space="preserve"> that triggers the Capability Interview.</w:t>
      </w:r>
    </w:p>
    <w:p w14:paraId="193FBAE6" w14:textId="328EDD07" w:rsidR="00D94A30" w:rsidRDefault="00D94A30" w:rsidP="00267E84">
      <w:pPr>
        <w:pStyle w:val="SystemStep"/>
        <w:keepNext/>
      </w:pPr>
      <w:r>
        <w:t xml:space="preserve">In these cases, the </w:t>
      </w:r>
      <w:r w:rsidRPr="52F0E74A">
        <w:t>Provider must</w:t>
      </w:r>
      <w:r>
        <w:t xml:space="preserve"> undertake the following steps in </w:t>
      </w:r>
      <w:r w:rsidRPr="52F0E74A">
        <w:t>the Department’s IT Systems</w:t>
      </w:r>
      <w:r>
        <w:t>:</w:t>
      </w:r>
    </w:p>
    <w:p w14:paraId="3CF1D60F" w14:textId="2F13773E" w:rsidR="00D94A30" w:rsidRDefault="00267E84" w:rsidP="004E120D">
      <w:pPr>
        <w:pStyle w:val="BulletLevel2"/>
        <w:rPr>
          <w:rFonts w:ascii="Tahoma" w:eastAsia="Tahoma" w:hAnsi="Tahoma"/>
        </w:rPr>
      </w:pPr>
      <w:r>
        <w:t>Step 1: S</w:t>
      </w:r>
      <w:r w:rsidR="00D94A30" w:rsidRPr="7751327C">
        <w:t>elect ‘Re-</w:t>
      </w:r>
      <w:r w:rsidR="00D94A30" w:rsidRPr="7751327C">
        <w:rPr>
          <w:rFonts w:ascii="Tahoma" w:eastAsia="Tahoma" w:hAnsi="Tahoma"/>
        </w:rPr>
        <w:t>engagement</w:t>
      </w:r>
      <w:r w:rsidR="00D94A30" w:rsidRPr="7751327C">
        <w:t xml:space="preserve"> not required’ — this will lift the Participant’s Income </w:t>
      </w:r>
      <w:r w:rsidR="00D94A30" w:rsidRPr="7751327C">
        <w:rPr>
          <w:rFonts w:ascii="Tahoma" w:eastAsia="Tahoma" w:hAnsi="Tahoma"/>
        </w:rPr>
        <w:t>Support</w:t>
      </w:r>
      <w:r w:rsidR="00D94A30" w:rsidRPr="7751327C">
        <w:t xml:space="preserve"> Payment suspension, but the requirement to attend the Capability Interview will still be outstanding on the Participant’s record</w:t>
      </w:r>
    </w:p>
    <w:p w14:paraId="24ADC263" w14:textId="5D0FEEA4" w:rsidR="00D94A30" w:rsidRDefault="00267E84" w:rsidP="004E120D">
      <w:pPr>
        <w:pStyle w:val="BulletLevel2"/>
      </w:pPr>
      <w:r>
        <w:t>Step 2: R</w:t>
      </w:r>
      <w:r w:rsidR="00D94A30" w:rsidRPr="7751327C">
        <w:t xml:space="preserve">ecord the reason why ‘Re-engagement not required’ — the only drop-down menu </w:t>
      </w:r>
      <w:bookmarkStart w:id="562" w:name="_Int_pbcc7nMh"/>
      <w:r w:rsidR="00D94A30" w:rsidRPr="7751327C">
        <w:t>option</w:t>
      </w:r>
      <w:bookmarkEnd w:id="562"/>
      <w:r w:rsidR="00D94A30" w:rsidRPr="7751327C">
        <w:t xml:space="preserve"> is ‘Part-time/outreach services’, and</w:t>
      </w:r>
    </w:p>
    <w:p w14:paraId="390707A3" w14:textId="16FC0811" w:rsidR="00D94A30" w:rsidRDefault="00267E84" w:rsidP="004E120D">
      <w:pPr>
        <w:pStyle w:val="BulletLevel2"/>
        <w:rPr>
          <w:rFonts w:ascii="Tahoma" w:eastAsia="Tahoma" w:hAnsi="Tahoma"/>
        </w:rPr>
      </w:pPr>
      <w:r>
        <w:t>Step 3: M</w:t>
      </w:r>
      <w:r w:rsidR="00D94A30" w:rsidRPr="52F0E74A">
        <w:t xml:space="preserve">anually </w:t>
      </w:r>
      <w:r w:rsidR="00573FA6">
        <w:t>schedule</w:t>
      </w:r>
      <w:r w:rsidR="00D94A30" w:rsidRPr="52F0E74A">
        <w:t xml:space="preserve"> the Capability Interview in the </w:t>
      </w:r>
      <w:r w:rsidR="00D94A30">
        <w:t>Participant</w:t>
      </w:r>
      <w:r w:rsidR="00D94A30" w:rsidRPr="52F0E74A">
        <w:t>’s Electronic Calendar.</w:t>
      </w:r>
    </w:p>
    <w:p w14:paraId="5DBCD07B" w14:textId="27C40FCD" w:rsidR="00D94A30" w:rsidRPr="00A61104" w:rsidRDefault="00D94A30" w:rsidP="00D94A30">
      <w:pPr>
        <w:rPr>
          <w:u w:val="single"/>
        </w:rPr>
      </w:pPr>
      <w:r w:rsidRPr="5DD2C18A">
        <w:rPr>
          <w:u w:val="single"/>
        </w:rPr>
        <w:t xml:space="preserve">Circumstance 4: When the Participant is transferred to another </w:t>
      </w:r>
      <w:r w:rsidR="00FE4A61" w:rsidRPr="5DD2C18A">
        <w:rPr>
          <w:u w:val="single"/>
        </w:rPr>
        <w:t>Provider,</w:t>
      </w:r>
      <w:r>
        <w:rPr>
          <w:u w:val="single"/>
        </w:rPr>
        <w:t xml:space="preserve"> </w:t>
      </w:r>
      <w:r w:rsidRPr="5DD2C18A">
        <w:rPr>
          <w:u w:val="single"/>
        </w:rPr>
        <w:t>or the</w:t>
      </w:r>
      <w:r>
        <w:rPr>
          <w:u w:val="single"/>
        </w:rPr>
        <w:t xml:space="preserve"> Participant is</w:t>
      </w:r>
      <w:r w:rsidRPr="5DD2C18A">
        <w:rPr>
          <w:u w:val="single"/>
        </w:rPr>
        <w:t xml:space="preserve"> returning to service after an Exemption</w:t>
      </w:r>
    </w:p>
    <w:p w14:paraId="2F96D77A" w14:textId="09ADF04C" w:rsidR="00D94A30" w:rsidRDefault="00D94A30" w:rsidP="00D94A30">
      <w:r w:rsidRPr="7751327C">
        <w:t>A Provider does not need to conduct the Capability Interview within the standard 2 Business Days timeframe where, after the Capability Interview is triggered, but before it is finalised, the Participant:</w:t>
      </w:r>
    </w:p>
    <w:p w14:paraId="48D52029" w14:textId="32B61F59" w:rsidR="00D94A30" w:rsidRPr="00033226" w:rsidRDefault="00D94A30" w:rsidP="004E120D">
      <w:pPr>
        <w:pStyle w:val="BulletLevel1"/>
      </w:pPr>
      <w:r w:rsidRPr="00033226">
        <w:t xml:space="preserve">transfers from their current Provider to another Provider or Other Service, or </w:t>
      </w:r>
    </w:p>
    <w:p w14:paraId="333FB19E" w14:textId="5E97B82B" w:rsidR="00D94A30" w:rsidRPr="00033226" w:rsidRDefault="00D94A30" w:rsidP="004E120D">
      <w:pPr>
        <w:pStyle w:val="BulletLevel1"/>
      </w:pPr>
      <w:r w:rsidRPr="00033226">
        <w:t>is granted an Exemption.</w:t>
      </w:r>
    </w:p>
    <w:p w14:paraId="2D8DC361" w14:textId="222B9495" w:rsidR="00D94A30" w:rsidRDefault="00D94A30" w:rsidP="00D94A30">
      <w:pPr>
        <w:rPr>
          <w:rFonts w:ascii="Tahoma" w:eastAsia="Tahoma" w:hAnsi="Tahoma"/>
        </w:rPr>
      </w:pPr>
      <w:r w:rsidRPr="0DFD7869">
        <w:rPr>
          <w:rFonts w:ascii="Tahoma" w:eastAsia="Tahoma" w:hAnsi="Tahoma"/>
        </w:rPr>
        <w:t>In these cases, the Capability Interview must still be undertaken by:</w:t>
      </w:r>
    </w:p>
    <w:p w14:paraId="328D36EE" w14:textId="5A1095FE" w:rsidR="00D94A30" w:rsidRPr="00033226" w:rsidRDefault="00D94A30" w:rsidP="004E120D">
      <w:pPr>
        <w:pStyle w:val="BulletLevel1"/>
      </w:pPr>
      <w:r w:rsidRPr="00033226">
        <w:t>the new Provider, at the Initial Interview when the Participant transfers to the new Provider, or</w:t>
      </w:r>
    </w:p>
    <w:p w14:paraId="6E81285E" w14:textId="743772DD" w:rsidR="00D94A30" w:rsidRPr="00033226" w:rsidRDefault="00D94A30" w:rsidP="004E120D">
      <w:pPr>
        <w:pStyle w:val="BulletLevel1"/>
      </w:pPr>
      <w:r w:rsidRPr="00033226">
        <w:t>the current Provider, within 14 Business Days of the Participant returning after an Exemption.</w:t>
      </w:r>
    </w:p>
    <w:p w14:paraId="6BF68B2B" w14:textId="2836E66E" w:rsidR="00D94A30" w:rsidRPr="00862E64" w:rsidRDefault="00D94A30" w:rsidP="00D94A30">
      <w:pPr>
        <w:pStyle w:val="Heading5"/>
      </w:pPr>
      <w:r w:rsidRPr="52F0E74A">
        <w:t xml:space="preserve">Capability Interviews </w:t>
      </w:r>
      <w:r>
        <w:t>is n</w:t>
      </w:r>
      <w:r w:rsidRPr="52F0E74A">
        <w:t xml:space="preserve">o </w:t>
      </w:r>
      <w:r>
        <w:t>l</w:t>
      </w:r>
      <w:r w:rsidRPr="52F0E74A">
        <w:t xml:space="preserve">onger </w:t>
      </w:r>
      <w:r>
        <w:t>r</w:t>
      </w:r>
      <w:r w:rsidRPr="52F0E74A">
        <w:t>equired but still outstanding</w:t>
      </w:r>
    </w:p>
    <w:p w14:paraId="6C45D58C" w14:textId="48465E9B" w:rsidR="00D94A30" w:rsidRDefault="00D94A30" w:rsidP="00D94A30">
      <w:pPr>
        <w:rPr>
          <w:rFonts w:ascii="Tahoma" w:eastAsia="Tahoma" w:hAnsi="Tahoma"/>
        </w:rPr>
      </w:pPr>
      <w:r w:rsidRPr="5DD2C18A">
        <w:rPr>
          <w:rFonts w:ascii="Tahoma" w:eastAsia="Tahoma" w:hAnsi="Tahoma"/>
        </w:rPr>
        <w:t>The Department’s IT Systems will identify that an ‘outstanding’ Capability Interview is ‘No Longer Required’ when, after the Capability Interview is triggered, but before it is finalised, the Participant:</w:t>
      </w:r>
    </w:p>
    <w:p w14:paraId="4E1E4F79" w14:textId="22877B89" w:rsidR="00D94A30" w:rsidRPr="00356FDA" w:rsidRDefault="00D94A30" w:rsidP="004E120D">
      <w:pPr>
        <w:pStyle w:val="BulletLevel1"/>
      </w:pPr>
      <w:r w:rsidRPr="00356FDA">
        <w:t xml:space="preserve">transfers from the Provider to another Provider, or </w:t>
      </w:r>
    </w:p>
    <w:p w14:paraId="7BDBB948" w14:textId="361948B8" w:rsidR="00D94A30" w:rsidRPr="00356FDA" w:rsidRDefault="00D94A30" w:rsidP="004E120D">
      <w:pPr>
        <w:pStyle w:val="BulletLevel1"/>
      </w:pPr>
      <w:r w:rsidRPr="00356FDA">
        <w:t>is granted an Exemption.</w:t>
      </w:r>
    </w:p>
    <w:p w14:paraId="376007AD" w14:textId="2A413FF0" w:rsidR="00D94A30" w:rsidRDefault="00D94A30" w:rsidP="00D94A30">
      <w:pPr>
        <w:rPr>
          <w:rFonts w:ascii="Tahoma" w:eastAsia="Tahoma" w:hAnsi="Tahoma"/>
        </w:rPr>
      </w:pPr>
      <w:r w:rsidRPr="7751327C">
        <w:rPr>
          <w:rFonts w:ascii="Tahoma" w:eastAsia="Tahoma" w:hAnsi="Tahoma"/>
        </w:rPr>
        <w:t xml:space="preserve">The </w:t>
      </w:r>
      <w:r>
        <w:rPr>
          <w:rFonts w:ascii="Tahoma" w:eastAsia="Tahoma" w:hAnsi="Tahoma"/>
        </w:rPr>
        <w:t>process</w:t>
      </w:r>
      <w:r w:rsidRPr="7751327C">
        <w:rPr>
          <w:rFonts w:ascii="Tahoma" w:eastAsia="Tahoma" w:hAnsi="Tahoma"/>
        </w:rPr>
        <w:t xml:space="preserve"> </w:t>
      </w:r>
      <w:r>
        <w:rPr>
          <w:rFonts w:ascii="Tahoma" w:eastAsia="Tahoma" w:hAnsi="Tahoma"/>
        </w:rPr>
        <w:t xml:space="preserve">for resolving the outstanding </w:t>
      </w:r>
      <w:r w:rsidRPr="7751327C">
        <w:rPr>
          <w:rFonts w:ascii="Tahoma" w:eastAsia="Tahoma" w:hAnsi="Tahoma"/>
        </w:rPr>
        <w:t xml:space="preserve">Capability Interview </w:t>
      </w:r>
      <w:r>
        <w:rPr>
          <w:rFonts w:ascii="Tahoma" w:eastAsia="Tahoma" w:hAnsi="Tahoma"/>
        </w:rPr>
        <w:t>is outlined in the previous section on scheduling a Capability Interview (see Circumstance 4 above).</w:t>
      </w:r>
    </w:p>
    <w:p w14:paraId="51ECA1B6" w14:textId="746485A0" w:rsidR="00D94A30" w:rsidRDefault="00D94A30" w:rsidP="00D94A30">
      <w:pPr>
        <w:pStyle w:val="Heading5"/>
        <w:rPr>
          <w:rFonts w:ascii="Tahoma" w:eastAsia="Tahoma" w:hAnsi="Tahoma"/>
          <w:b/>
          <w:bCs w:val="0"/>
        </w:rPr>
      </w:pPr>
      <w:r>
        <w:t>If a Participant fails to attend their Capability Interview</w:t>
      </w:r>
    </w:p>
    <w:p w14:paraId="7E04B2D5" w14:textId="3374023D" w:rsidR="00D94A30" w:rsidRDefault="00D94A30" w:rsidP="00D94A30">
      <w:pPr>
        <w:rPr>
          <w:rFonts w:ascii="Tahoma" w:eastAsia="Tahoma" w:hAnsi="Tahoma"/>
        </w:rPr>
      </w:pPr>
      <w:r w:rsidRPr="5DD2C18A">
        <w:rPr>
          <w:rFonts w:ascii="Tahoma" w:eastAsia="Tahoma" w:hAnsi="Tahoma"/>
        </w:rPr>
        <w:t>As a Capability Interview is a type of Re-engagement Requirement the Provider must take the action required when a Participant fails to meet a Re-engagement Requirement. See the relevant information in</w:t>
      </w:r>
      <w:r>
        <w:t xml:space="preserve"> </w:t>
      </w:r>
      <w:r w:rsidR="001A5FD3">
        <w:fldChar w:fldCharType="begin"/>
      </w:r>
      <w:r w:rsidR="001A5FD3">
        <w:instrText xml:space="preserve"> REF _Ref202789969 \h </w:instrText>
      </w:r>
      <w:r w:rsidR="001A5FD3">
        <w:fldChar w:fldCharType="separate"/>
      </w:r>
      <w:r w:rsidR="000D75AE">
        <w:t>12.4.6</w:t>
      </w:r>
      <w:r w:rsidR="00C33F1F">
        <w:t xml:space="preserve"> </w:t>
      </w:r>
      <w:r w:rsidR="000D75AE">
        <w:t>Re-engagement Requirements</w:t>
      </w:r>
      <w:r w:rsidR="001A5FD3">
        <w:fldChar w:fldCharType="end"/>
      </w:r>
      <w:r w:rsidRPr="5DD2C18A">
        <w:rPr>
          <w:rFonts w:ascii="Tahoma" w:eastAsia="Tahoma" w:hAnsi="Tahoma"/>
        </w:rPr>
        <w:t>.</w:t>
      </w:r>
    </w:p>
    <w:p w14:paraId="154D8EEA" w14:textId="0762875A" w:rsidR="00D94A30" w:rsidRDefault="00D94A30" w:rsidP="00D94A30">
      <w:pPr>
        <w:pStyle w:val="Heading5"/>
      </w:pPr>
      <w:r>
        <w:t>Conducting a Capability Interview</w:t>
      </w:r>
    </w:p>
    <w:p w14:paraId="5B707276" w14:textId="3A40EB4D" w:rsidR="00D94A30" w:rsidRPr="003B6AE3" w:rsidRDefault="00D94A30" w:rsidP="00D94A30">
      <w:pPr>
        <w:tabs>
          <w:tab w:val="right" w:pos="1701"/>
        </w:tabs>
        <w:spacing w:after="120"/>
      </w:pPr>
      <w:r w:rsidRPr="0DFD7869">
        <w:t>The Provider must accurately complete a pre-interview check in the Department’s IT Systems prior to the Capability Interview.</w:t>
      </w:r>
    </w:p>
    <w:p w14:paraId="03E3EF57" w14:textId="3E6985C9" w:rsidR="00D94A30" w:rsidRPr="00E719D1" w:rsidRDefault="00D94A30" w:rsidP="00D94A30">
      <w:pPr>
        <w:tabs>
          <w:tab w:val="right" w:pos="1701"/>
        </w:tabs>
        <w:spacing w:after="120"/>
      </w:pPr>
      <w:r>
        <w:t xml:space="preserve">The </w:t>
      </w:r>
      <w:r w:rsidRPr="0DFD7869">
        <w:t>Provider</w:t>
      </w:r>
      <w:r>
        <w:t xml:space="preserve"> must prepare for the Capability Interview by referring to the </w:t>
      </w:r>
      <w:r w:rsidRPr="00B57E2E">
        <w:rPr>
          <w:rStyle w:val="Hyperlink"/>
        </w:rPr>
        <w:t xml:space="preserve">Provider Actions – Conducting a Capability Interview </w:t>
      </w:r>
      <w:r w:rsidR="00B57E2E" w:rsidRPr="00B57E2E">
        <w:rPr>
          <w:rStyle w:val="Hyperlink"/>
        </w:rPr>
        <w:t>[LINK]</w:t>
      </w:r>
      <w:r w:rsidR="00B57E2E">
        <w:t xml:space="preserve"> </w:t>
      </w:r>
      <w:r>
        <w:t xml:space="preserve">supporting document and </w:t>
      </w:r>
      <w:r w:rsidR="00B57E2E" w:rsidRPr="00B57E2E">
        <w:rPr>
          <w:rStyle w:val="Hyperlink"/>
          <w:rFonts w:ascii="Tahoma" w:eastAsia="Tahoma" w:hAnsi="Tahoma" w:cs="Tahoma"/>
        </w:rPr>
        <w:t>Capability Interview Best Practice Guide</w:t>
      </w:r>
      <w:r w:rsidR="00B57E2E">
        <w:rPr>
          <w:rStyle w:val="Hyperlink"/>
          <w:rFonts w:ascii="Tahoma" w:eastAsia="Tahoma" w:hAnsi="Tahoma" w:cs="Tahoma"/>
        </w:rPr>
        <w:t xml:space="preserve"> [LINK]</w:t>
      </w:r>
      <w:r w:rsidR="00B57E2E">
        <w:t xml:space="preserve"> o</w:t>
      </w:r>
      <w:r>
        <w:t xml:space="preserve">n the </w:t>
      </w:r>
      <w:r w:rsidR="00B57E2E">
        <w:t>Provider P</w:t>
      </w:r>
      <w:r>
        <w:t>ortal.</w:t>
      </w:r>
    </w:p>
    <w:p w14:paraId="5A61813E" w14:textId="1D7F57CD" w:rsidR="00D94A30" w:rsidRDefault="00D94A30" w:rsidP="006F727E">
      <w:pPr>
        <w:pStyle w:val="SystemStep"/>
      </w:pPr>
      <w:r w:rsidRPr="1BDC0E7A">
        <w:t xml:space="preserve">To finalise the Capability Interview, select ‘submit’ in </w:t>
      </w:r>
      <w:r w:rsidR="00072717">
        <w:t>Department’s IT Systems</w:t>
      </w:r>
      <w:r w:rsidRPr="1BDC0E7A">
        <w:t xml:space="preserve"> after: </w:t>
      </w:r>
    </w:p>
    <w:p w14:paraId="69A820E8" w14:textId="2ED23555" w:rsidR="00D94A30" w:rsidRDefault="00D94A30" w:rsidP="004E120D">
      <w:pPr>
        <w:pStyle w:val="BulletLevel2"/>
      </w:pPr>
      <w:r w:rsidRPr="00C5373D">
        <w:t>completing the pre-interview check</w:t>
      </w:r>
      <w:r>
        <w:t>,</w:t>
      </w:r>
      <w:r w:rsidRPr="00C5373D">
        <w:t xml:space="preserve"> and</w:t>
      </w:r>
    </w:p>
    <w:p w14:paraId="72034802" w14:textId="590F7164" w:rsidR="00D94A30" w:rsidRPr="00E040EF" w:rsidRDefault="00D94A30" w:rsidP="004E120D">
      <w:pPr>
        <w:pStyle w:val="BulletLevel2"/>
      </w:pPr>
      <w:r w:rsidRPr="00C5373D">
        <w:t>recording all the relevant information during the Capability Interview.</w:t>
      </w:r>
    </w:p>
    <w:p w14:paraId="0FACCFEF" w14:textId="036CAB6F" w:rsidR="00D94A30" w:rsidRDefault="00D94A30" w:rsidP="00D94A30">
      <w:pPr>
        <w:pStyle w:val="Heading5"/>
        <w:rPr>
          <w:sz w:val="22"/>
          <w:szCs w:val="22"/>
        </w:rPr>
      </w:pPr>
      <w:r>
        <w:t>Actioning the outcomes of the Capability Interview</w:t>
      </w:r>
    </w:p>
    <w:p w14:paraId="73B1C4B6" w14:textId="22887398" w:rsidR="00D94A30" w:rsidRDefault="00D94A30" w:rsidP="00D94A30">
      <w:r>
        <w:t>The Department's IT Systems will display one of the following outcomes of a Capability Interview:</w:t>
      </w:r>
    </w:p>
    <w:p w14:paraId="05D47681" w14:textId="252A9777" w:rsidR="00D94A30" w:rsidRPr="00356FDA" w:rsidRDefault="00D94A30" w:rsidP="004E120D">
      <w:pPr>
        <w:pStyle w:val="BulletLevel1"/>
      </w:pPr>
      <w:r w:rsidRPr="00356FDA">
        <w:t>Capable</w:t>
      </w:r>
    </w:p>
    <w:p w14:paraId="42D2D40F" w14:textId="39CA53A3" w:rsidR="00D94A30" w:rsidRPr="00356FDA" w:rsidRDefault="00D94A30" w:rsidP="004E120D">
      <w:pPr>
        <w:pStyle w:val="BulletLevel1"/>
      </w:pPr>
      <w:r w:rsidRPr="00356FDA">
        <w:t>Not Capable due to errors in compulsory requirements</w:t>
      </w:r>
    </w:p>
    <w:p w14:paraId="2D1E08D6" w14:textId="33190987" w:rsidR="00D94A30" w:rsidRPr="00356FDA" w:rsidRDefault="00D94A30" w:rsidP="004E120D">
      <w:pPr>
        <w:pStyle w:val="BulletLevel1"/>
      </w:pPr>
      <w:r w:rsidRPr="00356FDA">
        <w:t>Not Capable of meeting current requirements due to ongoing circumstances</w:t>
      </w:r>
    </w:p>
    <w:p w14:paraId="7445B4DC" w14:textId="11A94E4F" w:rsidR="00D94A30" w:rsidRPr="00356FDA" w:rsidRDefault="00D94A30" w:rsidP="004E120D">
      <w:pPr>
        <w:pStyle w:val="BulletLevel1"/>
      </w:pPr>
      <w:r w:rsidRPr="00356FDA">
        <w:t>Not Capable due to newly disclosed information, or</w:t>
      </w:r>
    </w:p>
    <w:p w14:paraId="313841D3" w14:textId="3FB2A878" w:rsidR="00D94A30" w:rsidRPr="00356FDA" w:rsidRDefault="00D94A30" w:rsidP="004E120D">
      <w:pPr>
        <w:pStyle w:val="BulletLevel1"/>
      </w:pPr>
      <w:r w:rsidRPr="00356FDA">
        <w:t>Not Capable due to a change in service eligibility or stream.</w:t>
      </w:r>
    </w:p>
    <w:p w14:paraId="564216B0" w14:textId="0F43687D" w:rsidR="00D94A30" w:rsidRDefault="00D94A30" w:rsidP="00D94A30">
      <w:pPr>
        <w:rPr>
          <w:rFonts w:ascii="Tahoma" w:eastAsia="Tahoma" w:hAnsi="Tahoma"/>
        </w:rPr>
      </w:pPr>
      <w:r w:rsidRPr="0DFD7869">
        <w:rPr>
          <w:rFonts w:ascii="Tahoma" w:eastAsia="Tahoma" w:hAnsi="Tahoma"/>
        </w:rPr>
        <w:t>Each of these outcomes is discussed in further detail below.</w:t>
      </w:r>
    </w:p>
    <w:p w14:paraId="406D5260" w14:textId="3DF9A4C5" w:rsidR="00D94A30" w:rsidRDefault="00D94A30" w:rsidP="00D94A30">
      <w:pPr>
        <w:rPr>
          <w:rFonts w:ascii="Tahoma" w:eastAsia="Tahoma" w:hAnsi="Tahoma"/>
        </w:rPr>
      </w:pPr>
      <w:r w:rsidRPr="0DFD7869">
        <w:rPr>
          <w:rFonts w:ascii="Tahoma" w:eastAsia="Tahoma" w:hAnsi="Tahoma"/>
        </w:rPr>
        <w:t>The Provider must explain the outcome of the Capability Interview to the Participant while they are still in attendance/in contact during the Capability Interview appointment. The Provider must ensure that the Participant understands what the Capability Interview outcome means and what will happen next.</w:t>
      </w:r>
    </w:p>
    <w:p w14:paraId="3CFE110E" w14:textId="5D7FD9E9" w:rsidR="00D94A30" w:rsidRDefault="00D94A30" w:rsidP="00D94A30">
      <w:pPr>
        <w:pStyle w:val="DeedReferences"/>
      </w:pPr>
      <w:r>
        <w:t>(</w:t>
      </w:r>
      <w:r w:rsidR="00A73420">
        <w:t xml:space="preserve">Deed Reference(s): Clause </w:t>
      </w:r>
      <w:r w:rsidR="00133A72">
        <w:t>139.8, 139.9, 139.10</w:t>
      </w:r>
      <w:r>
        <w:t>)</w:t>
      </w:r>
    </w:p>
    <w:p w14:paraId="79E11A4D" w14:textId="64A49630" w:rsidR="00D94A30" w:rsidRPr="00E16DEA" w:rsidRDefault="00D94A30" w:rsidP="00356FDA">
      <w:pPr>
        <w:keepNext/>
        <w:rPr>
          <w:rFonts w:ascii="Tahoma" w:eastAsia="Tahoma" w:hAnsi="Tahoma"/>
          <w:b/>
          <w:u w:val="single"/>
        </w:rPr>
      </w:pPr>
      <w:r w:rsidRPr="00E16DEA">
        <w:rPr>
          <w:u w:val="single"/>
        </w:rPr>
        <w:t>Capable</w:t>
      </w:r>
    </w:p>
    <w:p w14:paraId="4BBB0278" w14:textId="2363DCC4" w:rsidR="00D94A30" w:rsidRDefault="00D94A30" w:rsidP="00D94A30">
      <w:pPr>
        <w:rPr>
          <w:rFonts w:ascii="Tahoma" w:eastAsia="Tahoma" w:hAnsi="Tahoma"/>
        </w:rPr>
      </w:pPr>
      <w:r w:rsidRPr="0DFD7869">
        <w:rPr>
          <w:rFonts w:ascii="Tahoma" w:eastAsia="Tahoma" w:hAnsi="Tahoma"/>
        </w:rPr>
        <w:t xml:space="preserve">If the outcome of the Capability Interview is that the Participant’s Job Plan and compulsory requirements are suitable for the Participant, they will continue in the Warning Zone with 3 Demerits. </w:t>
      </w:r>
    </w:p>
    <w:p w14:paraId="605A913B" w14:textId="1AFAF68D" w:rsidR="00D94A30" w:rsidRDefault="00D94A30" w:rsidP="00D94A30">
      <w:pPr>
        <w:rPr>
          <w:rFonts w:ascii="Tahoma" w:eastAsia="Tahoma" w:hAnsi="Tahoma"/>
        </w:rPr>
      </w:pPr>
      <w:r w:rsidRPr="0DFD7869">
        <w:rPr>
          <w:rFonts w:ascii="Tahoma" w:eastAsia="Tahoma" w:hAnsi="Tahoma"/>
        </w:rPr>
        <w:t>Because the Job Plan is suitable for the Participant, the Mutual Obligation Requirements specified in the Participant’s Job Plan do not need to be updated.</w:t>
      </w:r>
    </w:p>
    <w:p w14:paraId="0D8263E5" w14:textId="25745176" w:rsidR="00D94A30" w:rsidRDefault="00D94A30" w:rsidP="00D94A30">
      <w:pPr>
        <w:rPr>
          <w:rFonts w:ascii="Tahoma" w:eastAsia="Tahoma" w:hAnsi="Tahoma"/>
          <w:b/>
        </w:rPr>
      </w:pPr>
      <w:r w:rsidRPr="68799C3B">
        <w:t>Provider</w:t>
      </w:r>
      <w:r>
        <w:t>s must undertake the following</w:t>
      </w:r>
      <w:r w:rsidRPr="68799C3B">
        <w:t xml:space="preserve"> action</w:t>
      </w:r>
      <w:r>
        <w:t>s:</w:t>
      </w:r>
    </w:p>
    <w:p w14:paraId="5E3F0B67" w14:textId="52B26B96" w:rsidR="00D94A30" w:rsidRPr="00356FDA" w:rsidRDefault="00D94A30" w:rsidP="004E120D">
      <w:pPr>
        <w:pStyle w:val="BulletLevel1"/>
      </w:pPr>
      <w:r w:rsidRPr="00FD51B5">
        <w:t xml:space="preserve">Advise the </w:t>
      </w:r>
      <w:r>
        <w:t>Participant</w:t>
      </w:r>
      <w:r w:rsidRPr="00FD51B5">
        <w:t xml:space="preserve"> that their Job Plan and Mutual Obligation Requirements have been</w:t>
      </w:r>
      <w:r w:rsidRPr="68799C3B">
        <w:t xml:space="preserve"> assessed as </w:t>
      </w:r>
      <w:r w:rsidRPr="00356FDA">
        <w:t>being suitable for them.</w:t>
      </w:r>
    </w:p>
    <w:p w14:paraId="33A545A3" w14:textId="43EE2E8B" w:rsidR="00D94A30" w:rsidRPr="00356FDA" w:rsidRDefault="00D94A30" w:rsidP="004E120D">
      <w:pPr>
        <w:pStyle w:val="BulletLevel1"/>
      </w:pPr>
      <w:r w:rsidRPr="00356FDA">
        <w:t>Advise the Participant, if they continue to commit Mutual Obligation Failures without a Valid Reason, this may result in a Capability Assessment with Services Australia.</w:t>
      </w:r>
    </w:p>
    <w:p w14:paraId="666D422C" w14:textId="56293EE5" w:rsidR="00D94A30" w:rsidRDefault="00D94A30" w:rsidP="004E120D">
      <w:pPr>
        <w:pStyle w:val="BulletLevel1"/>
      </w:pPr>
      <w:r w:rsidRPr="00356FDA">
        <w:t>Explain</w:t>
      </w:r>
      <w:r w:rsidRPr="52F0E74A">
        <w:t xml:space="preserve"> to the </w:t>
      </w:r>
      <w:r>
        <w:t>Participant</w:t>
      </w:r>
      <w:r w:rsidRPr="52F0E74A">
        <w:t xml:space="preserve"> their Mutual Obligation Requirements and the consequences of non</w:t>
      </w:r>
      <w:r>
        <w:t>-</w:t>
      </w:r>
      <w:r w:rsidRPr="52F0E74A">
        <w:t>compliance.</w:t>
      </w:r>
    </w:p>
    <w:p w14:paraId="08908886" w14:textId="1B454E6A" w:rsidR="00D94A30" w:rsidRPr="00E16DEA" w:rsidRDefault="00D94A30" w:rsidP="00D94A30">
      <w:pPr>
        <w:keepNext/>
        <w:rPr>
          <w:u w:val="single"/>
        </w:rPr>
      </w:pPr>
      <w:r w:rsidRPr="00E16DEA">
        <w:rPr>
          <w:u w:val="single"/>
        </w:rPr>
        <w:t xml:space="preserve">Not Capable due to errors in </w:t>
      </w:r>
      <w:r>
        <w:rPr>
          <w:u w:val="single"/>
        </w:rPr>
        <w:t>compulsory requirements</w:t>
      </w:r>
    </w:p>
    <w:p w14:paraId="2BD23DCB" w14:textId="5C175DEC" w:rsidR="00D94A30" w:rsidRDefault="00D94A30" w:rsidP="00D94A30">
      <w:pPr>
        <w:rPr>
          <w:rFonts w:ascii="Tahoma" w:eastAsia="Tahoma" w:hAnsi="Tahoma"/>
        </w:rPr>
      </w:pPr>
      <w:r w:rsidRPr="0DFD7869">
        <w:rPr>
          <w:rFonts w:ascii="Tahoma" w:eastAsia="Tahoma" w:hAnsi="Tahoma"/>
        </w:rPr>
        <w:t>If the outcome of the Capability Interview is that there are errors in the Participant’s compulsory requirements, the Participant is returned to the Green Zone with their Demerits reset to zero.</w:t>
      </w:r>
    </w:p>
    <w:p w14:paraId="3B9968AB" w14:textId="63F919EF" w:rsidR="00D94A30" w:rsidRDefault="00D94A30" w:rsidP="00D94A30">
      <w:pPr>
        <w:rPr>
          <w:rFonts w:ascii="Tahoma" w:eastAsia="Tahoma" w:hAnsi="Tahoma"/>
          <w:b/>
        </w:rPr>
      </w:pPr>
      <w:bookmarkStart w:id="563" w:name="_Hlk189252214"/>
      <w:r w:rsidRPr="68799C3B">
        <w:t>Provider</w:t>
      </w:r>
      <w:r>
        <w:t>s must undertake the following</w:t>
      </w:r>
      <w:r w:rsidRPr="68799C3B">
        <w:t xml:space="preserve"> action</w:t>
      </w:r>
      <w:r>
        <w:t>s:</w:t>
      </w:r>
    </w:p>
    <w:bookmarkEnd w:id="563"/>
    <w:p w14:paraId="07512C62" w14:textId="1789737E" w:rsidR="00D94A30" w:rsidRPr="00356FDA" w:rsidRDefault="00D94A30" w:rsidP="004E120D">
      <w:pPr>
        <w:pStyle w:val="BulletLevel1"/>
      </w:pPr>
      <w:r w:rsidRPr="00356FDA">
        <w:t>Discuss the Participant’s requirements with them, renegotiate and update the Participant’s Job Plan and compulsory requirements so that they are suitable. This should be undertaken as soon as the Capability Interview outcome has been determined by the Department’s IT Systems, or if this is not possible within 10 Business Days following the finalisation of the Capability Interview.</w:t>
      </w:r>
    </w:p>
    <w:p w14:paraId="50207149" w14:textId="7AB84473" w:rsidR="00D94A30" w:rsidRDefault="00D94A30" w:rsidP="004E120D">
      <w:pPr>
        <w:pStyle w:val="BulletLevel1"/>
      </w:pPr>
      <w:r w:rsidRPr="00356FDA">
        <w:t>Explain to the Participant their Mutual Obligation Requirements and the consequences of non-</w:t>
      </w:r>
      <w:r w:rsidRPr="52F0E74A">
        <w:t>compliance.</w:t>
      </w:r>
    </w:p>
    <w:p w14:paraId="07A6D484" w14:textId="582EF9E9" w:rsidR="00D94A30" w:rsidRDefault="00D94A30" w:rsidP="00D94A30">
      <w:pPr>
        <w:rPr>
          <w:rFonts w:ascii="Tahoma" w:eastAsia="Tahoma" w:hAnsi="Tahoma"/>
        </w:rPr>
      </w:pPr>
      <w:r w:rsidRPr="5DD2C18A">
        <w:rPr>
          <w:rFonts w:ascii="Tahoma" w:eastAsia="Tahoma" w:hAnsi="Tahoma"/>
          <w:b/>
          <w:bCs/>
        </w:rPr>
        <w:t>Note:</w:t>
      </w:r>
      <w:r w:rsidRPr="5DD2C18A">
        <w:rPr>
          <w:rFonts w:ascii="Tahoma" w:eastAsia="Tahoma" w:hAnsi="Tahoma"/>
        </w:rPr>
        <w:t xml:space="preserve"> Until the Job Plan has been </w:t>
      </w:r>
      <w:r w:rsidR="005F136F">
        <w:rPr>
          <w:rFonts w:ascii="Tahoma" w:eastAsia="Tahoma" w:hAnsi="Tahoma"/>
        </w:rPr>
        <w:t>renegotiated</w:t>
      </w:r>
      <w:r w:rsidRPr="5DD2C18A">
        <w:rPr>
          <w:rFonts w:ascii="Tahoma" w:eastAsia="Tahoma" w:hAnsi="Tahoma"/>
        </w:rPr>
        <w:t xml:space="preserve"> and agreed, the Participant cannot accrue further </w:t>
      </w:r>
      <w:r>
        <w:rPr>
          <w:rFonts w:ascii="Tahoma" w:eastAsia="Tahoma" w:hAnsi="Tahoma"/>
        </w:rPr>
        <w:t>Demerit</w:t>
      </w:r>
      <w:r w:rsidRPr="5DD2C18A">
        <w:rPr>
          <w:rFonts w:ascii="Tahoma" w:eastAsia="Tahoma" w:hAnsi="Tahoma"/>
        </w:rPr>
        <w:t xml:space="preserve">s. Once the Participant has agreed to their new Job Plan, the Participant will be able to accrue </w:t>
      </w:r>
      <w:r>
        <w:rPr>
          <w:rFonts w:ascii="Tahoma" w:eastAsia="Tahoma" w:hAnsi="Tahoma"/>
        </w:rPr>
        <w:t>Demerit</w:t>
      </w:r>
      <w:r w:rsidRPr="5DD2C18A">
        <w:rPr>
          <w:rFonts w:ascii="Tahoma" w:eastAsia="Tahoma" w:hAnsi="Tahoma"/>
        </w:rPr>
        <w:t>s.</w:t>
      </w:r>
    </w:p>
    <w:p w14:paraId="26337B03" w14:textId="53083613" w:rsidR="00D94A30" w:rsidRPr="00E16DEA" w:rsidRDefault="00D94A30" w:rsidP="00D94A30">
      <w:pPr>
        <w:keepNext/>
        <w:rPr>
          <w:u w:val="single"/>
        </w:rPr>
      </w:pPr>
      <w:r w:rsidRPr="00E16DEA">
        <w:rPr>
          <w:u w:val="single"/>
        </w:rPr>
        <w:t>Not Capable of meeting current requirements due to ongoing circumstances</w:t>
      </w:r>
    </w:p>
    <w:p w14:paraId="2002D844" w14:textId="34EA2199" w:rsidR="00D94A30" w:rsidRDefault="00D94A30" w:rsidP="00D94A30">
      <w:r w:rsidRPr="52F0E74A">
        <w:t xml:space="preserve">If the outcome of the Capability Interview is the </w:t>
      </w:r>
      <w:r>
        <w:t>Participant</w:t>
      </w:r>
      <w:r w:rsidRPr="52F0E74A">
        <w:t xml:space="preserve"> is not capable of meeting their current </w:t>
      </w:r>
      <w:r>
        <w:t>compulsory requirements</w:t>
      </w:r>
      <w:r w:rsidRPr="52F0E74A">
        <w:t xml:space="preserve"> due to ongoing circumstances, the </w:t>
      </w:r>
      <w:r>
        <w:t>Participant</w:t>
      </w:r>
      <w:r w:rsidRPr="52F0E74A">
        <w:t xml:space="preserve"> is returned to the Green Zone with their </w:t>
      </w:r>
      <w:r>
        <w:t>Demerit</w:t>
      </w:r>
      <w:r w:rsidRPr="52F0E74A">
        <w:t>s reset to zero.</w:t>
      </w:r>
    </w:p>
    <w:p w14:paraId="282F68B2" w14:textId="0025957D" w:rsidR="00D94A30" w:rsidRPr="00326B26" w:rsidRDefault="00D94A30" w:rsidP="00D94A30">
      <w:r w:rsidRPr="00326B26">
        <w:rPr>
          <w:rFonts w:eastAsiaTheme="majorEastAsia" w:cstheme="majorBidi"/>
          <w:iCs/>
        </w:rPr>
        <w:t>Providers must undertake the following actions:</w:t>
      </w:r>
    </w:p>
    <w:p w14:paraId="3DD02CC9" w14:textId="3B9C055E" w:rsidR="00D94A30" w:rsidRPr="00356FDA" w:rsidRDefault="00D94A30" w:rsidP="004E120D">
      <w:pPr>
        <w:pStyle w:val="BulletLevel1"/>
      </w:pPr>
      <w:r w:rsidRPr="00356FDA">
        <w:t>Discuss the Participant’s requirements with them, renegotiate and update the Participant’s Job Plan and compulsory requirements so that they are suitable. This should be undertaken as soon as the Capability Interview outcome has been determined by the Department’s IT Systems, or if this is not possible within 10 Business Days following the finalisation of the Capability Interview.</w:t>
      </w:r>
    </w:p>
    <w:p w14:paraId="7652F6BB" w14:textId="77777777" w:rsidR="00D94A30" w:rsidRDefault="00D94A30" w:rsidP="004E120D">
      <w:pPr>
        <w:pStyle w:val="BulletLevel1"/>
      </w:pPr>
      <w:r w:rsidRPr="00356FDA">
        <w:t>Explain to the Participant their Mutual Obligation Requirements and the consequences of</w:t>
      </w:r>
      <w:r w:rsidRPr="52F0E74A">
        <w:t xml:space="preserve"> non</w:t>
      </w:r>
      <w:r>
        <w:noBreakHyphen/>
      </w:r>
      <w:r w:rsidRPr="52F0E74A">
        <w:t>compliance.</w:t>
      </w:r>
    </w:p>
    <w:p w14:paraId="67D04A5C" w14:textId="7D7C5EB1" w:rsidR="00D94A30" w:rsidRDefault="00D94A30" w:rsidP="00D94A30">
      <w:pPr>
        <w:rPr>
          <w:rFonts w:ascii="Tahoma" w:eastAsia="Tahoma" w:hAnsi="Tahoma"/>
        </w:rPr>
      </w:pPr>
      <w:r w:rsidRPr="5DD2C18A">
        <w:rPr>
          <w:rFonts w:ascii="Tahoma" w:eastAsia="Tahoma" w:hAnsi="Tahoma"/>
          <w:b/>
          <w:bCs/>
        </w:rPr>
        <w:t>Note:</w:t>
      </w:r>
      <w:r w:rsidRPr="5DD2C18A">
        <w:rPr>
          <w:rFonts w:ascii="Tahoma" w:eastAsia="Tahoma" w:hAnsi="Tahoma"/>
        </w:rPr>
        <w:t xml:space="preserve"> </w:t>
      </w:r>
      <w:r w:rsidR="00177882" w:rsidRPr="5DD2C18A">
        <w:rPr>
          <w:rFonts w:ascii="Tahoma" w:eastAsia="Tahoma" w:hAnsi="Tahoma"/>
        </w:rPr>
        <w:t xml:space="preserve">Until the Job Plan has been </w:t>
      </w:r>
      <w:r w:rsidR="00177882">
        <w:rPr>
          <w:rFonts w:ascii="Tahoma" w:eastAsia="Tahoma" w:hAnsi="Tahoma"/>
        </w:rPr>
        <w:t>renegotiated</w:t>
      </w:r>
      <w:r w:rsidR="00177882" w:rsidRPr="5DD2C18A">
        <w:rPr>
          <w:rFonts w:ascii="Tahoma" w:eastAsia="Tahoma" w:hAnsi="Tahoma"/>
        </w:rPr>
        <w:t xml:space="preserve"> and agreed, the Participant cannot accrue further </w:t>
      </w:r>
      <w:r w:rsidR="00177882">
        <w:rPr>
          <w:rFonts w:ascii="Tahoma" w:eastAsia="Tahoma" w:hAnsi="Tahoma"/>
        </w:rPr>
        <w:t>Demerit</w:t>
      </w:r>
      <w:r w:rsidR="00177882" w:rsidRPr="5DD2C18A">
        <w:rPr>
          <w:rFonts w:ascii="Tahoma" w:eastAsia="Tahoma" w:hAnsi="Tahoma"/>
        </w:rPr>
        <w:t xml:space="preserve">s. Once the Participant has agreed to their new Job Plan, the Participant will be able to accrue </w:t>
      </w:r>
      <w:r w:rsidR="00177882">
        <w:rPr>
          <w:rFonts w:ascii="Tahoma" w:eastAsia="Tahoma" w:hAnsi="Tahoma"/>
        </w:rPr>
        <w:t>Demerit</w:t>
      </w:r>
      <w:r w:rsidR="00177882" w:rsidRPr="5DD2C18A">
        <w:rPr>
          <w:rFonts w:ascii="Tahoma" w:eastAsia="Tahoma" w:hAnsi="Tahoma"/>
        </w:rPr>
        <w:t>s</w:t>
      </w:r>
      <w:r w:rsidRPr="5DD2C18A">
        <w:rPr>
          <w:rFonts w:ascii="Tahoma" w:eastAsia="Tahoma" w:hAnsi="Tahoma"/>
        </w:rPr>
        <w:t>.</w:t>
      </w:r>
    </w:p>
    <w:p w14:paraId="3CC190F3" w14:textId="34BB2700" w:rsidR="00D94A30" w:rsidRPr="00E16DEA" w:rsidRDefault="00D94A30" w:rsidP="00D94A30">
      <w:pPr>
        <w:keepNext/>
        <w:rPr>
          <w:u w:val="single"/>
        </w:rPr>
      </w:pPr>
      <w:r w:rsidRPr="00E16DEA">
        <w:rPr>
          <w:u w:val="single"/>
        </w:rPr>
        <w:t>Not Capable due to newly disclosed information</w:t>
      </w:r>
    </w:p>
    <w:p w14:paraId="68E298D6" w14:textId="3DE0DC10" w:rsidR="00D94A30" w:rsidRDefault="00D94A30" w:rsidP="00D94A30">
      <w:pPr>
        <w:rPr>
          <w:rFonts w:ascii="Tahoma" w:eastAsia="Tahoma" w:hAnsi="Tahoma"/>
        </w:rPr>
      </w:pPr>
      <w:r w:rsidRPr="0DFD7869">
        <w:rPr>
          <w:rFonts w:ascii="Tahoma" w:eastAsia="Tahoma" w:hAnsi="Tahoma"/>
        </w:rPr>
        <w:t>If the outcome of the Capability Interview is that the Participant was not capable of meeting their compulsory requirements at the time non-compliance occurred, the Participant is returned to the Green Zone with their Demerits reset to zero.</w:t>
      </w:r>
    </w:p>
    <w:p w14:paraId="580E2C6C" w14:textId="005616D0" w:rsidR="00D94A30" w:rsidRDefault="00D94A30" w:rsidP="00D94A30">
      <w:pPr>
        <w:rPr>
          <w:rFonts w:ascii="Tahoma" w:eastAsia="Tahoma" w:hAnsi="Tahoma"/>
          <w:b/>
        </w:rPr>
      </w:pPr>
      <w:r w:rsidRPr="68799C3B">
        <w:t>Provider</w:t>
      </w:r>
      <w:r>
        <w:t>s must undertake the following</w:t>
      </w:r>
      <w:r w:rsidRPr="68799C3B">
        <w:t xml:space="preserve"> action</w:t>
      </w:r>
      <w:r>
        <w:t>s:</w:t>
      </w:r>
    </w:p>
    <w:p w14:paraId="32CB0D8B" w14:textId="4028A6D9" w:rsidR="00D94A30" w:rsidRPr="00356FDA" w:rsidRDefault="00D94A30" w:rsidP="004E120D">
      <w:pPr>
        <w:pStyle w:val="BulletLevel1"/>
      </w:pPr>
      <w:r w:rsidRPr="00356FDA">
        <w:t>Consider if the Mutual Obligation Requirements specified in the Participant’s Job Plan remain appropriate to the Participant’s circumstances and the Participant can meet them.</w:t>
      </w:r>
    </w:p>
    <w:p w14:paraId="6F3C4D6F" w14:textId="3424CDD2" w:rsidR="00D94A30" w:rsidRDefault="00D94A30" w:rsidP="00201C84">
      <w:pPr>
        <w:pStyle w:val="BulletLevel1"/>
      </w:pPr>
      <w:r w:rsidRPr="00356FDA">
        <w:t xml:space="preserve">If not, </w:t>
      </w:r>
      <w:r w:rsidR="00BC6F4F">
        <w:t>d</w:t>
      </w:r>
      <w:r w:rsidR="00BC6F4F" w:rsidRPr="00356FDA">
        <w:t>iscuss the Participant’s requirements with them, renegotiate and update the Participant’s Job Plan and compulsory requirements so that they are suitable</w:t>
      </w:r>
      <w:r w:rsidRPr="00356FDA">
        <w:t xml:space="preserve">. </w:t>
      </w:r>
      <w:r w:rsidR="002625F3" w:rsidRPr="00356FDA">
        <w:t xml:space="preserve">This </w:t>
      </w:r>
      <w:r w:rsidR="002625F3">
        <w:t>can</w:t>
      </w:r>
      <w:r w:rsidR="002625F3" w:rsidRPr="00356FDA">
        <w:t xml:space="preserve"> be undertaken </w:t>
      </w:r>
      <w:r w:rsidR="002625F3">
        <w:t>at the</w:t>
      </w:r>
      <w:r w:rsidR="002625F3" w:rsidRPr="00356FDA">
        <w:t xml:space="preserve"> Capability Interview, or if this is not possible within 10 Business Days following the finalisation of the Capability Interview</w:t>
      </w:r>
      <w:r w:rsidRPr="52F0E74A">
        <w:t>.</w:t>
      </w:r>
    </w:p>
    <w:p w14:paraId="777393E1" w14:textId="36FE2A70" w:rsidR="00D94A30" w:rsidRDefault="00D94A30" w:rsidP="004E120D">
      <w:pPr>
        <w:pStyle w:val="BulletLevel1"/>
      </w:pPr>
      <w:r w:rsidRPr="52F0E74A">
        <w:t xml:space="preserve">Explain to the </w:t>
      </w:r>
      <w:r>
        <w:t>Participant</w:t>
      </w:r>
      <w:r w:rsidRPr="52F0E74A">
        <w:t xml:space="preserve"> their Mutual Obligation Requirements and the consequences of non-compliance.</w:t>
      </w:r>
    </w:p>
    <w:p w14:paraId="27FD28FC" w14:textId="6E08EE41" w:rsidR="00D94A30" w:rsidRPr="00E16DEA" w:rsidRDefault="00D94A30" w:rsidP="00D94A30">
      <w:pPr>
        <w:rPr>
          <w:u w:val="single"/>
        </w:rPr>
      </w:pPr>
      <w:r w:rsidRPr="00E16DEA">
        <w:rPr>
          <w:u w:val="single"/>
        </w:rPr>
        <w:t xml:space="preserve">Not Capable due to a change in service eligibility or stream </w:t>
      </w:r>
    </w:p>
    <w:p w14:paraId="361A03F8" w14:textId="53F8A9FC" w:rsidR="00D94A30" w:rsidRDefault="00D94A30" w:rsidP="00D94A30">
      <w:pPr>
        <w:rPr>
          <w:rFonts w:ascii="Tahoma" w:eastAsia="Tahoma" w:hAnsi="Tahoma"/>
        </w:rPr>
      </w:pPr>
      <w:r w:rsidRPr="0DFD7869">
        <w:rPr>
          <w:rFonts w:ascii="Tahoma" w:eastAsia="Tahoma" w:hAnsi="Tahoma"/>
        </w:rPr>
        <w:t xml:space="preserve">If the outcome of the Capability Interview is the Participant is not capable due to a change in service eligibility or stream, the Participant is returned to the Green Zone with their Demerits reset to zero. </w:t>
      </w:r>
    </w:p>
    <w:p w14:paraId="1F171251" w14:textId="546F28E6" w:rsidR="00D94A30" w:rsidRDefault="00D94A30" w:rsidP="00D94A30">
      <w:pPr>
        <w:rPr>
          <w:rFonts w:ascii="Tahoma" w:eastAsia="Tahoma" w:hAnsi="Tahoma"/>
          <w:b/>
        </w:rPr>
      </w:pPr>
      <w:r w:rsidRPr="68799C3B">
        <w:t>Provider</w:t>
      </w:r>
      <w:r>
        <w:t>s must undertake the following</w:t>
      </w:r>
      <w:r w:rsidRPr="68799C3B">
        <w:t xml:space="preserve"> action</w:t>
      </w:r>
      <w:r>
        <w:t>s:</w:t>
      </w:r>
    </w:p>
    <w:p w14:paraId="5326835E" w14:textId="30A7F2AB" w:rsidR="00D94A30" w:rsidRPr="00356FDA" w:rsidRDefault="00D94A30" w:rsidP="004E120D">
      <w:pPr>
        <w:pStyle w:val="BulletLevel1"/>
      </w:pPr>
      <w:r w:rsidRPr="00356FDA">
        <w:t>Advise the Participant that their level of servicing or program eligibility has changed because of an updated JSCI score or new ESAt.</w:t>
      </w:r>
    </w:p>
    <w:p w14:paraId="078A941B" w14:textId="1B668CA9" w:rsidR="00D94A30" w:rsidRPr="00356FDA" w:rsidRDefault="00D94A30" w:rsidP="004E120D">
      <w:pPr>
        <w:pStyle w:val="BulletLevel1"/>
      </w:pPr>
      <w:r w:rsidRPr="00356FDA">
        <w:t>Discuss the Participant’s requirements with them, renegotiate and update the Participant’s Job Plan and compulsory requirements so that they are suitable. This should be undertaken as soon as the Capability Interview outcome has been determined by the Department’s IT Systems, or if this is not possible within 10 Business Days following the finalisation of the Capability Interview.</w:t>
      </w:r>
    </w:p>
    <w:p w14:paraId="6A6072F3" w14:textId="20A3DB6C" w:rsidR="00D94A30" w:rsidRPr="00356FDA" w:rsidRDefault="00D94A30" w:rsidP="004E120D">
      <w:pPr>
        <w:pStyle w:val="BulletLevel1"/>
      </w:pPr>
      <w:r w:rsidRPr="00356FDA">
        <w:t>Explain to the Participant their Mutual Obligation Requirements and the consequences of non-compliance.</w:t>
      </w:r>
    </w:p>
    <w:p w14:paraId="1126B563" w14:textId="4AFFE822" w:rsidR="00D94A30" w:rsidRDefault="00D94A30" w:rsidP="00D94A30">
      <w:pPr>
        <w:pStyle w:val="Heading4"/>
      </w:pPr>
      <w:bookmarkStart w:id="564" w:name="_Toc202900113"/>
      <w:bookmarkStart w:id="565" w:name="_Ref202949340"/>
      <w:r>
        <w:t>12.4.8</w:t>
      </w:r>
      <w:r w:rsidR="00713B9B">
        <w:tab/>
      </w:r>
      <w:r>
        <w:t>Capability Assessment</w:t>
      </w:r>
      <w:bookmarkEnd w:id="564"/>
      <w:bookmarkEnd w:id="565"/>
    </w:p>
    <w:p w14:paraId="2A7CD843" w14:textId="19EB3735" w:rsidR="000C42EA" w:rsidRDefault="000C42EA" w:rsidP="000C42EA">
      <w:pPr>
        <w:rPr>
          <w:rFonts w:ascii="Tahoma" w:eastAsia="Tahoma" w:hAnsi="Tahoma"/>
        </w:rPr>
      </w:pPr>
      <w:r>
        <w:rPr>
          <w:rFonts w:ascii="Tahoma" w:eastAsia="Tahoma" w:hAnsi="Tahoma"/>
        </w:rPr>
        <w:t>A Capability Assessment is the Re-engagement Requirement when a Participant has 5 confirmed Demerits or a fast-track failure</w:t>
      </w:r>
      <w:r w:rsidR="000C3610">
        <w:rPr>
          <w:rFonts w:ascii="Tahoma" w:eastAsia="Tahoma" w:hAnsi="Tahoma"/>
        </w:rPr>
        <w:t xml:space="preserve"> with 3-4 confirmed Demerits</w:t>
      </w:r>
      <w:r>
        <w:rPr>
          <w:rFonts w:ascii="Tahoma" w:eastAsia="Tahoma" w:hAnsi="Tahoma"/>
        </w:rPr>
        <w:t>.</w:t>
      </w:r>
    </w:p>
    <w:p w14:paraId="15095A07" w14:textId="67D9E43E" w:rsidR="00D94A30" w:rsidRDefault="00D94A30" w:rsidP="00D94A30">
      <w:r>
        <w:t xml:space="preserve">A Capability Assessment is further protection for the most vulnerable Participants to confirm that </w:t>
      </w:r>
      <w:r w:rsidRPr="006A5443">
        <w:t>a Participant’s Job Plan and Mutual Obligation Requirements are suitable</w:t>
      </w:r>
      <w:r>
        <w:t xml:space="preserve"> and gives another opportunity for Participants to disclose issues that may be affecting their ability to meet the requirements specified in their Job Plan.</w:t>
      </w:r>
    </w:p>
    <w:p w14:paraId="22CF87D3" w14:textId="175A1D61" w:rsidR="00D94A30" w:rsidRDefault="00D94A30" w:rsidP="00D94A30">
      <w:r>
        <w:t xml:space="preserve">Capability Assessments are conducted by Services Australia and ensure only those Participants who deliberately fail to meet their Mutual Obligation Requirements face potential financial penalties. </w:t>
      </w:r>
    </w:p>
    <w:p w14:paraId="0E9A75DC" w14:textId="71516C84" w:rsidR="00D94A30" w:rsidRDefault="00D94A30" w:rsidP="00D94A30">
      <w:r w:rsidRPr="68799C3B">
        <w:t>Even though Providers do not conduct Capability Assessments, Providers still have Deed obligations in relation to Capability Assessments.</w:t>
      </w:r>
    </w:p>
    <w:p w14:paraId="56A821FB" w14:textId="463288C9" w:rsidR="00D94A30" w:rsidRDefault="00D94A30" w:rsidP="00D94A30">
      <w:pPr>
        <w:pStyle w:val="DeedReferences"/>
      </w:pPr>
      <w:r w:rsidRPr="68799C3B">
        <w:t>(</w:t>
      </w:r>
      <w:r w:rsidR="00A73420">
        <w:t xml:space="preserve">Deed Reference(s): Clause </w:t>
      </w:r>
      <w:r w:rsidR="00133A72">
        <w:t>139.11</w:t>
      </w:r>
      <w:r w:rsidRPr="68799C3B">
        <w:t>)</w:t>
      </w:r>
    </w:p>
    <w:p w14:paraId="7FC83D67" w14:textId="701FF8C4" w:rsidR="00D94A30" w:rsidRDefault="000C3610" w:rsidP="00AF083B">
      <w:r w:rsidRPr="00AF083B">
        <w:rPr>
          <w:rFonts w:ascii="Tahoma" w:eastAsia="Tahoma" w:hAnsi="Tahoma"/>
          <w:u w:val="single"/>
        </w:rPr>
        <w:t>If the</w:t>
      </w:r>
      <w:r w:rsidR="00D94A30" w:rsidRPr="00AF083B">
        <w:rPr>
          <w:rFonts w:ascii="Tahoma" w:eastAsia="Tahoma" w:hAnsi="Tahoma"/>
          <w:u w:val="single"/>
        </w:rPr>
        <w:t xml:space="preserve"> outcome of the </w:t>
      </w:r>
      <w:r w:rsidR="00D94A30" w:rsidRPr="00AF083B">
        <w:rPr>
          <w:u w:val="single"/>
        </w:rPr>
        <w:t xml:space="preserve">Capability Interview </w:t>
      </w:r>
      <w:r w:rsidR="00AF083B" w:rsidRPr="00AF083B">
        <w:rPr>
          <w:u w:val="single"/>
        </w:rPr>
        <w:t>is that the Participant is not capable</w:t>
      </w:r>
      <w:r w:rsidR="00AF083B">
        <w:t xml:space="preserve"> of meeting their requirements, the Participant will </w:t>
      </w:r>
      <w:r w:rsidR="00D94A30" w:rsidRPr="68799C3B">
        <w:t xml:space="preserve">return to the Green Zone with their </w:t>
      </w:r>
      <w:r w:rsidR="00D94A30">
        <w:t>Demerit</w:t>
      </w:r>
      <w:r w:rsidR="00D94A30" w:rsidRPr="68799C3B">
        <w:t>s reset to zero</w:t>
      </w:r>
      <w:r w:rsidR="00AF083B">
        <w:t>.</w:t>
      </w:r>
    </w:p>
    <w:p w14:paraId="52E9D25E" w14:textId="0F712A57" w:rsidR="00AF083B" w:rsidRPr="00356FDA" w:rsidRDefault="00AF083B" w:rsidP="00AF083B">
      <w:r w:rsidRPr="00AF083B">
        <w:rPr>
          <w:rFonts w:ascii="Tahoma" w:eastAsia="Tahoma" w:hAnsi="Tahoma"/>
          <w:u w:val="single"/>
        </w:rPr>
        <w:t xml:space="preserve">If the outcome of the </w:t>
      </w:r>
      <w:r w:rsidRPr="00AF083B">
        <w:rPr>
          <w:u w:val="single"/>
        </w:rPr>
        <w:t>Capability Interview is that the Participant is capable</w:t>
      </w:r>
      <w:r>
        <w:t xml:space="preserve"> of meeting their requirements, the Participant will</w:t>
      </w:r>
      <w:r w:rsidRPr="00AF083B">
        <w:t xml:space="preserve"> </w:t>
      </w:r>
      <w:r w:rsidRPr="00356FDA">
        <w:t>enter the Penalty Zone and incur financial penalties for future non-compliance</w:t>
      </w:r>
      <w:r>
        <w:t>.</w:t>
      </w:r>
    </w:p>
    <w:p w14:paraId="5B75A370" w14:textId="2A985ED3" w:rsidR="00D94A30" w:rsidRDefault="00D94A30" w:rsidP="00D94A30">
      <w:r>
        <w:t xml:space="preserve">If a </w:t>
      </w:r>
      <w:r w:rsidRPr="00410873">
        <w:t>Participant commit</w:t>
      </w:r>
      <w:r>
        <w:t>s</w:t>
      </w:r>
      <w:r w:rsidRPr="00410873">
        <w:t xml:space="preserve"> further Mutual Obligation Failures after participating in a Capability Assessment but before the Capability Assessment has been finalised in the Department’s IT Systems</w:t>
      </w:r>
      <w:r>
        <w:t>,</w:t>
      </w:r>
      <w:r w:rsidRPr="00410873">
        <w:t xml:space="preserve"> the Participant will not accrue Demerits, but their Income Support Payment may still be suspended to encourage the Participant to reconnect with their Provider</w:t>
      </w:r>
      <w:r>
        <w:t>.</w:t>
      </w:r>
    </w:p>
    <w:p w14:paraId="4B0BE8BD" w14:textId="2F2262B8" w:rsidR="00D94A30" w:rsidRDefault="00D94A30" w:rsidP="00D94A30">
      <w:r w:rsidRPr="005A3DAC">
        <w:t xml:space="preserve">Providers must still comply with their obligations relating to Work Refusal Failures and Unemployment Failures, regardless of </w:t>
      </w:r>
      <w:r w:rsidR="00BE0F04">
        <w:t>if</w:t>
      </w:r>
      <w:r w:rsidRPr="005A3DAC">
        <w:t xml:space="preserve"> the Capability Assessment is finalised in the Department’s IT Systems</w:t>
      </w:r>
      <w:r>
        <w:t>.</w:t>
      </w:r>
    </w:p>
    <w:p w14:paraId="22EC6777" w14:textId="13031A28" w:rsidR="00D94A30" w:rsidRDefault="00D94A30" w:rsidP="00D94A30">
      <w:pPr>
        <w:pStyle w:val="Heading5"/>
      </w:pPr>
      <w:r>
        <w:t>When a Capability Assessment is triggered</w:t>
      </w:r>
    </w:p>
    <w:p w14:paraId="6249FAAC" w14:textId="37199397" w:rsidR="00D94A30" w:rsidRDefault="00D94A30" w:rsidP="00D94A30">
      <w:pPr>
        <w:rPr>
          <w:rFonts w:ascii="Tahoma" w:eastAsia="Tahoma" w:hAnsi="Tahoma"/>
        </w:rPr>
      </w:pPr>
      <w:r w:rsidRPr="0DFD7869">
        <w:rPr>
          <w:rFonts w:ascii="Tahoma" w:eastAsia="Tahoma" w:hAnsi="Tahoma"/>
        </w:rPr>
        <w:t>Services Australia conducts a Capability Assessment when the Participant has:</w:t>
      </w:r>
    </w:p>
    <w:p w14:paraId="4B228C66" w14:textId="7903BD22" w:rsidR="00D94A30" w:rsidRPr="00356FDA" w:rsidRDefault="00D94A30" w:rsidP="004E120D">
      <w:pPr>
        <w:pStyle w:val="BulletLevel1"/>
      </w:pPr>
      <w:r w:rsidRPr="00356FDA">
        <w:t>reached 5 Demerits (including through a ‘fast-track’ failure)</w:t>
      </w:r>
    </w:p>
    <w:p w14:paraId="0770FED3" w14:textId="75415DC2" w:rsidR="00D94A30" w:rsidRPr="00356FDA" w:rsidRDefault="006446A0" w:rsidP="004E120D">
      <w:pPr>
        <w:pStyle w:val="BulletLevel1"/>
      </w:pPr>
      <w:r>
        <w:t>been found capable of meeting their requirements at</w:t>
      </w:r>
      <w:r w:rsidR="00D94A30" w:rsidRPr="00356FDA">
        <w:t xml:space="preserve"> a Capability Interview</w:t>
      </w:r>
      <w:r w:rsidR="00CF7C0D">
        <w:t>, and</w:t>
      </w:r>
    </w:p>
    <w:p w14:paraId="14EC88FF" w14:textId="2E9FC679" w:rsidR="00D94A30" w:rsidRPr="00356FDA" w:rsidRDefault="00D94A30" w:rsidP="004E120D">
      <w:pPr>
        <w:pStyle w:val="BulletLevel1"/>
      </w:pPr>
      <w:r w:rsidRPr="00356FDA">
        <w:t>have not had a Capability Assessment conducted in the previous 60 calendar days that found their requirements suitable.</w:t>
      </w:r>
    </w:p>
    <w:p w14:paraId="515055C9" w14:textId="4329B8B7" w:rsidR="00D94A30" w:rsidRDefault="00D94A30" w:rsidP="00D94A30">
      <w:r w:rsidRPr="0DFD7869">
        <w:rPr>
          <w:rFonts w:ascii="Tahoma" w:eastAsia="Tahoma" w:hAnsi="Tahoma"/>
        </w:rPr>
        <w:t xml:space="preserve">In these circumstances </w:t>
      </w:r>
      <w:r w:rsidRPr="68799C3B">
        <w:t>a Capability Assessment is said to be ‘triggered’</w:t>
      </w:r>
      <w:r>
        <w:t>, and the Department’s IT Systems will identify that the Participant’s Re-engagement Requirement is Capability Assessment.</w:t>
      </w:r>
    </w:p>
    <w:p w14:paraId="11F7CDE0" w14:textId="50C21729" w:rsidR="00D94A30" w:rsidRDefault="00D94A30" w:rsidP="00D94A30">
      <w:pPr>
        <w:rPr>
          <w:rFonts w:ascii="Tahoma" w:eastAsia="Tahoma" w:hAnsi="Tahoma"/>
        </w:rPr>
      </w:pPr>
      <w:r>
        <w:t xml:space="preserve">When alerted that the Participant has to attend a Capability Assessment, the Provider must read the </w:t>
      </w:r>
      <w:r w:rsidRPr="52F0E74A">
        <w:t>formal notification script</w:t>
      </w:r>
      <w:r>
        <w:t xml:space="preserve"> displayed</w:t>
      </w:r>
      <w:r w:rsidRPr="52F0E74A">
        <w:t xml:space="preserve"> </w:t>
      </w:r>
      <w:r>
        <w:t xml:space="preserve">in </w:t>
      </w:r>
      <w:r w:rsidRPr="52F0E74A">
        <w:t>the Department’s IT Systems</w:t>
      </w:r>
      <w:r>
        <w:t xml:space="preserve"> to the Participant. This notification informs the Participant that:</w:t>
      </w:r>
    </w:p>
    <w:p w14:paraId="6AA1B349" w14:textId="23B68703" w:rsidR="00D94A30" w:rsidRPr="00356FDA" w:rsidRDefault="00D94A30" w:rsidP="004E120D">
      <w:pPr>
        <w:pStyle w:val="BulletLevel1"/>
      </w:pPr>
      <w:r w:rsidRPr="00356FDA">
        <w:t>they must contact Services Australia as soon as possible to participate in a Capability Assessment, and</w:t>
      </w:r>
    </w:p>
    <w:p w14:paraId="5867D81A" w14:textId="03EEAF95" w:rsidR="00D94A30" w:rsidRDefault="00CF7C0D" w:rsidP="004E120D">
      <w:pPr>
        <w:pStyle w:val="BulletLevel1"/>
      </w:pPr>
      <w:r>
        <w:t xml:space="preserve">if their payment is not already suspended, that </w:t>
      </w:r>
      <w:r w:rsidR="00D94A30" w:rsidRPr="00356FDA">
        <w:t>their Income Support Payment will be suspended in 5 Business Days if they do not contact Services Australia</w:t>
      </w:r>
      <w:r>
        <w:t>, or</w:t>
      </w:r>
    </w:p>
    <w:p w14:paraId="1C0D2B74" w14:textId="55991360" w:rsidR="00CF7C0D" w:rsidRPr="00356FDA" w:rsidRDefault="00CF7C0D" w:rsidP="004E120D">
      <w:pPr>
        <w:pStyle w:val="BulletLevel1"/>
      </w:pPr>
      <w:r>
        <w:t>if their payment is suspended, that it will remain suspended until they meet the Re-engagement Requirement.</w:t>
      </w:r>
    </w:p>
    <w:p w14:paraId="22DA3C75" w14:textId="4F123B69" w:rsidR="00D94A30" w:rsidRDefault="00D94A30" w:rsidP="00D94A30">
      <w:pPr>
        <w:rPr>
          <w:rFonts w:ascii="Tahoma" w:eastAsia="Tahoma" w:hAnsi="Tahoma"/>
        </w:rPr>
      </w:pPr>
      <w:r w:rsidRPr="0DFD7869">
        <w:rPr>
          <w:rFonts w:ascii="Tahoma" w:eastAsia="Tahoma" w:hAnsi="Tahoma"/>
        </w:rPr>
        <w:t>Participants will be unable to report to their next fortnightly Income Support Payment to Centrelink until they contact Services Australia to undertake the Capability Assessment.</w:t>
      </w:r>
    </w:p>
    <w:p w14:paraId="0FB3DCC2" w14:textId="5E69CC87" w:rsidR="00D94A30" w:rsidRDefault="00D94A30" w:rsidP="00D94A30">
      <w:pPr>
        <w:pStyle w:val="Heading5"/>
        <w:rPr>
          <w:sz w:val="22"/>
          <w:szCs w:val="22"/>
        </w:rPr>
      </w:pPr>
      <w:r>
        <w:t>Actioning the outcomes of a Capability Assessment</w:t>
      </w:r>
    </w:p>
    <w:p w14:paraId="115F2E7C" w14:textId="77777777" w:rsidR="006C14CA" w:rsidRDefault="006C14CA" w:rsidP="006C14CA">
      <w:pPr>
        <w:rPr>
          <w:rFonts w:ascii="Tahoma" w:eastAsia="Tahoma" w:hAnsi="Tahoma"/>
        </w:rPr>
      </w:pPr>
      <w:r w:rsidRPr="0DFD7869">
        <w:rPr>
          <w:rFonts w:ascii="Tahoma" w:eastAsia="Tahoma" w:hAnsi="Tahoma"/>
        </w:rPr>
        <w:t xml:space="preserve">Services Australia will notify Providers of Capability Assessment outcomes via the Department’s IT Systems. </w:t>
      </w:r>
    </w:p>
    <w:p w14:paraId="0B86F5AF" w14:textId="679A5E39" w:rsidR="006C14CA" w:rsidRDefault="006C14CA" w:rsidP="006C14CA">
      <w:pPr>
        <w:rPr>
          <w:rFonts w:ascii="Tahoma" w:eastAsia="Tahoma" w:hAnsi="Tahoma"/>
        </w:rPr>
      </w:pPr>
      <w:r w:rsidRPr="0DFD7869">
        <w:rPr>
          <w:rFonts w:ascii="Tahoma" w:eastAsia="Tahoma" w:hAnsi="Tahoma"/>
        </w:rPr>
        <w:t>Services Australia will provide information in the Participant’s record on what Mutual Obligation Requirements are inappropriate and that the Provider must renegotiate with the Participant.</w:t>
      </w:r>
    </w:p>
    <w:p w14:paraId="0228C823" w14:textId="02E399DD" w:rsidR="00D94A30" w:rsidRDefault="00FC2306" w:rsidP="00D94A30">
      <w:pPr>
        <w:rPr>
          <w:rFonts w:ascii="Tahoma" w:eastAsia="Tahoma" w:hAnsi="Tahoma"/>
        </w:rPr>
      </w:pPr>
      <w:r w:rsidRPr="5DD2C18A">
        <w:rPr>
          <w:rFonts w:ascii="Tahoma" w:eastAsia="Tahoma" w:hAnsi="Tahoma"/>
        </w:rPr>
        <w:t>Once the Capability Assessment</w:t>
      </w:r>
      <w:r>
        <w:rPr>
          <w:rFonts w:ascii="Tahoma" w:eastAsia="Tahoma" w:hAnsi="Tahoma"/>
        </w:rPr>
        <w:t xml:space="preserve"> has been finalised</w:t>
      </w:r>
      <w:r w:rsidRPr="5DD2C18A">
        <w:rPr>
          <w:rFonts w:ascii="Tahoma" w:eastAsia="Tahoma" w:hAnsi="Tahoma"/>
        </w:rPr>
        <w:t xml:space="preserve"> in the Department’s IT Systems, </w:t>
      </w:r>
      <w:r>
        <w:rPr>
          <w:rFonts w:ascii="Tahoma" w:eastAsia="Tahoma" w:hAnsi="Tahoma"/>
        </w:rPr>
        <w:t>t</w:t>
      </w:r>
      <w:r w:rsidR="00D94A30" w:rsidRPr="5DD2C18A">
        <w:rPr>
          <w:rFonts w:ascii="Tahoma" w:eastAsia="Tahoma" w:hAnsi="Tahoma"/>
        </w:rPr>
        <w:t>he Provider must review the outcome</w:t>
      </w:r>
      <w:r w:rsidR="00BB1D55">
        <w:rPr>
          <w:rFonts w:ascii="Tahoma" w:eastAsia="Tahoma" w:hAnsi="Tahoma"/>
        </w:rPr>
        <w:t>s</w:t>
      </w:r>
      <w:r w:rsidR="00D94A30" w:rsidRPr="5DD2C18A">
        <w:rPr>
          <w:rFonts w:ascii="Tahoma" w:eastAsia="Tahoma" w:hAnsi="Tahoma"/>
        </w:rPr>
        <w:t xml:space="preserve"> and any servicing recommendations Services Australia has recorded in the Capability Management Tool.</w:t>
      </w:r>
    </w:p>
    <w:p w14:paraId="71928908" w14:textId="344995F3" w:rsidR="00D94A30" w:rsidRDefault="00D94A30" w:rsidP="00D94A30">
      <w:pPr>
        <w:rPr>
          <w:rFonts w:ascii="Tahoma" w:eastAsia="Tahoma" w:hAnsi="Tahoma"/>
        </w:rPr>
      </w:pPr>
      <w:r w:rsidRPr="0DFD7869">
        <w:rPr>
          <w:rFonts w:ascii="Tahoma" w:eastAsia="Tahoma" w:hAnsi="Tahoma"/>
        </w:rPr>
        <w:t>The possible outcomes are that the Participant is:</w:t>
      </w:r>
    </w:p>
    <w:p w14:paraId="1D9FD918" w14:textId="2A0D45F6" w:rsidR="00D94A30" w:rsidRPr="00356FDA" w:rsidRDefault="00D94A30" w:rsidP="004E120D">
      <w:pPr>
        <w:pStyle w:val="BulletLevel1"/>
      </w:pPr>
      <w:r w:rsidRPr="00356FDA">
        <w:t>Capable</w:t>
      </w:r>
    </w:p>
    <w:p w14:paraId="18582864" w14:textId="6DCC898D" w:rsidR="00D94A30" w:rsidRPr="00356FDA" w:rsidRDefault="00D94A30" w:rsidP="004E120D">
      <w:pPr>
        <w:pStyle w:val="BulletLevel1"/>
      </w:pPr>
      <w:r w:rsidRPr="00356FDA">
        <w:t>Not Capable due to errors in compulsory requirements</w:t>
      </w:r>
    </w:p>
    <w:p w14:paraId="0912406D" w14:textId="2CA31234" w:rsidR="00D94A30" w:rsidRPr="00356FDA" w:rsidRDefault="00D94A30" w:rsidP="004E120D">
      <w:pPr>
        <w:pStyle w:val="BulletLevel1"/>
      </w:pPr>
      <w:r w:rsidRPr="00356FDA">
        <w:t>Not Capable of meeting current requirements due to ongoing circumstances</w:t>
      </w:r>
    </w:p>
    <w:p w14:paraId="1C3E3CA3" w14:textId="0BA67FED" w:rsidR="00D94A30" w:rsidRPr="00356FDA" w:rsidRDefault="00D94A30" w:rsidP="004E120D">
      <w:pPr>
        <w:pStyle w:val="BulletLevel1"/>
      </w:pPr>
      <w:r w:rsidRPr="00356FDA">
        <w:t>Not Capable due to newly disclosed information, or</w:t>
      </w:r>
    </w:p>
    <w:p w14:paraId="1AA9050B" w14:textId="0375B594" w:rsidR="00D94A30" w:rsidRPr="00356FDA" w:rsidRDefault="00D94A30" w:rsidP="004E120D">
      <w:pPr>
        <w:pStyle w:val="BulletLevel1"/>
      </w:pPr>
      <w:r w:rsidRPr="00356FDA">
        <w:t>Not Capable due to a change in service eligibility or stream (Note. This outcome is applicable when the Participant is not capable due to a change in service eligibility).</w:t>
      </w:r>
    </w:p>
    <w:p w14:paraId="3D331E0E" w14:textId="6D14CC42" w:rsidR="00356FDA" w:rsidRDefault="00356FDA" w:rsidP="00D94A30">
      <w:pPr>
        <w:rPr>
          <w:rFonts w:ascii="Tahoma" w:eastAsia="Tahoma" w:hAnsi="Tahoma"/>
        </w:rPr>
      </w:pPr>
      <w:r w:rsidRPr="0DFD7869">
        <w:rPr>
          <w:rFonts w:ascii="Tahoma" w:eastAsia="Tahoma" w:hAnsi="Tahoma"/>
        </w:rPr>
        <w:t>Each of the above outcomes are discussed in further detail below.</w:t>
      </w:r>
    </w:p>
    <w:p w14:paraId="613349F1" w14:textId="2FA81D1E" w:rsidR="00D94A30" w:rsidRDefault="00D94A30" w:rsidP="00356FDA">
      <w:pPr>
        <w:pStyle w:val="SystemStep"/>
      </w:pPr>
      <w:r w:rsidRPr="0DFD7869">
        <w:t xml:space="preserve">Providers can view the Capability Assessment outcomes on the </w:t>
      </w:r>
      <w:r w:rsidR="00356FDA">
        <w:t>‘</w:t>
      </w:r>
      <w:r w:rsidRPr="0DFD7869">
        <w:t>Targeted Compliance Framework History</w:t>
      </w:r>
      <w:r w:rsidR="00860866">
        <w:t>’</w:t>
      </w:r>
      <w:r w:rsidRPr="0DFD7869">
        <w:t xml:space="preserve"> </w:t>
      </w:r>
      <w:r w:rsidR="00860866">
        <w:t>screen</w:t>
      </w:r>
      <w:r w:rsidRPr="0DFD7869">
        <w:t xml:space="preserve"> in the Departments IT </w:t>
      </w:r>
      <w:r w:rsidR="00356FDA">
        <w:t>S</w:t>
      </w:r>
      <w:r w:rsidRPr="0DFD7869">
        <w:t>ystem</w:t>
      </w:r>
      <w:r w:rsidR="00356FDA">
        <w:t>s</w:t>
      </w:r>
      <w:r w:rsidRPr="0DFD7869">
        <w:t xml:space="preserve">. </w:t>
      </w:r>
    </w:p>
    <w:p w14:paraId="07A87F51" w14:textId="64FA9B16" w:rsidR="00D94A30" w:rsidRDefault="00D94A30" w:rsidP="00D94A30">
      <w:pPr>
        <w:rPr>
          <w:rFonts w:ascii="Tahoma" w:eastAsia="Tahoma" w:hAnsi="Tahoma"/>
        </w:rPr>
      </w:pPr>
      <w:r w:rsidRPr="0DFD7869">
        <w:rPr>
          <w:rFonts w:ascii="Tahoma" w:eastAsia="Tahoma" w:hAnsi="Tahoma"/>
        </w:rPr>
        <w:t>The Provider must ensure that the Participant understands what the Capability Assessment outcome means and what will happen next.</w:t>
      </w:r>
    </w:p>
    <w:p w14:paraId="4C4A2D20" w14:textId="678E0DB6" w:rsidR="00D94A30" w:rsidRPr="00AF5B9F" w:rsidRDefault="00D94A30" w:rsidP="00D94A30">
      <w:pPr>
        <w:rPr>
          <w:rFonts w:ascii="Tahoma" w:eastAsia="Tahoma" w:hAnsi="Tahoma"/>
          <w:b/>
          <w:u w:val="single"/>
        </w:rPr>
      </w:pPr>
      <w:r w:rsidRPr="00AF5B9F">
        <w:rPr>
          <w:u w:val="single"/>
        </w:rPr>
        <w:t>Capable</w:t>
      </w:r>
    </w:p>
    <w:p w14:paraId="54B20176" w14:textId="4DABC880" w:rsidR="00D94A30" w:rsidRDefault="00D94A30" w:rsidP="00D94A30">
      <w:r w:rsidRPr="68799C3B">
        <w:t xml:space="preserve">If the outcome of the Capability Assessment is that the </w:t>
      </w:r>
      <w:r>
        <w:t>Participant</w:t>
      </w:r>
      <w:r w:rsidRPr="68799C3B">
        <w:t xml:space="preserve">’s Job Plan or Mutual Obligation Requirements is suitable for the </w:t>
      </w:r>
      <w:r>
        <w:t>Participant</w:t>
      </w:r>
      <w:r w:rsidRPr="68799C3B">
        <w:t xml:space="preserve">, they will move into the Penalty Zone. </w:t>
      </w:r>
    </w:p>
    <w:p w14:paraId="4BEEE7BB" w14:textId="2BD30847" w:rsidR="00D94A30" w:rsidRDefault="00D94A30" w:rsidP="00D94A30">
      <w:r w:rsidRPr="68799C3B">
        <w:t xml:space="preserve">Because the Job Plan and </w:t>
      </w:r>
      <w:r>
        <w:t>compulsory requirements</w:t>
      </w:r>
      <w:r w:rsidRPr="68799C3B">
        <w:t xml:space="preserve"> are suitable for the </w:t>
      </w:r>
      <w:r>
        <w:t>Participant</w:t>
      </w:r>
      <w:r w:rsidRPr="68799C3B">
        <w:t>, the Mutual Obligation Requirements do not need to be updated.</w:t>
      </w:r>
    </w:p>
    <w:p w14:paraId="273CBEF0" w14:textId="4A3187B1" w:rsidR="00D94A30" w:rsidRDefault="00D94A30" w:rsidP="00D94A30">
      <w:pPr>
        <w:rPr>
          <w:b/>
          <w:bCs/>
        </w:rPr>
      </w:pPr>
      <w:r w:rsidRPr="68799C3B">
        <w:t>Provider</w:t>
      </w:r>
      <w:r>
        <w:t>s must undertake the following</w:t>
      </w:r>
      <w:r w:rsidRPr="68799C3B">
        <w:t xml:space="preserve"> action</w:t>
      </w:r>
      <w:r>
        <w:t>s:</w:t>
      </w:r>
    </w:p>
    <w:p w14:paraId="6075B409" w14:textId="2B621523" w:rsidR="00D94A30" w:rsidRPr="00D20057" w:rsidRDefault="00D94A30" w:rsidP="004E120D">
      <w:pPr>
        <w:pStyle w:val="BulletLevel1"/>
      </w:pPr>
      <w:r w:rsidRPr="52F0E74A">
        <w:t xml:space="preserve">Advise the </w:t>
      </w:r>
      <w:r w:rsidRPr="00D20057">
        <w:t xml:space="preserve">Participant that their Job Plan and compulsory requirements have been assessed as being suitable for them. </w:t>
      </w:r>
    </w:p>
    <w:p w14:paraId="1E88959D" w14:textId="6C334A24" w:rsidR="00D94A30" w:rsidRPr="00D20057" w:rsidRDefault="00D94A30" w:rsidP="004E120D">
      <w:pPr>
        <w:pStyle w:val="BulletLevel1"/>
      </w:pPr>
      <w:r w:rsidRPr="00D20057">
        <w:t>Explain to the Participant their Mutual Obligation Requirements in their Job Plan and the consequences of non-compliance.</w:t>
      </w:r>
    </w:p>
    <w:p w14:paraId="78E0616D" w14:textId="25242252" w:rsidR="00D94A30" w:rsidRPr="00D20057" w:rsidRDefault="00D94A30" w:rsidP="004E120D">
      <w:pPr>
        <w:pStyle w:val="BulletLevel1"/>
      </w:pPr>
      <w:r w:rsidRPr="00D20057">
        <w:t>Advise the Participant they are now in the Penalty Zone and that the next time they commit a Mutual Obligation Failure, this may result in loss of part or all their Income Support Payment.</w:t>
      </w:r>
    </w:p>
    <w:p w14:paraId="5306980B" w14:textId="3B1D8323" w:rsidR="00D94A30" w:rsidRDefault="00D94A30" w:rsidP="004E120D">
      <w:pPr>
        <w:pStyle w:val="BulletLevel1"/>
      </w:pPr>
      <w:r w:rsidRPr="00D20057">
        <w:t xml:space="preserve">Review the Capability Management Tool as Services Australia may have identified issues that the Provider will </w:t>
      </w:r>
      <w:r>
        <w:t>need to consider when renegotiating the Participant’s Mutual Obligation Requirements in the future.</w:t>
      </w:r>
    </w:p>
    <w:p w14:paraId="3F03CB2B" w14:textId="3032CB7C" w:rsidR="00D94A30" w:rsidRPr="002F2A3F" w:rsidRDefault="00D94A30" w:rsidP="00D94A30">
      <w:pPr>
        <w:keepNext/>
        <w:rPr>
          <w:rFonts w:ascii="Tahoma" w:eastAsia="Tahoma" w:hAnsi="Tahoma"/>
          <w:b/>
          <w:u w:val="single"/>
        </w:rPr>
      </w:pPr>
      <w:r w:rsidRPr="002F2A3F">
        <w:rPr>
          <w:u w:val="single"/>
        </w:rPr>
        <w:t>Not Capable due to errors in compulsory requirements</w:t>
      </w:r>
    </w:p>
    <w:p w14:paraId="0F95FD0D" w14:textId="2A172C63" w:rsidR="00D94A30" w:rsidRDefault="00D94A30" w:rsidP="00D94A30">
      <w:pPr>
        <w:rPr>
          <w:rFonts w:ascii="Tahoma" w:eastAsia="Tahoma" w:hAnsi="Tahoma"/>
        </w:rPr>
      </w:pPr>
      <w:r w:rsidRPr="0DFD7869">
        <w:rPr>
          <w:rFonts w:ascii="Tahoma" w:eastAsia="Tahoma" w:hAnsi="Tahoma"/>
        </w:rPr>
        <w:t>If the outcome of the Capability Assessment is that there are errors in the Participant’s compulsory requirements, the Participant is returned to the Green Zone with their Demerits reset to zero.</w:t>
      </w:r>
    </w:p>
    <w:p w14:paraId="081999B1" w14:textId="290D5542" w:rsidR="00D94A30" w:rsidRDefault="00D94A30" w:rsidP="00D94A30">
      <w:pPr>
        <w:rPr>
          <w:b/>
          <w:bCs/>
        </w:rPr>
      </w:pPr>
      <w:r w:rsidRPr="68799C3B">
        <w:t>Provider</w:t>
      </w:r>
      <w:r>
        <w:t>s must undertake the following</w:t>
      </w:r>
      <w:r w:rsidRPr="68799C3B">
        <w:t xml:space="preserve"> action</w:t>
      </w:r>
      <w:r>
        <w:t>s:</w:t>
      </w:r>
    </w:p>
    <w:p w14:paraId="5929D718" w14:textId="25803EB0" w:rsidR="00D94A30" w:rsidRPr="00D20057" w:rsidRDefault="00D94A30" w:rsidP="004E120D">
      <w:pPr>
        <w:pStyle w:val="BulletLevel1"/>
      </w:pPr>
      <w:r w:rsidRPr="52F0E74A">
        <w:t xml:space="preserve">Advise the </w:t>
      </w:r>
      <w:r>
        <w:t>Participant</w:t>
      </w:r>
      <w:r w:rsidRPr="52F0E74A">
        <w:t xml:space="preserve"> that their </w:t>
      </w:r>
      <w:r>
        <w:t>Demerit</w:t>
      </w:r>
      <w:r w:rsidRPr="52F0E74A">
        <w:t xml:space="preserve">s have been reset to zero and they have returned to the </w:t>
      </w:r>
      <w:r w:rsidRPr="00D20057">
        <w:t xml:space="preserve">Green Zone. </w:t>
      </w:r>
    </w:p>
    <w:p w14:paraId="352D8B9C" w14:textId="4FD0E99A" w:rsidR="00D94A30" w:rsidRPr="00D20057" w:rsidRDefault="00D94A30" w:rsidP="004E120D">
      <w:pPr>
        <w:pStyle w:val="BulletLevel1"/>
      </w:pPr>
      <w:r w:rsidRPr="00D20057">
        <w:t>Review the Capability Management Tool for service recommendations recorded by Services Australia and consider those recommendations before renegotiating the Participant’s Mutual Obligation Requirements.</w:t>
      </w:r>
    </w:p>
    <w:p w14:paraId="0D6FABBA" w14:textId="7642DE5B" w:rsidR="006A0087" w:rsidRPr="00356FDA" w:rsidRDefault="00C956A5" w:rsidP="006A0087">
      <w:pPr>
        <w:pStyle w:val="BulletLevel1"/>
      </w:pPr>
      <w:r>
        <w:t>In consultation with the Participant</w:t>
      </w:r>
      <w:r w:rsidR="006A0087" w:rsidRPr="00356FDA">
        <w:t>, renegotiate and update the Participant’s Job Plan and compulsory requirements so that they are suitable. This should be undertaken within 10</w:t>
      </w:r>
      <w:r>
        <w:t> </w:t>
      </w:r>
      <w:r w:rsidR="006A0087" w:rsidRPr="00356FDA">
        <w:t xml:space="preserve">Business Days following the finalisation of the Capability </w:t>
      </w:r>
      <w:r>
        <w:t>Assessment</w:t>
      </w:r>
      <w:r w:rsidR="006A0087" w:rsidRPr="00356FDA">
        <w:t>.</w:t>
      </w:r>
    </w:p>
    <w:p w14:paraId="6DA583FE" w14:textId="25919711" w:rsidR="00D94A30" w:rsidRDefault="00D94A30" w:rsidP="004E120D">
      <w:pPr>
        <w:pStyle w:val="BulletLevel1"/>
      </w:pPr>
      <w:r w:rsidRPr="00D20057">
        <w:t>Explain to the Participant their Mutual Obligation Requirements and the consequences of non-</w:t>
      </w:r>
      <w:r w:rsidRPr="52F0E74A">
        <w:t>compliance.</w:t>
      </w:r>
    </w:p>
    <w:p w14:paraId="01C59220" w14:textId="12ADF612" w:rsidR="00D94A30" w:rsidRPr="00DE596D" w:rsidRDefault="00D94A30" w:rsidP="00D94A30">
      <w:pPr>
        <w:keepNext/>
        <w:rPr>
          <w:u w:val="single"/>
        </w:rPr>
      </w:pPr>
      <w:r w:rsidRPr="00DE596D">
        <w:rPr>
          <w:u w:val="single"/>
        </w:rPr>
        <w:t>Not Capable of meeting current requirements due to ongoing circumstances</w:t>
      </w:r>
    </w:p>
    <w:p w14:paraId="13838A01" w14:textId="18B4E867" w:rsidR="00D94A30" w:rsidRDefault="00D94A30" w:rsidP="00D94A30">
      <w:pPr>
        <w:rPr>
          <w:rFonts w:ascii="Tahoma" w:eastAsia="Tahoma" w:hAnsi="Tahoma"/>
        </w:rPr>
      </w:pPr>
      <w:r w:rsidRPr="0DFD7869">
        <w:rPr>
          <w:rFonts w:ascii="Tahoma" w:eastAsia="Tahoma" w:hAnsi="Tahoma"/>
        </w:rPr>
        <w:t>If the outcome of the Capability Assessment is the Participant is not capable of meeting their current compulsory requirements due to ongoing circumstances, the Participant is returned to the Green Zone with their Demerits reset to zero.</w:t>
      </w:r>
    </w:p>
    <w:p w14:paraId="3851FA92" w14:textId="08AE6B09" w:rsidR="00D94A30" w:rsidRDefault="00D94A30" w:rsidP="00D94A30">
      <w:pPr>
        <w:rPr>
          <w:b/>
          <w:bCs/>
        </w:rPr>
      </w:pPr>
      <w:r w:rsidRPr="68799C3B">
        <w:t>Provider</w:t>
      </w:r>
      <w:r>
        <w:t>s must undertake the following</w:t>
      </w:r>
      <w:r w:rsidRPr="68799C3B">
        <w:t xml:space="preserve"> action</w:t>
      </w:r>
      <w:r>
        <w:t>s:</w:t>
      </w:r>
    </w:p>
    <w:p w14:paraId="3C0671FB" w14:textId="74DAA0C1" w:rsidR="00D94A30" w:rsidRPr="00D20057" w:rsidRDefault="00D94A30" w:rsidP="004E120D">
      <w:pPr>
        <w:pStyle w:val="BulletLevel1"/>
      </w:pPr>
      <w:r w:rsidRPr="52F0E74A">
        <w:t xml:space="preserve">Advise the </w:t>
      </w:r>
      <w:r>
        <w:t>Participant</w:t>
      </w:r>
      <w:r w:rsidRPr="52F0E74A">
        <w:t xml:space="preserve"> that their </w:t>
      </w:r>
      <w:r>
        <w:t>Demerit</w:t>
      </w:r>
      <w:r w:rsidRPr="52F0E74A">
        <w:t xml:space="preserve">s have been reset to zero and they have returned to the </w:t>
      </w:r>
      <w:r w:rsidRPr="00D20057">
        <w:t xml:space="preserve">Green Zone </w:t>
      </w:r>
    </w:p>
    <w:p w14:paraId="5E4F73D6" w14:textId="3CE3E9E0" w:rsidR="00D94A30" w:rsidRPr="00D20057" w:rsidRDefault="00D94A30" w:rsidP="004E120D">
      <w:pPr>
        <w:pStyle w:val="BulletLevel1"/>
      </w:pPr>
      <w:r w:rsidRPr="00D20057">
        <w:t>Review the Capability Management Tool for service recommendations recorded by Services Australia and must consider those recommendations before -discussing the Participant’s Mutual Obligation Requirements with them.</w:t>
      </w:r>
    </w:p>
    <w:p w14:paraId="2AB609E4" w14:textId="58D98DDA" w:rsidR="00C956A5" w:rsidRPr="00356FDA" w:rsidRDefault="00C956A5" w:rsidP="00C956A5">
      <w:pPr>
        <w:pStyle w:val="BulletLevel1"/>
      </w:pPr>
      <w:r>
        <w:t>In consultation with the Participant</w:t>
      </w:r>
      <w:r w:rsidRPr="00356FDA">
        <w:t>, renegotiate and update the Participant’s Job Plan and compulsory requirements so that they are suitable. This should be undertaken within 10</w:t>
      </w:r>
      <w:r>
        <w:t> </w:t>
      </w:r>
      <w:r w:rsidRPr="00356FDA">
        <w:t xml:space="preserve">Business Days following the finalisation of the Capability </w:t>
      </w:r>
      <w:r>
        <w:t>Assessment</w:t>
      </w:r>
      <w:r w:rsidRPr="00356FDA">
        <w:t>.</w:t>
      </w:r>
    </w:p>
    <w:p w14:paraId="29CC4B34" w14:textId="5E3FC7DF" w:rsidR="00D94A30" w:rsidRDefault="00D94A30" w:rsidP="004E120D">
      <w:pPr>
        <w:pStyle w:val="BulletLevel1"/>
      </w:pPr>
      <w:r w:rsidRPr="00D20057">
        <w:t>Explain to the Participant their Mutual Obligation Requirements and the consequences of non-</w:t>
      </w:r>
      <w:r w:rsidRPr="52F0E74A">
        <w:t>compliance.</w:t>
      </w:r>
    </w:p>
    <w:p w14:paraId="1D6DD3EC" w14:textId="0BDE3F5B" w:rsidR="00D94A30" w:rsidRPr="00BE3208" w:rsidRDefault="00D94A30" w:rsidP="00D94A30">
      <w:pPr>
        <w:rPr>
          <w:rFonts w:ascii="Tahoma" w:eastAsia="Tahoma" w:hAnsi="Tahoma"/>
          <w:b/>
          <w:u w:val="single"/>
        </w:rPr>
      </w:pPr>
      <w:r w:rsidRPr="00BE3208">
        <w:rPr>
          <w:u w:val="single"/>
        </w:rPr>
        <w:t>Not Capable due to newly disclosed information</w:t>
      </w:r>
    </w:p>
    <w:p w14:paraId="1967C9E5" w14:textId="1FB90090" w:rsidR="00D94A30" w:rsidRDefault="00D94A30" w:rsidP="00D94A30">
      <w:pPr>
        <w:rPr>
          <w:rFonts w:ascii="Tahoma" w:eastAsia="Tahoma" w:hAnsi="Tahoma"/>
        </w:rPr>
      </w:pPr>
      <w:r w:rsidRPr="0DFD7869">
        <w:rPr>
          <w:rFonts w:ascii="Tahoma" w:eastAsia="Tahoma" w:hAnsi="Tahoma"/>
        </w:rPr>
        <w:t>If the outcome of the Capability Assessment is that the Participant was not capable of meeting their compulsory requirements at the time non-compliance occurred, the Participant is returned to the Green Zone with their Demerits reset to zero.</w:t>
      </w:r>
    </w:p>
    <w:p w14:paraId="3DB922C5" w14:textId="37CF0C09" w:rsidR="00D94A30" w:rsidRDefault="00D94A30" w:rsidP="00D94A30">
      <w:pPr>
        <w:rPr>
          <w:b/>
          <w:bCs/>
        </w:rPr>
      </w:pPr>
      <w:r w:rsidRPr="68799C3B">
        <w:t>Provider</w:t>
      </w:r>
      <w:r>
        <w:t>s must undertake the following</w:t>
      </w:r>
      <w:r w:rsidRPr="68799C3B">
        <w:t xml:space="preserve"> action</w:t>
      </w:r>
      <w:r>
        <w:t>s:</w:t>
      </w:r>
    </w:p>
    <w:p w14:paraId="0277AB79" w14:textId="113824AD" w:rsidR="00D94A30" w:rsidRPr="00D20057" w:rsidRDefault="00D94A30" w:rsidP="004E120D">
      <w:pPr>
        <w:pStyle w:val="BulletLevel1"/>
      </w:pPr>
      <w:r w:rsidRPr="00D20057">
        <w:t>Advise the Participant that their Demerits have been reset to zero and they will return to the Green Zone.</w:t>
      </w:r>
    </w:p>
    <w:p w14:paraId="43F9F482" w14:textId="3173FCFE" w:rsidR="00D94A30" w:rsidRPr="00D20057" w:rsidRDefault="00D94A30" w:rsidP="004E120D">
      <w:pPr>
        <w:pStyle w:val="BulletLevel1"/>
      </w:pPr>
      <w:r w:rsidRPr="00D20057">
        <w:t>Review the Capability Management Tool for service recommendations and/or barriers recorded by Services Australia and consider if the Participant’s Job Plan is still suitable for the Participant.</w:t>
      </w:r>
    </w:p>
    <w:p w14:paraId="2022652F" w14:textId="77777777" w:rsidR="00706099" w:rsidRPr="00356FDA" w:rsidRDefault="00706099" w:rsidP="00706099">
      <w:pPr>
        <w:pStyle w:val="BulletLevel1"/>
      </w:pPr>
      <w:r w:rsidRPr="00356FDA">
        <w:t>Consider if the Mutual Obligation Requirements specified in the Participant’s Job Plan remain appropriate to the Participant’s circumstances and the Participant can meet them.</w:t>
      </w:r>
    </w:p>
    <w:p w14:paraId="6290776A" w14:textId="665E1E9B" w:rsidR="00706099" w:rsidRDefault="00706099" w:rsidP="00706099">
      <w:pPr>
        <w:pStyle w:val="BulletLevel1"/>
      </w:pPr>
      <w:r w:rsidRPr="00356FDA">
        <w:t xml:space="preserve">If not, </w:t>
      </w:r>
      <w:r>
        <w:t>d</w:t>
      </w:r>
      <w:r w:rsidRPr="00356FDA">
        <w:t xml:space="preserve">iscuss the Participant’s requirements with them, renegotiate and update the Participant’s Job Plan and compulsory requirements so that they are suitable. </w:t>
      </w:r>
      <w:r w:rsidR="00C737BF" w:rsidRPr="00356FDA">
        <w:t>This should be undertaken within 10</w:t>
      </w:r>
      <w:r w:rsidR="00C737BF">
        <w:t> </w:t>
      </w:r>
      <w:r w:rsidR="00C737BF" w:rsidRPr="00356FDA">
        <w:t xml:space="preserve">Business Days following the finalisation of the Capability </w:t>
      </w:r>
      <w:r w:rsidR="00C737BF">
        <w:t>Assessment</w:t>
      </w:r>
      <w:r w:rsidRPr="52F0E74A">
        <w:t>.</w:t>
      </w:r>
    </w:p>
    <w:p w14:paraId="36A2EBEC" w14:textId="30944D3F" w:rsidR="00D94A30" w:rsidRDefault="00D94A30" w:rsidP="004E120D">
      <w:pPr>
        <w:pStyle w:val="BulletLevel1"/>
      </w:pPr>
      <w:r w:rsidRPr="00D20057">
        <w:t>Explain to the Participant their Mutual Obligation Requirements and the consequences of non-compliance</w:t>
      </w:r>
      <w:r w:rsidRPr="52F0E74A">
        <w:t>.</w:t>
      </w:r>
    </w:p>
    <w:p w14:paraId="23418245" w14:textId="5733CB42" w:rsidR="00D94A30" w:rsidRPr="00860866" w:rsidRDefault="00D94A30" w:rsidP="00860866">
      <w:pPr>
        <w:rPr>
          <w:u w:val="single"/>
        </w:rPr>
      </w:pPr>
      <w:r w:rsidRPr="00860866">
        <w:rPr>
          <w:u w:val="single"/>
        </w:rPr>
        <w:t>Not Capable due to a change in service eligibility or stream</w:t>
      </w:r>
    </w:p>
    <w:p w14:paraId="232F5A20" w14:textId="7E44A440" w:rsidR="00D94A30" w:rsidRDefault="00D94A30" w:rsidP="00D94A30">
      <w:pPr>
        <w:rPr>
          <w:rFonts w:ascii="Tahoma" w:eastAsia="Tahoma" w:hAnsi="Tahoma"/>
        </w:rPr>
      </w:pPr>
      <w:r w:rsidRPr="0DFD7869">
        <w:rPr>
          <w:rFonts w:ascii="Tahoma" w:eastAsia="Tahoma" w:hAnsi="Tahoma"/>
        </w:rPr>
        <w:t xml:space="preserve">If the outcome of the Capability Assessment is the Participant is not capable due to a change in service eligibility or stream the Participant is returned to the Green Zone with their Demerits reset to zero. </w:t>
      </w:r>
    </w:p>
    <w:p w14:paraId="6AA134EB" w14:textId="16A7EAC3" w:rsidR="00D94A30" w:rsidRDefault="00D94A30" w:rsidP="00D94A30">
      <w:pPr>
        <w:rPr>
          <w:b/>
          <w:bCs/>
        </w:rPr>
      </w:pPr>
      <w:r w:rsidRPr="68799C3B">
        <w:t>Provider</w:t>
      </w:r>
      <w:r>
        <w:t>s must undertake the following</w:t>
      </w:r>
      <w:r w:rsidRPr="68799C3B">
        <w:t xml:space="preserve"> action</w:t>
      </w:r>
      <w:r>
        <w:t>s:</w:t>
      </w:r>
    </w:p>
    <w:p w14:paraId="45781D86" w14:textId="68C2ADDC" w:rsidR="00D94A30" w:rsidRPr="00D20057" w:rsidRDefault="00D94A30" w:rsidP="004E120D">
      <w:pPr>
        <w:pStyle w:val="BulletLevel1"/>
      </w:pPr>
      <w:r w:rsidRPr="00D20057">
        <w:t>Advise the Participant that their level of servicing or program eligibility has changed because of an updated JSCI score or new ESAt.</w:t>
      </w:r>
    </w:p>
    <w:p w14:paraId="2C1164B7" w14:textId="3A712E93" w:rsidR="00D94A30" w:rsidRPr="00D20057" w:rsidRDefault="00D94A30" w:rsidP="004E120D">
      <w:pPr>
        <w:pStyle w:val="BulletLevel1"/>
      </w:pPr>
      <w:r w:rsidRPr="00D20057">
        <w:t>Advise the Participant that their Demerits have been reset to zero and they will return to the Green Zone.</w:t>
      </w:r>
    </w:p>
    <w:p w14:paraId="32517B73" w14:textId="588201C1" w:rsidR="00D94A30" w:rsidRPr="00D20057" w:rsidRDefault="00D94A30" w:rsidP="004E120D">
      <w:pPr>
        <w:pStyle w:val="BulletLevel1"/>
      </w:pPr>
      <w:r w:rsidRPr="00D20057">
        <w:t>Review the Capability Management Tool for service recommendations and/or barriers recorded by Services Australia that must be considered before renegotiating the Participant’s Mutual Obligation Requirements.</w:t>
      </w:r>
    </w:p>
    <w:p w14:paraId="7AF9C2BD" w14:textId="012592D7" w:rsidR="00D94A30" w:rsidRPr="00D20057" w:rsidRDefault="00811F8D" w:rsidP="004E120D">
      <w:pPr>
        <w:pStyle w:val="BulletLevel1"/>
      </w:pPr>
      <w:r>
        <w:t>In consultation with the Participant</w:t>
      </w:r>
      <w:r w:rsidRPr="00356FDA">
        <w:t>, renegotiate and update the Participant’s Job Plan and compulsory requirements so that they are suitable. This should be undertaken within 10</w:t>
      </w:r>
      <w:r>
        <w:t> </w:t>
      </w:r>
      <w:r w:rsidRPr="00356FDA">
        <w:t xml:space="preserve">Business Days following the finalisation of the Capability </w:t>
      </w:r>
      <w:r>
        <w:t>Assessment</w:t>
      </w:r>
      <w:r w:rsidR="00D94A30" w:rsidRPr="00D20057">
        <w:t>.</w:t>
      </w:r>
    </w:p>
    <w:p w14:paraId="5AB0D64D" w14:textId="5D6EFED5" w:rsidR="00D94A30" w:rsidRDefault="00D94A30" w:rsidP="004E120D">
      <w:pPr>
        <w:pStyle w:val="BulletLevel1"/>
      </w:pPr>
      <w:r w:rsidRPr="00D20057">
        <w:t>Explain to the Participant</w:t>
      </w:r>
      <w:r w:rsidRPr="52F0E74A">
        <w:t xml:space="preserve"> their Mutual Obligation Requirements and the consequences of non-compliance.</w:t>
      </w:r>
    </w:p>
    <w:p w14:paraId="4D1A3BBD" w14:textId="225B86C6" w:rsidR="00D94A30" w:rsidRDefault="00D94A30" w:rsidP="00D94A30">
      <w:pPr>
        <w:rPr>
          <w:rFonts w:ascii="Tahoma" w:eastAsia="Tahoma" w:hAnsi="Tahoma"/>
        </w:rPr>
      </w:pPr>
      <w:r w:rsidRPr="5DD2C18A">
        <w:rPr>
          <w:rFonts w:ascii="Tahoma" w:eastAsia="Tahoma" w:hAnsi="Tahoma"/>
          <w:b/>
          <w:bCs/>
        </w:rPr>
        <w:t>Note:</w:t>
      </w:r>
      <w:r w:rsidRPr="5DD2C18A">
        <w:rPr>
          <w:rFonts w:ascii="Tahoma" w:eastAsia="Tahoma" w:hAnsi="Tahoma"/>
        </w:rPr>
        <w:t xml:space="preserve"> Until the Job Plan is updated and agreed to, the Participant cannot accrue further </w:t>
      </w:r>
      <w:r>
        <w:rPr>
          <w:rFonts w:ascii="Tahoma" w:eastAsia="Tahoma" w:hAnsi="Tahoma"/>
        </w:rPr>
        <w:t>Demerit</w:t>
      </w:r>
      <w:r w:rsidRPr="5DD2C18A">
        <w:rPr>
          <w:rFonts w:ascii="Tahoma" w:eastAsia="Tahoma" w:hAnsi="Tahoma"/>
        </w:rPr>
        <w:t>s.</w:t>
      </w:r>
    </w:p>
    <w:p w14:paraId="02728D7E" w14:textId="6C78E60E" w:rsidR="00D94A30" w:rsidRDefault="00D94A30" w:rsidP="00D94A30">
      <w:pPr>
        <w:pStyle w:val="Heading3"/>
      </w:pPr>
      <w:bookmarkStart w:id="566" w:name="_Ref202876668"/>
      <w:bookmarkStart w:id="567" w:name="_Toc202900114"/>
      <w:r>
        <w:t>12.5</w:t>
      </w:r>
      <w:r>
        <w:tab/>
        <w:t>Compliance actions - Work Refusal Failures</w:t>
      </w:r>
      <w:bookmarkEnd w:id="566"/>
      <w:bookmarkEnd w:id="567"/>
    </w:p>
    <w:p w14:paraId="7FAAC75A" w14:textId="105A1F63" w:rsidR="00D94A30" w:rsidRDefault="00D94A30" w:rsidP="00D94A30">
      <w:pPr>
        <w:rPr>
          <w:rFonts w:ascii="Tahoma" w:eastAsia="Tahoma" w:hAnsi="Tahoma"/>
        </w:rPr>
      </w:pPr>
      <w:r>
        <w:rPr>
          <w:rStyle w:val="Emphasis"/>
        </w:rPr>
        <w:t xml:space="preserve">This </w:t>
      </w:r>
      <w:r w:rsidR="007A4B96">
        <w:rPr>
          <w:rStyle w:val="Emphasis"/>
        </w:rPr>
        <w:t>S</w:t>
      </w:r>
      <w:r>
        <w:rPr>
          <w:rStyle w:val="Emphasis"/>
        </w:rPr>
        <w:t>ection applies to Participants</w:t>
      </w:r>
      <w:r w:rsidRPr="00281735">
        <w:rPr>
          <w:rStyle w:val="Emphasis"/>
        </w:rPr>
        <w:t xml:space="preserve"> (Mutual Obligation)</w:t>
      </w:r>
      <w:r>
        <w:rPr>
          <w:rStyle w:val="Emphasis"/>
        </w:rPr>
        <w:t>.</w:t>
      </w:r>
    </w:p>
    <w:p w14:paraId="55AECAD2" w14:textId="18AE48BA" w:rsidR="00D94A30" w:rsidRDefault="00D94A30" w:rsidP="00D94A30">
      <w:pPr>
        <w:pStyle w:val="Heading4"/>
      </w:pPr>
      <w:bookmarkStart w:id="568" w:name="_Toc202900115"/>
      <w:r>
        <w:t>12.5.1</w:t>
      </w:r>
      <w:r>
        <w:tab/>
        <w:t>What is a Work Refusal Failure</w:t>
      </w:r>
      <w:bookmarkEnd w:id="568"/>
    </w:p>
    <w:p w14:paraId="2DA7C643" w14:textId="370F3A24" w:rsidR="00D94A30" w:rsidRPr="00476FB5" w:rsidRDefault="00D94A30" w:rsidP="00D94A30">
      <w:pPr>
        <w:rPr>
          <w:rFonts w:ascii="Tahoma" w:eastAsia="Tahoma" w:hAnsi="Tahoma"/>
        </w:rPr>
      </w:pPr>
      <w:r w:rsidRPr="5DD2C18A">
        <w:rPr>
          <w:rFonts w:ascii="Tahoma" w:eastAsia="Tahoma" w:hAnsi="Tahoma"/>
        </w:rPr>
        <w:t xml:space="preserve">Participants commit a Work Refusal Failure when they fail to accept or </w:t>
      </w:r>
      <w:r w:rsidR="005C3B20">
        <w:rPr>
          <w:rFonts w:ascii="Tahoma" w:eastAsia="Tahoma" w:hAnsi="Tahoma"/>
        </w:rPr>
        <w:t>commence</w:t>
      </w:r>
      <w:r w:rsidRPr="5DD2C18A">
        <w:rPr>
          <w:rFonts w:ascii="Tahoma" w:eastAsia="Tahoma" w:hAnsi="Tahoma"/>
        </w:rPr>
        <w:t xml:space="preserve"> suitable Employment (subject to certain exemptions).</w:t>
      </w:r>
    </w:p>
    <w:p w14:paraId="186DC85E" w14:textId="2A0F71FE" w:rsidR="00D94A30" w:rsidRDefault="00D94A30" w:rsidP="00D94A30">
      <w:pPr>
        <w:rPr>
          <w:rFonts w:ascii="Tahoma" w:eastAsia="Tahoma" w:hAnsi="Tahoma"/>
        </w:rPr>
      </w:pPr>
      <w:r w:rsidRPr="0DFD7869">
        <w:rPr>
          <w:rFonts w:ascii="Tahoma" w:eastAsia="Tahoma" w:hAnsi="Tahoma"/>
        </w:rPr>
        <w:t>Participants can commit a Work Refusal Failure even if they have Meaningful Engagement Job Plan.</w:t>
      </w:r>
    </w:p>
    <w:p w14:paraId="46AC7153" w14:textId="28573208" w:rsidR="00D94A30" w:rsidRDefault="00D94A30" w:rsidP="00D94A30">
      <w:pPr>
        <w:rPr>
          <w:rFonts w:ascii="Tahoma" w:eastAsia="Tahoma" w:hAnsi="Tahoma"/>
        </w:rPr>
      </w:pPr>
      <w:r w:rsidRPr="5DD2C18A">
        <w:rPr>
          <w:rFonts w:ascii="Tahoma" w:eastAsia="Tahoma" w:hAnsi="Tahoma"/>
        </w:rPr>
        <w:t xml:space="preserve">When the Provider submits a report because of a Work Refusal Failure, the report will be sent through the Department’s IT Systems to Services Australia. Creation of a Work Refusal Failure report will trigger </w:t>
      </w:r>
      <w:r w:rsidR="005C3B20">
        <w:rPr>
          <w:rFonts w:ascii="Tahoma" w:eastAsia="Tahoma" w:hAnsi="Tahoma"/>
        </w:rPr>
        <w:t>resolution time</w:t>
      </w:r>
      <w:r w:rsidRPr="5DD2C18A">
        <w:rPr>
          <w:rFonts w:ascii="Tahoma" w:eastAsia="Tahoma" w:hAnsi="Tahoma"/>
        </w:rPr>
        <w:t>.</w:t>
      </w:r>
    </w:p>
    <w:p w14:paraId="60845950" w14:textId="7A8AC101" w:rsidR="00D94A30" w:rsidRDefault="00D94A30" w:rsidP="00D94A30">
      <w:pPr>
        <w:rPr>
          <w:rFonts w:eastAsiaTheme="minorEastAsia"/>
          <w:color w:val="000000" w:themeColor="text1"/>
        </w:rPr>
      </w:pPr>
      <w:r w:rsidRPr="5DD2C18A">
        <w:rPr>
          <w:rFonts w:ascii="Tahoma" w:eastAsia="Tahoma" w:hAnsi="Tahoma"/>
        </w:rPr>
        <w:t xml:space="preserve">Services Australia will determine </w:t>
      </w:r>
      <w:r w:rsidR="00BE0F04">
        <w:rPr>
          <w:rFonts w:ascii="Tahoma" w:eastAsia="Tahoma" w:hAnsi="Tahoma"/>
        </w:rPr>
        <w:t>if</w:t>
      </w:r>
      <w:r w:rsidRPr="5DD2C18A">
        <w:rPr>
          <w:rFonts w:ascii="Tahoma" w:eastAsia="Tahoma" w:hAnsi="Tahoma"/>
        </w:rPr>
        <w:t xml:space="preserve"> the Participant </w:t>
      </w:r>
      <w:r w:rsidRPr="5DD2C18A">
        <w:rPr>
          <w:rFonts w:eastAsiaTheme="minorEastAsia"/>
          <w:color w:val="000000" w:themeColor="text1"/>
        </w:rPr>
        <w:t>has a Reasonable Excuse for the Work Refusal Failure.</w:t>
      </w:r>
    </w:p>
    <w:p w14:paraId="50633BEF" w14:textId="4735C390" w:rsidR="00D94A30" w:rsidRDefault="00D94A30" w:rsidP="00D94A30">
      <w:pPr>
        <w:rPr>
          <w:rFonts w:ascii="Tahoma" w:eastAsia="Tahoma" w:hAnsi="Tahoma"/>
        </w:rPr>
      </w:pPr>
      <w:r w:rsidRPr="5DD2C18A">
        <w:rPr>
          <w:rFonts w:ascii="Tahoma" w:eastAsia="Tahoma" w:hAnsi="Tahoma"/>
        </w:rPr>
        <w:t xml:space="preserve">If Services Australia determines a Participant does not have a Reasonable Excuse for a Work Refusal Failure, the Participant’s Income Support Payment is cancelled and </w:t>
      </w:r>
      <w:r w:rsidR="00AF4AFE">
        <w:rPr>
          <w:rFonts w:ascii="Tahoma" w:eastAsia="Tahoma" w:hAnsi="Tahoma"/>
        </w:rPr>
        <w:t xml:space="preserve">they are precluded from payment </w:t>
      </w:r>
      <w:r w:rsidRPr="5DD2C18A">
        <w:rPr>
          <w:rFonts w:ascii="Tahoma" w:eastAsia="Tahoma" w:hAnsi="Tahoma"/>
        </w:rPr>
        <w:t xml:space="preserve">for 4 weeks. Participants can reapply for payment at any time after their payment has been cancelled but they </w:t>
      </w:r>
      <w:r w:rsidR="00E15AF8">
        <w:rPr>
          <w:rFonts w:ascii="Tahoma" w:eastAsia="Tahoma" w:hAnsi="Tahoma"/>
        </w:rPr>
        <w:t>will</w:t>
      </w:r>
      <w:r w:rsidRPr="5DD2C18A">
        <w:rPr>
          <w:rFonts w:ascii="Tahoma" w:eastAsia="Tahoma" w:hAnsi="Tahoma"/>
        </w:rPr>
        <w:t xml:space="preserve"> not receive Income Support Payment again until they have served their preclusion period. </w:t>
      </w:r>
    </w:p>
    <w:p w14:paraId="09FF32EB" w14:textId="373B0CC8" w:rsidR="00D94A30" w:rsidRDefault="00D94A30" w:rsidP="00D94A30">
      <w:pPr>
        <w:pStyle w:val="Heading4"/>
        <w:rPr>
          <w:rFonts w:ascii="Tahoma" w:eastAsia="Tahoma" w:hAnsi="Tahoma"/>
          <w:b/>
        </w:rPr>
      </w:pPr>
      <w:bookmarkStart w:id="569" w:name="_Toc202900116"/>
      <w:bookmarkStart w:id="570" w:name="_Ref202950355"/>
      <w:r>
        <w:t>12.5.2</w:t>
      </w:r>
      <w:r>
        <w:tab/>
      </w:r>
      <w:r w:rsidRPr="68799C3B">
        <w:t>Identifying a Work Refusal Failure</w:t>
      </w:r>
      <w:bookmarkEnd w:id="569"/>
      <w:bookmarkEnd w:id="570"/>
    </w:p>
    <w:p w14:paraId="1E5114D9" w14:textId="7B6BD2D3" w:rsidR="00D94A30" w:rsidRDefault="00D94A30" w:rsidP="00D94A30">
      <w:pPr>
        <w:rPr>
          <w:rFonts w:ascii="Tahoma" w:eastAsia="Tahoma" w:hAnsi="Tahoma"/>
        </w:rPr>
      </w:pPr>
      <w:r w:rsidRPr="5DD2C18A">
        <w:rPr>
          <w:rFonts w:ascii="Tahoma" w:eastAsia="Tahoma" w:hAnsi="Tahoma"/>
        </w:rPr>
        <w:t>Providers have obligations under the Deed when they become aware (e.g. an Employer notifies the Provider, or the Provider receives information from the Department) that a Participant has committed Work Refusal Failure.</w:t>
      </w:r>
    </w:p>
    <w:p w14:paraId="27999A81" w14:textId="1DA94879" w:rsidR="00D94A30" w:rsidRDefault="00D94A30" w:rsidP="00D94A30">
      <w:pPr>
        <w:pStyle w:val="DeedReferences"/>
      </w:pPr>
      <w:r>
        <w:t>(</w:t>
      </w:r>
      <w:r w:rsidR="00A73420">
        <w:t xml:space="preserve">Deed Reference(s): Clause </w:t>
      </w:r>
      <w:r w:rsidR="008969E6">
        <w:t>135</w:t>
      </w:r>
      <w:r w:rsidRPr="68799C3B">
        <w:t xml:space="preserve">.1, </w:t>
      </w:r>
      <w:r w:rsidR="00A0221A">
        <w:t>140</w:t>
      </w:r>
      <w:r>
        <w:t>)</w:t>
      </w:r>
    </w:p>
    <w:p w14:paraId="4AC92041" w14:textId="2F6DF60F" w:rsidR="00D94A30" w:rsidRDefault="009601DA" w:rsidP="00D94A30">
      <w:pPr>
        <w:pStyle w:val="Heading5"/>
      </w:pPr>
      <w:r>
        <w:t>C</w:t>
      </w:r>
      <w:r w:rsidR="0019560D">
        <w:t xml:space="preserve">ontact with the </w:t>
      </w:r>
      <w:r w:rsidR="00D94A30">
        <w:t>Participant</w:t>
      </w:r>
    </w:p>
    <w:p w14:paraId="20E72BD7" w14:textId="21B58600" w:rsidR="00D94A30" w:rsidRDefault="00D94A30" w:rsidP="00D94A30">
      <w:pPr>
        <w:rPr>
          <w:rFonts w:ascii="Tahoma" w:eastAsia="Tahoma" w:hAnsi="Tahoma"/>
        </w:rPr>
      </w:pPr>
      <w:bookmarkStart w:id="571" w:name="_Hlk189207082"/>
      <w:r w:rsidRPr="5DD2C18A">
        <w:rPr>
          <w:rFonts w:ascii="Tahoma" w:eastAsia="Tahoma" w:hAnsi="Tahoma"/>
        </w:rPr>
        <w:t>Providers must try to contact the Participant on the same Business Day that they become aware of the apparent Work Refusal Failure.</w:t>
      </w:r>
    </w:p>
    <w:p w14:paraId="5F89A2DB" w14:textId="05BA48EE" w:rsidR="00D94A30" w:rsidRDefault="00D94A30" w:rsidP="00D94A30">
      <w:pPr>
        <w:rPr>
          <w:rFonts w:ascii="Tahoma" w:eastAsia="Tahoma" w:hAnsi="Tahoma"/>
        </w:rPr>
      </w:pPr>
      <w:r w:rsidRPr="0DFD7869">
        <w:rPr>
          <w:rFonts w:ascii="Tahoma" w:eastAsia="Tahoma" w:hAnsi="Tahoma"/>
          <w:u w:val="single"/>
        </w:rPr>
        <w:t>Where contact can be made with the Participant</w:t>
      </w:r>
      <w:r w:rsidRPr="0DFD7869">
        <w:rPr>
          <w:rFonts w:ascii="Tahoma" w:eastAsia="Tahoma" w:hAnsi="Tahoma"/>
        </w:rPr>
        <w:t xml:space="preserve">, the Provider must discuss the circumstances of the apparent Work Refusal Failure with the Participant and consider the issues outlined below to determine </w:t>
      </w:r>
      <w:r w:rsidR="00BE0F04">
        <w:rPr>
          <w:rFonts w:ascii="Tahoma" w:eastAsia="Tahoma" w:hAnsi="Tahoma"/>
        </w:rPr>
        <w:t>if</w:t>
      </w:r>
      <w:r w:rsidRPr="0DFD7869">
        <w:rPr>
          <w:rFonts w:ascii="Tahoma" w:eastAsia="Tahoma" w:hAnsi="Tahoma"/>
        </w:rPr>
        <w:t xml:space="preserve"> the Participant has refused or failed to accept an offer of suitable Employment, and therefore there is evidence they have committed a Work Refusal Failure.</w:t>
      </w:r>
    </w:p>
    <w:p w14:paraId="3E399DE6" w14:textId="09A4118D" w:rsidR="00D94A30" w:rsidRDefault="00D94A30" w:rsidP="00D94A30">
      <w:r>
        <w:t xml:space="preserve">If, after discussing the circumstances of the apparent failure with the Participant, the Provider considers the Participant </w:t>
      </w:r>
      <w:r w:rsidRPr="5DD2C18A">
        <w:rPr>
          <w:rFonts w:eastAsiaTheme="minorEastAsia"/>
          <w:color w:val="000000" w:themeColor="text1"/>
        </w:rPr>
        <w:t>has committed a Work Refusal Failure</w:t>
      </w:r>
      <w:r>
        <w:t xml:space="preserve">, the Provider must then undertake the steps needed to report the Work Refusal Failure </w:t>
      </w:r>
      <w:r w:rsidRPr="5DD2C18A">
        <w:rPr>
          <w:rFonts w:ascii="Tahoma" w:eastAsia="Tahoma" w:hAnsi="Tahoma"/>
        </w:rPr>
        <w:t>as outlined in</w:t>
      </w:r>
      <w:r w:rsidR="00B57E2E">
        <w:rPr>
          <w:rFonts w:ascii="Tahoma" w:eastAsia="Tahoma" w:hAnsi="Tahoma"/>
        </w:rPr>
        <w:t xml:space="preserve"> </w:t>
      </w:r>
      <w:r w:rsidR="00FB6AE4">
        <w:rPr>
          <w:rFonts w:ascii="Tahoma" w:eastAsia="Tahoma" w:hAnsi="Tahoma"/>
        </w:rPr>
        <w:fldChar w:fldCharType="begin"/>
      </w:r>
      <w:r w:rsidR="00FB6AE4">
        <w:rPr>
          <w:rFonts w:ascii="Tahoma" w:eastAsia="Tahoma" w:hAnsi="Tahoma"/>
        </w:rPr>
        <w:instrText xml:space="preserve"> REF _Ref202950137 \h </w:instrText>
      </w:r>
      <w:r w:rsidR="00FB6AE4">
        <w:rPr>
          <w:rFonts w:ascii="Tahoma" w:eastAsia="Tahoma" w:hAnsi="Tahoma"/>
        </w:rPr>
      </w:r>
      <w:r w:rsidR="00FB6AE4">
        <w:rPr>
          <w:rFonts w:ascii="Tahoma" w:eastAsia="Tahoma" w:hAnsi="Tahoma"/>
        </w:rPr>
        <w:fldChar w:fldCharType="separate"/>
      </w:r>
      <w:r w:rsidR="000D75AE">
        <w:t>12.5.3</w:t>
      </w:r>
      <w:r w:rsidR="004572F7">
        <w:t xml:space="preserve"> </w:t>
      </w:r>
      <w:r w:rsidR="000D75AE">
        <w:t>Reporting a Work Refusal Failure</w:t>
      </w:r>
      <w:r w:rsidR="00FB6AE4">
        <w:rPr>
          <w:rFonts w:ascii="Tahoma" w:eastAsia="Tahoma" w:hAnsi="Tahoma"/>
        </w:rPr>
        <w:fldChar w:fldCharType="end"/>
      </w:r>
      <w:r w:rsidR="00B57E2E">
        <w:rPr>
          <w:rFonts w:ascii="Tahoma" w:eastAsia="Tahoma" w:hAnsi="Tahoma"/>
        </w:rPr>
        <w:t>.</w:t>
      </w:r>
    </w:p>
    <w:p w14:paraId="436B6170" w14:textId="02A1E898" w:rsidR="00D94A30" w:rsidRDefault="00D94A30" w:rsidP="00D94A30">
      <w:pPr>
        <w:rPr>
          <w:rFonts w:ascii="Tahoma" w:eastAsia="Tahoma" w:hAnsi="Tahoma"/>
        </w:rPr>
      </w:pPr>
      <w:r w:rsidRPr="5DD2C18A">
        <w:rPr>
          <w:rFonts w:ascii="Tahoma" w:eastAsia="Tahoma" w:hAnsi="Tahoma"/>
        </w:rPr>
        <w:t>If, after discussing the circumstances</w:t>
      </w:r>
      <w:r>
        <w:t xml:space="preserve"> of the apparent </w:t>
      </w:r>
      <w:r w:rsidR="00381292">
        <w:t>Work Refusal</w:t>
      </w:r>
      <w:r>
        <w:t xml:space="preserve"> Failure with the Participant, the Provider considers the Participant has not committed a Work Refusal Failure, no further action is needed.</w:t>
      </w:r>
    </w:p>
    <w:p w14:paraId="0985DA36" w14:textId="7641F2A3" w:rsidR="00D94A30" w:rsidRDefault="00D94A30" w:rsidP="00D94A30">
      <w:pPr>
        <w:rPr>
          <w:rFonts w:ascii="Tahoma" w:eastAsia="Tahoma" w:hAnsi="Tahoma"/>
        </w:rPr>
      </w:pPr>
      <w:r w:rsidRPr="5DD2C18A">
        <w:rPr>
          <w:rFonts w:ascii="Tahoma" w:eastAsia="Tahoma" w:hAnsi="Tahoma"/>
          <w:u w:val="single"/>
        </w:rPr>
        <w:t>Where contact cannot be made with the Participant</w:t>
      </w:r>
      <w:r w:rsidRPr="5DD2C18A">
        <w:rPr>
          <w:rFonts w:ascii="Tahoma" w:eastAsia="Tahoma" w:hAnsi="Tahoma"/>
        </w:rPr>
        <w:t xml:space="preserve">, </w:t>
      </w:r>
      <w:bookmarkEnd w:id="571"/>
      <w:r>
        <w:t>the Provider must undertake the steps to report the apparent Work Refusal Failure</w:t>
      </w:r>
      <w:r w:rsidRPr="5DD2C18A">
        <w:rPr>
          <w:rFonts w:ascii="Tahoma" w:eastAsia="Tahoma" w:hAnsi="Tahoma"/>
        </w:rPr>
        <w:t xml:space="preserve">. </w:t>
      </w:r>
      <w:r>
        <w:t xml:space="preserve">Further details are outlined in </w:t>
      </w:r>
      <w:r w:rsidR="00FB6AE4">
        <w:rPr>
          <w:rFonts w:ascii="Tahoma" w:eastAsia="Tahoma" w:hAnsi="Tahoma"/>
        </w:rPr>
        <w:fldChar w:fldCharType="begin"/>
      </w:r>
      <w:r w:rsidR="00FB6AE4">
        <w:rPr>
          <w:rFonts w:ascii="Tahoma" w:eastAsia="Tahoma" w:hAnsi="Tahoma"/>
        </w:rPr>
        <w:instrText xml:space="preserve"> REF _Ref202950137 \h </w:instrText>
      </w:r>
      <w:r w:rsidR="00FB6AE4">
        <w:rPr>
          <w:rFonts w:ascii="Tahoma" w:eastAsia="Tahoma" w:hAnsi="Tahoma"/>
        </w:rPr>
      </w:r>
      <w:r w:rsidR="00FB6AE4">
        <w:rPr>
          <w:rFonts w:ascii="Tahoma" w:eastAsia="Tahoma" w:hAnsi="Tahoma"/>
        </w:rPr>
        <w:fldChar w:fldCharType="separate"/>
      </w:r>
      <w:r w:rsidR="000D75AE">
        <w:t>12.5.3</w:t>
      </w:r>
      <w:r w:rsidR="004572F7">
        <w:t xml:space="preserve"> </w:t>
      </w:r>
      <w:r w:rsidR="000D75AE">
        <w:t>Reporting a Work Refusal Failure</w:t>
      </w:r>
      <w:r w:rsidR="00FB6AE4">
        <w:rPr>
          <w:rFonts w:ascii="Tahoma" w:eastAsia="Tahoma" w:hAnsi="Tahoma"/>
        </w:rPr>
        <w:fldChar w:fldCharType="end"/>
      </w:r>
      <w:r w:rsidRPr="5DD2C18A">
        <w:rPr>
          <w:rFonts w:ascii="Tahoma" w:eastAsia="Tahoma" w:hAnsi="Tahoma"/>
        </w:rPr>
        <w:t>.</w:t>
      </w:r>
    </w:p>
    <w:p w14:paraId="6F10F8E5" w14:textId="5B063BB1" w:rsidR="00D94A30" w:rsidRDefault="00D94A30" w:rsidP="00D94A30">
      <w:pPr>
        <w:rPr>
          <w:rFonts w:ascii="Tahoma" w:eastAsia="Tahoma" w:hAnsi="Tahoma"/>
        </w:rPr>
      </w:pPr>
      <w:r>
        <w:t xml:space="preserve">If there is </w:t>
      </w:r>
      <w:r w:rsidRPr="5DD2C18A">
        <w:rPr>
          <w:rFonts w:ascii="Tahoma" w:eastAsia="Tahoma" w:hAnsi="Tahoma"/>
        </w:rPr>
        <w:t xml:space="preserve">contact with the Participant after the </w:t>
      </w:r>
      <w:r w:rsidR="00490CF8" w:rsidRPr="5245951D">
        <w:rPr>
          <w:rFonts w:ascii="Tahoma" w:eastAsia="Tahoma" w:hAnsi="Tahoma"/>
        </w:rPr>
        <w:t>B</w:t>
      </w:r>
      <w:r w:rsidRPr="5245951D">
        <w:rPr>
          <w:rFonts w:ascii="Tahoma" w:eastAsia="Tahoma" w:hAnsi="Tahoma"/>
        </w:rPr>
        <w:t xml:space="preserve">usiness </w:t>
      </w:r>
      <w:r w:rsidR="00490CF8" w:rsidRPr="5245951D">
        <w:rPr>
          <w:rFonts w:ascii="Tahoma" w:eastAsia="Tahoma" w:hAnsi="Tahoma"/>
        </w:rPr>
        <w:t>D</w:t>
      </w:r>
      <w:r w:rsidRPr="5245951D">
        <w:rPr>
          <w:rFonts w:ascii="Tahoma" w:eastAsia="Tahoma" w:hAnsi="Tahoma"/>
        </w:rPr>
        <w:t>ay</w:t>
      </w:r>
      <w:r w:rsidRPr="5DD2C18A">
        <w:rPr>
          <w:rFonts w:ascii="Tahoma" w:eastAsia="Tahoma" w:hAnsi="Tahoma"/>
        </w:rPr>
        <w:t xml:space="preserve"> on which the Provider became aware of the apparent Work Refusal Failure, the Provider must discuss the circumstances of the apparent Work Refusal Failure with the Participant and must consider </w:t>
      </w:r>
      <w:r w:rsidR="00BE0F04">
        <w:rPr>
          <w:rFonts w:ascii="Tahoma" w:eastAsia="Tahoma" w:hAnsi="Tahoma"/>
        </w:rPr>
        <w:t>if</w:t>
      </w:r>
      <w:r w:rsidRPr="5DD2C18A">
        <w:rPr>
          <w:rFonts w:ascii="Tahoma" w:eastAsia="Tahoma" w:hAnsi="Tahoma"/>
        </w:rPr>
        <w:t xml:space="preserve"> the Participant has refused or failed to accept an offer of suitable Employment. The Provider must then update the draft Work Refusal Failure report accordingly. </w:t>
      </w:r>
      <w:r>
        <w:t xml:space="preserve">Further details are outlined in </w:t>
      </w:r>
      <w:r w:rsidR="00FB6AE4">
        <w:rPr>
          <w:rFonts w:ascii="Tahoma" w:eastAsia="Tahoma" w:hAnsi="Tahoma"/>
        </w:rPr>
        <w:fldChar w:fldCharType="begin"/>
      </w:r>
      <w:r w:rsidR="00FB6AE4">
        <w:rPr>
          <w:rFonts w:ascii="Tahoma" w:eastAsia="Tahoma" w:hAnsi="Tahoma"/>
        </w:rPr>
        <w:instrText xml:space="preserve"> REF _Ref202950137 \h </w:instrText>
      </w:r>
      <w:r w:rsidR="00FB6AE4">
        <w:rPr>
          <w:rFonts w:ascii="Tahoma" w:eastAsia="Tahoma" w:hAnsi="Tahoma"/>
        </w:rPr>
      </w:r>
      <w:r w:rsidR="00FB6AE4">
        <w:rPr>
          <w:rFonts w:ascii="Tahoma" w:eastAsia="Tahoma" w:hAnsi="Tahoma"/>
        </w:rPr>
        <w:fldChar w:fldCharType="separate"/>
      </w:r>
      <w:r w:rsidR="000D75AE">
        <w:t>12.5.3</w:t>
      </w:r>
      <w:r w:rsidR="004572F7">
        <w:t xml:space="preserve"> </w:t>
      </w:r>
      <w:r w:rsidR="000D75AE">
        <w:t>Reporting a Work Refusal Failure</w:t>
      </w:r>
      <w:r w:rsidR="00FB6AE4">
        <w:rPr>
          <w:rFonts w:ascii="Tahoma" w:eastAsia="Tahoma" w:hAnsi="Tahoma"/>
        </w:rPr>
        <w:fldChar w:fldCharType="end"/>
      </w:r>
      <w:r w:rsidRPr="5DD2C18A">
        <w:rPr>
          <w:rFonts w:ascii="Tahoma" w:eastAsia="Tahoma" w:hAnsi="Tahoma"/>
        </w:rPr>
        <w:t>.</w:t>
      </w:r>
    </w:p>
    <w:p w14:paraId="646E92F2" w14:textId="76626011" w:rsidR="008F26B1" w:rsidRPr="00CD7DCE" w:rsidRDefault="008F26B1" w:rsidP="008F26B1">
      <w:pPr>
        <w:rPr>
          <w:rFonts w:ascii="Tahoma" w:eastAsia="Tahoma" w:hAnsi="Tahoma"/>
        </w:rPr>
      </w:pPr>
      <w:r>
        <w:rPr>
          <w:rFonts w:ascii="Tahoma" w:eastAsia="Tahoma" w:hAnsi="Tahoma"/>
        </w:rPr>
        <w:t>If the Provider is not in contact with the Participant, as noted in</w:t>
      </w:r>
      <w:r w:rsidR="009D3726">
        <w:rPr>
          <w:rFonts w:ascii="Tahoma" w:eastAsia="Tahoma" w:hAnsi="Tahoma"/>
        </w:rPr>
        <w:t xml:space="preserve"> </w:t>
      </w:r>
      <w:r w:rsidR="009D3726">
        <w:fldChar w:fldCharType="begin"/>
      </w:r>
      <w:r w:rsidR="009D3726">
        <w:instrText xml:space="preserve"> REF _Ref202789057 \h </w:instrText>
      </w:r>
      <w:r w:rsidR="009D3726">
        <w:fldChar w:fldCharType="separate"/>
      </w:r>
      <w:r w:rsidR="000D75AE">
        <w:t>12.2.2</w:t>
      </w:r>
      <w:r w:rsidR="002D5130">
        <w:t xml:space="preserve"> </w:t>
      </w:r>
      <w:r w:rsidR="000D75AE">
        <w:t>Compellable Contact Appointment</w:t>
      </w:r>
      <w:r w:rsidR="009D3726">
        <w:fldChar w:fldCharType="end"/>
      </w:r>
      <w:r>
        <w:rPr>
          <w:rFonts w:ascii="Tahoma" w:eastAsia="Tahoma" w:hAnsi="Tahoma"/>
        </w:rPr>
        <w:t>, Providers can schedule a compulsory Contact Appointment where there has been an apparent Work Refusal Failure.</w:t>
      </w:r>
    </w:p>
    <w:p w14:paraId="79295AA1" w14:textId="40987DB8" w:rsidR="00D94A30" w:rsidRDefault="00D94A30" w:rsidP="00D94A30">
      <w:pPr>
        <w:rPr>
          <w:rFonts w:ascii="Tahoma" w:eastAsia="Tahoma" w:hAnsi="Tahoma"/>
        </w:rPr>
      </w:pPr>
      <w:r w:rsidRPr="0DFD7869">
        <w:rPr>
          <w:rFonts w:ascii="Tahoma" w:eastAsia="Tahoma" w:hAnsi="Tahoma"/>
        </w:rPr>
        <w:t xml:space="preserve">If the Participant does not contact their Provider, their Income Support Payment may be suspended and then </w:t>
      </w:r>
      <w:r w:rsidRPr="00CD7DCE">
        <w:rPr>
          <w:rFonts w:eastAsiaTheme="minorEastAsia"/>
        </w:rPr>
        <w:t>cancelled</w:t>
      </w:r>
      <w:r w:rsidRPr="0DFD7869">
        <w:rPr>
          <w:rFonts w:ascii="Tahoma" w:eastAsia="Tahoma" w:hAnsi="Tahoma"/>
        </w:rPr>
        <w:t>.</w:t>
      </w:r>
    </w:p>
    <w:p w14:paraId="4286D2FE" w14:textId="17E7401E" w:rsidR="00D94A30" w:rsidRDefault="00D94A30" w:rsidP="00D94A30">
      <w:pPr>
        <w:pStyle w:val="Heading5"/>
      </w:pPr>
      <w:r>
        <w:t xml:space="preserve">Determining </w:t>
      </w:r>
      <w:r w:rsidR="00F07309">
        <w:t>if</w:t>
      </w:r>
      <w:r>
        <w:t xml:space="preserve"> the Participant has refused or failed to accept an offer of suitable Employment</w:t>
      </w:r>
    </w:p>
    <w:p w14:paraId="49592188" w14:textId="223FE52E" w:rsidR="00D94A30" w:rsidRDefault="00D94A30" w:rsidP="00D94A30">
      <w:pPr>
        <w:rPr>
          <w:rFonts w:ascii="Tahoma" w:eastAsia="Tahoma" w:hAnsi="Tahoma"/>
        </w:rPr>
      </w:pPr>
      <w:r w:rsidRPr="5DD2C18A">
        <w:rPr>
          <w:rFonts w:ascii="Tahoma" w:eastAsia="Tahoma" w:hAnsi="Tahoma"/>
        </w:rPr>
        <w:t xml:space="preserve">When the Provider discusses the circumstances of an apparent Work Refusal Failure with the Participant, the Provider must first consider </w:t>
      </w:r>
      <w:r w:rsidR="00BE0F04">
        <w:rPr>
          <w:rFonts w:ascii="Tahoma" w:eastAsia="Tahoma" w:hAnsi="Tahoma"/>
        </w:rPr>
        <w:t>if</w:t>
      </w:r>
      <w:r w:rsidRPr="5DD2C18A">
        <w:rPr>
          <w:rFonts w:ascii="Tahoma" w:eastAsia="Tahoma" w:hAnsi="Tahoma"/>
        </w:rPr>
        <w:t xml:space="preserve"> the Participant has refused or failed to accept an offer of Employment.</w:t>
      </w:r>
    </w:p>
    <w:p w14:paraId="7B682E47" w14:textId="533E5333" w:rsidR="00D94A30" w:rsidRDefault="00D94A30" w:rsidP="00D94A30">
      <w:pPr>
        <w:rPr>
          <w:rFonts w:eastAsiaTheme="minorEastAsia"/>
          <w:color w:val="000000" w:themeColor="text1"/>
        </w:rPr>
      </w:pPr>
      <w:r w:rsidRPr="5DD2C18A">
        <w:rPr>
          <w:rFonts w:ascii="Tahoma" w:eastAsia="Tahoma" w:hAnsi="Tahoma"/>
        </w:rPr>
        <w:t xml:space="preserve">If the Provider assesses that </w:t>
      </w:r>
      <w:r w:rsidRPr="5DD2C18A">
        <w:rPr>
          <w:rFonts w:eastAsiaTheme="minorEastAsia"/>
          <w:color w:val="000000" w:themeColor="text1"/>
        </w:rPr>
        <w:t xml:space="preserve">the Participant </w:t>
      </w:r>
      <w:r w:rsidRPr="5DD2C18A">
        <w:rPr>
          <w:rFonts w:eastAsiaTheme="minorEastAsia"/>
          <w:color w:val="000000" w:themeColor="text1"/>
          <w:u w:val="single"/>
        </w:rPr>
        <w:t>has not received an offer of Employment</w:t>
      </w:r>
      <w:r w:rsidRPr="5DD2C18A">
        <w:rPr>
          <w:rFonts w:eastAsiaTheme="minorEastAsia"/>
          <w:color w:val="000000" w:themeColor="text1"/>
        </w:rPr>
        <w:t xml:space="preserve"> (for example, they attended </w:t>
      </w:r>
      <w:r w:rsidRPr="5DD2C18A">
        <w:rPr>
          <w:rFonts w:ascii="Tahoma" w:eastAsia="Tahoma" w:hAnsi="Tahoma"/>
        </w:rPr>
        <w:t>an</w:t>
      </w:r>
      <w:r w:rsidRPr="5DD2C18A">
        <w:rPr>
          <w:rFonts w:eastAsiaTheme="minorEastAsia"/>
          <w:color w:val="000000" w:themeColor="text1"/>
        </w:rPr>
        <w:t xml:space="preserve"> interview but were not offered the position), the Participant </w:t>
      </w:r>
      <w:r w:rsidR="00381292">
        <w:rPr>
          <w:rFonts w:eastAsiaTheme="minorEastAsia"/>
          <w:color w:val="000000" w:themeColor="text1"/>
        </w:rPr>
        <w:t xml:space="preserve">has not </w:t>
      </w:r>
      <w:r w:rsidRPr="5DD2C18A">
        <w:rPr>
          <w:rFonts w:eastAsiaTheme="minorEastAsia"/>
          <w:color w:val="000000" w:themeColor="text1"/>
        </w:rPr>
        <w:t>committed a Work Refusal Failure.</w:t>
      </w:r>
    </w:p>
    <w:p w14:paraId="66C44BC2" w14:textId="5F11D896" w:rsidR="00D94A30" w:rsidRDefault="00D94A30" w:rsidP="00D94A30">
      <w:pPr>
        <w:rPr>
          <w:rFonts w:ascii="Tahoma" w:eastAsia="Tahoma" w:hAnsi="Tahoma"/>
        </w:rPr>
      </w:pPr>
      <w:r w:rsidRPr="5DD2C18A">
        <w:rPr>
          <w:rFonts w:eastAsiaTheme="minorEastAsia"/>
          <w:color w:val="000000" w:themeColor="text1"/>
        </w:rPr>
        <w:t xml:space="preserve">If the Provider assesses that the </w:t>
      </w:r>
      <w:r w:rsidRPr="5DD2C18A">
        <w:rPr>
          <w:rFonts w:ascii="Tahoma" w:eastAsia="Tahoma" w:hAnsi="Tahoma"/>
        </w:rPr>
        <w:t>Participant</w:t>
      </w:r>
      <w:r w:rsidRPr="5DD2C18A">
        <w:rPr>
          <w:rFonts w:eastAsiaTheme="minorEastAsia"/>
          <w:color w:val="000000" w:themeColor="text1"/>
        </w:rPr>
        <w:t xml:space="preserve"> </w:t>
      </w:r>
      <w:r w:rsidRPr="5DD2C18A">
        <w:rPr>
          <w:rFonts w:eastAsiaTheme="minorEastAsia"/>
          <w:color w:val="000000" w:themeColor="text1"/>
          <w:u w:val="single"/>
        </w:rPr>
        <w:t>has refused or failed to accept an offer of Employment</w:t>
      </w:r>
      <w:r w:rsidRPr="5DD2C18A">
        <w:rPr>
          <w:rFonts w:eastAsiaTheme="minorEastAsia"/>
          <w:color w:val="000000" w:themeColor="text1"/>
        </w:rPr>
        <w:t xml:space="preserve">, the Provider must then assess </w:t>
      </w:r>
      <w:r w:rsidR="00BE0F04">
        <w:rPr>
          <w:rFonts w:eastAsiaTheme="minorEastAsia"/>
          <w:color w:val="000000" w:themeColor="text1"/>
        </w:rPr>
        <w:t>if</w:t>
      </w:r>
      <w:r w:rsidRPr="5DD2C18A">
        <w:rPr>
          <w:rFonts w:eastAsiaTheme="minorEastAsia"/>
          <w:color w:val="000000" w:themeColor="text1"/>
        </w:rPr>
        <w:t xml:space="preserve"> the Employment offered was suitable for the Participant. There are factors for determining </w:t>
      </w:r>
      <w:r w:rsidR="00BE0F04">
        <w:rPr>
          <w:rFonts w:eastAsiaTheme="minorEastAsia"/>
          <w:color w:val="000000" w:themeColor="text1"/>
        </w:rPr>
        <w:t>if</w:t>
      </w:r>
      <w:r w:rsidRPr="5DD2C18A">
        <w:rPr>
          <w:rFonts w:eastAsiaTheme="minorEastAsia"/>
          <w:color w:val="000000" w:themeColor="text1"/>
        </w:rPr>
        <w:t xml:space="preserve"> work was unsuitable listed in Social Security Law. For example, the offer of Employment would be unsuitable </w:t>
      </w:r>
      <w:r w:rsidR="001E0CAF">
        <w:rPr>
          <w:rFonts w:eastAsiaTheme="minorEastAsia"/>
          <w:color w:val="000000" w:themeColor="text1"/>
        </w:rPr>
        <w:t xml:space="preserve">for an </w:t>
      </w:r>
      <w:r w:rsidR="00202A96">
        <w:rPr>
          <w:rFonts w:eastAsiaTheme="minorEastAsia"/>
          <w:color w:val="000000" w:themeColor="text1"/>
        </w:rPr>
        <w:t>Inclusive Employment Australia</w:t>
      </w:r>
      <w:r w:rsidR="001E0CAF">
        <w:rPr>
          <w:rFonts w:eastAsiaTheme="minorEastAsia"/>
          <w:color w:val="000000" w:themeColor="text1"/>
        </w:rPr>
        <w:t xml:space="preserve"> Participant </w:t>
      </w:r>
      <w:r w:rsidRPr="5DD2C18A">
        <w:rPr>
          <w:rFonts w:eastAsiaTheme="minorEastAsia"/>
          <w:color w:val="000000" w:themeColor="text1"/>
        </w:rPr>
        <w:t>if any of the following apply:</w:t>
      </w:r>
    </w:p>
    <w:p w14:paraId="139B35F5" w14:textId="31CF76B7" w:rsidR="00D94A30" w:rsidRPr="002C5EDF" w:rsidRDefault="00D94A30" w:rsidP="004E120D">
      <w:pPr>
        <w:pStyle w:val="BulletLevel1"/>
      </w:pPr>
      <w:r w:rsidRPr="002C5EDF">
        <w:t xml:space="preserve">the Participant was already working and cannot take up both jobs (because hours of work overlap or when combined total hours would exceed number of hours considered suitable) or </w:t>
      </w:r>
      <w:bookmarkStart w:id="572" w:name="_Int_HvgMINoh"/>
      <w:r w:rsidRPr="002C5EDF">
        <w:t>remuneration</w:t>
      </w:r>
      <w:bookmarkEnd w:id="572"/>
      <w:r w:rsidRPr="002C5EDF">
        <w:t xml:space="preserve"> for the new job is lower than the existing job</w:t>
      </w:r>
    </w:p>
    <w:p w14:paraId="4471C1BC" w14:textId="6CAB93C6" w:rsidR="00D94A30" w:rsidRPr="002C5EDF" w:rsidRDefault="00D94A30" w:rsidP="004E120D">
      <w:pPr>
        <w:pStyle w:val="BulletLevel1"/>
      </w:pPr>
      <w:r w:rsidRPr="002C5EDF">
        <w:t>the Participant is undertaking approved Education or Training and the hours the Participant would be required to undertake the work conflict with the hours of study</w:t>
      </w:r>
    </w:p>
    <w:p w14:paraId="5B2218F2" w14:textId="02F6D7C1" w:rsidR="00D94A30" w:rsidRPr="002C5EDF" w:rsidRDefault="00D94A30" w:rsidP="004E120D">
      <w:pPr>
        <w:pStyle w:val="BulletLevel1"/>
      </w:pPr>
      <w:r w:rsidRPr="002C5EDF">
        <w:t>the Participant lacks the particular skills, experience or qualifications that are needed to perform the work, and no training will be provided by the Employer</w:t>
      </w:r>
    </w:p>
    <w:p w14:paraId="4623D8FA" w14:textId="387D76EC" w:rsidR="00D94A30" w:rsidRPr="002C5EDF" w:rsidRDefault="00D94A30" w:rsidP="004E120D">
      <w:pPr>
        <w:pStyle w:val="BulletLevel1"/>
      </w:pPr>
      <w:r w:rsidRPr="002C5EDF">
        <w:t xml:space="preserve">there is medical evidence that the Participant has an illness, disability or injury that would be aggravated by the conditions in which the work would be performed </w:t>
      </w:r>
    </w:p>
    <w:p w14:paraId="6847B939" w14:textId="300CB512" w:rsidR="00D94A30" w:rsidRPr="002C5EDF" w:rsidRDefault="00D94A30" w:rsidP="004E120D">
      <w:pPr>
        <w:pStyle w:val="BulletLevel1"/>
      </w:pPr>
      <w:r w:rsidRPr="002C5EDF">
        <w:t xml:space="preserve">the Participant is a Principal Carer Parent, and does not have access to appropriate care and supervision for the children at the times when the Participant would be required to undertake the work (which includes reasonable amounts of time that would be needed for the Participant to travel between home and the work) </w:t>
      </w:r>
    </w:p>
    <w:p w14:paraId="2299A7B6" w14:textId="56DC84B7" w:rsidR="00D94A30" w:rsidRPr="002C5EDF" w:rsidRDefault="00D94A30" w:rsidP="004E120D">
      <w:pPr>
        <w:pStyle w:val="BulletLevel1"/>
      </w:pPr>
      <w:r w:rsidRPr="002C5EDF">
        <w:t xml:space="preserve">the work hours are above the Participant's assessed </w:t>
      </w:r>
      <w:r w:rsidR="002E3F5F">
        <w:t xml:space="preserve">future </w:t>
      </w:r>
      <w:r w:rsidRPr="002C5EDF">
        <w:t>work capacity with intervention</w:t>
      </w:r>
    </w:p>
    <w:p w14:paraId="7BC3A916" w14:textId="2144CFBF" w:rsidR="00D94A30" w:rsidRPr="002C5EDF" w:rsidRDefault="00D94A30" w:rsidP="004E120D">
      <w:pPr>
        <w:pStyle w:val="BulletLevel1"/>
      </w:pPr>
      <w:r w:rsidRPr="002C5EDF">
        <w:t>the work hours are greater than 15 hours per week</w:t>
      </w:r>
    </w:p>
    <w:p w14:paraId="1C3AA522" w14:textId="644EAA0B" w:rsidR="00D94A30" w:rsidRPr="002C5EDF" w:rsidRDefault="00D94A30" w:rsidP="004E120D">
      <w:pPr>
        <w:pStyle w:val="BulletLevel1"/>
      </w:pPr>
      <w:r w:rsidRPr="002C5EDF">
        <w:t xml:space="preserve">the acceptance of an offer of a permanent full-time job would jeopardise the current employment or the </w:t>
      </w:r>
      <w:r w:rsidR="00862E68">
        <w:t>job</w:t>
      </w:r>
      <w:r w:rsidRPr="002C5EDF">
        <w:t xml:space="preserve"> prospects of the Participant’s partner</w:t>
      </w:r>
    </w:p>
    <w:p w14:paraId="10DDD1CF" w14:textId="4D7E9460" w:rsidR="00D94A30" w:rsidRPr="002C5EDF" w:rsidRDefault="00D94A30" w:rsidP="004E120D">
      <w:pPr>
        <w:pStyle w:val="BulletLevel1"/>
      </w:pPr>
      <w:r w:rsidRPr="002C5EDF">
        <w:t xml:space="preserve">performing the work in the conditions in which the work would be performed would constitute a risk to health or safety and would contravene a </w:t>
      </w:r>
      <w:r w:rsidR="00732F5E">
        <w:t>WHS</w:t>
      </w:r>
      <w:r w:rsidRPr="002C5EDF">
        <w:t xml:space="preserve"> Law</w:t>
      </w:r>
    </w:p>
    <w:p w14:paraId="28C6BE7A" w14:textId="6A8B4517" w:rsidR="00D94A30" w:rsidRPr="002C5EDF" w:rsidRDefault="00D94A30" w:rsidP="004E120D">
      <w:pPr>
        <w:pStyle w:val="BulletLevel1"/>
      </w:pPr>
      <w:r w:rsidRPr="002C5EDF">
        <w:t>the terms and conditions for the work would be less generous than the applicable statutory conditions</w:t>
      </w:r>
    </w:p>
    <w:p w14:paraId="6B8624B6" w14:textId="7CD2C7AA" w:rsidR="00D94A30" w:rsidRPr="002C5EDF" w:rsidRDefault="00D94A30" w:rsidP="004E120D">
      <w:pPr>
        <w:pStyle w:val="BulletLevel1"/>
      </w:pPr>
      <w:r w:rsidRPr="002C5EDF">
        <w:t>commuting between the Participant’s home and the place of work would be unreasonably difficult — that is, it would require the Participant to spend more than 60 minutes each way using the mode of transport normally available to the Participant</w:t>
      </w:r>
    </w:p>
    <w:p w14:paraId="143B4485" w14:textId="464CF684" w:rsidR="00D94A30" w:rsidRPr="002C5EDF" w:rsidRDefault="00D94A30" w:rsidP="004E120D">
      <w:pPr>
        <w:pStyle w:val="BulletLevel1"/>
      </w:pPr>
      <w:r w:rsidRPr="002C5EDF">
        <w:t>the work requires the Participant to change residence (in most cases)</w:t>
      </w:r>
    </w:p>
    <w:p w14:paraId="40C05318" w14:textId="140D73AE" w:rsidR="00D94A30" w:rsidRPr="002C5EDF" w:rsidRDefault="00D94A30" w:rsidP="004E120D">
      <w:pPr>
        <w:pStyle w:val="BulletLevel1"/>
      </w:pPr>
      <w:r w:rsidRPr="002C5EDF">
        <w:t>the Participant has a verifiable and legitimate objection to the work on moral, cultural or religious grounds — for example, there is evidence that the Participant adheres to a particular set of moral, ethical or religious values and aspects of the work would be inconsistent with those values</w:t>
      </w:r>
    </w:p>
    <w:p w14:paraId="2D40A313" w14:textId="73A5E194" w:rsidR="00D94A30" w:rsidRPr="002C5EDF" w:rsidRDefault="00D94A30" w:rsidP="004E120D">
      <w:pPr>
        <w:pStyle w:val="BulletLevel1"/>
      </w:pPr>
      <w:r w:rsidRPr="002C5EDF">
        <w:t>the work would require the Participant to enlist in the Defence Force or the Reserves</w:t>
      </w:r>
    </w:p>
    <w:p w14:paraId="1820BD26" w14:textId="3360F553" w:rsidR="00D94A30" w:rsidRDefault="00D94A30" w:rsidP="004E120D">
      <w:pPr>
        <w:pStyle w:val="BulletLevel1"/>
        <w:rPr>
          <w:rFonts w:ascii="Tahoma" w:eastAsia="Tahoma" w:hAnsi="Tahoma"/>
        </w:rPr>
      </w:pPr>
      <w:r w:rsidRPr="6055448A">
        <w:t xml:space="preserve">the Participant would be financially worse off </w:t>
      </w:r>
      <w:r>
        <w:t>by</w:t>
      </w:r>
      <w:r w:rsidRPr="6055448A">
        <w:t xml:space="preserve"> undertaking the work, by comparison with not undertaking the work, considering:</w:t>
      </w:r>
    </w:p>
    <w:p w14:paraId="3B050D4F" w14:textId="2DEABE2E" w:rsidR="00D94A30" w:rsidRPr="00267E84" w:rsidRDefault="00D94A30" w:rsidP="004E120D">
      <w:pPr>
        <w:pStyle w:val="BulletLevel2"/>
      </w:pPr>
      <w:r w:rsidRPr="00267E84">
        <w:t>the financial cost for personal care requirements incurred to get ready for work or while on the job</w:t>
      </w:r>
    </w:p>
    <w:p w14:paraId="4BDC5382" w14:textId="3CBABCF0" w:rsidR="00D94A30" w:rsidRPr="00267E84" w:rsidRDefault="00D94A30" w:rsidP="004E120D">
      <w:pPr>
        <w:pStyle w:val="BulletLevel2"/>
      </w:pPr>
      <w:r w:rsidRPr="00267E84">
        <w:t>the financial cost for disability aids and equipment needed for participation which are not covered by the Employer</w:t>
      </w:r>
    </w:p>
    <w:p w14:paraId="5E7C8AD3" w14:textId="2F86967E" w:rsidR="00D94A30" w:rsidRPr="00267E84" w:rsidRDefault="00D94A30" w:rsidP="004E120D">
      <w:pPr>
        <w:pStyle w:val="BulletLevel2"/>
      </w:pPr>
      <w:r w:rsidRPr="00267E84">
        <w:t xml:space="preserve">the financial cost to the Participant in providing appropriate care and supervision for one or more children, for whom the Participant is the </w:t>
      </w:r>
      <w:r w:rsidR="00012ABE">
        <w:t>P</w:t>
      </w:r>
      <w:r>
        <w:t xml:space="preserve">rincipal </w:t>
      </w:r>
      <w:r w:rsidR="00012ABE">
        <w:t>C</w:t>
      </w:r>
      <w:r>
        <w:t>arer</w:t>
      </w:r>
      <w:r w:rsidR="00012ABE">
        <w:t xml:space="preserve"> Parent</w:t>
      </w:r>
      <w:r w:rsidRPr="00267E84">
        <w:t>, at the times when the Participant would have to undertake the work</w:t>
      </w:r>
    </w:p>
    <w:p w14:paraId="6AE6B05E" w14:textId="16FB7BC2" w:rsidR="00D94A30" w:rsidRPr="00267E84" w:rsidRDefault="00D94A30" w:rsidP="004E120D">
      <w:pPr>
        <w:pStyle w:val="BulletLevel2"/>
      </w:pPr>
      <w:r w:rsidRPr="00267E84">
        <w:t>the financial cost of travel that would be incurred by the Participant in undertaking the work</w:t>
      </w:r>
    </w:p>
    <w:p w14:paraId="2F08FFAF" w14:textId="7B93D10D" w:rsidR="00D94A30" w:rsidRPr="00267E84" w:rsidRDefault="00D94A30" w:rsidP="004E120D">
      <w:pPr>
        <w:pStyle w:val="BulletLevel2"/>
      </w:pPr>
      <w:r w:rsidRPr="00267E84">
        <w:t>the reduction in income support, additional tax paid or impact on public housing, or</w:t>
      </w:r>
    </w:p>
    <w:p w14:paraId="0745A808" w14:textId="224A0766" w:rsidR="00D94A30" w:rsidRPr="00267E84" w:rsidRDefault="00D94A30" w:rsidP="004E120D">
      <w:pPr>
        <w:pStyle w:val="BulletLevel2"/>
      </w:pPr>
      <w:r w:rsidRPr="00267E84">
        <w:t xml:space="preserve">the financial benefit for the Participant of undertaking the work would be marginal because of the financial cost to the Participant in providing appropriate care and supervision for one or more children, for whom the Participant is the </w:t>
      </w:r>
      <w:r w:rsidR="005B2603">
        <w:t>P</w:t>
      </w:r>
      <w:r>
        <w:t xml:space="preserve">rincipal </w:t>
      </w:r>
      <w:r w:rsidR="005B2603">
        <w:t>C</w:t>
      </w:r>
      <w:r>
        <w:t>arer</w:t>
      </w:r>
      <w:r w:rsidR="005B2603">
        <w:t xml:space="preserve"> Parent</w:t>
      </w:r>
      <w:r w:rsidRPr="00267E84">
        <w:t>, at the times when the Participant would have to undertake the work.</w:t>
      </w:r>
    </w:p>
    <w:p w14:paraId="164BEB03" w14:textId="23E9EF40" w:rsidR="00D94A30" w:rsidRDefault="00D94A30" w:rsidP="00D94A30">
      <w:r>
        <w:t xml:space="preserve">The Provider must ensure that they capture the reason that the Participant gave as to why they refused or failed to accept the offer of suitable Employment. A full list of options that can be reported can be found in the </w:t>
      </w:r>
      <w:hyperlink r:id="rId94">
        <w:r w:rsidRPr="00F94C73">
          <w:rPr>
            <w:rStyle w:val="Hyperlink"/>
          </w:rPr>
          <w:t xml:space="preserve">Work Refusal Failure reason options </w:t>
        </w:r>
        <w:r w:rsidR="00F94C73" w:rsidRPr="00F94C73">
          <w:rPr>
            <w:rStyle w:val="Hyperlink"/>
          </w:rPr>
          <w:t>[LINK]</w:t>
        </w:r>
        <w:r w:rsidR="00F94C73">
          <w:t xml:space="preserve"> </w:t>
        </w:r>
        <w:r>
          <w:t>supporting document</w:t>
        </w:r>
      </w:hyperlink>
      <w:r w:rsidR="00F94C73">
        <w:t xml:space="preserve"> on the Provider Portal</w:t>
      </w:r>
      <w:r>
        <w:t>.</w:t>
      </w:r>
    </w:p>
    <w:p w14:paraId="79839D17" w14:textId="71B9A2F7" w:rsidR="00D94A30" w:rsidRDefault="00D94A30" w:rsidP="00D94A30">
      <w:pPr>
        <w:pStyle w:val="Heading4"/>
        <w:rPr>
          <w:sz w:val="22"/>
          <w:szCs w:val="22"/>
        </w:rPr>
      </w:pPr>
      <w:bookmarkStart w:id="573" w:name="_Toc202900117"/>
      <w:bookmarkStart w:id="574" w:name="_Ref202950137"/>
      <w:r>
        <w:t>12.5.</w:t>
      </w:r>
      <w:r w:rsidR="00927E7E">
        <w:t>3</w:t>
      </w:r>
      <w:r>
        <w:tab/>
        <w:t>Reporting a Work Refusal Failure</w:t>
      </w:r>
      <w:bookmarkEnd w:id="573"/>
      <w:bookmarkEnd w:id="574"/>
    </w:p>
    <w:p w14:paraId="492E74BD" w14:textId="355A3A9A" w:rsidR="00D94A30" w:rsidRDefault="00D94A30" w:rsidP="00D94A30">
      <w:r w:rsidRPr="7751327C">
        <w:t xml:space="preserve">For failures or </w:t>
      </w:r>
      <w:bookmarkStart w:id="575" w:name="_Int_9k2j5v8c"/>
      <w:r w:rsidRPr="7751327C">
        <w:t>apparent</w:t>
      </w:r>
      <w:bookmarkEnd w:id="575"/>
      <w:r w:rsidRPr="7751327C">
        <w:t xml:space="preserve"> failures, the Work Refusal Failure report must be created and finalised within 10 Business Days of the incident date.</w:t>
      </w:r>
    </w:p>
    <w:p w14:paraId="16415A65" w14:textId="2DC35DAD" w:rsidR="00D94A30" w:rsidRDefault="00D94A30" w:rsidP="00D94A30">
      <w:r w:rsidRPr="68799C3B">
        <w:t xml:space="preserve">The incident date is the date on which the </w:t>
      </w:r>
      <w:r>
        <w:t>Participant</w:t>
      </w:r>
      <w:r w:rsidRPr="00371D7A">
        <w:t xml:space="preserve"> </w:t>
      </w:r>
      <w:r w:rsidRPr="68799C3B">
        <w:t>refused an offer of suitable Employment</w:t>
      </w:r>
      <w:r>
        <w:t>. For example:</w:t>
      </w:r>
    </w:p>
    <w:p w14:paraId="64357F19" w14:textId="071278BF" w:rsidR="00D94A30" w:rsidRPr="002C5EDF" w:rsidRDefault="00D94A30" w:rsidP="004E120D">
      <w:pPr>
        <w:pStyle w:val="BulletLevel1"/>
      </w:pPr>
      <w:r w:rsidRPr="002C5EDF">
        <w:t>if a Participant was offered at job at a Job Interview and:</w:t>
      </w:r>
    </w:p>
    <w:p w14:paraId="7359DAF0" w14:textId="0C51E823" w:rsidR="00D94A30" w:rsidRPr="00676ABE" w:rsidRDefault="00D94A30" w:rsidP="004E120D">
      <w:pPr>
        <w:pStyle w:val="BulletLevel2"/>
      </w:pPr>
      <w:r>
        <w:t xml:space="preserve">refused </w:t>
      </w:r>
      <w:r w:rsidRPr="68799C3B">
        <w:t xml:space="preserve">on the day </w:t>
      </w:r>
      <w:r w:rsidRPr="00676ABE">
        <w:t>of the interview, the incident date is the date of the interview, or</w:t>
      </w:r>
    </w:p>
    <w:p w14:paraId="593128DD" w14:textId="0F5B5C4E" w:rsidR="00D94A30" w:rsidRDefault="00D94A30" w:rsidP="004E120D">
      <w:pPr>
        <w:pStyle w:val="BulletLevel2"/>
      </w:pPr>
      <w:r w:rsidRPr="00676ABE">
        <w:t>refused shortly after the interview, the incident date is the date that when they refused (for example, if refused 3</w:t>
      </w:r>
      <w:r w:rsidRPr="68799C3B">
        <w:t xml:space="preserve"> days after the interview</w:t>
      </w:r>
      <w:r>
        <w:t>, the incident date is 3 days after the interview)</w:t>
      </w:r>
      <w:r w:rsidRPr="68799C3B">
        <w:t>, or</w:t>
      </w:r>
    </w:p>
    <w:p w14:paraId="4DF993E8" w14:textId="11EDF34E" w:rsidR="00D94A30" w:rsidRPr="002C5EDF" w:rsidRDefault="00D94A30" w:rsidP="004E120D">
      <w:pPr>
        <w:pStyle w:val="BulletLevel1"/>
      </w:pPr>
      <w:r w:rsidRPr="002C5EDF">
        <w:t>if the Participant was given a formal offer of suitable Employment and:</w:t>
      </w:r>
    </w:p>
    <w:p w14:paraId="7AABFB27" w14:textId="4C2808B1" w:rsidR="00D94A30" w:rsidRDefault="00D94A30" w:rsidP="004E120D">
      <w:pPr>
        <w:pStyle w:val="BulletLevel2"/>
      </w:pPr>
      <w:r>
        <w:t>refused, the incident date is the day they refused the job</w:t>
      </w:r>
    </w:p>
    <w:p w14:paraId="32CEF923" w14:textId="4F525440" w:rsidR="00D94A30" w:rsidRDefault="00D94A30" w:rsidP="004E120D">
      <w:pPr>
        <w:pStyle w:val="BulletLevel2"/>
      </w:pPr>
      <w:r>
        <w:t>failed to accept within 14 days, the incident date is the 14th day, or</w:t>
      </w:r>
    </w:p>
    <w:p w14:paraId="493871D5" w14:textId="4EA0A305" w:rsidR="00D94A30" w:rsidRDefault="00D94A30" w:rsidP="004E120D">
      <w:pPr>
        <w:pStyle w:val="BulletLevel2"/>
      </w:pPr>
      <w:r>
        <w:t>failed to accept by any deadline provided (if earlier than 14 days), the incident date is date at which they had failed to accept the offer (for example, if they had 10 days to accept the offer and had not replied by the deadline, the incident date is the 10th day, or</w:t>
      </w:r>
    </w:p>
    <w:p w14:paraId="1573C21C" w14:textId="74A8453E" w:rsidR="00D94A30" w:rsidRPr="002C5EDF" w:rsidRDefault="00D94A30" w:rsidP="004E120D">
      <w:pPr>
        <w:pStyle w:val="BulletLevel1"/>
      </w:pPr>
      <w:r w:rsidRPr="002C5EDF">
        <w:t>if, when the offer was made, the Participant agreed a start date with the potential Employer, but did not start work on that date, the incident date is the date the Participant was due to start.</w:t>
      </w:r>
    </w:p>
    <w:p w14:paraId="14EA7BD3" w14:textId="101603C0" w:rsidR="00D94A30" w:rsidRDefault="00D94A30" w:rsidP="00D94A30">
      <w:r>
        <w:t xml:space="preserve">If the report is not created and submitted within 10 Business Days of the incident date (for example, where the Provider does not become aware of an apparent Work Refusal Failure until after 10 Business Days have passed since the incident date), the Department’s IT Systems will not allow the Work Refusal Failure report to be finalised, meaning the Work Refusal Failure will not be reported to Services Australia. Instead, the Provider </w:t>
      </w:r>
      <w:r w:rsidR="00B43A8C">
        <w:t>should schedule a</w:t>
      </w:r>
      <w:r w:rsidR="0081561E">
        <w:t xml:space="preserve"> Contact</w:t>
      </w:r>
      <w:r w:rsidR="00B43A8C">
        <w:t xml:space="preserve"> Appointment </w:t>
      </w:r>
      <w:r w:rsidR="0081561E">
        <w:t>to discuss the importance of seeking, accepting and retaining suitable paid work</w:t>
      </w:r>
      <w:r>
        <w:t>.</w:t>
      </w:r>
    </w:p>
    <w:p w14:paraId="029D045B" w14:textId="556C57BC" w:rsidR="00D94A30" w:rsidRPr="00D3044C" w:rsidRDefault="00D94A30" w:rsidP="00D94A30">
      <w:r>
        <w:t>In addition to these Guidelines, d</w:t>
      </w:r>
      <w:r w:rsidRPr="007F026B">
        <w:t>etails on how to create a Work Refusal Failure Report</w:t>
      </w:r>
      <w:r>
        <w:t xml:space="preserve"> can also be found in </w:t>
      </w:r>
      <w:r w:rsidRPr="00D3044C">
        <w:t xml:space="preserve">the </w:t>
      </w:r>
      <w:r w:rsidR="00F94C73" w:rsidRPr="00A4584A">
        <w:rPr>
          <w:rStyle w:val="Hyperlink"/>
        </w:rPr>
        <w:t>Provider Actions</w:t>
      </w:r>
      <w:r w:rsidRPr="00A4584A">
        <w:rPr>
          <w:rStyle w:val="Hyperlink"/>
        </w:rPr>
        <w:t xml:space="preserve"> – Reporting Work Refusal Failures</w:t>
      </w:r>
      <w:r w:rsidR="00A4584A" w:rsidRPr="00A4584A">
        <w:rPr>
          <w:rStyle w:val="Hyperlink"/>
        </w:rPr>
        <w:t xml:space="preserve"> [LINK]</w:t>
      </w:r>
      <w:r w:rsidR="00F94C73">
        <w:t xml:space="preserve"> supporting document on the </w:t>
      </w:r>
      <w:r w:rsidR="00A4584A">
        <w:t>Provider</w:t>
      </w:r>
      <w:r w:rsidR="00F94C73">
        <w:t xml:space="preserve"> Portal</w:t>
      </w:r>
      <w:r w:rsidRPr="00D3044C">
        <w:t>.</w:t>
      </w:r>
    </w:p>
    <w:p w14:paraId="5CBCBB19" w14:textId="6F75404E" w:rsidR="00D94A30" w:rsidRDefault="00D94A30" w:rsidP="00D94A30">
      <w:pPr>
        <w:pStyle w:val="DeedReferences"/>
      </w:pPr>
      <w:r w:rsidRPr="68799C3B">
        <w:t>(</w:t>
      </w:r>
      <w:r w:rsidR="00A73420">
        <w:t>Deed Reference(s): Clause</w:t>
      </w:r>
      <w:r w:rsidRPr="68799C3B">
        <w:t xml:space="preserve"> </w:t>
      </w:r>
      <w:r w:rsidR="00BA5B47">
        <w:t>135.1</w:t>
      </w:r>
      <w:r w:rsidRPr="68799C3B">
        <w:t xml:space="preserve">, </w:t>
      </w:r>
      <w:r w:rsidR="00BA5B47">
        <w:t>140</w:t>
      </w:r>
      <w:r w:rsidRPr="68799C3B">
        <w:t>)</w:t>
      </w:r>
    </w:p>
    <w:p w14:paraId="4F629616" w14:textId="659D32D6" w:rsidR="00D94A30" w:rsidRDefault="00D94A30" w:rsidP="00D94A30">
      <w:pPr>
        <w:pStyle w:val="Heading5"/>
      </w:pPr>
      <w:r>
        <w:t>Steps to report a</w:t>
      </w:r>
      <w:r w:rsidRPr="68799C3B">
        <w:t xml:space="preserve"> </w:t>
      </w:r>
      <w:r>
        <w:t>Participant</w:t>
      </w:r>
      <w:r w:rsidRPr="68799C3B">
        <w:t xml:space="preserve"> has committed a Work Refusal Failure</w:t>
      </w:r>
    </w:p>
    <w:p w14:paraId="142498F8" w14:textId="49AB85EF" w:rsidR="00D94A30" w:rsidRPr="003D1A72" w:rsidRDefault="00D94A30" w:rsidP="00D94A30">
      <w:r>
        <w:t>By creating and finalising a Work Refusal Failure report as described below, the Provider is confirming that they consider that the Participant has committed a Work Refusal Failure.</w:t>
      </w:r>
    </w:p>
    <w:p w14:paraId="5B0D26CD" w14:textId="31A10D4C" w:rsidR="00D94A30" w:rsidRDefault="00D94A30" w:rsidP="006F727E">
      <w:pPr>
        <w:pStyle w:val="SystemStep"/>
        <w:rPr>
          <w:rFonts w:ascii="Tahoma" w:eastAsia="Tahoma" w:hAnsi="Tahoma"/>
        </w:rPr>
      </w:pPr>
      <w:r w:rsidRPr="52F0E74A">
        <w:t>The Provider must create</w:t>
      </w:r>
      <w:r>
        <w:t xml:space="preserve"> and finalise</w:t>
      </w:r>
      <w:r w:rsidRPr="52F0E74A">
        <w:t xml:space="preserve"> the Work Refusal Failure report by undertaking the following steps in the Department’s IT Systems:</w:t>
      </w:r>
    </w:p>
    <w:p w14:paraId="229675F8" w14:textId="4B906A4A" w:rsidR="00D94A30" w:rsidRDefault="00D94A30" w:rsidP="004E120D">
      <w:pPr>
        <w:pStyle w:val="BulletLevel2"/>
      </w:pPr>
      <w:r>
        <w:t>Step 1: S</w:t>
      </w:r>
      <w:r w:rsidRPr="52F0E74A">
        <w:t>elect ‘create compliance’</w:t>
      </w:r>
      <w:r>
        <w:t>.</w:t>
      </w:r>
    </w:p>
    <w:p w14:paraId="0138695D" w14:textId="7A113352" w:rsidR="00D94A30" w:rsidRDefault="00D94A30" w:rsidP="004E120D">
      <w:pPr>
        <w:pStyle w:val="BulletLevel2"/>
      </w:pPr>
      <w:r>
        <w:t>Step 2: S</w:t>
      </w:r>
      <w:r w:rsidRPr="52F0E74A">
        <w:t xml:space="preserve">elect the Event Type of the Work Refusal </w:t>
      </w:r>
      <w:r w:rsidR="00066483">
        <w:t>F</w:t>
      </w:r>
      <w:r w:rsidRPr="52F0E74A">
        <w:t>ailure from the drop-down menu that will appear</w:t>
      </w:r>
      <w:r>
        <w:t xml:space="preserve"> as follows</w:t>
      </w:r>
      <w:r w:rsidRPr="52F0E74A">
        <w:t>:</w:t>
      </w:r>
    </w:p>
    <w:p w14:paraId="6C2EC616" w14:textId="0F3ACA08" w:rsidR="00D94A30" w:rsidRDefault="00D94A30" w:rsidP="00DF07A5">
      <w:pPr>
        <w:pStyle w:val="BulletLevel3"/>
        <w:ind w:left="1645"/>
      </w:pPr>
      <w:r w:rsidRPr="6055448A">
        <w:t>‘job seeker failed to accept a suitable job’, or</w:t>
      </w:r>
    </w:p>
    <w:p w14:paraId="597227C3" w14:textId="23B07715" w:rsidR="00D94A30" w:rsidRDefault="00D94A30" w:rsidP="00DF07A5">
      <w:pPr>
        <w:pStyle w:val="BulletLevel3"/>
        <w:ind w:left="1645"/>
      </w:pPr>
      <w:r w:rsidRPr="7751327C">
        <w:t>‘</w:t>
      </w:r>
      <w:bookmarkStart w:id="576" w:name="_Int_WRblosig"/>
      <w:r w:rsidRPr="7751327C">
        <w:t>job</w:t>
      </w:r>
      <w:bookmarkEnd w:id="576"/>
      <w:r w:rsidRPr="7751327C">
        <w:t xml:space="preserve"> seeker failed to commence suitable job’</w:t>
      </w:r>
      <w:r>
        <w:t>.</w:t>
      </w:r>
    </w:p>
    <w:p w14:paraId="0B6C4D44" w14:textId="7533236C" w:rsidR="00D94A30" w:rsidRDefault="00D94A30" w:rsidP="004E120D">
      <w:pPr>
        <w:pStyle w:val="BulletLevel2"/>
      </w:pPr>
      <w:r>
        <w:t>Step 3: R</w:t>
      </w:r>
      <w:r w:rsidRPr="52F0E74A">
        <w:t>ecord the incident date (discussed above)</w:t>
      </w:r>
      <w:r>
        <w:t>.</w:t>
      </w:r>
    </w:p>
    <w:p w14:paraId="54DCF2FB" w14:textId="1E1FD338" w:rsidR="00D94A30" w:rsidRDefault="00D94A30" w:rsidP="004E120D">
      <w:pPr>
        <w:pStyle w:val="BulletLevel2"/>
      </w:pPr>
      <w:r>
        <w:t>Step 4: A</w:t>
      </w:r>
      <w:r w:rsidRPr="52F0E74A">
        <w:t>nswer ‘</w:t>
      </w:r>
      <w:r>
        <w:t>yes</w:t>
      </w:r>
      <w:r w:rsidRPr="52F0E74A">
        <w:t xml:space="preserve">’ to the question of </w:t>
      </w:r>
      <w:r w:rsidR="00BE0F04">
        <w:t>if</w:t>
      </w:r>
      <w:r w:rsidRPr="52F0E74A">
        <w:t xml:space="preserve"> they are in contact with the </w:t>
      </w:r>
      <w:r>
        <w:t>Participant.</w:t>
      </w:r>
    </w:p>
    <w:p w14:paraId="3B6279C0" w14:textId="3E9D98ED" w:rsidR="00D94A30" w:rsidRDefault="00D94A30" w:rsidP="004E120D">
      <w:pPr>
        <w:pStyle w:val="BulletLevel2"/>
      </w:pPr>
      <w:r>
        <w:t>Step 5: S</w:t>
      </w:r>
      <w:r w:rsidRPr="52F0E74A">
        <w:t xml:space="preserve">elect the reason from the ‘Reasons not accepted’ column of the drop-down menu that most closely aligns with the reason the </w:t>
      </w:r>
      <w:r>
        <w:t>Participant</w:t>
      </w:r>
      <w:r w:rsidRPr="52F0E74A">
        <w:t xml:space="preserve"> gave as to why they refused or failed to accept the offer of suitable Employment</w:t>
      </w:r>
      <w:r>
        <w:t xml:space="preserve"> — a</w:t>
      </w:r>
      <w:r w:rsidRPr="52F0E74A">
        <w:t xml:space="preserve"> full list of these drop-down menu options</w:t>
      </w:r>
      <w:r w:rsidRPr="52F0E74A">
        <w:rPr>
          <w:rFonts w:eastAsia="Tahoma"/>
        </w:rPr>
        <w:t xml:space="preserve"> can be found </w:t>
      </w:r>
      <w:r>
        <w:t>within</w:t>
      </w:r>
      <w:r>
        <w:rPr>
          <w:rFonts w:eastAsia="Tahoma"/>
        </w:rPr>
        <w:t xml:space="preserve"> the</w:t>
      </w:r>
      <w:r w:rsidRPr="52F0E74A">
        <w:rPr>
          <w:rFonts w:eastAsia="Tahoma"/>
        </w:rPr>
        <w:t xml:space="preserve"> </w:t>
      </w:r>
      <w:r w:rsidRPr="00A4584A">
        <w:rPr>
          <w:rStyle w:val="Hyperlink"/>
        </w:rPr>
        <w:t>Work Refusal Failure reason option</w:t>
      </w:r>
      <w:r w:rsidR="00A4584A">
        <w:rPr>
          <w:rStyle w:val="Hyperlink"/>
        </w:rPr>
        <w:t>s [LINK]</w:t>
      </w:r>
      <w:r w:rsidRPr="00A4584A">
        <w:rPr>
          <w:rFonts w:cs="Tahoma"/>
          <w:color w:val="000000" w:themeColor="text1"/>
        </w:rPr>
        <w:t xml:space="preserve"> </w:t>
      </w:r>
      <w:r w:rsidRPr="00C533B4">
        <w:rPr>
          <w:rFonts w:eastAsia="Tahoma" w:cs="Tahoma"/>
          <w:color w:val="000000" w:themeColor="text1"/>
        </w:rPr>
        <w:t>supporting document</w:t>
      </w:r>
      <w:r>
        <w:rPr>
          <w:rFonts w:ascii="Tahoma" w:eastAsia="Tahoma" w:hAnsi="Tahoma"/>
        </w:rPr>
        <w:t>.</w:t>
      </w:r>
    </w:p>
    <w:p w14:paraId="4BE58A2C" w14:textId="04828A0C" w:rsidR="00D94A30" w:rsidRDefault="00D94A30" w:rsidP="004E120D">
      <w:pPr>
        <w:pStyle w:val="BulletLevel2"/>
      </w:pPr>
      <w:r>
        <w:t>Step 6: Ac</w:t>
      </w:r>
      <w:r w:rsidRPr="52F0E74A">
        <w:t>curately answer the questions that will be automatically generated</w:t>
      </w:r>
      <w:r>
        <w:t>.</w:t>
      </w:r>
    </w:p>
    <w:p w14:paraId="3FF2A881" w14:textId="760B0731" w:rsidR="00D94A30" w:rsidRDefault="00D94A30" w:rsidP="004E120D">
      <w:pPr>
        <w:pStyle w:val="BulletLevel2"/>
        <w:rPr>
          <w:rFonts w:ascii="Tahoma" w:eastAsia="Tahoma" w:hAnsi="Tahoma"/>
        </w:rPr>
      </w:pPr>
      <w:r>
        <w:t>Step 7: S</w:t>
      </w:r>
      <w:r w:rsidRPr="7751327C">
        <w:t>elect ‘create’, which will finalise the Work Refusal Failure report and send it to Services Australia.</w:t>
      </w:r>
    </w:p>
    <w:p w14:paraId="5B3733A1" w14:textId="4AC8C57B" w:rsidR="00D94A30" w:rsidRDefault="00D94A30" w:rsidP="00D94A30">
      <w:pPr>
        <w:rPr>
          <w:rFonts w:ascii="Tahoma" w:eastAsia="Tahoma" w:hAnsi="Tahoma"/>
        </w:rPr>
      </w:pPr>
      <w:r w:rsidRPr="5DD2C18A">
        <w:rPr>
          <w:rFonts w:ascii="Tahoma" w:eastAsia="Tahoma" w:hAnsi="Tahoma"/>
        </w:rPr>
        <w:t>Services</w:t>
      </w:r>
      <w:r w:rsidRPr="5DD2C18A">
        <w:rPr>
          <w:rFonts w:eastAsiaTheme="minorEastAsia"/>
        </w:rPr>
        <w:t xml:space="preserve"> Australia will assess </w:t>
      </w:r>
      <w:r w:rsidR="00BE0F04">
        <w:rPr>
          <w:rFonts w:eastAsiaTheme="minorEastAsia"/>
        </w:rPr>
        <w:t>if</w:t>
      </w:r>
      <w:r w:rsidRPr="5DD2C18A">
        <w:rPr>
          <w:rFonts w:eastAsiaTheme="minorEastAsia"/>
        </w:rPr>
        <w:t xml:space="preserve"> the Participant had a Reasonable Excuse for </w:t>
      </w:r>
      <w:r w:rsidRPr="5DD2C18A">
        <w:rPr>
          <w:rFonts w:eastAsiaTheme="minorEastAsia"/>
          <w:color w:val="000000" w:themeColor="text1"/>
        </w:rPr>
        <w:t>the</w:t>
      </w:r>
      <w:r w:rsidRPr="5DD2C18A">
        <w:rPr>
          <w:rFonts w:eastAsiaTheme="minorEastAsia"/>
        </w:rPr>
        <w:t xml:space="preserve"> Work Refusal Failure, which will determine whether the Participant’s Income Support Payment is cancelled.</w:t>
      </w:r>
    </w:p>
    <w:p w14:paraId="6FC48E5D" w14:textId="401A17C1" w:rsidR="00D94A30" w:rsidRDefault="00D94A30" w:rsidP="00D94A30">
      <w:pPr>
        <w:pStyle w:val="Heading5"/>
      </w:pPr>
      <w:r w:rsidRPr="7751327C">
        <w:t>Steps to create a draft report, as a Participant has apparently committed a Work Refusal Failure</w:t>
      </w:r>
    </w:p>
    <w:p w14:paraId="62966EAF" w14:textId="3575875A" w:rsidR="00D94A30" w:rsidRDefault="00D94A30" w:rsidP="00D94A30">
      <w:pPr>
        <w:rPr>
          <w:rFonts w:ascii="Tahoma" w:eastAsia="Tahoma" w:hAnsi="Tahoma"/>
        </w:rPr>
      </w:pPr>
      <w:bookmarkStart w:id="577" w:name="_Hlk189135444"/>
      <w:r w:rsidRPr="7751327C">
        <w:rPr>
          <w:rFonts w:ascii="Tahoma" w:eastAsia="Tahoma" w:hAnsi="Tahoma"/>
        </w:rPr>
        <w:t xml:space="preserve">When the Provider becomes aware that a Participant has apparently committed a Work Refusal Failure but is unable to contact the Participant on the same Business Day, the Provider must undertake the steps described below in relation to reporting the </w:t>
      </w:r>
      <w:bookmarkStart w:id="578" w:name="_Int_TLw2hAGg"/>
      <w:r w:rsidRPr="7751327C">
        <w:rPr>
          <w:rFonts w:ascii="Tahoma" w:eastAsia="Tahoma" w:hAnsi="Tahoma"/>
        </w:rPr>
        <w:t>apparent</w:t>
      </w:r>
      <w:bookmarkEnd w:id="578"/>
      <w:r w:rsidRPr="7751327C">
        <w:rPr>
          <w:rFonts w:ascii="Tahoma" w:eastAsia="Tahoma" w:hAnsi="Tahoma"/>
        </w:rPr>
        <w:t xml:space="preserve"> Work Refusal Failure.</w:t>
      </w:r>
    </w:p>
    <w:p w14:paraId="402114CD" w14:textId="48F1CD8B" w:rsidR="00D94A30" w:rsidRDefault="00D94A30" w:rsidP="006F727E">
      <w:pPr>
        <w:pStyle w:val="SystemStep"/>
        <w:rPr>
          <w:rFonts w:ascii="Tahoma" w:eastAsia="Tahoma" w:hAnsi="Tahoma"/>
        </w:rPr>
      </w:pPr>
      <w:r w:rsidRPr="52F0E74A">
        <w:t>The Provider must create</w:t>
      </w:r>
      <w:r>
        <w:t xml:space="preserve"> </w:t>
      </w:r>
      <w:r w:rsidRPr="52F0E74A">
        <w:t>the Work Refusal Failure report by undertaking the following steps in the Department’s IT Systems:</w:t>
      </w:r>
    </w:p>
    <w:bookmarkEnd w:id="577"/>
    <w:p w14:paraId="5027E585" w14:textId="7E693053" w:rsidR="00D94A30" w:rsidRDefault="00D94A30" w:rsidP="004E120D">
      <w:pPr>
        <w:pStyle w:val="BulletLevel2"/>
      </w:pPr>
      <w:r>
        <w:t>Step 1: S</w:t>
      </w:r>
      <w:r w:rsidRPr="52F0E74A">
        <w:t>elect ‘create compliance’</w:t>
      </w:r>
      <w:r>
        <w:t>.</w:t>
      </w:r>
    </w:p>
    <w:p w14:paraId="259D127C" w14:textId="2373705F" w:rsidR="00D94A30" w:rsidRDefault="00D94A30" w:rsidP="004E120D">
      <w:pPr>
        <w:pStyle w:val="BulletLevel2"/>
      </w:pPr>
      <w:r>
        <w:t>Step 2: S</w:t>
      </w:r>
      <w:r w:rsidRPr="52F0E74A">
        <w:t xml:space="preserve">elect the Event Type of the Work Refusal </w:t>
      </w:r>
      <w:r w:rsidR="00D17E39">
        <w:t>F</w:t>
      </w:r>
      <w:r>
        <w:t>ailure</w:t>
      </w:r>
      <w:r w:rsidRPr="52F0E74A">
        <w:t xml:space="preserve"> from the drop-down menu that will appear:</w:t>
      </w:r>
    </w:p>
    <w:p w14:paraId="15DAD97E" w14:textId="6B4C2AA5" w:rsidR="00D94A30" w:rsidRDefault="00D94A30" w:rsidP="004E120D">
      <w:pPr>
        <w:pStyle w:val="BulletLevel3"/>
      </w:pPr>
      <w:r w:rsidRPr="7751327C">
        <w:t>‘</w:t>
      </w:r>
      <w:bookmarkStart w:id="579" w:name="_Int_GeCNxqvV"/>
      <w:r w:rsidRPr="7751327C">
        <w:t>job</w:t>
      </w:r>
      <w:bookmarkEnd w:id="579"/>
      <w:r w:rsidRPr="7751327C">
        <w:t xml:space="preserve"> seeker failed to accept a suitable job’, or</w:t>
      </w:r>
    </w:p>
    <w:p w14:paraId="07D68454" w14:textId="398006BA" w:rsidR="00D94A30" w:rsidRDefault="00D94A30" w:rsidP="004E120D">
      <w:pPr>
        <w:pStyle w:val="BulletLevel3"/>
      </w:pPr>
      <w:r w:rsidRPr="7751327C">
        <w:t>‘</w:t>
      </w:r>
      <w:bookmarkStart w:id="580" w:name="_Int_dJx7xKfx"/>
      <w:r w:rsidRPr="7751327C">
        <w:t>job</w:t>
      </w:r>
      <w:bookmarkEnd w:id="580"/>
      <w:r w:rsidRPr="7751327C">
        <w:t xml:space="preserve"> seeker failed to commence suitable job’</w:t>
      </w:r>
    </w:p>
    <w:p w14:paraId="4B9F3DEB" w14:textId="41085949" w:rsidR="00D94A30" w:rsidRPr="002C5EDF" w:rsidRDefault="00D94A30" w:rsidP="004E120D">
      <w:pPr>
        <w:pStyle w:val="BulletLevel2"/>
      </w:pPr>
      <w:r w:rsidRPr="002C5EDF">
        <w:t>Step 3: Record the incident date (discussed above).</w:t>
      </w:r>
    </w:p>
    <w:p w14:paraId="37172B13" w14:textId="066159EF" w:rsidR="00D94A30" w:rsidRPr="002C5EDF" w:rsidRDefault="00D94A30" w:rsidP="004E120D">
      <w:pPr>
        <w:pStyle w:val="BulletLevel2"/>
      </w:pPr>
      <w:r w:rsidRPr="002C5EDF">
        <w:t xml:space="preserve">Step 4: answer ‘no’ to the question of </w:t>
      </w:r>
      <w:r w:rsidR="002555DF">
        <w:t>if</w:t>
      </w:r>
      <w:r w:rsidRPr="002C5EDF">
        <w:t xml:space="preserve"> they are in contact with the Participant.</w:t>
      </w:r>
    </w:p>
    <w:p w14:paraId="0EDC556B" w14:textId="3F02F5CC" w:rsidR="00D94A30" w:rsidRPr="002C5EDF" w:rsidRDefault="00D94A30" w:rsidP="004E120D">
      <w:pPr>
        <w:pStyle w:val="BulletLevel2"/>
      </w:pPr>
      <w:r w:rsidRPr="002C5EDF">
        <w:t>Step 5: Accurately answering the questions that will be automatically generated.</w:t>
      </w:r>
    </w:p>
    <w:p w14:paraId="35C5915C" w14:textId="2E55F36E" w:rsidR="00D94A30" w:rsidRPr="002C5EDF" w:rsidRDefault="00D94A30" w:rsidP="004E120D">
      <w:pPr>
        <w:pStyle w:val="BulletLevel2"/>
      </w:pPr>
      <w:r w:rsidRPr="002C5EDF">
        <w:t xml:space="preserve">Step 6: Select ‘create’, which will create a draft Work Refusal Failure report. </w:t>
      </w:r>
    </w:p>
    <w:p w14:paraId="776645B1" w14:textId="0FD5A286" w:rsidR="00D94A30" w:rsidRDefault="00D94A30" w:rsidP="00D94A30">
      <w:pPr>
        <w:rPr>
          <w:rFonts w:ascii="Tahoma" w:eastAsia="Tahoma" w:hAnsi="Tahoma"/>
        </w:rPr>
      </w:pPr>
      <w:r w:rsidRPr="7751327C">
        <w:rPr>
          <w:rFonts w:ascii="Tahoma" w:eastAsia="Tahoma" w:hAnsi="Tahoma"/>
        </w:rPr>
        <w:t xml:space="preserve">The Participant will receive notification advising that they appear to have committed </w:t>
      </w:r>
      <w:bookmarkStart w:id="581" w:name="_Int_BCVBBJQo"/>
      <w:r w:rsidRPr="7751327C">
        <w:rPr>
          <w:rFonts w:ascii="Tahoma" w:eastAsia="Tahoma" w:hAnsi="Tahoma"/>
        </w:rPr>
        <w:t>an apparent</w:t>
      </w:r>
      <w:bookmarkEnd w:id="581"/>
      <w:r w:rsidRPr="7751327C">
        <w:rPr>
          <w:rFonts w:ascii="Tahoma" w:eastAsia="Tahoma" w:hAnsi="Tahoma"/>
        </w:rPr>
        <w:t xml:space="preserve"> Work Refusal Failure, that they must contact their Provider as soon as possible, and their payment may be suspended after 5 Business Days if they take no further action. </w:t>
      </w:r>
    </w:p>
    <w:p w14:paraId="298C9E40" w14:textId="69ABD72E" w:rsidR="00D94A30" w:rsidRDefault="00D94A30" w:rsidP="00D94A30">
      <w:pPr>
        <w:rPr>
          <w:rFonts w:ascii="Tahoma" w:eastAsia="Tahoma" w:hAnsi="Tahoma"/>
        </w:rPr>
      </w:pPr>
      <w:r w:rsidRPr="6055448A">
        <w:rPr>
          <w:rFonts w:ascii="Tahoma" w:eastAsia="Tahoma" w:hAnsi="Tahoma"/>
        </w:rPr>
        <w:t>If the Participant does not contact their Provider within the 5 Business Days resolution period, the Department’s IT Systems will automatically suspend the Participant’s Income Support Payment and the Participant will receive notification that their Income Support Payment has been suspended and to contact their Provider.</w:t>
      </w:r>
    </w:p>
    <w:p w14:paraId="129FB5F9" w14:textId="33A788BC" w:rsidR="00D94A30" w:rsidRDefault="00D94A30" w:rsidP="00D94A30">
      <w:pPr>
        <w:rPr>
          <w:rFonts w:ascii="Tahoma" w:eastAsia="Tahoma" w:hAnsi="Tahoma"/>
        </w:rPr>
      </w:pPr>
      <w:r w:rsidRPr="7751327C">
        <w:rPr>
          <w:rFonts w:ascii="Tahoma" w:eastAsia="Tahoma" w:hAnsi="Tahoma"/>
        </w:rPr>
        <w:t xml:space="preserve">The Participant’s Re-engagement Requirement is to contact their Provider to discuss the </w:t>
      </w:r>
      <w:bookmarkStart w:id="582" w:name="_Int_dG7PoguD"/>
      <w:r w:rsidRPr="7751327C">
        <w:rPr>
          <w:rFonts w:ascii="Tahoma" w:eastAsia="Tahoma" w:hAnsi="Tahoma"/>
        </w:rPr>
        <w:t>apparent</w:t>
      </w:r>
      <w:bookmarkEnd w:id="582"/>
      <w:r w:rsidRPr="7751327C">
        <w:rPr>
          <w:rFonts w:ascii="Tahoma" w:eastAsia="Tahoma" w:hAnsi="Tahoma"/>
        </w:rPr>
        <w:t xml:space="preserve"> Work Refusal Failure. If the Participant’s Income Support Payment has been suspended, the suspension will be lifted once they contact their </w:t>
      </w:r>
      <w:r w:rsidR="00892813" w:rsidRPr="7751327C">
        <w:rPr>
          <w:rFonts w:ascii="Tahoma" w:eastAsia="Tahoma" w:hAnsi="Tahoma"/>
        </w:rPr>
        <w:t>Provider,</w:t>
      </w:r>
      <w:r w:rsidRPr="7751327C">
        <w:rPr>
          <w:rFonts w:ascii="Tahoma" w:eastAsia="Tahoma" w:hAnsi="Tahoma"/>
        </w:rPr>
        <w:t xml:space="preserve"> and their Provider finalises the Work Refusal Failure report.</w:t>
      </w:r>
    </w:p>
    <w:p w14:paraId="1414D831" w14:textId="192CE579" w:rsidR="00D94A30" w:rsidRDefault="00D94A30" w:rsidP="00D94A30">
      <w:r w:rsidRPr="7751327C">
        <w:rPr>
          <w:rFonts w:ascii="Tahoma" w:eastAsia="Tahoma" w:hAnsi="Tahoma"/>
        </w:rPr>
        <w:t xml:space="preserve">Where there is contact, the Provider must then discuss the </w:t>
      </w:r>
      <w:bookmarkStart w:id="583" w:name="_Int_wEpKsy5i"/>
      <w:r w:rsidRPr="7751327C">
        <w:rPr>
          <w:rFonts w:ascii="Tahoma" w:eastAsia="Tahoma" w:hAnsi="Tahoma"/>
        </w:rPr>
        <w:t>apparent</w:t>
      </w:r>
      <w:bookmarkEnd w:id="583"/>
      <w:r w:rsidRPr="7751327C">
        <w:rPr>
          <w:rFonts w:ascii="Tahoma" w:eastAsia="Tahoma" w:hAnsi="Tahoma"/>
        </w:rPr>
        <w:t xml:space="preserve"> failure in the same conversation, </w:t>
      </w:r>
      <w:r w:rsidR="00FD6B65">
        <w:rPr>
          <w:rFonts w:ascii="Tahoma" w:eastAsia="Tahoma" w:hAnsi="Tahoma"/>
        </w:rPr>
        <w:t>as outlined in</w:t>
      </w:r>
      <w:r w:rsidR="00A4584A">
        <w:rPr>
          <w:rFonts w:ascii="Tahoma" w:eastAsia="Tahoma" w:hAnsi="Tahoma"/>
        </w:rPr>
        <w:t xml:space="preserve"> </w:t>
      </w:r>
      <w:r w:rsidR="00FD6B65">
        <w:rPr>
          <w:rFonts w:ascii="Tahoma" w:eastAsia="Tahoma" w:hAnsi="Tahoma"/>
        </w:rPr>
        <w:fldChar w:fldCharType="begin"/>
      </w:r>
      <w:r w:rsidR="00FD6B65">
        <w:rPr>
          <w:rFonts w:ascii="Tahoma" w:eastAsia="Tahoma" w:hAnsi="Tahoma"/>
        </w:rPr>
        <w:instrText xml:space="preserve"> REF _Ref202950355 \h </w:instrText>
      </w:r>
      <w:r w:rsidR="00FD6B65">
        <w:rPr>
          <w:rFonts w:ascii="Tahoma" w:eastAsia="Tahoma" w:hAnsi="Tahoma"/>
        </w:rPr>
      </w:r>
      <w:r w:rsidR="00FD6B65">
        <w:rPr>
          <w:rFonts w:ascii="Tahoma" w:eastAsia="Tahoma" w:hAnsi="Tahoma"/>
        </w:rPr>
        <w:fldChar w:fldCharType="separate"/>
      </w:r>
      <w:r w:rsidR="000D75AE">
        <w:t>12.5.2</w:t>
      </w:r>
      <w:r w:rsidR="004572F7">
        <w:t xml:space="preserve"> </w:t>
      </w:r>
      <w:r w:rsidR="000D75AE" w:rsidRPr="68799C3B">
        <w:t>Identifying a Work Refusal Failure</w:t>
      </w:r>
      <w:r w:rsidR="00FD6B65">
        <w:rPr>
          <w:rFonts w:ascii="Tahoma" w:eastAsia="Tahoma" w:hAnsi="Tahoma"/>
        </w:rPr>
        <w:fldChar w:fldCharType="end"/>
      </w:r>
      <w:r w:rsidRPr="7751327C">
        <w:rPr>
          <w:rFonts w:ascii="Tahoma" w:eastAsia="Tahoma" w:hAnsi="Tahoma"/>
        </w:rPr>
        <w:t xml:space="preserve">, and take the appropriate steps outlined below to update the draft Work Refusal Failure report that has already been created on the </w:t>
      </w:r>
      <w:r w:rsidRPr="7751327C">
        <w:t>Department’s IT Systems.</w:t>
      </w:r>
    </w:p>
    <w:p w14:paraId="7EB69541" w14:textId="4763C39F" w:rsidR="00D94A30" w:rsidRDefault="00D94A30" w:rsidP="00D94A30">
      <w:r w:rsidRPr="3EDCEE0D">
        <w:t xml:space="preserve">If the </w:t>
      </w:r>
      <w:r>
        <w:t>Participant</w:t>
      </w:r>
      <w:r w:rsidRPr="3EDCEE0D">
        <w:t xml:space="preserve"> does not contact their Provider within 28 calendar days of their payment suspension date, their Income Support Payment will automatically be cancelled.</w:t>
      </w:r>
    </w:p>
    <w:p w14:paraId="3D88ED6D" w14:textId="405AEF37" w:rsidR="00D94A30" w:rsidRDefault="00D94A30" w:rsidP="00D94A30">
      <w:pPr>
        <w:pStyle w:val="Heading5"/>
      </w:pPr>
      <w:r>
        <w:t>Steps to update a draft report confirming Participant</w:t>
      </w:r>
      <w:r w:rsidRPr="68799C3B">
        <w:t xml:space="preserve"> has committed a Work Refusal Failure</w:t>
      </w:r>
    </w:p>
    <w:p w14:paraId="49095087" w14:textId="44B58294" w:rsidR="00D94A30" w:rsidRPr="003D1A72" w:rsidRDefault="00D94A30" w:rsidP="00D94A30">
      <w:r>
        <w:t>By finalising a Work Refusal Failure report as described below, the Provider is confirming that they have been in contact with the Participant and considers that the Participant has committed a Work Refusal Failure.</w:t>
      </w:r>
    </w:p>
    <w:p w14:paraId="05633465" w14:textId="3B920CF3" w:rsidR="00D94A30" w:rsidRDefault="00D94A30" w:rsidP="006F727E">
      <w:pPr>
        <w:pStyle w:val="SystemStep"/>
        <w:rPr>
          <w:rFonts w:ascii="Tahoma" w:eastAsia="Tahoma" w:hAnsi="Tahoma"/>
        </w:rPr>
      </w:pPr>
      <w:r w:rsidRPr="52F0E74A">
        <w:t xml:space="preserve">The Provider must </w:t>
      </w:r>
      <w:r>
        <w:t>update and finalise</w:t>
      </w:r>
      <w:r w:rsidRPr="52F0E74A">
        <w:t xml:space="preserve"> the Work Refusal Failure report by undertaking the following steps in the Department’s IT Systems:</w:t>
      </w:r>
    </w:p>
    <w:p w14:paraId="49DDC901" w14:textId="6D3F981A" w:rsidR="00D94A30" w:rsidRDefault="00FD0884" w:rsidP="004E120D">
      <w:pPr>
        <w:pStyle w:val="BulletLevel2"/>
      </w:pPr>
      <w:r>
        <w:t>Step 1: S</w:t>
      </w:r>
      <w:r w:rsidR="00D94A30" w:rsidRPr="7751327C">
        <w:t xml:space="preserve">elect the edit </w:t>
      </w:r>
      <w:bookmarkStart w:id="584" w:name="_Int_dmSTWkdq"/>
      <w:r w:rsidR="00D94A30" w:rsidRPr="7751327C">
        <w:t>option</w:t>
      </w:r>
      <w:bookmarkEnd w:id="584"/>
      <w:r w:rsidR="00D94A30" w:rsidRPr="7751327C">
        <w:t xml:space="preserve"> in the draft Work Refusal Failure report</w:t>
      </w:r>
      <w:r>
        <w:t>.</w:t>
      </w:r>
    </w:p>
    <w:p w14:paraId="5C74FBAF" w14:textId="76579D72" w:rsidR="00D94A30" w:rsidRDefault="00FD0884" w:rsidP="004E120D">
      <w:pPr>
        <w:pStyle w:val="BulletLevel2"/>
      </w:pPr>
      <w:r>
        <w:t>Step 2: S</w:t>
      </w:r>
      <w:r w:rsidR="00D94A30" w:rsidRPr="52F0E74A">
        <w:t>elect ‘</w:t>
      </w:r>
      <w:r w:rsidR="00D94A30">
        <w:t>n</w:t>
      </w:r>
      <w:r w:rsidR="00D94A30" w:rsidRPr="52F0E74A">
        <w:t xml:space="preserve">o’ to the question of </w:t>
      </w:r>
      <w:r w:rsidR="002555DF">
        <w:t>if</w:t>
      </w:r>
      <w:r w:rsidR="00D94A30" w:rsidRPr="52F0E74A">
        <w:t xml:space="preserve"> they accepted the reason given by the </w:t>
      </w:r>
      <w:r w:rsidR="00D94A30">
        <w:t>Participant</w:t>
      </w:r>
      <w:r>
        <w:t>.</w:t>
      </w:r>
    </w:p>
    <w:p w14:paraId="0EE85DFD" w14:textId="368AD21E" w:rsidR="00D94A30" w:rsidRDefault="00FD0884" w:rsidP="004E120D">
      <w:pPr>
        <w:pStyle w:val="BulletLevel2"/>
      </w:pPr>
      <w:r>
        <w:t>Step 3: S</w:t>
      </w:r>
      <w:r w:rsidR="00D94A30" w:rsidRPr="52F0E74A">
        <w:t xml:space="preserve">elect the reason from the ‘Reasons not accepted’ column of the drop-down menu that most closely aligns with the reason that the </w:t>
      </w:r>
      <w:r w:rsidR="00D94A30">
        <w:t>Participant</w:t>
      </w:r>
      <w:r w:rsidR="00D94A30" w:rsidRPr="52F0E74A">
        <w:t xml:space="preserve"> gave as to why they refused or failed to accept the offer of suitable Employment</w:t>
      </w:r>
      <w:r w:rsidR="00D94A30">
        <w:t xml:space="preserve"> — a</w:t>
      </w:r>
      <w:r w:rsidR="00D94A30" w:rsidRPr="52F0E74A">
        <w:t xml:space="preserve"> full list of these drop-down menu options can be found </w:t>
      </w:r>
      <w:r w:rsidR="00D94A30">
        <w:t>within the</w:t>
      </w:r>
      <w:r w:rsidR="00D94A30" w:rsidRPr="52F0E74A">
        <w:t xml:space="preserve"> </w:t>
      </w:r>
      <w:r w:rsidR="00D94A30" w:rsidRPr="00FD6B65">
        <w:rPr>
          <w:rStyle w:val="Hyperlink"/>
        </w:rPr>
        <w:t>Work Refusal Failure reason option</w:t>
      </w:r>
      <w:r w:rsidR="00FD6B65">
        <w:rPr>
          <w:rStyle w:val="Hyperlink"/>
        </w:rPr>
        <w:t>s [LINK]</w:t>
      </w:r>
      <w:r w:rsidR="00D94A30" w:rsidRPr="00FD6B65">
        <w:rPr>
          <w:rFonts w:cs="Tahoma"/>
          <w:color w:val="000000" w:themeColor="text1"/>
        </w:rPr>
        <w:t xml:space="preserve"> </w:t>
      </w:r>
      <w:r w:rsidR="00D94A30" w:rsidRPr="00C533B4">
        <w:rPr>
          <w:rFonts w:cs="Tahoma"/>
          <w:color w:val="000000" w:themeColor="text1"/>
        </w:rPr>
        <w:t>supporting document</w:t>
      </w:r>
      <w:r>
        <w:t>.</w:t>
      </w:r>
    </w:p>
    <w:p w14:paraId="036A7E97" w14:textId="3123ED8F" w:rsidR="00D94A30" w:rsidRDefault="00FD0884" w:rsidP="004E120D">
      <w:pPr>
        <w:pStyle w:val="BulletLevel2"/>
      </w:pPr>
      <w:r>
        <w:t>Step 4: S</w:t>
      </w:r>
      <w:r w:rsidR="00D94A30" w:rsidRPr="7751327C">
        <w:t xml:space="preserve">elect ‘submit’, which will send the Work Refusal Failure report to Services Australia. </w:t>
      </w:r>
    </w:p>
    <w:p w14:paraId="27872BDE" w14:textId="139927C6" w:rsidR="00D94A30" w:rsidRDefault="00D94A30" w:rsidP="00D94A30">
      <w:r>
        <w:t xml:space="preserve">Services Australia will assess </w:t>
      </w:r>
      <w:r w:rsidR="002555DF">
        <w:t>if</w:t>
      </w:r>
      <w:r>
        <w:t xml:space="preserve"> the Participant had a Reasonable Excuse for the Work Refusal Failure, which will determine whether the Participant’s Income Support Payment is cancelled.</w:t>
      </w:r>
    </w:p>
    <w:p w14:paraId="07AAA24B" w14:textId="489905E0" w:rsidR="00D94A30" w:rsidRDefault="00D94A30" w:rsidP="00D94A30">
      <w:pPr>
        <w:pStyle w:val="Heading5"/>
      </w:pPr>
      <w:r>
        <w:t>Steps to update a draft report confirming Participant has not</w:t>
      </w:r>
      <w:r w:rsidRPr="68799C3B">
        <w:t xml:space="preserve"> committed a Work Refusal Failure</w:t>
      </w:r>
    </w:p>
    <w:p w14:paraId="3820C507" w14:textId="427DF955" w:rsidR="00D94A30" w:rsidRPr="003D1A72" w:rsidRDefault="00D94A30" w:rsidP="00D94A30">
      <w:r>
        <w:t>By finalising a Work Refusal Failure report as described below, the Provider is confirming that they have been in contact with the Participant and considers that the Participant has not committed a Work Refusal Failure.</w:t>
      </w:r>
    </w:p>
    <w:p w14:paraId="5C3376B5" w14:textId="26D59947" w:rsidR="00D94A30" w:rsidRDefault="00D94A30" w:rsidP="006F727E">
      <w:pPr>
        <w:pStyle w:val="SystemStep"/>
      </w:pPr>
      <w:r w:rsidRPr="52F0E74A">
        <w:t xml:space="preserve">The Provider must </w:t>
      </w:r>
      <w:r>
        <w:t>update and finalise</w:t>
      </w:r>
      <w:r w:rsidRPr="52F0E74A">
        <w:t xml:space="preserve"> the Work Refusal Failure report by undertaking the following steps in the Department’s IT Systems:</w:t>
      </w:r>
    </w:p>
    <w:p w14:paraId="3D5DDD70" w14:textId="691CB4A2" w:rsidR="00D94A30" w:rsidRDefault="00FD0884" w:rsidP="004E120D">
      <w:pPr>
        <w:pStyle w:val="BulletLevel2"/>
      </w:pPr>
      <w:r>
        <w:t>Step 1: S</w:t>
      </w:r>
      <w:r w:rsidR="00D94A30" w:rsidRPr="7751327C">
        <w:t xml:space="preserve">elect the edit </w:t>
      </w:r>
      <w:bookmarkStart w:id="585" w:name="_Int_TtRbM9AL"/>
      <w:r w:rsidR="00D94A30" w:rsidRPr="7751327C">
        <w:t>option</w:t>
      </w:r>
      <w:bookmarkEnd w:id="585"/>
      <w:r w:rsidR="00D94A30" w:rsidRPr="7751327C">
        <w:t xml:space="preserve"> in the draft Work Refusal Failure report</w:t>
      </w:r>
    </w:p>
    <w:p w14:paraId="5504E9CD" w14:textId="551521E1" w:rsidR="00D94A30" w:rsidRDefault="00FD0884" w:rsidP="004E120D">
      <w:pPr>
        <w:pStyle w:val="BulletLevel2"/>
      </w:pPr>
      <w:r>
        <w:t>Step 2: S</w:t>
      </w:r>
      <w:r w:rsidR="00D94A30" w:rsidRPr="52F0E74A">
        <w:t>elect ‘</w:t>
      </w:r>
      <w:r w:rsidR="00D94A30">
        <w:t>y</w:t>
      </w:r>
      <w:r w:rsidR="00D94A30" w:rsidRPr="52F0E74A">
        <w:t xml:space="preserve">es’ to the question of </w:t>
      </w:r>
      <w:r w:rsidR="002555DF">
        <w:t>if</w:t>
      </w:r>
      <w:r w:rsidR="00D94A30" w:rsidRPr="52F0E74A">
        <w:t xml:space="preserve"> they accepted the reason given by the </w:t>
      </w:r>
      <w:r w:rsidR="00D94A30">
        <w:t>Participant</w:t>
      </w:r>
    </w:p>
    <w:p w14:paraId="388A4EB1" w14:textId="6A61B82F" w:rsidR="00D94A30" w:rsidRDefault="00FD0884" w:rsidP="004E120D">
      <w:pPr>
        <w:pStyle w:val="BulletLevel2"/>
      </w:pPr>
      <w:r>
        <w:t>Step 3: S</w:t>
      </w:r>
      <w:r w:rsidR="00D94A30" w:rsidRPr="52F0E74A">
        <w:t xml:space="preserve">elect the reason from the ‘Reasons accepted’ column of the drop-down menu that most closely aligns with the reason that the </w:t>
      </w:r>
      <w:r w:rsidR="00D94A30">
        <w:t>Participant</w:t>
      </w:r>
      <w:r w:rsidR="00D94A30" w:rsidRPr="52F0E74A">
        <w:t xml:space="preserve"> gave as to why they </w:t>
      </w:r>
      <w:r w:rsidR="00D94A30">
        <w:t xml:space="preserve">did not </w:t>
      </w:r>
      <w:r w:rsidR="00D94A30" w:rsidRPr="52F0E74A">
        <w:t>refused or failed to accept the offer of suitable Employment</w:t>
      </w:r>
      <w:r w:rsidR="00D94A30">
        <w:t xml:space="preserve"> — a </w:t>
      </w:r>
      <w:r w:rsidR="00D94A30" w:rsidRPr="52F0E74A">
        <w:t xml:space="preserve">full list of these drop-down menu options can be found </w:t>
      </w:r>
      <w:r w:rsidR="00D94A30">
        <w:t>within the</w:t>
      </w:r>
      <w:r w:rsidR="00D94A30" w:rsidRPr="52F0E74A">
        <w:t xml:space="preserve"> </w:t>
      </w:r>
      <w:r w:rsidR="00FD6B65" w:rsidRPr="00FD6B65">
        <w:rPr>
          <w:rStyle w:val="Hyperlink"/>
        </w:rPr>
        <w:t>Work Refusal Failure reason option</w:t>
      </w:r>
      <w:r w:rsidR="00FD6B65">
        <w:rPr>
          <w:rStyle w:val="Hyperlink"/>
        </w:rPr>
        <w:t>s [LINK]</w:t>
      </w:r>
      <w:r w:rsidR="00FD6B65" w:rsidRPr="00FD6B65">
        <w:rPr>
          <w:rFonts w:cs="Tahoma"/>
          <w:color w:val="000000" w:themeColor="text1"/>
        </w:rPr>
        <w:t xml:space="preserve"> </w:t>
      </w:r>
      <w:r w:rsidR="00D94A30" w:rsidRPr="00BF6021">
        <w:rPr>
          <w:rFonts w:cs="Tahoma"/>
          <w:color w:val="000000" w:themeColor="text1"/>
        </w:rPr>
        <w:t>supporting document</w:t>
      </w:r>
      <w:r w:rsidR="002C5EDF">
        <w:t>.</w:t>
      </w:r>
    </w:p>
    <w:p w14:paraId="2CF9A163" w14:textId="09B4B267" w:rsidR="00D94A30" w:rsidRDefault="00FD0884" w:rsidP="004E120D">
      <w:pPr>
        <w:pStyle w:val="BulletLevel2"/>
      </w:pPr>
      <w:r>
        <w:t>Step 4: S</w:t>
      </w:r>
      <w:r w:rsidR="00D94A30" w:rsidRPr="7751327C">
        <w:t>elect ‘submit’, which will close the report (i.e. the report will not be sent to Services Australia for investigation).</w:t>
      </w:r>
    </w:p>
    <w:p w14:paraId="072E8ABA" w14:textId="734EEE64" w:rsidR="00927E7E" w:rsidRDefault="00927E7E" w:rsidP="00927E7E">
      <w:pPr>
        <w:pStyle w:val="Heading4"/>
      </w:pPr>
      <w:bookmarkStart w:id="586" w:name="_Toc202900118"/>
      <w:r>
        <w:t>12.5.</w:t>
      </w:r>
      <w:r w:rsidR="00461EC9">
        <w:t>4</w:t>
      </w:r>
      <w:r>
        <w:tab/>
        <w:t>Actions after a Work Refusal Failure is applied</w:t>
      </w:r>
      <w:bookmarkEnd w:id="586"/>
    </w:p>
    <w:p w14:paraId="4F3E6D5F" w14:textId="77777777" w:rsidR="00C81185" w:rsidRPr="006F251E" w:rsidRDefault="00C81185" w:rsidP="00C81185">
      <w:r w:rsidRPr="006F251E">
        <w:t xml:space="preserve">When the Work Refusal Failure is applied, this will result in the Participant’s Income Support Payment being cancelled and the Participant will </w:t>
      </w:r>
      <w:r>
        <w:t xml:space="preserve">need to serve a </w:t>
      </w:r>
      <w:r w:rsidRPr="006F251E">
        <w:t xml:space="preserve">4 week </w:t>
      </w:r>
      <w:r>
        <w:t>preclusion</w:t>
      </w:r>
      <w:r w:rsidRPr="006F251E">
        <w:t xml:space="preserve"> period. Cancellation of their payment will require the Participant to submit a new claim for payment.</w:t>
      </w:r>
    </w:p>
    <w:p w14:paraId="1CB46A38" w14:textId="77777777" w:rsidR="00C81185" w:rsidRPr="006F251E" w:rsidRDefault="00C81185" w:rsidP="00C81185">
      <w:r w:rsidRPr="006F251E">
        <w:rPr>
          <w:b/>
          <w:bCs/>
        </w:rPr>
        <w:t>Note:</w:t>
      </w:r>
      <w:r w:rsidRPr="006F251E">
        <w:t xml:space="preserve"> Services Australia staff will tell the Participant the outcome of their decision, consequences of this decisions, and their review and appeal rights.</w:t>
      </w:r>
    </w:p>
    <w:p w14:paraId="69870CA7" w14:textId="5E792CF9" w:rsidR="00C81185" w:rsidRDefault="00C81185" w:rsidP="00C81185">
      <w:r w:rsidRPr="006F251E">
        <w:t xml:space="preserve">When a Participant has a Work Refusal Failure applied by Services Australia, the Provider must make a note </w:t>
      </w:r>
      <w:r w:rsidR="007365D8" w:rsidRPr="006F251E">
        <w:t xml:space="preserve">of this on the Participant’s </w:t>
      </w:r>
      <w:r w:rsidR="007365D8">
        <w:t>record in the Department’s IT Systems</w:t>
      </w:r>
      <w:r w:rsidRPr="006F251E">
        <w:t>.</w:t>
      </w:r>
    </w:p>
    <w:p w14:paraId="2D0360E9" w14:textId="0BD292F4" w:rsidR="00461EC9" w:rsidRPr="00FB7CD7" w:rsidRDefault="00461EC9" w:rsidP="00461EC9">
      <w:pPr>
        <w:pStyle w:val="SystemStep"/>
      </w:pPr>
      <w:r>
        <w:t>Providers must</w:t>
      </w:r>
      <w:r w:rsidRPr="00FB7CD7">
        <w:t xml:space="preserve"> </w:t>
      </w:r>
      <w:r>
        <w:t xml:space="preserve">enter </w:t>
      </w:r>
      <w:r w:rsidR="00135D82">
        <w:t>a file note</w:t>
      </w:r>
      <w:r>
        <w:t xml:space="preserve"> using </w:t>
      </w:r>
      <w:r w:rsidR="00135D82">
        <w:t xml:space="preserve">the </w:t>
      </w:r>
      <w:r>
        <w:t>comment functionality in the Program Summary on</w:t>
      </w:r>
      <w:r w:rsidRPr="53BE8163">
        <w:t xml:space="preserve"> the Department’s IT Systems</w:t>
      </w:r>
      <w:r>
        <w:t>.</w:t>
      </w:r>
    </w:p>
    <w:p w14:paraId="69421EE5" w14:textId="219068AA" w:rsidR="00C81185" w:rsidRPr="006F251E" w:rsidRDefault="00C81185" w:rsidP="002F02E4">
      <w:r w:rsidRPr="006F251E">
        <w:t xml:space="preserve">If the Participant seeks to submit a new claim for Income Support Payments with Services Australia, they may return to </w:t>
      </w:r>
      <w:r w:rsidR="00202A96">
        <w:t>Inclusive Employment Australia</w:t>
      </w:r>
      <w:r w:rsidRPr="006F251E">
        <w:t xml:space="preserve"> — either resuming Services having returned within 13 weeks of the Exit or being subject to a new Referral.</w:t>
      </w:r>
    </w:p>
    <w:p w14:paraId="5309ACEC" w14:textId="160EFA85" w:rsidR="00C81185" w:rsidRPr="006F251E" w:rsidRDefault="00C81185" w:rsidP="002F02E4">
      <w:r w:rsidRPr="006F251E">
        <w:t xml:space="preserve">Where a Participant resumes following </w:t>
      </w:r>
      <w:r>
        <w:t>the preclusion</w:t>
      </w:r>
      <w:r w:rsidRPr="006F251E">
        <w:t xml:space="preserve"> period, the previous Job Plan will remain in force until another Job Plan is created. If this was a Meaningful Engagement Job Plan, the Provider must take the appropriate steps to enter into a Detailed Job Plan with the Participant as outlined in Chapter 4: Job Plans at the first Contact </w:t>
      </w:r>
      <w:r w:rsidR="005E1D5A">
        <w:t xml:space="preserve">Appointment </w:t>
      </w:r>
      <w:r w:rsidRPr="006F251E">
        <w:t>following the Work Refusal Failure.</w:t>
      </w:r>
    </w:p>
    <w:p w14:paraId="129AB3AD" w14:textId="6B340DAD" w:rsidR="00927E7E" w:rsidRDefault="00C81185" w:rsidP="002F02E4">
      <w:r w:rsidRPr="006F251E">
        <w:t xml:space="preserve">Where a Participant is subject to a new Referral, Providers should consider </w:t>
      </w:r>
      <w:r w:rsidR="002555DF">
        <w:t>if</w:t>
      </w:r>
      <w:r w:rsidRPr="006F251E">
        <w:t xml:space="preserve"> it is appropriate to enter into a Detailed Job Plan depending on the duration between the Work Refusal Failure and Commencement, having also reviewed the Job Plan history and Program Summary</w:t>
      </w:r>
      <w:r w:rsidR="002F02E4">
        <w:t>.</w:t>
      </w:r>
    </w:p>
    <w:p w14:paraId="00100D05" w14:textId="1D9F8C9E" w:rsidR="001F41FC" w:rsidRPr="00FB7CD7" w:rsidRDefault="001F41FC" w:rsidP="001F41FC">
      <w:pPr>
        <w:pStyle w:val="SystemStep"/>
      </w:pPr>
      <w:r>
        <w:t>Providers are able to view comments in the Program Summary on</w:t>
      </w:r>
      <w:r w:rsidRPr="53BE8163">
        <w:t xml:space="preserve"> the Department’s IT Systems</w:t>
      </w:r>
      <w:r>
        <w:t xml:space="preserve"> made by other </w:t>
      </w:r>
      <w:r w:rsidR="00202A96">
        <w:t>Inclusive Employment Australia</w:t>
      </w:r>
      <w:r>
        <w:t xml:space="preserve"> Providers.</w:t>
      </w:r>
    </w:p>
    <w:p w14:paraId="0B732224" w14:textId="08D88E6D" w:rsidR="00D94A30" w:rsidRDefault="00D94A30" w:rsidP="00D94A30">
      <w:pPr>
        <w:pStyle w:val="Heading3"/>
      </w:pPr>
      <w:bookmarkStart w:id="587" w:name="_Ref202876673"/>
      <w:bookmarkStart w:id="588" w:name="_Toc202900119"/>
      <w:r>
        <w:t>12.6</w:t>
      </w:r>
      <w:r>
        <w:tab/>
        <w:t>Compliance actions - Unemployment Failures</w:t>
      </w:r>
      <w:bookmarkEnd w:id="587"/>
      <w:bookmarkEnd w:id="588"/>
    </w:p>
    <w:p w14:paraId="5AF174E0" w14:textId="13586434" w:rsidR="00D94A30" w:rsidRDefault="00D94A30" w:rsidP="00D94A30">
      <w:pPr>
        <w:keepNext/>
        <w:rPr>
          <w:rFonts w:ascii="Tahoma" w:eastAsia="Tahoma" w:hAnsi="Tahoma"/>
        </w:rPr>
      </w:pPr>
      <w:r>
        <w:rPr>
          <w:rStyle w:val="Emphasis"/>
        </w:rPr>
        <w:t xml:space="preserve">This </w:t>
      </w:r>
      <w:r w:rsidR="007A4B96">
        <w:rPr>
          <w:rStyle w:val="Emphasis"/>
        </w:rPr>
        <w:t>S</w:t>
      </w:r>
      <w:r>
        <w:rPr>
          <w:rStyle w:val="Emphasis"/>
        </w:rPr>
        <w:t>ection applies to Participants</w:t>
      </w:r>
      <w:r w:rsidRPr="00281735">
        <w:rPr>
          <w:rStyle w:val="Emphasis"/>
        </w:rPr>
        <w:t xml:space="preserve"> (Mutual Obligation)</w:t>
      </w:r>
      <w:r w:rsidR="00213788">
        <w:rPr>
          <w:rStyle w:val="Emphasis"/>
        </w:rPr>
        <w:t xml:space="preserve"> and Volunteers (Mutual Obligation)</w:t>
      </w:r>
      <w:r>
        <w:rPr>
          <w:rStyle w:val="Emphasis"/>
        </w:rPr>
        <w:t>.</w:t>
      </w:r>
    </w:p>
    <w:p w14:paraId="7C1D9F3F" w14:textId="297A888E" w:rsidR="00D94A30" w:rsidRDefault="00D94A30" w:rsidP="00D94A30">
      <w:pPr>
        <w:pStyle w:val="Heading4"/>
      </w:pPr>
      <w:bookmarkStart w:id="589" w:name="_Toc202900120"/>
      <w:r>
        <w:t>12.6.1</w:t>
      </w:r>
      <w:r>
        <w:tab/>
        <w:t>What is an Unemployment Failure</w:t>
      </w:r>
      <w:bookmarkEnd w:id="589"/>
    </w:p>
    <w:p w14:paraId="177326FB" w14:textId="2D43F23F" w:rsidR="00D94A30" w:rsidRDefault="00D94A30" w:rsidP="002F02E4">
      <w:pPr>
        <w:keepNext/>
        <w:rPr>
          <w:rFonts w:ascii="Tahoma" w:eastAsia="Tahoma" w:hAnsi="Tahoma"/>
        </w:rPr>
      </w:pPr>
      <w:r w:rsidRPr="0DFD7869">
        <w:rPr>
          <w:rFonts w:ascii="Tahoma" w:eastAsia="Tahoma" w:hAnsi="Tahoma"/>
        </w:rPr>
        <w:t>Participants commit an Unemployment Failure when they become unemployed either:</w:t>
      </w:r>
    </w:p>
    <w:p w14:paraId="37AB1EA9" w14:textId="245A3B48" w:rsidR="00D94A30" w:rsidRPr="002C5EDF" w:rsidRDefault="00D94A30" w:rsidP="004E120D">
      <w:pPr>
        <w:pStyle w:val="BulletLevel1"/>
      </w:pPr>
      <w:r w:rsidRPr="68799C3B">
        <w:t xml:space="preserve">as a direct or indirect result of a voluntary act (unless Services Australia is satisfied that the voluntary </w:t>
      </w:r>
      <w:r w:rsidRPr="002C5EDF">
        <w:t>act was reasonable), or</w:t>
      </w:r>
    </w:p>
    <w:p w14:paraId="3AC40B11" w14:textId="4170C45E" w:rsidR="00D94A30" w:rsidRDefault="00D94A30" w:rsidP="004E120D">
      <w:pPr>
        <w:pStyle w:val="BulletLevel1"/>
      </w:pPr>
      <w:r w:rsidRPr="002C5EDF">
        <w:t>a</w:t>
      </w:r>
      <w:r w:rsidRPr="7751327C">
        <w:t>s a result of their misconduct as an employee.</w:t>
      </w:r>
    </w:p>
    <w:p w14:paraId="0DE96492" w14:textId="0723B327" w:rsidR="00D94A30" w:rsidRDefault="00D94A30" w:rsidP="00D94A30">
      <w:pPr>
        <w:rPr>
          <w:rFonts w:ascii="Tahoma" w:eastAsia="Tahoma" w:hAnsi="Tahoma"/>
        </w:rPr>
      </w:pPr>
      <w:r w:rsidRPr="6055448A">
        <w:t>Where a Participant becomes unemployed as described above, this is referred to as a ‘</w:t>
      </w:r>
      <w:r w:rsidR="000564C9">
        <w:t>potential</w:t>
      </w:r>
      <w:r w:rsidRPr="6055448A">
        <w:t xml:space="preserve"> Unemployment Failure’ in these Guidelines (i.e. a Participant has potentially committed an Unemployment Failure’).</w:t>
      </w:r>
    </w:p>
    <w:p w14:paraId="4DC3DCE7" w14:textId="14B36662" w:rsidR="00D94A30" w:rsidRDefault="00D94A30" w:rsidP="00D94A30">
      <w:pPr>
        <w:rPr>
          <w:rFonts w:ascii="Tahoma" w:eastAsia="Tahoma" w:hAnsi="Tahoma"/>
        </w:rPr>
      </w:pPr>
      <w:r w:rsidRPr="5DD2C18A">
        <w:rPr>
          <w:rFonts w:ascii="Tahoma" w:eastAsia="Tahoma" w:hAnsi="Tahoma"/>
        </w:rPr>
        <w:t xml:space="preserve">Participants can commit an Unemployment Failure even if they have </w:t>
      </w:r>
      <w:r>
        <w:rPr>
          <w:rFonts w:ascii="Tahoma" w:eastAsia="Tahoma" w:hAnsi="Tahoma"/>
        </w:rPr>
        <w:t>Meaningful Engagement Job Plan</w:t>
      </w:r>
      <w:r w:rsidRPr="5DD2C18A">
        <w:rPr>
          <w:rFonts w:ascii="Tahoma" w:eastAsia="Tahoma" w:hAnsi="Tahoma"/>
        </w:rPr>
        <w:t>.</w:t>
      </w:r>
    </w:p>
    <w:p w14:paraId="6DFE55AB" w14:textId="50DEC7C8" w:rsidR="00D94A30" w:rsidRDefault="00D94A30" w:rsidP="00D94A30">
      <w:pPr>
        <w:rPr>
          <w:rFonts w:ascii="Tahoma" w:eastAsia="Tahoma" w:hAnsi="Tahoma"/>
        </w:rPr>
      </w:pPr>
      <w:r w:rsidRPr="7751327C">
        <w:rPr>
          <w:rFonts w:ascii="Tahoma" w:eastAsia="Tahoma" w:hAnsi="Tahoma"/>
        </w:rPr>
        <w:t xml:space="preserve">When the Provider creates a report because of </w:t>
      </w:r>
      <w:bookmarkStart w:id="590" w:name="_Int_dyXKOa7e"/>
      <w:r w:rsidRPr="7751327C">
        <w:rPr>
          <w:rFonts w:ascii="Tahoma" w:eastAsia="Tahoma" w:hAnsi="Tahoma"/>
        </w:rPr>
        <w:t xml:space="preserve">an </w:t>
      </w:r>
      <w:bookmarkEnd w:id="590"/>
      <w:r w:rsidR="00CE673B">
        <w:rPr>
          <w:rFonts w:ascii="Tahoma" w:eastAsia="Tahoma" w:hAnsi="Tahoma"/>
        </w:rPr>
        <w:t>potential</w:t>
      </w:r>
      <w:r w:rsidRPr="7751327C">
        <w:rPr>
          <w:rFonts w:ascii="Tahoma" w:eastAsia="Tahoma" w:hAnsi="Tahoma"/>
        </w:rPr>
        <w:t xml:space="preserve"> Unemployment Failure, the report will be sent through the Department’s IT Systems to Services Australia. The creation of an Unemployment Failure report does not trigger payment suspension.</w:t>
      </w:r>
    </w:p>
    <w:p w14:paraId="51297376" w14:textId="093770BC" w:rsidR="00D94A30" w:rsidRDefault="00D94A30" w:rsidP="00D94A30">
      <w:pPr>
        <w:rPr>
          <w:rFonts w:eastAsiaTheme="minorEastAsia"/>
          <w:color w:val="000000" w:themeColor="text1"/>
        </w:rPr>
      </w:pPr>
      <w:r w:rsidRPr="5DD2C18A">
        <w:rPr>
          <w:rFonts w:ascii="Tahoma" w:eastAsia="Tahoma" w:hAnsi="Tahoma"/>
        </w:rPr>
        <w:t xml:space="preserve">Services Australia will determine </w:t>
      </w:r>
      <w:r w:rsidR="002555DF">
        <w:rPr>
          <w:rFonts w:ascii="Tahoma" w:eastAsia="Tahoma" w:hAnsi="Tahoma"/>
        </w:rPr>
        <w:t>if</w:t>
      </w:r>
      <w:r w:rsidRPr="5DD2C18A">
        <w:rPr>
          <w:rFonts w:ascii="Tahoma" w:eastAsia="Tahoma" w:hAnsi="Tahoma"/>
        </w:rPr>
        <w:t xml:space="preserve"> the Participant has </w:t>
      </w:r>
      <w:r w:rsidRPr="5DD2C18A">
        <w:rPr>
          <w:rFonts w:eastAsiaTheme="minorEastAsia"/>
          <w:color w:val="000000" w:themeColor="text1"/>
        </w:rPr>
        <w:t xml:space="preserve">committed an Unemployment Failure, considering whether the work was suitable </w:t>
      </w:r>
      <w:r>
        <w:t xml:space="preserve">or </w:t>
      </w:r>
      <w:r w:rsidRPr="5DD2C18A">
        <w:rPr>
          <w:rFonts w:ascii="Tahoma" w:eastAsia="Tahoma" w:hAnsi="Tahoma"/>
        </w:rPr>
        <w:t>the Participant’s voluntary act was reasonable (for example, if the Participant resigned due to bullying or unsafe work practices).</w:t>
      </w:r>
    </w:p>
    <w:p w14:paraId="3E3F56E6" w14:textId="79E8A675" w:rsidR="00D94A30" w:rsidRDefault="00D94A30" w:rsidP="00D94A30">
      <w:pPr>
        <w:rPr>
          <w:rFonts w:ascii="Tahoma" w:eastAsia="Tahoma" w:hAnsi="Tahoma"/>
        </w:rPr>
      </w:pPr>
      <w:r w:rsidRPr="5DD2C18A">
        <w:rPr>
          <w:rFonts w:ascii="Tahoma" w:eastAsia="Tahoma" w:hAnsi="Tahoma"/>
        </w:rPr>
        <w:t xml:space="preserve">If Services Australia determines a Participant has committed an Unemployment Failure, the Participant’s Income Support Payment is cancelled and it cannot be paid for 4 weeks. Participants can reapply for payment at any time after their payment has been cancelled but they may not receive Income Support Payment again until they have served their preclusion period. </w:t>
      </w:r>
    </w:p>
    <w:p w14:paraId="1EF59803" w14:textId="36393179" w:rsidR="00D94A30" w:rsidRDefault="00D94A30" w:rsidP="00D94A30">
      <w:pPr>
        <w:pStyle w:val="Heading4"/>
        <w:rPr>
          <w:rFonts w:ascii="Tahoma" w:eastAsia="Tahoma" w:hAnsi="Tahoma"/>
          <w:b/>
          <w:bCs w:val="0"/>
        </w:rPr>
      </w:pPr>
      <w:bookmarkStart w:id="591" w:name="_Toc202900121"/>
      <w:bookmarkStart w:id="592" w:name="_Ref202951246"/>
      <w:r w:rsidRPr="7751327C">
        <w:t>12.6.2</w:t>
      </w:r>
      <w:r>
        <w:tab/>
      </w:r>
      <w:r w:rsidRPr="7751327C">
        <w:t xml:space="preserve">Identifying </w:t>
      </w:r>
      <w:bookmarkStart w:id="593" w:name="_Int_JJFS9wY5"/>
      <w:r w:rsidRPr="7751327C">
        <w:t xml:space="preserve">a </w:t>
      </w:r>
      <w:bookmarkEnd w:id="593"/>
      <w:r w:rsidR="00CE673B">
        <w:t>potential</w:t>
      </w:r>
      <w:r w:rsidRPr="7751327C">
        <w:t xml:space="preserve"> Unemployment Failure</w:t>
      </w:r>
      <w:bookmarkEnd w:id="591"/>
      <w:bookmarkEnd w:id="592"/>
    </w:p>
    <w:p w14:paraId="4ED5787D" w14:textId="6FAF1952" w:rsidR="00D94A30" w:rsidRDefault="00D94A30" w:rsidP="00D94A30">
      <w:pPr>
        <w:rPr>
          <w:rFonts w:ascii="Tahoma" w:eastAsia="Tahoma" w:hAnsi="Tahoma"/>
        </w:rPr>
      </w:pPr>
      <w:r w:rsidRPr="7751327C">
        <w:rPr>
          <w:rFonts w:ascii="Tahoma" w:eastAsia="Tahoma" w:hAnsi="Tahoma"/>
        </w:rPr>
        <w:t xml:space="preserve">Providers have Deed obligations when they become aware (e.g. when an Employer notifies the </w:t>
      </w:r>
      <w:r w:rsidR="00892813" w:rsidRPr="7751327C">
        <w:rPr>
          <w:rFonts w:ascii="Tahoma" w:eastAsia="Tahoma" w:hAnsi="Tahoma"/>
        </w:rPr>
        <w:t>Provider,</w:t>
      </w:r>
      <w:r w:rsidRPr="7751327C">
        <w:rPr>
          <w:rFonts w:ascii="Tahoma" w:eastAsia="Tahoma" w:hAnsi="Tahoma"/>
        </w:rPr>
        <w:t xml:space="preserve"> or the Provider receives information from the Department) that a Participant has become unemployed apparently as: </w:t>
      </w:r>
    </w:p>
    <w:p w14:paraId="6E7C4599" w14:textId="4C377F28" w:rsidR="00D94A30" w:rsidRPr="002C5EDF" w:rsidRDefault="00D94A30" w:rsidP="004E120D">
      <w:pPr>
        <w:pStyle w:val="BulletLevel1"/>
      </w:pPr>
      <w:r w:rsidRPr="002C5EDF">
        <w:t>a direct or indirect result of a voluntary act of the Participant, or</w:t>
      </w:r>
    </w:p>
    <w:p w14:paraId="3086F7E4" w14:textId="6E65F34C" w:rsidR="00D94A30" w:rsidRPr="002C5EDF" w:rsidRDefault="00D94A30" w:rsidP="004E120D">
      <w:pPr>
        <w:pStyle w:val="BulletLevel1"/>
      </w:pPr>
      <w:r w:rsidRPr="002C5EDF">
        <w:t xml:space="preserve">a result of the Participant’s misconduct as an employee. </w:t>
      </w:r>
    </w:p>
    <w:p w14:paraId="44E0C2AA" w14:textId="78B22EF5" w:rsidR="00D94A30" w:rsidRPr="004872F5" w:rsidRDefault="00D94A30" w:rsidP="00D94A30">
      <w:pPr>
        <w:pStyle w:val="DeedReferences"/>
      </w:pPr>
      <w:r w:rsidRPr="004872F5">
        <w:t>(</w:t>
      </w:r>
      <w:r w:rsidR="00A73420">
        <w:t xml:space="preserve">Deed Reference(s): Clause </w:t>
      </w:r>
      <w:r w:rsidR="00C24695">
        <w:t>141</w:t>
      </w:r>
      <w:r w:rsidRPr="004872F5">
        <w:t>)</w:t>
      </w:r>
    </w:p>
    <w:p w14:paraId="7D98CF9E" w14:textId="006A3768" w:rsidR="00D94A30" w:rsidRDefault="009601DA" w:rsidP="00D94A30">
      <w:pPr>
        <w:pStyle w:val="Heading5"/>
      </w:pPr>
      <w:r>
        <w:t xml:space="preserve">Contact with the </w:t>
      </w:r>
      <w:r w:rsidR="00D94A30">
        <w:t>Participant</w:t>
      </w:r>
    </w:p>
    <w:p w14:paraId="6A61D4C3" w14:textId="2FB8331C" w:rsidR="00D94A30" w:rsidRDefault="00D94A30" w:rsidP="00D94A30">
      <w:r>
        <w:t>Providers must try to contact the Participant on the same Business Day that they become aware of the potential Unemployment Failure.</w:t>
      </w:r>
    </w:p>
    <w:p w14:paraId="462C1A20" w14:textId="4617BC4C" w:rsidR="00D94A30" w:rsidRDefault="00D94A30" w:rsidP="00D94A30">
      <w:r w:rsidRPr="00397DE3">
        <w:rPr>
          <w:u w:val="single"/>
        </w:rPr>
        <w:t xml:space="preserve">Where contact can be made with the </w:t>
      </w:r>
      <w:r>
        <w:rPr>
          <w:u w:val="single"/>
        </w:rPr>
        <w:t>Participant</w:t>
      </w:r>
      <w:r w:rsidRPr="52F0E74A">
        <w:t xml:space="preserve">, the Provider must discuss the circumstances of </w:t>
      </w:r>
      <w:r>
        <w:t>the</w:t>
      </w:r>
      <w:r w:rsidRPr="52F0E74A">
        <w:t xml:space="preserve"> </w:t>
      </w:r>
      <w:r w:rsidR="00CE673B">
        <w:t>potential</w:t>
      </w:r>
      <w:r w:rsidRPr="52F0E74A">
        <w:t xml:space="preserve"> </w:t>
      </w:r>
      <w:r>
        <w:t>Unemployment</w:t>
      </w:r>
      <w:r w:rsidRPr="52F0E74A">
        <w:t xml:space="preserve"> Failure with the </w:t>
      </w:r>
      <w:r>
        <w:t>Participant</w:t>
      </w:r>
      <w:r w:rsidRPr="52F0E74A">
        <w:t xml:space="preserve"> and consider </w:t>
      </w:r>
      <w:r>
        <w:t xml:space="preserve">the issues outlined below to determine </w:t>
      </w:r>
      <w:r w:rsidR="002555DF">
        <w:t>if</w:t>
      </w:r>
      <w:r w:rsidRPr="52F0E74A">
        <w:t xml:space="preserve"> the </w:t>
      </w:r>
      <w:r>
        <w:t>Participant</w:t>
      </w:r>
      <w:r w:rsidRPr="0079546F">
        <w:t xml:space="preserve"> became unemployed as a direct or indirect result of an act of the </w:t>
      </w:r>
      <w:r>
        <w:t>Participant</w:t>
      </w:r>
      <w:r w:rsidRPr="0079546F">
        <w:t xml:space="preserve"> that was voluntary</w:t>
      </w:r>
      <w:r>
        <w:t xml:space="preserve"> or as a </w:t>
      </w:r>
      <w:r w:rsidRPr="002D3C98">
        <w:t xml:space="preserve">result of the </w:t>
      </w:r>
      <w:r>
        <w:t>Participant</w:t>
      </w:r>
      <w:r w:rsidRPr="002D3C98">
        <w:t>’s misconduct as an employee</w:t>
      </w:r>
      <w:r>
        <w:t>, and therefore there is evidence they could have potentially committed an Unemployment Failure.</w:t>
      </w:r>
    </w:p>
    <w:p w14:paraId="24F31CF0" w14:textId="6A6C0335" w:rsidR="00D94A30" w:rsidRPr="00F57231" w:rsidRDefault="00D94A30" w:rsidP="00D94A30">
      <w:r w:rsidRPr="7751327C">
        <w:t xml:space="preserve">If, after discussing the circumstances of the </w:t>
      </w:r>
      <w:bookmarkStart w:id="594" w:name="_Int_DE0CUjJM"/>
      <w:r w:rsidRPr="7751327C">
        <w:t>apparent</w:t>
      </w:r>
      <w:bookmarkEnd w:id="594"/>
      <w:r w:rsidRPr="7751327C">
        <w:t xml:space="preserve"> failure with the Participant, the Provider considers the Participant has potentially committed an Unemployment Failure, the Provider must then undertake the steps required to report the </w:t>
      </w:r>
      <w:r w:rsidR="00CE673B">
        <w:t>potential</w:t>
      </w:r>
      <w:r w:rsidRPr="7751327C">
        <w:t xml:space="preserve"> Unemployment Failure as outlined in</w:t>
      </w:r>
      <w:r w:rsidR="009B7BD9">
        <w:t xml:space="preserve"> </w:t>
      </w:r>
      <w:r w:rsidR="009B7BD9">
        <w:fldChar w:fldCharType="begin"/>
      </w:r>
      <w:r w:rsidR="009B7BD9">
        <w:instrText xml:space="preserve"> REF _Ref202950970 \h </w:instrText>
      </w:r>
      <w:r w:rsidR="009B7BD9">
        <w:fldChar w:fldCharType="separate"/>
      </w:r>
      <w:r w:rsidR="000D75AE">
        <w:t>12.6.3</w:t>
      </w:r>
      <w:r w:rsidR="004572F7">
        <w:t xml:space="preserve"> </w:t>
      </w:r>
      <w:r w:rsidR="000D75AE">
        <w:t>Reporting a potential Unemployment Failure</w:t>
      </w:r>
      <w:r w:rsidR="009B7BD9">
        <w:fldChar w:fldCharType="end"/>
      </w:r>
      <w:r w:rsidR="009B7BD9">
        <w:t>.</w:t>
      </w:r>
    </w:p>
    <w:p w14:paraId="1DA9D877" w14:textId="0B8E74F3" w:rsidR="00D94A30" w:rsidRDefault="00D94A30" w:rsidP="00D94A30">
      <w:r w:rsidRPr="7751327C">
        <w:t xml:space="preserve">If, after discussing the circumstances of the </w:t>
      </w:r>
      <w:r w:rsidR="00CE673B">
        <w:t>potential</w:t>
      </w:r>
      <w:r w:rsidRPr="7751327C">
        <w:t xml:space="preserve"> Unemployment Failure with the Participant, the Provider considers the Participant has not committed an Unemployment Failure, no further action is needed.</w:t>
      </w:r>
    </w:p>
    <w:p w14:paraId="17E20654" w14:textId="4CC4078E" w:rsidR="00D94A30" w:rsidRDefault="00D94A30" w:rsidP="00D94A30">
      <w:r w:rsidRPr="6055448A">
        <w:rPr>
          <w:u w:val="single"/>
        </w:rPr>
        <w:t>Where contact cannot be made with the Participant</w:t>
      </w:r>
      <w:r w:rsidRPr="6055448A">
        <w:t xml:space="preserve">, the Provider must undertake the steps needed to report the </w:t>
      </w:r>
      <w:r w:rsidR="00CE673B">
        <w:t>potential</w:t>
      </w:r>
      <w:r w:rsidRPr="6055448A">
        <w:t xml:space="preserve"> Unemployment Failure as outlined in </w:t>
      </w:r>
      <w:r w:rsidR="009B7BD9">
        <w:fldChar w:fldCharType="begin"/>
      </w:r>
      <w:r w:rsidR="009B7BD9">
        <w:instrText xml:space="preserve"> REF _Ref202950970 \h </w:instrText>
      </w:r>
      <w:r w:rsidR="009B7BD9">
        <w:fldChar w:fldCharType="separate"/>
      </w:r>
      <w:r w:rsidR="000D75AE">
        <w:t>12.6.3</w:t>
      </w:r>
      <w:r w:rsidR="004572F7">
        <w:t xml:space="preserve"> </w:t>
      </w:r>
      <w:r w:rsidR="000D75AE">
        <w:t>Reporting a potential Unemployment Failure</w:t>
      </w:r>
      <w:r w:rsidR="009B7BD9">
        <w:fldChar w:fldCharType="end"/>
      </w:r>
      <w:r w:rsidRPr="6055448A">
        <w:t>.</w:t>
      </w:r>
    </w:p>
    <w:p w14:paraId="551987BA" w14:textId="1762C3BB" w:rsidR="00D94A30" w:rsidRDefault="00D94A30" w:rsidP="00D94A30">
      <w:pPr>
        <w:rPr>
          <w:rFonts w:ascii="Tahoma" w:eastAsia="Tahoma" w:hAnsi="Tahoma"/>
        </w:rPr>
      </w:pPr>
      <w:r w:rsidRPr="6055448A">
        <w:t xml:space="preserve">If there is </w:t>
      </w:r>
      <w:r w:rsidRPr="6055448A">
        <w:rPr>
          <w:rFonts w:ascii="Tahoma" w:eastAsia="Tahoma" w:hAnsi="Tahoma"/>
        </w:rPr>
        <w:t xml:space="preserve">contact with the Participant after the </w:t>
      </w:r>
      <w:r w:rsidR="00490CF8" w:rsidRPr="3B50DE9A">
        <w:rPr>
          <w:rFonts w:ascii="Tahoma" w:eastAsia="Tahoma" w:hAnsi="Tahoma"/>
        </w:rPr>
        <w:t>B</w:t>
      </w:r>
      <w:r w:rsidRPr="3B50DE9A">
        <w:rPr>
          <w:rFonts w:ascii="Tahoma" w:eastAsia="Tahoma" w:hAnsi="Tahoma"/>
        </w:rPr>
        <w:t xml:space="preserve">usiness </w:t>
      </w:r>
      <w:r w:rsidR="00490CF8" w:rsidRPr="3B50DE9A">
        <w:rPr>
          <w:rFonts w:ascii="Tahoma" w:eastAsia="Tahoma" w:hAnsi="Tahoma"/>
        </w:rPr>
        <w:t>D</w:t>
      </w:r>
      <w:r w:rsidRPr="3B50DE9A">
        <w:rPr>
          <w:rFonts w:ascii="Tahoma" w:eastAsia="Tahoma" w:hAnsi="Tahoma"/>
        </w:rPr>
        <w:t>ay</w:t>
      </w:r>
      <w:r w:rsidRPr="6055448A">
        <w:rPr>
          <w:rFonts w:ascii="Tahoma" w:eastAsia="Tahoma" w:hAnsi="Tahoma"/>
        </w:rPr>
        <w:t xml:space="preserve"> on which the Provider became aware of the </w:t>
      </w:r>
      <w:r w:rsidR="00E022D7">
        <w:rPr>
          <w:rFonts w:ascii="Tahoma" w:eastAsia="Tahoma" w:hAnsi="Tahoma"/>
        </w:rPr>
        <w:t>potential</w:t>
      </w:r>
      <w:r w:rsidRPr="6055448A">
        <w:rPr>
          <w:rFonts w:ascii="Tahoma" w:eastAsia="Tahoma" w:hAnsi="Tahoma"/>
        </w:rPr>
        <w:t xml:space="preserve"> </w:t>
      </w:r>
      <w:r w:rsidRPr="6055448A">
        <w:t xml:space="preserve">Unemployment Failure, the Provider must discuss the circumstances of the </w:t>
      </w:r>
      <w:r w:rsidR="00E022D7">
        <w:t>potential</w:t>
      </w:r>
      <w:r w:rsidRPr="6055448A">
        <w:t xml:space="preserve"> Unemployment Failure with the Participant and consider the issues outlined below to determine </w:t>
      </w:r>
      <w:r w:rsidR="002555DF">
        <w:t>if</w:t>
      </w:r>
      <w:r w:rsidRPr="6055448A">
        <w:t xml:space="preserve"> the Participant became unemployed as a direct or indirect result of an act of the Participant that was voluntary or as a result of the Participant’s misconduct as an employee. </w:t>
      </w:r>
      <w:r w:rsidRPr="6055448A">
        <w:rPr>
          <w:rFonts w:ascii="Tahoma" w:eastAsia="Tahoma" w:hAnsi="Tahoma"/>
        </w:rPr>
        <w:t xml:space="preserve">The Provider must then update the draft Unemployment Failure report accordingly. </w:t>
      </w:r>
      <w:r w:rsidRPr="6055448A">
        <w:t xml:space="preserve">Further details are outlined in </w:t>
      </w:r>
      <w:r w:rsidR="009B7BD9">
        <w:fldChar w:fldCharType="begin"/>
      </w:r>
      <w:r w:rsidR="009B7BD9">
        <w:instrText xml:space="preserve"> REF _Ref202950970 \h </w:instrText>
      </w:r>
      <w:r w:rsidR="009B7BD9">
        <w:fldChar w:fldCharType="separate"/>
      </w:r>
      <w:r w:rsidR="000D75AE">
        <w:t>12.6.3</w:t>
      </w:r>
      <w:r w:rsidR="004572F7">
        <w:t xml:space="preserve"> </w:t>
      </w:r>
      <w:r w:rsidR="000D75AE">
        <w:t>Reporting a potential Unemployment Failure</w:t>
      </w:r>
      <w:r w:rsidR="009B7BD9">
        <w:fldChar w:fldCharType="end"/>
      </w:r>
      <w:r w:rsidRPr="6055448A">
        <w:rPr>
          <w:rFonts w:ascii="Tahoma" w:eastAsia="Tahoma" w:hAnsi="Tahoma"/>
        </w:rPr>
        <w:t>.</w:t>
      </w:r>
    </w:p>
    <w:p w14:paraId="4212F384" w14:textId="370C65B6" w:rsidR="00AF1A22" w:rsidRPr="00B12995" w:rsidRDefault="00AF1A22" w:rsidP="00AF1A22">
      <w:pPr>
        <w:rPr>
          <w:rFonts w:ascii="Tahoma" w:eastAsia="Tahoma" w:hAnsi="Tahoma"/>
        </w:rPr>
      </w:pPr>
      <w:r>
        <w:rPr>
          <w:rFonts w:ascii="Tahoma" w:eastAsia="Tahoma" w:hAnsi="Tahoma"/>
        </w:rPr>
        <w:t>If the Provider is not in contact with the Participant, as noted in</w:t>
      </w:r>
      <w:r w:rsidR="009D3726">
        <w:rPr>
          <w:rFonts w:ascii="Tahoma" w:eastAsia="Tahoma" w:hAnsi="Tahoma"/>
        </w:rPr>
        <w:t xml:space="preserve"> </w:t>
      </w:r>
      <w:r w:rsidR="009D3726">
        <w:fldChar w:fldCharType="begin"/>
      </w:r>
      <w:r w:rsidR="009D3726">
        <w:instrText xml:space="preserve"> REF _Ref202789057 \h </w:instrText>
      </w:r>
      <w:r w:rsidR="009D3726">
        <w:fldChar w:fldCharType="separate"/>
      </w:r>
      <w:r w:rsidR="000D75AE">
        <w:t>12.2.2</w:t>
      </w:r>
      <w:r w:rsidR="002D5130">
        <w:t xml:space="preserve"> </w:t>
      </w:r>
      <w:r w:rsidR="000D75AE">
        <w:t>Compellable Contact Appointment</w:t>
      </w:r>
      <w:r w:rsidR="009D3726">
        <w:fldChar w:fldCharType="end"/>
      </w:r>
      <w:r>
        <w:rPr>
          <w:rFonts w:ascii="Tahoma" w:eastAsia="Tahoma" w:hAnsi="Tahoma"/>
        </w:rPr>
        <w:t>, Providers can schedule a compulsory Contact Appointment where there has been an apparent Work Refusal Failure.</w:t>
      </w:r>
    </w:p>
    <w:p w14:paraId="4F78C1C9" w14:textId="53C5D98A" w:rsidR="00D94A30" w:rsidRDefault="00D94A30" w:rsidP="00D94A30">
      <w:r>
        <w:t>I</w:t>
      </w:r>
      <w:r w:rsidRPr="00CD7DCE">
        <w:t xml:space="preserve">f the </w:t>
      </w:r>
      <w:r>
        <w:t>Participant</w:t>
      </w:r>
      <w:r w:rsidRPr="00CD7DCE">
        <w:t xml:space="preserve"> does not contact their Provider, their Income Support Payment may be suspended and then </w:t>
      </w:r>
      <w:r w:rsidRPr="00CD7DCE">
        <w:rPr>
          <w:rFonts w:eastAsiaTheme="minorEastAsia"/>
        </w:rPr>
        <w:t>cancelled</w:t>
      </w:r>
      <w:r w:rsidRPr="00CD7DCE">
        <w:t>.</w:t>
      </w:r>
    </w:p>
    <w:p w14:paraId="66AF2657" w14:textId="3A7F8561" w:rsidR="00D94A30" w:rsidRDefault="00D94A30" w:rsidP="00D94A30">
      <w:pPr>
        <w:pStyle w:val="Heading5"/>
        <w:rPr>
          <w:rFonts w:ascii="Tahoma" w:eastAsia="Tahoma" w:hAnsi="Tahoma"/>
          <w:b/>
          <w:bCs w:val="0"/>
          <w:sz w:val="22"/>
          <w:szCs w:val="22"/>
        </w:rPr>
      </w:pPr>
      <w:r>
        <w:t>Determining if the unemployment is due to a voluntary act of the Participant</w:t>
      </w:r>
    </w:p>
    <w:p w14:paraId="685ECE24" w14:textId="6D3D7F9E" w:rsidR="00D94A30" w:rsidRDefault="00D94A30" w:rsidP="00D94A30">
      <w:r>
        <w:t>When the Provider</w:t>
      </w:r>
      <w:r w:rsidRPr="68799C3B">
        <w:t xml:space="preserve"> discuss</w:t>
      </w:r>
      <w:r>
        <w:t>es</w:t>
      </w:r>
      <w:r w:rsidRPr="68799C3B">
        <w:t xml:space="preserve"> the reasons </w:t>
      </w:r>
      <w:r>
        <w:t>that the Participant became unemployed,</w:t>
      </w:r>
      <w:r w:rsidRPr="0DFD7869">
        <w:rPr>
          <w:rFonts w:ascii="Tahoma" w:eastAsia="Tahoma" w:hAnsi="Tahoma"/>
        </w:rPr>
        <w:t xml:space="preserve"> the Provider must consider </w:t>
      </w:r>
      <w:r w:rsidR="002555DF">
        <w:rPr>
          <w:rFonts w:ascii="Tahoma" w:eastAsia="Tahoma" w:hAnsi="Tahoma"/>
        </w:rPr>
        <w:t>if</w:t>
      </w:r>
      <w:r w:rsidRPr="0DFD7869">
        <w:rPr>
          <w:rFonts w:ascii="Tahoma" w:eastAsia="Tahoma" w:hAnsi="Tahoma"/>
        </w:rPr>
        <w:t xml:space="preserve"> the Participant became </w:t>
      </w:r>
      <w:r>
        <w:t>unemployed as a direct or indirect result of a voluntary act. Examples include:</w:t>
      </w:r>
    </w:p>
    <w:p w14:paraId="1817228F" w14:textId="0DC52963" w:rsidR="00D94A30" w:rsidRPr="00BB6114" w:rsidRDefault="00D94A30" w:rsidP="004E120D">
      <w:pPr>
        <w:pStyle w:val="BulletLevel1"/>
      </w:pPr>
      <w:r w:rsidRPr="0DFD7869">
        <w:rPr>
          <w:rFonts w:ascii="Tahoma" w:hAnsi="Tahoma"/>
        </w:rPr>
        <w:t xml:space="preserve">the </w:t>
      </w:r>
      <w:r w:rsidRPr="00410E34">
        <w:t xml:space="preserve">Participant resigns from a job or end their contract early, with or without giving notice (direct </w:t>
      </w:r>
      <w:r w:rsidRPr="00BB6114">
        <w:t xml:space="preserve">voluntary act) </w:t>
      </w:r>
    </w:p>
    <w:p w14:paraId="4A957581" w14:textId="7A23E801" w:rsidR="00D94A30" w:rsidRPr="00BB6114" w:rsidRDefault="00D94A30" w:rsidP="004E120D">
      <w:pPr>
        <w:pStyle w:val="BulletLevel1"/>
      </w:pPr>
      <w:r w:rsidRPr="00BB6114">
        <w:t>the Participant leaves a job without informing the Employer (indirect voluntary act).</w:t>
      </w:r>
    </w:p>
    <w:p w14:paraId="62C9C07C" w14:textId="506598E5" w:rsidR="00D94A30" w:rsidRDefault="00D94A30" w:rsidP="00D94A30">
      <w:pPr>
        <w:rPr>
          <w:rFonts w:eastAsia="Tahoma"/>
        </w:rPr>
      </w:pPr>
      <w:r>
        <w:t xml:space="preserve">The Participant does not commit an Unemployment Failure when they become unemployed involuntarily, </w:t>
      </w:r>
      <w:r w:rsidRPr="6055448A">
        <w:rPr>
          <w:rFonts w:eastAsia="Tahoma"/>
        </w:rPr>
        <w:t>for a reason that was outside their control. For example:</w:t>
      </w:r>
    </w:p>
    <w:p w14:paraId="70EA4117" w14:textId="3CF38C1E" w:rsidR="00D94A30" w:rsidRPr="00BB6114" w:rsidRDefault="00D94A30" w:rsidP="004E120D">
      <w:pPr>
        <w:pStyle w:val="BulletLevel1"/>
      </w:pPr>
      <w:r w:rsidRPr="00BB6114">
        <w:t>the Employer is downsizing and dismissed the Participant</w:t>
      </w:r>
    </w:p>
    <w:p w14:paraId="65D00CB5" w14:textId="09ECDB31" w:rsidR="00D94A30" w:rsidRPr="00BB6114" w:rsidRDefault="00D94A30" w:rsidP="004E120D">
      <w:pPr>
        <w:pStyle w:val="BulletLevel1"/>
      </w:pPr>
      <w:r w:rsidRPr="00BB6114">
        <w:t>the Employer is restructuring or relocating and either dismissed the Participant or the Participant left as the location is no longer suitable</w:t>
      </w:r>
    </w:p>
    <w:p w14:paraId="7984779B" w14:textId="16AB0AFC" w:rsidR="00D94A30" w:rsidRPr="00BB6114" w:rsidRDefault="00D94A30" w:rsidP="004E120D">
      <w:pPr>
        <w:pStyle w:val="BulletLevel1"/>
      </w:pPr>
      <w:r w:rsidRPr="00BB6114">
        <w:t>the Participant was dismissed as the Employer considered them to be unsuitable, unable to do the job or for incompetence</w:t>
      </w:r>
    </w:p>
    <w:p w14:paraId="69ED7F2D" w14:textId="4FD09F7E" w:rsidR="00D94A30" w:rsidRPr="00BB6114" w:rsidRDefault="00D94A30" w:rsidP="004E120D">
      <w:pPr>
        <w:pStyle w:val="BulletLevel1"/>
      </w:pPr>
      <w:r w:rsidRPr="00BB6114">
        <w:t>the Participant was unfairly dismissed, for a prohibited reason under the Fair Work Act, or</w:t>
      </w:r>
    </w:p>
    <w:p w14:paraId="5734C394" w14:textId="4C09A7D0" w:rsidR="00D94A30" w:rsidRPr="00816066" w:rsidRDefault="00D94A30" w:rsidP="004E120D">
      <w:pPr>
        <w:pStyle w:val="BulletLevel1"/>
      </w:pPr>
      <w:r w:rsidRPr="00BB6114">
        <w:t>the Participant left or was dismissed due to illness, disability or injury, and medical evidence has been</w:t>
      </w:r>
      <w:r w:rsidRPr="00410E34">
        <w:t xml:space="preserve"> provided.</w:t>
      </w:r>
    </w:p>
    <w:p w14:paraId="1E3FE3A1" w14:textId="3929909E" w:rsidR="00D94A30" w:rsidRDefault="00D94A30" w:rsidP="00D94A30">
      <w:r w:rsidRPr="6055448A">
        <w:t xml:space="preserve">If the Participant became unemployed because of a voluntary act, the Provider must also look to understand why the Participant did the voluntary act. </w:t>
      </w:r>
    </w:p>
    <w:p w14:paraId="140C4952" w14:textId="7639901E" w:rsidR="00D94A30" w:rsidRDefault="00D94A30" w:rsidP="00D94A30">
      <w:r>
        <w:t xml:space="preserve">Providers must ensure that they capture the </w:t>
      </w:r>
      <w:r w:rsidRPr="3EDCEE0D">
        <w:t xml:space="preserve">reason that the </w:t>
      </w:r>
      <w:r>
        <w:t>Participant</w:t>
      </w:r>
      <w:r w:rsidRPr="3EDCEE0D">
        <w:t xml:space="preserve"> gave as to why they </w:t>
      </w:r>
      <w:r>
        <w:t>did the voluntary act</w:t>
      </w:r>
      <w:r w:rsidRPr="3EDCEE0D">
        <w:t xml:space="preserve">. </w:t>
      </w:r>
      <w:r>
        <w:t xml:space="preserve">A full list of options that can be reported can be found in the </w:t>
      </w:r>
      <w:hyperlink r:id="rId95">
        <w:r w:rsidRPr="009B7BD9">
          <w:rPr>
            <w:rStyle w:val="Hyperlink"/>
          </w:rPr>
          <w:t xml:space="preserve">Unemployment Failure reason options </w:t>
        </w:r>
        <w:r w:rsidR="009B7BD9" w:rsidRPr="009B7BD9">
          <w:rPr>
            <w:rStyle w:val="Hyperlink"/>
          </w:rPr>
          <w:t>[LINK]</w:t>
        </w:r>
        <w:r w:rsidR="009B7BD9">
          <w:t xml:space="preserve"> </w:t>
        </w:r>
        <w:r>
          <w:t>supporting document</w:t>
        </w:r>
      </w:hyperlink>
      <w:r>
        <w:t>.</w:t>
      </w:r>
    </w:p>
    <w:p w14:paraId="00653946" w14:textId="77777777" w:rsidR="00EB4AAF" w:rsidRDefault="00D94A30" w:rsidP="00D94A30">
      <w:pPr>
        <w:rPr>
          <w:rFonts w:eastAsiaTheme="minorEastAsia"/>
          <w:color w:val="000000" w:themeColor="text1"/>
        </w:rPr>
      </w:pPr>
      <w:r w:rsidRPr="5DD2C18A">
        <w:rPr>
          <w:rFonts w:eastAsiaTheme="minorEastAsia"/>
          <w:color w:val="000000" w:themeColor="text1"/>
        </w:rPr>
        <w:t>Services Australia will determine if a voluntary act was reasonable and therefore is not an Unemployment Failure</w:t>
      </w:r>
      <w:r>
        <w:rPr>
          <w:rFonts w:eastAsiaTheme="minorEastAsia"/>
          <w:color w:val="000000" w:themeColor="text1"/>
        </w:rPr>
        <w:t>, according to factors</w:t>
      </w:r>
      <w:r w:rsidRPr="5DD2C18A">
        <w:rPr>
          <w:rFonts w:eastAsiaTheme="minorEastAsia"/>
          <w:color w:val="000000" w:themeColor="text1"/>
        </w:rPr>
        <w:t xml:space="preserve"> listed in Social Security Law. </w:t>
      </w:r>
    </w:p>
    <w:p w14:paraId="36657A40" w14:textId="0F9E1104" w:rsidR="00D94A30" w:rsidRPr="009A15BC" w:rsidRDefault="00D94A30" w:rsidP="00EB4AAF">
      <w:pPr>
        <w:keepNext/>
      </w:pPr>
      <w:r w:rsidRPr="5DD2C18A">
        <w:rPr>
          <w:rFonts w:eastAsiaTheme="minorEastAsia"/>
          <w:color w:val="000000" w:themeColor="text1"/>
        </w:rPr>
        <w:t xml:space="preserve">For example, </w:t>
      </w:r>
      <w:r>
        <w:t xml:space="preserve">the Employment would have been unsuitable for </w:t>
      </w:r>
      <w:r w:rsidR="007F79ED">
        <w:t xml:space="preserve">an </w:t>
      </w:r>
      <w:r w:rsidR="00202A96">
        <w:t>Inclusive Employment Australia</w:t>
      </w:r>
      <w:r>
        <w:t xml:space="preserve"> Participant if any of the following apply:</w:t>
      </w:r>
    </w:p>
    <w:p w14:paraId="6E0FAA36" w14:textId="2EC419B0" w:rsidR="00D94A30" w:rsidRPr="00BB6114" w:rsidRDefault="00D94A30" w:rsidP="004E120D">
      <w:pPr>
        <w:pStyle w:val="BulletLevel1"/>
      </w:pPr>
      <w:r w:rsidRPr="00BB6114">
        <w:t>the job involved skills, experience or qualifications that the Participant did not have, and the Employer did not provide appropriate training</w:t>
      </w:r>
    </w:p>
    <w:p w14:paraId="6A01C5F6" w14:textId="4A52F49E" w:rsidR="00D94A30" w:rsidRPr="00BB6114" w:rsidRDefault="00D94A30" w:rsidP="004E120D">
      <w:pPr>
        <w:pStyle w:val="BulletLevel1"/>
      </w:pPr>
      <w:r w:rsidRPr="00BB6114">
        <w:t xml:space="preserve">the number of training hours was excessive compared with their </w:t>
      </w:r>
      <w:r w:rsidR="007F79ED">
        <w:t>assessed work capacity</w:t>
      </w:r>
    </w:p>
    <w:p w14:paraId="61146161" w14:textId="46287F2B" w:rsidR="00D94A30" w:rsidRPr="00BB6114" w:rsidRDefault="00D94A30" w:rsidP="004E120D">
      <w:pPr>
        <w:pStyle w:val="BulletLevel1"/>
      </w:pPr>
      <w:r w:rsidRPr="00BB6114">
        <w:t>the work aggravated pre-existing disability, illness or injury</w:t>
      </w:r>
    </w:p>
    <w:p w14:paraId="65E8BF78" w14:textId="2D11599B" w:rsidR="00D94A30" w:rsidRPr="00BB6114" w:rsidRDefault="00D94A30" w:rsidP="004E120D">
      <w:pPr>
        <w:pStyle w:val="BulletLevel1"/>
      </w:pPr>
      <w:r w:rsidRPr="00BB6114">
        <w:t>the Employer did not provide appropriate support or facilities to take account of the Participant’s disability, illness or injury</w:t>
      </w:r>
    </w:p>
    <w:p w14:paraId="2D065AC0" w14:textId="5B7B95AD" w:rsidR="00D94A30" w:rsidRPr="00BB6114" w:rsidRDefault="00D94A30" w:rsidP="004E120D">
      <w:pPr>
        <w:pStyle w:val="BulletLevel1"/>
      </w:pPr>
      <w:r w:rsidRPr="00BB6114">
        <w:t xml:space="preserve">the Participant is a Principal Carer Parent, and did not have access to appropriate care and supervision for the children at the times when the Participant had to undertake the work (which includes reasonable amounts of time needed for the Participant to travel between home and the work) </w:t>
      </w:r>
    </w:p>
    <w:p w14:paraId="67D450C3" w14:textId="36AFA0EA" w:rsidR="00D94A30" w:rsidRPr="00BB6114" w:rsidRDefault="00D94A30" w:rsidP="004E120D">
      <w:pPr>
        <w:pStyle w:val="BulletLevel1"/>
      </w:pPr>
      <w:r w:rsidRPr="00BB6114">
        <w:t>the work hours were greater than 15 hours per week</w:t>
      </w:r>
    </w:p>
    <w:p w14:paraId="572B40F3" w14:textId="5B92E4F8" w:rsidR="00D94A30" w:rsidRPr="00BB6114" w:rsidRDefault="00D94A30" w:rsidP="004E120D">
      <w:pPr>
        <w:pStyle w:val="BulletLevel1"/>
      </w:pPr>
      <w:r w:rsidRPr="00BB6114">
        <w:t xml:space="preserve">the work involved health or safety risks, and would contravene a </w:t>
      </w:r>
      <w:r w:rsidR="007E5F32">
        <w:t>WHS</w:t>
      </w:r>
      <w:r w:rsidRPr="00BB6114">
        <w:t xml:space="preserve"> Law</w:t>
      </w:r>
    </w:p>
    <w:p w14:paraId="31678AA3" w14:textId="1DE9745B" w:rsidR="00D94A30" w:rsidRPr="00BB6114" w:rsidRDefault="00D94A30" w:rsidP="004E120D">
      <w:pPr>
        <w:pStyle w:val="BulletLevel1"/>
      </w:pPr>
      <w:r w:rsidRPr="00BB6114">
        <w:t>the work was under terms and conditions that were less generous than the applicable statutory conditions</w:t>
      </w:r>
    </w:p>
    <w:p w14:paraId="6C3E5951" w14:textId="09E8A5EE" w:rsidR="00D94A30" w:rsidRPr="00BB6114" w:rsidRDefault="00D94A30" w:rsidP="004E120D">
      <w:pPr>
        <w:pStyle w:val="BulletLevel1"/>
      </w:pPr>
      <w:r w:rsidRPr="00BB6114">
        <w:t>commuting between the Participant’s home and the place of work was unreasonably difficult, or</w:t>
      </w:r>
    </w:p>
    <w:p w14:paraId="2EF56AEB" w14:textId="727813C6" w:rsidR="00D94A30" w:rsidRDefault="00D94A30" w:rsidP="004E120D">
      <w:pPr>
        <w:pStyle w:val="BulletLevel1"/>
      </w:pPr>
      <w:r w:rsidRPr="00BB6114">
        <w:t>the Participant has a verifiable and legitimate objection to the work on moral, cultural or religious</w:t>
      </w:r>
      <w:r w:rsidRPr="7751327C">
        <w:t xml:space="preserve"> grounds.</w:t>
      </w:r>
    </w:p>
    <w:p w14:paraId="181381D4" w14:textId="6FA4892E" w:rsidR="00D94A30" w:rsidRDefault="00D94A30" w:rsidP="00D94A30">
      <w:pPr>
        <w:pStyle w:val="Heading5"/>
        <w:rPr>
          <w:rFonts w:ascii="Tahoma" w:eastAsia="Tahoma" w:hAnsi="Tahoma"/>
          <w:b/>
          <w:bCs w:val="0"/>
          <w:sz w:val="22"/>
          <w:szCs w:val="22"/>
        </w:rPr>
      </w:pPr>
      <w:r>
        <w:t>Determining if the unemployment is due to the Participant’s misconduct as an employee</w:t>
      </w:r>
    </w:p>
    <w:p w14:paraId="3F686E4B" w14:textId="55531FB9" w:rsidR="00D94A30" w:rsidRDefault="00D94A30" w:rsidP="00D94A30">
      <w:pPr>
        <w:rPr>
          <w:rFonts w:ascii="Tahoma" w:eastAsia="Tahoma" w:hAnsi="Tahoma"/>
        </w:rPr>
      </w:pPr>
      <w:r w:rsidRPr="6055448A">
        <w:rPr>
          <w:rFonts w:ascii="Tahoma" w:eastAsia="Tahoma" w:hAnsi="Tahoma"/>
        </w:rPr>
        <w:t xml:space="preserve">The Provider must have regard to the following factors (as relevant) when assessing </w:t>
      </w:r>
      <w:r w:rsidR="002555DF">
        <w:rPr>
          <w:rFonts w:ascii="Tahoma" w:eastAsia="Tahoma" w:hAnsi="Tahoma"/>
        </w:rPr>
        <w:t>if</w:t>
      </w:r>
      <w:r w:rsidRPr="6055448A">
        <w:rPr>
          <w:rFonts w:ascii="Tahoma" w:eastAsia="Tahoma" w:hAnsi="Tahoma"/>
        </w:rPr>
        <w:t xml:space="preserve"> the Participant became unemployed because of the Participant’s misconduct as an employee:</w:t>
      </w:r>
    </w:p>
    <w:p w14:paraId="245C09A4" w14:textId="54FDD07B" w:rsidR="00D94A30" w:rsidRPr="00BB6114" w:rsidRDefault="00D94A30" w:rsidP="004E120D">
      <w:pPr>
        <w:pStyle w:val="BulletLevel1"/>
      </w:pPr>
      <w:r w:rsidRPr="00BB6114">
        <w:t>deliberate failure by the Participant to produce/deliver a reasonable amount of work</w:t>
      </w:r>
    </w:p>
    <w:p w14:paraId="79EA9C9C" w14:textId="7349BA96" w:rsidR="00D94A30" w:rsidRPr="00BB6114" w:rsidRDefault="00D94A30" w:rsidP="004E120D">
      <w:pPr>
        <w:pStyle w:val="BulletLevel1"/>
      </w:pPr>
      <w:r w:rsidRPr="00BB6114">
        <w:t>the Participant’s unauthorised absence(s) from work without good reason</w:t>
      </w:r>
    </w:p>
    <w:p w14:paraId="38870A2D" w14:textId="719F1F52" w:rsidR="00D94A30" w:rsidRPr="00BB6114" w:rsidRDefault="00D94A30" w:rsidP="004E120D">
      <w:pPr>
        <w:pStyle w:val="BulletLevel1"/>
      </w:pPr>
      <w:r w:rsidRPr="00BB6114">
        <w:t>the Participant’s improper behaviour or practices, such as theft, assault or harassment of other employees</w:t>
      </w:r>
    </w:p>
    <w:p w14:paraId="2F9E43C7" w14:textId="75718891" w:rsidR="00D94A30" w:rsidRPr="00BB6114" w:rsidRDefault="00D94A30" w:rsidP="004E120D">
      <w:pPr>
        <w:pStyle w:val="BulletLevel1"/>
      </w:pPr>
      <w:r w:rsidRPr="00BB6114">
        <w:t>deliberate actions by the Participant that cause serious risk to the health or safety of other employees, or</w:t>
      </w:r>
    </w:p>
    <w:p w14:paraId="659B048E" w14:textId="55BDD335" w:rsidR="00D94A30" w:rsidRPr="00BB6114" w:rsidRDefault="00D94A30" w:rsidP="004E120D">
      <w:pPr>
        <w:pStyle w:val="BulletLevel1"/>
      </w:pPr>
      <w:r w:rsidRPr="00BB6114">
        <w:t>deliberate actions that threaten the reputation, viability or profitability of the Employer.</w:t>
      </w:r>
    </w:p>
    <w:p w14:paraId="070A9E92" w14:textId="336E5474" w:rsidR="00D94A30" w:rsidRDefault="00D94A30" w:rsidP="00D94A30">
      <w:pPr>
        <w:pStyle w:val="Heading4"/>
        <w:rPr>
          <w:sz w:val="22"/>
          <w:szCs w:val="22"/>
        </w:rPr>
      </w:pPr>
      <w:bookmarkStart w:id="595" w:name="_Toc202900122"/>
      <w:bookmarkStart w:id="596" w:name="_Ref202950970"/>
      <w:r>
        <w:t>12.6.3</w:t>
      </w:r>
      <w:r>
        <w:tab/>
        <w:t>Reporting a potential Unemployment Failure</w:t>
      </w:r>
      <w:bookmarkEnd w:id="595"/>
      <w:bookmarkEnd w:id="596"/>
    </w:p>
    <w:p w14:paraId="3D71F87E" w14:textId="6D7641C1" w:rsidR="00D94A30" w:rsidRDefault="00D94A30" w:rsidP="00D94A30">
      <w:pPr>
        <w:rPr>
          <w:rFonts w:ascii="Tahoma" w:eastAsia="Tahoma" w:hAnsi="Tahoma"/>
        </w:rPr>
      </w:pPr>
      <w:r w:rsidRPr="0DFD7869">
        <w:rPr>
          <w:rFonts w:ascii="Tahoma" w:eastAsia="Tahoma" w:hAnsi="Tahoma"/>
        </w:rPr>
        <w:t xml:space="preserve">The Unemployment Failure report must be created and finalised within 20 Business Days of the incident date. </w:t>
      </w:r>
    </w:p>
    <w:p w14:paraId="5856CF1E" w14:textId="1F03AEDE" w:rsidR="00D94A30" w:rsidRDefault="00D94A30" w:rsidP="00D94A30">
      <w:pPr>
        <w:rPr>
          <w:rFonts w:ascii="Tahoma" w:eastAsia="Tahoma" w:hAnsi="Tahoma"/>
        </w:rPr>
      </w:pPr>
      <w:r w:rsidRPr="0DFD7869">
        <w:rPr>
          <w:rFonts w:ascii="Tahoma" w:eastAsia="Tahoma" w:hAnsi="Tahoma"/>
        </w:rPr>
        <w:t>The incident date is the first full day a Participant is unemployed (e.g. if a Participant was dismissed due to misconduct, the incident date is the day after the day on which they became unemployed).</w:t>
      </w:r>
    </w:p>
    <w:p w14:paraId="15548778" w14:textId="2D67C124" w:rsidR="00D94A30" w:rsidRDefault="00D94A30" w:rsidP="00D94A30">
      <w:r w:rsidRPr="5DD2C18A">
        <w:rPr>
          <w:rFonts w:ascii="Tahoma" w:eastAsia="Tahoma" w:hAnsi="Tahoma"/>
        </w:rPr>
        <w:t>If the report is not created and submitted within 20 Business Days of the incident date (for example, where the Provider does not become aware of the potential Unemployment Failure until after 20</w:t>
      </w:r>
      <w:r w:rsidR="00BB6114">
        <w:rPr>
          <w:rFonts w:ascii="Tahoma" w:eastAsia="Tahoma" w:hAnsi="Tahoma"/>
        </w:rPr>
        <w:t> </w:t>
      </w:r>
      <w:r w:rsidRPr="5DD2C18A">
        <w:rPr>
          <w:rFonts w:ascii="Tahoma" w:eastAsia="Tahoma" w:hAnsi="Tahoma"/>
        </w:rPr>
        <w:t xml:space="preserve">Business Days have passed since the incident date), the Department’s IT Systems will not allow the Unemployment Failure report to be finalised, meaning the potential Unemployment Failure will not be reported to Services Australia. </w:t>
      </w:r>
      <w:r w:rsidR="00AD6D8D">
        <w:t>Instead, the Provider should schedule a Contact Appointment to discuss the importance of seeking, accepting and retaining suitable paid work</w:t>
      </w:r>
      <w:r>
        <w:t>.</w:t>
      </w:r>
    </w:p>
    <w:p w14:paraId="66DDCAB4" w14:textId="5B03DDBB" w:rsidR="00D94A30" w:rsidRPr="00D3044C" w:rsidRDefault="00D94A30" w:rsidP="00D94A30">
      <w:r>
        <w:t xml:space="preserve">In addition to these Guidelines, details on how to create an Unemployment Failure Report can also be found in the </w:t>
      </w:r>
      <w:r w:rsidR="009B7BD9" w:rsidRPr="009B7BD9">
        <w:rPr>
          <w:rStyle w:val="Hyperlink"/>
        </w:rPr>
        <w:t>Provider Actions</w:t>
      </w:r>
      <w:r w:rsidRPr="009B7BD9">
        <w:rPr>
          <w:rStyle w:val="Hyperlink"/>
        </w:rPr>
        <w:t xml:space="preserve"> – Reporting Unemployment Failure</w:t>
      </w:r>
      <w:r w:rsidR="009B7BD9" w:rsidRPr="009B7BD9">
        <w:rPr>
          <w:rStyle w:val="Hyperlink"/>
        </w:rPr>
        <w:t>s [LINK]</w:t>
      </w:r>
      <w:r w:rsidR="009B7BD9">
        <w:t xml:space="preserve"> supporting document on the Provider Portal</w:t>
      </w:r>
      <w:r>
        <w:t>.</w:t>
      </w:r>
    </w:p>
    <w:p w14:paraId="65B63980" w14:textId="77D9B2A6" w:rsidR="00D94A30" w:rsidRPr="00CE260B" w:rsidRDefault="00D94A30" w:rsidP="00D94A30">
      <w:pPr>
        <w:pStyle w:val="DeedReferences"/>
      </w:pPr>
      <w:r w:rsidRPr="00CE260B">
        <w:t>(</w:t>
      </w:r>
      <w:r w:rsidR="00A73420">
        <w:t xml:space="preserve">Deed Reference(s): Clause </w:t>
      </w:r>
      <w:r w:rsidR="00E32F3C">
        <w:t>135</w:t>
      </w:r>
      <w:r>
        <w:t xml:space="preserve">, </w:t>
      </w:r>
      <w:r w:rsidR="00C24695">
        <w:t>141</w:t>
      </w:r>
      <w:r w:rsidRPr="00CE260B">
        <w:t>)</w:t>
      </w:r>
    </w:p>
    <w:p w14:paraId="1AC8C2BD" w14:textId="7F0DCD52" w:rsidR="00D94A30" w:rsidRDefault="00D94A30" w:rsidP="00D94A30">
      <w:pPr>
        <w:pStyle w:val="Heading5"/>
      </w:pPr>
      <w:r w:rsidRPr="7751327C">
        <w:t xml:space="preserve">Steps to report Participant has committed </w:t>
      </w:r>
      <w:bookmarkStart w:id="597" w:name="_Int_qeSEs3Vm"/>
      <w:r w:rsidRPr="7751327C">
        <w:t>a</w:t>
      </w:r>
      <w:bookmarkEnd w:id="597"/>
      <w:r w:rsidR="00E022D7">
        <w:t xml:space="preserve"> potential </w:t>
      </w:r>
      <w:r w:rsidRPr="7751327C">
        <w:t>Unemployment Failure</w:t>
      </w:r>
    </w:p>
    <w:p w14:paraId="22E37AF8" w14:textId="6752F373" w:rsidR="00D94A30" w:rsidRPr="003D1A72" w:rsidRDefault="00D94A30" w:rsidP="00D94A30">
      <w:r>
        <w:t>By creating and finalising an Unemployment Failure report as described below, the Provider is confirming that they consider that the Participant has potentially committed an Unemployment Failure.</w:t>
      </w:r>
    </w:p>
    <w:p w14:paraId="0BF13950" w14:textId="380FC16F" w:rsidR="00D94A30" w:rsidRDefault="00D94A30" w:rsidP="006F727E">
      <w:pPr>
        <w:pStyle w:val="SystemStep"/>
        <w:rPr>
          <w:rFonts w:ascii="Tahoma" w:eastAsia="Tahoma" w:hAnsi="Tahoma"/>
        </w:rPr>
      </w:pPr>
      <w:r w:rsidRPr="52F0E74A">
        <w:t>The Provider must create</w:t>
      </w:r>
      <w:r>
        <w:t xml:space="preserve"> and finalise</w:t>
      </w:r>
      <w:r w:rsidRPr="52F0E74A">
        <w:t xml:space="preserve"> the </w:t>
      </w:r>
      <w:r>
        <w:t>Unemployment</w:t>
      </w:r>
      <w:r w:rsidRPr="52F0E74A">
        <w:t xml:space="preserve"> Failure report by undertaking the following steps in the Department’s IT Systems:</w:t>
      </w:r>
    </w:p>
    <w:p w14:paraId="403074E6" w14:textId="77B0CA7A" w:rsidR="00D94A30" w:rsidRPr="0052508F" w:rsidRDefault="0052508F" w:rsidP="004E120D">
      <w:pPr>
        <w:pStyle w:val="BulletLevel2"/>
      </w:pPr>
      <w:r>
        <w:t>Step 1: S</w:t>
      </w:r>
      <w:r w:rsidR="00D94A30" w:rsidRPr="0052508F">
        <w:t>elect ‘create compliance’</w:t>
      </w:r>
      <w:r>
        <w:t>.</w:t>
      </w:r>
    </w:p>
    <w:p w14:paraId="1E01764C" w14:textId="06CD7724" w:rsidR="00D94A30" w:rsidRPr="0052508F" w:rsidRDefault="0052508F" w:rsidP="004E120D">
      <w:pPr>
        <w:pStyle w:val="BulletLevel2"/>
      </w:pPr>
      <w:r>
        <w:t>Step 2: S</w:t>
      </w:r>
      <w:r w:rsidR="00D94A30" w:rsidRPr="0052508F">
        <w:t>elect the Event Type of the Unemployment Failure from the drop-down menu:</w:t>
      </w:r>
    </w:p>
    <w:p w14:paraId="3923F3D0" w14:textId="3FA01580" w:rsidR="00D94A30" w:rsidRDefault="00D94A30" w:rsidP="004E120D">
      <w:pPr>
        <w:pStyle w:val="BulletLevel3"/>
      </w:pPr>
      <w:r w:rsidRPr="7751327C">
        <w:t>‘</w:t>
      </w:r>
      <w:bookmarkStart w:id="598" w:name="_Int_UCTJldxq"/>
      <w:r w:rsidRPr="7751327C">
        <w:t>job</w:t>
      </w:r>
      <w:bookmarkEnd w:id="598"/>
      <w:r w:rsidRPr="7751327C">
        <w:t xml:space="preserve"> seeker dismissed for misconduct’, or</w:t>
      </w:r>
    </w:p>
    <w:p w14:paraId="334D40DD" w14:textId="669D58DC" w:rsidR="00D94A30" w:rsidRDefault="00D94A30" w:rsidP="004E120D">
      <w:pPr>
        <w:pStyle w:val="BulletLevel3"/>
      </w:pPr>
      <w:r w:rsidRPr="7751327C">
        <w:t>‘</w:t>
      </w:r>
      <w:bookmarkStart w:id="599" w:name="_Int_MpUiTkNd"/>
      <w:r w:rsidRPr="7751327C">
        <w:t>job</w:t>
      </w:r>
      <w:bookmarkEnd w:id="599"/>
      <w:r w:rsidRPr="7751327C">
        <w:t xml:space="preserve"> seeker voluntarily leaves a job’</w:t>
      </w:r>
      <w:r w:rsidR="0052508F">
        <w:t>.</w:t>
      </w:r>
    </w:p>
    <w:p w14:paraId="35BE3102" w14:textId="406FB7DD" w:rsidR="00D94A30" w:rsidRDefault="0052508F" w:rsidP="004E120D">
      <w:pPr>
        <w:pStyle w:val="BulletLevel2"/>
      </w:pPr>
      <w:r>
        <w:t>Step 3: R</w:t>
      </w:r>
      <w:r w:rsidR="00D94A30" w:rsidRPr="52F0E74A">
        <w:t>ecord the incident date (discussed above)</w:t>
      </w:r>
      <w:r>
        <w:t>.</w:t>
      </w:r>
    </w:p>
    <w:p w14:paraId="5C6AE195" w14:textId="7F5C32A5" w:rsidR="00D94A30" w:rsidRDefault="0052508F" w:rsidP="004E120D">
      <w:pPr>
        <w:pStyle w:val="BulletLevel2"/>
      </w:pPr>
      <w:r>
        <w:t>Step 4: A</w:t>
      </w:r>
      <w:r w:rsidR="00D94A30" w:rsidRPr="52F0E74A">
        <w:t xml:space="preserve">nswer ‘yes’ to the question of </w:t>
      </w:r>
      <w:r w:rsidR="002555DF">
        <w:t>if</w:t>
      </w:r>
      <w:r w:rsidR="00D94A30" w:rsidRPr="52F0E74A">
        <w:t xml:space="preserve"> they are in contact with the </w:t>
      </w:r>
      <w:r w:rsidR="00D94A30">
        <w:t>Participant</w:t>
      </w:r>
      <w:r>
        <w:t>.</w:t>
      </w:r>
    </w:p>
    <w:p w14:paraId="0B5CF264" w14:textId="36AB5F0C" w:rsidR="00D94A30" w:rsidRDefault="0052508F" w:rsidP="004E120D">
      <w:pPr>
        <w:pStyle w:val="BulletLevel2"/>
      </w:pPr>
      <w:r>
        <w:t xml:space="preserve">Step </w:t>
      </w:r>
      <w:r w:rsidR="00B76BEA">
        <w:t>5</w:t>
      </w:r>
      <w:r>
        <w:t>: S</w:t>
      </w:r>
      <w:r w:rsidR="00D94A30" w:rsidRPr="52F0E74A">
        <w:t xml:space="preserve">elect the reason from the ‘Reasons not accepted’ column of the drop-down menu that most closely aligns with the reason that the </w:t>
      </w:r>
      <w:r w:rsidR="00D94A30">
        <w:t>Participant</w:t>
      </w:r>
      <w:r w:rsidR="00D94A30" w:rsidRPr="52F0E74A">
        <w:t xml:space="preserve"> gave as to why the </w:t>
      </w:r>
      <w:r w:rsidR="00D94A30">
        <w:t>Participant</w:t>
      </w:r>
      <w:r w:rsidR="00D94A30" w:rsidRPr="52F0E74A">
        <w:t>:</w:t>
      </w:r>
    </w:p>
    <w:p w14:paraId="07CB90F7" w14:textId="72E36006" w:rsidR="00D94A30" w:rsidRDefault="00D94A30" w:rsidP="004E120D">
      <w:pPr>
        <w:pStyle w:val="BulletLevel3"/>
      </w:pPr>
      <w:r w:rsidRPr="52F0E74A">
        <w:t>did the voluntary act (e.g. resigned) that led to their unemployment, or</w:t>
      </w:r>
    </w:p>
    <w:p w14:paraId="278514C5" w14:textId="52642D41" w:rsidR="00D94A30" w:rsidRDefault="00D94A30" w:rsidP="004E120D">
      <w:pPr>
        <w:pStyle w:val="BulletLevel3"/>
      </w:pPr>
      <w:r w:rsidRPr="52F0E74A">
        <w:t>engaged in misconduct (or believed they did not engage in misconduct)</w:t>
      </w:r>
      <w:r w:rsidR="0052508F">
        <w:t>.</w:t>
      </w:r>
    </w:p>
    <w:p w14:paraId="2A901B69" w14:textId="62C882EB" w:rsidR="00162F68" w:rsidRDefault="00162F68" w:rsidP="00162F68">
      <w:pPr>
        <w:pStyle w:val="BulletLevel2"/>
        <w:numPr>
          <w:ilvl w:val="0"/>
          <w:numId w:val="0"/>
        </w:numPr>
        <w:ind w:left="851"/>
      </w:pPr>
      <w:r>
        <w:t>A</w:t>
      </w:r>
      <w:r w:rsidRPr="52F0E74A">
        <w:t xml:space="preserve"> full list of</w:t>
      </w:r>
      <w:r>
        <w:t xml:space="preserve"> the</w:t>
      </w:r>
      <w:r w:rsidRPr="52F0E74A">
        <w:t xml:space="preserve"> </w:t>
      </w:r>
      <w:r>
        <w:t>‘Reasons not accepted’</w:t>
      </w:r>
      <w:r w:rsidRPr="52F0E74A">
        <w:t xml:space="preserve"> drop-down menu options can be found </w:t>
      </w:r>
      <w:r>
        <w:t>within the</w:t>
      </w:r>
      <w:r w:rsidRPr="52F0E74A">
        <w:t xml:space="preserve"> </w:t>
      </w:r>
      <w:r w:rsidRPr="009B7BD9">
        <w:rPr>
          <w:rStyle w:val="Hyperlink"/>
        </w:rPr>
        <w:t>Unemployment Failure reason options [LINK]</w:t>
      </w:r>
      <w:r>
        <w:rPr>
          <w:rFonts w:eastAsia="Times New Roman" w:cs="Tahoma"/>
          <w:color w:val="000000" w:themeColor="text1"/>
        </w:rPr>
        <w:t xml:space="preserve"> </w:t>
      </w:r>
      <w:r w:rsidRPr="00C533B4">
        <w:rPr>
          <w:rFonts w:cs="Tahoma"/>
          <w:color w:val="000000" w:themeColor="text1"/>
        </w:rPr>
        <w:t>supporting document</w:t>
      </w:r>
      <w:r>
        <w:rPr>
          <w:rFonts w:cs="Tahoma"/>
          <w:color w:val="000000" w:themeColor="text1"/>
        </w:rPr>
        <w:t>.</w:t>
      </w:r>
    </w:p>
    <w:p w14:paraId="377A9685" w14:textId="048114D1" w:rsidR="00D94A30" w:rsidRDefault="0052508F" w:rsidP="004E120D">
      <w:pPr>
        <w:pStyle w:val="BulletLevel2"/>
      </w:pPr>
      <w:r>
        <w:t xml:space="preserve">Step 6: </w:t>
      </w:r>
      <w:r w:rsidR="00B76BEA">
        <w:t>A</w:t>
      </w:r>
      <w:r w:rsidR="00D94A30" w:rsidRPr="68799C3B">
        <w:t>ccurately answer the questions that will be automatically generated</w:t>
      </w:r>
      <w:r w:rsidR="00B76BEA">
        <w:t>.</w:t>
      </w:r>
    </w:p>
    <w:p w14:paraId="74ED34B2" w14:textId="55E1075D" w:rsidR="00D94A30" w:rsidRDefault="00B76BEA" w:rsidP="004E120D">
      <w:pPr>
        <w:pStyle w:val="BulletLevel2"/>
      </w:pPr>
      <w:r>
        <w:t>Step 7: S</w:t>
      </w:r>
      <w:r w:rsidR="00D94A30" w:rsidRPr="7751327C">
        <w:t>elect ‘create’, which will send the Unemployment Failure report to Services Australia for investigation and decision.</w:t>
      </w:r>
    </w:p>
    <w:p w14:paraId="12ADC9D5" w14:textId="10DFFA4F" w:rsidR="00D94A30" w:rsidRDefault="00D94A30" w:rsidP="00D94A30">
      <w:pPr>
        <w:pStyle w:val="Heading5"/>
      </w:pPr>
      <w:r>
        <w:t>Steps to create a draft report, as a Participant has potentially committed an Unemployment Failure</w:t>
      </w:r>
    </w:p>
    <w:p w14:paraId="3024BB02" w14:textId="4CEA8459" w:rsidR="00D94A30" w:rsidRDefault="00D94A30" w:rsidP="00D94A30">
      <w:pPr>
        <w:rPr>
          <w:rFonts w:ascii="Tahoma" w:eastAsia="Tahoma" w:hAnsi="Tahoma"/>
        </w:rPr>
      </w:pPr>
      <w:r w:rsidRPr="0DFD7869">
        <w:rPr>
          <w:rFonts w:ascii="Tahoma" w:eastAsia="Tahoma" w:hAnsi="Tahoma"/>
        </w:rPr>
        <w:t>When then Provider becomes aware that a Participant has potentially committed an Unemployment Failure but is unable to contact the Participant on the same Business Day, the Provider must undertake the steps described below in relation to reporting the potentially Unemployment Failure:</w:t>
      </w:r>
    </w:p>
    <w:p w14:paraId="0C271246" w14:textId="48C6497F" w:rsidR="00D94A30" w:rsidRDefault="00D94A30" w:rsidP="006F727E">
      <w:pPr>
        <w:pStyle w:val="SystemStep"/>
        <w:rPr>
          <w:rFonts w:ascii="Tahoma" w:eastAsia="Tahoma" w:hAnsi="Tahoma"/>
        </w:rPr>
      </w:pPr>
      <w:r>
        <w:t>T</w:t>
      </w:r>
      <w:r w:rsidRPr="52F0E74A">
        <w:t xml:space="preserve">he Provider must create the Unemployment Failure report by undertaking the following steps in the Department’s IT Systems: </w:t>
      </w:r>
    </w:p>
    <w:p w14:paraId="51F4B30A" w14:textId="054894B3" w:rsidR="00D94A30" w:rsidRDefault="00B76BEA" w:rsidP="004E120D">
      <w:pPr>
        <w:pStyle w:val="BulletLevel2"/>
      </w:pPr>
      <w:r>
        <w:t>Step 1: S</w:t>
      </w:r>
      <w:r w:rsidR="00D94A30" w:rsidRPr="52F0E74A">
        <w:t xml:space="preserve">elect ‘create compliance’ </w:t>
      </w:r>
    </w:p>
    <w:p w14:paraId="33855589" w14:textId="5BB34B72" w:rsidR="00D94A30" w:rsidRDefault="00B76BEA" w:rsidP="004E120D">
      <w:pPr>
        <w:pStyle w:val="BulletLevel2"/>
      </w:pPr>
      <w:r>
        <w:t>Step 2: S</w:t>
      </w:r>
      <w:r w:rsidR="00D94A30" w:rsidRPr="52F0E74A">
        <w:t>elect the Event Type of the Unemployment Failure from the drop-down menu:</w:t>
      </w:r>
    </w:p>
    <w:p w14:paraId="1D2F2683" w14:textId="1DD38D0F" w:rsidR="00D94A30" w:rsidRDefault="00D94A30" w:rsidP="004E120D">
      <w:pPr>
        <w:pStyle w:val="BulletLevel3"/>
      </w:pPr>
      <w:r w:rsidRPr="7751327C">
        <w:t>‘</w:t>
      </w:r>
      <w:bookmarkStart w:id="600" w:name="_Int_tksuPm6q"/>
      <w:r w:rsidRPr="7751327C">
        <w:t>job</w:t>
      </w:r>
      <w:bookmarkEnd w:id="600"/>
      <w:r w:rsidRPr="7751327C">
        <w:t xml:space="preserve"> seeker dismissed for misconduct’, or</w:t>
      </w:r>
    </w:p>
    <w:p w14:paraId="34E53CD8" w14:textId="30344C3A" w:rsidR="00D94A30" w:rsidRDefault="00D94A30" w:rsidP="004E120D">
      <w:pPr>
        <w:pStyle w:val="BulletLevel3"/>
      </w:pPr>
      <w:r w:rsidRPr="7751327C">
        <w:t>‘</w:t>
      </w:r>
      <w:bookmarkStart w:id="601" w:name="_Int_C3CcYQFO"/>
      <w:r w:rsidRPr="7751327C">
        <w:t>job</w:t>
      </w:r>
      <w:bookmarkEnd w:id="601"/>
      <w:r w:rsidRPr="7751327C">
        <w:t xml:space="preserve"> seeker voluntarily leaves a job’</w:t>
      </w:r>
      <w:r w:rsidR="00B76BEA">
        <w:t>.</w:t>
      </w:r>
    </w:p>
    <w:p w14:paraId="595BE85C" w14:textId="3C1296E9" w:rsidR="00D94A30" w:rsidRDefault="00B76BEA" w:rsidP="004E120D">
      <w:pPr>
        <w:pStyle w:val="BulletLevel2"/>
      </w:pPr>
      <w:r>
        <w:t>Step 3: R</w:t>
      </w:r>
      <w:r w:rsidR="00D94A30" w:rsidRPr="52F0E74A">
        <w:t>ecord the incident date (discussed above)</w:t>
      </w:r>
      <w:r>
        <w:t>.</w:t>
      </w:r>
    </w:p>
    <w:p w14:paraId="35EDEC9C" w14:textId="6D7CCA89" w:rsidR="00D94A30" w:rsidRDefault="00B76BEA" w:rsidP="004E120D">
      <w:pPr>
        <w:pStyle w:val="BulletLevel2"/>
      </w:pPr>
      <w:r>
        <w:t>Step 4: A</w:t>
      </w:r>
      <w:r w:rsidR="00D94A30" w:rsidRPr="52F0E74A">
        <w:t xml:space="preserve">nswer ‘no’ to the question of </w:t>
      </w:r>
      <w:r w:rsidR="002555DF">
        <w:t>if</w:t>
      </w:r>
      <w:r w:rsidR="00D94A30" w:rsidRPr="52F0E74A">
        <w:t xml:space="preserve"> they are in contact with the </w:t>
      </w:r>
      <w:r w:rsidR="00D94A30">
        <w:t>Participant</w:t>
      </w:r>
      <w:r>
        <w:t>.</w:t>
      </w:r>
    </w:p>
    <w:p w14:paraId="039AF8B0" w14:textId="03B5B15B" w:rsidR="00D94A30" w:rsidRDefault="00B76BEA" w:rsidP="004E120D">
      <w:pPr>
        <w:pStyle w:val="BulletLevel2"/>
      </w:pPr>
      <w:r>
        <w:t>Step 5: A</w:t>
      </w:r>
      <w:r w:rsidR="00D94A30" w:rsidRPr="52F0E74A">
        <w:t>ccurately answer the questions that will be automatically generated</w:t>
      </w:r>
      <w:r>
        <w:t>.</w:t>
      </w:r>
    </w:p>
    <w:p w14:paraId="6B432D82" w14:textId="16D4DA60" w:rsidR="00D94A30" w:rsidRDefault="00B76BEA" w:rsidP="004E120D">
      <w:pPr>
        <w:pStyle w:val="BulletLevel2"/>
      </w:pPr>
      <w:r>
        <w:t>Step 6: S</w:t>
      </w:r>
      <w:r w:rsidR="00D94A30" w:rsidRPr="7751327C">
        <w:t xml:space="preserve">elect ‘create’, which will create a draft Unemployment Failure report. </w:t>
      </w:r>
    </w:p>
    <w:p w14:paraId="0B35CF90" w14:textId="60C0151A" w:rsidR="00D94A30" w:rsidRDefault="00D94A30" w:rsidP="00D94A30">
      <w:pPr>
        <w:rPr>
          <w:rFonts w:ascii="Tahoma" w:eastAsia="Tahoma" w:hAnsi="Tahoma"/>
        </w:rPr>
      </w:pPr>
      <w:r w:rsidRPr="6055448A">
        <w:rPr>
          <w:rFonts w:ascii="Tahoma" w:eastAsia="Tahoma" w:hAnsi="Tahoma"/>
        </w:rPr>
        <w:t>The creation of an Unemployment Failure report does not trigger payment suspension under any circumstances. Therefore, to prompt the Participant to make contact to discuss the potential Unemployment Failure, the Provider must create a compellable Contact Appointment for the Participant to attend in within 10 Business Days.</w:t>
      </w:r>
    </w:p>
    <w:p w14:paraId="2A687A31" w14:textId="42FB9B0D" w:rsidR="00D94A30" w:rsidRDefault="00D94A30" w:rsidP="00D94A30">
      <w:pPr>
        <w:rPr>
          <w:rFonts w:ascii="Tahoma" w:eastAsia="Tahoma" w:hAnsi="Tahoma"/>
        </w:rPr>
      </w:pPr>
      <w:r w:rsidRPr="0DFD7869">
        <w:rPr>
          <w:rFonts w:ascii="Tahoma" w:eastAsia="Tahoma" w:hAnsi="Tahoma"/>
          <w:b/>
        </w:rPr>
        <w:t>Note:</w:t>
      </w:r>
      <w:r w:rsidRPr="0DFD7869">
        <w:rPr>
          <w:rFonts w:ascii="Tahoma" w:eastAsia="Tahoma" w:hAnsi="Tahoma"/>
        </w:rPr>
        <w:t xml:space="preserve"> If the Participant has a Meaningful Engagement Job Plan, the Participant should be notified of the appointment using the same steps as outlined in </w:t>
      </w:r>
      <w:r w:rsidR="009D3726">
        <w:fldChar w:fldCharType="begin"/>
      </w:r>
      <w:r w:rsidR="009D3726">
        <w:instrText xml:space="preserve"> REF _Ref202789057 \h </w:instrText>
      </w:r>
      <w:r w:rsidR="009D3726">
        <w:fldChar w:fldCharType="separate"/>
      </w:r>
      <w:r w:rsidR="000D75AE">
        <w:t>12.2.2</w:t>
      </w:r>
      <w:r w:rsidR="004572F7">
        <w:t xml:space="preserve"> </w:t>
      </w:r>
      <w:r w:rsidR="000D75AE">
        <w:t>Compellable Contact Appointment</w:t>
      </w:r>
      <w:r w:rsidR="009D3726">
        <w:fldChar w:fldCharType="end"/>
      </w:r>
      <w:r w:rsidRPr="0DFD7869">
        <w:rPr>
          <w:rFonts w:ascii="Tahoma" w:eastAsia="Tahoma" w:hAnsi="Tahoma"/>
        </w:rPr>
        <w:t>. The Detailed Job Plan will include the requirement to attend Provider Appointments.</w:t>
      </w:r>
    </w:p>
    <w:p w14:paraId="05246A18" w14:textId="4F7BFE3E" w:rsidR="00D94A30" w:rsidRDefault="00D94A30" w:rsidP="00D94A30">
      <w:pPr>
        <w:rPr>
          <w:rFonts w:ascii="Tahoma" w:eastAsia="Tahoma" w:hAnsi="Tahoma"/>
        </w:rPr>
      </w:pPr>
      <w:r w:rsidRPr="5DD2C18A">
        <w:rPr>
          <w:rFonts w:ascii="Tahoma" w:eastAsia="Tahoma" w:hAnsi="Tahoma"/>
          <w:u w:val="single"/>
        </w:rPr>
        <w:t>If the Participant is in the Green Zone or Warning Zone</w:t>
      </w:r>
      <w:r w:rsidRPr="5DD2C18A">
        <w:rPr>
          <w:rFonts w:ascii="Tahoma" w:eastAsia="Tahoma" w:hAnsi="Tahoma"/>
        </w:rPr>
        <w:t xml:space="preserve"> and they do not take part in the Contact Appointment, the Participant will receive notification that their Income Support Payment will be suspended once </w:t>
      </w:r>
      <w:r w:rsidR="008323E2">
        <w:rPr>
          <w:rFonts w:ascii="Tahoma" w:eastAsia="Tahoma" w:hAnsi="Tahoma"/>
        </w:rPr>
        <w:t>r</w:t>
      </w:r>
      <w:r>
        <w:rPr>
          <w:rFonts w:ascii="Tahoma" w:eastAsia="Tahoma" w:hAnsi="Tahoma"/>
        </w:rPr>
        <w:t>esolution time</w:t>
      </w:r>
      <w:r w:rsidRPr="5DD2C18A">
        <w:rPr>
          <w:rFonts w:ascii="Tahoma" w:eastAsia="Tahoma" w:hAnsi="Tahoma"/>
        </w:rPr>
        <w:t xml:space="preserve"> has passed. If the Participant does not contact their Provider </w:t>
      </w:r>
      <w:r w:rsidR="00575092">
        <w:rPr>
          <w:rFonts w:ascii="Tahoma" w:eastAsia="Tahoma" w:hAnsi="Tahoma"/>
        </w:rPr>
        <w:t>during</w:t>
      </w:r>
      <w:r w:rsidRPr="5DD2C18A">
        <w:rPr>
          <w:rFonts w:ascii="Tahoma" w:eastAsia="Tahoma" w:hAnsi="Tahoma"/>
        </w:rPr>
        <w:t xml:space="preserve"> </w:t>
      </w:r>
      <w:r w:rsidR="008323E2">
        <w:rPr>
          <w:rFonts w:ascii="Tahoma" w:eastAsia="Tahoma" w:hAnsi="Tahoma"/>
        </w:rPr>
        <w:t>r</w:t>
      </w:r>
      <w:r>
        <w:rPr>
          <w:rFonts w:ascii="Tahoma" w:eastAsia="Tahoma" w:hAnsi="Tahoma"/>
        </w:rPr>
        <w:t>esolution time</w:t>
      </w:r>
      <w:r w:rsidRPr="5DD2C18A">
        <w:rPr>
          <w:rFonts w:ascii="Tahoma" w:eastAsia="Tahoma" w:hAnsi="Tahoma"/>
        </w:rPr>
        <w:t>, the Department’s IT Systems will automatically suspend the Participant’s Income Support Payment, and the Participant will receive notification that their Income Support Payment has been suspended.</w:t>
      </w:r>
    </w:p>
    <w:p w14:paraId="6106C859" w14:textId="6B87C5E1" w:rsidR="00D94A30" w:rsidRDefault="00D94A30" w:rsidP="00D94A30">
      <w:pPr>
        <w:rPr>
          <w:rFonts w:ascii="Tahoma" w:eastAsia="Tahoma" w:hAnsi="Tahoma"/>
        </w:rPr>
      </w:pPr>
      <w:r w:rsidRPr="7751327C">
        <w:rPr>
          <w:rFonts w:ascii="Tahoma" w:eastAsia="Tahoma" w:hAnsi="Tahoma"/>
          <w:u w:val="single"/>
        </w:rPr>
        <w:t>If the Participant is in the Penalty Zone</w:t>
      </w:r>
      <w:r w:rsidRPr="7751327C">
        <w:rPr>
          <w:rFonts w:ascii="Tahoma" w:eastAsia="Tahoma" w:hAnsi="Tahoma"/>
        </w:rPr>
        <w:t xml:space="preserve"> and they do not take part in the Contact Appointment, their Income Support Payment will be suspended for failing to participate and they will receive notification that they should contact their Provider.</w:t>
      </w:r>
    </w:p>
    <w:p w14:paraId="5C40EFEC" w14:textId="19B0DD27" w:rsidR="00D94A30" w:rsidRDefault="00D94A30" w:rsidP="00D94A30">
      <w:pPr>
        <w:rPr>
          <w:rFonts w:ascii="Tahoma" w:eastAsia="Tahoma" w:hAnsi="Tahoma"/>
        </w:rPr>
      </w:pPr>
      <w:r w:rsidRPr="6055448A">
        <w:rPr>
          <w:rFonts w:ascii="Tahoma" w:eastAsia="Tahoma" w:hAnsi="Tahoma"/>
        </w:rPr>
        <w:t xml:space="preserve">Where there is contact, the Provider must then discuss the potential failure in the same conversation, </w:t>
      </w:r>
      <w:r w:rsidR="00830929">
        <w:rPr>
          <w:rFonts w:ascii="Tahoma" w:eastAsia="Tahoma" w:hAnsi="Tahoma"/>
        </w:rPr>
        <w:t>as outlined in</w:t>
      </w:r>
      <w:r w:rsidR="00FF102B">
        <w:rPr>
          <w:rFonts w:ascii="Tahoma" w:eastAsia="Tahoma" w:hAnsi="Tahoma"/>
        </w:rPr>
        <w:t xml:space="preserve"> </w:t>
      </w:r>
      <w:r w:rsidR="00FF102B">
        <w:rPr>
          <w:rFonts w:ascii="Tahoma" w:eastAsia="Tahoma" w:hAnsi="Tahoma"/>
          <w:highlight w:val="yellow"/>
        </w:rPr>
        <w:fldChar w:fldCharType="begin"/>
      </w:r>
      <w:r w:rsidR="00FF102B">
        <w:rPr>
          <w:rFonts w:ascii="Tahoma" w:eastAsia="Tahoma" w:hAnsi="Tahoma"/>
        </w:rPr>
        <w:instrText xml:space="preserve"> REF _Ref202951246 \h </w:instrText>
      </w:r>
      <w:r w:rsidR="00FF102B">
        <w:rPr>
          <w:rFonts w:ascii="Tahoma" w:eastAsia="Tahoma" w:hAnsi="Tahoma"/>
          <w:highlight w:val="yellow"/>
        </w:rPr>
      </w:r>
      <w:r w:rsidR="00FF102B">
        <w:rPr>
          <w:rFonts w:ascii="Tahoma" w:eastAsia="Tahoma" w:hAnsi="Tahoma"/>
          <w:highlight w:val="yellow"/>
        </w:rPr>
        <w:fldChar w:fldCharType="separate"/>
      </w:r>
      <w:r w:rsidR="000D75AE" w:rsidRPr="7751327C">
        <w:t>12.6.</w:t>
      </w:r>
      <w:r w:rsidR="004572F7">
        <w:t>2</w:t>
      </w:r>
      <w:r w:rsidR="000D75AE" w:rsidRPr="7751327C">
        <w:t xml:space="preserve"> </w:t>
      </w:r>
      <w:r w:rsidR="004572F7">
        <w:t xml:space="preserve">Identifying </w:t>
      </w:r>
      <w:r w:rsidR="000D75AE" w:rsidRPr="7751327C">
        <w:t xml:space="preserve">a </w:t>
      </w:r>
      <w:r w:rsidR="000D75AE">
        <w:t>potential</w:t>
      </w:r>
      <w:r w:rsidR="000D75AE" w:rsidRPr="7751327C">
        <w:t xml:space="preserve"> Unemployment Failure</w:t>
      </w:r>
      <w:r w:rsidR="00FF102B">
        <w:rPr>
          <w:rFonts w:ascii="Tahoma" w:eastAsia="Tahoma" w:hAnsi="Tahoma"/>
          <w:highlight w:val="yellow"/>
        </w:rPr>
        <w:fldChar w:fldCharType="end"/>
      </w:r>
      <w:r w:rsidRPr="6055448A">
        <w:rPr>
          <w:rFonts w:ascii="Tahoma" w:eastAsia="Tahoma" w:hAnsi="Tahoma"/>
        </w:rPr>
        <w:t xml:space="preserve">, and take the appropriate steps outlined below to update the draft Unemployment Failure report that has already been created on the </w:t>
      </w:r>
      <w:r w:rsidRPr="6055448A">
        <w:t>Department’s IT Systems.</w:t>
      </w:r>
    </w:p>
    <w:p w14:paraId="424118A9" w14:textId="1E4C6C4E" w:rsidR="00D94A30" w:rsidRDefault="00D94A30" w:rsidP="00D94A30">
      <w:pPr>
        <w:rPr>
          <w:rFonts w:ascii="Tahoma" w:eastAsia="Tahoma" w:hAnsi="Tahoma"/>
        </w:rPr>
      </w:pPr>
      <w:r w:rsidRPr="0DFD7869">
        <w:rPr>
          <w:rFonts w:ascii="Tahoma" w:eastAsia="Tahoma" w:hAnsi="Tahoma"/>
        </w:rPr>
        <w:t>If the Participant does not contact their Provider within 28 calendar days from the day on which their Income Support Payment is suspended, their Income Support Payment will automatically be cancelled.</w:t>
      </w:r>
    </w:p>
    <w:p w14:paraId="565BE2C3" w14:textId="47AFE07C" w:rsidR="00D94A30" w:rsidRDefault="00D94A30" w:rsidP="00D94A30">
      <w:pPr>
        <w:pStyle w:val="Heading5"/>
      </w:pPr>
      <w:r w:rsidRPr="7751327C">
        <w:t xml:space="preserve">Steps to update a draft report confirming Participant has committed </w:t>
      </w:r>
      <w:bookmarkStart w:id="602" w:name="_Int_dYOxAGu2"/>
      <w:r w:rsidRPr="7751327C">
        <w:t>a</w:t>
      </w:r>
      <w:bookmarkEnd w:id="602"/>
      <w:r w:rsidR="009840D1">
        <w:t xml:space="preserve"> potential</w:t>
      </w:r>
      <w:r w:rsidRPr="7751327C">
        <w:t xml:space="preserve"> Unemployment Failure</w:t>
      </w:r>
    </w:p>
    <w:p w14:paraId="1E1724BD" w14:textId="569A8B9E" w:rsidR="00D94A30" w:rsidRPr="003D1A72" w:rsidRDefault="00D94A30" w:rsidP="00D94A30">
      <w:r>
        <w:t>By finalising an Unemployment Failure report as described below, the Provider is confirming that they have been in contact with the Participant and consider that the Participant has as potentially committed an Unemployment Failure.</w:t>
      </w:r>
    </w:p>
    <w:p w14:paraId="481FF72F" w14:textId="05BA8E7B" w:rsidR="00B76BEA" w:rsidRDefault="00D94A30" w:rsidP="00B76BEA">
      <w:pPr>
        <w:pStyle w:val="SystemStep"/>
        <w:rPr>
          <w:rFonts w:ascii="Tahoma" w:eastAsia="Tahoma" w:hAnsi="Tahoma"/>
        </w:rPr>
      </w:pPr>
      <w:r>
        <w:t>The Provider must update</w:t>
      </w:r>
      <w:r w:rsidR="00B76BEA">
        <w:t xml:space="preserve"> the report </w:t>
      </w:r>
      <w:r w:rsidR="00B76BEA" w:rsidRPr="52F0E74A">
        <w:t xml:space="preserve">by undertaking the following steps in the Department’s IT Systems: </w:t>
      </w:r>
    </w:p>
    <w:p w14:paraId="24AD3F15" w14:textId="3A7455F6" w:rsidR="00D94A30" w:rsidRDefault="00B76BEA" w:rsidP="004E120D">
      <w:pPr>
        <w:pStyle w:val="BulletLevel2"/>
      </w:pPr>
      <w:r>
        <w:t>Step 1: S</w:t>
      </w:r>
      <w:r w:rsidR="00D94A30" w:rsidRPr="7751327C">
        <w:t xml:space="preserve">elect the edit </w:t>
      </w:r>
      <w:bookmarkStart w:id="603" w:name="_Int_PkGLHHQe"/>
      <w:r w:rsidR="00D94A30" w:rsidRPr="7751327C">
        <w:t>option</w:t>
      </w:r>
      <w:bookmarkEnd w:id="603"/>
      <w:r w:rsidR="00D94A30" w:rsidRPr="7751327C">
        <w:t xml:space="preserve"> in the draft Unemployment Failure report</w:t>
      </w:r>
      <w:r>
        <w:t>.</w:t>
      </w:r>
    </w:p>
    <w:p w14:paraId="2559D595" w14:textId="3A119A9F" w:rsidR="00D94A30" w:rsidRDefault="00B76BEA" w:rsidP="004E120D">
      <w:pPr>
        <w:pStyle w:val="BulletLevel2"/>
      </w:pPr>
      <w:r>
        <w:t>Step 2: S</w:t>
      </w:r>
      <w:r w:rsidR="00D94A30" w:rsidRPr="52F0E74A">
        <w:t>elect ‘</w:t>
      </w:r>
      <w:r w:rsidR="00D94A30">
        <w:t>n</w:t>
      </w:r>
      <w:r w:rsidR="00D94A30" w:rsidRPr="52F0E74A">
        <w:t xml:space="preserve">o’ to the question of </w:t>
      </w:r>
      <w:r w:rsidR="002555DF">
        <w:t>if</w:t>
      </w:r>
      <w:r w:rsidR="00D94A30" w:rsidRPr="52F0E74A">
        <w:t xml:space="preserve"> they accepted the reason given by the </w:t>
      </w:r>
      <w:r w:rsidR="00D94A30">
        <w:t>Participant</w:t>
      </w:r>
      <w:r>
        <w:t>.</w:t>
      </w:r>
    </w:p>
    <w:p w14:paraId="02637D84" w14:textId="4808B537" w:rsidR="00D94A30" w:rsidRDefault="00B76BEA" w:rsidP="004E120D">
      <w:pPr>
        <w:pStyle w:val="BulletLevel2"/>
      </w:pPr>
      <w:r>
        <w:t>Step 3: S</w:t>
      </w:r>
      <w:r w:rsidR="00D94A30" w:rsidRPr="52F0E74A">
        <w:t xml:space="preserve">elect the reason from the ‘Reasons not accepted’ column of the drop-down menu that most closely aligns with the reason that the </w:t>
      </w:r>
      <w:r w:rsidR="00D94A30">
        <w:t>Participant</w:t>
      </w:r>
      <w:r w:rsidR="00D94A30" w:rsidRPr="52F0E74A">
        <w:t xml:space="preserve"> gave as to why they</w:t>
      </w:r>
      <w:r>
        <w:t>:</w:t>
      </w:r>
    </w:p>
    <w:p w14:paraId="3DD2CFE6" w14:textId="673ADB4E" w:rsidR="00D94A30" w:rsidRDefault="00D94A30" w:rsidP="004E120D">
      <w:pPr>
        <w:pStyle w:val="BulletLevel3"/>
      </w:pPr>
      <w:r w:rsidRPr="52F0E74A">
        <w:t>did the voluntary act (e.g. resigned) that lead to their unemployment, or</w:t>
      </w:r>
    </w:p>
    <w:p w14:paraId="5B7E8512" w14:textId="09ADF6D6" w:rsidR="00D94A30" w:rsidRDefault="00D94A30" w:rsidP="004E120D">
      <w:pPr>
        <w:pStyle w:val="BulletLevel3"/>
      </w:pPr>
      <w:r w:rsidRPr="52F0E74A">
        <w:t>engaged in misconduct (or believed they did not engage in misconduct)</w:t>
      </w:r>
      <w:r w:rsidR="00B76BEA">
        <w:t>.</w:t>
      </w:r>
    </w:p>
    <w:p w14:paraId="1FC3DE34" w14:textId="0106D402" w:rsidR="00D94A30" w:rsidRDefault="00B76BEA" w:rsidP="004E120D">
      <w:pPr>
        <w:pStyle w:val="BulletLevel2"/>
      </w:pPr>
      <w:r>
        <w:t>Step 4: S</w:t>
      </w:r>
      <w:r w:rsidR="00D94A30" w:rsidRPr="52F0E74A">
        <w:t>elect ‘submit’ to send the Unemployment Failure report to Services Australia for investigation.</w:t>
      </w:r>
    </w:p>
    <w:p w14:paraId="3830427D" w14:textId="248D2B35" w:rsidR="00D94A30" w:rsidRDefault="00D94A30" w:rsidP="00D94A30">
      <w:r>
        <w:t>A</w:t>
      </w:r>
      <w:r w:rsidRPr="52F0E74A">
        <w:t xml:space="preserve"> full list of</w:t>
      </w:r>
      <w:r>
        <w:t xml:space="preserve"> the</w:t>
      </w:r>
      <w:r w:rsidRPr="52F0E74A">
        <w:t xml:space="preserve"> </w:t>
      </w:r>
      <w:r>
        <w:t>‘Reasons not accepted’</w:t>
      </w:r>
      <w:r w:rsidRPr="52F0E74A">
        <w:t xml:space="preserve"> drop-down menu options can be found </w:t>
      </w:r>
      <w:r>
        <w:t>within the</w:t>
      </w:r>
      <w:r w:rsidRPr="52F0E74A">
        <w:t xml:space="preserve"> </w:t>
      </w:r>
      <w:r w:rsidR="00830929" w:rsidRPr="00830929">
        <w:rPr>
          <w:rStyle w:val="Hyperlink"/>
        </w:rPr>
        <w:t>Unemployment Failure reason options [LINK]</w:t>
      </w:r>
      <w:r w:rsidR="00830929">
        <w:rPr>
          <w:rFonts w:eastAsia="Times New Roman" w:cs="Tahoma"/>
          <w:color w:val="000000" w:themeColor="text1"/>
        </w:rPr>
        <w:t xml:space="preserve"> </w:t>
      </w:r>
      <w:r w:rsidRPr="00C533B4">
        <w:rPr>
          <w:rFonts w:cs="Tahoma"/>
          <w:color w:val="000000" w:themeColor="text1"/>
        </w:rPr>
        <w:t>supporting document</w:t>
      </w:r>
      <w:r>
        <w:rPr>
          <w:rFonts w:cs="Tahoma"/>
          <w:color w:val="000000" w:themeColor="text1"/>
        </w:rPr>
        <w:t>.</w:t>
      </w:r>
    </w:p>
    <w:p w14:paraId="2E7387D5" w14:textId="0474C1CD" w:rsidR="00D94A30" w:rsidRDefault="00D94A30" w:rsidP="00D94A30">
      <w:pPr>
        <w:pStyle w:val="Heading5"/>
      </w:pPr>
      <w:r w:rsidRPr="7751327C">
        <w:t xml:space="preserve">Steps to update a draft report confirming Participant has committed </w:t>
      </w:r>
      <w:bookmarkStart w:id="604" w:name="_Int_D98StnLi"/>
      <w:r w:rsidRPr="7751327C">
        <w:t xml:space="preserve">a </w:t>
      </w:r>
      <w:bookmarkEnd w:id="604"/>
      <w:r w:rsidR="009840D1">
        <w:t>potential</w:t>
      </w:r>
      <w:r w:rsidRPr="7751327C">
        <w:t xml:space="preserve"> Unemployment Failure</w:t>
      </w:r>
    </w:p>
    <w:p w14:paraId="212EC8BA" w14:textId="68C65242" w:rsidR="00D94A30" w:rsidRPr="003D1A72" w:rsidRDefault="00D94A30" w:rsidP="00D94A30">
      <w:r w:rsidRPr="1BDC0E7A">
        <w:t>By finalising an Unemployment Failure report as described below, the Provider is confirming that they have been in contact with the Participant and consider that the Participant has not committed an Unemployment Failure.</w:t>
      </w:r>
    </w:p>
    <w:p w14:paraId="1AD752F3" w14:textId="3BD7B32B" w:rsidR="00D94A30" w:rsidRDefault="00D94A30" w:rsidP="006F727E">
      <w:pPr>
        <w:pStyle w:val="SystemStep"/>
      </w:pPr>
      <w:r w:rsidRPr="52F0E74A">
        <w:t xml:space="preserve">If the Provider accepts the </w:t>
      </w:r>
      <w:r>
        <w:t>Participant</w:t>
      </w:r>
      <w:r w:rsidRPr="52F0E74A">
        <w:t xml:space="preserve">’s reason for the </w:t>
      </w:r>
      <w:r w:rsidRPr="0DFD7869">
        <w:rPr>
          <w:rFonts w:ascii="Tahoma" w:eastAsia="Tahoma" w:hAnsi="Tahoma"/>
        </w:rPr>
        <w:t xml:space="preserve">Unemployment </w:t>
      </w:r>
      <w:r w:rsidRPr="52F0E74A">
        <w:t xml:space="preserve">Failure, the Provider must finalise and close the </w:t>
      </w:r>
      <w:r w:rsidRPr="0DFD7869">
        <w:rPr>
          <w:rFonts w:ascii="Tahoma" w:eastAsia="Tahoma" w:hAnsi="Tahoma"/>
        </w:rPr>
        <w:t>Unemployment Failure</w:t>
      </w:r>
      <w:r w:rsidRPr="52F0E74A">
        <w:t xml:space="preserve"> report</w:t>
      </w:r>
      <w:r w:rsidR="008C1566" w:rsidRPr="008C1566">
        <w:t xml:space="preserve"> </w:t>
      </w:r>
      <w:r w:rsidR="008C1566" w:rsidRPr="52F0E74A">
        <w:t>by undertaking the following steps in the Department’s IT Systems:</w:t>
      </w:r>
    </w:p>
    <w:p w14:paraId="519603C7" w14:textId="3D322AFA" w:rsidR="00D94A30" w:rsidRDefault="008C1566" w:rsidP="004E120D">
      <w:pPr>
        <w:pStyle w:val="BulletLevel2"/>
      </w:pPr>
      <w:r>
        <w:t>Step 1:S</w:t>
      </w:r>
      <w:r w:rsidR="00D94A30" w:rsidRPr="7751327C">
        <w:t xml:space="preserve">elect the edit </w:t>
      </w:r>
      <w:bookmarkStart w:id="605" w:name="_Int_DK3Fd5oD"/>
      <w:r w:rsidR="00D94A30" w:rsidRPr="7751327C">
        <w:t>option</w:t>
      </w:r>
      <w:bookmarkEnd w:id="605"/>
      <w:r w:rsidR="00D94A30" w:rsidRPr="7751327C">
        <w:t xml:space="preserve"> in the draft Unemployment Failure report</w:t>
      </w:r>
      <w:r>
        <w:t>.</w:t>
      </w:r>
    </w:p>
    <w:p w14:paraId="031BB86C" w14:textId="65A5C8BF" w:rsidR="00D94A30" w:rsidRDefault="008C1566" w:rsidP="004E120D">
      <w:pPr>
        <w:pStyle w:val="BulletLevel2"/>
      </w:pPr>
      <w:r>
        <w:t>Step 2: S</w:t>
      </w:r>
      <w:r w:rsidR="00D94A30" w:rsidRPr="52F0E74A">
        <w:t>elect ‘</w:t>
      </w:r>
      <w:r w:rsidR="00D94A30">
        <w:t>y</w:t>
      </w:r>
      <w:r w:rsidR="00D94A30" w:rsidRPr="52F0E74A">
        <w:t xml:space="preserve">es’ to the question of </w:t>
      </w:r>
      <w:r w:rsidR="002555DF">
        <w:t>if</w:t>
      </w:r>
      <w:r w:rsidR="00D94A30" w:rsidRPr="52F0E74A">
        <w:t xml:space="preserve"> they accepted the reason given by the </w:t>
      </w:r>
      <w:r w:rsidR="00D94A30">
        <w:t>Participant</w:t>
      </w:r>
      <w:r>
        <w:t>.</w:t>
      </w:r>
    </w:p>
    <w:p w14:paraId="597EB384" w14:textId="04F1FB9D" w:rsidR="00D94A30" w:rsidRDefault="008C1566" w:rsidP="004E120D">
      <w:pPr>
        <w:pStyle w:val="BulletLevel2"/>
      </w:pPr>
      <w:r>
        <w:t>Step 3: S</w:t>
      </w:r>
      <w:r w:rsidR="00D94A30">
        <w:t>elect the reason from the ‘Reasons accepted’ column of the drop-down menu that most closely aligns with the reason the Participant gave as to why they became unemployed</w:t>
      </w:r>
      <w:r w:rsidR="00D825C1">
        <w:t xml:space="preserve"> — a </w:t>
      </w:r>
      <w:r w:rsidR="00D825C1" w:rsidRPr="52F0E74A">
        <w:t xml:space="preserve">full list of these drop-down menu options can be found </w:t>
      </w:r>
      <w:r w:rsidR="00D825C1">
        <w:t>within the</w:t>
      </w:r>
      <w:r w:rsidR="00D825C1" w:rsidRPr="52F0E74A">
        <w:t xml:space="preserve"> </w:t>
      </w:r>
      <w:r w:rsidR="00D825C1" w:rsidRPr="00830929">
        <w:rPr>
          <w:rStyle w:val="Hyperlink"/>
        </w:rPr>
        <w:t>Unemployment Failure reason options [LINK]</w:t>
      </w:r>
      <w:r w:rsidR="00D825C1">
        <w:rPr>
          <w:rFonts w:eastAsia="Times New Roman" w:cs="Tahoma"/>
          <w:color w:val="000000" w:themeColor="text1"/>
        </w:rPr>
        <w:t xml:space="preserve"> </w:t>
      </w:r>
      <w:r w:rsidR="00D825C1" w:rsidRPr="00C533B4">
        <w:rPr>
          <w:rFonts w:cs="Tahoma"/>
          <w:color w:val="000000" w:themeColor="text1"/>
        </w:rPr>
        <w:t>supporting document</w:t>
      </w:r>
      <w:r>
        <w:t>.</w:t>
      </w:r>
    </w:p>
    <w:p w14:paraId="6CB9B634" w14:textId="02463FDF" w:rsidR="00D94A30" w:rsidRDefault="008C1566" w:rsidP="004E120D">
      <w:pPr>
        <w:pStyle w:val="BulletLevel2"/>
      </w:pPr>
      <w:r>
        <w:t>Step 4: S</w:t>
      </w:r>
      <w:r w:rsidR="00D94A30" w:rsidRPr="7751327C">
        <w:t>elect ‘submit’, which will close the report (i.e. the report will not be sent to Services Australia for investigation).</w:t>
      </w:r>
    </w:p>
    <w:p w14:paraId="2D47CF7E" w14:textId="667D21FF" w:rsidR="00AD6D8D" w:rsidRDefault="00AD6D8D" w:rsidP="00AD6D8D">
      <w:pPr>
        <w:pStyle w:val="Heading4"/>
      </w:pPr>
      <w:bookmarkStart w:id="606" w:name="_Toc202900123"/>
      <w:r>
        <w:t>12.6.4</w:t>
      </w:r>
      <w:r>
        <w:tab/>
        <w:t>Actions after an Unemployment Failure is applied</w:t>
      </w:r>
      <w:bookmarkEnd w:id="606"/>
    </w:p>
    <w:p w14:paraId="36EFE82B" w14:textId="4CB65B74" w:rsidR="00AD6D8D" w:rsidRPr="006F251E" w:rsidRDefault="00AD6D8D" w:rsidP="00AD6D8D">
      <w:r w:rsidRPr="006F251E">
        <w:t xml:space="preserve">When the </w:t>
      </w:r>
      <w:r>
        <w:t>Unemployment</w:t>
      </w:r>
      <w:r w:rsidRPr="006F251E">
        <w:t xml:space="preserve"> Failure is applied, this will result in the Participant’s Income Support Payment being cancelled and the Participant will </w:t>
      </w:r>
      <w:r>
        <w:t xml:space="preserve">need to serve a </w:t>
      </w:r>
      <w:r w:rsidRPr="006F251E">
        <w:t xml:space="preserve">4 week </w:t>
      </w:r>
      <w:r>
        <w:t>preclusion</w:t>
      </w:r>
      <w:r w:rsidRPr="006F251E">
        <w:t xml:space="preserve"> period. Cancellation of their payment will require the Participant to submit a new claim for payment.</w:t>
      </w:r>
    </w:p>
    <w:p w14:paraId="2CAA99D5" w14:textId="77777777" w:rsidR="00AD6D8D" w:rsidRPr="006F251E" w:rsidRDefault="00AD6D8D" w:rsidP="00AD6D8D">
      <w:r w:rsidRPr="006F251E">
        <w:rPr>
          <w:b/>
          <w:bCs/>
        </w:rPr>
        <w:t>Note:</w:t>
      </w:r>
      <w:r w:rsidRPr="006F251E">
        <w:t xml:space="preserve"> Services Australia staff will tell the Participant the outcome of their decision, consequences of this decisions, and their review and appeal rights.</w:t>
      </w:r>
    </w:p>
    <w:p w14:paraId="27DC3C8C" w14:textId="276F7D94" w:rsidR="00AD6D8D" w:rsidRDefault="00AD6D8D" w:rsidP="00AD6D8D">
      <w:r w:rsidRPr="006F251E">
        <w:t>When a Participant has a</w:t>
      </w:r>
      <w:r w:rsidR="007365D8">
        <w:t xml:space="preserve">n Unemployment </w:t>
      </w:r>
      <w:r w:rsidRPr="006F251E">
        <w:t xml:space="preserve">Failure applied by Services Australia, the Provider must make a note of this on the Participant’s </w:t>
      </w:r>
      <w:r w:rsidR="007365D8">
        <w:t>record in the Department’s IT Systems</w:t>
      </w:r>
      <w:r w:rsidRPr="006F251E">
        <w:t>.</w:t>
      </w:r>
    </w:p>
    <w:p w14:paraId="470B9B3B" w14:textId="77777777" w:rsidR="00AD6D8D" w:rsidRPr="00FB7CD7" w:rsidRDefault="00AD6D8D" w:rsidP="00AD6D8D">
      <w:pPr>
        <w:pStyle w:val="SystemStep"/>
      </w:pPr>
      <w:r>
        <w:t>Providers must</w:t>
      </w:r>
      <w:r w:rsidRPr="00FB7CD7">
        <w:t xml:space="preserve"> </w:t>
      </w:r>
      <w:r>
        <w:t>enter a file note using the comment functionality in the Program Summary on</w:t>
      </w:r>
      <w:r w:rsidRPr="53BE8163">
        <w:t xml:space="preserve"> the Department’s IT Systems</w:t>
      </w:r>
      <w:r>
        <w:t>.</w:t>
      </w:r>
    </w:p>
    <w:p w14:paraId="234EEE24" w14:textId="55762083" w:rsidR="00AD6D8D" w:rsidRPr="006F251E" w:rsidRDefault="00AD6D8D" w:rsidP="00AD6D8D">
      <w:r w:rsidRPr="006F251E">
        <w:t xml:space="preserve">If the Participant seeks to submit a new claim for Income Support Payments with Services Australia, they may return to </w:t>
      </w:r>
      <w:r w:rsidR="00202A96">
        <w:t>Inclusive Employment Australia</w:t>
      </w:r>
      <w:r w:rsidRPr="006F251E">
        <w:t xml:space="preserve"> — either resuming Services having returned within 13 weeks of the Exit or being subject to a new Referral.</w:t>
      </w:r>
    </w:p>
    <w:p w14:paraId="2612AE66" w14:textId="4C3297D9" w:rsidR="00AD6D8D" w:rsidRPr="006F251E" w:rsidRDefault="00AD6D8D" w:rsidP="00AD6D8D">
      <w:r w:rsidRPr="006F251E">
        <w:t xml:space="preserve">Where a Participant resumes following </w:t>
      </w:r>
      <w:r>
        <w:t>the preclusion</w:t>
      </w:r>
      <w:r w:rsidRPr="006F251E">
        <w:t xml:space="preserve"> period, the previous Job Plan will remain in force until another Job Plan is created. If this was a Meaningful Engagement Job Plan, the Provider must take the appropriate steps to enter into a Detailed Job Plan with the Participant as outlined in Chapter 4: Job Plans at the first Contact </w:t>
      </w:r>
      <w:r w:rsidR="005E1D5A">
        <w:t xml:space="preserve">Appointment </w:t>
      </w:r>
      <w:r w:rsidRPr="006F251E">
        <w:t xml:space="preserve">following the </w:t>
      </w:r>
      <w:r w:rsidR="005E1D5A">
        <w:t>Unemployment</w:t>
      </w:r>
      <w:r w:rsidRPr="006F251E">
        <w:t xml:space="preserve"> Failure.</w:t>
      </w:r>
    </w:p>
    <w:p w14:paraId="35B9584C" w14:textId="0D7B5969" w:rsidR="00AD6D8D" w:rsidRDefault="00AD6D8D" w:rsidP="00AD6D8D">
      <w:r w:rsidRPr="006F251E">
        <w:t xml:space="preserve">Where a Participant is subject to a new Referral, Providers should consider </w:t>
      </w:r>
      <w:r w:rsidR="002555DF">
        <w:t>if</w:t>
      </w:r>
      <w:r w:rsidRPr="006F251E">
        <w:t xml:space="preserve"> it is appropriate to enter into a Detailed Job Plan depending on the duration between the Work Refusal Failure and Commencement, having also reviewed the Job Plan history and Program Summary</w:t>
      </w:r>
      <w:r>
        <w:t>.</w:t>
      </w:r>
    </w:p>
    <w:p w14:paraId="227D1BE6" w14:textId="1B8AA541" w:rsidR="00AD6D8D" w:rsidRPr="00FB7CD7" w:rsidRDefault="00AD6D8D" w:rsidP="00AD6D8D">
      <w:pPr>
        <w:pStyle w:val="SystemStep"/>
      </w:pPr>
      <w:r>
        <w:t>Providers are able to view comments in the Program Summary on</w:t>
      </w:r>
      <w:r w:rsidRPr="53BE8163">
        <w:t xml:space="preserve"> the Department’s IT Systems</w:t>
      </w:r>
      <w:r>
        <w:t xml:space="preserve"> made by other </w:t>
      </w:r>
      <w:r w:rsidR="00202A96">
        <w:t>Inclusive Employment Australia</w:t>
      </w:r>
      <w:r>
        <w:t xml:space="preserve"> Providers.</w:t>
      </w:r>
    </w:p>
    <w:p w14:paraId="34AB8EBB" w14:textId="0EBF2E8C" w:rsidR="00D94A30" w:rsidRDefault="00D94A30" w:rsidP="00D94A30">
      <w:pPr>
        <w:pStyle w:val="Heading3"/>
      </w:pPr>
      <w:bookmarkStart w:id="607" w:name="_Ref202788708"/>
      <w:bookmarkStart w:id="608" w:name="_Toc202900124"/>
      <w:r>
        <w:t>12.7</w:t>
      </w:r>
      <w:r>
        <w:tab/>
        <w:t>DSP non-compliance and associated compliance actions</w:t>
      </w:r>
      <w:bookmarkEnd w:id="607"/>
      <w:bookmarkEnd w:id="608"/>
    </w:p>
    <w:p w14:paraId="348F5B79" w14:textId="21FCC478" w:rsidR="00D94A30" w:rsidRPr="00C05192" w:rsidRDefault="00D94A30" w:rsidP="00D94A30">
      <w:pPr>
        <w:keepNext/>
        <w:rPr>
          <w:rStyle w:val="Emphasis"/>
          <w:rFonts w:asciiTheme="majorHAnsi" w:eastAsiaTheme="majorEastAsia" w:hAnsiTheme="majorHAnsi" w:cstheme="majorBidi"/>
        </w:rPr>
      </w:pPr>
      <w:r w:rsidRPr="00C05192">
        <w:rPr>
          <w:rStyle w:val="Emphasis"/>
        </w:rPr>
        <w:t xml:space="preserve">This </w:t>
      </w:r>
      <w:r w:rsidR="007A4B96">
        <w:rPr>
          <w:rStyle w:val="Emphasis"/>
        </w:rPr>
        <w:t>S</w:t>
      </w:r>
      <w:r w:rsidRPr="00C05192">
        <w:rPr>
          <w:rStyle w:val="Emphasis"/>
        </w:rPr>
        <w:t>ection applies to DSP Recipients (Compulsory Requirements).</w:t>
      </w:r>
    </w:p>
    <w:p w14:paraId="7AB50BFE" w14:textId="6E226593" w:rsidR="00D94A30" w:rsidRDefault="00D94A30" w:rsidP="00D94A30">
      <w:pPr>
        <w:rPr>
          <w:rFonts w:ascii="Tahoma" w:eastAsia="Tahoma" w:hAnsi="Tahoma"/>
        </w:rPr>
      </w:pPr>
      <w:r w:rsidRPr="0DFD7869">
        <w:rPr>
          <w:rFonts w:ascii="Tahoma" w:eastAsia="Tahoma" w:hAnsi="Tahoma"/>
        </w:rPr>
        <w:t>For DSP Recipients (Compulsory Requirements), instances of non-compliance must be reported to Services Australia by the Provider.</w:t>
      </w:r>
    </w:p>
    <w:p w14:paraId="0E9A03B7" w14:textId="38EB8BAB" w:rsidR="00D94A30" w:rsidRDefault="00D94A30" w:rsidP="00D94A30">
      <w:pPr>
        <w:rPr>
          <w:rFonts w:ascii="Tahoma" w:eastAsia="Tahoma" w:hAnsi="Tahoma"/>
        </w:rPr>
      </w:pPr>
      <w:r w:rsidRPr="5DD2C18A">
        <w:rPr>
          <w:rFonts w:ascii="Tahoma" w:eastAsia="Tahoma" w:hAnsi="Tahoma"/>
        </w:rPr>
        <w:t xml:space="preserve">Services Australia is responsible for determining </w:t>
      </w:r>
      <w:r w:rsidR="002555DF">
        <w:rPr>
          <w:rFonts w:ascii="Tahoma" w:eastAsia="Tahoma" w:hAnsi="Tahoma"/>
        </w:rPr>
        <w:t>if</w:t>
      </w:r>
      <w:r w:rsidRPr="5DD2C18A">
        <w:rPr>
          <w:rFonts w:ascii="Tahoma" w:eastAsia="Tahoma" w:hAnsi="Tahoma"/>
        </w:rPr>
        <w:t xml:space="preserve"> a DSP Recipient (Compulsory Requirements) has failed to meet their requirements in their Participation Plan.</w:t>
      </w:r>
    </w:p>
    <w:p w14:paraId="458D4172" w14:textId="4EF24000" w:rsidR="00D94A30" w:rsidRDefault="00D94A30" w:rsidP="00D94A30">
      <w:pPr>
        <w:rPr>
          <w:rFonts w:ascii="Tahoma" w:eastAsia="Tahoma" w:hAnsi="Tahoma"/>
        </w:rPr>
      </w:pPr>
      <w:r w:rsidRPr="5DD2C18A">
        <w:rPr>
          <w:rFonts w:ascii="Tahoma" w:eastAsia="Tahoma" w:hAnsi="Tahoma"/>
          <w:b/>
          <w:bCs/>
        </w:rPr>
        <w:t xml:space="preserve">Note: </w:t>
      </w:r>
      <w:r w:rsidRPr="5DD2C18A">
        <w:rPr>
          <w:rFonts w:ascii="Tahoma" w:eastAsia="Tahoma" w:hAnsi="Tahoma"/>
        </w:rPr>
        <w:t>As described in</w:t>
      </w:r>
      <w:r w:rsidR="003C5A36">
        <w:rPr>
          <w:rFonts w:ascii="Tahoma" w:eastAsia="Tahoma" w:hAnsi="Tahoma"/>
        </w:rPr>
        <w:t xml:space="preserve"> </w:t>
      </w:r>
      <w:r w:rsidR="00041F0A">
        <w:rPr>
          <w:rFonts w:ascii="Tahoma" w:eastAsia="Tahoma" w:hAnsi="Tahoma"/>
        </w:rPr>
        <w:fldChar w:fldCharType="begin"/>
      </w:r>
      <w:r w:rsidR="00041F0A">
        <w:rPr>
          <w:rFonts w:ascii="Tahoma" w:eastAsia="Tahoma" w:hAnsi="Tahoma"/>
        </w:rPr>
        <w:instrText xml:space="preserve"> REF _Ref202951631 \h </w:instrText>
      </w:r>
      <w:r w:rsidR="00041F0A">
        <w:rPr>
          <w:rFonts w:ascii="Tahoma" w:eastAsia="Tahoma" w:hAnsi="Tahoma"/>
        </w:rPr>
      </w:r>
      <w:r w:rsidR="00041F0A">
        <w:rPr>
          <w:rFonts w:ascii="Tahoma" w:eastAsia="Tahoma" w:hAnsi="Tahoma"/>
        </w:rPr>
        <w:fldChar w:fldCharType="separate"/>
      </w:r>
      <w:r w:rsidR="000D75AE">
        <w:t>5.2.3Requirements for Participants undertaking a Program of Support</w:t>
      </w:r>
      <w:r w:rsidR="00041F0A">
        <w:rPr>
          <w:rFonts w:ascii="Tahoma" w:eastAsia="Tahoma" w:hAnsi="Tahoma"/>
        </w:rPr>
        <w:fldChar w:fldCharType="end"/>
      </w:r>
      <w:r w:rsidRPr="5DD2C18A">
        <w:rPr>
          <w:rFonts w:ascii="Tahoma" w:eastAsia="Tahoma" w:hAnsi="Tahoma"/>
        </w:rPr>
        <w:t xml:space="preserve"> a person may be required to complete a Program of Support before they claim the DSP. A Participant undertaking a Program of Support is not a DSP Recipient (Compulsory Requirements) but may be a Participant (Mutual Obligation</w:t>
      </w:r>
      <w:r w:rsidR="00C17F57">
        <w:rPr>
          <w:rFonts w:ascii="Tahoma" w:eastAsia="Tahoma" w:hAnsi="Tahoma"/>
        </w:rPr>
        <w:t>)</w:t>
      </w:r>
      <w:r w:rsidRPr="5DD2C18A" w:rsidDel="00C17F57">
        <w:rPr>
          <w:rFonts w:ascii="Tahoma" w:eastAsia="Tahoma" w:hAnsi="Tahoma"/>
        </w:rPr>
        <w:t xml:space="preserve"> </w:t>
      </w:r>
      <w:r w:rsidRPr="5DD2C18A">
        <w:rPr>
          <w:rFonts w:ascii="Tahoma" w:eastAsia="Tahoma" w:hAnsi="Tahoma"/>
        </w:rPr>
        <w:t xml:space="preserve">or </w:t>
      </w:r>
      <w:r>
        <w:rPr>
          <w:rFonts w:ascii="Tahoma" w:eastAsia="Tahoma" w:hAnsi="Tahoma"/>
        </w:rPr>
        <w:t>Participant (Voluntary)</w:t>
      </w:r>
      <w:r w:rsidRPr="5DD2C18A">
        <w:rPr>
          <w:rFonts w:ascii="Tahoma" w:eastAsia="Tahoma" w:hAnsi="Tahoma"/>
        </w:rPr>
        <w:t xml:space="preserve"> depending on whether they are receiving an Income Support Payment and have Mutual Obligation Requirements related to that payment.</w:t>
      </w:r>
    </w:p>
    <w:p w14:paraId="57149492" w14:textId="5EB483D1" w:rsidR="00D94A30" w:rsidRPr="00904704" w:rsidRDefault="00D94A30" w:rsidP="00D94A30">
      <w:pPr>
        <w:pStyle w:val="Heading5"/>
      </w:pPr>
      <w:r w:rsidRPr="00904704">
        <w:t>Interaction with Job Plan types</w:t>
      </w:r>
    </w:p>
    <w:p w14:paraId="4B947CEE" w14:textId="0486AAF7" w:rsidR="00D94A30" w:rsidRDefault="00D94A30" w:rsidP="00D94A30">
      <w:pPr>
        <w:rPr>
          <w:rFonts w:eastAsiaTheme="minorEastAsia"/>
        </w:rPr>
      </w:pPr>
      <w:r w:rsidRPr="0DFD7869">
        <w:rPr>
          <w:rFonts w:eastAsiaTheme="minorEastAsia"/>
        </w:rPr>
        <w:t xml:space="preserve">A </w:t>
      </w:r>
      <w:r w:rsidRPr="0DFD7869">
        <w:rPr>
          <w:rFonts w:ascii="Tahoma" w:eastAsia="Tahoma" w:hAnsi="Tahoma"/>
        </w:rPr>
        <w:t>DSP Recipient (Compulsory Requirements)</w:t>
      </w:r>
      <w:r w:rsidRPr="0DFD7869">
        <w:rPr>
          <w:rFonts w:eastAsiaTheme="minorEastAsia"/>
        </w:rPr>
        <w:t xml:space="preserve"> may have a Meaningful Engagement Job Plan or Detailed Job Plan — see</w:t>
      </w:r>
      <w:r w:rsidR="00E51E16">
        <w:rPr>
          <w:rFonts w:eastAsiaTheme="minorEastAsia"/>
        </w:rPr>
        <w:t xml:space="preserve"> </w:t>
      </w:r>
      <w:r w:rsidR="00E51E16">
        <w:rPr>
          <w:rFonts w:eastAsiaTheme="minorEastAsia"/>
          <w:highlight w:val="yellow"/>
        </w:rPr>
        <w:fldChar w:fldCharType="begin"/>
      </w:r>
      <w:r w:rsidR="00E51E16">
        <w:rPr>
          <w:rFonts w:eastAsiaTheme="minorEastAsia"/>
        </w:rPr>
        <w:instrText xml:space="preserve"> REF _Ref202784061 \h </w:instrText>
      </w:r>
      <w:r w:rsidR="00E51E16">
        <w:rPr>
          <w:rFonts w:eastAsiaTheme="minorEastAsia"/>
          <w:highlight w:val="yellow"/>
        </w:rPr>
      </w:r>
      <w:r w:rsidR="00E51E16">
        <w:rPr>
          <w:rFonts w:eastAsiaTheme="minorEastAsia"/>
          <w:highlight w:val="yellow"/>
        </w:rPr>
        <w:fldChar w:fldCharType="separate"/>
      </w:r>
      <w:r w:rsidR="000D75AE" w:rsidRPr="00BA23D8">
        <w:t>Chapter 4</w:t>
      </w:r>
      <w:r w:rsidR="000D75AE">
        <w:t>:</w:t>
      </w:r>
      <w:r w:rsidR="00C33F1F">
        <w:t xml:space="preserve"> </w:t>
      </w:r>
      <w:r w:rsidR="000D75AE" w:rsidRPr="00BA23D8">
        <w:t>Job Plans</w:t>
      </w:r>
      <w:r w:rsidR="00E51E16">
        <w:rPr>
          <w:rFonts w:eastAsiaTheme="minorEastAsia"/>
          <w:highlight w:val="yellow"/>
        </w:rPr>
        <w:fldChar w:fldCharType="end"/>
      </w:r>
      <w:r w:rsidRPr="0DFD7869">
        <w:rPr>
          <w:rFonts w:eastAsiaTheme="minorEastAsia"/>
        </w:rPr>
        <w:t>. The Participant’s Job Plan type will impact when a Provider needs to undertake associated compliance actions.</w:t>
      </w:r>
    </w:p>
    <w:p w14:paraId="1A8992C6" w14:textId="194CAD96" w:rsidR="00D94A30" w:rsidRDefault="00D94A30" w:rsidP="00D94A30">
      <w:pPr>
        <w:keepNext/>
        <w:rPr>
          <w:rFonts w:eastAsiaTheme="minorEastAsia"/>
        </w:rPr>
      </w:pPr>
      <w:r w:rsidRPr="5DD2C18A">
        <w:rPr>
          <w:rFonts w:eastAsiaTheme="minorEastAsia"/>
        </w:rPr>
        <w:t xml:space="preserve">A </w:t>
      </w:r>
      <w:r w:rsidRPr="5DD2C18A">
        <w:rPr>
          <w:rFonts w:ascii="Tahoma" w:eastAsia="Tahoma" w:hAnsi="Tahoma"/>
        </w:rPr>
        <w:t>DSP Recipient (Compulsory Requirements)</w:t>
      </w:r>
      <w:r w:rsidRPr="5DD2C18A">
        <w:rPr>
          <w:rFonts w:eastAsiaTheme="minorEastAsia"/>
        </w:rPr>
        <w:t xml:space="preserve"> with a </w:t>
      </w:r>
      <w:r>
        <w:rPr>
          <w:rFonts w:eastAsiaTheme="minorEastAsia"/>
          <w:u w:val="single"/>
        </w:rPr>
        <w:t>Meaningful Engagement Job Plan</w:t>
      </w:r>
      <w:r w:rsidRPr="5DD2C18A">
        <w:rPr>
          <w:rFonts w:eastAsiaTheme="minorEastAsia"/>
        </w:rPr>
        <w:t xml:space="preserve"> must</w:t>
      </w:r>
      <w:r>
        <w:rPr>
          <w:rFonts w:eastAsiaTheme="minorEastAsia"/>
        </w:rPr>
        <w:t xml:space="preserve"> have non-compliance reported to Services Australia if they do not</w:t>
      </w:r>
      <w:r w:rsidRPr="5DD2C18A">
        <w:rPr>
          <w:rFonts w:eastAsiaTheme="minorEastAsia"/>
        </w:rPr>
        <w:t>:</w:t>
      </w:r>
    </w:p>
    <w:p w14:paraId="2AD08761" w14:textId="4B784DA4" w:rsidR="00D94A30" w:rsidRPr="002C5EDF" w:rsidRDefault="00D94A30" w:rsidP="004E120D">
      <w:pPr>
        <w:pStyle w:val="BulletLevel1"/>
      </w:pPr>
      <w:r>
        <w:t xml:space="preserve">attend, and </w:t>
      </w:r>
      <w:r w:rsidRPr="002C5EDF">
        <w:t>be punctual for, their Initial Interview</w:t>
      </w:r>
    </w:p>
    <w:p w14:paraId="1CE658BA" w14:textId="4DAE257E" w:rsidR="00D94A30" w:rsidRPr="002C5EDF" w:rsidRDefault="007A1C82" w:rsidP="004E120D">
      <w:pPr>
        <w:pStyle w:val="BulletLevel1"/>
      </w:pPr>
      <w:r w:rsidRPr="000335E0">
        <w:t xml:space="preserve">attend, and be punctual for, a </w:t>
      </w:r>
      <w:r>
        <w:t>compulsory</w:t>
      </w:r>
      <w:r w:rsidRPr="000335E0">
        <w:t xml:space="preserve"> Contact Appointment, once notified</w:t>
      </w:r>
      <w:r>
        <w:t xml:space="preserve"> that they are being compelled to attend under Social Security Law</w:t>
      </w:r>
      <w:r w:rsidR="00D94A30" w:rsidRPr="002C5EDF">
        <w:t>, or</w:t>
      </w:r>
    </w:p>
    <w:p w14:paraId="4BE68BCC" w14:textId="475D4C88" w:rsidR="00D94A30" w:rsidRDefault="00D94A30" w:rsidP="004E120D">
      <w:pPr>
        <w:pStyle w:val="BulletLevel1"/>
      </w:pPr>
      <w:r w:rsidRPr="002C5EDF">
        <w:t>agree to their</w:t>
      </w:r>
      <w:r>
        <w:t xml:space="preserve"> Job Plan.</w:t>
      </w:r>
    </w:p>
    <w:p w14:paraId="668DDBBC" w14:textId="201CCF05" w:rsidR="00D94A30" w:rsidRDefault="00D94A30" w:rsidP="00326386">
      <w:pPr>
        <w:keepNext/>
        <w:rPr>
          <w:rFonts w:eastAsiaTheme="minorEastAsia"/>
        </w:rPr>
      </w:pPr>
      <w:r w:rsidRPr="5DD2C18A">
        <w:rPr>
          <w:rFonts w:eastAsiaTheme="minorEastAsia"/>
        </w:rPr>
        <w:t xml:space="preserve">A </w:t>
      </w:r>
      <w:r w:rsidRPr="5DD2C18A">
        <w:rPr>
          <w:rFonts w:ascii="Tahoma" w:eastAsia="Tahoma" w:hAnsi="Tahoma"/>
        </w:rPr>
        <w:t>DSP Recipient (Compulsory Requirements)</w:t>
      </w:r>
      <w:r w:rsidRPr="5DD2C18A">
        <w:rPr>
          <w:rFonts w:eastAsiaTheme="minorEastAsia"/>
        </w:rPr>
        <w:t xml:space="preserve"> with a </w:t>
      </w:r>
      <w:r>
        <w:rPr>
          <w:rFonts w:eastAsiaTheme="minorEastAsia"/>
          <w:u w:val="single"/>
        </w:rPr>
        <w:t>Detailed Job Plan</w:t>
      </w:r>
      <w:r w:rsidRPr="5DD2C18A">
        <w:rPr>
          <w:rFonts w:eastAsiaTheme="minorEastAsia"/>
        </w:rPr>
        <w:t xml:space="preserve"> must</w:t>
      </w:r>
      <w:r>
        <w:rPr>
          <w:rFonts w:eastAsiaTheme="minorEastAsia"/>
        </w:rPr>
        <w:t xml:space="preserve"> have non-compliance reported to Services Australia if they do not</w:t>
      </w:r>
      <w:r w:rsidRPr="5DD2C18A">
        <w:rPr>
          <w:rFonts w:eastAsiaTheme="minorEastAsia"/>
        </w:rPr>
        <w:t>:</w:t>
      </w:r>
    </w:p>
    <w:p w14:paraId="6B33B833" w14:textId="317C9E0E" w:rsidR="00D94A30" w:rsidRPr="008C1566" w:rsidRDefault="00D94A30" w:rsidP="004E120D">
      <w:pPr>
        <w:pStyle w:val="BulletLevel1"/>
      </w:pPr>
      <w:r w:rsidRPr="008C1566">
        <w:t xml:space="preserve">attend, and be punctual for, an Initial Interview — noting that a Participant may transfer and thus have an Initial Interview </w:t>
      </w:r>
      <w:r w:rsidR="00573FA6">
        <w:t>schedule</w:t>
      </w:r>
      <w:r w:rsidRPr="008C1566">
        <w:t>d because of the Referral process</w:t>
      </w:r>
    </w:p>
    <w:p w14:paraId="3A2E74DD" w14:textId="4F0454B2" w:rsidR="00D94A30" w:rsidRPr="008C1566" w:rsidRDefault="00D94A30" w:rsidP="004E120D">
      <w:pPr>
        <w:pStyle w:val="BulletLevel1"/>
      </w:pPr>
      <w:r w:rsidRPr="008C1566">
        <w:t>agree to their Job Plan</w:t>
      </w:r>
    </w:p>
    <w:p w14:paraId="23461156" w14:textId="3A2DB149" w:rsidR="00D94A30" w:rsidRPr="008C1566" w:rsidRDefault="00D94A30" w:rsidP="004E120D">
      <w:pPr>
        <w:pStyle w:val="BulletLevel1"/>
      </w:pPr>
      <w:r w:rsidRPr="008C1566">
        <w:t xml:space="preserve">attend any compulsory </w:t>
      </w:r>
      <w:r w:rsidR="005A392E">
        <w:t>Contact</w:t>
      </w:r>
      <w:r w:rsidRPr="008C1566">
        <w:t xml:space="preserve"> Appointments, as detailed within their Job Plan, and</w:t>
      </w:r>
    </w:p>
    <w:p w14:paraId="5213DBEB" w14:textId="6C62B520" w:rsidR="00D94A30" w:rsidRPr="008C1566" w:rsidRDefault="00D94A30" w:rsidP="004E120D">
      <w:pPr>
        <w:pStyle w:val="BulletLevel1"/>
      </w:pPr>
      <w:r w:rsidRPr="008C1566">
        <w:t>attend any compulsory Activities</w:t>
      </w:r>
      <w:r w:rsidR="005E14E1">
        <w:t xml:space="preserve"> and Job Interviews</w:t>
      </w:r>
      <w:r w:rsidRPr="008C1566">
        <w:t>, as detailed within their Job Plan.</w:t>
      </w:r>
    </w:p>
    <w:p w14:paraId="5EE8B1BE" w14:textId="0D87E800" w:rsidR="00D94A30" w:rsidRDefault="00D94A30" w:rsidP="00D94A30">
      <w:pPr>
        <w:pStyle w:val="Heading4"/>
      </w:pPr>
      <w:bookmarkStart w:id="609" w:name="_Ref202786203"/>
      <w:bookmarkStart w:id="610" w:name="_Toc202900125"/>
      <w:r>
        <w:t>12.7.1</w:t>
      </w:r>
      <w:r w:rsidR="008C1566">
        <w:tab/>
      </w:r>
      <w:r>
        <w:t>Provider Obligations</w:t>
      </w:r>
      <w:bookmarkEnd w:id="609"/>
      <w:bookmarkEnd w:id="610"/>
    </w:p>
    <w:p w14:paraId="1FF7AB07" w14:textId="76CDA429" w:rsidR="00D94A30" w:rsidRDefault="00D94A30" w:rsidP="00D94A30">
      <w:r>
        <w:t xml:space="preserve">Provider staff are delegated certain powers under Social Security Law to notify </w:t>
      </w:r>
      <w:r w:rsidRPr="5DD2C18A">
        <w:rPr>
          <w:rFonts w:ascii="Tahoma" w:eastAsia="Tahoma" w:hAnsi="Tahoma"/>
        </w:rPr>
        <w:t xml:space="preserve">DSP Recipients (Compulsory Requirements) </w:t>
      </w:r>
      <w:r>
        <w:t>of their requirements.</w:t>
      </w:r>
    </w:p>
    <w:p w14:paraId="7B68FFAF" w14:textId="0D1CAC9F" w:rsidR="00D94A30" w:rsidRDefault="00D94A30" w:rsidP="00D94A30">
      <w:pPr>
        <w:rPr>
          <w:rFonts w:ascii="Tahoma" w:eastAsia="Tahoma" w:hAnsi="Tahoma"/>
        </w:rPr>
      </w:pPr>
      <w:r w:rsidRPr="0DFD7869">
        <w:rPr>
          <w:rFonts w:ascii="Tahoma" w:eastAsia="Tahoma" w:hAnsi="Tahoma"/>
        </w:rPr>
        <w:t xml:space="preserve">The Provider’s main obligations relating to compliance for DSP Recipients (Compulsory Requirements) include: </w:t>
      </w:r>
    </w:p>
    <w:p w14:paraId="7579B147" w14:textId="7DE932AB" w:rsidR="00D94A30" w:rsidRPr="008C1566" w:rsidRDefault="00D94A30" w:rsidP="004E120D">
      <w:pPr>
        <w:pStyle w:val="BulletLevel1"/>
      </w:pPr>
      <w:r w:rsidRPr="008C1566">
        <w:t xml:space="preserve">making sure the Participant’s requirements set out in their Job Plan (including any Job Search </w:t>
      </w:r>
      <w:r w:rsidR="00336E73">
        <w:t>Requirement</w:t>
      </w:r>
      <w:r w:rsidRPr="008C1566">
        <w:t xml:space="preserve">, where applicable) are suitable and tailored to their personal circumstances and commitments — refer to </w:t>
      </w:r>
      <w:r w:rsidR="00E51E16" w:rsidRPr="00F83937">
        <w:fldChar w:fldCharType="begin"/>
      </w:r>
      <w:r w:rsidR="00E51E16" w:rsidRPr="00F83937">
        <w:instrText xml:space="preserve"> REF _Ref202784061 \h </w:instrText>
      </w:r>
      <w:r w:rsidR="00E51E16">
        <w:instrText xml:space="preserve"> \* MERGEFORMAT </w:instrText>
      </w:r>
      <w:r w:rsidR="00E51E16" w:rsidRPr="00F83937">
        <w:fldChar w:fldCharType="separate"/>
      </w:r>
      <w:r w:rsidR="000D75AE" w:rsidRPr="00BA23D8">
        <w:t>Chapter 4</w:t>
      </w:r>
      <w:r w:rsidR="000D75AE">
        <w:t>:</w:t>
      </w:r>
      <w:r w:rsidR="003B2E77">
        <w:t xml:space="preserve"> </w:t>
      </w:r>
      <w:r w:rsidR="000D75AE" w:rsidRPr="00BA23D8">
        <w:t>Job Plans</w:t>
      </w:r>
      <w:r w:rsidR="00E51E16" w:rsidRPr="00F83937">
        <w:fldChar w:fldCharType="end"/>
      </w:r>
      <w:r w:rsidR="00E51E16" w:rsidRPr="00F83937">
        <w:t xml:space="preserve"> and </w:t>
      </w:r>
      <w:r w:rsidR="00E51E16" w:rsidRPr="00F83937">
        <w:fldChar w:fldCharType="begin"/>
      </w:r>
      <w:r w:rsidR="00E51E16" w:rsidRPr="00F83937">
        <w:instrText xml:space="preserve"> REF _Ref202783027 \h </w:instrText>
      </w:r>
      <w:r w:rsidR="00E51E16">
        <w:instrText xml:space="preserve"> \* MERGEFORMAT </w:instrText>
      </w:r>
      <w:r w:rsidR="00E51E16" w:rsidRPr="00F83937">
        <w:fldChar w:fldCharType="separate"/>
      </w:r>
      <w:r w:rsidR="000D75AE" w:rsidRPr="00BA23D8">
        <w:t>Chapter 5</w:t>
      </w:r>
      <w:r w:rsidR="000D75AE">
        <w:t>:</w:t>
      </w:r>
      <w:r w:rsidR="00E12BF6">
        <w:t xml:space="preserve"> </w:t>
      </w:r>
      <w:r w:rsidR="000D75AE" w:rsidRPr="00BA23D8">
        <w:t>Participation requirements</w:t>
      </w:r>
      <w:r w:rsidR="00E51E16" w:rsidRPr="00F83937">
        <w:fldChar w:fldCharType="end"/>
      </w:r>
    </w:p>
    <w:p w14:paraId="5892D6D8" w14:textId="6821883D" w:rsidR="00D94A30" w:rsidRPr="008C1566" w:rsidRDefault="00D94A30" w:rsidP="004E120D">
      <w:pPr>
        <w:pStyle w:val="BulletLevel1"/>
      </w:pPr>
      <w:r w:rsidRPr="008C1566">
        <w:t xml:space="preserve">actively checking and recording each Participant’s attendance and </w:t>
      </w:r>
      <w:r w:rsidR="001D3391">
        <w:t>level of e</w:t>
      </w:r>
      <w:r w:rsidRPr="008C1566">
        <w:t>ngagement, and</w:t>
      </w:r>
    </w:p>
    <w:p w14:paraId="14490599" w14:textId="2F455804" w:rsidR="00D94A30" w:rsidRPr="008C1566" w:rsidRDefault="00D94A30" w:rsidP="004E120D">
      <w:pPr>
        <w:pStyle w:val="BulletLevel1"/>
      </w:pPr>
      <w:bookmarkStart w:id="611" w:name="_Int_5Squ241p"/>
      <w:r w:rsidRPr="008C1566">
        <w:t>timely</w:t>
      </w:r>
      <w:bookmarkEnd w:id="611"/>
      <w:r w:rsidRPr="008C1566">
        <w:t xml:space="preserve"> and accurate recording in the Department's IT Systems when a Participant has not complied, where the Provider has determined that it will report non-compliance to Services Australia.</w:t>
      </w:r>
    </w:p>
    <w:p w14:paraId="50686BFD" w14:textId="70125AB4" w:rsidR="00D94A30" w:rsidRDefault="00D94A30" w:rsidP="00D94A30">
      <w:pPr>
        <w:pStyle w:val="DeedReferences"/>
      </w:pPr>
      <w:r>
        <w:t>(</w:t>
      </w:r>
      <w:r w:rsidR="00A73420">
        <w:t xml:space="preserve">Deed Reference(s): Clause </w:t>
      </w:r>
      <w:r w:rsidR="00EA0E87">
        <w:t>136.1</w:t>
      </w:r>
      <w:r w:rsidR="001159A8">
        <w:t xml:space="preserve">(c), </w:t>
      </w:r>
      <w:r w:rsidR="00162C79">
        <w:t xml:space="preserve">138.3, </w:t>
      </w:r>
      <w:r w:rsidR="0083144C">
        <w:t>142</w:t>
      </w:r>
      <w:r>
        <w:t>)</w:t>
      </w:r>
    </w:p>
    <w:p w14:paraId="02F20DE4" w14:textId="24D6596D" w:rsidR="001D4003" w:rsidRDefault="001D4003" w:rsidP="001D4003">
      <w:r w:rsidRPr="7751327C">
        <w:t xml:space="preserve">Participants can </w:t>
      </w:r>
      <w:r>
        <w:t xml:space="preserve">lodge a Complaint about the requirements in their Job Plan, and the </w:t>
      </w:r>
      <w:r w:rsidR="00AE7D1E">
        <w:t xml:space="preserve">decision to </w:t>
      </w:r>
      <w:r>
        <w:t>move to a Detailed Job Plan,</w:t>
      </w:r>
      <w:r w:rsidRPr="7751327C">
        <w:t xml:space="preserve"> using the following process.</w:t>
      </w:r>
    </w:p>
    <w:p w14:paraId="174D9C1E" w14:textId="77777777" w:rsidR="001D4003" w:rsidRPr="000335E0" w:rsidRDefault="001D4003" w:rsidP="004E120D">
      <w:pPr>
        <w:pStyle w:val="BulletLevel1"/>
      </w:pPr>
      <w:r w:rsidRPr="000335E0">
        <w:t xml:space="preserve">Participants should discuss their concerns about these decisions with their Provider. </w:t>
      </w:r>
    </w:p>
    <w:p w14:paraId="176AD8AF" w14:textId="56B2950B" w:rsidR="001D4003" w:rsidRPr="000335E0" w:rsidRDefault="001D4003" w:rsidP="004E120D">
      <w:pPr>
        <w:pStyle w:val="BulletLevel1"/>
      </w:pPr>
      <w:r w:rsidRPr="000335E0">
        <w:t xml:space="preserve">If they still wish to dispute the decision after this discussion, they can contact the </w:t>
      </w:r>
      <w:hyperlink r:id="rId96">
        <w:r w:rsidRPr="000335E0">
          <w:rPr>
            <w:rStyle w:val="Hyperlink"/>
            <w:color w:val="auto"/>
            <w:u w:val="none"/>
          </w:rPr>
          <w:t>NCSL</w:t>
        </w:r>
      </w:hyperlink>
      <w:r w:rsidR="00E51E16">
        <w:t xml:space="preserve"> (details for which can be found on the </w:t>
      </w:r>
      <w:hyperlink r:id="rId97" w:history="1">
        <w:r w:rsidR="00E51E16" w:rsidRPr="008B37B2">
          <w:rPr>
            <w:rStyle w:val="Hyperlink"/>
          </w:rPr>
          <w:t>Workforce Australia website</w:t>
        </w:r>
      </w:hyperlink>
      <w:r w:rsidR="00E51E16">
        <w:t>)</w:t>
      </w:r>
      <w:r w:rsidRPr="000335E0">
        <w:t xml:space="preserve">. By contacting the NCSL, the Participant is in effect making an </w:t>
      </w:r>
      <w:r w:rsidR="00202A96">
        <w:t>Inclusive Employment Australia</w:t>
      </w:r>
      <w:r w:rsidRPr="000335E0">
        <w:t xml:space="preserve">-related </w:t>
      </w:r>
      <w:r>
        <w:t>Complaint</w:t>
      </w:r>
      <w:r w:rsidRPr="000335E0">
        <w:t xml:space="preserve">. </w:t>
      </w:r>
    </w:p>
    <w:p w14:paraId="7907645F" w14:textId="77777777" w:rsidR="001D4003" w:rsidRPr="000335E0" w:rsidRDefault="001D4003" w:rsidP="004E120D">
      <w:pPr>
        <w:pStyle w:val="BulletLevel1"/>
      </w:pPr>
      <w:r w:rsidRPr="000335E0">
        <w:t xml:space="preserve">If required, the Provider must action </w:t>
      </w:r>
      <w:r>
        <w:t>Complaints</w:t>
      </w:r>
      <w:r w:rsidRPr="000335E0">
        <w:t xml:space="preserve"> that are referred to them by the NCSL. This may include reviewing the decision-making process, including any Documentary Evidence recorded on the Department’s IT Systems.</w:t>
      </w:r>
    </w:p>
    <w:p w14:paraId="53218C97" w14:textId="33F1AD1C" w:rsidR="004B6499" w:rsidRPr="000335E0" w:rsidRDefault="003B1E5B" w:rsidP="004E120D">
      <w:pPr>
        <w:pStyle w:val="BulletLevel1"/>
      </w:pPr>
      <w:r w:rsidRPr="003B1E5B">
        <w:t xml:space="preserve">If </w:t>
      </w:r>
      <w:r>
        <w:t>they</w:t>
      </w:r>
      <w:r w:rsidRPr="003B1E5B">
        <w:t xml:space="preserve"> are not satisfied with the response </w:t>
      </w:r>
      <w:r>
        <w:t>they</w:t>
      </w:r>
      <w:r w:rsidRPr="003B1E5B">
        <w:t xml:space="preserve"> receive, </w:t>
      </w:r>
      <w:r>
        <w:t>the Participant</w:t>
      </w:r>
      <w:r w:rsidRPr="003B1E5B">
        <w:t xml:space="preserve"> may take the matter further by contacting the Ombudsman’s Office on 1300 362 072</w:t>
      </w:r>
      <w:r>
        <w:t>.</w:t>
      </w:r>
    </w:p>
    <w:p w14:paraId="5103A599" w14:textId="315A0A7E" w:rsidR="00D94A30" w:rsidRDefault="00D94A30" w:rsidP="00D94A30">
      <w:pPr>
        <w:pStyle w:val="Heading4"/>
      </w:pPr>
      <w:bookmarkStart w:id="612" w:name="_Toc202900126"/>
      <w:r>
        <w:t>12.7.2</w:t>
      </w:r>
      <w:r w:rsidR="008C1566">
        <w:tab/>
      </w:r>
      <w:r>
        <w:t>Identifying DSP non-compliance</w:t>
      </w:r>
      <w:bookmarkEnd w:id="612"/>
    </w:p>
    <w:p w14:paraId="13F4AC83" w14:textId="715DE84C" w:rsidR="00D94A30" w:rsidRDefault="00D94A30" w:rsidP="00D94A30">
      <w:pPr>
        <w:pStyle w:val="Heading5"/>
      </w:pPr>
      <w:r>
        <w:t>Attempting contact with a Participant</w:t>
      </w:r>
    </w:p>
    <w:p w14:paraId="2C8ACD78" w14:textId="75A3407E" w:rsidR="00D94A30" w:rsidRPr="00986441" w:rsidRDefault="00D94A30" w:rsidP="00D94A30">
      <w:pPr>
        <w:rPr>
          <w:rFonts w:ascii="Tahoma" w:eastAsia="Tahoma" w:hAnsi="Tahoma"/>
        </w:rPr>
      </w:pPr>
      <w:r w:rsidRPr="5DD2C18A">
        <w:rPr>
          <w:rFonts w:ascii="Tahoma" w:eastAsia="Tahoma" w:hAnsi="Tahoma"/>
        </w:rPr>
        <w:t xml:space="preserve">Where the Participant does not attend an Appointment with their Provider, the Provider must try to contact the Participant on the day of non-attendance. </w:t>
      </w:r>
    </w:p>
    <w:p w14:paraId="63F9510E" w14:textId="74851BF5" w:rsidR="00D94A30" w:rsidRPr="00986441" w:rsidRDefault="00D94A30" w:rsidP="00D94A30">
      <w:pPr>
        <w:rPr>
          <w:rFonts w:ascii="Tahoma" w:eastAsia="Tahoma" w:hAnsi="Tahoma"/>
        </w:rPr>
      </w:pPr>
      <w:r w:rsidRPr="5DD2C18A">
        <w:rPr>
          <w:rFonts w:ascii="Tahoma" w:eastAsia="Tahoma" w:hAnsi="Tahoma"/>
        </w:rPr>
        <w:t>Where a Participant does not attend an activity on a particular day or days, the Provider must try to contact the Participant on the same Business Day that they become aware of the instance or instances of non-attendance.</w:t>
      </w:r>
    </w:p>
    <w:p w14:paraId="6EA76578" w14:textId="7A771E1D" w:rsidR="00D94A30" w:rsidRPr="00986441" w:rsidRDefault="00D94A30" w:rsidP="00D94A30">
      <w:pPr>
        <w:rPr>
          <w:rFonts w:ascii="Tahoma" w:eastAsia="Tahoma" w:hAnsi="Tahoma"/>
        </w:rPr>
      </w:pPr>
      <w:r w:rsidRPr="0DFD7869">
        <w:rPr>
          <w:rFonts w:ascii="Tahoma" w:eastAsia="Tahoma" w:hAnsi="Tahoma"/>
          <w:u w:val="single"/>
        </w:rPr>
        <w:t>Where contact can be made with the Participant</w:t>
      </w:r>
      <w:r w:rsidRPr="0DFD7869">
        <w:rPr>
          <w:rFonts w:ascii="Tahoma" w:eastAsia="Tahoma" w:hAnsi="Tahoma"/>
        </w:rPr>
        <w:t xml:space="preserve">, the Provider must discuss the non-attendance with the Participant and consider </w:t>
      </w:r>
      <w:r w:rsidR="002555DF">
        <w:rPr>
          <w:rFonts w:ascii="Tahoma" w:eastAsia="Tahoma" w:hAnsi="Tahoma"/>
        </w:rPr>
        <w:t>if</w:t>
      </w:r>
      <w:r w:rsidRPr="0DFD7869">
        <w:rPr>
          <w:rFonts w:ascii="Tahoma" w:eastAsia="Tahoma" w:hAnsi="Tahoma"/>
        </w:rPr>
        <w:t xml:space="preserve"> the Participant has a </w:t>
      </w:r>
      <w:r w:rsidR="00C47F8C">
        <w:rPr>
          <w:rFonts w:ascii="Tahoma" w:eastAsia="Tahoma" w:hAnsi="Tahoma"/>
        </w:rPr>
        <w:t>r</w:t>
      </w:r>
      <w:r w:rsidRPr="7A1DDC89">
        <w:rPr>
          <w:rFonts w:ascii="Tahoma" w:eastAsia="Tahoma" w:hAnsi="Tahoma"/>
        </w:rPr>
        <w:t xml:space="preserve">easonable </w:t>
      </w:r>
      <w:r w:rsidR="00C47F8C">
        <w:rPr>
          <w:rFonts w:ascii="Tahoma" w:eastAsia="Tahoma" w:hAnsi="Tahoma"/>
        </w:rPr>
        <w:t>e</w:t>
      </w:r>
      <w:r w:rsidRPr="7A1DDC89">
        <w:rPr>
          <w:rFonts w:ascii="Tahoma" w:eastAsia="Tahoma" w:hAnsi="Tahoma"/>
        </w:rPr>
        <w:t>xcuse</w:t>
      </w:r>
      <w:r w:rsidRPr="0DFD7869">
        <w:rPr>
          <w:rFonts w:ascii="Tahoma" w:eastAsia="Tahoma" w:hAnsi="Tahoma"/>
        </w:rPr>
        <w:t xml:space="preserve">. </w:t>
      </w:r>
    </w:p>
    <w:p w14:paraId="26EC8F34" w14:textId="7BC2E68B" w:rsidR="00D94A30" w:rsidRDefault="00D94A30" w:rsidP="00D94A30">
      <w:pPr>
        <w:rPr>
          <w:rFonts w:ascii="Tahoma" w:eastAsia="Tahoma" w:hAnsi="Tahoma"/>
        </w:rPr>
      </w:pPr>
      <w:r w:rsidRPr="5DD2C18A">
        <w:rPr>
          <w:rFonts w:ascii="Tahoma" w:eastAsia="Tahoma" w:hAnsi="Tahoma"/>
          <w:u w:val="single"/>
        </w:rPr>
        <w:t>Where contact cannot be made with the Participant</w:t>
      </w:r>
      <w:r w:rsidRPr="5DD2C18A">
        <w:rPr>
          <w:rFonts w:ascii="Tahoma" w:eastAsia="Tahoma" w:hAnsi="Tahoma"/>
        </w:rPr>
        <w:t xml:space="preserve">, Providers can decide </w:t>
      </w:r>
      <w:r w:rsidR="002555DF">
        <w:rPr>
          <w:rFonts w:ascii="Tahoma" w:eastAsia="Tahoma" w:hAnsi="Tahoma"/>
        </w:rPr>
        <w:t>if</w:t>
      </w:r>
      <w:r w:rsidRPr="5DD2C18A">
        <w:rPr>
          <w:rFonts w:ascii="Tahoma" w:eastAsia="Tahoma" w:hAnsi="Tahoma"/>
        </w:rPr>
        <w:t xml:space="preserve"> it is appropriate to report the non-attendance to Services Australia. </w:t>
      </w:r>
    </w:p>
    <w:p w14:paraId="5C3E72DD" w14:textId="0AC8BF86" w:rsidR="00D94A30" w:rsidRPr="00C96F22" w:rsidRDefault="00D94A30" w:rsidP="00D94A30">
      <w:pPr>
        <w:pStyle w:val="Heading5"/>
      </w:pPr>
      <w:r>
        <w:t xml:space="preserve">Assessing </w:t>
      </w:r>
      <w:r w:rsidR="00EF5A00">
        <w:t xml:space="preserve">if a Participant has a </w:t>
      </w:r>
      <w:r w:rsidR="001D3391">
        <w:t>r</w:t>
      </w:r>
      <w:r>
        <w:t xml:space="preserve">easonable </w:t>
      </w:r>
      <w:r w:rsidR="001D3391">
        <w:t>e</w:t>
      </w:r>
      <w:r>
        <w:t>xcuse</w:t>
      </w:r>
    </w:p>
    <w:p w14:paraId="31CED02F" w14:textId="37A7AA7E" w:rsidR="00733418" w:rsidRDefault="00733418" w:rsidP="00D94A30">
      <w:pPr>
        <w:rPr>
          <w:rFonts w:ascii="Tahoma" w:eastAsia="Tahoma" w:hAnsi="Tahoma"/>
        </w:rPr>
      </w:pPr>
      <w:r>
        <w:rPr>
          <w:rFonts w:ascii="Tahoma" w:eastAsia="Tahoma" w:hAnsi="Tahoma"/>
        </w:rPr>
        <w:t xml:space="preserve">A reasonable excuse would include </w:t>
      </w:r>
      <w:r>
        <w:t>circumstances beyond the Participant's control.</w:t>
      </w:r>
    </w:p>
    <w:p w14:paraId="62C9723B" w14:textId="34ADB75D" w:rsidR="00D94A30" w:rsidRPr="00986441" w:rsidRDefault="00D94A30" w:rsidP="00EF3DFD">
      <w:pPr>
        <w:keepNext/>
        <w:rPr>
          <w:rFonts w:ascii="Tahoma" w:eastAsia="Tahoma" w:hAnsi="Tahoma"/>
        </w:rPr>
      </w:pPr>
      <w:r w:rsidRPr="5DD2C18A">
        <w:rPr>
          <w:rFonts w:ascii="Tahoma" w:eastAsia="Tahoma" w:hAnsi="Tahoma"/>
        </w:rPr>
        <w:t xml:space="preserve">Providers must consider certain factors to find whether </w:t>
      </w:r>
      <w:r w:rsidR="00EF3DFD">
        <w:rPr>
          <w:rFonts w:ascii="Tahoma" w:eastAsia="Tahoma" w:hAnsi="Tahoma"/>
        </w:rPr>
        <w:t xml:space="preserve">or not </w:t>
      </w:r>
      <w:r w:rsidRPr="5DD2C18A">
        <w:rPr>
          <w:rFonts w:ascii="Tahoma" w:eastAsia="Tahoma" w:hAnsi="Tahoma"/>
        </w:rPr>
        <w:t xml:space="preserve">the </w:t>
      </w:r>
      <w:r w:rsidR="00A11008" w:rsidRPr="0DFD7869">
        <w:rPr>
          <w:rFonts w:ascii="Tahoma" w:eastAsia="Tahoma" w:hAnsi="Tahoma"/>
        </w:rPr>
        <w:t xml:space="preserve">DSP Recipient (Compulsory Requirements) </w:t>
      </w:r>
      <w:r w:rsidRPr="5DD2C18A">
        <w:rPr>
          <w:rFonts w:ascii="Tahoma" w:eastAsia="Tahoma" w:hAnsi="Tahoma"/>
        </w:rPr>
        <w:t xml:space="preserve">had a </w:t>
      </w:r>
      <w:r w:rsidR="00B83571">
        <w:rPr>
          <w:rFonts w:ascii="Tahoma" w:eastAsia="Tahoma" w:hAnsi="Tahoma"/>
        </w:rPr>
        <w:t>r</w:t>
      </w:r>
      <w:r w:rsidRPr="614010BB">
        <w:rPr>
          <w:rFonts w:ascii="Tahoma" w:eastAsia="Tahoma" w:hAnsi="Tahoma"/>
        </w:rPr>
        <w:t>easonable</w:t>
      </w:r>
      <w:r w:rsidRPr="5DD2C18A">
        <w:rPr>
          <w:rFonts w:ascii="Tahoma" w:eastAsia="Tahoma" w:hAnsi="Tahoma"/>
        </w:rPr>
        <w:t xml:space="preserve"> </w:t>
      </w:r>
      <w:r w:rsidR="00B83571">
        <w:rPr>
          <w:rFonts w:ascii="Tahoma" w:eastAsia="Tahoma" w:hAnsi="Tahoma"/>
        </w:rPr>
        <w:t>e</w:t>
      </w:r>
      <w:r w:rsidRPr="3DAB3489">
        <w:rPr>
          <w:rFonts w:ascii="Tahoma" w:eastAsia="Tahoma" w:hAnsi="Tahoma"/>
        </w:rPr>
        <w:t>xcuse</w:t>
      </w:r>
      <w:r w:rsidRPr="5DD2C18A">
        <w:rPr>
          <w:rFonts w:ascii="Tahoma" w:eastAsia="Tahoma" w:hAnsi="Tahoma"/>
        </w:rPr>
        <w:t>, including the Participant’s:</w:t>
      </w:r>
    </w:p>
    <w:p w14:paraId="65303B7D" w14:textId="42E408B2" w:rsidR="00D94A30" w:rsidRPr="008C1566" w:rsidRDefault="00D94A30" w:rsidP="004E120D">
      <w:pPr>
        <w:pStyle w:val="BulletLevel1"/>
      </w:pPr>
      <w:r w:rsidRPr="008C1566">
        <w:t>personal circumstances</w:t>
      </w:r>
    </w:p>
    <w:p w14:paraId="0667267F" w14:textId="1D350D9B" w:rsidR="00D94A30" w:rsidRPr="008C1566" w:rsidRDefault="00D94A30" w:rsidP="004E120D">
      <w:pPr>
        <w:pStyle w:val="BulletLevel1"/>
      </w:pPr>
      <w:r w:rsidRPr="008C1566">
        <w:t>system-recorded vulnerability indicators (if any)</w:t>
      </w:r>
    </w:p>
    <w:p w14:paraId="3E3C81D2" w14:textId="7FA27FB5" w:rsidR="00D94A30" w:rsidRPr="008C1566" w:rsidRDefault="00D94A30" w:rsidP="004E120D">
      <w:pPr>
        <w:pStyle w:val="BulletLevel1"/>
      </w:pPr>
      <w:r w:rsidRPr="008C1566">
        <w:t>recent compliance history, and</w:t>
      </w:r>
    </w:p>
    <w:p w14:paraId="324D2B28" w14:textId="530E153F" w:rsidR="00D94A30" w:rsidRPr="008C1566" w:rsidRDefault="00D94A30" w:rsidP="004E120D">
      <w:pPr>
        <w:pStyle w:val="BulletLevel1"/>
      </w:pPr>
      <w:r w:rsidRPr="008C1566">
        <w:t>any other information the Provider believes is relevant.</w:t>
      </w:r>
    </w:p>
    <w:p w14:paraId="557D7D83" w14:textId="1A949EF4" w:rsidR="00D94A30" w:rsidRDefault="00D94A30" w:rsidP="00D94A30">
      <w:pPr>
        <w:pStyle w:val="Heading4"/>
      </w:pPr>
      <w:bookmarkStart w:id="613" w:name="_Ref202784526"/>
      <w:bookmarkStart w:id="614" w:name="_Toc202900127"/>
      <w:r>
        <w:t>12.7.3</w:t>
      </w:r>
      <w:r w:rsidR="008C1566">
        <w:tab/>
      </w:r>
      <w:r>
        <w:t>Reporting DSP non-compliance</w:t>
      </w:r>
      <w:bookmarkEnd w:id="613"/>
      <w:bookmarkEnd w:id="614"/>
    </w:p>
    <w:p w14:paraId="4A44FE94" w14:textId="28FD7625" w:rsidR="00D94A30" w:rsidRDefault="00D94A30" w:rsidP="00D94A30">
      <w:pPr>
        <w:rPr>
          <w:rFonts w:ascii="Tahoma" w:eastAsia="Tahoma" w:hAnsi="Tahoma"/>
        </w:rPr>
      </w:pPr>
      <w:r w:rsidRPr="0DFD7869">
        <w:rPr>
          <w:rFonts w:ascii="Tahoma" w:eastAsia="Tahoma" w:hAnsi="Tahoma"/>
        </w:rPr>
        <w:t>If a Provider considers that a DSP Recipient (Compulsory Requirements) has failed to meet a reasonable requirement, the Provider:</w:t>
      </w:r>
    </w:p>
    <w:p w14:paraId="53E7547F" w14:textId="23CCF539" w:rsidR="00D94A30" w:rsidRPr="008C1566" w:rsidRDefault="00D94A30" w:rsidP="004E120D">
      <w:pPr>
        <w:pStyle w:val="BulletLevel1"/>
      </w:pPr>
      <w:r w:rsidRPr="79E49548">
        <w:t xml:space="preserve">must </w:t>
      </w:r>
      <w:r w:rsidRPr="008C1566">
        <w:t xml:space="preserve">consider </w:t>
      </w:r>
      <w:r w:rsidR="002555DF">
        <w:t>if</w:t>
      </w:r>
      <w:r w:rsidRPr="008C1566">
        <w:t xml:space="preserve"> the Participant had a </w:t>
      </w:r>
      <w:r w:rsidR="00227BE6">
        <w:t>r</w:t>
      </w:r>
      <w:r>
        <w:t xml:space="preserve">easonable </w:t>
      </w:r>
      <w:r w:rsidR="00227BE6">
        <w:t>e</w:t>
      </w:r>
      <w:r>
        <w:t>xcuse</w:t>
      </w:r>
      <w:r w:rsidRPr="008C1566">
        <w:t xml:space="preserve"> for the failure</w:t>
      </w:r>
    </w:p>
    <w:p w14:paraId="6CA17914" w14:textId="61C62DF3" w:rsidR="00D94A30" w:rsidRDefault="00D94A30" w:rsidP="004E120D">
      <w:pPr>
        <w:pStyle w:val="BulletLevel1"/>
      </w:pPr>
      <w:r w:rsidRPr="008C1566">
        <w:t>can choose t</w:t>
      </w:r>
      <w:r w:rsidRPr="7751327C">
        <w:t xml:space="preserve">o </w:t>
      </w:r>
      <w:bookmarkStart w:id="615" w:name="_Int_PJJfVvQ6"/>
      <w:r w:rsidRPr="7751327C">
        <w:t>submit</w:t>
      </w:r>
      <w:bookmarkEnd w:id="615"/>
      <w:r w:rsidRPr="7751327C">
        <w:t xml:space="preserve"> a </w:t>
      </w:r>
      <w:r w:rsidRPr="7751327C" w:rsidDel="00AC2DA2">
        <w:t xml:space="preserve">participation </w:t>
      </w:r>
      <w:r w:rsidRPr="7751327C">
        <w:t>report to Services Australia if they consider the Participant could reasonably have completed the requirement.</w:t>
      </w:r>
    </w:p>
    <w:p w14:paraId="09AEF885" w14:textId="7234FF08" w:rsidR="00D94A30" w:rsidRDefault="00D94A30" w:rsidP="00D94A30">
      <w:pPr>
        <w:rPr>
          <w:rFonts w:ascii="Tahoma" w:eastAsia="Tahoma" w:hAnsi="Tahoma"/>
        </w:rPr>
      </w:pPr>
      <w:r w:rsidRPr="7751327C">
        <w:rPr>
          <w:rFonts w:ascii="Tahoma" w:eastAsia="Tahoma" w:hAnsi="Tahoma"/>
        </w:rPr>
        <w:t xml:space="preserve">Where the Provider chooses to report the non-compliance, one of the following compliance reports must be </w:t>
      </w:r>
      <w:bookmarkStart w:id="616" w:name="_Int_ooHZgCJs"/>
      <w:r w:rsidRPr="7751327C">
        <w:rPr>
          <w:rFonts w:ascii="Tahoma" w:eastAsia="Tahoma" w:hAnsi="Tahoma"/>
        </w:rPr>
        <w:t>submitted</w:t>
      </w:r>
      <w:bookmarkEnd w:id="616"/>
      <w:r w:rsidRPr="7751327C">
        <w:rPr>
          <w:rFonts w:ascii="Tahoma" w:eastAsia="Tahoma" w:hAnsi="Tahoma"/>
        </w:rPr>
        <w:t xml:space="preserve"> to Services Australia </w:t>
      </w:r>
      <w:r w:rsidRPr="7751327C">
        <w:t>within 10 Business Days of the incident date</w:t>
      </w:r>
      <w:r w:rsidRPr="7751327C">
        <w:rPr>
          <w:rFonts w:ascii="Tahoma" w:eastAsia="Tahoma" w:hAnsi="Tahoma"/>
        </w:rPr>
        <w:t>:</w:t>
      </w:r>
    </w:p>
    <w:p w14:paraId="1880AA5C" w14:textId="0ADD9EB2" w:rsidR="00D94A30" w:rsidRPr="008C1566" w:rsidRDefault="00D94A30" w:rsidP="004E120D">
      <w:pPr>
        <w:pStyle w:val="BulletLevel1"/>
      </w:pPr>
      <w:r w:rsidRPr="008C1566">
        <w:t>DSP Appointment Report Diary (DARD) for failure to attend a Provider Appointment,</w:t>
      </w:r>
    </w:p>
    <w:p w14:paraId="1B144D10" w14:textId="731DB6DA" w:rsidR="00D94A30" w:rsidRPr="008C1566" w:rsidRDefault="00D94A30" w:rsidP="004E120D">
      <w:pPr>
        <w:pStyle w:val="BulletLevel1"/>
      </w:pPr>
      <w:r w:rsidRPr="008C1566">
        <w:t>DSP Activity Report (DACR) for failure to undertake compulsory Activity detailed in a Job Plan, or</w:t>
      </w:r>
    </w:p>
    <w:p w14:paraId="74DD16C8" w14:textId="069CA177" w:rsidR="00D94A30" w:rsidRPr="008C1566" w:rsidRDefault="00D94A30" w:rsidP="004E120D">
      <w:pPr>
        <w:pStyle w:val="BulletLevel1"/>
      </w:pPr>
      <w:r w:rsidRPr="008C1566">
        <w:t>DSP Appointment Report Job Plan (DARJ) for failure to agree to a Job Plan.</w:t>
      </w:r>
    </w:p>
    <w:p w14:paraId="60BFEACB" w14:textId="714E73F5" w:rsidR="00D94A30" w:rsidRPr="008C521B" w:rsidRDefault="00D94A30" w:rsidP="006F727E">
      <w:pPr>
        <w:pStyle w:val="SystemStep"/>
      </w:pPr>
      <w:r w:rsidRPr="7751327C">
        <w:t xml:space="preserve">The Provider must complete and </w:t>
      </w:r>
      <w:bookmarkStart w:id="617" w:name="_Int_yK2gXwvZ"/>
      <w:r w:rsidRPr="7751327C">
        <w:t>submit</w:t>
      </w:r>
      <w:bookmarkEnd w:id="617"/>
      <w:r w:rsidRPr="7751327C">
        <w:t xml:space="preserve"> the relevant compliance report to Services Australia through the Department’s IT Systems. </w:t>
      </w:r>
    </w:p>
    <w:p w14:paraId="3D9F5C91" w14:textId="5C35078E" w:rsidR="00D94A30" w:rsidRDefault="00D94A30" w:rsidP="00D94A30">
      <w:pPr>
        <w:rPr>
          <w:rFonts w:ascii="Tahoma" w:eastAsia="Tahoma" w:hAnsi="Tahoma"/>
        </w:rPr>
      </w:pPr>
      <w:r w:rsidRPr="0DFD7869">
        <w:rPr>
          <w:rFonts w:ascii="Tahoma" w:eastAsia="Tahoma" w:hAnsi="Tahoma"/>
        </w:rPr>
        <w:t>Services Australia will review any submitted compliance reports as part of its next Participation Interview with the Participant. These interviews usually occur every three months.</w:t>
      </w:r>
    </w:p>
    <w:p w14:paraId="25AEF2F4" w14:textId="7811DC37" w:rsidR="00D94A30" w:rsidRDefault="00D94A30" w:rsidP="00D94A30">
      <w:pPr>
        <w:rPr>
          <w:rFonts w:ascii="Tahoma" w:eastAsia="Tahoma" w:hAnsi="Tahoma"/>
        </w:rPr>
      </w:pPr>
      <w:r w:rsidRPr="5DD2C18A">
        <w:rPr>
          <w:rFonts w:ascii="Tahoma" w:eastAsia="Tahoma" w:hAnsi="Tahoma"/>
        </w:rPr>
        <w:t>Services Australia considers a range of factors when determining whether to act about a participation failure, including:</w:t>
      </w:r>
    </w:p>
    <w:p w14:paraId="43AB5108" w14:textId="563081AB" w:rsidR="00D94A30" w:rsidRPr="008C1566" w:rsidRDefault="002555DF" w:rsidP="004E120D">
      <w:pPr>
        <w:pStyle w:val="BulletLevel1"/>
      </w:pPr>
      <w:r>
        <w:t>if</w:t>
      </w:r>
      <w:r w:rsidR="00D94A30" w:rsidRPr="008C1566">
        <w:t xml:space="preserve"> the failed requirement was reasonable for the Participant’s circumstances</w:t>
      </w:r>
    </w:p>
    <w:p w14:paraId="1E508A4F" w14:textId="6AE690D8" w:rsidR="00D94A30" w:rsidRPr="008C1566" w:rsidRDefault="002555DF" w:rsidP="004E120D">
      <w:pPr>
        <w:pStyle w:val="BulletLevel1"/>
      </w:pPr>
      <w:r>
        <w:t>if</w:t>
      </w:r>
      <w:r w:rsidR="00D94A30" w:rsidRPr="008C1566">
        <w:t xml:space="preserve"> the Participant had an </w:t>
      </w:r>
      <w:r w:rsidR="00495DAF" w:rsidRPr="008C1566">
        <w:t>acceptable</w:t>
      </w:r>
      <w:r w:rsidR="00D94A30" w:rsidRPr="008C1566">
        <w:t xml:space="preserve"> </w:t>
      </w:r>
      <w:r w:rsidR="00495DAF" w:rsidRPr="008C1566">
        <w:t>reason</w:t>
      </w:r>
      <w:r w:rsidR="00D94A30" w:rsidRPr="008C1566">
        <w:t xml:space="preserve"> for not meeting the requirement</w:t>
      </w:r>
    </w:p>
    <w:p w14:paraId="12D6A97B" w14:textId="748C948B" w:rsidR="00D94A30" w:rsidRPr="008C1566" w:rsidRDefault="00D94A30" w:rsidP="004E120D">
      <w:pPr>
        <w:pStyle w:val="BulletLevel1"/>
      </w:pPr>
      <w:r w:rsidRPr="008C1566">
        <w:t>the Participant’s earlier compliance history, and</w:t>
      </w:r>
    </w:p>
    <w:p w14:paraId="503090AD" w14:textId="4B746AAF" w:rsidR="00D94A30" w:rsidRPr="008C1566" w:rsidRDefault="002555DF" w:rsidP="004E120D">
      <w:pPr>
        <w:pStyle w:val="BulletLevel1"/>
      </w:pPr>
      <w:r>
        <w:t>if</w:t>
      </w:r>
      <w:r w:rsidR="00D94A30" w:rsidRPr="008C1566">
        <w:t xml:space="preserve"> financial penalties are appropriate for the Participant.</w:t>
      </w:r>
    </w:p>
    <w:p w14:paraId="722B1124" w14:textId="44B8C480" w:rsidR="00D94A30" w:rsidRDefault="00D94A30" w:rsidP="00D94A30">
      <w:r w:rsidRPr="5DD2C18A">
        <w:rPr>
          <w:rFonts w:ascii="Tahoma" w:eastAsia="Tahoma" w:hAnsi="Tahoma"/>
        </w:rPr>
        <w:t>If Services Australia considers the Participant has not participated appropriately it can take a range of actions including financial penalties.</w:t>
      </w:r>
    </w:p>
    <w:p w14:paraId="793D792D" w14:textId="7F617CE6" w:rsidR="00D94A30" w:rsidRDefault="00D94A30" w:rsidP="00D94A30">
      <w:r w:rsidRPr="6055448A">
        <w:t>Providers should continue to set appropriate requirements for DSP Recipients (Compulsory Requirements)</w:t>
      </w:r>
      <w:r>
        <w:t xml:space="preserve"> on their Caseload,</w:t>
      </w:r>
      <w:r w:rsidRPr="6055448A">
        <w:t xml:space="preserve"> regardless of any actions taken by Services Australia.</w:t>
      </w:r>
    </w:p>
    <w:p w14:paraId="465EB127" w14:textId="4667CEC4" w:rsidR="00D94A30" w:rsidRDefault="00D94A30" w:rsidP="00D94A30">
      <w:r w:rsidRPr="72B7ACAD">
        <w:t xml:space="preserve">Where the Provider chooses not to report the non-compliance, they must use another engagement strategy to ensure the </w:t>
      </w:r>
      <w:r>
        <w:t>Participant</w:t>
      </w:r>
      <w:r w:rsidRPr="72B7ACAD">
        <w:t xml:space="preserve"> meets their requirements.</w:t>
      </w:r>
    </w:p>
    <w:p w14:paraId="39BEFE1C" w14:textId="02CD9916" w:rsidR="00D94A30" w:rsidRDefault="00D94A30" w:rsidP="00D94A30">
      <w:pPr>
        <w:pStyle w:val="Heading3"/>
      </w:pPr>
      <w:bookmarkStart w:id="618" w:name="_Toc202900128"/>
      <w:r>
        <w:t>12.8</w:t>
      </w:r>
      <w:r>
        <w:tab/>
        <w:t xml:space="preserve">Record </w:t>
      </w:r>
      <w:r w:rsidR="008C1566">
        <w:t>K</w:t>
      </w:r>
      <w:r>
        <w:t>eeping</w:t>
      </w:r>
      <w:bookmarkEnd w:id="618"/>
    </w:p>
    <w:p w14:paraId="6F2742F3" w14:textId="2C621237" w:rsidR="00D94A30" w:rsidRDefault="00D94A30" w:rsidP="00294EF7">
      <w:pPr>
        <w:keepNext/>
      </w:pPr>
      <w:r>
        <w:t>Providers must keep Documentary Evidence which is not kept on the Department’s IT Systems.</w:t>
      </w:r>
    </w:p>
    <w:p w14:paraId="504048C1" w14:textId="5127A406" w:rsidR="00D94A30" w:rsidRPr="00D861AE" w:rsidRDefault="00D94A30" w:rsidP="00294EF7">
      <w:pPr>
        <w:keepNext/>
      </w:pPr>
      <w:r>
        <w:t>Below is a summary of the Documentary Evidence requirements for this Chapter.</w:t>
      </w:r>
    </w:p>
    <w:p w14:paraId="4D340448" w14:textId="1BC70F0F" w:rsidR="00D94A30" w:rsidRDefault="00D94A30" w:rsidP="00294EF7">
      <w:pPr>
        <w:keepNext/>
        <w:rPr>
          <w:rFonts w:ascii="Tahoma" w:eastAsia="Tahoma" w:hAnsi="Tahoma"/>
          <w:b/>
          <w:bCs/>
        </w:rPr>
      </w:pPr>
      <w:r>
        <w:rPr>
          <w:rFonts w:ascii="Tahoma" w:eastAsia="Tahoma" w:hAnsi="Tahoma"/>
          <w:b/>
          <w:bCs/>
        </w:rPr>
        <w:t>For failure to meet the Meaningful Engagement Requirement</w:t>
      </w:r>
    </w:p>
    <w:p w14:paraId="6DCAD1A4" w14:textId="77777777" w:rsidR="000539C9" w:rsidRDefault="004B4AFB" w:rsidP="0079424A">
      <w:pPr>
        <w:pStyle w:val="DocumentaryEvidenceRequirement"/>
      </w:pPr>
      <w:r>
        <w:t xml:space="preserve">File note recording a summary of </w:t>
      </w:r>
      <w:r w:rsidR="00862630">
        <w:t>how the provider determined that the participant was</w:t>
      </w:r>
      <w:r w:rsidR="005F562A">
        <w:t xml:space="preserve"> not</w:t>
      </w:r>
      <w:r w:rsidR="00862630">
        <w:t xml:space="preserve"> meaningfully engaging</w:t>
      </w:r>
      <w:r w:rsidR="005F562A">
        <w:t xml:space="preserve"> and hence incurred a Meaningful Engagement Requirement failure</w:t>
      </w:r>
      <w:r w:rsidR="00862630">
        <w:t>.</w:t>
      </w:r>
    </w:p>
    <w:p w14:paraId="5F9514C6" w14:textId="0AA7823F" w:rsidR="00D94A30" w:rsidRPr="00575A99" w:rsidRDefault="00C2394D" w:rsidP="0079424A">
      <w:pPr>
        <w:pStyle w:val="DocumentaryEvidenceRequirement"/>
      </w:pPr>
      <w:r>
        <w:t xml:space="preserve">Any determination as to </w:t>
      </w:r>
      <w:r w:rsidR="002555DF">
        <w:t>if</w:t>
      </w:r>
      <w:r>
        <w:t xml:space="preserve"> a Pattern of Disengagement has been shown as determined by the provider.</w:t>
      </w:r>
      <w:r w:rsidR="00862630">
        <w:t xml:space="preserve"> </w:t>
      </w:r>
    </w:p>
    <w:p w14:paraId="754AC8DE" w14:textId="2CF46B45" w:rsidR="00D94A30" w:rsidRPr="00476FB5" w:rsidRDefault="00D94A30" w:rsidP="00D94A30">
      <w:pPr>
        <w:rPr>
          <w:rFonts w:ascii="Tahoma" w:eastAsia="Tahoma" w:hAnsi="Tahoma"/>
          <w:b/>
          <w:bCs/>
        </w:rPr>
      </w:pPr>
      <w:r w:rsidRPr="2B812D82">
        <w:rPr>
          <w:rFonts w:ascii="Tahoma" w:eastAsia="Tahoma" w:hAnsi="Tahoma"/>
          <w:b/>
          <w:bCs/>
        </w:rPr>
        <w:t>For</w:t>
      </w:r>
      <w:r>
        <w:rPr>
          <w:rFonts w:ascii="Tahoma" w:eastAsia="Tahoma" w:hAnsi="Tahoma"/>
          <w:b/>
          <w:bCs/>
        </w:rPr>
        <w:t xml:space="preserve"> </w:t>
      </w:r>
      <w:r w:rsidRPr="00F95863">
        <w:rPr>
          <w:rFonts w:ascii="Tahoma" w:eastAsia="Tahoma" w:hAnsi="Tahoma"/>
          <w:b/>
          <w:bCs/>
        </w:rPr>
        <w:t>Work Refusal Failures</w:t>
      </w:r>
      <w:r>
        <w:rPr>
          <w:rFonts w:ascii="Tahoma" w:eastAsia="Tahoma" w:hAnsi="Tahoma"/>
          <w:b/>
          <w:bCs/>
        </w:rPr>
        <w:t xml:space="preserve"> and Unemployment Failures</w:t>
      </w:r>
    </w:p>
    <w:p w14:paraId="5108DDCA" w14:textId="4251E485" w:rsidR="00D94A30" w:rsidRDefault="00D94A30" w:rsidP="0079424A">
      <w:pPr>
        <w:pStyle w:val="DocumentaryEvidenceRequirement"/>
      </w:pPr>
      <w:r w:rsidRPr="6055448A">
        <w:t>Depending on the failure or apparent failure, in addition to the evidence recoded in the Department’s IT Systems, Documentary Evidence could include:</w:t>
      </w:r>
    </w:p>
    <w:p w14:paraId="5C317303" w14:textId="68442C9F" w:rsidR="00D94A30" w:rsidRPr="00654B61" w:rsidRDefault="00D94A30" w:rsidP="004E120D">
      <w:pPr>
        <w:pStyle w:val="BulletLevel2"/>
      </w:pPr>
      <w:r>
        <w:t xml:space="preserve">the format of </w:t>
      </w:r>
      <w:r w:rsidRPr="00654B61">
        <w:t>the prior notification</w:t>
      </w:r>
    </w:p>
    <w:p w14:paraId="701611C1" w14:textId="335D7E54" w:rsidR="00D94A30" w:rsidRPr="00654B61" w:rsidRDefault="00D94A30" w:rsidP="004E120D">
      <w:pPr>
        <w:pStyle w:val="BulletLevel2"/>
      </w:pPr>
      <w:r w:rsidRPr="00654B61">
        <w:t>a hard copy of a manually prepared notification of the requirement</w:t>
      </w:r>
    </w:p>
    <w:p w14:paraId="19B406E3" w14:textId="3CB9A60C" w:rsidR="00D94A30" w:rsidRPr="00654B61" w:rsidRDefault="00D94A30" w:rsidP="004E120D">
      <w:pPr>
        <w:pStyle w:val="BulletLevel2"/>
      </w:pPr>
      <w:r w:rsidRPr="00654B61">
        <w:t>any relevant fully or partially completed Job Searches that do not meet quality standards</w:t>
      </w:r>
    </w:p>
    <w:p w14:paraId="2A78E9FD" w14:textId="05918A4F" w:rsidR="00D94A30" w:rsidRPr="00654B61" w:rsidRDefault="00D94A30" w:rsidP="004E120D">
      <w:pPr>
        <w:pStyle w:val="BulletLevel2"/>
      </w:pPr>
      <w:r w:rsidRPr="00654B61">
        <w:t>details of the relevant incident, including the parties involved and what occurred</w:t>
      </w:r>
    </w:p>
    <w:p w14:paraId="7BB5593C" w14:textId="3E7884BC" w:rsidR="00D94A30" w:rsidRPr="00654B61" w:rsidRDefault="00D94A30" w:rsidP="004E120D">
      <w:pPr>
        <w:pStyle w:val="BulletLevel2"/>
      </w:pPr>
      <w:r w:rsidRPr="00654B61">
        <w:t>Valid Reason assessments</w:t>
      </w:r>
    </w:p>
    <w:p w14:paraId="772D5A30" w14:textId="3CAD71F8" w:rsidR="00D94A30" w:rsidRPr="00654B61" w:rsidRDefault="00D94A30" w:rsidP="004E120D">
      <w:pPr>
        <w:pStyle w:val="BulletLevel2"/>
      </w:pPr>
      <w:r w:rsidRPr="00654B61">
        <w:t>notification of an Employment offer</w:t>
      </w:r>
    </w:p>
    <w:p w14:paraId="21E9EC55" w14:textId="7D6B5ECC" w:rsidR="00D94A30" w:rsidRPr="00654B61" w:rsidRDefault="00D94A30" w:rsidP="004E120D">
      <w:pPr>
        <w:pStyle w:val="BulletLevel2"/>
      </w:pPr>
      <w:r w:rsidRPr="00654B61">
        <w:t>details related to their Employment and/or Employer</w:t>
      </w:r>
      <w:r>
        <w:t>, or</w:t>
      </w:r>
    </w:p>
    <w:p w14:paraId="261C4D53" w14:textId="18B98B74" w:rsidR="00D94A30" w:rsidRPr="00476FB5" w:rsidRDefault="00D94A30" w:rsidP="004E120D">
      <w:pPr>
        <w:pStyle w:val="BulletLevel2"/>
      </w:pPr>
      <w:r w:rsidRPr="5DD2C18A">
        <w:t xml:space="preserve">details provided by a </w:t>
      </w:r>
      <w:r w:rsidR="00D46DA8">
        <w:t xml:space="preserve">Complementary </w:t>
      </w:r>
      <w:r w:rsidR="00FF55FC">
        <w:t>Services</w:t>
      </w:r>
      <w:r w:rsidR="00FF55FC" w:rsidRPr="5DD2C18A">
        <w:t xml:space="preserve"> </w:t>
      </w:r>
      <w:r w:rsidR="003041C4">
        <w:t>p</w:t>
      </w:r>
      <w:r>
        <w:t>rovider</w:t>
      </w:r>
      <w:r w:rsidRPr="5DD2C18A">
        <w:t>.</w:t>
      </w:r>
    </w:p>
    <w:p w14:paraId="26CF37D4" w14:textId="44FFBA73" w:rsidR="00D94A30" w:rsidRPr="00DA5BE3" w:rsidRDefault="00D94A30" w:rsidP="00D94A30">
      <w:pPr>
        <w:keepNext/>
        <w:rPr>
          <w:rFonts w:ascii="Tahoma" w:eastAsia="Tahoma" w:hAnsi="Tahoma"/>
          <w:b/>
          <w:bCs/>
        </w:rPr>
      </w:pPr>
      <w:r w:rsidRPr="00DA5BE3">
        <w:rPr>
          <w:rFonts w:ascii="Tahoma" w:eastAsia="Tahoma" w:hAnsi="Tahoma"/>
          <w:b/>
          <w:bCs/>
        </w:rPr>
        <w:t xml:space="preserve">For </w:t>
      </w:r>
      <w:r>
        <w:rPr>
          <w:rFonts w:ascii="Tahoma" w:eastAsia="Tahoma" w:hAnsi="Tahoma"/>
          <w:b/>
          <w:bCs/>
        </w:rPr>
        <w:t>DSP compliance reporting</w:t>
      </w:r>
    </w:p>
    <w:p w14:paraId="769D8F36" w14:textId="7252698E" w:rsidR="00D94A30" w:rsidRDefault="00D94A30" w:rsidP="0079424A">
      <w:pPr>
        <w:pStyle w:val="DocumentaryEvidenceRequirement"/>
        <w:rPr>
          <w:rFonts w:ascii="Tahoma" w:eastAsia="Tahoma" w:hAnsi="Tahoma"/>
        </w:rPr>
      </w:pPr>
      <w:r>
        <w:t>I</w:t>
      </w:r>
      <w:r w:rsidRPr="52F0E74A">
        <w:t xml:space="preserve">n addition to the evidence </w:t>
      </w:r>
      <w:r w:rsidRPr="00654B61">
        <w:t>recorded</w:t>
      </w:r>
      <w:r w:rsidRPr="52F0E74A">
        <w:t xml:space="preserve"> in the Department’s IT Systems</w:t>
      </w:r>
      <w:r>
        <w:rPr>
          <w:rFonts w:ascii="Tahoma" w:eastAsia="Tahoma" w:hAnsi="Tahoma"/>
        </w:rPr>
        <w:t>, Documentary Evidence could include:</w:t>
      </w:r>
    </w:p>
    <w:p w14:paraId="158C0A99" w14:textId="03A08CD5" w:rsidR="00D94A30" w:rsidRDefault="00D94A30" w:rsidP="004E120D">
      <w:pPr>
        <w:pStyle w:val="BulletLevel2"/>
      </w:pPr>
      <w:r>
        <w:t>the format of the prior notification</w:t>
      </w:r>
    </w:p>
    <w:p w14:paraId="387F4C5A" w14:textId="301A9E17" w:rsidR="00D94A30" w:rsidRPr="00476FB5" w:rsidRDefault="00D94A30" w:rsidP="004E120D">
      <w:pPr>
        <w:pStyle w:val="BulletLevel2"/>
      </w:pPr>
      <w:r w:rsidRPr="00476FB5">
        <w:t xml:space="preserve">a </w:t>
      </w:r>
      <w:r>
        <w:t xml:space="preserve">hard </w:t>
      </w:r>
      <w:r w:rsidRPr="00476FB5">
        <w:t xml:space="preserve">copy of </w:t>
      </w:r>
      <w:r>
        <w:t>a</w:t>
      </w:r>
      <w:r w:rsidRPr="00476FB5">
        <w:t xml:space="preserve"> manually prepared notification of the requirement</w:t>
      </w:r>
    </w:p>
    <w:p w14:paraId="06A0D817" w14:textId="5D42D5B7" w:rsidR="00D94A30" w:rsidRDefault="00D94A30" w:rsidP="004E120D">
      <w:pPr>
        <w:pStyle w:val="BulletLevel2"/>
      </w:pPr>
      <w:r w:rsidRPr="00476FB5">
        <w:t>details of the relevant incident, including the parties involved and what occurred</w:t>
      </w:r>
      <w:r>
        <w:t>, or</w:t>
      </w:r>
    </w:p>
    <w:p w14:paraId="638E9117" w14:textId="1F4C58DB" w:rsidR="00D94A30" w:rsidRDefault="00227BE6" w:rsidP="004E120D">
      <w:pPr>
        <w:pStyle w:val="BulletLevel2"/>
      </w:pPr>
      <w:r>
        <w:t>r</w:t>
      </w:r>
      <w:r w:rsidR="00D94A30">
        <w:t xml:space="preserve">easonable </w:t>
      </w:r>
      <w:r>
        <w:t>e</w:t>
      </w:r>
      <w:r w:rsidR="00D94A30">
        <w:t>xcuse assessments.</w:t>
      </w:r>
    </w:p>
    <w:p w14:paraId="6A63C47A" w14:textId="52BF0AC9" w:rsidR="00D74559" w:rsidRPr="00BA23D8" w:rsidRDefault="00D74559" w:rsidP="000335E0">
      <w:pPr>
        <w:pStyle w:val="Heading2"/>
      </w:pPr>
      <w:bookmarkStart w:id="619" w:name="_Ref202783502"/>
      <w:bookmarkStart w:id="620" w:name="_Ref202784245"/>
      <w:bookmarkStart w:id="621" w:name="_Ref202785047"/>
      <w:bookmarkStart w:id="622" w:name="_Toc202900129"/>
      <w:r w:rsidRPr="00BA23D8">
        <w:t>Chapter 13</w:t>
      </w:r>
      <w:r w:rsidR="00A61FB9">
        <w:t>:</w:t>
      </w:r>
      <w:r w:rsidR="004373EE">
        <w:tab/>
      </w:r>
      <w:r w:rsidRPr="00BA23D8">
        <w:t>Servicing Participants with challenging behaviours</w:t>
      </w:r>
      <w:bookmarkEnd w:id="619"/>
      <w:bookmarkEnd w:id="620"/>
      <w:bookmarkEnd w:id="621"/>
      <w:bookmarkEnd w:id="622"/>
    </w:p>
    <w:p w14:paraId="10756213" w14:textId="77777777" w:rsidR="00D74559" w:rsidRPr="00D84E3D" w:rsidRDefault="00D74559" w:rsidP="001D0F92">
      <w:pPr>
        <w:pStyle w:val="Heading-SupportingDocuments"/>
      </w:pPr>
      <w:r w:rsidRPr="7A4475E1">
        <w:t>Supporting Documents for this Chapter </w:t>
      </w:r>
    </w:p>
    <w:p w14:paraId="02404002" w14:textId="77777777" w:rsidR="00D74559" w:rsidRPr="007418AB" w:rsidRDefault="00D74559" w:rsidP="00620350">
      <w:pPr>
        <w:pStyle w:val="Bullet-SupportingDocument"/>
        <w:rPr>
          <w:rStyle w:val="Hyperlink"/>
          <w:rFonts w:ascii="Tahoma" w:eastAsia="Tahoma" w:hAnsi="Tahoma" w:cs="Tahoma"/>
          <w:szCs w:val="22"/>
        </w:rPr>
      </w:pPr>
      <w:r w:rsidRPr="007418AB">
        <w:rPr>
          <w:rStyle w:val="Hyperlink"/>
          <w:rFonts w:ascii="Tahoma" w:eastAsia="Tahoma" w:hAnsi="Tahoma" w:cs="Tahoma"/>
          <w:szCs w:val="22"/>
        </w:rPr>
        <w:t>Temporary Site Closures</w:t>
      </w:r>
    </w:p>
    <w:p w14:paraId="75E43CAD" w14:textId="77777777" w:rsidR="00D74559" w:rsidRPr="007418AB" w:rsidRDefault="00D74559" w:rsidP="00620350">
      <w:pPr>
        <w:pStyle w:val="Bullet-SupportingDocument"/>
        <w:rPr>
          <w:rStyle w:val="Hyperlink"/>
          <w:rFonts w:ascii="Tahoma" w:eastAsia="Tahoma" w:hAnsi="Tahoma" w:cs="Tahoma"/>
          <w:szCs w:val="22"/>
        </w:rPr>
      </w:pPr>
      <w:r w:rsidRPr="007418AB">
        <w:rPr>
          <w:rStyle w:val="Hyperlink"/>
          <w:rFonts w:ascii="Tahoma" w:eastAsia="Tahoma" w:hAnsi="Tahoma" w:cs="Tahoma"/>
          <w:szCs w:val="22"/>
        </w:rPr>
        <w:t>Provider Actions: Completing an Incident Report</w:t>
      </w:r>
    </w:p>
    <w:p w14:paraId="4FF8C2A4" w14:textId="4E43DCE2" w:rsidR="00D74559" w:rsidRPr="007418AB" w:rsidRDefault="0074799F" w:rsidP="00620350">
      <w:pPr>
        <w:pStyle w:val="Bullet-SupportingDocument"/>
        <w:rPr>
          <w:rStyle w:val="Hyperlink"/>
          <w:rFonts w:ascii="Tahoma" w:hAnsi="Tahoma"/>
        </w:rPr>
      </w:pPr>
      <w:r>
        <w:rPr>
          <w:rStyle w:val="Hyperlink"/>
          <w:rFonts w:ascii="Tahoma" w:eastAsia="Tahoma" w:hAnsi="Tahoma" w:cs="Tahoma"/>
          <w:szCs w:val="22"/>
        </w:rPr>
        <w:t>C</w:t>
      </w:r>
      <w:r w:rsidR="00D74559" w:rsidRPr="007418AB">
        <w:rPr>
          <w:rStyle w:val="Hyperlink"/>
          <w:rFonts w:ascii="Tahoma" w:eastAsia="Tahoma" w:hAnsi="Tahoma" w:cs="Tahoma"/>
          <w:szCs w:val="22"/>
        </w:rPr>
        <w:t>hallenging behaviour Incident Reporting Terminology</w:t>
      </w:r>
    </w:p>
    <w:p w14:paraId="154FFFD9" w14:textId="77777777" w:rsidR="00D74559" w:rsidRPr="007418AB" w:rsidRDefault="00D74559" w:rsidP="00620350">
      <w:pPr>
        <w:pStyle w:val="Bullet-SupportingDocument"/>
        <w:rPr>
          <w:rStyle w:val="Hyperlink"/>
          <w:rFonts w:ascii="Tahoma" w:eastAsia="Tahoma" w:hAnsi="Tahoma" w:cs="Tahoma"/>
        </w:rPr>
      </w:pPr>
      <w:r w:rsidRPr="78C988DE">
        <w:rPr>
          <w:rStyle w:val="Hyperlink"/>
          <w:rFonts w:ascii="Tahoma" w:eastAsia="Tahoma" w:hAnsi="Tahoma" w:cs="Tahoma"/>
        </w:rPr>
        <w:t>Managed Serviced Plan Arrangements letter template</w:t>
      </w:r>
    </w:p>
    <w:p w14:paraId="016F0996" w14:textId="6089E4E6" w:rsidR="78C988DE" w:rsidRDefault="6917567C" w:rsidP="78C988DE">
      <w:pPr>
        <w:pStyle w:val="Bullet-SupportingDocument"/>
        <w:rPr>
          <w:rStyle w:val="Hyperlink"/>
          <w:rFonts w:ascii="Tahoma" w:eastAsia="Tahoma" w:hAnsi="Tahoma" w:cs="Tahoma"/>
        </w:rPr>
      </w:pPr>
      <w:r>
        <w:rPr>
          <w:rStyle w:val="Hyperlink"/>
          <w:rFonts w:ascii="Tahoma" w:eastAsia="Tahoma" w:hAnsi="Tahoma" w:cs="Tahoma"/>
        </w:rPr>
        <w:t>Serious Incident Report form</w:t>
      </w:r>
    </w:p>
    <w:p w14:paraId="1D1AEE4D" w14:textId="49201A58" w:rsidR="0074799F" w:rsidRDefault="0074799F" w:rsidP="78C988DE">
      <w:pPr>
        <w:pStyle w:val="Bullet-SupportingDocument"/>
        <w:rPr>
          <w:rStyle w:val="Hyperlink"/>
          <w:rFonts w:ascii="Tahoma" w:eastAsia="Tahoma" w:hAnsi="Tahoma" w:cs="Tahoma"/>
        </w:rPr>
      </w:pPr>
      <w:r>
        <w:rPr>
          <w:rStyle w:val="Hyperlink"/>
          <w:rFonts w:ascii="Tahoma" w:eastAsia="Tahoma" w:hAnsi="Tahoma" w:cs="Tahoma"/>
        </w:rPr>
        <w:t>Sample letter for advising Participation of arrangements under Managed Serviced Plan [LINK]</w:t>
      </w:r>
    </w:p>
    <w:p w14:paraId="037D3AD6" w14:textId="3112934F" w:rsidR="00175240" w:rsidRDefault="00175240" w:rsidP="78C988DE">
      <w:pPr>
        <w:pStyle w:val="Bullet-SupportingDocument"/>
        <w:rPr>
          <w:rStyle w:val="Hyperlink"/>
          <w:rFonts w:ascii="Tahoma" w:eastAsia="Tahoma" w:hAnsi="Tahoma" w:cs="Tahoma"/>
        </w:rPr>
      </w:pPr>
      <w:r w:rsidRPr="00175240">
        <w:rPr>
          <w:rStyle w:val="Hyperlink"/>
          <w:rFonts w:ascii="Tahoma" w:eastAsia="Tahoma" w:hAnsi="Tahoma" w:cs="Tahoma"/>
        </w:rPr>
        <w:t>Public Interest Certificate (PIC) Guidelines [LINK]</w:t>
      </w:r>
    </w:p>
    <w:p w14:paraId="3916DB62" w14:textId="3A8A6C97" w:rsidR="00D74559" w:rsidRDefault="00D74559" w:rsidP="001D0F92">
      <w:pPr>
        <w:pStyle w:val="Heading3"/>
      </w:pPr>
      <w:bookmarkStart w:id="623" w:name="_Toc202900130"/>
      <w:r>
        <w:t>13.1</w:t>
      </w:r>
      <w:r w:rsidR="004373EE">
        <w:tab/>
      </w:r>
      <w:r>
        <w:t>Chapter Overview</w:t>
      </w:r>
      <w:bookmarkEnd w:id="623"/>
    </w:p>
    <w:p w14:paraId="3CEB173E" w14:textId="0E04AA2B" w:rsidR="00D74559" w:rsidRDefault="00D74559" w:rsidP="006E2EF5">
      <w:r w:rsidRPr="5BCE8B14">
        <w:t>This Chapter provides information for Providers on how to recognise and manage challenging behaviour</w:t>
      </w:r>
      <w:r>
        <w:t>s</w:t>
      </w:r>
      <w:r w:rsidRPr="5BCE8B14">
        <w:t xml:space="preserve">. It includes information on how to provide safe and ongoing </w:t>
      </w:r>
      <w:r w:rsidR="00E06DE6">
        <w:t>S</w:t>
      </w:r>
      <w:r w:rsidRPr="5BCE8B14">
        <w:t>ervices to Participants with challenging behaviours so that they can remain connected with Services and (where applicable) meet their Mutual Obligation Requirements, while limiting risks to the safety of Provider staff, other Participants and property.</w:t>
      </w:r>
    </w:p>
    <w:p w14:paraId="21E77ACB" w14:textId="6808D613" w:rsidR="00D74559" w:rsidRDefault="00D74559" w:rsidP="006E2EF5">
      <w:r w:rsidRPr="5BCE8B14">
        <w:t xml:space="preserve">All Providers are responsible for ensuring people’s safety on their premises and that the Services they deliver are safe. Providers can adapt the strategies in this Chapter to meet their own circumstances. This Chapter supplements, but does not replace, Provider internal operational policies and procedures. </w:t>
      </w:r>
      <w:r w:rsidRPr="5BCE8B14">
        <w:rPr>
          <w:rFonts w:ascii="Tahoma" w:eastAsia="Tahoma" w:hAnsi="Tahoma"/>
        </w:rPr>
        <w:t>Providers are responsible for informing themselves of their relevant legal and Deed obligations, including relevant Work Health and Safety (WHS) and Privacy Laws, and compliance with these obligations</w:t>
      </w:r>
      <w:r w:rsidRPr="5BCE8B14">
        <w:t xml:space="preserve">. This Chapter does not cover WHS </w:t>
      </w:r>
      <w:r>
        <w:t>I</w:t>
      </w:r>
      <w:r w:rsidRPr="5BCE8B14">
        <w:t xml:space="preserve">ncidents. For WHS </w:t>
      </w:r>
      <w:r>
        <w:t>I</w:t>
      </w:r>
      <w:r w:rsidRPr="5BCE8B14">
        <w:t>ncidents refer to</w:t>
      </w:r>
      <w:r w:rsidR="002C7B9C">
        <w:t xml:space="preserve"> </w:t>
      </w:r>
      <w:r w:rsidR="002C7B9C">
        <w:rPr>
          <w:highlight w:val="yellow"/>
        </w:rPr>
        <w:fldChar w:fldCharType="begin"/>
      </w:r>
      <w:r w:rsidR="002C7B9C">
        <w:instrText xml:space="preserve"> REF _Ref202787816 \h </w:instrText>
      </w:r>
      <w:r w:rsidR="002C7B9C">
        <w:rPr>
          <w:highlight w:val="yellow"/>
        </w:rPr>
      </w:r>
      <w:r w:rsidR="002C7B9C">
        <w:rPr>
          <w:highlight w:val="yellow"/>
        </w:rPr>
        <w:fldChar w:fldCharType="separate"/>
      </w:r>
      <w:r w:rsidR="000D75AE" w:rsidRPr="00BA23D8">
        <w:t>Chapter 7</w:t>
      </w:r>
      <w:r w:rsidR="000D75AE">
        <w:t xml:space="preserve">: </w:t>
      </w:r>
      <w:r w:rsidR="000D75AE" w:rsidRPr="00BA23D8">
        <w:t>Activities</w:t>
      </w:r>
      <w:r w:rsidR="002C7B9C">
        <w:rPr>
          <w:highlight w:val="yellow"/>
        </w:rPr>
        <w:fldChar w:fldCharType="end"/>
      </w:r>
      <w:r w:rsidRPr="5BCE8B14">
        <w:t>.</w:t>
      </w:r>
    </w:p>
    <w:p w14:paraId="485E8C58" w14:textId="7804AFFD" w:rsidR="00D74559" w:rsidRPr="00F90E00" w:rsidRDefault="00D74559" w:rsidP="001D0F92">
      <w:pPr>
        <w:pStyle w:val="Heading3"/>
      </w:pPr>
      <w:bookmarkStart w:id="624" w:name="_Toc95927042"/>
      <w:bookmarkStart w:id="625" w:name="_Toc202900131"/>
      <w:r>
        <w:t>13.2</w:t>
      </w:r>
      <w:r w:rsidR="004373EE">
        <w:tab/>
      </w:r>
      <w:r>
        <w:t>Recognising challenging behaviour</w:t>
      </w:r>
      <w:bookmarkEnd w:id="624"/>
      <w:bookmarkEnd w:id="625"/>
    </w:p>
    <w:p w14:paraId="6E3AFA8F" w14:textId="77777777" w:rsidR="00D74559" w:rsidRPr="00E62C75" w:rsidRDefault="00D74559" w:rsidP="006E2EF5">
      <w:r>
        <w:t>Challenging behaviour is any behaviour that is unacceptable or hostile and that creates an intimidating, frightening, threatening, offensive or physically dangerous situation in the workplace or other location.</w:t>
      </w:r>
    </w:p>
    <w:p w14:paraId="67AB440C" w14:textId="77777777" w:rsidR="00D74559" w:rsidRDefault="00D74559" w:rsidP="006E2EF5">
      <w:r>
        <w:t>Challenging behaviour:</w:t>
      </w:r>
    </w:p>
    <w:p w14:paraId="305E6331" w14:textId="4E8AE962" w:rsidR="00D74559" w:rsidRDefault="002C7B9C" w:rsidP="002C7B9C">
      <w:pPr>
        <w:pStyle w:val="BulletLevel1"/>
      </w:pPr>
      <w:r>
        <w:t>c</w:t>
      </w:r>
      <w:r w:rsidR="00D74559">
        <w:t>an be verbal or physical aggression, self-harm, property damage, non-compliance or disruptive depending on the context and the person</w:t>
      </w:r>
    </w:p>
    <w:p w14:paraId="301018AE" w14:textId="19FD9D10" w:rsidR="00D74559" w:rsidRDefault="002C7B9C" w:rsidP="002C7B9C">
      <w:pPr>
        <w:pStyle w:val="BulletLevel1"/>
      </w:pPr>
      <w:r>
        <w:t>c</w:t>
      </w:r>
      <w:r w:rsidR="00D74559" w:rsidRPr="7A4475E1">
        <w:t xml:space="preserve">an pose a risk of harm to the </w:t>
      </w:r>
      <w:r w:rsidR="00D74559">
        <w:t>Participant</w:t>
      </w:r>
      <w:r w:rsidR="00D74559" w:rsidRPr="7A4475E1">
        <w:t>, others or property</w:t>
      </w:r>
    </w:p>
    <w:p w14:paraId="748FA8CB" w14:textId="7415AB91" w:rsidR="00D74559" w:rsidRDefault="002C7B9C" w:rsidP="002C7B9C">
      <w:pPr>
        <w:pStyle w:val="BulletLevel1"/>
      </w:pPr>
      <w:r>
        <w:t>c</w:t>
      </w:r>
      <w:r w:rsidR="00D74559" w:rsidRPr="7A4475E1">
        <w:t>an be impacted by the physical setting, or topic or tone of discussion</w:t>
      </w:r>
      <w:r>
        <w:t>, and/or</w:t>
      </w:r>
    </w:p>
    <w:p w14:paraId="464B6EEE" w14:textId="04E5215B" w:rsidR="00D74559" w:rsidRDefault="002C7B9C" w:rsidP="002C7B9C">
      <w:pPr>
        <w:pStyle w:val="BulletLevel1"/>
      </w:pPr>
      <w:r>
        <w:t>c</w:t>
      </w:r>
      <w:r w:rsidR="00D74559" w:rsidRPr="7A4475E1">
        <w:t>an stem from underlying causes like, low literacy or communication, sensory issues, loss of or low hearing, emotional distress, health and wellbeing including mental health</w:t>
      </w:r>
      <w:r w:rsidR="00400C6B">
        <w:t xml:space="preserve"> </w:t>
      </w:r>
    </w:p>
    <w:p w14:paraId="56EB6B9D" w14:textId="77777777" w:rsidR="00D74559" w:rsidRPr="00E62C75" w:rsidRDefault="00D74559" w:rsidP="006E2EF5">
      <w:r w:rsidRPr="7A4475E1">
        <w:t xml:space="preserve">A Participant may exhibit the following </w:t>
      </w:r>
      <w:r>
        <w:t>challenging behaviours</w:t>
      </w:r>
      <w:r w:rsidRPr="7A4475E1">
        <w:t>:</w:t>
      </w:r>
    </w:p>
    <w:p w14:paraId="208C46FF" w14:textId="77777777" w:rsidR="00D74559" w:rsidRPr="00E62C75" w:rsidRDefault="00D74559" w:rsidP="004E120D">
      <w:pPr>
        <w:pStyle w:val="BulletLevel1"/>
      </w:pPr>
      <w:r w:rsidRPr="7A4475E1">
        <w:t xml:space="preserve">physical violence against any person such as hitting, kicking, punching, spitting or throwing objects </w:t>
      </w:r>
    </w:p>
    <w:p w14:paraId="408C59C3" w14:textId="77777777" w:rsidR="00D74559" w:rsidRDefault="00D74559" w:rsidP="004E120D">
      <w:pPr>
        <w:pStyle w:val="BulletLevel1"/>
      </w:pPr>
      <w:r>
        <w:t>physical abuse, sexual abuse or harassment, inappropriate touching or stalking of staff members or other Participants including intimidation that leads another to feel an immediate or immanent threat of personal safety</w:t>
      </w:r>
    </w:p>
    <w:p w14:paraId="635C5F5C" w14:textId="77A1F329" w:rsidR="00D74559" w:rsidRDefault="00D74559" w:rsidP="004E120D">
      <w:pPr>
        <w:pStyle w:val="BulletLevel1"/>
      </w:pPr>
      <w:r>
        <w:t xml:space="preserve">verbal or written threats to self or others over </w:t>
      </w:r>
      <w:r w:rsidR="00F731F9">
        <w:t>a</w:t>
      </w:r>
      <w:r>
        <w:t xml:space="preserve"> </w:t>
      </w:r>
      <w:r w:rsidR="00D9789A">
        <w:t>phone</w:t>
      </w:r>
      <w:r w:rsidR="00F731F9">
        <w:t xml:space="preserve"> call</w:t>
      </w:r>
      <w:r w:rsidR="003A6479">
        <w:t xml:space="preserve"> or videoconference</w:t>
      </w:r>
      <w:r>
        <w:t>, in person, or via letter, email or social media and may include swearing, offensive noises or gestures, inappropriate or suggestive comments</w:t>
      </w:r>
    </w:p>
    <w:p w14:paraId="69C33E3C" w14:textId="77777777" w:rsidR="00D74559" w:rsidRDefault="00D74559" w:rsidP="004E120D">
      <w:pPr>
        <w:pStyle w:val="BulletLevel1"/>
      </w:pPr>
      <w:r>
        <w:t>t</w:t>
      </w:r>
      <w:r w:rsidRPr="7A4475E1">
        <w:t>aking a physical stance or creating something that poses a serious or immediate threat of violence</w:t>
      </w:r>
    </w:p>
    <w:p w14:paraId="023780A2" w14:textId="77777777" w:rsidR="00D74559" w:rsidRPr="00527345" w:rsidRDefault="00D74559" w:rsidP="004E120D">
      <w:pPr>
        <w:pStyle w:val="BulletLevel1"/>
      </w:pPr>
      <w:r>
        <w:t>i</w:t>
      </w:r>
      <w:r w:rsidRPr="007E7AB0">
        <w:t>ntentionally damaging, defacing,</w:t>
      </w:r>
      <w:r w:rsidRPr="007E7AB0">
        <w:rPr>
          <w:color w:val="334155"/>
        </w:rPr>
        <w:t xml:space="preserve"> or destroying property </w:t>
      </w:r>
      <w:r>
        <w:t>theft of property, undertaking illegal actions on the Provider’s premises, use of the Provider’s equipment and/or property for illegal purposes, and/or</w:t>
      </w:r>
    </w:p>
    <w:p w14:paraId="264E6B7E" w14:textId="77777777" w:rsidR="00D74559" w:rsidRPr="00527345" w:rsidRDefault="00D74559" w:rsidP="004E120D">
      <w:pPr>
        <w:pStyle w:val="BulletLevel1"/>
      </w:pPr>
      <w:r>
        <w:t xml:space="preserve">causing injury to oneself - for example, cutting or indications of suicide or self-harm. </w:t>
      </w:r>
    </w:p>
    <w:p w14:paraId="297E93CC" w14:textId="48952B9A" w:rsidR="00D74559" w:rsidRPr="00F90E00" w:rsidRDefault="00D74559" w:rsidP="001D0F92">
      <w:pPr>
        <w:pStyle w:val="Heading3"/>
      </w:pPr>
      <w:bookmarkStart w:id="626" w:name="_Managing_a_challenging"/>
      <w:bookmarkStart w:id="627" w:name="_Toc95927043"/>
      <w:bookmarkStart w:id="628" w:name="_Toc202900132"/>
      <w:bookmarkEnd w:id="626"/>
      <w:r>
        <w:t>13.3</w:t>
      </w:r>
      <w:r w:rsidR="004373EE">
        <w:tab/>
      </w:r>
      <w:r>
        <w:t>Managing a challenging behaviour Incident</w:t>
      </w:r>
      <w:bookmarkEnd w:id="627"/>
      <w:bookmarkEnd w:id="628"/>
    </w:p>
    <w:p w14:paraId="77F8CD7A" w14:textId="77777777" w:rsidR="00D74559" w:rsidRPr="00E62C75" w:rsidRDefault="00D74559" w:rsidP="006E2EF5">
      <w:r w:rsidRPr="5BCE8B14">
        <w:t xml:space="preserve">The Department views the safety of Provider staff and Participants as </w:t>
      </w:r>
      <w:bookmarkStart w:id="629" w:name="_Int_aB93CT8V"/>
      <w:r w:rsidRPr="5BCE8B14">
        <w:t>a priority</w:t>
      </w:r>
      <w:bookmarkEnd w:id="629"/>
      <w:r w:rsidRPr="5BCE8B14">
        <w:t xml:space="preserve"> and acknowledges that Providers have a wide variety of expertise and arrangements in place to address safety concerns and challenging behaviours. </w:t>
      </w:r>
    </w:p>
    <w:p w14:paraId="1EEFAF64" w14:textId="410E5231" w:rsidR="00D74559" w:rsidRPr="00E62C75" w:rsidRDefault="00D74559" w:rsidP="006E2EF5">
      <w:r w:rsidRPr="5BCE8B14">
        <w:t xml:space="preserve">Providers are responsible for people’s safety on their premises and that the Services they deliver are carried out safely. Where challenging behaviour is observed, Providers should consider </w:t>
      </w:r>
      <w:r w:rsidR="002555DF">
        <w:t>if</w:t>
      </w:r>
      <w:r w:rsidRPr="5BCE8B14">
        <w:t xml:space="preserve"> police involvement is required and are encouraged to contact police if they believe assistance from emergency services is necessary.</w:t>
      </w:r>
    </w:p>
    <w:p w14:paraId="6C2862B9" w14:textId="14058393" w:rsidR="00D74559" w:rsidRPr="0018030D" w:rsidRDefault="00D74559" w:rsidP="001D0F92">
      <w:pPr>
        <w:pStyle w:val="Heading4"/>
      </w:pPr>
      <w:bookmarkStart w:id="630" w:name="_Toc202900133"/>
      <w:r w:rsidRPr="2FDAC200">
        <w:t>13.3.1</w:t>
      </w:r>
      <w:r w:rsidR="004373EE">
        <w:tab/>
      </w:r>
      <w:r w:rsidRPr="2FDAC200">
        <w:t xml:space="preserve">Maintaining an </w:t>
      </w:r>
      <w:r>
        <w:t>I</w:t>
      </w:r>
      <w:r w:rsidRPr="2FDAC200">
        <w:t xml:space="preserve">ncident </w:t>
      </w:r>
      <w:r w:rsidR="00A178EE">
        <w:t>M</w:t>
      </w:r>
      <w:r w:rsidRPr="2FDAC200">
        <w:t xml:space="preserve">anagement </w:t>
      </w:r>
      <w:r w:rsidR="00A178EE">
        <w:t>P</w:t>
      </w:r>
      <w:r w:rsidRPr="2FDAC200">
        <w:t>lan</w:t>
      </w:r>
      <w:bookmarkEnd w:id="630"/>
    </w:p>
    <w:p w14:paraId="6460336A" w14:textId="51AD8A1F" w:rsidR="00D74559" w:rsidRDefault="00D74559" w:rsidP="006E2EF5">
      <w:r w:rsidRPr="7A4475E1">
        <w:t xml:space="preserve">It is the Provider’s responsibility to have an </w:t>
      </w:r>
      <w:r>
        <w:t>I</w:t>
      </w:r>
      <w:r w:rsidRPr="7A4475E1">
        <w:t xml:space="preserve">ncident </w:t>
      </w:r>
      <w:r w:rsidR="00B73A78">
        <w:t>M</w:t>
      </w:r>
      <w:r w:rsidRPr="7A4475E1">
        <w:t xml:space="preserve">anagement </w:t>
      </w:r>
      <w:r w:rsidR="00B73A78">
        <w:t>P</w:t>
      </w:r>
      <w:r w:rsidRPr="7A4475E1">
        <w:t xml:space="preserve">lan in place that outlines its approach to managing situations where Participants, staff or visitors display challenging behaviours, or where Provider staff identify that a situation has the potential to escalate to become an </w:t>
      </w:r>
      <w:r>
        <w:t>I</w:t>
      </w:r>
      <w:r w:rsidRPr="7A4475E1">
        <w:t>ncident. Providers must provide a copy of this plan upon the Department’s request.</w:t>
      </w:r>
    </w:p>
    <w:p w14:paraId="59A14C0A" w14:textId="6368589D" w:rsidR="00D74559" w:rsidRPr="00E62C75" w:rsidRDefault="00D74559" w:rsidP="001D0F92">
      <w:pPr>
        <w:pStyle w:val="Heading4"/>
      </w:pPr>
      <w:bookmarkStart w:id="631" w:name="_Toc202900134"/>
      <w:bookmarkStart w:id="632" w:name="_Ref202954017"/>
      <w:r w:rsidRPr="2FDAC200">
        <w:t>13.3.2</w:t>
      </w:r>
      <w:r w:rsidR="004373EE">
        <w:tab/>
      </w:r>
      <w:r w:rsidRPr="2FDAC200">
        <w:t>General considerations</w:t>
      </w:r>
      <w:bookmarkEnd w:id="631"/>
      <w:bookmarkEnd w:id="632"/>
    </w:p>
    <w:p w14:paraId="1BEEF001" w14:textId="77777777" w:rsidR="00D74559" w:rsidRPr="00C1193C" w:rsidRDefault="00D74559" w:rsidP="006E2EF5">
      <w:pPr>
        <w:rPr>
          <w:rFonts w:ascii="Tahoma" w:eastAsia="Tahoma" w:hAnsi="Tahoma" w:cs="Tahoma"/>
          <w:szCs w:val="22"/>
        </w:rPr>
      </w:pPr>
      <w:r w:rsidRPr="00C1193C">
        <w:t xml:space="preserve">Strategies may differ between Providers and their Sites. </w:t>
      </w:r>
      <w:r w:rsidRPr="007E7AB0">
        <w:rPr>
          <w:rFonts w:ascii="Tahoma" w:eastAsia="Tahoma" w:hAnsi="Tahoma" w:cs="Tahoma"/>
        </w:rPr>
        <w:t xml:space="preserve">Participants have different situations. Many factors can cause challenging behaviour. This also affects which strategy works best to manage that </w:t>
      </w:r>
      <w:r w:rsidRPr="007E7AB0">
        <w:rPr>
          <w:rFonts w:ascii="Tahoma" w:eastAsia="Tahoma" w:hAnsi="Tahoma" w:cs="Tahoma"/>
          <w:szCs w:val="22"/>
        </w:rPr>
        <w:t>behaviour.</w:t>
      </w:r>
    </w:p>
    <w:p w14:paraId="387A1E12" w14:textId="77777777" w:rsidR="00D74559" w:rsidRPr="00C1193C" w:rsidRDefault="00D74559" w:rsidP="006E2EF5">
      <w:pPr>
        <w:rPr>
          <w:rFonts w:ascii="Tahoma" w:eastAsia="Tahoma" w:hAnsi="Tahoma" w:cs="Tahoma"/>
        </w:rPr>
      </w:pPr>
      <w:r w:rsidRPr="007E7AB0">
        <w:rPr>
          <w:rFonts w:ascii="Tahoma" w:eastAsia="Tahoma" w:hAnsi="Tahoma" w:cs="Tahoma"/>
        </w:rPr>
        <w:t xml:space="preserve">When </w:t>
      </w:r>
      <w:r>
        <w:rPr>
          <w:rFonts w:ascii="Tahoma" w:eastAsia="Tahoma" w:hAnsi="Tahoma" w:cs="Tahoma"/>
        </w:rPr>
        <w:t>Provider</w:t>
      </w:r>
      <w:r w:rsidRPr="007E7AB0">
        <w:rPr>
          <w:rFonts w:ascii="Tahoma" w:eastAsia="Tahoma" w:hAnsi="Tahoma" w:cs="Tahoma"/>
        </w:rPr>
        <w:t>s face challenging behaviour</w:t>
      </w:r>
      <w:r>
        <w:rPr>
          <w:rFonts w:ascii="Tahoma" w:eastAsia="Tahoma" w:hAnsi="Tahoma" w:cs="Tahoma"/>
        </w:rPr>
        <w:t>s</w:t>
      </w:r>
      <w:r w:rsidRPr="007E7AB0">
        <w:rPr>
          <w:rFonts w:ascii="Tahoma" w:eastAsia="Tahoma" w:hAnsi="Tahoma" w:cs="Tahoma"/>
        </w:rPr>
        <w:t xml:space="preserve">, they might want to talk to the </w:t>
      </w:r>
      <w:r>
        <w:rPr>
          <w:rFonts w:ascii="Tahoma" w:eastAsia="Tahoma" w:hAnsi="Tahoma" w:cs="Tahoma"/>
        </w:rPr>
        <w:t>P</w:t>
      </w:r>
      <w:r w:rsidRPr="007E7AB0">
        <w:rPr>
          <w:rFonts w:ascii="Tahoma" w:eastAsia="Tahoma" w:hAnsi="Tahoma" w:cs="Tahoma"/>
        </w:rPr>
        <w:t>articipant about it</w:t>
      </w:r>
      <w:r>
        <w:t xml:space="preserve">. Participants have the right to ask questions. </w:t>
      </w:r>
      <w:r w:rsidRPr="007E7AB0">
        <w:rPr>
          <w:rFonts w:ascii="Tahoma" w:eastAsia="Tahoma" w:hAnsi="Tahoma" w:cs="Tahoma"/>
        </w:rPr>
        <w:t xml:space="preserve">They can also share their thoughts on their rights and </w:t>
      </w:r>
      <w:r>
        <w:rPr>
          <w:rFonts w:ascii="Tahoma" w:eastAsia="Tahoma" w:hAnsi="Tahoma" w:cs="Tahoma"/>
        </w:rPr>
        <w:t>support required</w:t>
      </w:r>
      <w:r w:rsidRPr="007E7AB0">
        <w:rPr>
          <w:rFonts w:ascii="Tahoma" w:eastAsia="Tahoma" w:hAnsi="Tahoma" w:cs="Tahoma"/>
        </w:rPr>
        <w:t>.</w:t>
      </w:r>
      <w:r>
        <w:t xml:space="preserve"> In these situations, </w:t>
      </w:r>
      <w:r w:rsidRPr="007E7AB0">
        <w:rPr>
          <w:rFonts w:ascii="Tahoma" w:eastAsia="Tahoma" w:hAnsi="Tahoma" w:cs="Tahoma"/>
        </w:rPr>
        <w:t>Participants should not be seen as showing challenging behaviours if they are not being abusive or using offensive language.</w:t>
      </w:r>
    </w:p>
    <w:p w14:paraId="3FE06BDC" w14:textId="77777777" w:rsidR="00D74559" w:rsidRPr="00C1193C" w:rsidRDefault="00D74559" w:rsidP="006E2EF5">
      <w:pPr>
        <w:rPr>
          <w:rFonts w:ascii="Tahoma" w:eastAsia="Tahoma" w:hAnsi="Tahoma" w:cs="Tahoma"/>
        </w:rPr>
      </w:pPr>
      <w:r w:rsidRPr="007E7AB0">
        <w:rPr>
          <w:rFonts w:ascii="Tahoma" w:eastAsia="Tahoma" w:hAnsi="Tahoma" w:cs="Tahoma"/>
        </w:rPr>
        <w:t xml:space="preserve">If a Participant shows challenging behaviour during an </w:t>
      </w:r>
      <w:r>
        <w:rPr>
          <w:rFonts w:ascii="Tahoma" w:eastAsia="Tahoma" w:hAnsi="Tahoma" w:cs="Tahoma"/>
        </w:rPr>
        <w:t>A</w:t>
      </w:r>
      <w:r w:rsidRPr="007E7AB0">
        <w:rPr>
          <w:rFonts w:ascii="Tahoma" w:eastAsia="Tahoma" w:hAnsi="Tahoma" w:cs="Tahoma"/>
        </w:rPr>
        <w:t xml:space="preserve">ctivity, the Provider should act appropriately. This action should follow the situation, these Guidelines, the Deed, and </w:t>
      </w:r>
      <w:r>
        <w:rPr>
          <w:rFonts w:ascii="Tahoma" w:eastAsia="Tahoma" w:hAnsi="Tahoma" w:cs="Tahoma"/>
        </w:rPr>
        <w:t>WHS</w:t>
      </w:r>
      <w:r w:rsidRPr="007E7AB0">
        <w:rPr>
          <w:rFonts w:ascii="Tahoma" w:eastAsia="Tahoma" w:hAnsi="Tahoma" w:cs="Tahoma"/>
        </w:rPr>
        <w:t xml:space="preserve"> Laws.</w:t>
      </w:r>
    </w:p>
    <w:p w14:paraId="1F96B02A" w14:textId="47A355BA" w:rsidR="00D74559" w:rsidRPr="00416C0A" w:rsidRDefault="00D74559" w:rsidP="001D0F92">
      <w:pPr>
        <w:pStyle w:val="Heading4"/>
      </w:pPr>
      <w:bookmarkStart w:id="633" w:name="_Toc95927047"/>
      <w:bookmarkStart w:id="634" w:name="_Toc202900135"/>
      <w:r w:rsidRPr="2FDAC200">
        <w:t>13.3.3</w:t>
      </w:r>
      <w:r w:rsidR="004373EE">
        <w:tab/>
      </w:r>
      <w:r w:rsidRPr="2FDAC200">
        <w:t>Immediate notification requirement</w:t>
      </w:r>
      <w:bookmarkEnd w:id="633"/>
      <w:bookmarkEnd w:id="634"/>
    </w:p>
    <w:p w14:paraId="72F0FB8B" w14:textId="6F04D1B0" w:rsidR="00D74559" w:rsidRPr="00E62C75" w:rsidRDefault="00D74559" w:rsidP="006E2EF5">
      <w:r w:rsidRPr="7A4475E1">
        <w:rPr>
          <w:rFonts w:ascii="Tahoma" w:eastAsia="Tahoma" w:hAnsi="Tahoma" w:cs="Tahoma"/>
        </w:rPr>
        <w:t>Where there is a real and imminent threat to the safety of a Participant, person or property call 000 immediately and answer / follow instructions of the operator</w:t>
      </w:r>
      <w:r>
        <w:t xml:space="preserve">, then when it is safe to do so, as soon as practical </w:t>
      </w:r>
      <w:r w:rsidR="00990BE5">
        <w:t>after</w:t>
      </w:r>
      <w:r>
        <w:t xml:space="preserve"> the Incident follow the Public Interest Certificate (PIC) requirements (</w:t>
      </w:r>
      <w:r w:rsidR="00082E4B">
        <w:t xml:space="preserve">more details are available in </w:t>
      </w:r>
      <w:r w:rsidR="00082E4B" w:rsidRPr="00082E4B">
        <w:rPr>
          <w:rStyle w:val="Hyperlink"/>
        </w:rPr>
        <w:t>Part A Guidelines: Chapter 6: Privacy [LINK]</w:t>
      </w:r>
      <w:r w:rsidR="00082E4B">
        <w:t xml:space="preserve"> and</w:t>
      </w:r>
      <w:r w:rsidR="001729EA">
        <w:t xml:space="preserve"> </w:t>
      </w:r>
      <w:r w:rsidR="00CF7C09">
        <w:rPr>
          <w:rStyle w:val="Hyperlink"/>
          <w:rFonts w:ascii="Tahoma" w:hAnsi="Tahoma"/>
        </w:rPr>
        <w:t>Public Interest Certificate (PIC) Guidelines [LINK]</w:t>
      </w:r>
      <w:r>
        <w:t>).</w:t>
      </w:r>
    </w:p>
    <w:p w14:paraId="21EEFDDB" w14:textId="560F114C" w:rsidR="00D74559" w:rsidRPr="00E62C75" w:rsidRDefault="00D74559" w:rsidP="001D0F92">
      <w:pPr>
        <w:pStyle w:val="Heading4"/>
      </w:pPr>
      <w:bookmarkStart w:id="635" w:name="_Toc202900136"/>
      <w:r w:rsidRPr="2FDAC200">
        <w:t>13.3.4</w:t>
      </w:r>
      <w:r w:rsidR="004373EE">
        <w:tab/>
      </w:r>
      <w:r w:rsidRPr="2FDAC200">
        <w:t>Notifying Services Australia</w:t>
      </w:r>
      <w:bookmarkEnd w:id="635"/>
    </w:p>
    <w:p w14:paraId="688D85DC" w14:textId="144398DC" w:rsidR="00D74559" w:rsidRPr="000C5F7A" w:rsidRDefault="00D74559" w:rsidP="006E2EF5">
      <w:r w:rsidRPr="7A4475E1">
        <w:rPr>
          <w:rFonts w:ascii="Tahoma" w:eastAsia="Tahoma" w:hAnsi="Tahoma" w:cs="Tahoma"/>
          <w:color w:val="052E16"/>
        </w:rPr>
        <w:t xml:space="preserve">If a Participant threatens Services Australia staff or property, </w:t>
      </w:r>
      <w:r w:rsidR="00B04616">
        <w:rPr>
          <w:rFonts w:ascii="Tahoma" w:eastAsia="Tahoma" w:hAnsi="Tahoma" w:cs="Tahoma"/>
          <w:color w:val="052E16"/>
        </w:rPr>
        <w:t>the Provider</w:t>
      </w:r>
      <w:r w:rsidRPr="7A4475E1">
        <w:rPr>
          <w:rFonts w:ascii="Tahoma" w:eastAsia="Tahoma" w:hAnsi="Tahoma" w:cs="Tahoma"/>
          <w:color w:val="052E16"/>
        </w:rPr>
        <w:t xml:space="preserve"> must share that information. This helps keep staff and other </w:t>
      </w:r>
      <w:r w:rsidR="00167A7C" w:rsidRPr="187F280B">
        <w:rPr>
          <w:rFonts w:ascii="Tahoma" w:eastAsia="Tahoma" w:hAnsi="Tahoma" w:cs="Tahoma"/>
          <w:color w:val="052E16"/>
        </w:rPr>
        <w:t>C</w:t>
      </w:r>
      <w:r w:rsidRPr="187F280B">
        <w:rPr>
          <w:rFonts w:ascii="Tahoma" w:eastAsia="Tahoma" w:hAnsi="Tahoma" w:cs="Tahoma"/>
          <w:color w:val="052E16"/>
        </w:rPr>
        <w:t>ustomers</w:t>
      </w:r>
      <w:r w:rsidRPr="7A4475E1">
        <w:rPr>
          <w:rFonts w:ascii="Tahoma" w:eastAsia="Tahoma" w:hAnsi="Tahoma" w:cs="Tahoma"/>
          <w:color w:val="052E16"/>
        </w:rPr>
        <w:t xml:space="preserve"> safe.</w:t>
      </w:r>
      <w:r>
        <w:t xml:space="preserve"> </w:t>
      </w:r>
    </w:p>
    <w:p w14:paraId="185537D2" w14:textId="77777777" w:rsidR="00D74559" w:rsidRPr="000C5F7A" w:rsidRDefault="00D74559" w:rsidP="004E120D">
      <w:pPr>
        <w:pStyle w:val="BulletLevel1"/>
      </w:pPr>
      <w:r w:rsidRPr="7A4475E1">
        <w:t xml:space="preserve">First, the Provider should attempt to call the local </w:t>
      </w:r>
      <w:hyperlink r:id="rId98">
        <w:r w:rsidRPr="7A4475E1">
          <w:t>Services Australia Service Centre</w:t>
        </w:r>
      </w:hyperlink>
      <w:r w:rsidRPr="7A4475E1">
        <w:t xml:space="preserve"> (</w:t>
      </w:r>
      <w:bookmarkStart w:id="636" w:name="_Int_eLGY6IRx"/>
      <w:r w:rsidRPr="7A4475E1">
        <w:t>the</w:t>
      </w:r>
      <w:bookmarkEnd w:id="636"/>
      <w:r w:rsidRPr="7A4475E1">
        <w:t xml:space="preserve"> office closest to the Provider’s location or the location of a threat) to advise of the risk. </w:t>
      </w:r>
    </w:p>
    <w:p w14:paraId="184B202D" w14:textId="53F3AAE8" w:rsidR="00D74559" w:rsidRPr="000C5F7A" w:rsidRDefault="00D74559" w:rsidP="004E120D">
      <w:pPr>
        <w:pStyle w:val="BulletLevel1"/>
      </w:pPr>
      <w:r w:rsidRPr="7A4475E1">
        <w:t xml:space="preserve">If the Provider can’t reach the local Services Australia </w:t>
      </w:r>
      <w:r w:rsidRPr="0008370E">
        <w:t xml:space="preserve">Service Centre </w:t>
      </w:r>
      <w:r w:rsidRPr="7A4475E1">
        <w:t xml:space="preserve">or is unsure who to call, they should </w:t>
      </w:r>
      <w:r w:rsidR="00363A74">
        <w:t>call</w:t>
      </w:r>
      <w:r w:rsidRPr="7A4475E1">
        <w:t xml:space="preserve"> the Services Australia Security Hotline on 1800 046 021.</w:t>
      </w:r>
    </w:p>
    <w:p w14:paraId="151E0A42" w14:textId="27CF2CC2" w:rsidR="00D74559" w:rsidRPr="000C5F7A" w:rsidRDefault="00D74559" w:rsidP="004E120D">
      <w:pPr>
        <w:pStyle w:val="BulletLevel2"/>
      </w:pPr>
      <w:r>
        <w:t xml:space="preserve">This hotline is managed by Services Australia Regional Security Advisers and is operational nationally </w:t>
      </w:r>
      <w:r w:rsidRPr="0008370E">
        <w:t>between</w:t>
      </w:r>
      <w:r>
        <w:t xml:space="preserve"> 7</w:t>
      </w:r>
      <w:r w:rsidR="001A25DE">
        <w:t>:</w:t>
      </w:r>
      <w:r>
        <w:t>00 am and 7</w:t>
      </w:r>
      <w:r w:rsidR="001A25DE">
        <w:t>:</w:t>
      </w:r>
      <w:r>
        <w:t xml:space="preserve">00 pm Monday to Friday. </w:t>
      </w:r>
    </w:p>
    <w:p w14:paraId="3C7C4A63" w14:textId="0BADBAB3" w:rsidR="00D74559" w:rsidRPr="00457638" w:rsidRDefault="00D74559" w:rsidP="006E2EF5">
      <w:pPr>
        <w:rPr>
          <w:b/>
          <w:bCs/>
        </w:rPr>
      </w:pPr>
      <w:bookmarkStart w:id="637" w:name="_Toc95927048"/>
      <w:r w:rsidRPr="5BCE8B14">
        <w:rPr>
          <w:b/>
          <w:bCs/>
        </w:rPr>
        <w:t>In the event of an emergency - call 000.</w:t>
      </w:r>
      <w:bookmarkEnd w:id="637"/>
    </w:p>
    <w:p w14:paraId="073E8B97" w14:textId="77777777" w:rsidR="00D74559" w:rsidRPr="007E7AB0" w:rsidRDefault="00D74559" w:rsidP="006E2EF5">
      <w:r>
        <w:t>Incidents should be recorded on the day of the Incident occurred or as soon as possible and within 24 hours of the Incident.</w:t>
      </w:r>
    </w:p>
    <w:p w14:paraId="057DC83F" w14:textId="0B764759" w:rsidR="00D74559" w:rsidRPr="00E62C75" w:rsidRDefault="00D74559" w:rsidP="001D0F92">
      <w:pPr>
        <w:pStyle w:val="Heading4"/>
      </w:pPr>
      <w:bookmarkStart w:id="638" w:name="_Toc95927046"/>
      <w:bookmarkStart w:id="639" w:name="_Toc202900137"/>
      <w:r w:rsidRPr="2FDAC200">
        <w:t>13.3.5</w:t>
      </w:r>
      <w:r w:rsidR="004373EE">
        <w:tab/>
      </w:r>
      <w:r w:rsidRPr="2FDAC200">
        <w:t>Temporary Site closures</w:t>
      </w:r>
      <w:bookmarkEnd w:id="638"/>
      <w:bookmarkEnd w:id="639"/>
    </w:p>
    <w:p w14:paraId="4577C8B1" w14:textId="09DF7DC1" w:rsidR="00D74559" w:rsidRPr="0076579D" w:rsidRDefault="00D74559" w:rsidP="006E2EF5">
      <w:pPr>
        <w:rPr>
          <w:rFonts w:ascii="Tahoma" w:eastAsia="Tahoma" w:hAnsi="Tahoma" w:cs="Tahoma"/>
        </w:rPr>
      </w:pPr>
      <w:r w:rsidRPr="007E7AB0">
        <w:rPr>
          <w:rFonts w:ascii="Tahoma" w:eastAsia="Tahoma" w:hAnsi="Tahoma" w:cs="Tahoma"/>
        </w:rPr>
        <w:t xml:space="preserve">A Provider may temporarily close their </w:t>
      </w:r>
      <w:r w:rsidR="00D15888" w:rsidRPr="1DD46A46">
        <w:rPr>
          <w:rFonts w:ascii="Tahoma" w:eastAsia="Tahoma" w:hAnsi="Tahoma" w:cs="Tahoma"/>
        </w:rPr>
        <w:t>S</w:t>
      </w:r>
      <w:r w:rsidRPr="1DD46A46">
        <w:rPr>
          <w:rFonts w:ascii="Tahoma" w:eastAsia="Tahoma" w:hAnsi="Tahoma" w:cs="Tahoma"/>
        </w:rPr>
        <w:t>ite</w:t>
      </w:r>
      <w:r w:rsidRPr="007E7AB0">
        <w:rPr>
          <w:rFonts w:ascii="Tahoma" w:eastAsia="Tahoma" w:hAnsi="Tahoma" w:cs="Tahoma"/>
        </w:rPr>
        <w:t xml:space="preserve"> if a </w:t>
      </w:r>
      <w:r>
        <w:rPr>
          <w:rFonts w:ascii="Tahoma" w:eastAsia="Tahoma" w:hAnsi="Tahoma" w:cs="Tahoma"/>
        </w:rPr>
        <w:t>Participant</w:t>
      </w:r>
      <w:r w:rsidRPr="007E7AB0">
        <w:rPr>
          <w:rFonts w:ascii="Tahoma" w:eastAsia="Tahoma" w:hAnsi="Tahoma" w:cs="Tahoma"/>
        </w:rPr>
        <w:t xml:space="preserve"> shows a challenging behaviour that creates a real or perceived threat to the safety of staff, others and property. </w:t>
      </w:r>
      <w:r w:rsidRPr="0098730B">
        <w:rPr>
          <w:rFonts w:ascii="Tahoma" w:eastAsia="Tahoma" w:hAnsi="Tahoma" w:cs="Tahoma"/>
        </w:rPr>
        <w:t xml:space="preserve">The </w:t>
      </w:r>
      <w:r w:rsidR="00D15888" w:rsidRPr="0098730B">
        <w:rPr>
          <w:rFonts w:ascii="Tahoma" w:eastAsia="Tahoma" w:hAnsi="Tahoma" w:cs="Tahoma"/>
        </w:rPr>
        <w:t>S</w:t>
      </w:r>
      <w:r w:rsidRPr="0098730B">
        <w:rPr>
          <w:rFonts w:ascii="Tahoma" w:eastAsia="Tahoma" w:hAnsi="Tahoma" w:cs="Tahoma"/>
        </w:rPr>
        <w:t xml:space="preserve">ite remains closed until the </w:t>
      </w:r>
      <w:r w:rsidRPr="007E7AB0">
        <w:rPr>
          <w:rFonts w:ascii="Tahoma" w:eastAsia="Tahoma" w:hAnsi="Tahoma" w:cs="Tahoma"/>
        </w:rPr>
        <w:t>issue</w:t>
      </w:r>
      <w:r w:rsidRPr="0098730B">
        <w:rPr>
          <w:rFonts w:ascii="Tahoma" w:eastAsia="Tahoma" w:hAnsi="Tahoma" w:cs="Tahoma"/>
        </w:rPr>
        <w:t xml:space="preserve"> is resolved or they </w:t>
      </w:r>
      <w:r w:rsidRPr="007E7AB0">
        <w:rPr>
          <w:rFonts w:ascii="Tahoma" w:eastAsia="Tahoma" w:hAnsi="Tahoma" w:cs="Tahoma"/>
        </w:rPr>
        <w:t>feel</w:t>
      </w:r>
      <w:r w:rsidRPr="0098730B">
        <w:rPr>
          <w:rFonts w:ascii="Tahoma" w:eastAsia="Tahoma" w:hAnsi="Tahoma" w:cs="Tahoma"/>
        </w:rPr>
        <w:t xml:space="preserve"> the threat </w:t>
      </w:r>
      <w:r w:rsidRPr="007E7AB0">
        <w:rPr>
          <w:rFonts w:ascii="Tahoma" w:eastAsia="Tahoma" w:hAnsi="Tahoma" w:cs="Tahoma"/>
        </w:rPr>
        <w:t>has passed.</w:t>
      </w:r>
      <w:r w:rsidRPr="0098730B">
        <w:rPr>
          <w:rFonts w:ascii="Tahoma" w:eastAsia="Tahoma" w:hAnsi="Tahoma" w:cs="Tahoma"/>
        </w:rPr>
        <w:t xml:space="preserve"> Please</w:t>
      </w:r>
      <w:r w:rsidRPr="7A4475E1">
        <w:t xml:space="preserve"> refer to the </w:t>
      </w:r>
      <w:r w:rsidRPr="00082E4B">
        <w:rPr>
          <w:rStyle w:val="Hyperlink"/>
        </w:rPr>
        <w:t>Temporary site closure advice for Providers</w:t>
      </w:r>
      <w:r w:rsidR="00082E4B">
        <w:rPr>
          <w:rStyle w:val="Hyperlink"/>
        </w:rPr>
        <w:t xml:space="preserve"> [LINK]</w:t>
      </w:r>
      <w:r w:rsidRPr="7A4475E1">
        <w:t xml:space="preserve"> on the Provider Portal. </w:t>
      </w:r>
    </w:p>
    <w:p w14:paraId="1F5B03CC" w14:textId="08959960" w:rsidR="00D74559" w:rsidRPr="00E62C75" w:rsidRDefault="00D74559" w:rsidP="001D0F92">
      <w:pPr>
        <w:pStyle w:val="Heading4"/>
      </w:pPr>
      <w:bookmarkStart w:id="640" w:name="_Toc95927049"/>
      <w:bookmarkStart w:id="641" w:name="_Toc202900138"/>
      <w:r w:rsidRPr="2FDAC200">
        <w:t>13.3.6</w:t>
      </w:r>
      <w:r w:rsidR="004373EE">
        <w:tab/>
      </w:r>
      <w:r w:rsidRPr="2FDAC200">
        <w:t xml:space="preserve">Disclosure of </w:t>
      </w:r>
      <w:r w:rsidR="00014FB2">
        <w:t>P</w:t>
      </w:r>
      <w:r>
        <w:t>ersonal</w:t>
      </w:r>
      <w:r w:rsidRPr="2FDAC200">
        <w:t xml:space="preserve"> and </w:t>
      </w:r>
      <w:bookmarkEnd w:id="640"/>
      <w:r w:rsidR="00014FB2">
        <w:t>S</w:t>
      </w:r>
      <w:r>
        <w:t xml:space="preserve">ensitive </w:t>
      </w:r>
      <w:r w:rsidR="00014FB2">
        <w:t>I</w:t>
      </w:r>
      <w:r>
        <w:t>nformation</w:t>
      </w:r>
      <w:bookmarkEnd w:id="641"/>
    </w:p>
    <w:p w14:paraId="01AD6641" w14:textId="757DA631" w:rsidR="00D74559" w:rsidRPr="0098730B" w:rsidRDefault="00D74559" w:rsidP="006E2EF5">
      <w:r w:rsidRPr="0098730B">
        <w:t xml:space="preserve">Providers must know and follow their legal duties when handling, using, and sharing </w:t>
      </w:r>
      <w:r w:rsidR="00D54F99" w:rsidRPr="0098730B">
        <w:t>P</w:t>
      </w:r>
      <w:r w:rsidRPr="0098730B">
        <w:t xml:space="preserve">ersonal and </w:t>
      </w:r>
      <w:r w:rsidR="00D54F99" w:rsidRPr="0098730B">
        <w:t>S</w:t>
      </w:r>
      <w:r w:rsidRPr="0098730B">
        <w:t xml:space="preserve">ensitive </w:t>
      </w:r>
      <w:r w:rsidR="00D54F99" w:rsidRPr="0098730B">
        <w:t>I</w:t>
      </w:r>
      <w:r w:rsidRPr="0098730B">
        <w:t>nformation.</w:t>
      </w:r>
    </w:p>
    <w:p w14:paraId="7438877A" w14:textId="04E80819" w:rsidR="00D74559" w:rsidRPr="0076579D" w:rsidRDefault="00D74559" w:rsidP="006E2EF5">
      <w:r w:rsidRPr="7A4475E1">
        <w:t xml:space="preserve">For information on disclosing </w:t>
      </w:r>
      <w:r w:rsidR="00865F31">
        <w:t>P</w:t>
      </w:r>
      <w:r>
        <w:t xml:space="preserve">ersonal </w:t>
      </w:r>
      <w:r w:rsidR="00865F31">
        <w:t>I</w:t>
      </w:r>
      <w:r>
        <w:t>nformation</w:t>
      </w:r>
      <w:r w:rsidRPr="7A4475E1">
        <w:t xml:space="preserve"> and </w:t>
      </w:r>
      <w:r w:rsidR="002356FF">
        <w:t>S</w:t>
      </w:r>
      <w:r>
        <w:t>ensitive</w:t>
      </w:r>
      <w:r w:rsidRPr="7A4475E1">
        <w:t xml:space="preserve"> Information refer </w:t>
      </w:r>
      <w:r w:rsidRPr="00D926A4">
        <w:t xml:space="preserve">to </w:t>
      </w:r>
      <w:r w:rsidR="008B74A9" w:rsidRPr="00572630">
        <w:rPr>
          <w:rStyle w:val="Hyperlink"/>
        </w:rPr>
        <w:t>Part A Guidelines: Chapter 6: Privacy [LINK]</w:t>
      </w:r>
      <w:r w:rsidRPr="00451248">
        <w:t>.</w:t>
      </w:r>
      <w:r w:rsidRPr="7A4475E1">
        <w:t xml:space="preserve"> </w:t>
      </w:r>
    </w:p>
    <w:p w14:paraId="4FFBBBC4" w14:textId="3072F6B5" w:rsidR="00D74559" w:rsidRPr="00E62C75" w:rsidRDefault="00D74559" w:rsidP="001D0F92">
      <w:pPr>
        <w:pStyle w:val="Heading3"/>
      </w:pPr>
      <w:bookmarkStart w:id="642" w:name="_Incident_reporting_and"/>
      <w:bookmarkStart w:id="643" w:name="_Incident_reporting"/>
      <w:bookmarkStart w:id="644" w:name="_Toc95927051"/>
      <w:bookmarkStart w:id="645" w:name="_Toc202900139"/>
      <w:bookmarkEnd w:id="642"/>
      <w:bookmarkEnd w:id="643"/>
      <w:r>
        <w:t>13.4</w:t>
      </w:r>
      <w:bookmarkEnd w:id="644"/>
      <w:r w:rsidR="004373EE">
        <w:tab/>
      </w:r>
      <w:r>
        <w:t>Reporting Incidents of challenging behaviours</w:t>
      </w:r>
      <w:bookmarkEnd w:id="645"/>
    </w:p>
    <w:p w14:paraId="075F1DEE" w14:textId="2B902068" w:rsidR="00D74559" w:rsidRPr="00712CD6" w:rsidRDefault="00D74559" w:rsidP="006E2EF5">
      <w:r w:rsidRPr="5BCE8B14">
        <w:t xml:space="preserve">Providers are required to submit an </w:t>
      </w:r>
      <w:r>
        <w:t>I</w:t>
      </w:r>
      <w:r w:rsidRPr="5BCE8B14">
        <w:t xml:space="preserve">ncident </w:t>
      </w:r>
      <w:r>
        <w:t>R</w:t>
      </w:r>
      <w:r w:rsidRPr="5BCE8B14">
        <w:t xml:space="preserve">eport after each </w:t>
      </w:r>
      <w:r>
        <w:t>challenging behaviour</w:t>
      </w:r>
      <w:r w:rsidRPr="5BCE8B14">
        <w:t xml:space="preserve"> Incident. </w:t>
      </w:r>
      <w:r w:rsidRPr="007E7AB0">
        <w:rPr>
          <w:rFonts w:ascii="Tahoma" w:eastAsia="Tahoma" w:hAnsi="Tahoma" w:cs="Tahoma"/>
        </w:rPr>
        <w:t xml:space="preserve">The Incident </w:t>
      </w:r>
      <w:r>
        <w:rPr>
          <w:rFonts w:ascii="Tahoma" w:eastAsia="Tahoma" w:hAnsi="Tahoma" w:cs="Tahoma"/>
        </w:rPr>
        <w:t>R</w:t>
      </w:r>
      <w:r w:rsidRPr="007E7AB0">
        <w:rPr>
          <w:rFonts w:ascii="Tahoma" w:eastAsia="Tahoma" w:hAnsi="Tahoma" w:cs="Tahoma"/>
        </w:rPr>
        <w:t xml:space="preserve">eport creates a written record of challenging behaviour </w:t>
      </w:r>
      <w:r>
        <w:rPr>
          <w:rFonts w:ascii="Tahoma" w:eastAsia="Tahoma" w:hAnsi="Tahoma" w:cs="Tahoma"/>
        </w:rPr>
        <w:t>I</w:t>
      </w:r>
      <w:r w:rsidRPr="007E7AB0">
        <w:rPr>
          <w:rFonts w:ascii="Tahoma" w:eastAsia="Tahoma" w:hAnsi="Tahoma" w:cs="Tahoma"/>
        </w:rPr>
        <w:t>ncidents to help the Provider and Services Australia manage safety for staff and to establish proactive mitigations that reduce the risk of future occurrences.</w:t>
      </w:r>
    </w:p>
    <w:p w14:paraId="670BF120" w14:textId="0998B0EA" w:rsidR="00D74559" w:rsidRPr="00712CD6" w:rsidRDefault="00D74559" w:rsidP="006E2EF5">
      <w:r>
        <w:t xml:space="preserve">The arrangements are designed to make Participants’ experiences more consistent across Departments with Employment </w:t>
      </w:r>
      <w:r w:rsidR="00B73A78">
        <w:t>S</w:t>
      </w:r>
      <w:r>
        <w:t>ervices by aligning processes and terminology. The</w:t>
      </w:r>
      <w:r w:rsidRPr="7A4475E1">
        <w:rPr>
          <w:rFonts w:ascii="Tahoma" w:eastAsia="Tahoma" w:hAnsi="Tahoma"/>
          <w:color w:val="000000" w:themeColor="text1"/>
        </w:rPr>
        <w:t xml:space="preserve"> common approach to </w:t>
      </w:r>
      <w:r>
        <w:rPr>
          <w:rFonts w:ascii="Tahoma" w:eastAsia="Tahoma" w:hAnsi="Tahoma"/>
          <w:color w:val="000000" w:themeColor="text1"/>
        </w:rPr>
        <w:t>Incident Report</w:t>
      </w:r>
      <w:r w:rsidRPr="7A4475E1">
        <w:rPr>
          <w:rFonts w:ascii="Tahoma" w:eastAsia="Tahoma" w:hAnsi="Tahoma"/>
          <w:color w:val="000000" w:themeColor="text1"/>
        </w:rPr>
        <w:t>s for Providers and Services Australia involves</w:t>
      </w:r>
      <w:r>
        <w:t xml:space="preserve">: </w:t>
      </w:r>
    </w:p>
    <w:p w14:paraId="502E4545" w14:textId="77777777" w:rsidR="00D74559" w:rsidRPr="00712CD6" w:rsidRDefault="00D74559" w:rsidP="004E120D">
      <w:pPr>
        <w:pStyle w:val="BulletLevel1"/>
      </w:pPr>
      <w:r>
        <w:t xml:space="preserve">An Incident Severity Matrix –an automated process that assigns a severity level to an Incident. </w:t>
      </w:r>
    </w:p>
    <w:p w14:paraId="1A245072" w14:textId="77777777" w:rsidR="00D74559" w:rsidRPr="00E62C75" w:rsidRDefault="00D74559" w:rsidP="004E120D">
      <w:pPr>
        <w:pStyle w:val="BulletLevel1"/>
      </w:pPr>
      <w:r>
        <w:t>Managed Service Plans – arrangements that Providers can put in place to tailor the way Services are delivered to Participants who display challenging behaviours.</w:t>
      </w:r>
    </w:p>
    <w:p w14:paraId="7E2ED9DC" w14:textId="77777777" w:rsidR="00D74559" w:rsidRPr="0076579D" w:rsidRDefault="00D74559" w:rsidP="006E2EF5">
      <w:pPr>
        <w:rPr>
          <w:rFonts w:ascii="Tahoma" w:eastAsia="Tahoma" w:hAnsi="Tahoma"/>
        </w:rPr>
      </w:pPr>
      <w:r w:rsidRPr="7A4475E1">
        <w:rPr>
          <w:b/>
          <w:bCs/>
        </w:rPr>
        <w:t>Note:</w:t>
      </w:r>
      <w:r>
        <w:t xml:space="preserve"> If a challenging behaviour Incident is also considered a WHS Incident, </w:t>
      </w:r>
      <w:r w:rsidRPr="007E7AB0">
        <w:rPr>
          <w:rFonts w:ascii="Tahoma" w:eastAsia="Tahoma" w:hAnsi="Tahoma"/>
        </w:rPr>
        <w:t xml:space="preserve">the Provider must also notify the Department of the WHS </w:t>
      </w:r>
      <w:r>
        <w:rPr>
          <w:rFonts w:ascii="Tahoma" w:eastAsia="Tahoma" w:hAnsi="Tahoma"/>
        </w:rPr>
        <w:t>I</w:t>
      </w:r>
      <w:r w:rsidRPr="007E7AB0">
        <w:rPr>
          <w:rFonts w:ascii="Tahoma" w:eastAsia="Tahoma" w:hAnsi="Tahoma"/>
        </w:rPr>
        <w:t xml:space="preserve">ncident. </w:t>
      </w:r>
    </w:p>
    <w:p w14:paraId="6668D2D1" w14:textId="77777777" w:rsidR="00D74559" w:rsidRPr="0076579D" w:rsidRDefault="00D74559" w:rsidP="006E2EF5">
      <w:pPr>
        <w:rPr>
          <w:rFonts w:ascii="Tahoma" w:eastAsia="Tahoma" w:hAnsi="Tahoma"/>
          <w:szCs w:val="22"/>
        </w:rPr>
      </w:pPr>
      <w:r>
        <w:rPr>
          <w:rFonts w:ascii="Tahoma" w:eastAsia="Tahoma" w:hAnsi="Tahoma"/>
          <w:szCs w:val="22"/>
        </w:rPr>
        <w:t>Incident Report</w:t>
      </w:r>
      <w:r w:rsidRPr="007E7AB0">
        <w:rPr>
          <w:rFonts w:ascii="Tahoma" w:eastAsia="Tahoma" w:hAnsi="Tahoma"/>
          <w:szCs w:val="22"/>
        </w:rPr>
        <w:t xml:space="preserve">s must include the severity and details </w:t>
      </w:r>
      <w:r w:rsidRPr="007E7AB0" w:rsidDel="268406A3">
        <w:rPr>
          <w:rFonts w:ascii="Tahoma" w:eastAsia="Tahoma" w:hAnsi="Tahoma"/>
          <w:szCs w:val="22"/>
        </w:rPr>
        <w:t xml:space="preserve">of </w:t>
      </w:r>
      <w:r w:rsidRPr="007E7AB0">
        <w:rPr>
          <w:rFonts w:ascii="Tahoma" w:eastAsia="Tahoma" w:hAnsi="Tahoma"/>
          <w:szCs w:val="22"/>
        </w:rPr>
        <w:t xml:space="preserve">any threats. Providers must ensure an </w:t>
      </w:r>
      <w:r>
        <w:rPr>
          <w:rFonts w:ascii="Tahoma" w:eastAsia="Tahoma" w:hAnsi="Tahoma"/>
          <w:szCs w:val="22"/>
        </w:rPr>
        <w:t>Incident Report</w:t>
      </w:r>
      <w:r w:rsidRPr="007E7AB0">
        <w:rPr>
          <w:rFonts w:ascii="Tahoma" w:eastAsia="Tahoma" w:hAnsi="Tahoma"/>
          <w:szCs w:val="22"/>
        </w:rPr>
        <w:t xml:space="preserve"> is factual, comprehensive and does not include unnecessary or inappropriate commentary.</w:t>
      </w:r>
      <w:r w:rsidRPr="0076579D">
        <w:rPr>
          <w:rFonts w:ascii="Tahoma" w:eastAsia="Tahoma" w:hAnsi="Tahoma"/>
          <w:szCs w:val="22"/>
        </w:rPr>
        <w:t xml:space="preserve"> </w:t>
      </w:r>
    </w:p>
    <w:p w14:paraId="5E6C8C8B" w14:textId="77777777" w:rsidR="00D74559" w:rsidRPr="0076579D" w:rsidRDefault="00D74559" w:rsidP="006E2EF5">
      <w:r w:rsidRPr="7A4475E1">
        <w:t xml:space="preserve">Accurate recording in </w:t>
      </w:r>
      <w:r>
        <w:t>Incident Report</w:t>
      </w:r>
      <w:r w:rsidRPr="7A4475E1">
        <w:t xml:space="preserve">s ensures all staff are informed about the history of a Participant’s challenging behaviour so they can make an assessment on the likelihood of further </w:t>
      </w:r>
      <w:r>
        <w:t>Incident</w:t>
      </w:r>
      <w:r w:rsidRPr="7A4475E1">
        <w:t xml:space="preserve">s and determine appropriate future servicing arrangements to minimise risks to people and property. </w:t>
      </w:r>
    </w:p>
    <w:p w14:paraId="05588A90" w14:textId="77777777" w:rsidR="00D74559" w:rsidRDefault="00D74559" w:rsidP="006E2EF5">
      <w:r w:rsidRPr="0076579D">
        <w:rPr>
          <w:szCs w:val="22"/>
        </w:rPr>
        <w:t xml:space="preserve">Accurate recording of </w:t>
      </w:r>
      <w:r>
        <w:rPr>
          <w:szCs w:val="22"/>
        </w:rPr>
        <w:t>Incident</w:t>
      </w:r>
      <w:r w:rsidRPr="0076579D">
        <w:rPr>
          <w:szCs w:val="22"/>
        </w:rPr>
        <w:t>s also ensures that, if the Participant is transferred to another Site or Provider, the receiving Site or Provider is aware of the challenging behaviour/s and can arrange to service the Participant accordingly</w:t>
      </w:r>
      <w:r>
        <w:t>.</w:t>
      </w:r>
    </w:p>
    <w:p w14:paraId="30C87687" w14:textId="49F4B89D" w:rsidR="00D74559" w:rsidRPr="007E7AB0" w:rsidRDefault="00D74559" w:rsidP="006E2EF5">
      <w:pPr>
        <w:rPr>
          <w:rFonts w:ascii="Tahoma" w:eastAsia="Tahoma" w:hAnsi="Tahoma"/>
        </w:rPr>
      </w:pPr>
      <w:r w:rsidRPr="007E7AB0">
        <w:rPr>
          <w:rFonts w:ascii="Tahoma" w:eastAsia="Tahoma" w:hAnsi="Tahoma"/>
          <w:b/>
          <w:bCs/>
        </w:rPr>
        <w:t>Note</w:t>
      </w:r>
      <w:r w:rsidRPr="007E7AB0">
        <w:rPr>
          <w:rFonts w:ascii="Tahoma" w:eastAsia="Tahoma" w:hAnsi="Tahoma"/>
        </w:rPr>
        <w:t xml:space="preserve">: Providers should be aware that Participants can access documents </w:t>
      </w:r>
      <w:r w:rsidRPr="5BCE8B14">
        <w:t>held by the Department or Providers</w:t>
      </w:r>
      <w:r w:rsidRPr="007E7AB0">
        <w:rPr>
          <w:rFonts w:ascii="Tahoma" w:eastAsia="Tahoma" w:hAnsi="Tahoma"/>
        </w:rPr>
        <w:t xml:space="preserve"> containing </w:t>
      </w:r>
      <w:r w:rsidR="00BE1010" w:rsidRPr="1E40E5C9">
        <w:rPr>
          <w:rFonts w:ascii="Tahoma" w:eastAsia="Tahoma" w:hAnsi="Tahoma"/>
        </w:rPr>
        <w:t>P</w:t>
      </w:r>
      <w:r w:rsidRPr="1E40E5C9">
        <w:rPr>
          <w:rFonts w:ascii="Tahoma" w:eastAsia="Tahoma" w:hAnsi="Tahoma"/>
        </w:rPr>
        <w:t xml:space="preserve">ersonal </w:t>
      </w:r>
      <w:r w:rsidR="00BE1010" w:rsidRPr="1E40E5C9">
        <w:rPr>
          <w:rFonts w:ascii="Tahoma" w:eastAsia="Tahoma" w:hAnsi="Tahoma"/>
        </w:rPr>
        <w:t>I</w:t>
      </w:r>
      <w:r w:rsidRPr="1E40E5C9">
        <w:rPr>
          <w:rFonts w:ascii="Tahoma" w:eastAsia="Tahoma" w:hAnsi="Tahoma"/>
        </w:rPr>
        <w:t>nformation</w:t>
      </w:r>
      <w:r w:rsidRPr="007E7AB0">
        <w:rPr>
          <w:rFonts w:ascii="Tahoma" w:eastAsia="Tahoma" w:hAnsi="Tahoma"/>
        </w:rPr>
        <w:t xml:space="preserve"> about them under the FOI Act and may be released as part of Court proceedings.</w:t>
      </w:r>
    </w:p>
    <w:p w14:paraId="1577E612" w14:textId="77777777" w:rsidR="00D74559" w:rsidRPr="0007582B" w:rsidRDefault="00D74559" w:rsidP="006E2EF5">
      <w:pPr>
        <w:rPr>
          <w:rFonts w:ascii="Tahoma" w:eastAsia="Tahoma" w:hAnsi="Tahoma"/>
        </w:rPr>
      </w:pPr>
      <w:r w:rsidRPr="007E7AB0">
        <w:rPr>
          <w:rFonts w:ascii="Tahoma" w:eastAsia="Tahoma" w:hAnsi="Tahoma"/>
        </w:rPr>
        <w:t xml:space="preserve">Incidents should be recorded on the day the </w:t>
      </w:r>
      <w:r>
        <w:rPr>
          <w:rFonts w:ascii="Tahoma" w:eastAsia="Tahoma" w:hAnsi="Tahoma"/>
        </w:rPr>
        <w:t>Incident</w:t>
      </w:r>
      <w:r w:rsidRPr="007E7AB0">
        <w:rPr>
          <w:rFonts w:ascii="Tahoma" w:eastAsia="Tahoma" w:hAnsi="Tahoma"/>
        </w:rPr>
        <w:t xml:space="preserve"> occurred or as soon as possible and within 24 hours of the </w:t>
      </w:r>
      <w:r>
        <w:rPr>
          <w:rFonts w:ascii="Tahoma" w:eastAsia="Tahoma" w:hAnsi="Tahoma"/>
        </w:rPr>
        <w:t>Incident</w:t>
      </w:r>
      <w:r w:rsidRPr="007E7AB0">
        <w:rPr>
          <w:rFonts w:ascii="Tahoma" w:eastAsia="Tahoma" w:hAnsi="Tahoma"/>
        </w:rPr>
        <w:t>.</w:t>
      </w:r>
    </w:p>
    <w:p w14:paraId="33C20FE4" w14:textId="7571491B" w:rsidR="00D74559" w:rsidRPr="0007582B" w:rsidRDefault="00D74559" w:rsidP="006E2EF5">
      <w:pPr>
        <w:rPr>
          <w:rFonts w:ascii="Tahoma" w:eastAsia="Tahoma" w:hAnsi="Tahoma"/>
          <w:szCs w:val="22"/>
        </w:rPr>
      </w:pPr>
      <w:r w:rsidRPr="0007582B">
        <w:rPr>
          <w:szCs w:val="22"/>
        </w:rPr>
        <w:t xml:space="preserve">Providers should follow the steps outlined in the </w:t>
      </w:r>
      <w:r w:rsidRPr="00082E4B">
        <w:rPr>
          <w:rStyle w:val="Hyperlink"/>
        </w:rPr>
        <w:t xml:space="preserve">Completing an Incident Report </w:t>
      </w:r>
      <w:r w:rsidR="00082E4B" w:rsidRPr="00082E4B">
        <w:rPr>
          <w:rStyle w:val="Hyperlink"/>
        </w:rPr>
        <w:t>[LINK]</w:t>
      </w:r>
      <w:r w:rsidR="00082E4B">
        <w:rPr>
          <w:szCs w:val="22"/>
        </w:rPr>
        <w:t xml:space="preserve"> </w:t>
      </w:r>
      <w:r w:rsidRPr="0007582B">
        <w:rPr>
          <w:szCs w:val="22"/>
        </w:rPr>
        <w:t>supporting document</w:t>
      </w:r>
      <w:r w:rsidR="00082E4B">
        <w:rPr>
          <w:szCs w:val="22"/>
        </w:rPr>
        <w:t xml:space="preserve"> on the Provider Portal</w:t>
      </w:r>
      <w:r w:rsidRPr="0007582B">
        <w:rPr>
          <w:szCs w:val="22"/>
        </w:rPr>
        <w:t>.</w:t>
      </w:r>
    </w:p>
    <w:p w14:paraId="36E85F04" w14:textId="53219779" w:rsidR="00D74559" w:rsidRPr="00A17B7B" w:rsidRDefault="00D74559" w:rsidP="006F727E">
      <w:pPr>
        <w:pStyle w:val="SystemStep"/>
      </w:pPr>
      <w:r w:rsidRPr="00A17B7B">
        <w:t xml:space="preserve">Providers must complete an Incident Report for all Incidents where a Participant displays challenging behaviour through the Managed </w:t>
      </w:r>
      <w:r>
        <w:t>Service</w:t>
      </w:r>
      <w:r w:rsidRPr="00A17B7B">
        <w:t xml:space="preserve"> Plans and Incidents function in the Department’s IT Systems. The </w:t>
      </w:r>
      <w:r w:rsidRPr="00082E4B">
        <w:rPr>
          <w:rStyle w:val="Hyperlink"/>
        </w:rPr>
        <w:t>Challenging Behaviour Incident Reporting Terminology</w:t>
      </w:r>
      <w:r w:rsidR="00082E4B" w:rsidRPr="00082E4B">
        <w:rPr>
          <w:rStyle w:val="Hyperlink"/>
        </w:rPr>
        <w:t xml:space="preserve"> [LINK]</w:t>
      </w:r>
      <w:r w:rsidRPr="00A17B7B">
        <w:t xml:space="preserve"> supporting document on the Provider Portal includes the terms used for reporting Incidents in the Department’s IT Systems. </w:t>
      </w:r>
    </w:p>
    <w:p w14:paraId="00C7BE2D" w14:textId="0C0640C5" w:rsidR="3D0B9A14" w:rsidRDefault="3D0B9A14" w:rsidP="16B93FF5">
      <w:pPr>
        <w:pStyle w:val="SystemStep"/>
        <w:numPr>
          <w:ilvl w:val="0"/>
          <w:numId w:val="0"/>
        </w:numPr>
      </w:pPr>
      <w:r w:rsidRPr="00345B29">
        <w:rPr>
          <w:b/>
        </w:rPr>
        <w:t>Note:</w:t>
      </w:r>
      <w:r>
        <w:t xml:space="preserve"> In the event of a serious incident</w:t>
      </w:r>
      <w:r w:rsidR="3DA1FA02">
        <w:t>,</w:t>
      </w:r>
      <w:r>
        <w:t xml:space="preserve"> it is expected that the </w:t>
      </w:r>
      <w:r w:rsidR="163C181E">
        <w:t>P</w:t>
      </w:r>
      <w:r>
        <w:t>rovide</w:t>
      </w:r>
      <w:r w:rsidR="2461FB86">
        <w:t xml:space="preserve"> </w:t>
      </w:r>
      <w:r w:rsidR="3AC273AD">
        <w:t xml:space="preserve">also </w:t>
      </w:r>
      <w:r w:rsidR="2461FB86">
        <w:t xml:space="preserve">notifies the Department by completing the </w:t>
      </w:r>
      <w:r w:rsidR="2461FB86" w:rsidRPr="00082E4B">
        <w:rPr>
          <w:rStyle w:val="Hyperlink"/>
        </w:rPr>
        <w:t>Serious Incident Report form</w:t>
      </w:r>
      <w:r w:rsidR="00082E4B" w:rsidRPr="00082E4B">
        <w:rPr>
          <w:rStyle w:val="Hyperlink"/>
        </w:rPr>
        <w:t xml:space="preserve"> [LINK]</w:t>
      </w:r>
      <w:r w:rsidR="00082E4B">
        <w:t xml:space="preserve"> (available on the Provider Portal)</w:t>
      </w:r>
      <w:r w:rsidR="71C97620">
        <w:t xml:space="preserve">. </w:t>
      </w:r>
      <w:r w:rsidR="08286D76">
        <w:t>The Serious Incident Report should be completed and s</w:t>
      </w:r>
      <w:r w:rsidR="591C23DD">
        <w:t xml:space="preserve">ubmitted to the Providers </w:t>
      </w:r>
      <w:r w:rsidR="591C23DD" w:rsidRPr="4172707A">
        <w:t xml:space="preserve">Funding Agreement Manager and/or Relationship </w:t>
      </w:r>
      <w:r w:rsidR="15934CB0" w:rsidRPr="708ADB64">
        <w:t>Manager</w:t>
      </w:r>
      <w:r w:rsidR="15934CB0">
        <w:t xml:space="preserve"> within 24 hours of the</w:t>
      </w:r>
      <w:r>
        <w:t xml:space="preserve"> </w:t>
      </w:r>
      <w:r w:rsidR="15934CB0">
        <w:t>serious incident occurring.</w:t>
      </w:r>
      <w:r w:rsidR="631416EA">
        <w:t xml:space="preserve"> </w:t>
      </w:r>
    </w:p>
    <w:p w14:paraId="0B91F758" w14:textId="58C1C0DF" w:rsidR="00D74559" w:rsidRPr="00E62C75" w:rsidRDefault="00D74559" w:rsidP="001D0F92">
      <w:pPr>
        <w:pStyle w:val="Heading3"/>
      </w:pPr>
      <w:bookmarkStart w:id="646" w:name="_Toc202900140"/>
      <w:r>
        <w:t>13.5</w:t>
      </w:r>
      <w:r w:rsidR="004373EE">
        <w:tab/>
      </w:r>
      <w:r>
        <w:t>Post-Incident contact</w:t>
      </w:r>
      <w:bookmarkEnd w:id="646"/>
    </w:p>
    <w:p w14:paraId="79CAAB1B" w14:textId="1B23B0F8" w:rsidR="00D74559" w:rsidRPr="00770846" w:rsidRDefault="00D74559" w:rsidP="006E2EF5">
      <w:r w:rsidRPr="7A4475E1">
        <w:t>The Department recommends that Providers initiate a post-</w:t>
      </w:r>
      <w:r>
        <w:t>Incident</w:t>
      </w:r>
      <w:r w:rsidRPr="7A4475E1">
        <w:t xml:space="preserve"> Contact with the Participant to discuss their behaviours and the impacts those behaviours had on other Participants and staff. It is suggested that this contact is made after a minimum of 7 days to allow time to pass from the </w:t>
      </w:r>
      <w:r>
        <w:t xml:space="preserve">Incident and </w:t>
      </w:r>
      <w:r w:rsidRPr="7A4475E1">
        <w:t xml:space="preserve">via </w:t>
      </w:r>
      <w:r w:rsidR="004C4630">
        <w:t xml:space="preserve">a </w:t>
      </w:r>
      <w:r w:rsidR="00D9789A">
        <w:t>phone</w:t>
      </w:r>
      <w:r w:rsidRPr="7A4475E1">
        <w:t xml:space="preserve"> </w:t>
      </w:r>
      <w:r w:rsidR="004C4630">
        <w:t>call</w:t>
      </w:r>
      <w:r w:rsidRPr="7A4475E1">
        <w:t xml:space="preserve"> following serious challenging behaviours. The purpose of a post-</w:t>
      </w:r>
      <w:r>
        <w:t>Incident</w:t>
      </w:r>
      <w:r w:rsidRPr="7A4475E1">
        <w:t xml:space="preserve"> Contact is to provide the Participant with an opportunity to debrief</w:t>
      </w:r>
      <w:r w:rsidR="002D4707">
        <w:t>. It is also</w:t>
      </w:r>
      <w:r w:rsidRPr="7A4475E1">
        <w:t xml:space="preserve"> for both the Participant and Provider staff member to gain a clearer understanding of the issues triggering the behaviours and other factors contributing to the </w:t>
      </w:r>
      <w:r>
        <w:t>Incident</w:t>
      </w:r>
      <w:r w:rsidRPr="7A4475E1">
        <w:t xml:space="preserve"> (personal circumstances, barriers, and vulnerabilities, etc). </w:t>
      </w:r>
    </w:p>
    <w:p w14:paraId="6F13173A" w14:textId="44FCBA96" w:rsidR="00D74559" w:rsidRPr="00770846" w:rsidRDefault="00D74559" w:rsidP="006E2EF5">
      <w:r w:rsidRPr="5BCE8B14">
        <w:t>A post-</w:t>
      </w:r>
      <w:r>
        <w:t>Incident</w:t>
      </w:r>
      <w:r w:rsidRPr="5BCE8B14">
        <w:t xml:space="preserve"> Contact should support Providers to understand </w:t>
      </w:r>
      <w:r w:rsidR="002555DF">
        <w:t>if</w:t>
      </w:r>
      <w:r w:rsidRPr="5BCE8B14">
        <w:t xml:space="preserve"> an </w:t>
      </w:r>
      <w:r>
        <w:t>Incident</w:t>
      </w:r>
      <w:r w:rsidRPr="5BCE8B14">
        <w:t xml:space="preserve"> was a one-off event, or if there are ongoing factors that warrant the implementation of a Managed Service Plan with </w:t>
      </w:r>
      <w:r>
        <w:t>s</w:t>
      </w:r>
      <w:r w:rsidRPr="5BCE8B14">
        <w:t xml:space="preserve">ervicing strategies </w:t>
      </w:r>
      <w:r>
        <w:t>and s</w:t>
      </w:r>
      <w:r w:rsidRPr="5BCE8B14">
        <w:t xml:space="preserve">ervice </w:t>
      </w:r>
      <w:r>
        <w:t>c</w:t>
      </w:r>
      <w:r w:rsidRPr="5BCE8B14">
        <w:t xml:space="preserve">hannel </w:t>
      </w:r>
      <w:r>
        <w:t>r</w:t>
      </w:r>
      <w:r w:rsidRPr="5BCE8B14">
        <w:t>estrictions to address the underlying issues impacting their behaviour.</w:t>
      </w:r>
    </w:p>
    <w:p w14:paraId="4A6F05FA" w14:textId="3D59802D" w:rsidR="00D74559" w:rsidRDefault="00D74559" w:rsidP="006E2EF5">
      <w:r w:rsidRPr="7A4475E1">
        <w:t>Where either ongoing factors</w:t>
      </w:r>
      <w:r>
        <w:t xml:space="preserve"> </w:t>
      </w:r>
      <w:r w:rsidRPr="7A4475E1">
        <w:t>or a change of circumstances are identified through the post-</w:t>
      </w:r>
      <w:r>
        <w:t>Incident</w:t>
      </w:r>
      <w:r w:rsidRPr="7A4475E1">
        <w:t xml:space="preserve"> Contact, </w:t>
      </w:r>
      <w:r>
        <w:t>best practice</w:t>
      </w:r>
      <w:r w:rsidRPr="7A4475E1">
        <w:t xml:space="preserve"> </w:t>
      </w:r>
      <w:r>
        <w:t>is</w:t>
      </w:r>
      <w:r w:rsidRPr="7A4475E1">
        <w:t xml:space="preserve"> </w:t>
      </w:r>
      <w:r>
        <w:t>to conduct</w:t>
      </w:r>
      <w:r w:rsidRPr="7A4475E1">
        <w:t xml:space="preserve"> a</w:t>
      </w:r>
      <w:r>
        <w:t>n</w:t>
      </w:r>
      <w:r w:rsidRPr="7A4475E1">
        <w:t xml:space="preserve"> </w:t>
      </w:r>
      <w:r>
        <w:t>update of the</w:t>
      </w:r>
      <w:r w:rsidRPr="7A4475E1">
        <w:t xml:space="preserve"> Job Seeker Snapshot to capture any change of circumstances for the </w:t>
      </w:r>
      <w:r>
        <w:t>P</w:t>
      </w:r>
      <w:r w:rsidRPr="7A4475E1">
        <w:t>articipant</w:t>
      </w:r>
      <w:r>
        <w:t xml:space="preserve"> </w:t>
      </w:r>
      <w:r w:rsidRPr="7A4475E1">
        <w:t>(see</w:t>
      </w:r>
      <w:r w:rsidR="006A14F8">
        <w:t xml:space="preserve"> </w:t>
      </w:r>
      <w:r w:rsidR="00C82299">
        <w:fldChar w:fldCharType="begin"/>
      </w:r>
      <w:r w:rsidR="00C82299">
        <w:instrText xml:space="preserve"> REF _Ref202953965 \h </w:instrText>
      </w:r>
      <w:r w:rsidR="00C82299">
        <w:fldChar w:fldCharType="separate"/>
      </w:r>
      <w:r w:rsidR="000D75AE">
        <w:t>2.3</w:t>
      </w:r>
      <w:r w:rsidR="00C33F1F">
        <w:t xml:space="preserve"> </w:t>
      </w:r>
      <w:r w:rsidR="000D75AE">
        <w:t>Job Seeker Snapshot and Job Seeker Classification Instrument</w:t>
      </w:r>
      <w:r w:rsidR="00C82299">
        <w:fldChar w:fldCharType="end"/>
      </w:r>
      <w:r w:rsidRPr="7A4475E1">
        <w:t>).</w:t>
      </w:r>
    </w:p>
    <w:p w14:paraId="2045360B" w14:textId="72EDB38B" w:rsidR="00D74559" w:rsidRPr="00E62C75" w:rsidRDefault="00D74559" w:rsidP="001D0F92">
      <w:pPr>
        <w:pStyle w:val="Heading3"/>
      </w:pPr>
      <w:bookmarkStart w:id="647" w:name="_Toc202900141"/>
      <w:bookmarkStart w:id="648" w:name="_Toc95927053"/>
      <w:r w:rsidRPr="2FDAC200">
        <w:t>13.6</w:t>
      </w:r>
      <w:r w:rsidR="004373EE">
        <w:tab/>
      </w:r>
      <w:r w:rsidRPr="2FDAC200">
        <w:t xml:space="preserve">Key steps before applying a Managed </w:t>
      </w:r>
      <w:r>
        <w:t>Service</w:t>
      </w:r>
      <w:r w:rsidRPr="2FDAC200">
        <w:t xml:space="preserve"> Plan</w:t>
      </w:r>
      <w:bookmarkEnd w:id="647"/>
    </w:p>
    <w:p w14:paraId="1A36FEE4" w14:textId="77777777" w:rsidR="00D74559" w:rsidRPr="00E62C75" w:rsidRDefault="00D74559" w:rsidP="006E2EF5">
      <w:r>
        <w:t>Following an Incident or change in behaviour, the Provider should discuss the type of behaviour expected from Participants and advise, where appropriate, the implications of behaving in a way that does not meet those expectations. This will ensure the Participant is given the opportunity to:</w:t>
      </w:r>
    </w:p>
    <w:p w14:paraId="4ADD41D3" w14:textId="77777777" w:rsidR="00D74559" w:rsidRPr="00E62C75" w:rsidRDefault="00D74559" w:rsidP="004E120D">
      <w:pPr>
        <w:pStyle w:val="BulletLevel1"/>
      </w:pPr>
      <w:r>
        <w:t>improve their behaviour, and</w:t>
      </w:r>
    </w:p>
    <w:p w14:paraId="2533230E" w14:textId="77777777" w:rsidR="00D74559" w:rsidRPr="00E62C75" w:rsidRDefault="00D74559" w:rsidP="004E120D">
      <w:pPr>
        <w:pStyle w:val="BulletLevel1"/>
      </w:pPr>
      <w:r>
        <w:t xml:space="preserve">disclose any contributing barriers or personal circumstances. </w:t>
      </w:r>
    </w:p>
    <w:p w14:paraId="35D49D0A" w14:textId="45471B29" w:rsidR="00D74559" w:rsidRPr="00E62C75" w:rsidRDefault="00D74559" w:rsidP="006E2EF5">
      <w:r>
        <w:t xml:space="preserve">This </w:t>
      </w:r>
      <w:r w:rsidR="009C385D">
        <w:t>i</w:t>
      </w:r>
      <w:r>
        <w:t xml:space="preserve">nformation can be given verbally or in writing. Where a warning is given, it must be recorded on the Department’s IT Systems, through the comment functionality </w:t>
      </w:r>
      <w:r w:rsidR="00E17B4E">
        <w:t xml:space="preserve">in the Participant’s Summary </w:t>
      </w:r>
      <w:r>
        <w:t>or in the Incident Report where the warning was a result of an Incident.</w:t>
      </w:r>
    </w:p>
    <w:p w14:paraId="38995104" w14:textId="3FA121A6" w:rsidR="00D74559" w:rsidRPr="00E62C75" w:rsidRDefault="00D74559" w:rsidP="006E2EF5">
      <w:r w:rsidRPr="5BCE8B14">
        <w:t xml:space="preserve">Before the Provider decides to apply a Managed </w:t>
      </w:r>
      <w:r>
        <w:t>Service</w:t>
      </w:r>
      <w:r w:rsidRPr="5BCE8B14">
        <w:t xml:space="preserve"> Plan, they should consider: </w:t>
      </w:r>
    </w:p>
    <w:p w14:paraId="6CC5CBC2" w14:textId="77777777" w:rsidR="00D74559" w:rsidRPr="00E62C75" w:rsidRDefault="00D74559" w:rsidP="004E120D">
      <w:pPr>
        <w:pStyle w:val="BulletLevel1"/>
      </w:pPr>
      <w:r>
        <w:t>the severity of the behaviour and/or Incident(s</w:t>
      </w:r>
      <w:bookmarkStart w:id="649" w:name="_Int_xrwdChqq"/>
      <w:r>
        <w:t>)</w:t>
      </w:r>
      <w:bookmarkEnd w:id="649"/>
      <w:r>
        <w:t xml:space="preserve"> including any safety concerns the behaviour may raise </w:t>
      </w:r>
    </w:p>
    <w:p w14:paraId="7B26D25A" w14:textId="77777777" w:rsidR="00D74559" w:rsidRPr="00E62C75" w:rsidRDefault="00D74559" w:rsidP="004E120D">
      <w:pPr>
        <w:pStyle w:val="BulletLevel1"/>
      </w:pPr>
      <w:r>
        <w:t xml:space="preserve">any contributing factors including barriers or personal </w:t>
      </w:r>
      <w:bookmarkStart w:id="650" w:name="_Int_AcoDXJh0"/>
      <w:r>
        <w:t>circumstances</w:t>
      </w:r>
      <w:bookmarkEnd w:id="650"/>
    </w:p>
    <w:p w14:paraId="1B60B0B9" w14:textId="77777777" w:rsidR="00D74559" w:rsidRPr="00E62C75" w:rsidRDefault="00D74559" w:rsidP="004E120D">
      <w:pPr>
        <w:pStyle w:val="BulletLevel1"/>
      </w:pPr>
      <w:r w:rsidRPr="7A4475E1">
        <w:t>the time needed to address issues (</w:t>
      </w:r>
      <w:bookmarkStart w:id="651" w:name="_Int_ACQFc3XT"/>
      <w:r w:rsidRPr="7A4475E1">
        <w:t>e.g.</w:t>
      </w:r>
      <w:bookmarkEnd w:id="651"/>
      <w:r w:rsidRPr="7A4475E1">
        <w:t xml:space="preserve"> a Participant may only require a short ‘cooling off’ period), and </w:t>
      </w:r>
    </w:p>
    <w:p w14:paraId="67685D94" w14:textId="16B05052" w:rsidR="00D74559" w:rsidRPr="00E62C75" w:rsidRDefault="00D74559" w:rsidP="004E120D">
      <w:pPr>
        <w:pStyle w:val="BulletLevel1"/>
      </w:pPr>
      <w:r w:rsidRPr="7A4475E1">
        <w:t>the importance of ensuring Participants remain connected to employment services (see</w:t>
      </w:r>
      <w:r w:rsidR="00276031">
        <w:t xml:space="preserve"> </w:t>
      </w:r>
      <w:r w:rsidR="00276031">
        <w:fldChar w:fldCharType="begin"/>
      </w:r>
      <w:r w:rsidR="00276031">
        <w:instrText xml:space="preserve"> REF _Ref202954017 \h </w:instrText>
      </w:r>
      <w:r w:rsidR="00276031">
        <w:fldChar w:fldCharType="separate"/>
      </w:r>
      <w:r w:rsidR="000D75AE" w:rsidRPr="2FDAC200">
        <w:t>13.3.2</w:t>
      </w:r>
      <w:r w:rsidR="00C33F1F">
        <w:t xml:space="preserve"> </w:t>
      </w:r>
      <w:r w:rsidR="000D75AE" w:rsidRPr="2FDAC200">
        <w:t>General considerations</w:t>
      </w:r>
      <w:r w:rsidR="00276031">
        <w:fldChar w:fldCharType="end"/>
      </w:r>
      <w:r w:rsidRPr="7A4475E1">
        <w:t xml:space="preserve">). </w:t>
      </w:r>
    </w:p>
    <w:p w14:paraId="29DAF5B2" w14:textId="3C99EBDE" w:rsidR="00D74559" w:rsidRDefault="00D74559" w:rsidP="001D0F92">
      <w:pPr>
        <w:pStyle w:val="Heading4"/>
      </w:pPr>
      <w:bookmarkStart w:id="652" w:name="_Toc202900142"/>
      <w:r w:rsidRPr="2FDAC200">
        <w:t>13.6.</w:t>
      </w:r>
      <w:r>
        <w:t>1</w:t>
      </w:r>
      <w:r w:rsidR="004373EE">
        <w:tab/>
      </w:r>
      <w:r w:rsidR="00305DA5" w:rsidRPr="00305DA5">
        <w:t xml:space="preserve">Determining </w:t>
      </w:r>
      <w:r w:rsidR="002555DF">
        <w:t>if</w:t>
      </w:r>
      <w:r w:rsidR="00305DA5" w:rsidRPr="00305DA5">
        <w:t xml:space="preserve"> there were </w:t>
      </w:r>
      <w:r w:rsidR="00305DA5">
        <w:t>c</w:t>
      </w:r>
      <w:r>
        <w:t>ontributing factors</w:t>
      </w:r>
      <w:bookmarkEnd w:id="652"/>
    </w:p>
    <w:p w14:paraId="50107BF7" w14:textId="590BF1CD" w:rsidR="00D74559" w:rsidRPr="00117B2F" w:rsidRDefault="00D74559" w:rsidP="006E2EF5">
      <w:r>
        <w:t>Consideration of the contributing factors should be explored before Providers consider servicing through a Managed Service Plan. Examples of factors that Providers could consider include:</w:t>
      </w:r>
    </w:p>
    <w:p w14:paraId="23708574" w14:textId="77777777" w:rsidR="00D74559" w:rsidRPr="00A17B7B" w:rsidRDefault="00D74559" w:rsidP="004E120D">
      <w:pPr>
        <w:pStyle w:val="BulletLevel1"/>
      </w:pPr>
      <w:r w:rsidRPr="00A17B7B">
        <w:t>any known Non-Vocational Barriers, such as a death in the family, caring responsibilities, mental health or other health or disability (past or present), drug or alcohol dependencies (past or present), and</w:t>
      </w:r>
    </w:p>
    <w:p w14:paraId="2EBC7B00" w14:textId="606D8D6A" w:rsidR="00D74559" w:rsidRPr="00A17B7B" w:rsidRDefault="002555DF" w:rsidP="004E120D">
      <w:pPr>
        <w:pStyle w:val="BulletLevel1"/>
      </w:pPr>
      <w:r>
        <w:t>if</w:t>
      </w:r>
      <w:r w:rsidR="00D74559" w:rsidRPr="00A17B7B">
        <w:t xml:space="preserve"> the Participant has disclosed information or displays / has previously displayed behaviour that may warrant conducting a new Job Seeker Snapshot due to a change of circumstances for a Participant.</w:t>
      </w:r>
    </w:p>
    <w:p w14:paraId="0FC769E6" w14:textId="4E009ADC" w:rsidR="00D74559" w:rsidRPr="00117B2F" w:rsidRDefault="00D74559" w:rsidP="00276031">
      <w:r w:rsidRPr="5BCE8B14">
        <w:t xml:space="preserve">All Managed </w:t>
      </w:r>
      <w:r>
        <w:t>Service</w:t>
      </w:r>
      <w:r w:rsidRPr="5BCE8B14">
        <w:t xml:space="preserve"> Plan arrangements must ensure that </w:t>
      </w:r>
      <w:r>
        <w:t>a</w:t>
      </w:r>
      <w:r w:rsidRPr="5BCE8B14">
        <w:t xml:space="preserve"> Participant </w:t>
      </w:r>
      <w:r>
        <w:t xml:space="preserve">(Mutual Obligation) or DSP Recipient (Compulsory Requirements) </w:t>
      </w:r>
      <w:r w:rsidRPr="5BCE8B14">
        <w:t xml:space="preserve">remains connected to employment services to meet their </w:t>
      </w:r>
      <w:r>
        <w:t>participation r</w:t>
      </w:r>
      <w:r w:rsidRPr="5BCE8B14">
        <w:t>equirements.</w:t>
      </w:r>
    </w:p>
    <w:p w14:paraId="70364730" w14:textId="0273877E" w:rsidR="00D74559" w:rsidRPr="00117B2F" w:rsidRDefault="00D74559" w:rsidP="00276031">
      <w:pPr>
        <w:rPr>
          <w:szCs w:val="22"/>
        </w:rPr>
      </w:pPr>
      <w:r w:rsidRPr="00117B2F">
        <w:rPr>
          <w:szCs w:val="22"/>
        </w:rPr>
        <w:t>The Provider should ensure that the Participant understands the requirements of the Managed Service Plan arrangements.</w:t>
      </w:r>
    </w:p>
    <w:p w14:paraId="6D55E3D6" w14:textId="564A5FF6" w:rsidR="00D74559" w:rsidRPr="006D1645" w:rsidRDefault="00D74559" w:rsidP="001D0F92">
      <w:pPr>
        <w:pStyle w:val="Heading3"/>
      </w:pPr>
      <w:bookmarkStart w:id="653" w:name="_Toc202900143"/>
      <w:r w:rsidRPr="006D1645">
        <w:t>13.7</w:t>
      </w:r>
      <w:r w:rsidR="004373EE">
        <w:tab/>
      </w:r>
      <w:r w:rsidRPr="006D1645">
        <w:t>Creating a Managed Service Plan</w:t>
      </w:r>
      <w:bookmarkEnd w:id="648"/>
      <w:bookmarkEnd w:id="653"/>
    </w:p>
    <w:p w14:paraId="13127C0F" w14:textId="70D3B932" w:rsidR="00D74559" w:rsidRPr="001379A1" w:rsidRDefault="00D74559" w:rsidP="006E2EF5">
      <w:pPr>
        <w:rPr>
          <w:rFonts w:ascii="Tahoma" w:eastAsia="Tahoma" w:hAnsi="Tahoma" w:cs="Tahoma"/>
        </w:rPr>
      </w:pPr>
      <w:r w:rsidRPr="00D54320">
        <w:rPr>
          <w:rFonts w:ascii="Tahoma" w:eastAsia="Tahoma" w:hAnsi="Tahoma" w:cs="Tahoma"/>
          <w:color w:val="334155"/>
        </w:rPr>
        <w:t xml:space="preserve">Managed </w:t>
      </w:r>
      <w:r w:rsidRPr="4DCD5608">
        <w:rPr>
          <w:rFonts w:ascii="Tahoma" w:eastAsia="Tahoma" w:hAnsi="Tahoma" w:cs="Tahoma"/>
          <w:color w:val="334155"/>
        </w:rPr>
        <w:t>Service</w:t>
      </w:r>
      <w:r w:rsidRPr="00D54320">
        <w:rPr>
          <w:rFonts w:ascii="Tahoma" w:eastAsia="Tahoma" w:hAnsi="Tahoma" w:cs="Tahoma"/>
          <w:color w:val="334155"/>
        </w:rPr>
        <w:t xml:space="preserve"> Plans </w:t>
      </w:r>
      <w:r w:rsidRPr="7A4475E1">
        <w:rPr>
          <w:rFonts w:ascii="Tahoma" w:eastAsia="Tahoma" w:hAnsi="Tahoma" w:cs="Tahoma"/>
          <w:color w:val="334155"/>
        </w:rPr>
        <w:t>enables a Provider</w:t>
      </w:r>
      <w:r w:rsidRPr="00D54320">
        <w:rPr>
          <w:rFonts w:ascii="Tahoma" w:eastAsia="Tahoma" w:hAnsi="Tahoma" w:cs="Tahoma"/>
          <w:color w:val="334155"/>
        </w:rPr>
        <w:t xml:space="preserve"> to consider alternate ways to Services to Participants with challenging behaviours.</w:t>
      </w:r>
    </w:p>
    <w:p w14:paraId="472E13E8" w14:textId="67328B0E" w:rsidR="00D74559" w:rsidRPr="001379A1" w:rsidRDefault="00D74559" w:rsidP="006E2EF5">
      <w:r w:rsidRPr="5BCE8B14">
        <w:rPr>
          <w:rFonts w:ascii="Tahoma" w:eastAsia="Tahoma" w:hAnsi="Tahoma" w:cs="Tahoma"/>
          <w:color w:val="052E16"/>
        </w:rPr>
        <w:t xml:space="preserve">Managed </w:t>
      </w:r>
      <w:r w:rsidRPr="4DCD5608">
        <w:rPr>
          <w:rFonts w:ascii="Tahoma" w:eastAsia="Tahoma" w:hAnsi="Tahoma" w:cs="Tahoma"/>
          <w:color w:val="052E16"/>
        </w:rPr>
        <w:t>Service</w:t>
      </w:r>
      <w:r w:rsidRPr="5BCE8B14">
        <w:rPr>
          <w:rFonts w:ascii="Tahoma" w:eastAsia="Tahoma" w:hAnsi="Tahoma" w:cs="Tahoma"/>
          <w:color w:val="052E16"/>
        </w:rPr>
        <w:t xml:space="preserve"> Plans focus on keeping staff and Participants safe. They also help Participants to stay connected to employment services. When needed, these Plans help Participants </w:t>
      </w:r>
      <w:r>
        <w:rPr>
          <w:rFonts w:ascii="Tahoma" w:eastAsia="Tahoma" w:hAnsi="Tahoma" w:cs="Tahoma"/>
          <w:color w:val="052E16"/>
        </w:rPr>
        <w:t xml:space="preserve">(Mutual Obligations) and DSP Recipients (Compulsory Requirements) to </w:t>
      </w:r>
      <w:r w:rsidRPr="5BCE8B14">
        <w:rPr>
          <w:rFonts w:ascii="Tahoma" w:eastAsia="Tahoma" w:hAnsi="Tahoma" w:cs="Tahoma"/>
          <w:color w:val="052E16"/>
        </w:rPr>
        <w:t xml:space="preserve">meet their </w:t>
      </w:r>
      <w:r>
        <w:rPr>
          <w:rFonts w:ascii="Tahoma" w:eastAsia="Tahoma" w:hAnsi="Tahoma" w:cs="Tahoma"/>
          <w:color w:val="052E16"/>
        </w:rPr>
        <w:t>participation</w:t>
      </w:r>
      <w:r w:rsidRPr="5BCE8B14">
        <w:rPr>
          <w:rFonts w:ascii="Tahoma" w:eastAsia="Tahoma" w:hAnsi="Tahoma" w:cs="Tahoma"/>
          <w:color w:val="052E16"/>
        </w:rPr>
        <w:t xml:space="preserve"> </w:t>
      </w:r>
      <w:r>
        <w:rPr>
          <w:rFonts w:ascii="Tahoma" w:eastAsia="Tahoma" w:hAnsi="Tahoma" w:cs="Tahoma"/>
          <w:color w:val="052E16"/>
        </w:rPr>
        <w:t>r</w:t>
      </w:r>
      <w:r w:rsidRPr="5BCE8B14">
        <w:rPr>
          <w:rFonts w:ascii="Tahoma" w:eastAsia="Tahoma" w:hAnsi="Tahoma" w:cs="Tahoma"/>
          <w:color w:val="052E16"/>
        </w:rPr>
        <w:t>equirements.</w:t>
      </w:r>
      <w:r w:rsidRPr="5BCE8B14">
        <w:rPr>
          <w:rFonts w:ascii="Tahoma" w:eastAsia="Tahoma" w:hAnsi="Tahoma" w:cs="Tahoma"/>
        </w:rPr>
        <w:t xml:space="preserve"> </w:t>
      </w:r>
      <w:r w:rsidRPr="5BCE8B14">
        <w:t xml:space="preserve">A Managed </w:t>
      </w:r>
      <w:r>
        <w:t>Service</w:t>
      </w:r>
      <w:r w:rsidRPr="5BCE8B14">
        <w:t xml:space="preserve"> Plan can be applied at any time, either short –term or long-term, where it is considered by the Provider to be appropriate.</w:t>
      </w:r>
    </w:p>
    <w:p w14:paraId="4DBE778F" w14:textId="37A29466" w:rsidR="00D74559" w:rsidRDefault="00D74559" w:rsidP="006E2EF5">
      <w:pPr>
        <w:rPr>
          <w:rFonts w:ascii="Tahoma" w:eastAsia="Tahoma" w:hAnsi="Tahoma"/>
          <w:color w:val="000000" w:themeColor="text1"/>
        </w:rPr>
      </w:pPr>
      <w:r w:rsidRPr="06D939AB">
        <w:rPr>
          <w:rFonts w:ascii="Tahoma" w:eastAsia="Tahoma" w:hAnsi="Tahoma"/>
          <w:color w:val="000000" w:themeColor="text1"/>
        </w:rPr>
        <w:t xml:space="preserve">All </w:t>
      </w:r>
      <w:r>
        <w:t>Managed Service Plans</w:t>
      </w:r>
      <w:r w:rsidRPr="06D939AB">
        <w:rPr>
          <w:rFonts w:ascii="Tahoma" w:eastAsia="Tahoma" w:hAnsi="Tahoma"/>
          <w:color w:val="000000" w:themeColor="text1"/>
        </w:rPr>
        <w:t xml:space="preserve"> must be approved at Site manager level or higher and must be recorded in the Department’s IT Systems.</w:t>
      </w:r>
    </w:p>
    <w:p w14:paraId="1EFD7F58" w14:textId="21FAD494" w:rsidR="00D74559" w:rsidRPr="00A17B7B" w:rsidRDefault="00D74559" w:rsidP="006F727E">
      <w:pPr>
        <w:pStyle w:val="SystemStep"/>
      </w:pPr>
      <w:r w:rsidRPr="00A17B7B">
        <w:t xml:space="preserve">Providers must record all Managed </w:t>
      </w:r>
      <w:r>
        <w:t>Service</w:t>
      </w:r>
      <w:r w:rsidRPr="00A17B7B">
        <w:t xml:space="preserve"> Plan arrangements and restrictions that are put in place in the Managed </w:t>
      </w:r>
      <w:r>
        <w:t>Service</w:t>
      </w:r>
      <w:r w:rsidRPr="00A17B7B">
        <w:t xml:space="preserve"> Plan </w:t>
      </w:r>
      <w:r w:rsidR="00860866">
        <w:t>screen</w:t>
      </w:r>
      <w:r w:rsidRPr="00A17B7B">
        <w:t xml:space="preserve"> on the Participant’s record in the Department’s IT Systems.</w:t>
      </w:r>
    </w:p>
    <w:p w14:paraId="7E0B1700" w14:textId="40C5A578" w:rsidR="00D74559" w:rsidRPr="00925E7A" w:rsidRDefault="00D74559" w:rsidP="001D0F92">
      <w:pPr>
        <w:pStyle w:val="Heading4"/>
      </w:pPr>
      <w:bookmarkStart w:id="654" w:name="_Toc202900144"/>
      <w:r w:rsidRPr="2FDAC200">
        <w:t>13.</w:t>
      </w:r>
      <w:r>
        <w:t>7</w:t>
      </w:r>
      <w:r w:rsidRPr="2FDAC200">
        <w:t>.</w:t>
      </w:r>
      <w:r>
        <w:t>1</w:t>
      </w:r>
      <w:r w:rsidR="004373EE">
        <w:tab/>
      </w:r>
      <w:r w:rsidRPr="2FDAC200">
        <w:t>Report types</w:t>
      </w:r>
      <w:bookmarkEnd w:id="654"/>
    </w:p>
    <w:p w14:paraId="0A7E5882" w14:textId="6A0B1309" w:rsidR="00D74559" w:rsidRDefault="00D74559" w:rsidP="006E2EF5">
      <w:pPr>
        <w:rPr>
          <w:rFonts w:ascii="Tahoma" w:eastAsia="Tahoma" w:hAnsi="Tahoma"/>
          <w:color w:val="000000" w:themeColor="text1"/>
        </w:rPr>
      </w:pPr>
      <w:r>
        <w:t>Managed Service Plans</w:t>
      </w:r>
      <w:r w:rsidRPr="635D9F46">
        <w:rPr>
          <w:rFonts w:ascii="Tahoma" w:eastAsia="Tahoma" w:hAnsi="Tahoma"/>
          <w:color w:val="000000" w:themeColor="text1"/>
        </w:rPr>
        <w:t xml:space="preserve"> may be:</w:t>
      </w:r>
    </w:p>
    <w:p w14:paraId="2C16304B" w14:textId="77777777" w:rsidR="00D74559" w:rsidRPr="009F54D8" w:rsidRDefault="00D74559" w:rsidP="004E120D">
      <w:pPr>
        <w:pStyle w:val="BulletLevel1"/>
      </w:pPr>
      <w:r w:rsidRPr="009F54D8">
        <w:t>Reactive — if linked to an Incident Report in the Departments IT Systems, or</w:t>
      </w:r>
    </w:p>
    <w:p w14:paraId="6A478882" w14:textId="3C1C0058" w:rsidR="00D74559" w:rsidRPr="009F54D8" w:rsidRDefault="00D74559" w:rsidP="004E120D">
      <w:pPr>
        <w:pStyle w:val="BulletLevel1"/>
      </w:pPr>
      <w:r w:rsidRPr="009F54D8">
        <w:t xml:space="preserve">Proactive — if the Managed </w:t>
      </w:r>
      <w:r>
        <w:t>Service</w:t>
      </w:r>
      <w:r w:rsidRPr="009F54D8">
        <w:t xml:space="preserve"> Plan is created to prevent an anticipated Incident.</w:t>
      </w:r>
    </w:p>
    <w:p w14:paraId="554CC635" w14:textId="14E5180E" w:rsidR="00D74559" w:rsidRDefault="00D74559" w:rsidP="001D0F92">
      <w:pPr>
        <w:pStyle w:val="Heading4"/>
      </w:pPr>
      <w:bookmarkStart w:id="655" w:name="_Toc202900145"/>
      <w:r w:rsidRPr="2FDAC200">
        <w:t>13.</w:t>
      </w:r>
      <w:r>
        <w:t>7</w:t>
      </w:r>
      <w:r w:rsidRPr="2FDAC200">
        <w:t>.</w:t>
      </w:r>
      <w:r>
        <w:t>2</w:t>
      </w:r>
      <w:r w:rsidR="004373EE">
        <w:tab/>
      </w:r>
      <w:r w:rsidRPr="2FDAC200">
        <w:t>Timeframes</w:t>
      </w:r>
      <w:bookmarkEnd w:id="655"/>
      <w:r w:rsidRPr="2FDAC200">
        <w:t xml:space="preserve"> </w:t>
      </w:r>
    </w:p>
    <w:p w14:paraId="7D5CB711" w14:textId="77777777" w:rsidR="00D74559" w:rsidRPr="00D54320" w:rsidRDefault="00D74559" w:rsidP="006E2EF5">
      <w:pPr>
        <w:spacing w:after="180"/>
        <w:rPr>
          <w:rFonts w:ascii="Tahoma" w:eastAsia="Tahoma" w:hAnsi="Tahoma" w:cs="Tahoma"/>
        </w:rPr>
      </w:pPr>
      <w:r w:rsidRPr="5BCE8B14">
        <w:rPr>
          <w:rFonts w:ascii="Tahoma" w:eastAsia="Tahoma" w:hAnsi="Tahoma"/>
          <w:color w:val="000000" w:themeColor="text1"/>
        </w:rPr>
        <w:t xml:space="preserve">Providers must apply a timeframe that is appropriate to the circumstances and </w:t>
      </w:r>
      <w:r w:rsidRPr="5BCE8B14">
        <w:rPr>
          <w:rFonts w:ascii="Tahoma" w:eastAsia="Tahoma" w:hAnsi="Tahoma" w:cs="Tahoma"/>
          <w:color w:val="000000" w:themeColor="text1"/>
        </w:rPr>
        <w:t xml:space="preserve">severity of the </w:t>
      </w:r>
      <w:r w:rsidRPr="00D54320">
        <w:rPr>
          <w:rFonts w:ascii="Tahoma" w:eastAsia="Tahoma" w:hAnsi="Tahoma" w:cs="Tahoma"/>
        </w:rPr>
        <w:t xml:space="preserve">Participant’s behaviour and/or </w:t>
      </w:r>
      <w:r>
        <w:rPr>
          <w:rFonts w:ascii="Tahoma" w:eastAsia="Tahoma" w:hAnsi="Tahoma" w:cs="Tahoma"/>
        </w:rPr>
        <w:t>Incident</w:t>
      </w:r>
      <w:r w:rsidRPr="00D54320">
        <w:rPr>
          <w:rFonts w:ascii="Tahoma" w:eastAsia="Tahoma" w:hAnsi="Tahoma" w:cs="Tahoma"/>
        </w:rPr>
        <w:t>(s).</w:t>
      </w:r>
    </w:p>
    <w:p w14:paraId="68E802E1" w14:textId="182AC471" w:rsidR="00D74559" w:rsidRPr="0083378B" w:rsidRDefault="00D74559" w:rsidP="006E2EF5">
      <w:pPr>
        <w:keepNext/>
        <w:rPr>
          <w:rFonts w:ascii="Tahoma" w:eastAsia="Tahoma" w:hAnsi="Tahoma"/>
        </w:rPr>
      </w:pPr>
      <w:r w:rsidRPr="00D54320">
        <w:rPr>
          <w:rFonts w:ascii="Tahoma" w:eastAsia="Tahoma" w:hAnsi="Tahoma"/>
        </w:rPr>
        <w:t xml:space="preserve">A </w:t>
      </w:r>
      <w:r>
        <w:t xml:space="preserve">Managed Service Plan </w:t>
      </w:r>
      <w:r w:rsidRPr="00D54320">
        <w:rPr>
          <w:rFonts w:ascii="Tahoma" w:eastAsia="Tahoma" w:hAnsi="Tahoma"/>
        </w:rPr>
        <w:t>may be applied:</w:t>
      </w:r>
    </w:p>
    <w:p w14:paraId="27C36DBF" w14:textId="230378B8" w:rsidR="00D74559" w:rsidRPr="00D54320" w:rsidRDefault="00D74559" w:rsidP="00593799">
      <w:pPr>
        <w:numPr>
          <w:ilvl w:val="0"/>
          <w:numId w:val="7"/>
        </w:numPr>
        <w:rPr>
          <w:rFonts w:ascii="Tahoma" w:eastAsia="Tahoma" w:hAnsi="Tahoma"/>
        </w:rPr>
      </w:pPr>
      <w:r w:rsidRPr="550A4853">
        <w:rPr>
          <w:rFonts w:ascii="Tahoma" w:eastAsia="Tahoma" w:hAnsi="Tahoma"/>
          <w:b/>
        </w:rPr>
        <w:t>short-term</w:t>
      </w:r>
      <w:r w:rsidRPr="550A4853">
        <w:rPr>
          <w:rFonts w:ascii="Tahoma" w:eastAsia="Tahoma" w:hAnsi="Tahoma"/>
        </w:rPr>
        <w:t xml:space="preserve"> (up to 1 month) — to provide a ‘cooling off’ period, consider personal factors, and/or test whether a longer Managed </w:t>
      </w:r>
      <w:r w:rsidRPr="1FF39D3D">
        <w:rPr>
          <w:rFonts w:ascii="Tahoma" w:eastAsia="Tahoma" w:hAnsi="Tahoma"/>
        </w:rPr>
        <w:t>Service</w:t>
      </w:r>
      <w:r w:rsidRPr="550A4853">
        <w:rPr>
          <w:rFonts w:ascii="Tahoma" w:eastAsia="Tahoma" w:hAnsi="Tahoma"/>
        </w:rPr>
        <w:t xml:space="preserve"> Plan is needed</w:t>
      </w:r>
      <w:r w:rsidR="00276031">
        <w:rPr>
          <w:rFonts w:ascii="Tahoma" w:eastAsia="Tahoma" w:hAnsi="Tahoma"/>
        </w:rPr>
        <w:t>, and</w:t>
      </w:r>
    </w:p>
    <w:p w14:paraId="0F560378" w14:textId="77777777" w:rsidR="00D74559" w:rsidRPr="00D54320" w:rsidRDefault="00D74559" w:rsidP="00593799">
      <w:pPr>
        <w:numPr>
          <w:ilvl w:val="0"/>
          <w:numId w:val="7"/>
        </w:numPr>
        <w:rPr>
          <w:rFonts w:ascii="Tahoma" w:eastAsia="Tahoma" w:hAnsi="Tahoma"/>
        </w:rPr>
      </w:pPr>
      <w:r w:rsidRPr="00D54320">
        <w:rPr>
          <w:rFonts w:ascii="Tahoma" w:eastAsia="Tahoma" w:hAnsi="Tahoma"/>
          <w:b/>
          <w:bCs/>
        </w:rPr>
        <w:t>long-term</w:t>
      </w:r>
      <w:r w:rsidRPr="00D54320">
        <w:rPr>
          <w:rFonts w:ascii="Tahoma" w:eastAsia="Tahoma" w:hAnsi="Tahoma"/>
        </w:rPr>
        <w:t xml:space="preserve"> (1 to 12 months) </w:t>
      </w:r>
      <w:r>
        <w:rPr>
          <w:rFonts w:ascii="Tahoma" w:eastAsia="Tahoma" w:hAnsi="Tahoma"/>
        </w:rPr>
        <w:t xml:space="preserve">— </w:t>
      </w:r>
      <w:r w:rsidRPr="00D54320">
        <w:rPr>
          <w:rFonts w:ascii="Tahoma" w:eastAsia="Tahoma" w:hAnsi="Tahoma"/>
        </w:rPr>
        <w:t xml:space="preserve">to </w:t>
      </w:r>
      <w:r w:rsidRPr="00D54320">
        <w:rPr>
          <w:rFonts w:ascii="Tahoma" w:eastAsia="Tahoma" w:hAnsi="Tahoma" w:cs="Tahoma"/>
        </w:rPr>
        <w:t xml:space="preserve">allows time for the Provider to assist the Participant to address any barriers or personal circumstances, provide support and manage interactions between the Provider and the Participant to ensure the safety of all involved. </w:t>
      </w:r>
    </w:p>
    <w:p w14:paraId="71CFC637" w14:textId="2CFE54B5" w:rsidR="00D74559" w:rsidRPr="0083378B" w:rsidRDefault="00D74559" w:rsidP="006E2EF5">
      <w:pPr>
        <w:spacing w:after="180"/>
        <w:rPr>
          <w:rFonts w:ascii="Tahoma" w:eastAsia="Tahoma" w:hAnsi="Tahoma" w:cs="Tahoma"/>
        </w:rPr>
      </w:pPr>
      <w:r w:rsidRPr="00D54320">
        <w:rPr>
          <w:rFonts w:ascii="Tahoma" w:eastAsia="Tahoma" w:hAnsi="Tahoma" w:cs="Tahoma"/>
        </w:rPr>
        <w:t xml:space="preserve">A long-term Managed </w:t>
      </w:r>
      <w:r w:rsidRPr="635D9F46">
        <w:rPr>
          <w:rFonts w:ascii="Tahoma" w:eastAsia="Tahoma" w:hAnsi="Tahoma" w:cs="Tahoma"/>
        </w:rPr>
        <w:t>Service</w:t>
      </w:r>
      <w:r w:rsidRPr="00D54320">
        <w:rPr>
          <w:rFonts w:ascii="Tahoma" w:eastAsia="Tahoma" w:hAnsi="Tahoma" w:cs="Tahoma"/>
        </w:rPr>
        <w:t xml:space="preserve"> Plan can be extended beyond 12 months. This happens if a review shows it's still needed. The goal is to help the Participant tackle the causes of their challenging behaviours and manage risks to people and property from these behaviours.</w:t>
      </w:r>
    </w:p>
    <w:p w14:paraId="4AF431F4" w14:textId="1342E6EC" w:rsidR="00D74559" w:rsidRDefault="00D74559" w:rsidP="001D0F92">
      <w:pPr>
        <w:pStyle w:val="Heading4"/>
      </w:pPr>
      <w:bookmarkStart w:id="656" w:name="_Toc202900146"/>
      <w:r w:rsidRPr="2FDAC200">
        <w:t>13.</w:t>
      </w:r>
      <w:r>
        <w:t>7</w:t>
      </w:r>
      <w:r w:rsidRPr="2FDAC200">
        <w:t>.</w:t>
      </w:r>
      <w:r>
        <w:t>3</w:t>
      </w:r>
      <w:r w:rsidR="004373EE">
        <w:tab/>
      </w:r>
      <w:r w:rsidRPr="2FDAC200">
        <w:t xml:space="preserve">Servicing </w:t>
      </w:r>
      <w:r>
        <w:t>s</w:t>
      </w:r>
      <w:r w:rsidRPr="2FDAC200">
        <w:t>trategies</w:t>
      </w:r>
      <w:bookmarkEnd w:id="656"/>
      <w:r w:rsidRPr="2FDAC200">
        <w:t xml:space="preserve"> </w:t>
      </w:r>
    </w:p>
    <w:p w14:paraId="152D2ECA" w14:textId="786148E0" w:rsidR="00D74559" w:rsidRPr="00D54320" w:rsidRDefault="00D74559" w:rsidP="006E2EF5">
      <w:pPr>
        <w:rPr>
          <w:rFonts w:ascii="Tahoma" w:eastAsia="Tahoma" w:hAnsi="Tahoma"/>
        </w:rPr>
      </w:pPr>
      <w:r>
        <w:t>Managed Service Plans</w:t>
      </w:r>
      <w:r w:rsidRPr="1FF39D3D">
        <w:rPr>
          <w:rFonts w:ascii="Tahoma" w:eastAsia="Tahoma" w:hAnsi="Tahoma"/>
        </w:rPr>
        <w:t xml:space="preserve"> can include s</w:t>
      </w:r>
      <w:r w:rsidRPr="5BCE8B14">
        <w:t xml:space="preserve">ervicing </w:t>
      </w:r>
      <w:r>
        <w:t>s</w:t>
      </w:r>
      <w:r w:rsidRPr="5BCE8B14">
        <w:t>trategies</w:t>
      </w:r>
      <w:r>
        <w:t xml:space="preserve"> that</w:t>
      </w:r>
      <w:r w:rsidRPr="1FF39D3D">
        <w:rPr>
          <w:rFonts w:ascii="Tahoma" w:eastAsia="Tahoma" w:hAnsi="Tahoma"/>
        </w:rPr>
        <w:t xml:space="preserve"> the Provider will implement to help address the Participant’s barriers or personal circumstances contributing to behaviour. This can include referrals internal or external for:</w:t>
      </w:r>
    </w:p>
    <w:p w14:paraId="0168CA5D" w14:textId="77777777" w:rsidR="00D74559" w:rsidRPr="00D54320" w:rsidRDefault="00D74559" w:rsidP="004E120D">
      <w:pPr>
        <w:pStyle w:val="BulletLevel1"/>
      </w:pPr>
      <w:r w:rsidRPr="00D54320">
        <w:t>behaviour management counselling</w:t>
      </w:r>
    </w:p>
    <w:p w14:paraId="2C27F022" w14:textId="77777777" w:rsidR="00D74559" w:rsidRPr="00D54320" w:rsidRDefault="00D74559" w:rsidP="004E120D">
      <w:pPr>
        <w:pStyle w:val="BulletLevel1"/>
      </w:pPr>
      <w:r w:rsidRPr="00D54320">
        <w:t>financial planning</w:t>
      </w:r>
    </w:p>
    <w:p w14:paraId="1334117C" w14:textId="77777777" w:rsidR="00D74559" w:rsidRPr="00D54320" w:rsidRDefault="00D74559" w:rsidP="004E120D">
      <w:pPr>
        <w:pStyle w:val="BulletLevel1"/>
      </w:pPr>
      <w:r w:rsidRPr="00D54320">
        <w:t>housing or accommodation assistance</w:t>
      </w:r>
    </w:p>
    <w:p w14:paraId="4F8F8BD0" w14:textId="77777777" w:rsidR="00D74559" w:rsidRPr="00D54320" w:rsidRDefault="00D74559" w:rsidP="004E120D">
      <w:pPr>
        <w:pStyle w:val="BulletLevel1"/>
      </w:pPr>
      <w:r w:rsidRPr="00D54320">
        <w:t>legal aid</w:t>
      </w:r>
    </w:p>
    <w:p w14:paraId="50F390E0" w14:textId="77777777" w:rsidR="00D74559" w:rsidRPr="00D54320" w:rsidRDefault="00D74559" w:rsidP="004E120D">
      <w:pPr>
        <w:pStyle w:val="BulletLevel1"/>
      </w:pPr>
      <w:r w:rsidRPr="00D54320">
        <w:t>drug and alcohol counselling, grief counselling, social or community program/course, or family relationship counselling</w:t>
      </w:r>
      <w:r>
        <w:t>, and/or</w:t>
      </w:r>
    </w:p>
    <w:p w14:paraId="2B09CF85" w14:textId="77777777" w:rsidR="00D74559" w:rsidRPr="00D54320" w:rsidRDefault="00D74559" w:rsidP="004E120D">
      <w:pPr>
        <w:pStyle w:val="BulletLevel1"/>
      </w:pPr>
      <w:r>
        <w:t>h</w:t>
      </w:r>
      <w:r w:rsidRPr="00D54320">
        <w:t>ealth practitioner</w:t>
      </w:r>
      <w:r>
        <w:t>.</w:t>
      </w:r>
    </w:p>
    <w:p w14:paraId="326AFB9B" w14:textId="7185CE20" w:rsidR="00D74559" w:rsidRDefault="00D74559" w:rsidP="001D0F92">
      <w:pPr>
        <w:pStyle w:val="Heading4"/>
      </w:pPr>
      <w:bookmarkStart w:id="657" w:name="_Toc202900147"/>
      <w:r w:rsidRPr="2FDAC200">
        <w:t>13.</w:t>
      </w:r>
      <w:r>
        <w:t>7</w:t>
      </w:r>
      <w:r w:rsidRPr="2FDAC200">
        <w:t>.</w:t>
      </w:r>
      <w:r>
        <w:t>4</w:t>
      </w:r>
      <w:r w:rsidR="004373EE">
        <w:tab/>
      </w:r>
      <w:r w:rsidRPr="2FDAC200">
        <w:t xml:space="preserve">Service </w:t>
      </w:r>
      <w:r>
        <w:t>c</w:t>
      </w:r>
      <w:r w:rsidRPr="2FDAC200">
        <w:t xml:space="preserve">hannel </w:t>
      </w:r>
      <w:r>
        <w:t>r</w:t>
      </w:r>
      <w:r w:rsidRPr="2FDAC200">
        <w:t>estrictions</w:t>
      </w:r>
      <w:bookmarkEnd w:id="657"/>
    </w:p>
    <w:p w14:paraId="4D433E6D" w14:textId="609188D8" w:rsidR="00D74559" w:rsidRDefault="00D74559" w:rsidP="006E2EF5">
      <w:pPr>
        <w:rPr>
          <w:rFonts w:ascii="Tahoma" w:eastAsia="Tahoma" w:hAnsi="Tahoma"/>
          <w:color w:val="000000" w:themeColor="text1"/>
          <w:szCs w:val="22"/>
        </w:rPr>
      </w:pPr>
      <w:r w:rsidRPr="7572BC89">
        <w:rPr>
          <w:rFonts w:ascii="Tahoma" w:eastAsia="Tahoma" w:hAnsi="Tahoma"/>
          <w:color w:val="000000" w:themeColor="text1"/>
          <w:szCs w:val="22"/>
        </w:rPr>
        <w:t xml:space="preserve">Providers may apply </w:t>
      </w:r>
      <w:r>
        <w:rPr>
          <w:rFonts w:ascii="Tahoma" w:eastAsia="Tahoma" w:hAnsi="Tahoma"/>
          <w:color w:val="000000" w:themeColor="text1"/>
          <w:szCs w:val="22"/>
        </w:rPr>
        <w:t>s</w:t>
      </w:r>
      <w:r w:rsidRPr="7572BC89">
        <w:rPr>
          <w:rFonts w:ascii="Tahoma" w:eastAsia="Tahoma" w:hAnsi="Tahoma"/>
          <w:color w:val="000000" w:themeColor="text1"/>
          <w:szCs w:val="22"/>
        </w:rPr>
        <w:t xml:space="preserve">ervice </w:t>
      </w:r>
      <w:r>
        <w:rPr>
          <w:rFonts w:ascii="Tahoma" w:eastAsia="Tahoma" w:hAnsi="Tahoma"/>
          <w:color w:val="000000" w:themeColor="text1"/>
          <w:szCs w:val="22"/>
        </w:rPr>
        <w:t>c</w:t>
      </w:r>
      <w:r w:rsidRPr="7572BC89">
        <w:rPr>
          <w:rFonts w:ascii="Tahoma" w:eastAsia="Tahoma" w:hAnsi="Tahoma"/>
          <w:color w:val="000000" w:themeColor="text1"/>
          <w:szCs w:val="22"/>
        </w:rPr>
        <w:t xml:space="preserve">hannel </w:t>
      </w:r>
      <w:r>
        <w:rPr>
          <w:rFonts w:ascii="Tahoma" w:eastAsia="Tahoma" w:hAnsi="Tahoma"/>
          <w:color w:val="000000" w:themeColor="text1"/>
          <w:szCs w:val="22"/>
        </w:rPr>
        <w:t>r</w:t>
      </w:r>
      <w:r w:rsidRPr="7572BC89">
        <w:rPr>
          <w:rFonts w:ascii="Tahoma" w:eastAsia="Tahoma" w:hAnsi="Tahoma"/>
          <w:color w:val="000000" w:themeColor="text1"/>
          <w:szCs w:val="22"/>
        </w:rPr>
        <w:t xml:space="preserve">estrictions in the </w:t>
      </w:r>
      <w:r>
        <w:t>Managed Service Plan</w:t>
      </w:r>
      <w:r w:rsidRPr="7572BC89">
        <w:rPr>
          <w:rFonts w:ascii="Tahoma" w:eastAsia="Tahoma" w:hAnsi="Tahoma"/>
          <w:color w:val="000000" w:themeColor="text1"/>
          <w:szCs w:val="22"/>
        </w:rPr>
        <w:t xml:space="preserve">. Providers can impose partial or full restrictions of one or more service channels. </w:t>
      </w:r>
    </w:p>
    <w:p w14:paraId="27BEC2A0" w14:textId="77777777" w:rsidR="00D74559" w:rsidRDefault="00D74559" w:rsidP="006E2EF5">
      <w:pPr>
        <w:rPr>
          <w:rFonts w:ascii="Tahoma" w:eastAsia="Tahoma" w:hAnsi="Tahoma"/>
          <w:szCs w:val="22"/>
        </w:rPr>
      </w:pPr>
      <w:r w:rsidRPr="7572BC89">
        <w:rPr>
          <w:rFonts w:ascii="Tahoma" w:eastAsia="Tahoma" w:hAnsi="Tahoma"/>
          <w:color w:val="000000" w:themeColor="text1"/>
          <w:szCs w:val="22"/>
        </w:rPr>
        <w:t>Providers can specify:</w:t>
      </w:r>
    </w:p>
    <w:p w14:paraId="5C3D4499" w14:textId="1255F0CD" w:rsidR="00D74559" w:rsidRPr="00A17B7B" w:rsidRDefault="00D74559" w:rsidP="004E120D">
      <w:pPr>
        <w:pStyle w:val="BulletLevel1"/>
      </w:pPr>
      <w:r w:rsidRPr="00A17B7B">
        <w:t xml:space="preserve">contact channels that the Participant can use (face-to-face, </w:t>
      </w:r>
      <w:r w:rsidR="00D9789A">
        <w:t>phone</w:t>
      </w:r>
      <w:r w:rsidRPr="00A17B7B">
        <w:t>, writing)</w:t>
      </w:r>
    </w:p>
    <w:p w14:paraId="357D7E92" w14:textId="30AEBA0B" w:rsidR="00D74559" w:rsidRPr="00A17B7B" w:rsidRDefault="00D74559" w:rsidP="004E120D">
      <w:pPr>
        <w:pStyle w:val="BulletLevel1"/>
      </w:pPr>
      <w:r w:rsidRPr="00A17B7B">
        <w:t xml:space="preserve">who the Participant can contact — Providers may decide to nominate a staff member as the One Main </w:t>
      </w:r>
      <w:r w:rsidR="000416A1">
        <w:t>c</w:t>
      </w:r>
      <w:r>
        <w:t>ontact</w:t>
      </w:r>
      <w:r w:rsidRPr="00A17B7B">
        <w:t xml:space="preserve"> for the Participant, and</w:t>
      </w:r>
    </w:p>
    <w:p w14:paraId="2A6D6A7A" w14:textId="77777777" w:rsidR="00D74559" w:rsidRPr="00A17B7B" w:rsidRDefault="00D74559" w:rsidP="004E120D">
      <w:pPr>
        <w:pStyle w:val="BulletLevel1"/>
      </w:pPr>
      <w:r w:rsidRPr="00A17B7B">
        <w:t>when the Participant can make contact.</w:t>
      </w:r>
    </w:p>
    <w:p w14:paraId="429A9014" w14:textId="2AD14661" w:rsidR="00D74559" w:rsidRDefault="00D74559" w:rsidP="006E2EF5">
      <w:r w:rsidRPr="00A95A3A">
        <w:rPr>
          <w:b/>
          <w:bCs/>
        </w:rPr>
        <w:t>Note:</w:t>
      </w:r>
      <w:r>
        <w:t xml:space="preserve"> If a One Main </w:t>
      </w:r>
      <w:r w:rsidR="26F6E77F">
        <w:t>c</w:t>
      </w:r>
      <w:r>
        <w:t xml:space="preserve">ontact is nominated, the Provider </w:t>
      </w:r>
      <w:r w:rsidRPr="43FB7C46">
        <w:rPr>
          <w:rFonts w:ascii="Tahoma" w:eastAsia="Tahoma" w:hAnsi="Tahoma"/>
          <w:color w:val="000000" w:themeColor="text1"/>
        </w:rPr>
        <w:t>should also name a back-up contact.</w:t>
      </w:r>
    </w:p>
    <w:p w14:paraId="3E962D3A" w14:textId="7981F082" w:rsidR="00D74559" w:rsidRPr="00846591" w:rsidRDefault="00D74559" w:rsidP="001D0F92">
      <w:pPr>
        <w:pStyle w:val="Heading4"/>
      </w:pPr>
      <w:bookmarkStart w:id="658" w:name="_Toc95927056"/>
      <w:bookmarkStart w:id="659" w:name="_Toc202900148"/>
      <w:r>
        <w:t>13.7.5</w:t>
      </w:r>
      <w:r w:rsidR="004373EE">
        <w:tab/>
      </w:r>
      <w:r w:rsidRPr="00846591">
        <w:t xml:space="preserve">Approval to apply a Managed </w:t>
      </w:r>
      <w:r>
        <w:t>Service</w:t>
      </w:r>
      <w:r w:rsidRPr="00846591">
        <w:t xml:space="preserve"> Plan</w:t>
      </w:r>
      <w:bookmarkEnd w:id="658"/>
      <w:bookmarkEnd w:id="659"/>
    </w:p>
    <w:p w14:paraId="2251DB5F" w14:textId="61AE8E8E" w:rsidR="00D74559" w:rsidRPr="00E62C75" w:rsidRDefault="00D74559" w:rsidP="006E2EF5">
      <w:r w:rsidRPr="5BCE8B14">
        <w:t xml:space="preserve">All Managed </w:t>
      </w:r>
      <w:r>
        <w:t>Service</w:t>
      </w:r>
      <w:r w:rsidRPr="5BCE8B14">
        <w:t xml:space="preserve"> Plans require approval from a Site Manager of the Provider or equivalent and must be recorded in the Department’s IT Systems.</w:t>
      </w:r>
    </w:p>
    <w:p w14:paraId="3959820F" w14:textId="72BF3760" w:rsidR="00D74559" w:rsidRDefault="00D74559" w:rsidP="001D0F92">
      <w:pPr>
        <w:pStyle w:val="Heading4"/>
      </w:pPr>
      <w:bookmarkStart w:id="660" w:name="_Toc202900149"/>
      <w:r w:rsidRPr="2FDAC200">
        <w:t>13.</w:t>
      </w:r>
      <w:r>
        <w:t>7</w:t>
      </w:r>
      <w:r w:rsidRPr="2FDAC200">
        <w:t>.</w:t>
      </w:r>
      <w:r>
        <w:t>6</w:t>
      </w:r>
      <w:r w:rsidR="004373EE">
        <w:tab/>
      </w:r>
      <w:r w:rsidRPr="2FDAC200">
        <w:t>Advising the Participant of arrangements</w:t>
      </w:r>
      <w:bookmarkEnd w:id="660"/>
    </w:p>
    <w:p w14:paraId="39DF5C48" w14:textId="6A45FA03" w:rsidR="00D74559" w:rsidRDefault="00D74559">
      <w:r w:rsidRPr="5BCE8B14">
        <w:t xml:space="preserve">Participants must be notified of the </w:t>
      </w:r>
      <w:r>
        <w:t>s</w:t>
      </w:r>
      <w:r w:rsidRPr="5BCE8B14">
        <w:t xml:space="preserve">ervicing </w:t>
      </w:r>
      <w:r>
        <w:t>s</w:t>
      </w:r>
      <w:r w:rsidRPr="5BCE8B14">
        <w:t xml:space="preserve">trategies and </w:t>
      </w:r>
      <w:r>
        <w:t>s</w:t>
      </w:r>
      <w:r w:rsidRPr="5BCE8B14">
        <w:t xml:space="preserve">ervice </w:t>
      </w:r>
      <w:r>
        <w:t>c</w:t>
      </w:r>
      <w:r w:rsidRPr="5BCE8B14">
        <w:t xml:space="preserve">hannel </w:t>
      </w:r>
      <w:r>
        <w:t>r</w:t>
      </w:r>
      <w:r w:rsidRPr="5BCE8B14">
        <w:t xml:space="preserve">estrictions in writing as soon as possible after the Managed </w:t>
      </w:r>
      <w:r>
        <w:t>Service</w:t>
      </w:r>
      <w:r w:rsidRPr="5BCE8B14">
        <w:t xml:space="preserve"> Plan arrangements have been approved. This notification should also advise the Participant that they can request the restrictions be reviewed at any time.</w:t>
      </w:r>
    </w:p>
    <w:p w14:paraId="48E40009" w14:textId="77777777" w:rsidR="00D74559" w:rsidRDefault="00D74559">
      <w:r>
        <w:t>Participants can be provided a letter:</w:t>
      </w:r>
    </w:p>
    <w:p w14:paraId="6DE236DA" w14:textId="665B6DED" w:rsidR="00D74559" w:rsidRDefault="00D74559" w:rsidP="004E120D">
      <w:pPr>
        <w:pStyle w:val="BulletLevel1"/>
      </w:pPr>
      <w:r>
        <w:t xml:space="preserve">in person, if the Participant is on </w:t>
      </w:r>
      <w:r w:rsidR="00C82ABE">
        <w:t>S</w:t>
      </w:r>
      <w:r>
        <w:t>ite</w:t>
      </w:r>
    </w:p>
    <w:p w14:paraId="1A5F4461" w14:textId="77777777" w:rsidR="00D74559" w:rsidRDefault="00D74559" w:rsidP="004E120D">
      <w:pPr>
        <w:pStyle w:val="BulletLevel1"/>
      </w:pPr>
      <w:r>
        <w:t>by postal delivery — Providers should consider registered post to ensure that they can confirm that the Participant has received the letter, or</w:t>
      </w:r>
    </w:p>
    <w:p w14:paraId="53CF0864" w14:textId="77777777" w:rsidR="00D74559" w:rsidRDefault="00D74559" w:rsidP="004E120D">
      <w:pPr>
        <w:pStyle w:val="BulletLevel1"/>
      </w:pPr>
      <w:r>
        <w:t>by email.</w:t>
      </w:r>
    </w:p>
    <w:p w14:paraId="4881C549" w14:textId="308D0148" w:rsidR="00D74559" w:rsidRDefault="00D74559">
      <w:r>
        <w:t xml:space="preserve">An </w:t>
      </w:r>
      <w:r w:rsidR="006B5736">
        <w:rPr>
          <w:rStyle w:val="Hyperlink"/>
          <w:rFonts w:ascii="Tahoma" w:eastAsia="Tahoma" w:hAnsi="Tahoma" w:cs="Tahoma"/>
        </w:rPr>
        <w:t>Sample letter for advising Participation of arrangements under Managed Serviced Plan [LINK]</w:t>
      </w:r>
      <w:r w:rsidR="006B5736">
        <w:t xml:space="preserve"> o</w:t>
      </w:r>
      <w:r>
        <w:t xml:space="preserve">f a letter that may be sent to a Participant is </w:t>
      </w:r>
      <w:r w:rsidRPr="002E0C55">
        <w:t>available on the Provider Portal</w:t>
      </w:r>
      <w:r>
        <w:t>.</w:t>
      </w:r>
    </w:p>
    <w:p w14:paraId="357A5D02" w14:textId="133F2C9B" w:rsidR="00D74559" w:rsidRDefault="00D74559" w:rsidP="001D0F92">
      <w:pPr>
        <w:pStyle w:val="Heading4"/>
      </w:pPr>
      <w:bookmarkStart w:id="661" w:name="_Toc202900150"/>
      <w:r w:rsidRPr="2FDAC200">
        <w:t>13.</w:t>
      </w:r>
      <w:r>
        <w:t>7</w:t>
      </w:r>
      <w:r w:rsidRPr="2FDAC200">
        <w:t>.</w:t>
      </w:r>
      <w:r>
        <w:t>7</w:t>
      </w:r>
      <w:r w:rsidR="004373EE">
        <w:tab/>
      </w:r>
      <w:r w:rsidRPr="2FDAC200">
        <w:t>Participant’s request for review or appeal</w:t>
      </w:r>
      <w:bookmarkEnd w:id="661"/>
    </w:p>
    <w:p w14:paraId="324EE740" w14:textId="0671533F" w:rsidR="00D74559" w:rsidRDefault="00D74559" w:rsidP="006E2EF5">
      <w:r>
        <w:t xml:space="preserve">Participants can have their Managed Serviced Plan reviewed at any time or appeal the Managed Service Plan when it is applied or reviewed. Participants can request a review by their Provider or contact the National Customer Service Line (NCSL) on </w:t>
      </w:r>
      <w:r w:rsidRPr="309438C2">
        <w:rPr>
          <w:rFonts w:ascii="Tahoma" w:eastAsia="Tahoma" w:hAnsi="Tahoma"/>
        </w:rPr>
        <w:t xml:space="preserve">1800 805 260 </w:t>
      </w:r>
      <w:r>
        <w:t>to discuss the arrangements in the Managed Service Plan.</w:t>
      </w:r>
    </w:p>
    <w:p w14:paraId="180A4DB5" w14:textId="086FBB4A" w:rsidR="00D74559" w:rsidRDefault="00D74559">
      <w:r w:rsidRPr="5BCE8B14">
        <w:t>The Participant should be given the opportunity to participate in the review of the Managed Service Plan.</w:t>
      </w:r>
    </w:p>
    <w:p w14:paraId="5E53C8DB" w14:textId="73C77C2A" w:rsidR="00D74559" w:rsidRDefault="00D74559">
      <w:r>
        <w:t>As part of the review, the Provider should work through the Managed Service Plan with the Participant where possible and safe to do so. If an agreement cannot be reached, the Provider can contact their Account Manager.</w:t>
      </w:r>
    </w:p>
    <w:p w14:paraId="4F4D6AED" w14:textId="53218218" w:rsidR="00D74559" w:rsidRDefault="00D74559">
      <w:r w:rsidRPr="00D54320">
        <w:rPr>
          <w:b/>
          <w:bCs/>
        </w:rPr>
        <w:t>Note:</w:t>
      </w:r>
      <w:r>
        <w:t xml:space="preserve"> If a Managed Service Plan expires, it will not be automatically renewed, and the Participant will no longer have any restrictions in place.</w:t>
      </w:r>
    </w:p>
    <w:p w14:paraId="680BD91E" w14:textId="200F7CDA" w:rsidR="00D74559" w:rsidRDefault="00D74559">
      <w:r>
        <w:t xml:space="preserve">Where necessary, Providers should discuss options with </w:t>
      </w:r>
      <w:r w:rsidRPr="0036037D">
        <w:t>their Account Manager</w:t>
      </w:r>
      <w:r>
        <w:t xml:space="preserve"> to either extend the Managed Service Plan (if there is a continued threat to safety) or transition the Participant off the Managed Service Plan.</w:t>
      </w:r>
    </w:p>
    <w:p w14:paraId="299537A1" w14:textId="77777777" w:rsidR="00D74559" w:rsidRDefault="00D74559">
      <w:r>
        <w:t xml:space="preserve">The outcomes of a review may be to: </w:t>
      </w:r>
    </w:p>
    <w:p w14:paraId="5C83EC42" w14:textId="561E7C44" w:rsidR="00D74559" w:rsidRDefault="00D74559" w:rsidP="004E120D">
      <w:pPr>
        <w:pStyle w:val="BulletLevel1"/>
      </w:pPr>
      <w:r>
        <w:t xml:space="preserve">end a Managed Service Plan and return a Participant to standard service channels </w:t>
      </w:r>
    </w:p>
    <w:p w14:paraId="4C0B98D6" w14:textId="76488C1B" w:rsidR="00D74559" w:rsidRDefault="00D74559" w:rsidP="004E120D">
      <w:pPr>
        <w:pStyle w:val="BulletLevel1"/>
      </w:pPr>
      <w:r>
        <w:t>extend a Managed Service Plan unchanged, or</w:t>
      </w:r>
    </w:p>
    <w:p w14:paraId="73F3230E" w14:textId="4F140BAD" w:rsidR="00D74559" w:rsidRDefault="00D74559" w:rsidP="004E120D">
      <w:pPr>
        <w:pStyle w:val="BulletLevel1"/>
      </w:pPr>
      <w:r>
        <w:t>vary the Managed Service Plan arrangements and set a new review date.</w:t>
      </w:r>
    </w:p>
    <w:p w14:paraId="5194BDB5" w14:textId="609762EF" w:rsidR="00D74559" w:rsidRDefault="00D74559">
      <w:r w:rsidRPr="5BCE8B14">
        <w:t>Additional reviews of a Managed Service Plan can be initiated where there is a request from the Participant.</w:t>
      </w:r>
    </w:p>
    <w:p w14:paraId="523E98B4" w14:textId="4BB306FD" w:rsidR="00D74559" w:rsidRDefault="00D74559" w:rsidP="001D0F92">
      <w:pPr>
        <w:pStyle w:val="Heading3"/>
      </w:pPr>
      <w:bookmarkStart w:id="662" w:name="_Toc202900151"/>
      <w:r w:rsidRPr="2FDAC200">
        <w:t>13.</w:t>
      </w:r>
      <w:r>
        <w:t>8</w:t>
      </w:r>
      <w:r w:rsidR="004373EE">
        <w:tab/>
      </w:r>
      <w:r w:rsidRPr="2FDAC200">
        <w:t xml:space="preserve">Servicing Participants </w:t>
      </w:r>
      <w:r>
        <w:t>with a</w:t>
      </w:r>
      <w:r w:rsidRPr="2FDAC200">
        <w:t xml:space="preserve"> Managed </w:t>
      </w:r>
      <w:r>
        <w:t>Service</w:t>
      </w:r>
      <w:r w:rsidRPr="2FDAC200">
        <w:t xml:space="preserve"> Plan</w:t>
      </w:r>
      <w:bookmarkEnd w:id="662"/>
    </w:p>
    <w:p w14:paraId="467503F6" w14:textId="783F48B1" w:rsidR="00D74559" w:rsidRDefault="00D74559">
      <w:r>
        <w:t xml:space="preserve">Providers should consider how the Participant will be serviced when the Managed Service Plan and service channel restrictions have been lifted, and they return to standard servicing. </w:t>
      </w:r>
    </w:p>
    <w:p w14:paraId="1225D4A7" w14:textId="6A44DF4A" w:rsidR="00D74559" w:rsidRDefault="00D74559">
      <w:r>
        <w:t>Providers must record in the Participant's Managed Service Plan the ongoing measures that will be implemented to encourage improved behaviour by the Participant.</w:t>
      </w:r>
    </w:p>
    <w:p w14:paraId="505BCDCE" w14:textId="38E29432" w:rsidR="00D74559" w:rsidRPr="00FA0B26" w:rsidRDefault="00D74559" w:rsidP="001D0F92">
      <w:pPr>
        <w:pStyle w:val="Heading4"/>
      </w:pPr>
      <w:bookmarkStart w:id="663" w:name="_Toc95927059"/>
      <w:bookmarkStart w:id="664" w:name="_Toc202900152"/>
      <w:r>
        <w:t>13.8.1</w:t>
      </w:r>
      <w:r w:rsidR="004373EE">
        <w:tab/>
      </w:r>
      <w:r>
        <w:t>Breach of Managed Service Plan</w:t>
      </w:r>
      <w:bookmarkEnd w:id="663"/>
      <w:bookmarkEnd w:id="664"/>
    </w:p>
    <w:p w14:paraId="6CF32815" w14:textId="34F5F910" w:rsidR="00D74559" w:rsidRPr="00E62C75" w:rsidRDefault="00D74559" w:rsidP="006E2EF5">
      <w:r w:rsidRPr="00E62C75">
        <w:t xml:space="preserve">It is considered a breach when a Participant does not follow the servicing arrangements and service channel restrictions as set out in their </w:t>
      </w:r>
      <w:r>
        <w:t>Managed Service Plan</w:t>
      </w:r>
      <w:r w:rsidRPr="00E62C75">
        <w:t>.</w:t>
      </w:r>
    </w:p>
    <w:p w14:paraId="47559C13" w14:textId="4043C138" w:rsidR="00D74559" w:rsidRPr="00E62C75" w:rsidRDefault="00D74559" w:rsidP="006E2EF5">
      <w:r w:rsidRPr="00E62C75">
        <w:t xml:space="preserve">Where a Participant is in breach of the </w:t>
      </w:r>
      <w:r>
        <w:t>Managed Service Plan</w:t>
      </w:r>
      <w:r w:rsidRPr="00E62C75">
        <w:t>, the Provider must lodge a</w:t>
      </w:r>
      <w:r>
        <w:t>n</w:t>
      </w:r>
      <w:r w:rsidRPr="00E62C75">
        <w:t xml:space="preserve"> Incident Report in the Department’s IT Systems. </w:t>
      </w:r>
    </w:p>
    <w:p w14:paraId="3A5154DA" w14:textId="6E866F2B" w:rsidR="00D74559" w:rsidRPr="00E62C75" w:rsidRDefault="00D74559" w:rsidP="006E2EF5">
      <w:r w:rsidRPr="5BCE8B14">
        <w:t>If the Provider identifies that the Participant was not aware of the Managed Service Plan (</w:t>
      </w:r>
      <w:bookmarkStart w:id="665" w:name="_Int_ljBoZOHx"/>
      <w:r w:rsidRPr="5BCE8B14">
        <w:t>i.e.</w:t>
      </w:r>
      <w:bookmarkEnd w:id="665"/>
      <w:r w:rsidRPr="5BCE8B14">
        <w:t xml:space="preserve"> did not receive their letter)</w:t>
      </w:r>
      <w:r>
        <w:t>,</w:t>
      </w:r>
      <w:r w:rsidRPr="5BCE8B14">
        <w:t xml:space="preserve"> this should also be recorded in the Department’s IT Systems.</w:t>
      </w:r>
    </w:p>
    <w:p w14:paraId="02527DA3" w14:textId="77777777" w:rsidR="00DE157D" w:rsidRDefault="00D74559" w:rsidP="006E2EF5">
      <w:r>
        <w:t>Where a Participant has a Managed Service Plan in place, a ‘Managed Serviced Plan Alert’ will be in the Participant’s record in the Department’s IT Systems.</w:t>
      </w:r>
    </w:p>
    <w:p w14:paraId="5D3101C4" w14:textId="6839569F" w:rsidR="00D74559" w:rsidRPr="00D54320" w:rsidRDefault="00CE0600" w:rsidP="00DE157D">
      <w:pPr>
        <w:pStyle w:val="SystemStep"/>
      </w:pPr>
      <w:r>
        <w:t>[</w:t>
      </w:r>
      <w:r w:rsidR="00DE157D">
        <w:t>RESERVED</w:t>
      </w:r>
      <w:r>
        <w:t>]</w:t>
      </w:r>
    </w:p>
    <w:p w14:paraId="3C1D9C7D" w14:textId="6319A9DF" w:rsidR="00D74559" w:rsidRPr="00E62C75" w:rsidRDefault="00D74559" w:rsidP="006E2EF5">
      <w:r w:rsidRPr="5BCE8B14">
        <w:t xml:space="preserve">Where a Participant repeatedly breaches their Managed </w:t>
      </w:r>
      <w:r>
        <w:t>Service</w:t>
      </w:r>
      <w:r w:rsidRPr="5BCE8B14">
        <w:t xml:space="preserve"> Plan and/or continues to be a threat to staff, the Provider should escalate the matter to their Account Manager. Where necessary, the Account Manager will refer the case to the relevant team in the Department for review and further assistance in managing the behaviour.</w:t>
      </w:r>
    </w:p>
    <w:p w14:paraId="57092A8B" w14:textId="4192D392" w:rsidR="00D74559" w:rsidRPr="00FA0B26" w:rsidRDefault="00D74559" w:rsidP="001D0F92">
      <w:pPr>
        <w:pStyle w:val="Heading3"/>
      </w:pPr>
      <w:bookmarkStart w:id="666" w:name="_Toc95927061"/>
      <w:bookmarkStart w:id="667" w:name="_Toc202900153"/>
      <w:r>
        <w:t>13.9</w:t>
      </w:r>
      <w:r w:rsidR="004373EE">
        <w:tab/>
      </w:r>
      <w:r w:rsidR="0020451F">
        <w:t>Additional considerations for t</w:t>
      </w:r>
      <w:r>
        <w:t>ransf</w:t>
      </w:r>
      <w:bookmarkEnd w:id="666"/>
      <w:r w:rsidR="002D38AD">
        <w:t>ers</w:t>
      </w:r>
      <w:bookmarkEnd w:id="667"/>
    </w:p>
    <w:p w14:paraId="15B20D1C" w14:textId="1A6F49F3" w:rsidR="00D74559" w:rsidRPr="00E62C75" w:rsidRDefault="00D74559" w:rsidP="006E2EF5">
      <w:r>
        <w:t>Participants with a current Provider-lodged and/or Services Australia-lodged Serious Incident Report and/or Reactive Managed Service Plan seeking a transfer to a different Provider may only be transferred with the involvement of the Department. For more information, Providers should refer to the relevant transfer processes in</w:t>
      </w:r>
      <w:r w:rsidR="00C25144">
        <w:t xml:space="preserve"> </w:t>
      </w:r>
      <w:r w:rsidR="00CA26A3">
        <w:fldChar w:fldCharType="begin"/>
      </w:r>
      <w:r w:rsidR="00CA26A3">
        <w:instrText xml:space="preserve"> REF _Ref202784407 \h </w:instrText>
      </w:r>
      <w:r w:rsidR="00CA26A3">
        <w:fldChar w:fldCharType="separate"/>
      </w:r>
      <w:r w:rsidR="00CA26A3">
        <w:t>3.4 Transfers</w:t>
      </w:r>
      <w:r w:rsidR="00CA26A3">
        <w:fldChar w:fldCharType="end"/>
      </w:r>
      <w:r w:rsidR="00C25144">
        <w:fldChar w:fldCharType="begin"/>
      </w:r>
      <w:r w:rsidR="00C25144">
        <w:instrText xml:space="preserve"> REF _Ref202784407 \h </w:instrText>
      </w:r>
      <w:r w:rsidR="00C25144">
        <w:fldChar w:fldCharType="separate"/>
      </w:r>
      <w:r w:rsidR="00C25144">
        <w:fldChar w:fldCharType="end"/>
      </w:r>
      <w:r w:rsidR="00DA71CE">
        <w:t>.</w:t>
      </w:r>
    </w:p>
    <w:p w14:paraId="6AADB340" w14:textId="132B0A5D" w:rsidR="00D74559" w:rsidRPr="00E62C75" w:rsidRDefault="00D74559" w:rsidP="001D0F92">
      <w:pPr>
        <w:pStyle w:val="Heading4"/>
      </w:pPr>
      <w:bookmarkStart w:id="668" w:name="_Toc95927062"/>
      <w:bookmarkStart w:id="669" w:name="_Toc202900154"/>
      <w:r w:rsidRPr="2FDAC200">
        <w:t>13.</w:t>
      </w:r>
      <w:r>
        <w:t>9</w:t>
      </w:r>
      <w:r w:rsidRPr="2FDAC200">
        <w:t>.1</w:t>
      </w:r>
      <w:r w:rsidR="004373EE">
        <w:tab/>
      </w:r>
      <w:r w:rsidRPr="2FDAC200">
        <w:t xml:space="preserve">Notification during </w:t>
      </w:r>
      <w:r w:rsidR="008D28AE">
        <w:t>t</w:t>
      </w:r>
      <w:r w:rsidRPr="2FDAC200">
        <w:t>ransfers</w:t>
      </w:r>
      <w:bookmarkEnd w:id="668"/>
      <w:r w:rsidRPr="2FDAC200">
        <w:t xml:space="preserve"> and Referrals</w:t>
      </w:r>
      <w:bookmarkEnd w:id="669"/>
    </w:p>
    <w:p w14:paraId="24C2946A" w14:textId="19789FBC" w:rsidR="00D74559" w:rsidRPr="00E62C75" w:rsidRDefault="00D74559" w:rsidP="006E2EF5">
      <w:r w:rsidRPr="5BCE8B14">
        <w:t xml:space="preserve">Providers will receive a </w:t>
      </w:r>
      <w:r w:rsidRPr="00736F5E">
        <w:t xml:space="preserve">notification for all Participants with Incidents and/or Managed Service Plans in the </w:t>
      </w:r>
      <w:r w:rsidR="00756F3F" w:rsidRPr="00736F5E">
        <w:t xml:space="preserve">Department’s </w:t>
      </w:r>
      <w:r w:rsidRPr="00736F5E">
        <w:t>IT System</w:t>
      </w:r>
      <w:r w:rsidR="00756F3F" w:rsidRPr="00736F5E">
        <w:t>s</w:t>
      </w:r>
      <w:r w:rsidRPr="00736F5E">
        <w:t xml:space="preserve">. Provider staff should review the details of historical Participant Incident Reports and Managed Service Plans in the </w:t>
      </w:r>
      <w:r w:rsidR="00EA2F96" w:rsidRPr="00736F5E">
        <w:t xml:space="preserve">Department’s IT Systems </w:t>
      </w:r>
      <w:r w:rsidRPr="00736F5E">
        <w:t>prior to scheduling an Initial Interview so they can implement appropriate safety measures to protect Participants and staff and improve engagement. This may include implementing</w:t>
      </w:r>
      <w:r w:rsidRPr="5BCE8B14">
        <w:t xml:space="preserve"> a proactive Managed </w:t>
      </w:r>
      <w:r>
        <w:t>Service</w:t>
      </w:r>
      <w:r w:rsidRPr="5BCE8B14">
        <w:t xml:space="preserve"> Plan limiting face-to-face servicing where appropriate, ensuring there are clear expectations around behaviours and a plan to move towards opening the full suite of communication channels and strategies to support the Participant to manage their behaviour.</w:t>
      </w:r>
    </w:p>
    <w:p w14:paraId="57C46B24" w14:textId="50E35CFF" w:rsidR="00D74559" w:rsidRDefault="00D74559" w:rsidP="001D0F92">
      <w:pPr>
        <w:pStyle w:val="Heading4"/>
      </w:pPr>
      <w:bookmarkStart w:id="670" w:name="_Toc202900155"/>
      <w:r w:rsidRPr="2FDAC200">
        <w:t>13.</w:t>
      </w:r>
      <w:r>
        <w:t>9</w:t>
      </w:r>
      <w:r w:rsidRPr="2FDAC200">
        <w:t>.2</w:t>
      </w:r>
      <w:r w:rsidR="004373EE">
        <w:tab/>
      </w:r>
      <w:r w:rsidRPr="2FDAC200">
        <w:t xml:space="preserve">Transfers </w:t>
      </w:r>
      <w:r w:rsidR="004373EE">
        <w:t>d</w:t>
      </w:r>
      <w:r w:rsidRPr="2FDAC200">
        <w:t xml:space="preserve">ue to </w:t>
      </w:r>
      <w:r w:rsidR="004373EE">
        <w:t>r</w:t>
      </w:r>
      <w:r w:rsidRPr="2FDAC200">
        <w:t xml:space="preserve">elationship </w:t>
      </w:r>
      <w:r w:rsidR="004373EE">
        <w:t>f</w:t>
      </w:r>
      <w:r w:rsidRPr="2FDAC200">
        <w:t>ailure</w:t>
      </w:r>
      <w:bookmarkEnd w:id="670"/>
    </w:p>
    <w:p w14:paraId="254F2C9B" w14:textId="3148827C" w:rsidR="00D74559" w:rsidRPr="009A38E2" w:rsidRDefault="00D74559" w:rsidP="006E2EF5">
      <w:r w:rsidRPr="7A4475E1">
        <w:t>If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t>Incident</w:t>
      </w:r>
      <w:r w:rsidRPr="7A4475E1">
        <w:t xml:space="preserve"> servicing arrangements as outlined in this Chapter</w:t>
      </w:r>
      <w:r w:rsidR="00C25144">
        <w:t>.</w:t>
      </w:r>
      <w:r w:rsidR="000E4C47">
        <w:t xml:space="preserve"> The</w:t>
      </w:r>
      <w:r w:rsidR="00612EDF">
        <w:t xml:space="preserve"> </w:t>
      </w:r>
      <w:r w:rsidR="00612EDF" w:rsidRPr="0035143E">
        <w:rPr>
          <w:rStyle w:val="Hyperlink"/>
        </w:rPr>
        <w:t>Transfer Due to Relationship Failure Form</w:t>
      </w:r>
      <w:r w:rsidR="00612EDF">
        <w:rPr>
          <w:rStyle w:val="Hyperlink"/>
        </w:rPr>
        <w:t xml:space="preserve"> [LINK]</w:t>
      </w:r>
      <w:r w:rsidR="000E4C47">
        <w:t xml:space="preserve"> </w:t>
      </w:r>
      <w:r w:rsidR="00612EDF">
        <w:t>can be</w:t>
      </w:r>
      <w:r w:rsidR="000E4C47">
        <w:t xml:space="preserve"> </w:t>
      </w:r>
      <w:r w:rsidR="00612EDF">
        <w:t xml:space="preserve">found as a supporting document under </w:t>
      </w:r>
      <w:r w:rsidR="00612EDF">
        <w:fldChar w:fldCharType="begin"/>
      </w:r>
      <w:r w:rsidR="00612EDF">
        <w:instrText xml:space="preserve"> REF _Ref202780811 \h </w:instrText>
      </w:r>
      <w:r w:rsidR="00612EDF">
        <w:fldChar w:fldCharType="separate"/>
      </w:r>
      <w:r w:rsidR="000D75AE" w:rsidRPr="00BA23D8">
        <w:t>Chapter 3</w:t>
      </w:r>
      <w:r w:rsidR="000D75AE">
        <w:t>:</w:t>
      </w:r>
      <w:r w:rsidR="000D75AE">
        <w:tab/>
      </w:r>
      <w:r w:rsidR="000D75AE" w:rsidRPr="00BA23D8">
        <w:t>Commencements, Transfers, Suspensions and Exits</w:t>
      </w:r>
      <w:r w:rsidR="00612EDF">
        <w:fldChar w:fldCharType="end"/>
      </w:r>
      <w:r w:rsidR="00612EDF">
        <w:t>.</w:t>
      </w:r>
    </w:p>
    <w:p w14:paraId="696EF8B1" w14:textId="261293C4" w:rsidR="00D74559" w:rsidRDefault="00D74559" w:rsidP="001D0F92">
      <w:pPr>
        <w:pStyle w:val="Heading3"/>
      </w:pPr>
      <w:bookmarkStart w:id="671" w:name="_Toc202900156"/>
      <w:r>
        <w:t>13.10</w:t>
      </w:r>
      <w:r w:rsidR="004373EE">
        <w:tab/>
      </w:r>
      <w:r>
        <w:t xml:space="preserve">Record </w:t>
      </w:r>
      <w:r w:rsidR="004373EE">
        <w:t>K</w:t>
      </w:r>
      <w:r>
        <w:t>eeping</w:t>
      </w:r>
      <w:bookmarkEnd w:id="671"/>
    </w:p>
    <w:p w14:paraId="5E8A7126" w14:textId="77777777" w:rsidR="00537306" w:rsidRDefault="00537306" w:rsidP="00537306">
      <w:r>
        <w:t>Providers must keep Documentary Evidence which is not kept on the Department’s IT Systems.</w:t>
      </w:r>
    </w:p>
    <w:p w14:paraId="0023956D" w14:textId="77777777" w:rsidR="00537306" w:rsidRPr="00D861AE" w:rsidRDefault="00537306" w:rsidP="00537306">
      <w:r>
        <w:t>Below is a summary of the Documentary Evidence requirements for this Chapter.</w:t>
      </w:r>
    </w:p>
    <w:p w14:paraId="1336D0EF" w14:textId="77777777" w:rsidR="00D74559" w:rsidRPr="007418AB" w:rsidRDefault="00D74559" w:rsidP="0079424A">
      <w:pPr>
        <w:pStyle w:val="DocumentaryEvidenceRequirement"/>
      </w:pPr>
      <w:r w:rsidRPr="007418AB">
        <w:t>Providers must document Managed Service Plans and Incident Reporting in the Department’s IT Systems.</w:t>
      </w:r>
    </w:p>
    <w:p w14:paraId="38FA2CE1" w14:textId="77777777" w:rsidR="00D74559" w:rsidRPr="007418AB" w:rsidRDefault="00D74559" w:rsidP="0079424A">
      <w:pPr>
        <w:pStyle w:val="DocumentaryEvidenceRequirement"/>
      </w:pPr>
      <w:r w:rsidRPr="007418AB">
        <w:t>Providers must also document WHS Incidences, where the challenging behaviour is associated with an WHS Incident.</w:t>
      </w:r>
    </w:p>
    <w:p w14:paraId="70987539" w14:textId="518AD821" w:rsidR="00D74559" w:rsidRPr="007418AB" w:rsidRDefault="00D74559" w:rsidP="0079424A">
      <w:pPr>
        <w:pStyle w:val="DocumentaryEvidenceRequirement"/>
      </w:pPr>
      <w:r w:rsidRPr="007418AB">
        <w:t>Any warnings given to a Participant must be recorded using the comments function in the Department’s IT Systems.</w:t>
      </w:r>
    </w:p>
    <w:p w14:paraId="372894D9" w14:textId="77777777" w:rsidR="006758DA" w:rsidRPr="001A23BC" w:rsidRDefault="006758DA" w:rsidP="00F675F4">
      <w:pPr>
        <w:pStyle w:val="DeedReferences"/>
      </w:pPr>
      <w:bookmarkStart w:id="672" w:name="_Toc150338607"/>
      <w:bookmarkEnd w:id="672"/>
    </w:p>
    <w:sectPr w:rsidR="006758DA" w:rsidRPr="001A23BC" w:rsidSect="00292612">
      <w:headerReference w:type="default" r:id="rId99"/>
      <w:footerReference w:type="default" r:id="rId100"/>
      <w:headerReference w:type="first" r:id="rId101"/>
      <w:footerReference w:type="first" r:id="rId102"/>
      <w:pgSz w:w="11906" w:h="16838"/>
      <w:pgMar w:top="851" w:right="851" w:bottom="1134" w:left="851" w:header="0"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4EB5" w14:textId="77777777" w:rsidR="00A65685" w:rsidRDefault="00A65685" w:rsidP="008F3023">
      <w:pPr>
        <w:spacing w:line="240" w:lineRule="auto"/>
      </w:pPr>
      <w:r>
        <w:separator/>
      </w:r>
    </w:p>
  </w:endnote>
  <w:endnote w:type="continuationSeparator" w:id="0">
    <w:p w14:paraId="1B287996" w14:textId="77777777" w:rsidR="00A65685" w:rsidRDefault="00A65685" w:rsidP="008F3023">
      <w:pPr>
        <w:spacing w:line="240" w:lineRule="auto"/>
      </w:pPr>
      <w:r>
        <w:continuationSeparator/>
      </w:r>
    </w:p>
  </w:endnote>
  <w:endnote w:type="continuationNotice" w:id="1">
    <w:p w14:paraId="2BEB6872" w14:textId="77777777" w:rsidR="00A65685" w:rsidRDefault="00A65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4FAEFE1" w14:paraId="5486F14C" w14:textId="77777777" w:rsidTr="54FAEFE1">
      <w:trPr>
        <w:trHeight w:val="300"/>
      </w:trPr>
      <w:tc>
        <w:tcPr>
          <w:tcW w:w="3400" w:type="dxa"/>
        </w:tcPr>
        <w:p w14:paraId="422956E4" w14:textId="3FC2C753" w:rsidR="54FAEFE1" w:rsidRDefault="54FAEFE1" w:rsidP="54FAEFE1">
          <w:pPr>
            <w:pStyle w:val="Header"/>
            <w:ind w:left="-115"/>
          </w:pPr>
        </w:p>
      </w:tc>
      <w:tc>
        <w:tcPr>
          <w:tcW w:w="3400" w:type="dxa"/>
        </w:tcPr>
        <w:p w14:paraId="49E3E33E" w14:textId="01FA0943" w:rsidR="54FAEFE1" w:rsidRDefault="54FAEFE1" w:rsidP="54FAEFE1">
          <w:pPr>
            <w:pStyle w:val="Header"/>
            <w:jc w:val="center"/>
          </w:pPr>
        </w:p>
      </w:tc>
      <w:tc>
        <w:tcPr>
          <w:tcW w:w="3400" w:type="dxa"/>
        </w:tcPr>
        <w:p w14:paraId="5806B749" w14:textId="130A7759" w:rsidR="54FAEFE1" w:rsidRDefault="54FAEFE1" w:rsidP="54FAEFE1">
          <w:pPr>
            <w:pStyle w:val="Header"/>
            <w:ind w:right="-115"/>
            <w:jc w:val="right"/>
          </w:pPr>
        </w:p>
      </w:tc>
    </w:tr>
  </w:tbl>
  <w:p w14:paraId="5C721714" w14:textId="05597439" w:rsidR="00C30D83" w:rsidRDefault="00C30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34F" w14:textId="05CF9015" w:rsidR="00C135E6" w:rsidRPr="00C135E6" w:rsidRDefault="00C135E6" w:rsidP="00574D06">
    <w:pPr>
      <w:tabs>
        <w:tab w:val="right" w:pos="10204"/>
      </w:tabs>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3FA2" w14:textId="620D4691" w:rsidR="00574D06" w:rsidRDefault="00574D06" w:rsidP="00574D06">
    <w:pPr>
      <w:pStyle w:val="Footer"/>
    </w:pPr>
    <w:r>
      <w:drawing>
        <wp:anchor distT="0" distB="0" distL="114300" distR="114300" simplePos="0" relativeHeight="251658241" behindDoc="1" locked="0" layoutInCell="1" allowOverlap="1" wp14:anchorId="3DFFF298" wp14:editId="1F0A8AE9">
          <wp:simplePos x="0" y="0"/>
          <wp:positionH relativeFrom="page">
            <wp:align>left</wp:align>
          </wp:positionH>
          <wp:positionV relativeFrom="page">
            <wp:align>bottom</wp:align>
          </wp:positionV>
          <wp:extent cx="7549200" cy="1180800"/>
          <wp:effectExtent l="0" t="0" r="0" b="63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r>
      <w:rPr>
        <w:noProof w:val="0"/>
      </w:rPr>
      <w:fldChar w:fldCharType="begin"/>
    </w:r>
    <w:r>
      <w:instrText xml:space="preserve"> PAGE   \* MERGEFORMAT </w:instrText>
    </w:r>
    <w:r>
      <w:rPr>
        <w:noProof w:val="0"/>
      </w:rPr>
      <w:fldChar w:fldCharType="separate"/>
    </w:r>
    <w:r w:rsidR="00F13D13">
      <w:t>210</w:t>
    </w:r>
    <w:r>
      <w:fldChar w:fldCharType="end"/>
    </w:r>
    <w:r>
      <w:t xml:space="preserve"> – </w:t>
    </w:r>
    <w:r w:rsidR="00292612">
      <w:t>I</w:t>
    </w:r>
    <w:r w:rsidR="00EE2B7B">
      <w:t>nclusive Employment Australia</w:t>
    </w:r>
    <w:r>
      <w:t xml:space="preserve"> </w:t>
    </w:r>
    <w:r w:rsidRPr="00574D06">
      <w:t>Guidelines</w:t>
    </w:r>
    <w:r w:rsidR="00292612">
      <w:t>: Part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A623" w14:textId="77777777" w:rsidR="00574D06" w:rsidRPr="00C135E6" w:rsidRDefault="00574D06" w:rsidP="00574D06">
    <w:pPr>
      <w:tabs>
        <w:tab w:val="right" w:pos="10204"/>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9B2A" w14:textId="77777777" w:rsidR="00A65685" w:rsidRDefault="00A65685" w:rsidP="008F3023">
      <w:pPr>
        <w:spacing w:line="240" w:lineRule="auto"/>
      </w:pPr>
      <w:r>
        <w:separator/>
      </w:r>
    </w:p>
  </w:footnote>
  <w:footnote w:type="continuationSeparator" w:id="0">
    <w:p w14:paraId="6F2D5A67" w14:textId="77777777" w:rsidR="00A65685" w:rsidRDefault="00A65685" w:rsidP="008F3023">
      <w:pPr>
        <w:spacing w:line="240" w:lineRule="auto"/>
      </w:pPr>
      <w:r>
        <w:continuationSeparator/>
      </w:r>
    </w:p>
  </w:footnote>
  <w:footnote w:type="continuationNotice" w:id="1">
    <w:p w14:paraId="176594EE" w14:textId="77777777" w:rsidR="00A65685" w:rsidRDefault="00A656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4FAEFE1" w14:paraId="6201C3D2" w14:textId="77777777" w:rsidTr="54FAEFE1">
      <w:trPr>
        <w:trHeight w:val="300"/>
      </w:trPr>
      <w:tc>
        <w:tcPr>
          <w:tcW w:w="3400" w:type="dxa"/>
        </w:tcPr>
        <w:p w14:paraId="5936429D" w14:textId="598339C5" w:rsidR="54FAEFE1" w:rsidRDefault="54FAEFE1" w:rsidP="54FAEFE1">
          <w:pPr>
            <w:pStyle w:val="Header"/>
            <w:ind w:left="-115"/>
          </w:pPr>
        </w:p>
      </w:tc>
      <w:tc>
        <w:tcPr>
          <w:tcW w:w="3400" w:type="dxa"/>
        </w:tcPr>
        <w:p w14:paraId="71AD40DC" w14:textId="71D97D8C" w:rsidR="54FAEFE1" w:rsidRDefault="54FAEFE1" w:rsidP="54FAEFE1">
          <w:pPr>
            <w:pStyle w:val="Header"/>
            <w:jc w:val="center"/>
          </w:pPr>
        </w:p>
      </w:tc>
      <w:tc>
        <w:tcPr>
          <w:tcW w:w="3400" w:type="dxa"/>
        </w:tcPr>
        <w:p w14:paraId="3AC49FB6" w14:textId="0BFE8B42" w:rsidR="54FAEFE1" w:rsidRDefault="54FAEFE1" w:rsidP="54FAEFE1">
          <w:pPr>
            <w:pStyle w:val="Header"/>
            <w:ind w:right="-115"/>
            <w:jc w:val="right"/>
          </w:pPr>
        </w:p>
      </w:tc>
    </w:tr>
  </w:tbl>
  <w:p w14:paraId="3236F5B7" w14:textId="20DB62E1" w:rsidR="00C30D83" w:rsidRDefault="00C30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7E5B" w14:textId="2E3335A8" w:rsidR="00134DBF" w:rsidRPr="00CB1BFC" w:rsidRDefault="007A0F6E" w:rsidP="00B836FA">
    <w:r w:rsidRPr="00CB1BFC">
      <w:rPr>
        <w:noProof/>
        <w:lang w:eastAsia="en-AU"/>
      </w:rPr>
      <w:drawing>
        <wp:anchor distT="0" distB="0" distL="114300" distR="114300" simplePos="0" relativeHeight="251658240" behindDoc="1" locked="0" layoutInCell="1" allowOverlap="1" wp14:anchorId="7D9E416C" wp14:editId="1806E772">
          <wp:simplePos x="0" y="0"/>
          <wp:positionH relativeFrom="page">
            <wp:align>left</wp:align>
          </wp:positionH>
          <wp:positionV relativeFrom="page">
            <wp:align>bottom</wp:align>
          </wp:positionV>
          <wp:extent cx="7560000" cy="6573600"/>
          <wp:effectExtent l="0" t="0" r="3175" b="0"/>
          <wp:wrapNone/>
          <wp:docPr id="257913257" name="Picture 257913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57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4FAEFE1" w14:paraId="2018E008" w14:textId="77777777" w:rsidTr="54FAEFE1">
      <w:trPr>
        <w:trHeight w:val="300"/>
      </w:trPr>
      <w:tc>
        <w:tcPr>
          <w:tcW w:w="3400" w:type="dxa"/>
        </w:tcPr>
        <w:p w14:paraId="5B49EBB4" w14:textId="1A39C6C3" w:rsidR="54FAEFE1" w:rsidRDefault="54FAEFE1" w:rsidP="54FAEFE1">
          <w:pPr>
            <w:pStyle w:val="Header"/>
            <w:ind w:left="-115"/>
          </w:pPr>
        </w:p>
      </w:tc>
      <w:tc>
        <w:tcPr>
          <w:tcW w:w="3400" w:type="dxa"/>
        </w:tcPr>
        <w:p w14:paraId="5E83DC2D" w14:textId="413A909B" w:rsidR="54FAEFE1" w:rsidRDefault="54FAEFE1" w:rsidP="54FAEFE1">
          <w:pPr>
            <w:pStyle w:val="Header"/>
            <w:jc w:val="center"/>
          </w:pPr>
        </w:p>
      </w:tc>
      <w:tc>
        <w:tcPr>
          <w:tcW w:w="3400" w:type="dxa"/>
        </w:tcPr>
        <w:p w14:paraId="67A227A6" w14:textId="38F58256" w:rsidR="54FAEFE1" w:rsidRDefault="54FAEFE1" w:rsidP="54FAEFE1">
          <w:pPr>
            <w:pStyle w:val="Header"/>
            <w:ind w:right="-115"/>
            <w:jc w:val="right"/>
          </w:pPr>
        </w:p>
      </w:tc>
    </w:tr>
  </w:tbl>
  <w:p w14:paraId="10E108EE" w14:textId="73AA4A7B" w:rsidR="00C30D83" w:rsidRDefault="00C30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DBB2" w14:textId="05E90CCC" w:rsidR="00C135E6" w:rsidRPr="00CB1BFC" w:rsidRDefault="00C135E6" w:rsidP="00B836FA"/>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D0A"/>
    <w:multiLevelType w:val="hybridMultilevel"/>
    <w:tmpl w:val="598E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62632"/>
    <w:multiLevelType w:val="hybridMultilevel"/>
    <w:tmpl w:val="3FD092C8"/>
    <w:lvl w:ilvl="0" w:tplc="E6002AC2">
      <w:start w:val="1"/>
      <w:numFmt w:val="bullet"/>
      <w:lvlText w:val=""/>
      <w:lvlJc w:val="left"/>
      <w:pPr>
        <w:ind w:left="720" w:hanging="360"/>
      </w:pPr>
      <w:rPr>
        <w:rFonts w:ascii="Symbol" w:hAnsi="Symbol" w:hint="default"/>
      </w:rPr>
    </w:lvl>
    <w:lvl w:ilvl="1" w:tplc="AB6E3ED8">
      <w:start w:val="1"/>
      <w:numFmt w:val="bullet"/>
      <w:pStyle w:val="TableList-level2"/>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0341F"/>
    <w:multiLevelType w:val="hybridMultilevel"/>
    <w:tmpl w:val="99E45A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BD08840">
      <w:start w:val="1"/>
      <w:numFmt w:val="bullet"/>
      <w:pStyle w:val="BulletLevel4"/>
      <w:lvlText w:val="­"/>
      <w:lvlJc w:val="left"/>
      <w:pPr>
        <w:ind w:left="2880" w:hanging="360"/>
      </w:pPr>
      <w:rPr>
        <w:rFonts w:ascii="Tahoma" w:hAnsi="Tahoma"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A83F96"/>
    <w:multiLevelType w:val="hybridMultilevel"/>
    <w:tmpl w:val="569AAC30"/>
    <w:styleLink w:val="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C51FA"/>
    <w:multiLevelType w:val="hybridMultilevel"/>
    <w:tmpl w:val="04301D30"/>
    <w:lvl w:ilvl="0" w:tplc="626A03E0">
      <w:start w:val="1"/>
      <w:numFmt w:val="bullet"/>
      <w:pStyle w:val="DocumentaryEvidenceRequirement"/>
      <w:lvlText w:val=""/>
      <w:lvlJc w:val="left"/>
      <w:pPr>
        <w:ind w:left="786" w:hanging="360"/>
      </w:pPr>
      <w:rPr>
        <w:rFonts w:ascii="Wingdings" w:hAnsi="Wingdings" w:hint="default"/>
        <w:color w:val="00800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234B2D09"/>
    <w:multiLevelType w:val="hybridMultilevel"/>
    <w:tmpl w:val="4D8682D0"/>
    <w:lvl w:ilvl="0" w:tplc="217AAADA">
      <w:start w:val="1"/>
      <w:numFmt w:val="bullet"/>
      <w:lvlText w:val=""/>
      <w:lvlJc w:val="left"/>
      <w:pPr>
        <w:ind w:left="720" w:hanging="360"/>
      </w:pPr>
      <w:rPr>
        <w:rFonts w:ascii="Symbol" w:hAnsi="Symbol" w:hint="default"/>
      </w:rPr>
    </w:lvl>
    <w:lvl w:ilvl="1" w:tplc="DA4AD532">
      <w:start w:val="1"/>
      <w:numFmt w:val="bullet"/>
      <w:pStyle w:val="BulletLevel2"/>
      <w:lvlText w:val="o"/>
      <w:lvlJc w:val="left"/>
      <w:pPr>
        <w:ind w:left="1352" w:hanging="360"/>
      </w:pPr>
      <w:rPr>
        <w:rFonts w:ascii="Courier New" w:hAnsi="Courier New" w:cs="Courier New" w:hint="default"/>
      </w:rPr>
    </w:lvl>
    <w:lvl w:ilvl="2" w:tplc="FC2A82D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293E9706">
      <w:start w:val="8"/>
      <w:numFmt w:val="bullet"/>
      <w:lvlText w:val="-"/>
      <w:lvlJc w:val="left"/>
      <w:pPr>
        <w:ind w:left="3600" w:hanging="360"/>
      </w:pPr>
      <w:rPr>
        <w:rFonts w:ascii="Tahoma" w:eastAsiaTheme="minorHAnsi" w:hAnsi="Tahoma"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C195C"/>
    <w:multiLevelType w:val="hybridMultilevel"/>
    <w:tmpl w:val="EB3270BC"/>
    <w:lvl w:ilvl="0" w:tplc="46964F04">
      <w:start w:val="1"/>
      <w:numFmt w:val="bullet"/>
      <w:pStyle w:val="BulletLevel1"/>
      <w:lvlText w:val=""/>
      <w:lvlJc w:val="left"/>
      <w:pPr>
        <w:ind w:left="928"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9077957"/>
    <w:multiLevelType w:val="hybridMultilevel"/>
    <w:tmpl w:val="3FDE99A6"/>
    <w:lvl w:ilvl="0" w:tplc="24A41B66">
      <w:start w:val="1"/>
      <w:numFmt w:val="bullet"/>
      <w:pStyle w:val="Glossary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920E9"/>
    <w:multiLevelType w:val="hybridMultilevel"/>
    <w:tmpl w:val="460814A6"/>
    <w:styleLink w:val="BulletsList2"/>
    <w:lvl w:ilvl="0" w:tplc="99EEABB4">
      <w:start w:val="1"/>
      <w:numFmt w:val="bullet"/>
      <w:lvlText w:val=""/>
      <w:lvlJc w:val="left"/>
      <w:pPr>
        <w:ind w:left="720" w:hanging="360"/>
      </w:pPr>
      <w:rPr>
        <w:rFonts w:ascii="Symbol" w:hAnsi="Symbol" w:hint="default"/>
      </w:rPr>
    </w:lvl>
    <w:lvl w:ilvl="1" w:tplc="A11C3096">
      <w:start w:val="1"/>
      <w:numFmt w:val="bullet"/>
      <w:lvlText w:val="o"/>
      <w:lvlJc w:val="left"/>
      <w:pPr>
        <w:ind w:left="1440" w:hanging="360"/>
      </w:pPr>
      <w:rPr>
        <w:rFonts w:ascii="Courier New" w:hAnsi="Courier New" w:hint="default"/>
      </w:rPr>
    </w:lvl>
    <w:lvl w:ilvl="2" w:tplc="6EB24318">
      <w:start w:val="1"/>
      <w:numFmt w:val="bullet"/>
      <w:lvlText w:val=""/>
      <w:lvlJc w:val="left"/>
      <w:pPr>
        <w:ind w:left="2160" w:hanging="360"/>
      </w:pPr>
      <w:rPr>
        <w:rFonts w:ascii="Wingdings" w:hAnsi="Wingdings" w:hint="default"/>
      </w:rPr>
    </w:lvl>
    <w:lvl w:ilvl="3" w:tplc="5B32E8EA">
      <w:start w:val="1"/>
      <w:numFmt w:val="bullet"/>
      <w:lvlText w:val=""/>
      <w:lvlJc w:val="left"/>
      <w:pPr>
        <w:ind w:left="2880" w:hanging="360"/>
      </w:pPr>
      <w:rPr>
        <w:rFonts w:ascii="Symbol" w:hAnsi="Symbol" w:hint="default"/>
      </w:rPr>
    </w:lvl>
    <w:lvl w:ilvl="4" w:tplc="16949158">
      <w:start w:val="1"/>
      <w:numFmt w:val="bullet"/>
      <w:lvlText w:val="o"/>
      <w:lvlJc w:val="left"/>
      <w:pPr>
        <w:ind w:left="3600" w:hanging="360"/>
      </w:pPr>
      <w:rPr>
        <w:rFonts w:ascii="Courier New" w:hAnsi="Courier New" w:hint="default"/>
      </w:rPr>
    </w:lvl>
    <w:lvl w:ilvl="5" w:tplc="88EC627E">
      <w:start w:val="1"/>
      <w:numFmt w:val="bullet"/>
      <w:lvlText w:val=""/>
      <w:lvlJc w:val="left"/>
      <w:pPr>
        <w:ind w:left="4320" w:hanging="360"/>
      </w:pPr>
      <w:rPr>
        <w:rFonts w:ascii="Wingdings" w:hAnsi="Wingdings" w:hint="default"/>
      </w:rPr>
    </w:lvl>
    <w:lvl w:ilvl="6" w:tplc="DB3C1796">
      <w:start w:val="1"/>
      <w:numFmt w:val="bullet"/>
      <w:lvlText w:val=""/>
      <w:lvlJc w:val="left"/>
      <w:pPr>
        <w:ind w:left="5040" w:hanging="360"/>
      </w:pPr>
      <w:rPr>
        <w:rFonts w:ascii="Symbol" w:hAnsi="Symbol" w:hint="default"/>
      </w:rPr>
    </w:lvl>
    <w:lvl w:ilvl="7" w:tplc="51ACB61A">
      <w:start w:val="1"/>
      <w:numFmt w:val="bullet"/>
      <w:lvlText w:val="o"/>
      <w:lvlJc w:val="left"/>
      <w:pPr>
        <w:ind w:left="5760" w:hanging="360"/>
      </w:pPr>
      <w:rPr>
        <w:rFonts w:ascii="Courier New" w:hAnsi="Courier New" w:hint="default"/>
      </w:rPr>
    </w:lvl>
    <w:lvl w:ilvl="8" w:tplc="8376E96E">
      <w:start w:val="1"/>
      <w:numFmt w:val="bullet"/>
      <w:lvlText w:val=""/>
      <w:lvlJc w:val="left"/>
      <w:pPr>
        <w:ind w:left="6480" w:hanging="360"/>
      </w:pPr>
      <w:rPr>
        <w:rFonts w:ascii="Wingdings" w:hAnsi="Wingdings" w:hint="default"/>
      </w:rPr>
    </w:lvl>
  </w:abstractNum>
  <w:abstractNum w:abstractNumId="9" w15:restartNumberingAfterBreak="0">
    <w:nsid w:val="471E1CEE"/>
    <w:multiLevelType w:val="hybridMultilevel"/>
    <w:tmpl w:val="104ED520"/>
    <w:lvl w:ilvl="0" w:tplc="56989EE4">
      <w:start w:val="1"/>
      <w:numFmt w:val="bullet"/>
      <w:pStyle w:val="SystemStep"/>
      <w:lvlText w:val=""/>
      <w:lvlJc w:val="left"/>
      <w:pPr>
        <w:ind w:left="644" w:hanging="360"/>
      </w:pPr>
      <w:rPr>
        <w:rFonts w:ascii="Wingdings" w:hAnsi="Wingdings" w:hint="default"/>
        <w:color w:val="00B0B9"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066FBE"/>
    <w:multiLevelType w:val="hybridMultilevel"/>
    <w:tmpl w:val="1AA4807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51544687"/>
    <w:multiLevelType w:val="multilevel"/>
    <w:tmpl w:val="80FA67DC"/>
    <w:styleLink w:val="LeftColumnBullet"/>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A2B7EDD"/>
    <w:multiLevelType w:val="hybridMultilevel"/>
    <w:tmpl w:val="6736DCF4"/>
    <w:styleLink w:val="BulletsList"/>
    <w:lvl w:ilvl="0" w:tplc="28C2DD5E">
      <w:start w:val="1"/>
      <w:numFmt w:val="bullet"/>
      <w:lvlText w:val="o"/>
      <w:lvlJc w:val="left"/>
      <w:pPr>
        <w:ind w:left="720" w:hanging="360"/>
      </w:pPr>
      <w:rPr>
        <w:rFonts w:ascii="Courier New" w:hAnsi="Courier New" w:hint="default"/>
      </w:rPr>
    </w:lvl>
    <w:lvl w:ilvl="1" w:tplc="DD5E0B18">
      <w:start w:val="1"/>
      <w:numFmt w:val="bullet"/>
      <w:lvlText w:val="o"/>
      <w:lvlJc w:val="left"/>
      <w:pPr>
        <w:ind w:left="1440" w:hanging="360"/>
      </w:pPr>
      <w:rPr>
        <w:rFonts w:ascii="Courier New" w:hAnsi="Courier New" w:hint="default"/>
      </w:rPr>
    </w:lvl>
    <w:lvl w:ilvl="2" w:tplc="14C2BAE8">
      <w:start w:val="1"/>
      <w:numFmt w:val="bullet"/>
      <w:lvlText w:val=""/>
      <w:lvlJc w:val="left"/>
      <w:pPr>
        <w:ind w:left="2160" w:hanging="360"/>
      </w:pPr>
      <w:rPr>
        <w:rFonts w:ascii="Wingdings" w:hAnsi="Wingdings" w:hint="default"/>
      </w:rPr>
    </w:lvl>
    <w:lvl w:ilvl="3" w:tplc="020011D6">
      <w:start w:val="1"/>
      <w:numFmt w:val="bullet"/>
      <w:lvlText w:val=""/>
      <w:lvlJc w:val="left"/>
      <w:pPr>
        <w:ind w:left="2880" w:hanging="360"/>
      </w:pPr>
      <w:rPr>
        <w:rFonts w:ascii="Symbol" w:hAnsi="Symbol" w:hint="default"/>
      </w:rPr>
    </w:lvl>
    <w:lvl w:ilvl="4" w:tplc="ADF4E15A">
      <w:start w:val="1"/>
      <w:numFmt w:val="bullet"/>
      <w:lvlText w:val="o"/>
      <w:lvlJc w:val="left"/>
      <w:pPr>
        <w:ind w:left="3600" w:hanging="360"/>
      </w:pPr>
      <w:rPr>
        <w:rFonts w:ascii="Courier New" w:hAnsi="Courier New" w:hint="default"/>
      </w:rPr>
    </w:lvl>
    <w:lvl w:ilvl="5" w:tplc="EED62052">
      <w:start w:val="1"/>
      <w:numFmt w:val="bullet"/>
      <w:lvlText w:val=""/>
      <w:lvlJc w:val="left"/>
      <w:pPr>
        <w:ind w:left="4320" w:hanging="360"/>
      </w:pPr>
      <w:rPr>
        <w:rFonts w:ascii="Wingdings" w:hAnsi="Wingdings" w:hint="default"/>
      </w:rPr>
    </w:lvl>
    <w:lvl w:ilvl="6" w:tplc="6212CBC6">
      <w:start w:val="1"/>
      <w:numFmt w:val="bullet"/>
      <w:lvlText w:val=""/>
      <w:lvlJc w:val="left"/>
      <w:pPr>
        <w:ind w:left="5040" w:hanging="360"/>
      </w:pPr>
      <w:rPr>
        <w:rFonts w:ascii="Symbol" w:hAnsi="Symbol" w:hint="default"/>
      </w:rPr>
    </w:lvl>
    <w:lvl w:ilvl="7" w:tplc="18CE19C0">
      <w:start w:val="1"/>
      <w:numFmt w:val="bullet"/>
      <w:lvlText w:val="o"/>
      <w:lvlJc w:val="left"/>
      <w:pPr>
        <w:ind w:left="5760" w:hanging="360"/>
      </w:pPr>
      <w:rPr>
        <w:rFonts w:ascii="Courier New" w:hAnsi="Courier New" w:hint="default"/>
      </w:rPr>
    </w:lvl>
    <w:lvl w:ilvl="8" w:tplc="55F2A3B4">
      <w:start w:val="1"/>
      <w:numFmt w:val="bullet"/>
      <w:lvlText w:val=""/>
      <w:lvlJc w:val="left"/>
      <w:pPr>
        <w:ind w:left="6480" w:hanging="360"/>
      </w:pPr>
      <w:rPr>
        <w:rFonts w:ascii="Wingdings" w:hAnsi="Wingdings" w:hint="default"/>
      </w:rPr>
    </w:lvl>
  </w:abstractNum>
  <w:abstractNum w:abstractNumId="13" w15:restartNumberingAfterBreak="0">
    <w:nsid w:val="5B482167"/>
    <w:multiLevelType w:val="hybridMultilevel"/>
    <w:tmpl w:val="4CB6509C"/>
    <w:lvl w:ilvl="0" w:tplc="FCDE9220">
      <w:start w:val="1"/>
      <w:numFmt w:val="bullet"/>
      <w:pStyle w:val="TableList-level1"/>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5EC277CA"/>
    <w:multiLevelType w:val="hybridMultilevel"/>
    <w:tmpl w:val="844850D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6C2D4FD6"/>
    <w:multiLevelType w:val="hybridMultilevel"/>
    <w:tmpl w:val="CACCA4BA"/>
    <w:lvl w:ilvl="0" w:tplc="0C090001">
      <w:start w:val="1"/>
      <w:numFmt w:val="bullet"/>
      <w:lvlText w:val=""/>
      <w:lvlJc w:val="left"/>
      <w:pPr>
        <w:ind w:left="1211" w:hanging="360"/>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 w15:restartNumberingAfterBreak="0">
    <w:nsid w:val="711C1989"/>
    <w:multiLevelType w:val="hybridMultilevel"/>
    <w:tmpl w:val="8C6A5472"/>
    <w:lvl w:ilvl="0" w:tplc="DFF2FB26">
      <w:start w:val="1"/>
      <w:numFmt w:val="bullet"/>
      <w:pStyle w:val="BulletLevel3"/>
      <w:lvlText w:val=""/>
      <w:lvlJc w:val="left"/>
      <w:pPr>
        <w:ind w:left="1211" w:hanging="360"/>
      </w:pPr>
      <w:rPr>
        <w:rFonts w:ascii="Wingdings" w:hAnsi="Wingdings"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72B83F97"/>
    <w:multiLevelType w:val="hybridMultilevel"/>
    <w:tmpl w:val="26828CE0"/>
    <w:lvl w:ilvl="0" w:tplc="F620ACA6">
      <w:start w:val="1"/>
      <w:numFmt w:val="bullet"/>
      <w:pStyle w:val="Bullet-SupportingDocument"/>
      <w:lvlText w:val=""/>
      <w:lvlJc w:val="left"/>
      <w:pPr>
        <w:ind w:left="720" w:hanging="360"/>
      </w:pPr>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AusGovStyleManual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5627FF5"/>
    <w:multiLevelType w:val="hybridMultilevel"/>
    <w:tmpl w:val="53E4D5FC"/>
    <w:styleLink w:val="Styl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BA3110"/>
    <w:multiLevelType w:val="hybridMultilevel"/>
    <w:tmpl w:val="F3000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00195"/>
    <w:multiLevelType w:val="hybridMultilevel"/>
    <w:tmpl w:val="F1FE4B0C"/>
    <w:styleLink w:val="BulletsList1"/>
    <w:lvl w:ilvl="0" w:tplc="2278DEAC">
      <w:start w:val="1"/>
      <w:numFmt w:val="bullet"/>
      <w:pStyle w:val="WorkHealthandSafetyStep"/>
      <w:lvlText w:val=""/>
      <w:lvlJc w:val="left"/>
      <w:pPr>
        <w:ind w:left="644" w:hanging="360"/>
      </w:pPr>
      <w:rPr>
        <w:rFonts w:ascii="Wingdings 2" w:hAnsi="Wingdings 2" w:hint="default"/>
        <w:color w:val="FF000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365910544">
    <w:abstractNumId w:val="12"/>
  </w:num>
  <w:num w:numId="2" w16cid:durableId="1570578270">
    <w:abstractNumId w:val="18"/>
  </w:num>
  <w:num w:numId="3" w16cid:durableId="784497082">
    <w:abstractNumId w:val="11"/>
  </w:num>
  <w:num w:numId="4" w16cid:durableId="1469517957">
    <w:abstractNumId w:val="21"/>
  </w:num>
  <w:num w:numId="5" w16cid:durableId="150678057">
    <w:abstractNumId w:val="3"/>
  </w:num>
  <w:num w:numId="6" w16cid:durableId="1485002929">
    <w:abstractNumId w:val="17"/>
  </w:num>
  <w:num w:numId="7" w16cid:durableId="564681854">
    <w:abstractNumId w:val="8"/>
  </w:num>
  <w:num w:numId="8" w16cid:durableId="426001487">
    <w:abstractNumId w:val="1"/>
  </w:num>
  <w:num w:numId="9" w16cid:durableId="902253746">
    <w:abstractNumId w:val="9"/>
  </w:num>
  <w:num w:numId="10" w16cid:durableId="1862281386">
    <w:abstractNumId w:val="4"/>
  </w:num>
  <w:num w:numId="11" w16cid:durableId="1561863600">
    <w:abstractNumId w:val="2"/>
  </w:num>
  <w:num w:numId="12" w16cid:durableId="1876195451">
    <w:abstractNumId w:val="6"/>
  </w:num>
  <w:num w:numId="13" w16cid:durableId="1518038809">
    <w:abstractNumId w:val="7"/>
  </w:num>
  <w:num w:numId="14" w16cid:durableId="1143888851">
    <w:abstractNumId w:val="13"/>
  </w:num>
  <w:num w:numId="15" w16cid:durableId="1064108544">
    <w:abstractNumId w:val="16"/>
  </w:num>
  <w:num w:numId="16" w16cid:durableId="493953535">
    <w:abstractNumId w:val="5"/>
  </w:num>
  <w:num w:numId="17" w16cid:durableId="23211614">
    <w:abstractNumId w:val="19"/>
  </w:num>
  <w:num w:numId="18" w16cid:durableId="1130130301">
    <w:abstractNumId w:val="14"/>
  </w:num>
  <w:num w:numId="19" w16cid:durableId="1179268686">
    <w:abstractNumId w:val="0"/>
  </w:num>
  <w:num w:numId="20" w16cid:durableId="1794515301">
    <w:abstractNumId w:val="10"/>
  </w:num>
  <w:num w:numId="21" w16cid:durableId="445122893">
    <w:abstractNumId w:val="20"/>
  </w:num>
  <w:num w:numId="22" w16cid:durableId="344524655">
    <w:abstractNumId w:val="15"/>
  </w:num>
  <w:num w:numId="23" w16cid:durableId="148526927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11"/>
    <w:rsid w:val="00000011"/>
    <w:rsid w:val="0000005E"/>
    <w:rsid w:val="000000D7"/>
    <w:rsid w:val="00000102"/>
    <w:rsid w:val="0000010B"/>
    <w:rsid w:val="00000243"/>
    <w:rsid w:val="000002BC"/>
    <w:rsid w:val="00000345"/>
    <w:rsid w:val="0000050F"/>
    <w:rsid w:val="0000066D"/>
    <w:rsid w:val="0000068A"/>
    <w:rsid w:val="00000713"/>
    <w:rsid w:val="0000072B"/>
    <w:rsid w:val="0000073C"/>
    <w:rsid w:val="000007AE"/>
    <w:rsid w:val="000007F7"/>
    <w:rsid w:val="000008B7"/>
    <w:rsid w:val="00000AF8"/>
    <w:rsid w:val="00000B20"/>
    <w:rsid w:val="00000B95"/>
    <w:rsid w:val="00000E5C"/>
    <w:rsid w:val="00000F18"/>
    <w:rsid w:val="00000F4F"/>
    <w:rsid w:val="00000FB6"/>
    <w:rsid w:val="00000FBD"/>
    <w:rsid w:val="0000100C"/>
    <w:rsid w:val="000010D4"/>
    <w:rsid w:val="00001124"/>
    <w:rsid w:val="0000113C"/>
    <w:rsid w:val="00001199"/>
    <w:rsid w:val="0000127D"/>
    <w:rsid w:val="0000145A"/>
    <w:rsid w:val="000015D2"/>
    <w:rsid w:val="000015DC"/>
    <w:rsid w:val="0000176D"/>
    <w:rsid w:val="00001799"/>
    <w:rsid w:val="000017D2"/>
    <w:rsid w:val="0000189D"/>
    <w:rsid w:val="000018A3"/>
    <w:rsid w:val="000018B9"/>
    <w:rsid w:val="000018E8"/>
    <w:rsid w:val="00001926"/>
    <w:rsid w:val="00001943"/>
    <w:rsid w:val="000019A7"/>
    <w:rsid w:val="00001A2D"/>
    <w:rsid w:val="00001A30"/>
    <w:rsid w:val="00001BB2"/>
    <w:rsid w:val="00001C18"/>
    <w:rsid w:val="00001D3F"/>
    <w:rsid w:val="00001D51"/>
    <w:rsid w:val="00001EA2"/>
    <w:rsid w:val="00001EB0"/>
    <w:rsid w:val="00001F7A"/>
    <w:rsid w:val="00001FAC"/>
    <w:rsid w:val="00002001"/>
    <w:rsid w:val="00002057"/>
    <w:rsid w:val="0000206B"/>
    <w:rsid w:val="00002135"/>
    <w:rsid w:val="000021AC"/>
    <w:rsid w:val="00002266"/>
    <w:rsid w:val="00002326"/>
    <w:rsid w:val="0000235A"/>
    <w:rsid w:val="0000247E"/>
    <w:rsid w:val="000024FD"/>
    <w:rsid w:val="0000251E"/>
    <w:rsid w:val="00002594"/>
    <w:rsid w:val="0000259A"/>
    <w:rsid w:val="00002607"/>
    <w:rsid w:val="0000260C"/>
    <w:rsid w:val="0000267F"/>
    <w:rsid w:val="000026AF"/>
    <w:rsid w:val="000026C4"/>
    <w:rsid w:val="00002721"/>
    <w:rsid w:val="00002730"/>
    <w:rsid w:val="00002775"/>
    <w:rsid w:val="000028AD"/>
    <w:rsid w:val="00002945"/>
    <w:rsid w:val="00002982"/>
    <w:rsid w:val="000029F1"/>
    <w:rsid w:val="00002A45"/>
    <w:rsid w:val="00002B40"/>
    <w:rsid w:val="00002CEC"/>
    <w:rsid w:val="00002D76"/>
    <w:rsid w:val="00002D7E"/>
    <w:rsid w:val="00002E03"/>
    <w:rsid w:val="00002E75"/>
    <w:rsid w:val="00002E93"/>
    <w:rsid w:val="00003173"/>
    <w:rsid w:val="0000336C"/>
    <w:rsid w:val="0000336E"/>
    <w:rsid w:val="00003399"/>
    <w:rsid w:val="000033EB"/>
    <w:rsid w:val="000033F7"/>
    <w:rsid w:val="0000343D"/>
    <w:rsid w:val="00003453"/>
    <w:rsid w:val="000034AA"/>
    <w:rsid w:val="000034EE"/>
    <w:rsid w:val="00003573"/>
    <w:rsid w:val="000035C4"/>
    <w:rsid w:val="000035F8"/>
    <w:rsid w:val="000037A0"/>
    <w:rsid w:val="000037D8"/>
    <w:rsid w:val="00003823"/>
    <w:rsid w:val="00003833"/>
    <w:rsid w:val="0000392B"/>
    <w:rsid w:val="00003BC2"/>
    <w:rsid w:val="00003BC3"/>
    <w:rsid w:val="00003E4A"/>
    <w:rsid w:val="00003F06"/>
    <w:rsid w:val="00003F4E"/>
    <w:rsid w:val="00003FA6"/>
    <w:rsid w:val="00003FAB"/>
    <w:rsid w:val="00004040"/>
    <w:rsid w:val="0000404E"/>
    <w:rsid w:val="00004064"/>
    <w:rsid w:val="00004198"/>
    <w:rsid w:val="0000423A"/>
    <w:rsid w:val="00004248"/>
    <w:rsid w:val="00004276"/>
    <w:rsid w:val="0000477C"/>
    <w:rsid w:val="00004855"/>
    <w:rsid w:val="00004880"/>
    <w:rsid w:val="0000493B"/>
    <w:rsid w:val="000049D7"/>
    <w:rsid w:val="00004BF3"/>
    <w:rsid w:val="00004C35"/>
    <w:rsid w:val="00004CA5"/>
    <w:rsid w:val="00004D14"/>
    <w:rsid w:val="00004D77"/>
    <w:rsid w:val="00004D78"/>
    <w:rsid w:val="00004D80"/>
    <w:rsid w:val="00004E5E"/>
    <w:rsid w:val="00004E7D"/>
    <w:rsid w:val="00004E89"/>
    <w:rsid w:val="00004EE3"/>
    <w:rsid w:val="00004F1C"/>
    <w:rsid w:val="00004FBB"/>
    <w:rsid w:val="00004FDD"/>
    <w:rsid w:val="00005017"/>
    <w:rsid w:val="0000502C"/>
    <w:rsid w:val="00005048"/>
    <w:rsid w:val="00005088"/>
    <w:rsid w:val="00005158"/>
    <w:rsid w:val="0000516A"/>
    <w:rsid w:val="000052FF"/>
    <w:rsid w:val="00005345"/>
    <w:rsid w:val="00005458"/>
    <w:rsid w:val="000055D7"/>
    <w:rsid w:val="000056B3"/>
    <w:rsid w:val="000056E8"/>
    <w:rsid w:val="0000576A"/>
    <w:rsid w:val="000058C2"/>
    <w:rsid w:val="000058FE"/>
    <w:rsid w:val="00005A2C"/>
    <w:rsid w:val="00005A56"/>
    <w:rsid w:val="00005C61"/>
    <w:rsid w:val="00005DCC"/>
    <w:rsid w:val="00005EA6"/>
    <w:rsid w:val="00005EE6"/>
    <w:rsid w:val="00005F91"/>
    <w:rsid w:val="00005FA1"/>
    <w:rsid w:val="00005FF3"/>
    <w:rsid w:val="00006046"/>
    <w:rsid w:val="0000604D"/>
    <w:rsid w:val="00006159"/>
    <w:rsid w:val="000062EE"/>
    <w:rsid w:val="00006355"/>
    <w:rsid w:val="0000642B"/>
    <w:rsid w:val="00006445"/>
    <w:rsid w:val="00006447"/>
    <w:rsid w:val="00006483"/>
    <w:rsid w:val="000064ED"/>
    <w:rsid w:val="000065D7"/>
    <w:rsid w:val="000066B7"/>
    <w:rsid w:val="0000684A"/>
    <w:rsid w:val="00006A84"/>
    <w:rsid w:val="00006CE6"/>
    <w:rsid w:val="00006D74"/>
    <w:rsid w:val="00006E87"/>
    <w:rsid w:val="00006E92"/>
    <w:rsid w:val="000070BC"/>
    <w:rsid w:val="000070CD"/>
    <w:rsid w:val="00007129"/>
    <w:rsid w:val="00007191"/>
    <w:rsid w:val="000071F0"/>
    <w:rsid w:val="000072C2"/>
    <w:rsid w:val="000072D8"/>
    <w:rsid w:val="000075DE"/>
    <w:rsid w:val="0000763F"/>
    <w:rsid w:val="000076E0"/>
    <w:rsid w:val="0000776C"/>
    <w:rsid w:val="000077E0"/>
    <w:rsid w:val="00007999"/>
    <w:rsid w:val="00007A87"/>
    <w:rsid w:val="00007ABF"/>
    <w:rsid w:val="00007C5C"/>
    <w:rsid w:val="00007CFF"/>
    <w:rsid w:val="00007D3C"/>
    <w:rsid w:val="00007D73"/>
    <w:rsid w:val="00007E19"/>
    <w:rsid w:val="00007F05"/>
    <w:rsid w:val="00007FBD"/>
    <w:rsid w:val="0001003F"/>
    <w:rsid w:val="000100A6"/>
    <w:rsid w:val="0001020E"/>
    <w:rsid w:val="000102DA"/>
    <w:rsid w:val="000102FC"/>
    <w:rsid w:val="000102FF"/>
    <w:rsid w:val="000104A8"/>
    <w:rsid w:val="00010504"/>
    <w:rsid w:val="0001060D"/>
    <w:rsid w:val="00010658"/>
    <w:rsid w:val="000106F5"/>
    <w:rsid w:val="000107D3"/>
    <w:rsid w:val="00010855"/>
    <w:rsid w:val="00010892"/>
    <w:rsid w:val="000109E8"/>
    <w:rsid w:val="00010ACB"/>
    <w:rsid w:val="00010B7A"/>
    <w:rsid w:val="00010C40"/>
    <w:rsid w:val="00010D5A"/>
    <w:rsid w:val="00010DCD"/>
    <w:rsid w:val="00010E45"/>
    <w:rsid w:val="00010EDD"/>
    <w:rsid w:val="00010EEF"/>
    <w:rsid w:val="00010F08"/>
    <w:rsid w:val="00010F43"/>
    <w:rsid w:val="00010F5F"/>
    <w:rsid w:val="00010FA7"/>
    <w:rsid w:val="00011054"/>
    <w:rsid w:val="00011057"/>
    <w:rsid w:val="000110CF"/>
    <w:rsid w:val="0001110C"/>
    <w:rsid w:val="00011119"/>
    <w:rsid w:val="0001116F"/>
    <w:rsid w:val="00011292"/>
    <w:rsid w:val="000112F8"/>
    <w:rsid w:val="00011336"/>
    <w:rsid w:val="00011384"/>
    <w:rsid w:val="00011409"/>
    <w:rsid w:val="0001141D"/>
    <w:rsid w:val="00011450"/>
    <w:rsid w:val="0001145A"/>
    <w:rsid w:val="00011501"/>
    <w:rsid w:val="00011552"/>
    <w:rsid w:val="00011650"/>
    <w:rsid w:val="00011659"/>
    <w:rsid w:val="000116F8"/>
    <w:rsid w:val="00011745"/>
    <w:rsid w:val="00011802"/>
    <w:rsid w:val="0001189C"/>
    <w:rsid w:val="00011990"/>
    <w:rsid w:val="00011991"/>
    <w:rsid w:val="000119A4"/>
    <w:rsid w:val="00011A0A"/>
    <w:rsid w:val="00011B1D"/>
    <w:rsid w:val="00011B37"/>
    <w:rsid w:val="00011B41"/>
    <w:rsid w:val="00011CAB"/>
    <w:rsid w:val="00011CF0"/>
    <w:rsid w:val="00011D13"/>
    <w:rsid w:val="00011D3B"/>
    <w:rsid w:val="00011DB1"/>
    <w:rsid w:val="00011F29"/>
    <w:rsid w:val="00011F44"/>
    <w:rsid w:val="00011F56"/>
    <w:rsid w:val="00012075"/>
    <w:rsid w:val="0001208A"/>
    <w:rsid w:val="0001212C"/>
    <w:rsid w:val="00012199"/>
    <w:rsid w:val="00012206"/>
    <w:rsid w:val="00012297"/>
    <w:rsid w:val="0001246C"/>
    <w:rsid w:val="00012522"/>
    <w:rsid w:val="0001266A"/>
    <w:rsid w:val="00012745"/>
    <w:rsid w:val="00012763"/>
    <w:rsid w:val="000127FF"/>
    <w:rsid w:val="0001291C"/>
    <w:rsid w:val="0001296E"/>
    <w:rsid w:val="000129D2"/>
    <w:rsid w:val="00012ABE"/>
    <w:rsid w:val="00012B90"/>
    <w:rsid w:val="00012C13"/>
    <w:rsid w:val="00012CAF"/>
    <w:rsid w:val="00012E35"/>
    <w:rsid w:val="00013000"/>
    <w:rsid w:val="00013111"/>
    <w:rsid w:val="00013221"/>
    <w:rsid w:val="0001327F"/>
    <w:rsid w:val="0001335C"/>
    <w:rsid w:val="00013373"/>
    <w:rsid w:val="000133DD"/>
    <w:rsid w:val="00013443"/>
    <w:rsid w:val="00013532"/>
    <w:rsid w:val="000136F7"/>
    <w:rsid w:val="0001371C"/>
    <w:rsid w:val="0001376A"/>
    <w:rsid w:val="000138F2"/>
    <w:rsid w:val="00013A28"/>
    <w:rsid w:val="00013A9F"/>
    <w:rsid w:val="00013B7C"/>
    <w:rsid w:val="00013C36"/>
    <w:rsid w:val="00013E9F"/>
    <w:rsid w:val="00013EAC"/>
    <w:rsid w:val="0001400A"/>
    <w:rsid w:val="000140B8"/>
    <w:rsid w:val="000140BA"/>
    <w:rsid w:val="00014132"/>
    <w:rsid w:val="0001425D"/>
    <w:rsid w:val="00014267"/>
    <w:rsid w:val="000143D9"/>
    <w:rsid w:val="00014452"/>
    <w:rsid w:val="0001447E"/>
    <w:rsid w:val="00014552"/>
    <w:rsid w:val="00014609"/>
    <w:rsid w:val="00014651"/>
    <w:rsid w:val="000146B6"/>
    <w:rsid w:val="000146CB"/>
    <w:rsid w:val="00014713"/>
    <w:rsid w:val="00014762"/>
    <w:rsid w:val="000147BC"/>
    <w:rsid w:val="000148E5"/>
    <w:rsid w:val="0001495C"/>
    <w:rsid w:val="00014BEF"/>
    <w:rsid w:val="00014BF6"/>
    <w:rsid w:val="00014D9B"/>
    <w:rsid w:val="00014DD4"/>
    <w:rsid w:val="00014F20"/>
    <w:rsid w:val="00014F64"/>
    <w:rsid w:val="00014FB2"/>
    <w:rsid w:val="00014FE9"/>
    <w:rsid w:val="00014FF8"/>
    <w:rsid w:val="00014FFF"/>
    <w:rsid w:val="000152D8"/>
    <w:rsid w:val="000152E2"/>
    <w:rsid w:val="00015398"/>
    <w:rsid w:val="000155A7"/>
    <w:rsid w:val="000156E5"/>
    <w:rsid w:val="00015778"/>
    <w:rsid w:val="00015794"/>
    <w:rsid w:val="000157A2"/>
    <w:rsid w:val="0001589C"/>
    <w:rsid w:val="00015A56"/>
    <w:rsid w:val="00015B31"/>
    <w:rsid w:val="00015D44"/>
    <w:rsid w:val="00015DDB"/>
    <w:rsid w:val="00015E0D"/>
    <w:rsid w:val="00015E1D"/>
    <w:rsid w:val="00015E77"/>
    <w:rsid w:val="00016039"/>
    <w:rsid w:val="000160C7"/>
    <w:rsid w:val="00016191"/>
    <w:rsid w:val="0001624A"/>
    <w:rsid w:val="00016360"/>
    <w:rsid w:val="0001636E"/>
    <w:rsid w:val="000164FC"/>
    <w:rsid w:val="00016548"/>
    <w:rsid w:val="00016587"/>
    <w:rsid w:val="000165F7"/>
    <w:rsid w:val="00016701"/>
    <w:rsid w:val="0001671C"/>
    <w:rsid w:val="0001675A"/>
    <w:rsid w:val="000168E4"/>
    <w:rsid w:val="00016913"/>
    <w:rsid w:val="00016927"/>
    <w:rsid w:val="00016966"/>
    <w:rsid w:val="00016975"/>
    <w:rsid w:val="00016BA3"/>
    <w:rsid w:val="00016D3E"/>
    <w:rsid w:val="00016DF4"/>
    <w:rsid w:val="00016E78"/>
    <w:rsid w:val="00016F22"/>
    <w:rsid w:val="00017177"/>
    <w:rsid w:val="000171D0"/>
    <w:rsid w:val="000172DF"/>
    <w:rsid w:val="000173D0"/>
    <w:rsid w:val="00017672"/>
    <w:rsid w:val="000176FD"/>
    <w:rsid w:val="00017871"/>
    <w:rsid w:val="0001790C"/>
    <w:rsid w:val="00017C1F"/>
    <w:rsid w:val="00017C51"/>
    <w:rsid w:val="00017E2A"/>
    <w:rsid w:val="00017ED9"/>
    <w:rsid w:val="00017EE6"/>
    <w:rsid w:val="00017F29"/>
    <w:rsid w:val="00017FD3"/>
    <w:rsid w:val="0001C0FE"/>
    <w:rsid w:val="00020022"/>
    <w:rsid w:val="000200DA"/>
    <w:rsid w:val="0002020E"/>
    <w:rsid w:val="00020252"/>
    <w:rsid w:val="000204F7"/>
    <w:rsid w:val="000205D8"/>
    <w:rsid w:val="0002062F"/>
    <w:rsid w:val="00020656"/>
    <w:rsid w:val="00020706"/>
    <w:rsid w:val="00020896"/>
    <w:rsid w:val="000208B4"/>
    <w:rsid w:val="000209E7"/>
    <w:rsid w:val="00020A22"/>
    <w:rsid w:val="00020A30"/>
    <w:rsid w:val="00020C29"/>
    <w:rsid w:val="00020C5B"/>
    <w:rsid w:val="00020C61"/>
    <w:rsid w:val="00020CBC"/>
    <w:rsid w:val="00020D71"/>
    <w:rsid w:val="00020F8C"/>
    <w:rsid w:val="00021146"/>
    <w:rsid w:val="00021178"/>
    <w:rsid w:val="000211DA"/>
    <w:rsid w:val="0002121B"/>
    <w:rsid w:val="0002123E"/>
    <w:rsid w:val="000212F2"/>
    <w:rsid w:val="00021397"/>
    <w:rsid w:val="0002139B"/>
    <w:rsid w:val="000213B4"/>
    <w:rsid w:val="000213D9"/>
    <w:rsid w:val="0002142C"/>
    <w:rsid w:val="000214B5"/>
    <w:rsid w:val="000214D4"/>
    <w:rsid w:val="000214DD"/>
    <w:rsid w:val="00021503"/>
    <w:rsid w:val="0002162F"/>
    <w:rsid w:val="00021715"/>
    <w:rsid w:val="0002173D"/>
    <w:rsid w:val="0002175B"/>
    <w:rsid w:val="000218F8"/>
    <w:rsid w:val="000219EF"/>
    <w:rsid w:val="00021AC2"/>
    <w:rsid w:val="00021BD8"/>
    <w:rsid w:val="00021C0E"/>
    <w:rsid w:val="00021CE5"/>
    <w:rsid w:val="00021CF7"/>
    <w:rsid w:val="00021D5A"/>
    <w:rsid w:val="00021D77"/>
    <w:rsid w:val="00021EA1"/>
    <w:rsid w:val="00021FC7"/>
    <w:rsid w:val="00021FFF"/>
    <w:rsid w:val="0002219A"/>
    <w:rsid w:val="000222BE"/>
    <w:rsid w:val="00022423"/>
    <w:rsid w:val="00022505"/>
    <w:rsid w:val="00022551"/>
    <w:rsid w:val="000225E7"/>
    <w:rsid w:val="000227E7"/>
    <w:rsid w:val="00022833"/>
    <w:rsid w:val="000229E0"/>
    <w:rsid w:val="00022AA4"/>
    <w:rsid w:val="00022BB3"/>
    <w:rsid w:val="00022C52"/>
    <w:rsid w:val="00022CAF"/>
    <w:rsid w:val="00022D0E"/>
    <w:rsid w:val="00022DA5"/>
    <w:rsid w:val="00022ED1"/>
    <w:rsid w:val="00022F6D"/>
    <w:rsid w:val="0002304D"/>
    <w:rsid w:val="0002318D"/>
    <w:rsid w:val="00023259"/>
    <w:rsid w:val="00023552"/>
    <w:rsid w:val="00023642"/>
    <w:rsid w:val="0002369A"/>
    <w:rsid w:val="000236B6"/>
    <w:rsid w:val="000237D5"/>
    <w:rsid w:val="000237D8"/>
    <w:rsid w:val="00023808"/>
    <w:rsid w:val="00023916"/>
    <w:rsid w:val="00023925"/>
    <w:rsid w:val="00023A2B"/>
    <w:rsid w:val="00023AA0"/>
    <w:rsid w:val="00023C39"/>
    <w:rsid w:val="00023C82"/>
    <w:rsid w:val="00023D08"/>
    <w:rsid w:val="00023D2C"/>
    <w:rsid w:val="00023DC9"/>
    <w:rsid w:val="00023DDB"/>
    <w:rsid w:val="00023E05"/>
    <w:rsid w:val="00023E5F"/>
    <w:rsid w:val="00023E61"/>
    <w:rsid w:val="00023E99"/>
    <w:rsid w:val="00023EBA"/>
    <w:rsid w:val="00023FC4"/>
    <w:rsid w:val="00023FDC"/>
    <w:rsid w:val="0002401A"/>
    <w:rsid w:val="00024083"/>
    <w:rsid w:val="00024238"/>
    <w:rsid w:val="0002427A"/>
    <w:rsid w:val="00024305"/>
    <w:rsid w:val="00024415"/>
    <w:rsid w:val="00024458"/>
    <w:rsid w:val="0002452F"/>
    <w:rsid w:val="00024541"/>
    <w:rsid w:val="00024543"/>
    <w:rsid w:val="000247D5"/>
    <w:rsid w:val="00024898"/>
    <w:rsid w:val="0002491F"/>
    <w:rsid w:val="00024939"/>
    <w:rsid w:val="000249BA"/>
    <w:rsid w:val="00024AAC"/>
    <w:rsid w:val="00024BBE"/>
    <w:rsid w:val="00024D2C"/>
    <w:rsid w:val="00024E4E"/>
    <w:rsid w:val="00024E87"/>
    <w:rsid w:val="00024E8D"/>
    <w:rsid w:val="00024FCD"/>
    <w:rsid w:val="00025087"/>
    <w:rsid w:val="000250EE"/>
    <w:rsid w:val="0002511A"/>
    <w:rsid w:val="0002511C"/>
    <w:rsid w:val="0002514A"/>
    <w:rsid w:val="000251F0"/>
    <w:rsid w:val="0002522E"/>
    <w:rsid w:val="00025284"/>
    <w:rsid w:val="000252BB"/>
    <w:rsid w:val="0002539C"/>
    <w:rsid w:val="000254FA"/>
    <w:rsid w:val="0002557B"/>
    <w:rsid w:val="000255B9"/>
    <w:rsid w:val="0002571A"/>
    <w:rsid w:val="00025734"/>
    <w:rsid w:val="00025779"/>
    <w:rsid w:val="000257A2"/>
    <w:rsid w:val="000258BB"/>
    <w:rsid w:val="0002596A"/>
    <w:rsid w:val="00025ABC"/>
    <w:rsid w:val="00025B0D"/>
    <w:rsid w:val="00025B2E"/>
    <w:rsid w:val="00025B64"/>
    <w:rsid w:val="00025B94"/>
    <w:rsid w:val="00025DD9"/>
    <w:rsid w:val="00025E00"/>
    <w:rsid w:val="00025E76"/>
    <w:rsid w:val="00025EF2"/>
    <w:rsid w:val="000260A5"/>
    <w:rsid w:val="0002612B"/>
    <w:rsid w:val="00026251"/>
    <w:rsid w:val="00026351"/>
    <w:rsid w:val="00026460"/>
    <w:rsid w:val="000264A3"/>
    <w:rsid w:val="000264C0"/>
    <w:rsid w:val="000265EA"/>
    <w:rsid w:val="000265FF"/>
    <w:rsid w:val="00026603"/>
    <w:rsid w:val="00026640"/>
    <w:rsid w:val="000266AE"/>
    <w:rsid w:val="000266B9"/>
    <w:rsid w:val="00026773"/>
    <w:rsid w:val="00026790"/>
    <w:rsid w:val="0002693D"/>
    <w:rsid w:val="00026940"/>
    <w:rsid w:val="00026997"/>
    <w:rsid w:val="00026AFF"/>
    <w:rsid w:val="00026CBD"/>
    <w:rsid w:val="00026CD4"/>
    <w:rsid w:val="00026DCE"/>
    <w:rsid w:val="00026E20"/>
    <w:rsid w:val="00026F81"/>
    <w:rsid w:val="00026FF9"/>
    <w:rsid w:val="0002705F"/>
    <w:rsid w:val="000270EE"/>
    <w:rsid w:val="000271C5"/>
    <w:rsid w:val="00027341"/>
    <w:rsid w:val="00027404"/>
    <w:rsid w:val="00027531"/>
    <w:rsid w:val="00027566"/>
    <w:rsid w:val="00027615"/>
    <w:rsid w:val="0002764F"/>
    <w:rsid w:val="00027658"/>
    <w:rsid w:val="000276B2"/>
    <w:rsid w:val="000276CA"/>
    <w:rsid w:val="00027769"/>
    <w:rsid w:val="00027795"/>
    <w:rsid w:val="000277BD"/>
    <w:rsid w:val="00027922"/>
    <w:rsid w:val="0002794C"/>
    <w:rsid w:val="00027A75"/>
    <w:rsid w:val="00027A7C"/>
    <w:rsid w:val="00027A93"/>
    <w:rsid w:val="00027AFC"/>
    <w:rsid w:val="00027E21"/>
    <w:rsid w:val="00027F9D"/>
    <w:rsid w:val="00027FDD"/>
    <w:rsid w:val="0003006D"/>
    <w:rsid w:val="000300BE"/>
    <w:rsid w:val="000302FE"/>
    <w:rsid w:val="00030407"/>
    <w:rsid w:val="00030436"/>
    <w:rsid w:val="0003048F"/>
    <w:rsid w:val="00030508"/>
    <w:rsid w:val="0003058A"/>
    <w:rsid w:val="00030612"/>
    <w:rsid w:val="0003062F"/>
    <w:rsid w:val="00030674"/>
    <w:rsid w:val="0003074C"/>
    <w:rsid w:val="0003076D"/>
    <w:rsid w:val="000307A1"/>
    <w:rsid w:val="0003087B"/>
    <w:rsid w:val="000309AC"/>
    <w:rsid w:val="00030A01"/>
    <w:rsid w:val="00030A5A"/>
    <w:rsid w:val="00030B76"/>
    <w:rsid w:val="00030D13"/>
    <w:rsid w:val="00030DE0"/>
    <w:rsid w:val="00030E03"/>
    <w:rsid w:val="00030F31"/>
    <w:rsid w:val="00031007"/>
    <w:rsid w:val="00031068"/>
    <w:rsid w:val="0003109B"/>
    <w:rsid w:val="000311F2"/>
    <w:rsid w:val="00031211"/>
    <w:rsid w:val="00031238"/>
    <w:rsid w:val="000312CA"/>
    <w:rsid w:val="00031301"/>
    <w:rsid w:val="000313A2"/>
    <w:rsid w:val="0003146A"/>
    <w:rsid w:val="0003149A"/>
    <w:rsid w:val="0003149D"/>
    <w:rsid w:val="00031553"/>
    <w:rsid w:val="0003158D"/>
    <w:rsid w:val="000315FC"/>
    <w:rsid w:val="00031662"/>
    <w:rsid w:val="00031687"/>
    <w:rsid w:val="000316B3"/>
    <w:rsid w:val="000316F9"/>
    <w:rsid w:val="00031705"/>
    <w:rsid w:val="00031813"/>
    <w:rsid w:val="00031851"/>
    <w:rsid w:val="000318F2"/>
    <w:rsid w:val="00031942"/>
    <w:rsid w:val="00031AC1"/>
    <w:rsid w:val="00031B1E"/>
    <w:rsid w:val="00031B99"/>
    <w:rsid w:val="00031DA4"/>
    <w:rsid w:val="00031E00"/>
    <w:rsid w:val="00031E0D"/>
    <w:rsid w:val="00031EDC"/>
    <w:rsid w:val="00031EFD"/>
    <w:rsid w:val="00031F0A"/>
    <w:rsid w:val="00032043"/>
    <w:rsid w:val="00032088"/>
    <w:rsid w:val="000320CB"/>
    <w:rsid w:val="00032170"/>
    <w:rsid w:val="0003242C"/>
    <w:rsid w:val="000324C4"/>
    <w:rsid w:val="0003260C"/>
    <w:rsid w:val="00032619"/>
    <w:rsid w:val="0003264E"/>
    <w:rsid w:val="00032769"/>
    <w:rsid w:val="0003278E"/>
    <w:rsid w:val="000327F9"/>
    <w:rsid w:val="0003285E"/>
    <w:rsid w:val="0003297F"/>
    <w:rsid w:val="00032984"/>
    <w:rsid w:val="000329E3"/>
    <w:rsid w:val="00032A39"/>
    <w:rsid w:val="00032A82"/>
    <w:rsid w:val="00032B85"/>
    <w:rsid w:val="00032BFC"/>
    <w:rsid w:val="00032C0E"/>
    <w:rsid w:val="00032C26"/>
    <w:rsid w:val="00032E8F"/>
    <w:rsid w:val="00032E9B"/>
    <w:rsid w:val="00032F56"/>
    <w:rsid w:val="0003302C"/>
    <w:rsid w:val="00033033"/>
    <w:rsid w:val="000330F8"/>
    <w:rsid w:val="00033199"/>
    <w:rsid w:val="00033226"/>
    <w:rsid w:val="0003332C"/>
    <w:rsid w:val="0003341A"/>
    <w:rsid w:val="000334AE"/>
    <w:rsid w:val="000334CA"/>
    <w:rsid w:val="00033587"/>
    <w:rsid w:val="000335E0"/>
    <w:rsid w:val="0003367D"/>
    <w:rsid w:val="00033774"/>
    <w:rsid w:val="00033808"/>
    <w:rsid w:val="00033902"/>
    <w:rsid w:val="00033A27"/>
    <w:rsid w:val="00033A7C"/>
    <w:rsid w:val="00033AAE"/>
    <w:rsid w:val="00033B61"/>
    <w:rsid w:val="00033C02"/>
    <w:rsid w:val="00033D1C"/>
    <w:rsid w:val="00033E63"/>
    <w:rsid w:val="00033EED"/>
    <w:rsid w:val="00033FC3"/>
    <w:rsid w:val="00033FC7"/>
    <w:rsid w:val="00033FF1"/>
    <w:rsid w:val="00033FF2"/>
    <w:rsid w:val="00034004"/>
    <w:rsid w:val="000340DC"/>
    <w:rsid w:val="00034261"/>
    <w:rsid w:val="00034313"/>
    <w:rsid w:val="00034329"/>
    <w:rsid w:val="0003437D"/>
    <w:rsid w:val="00034386"/>
    <w:rsid w:val="00034422"/>
    <w:rsid w:val="0003455A"/>
    <w:rsid w:val="0003458A"/>
    <w:rsid w:val="000345E8"/>
    <w:rsid w:val="00034679"/>
    <w:rsid w:val="00034687"/>
    <w:rsid w:val="000347C7"/>
    <w:rsid w:val="000348C0"/>
    <w:rsid w:val="00034917"/>
    <w:rsid w:val="000349C0"/>
    <w:rsid w:val="00034B64"/>
    <w:rsid w:val="00034BDD"/>
    <w:rsid w:val="00034E27"/>
    <w:rsid w:val="00034EA9"/>
    <w:rsid w:val="00034F6B"/>
    <w:rsid w:val="00035032"/>
    <w:rsid w:val="00035062"/>
    <w:rsid w:val="000351C9"/>
    <w:rsid w:val="000352BA"/>
    <w:rsid w:val="00035368"/>
    <w:rsid w:val="000354EC"/>
    <w:rsid w:val="00035573"/>
    <w:rsid w:val="000355B3"/>
    <w:rsid w:val="000355C9"/>
    <w:rsid w:val="000355D8"/>
    <w:rsid w:val="0003564D"/>
    <w:rsid w:val="000357D5"/>
    <w:rsid w:val="000358B1"/>
    <w:rsid w:val="0003594E"/>
    <w:rsid w:val="00035974"/>
    <w:rsid w:val="00035A08"/>
    <w:rsid w:val="00035A31"/>
    <w:rsid w:val="00035B02"/>
    <w:rsid w:val="00035B7F"/>
    <w:rsid w:val="00035DBB"/>
    <w:rsid w:val="00035DBE"/>
    <w:rsid w:val="00035DE1"/>
    <w:rsid w:val="00035EA6"/>
    <w:rsid w:val="00035F04"/>
    <w:rsid w:val="00036059"/>
    <w:rsid w:val="00036103"/>
    <w:rsid w:val="0003617A"/>
    <w:rsid w:val="00036234"/>
    <w:rsid w:val="000363F0"/>
    <w:rsid w:val="000364FC"/>
    <w:rsid w:val="0003655F"/>
    <w:rsid w:val="00036719"/>
    <w:rsid w:val="000367EC"/>
    <w:rsid w:val="00036A06"/>
    <w:rsid w:val="00036A70"/>
    <w:rsid w:val="00036AFB"/>
    <w:rsid w:val="00036B44"/>
    <w:rsid w:val="00036BB2"/>
    <w:rsid w:val="00036E48"/>
    <w:rsid w:val="00036E6E"/>
    <w:rsid w:val="00036E7C"/>
    <w:rsid w:val="00036F3C"/>
    <w:rsid w:val="00036F97"/>
    <w:rsid w:val="00036F9D"/>
    <w:rsid w:val="00037111"/>
    <w:rsid w:val="00037181"/>
    <w:rsid w:val="00037277"/>
    <w:rsid w:val="000372CA"/>
    <w:rsid w:val="000373B4"/>
    <w:rsid w:val="0003743F"/>
    <w:rsid w:val="0003748D"/>
    <w:rsid w:val="000374EF"/>
    <w:rsid w:val="0003765B"/>
    <w:rsid w:val="000376B9"/>
    <w:rsid w:val="000376E1"/>
    <w:rsid w:val="000377F1"/>
    <w:rsid w:val="00037806"/>
    <w:rsid w:val="0003786C"/>
    <w:rsid w:val="000379E5"/>
    <w:rsid w:val="00037A0C"/>
    <w:rsid w:val="00037A41"/>
    <w:rsid w:val="00037B7C"/>
    <w:rsid w:val="00037B86"/>
    <w:rsid w:val="00037D6A"/>
    <w:rsid w:val="00037D6C"/>
    <w:rsid w:val="00037F29"/>
    <w:rsid w:val="000402AC"/>
    <w:rsid w:val="00040327"/>
    <w:rsid w:val="00040347"/>
    <w:rsid w:val="00040402"/>
    <w:rsid w:val="0004042B"/>
    <w:rsid w:val="0004049D"/>
    <w:rsid w:val="00040532"/>
    <w:rsid w:val="00040598"/>
    <w:rsid w:val="000405E5"/>
    <w:rsid w:val="00040650"/>
    <w:rsid w:val="00040694"/>
    <w:rsid w:val="0004080C"/>
    <w:rsid w:val="000408EA"/>
    <w:rsid w:val="00040915"/>
    <w:rsid w:val="00040966"/>
    <w:rsid w:val="00040984"/>
    <w:rsid w:val="00040B10"/>
    <w:rsid w:val="00040B35"/>
    <w:rsid w:val="00040BAA"/>
    <w:rsid w:val="00040C45"/>
    <w:rsid w:val="00040C72"/>
    <w:rsid w:val="00040D0C"/>
    <w:rsid w:val="00040D8F"/>
    <w:rsid w:val="00040EC9"/>
    <w:rsid w:val="00040ECA"/>
    <w:rsid w:val="000410CB"/>
    <w:rsid w:val="000410E1"/>
    <w:rsid w:val="0004111A"/>
    <w:rsid w:val="0004112C"/>
    <w:rsid w:val="000412EB"/>
    <w:rsid w:val="00041374"/>
    <w:rsid w:val="0004143D"/>
    <w:rsid w:val="00041463"/>
    <w:rsid w:val="000414D0"/>
    <w:rsid w:val="0004157C"/>
    <w:rsid w:val="000415E9"/>
    <w:rsid w:val="000416A1"/>
    <w:rsid w:val="000416E6"/>
    <w:rsid w:val="000417CD"/>
    <w:rsid w:val="000417F7"/>
    <w:rsid w:val="00041894"/>
    <w:rsid w:val="000418E4"/>
    <w:rsid w:val="00041986"/>
    <w:rsid w:val="0004198F"/>
    <w:rsid w:val="00041B41"/>
    <w:rsid w:val="00041B50"/>
    <w:rsid w:val="00041B7B"/>
    <w:rsid w:val="00041B90"/>
    <w:rsid w:val="00041C5D"/>
    <w:rsid w:val="00041CA9"/>
    <w:rsid w:val="00041CB5"/>
    <w:rsid w:val="00041CD4"/>
    <w:rsid w:val="00041D69"/>
    <w:rsid w:val="00041E40"/>
    <w:rsid w:val="00041E91"/>
    <w:rsid w:val="00041E9E"/>
    <w:rsid w:val="00041F0A"/>
    <w:rsid w:val="00041F34"/>
    <w:rsid w:val="0004200C"/>
    <w:rsid w:val="00042057"/>
    <w:rsid w:val="0004211D"/>
    <w:rsid w:val="000421C6"/>
    <w:rsid w:val="00042288"/>
    <w:rsid w:val="000422C0"/>
    <w:rsid w:val="00042317"/>
    <w:rsid w:val="0004231E"/>
    <w:rsid w:val="00042344"/>
    <w:rsid w:val="000423EB"/>
    <w:rsid w:val="00042405"/>
    <w:rsid w:val="0004241E"/>
    <w:rsid w:val="000424E2"/>
    <w:rsid w:val="000424E6"/>
    <w:rsid w:val="0004252B"/>
    <w:rsid w:val="000425A4"/>
    <w:rsid w:val="00042688"/>
    <w:rsid w:val="000427A9"/>
    <w:rsid w:val="00042936"/>
    <w:rsid w:val="00042964"/>
    <w:rsid w:val="00042ABB"/>
    <w:rsid w:val="00042AC8"/>
    <w:rsid w:val="00042B92"/>
    <w:rsid w:val="00042C89"/>
    <w:rsid w:val="00042DCC"/>
    <w:rsid w:val="00042F72"/>
    <w:rsid w:val="00042FC5"/>
    <w:rsid w:val="00043036"/>
    <w:rsid w:val="0004303B"/>
    <w:rsid w:val="000430FE"/>
    <w:rsid w:val="0004316C"/>
    <w:rsid w:val="00043321"/>
    <w:rsid w:val="000434E9"/>
    <w:rsid w:val="00043588"/>
    <w:rsid w:val="000435A8"/>
    <w:rsid w:val="0004371C"/>
    <w:rsid w:val="0004380A"/>
    <w:rsid w:val="00043889"/>
    <w:rsid w:val="0004392F"/>
    <w:rsid w:val="00043A40"/>
    <w:rsid w:val="00043AA4"/>
    <w:rsid w:val="00043AD1"/>
    <w:rsid w:val="00043AE2"/>
    <w:rsid w:val="00043B06"/>
    <w:rsid w:val="00043BA4"/>
    <w:rsid w:val="00043BF3"/>
    <w:rsid w:val="00043C59"/>
    <w:rsid w:val="00043C6D"/>
    <w:rsid w:val="00043CC7"/>
    <w:rsid w:val="00043DBF"/>
    <w:rsid w:val="00043E26"/>
    <w:rsid w:val="00043ED2"/>
    <w:rsid w:val="00043FFC"/>
    <w:rsid w:val="000440FF"/>
    <w:rsid w:val="00044127"/>
    <w:rsid w:val="0004418A"/>
    <w:rsid w:val="00044198"/>
    <w:rsid w:val="00044205"/>
    <w:rsid w:val="000442C2"/>
    <w:rsid w:val="00044371"/>
    <w:rsid w:val="00044396"/>
    <w:rsid w:val="00044487"/>
    <w:rsid w:val="00044671"/>
    <w:rsid w:val="000447AE"/>
    <w:rsid w:val="000447CC"/>
    <w:rsid w:val="00044825"/>
    <w:rsid w:val="000448D3"/>
    <w:rsid w:val="0004497E"/>
    <w:rsid w:val="000449DA"/>
    <w:rsid w:val="00044A4F"/>
    <w:rsid w:val="00044ADA"/>
    <w:rsid w:val="00044C20"/>
    <w:rsid w:val="00044EB3"/>
    <w:rsid w:val="00044EC7"/>
    <w:rsid w:val="00044ECC"/>
    <w:rsid w:val="00044F55"/>
    <w:rsid w:val="00044F8B"/>
    <w:rsid w:val="0004501F"/>
    <w:rsid w:val="00045079"/>
    <w:rsid w:val="0004523E"/>
    <w:rsid w:val="000453BB"/>
    <w:rsid w:val="000453E7"/>
    <w:rsid w:val="000453E9"/>
    <w:rsid w:val="00045495"/>
    <w:rsid w:val="00045584"/>
    <w:rsid w:val="00045609"/>
    <w:rsid w:val="00045659"/>
    <w:rsid w:val="000456B5"/>
    <w:rsid w:val="0004573C"/>
    <w:rsid w:val="00045741"/>
    <w:rsid w:val="000457E5"/>
    <w:rsid w:val="00045949"/>
    <w:rsid w:val="000459F6"/>
    <w:rsid w:val="00045BB2"/>
    <w:rsid w:val="00045C48"/>
    <w:rsid w:val="00045D98"/>
    <w:rsid w:val="00045E79"/>
    <w:rsid w:val="00045E9A"/>
    <w:rsid w:val="00045F43"/>
    <w:rsid w:val="00045F96"/>
    <w:rsid w:val="00045FF1"/>
    <w:rsid w:val="000460A0"/>
    <w:rsid w:val="000460AD"/>
    <w:rsid w:val="00046143"/>
    <w:rsid w:val="000461D5"/>
    <w:rsid w:val="000461D8"/>
    <w:rsid w:val="000462AD"/>
    <w:rsid w:val="00046367"/>
    <w:rsid w:val="000463FA"/>
    <w:rsid w:val="0004658E"/>
    <w:rsid w:val="0004659E"/>
    <w:rsid w:val="000465D1"/>
    <w:rsid w:val="000467BE"/>
    <w:rsid w:val="000467FF"/>
    <w:rsid w:val="0004683A"/>
    <w:rsid w:val="000468C5"/>
    <w:rsid w:val="00046AAE"/>
    <w:rsid w:val="00046AFB"/>
    <w:rsid w:val="00046B0A"/>
    <w:rsid w:val="00046B6F"/>
    <w:rsid w:val="00046BBB"/>
    <w:rsid w:val="00046BCE"/>
    <w:rsid w:val="00046C0A"/>
    <w:rsid w:val="00046D16"/>
    <w:rsid w:val="00046F47"/>
    <w:rsid w:val="00046F55"/>
    <w:rsid w:val="00047009"/>
    <w:rsid w:val="0004706D"/>
    <w:rsid w:val="000470C0"/>
    <w:rsid w:val="000470D6"/>
    <w:rsid w:val="00047198"/>
    <w:rsid w:val="0004721E"/>
    <w:rsid w:val="0004732A"/>
    <w:rsid w:val="00047340"/>
    <w:rsid w:val="00047345"/>
    <w:rsid w:val="000473B7"/>
    <w:rsid w:val="000473F4"/>
    <w:rsid w:val="0004743C"/>
    <w:rsid w:val="00047466"/>
    <w:rsid w:val="0004746D"/>
    <w:rsid w:val="00047484"/>
    <w:rsid w:val="000475F3"/>
    <w:rsid w:val="000476CD"/>
    <w:rsid w:val="000476EA"/>
    <w:rsid w:val="0004778B"/>
    <w:rsid w:val="0004778E"/>
    <w:rsid w:val="000478E2"/>
    <w:rsid w:val="000479AC"/>
    <w:rsid w:val="00047A7C"/>
    <w:rsid w:val="00047AAB"/>
    <w:rsid w:val="00047AAC"/>
    <w:rsid w:val="00047B5E"/>
    <w:rsid w:val="00047C7A"/>
    <w:rsid w:val="00047CD7"/>
    <w:rsid w:val="00047D64"/>
    <w:rsid w:val="00047E07"/>
    <w:rsid w:val="00047ED8"/>
    <w:rsid w:val="00047FFD"/>
    <w:rsid w:val="00050038"/>
    <w:rsid w:val="00050041"/>
    <w:rsid w:val="0005012A"/>
    <w:rsid w:val="0005019E"/>
    <w:rsid w:val="0005027C"/>
    <w:rsid w:val="000502C9"/>
    <w:rsid w:val="00050328"/>
    <w:rsid w:val="000503FF"/>
    <w:rsid w:val="0005042D"/>
    <w:rsid w:val="0005044F"/>
    <w:rsid w:val="000504EA"/>
    <w:rsid w:val="00050580"/>
    <w:rsid w:val="000505F0"/>
    <w:rsid w:val="00050822"/>
    <w:rsid w:val="000508A2"/>
    <w:rsid w:val="00050990"/>
    <w:rsid w:val="00050B38"/>
    <w:rsid w:val="00050C63"/>
    <w:rsid w:val="00050CC8"/>
    <w:rsid w:val="00050FC6"/>
    <w:rsid w:val="00050FFE"/>
    <w:rsid w:val="0005105B"/>
    <w:rsid w:val="0005115A"/>
    <w:rsid w:val="00051173"/>
    <w:rsid w:val="000511B9"/>
    <w:rsid w:val="000512BC"/>
    <w:rsid w:val="000512D1"/>
    <w:rsid w:val="0005145D"/>
    <w:rsid w:val="00051573"/>
    <w:rsid w:val="0005159D"/>
    <w:rsid w:val="000515DB"/>
    <w:rsid w:val="00051658"/>
    <w:rsid w:val="000516B8"/>
    <w:rsid w:val="0005187E"/>
    <w:rsid w:val="000518CC"/>
    <w:rsid w:val="00051A5A"/>
    <w:rsid w:val="00051A7C"/>
    <w:rsid w:val="00051A8B"/>
    <w:rsid w:val="00051A96"/>
    <w:rsid w:val="00051AD0"/>
    <w:rsid w:val="00051C95"/>
    <w:rsid w:val="00051D21"/>
    <w:rsid w:val="00051E5E"/>
    <w:rsid w:val="00051F28"/>
    <w:rsid w:val="00051F5E"/>
    <w:rsid w:val="00051FAF"/>
    <w:rsid w:val="00052090"/>
    <w:rsid w:val="000520C2"/>
    <w:rsid w:val="0005213D"/>
    <w:rsid w:val="0005234E"/>
    <w:rsid w:val="0005261A"/>
    <w:rsid w:val="00052683"/>
    <w:rsid w:val="000526E6"/>
    <w:rsid w:val="00052700"/>
    <w:rsid w:val="0005277F"/>
    <w:rsid w:val="000527E1"/>
    <w:rsid w:val="00052860"/>
    <w:rsid w:val="0005286B"/>
    <w:rsid w:val="000528E2"/>
    <w:rsid w:val="000528EA"/>
    <w:rsid w:val="0005295B"/>
    <w:rsid w:val="00052B66"/>
    <w:rsid w:val="00052DBD"/>
    <w:rsid w:val="00052E98"/>
    <w:rsid w:val="00052F3E"/>
    <w:rsid w:val="00052F47"/>
    <w:rsid w:val="00052FCE"/>
    <w:rsid w:val="00052FDE"/>
    <w:rsid w:val="000530BF"/>
    <w:rsid w:val="000530E4"/>
    <w:rsid w:val="00053147"/>
    <w:rsid w:val="00053169"/>
    <w:rsid w:val="0005333B"/>
    <w:rsid w:val="0005342F"/>
    <w:rsid w:val="00053478"/>
    <w:rsid w:val="000535B4"/>
    <w:rsid w:val="000536D1"/>
    <w:rsid w:val="000536F9"/>
    <w:rsid w:val="00053839"/>
    <w:rsid w:val="0005396F"/>
    <w:rsid w:val="00053997"/>
    <w:rsid w:val="000539C9"/>
    <w:rsid w:val="00053A18"/>
    <w:rsid w:val="00053B98"/>
    <w:rsid w:val="00053BD3"/>
    <w:rsid w:val="00053BE0"/>
    <w:rsid w:val="00053C60"/>
    <w:rsid w:val="00053C6A"/>
    <w:rsid w:val="00053E36"/>
    <w:rsid w:val="00053EAB"/>
    <w:rsid w:val="00053F27"/>
    <w:rsid w:val="00053F7F"/>
    <w:rsid w:val="0005410F"/>
    <w:rsid w:val="00054184"/>
    <w:rsid w:val="000542E7"/>
    <w:rsid w:val="00054309"/>
    <w:rsid w:val="0005448C"/>
    <w:rsid w:val="00054505"/>
    <w:rsid w:val="0005453D"/>
    <w:rsid w:val="00054623"/>
    <w:rsid w:val="000546D6"/>
    <w:rsid w:val="00054754"/>
    <w:rsid w:val="0005496F"/>
    <w:rsid w:val="000549C6"/>
    <w:rsid w:val="000549E1"/>
    <w:rsid w:val="00054C98"/>
    <w:rsid w:val="00054CC9"/>
    <w:rsid w:val="00054D06"/>
    <w:rsid w:val="00054D31"/>
    <w:rsid w:val="00054D88"/>
    <w:rsid w:val="00054DA9"/>
    <w:rsid w:val="00054E41"/>
    <w:rsid w:val="00054E81"/>
    <w:rsid w:val="00054F07"/>
    <w:rsid w:val="00054F45"/>
    <w:rsid w:val="00054F4D"/>
    <w:rsid w:val="00054F59"/>
    <w:rsid w:val="00054FBA"/>
    <w:rsid w:val="00054FDD"/>
    <w:rsid w:val="00055082"/>
    <w:rsid w:val="00055112"/>
    <w:rsid w:val="000551A6"/>
    <w:rsid w:val="000552C7"/>
    <w:rsid w:val="000552E1"/>
    <w:rsid w:val="000552E4"/>
    <w:rsid w:val="000552F3"/>
    <w:rsid w:val="00055382"/>
    <w:rsid w:val="00055425"/>
    <w:rsid w:val="00055989"/>
    <w:rsid w:val="00055A29"/>
    <w:rsid w:val="00055AD2"/>
    <w:rsid w:val="00055B25"/>
    <w:rsid w:val="00055E6B"/>
    <w:rsid w:val="00055EEA"/>
    <w:rsid w:val="00055FE5"/>
    <w:rsid w:val="000561DF"/>
    <w:rsid w:val="00056238"/>
    <w:rsid w:val="00056282"/>
    <w:rsid w:val="0005631A"/>
    <w:rsid w:val="0005639D"/>
    <w:rsid w:val="0005645C"/>
    <w:rsid w:val="000564C9"/>
    <w:rsid w:val="000565DB"/>
    <w:rsid w:val="00056710"/>
    <w:rsid w:val="0005672A"/>
    <w:rsid w:val="00056747"/>
    <w:rsid w:val="0005678C"/>
    <w:rsid w:val="000568A5"/>
    <w:rsid w:val="00056959"/>
    <w:rsid w:val="0005699C"/>
    <w:rsid w:val="00056BD2"/>
    <w:rsid w:val="00056C3F"/>
    <w:rsid w:val="00056D06"/>
    <w:rsid w:val="00056D21"/>
    <w:rsid w:val="00056D96"/>
    <w:rsid w:val="00056E0E"/>
    <w:rsid w:val="00056EAF"/>
    <w:rsid w:val="00056EF7"/>
    <w:rsid w:val="000572DB"/>
    <w:rsid w:val="0005731D"/>
    <w:rsid w:val="0005742F"/>
    <w:rsid w:val="0005753B"/>
    <w:rsid w:val="000575DE"/>
    <w:rsid w:val="00057654"/>
    <w:rsid w:val="000577AA"/>
    <w:rsid w:val="0005782B"/>
    <w:rsid w:val="0005787C"/>
    <w:rsid w:val="00057972"/>
    <w:rsid w:val="000579ED"/>
    <w:rsid w:val="00057AD8"/>
    <w:rsid w:val="00057B63"/>
    <w:rsid w:val="00057C96"/>
    <w:rsid w:val="00057CE4"/>
    <w:rsid w:val="00057D8B"/>
    <w:rsid w:val="00057E5E"/>
    <w:rsid w:val="00057EDB"/>
    <w:rsid w:val="00057EFC"/>
    <w:rsid w:val="00057F84"/>
    <w:rsid w:val="00057FCA"/>
    <w:rsid w:val="00060022"/>
    <w:rsid w:val="00060095"/>
    <w:rsid w:val="000601D0"/>
    <w:rsid w:val="0006038E"/>
    <w:rsid w:val="0006042D"/>
    <w:rsid w:val="000604AB"/>
    <w:rsid w:val="00060505"/>
    <w:rsid w:val="00060577"/>
    <w:rsid w:val="00060609"/>
    <w:rsid w:val="000606E0"/>
    <w:rsid w:val="0006077C"/>
    <w:rsid w:val="000607DC"/>
    <w:rsid w:val="0006080E"/>
    <w:rsid w:val="00060814"/>
    <w:rsid w:val="000608E9"/>
    <w:rsid w:val="000609CF"/>
    <w:rsid w:val="00060AEB"/>
    <w:rsid w:val="00060AFD"/>
    <w:rsid w:val="00060BE4"/>
    <w:rsid w:val="00060DD9"/>
    <w:rsid w:val="00060F58"/>
    <w:rsid w:val="00061064"/>
    <w:rsid w:val="000610C0"/>
    <w:rsid w:val="00061126"/>
    <w:rsid w:val="00061132"/>
    <w:rsid w:val="00061216"/>
    <w:rsid w:val="000612E8"/>
    <w:rsid w:val="00061346"/>
    <w:rsid w:val="00061405"/>
    <w:rsid w:val="0006142A"/>
    <w:rsid w:val="00061447"/>
    <w:rsid w:val="0006144C"/>
    <w:rsid w:val="000614D0"/>
    <w:rsid w:val="00061545"/>
    <w:rsid w:val="000615EA"/>
    <w:rsid w:val="000617D2"/>
    <w:rsid w:val="00061961"/>
    <w:rsid w:val="00061A77"/>
    <w:rsid w:val="00061AD2"/>
    <w:rsid w:val="00061BC5"/>
    <w:rsid w:val="00061DC9"/>
    <w:rsid w:val="00061E37"/>
    <w:rsid w:val="00061E5D"/>
    <w:rsid w:val="00062035"/>
    <w:rsid w:val="0006203F"/>
    <w:rsid w:val="0006220A"/>
    <w:rsid w:val="0006220F"/>
    <w:rsid w:val="0006221A"/>
    <w:rsid w:val="000622A4"/>
    <w:rsid w:val="000622AF"/>
    <w:rsid w:val="0006231A"/>
    <w:rsid w:val="000624EA"/>
    <w:rsid w:val="00062576"/>
    <w:rsid w:val="000625A5"/>
    <w:rsid w:val="0006262A"/>
    <w:rsid w:val="000626A4"/>
    <w:rsid w:val="000627CC"/>
    <w:rsid w:val="00062840"/>
    <w:rsid w:val="00062975"/>
    <w:rsid w:val="00062B3B"/>
    <w:rsid w:val="00062B4C"/>
    <w:rsid w:val="00062C81"/>
    <w:rsid w:val="00062CCA"/>
    <w:rsid w:val="00062D04"/>
    <w:rsid w:val="00062DF3"/>
    <w:rsid w:val="00062DF5"/>
    <w:rsid w:val="00062E8F"/>
    <w:rsid w:val="00062EE3"/>
    <w:rsid w:val="00062F8C"/>
    <w:rsid w:val="000632DF"/>
    <w:rsid w:val="00063303"/>
    <w:rsid w:val="00063355"/>
    <w:rsid w:val="00063539"/>
    <w:rsid w:val="000635C5"/>
    <w:rsid w:val="00063610"/>
    <w:rsid w:val="00063633"/>
    <w:rsid w:val="000636B0"/>
    <w:rsid w:val="000636E8"/>
    <w:rsid w:val="0006371B"/>
    <w:rsid w:val="00063837"/>
    <w:rsid w:val="00063960"/>
    <w:rsid w:val="00063A79"/>
    <w:rsid w:val="00063ACA"/>
    <w:rsid w:val="00063CC9"/>
    <w:rsid w:val="00063CE9"/>
    <w:rsid w:val="00063D62"/>
    <w:rsid w:val="00063DA0"/>
    <w:rsid w:val="00063EDD"/>
    <w:rsid w:val="00064140"/>
    <w:rsid w:val="000641BA"/>
    <w:rsid w:val="0006423E"/>
    <w:rsid w:val="00064244"/>
    <w:rsid w:val="0006424F"/>
    <w:rsid w:val="00064350"/>
    <w:rsid w:val="000643ED"/>
    <w:rsid w:val="00064421"/>
    <w:rsid w:val="0006445B"/>
    <w:rsid w:val="0006449D"/>
    <w:rsid w:val="000644E2"/>
    <w:rsid w:val="00064535"/>
    <w:rsid w:val="000645F2"/>
    <w:rsid w:val="00064675"/>
    <w:rsid w:val="0006486A"/>
    <w:rsid w:val="0006492A"/>
    <w:rsid w:val="00064955"/>
    <w:rsid w:val="000649A0"/>
    <w:rsid w:val="00064A9A"/>
    <w:rsid w:val="00064A9C"/>
    <w:rsid w:val="00064AD4"/>
    <w:rsid w:val="00064B0D"/>
    <w:rsid w:val="00064B27"/>
    <w:rsid w:val="00064CA2"/>
    <w:rsid w:val="00064CEA"/>
    <w:rsid w:val="00064EEE"/>
    <w:rsid w:val="00064F4D"/>
    <w:rsid w:val="00064F5B"/>
    <w:rsid w:val="00064FB3"/>
    <w:rsid w:val="00065086"/>
    <w:rsid w:val="00065298"/>
    <w:rsid w:val="0006539B"/>
    <w:rsid w:val="000655FA"/>
    <w:rsid w:val="0006575D"/>
    <w:rsid w:val="000657B9"/>
    <w:rsid w:val="000658A6"/>
    <w:rsid w:val="0006595C"/>
    <w:rsid w:val="0006599F"/>
    <w:rsid w:val="000659D4"/>
    <w:rsid w:val="00065A47"/>
    <w:rsid w:val="00065AA1"/>
    <w:rsid w:val="00065BF1"/>
    <w:rsid w:val="00065C23"/>
    <w:rsid w:val="00065C6C"/>
    <w:rsid w:val="00065D4B"/>
    <w:rsid w:val="00065E45"/>
    <w:rsid w:val="00065F1E"/>
    <w:rsid w:val="00065F7B"/>
    <w:rsid w:val="00065FEC"/>
    <w:rsid w:val="00066085"/>
    <w:rsid w:val="00066091"/>
    <w:rsid w:val="000660F0"/>
    <w:rsid w:val="0006617E"/>
    <w:rsid w:val="0006619F"/>
    <w:rsid w:val="00066483"/>
    <w:rsid w:val="000664A7"/>
    <w:rsid w:val="000665A8"/>
    <w:rsid w:val="000665A9"/>
    <w:rsid w:val="000665CB"/>
    <w:rsid w:val="00066682"/>
    <w:rsid w:val="0006669D"/>
    <w:rsid w:val="000668A6"/>
    <w:rsid w:val="000668BB"/>
    <w:rsid w:val="00066987"/>
    <w:rsid w:val="00066B44"/>
    <w:rsid w:val="00066C42"/>
    <w:rsid w:val="00066C8B"/>
    <w:rsid w:val="00066CF5"/>
    <w:rsid w:val="00066E3E"/>
    <w:rsid w:val="00066E67"/>
    <w:rsid w:val="00066ED7"/>
    <w:rsid w:val="0006707A"/>
    <w:rsid w:val="000670A0"/>
    <w:rsid w:val="000670CB"/>
    <w:rsid w:val="000670F3"/>
    <w:rsid w:val="0006711C"/>
    <w:rsid w:val="00067120"/>
    <w:rsid w:val="000671C7"/>
    <w:rsid w:val="000671C9"/>
    <w:rsid w:val="000671D2"/>
    <w:rsid w:val="00067519"/>
    <w:rsid w:val="000676DC"/>
    <w:rsid w:val="000676FA"/>
    <w:rsid w:val="00067708"/>
    <w:rsid w:val="0006772F"/>
    <w:rsid w:val="000677A7"/>
    <w:rsid w:val="000677FD"/>
    <w:rsid w:val="0006783A"/>
    <w:rsid w:val="0006784A"/>
    <w:rsid w:val="00067869"/>
    <w:rsid w:val="00067A7E"/>
    <w:rsid w:val="00067B58"/>
    <w:rsid w:val="00067B82"/>
    <w:rsid w:val="00067BDA"/>
    <w:rsid w:val="00067C69"/>
    <w:rsid w:val="00067C95"/>
    <w:rsid w:val="00067CC8"/>
    <w:rsid w:val="0007007E"/>
    <w:rsid w:val="00070101"/>
    <w:rsid w:val="0007015F"/>
    <w:rsid w:val="0007018B"/>
    <w:rsid w:val="00070350"/>
    <w:rsid w:val="000703B7"/>
    <w:rsid w:val="000704C7"/>
    <w:rsid w:val="000704CB"/>
    <w:rsid w:val="0007056F"/>
    <w:rsid w:val="000705CB"/>
    <w:rsid w:val="00070677"/>
    <w:rsid w:val="0007067A"/>
    <w:rsid w:val="00070710"/>
    <w:rsid w:val="00070743"/>
    <w:rsid w:val="000708A8"/>
    <w:rsid w:val="0007098C"/>
    <w:rsid w:val="000709C5"/>
    <w:rsid w:val="00070AF7"/>
    <w:rsid w:val="00070B7B"/>
    <w:rsid w:val="00070C45"/>
    <w:rsid w:val="00070D96"/>
    <w:rsid w:val="00070DC1"/>
    <w:rsid w:val="00070E83"/>
    <w:rsid w:val="00070F0C"/>
    <w:rsid w:val="00070F73"/>
    <w:rsid w:val="00070F9C"/>
    <w:rsid w:val="00070FB0"/>
    <w:rsid w:val="000710B1"/>
    <w:rsid w:val="000710BF"/>
    <w:rsid w:val="00071135"/>
    <w:rsid w:val="00071190"/>
    <w:rsid w:val="000712A8"/>
    <w:rsid w:val="000712F8"/>
    <w:rsid w:val="0007143A"/>
    <w:rsid w:val="00071445"/>
    <w:rsid w:val="00071487"/>
    <w:rsid w:val="000714EF"/>
    <w:rsid w:val="0007156E"/>
    <w:rsid w:val="000718CD"/>
    <w:rsid w:val="000718D1"/>
    <w:rsid w:val="000718DF"/>
    <w:rsid w:val="000718FA"/>
    <w:rsid w:val="00071953"/>
    <w:rsid w:val="00071A4F"/>
    <w:rsid w:val="00071A7C"/>
    <w:rsid w:val="00071A91"/>
    <w:rsid w:val="00071C16"/>
    <w:rsid w:val="00071C54"/>
    <w:rsid w:val="00071CCC"/>
    <w:rsid w:val="00071E75"/>
    <w:rsid w:val="00071FE6"/>
    <w:rsid w:val="00071FE7"/>
    <w:rsid w:val="0007204E"/>
    <w:rsid w:val="000720D0"/>
    <w:rsid w:val="0007211D"/>
    <w:rsid w:val="000723F6"/>
    <w:rsid w:val="00072618"/>
    <w:rsid w:val="00072627"/>
    <w:rsid w:val="0007262F"/>
    <w:rsid w:val="00072706"/>
    <w:rsid w:val="00072717"/>
    <w:rsid w:val="00072867"/>
    <w:rsid w:val="00072972"/>
    <w:rsid w:val="00072982"/>
    <w:rsid w:val="00072AA6"/>
    <w:rsid w:val="00072BF3"/>
    <w:rsid w:val="00072D5D"/>
    <w:rsid w:val="00072E9F"/>
    <w:rsid w:val="00072F17"/>
    <w:rsid w:val="0007312C"/>
    <w:rsid w:val="0007317D"/>
    <w:rsid w:val="00073187"/>
    <w:rsid w:val="000732B1"/>
    <w:rsid w:val="000732E9"/>
    <w:rsid w:val="000733DC"/>
    <w:rsid w:val="0007340D"/>
    <w:rsid w:val="0007341F"/>
    <w:rsid w:val="00073423"/>
    <w:rsid w:val="00073429"/>
    <w:rsid w:val="00073530"/>
    <w:rsid w:val="00073660"/>
    <w:rsid w:val="00073663"/>
    <w:rsid w:val="000736B6"/>
    <w:rsid w:val="00073743"/>
    <w:rsid w:val="000737EE"/>
    <w:rsid w:val="00073974"/>
    <w:rsid w:val="00073A80"/>
    <w:rsid w:val="00073AA3"/>
    <w:rsid w:val="00073AD1"/>
    <w:rsid w:val="00073B15"/>
    <w:rsid w:val="00073EDB"/>
    <w:rsid w:val="00073F09"/>
    <w:rsid w:val="00074052"/>
    <w:rsid w:val="000740F1"/>
    <w:rsid w:val="0007417B"/>
    <w:rsid w:val="0007422F"/>
    <w:rsid w:val="00074231"/>
    <w:rsid w:val="000742C6"/>
    <w:rsid w:val="00074365"/>
    <w:rsid w:val="000743A4"/>
    <w:rsid w:val="0007445A"/>
    <w:rsid w:val="00074523"/>
    <w:rsid w:val="00074550"/>
    <w:rsid w:val="000745F2"/>
    <w:rsid w:val="000746A3"/>
    <w:rsid w:val="000746AC"/>
    <w:rsid w:val="0007472F"/>
    <w:rsid w:val="000747CB"/>
    <w:rsid w:val="000747D4"/>
    <w:rsid w:val="000748D3"/>
    <w:rsid w:val="00074A1B"/>
    <w:rsid w:val="00074AB1"/>
    <w:rsid w:val="00074ABF"/>
    <w:rsid w:val="00074B1A"/>
    <w:rsid w:val="00074BE4"/>
    <w:rsid w:val="00074D5E"/>
    <w:rsid w:val="00074DFA"/>
    <w:rsid w:val="00074E6C"/>
    <w:rsid w:val="00074EDE"/>
    <w:rsid w:val="00074EE6"/>
    <w:rsid w:val="00074F14"/>
    <w:rsid w:val="00074F2F"/>
    <w:rsid w:val="00074FBC"/>
    <w:rsid w:val="00075093"/>
    <w:rsid w:val="000750E8"/>
    <w:rsid w:val="00075118"/>
    <w:rsid w:val="0007516A"/>
    <w:rsid w:val="0007518D"/>
    <w:rsid w:val="000751B4"/>
    <w:rsid w:val="000751DC"/>
    <w:rsid w:val="00075279"/>
    <w:rsid w:val="000753D3"/>
    <w:rsid w:val="00075422"/>
    <w:rsid w:val="0007553D"/>
    <w:rsid w:val="0007561F"/>
    <w:rsid w:val="00075674"/>
    <w:rsid w:val="000756BA"/>
    <w:rsid w:val="00075735"/>
    <w:rsid w:val="000757F4"/>
    <w:rsid w:val="00075806"/>
    <w:rsid w:val="0007589F"/>
    <w:rsid w:val="0007591C"/>
    <w:rsid w:val="00075984"/>
    <w:rsid w:val="000759C6"/>
    <w:rsid w:val="00075B00"/>
    <w:rsid w:val="00075BA2"/>
    <w:rsid w:val="00075BC1"/>
    <w:rsid w:val="00075D89"/>
    <w:rsid w:val="00075E05"/>
    <w:rsid w:val="00075EF1"/>
    <w:rsid w:val="00075F5C"/>
    <w:rsid w:val="00075F94"/>
    <w:rsid w:val="00076080"/>
    <w:rsid w:val="00076086"/>
    <w:rsid w:val="00076190"/>
    <w:rsid w:val="000761D2"/>
    <w:rsid w:val="00076230"/>
    <w:rsid w:val="00076250"/>
    <w:rsid w:val="0007641F"/>
    <w:rsid w:val="0007645E"/>
    <w:rsid w:val="00076477"/>
    <w:rsid w:val="000764B5"/>
    <w:rsid w:val="0007652F"/>
    <w:rsid w:val="0007655A"/>
    <w:rsid w:val="000765BE"/>
    <w:rsid w:val="0007666B"/>
    <w:rsid w:val="000767A1"/>
    <w:rsid w:val="00076960"/>
    <w:rsid w:val="000769F7"/>
    <w:rsid w:val="00076A2F"/>
    <w:rsid w:val="00076C0E"/>
    <w:rsid w:val="00076C56"/>
    <w:rsid w:val="00076C91"/>
    <w:rsid w:val="00076CF4"/>
    <w:rsid w:val="00076D42"/>
    <w:rsid w:val="00076DBF"/>
    <w:rsid w:val="00076E24"/>
    <w:rsid w:val="00076E40"/>
    <w:rsid w:val="00076E7C"/>
    <w:rsid w:val="00076E90"/>
    <w:rsid w:val="00076EBA"/>
    <w:rsid w:val="00076EE4"/>
    <w:rsid w:val="00076F58"/>
    <w:rsid w:val="000770B6"/>
    <w:rsid w:val="000770C2"/>
    <w:rsid w:val="000770EA"/>
    <w:rsid w:val="0007712A"/>
    <w:rsid w:val="0007713C"/>
    <w:rsid w:val="0007729C"/>
    <w:rsid w:val="000772CE"/>
    <w:rsid w:val="00077353"/>
    <w:rsid w:val="000773D2"/>
    <w:rsid w:val="000774E7"/>
    <w:rsid w:val="000775D3"/>
    <w:rsid w:val="0007761E"/>
    <w:rsid w:val="00077819"/>
    <w:rsid w:val="0007792F"/>
    <w:rsid w:val="00077A38"/>
    <w:rsid w:val="00077B0C"/>
    <w:rsid w:val="00077B16"/>
    <w:rsid w:val="00077BC0"/>
    <w:rsid w:val="00077C7E"/>
    <w:rsid w:val="00080061"/>
    <w:rsid w:val="000800AE"/>
    <w:rsid w:val="00080226"/>
    <w:rsid w:val="0008029D"/>
    <w:rsid w:val="000803E3"/>
    <w:rsid w:val="0008042B"/>
    <w:rsid w:val="00080449"/>
    <w:rsid w:val="00080538"/>
    <w:rsid w:val="0008055C"/>
    <w:rsid w:val="0008057D"/>
    <w:rsid w:val="00080693"/>
    <w:rsid w:val="00080724"/>
    <w:rsid w:val="0008075A"/>
    <w:rsid w:val="00080858"/>
    <w:rsid w:val="0008085F"/>
    <w:rsid w:val="00080866"/>
    <w:rsid w:val="00080896"/>
    <w:rsid w:val="000808DB"/>
    <w:rsid w:val="00080981"/>
    <w:rsid w:val="00080988"/>
    <w:rsid w:val="00080A1F"/>
    <w:rsid w:val="00080AC0"/>
    <w:rsid w:val="00080AF6"/>
    <w:rsid w:val="00080BF1"/>
    <w:rsid w:val="00080E63"/>
    <w:rsid w:val="00080F87"/>
    <w:rsid w:val="00080F91"/>
    <w:rsid w:val="00081001"/>
    <w:rsid w:val="00081102"/>
    <w:rsid w:val="00081349"/>
    <w:rsid w:val="0008137F"/>
    <w:rsid w:val="00081409"/>
    <w:rsid w:val="00081424"/>
    <w:rsid w:val="0008155B"/>
    <w:rsid w:val="00081610"/>
    <w:rsid w:val="000817B6"/>
    <w:rsid w:val="000817CE"/>
    <w:rsid w:val="000817CF"/>
    <w:rsid w:val="000817DA"/>
    <w:rsid w:val="00081905"/>
    <w:rsid w:val="00081953"/>
    <w:rsid w:val="00081989"/>
    <w:rsid w:val="00081B9A"/>
    <w:rsid w:val="00081BBB"/>
    <w:rsid w:val="00081BBE"/>
    <w:rsid w:val="00081C38"/>
    <w:rsid w:val="00081CDB"/>
    <w:rsid w:val="00081CDF"/>
    <w:rsid w:val="00081D26"/>
    <w:rsid w:val="00081D8E"/>
    <w:rsid w:val="00081E2B"/>
    <w:rsid w:val="00081E5C"/>
    <w:rsid w:val="00081EF8"/>
    <w:rsid w:val="00081FA1"/>
    <w:rsid w:val="0008207F"/>
    <w:rsid w:val="000820BC"/>
    <w:rsid w:val="000820D8"/>
    <w:rsid w:val="000821D5"/>
    <w:rsid w:val="00082224"/>
    <w:rsid w:val="00082307"/>
    <w:rsid w:val="00082342"/>
    <w:rsid w:val="000823F5"/>
    <w:rsid w:val="000824EB"/>
    <w:rsid w:val="0008250E"/>
    <w:rsid w:val="00082541"/>
    <w:rsid w:val="000825A7"/>
    <w:rsid w:val="0008277E"/>
    <w:rsid w:val="00082817"/>
    <w:rsid w:val="000828C8"/>
    <w:rsid w:val="00082B60"/>
    <w:rsid w:val="00082C8B"/>
    <w:rsid w:val="00082D1E"/>
    <w:rsid w:val="00082E4B"/>
    <w:rsid w:val="00082E95"/>
    <w:rsid w:val="00082E9D"/>
    <w:rsid w:val="000830A0"/>
    <w:rsid w:val="000830E2"/>
    <w:rsid w:val="000830FC"/>
    <w:rsid w:val="00083120"/>
    <w:rsid w:val="0008318B"/>
    <w:rsid w:val="0008323E"/>
    <w:rsid w:val="0008326E"/>
    <w:rsid w:val="000832C1"/>
    <w:rsid w:val="000833AC"/>
    <w:rsid w:val="0008344A"/>
    <w:rsid w:val="0008345E"/>
    <w:rsid w:val="000834E7"/>
    <w:rsid w:val="00083572"/>
    <w:rsid w:val="0008359C"/>
    <w:rsid w:val="000835E5"/>
    <w:rsid w:val="0008382D"/>
    <w:rsid w:val="00083847"/>
    <w:rsid w:val="000838C6"/>
    <w:rsid w:val="00083917"/>
    <w:rsid w:val="00083927"/>
    <w:rsid w:val="00083A15"/>
    <w:rsid w:val="00083B1D"/>
    <w:rsid w:val="00083BEB"/>
    <w:rsid w:val="00083C05"/>
    <w:rsid w:val="00083C2D"/>
    <w:rsid w:val="00083C8C"/>
    <w:rsid w:val="00083D36"/>
    <w:rsid w:val="00083E9F"/>
    <w:rsid w:val="00083EF0"/>
    <w:rsid w:val="00084131"/>
    <w:rsid w:val="000841FC"/>
    <w:rsid w:val="00084200"/>
    <w:rsid w:val="00084271"/>
    <w:rsid w:val="000844EF"/>
    <w:rsid w:val="00084679"/>
    <w:rsid w:val="00084693"/>
    <w:rsid w:val="000846F8"/>
    <w:rsid w:val="0008475B"/>
    <w:rsid w:val="0008478B"/>
    <w:rsid w:val="000849C8"/>
    <w:rsid w:val="000849CA"/>
    <w:rsid w:val="000849D7"/>
    <w:rsid w:val="00084B3D"/>
    <w:rsid w:val="00084CB8"/>
    <w:rsid w:val="00084D1E"/>
    <w:rsid w:val="00084D90"/>
    <w:rsid w:val="00084EA2"/>
    <w:rsid w:val="00084F8F"/>
    <w:rsid w:val="00084FE9"/>
    <w:rsid w:val="0008509D"/>
    <w:rsid w:val="000850C1"/>
    <w:rsid w:val="000851D2"/>
    <w:rsid w:val="0008520E"/>
    <w:rsid w:val="00085311"/>
    <w:rsid w:val="00085559"/>
    <w:rsid w:val="0008563A"/>
    <w:rsid w:val="00085706"/>
    <w:rsid w:val="00085711"/>
    <w:rsid w:val="000857DA"/>
    <w:rsid w:val="00085A26"/>
    <w:rsid w:val="00085B39"/>
    <w:rsid w:val="00085B58"/>
    <w:rsid w:val="00085B5E"/>
    <w:rsid w:val="00085CBE"/>
    <w:rsid w:val="00085D88"/>
    <w:rsid w:val="00085EC7"/>
    <w:rsid w:val="00085FBE"/>
    <w:rsid w:val="00085FDD"/>
    <w:rsid w:val="0008600C"/>
    <w:rsid w:val="00086016"/>
    <w:rsid w:val="00086037"/>
    <w:rsid w:val="0008604F"/>
    <w:rsid w:val="00086055"/>
    <w:rsid w:val="00086277"/>
    <w:rsid w:val="0008640D"/>
    <w:rsid w:val="000864A0"/>
    <w:rsid w:val="0008665D"/>
    <w:rsid w:val="0008680C"/>
    <w:rsid w:val="00086863"/>
    <w:rsid w:val="00086894"/>
    <w:rsid w:val="00086AA5"/>
    <w:rsid w:val="00086B05"/>
    <w:rsid w:val="00086B81"/>
    <w:rsid w:val="00086DE4"/>
    <w:rsid w:val="00086FB7"/>
    <w:rsid w:val="0008705C"/>
    <w:rsid w:val="000870E2"/>
    <w:rsid w:val="0008724C"/>
    <w:rsid w:val="000872A0"/>
    <w:rsid w:val="000873A4"/>
    <w:rsid w:val="000873E4"/>
    <w:rsid w:val="000874B0"/>
    <w:rsid w:val="0008759A"/>
    <w:rsid w:val="0008762F"/>
    <w:rsid w:val="0008769F"/>
    <w:rsid w:val="000877AE"/>
    <w:rsid w:val="00087827"/>
    <w:rsid w:val="00087872"/>
    <w:rsid w:val="00087955"/>
    <w:rsid w:val="0008796F"/>
    <w:rsid w:val="000879D7"/>
    <w:rsid w:val="00087A05"/>
    <w:rsid w:val="00087B04"/>
    <w:rsid w:val="00087BB7"/>
    <w:rsid w:val="00087C10"/>
    <w:rsid w:val="00087CF1"/>
    <w:rsid w:val="00087D5C"/>
    <w:rsid w:val="00087ED8"/>
    <w:rsid w:val="000900F3"/>
    <w:rsid w:val="00090130"/>
    <w:rsid w:val="00090329"/>
    <w:rsid w:val="000903F5"/>
    <w:rsid w:val="00090428"/>
    <w:rsid w:val="00090439"/>
    <w:rsid w:val="000905EC"/>
    <w:rsid w:val="00090651"/>
    <w:rsid w:val="000906A7"/>
    <w:rsid w:val="000906F4"/>
    <w:rsid w:val="00090835"/>
    <w:rsid w:val="00090887"/>
    <w:rsid w:val="00090893"/>
    <w:rsid w:val="0009089B"/>
    <w:rsid w:val="000908DA"/>
    <w:rsid w:val="0009091C"/>
    <w:rsid w:val="000909A4"/>
    <w:rsid w:val="00090ABA"/>
    <w:rsid w:val="00090AC6"/>
    <w:rsid w:val="00090BC5"/>
    <w:rsid w:val="00090C12"/>
    <w:rsid w:val="00090D3B"/>
    <w:rsid w:val="00090D58"/>
    <w:rsid w:val="00090EA7"/>
    <w:rsid w:val="00090EC3"/>
    <w:rsid w:val="00090F49"/>
    <w:rsid w:val="00090FD5"/>
    <w:rsid w:val="00090FDE"/>
    <w:rsid w:val="00091002"/>
    <w:rsid w:val="00091066"/>
    <w:rsid w:val="000910C4"/>
    <w:rsid w:val="00091437"/>
    <w:rsid w:val="00091552"/>
    <w:rsid w:val="00091553"/>
    <w:rsid w:val="00091585"/>
    <w:rsid w:val="000915A2"/>
    <w:rsid w:val="000915F3"/>
    <w:rsid w:val="0009166B"/>
    <w:rsid w:val="0009168F"/>
    <w:rsid w:val="000916E0"/>
    <w:rsid w:val="000917D8"/>
    <w:rsid w:val="00091842"/>
    <w:rsid w:val="00091A12"/>
    <w:rsid w:val="00091A5E"/>
    <w:rsid w:val="00091DB7"/>
    <w:rsid w:val="00091DCD"/>
    <w:rsid w:val="00091DDC"/>
    <w:rsid w:val="00091E2E"/>
    <w:rsid w:val="00091E7F"/>
    <w:rsid w:val="00091EB7"/>
    <w:rsid w:val="00091FB8"/>
    <w:rsid w:val="00091FF9"/>
    <w:rsid w:val="000921BD"/>
    <w:rsid w:val="0009226D"/>
    <w:rsid w:val="000922CF"/>
    <w:rsid w:val="00092447"/>
    <w:rsid w:val="00092473"/>
    <w:rsid w:val="00092479"/>
    <w:rsid w:val="00092533"/>
    <w:rsid w:val="0009255B"/>
    <w:rsid w:val="000925CC"/>
    <w:rsid w:val="00092657"/>
    <w:rsid w:val="00092694"/>
    <w:rsid w:val="000926D6"/>
    <w:rsid w:val="000926D8"/>
    <w:rsid w:val="00092712"/>
    <w:rsid w:val="00092858"/>
    <w:rsid w:val="000928CB"/>
    <w:rsid w:val="00092987"/>
    <w:rsid w:val="00092A66"/>
    <w:rsid w:val="00092A9F"/>
    <w:rsid w:val="00092ACD"/>
    <w:rsid w:val="00092D02"/>
    <w:rsid w:val="00092D53"/>
    <w:rsid w:val="00092E34"/>
    <w:rsid w:val="00092ED3"/>
    <w:rsid w:val="00092EF7"/>
    <w:rsid w:val="00092FBB"/>
    <w:rsid w:val="000931C1"/>
    <w:rsid w:val="000931CE"/>
    <w:rsid w:val="0009320B"/>
    <w:rsid w:val="00093272"/>
    <w:rsid w:val="00093367"/>
    <w:rsid w:val="0009339A"/>
    <w:rsid w:val="0009341E"/>
    <w:rsid w:val="00093426"/>
    <w:rsid w:val="00093440"/>
    <w:rsid w:val="00093568"/>
    <w:rsid w:val="00093671"/>
    <w:rsid w:val="00093681"/>
    <w:rsid w:val="000938E3"/>
    <w:rsid w:val="0009392D"/>
    <w:rsid w:val="00093989"/>
    <w:rsid w:val="000939B3"/>
    <w:rsid w:val="000939B9"/>
    <w:rsid w:val="00093A3D"/>
    <w:rsid w:val="00093AD9"/>
    <w:rsid w:val="00093C1C"/>
    <w:rsid w:val="00093C9B"/>
    <w:rsid w:val="00093CD6"/>
    <w:rsid w:val="00093D2F"/>
    <w:rsid w:val="00093D47"/>
    <w:rsid w:val="00093EDB"/>
    <w:rsid w:val="00093F5F"/>
    <w:rsid w:val="00093FEB"/>
    <w:rsid w:val="00094000"/>
    <w:rsid w:val="00094079"/>
    <w:rsid w:val="0009413C"/>
    <w:rsid w:val="0009418C"/>
    <w:rsid w:val="00094191"/>
    <w:rsid w:val="00094195"/>
    <w:rsid w:val="00094224"/>
    <w:rsid w:val="0009425F"/>
    <w:rsid w:val="00094275"/>
    <w:rsid w:val="0009427F"/>
    <w:rsid w:val="000942B7"/>
    <w:rsid w:val="000942D6"/>
    <w:rsid w:val="00094377"/>
    <w:rsid w:val="0009445D"/>
    <w:rsid w:val="00094641"/>
    <w:rsid w:val="000946CB"/>
    <w:rsid w:val="00094703"/>
    <w:rsid w:val="000948CF"/>
    <w:rsid w:val="000949A7"/>
    <w:rsid w:val="00094A04"/>
    <w:rsid w:val="00094AF6"/>
    <w:rsid w:val="00094C62"/>
    <w:rsid w:val="00094D38"/>
    <w:rsid w:val="00094D5F"/>
    <w:rsid w:val="00094E22"/>
    <w:rsid w:val="00094E70"/>
    <w:rsid w:val="00094E84"/>
    <w:rsid w:val="00094F59"/>
    <w:rsid w:val="00094F7C"/>
    <w:rsid w:val="00095116"/>
    <w:rsid w:val="000951C1"/>
    <w:rsid w:val="00095245"/>
    <w:rsid w:val="00095343"/>
    <w:rsid w:val="00095430"/>
    <w:rsid w:val="0009551B"/>
    <w:rsid w:val="00095543"/>
    <w:rsid w:val="000957D2"/>
    <w:rsid w:val="00095822"/>
    <w:rsid w:val="000959D6"/>
    <w:rsid w:val="00095A0B"/>
    <w:rsid w:val="00095A9F"/>
    <w:rsid w:val="00095AF0"/>
    <w:rsid w:val="00095B17"/>
    <w:rsid w:val="00095B88"/>
    <w:rsid w:val="00095BCC"/>
    <w:rsid w:val="00095CE7"/>
    <w:rsid w:val="00095D3C"/>
    <w:rsid w:val="00095DCE"/>
    <w:rsid w:val="00095E94"/>
    <w:rsid w:val="00095EC3"/>
    <w:rsid w:val="00095ECB"/>
    <w:rsid w:val="00095F96"/>
    <w:rsid w:val="00096012"/>
    <w:rsid w:val="0009608C"/>
    <w:rsid w:val="000961CF"/>
    <w:rsid w:val="00096288"/>
    <w:rsid w:val="000962E8"/>
    <w:rsid w:val="0009630C"/>
    <w:rsid w:val="00096312"/>
    <w:rsid w:val="000963C2"/>
    <w:rsid w:val="00096571"/>
    <w:rsid w:val="0009658E"/>
    <w:rsid w:val="000965B4"/>
    <w:rsid w:val="0009660A"/>
    <w:rsid w:val="00096622"/>
    <w:rsid w:val="000966A6"/>
    <w:rsid w:val="00096758"/>
    <w:rsid w:val="000967F6"/>
    <w:rsid w:val="00096842"/>
    <w:rsid w:val="000968CE"/>
    <w:rsid w:val="00096C6C"/>
    <w:rsid w:val="00096CCE"/>
    <w:rsid w:val="00096E96"/>
    <w:rsid w:val="00096EA2"/>
    <w:rsid w:val="00096EB4"/>
    <w:rsid w:val="00096EF1"/>
    <w:rsid w:val="00096F2A"/>
    <w:rsid w:val="00096F7B"/>
    <w:rsid w:val="0009702D"/>
    <w:rsid w:val="00097095"/>
    <w:rsid w:val="0009711D"/>
    <w:rsid w:val="00097161"/>
    <w:rsid w:val="0009724A"/>
    <w:rsid w:val="0009738F"/>
    <w:rsid w:val="00097442"/>
    <w:rsid w:val="000974C1"/>
    <w:rsid w:val="000974C5"/>
    <w:rsid w:val="0009752A"/>
    <w:rsid w:val="0009760D"/>
    <w:rsid w:val="0009772C"/>
    <w:rsid w:val="00097959"/>
    <w:rsid w:val="0009799C"/>
    <w:rsid w:val="000979BE"/>
    <w:rsid w:val="00097A36"/>
    <w:rsid w:val="00097A7A"/>
    <w:rsid w:val="00097B17"/>
    <w:rsid w:val="00097BBD"/>
    <w:rsid w:val="00097CAA"/>
    <w:rsid w:val="00097CD3"/>
    <w:rsid w:val="00097E87"/>
    <w:rsid w:val="00097E9C"/>
    <w:rsid w:val="00097F2F"/>
    <w:rsid w:val="00097FA1"/>
    <w:rsid w:val="00097FD6"/>
    <w:rsid w:val="000A0135"/>
    <w:rsid w:val="000A0328"/>
    <w:rsid w:val="000A03B9"/>
    <w:rsid w:val="000A03EE"/>
    <w:rsid w:val="000A046B"/>
    <w:rsid w:val="000A047C"/>
    <w:rsid w:val="000A049F"/>
    <w:rsid w:val="000A0544"/>
    <w:rsid w:val="000A05F8"/>
    <w:rsid w:val="000A0622"/>
    <w:rsid w:val="000A069D"/>
    <w:rsid w:val="000A07AE"/>
    <w:rsid w:val="000A0802"/>
    <w:rsid w:val="000A080B"/>
    <w:rsid w:val="000A0900"/>
    <w:rsid w:val="000A0965"/>
    <w:rsid w:val="000A0A9C"/>
    <w:rsid w:val="000A0AEE"/>
    <w:rsid w:val="000A0B34"/>
    <w:rsid w:val="000A0B8B"/>
    <w:rsid w:val="000A0C00"/>
    <w:rsid w:val="000A0CD7"/>
    <w:rsid w:val="000A0F38"/>
    <w:rsid w:val="000A1040"/>
    <w:rsid w:val="000A1147"/>
    <w:rsid w:val="000A12AD"/>
    <w:rsid w:val="000A133C"/>
    <w:rsid w:val="000A13CC"/>
    <w:rsid w:val="000A13DF"/>
    <w:rsid w:val="000A1477"/>
    <w:rsid w:val="000A1557"/>
    <w:rsid w:val="000A1591"/>
    <w:rsid w:val="000A166A"/>
    <w:rsid w:val="000A1868"/>
    <w:rsid w:val="000A18F9"/>
    <w:rsid w:val="000A191A"/>
    <w:rsid w:val="000A19D7"/>
    <w:rsid w:val="000A1A44"/>
    <w:rsid w:val="000A1A49"/>
    <w:rsid w:val="000A1A88"/>
    <w:rsid w:val="000A1A8B"/>
    <w:rsid w:val="000A1AAE"/>
    <w:rsid w:val="000A1AEB"/>
    <w:rsid w:val="000A1B0B"/>
    <w:rsid w:val="000A1B67"/>
    <w:rsid w:val="000A1BEF"/>
    <w:rsid w:val="000A1CD3"/>
    <w:rsid w:val="000A1D3C"/>
    <w:rsid w:val="000A1DED"/>
    <w:rsid w:val="000A1E15"/>
    <w:rsid w:val="000A1E87"/>
    <w:rsid w:val="000A1FE3"/>
    <w:rsid w:val="000A208C"/>
    <w:rsid w:val="000A2147"/>
    <w:rsid w:val="000A2299"/>
    <w:rsid w:val="000A22B7"/>
    <w:rsid w:val="000A2355"/>
    <w:rsid w:val="000A2430"/>
    <w:rsid w:val="000A2498"/>
    <w:rsid w:val="000A24ED"/>
    <w:rsid w:val="000A252D"/>
    <w:rsid w:val="000A25F9"/>
    <w:rsid w:val="000A2648"/>
    <w:rsid w:val="000A2685"/>
    <w:rsid w:val="000A2722"/>
    <w:rsid w:val="000A27A5"/>
    <w:rsid w:val="000A27A6"/>
    <w:rsid w:val="000A27E4"/>
    <w:rsid w:val="000A2876"/>
    <w:rsid w:val="000A292B"/>
    <w:rsid w:val="000A2AE2"/>
    <w:rsid w:val="000A2B43"/>
    <w:rsid w:val="000A2B64"/>
    <w:rsid w:val="000A2B70"/>
    <w:rsid w:val="000A2E2B"/>
    <w:rsid w:val="000A2E50"/>
    <w:rsid w:val="000A2F30"/>
    <w:rsid w:val="000A2FE3"/>
    <w:rsid w:val="000A30E1"/>
    <w:rsid w:val="000A315B"/>
    <w:rsid w:val="000A315C"/>
    <w:rsid w:val="000A3185"/>
    <w:rsid w:val="000A31C4"/>
    <w:rsid w:val="000A32E9"/>
    <w:rsid w:val="000A332D"/>
    <w:rsid w:val="000A33C5"/>
    <w:rsid w:val="000A34C8"/>
    <w:rsid w:val="000A3624"/>
    <w:rsid w:val="000A3664"/>
    <w:rsid w:val="000A38E3"/>
    <w:rsid w:val="000A3991"/>
    <w:rsid w:val="000A39B7"/>
    <w:rsid w:val="000A3A54"/>
    <w:rsid w:val="000A3B8E"/>
    <w:rsid w:val="000A3BEC"/>
    <w:rsid w:val="000A3C33"/>
    <w:rsid w:val="000A3D7C"/>
    <w:rsid w:val="000A3E5E"/>
    <w:rsid w:val="000A3EFE"/>
    <w:rsid w:val="000A3F4C"/>
    <w:rsid w:val="000A4089"/>
    <w:rsid w:val="000A4097"/>
    <w:rsid w:val="000A4100"/>
    <w:rsid w:val="000A41CF"/>
    <w:rsid w:val="000A4201"/>
    <w:rsid w:val="000A420A"/>
    <w:rsid w:val="000A42B1"/>
    <w:rsid w:val="000A42F6"/>
    <w:rsid w:val="000A433F"/>
    <w:rsid w:val="000A4344"/>
    <w:rsid w:val="000A43BA"/>
    <w:rsid w:val="000A45F2"/>
    <w:rsid w:val="000A4634"/>
    <w:rsid w:val="000A472E"/>
    <w:rsid w:val="000A475E"/>
    <w:rsid w:val="000A4763"/>
    <w:rsid w:val="000A4862"/>
    <w:rsid w:val="000A497E"/>
    <w:rsid w:val="000A4993"/>
    <w:rsid w:val="000A4999"/>
    <w:rsid w:val="000A4AB0"/>
    <w:rsid w:val="000A4B6F"/>
    <w:rsid w:val="000A4C43"/>
    <w:rsid w:val="000A4CAE"/>
    <w:rsid w:val="000A4D38"/>
    <w:rsid w:val="000A4DB6"/>
    <w:rsid w:val="000A4E17"/>
    <w:rsid w:val="000A4FAD"/>
    <w:rsid w:val="000A505B"/>
    <w:rsid w:val="000A512B"/>
    <w:rsid w:val="000A51D0"/>
    <w:rsid w:val="000A5210"/>
    <w:rsid w:val="000A527F"/>
    <w:rsid w:val="000A5379"/>
    <w:rsid w:val="000A53C7"/>
    <w:rsid w:val="000A5454"/>
    <w:rsid w:val="000A54B1"/>
    <w:rsid w:val="000A5583"/>
    <w:rsid w:val="000A5660"/>
    <w:rsid w:val="000A57C2"/>
    <w:rsid w:val="000A5859"/>
    <w:rsid w:val="000A5863"/>
    <w:rsid w:val="000A58FA"/>
    <w:rsid w:val="000A5922"/>
    <w:rsid w:val="000A5964"/>
    <w:rsid w:val="000A596A"/>
    <w:rsid w:val="000A59A8"/>
    <w:rsid w:val="000A5A15"/>
    <w:rsid w:val="000A5B38"/>
    <w:rsid w:val="000A5B52"/>
    <w:rsid w:val="000A5BA4"/>
    <w:rsid w:val="000A5D52"/>
    <w:rsid w:val="000A5D6B"/>
    <w:rsid w:val="000A5D74"/>
    <w:rsid w:val="000A5DB8"/>
    <w:rsid w:val="000A5DD0"/>
    <w:rsid w:val="000A5DF5"/>
    <w:rsid w:val="000A5E3C"/>
    <w:rsid w:val="000A5E84"/>
    <w:rsid w:val="000A5E8A"/>
    <w:rsid w:val="000A5F0C"/>
    <w:rsid w:val="000A60D9"/>
    <w:rsid w:val="000A62A8"/>
    <w:rsid w:val="000A62E2"/>
    <w:rsid w:val="000A6416"/>
    <w:rsid w:val="000A64CA"/>
    <w:rsid w:val="000A654D"/>
    <w:rsid w:val="000A661A"/>
    <w:rsid w:val="000A665D"/>
    <w:rsid w:val="000A6713"/>
    <w:rsid w:val="000A680D"/>
    <w:rsid w:val="000A68D8"/>
    <w:rsid w:val="000A6A63"/>
    <w:rsid w:val="000A6C78"/>
    <w:rsid w:val="000A6C85"/>
    <w:rsid w:val="000A6C9D"/>
    <w:rsid w:val="000A6D4F"/>
    <w:rsid w:val="000A6D92"/>
    <w:rsid w:val="000A6DB4"/>
    <w:rsid w:val="000A6DE1"/>
    <w:rsid w:val="000A6E4B"/>
    <w:rsid w:val="000A6EDF"/>
    <w:rsid w:val="000A6FAA"/>
    <w:rsid w:val="000A6FEF"/>
    <w:rsid w:val="000A6FF4"/>
    <w:rsid w:val="000A7019"/>
    <w:rsid w:val="000A7063"/>
    <w:rsid w:val="000A7112"/>
    <w:rsid w:val="000A7158"/>
    <w:rsid w:val="000A71F7"/>
    <w:rsid w:val="000A72AC"/>
    <w:rsid w:val="000A7305"/>
    <w:rsid w:val="000A749C"/>
    <w:rsid w:val="000A74AD"/>
    <w:rsid w:val="000A754A"/>
    <w:rsid w:val="000A7842"/>
    <w:rsid w:val="000A7963"/>
    <w:rsid w:val="000A797C"/>
    <w:rsid w:val="000A798D"/>
    <w:rsid w:val="000A7AC2"/>
    <w:rsid w:val="000A7AE0"/>
    <w:rsid w:val="000A7B00"/>
    <w:rsid w:val="000A7C48"/>
    <w:rsid w:val="000A7C90"/>
    <w:rsid w:val="000A7CC2"/>
    <w:rsid w:val="000A7E19"/>
    <w:rsid w:val="000A7F71"/>
    <w:rsid w:val="000A7F79"/>
    <w:rsid w:val="000A7FAB"/>
    <w:rsid w:val="000A7FD5"/>
    <w:rsid w:val="000B0066"/>
    <w:rsid w:val="000B0201"/>
    <w:rsid w:val="000B0305"/>
    <w:rsid w:val="000B046F"/>
    <w:rsid w:val="000B04F9"/>
    <w:rsid w:val="000B0520"/>
    <w:rsid w:val="000B06A2"/>
    <w:rsid w:val="000B06BE"/>
    <w:rsid w:val="000B06C1"/>
    <w:rsid w:val="000B07B6"/>
    <w:rsid w:val="000B085C"/>
    <w:rsid w:val="000B0998"/>
    <w:rsid w:val="000B09A4"/>
    <w:rsid w:val="000B09CC"/>
    <w:rsid w:val="000B0A64"/>
    <w:rsid w:val="000B0A75"/>
    <w:rsid w:val="000B0AD6"/>
    <w:rsid w:val="000B0AEF"/>
    <w:rsid w:val="000B0B03"/>
    <w:rsid w:val="000B0B57"/>
    <w:rsid w:val="000B0B6D"/>
    <w:rsid w:val="000B0D80"/>
    <w:rsid w:val="000B0DF6"/>
    <w:rsid w:val="000B0E95"/>
    <w:rsid w:val="000B0EAB"/>
    <w:rsid w:val="000B0F12"/>
    <w:rsid w:val="000B0F53"/>
    <w:rsid w:val="000B0FCC"/>
    <w:rsid w:val="000B1030"/>
    <w:rsid w:val="000B112E"/>
    <w:rsid w:val="000B1182"/>
    <w:rsid w:val="000B119E"/>
    <w:rsid w:val="000B127A"/>
    <w:rsid w:val="000B12F1"/>
    <w:rsid w:val="000B1313"/>
    <w:rsid w:val="000B13C1"/>
    <w:rsid w:val="000B1408"/>
    <w:rsid w:val="000B155C"/>
    <w:rsid w:val="000B15E9"/>
    <w:rsid w:val="000B15EF"/>
    <w:rsid w:val="000B1670"/>
    <w:rsid w:val="000B167B"/>
    <w:rsid w:val="000B16F0"/>
    <w:rsid w:val="000B1737"/>
    <w:rsid w:val="000B1760"/>
    <w:rsid w:val="000B179E"/>
    <w:rsid w:val="000B189B"/>
    <w:rsid w:val="000B1915"/>
    <w:rsid w:val="000B196A"/>
    <w:rsid w:val="000B1A7C"/>
    <w:rsid w:val="000B1B34"/>
    <w:rsid w:val="000B1B93"/>
    <w:rsid w:val="000B1C45"/>
    <w:rsid w:val="000B1CB3"/>
    <w:rsid w:val="000B1D3F"/>
    <w:rsid w:val="000B1E3A"/>
    <w:rsid w:val="000B1E99"/>
    <w:rsid w:val="000B1EDE"/>
    <w:rsid w:val="000B2091"/>
    <w:rsid w:val="000B20F6"/>
    <w:rsid w:val="000B214D"/>
    <w:rsid w:val="000B225F"/>
    <w:rsid w:val="000B22AD"/>
    <w:rsid w:val="000B23A3"/>
    <w:rsid w:val="000B23DC"/>
    <w:rsid w:val="000B2412"/>
    <w:rsid w:val="000B2453"/>
    <w:rsid w:val="000B2461"/>
    <w:rsid w:val="000B256C"/>
    <w:rsid w:val="000B2605"/>
    <w:rsid w:val="000B26A5"/>
    <w:rsid w:val="000B2745"/>
    <w:rsid w:val="000B278C"/>
    <w:rsid w:val="000B286E"/>
    <w:rsid w:val="000B29A2"/>
    <w:rsid w:val="000B2C4F"/>
    <w:rsid w:val="000B2CC3"/>
    <w:rsid w:val="000B303A"/>
    <w:rsid w:val="000B31F2"/>
    <w:rsid w:val="000B3206"/>
    <w:rsid w:val="000B3351"/>
    <w:rsid w:val="000B3368"/>
    <w:rsid w:val="000B34AE"/>
    <w:rsid w:val="000B358E"/>
    <w:rsid w:val="000B35C7"/>
    <w:rsid w:val="000B35CA"/>
    <w:rsid w:val="000B35DA"/>
    <w:rsid w:val="000B361C"/>
    <w:rsid w:val="000B3624"/>
    <w:rsid w:val="000B36C0"/>
    <w:rsid w:val="000B3769"/>
    <w:rsid w:val="000B37B3"/>
    <w:rsid w:val="000B37DD"/>
    <w:rsid w:val="000B395C"/>
    <w:rsid w:val="000B3971"/>
    <w:rsid w:val="000B3BBF"/>
    <w:rsid w:val="000B3C15"/>
    <w:rsid w:val="000B40A1"/>
    <w:rsid w:val="000B4119"/>
    <w:rsid w:val="000B419A"/>
    <w:rsid w:val="000B427D"/>
    <w:rsid w:val="000B4312"/>
    <w:rsid w:val="000B43B6"/>
    <w:rsid w:val="000B4477"/>
    <w:rsid w:val="000B4559"/>
    <w:rsid w:val="000B466C"/>
    <w:rsid w:val="000B474D"/>
    <w:rsid w:val="000B4777"/>
    <w:rsid w:val="000B477A"/>
    <w:rsid w:val="000B48AB"/>
    <w:rsid w:val="000B490F"/>
    <w:rsid w:val="000B4916"/>
    <w:rsid w:val="000B4AFE"/>
    <w:rsid w:val="000B4B89"/>
    <w:rsid w:val="000B4CAD"/>
    <w:rsid w:val="000B4D99"/>
    <w:rsid w:val="000B4E94"/>
    <w:rsid w:val="000B4EF1"/>
    <w:rsid w:val="000B4F33"/>
    <w:rsid w:val="000B500F"/>
    <w:rsid w:val="000B507C"/>
    <w:rsid w:val="000B50F5"/>
    <w:rsid w:val="000B5115"/>
    <w:rsid w:val="000B5157"/>
    <w:rsid w:val="000B518C"/>
    <w:rsid w:val="000B52BE"/>
    <w:rsid w:val="000B534E"/>
    <w:rsid w:val="000B540D"/>
    <w:rsid w:val="000B541B"/>
    <w:rsid w:val="000B54C0"/>
    <w:rsid w:val="000B56B0"/>
    <w:rsid w:val="000B56C9"/>
    <w:rsid w:val="000B57B6"/>
    <w:rsid w:val="000B582B"/>
    <w:rsid w:val="000B58CC"/>
    <w:rsid w:val="000B5990"/>
    <w:rsid w:val="000B599A"/>
    <w:rsid w:val="000B59A9"/>
    <w:rsid w:val="000B59C0"/>
    <w:rsid w:val="000B5A3F"/>
    <w:rsid w:val="000B5B71"/>
    <w:rsid w:val="000B5C16"/>
    <w:rsid w:val="000B5CED"/>
    <w:rsid w:val="000B5D26"/>
    <w:rsid w:val="000B5D3A"/>
    <w:rsid w:val="000B5D59"/>
    <w:rsid w:val="000B5E2D"/>
    <w:rsid w:val="000B5F7B"/>
    <w:rsid w:val="000B5FF5"/>
    <w:rsid w:val="000B609A"/>
    <w:rsid w:val="000B6146"/>
    <w:rsid w:val="000B6151"/>
    <w:rsid w:val="000B61D2"/>
    <w:rsid w:val="000B6359"/>
    <w:rsid w:val="000B63AA"/>
    <w:rsid w:val="000B648B"/>
    <w:rsid w:val="000B648E"/>
    <w:rsid w:val="000B64AE"/>
    <w:rsid w:val="000B6557"/>
    <w:rsid w:val="000B6563"/>
    <w:rsid w:val="000B6603"/>
    <w:rsid w:val="000B663E"/>
    <w:rsid w:val="000B6660"/>
    <w:rsid w:val="000B67B5"/>
    <w:rsid w:val="000B67C3"/>
    <w:rsid w:val="000B683A"/>
    <w:rsid w:val="000B68D3"/>
    <w:rsid w:val="000B69D2"/>
    <w:rsid w:val="000B6CD4"/>
    <w:rsid w:val="000B6E48"/>
    <w:rsid w:val="000B6EDD"/>
    <w:rsid w:val="000B7059"/>
    <w:rsid w:val="000B706B"/>
    <w:rsid w:val="000B71AD"/>
    <w:rsid w:val="000B7207"/>
    <w:rsid w:val="000B728A"/>
    <w:rsid w:val="000B72FF"/>
    <w:rsid w:val="000B73A4"/>
    <w:rsid w:val="000B73D7"/>
    <w:rsid w:val="000B74A2"/>
    <w:rsid w:val="000B74FD"/>
    <w:rsid w:val="000B7538"/>
    <w:rsid w:val="000B7562"/>
    <w:rsid w:val="000B7648"/>
    <w:rsid w:val="000B772E"/>
    <w:rsid w:val="000B77EC"/>
    <w:rsid w:val="000B784A"/>
    <w:rsid w:val="000B78AB"/>
    <w:rsid w:val="000B7A06"/>
    <w:rsid w:val="000B7A17"/>
    <w:rsid w:val="000B7A84"/>
    <w:rsid w:val="000B7B2E"/>
    <w:rsid w:val="000B7B56"/>
    <w:rsid w:val="000B7CDA"/>
    <w:rsid w:val="000B7CEB"/>
    <w:rsid w:val="000B7DBF"/>
    <w:rsid w:val="000B7E86"/>
    <w:rsid w:val="000B7FEF"/>
    <w:rsid w:val="000C0012"/>
    <w:rsid w:val="000C00CD"/>
    <w:rsid w:val="000C0115"/>
    <w:rsid w:val="000C02EA"/>
    <w:rsid w:val="000C03CC"/>
    <w:rsid w:val="000C0433"/>
    <w:rsid w:val="000C0532"/>
    <w:rsid w:val="000C053E"/>
    <w:rsid w:val="000C057F"/>
    <w:rsid w:val="000C0592"/>
    <w:rsid w:val="000C062D"/>
    <w:rsid w:val="000C0734"/>
    <w:rsid w:val="000C0869"/>
    <w:rsid w:val="000C08E6"/>
    <w:rsid w:val="000C0B42"/>
    <w:rsid w:val="000C0BF9"/>
    <w:rsid w:val="000C0C0F"/>
    <w:rsid w:val="000C0CD6"/>
    <w:rsid w:val="000C0CE9"/>
    <w:rsid w:val="000C0E9C"/>
    <w:rsid w:val="000C0EEC"/>
    <w:rsid w:val="000C1032"/>
    <w:rsid w:val="000C1037"/>
    <w:rsid w:val="000C10F7"/>
    <w:rsid w:val="000C1263"/>
    <w:rsid w:val="000C1318"/>
    <w:rsid w:val="000C14B9"/>
    <w:rsid w:val="000C14DE"/>
    <w:rsid w:val="000C1506"/>
    <w:rsid w:val="000C155B"/>
    <w:rsid w:val="000C1582"/>
    <w:rsid w:val="000C15D1"/>
    <w:rsid w:val="000C15E6"/>
    <w:rsid w:val="000C1688"/>
    <w:rsid w:val="000C16E5"/>
    <w:rsid w:val="000C1734"/>
    <w:rsid w:val="000C1881"/>
    <w:rsid w:val="000C1941"/>
    <w:rsid w:val="000C1AD9"/>
    <w:rsid w:val="000C1CFD"/>
    <w:rsid w:val="000C1D6D"/>
    <w:rsid w:val="000C1F26"/>
    <w:rsid w:val="000C2013"/>
    <w:rsid w:val="000C20EC"/>
    <w:rsid w:val="000C219A"/>
    <w:rsid w:val="000C21CC"/>
    <w:rsid w:val="000C21E9"/>
    <w:rsid w:val="000C236C"/>
    <w:rsid w:val="000C23C5"/>
    <w:rsid w:val="000C2425"/>
    <w:rsid w:val="000C2459"/>
    <w:rsid w:val="000C24AC"/>
    <w:rsid w:val="000C25F8"/>
    <w:rsid w:val="000C272D"/>
    <w:rsid w:val="000C275C"/>
    <w:rsid w:val="000C2B20"/>
    <w:rsid w:val="000C2C8E"/>
    <w:rsid w:val="000C2E18"/>
    <w:rsid w:val="000C2E54"/>
    <w:rsid w:val="000C2ED5"/>
    <w:rsid w:val="000C2F23"/>
    <w:rsid w:val="000C2F28"/>
    <w:rsid w:val="000C2F34"/>
    <w:rsid w:val="000C2F77"/>
    <w:rsid w:val="000C31AD"/>
    <w:rsid w:val="000C3246"/>
    <w:rsid w:val="000C33A4"/>
    <w:rsid w:val="000C344C"/>
    <w:rsid w:val="000C34C5"/>
    <w:rsid w:val="000C3518"/>
    <w:rsid w:val="000C3610"/>
    <w:rsid w:val="000C3615"/>
    <w:rsid w:val="000C376A"/>
    <w:rsid w:val="000C381D"/>
    <w:rsid w:val="000C38B2"/>
    <w:rsid w:val="000C38B3"/>
    <w:rsid w:val="000C38B9"/>
    <w:rsid w:val="000C396E"/>
    <w:rsid w:val="000C3A83"/>
    <w:rsid w:val="000C3ABF"/>
    <w:rsid w:val="000C3ACF"/>
    <w:rsid w:val="000C3C0D"/>
    <w:rsid w:val="000C3C58"/>
    <w:rsid w:val="000C3F1E"/>
    <w:rsid w:val="000C4054"/>
    <w:rsid w:val="000C41C1"/>
    <w:rsid w:val="000C41F4"/>
    <w:rsid w:val="000C4226"/>
    <w:rsid w:val="000C4279"/>
    <w:rsid w:val="000C4292"/>
    <w:rsid w:val="000C42EA"/>
    <w:rsid w:val="000C43B1"/>
    <w:rsid w:val="000C4445"/>
    <w:rsid w:val="000C44DC"/>
    <w:rsid w:val="000C453B"/>
    <w:rsid w:val="000C4563"/>
    <w:rsid w:val="000C45ED"/>
    <w:rsid w:val="000C4790"/>
    <w:rsid w:val="000C47FB"/>
    <w:rsid w:val="000C480A"/>
    <w:rsid w:val="000C4895"/>
    <w:rsid w:val="000C48E2"/>
    <w:rsid w:val="000C4988"/>
    <w:rsid w:val="000C4A0F"/>
    <w:rsid w:val="000C4A50"/>
    <w:rsid w:val="000C4B81"/>
    <w:rsid w:val="000C4C76"/>
    <w:rsid w:val="000C4D38"/>
    <w:rsid w:val="000C4DD8"/>
    <w:rsid w:val="000C4E02"/>
    <w:rsid w:val="000C4E60"/>
    <w:rsid w:val="000C4E61"/>
    <w:rsid w:val="000C4ED6"/>
    <w:rsid w:val="000C4FC0"/>
    <w:rsid w:val="000C4FFC"/>
    <w:rsid w:val="000C5063"/>
    <w:rsid w:val="000C50C0"/>
    <w:rsid w:val="000C51B9"/>
    <w:rsid w:val="000C5362"/>
    <w:rsid w:val="000C5400"/>
    <w:rsid w:val="000C54AB"/>
    <w:rsid w:val="000C5512"/>
    <w:rsid w:val="000C5549"/>
    <w:rsid w:val="000C5638"/>
    <w:rsid w:val="000C56E9"/>
    <w:rsid w:val="000C570B"/>
    <w:rsid w:val="000C573E"/>
    <w:rsid w:val="000C5795"/>
    <w:rsid w:val="000C57A2"/>
    <w:rsid w:val="000C5858"/>
    <w:rsid w:val="000C59E5"/>
    <w:rsid w:val="000C5AC9"/>
    <w:rsid w:val="000C5B16"/>
    <w:rsid w:val="000C5B2C"/>
    <w:rsid w:val="000C5D02"/>
    <w:rsid w:val="000C5D44"/>
    <w:rsid w:val="000C5D81"/>
    <w:rsid w:val="000C5DB4"/>
    <w:rsid w:val="000C5EC5"/>
    <w:rsid w:val="000C5F40"/>
    <w:rsid w:val="000C6057"/>
    <w:rsid w:val="000C6122"/>
    <w:rsid w:val="000C613D"/>
    <w:rsid w:val="000C6168"/>
    <w:rsid w:val="000C617C"/>
    <w:rsid w:val="000C6194"/>
    <w:rsid w:val="000C61C8"/>
    <w:rsid w:val="000C62A8"/>
    <w:rsid w:val="000C62AD"/>
    <w:rsid w:val="000C62F9"/>
    <w:rsid w:val="000C6337"/>
    <w:rsid w:val="000C6397"/>
    <w:rsid w:val="000C6518"/>
    <w:rsid w:val="000C656B"/>
    <w:rsid w:val="000C65D2"/>
    <w:rsid w:val="000C663D"/>
    <w:rsid w:val="000C66EC"/>
    <w:rsid w:val="000C66F8"/>
    <w:rsid w:val="000C6835"/>
    <w:rsid w:val="000C68A2"/>
    <w:rsid w:val="000C69C8"/>
    <w:rsid w:val="000C6A51"/>
    <w:rsid w:val="000C6AC7"/>
    <w:rsid w:val="000C6AF4"/>
    <w:rsid w:val="000C6B42"/>
    <w:rsid w:val="000C6C3D"/>
    <w:rsid w:val="000C6C4D"/>
    <w:rsid w:val="000C6D81"/>
    <w:rsid w:val="000C6DB4"/>
    <w:rsid w:val="000C6E5F"/>
    <w:rsid w:val="000C6E66"/>
    <w:rsid w:val="000C6EB5"/>
    <w:rsid w:val="000C6F00"/>
    <w:rsid w:val="000C6F82"/>
    <w:rsid w:val="000C7006"/>
    <w:rsid w:val="000C709A"/>
    <w:rsid w:val="000C70EB"/>
    <w:rsid w:val="000C7170"/>
    <w:rsid w:val="000C71B9"/>
    <w:rsid w:val="000C72B0"/>
    <w:rsid w:val="000C72C1"/>
    <w:rsid w:val="000C72CE"/>
    <w:rsid w:val="000C7356"/>
    <w:rsid w:val="000C73C0"/>
    <w:rsid w:val="000C74A6"/>
    <w:rsid w:val="000C74F1"/>
    <w:rsid w:val="000C7509"/>
    <w:rsid w:val="000C7811"/>
    <w:rsid w:val="000C7872"/>
    <w:rsid w:val="000C7885"/>
    <w:rsid w:val="000C78A2"/>
    <w:rsid w:val="000C79A3"/>
    <w:rsid w:val="000C7A1E"/>
    <w:rsid w:val="000C7A50"/>
    <w:rsid w:val="000C7C94"/>
    <w:rsid w:val="000C7CB0"/>
    <w:rsid w:val="000C7CE6"/>
    <w:rsid w:val="000C7CEA"/>
    <w:rsid w:val="000C7E02"/>
    <w:rsid w:val="000C7E32"/>
    <w:rsid w:val="000C7E54"/>
    <w:rsid w:val="000D0009"/>
    <w:rsid w:val="000D000D"/>
    <w:rsid w:val="000D0059"/>
    <w:rsid w:val="000D008C"/>
    <w:rsid w:val="000D00F0"/>
    <w:rsid w:val="000D0247"/>
    <w:rsid w:val="000D027E"/>
    <w:rsid w:val="000D03D2"/>
    <w:rsid w:val="000D05C1"/>
    <w:rsid w:val="000D0664"/>
    <w:rsid w:val="000D066E"/>
    <w:rsid w:val="000D0703"/>
    <w:rsid w:val="000D073A"/>
    <w:rsid w:val="000D07AE"/>
    <w:rsid w:val="000D087B"/>
    <w:rsid w:val="000D08AF"/>
    <w:rsid w:val="000D08E7"/>
    <w:rsid w:val="000D0A0C"/>
    <w:rsid w:val="000D0A31"/>
    <w:rsid w:val="000D0A9D"/>
    <w:rsid w:val="000D0B74"/>
    <w:rsid w:val="000D0E33"/>
    <w:rsid w:val="000D0E43"/>
    <w:rsid w:val="000D0EE1"/>
    <w:rsid w:val="000D0F16"/>
    <w:rsid w:val="000D113C"/>
    <w:rsid w:val="000D1190"/>
    <w:rsid w:val="000D1194"/>
    <w:rsid w:val="000D11DE"/>
    <w:rsid w:val="000D11EA"/>
    <w:rsid w:val="000D11F1"/>
    <w:rsid w:val="000D1226"/>
    <w:rsid w:val="000D13DE"/>
    <w:rsid w:val="000D146D"/>
    <w:rsid w:val="000D14BA"/>
    <w:rsid w:val="000D14C8"/>
    <w:rsid w:val="000D14DA"/>
    <w:rsid w:val="000D14DE"/>
    <w:rsid w:val="000D1540"/>
    <w:rsid w:val="000D154A"/>
    <w:rsid w:val="000D1765"/>
    <w:rsid w:val="000D17D3"/>
    <w:rsid w:val="000D182E"/>
    <w:rsid w:val="000D1833"/>
    <w:rsid w:val="000D1856"/>
    <w:rsid w:val="000D188B"/>
    <w:rsid w:val="000D18E5"/>
    <w:rsid w:val="000D1959"/>
    <w:rsid w:val="000D1994"/>
    <w:rsid w:val="000D1AC4"/>
    <w:rsid w:val="000D1B95"/>
    <w:rsid w:val="000D1E56"/>
    <w:rsid w:val="000D1FB2"/>
    <w:rsid w:val="000D21CF"/>
    <w:rsid w:val="000D2208"/>
    <w:rsid w:val="000D2231"/>
    <w:rsid w:val="000D2281"/>
    <w:rsid w:val="000D2334"/>
    <w:rsid w:val="000D2377"/>
    <w:rsid w:val="000D24B4"/>
    <w:rsid w:val="000D258A"/>
    <w:rsid w:val="000D25C4"/>
    <w:rsid w:val="000D2629"/>
    <w:rsid w:val="000D264A"/>
    <w:rsid w:val="000D268F"/>
    <w:rsid w:val="000D26F6"/>
    <w:rsid w:val="000D2771"/>
    <w:rsid w:val="000D277F"/>
    <w:rsid w:val="000D2AA1"/>
    <w:rsid w:val="000D2AD4"/>
    <w:rsid w:val="000D2D04"/>
    <w:rsid w:val="000D2E04"/>
    <w:rsid w:val="000D2E54"/>
    <w:rsid w:val="000D2EFE"/>
    <w:rsid w:val="000D2F7E"/>
    <w:rsid w:val="000D2F98"/>
    <w:rsid w:val="000D2FF3"/>
    <w:rsid w:val="000D3001"/>
    <w:rsid w:val="000D3009"/>
    <w:rsid w:val="000D300A"/>
    <w:rsid w:val="000D308B"/>
    <w:rsid w:val="000D30B4"/>
    <w:rsid w:val="000D318A"/>
    <w:rsid w:val="000D32B9"/>
    <w:rsid w:val="000D3358"/>
    <w:rsid w:val="000D34B0"/>
    <w:rsid w:val="000D3505"/>
    <w:rsid w:val="000D351B"/>
    <w:rsid w:val="000D3531"/>
    <w:rsid w:val="000D3616"/>
    <w:rsid w:val="000D369C"/>
    <w:rsid w:val="000D36A5"/>
    <w:rsid w:val="000D3735"/>
    <w:rsid w:val="000D3739"/>
    <w:rsid w:val="000D3765"/>
    <w:rsid w:val="000D37E8"/>
    <w:rsid w:val="000D3847"/>
    <w:rsid w:val="000D38D6"/>
    <w:rsid w:val="000D3974"/>
    <w:rsid w:val="000D3A1C"/>
    <w:rsid w:val="000D3AB9"/>
    <w:rsid w:val="000D3ADE"/>
    <w:rsid w:val="000D3BB8"/>
    <w:rsid w:val="000D3D7C"/>
    <w:rsid w:val="000D3E81"/>
    <w:rsid w:val="000D3EF3"/>
    <w:rsid w:val="000D3F06"/>
    <w:rsid w:val="000D3FEA"/>
    <w:rsid w:val="000D41EC"/>
    <w:rsid w:val="000D4275"/>
    <w:rsid w:val="000D4326"/>
    <w:rsid w:val="000D434D"/>
    <w:rsid w:val="000D43E4"/>
    <w:rsid w:val="000D453E"/>
    <w:rsid w:val="000D4562"/>
    <w:rsid w:val="000D45D1"/>
    <w:rsid w:val="000D4689"/>
    <w:rsid w:val="000D46A3"/>
    <w:rsid w:val="000D46E6"/>
    <w:rsid w:val="000D4958"/>
    <w:rsid w:val="000D499D"/>
    <w:rsid w:val="000D49D4"/>
    <w:rsid w:val="000D4B25"/>
    <w:rsid w:val="000D4C4C"/>
    <w:rsid w:val="000D4D00"/>
    <w:rsid w:val="000D4D46"/>
    <w:rsid w:val="000D4DEF"/>
    <w:rsid w:val="000D4FA1"/>
    <w:rsid w:val="000D4FA7"/>
    <w:rsid w:val="000D4FFB"/>
    <w:rsid w:val="000D50A2"/>
    <w:rsid w:val="000D50A6"/>
    <w:rsid w:val="000D514E"/>
    <w:rsid w:val="000D51A6"/>
    <w:rsid w:val="000D51D2"/>
    <w:rsid w:val="000D5249"/>
    <w:rsid w:val="000D525E"/>
    <w:rsid w:val="000D53B1"/>
    <w:rsid w:val="000D5435"/>
    <w:rsid w:val="000D5462"/>
    <w:rsid w:val="000D5567"/>
    <w:rsid w:val="000D5579"/>
    <w:rsid w:val="000D5776"/>
    <w:rsid w:val="000D580E"/>
    <w:rsid w:val="000D583D"/>
    <w:rsid w:val="000D5891"/>
    <w:rsid w:val="000D594A"/>
    <w:rsid w:val="000D5965"/>
    <w:rsid w:val="000D5997"/>
    <w:rsid w:val="000D59EE"/>
    <w:rsid w:val="000D5A21"/>
    <w:rsid w:val="000D5A4C"/>
    <w:rsid w:val="000D5B30"/>
    <w:rsid w:val="000D5B40"/>
    <w:rsid w:val="000D5B7B"/>
    <w:rsid w:val="000D5BC0"/>
    <w:rsid w:val="000D5D4A"/>
    <w:rsid w:val="000D5D5C"/>
    <w:rsid w:val="000D5D86"/>
    <w:rsid w:val="000D5DC6"/>
    <w:rsid w:val="000D5E48"/>
    <w:rsid w:val="000D5E58"/>
    <w:rsid w:val="000D5E7D"/>
    <w:rsid w:val="000D5F22"/>
    <w:rsid w:val="000D5FAF"/>
    <w:rsid w:val="000D6089"/>
    <w:rsid w:val="000D60EC"/>
    <w:rsid w:val="000D61AD"/>
    <w:rsid w:val="000D6234"/>
    <w:rsid w:val="000D631B"/>
    <w:rsid w:val="000D63A8"/>
    <w:rsid w:val="000D6481"/>
    <w:rsid w:val="000D653C"/>
    <w:rsid w:val="000D658B"/>
    <w:rsid w:val="000D6595"/>
    <w:rsid w:val="000D673B"/>
    <w:rsid w:val="000D674F"/>
    <w:rsid w:val="000D67BD"/>
    <w:rsid w:val="000D67C3"/>
    <w:rsid w:val="000D6830"/>
    <w:rsid w:val="000D683C"/>
    <w:rsid w:val="000D688E"/>
    <w:rsid w:val="000D68A5"/>
    <w:rsid w:val="000D68B2"/>
    <w:rsid w:val="000D694B"/>
    <w:rsid w:val="000D69A1"/>
    <w:rsid w:val="000D69D3"/>
    <w:rsid w:val="000D6B0E"/>
    <w:rsid w:val="000D6B3B"/>
    <w:rsid w:val="000D6CF6"/>
    <w:rsid w:val="000D6D20"/>
    <w:rsid w:val="000D6D5D"/>
    <w:rsid w:val="000D6EFC"/>
    <w:rsid w:val="000D6F64"/>
    <w:rsid w:val="000D6FDB"/>
    <w:rsid w:val="000D6FF1"/>
    <w:rsid w:val="000D7021"/>
    <w:rsid w:val="000D7096"/>
    <w:rsid w:val="000D70DC"/>
    <w:rsid w:val="000D70E7"/>
    <w:rsid w:val="000D717D"/>
    <w:rsid w:val="000D7266"/>
    <w:rsid w:val="000D7395"/>
    <w:rsid w:val="000D7460"/>
    <w:rsid w:val="000D74C1"/>
    <w:rsid w:val="000D7546"/>
    <w:rsid w:val="000D75A8"/>
    <w:rsid w:val="000D75AE"/>
    <w:rsid w:val="000D7635"/>
    <w:rsid w:val="000D7683"/>
    <w:rsid w:val="000D7865"/>
    <w:rsid w:val="000D787B"/>
    <w:rsid w:val="000D7885"/>
    <w:rsid w:val="000D78F1"/>
    <w:rsid w:val="000D7930"/>
    <w:rsid w:val="000D799A"/>
    <w:rsid w:val="000D79F4"/>
    <w:rsid w:val="000D7AAC"/>
    <w:rsid w:val="000D7B38"/>
    <w:rsid w:val="000D7C2F"/>
    <w:rsid w:val="000D7C47"/>
    <w:rsid w:val="000D7DAE"/>
    <w:rsid w:val="000D7DEA"/>
    <w:rsid w:val="000D7FA4"/>
    <w:rsid w:val="000DAD13"/>
    <w:rsid w:val="000E0000"/>
    <w:rsid w:val="000E016F"/>
    <w:rsid w:val="000E01C5"/>
    <w:rsid w:val="000E0276"/>
    <w:rsid w:val="000E034D"/>
    <w:rsid w:val="000E03C1"/>
    <w:rsid w:val="000E03F8"/>
    <w:rsid w:val="000E041B"/>
    <w:rsid w:val="000E0541"/>
    <w:rsid w:val="000E056C"/>
    <w:rsid w:val="000E05D0"/>
    <w:rsid w:val="000E0660"/>
    <w:rsid w:val="000E0667"/>
    <w:rsid w:val="000E0797"/>
    <w:rsid w:val="000E0A23"/>
    <w:rsid w:val="000E0AC9"/>
    <w:rsid w:val="000E0B8B"/>
    <w:rsid w:val="000E0E1D"/>
    <w:rsid w:val="000E0E84"/>
    <w:rsid w:val="000E0EA2"/>
    <w:rsid w:val="000E0FD8"/>
    <w:rsid w:val="000E10A8"/>
    <w:rsid w:val="000E11EC"/>
    <w:rsid w:val="000E1277"/>
    <w:rsid w:val="000E12FF"/>
    <w:rsid w:val="000E13D0"/>
    <w:rsid w:val="000E13DF"/>
    <w:rsid w:val="000E1412"/>
    <w:rsid w:val="000E1439"/>
    <w:rsid w:val="000E1524"/>
    <w:rsid w:val="000E15DF"/>
    <w:rsid w:val="000E15FD"/>
    <w:rsid w:val="000E17B0"/>
    <w:rsid w:val="000E17F0"/>
    <w:rsid w:val="000E196A"/>
    <w:rsid w:val="000E19ED"/>
    <w:rsid w:val="000E1ADC"/>
    <w:rsid w:val="000E1B1F"/>
    <w:rsid w:val="000E1B23"/>
    <w:rsid w:val="000E1B5E"/>
    <w:rsid w:val="000E1BC6"/>
    <w:rsid w:val="000E1C17"/>
    <w:rsid w:val="000E1C30"/>
    <w:rsid w:val="000E1C44"/>
    <w:rsid w:val="000E1CC7"/>
    <w:rsid w:val="000E1D38"/>
    <w:rsid w:val="000E1D58"/>
    <w:rsid w:val="000E1ECB"/>
    <w:rsid w:val="000E1F09"/>
    <w:rsid w:val="000E1F52"/>
    <w:rsid w:val="000E2136"/>
    <w:rsid w:val="000E213E"/>
    <w:rsid w:val="000E23A2"/>
    <w:rsid w:val="000E240F"/>
    <w:rsid w:val="000E2473"/>
    <w:rsid w:val="000E265E"/>
    <w:rsid w:val="000E2732"/>
    <w:rsid w:val="000E2754"/>
    <w:rsid w:val="000E27DB"/>
    <w:rsid w:val="000E27E5"/>
    <w:rsid w:val="000E287F"/>
    <w:rsid w:val="000E28ED"/>
    <w:rsid w:val="000E29F0"/>
    <w:rsid w:val="000E2A94"/>
    <w:rsid w:val="000E2B03"/>
    <w:rsid w:val="000E2B50"/>
    <w:rsid w:val="000E2BF0"/>
    <w:rsid w:val="000E2FA5"/>
    <w:rsid w:val="000E3041"/>
    <w:rsid w:val="000E304F"/>
    <w:rsid w:val="000E30FA"/>
    <w:rsid w:val="000E31B3"/>
    <w:rsid w:val="000E3299"/>
    <w:rsid w:val="000E32CF"/>
    <w:rsid w:val="000E33C7"/>
    <w:rsid w:val="000E35B5"/>
    <w:rsid w:val="000E3613"/>
    <w:rsid w:val="000E363F"/>
    <w:rsid w:val="000E36D8"/>
    <w:rsid w:val="000E3765"/>
    <w:rsid w:val="000E38D6"/>
    <w:rsid w:val="000E3920"/>
    <w:rsid w:val="000E3A41"/>
    <w:rsid w:val="000E3A56"/>
    <w:rsid w:val="000E3AA0"/>
    <w:rsid w:val="000E3B9B"/>
    <w:rsid w:val="000E3C82"/>
    <w:rsid w:val="000E3D60"/>
    <w:rsid w:val="000E3E3B"/>
    <w:rsid w:val="000E3E85"/>
    <w:rsid w:val="000E3F3F"/>
    <w:rsid w:val="000E404E"/>
    <w:rsid w:val="000E408E"/>
    <w:rsid w:val="000E40A7"/>
    <w:rsid w:val="000E4148"/>
    <w:rsid w:val="000E423D"/>
    <w:rsid w:val="000E42A5"/>
    <w:rsid w:val="000E44FF"/>
    <w:rsid w:val="000E45CA"/>
    <w:rsid w:val="000E4AA1"/>
    <w:rsid w:val="000E4ACC"/>
    <w:rsid w:val="000E4B90"/>
    <w:rsid w:val="000E4C47"/>
    <w:rsid w:val="000E4E35"/>
    <w:rsid w:val="000E4E39"/>
    <w:rsid w:val="000E508F"/>
    <w:rsid w:val="000E50C4"/>
    <w:rsid w:val="000E5248"/>
    <w:rsid w:val="000E5254"/>
    <w:rsid w:val="000E5265"/>
    <w:rsid w:val="000E5284"/>
    <w:rsid w:val="000E52FB"/>
    <w:rsid w:val="000E5405"/>
    <w:rsid w:val="000E54EC"/>
    <w:rsid w:val="000E5548"/>
    <w:rsid w:val="000E55FE"/>
    <w:rsid w:val="000E56EF"/>
    <w:rsid w:val="000E5806"/>
    <w:rsid w:val="000E5885"/>
    <w:rsid w:val="000E58B6"/>
    <w:rsid w:val="000E5A40"/>
    <w:rsid w:val="000E5BF9"/>
    <w:rsid w:val="000E5CE3"/>
    <w:rsid w:val="000E5D34"/>
    <w:rsid w:val="000E6117"/>
    <w:rsid w:val="000E6200"/>
    <w:rsid w:val="000E6292"/>
    <w:rsid w:val="000E62BE"/>
    <w:rsid w:val="000E6473"/>
    <w:rsid w:val="000E64CF"/>
    <w:rsid w:val="000E6525"/>
    <w:rsid w:val="000E6579"/>
    <w:rsid w:val="000E65B7"/>
    <w:rsid w:val="000E65D2"/>
    <w:rsid w:val="000E65DA"/>
    <w:rsid w:val="000E65E3"/>
    <w:rsid w:val="000E6602"/>
    <w:rsid w:val="000E6636"/>
    <w:rsid w:val="000E66D5"/>
    <w:rsid w:val="000E66EE"/>
    <w:rsid w:val="000E673B"/>
    <w:rsid w:val="000E674C"/>
    <w:rsid w:val="000E681E"/>
    <w:rsid w:val="000E688F"/>
    <w:rsid w:val="000E6905"/>
    <w:rsid w:val="000E6977"/>
    <w:rsid w:val="000E69E7"/>
    <w:rsid w:val="000E6C1C"/>
    <w:rsid w:val="000E6CCE"/>
    <w:rsid w:val="000E6CDB"/>
    <w:rsid w:val="000E6D00"/>
    <w:rsid w:val="000E6D75"/>
    <w:rsid w:val="000E6DE6"/>
    <w:rsid w:val="000E6E1A"/>
    <w:rsid w:val="000E6EE4"/>
    <w:rsid w:val="000E6FB8"/>
    <w:rsid w:val="000E705C"/>
    <w:rsid w:val="000E708F"/>
    <w:rsid w:val="000E70C4"/>
    <w:rsid w:val="000E7116"/>
    <w:rsid w:val="000E7122"/>
    <w:rsid w:val="000E71E7"/>
    <w:rsid w:val="000E7298"/>
    <w:rsid w:val="000E731C"/>
    <w:rsid w:val="000E7577"/>
    <w:rsid w:val="000E7728"/>
    <w:rsid w:val="000E7793"/>
    <w:rsid w:val="000E788E"/>
    <w:rsid w:val="000E7AB5"/>
    <w:rsid w:val="000E7CC4"/>
    <w:rsid w:val="000E7D08"/>
    <w:rsid w:val="000E7DA3"/>
    <w:rsid w:val="000E7DFB"/>
    <w:rsid w:val="000E7EAE"/>
    <w:rsid w:val="000E7EE0"/>
    <w:rsid w:val="000E7F1A"/>
    <w:rsid w:val="000E7FCF"/>
    <w:rsid w:val="000F007E"/>
    <w:rsid w:val="000F008B"/>
    <w:rsid w:val="000F00A3"/>
    <w:rsid w:val="000F00B5"/>
    <w:rsid w:val="000F00C1"/>
    <w:rsid w:val="000F013A"/>
    <w:rsid w:val="000F01E3"/>
    <w:rsid w:val="000F0373"/>
    <w:rsid w:val="000F04A0"/>
    <w:rsid w:val="000F05BD"/>
    <w:rsid w:val="000F05D6"/>
    <w:rsid w:val="000F0627"/>
    <w:rsid w:val="000F066A"/>
    <w:rsid w:val="000F07C2"/>
    <w:rsid w:val="000F07CD"/>
    <w:rsid w:val="000F0806"/>
    <w:rsid w:val="000F080F"/>
    <w:rsid w:val="000F08CA"/>
    <w:rsid w:val="000F0A26"/>
    <w:rsid w:val="000F0AAC"/>
    <w:rsid w:val="000F0AFB"/>
    <w:rsid w:val="000F0C43"/>
    <w:rsid w:val="000F0C7B"/>
    <w:rsid w:val="000F0C94"/>
    <w:rsid w:val="000F0DA9"/>
    <w:rsid w:val="000F0E29"/>
    <w:rsid w:val="000F0E48"/>
    <w:rsid w:val="000F0E89"/>
    <w:rsid w:val="000F0EFC"/>
    <w:rsid w:val="000F111B"/>
    <w:rsid w:val="000F1136"/>
    <w:rsid w:val="000F11C9"/>
    <w:rsid w:val="000F128E"/>
    <w:rsid w:val="000F1315"/>
    <w:rsid w:val="000F1318"/>
    <w:rsid w:val="000F145C"/>
    <w:rsid w:val="000F1486"/>
    <w:rsid w:val="000F1515"/>
    <w:rsid w:val="000F161B"/>
    <w:rsid w:val="000F164A"/>
    <w:rsid w:val="000F168D"/>
    <w:rsid w:val="000F175B"/>
    <w:rsid w:val="000F1793"/>
    <w:rsid w:val="000F179B"/>
    <w:rsid w:val="000F17B0"/>
    <w:rsid w:val="000F17C0"/>
    <w:rsid w:val="000F1831"/>
    <w:rsid w:val="000F19CD"/>
    <w:rsid w:val="000F1ADB"/>
    <w:rsid w:val="000F1B66"/>
    <w:rsid w:val="000F1B79"/>
    <w:rsid w:val="000F1B7B"/>
    <w:rsid w:val="000F1B7D"/>
    <w:rsid w:val="000F1C19"/>
    <w:rsid w:val="000F1D50"/>
    <w:rsid w:val="000F1D64"/>
    <w:rsid w:val="000F1D67"/>
    <w:rsid w:val="000F1DE1"/>
    <w:rsid w:val="000F1E05"/>
    <w:rsid w:val="000F1EA3"/>
    <w:rsid w:val="000F1F0D"/>
    <w:rsid w:val="000F210F"/>
    <w:rsid w:val="000F2110"/>
    <w:rsid w:val="000F2168"/>
    <w:rsid w:val="000F2190"/>
    <w:rsid w:val="000F21A4"/>
    <w:rsid w:val="000F229B"/>
    <w:rsid w:val="000F23EB"/>
    <w:rsid w:val="000F26AD"/>
    <w:rsid w:val="000F2734"/>
    <w:rsid w:val="000F2742"/>
    <w:rsid w:val="000F280D"/>
    <w:rsid w:val="000F2A08"/>
    <w:rsid w:val="000F2A96"/>
    <w:rsid w:val="000F2A9D"/>
    <w:rsid w:val="000F2AB3"/>
    <w:rsid w:val="000F2C70"/>
    <w:rsid w:val="000F2C78"/>
    <w:rsid w:val="000F2CED"/>
    <w:rsid w:val="000F2D08"/>
    <w:rsid w:val="000F2DC2"/>
    <w:rsid w:val="000F2DF1"/>
    <w:rsid w:val="000F2E38"/>
    <w:rsid w:val="000F306E"/>
    <w:rsid w:val="000F30B1"/>
    <w:rsid w:val="000F31CA"/>
    <w:rsid w:val="000F3246"/>
    <w:rsid w:val="000F32C0"/>
    <w:rsid w:val="000F3333"/>
    <w:rsid w:val="000F3347"/>
    <w:rsid w:val="000F3411"/>
    <w:rsid w:val="000F3482"/>
    <w:rsid w:val="000F34B4"/>
    <w:rsid w:val="000F3510"/>
    <w:rsid w:val="000F3546"/>
    <w:rsid w:val="000F35B0"/>
    <w:rsid w:val="000F37C4"/>
    <w:rsid w:val="000F3800"/>
    <w:rsid w:val="000F3A15"/>
    <w:rsid w:val="000F3A6E"/>
    <w:rsid w:val="000F3B0E"/>
    <w:rsid w:val="000F3B31"/>
    <w:rsid w:val="000F3BFF"/>
    <w:rsid w:val="000F3CF6"/>
    <w:rsid w:val="000F3D44"/>
    <w:rsid w:val="000F3E73"/>
    <w:rsid w:val="000F3E7B"/>
    <w:rsid w:val="000F3F1A"/>
    <w:rsid w:val="000F3F5C"/>
    <w:rsid w:val="000F4017"/>
    <w:rsid w:val="000F4159"/>
    <w:rsid w:val="000F4175"/>
    <w:rsid w:val="000F420A"/>
    <w:rsid w:val="000F4220"/>
    <w:rsid w:val="000F4343"/>
    <w:rsid w:val="000F438F"/>
    <w:rsid w:val="000F440A"/>
    <w:rsid w:val="000F4536"/>
    <w:rsid w:val="000F4554"/>
    <w:rsid w:val="000F4608"/>
    <w:rsid w:val="000F46F4"/>
    <w:rsid w:val="000F4782"/>
    <w:rsid w:val="000F4820"/>
    <w:rsid w:val="000F486D"/>
    <w:rsid w:val="000F48B7"/>
    <w:rsid w:val="000F48E6"/>
    <w:rsid w:val="000F48EC"/>
    <w:rsid w:val="000F48FE"/>
    <w:rsid w:val="000F4931"/>
    <w:rsid w:val="000F4BD5"/>
    <w:rsid w:val="000F4C78"/>
    <w:rsid w:val="000F4C9D"/>
    <w:rsid w:val="000F4D4C"/>
    <w:rsid w:val="000F4DC8"/>
    <w:rsid w:val="000F4E1A"/>
    <w:rsid w:val="000F4F1C"/>
    <w:rsid w:val="000F4F28"/>
    <w:rsid w:val="000F4F6A"/>
    <w:rsid w:val="000F5050"/>
    <w:rsid w:val="000F510E"/>
    <w:rsid w:val="000F5135"/>
    <w:rsid w:val="000F518E"/>
    <w:rsid w:val="000F51F8"/>
    <w:rsid w:val="000F52EB"/>
    <w:rsid w:val="000F534F"/>
    <w:rsid w:val="000F5495"/>
    <w:rsid w:val="000F549D"/>
    <w:rsid w:val="000F5716"/>
    <w:rsid w:val="000F577B"/>
    <w:rsid w:val="000F57C3"/>
    <w:rsid w:val="000F5881"/>
    <w:rsid w:val="000F5AB2"/>
    <w:rsid w:val="000F5BB3"/>
    <w:rsid w:val="000F5BD0"/>
    <w:rsid w:val="000F5BEF"/>
    <w:rsid w:val="000F5C17"/>
    <w:rsid w:val="000F5C19"/>
    <w:rsid w:val="000F5CA3"/>
    <w:rsid w:val="000F5E1C"/>
    <w:rsid w:val="000F5E70"/>
    <w:rsid w:val="000F5EBB"/>
    <w:rsid w:val="000F5F6C"/>
    <w:rsid w:val="000F5FC3"/>
    <w:rsid w:val="000F5FC7"/>
    <w:rsid w:val="000F6062"/>
    <w:rsid w:val="000F6139"/>
    <w:rsid w:val="000F6196"/>
    <w:rsid w:val="000F61C7"/>
    <w:rsid w:val="000F61F2"/>
    <w:rsid w:val="000F621F"/>
    <w:rsid w:val="000F6319"/>
    <w:rsid w:val="000F63C7"/>
    <w:rsid w:val="000F6638"/>
    <w:rsid w:val="000F6725"/>
    <w:rsid w:val="000F682F"/>
    <w:rsid w:val="000F6906"/>
    <w:rsid w:val="000F6A32"/>
    <w:rsid w:val="000F6A61"/>
    <w:rsid w:val="000F6B0D"/>
    <w:rsid w:val="000F6BF9"/>
    <w:rsid w:val="000F6C57"/>
    <w:rsid w:val="000F6C5D"/>
    <w:rsid w:val="000F6C5F"/>
    <w:rsid w:val="000F6C72"/>
    <w:rsid w:val="000F6D65"/>
    <w:rsid w:val="000F6E8C"/>
    <w:rsid w:val="000F7048"/>
    <w:rsid w:val="000F7061"/>
    <w:rsid w:val="000F70AC"/>
    <w:rsid w:val="000F7182"/>
    <w:rsid w:val="000F71A4"/>
    <w:rsid w:val="000F71F2"/>
    <w:rsid w:val="000F7263"/>
    <w:rsid w:val="000F7266"/>
    <w:rsid w:val="000F72BC"/>
    <w:rsid w:val="000F747F"/>
    <w:rsid w:val="000F7484"/>
    <w:rsid w:val="000F75FC"/>
    <w:rsid w:val="000F76E4"/>
    <w:rsid w:val="000F7732"/>
    <w:rsid w:val="000F780D"/>
    <w:rsid w:val="000F79D3"/>
    <w:rsid w:val="000F79FD"/>
    <w:rsid w:val="000F7A3F"/>
    <w:rsid w:val="000F7A88"/>
    <w:rsid w:val="000F7AFB"/>
    <w:rsid w:val="000F7B38"/>
    <w:rsid w:val="000F7B73"/>
    <w:rsid w:val="000F7B96"/>
    <w:rsid w:val="000F7D3F"/>
    <w:rsid w:val="000F7D62"/>
    <w:rsid w:val="000F7E99"/>
    <w:rsid w:val="000F7F6D"/>
    <w:rsid w:val="00100033"/>
    <w:rsid w:val="001000C6"/>
    <w:rsid w:val="00100180"/>
    <w:rsid w:val="001001D4"/>
    <w:rsid w:val="001001E7"/>
    <w:rsid w:val="00100238"/>
    <w:rsid w:val="0010029F"/>
    <w:rsid w:val="001002EB"/>
    <w:rsid w:val="00100333"/>
    <w:rsid w:val="00100363"/>
    <w:rsid w:val="00100390"/>
    <w:rsid w:val="001005BE"/>
    <w:rsid w:val="00100603"/>
    <w:rsid w:val="001006FB"/>
    <w:rsid w:val="00100894"/>
    <w:rsid w:val="001009E4"/>
    <w:rsid w:val="00100A3F"/>
    <w:rsid w:val="00100A95"/>
    <w:rsid w:val="00100C02"/>
    <w:rsid w:val="00100C38"/>
    <w:rsid w:val="00100C48"/>
    <w:rsid w:val="00100CC6"/>
    <w:rsid w:val="00100D1D"/>
    <w:rsid w:val="00100D2F"/>
    <w:rsid w:val="00100E47"/>
    <w:rsid w:val="0010108F"/>
    <w:rsid w:val="001010DF"/>
    <w:rsid w:val="001011C0"/>
    <w:rsid w:val="001011FB"/>
    <w:rsid w:val="001012BB"/>
    <w:rsid w:val="00101386"/>
    <w:rsid w:val="001013AA"/>
    <w:rsid w:val="001013F4"/>
    <w:rsid w:val="00101690"/>
    <w:rsid w:val="00101785"/>
    <w:rsid w:val="001017FD"/>
    <w:rsid w:val="00101906"/>
    <w:rsid w:val="00101919"/>
    <w:rsid w:val="00101AF0"/>
    <w:rsid w:val="00101B59"/>
    <w:rsid w:val="00101BF0"/>
    <w:rsid w:val="00101C04"/>
    <w:rsid w:val="00101CB2"/>
    <w:rsid w:val="00101D8D"/>
    <w:rsid w:val="00101E8A"/>
    <w:rsid w:val="00101ECB"/>
    <w:rsid w:val="00101FB9"/>
    <w:rsid w:val="00101FD3"/>
    <w:rsid w:val="001020DA"/>
    <w:rsid w:val="001020F3"/>
    <w:rsid w:val="0010217F"/>
    <w:rsid w:val="0010221E"/>
    <w:rsid w:val="001022A5"/>
    <w:rsid w:val="0010232F"/>
    <w:rsid w:val="00102352"/>
    <w:rsid w:val="001023F4"/>
    <w:rsid w:val="00102467"/>
    <w:rsid w:val="00102492"/>
    <w:rsid w:val="00102514"/>
    <w:rsid w:val="00102732"/>
    <w:rsid w:val="00102777"/>
    <w:rsid w:val="0010289B"/>
    <w:rsid w:val="00102960"/>
    <w:rsid w:val="00102992"/>
    <w:rsid w:val="00102A82"/>
    <w:rsid w:val="00102AE9"/>
    <w:rsid w:val="00102B1F"/>
    <w:rsid w:val="00102B5C"/>
    <w:rsid w:val="00102C72"/>
    <w:rsid w:val="00102D0D"/>
    <w:rsid w:val="00102E52"/>
    <w:rsid w:val="00102EFE"/>
    <w:rsid w:val="00103082"/>
    <w:rsid w:val="001030CB"/>
    <w:rsid w:val="001030FF"/>
    <w:rsid w:val="00103124"/>
    <w:rsid w:val="001031CD"/>
    <w:rsid w:val="00103311"/>
    <w:rsid w:val="00103385"/>
    <w:rsid w:val="00103406"/>
    <w:rsid w:val="00103441"/>
    <w:rsid w:val="00103528"/>
    <w:rsid w:val="00103557"/>
    <w:rsid w:val="0010357F"/>
    <w:rsid w:val="001035D7"/>
    <w:rsid w:val="00103667"/>
    <w:rsid w:val="0010378E"/>
    <w:rsid w:val="001037EB"/>
    <w:rsid w:val="00103872"/>
    <w:rsid w:val="0010388F"/>
    <w:rsid w:val="001038C7"/>
    <w:rsid w:val="0010390A"/>
    <w:rsid w:val="00103A34"/>
    <w:rsid w:val="00103A62"/>
    <w:rsid w:val="00103A7A"/>
    <w:rsid w:val="00103A98"/>
    <w:rsid w:val="00103B4E"/>
    <w:rsid w:val="00103BEF"/>
    <w:rsid w:val="00103C48"/>
    <w:rsid w:val="00103C99"/>
    <w:rsid w:val="00103CDA"/>
    <w:rsid w:val="00103D2E"/>
    <w:rsid w:val="00103D2F"/>
    <w:rsid w:val="00103D5A"/>
    <w:rsid w:val="00103D74"/>
    <w:rsid w:val="00103E2F"/>
    <w:rsid w:val="00104171"/>
    <w:rsid w:val="001041E4"/>
    <w:rsid w:val="0010446F"/>
    <w:rsid w:val="0010454A"/>
    <w:rsid w:val="00104593"/>
    <w:rsid w:val="001045D8"/>
    <w:rsid w:val="001045F4"/>
    <w:rsid w:val="0010462E"/>
    <w:rsid w:val="00104698"/>
    <w:rsid w:val="001046AD"/>
    <w:rsid w:val="001047A9"/>
    <w:rsid w:val="001047B6"/>
    <w:rsid w:val="0010494C"/>
    <w:rsid w:val="00104A76"/>
    <w:rsid w:val="00104A7D"/>
    <w:rsid w:val="00104A81"/>
    <w:rsid w:val="00104ADF"/>
    <w:rsid w:val="00104AFB"/>
    <w:rsid w:val="00104B5B"/>
    <w:rsid w:val="00104C79"/>
    <w:rsid w:val="00104D70"/>
    <w:rsid w:val="00104E57"/>
    <w:rsid w:val="00104F6A"/>
    <w:rsid w:val="00105064"/>
    <w:rsid w:val="001051D1"/>
    <w:rsid w:val="00105272"/>
    <w:rsid w:val="001052D8"/>
    <w:rsid w:val="001052E6"/>
    <w:rsid w:val="00105307"/>
    <w:rsid w:val="001053B9"/>
    <w:rsid w:val="001053CC"/>
    <w:rsid w:val="001053D4"/>
    <w:rsid w:val="00105455"/>
    <w:rsid w:val="0010548C"/>
    <w:rsid w:val="0010549F"/>
    <w:rsid w:val="00105503"/>
    <w:rsid w:val="00105616"/>
    <w:rsid w:val="00105817"/>
    <w:rsid w:val="001058B3"/>
    <w:rsid w:val="001058B9"/>
    <w:rsid w:val="001058C6"/>
    <w:rsid w:val="00105968"/>
    <w:rsid w:val="00105A2F"/>
    <w:rsid w:val="00105BD2"/>
    <w:rsid w:val="00105CBC"/>
    <w:rsid w:val="00105E1D"/>
    <w:rsid w:val="00105E90"/>
    <w:rsid w:val="00105EEF"/>
    <w:rsid w:val="00105EF3"/>
    <w:rsid w:val="0010633D"/>
    <w:rsid w:val="00106353"/>
    <w:rsid w:val="001063F0"/>
    <w:rsid w:val="00106442"/>
    <w:rsid w:val="001064BF"/>
    <w:rsid w:val="001065AE"/>
    <w:rsid w:val="001067A8"/>
    <w:rsid w:val="001067EF"/>
    <w:rsid w:val="0010693D"/>
    <w:rsid w:val="00106991"/>
    <w:rsid w:val="001069DD"/>
    <w:rsid w:val="00106A67"/>
    <w:rsid w:val="00106B5B"/>
    <w:rsid w:val="00106BA7"/>
    <w:rsid w:val="00106BCE"/>
    <w:rsid w:val="00106C06"/>
    <w:rsid w:val="00106D8C"/>
    <w:rsid w:val="00106F31"/>
    <w:rsid w:val="00106F3D"/>
    <w:rsid w:val="00106F56"/>
    <w:rsid w:val="00106F6F"/>
    <w:rsid w:val="00106FE6"/>
    <w:rsid w:val="00107065"/>
    <w:rsid w:val="001070C2"/>
    <w:rsid w:val="001070EC"/>
    <w:rsid w:val="00107168"/>
    <w:rsid w:val="00107241"/>
    <w:rsid w:val="001072BB"/>
    <w:rsid w:val="00107432"/>
    <w:rsid w:val="00107433"/>
    <w:rsid w:val="00107556"/>
    <w:rsid w:val="00107592"/>
    <w:rsid w:val="001076DE"/>
    <w:rsid w:val="001076E8"/>
    <w:rsid w:val="001076EA"/>
    <w:rsid w:val="001077FA"/>
    <w:rsid w:val="001078A2"/>
    <w:rsid w:val="001079A9"/>
    <w:rsid w:val="00107A17"/>
    <w:rsid w:val="00107A93"/>
    <w:rsid w:val="00107AF1"/>
    <w:rsid w:val="00107B1A"/>
    <w:rsid w:val="00107BF7"/>
    <w:rsid w:val="00107CED"/>
    <w:rsid w:val="00107E24"/>
    <w:rsid w:val="00107E67"/>
    <w:rsid w:val="00107F37"/>
    <w:rsid w:val="00107FA6"/>
    <w:rsid w:val="00107FB7"/>
    <w:rsid w:val="00110099"/>
    <w:rsid w:val="00110176"/>
    <w:rsid w:val="0011022B"/>
    <w:rsid w:val="001103D5"/>
    <w:rsid w:val="00110516"/>
    <w:rsid w:val="00110681"/>
    <w:rsid w:val="001106EA"/>
    <w:rsid w:val="00110708"/>
    <w:rsid w:val="00110754"/>
    <w:rsid w:val="00110782"/>
    <w:rsid w:val="001107A6"/>
    <w:rsid w:val="00110892"/>
    <w:rsid w:val="0011089A"/>
    <w:rsid w:val="001108A6"/>
    <w:rsid w:val="00110944"/>
    <w:rsid w:val="001109C0"/>
    <w:rsid w:val="00110A06"/>
    <w:rsid w:val="00110A47"/>
    <w:rsid w:val="00110B52"/>
    <w:rsid w:val="00110B91"/>
    <w:rsid w:val="00110C64"/>
    <w:rsid w:val="00110C6F"/>
    <w:rsid w:val="00110CA7"/>
    <w:rsid w:val="00110E64"/>
    <w:rsid w:val="00110F57"/>
    <w:rsid w:val="00111074"/>
    <w:rsid w:val="001110BF"/>
    <w:rsid w:val="001111BC"/>
    <w:rsid w:val="001111ED"/>
    <w:rsid w:val="0011127B"/>
    <w:rsid w:val="001112DE"/>
    <w:rsid w:val="0011139F"/>
    <w:rsid w:val="001113E6"/>
    <w:rsid w:val="0011149D"/>
    <w:rsid w:val="001114A7"/>
    <w:rsid w:val="001114D0"/>
    <w:rsid w:val="00111624"/>
    <w:rsid w:val="00111634"/>
    <w:rsid w:val="00111715"/>
    <w:rsid w:val="00111769"/>
    <w:rsid w:val="001117D2"/>
    <w:rsid w:val="00111AD0"/>
    <w:rsid w:val="00111AD8"/>
    <w:rsid w:val="00111B5F"/>
    <w:rsid w:val="00111C1A"/>
    <w:rsid w:val="00111D35"/>
    <w:rsid w:val="00111F1A"/>
    <w:rsid w:val="00112028"/>
    <w:rsid w:val="001120F1"/>
    <w:rsid w:val="00112138"/>
    <w:rsid w:val="001121BD"/>
    <w:rsid w:val="001121EF"/>
    <w:rsid w:val="001122A3"/>
    <w:rsid w:val="001122C9"/>
    <w:rsid w:val="00112370"/>
    <w:rsid w:val="001124A3"/>
    <w:rsid w:val="00112508"/>
    <w:rsid w:val="001125C3"/>
    <w:rsid w:val="00112652"/>
    <w:rsid w:val="001126AC"/>
    <w:rsid w:val="001126C7"/>
    <w:rsid w:val="001126F3"/>
    <w:rsid w:val="00112705"/>
    <w:rsid w:val="0011278F"/>
    <w:rsid w:val="0011283F"/>
    <w:rsid w:val="00112A19"/>
    <w:rsid w:val="00112A88"/>
    <w:rsid w:val="00112B90"/>
    <w:rsid w:val="00112CD3"/>
    <w:rsid w:val="00112D0C"/>
    <w:rsid w:val="00112D1F"/>
    <w:rsid w:val="00112D46"/>
    <w:rsid w:val="00112DC6"/>
    <w:rsid w:val="00112EE3"/>
    <w:rsid w:val="00112F4F"/>
    <w:rsid w:val="00113000"/>
    <w:rsid w:val="0011301E"/>
    <w:rsid w:val="00113171"/>
    <w:rsid w:val="0011320B"/>
    <w:rsid w:val="00113219"/>
    <w:rsid w:val="00113241"/>
    <w:rsid w:val="0011328B"/>
    <w:rsid w:val="00113292"/>
    <w:rsid w:val="001132B8"/>
    <w:rsid w:val="001133B2"/>
    <w:rsid w:val="001133F7"/>
    <w:rsid w:val="00113422"/>
    <w:rsid w:val="001137A3"/>
    <w:rsid w:val="00113856"/>
    <w:rsid w:val="00113875"/>
    <w:rsid w:val="0011387A"/>
    <w:rsid w:val="001139A4"/>
    <w:rsid w:val="001139DE"/>
    <w:rsid w:val="001139FB"/>
    <w:rsid w:val="00113A12"/>
    <w:rsid w:val="00113E6B"/>
    <w:rsid w:val="00113ED6"/>
    <w:rsid w:val="00113F42"/>
    <w:rsid w:val="00113F83"/>
    <w:rsid w:val="00113F90"/>
    <w:rsid w:val="00113FCF"/>
    <w:rsid w:val="00114061"/>
    <w:rsid w:val="00114100"/>
    <w:rsid w:val="001141F0"/>
    <w:rsid w:val="0011424B"/>
    <w:rsid w:val="0011427A"/>
    <w:rsid w:val="001144EF"/>
    <w:rsid w:val="0011453F"/>
    <w:rsid w:val="001145A3"/>
    <w:rsid w:val="00114850"/>
    <w:rsid w:val="0011485C"/>
    <w:rsid w:val="001148B8"/>
    <w:rsid w:val="001148DA"/>
    <w:rsid w:val="00114AB2"/>
    <w:rsid w:val="00114BCA"/>
    <w:rsid w:val="00114BFD"/>
    <w:rsid w:val="00114C60"/>
    <w:rsid w:val="00114D9B"/>
    <w:rsid w:val="00114E08"/>
    <w:rsid w:val="00114F65"/>
    <w:rsid w:val="00115025"/>
    <w:rsid w:val="00115029"/>
    <w:rsid w:val="00115040"/>
    <w:rsid w:val="001150B8"/>
    <w:rsid w:val="00115134"/>
    <w:rsid w:val="00115183"/>
    <w:rsid w:val="001151D2"/>
    <w:rsid w:val="001151DF"/>
    <w:rsid w:val="001151EE"/>
    <w:rsid w:val="0011522A"/>
    <w:rsid w:val="001152F6"/>
    <w:rsid w:val="001152FB"/>
    <w:rsid w:val="00115355"/>
    <w:rsid w:val="0011538B"/>
    <w:rsid w:val="00115398"/>
    <w:rsid w:val="001153FE"/>
    <w:rsid w:val="00115545"/>
    <w:rsid w:val="00115836"/>
    <w:rsid w:val="001159A8"/>
    <w:rsid w:val="001159FC"/>
    <w:rsid w:val="00115A82"/>
    <w:rsid w:val="00115CE8"/>
    <w:rsid w:val="00115D1A"/>
    <w:rsid w:val="00115D4F"/>
    <w:rsid w:val="00115DE7"/>
    <w:rsid w:val="00115F55"/>
    <w:rsid w:val="00115F7C"/>
    <w:rsid w:val="00115F93"/>
    <w:rsid w:val="00115FD4"/>
    <w:rsid w:val="001160B8"/>
    <w:rsid w:val="001160DE"/>
    <w:rsid w:val="00116219"/>
    <w:rsid w:val="00116295"/>
    <w:rsid w:val="0011635A"/>
    <w:rsid w:val="0011662A"/>
    <w:rsid w:val="00116703"/>
    <w:rsid w:val="00116714"/>
    <w:rsid w:val="001167EF"/>
    <w:rsid w:val="00116815"/>
    <w:rsid w:val="00116869"/>
    <w:rsid w:val="0011689C"/>
    <w:rsid w:val="0011694F"/>
    <w:rsid w:val="00116B69"/>
    <w:rsid w:val="00116C17"/>
    <w:rsid w:val="00116C24"/>
    <w:rsid w:val="00116C61"/>
    <w:rsid w:val="00116F57"/>
    <w:rsid w:val="001170F0"/>
    <w:rsid w:val="00117137"/>
    <w:rsid w:val="00117205"/>
    <w:rsid w:val="00117233"/>
    <w:rsid w:val="001173AC"/>
    <w:rsid w:val="001173AD"/>
    <w:rsid w:val="001173E0"/>
    <w:rsid w:val="00117440"/>
    <w:rsid w:val="001176F0"/>
    <w:rsid w:val="001177AE"/>
    <w:rsid w:val="001177C7"/>
    <w:rsid w:val="0011780D"/>
    <w:rsid w:val="001178AA"/>
    <w:rsid w:val="001178C2"/>
    <w:rsid w:val="0011799E"/>
    <w:rsid w:val="00117A3F"/>
    <w:rsid w:val="00117ACD"/>
    <w:rsid w:val="00117B56"/>
    <w:rsid w:val="00117D4D"/>
    <w:rsid w:val="00117E1E"/>
    <w:rsid w:val="00117E37"/>
    <w:rsid w:val="00117F54"/>
    <w:rsid w:val="00117FB5"/>
    <w:rsid w:val="0012001B"/>
    <w:rsid w:val="0012004C"/>
    <w:rsid w:val="001200AC"/>
    <w:rsid w:val="00120156"/>
    <w:rsid w:val="0012019C"/>
    <w:rsid w:val="001201C9"/>
    <w:rsid w:val="00120249"/>
    <w:rsid w:val="00120252"/>
    <w:rsid w:val="00120338"/>
    <w:rsid w:val="00120348"/>
    <w:rsid w:val="00120594"/>
    <w:rsid w:val="00120654"/>
    <w:rsid w:val="00120739"/>
    <w:rsid w:val="001208EE"/>
    <w:rsid w:val="001208F7"/>
    <w:rsid w:val="00120A2E"/>
    <w:rsid w:val="00120ABD"/>
    <w:rsid w:val="00120AD1"/>
    <w:rsid w:val="00120B16"/>
    <w:rsid w:val="00120B66"/>
    <w:rsid w:val="00120B80"/>
    <w:rsid w:val="00120D52"/>
    <w:rsid w:val="00120DA9"/>
    <w:rsid w:val="00120F9C"/>
    <w:rsid w:val="00121016"/>
    <w:rsid w:val="001210C9"/>
    <w:rsid w:val="001210EC"/>
    <w:rsid w:val="001211F8"/>
    <w:rsid w:val="0012125C"/>
    <w:rsid w:val="0012129E"/>
    <w:rsid w:val="00121473"/>
    <w:rsid w:val="0012155E"/>
    <w:rsid w:val="0012159F"/>
    <w:rsid w:val="001215BD"/>
    <w:rsid w:val="001216F5"/>
    <w:rsid w:val="00121795"/>
    <w:rsid w:val="00121A26"/>
    <w:rsid w:val="00121AAF"/>
    <w:rsid w:val="00121B61"/>
    <w:rsid w:val="00121BE7"/>
    <w:rsid w:val="00121C42"/>
    <w:rsid w:val="00121CA2"/>
    <w:rsid w:val="00121CB8"/>
    <w:rsid w:val="00121D8C"/>
    <w:rsid w:val="00121DAE"/>
    <w:rsid w:val="00121E50"/>
    <w:rsid w:val="00121E6B"/>
    <w:rsid w:val="00121ED5"/>
    <w:rsid w:val="00122047"/>
    <w:rsid w:val="001220C4"/>
    <w:rsid w:val="001221B3"/>
    <w:rsid w:val="0012243B"/>
    <w:rsid w:val="00122833"/>
    <w:rsid w:val="00122882"/>
    <w:rsid w:val="00122B67"/>
    <w:rsid w:val="00122BA2"/>
    <w:rsid w:val="00122BF0"/>
    <w:rsid w:val="00122BF9"/>
    <w:rsid w:val="00122C51"/>
    <w:rsid w:val="00122C65"/>
    <w:rsid w:val="00122CCB"/>
    <w:rsid w:val="00122D30"/>
    <w:rsid w:val="00122F04"/>
    <w:rsid w:val="00122F22"/>
    <w:rsid w:val="00122F4E"/>
    <w:rsid w:val="00122F75"/>
    <w:rsid w:val="0012318E"/>
    <w:rsid w:val="0012320C"/>
    <w:rsid w:val="0012328F"/>
    <w:rsid w:val="00123344"/>
    <w:rsid w:val="0012334F"/>
    <w:rsid w:val="00123458"/>
    <w:rsid w:val="00123640"/>
    <w:rsid w:val="00123760"/>
    <w:rsid w:val="001237A4"/>
    <w:rsid w:val="00123810"/>
    <w:rsid w:val="001238BF"/>
    <w:rsid w:val="001238EA"/>
    <w:rsid w:val="00123923"/>
    <w:rsid w:val="0012397C"/>
    <w:rsid w:val="00123A8C"/>
    <w:rsid w:val="00123A90"/>
    <w:rsid w:val="00123A95"/>
    <w:rsid w:val="00123B28"/>
    <w:rsid w:val="00123B38"/>
    <w:rsid w:val="00123E9A"/>
    <w:rsid w:val="00123EAF"/>
    <w:rsid w:val="00123FC2"/>
    <w:rsid w:val="00123FDB"/>
    <w:rsid w:val="0012429D"/>
    <w:rsid w:val="00124440"/>
    <w:rsid w:val="0012446B"/>
    <w:rsid w:val="001244F9"/>
    <w:rsid w:val="00124793"/>
    <w:rsid w:val="001247F0"/>
    <w:rsid w:val="0012483B"/>
    <w:rsid w:val="0012495C"/>
    <w:rsid w:val="001249E0"/>
    <w:rsid w:val="001249E9"/>
    <w:rsid w:val="001249EC"/>
    <w:rsid w:val="00124A38"/>
    <w:rsid w:val="00124A6D"/>
    <w:rsid w:val="00124B01"/>
    <w:rsid w:val="00124BD6"/>
    <w:rsid w:val="00124D23"/>
    <w:rsid w:val="00124DDF"/>
    <w:rsid w:val="00124E6D"/>
    <w:rsid w:val="00124E7A"/>
    <w:rsid w:val="00124E91"/>
    <w:rsid w:val="00124EB9"/>
    <w:rsid w:val="00124F3D"/>
    <w:rsid w:val="00125041"/>
    <w:rsid w:val="001251AF"/>
    <w:rsid w:val="0012524C"/>
    <w:rsid w:val="0012524D"/>
    <w:rsid w:val="00125279"/>
    <w:rsid w:val="00125355"/>
    <w:rsid w:val="00125581"/>
    <w:rsid w:val="001255F3"/>
    <w:rsid w:val="00125623"/>
    <w:rsid w:val="00125691"/>
    <w:rsid w:val="0012575E"/>
    <w:rsid w:val="0012597C"/>
    <w:rsid w:val="00125A70"/>
    <w:rsid w:val="00125C89"/>
    <w:rsid w:val="00125C97"/>
    <w:rsid w:val="00125D23"/>
    <w:rsid w:val="00125DA5"/>
    <w:rsid w:val="00125DC1"/>
    <w:rsid w:val="00125DEC"/>
    <w:rsid w:val="00125EBB"/>
    <w:rsid w:val="00125FC4"/>
    <w:rsid w:val="00125FDB"/>
    <w:rsid w:val="00126331"/>
    <w:rsid w:val="0012641B"/>
    <w:rsid w:val="00126448"/>
    <w:rsid w:val="00126533"/>
    <w:rsid w:val="00126609"/>
    <w:rsid w:val="00126690"/>
    <w:rsid w:val="00126701"/>
    <w:rsid w:val="00126758"/>
    <w:rsid w:val="001268EF"/>
    <w:rsid w:val="001269C4"/>
    <w:rsid w:val="00126C4D"/>
    <w:rsid w:val="00126C8D"/>
    <w:rsid w:val="00126D56"/>
    <w:rsid w:val="00126DE4"/>
    <w:rsid w:val="00126DFF"/>
    <w:rsid w:val="00126E16"/>
    <w:rsid w:val="00126E9D"/>
    <w:rsid w:val="00126F34"/>
    <w:rsid w:val="00126F50"/>
    <w:rsid w:val="00127059"/>
    <w:rsid w:val="0012705A"/>
    <w:rsid w:val="0012718F"/>
    <w:rsid w:val="001271E1"/>
    <w:rsid w:val="0012729C"/>
    <w:rsid w:val="0012730C"/>
    <w:rsid w:val="0012740C"/>
    <w:rsid w:val="001274EF"/>
    <w:rsid w:val="001275D0"/>
    <w:rsid w:val="0012768D"/>
    <w:rsid w:val="00127729"/>
    <w:rsid w:val="00127A6E"/>
    <w:rsid w:val="00127AE9"/>
    <w:rsid w:val="00127B31"/>
    <w:rsid w:val="00127B8A"/>
    <w:rsid w:val="00127B92"/>
    <w:rsid w:val="00127BC9"/>
    <w:rsid w:val="00127BE0"/>
    <w:rsid w:val="00127BFA"/>
    <w:rsid w:val="00127C4A"/>
    <w:rsid w:val="00127DC5"/>
    <w:rsid w:val="00127DD8"/>
    <w:rsid w:val="00127DE8"/>
    <w:rsid w:val="00127E7E"/>
    <w:rsid w:val="00127EBE"/>
    <w:rsid w:val="0013003C"/>
    <w:rsid w:val="00130040"/>
    <w:rsid w:val="00130124"/>
    <w:rsid w:val="00130186"/>
    <w:rsid w:val="001301B2"/>
    <w:rsid w:val="001301C1"/>
    <w:rsid w:val="001301D0"/>
    <w:rsid w:val="0013028E"/>
    <w:rsid w:val="001303CB"/>
    <w:rsid w:val="00130540"/>
    <w:rsid w:val="00130656"/>
    <w:rsid w:val="00130666"/>
    <w:rsid w:val="0013067F"/>
    <w:rsid w:val="0013093F"/>
    <w:rsid w:val="00130984"/>
    <w:rsid w:val="00130A7C"/>
    <w:rsid w:val="00130ABA"/>
    <w:rsid w:val="00130AED"/>
    <w:rsid w:val="00130B41"/>
    <w:rsid w:val="00130C16"/>
    <w:rsid w:val="00130DA4"/>
    <w:rsid w:val="00130E4A"/>
    <w:rsid w:val="00130E5F"/>
    <w:rsid w:val="00130E72"/>
    <w:rsid w:val="00130ED6"/>
    <w:rsid w:val="00130F60"/>
    <w:rsid w:val="00130F6E"/>
    <w:rsid w:val="00130F81"/>
    <w:rsid w:val="00131173"/>
    <w:rsid w:val="00131192"/>
    <w:rsid w:val="0013119A"/>
    <w:rsid w:val="00131212"/>
    <w:rsid w:val="001312ED"/>
    <w:rsid w:val="00131321"/>
    <w:rsid w:val="001313A7"/>
    <w:rsid w:val="00131596"/>
    <w:rsid w:val="001315F3"/>
    <w:rsid w:val="00131604"/>
    <w:rsid w:val="0013160A"/>
    <w:rsid w:val="001316BB"/>
    <w:rsid w:val="001316DF"/>
    <w:rsid w:val="001317E7"/>
    <w:rsid w:val="00131901"/>
    <w:rsid w:val="0013195A"/>
    <w:rsid w:val="00131A04"/>
    <w:rsid w:val="00131B81"/>
    <w:rsid w:val="00131B8F"/>
    <w:rsid w:val="00131CAD"/>
    <w:rsid w:val="00131CEE"/>
    <w:rsid w:val="00131DAC"/>
    <w:rsid w:val="00131DBE"/>
    <w:rsid w:val="00131E00"/>
    <w:rsid w:val="00131E16"/>
    <w:rsid w:val="00131EA5"/>
    <w:rsid w:val="00131EC1"/>
    <w:rsid w:val="00131EC7"/>
    <w:rsid w:val="00131ECF"/>
    <w:rsid w:val="00131FAD"/>
    <w:rsid w:val="00131FF8"/>
    <w:rsid w:val="00132092"/>
    <w:rsid w:val="0013209D"/>
    <w:rsid w:val="001320A9"/>
    <w:rsid w:val="001320F7"/>
    <w:rsid w:val="00132199"/>
    <w:rsid w:val="001321DD"/>
    <w:rsid w:val="00132244"/>
    <w:rsid w:val="001324E5"/>
    <w:rsid w:val="0013258C"/>
    <w:rsid w:val="001325A9"/>
    <w:rsid w:val="00132719"/>
    <w:rsid w:val="001327D7"/>
    <w:rsid w:val="001327F4"/>
    <w:rsid w:val="001329AD"/>
    <w:rsid w:val="00132A1B"/>
    <w:rsid w:val="00132A56"/>
    <w:rsid w:val="00132B26"/>
    <w:rsid w:val="00132B5F"/>
    <w:rsid w:val="00132D0E"/>
    <w:rsid w:val="00132D27"/>
    <w:rsid w:val="00132DFB"/>
    <w:rsid w:val="00132EE1"/>
    <w:rsid w:val="00132F64"/>
    <w:rsid w:val="00132FB0"/>
    <w:rsid w:val="0013310B"/>
    <w:rsid w:val="001333BF"/>
    <w:rsid w:val="001333ED"/>
    <w:rsid w:val="00133458"/>
    <w:rsid w:val="00133722"/>
    <w:rsid w:val="0013378A"/>
    <w:rsid w:val="001337D6"/>
    <w:rsid w:val="0013385D"/>
    <w:rsid w:val="0013397F"/>
    <w:rsid w:val="00133A07"/>
    <w:rsid w:val="00133A72"/>
    <w:rsid w:val="00133B15"/>
    <w:rsid w:val="00133B40"/>
    <w:rsid w:val="00133B7D"/>
    <w:rsid w:val="00133B88"/>
    <w:rsid w:val="00133C10"/>
    <w:rsid w:val="00133C17"/>
    <w:rsid w:val="00134091"/>
    <w:rsid w:val="001340FA"/>
    <w:rsid w:val="00134120"/>
    <w:rsid w:val="0013414B"/>
    <w:rsid w:val="00134180"/>
    <w:rsid w:val="0013421A"/>
    <w:rsid w:val="00134328"/>
    <w:rsid w:val="00134336"/>
    <w:rsid w:val="001343C8"/>
    <w:rsid w:val="001343DC"/>
    <w:rsid w:val="001347A7"/>
    <w:rsid w:val="00134BB9"/>
    <w:rsid w:val="00134BBE"/>
    <w:rsid w:val="00134BF3"/>
    <w:rsid w:val="00134CD4"/>
    <w:rsid w:val="00134DBF"/>
    <w:rsid w:val="0013501F"/>
    <w:rsid w:val="001350B5"/>
    <w:rsid w:val="001350D6"/>
    <w:rsid w:val="00135189"/>
    <w:rsid w:val="001351A2"/>
    <w:rsid w:val="001352ED"/>
    <w:rsid w:val="00135324"/>
    <w:rsid w:val="0013536F"/>
    <w:rsid w:val="001354AA"/>
    <w:rsid w:val="0013589C"/>
    <w:rsid w:val="0013593F"/>
    <w:rsid w:val="00135953"/>
    <w:rsid w:val="001359DC"/>
    <w:rsid w:val="00135A74"/>
    <w:rsid w:val="00135A7F"/>
    <w:rsid w:val="00135A82"/>
    <w:rsid w:val="00135A8B"/>
    <w:rsid w:val="00135BBE"/>
    <w:rsid w:val="00135BDB"/>
    <w:rsid w:val="00135CAB"/>
    <w:rsid w:val="00135CBC"/>
    <w:rsid w:val="00135CEA"/>
    <w:rsid w:val="00135D82"/>
    <w:rsid w:val="00135D8E"/>
    <w:rsid w:val="00135F78"/>
    <w:rsid w:val="00135FAD"/>
    <w:rsid w:val="00135FE6"/>
    <w:rsid w:val="0013606A"/>
    <w:rsid w:val="001360C6"/>
    <w:rsid w:val="001360FD"/>
    <w:rsid w:val="001361B3"/>
    <w:rsid w:val="001361CB"/>
    <w:rsid w:val="001361CD"/>
    <w:rsid w:val="001362C4"/>
    <w:rsid w:val="00136330"/>
    <w:rsid w:val="0013638F"/>
    <w:rsid w:val="0013642E"/>
    <w:rsid w:val="0013648D"/>
    <w:rsid w:val="001364F9"/>
    <w:rsid w:val="0013654F"/>
    <w:rsid w:val="0013667D"/>
    <w:rsid w:val="00136683"/>
    <w:rsid w:val="001366A5"/>
    <w:rsid w:val="001366B8"/>
    <w:rsid w:val="001366F9"/>
    <w:rsid w:val="0013674F"/>
    <w:rsid w:val="001369A6"/>
    <w:rsid w:val="001369D7"/>
    <w:rsid w:val="00136A02"/>
    <w:rsid w:val="00136A3B"/>
    <w:rsid w:val="00136B3C"/>
    <w:rsid w:val="00136BF3"/>
    <w:rsid w:val="00136C4D"/>
    <w:rsid w:val="00136CD3"/>
    <w:rsid w:val="00136DB0"/>
    <w:rsid w:val="00136DD8"/>
    <w:rsid w:val="00136E7A"/>
    <w:rsid w:val="00136F39"/>
    <w:rsid w:val="00136F44"/>
    <w:rsid w:val="00136F4F"/>
    <w:rsid w:val="0013707E"/>
    <w:rsid w:val="0013719A"/>
    <w:rsid w:val="00137256"/>
    <w:rsid w:val="00137316"/>
    <w:rsid w:val="00137355"/>
    <w:rsid w:val="001373F2"/>
    <w:rsid w:val="00137476"/>
    <w:rsid w:val="0013748D"/>
    <w:rsid w:val="00137529"/>
    <w:rsid w:val="001375B5"/>
    <w:rsid w:val="00137674"/>
    <w:rsid w:val="0013784A"/>
    <w:rsid w:val="0013786B"/>
    <w:rsid w:val="00137972"/>
    <w:rsid w:val="00137B3C"/>
    <w:rsid w:val="00137B69"/>
    <w:rsid w:val="00137B82"/>
    <w:rsid w:val="00137F06"/>
    <w:rsid w:val="00137FE4"/>
    <w:rsid w:val="00140067"/>
    <w:rsid w:val="001400CA"/>
    <w:rsid w:val="00140107"/>
    <w:rsid w:val="00140167"/>
    <w:rsid w:val="0014021D"/>
    <w:rsid w:val="0014028D"/>
    <w:rsid w:val="00140292"/>
    <w:rsid w:val="0014037F"/>
    <w:rsid w:val="001404A8"/>
    <w:rsid w:val="00140567"/>
    <w:rsid w:val="001406E1"/>
    <w:rsid w:val="00140753"/>
    <w:rsid w:val="00140809"/>
    <w:rsid w:val="00140919"/>
    <w:rsid w:val="001409EB"/>
    <w:rsid w:val="00140A01"/>
    <w:rsid w:val="00140BA3"/>
    <w:rsid w:val="00140C99"/>
    <w:rsid w:val="00140CAC"/>
    <w:rsid w:val="00140CF1"/>
    <w:rsid w:val="00140DCE"/>
    <w:rsid w:val="00140DD4"/>
    <w:rsid w:val="00140E20"/>
    <w:rsid w:val="00140FB4"/>
    <w:rsid w:val="00140FC0"/>
    <w:rsid w:val="00140FDB"/>
    <w:rsid w:val="00140FDC"/>
    <w:rsid w:val="0014102F"/>
    <w:rsid w:val="0014113F"/>
    <w:rsid w:val="0014117F"/>
    <w:rsid w:val="00141266"/>
    <w:rsid w:val="00141326"/>
    <w:rsid w:val="00141367"/>
    <w:rsid w:val="001413B0"/>
    <w:rsid w:val="00141431"/>
    <w:rsid w:val="001415FE"/>
    <w:rsid w:val="00141688"/>
    <w:rsid w:val="0014184A"/>
    <w:rsid w:val="00141997"/>
    <w:rsid w:val="00141A48"/>
    <w:rsid w:val="00141B19"/>
    <w:rsid w:val="00141C71"/>
    <w:rsid w:val="00141C79"/>
    <w:rsid w:val="00141CAD"/>
    <w:rsid w:val="00141D33"/>
    <w:rsid w:val="00141D65"/>
    <w:rsid w:val="00141DF0"/>
    <w:rsid w:val="00141DF9"/>
    <w:rsid w:val="00141FC2"/>
    <w:rsid w:val="001422B5"/>
    <w:rsid w:val="00142356"/>
    <w:rsid w:val="00142394"/>
    <w:rsid w:val="00142478"/>
    <w:rsid w:val="0014247D"/>
    <w:rsid w:val="001425AD"/>
    <w:rsid w:val="001425E8"/>
    <w:rsid w:val="00142716"/>
    <w:rsid w:val="0014277D"/>
    <w:rsid w:val="001428F7"/>
    <w:rsid w:val="00142936"/>
    <w:rsid w:val="0014295E"/>
    <w:rsid w:val="001429D9"/>
    <w:rsid w:val="00142A67"/>
    <w:rsid w:val="00142C4F"/>
    <w:rsid w:val="00142CD4"/>
    <w:rsid w:val="00142D84"/>
    <w:rsid w:val="00142E2B"/>
    <w:rsid w:val="00142E7C"/>
    <w:rsid w:val="00142EC7"/>
    <w:rsid w:val="00142F3A"/>
    <w:rsid w:val="00142F68"/>
    <w:rsid w:val="00142FAA"/>
    <w:rsid w:val="00143135"/>
    <w:rsid w:val="00143329"/>
    <w:rsid w:val="0014335B"/>
    <w:rsid w:val="0014339F"/>
    <w:rsid w:val="001433DC"/>
    <w:rsid w:val="00143461"/>
    <w:rsid w:val="00143516"/>
    <w:rsid w:val="00143630"/>
    <w:rsid w:val="0014378B"/>
    <w:rsid w:val="001437B4"/>
    <w:rsid w:val="001437D7"/>
    <w:rsid w:val="001437F3"/>
    <w:rsid w:val="0014383C"/>
    <w:rsid w:val="001438A4"/>
    <w:rsid w:val="001438E0"/>
    <w:rsid w:val="00143914"/>
    <w:rsid w:val="00143A55"/>
    <w:rsid w:val="00143B02"/>
    <w:rsid w:val="00143BFE"/>
    <w:rsid w:val="00143C5F"/>
    <w:rsid w:val="00143D1F"/>
    <w:rsid w:val="00143E6E"/>
    <w:rsid w:val="00143EEE"/>
    <w:rsid w:val="00143EF4"/>
    <w:rsid w:val="00143F1F"/>
    <w:rsid w:val="00143F46"/>
    <w:rsid w:val="00143F79"/>
    <w:rsid w:val="001440D6"/>
    <w:rsid w:val="001441CF"/>
    <w:rsid w:val="001441FC"/>
    <w:rsid w:val="0014431D"/>
    <w:rsid w:val="00144369"/>
    <w:rsid w:val="0014448C"/>
    <w:rsid w:val="0014450C"/>
    <w:rsid w:val="0014456B"/>
    <w:rsid w:val="00144684"/>
    <w:rsid w:val="001446AD"/>
    <w:rsid w:val="0014474F"/>
    <w:rsid w:val="0014478E"/>
    <w:rsid w:val="001447F5"/>
    <w:rsid w:val="00144804"/>
    <w:rsid w:val="001448CC"/>
    <w:rsid w:val="00144AF5"/>
    <w:rsid w:val="00144B2D"/>
    <w:rsid w:val="00144C91"/>
    <w:rsid w:val="00144F65"/>
    <w:rsid w:val="00145021"/>
    <w:rsid w:val="001450A5"/>
    <w:rsid w:val="001451EA"/>
    <w:rsid w:val="0014526B"/>
    <w:rsid w:val="001453CB"/>
    <w:rsid w:val="001454FA"/>
    <w:rsid w:val="00145533"/>
    <w:rsid w:val="0014554A"/>
    <w:rsid w:val="001455DF"/>
    <w:rsid w:val="0014562E"/>
    <w:rsid w:val="00145718"/>
    <w:rsid w:val="00145818"/>
    <w:rsid w:val="00145821"/>
    <w:rsid w:val="0014595B"/>
    <w:rsid w:val="00145AF0"/>
    <w:rsid w:val="00145C7D"/>
    <w:rsid w:val="00145CA9"/>
    <w:rsid w:val="00145CAD"/>
    <w:rsid w:val="00145CF9"/>
    <w:rsid w:val="00145D52"/>
    <w:rsid w:val="00145D77"/>
    <w:rsid w:val="00145DFA"/>
    <w:rsid w:val="00145E0D"/>
    <w:rsid w:val="00145E62"/>
    <w:rsid w:val="00145F18"/>
    <w:rsid w:val="00145F29"/>
    <w:rsid w:val="00145F8A"/>
    <w:rsid w:val="00145FE6"/>
    <w:rsid w:val="0014600D"/>
    <w:rsid w:val="001461FC"/>
    <w:rsid w:val="00146265"/>
    <w:rsid w:val="00146416"/>
    <w:rsid w:val="001465A4"/>
    <w:rsid w:val="001465F0"/>
    <w:rsid w:val="00146672"/>
    <w:rsid w:val="001466E7"/>
    <w:rsid w:val="0014684D"/>
    <w:rsid w:val="00146952"/>
    <w:rsid w:val="00146957"/>
    <w:rsid w:val="00146995"/>
    <w:rsid w:val="001469AC"/>
    <w:rsid w:val="00146B57"/>
    <w:rsid w:val="00146BB9"/>
    <w:rsid w:val="00146BC4"/>
    <w:rsid w:val="00146C2C"/>
    <w:rsid w:val="00146DAA"/>
    <w:rsid w:val="00146E53"/>
    <w:rsid w:val="00146E8F"/>
    <w:rsid w:val="00146F98"/>
    <w:rsid w:val="00147097"/>
    <w:rsid w:val="0014721A"/>
    <w:rsid w:val="0014724F"/>
    <w:rsid w:val="001472A0"/>
    <w:rsid w:val="00147352"/>
    <w:rsid w:val="0014748B"/>
    <w:rsid w:val="001476DE"/>
    <w:rsid w:val="00147765"/>
    <w:rsid w:val="001477C8"/>
    <w:rsid w:val="00147867"/>
    <w:rsid w:val="001478A4"/>
    <w:rsid w:val="001478B5"/>
    <w:rsid w:val="001478C7"/>
    <w:rsid w:val="001478E2"/>
    <w:rsid w:val="001478EE"/>
    <w:rsid w:val="0014792C"/>
    <w:rsid w:val="0014797C"/>
    <w:rsid w:val="00147A26"/>
    <w:rsid w:val="00147C57"/>
    <w:rsid w:val="00147E29"/>
    <w:rsid w:val="00147EA7"/>
    <w:rsid w:val="00147ED2"/>
    <w:rsid w:val="00150120"/>
    <w:rsid w:val="001501AB"/>
    <w:rsid w:val="0015040F"/>
    <w:rsid w:val="00150427"/>
    <w:rsid w:val="001504F6"/>
    <w:rsid w:val="0015054F"/>
    <w:rsid w:val="001505F3"/>
    <w:rsid w:val="0015068F"/>
    <w:rsid w:val="001506F9"/>
    <w:rsid w:val="0015071E"/>
    <w:rsid w:val="001507B6"/>
    <w:rsid w:val="00150B23"/>
    <w:rsid w:val="00150B70"/>
    <w:rsid w:val="00150BC7"/>
    <w:rsid w:val="00150CE1"/>
    <w:rsid w:val="00150F1B"/>
    <w:rsid w:val="00150FDA"/>
    <w:rsid w:val="00150FDD"/>
    <w:rsid w:val="00151006"/>
    <w:rsid w:val="00151091"/>
    <w:rsid w:val="001510D7"/>
    <w:rsid w:val="00151196"/>
    <w:rsid w:val="001511E5"/>
    <w:rsid w:val="0015137E"/>
    <w:rsid w:val="001513DA"/>
    <w:rsid w:val="00151498"/>
    <w:rsid w:val="001514D0"/>
    <w:rsid w:val="001514FE"/>
    <w:rsid w:val="00151515"/>
    <w:rsid w:val="0015159A"/>
    <w:rsid w:val="00151693"/>
    <w:rsid w:val="001516CD"/>
    <w:rsid w:val="00151709"/>
    <w:rsid w:val="0015175F"/>
    <w:rsid w:val="001517FC"/>
    <w:rsid w:val="00151851"/>
    <w:rsid w:val="00151895"/>
    <w:rsid w:val="00151897"/>
    <w:rsid w:val="0015189B"/>
    <w:rsid w:val="001518D0"/>
    <w:rsid w:val="00151938"/>
    <w:rsid w:val="00151AE0"/>
    <w:rsid w:val="00151B92"/>
    <w:rsid w:val="00151BC9"/>
    <w:rsid w:val="00151C92"/>
    <w:rsid w:val="00151CCA"/>
    <w:rsid w:val="00151D8F"/>
    <w:rsid w:val="00151E90"/>
    <w:rsid w:val="00151ECC"/>
    <w:rsid w:val="0015204B"/>
    <w:rsid w:val="001520B9"/>
    <w:rsid w:val="00152161"/>
    <w:rsid w:val="001521D9"/>
    <w:rsid w:val="001522A3"/>
    <w:rsid w:val="001525B3"/>
    <w:rsid w:val="001525C0"/>
    <w:rsid w:val="001525CD"/>
    <w:rsid w:val="00152693"/>
    <w:rsid w:val="00152749"/>
    <w:rsid w:val="0015282B"/>
    <w:rsid w:val="001528D0"/>
    <w:rsid w:val="00152978"/>
    <w:rsid w:val="00152A7C"/>
    <w:rsid w:val="00152ABA"/>
    <w:rsid w:val="00152AD2"/>
    <w:rsid w:val="00152BB4"/>
    <w:rsid w:val="00152C45"/>
    <w:rsid w:val="00152C55"/>
    <w:rsid w:val="00152C5D"/>
    <w:rsid w:val="00152C9F"/>
    <w:rsid w:val="00152CD5"/>
    <w:rsid w:val="00152D83"/>
    <w:rsid w:val="00152DBE"/>
    <w:rsid w:val="00153010"/>
    <w:rsid w:val="0015302D"/>
    <w:rsid w:val="00153078"/>
    <w:rsid w:val="001530C3"/>
    <w:rsid w:val="00153109"/>
    <w:rsid w:val="0015314C"/>
    <w:rsid w:val="00153224"/>
    <w:rsid w:val="00153247"/>
    <w:rsid w:val="00153260"/>
    <w:rsid w:val="001532A0"/>
    <w:rsid w:val="00153317"/>
    <w:rsid w:val="00153427"/>
    <w:rsid w:val="001534EF"/>
    <w:rsid w:val="001535BE"/>
    <w:rsid w:val="001535D0"/>
    <w:rsid w:val="00153657"/>
    <w:rsid w:val="00153693"/>
    <w:rsid w:val="0015373F"/>
    <w:rsid w:val="00153740"/>
    <w:rsid w:val="00153878"/>
    <w:rsid w:val="00153964"/>
    <w:rsid w:val="001539DB"/>
    <w:rsid w:val="00153B07"/>
    <w:rsid w:val="00153B3E"/>
    <w:rsid w:val="00153BA7"/>
    <w:rsid w:val="00153BCA"/>
    <w:rsid w:val="00153D0E"/>
    <w:rsid w:val="00153DAD"/>
    <w:rsid w:val="00153DC1"/>
    <w:rsid w:val="00153DCA"/>
    <w:rsid w:val="00153F4B"/>
    <w:rsid w:val="0015424A"/>
    <w:rsid w:val="0015438F"/>
    <w:rsid w:val="0015452C"/>
    <w:rsid w:val="00154699"/>
    <w:rsid w:val="001546D9"/>
    <w:rsid w:val="00154778"/>
    <w:rsid w:val="0015483D"/>
    <w:rsid w:val="00154921"/>
    <w:rsid w:val="001549E6"/>
    <w:rsid w:val="00154A20"/>
    <w:rsid w:val="00154AC3"/>
    <w:rsid w:val="00154B20"/>
    <w:rsid w:val="00154CCB"/>
    <w:rsid w:val="00154E66"/>
    <w:rsid w:val="00154E6B"/>
    <w:rsid w:val="00154EBC"/>
    <w:rsid w:val="00154EFA"/>
    <w:rsid w:val="0015505D"/>
    <w:rsid w:val="00155136"/>
    <w:rsid w:val="001551E5"/>
    <w:rsid w:val="001552AC"/>
    <w:rsid w:val="00155327"/>
    <w:rsid w:val="0015537C"/>
    <w:rsid w:val="00155435"/>
    <w:rsid w:val="0015547B"/>
    <w:rsid w:val="0015556A"/>
    <w:rsid w:val="0015559C"/>
    <w:rsid w:val="001556DD"/>
    <w:rsid w:val="00155784"/>
    <w:rsid w:val="001557A1"/>
    <w:rsid w:val="00155963"/>
    <w:rsid w:val="001559D5"/>
    <w:rsid w:val="00155A3F"/>
    <w:rsid w:val="00155AE5"/>
    <w:rsid w:val="00155B87"/>
    <w:rsid w:val="00155C9F"/>
    <w:rsid w:val="00155CCF"/>
    <w:rsid w:val="00155D8D"/>
    <w:rsid w:val="00155DB6"/>
    <w:rsid w:val="00155E5E"/>
    <w:rsid w:val="00155E6E"/>
    <w:rsid w:val="00155EA4"/>
    <w:rsid w:val="00155EB3"/>
    <w:rsid w:val="00155F62"/>
    <w:rsid w:val="00156147"/>
    <w:rsid w:val="001561F4"/>
    <w:rsid w:val="00156271"/>
    <w:rsid w:val="001562D7"/>
    <w:rsid w:val="00156309"/>
    <w:rsid w:val="0015633B"/>
    <w:rsid w:val="001563C8"/>
    <w:rsid w:val="00156428"/>
    <w:rsid w:val="001564A4"/>
    <w:rsid w:val="0015658B"/>
    <w:rsid w:val="0015685F"/>
    <w:rsid w:val="00156955"/>
    <w:rsid w:val="00156A18"/>
    <w:rsid w:val="00156ADB"/>
    <w:rsid w:val="00156C88"/>
    <w:rsid w:val="00156D37"/>
    <w:rsid w:val="00156D92"/>
    <w:rsid w:val="00156F1E"/>
    <w:rsid w:val="0015702D"/>
    <w:rsid w:val="001570F3"/>
    <w:rsid w:val="001570F7"/>
    <w:rsid w:val="001571C7"/>
    <w:rsid w:val="00157294"/>
    <w:rsid w:val="00157305"/>
    <w:rsid w:val="00157398"/>
    <w:rsid w:val="00157458"/>
    <w:rsid w:val="00157580"/>
    <w:rsid w:val="001575A6"/>
    <w:rsid w:val="001576ED"/>
    <w:rsid w:val="00157732"/>
    <w:rsid w:val="001577A2"/>
    <w:rsid w:val="001577C5"/>
    <w:rsid w:val="0015780A"/>
    <w:rsid w:val="0015785D"/>
    <w:rsid w:val="00157941"/>
    <w:rsid w:val="0015798F"/>
    <w:rsid w:val="00157A00"/>
    <w:rsid w:val="00157A97"/>
    <w:rsid w:val="00157AD6"/>
    <w:rsid w:val="00157CEC"/>
    <w:rsid w:val="00157DC4"/>
    <w:rsid w:val="00157DCC"/>
    <w:rsid w:val="00157F0B"/>
    <w:rsid w:val="00160132"/>
    <w:rsid w:val="001601AF"/>
    <w:rsid w:val="001601B9"/>
    <w:rsid w:val="001601BE"/>
    <w:rsid w:val="001601FB"/>
    <w:rsid w:val="001602CC"/>
    <w:rsid w:val="0016030A"/>
    <w:rsid w:val="00160488"/>
    <w:rsid w:val="00160609"/>
    <w:rsid w:val="00160689"/>
    <w:rsid w:val="0016084D"/>
    <w:rsid w:val="00160863"/>
    <w:rsid w:val="001608B4"/>
    <w:rsid w:val="00160936"/>
    <w:rsid w:val="001609EC"/>
    <w:rsid w:val="00160A49"/>
    <w:rsid w:val="00160C93"/>
    <w:rsid w:val="00160CC2"/>
    <w:rsid w:val="00160D71"/>
    <w:rsid w:val="00160DD9"/>
    <w:rsid w:val="00160E3B"/>
    <w:rsid w:val="00160E9E"/>
    <w:rsid w:val="00160F16"/>
    <w:rsid w:val="00160F27"/>
    <w:rsid w:val="00160F64"/>
    <w:rsid w:val="00160F96"/>
    <w:rsid w:val="00161023"/>
    <w:rsid w:val="00161037"/>
    <w:rsid w:val="00161174"/>
    <w:rsid w:val="0016120C"/>
    <w:rsid w:val="001613A0"/>
    <w:rsid w:val="00161488"/>
    <w:rsid w:val="001614B0"/>
    <w:rsid w:val="0016153A"/>
    <w:rsid w:val="001615F1"/>
    <w:rsid w:val="00161636"/>
    <w:rsid w:val="00161696"/>
    <w:rsid w:val="00161735"/>
    <w:rsid w:val="00161839"/>
    <w:rsid w:val="001618FA"/>
    <w:rsid w:val="001619A7"/>
    <w:rsid w:val="00161A47"/>
    <w:rsid w:val="00161A6D"/>
    <w:rsid w:val="00161B40"/>
    <w:rsid w:val="00161C44"/>
    <w:rsid w:val="00161CF5"/>
    <w:rsid w:val="00161EA7"/>
    <w:rsid w:val="00161F34"/>
    <w:rsid w:val="00161FF5"/>
    <w:rsid w:val="00162019"/>
    <w:rsid w:val="00162084"/>
    <w:rsid w:val="00162262"/>
    <w:rsid w:val="001623D7"/>
    <w:rsid w:val="001623E6"/>
    <w:rsid w:val="001624D4"/>
    <w:rsid w:val="001624F8"/>
    <w:rsid w:val="0016250F"/>
    <w:rsid w:val="00162592"/>
    <w:rsid w:val="00162680"/>
    <w:rsid w:val="001626CD"/>
    <w:rsid w:val="0016282B"/>
    <w:rsid w:val="00162999"/>
    <w:rsid w:val="001629B9"/>
    <w:rsid w:val="00162A12"/>
    <w:rsid w:val="00162A8F"/>
    <w:rsid w:val="00162AED"/>
    <w:rsid w:val="00162C39"/>
    <w:rsid w:val="00162C79"/>
    <w:rsid w:val="00162C9D"/>
    <w:rsid w:val="00162E09"/>
    <w:rsid w:val="00162E0C"/>
    <w:rsid w:val="00162E10"/>
    <w:rsid w:val="00162E22"/>
    <w:rsid w:val="00162E2F"/>
    <w:rsid w:val="00162F0D"/>
    <w:rsid w:val="00162F68"/>
    <w:rsid w:val="001631A3"/>
    <w:rsid w:val="00163330"/>
    <w:rsid w:val="00163369"/>
    <w:rsid w:val="00163413"/>
    <w:rsid w:val="00163558"/>
    <w:rsid w:val="00163582"/>
    <w:rsid w:val="001637F7"/>
    <w:rsid w:val="001637FD"/>
    <w:rsid w:val="0016384C"/>
    <w:rsid w:val="00163891"/>
    <w:rsid w:val="0016393A"/>
    <w:rsid w:val="00163ACB"/>
    <w:rsid w:val="00163B0E"/>
    <w:rsid w:val="00163D26"/>
    <w:rsid w:val="0016408F"/>
    <w:rsid w:val="0016417C"/>
    <w:rsid w:val="0016424C"/>
    <w:rsid w:val="001643D1"/>
    <w:rsid w:val="001643FD"/>
    <w:rsid w:val="001644A5"/>
    <w:rsid w:val="0016455F"/>
    <w:rsid w:val="001645C3"/>
    <w:rsid w:val="0016464E"/>
    <w:rsid w:val="001646D3"/>
    <w:rsid w:val="0016476E"/>
    <w:rsid w:val="001647CC"/>
    <w:rsid w:val="00164973"/>
    <w:rsid w:val="00164AB2"/>
    <w:rsid w:val="00164B98"/>
    <w:rsid w:val="00164C34"/>
    <w:rsid w:val="00164C4B"/>
    <w:rsid w:val="00164CAD"/>
    <w:rsid w:val="00164EB8"/>
    <w:rsid w:val="00164EC4"/>
    <w:rsid w:val="00165147"/>
    <w:rsid w:val="00165163"/>
    <w:rsid w:val="00165382"/>
    <w:rsid w:val="0016542C"/>
    <w:rsid w:val="001655AA"/>
    <w:rsid w:val="001656CC"/>
    <w:rsid w:val="001657B0"/>
    <w:rsid w:val="0016585E"/>
    <w:rsid w:val="00165871"/>
    <w:rsid w:val="00165890"/>
    <w:rsid w:val="001658BC"/>
    <w:rsid w:val="001659A0"/>
    <w:rsid w:val="001659FC"/>
    <w:rsid w:val="00165AB0"/>
    <w:rsid w:val="00165B6E"/>
    <w:rsid w:val="00165B75"/>
    <w:rsid w:val="00165B82"/>
    <w:rsid w:val="00165CB0"/>
    <w:rsid w:val="00165D5B"/>
    <w:rsid w:val="00165FD4"/>
    <w:rsid w:val="00165FD6"/>
    <w:rsid w:val="001660C8"/>
    <w:rsid w:val="001661EA"/>
    <w:rsid w:val="00166210"/>
    <w:rsid w:val="0016622B"/>
    <w:rsid w:val="00166310"/>
    <w:rsid w:val="001665EE"/>
    <w:rsid w:val="00166676"/>
    <w:rsid w:val="0016674C"/>
    <w:rsid w:val="001667E6"/>
    <w:rsid w:val="0016688B"/>
    <w:rsid w:val="00166971"/>
    <w:rsid w:val="001669D3"/>
    <w:rsid w:val="001669D8"/>
    <w:rsid w:val="00166AE4"/>
    <w:rsid w:val="00166B12"/>
    <w:rsid w:val="00166B39"/>
    <w:rsid w:val="00166B73"/>
    <w:rsid w:val="00166C6D"/>
    <w:rsid w:val="00166D82"/>
    <w:rsid w:val="00166D8C"/>
    <w:rsid w:val="00166DAD"/>
    <w:rsid w:val="00166DD1"/>
    <w:rsid w:val="00166F05"/>
    <w:rsid w:val="00166F5D"/>
    <w:rsid w:val="00166F9C"/>
    <w:rsid w:val="00167044"/>
    <w:rsid w:val="00167045"/>
    <w:rsid w:val="00167170"/>
    <w:rsid w:val="001672FE"/>
    <w:rsid w:val="0016732A"/>
    <w:rsid w:val="00167435"/>
    <w:rsid w:val="001675E7"/>
    <w:rsid w:val="001677BC"/>
    <w:rsid w:val="001678C2"/>
    <w:rsid w:val="001679D1"/>
    <w:rsid w:val="001679F8"/>
    <w:rsid w:val="00167A7C"/>
    <w:rsid w:val="00167AD7"/>
    <w:rsid w:val="00167C38"/>
    <w:rsid w:val="00167CC9"/>
    <w:rsid w:val="00167E39"/>
    <w:rsid w:val="00167EAF"/>
    <w:rsid w:val="00167ECD"/>
    <w:rsid w:val="00167F80"/>
    <w:rsid w:val="00167FCE"/>
    <w:rsid w:val="001700BB"/>
    <w:rsid w:val="001700F3"/>
    <w:rsid w:val="001701FE"/>
    <w:rsid w:val="0017036A"/>
    <w:rsid w:val="001703BA"/>
    <w:rsid w:val="00170444"/>
    <w:rsid w:val="00170588"/>
    <w:rsid w:val="001705E6"/>
    <w:rsid w:val="001705F5"/>
    <w:rsid w:val="001706E4"/>
    <w:rsid w:val="00170725"/>
    <w:rsid w:val="0017074B"/>
    <w:rsid w:val="00170763"/>
    <w:rsid w:val="00170920"/>
    <w:rsid w:val="00170982"/>
    <w:rsid w:val="00170B35"/>
    <w:rsid w:val="00170BA3"/>
    <w:rsid w:val="00170D06"/>
    <w:rsid w:val="00170DA7"/>
    <w:rsid w:val="00170E1C"/>
    <w:rsid w:val="00170EEA"/>
    <w:rsid w:val="00171098"/>
    <w:rsid w:val="00171109"/>
    <w:rsid w:val="0017112C"/>
    <w:rsid w:val="001712AC"/>
    <w:rsid w:val="001712BD"/>
    <w:rsid w:val="00171387"/>
    <w:rsid w:val="001713BC"/>
    <w:rsid w:val="001713D9"/>
    <w:rsid w:val="001713E1"/>
    <w:rsid w:val="001714EE"/>
    <w:rsid w:val="0017162A"/>
    <w:rsid w:val="00171664"/>
    <w:rsid w:val="001716CB"/>
    <w:rsid w:val="0017170F"/>
    <w:rsid w:val="001718B2"/>
    <w:rsid w:val="001718BC"/>
    <w:rsid w:val="00171A11"/>
    <w:rsid w:val="00171A15"/>
    <w:rsid w:val="00171CC7"/>
    <w:rsid w:val="00171CE0"/>
    <w:rsid w:val="00171CEF"/>
    <w:rsid w:val="00171DD3"/>
    <w:rsid w:val="00171E23"/>
    <w:rsid w:val="00171E9E"/>
    <w:rsid w:val="00171F87"/>
    <w:rsid w:val="00171FCE"/>
    <w:rsid w:val="00172354"/>
    <w:rsid w:val="0017235B"/>
    <w:rsid w:val="00172447"/>
    <w:rsid w:val="0017256A"/>
    <w:rsid w:val="001725E0"/>
    <w:rsid w:val="001725F2"/>
    <w:rsid w:val="00172613"/>
    <w:rsid w:val="0017269F"/>
    <w:rsid w:val="001726D1"/>
    <w:rsid w:val="00172706"/>
    <w:rsid w:val="0017275C"/>
    <w:rsid w:val="00172774"/>
    <w:rsid w:val="00172787"/>
    <w:rsid w:val="001727DB"/>
    <w:rsid w:val="00172822"/>
    <w:rsid w:val="00172843"/>
    <w:rsid w:val="0017285C"/>
    <w:rsid w:val="001729EA"/>
    <w:rsid w:val="00172D3D"/>
    <w:rsid w:val="00172D8F"/>
    <w:rsid w:val="00172DE4"/>
    <w:rsid w:val="00172EC8"/>
    <w:rsid w:val="00172F74"/>
    <w:rsid w:val="00172FFB"/>
    <w:rsid w:val="00173091"/>
    <w:rsid w:val="00173106"/>
    <w:rsid w:val="001733A5"/>
    <w:rsid w:val="001733F0"/>
    <w:rsid w:val="00173446"/>
    <w:rsid w:val="00173451"/>
    <w:rsid w:val="001734F8"/>
    <w:rsid w:val="00173584"/>
    <w:rsid w:val="0017371E"/>
    <w:rsid w:val="00173766"/>
    <w:rsid w:val="00173816"/>
    <w:rsid w:val="00173866"/>
    <w:rsid w:val="0017389D"/>
    <w:rsid w:val="00173B0A"/>
    <w:rsid w:val="00173B8C"/>
    <w:rsid w:val="00173C73"/>
    <w:rsid w:val="00173D46"/>
    <w:rsid w:val="00173D4D"/>
    <w:rsid w:val="00173E38"/>
    <w:rsid w:val="00173E60"/>
    <w:rsid w:val="00173EF6"/>
    <w:rsid w:val="00173EFD"/>
    <w:rsid w:val="001742B7"/>
    <w:rsid w:val="00174303"/>
    <w:rsid w:val="00174306"/>
    <w:rsid w:val="001743D8"/>
    <w:rsid w:val="00174637"/>
    <w:rsid w:val="001746A5"/>
    <w:rsid w:val="001747CA"/>
    <w:rsid w:val="00174810"/>
    <w:rsid w:val="00174866"/>
    <w:rsid w:val="001748BC"/>
    <w:rsid w:val="001748F1"/>
    <w:rsid w:val="00174A4E"/>
    <w:rsid w:val="00174A88"/>
    <w:rsid w:val="00174B3A"/>
    <w:rsid w:val="00174C76"/>
    <w:rsid w:val="00174DB6"/>
    <w:rsid w:val="00174DBD"/>
    <w:rsid w:val="00174E6D"/>
    <w:rsid w:val="00174F55"/>
    <w:rsid w:val="00175174"/>
    <w:rsid w:val="00175240"/>
    <w:rsid w:val="00175451"/>
    <w:rsid w:val="001754B3"/>
    <w:rsid w:val="001754B9"/>
    <w:rsid w:val="001754C5"/>
    <w:rsid w:val="001754D4"/>
    <w:rsid w:val="001754DA"/>
    <w:rsid w:val="001754E4"/>
    <w:rsid w:val="00175530"/>
    <w:rsid w:val="00175649"/>
    <w:rsid w:val="00175654"/>
    <w:rsid w:val="00175694"/>
    <w:rsid w:val="0017592E"/>
    <w:rsid w:val="0017594A"/>
    <w:rsid w:val="001759B1"/>
    <w:rsid w:val="00175A15"/>
    <w:rsid w:val="00175A3C"/>
    <w:rsid w:val="00175E42"/>
    <w:rsid w:val="00175F87"/>
    <w:rsid w:val="0017613E"/>
    <w:rsid w:val="001761AA"/>
    <w:rsid w:val="001762E4"/>
    <w:rsid w:val="0017636E"/>
    <w:rsid w:val="00176396"/>
    <w:rsid w:val="001763BB"/>
    <w:rsid w:val="0017640D"/>
    <w:rsid w:val="0017643B"/>
    <w:rsid w:val="0017648A"/>
    <w:rsid w:val="001765C8"/>
    <w:rsid w:val="0017667B"/>
    <w:rsid w:val="001766EF"/>
    <w:rsid w:val="00176798"/>
    <w:rsid w:val="001767F0"/>
    <w:rsid w:val="00176A0F"/>
    <w:rsid w:val="00176A23"/>
    <w:rsid w:val="00176AB7"/>
    <w:rsid w:val="00176C63"/>
    <w:rsid w:val="00176D37"/>
    <w:rsid w:val="00176E6E"/>
    <w:rsid w:val="00176ECB"/>
    <w:rsid w:val="00176F36"/>
    <w:rsid w:val="00176F7D"/>
    <w:rsid w:val="00177060"/>
    <w:rsid w:val="00177082"/>
    <w:rsid w:val="00177099"/>
    <w:rsid w:val="00177149"/>
    <w:rsid w:val="00177258"/>
    <w:rsid w:val="001772CB"/>
    <w:rsid w:val="001772DE"/>
    <w:rsid w:val="001773D7"/>
    <w:rsid w:val="001773EA"/>
    <w:rsid w:val="00177449"/>
    <w:rsid w:val="0017753B"/>
    <w:rsid w:val="00177553"/>
    <w:rsid w:val="00177591"/>
    <w:rsid w:val="00177728"/>
    <w:rsid w:val="00177827"/>
    <w:rsid w:val="00177882"/>
    <w:rsid w:val="00177918"/>
    <w:rsid w:val="00177968"/>
    <w:rsid w:val="001779B0"/>
    <w:rsid w:val="001779FC"/>
    <w:rsid w:val="00177CE7"/>
    <w:rsid w:val="00177D5F"/>
    <w:rsid w:val="00177DFE"/>
    <w:rsid w:val="00177EFA"/>
    <w:rsid w:val="00177F74"/>
    <w:rsid w:val="00177FA8"/>
    <w:rsid w:val="00180049"/>
    <w:rsid w:val="001800AC"/>
    <w:rsid w:val="0018011A"/>
    <w:rsid w:val="0018013F"/>
    <w:rsid w:val="0018016C"/>
    <w:rsid w:val="0018026B"/>
    <w:rsid w:val="0018029C"/>
    <w:rsid w:val="001802DF"/>
    <w:rsid w:val="00180398"/>
    <w:rsid w:val="0018040E"/>
    <w:rsid w:val="0018064D"/>
    <w:rsid w:val="001806C4"/>
    <w:rsid w:val="001806F0"/>
    <w:rsid w:val="00180719"/>
    <w:rsid w:val="001807B4"/>
    <w:rsid w:val="001809FC"/>
    <w:rsid w:val="00180A3F"/>
    <w:rsid w:val="00180AED"/>
    <w:rsid w:val="00180AFC"/>
    <w:rsid w:val="00180B28"/>
    <w:rsid w:val="00180BCA"/>
    <w:rsid w:val="00180C9C"/>
    <w:rsid w:val="00180CB5"/>
    <w:rsid w:val="00180D18"/>
    <w:rsid w:val="00180E70"/>
    <w:rsid w:val="00180F82"/>
    <w:rsid w:val="00180FD7"/>
    <w:rsid w:val="0018111B"/>
    <w:rsid w:val="0018111E"/>
    <w:rsid w:val="0018128D"/>
    <w:rsid w:val="0018138B"/>
    <w:rsid w:val="00181394"/>
    <w:rsid w:val="001813E6"/>
    <w:rsid w:val="0018146C"/>
    <w:rsid w:val="001814F1"/>
    <w:rsid w:val="00181511"/>
    <w:rsid w:val="00181572"/>
    <w:rsid w:val="00181868"/>
    <w:rsid w:val="00181881"/>
    <w:rsid w:val="00181A55"/>
    <w:rsid w:val="00181B16"/>
    <w:rsid w:val="00181BE3"/>
    <w:rsid w:val="00181C8B"/>
    <w:rsid w:val="00181D8C"/>
    <w:rsid w:val="00181E21"/>
    <w:rsid w:val="00181F47"/>
    <w:rsid w:val="00181FC0"/>
    <w:rsid w:val="00181FC4"/>
    <w:rsid w:val="001820E2"/>
    <w:rsid w:val="0018215C"/>
    <w:rsid w:val="00182180"/>
    <w:rsid w:val="00182194"/>
    <w:rsid w:val="0018225F"/>
    <w:rsid w:val="001822EE"/>
    <w:rsid w:val="001822EF"/>
    <w:rsid w:val="001822FC"/>
    <w:rsid w:val="00182380"/>
    <w:rsid w:val="001823F1"/>
    <w:rsid w:val="0018258F"/>
    <w:rsid w:val="00182688"/>
    <w:rsid w:val="00182724"/>
    <w:rsid w:val="0018289B"/>
    <w:rsid w:val="001829CD"/>
    <w:rsid w:val="00182A19"/>
    <w:rsid w:val="00182A6F"/>
    <w:rsid w:val="00182A92"/>
    <w:rsid w:val="00182AF0"/>
    <w:rsid w:val="00182B80"/>
    <w:rsid w:val="00182CBD"/>
    <w:rsid w:val="00182CBE"/>
    <w:rsid w:val="00182D8F"/>
    <w:rsid w:val="00182DBA"/>
    <w:rsid w:val="00182E7F"/>
    <w:rsid w:val="0018305B"/>
    <w:rsid w:val="001830D1"/>
    <w:rsid w:val="0018311A"/>
    <w:rsid w:val="00183189"/>
    <w:rsid w:val="0018318B"/>
    <w:rsid w:val="001831B5"/>
    <w:rsid w:val="001831C5"/>
    <w:rsid w:val="00183214"/>
    <w:rsid w:val="001832D5"/>
    <w:rsid w:val="001832EB"/>
    <w:rsid w:val="00183486"/>
    <w:rsid w:val="00183556"/>
    <w:rsid w:val="001835D6"/>
    <w:rsid w:val="00183735"/>
    <w:rsid w:val="0018378B"/>
    <w:rsid w:val="00183846"/>
    <w:rsid w:val="0018388B"/>
    <w:rsid w:val="001838EF"/>
    <w:rsid w:val="00183925"/>
    <w:rsid w:val="0018397A"/>
    <w:rsid w:val="001839D4"/>
    <w:rsid w:val="00183A1A"/>
    <w:rsid w:val="00183A44"/>
    <w:rsid w:val="00183BB0"/>
    <w:rsid w:val="00183C1B"/>
    <w:rsid w:val="00183CE5"/>
    <w:rsid w:val="00183D55"/>
    <w:rsid w:val="00183D8E"/>
    <w:rsid w:val="00183EAA"/>
    <w:rsid w:val="00183F33"/>
    <w:rsid w:val="00183F55"/>
    <w:rsid w:val="00183F73"/>
    <w:rsid w:val="00183FF2"/>
    <w:rsid w:val="00184005"/>
    <w:rsid w:val="0018412E"/>
    <w:rsid w:val="00184205"/>
    <w:rsid w:val="00184265"/>
    <w:rsid w:val="0018429A"/>
    <w:rsid w:val="00184306"/>
    <w:rsid w:val="00184312"/>
    <w:rsid w:val="001844B3"/>
    <w:rsid w:val="001844C5"/>
    <w:rsid w:val="00184504"/>
    <w:rsid w:val="001845E4"/>
    <w:rsid w:val="001848F2"/>
    <w:rsid w:val="00184983"/>
    <w:rsid w:val="00184AF2"/>
    <w:rsid w:val="00184B99"/>
    <w:rsid w:val="00184BF0"/>
    <w:rsid w:val="00184C03"/>
    <w:rsid w:val="00184C43"/>
    <w:rsid w:val="00184CAD"/>
    <w:rsid w:val="00184DE3"/>
    <w:rsid w:val="00184E63"/>
    <w:rsid w:val="00184E7F"/>
    <w:rsid w:val="00184ED7"/>
    <w:rsid w:val="00185010"/>
    <w:rsid w:val="001850D0"/>
    <w:rsid w:val="00185102"/>
    <w:rsid w:val="001851B0"/>
    <w:rsid w:val="0018526B"/>
    <w:rsid w:val="0018528C"/>
    <w:rsid w:val="001852D8"/>
    <w:rsid w:val="00185310"/>
    <w:rsid w:val="0018531F"/>
    <w:rsid w:val="00185385"/>
    <w:rsid w:val="001853D2"/>
    <w:rsid w:val="00185479"/>
    <w:rsid w:val="001855BB"/>
    <w:rsid w:val="00185618"/>
    <w:rsid w:val="00185636"/>
    <w:rsid w:val="00185690"/>
    <w:rsid w:val="0018569F"/>
    <w:rsid w:val="001856A3"/>
    <w:rsid w:val="001856C9"/>
    <w:rsid w:val="001856EC"/>
    <w:rsid w:val="001856EE"/>
    <w:rsid w:val="00185879"/>
    <w:rsid w:val="0018589A"/>
    <w:rsid w:val="00185A0F"/>
    <w:rsid w:val="00185A14"/>
    <w:rsid w:val="00185AAD"/>
    <w:rsid w:val="00185B08"/>
    <w:rsid w:val="00185B4C"/>
    <w:rsid w:val="00185BA4"/>
    <w:rsid w:val="00185C4C"/>
    <w:rsid w:val="00185C72"/>
    <w:rsid w:val="00185D96"/>
    <w:rsid w:val="00185DFA"/>
    <w:rsid w:val="00185EF0"/>
    <w:rsid w:val="00185F0E"/>
    <w:rsid w:val="00185F9A"/>
    <w:rsid w:val="00185F9B"/>
    <w:rsid w:val="00185FEB"/>
    <w:rsid w:val="0018606D"/>
    <w:rsid w:val="0018608C"/>
    <w:rsid w:val="0018609F"/>
    <w:rsid w:val="0018618F"/>
    <w:rsid w:val="00186206"/>
    <w:rsid w:val="0018629F"/>
    <w:rsid w:val="001862AB"/>
    <w:rsid w:val="001862F7"/>
    <w:rsid w:val="0018630B"/>
    <w:rsid w:val="00186405"/>
    <w:rsid w:val="001866AE"/>
    <w:rsid w:val="001866EC"/>
    <w:rsid w:val="0018670C"/>
    <w:rsid w:val="00186735"/>
    <w:rsid w:val="001867B0"/>
    <w:rsid w:val="0018686E"/>
    <w:rsid w:val="00186954"/>
    <w:rsid w:val="00186989"/>
    <w:rsid w:val="0018698D"/>
    <w:rsid w:val="001869B6"/>
    <w:rsid w:val="001869D9"/>
    <w:rsid w:val="00186A01"/>
    <w:rsid w:val="00186A14"/>
    <w:rsid w:val="00186A38"/>
    <w:rsid w:val="00186AFE"/>
    <w:rsid w:val="00186BF9"/>
    <w:rsid w:val="00186C67"/>
    <w:rsid w:val="00186D20"/>
    <w:rsid w:val="00186D7E"/>
    <w:rsid w:val="00186DE3"/>
    <w:rsid w:val="00186E5E"/>
    <w:rsid w:val="00186EC0"/>
    <w:rsid w:val="00186F14"/>
    <w:rsid w:val="00186F28"/>
    <w:rsid w:val="00186F34"/>
    <w:rsid w:val="00187146"/>
    <w:rsid w:val="00187168"/>
    <w:rsid w:val="001871B9"/>
    <w:rsid w:val="001871E8"/>
    <w:rsid w:val="0018738A"/>
    <w:rsid w:val="00187394"/>
    <w:rsid w:val="00187423"/>
    <w:rsid w:val="0018744F"/>
    <w:rsid w:val="001874E6"/>
    <w:rsid w:val="0018762D"/>
    <w:rsid w:val="00187658"/>
    <w:rsid w:val="001876C9"/>
    <w:rsid w:val="00187748"/>
    <w:rsid w:val="0018776F"/>
    <w:rsid w:val="001878CC"/>
    <w:rsid w:val="001878D8"/>
    <w:rsid w:val="001878EC"/>
    <w:rsid w:val="00187988"/>
    <w:rsid w:val="001879F9"/>
    <w:rsid w:val="00187B70"/>
    <w:rsid w:val="00187B86"/>
    <w:rsid w:val="00187C1F"/>
    <w:rsid w:val="00187C75"/>
    <w:rsid w:val="00187CB4"/>
    <w:rsid w:val="00187E80"/>
    <w:rsid w:val="00187EF4"/>
    <w:rsid w:val="00187F58"/>
    <w:rsid w:val="0019014E"/>
    <w:rsid w:val="00190263"/>
    <w:rsid w:val="001902AD"/>
    <w:rsid w:val="00190300"/>
    <w:rsid w:val="001903E6"/>
    <w:rsid w:val="001903EF"/>
    <w:rsid w:val="001904D9"/>
    <w:rsid w:val="001904F3"/>
    <w:rsid w:val="00190513"/>
    <w:rsid w:val="001907C8"/>
    <w:rsid w:val="001907DD"/>
    <w:rsid w:val="001907EF"/>
    <w:rsid w:val="001907F1"/>
    <w:rsid w:val="0019095F"/>
    <w:rsid w:val="0019099D"/>
    <w:rsid w:val="001909A6"/>
    <w:rsid w:val="001909D5"/>
    <w:rsid w:val="00190A89"/>
    <w:rsid w:val="00190B63"/>
    <w:rsid w:val="00190C3D"/>
    <w:rsid w:val="00190CF7"/>
    <w:rsid w:val="00190D95"/>
    <w:rsid w:val="00190DAE"/>
    <w:rsid w:val="00190EFB"/>
    <w:rsid w:val="00190F8F"/>
    <w:rsid w:val="0019100B"/>
    <w:rsid w:val="00191091"/>
    <w:rsid w:val="001910D0"/>
    <w:rsid w:val="001910DD"/>
    <w:rsid w:val="00191121"/>
    <w:rsid w:val="001911DF"/>
    <w:rsid w:val="00191298"/>
    <w:rsid w:val="00191336"/>
    <w:rsid w:val="0019134E"/>
    <w:rsid w:val="001913C6"/>
    <w:rsid w:val="00191403"/>
    <w:rsid w:val="00191404"/>
    <w:rsid w:val="001914D0"/>
    <w:rsid w:val="0019155E"/>
    <w:rsid w:val="001918BB"/>
    <w:rsid w:val="001918C2"/>
    <w:rsid w:val="001918DA"/>
    <w:rsid w:val="0019191F"/>
    <w:rsid w:val="00191994"/>
    <w:rsid w:val="00191A05"/>
    <w:rsid w:val="00191A34"/>
    <w:rsid w:val="00191A4A"/>
    <w:rsid w:val="00191B2F"/>
    <w:rsid w:val="00191B54"/>
    <w:rsid w:val="00191C24"/>
    <w:rsid w:val="00191C8D"/>
    <w:rsid w:val="00191DAB"/>
    <w:rsid w:val="00191ECB"/>
    <w:rsid w:val="00191F72"/>
    <w:rsid w:val="0019204A"/>
    <w:rsid w:val="001920DC"/>
    <w:rsid w:val="001922CE"/>
    <w:rsid w:val="00192300"/>
    <w:rsid w:val="00192369"/>
    <w:rsid w:val="0019247C"/>
    <w:rsid w:val="00192629"/>
    <w:rsid w:val="001926B4"/>
    <w:rsid w:val="00192927"/>
    <w:rsid w:val="00192947"/>
    <w:rsid w:val="00192A09"/>
    <w:rsid w:val="00192A2D"/>
    <w:rsid w:val="00192B4D"/>
    <w:rsid w:val="00192CF1"/>
    <w:rsid w:val="00192DF3"/>
    <w:rsid w:val="00192F1A"/>
    <w:rsid w:val="00193105"/>
    <w:rsid w:val="00193267"/>
    <w:rsid w:val="001932F1"/>
    <w:rsid w:val="0019331E"/>
    <w:rsid w:val="0019336A"/>
    <w:rsid w:val="00193568"/>
    <w:rsid w:val="0019379F"/>
    <w:rsid w:val="00193A5D"/>
    <w:rsid w:val="00193A6F"/>
    <w:rsid w:val="00193A95"/>
    <w:rsid w:val="00193B6B"/>
    <w:rsid w:val="00193BD5"/>
    <w:rsid w:val="00193C60"/>
    <w:rsid w:val="00193E2F"/>
    <w:rsid w:val="00193E69"/>
    <w:rsid w:val="00193FA5"/>
    <w:rsid w:val="00194122"/>
    <w:rsid w:val="00194163"/>
    <w:rsid w:val="00194343"/>
    <w:rsid w:val="001943AC"/>
    <w:rsid w:val="001943B8"/>
    <w:rsid w:val="00194427"/>
    <w:rsid w:val="001944D9"/>
    <w:rsid w:val="0019459C"/>
    <w:rsid w:val="001946A1"/>
    <w:rsid w:val="0019475B"/>
    <w:rsid w:val="00194788"/>
    <w:rsid w:val="001947A7"/>
    <w:rsid w:val="001947F5"/>
    <w:rsid w:val="0019481C"/>
    <w:rsid w:val="001948EE"/>
    <w:rsid w:val="001949B8"/>
    <w:rsid w:val="001949C4"/>
    <w:rsid w:val="00194C3D"/>
    <w:rsid w:val="00194CC3"/>
    <w:rsid w:val="00194E52"/>
    <w:rsid w:val="00194E78"/>
    <w:rsid w:val="00194EE8"/>
    <w:rsid w:val="00194F36"/>
    <w:rsid w:val="00194FD1"/>
    <w:rsid w:val="001951AE"/>
    <w:rsid w:val="00195278"/>
    <w:rsid w:val="001952B4"/>
    <w:rsid w:val="001952EC"/>
    <w:rsid w:val="0019531D"/>
    <w:rsid w:val="00195498"/>
    <w:rsid w:val="00195592"/>
    <w:rsid w:val="0019559F"/>
    <w:rsid w:val="001955A7"/>
    <w:rsid w:val="0019560D"/>
    <w:rsid w:val="00195695"/>
    <w:rsid w:val="00195698"/>
    <w:rsid w:val="001956D9"/>
    <w:rsid w:val="0019578A"/>
    <w:rsid w:val="001957C8"/>
    <w:rsid w:val="001957F9"/>
    <w:rsid w:val="00195823"/>
    <w:rsid w:val="001958D0"/>
    <w:rsid w:val="001958F5"/>
    <w:rsid w:val="001959F1"/>
    <w:rsid w:val="00195B6F"/>
    <w:rsid w:val="00195C00"/>
    <w:rsid w:val="00195E51"/>
    <w:rsid w:val="00195ED8"/>
    <w:rsid w:val="00195F66"/>
    <w:rsid w:val="00196042"/>
    <w:rsid w:val="001960EE"/>
    <w:rsid w:val="0019610F"/>
    <w:rsid w:val="00196225"/>
    <w:rsid w:val="0019626E"/>
    <w:rsid w:val="001962E6"/>
    <w:rsid w:val="00196340"/>
    <w:rsid w:val="00196433"/>
    <w:rsid w:val="001964BD"/>
    <w:rsid w:val="001964E7"/>
    <w:rsid w:val="001965A4"/>
    <w:rsid w:val="001965B2"/>
    <w:rsid w:val="00196612"/>
    <w:rsid w:val="001966FE"/>
    <w:rsid w:val="001968D6"/>
    <w:rsid w:val="0019694A"/>
    <w:rsid w:val="00196967"/>
    <w:rsid w:val="001969CB"/>
    <w:rsid w:val="00196A31"/>
    <w:rsid w:val="00196B6A"/>
    <w:rsid w:val="00196BD7"/>
    <w:rsid w:val="00196BFA"/>
    <w:rsid w:val="00196C23"/>
    <w:rsid w:val="00196CBC"/>
    <w:rsid w:val="0019700B"/>
    <w:rsid w:val="00197010"/>
    <w:rsid w:val="001970C7"/>
    <w:rsid w:val="00197147"/>
    <w:rsid w:val="0019714E"/>
    <w:rsid w:val="001971E2"/>
    <w:rsid w:val="001972A2"/>
    <w:rsid w:val="00197438"/>
    <w:rsid w:val="00197694"/>
    <w:rsid w:val="001976ED"/>
    <w:rsid w:val="0019771B"/>
    <w:rsid w:val="001977FF"/>
    <w:rsid w:val="0019781F"/>
    <w:rsid w:val="00197887"/>
    <w:rsid w:val="00197A43"/>
    <w:rsid w:val="00197A47"/>
    <w:rsid w:val="00197A76"/>
    <w:rsid w:val="00197DC7"/>
    <w:rsid w:val="00197EA1"/>
    <w:rsid w:val="001A0009"/>
    <w:rsid w:val="001A00C7"/>
    <w:rsid w:val="001A00DA"/>
    <w:rsid w:val="001A010E"/>
    <w:rsid w:val="001A0261"/>
    <w:rsid w:val="001A0290"/>
    <w:rsid w:val="001A0352"/>
    <w:rsid w:val="001A0378"/>
    <w:rsid w:val="001A043B"/>
    <w:rsid w:val="001A04E5"/>
    <w:rsid w:val="001A04F3"/>
    <w:rsid w:val="001A0598"/>
    <w:rsid w:val="001A05CD"/>
    <w:rsid w:val="001A0667"/>
    <w:rsid w:val="001A06EC"/>
    <w:rsid w:val="001A0738"/>
    <w:rsid w:val="001A07F7"/>
    <w:rsid w:val="001A080F"/>
    <w:rsid w:val="001A097F"/>
    <w:rsid w:val="001A0ADA"/>
    <w:rsid w:val="001A0AF6"/>
    <w:rsid w:val="001A0B2C"/>
    <w:rsid w:val="001A0B8E"/>
    <w:rsid w:val="001A0BCE"/>
    <w:rsid w:val="001A0D38"/>
    <w:rsid w:val="001A0DA6"/>
    <w:rsid w:val="001A0DB4"/>
    <w:rsid w:val="001A0DCE"/>
    <w:rsid w:val="001A0F55"/>
    <w:rsid w:val="001A0FD9"/>
    <w:rsid w:val="001A0FFB"/>
    <w:rsid w:val="001A1061"/>
    <w:rsid w:val="001A10A6"/>
    <w:rsid w:val="001A11AF"/>
    <w:rsid w:val="001A122E"/>
    <w:rsid w:val="001A1240"/>
    <w:rsid w:val="001A12AC"/>
    <w:rsid w:val="001A12E8"/>
    <w:rsid w:val="001A1314"/>
    <w:rsid w:val="001A1349"/>
    <w:rsid w:val="001A136B"/>
    <w:rsid w:val="001A13DA"/>
    <w:rsid w:val="001A14B6"/>
    <w:rsid w:val="001A1636"/>
    <w:rsid w:val="001A1649"/>
    <w:rsid w:val="001A1685"/>
    <w:rsid w:val="001A1791"/>
    <w:rsid w:val="001A189C"/>
    <w:rsid w:val="001A193B"/>
    <w:rsid w:val="001A194F"/>
    <w:rsid w:val="001A1980"/>
    <w:rsid w:val="001A19CA"/>
    <w:rsid w:val="001A1B18"/>
    <w:rsid w:val="001A1B69"/>
    <w:rsid w:val="001A1B7D"/>
    <w:rsid w:val="001A1D03"/>
    <w:rsid w:val="001A1D20"/>
    <w:rsid w:val="001A1D2E"/>
    <w:rsid w:val="001A1D93"/>
    <w:rsid w:val="001A1E31"/>
    <w:rsid w:val="001A1E3D"/>
    <w:rsid w:val="001A1E7F"/>
    <w:rsid w:val="001A1EAB"/>
    <w:rsid w:val="001A1EF9"/>
    <w:rsid w:val="001A1F43"/>
    <w:rsid w:val="001A1F9A"/>
    <w:rsid w:val="001A213D"/>
    <w:rsid w:val="001A21DA"/>
    <w:rsid w:val="001A247C"/>
    <w:rsid w:val="001A252C"/>
    <w:rsid w:val="001A25B1"/>
    <w:rsid w:val="001A25DE"/>
    <w:rsid w:val="001A263E"/>
    <w:rsid w:val="001A2659"/>
    <w:rsid w:val="001A26F5"/>
    <w:rsid w:val="001A2701"/>
    <w:rsid w:val="001A274B"/>
    <w:rsid w:val="001A275F"/>
    <w:rsid w:val="001A2805"/>
    <w:rsid w:val="001A288B"/>
    <w:rsid w:val="001A2978"/>
    <w:rsid w:val="001A2BCA"/>
    <w:rsid w:val="001A2DFC"/>
    <w:rsid w:val="001A2E51"/>
    <w:rsid w:val="001A301F"/>
    <w:rsid w:val="001A3146"/>
    <w:rsid w:val="001A3218"/>
    <w:rsid w:val="001A3232"/>
    <w:rsid w:val="001A32BA"/>
    <w:rsid w:val="001A32E1"/>
    <w:rsid w:val="001A3303"/>
    <w:rsid w:val="001A3330"/>
    <w:rsid w:val="001A34C7"/>
    <w:rsid w:val="001A34E0"/>
    <w:rsid w:val="001A3569"/>
    <w:rsid w:val="001A3571"/>
    <w:rsid w:val="001A35CF"/>
    <w:rsid w:val="001A3663"/>
    <w:rsid w:val="001A3711"/>
    <w:rsid w:val="001A3798"/>
    <w:rsid w:val="001A38B7"/>
    <w:rsid w:val="001A3921"/>
    <w:rsid w:val="001A39D3"/>
    <w:rsid w:val="001A3A12"/>
    <w:rsid w:val="001A3A2F"/>
    <w:rsid w:val="001A3A6E"/>
    <w:rsid w:val="001A3BFF"/>
    <w:rsid w:val="001A3C8A"/>
    <w:rsid w:val="001A3E48"/>
    <w:rsid w:val="001A3F3A"/>
    <w:rsid w:val="001A3FF9"/>
    <w:rsid w:val="001A41BB"/>
    <w:rsid w:val="001A42A3"/>
    <w:rsid w:val="001A42A4"/>
    <w:rsid w:val="001A42E1"/>
    <w:rsid w:val="001A447F"/>
    <w:rsid w:val="001A4504"/>
    <w:rsid w:val="001A45AD"/>
    <w:rsid w:val="001A4870"/>
    <w:rsid w:val="001A4879"/>
    <w:rsid w:val="001A48DF"/>
    <w:rsid w:val="001A48F5"/>
    <w:rsid w:val="001A4A04"/>
    <w:rsid w:val="001A4B2E"/>
    <w:rsid w:val="001A4CF5"/>
    <w:rsid w:val="001A4E58"/>
    <w:rsid w:val="001A4E69"/>
    <w:rsid w:val="001A4FA8"/>
    <w:rsid w:val="001A507B"/>
    <w:rsid w:val="001A50A7"/>
    <w:rsid w:val="001A50FB"/>
    <w:rsid w:val="001A515A"/>
    <w:rsid w:val="001A5271"/>
    <w:rsid w:val="001A52AA"/>
    <w:rsid w:val="001A52FF"/>
    <w:rsid w:val="001A539C"/>
    <w:rsid w:val="001A540E"/>
    <w:rsid w:val="001A549A"/>
    <w:rsid w:val="001A54EF"/>
    <w:rsid w:val="001A5500"/>
    <w:rsid w:val="001A55A6"/>
    <w:rsid w:val="001A5638"/>
    <w:rsid w:val="001A56A0"/>
    <w:rsid w:val="001A56B7"/>
    <w:rsid w:val="001A570C"/>
    <w:rsid w:val="001A5743"/>
    <w:rsid w:val="001A575C"/>
    <w:rsid w:val="001A5878"/>
    <w:rsid w:val="001A58AB"/>
    <w:rsid w:val="001A58DF"/>
    <w:rsid w:val="001A5A36"/>
    <w:rsid w:val="001A5B40"/>
    <w:rsid w:val="001A5B72"/>
    <w:rsid w:val="001A5BA0"/>
    <w:rsid w:val="001A5CA3"/>
    <w:rsid w:val="001A5D16"/>
    <w:rsid w:val="001A5D89"/>
    <w:rsid w:val="001A5E59"/>
    <w:rsid w:val="001A5E71"/>
    <w:rsid w:val="001A5EBD"/>
    <w:rsid w:val="001A5F0E"/>
    <w:rsid w:val="001A5F55"/>
    <w:rsid w:val="001A5F74"/>
    <w:rsid w:val="001A5FD3"/>
    <w:rsid w:val="001A6008"/>
    <w:rsid w:val="001A617D"/>
    <w:rsid w:val="001A61CE"/>
    <w:rsid w:val="001A62BA"/>
    <w:rsid w:val="001A63ED"/>
    <w:rsid w:val="001A64D7"/>
    <w:rsid w:val="001A66BD"/>
    <w:rsid w:val="001A682A"/>
    <w:rsid w:val="001A6853"/>
    <w:rsid w:val="001A68D4"/>
    <w:rsid w:val="001A69C9"/>
    <w:rsid w:val="001A6A76"/>
    <w:rsid w:val="001A6CE8"/>
    <w:rsid w:val="001A6DAF"/>
    <w:rsid w:val="001A6FDF"/>
    <w:rsid w:val="001A706F"/>
    <w:rsid w:val="001A708D"/>
    <w:rsid w:val="001A714A"/>
    <w:rsid w:val="001A7325"/>
    <w:rsid w:val="001A7332"/>
    <w:rsid w:val="001A73FA"/>
    <w:rsid w:val="001A7461"/>
    <w:rsid w:val="001A749E"/>
    <w:rsid w:val="001A75C5"/>
    <w:rsid w:val="001A75FC"/>
    <w:rsid w:val="001A7721"/>
    <w:rsid w:val="001A7725"/>
    <w:rsid w:val="001A788A"/>
    <w:rsid w:val="001A78A3"/>
    <w:rsid w:val="001A799D"/>
    <w:rsid w:val="001A7A15"/>
    <w:rsid w:val="001A7A74"/>
    <w:rsid w:val="001A7C12"/>
    <w:rsid w:val="001A7C45"/>
    <w:rsid w:val="001A7C65"/>
    <w:rsid w:val="001A7C93"/>
    <w:rsid w:val="001A7C94"/>
    <w:rsid w:val="001A7D13"/>
    <w:rsid w:val="001A7DE6"/>
    <w:rsid w:val="001A7E96"/>
    <w:rsid w:val="001A7FBA"/>
    <w:rsid w:val="001B0020"/>
    <w:rsid w:val="001B0044"/>
    <w:rsid w:val="001B0118"/>
    <w:rsid w:val="001B0130"/>
    <w:rsid w:val="001B0245"/>
    <w:rsid w:val="001B041E"/>
    <w:rsid w:val="001B0427"/>
    <w:rsid w:val="001B048B"/>
    <w:rsid w:val="001B04FC"/>
    <w:rsid w:val="001B054D"/>
    <w:rsid w:val="001B05A4"/>
    <w:rsid w:val="001B070E"/>
    <w:rsid w:val="001B073A"/>
    <w:rsid w:val="001B07C0"/>
    <w:rsid w:val="001B07E2"/>
    <w:rsid w:val="001B083B"/>
    <w:rsid w:val="001B086F"/>
    <w:rsid w:val="001B08BD"/>
    <w:rsid w:val="001B09BA"/>
    <w:rsid w:val="001B0B78"/>
    <w:rsid w:val="001B0BD2"/>
    <w:rsid w:val="001B0C26"/>
    <w:rsid w:val="001B0C9D"/>
    <w:rsid w:val="001B0D87"/>
    <w:rsid w:val="001B0E42"/>
    <w:rsid w:val="001B0F73"/>
    <w:rsid w:val="001B0FD2"/>
    <w:rsid w:val="001B1011"/>
    <w:rsid w:val="001B1052"/>
    <w:rsid w:val="001B105D"/>
    <w:rsid w:val="001B110D"/>
    <w:rsid w:val="001B1251"/>
    <w:rsid w:val="001B12C6"/>
    <w:rsid w:val="001B12E4"/>
    <w:rsid w:val="001B1320"/>
    <w:rsid w:val="001B15C5"/>
    <w:rsid w:val="001B16C4"/>
    <w:rsid w:val="001B1752"/>
    <w:rsid w:val="001B17DA"/>
    <w:rsid w:val="001B1822"/>
    <w:rsid w:val="001B1938"/>
    <w:rsid w:val="001B1962"/>
    <w:rsid w:val="001B196A"/>
    <w:rsid w:val="001B1988"/>
    <w:rsid w:val="001B19B6"/>
    <w:rsid w:val="001B19FD"/>
    <w:rsid w:val="001B1A4F"/>
    <w:rsid w:val="001B1A6C"/>
    <w:rsid w:val="001B1BE7"/>
    <w:rsid w:val="001B1C40"/>
    <w:rsid w:val="001B1D25"/>
    <w:rsid w:val="001B1DD9"/>
    <w:rsid w:val="001B1DED"/>
    <w:rsid w:val="001B1DEE"/>
    <w:rsid w:val="001B1E44"/>
    <w:rsid w:val="001B1EBC"/>
    <w:rsid w:val="001B20E4"/>
    <w:rsid w:val="001B2188"/>
    <w:rsid w:val="001B2192"/>
    <w:rsid w:val="001B2234"/>
    <w:rsid w:val="001B266F"/>
    <w:rsid w:val="001B2673"/>
    <w:rsid w:val="001B2685"/>
    <w:rsid w:val="001B26CF"/>
    <w:rsid w:val="001B283C"/>
    <w:rsid w:val="001B2AA5"/>
    <w:rsid w:val="001B2B6C"/>
    <w:rsid w:val="001B2CB7"/>
    <w:rsid w:val="001B2D80"/>
    <w:rsid w:val="001B2DA6"/>
    <w:rsid w:val="001B2E85"/>
    <w:rsid w:val="001B2F37"/>
    <w:rsid w:val="001B2F49"/>
    <w:rsid w:val="001B2F79"/>
    <w:rsid w:val="001B302F"/>
    <w:rsid w:val="001B30AB"/>
    <w:rsid w:val="001B30DE"/>
    <w:rsid w:val="001B31AC"/>
    <w:rsid w:val="001B33F0"/>
    <w:rsid w:val="001B3456"/>
    <w:rsid w:val="001B352D"/>
    <w:rsid w:val="001B353A"/>
    <w:rsid w:val="001B3613"/>
    <w:rsid w:val="001B3659"/>
    <w:rsid w:val="001B36A8"/>
    <w:rsid w:val="001B36CC"/>
    <w:rsid w:val="001B3745"/>
    <w:rsid w:val="001B395A"/>
    <w:rsid w:val="001B39B0"/>
    <w:rsid w:val="001B39FE"/>
    <w:rsid w:val="001B3AE8"/>
    <w:rsid w:val="001B3B36"/>
    <w:rsid w:val="001B3B8D"/>
    <w:rsid w:val="001B3C12"/>
    <w:rsid w:val="001B3DBE"/>
    <w:rsid w:val="001B3F29"/>
    <w:rsid w:val="001B4053"/>
    <w:rsid w:val="001B4196"/>
    <w:rsid w:val="001B422B"/>
    <w:rsid w:val="001B42FF"/>
    <w:rsid w:val="001B4429"/>
    <w:rsid w:val="001B4513"/>
    <w:rsid w:val="001B453F"/>
    <w:rsid w:val="001B4590"/>
    <w:rsid w:val="001B45B0"/>
    <w:rsid w:val="001B46FC"/>
    <w:rsid w:val="001B4760"/>
    <w:rsid w:val="001B4791"/>
    <w:rsid w:val="001B47AE"/>
    <w:rsid w:val="001B483A"/>
    <w:rsid w:val="001B484E"/>
    <w:rsid w:val="001B48B9"/>
    <w:rsid w:val="001B48C5"/>
    <w:rsid w:val="001B49AE"/>
    <w:rsid w:val="001B49E2"/>
    <w:rsid w:val="001B4B27"/>
    <w:rsid w:val="001B4B2E"/>
    <w:rsid w:val="001B4BF6"/>
    <w:rsid w:val="001B4C92"/>
    <w:rsid w:val="001B4D52"/>
    <w:rsid w:val="001B4D62"/>
    <w:rsid w:val="001B4DB6"/>
    <w:rsid w:val="001B4E5B"/>
    <w:rsid w:val="001B4EA4"/>
    <w:rsid w:val="001B4F20"/>
    <w:rsid w:val="001B5020"/>
    <w:rsid w:val="001B5078"/>
    <w:rsid w:val="001B5203"/>
    <w:rsid w:val="001B5235"/>
    <w:rsid w:val="001B532A"/>
    <w:rsid w:val="001B5453"/>
    <w:rsid w:val="001B5545"/>
    <w:rsid w:val="001B559D"/>
    <w:rsid w:val="001B55CF"/>
    <w:rsid w:val="001B55D3"/>
    <w:rsid w:val="001B5718"/>
    <w:rsid w:val="001B571C"/>
    <w:rsid w:val="001B5982"/>
    <w:rsid w:val="001B59A8"/>
    <w:rsid w:val="001B59E1"/>
    <w:rsid w:val="001B5B6C"/>
    <w:rsid w:val="001B5C06"/>
    <w:rsid w:val="001B5CD1"/>
    <w:rsid w:val="001B5E0C"/>
    <w:rsid w:val="001B5F04"/>
    <w:rsid w:val="001B60E4"/>
    <w:rsid w:val="001B6113"/>
    <w:rsid w:val="001B614F"/>
    <w:rsid w:val="001B6228"/>
    <w:rsid w:val="001B6263"/>
    <w:rsid w:val="001B629D"/>
    <w:rsid w:val="001B63B3"/>
    <w:rsid w:val="001B6464"/>
    <w:rsid w:val="001B646E"/>
    <w:rsid w:val="001B650C"/>
    <w:rsid w:val="001B659D"/>
    <w:rsid w:val="001B6616"/>
    <w:rsid w:val="001B6632"/>
    <w:rsid w:val="001B6645"/>
    <w:rsid w:val="001B665B"/>
    <w:rsid w:val="001B6748"/>
    <w:rsid w:val="001B67A5"/>
    <w:rsid w:val="001B689B"/>
    <w:rsid w:val="001B6940"/>
    <w:rsid w:val="001B695E"/>
    <w:rsid w:val="001B6AA5"/>
    <w:rsid w:val="001B6B60"/>
    <w:rsid w:val="001B6DDB"/>
    <w:rsid w:val="001B6FBB"/>
    <w:rsid w:val="001B6FEB"/>
    <w:rsid w:val="001B7003"/>
    <w:rsid w:val="001B7024"/>
    <w:rsid w:val="001B709B"/>
    <w:rsid w:val="001B72A1"/>
    <w:rsid w:val="001B72B2"/>
    <w:rsid w:val="001B72D3"/>
    <w:rsid w:val="001B73CB"/>
    <w:rsid w:val="001B74E5"/>
    <w:rsid w:val="001B7595"/>
    <w:rsid w:val="001B7756"/>
    <w:rsid w:val="001B795C"/>
    <w:rsid w:val="001B7ABF"/>
    <w:rsid w:val="001B7AD2"/>
    <w:rsid w:val="001B7B0B"/>
    <w:rsid w:val="001B7B0E"/>
    <w:rsid w:val="001B7B73"/>
    <w:rsid w:val="001B7BDE"/>
    <w:rsid w:val="001B7C66"/>
    <w:rsid w:val="001B7CF5"/>
    <w:rsid w:val="001B7DBE"/>
    <w:rsid w:val="001B7E17"/>
    <w:rsid w:val="001B7EFF"/>
    <w:rsid w:val="001B7F03"/>
    <w:rsid w:val="001B7F3D"/>
    <w:rsid w:val="001C0003"/>
    <w:rsid w:val="001C018C"/>
    <w:rsid w:val="001C0207"/>
    <w:rsid w:val="001C027D"/>
    <w:rsid w:val="001C02A7"/>
    <w:rsid w:val="001C02AF"/>
    <w:rsid w:val="001C0335"/>
    <w:rsid w:val="001C038E"/>
    <w:rsid w:val="001C039F"/>
    <w:rsid w:val="001C03A2"/>
    <w:rsid w:val="001C04A9"/>
    <w:rsid w:val="001C05A7"/>
    <w:rsid w:val="001C05C3"/>
    <w:rsid w:val="001C05EA"/>
    <w:rsid w:val="001C05FB"/>
    <w:rsid w:val="001C06BC"/>
    <w:rsid w:val="001C07D0"/>
    <w:rsid w:val="001C09C5"/>
    <w:rsid w:val="001C09D3"/>
    <w:rsid w:val="001C0B19"/>
    <w:rsid w:val="001C0BA1"/>
    <w:rsid w:val="001C0CD3"/>
    <w:rsid w:val="001C0CEC"/>
    <w:rsid w:val="001C0CF4"/>
    <w:rsid w:val="001C0D08"/>
    <w:rsid w:val="001C0E2A"/>
    <w:rsid w:val="001C0F89"/>
    <w:rsid w:val="001C0FE8"/>
    <w:rsid w:val="001C10DE"/>
    <w:rsid w:val="001C11FD"/>
    <w:rsid w:val="001C1208"/>
    <w:rsid w:val="001C1271"/>
    <w:rsid w:val="001C1272"/>
    <w:rsid w:val="001C1277"/>
    <w:rsid w:val="001C128C"/>
    <w:rsid w:val="001C1330"/>
    <w:rsid w:val="001C135D"/>
    <w:rsid w:val="001C1411"/>
    <w:rsid w:val="001C150E"/>
    <w:rsid w:val="001C183F"/>
    <w:rsid w:val="001C1938"/>
    <w:rsid w:val="001C195A"/>
    <w:rsid w:val="001C198A"/>
    <w:rsid w:val="001C1A45"/>
    <w:rsid w:val="001C1B4C"/>
    <w:rsid w:val="001C1C82"/>
    <w:rsid w:val="001C1D1B"/>
    <w:rsid w:val="001C1FDD"/>
    <w:rsid w:val="001C212E"/>
    <w:rsid w:val="001C2229"/>
    <w:rsid w:val="001C223F"/>
    <w:rsid w:val="001C228A"/>
    <w:rsid w:val="001C2573"/>
    <w:rsid w:val="001C25BD"/>
    <w:rsid w:val="001C25F0"/>
    <w:rsid w:val="001C261D"/>
    <w:rsid w:val="001C26B8"/>
    <w:rsid w:val="001C2775"/>
    <w:rsid w:val="001C286C"/>
    <w:rsid w:val="001C2910"/>
    <w:rsid w:val="001C295D"/>
    <w:rsid w:val="001C2B22"/>
    <w:rsid w:val="001C2B37"/>
    <w:rsid w:val="001C2B3B"/>
    <w:rsid w:val="001C2C1C"/>
    <w:rsid w:val="001C2CD1"/>
    <w:rsid w:val="001C2DE0"/>
    <w:rsid w:val="001C2F26"/>
    <w:rsid w:val="001C2FDE"/>
    <w:rsid w:val="001C30CC"/>
    <w:rsid w:val="001C3146"/>
    <w:rsid w:val="001C3182"/>
    <w:rsid w:val="001C32EB"/>
    <w:rsid w:val="001C3302"/>
    <w:rsid w:val="001C344A"/>
    <w:rsid w:val="001C365B"/>
    <w:rsid w:val="001C3741"/>
    <w:rsid w:val="001C376B"/>
    <w:rsid w:val="001C37F4"/>
    <w:rsid w:val="001C3810"/>
    <w:rsid w:val="001C3868"/>
    <w:rsid w:val="001C38C0"/>
    <w:rsid w:val="001C396F"/>
    <w:rsid w:val="001C3A6A"/>
    <w:rsid w:val="001C3C76"/>
    <w:rsid w:val="001C3E1A"/>
    <w:rsid w:val="001C3E49"/>
    <w:rsid w:val="001C3E7C"/>
    <w:rsid w:val="001C3E91"/>
    <w:rsid w:val="001C3F4B"/>
    <w:rsid w:val="001C4099"/>
    <w:rsid w:val="001C40F2"/>
    <w:rsid w:val="001C4127"/>
    <w:rsid w:val="001C4182"/>
    <w:rsid w:val="001C41FE"/>
    <w:rsid w:val="001C4341"/>
    <w:rsid w:val="001C4364"/>
    <w:rsid w:val="001C4480"/>
    <w:rsid w:val="001C4571"/>
    <w:rsid w:val="001C45AE"/>
    <w:rsid w:val="001C45FC"/>
    <w:rsid w:val="001C45FD"/>
    <w:rsid w:val="001C473E"/>
    <w:rsid w:val="001C4810"/>
    <w:rsid w:val="001C4819"/>
    <w:rsid w:val="001C4841"/>
    <w:rsid w:val="001C48FC"/>
    <w:rsid w:val="001C4934"/>
    <w:rsid w:val="001C4969"/>
    <w:rsid w:val="001C49EF"/>
    <w:rsid w:val="001C4A5E"/>
    <w:rsid w:val="001C4A6B"/>
    <w:rsid w:val="001C4C13"/>
    <w:rsid w:val="001C4C3C"/>
    <w:rsid w:val="001C4D2D"/>
    <w:rsid w:val="001C4D77"/>
    <w:rsid w:val="001C4D83"/>
    <w:rsid w:val="001C4F6B"/>
    <w:rsid w:val="001C506C"/>
    <w:rsid w:val="001C5182"/>
    <w:rsid w:val="001C51AC"/>
    <w:rsid w:val="001C51F2"/>
    <w:rsid w:val="001C5502"/>
    <w:rsid w:val="001C5532"/>
    <w:rsid w:val="001C5553"/>
    <w:rsid w:val="001C5588"/>
    <w:rsid w:val="001C55D4"/>
    <w:rsid w:val="001C56D7"/>
    <w:rsid w:val="001C5725"/>
    <w:rsid w:val="001C57ED"/>
    <w:rsid w:val="001C58AC"/>
    <w:rsid w:val="001C5958"/>
    <w:rsid w:val="001C5A9B"/>
    <w:rsid w:val="001C5BB0"/>
    <w:rsid w:val="001C5E44"/>
    <w:rsid w:val="001C6032"/>
    <w:rsid w:val="001C604C"/>
    <w:rsid w:val="001C61C8"/>
    <w:rsid w:val="001C6235"/>
    <w:rsid w:val="001C62BB"/>
    <w:rsid w:val="001C635A"/>
    <w:rsid w:val="001C635C"/>
    <w:rsid w:val="001C63C5"/>
    <w:rsid w:val="001C66BB"/>
    <w:rsid w:val="001C683E"/>
    <w:rsid w:val="001C69E1"/>
    <w:rsid w:val="001C6A37"/>
    <w:rsid w:val="001C6B15"/>
    <w:rsid w:val="001C6B35"/>
    <w:rsid w:val="001C6B64"/>
    <w:rsid w:val="001C6B74"/>
    <w:rsid w:val="001C6BB2"/>
    <w:rsid w:val="001C6ED5"/>
    <w:rsid w:val="001C6F01"/>
    <w:rsid w:val="001C6F07"/>
    <w:rsid w:val="001C6F45"/>
    <w:rsid w:val="001C6F4E"/>
    <w:rsid w:val="001C6FF8"/>
    <w:rsid w:val="001C7068"/>
    <w:rsid w:val="001C7095"/>
    <w:rsid w:val="001C70CF"/>
    <w:rsid w:val="001C70E6"/>
    <w:rsid w:val="001C7439"/>
    <w:rsid w:val="001C7488"/>
    <w:rsid w:val="001C74ED"/>
    <w:rsid w:val="001C753C"/>
    <w:rsid w:val="001C7553"/>
    <w:rsid w:val="001C765F"/>
    <w:rsid w:val="001C76A8"/>
    <w:rsid w:val="001C773A"/>
    <w:rsid w:val="001C7921"/>
    <w:rsid w:val="001C79BE"/>
    <w:rsid w:val="001C79F7"/>
    <w:rsid w:val="001C7A61"/>
    <w:rsid w:val="001C7AB9"/>
    <w:rsid w:val="001C7ABE"/>
    <w:rsid w:val="001C7B78"/>
    <w:rsid w:val="001C7BD5"/>
    <w:rsid w:val="001C7BDA"/>
    <w:rsid w:val="001C7C20"/>
    <w:rsid w:val="001C7E44"/>
    <w:rsid w:val="001C7E62"/>
    <w:rsid w:val="001C7EA9"/>
    <w:rsid w:val="001C7EDB"/>
    <w:rsid w:val="001C7F45"/>
    <w:rsid w:val="001D000A"/>
    <w:rsid w:val="001D006A"/>
    <w:rsid w:val="001D00A0"/>
    <w:rsid w:val="001D010F"/>
    <w:rsid w:val="001D019A"/>
    <w:rsid w:val="001D01E2"/>
    <w:rsid w:val="001D02CF"/>
    <w:rsid w:val="001D02FF"/>
    <w:rsid w:val="001D0308"/>
    <w:rsid w:val="001D0386"/>
    <w:rsid w:val="001D0507"/>
    <w:rsid w:val="001D0567"/>
    <w:rsid w:val="001D0583"/>
    <w:rsid w:val="001D06CD"/>
    <w:rsid w:val="001D07D8"/>
    <w:rsid w:val="001D08E1"/>
    <w:rsid w:val="001D0903"/>
    <w:rsid w:val="001D0923"/>
    <w:rsid w:val="001D096C"/>
    <w:rsid w:val="001D0A4C"/>
    <w:rsid w:val="001D0AE1"/>
    <w:rsid w:val="001D0C9B"/>
    <w:rsid w:val="001D0E3A"/>
    <w:rsid w:val="001D0E8C"/>
    <w:rsid w:val="001D0EB8"/>
    <w:rsid w:val="001D0F6D"/>
    <w:rsid w:val="001D0F92"/>
    <w:rsid w:val="001D11D8"/>
    <w:rsid w:val="001D1210"/>
    <w:rsid w:val="001D1360"/>
    <w:rsid w:val="001D1425"/>
    <w:rsid w:val="001D1490"/>
    <w:rsid w:val="001D1571"/>
    <w:rsid w:val="001D15CB"/>
    <w:rsid w:val="001D15CE"/>
    <w:rsid w:val="001D160B"/>
    <w:rsid w:val="001D16D4"/>
    <w:rsid w:val="001D16DF"/>
    <w:rsid w:val="001D17C4"/>
    <w:rsid w:val="001D1919"/>
    <w:rsid w:val="001D1926"/>
    <w:rsid w:val="001D1995"/>
    <w:rsid w:val="001D19B6"/>
    <w:rsid w:val="001D1A13"/>
    <w:rsid w:val="001D1BC1"/>
    <w:rsid w:val="001D1BF8"/>
    <w:rsid w:val="001D1C80"/>
    <w:rsid w:val="001D1CB6"/>
    <w:rsid w:val="001D1D64"/>
    <w:rsid w:val="001D1D7E"/>
    <w:rsid w:val="001D1DDC"/>
    <w:rsid w:val="001D1E4C"/>
    <w:rsid w:val="001D1F5D"/>
    <w:rsid w:val="001D1F76"/>
    <w:rsid w:val="001D1F77"/>
    <w:rsid w:val="001D1FD2"/>
    <w:rsid w:val="001D2091"/>
    <w:rsid w:val="001D215A"/>
    <w:rsid w:val="001D2243"/>
    <w:rsid w:val="001D230D"/>
    <w:rsid w:val="001D2353"/>
    <w:rsid w:val="001D2396"/>
    <w:rsid w:val="001D2467"/>
    <w:rsid w:val="001D2474"/>
    <w:rsid w:val="001D2572"/>
    <w:rsid w:val="001D2617"/>
    <w:rsid w:val="001D2742"/>
    <w:rsid w:val="001D2785"/>
    <w:rsid w:val="001D27B1"/>
    <w:rsid w:val="001D27E3"/>
    <w:rsid w:val="001D2900"/>
    <w:rsid w:val="001D2966"/>
    <w:rsid w:val="001D29BE"/>
    <w:rsid w:val="001D2AFC"/>
    <w:rsid w:val="001D2B92"/>
    <w:rsid w:val="001D2BD7"/>
    <w:rsid w:val="001D2BD8"/>
    <w:rsid w:val="001D2BDE"/>
    <w:rsid w:val="001D2BFE"/>
    <w:rsid w:val="001D2C1D"/>
    <w:rsid w:val="001D2C5C"/>
    <w:rsid w:val="001D2C70"/>
    <w:rsid w:val="001D2D1D"/>
    <w:rsid w:val="001D2D5F"/>
    <w:rsid w:val="001D2D74"/>
    <w:rsid w:val="001D2E13"/>
    <w:rsid w:val="001D2E97"/>
    <w:rsid w:val="001D2EB4"/>
    <w:rsid w:val="001D2F2B"/>
    <w:rsid w:val="001D2FA2"/>
    <w:rsid w:val="001D2FE3"/>
    <w:rsid w:val="001D3058"/>
    <w:rsid w:val="001D30BD"/>
    <w:rsid w:val="001D327A"/>
    <w:rsid w:val="001D3391"/>
    <w:rsid w:val="001D33C2"/>
    <w:rsid w:val="001D34B9"/>
    <w:rsid w:val="001D3521"/>
    <w:rsid w:val="001D3666"/>
    <w:rsid w:val="001D36B9"/>
    <w:rsid w:val="001D36D2"/>
    <w:rsid w:val="001D373A"/>
    <w:rsid w:val="001D375B"/>
    <w:rsid w:val="001D3831"/>
    <w:rsid w:val="001D3901"/>
    <w:rsid w:val="001D3920"/>
    <w:rsid w:val="001D393F"/>
    <w:rsid w:val="001D395D"/>
    <w:rsid w:val="001D3A83"/>
    <w:rsid w:val="001D3B1C"/>
    <w:rsid w:val="001D3BD6"/>
    <w:rsid w:val="001D3C03"/>
    <w:rsid w:val="001D3C0D"/>
    <w:rsid w:val="001D3CA9"/>
    <w:rsid w:val="001D3CF6"/>
    <w:rsid w:val="001D3D30"/>
    <w:rsid w:val="001D3E1A"/>
    <w:rsid w:val="001D3E45"/>
    <w:rsid w:val="001D3F31"/>
    <w:rsid w:val="001D3FBE"/>
    <w:rsid w:val="001D4001"/>
    <w:rsid w:val="001D4003"/>
    <w:rsid w:val="001D4004"/>
    <w:rsid w:val="001D40AF"/>
    <w:rsid w:val="001D40D6"/>
    <w:rsid w:val="001D4169"/>
    <w:rsid w:val="001D417D"/>
    <w:rsid w:val="001D41A7"/>
    <w:rsid w:val="001D428B"/>
    <w:rsid w:val="001D4291"/>
    <w:rsid w:val="001D4370"/>
    <w:rsid w:val="001D44BB"/>
    <w:rsid w:val="001D44FF"/>
    <w:rsid w:val="001D4510"/>
    <w:rsid w:val="001D4533"/>
    <w:rsid w:val="001D454D"/>
    <w:rsid w:val="001D4677"/>
    <w:rsid w:val="001D4693"/>
    <w:rsid w:val="001D46AC"/>
    <w:rsid w:val="001D46AE"/>
    <w:rsid w:val="001D46B8"/>
    <w:rsid w:val="001D47FE"/>
    <w:rsid w:val="001D4830"/>
    <w:rsid w:val="001D483C"/>
    <w:rsid w:val="001D4848"/>
    <w:rsid w:val="001D48AB"/>
    <w:rsid w:val="001D492A"/>
    <w:rsid w:val="001D4975"/>
    <w:rsid w:val="001D4A71"/>
    <w:rsid w:val="001D4B61"/>
    <w:rsid w:val="001D4B73"/>
    <w:rsid w:val="001D4BA8"/>
    <w:rsid w:val="001D4BED"/>
    <w:rsid w:val="001D4C94"/>
    <w:rsid w:val="001D4CDB"/>
    <w:rsid w:val="001D4E0F"/>
    <w:rsid w:val="001D4E59"/>
    <w:rsid w:val="001D4E6A"/>
    <w:rsid w:val="001D4EA2"/>
    <w:rsid w:val="001D4F9F"/>
    <w:rsid w:val="001D4FD7"/>
    <w:rsid w:val="001D5125"/>
    <w:rsid w:val="001D5182"/>
    <w:rsid w:val="001D53B3"/>
    <w:rsid w:val="001D5400"/>
    <w:rsid w:val="001D5569"/>
    <w:rsid w:val="001D5646"/>
    <w:rsid w:val="001D585D"/>
    <w:rsid w:val="001D5871"/>
    <w:rsid w:val="001D588F"/>
    <w:rsid w:val="001D59CF"/>
    <w:rsid w:val="001D5A9D"/>
    <w:rsid w:val="001D5BEB"/>
    <w:rsid w:val="001D5ED9"/>
    <w:rsid w:val="001D5F2B"/>
    <w:rsid w:val="001D5F4D"/>
    <w:rsid w:val="001D5FCD"/>
    <w:rsid w:val="001D6182"/>
    <w:rsid w:val="001D6223"/>
    <w:rsid w:val="001D6229"/>
    <w:rsid w:val="001D6242"/>
    <w:rsid w:val="001D627A"/>
    <w:rsid w:val="001D63B4"/>
    <w:rsid w:val="001D63D9"/>
    <w:rsid w:val="001D6495"/>
    <w:rsid w:val="001D6519"/>
    <w:rsid w:val="001D668D"/>
    <w:rsid w:val="001D67AE"/>
    <w:rsid w:val="001D6894"/>
    <w:rsid w:val="001D68E6"/>
    <w:rsid w:val="001D6AA1"/>
    <w:rsid w:val="001D6AC6"/>
    <w:rsid w:val="001D6B82"/>
    <w:rsid w:val="001D6B8F"/>
    <w:rsid w:val="001D6C33"/>
    <w:rsid w:val="001D6D57"/>
    <w:rsid w:val="001D6ED4"/>
    <w:rsid w:val="001D6EDD"/>
    <w:rsid w:val="001D7079"/>
    <w:rsid w:val="001D7145"/>
    <w:rsid w:val="001D71A6"/>
    <w:rsid w:val="001D72B3"/>
    <w:rsid w:val="001D7300"/>
    <w:rsid w:val="001D737F"/>
    <w:rsid w:val="001D74A1"/>
    <w:rsid w:val="001D7540"/>
    <w:rsid w:val="001D7578"/>
    <w:rsid w:val="001D7585"/>
    <w:rsid w:val="001D778D"/>
    <w:rsid w:val="001D77EC"/>
    <w:rsid w:val="001D7847"/>
    <w:rsid w:val="001D7A91"/>
    <w:rsid w:val="001D7A9D"/>
    <w:rsid w:val="001D7AB6"/>
    <w:rsid w:val="001D7AE3"/>
    <w:rsid w:val="001D7B22"/>
    <w:rsid w:val="001D7B4C"/>
    <w:rsid w:val="001D7BDC"/>
    <w:rsid w:val="001D7C1F"/>
    <w:rsid w:val="001D7D30"/>
    <w:rsid w:val="001D7DD3"/>
    <w:rsid w:val="001D7E4A"/>
    <w:rsid w:val="001D7FA0"/>
    <w:rsid w:val="001D7FE0"/>
    <w:rsid w:val="001D894C"/>
    <w:rsid w:val="001E00D4"/>
    <w:rsid w:val="001E00FB"/>
    <w:rsid w:val="001E016B"/>
    <w:rsid w:val="001E0262"/>
    <w:rsid w:val="001E0379"/>
    <w:rsid w:val="001E03EF"/>
    <w:rsid w:val="001E042E"/>
    <w:rsid w:val="001E05AD"/>
    <w:rsid w:val="001E0609"/>
    <w:rsid w:val="001E06B5"/>
    <w:rsid w:val="001E06F1"/>
    <w:rsid w:val="001E07F8"/>
    <w:rsid w:val="001E0987"/>
    <w:rsid w:val="001E0A4F"/>
    <w:rsid w:val="001E0B1A"/>
    <w:rsid w:val="001E0BDF"/>
    <w:rsid w:val="001E0C0D"/>
    <w:rsid w:val="001E0CAF"/>
    <w:rsid w:val="001E0CD7"/>
    <w:rsid w:val="001E0D4A"/>
    <w:rsid w:val="001E0D4C"/>
    <w:rsid w:val="001E0DB1"/>
    <w:rsid w:val="001E0DDA"/>
    <w:rsid w:val="001E0E92"/>
    <w:rsid w:val="001E1076"/>
    <w:rsid w:val="001E109B"/>
    <w:rsid w:val="001E1103"/>
    <w:rsid w:val="001E1139"/>
    <w:rsid w:val="001E11BD"/>
    <w:rsid w:val="001E124E"/>
    <w:rsid w:val="001E126A"/>
    <w:rsid w:val="001E1431"/>
    <w:rsid w:val="001E151B"/>
    <w:rsid w:val="001E15C0"/>
    <w:rsid w:val="001E163A"/>
    <w:rsid w:val="001E1864"/>
    <w:rsid w:val="001E186B"/>
    <w:rsid w:val="001E188E"/>
    <w:rsid w:val="001E18D8"/>
    <w:rsid w:val="001E19D7"/>
    <w:rsid w:val="001E1A40"/>
    <w:rsid w:val="001E1B85"/>
    <w:rsid w:val="001E1BAD"/>
    <w:rsid w:val="001E1BDF"/>
    <w:rsid w:val="001E1C99"/>
    <w:rsid w:val="001E1DA0"/>
    <w:rsid w:val="001E1DC3"/>
    <w:rsid w:val="001E1DFD"/>
    <w:rsid w:val="001E1E0D"/>
    <w:rsid w:val="001E1E63"/>
    <w:rsid w:val="001E1F1B"/>
    <w:rsid w:val="001E1F1F"/>
    <w:rsid w:val="001E1F2C"/>
    <w:rsid w:val="001E2008"/>
    <w:rsid w:val="001E2031"/>
    <w:rsid w:val="001E2061"/>
    <w:rsid w:val="001E2133"/>
    <w:rsid w:val="001E2151"/>
    <w:rsid w:val="001E21F6"/>
    <w:rsid w:val="001E2203"/>
    <w:rsid w:val="001E220D"/>
    <w:rsid w:val="001E2258"/>
    <w:rsid w:val="001E23B7"/>
    <w:rsid w:val="001E23F8"/>
    <w:rsid w:val="001E24DA"/>
    <w:rsid w:val="001E24F0"/>
    <w:rsid w:val="001E2555"/>
    <w:rsid w:val="001E258A"/>
    <w:rsid w:val="001E25B0"/>
    <w:rsid w:val="001E2632"/>
    <w:rsid w:val="001E273B"/>
    <w:rsid w:val="001E280E"/>
    <w:rsid w:val="001E288C"/>
    <w:rsid w:val="001E29DD"/>
    <w:rsid w:val="001E2AB8"/>
    <w:rsid w:val="001E2C17"/>
    <w:rsid w:val="001E2CB9"/>
    <w:rsid w:val="001E2CC0"/>
    <w:rsid w:val="001E2D7D"/>
    <w:rsid w:val="001E2DA2"/>
    <w:rsid w:val="001E2DDD"/>
    <w:rsid w:val="001E2E09"/>
    <w:rsid w:val="001E2E1B"/>
    <w:rsid w:val="001E2FFC"/>
    <w:rsid w:val="001E302F"/>
    <w:rsid w:val="001E31F4"/>
    <w:rsid w:val="001E31F5"/>
    <w:rsid w:val="001E3279"/>
    <w:rsid w:val="001E33A6"/>
    <w:rsid w:val="001E3411"/>
    <w:rsid w:val="001E3456"/>
    <w:rsid w:val="001E3493"/>
    <w:rsid w:val="001E351B"/>
    <w:rsid w:val="001E3522"/>
    <w:rsid w:val="001E353B"/>
    <w:rsid w:val="001E3607"/>
    <w:rsid w:val="001E36C1"/>
    <w:rsid w:val="001E36C2"/>
    <w:rsid w:val="001E3712"/>
    <w:rsid w:val="001E382C"/>
    <w:rsid w:val="001E3872"/>
    <w:rsid w:val="001E3A1E"/>
    <w:rsid w:val="001E3A50"/>
    <w:rsid w:val="001E3AAF"/>
    <w:rsid w:val="001E3AF1"/>
    <w:rsid w:val="001E3B77"/>
    <w:rsid w:val="001E3B7E"/>
    <w:rsid w:val="001E3BAB"/>
    <w:rsid w:val="001E3D2D"/>
    <w:rsid w:val="001E3D56"/>
    <w:rsid w:val="001E3D60"/>
    <w:rsid w:val="001E3ECA"/>
    <w:rsid w:val="001E3F68"/>
    <w:rsid w:val="001E3FFD"/>
    <w:rsid w:val="001E4077"/>
    <w:rsid w:val="001E409E"/>
    <w:rsid w:val="001E418B"/>
    <w:rsid w:val="001E41DF"/>
    <w:rsid w:val="001E42DA"/>
    <w:rsid w:val="001E4319"/>
    <w:rsid w:val="001E439F"/>
    <w:rsid w:val="001E4483"/>
    <w:rsid w:val="001E4492"/>
    <w:rsid w:val="001E4520"/>
    <w:rsid w:val="001E468E"/>
    <w:rsid w:val="001E475C"/>
    <w:rsid w:val="001E4787"/>
    <w:rsid w:val="001E47AA"/>
    <w:rsid w:val="001E47EB"/>
    <w:rsid w:val="001E4AB4"/>
    <w:rsid w:val="001E4B43"/>
    <w:rsid w:val="001E4C81"/>
    <w:rsid w:val="001E4CF7"/>
    <w:rsid w:val="001E4D78"/>
    <w:rsid w:val="001E4D79"/>
    <w:rsid w:val="001E4FB0"/>
    <w:rsid w:val="001E4FEA"/>
    <w:rsid w:val="001E5003"/>
    <w:rsid w:val="001E5004"/>
    <w:rsid w:val="001E50D8"/>
    <w:rsid w:val="001E5187"/>
    <w:rsid w:val="001E51E1"/>
    <w:rsid w:val="001E5249"/>
    <w:rsid w:val="001E5261"/>
    <w:rsid w:val="001E5298"/>
    <w:rsid w:val="001E534C"/>
    <w:rsid w:val="001E5434"/>
    <w:rsid w:val="001E5550"/>
    <w:rsid w:val="001E5568"/>
    <w:rsid w:val="001E58E2"/>
    <w:rsid w:val="001E5B52"/>
    <w:rsid w:val="001E5B88"/>
    <w:rsid w:val="001E5BFB"/>
    <w:rsid w:val="001E5DE8"/>
    <w:rsid w:val="001E5E47"/>
    <w:rsid w:val="001E5F14"/>
    <w:rsid w:val="001E5F54"/>
    <w:rsid w:val="001E5F57"/>
    <w:rsid w:val="001E6016"/>
    <w:rsid w:val="001E6051"/>
    <w:rsid w:val="001E6159"/>
    <w:rsid w:val="001E6242"/>
    <w:rsid w:val="001E630D"/>
    <w:rsid w:val="001E637D"/>
    <w:rsid w:val="001E63CA"/>
    <w:rsid w:val="001E6524"/>
    <w:rsid w:val="001E66B0"/>
    <w:rsid w:val="001E6713"/>
    <w:rsid w:val="001E6760"/>
    <w:rsid w:val="001E69B7"/>
    <w:rsid w:val="001E6AF4"/>
    <w:rsid w:val="001E6BAC"/>
    <w:rsid w:val="001E6D47"/>
    <w:rsid w:val="001E6D96"/>
    <w:rsid w:val="001E6DF4"/>
    <w:rsid w:val="001E6E6E"/>
    <w:rsid w:val="001E6EE3"/>
    <w:rsid w:val="001E6EEE"/>
    <w:rsid w:val="001E70F5"/>
    <w:rsid w:val="001E715D"/>
    <w:rsid w:val="001E7190"/>
    <w:rsid w:val="001E71FE"/>
    <w:rsid w:val="001E733D"/>
    <w:rsid w:val="001E7340"/>
    <w:rsid w:val="001E7489"/>
    <w:rsid w:val="001E74F0"/>
    <w:rsid w:val="001E75E3"/>
    <w:rsid w:val="001E76DC"/>
    <w:rsid w:val="001E77BB"/>
    <w:rsid w:val="001E78FC"/>
    <w:rsid w:val="001E797A"/>
    <w:rsid w:val="001E7A5A"/>
    <w:rsid w:val="001E7BD5"/>
    <w:rsid w:val="001E7C00"/>
    <w:rsid w:val="001E7C20"/>
    <w:rsid w:val="001E7C53"/>
    <w:rsid w:val="001E7CBE"/>
    <w:rsid w:val="001E7E79"/>
    <w:rsid w:val="001E7EEF"/>
    <w:rsid w:val="001E7F54"/>
    <w:rsid w:val="001F00CE"/>
    <w:rsid w:val="001F00FC"/>
    <w:rsid w:val="001F0200"/>
    <w:rsid w:val="001F021C"/>
    <w:rsid w:val="001F0693"/>
    <w:rsid w:val="001F07B4"/>
    <w:rsid w:val="001F07BB"/>
    <w:rsid w:val="001F08B4"/>
    <w:rsid w:val="001F08F0"/>
    <w:rsid w:val="001F090F"/>
    <w:rsid w:val="001F0913"/>
    <w:rsid w:val="001F094C"/>
    <w:rsid w:val="001F0952"/>
    <w:rsid w:val="001F0B40"/>
    <w:rsid w:val="001F0BBA"/>
    <w:rsid w:val="001F0C21"/>
    <w:rsid w:val="001F0D93"/>
    <w:rsid w:val="001F0DBC"/>
    <w:rsid w:val="001F0E05"/>
    <w:rsid w:val="001F0E16"/>
    <w:rsid w:val="001F0E7C"/>
    <w:rsid w:val="001F0EDA"/>
    <w:rsid w:val="001F0F0D"/>
    <w:rsid w:val="001F0F43"/>
    <w:rsid w:val="001F1195"/>
    <w:rsid w:val="001F125F"/>
    <w:rsid w:val="001F126A"/>
    <w:rsid w:val="001F1369"/>
    <w:rsid w:val="001F138A"/>
    <w:rsid w:val="001F13A2"/>
    <w:rsid w:val="001F1547"/>
    <w:rsid w:val="001F15C5"/>
    <w:rsid w:val="001F1625"/>
    <w:rsid w:val="001F1768"/>
    <w:rsid w:val="001F183A"/>
    <w:rsid w:val="001F18A4"/>
    <w:rsid w:val="001F1965"/>
    <w:rsid w:val="001F1994"/>
    <w:rsid w:val="001F1B39"/>
    <w:rsid w:val="001F1C81"/>
    <w:rsid w:val="001F1DA3"/>
    <w:rsid w:val="001F1E15"/>
    <w:rsid w:val="001F1E30"/>
    <w:rsid w:val="001F1E37"/>
    <w:rsid w:val="001F1ECB"/>
    <w:rsid w:val="001F1F69"/>
    <w:rsid w:val="001F1F87"/>
    <w:rsid w:val="001F2048"/>
    <w:rsid w:val="001F2063"/>
    <w:rsid w:val="001F2085"/>
    <w:rsid w:val="001F2111"/>
    <w:rsid w:val="001F2136"/>
    <w:rsid w:val="001F21D5"/>
    <w:rsid w:val="001F24C5"/>
    <w:rsid w:val="001F2602"/>
    <w:rsid w:val="001F262F"/>
    <w:rsid w:val="001F2727"/>
    <w:rsid w:val="001F27C8"/>
    <w:rsid w:val="001F285B"/>
    <w:rsid w:val="001F28B3"/>
    <w:rsid w:val="001F28C8"/>
    <w:rsid w:val="001F28D0"/>
    <w:rsid w:val="001F29A3"/>
    <w:rsid w:val="001F2A7D"/>
    <w:rsid w:val="001F2BA1"/>
    <w:rsid w:val="001F2C38"/>
    <w:rsid w:val="001F2D0A"/>
    <w:rsid w:val="001F2D4F"/>
    <w:rsid w:val="001F2E14"/>
    <w:rsid w:val="001F2E59"/>
    <w:rsid w:val="001F2ED4"/>
    <w:rsid w:val="001F3054"/>
    <w:rsid w:val="001F30D4"/>
    <w:rsid w:val="001F314F"/>
    <w:rsid w:val="001F316C"/>
    <w:rsid w:val="001F319C"/>
    <w:rsid w:val="001F3258"/>
    <w:rsid w:val="001F330E"/>
    <w:rsid w:val="001F3431"/>
    <w:rsid w:val="001F344B"/>
    <w:rsid w:val="001F3649"/>
    <w:rsid w:val="001F3786"/>
    <w:rsid w:val="001F37C8"/>
    <w:rsid w:val="001F3928"/>
    <w:rsid w:val="001F3A1E"/>
    <w:rsid w:val="001F3A2A"/>
    <w:rsid w:val="001F3B23"/>
    <w:rsid w:val="001F3B98"/>
    <w:rsid w:val="001F3ED5"/>
    <w:rsid w:val="001F3F2B"/>
    <w:rsid w:val="001F40F3"/>
    <w:rsid w:val="001F4126"/>
    <w:rsid w:val="001F41FC"/>
    <w:rsid w:val="001F4255"/>
    <w:rsid w:val="001F427F"/>
    <w:rsid w:val="001F4335"/>
    <w:rsid w:val="001F437C"/>
    <w:rsid w:val="001F43EA"/>
    <w:rsid w:val="001F4485"/>
    <w:rsid w:val="001F4516"/>
    <w:rsid w:val="001F456C"/>
    <w:rsid w:val="001F4570"/>
    <w:rsid w:val="001F46A1"/>
    <w:rsid w:val="001F46A5"/>
    <w:rsid w:val="001F46C0"/>
    <w:rsid w:val="001F46D5"/>
    <w:rsid w:val="001F474A"/>
    <w:rsid w:val="001F484E"/>
    <w:rsid w:val="001F4992"/>
    <w:rsid w:val="001F49DA"/>
    <w:rsid w:val="001F4B31"/>
    <w:rsid w:val="001F4B32"/>
    <w:rsid w:val="001F4D36"/>
    <w:rsid w:val="001F4D90"/>
    <w:rsid w:val="001F4E70"/>
    <w:rsid w:val="001F4E92"/>
    <w:rsid w:val="001F4FAD"/>
    <w:rsid w:val="001F4FE5"/>
    <w:rsid w:val="001F5012"/>
    <w:rsid w:val="001F517B"/>
    <w:rsid w:val="001F52F7"/>
    <w:rsid w:val="001F5331"/>
    <w:rsid w:val="001F5363"/>
    <w:rsid w:val="001F53A7"/>
    <w:rsid w:val="001F53EB"/>
    <w:rsid w:val="001F53EE"/>
    <w:rsid w:val="001F5442"/>
    <w:rsid w:val="001F55AE"/>
    <w:rsid w:val="001F568B"/>
    <w:rsid w:val="001F56BF"/>
    <w:rsid w:val="001F57BF"/>
    <w:rsid w:val="001F57C1"/>
    <w:rsid w:val="001F585B"/>
    <w:rsid w:val="001F58AA"/>
    <w:rsid w:val="001F58CA"/>
    <w:rsid w:val="001F59BC"/>
    <w:rsid w:val="001F59C4"/>
    <w:rsid w:val="001F5B08"/>
    <w:rsid w:val="001F5B2B"/>
    <w:rsid w:val="001F5CC1"/>
    <w:rsid w:val="001F5D27"/>
    <w:rsid w:val="001F5DAF"/>
    <w:rsid w:val="001F5EAF"/>
    <w:rsid w:val="001F5ED8"/>
    <w:rsid w:val="001F6087"/>
    <w:rsid w:val="001F6291"/>
    <w:rsid w:val="001F62D0"/>
    <w:rsid w:val="001F62F5"/>
    <w:rsid w:val="001F63F8"/>
    <w:rsid w:val="001F6470"/>
    <w:rsid w:val="001F6736"/>
    <w:rsid w:val="001F68A8"/>
    <w:rsid w:val="001F693E"/>
    <w:rsid w:val="001F6942"/>
    <w:rsid w:val="001F6963"/>
    <w:rsid w:val="001F69CF"/>
    <w:rsid w:val="001F6A00"/>
    <w:rsid w:val="001F6A16"/>
    <w:rsid w:val="001F6A8B"/>
    <w:rsid w:val="001F6AC4"/>
    <w:rsid w:val="001F6B51"/>
    <w:rsid w:val="001F6BE6"/>
    <w:rsid w:val="001F6C8A"/>
    <w:rsid w:val="001F6CB0"/>
    <w:rsid w:val="001F6D81"/>
    <w:rsid w:val="001F6D91"/>
    <w:rsid w:val="001F6E38"/>
    <w:rsid w:val="001F702F"/>
    <w:rsid w:val="001F7032"/>
    <w:rsid w:val="001F7086"/>
    <w:rsid w:val="001F718E"/>
    <w:rsid w:val="001F72FA"/>
    <w:rsid w:val="001F72FC"/>
    <w:rsid w:val="001F7335"/>
    <w:rsid w:val="001F733B"/>
    <w:rsid w:val="001F7349"/>
    <w:rsid w:val="001F749A"/>
    <w:rsid w:val="001F7597"/>
    <w:rsid w:val="001F7601"/>
    <w:rsid w:val="001F78C1"/>
    <w:rsid w:val="001F79C9"/>
    <w:rsid w:val="001F79FC"/>
    <w:rsid w:val="001F7A3D"/>
    <w:rsid w:val="001F7B0B"/>
    <w:rsid w:val="001F7C73"/>
    <w:rsid w:val="001F7CA3"/>
    <w:rsid w:val="001F7D21"/>
    <w:rsid w:val="001F7DBD"/>
    <w:rsid w:val="001F7DD3"/>
    <w:rsid w:val="001F7DE1"/>
    <w:rsid w:val="001F7F70"/>
    <w:rsid w:val="001F9A93"/>
    <w:rsid w:val="00200016"/>
    <w:rsid w:val="00200033"/>
    <w:rsid w:val="002000FF"/>
    <w:rsid w:val="00200327"/>
    <w:rsid w:val="00200396"/>
    <w:rsid w:val="002003CC"/>
    <w:rsid w:val="0020043E"/>
    <w:rsid w:val="002004A8"/>
    <w:rsid w:val="0020050E"/>
    <w:rsid w:val="00200797"/>
    <w:rsid w:val="002007A1"/>
    <w:rsid w:val="0020089B"/>
    <w:rsid w:val="002008CA"/>
    <w:rsid w:val="00200919"/>
    <w:rsid w:val="0020093A"/>
    <w:rsid w:val="00200971"/>
    <w:rsid w:val="002009B6"/>
    <w:rsid w:val="002009D6"/>
    <w:rsid w:val="00200B02"/>
    <w:rsid w:val="00200C1B"/>
    <w:rsid w:val="00200C4E"/>
    <w:rsid w:val="00200DB6"/>
    <w:rsid w:val="00200F4C"/>
    <w:rsid w:val="002011C6"/>
    <w:rsid w:val="00201201"/>
    <w:rsid w:val="00201261"/>
    <w:rsid w:val="002013B3"/>
    <w:rsid w:val="00201566"/>
    <w:rsid w:val="002019AC"/>
    <w:rsid w:val="00201C84"/>
    <w:rsid w:val="00201DB9"/>
    <w:rsid w:val="00201EBC"/>
    <w:rsid w:val="00201FA7"/>
    <w:rsid w:val="00202216"/>
    <w:rsid w:val="002022A1"/>
    <w:rsid w:val="002023D7"/>
    <w:rsid w:val="0020241E"/>
    <w:rsid w:val="00202428"/>
    <w:rsid w:val="002024C4"/>
    <w:rsid w:val="002025CA"/>
    <w:rsid w:val="00202710"/>
    <w:rsid w:val="002027FA"/>
    <w:rsid w:val="0020293B"/>
    <w:rsid w:val="00202974"/>
    <w:rsid w:val="00202A96"/>
    <w:rsid w:val="00202C14"/>
    <w:rsid w:val="00202CAE"/>
    <w:rsid w:val="00202E6B"/>
    <w:rsid w:val="00202FC3"/>
    <w:rsid w:val="00202FCF"/>
    <w:rsid w:val="00203071"/>
    <w:rsid w:val="0020319C"/>
    <w:rsid w:val="00203293"/>
    <w:rsid w:val="002032A7"/>
    <w:rsid w:val="002034BE"/>
    <w:rsid w:val="00203515"/>
    <w:rsid w:val="0020362A"/>
    <w:rsid w:val="002036AC"/>
    <w:rsid w:val="0020376B"/>
    <w:rsid w:val="00203782"/>
    <w:rsid w:val="00203797"/>
    <w:rsid w:val="002037A3"/>
    <w:rsid w:val="00203839"/>
    <w:rsid w:val="002038E1"/>
    <w:rsid w:val="002039E3"/>
    <w:rsid w:val="00203A52"/>
    <w:rsid w:val="00203A7B"/>
    <w:rsid w:val="00203AC8"/>
    <w:rsid w:val="00203B2C"/>
    <w:rsid w:val="00203B7B"/>
    <w:rsid w:val="00203CA8"/>
    <w:rsid w:val="00203D56"/>
    <w:rsid w:val="00203DC3"/>
    <w:rsid w:val="00203DC4"/>
    <w:rsid w:val="00203DEE"/>
    <w:rsid w:val="00203DF3"/>
    <w:rsid w:val="00203E41"/>
    <w:rsid w:val="00203E83"/>
    <w:rsid w:val="00203E98"/>
    <w:rsid w:val="00203F6E"/>
    <w:rsid w:val="00203FFB"/>
    <w:rsid w:val="002042BC"/>
    <w:rsid w:val="00204469"/>
    <w:rsid w:val="002044B7"/>
    <w:rsid w:val="0020451F"/>
    <w:rsid w:val="002045FA"/>
    <w:rsid w:val="00204768"/>
    <w:rsid w:val="002047A5"/>
    <w:rsid w:val="002047E0"/>
    <w:rsid w:val="002048B0"/>
    <w:rsid w:val="00204AD0"/>
    <w:rsid w:val="00204C07"/>
    <w:rsid w:val="00204D9F"/>
    <w:rsid w:val="00204F76"/>
    <w:rsid w:val="00204F96"/>
    <w:rsid w:val="00204FBA"/>
    <w:rsid w:val="002050C0"/>
    <w:rsid w:val="002050F1"/>
    <w:rsid w:val="00205160"/>
    <w:rsid w:val="0020519D"/>
    <w:rsid w:val="00205257"/>
    <w:rsid w:val="002052B7"/>
    <w:rsid w:val="002052DA"/>
    <w:rsid w:val="0020531F"/>
    <w:rsid w:val="002053E9"/>
    <w:rsid w:val="00205531"/>
    <w:rsid w:val="0020554A"/>
    <w:rsid w:val="0020556F"/>
    <w:rsid w:val="002056A2"/>
    <w:rsid w:val="0020571D"/>
    <w:rsid w:val="00205764"/>
    <w:rsid w:val="0020577B"/>
    <w:rsid w:val="00205787"/>
    <w:rsid w:val="002057DA"/>
    <w:rsid w:val="002058FF"/>
    <w:rsid w:val="00205B08"/>
    <w:rsid w:val="00205B5B"/>
    <w:rsid w:val="00205C18"/>
    <w:rsid w:val="00205C5D"/>
    <w:rsid w:val="00205C7A"/>
    <w:rsid w:val="00205DB3"/>
    <w:rsid w:val="00205DE2"/>
    <w:rsid w:val="00205E13"/>
    <w:rsid w:val="00205E28"/>
    <w:rsid w:val="00205E72"/>
    <w:rsid w:val="00205F05"/>
    <w:rsid w:val="00206218"/>
    <w:rsid w:val="0020624F"/>
    <w:rsid w:val="00206435"/>
    <w:rsid w:val="0020648B"/>
    <w:rsid w:val="00206616"/>
    <w:rsid w:val="00206670"/>
    <w:rsid w:val="0020667A"/>
    <w:rsid w:val="00206975"/>
    <w:rsid w:val="00206B49"/>
    <w:rsid w:val="00206BED"/>
    <w:rsid w:val="00206C39"/>
    <w:rsid w:val="00206C61"/>
    <w:rsid w:val="00206E0A"/>
    <w:rsid w:val="00206E91"/>
    <w:rsid w:val="00206EAB"/>
    <w:rsid w:val="00206EC0"/>
    <w:rsid w:val="00207083"/>
    <w:rsid w:val="002070B0"/>
    <w:rsid w:val="002070F4"/>
    <w:rsid w:val="00207234"/>
    <w:rsid w:val="00207286"/>
    <w:rsid w:val="002073B7"/>
    <w:rsid w:val="00207441"/>
    <w:rsid w:val="00207561"/>
    <w:rsid w:val="002075CF"/>
    <w:rsid w:val="002077BF"/>
    <w:rsid w:val="002077D3"/>
    <w:rsid w:val="0020780B"/>
    <w:rsid w:val="00207885"/>
    <w:rsid w:val="002078EF"/>
    <w:rsid w:val="00207A09"/>
    <w:rsid w:val="00207A38"/>
    <w:rsid w:val="00207A5B"/>
    <w:rsid w:val="00207AED"/>
    <w:rsid w:val="00207CB2"/>
    <w:rsid w:val="00207D23"/>
    <w:rsid w:val="00207D2F"/>
    <w:rsid w:val="00207D9A"/>
    <w:rsid w:val="00207EC3"/>
    <w:rsid w:val="00207FEE"/>
    <w:rsid w:val="0021027E"/>
    <w:rsid w:val="002102D9"/>
    <w:rsid w:val="0021035A"/>
    <w:rsid w:val="0021049C"/>
    <w:rsid w:val="002105C3"/>
    <w:rsid w:val="002105C8"/>
    <w:rsid w:val="00210683"/>
    <w:rsid w:val="0021069D"/>
    <w:rsid w:val="00210828"/>
    <w:rsid w:val="002109B3"/>
    <w:rsid w:val="002109F2"/>
    <w:rsid w:val="00210AD1"/>
    <w:rsid w:val="00210BC0"/>
    <w:rsid w:val="00210C32"/>
    <w:rsid w:val="00210CC0"/>
    <w:rsid w:val="00210DE2"/>
    <w:rsid w:val="00210E97"/>
    <w:rsid w:val="00210EED"/>
    <w:rsid w:val="00210F4C"/>
    <w:rsid w:val="002111F4"/>
    <w:rsid w:val="0021127B"/>
    <w:rsid w:val="002112C2"/>
    <w:rsid w:val="0021143D"/>
    <w:rsid w:val="0021145F"/>
    <w:rsid w:val="00211461"/>
    <w:rsid w:val="002114C6"/>
    <w:rsid w:val="002114E9"/>
    <w:rsid w:val="002114EB"/>
    <w:rsid w:val="00211583"/>
    <w:rsid w:val="0021175C"/>
    <w:rsid w:val="0021182C"/>
    <w:rsid w:val="002118BA"/>
    <w:rsid w:val="002119BD"/>
    <w:rsid w:val="00211A0E"/>
    <w:rsid w:val="00211A8B"/>
    <w:rsid w:val="00211BE8"/>
    <w:rsid w:val="00211C46"/>
    <w:rsid w:val="00211E80"/>
    <w:rsid w:val="00212059"/>
    <w:rsid w:val="0021205B"/>
    <w:rsid w:val="0021206D"/>
    <w:rsid w:val="002120A2"/>
    <w:rsid w:val="00212141"/>
    <w:rsid w:val="002123AE"/>
    <w:rsid w:val="002124E5"/>
    <w:rsid w:val="002125FE"/>
    <w:rsid w:val="0021261E"/>
    <w:rsid w:val="00212826"/>
    <w:rsid w:val="002129E6"/>
    <w:rsid w:val="00212A5C"/>
    <w:rsid w:val="00212B70"/>
    <w:rsid w:val="00212B88"/>
    <w:rsid w:val="00212C23"/>
    <w:rsid w:val="00212C50"/>
    <w:rsid w:val="00212D0E"/>
    <w:rsid w:val="00212E4D"/>
    <w:rsid w:val="00212E77"/>
    <w:rsid w:val="00212EA9"/>
    <w:rsid w:val="00212F1D"/>
    <w:rsid w:val="00212F93"/>
    <w:rsid w:val="00212FB0"/>
    <w:rsid w:val="00212FD8"/>
    <w:rsid w:val="0021309B"/>
    <w:rsid w:val="002130B1"/>
    <w:rsid w:val="00213183"/>
    <w:rsid w:val="002132EB"/>
    <w:rsid w:val="002132F9"/>
    <w:rsid w:val="002133DC"/>
    <w:rsid w:val="0021365B"/>
    <w:rsid w:val="002136F4"/>
    <w:rsid w:val="00213788"/>
    <w:rsid w:val="002137B3"/>
    <w:rsid w:val="00213975"/>
    <w:rsid w:val="00213A97"/>
    <w:rsid w:val="00213B79"/>
    <w:rsid w:val="00213BA9"/>
    <w:rsid w:val="00213C00"/>
    <w:rsid w:val="00213CCD"/>
    <w:rsid w:val="00213CCE"/>
    <w:rsid w:val="00213D7D"/>
    <w:rsid w:val="00213E3D"/>
    <w:rsid w:val="00213E88"/>
    <w:rsid w:val="00213F00"/>
    <w:rsid w:val="00213FF6"/>
    <w:rsid w:val="0021409A"/>
    <w:rsid w:val="002140F9"/>
    <w:rsid w:val="00214233"/>
    <w:rsid w:val="00214268"/>
    <w:rsid w:val="0021437E"/>
    <w:rsid w:val="0021464C"/>
    <w:rsid w:val="002146BD"/>
    <w:rsid w:val="002147DC"/>
    <w:rsid w:val="00214852"/>
    <w:rsid w:val="0021492E"/>
    <w:rsid w:val="00214A27"/>
    <w:rsid w:val="00214A2D"/>
    <w:rsid w:val="00214A91"/>
    <w:rsid w:val="00214B38"/>
    <w:rsid w:val="00214B99"/>
    <w:rsid w:val="00214BA9"/>
    <w:rsid w:val="00214BB1"/>
    <w:rsid w:val="00214C0C"/>
    <w:rsid w:val="00214C4C"/>
    <w:rsid w:val="00214CC2"/>
    <w:rsid w:val="00214D04"/>
    <w:rsid w:val="00214D13"/>
    <w:rsid w:val="00214D84"/>
    <w:rsid w:val="00214D8E"/>
    <w:rsid w:val="00214E05"/>
    <w:rsid w:val="00214EE0"/>
    <w:rsid w:val="00214F2A"/>
    <w:rsid w:val="00214F7C"/>
    <w:rsid w:val="00215133"/>
    <w:rsid w:val="00215178"/>
    <w:rsid w:val="00215194"/>
    <w:rsid w:val="0021522F"/>
    <w:rsid w:val="002153C4"/>
    <w:rsid w:val="0021540D"/>
    <w:rsid w:val="002154D6"/>
    <w:rsid w:val="00215629"/>
    <w:rsid w:val="00215657"/>
    <w:rsid w:val="00215874"/>
    <w:rsid w:val="002158A7"/>
    <w:rsid w:val="00215A23"/>
    <w:rsid w:val="00215AF6"/>
    <w:rsid w:val="00215B3F"/>
    <w:rsid w:val="00215C95"/>
    <w:rsid w:val="00215CED"/>
    <w:rsid w:val="00215D10"/>
    <w:rsid w:val="00215D78"/>
    <w:rsid w:val="00215D80"/>
    <w:rsid w:val="00215E0B"/>
    <w:rsid w:val="00215F35"/>
    <w:rsid w:val="0021604A"/>
    <w:rsid w:val="002160AD"/>
    <w:rsid w:val="00216188"/>
    <w:rsid w:val="0021625A"/>
    <w:rsid w:val="00216307"/>
    <w:rsid w:val="00216311"/>
    <w:rsid w:val="00216345"/>
    <w:rsid w:val="00216382"/>
    <w:rsid w:val="00216417"/>
    <w:rsid w:val="0021642A"/>
    <w:rsid w:val="002164A6"/>
    <w:rsid w:val="00216594"/>
    <w:rsid w:val="0021662F"/>
    <w:rsid w:val="00216735"/>
    <w:rsid w:val="00216810"/>
    <w:rsid w:val="002168E2"/>
    <w:rsid w:val="00216979"/>
    <w:rsid w:val="00216A4F"/>
    <w:rsid w:val="00216BDE"/>
    <w:rsid w:val="00216C03"/>
    <w:rsid w:val="00216E0E"/>
    <w:rsid w:val="00216E2F"/>
    <w:rsid w:val="00216FF7"/>
    <w:rsid w:val="0021705B"/>
    <w:rsid w:val="002170C2"/>
    <w:rsid w:val="00217198"/>
    <w:rsid w:val="002172D0"/>
    <w:rsid w:val="00217350"/>
    <w:rsid w:val="002173EF"/>
    <w:rsid w:val="002173FA"/>
    <w:rsid w:val="0021743D"/>
    <w:rsid w:val="0021748F"/>
    <w:rsid w:val="00217494"/>
    <w:rsid w:val="002174A8"/>
    <w:rsid w:val="00217554"/>
    <w:rsid w:val="0021757B"/>
    <w:rsid w:val="002175C8"/>
    <w:rsid w:val="00217687"/>
    <w:rsid w:val="00217785"/>
    <w:rsid w:val="002179C5"/>
    <w:rsid w:val="00217A14"/>
    <w:rsid w:val="00217A4B"/>
    <w:rsid w:val="00217AAA"/>
    <w:rsid w:val="00217B45"/>
    <w:rsid w:val="00217C00"/>
    <w:rsid w:val="00217CE2"/>
    <w:rsid w:val="00217D3D"/>
    <w:rsid w:val="00217D44"/>
    <w:rsid w:val="00217D52"/>
    <w:rsid w:val="00217D65"/>
    <w:rsid w:val="00217E84"/>
    <w:rsid w:val="00217FC3"/>
    <w:rsid w:val="00217FFB"/>
    <w:rsid w:val="00220082"/>
    <w:rsid w:val="00220214"/>
    <w:rsid w:val="00220252"/>
    <w:rsid w:val="00220263"/>
    <w:rsid w:val="002202A5"/>
    <w:rsid w:val="002202CF"/>
    <w:rsid w:val="0022069B"/>
    <w:rsid w:val="00220703"/>
    <w:rsid w:val="0022073E"/>
    <w:rsid w:val="0022074E"/>
    <w:rsid w:val="0022079B"/>
    <w:rsid w:val="0022079F"/>
    <w:rsid w:val="002207BE"/>
    <w:rsid w:val="00220885"/>
    <w:rsid w:val="0022096C"/>
    <w:rsid w:val="00220A85"/>
    <w:rsid w:val="00220B4F"/>
    <w:rsid w:val="00220D14"/>
    <w:rsid w:val="00220D70"/>
    <w:rsid w:val="00220E76"/>
    <w:rsid w:val="00220EB5"/>
    <w:rsid w:val="00220F8E"/>
    <w:rsid w:val="002211AE"/>
    <w:rsid w:val="002211C6"/>
    <w:rsid w:val="002212B5"/>
    <w:rsid w:val="002212D3"/>
    <w:rsid w:val="002213EE"/>
    <w:rsid w:val="002214C8"/>
    <w:rsid w:val="002215B4"/>
    <w:rsid w:val="00221652"/>
    <w:rsid w:val="00221679"/>
    <w:rsid w:val="002216F6"/>
    <w:rsid w:val="00221727"/>
    <w:rsid w:val="00221790"/>
    <w:rsid w:val="002217D9"/>
    <w:rsid w:val="00221801"/>
    <w:rsid w:val="00221843"/>
    <w:rsid w:val="002218DB"/>
    <w:rsid w:val="00221AAF"/>
    <w:rsid w:val="00221AB1"/>
    <w:rsid w:val="00221B7A"/>
    <w:rsid w:val="00221B9C"/>
    <w:rsid w:val="00221E0C"/>
    <w:rsid w:val="00221E10"/>
    <w:rsid w:val="00221EA5"/>
    <w:rsid w:val="00221EB7"/>
    <w:rsid w:val="00222176"/>
    <w:rsid w:val="0022217E"/>
    <w:rsid w:val="0022225C"/>
    <w:rsid w:val="002222FC"/>
    <w:rsid w:val="00222416"/>
    <w:rsid w:val="0022249C"/>
    <w:rsid w:val="00222599"/>
    <w:rsid w:val="002226B2"/>
    <w:rsid w:val="00222814"/>
    <w:rsid w:val="00222838"/>
    <w:rsid w:val="002229C5"/>
    <w:rsid w:val="00222A52"/>
    <w:rsid w:val="00222D10"/>
    <w:rsid w:val="00222E06"/>
    <w:rsid w:val="00222F5C"/>
    <w:rsid w:val="00222FD7"/>
    <w:rsid w:val="0022300A"/>
    <w:rsid w:val="0022309D"/>
    <w:rsid w:val="0022314B"/>
    <w:rsid w:val="00223196"/>
    <w:rsid w:val="002231FE"/>
    <w:rsid w:val="0022320E"/>
    <w:rsid w:val="002233E0"/>
    <w:rsid w:val="002234E6"/>
    <w:rsid w:val="00223506"/>
    <w:rsid w:val="0022366A"/>
    <w:rsid w:val="00223670"/>
    <w:rsid w:val="0022367A"/>
    <w:rsid w:val="00223790"/>
    <w:rsid w:val="002237F2"/>
    <w:rsid w:val="00223886"/>
    <w:rsid w:val="0022388F"/>
    <w:rsid w:val="002238A7"/>
    <w:rsid w:val="00223BD5"/>
    <w:rsid w:val="00223C87"/>
    <w:rsid w:val="00223E4F"/>
    <w:rsid w:val="00223EC7"/>
    <w:rsid w:val="00223F61"/>
    <w:rsid w:val="00223F76"/>
    <w:rsid w:val="00223FAA"/>
    <w:rsid w:val="00224044"/>
    <w:rsid w:val="00224049"/>
    <w:rsid w:val="00224133"/>
    <w:rsid w:val="002241A0"/>
    <w:rsid w:val="0022424B"/>
    <w:rsid w:val="0022424C"/>
    <w:rsid w:val="00224262"/>
    <w:rsid w:val="002242F4"/>
    <w:rsid w:val="0022432B"/>
    <w:rsid w:val="002243CB"/>
    <w:rsid w:val="002243D3"/>
    <w:rsid w:val="00224417"/>
    <w:rsid w:val="002244FA"/>
    <w:rsid w:val="0022459F"/>
    <w:rsid w:val="002245AE"/>
    <w:rsid w:val="0022464D"/>
    <w:rsid w:val="00224650"/>
    <w:rsid w:val="002246E8"/>
    <w:rsid w:val="0022474A"/>
    <w:rsid w:val="002247E1"/>
    <w:rsid w:val="0022486B"/>
    <w:rsid w:val="002248B7"/>
    <w:rsid w:val="00224905"/>
    <w:rsid w:val="0022492F"/>
    <w:rsid w:val="00224988"/>
    <w:rsid w:val="002249FF"/>
    <w:rsid w:val="00224A36"/>
    <w:rsid w:val="00224B0F"/>
    <w:rsid w:val="00224B1B"/>
    <w:rsid w:val="00224C38"/>
    <w:rsid w:val="00224FF6"/>
    <w:rsid w:val="0022512E"/>
    <w:rsid w:val="0022538B"/>
    <w:rsid w:val="00225395"/>
    <w:rsid w:val="002253B1"/>
    <w:rsid w:val="002253DD"/>
    <w:rsid w:val="00225451"/>
    <w:rsid w:val="0022562C"/>
    <w:rsid w:val="00225640"/>
    <w:rsid w:val="00225648"/>
    <w:rsid w:val="00225883"/>
    <w:rsid w:val="002258FB"/>
    <w:rsid w:val="00225945"/>
    <w:rsid w:val="00225A31"/>
    <w:rsid w:val="00225A84"/>
    <w:rsid w:val="00225BE2"/>
    <w:rsid w:val="00225C10"/>
    <w:rsid w:val="00225CBA"/>
    <w:rsid w:val="00225CC1"/>
    <w:rsid w:val="00225CF8"/>
    <w:rsid w:val="00225D3E"/>
    <w:rsid w:val="00225EF9"/>
    <w:rsid w:val="00225F92"/>
    <w:rsid w:val="00225FBD"/>
    <w:rsid w:val="00226175"/>
    <w:rsid w:val="002261D4"/>
    <w:rsid w:val="00226213"/>
    <w:rsid w:val="00226303"/>
    <w:rsid w:val="00226352"/>
    <w:rsid w:val="00226464"/>
    <w:rsid w:val="002264BC"/>
    <w:rsid w:val="00226552"/>
    <w:rsid w:val="002265DD"/>
    <w:rsid w:val="00226625"/>
    <w:rsid w:val="0022662E"/>
    <w:rsid w:val="0022674D"/>
    <w:rsid w:val="0022678C"/>
    <w:rsid w:val="00226803"/>
    <w:rsid w:val="00226838"/>
    <w:rsid w:val="002269B7"/>
    <w:rsid w:val="00226A24"/>
    <w:rsid w:val="00226A8E"/>
    <w:rsid w:val="00226BDD"/>
    <w:rsid w:val="00226C34"/>
    <w:rsid w:val="00226C9C"/>
    <w:rsid w:val="00226D9F"/>
    <w:rsid w:val="00226DF6"/>
    <w:rsid w:val="00227006"/>
    <w:rsid w:val="00227042"/>
    <w:rsid w:val="00227171"/>
    <w:rsid w:val="0022728B"/>
    <w:rsid w:val="00227397"/>
    <w:rsid w:val="002273AD"/>
    <w:rsid w:val="002273F7"/>
    <w:rsid w:val="002273FF"/>
    <w:rsid w:val="00227432"/>
    <w:rsid w:val="00227433"/>
    <w:rsid w:val="00227463"/>
    <w:rsid w:val="00227564"/>
    <w:rsid w:val="00227717"/>
    <w:rsid w:val="00227813"/>
    <w:rsid w:val="002278CD"/>
    <w:rsid w:val="00227936"/>
    <w:rsid w:val="00227BA8"/>
    <w:rsid w:val="00227BE6"/>
    <w:rsid w:val="00227C0C"/>
    <w:rsid w:val="00227C58"/>
    <w:rsid w:val="00227CE5"/>
    <w:rsid w:val="00227EA8"/>
    <w:rsid w:val="00230001"/>
    <w:rsid w:val="002300C1"/>
    <w:rsid w:val="002300DB"/>
    <w:rsid w:val="002301AB"/>
    <w:rsid w:val="002301B6"/>
    <w:rsid w:val="0023036C"/>
    <w:rsid w:val="002303B7"/>
    <w:rsid w:val="00230530"/>
    <w:rsid w:val="002305D7"/>
    <w:rsid w:val="0023088E"/>
    <w:rsid w:val="00230893"/>
    <w:rsid w:val="00230909"/>
    <w:rsid w:val="002309A4"/>
    <w:rsid w:val="00230A3A"/>
    <w:rsid w:val="00230A5C"/>
    <w:rsid w:val="00230AD4"/>
    <w:rsid w:val="00230BC1"/>
    <w:rsid w:val="00230BCC"/>
    <w:rsid w:val="00230BCE"/>
    <w:rsid w:val="00230E3D"/>
    <w:rsid w:val="00230E40"/>
    <w:rsid w:val="00230E95"/>
    <w:rsid w:val="00230F45"/>
    <w:rsid w:val="00230F59"/>
    <w:rsid w:val="00231088"/>
    <w:rsid w:val="0023110B"/>
    <w:rsid w:val="00231119"/>
    <w:rsid w:val="00231263"/>
    <w:rsid w:val="002313DE"/>
    <w:rsid w:val="0023144B"/>
    <w:rsid w:val="0023151D"/>
    <w:rsid w:val="00231536"/>
    <w:rsid w:val="00231655"/>
    <w:rsid w:val="002317C9"/>
    <w:rsid w:val="00231945"/>
    <w:rsid w:val="00231A4E"/>
    <w:rsid w:val="00231A76"/>
    <w:rsid w:val="00231B2D"/>
    <w:rsid w:val="00231D4A"/>
    <w:rsid w:val="00231E26"/>
    <w:rsid w:val="00231ECC"/>
    <w:rsid w:val="00231F17"/>
    <w:rsid w:val="00231F48"/>
    <w:rsid w:val="0023206A"/>
    <w:rsid w:val="002320F0"/>
    <w:rsid w:val="002322CB"/>
    <w:rsid w:val="002323F8"/>
    <w:rsid w:val="0023243A"/>
    <w:rsid w:val="002324AA"/>
    <w:rsid w:val="002326D5"/>
    <w:rsid w:val="00232761"/>
    <w:rsid w:val="0023279E"/>
    <w:rsid w:val="002327E7"/>
    <w:rsid w:val="00232810"/>
    <w:rsid w:val="00232845"/>
    <w:rsid w:val="00232952"/>
    <w:rsid w:val="002329F9"/>
    <w:rsid w:val="00232A75"/>
    <w:rsid w:val="00232AA3"/>
    <w:rsid w:val="00232B83"/>
    <w:rsid w:val="00232BD6"/>
    <w:rsid w:val="00232C2C"/>
    <w:rsid w:val="00232C85"/>
    <w:rsid w:val="00233006"/>
    <w:rsid w:val="00233007"/>
    <w:rsid w:val="0023317C"/>
    <w:rsid w:val="002331E1"/>
    <w:rsid w:val="002332A6"/>
    <w:rsid w:val="0023331F"/>
    <w:rsid w:val="0023338A"/>
    <w:rsid w:val="002333FF"/>
    <w:rsid w:val="0023348D"/>
    <w:rsid w:val="002334B7"/>
    <w:rsid w:val="002334DE"/>
    <w:rsid w:val="002334F7"/>
    <w:rsid w:val="0023360E"/>
    <w:rsid w:val="00233676"/>
    <w:rsid w:val="00233705"/>
    <w:rsid w:val="0023378D"/>
    <w:rsid w:val="002337EB"/>
    <w:rsid w:val="00233833"/>
    <w:rsid w:val="00233906"/>
    <w:rsid w:val="00233917"/>
    <w:rsid w:val="002339F1"/>
    <w:rsid w:val="00233ABC"/>
    <w:rsid w:val="00233AC3"/>
    <w:rsid w:val="00233B5F"/>
    <w:rsid w:val="00233BCA"/>
    <w:rsid w:val="00233BDA"/>
    <w:rsid w:val="00233D2D"/>
    <w:rsid w:val="00233D38"/>
    <w:rsid w:val="00233DC5"/>
    <w:rsid w:val="00233DD4"/>
    <w:rsid w:val="00233EFB"/>
    <w:rsid w:val="0023408F"/>
    <w:rsid w:val="002340BA"/>
    <w:rsid w:val="0023416A"/>
    <w:rsid w:val="002341A8"/>
    <w:rsid w:val="002343EA"/>
    <w:rsid w:val="002344F7"/>
    <w:rsid w:val="002346B5"/>
    <w:rsid w:val="002348BE"/>
    <w:rsid w:val="002348EC"/>
    <w:rsid w:val="00234911"/>
    <w:rsid w:val="0023491D"/>
    <w:rsid w:val="00234BD5"/>
    <w:rsid w:val="00234BE5"/>
    <w:rsid w:val="00234DF7"/>
    <w:rsid w:val="00234F91"/>
    <w:rsid w:val="00234FB0"/>
    <w:rsid w:val="00235015"/>
    <w:rsid w:val="002352D9"/>
    <w:rsid w:val="002353D2"/>
    <w:rsid w:val="00235523"/>
    <w:rsid w:val="002356DF"/>
    <w:rsid w:val="002356FF"/>
    <w:rsid w:val="002358CC"/>
    <w:rsid w:val="002358FF"/>
    <w:rsid w:val="002359B0"/>
    <w:rsid w:val="002359DF"/>
    <w:rsid w:val="00235A01"/>
    <w:rsid w:val="00235A9C"/>
    <w:rsid w:val="00235AFE"/>
    <w:rsid w:val="00235B19"/>
    <w:rsid w:val="00235B55"/>
    <w:rsid w:val="00235BB0"/>
    <w:rsid w:val="00235BF3"/>
    <w:rsid w:val="00235C8B"/>
    <w:rsid w:val="00235E43"/>
    <w:rsid w:val="00235E87"/>
    <w:rsid w:val="00235F4C"/>
    <w:rsid w:val="0023604A"/>
    <w:rsid w:val="002360C3"/>
    <w:rsid w:val="00236110"/>
    <w:rsid w:val="00236174"/>
    <w:rsid w:val="002361A9"/>
    <w:rsid w:val="002363B0"/>
    <w:rsid w:val="002363E3"/>
    <w:rsid w:val="0023646D"/>
    <w:rsid w:val="0023658F"/>
    <w:rsid w:val="00236594"/>
    <w:rsid w:val="0023662F"/>
    <w:rsid w:val="002369D2"/>
    <w:rsid w:val="00236A46"/>
    <w:rsid w:val="00236A5D"/>
    <w:rsid w:val="00236A63"/>
    <w:rsid w:val="00236B47"/>
    <w:rsid w:val="00236C9B"/>
    <w:rsid w:val="00236C9C"/>
    <w:rsid w:val="00236D7F"/>
    <w:rsid w:val="00236E65"/>
    <w:rsid w:val="00236F12"/>
    <w:rsid w:val="00237086"/>
    <w:rsid w:val="0023717F"/>
    <w:rsid w:val="002371B4"/>
    <w:rsid w:val="002371D6"/>
    <w:rsid w:val="0023723C"/>
    <w:rsid w:val="002372BF"/>
    <w:rsid w:val="00237377"/>
    <w:rsid w:val="00237441"/>
    <w:rsid w:val="00237445"/>
    <w:rsid w:val="002375A4"/>
    <w:rsid w:val="00237795"/>
    <w:rsid w:val="002378A1"/>
    <w:rsid w:val="00237914"/>
    <w:rsid w:val="002379DD"/>
    <w:rsid w:val="002379E5"/>
    <w:rsid w:val="00237A7E"/>
    <w:rsid w:val="00237BBF"/>
    <w:rsid w:val="00237C90"/>
    <w:rsid w:val="00237CF0"/>
    <w:rsid w:val="00237D99"/>
    <w:rsid w:val="00240166"/>
    <w:rsid w:val="0024018C"/>
    <w:rsid w:val="002401DC"/>
    <w:rsid w:val="00240264"/>
    <w:rsid w:val="0024029F"/>
    <w:rsid w:val="00240321"/>
    <w:rsid w:val="00240338"/>
    <w:rsid w:val="00240381"/>
    <w:rsid w:val="0024057F"/>
    <w:rsid w:val="00240587"/>
    <w:rsid w:val="00240788"/>
    <w:rsid w:val="0024082E"/>
    <w:rsid w:val="0024089D"/>
    <w:rsid w:val="00240945"/>
    <w:rsid w:val="00240963"/>
    <w:rsid w:val="00240A0E"/>
    <w:rsid w:val="00240A6E"/>
    <w:rsid w:val="00240B28"/>
    <w:rsid w:val="00240B2D"/>
    <w:rsid w:val="00240B6D"/>
    <w:rsid w:val="00240C11"/>
    <w:rsid w:val="00240CB2"/>
    <w:rsid w:val="00240D2A"/>
    <w:rsid w:val="00240D4C"/>
    <w:rsid w:val="00240DCC"/>
    <w:rsid w:val="00240F1B"/>
    <w:rsid w:val="0024101B"/>
    <w:rsid w:val="00241100"/>
    <w:rsid w:val="0024112D"/>
    <w:rsid w:val="002411B4"/>
    <w:rsid w:val="002411EF"/>
    <w:rsid w:val="00241216"/>
    <w:rsid w:val="002412CC"/>
    <w:rsid w:val="002412FF"/>
    <w:rsid w:val="00241375"/>
    <w:rsid w:val="00241393"/>
    <w:rsid w:val="0024151F"/>
    <w:rsid w:val="00241556"/>
    <w:rsid w:val="002415A5"/>
    <w:rsid w:val="002415AF"/>
    <w:rsid w:val="002415EA"/>
    <w:rsid w:val="00241638"/>
    <w:rsid w:val="002416BB"/>
    <w:rsid w:val="002417E1"/>
    <w:rsid w:val="00241831"/>
    <w:rsid w:val="0024191A"/>
    <w:rsid w:val="0024192B"/>
    <w:rsid w:val="0024195B"/>
    <w:rsid w:val="002419D7"/>
    <w:rsid w:val="00241A0D"/>
    <w:rsid w:val="00241A18"/>
    <w:rsid w:val="00241AAF"/>
    <w:rsid w:val="00241B13"/>
    <w:rsid w:val="00241B49"/>
    <w:rsid w:val="00241B5A"/>
    <w:rsid w:val="00241CE9"/>
    <w:rsid w:val="00241D4E"/>
    <w:rsid w:val="00241D61"/>
    <w:rsid w:val="00241DAF"/>
    <w:rsid w:val="00241E3D"/>
    <w:rsid w:val="00241E84"/>
    <w:rsid w:val="00241EA8"/>
    <w:rsid w:val="0024202D"/>
    <w:rsid w:val="002421D4"/>
    <w:rsid w:val="0024237B"/>
    <w:rsid w:val="00242393"/>
    <w:rsid w:val="002423A4"/>
    <w:rsid w:val="00242547"/>
    <w:rsid w:val="002425AC"/>
    <w:rsid w:val="002428CB"/>
    <w:rsid w:val="00242A81"/>
    <w:rsid w:val="00242AF7"/>
    <w:rsid w:val="00242B3A"/>
    <w:rsid w:val="00242BED"/>
    <w:rsid w:val="00242CAA"/>
    <w:rsid w:val="00242E58"/>
    <w:rsid w:val="00242F04"/>
    <w:rsid w:val="00242F66"/>
    <w:rsid w:val="00242FC4"/>
    <w:rsid w:val="0024304C"/>
    <w:rsid w:val="0024313C"/>
    <w:rsid w:val="002431DE"/>
    <w:rsid w:val="0024326B"/>
    <w:rsid w:val="00243333"/>
    <w:rsid w:val="00243535"/>
    <w:rsid w:val="002435B5"/>
    <w:rsid w:val="002435D8"/>
    <w:rsid w:val="00243681"/>
    <w:rsid w:val="002438EE"/>
    <w:rsid w:val="002439FF"/>
    <w:rsid w:val="00243A0A"/>
    <w:rsid w:val="00243C58"/>
    <w:rsid w:val="00243C78"/>
    <w:rsid w:val="00243DC5"/>
    <w:rsid w:val="00243E93"/>
    <w:rsid w:val="0024418F"/>
    <w:rsid w:val="00244235"/>
    <w:rsid w:val="00244363"/>
    <w:rsid w:val="002444BA"/>
    <w:rsid w:val="002445E1"/>
    <w:rsid w:val="00244672"/>
    <w:rsid w:val="00244747"/>
    <w:rsid w:val="0024488F"/>
    <w:rsid w:val="002448DE"/>
    <w:rsid w:val="002448FF"/>
    <w:rsid w:val="002449DB"/>
    <w:rsid w:val="00244A84"/>
    <w:rsid w:val="00244B22"/>
    <w:rsid w:val="00244C59"/>
    <w:rsid w:val="00244CF7"/>
    <w:rsid w:val="00244D8B"/>
    <w:rsid w:val="00244DA4"/>
    <w:rsid w:val="00244DC0"/>
    <w:rsid w:val="00244DD4"/>
    <w:rsid w:val="00244E39"/>
    <w:rsid w:val="00245007"/>
    <w:rsid w:val="0024502D"/>
    <w:rsid w:val="002450B8"/>
    <w:rsid w:val="002450CE"/>
    <w:rsid w:val="002451F6"/>
    <w:rsid w:val="00245378"/>
    <w:rsid w:val="002453C4"/>
    <w:rsid w:val="0024544F"/>
    <w:rsid w:val="0024558F"/>
    <w:rsid w:val="00245615"/>
    <w:rsid w:val="002456E6"/>
    <w:rsid w:val="00245702"/>
    <w:rsid w:val="00245813"/>
    <w:rsid w:val="00245957"/>
    <w:rsid w:val="00245977"/>
    <w:rsid w:val="002459D9"/>
    <w:rsid w:val="00245ADA"/>
    <w:rsid w:val="00245AF1"/>
    <w:rsid w:val="00245B11"/>
    <w:rsid w:val="00245B1F"/>
    <w:rsid w:val="00245B22"/>
    <w:rsid w:val="00245C7D"/>
    <w:rsid w:val="00245D6F"/>
    <w:rsid w:val="00245DBE"/>
    <w:rsid w:val="00245DF1"/>
    <w:rsid w:val="0024610C"/>
    <w:rsid w:val="00246119"/>
    <w:rsid w:val="002461E8"/>
    <w:rsid w:val="00246244"/>
    <w:rsid w:val="00246323"/>
    <w:rsid w:val="002463D1"/>
    <w:rsid w:val="00246550"/>
    <w:rsid w:val="00246592"/>
    <w:rsid w:val="002465CA"/>
    <w:rsid w:val="0024667A"/>
    <w:rsid w:val="002466A7"/>
    <w:rsid w:val="00246751"/>
    <w:rsid w:val="002468E3"/>
    <w:rsid w:val="00246902"/>
    <w:rsid w:val="00246950"/>
    <w:rsid w:val="00246960"/>
    <w:rsid w:val="002469ED"/>
    <w:rsid w:val="00246A41"/>
    <w:rsid w:val="00246A87"/>
    <w:rsid w:val="00246BDD"/>
    <w:rsid w:val="00246C0E"/>
    <w:rsid w:val="00246D58"/>
    <w:rsid w:val="00246F5A"/>
    <w:rsid w:val="002470AF"/>
    <w:rsid w:val="00247181"/>
    <w:rsid w:val="00247187"/>
    <w:rsid w:val="00247263"/>
    <w:rsid w:val="002472B5"/>
    <w:rsid w:val="0024735F"/>
    <w:rsid w:val="002473FD"/>
    <w:rsid w:val="002475F3"/>
    <w:rsid w:val="0024779A"/>
    <w:rsid w:val="002477F6"/>
    <w:rsid w:val="0024788D"/>
    <w:rsid w:val="002479B8"/>
    <w:rsid w:val="00247B32"/>
    <w:rsid w:val="00247BF4"/>
    <w:rsid w:val="00247CBA"/>
    <w:rsid w:val="00247DCC"/>
    <w:rsid w:val="00247DCD"/>
    <w:rsid w:val="00247E37"/>
    <w:rsid w:val="00247ED7"/>
    <w:rsid w:val="00250055"/>
    <w:rsid w:val="0025007A"/>
    <w:rsid w:val="00250112"/>
    <w:rsid w:val="0025015A"/>
    <w:rsid w:val="00250164"/>
    <w:rsid w:val="002502AE"/>
    <w:rsid w:val="0025034A"/>
    <w:rsid w:val="00250358"/>
    <w:rsid w:val="002505F0"/>
    <w:rsid w:val="00250609"/>
    <w:rsid w:val="002506DF"/>
    <w:rsid w:val="0025077A"/>
    <w:rsid w:val="0025078E"/>
    <w:rsid w:val="00250964"/>
    <w:rsid w:val="00250C64"/>
    <w:rsid w:val="00250D8B"/>
    <w:rsid w:val="00250E24"/>
    <w:rsid w:val="00250ED4"/>
    <w:rsid w:val="00250EE0"/>
    <w:rsid w:val="00250FE7"/>
    <w:rsid w:val="00251073"/>
    <w:rsid w:val="00251149"/>
    <w:rsid w:val="00251158"/>
    <w:rsid w:val="00251200"/>
    <w:rsid w:val="00251370"/>
    <w:rsid w:val="0025152B"/>
    <w:rsid w:val="002516DC"/>
    <w:rsid w:val="002516DD"/>
    <w:rsid w:val="00251761"/>
    <w:rsid w:val="00251856"/>
    <w:rsid w:val="002518BD"/>
    <w:rsid w:val="002518F6"/>
    <w:rsid w:val="00251927"/>
    <w:rsid w:val="00251AE7"/>
    <w:rsid w:val="00251B01"/>
    <w:rsid w:val="00251B1A"/>
    <w:rsid w:val="00251BCF"/>
    <w:rsid w:val="00251C13"/>
    <w:rsid w:val="00251C2C"/>
    <w:rsid w:val="00251C51"/>
    <w:rsid w:val="00251CA0"/>
    <w:rsid w:val="00251CE1"/>
    <w:rsid w:val="00251E39"/>
    <w:rsid w:val="00251E58"/>
    <w:rsid w:val="00251FE5"/>
    <w:rsid w:val="0025206D"/>
    <w:rsid w:val="0025207E"/>
    <w:rsid w:val="0025213B"/>
    <w:rsid w:val="00252189"/>
    <w:rsid w:val="002521A4"/>
    <w:rsid w:val="002521F0"/>
    <w:rsid w:val="0025239E"/>
    <w:rsid w:val="0025251E"/>
    <w:rsid w:val="002526C4"/>
    <w:rsid w:val="002528BC"/>
    <w:rsid w:val="002528E0"/>
    <w:rsid w:val="00252957"/>
    <w:rsid w:val="00252968"/>
    <w:rsid w:val="00252AAF"/>
    <w:rsid w:val="00252B7A"/>
    <w:rsid w:val="00252BE6"/>
    <w:rsid w:val="00252E47"/>
    <w:rsid w:val="00252E4B"/>
    <w:rsid w:val="00252ED0"/>
    <w:rsid w:val="00252EE9"/>
    <w:rsid w:val="00252F49"/>
    <w:rsid w:val="00252FF7"/>
    <w:rsid w:val="0025327A"/>
    <w:rsid w:val="0025327C"/>
    <w:rsid w:val="0025332F"/>
    <w:rsid w:val="00253356"/>
    <w:rsid w:val="00253368"/>
    <w:rsid w:val="00253371"/>
    <w:rsid w:val="002535E6"/>
    <w:rsid w:val="00253624"/>
    <w:rsid w:val="00253706"/>
    <w:rsid w:val="00253924"/>
    <w:rsid w:val="00253A43"/>
    <w:rsid w:val="00253A84"/>
    <w:rsid w:val="00253AFD"/>
    <w:rsid w:val="00253B67"/>
    <w:rsid w:val="00253C79"/>
    <w:rsid w:val="00253CCB"/>
    <w:rsid w:val="00253D49"/>
    <w:rsid w:val="00253FD2"/>
    <w:rsid w:val="002540D9"/>
    <w:rsid w:val="002540EF"/>
    <w:rsid w:val="00254211"/>
    <w:rsid w:val="002542C4"/>
    <w:rsid w:val="002542EF"/>
    <w:rsid w:val="00254401"/>
    <w:rsid w:val="0025443B"/>
    <w:rsid w:val="00254593"/>
    <w:rsid w:val="002546DE"/>
    <w:rsid w:val="0025477F"/>
    <w:rsid w:val="00254928"/>
    <w:rsid w:val="002549E8"/>
    <w:rsid w:val="002549FE"/>
    <w:rsid w:val="00254B43"/>
    <w:rsid w:val="00254BB6"/>
    <w:rsid w:val="00254C7D"/>
    <w:rsid w:val="00254C94"/>
    <w:rsid w:val="00254CCD"/>
    <w:rsid w:val="00254DD6"/>
    <w:rsid w:val="00254E1B"/>
    <w:rsid w:val="00254F69"/>
    <w:rsid w:val="0025504C"/>
    <w:rsid w:val="00255104"/>
    <w:rsid w:val="00255237"/>
    <w:rsid w:val="00255283"/>
    <w:rsid w:val="002555DF"/>
    <w:rsid w:val="00255721"/>
    <w:rsid w:val="0025584A"/>
    <w:rsid w:val="00255C0B"/>
    <w:rsid w:val="00255C24"/>
    <w:rsid w:val="00255C96"/>
    <w:rsid w:val="00255CF1"/>
    <w:rsid w:val="00255D76"/>
    <w:rsid w:val="00255DAB"/>
    <w:rsid w:val="00255E1F"/>
    <w:rsid w:val="00255E31"/>
    <w:rsid w:val="00255EFB"/>
    <w:rsid w:val="00256053"/>
    <w:rsid w:val="00256093"/>
    <w:rsid w:val="002562C0"/>
    <w:rsid w:val="002562D0"/>
    <w:rsid w:val="00256352"/>
    <w:rsid w:val="00256365"/>
    <w:rsid w:val="00256377"/>
    <w:rsid w:val="00256400"/>
    <w:rsid w:val="002564C8"/>
    <w:rsid w:val="0025673A"/>
    <w:rsid w:val="0025673B"/>
    <w:rsid w:val="00256851"/>
    <w:rsid w:val="0025689F"/>
    <w:rsid w:val="002568AA"/>
    <w:rsid w:val="00256940"/>
    <w:rsid w:val="00256B3E"/>
    <w:rsid w:val="00256B64"/>
    <w:rsid w:val="00256B9A"/>
    <w:rsid w:val="00256BBA"/>
    <w:rsid w:val="00256C31"/>
    <w:rsid w:val="00256D0D"/>
    <w:rsid w:val="00256D6A"/>
    <w:rsid w:val="00256EE8"/>
    <w:rsid w:val="00256F51"/>
    <w:rsid w:val="002570B3"/>
    <w:rsid w:val="002570BA"/>
    <w:rsid w:val="002571BE"/>
    <w:rsid w:val="002571CE"/>
    <w:rsid w:val="00257212"/>
    <w:rsid w:val="0025736F"/>
    <w:rsid w:val="002573E5"/>
    <w:rsid w:val="002574D3"/>
    <w:rsid w:val="0025751B"/>
    <w:rsid w:val="002575C1"/>
    <w:rsid w:val="0025766C"/>
    <w:rsid w:val="0025772E"/>
    <w:rsid w:val="002578AE"/>
    <w:rsid w:val="002578BB"/>
    <w:rsid w:val="00257976"/>
    <w:rsid w:val="00257A66"/>
    <w:rsid w:val="00257A95"/>
    <w:rsid w:val="00257B5C"/>
    <w:rsid w:val="00257B79"/>
    <w:rsid w:val="00257BC6"/>
    <w:rsid w:val="00257D5B"/>
    <w:rsid w:val="00257DE6"/>
    <w:rsid w:val="00257DF6"/>
    <w:rsid w:val="00257EB6"/>
    <w:rsid w:val="00260059"/>
    <w:rsid w:val="00260084"/>
    <w:rsid w:val="002600F2"/>
    <w:rsid w:val="00260276"/>
    <w:rsid w:val="002602A0"/>
    <w:rsid w:val="002602D8"/>
    <w:rsid w:val="0026038F"/>
    <w:rsid w:val="002603B3"/>
    <w:rsid w:val="002603D8"/>
    <w:rsid w:val="002604BB"/>
    <w:rsid w:val="002604D3"/>
    <w:rsid w:val="002605CA"/>
    <w:rsid w:val="002605E5"/>
    <w:rsid w:val="002608F5"/>
    <w:rsid w:val="002608F6"/>
    <w:rsid w:val="0026099C"/>
    <w:rsid w:val="00260A34"/>
    <w:rsid w:val="00260A4D"/>
    <w:rsid w:val="00260A76"/>
    <w:rsid w:val="00260B0B"/>
    <w:rsid w:val="00260BFC"/>
    <w:rsid w:val="00260C11"/>
    <w:rsid w:val="00260CC2"/>
    <w:rsid w:val="00260CE9"/>
    <w:rsid w:val="00260FD7"/>
    <w:rsid w:val="002610E9"/>
    <w:rsid w:val="00261194"/>
    <w:rsid w:val="002611F3"/>
    <w:rsid w:val="00261220"/>
    <w:rsid w:val="0026128C"/>
    <w:rsid w:val="0026132D"/>
    <w:rsid w:val="0026141E"/>
    <w:rsid w:val="0026145C"/>
    <w:rsid w:val="00261474"/>
    <w:rsid w:val="00261575"/>
    <w:rsid w:val="002615DA"/>
    <w:rsid w:val="0026165B"/>
    <w:rsid w:val="00261811"/>
    <w:rsid w:val="0026181B"/>
    <w:rsid w:val="00261828"/>
    <w:rsid w:val="002618F8"/>
    <w:rsid w:val="00261A34"/>
    <w:rsid w:val="00261A8B"/>
    <w:rsid w:val="00261AB2"/>
    <w:rsid w:val="00261BA4"/>
    <w:rsid w:val="00261C23"/>
    <w:rsid w:val="00261CDA"/>
    <w:rsid w:val="00261CFF"/>
    <w:rsid w:val="00261D39"/>
    <w:rsid w:val="00261D70"/>
    <w:rsid w:val="00261DF7"/>
    <w:rsid w:val="00261E3C"/>
    <w:rsid w:val="00261E83"/>
    <w:rsid w:val="00261F3C"/>
    <w:rsid w:val="002621FC"/>
    <w:rsid w:val="0026226C"/>
    <w:rsid w:val="00262385"/>
    <w:rsid w:val="002624C8"/>
    <w:rsid w:val="002624D1"/>
    <w:rsid w:val="002624E8"/>
    <w:rsid w:val="0026253B"/>
    <w:rsid w:val="002625F3"/>
    <w:rsid w:val="00262724"/>
    <w:rsid w:val="0026272A"/>
    <w:rsid w:val="0026289F"/>
    <w:rsid w:val="00262A29"/>
    <w:rsid w:val="00262B4F"/>
    <w:rsid w:val="00262B8B"/>
    <w:rsid w:val="00262B90"/>
    <w:rsid w:val="00262C89"/>
    <w:rsid w:val="00262D47"/>
    <w:rsid w:val="00262D4E"/>
    <w:rsid w:val="00262E65"/>
    <w:rsid w:val="00262EDC"/>
    <w:rsid w:val="00262FC1"/>
    <w:rsid w:val="00262FFF"/>
    <w:rsid w:val="0026316D"/>
    <w:rsid w:val="002631D7"/>
    <w:rsid w:val="0026323A"/>
    <w:rsid w:val="0026324E"/>
    <w:rsid w:val="00263278"/>
    <w:rsid w:val="002632A0"/>
    <w:rsid w:val="002632E5"/>
    <w:rsid w:val="002634D9"/>
    <w:rsid w:val="0026357F"/>
    <w:rsid w:val="00263658"/>
    <w:rsid w:val="00263661"/>
    <w:rsid w:val="002636A6"/>
    <w:rsid w:val="00263707"/>
    <w:rsid w:val="0026378F"/>
    <w:rsid w:val="00263813"/>
    <w:rsid w:val="00263911"/>
    <w:rsid w:val="00263A3B"/>
    <w:rsid w:val="00263A86"/>
    <w:rsid w:val="00263CFA"/>
    <w:rsid w:val="00263D23"/>
    <w:rsid w:val="00263D2A"/>
    <w:rsid w:val="00263D76"/>
    <w:rsid w:val="00263E66"/>
    <w:rsid w:val="00263EF4"/>
    <w:rsid w:val="00263F97"/>
    <w:rsid w:val="00263FA8"/>
    <w:rsid w:val="0026400E"/>
    <w:rsid w:val="0026408E"/>
    <w:rsid w:val="002640C7"/>
    <w:rsid w:val="00264147"/>
    <w:rsid w:val="002641BF"/>
    <w:rsid w:val="002642D2"/>
    <w:rsid w:val="00264329"/>
    <w:rsid w:val="00264437"/>
    <w:rsid w:val="0026443B"/>
    <w:rsid w:val="00264558"/>
    <w:rsid w:val="0026458C"/>
    <w:rsid w:val="00264795"/>
    <w:rsid w:val="002647C2"/>
    <w:rsid w:val="002647E7"/>
    <w:rsid w:val="002647F5"/>
    <w:rsid w:val="00264885"/>
    <w:rsid w:val="00264892"/>
    <w:rsid w:val="00264958"/>
    <w:rsid w:val="00264A66"/>
    <w:rsid w:val="00264A68"/>
    <w:rsid w:val="00264B2A"/>
    <w:rsid w:val="00264C75"/>
    <w:rsid w:val="00264C8D"/>
    <w:rsid w:val="00264CC4"/>
    <w:rsid w:val="00264D16"/>
    <w:rsid w:val="00264DC4"/>
    <w:rsid w:val="00264DE3"/>
    <w:rsid w:val="00264FA3"/>
    <w:rsid w:val="0026505E"/>
    <w:rsid w:val="00265090"/>
    <w:rsid w:val="00265111"/>
    <w:rsid w:val="00265114"/>
    <w:rsid w:val="002651A7"/>
    <w:rsid w:val="002652DF"/>
    <w:rsid w:val="0026530E"/>
    <w:rsid w:val="002653CA"/>
    <w:rsid w:val="00265437"/>
    <w:rsid w:val="00265582"/>
    <w:rsid w:val="002655A1"/>
    <w:rsid w:val="0026579C"/>
    <w:rsid w:val="002658A1"/>
    <w:rsid w:val="002658F5"/>
    <w:rsid w:val="00265920"/>
    <w:rsid w:val="002659CF"/>
    <w:rsid w:val="00265AC1"/>
    <w:rsid w:val="00265B6B"/>
    <w:rsid w:val="00265BE6"/>
    <w:rsid w:val="00265D21"/>
    <w:rsid w:val="00265D2A"/>
    <w:rsid w:val="00265D5B"/>
    <w:rsid w:val="00265F0C"/>
    <w:rsid w:val="00265FB0"/>
    <w:rsid w:val="00265FB6"/>
    <w:rsid w:val="00265FCC"/>
    <w:rsid w:val="00265FF3"/>
    <w:rsid w:val="0026602E"/>
    <w:rsid w:val="002660AB"/>
    <w:rsid w:val="0026635D"/>
    <w:rsid w:val="00266656"/>
    <w:rsid w:val="002666DB"/>
    <w:rsid w:val="0026670B"/>
    <w:rsid w:val="00266875"/>
    <w:rsid w:val="0026690A"/>
    <w:rsid w:val="00266935"/>
    <w:rsid w:val="00266B56"/>
    <w:rsid w:val="00266C14"/>
    <w:rsid w:val="00266C8E"/>
    <w:rsid w:val="00266D83"/>
    <w:rsid w:val="00266FBF"/>
    <w:rsid w:val="00266FC3"/>
    <w:rsid w:val="00267025"/>
    <w:rsid w:val="0026705D"/>
    <w:rsid w:val="002671A2"/>
    <w:rsid w:val="0026736B"/>
    <w:rsid w:val="002674EE"/>
    <w:rsid w:val="00267506"/>
    <w:rsid w:val="00267530"/>
    <w:rsid w:val="0026762E"/>
    <w:rsid w:val="002676AB"/>
    <w:rsid w:val="002676C8"/>
    <w:rsid w:val="00267772"/>
    <w:rsid w:val="0026780E"/>
    <w:rsid w:val="00267877"/>
    <w:rsid w:val="002679DA"/>
    <w:rsid w:val="00267A73"/>
    <w:rsid w:val="00267AB0"/>
    <w:rsid w:val="00267AC3"/>
    <w:rsid w:val="00267B07"/>
    <w:rsid w:val="00267B08"/>
    <w:rsid w:val="00267B6C"/>
    <w:rsid w:val="00267BCE"/>
    <w:rsid w:val="00267BE2"/>
    <w:rsid w:val="00267C81"/>
    <w:rsid w:val="00267CA8"/>
    <w:rsid w:val="00267E83"/>
    <w:rsid w:val="00267E84"/>
    <w:rsid w:val="00267E8F"/>
    <w:rsid w:val="00267E9D"/>
    <w:rsid w:val="00267EF3"/>
    <w:rsid w:val="00267FF5"/>
    <w:rsid w:val="0027009D"/>
    <w:rsid w:val="0027013D"/>
    <w:rsid w:val="0027016F"/>
    <w:rsid w:val="002701AA"/>
    <w:rsid w:val="00270203"/>
    <w:rsid w:val="002703F5"/>
    <w:rsid w:val="00270539"/>
    <w:rsid w:val="0027067B"/>
    <w:rsid w:val="0027077E"/>
    <w:rsid w:val="0027081E"/>
    <w:rsid w:val="00270873"/>
    <w:rsid w:val="002708BE"/>
    <w:rsid w:val="0027097C"/>
    <w:rsid w:val="0027098D"/>
    <w:rsid w:val="00270AF8"/>
    <w:rsid w:val="00270B01"/>
    <w:rsid w:val="00270B14"/>
    <w:rsid w:val="00270CBA"/>
    <w:rsid w:val="00270CDA"/>
    <w:rsid w:val="00270D1F"/>
    <w:rsid w:val="00270DE9"/>
    <w:rsid w:val="00270E8A"/>
    <w:rsid w:val="00270ED8"/>
    <w:rsid w:val="00270EEB"/>
    <w:rsid w:val="00270F3F"/>
    <w:rsid w:val="0027126E"/>
    <w:rsid w:val="0027137E"/>
    <w:rsid w:val="002713C4"/>
    <w:rsid w:val="00271420"/>
    <w:rsid w:val="00271575"/>
    <w:rsid w:val="00271592"/>
    <w:rsid w:val="002715CE"/>
    <w:rsid w:val="002717A0"/>
    <w:rsid w:val="00271809"/>
    <w:rsid w:val="0027180A"/>
    <w:rsid w:val="002718A8"/>
    <w:rsid w:val="002718CB"/>
    <w:rsid w:val="002718F7"/>
    <w:rsid w:val="00271912"/>
    <w:rsid w:val="00271956"/>
    <w:rsid w:val="00271993"/>
    <w:rsid w:val="002719A0"/>
    <w:rsid w:val="002719C2"/>
    <w:rsid w:val="00271AAD"/>
    <w:rsid w:val="00271AFE"/>
    <w:rsid w:val="00271B07"/>
    <w:rsid w:val="00271BF5"/>
    <w:rsid w:val="00271DAD"/>
    <w:rsid w:val="002720CF"/>
    <w:rsid w:val="00272219"/>
    <w:rsid w:val="0027228F"/>
    <w:rsid w:val="002722A2"/>
    <w:rsid w:val="00272427"/>
    <w:rsid w:val="00272472"/>
    <w:rsid w:val="00272566"/>
    <w:rsid w:val="00272706"/>
    <w:rsid w:val="0027288E"/>
    <w:rsid w:val="002728E4"/>
    <w:rsid w:val="002728F8"/>
    <w:rsid w:val="00272A34"/>
    <w:rsid w:val="00272BC9"/>
    <w:rsid w:val="00272C65"/>
    <w:rsid w:val="00272D3C"/>
    <w:rsid w:val="00272E74"/>
    <w:rsid w:val="00272F01"/>
    <w:rsid w:val="00272FD2"/>
    <w:rsid w:val="00272FD5"/>
    <w:rsid w:val="002730D5"/>
    <w:rsid w:val="002730F3"/>
    <w:rsid w:val="002731D6"/>
    <w:rsid w:val="00273296"/>
    <w:rsid w:val="00273308"/>
    <w:rsid w:val="002733B2"/>
    <w:rsid w:val="00273439"/>
    <w:rsid w:val="002735EE"/>
    <w:rsid w:val="002736B5"/>
    <w:rsid w:val="002736ED"/>
    <w:rsid w:val="0027373C"/>
    <w:rsid w:val="00273867"/>
    <w:rsid w:val="0027387C"/>
    <w:rsid w:val="0027395E"/>
    <w:rsid w:val="00273A72"/>
    <w:rsid w:val="00273C62"/>
    <w:rsid w:val="00273DB2"/>
    <w:rsid w:val="00273DC3"/>
    <w:rsid w:val="00273DF8"/>
    <w:rsid w:val="00273E1D"/>
    <w:rsid w:val="00273E6E"/>
    <w:rsid w:val="00274081"/>
    <w:rsid w:val="002742B7"/>
    <w:rsid w:val="002743A1"/>
    <w:rsid w:val="002743D4"/>
    <w:rsid w:val="00274558"/>
    <w:rsid w:val="00274581"/>
    <w:rsid w:val="0027464F"/>
    <w:rsid w:val="002746AD"/>
    <w:rsid w:val="002746F0"/>
    <w:rsid w:val="00274851"/>
    <w:rsid w:val="002749AC"/>
    <w:rsid w:val="00274B01"/>
    <w:rsid w:val="00274B88"/>
    <w:rsid w:val="00274BFB"/>
    <w:rsid w:val="00274C2A"/>
    <w:rsid w:val="00274CA7"/>
    <w:rsid w:val="00274CFB"/>
    <w:rsid w:val="00274E31"/>
    <w:rsid w:val="00274E67"/>
    <w:rsid w:val="00274F31"/>
    <w:rsid w:val="00275031"/>
    <w:rsid w:val="00275066"/>
    <w:rsid w:val="00275302"/>
    <w:rsid w:val="002753FB"/>
    <w:rsid w:val="002753FC"/>
    <w:rsid w:val="00275470"/>
    <w:rsid w:val="00275503"/>
    <w:rsid w:val="00275750"/>
    <w:rsid w:val="00275836"/>
    <w:rsid w:val="00275845"/>
    <w:rsid w:val="00275975"/>
    <w:rsid w:val="002759A2"/>
    <w:rsid w:val="002759D2"/>
    <w:rsid w:val="002759F9"/>
    <w:rsid w:val="00275BE9"/>
    <w:rsid w:val="00275C0D"/>
    <w:rsid w:val="00275CB1"/>
    <w:rsid w:val="00275CDE"/>
    <w:rsid w:val="00275D1C"/>
    <w:rsid w:val="00275D32"/>
    <w:rsid w:val="00275D91"/>
    <w:rsid w:val="00275E50"/>
    <w:rsid w:val="00275EA9"/>
    <w:rsid w:val="00275F44"/>
    <w:rsid w:val="00276000"/>
    <w:rsid w:val="00276031"/>
    <w:rsid w:val="002761AC"/>
    <w:rsid w:val="002761DA"/>
    <w:rsid w:val="00276223"/>
    <w:rsid w:val="00276384"/>
    <w:rsid w:val="002763A0"/>
    <w:rsid w:val="00276619"/>
    <w:rsid w:val="0027661C"/>
    <w:rsid w:val="00276650"/>
    <w:rsid w:val="002766D8"/>
    <w:rsid w:val="002766EC"/>
    <w:rsid w:val="00276783"/>
    <w:rsid w:val="002767CD"/>
    <w:rsid w:val="002767DE"/>
    <w:rsid w:val="0027689F"/>
    <w:rsid w:val="002768B2"/>
    <w:rsid w:val="0027694F"/>
    <w:rsid w:val="002769D5"/>
    <w:rsid w:val="00276A78"/>
    <w:rsid w:val="00276ACE"/>
    <w:rsid w:val="00276E6E"/>
    <w:rsid w:val="00276E8A"/>
    <w:rsid w:val="00276E9D"/>
    <w:rsid w:val="00276EE7"/>
    <w:rsid w:val="00277006"/>
    <w:rsid w:val="002770CB"/>
    <w:rsid w:val="00277304"/>
    <w:rsid w:val="0027751A"/>
    <w:rsid w:val="00277537"/>
    <w:rsid w:val="00277630"/>
    <w:rsid w:val="00277690"/>
    <w:rsid w:val="00277772"/>
    <w:rsid w:val="00277890"/>
    <w:rsid w:val="002778BA"/>
    <w:rsid w:val="002779BD"/>
    <w:rsid w:val="00277A1E"/>
    <w:rsid w:val="00277A74"/>
    <w:rsid w:val="00277B65"/>
    <w:rsid w:val="00277C73"/>
    <w:rsid w:val="00277DAA"/>
    <w:rsid w:val="00277DB9"/>
    <w:rsid w:val="00277DFD"/>
    <w:rsid w:val="00277E56"/>
    <w:rsid w:val="00277F60"/>
    <w:rsid w:val="0028008D"/>
    <w:rsid w:val="002800BB"/>
    <w:rsid w:val="002801F8"/>
    <w:rsid w:val="00280204"/>
    <w:rsid w:val="0028023D"/>
    <w:rsid w:val="0028029C"/>
    <w:rsid w:val="00280465"/>
    <w:rsid w:val="002804C0"/>
    <w:rsid w:val="0028054D"/>
    <w:rsid w:val="00280583"/>
    <w:rsid w:val="002805AA"/>
    <w:rsid w:val="00280687"/>
    <w:rsid w:val="002806F4"/>
    <w:rsid w:val="00280713"/>
    <w:rsid w:val="00280721"/>
    <w:rsid w:val="002807A2"/>
    <w:rsid w:val="00280957"/>
    <w:rsid w:val="00280ABD"/>
    <w:rsid w:val="00280BB2"/>
    <w:rsid w:val="00280C17"/>
    <w:rsid w:val="00280FB6"/>
    <w:rsid w:val="0028104B"/>
    <w:rsid w:val="00281241"/>
    <w:rsid w:val="00281306"/>
    <w:rsid w:val="00281318"/>
    <w:rsid w:val="00281355"/>
    <w:rsid w:val="0028143D"/>
    <w:rsid w:val="0028154E"/>
    <w:rsid w:val="00281577"/>
    <w:rsid w:val="0028159C"/>
    <w:rsid w:val="002815A3"/>
    <w:rsid w:val="002815A8"/>
    <w:rsid w:val="002815C6"/>
    <w:rsid w:val="002815E0"/>
    <w:rsid w:val="0028161D"/>
    <w:rsid w:val="00281654"/>
    <w:rsid w:val="002816D2"/>
    <w:rsid w:val="0028173A"/>
    <w:rsid w:val="002819ED"/>
    <w:rsid w:val="00281AA7"/>
    <w:rsid w:val="00281AD7"/>
    <w:rsid w:val="00281B73"/>
    <w:rsid w:val="00281B9A"/>
    <w:rsid w:val="00281BF3"/>
    <w:rsid w:val="00281CDA"/>
    <w:rsid w:val="00281CF9"/>
    <w:rsid w:val="00281DA8"/>
    <w:rsid w:val="00281DEF"/>
    <w:rsid w:val="00281DFB"/>
    <w:rsid w:val="00281E36"/>
    <w:rsid w:val="00281E99"/>
    <w:rsid w:val="00281F27"/>
    <w:rsid w:val="00281FB0"/>
    <w:rsid w:val="002820ED"/>
    <w:rsid w:val="002820F4"/>
    <w:rsid w:val="00282141"/>
    <w:rsid w:val="00282168"/>
    <w:rsid w:val="00282291"/>
    <w:rsid w:val="00282417"/>
    <w:rsid w:val="00282483"/>
    <w:rsid w:val="0028254B"/>
    <w:rsid w:val="002825DC"/>
    <w:rsid w:val="002825F4"/>
    <w:rsid w:val="00282701"/>
    <w:rsid w:val="0028276D"/>
    <w:rsid w:val="002827C9"/>
    <w:rsid w:val="00282835"/>
    <w:rsid w:val="00282898"/>
    <w:rsid w:val="0028292D"/>
    <w:rsid w:val="00282B52"/>
    <w:rsid w:val="00282B61"/>
    <w:rsid w:val="00282BDD"/>
    <w:rsid w:val="00282BE6"/>
    <w:rsid w:val="00282CBE"/>
    <w:rsid w:val="00282CDC"/>
    <w:rsid w:val="00282DE2"/>
    <w:rsid w:val="00282F4C"/>
    <w:rsid w:val="00282FE2"/>
    <w:rsid w:val="00283055"/>
    <w:rsid w:val="002832AB"/>
    <w:rsid w:val="0028343A"/>
    <w:rsid w:val="002836A9"/>
    <w:rsid w:val="002836B2"/>
    <w:rsid w:val="0028371B"/>
    <w:rsid w:val="002837B7"/>
    <w:rsid w:val="002837B9"/>
    <w:rsid w:val="002838E6"/>
    <w:rsid w:val="00283965"/>
    <w:rsid w:val="002839A1"/>
    <w:rsid w:val="00283A3A"/>
    <w:rsid w:val="00283BE6"/>
    <w:rsid w:val="00283CC1"/>
    <w:rsid w:val="00283F2A"/>
    <w:rsid w:val="00283F47"/>
    <w:rsid w:val="00283F50"/>
    <w:rsid w:val="00283F7C"/>
    <w:rsid w:val="00283FEC"/>
    <w:rsid w:val="00283FF3"/>
    <w:rsid w:val="00284002"/>
    <w:rsid w:val="002843B9"/>
    <w:rsid w:val="002844A3"/>
    <w:rsid w:val="00284538"/>
    <w:rsid w:val="00284706"/>
    <w:rsid w:val="00284711"/>
    <w:rsid w:val="002848D2"/>
    <w:rsid w:val="002848E2"/>
    <w:rsid w:val="002849E2"/>
    <w:rsid w:val="002849E6"/>
    <w:rsid w:val="00284AE5"/>
    <w:rsid w:val="00284B60"/>
    <w:rsid w:val="00284BAA"/>
    <w:rsid w:val="00284F26"/>
    <w:rsid w:val="00284F9E"/>
    <w:rsid w:val="00284FF5"/>
    <w:rsid w:val="00285060"/>
    <w:rsid w:val="00285145"/>
    <w:rsid w:val="002851A9"/>
    <w:rsid w:val="00285236"/>
    <w:rsid w:val="0028540B"/>
    <w:rsid w:val="00285471"/>
    <w:rsid w:val="002854A5"/>
    <w:rsid w:val="0028562A"/>
    <w:rsid w:val="00285678"/>
    <w:rsid w:val="002856A9"/>
    <w:rsid w:val="00285975"/>
    <w:rsid w:val="00285A8A"/>
    <w:rsid w:val="00285AC1"/>
    <w:rsid w:val="00285BB4"/>
    <w:rsid w:val="00285C10"/>
    <w:rsid w:val="00285E62"/>
    <w:rsid w:val="00285F88"/>
    <w:rsid w:val="00285FFC"/>
    <w:rsid w:val="002860F4"/>
    <w:rsid w:val="00286136"/>
    <w:rsid w:val="002861F3"/>
    <w:rsid w:val="002862BA"/>
    <w:rsid w:val="00286316"/>
    <w:rsid w:val="002863AC"/>
    <w:rsid w:val="00286468"/>
    <w:rsid w:val="002865DC"/>
    <w:rsid w:val="0028673F"/>
    <w:rsid w:val="00286841"/>
    <w:rsid w:val="002869A3"/>
    <w:rsid w:val="00286A0B"/>
    <w:rsid w:val="00286B28"/>
    <w:rsid w:val="00286C1C"/>
    <w:rsid w:val="00286D8B"/>
    <w:rsid w:val="00286DC9"/>
    <w:rsid w:val="00286E51"/>
    <w:rsid w:val="00286E8F"/>
    <w:rsid w:val="00286EA6"/>
    <w:rsid w:val="00286EAB"/>
    <w:rsid w:val="00286ED0"/>
    <w:rsid w:val="00287054"/>
    <w:rsid w:val="00287085"/>
    <w:rsid w:val="00287087"/>
    <w:rsid w:val="00287140"/>
    <w:rsid w:val="00287156"/>
    <w:rsid w:val="00287229"/>
    <w:rsid w:val="00287264"/>
    <w:rsid w:val="0028729E"/>
    <w:rsid w:val="0028731D"/>
    <w:rsid w:val="00287331"/>
    <w:rsid w:val="00287461"/>
    <w:rsid w:val="00287523"/>
    <w:rsid w:val="00287555"/>
    <w:rsid w:val="00287675"/>
    <w:rsid w:val="002876F6"/>
    <w:rsid w:val="0028770A"/>
    <w:rsid w:val="00287723"/>
    <w:rsid w:val="00287763"/>
    <w:rsid w:val="0028781C"/>
    <w:rsid w:val="002878E2"/>
    <w:rsid w:val="0028793A"/>
    <w:rsid w:val="00287969"/>
    <w:rsid w:val="00287975"/>
    <w:rsid w:val="00287A3F"/>
    <w:rsid w:val="00287BCC"/>
    <w:rsid w:val="00287C02"/>
    <w:rsid w:val="00287C25"/>
    <w:rsid w:val="0029001E"/>
    <w:rsid w:val="0029008E"/>
    <w:rsid w:val="00290165"/>
    <w:rsid w:val="00290199"/>
    <w:rsid w:val="0029020E"/>
    <w:rsid w:val="00290234"/>
    <w:rsid w:val="002902B8"/>
    <w:rsid w:val="002903F3"/>
    <w:rsid w:val="00290405"/>
    <w:rsid w:val="0029050C"/>
    <w:rsid w:val="00290639"/>
    <w:rsid w:val="00290708"/>
    <w:rsid w:val="002907A2"/>
    <w:rsid w:val="002908C2"/>
    <w:rsid w:val="0029090A"/>
    <w:rsid w:val="00290A58"/>
    <w:rsid w:val="00290A91"/>
    <w:rsid w:val="00290ACB"/>
    <w:rsid w:val="00290ACC"/>
    <w:rsid w:val="00290B31"/>
    <w:rsid w:val="00290B6E"/>
    <w:rsid w:val="00290B9D"/>
    <w:rsid w:val="00290C04"/>
    <w:rsid w:val="00290C1C"/>
    <w:rsid w:val="00290C2E"/>
    <w:rsid w:val="00290CE9"/>
    <w:rsid w:val="00290D66"/>
    <w:rsid w:val="00290EBF"/>
    <w:rsid w:val="00290F0C"/>
    <w:rsid w:val="00290F40"/>
    <w:rsid w:val="00290F9B"/>
    <w:rsid w:val="0029105B"/>
    <w:rsid w:val="0029108F"/>
    <w:rsid w:val="00291098"/>
    <w:rsid w:val="002910CA"/>
    <w:rsid w:val="002910CF"/>
    <w:rsid w:val="0029121D"/>
    <w:rsid w:val="002912C9"/>
    <w:rsid w:val="00291322"/>
    <w:rsid w:val="002913A8"/>
    <w:rsid w:val="00291438"/>
    <w:rsid w:val="002914EF"/>
    <w:rsid w:val="002915E1"/>
    <w:rsid w:val="002915E8"/>
    <w:rsid w:val="002915F3"/>
    <w:rsid w:val="002915FB"/>
    <w:rsid w:val="00291617"/>
    <w:rsid w:val="0029164A"/>
    <w:rsid w:val="00291686"/>
    <w:rsid w:val="00291819"/>
    <w:rsid w:val="00291853"/>
    <w:rsid w:val="0029191C"/>
    <w:rsid w:val="00291920"/>
    <w:rsid w:val="002919CE"/>
    <w:rsid w:val="002919DD"/>
    <w:rsid w:val="002919E2"/>
    <w:rsid w:val="00291A4D"/>
    <w:rsid w:val="00291B17"/>
    <w:rsid w:val="00291BDE"/>
    <w:rsid w:val="00291BF2"/>
    <w:rsid w:val="00291C7A"/>
    <w:rsid w:val="00291CAA"/>
    <w:rsid w:val="00291CC6"/>
    <w:rsid w:val="00291CF6"/>
    <w:rsid w:val="00291CFF"/>
    <w:rsid w:val="00291D57"/>
    <w:rsid w:val="00291DF8"/>
    <w:rsid w:val="00291E2C"/>
    <w:rsid w:val="00291EFF"/>
    <w:rsid w:val="00291F77"/>
    <w:rsid w:val="00291FC9"/>
    <w:rsid w:val="00291FCA"/>
    <w:rsid w:val="0029203E"/>
    <w:rsid w:val="002921AC"/>
    <w:rsid w:val="00292257"/>
    <w:rsid w:val="00292316"/>
    <w:rsid w:val="0029239A"/>
    <w:rsid w:val="00292431"/>
    <w:rsid w:val="00292432"/>
    <w:rsid w:val="002924FF"/>
    <w:rsid w:val="0029251A"/>
    <w:rsid w:val="0029254E"/>
    <w:rsid w:val="00292552"/>
    <w:rsid w:val="00292612"/>
    <w:rsid w:val="0029262B"/>
    <w:rsid w:val="002926C7"/>
    <w:rsid w:val="0029284A"/>
    <w:rsid w:val="00292895"/>
    <w:rsid w:val="00292988"/>
    <w:rsid w:val="00292997"/>
    <w:rsid w:val="00292A36"/>
    <w:rsid w:val="00292ADA"/>
    <w:rsid w:val="00292B3A"/>
    <w:rsid w:val="00292BD0"/>
    <w:rsid w:val="00292BD4"/>
    <w:rsid w:val="00292CCB"/>
    <w:rsid w:val="00292CF3"/>
    <w:rsid w:val="00292D7F"/>
    <w:rsid w:val="00292E95"/>
    <w:rsid w:val="00292F32"/>
    <w:rsid w:val="00292F5A"/>
    <w:rsid w:val="00292F63"/>
    <w:rsid w:val="00292F68"/>
    <w:rsid w:val="00292FD0"/>
    <w:rsid w:val="0029317F"/>
    <w:rsid w:val="00293226"/>
    <w:rsid w:val="0029329B"/>
    <w:rsid w:val="0029337D"/>
    <w:rsid w:val="002933E5"/>
    <w:rsid w:val="0029352A"/>
    <w:rsid w:val="002935C2"/>
    <w:rsid w:val="00293628"/>
    <w:rsid w:val="00293642"/>
    <w:rsid w:val="0029368F"/>
    <w:rsid w:val="0029371A"/>
    <w:rsid w:val="002939AE"/>
    <w:rsid w:val="002939C2"/>
    <w:rsid w:val="00293ACA"/>
    <w:rsid w:val="00293B88"/>
    <w:rsid w:val="00293EF0"/>
    <w:rsid w:val="00293FA4"/>
    <w:rsid w:val="00293FC6"/>
    <w:rsid w:val="002941DD"/>
    <w:rsid w:val="002942E2"/>
    <w:rsid w:val="002943F1"/>
    <w:rsid w:val="0029441B"/>
    <w:rsid w:val="00294490"/>
    <w:rsid w:val="00294558"/>
    <w:rsid w:val="00294652"/>
    <w:rsid w:val="00294686"/>
    <w:rsid w:val="00294771"/>
    <w:rsid w:val="0029489D"/>
    <w:rsid w:val="002949E9"/>
    <w:rsid w:val="00294A71"/>
    <w:rsid w:val="00294B5D"/>
    <w:rsid w:val="00294D06"/>
    <w:rsid w:val="00294DF8"/>
    <w:rsid w:val="00294EC0"/>
    <w:rsid w:val="00294EF7"/>
    <w:rsid w:val="00294F4F"/>
    <w:rsid w:val="00294FA0"/>
    <w:rsid w:val="00295207"/>
    <w:rsid w:val="002956A8"/>
    <w:rsid w:val="00295710"/>
    <w:rsid w:val="00295712"/>
    <w:rsid w:val="00295832"/>
    <w:rsid w:val="002959A3"/>
    <w:rsid w:val="00295A29"/>
    <w:rsid w:val="00295B03"/>
    <w:rsid w:val="00295B4E"/>
    <w:rsid w:val="00295C08"/>
    <w:rsid w:val="00295C94"/>
    <w:rsid w:val="00295E4D"/>
    <w:rsid w:val="00295E67"/>
    <w:rsid w:val="00295EC0"/>
    <w:rsid w:val="00295F08"/>
    <w:rsid w:val="00295F1E"/>
    <w:rsid w:val="0029600C"/>
    <w:rsid w:val="00296257"/>
    <w:rsid w:val="0029631C"/>
    <w:rsid w:val="002964A2"/>
    <w:rsid w:val="00296547"/>
    <w:rsid w:val="00296696"/>
    <w:rsid w:val="0029674A"/>
    <w:rsid w:val="002967EF"/>
    <w:rsid w:val="00296827"/>
    <w:rsid w:val="00296A95"/>
    <w:rsid w:val="00296A9D"/>
    <w:rsid w:val="00296AFE"/>
    <w:rsid w:val="00296B74"/>
    <w:rsid w:val="00296B82"/>
    <w:rsid w:val="00296B98"/>
    <w:rsid w:val="00296D1D"/>
    <w:rsid w:val="00296D5A"/>
    <w:rsid w:val="00296DB4"/>
    <w:rsid w:val="00296DE9"/>
    <w:rsid w:val="00296EF1"/>
    <w:rsid w:val="00296F67"/>
    <w:rsid w:val="00296FD5"/>
    <w:rsid w:val="0029703C"/>
    <w:rsid w:val="0029707A"/>
    <w:rsid w:val="002972C1"/>
    <w:rsid w:val="002972F3"/>
    <w:rsid w:val="00297317"/>
    <w:rsid w:val="0029738A"/>
    <w:rsid w:val="00297416"/>
    <w:rsid w:val="00297432"/>
    <w:rsid w:val="002975C4"/>
    <w:rsid w:val="002975D4"/>
    <w:rsid w:val="002975E1"/>
    <w:rsid w:val="0029767A"/>
    <w:rsid w:val="0029768D"/>
    <w:rsid w:val="002976D3"/>
    <w:rsid w:val="002977AD"/>
    <w:rsid w:val="0029789F"/>
    <w:rsid w:val="002978E7"/>
    <w:rsid w:val="00297933"/>
    <w:rsid w:val="0029794F"/>
    <w:rsid w:val="00297953"/>
    <w:rsid w:val="00297954"/>
    <w:rsid w:val="0029796E"/>
    <w:rsid w:val="002979FD"/>
    <w:rsid w:val="00297C9E"/>
    <w:rsid w:val="00297CA7"/>
    <w:rsid w:val="00297D85"/>
    <w:rsid w:val="00297E43"/>
    <w:rsid w:val="0029B9E2"/>
    <w:rsid w:val="002A00AB"/>
    <w:rsid w:val="002A00B4"/>
    <w:rsid w:val="002A00B5"/>
    <w:rsid w:val="002A00E6"/>
    <w:rsid w:val="002A0197"/>
    <w:rsid w:val="002A028E"/>
    <w:rsid w:val="002A02A9"/>
    <w:rsid w:val="002A0427"/>
    <w:rsid w:val="002A04CF"/>
    <w:rsid w:val="002A04DF"/>
    <w:rsid w:val="002A04ED"/>
    <w:rsid w:val="002A055F"/>
    <w:rsid w:val="002A06BC"/>
    <w:rsid w:val="002A06D4"/>
    <w:rsid w:val="002A06E7"/>
    <w:rsid w:val="002A0799"/>
    <w:rsid w:val="002A0812"/>
    <w:rsid w:val="002A083E"/>
    <w:rsid w:val="002A0916"/>
    <w:rsid w:val="002A0978"/>
    <w:rsid w:val="002A0ABD"/>
    <w:rsid w:val="002A0B10"/>
    <w:rsid w:val="002A0BA3"/>
    <w:rsid w:val="002A0BEF"/>
    <w:rsid w:val="002A0C1B"/>
    <w:rsid w:val="002A0C24"/>
    <w:rsid w:val="002A0C3D"/>
    <w:rsid w:val="002A0CC9"/>
    <w:rsid w:val="002A0D30"/>
    <w:rsid w:val="002A0DAB"/>
    <w:rsid w:val="002A0E04"/>
    <w:rsid w:val="002A0ECD"/>
    <w:rsid w:val="002A0F74"/>
    <w:rsid w:val="002A1107"/>
    <w:rsid w:val="002A1198"/>
    <w:rsid w:val="002A11F0"/>
    <w:rsid w:val="002A11FF"/>
    <w:rsid w:val="002A127B"/>
    <w:rsid w:val="002A12D3"/>
    <w:rsid w:val="002A12FA"/>
    <w:rsid w:val="002A136D"/>
    <w:rsid w:val="002A13BA"/>
    <w:rsid w:val="002A1531"/>
    <w:rsid w:val="002A15CB"/>
    <w:rsid w:val="002A16B6"/>
    <w:rsid w:val="002A16B9"/>
    <w:rsid w:val="002A172E"/>
    <w:rsid w:val="002A1774"/>
    <w:rsid w:val="002A17B4"/>
    <w:rsid w:val="002A17DC"/>
    <w:rsid w:val="002A1827"/>
    <w:rsid w:val="002A1926"/>
    <w:rsid w:val="002A19F4"/>
    <w:rsid w:val="002A1BD3"/>
    <w:rsid w:val="002A1BDA"/>
    <w:rsid w:val="002A1C24"/>
    <w:rsid w:val="002A1DC0"/>
    <w:rsid w:val="002A1DFA"/>
    <w:rsid w:val="002A1F64"/>
    <w:rsid w:val="002A1F6A"/>
    <w:rsid w:val="002A1FAE"/>
    <w:rsid w:val="002A2092"/>
    <w:rsid w:val="002A20DE"/>
    <w:rsid w:val="002A20EF"/>
    <w:rsid w:val="002A222A"/>
    <w:rsid w:val="002A222C"/>
    <w:rsid w:val="002A231C"/>
    <w:rsid w:val="002A246A"/>
    <w:rsid w:val="002A24F0"/>
    <w:rsid w:val="002A25A3"/>
    <w:rsid w:val="002A270E"/>
    <w:rsid w:val="002A273B"/>
    <w:rsid w:val="002A288C"/>
    <w:rsid w:val="002A29D0"/>
    <w:rsid w:val="002A2B03"/>
    <w:rsid w:val="002A2B60"/>
    <w:rsid w:val="002A2BB0"/>
    <w:rsid w:val="002A2C26"/>
    <w:rsid w:val="002A2E04"/>
    <w:rsid w:val="002A2E40"/>
    <w:rsid w:val="002A3059"/>
    <w:rsid w:val="002A322B"/>
    <w:rsid w:val="002A34D8"/>
    <w:rsid w:val="002A354A"/>
    <w:rsid w:val="002A35AA"/>
    <w:rsid w:val="002A3612"/>
    <w:rsid w:val="002A3613"/>
    <w:rsid w:val="002A3670"/>
    <w:rsid w:val="002A3759"/>
    <w:rsid w:val="002A3836"/>
    <w:rsid w:val="002A3916"/>
    <w:rsid w:val="002A3C61"/>
    <w:rsid w:val="002A3CBE"/>
    <w:rsid w:val="002A3CC3"/>
    <w:rsid w:val="002A3CFC"/>
    <w:rsid w:val="002A3D1B"/>
    <w:rsid w:val="002A3D27"/>
    <w:rsid w:val="002A3DAD"/>
    <w:rsid w:val="002A3E33"/>
    <w:rsid w:val="002A3E6D"/>
    <w:rsid w:val="002A3E72"/>
    <w:rsid w:val="002A3E97"/>
    <w:rsid w:val="002A3F6E"/>
    <w:rsid w:val="002A3F74"/>
    <w:rsid w:val="002A3F82"/>
    <w:rsid w:val="002A3FE5"/>
    <w:rsid w:val="002A410A"/>
    <w:rsid w:val="002A4126"/>
    <w:rsid w:val="002A4398"/>
    <w:rsid w:val="002A449F"/>
    <w:rsid w:val="002A4548"/>
    <w:rsid w:val="002A4562"/>
    <w:rsid w:val="002A456D"/>
    <w:rsid w:val="002A463D"/>
    <w:rsid w:val="002A46B1"/>
    <w:rsid w:val="002A480E"/>
    <w:rsid w:val="002A4883"/>
    <w:rsid w:val="002A48D4"/>
    <w:rsid w:val="002A4949"/>
    <w:rsid w:val="002A4A63"/>
    <w:rsid w:val="002A4ACC"/>
    <w:rsid w:val="002A4BB4"/>
    <w:rsid w:val="002A4D05"/>
    <w:rsid w:val="002A4D29"/>
    <w:rsid w:val="002A4D3A"/>
    <w:rsid w:val="002A4E1D"/>
    <w:rsid w:val="002A4E25"/>
    <w:rsid w:val="002A4E44"/>
    <w:rsid w:val="002A4E8C"/>
    <w:rsid w:val="002A4E99"/>
    <w:rsid w:val="002A4F42"/>
    <w:rsid w:val="002A4F7A"/>
    <w:rsid w:val="002A4FD6"/>
    <w:rsid w:val="002A527D"/>
    <w:rsid w:val="002A543B"/>
    <w:rsid w:val="002A555B"/>
    <w:rsid w:val="002A55AC"/>
    <w:rsid w:val="002A55CE"/>
    <w:rsid w:val="002A56CE"/>
    <w:rsid w:val="002A5811"/>
    <w:rsid w:val="002A593E"/>
    <w:rsid w:val="002A59CC"/>
    <w:rsid w:val="002A5C37"/>
    <w:rsid w:val="002A5CA0"/>
    <w:rsid w:val="002A5E2E"/>
    <w:rsid w:val="002A5EA3"/>
    <w:rsid w:val="002A5F0C"/>
    <w:rsid w:val="002A6048"/>
    <w:rsid w:val="002A60FD"/>
    <w:rsid w:val="002A61CD"/>
    <w:rsid w:val="002A6384"/>
    <w:rsid w:val="002A652F"/>
    <w:rsid w:val="002A666D"/>
    <w:rsid w:val="002A672B"/>
    <w:rsid w:val="002A68B1"/>
    <w:rsid w:val="002A68C6"/>
    <w:rsid w:val="002A6A3C"/>
    <w:rsid w:val="002A6AA8"/>
    <w:rsid w:val="002A6B13"/>
    <w:rsid w:val="002A6B2D"/>
    <w:rsid w:val="002A6B7D"/>
    <w:rsid w:val="002A6C53"/>
    <w:rsid w:val="002A6CD1"/>
    <w:rsid w:val="002A6DE9"/>
    <w:rsid w:val="002A6E87"/>
    <w:rsid w:val="002A6EA4"/>
    <w:rsid w:val="002A6F8F"/>
    <w:rsid w:val="002A7072"/>
    <w:rsid w:val="002A7159"/>
    <w:rsid w:val="002A7398"/>
    <w:rsid w:val="002A7432"/>
    <w:rsid w:val="002A745F"/>
    <w:rsid w:val="002A74CB"/>
    <w:rsid w:val="002A74DA"/>
    <w:rsid w:val="002A751A"/>
    <w:rsid w:val="002A75F8"/>
    <w:rsid w:val="002A7692"/>
    <w:rsid w:val="002A76C0"/>
    <w:rsid w:val="002A781A"/>
    <w:rsid w:val="002A785D"/>
    <w:rsid w:val="002A790E"/>
    <w:rsid w:val="002A7B7D"/>
    <w:rsid w:val="002A7BFD"/>
    <w:rsid w:val="002A7D94"/>
    <w:rsid w:val="002A7DC8"/>
    <w:rsid w:val="002A7EA8"/>
    <w:rsid w:val="002A7F8F"/>
    <w:rsid w:val="002B002A"/>
    <w:rsid w:val="002B01BE"/>
    <w:rsid w:val="002B01FB"/>
    <w:rsid w:val="002B0243"/>
    <w:rsid w:val="002B029A"/>
    <w:rsid w:val="002B0408"/>
    <w:rsid w:val="002B0433"/>
    <w:rsid w:val="002B05C5"/>
    <w:rsid w:val="002B05C9"/>
    <w:rsid w:val="002B06CB"/>
    <w:rsid w:val="002B06E9"/>
    <w:rsid w:val="002B0705"/>
    <w:rsid w:val="002B0729"/>
    <w:rsid w:val="002B0754"/>
    <w:rsid w:val="002B075E"/>
    <w:rsid w:val="002B0769"/>
    <w:rsid w:val="002B0890"/>
    <w:rsid w:val="002B0894"/>
    <w:rsid w:val="002B0966"/>
    <w:rsid w:val="002B09C4"/>
    <w:rsid w:val="002B0B91"/>
    <w:rsid w:val="002B0D17"/>
    <w:rsid w:val="002B0D43"/>
    <w:rsid w:val="002B0FFA"/>
    <w:rsid w:val="002B1072"/>
    <w:rsid w:val="002B10BA"/>
    <w:rsid w:val="002B10D3"/>
    <w:rsid w:val="002B117D"/>
    <w:rsid w:val="002B11CD"/>
    <w:rsid w:val="002B1330"/>
    <w:rsid w:val="002B1359"/>
    <w:rsid w:val="002B1445"/>
    <w:rsid w:val="002B1536"/>
    <w:rsid w:val="002B15B9"/>
    <w:rsid w:val="002B1616"/>
    <w:rsid w:val="002B1620"/>
    <w:rsid w:val="002B17E4"/>
    <w:rsid w:val="002B18A9"/>
    <w:rsid w:val="002B18CC"/>
    <w:rsid w:val="002B1939"/>
    <w:rsid w:val="002B1A48"/>
    <w:rsid w:val="002B1AD0"/>
    <w:rsid w:val="002B1ED2"/>
    <w:rsid w:val="002B1F1F"/>
    <w:rsid w:val="002B1F73"/>
    <w:rsid w:val="002B1FAA"/>
    <w:rsid w:val="002B2070"/>
    <w:rsid w:val="002B20D2"/>
    <w:rsid w:val="002B210C"/>
    <w:rsid w:val="002B2190"/>
    <w:rsid w:val="002B223D"/>
    <w:rsid w:val="002B2335"/>
    <w:rsid w:val="002B2348"/>
    <w:rsid w:val="002B2513"/>
    <w:rsid w:val="002B25A6"/>
    <w:rsid w:val="002B2627"/>
    <w:rsid w:val="002B26F6"/>
    <w:rsid w:val="002B2753"/>
    <w:rsid w:val="002B2793"/>
    <w:rsid w:val="002B27AB"/>
    <w:rsid w:val="002B27C9"/>
    <w:rsid w:val="002B289F"/>
    <w:rsid w:val="002B28C4"/>
    <w:rsid w:val="002B2929"/>
    <w:rsid w:val="002B2953"/>
    <w:rsid w:val="002B2BA4"/>
    <w:rsid w:val="002B2BDF"/>
    <w:rsid w:val="002B2C4A"/>
    <w:rsid w:val="002B2C6D"/>
    <w:rsid w:val="002B2CB7"/>
    <w:rsid w:val="002B2D11"/>
    <w:rsid w:val="002B2FB3"/>
    <w:rsid w:val="002B30A6"/>
    <w:rsid w:val="002B30DF"/>
    <w:rsid w:val="002B3179"/>
    <w:rsid w:val="002B31B4"/>
    <w:rsid w:val="002B31B9"/>
    <w:rsid w:val="002B31BE"/>
    <w:rsid w:val="002B31EE"/>
    <w:rsid w:val="002B3336"/>
    <w:rsid w:val="002B33F3"/>
    <w:rsid w:val="002B3512"/>
    <w:rsid w:val="002B36F2"/>
    <w:rsid w:val="002B3772"/>
    <w:rsid w:val="002B3779"/>
    <w:rsid w:val="002B38FA"/>
    <w:rsid w:val="002B3A30"/>
    <w:rsid w:val="002B3CC6"/>
    <w:rsid w:val="002B3D22"/>
    <w:rsid w:val="002B3DCE"/>
    <w:rsid w:val="002B3E0C"/>
    <w:rsid w:val="002B3E3B"/>
    <w:rsid w:val="002B3E3F"/>
    <w:rsid w:val="002B3EE7"/>
    <w:rsid w:val="002B3F3E"/>
    <w:rsid w:val="002B4057"/>
    <w:rsid w:val="002B406F"/>
    <w:rsid w:val="002B4134"/>
    <w:rsid w:val="002B41E3"/>
    <w:rsid w:val="002B41FD"/>
    <w:rsid w:val="002B4294"/>
    <w:rsid w:val="002B42C7"/>
    <w:rsid w:val="002B4540"/>
    <w:rsid w:val="002B454D"/>
    <w:rsid w:val="002B4554"/>
    <w:rsid w:val="002B45EB"/>
    <w:rsid w:val="002B45F7"/>
    <w:rsid w:val="002B460B"/>
    <w:rsid w:val="002B488B"/>
    <w:rsid w:val="002B4969"/>
    <w:rsid w:val="002B4AB6"/>
    <w:rsid w:val="002B4BE0"/>
    <w:rsid w:val="002B4D69"/>
    <w:rsid w:val="002B4FC4"/>
    <w:rsid w:val="002B50C2"/>
    <w:rsid w:val="002B50EA"/>
    <w:rsid w:val="002B51BD"/>
    <w:rsid w:val="002B51C0"/>
    <w:rsid w:val="002B52E2"/>
    <w:rsid w:val="002B5442"/>
    <w:rsid w:val="002B5455"/>
    <w:rsid w:val="002B555E"/>
    <w:rsid w:val="002B55DB"/>
    <w:rsid w:val="002B5716"/>
    <w:rsid w:val="002B5757"/>
    <w:rsid w:val="002B5898"/>
    <w:rsid w:val="002B5AEA"/>
    <w:rsid w:val="002B5B90"/>
    <w:rsid w:val="002B5BA3"/>
    <w:rsid w:val="002B5C56"/>
    <w:rsid w:val="002B5C8E"/>
    <w:rsid w:val="002B5C90"/>
    <w:rsid w:val="002B5EBD"/>
    <w:rsid w:val="002B5EC5"/>
    <w:rsid w:val="002B5F07"/>
    <w:rsid w:val="002B5F24"/>
    <w:rsid w:val="002B5FEF"/>
    <w:rsid w:val="002B5FF4"/>
    <w:rsid w:val="002B6024"/>
    <w:rsid w:val="002B602B"/>
    <w:rsid w:val="002B60A1"/>
    <w:rsid w:val="002B6145"/>
    <w:rsid w:val="002B6184"/>
    <w:rsid w:val="002B61BA"/>
    <w:rsid w:val="002B6230"/>
    <w:rsid w:val="002B6396"/>
    <w:rsid w:val="002B6459"/>
    <w:rsid w:val="002B648B"/>
    <w:rsid w:val="002B64C8"/>
    <w:rsid w:val="002B6745"/>
    <w:rsid w:val="002B67D4"/>
    <w:rsid w:val="002B687F"/>
    <w:rsid w:val="002B691F"/>
    <w:rsid w:val="002B69DD"/>
    <w:rsid w:val="002B69F0"/>
    <w:rsid w:val="002B6C55"/>
    <w:rsid w:val="002B6C99"/>
    <w:rsid w:val="002B6CAF"/>
    <w:rsid w:val="002B6D8E"/>
    <w:rsid w:val="002B6DB4"/>
    <w:rsid w:val="002B6DE9"/>
    <w:rsid w:val="002B6DEC"/>
    <w:rsid w:val="002B6EDE"/>
    <w:rsid w:val="002B6FEE"/>
    <w:rsid w:val="002B6FF7"/>
    <w:rsid w:val="002B7002"/>
    <w:rsid w:val="002B7200"/>
    <w:rsid w:val="002B72CC"/>
    <w:rsid w:val="002B7305"/>
    <w:rsid w:val="002B732B"/>
    <w:rsid w:val="002B7347"/>
    <w:rsid w:val="002B7375"/>
    <w:rsid w:val="002B7543"/>
    <w:rsid w:val="002B774D"/>
    <w:rsid w:val="002B77AB"/>
    <w:rsid w:val="002B77D2"/>
    <w:rsid w:val="002B78B9"/>
    <w:rsid w:val="002B791E"/>
    <w:rsid w:val="002B7942"/>
    <w:rsid w:val="002B7987"/>
    <w:rsid w:val="002B7BCC"/>
    <w:rsid w:val="002B7CE4"/>
    <w:rsid w:val="002B7E30"/>
    <w:rsid w:val="002B7F75"/>
    <w:rsid w:val="002B7FAF"/>
    <w:rsid w:val="002C0082"/>
    <w:rsid w:val="002C029B"/>
    <w:rsid w:val="002C02D2"/>
    <w:rsid w:val="002C0372"/>
    <w:rsid w:val="002C0407"/>
    <w:rsid w:val="002C0432"/>
    <w:rsid w:val="002C0470"/>
    <w:rsid w:val="002C050F"/>
    <w:rsid w:val="002C056E"/>
    <w:rsid w:val="002C05D3"/>
    <w:rsid w:val="002C065C"/>
    <w:rsid w:val="002C0664"/>
    <w:rsid w:val="002C067C"/>
    <w:rsid w:val="002C07AC"/>
    <w:rsid w:val="002C0D80"/>
    <w:rsid w:val="002C0DAA"/>
    <w:rsid w:val="002C0E6A"/>
    <w:rsid w:val="002C0E7F"/>
    <w:rsid w:val="002C0F1F"/>
    <w:rsid w:val="002C10DB"/>
    <w:rsid w:val="002C1139"/>
    <w:rsid w:val="002C1222"/>
    <w:rsid w:val="002C1378"/>
    <w:rsid w:val="002C1384"/>
    <w:rsid w:val="002C14C6"/>
    <w:rsid w:val="002C14E1"/>
    <w:rsid w:val="002C159B"/>
    <w:rsid w:val="002C1623"/>
    <w:rsid w:val="002C17BA"/>
    <w:rsid w:val="002C196A"/>
    <w:rsid w:val="002C1974"/>
    <w:rsid w:val="002C1975"/>
    <w:rsid w:val="002C19C2"/>
    <w:rsid w:val="002C19EC"/>
    <w:rsid w:val="002C1A0D"/>
    <w:rsid w:val="002C1A94"/>
    <w:rsid w:val="002C1AAA"/>
    <w:rsid w:val="002C1C45"/>
    <w:rsid w:val="002C1CE1"/>
    <w:rsid w:val="002C1D0A"/>
    <w:rsid w:val="002C1EBE"/>
    <w:rsid w:val="002C1F19"/>
    <w:rsid w:val="002C1FED"/>
    <w:rsid w:val="002C20E9"/>
    <w:rsid w:val="002C21EE"/>
    <w:rsid w:val="002C22EC"/>
    <w:rsid w:val="002C23BD"/>
    <w:rsid w:val="002C2512"/>
    <w:rsid w:val="002C2534"/>
    <w:rsid w:val="002C2599"/>
    <w:rsid w:val="002C2607"/>
    <w:rsid w:val="002C2699"/>
    <w:rsid w:val="002C270C"/>
    <w:rsid w:val="002C2901"/>
    <w:rsid w:val="002C2950"/>
    <w:rsid w:val="002C2A1D"/>
    <w:rsid w:val="002C2B97"/>
    <w:rsid w:val="002C2BCD"/>
    <w:rsid w:val="002C2C24"/>
    <w:rsid w:val="002C2C9B"/>
    <w:rsid w:val="002C2D3B"/>
    <w:rsid w:val="002C2EFF"/>
    <w:rsid w:val="002C2F46"/>
    <w:rsid w:val="002C3057"/>
    <w:rsid w:val="002C3071"/>
    <w:rsid w:val="002C30D4"/>
    <w:rsid w:val="002C310C"/>
    <w:rsid w:val="002C3127"/>
    <w:rsid w:val="002C32E7"/>
    <w:rsid w:val="002C34AA"/>
    <w:rsid w:val="002C362B"/>
    <w:rsid w:val="002C37E7"/>
    <w:rsid w:val="002C3808"/>
    <w:rsid w:val="002C38E4"/>
    <w:rsid w:val="002C39D6"/>
    <w:rsid w:val="002C3A18"/>
    <w:rsid w:val="002C3AC6"/>
    <w:rsid w:val="002C3B48"/>
    <w:rsid w:val="002C3BEE"/>
    <w:rsid w:val="002C3BF5"/>
    <w:rsid w:val="002C3C27"/>
    <w:rsid w:val="002C3C42"/>
    <w:rsid w:val="002C3CAE"/>
    <w:rsid w:val="002C3CD0"/>
    <w:rsid w:val="002C3D2B"/>
    <w:rsid w:val="002C3DED"/>
    <w:rsid w:val="002C3DF6"/>
    <w:rsid w:val="002C3DFC"/>
    <w:rsid w:val="002C3E27"/>
    <w:rsid w:val="002C3E8A"/>
    <w:rsid w:val="002C3EEC"/>
    <w:rsid w:val="002C3F5F"/>
    <w:rsid w:val="002C3FA0"/>
    <w:rsid w:val="002C4005"/>
    <w:rsid w:val="002C4100"/>
    <w:rsid w:val="002C41F5"/>
    <w:rsid w:val="002C4263"/>
    <w:rsid w:val="002C4486"/>
    <w:rsid w:val="002C45AE"/>
    <w:rsid w:val="002C45C6"/>
    <w:rsid w:val="002C4623"/>
    <w:rsid w:val="002C4745"/>
    <w:rsid w:val="002C477A"/>
    <w:rsid w:val="002C47F9"/>
    <w:rsid w:val="002C4806"/>
    <w:rsid w:val="002C487D"/>
    <w:rsid w:val="002C49CF"/>
    <w:rsid w:val="002C49D4"/>
    <w:rsid w:val="002C4A3D"/>
    <w:rsid w:val="002C4B47"/>
    <w:rsid w:val="002C4B5E"/>
    <w:rsid w:val="002C4B77"/>
    <w:rsid w:val="002C4BFB"/>
    <w:rsid w:val="002C4C26"/>
    <w:rsid w:val="002C4CB8"/>
    <w:rsid w:val="002C4D01"/>
    <w:rsid w:val="002C4D13"/>
    <w:rsid w:val="002C4EF8"/>
    <w:rsid w:val="002C4F29"/>
    <w:rsid w:val="002C5030"/>
    <w:rsid w:val="002C5261"/>
    <w:rsid w:val="002C52F4"/>
    <w:rsid w:val="002C53B8"/>
    <w:rsid w:val="002C5414"/>
    <w:rsid w:val="002C547A"/>
    <w:rsid w:val="002C5540"/>
    <w:rsid w:val="002C55A5"/>
    <w:rsid w:val="002C55F5"/>
    <w:rsid w:val="002C5734"/>
    <w:rsid w:val="002C5926"/>
    <w:rsid w:val="002C5A93"/>
    <w:rsid w:val="002C5B4E"/>
    <w:rsid w:val="002C5D10"/>
    <w:rsid w:val="002C5E17"/>
    <w:rsid w:val="002C5E28"/>
    <w:rsid w:val="002C5E6B"/>
    <w:rsid w:val="002C5EDF"/>
    <w:rsid w:val="002C5F8C"/>
    <w:rsid w:val="002C5FB6"/>
    <w:rsid w:val="002C6394"/>
    <w:rsid w:val="002C63DB"/>
    <w:rsid w:val="002C6460"/>
    <w:rsid w:val="002C654C"/>
    <w:rsid w:val="002C65A5"/>
    <w:rsid w:val="002C65B9"/>
    <w:rsid w:val="002C6793"/>
    <w:rsid w:val="002C67D6"/>
    <w:rsid w:val="002C6895"/>
    <w:rsid w:val="002C6A36"/>
    <w:rsid w:val="002C6BF9"/>
    <w:rsid w:val="002C6D81"/>
    <w:rsid w:val="002C6D94"/>
    <w:rsid w:val="002C6EB9"/>
    <w:rsid w:val="002C6F96"/>
    <w:rsid w:val="002C6FE0"/>
    <w:rsid w:val="002C70F8"/>
    <w:rsid w:val="002C712F"/>
    <w:rsid w:val="002C7174"/>
    <w:rsid w:val="002C71D6"/>
    <w:rsid w:val="002C7286"/>
    <w:rsid w:val="002C7313"/>
    <w:rsid w:val="002C74B8"/>
    <w:rsid w:val="002C74E5"/>
    <w:rsid w:val="002C755C"/>
    <w:rsid w:val="002C7572"/>
    <w:rsid w:val="002C7656"/>
    <w:rsid w:val="002C776F"/>
    <w:rsid w:val="002C78B9"/>
    <w:rsid w:val="002C78C6"/>
    <w:rsid w:val="002C7915"/>
    <w:rsid w:val="002C7B9C"/>
    <w:rsid w:val="002C7C8D"/>
    <w:rsid w:val="002C7D82"/>
    <w:rsid w:val="002C7EDF"/>
    <w:rsid w:val="002C7FC5"/>
    <w:rsid w:val="002D025F"/>
    <w:rsid w:val="002D03A1"/>
    <w:rsid w:val="002D0401"/>
    <w:rsid w:val="002D0481"/>
    <w:rsid w:val="002D04BA"/>
    <w:rsid w:val="002D04FC"/>
    <w:rsid w:val="002D0638"/>
    <w:rsid w:val="002D06A4"/>
    <w:rsid w:val="002D06CF"/>
    <w:rsid w:val="002D07F7"/>
    <w:rsid w:val="002D0816"/>
    <w:rsid w:val="002D0849"/>
    <w:rsid w:val="002D0876"/>
    <w:rsid w:val="002D0881"/>
    <w:rsid w:val="002D0914"/>
    <w:rsid w:val="002D0937"/>
    <w:rsid w:val="002D0961"/>
    <w:rsid w:val="002D09D5"/>
    <w:rsid w:val="002D0AE0"/>
    <w:rsid w:val="002D0AF8"/>
    <w:rsid w:val="002D0BA1"/>
    <w:rsid w:val="002D0DB9"/>
    <w:rsid w:val="002D0E01"/>
    <w:rsid w:val="002D0E2A"/>
    <w:rsid w:val="002D0E33"/>
    <w:rsid w:val="002D1216"/>
    <w:rsid w:val="002D123B"/>
    <w:rsid w:val="002D1248"/>
    <w:rsid w:val="002D138F"/>
    <w:rsid w:val="002D13A9"/>
    <w:rsid w:val="002D13CE"/>
    <w:rsid w:val="002D14FF"/>
    <w:rsid w:val="002D1599"/>
    <w:rsid w:val="002D1669"/>
    <w:rsid w:val="002D1695"/>
    <w:rsid w:val="002D1770"/>
    <w:rsid w:val="002D17C0"/>
    <w:rsid w:val="002D1822"/>
    <w:rsid w:val="002D182B"/>
    <w:rsid w:val="002D1A00"/>
    <w:rsid w:val="002D1C9E"/>
    <w:rsid w:val="002D1D31"/>
    <w:rsid w:val="002D1D3B"/>
    <w:rsid w:val="002D1DEF"/>
    <w:rsid w:val="002D1DF4"/>
    <w:rsid w:val="002D1E12"/>
    <w:rsid w:val="002D1E24"/>
    <w:rsid w:val="002D1E95"/>
    <w:rsid w:val="002D1ECC"/>
    <w:rsid w:val="002D251C"/>
    <w:rsid w:val="002D253C"/>
    <w:rsid w:val="002D2610"/>
    <w:rsid w:val="002D2822"/>
    <w:rsid w:val="002D29B6"/>
    <w:rsid w:val="002D2A15"/>
    <w:rsid w:val="002D2A2A"/>
    <w:rsid w:val="002D2A42"/>
    <w:rsid w:val="002D2AB1"/>
    <w:rsid w:val="002D2C11"/>
    <w:rsid w:val="002D2C27"/>
    <w:rsid w:val="002D2C79"/>
    <w:rsid w:val="002D2CD4"/>
    <w:rsid w:val="002D2D81"/>
    <w:rsid w:val="002D2F55"/>
    <w:rsid w:val="002D3118"/>
    <w:rsid w:val="002D3135"/>
    <w:rsid w:val="002D3153"/>
    <w:rsid w:val="002D316C"/>
    <w:rsid w:val="002D32CA"/>
    <w:rsid w:val="002D3359"/>
    <w:rsid w:val="002D33D3"/>
    <w:rsid w:val="002D3507"/>
    <w:rsid w:val="002D3734"/>
    <w:rsid w:val="002D3873"/>
    <w:rsid w:val="002D38AD"/>
    <w:rsid w:val="002D38C0"/>
    <w:rsid w:val="002D39D1"/>
    <w:rsid w:val="002D3A46"/>
    <w:rsid w:val="002D3AA7"/>
    <w:rsid w:val="002D3B09"/>
    <w:rsid w:val="002D3B99"/>
    <w:rsid w:val="002D3C68"/>
    <w:rsid w:val="002D3D09"/>
    <w:rsid w:val="002D3D86"/>
    <w:rsid w:val="002D3DCA"/>
    <w:rsid w:val="002D3F85"/>
    <w:rsid w:val="002D3FC5"/>
    <w:rsid w:val="002D402C"/>
    <w:rsid w:val="002D40C2"/>
    <w:rsid w:val="002D415C"/>
    <w:rsid w:val="002D4196"/>
    <w:rsid w:val="002D420C"/>
    <w:rsid w:val="002D427D"/>
    <w:rsid w:val="002D42DE"/>
    <w:rsid w:val="002D4400"/>
    <w:rsid w:val="002D4466"/>
    <w:rsid w:val="002D4557"/>
    <w:rsid w:val="002D45AB"/>
    <w:rsid w:val="002D45DB"/>
    <w:rsid w:val="002D466A"/>
    <w:rsid w:val="002D4677"/>
    <w:rsid w:val="002D4707"/>
    <w:rsid w:val="002D482F"/>
    <w:rsid w:val="002D4830"/>
    <w:rsid w:val="002D4A2B"/>
    <w:rsid w:val="002D4B0C"/>
    <w:rsid w:val="002D4BE4"/>
    <w:rsid w:val="002D4D36"/>
    <w:rsid w:val="002D4E01"/>
    <w:rsid w:val="002D4EB9"/>
    <w:rsid w:val="002D4F6E"/>
    <w:rsid w:val="002D4F75"/>
    <w:rsid w:val="002D50FC"/>
    <w:rsid w:val="002D510A"/>
    <w:rsid w:val="002D512F"/>
    <w:rsid w:val="002D5130"/>
    <w:rsid w:val="002D5198"/>
    <w:rsid w:val="002D529D"/>
    <w:rsid w:val="002D539E"/>
    <w:rsid w:val="002D53CA"/>
    <w:rsid w:val="002D53D3"/>
    <w:rsid w:val="002D54CF"/>
    <w:rsid w:val="002D55E6"/>
    <w:rsid w:val="002D5640"/>
    <w:rsid w:val="002D5682"/>
    <w:rsid w:val="002D5780"/>
    <w:rsid w:val="002D58AA"/>
    <w:rsid w:val="002D5970"/>
    <w:rsid w:val="002D5984"/>
    <w:rsid w:val="002D59CD"/>
    <w:rsid w:val="002D5A6B"/>
    <w:rsid w:val="002D5C78"/>
    <w:rsid w:val="002D5CB0"/>
    <w:rsid w:val="002D5CF7"/>
    <w:rsid w:val="002D5D35"/>
    <w:rsid w:val="002D5DB8"/>
    <w:rsid w:val="002D5DF1"/>
    <w:rsid w:val="002D5E82"/>
    <w:rsid w:val="002D5F56"/>
    <w:rsid w:val="002D60BF"/>
    <w:rsid w:val="002D6150"/>
    <w:rsid w:val="002D61D8"/>
    <w:rsid w:val="002D627B"/>
    <w:rsid w:val="002D62FB"/>
    <w:rsid w:val="002D6385"/>
    <w:rsid w:val="002D64EE"/>
    <w:rsid w:val="002D6666"/>
    <w:rsid w:val="002D66CF"/>
    <w:rsid w:val="002D66DA"/>
    <w:rsid w:val="002D68E6"/>
    <w:rsid w:val="002D697A"/>
    <w:rsid w:val="002D6A5F"/>
    <w:rsid w:val="002D6A78"/>
    <w:rsid w:val="002D6D4F"/>
    <w:rsid w:val="002D6DE9"/>
    <w:rsid w:val="002D6F0C"/>
    <w:rsid w:val="002D6F41"/>
    <w:rsid w:val="002D6FF9"/>
    <w:rsid w:val="002D71D0"/>
    <w:rsid w:val="002D71F7"/>
    <w:rsid w:val="002D73A4"/>
    <w:rsid w:val="002D74F6"/>
    <w:rsid w:val="002D75F4"/>
    <w:rsid w:val="002D763E"/>
    <w:rsid w:val="002D76FF"/>
    <w:rsid w:val="002D7797"/>
    <w:rsid w:val="002D779D"/>
    <w:rsid w:val="002D783F"/>
    <w:rsid w:val="002D79A0"/>
    <w:rsid w:val="002D79FC"/>
    <w:rsid w:val="002D7A2A"/>
    <w:rsid w:val="002D7A73"/>
    <w:rsid w:val="002D7ABF"/>
    <w:rsid w:val="002D7B39"/>
    <w:rsid w:val="002D7C16"/>
    <w:rsid w:val="002D7CF1"/>
    <w:rsid w:val="002D7D89"/>
    <w:rsid w:val="002D7D8B"/>
    <w:rsid w:val="002D7EE9"/>
    <w:rsid w:val="002E009B"/>
    <w:rsid w:val="002E02C9"/>
    <w:rsid w:val="002E03C1"/>
    <w:rsid w:val="002E0468"/>
    <w:rsid w:val="002E046A"/>
    <w:rsid w:val="002E053E"/>
    <w:rsid w:val="002E05B1"/>
    <w:rsid w:val="002E05ED"/>
    <w:rsid w:val="002E06F0"/>
    <w:rsid w:val="002E0730"/>
    <w:rsid w:val="002E075F"/>
    <w:rsid w:val="002E07A3"/>
    <w:rsid w:val="002E091E"/>
    <w:rsid w:val="002E09FB"/>
    <w:rsid w:val="002E0C28"/>
    <w:rsid w:val="002E0C6C"/>
    <w:rsid w:val="002E0E3B"/>
    <w:rsid w:val="002E10F0"/>
    <w:rsid w:val="002E115E"/>
    <w:rsid w:val="002E1160"/>
    <w:rsid w:val="002E1192"/>
    <w:rsid w:val="002E1195"/>
    <w:rsid w:val="002E11B7"/>
    <w:rsid w:val="002E12B6"/>
    <w:rsid w:val="002E1313"/>
    <w:rsid w:val="002E136A"/>
    <w:rsid w:val="002E1465"/>
    <w:rsid w:val="002E1482"/>
    <w:rsid w:val="002E15A9"/>
    <w:rsid w:val="002E16B3"/>
    <w:rsid w:val="002E1706"/>
    <w:rsid w:val="002E17E7"/>
    <w:rsid w:val="002E17F0"/>
    <w:rsid w:val="002E1883"/>
    <w:rsid w:val="002E1A7A"/>
    <w:rsid w:val="002E1AD5"/>
    <w:rsid w:val="002E1ADC"/>
    <w:rsid w:val="002E1BA6"/>
    <w:rsid w:val="002E1D3A"/>
    <w:rsid w:val="002E1DAA"/>
    <w:rsid w:val="002E1E09"/>
    <w:rsid w:val="002E1F28"/>
    <w:rsid w:val="002E1F2B"/>
    <w:rsid w:val="002E1F43"/>
    <w:rsid w:val="002E1FD9"/>
    <w:rsid w:val="002E2001"/>
    <w:rsid w:val="002E216E"/>
    <w:rsid w:val="002E2229"/>
    <w:rsid w:val="002E2238"/>
    <w:rsid w:val="002E248E"/>
    <w:rsid w:val="002E24F7"/>
    <w:rsid w:val="002E2573"/>
    <w:rsid w:val="002E26D2"/>
    <w:rsid w:val="002E2804"/>
    <w:rsid w:val="002E280E"/>
    <w:rsid w:val="002E29C5"/>
    <w:rsid w:val="002E2AF0"/>
    <w:rsid w:val="002E2CA5"/>
    <w:rsid w:val="002E2E4F"/>
    <w:rsid w:val="002E2FB4"/>
    <w:rsid w:val="002E2FC0"/>
    <w:rsid w:val="002E2FE4"/>
    <w:rsid w:val="002E3029"/>
    <w:rsid w:val="002E318C"/>
    <w:rsid w:val="002E3421"/>
    <w:rsid w:val="002E3492"/>
    <w:rsid w:val="002E34ED"/>
    <w:rsid w:val="002E35BE"/>
    <w:rsid w:val="002E35FF"/>
    <w:rsid w:val="002E3666"/>
    <w:rsid w:val="002E3749"/>
    <w:rsid w:val="002E37A9"/>
    <w:rsid w:val="002E37B1"/>
    <w:rsid w:val="002E37F4"/>
    <w:rsid w:val="002E3B57"/>
    <w:rsid w:val="002E3B97"/>
    <w:rsid w:val="002E3BB4"/>
    <w:rsid w:val="002E3BF8"/>
    <w:rsid w:val="002E3C0F"/>
    <w:rsid w:val="002E3C4D"/>
    <w:rsid w:val="002E3C77"/>
    <w:rsid w:val="002E3C9F"/>
    <w:rsid w:val="002E3CF0"/>
    <w:rsid w:val="002E3E02"/>
    <w:rsid w:val="002E3F2E"/>
    <w:rsid w:val="002E3F5F"/>
    <w:rsid w:val="002E3F97"/>
    <w:rsid w:val="002E3FBC"/>
    <w:rsid w:val="002E3FE5"/>
    <w:rsid w:val="002E4103"/>
    <w:rsid w:val="002E41BE"/>
    <w:rsid w:val="002E422A"/>
    <w:rsid w:val="002E4273"/>
    <w:rsid w:val="002E4283"/>
    <w:rsid w:val="002E47A9"/>
    <w:rsid w:val="002E496F"/>
    <w:rsid w:val="002E4985"/>
    <w:rsid w:val="002E4BF5"/>
    <w:rsid w:val="002E4C8D"/>
    <w:rsid w:val="002E4CAD"/>
    <w:rsid w:val="002E4D01"/>
    <w:rsid w:val="002E4EA3"/>
    <w:rsid w:val="002E4F6F"/>
    <w:rsid w:val="002E4FBB"/>
    <w:rsid w:val="002E51D7"/>
    <w:rsid w:val="002E5233"/>
    <w:rsid w:val="002E5246"/>
    <w:rsid w:val="002E537B"/>
    <w:rsid w:val="002E5422"/>
    <w:rsid w:val="002E5473"/>
    <w:rsid w:val="002E5509"/>
    <w:rsid w:val="002E555F"/>
    <w:rsid w:val="002E55D5"/>
    <w:rsid w:val="002E565E"/>
    <w:rsid w:val="002E573B"/>
    <w:rsid w:val="002E584F"/>
    <w:rsid w:val="002E5A49"/>
    <w:rsid w:val="002E5B4B"/>
    <w:rsid w:val="002E5C16"/>
    <w:rsid w:val="002E5C6B"/>
    <w:rsid w:val="002E5CDE"/>
    <w:rsid w:val="002E5D45"/>
    <w:rsid w:val="002E5EF3"/>
    <w:rsid w:val="002E5F08"/>
    <w:rsid w:val="002E5F45"/>
    <w:rsid w:val="002E5FE1"/>
    <w:rsid w:val="002E5FF8"/>
    <w:rsid w:val="002E6091"/>
    <w:rsid w:val="002E6125"/>
    <w:rsid w:val="002E6159"/>
    <w:rsid w:val="002E61B5"/>
    <w:rsid w:val="002E627B"/>
    <w:rsid w:val="002E63FE"/>
    <w:rsid w:val="002E64A8"/>
    <w:rsid w:val="002E6529"/>
    <w:rsid w:val="002E652B"/>
    <w:rsid w:val="002E6626"/>
    <w:rsid w:val="002E6641"/>
    <w:rsid w:val="002E66B2"/>
    <w:rsid w:val="002E66CE"/>
    <w:rsid w:val="002E66E2"/>
    <w:rsid w:val="002E677D"/>
    <w:rsid w:val="002E680F"/>
    <w:rsid w:val="002E6861"/>
    <w:rsid w:val="002E68A3"/>
    <w:rsid w:val="002E695F"/>
    <w:rsid w:val="002E69E4"/>
    <w:rsid w:val="002E6A8C"/>
    <w:rsid w:val="002E6ABB"/>
    <w:rsid w:val="002E6B80"/>
    <w:rsid w:val="002E6C2D"/>
    <w:rsid w:val="002E6C5C"/>
    <w:rsid w:val="002E6D06"/>
    <w:rsid w:val="002E6D3C"/>
    <w:rsid w:val="002E6D70"/>
    <w:rsid w:val="002E6EDB"/>
    <w:rsid w:val="002E6F8E"/>
    <w:rsid w:val="002E7075"/>
    <w:rsid w:val="002E70CA"/>
    <w:rsid w:val="002E735D"/>
    <w:rsid w:val="002E73A0"/>
    <w:rsid w:val="002E7533"/>
    <w:rsid w:val="002E755C"/>
    <w:rsid w:val="002E75C9"/>
    <w:rsid w:val="002E7683"/>
    <w:rsid w:val="002E769E"/>
    <w:rsid w:val="002E76E4"/>
    <w:rsid w:val="002E7708"/>
    <w:rsid w:val="002E772D"/>
    <w:rsid w:val="002E78BE"/>
    <w:rsid w:val="002E78C9"/>
    <w:rsid w:val="002E78D6"/>
    <w:rsid w:val="002E790A"/>
    <w:rsid w:val="002E795E"/>
    <w:rsid w:val="002E798D"/>
    <w:rsid w:val="002E7AD5"/>
    <w:rsid w:val="002E7B83"/>
    <w:rsid w:val="002E7BDE"/>
    <w:rsid w:val="002E7C15"/>
    <w:rsid w:val="002E7CED"/>
    <w:rsid w:val="002E7D7F"/>
    <w:rsid w:val="002E7E48"/>
    <w:rsid w:val="002E7E4B"/>
    <w:rsid w:val="002E7E97"/>
    <w:rsid w:val="002E7F8D"/>
    <w:rsid w:val="002F01A2"/>
    <w:rsid w:val="002F0282"/>
    <w:rsid w:val="002F029F"/>
    <w:rsid w:val="002F02BF"/>
    <w:rsid w:val="002F02E4"/>
    <w:rsid w:val="002F035B"/>
    <w:rsid w:val="002F039B"/>
    <w:rsid w:val="002F045F"/>
    <w:rsid w:val="002F04B4"/>
    <w:rsid w:val="002F04D9"/>
    <w:rsid w:val="002F05D0"/>
    <w:rsid w:val="002F05FD"/>
    <w:rsid w:val="002F0623"/>
    <w:rsid w:val="002F06BC"/>
    <w:rsid w:val="002F0708"/>
    <w:rsid w:val="002F0766"/>
    <w:rsid w:val="002F0772"/>
    <w:rsid w:val="002F0777"/>
    <w:rsid w:val="002F0833"/>
    <w:rsid w:val="002F084E"/>
    <w:rsid w:val="002F08B0"/>
    <w:rsid w:val="002F098B"/>
    <w:rsid w:val="002F09FE"/>
    <w:rsid w:val="002F0A4F"/>
    <w:rsid w:val="002F0B75"/>
    <w:rsid w:val="002F0C6B"/>
    <w:rsid w:val="002F0C9C"/>
    <w:rsid w:val="002F0F50"/>
    <w:rsid w:val="002F0F6C"/>
    <w:rsid w:val="002F1050"/>
    <w:rsid w:val="002F10EE"/>
    <w:rsid w:val="002F1181"/>
    <w:rsid w:val="002F138E"/>
    <w:rsid w:val="002F13C9"/>
    <w:rsid w:val="002F1422"/>
    <w:rsid w:val="002F14E0"/>
    <w:rsid w:val="002F14E8"/>
    <w:rsid w:val="002F1516"/>
    <w:rsid w:val="002F152F"/>
    <w:rsid w:val="002F1539"/>
    <w:rsid w:val="002F15E3"/>
    <w:rsid w:val="002F16B7"/>
    <w:rsid w:val="002F177A"/>
    <w:rsid w:val="002F17BB"/>
    <w:rsid w:val="002F187F"/>
    <w:rsid w:val="002F18CA"/>
    <w:rsid w:val="002F1922"/>
    <w:rsid w:val="002F1A3B"/>
    <w:rsid w:val="002F1A86"/>
    <w:rsid w:val="002F1A9F"/>
    <w:rsid w:val="002F1B77"/>
    <w:rsid w:val="002F1BC5"/>
    <w:rsid w:val="002F1C87"/>
    <w:rsid w:val="002F1CB8"/>
    <w:rsid w:val="002F1CDB"/>
    <w:rsid w:val="002F1DC0"/>
    <w:rsid w:val="002F1E69"/>
    <w:rsid w:val="002F1E6D"/>
    <w:rsid w:val="002F1ECE"/>
    <w:rsid w:val="002F1F11"/>
    <w:rsid w:val="002F1F8E"/>
    <w:rsid w:val="002F2197"/>
    <w:rsid w:val="002F223C"/>
    <w:rsid w:val="002F2318"/>
    <w:rsid w:val="002F2372"/>
    <w:rsid w:val="002F24EA"/>
    <w:rsid w:val="002F25D9"/>
    <w:rsid w:val="002F2639"/>
    <w:rsid w:val="002F26E4"/>
    <w:rsid w:val="002F273A"/>
    <w:rsid w:val="002F27CB"/>
    <w:rsid w:val="002F27F5"/>
    <w:rsid w:val="002F28C2"/>
    <w:rsid w:val="002F2936"/>
    <w:rsid w:val="002F2B2C"/>
    <w:rsid w:val="002F2B31"/>
    <w:rsid w:val="002F2DAB"/>
    <w:rsid w:val="002F2DF7"/>
    <w:rsid w:val="002F2FFB"/>
    <w:rsid w:val="002F306A"/>
    <w:rsid w:val="002F306F"/>
    <w:rsid w:val="002F30CB"/>
    <w:rsid w:val="002F332E"/>
    <w:rsid w:val="002F3433"/>
    <w:rsid w:val="002F3550"/>
    <w:rsid w:val="002F360D"/>
    <w:rsid w:val="002F384D"/>
    <w:rsid w:val="002F385C"/>
    <w:rsid w:val="002F387C"/>
    <w:rsid w:val="002F38E6"/>
    <w:rsid w:val="002F39E0"/>
    <w:rsid w:val="002F3AC6"/>
    <w:rsid w:val="002F3B14"/>
    <w:rsid w:val="002F3BD1"/>
    <w:rsid w:val="002F3CBB"/>
    <w:rsid w:val="002F3E2A"/>
    <w:rsid w:val="002F3E39"/>
    <w:rsid w:val="002F3E6B"/>
    <w:rsid w:val="002F3E9E"/>
    <w:rsid w:val="002F4384"/>
    <w:rsid w:val="002F4556"/>
    <w:rsid w:val="002F4577"/>
    <w:rsid w:val="002F4622"/>
    <w:rsid w:val="002F4756"/>
    <w:rsid w:val="002F4807"/>
    <w:rsid w:val="002F484E"/>
    <w:rsid w:val="002F49CF"/>
    <w:rsid w:val="002F4A2F"/>
    <w:rsid w:val="002F4A3E"/>
    <w:rsid w:val="002F4A83"/>
    <w:rsid w:val="002F4AB6"/>
    <w:rsid w:val="002F4C7A"/>
    <w:rsid w:val="002F4E8D"/>
    <w:rsid w:val="002F4E98"/>
    <w:rsid w:val="002F4ECB"/>
    <w:rsid w:val="002F4EEF"/>
    <w:rsid w:val="002F4F0D"/>
    <w:rsid w:val="002F501E"/>
    <w:rsid w:val="002F5115"/>
    <w:rsid w:val="002F5138"/>
    <w:rsid w:val="002F519A"/>
    <w:rsid w:val="002F51FD"/>
    <w:rsid w:val="002F5386"/>
    <w:rsid w:val="002F5392"/>
    <w:rsid w:val="002F5535"/>
    <w:rsid w:val="002F565F"/>
    <w:rsid w:val="002F56C2"/>
    <w:rsid w:val="002F5798"/>
    <w:rsid w:val="002F5871"/>
    <w:rsid w:val="002F590F"/>
    <w:rsid w:val="002F5931"/>
    <w:rsid w:val="002F5B1C"/>
    <w:rsid w:val="002F5D7D"/>
    <w:rsid w:val="002F5F25"/>
    <w:rsid w:val="002F5F2D"/>
    <w:rsid w:val="002F5F40"/>
    <w:rsid w:val="002F5F61"/>
    <w:rsid w:val="002F62DF"/>
    <w:rsid w:val="002F64BD"/>
    <w:rsid w:val="002F64C5"/>
    <w:rsid w:val="002F6538"/>
    <w:rsid w:val="002F66A1"/>
    <w:rsid w:val="002F6805"/>
    <w:rsid w:val="002F682B"/>
    <w:rsid w:val="002F6869"/>
    <w:rsid w:val="002F68A1"/>
    <w:rsid w:val="002F68DF"/>
    <w:rsid w:val="002F692A"/>
    <w:rsid w:val="002F6960"/>
    <w:rsid w:val="002F6A33"/>
    <w:rsid w:val="002F6AE2"/>
    <w:rsid w:val="002F6B81"/>
    <w:rsid w:val="002F6C26"/>
    <w:rsid w:val="002F6E51"/>
    <w:rsid w:val="002F6F0B"/>
    <w:rsid w:val="002F6F31"/>
    <w:rsid w:val="002F6F6F"/>
    <w:rsid w:val="002F7022"/>
    <w:rsid w:val="002F7036"/>
    <w:rsid w:val="002F7159"/>
    <w:rsid w:val="002F7169"/>
    <w:rsid w:val="002F71C2"/>
    <w:rsid w:val="002F7267"/>
    <w:rsid w:val="002F72A3"/>
    <w:rsid w:val="002F7302"/>
    <w:rsid w:val="002F7396"/>
    <w:rsid w:val="002F74DB"/>
    <w:rsid w:val="002F7505"/>
    <w:rsid w:val="002F765D"/>
    <w:rsid w:val="002F7880"/>
    <w:rsid w:val="002F7911"/>
    <w:rsid w:val="002F79B7"/>
    <w:rsid w:val="002F7C3A"/>
    <w:rsid w:val="002F7D52"/>
    <w:rsid w:val="002F7E48"/>
    <w:rsid w:val="002F7E51"/>
    <w:rsid w:val="002F7EF5"/>
    <w:rsid w:val="002F7F98"/>
    <w:rsid w:val="002F7FB6"/>
    <w:rsid w:val="00300028"/>
    <w:rsid w:val="00300110"/>
    <w:rsid w:val="0030015B"/>
    <w:rsid w:val="0030020C"/>
    <w:rsid w:val="00300238"/>
    <w:rsid w:val="00300267"/>
    <w:rsid w:val="0030028C"/>
    <w:rsid w:val="003002B5"/>
    <w:rsid w:val="00300301"/>
    <w:rsid w:val="00300361"/>
    <w:rsid w:val="003003C3"/>
    <w:rsid w:val="003003EA"/>
    <w:rsid w:val="0030059B"/>
    <w:rsid w:val="003005E8"/>
    <w:rsid w:val="003005F2"/>
    <w:rsid w:val="003005FF"/>
    <w:rsid w:val="00300612"/>
    <w:rsid w:val="0030067C"/>
    <w:rsid w:val="0030072C"/>
    <w:rsid w:val="0030075C"/>
    <w:rsid w:val="0030081B"/>
    <w:rsid w:val="0030084B"/>
    <w:rsid w:val="00300896"/>
    <w:rsid w:val="003008B1"/>
    <w:rsid w:val="003008C6"/>
    <w:rsid w:val="0030092D"/>
    <w:rsid w:val="003009DC"/>
    <w:rsid w:val="00300A0D"/>
    <w:rsid w:val="00300B45"/>
    <w:rsid w:val="00300B66"/>
    <w:rsid w:val="00300BE7"/>
    <w:rsid w:val="00300C9B"/>
    <w:rsid w:val="00300DC2"/>
    <w:rsid w:val="00300E12"/>
    <w:rsid w:val="00300EA5"/>
    <w:rsid w:val="00300F45"/>
    <w:rsid w:val="00300F55"/>
    <w:rsid w:val="00300FB2"/>
    <w:rsid w:val="0030103A"/>
    <w:rsid w:val="0030103D"/>
    <w:rsid w:val="0030106F"/>
    <w:rsid w:val="0030108F"/>
    <w:rsid w:val="00301131"/>
    <w:rsid w:val="0030123A"/>
    <w:rsid w:val="0030129F"/>
    <w:rsid w:val="003012D0"/>
    <w:rsid w:val="0030134D"/>
    <w:rsid w:val="00301394"/>
    <w:rsid w:val="00301478"/>
    <w:rsid w:val="00301522"/>
    <w:rsid w:val="00301579"/>
    <w:rsid w:val="003015A2"/>
    <w:rsid w:val="0030163D"/>
    <w:rsid w:val="00301643"/>
    <w:rsid w:val="00301650"/>
    <w:rsid w:val="00301687"/>
    <w:rsid w:val="003016F3"/>
    <w:rsid w:val="0030172D"/>
    <w:rsid w:val="00301789"/>
    <w:rsid w:val="0030180D"/>
    <w:rsid w:val="00301869"/>
    <w:rsid w:val="00301873"/>
    <w:rsid w:val="0030189F"/>
    <w:rsid w:val="003018EF"/>
    <w:rsid w:val="00301924"/>
    <w:rsid w:val="00301983"/>
    <w:rsid w:val="00301AB7"/>
    <w:rsid w:val="00301D6C"/>
    <w:rsid w:val="00301F34"/>
    <w:rsid w:val="00301FB4"/>
    <w:rsid w:val="00301FBA"/>
    <w:rsid w:val="003022BB"/>
    <w:rsid w:val="003022FF"/>
    <w:rsid w:val="003024D9"/>
    <w:rsid w:val="00302553"/>
    <w:rsid w:val="00302692"/>
    <w:rsid w:val="00302696"/>
    <w:rsid w:val="0030273E"/>
    <w:rsid w:val="0030276B"/>
    <w:rsid w:val="0030284B"/>
    <w:rsid w:val="003028AA"/>
    <w:rsid w:val="003028E2"/>
    <w:rsid w:val="00302932"/>
    <w:rsid w:val="003029D3"/>
    <w:rsid w:val="00302A73"/>
    <w:rsid w:val="00302B8C"/>
    <w:rsid w:val="00302BED"/>
    <w:rsid w:val="00302C5E"/>
    <w:rsid w:val="00302C7B"/>
    <w:rsid w:val="00302CE0"/>
    <w:rsid w:val="00302CFC"/>
    <w:rsid w:val="00302DB7"/>
    <w:rsid w:val="00302E92"/>
    <w:rsid w:val="00302F2D"/>
    <w:rsid w:val="00302F68"/>
    <w:rsid w:val="003030EB"/>
    <w:rsid w:val="003030FC"/>
    <w:rsid w:val="0030318F"/>
    <w:rsid w:val="0030319F"/>
    <w:rsid w:val="0030324E"/>
    <w:rsid w:val="003032BC"/>
    <w:rsid w:val="00303378"/>
    <w:rsid w:val="00303481"/>
    <w:rsid w:val="00303483"/>
    <w:rsid w:val="003034D6"/>
    <w:rsid w:val="003035D9"/>
    <w:rsid w:val="00303600"/>
    <w:rsid w:val="00303797"/>
    <w:rsid w:val="003037C1"/>
    <w:rsid w:val="003037CF"/>
    <w:rsid w:val="00303817"/>
    <w:rsid w:val="003038A6"/>
    <w:rsid w:val="003038B5"/>
    <w:rsid w:val="003038D1"/>
    <w:rsid w:val="003039C0"/>
    <w:rsid w:val="00303A07"/>
    <w:rsid w:val="00303A9A"/>
    <w:rsid w:val="00303BB2"/>
    <w:rsid w:val="00303BFC"/>
    <w:rsid w:val="00303C99"/>
    <w:rsid w:val="00303D27"/>
    <w:rsid w:val="00303D73"/>
    <w:rsid w:val="00303DD9"/>
    <w:rsid w:val="00303DFE"/>
    <w:rsid w:val="00303F34"/>
    <w:rsid w:val="00304056"/>
    <w:rsid w:val="00304115"/>
    <w:rsid w:val="00304153"/>
    <w:rsid w:val="003041C4"/>
    <w:rsid w:val="003041DB"/>
    <w:rsid w:val="0030421A"/>
    <w:rsid w:val="0030425A"/>
    <w:rsid w:val="00304323"/>
    <w:rsid w:val="00304370"/>
    <w:rsid w:val="00304444"/>
    <w:rsid w:val="00304555"/>
    <w:rsid w:val="003045B6"/>
    <w:rsid w:val="003046B4"/>
    <w:rsid w:val="003046F8"/>
    <w:rsid w:val="003046FA"/>
    <w:rsid w:val="00304765"/>
    <w:rsid w:val="003047B6"/>
    <w:rsid w:val="00304AE4"/>
    <w:rsid w:val="00304AEA"/>
    <w:rsid w:val="00304D00"/>
    <w:rsid w:val="00304D07"/>
    <w:rsid w:val="00304D1D"/>
    <w:rsid w:val="00304D5C"/>
    <w:rsid w:val="00304E50"/>
    <w:rsid w:val="00305235"/>
    <w:rsid w:val="003052F3"/>
    <w:rsid w:val="0030533B"/>
    <w:rsid w:val="00305396"/>
    <w:rsid w:val="00305581"/>
    <w:rsid w:val="00305648"/>
    <w:rsid w:val="00305769"/>
    <w:rsid w:val="003057DA"/>
    <w:rsid w:val="00305965"/>
    <w:rsid w:val="003059A7"/>
    <w:rsid w:val="003059C0"/>
    <w:rsid w:val="003059CF"/>
    <w:rsid w:val="00305ACE"/>
    <w:rsid w:val="00305B6D"/>
    <w:rsid w:val="00305D2A"/>
    <w:rsid w:val="00305D49"/>
    <w:rsid w:val="00305D51"/>
    <w:rsid w:val="00305D91"/>
    <w:rsid w:val="00305DA5"/>
    <w:rsid w:val="00305E16"/>
    <w:rsid w:val="00305E1C"/>
    <w:rsid w:val="00305F09"/>
    <w:rsid w:val="00305F23"/>
    <w:rsid w:val="00305FB8"/>
    <w:rsid w:val="003060BB"/>
    <w:rsid w:val="003060CD"/>
    <w:rsid w:val="0030619D"/>
    <w:rsid w:val="00306255"/>
    <w:rsid w:val="003062E2"/>
    <w:rsid w:val="003063AF"/>
    <w:rsid w:val="003063E5"/>
    <w:rsid w:val="0030646C"/>
    <w:rsid w:val="003064C2"/>
    <w:rsid w:val="0030655E"/>
    <w:rsid w:val="003065EE"/>
    <w:rsid w:val="003066B2"/>
    <w:rsid w:val="0030675F"/>
    <w:rsid w:val="003067A0"/>
    <w:rsid w:val="003067F0"/>
    <w:rsid w:val="003068C9"/>
    <w:rsid w:val="003069E4"/>
    <w:rsid w:val="00306A59"/>
    <w:rsid w:val="00306A8D"/>
    <w:rsid w:val="00306B08"/>
    <w:rsid w:val="00306B93"/>
    <w:rsid w:val="00306C11"/>
    <w:rsid w:val="00306E5C"/>
    <w:rsid w:val="00306EF7"/>
    <w:rsid w:val="00306F1E"/>
    <w:rsid w:val="0030710B"/>
    <w:rsid w:val="00307159"/>
    <w:rsid w:val="003071F4"/>
    <w:rsid w:val="00307236"/>
    <w:rsid w:val="0030731D"/>
    <w:rsid w:val="00307387"/>
    <w:rsid w:val="003073E0"/>
    <w:rsid w:val="00307409"/>
    <w:rsid w:val="0030741D"/>
    <w:rsid w:val="00307442"/>
    <w:rsid w:val="0030747C"/>
    <w:rsid w:val="00307546"/>
    <w:rsid w:val="00307554"/>
    <w:rsid w:val="00307569"/>
    <w:rsid w:val="0030759B"/>
    <w:rsid w:val="00307641"/>
    <w:rsid w:val="003076C9"/>
    <w:rsid w:val="00307868"/>
    <w:rsid w:val="00307912"/>
    <w:rsid w:val="00307986"/>
    <w:rsid w:val="0030799D"/>
    <w:rsid w:val="00307A13"/>
    <w:rsid w:val="00307A5A"/>
    <w:rsid w:val="00307AF4"/>
    <w:rsid w:val="00307B05"/>
    <w:rsid w:val="00307B33"/>
    <w:rsid w:val="00307CB6"/>
    <w:rsid w:val="00307CDF"/>
    <w:rsid w:val="00307D45"/>
    <w:rsid w:val="00307D72"/>
    <w:rsid w:val="00307DE7"/>
    <w:rsid w:val="00307E83"/>
    <w:rsid w:val="00310036"/>
    <w:rsid w:val="00310072"/>
    <w:rsid w:val="0031010A"/>
    <w:rsid w:val="00310169"/>
    <w:rsid w:val="003101F3"/>
    <w:rsid w:val="003101F6"/>
    <w:rsid w:val="0031026E"/>
    <w:rsid w:val="003102EB"/>
    <w:rsid w:val="0031035E"/>
    <w:rsid w:val="003103A4"/>
    <w:rsid w:val="00310444"/>
    <w:rsid w:val="00310453"/>
    <w:rsid w:val="00310577"/>
    <w:rsid w:val="00310597"/>
    <w:rsid w:val="00310640"/>
    <w:rsid w:val="003107C2"/>
    <w:rsid w:val="003107DF"/>
    <w:rsid w:val="00310882"/>
    <w:rsid w:val="003109EC"/>
    <w:rsid w:val="00310A0B"/>
    <w:rsid w:val="00310A17"/>
    <w:rsid w:val="00310A49"/>
    <w:rsid w:val="00310AA3"/>
    <w:rsid w:val="00310AB4"/>
    <w:rsid w:val="00310AC9"/>
    <w:rsid w:val="00310AE7"/>
    <w:rsid w:val="00310B44"/>
    <w:rsid w:val="00310CAA"/>
    <w:rsid w:val="00310D9C"/>
    <w:rsid w:val="00310DD5"/>
    <w:rsid w:val="00310DFE"/>
    <w:rsid w:val="00310E68"/>
    <w:rsid w:val="00310ED2"/>
    <w:rsid w:val="00310FAC"/>
    <w:rsid w:val="00310FF3"/>
    <w:rsid w:val="003110BE"/>
    <w:rsid w:val="00311122"/>
    <w:rsid w:val="003111AC"/>
    <w:rsid w:val="0031124C"/>
    <w:rsid w:val="003114E9"/>
    <w:rsid w:val="0031150B"/>
    <w:rsid w:val="00311541"/>
    <w:rsid w:val="003118D8"/>
    <w:rsid w:val="0031194B"/>
    <w:rsid w:val="003119F7"/>
    <w:rsid w:val="00311AE6"/>
    <w:rsid w:val="00311BC4"/>
    <w:rsid w:val="00311CBE"/>
    <w:rsid w:val="00311D3A"/>
    <w:rsid w:val="00311E99"/>
    <w:rsid w:val="00311EBA"/>
    <w:rsid w:val="00311EE1"/>
    <w:rsid w:val="00311EF3"/>
    <w:rsid w:val="00311FC7"/>
    <w:rsid w:val="00312121"/>
    <w:rsid w:val="0031212B"/>
    <w:rsid w:val="003121F0"/>
    <w:rsid w:val="00312201"/>
    <w:rsid w:val="003122EF"/>
    <w:rsid w:val="0031241A"/>
    <w:rsid w:val="003124C6"/>
    <w:rsid w:val="00312572"/>
    <w:rsid w:val="0031262A"/>
    <w:rsid w:val="00312907"/>
    <w:rsid w:val="00312943"/>
    <w:rsid w:val="003129A5"/>
    <w:rsid w:val="003129B5"/>
    <w:rsid w:val="003129D1"/>
    <w:rsid w:val="00312A7C"/>
    <w:rsid w:val="00312ACD"/>
    <w:rsid w:val="00312AFB"/>
    <w:rsid w:val="00312C6B"/>
    <w:rsid w:val="00312E39"/>
    <w:rsid w:val="00312F3F"/>
    <w:rsid w:val="003130D9"/>
    <w:rsid w:val="003132DE"/>
    <w:rsid w:val="00313374"/>
    <w:rsid w:val="00313381"/>
    <w:rsid w:val="003135CA"/>
    <w:rsid w:val="003135D6"/>
    <w:rsid w:val="003135E4"/>
    <w:rsid w:val="00313751"/>
    <w:rsid w:val="0031390D"/>
    <w:rsid w:val="003139AF"/>
    <w:rsid w:val="003139DA"/>
    <w:rsid w:val="00313A38"/>
    <w:rsid w:val="00313AFB"/>
    <w:rsid w:val="00313B13"/>
    <w:rsid w:val="00313B49"/>
    <w:rsid w:val="00313BC7"/>
    <w:rsid w:val="00313C4B"/>
    <w:rsid w:val="00313D6A"/>
    <w:rsid w:val="00313E94"/>
    <w:rsid w:val="003141AD"/>
    <w:rsid w:val="0031421E"/>
    <w:rsid w:val="003142A7"/>
    <w:rsid w:val="003142AB"/>
    <w:rsid w:val="003143C7"/>
    <w:rsid w:val="003144D5"/>
    <w:rsid w:val="00314534"/>
    <w:rsid w:val="003145AF"/>
    <w:rsid w:val="003145E7"/>
    <w:rsid w:val="0031469B"/>
    <w:rsid w:val="0031470E"/>
    <w:rsid w:val="0031486F"/>
    <w:rsid w:val="00314A33"/>
    <w:rsid w:val="00314AA7"/>
    <w:rsid w:val="00314ABB"/>
    <w:rsid w:val="00314DE3"/>
    <w:rsid w:val="00314E0D"/>
    <w:rsid w:val="00314E11"/>
    <w:rsid w:val="00314E2E"/>
    <w:rsid w:val="00314FA3"/>
    <w:rsid w:val="00315140"/>
    <w:rsid w:val="003151C0"/>
    <w:rsid w:val="003151D9"/>
    <w:rsid w:val="003151E0"/>
    <w:rsid w:val="003151EE"/>
    <w:rsid w:val="0031527B"/>
    <w:rsid w:val="0031535A"/>
    <w:rsid w:val="003153ED"/>
    <w:rsid w:val="00315439"/>
    <w:rsid w:val="0031546D"/>
    <w:rsid w:val="00315539"/>
    <w:rsid w:val="003156E7"/>
    <w:rsid w:val="003157B7"/>
    <w:rsid w:val="003159C5"/>
    <w:rsid w:val="00315A11"/>
    <w:rsid w:val="00315A67"/>
    <w:rsid w:val="00315AD3"/>
    <w:rsid w:val="00315AF2"/>
    <w:rsid w:val="00315B08"/>
    <w:rsid w:val="00315BBF"/>
    <w:rsid w:val="00315C02"/>
    <w:rsid w:val="00315CF7"/>
    <w:rsid w:val="00315E89"/>
    <w:rsid w:val="00315F9D"/>
    <w:rsid w:val="00316068"/>
    <w:rsid w:val="003160AE"/>
    <w:rsid w:val="00316117"/>
    <w:rsid w:val="003161C2"/>
    <w:rsid w:val="00316231"/>
    <w:rsid w:val="00316512"/>
    <w:rsid w:val="003165D3"/>
    <w:rsid w:val="0031665D"/>
    <w:rsid w:val="0031668F"/>
    <w:rsid w:val="0031673E"/>
    <w:rsid w:val="00316745"/>
    <w:rsid w:val="0031674B"/>
    <w:rsid w:val="003167FD"/>
    <w:rsid w:val="0031684B"/>
    <w:rsid w:val="003168D1"/>
    <w:rsid w:val="00316918"/>
    <w:rsid w:val="003169C4"/>
    <w:rsid w:val="003169EC"/>
    <w:rsid w:val="00316A09"/>
    <w:rsid w:val="00316A2B"/>
    <w:rsid w:val="00316AAB"/>
    <w:rsid w:val="00316BBB"/>
    <w:rsid w:val="00316D6E"/>
    <w:rsid w:val="00316E76"/>
    <w:rsid w:val="00316EAC"/>
    <w:rsid w:val="00316F07"/>
    <w:rsid w:val="00316F1E"/>
    <w:rsid w:val="00316F23"/>
    <w:rsid w:val="00316F24"/>
    <w:rsid w:val="00316FA8"/>
    <w:rsid w:val="00317055"/>
    <w:rsid w:val="003170B4"/>
    <w:rsid w:val="003170FF"/>
    <w:rsid w:val="0031715E"/>
    <w:rsid w:val="00317296"/>
    <w:rsid w:val="00317394"/>
    <w:rsid w:val="0031757E"/>
    <w:rsid w:val="003176E3"/>
    <w:rsid w:val="0031775E"/>
    <w:rsid w:val="003177C9"/>
    <w:rsid w:val="00317841"/>
    <w:rsid w:val="0031784F"/>
    <w:rsid w:val="00317A69"/>
    <w:rsid w:val="00317C16"/>
    <w:rsid w:val="00317D1A"/>
    <w:rsid w:val="00317DCA"/>
    <w:rsid w:val="00317E48"/>
    <w:rsid w:val="00317E90"/>
    <w:rsid w:val="00317ED4"/>
    <w:rsid w:val="003200AC"/>
    <w:rsid w:val="003201E9"/>
    <w:rsid w:val="003201F1"/>
    <w:rsid w:val="0032024D"/>
    <w:rsid w:val="003202E1"/>
    <w:rsid w:val="00320307"/>
    <w:rsid w:val="00320430"/>
    <w:rsid w:val="003204E1"/>
    <w:rsid w:val="0032051F"/>
    <w:rsid w:val="00320601"/>
    <w:rsid w:val="003206E8"/>
    <w:rsid w:val="00320709"/>
    <w:rsid w:val="0032070E"/>
    <w:rsid w:val="0032085C"/>
    <w:rsid w:val="003208EE"/>
    <w:rsid w:val="00320AAC"/>
    <w:rsid w:val="00320B18"/>
    <w:rsid w:val="00320C0D"/>
    <w:rsid w:val="00320CAA"/>
    <w:rsid w:val="00320CDE"/>
    <w:rsid w:val="00320D98"/>
    <w:rsid w:val="00320F46"/>
    <w:rsid w:val="00320FAE"/>
    <w:rsid w:val="0032113E"/>
    <w:rsid w:val="00321193"/>
    <w:rsid w:val="00321198"/>
    <w:rsid w:val="003212DD"/>
    <w:rsid w:val="003216C2"/>
    <w:rsid w:val="003216EA"/>
    <w:rsid w:val="003217CB"/>
    <w:rsid w:val="0032180E"/>
    <w:rsid w:val="0032193E"/>
    <w:rsid w:val="00321A5C"/>
    <w:rsid w:val="00321A93"/>
    <w:rsid w:val="00321BEB"/>
    <w:rsid w:val="00321C6F"/>
    <w:rsid w:val="00321C7D"/>
    <w:rsid w:val="00321C88"/>
    <w:rsid w:val="00321D9E"/>
    <w:rsid w:val="00321E08"/>
    <w:rsid w:val="00321EF0"/>
    <w:rsid w:val="00322160"/>
    <w:rsid w:val="00322199"/>
    <w:rsid w:val="0032219A"/>
    <w:rsid w:val="0032220E"/>
    <w:rsid w:val="00322240"/>
    <w:rsid w:val="003222DC"/>
    <w:rsid w:val="003223E6"/>
    <w:rsid w:val="0032264A"/>
    <w:rsid w:val="00322698"/>
    <w:rsid w:val="003226A1"/>
    <w:rsid w:val="003226AB"/>
    <w:rsid w:val="00322830"/>
    <w:rsid w:val="00322888"/>
    <w:rsid w:val="003229C1"/>
    <w:rsid w:val="003229E3"/>
    <w:rsid w:val="003229E9"/>
    <w:rsid w:val="003229EE"/>
    <w:rsid w:val="00322A8E"/>
    <w:rsid w:val="00322AFF"/>
    <w:rsid w:val="00322DD5"/>
    <w:rsid w:val="00322FC7"/>
    <w:rsid w:val="00322FCA"/>
    <w:rsid w:val="00322FD1"/>
    <w:rsid w:val="0032304C"/>
    <w:rsid w:val="00323184"/>
    <w:rsid w:val="0032322E"/>
    <w:rsid w:val="0032333C"/>
    <w:rsid w:val="00323358"/>
    <w:rsid w:val="00323372"/>
    <w:rsid w:val="00323374"/>
    <w:rsid w:val="0032339A"/>
    <w:rsid w:val="00323676"/>
    <w:rsid w:val="003236DD"/>
    <w:rsid w:val="0032371C"/>
    <w:rsid w:val="00323741"/>
    <w:rsid w:val="0032397C"/>
    <w:rsid w:val="00323AB7"/>
    <w:rsid w:val="00323B4C"/>
    <w:rsid w:val="00323BDE"/>
    <w:rsid w:val="00323C72"/>
    <w:rsid w:val="00323D06"/>
    <w:rsid w:val="00323D91"/>
    <w:rsid w:val="00323E21"/>
    <w:rsid w:val="00323F19"/>
    <w:rsid w:val="00323F35"/>
    <w:rsid w:val="00323F69"/>
    <w:rsid w:val="00323FEE"/>
    <w:rsid w:val="00324021"/>
    <w:rsid w:val="003241E4"/>
    <w:rsid w:val="0032431B"/>
    <w:rsid w:val="0032462C"/>
    <w:rsid w:val="00324768"/>
    <w:rsid w:val="0032479B"/>
    <w:rsid w:val="0032484A"/>
    <w:rsid w:val="00324A86"/>
    <w:rsid w:val="00324AA6"/>
    <w:rsid w:val="00324CCB"/>
    <w:rsid w:val="00324CEC"/>
    <w:rsid w:val="00324CFB"/>
    <w:rsid w:val="00324E8D"/>
    <w:rsid w:val="00324FB3"/>
    <w:rsid w:val="0032502B"/>
    <w:rsid w:val="003250AC"/>
    <w:rsid w:val="003250E4"/>
    <w:rsid w:val="00325124"/>
    <w:rsid w:val="00325211"/>
    <w:rsid w:val="00325280"/>
    <w:rsid w:val="003253DB"/>
    <w:rsid w:val="003253E9"/>
    <w:rsid w:val="00325417"/>
    <w:rsid w:val="00325452"/>
    <w:rsid w:val="0032552D"/>
    <w:rsid w:val="0032555E"/>
    <w:rsid w:val="003255CB"/>
    <w:rsid w:val="0032574C"/>
    <w:rsid w:val="003258F7"/>
    <w:rsid w:val="00325ABB"/>
    <w:rsid w:val="00325AC3"/>
    <w:rsid w:val="00325C0B"/>
    <w:rsid w:val="00325C84"/>
    <w:rsid w:val="00325EBF"/>
    <w:rsid w:val="00325ECA"/>
    <w:rsid w:val="00325F6E"/>
    <w:rsid w:val="0032608A"/>
    <w:rsid w:val="0032614E"/>
    <w:rsid w:val="003261AB"/>
    <w:rsid w:val="0032620F"/>
    <w:rsid w:val="00326223"/>
    <w:rsid w:val="00326386"/>
    <w:rsid w:val="003263B3"/>
    <w:rsid w:val="003264BA"/>
    <w:rsid w:val="00326765"/>
    <w:rsid w:val="0032686C"/>
    <w:rsid w:val="0032690C"/>
    <w:rsid w:val="00326A7E"/>
    <w:rsid w:val="00326A82"/>
    <w:rsid w:val="00326B11"/>
    <w:rsid w:val="00326B6A"/>
    <w:rsid w:val="00326BB9"/>
    <w:rsid w:val="00326BBE"/>
    <w:rsid w:val="00326BBF"/>
    <w:rsid w:val="00326C49"/>
    <w:rsid w:val="00326CA9"/>
    <w:rsid w:val="00326D20"/>
    <w:rsid w:val="00326ED3"/>
    <w:rsid w:val="00326F73"/>
    <w:rsid w:val="00327234"/>
    <w:rsid w:val="003272AB"/>
    <w:rsid w:val="003272EE"/>
    <w:rsid w:val="003272F1"/>
    <w:rsid w:val="003273E7"/>
    <w:rsid w:val="0032740E"/>
    <w:rsid w:val="0032741A"/>
    <w:rsid w:val="0032742B"/>
    <w:rsid w:val="0032746F"/>
    <w:rsid w:val="00327476"/>
    <w:rsid w:val="00327525"/>
    <w:rsid w:val="0032765F"/>
    <w:rsid w:val="003276D9"/>
    <w:rsid w:val="003276F6"/>
    <w:rsid w:val="00327828"/>
    <w:rsid w:val="00327886"/>
    <w:rsid w:val="00327938"/>
    <w:rsid w:val="00327989"/>
    <w:rsid w:val="003279CA"/>
    <w:rsid w:val="003279D5"/>
    <w:rsid w:val="00327C1A"/>
    <w:rsid w:val="00327CCC"/>
    <w:rsid w:val="00327D20"/>
    <w:rsid w:val="00327DCB"/>
    <w:rsid w:val="00327EB1"/>
    <w:rsid w:val="00327F59"/>
    <w:rsid w:val="00330009"/>
    <w:rsid w:val="003300F4"/>
    <w:rsid w:val="0033047F"/>
    <w:rsid w:val="0033062A"/>
    <w:rsid w:val="0033068A"/>
    <w:rsid w:val="00330692"/>
    <w:rsid w:val="003306EC"/>
    <w:rsid w:val="0033073E"/>
    <w:rsid w:val="0033079E"/>
    <w:rsid w:val="00330809"/>
    <w:rsid w:val="003308DB"/>
    <w:rsid w:val="0033099C"/>
    <w:rsid w:val="00330A39"/>
    <w:rsid w:val="00330ACB"/>
    <w:rsid w:val="00330B58"/>
    <w:rsid w:val="00330B9C"/>
    <w:rsid w:val="00330C0D"/>
    <w:rsid w:val="00330D30"/>
    <w:rsid w:val="00330E62"/>
    <w:rsid w:val="00330F0B"/>
    <w:rsid w:val="00330F38"/>
    <w:rsid w:val="00330F4B"/>
    <w:rsid w:val="00330FCB"/>
    <w:rsid w:val="00331088"/>
    <w:rsid w:val="003310CD"/>
    <w:rsid w:val="003310E3"/>
    <w:rsid w:val="003311A2"/>
    <w:rsid w:val="00331269"/>
    <w:rsid w:val="00331412"/>
    <w:rsid w:val="0033165E"/>
    <w:rsid w:val="003317A6"/>
    <w:rsid w:val="003317E6"/>
    <w:rsid w:val="003319E9"/>
    <w:rsid w:val="00331A69"/>
    <w:rsid w:val="00331AC4"/>
    <w:rsid w:val="00331ACF"/>
    <w:rsid w:val="00331AE4"/>
    <w:rsid w:val="00331B28"/>
    <w:rsid w:val="00331B77"/>
    <w:rsid w:val="00331BC1"/>
    <w:rsid w:val="00331BE3"/>
    <w:rsid w:val="00331C18"/>
    <w:rsid w:val="00331C35"/>
    <w:rsid w:val="00331CE7"/>
    <w:rsid w:val="00331D7C"/>
    <w:rsid w:val="00331E44"/>
    <w:rsid w:val="00331F31"/>
    <w:rsid w:val="00331FBC"/>
    <w:rsid w:val="003320B7"/>
    <w:rsid w:val="003320C5"/>
    <w:rsid w:val="003321A7"/>
    <w:rsid w:val="00332256"/>
    <w:rsid w:val="003323EA"/>
    <w:rsid w:val="00332421"/>
    <w:rsid w:val="00332423"/>
    <w:rsid w:val="0033250B"/>
    <w:rsid w:val="003325A7"/>
    <w:rsid w:val="003325F0"/>
    <w:rsid w:val="00332893"/>
    <w:rsid w:val="00332997"/>
    <w:rsid w:val="003329C3"/>
    <w:rsid w:val="00332A44"/>
    <w:rsid w:val="00332AFB"/>
    <w:rsid w:val="00332B4C"/>
    <w:rsid w:val="00332B85"/>
    <w:rsid w:val="00332C0E"/>
    <w:rsid w:val="00332E0F"/>
    <w:rsid w:val="00332E1A"/>
    <w:rsid w:val="00332EDC"/>
    <w:rsid w:val="00332FCE"/>
    <w:rsid w:val="00333027"/>
    <w:rsid w:val="0033307F"/>
    <w:rsid w:val="003330A4"/>
    <w:rsid w:val="00333198"/>
    <w:rsid w:val="00333225"/>
    <w:rsid w:val="00333272"/>
    <w:rsid w:val="00333404"/>
    <w:rsid w:val="003334E1"/>
    <w:rsid w:val="003335BF"/>
    <w:rsid w:val="003335E8"/>
    <w:rsid w:val="0033367A"/>
    <w:rsid w:val="003336CB"/>
    <w:rsid w:val="00333743"/>
    <w:rsid w:val="003337D8"/>
    <w:rsid w:val="003338EF"/>
    <w:rsid w:val="0033391D"/>
    <w:rsid w:val="00333B73"/>
    <w:rsid w:val="00333C49"/>
    <w:rsid w:val="00333C50"/>
    <w:rsid w:val="00333CB5"/>
    <w:rsid w:val="00334158"/>
    <w:rsid w:val="00334190"/>
    <w:rsid w:val="00334258"/>
    <w:rsid w:val="00334264"/>
    <w:rsid w:val="003342C4"/>
    <w:rsid w:val="00334426"/>
    <w:rsid w:val="00334500"/>
    <w:rsid w:val="00334527"/>
    <w:rsid w:val="00334560"/>
    <w:rsid w:val="00334583"/>
    <w:rsid w:val="00334662"/>
    <w:rsid w:val="00334740"/>
    <w:rsid w:val="00334810"/>
    <w:rsid w:val="003348AC"/>
    <w:rsid w:val="003348D3"/>
    <w:rsid w:val="00334A45"/>
    <w:rsid w:val="00334AE2"/>
    <w:rsid w:val="00334B62"/>
    <w:rsid w:val="00334B9F"/>
    <w:rsid w:val="00334C0F"/>
    <w:rsid w:val="00334D7E"/>
    <w:rsid w:val="00334ECA"/>
    <w:rsid w:val="00334F9F"/>
    <w:rsid w:val="00334FBD"/>
    <w:rsid w:val="0033504D"/>
    <w:rsid w:val="00335090"/>
    <w:rsid w:val="003350C9"/>
    <w:rsid w:val="0033512F"/>
    <w:rsid w:val="0033516D"/>
    <w:rsid w:val="0033523B"/>
    <w:rsid w:val="003352D7"/>
    <w:rsid w:val="00335334"/>
    <w:rsid w:val="0033545E"/>
    <w:rsid w:val="00335515"/>
    <w:rsid w:val="003355C1"/>
    <w:rsid w:val="003356C4"/>
    <w:rsid w:val="0033575A"/>
    <w:rsid w:val="00335776"/>
    <w:rsid w:val="003357A9"/>
    <w:rsid w:val="003357BF"/>
    <w:rsid w:val="00335870"/>
    <w:rsid w:val="003359AC"/>
    <w:rsid w:val="003359E5"/>
    <w:rsid w:val="00335A14"/>
    <w:rsid w:val="00335A97"/>
    <w:rsid w:val="00335B29"/>
    <w:rsid w:val="00335B2C"/>
    <w:rsid w:val="00335BC2"/>
    <w:rsid w:val="00335C7B"/>
    <w:rsid w:val="00335CB0"/>
    <w:rsid w:val="00335CC1"/>
    <w:rsid w:val="00335E75"/>
    <w:rsid w:val="00335F43"/>
    <w:rsid w:val="00336069"/>
    <w:rsid w:val="003360A8"/>
    <w:rsid w:val="003360FB"/>
    <w:rsid w:val="00336131"/>
    <w:rsid w:val="00336142"/>
    <w:rsid w:val="003361D2"/>
    <w:rsid w:val="00336282"/>
    <w:rsid w:val="003362E4"/>
    <w:rsid w:val="0033632A"/>
    <w:rsid w:val="00336355"/>
    <w:rsid w:val="003364AE"/>
    <w:rsid w:val="00336524"/>
    <w:rsid w:val="00336619"/>
    <w:rsid w:val="0033673B"/>
    <w:rsid w:val="003367E5"/>
    <w:rsid w:val="00336808"/>
    <w:rsid w:val="00336878"/>
    <w:rsid w:val="0033698B"/>
    <w:rsid w:val="00336B9A"/>
    <w:rsid w:val="00336BB7"/>
    <w:rsid w:val="00336C04"/>
    <w:rsid w:val="00336D1C"/>
    <w:rsid w:val="00336DAF"/>
    <w:rsid w:val="00336E66"/>
    <w:rsid w:val="00336E73"/>
    <w:rsid w:val="00336FD3"/>
    <w:rsid w:val="003371A8"/>
    <w:rsid w:val="003371E6"/>
    <w:rsid w:val="00337247"/>
    <w:rsid w:val="00337300"/>
    <w:rsid w:val="00337452"/>
    <w:rsid w:val="00337467"/>
    <w:rsid w:val="003374B8"/>
    <w:rsid w:val="003375A9"/>
    <w:rsid w:val="003375B2"/>
    <w:rsid w:val="00337605"/>
    <w:rsid w:val="0033764B"/>
    <w:rsid w:val="0033765B"/>
    <w:rsid w:val="00337837"/>
    <w:rsid w:val="003378C0"/>
    <w:rsid w:val="003378D4"/>
    <w:rsid w:val="00337926"/>
    <w:rsid w:val="0033792B"/>
    <w:rsid w:val="003379B4"/>
    <w:rsid w:val="00337AAC"/>
    <w:rsid w:val="00337B87"/>
    <w:rsid w:val="00337BA8"/>
    <w:rsid w:val="00337C5A"/>
    <w:rsid w:val="00337DEC"/>
    <w:rsid w:val="00337DF9"/>
    <w:rsid w:val="00340015"/>
    <w:rsid w:val="00340142"/>
    <w:rsid w:val="003401E4"/>
    <w:rsid w:val="00340321"/>
    <w:rsid w:val="0034039D"/>
    <w:rsid w:val="003404AC"/>
    <w:rsid w:val="003406DA"/>
    <w:rsid w:val="003406FA"/>
    <w:rsid w:val="00340703"/>
    <w:rsid w:val="00340787"/>
    <w:rsid w:val="00340799"/>
    <w:rsid w:val="00340898"/>
    <w:rsid w:val="003408BB"/>
    <w:rsid w:val="003408E6"/>
    <w:rsid w:val="0034090C"/>
    <w:rsid w:val="003409DC"/>
    <w:rsid w:val="003409EE"/>
    <w:rsid w:val="00340A22"/>
    <w:rsid w:val="00340A54"/>
    <w:rsid w:val="00340C62"/>
    <w:rsid w:val="00340C71"/>
    <w:rsid w:val="00340C83"/>
    <w:rsid w:val="00340D12"/>
    <w:rsid w:val="00340D24"/>
    <w:rsid w:val="00340D4C"/>
    <w:rsid w:val="00340DA0"/>
    <w:rsid w:val="00340DE3"/>
    <w:rsid w:val="00340DF6"/>
    <w:rsid w:val="00340E52"/>
    <w:rsid w:val="00340E54"/>
    <w:rsid w:val="00340E84"/>
    <w:rsid w:val="00340EAF"/>
    <w:rsid w:val="00340F19"/>
    <w:rsid w:val="00341000"/>
    <w:rsid w:val="00341062"/>
    <w:rsid w:val="0034107B"/>
    <w:rsid w:val="0034108E"/>
    <w:rsid w:val="0034112D"/>
    <w:rsid w:val="0034118B"/>
    <w:rsid w:val="00341194"/>
    <w:rsid w:val="003411A2"/>
    <w:rsid w:val="00341209"/>
    <w:rsid w:val="003412CF"/>
    <w:rsid w:val="003413E7"/>
    <w:rsid w:val="00341487"/>
    <w:rsid w:val="00341549"/>
    <w:rsid w:val="0034165B"/>
    <w:rsid w:val="00341730"/>
    <w:rsid w:val="00341736"/>
    <w:rsid w:val="0034186F"/>
    <w:rsid w:val="0034191B"/>
    <w:rsid w:val="00341B38"/>
    <w:rsid w:val="00341BC0"/>
    <w:rsid w:val="00341D15"/>
    <w:rsid w:val="00341EF3"/>
    <w:rsid w:val="00341F8B"/>
    <w:rsid w:val="00342199"/>
    <w:rsid w:val="00342200"/>
    <w:rsid w:val="0034233C"/>
    <w:rsid w:val="003423FC"/>
    <w:rsid w:val="0034243F"/>
    <w:rsid w:val="00342537"/>
    <w:rsid w:val="003426BA"/>
    <w:rsid w:val="003426FD"/>
    <w:rsid w:val="003427A0"/>
    <w:rsid w:val="0034281C"/>
    <w:rsid w:val="00342849"/>
    <w:rsid w:val="0034289E"/>
    <w:rsid w:val="003428D7"/>
    <w:rsid w:val="003429B0"/>
    <w:rsid w:val="00342AC6"/>
    <w:rsid w:val="00342AE6"/>
    <w:rsid w:val="00342B26"/>
    <w:rsid w:val="00342C46"/>
    <w:rsid w:val="00342C73"/>
    <w:rsid w:val="00342C9B"/>
    <w:rsid w:val="00342CCD"/>
    <w:rsid w:val="00342D23"/>
    <w:rsid w:val="00342D9F"/>
    <w:rsid w:val="00342E53"/>
    <w:rsid w:val="00342E82"/>
    <w:rsid w:val="00342F10"/>
    <w:rsid w:val="00342FB6"/>
    <w:rsid w:val="00342FC0"/>
    <w:rsid w:val="0034302D"/>
    <w:rsid w:val="00343065"/>
    <w:rsid w:val="003431EA"/>
    <w:rsid w:val="00343398"/>
    <w:rsid w:val="003433D1"/>
    <w:rsid w:val="003434EE"/>
    <w:rsid w:val="00343599"/>
    <w:rsid w:val="0034359C"/>
    <w:rsid w:val="003435F9"/>
    <w:rsid w:val="003436A3"/>
    <w:rsid w:val="00343720"/>
    <w:rsid w:val="00343765"/>
    <w:rsid w:val="003437E4"/>
    <w:rsid w:val="003437EB"/>
    <w:rsid w:val="00343820"/>
    <w:rsid w:val="00343866"/>
    <w:rsid w:val="00343885"/>
    <w:rsid w:val="003439BD"/>
    <w:rsid w:val="00343A5B"/>
    <w:rsid w:val="00343A96"/>
    <w:rsid w:val="00343D81"/>
    <w:rsid w:val="00343DA7"/>
    <w:rsid w:val="00343F39"/>
    <w:rsid w:val="00343FA6"/>
    <w:rsid w:val="003441DF"/>
    <w:rsid w:val="00344229"/>
    <w:rsid w:val="0034422C"/>
    <w:rsid w:val="0034423E"/>
    <w:rsid w:val="00344278"/>
    <w:rsid w:val="00344486"/>
    <w:rsid w:val="003444C7"/>
    <w:rsid w:val="00344599"/>
    <w:rsid w:val="00344637"/>
    <w:rsid w:val="003447B9"/>
    <w:rsid w:val="00344901"/>
    <w:rsid w:val="003449BE"/>
    <w:rsid w:val="00344A8F"/>
    <w:rsid w:val="00344B34"/>
    <w:rsid w:val="00344BDA"/>
    <w:rsid w:val="00344D02"/>
    <w:rsid w:val="00344D58"/>
    <w:rsid w:val="00344D9B"/>
    <w:rsid w:val="00344DCA"/>
    <w:rsid w:val="00344DE1"/>
    <w:rsid w:val="00344E26"/>
    <w:rsid w:val="00345082"/>
    <w:rsid w:val="0034520D"/>
    <w:rsid w:val="00345279"/>
    <w:rsid w:val="00345334"/>
    <w:rsid w:val="003453F6"/>
    <w:rsid w:val="00345525"/>
    <w:rsid w:val="00345588"/>
    <w:rsid w:val="003455A6"/>
    <w:rsid w:val="00345646"/>
    <w:rsid w:val="00345742"/>
    <w:rsid w:val="00345797"/>
    <w:rsid w:val="003457C1"/>
    <w:rsid w:val="003457E9"/>
    <w:rsid w:val="0034584C"/>
    <w:rsid w:val="003458AD"/>
    <w:rsid w:val="003458C7"/>
    <w:rsid w:val="003458C8"/>
    <w:rsid w:val="003458F8"/>
    <w:rsid w:val="00345917"/>
    <w:rsid w:val="00345A7B"/>
    <w:rsid w:val="00345B29"/>
    <w:rsid w:val="00345BCE"/>
    <w:rsid w:val="00345BDE"/>
    <w:rsid w:val="00345C11"/>
    <w:rsid w:val="00345C62"/>
    <w:rsid w:val="00345DC3"/>
    <w:rsid w:val="00345DEB"/>
    <w:rsid w:val="00345E5E"/>
    <w:rsid w:val="00345E6C"/>
    <w:rsid w:val="00345FA1"/>
    <w:rsid w:val="00345FA2"/>
    <w:rsid w:val="00345FF5"/>
    <w:rsid w:val="00346055"/>
    <w:rsid w:val="0034619F"/>
    <w:rsid w:val="00346209"/>
    <w:rsid w:val="003462E0"/>
    <w:rsid w:val="0034630D"/>
    <w:rsid w:val="00346320"/>
    <w:rsid w:val="003463BA"/>
    <w:rsid w:val="0034655C"/>
    <w:rsid w:val="0034656F"/>
    <w:rsid w:val="0034657A"/>
    <w:rsid w:val="003465D4"/>
    <w:rsid w:val="003466A3"/>
    <w:rsid w:val="00346855"/>
    <w:rsid w:val="0034691E"/>
    <w:rsid w:val="00346981"/>
    <w:rsid w:val="00346A35"/>
    <w:rsid w:val="00346CC0"/>
    <w:rsid w:val="00346D29"/>
    <w:rsid w:val="00346E22"/>
    <w:rsid w:val="00346E4C"/>
    <w:rsid w:val="00346E7F"/>
    <w:rsid w:val="00346EF9"/>
    <w:rsid w:val="00346FCA"/>
    <w:rsid w:val="00347139"/>
    <w:rsid w:val="0034715B"/>
    <w:rsid w:val="00347178"/>
    <w:rsid w:val="003471EA"/>
    <w:rsid w:val="003471ED"/>
    <w:rsid w:val="0034721A"/>
    <w:rsid w:val="00347262"/>
    <w:rsid w:val="003472E0"/>
    <w:rsid w:val="00347303"/>
    <w:rsid w:val="0034731E"/>
    <w:rsid w:val="0034732D"/>
    <w:rsid w:val="003474CA"/>
    <w:rsid w:val="00347543"/>
    <w:rsid w:val="0034757F"/>
    <w:rsid w:val="00347598"/>
    <w:rsid w:val="003476B5"/>
    <w:rsid w:val="00347707"/>
    <w:rsid w:val="00347885"/>
    <w:rsid w:val="00347949"/>
    <w:rsid w:val="00347A9C"/>
    <w:rsid w:val="00347AA0"/>
    <w:rsid w:val="00347B4C"/>
    <w:rsid w:val="00347CF5"/>
    <w:rsid w:val="00347E1F"/>
    <w:rsid w:val="00347EC9"/>
    <w:rsid w:val="00347F17"/>
    <w:rsid w:val="00347F9F"/>
    <w:rsid w:val="00347FE0"/>
    <w:rsid w:val="00350010"/>
    <w:rsid w:val="003500A6"/>
    <w:rsid w:val="00350234"/>
    <w:rsid w:val="00350292"/>
    <w:rsid w:val="003502C8"/>
    <w:rsid w:val="003502F2"/>
    <w:rsid w:val="0035042E"/>
    <w:rsid w:val="003504C8"/>
    <w:rsid w:val="003504E8"/>
    <w:rsid w:val="0035058E"/>
    <w:rsid w:val="003505E3"/>
    <w:rsid w:val="0035060C"/>
    <w:rsid w:val="0035061F"/>
    <w:rsid w:val="003506EE"/>
    <w:rsid w:val="00350777"/>
    <w:rsid w:val="003507EA"/>
    <w:rsid w:val="0035088B"/>
    <w:rsid w:val="003509AE"/>
    <w:rsid w:val="00350A00"/>
    <w:rsid w:val="00350AC1"/>
    <w:rsid w:val="00350BE0"/>
    <w:rsid w:val="00350D0F"/>
    <w:rsid w:val="00350F94"/>
    <w:rsid w:val="0035105E"/>
    <w:rsid w:val="0035113B"/>
    <w:rsid w:val="00351144"/>
    <w:rsid w:val="003513AC"/>
    <w:rsid w:val="003513E3"/>
    <w:rsid w:val="0035143E"/>
    <w:rsid w:val="00351463"/>
    <w:rsid w:val="0035154C"/>
    <w:rsid w:val="00351615"/>
    <w:rsid w:val="0035161E"/>
    <w:rsid w:val="00351641"/>
    <w:rsid w:val="0035166C"/>
    <w:rsid w:val="00351697"/>
    <w:rsid w:val="003516C9"/>
    <w:rsid w:val="003516CE"/>
    <w:rsid w:val="00351880"/>
    <w:rsid w:val="00351883"/>
    <w:rsid w:val="0035193F"/>
    <w:rsid w:val="003519F8"/>
    <w:rsid w:val="00351A4D"/>
    <w:rsid w:val="00351CD6"/>
    <w:rsid w:val="00351D50"/>
    <w:rsid w:val="00351DBD"/>
    <w:rsid w:val="00351DCE"/>
    <w:rsid w:val="00351F61"/>
    <w:rsid w:val="00351F6E"/>
    <w:rsid w:val="00352107"/>
    <w:rsid w:val="00352125"/>
    <w:rsid w:val="00352145"/>
    <w:rsid w:val="003521E8"/>
    <w:rsid w:val="003522D9"/>
    <w:rsid w:val="00352370"/>
    <w:rsid w:val="0035248D"/>
    <w:rsid w:val="0035257F"/>
    <w:rsid w:val="003525FD"/>
    <w:rsid w:val="0035260A"/>
    <w:rsid w:val="0035260D"/>
    <w:rsid w:val="00352648"/>
    <w:rsid w:val="00352722"/>
    <w:rsid w:val="00352765"/>
    <w:rsid w:val="00352852"/>
    <w:rsid w:val="0035286D"/>
    <w:rsid w:val="003528BD"/>
    <w:rsid w:val="003529A7"/>
    <w:rsid w:val="00352A7A"/>
    <w:rsid w:val="00352A9B"/>
    <w:rsid w:val="00352D9B"/>
    <w:rsid w:val="00352F87"/>
    <w:rsid w:val="00353088"/>
    <w:rsid w:val="00353192"/>
    <w:rsid w:val="003531BA"/>
    <w:rsid w:val="0035321D"/>
    <w:rsid w:val="00353288"/>
    <w:rsid w:val="003532BD"/>
    <w:rsid w:val="0035330E"/>
    <w:rsid w:val="003533E0"/>
    <w:rsid w:val="00353477"/>
    <w:rsid w:val="003534DC"/>
    <w:rsid w:val="0035352E"/>
    <w:rsid w:val="0035372A"/>
    <w:rsid w:val="00353751"/>
    <w:rsid w:val="00353772"/>
    <w:rsid w:val="00353857"/>
    <w:rsid w:val="003538A6"/>
    <w:rsid w:val="003538F2"/>
    <w:rsid w:val="00353919"/>
    <w:rsid w:val="00353927"/>
    <w:rsid w:val="003539DB"/>
    <w:rsid w:val="00353ADC"/>
    <w:rsid w:val="00353BF6"/>
    <w:rsid w:val="00353C08"/>
    <w:rsid w:val="00353C12"/>
    <w:rsid w:val="00353CA3"/>
    <w:rsid w:val="00353F8E"/>
    <w:rsid w:val="00353FC1"/>
    <w:rsid w:val="00354116"/>
    <w:rsid w:val="0035411B"/>
    <w:rsid w:val="0035418C"/>
    <w:rsid w:val="003541CA"/>
    <w:rsid w:val="003541ED"/>
    <w:rsid w:val="0035425D"/>
    <w:rsid w:val="003543BD"/>
    <w:rsid w:val="00354447"/>
    <w:rsid w:val="0035447F"/>
    <w:rsid w:val="003544D2"/>
    <w:rsid w:val="00354519"/>
    <w:rsid w:val="0035452F"/>
    <w:rsid w:val="00354577"/>
    <w:rsid w:val="00354585"/>
    <w:rsid w:val="003545B0"/>
    <w:rsid w:val="00354602"/>
    <w:rsid w:val="003547F7"/>
    <w:rsid w:val="0035489B"/>
    <w:rsid w:val="00354B0C"/>
    <w:rsid w:val="00354BBF"/>
    <w:rsid w:val="00354CE8"/>
    <w:rsid w:val="00354DCE"/>
    <w:rsid w:val="00354DE1"/>
    <w:rsid w:val="00354E9A"/>
    <w:rsid w:val="00354FCA"/>
    <w:rsid w:val="0035505E"/>
    <w:rsid w:val="003550E1"/>
    <w:rsid w:val="003550E6"/>
    <w:rsid w:val="003550EC"/>
    <w:rsid w:val="0035527D"/>
    <w:rsid w:val="00355293"/>
    <w:rsid w:val="00355326"/>
    <w:rsid w:val="003553EC"/>
    <w:rsid w:val="003553F1"/>
    <w:rsid w:val="00355544"/>
    <w:rsid w:val="0035554C"/>
    <w:rsid w:val="00355556"/>
    <w:rsid w:val="00355679"/>
    <w:rsid w:val="0035579D"/>
    <w:rsid w:val="00355832"/>
    <w:rsid w:val="003558AB"/>
    <w:rsid w:val="0035599E"/>
    <w:rsid w:val="00355ACD"/>
    <w:rsid w:val="00355B12"/>
    <w:rsid w:val="00355B7D"/>
    <w:rsid w:val="00355C3E"/>
    <w:rsid w:val="00355C70"/>
    <w:rsid w:val="00355C88"/>
    <w:rsid w:val="00355CDF"/>
    <w:rsid w:val="00355D6B"/>
    <w:rsid w:val="00355E91"/>
    <w:rsid w:val="00355F9B"/>
    <w:rsid w:val="00356004"/>
    <w:rsid w:val="0035619B"/>
    <w:rsid w:val="0035626E"/>
    <w:rsid w:val="003562F8"/>
    <w:rsid w:val="0035638D"/>
    <w:rsid w:val="003563BA"/>
    <w:rsid w:val="0035642E"/>
    <w:rsid w:val="003567F9"/>
    <w:rsid w:val="00356806"/>
    <w:rsid w:val="00356808"/>
    <w:rsid w:val="0035685F"/>
    <w:rsid w:val="0035686F"/>
    <w:rsid w:val="003568BD"/>
    <w:rsid w:val="003569BE"/>
    <w:rsid w:val="003569C4"/>
    <w:rsid w:val="00356AE1"/>
    <w:rsid w:val="00356B27"/>
    <w:rsid w:val="00356B60"/>
    <w:rsid w:val="00356B7F"/>
    <w:rsid w:val="00356C6E"/>
    <w:rsid w:val="00356CAA"/>
    <w:rsid w:val="00356D9B"/>
    <w:rsid w:val="00356E5C"/>
    <w:rsid w:val="00356FDA"/>
    <w:rsid w:val="00357082"/>
    <w:rsid w:val="003572D8"/>
    <w:rsid w:val="0035731F"/>
    <w:rsid w:val="0035749B"/>
    <w:rsid w:val="00357531"/>
    <w:rsid w:val="00357574"/>
    <w:rsid w:val="00357632"/>
    <w:rsid w:val="0035763C"/>
    <w:rsid w:val="0035765A"/>
    <w:rsid w:val="00357731"/>
    <w:rsid w:val="003579F9"/>
    <w:rsid w:val="00357A14"/>
    <w:rsid w:val="00357A70"/>
    <w:rsid w:val="00357A73"/>
    <w:rsid w:val="00357C9F"/>
    <w:rsid w:val="00357CCF"/>
    <w:rsid w:val="00357D91"/>
    <w:rsid w:val="00357DC9"/>
    <w:rsid w:val="00357DF9"/>
    <w:rsid w:val="00357E01"/>
    <w:rsid w:val="00357E27"/>
    <w:rsid w:val="00357EC3"/>
    <w:rsid w:val="0036010C"/>
    <w:rsid w:val="0036018B"/>
    <w:rsid w:val="00360246"/>
    <w:rsid w:val="00360278"/>
    <w:rsid w:val="0036030E"/>
    <w:rsid w:val="0036035A"/>
    <w:rsid w:val="003603A1"/>
    <w:rsid w:val="003604A4"/>
    <w:rsid w:val="003605AB"/>
    <w:rsid w:val="00360655"/>
    <w:rsid w:val="003606AA"/>
    <w:rsid w:val="0036074B"/>
    <w:rsid w:val="00360772"/>
    <w:rsid w:val="003607A8"/>
    <w:rsid w:val="0036082C"/>
    <w:rsid w:val="00360853"/>
    <w:rsid w:val="003609CC"/>
    <w:rsid w:val="00360A44"/>
    <w:rsid w:val="00360AFA"/>
    <w:rsid w:val="00360C2B"/>
    <w:rsid w:val="00360D03"/>
    <w:rsid w:val="00360D30"/>
    <w:rsid w:val="00360E80"/>
    <w:rsid w:val="00360EC0"/>
    <w:rsid w:val="00360F7C"/>
    <w:rsid w:val="00361003"/>
    <w:rsid w:val="003611B6"/>
    <w:rsid w:val="003611FF"/>
    <w:rsid w:val="00361278"/>
    <w:rsid w:val="003612A3"/>
    <w:rsid w:val="00361314"/>
    <w:rsid w:val="003613D4"/>
    <w:rsid w:val="0036140F"/>
    <w:rsid w:val="00361512"/>
    <w:rsid w:val="0036153E"/>
    <w:rsid w:val="00361559"/>
    <w:rsid w:val="00361616"/>
    <w:rsid w:val="003616E5"/>
    <w:rsid w:val="003617B1"/>
    <w:rsid w:val="003617F7"/>
    <w:rsid w:val="00361831"/>
    <w:rsid w:val="00361967"/>
    <w:rsid w:val="00361A30"/>
    <w:rsid w:val="00361ADD"/>
    <w:rsid w:val="00361AE9"/>
    <w:rsid w:val="00361B1A"/>
    <w:rsid w:val="00361B2C"/>
    <w:rsid w:val="00361B67"/>
    <w:rsid w:val="00361BF4"/>
    <w:rsid w:val="00361DF3"/>
    <w:rsid w:val="00361E78"/>
    <w:rsid w:val="00361F64"/>
    <w:rsid w:val="0036205E"/>
    <w:rsid w:val="003621DC"/>
    <w:rsid w:val="003621EB"/>
    <w:rsid w:val="00362270"/>
    <w:rsid w:val="00362334"/>
    <w:rsid w:val="003623DE"/>
    <w:rsid w:val="0036250D"/>
    <w:rsid w:val="00362676"/>
    <w:rsid w:val="0036274C"/>
    <w:rsid w:val="00362752"/>
    <w:rsid w:val="0036276D"/>
    <w:rsid w:val="003627CE"/>
    <w:rsid w:val="003628F3"/>
    <w:rsid w:val="00362B3D"/>
    <w:rsid w:val="00362BC6"/>
    <w:rsid w:val="00362C79"/>
    <w:rsid w:val="00362CCD"/>
    <w:rsid w:val="00362D45"/>
    <w:rsid w:val="00362DFF"/>
    <w:rsid w:val="00362E4D"/>
    <w:rsid w:val="00362E6A"/>
    <w:rsid w:val="00362EFA"/>
    <w:rsid w:val="00362F62"/>
    <w:rsid w:val="00362F6B"/>
    <w:rsid w:val="0036311B"/>
    <w:rsid w:val="0036318A"/>
    <w:rsid w:val="003631C1"/>
    <w:rsid w:val="00363376"/>
    <w:rsid w:val="003633A5"/>
    <w:rsid w:val="003633B1"/>
    <w:rsid w:val="00363443"/>
    <w:rsid w:val="0036344C"/>
    <w:rsid w:val="0036347B"/>
    <w:rsid w:val="00363647"/>
    <w:rsid w:val="00363761"/>
    <w:rsid w:val="0036379B"/>
    <w:rsid w:val="003638A0"/>
    <w:rsid w:val="003638F9"/>
    <w:rsid w:val="00363965"/>
    <w:rsid w:val="0036397C"/>
    <w:rsid w:val="0036399A"/>
    <w:rsid w:val="003639BC"/>
    <w:rsid w:val="003639F5"/>
    <w:rsid w:val="00363A74"/>
    <w:rsid w:val="00363BFC"/>
    <w:rsid w:val="00363C1E"/>
    <w:rsid w:val="00363C80"/>
    <w:rsid w:val="00363D04"/>
    <w:rsid w:val="00363D17"/>
    <w:rsid w:val="00363D1C"/>
    <w:rsid w:val="00363E26"/>
    <w:rsid w:val="003640FD"/>
    <w:rsid w:val="003641AE"/>
    <w:rsid w:val="003641DA"/>
    <w:rsid w:val="003641EA"/>
    <w:rsid w:val="00364342"/>
    <w:rsid w:val="00364347"/>
    <w:rsid w:val="003643D9"/>
    <w:rsid w:val="003646D7"/>
    <w:rsid w:val="0036471A"/>
    <w:rsid w:val="00364756"/>
    <w:rsid w:val="003647A4"/>
    <w:rsid w:val="003648AA"/>
    <w:rsid w:val="003648AC"/>
    <w:rsid w:val="00364967"/>
    <w:rsid w:val="003649BD"/>
    <w:rsid w:val="00364A13"/>
    <w:rsid w:val="00364BB3"/>
    <w:rsid w:val="00364CEB"/>
    <w:rsid w:val="00364DAF"/>
    <w:rsid w:val="00364E96"/>
    <w:rsid w:val="00364FDC"/>
    <w:rsid w:val="0036526F"/>
    <w:rsid w:val="0036529C"/>
    <w:rsid w:val="00365301"/>
    <w:rsid w:val="00365337"/>
    <w:rsid w:val="003653CB"/>
    <w:rsid w:val="003653D9"/>
    <w:rsid w:val="0036540F"/>
    <w:rsid w:val="00365473"/>
    <w:rsid w:val="003654FC"/>
    <w:rsid w:val="0036552D"/>
    <w:rsid w:val="00365574"/>
    <w:rsid w:val="0036571A"/>
    <w:rsid w:val="003657C4"/>
    <w:rsid w:val="0036583C"/>
    <w:rsid w:val="0036583F"/>
    <w:rsid w:val="003658DE"/>
    <w:rsid w:val="00365AB1"/>
    <w:rsid w:val="00365DF6"/>
    <w:rsid w:val="00365E5B"/>
    <w:rsid w:val="00365EB2"/>
    <w:rsid w:val="0036603C"/>
    <w:rsid w:val="00366163"/>
    <w:rsid w:val="00366165"/>
    <w:rsid w:val="00366302"/>
    <w:rsid w:val="00366429"/>
    <w:rsid w:val="0036654F"/>
    <w:rsid w:val="00366555"/>
    <w:rsid w:val="003668D6"/>
    <w:rsid w:val="003669AF"/>
    <w:rsid w:val="003669DB"/>
    <w:rsid w:val="00366A24"/>
    <w:rsid w:val="00366A44"/>
    <w:rsid w:val="00366AAE"/>
    <w:rsid w:val="00366C13"/>
    <w:rsid w:val="00366E43"/>
    <w:rsid w:val="00366E5A"/>
    <w:rsid w:val="003670B6"/>
    <w:rsid w:val="0036710E"/>
    <w:rsid w:val="00367237"/>
    <w:rsid w:val="0036723A"/>
    <w:rsid w:val="00367396"/>
    <w:rsid w:val="003674EB"/>
    <w:rsid w:val="0036754E"/>
    <w:rsid w:val="0036763F"/>
    <w:rsid w:val="00367678"/>
    <w:rsid w:val="00367726"/>
    <w:rsid w:val="00367828"/>
    <w:rsid w:val="00367A81"/>
    <w:rsid w:val="00367B51"/>
    <w:rsid w:val="00367C32"/>
    <w:rsid w:val="00367C56"/>
    <w:rsid w:val="00367D21"/>
    <w:rsid w:val="00367D85"/>
    <w:rsid w:val="00367DA9"/>
    <w:rsid w:val="00367E43"/>
    <w:rsid w:val="00367F18"/>
    <w:rsid w:val="00367FA5"/>
    <w:rsid w:val="0036CE79"/>
    <w:rsid w:val="00370136"/>
    <w:rsid w:val="00370535"/>
    <w:rsid w:val="003706AA"/>
    <w:rsid w:val="00370771"/>
    <w:rsid w:val="003708CC"/>
    <w:rsid w:val="003708EA"/>
    <w:rsid w:val="00370973"/>
    <w:rsid w:val="00370998"/>
    <w:rsid w:val="003709EC"/>
    <w:rsid w:val="00370A37"/>
    <w:rsid w:val="00370AB5"/>
    <w:rsid w:val="00370ADB"/>
    <w:rsid w:val="00370AE4"/>
    <w:rsid w:val="00370BB2"/>
    <w:rsid w:val="00370BB4"/>
    <w:rsid w:val="00370C1D"/>
    <w:rsid w:val="00370D0C"/>
    <w:rsid w:val="00370D37"/>
    <w:rsid w:val="00370FAA"/>
    <w:rsid w:val="00371016"/>
    <w:rsid w:val="00371235"/>
    <w:rsid w:val="003712FD"/>
    <w:rsid w:val="00371475"/>
    <w:rsid w:val="0037150B"/>
    <w:rsid w:val="00371584"/>
    <w:rsid w:val="00371586"/>
    <w:rsid w:val="003715D0"/>
    <w:rsid w:val="00371673"/>
    <w:rsid w:val="00371885"/>
    <w:rsid w:val="00371986"/>
    <w:rsid w:val="00371BC5"/>
    <w:rsid w:val="00371CD5"/>
    <w:rsid w:val="00371F71"/>
    <w:rsid w:val="00372013"/>
    <w:rsid w:val="0037201F"/>
    <w:rsid w:val="0037203E"/>
    <w:rsid w:val="003720E6"/>
    <w:rsid w:val="0037213C"/>
    <w:rsid w:val="0037214F"/>
    <w:rsid w:val="00372214"/>
    <w:rsid w:val="00372349"/>
    <w:rsid w:val="0037235D"/>
    <w:rsid w:val="0037238C"/>
    <w:rsid w:val="003723EC"/>
    <w:rsid w:val="0037246B"/>
    <w:rsid w:val="003724BD"/>
    <w:rsid w:val="00372584"/>
    <w:rsid w:val="003725DE"/>
    <w:rsid w:val="003725E6"/>
    <w:rsid w:val="0037285F"/>
    <w:rsid w:val="00372971"/>
    <w:rsid w:val="003729A5"/>
    <w:rsid w:val="00372AFF"/>
    <w:rsid w:val="00372B18"/>
    <w:rsid w:val="00372BE8"/>
    <w:rsid w:val="00372D21"/>
    <w:rsid w:val="00372D83"/>
    <w:rsid w:val="00372E24"/>
    <w:rsid w:val="00372E66"/>
    <w:rsid w:val="00372EA8"/>
    <w:rsid w:val="00372EAF"/>
    <w:rsid w:val="003730A5"/>
    <w:rsid w:val="00373324"/>
    <w:rsid w:val="0037333A"/>
    <w:rsid w:val="0037339F"/>
    <w:rsid w:val="003733B3"/>
    <w:rsid w:val="003734FE"/>
    <w:rsid w:val="00373576"/>
    <w:rsid w:val="00373622"/>
    <w:rsid w:val="00373636"/>
    <w:rsid w:val="0037371D"/>
    <w:rsid w:val="003738A4"/>
    <w:rsid w:val="003738AA"/>
    <w:rsid w:val="0037391B"/>
    <w:rsid w:val="003739EC"/>
    <w:rsid w:val="00373A1A"/>
    <w:rsid w:val="00373D72"/>
    <w:rsid w:val="00373D79"/>
    <w:rsid w:val="00373F60"/>
    <w:rsid w:val="0037403F"/>
    <w:rsid w:val="00374135"/>
    <w:rsid w:val="003741B2"/>
    <w:rsid w:val="003741D8"/>
    <w:rsid w:val="00374225"/>
    <w:rsid w:val="003742CF"/>
    <w:rsid w:val="00374300"/>
    <w:rsid w:val="0037433C"/>
    <w:rsid w:val="00374355"/>
    <w:rsid w:val="003746B2"/>
    <w:rsid w:val="00374A53"/>
    <w:rsid w:val="00374B41"/>
    <w:rsid w:val="00374C7D"/>
    <w:rsid w:val="00374C86"/>
    <w:rsid w:val="00374CEC"/>
    <w:rsid w:val="00374D8F"/>
    <w:rsid w:val="00374E46"/>
    <w:rsid w:val="00374E49"/>
    <w:rsid w:val="00374E80"/>
    <w:rsid w:val="00374F01"/>
    <w:rsid w:val="00374FD8"/>
    <w:rsid w:val="0037500A"/>
    <w:rsid w:val="00375132"/>
    <w:rsid w:val="003751C2"/>
    <w:rsid w:val="0037520A"/>
    <w:rsid w:val="0037522C"/>
    <w:rsid w:val="0037528D"/>
    <w:rsid w:val="0037531E"/>
    <w:rsid w:val="00375472"/>
    <w:rsid w:val="003754EE"/>
    <w:rsid w:val="00375546"/>
    <w:rsid w:val="0037560B"/>
    <w:rsid w:val="003756B2"/>
    <w:rsid w:val="003756E7"/>
    <w:rsid w:val="00375706"/>
    <w:rsid w:val="00375784"/>
    <w:rsid w:val="003757AC"/>
    <w:rsid w:val="003757C9"/>
    <w:rsid w:val="00375840"/>
    <w:rsid w:val="00375890"/>
    <w:rsid w:val="003758B6"/>
    <w:rsid w:val="00375A4E"/>
    <w:rsid w:val="00375A68"/>
    <w:rsid w:val="00375BE2"/>
    <w:rsid w:val="00375BFC"/>
    <w:rsid w:val="00375C05"/>
    <w:rsid w:val="00375CA7"/>
    <w:rsid w:val="00375D57"/>
    <w:rsid w:val="00375ED3"/>
    <w:rsid w:val="00375F25"/>
    <w:rsid w:val="00375F69"/>
    <w:rsid w:val="00375F7B"/>
    <w:rsid w:val="00375F8E"/>
    <w:rsid w:val="0037622F"/>
    <w:rsid w:val="0037632C"/>
    <w:rsid w:val="00376353"/>
    <w:rsid w:val="00376356"/>
    <w:rsid w:val="00376426"/>
    <w:rsid w:val="00376453"/>
    <w:rsid w:val="00376570"/>
    <w:rsid w:val="00376598"/>
    <w:rsid w:val="00376609"/>
    <w:rsid w:val="00376640"/>
    <w:rsid w:val="00376815"/>
    <w:rsid w:val="00376913"/>
    <w:rsid w:val="00376924"/>
    <w:rsid w:val="0037694B"/>
    <w:rsid w:val="0037695E"/>
    <w:rsid w:val="00376988"/>
    <w:rsid w:val="00376994"/>
    <w:rsid w:val="00376AAC"/>
    <w:rsid w:val="00376B06"/>
    <w:rsid w:val="00376B11"/>
    <w:rsid w:val="00376B20"/>
    <w:rsid w:val="00376C13"/>
    <w:rsid w:val="00376D64"/>
    <w:rsid w:val="00376D7A"/>
    <w:rsid w:val="00376E24"/>
    <w:rsid w:val="00376F15"/>
    <w:rsid w:val="00376F5F"/>
    <w:rsid w:val="00376FB1"/>
    <w:rsid w:val="00377070"/>
    <w:rsid w:val="003770CF"/>
    <w:rsid w:val="00377137"/>
    <w:rsid w:val="003771AD"/>
    <w:rsid w:val="003773F0"/>
    <w:rsid w:val="003774BE"/>
    <w:rsid w:val="003774CB"/>
    <w:rsid w:val="00377542"/>
    <w:rsid w:val="00377592"/>
    <w:rsid w:val="003775D2"/>
    <w:rsid w:val="0037760F"/>
    <w:rsid w:val="00377617"/>
    <w:rsid w:val="00377633"/>
    <w:rsid w:val="0037763A"/>
    <w:rsid w:val="00377701"/>
    <w:rsid w:val="003778DF"/>
    <w:rsid w:val="003778E3"/>
    <w:rsid w:val="00377A2C"/>
    <w:rsid w:val="00377B49"/>
    <w:rsid w:val="00377B70"/>
    <w:rsid w:val="00377BE4"/>
    <w:rsid w:val="00377C78"/>
    <w:rsid w:val="00377C98"/>
    <w:rsid w:val="00377CD0"/>
    <w:rsid w:val="00377D83"/>
    <w:rsid w:val="00377E00"/>
    <w:rsid w:val="00377E74"/>
    <w:rsid w:val="00377EF7"/>
    <w:rsid w:val="00377F1B"/>
    <w:rsid w:val="00377F9D"/>
    <w:rsid w:val="00379E11"/>
    <w:rsid w:val="0038022F"/>
    <w:rsid w:val="003802AB"/>
    <w:rsid w:val="003802E2"/>
    <w:rsid w:val="003802FC"/>
    <w:rsid w:val="003803BB"/>
    <w:rsid w:val="003803EF"/>
    <w:rsid w:val="0038044A"/>
    <w:rsid w:val="0038044C"/>
    <w:rsid w:val="003804A0"/>
    <w:rsid w:val="0038052E"/>
    <w:rsid w:val="00380540"/>
    <w:rsid w:val="0038065C"/>
    <w:rsid w:val="0038072C"/>
    <w:rsid w:val="0038077E"/>
    <w:rsid w:val="00380798"/>
    <w:rsid w:val="003807EB"/>
    <w:rsid w:val="003809B6"/>
    <w:rsid w:val="00380A6F"/>
    <w:rsid w:val="00380C96"/>
    <w:rsid w:val="00380F21"/>
    <w:rsid w:val="00381027"/>
    <w:rsid w:val="003811C5"/>
    <w:rsid w:val="00381292"/>
    <w:rsid w:val="0038143B"/>
    <w:rsid w:val="0038157C"/>
    <w:rsid w:val="003815D4"/>
    <w:rsid w:val="003816E9"/>
    <w:rsid w:val="00381785"/>
    <w:rsid w:val="003818AA"/>
    <w:rsid w:val="0038195B"/>
    <w:rsid w:val="003819ED"/>
    <w:rsid w:val="00381AA3"/>
    <w:rsid w:val="00381C88"/>
    <w:rsid w:val="00381E8E"/>
    <w:rsid w:val="00381F18"/>
    <w:rsid w:val="003820C0"/>
    <w:rsid w:val="00382109"/>
    <w:rsid w:val="00382156"/>
    <w:rsid w:val="00382189"/>
    <w:rsid w:val="003822BD"/>
    <w:rsid w:val="00382353"/>
    <w:rsid w:val="00382401"/>
    <w:rsid w:val="0038251A"/>
    <w:rsid w:val="003825A9"/>
    <w:rsid w:val="003825DA"/>
    <w:rsid w:val="0038260A"/>
    <w:rsid w:val="003826A9"/>
    <w:rsid w:val="00382789"/>
    <w:rsid w:val="0038290C"/>
    <w:rsid w:val="00382953"/>
    <w:rsid w:val="00382A00"/>
    <w:rsid w:val="00382A1C"/>
    <w:rsid w:val="00382A52"/>
    <w:rsid w:val="00382ADC"/>
    <w:rsid w:val="00382B41"/>
    <w:rsid w:val="00382C24"/>
    <w:rsid w:val="00382ECA"/>
    <w:rsid w:val="00382F19"/>
    <w:rsid w:val="00382F3D"/>
    <w:rsid w:val="00382FD8"/>
    <w:rsid w:val="00383035"/>
    <w:rsid w:val="00383069"/>
    <w:rsid w:val="003830A7"/>
    <w:rsid w:val="003830D2"/>
    <w:rsid w:val="003831AA"/>
    <w:rsid w:val="00383247"/>
    <w:rsid w:val="0038337F"/>
    <w:rsid w:val="003833C1"/>
    <w:rsid w:val="003834A4"/>
    <w:rsid w:val="00383505"/>
    <w:rsid w:val="003835B7"/>
    <w:rsid w:val="00383618"/>
    <w:rsid w:val="003837B8"/>
    <w:rsid w:val="003837D3"/>
    <w:rsid w:val="003837F0"/>
    <w:rsid w:val="00383812"/>
    <w:rsid w:val="003839F5"/>
    <w:rsid w:val="00383B5A"/>
    <w:rsid w:val="00383CF2"/>
    <w:rsid w:val="00383D82"/>
    <w:rsid w:val="00383DBA"/>
    <w:rsid w:val="00383DF4"/>
    <w:rsid w:val="00383E54"/>
    <w:rsid w:val="00383E98"/>
    <w:rsid w:val="00383EBD"/>
    <w:rsid w:val="0038403D"/>
    <w:rsid w:val="003840B4"/>
    <w:rsid w:val="00384111"/>
    <w:rsid w:val="0038432E"/>
    <w:rsid w:val="00384341"/>
    <w:rsid w:val="003844F4"/>
    <w:rsid w:val="0038450A"/>
    <w:rsid w:val="0038451B"/>
    <w:rsid w:val="0038455B"/>
    <w:rsid w:val="0038464C"/>
    <w:rsid w:val="003847A6"/>
    <w:rsid w:val="0038495B"/>
    <w:rsid w:val="0038498C"/>
    <w:rsid w:val="00384A68"/>
    <w:rsid w:val="00384BBC"/>
    <w:rsid w:val="00384CF0"/>
    <w:rsid w:val="00384DB4"/>
    <w:rsid w:val="00384DE4"/>
    <w:rsid w:val="00384EF9"/>
    <w:rsid w:val="0038503D"/>
    <w:rsid w:val="0038516F"/>
    <w:rsid w:val="003851EB"/>
    <w:rsid w:val="00385242"/>
    <w:rsid w:val="00385251"/>
    <w:rsid w:val="00385265"/>
    <w:rsid w:val="0038527B"/>
    <w:rsid w:val="00385362"/>
    <w:rsid w:val="003853C6"/>
    <w:rsid w:val="003853D4"/>
    <w:rsid w:val="0038542A"/>
    <w:rsid w:val="00385507"/>
    <w:rsid w:val="0038550D"/>
    <w:rsid w:val="0038556B"/>
    <w:rsid w:val="003855C3"/>
    <w:rsid w:val="00385614"/>
    <w:rsid w:val="00385665"/>
    <w:rsid w:val="00385688"/>
    <w:rsid w:val="00385719"/>
    <w:rsid w:val="003857CC"/>
    <w:rsid w:val="00385821"/>
    <w:rsid w:val="0038584A"/>
    <w:rsid w:val="003859AD"/>
    <w:rsid w:val="003859C2"/>
    <w:rsid w:val="003859E7"/>
    <w:rsid w:val="003859F0"/>
    <w:rsid w:val="00385A1C"/>
    <w:rsid w:val="00385A4D"/>
    <w:rsid w:val="00385AA7"/>
    <w:rsid w:val="00385B1C"/>
    <w:rsid w:val="00385B32"/>
    <w:rsid w:val="00385C57"/>
    <w:rsid w:val="00385CDC"/>
    <w:rsid w:val="00385F25"/>
    <w:rsid w:val="00386000"/>
    <w:rsid w:val="0038616D"/>
    <w:rsid w:val="00386186"/>
    <w:rsid w:val="00386201"/>
    <w:rsid w:val="003862AE"/>
    <w:rsid w:val="00386372"/>
    <w:rsid w:val="0038643B"/>
    <w:rsid w:val="0038655E"/>
    <w:rsid w:val="003865CC"/>
    <w:rsid w:val="003865EC"/>
    <w:rsid w:val="0038662B"/>
    <w:rsid w:val="003866E4"/>
    <w:rsid w:val="00386795"/>
    <w:rsid w:val="0038693B"/>
    <w:rsid w:val="00386947"/>
    <w:rsid w:val="00386A1F"/>
    <w:rsid w:val="00386A2E"/>
    <w:rsid w:val="00386A8F"/>
    <w:rsid w:val="00386B1B"/>
    <w:rsid w:val="00386CA6"/>
    <w:rsid w:val="00386E25"/>
    <w:rsid w:val="00386EBD"/>
    <w:rsid w:val="00386EC2"/>
    <w:rsid w:val="00386EEE"/>
    <w:rsid w:val="00386F52"/>
    <w:rsid w:val="003871A9"/>
    <w:rsid w:val="0038722A"/>
    <w:rsid w:val="0038725C"/>
    <w:rsid w:val="00387340"/>
    <w:rsid w:val="00387381"/>
    <w:rsid w:val="00387387"/>
    <w:rsid w:val="003873A7"/>
    <w:rsid w:val="003873E3"/>
    <w:rsid w:val="003873E6"/>
    <w:rsid w:val="0038754B"/>
    <w:rsid w:val="003875AD"/>
    <w:rsid w:val="00387667"/>
    <w:rsid w:val="00387895"/>
    <w:rsid w:val="003878D0"/>
    <w:rsid w:val="0038794A"/>
    <w:rsid w:val="00387958"/>
    <w:rsid w:val="00387A78"/>
    <w:rsid w:val="00387AFC"/>
    <w:rsid w:val="00387C21"/>
    <w:rsid w:val="00387C67"/>
    <w:rsid w:val="00387C8B"/>
    <w:rsid w:val="00387D05"/>
    <w:rsid w:val="00387E28"/>
    <w:rsid w:val="00387ED5"/>
    <w:rsid w:val="00387F31"/>
    <w:rsid w:val="00387F8C"/>
    <w:rsid w:val="00387F9E"/>
    <w:rsid w:val="0039004A"/>
    <w:rsid w:val="00390211"/>
    <w:rsid w:val="00390214"/>
    <w:rsid w:val="0039033D"/>
    <w:rsid w:val="00390349"/>
    <w:rsid w:val="0039035C"/>
    <w:rsid w:val="00390381"/>
    <w:rsid w:val="0039045A"/>
    <w:rsid w:val="003904DD"/>
    <w:rsid w:val="00390616"/>
    <w:rsid w:val="003906C1"/>
    <w:rsid w:val="003907FD"/>
    <w:rsid w:val="0039085D"/>
    <w:rsid w:val="003908A7"/>
    <w:rsid w:val="003908AB"/>
    <w:rsid w:val="003909C0"/>
    <w:rsid w:val="00390A0E"/>
    <w:rsid w:val="00390B44"/>
    <w:rsid w:val="00390B9E"/>
    <w:rsid w:val="00390BC1"/>
    <w:rsid w:val="00390C0D"/>
    <w:rsid w:val="00390D1A"/>
    <w:rsid w:val="00390E56"/>
    <w:rsid w:val="00390F77"/>
    <w:rsid w:val="00390FA0"/>
    <w:rsid w:val="00391260"/>
    <w:rsid w:val="00391277"/>
    <w:rsid w:val="003912E3"/>
    <w:rsid w:val="0039137A"/>
    <w:rsid w:val="003913F2"/>
    <w:rsid w:val="00391437"/>
    <w:rsid w:val="003914B6"/>
    <w:rsid w:val="00391575"/>
    <w:rsid w:val="00391610"/>
    <w:rsid w:val="0039171D"/>
    <w:rsid w:val="00391807"/>
    <w:rsid w:val="0039184F"/>
    <w:rsid w:val="003918D1"/>
    <w:rsid w:val="003918E6"/>
    <w:rsid w:val="00391945"/>
    <w:rsid w:val="00391969"/>
    <w:rsid w:val="00391A5E"/>
    <w:rsid w:val="00391ABA"/>
    <w:rsid w:val="00391B85"/>
    <w:rsid w:val="00391C3F"/>
    <w:rsid w:val="00391C57"/>
    <w:rsid w:val="00391CD5"/>
    <w:rsid w:val="00391DB9"/>
    <w:rsid w:val="00391F0A"/>
    <w:rsid w:val="00391F2C"/>
    <w:rsid w:val="00391F9E"/>
    <w:rsid w:val="0039211F"/>
    <w:rsid w:val="003921D6"/>
    <w:rsid w:val="003921F3"/>
    <w:rsid w:val="0039232E"/>
    <w:rsid w:val="003924DE"/>
    <w:rsid w:val="0039251C"/>
    <w:rsid w:val="003925C2"/>
    <w:rsid w:val="00392729"/>
    <w:rsid w:val="003927B9"/>
    <w:rsid w:val="003927EC"/>
    <w:rsid w:val="00392847"/>
    <w:rsid w:val="003928EC"/>
    <w:rsid w:val="00392928"/>
    <w:rsid w:val="00392939"/>
    <w:rsid w:val="0039295E"/>
    <w:rsid w:val="00392B35"/>
    <w:rsid w:val="00392B66"/>
    <w:rsid w:val="00392BBB"/>
    <w:rsid w:val="00392CB1"/>
    <w:rsid w:val="00392CDA"/>
    <w:rsid w:val="00392D53"/>
    <w:rsid w:val="00392DCB"/>
    <w:rsid w:val="00392DD0"/>
    <w:rsid w:val="00392F95"/>
    <w:rsid w:val="00392FA4"/>
    <w:rsid w:val="00392FFF"/>
    <w:rsid w:val="003930F5"/>
    <w:rsid w:val="003933AF"/>
    <w:rsid w:val="003933CC"/>
    <w:rsid w:val="0039340E"/>
    <w:rsid w:val="0039348F"/>
    <w:rsid w:val="00393597"/>
    <w:rsid w:val="003935AE"/>
    <w:rsid w:val="00393816"/>
    <w:rsid w:val="003938B4"/>
    <w:rsid w:val="003938C2"/>
    <w:rsid w:val="00393954"/>
    <w:rsid w:val="00393A10"/>
    <w:rsid w:val="00393A1E"/>
    <w:rsid w:val="00393AD7"/>
    <w:rsid w:val="00393B9D"/>
    <w:rsid w:val="00393C5E"/>
    <w:rsid w:val="00393C73"/>
    <w:rsid w:val="00393CE9"/>
    <w:rsid w:val="00393D12"/>
    <w:rsid w:val="00393D16"/>
    <w:rsid w:val="00393D4E"/>
    <w:rsid w:val="00393D53"/>
    <w:rsid w:val="00393DC3"/>
    <w:rsid w:val="00393DEA"/>
    <w:rsid w:val="00393E92"/>
    <w:rsid w:val="00393EB6"/>
    <w:rsid w:val="003940C2"/>
    <w:rsid w:val="003940FA"/>
    <w:rsid w:val="003940FF"/>
    <w:rsid w:val="003942C3"/>
    <w:rsid w:val="003942DB"/>
    <w:rsid w:val="0039433D"/>
    <w:rsid w:val="00394386"/>
    <w:rsid w:val="00394425"/>
    <w:rsid w:val="00394452"/>
    <w:rsid w:val="0039458E"/>
    <w:rsid w:val="003945F5"/>
    <w:rsid w:val="0039474F"/>
    <w:rsid w:val="00394755"/>
    <w:rsid w:val="00394799"/>
    <w:rsid w:val="00394B8C"/>
    <w:rsid w:val="00394CA3"/>
    <w:rsid w:val="00394E04"/>
    <w:rsid w:val="00394E96"/>
    <w:rsid w:val="00394F16"/>
    <w:rsid w:val="00394F82"/>
    <w:rsid w:val="00394F94"/>
    <w:rsid w:val="003950D0"/>
    <w:rsid w:val="003950D6"/>
    <w:rsid w:val="003951D5"/>
    <w:rsid w:val="003951F7"/>
    <w:rsid w:val="00395290"/>
    <w:rsid w:val="003952D2"/>
    <w:rsid w:val="00395355"/>
    <w:rsid w:val="003953A5"/>
    <w:rsid w:val="00395404"/>
    <w:rsid w:val="00395520"/>
    <w:rsid w:val="00395522"/>
    <w:rsid w:val="0039557F"/>
    <w:rsid w:val="003955EE"/>
    <w:rsid w:val="00395633"/>
    <w:rsid w:val="003956EF"/>
    <w:rsid w:val="00395766"/>
    <w:rsid w:val="0039591F"/>
    <w:rsid w:val="00395925"/>
    <w:rsid w:val="0039593F"/>
    <w:rsid w:val="003959B2"/>
    <w:rsid w:val="00395E7C"/>
    <w:rsid w:val="00395EAD"/>
    <w:rsid w:val="00395F12"/>
    <w:rsid w:val="00395F67"/>
    <w:rsid w:val="00395FEC"/>
    <w:rsid w:val="00396189"/>
    <w:rsid w:val="00396257"/>
    <w:rsid w:val="003962B8"/>
    <w:rsid w:val="00396397"/>
    <w:rsid w:val="0039648E"/>
    <w:rsid w:val="0039655E"/>
    <w:rsid w:val="0039657A"/>
    <w:rsid w:val="003965DC"/>
    <w:rsid w:val="00396667"/>
    <w:rsid w:val="00396AF3"/>
    <w:rsid w:val="00396B95"/>
    <w:rsid w:val="00396CA5"/>
    <w:rsid w:val="00396CAC"/>
    <w:rsid w:val="00396D6B"/>
    <w:rsid w:val="00396E00"/>
    <w:rsid w:val="00396FF1"/>
    <w:rsid w:val="00397070"/>
    <w:rsid w:val="00397165"/>
    <w:rsid w:val="003971A4"/>
    <w:rsid w:val="00397382"/>
    <w:rsid w:val="003973AB"/>
    <w:rsid w:val="0039749E"/>
    <w:rsid w:val="003974FB"/>
    <w:rsid w:val="00397508"/>
    <w:rsid w:val="003975C4"/>
    <w:rsid w:val="00397605"/>
    <w:rsid w:val="0039762A"/>
    <w:rsid w:val="003976CF"/>
    <w:rsid w:val="0039771D"/>
    <w:rsid w:val="003977EC"/>
    <w:rsid w:val="00397878"/>
    <w:rsid w:val="0039797C"/>
    <w:rsid w:val="00397A16"/>
    <w:rsid w:val="00397BAF"/>
    <w:rsid w:val="00397C19"/>
    <w:rsid w:val="00397C55"/>
    <w:rsid w:val="00397DD8"/>
    <w:rsid w:val="00397E0D"/>
    <w:rsid w:val="00397EC2"/>
    <w:rsid w:val="00397EE6"/>
    <w:rsid w:val="00397FA4"/>
    <w:rsid w:val="00397FA6"/>
    <w:rsid w:val="003A0014"/>
    <w:rsid w:val="003A0048"/>
    <w:rsid w:val="003A005A"/>
    <w:rsid w:val="003A0329"/>
    <w:rsid w:val="003A0373"/>
    <w:rsid w:val="003A03F7"/>
    <w:rsid w:val="003A041B"/>
    <w:rsid w:val="003A04F6"/>
    <w:rsid w:val="003A053B"/>
    <w:rsid w:val="003A065B"/>
    <w:rsid w:val="003A08B7"/>
    <w:rsid w:val="003A08B9"/>
    <w:rsid w:val="003A08E1"/>
    <w:rsid w:val="003A093E"/>
    <w:rsid w:val="003A09E6"/>
    <w:rsid w:val="003A0A20"/>
    <w:rsid w:val="003A0A41"/>
    <w:rsid w:val="003A0A7C"/>
    <w:rsid w:val="003A0B70"/>
    <w:rsid w:val="003A0B95"/>
    <w:rsid w:val="003A0DEB"/>
    <w:rsid w:val="003A0E89"/>
    <w:rsid w:val="003A0EB2"/>
    <w:rsid w:val="003A11E9"/>
    <w:rsid w:val="003A128A"/>
    <w:rsid w:val="003A12BE"/>
    <w:rsid w:val="003A12DD"/>
    <w:rsid w:val="003A14EA"/>
    <w:rsid w:val="003A1503"/>
    <w:rsid w:val="003A151E"/>
    <w:rsid w:val="003A1843"/>
    <w:rsid w:val="003A1926"/>
    <w:rsid w:val="003A197F"/>
    <w:rsid w:val="003A199C"/>
    <w:rsid w:val="003A19C5"/>
    <w:rsid w:val="003A1B2C"/>
    <w:rsid w:val="003A1BC4"/>
    <w:rsid w:val="003A1BE1"/>
    <w:rsid w:val="003A1CA2"/>
    <w:rsid w:val="003A1D5E"/>
    <w:rsid w:val="003A1DA4"/>
    <w:rsid w:val="003A1E2D"/>
    <w:rsid w:val="003A1E71"/>
    <w:rsid w:val="003A22D7"/>
    <w:rsid w:val="003A2306"/>
    <w:rsid w:val="003A23C3"/>
    <w:rsid w:val="003A23F6"/>
    <w:rsid w:val="003A2467"/>
    <w:rsid w:val="003A246E"/>
    <w:rsid w:val="003A25A4"/>
    <w:rsid w:val="003A2610"/>
    <w:rsid w:val="003A2650"/>
    <w:rsid w:val="003A26DA"/>
    <w:rsid w:val="003A26E7"/>
    <w:rsid w:val="003A2706"/>
    <w:rsid w:val="003A275E"/>
    <w:rsid w:val="003A2766"/>
    <w:rsid w:val="003A27A6"/>
    <w:rsid w:val="003A288B"/>
    <w:rsid w:val="003A28AB"/>
    <w:rsid w:val="003A2C44"/>
    <w:rsid w:val="003A2CB3"/>
    <w:rsid w:val="003A2CCC"/>
    <w:rsid w:val="003A2E26"/>
    <w:rsid w:val="003A2E96"/>
    <w:rsid w:val="003A2F09"/>
    <w:rsid w:val="003A2F7C"/>
    <w:rsid w:val="003A32DC"/>
    <w:rsid w:val="003A3313"/>
    <w:rsid w:val="003A332D"/>
    <w:rsid w:val="003A338B"/>
    <w:rsid w:val="003A34BD"/>
    <w:rsid w:val="003A34C2"/>
    <w:rsid w:val="003A34DD"/>
    <w:rsid w:val="003A3557"/>
    <w:rsid w:val="003A3559"/>
    <w:rsid w:val="003A3589"/>
    <w:rsid w:val="003A35D2"/>
    <w:rsid w:val="003A360A"/>
    <w:rsid w:val="003A36E9"/>
    <w:rsid w:val="003A37BC"/>
    <w:rsid w:val="003A37EE"/>
    <w:rsid w:val="003A3873"/>
    <w:rsid w:val="003A3878"/>
    <w:rsid w:val="003A3A81"/>
    <w:rsid w:val="003A3A9F"/>
    <w:rsid w:val="003A3ABF"/>
    <w:rsid w:val="003A3C09"/>
    <w:rsid w:val="003A3C13"/>
    <w:rsid w:val="003A3D20"/>
    <w:rsid w:val="003A3DB4"/>
    <w:rsid w:val="003A3E9F"/>
    <w:rsid w:val="003A3ED7"/>
    <w:rsid w:val="003A3ED8"/>
    <w:rsid w:val="003A3EE3"/>
    <w:rsid w:val="003A3EF3"/>
    <w:rsid w:val="003A3F5D"/>
    <w:rsid w:val="003A3FB2"/>
    <w:rsid w:val="003A3FFD"/>
    <w:rsid w:val="003A40C3"/>
    <w:rsid w:val="003A410D"/>
    <w:rsid w:val="003A4281"/>
    <w:rsid w:val="003A428E"/>
    <w:rsid w:val="003A42F0"/>
    <w:rsid w:val="003A4327"/>
    <w:rsid w:val="003A447B"/>
    <w:rsid w:val="003A44B3"/>
    <w:rsid w:val="003A45E8"/>
    <w:rsid w:val="003A4780"/>
    <w:rsid w:val="003A47E9"/>
    <w:rsid w:val="003A4878"/>
    <w:rsid w:val="003A487C"/>
    <w:rsid w:val="003A4970"/>
    <w:rsid w:val="003A4A59"/>
    <w:rsid w:val="003A4BAC"/>
    <w:rsid w:val="003A4BB7"/>
    <w:rsid w:val="003A4D0F"/>
    <w:rsid w:val="003A4DA3"/>
    <w:rsid w:val="003A4E18"/>
    <w:rsid w:val="003A4E24"/>
    <w:rsid w:val="003A4F5B"/>
    <w:rsid w:val="003A4F66"/>
    <w:rsid w:val="003A4F7C"/>
    <w:rsid w:val="003A5071"/>
    <w:rsid w:val="003A509E"/>
    <w:rsid w:val="003A523A"/>
    <w:rsid w:val="003A526D"/>
    <w:rsid w:val="003A52C3"/>
    <w:rsid w:val="003A53D7"/>
    <w:rsid w:val="003A5456"/>
    <w:rsid w:val="003A5684"/>
    <w:rsid w:val="003A56C5"/>
    <w:rsid w:val="003A56C9"/>
    <w:rsid w:val="003A57BD"/>
    <w:rsid w:val="003A57FD"/>
    <w:rsid w:val="003A5957"/>
    <w:rsid w:val="003A5964"/>
    <w:rsid w:val="003A5AD0"/>
    <w:rsid w:val="003A5CC0"/>
    <w:rsid w:val="003A5DB9"/>
    <w:rsid w:val="003A5E19"/>
    <w:rsid w:val="003A5EFD"/>
    <w:rsid w:val="003A60CA"/>
    <w:rsid w:val="003A610F"/>
    <w:rsid w:val="003A61A1"/>
    <w:rsid w:val="003A6310"/>
    <w:rsid w:val="003A639D"/>
    <w:rsid w:val="003A6479"/>
    <w:rsid w:val="003A6743"/>
    <w:rsid w:val="003A6804"/>
    <w:rsid w:val="003A684B"/>
    <w:rsid w:val="003A68D8"/>
    <w:rsid w:val="003A696C"/>
    <w:rsid w:val="003A6987"/>
    <w:rsid w:val="003A69F7"/>
    <w:rsid w:val="003A6A4F"/>
    <w:rsid w:val="003A6A89"/>
    <w:rsid w:val="003A6A9E"/>
    <w:rsid w:val="003A6B7D"/>
    <w:rsid w:val="003A6B8A"/>
    <w:rsid w:val="003A6BAE"/>
    <w:rsid w:val="003A6BD6"/>
    <w:rsid w:val="003A6C20"/>
    <w:rsid w:val="003A6C64"/>
    <w:rsid w:val="003A6CD7"/>
    <w:rsid w:val="003A6D55"/>
    <w:rsid w:val="003A6D7D"/>
    <w:rsid w:val="003A6E7A"/>
    <w:rsid w:val="003A6E95"/>
    <w:rsid w:val="003A6EDB"/>
    <w:rsid w:val="003A6EF9"/>
    <w:rsid w:val="003A70C3"/>
    <w:rsid w:val="003A70EA"/>
    <w:rsid w:val="003A7118"/>
    <w:rsid w:val="003A712C"/>
    <w:rsid w:val="003A71E7"/>
    <w:rsid w:val="003A74D7"/>
    <w:rsid w:val="003A74E1"/>
    <w:rsid w:val="003A755C"/>
    <w:rsid w:val="003A75A9"/>
    <w:rsid w:val="003A7683"/>
    <w:rsid w:val="003A7770"/>
    <w:rsid w:val="003A77DE"/>
    <w:rsid w:val="003A78FF"/>
    <w:rsid w:val="003A7A6E"/>
    <w:rsid w:val="003A7AAA"/>
    <w:rsid w:val="003A7B3F"/>
    <w:rsid w:val="003A7B98"/>
    <w:rsid w:val="003A7C0B"/>
    <w:rsid w:val="003A7D08"/>
    <w:rsid w:val="003A7D1B"/>
    <w:rsid w:val="003A7D81"/>
    <w:rsid w:val="003A7E8C"/>
    <w:rsid w:val="003A7EEA"/>
    <w:rsid w:val="003A7F18"/>
    <w:rsid w:val="003A7F30"/>
    <w:rsid w:val="003A7FBF"/>
    <w:rsid w:val="003B002F"/>
    <w:rsid w:val="003B0070"/>
    <w:rsid w:val="003B00BA"/>
    <w:rsid w:val="003B0172"/>
    <w:rsid w:val="003B0234"/>
    <w:rsid w:val="003B0246"/>
    <w:rsid w:val="003B0462"/>
    <w:rsid w:val="003B0498"/>
    <w:rsid w:val="003B049D"/>
    <w:rsid w:val="003B04DD"/>
    <w:rsid w:val="003B05EA"/>
    <w:rsid w:val="003B0617"/>
    <w:rsid w:val="003B064D"/>
    <w:rsid w:val="003B07F3"/>
    <w:rsid w:val="003B07F5"/>
    <w:rsid w:val="003B0832"/>
    <w:rsid w:val="003B08D2"/>
    <w:rsid w:val="003B0934"/>
    <w:rsid w:val="003B0AC1"/>
    <w:rsid w:val="003B0AE6"/>
    <w:rsid w:val="003B0BB3"/>
    <w:rsid w:val="003B0BF4"/>
    <w:rsid w:val="003B0D19"/>
    <w:rsid w:val="003B0D35"/>
    <w:rsid w:val="003B0E5B"/>
    <w:rsid w:val="003B0EF9"/>
    <w:rsid w:val="003B0F51"/>
    <w:rsid w:val="003B0F8D"/>
    <w:rsid w:val="003B10BD"/>
    <w:rsid w:val="003B11D1"/>
    <w:rsid w:val="003B128E"/>
    <w:rsid w:val="003B130D"/>
    <w:rsid w:val="003B14F5"/>
    <w:rsid w:val="003B150D"/>
    <w:rsid w:val="003B1583"/>
    <w:rsid w:val="003B1760"/>
    <w:rsid w:val="003B191A"/>
    <w:rsid w:val="003B1A7E"/>
    <w:rsid w:val="003B1BB3"/>
    <w:rsid w:val="003B1BDF"/>
    <w:rsid w:val="003B1BF7"/>
    <w:rsid w:val="003B1E36"/>
    <w:rsid w:val="003B1E5B"/>
    <w:rsid w:val="003B1F30"/>
    <w:rsid w:val="003B1F5C"/>
    <w:rsid w:val="003B1F6F"/>
    <w:rsid w:val="003B1FC5"/>
    <w:rsid w:val="003B1FD6"/>
    <w:rsid w:val="003B2057"/>
    <w:rsid w:val="003B22A0"/>
    <w:rsid w:val="003B22EB"/>
    <w:rsid w:val="003B2364"/>
    <w:rsid w:val="003B2422"/>
    <w:rsid w:val="003B247E"/>
    <w:rsid w:val="003B24DC"/>
    <w:rsid w:val="003B26A9"/>
    <w:rsid w:val="003B27BC"/>
    <w:rsid w:val="003B297C"/>
    <w:rsid w:val="003B29D3"/>
    <w:rsid w:val="003B2A42"/>
    <w:rsid w:val="003B2A48"/>
    <w:rsid w:val="003B2AE3"/>
    <w:rsid w:val="003B2B73"/>
    <w:rsid w:val="003B2BB8"/>
    <w:rsid w:val="003B2C60"/>
    <w:rsid w:val="003B2C8F"/>
    <w:rsid w:val="003B2E06"/>
    <w:rsid w:val="003B2E25"/>
    <w:rsid w:val="003B2E52"/>
    <w:rsid w:val="003B2E5E"/>
    <w:rsid w:val="003B2E61"/>
    <w:rsid w:val="003B2E77"/>
    <w:rsid w:val="003B2EEA"/>
    <w:rsid w:val="003B2F7B"/>
    <w:rsid w:val="003B2FDA"/>
    <w:rsid w:val="003B307C"/>
    <w:rsid w:val="003B308C"/>
    <w:rsid w:val="003B30D6"/>
    <w:rsid w:val="003B30FD"/>
    <w:rsid w:val="003B31A9"/>
    <w:rsid w:val="003B320D"/>
    <w:rsid w:val="003B3278"/>
    <w:rsid w:val="003B3287"/>
    <w:rsid w:val="003B32B2"/>
    <w:rsid w:val="003B3393"/>
    <w:rsid w:val="003B3396"/>
    <w:rsid w:val="003B33B3"/>
    <w:rsid w:val="003B34DE"/>
    <w:rsid w:val="003B34EB"/>
    <w:rsid w:val="003B35B0"/>
    <w:rsid w:val="003B367D"/>
    <w:rsid w:val="003B374C"/>
    <w:rsid w:val="003B3882"/>
    <w:rsid w:val="003B388F"/>
    <w:rsid w:val="003B3936"/>
    <w:rsid w:val="003B3998"/>
    <w:rsid w:val="003B39A8"/>
    <w:rsid w:val="003B3A00"/>
    <w:rsid w:val="003B3A18"/>
    <w:rsid w:val="003B3A22"/>
    <w:rsid w:val="003B3A57"/>
    <w:rsid w:val="003B3A75"/>
    <w:rsid w:val="003B3A8F"/>
    <w:rsid w:val="003B3B82"/>
    <w:rsid w:val="003B3B97"/>
    <w:rsid w:val="003B3BA0"/>
    <w:rsid w:val="003B3C1B"/>
    <w:rsid w:val="003B3CC4"/>
    <w:rsid w:val="003B3D65"/>
    <w:rsid w:val="003B3DAA"/>
    <w:rsid w:val="003B3EE6"/>
    <w:rsid w:val="003B3F0B"/>
    <w:rsid w:val="003B3F1B"/>
    <w:rsid w:val="003B4049"/>
    <w:rsid w:val="003B408B"/>
    <w:rsid w:val="003B4241"/>
    <w:rsid w:val="003B425B"/>
    <w:rsid w:val="003B43D0"/>
    <w:rsid w:val="003B45C2"/>
    <w:rsid w:val="003B46F3"/>
    <w:rsid w:val="003B47CC"/>
    <w:rsid w:val="003B4898"/>
    <w:rsid w:val="003B49EE"/>
    <w:rsid w:val="003B4AC3"/>
    <w:rsid w:val="003B4B5A"/>
    <w:rsid w:val="003B4C17"/>
    <w:rsid w:val="003B4DEC"/>
    <w:rsid w:val="003B4DED"/>
    <w:rsid w:val="003B4DEF"/>
    <w:rsid w:val="003B4FC0"/>
    <w:rsid w:val="003B5091"/>
    <w:rsid w:val="003B5239"/>
    <w:rsid w:val="003B52A0"/>
    <w:rsid w:val="003B52AB"/>
    <w:rsid w:val="003B5300"/>
    <w:rsid w:val="003B546E"/>
    <w:rsid w:val="003B547E"/>
    <w:rsid w:val="003B54AF"/>
    <w:rsid w:val="003B5558"/>
    <w:rsid w:val="003B5614"/>
    <w:rsid w:val="003B577F"/>
    <w:rsid w:val="003B57D2"/>
    <w:rsid w:val="003B5812"/>
    <w:rsid w:val="003B5A4A"/>
    <w:rsid w:val="003B5B4E"/>
    <w:rsid w:val="003B5B93"/>
    <w:rsid w:val="003B5C01"/>
    <w:rsid w:val="003B5CC0"/>
    <w:rsid w:val="003B5F5B"/>
    <w:rsid w:val="003B5F98"/>
    <w:rsid w:val="003B609E"/>
    <w:rsid w:val="003B6364"/>
    <w:rsid w:val="003B63DA"/>
    <w:rsid w:val="003B6671"/>
    <w:rsid w:val="003B673B"/>
    <w:rsid w:val="003B6882"/>
    <w:rsid w:val="003B6977"/>
    <w:rsid w:val="003B69F0"/>
    <w:rsid w:val="003B6B17"/>
    <w:rsid w:val="003B6B51"/>
    <w:rsid w:val="003B6B9A"/>
    <w:rsid w:val="003B6BF9"/>
    <w:rsid w:val="003B6C5D"/>
    <w:rsid w:val="003B6CC0"/>
    <w:rsid w:val="003B6D08"/>
    <w:rsid w:val="003B6E04"/>
    <w:rsid w:val="003B6E63"/>
    <w:rsid w:val="003B705A"/>
    <w:rsid w:val="003B7102"/>
    <w:rsid w:val="003B719E"/>
    <w:rsid w:val="003B731A"/>
    <w:rsid w:val="003B7424"/>
    <w:rsid w:val="003B7433"/>
    <w:rsid w:val="003B7539"/>
    <w:rsid w:val="003B763D"/>
    <w:rsid w:val="003B76A2"/>
    <w:rsid w:val="003B77F2"/>
    <w:rsid w:val="003B7860"/>
    <w:rsid w:val="003B788A"/>
    <w:rsid w:val="003B7987"/>
    <w:rsid w:val="003B7B24"/>
    <w:rsid w:val="003B7B29"/>
    <w:rsid w:val="003B7DB9"/>
    <w:rsid w:val="003B7E88"/>
    <w:rsid w:val="003B7EBC"/>
    <w:rsid w:val="003B7EBD"/>
    <w:rsid w:val="003B7FF9"/>
    <w:rsid w:val="003C0171"/>
    <w:rsid w:val="003C03F1"/>
    <w:rsid w:val="003C0452"/>
    <w:rsid w:val="003C0503"/>
    <w:rsid w:val="003C053A"/>
    <w:rsid w:val="003C05E3"/>
    <w:rsid w:val="003C05EE"/>
    <w:rsid w:val="003C062C"/>
    <w:rsid w:val="003C0733"/>
    <w:rsid w:val="003C0844"/>
    <w:rsid w:val="003C0892"/>
    <w:rsid w:val="003C089F"/>
    <w:rsid w:val="003C08AA"/>
    <w:rsid w:val="003C099E"/>
    <w:rsid w:val="003C0AC5"/>
    <w:rsid w:val="003C0C22"/>
    <w:rsid w:val="003C0CBE"/>
    <w:rsid w:val="003C0D39"/>
    <w:rsid w:val="003C0DAC"/>
    <w:rsid w:val="003C0DDA"/>
    <w:rsid w:val="003C0E1A"/>
    <w:rsid w:val="003C0ED6"/>
    <w:rsid w:val="003C0FA2"/>
    <w:rsid w:val="003C11C5"/>
    <w:rsid w:val="003C11D1"/>
    <w:rsid w:val="003C11F4"/>
    <w:rsid w:val="003C1203"/>
    <w:rsid w:val="003C1243"/>
    <w:rsid w:val="003C1349"/>
    <w:rsid w:val="003C1382"/>
    <w:rsid w:val="003C13F4"/>
    <w:rsid w:val="003C13F7"/>
    <w:rsid w:val="003C1539"/>
    <w:rsid w:val="003C1705"/>
    <w:rsid w:val="003C17A1"/>
    <w:rsid w:val="003C1880"/>
    <w:rsid w:val="003C19E6"/>
    <w:rsid w:val="003C19E7"/>
    <w:rsid w:val="003C1A12"/>
    <w:rsid w:val="003C1AB1"/>
    <w:rsid w:val="003C1BFC"/>
    <w:rsid w:val="003C1CD7"/>
    <w:rsid w:val="003C1CFE"/>
    <w:rsid w:val="003C1E5B"/>
    <w:rsid w:val="003C1E84"/>
    <w:rsid w:val="003C1ECA"/>
    <w:rsid w:val="003C212D"/>
    <w:rsid w:val="003C228F"/>
    <w:rsid w:val="003C2302"/>
    <w:rsid w:val="003C23DC"/>
    <w:rsid w:val="003C25AB"/>
    <w:rsid w:val="003C25AC"/>
    <w:rsid w:val="003C26DD"/>
    <w:rsid w:val="003C270D"/>
    <w:rsid w:val="003C274D"/>
    <w:rsid w:val="003C2763"/>
    <w:rsid w:val="003C2774"/>
    <w:rsid w:val="003C2778"/>
    <w:rsid w:val="003C27FD"/>
    <w:rsid w:val="003C2803"/>
    <w:rsid w:val="003C2804"/>
    <w:rsid w:val="003C2828"/>
    <w:rsid w:val="003C2882"/>
    <w:rsid w:val="003C28FB"/>
    <w:rsid w:val="003C28FE"/>
    <w:rsid w:val="003C2901"/>
    <w:rsid w:val="003C2997"/>
    <w:rsid w:val="003C2B0E"/>
    <w:rsid w:val="003C2CF3"/>
    <w:rsid w:val="003C2D71"/>
    <w:rsid w:val="003C2E40"/>
    <w:rsid w:val="003C2E69"/>
    <w:rsid w:val="003C2F8A"/>
    <w:rsid w:val="003C2FC2"/>
    <w:rsid w:val="003C30D3"/>
    <w:rsid w:val="003C32A5"/>
    <w:rsid w:val="003C32DA"/>
    <w:rsid w:val="003C3346"/>
    <w:rsid w:val="003C33B4"/>
    <w:rsid w:val="003C33D3"/>
    <w:rsid w:val="003C3423"/>
    <w:rsid w:val="003C3503"/>
    <w:rsid w:val="003C3680"/>
    <w:rsid w:val="003C3691"/>
    <w:rsid w:val="003C3696"/>
    <w:rsid w:val="003C36FD"/>
    <w:rsid w:val="003C37C2"/>
    <w:rsid w:val="003C3A5D"/>
    <w:rsid w:val="003C3C29"/>
    <w:rsid w:val="003C3C69"/>
    <w:rsid w:val="003C3D04"/>
    <w:rsid w:val="003C3F75"/>
    <w:rsid w:val="003C3FA3"/>
    <w:rsid w:val="003C403B"/>
    <w:rsid w:val="003C40E7"/>
    <w:rsid w:val="003C41DA"/>
    <w:rsid w:val="003C41DE"/>
    <w:rsid w:val="003C4396"/>
    <w:rsid w:val="003C4432"/>
    <w:rsid w:val="003C4448"/>
    <w:rsid w:val="003C449C"/>
    <w:rsid w:val="003C44BA"/>
    <w:rsid w:val="003C4604"/>
    <w:rsid w:val="003C468C"/>
    <w:rsid w:val="003C46FE"/>
    <w:rsid w:val="003C474A"/>
    <w:rsid w:val="003C48B4"/>
    <w:rsid w:val="003C48D6"/>
    <w:rsid w:val="003C4965"/>
    <w:rsid w:val="003C498E"/>
    <w:rsid w:val="003C4A27"/>
    <w:rsid w:val="003C4B50"/>
    <w:rsid w:val="003C4D35"/>
    <w:rsid w:val="003C4D4A"/>
    <w:rsid w:val="003C4D57"/>
    <w:rsid w:val="003C4D80"/>
    <w:rsid w:val="003C4EB1"/>
    <w:rsid w:val="003C4F3E"/>
    <w:rsid w:val="003C519E"/>
    <w:rsid w:val="003C51E1"/>
    <w:rsid w:val="003C528D"/>
    <w:rsid w:val="003C53B1"/>
    <w:rsid w:val="003C5482"/>
    <w:rsid w:val="003C54C1"/>
    <w:rsid w:val="003C54CB"/>
    <w:rsid w:val="003C554D"/>
    <w:rsid w:val="003C578B"/>
    <w:rsid w:val="003C57AD"/>
    <w:rsid w:val="003C580E"/>
    <w:rsid w:val="003C5A1A"/>
    <w:rsid w:val="003C5A36"/>
    <w:rsid w:val="003C5A5B"/>
    <w:rsid w:val="003C5A6A"/>
    <w:rsid w:val="003C5A72"/>
    <w:rsid w:val="003C5AF5"/>
    <w:rsid w:val="003C5B2D"/>
    <w:rsid w:val="003C5B55"/>
    <w:rsid w:val="003C5B5E"/>
    <w:rsid w:val="003C5D1D"/>
    <w:rsid w:val="003C5D36"/>
    <w:rsid w:val="003C5E7A"/>
    <w:rsid w:val="003C5F4F"/>
    <w:rsid w:val="003C5FAA"/>
    <w:rsid w:val="003C5FB6"/>
    <w:rsid w:val="003C5FDA"/>
    <w:rsid w:val="003C613D"/>
    <w:rsid w:val="003C6156"/>
    <w:rsid w:val="003C61B4"/>
    <w:rsid w:val="003C6203"/>
    <w:rsid w:val="003C62B4"/>
    <w:rsid w:val="003C6313"/>
    <w:rsid w:val="003C6329"/>
    <w:rsid w:val="003C6376"/>
    <w:rsid w:val="003C6381"/>
    <w:rsid w:val="003C646E"/>
    <w:rsid w:val="003C6518"/>
    <w:rsid w:val="003C6529"/>
    <w:rsid w:val="003C6539"/>
    <w:rsid w:val="003C6583"/>
    <w:rsid w:val="003C65B5"/>
    <w:rsid w:val="003C65F7"/>
    <w:rsid w:val="003C66B2"/>
    <w:rsid w:val="003C66BA"/>
    <w:rsid w:val="003C67D2"/>
    <w:rsid w:val="003C67F7"/>
    <w:rsid w:val="003C68D7"/>
    <w:rsid w:val="003C68E7"/>
    <w:rsid w:val="003C692F"/>
    <w:rsid w:val="003C694B"/>
    <w:rsid w:val="003C6951"/>
    <w:rsid w:val="003C69C0"/>
    <w:rsid w:val="003C69DE"/>
    <w:rsid w:val="003C6F61"/>
    <w:rsid w:val="003C6FBC"/>
    <w:rsid w:val="003C70FA"/>
    <w:rsid w:val="003C70FF"/>
    <w:rsid w:val="003C740F"/>
    <w:rsid w:val="003C7435"/>
    <w:rsid w:val="003C7524"/>
    <w:rsid w:val="003C7549"/>
    <w:rsid w:val="003C756D"/>
    <w:rsid w:val="003C766D"/>
    <w:rsid w:val="003C7788"/>
    <w:rsid w:val="003C77D8"/>
    <w:rsid w:val="003C7892"/>
    <w:rsid w:val="003C78AE"/>
    <w:rsid w:val="003C78C5"/>
    <w:rsid w:val="003C7C54"/>
    <w:rsid w:val="003C7CBA"/>
    <w:rsid w:val="003C7E77"/>
    <w:rsid w:val="003C7EE8"/>
    <w:rsid w:val="003C7FBB"/>
    <w:rsid w:val="003C7FFB"/>
    <w:rsid w:val="003D0039"/>
    <w:rsid w:val="003D009A"/>
    <w:rsid w:val="003D014F"/>
    <w:rsid w:val="003D01EC"/>
    <w:rsid w:val="003D0565"/>
    <w:rsid w:val="003D061E"/>
    <w:rsid w:val="003D06CE"/>
    <w:rsid w:val="003D06F1"/>
    <w:rsid w:val="003D087E"/>
    <w:rsid w:val="003D08D2"/>
    <w:rsid w:val="003D0941"/>
    <w:rsid w:val="003D0982"/>
    <w:rsid w:val="003D0A1E"/>
    <w:rsid w:val="003D0AE8"/>
    <w:rsid w:val="003D0B4D"/>
    <w:rsid w:val="003D0B91"/>
    <w:rsid w:val="003D0B96"/>
    <w:rsid w:val="003D0BE8"/>
    <w:rsid w:val="003D0D20"/>
    <w:rsid w:val="003D0DF3"/>
    <w:rsid w:val="003D0EA3"/>
    <w:rsid w:val="003D0EAD"/>
    <w:rsid w:val="003D10AF"/>
    <w:rsid w:val="003D10F8"/>
    <w:rsid w:val="003D1182"/>
    <w:rsid w:val="003D11CF"/>
    <w:rsid w:val="003D1268"/>
    <w:rsid w:val="003D12FE"/>
    <w:rsid w:val="003D137B"/>
    <w:rsid w:val="003D16E9"/>
    <w:rsid w:val="003D18AB"/>
    <w:rsid w:val="003D19B6"/>
    <w:rsid w:val="003D1AB4"/>
    <w:rsid w:val="003D1BB9"/>
    <w:rsid w:val="003D1C4A"/>
    <w:rsid w:val="003D1F32"/>
    <w:rsid w:val="003D1F70"/>
    <w:rsid w:val="003D1FB3"/>
    <w:rsid w:val="003D1FDA"/>
    <w:rsid w:val="003D2188"/>
    <w:rsid w:val="003D2279"/>
    <w:rsid w:val="003D2289"/>
    <w:rsid w:val="003D2316"/>
    <w:rsid w:val="003D233F"/>
    <w:rsid w:val="003D234D"/>
    <w:rsid w:val="003D23AC"/>
    <w:rsid w:val="003D2465"/>
    <w:rsid w:val="003D24D0"/>
    <w:rsid w:val="003D25E2"/>
    <w:rsid w:val="003D2681"/>
    <w:rsid w:val="003D2695"/>
    <w:rsid w:val="003D27AE"/>
    <w:rsid w:val="003D28F0"/>
    <w:rsid w:val="003D2A38"/>
    <w:rsid w:val="003D2A50"/>
    <w:rsid w:val="003D2B10"/>
    <w:rsid w:val="003D2B98"/>
    <w:rsid w:val="003D2BA4"/>
    <w:rsid w:val="003D2BED"/>
    <w:rsid w:val="003D2C1F"/>
    <w:rsid w:val="003D2C5C"/>
    <w:rsid w:val="003D2C6B"/>
    <w:rsid w:val="003D2D04"/>
    <w:rsid w:val="003D2D2E"/>
    <w:rsid w:val="003D2DDB"/>
    <w:rsid w:val="003D2DE7"/>
    <w:rsid w:val="003D2E52"/>
    <w:rsid w:val="003D2E7F"/>
    <w:rsid w:val="003D2F2A"/>
    <w:rsid w:val="003D31E4"/>
    <w:rsid w:val="003D324D"/>
    <w:rsid w:val="003D32EA"/>
    <w:rsid w:val="003D330C"/>
    <w:rsid w:val="003D334F"/>
    <w:rsid w:val="003D342F"/>
    <w:rsid w:val="003D3496"/>
    <w:rsid w:val="003D34FF"/>
    <w:rsid w:val="003D36A6"/>
    <w:rsid w:val="003D36CE"/>
    <w:rsid w:val="003D3924"/>
    <w:rsid w:val="003D3A2F"/>
    <w:rsid w:val="003D3BE1"/>
    <w:rsid w:val="003D3C64"/>
    <w:rsid w:val="003D3C7F"/>
    <w:rsid w:val="003D3C83"/>
    <w:rsid w:val="003D3CD1"/>
    <w:rsid w:val="003D3EF4"/>
    <w:rsid w:val="003D4061"/>
    <w:rsid w:val="003D40A9"/>
    <w:rsid w:val="003D4114"/>
    <w:rsid w:val="003D426D"/>
    <w:rsid w:val="003D43E2"/>
    <w:rsid w:val="003D440C"/>
    <w:rsid w:val="003D44B4"/>
    <w:rsid w:val="003D44C0"/>
    <w:rsid w:val="003D44F5"/>
    <w:rsid w:val="003D463A"/>
    <w:rsid w:val="003D4656"/>
    <w:rsid w:val="003D484C"/>
    <w:rsid w:val="003D49BA"/>
    <w:rsid w:val="003D49BC"/>
    <w:rsid w:val="003D49EA"/>
    <w:rsid w:val="003D4A06"/>
    <w:rsid w:val="003D4A29"/>
    <w:rsid w:val="003D4A59"/>
    <w:rsid w:val="003D4C63"/>
    <w:rsid w:val="003D4D29"/>
    <w:rsid w:val="003D4D49"/>
    <w:rsid w:val="003D4E76"/>
    <w:rsid w:val="003D4E85"/>
    <w:rsid w:val="003D4FE4"/>
    <w:rsid w:val="003D5088"/>
    <w:rsid w:val="003D515A"/>
    <w:rsid w:val="003D5222"/>
    <w:rsid w:val="003D52F5"/>
    <w:rsid w:val="003D5405"/>
    <w:rsid w:val="003D5442"/>
    <w:rsid w:val="003D55D0"/>
    <w:rsid w:val="003D5609"/>
    <w:rsid w:val="003D5682"/>
    <w:rsid w:val="003D56F4"/>
    <w:rsid w:val="003D5734"/>
    <w:rsid w:val="003D5735"/>
    <w:rsid w:val="003D5962"/>
    <w:rsid w:val="003D59A3"/>
    <w:rsid w:val="003D5A4B"/>
    <w:rsid w:val="003D5BE9"/>
    <w:rsid w:val="003D5BFB"/>
    <w:rsid w:val="003D5BFF"/>
    <w:rsid w:val="003D5CEA"/>
    <w:rsid w:val="003D5D04"/>
    <w:rsid w:val="003D5D0A"/>
    <w:rsid w:val="003D5D4B"/>
    <w:rsid w:val="003D5E56"/>
    <w:rsid w:val="003D5F7C"/>
    <w:rsid w:val="003D5FEE"/>
    <w:rsid w:val="003D601F"/>
    <w:rsid w:val="003D6203"/>
    <w:rsid w:val="003D626D"/>
    <w:rsid w:val="003D63DE"/>
    <w:rsid w:val="003D641E"/>
    <w:rsid w:val="003D64F5"/>
    <w:rsid w:val="003D6503"/>
    <w:rsid w:val="003D656C"/>
    <w:rsid w:val="003D6598"/>
    <w:rsid w:val="003D66AA"/>
    <w:rsid w:val="003D676B"/>
    <w:rsid w:val="003D67DA"/>
    <w:rsid w:val="003D6824"/>
    <w:rsid w:val="003D686C"/>
    <w:rsid w:val="003D687F"/>
    <w:rsid w:val="003D6894"/>
    <w:rsid w:val="003D68C7"/>
    <w:rsid w:val="003D68EA"/>
    <w:rsid w:val="003D69FD"/>
    <w:rsid w:val="003D6A0F"/>
    <w:rsid w:val="003D6A4B"/>
    <w:rsid w:val="003D6A75"/>
    <w:rsid w:val="003D6C64"/>
    <w:rsid w:val="003D6C68"/>
    <w:rsid w:val="003D6D19"/>
    <w:rsid w:val="003D6E61"/>
    <w:rsid w:val="003D701B"/>
    <w:rsid w:val="003D7043"/>
    <w:rsid w:val="003D7379"/>
    <w:rsid w:val="003D747E"/>
    <w:rsid w:val="003D74AA"/>
    <w:rsid w:val="003D74F0"/>
    <w:rsid w:val="003D75BA"/>
    <w:rsid w:val="003D75BE"/>
    <w:rsid w:val="003D7654"/>
    <w:rsid w:val="003D7669"/>
    <w:rsid w:val="003D7673"/>
    <w:rsid w:val="003D7698"/>
    <w:rsid w:val="003D7714"/>
    <w:rsid w:val="003D7828"/>
    <w:rsid w:val="003D78ED"/>
    <w:rsid w:val="003D7A17"/>
    <w:rsid w:val="003D7A51"/>
    <w:rsid w:val="003D7A77"/>
    <w:rsid w:val="003D7B98"/>
    <w:rsid w:val="003D7CB0"/>
    <w:rsid w:val="003D7D17"/>
    <w:rsid w:val="003D7E8C"/>
    <w:rsid w:val="003D7EAB"/>
    <w:rsid w:val="003D7EFF"/>
    <w:rsid w:val="003D7F82"/>
    <w:rsid w:val="003D7FCE"/>
    <w:rsid w:val="003E0003"/>
    <w:rsid w:val="003E010E"/>
    <w:rsid w:val="003E022F"/>
    <w:rsid w:val="003E0268"/>
    <w:rsid w:val="003E032E"/>
    <w:rsid w:val="003E039C"/>
    <w:rsid w:val="003E03B6"/>
    <w:rsid w:val="003E04CF"/>
    <w:rsid w:val="003E05B5"/>
    <w:rsid w:val="003E0644"/>
    <w:rsid w:val="003E0687"/>
    <w:rsid w:val="003E07A0"/>
    <w:rsid w:val="003E0871"/>
    <w:rsid w:val="003E08FB"/>
    <w:rsid w:val="003E0A57"/>
    <w:rsid w:val="003E0BF6"/>
    <w:rsid w:val="003E0C2D"/>
    <w:rsid w:val="003E0C8C"/>
    <w:rsid w:val="003E0D79"/>
    <w:rsid w:val="003E0DD1"/>
    <w:rsid w:val="003E0E3F"/>
    <w:rsid w:val="003E0E99"/>
    <w:rsid w:val="003E100C"/>
    <w:rsid w:val="003E1018"/>
    <w:rsid w:val="003E10D3"/>
    <w:rsid w:val="003E125F"/>
    <w:rsid w:val="003E12D0"/>
    <w:rsid w:val="003E137F"/>
    <w:rsid w:val="003E139B"/>
    <w:rsid w:val="003E13BD"/>
    <w:rsid w:val="003E140C"/>
    <w:rsid w:val="003E1434"/>
    <w:rsid w:val="003E1512"/>
    <w:rsid w:val="003E1570"/>
    <w:rsid w:val="003E1600"/>
    <w:rsid w:val="003E162A"/>
    <w:rsid w:val="003E1772"/>
    <w:rsid w:val="003E17C7"/>
    <w:rsid w:val="003E19F7"/>
    <w:rsid w:val="003E1A77"/>
    <w:rsid w:val="003E1ACF"/>
    <w:rsid w:val="003E1C18"/>
    <w:rsid w:val="003E1CE3"/>
    <w:rsid w:val="003E1D71"/>
    <w:rsid w:val="003E1D8C"/>
    <w:rsid w:val="003E1EEB"/>
    <w:rsid w:val="003E1F09"/>
    <w:rsid w:val="003E1FBE"/>
    <w:rsid w:val="003E20C8"/>
    <w:rsid w:val="003E20ED"/>
    <w:rsid w:val="003E2178"/>
    <w:rsid w:val="003E218F"/>
    <w:rsid w:val="003E220D"/>
    <w:rsid w:val="003E223F"/>
    <w:rsid w:val="003E2255"/>
    <w:rsid w:val="003E2281"/>
    <w:rsid w:val="003E22D3"/>
    <w:rsid w:val="003E2453"/>
    <w:rsid w:val="003E24C1"/>
    <w:rsid w:val="003E24FC"/>
    <w:rsid w:val="003E251C"/>
    <w:rsid w:val="003E252C"/>
    <w:rsid w:val="003E2557"/>
    <w:rsid w:val="003E256F"/>
    <w:rsid w:val="003E2594"/>
    <w:rsid w:val="003E25BE"/>
    <w:rsid w:val="003E25DF"/>
    <w:rsid w:val="003E2647"/>
    <w:rsid w:val="003E2689"/>
    <w:rsid w:val="003E26B3"/>
    <w:rsid w:val="003E2744"/>
    <w:rsid w:val="003E2787"/>
    <w:rsid w:val="003E279D"/>
    <w:rsid w:val="003E282B"/>
    <w:rsid w:val="003E2837"/>
    <w:rsid w:val="003E292F"/>
    <w:rsid w:val="003E297E"/>
    <w:rsid w:val="003E2B11"/>
    <w:rsid w:val="003E2B62"/>
    <w:rsid w:val="003E2C73"/>
    <w:rsid w:val="003E2F18"/>
    <w:rsid w:val="003E300A"/>
    <w:rsid w:val="003E3071"/>
    <w:rsid w:val="003E30C0"/>
    <w:rsid w:val="003E31A7"/>
    <w:rsid w:val="003E3350"/>
    <w:rsid w:val="003E339A"/>
    <w:rsid w:val="003E33AC"/>
    <w:rsid w:val="003E340A"/>
    <w:rsid w:val="003E3489"/>
    <w:rsid w:val="003E34A4"/>
    <w:rsid w:val="003E3584"/>
    <w:rsid w:val="003E35F0"/>
    <w:rsid w:val="003E363D"/>
    <w:rsid w:val="003E365E"/>
    <w:rsid w:val="003E377F"/>
    <w:rsid w:val="003E3811"/>
    <w:rsid w:val="003E3CE7"/>
    <w:rsid w:val="003E3DF7"/>
    <w:rsid w:val="003E3F72"/>
    <w:rsid w:val="003E4138"/>
    <w:rsid w:val="003E4166"/>
    <w:rsid w:val="003E41E8"/>
    <w:rsid w:val="003E42A1"/>
    <w:rsid w:val="003E42C1"/>
    <w:rsid w:val="003E44EE"/>
    <w:rsid w:val="003E4580"/>
    <w:rsid w:val="003E4646"/>
    <w:rsid w:val="003E466C"/>
    <w:rsid w:val="003E4749"/>
    <w:rsid w:val="003E47A5"/>
    <w:rsid w:val="003E47A8"/>
    <w:rsid w:val="003E47DD"/>
    <w:rsid w:val="003E480E"/>
    <w:rsid w:val="003E481D"/>
    <w:rsid w:val="003E4999"/>
    <w:rsid w:val="003E4E72"/>
    <w:rsid w:val="003E4E9C"/>
    <w:rsid w:val="003E5082"/>
    <w:rsid w:val="003E508B"/>
    <w:rsid w:val="003E512D"/>
    <w:rsid w:val="003E52C0"/>
    <w:rsid w:val="003E52EA"/>
    <w:rsid w:val="003E52F2"/>
    <w:rsid w:val="003E53BC"/>
    <w:rsid w:val="003E54EB"/>
    <w:rsid w:val="003E555E"/>
    <w:rsid w:val="003E595B"/>
    <w:rsid w:val="003E5A6D"/>
    <w:rsid w:val="003E5BCA"/>
    <w:rsid w:val="003E5C3A"/>
    <w:rsid w:val="003E5C4C"/>
    <w:rsid w:val="003E5D7B"/>
    <w:rsid w:val="003E5E68"/>
    <w:rsid w:val="003E6072"/>
    <w:rsid w:val="003E60F3"/>
    <w:rsid w:val="003E6170"/>
    <w:rsid w:val="003E6199"/>
    <w:rsid w:val="003E619A"/>
    <w:rsid w:val="003E619C"/>
    <w:rsid w:val="003E61BF"/>
    <w:rsid w:val="003E6202"/>
    <w:rsid w:val="003E624D"/>
    <w:rsid w:val="003E6251"/>
    <w:rsid w:val="003E63DD"/>
    <w:rsid w:val="003E6562"/>
    <w:rsid w:val="003E663F"/>
    <w:rsid w:val="003E665C"/>
    <w:rsid w:val="003E679C"/>
    <w:rsid w:val="003E67B1"/>
    <w:rsid w:val="003E67B2"/>
    <w:rsid w:val="003E67FE"/>
    <w:rsid w:val="003E6843"/>
    <w:rsid w:val="003E6847"/>
    <w:rsid w:val="003E699D"/>
    <w:rsid w:val="003E69FC"/>
    <w:rsid w:val="003E6A08"/>
    <w:rsid w:val="003E6A3C"/>
    <w:rsid w:val="003E6A90"/>
    <w:rsid w:val="003E6AB6"/>
    <w:rsid w:val="003E6D0D"/>
    <w:rsid w:val="003E6F16"/>
    <w:rsid w:val="003E6F67"/>
    <w:rsid w:val="003E6FBA"/>
    <w:rsid w:val="003E70A6"/>
    <w:rsid w:val="003E7298"/>
    <w:rsid w:val="003E72D7"/>
    <w:rsid w:val="003E7465"/>
    <w:rsid w:val="003E7584"/>
    <w:rsid w:val="003E7591"/>
    <w:rsid w:val="003E7620"/>
    <w:rsid w:val="003E76AC"/>
    <w:rsid w:val="003E7878"/>
    <w:rsid w:val="003E7888"/>
    <w:rsid w:val="003E7957"/>
    <w:rsid w:val="003E79D1"/>
    <w:rsid w:val="003E7B2D"/>
    <w:rsid w:val="003E7BA8"/>
    <w:rsid w:val="003E7C07"/>
    <w:rsid w:val="003E7C3D"/>
    <w:rsid w:val="003E7C54"/>
    <w:rsid w:val="003E7D07"/>
    <w:rsid w:val="003E7D14"/>
    <w:rsid w:val="003E7F42"/>
    <w:rsid w:val="003F015C"/>
    <w:rsid w:val="003F0210"/>
    <w:rsid w:val="003F0285"/>
    <w:rsid w:val="003F02BF"/>
    <w:rsid w:val="003F031B"/>
    <w:rsid w:val="003F0393"/>
    <w:rsid w:val="003F0394"/>
    <w:rsid w:val="003F03C1"/>
    <w:rsid w:val="003F03EE"/>
    <w:rsid w:val="003F0658"/>
    <w:rsid w:val="003F0692"/>
    <w:rsid w:val="003F06E6"/>
    <w:rsid w:val="003F07CC"/>
    <w:rsid w:val="003F08DB"/>
    <w:rsid w:val="003F0947"/>
    <w:rsid w:val="003F09E2"/>
    <w:rsid w:val="003F0BE5"/>
    <w:rsid w:val="003F0C1D"/>
    <w:rsid w:val="003F0C4B"/>
    <w:rsid w:val="003F0D1B"/>
    <w:rsid w:val="003F0D7E"/>
    <w:rsid w:val="003F0DB4"/>
    <w:rsid w:val="003F0E3A"/>
    <w:rsid w:val="003F0E81"/>
    <w:rsid w:val="003F102D"/>
    <w:rsid w:val="003F1049"/>
    <w:rsid w:val="003F10F0"/>
    <w:rsid w:val="003F1109"/>
    <w:rsid w:val="003F1180"/>
    <w:rsid w:val="003F1181"/>
    <w:rsid w:val="003F1182"/>
    <w:rsid w:val="003F124F"/>
    <w:rsid w:val="003F1254"/>
    <w:rsid w:val="003F137E"/>
    <w:rsid w:val="003F138B"/>
    <w:rsid w:val="003F13F3"/>
    <w:rsid w:val="003F141A"/>
    <w:rsid w:val="003F1485"/>
    <w:rsid w:val="003F153D"/>
    <w:rsid w:val="003F155A"/>
    <w:rsid w:val="003F1589"/>
    <w:rsid w:val="003F1608"/>
    <w:rsid w:val="003F1613"/>
    <w:rsid w:val="003F1633"/>
    <w:rsid w:val="003F16F1"/>
    <w:rsid w:val="003F1803"/>
    <w:rsid w:val="003F1810"/>
    <w:rsid w:val="003F18B8"/>
    <w:rsid w:val="003F191A"/>
    <w:rsid w:val="003F1931"/>
    <w:rsid w:val="003F19D3"/>
    <w:rsid w:val="003F1A4D"/>
    <w:rsid w:val="003F1A53"/>
    <w:rsid w:val="003F1A74"/>
    <w:rsid w:val="003F1A99"/>
    <w:rsid w:val="003F1CC3"/>
    <w:rsid w:val="003F1CCE"/>
    <w:rsid w:val="003F1D09"/>
    <w:rsid w:val="003F1D56"/>
    <w:rsid w:val="003F1D6E"/>
    <w:rsid w:val="003F1EEC"/>
    <w:rsid w:val="003F1FAD"/>
    <w:rsid w:val="003F2074"/>
    <w:rsid w:val="003F207B"/>
    <w:rsid w:val="003F215F"/>
    <w:rsid w:val="003F2363"/>
    <w:rsid w:val="003F2477"/>
    <w:rsid w:val="003F24B0"/>
    <w:rsid w:val="003F267A"/>
    <w:rsid w:val="003F26E2"/>
    <w:rsid w:val="003F26F1"/>
    <w:rsid w:val="003F2868"/>
    <w:rsid w:val="003F2ACB"/>
    <w:rsid w:val="003F2B32"/>
    <w:rsid w:val="003F2B9C"/>
    <w:rsid w:val="003F2BED"/>
    <w:rsid w:val="003F2C51"/>
    <w:rsid w:val="003F2C68"/>
    <w:rsid w:val="003F2CCE"/>
    <w:rsid w:val="003F2ECC"/>
    <w:rsid w:val="003F2F4E"/>
    <w:rsid w:val="003F2F87"/>
    <w:rsid w:val="003F2FCB"/>
    <w:rsid w:val="003F2FD9"/>
    <w:rsid w:val="003F30D7"/>
    <w:rsid w:val="003F31A2"/>
    <w:rsid w:val="003F31E2"/>
    <w:rsid w:val="003F3272"/>
    <w:rsid w:val="003F328B"/>
    <w:rsid w:val="003F328E"/>
    <w:rsid w:val="003F332F"/>
    <w:rsid w:val="003F3354"/>
    <w:rsid w:val="003F3361"/>
    <w:rsid w:val="003F34BD"/>
    <w:rsid w:val="003F34C9"/>
    <w:rsid w:val="003F3542"/>
    <w:rsid w:val="003F355C"/>
    <w:rsid w:val="003F3627"/>
    <w:rsid w:val="003F3791"/>
    <w:rsid w:val="003F37A0"/>
    <w:rsid w:val="003F387A"/>
    <w:rsid w:val="003F39B9"/>
    <w:rsid w:val="003F39D3"/>
    <w:rsid w:val="003F39D6"/>
    <w:rsid w:val="003F3A12"/>
    <w:rsid w:val="003F3AE4"/>
    <w:rsid w:val="003F3B66"/>
    <w:rsid w:val="003F3B86"/>
    <w:rsid w:val="003F3B92"/>
    <w:rsid w:val="003F3C24"/>
    <w:rsid w:val="003F3EB4"/>
    <w:rsid w:val="003F3ED9"/>
    <w:rsid w:val="003F3F63"/>
    <w:rsid w:val="003F3FC7"/>
    <w:rsid w:val="003F3FF0"/>
    <w:rsid w:val="003F4100"/>
    <w:rsid w:val="003F4157"/>
    <w:rsid w:val="003F427E"/>
    <w:rsid w:val="003F42E7"/>
    <w:rsid w:val="003F4352"/>
    <w:rsid w:val="003F4463"/>
    <w:rsid w:val="003F4648"/>
    <w:rsid w:val="003F46FC"/>
    <w:rsid w:val="003F472F"/>
    <w:rsid w:val="003F49BE"/>
    <w:rsid w:val="003F49C0"/>
    <w:rsid w:val="003F49F0"/>
    <w:rsid w:val="003F4D86"/>
    <w:rsid w:val="003F4E99"/>
    <w:rsid w:val="003F4F5A"/>
    <w:rsid w:val="003F50BD"/>
    <w:rsid w:val="003F5223"/>
    <w:rsid w:val="003F522A"/>
    <w:rsid w:val="003F528C"/>
    <w:rsid w:val="003F5362"/>
    <w:rsid w:val="003F53E9"/>
    <w:rsid w:val="003F5524"/>
    <w:rsid w:val="003F55A0"/>
    <w:rsid w:val="003F55FF"/>
    <w:rsid w:val="003F5649"/>
    <w:rsid w:val="003F57B9"/>
    <w:rsid w:val="003F57C2"/>
    <w:rsid w:val="003F589F"/>
    <w:rsid w:val="003F5960"/>
    <w:rsid w:val="003F5AC7"/>
    <w:rsid w:val="003F5B9D"/>
    <w:rsid w:val="003F5BA5"/>
    <w:rsid w:val="003F5CB3"/>
    <w:rsid w:val="003F5CC9"/>
    <w:rsid w:val="003F5D1E"/>
    <w:rsid w:val="003F5DB2"/>
    <w:rsid w:val="003F5DDF"/>
    <w:rsid w:val="003F5E45"/>
    <w:rsid w:val="003F5EF2"/>
    <w:rsid w:val="003F5F5C"/>
    <w:rsid w:val="003F601B"/>
    <w:rsid w:val="003F6020"/>
    <w:rsid w:val="003F605D"/>
    <w:rsid w:val="003F62CB"/>
    <w:rsid w:val="003F6345"/>
    <w:rsid w:val="003F63C9"/>
    <w:rsid w:val="003F63FB"/>
    <w:rsid w:val="003F6488"/>
    <w:rsid w:val="003F64DD"/>
    <w:rsid w:val="003F6503"/>
    <w:rsid w:val="003F66A3"/>
    <w:rsid w:val="003F6747"/>
    <w:rsid w:val="003F68C0"/>
    <w:rsid w:val="003F68FC"/>
    <w:rsid w:val="003F690B"/>
    <w:rsid w:val="003F6B15"/>
    <w:rsid w:val="003F6B39"/>
    <w:rsid w:val="003F6B9F"/>
    <w:rsid w:val="003F6C6B"/>
    <w:rsid w:val="003F6D36"/>
    <w:rsid w:val="003F6D54"/>
    <w:rsid w:val="003F6D64"/>
    <w:rsid w:val="003F6E24"/>
    <w:rsid w:val="003F6E59"/>
    <w:rsid w:val="003F7038"/>
    <w:rsid w:val="003F7062"/>
    <w:rsid w:val="003F7179"/>
    <w:rsid w:val="003F72A5"/>
    <w:rsid w:val="003F7382"/>
    <w:rsid w:val="003F7439"/>
    <w:rsid w:val="003F7452"/>
    <w:rsid w:val="003F749F"/>
    <w:rsid w:val="003F75A4"/>
    <w:rsid w:val="003F75BE"/>
    <w:rsid w:val="003F76B5"/>
    <w:rsid w:val="003F772B"/>
    <w:rsid w:val="003F7813"/>
    <w:rsid w:val="003F792D"/>
    <w:rsid w:val="003F7B31"/>
    <w:rsid w:val="003F7B7D"/>
    <w:rsid w:val="003F7C38"/>
    <w:rsid w:val="003F7CA8"/>
    <w:rsid w:val="003F7CF2"/>
    <w:rsid w:val="003F7D53"/>
    <w:rsid w:val="003F7E40"/>
    <w:rsid w:val="003F7E90"/>
    <w:rsid w:val="003F7FDC"/>
    <w:rsid w:val="0040006D"/>
    <w:rsid w:val="0040015D"/>
    <w:rsid w:val="0040027B"/>
    <w:rsid w:val="004002C3"/>
    <w:rsid w:val="004002F1"/>
    <w:rsid w:val="0040033A"/>
    <w:rsid w:val="004004A5"/>
    <w:rsid w:val="00400523"/>
    <w:rsid w:val="004005D1"/>
    <w:rsid w:val="004005F1"/>
    <w:rsid w:val="004005F7"/>
    <w:rsid w:val="00400630"/>
    <w:rsid w:val="004006D4"/>
    <w:rsid w:val="00400706"/>
    <w:rsid w:val="00400713"/>
    <w:rsid w:val="0040075B"/>
    <w:rsid w:val="004007D5"/>
    <w:rsid w:val="00400901"/>
    <w:rsid w:val="00400953"/>
    <w:rsid w:val="004009B5"/>
    <w:rsid w:val="00400B09"/>
    <w:rsid w:val="00400BF1"/>
    <w:rsid w:val="00400C6B"/>
    <w:rsid w:val="00400DA4"/>
    <w:rsid w:val="00400DFC"/>
    <w:rsid w:val="00400E27"/>
    <w:rsid w:val="00400EC3"/>
    <w:rsid w:val="00401035"/>
    <w:rsid w:val="004010A9"/>
    <w:rsid w:val="0040130F"/>
    <w:rsid w:val="00401359"/>
    <w:rsid w:val="0040137A"/>
    <w:rsid w:val="004013D2"/>
    <w:rsid w:val="00401516"/>
    <w:rsid w:val="004015CC"/>
    <w:rsid w:val="00401633"/>
    <w:rsid w:val="00401636"/>
    <w:rsid w:val="00401696"/>
    <w:rsid w:val="004016D3"/>
    <w:rsid w:val="00401808"/>
    <w:rsid w:val="0040188F"/>
    <w:rsid w:val="00401946"/>
    <w:rsid w:val="00401958"/>
    <w:rsid w:val="00401A07"/>
    <w:rsid w:val="00401B2A"/>
    <w:rsid w:val="00401B47"/>
    <w:rsid w:val="00401BFF"/>
    <w:rsid w:val="00401C63"/>
    <w:rsid w:val="00401EE2"/>
    <w:rsid w:val="00401F65"/>
    <w:rsid w:val="00401F6C"/>
    <w:rsid w:val="00401FD8"/>
    <w:rsid w:val="004020F0"/>
    <w:rsid w:val="0040217F"/>
    <w:rsid w:val="004021FA"/>
    <w:rsid w:val="0040234C"/>
    <w:rsid w:val="00402411"/>
    <w:rsid w:val="00402589"/>
    <w:rsid w:val="00402735"/>
    <w:rsid w:val="0040277E"/>
    <w:rsid w:val="004027BC"/>
    <w:rsid w:val="004027E5"/>
    <w:rsid w:val="0040288C"/>
    <w:rsid w:val="0040289F"/>
    <w:rsid w:val="004028DF"/>
    <w:rsid w:val="00402941"/>
    <w:rsid w:val="004029C2"/>
    <w:rsid w:val="00402A16"/>
    <w:rsid w:val="00402A7D"/>
    <w:rsid w:val="00402AE8"/>
    <w:rsid w:val="00402AEA"/>
    <w:rsid w:val="00402C49"/>
    <w:rsid w:val="00402D3D"/>
    <w:rsid w:val="00402D76"/>
    <w:rsid w:val="00402DDF"/>
    <w:rsid w:val="00402E65"/>
    <w:rsid w:val="00402E84"/>
    <w:rsid w:val="00402F05"/>
    <w:rsid w:val="00402F07"/>
    <w:rsid w:val="00402F46"/>
    <w:rsid w:val="00402F93"/>
    <w:rsid w:val="00402FEF"/>
    <w:rsid w:val="00403055"/>
    <w:rsid w:val="00403560"/>
    <w:rsid w:val="004036F0"/>
    <w:rsid w:val="0040371F"/>
    <w:rsid w:val="004037B8"/>
    <w:rsid w:val="0040386C"/>
    <w:rsid w:val="004038F3"/>
    <w:rsid w:val="004038F7"/>
    <w:rsid w:val="0040394E"/>
    <w:rsid w:val="00403999"/>
    <w:rsid w:val="00403BD1"/>
    <w:rsid w:val="00403BED"/>
    <w:rsid w:val="00403CBB"/>
    <w:rsid w:val="00403EF7"/>
    <w:rsid w:val="00403F3F"/>
    <w:rsid w:val="00403FC6"/>
    <w:rsid w:val="00404090"/>
    <w:rsid w:val="004040B7"/>
    <w:rsid w:val="004040C8"/>
    <w:rsid w:val="004043C1"/>
    <w:rsid w:val="00404441"/>
    <w:rsid w:val="0040446E"/>
    <w:rsid w:val="004044CA"/>
    <w:rsid w:val="0040458F"/>
    <w:rsid w:val="004045BC"/>
    <w:rsid w:val="00404640"/>
    <w:rsid w:val="004046C9"/>
    <w:rsid w:val="0040473F"/>
    <w:rsid w:val="0040474A"/>
    <w:rsid w:val="00404892"/>
    <w:rsid w:val="00404928"/>
    <w:rsid w:val="00404943"/>
    <w:rsid w:val="00404970"/>
    <w:rsid w:val="00404A05"/>
    <w:rsid w:val="00404A1B"/>
    <w:rsid w:val="00404A8F"/>
    <w:rsid w:val="00404BA4"/>
    <w:rsid w:val="00404EB6"/>
    <w:rsid w:val="00404ED0"/>
    <w:rsid w:val="00404EFF"/>
    <w:rsid w:val="00404FF3"/>
    <w:rsid w:val="0040520A"/>
    <w:rsid w:val="0040520E"/>
    <w:rsid w:val="00405215"/>
    <w:rsid w:val="00405397"/>
    <w:rsid w:val="004053CD"/>
    <w:rsid w:val="004054CB"/>
    <w:rsid w:val="004054E7"/>
    <w:rsid w:val="00405564"/>
    <w:rsid w:val="0040562F"/>
    <w:rsid w:val="00405644"/>
    <w:rsid w:val="004056C1"/>
    <w:rsid w:val="004056FD"/>
    <w:rsid w:val="004058D2"/>
    <w:rsid w:val="004058DF"/>
    <w:rsid w:val="0040599E"/>
    <w:rsid w:val="00405A84"/>
    <w:rsid w:val="00405A97"/>
    <w:rsid w:val="00405BDE"/>
    <w:rsid w:val="00405C98"/>
    <w:rsid w:val="00405DC4"/>
    <w:rsid w:val="00405EE8"/>
    <w:rsid w:val="004060C9"/>
    <w:rsid w:val="00406116"/>
    <w:rsid w:val="00406212"/>
    <w:rsid w:val="00406245"/>
    <w:rsid w:val="004062B9"/>
    <w:rsid w:val="004062CC"/>
    <w:rsid w:val="004063A8"/>
    <w:rsid w:val="00406437"/>
    <w:rsid w:val="004066A3"/>
    <w:rsid w:val="00406769"/>
    <w:rsid w:val="0040683C"/>
    <w:rsid w:val="00406854"/>
    <w:rsid w:val="004068A1"/>
    <w:rsid w:val="00406926"/>
    <w:rsid w:val="00406A44"/>
    <w:rsid w:val="00406C0A"/>
    <w:rsid w:val="00406C84"/>
    <w:rsid w:val="00406DC9"/>
    <w:rsid w:val="00406E05"/>
    <w:rsid w:val="00406E2F"/>
    <w:rsid w:val="00406F27"/>
    <w:rsid w:val="00406FC5"/>
    <w:rsid w:val="00407059"/>
    <w:rsid w:val="004070B7"/>
    <w:rsid w:val="004070DA"/>
    <w:rsid w:val="0040710E"/>
    <w:rsid w:val="0040715D"/>
    <w:rsid w:val="0040733A"/>
    <w:rsid w:val="004075FC"/>
    <w:rsid w:val="0040761F"/>
    <w:rsid w:val="0040763A"/>
    <w:rsid w:val="0040766E"/>
    <w:rsid w:val="00407792"/>
    <w:rsid w:val="004079C9"/>
    <w:rsid w:val="004079FF"/>
    <w:rsid w:val="00407AF3"/>
    <w:rsid w:val="00407B2D"/>
    <w:rsid w:val="00407BC1"/>
    <w:rsid w:val="00407BEA"/>
    <w:rsid w:val="00407C32"/>
    <w:rsid w:val="00407D1C"/>
    <w:rsid w:val="00407E68"/>
    <w:rsid w:val="00407E73"/>
    <w:rsid w:val="00407EBD"/>
    <w:rsid w:val="00407EC8"/>
    <w:rsid w:val="0041004F"/>
    <w:rsid w:val="00410050"/>
    <w:rsid w:val="00410377"/>
    <w:rsid w:val="004104BB"/>
    <w:rsid w:val="004104BC"/>
    <w:rsid w:val="004104D4"/>
    <w:rsid w:val="0041056C"/>
    <w:rsid w:val="00410598"/>
    <w:rsid w:val="004107BD"/>
    <w:rsid w:val="004109AB"/>
    <w:rsid w:val="004109C2"/>
    <w:rsid w:val="00410C4C"/>
    <w:rsid w:val="00410D87"/>
    <w:rsid w:val="00410D8A"/>
    <w:rsid w:val="00410DF3"/>
    <w:rsid w:val="00410EEA"/>
    <w:rsid w:val="00411023"/>
    <w:rsid w:val="00411117"/>
    <w:rsid w:val="00411161"/>
    <w:rsid w:val="004111C5"/>
    <w:rsid w:val="0041128D"/>
    <w:rsid w:val="00411290"/>
    <w:rsid w:val="00411460"/>
    <w:rsid w:val="004114A7"/>
    <w:rsid w:val="004115A7"/>
    <w:rsid w:val="0041167A"/>
    <w:rsid w:val="00411823"/>
    <w:rsid w:val="00411968"/>
    <w:rsid w:val="0041199E"/>
    <w:rsid w:val="00411B46"/>
    <w:rsid w:val="00411B92"/>
    <w:rsid w:val="00411C4A"/>
    <w:rsid w:val="00411D63"/>
    <w:rsid w:val="00411DB0"/>
    <w:rsid w:val="00411DED"/>
    <w:rsid w:val="00411EDF"/>
    <w:rsid w:val="00411F44"/>
    <w:rsid w:val="00411FEF"/>
    <w:rsid w:val="00412168"/>
    <w:rsid w:val="004121AC"/>
    <w:rsid w:val="004121AD"/>
    <w:rsid w:val="00412583"/>
    <w:rsid w:val="004125C6"/>
    <w:rsid w:val="0041261B"/>
    <w:rsid w:val="00412875"/>
    <w:rsid w:val="004129A1"/>
    <w:rsid w:val="00412AE5"/>
    <w:rsid w:val="00412C22"/>
    <w:rsid w:val="00412D01"/>
    <w:rsid w:val="00412FB0"/>
    <w:rsid w:val="00413050"/>
    <w:rsid w:val="00413055"/>
    <w:rsid w:val="00413083"/>
    <w:rsid w:val="0041325B"/>
    <w:rsid w:val="0041327D"/>
    <w:rsid w:val="00413312"/>
    <w:rsid w:val="004133A9"/>
    <w:rsid w:val="00413417"/>
    <w:rsid w:val="00413496"/>
    <w:rsid w:val="004134E0"/>
    <w:rsid w:val="0041365D"/>
    <w:rsid w:val="004136AB"/>
    <w:rsid w:val="0041379D"/>
    <w:rsid w:val="004138D9"/>
    <w:rsid w:val="00413929"/>
    <w:rsid w:val="00413966"/>
    <w:rsid w:val="00413A77"/>
    <w:rsid w:val="00413ADC"/>
    <w:rsid w:val="00413AF3"/>
    <w:rsid w:val="00413B62"/>
    <w:rsid w:val="00413C1B"/>
    <w:rsid w:val="00413E67"/>
    <w:rsid w:val="00413F54"/>
    <w:rsid w:val="00413FD1"/>
    <w:rsid w:val="00413FDE"/>
    <w:rsid w:val="00414038"/>
    <w:rsid w:val="004140E4"/>
    <w:rsid w:val="00414181"/>
    <w:rsid w:val="004142C1"/>
    <w:rsid w:val="00414425"/>
    <w:rsid w:val="00414565"/>
    <w:rsid w:val="00414575"/>
    <w:rsid w:val="0041458B"/>
    <w:rsid w:val="00414591"/>
    <w:rsid w:val="00414609"/>
    <w:rsid w:val="00414614"/>
    <w:rsid w:val="004146BB"/>
    <w:rsid w:val="0041475C"/>
    <w:rsid w:val="004147CA"/>
    <w:rsid w:val="0041485A"/>
    <w:rsid w:val="004148FE"/>
    <w:rsid w:val="00414A9E"/>
    <w:rsid w:val="00414CD5"/>
    <w:rsid w:val="00414EF6"/>
    <w:rsid w:val="00414EFE"/>
    <w:rsid w:val="00414FF5"/>
    <w:rsid w:val="00415174"/>
    <w:rsid w:val="00415177"/>
    <w:rsid w:val="004151B9"/>
    <w:rsid w:val="00415213"/>
    <w:rsid w:val="0041522F"/>
    <w:rsid w:val="00415253"/>
    <w:rsid w:val="004152B7"/>
    <w:rsid w:val="004152CB"/>
    <w:rsid w:val="00415374"/>
    <w:rsid w:val="004153B8"/>
    <w:rsid w:val="004153B9"/>
    <w:rsid w:val="00415722"/>
    <w:rsid w:val="00415733"/>
    <w:rsid w:val="00415825"/>
    <w:rsid w:val="00415851"/>
    <w:rsid w:val="004158AE"/>
    <w:rsid w:val="004158FE"/>
    <w:rsid w:val="00415A0F"/>
    <w:rsid w:val="00415A37"/>
    <w:rsid w:val="00415A3D"/>
    <w:rsid w:val="00415B6C"/>
    <w:rsid w:val="00415C00"/>
    <w:rsid w:val="00415C12"/>
    <w:rsid w:val="00415F3E"/>
    <w:rsid w:val="00416040"/>
    <w:rsid w:val="00416073"/>
    <w:rsid w:val="004160E5"/>
    <w:rsid w:val="004163BB"/>
    <w:rsid w:val="004163D0"/>
    <w:rsid w:val="0041640D"/>
    <w:rsid w:val="00416631"/>
    <w:rsid w:val="00416655"/>
    <w:rsid w:val="00416691"/>
    <w:rsid w:val="004167C7"/>
    <w:rsid w:val="00416A13"/>
    <w:rsid w:val="00416A74"/>
    <w:rsid w:val="00416B1C"/>
    <w:rsid w:val="00416BC8"/>
    <w:rsid w:val="00416C20"/>
    <w:rsid w:val="00416C24"/>
    <w:rsid w:val="00416DB6"/>
    <w:rsid w:val="00416DF8"/>
    <w:rsid w:val="00416E3E"/>
    <w:rsid w:val="00416F5F"/>
    <w:rsid w:val="00416FBA"/>
    <w:rsid w:val="00416FDC"/>
    <w:rsid w:val="0041703E"/>
    <w:rsid w:val="00417098"/>
    <w:rsid w:val="004170DE"/>
    <w:rsid w:val="004171CB"/>
    <w:rsid w:val="00417273"/>
    <w:rsid w:val="004173A2"/>
    <w:rsid w:val="004173DA"/>
    <w:rsid w:val="004173F0"/>
    <w:rsid w:val="0041756B"/>
    <w:rsid w:val="004175F6"/>
    <w:rsid w:val="004176EE"/>
    <w:rsid w:val="00417843"/>
    <w:rsid w:val="004178D7"/>
    <w:rsid w:val="0041795A"/>
    <w:rsid w:val="00417A12"/>
    <w:rsid w:val="00417ABC"/>
    <w:rsid w:val="00417AC0"/>
    <w:rsid w:val="00417B88"/>
    <w:rsid w:val="00417CCD"/>
    <w:rsid w:val="00417CDB"/>
    <w:rsid w:val="00417EE5"/>
    <w:rsid w:val="00417EF6"/>
    <w:rsid w:val="00417EFF"/>
    <w:rsid w:val="00420318"/>
    <w:rsid w:val="00420372"/>
    <w:rsid w:val="004203D7"/>
    <w:rsid w:val="00420452"/>
    <w:rsid w:val="00420743"/>
    <w:rsid w:val="0042074F"/>
    <w:rsid w:val="00420764"/>
    <w:rsid w:val="004207C6"/>
    <w:rsid w:val="004207E6"/>
    <w:rsid w:val="004208A3"/>
    <w:rsid w:val="004208FB"/>
    <w:rsid w:val="00420A2F"/>
    <w:rsid w:val="00420B51"/>
    <w:rsid w:val="00420B82"/>
    <w:rsid w:val="00420B9A"/>
    <w:rsid w:val="00420C2E"/>
    <w:rsid w:val="00420CB6"/>
    <w:rsid w:val="00420CDF"/>
    <w:rsid w:val="00420CFB"/>
    <w:rsid w:val="00420D26"/>
    <w:rsid w:val="00420D4C"/>
    <w:rsid w:val="00420D51"/>
    <w:rsid w:val="00420DEF"/>
    <w:rsid w:val="00420E9F"/>
    <w:rsid w:val="00420FE2"/>
    <w:rsid w:val="00421054"/>
    <w:rsid w:val="0042106C"/>
    <w:rsid w:val="004210F7"/>
    <w:rsid w:val="00421151"/>
    <w:rsid w:val="00421160"/>
    <w:rsid w:val="0042116A"/>
    <w:rsid w:val="0042116D"/>
    <w:rsid w:val="00421282"/>
    <w:rsid w:val="0042132B"/>
    <w:rsid w:val="0042146F"/>
    <w:rsid w:val="00421488"/>
    <w:rsid w:val="004214BA"/>
    <w:rsid w:val="00421518"/>
    <w:rsid w:val="00421525"/>
    <w:rsid w:val="0042154A"/>
    <w:rsid w:val="004215EF"/>
    <w:rsid w:val="0042163C"/>
    <w:rsid w:val="00421A08"/>
    <w:rsid w:val="00421A35"/>
    <w:rsid w:val="00421AE6"/>
    <w:rsid w:val="00421B97"/>
    <w:rsid w:val="00421C91"/>
    <w:rsid w:val="00421CD7"/>
    <w:rsid w:val="00421CEE"/>
    <w:rsid w:val="00421D30"/>
    <w:rsid w:val="00421D5F"/>
    <w:rsid w:val="00421D78"/>
    <w:rsid w:val="00421D96"/>
    <w:rsid w:val="00421DD3"/>
    <w:rsid w:val="00421E80"/>
    <w:rsid w:val="00421EC1"/>
    <w:rsid w:val="00421F86"/>
    <w:rsid w:val="00422047"/>
    <w:rsid w:val="00422135"/>
    <w:rsid w:val="004221B2"/>
    <w:rsid w:val="00422214"/>
    <w:rsid w:val="00422233"/>
    <w:rsid w:val="004222A4"/>
    <w:rsid w:val="00422356"/>
    <w:rsid w:val="004224AB"/>
    <w:rsid w:val="0042260D"/>
    <w:rsid w:val="00422723"/>
    <w:rsid w:val="00422879"/>
    <w:rsid w:val="004228A5"/>
    <w:rsid w:val="004228A9"/>
    <w:rsid w:val="004228B4"/>
    <w:rsid w:val="00422A5A"/>
    <w:rsid w:val="00422A8F"/>
    <w:rsid w:val="00422AAA"/>
    <w:rsid w:val="00422C31"/>
    <w:rsid w:val="00422CCB"/>
    <w:rsid w:val="00422D1C"/>
    <w:rsid w:val="00422DB9"/>
    <w:rsid w:val="00422F07"/>
    <w:rsid w:val="004230C1"/>
    <w:rsid w:val="004231BD"/>
    <w:rsid w:val="00423215"/>
    <w:rsid w:val="00423284"/>
    <w:rsid w:val="00423359"/>
    <w:rsid w:val="0042338A"/>
    <w:rsid w:val="0042339E"/>
    <w:rsid w:val="0042354C"/>
    <w:rsid w:val="00423550"/>
    <w:rsid w:val="0042365B"/>
    <w:rsid w:val="004238A3"/>
    <w:rsid w:val="004238AB"/>
    <w:rsid w:val="004238C2"/>
    <w:rsid w:val="004238F3"/>
    <w:rsid w:val="00423934"/>
    <w:rsid w:val="00423B56"/>
    <w:rsid w:val="00423B75"/>
    <w:rsid w:val="00423BA8"/>
    <w:rsid w:val="00423C08"/>
    <w:rsid w:val="00423D44"/>
    <w:rsid w:val="00423D86"/>
    <w:rsid w:val="00423D8C"/>
    <w:rsid w:val="00423DF9"/>
    <w:rsid w:val="00423F03"/>
    <w:rsid w:val="00423F16"/>
    <w:rsid w:val="004240EF"/>
    <w:rsid w:val="004241B3"/>
    <w:rsid w:val="004243F2"/>
    <w:rsid w:val="00424454"/>
    <w:rsid w:val="00424687"/>
    <w:rsid w:val="004246A8"/>
    <w:rsid w:val="004246D7"/>
    <w:rsid w:val="004246F6"/>
    <w:rsid w:val="00424967"/>
    <w:rsid w:val="0042496A"/>
    <w:rsid w:val="00424A31"/>
    <w:rsid w:val="00424A58"/>
    <w:rsid w:val="00424AE2"/>
    <w:rsid w:val="00424B04"/>
    <w:rsid w:val="00424BB4"/>
    <w:rsid w:val="00424BE4"/>
    <w:rsid w:val="00424C6B"/>
    <w:rsid w:val="00424CD6"/>
    <w:rsid w:val="00424CE8"/>
    <w:rsid w:val="00424CFF"/>
    <w:rsid w:val="00425007"/>
    <w:rsid w:val="00425275"/>
    <w:rsid w:val="004252CE"/>
    <w:rsid w:val="0042530B"/>
    <w:rsid w:val="004253E6"/>
    <w:rsid w:val="0042544C"/>
    <w:rsid w:val="004254F2"/>
    <w:rsid w:val="0042550B"/>
    <w:rsid w:val="004256A3"/>
    <w:rsid w:val="004259DC"/>
    <w:rsid w:val="00425A5A"/>
    <w:rsid w:val="00425B0B"/>
    <w:rsid w:val="00425CA0"/>
    <w:rsid w:val="00425CC0"/>
    <w:rsid w:val="00425CDC"/>
    <w:rsid w:val="00425DA8"/>
    <w:rsid w:val="00425DB9"/>
    <w:rsid w:val="00425E08"/>
    <w:rsid w:val="00425E38"/>
    <w:rsid w:val="00426009"/>
    <w:rsid w:val="00426035"/>
    <w:rsid w:val="00426082"/>
    <w:rsid w:val="0042615A"/>
    <w:rsid w:val="0042618C"/>
    <w:rsid w:val="00426236"/>
    <w:rsid w:val="004262E3"/>
    <w:rsid w:val="004262F4"/>
    <w:rsid w:val="00426361"/>
    <w:rsid w:val="00426579"/>
    <w:rsid w:val="00426645"/>
    <w:rsid w:val="0042666E"/>
    <w:rsid w:val="00426686"/>
    <w:rsid w:val="0042676C"/>
    <w:rsid w:val="004267FB"/>
    <w:rsid w:val="0042688E"/>
    <w:rsid w:val="004268CD"/>
    <w:rsid w:val="00426928"/>
    <w:rsid w:val="0042695A"/>
    <w:rsid w:val="00426994"/>
    <w:rsid w:val="00426BA3"/>
    <w:rsid w:val="00426BDC"/>
    <w:rsid w:val="00426BE9"/>
    <w:rsid w:val="00426C59"/>
    <w:rsid w:val="00426E14"/>
    <w:rsid w:val="00426F7F"/>
    <w:rsid w:val="004270AB"/>
    <w:rsid w:val="00427134"/>
    <w:rsid w:val="0042717F"/>
    <w:rsid w:val="004273F3"/>
    <w:rsid w:val="00427411"/>
    <w:rsid w:val="00427425"/>
    <w:rsid w:val="00427536"/>
    <w:rsid w:val="004275FD"/>
    <w:rsid w:val="00427639"/>
    <w:rsid w:val="0042767F"/>
    <w:rsid w:val="004276DD"/>
    <w:rsid w:val="0042773C"/>
    <w:rsid w:val="00427A32"/>
    <w:rsid w:val="00427AAD"/>
    <w:rsid w:val="00427B68"/>
    <w:rsid w:val="00427CE5"/>
    <w:rsid w:val="00427D22"/>
    <w:rsid w:val="00427E48"/>
    <w:rsid w:val="00427EBA"/>
    <w:rsid w:val="00427F9E"/>
    <w:rsid w:val="004300F4"/>
    <w:rsid w:val="004301ED"/>
    <w:rsid w:val="00430383"/>
    <w:rsid w:val="0043044F"/>
    <w:rsid w:val="00430464"/>
    <w:rsid w:val="00430471"/>
    <w:rsid w:val="0043047A"/>
    <w:rsid w:val="00430531"/>
    <w:rsid w:val="004306D9"/>
    <w:rsid w:val="00430814"/>
    <w:rsid w:val="00430868"/>
    <w:rsid w:val="004308E7"/>
    <w:rsid w:val="00430A8C"/>
    <w:rsid w:val="00430C1E"/>
    <w:rsid w:val="00430EE4"/>
    <w:rsid w:val="00430F06"/>
    <w:rsid w:val="00430FBF"/>
    <w:rsid w:val="00431002"/>
    <w:rsid w:val="0043101A"/>
    <w:rsid w:val="00431065"/>
    <w:rsid w:val="00431094"/>
    <w:rsid w:val="004311BF"/>
    <w:rsid w:val="004313FD"/>
    <w:rsid w:val="0043147D"/>
    <w:rsid w:val="004314B2"/>
    <w:rsid w:val="00431601"/>
    <w:rsid w:val="004316DB"/>
    <w:rsid w:val="0043172E"/>
    <w:rsid w:val="0043173A"/>
    <w:rsid w:val="0043176D"/>
    <w:rsid w:val="004317B5"/>
    <w:rsid w:val="004317F3"/>
    <w:rsid w:val="00431A5F"/>
    <w:rsid w:val="00431B84"/>
    <w:rsid w:val="00431B9A"/>
    <w:rsid w:val="00431C28"/>
    <w:rsid w:val="00431D75"/>
    <w:rsid w:val="00431E65"/>
    <w:rsid w:val="00431EEF"/>
    <w:rsid w:val="00431F7C"/>
    <w:rsid w:val="00431FCA"/>
    <w:rsid w:val="00432057"/>
    <w:rsid w:val="00432163"/>
    <w:rsid w:val="00432218"/>
    <w:rsid w:val="004322B9"/>
    <w:rsid w:val="004323C2"/>
    <w:rsid w:val="0043245A"/>
    <w:rsid w:val="00432542"/>
    <w:rsid w:val="0043269F"/>
    <w:rsid w:val="004328C9"/>
    <w:rsid w:val="004328D5"/>
    <w:rsid w:val="00432973"/>
    <w:rsid w:val="00432979"/>
    <w:rsid w:val="00432A09"/>
    <w:rsid w:val="00432A83"/>
    <w:rsid w:val="00432AA1"/>
    <w:rsid w:val="00432AE9"/>
    <w:rsid w:val="00432B80"/>
    <w:rsid w:val="00432BF8"/>
    <w:rsid w:val="00432E11"/>
    <w:rsid w:val="00432E27"/>
    <w:rsid w:val="00432E8C"/>
    <w:rsid w:val="00432ED4"/>
    <w:rsid w:val="00432FC4"/>
    <w:rsid w:val="00433080"/>
    <w:rsid w:val="004330CD"/>
    <w:rsid w:val="0043311B"/>
    <w:rsid w:val="00433156"/>
    <w:rsid w:val="00433185"/>
    <w:rsid w:val="0043323C"/>
    <w:rsid w:val="0043340F"/>
    <w:rsid w:val="0043346B"/>
    <w:rsid w:val="004334A4"/>
    <w:rsid w:val="004335E5"/>
    <w:rsid w:val="0043364D"/>
    <w:rsid w:val="004336BE"/>
    <w:rsid w:val="004336E3"/>
    <w:rsid w:val="00433881"/>
    <w:rsid w:val="0043393A"/>
    <w:rsid w:val="0043397A"/>
    <w:rsid w:val="004339FD"/>
    <w:rsid w:val="00433A2D"/>
    <w:rsid w:val="00433B03"/>
    <w:rsid w:val="00433BBA"/>
    <w:rsid w:val="00433C57"/>
    <w:rsid w:val="00433E44"/>
    <w:rsid w:val="00433E49"/>
    <w:rsid w:val="00433E88"/>
    <w:rsid w:val="00433F2E"/>
    <w:rsid w:val="00433FC2"/>
    <w:rsid w:val="00434006"/>
    <w:rsid w:val="0043416A"/>
    <w:rsid w:val="004341DC"/>
    <w:rsid w:val="004341F3"/>
    <w:rsid w:val="00434238"/>
    <w:rsid w:val="00434291"/>
    <w:rsid w:val="00434368"/>
    <w:rsid w:val="004344CB"/>
    <w:rsid w:val="0043454F"/>
    <w:rsid w:val="0043455A"/>
    <w:rsid w:val="00434642"/>
    <w:rsid w:val="00434661"/>
    <w:rsid w:val="0043468D"/>
    <w:rsid w:val="00434699"/>
    <w:rsid w:val="004346B4"/>
    <w:rsid w:val="00434792"/>
    <w:rsid w:val="004347B9"/>
    <w:rsid w:val="004348A2"/>
    <w:rsid w:val="00434A3A"/>
    <w:rsid w:val="00434A9E"/>
    <w:rsid w:val="00434BAF"/>
    <w:rsid w:val="00434BE3"/>
    <w:rsid w:val="00434C81"/>
    <w:rsid w:val="00434CC7"/>
    <w:rsid w:val="00434F16"/>
    <w:rsid w:val="00434F26"/>
    <w:rsid w:val="00434FAD"/>
    <w:rsid w:val="00434FC3"/>
    <w:rsid w:val="00435022"/>
    <w:rsid w:val="00435026"/>
    <w:rsid w:val="004350B7"/>
    <w:rsid w:val="004350F5"/>
    <w:rsid w:val="0043517A"/>
    <w:rsid w:val="00435188"/>
    <w:rsid w:val="004351A3"/>
    <w:rsid w:val="004351A7"/>
    <w:rsid w:val="0043526C"/>
    <w:rsid w:val="00435282"/>
    <w:rsid w:val="004352B9"/>
    <w:rsid w:val="004352D0"/>
    <w:rsid w:val="00435321"/>
    <w:rsid w:val="00435332"/>
    <w:rsid w:val="0043534A"/>
    <w:rsid w:val="0043539F"/>
    <w:rsid w:val="00435414"/>
    <w:rsid w:val="0043541A"/>
    <w:rsid w:val="004354E6"/>
    <w:rsid w:val="00435547"/>
    <w:rsid w:val="00435555"/>
    <w:rsid w:val="00435565"/>
    <w:rsid w:val="004356A1"/>
    <w:rsid w:val="0043579B"/>
    <w:rsid w:val="004357CB"/>
    <w:rsid w:val="004358E3"/>
    <w:rsid w:val="0043591E"/>
    <w:rsid w:val="00435922"/>
    <w:rsid w:val="0043596F"/>
    <w:rsid w:val="00435978"/>
    <w:rsid w:val="00435AA0"/>
    <w:rsid w:val="00435AC2"/>
    <w:rsid w:val="00435B32"/>
    <w:rsid w:val="00435B36"/>
    <w:rsid w:val="00435C0F"/>
    <w:rsid w:val="00435C77"/>
    <w:rsid w:val="00435CAE"/>
    <w:rsid w:val="00435D49"/>
    <w:rsid w:val="00435D80"/>
    <w:rsid w:val="00435DFE"/>
    <w:rsid w:val="00435E87"/>
    <w:rsid w:val="00435E9C"/>
    <w:rsid w:val="00435F94"/>
    <w:rsid w:val="004361DD"/>
    <w:rsid w:val="0043620C"/>
    <w:rsid w:val="004362E3"/>
    <w:rsid w:val="00436377"/>
    <w:rsid w:val="00436398"/>
    <w:rsid w:val="004363B0"/>
    <w:rsid w:val="004363D6"/>
    <w:rsid w:val="00436480"/>
    <w:rsid w:val="004364A6"/>
    <w:rsid w:val="00436534"/>
    <w:rsid w:val="00436535"/>
    <w:rsid w:val="0043658E"/>
    <w:rsid w:val="004365C8"/>
    <w:rsid w:val="004367D0"/>
    <w:rsid w:val="00436836"/>
    <w:rsid w:val="00436A79"/>
    <w:rsid w:val="00436C04"/>
    <w:rsid w:val="00436D45"/>
    <w:rsid w:val="00436D64"/>
    <w:rsid w:val="00436D8A"/>
    <w:rsid w:val="0043706E"/>
    <w:rsid w:val="004373EE"/>
    <w:rsid w:val="00437551"/>
    <w:rsid w:val="004376E9"/>
    <w:rsid w:val="0043775C"/>
    <w:rsid w:val="00437790"/>
    <w:rsid w:val="0043787E"/>
    <w:rsid w:val="00437909"/>
    <w:rsid w:val="004379F2"/>
    <w:rsid w:val="00437AF0"/>
    <w:rsid w:val="00437B3D"/>
    <w:rsid w:val="00437C73"/>
    <w:rsid w:val="00437C7B"/>
    <w:rsid w:val="00437D6D"/>
    <w:rsid w:val="00437D7F"/>
    <w:rsid w:val="00437E44"/>
    <w:rsid w:val="00437F1C"/>
    <w:rsid w:val="0044000F"/>
    <w:rsid w:val="0044002C"/>
    <w:rsid w:val="004400AA"/>
    <w:rsid w:val="004400D4"/>
    <w:rsid w:val="00440149"/>
    <w:rsid w:val="00440161"/>
    <w:rsid w:val="0044020A"/>
    <w:rsid w:val="0044020B"/>
    <w:rsid w:val="004402B4"/>
    <w:rsid w:val="004402D5"/>
    <w:rsid w:val="004402F4"/>
    <w:rsid w:val="00440393"/>
    <w:rsid w:val="00440548"/>
    <w:rsid w:val="00440767"/>
    <w:rsid w:val="004407B7"/>
    <w:rsid w:val="00440868"/>
    <w:rsid w:val="004408B2"/>
    <w:rsid w:val="004408CC"/>
    <w:rsid w:val="004408F1"/>
    <w:rsid w:val="0044096C"/>
    <w:rsid w:val="00440A24"/>
    <w:rsid w:val="00440A5B"/>
    <w:rsid w:val="00440B75"/>
    <w:rsid w:val="00440BCB"/>
    <w:rsid w:val="00440C02"/>
    <w:rsid w:val="00440CB8"/>
    <w:rsid w:val="00440CD4"/>
    <w:rsid w:val="00440D33"/>
    <w:rsid w:val="00440D55"/>
    <w:rsid w:val="00440FB0"/>
    <w:rsid w:val="00440FD5"/>
    <w:rsid w:val="0044103B"/>
    <w:rsid w:val="00441057"/>
    <w:rsid w:val="004410C5"/>
    <w:rsid w:val="00441168"/>
    <w:rsid w:val="0044117D"/>
    <w:rsid w:val="004411A4"/>
    <w:rsid w:val="004411DC"/>
    <w:rsid w:val="00441460"/>
    <w:rsid w:val="0044151C"/>
    <w:rsid w:val="0044154F"/>
    <w:rsid w:val="004415E2"/>
    <w:rsid w:val="004415E8"/>
    <w:rsid w:val="004415F9"/>
    <w:rsid w:val="0044182E"/>
    <w:rsid w:val="00441922"/>
    <w:rsid w:val="0044195D"/>
    <w:rsid w:val="00441A2F"/>
    <w:rsid w:val="00441A53"/>
    <w:rsid w:val="00441A79"/>
    <w:rsid w:val="00441B72"/>
    <w:rsid w:val="00441BE0"/>
    <w:rsid w:val="00441C19"/>
    <w:rsid w:val="00441CCA"/>
    <w:rsid w:val="00441CCE"/>
    <w:rsid w:val="00441D6E"/>
    <w:rsid w:val="00441E04"/>
    <w:rsid w:val="00442014"/>
    <w:rsid w:val="00442055"/>
    <w:rsid w:val="00442097"/>
    <w:rsid w:val="004420F4"/>
    <w:rsid w:val="0044252E"/>
    <w:rsid w:val="0044257B"/>
    <w:rsid w:val="00442634"/>
    <w:rsid w:val="00442732"/>
    <w:rsid w:val="00442762"/>
    <w:rsid w:val="0044283C"/>
    <w:rsid w:val="004428A3"/>
    <w:rsid w:val="004429FC"/>
    <w:rsid w:val="00442A96"/>
    <w:rsid w:val="00442AE2"/>
    <w:rsid w:val="00442CBD"/>
    <w:rsid w:val="00442CC6"/>
    <w:rsid w:val="00442CE1"/>
    <w:rsid w:val="00442D93"/>
    <w:rsid w:val="00442DFD"/>
    <w:rsid w:val="00442E17"/>
    <w:rsid w:val="00442E8D"/>
    <w:rsid w:val="00442EA5"/>
    <w:rsid w:val="00442EEA"/>
    <w:rsid w:val="00442F2F"/>
    <w:rsid w:val="00442F3F"/>
    <w:rsid w:val="00442F76"/>
    <w:rsid w:val="00442FDA"/>
    <w:rsid w:val="0044302E"/>
    <w:rsid w:val="0044308C"/>
    <w:rsid w:val="004430ED"/>
    <w:rsid w:val="004431AD"/>
    <w:rsid w:val="00443265"/>
    <w:rsid w:val="0044332A"/>
    <w:rsid w:val="00443382"/>
    <w:rsid w:val="004433D0"/>
    <w:rsid w:val="00443406"/>
    <w:rsid w:val="00443425"/>
    <w:rsid w:val="004434C7"/>
    <w:rsid w:val="00443527"/>
    <w:rsid w:val="004435B6"/>
    <w:rsid w:val="004435CF"/>
    <w:rsid w:val="004435D9"/>
    <w:rsid w:val="0044373B"/>
    <w:rsid w:val="0044374F"/>
    <w:rsid w:val="0044376A"/>
    <w:rsid w:val="0044379E"/>
    <w:rsid w:val="00443912"/>
    <w:rsid w:val="0044394D"/>
    <w:rsid w:val="00443A43"/>
    <w:rsid w:val="00443B9C"/>
    <w:rsid w:val="00443DA3"/>
    <w:rsid w:val="00443E53"/>
    <w:rsid w:val="00443E71"/>
    <w:rsid w:val="00443FAD"/>
    <w:rsid w:val="00443FE7"/>
    <w:rsid w:val="004440B6"/>
    <w:rsid w:val="004441B0"/>
    <w:rsid w:val="0044425A"/>
    <w:rsid w:val="004442E8"/>
    <w:rsid w:val="00444336"/>
    <w:rsid w:val="004444E7"/>
    <w:rsid w:val="004445F5"/>
    <w:rsid w:val="0044463F"/>
    <w:rsid w:val="00444710"/>
    <w:rsid w:val="0044474E"/>
    <w:rsid w:val="004447C7"/>
    <w:rsid w:val="00444BF6"/>
    <w:rsid w:val="00444C4D"/>
    <w:rsid w:val="00444C56"/>
    <w:rsid w:val="00444CFB"/>
    <w:rsid w:val="00444D28"/>
    <w:rsid w:val="00444E3A"/>
    <w:rsid w:val="00444E5B"/>
    <w:rsid w:val="00444F94"/>
    <w:rsid w:val="00445059"/>
    <w:rsid w:val="004450D3"/>
    <w:rsid w:val="00445112"/>
    <w:rsid w:val="004451C5"/>
    <w:rsid w:val="004451C6"/>
    <w:rsid w:val="004451E7"/>
    <w:rsid w:val="004452BE"/>
    <w:rsid w:val="004452C5"/>
    <w:rsid w:val="00445383"/>
    <w:rsid w:val="004455EF"/>
    <w:rsid w:val="004457DF"/>
    <w:rsid w:val="0044584B"/>
    <w:rsid w:val="0044584F"/>
    <w:rsid w:val="0044589A"/>
    <w:rsid w:val="004458BC"/>
    <w:rsid w:val="004458BE"/>
    <w:rsid w:val="00445942"/>
    <w:rsid w:val="004459F8"/>
    <w:rsid w:val="00445B29"/>
    <w:rsid w:val="00445B57"/>
    <w:rsid w:val="00445C45"/>
    <w:rsid w:val="00445CBE"/>
    <w:rsid w:val="00445CF8"/>
    <w:rsid w:val="00445D4B"/>
    <w:rsid w:val="00445E20"/>
    <w:rsid w:val="00445E8E"/>
    <w:rsid w:val="00445EEE"/>
    <w:rsid w:val="00445F8F"/>
    <w:rsid w:val="00445FBB"/>
    <w:rsid w:val="0044609E"/>
    <w:rsid w:val="004460C4"/>
    <w:rsid w:val="0044611B"/>
    <w:rsid w:val="004462FC"/>
    <w:rsid w:val="0044639C"/>
    <w:rsid w:val="00446450"/>
    <w:rsid w:val="004464CD"/>
    <w:rsid w:val="004464E9"/>
    <w:rsid w:val="00446506"/>
    <w:rsid w:val="00446581"/>
    <w:rsid w:val="00446659"/>
    <w:rsid w:val="00446743"/>
    <w:rsid w:val="004468AD"/>
    <w:rsid w:val="00446965"/>
    <w:rsid w:val="00446B1A"/>
    <w:rsid w:val="00446B49"/>
    <w:rsid w:val="00446CB4"/>
    <w:rsid w:val="00446DB9"/>
    <w:rsid w:val="00446FE1"/>
    <w:rsid w:val="0044705F"/>
    <w:rsid w:val="0044706E"/>
    <w:rsid w:val="004470AE"/>
    <w:rsid w:val="004471A9"/>
    <w:rsid w:val="00447214"/>
    <w:rsid w:val="004472B6"/>
    <w:rsid w:val="0044733A"/>
    <w:rsid w:val="0044733D"/>
    <w:rsid w:val="0044736B"/>
    <w:rsid w:val="00447588"/>
    <w:rsid w:val="0044763A"/>
    <w:rsid w:val="004476B3"/>
    <w:rsid w:val="004476B7"/>
    <w:rsid w:val="0044775A"/>
    <w:rsid w:val="0044778B"/>
    <w:rsid w:val="004477C3"/>
    <w:rsid w:val="004477CA"/>
    <w:rsid w:val="004477EF"/>
    <w:rsid w:val="00447830"/>
    <w:rsid w:val="004479E8"/>
    <w:rsid w:val="00447A03"/>
    <w:rsid w:val="00447AA6"/>
    <w:rsid w:val="00447ACE"/>
    <w:rsid w:val="00447B13"/>
    <w:rsid w:val="00447B14"/>
    <w:rsid w:val="00447BAC"/>
    <w:rsid w:val="00447BCA"/>
    <w:rsid w:val="00447C13"/>
    <w:rsid w:val="00447CD0"/>
    <w:rsid w:val="00447D88"/>
    <w:rsid w:val="00447E3D"/>
    <w:rsid w:val="00447E4B"/>
    <w:rsid w:val="004500FD"/>
    <w:rsid w:val="00450395"/>
    <w:rsid w:val="004503A4"/>
    <w:rsid w:val="004505B3"/>
    <w:rsid w:val="004505EB"/>
    <w:rsid w:val="00450639"/>
    <w:rsid w:val="00450683"/>
    <w:rsid w:val="0045070F"/>
    <w:rsid w:val="00450764"/>
    <w:rsid w:val="0045076D"/>
    <w:rsid w:val="00450787"/>
    <w:rsid w:val="004507D4"/>
    <w:rsid w:val="0045084C"/>
    <w:rsid w:val="0045087A"/>
    <w:rsid w:val="00450BEA"/>
    <w:rsid w:val="00450C1C"/>
    <w:rsid w:val="00450CC0"/>
    <w:rsid w:val="00450DE1"/>
    <w:rsid w:val="00450EB3"/>
    <w:rsid w:val="00450F13"/>
    <w:rsid w:val="00450F29"/>
    <w:rsid w:val="0045104B"/>
    <w:rsid w:val="004510D3"/>
    <w:rsid w:val="004510E4"/>
    <w:rsid w:val="00451123"/>
    <w:rsid w:val="0045125A"/>
    <w:rsid w:val="00451285"/>
    <w:rsid w:val="004512E6"/>
    <w:rsid w:val="004512EA"/>
    <w:rsid w:val="00451355"/>
    <w:rsid w:val="00451651"/>
    <w:rsid w:val="00451671"/>
    <w:rsid w:val="00451765"/>
    <w:rsid w:val="004517CB"/>
    <w:rsid w:val="00451822"/>
    <w:rsid w:val="004518A8"/>
    <w:rsid w:val="0045193B"/>
    <w:rsid w:val="00451B0A"/>
    <w:rsid w:val="00451C87"/>
    <w:rsid w:val="00451E83"/>
    <w:rsid w:val="00451F1E"/>
    <w:rsid w:val="00452020"/>
    <w:rsid w:val="0045202B"/>
    <w:rsid w:val="0045204A"/>
    <w:rsid w:val="004520DC"/>
    <w:rsid w:val="004521DC"/>
    <w:rsid w:val="0045230B"/>
    <w:rsid w:val="00452386"/>
    <w:rsid w:val="004525AC"/>
    <w:rsid w:val="00452601"/>
    <w:rsid w:val="00452611"/>
    <w:rsid w:val="00452686"/>
    <w:rsid w:val="004527B0"/>
    <w:rsid w:val="00452860"/>
    <w:rsid w:val="0045290D"/>
    <w:rsid w:val="00452A52"/>
    <w:rsid w:val="00452AE1"/>
    <w:rsid w:val="00452B5C"/>
    <w:rsid w:val="00452CBB"/>
    <w:rsid w:val="00452CCB"/>
    <w:rsid w:val="00452CD6"/>
    <w:rsid w:val="00452DBF"/>
    <w:rsid w:val="00452DF9"/>
    <w:rsid w:val="00452E96"/>
    <w:rsid w:val="00452E9C"/>
    <w:rsid w:val="00452F51"/>
    <w:rsid w:val="00452F86"/>
    <w:rsid w:val="00452FD0"/>
    <w:rsid w:val="00452FE8"/>
    <w:rsid w:val="00453027"/>
    <w:rsid w:val="00453037"/>
    <w:rsid w:val="004530B6"/>
    <w:rsid w:val="004530BE"/>
    <w:rsid w:val="00453173"/>
    <w:rsid w:val="004531A0"/>
    <w:rsid w:val="004531C0"/>
    <w:rsid w:val="004531DC"/>
    <w:rsid w:val="00453443"/>
    <w:rsid w:val="0045361D"/>
    <w:rsid w:val="0045362D"/>
    <w:rsid w:val="0045369F"/>
    <w:rsid w:val="004538F7"/>
    <w:rsid w:val="00453BBF"/>
    <w:rsid w:val="00453CA3"/>
    <w:rsid w:val="00453D54"/>
    <w:rsid w:val="00453E2D"/>
    <w:rsid w:val="00453E50"/>
    <w:rsid w:val="00453EDF"/>
    <w:rsid w:val="004540C0"/>
    <w:rsid w:val="0045419B"/>
    <w:rsid w:val="00454230"/>
    <w:rsid w:val="0045430D"/>
    <w:rsid w:val="0045439D"/>
    <w:rsid w:val="0045450F"/>
    <w:rsid w:val="00454532"/>
    <w:rsid w:val="00454604"/>
    <w:rsid w:val="0045462B"/>
    <w:rsid w:val="00454654"/>
    <w:rsid w:val="00454660"/>
    <w:rsid w:val="0045469B"/>
    <w:rsid w:val="0045470D"/>
    <w:rsid w:val="00454756"/>
    <w:rsid w:val="004548BD"/>
    <w:rsid w:val="004548FC"/>
    <w:rsid w:val="00454A03"/>
    <w:rsid w:val="00454A59"/>
    <w:rsid w:val="00454A89"/>
    <w:rsid w:val="00454AC4"/>
    <w:rsid w:val="00454AF8"/>
    <w:rsid w:val="00454BA7"/>
    <w:rsid w:val="00454C4B"/>
    <w:rsid w:val="00454D53"/>
    <w:rsid w:val="004550D6"/>
    <w:rsid w:val="00455189"/>
    <w:rsid w:val="004551B2"/>
    <w:rsid w:val="004551D5"/>
    <w:rsid w:val="004552DA"/>
    <w:rsid w:val="004553A0"/>
    <w:rsid w:val="00455431"/>
    <w:rsid w:val="00455627"/>
    <w:rsid w:val="004556E8"/>
    <w:rsid w:val="00455727"/>
    <w:rsid w:val="004558AC"/>
    <w:rsid w:val="004558CF"/>
    <w:rsid w:val="00455992"/>
    <w:rsid w:val="004559C6"/>
    <w:rsid w:val="00455A78"/>
    <w:rsid w:val="00455A80"/>
    <w:rsid w:val="00455AAF"/>
    <w:rsid w:val="00455BC2"/>
    <w:rsid w:val="00455CE7"/>
    <w:rsid w:val="00455D3E"/>
    <w:rsid w:val="00455D43"/>
    <w:rsid w:val="00455E3A"/>
    <w:rsid w:val="00455F3C"/>
    <w:rsid w:val="00455F82"/>
    <w:rsid w:val="00455F86"/>
    <w:rsid w:val="00455F9A"/>
    <w:rsid w:val="00456005"/>
    <w:rsid w:val="004560B2"/>
    <w:rsid w:val="004560D3"/>
    <w:rsid w:val="00456211"/>
    <w:rsid w:val="00456272"/>
    <w:rsid w:val="00456346"/>
    <w:rsid w:val="004563DE"/>
    <w:rsid w:val="0045654B"/>
    <w:rsid w:val="004565AC"/>
    <w:rsid w:val="004565DD"/>
    <w:rsid w:val="004566C8"/>
    <w:rsid w:val="00456713"/>
    <w:rsid w:val="00456786"/>
    <w:rsid w:val="00456874"/>
    <w:rsid w:val="00456916"/>
    <w:rsid w:val="0045692B"/>
    <w:rsid w:val="0045693C"/>
    <w:rsid w:val="00456976"/>
    <w:rsid w:val="004569A8"/>
    <w:rsid w:val="004569C1"/>
    <w:rsid w:val="00456A13"/>
    <w:rsid w:val="00456A86"/>
    <w:rsid w:val="00456A91"/>
    <w:rsid w:val="00456AA4"/>
    <w:rsid w:val="00456B14"/>
    <w:rsid w:val="00456B3C"/>
    <w:rsid w:val="00456B92"/>
    <w:rsid w:val="00456C53"/>
    <w:rsid w:val="00456C9D"/>
    <w:rsid w:val="00456DC7"/>
    <w:rsid w:val="00456DEB"/>
    <w:rsid w:val="00456E08"/>
    <w:rsid w:val="00457223"/>
    <w:rsid w:val="00457276"/>
    <w:rsid w:val="004572F7"/>
    <w:rsid w:val="00457335"/>
    <w:rsid w:val="004573DC"/>
    <w:rsid w:val="0045749C"/>
    <w:rsid w:val="004574B3"/>
    <w:rsid w:val="004574C1"/>
    <w:rsid w:val="004574F0"/>
    <w:rsid w:val="0045753B"/>
    <w:rsid w:val="004575DB"/>
    <w:rsid w:val="00457749"/>
    <w:rsid w:val="00457789"/>
    <w:rsid w:val="00457792"/>
    <w:rsid w:val="00457809"/>
    <w:rsid w:val="0045797E"/>
    <w:rsid w:val="004579D6"/>
    <w:rsid w:val="00457A3E"/>
    <w:rsid w:val="00457A5A"/>
    <w:rsid w:val="00457A8C"/>
    <w:rsid w:val="00457B22"/>
    <w:rsid w:val="00457B9A"/>
    <w:rsid w:val="00457BC8"/>
    <w:rsid w:val="00457BEE"/>
    <w:rsid w:val="00457C72"/>
    <w:rsid w:val="00457D05"/>
    <w:rsid w:val="00457D28"/>
    <w:rsid w:val="00457D44"/>
    <w:rsid w:val="00457DBD"/>
    <w:rsid w:val="00457F11"/>
    <w:rsid w:val="004600ED"/>
    <w:rsid w:val="004601CD"/>
    <w:rsid w:val="004601EF"/>
    <w:rsid w:val="00460224"/>
    <w:rsid w:val="00460289"/>
    <w:rsid w:val="004602FB"/>
    <w:rsid w:val="00460449"/>
    <w:rsid w:val="00460575"/>
    <w:rsid w:val="00460699"/>
    <w:rsid w:val="004606B9"/>
    <w:rsid w:val="00460759"/>
    <w:rsid w:val="0046081F"/>
    <w:rsid w:val="00460863"/>
    <w:rsid w:val="004609B1"/>
    <w:rsid w:val="00460A2D"/>
    <w:rsid w:val="00460AA4"/>
    <w:rsid w:val="00460AC8"/>
    <w:rsid w:val="00460B0B"/>
    <w:rsid w:val="00460B89"/>
    <w:rsid w:val="00460BD2"/>
    <w:rsid w:val="00460BDF"/>
    <w:rsid w:val="00460C70"/>
    <w:rsid w:val="00460D37"/>
    <w:rsid w:val="00460DB5"/>
    <w:rsid w:val="00460EA1"/>
    <w:rsid w:val="00460EBB"/>
    <w:rsid w:val="00460EEE"/>
    <w:rsid w:val="00460EF2"/>
    <w:rsid w:val="00460F05"/>
    <w:rsid w:val="00460F70"/>
    <w:rsid w:val="00460FAB"/>
    <w:rsid w:val="0046109C"/>
    <w:rsid w:val="004610D1"/>
    <w:rsid w:val="004611DD"/>
    <w:rsid w:val="004611F0"/>
    <w:rsid w:val="004612D8"/>
    <w:rsid w:val="004613B5"/>
    <w:rsid w:val="00461427"/>
    <w:rsid w:val="004614CD"/>
    <w:rsid w:val="004614EB"/>
    <w:rsid w:val="004615E3"/>
    <w:rsid w:val="00461629"/>
    <w:rsid w:val="004616A8"/>
    <w:rsid w:val="00461724"/>
    <w:rsid w:val="00461730"/>
    <w:rsid w:val="004617D3"/>
    <w:rsid w:val="00461812"/>
    <w:rsid w:val="00461826"/>
    <w:rsid w:val="00461901"/>
    <w:rsid w:val="00461935"/>
    <w:rsid w:val="0046197C"/>
    <w:rsid w:val="0046198D"/>
    <w:rsid w:val="004619AB"/>
    <w:rsid w:val="00461B62"/>
    <w:rsid w:val="00461BC0"/>
    <w:rsid w:val="00461C20"/>
    <w:rsid w:val="00461C3F"/>
    <w:rsid w:val="00461E0D"/>
    <w:rsid w:val="00461E27"/>
    <w:rsid w:val="00461E98"/>
    <w:rsid w:val="00461EC9"/>
    <w:rsid w:val="00461F88"/>
    <w:rsid w:val="00462037"/>
    <w:rsid w:val="00462142"/>
    <w:rsid w:val="00462162"/>
    <w:rsid w:val="004622A0"/>
    <w:rsid w:val="00462338"/>
    <w:rsid w:val="00462490"/>
    <w:rsid w:val="004624D2"/>
    <w:rsid w:val="004624E3"/>
    <w:rsid w:val="0046253D"/>
    <w:rsid w:val="004626B1"/>
    <w:rsid w:val="004626E5"/>
    <w:rsid w:val="00462790"/>
    <w:rsid w:val="004627C7"/>
    <w:rsid w:val="0046294B"/>
    <w:rsid w:val="00462970"/>
    <w:rsid w:val="00462A01"/>
    <w:rsid w:val="00462A3B"/>
    <w:rsid w:val="00462B1A"/>
    <w:rsid w:val="00462B1D"/>
    <w:rsid w:val="00462B50"/>
    <w:rsid w:val="00462C8E"/>
    <w:rsid w:val="00462E3B"/>
    <w:rsid w:val="00462F1B"/>
    <w:rsid w:val="00462F37"/>
    <w:rsid w:val="00463093"/>
    <w:rsid w:val="004630DC"/>
    <w:rsid w:val="004630E3"/>
    <w:rsid w:val="004630E4"/>
    <w:rsid w:val="0046318B"/>
    <w:rsid w:val="00463200"/>
    <w:rsid w:val="0046321B"/>
    <w:rsid w:val="004633DD"/>
    <w:rsid w:val="004634FA"/>
    <w:rsid w:val="00463546"/>
    <w:rsid w:val="00463557"/>
    <w:rsid w:val="00463623"/>
    <w:rsid w:val="00463628"/>
    <w:rsid w:val="00463664"/>
    <w:rsid w:val="004636CB"/>
    <w:rsid w:val="0046370D"/>
    <w:rsid w:val="00463818"/>
    <w:rsid w:val="00463895"/>
    <w:rsid w:val="004638AD"/>
    <w:rsid w:val="00463976"/>
    <w:rsid w:val="004639A9"/>
    <w:rsid w:val="004639AF"/>
    <w:rsid w:val="004639D0"/>
    <w:rsid w:val="00463ADB"/>
    <w:rsid w:val="00463C11"/>
    <w:rsid w:val="00463D11"/>
    <w:rsid w:val="00463E8B"/>
    <w:rsid w:val="00463E95"/>
    <w:rsid w:val="00463EC3"/>
    <w:rsid w:val="00463FC1"/>
    <w:rsid w:val="00463FD5"/>
    <w:rsid w:val="0046404F"/>
    <w:rsid w:val="00464054"/>
    <w:rsid w:val="00464214"/>
    <w:rsid w:val="0046422F"/>
    <w:rsid w:val="004642BB"/>
    <w:rsid w:val="00464302"/>
    <w:rsid w:val="00464416"/>
    <w:rsid w:val="0046453E"/>
    <w:rsid w:val="004645B3"/>
    <w:rsid w:val="004646B4"/>
    <w:rsid w:val="00464751"/>
    <w:rsid w:val="004647F8"/>
    <w:rsid w:val="00464968"/>
    <w:rsid w:val="004649CC"/>
    <w:rsid w:val="00464A26"/>
    <w:rsid w:val="00464A39"/>
    <w:rsid w:val="00464EB3"/>
    <w:rsid w:val="00464FEE"/>
    <w:rsid w:val="004650DD"/>
    <w:rsid w:val="004653CF"/>
    <w:rsid w:val="0046545E"/>
    <w:rsid w:val="0046553B"/>
    <w:rsid w:val="0046558A"/>
    <w:rsid w:val="0046560D"/>
    <w:rsid w:val="0046575B"/>
    <w:rsid w:val="004659BC"/>
    <w:rsid w:val="00465A28"/>
    <w:rsid w:val="00465A3A"/>
    <w:rsid w:val="00465A5F"/>
    <w:rsid w:val="00465A74"/>
    <w:rsid w:val="00465A86"/>
    <w:rsid w:val="00465B15"/>
    <w:rsid w:val="00465B91"/>
    <w:rsid w:val="00465BA5"/>
    <w:rsid w:val="00465C5E"/>
    <w:rsid w:val="00465C6C"/>
    <w:rsid w:val="00465CB3"/>
    <w:rsid w:val="00465CCC"/>
    <w:rsid w:val="00465D06"/>
    <w:rsid w:val="0046621B"/>
    <w:rsid w:val="00466312"/>
    <w:rsid w:val="00466363"/>
    <w:rsid w:val="004663E6"/>
    <w:rsid w:val="00466538"/>
    <w:rsid w:val="004666F4"/>
    <w:rsid w:val="004666F6"/>
    <w:rsid w:val="0046674D"/>
    <w:rsid w:val="00466765"/>
    <w:rsid w:val="00466A4B"/>
    <w:rsid w:val="00466A4C"/>
    <w:rsid w:val="00466A80"/>
    <w:rsid w:val="00466B3F"/>
    <w:rsid w:val="00466D86"/>
    <w:rsid w:val="00466D90"/>
    <w:rsid w:val="00466EC3"/>
    <w:rsid w:val="00466ED0"/>
    <w:rsid w:val="00466F60"/>
    <w:rsid w:val="00466FAC"/>
    <w:rsid w:val="00467114"/>
    <w:rsid w:val="00467159"/>
    <w:rsid w:val="00467167"/>
    <w:rsid w:val="004671D8"/>
    <w:rsid w:val="00467555"/>
    <w:rsid w:val="00467667"/>
    <w:rsid w:val="00467675"/>
    <w:rsid w:val="004676F1"/>
    <w:rsid w:val="004677F3"/>
    <w:rsid w:val="0046784C"/>
    <w:rsid w:val="00467870"/>
    <w:rsid w:val="004679AE"/>
    <w:rsid w:val="004679F4"/>
    <w:rsid w:val="00467A84"/>
    <w:rsid w:val="00467AD7"/>
    <w:rsid w:val="00467B74"/>
    <w:rsid w:val="00467BE5"/>
    <w:rsid w:val="00467BFC"/>
    <w:rsid w:val="00467D04"/>
    <w:rsid w:val="00467D71"/>
    <w:rsid w:val="00467E65"/>
    <w:rsid w:val="00467EA7"/>
    <w:rsid w:val="00467F2C"/>
    <w:rsid w:val="00467FB9"/>
    <w:rsid w:val="0047001B"/>
    <w:rsid w:val="00470069"/>
    <w:rsid w:val="00470077"/>
    <w:rsid w:val="0047009B"/>
    <w:rsid w:val="00470349"/>
    <w:rsid w:val="00470357"/>
    <w:rsid w:val="00470456"/>
    <w:rsid w:val="0047060E"/>
    <w:rsid w:val="00470777"/>
    <w:rsid w:val="00470BFA"/>
    <w:rsid w:val="00470C0B"/>
    <w:rsid w:val="00470D08"/>
    <w:rsid w:val="00470D6C"/>
    <w:rsid w:val="00470E0E"/>
    <w:rsid w:val="00470E1A"/>
    <w:rsid w:val="00470E91"/>
    <w:rsid w:val="00470F75"/>
    <w:rsid w:val="004710E3"/>
    <w:rsid w:val="00471252"/>
    <w:rsid w:val="004712A5"/>
    <w:rsid w:val="00471327"/>
    <w:rsid w:val="0047139F"/>
    <w:rsid w:val="004713A1"/>
    <w:rsid w:val="00471456"/>
    <w:rsid w:val="0047145C"/>
    <w:rsid w:val="004714A5"/>
    <w:rsid w:val="004714D6"/>
    <w:rsid w:val="004714DE"/>
    <w:rsid w:val="004715FF"/>
    <w:rsid w:val="00471668"/>
    <w:rsid w:val="00471741"/>
    <w:rsid w:val="00471898"/>
    <w:rsid w:val="004719D3"/>
    <w:rsid w:val="00471A53"/>
    <w:rsid w:val="00471A8B"/>
    <w:rsid w:val="00471BAB"/>
    <w:rsid w:val="00471C30"/>
    <w:rsid w:val="00471DB5"/>
    <w:rsid w:val="00471F29"/>
    <w:rsid w:val="00471FC2"/>
    <w:rsid w:val="00472004"/>
    <w:rsid w:val="004720C4"/>
    <w:rsid w:val="00472171"/>
    <w:rsid w:val="00472271"/>
    <w:rsid w:val="004722AD"/>
    <w:rsid w:val="0047234B"/>
    <w:rsid w:val="00472419"/>
    <w:rsid w:val="00472426"/>
    <w:rsid w:val="0047247C"/>
    <w:rsid w:val="004725C0"/>
    <w:rsid w:val="0047261D"/>
    <w:rsid w:val="004726AA"/>
    <w:rsid w:val="004727E7"/>
    <w:rsid w:val="00472853"/>
    <w:rsid w:val="00472954"/>
    <w:rsid w:val="00472978"/>
    <w:rsid w:val="00472B53"/>
    <w:rsid w:val="00472B6C"/>
    <w:rsid w:val="00472C37"/>
    <w:rsid w:val="00472CDC"/>
    <w:rsid w:val="00472D37"/>
    <w:rsid w:val="00472D45"/>
    <w:rsid w:val="00472D4E"/>
    <w:rsid w:val="00472DAA"/>
    <w:rsid w:val="0047305B"/>
    <w:rsid w:val="004730A0"/>
    <w:rsid w:val="00473181"/>
    <w:rsid w:val="0047325F"/>
    <w:rsid w:val="004732A1"/>
    <w:rsid w:val="004733D2"/>
    <w:rsid w:val="004734B5"/>
    <w:rsid w:val="00473545"/>
    <w:rsid w:val="0047357A"/>
    <w:rsid w:val="0047376D"/>
    <w:rsid w:val="00473782"/>
    <w:rsid w:val="00473876"/>
    <w:rsid w:val="00473AAF"/>
    <w:rsid w:val="00473B12"/>
    <w:rsid w:val="00473B2A"/>
    <w:rsid w:val="00473C45"/>
    <w:rsid w:val="00473DB5"/>
    <w:rsid w:val="00473DD2"/>
    <w:rsid w:val="00473DF5"/>
    <w:rsid w:val="00473E8F"/>
    <w:rsid w:val="00473FF0"/>
    <w:rsid w:val="0047402E"/>
    <w:rsid w:val="00474075"/>
    <w:rsid w:val="004740C4"/>
    <w:rsid w:val="004740C7"/>
    <w:rsid w:val="004740DF"/>
    <w:rsid w:val="00474191"/>
    <w:rsid w:val="0047419A"/>
    <w:rsid w:val="00474263"/>
    <w:rsid w:val="0047427D"/>
    <w:rsid w:val="00474701"/>
    <w:rsid w:val="00474703"/>
    <w:rsid w:val="00474765"/>
    <w:rsid w:val="0047483A"/>
    <w:rsid w:val="0047483B"/>
    <w:rsid w:val="004749B2"/>
    <w:rsid w:val="00474B1D"/>
    <w:rsid w:val="00474F83"/>
    <w:rsid w:val="00474F84"/>
    <w:rsid w:val="00474F86"/>
    <w:rsid w:val="00474F9A"/>
    <w:rsid w:val="00474FC4"/>
    <w:rsid w:val="00475068"/>
    <w:rsid w:val="004750D9"/>
    <w:rsid w:val="004750DF"/>
    <w:rsid w:val="004751A1"/>
    <w:rsid w:val="004751D8"/>
    <w:rsid w:val="004751DA"/>
    <w:rsid w:val="00475365"/>
    <w:rsid w:val="00475477"/>
    <w:rsid w:val="0047566C"/>
    <w:rsid w:val="00475685"/>
    <w:rsid w:val="004756D8"/>
    <w:rsid w:val="004757A6"/>
    <w:rsid w:val="00475826"/>
    <w:rsid w:val="0047585E"/>
    <w:rsid w:val="0047586C"/>
    <w:rsid w:val="004758AB"/>
    <w:rsid w:val="004758C2"/>
    <w:rsid w:val="004758C5"/>
    <w:rsid w:val="00475935"/>
    <w:rsid w:val="004759A6"/>
    <w:rsid w:val="004759BE"/>
    <w:rsid w:val="004759CD"/>
    <w:rsid w:val="00475A5B"/>
    <w:rsid w:val="00475A80"/>
    <w:rsid w:val="00475C0C"/>
    <w:rsid w:val="00475D25"/>
    <w:rsid w:val="00475E1B"/>
    <w:rsid w:val="00475E87"/>
    <w:rsid w:val="00475EA0"/>
    <w:rsid w:val="00475F09"/>
    <w:rsid w:val="00475F37"/>
    <w:rsid w:val="00475F86"/>
    <w:rsid w:val="00475FEF"/>
    <w:rsid w:val="0047601B"/>
    <w:rsid w:val="004761AD"/>
    <w:rsid w:val="00476204"/>
    <w:rsid w:val="004762D9"/>
    <w:rsid w:val="0047643A"/>
    <w:rsid w:val="004764F1"/>
    <w:rsid w:val="00476524"/>
    <w:rsid w:val="0047657B"/>
    <w:rsid w:val="00476585"/>
    <w:rsid w:val="004765EB"/>
    <w:rsid w:val="0047671B"/>
    <w:rsid w:val="00476873"/>
    <w:rsid w:val="0047687F"/>
    <w:rsid w:val="0047692B"/>
    <w:rsid w:val="00476948"/>
    <w:rsid w:val="00476955"/>
    <w:rsid w:val="00476BE2"/>
    <w:rsid w:val="00476CE6"/>
    <w:rsid w:val="00476DE5"/>
    <w:rsid w:val="00476DFA"/>
    <w:rsid w:val="00476E04"/>
    <w:rsid w:val="00476F17"/>
    <w:rsid w:val="00476F1D"/>
    <w:rsid w:val="00476FAA"/>
    <w:rsid w:val="00477041"/>
    <w:rsid w:val="00477076"/>
    <w:rsid w:val="0047710F"/>
    <w:rsid w:val="00477155"/>
    <w:rsid w:val="004771EB"/>
    <w:rsid w:val="00477295"/>
    <w:rsid w:val="0047729A"/>
    <w:rsid w:val="00477383"/>
    <w:rsid w:val="004773BC"/>
    <w:rsid w:val="00477400"/>
    <w:rsid w:val="00477436"/>
    <w:rsid w:val="00477502"/>
    <w:rsid w:val="0047761C"/>
    <w:rsid w:val="0047768F"/>
    <w:rsid w:val="00477849"/>
    <w:rsid w:val="0047796F"/>
    <w:rsid w:val="00477993"/>
    <w:rsid w:val="004779DF"/>
    <w:rsid w:val="00477A18"/>
    <w:rsid w:val="00477ACE"/>
    <w:rsid w:val="00477B86"/>
    <w:rsid w:val="00477CDC"/>
    <w:rsid w:val="00477D5A"/>
    <w:rsid w:val="00477DE1"/>
    <w:rsid w:val="00477E0F"/>
    <w:rsid w:val="00477ED7"/>
    <w:rsid w:val="00477F5B"/>
    <w:rsid w:val="0048001B"/>
    <w:rsid w:val="004800C1"/>
    <w:rsid w:val="0048016E"/>
    <w:rsid w:val="004801EB"/>
    <w:rsid w:val="004802D3"/>
    <w:rsid w:val="00480432"/>
    <w:rsid w:val="004804E9"/>
    <w:rsid w:val="00480560"/>
    <w:rsid w:val="00480575"/>
    <w:rsid w:val="00480616"/>
    <w:rsid w:val="00480647"/>
    <w:rsid w:val="004806A5"/>
    <w:rsid w:val="004806FA"/>
    <w:rsid w:val="004807D8"/>
    <w:rsid w:val="004807FD"/>
    <w:rsid w:val="004809B3"/>
    <w:rsid w:val="00480A62"/>
    <w:rsid w:val="00480B45"/>
    <w:rsid w:val="00480BB3"/>
    <w:rsid w:val="00480C21"/>
    <w:rsid w:val="00480CD9"/>
    <w:rsid w:val="00480DEC"/>
    <w:rsid w:val="00480DFD"/>
    <w:rsid w:val="00480E44"/>
    <w:rsid w:val="00480E53"/>
    <w:rsid w:val="00480E8F"/>
    <w:rsid w:val="00480F1A"/>
    <w:rsid w:val="00480F2F"/>
    <w:rsid w:val="0048103B"/>
    <w:rsid w:val="00481070"/>
    <w:rsid w:val="00481170"/>
    <w:rsid w:val="00481221"/>
    <w:rsid w:val="004812D9"/>
    <w:rsid w:val="004813A8"/>
    <w:rsid w:val="004813AF"/>
    <w:rsid w:val="00481457"/>
    <w:rsid w:val="004814CA"/>
    <w:rsid w:val="004814ED"/>
    <w:rsid w:val="0048150C"/>
    <w:rsid w:val="004816E2"/>
    <w:rsid w:val="0048195B"/>
    <w:rsid w:val="00481A17"/>
    <w:rsid w:val="00481AC7"/>
    <w:rsid w:val="00481B0D"/>
    <w:rsid w:val="00481B61"/>
    <w:rsid w:val="00481B90"/>
    <w:rsid w:val="00481C34"/>
    <w:rsid w:val="00481D54"/>
    <w:rsid w:val="00481E80"/>
    <w:rsid w:val="00481F1F"/>
    <w:rsid w:val="00481FD9"/>
    <w:rsid w:val="00481FF6"/>
    <w:rsid w:val="00482030"/>
    <w:rsid w:val="004821C3"/>
    <w:rsid w:val="004822AB"/>
    <w:rsid w:val="004822DC"/>
    <w:rsid w:val="004823C1"/>
    <w:rsid w:val="004824E8"/>
    <w:rsid w:val="0048251F"/>
    <w:rsid w:val="00482551"/>
    <w:rsid w:val="00482596"/>
    <w:rsid w:val="0048265F"/>
    <w:rsid w:val="004826D0"/>
    <w:rsid w:val="004826E5"/>
    <w:rsid w:val="00482760"/>
    <w:rsid w:val="004828C2"/>
    <w:rsid w:val="00482A58"/>
    <w:rsid w:val="00482ADC"/>
    <w:rsid w:val="00482B6C"/>
    <w:rsid w:val="00482CAF"/>
    <w:rsid w:val="00482D08"/>
    <w:rsid w:val="00482D15"/>
    <w:rsid w:val="00482D5A"/>
    <w:rsid w:val="00482DE5"/>
    <w:rsid w:val="00482ED2"/>
    <w:rsid w:val="00482F1F"/>
    <w:rsid w:val="00482F31"/>
    <w:rsid w:val="00482F8E"/>
    <w:rsid w:val="00482FE4"/>
    <w:rsid w:val="00483104"/>
    <w:rsid w:val="004832E9"/>
    <w:rsid w:val="00483333"/>
    <w:rsid w:val="00483356"/>
    <w:rsid w:val="004834CD"/>
    <w:rsid w:val="004834FA"/>
    <w:rsid w:val="004835F3"/>
    <w:rsid w:val="0048369C"/>
    <w:rsid w:val="00483729"/>
    <w:rsid w:val="00483778"/>
    <w:rsid w:val="00483848"/>
    <w:rsid w:val="00483892"/>
    <w:rsid w:val="004838E6"/>
    <w:rsid w:val="00483A41"/>
    <w:rsid w:val="00483A56"/>
    <w:rsid w:val="00483B91"/>
    <w:rsid w:val="00483BCB"/>
    <w:rsid w:val="00483BEE"/>
    <w:rsid w:val="00483CFE"/>
    <w:rsid w:val="00483D08"/>
    <w:rsid w:val="00483DCF"/>
    <w:rsid w:val="00483EF0"/>
    <w:rsid w:val="00483FB4"/>
    <w:rsid w:val="00483FD5"/>
    <w:rsid w:val="004840FF"/>
    <w:rsid w:val="00484122"/>
    <w:rsid w:val="00484411"/>
    <w:rsid w:val="0048441E"/>
    <w:rsid w:val="00484586"/>
    <w:rsid w:val="004845B0"/>
    <w:rsid w:val="00484736"/>
    <w:rsid w:val="0048474E"/>
    <w:rsid w:val="0048479B"/>
    <w:rsid w:val="00484911"/>
    <w:rsid w:val="00484B26"/>
    <w:rsid w:val="00484CD5"/>
    <w:rsid w:val="00484CFB"/>
    <w:rsid w:val="00484D47"/>
    <w:rsid w:val="00484DCB"/>
    <w:rsid w:val="00484FDC"/>
    <w:rsid w:val="00485080"/>
    <w:rsid w:val="004850C5"/>
    <w:rsid w:val="004851F4"/>
    <w:rsid w:val="00485213"/>
    <w:rsid w:val="00485273"/>
    <w:rsid w:val="004852BD"/>
    <w:rsid w:val="004853B1"/>
    <w:rsid w:val="00485468"/>
    <w:rsid w:val="004855CB"/>
    <w:rsid w:val="00485640"/>
    <w:rsid w:val="004857B7"/>
    <w:rsid w:val="00485899"/>
    <w:rsid w:val="00485905"/>
    <w:rsid w:val="004859BA"/>
    <w:rsid w:val="00485B6F"/>
    <w:rsid w:val="00485B74"/>
    <w:rsid w:val="00485B8F"/>
    <w:rsid w:val="00485BA4"/>
    <w:rsid w:val="00485CD5"/>
    <w:rsid w:val="00485ECB"/>
    <w:rsid w:val="0048600B"/>
    <w:rsid w:val="004860D6"/>
    <w:rsid w:val="00486107"/>
    <w:rsid w:val="0048610A"/>
    <w:rsid w:val="00486150"/>
    <w:rsid w:val="00486171"/>
    <w:rsid w:val="004862AD"/>
    <w:rsid w:val="00486474"/>
    <w:rsid w:val="00486481"/>
    <w:rsid w:val="0048649E"/>
    <w:rsid w:val="004864D8"/>
    <w:rsid w:val="004864DB"/>
    <w:rsid w:val="00486532"/>
    <w:rsid w:val="00486610"/>
    <w:rsid w:val="004866B9"/>
    <w:rsid w:val="00486798"/>
    <w:rsid w:val="004867B1"/>
    <w:rsid w:val="00486850"/>
    <w:rsid w:val="00486AA6"/>
    <w:rsid w:val="00486B46"/>
    <w:rsid w:val="00486BFA"/>
    <w:rsid w:val="00486C6D"/>
    <w:rsid w:val="00486C74"/>
    <w:rsid w:val="00486C7B"/>
    <w:rsid w:val="00486CF8"/>
    <w:rsid w:val="00486D31"/>
    <w:rsid w:val="00486D83"/>
    <w:rsid w:val="00486F95"/>
    <w:rsid w:val="0048705B"/>
    <w:rsid w:val="004870FB"/>
    <w:rsid w:val="0048735A"/>
    <w:rsid w:val="0048735C"/>
    <w:rsid w:val="00487383"/>
    <w:rsid w:val="004873A3"/>
    <w:rsid w:val="0048752F"/>
    <w:rsid w:val="00487764"/>
    <w:rsid w:val="004877BC"/>
    <w:rsid w:val="004877C0"/>
    <w:rsid w:val="00487836"/>
    <w:rsid w:val="00487895"/>
    <w:rsid w:val="004878C3"/>
    <w:rsid w:val="00487A28"/>
    <w:rsid w:val="00487A2D"/>
    <w:rsid w:val="00487B8B"/>
    <w:rsid w:val="00487C95"/>
    <w:rsid w:val="00487CB5"/>
    <w:rsid w:val="00487CB9"/>
    <w:rsid w:val="00487E57"/>
    <w:rsid w:val="00487E8E"/>
    <w:rsid w:val="00487F3B"/>
    <w:rsid w:val="00490400"/>
    <w:rsid w:val="00490495"/>
    <w:rsid w:val="004904A4"/>
    <w:rsid w:val="00490527"/>
    <w:rsid w:val="004906DD"/>
    <w:rsid w:val="00490705"/>
    <w:rsid w:val="0049071E"/>
    <w:rsid w:val="00490758"/>
    <w:rsid w:val="004908AC"/>
    <w:rsid w:val="004908B3"/>
    <w:rsid w:val="00490932"/>
    <w:rsid w:val="0049099E"/>
    <w:rsid w:val="00490A0E"/>
    <w:rsid w:val="00490ABB"/>
    <w:rsid w:val="00490AC1"/>
    <w:rsid w:val="00490CF8"/>
    <w:rsid w:val="00490EC4"/>
    <w:rsid w:val="00490EF3"/>
    <w:rsid w:val="0049106B"/>
    <w:rsid w:val="00491093"/>
    <w:rsid w:val="004911F0"/>
    <w:rsid w:val="004912C3"/>
    <w:rsid w:val="004912E0"/>
    <w:rsid w:val="0049152A"/>
    <w:rsid w:val="00491666"/>
    <w:rsid w:val="004916EE"/>
    <w:rsid w:val="0049178F"/>
    <w:rsid w:val="004917E0"/>
    <w:rsid w:val="0049183F"/>
    <w:rsid w:val="00491850"/>
    <w:rsid w:val="004918EF"/>
    <w:rsid w:val="00491A06"/>
    <w:rsid w:val="00491B0B"/>
    <w:rsid w:val="00491B1F"/>
    <w:rsid w:val="00491B41"/>
    <w:rsid w:val="00491CC5"/>
    <w:rsid w:val="00491D22"/>
    <w:rsid w:val="00491D81"/>
    <w:rsid w:val="00491E36"/>
    <w:rsid w:val="00491EB0"/>
    <w:rsid w:val="00491EE4"/>
    <w:rsid w:val="00491F93"/>
    <w:rsid w:val="00492017"/>
    <w:rsid w:val="00492278"/>
    <w:rsid w:val="0049231D"/>
    <w:rsid w:val="0049237B"/>
    <w:rsid w:val="0049249B"/>
    <w:rsid w:val="004924F5"/>
    <w:rsid w:val="00492590"/>
    <w:rsid w:val="004925BE"/>
    <w:rsid w:val="00492637"/>
    <w:rsid w:val="0049278B"/>
    <w:rsid w:val="004928A8"/>
    <w:rsid w:val="004928CE"/>
    <w:rsid w:val="004928F2"/>
    <w:rsid w:val="0049298C"/>
    <w:rsid w:val="004929CC"/>
    <w:rsid w:val="00492AE7"/>
    <w:rsid w:val="00492DC7"/>
    <w:rsid w:val="00492E18"/>
    <w:rsid w:val="00492ECC"/>
    <w:rsid w:val="004931BE"/>
    <w:rsid w:val="004931E9"/>
    <w:rsid w:val="00493366"/>
    <w:rsid w:val="00493378"/>
    <w:rsid w:val="004934AD"/>
    <w:rsid w:val="004935D8"/>
    <w:rsid w:val="00493638"/>
    <w:rsid w:val="00493657"/>
    <w:rsid w:val="00493800"/>
    <w:rsid w:val="00493A82"/>
    <w:rsid w:val="00493AAA"/>
    <w:rsid w:val="00493ABA"/>
    <w:rsid w:val="00493B01"/>
    <w:rsid w:val="00493BA0"/>
    <w:rsid w:val="00493C45"/>
    <w:rsid w:val="00493CDC"/>
    <w:rsid w:val="00493CE6"/>
    <w:rsid w:val="00493D19"/>
    <w:rsid w:val="00493D48"/>
    <w:rsid w:val="00493FD2"/>
    <w:rsid w:val="00494226"/>
    <w:rsid w:val="00494342"/>
    <w:rsid w:val="00494395"/>
    <w:rsid w:val="0049447C"/>
    <w:rsid w:val="00494522"/>
    <w:rsid w:val="00494785"/>
    <w:rsid w:val="0049481A"/>
    <w:rsid w:val="00494821"/>
    <w:rsid w:val="0049485F"/>
    <w:rsid w:val="00494A3E"/>
    <w:rsid w:val="00494AA6"/>
    <w:rsid w:val="00494B22"/>
    <w:rsid w:val="00494B23"/>
    <w:rsid w:val="00494B83"/>
    <w:rsid w:val="00494CE5"/>
    <w:rsid w:val="00494E7E"/>
    <w:rsid w:val="00494FDC"/>
    <w:rsid w:val="00495007"/>
    <w:rsid w:val="0049510E"/>
    <w:rsid w:val="0049514A"/>
    <w:rsid w:val="00495188"/>
    <w:rsid w:val="00495373"/>
    <w:rsid w:val="0049539D"/>
    <w:rsid w:val="00495541"/>
    <w:rsid w:val="00495607"/>
    <w:rsid w:val="00495655"/>
    <w:rsid w:val="0049565A"/>
    <w:rsid w:val="004956CA"/>
    <w:rsid w:val="0049575C"/>
    <w:rsid w:val="004957B0"/>
    <w:rsid w:val="0049584B"/>
    <w:rsid w:val="00495A0C"/>
    <w:rsid w:val="00495B28"/>
    <w:rsid w:val="00495B30"/>
    <w:rsid w:val="00495C4C"/>
    <w:rsid w:val="00495DAF"/>
    <w:rsid w:val="00495DDC"/>
    <w:rsid w:val="00495E89"/>
    <w:rsid w:val="00496107"/>
    <w:rsid w:val="004961D3"/>
    <w:rsid w:val="00496210"/>
    <w:rsid w:val="00496299"/>
    <w:rsid w:val="004962BB"/>
    <w:rsid w:val="00496362"/>
    <w:rsid w:val="004963F9"/>
    <w:rsid w:val="00496484"/>
    <w:rsid w:val="00496515"/>
    <w:rsid w:val="00496603"/>
    <w:rsid w:val="0049661D"/>
    <w:rsid w:val="00496662"/>
    <w:rsid w:val="004966FB"/>
    <w:rsid w:val="00496731"/>
    <w:rsid w:val="0049678E"/>
    <w:rsid w:val="00496869"/>
    <w:rsid w:val="004968BF"/>
    <w:rsid w:val="00496A54"/>
    <w:rsid w:val="00496A60"/>
    <w:rsid w:val="00496AAC"/>
    <w:rsid w:val="00496B18"/>
    <w:rsid w:val="00496B7C"/>
    <w:rsid w:val="00496BE4"/>
    <w:rsid w:val="00496CC3"/>
    <w:rsid w:val="00496DA6"/>
    <w:rsid w:val="00496F70"/>
    <w:rsid w:val="00496FD6"/>
    <w:rsid w:val="00497016"/>
    <w:rsid w:val="00497073"/>
    <w:rsid w:val="004970BF"/>
    <w:rsid w:val="004971FC"/>
    <w:rsid w:val="00497300"/>
    <w:rsid w:val="00497389"/>
    <w:rsid w:val="004973F6"/>
    <w:rsid w:val="0049743C"/>
    <w:rsid w:val="00497447"/>
    <w:rsid w:val="004974E1"/>
    <w:rsid w:val="00497530"/>
    <w:rsid w:val="00497556"/>
    <w:rsid w:val="0049759F"/>
    <w:rsid w:val="0049761A"/>
    <w:rsid w:val="00497655"/>
    <w:rsid w:val="00497682"/>
    <w:rsid w:val="004976E5"/>
    <w:rsid w:val="004977FE"/>
    <w:rsid w:val="004977FF"/>
    <w:rsid w:val="00497860"/>
    <w:rsid w:val="00497881"/>
    <w:rsid w:val="004978D8"/>
    <w:rsid w:val="00497A51"/>
    <w:rsid w:val="00497AC7"/>
    <w:rsid w:val="00497B07"/>
    <w:rsid w:val="00497CA9"/>
    <w:rsid w:val="00497D3F"/>
    <w:rsid w:val="00497D67"/>
    <w:rsid w:val="00497E16"/>
    <w:rsid w:val="00497E7D"/>
    <w:rsid w:val="00497F9E"/>
    <w:rsid w:val="00497FDF"/>
    <w:rsid w:val="004A0020"/>
    <w:rsid w:val="004A021C"/>
    <w:rsid w:val="004A022C"/>
    <w:rsid w:val="004A025B"/>
    <w:rsid w:val="004A0290"/>
    <w:rsid w:val="004A03BA"/>
    <w:rsid w:val="004A03C5"/>
    <w:rsid w:val="004A0459"/>
    <w:rsid w:val="004A0468"/>
    <w:rsid w:val="004A0544"/>
    <w:rsid w:val="004A0871"/>
    <w:rsid w:val="004A08A6"/>
    <w:rsid w:val="004A08C6"/>
    <w:rsid w:val="004A09EF"/>
    <w:rsid w:val="004A0ACC"/>
    <w:rsid w:val="004A0BE0"/>
    <w:rsid w:val="004A0C20"/>
    <w:rsid w:val="004A0C54"/>
    <w:rsid w:val="004A0CFB"/>
    <w:rsid w:val="004A0F78"/>
    <w:rsid w:val="004A1207"/>
    <w:rsid w:val="004A121F"/>
    <w:rsid w:val="004A1239"/>
    <w:rsid w:val="004A1404"/>
    <w:rsid w:val="004A14DF"/>
    <w:rsid w:val="004A18F8"/>
    <w:rsid w:val="004A197E"/>
    <w:rsid w:val="004A1980"/>
    <w:rsid w:val="004A19B5"/>
    <w:rsid w:val="004A19C9"/>
    <w:rsid w:val="004A1ACE"/>
    <w:rsid w:val="004A1B42"/>
    <w:rsid w:val="004A1B54"/>
    <w:rsid w:val="004A1C14"/>
    <w:rsid w:val="004A1CC7"/>
    <w:rsid w:val="004A1DF3"/>
    <w:rsid w:val="004A1E7F"/>
    <w:rsid w:val="004A2022"/>
    <w:rsid w:val="004A2025"/>
    <w:rsid w:val="004A20EB"/>
    <w:rsid w:val="004A20F7"/>
    <w:rsid w:val="004A2151"/>
    <w:rsid w:val="004A2212"/>
    <w:rsid w:val="004A2214"/>
    <w:rsid w:val="004A227D"/>
    <w:rsid w:val="004A22A8"/>
    <w:rsid w:val="004A22BD"/>
    <w:rsid w:val="004A232A"/>
    <w:rsid w:val="004A24A7"/>
    <w:rsid w:val="004A24F0"/>
    <w:rsid w:val="004A25CA"/>
    <w:rsid w:val="004A2632"/>
    <w:rsid w:val="004A26BB"/>
    <w:rsid w:val="004A295A"/>
    <w:rsid w:val="004A29D8"/>
    <w:rsid w:val="004A2A54"/>
    <w:rsid w:val="004A2AD6"/>
    <w:rsid w:val="004A2BA1"/>
    <w:rsid w:val="004A2BA5"/>
    <w:rsid w:val="004A2CA9"/>
    <w:rsid w:val="004A2CEB"/>
    <w:rsid w:val="004A2E01"/>
    <w:rsid w:val="004A3034"/>
    <w:rsid w:val="004A30AF"/>
    <w:rsid w:val="004A30BF"/>
    <w:rsid w:val="004A31B7"/>
    <w:rsid w:val="004A3440"/>
    <w:rsid w:val="004A3470"/>
    <w:rsid w:val="004A34FA"/>
    <w:rsid w:val="004A37C1"/>
    <w:rsid w:val="004A384D"/>
    <w:rsid w:val="004A388A"/>
    <w:rsid w:val="004A38E8"/>
    <w:rsid w:val="004A394A"/>
    <w:rsid w:val="004A397A"/>
    <w:rsid w:val="004A39A0"/>
    <w:rsid w:val="004A39AF"/>
    <w:rsid w:val="004A39B2"/>
    <w:rsid w:val="004A39F9"/>
    <w:rsid w:val="004A3C42"/>
    <w:rsid w:val="004A3C70"/>
    <w:rsid w:val="004A3CFD"/>
    <w:rsid w:val="004A3DBF"/>
    <w:rsid w:val="004A3E19"/>
    <w:rsid w:val="004A3E37"/>
    <w:rsid w:val="004A3E45"/>
    <w:rsid w:val="004A3E5A"/>
    <w:rsid w:val="004A3E6C"/>
    <w:rsid w:val="004A3F31"/>
    <w:rsid w:val="004A3F8C"/>
    <w:rsid w:val="004A3FAA"/>
    <w:rsid w:val="004A3FF6"/>
    <w:rsid w:val="004A402B"/>
    <w:rsid w:val="004A40F0"/>
    <w:rsid w:val="004A423C"/>
    <w:rsid w:val="004A426C"/>
    <w:rsid w:val="004A42CA"/>
    <w:rsid w:val="004A433B"/>
    <w:rsid w:val="004A444B"/>
    <w:rsid w:val="004A45E5"/>
    <w:rsid w:val="004A4610"/>
    <w:rsid w:val="004A4656"/>
    <w:rsid w:val="004A4674"/>
    <w:rsid w:val="004A46B0"/>
    <w:rsid w:val="004A470E"/>
    <w:rsid w:val="004A4759"/>
    <w:rsid w:val="004A48BB"/>
    <w:rsid w:val="004A48BC"/>
    <w:rsid w:val="004A4909"/>
    <w:rsid w:val="004A4A74"/>
    <w:rsid w:val="004A4AA9"/>
    <w:rsid w:val="004A4B59"/>
    <w:rsid w:val="004A4B8C"/>
    <w:rsid w:val="004A4BFC"/>
    <w:rsid w:val="004A4C71"/>
    <w:rsid w:val="004A4C9C"/>
    <w:rsid w:val="004A4D08"/>
    <w:rsid w:val="004A4D94"/>
    <w:rsid w:val="004A4DB8"/>
    <w:rsid w:val="004A4DF6"/>
    <w:rsid w:val="004A4E3E"/>
    <w:rsid w:val="004A4F14"/>
    <w:rsid w:val="004A4F19"/>
    <w:rsid w:val="004A4F64"/>
    <w:rsid w:val="004A50ED"/>
    <w:rsid w:val="004A5142"/>
    <w:rsid w:val="004A518B"/>
    <w:rsid w:val="004A51BE"/>
    <w:rsid w:val="004A5283"/>
    <w:rsid w:val="004A52AB"/>
    <w:rsid w:val="004A536C"/>
    <w:rsid w:val="004A5405"/>
    <w:rsid w:val="004A54CD"/>
    <w:rsid w:val="004A5501"/>
    <w:rsid w:val="004A55BA"/>
    <w:rsid w:val="004A55FC"/>
    <w:rsid w:val="004A57B5"/>
    <w:rsid w:val="004A580A"/>
    <w:rsid w:val="004A5840"/>
    <w:rsid w:val="004A5876"/>
    <w:rsid w:val="004A5A74"/>
    <w:rsid w:val="004A5BC3"/>
    <w:rsid w:val="004A5CED"/>
    <w:rsid w:val="004A5E96"/>
    <w:rsid w:val="004A5F3E"/>
    <w:rsid w:val="004A607E"/>
    <w:rsid w:val="004A60BC"/>
    <w:rsid w:val="004A60C3"/>
    <w:rsid w:val="004A60DE"/>
    <w:rsid w:val="004A6106"/>
    <w:rsid w:val="004A6243"/>
    <w:rsid w:val="004A6365"/>
    <w:rsid w:val="004A646E"/>
    <w:rsid w:val="004A65BE"/>
    <w:rsid w:val="004A66E5"/>
    <w:rsid w:val="004A6892"/>
    <w:rsid w:val="004A6957"/>
    <w:rsid w:val="004A6A11"/>
    <w:rsid w:val="004A6A27"/>
    <w:rsid w:val="004A6B3A"/>
    <w:rsid w:val="004A6C09"/>
    <w:rsid w:val="004A6C95"/>
    <w:rsid w:val="004A6FCC"/>
    <w:rsid w:val="004A7037"/>
    <w:rsid w:val="004A7061"/>
    <w:rsid w:val="004A724E"/>
    <w:rsid w:val="004A7428"/>
    <w:rsid w:val="004A747F"/>
    <w:rsid w:val="004A7599"/>
    <w:rsid w:val="004A76B6"/>
    <w:rsid w:val="004A7707"/>
    <w:rsid w:val="004A7848"/>
    <w:rsid w:val="004A7887"/>
    <w:rsid w:val="004A7A1E"/>
    <w:rsid w:val="004A7A22"/>
    <w:rsid w:val="004A7AD6"/>
    <w:rsid w:val="004A7B2C"/>
    <w:rsid w:val="004A7B74"/>
    <w:rsid w:val="004A7C6F"/>
    <w:rsid w:val="004A7C75"/>
    <w:rsid w:val="004A7CB2"/>
    <w:rsid w:val="004A7CDF"/>
    <w:rsid w:val="004A7DBD"/>
    <w:rsid w:val="004B014F"/>
    <w:rsid w:val="004B01CA"/>
    <w:rsid w:val="004B0280"/>
    <w:rsid w:val="004B028B"/>
    <w:rsid w:val="004B02B6"/>
    <w:rsid w:val="004B0300"/>
    <w:rsid w:val="004B0363"/>
    <w:rsid w:val="004B03CE"/>
    <w:rsid w:val="004B0416"/>
    <w:rsid w:val="004B0438"/>
    <w:rsid w:val="004B054F"/>
    <w:rsid w:val="004B05B1"/>
    <w:rsid w:val="004B05B8"/>
    <w:rsid w:val="004B05CF"/>
    <w:rsid w:val="004B0795"/>
    <w:rsid w:val="004B081C"/>
    <w:rsid w:val="004B0838"/>
    <w:rsid w:val="004B08DD"/>
    <w:rsid w:val="004B09F4"/>
    <w:rsid w:val="004B0A14"/>
    <w:rsid w:val="004B0ACE"/>
    <w:rsid w:val="004B0B44"/>
    <w:rsid w:val="004B0D21"/>
    <w:rsid w:val="004B0EF8"/>
    <w:rsid w:val="004B0F75"/>
    <w:rsid w:val="004B11B2"/>
    <w:rsid w:val="004B1218"/>
    <w:rsid w:val="004B121F"/>
    <w:rsid w:val="004B1293"/>
    <w:rsid w:val="004B13C7"/>
    <w:rsid w:val="004B147B"/>
    <w:rsid w:val="004B14A2"/>
    <w:rsid w:val="004B1598"/>
    <w:rsid w:val="004B1622"/>
    <w:rsid w:val="004B169F"/>
    <w:rsid w:val="004B1727"/>
    <w:rsid w:val="004B17E6"/>
    <w:rsid w:val="004B1830"/>
    <w:rsid w:val="004B185B"/>
    <w:rsid w:val="004B18CA"/>
    <w:rsid w:val="004B194F"/>
    <w:rsid w:val="004B19D6"/>
    <w:rsid w:val="004B1A55"/>
    <w:rsid w:val="004B1AFD"/>
    <w:rsid w:val="004B1B5C"/>
    <w:rsid w:val="004B1B5F"/>
    <w:rsid w:val="004B1C63"/>
    <w:rsid w:val="004B1C78"/>
    <w:rsid w:val="004B1CE4"/>
    <w:rsid w:val="004B1E9F"/>
    <w:rsid w:val="004B2111"/>
    <w:rsid w:val="004B21AD"/>
    <w:rsid w:val="004B229B"/>
    <w:rsid w:val="004B236A"/>
    <w:rsid w:val="004B238A"/>
    <w:rsid w:val="004B23A7"/>
    <w:rsid w:val="004B2444"/>
    <w:rsid w:val="004B2446"/>
    <w:rsid w:val="004B2571"/>
    <w:rsid w:val="004B25A3"/>
    <w:rsid w:val="004B26F5"/>
    <w:rsid w:val="004B272D"/>
    <w:rsid w:val="004B274C"/>
    <w:rsid w:val="004B295D"/>
    <w:rsid w:val="004B2B36"/>
    <w:rsid w:val="004B2C20"/>
    <w:rsid w:val="004B2CCE"/>
    <w:rsid w:val="004B2D18"/>
    <w:rsid w:val="004B2E45"/>
    <w:rsid w:val="004B2E94"/>
    <w:rsid w:val="004B2EBD"/>
    <w:rsid w:val="004B2F0D"/>
    <w:rsid w:val="004B2F5D"/>
    <w:rsid w:val="004B3062"/>
    <w:rsid w:val="004B308A"/>
    <w:rsid w:val="004B308D"/>
    <w:rsid w:val="004B32A2"/>
    <w:rsid w:val="004B32D9"/>
    <w:rsid w:val="004B3319"/>
    <w:rsid w:val="004B34B0"/>
    <w:rsid w:val="004B34F1"/>
    <w:rsid w:val="004B3606"/>
    <w:rsid w:val="004B3656"/>
    <w:rsid w:val="004B36AE"/>
    <w:rsid w:val="004B377D"/>
    <w:rsid w:val="004B3799"/>
    <w:rsid w:val="004B3807"/>
    <w:rsid w:val="004B381D"/>
    <w:rsid w:val="004B3831"/>
    <w:rsid w:val="004B384A"/>
    <w:rsid w:val="004B3A85"/>
    <w:rsid w:val="004B3CF6"/>
    <w:rsid w:val="004B3DA3"/>
    <w:rsid w:val="004B3F04"/>
    <w:rsid w:val="004B40A2"/>
    <w:rsid w:val="004B410D"/>
    <w:rsid w:val="004B41D6"/>
    <w:rsid w:val="004B421C"/>
    <w:rsid w:val="004B4234"/>
    <w:rsid w:val="004B42CD"/>
    <w:rsid w:val="004B431F"/>
    <w:rsid w:val="004B453D"/>
    <w:rsid w:val="004B4546"/>
    <w:rsid w:val="004B4555"/>
    <w:rsid w:val="004B459D"/>
    <w:rsid w:val="004B462B"/>
    <w:rsid w:val="004B464A"/>
    <w:rsid w:val="004B4753"/>
    <w:rsid w:val="004B477A"/>
    <w:rsid w:val="004B47BE"/>
    <w:rsid w:val="004B48AC"/>
    <w:rsid w:val="004B4959"/>
    <w:rsid w:val="004B49AC"/>
    <w:rsid w:val="004B4A69"/>
    <w:rsid w:val="004B4AFB"/>
    <w:rsid w:val="004B4B1A"/>
    <w:rsid w:val="004B4C13"/>
    <w:rsid w:val="004B4C34"/>
    <w:rsid w:val="004B4C77"/>
    <w:rsid w:val="004B4DC8"/>
    <w:rsid w:val="004B4E27"/>
    <w:rsid w:val="004B4E90"/>
    <w:rsid w:val="004B5021"/>
    <w:rsid w:val="004B506C"/>
    <w:rsid w:val="004B50CA"/>
    <w:rsid w:val="004B5107"/>
    <w:rsid w:val="004B5240"/>
    <w:rsid w:val="004B5302"/>
    <w:rsid w:val="004B5356"/>
    <w:rsid w:val="004B5371"/>
    <w:rsid w:val="004B53CA"/>
    <w:rsid w:val="004B54CA"/>
    <w:rsid w:val="004B55E0"/>
    <w:rsid w:val="004B5881"/>
    <w:rsid w:val="004B5942"/>
    <w:rsid w:val="004B5954"/>
    <w:rsid w:val="004B59AF"/>
    <w:rsid w:val="004B59EA"/>
    <w:rsid w:val="004B5A5F"/>
    <w:rsid w:val="004B5AD1"/>
    <w:rsid w:val="004B5B76"/>
    <w:rsid w:val="004B5C22"/>
    <w:rsid w:val="004B5D67"/>
    <w:rsid w:val="004B5F67"/>
    <w:rsid w:val="004B6048"/>
    <w:rsid w:val="004B6110"/>
    <w:rsid w:val="004B61CD"/>
    <w:rsid w:val="004B61EE"/>
    <w:rsid w:val="004B62DA"/>
    <w:rsid w:val="004B63B7"/>
    <w:rsid w:val="004B6432"/>
    <w:rsid w:val="004B6499"/>
    <w:rsid w:val="004B6596"/>
    <w:rsid w:val="004B6686"/>
    <w:rsid w:val="004B675C"/>
    <w:rsid w:val="004B6815"/>
    <w:rsid w:val="004B689F"/>
    <w:rsid w:val="004B6A68"/>
    <w:rsid w:val="004B6C22"/>
    <w:rsid w:val="004B6D8C"/>
    <w:rsid w:val="004B6EA9"/>
    <w:rsid w:val="004B6FAB"/>
    <w:rsid w:val="004B7026"/>
    <w:rsid w:val="004B70EA"/>
    <w:rsid w:val="004B73D8"/>
    <w:rsid w:val="004B744B"/>
    <w:rsid w:val="004B7516"/>
    <w:rsid w:val="004B75D5"/>
    <w:rsid w:val="004B781F"/>
    <w:rsid w:val="004B78E1"/>
    <w:rsid w:val="004B7A1F"/>
    <w:rsid w:val="004B7AE4"/>
    <w:rsid w:val="004B7B1D"/>
    <w:rsid w:val="004B7C82"/>
    <w:rsid w:val="004B7D8B"/>
    <w:rsid w:val="004B7F10"/>
    <w:rsid w:val="004C00A7"/>
    <w:rsid w:val="004C00ED"/>
    <w:rsid w:val="004C0216"/>
    <w:rsid w:val="004C0240"/>
    <w:rsid w:val="004C032F"/>
    <w:rsid w:val="004C061C"/>
    <w:rsid w:val="004C0745"/>
    <w:rsid w:val="004C0806"/>
    <w:rsid w:val="004C0922"/>
    <w:rsid w:val="004C09C3"/>
    <w:rsid w:val="004C0ADF"/>
    <w:rsid w:val="004C0B03"/>
    <w:rsid w:val="004C0C4E"/>
    <w:rsid w:val="004C0D14"/>
    <w:rsid w:val="004C0D1E"/>
    <w:rsid w:val="004C0D20"/>
    <w:rsid w:val="004C0D4B"/>
    <w:rsid w:val="004C0D55"/>
    <w:rsid w:val="004C0EC2"/>
    <w:rsid w:val="004C0ED6"/>
    <w:rsid w:val="004C0EFA"/>
    <w:rsid w:val="004C105C"/>
    <w:rsid w:val="004C11B6"/>
    <w:rsid w:val="004C11F9"/>
    <w:rsid w:val="004C1232"/>
    <w:rsid w:val="004C1254"/>
    <w:rsid w:val="004C1279"/>
    <w:rsid w:val="004C12C8"/>
    <w:rsid w:val="004C1304"/>
    <w:rsid w:val="004C130C"/>
    <w:rsid w:val="004C13AF"/>
    <w:rsid w:val="004C154A"/>
    <w:rsid w:val="004C1612"/>
    <w:rsid w:val="004C1638"/>
    <w:rsid w:val="004C1726"/>
    <w:rsid w:val="004C1778"/>
    <w:rsid w:val="004C19F7"/>
    <w:rsid w:val="004C1AC3"/>
    <w:rsid w:val="004C1B35"/>
    <w:rsid w:val="004C1B6E"/>
    <w:rsid w:val="004C1B7C"/>
    <w:rsid w:val="004C1B97"/>
    <w:rsid w:val="004C1BE3"/>
    <w:rsid w:val="004C1BE7"/>
    <w:rsid w:val="004C1C71"/>
    <w:rsid w:val="004C1CF5"/>
    <w:rsid w:val="004C1E22"/>
    <w:rsid w:val="004C1E4E"/>
    <w:rsid w:val="004C1E97"/>
    <w:rsid w:val="004C1F47"/>
    <w:rsid w:val="004C1FFD"/>
    <w:rsid w:val="004C20A8"/>
    <w:rsid w:val="004C2110"/>
    <w:rsid w:val="004C2173"/>
    <w:rsid w:val="004C21B1"/>
    <w:rsid w:val="004C2207"/>
    <w:rsid w:val="004C2215"/>
    <w:rsid w:val="004C2286"/>
    <w:rsid w:val="004C2491"/>
    <w:rsid w:val="004C24F9"/>
    <w:rsid w:val="004C25FF"/>
    <w:rsid w:val="004C2702"/>
    <w:rsid w:val="004C2718"/>
    <w:rsid w:val="004C27D2"/>
    <w:rsid w:val="004C2817"/>
    <w:rsid w:val="004C291F"/>
    <w:rsid w:val="004C2982"/>
    <w:rsid w:val="004C29FC"/>
    <w:rsid w:val="004C2B8C"/>
    <w:rsid w:val="004C2CB1"/>
    <w:rsid w:val="004C2D49"/>
    <w:rsid w:val="004C2F5A"/>
    <w:rsid w:val="004C30D3"/>
    <w:rsid w:val="004C3215"/>
    <w:rsid w:val="004C3262"/>
    <w:rsid w:val="004C333D"/>
    <w:rsid w:val="004C333E"/>
    <w:rsid w:val="004C3381"/>
    <w:rsid w:val="004C33AD"/>
    <w:rsid w:val="004C33C1"/>
    <w:rsid w:val="004C3454"/>
    <w:rsid w:val="004C36A1"/>
    <w:rsid w:val="004C36BE"/>
    <w:rsid w:val="004C36ED"/>
    <w:rsid w:val="004C37FA"/>
    <w:rsid w:val="004C39C3"/>
    <w:rsid w:val="004C3AAA"/>
    <w:rsid w:val="004C3B24"/>
    <w:rsid w:val="004C3B73"/>
    <w:rsid w:val="004C3C3D"/>
    <w:rsid w:val="004C3D11"/>
    <w:rsid w:val="004C3D40"/>
    <w:rsid w:val="004C3E0C"/>
    <w:rsid w:val="004C3E51"/>
    <w:rsid w:val="004C3FFA"/>
    <w:rsid w:val="004C405B"/>
    <w:rsid w:val="004C4171"/>
    <w:rsid w:val="004C4172"/>
    <w:rsid w:val="004C4314"/>
    <w:rsid w:val="004C4457"/>
    <w:rsid w:val="004C4467"/>
    <w:rsid w:val="004C448E"/>
    <w:rsid w:val="004C44E4"/>
    <w:rsid w:val="004C4630"/>
    <w:rsid w:val="004C4708"/>
    <w:rsid w:val="004C4756"/>
    <w:rsid w:val="004C47B2"/>
    <w:rsid w:val="004C4997"/>
    <w:rsid w:val="004C4A67"/>
    <w:rsid w:val="004C4CF3"/>
    <w:rsid w:val="004C4D2E"/>
    <w:rsid w:val="004C4DC3"/>
    <w:rsid w:val="004C4E51"/>
    <w:rsid w:val="004C4ECD"/>
    <w:rsid w:val="004C4ED9"/>
    <w:rsid w:val="004C4F51"/>
    <w:rsid w:val="004C506E"/>
    <w:rsid w:val="004C509E"/>
    <w:rsid w:val="004C5170"/>
    <w:rsid w:val="004C51F9"/>
    <w:rsid w:val="004C522A"/>
    <w:rsid w:val="004C5275"/>
    <w:rsid w:val="004C52B4"/>
    <w:rsid w:val="004C52B9"/>
    <w:rsid w:val="004C5354"/>
    <w:rsid w:val="004C53CD"/>
    <w:rsid w:val="004C5444"/>
    <w:rsid w:val="004C547B"/>
    <w:rsid w:val="004C5492"/>
    <w:rsid w:val="004C54B5"/>
    <w:rsid w:val="004C5508"/>
    <w:rsid w:val="004C556F"/>
    <w:rsid w:val="004C55C1"/>
    <w:rsid w:val="004C56AC"/>
    <w:rsid w:val="004C5715"/>
    <w:rsid w:val="004C576A"/>
    <w:rsid w:val="004C579E"/>
    <w:rsid w:val="004C57EF"/>
    <w:rsid w:val="004C5868"/>
    <w:rsid w:val="004C58A2"/>
    <w:rsid w:val="004C58CE"/>
    <w:rsid w:val="004C5937"/>
    <w:rsid w:val="004C59E5"/>
    <w:rsid w:val="004C5A4C"/>
    <w:rsid w:val="004C5A78"/>
    <w:rsid w:val="004C5A8F"/>
    <w:rsid w:val="004C5B28"/>
    <w:rsid w:val="004C5B55"/>
    <w:rsid w:val="004C5B5F"/>
    <w:rsid w:val="004C5CB8"/>
    <w:rsid w:val="004C5CFD"/>
    <w:rsid w:val="004C5D03"/>
    <w:rsid w:val="004C5D06"/>
    <w:rsid w:val="004C5D1E"/>
    <w:rsid w:val="004C5D81"/>
    <w:rsid w:val="004C5E91"/>
    <w:rsid w:val="004C5E99"/>
    <w:rsid w:val="004C5EB3"/>
    <w:rsid w:val="004C5ED2"/>
    <w:rsid w:val="004C5F49"/>
    <w:rsid w:val="004C601E"/>
    <w:rsid w:val="004C604F"/>
    <w:rsid w:val="004C6135"/>
    <w:rsid w:val="004C62D4"/>
    <w:rsid w:val="004C63A1"/>
    <w:rsid w:val="004C6467"/>
    <w:rsid w:val="004C657B"/>
    <w:rsid w:val="004C680E"/>
    <w:rsid w:val="004C68D8"/>
    <w:rsid w:val="004C68F6"/>
    <w:rsid w:val="004C692C"/>
    <w:rsid w:val="004C6943"/>
    <w:rsid w:val="004C6953"/>
    <w:rsid w:val="004C69BD"/>
    <w:rsid w:val="004C6B2A"/>
    <w:rsid w:val="004C6BCD"/>
    <w:rsid w:val="004C6BF0"/>
    <w:rsid w:val="004C6C0A"/>
    <w:rsid w:val="004C6C8D"/>
    <w:rsid w:val="004C6DB2"/>
    <w:rsid w:val="004C6E3D"/>
    <w:rsid w:val="004C6E91"/>
    <w:rsid w:val="004C6F96"/>
    <w:rsid w:val="004C70A8"/>
    <w:rsid w:val="004C70CE"/>
    <w:rsid w:val="004C712E"/>
    <w:rsid w:val="004C7141"/>
    <w:rsid w:val="004C71AB"/>
    <w:rsid w:val="004C71BA"/>
    <w:rsid w:val="004C720C"/>
    <w:rsid w:val="004C7216"/>
    <w:rsid w:val="004C739D"/>
    <w:rsid w:val="004C7458"/>
    <w:rsid w:val="004C749A"/>
    <w:rsid w:val="004C74E5"/>
    <w:rsid w:val="004C754C"/>
    <w:rsid w:val="004C75D8"/>
    <w:rsid w:val="004C76B7"/>
    <w:rsid w:val="004C7727"/>
    <w:rsid w:val="004C77DB"/>
    <w:rsid w:val="004C793C"/>
    <w:rsid w:val="004C797E"/>
    <w:rsid w:val="004C7AB3"/>
    <w:rsid w:val="004C7B38"/>
    <w:rsid w:val="004C7C01"/>
    <w:rsid w:val="004C7C22"/>
    <w:rsid w:val="004C7CBB"/>
    <w:rsid w:val="004C7E06"/>
    <w:rsid w:val="004C7E4D"/>
    <w:rsid w:val="004C7E69"/>
    <w:rsid w:val="004C7EAB"/>
    <w:rsid w:val="004C7F07"/>
    <w:rsid w:val="004D00A7"/>
    <w:rsid w:val="004D00E9"/>
    <w:rsid w:val="004D00EF"/>
    <w:rsid w:val="004D0123"/>
    <w:rsid w:val="004D01CC"/>
    <w:rsid w:val="004D024D"/>
    <w:rsid w:val="004D026F"/>
    <w:rsid w:val="004D03A0"/>
    <w:rsid w:val="004D048C"/>
    <w:rsid w:val="004D0741"/>
    <w:rsid w:val="004D075E"/>
    <w:rsid w:val="004D0A42"/>
    <w:rsid w:val="004D0B27"/>
    <w:rsid w:val="004D0D00"/>
    <w:rsid w:val="004D0D68"/>
    <w:rsid w:val="004D0EB0"/>
    <w:rsid w:val="004D108E"/>
    <w:rsid w:val="004D11FF"/>
    <w:rsid w:val="004D1409"/>
    <w:rsid w:val="004D140D"/>
    <w:rsid w:val="004D1471"/>
    <w:rsid w:val="004D14B4"/>
    <w:rsid w:val="004D14DC"/>
    <w:rsid w:val="004D15E0"/>
    <w:rsid w:val="004D162A"/>
    <w:rsid w:val="004D1647"/>
    <w:rsid w:val="004D1732"/>
    <w:rsid w:val="004D179D"/>
    <w:rsid w:val="004D1832"/>
    <w:rsid w:val="004D190F"/>
    <w:rsid w:val="004D1A1A"/>
    <w:rsid w:val="004D1A29"/>
    <w:rsid w:val="004D1A30"/>
    <w:rsid w:val="004D1B00"/>
    <w:rsid w:val="004D1E55"/>
    <w:rsid w:val="004D1FB3"/>
    <w:rsid w:val="004D1FEC"/>
    <w:rsid w:val="004D2082"/>
    <w:rsid w:val="004D20EB"/>
    <w:rsid w:val="004D2134"/>
    <w:rsid w:val="004D2183"/>
    <w:rsid w:val="004D228E"/>
    <w:rsid w:val="004D22B6"/>
    <w:rsid w:val="004D22FB"/>
    <w:rsid w:val="004D2326"/>
    <w:rsid w:val="004D2420"/>
    <w:rsid w:val="004D2450"/>
    <w:rsid w:val="004D255A"/>
    <w:rsid w:val="004D26A8"/>
    <w:rsid w:val="004D26C5"/>
    <w:rsid w:val="004D2841"/>
    <w:rsid w:val="004D29C5"/>
    <w:rsid w:val="004D29D6"/>
    <w:rsid w:val="004D2AF5"/>
    <w:rsid w:val="004D2B8A"/>
    <w:rsid w:val="004D2BB3"/>
    <w:rsid w:val="004D2C19"/>
    <w:rsid w:val="004D2C74"/>
    <w:rsid w:val="004D2C89"/>
    <w:rsid w:val="004D2DFB"/>
    <w:rsid w:val="004D2F1B"/>
    <w:rsid w:val="004D2F1E"/>
    <w:rsid w:val="004D2F55"/>
    <w:rsid w:val="004D3034"/>
    <w:rsid w:val="004D3084"/>
    <w:rsid w:val="004D31F7"/>
    <w:rsid w:val="004D336C"/>
    <w:rsid w:val="004D33AC"/>
    <w:rsid w:val="004D35F8"/>
    <w:rsid w:val="004D360C"/>
    <w:rsid w:val="004D3651"/>
    <w:rsid w:val="004D377F"/>
    <w:rsid w:val="004D37B1"/>
    <w:rsid w:val="004D37E3"/>
    <w:rsid w:val="004D38D7"/>
    <w:rsid w:val="004D38F1"/>
    <w:rsid w:val="004D3927"/>
    <w:rsid w:val="004D3AD3"/>
    <w:rsid w:val="004D3AF3"/>
    <w:rsid w:val="004D3B08"/>
    <w:rsid w:val="004D3B17"/>
    <w:rsid w:val="004D3C55"/>
    <w:rsid w:val="004D3CC8"/>
    <w:rsid w:val="004D3CF8"/>
    <w:rsid w:val="004D3EBB"/>
    <w:rsid w:val="004D3F78"/>
    <w:rsid w:val="004D404D"/>
    <w:rsid w:val="004D4069"/>
    <w:rsid w:val="004D40BE"/>
    <w:rsid w:val="004D4103"/>
    <w:rsid w:val="004D4247"/>
    <w:rsid w:val="004D42C1"/>
    <w:rsid w:val="004D42D9"/>
    <w:rsid w:val="004D45CC"/>
    <w:rsid w:val="004D4748"/>
    <w:rsid w:val="004D474A"/>
    <w:rsid w:val="004D47C4"/>
    <w:rsid w:val="004D4901"/>
    <w:rsid w:val="004D493B"/>
    <w:rsid w:val="004D497C"/>
    <w:rsid w:val="004D4996"/>
    <w:rsid w:val="004D4A1B"/>
    <w:rsid w:val="004D4A47"/>
    <w:rsid w:val="004D4A8F"/>
    <w:rsid w:val="004D4A99"/>
    <w:rsid w:val="004D4AF7"/>
    <w:rsid w:val="004D4AFD"/>
    <w:rsid w:val="004D4B24"/>
    <w:rsid w:val="004D4C85"/>
    <w:rsid w:val="004D4C8D"/>
    <w:rsid w:val="004D4D0D"/>
    <w:rsid w:val="004D4DF1"/>
    <w:rsid w:val="004D4E6F"/>
    <w:rsid w:val="004D4F19"/>
    <w:rsid w:val="004D4F27"/>
    <w:rsid w:val="004D4FF6"/>
    <w:rsid w:val="004D50A7"/>
    <w:rsid w:val="004D51BA"/>
    <w:rsid w:val="004D5279"/>
    <w:rsid w:val="004D543B"/>
    <w:rsid w:val="004D5468"/>
    <w:rsid w:val="004D5490"/>
    <w:rsid w:val="004D5491"/>
    <w:rsid w:val="004D558F"/>
    <w:rsid w:val="004D55CA"/>
    <w:rsid w:val="004D568A"/>
    <w:rsid w:val="004D56E8"/>
    <w:rsid w:val="004D5873"/>
    <w:rsid w:val="004D5957"/>
    <w:rsid w:val="004D5A34"/>
    <w:rsid w:val="004D5AC5"/>
    <w:rsid w:val="004D5ACB"/>
    <w:rsid w:val="004D5B05"/>
    <w:rsid w:val="004D5BA0"/>
    <w:rsid w:val="004D5DD3"/>
    <w:rsid w:val="004D5E02"/>
    <w:rsid w:val="004D5EF7"/>
    <w:rsid w:val="004D5F35"/>
    <w:rsid w:val="004D5F79"/>
    <w:rsid w:val="004D5FA9"/>
    <w:rsid w:val="004D606E"/>
    <w:rsid w:val="004D606F"/>
    <w:rsid w:val="004D630B"/>
    <w:rsid w:val="004D6562"/>
    <w:rsid w:val="004D65AD"/>
    <w:rsid w:val="004D6608"/>
    <w:rsid w:val="004D665A"/>
    <w:rsid w:val="004D66A4"/>
    <w:rsid w:val="004D6705"/>
    <w:rsid w:val="004D676A"/>
    <w:rsid w:val="004D677C"/>
    <w:rsid w:val="004D67BF"/>
    <w:rsid w:val="004D67DA"/>
    <w:rsid w:val="004D67FE"/>
    <w:rsid w:val="004D6C53"/>
    <w:rsid w:val="004D6CBD"/>
    <w:rsid w:val="004D6CC7"/>
    <w:rsid w:val="004D6CF1"/>
    <w:rsid w:val="004D6D51"/>
    <w:rsid w:val="004D6D6E"/>
    <w:rsid w:val="004D6EDC"/>
    <w:rsid w:val="004D6F9C"/>
    <w:rsid w:val="004D7053"/>
    <w:rsid w:val="004D70C2"/>
    <w:rsid w:val="004D7159"/>
    <w:rsid w:val="004D716A"/>
    <w:rsid w:val="004D71A6"/>
    <w:rsid w:val="004D71D3"/>
    <w:rsid w:val="004D72D4"/>
    <w:rsid w:val="004D7359"/>
    <w:rsid w:val="004D739A"/>
    <w:rsid w:val="004D74D6"/>
    <w:rsid w:val="004D763C"/>
    <w:rsid w:val="004D7665"/>
    <w:rsid w:val="004D7677"/>
    <w:rsid w:val="004D76F1"/>
    <w:rsid w:val="004D7794"/>
    <w:rsid w:val="004D7832"/>
    <w:rsid w:val="004D79BA"/>
    <w:rsid w:val="004D7AE6"/>
    <w:rsid w:val="004D7AFB"/>
    <w:rsid w:val="004D7C15"/>
    <w:rsid w:val="004D7D81"/>
    <w:rsid w:val="004D7F1E"/>
    <w:rsid w:val="004D7F35"/>
    <w:rsid w:val="004D7F68"/>
    <w:rsid w:val="004E0022"/>
    <w:rsid w:val="004E003B"/>
    <w:rsid w:val="004E006E"/>
    <w:rsid w:val="004E0075"/>
    <w:rsid w:val="004E0098"/>
    <w:rsid w:val="004E0195"/>
    <w:rsid w:val="004E02F1"/>
    <w:rsid w:val="004E0495"/>
    <w:rsid w:val="004E04DD"/>
    <w:rsid w:val="004E04E8"/>
    <w:rsid w:val="004E05B3"/>
    <w:rsid w:val="004E0605"/>
    <w:rsid w:val="004E075C"/>
    <w:rsid w:val="004E0827"/>
    <w:rsid w:val="004E086F"/>
    <w:rsid w:val="004E09B5"/>
    <w:rsid w:val="004E0A62"/>
    <w:rsid w:val="004E0B30"/>
    <w:rsid w:val="004E0B6D"/>
    <w:rsid w:val="004E0BAB"/>
    <w:rsid w:val="004E0BBF"/>
    <w:rsid w:val="004E0BE4"/>
    <w:rsid w:val="004E0C5D"/>
    <w:rsid w:val="004E0D57"/>
    <w:rsid w:val="004E0EE4"/>
    <w:rsid w:val="004E0EFE"/>
    <w:rsid w:val="004E0F13"/>
    <w:rsid w:val="004E0F1E"/>
    <w:rsid w:val="004E0F4E"/>
    <w:rsid w:val="004E0FA8"/>
    <w:rsid w:val="004E0FC7"/>
    <w:rsid w:val="004E10D5"/>
    <w:rsid w:val="004E10EA"/>
    <w:rsid w:val="004E1146"/>
    <w:rsid w:val="004E120D"/>
    <w:rsid w:val="004E12CC"/>
    <w:rsid w:val="004E1317"/>
    <w:rsid w:val="004E1383"/>
    <w:rsid w:val="004E13D3"/>
    <w:rsid w:val="004E1424"/>
    <w:rsid w:val="004E143D"/>
    <w:rsid w:val="004E15C5"/>
    <w:rsid w:val="004E15ED"/>
    <w:rsid w:val="004E16C1"/>
    <w:rsid w:val="004E1778"/>
    <w:rsid w:val="004E18CF"/>
    <w:rsid w:val="004E1918"/>
    <w:rsid w:val="004E1976"/>
    <w:rsid w:val="004E1A72"/>
    <w:rsid w:val="004E1B6C"/>
    <w:rsid w:val="004E1C30"/>
    <w:rsid w:val="004E1C90"/>
    <w:rsid w:val="004E1D5E"/>
    <w:rsid w:val="004E1D7E"/>
    <w:rsid w:val="004E1DE1"/>
    <w:rsid w:val="004E1E09"/>
    <w:rsid w:val="004E1E85"/>
    <w:rsid w:val="004E1E8E"/>
    <w:rsid w:val="004E1EDF"/>
    <w:rsid w:val="004E1F3A"/>
    <w:rsid w:val="004E1F96"/>
    <w:rsid w:val="004E1FB4"/>
    <w:rsid w:val="004E2072"/>
    <w:rsid w:val="004E2106"/>
    <w:rsid w:val="004E2114"/>
    <w:rsid w:val="004E2127"/>
    <w:rsid w:val="004E212D"/>
    <w:rsid w:val="004E2207"/>
    <w:rsid w:val="004E2374"/>
    <w:rsid w:val="004E23BD"/>
    <w:rsid w:val="004E23CD"/>
    <w:rsid w:val="004E24BD"/>
    <w:rsid w:val="004E2593"/>
    <w:rsid w:val="004E2599"/>
    <w:rsid w:val="004E2616"/>
    <w:rsid w:val="004E26F5"/>
    <w:rsid w:val="004E270B"/>
    <w:rsid w:val="004E276A"/>
    <w:rsid w:val="004E278D"/>
    <w:rsid w:val="004E2A79"/>
    <w:rsid w:val="004E2A82"/>
    <w:rsid w:val="004E2A93"/>
    <w:rsid w:val="004E2B0A"/>
    <w:rsid w:val="004E2CE7"/>
    <w:rsid w:val="004E2D33"/>
    <w:rsid w:val="004E2D92"/>
    <w:rsid w:val="004E2DFE"/>
    <w:rsid w:val="004E2E38"/>
    <w:rsid w:val="004E2E7E"/>
    <w:rsid w:val="004E2EC7"/>
    <w:rsid w:val="004E2F06"/>
    <w:rsid w:val="004E304C"/>
    <w:rsid w:val="004E3082"/>
    <w:rsid w:val="004E321A"/>
    <w:rsid w:val="004E32A4"/>
    <w:rsid w:val="004E32C3"/>
    <w:rsid w:val="004E3340"/>
    <w:rsid w:val="004E336C"/>
    <w:rsid w:val="004E33B0"/>
    <w:rsid w:val="004E34C4"/>
    <w:rsid w:val="004E34D8"/>
    <w:rsid w:val="004E34E2"/>
    <w:rsid w:val="004E3565"/>
    <w:rsid w:val="004E35FF"/>
    <w:rsid w:val="004E361E"/>
    <w:rsid w:val="004E377D"/>
    <w:rsid w:val="004E394C"/>
    <w:rsid w:val="004E3959"/>
    <w:rsid w:val="004E39A9"/>
    <w:rsid w:val="004E3A80"/>
    <w:rsid w:val="004E3AC5"/>
    <w:rsid w:val="004E3B6C"/>
    <w:rsid w:val="004E3D45"/>
    <w:rsid w:val="004E3DAC"/>
    <w:rsid w:val="004E3FDC"/>
    <w:rsid w:val="004E40A0"/>
    <w:rsid w:val="004E40AB"/>
    <w:rsid w:val="004E40B7"/>
    <w:rsid w:val="004E40EA"/>
    <w:rsid w:val="004E427E"/>
    <w:rsid w:val="004E42B8"/>
    <w:rsid w:val="004E43F9"/>
    <w:rsid w:val="004E4421"/>
    <w:rsid w:val="004E4480"/>
    <w:rsid w:val="004E450E"/>
    <w:rsid w:val="004E457A"/>
    <w:rsid w:val="004E4585"/>
    <w:rsid w:val="004E4592"/>
    <w:rsid w:val="004E45BC"/>
    <w:rsid w:val="004E4615"/>
    <w:rsid w:val="004E46E4"/>
    <w:rsid w:val="004E4885"/>
    <w:rsid w:val="004E4953"/>
    <w:rsid w:val="004E498A"/>
    <w:rsid w:val="004E4A66"/>
    <w:rsid w:val="004E4B43"/>
    <w:rsid w:val="004E4DEE"/>
    <w:rsid w:val="004E4F7C"/>
    <w:rsid w:val="004E4FDC"/>
    <w:rsid w:val="004E500E"/>
    <w:rsid w:val="004E511D"/>
    <w:rsid w:val="004E5130"/>
    <w:rsid w:val="004E5216"/>
    <w:rsid w:val="004E536D"/>
    <w:rsid w:val="004E5396"/>
    <w:rsid w:val="004E53EE"/>
    <w:rsid w:val="004E54A0"/>
    <w:rsid w:val="004E54A7"/>
    <w:rsid w:val="004E54C4"/>
    <w:rsid w:val="004E5885"/>
    <w:rsid w:val="004E5916"/>
    <w:rsid w:val="004E59CA"/>
    <w:rsid w:val="004E5A77"/>
    <w:rsid w:val="004E5AF4"/>
    <w:rsid w:val="004E5B2A"/>
    <w:rsid w:val="004E5CBF"/>
    <w:rsid w:val="004E5DDA"/>
    <w:rsid w:val="004E5E16"/>
    <w:rsid w:val="004E5E4D"/>
    <w:rsid w:val="004E5ECC"/>
    <w:rsid w:val="004E5F17"/>
    <w:rsid w:val="004E5F77"/>
    <w:rsid w:val="004E5F7D"/>
    <w:rsid w:val="004E600A"/>
    <w:rsid w:val="004E6077"/>
    <w:rsid w:val="004E60E9"/>
    <w:rsid w:val="004E61B3"/>
    <w:rsid w:val="004E6257"/>
    <w:rsid w:val="004E627C"/>
    <w:rsid w:val="004E630C"/>
    <w:rsid w:val="004E6366"/>
    <w:rsid w:val="004E63A5"/>
    <w:rsid w:val="004E641E"/>
    <w:rsid w:val="004E6471"/>
    <w:rsid w:val="004E690B"/>
    <w:rsid w:val="004E698E"/>
    <w:rsid w:val="004E6A0E"/>
    <w:rsid w:val="004E6A5E"/>
    <w:rsid w:val="004E6A72"/>
    <w:rsid w:val="004E6D6B"/>
    <w:rsid w:val="004E6DB0"/>
    <w:rsid w:val="004E701A"/>
    <w:rsid w:val="004E7059"/>
    <w:rsid w:val="004E7086"/>
    <w:rsid w:val="004E70B9"/>
    <w:rsid w:val="004E734F"/>
    <w:rsid w:val="004E742A"/>
    <w:rsid w:val="004E744F"/>
    <w:rsid w:val="004E7597"/>
    <w:rsid w:val="004E761A"/>
    <w:rsid w:val="004E761C"/>
    <w:rsid w:val="004E763B"/>
    <w:rsid w:val="004E787B"/>
    <w:rsid w:val="004E79E4"/>
    <w:rsid w:val="004E7A4A"/>
    <w:rsid w:val="004E7A75"/>
    <w:rsid w:val="004E7B6B"/>
    <w:rsid w:val="004E7BB2"/>
    <w:rsid w:val="004E7D25"/>
    <w:rsid w:val="004E7D52"/>
    <w:rsid w:val="004E7D7B"/>
    <w:rsid w:val="004E7D9D"/>
    <w:rsid w:val="004E7E2C"/>
    <w:rsid w:val="004E7F4C"/>
    <w:rsid w:val="004E7FA7"/>
    <w:rsid w:val="004E7FF0"/>
    <w:rsid w:val="004F000C"/>
    <w:rsid w:val="004F016B"/>
    <w:rsid w:val="004F0309"/>
    <w:rsid w:val="004F0340"/>
    <w:rsid w:val="004F04BA"/>
    <w:rsid w:val="004F0614"/>
    <w:rsid w:val="004F0653"/>
    <w:rsid w:val="004F06C2"/>
    <w:rsid w:val="004F06EF"/>
    <w:rsid w:val="004F06F7"/>
    <w:rsid w:val="004F072A"/>
    <w:rsid w:val="004F0854"/>
    <w:rsid w:val="004F0B40"/>
    <w:rsid w:val="004F0B85"/>
    <w:rsid w:val="004F0D7D"/>
    <w:rsid w:val="004F0D9D"/>
    <w:rsid w:val="004F0DAA"/>
    <w:rsid w:val="004F1174"/>
    <w:rsid w:val="004F125B"/>
    <w:rsid w:val="004F131A"/>
    <w:rsid w:val="004F1366"/>
    <w:rsid w:val="004F13DF"/>
    <w:rsid w:val="004F1520"/>
    <w:rsid w:val="004F161D"/>
    <w:rsid w:val="004F164D"/>
    <w:rsid w:val="004F168F"/>
    <w:rsid w:val="004F16A6"/>
    <w:rsid w:val="004F16C1"/>
    <w:rsid w:val="004F16DE"/>
    <w:rsid w:val="004F16E8"/>
    <w:rsid w:val="004F1704"/>
    <w:rsid w:val="004F17B3"/>
    <w:rsid w:val="004F18A0"/>
    <w:rsid w:val="004F1911"/>
    <w:rsid w:val="004F1A3A"/>
    <w:rsid w:val="004F1B5A"/>
    <w:rsid w:val="004F1B7A"/>
    <w:rsid w:val="004F1CC8"/>
    <w:rsid w:val="004F1CE8"/>
    <w:rsid w:val="004F1D24"/>
    <w:rsid w:val="004F1D8F"/>
    <w:rsid w:val="004F1DC6"/>
    <w:rsid w:val="004F1E70"/>
    <w:rsid w:val="004F1F6D"/>
    <w:rsid w:val="004F215E"/>
    <w:rsid w:val="004F2185"/>
    <w:rsid w:val="004F2214"/>
    <w:rsid w:val="004F226F"/>
    <w:rsid w:val="004F2297"/>
    <w:rsid w:val="004F2394"/>
    <w:rsid w:val="004F2419"/>
    <w:rsid w:val="004F242D"/>
    <w:rsid w:val="004F2529"/>
    <w:rsid w:val="004F2709"/>
    <w:rsid w:val="004F275F"/>
    <w:rsid w:val="004F2790"/>
    <w:rsid w:val="004F28BA"/>
    <w:rsid w:val="004F28EF"/>
    <w:rsid w:val="004F2952"/>
    <w:rsid w:val="004F2A48"/>
    <w:rsid w:val="004F2AC4"/>
    <w:rsid w:val="004F2AD6"/>
    <w:rsid w:val="004F2C2E"/>
    <w:rsid w:val="004F2C43"/>
    <w:rsid w:val="004F2C99"/>
    <w:rsid w:val="004F2DF1"/>
    <w:rsid w:val="004F2E30"/>
    <w:rsid w:val="004F3117"/>
    <w:rsid w:val="004F3236"/>
    <w:rsid w:val="004F3381"/>
    <w:rsid w:val="004F3404"/>
    <w:rsid w:val="004F35D1"/>
    <w:rsid w:val="004F37E2"/>
    <w:rsid w:val="004F3868"/>
    <w:rsid w:val="004F3A02"/>
    <w:rsid w:val="004F3A15"/>
    <w:rsid w:val="004F3A87"/>
    <w:rsid w:val="004F3B08"/>
    <w:rsid w:val="004F3E44"/>
    <w:rsid w:val="004F3EED"/>
    <w:rsid w:val="004F3FA1"/>
    <w:rsid w:val="004F4021"/>
    <w:rsid w:val="004F40A0"/>
    <w:rsid w:val="004F4115"/>
    <w:rsid w:val="004F41E9"/>
    <w:rsid w:val="004F422D"/>
    <w:rsid w:val="004F4268"/>
    <w:rsid w:val="004F42BB"/>
    <w:rsid w:val="004F4438"/>
    <w:rsid w:val="004F4476"/>
    <w:rsid w:val="004F449C"/>
    <w:rsid w:val="004F44F3"/>
    <w:rsid w:val="004F4509"/>
    <w:rsid w:val="004F452F"/>
    <w:rsid w:val="004F45A1"/>
    <w:rsid w:val="004F45DA"/>
    <w:rsid w:val="004F46AE"/>
    <w:rsid w:val="004F46DC"/>
    <w:rsid w:val="004F4872"/>
    <w:rsid w:val="004F4916"/>
    <w:rsid w:val="004F4953"/>
    <w:rsid w:val="004F4AB0"/>
    <w:rsid w:val="004F4AFD"/>
    <w:rsid w:val="004F4BA1"/>
    <w:rsid w:val="004F4C83"/>
    <w:rsid w:val="004F4D04"/>
    <w:rsid w:val="004F4D72"/>
    <w:rsid w:val="004F4D85"/>
    <w:rsid w:val="004F4D8C"/>
    <w:rsid w:val="004F4D9A"/>
    <w:rsid w:val="004F4E5E"/>
    <w:rsid w:val="004F4F95"/>
    <w:rsid w:val="004F513F"/>
    <w:rsid w:val="004F51F7"/>
    <w:rsid w:val="004F52B8"/>
    <w:rsid w:val="004F52F0"/>
    <w:rsid w:val="004F539A"/>
    <w:rsid w:val="004F53FA"/>
    <w:rsid w:val="004F5424"/>
    <w:rsid w:val="004F5434"/>
    <w:rsid w:val="004F54B1"/>
    <w:rsid w:val="004F54D7"/>
    <w:rsid w:val="004F5649"/>
    <w:rsid w:val="004F567B"/>
    <w:rsid w:val="004F56A4"/>
    <w:rsid w:val="004F56D1"/>
    <w:rsid w:val="004F56F6"/>
    <w:rsid w:val="004F57F3"/>
    <w:rsid w:val="004F5816"/>
    <w:rsid w:val="004F59C4"/>
    <w:rsid w:val="004F5A21"/>
    <w:rsid w:val="004F5ACC"/>
    <w:rsid w:val="004F5AE3"/>
    <w:rsid w:val="004F5BA2"/>
    <w:rsid w:val="004F5C37"/>
    <w:rsid w:val="004F5CA6"/>
    <w:rsid w:val="004F5CEA"/>
    <w:rsid w:val="004F5D11"/>
    <w:rsid w:val="004F5D66"/>
    <w:rsid w:val="004F5E8A"/>
    <w:rsid w:val="004F5FC4"/>
    <w:rsid w:val="004F6005"/>
    <w:rsid w:val="004F600A"/>
    <w:rsid w:val="004F60A7"/>
    <w:rsid w:val="004F617C"/>
    <w:rsid w:val="004F61AF"/>
    <w:rsid w:val="004F61CF"/>
    <w:rsid w:val="004F61E9"/>
    <w:rsid w:val="004F6227"/>
    <w:rsid w:val="004F6230"/>
    <w:rsid w:val="004F626F"/>
    <w:rsid w:val="004F6348"/>
    <w:rsid w:val="004F640D"/>
    <w:rsid w:val="004F6567"/>
    <w:rsid w:val="004F6768"/>
    <w:rsid w:val="004F6797"/>
    <w:rsid w:val="004F68F9"/>
    <w:rsid w:val="004F6905"/>
    <w:rsid w:val="004F6993"/>
    <w:rsid w:val="004F6B2B"/>
    <w:rsid w:val="004F6B38"/>
    <w:rsid w:val="004F6BB2"/>
    <w:rsid w:val="004F6C4B"/>
    <w:rsid w:val="004F6CE5"/>
    <w:rsid w:val="004F6DD7"/>
    <w:rsid w:val="004F6DE3"/>
    <w:rsid w:val="004F6E19"/>
    <w:rsid w:val="004F6E2E"/>
    <w:rsid w:val="004F6EA9"/>
    <w:rsid w:val="004F6ED5"/>
    <w:rsid w:val="004F701F"/>
    <w:rsid w:val="004F70D5"/>
    <w:rsid w:val="004F71F7"/>
    <w:rsid w:val="004F729A"/>
    <w:rsid w:val="004F72DD"/>
    <w:rsid w:val="004F7399"/>
    <w:rsid w:val="004F74E1"/>
    <w:rsid w:val="004F7721"/>
    <w:rsid w:val="004F77F4"/>
    <w:rsid w:val="004F7861"/>
    <w:rsid w:val="004F78EC"/>
    <w:rsid w:val="004F7969"/>
    <w:rsid w:val="004F7A4F"/>
    <w:rsid w:val="004F7A79"/>
    <w:rsid w:val="004F7AD0"/>
    <w:rsid w:val="004F7BBA"/>
    <w:rsid w:val="004F7CBE"/>
    <w:rsid w:val="004F7D9E"/>
    <w:rsid w:val="004F7E3C"/>
    <w:rsid w:val="004F7EC7"/>
    <w:rsid w:val="004F7EF5"/>
    <w:rsid w:val="004F7FAE"/>
    <w:rsid w:val="00500013"/>
    <w:rsid w:val="00500047"/>
    <w:rsid w:val="00500070"/>
    <w:rsid w:val="00500074"/>
    <w:rsid w:val="005000E8"/>
    <w:rsid w:val="0050019C"/>
    <w:rsid w:val="005001C4"/>
    <w:rsid w:val="005001F5"/>
    <w:rsid w:val="0050022F"/>
    <w:rsid w:val="005002D1"/>
    <w:rsid w:val="00500339"/>
    <w:rsid w:val="00500473"/>
    <w:rsid w:val="00500488"/>
    <w:rsid w:val="00500717"/>
    <w:rsid w:val="00500814"/>
    <w:rsid w:val="005008FC"/>
    <w:rsid w:val="005009E8"/>
    <w:rsid w:val="00500A99"/>
    <w:rsid w:val="00500B3A"/>
    <w:rsid w:val="00500B3C"/>
    <w:rsid w:val="00500C5A"/>
    <w:rsid w:val="00500CB8"/>
    <w:rsid w:val="00500EDA"/>
    <w:rsid w:val="00500EFB"/>
    <w:rsid w:val="00500F0A"/>
    <w:rsid w:val="00500F83"/>
    <w:rsid w:val="00500FA6"/>
    <w:rsid w:val="00500FB5"/>
    <w:rsid w:val="00500FB6"/>
    <w:rsid w:val="00501023"/>
    <w:rsid w:val="005010BB"/>
    <w:rsid w:val="00501247"/>
    <w:rsid w:val="005012BF"/>
    <w:rsid w:val="0050140F"/>
    <w:rsid w:val="00501496"/>
    <w:rsid w:val="00501576"/>
    <w:rsid w:val="005016B6"/>
    <w:rsid w:val="005016E1"/>
    <w:rsid w:val="00501918"/>
    <w:rsid w:val="00501A07"/>
    <w:rsid w:val="00501A45"/>
    <w:rsid w:val="00501A9E"/>
    <w:rsid w:val="00501B97"/>
    <w:rsid w:val="00501C7B"/>
    <w:rsid w:val="00501CBF"/>
    <w:rsid w:val="00501DAB"/>
    <w:rsid w:val="00501DFC"/>
    <w:rsid w:val="00501EA1"/>
    <w:rsid w:val="00501EA7"/>
    <w:rsid w:val="0050208E"/>
    <w:rsid w:val="0050209A"/>
    <w:rsid w:val="0050226B"/>
    <w:rsid w:val="005022BE"/>
    <w:rsid w:val="00502325"/>
    <w:rsid w:val="005023C0"/>
    <w:rsid w:val="005023CA"/>
    <w:rsid w:val="005026D8"/>
    <w:rsid w:val="005027AA"/>
    <w:rsid w:val="005027F5"/>
    <w:rsid w:val="005029A1"/>
    <w:rsid w:val="00502BB2"/>
    <w:rsid w:val="00502BFD"/>
    <w:rsid w:val="00502C85"/>
    <w:rsid w:val="00502D59"/>
    <w:rsid w:val="00502D5F"/>
    <w:rsid w:val="00502D69"/>
    <w:rsid w:val="00502D7C"/>
    <w:rsid w:val="00502DC8"/>
    <w:rsid w:val="00502DEE"/>
    <w:rsid w:val="00502E56"/>
    <w:rsid w:val="00502F40"/>
    <w:rsid w:val="00502F72"/>
    <w:rsid w:val="00503008"/>
    <w:rsid w:val="00503033"/>
    <w:rsid w:val="00503093"/>
    <w:rsid w:val="0050325B"/>
    <w:rsid w:val="0050347D"/>
    <w:rsid w:val="00503594"/>
    <w:rsid w:val="005036D3"/>
    <w:rsid w:val="00503713"/>
    <w:rsid w:val="0050386D"/>
    <w:rsid w:val="00503886"/>
    <w:rsid w:val="0050390C"/>
    <w:rsid w:val="0050397F"/>
    <w:rsid w:val="00503A0D"/>
    <w:rsid w:val="00503A11"/>
    <w:rsid w:val="00503A96"/>
    <w:rsid w:val="00503AE4"/>
    <w:rsid w:val="00503B6F"/>
    <w:rsid w:val="00503BD0"/>
    <w:rsid w:val="00503BD3"/>
    <w:rsid w:val="00503CA3"/>
    <w:rsid w:val="00504122"/>
    <w:rsid w:val="005041CC"/>
    <w:rsid w:val="005041D4"/>
    <w:rsid w:val="00504329"/>
    <w:rsid w:val="0050432E"/>
    <w:rsid w:val="00504427"/>
    <w:rsid w:val="00504434"/>
    <w:rsid w:val="005045ED"/>
    <w:rsid w:val="00504623"/>
    <w:rsid w:val="00504660"/>
    <w:rsid w:val="00504740"/>
    <w:rsid w:val="005047D8"/>
    <w:rsid w:val="005047E1"/>
    <w:rsid w:val="00504946"/>
    <w:rsid w:val="0050494D"/>
    <w:rsid w:val="00504AF6"/>
    <w:rsid w:val="00504B04"/>
    <w:rsid w:val="00504B6A"/>
    <w:rsid w:val="00504BF8"/>
    <w:rsid w:val="00504C8C"/>
    <w:rsid w:val="00504C9F"/>
    <w:rsid w:val="00504CE2"/>
    <w:rsid w:val="00504D08"/>
    <w:rsid w:val="00504DCB"/>
    <w:rsid w:val="00504E9B"/>
    <w:rsid w:val="00504F1F"/>
    <w:rsid w:val="00504F5D"/>
    <w:rsid w:val="00504F76"/>
    <w:rsid w:val="0050524B"/>
    <w:rsid w:val="00505385"/>
    <w:rsid w:val="005053C7"/>
    <w:rsid w:val="00505541"/>
    <w:rsid w:val="00505660"/>
    <w:rsid w:val="00505661"/>
    <w:rsid w:val="00505757"/>
    <w:rsid w:val="00505AC4"/>
    <w:rsid w:val="00505B26"/>
    <w:rsid w:val="00505C31"/>
    <w:rsid w:val="00505C50"/>
    <w:rsid w:val="00505C9F"/>
    <w:rsid w:val="00505DAA"/>
    <w:rsid w:val="00505EA6"/>
    <w:rsid w:val="00505F1D"/>
    <w:rsid w:val="00505F57"/>
    <w:rsid w:val="00506550"/>
    <w:rsid w:val="00506563"/>
    <w:rsid w:val="005066FF"/>
    <w:rsid w:val="00506735"/>
    <w:rsid w:val="0050682E"/>
    <w:rsid w:val="00506C49"/>
    <w:rsid w:val="00506C50"/>
    <w:rsid w:val="00506F54"/>
    <w:rsid w:val="00506F79"/>
    <w:rsid w:val="005070A4"/>
    <w:rsid w:val="005070C0"/>
    <w:rsid w:val="0050716B"/>
    <w:rsid w:val="005071B1"/>
    <w:rsid w:val="005071EB"/>
    <w:rsid w:val="00507290"/>
    <w:rsid w:val="005072B0"/>
    <w:rsid w:val="005072FC"/>
    <w:rsid w:val="00507314"/>
    <w:rsid w:val="00507508"/>
    <w:rsid w:val="00507562"/>
    <w:rsid w:val="00507564"/>
    <w:rsid w:val="0050766A"/>
    <w:rsid w:val="005076EA"/>
    <w:rsid w:val="00507771"/>
    <w:rsid w:val="00507A86"/>
    <w:rsid w:val="00507BF4"/>
    <w:rsid w:val="00507BFD"/>
    <w:rsid w:val="00507C1E"/>
    <w:rsid w:val="00507CDB"/>
    <w:rsid w:val="00507D2E"/>
    <w:rsid w:val="00507E35"/>
    <w:rsid w:val="00507F4C"/>
    <w:rsid w:val="00507F99"/>
    <w:rsid w:val="00507FD7"/>
    <w:rsid w:val="005100A5"/>
    <w:rsid w:val="005100E1"/>
    <w:rsid w:val="005102C4"/>
    <w:rsid w:val="0051032E"/>
    <w:rsid w:val="00510377"/>
    <w:rsid w:val="005103A3"/>
    <w:rsid w:val="00510486"/>
    <w:rsid w:val="00510517"/>
    <w:rsid w:val="00510637"/>
    <w:rsid w:val="0051075F"/>
    <w:rsid w:val="0051081A"/>
    <w:rsid w:val="0051084D"/>
    <w:rsid w:val="005108FB"/>
    <w:rsid w:val="00510A0D"/>
    <w:rsid w:val="00510A12"/>
    <w:rsid w:val="00510A45"/>
    <w:rsid w:val="00510A81"/>
    <w:rsid w:val="00510A9C"/>
    <w:rsid w:val="00510ACD"/>
    <w:rsid w:val="00510BE1"/>
    <w:rsid w:val="00510BE5"/>
    <w:rsid w:val="00510C53"/>
    <w:rsid w:val="00510C86"/>
    <w:rsid w:val="00510CCE"/>
    <w:rsid w:val="00510D7E"/>
    <w:rsid w:val="00510E00"/>
    <w:rsid w:val="00510E40"/>
    <w:rsid w:val="0051100C"/>
    <w:rsid w:val="005110D5"/>
    <w:rsid w:val="005110F8"/>
    <w:rsid w:val="005110FC"/>
    <w:rsid w:val="0051111E"/>
    <w:rsid w:val="00511183"/>
    <w:rsid w:val="0051122D"/>
    <w:rsid w:val="00511277"/>
    <w:rsid w:val="00511401"/>
    <w:rsid w:val="00511588"/>
    <w:rsid w:val="00511884"/>
    <w:rsid w:val="005118F5"/>
    <w:rsid w:val="0051196E"/>
    <w:rsid w:val="00511A6C"/>
    <w:rsid w:val="00511A9B"/>
    <w:rsid w:val="00511A9D"/>
    <w:rsid w:val="00511ABE"/>
    <w:rsid w:val="00511B1F"/>
    <w:rsid w:val="00511BB9"/>
    <w:rsid w:val="00511BF8"/>
    <w:rsid w:val="00511DAA"/>
    <w:rsid w:val="00511DC3"/>
    <w:rsid w:val="00511E89"/>
    <w:rsid w:val="00511F28"/>
    <w:rsid w:val="00511FEC"/>
    <w:rsid w:val="0051204E"/>
    <w:rsid w:val="005120A7"/>
    <w:rsid w:val="005120FC"/>
    <w:rsid w:val="0051225D"/>
    <w:rsid w:val="0051227F"/>
    <w:rsid w:val="00512285"/>
    <w:rsid w:val="005122F1"/>
    <w:rsid w:val="00512352"/>
    <w:rsid w:val="00512367"/>
    <w:rsid w:val="005123FC"/>
    <w:rsid w:val="00512437"/>
    <w:rsid w:val="0051245A"/>
    <w:rsid w:val="0051256C"/>
    <w:rsid w:val="005125EA"/>
    <w:rsid w:val="00512766"/>
    <w:rsid w:val="005127C0"/>
    <w:rsid w:val="0051281A"/>
    <w:rsid w:val="00512871"/>
    <w:rsid w:val="005128A2"/>
    <w:rsid w:val="0051297E"/>
    <w:rsid w:val="00512A52"/>
    <w:rsid w:val="00512B34"/>
    <w:rsid w:val="00512B45"/>
    <w:rsid w:val="00512B5D"/>
    <w:rsid w:val="00512B64"/>
    <w:rsid w:val="00512C24"/>
    <w:rsid w:val="00512CE4"/>
    <w:rsid w:val="00512D06"/>
    <w:rsid w:val="00512D6A"/>
    <w:rsid w:val="00512D76"/>
    <w:rsid w:val="00512FCC"/>
    <w:rsid w:val="00513044"/>
    <w:rsid w:val="00513067"/>
    <w:rsid w:val="005130B0"/>
    <w:rsid w:val="0051311D"/>
    <w:rsid w:val="00513172"/>
    <w:rsid w:val="005132A2"/>
    <w:rsid w:val="005132D5"/>
    <w:rsid w:val="005133FA"/>
    <w:rsid w:val="005134DD"/>
    <w:rsid w:val="00513512"/>
    <w:rsid w:val="00513591"/>
    <w:rsid w:val="0051359D"/>
    <w:rsid w:val="005137B9"/>
    <w:rsid w:val="005137BC"/>
    <w:rsid w:val="005137FC"/>
    <w:rsid w:val="0051385A"/>
    <w:rsid w:val="00513900"/>
    <w:rsid w:val="00513973"/>
    <w:rsid w:val="00513AE1"/>
    <w:rsid w:val="00513CF6"/>
    <w:rsid w:val="00513D2D"/>
    <w:rsid w:val="00513DA1"/>
    <w:rsid w:val="00513E08"/>
    <w:rsid w:val="00513E7A"/>
    <w:rsid w:val="00513FDF"/>
    <w:rsid w:val="00514081"/>
    <w:rsid w:val="0051430B"/>
    <w:rsid w:val="0051446A"/>
    <w:rsid w:val="00514563"/>
    <w:rsid w:val="00514612"/>
    <w:rsid w:val="00514744"/>
    <w:rsid w:val="00514750"/>
    <w:rsid w:val="005147AB"/>
    <w:rsid w:val="00514942"/>
    <w:rsid w:val="00514B07"/>
    <w:rsid w:val="00514BDE"/>
    <w:rsid w:val="00514D66"/>
    <w:rsid w:val="00514DE6"/>
    <w:rsid w:val="00514DEA"/>
    <w:rsid w:val="00514E33"/>
    <w:rsid w:val="00514E8A"/>
    <w:rsid w:val="00514F5C"/>
    <w:rsid w:val="00514FEC"/>
    <w:rsid w:val="0051506F"/>
    <w:rsid w:val="00515182"/>
    <w:rsid w:val="005152F8"/>
    <w:rsid w:val="005154EB"/>
    <w:rsid w:val="005157AE"/>
    <w:rsid w:val="005157B3"/>
    <w:rsid w:val="005157CD"/>
    <w:rsid w:val="005157CE"/>
    <w:rsid w:val="005157D4"/>
    <w:rsid w:val="00515831"/>
    <w:rsid w:val="0051596D"/>
    <w:rsid w:val="00515A11"/>
    <w:rsid w:val="00515A26"/>
    <w:rsid w:val="00515A2C"/>
    <w:rsid w:val="00515A78"/>
    <w:rsid w:val="00515AA9"/>
    <w:rsid w:val="00515ABB"/>
    <w:rsid w:val="00515D19"/>
    <w:rsid w:val="00515DD0"/>
    <w:rsid w:val="00515ED5"/>
    <w:rsid w:val="00515F5B"/>
    <w:rsid w:val="00516079"/>
    <w:rsid w:val="00516691"/>
    <w:rsid w:val="0051670B"/>
    <w:rsid w:val="0051671F"/>
    <w:rsid w:val="00516791"/>
    <w:rsid w:val="005167F6"/>
    <w:rsid w:val="00516843"/>
    <w:rsid w:val="0051686B"/>
    <w:rsid w:val="00516910"/>
    <w:rsid w:val="00516956"/>
    <w:rsid w:val="0051695D"/>
    <w:rsid w:val="005169A1"/>
    <w:rsid w:val="005169BD"/>
    <w:rsid w:val="00516ADC"/>
    <w:rsid w:val="00516B01"/>
    <w:rsid w:val="00516BCE"/>
    <w:rsid w:val="00516BD7"/>
    <w:rsid w:val="00516C38"/>
    <w:rsid w:val="00516CEE"/>
    <w:rsid w:val="00516DE5"/>
    <w:rsid w:val="00516E44"/>
    <w:rsid w:val="00516E45"/>
    <w:rsid w:val="00516E47"/>
    <w:rsid w:val="005171A2"/>
    <w:rsid w:val="005171AB"/>
    <w:rsid w:val="005173A3"/>
    <w:rsid w:val="0051761D"/>
    <w:rsid w:val="00517690"/>
    <w:rsid w:val="00517706"/>
    <w:rsid w:val="00517758"/>
    <w:rsid w:val="00517858"/>
    <w:rsid w:val="00517A7A"/>
    <w:rsid w:val="00517AE4"/>
    <w:rsid w:val="00517B2D"/>
    <w:rsid w:val="00517B6F"/>
    <w:rsid w:val="00517C1D"/>
    <w:rsid w:val="00517D40"/>
    <w:rsid w:val="00517D9A"/>
    <w:rsid w:val="00517DC8"/>
    <w:rsid w:val="00517E97"/>
    <w:rsid w:val="00517FEC"/>
    <w:rsid w:val="00520040"/>
    <w:rsid w:val="005201EA"/>
    <w:rsid w:val="0052026B"/>
    <w:rsid w:val="0052026C"/>
    <w:rsid w:val="00520279"/>
    <w:rsid w:val="005202D4"/>
    <w:rsid w:val="005203F0"/>
    <w:rsid w:val="005203FE"/>
    <w:rsid w:val="00520496"/>
    <w:rsid w:val="005206AE"/>
    <w:rsid w:val="005206B3"/>
    <w:rsid w:val="005206C4"/>
    <w:rsid w:val="005206E5"/>
    <w:rsid w:val="005207FC"/>
    <w:rsid w:val="00520861"/>
    <w:rsid w:val="00520979"/>
    <w:rsid w:val="00520AAE"/>
    <w:rsid w:val="00520CB2"/>
    <w:rsid w:val="00520D1E"/>
    <w:rsid w:val="00520D71"/>
    <w:rsid w:val="00520EA3"/>
    <w:rsid w:val="00520F05"/>
    <w:rsid w:val="00520F46"/>
    <w:rsid w:val="00520F90"/>
    <w:rsid w:val="005210D7"/>
    <w:rsid w:val="0052130F"/>
    <w:rsid w:val="00521347"/>
    <w:rsid w:val="005213B4"/>
    <w:rsid w:val="0052146B"/>
    <w:rsid w:val="005214C4"/>
    <w:rsid w:val="0052154B"/>
    <w:rsid w:val="0052156C"/>
    <w:rsid w:val="00521577"/>
    <w:rsid w:val="0052166C"/>
    <w:rsid w:val="00521670"/>
    <w:rsid w:val="005218E4"/>
    <w:rsid w:val="00521900"/>
    <w:rsid w:val="0052192B"/>
    <w:rsid w:val="00521950"/>
    <w:rsid w:val="00521955"/>
    <w:rsid w:val="005219E0"/>
    <w:rsid w:val="00521A79"/>
    <w:rsid w:val="00521B81"/>
    <w:rsid w:val="00521B86"/>
    <w:rsid w:val="00521C29"/>
    <w:rsid w:val="00521C72"/>
    <w:rsid w:val="00521D50"/>
    <w:rsid w:val="00521D9A"/>
    <w:rsid w:val="00521DD0"/>
    <w:rsid w:val="00521DEC"/>
    <w:rsid w:val="00521EED"/>
    <w:rsid w:val="005220A7"/>
    <w:rsid w:val="00522112"/>
    <w:rsid w:val="005222D9"/>
    <w:rsid w:val="00522321"/>
    <w:rsid w:val="00522556"/>
    <w:rsid w:val="005227C9"/>
    <w:rsid w:val="00522805"/>
    <w:rsid w:val="005229A5"/>
    <w:rsid w:val="005229C7"/>
    <w:rsid w:val="005229F0"/>
    <w:rsid w:val="00522AA4"/>
    <w:rsid w:val="00522AAE"/>
    <w:rsid w:val="00522B3A"/>
    <w:rsid w:val="00522CEB"/>
    <w:rsid w:val="00522D2B"/>
    <w:rsid w:val="00522D65"/>
    <w:rsid w:val="00522E7E"/>
    <w:rsid w:val="00522E9D"/>
    <w:rsid w:val="00522F81"/>
    <w:rsid w:val="00522FD3"/>
    <w:rsid w:val="005230AA"/>
    <w:rsid w:val="00523149"/>
    <w:rsid w:val="0052322E"/>
    <w:rsid w:val="00523230"/>
    <w:rsid w:val="00523242"/>
    <w:rsid w:val="00523251"/>
    <w:rsid w:val="005233AF"/>
    <w:rsid w:val="00523499"/>
    <w:rsid w:val="005234A9"/>
    <w:rsid w:val="005234AB"/>
    <w:rsid w:val="0052359B"/>
    <w:rsid w:val="005235B3"/>
    <w:rsid w:val="00523600"/>
    <w:rsid w:val="00523649"/>
    <w:rsid w:val="0052370E"/>
    <w:rsid w:val="005237A9"/>
    <w:rsid w:val="005238DE"/>
    <w:rsid w:val="00523941"/>
    <w:rsid w:val="005239E5"/>
    <w:rsid w:val="00523B02"/>
    <w:rsid w:val="00523B3B"/>
    <w:rsid w:val="00523BE1"/>
    <w:rsid w:val="00523CB3"/>
    <w:rsid w:val="00523DE2"/>
    <w:rsid w:val="00523E7E"/>
    <w:rsid w:val="00523EB0"/>
    <w:rsid w:val="00523EBE"/>
    <w:rsid w:val="00523EE0"/>
    <w:rsid w:val="00523F0B"/>
    <w:rsid w:val="00523FA4"/>
    <w:rsid w:val="005240A7"/>
    <w:rsid w:val="0052427E"/>
    <w:rsid w:val="00524380"/>
    <w:rsid w:val="005243C7"/>
    <w:rsid w:val="005243F4"/>
    <w:rsid w:val="00524421"/>
    <w:rsid w:val="00524494"/>
    <w:rsid w:val="00524542"/>
    <w:rsid w:val="0052459C"/>
    <w:rsid w:val="005245A4"/>
    <w:rsid w:val="00524627"/>
    <w:rsid w:val="005246E8"/>
    <w:rsid w:val="00524790"/>
    <w:rsid w:val="0052480A"/>
    <w:rsid w:val="00524820"/>
    <w:rsid w:val="00524886"/>
    <w:rsid w:val="00524933"/>
    <w:rsid w:val="005249B5"/>
    <w:rsid w:val="005249F9"/>
    <w:rsid w:val="00524A22"/>
    <w:rsid w:val="00524ADB"/>
    <w:rsid w:val="00524C46"/>
    <w:rsid w:val="00524C53"/>
    <w:rsid w:val="00524CEA"/>
    <w:rsid w:val="00524D14"/>
    <w:rsid w:val="00524D96"/>
    <w:rsid w:val="00524DE9"/>
    <w:rsid w:val="00524EEE"/>
    <w:rsid w:val="00524F02"/>
    <w:rsid w:val="00524F97"/>
    <w:rsid w:val="00524FF3"/>
    <w:rsid w:val="00524FF6"/>
    <w:rsid w:val="00525012"/>
    <w:rsid w:val="0052508F"/>
    <w:rsid w:val="005251C1"/>
    <w:rsid w:val="00525435"/>
    <w:rsid w:val="005254AF"/>
    <w:rsid w:val="005254C1"/>
    <w:rsid w:val="0052554B"/>
    <w:rsid w:val="0052558F"/>
    <w:rsid w:val="005255E1"/>
    <w:rsid w:val="0052563B"/>
    <w:rsid w:val="005256A9"/>
    <w:rsid w:val="00525701"/>
    <w:rsid w:val="00525768"/>
    <w:rsid w:val="0052578E"/>
    <w:rsid w:val="005258E0"/>
    <w:rsid w:val="00525928"/>
    <w:rsid w:val="00525992"/>
    <w:rsid w:val="005259A5"/>
    <w:rsid w:val="005259B1"/>
    <w:rsid w:val="00525B43"/>
    <w:rsid w:val="00525B79"/>
    <w:rsid w:val="00525C00"/>
    <w:rsid w:val="00525C0D"/>
    <w:rsid w:val="00525C0E"/>
    <w:rsid w:val="00525D15"/>
    <w:rsid w:val="00525D3D"/>
    <w:rsid w:val="00525E3D"/>
    <w:rsid w:val="00525E6F"/>
    <w:rsid w:val="00525EC0"/>
    <w:rsid w:val="00526019"/>
    <w:rsid w:val="00526120"/>
    <w:rsid w:val="005261E6"/>
    <w:rsid w:val="0052636E"/>
    <w:rsid w:val="005264B8"/>
    <w:rsid w:val="0052650E"/>
    <w:rsid w:val="00526513"/>
    <w:rsid w:val="0052661D"/>
    <w:rsid w:val="00526796"/>
    <w:rsid w:val="00526848"/>
    <w:rsid w:val="00526885"/>
    <w:rsid w:val="005269BC"/>
    <w:rsid w:val="00526AB8"/>
    <w:rsid w:val="00526AF3"/>
    <w:rsid w:val="00526B02"/>
    <w:rsid w:val="00526B40"/>
    <w:rsid w:val="00526B6C"/>
    <w:rsid w:val="00526B99"/>
    <w:rsid w:val="00526C36"/>
    <w:rsid w:val="00526C62"/>
    <w:rsid w:val="00526F49"/>
    <w:rsid w:val="00526FAD"/>
    <w:rsid w:val="00527127"/>
    <w:rsid w:val="00527186"/>
    <w:rsid w:val="005271AC"/>
    <w:rsid w:val="00527235"/>
    <w:rsid w:val="0052725F"/>
    <w:rsid w:val="0052735A"/>
    <w:rsid w:val="00527381"/>
    <w:rsid w:val="005274B6"/>
    <w:rsid w:val="005274FA"/>
    <w:rsid w:val="0052756F"/>
    <w:rsid w:val="00527699"/>
    <w:rsid w:val="00527AD7"/>
    <w:rsid w:val="00527BD1"/>
    <w:rsid w:val="00527BDA"/>
    <w:rsid w:val="00527C09"/>
    <w:rsid w:val="00527C78"/>
    <w:rsid w:val="00527D11"/>
    <w:rsid w:val="00527D4C"/>
    <w:rsid w:val="00527DBD"/>
    <w:rsid w:val="00527EC5"/>
    <w:rsid w:val="00527F8A"/>
    <w:rsid w:val="00527FE6"/>
    <w:rsid w:val="0053009C"/>
    <w:rsid w:val="005300EF"/>
    <w:rsid w:val="00530150"/>
    <w:rsid w:val="0053018E"/>
    <w:rsid w:val="005301C9"/>
    <w:rsid w:val="00530203"/>
    <w:rsid w:val="005302A7"/>
    <w:rsid w:val="005304D2"/>
    <w:rsid w:val="0053061F"/>
    <w:rsid w:val="00530703"/>
    <w:rsid w:val="0053074D"/>
    <w:rsid w:val="0053078D"/>
    <w:rsid w:val="005307A0"/>
    <w:rsid w:val="0053087F"/>
    <w:rsid w:val="00530885"/>
    <w:rsid w:val="00530909"/>
    <w:rsid w:val="00530977"/>
    <w:rsid w:val="00530A0E"/>
    <w:rsid w:val="00530A20"/>
    <w:rsid w:val="00530A39"/>
    <w:rsid w:val="00530B4F"/>
    <w:rsid w:val="00530BFF"/>
    <w:rsid w:val="00530C04"/>
    <w:rsid w:val="00530C56"/>
    <w:rsid w:val="00530C7A"/>
    <w:rsid w:val="00530D72"/>
    <w:rsid w:val="00530D74"/>
    <w:rsid w:val="00530DDB"/>
    <w:rsid w:val="00530EA5"/>
    <w:rsid w:val="00530F2F"/>
    <w:rsid w:val="00530F97"/>
    <w:rsid w:val="00530FA3"/>
    <w:rsid w:val="00530FBA"/>
    <w:rsid w:val="00531107"/>
    <w:rsid w:val="005311E7"/>
    <w:rsid w:val="00531210"/>
    <w:rsid w:val="00531267"/>
    <w:rsid w:val="005312DA"/>
    <w:rsid w:val="00531388"/>
    <w:rsid w:val="005313C7"/>
    <w:rsid w:val="00531547"/>
    <w:rsid w:val="00531575"/>
    <w:rsid w:val="00531629"/>
    <w:rsid w:val="00531697"/>
    <w:rsid w:val="005317E5"/>
    <w:rsid w:val="0053180A"/>
    <w:rsid w:val="00531931"/>
    <w:rsid w:val="0053195B"/>
    <w:rsid w:val="00531983"/>
    <w:rsid w:val="0053199B"/>
    <w:rsid w:val="00531A01"/>
    <w:rsid w:val="00531AA6"/>
    <w:rsid w:val="00531AAE"/>
    <w:rsid w:val="00531AC0"/>
    <w:rsid w:val="00531AEA"/>
    <w:rsid w:val="00531BB3"/>
    <w:rsid w:val="00531C37"/>
    <w:rsid w:val="00531C3C"/>
    <w:rsid w:val="00531CAA"/>
    <w:rsid w:val="00531D80"/>
    <w:rsid w:val="00531DFE"/>
    <w:rsid w:val="00531E26"/>
    <w:rsid w:val="00531E87"/>
    <w:rsid w:val="00531EA3"/>
    <w:rsid w:val="00531FEB"/>
    <w:rsid w:val="00532070"/>
    <w:rsid w:val="00532129"/>
    <w:rsid w:val="0053220A"/>
    <w:rsid w:val="0053222B"/>
    <w:rsid w:val="005322EE"/>
    <w:rsid w:val="005322FA"/>
    <w:rsid w:val="0053255D"/>
    <w:rsid w:val="00532588"/>
    <w:rsid w:val="0053268E"/>
    <w:rsid w:val="00532784"/>
    <w:rsid w:val="005328D3"/>
    <w:rsid w:val="005329FF"/>
    <w:rsid w:val="00532A72"/>
    <w:rsid w:val="00532B35"/>
    <w:rsid w:val="00532B5B"/>
    <w:rsid w:val="00532BA7"/>
    <w:rsid w:val="00532BAA"/>
    <w:rsid w:val="00532E59"/>
    <w:rsid w:val="00532F2A"/>
    <w:rsid w:val="00532F5B"/>
    <w:rsid w:val="00532FD9"/>
    <w:rsid w:val="005331A9"/>
    <w:rsid w:val="00533306"/>
    <w:rsid w:val="00533353"/>
    <w:rsid w:val="0053336C"/>
    <w:rsid w:val="00533376"/>
    <w:rsid w:val="0053338A"/>
    <w:rsid w:val="0053340A"/>
    <w:rsid w:val="0053349F"/>
    <w:rsid w:val="0053354D"/>
    <w:rsid w:val="0053358F"/>
    <w:rsid w:val="0053359E"/>
    <w:rsid w:val="005335E5"/>
    <w:rsid w:val="0053379A"/>
    <w:rsid w:val="0053379B"/>
    <w:rsid w:val="005338B7"/>
    <w:rsid w:val="005339E3"/>
    <w:rsid w:val="00533C07"/>
    <w:rsid w:val="00533EE7"/>
    <w:rsid w:val="00533F0C"/>
    <w:rsid w:val="00533F47"/>
    <w:rsid w:val="00533FCD"/>
    <w:rsid w:val="00534099"/>
    <w:rsid w:val="005340B1"/>
    <w:rsid w:val="00534104"/>
    <w:rsid w:val="005341CA"/>
    <w:rsid w:val="00534308"/>
    <w:rsid w:val="0053449B"/>
    <w:rsid w:val="00534570"/>
    <w:rsid w:val="00534613"/>
    <w:rsid w:val="005346D1"/>
    <w:rsid w:val="00534728"/>
    <w:rsid w:val="00534739"/>
    <w:rsid w:val="00534867"/>
    <w:rsid w:val="005348CA"/>
    <w:rsid w:val="005348DD"/>
    <w:rsid w:val="005349CF"/>
    <w:rsid w:val="00534BA0"/>
    <w:rsid w:val="00534BC4"/>
    <w:rsid w:val="00534D48"/>
    <w:rsid w:val="00534F99"/>
    <w:rsid w:val="0053501A"/>
    <w:rsid w:val="005350CD"/>
    <w:rsid w:val="00535109"/>
    <w:rsid w:val="005351BC"/>
    <w:rsid w:val="005351C0"/>
    <w:rsid w:val="0053525F"/>
    <w:rsid w:val="005352B9"/>
    <w:rsid w:val="005353CD"/>
    <w:rsid w:val="00535470"/>
    <w:rsid w:val="0053559B"/>
    <w:rsid w:val="0053572D"/>
    <w:rsid w:val="005357AB"/>
    <w:rsid w:val="0053580C"/>
    <w:rsid w:val="0053581E"/>
    <w:rsid w:val="0053586C"/>
    <w:rsid w:val="0053588D"/>
    <w:rsid w:val="005358AE"/>
    <w:rsid w:val="005358D0"/>
    <w:rsid w:val="00535915"/>
    <w:rsid w:val="0053598B"/>
    <w:rsid w:val="005359C3"/>
    <w:rsid w:val="00535A17"/>
    <w:rsid w:val="00535A1A"/>
    <w:rsid w:val="00535AB5"/>
    <w:rsid w:val="00535B4A"/>
    <w:rsid w:val="00535D36"/>
    <w:rsid w:val="00535DD6"/>
    <w:rsid w:val="00535DEA"/>
    <w:rsid w:val="00535EEA"/>
    <w:rsid w:val="00535F03"/>
    <w:rsid w:val="00535F17"/>
    <w:rsid w:val="005360C8"/>
    <w:rsid w:val="00536187"/>
    <w:rsid w:val="005361CD"/>
    <w:rsid w:val="005361D2"/>
    <w:rsid w:val="00536326"/>
    <w:rsid w:val="005363A1"/>
    <w:rsid w:val="005364AA"/>
    <w:rsid w:val="005364EC"/>
    <w:rsid w:val="005365C1"/>
    <w:rsid w:val="005365FF"/>
    <w:rsid w:val="0053668B"/>
    <w:rsid w:val="005366F8"/>
    <w:rsid w:val="00536721"/>
    <w:rsid w:val="00536744"/>
    <w:rsid w:val="00536753"/>
    <w:rsid w:val="005367F5"/>
    <w:rsid w:val="00536858"/>
    <w:rsid w:val="005369C2"/>
    <w:rsid w:val="00536A3C"/>
    <w:rsid w:val="00536AE1"/>
    <w:rsid w:val="00536B08"/>
    <w:rsid w:val="00536B58"/>
    <w:rsid w:val="00536BBC"/>
    <w:rsid w:val="00536C1D"/>
    <w:rsid w:val="00536C20"/>
    <w:rsid w:val="00536DBA"/>
    <w:rsid w:val="00536E2E"/>
    <w:rsid w:val="00536F1A"/>
    <w:rsid w:val="00536F3A"/>
    <w:rsid w:val="00536F9C"/>
    <w:rsid w:val="005370D2"/>
    <w:rsid w:val="00537147"/>
    <w:rsid w:val="0053714D"/>
    <w:rsid w:val="0053715C"/>
    <w:rsid w:val="00537166"/>
    <w:rsid w:val="00537306"/>
    <w:rsid w:val="005373DB"/>
    <w:rsid w:val="005373E1"/>
    <w:rsid w:val="005377BB"/>
    <w:rsid w:val="00537824"/>
    <w:rsid w:val="005378C7"/>
    <w:rsid w:val="0053790D"/>
    <w:rsid w:val="00537937"/>
    <w:rsid w:val="0053797B"/>
    <w:rsid w:val="005379E2"/>
    <w:rsid w:val="00537A14"/>
    <w:rsid w:val="00537A74"/>
    <w:rsid w:val="00537A85"/>
    <w:rsid w:val="00537B46"/>
    <w:rsid w:val="00537C20"/>
    <w:rsid w:val="00537CD6"/>
    <w:rsid w:val="00537F67"/>
    <w:rsid w:val="00537F8E"/>
    <w:rsid w:val="00537FB1"/>
    <w:rsid w:val="0054010F"/>
    <w:rsid w:val="005401D3"/>
    <w:rsid w:val="00540258"/>
    <w:rsid w:val="005402A0"/>
    <w:rsid w:val="005404BC"/>
    <w:rsid w:val="00540622"/>
    <w:rsid w:val="005406A2"/>
    <w:rsid w:val="005406DD"/>
    <w:rsid w:val="00540796"/>
    <w:rsid w:val="005408EC"/>
    <w:rsid w:val="005408F8"/>
    <w:rsid w:val="00540914"/>
    <w:rsid w:val="00540915"/>
    <w:rsid w:val="00540A99"/>
    <w:rsid w:val="00540AC9"/>
    <w:rsid w:val="00540B8B"/>
    <w:rsid w:val="00540F12"/>
    <w:rsid w:val="00540F25"/>
    <w:rsid w:val="00540F7F"/>
    <w:rsid w:val="00540F9D"/>
    <w:rsid w:val="0054122F"/>
    <w:rsid w:val="00541292"/>
    <w:rsid w:val="00541388"/>
    <w:rsid w:val="005413B9"/>
    <w:rsid w:val="0054146C"/>
    <w:rsid w:val="005414FA"/>
    <w:rsid w:val="005418A1"/>
    <w:rsid w:val="005418E6"/>
    <w:rsid w:val="00541969"/>
    <w:rsid w:val="005419C7"/>
    <w:rsid w:val="00541CD9"/>
    <w:rsid w:val="00541D1D"/>
    <w:rsid w:val="00541D5B"/>
    <w:rsid w:val="00541DEE"/>
    <w:rsid w:val="00541E96"/>
    <w:rsid w:val="00541EBF"/>
    <w:rsid w:val="00541F91"/>
    <w:rsid w:val="00542060"/>
    <w:rsid w:val="005420CF"/>
    <w:rsid w:val="0054216D"/>
    <w:rsid w:val="00542265"/>
    <w:rsid w:val="00542305"/>
    <w:rsid w:val="00542422"/>
    <w:rsid w:val="00542513"/>
    <w:rsid w:val="00542592"/>
    <w:rsid w:val="005425FF"/>
    <w:rsid w:val="00542600"/>
    <w:rsid w:val="0054266D"/>
    <w:rsid w:val="0054269A"/>
    <w:rsid w:val="005426B8"/>
    <w:rsid w:val="005426F8"/>
    <w:rsid w:val="005427D3"/>
    <w:rsid w:val="005427DF"/>
    <w:rsid w:val="00542A4D"/>
    <w:rsid w:val="00542A67"/>
    <w:rsid w:val="00542AD9"/>
    <w:rsid w:val="00542AF5"/>
    <w:rsid w:val="00542B07"/>
    <w:rsid w:val="00542B97"/>
    <w:rsid w:val="00542BBB"/>
    <w:rsid w:val="00542CFD"/>
    <w:rsid w:val="00542D7D"/>
    <w:rsid w:val="00542DF5"/>
    <w:rsid w:val="00542E2C"/>
    <w:rsid w:val="00542EEC"/>
    <w:rsid w:val="00542F95"/>
    <w:rsid w:val="0054315D"/>
    <w:rsid w:val="005431CD"/>
    <w:rsid w:val="00543265"/>
    <w:rsid w:val="0054332E"/>
    <w:rsid w:val="00543401"/>
    <w:rsid w:val="0054365C"/>
    <w:rsid w:val="0054367B"/>
    <w:rsid w:val="0054367D"/>
    <w:rsid w:val="00543689"/>
    <w:rsid w:val="005437AA"/>
    <w:rsid w:val="005438EE"/>
    <w:rsid w:val="0054392D"/>
    <w:rsid w:val="00543985"/>
    <w:rsid w:val="005439E0"/>
    <w:rsid w:val="00543BD0"/>
    <w:rsid w:val="00543C0E"/>
    <w:rsid w:val="00543D47"/>
    <w:rsid w:val="00543DFC"/>
    <w:rsid w:val="00543E2B"/>
    <w:rsid w:val="00543F41"/>
    <w:rsid w:val="00543F7F"/>
    <w:rsid w:val="0054410B"/>
    <w:rsid w:val="00544221"/>
    <w:rsid w:val="00544339"/>
    <w:rsid w:val="0054447E"/>
    <w:rsid w:val="005444D7"/>
    <w:rsid w:val="005444EE"/>
    <w:rsid w:val="0054457C"/>
    <w:rsid w:val="0054462E"/>
    <w:rsid w:val="005446CD"/>
    <w:rsid w:val="00544723"/>
    <w:rsid w:val="0054477A"/>
    <w:rsid w:val="0054484F"/>
    <w:rsid w:val="0054489B"/>
    <w:rsid w:val="005448A6"/>
    <w:rsid w:val="00544981"/>
    <w:rsid w:val="00544A69"/>
    <w:rsid w:val="00544ACB"/>
    <w:rsid w:val="00544B83"/>
    <w:rsid w:val="00544BBF"/>
    <w:rsid w:val="00544BC9"/>
    <w:rsid w:val="00544BED"/>
    <w:rsid w:val="00544C3D"/>
    <w:rsid w:val="00544CC6"/>
    <w:rsid w:val="00544D58"/>
    <w:rsid w:val="00544D65"/>
    <w:rsid w:val="00544DC6"/>
    <w:rsid w:val="00544E25"/>
    <w:rsid w:val="00544E88"/>
    <w:rsid w:val="00544EAC"/>
    <w:rsid w:val="00545020"/>
    <w:rsid w:val="0054514F"/>
    <w:rsid w:val="005451EC"/>
    <w:rsid w:val="00545245"/>
    <w:rsid w:val="005453DA"/>
    <w:rsid w:val="005454A5"/>
    <w:rsid w:val="005454B7"/>
    <w:rsid w:val="005454E2"/>
    <w:rsid w:val="005455C8"/>
    <w:rsid w:val="005456DE"/>
    <w:rsid w:val="00545725"/>
    <w:rsid w:val="0054587D"/>
    <w:rsid w:val="00545897"/>
    <w:rsid w:val="005459DA"/>
    <w:rsid w:val="00545A26"/>
    <w:rsid w:val="00545A2E"/>
    <w:rsid w:val="00545A6F"/>
    <w:rsid w:val="00545B43"/>
    <w:rsid w:val="00545C62"/>
    <w:rsid w:val="00545D5E"/>
    <w:rsid w:val="00545EAA"/>
    <w:rsid w:val="00545F37"/>
    <w:rsid w:val="00545F85"/>
    <w:rsid w:val="00545FC4"/>
    <w:rsid w:val="00545FF4"/>
    <w:rsid w:val="00546009"/>
    <w:rsid w:val="00546032"/>
    <w:rsid w:val="00546076"/>
    <w:rsid w:val="0054613B"/>
    <w:rsid w:val="00546157"/>
    <w:rsid w:val="00546180"/>
    <w:rsid w:val="0054626E"/>
    <w:rsid w:val="00546393"/>
    <w:rsid w:val="00546571"/>
    <w:rsid w:val="00546641"/>
    <w:rsid w:val="00546670"/>
    <w:rsid w:val="005467D2"/>
    <w:rsid w:val="005467DA"/>
    <w:rsid w:val="00546966"/>
    <w:rsid w:val="00546A17"/>
    <w:rsid w:val="00546A9C"/>
    <w:rsid w:val="00546BF4"/>
    <w:rsid w:val="00546C12"/>
    <w:rsid w:val="00546C5B"/>
    <w:rsid w:val="00546C74"/>
    <w:rsid w:val="00546CA6"/>
    <w:rsid w:val="00546D05"/>
    <w:rsid w:val="00546D13"/>
    <w:rsid w:val="00546D2C"/>
    <w:rsid w:val="00546F82"/>
    <w:rsid w:val="00547137"/>
    <w:rsid w:val="0054713E"/>
    <w:rsid w:val="005474E8"/>
    <w:rsid w:val="005475CA"/>
    <w:rsid w:val="005475F4"/>
    <w:rsid w:val="00547611"/>
    <w:rsid w:val="00547619"/>
    <w:rsid w:val="00547802"/>
    <w:rsid w:val="005478EC"/>
    <w:rsid w:val="005478F5"/>
    <w:rsid w:val="00547962"/>
    <w:rsid w:val="00547A9D"/>
    <w:rsid w:val="00547AF3"/>
    <w:rsid w:val="00547B93"/>
    <w:rsid w:val="00547B9D"/>
    <w:rsid w:val="00547C03"/>
    <w:rsid w:val="00547C51"/>
    <w:rsid w:val="00547CC6"/>
    <w:rsid w:val="00550044"/>
    <w:rsid w:val="0055015F"/>
    <w:rsid w:val="005502F5"/>
    <w:rsid w:val="00550404"/>
    <w:rsid w:val="00550418"/>
    <w:rsid w:val="005504EC"/>
    <w:rsid w:val="00550531"/>
    <w:rsid w:val="0055068F"/>
    <w:rsid w:val="0055072D"/>
    <w:rsid w:val="0055084A"/>
    <w:rsid w:val="005508AB"/>
    <w:rsid w:val="005508EC"/>
    <w:rsid w:val="00550905"/>
    <w:rsid w:val="005509DE"/>
    <w:rsid w:val="00550A4B"/>
    <w:rsid w:val="00550B97"/>
    <w:rsid w:val="00550C72"/>
    <w:rsid w:val="00550ED6"/>
    <w:rsid w:val="005510E9"/>
    <w:rsid w:val="00551200"/>
    <w:rsid w:val="005513D2"/>
    <w:rsid w:val="005514BC"/>
    <w:rsid w:val="005515E3"/>
    <w:rsid w:val="005515F3"/>
    <w:rsid w:val="00551602"/>
    <w:rsid w:val="00551679"/>
    <w:rsid w:val="0055167C"/>
    <w:rsid w:val="0055169E"/>
    <w:rsid w:val="0055191B"/>
    <w:rsid w:val="00551926"/>
    <w:rsid w:val="00551B74"/>
    <w:rsid w:val="00551C93"/>
    <w:rsid w:val="00551CBB"/>
    <w:rsid w:val="00551CC1"/>
    <w:rsid w:val="00551D2B"/>
    <w:rsid w:val="00551E2A"/>
    <w:rsid w:val="00551F02"/>
    <w:rsid w:val="00551F08"/>
    <w:rsid w:val="005520D3"/>
    <w:rsid w:val="005520F6"/>
    <w:rsid w:val="00552151"/>
    <w:rsid w:val="0055215F"/>
    <w:rsid w:val="0055216D"/>
    <w:rsid w:val="0055220B"/>
    <w:rsid w:val="0055228F"/>
    <w:rsid w:val="0055233F"/>
    <w:rsid w:val="005523BA"/>
    <w:rsid w:val="0055268C"/>
    <w:rsid w:val="00552784"/>
    <w:rsid w:val="005527D8"/>
    <w:rsid w:val="00552806"/>
    <w:rsid w:val="005529C5"/>
    <w:rsid w:val="00552AA6"/>
    <w:rsid w:val="00552AC5"/>
    <w:rsid w:val="00552BAC"/>
    <w:rsid w:val="00552C74"/>
    <w:rsid w:val="00552E6D"/>
    <w:rsid w:val="00552EE5"/>
    <w:rsid w:val="00552EF9"/>
    <w:rsid w:val="00552F75"/>
    <w:rsid w:val="00552F94"/>
    <w:rsid w:val="0055306C"/>
    <w:rsid w:val="00553162"/>
    <w:rsid w:val="005533C8"/>
    <w:rsid w:val="0055341B"/>
    <w:rsid w:val="0055341C"/>
    <w:rsid w:val="00553503"/>
    <w:rsid w:val="00553621"/>
    <w:rsid w:val="00553903"/>
    <w:rsid w:val="00553959"/>
    <w:rsid w:val="00553A86"/>
    <w:rsid w:val="00553B23"/>
    <w:rsid w:val="00553B54"/>
    <w:rsid w:val="00553BB2"/>
    <w:rsid w:val="00553BB6"/>
    <w:rsid w:val="00553D37"/>
    <w:rsid w:val="00553F02"/>
    <w:rsid w:val="00553F8E"/>
    <w:rsid w:val="00553F8F"/>
    <w:rsid w:val="00553FEE"/>
    <w:rsid w:val="00554034"/>
    <w:rsid w:val="005540B9"/>
    <w:rsid w:val="005541F5"/>
    <w:rsid w:val="00554295"/>
    <w:rsid w:val="005542CF"/>
    <w:rsid w:val="0055432E"/>
    <w:rsid w:val="00554381"/>
    <w:rsid w:val="005543A8"/>
    <w:rsid w:val="00554468"/>
    <w:rsid w:val="005545ED"/>
    <w:rsid w:val="00554610"/>
    <w:rsid w:val="005546B4"/>
    <w:rsid w:val="005546DB"/>
    <w:rsid w:val="005546F5"/>
    <w:rsid w:val="0055487B"/>
    <w:rsid w:val="005548AD"/>
    <w:rsid w:val="005548BA"/>
    <w:rsid w:val="00554B42"/>
    <w:rsid w:val="00554C5D"/>
    <w:rsid w:val="00554C9A"/>
    <w:rsid w:val="00554CD4"/>
    <w:rsid w:val="00554CEA"/>
    <w:rsid w:val="00554D85"/>
    <w:rsid w:val="00554E0A"/>
    <w:rsid w:val="00554E75"/>
    <w:rsid w:val="00554EDA"/>
    <w:rsid w:val="00554F9F"/>
    <w:rsid w:val="005550B6"/>
    <w:rsid w:val="0055513B"/>
    <w:rsid w:val="0055518E"/>
    <w:rsid w:val="005551A8"/>
    <w:rsid w:val="00555444"/>
    <w:rsid w:val="0055546F"/>
    <w:rsid w:val="00555484"/>
    <w:rsid w:val="0055548C"/>
    <w:rsid w:val="005554C8"/>
    <w:rsid w:val="0055562C"/>
    <w:rsid w:val="005556BF"/>
    <w:rsid w:val="005556C9"/>
    <w:rsid w:val="0055574E"/>
    <w:rsid w:val="0055574F"/>
    <w:rsid w:val="00555B31"/>
    <w:rsid w:val="00555B4A"/>
    <w:rsid w:val="00555C2C"/>
    <w:rsid w:val="00555C2F"/>
    <w:rsid w:val="00555DFE"/>
    <w:rsid w:val="00555EDB"/>
    <w:rsid w:val="00556065"/>
    <w:rsid w:val="005560CF"/>
    <w:rsid w:val="0055623A"/>
    <w:rsid w:val="00556316"/>
    <w:rsid w:val="0055648C"/>
    <w:rsid w:val="00556495"/>
    <w:rsid w:val="005567B0"/>
    <w:rsid w:val="005567C4"/>
    <w:rsid w:val="0055681F"/>
    <w:rsid w:val="00556839"/>
    <w:rsid w:val="005568DB"/>
    <w:rsid w:val="00556995"/>
    <w:rsid w:val="005569BA"/>
    <w:rsid w:val="005569D1"/>
    <w:rsid w:val="00556B1A"/>
    <w:rsid w:val="00556BFC"/>
    <w:rsid w:val="00556C86"/>
    <w:rsid w:val="00556CB2"/>
    <w:rsid w:val="00556D4B"/>
    <w:rsid w:val="00556D57"/>
    <w:rsid w:val="00556E28"/>
    <w:rsid w:val="00556F21"/>
    <w:rsid w:val="00556F55"/>
    <w:rsid w:val="00557062"/>
    <w:rsid w:val="005570AC"/>
    <w:rsid w:val="005571ED"/>
    <w:rsid w:val="00557262"/>
    <w:rsid w:val="00557354"/>
    <w:rsid w:val="005573A8"/>
    <w:rsid w:val="00557410"/>
    <w:rsid w:val="005575E2"/>
    <w:rsid w:val="005576A3"/>
    <w:rsid w:val="005576D4"/>
    <w:rsid w:val="005576EB"/>
    <w:rsid w:val="0055775C"/>
    <w:rsid w:val="0055776F"/>
    <w:rsid w:val="005577BA"/>
    <w:rsid w:val="005577E8"/>
    <w:rsid w:val="0055799A"/>
    <w:rsid w:val="00557A19"/>
    <w:rsid w:val="00557C09"/>
    <w:rsid w:val="00557C14"/>
    <w:rsid w:val="00557C22"/>
    <w:rsid w:val="00557CE1"/>
    <w:rsid w:val="00557D01"/>
    <w:rsid w:val="00557DBF"/>
    <w:rsid w:val="00557E90"/>
    <w:rsid w:val="00557F86"/>
    <w:rsid w:val="00557FF4"/>
    <w:rsid w:val="00560196"/>
    <w:rsid w:val="0056022C"/>
    <w:rsid w:val="005602CA"/>
    <w:rsid w:val="005602E7"/>
    <w:rsid w:val="005603F7"/>
    <w:rsid w:val="005605B7"/>
    <w:rsid w:val="00560617"/>
    <w:rsid w:val="00560631"/>
    <w:rsid w:val="00560646"/>
    <w:rsid w:val="005606F7"/>
    <w:rsid w:val="00560715"/>
    <w:rsid w:val="0056076C"/>
    <w:rsid w:val="00560A57"/>
    <w:rsid w:val="00560AC8"/>
    <w:rsid w:val="00560BC0"/>
    <w:rsid w:val="00560C5B"/>
    <w:rsid w:val="00560DA1"/>
    <w:rsid w:val="00560DAD"/>
    <w:rsid w:val="00560DE4"/>
    <w:rsid w:val="00560E57"/>
    <w:rsid w:val="00560FC6"/>
    <w:rsid w:val="005610CA"/>
    <w:rsid w:val="0056111E"/>
    <w:rsid w:val="00561337"/>
    <w:rsid w:val="005613A9"/>
    <w:rsid w:val="005613B2"/>
    <w:rsid w:val="005613FC"/>
    <w:rsid w:val="0056148F"/>
    <w:rsid w:val="0056151A"/>
    <w:rsid w:val="005615F8"/>
    <w:rsid w:val="005615FD"/>
    <w:rsid w:val="0056168E"/>
    <w:rsid w:val="00561697"/>
    <w:rsid w:val="0056189F"/>
    <w:rsid w:val="00561900"/>
    <w:rsid w:val="00561ABB"/>
    <w:rsid w:val="00561B0E"/>
    <w:rsid w:val="00561B5B"/>
    <w:rsid w:val="00561C8E"/>
    <w:rsid w:val="00561CCE"/>
    <w:rsid w:val="00561CE6"/>
    <w:rsid w:val="00561D9C"/>
    <w:rsid w:val="00561DCD"/>
    <w:rsid w:val="00561E19"/>
    <w:rsid w:val="00561E4B"/>
    <w:rsid w:val="00561E53"/>
    <w:rsid w:val="00561ED9"/>
    <w:rsid w:val="00561F68"/>
    <w:rsid w:val="00561FF5"/>
    <w:rsid w:val="00562099"/>
    <w:rsid w:val="0056210C"/>
    <w:rsid w:val="005622CF"/>
    <w:rsid w:val="0056238F"/>
    <w:rsid w:val="0056276D"/>
    <w:rsid w:val="0056277F"/>
    <w:rsid w:val="0056279B"/>
    <w:rsid w:val="00562915"/>
    <w:rsid w:val="005629FE"/>
    <w:rsid w:val="00562B27"/>
    <w:rsid w:val="00562C9F"/>
    <w:rsid w:val="00562DC8"/>
    <w:rsid w:val="00562ED7"/>
    <w:rsid w:val="00562FA1"/>
    <w:rsid w:val="00562FDA"/>
    <w:rsid w:val="00563189"/>
    <w:rsid w:val="0056325D"/>
    <w:rsid w:val="00563273"/>
    <w:rsid w:val="005632F6"/>
    <w:rsid w:val="00563323"/>
    <w:rsid w:val="005633A1"/>
    <w:rsid w:val="0056343E"/>
    <w:rsid w:val="0056358D"/>
    <w:rsid w:val="0056359C"/>
    <w:rsid w:val="005636A5"/>
    <w:rsid w:val="0056370A"/>
    <w:rsid w:val="00563739"/>
    <w:rsid w:val="00563802"/>
    <w:rsid w:val="005638DF"/>
    <w:rsid w:val="00563961"/>
    <w:rsid w:val="00563977"/>
    <w:rsid w:val="00563A7F"/>
    <w:rsid w:val="00563B5E"/>
    <w:rsid w:val="00563CB7"/>
    <w:rsid w:val="00563D8B"/>
    <w:rsid w:val="00563E53"/>
    <w:rsid w:val="00563EAC"/>
    <w:rsid w:val="00563EF1"/>
    <w:rsid w:val="00563F6D"/>
    <w:rsid w:val="00564081"/>
    <w:rsid w:val="0056414D"/>
    <w:rsid w:val="0056428F"/>
    <w:rsid w:val="0056429A"/>
    <w:rsid w:val="00564514"/>
    <w:rsid w:val="00564538"/>
    <w:rsid w:val="00564582"/>
    <w:rsid w:val="0056460E"/>
    <w:rsid w:val="00564703"/>
    <w:rsid w:val="00564870"/>
    <w:rsid w:val="005648AA"/>
    <w:rsid w:val="0056494C"/>
    <w:rsid w:val="00564A80"/>
    <w:rsid w:val="00564A8D"/>
    <w:rsid w:val="00564B77"/>
    <w:rsid w:val="00564D4C"/>
    <w:rsid w:val="00564E2A"/>
    <w:rsid w:val="00565136"/>
    <w:rsid w:val="00565150"/>
    <w:rsid w:val="00565313"/>
    <w:rsid w:val="00565441"/>
    <w:rsid w:val="005654A5"/>
    <w:rsid w:val="005654B6"/>
    <w:rsid w:val="005654E2"/>
    <w:rsid w:val="005654E8"/>
    <w:rsid w:val="005655AA"/>
    <w:rsid w:val="00565669"/>
    <w:rsid w:val="0056566C"/>
    <w:rsid w:val="005656DF"/>
    <w:rsid w:val="00565700"/>
    <w:rsid w:val="005657A9"/>
    <w:rsid w:val="005657ED"/>
    <w:rsid w:val="00565868"/>
    <w:rsid w:val="0056586E"/>
    <w:rsid w:val="005658DD"/>
    <w:rsid w:val="0056591F"/>
    <w:rsid w:val="00565A50"/>
    <w:rsid w:val="00565AA9"/>
    <w:rsid w:val="00565AEB"/>
    <w:rsid w:val="00565B44"/>
    <w:rsid w:val="00565CF7"/>
    <w:rsid w:val="00565D36"/>
    <w:rsid w:val="00565E0C"/>
    <w:rsid w:val="00565EAD"/>
    <w:rsid w:val="00565EDD"/>
    <w:rsid w:val="00565F9A"/>
    <w:rsid w:val="005660E2"/>
    <w:rsid w:val="00566119"/>
    <w:rsid w:val="00566157"/>
    <w:rsid w:val="0056622A"/>
    <w:rsid w:val="005663BB"/>
    <w:rsid w:val="0056650C"/>
    <w:rsid w:val="005667FA"/>
    <w:rsid w:val="005667FC"/>
    <w:rsid w:val="00566916"/>
    <w:rsid w:val="0056694A"/>
    <w:rsid w:val="00566A81"/>
    <w:rsid w:val="00566B0B"/>
    <w:rsid w:val="00566B1F"/>
    <w:rsid w:val="00566C00"/>
    <w:rsid w:val="00566EA9"/>
    <w:rsid w:val="00566F7B"/>
    <w:rsid w:val="00567053"/>
    <w:rsid w:val="00567056"/>
    <w:rsid w:val="0056710C"/>
    <w:rsid w:val="00567112"/>
    <w:rsid w:val="00567163"/>
    <w:rsid w:val="00567180"/>
    <w:rsid w:val="00567242"/>
    <w:rsid w:val="005674DE"/>
    <w:rsid w:val="005674F0"/>
    <w:rsid w:val="0056762E"/>
    <w:rsid w:val="00567637"/>
    <w:rsid w:val="005676A3"/>
    <w:rsid w:val="005676F6"/>
    <w:rsid w:val="00567701"/>
    <w:rsid w:val="005677DD"/>
    <w:rsid w:val="005677FC"/>
    <w:rsid w:val="0056787B"/>
    <w:rsid w:val="0056798A"/>
    <w:rsid w:val="00567BE3"/>
    <w:rsid w:val="00567C92"/>
    <w:rsid w:val="00567CCC"/>
    <w:rsid w:val="00567CE3"/>
    <w:rsid w:val="00567D50"/>
    <w:rsid w:val="00567D8E"/>
    <w:rsid w:val="00567DA9"/>
    <w:rsid w:val="00567DC2"/>
    <w:rsid w:val="00567DCE"/>
    <w:rsid w:val="00567DFC"/>
    <w:rsid w:val="00567E23"/>
    <w:rsid w:val="0056ED34"/>
    <w:rsid w:val="005700A2"/>
    <w:rsid w:val="0057020B"/>
    <w:rsid w:val="0057024E"/>
    <w:rsid w:val="0057030D"/>
    <w:rsid w:val="0057032F"/>
    <w:rsid w:val="00570360"/>
    <w:rsid w:val="0057036F"/>
    <w:rsid w:val="005704BE"/>
    <w:rsid w:val="00570635"/>
    <w:rsid w:val="00570658"/>
    <w:rsid w:val="0057066A"/>
    <w:rsid w:val="005707CE"/>
    <w:rsid w:val="0057086A"/>
    <w:rsid w:val="00570A62"/>
    <w:rsid w:val="00570B2C"/>
    <w:rsid w:val="00570BCC"/>
    <w:rsid w:val="00570CBC"/>
    <w:rsid w:val="00570CBF"/>
    <w:rsid w:val="00570CE1"/>
    <w:rsid w:val="00570D3F"/>
    <w:rsid w:val="00570DA9"/>
    <w:rsid w:val="00570DF6"/>
    <w:rsid w:val="00570E5B"/>
    <w:rsid w:val="00570ED1"/>
    <w:rsid w:val="00570F80"/>
    <w:rsid w:val="00570F8A"/>
    <w:rsid w:val="005710EB"/>
    <w:rsid w:val="005711D2"/>
    <w:rsid w:val="00571257"/>
    <w:rsid w:val="0057127B"/>
    <w:rsid w:val="005712CE"/>
    <w:rsid w:val="0057134C"/>
    <w:rsid w:val="005715AB"/>
    <w:rsid w:val="00571607"/>
    <w:rsid w:val="005716A1"/>
    <w:rsid w:val="005716A4"/>
    <w:rsid w:val="005716B5"/>
    <w:rsid w:val="005716D5"/>
    <w:rsid w:val="005717AD"/>
    <w:rsid w:val="005717B0"/>
    <w:rsid w:val="00571807"/>
    <w:rsid w:val="00571861"/>
    <w:rsid w:val="005718BA"/>
    <w:rsid w:val="00571921"/>
    <w:rsid w:val="005719A8"/>
    <w:rsid w:val="005719A9"/>
    <w:rsid w:val="005719DB"/>
    <w:rsid w:val="00571A03"/>
    <w:rsid w:val="00571AA4"/>
    <w:rsid w:val="00571C70"/>
    <w:rsid w:val="00571DD9"/>
    <w:rsid w:val="00571F8B"/>
    <w:rsid w:val="00572022"/>
    <w:rsid w:val="00572044"/>
    <w:rsid w:val="005720B8"/>
    <w:rsid w:val="005720FC"/>
    <w:rsid w:val="00572106"/>
    <w:rsid w:val="00572115"/>
    <w:rsid w:val="005721A9"/>
    <w:rsid w:val="0057220F"/>
    <w:rsid w:val="00572336"/>
    <w:rsid w:val="00572338"/>
    <w:rsid w:val="00572370"/>
    <w:rsid w:val="005723D3"/>
    <w:rsid w:val="0057242C"/>
    <w:rsid w:val="005725B6"/>
    <w:rsid w:val="005725F2"/>
    <w:rsid w:val="00572630"/>
    <w:rsid w:val="005726F5"/>
    <w:rsid w:val="00572775"/>
    <w:rsid w:val="005727BD"/>
    <w:rsid w:val="00572800"/>
    <w:rsid w:val="0057286A"/>
    <w:rsid w:val="0057286F"/>
    <w:rsid w:val="005728AA"/>
    <w:rsid w:val="005728ED"/>
    <w:rsid w:val="00572D45"/>
    <w:rsid w:val="00572D6C"/>
    <w:rsid w:val="00572E6D"/>
    <w:rsid w:val="00572F49"/>
    <w:rsid w:val="00572FD8"/>
    <w:rsid w:val="00573121"/>
    <w:rsid w:val="0057314B"/>
    <w:rsid w:val="0057319E"/>
    <w:rsid w:val="0057332A"/>
    <w:rsid w:val="005733AB"/>
    <w:rsid w:val="005733B0"/>
    <w:rsid w:val="005734D6"/>
    <w:rsid w:val="005734E8"/>
    <w:rsid w:val="0057361C"/>
    <w:rsid w:val="0057364D"/>
    <w:rsid w:val="00573667"/>
    <w:rsid w:val="0057374F"/>
    <w:rsid w:val="00573785"/>
    <w:rsid w:val="00573842"/>
    <w:rsid w:val="00573869"/>
    <w:rsid w:val="00573A50"/>
    <w:rsid w:val="00573A62"/>
    <w:rsid w:val="00573C29"/>
    <w:rsid w:val="00573C76"/>
    <w:rsid w:val="00573D6E"/>
    <w:rsid w:val="00573E57"/>
    <w:rsid w:val="00573EA5"/>
    <w:rsid w:val="00573EF0"/>
    <w:rsid w:val="00573FA6"/>
    <w:rsid w:val="00573FBD"/>
    <w:rsid w:val="00574242"/>
    <w:rsid w:val="0057435D"/>
    <w:rsid w:val="0057445F"/>
    <w:rsid w:val="00574467"/>
    <w:rsid w:val="005745F4"/>
    <w:rsid w:val="0057467D"/>
    <w:rsid w:val="005748AD"/>
    <w:rsid w:val="00574933"/>
    <w:rsid w:val="005749FA"/>
    <w:rsid w:val="00574A37"/>
    <w:rsid w:val="00574B5A"/>
    <w:rsid w:val="00574B79"/>
    <w:rsid w:val="00574C03"/>
    <w:rsid w:val="00574C18"/>
    <w:rsid w:val="00574CCE"/>
    <w:rsid w:val="00574D06"/>
    <w:rsid w:val="00574ECF"/>
    <w:rsid w:val="00574EEC"/>
    <w:rsid w:val="00574EF3"/>
    <w:rsid w:val="00574F41"/>
    <w:rsid w:val="00575045"/>
    <w:rsid w:val="00575092"/>
    <w:rsid w:val="00575135"/>
    <w:rsid w:val="00575179"/>
    <w:rsid w:val="005751B2"/>
    <w:rsid w:val="00575243"/>
    <w:rsid w:val="00575338"/>
    <w:rsid w:val="0057537A"/>
    <w:rsid w:val="005753C1"/>
    <w:rsid w:val="005753DA"/>
    <w:rsid w:val="0057554A"/>
    <w:rsid w:val="00575655"/>
    <w:rsid w:val="005759A0"/>
    <w:rsid w:val="00575A66"/>
    <w:rsid w:val="00575D1A"/>
    <w:rsid w:val="00575D81"/>
    <w:rsid w:val="00575DB7"/>
    <w:rsid w:val="00575DFA"/>
    <w:rsid w:val="00575FA5"/>
    <w:rsid w:val="00576216"/>
    <w:rsid w:val="00576253"/>
    <w:rsid w:val="005762C1"/>
    <w:rsid w:val="005764CF"/>
    <w:rsid w:val="005764E2"/>
    <w:rsid w:val="0057658C"/>
    <w:rsid w:val="00576591"/>
    <w:rsid w:val="005765E1"/>
    <w:rsid w:val="00576799"/>
    <w:rsid w:val="00576971"/>
    <w:rsid w:val="00576978"/>
    <w:rsid w:val="00576BD9"/>
    <w:rsid w:val="00576C5E"/>
    <w:rsid w:val="00576CF9"/>
    <w:rsid w:val="00576D47"/>
    <w:rsid w:val="00576EE9"/>
    <w:rsid w:val="00576F35"/>
    <w:rsid w:val="00576F62"/>
    <w:rsid w:val="00576F8C"/>
    <w:rsid w:val="00576FBE"/>
    <w:rsid w:val="00576FC4"/>
    <w:rsid w:val="0057701C"/>
    <w:rsid w:val="005771A1"/>
    <w:rsid w:val="00577255"/>
    <w:rsid w:val="00577297"/>
    <w:rsid w:val="00577369"/>
    <w:rsid w:val="005773B9"/>
    <w:rsid w:val="00577678"/>
    <w:rsid w:val="005777FB"/>
    <w:rsid w:val="0057798A"/>
    <w:rsid w:val="005779F0"/>
    <w:rsid w:val="00577A4C"/>
    <w:rsid w:val="00577A81"/>
    <w:rsid w:val="00577A85"/>
    <w:rsid w:val="00577AD3"/>
    <w:rsid w:val="00577B78"/>
    <w:rsid w:val="00577BC8"/>
    <w:rsid w:val="00577C06"/>
    <w:rsid w:val="00577C0D"/>
    <w:rsid w:val="00577D75"/>
    <w:rsid w:val="00577E77"/>
    <w:rsid w:val="00577EA7"/>
    <w:rsid w:val="00577F8B"/>
    <w:rsid w:val="00580033"/>
    <w:rsid w:val="00580147"/>
    <w:rsid w:val="00580345"/>
    <w:rsid w:val="0058038B"/>
    <w:rsid w:val="005803A0"/>
    <w:rsid w:val="005803AD"/>
    <w:rsid w:val="005803DA"/>
    <w:rsid w:val="005803DD"/>
    <w:rsid w:val="0058045C"/>
    <w:rsid w:val="00580545"/>
    <w:rsid w:val="005805C0"/>
    <w:rsid w:val="0058075F"/>
    <w:rsid w:val="00580828"/>
    <w:rsid w:val="00580833"/>
    <w:rsid w:val="005808E6"/>
    <w:rsid w:val="00580913"/>
    <w:rsid w:val="00580945"/>
    <w:rsid w:val="00580A68"/>
    <w:rsid w:val="00580B55"/>
    <w:rsid w:val="00580B67"/>
    <w:rsid w:val="00580D24"/>
    <w:rsid w:val="00580D4D"/>
    <w:rsid w:val="00580D68"/>
    <w:rsid w:val="00580E03"/>
    <w:rsid w:val="00580E96"/>
    <w:rsid w:val="00580EAE"/>
    <w:rsid w:val="005810C8"/>
    <w:rsid w:val="00581311"/>
    <w:rsid w:val="0058136D"/>
    <w:rsid w:val="0058137A"/>
    <w:rsid w:val="005813E9"/>
    <w:rsid w:val="0058140C"/>
    <w:rsid w:val="00581472"/>
    <w:rsid w:val="005814F6"/>
    <w:rsid w:val="00581677"/>
    <w:rsid w:val="005816E0"/>
    <w:rsid w:val="005817AC"/>
    <w:rsid w:val="005817C7"/>
    <w:rsid w:val="00581A00"/>
    <w:rsid w:val="00581D0B"/>
    <w:rsid w:val="00581D10"/>
    <w:rsid w:val="00581E9D"/>
    <w:rsid w:val="00581ECE"/>
    <w:rsid w:val="00581F85"/>
    <w:rsid w:val="0058209F"/>
    <w:rsid w:val="005820BB"/>
    <w:rsid w:val="00582197"/>
    <w:rsid w:val="0058232C"/>
    <w:rsid w:val="0058232F"/>
    <w:rsid w:val="005823CA"/>
    <w:rsid w:val="00582581"/>
    <w:rsid w:val="00582619"/>
    <w:rsid w:val="00582714"/>
    <w:rsid w:val="00582818"/>
    <w:rsid w:val="00582904"/>
    <w:rsid w:val="0058290C"/>
    <w:rsid w:val="0058292A"/>
    <w:rsid w:val="005829F4"/>
    <w:rsid w:val="00582A28"/>
    <w:rsid w:val="00582C98"/>
    <w:rsid w:val="00582D45"/>
    <w:rsid w:val="00582E46"/>
    <w:rsid w:val="00582F2C"/>
    <w:rsid w:val="00582F71"/>
    <w:rsid w:val="00582FB5"/>
    <w:rsid w:val="00582FFB"/>
    <w:rsid w:val="00583046"/>
    <w:rsid w:val="005830B2"/>
    <w:rsid w:val="0058337B"/>
    <w:rsid w:val="005833D4"/>
    <w:rsid w:val="00583495"/>
    <w:rsid w:val="005834CC"/>
    <w:rsid w:val="005834DB"/>
    <w:rsid w:val="00583518"/>
    <w:rsid w:val="0058353E"/>
    <w:rsid w:val="005835A7"/>
    <w:rsid w:val="00583662"/>
    <w:rsid w:val="00583697"/>
    <w:rsid w:val="00583725"/>
    <w:rsid w:val="00583838"/>
    <w:rsid w:val="0058387E"/>
    <w:rsid w:val="0058388B"/>
    <w:rsid w:val="00583909"/>
    <w:rsid w:val="00583AFE"/>
    <w:rsid w:val="00583B44"/>
    <w:rsid w:val="00583B85"/>
    <w:rsid w:val="00583C02"/>
    <w:rsid w:val="00583C44"/>
    <w:rsid w:val="00583CCD"/>
    <w:rsid w:val="00583D46"/>
    <w:rsid w:val="00583E56"/>
    <w:rsid w:val="00583E63"/>
    <w:rsid w:val="00583E97"/>
    <w:rsid w:val="00583F52"/>
    <w:rsid w:val="005840F4"/>
    <w:rsid w:val="005840FB"/>
    <w:rsid w:val="00584114"/>
    <w:rsid w:val="00584136"/>
    <w:rsid w:val="00584142"/>
    <w:rsid w:val="00584180"/>
    <w:rsid w:val="005841D9"/>
    <w:rsid w:val="00584304"/>
    <w:rsid w:val="0058433D"/>
    <w:rsid w:val="0058443C"/>
    <w:rsid w:val="00584444"/>
    <w:rsid w:val="00584592"/>
    <w:rsid w:val="0058479E"/>
    <w:rsid w:val="005847FC"/>
    <w:rsid w:val="00584876"/>
    <w:rsid w:val="005848B6"/>
    <w:rsid w:val="005848F5"/>
    <w:rsid w:val="005849BF"/>
    <w:rsid w:val="00584AC4"/>
    <w:rsid w:val="00584B71"/>
    <w:rsid w:val="00584BC1"/>
    <w:rsid w:val="00584BDC"/>
    <w:rsid w:val="00584C23"/>
    <w:rsid w:val="00584C7E"/>
    <w:rsid w:val="00584C85"/>
    <w:rsid w:val="00584CBD"/>
    <w:rsid w:val="00584D27"/>
    <w:rsid w:val="00584D78"/>
    <w:rsid w:val="00584D8B"/>
    <w:rsid w:val="00584E41"/>
    <w:rsid w:val="00584E5C"/>
    <w:rsid w:val="00584EA4"/>
    <w:rsid w:val="00584F37"/>
    <w:rsid w:val="00584F95"/>
    <w:rsid w:val="00584FC1"/>
    <w:rsid w:val="00585003"/>
    <w:rsid w:val="00585056"/>
    <w:rsid w:val="00585135"/>
    <w:rsid w:val="00585140"/>
    <w:rsid w:val="005852C2"/>
    <w:rsid w:val="00585344"/>
    <w:rsid w:val="00585350"/>
    <w:rsid w:val="00585392"/>
    <w:rsid w:val="005853A2"/>
    <w:rsid w:val="0058549F"/>
    <w:rsid w:val="005854C0"/>
    <w:rsid w:val="005854D3"/>
    <w:rsid w:val="0058551E"/>
    <w:rsid w:val="00585575"/>
    <w:rsid w:val="00585619"/>
    <w:rsid w:val="00585633"/>
    <w:rsid w:val="00585652"/>
    <w:rsid w:val="005856EA"/>
    <w:rsid w:val="005856FC"/>
    <w:rsid w:val="0058579E"/>
    <w:rsid w:val="0058581E"/>
    <w:rsid w:val="00585875"/>
    <w:rsid w:val="005858B2"/>
    <w:rsid w:val="005858D7"/>
    <w:rsid w:val="005858FD"/>
    <w:rsid w:val="00585A72"/>
    <w:rsid w:val="00585B09"/>
    <w:rsid w:val="00585B43"/>
    <w:rsid w:val="00585D2E"/>
    <w:rsid w:val="00585E27"/>
    <w:rsid w:val="00585E4B"/>
    <w:rsid w:val="00585E77"/>
    <w:rsid w:val="00585F09"/>
    <w:rsid w:val="00585FA1"/>
    <w:rsid w:val="0058601A"/>
    <w:rsid w:val="0058601D"/>
    <w:rsid w:val="005860CE"/>
    <w:rsid w:val="005861AE"/>
    <w:rsid w:val="00586211"/>
    <w:rsid w:val="00586246"/>
    <w:rsid w:val="00586282"/>
    <w:rsid w:val="005862AD"/>
    <w:rsid w:val="00586306"/>
    <w:rsid w:val="00586447"/>
    <w:rsid w:val="00586453"/>
    <w:rsid w:val="00586466"/>
    <w:rsid w:val="005864CA"/>
    <w:rsid w:val="00586515"/>
    <w:rsid w:val="0058653C"/>
    <w:rsid w:val="005865BD"/>
    <w:rsid w:val="0058663B"/>
    <w:rsid w:val="005867B4"/>
    <w:rsid w:val="005867C2"/>
    <w:rsid w:val="005867D7"/>
    <w:rsid w:val="0058697B"/>
    <w:rsid w:val="00586A2B"/>
    <w:rsid w:val="00586A40"/>
    <w:rsid w:val="00586A5D"/>
    <w:rsid w:val="00586B50"/>
    <w:rsid w:val="00586C42"/>
    <w:rsid w:val="00586C8F"/>
    <w:rsid w:val="00586DB7"/>
    <w:rsid w:val="00586E08"/>
    <w:rsid w:val="00586E56"/>
    <w:rsid w:val="00586F75"/>
    <w:rsid w:val="0058700B"/>
    <w:rsid w:val="0058701A"/>
    <w:rsid w:val="0058702C"/>
    <w:rsid w:val="0058703D"/>
    <w:rsid w:val="005872E3"/>
    <w:rsid w:val="00587304"/>
    <w:rsid w:val="0058731F"/>
    <w:rsid w:val="005874CA"/>
    <w:rsid w:val="005874FB"/>
    <w:rsid w:val="005875E4"/>
    <w:rsid w:val="00587676"/>
    <w:rsid w:val="005876A1"/>
    <w:rsid w:val="005877A3"/>
    <w:rsid w:val="005877DC"/>
    <w:rsid w:val="005877EA"/>
    <w:rsid w:val="0058783F"/>
    <w:rsid w:val="0058798D"/>
    <w:rsid w:val="00587C25"/>
    <w:rsid w:val="00587CEB"/>
    <w:rsid w:val="00587D17"/>
    <w:rsid w:val="00587DF0"/>
    <w:rsid w:val="00587F97"/>
    <w:rsid w:val="00587FAF"/>
    <w:rsid w:val="00587FD6"/>
    <w:rsid w:val="005900BA"/>
    <w:rsid w:val="0059010E"/>
    <w:rsid w:val="00590174"/>
    <w:rsid w:val="005901E2"/>
    <w:rsid w:val="0059026E"/>
    <w:rsid w:val="005902BB"/>
    <w:rsid w:val="0059039F"/>
    <w:rsid w:val="005903EF"/>
    <w:rsid w:val="00590422"/>
    <w:rsid w:val="0059044F"/>
    <w:rsid w:val="00590601"/>
    <w:rsid w:val="00590622"/>
    <w:rsid w:val="005906A9"/>
    <w:rsid w:val="00590858"/>
    <w:rsid w:val="00590964"/>
    <w:rsid w:val="00590A40"/>
    <w:rsid w:val="00590B3D"/>
    <w:rsid w:val="00590B79"/>
    <w:rsid w:val="00590BB8"/>
    <w:rsid w:val="00590CB0"/>
    <w:rsid w:val="00590D42"/>
    <w:rsid w:val="00590E8A"/>
    <w:rsid w:val="00590EFC"/>
    <w:rsid w:val="00590F38"/>
    <w:rsid w:val="00591017"/>
    <w:rsid w:val="00591222"/>
    <w:rsid w:val="005912CA"/>
    <w:rsid w:val="00591308"/>
    <w:rsid w:val="00591314"/>
    <w:rsid w:val="00591461"/>
    <w:rsid w:val="00591518"/>
    <w:rsid w:val="0059153C"/>
    <w:rsid w:val="0059158B"/>
    <w:rsid w:val="00591629"/>
    <w:rsid w:val="005916AD"/>
    <w:rsid w:val="005916B4"/>
    <w:rsid w:val="005916EE"/>
    <w:rsid w:val="00591803"/>
    <w:rsid w:val="005918D0"/>
    <w:rsid w:val="00591A29"/>
    <w:rsid w:val="00591D5D"/>
    <w:rsid w:val="00591DDD"/>
    <w:rsid w:val="00591F09"/>
    <w:rsid w:val="00591F33"/>
    <w:rsid w:val="00591FD1"/>
    <w:rsid w:val="0059201E"/>
    <w:rsid w:val="005922D7"/>
    <w:rsid w:val="00592320"/>
    <w:rsid w:val="0059232D"/>
    <w:rsid w:val="005923DC"/>
    <w:rsid w:val="0059249B"/>
    <w:rsid w:val="005928C7"/>
    <w:rsid w:val="005928F7"/>
    <w:rsid w:val="00592915"/>
    <w:rsid w:val="005929C1"/>
    <w:rsid w:val="00592A3E"/>
    <w:rsid w:val="00592AE1"/>
    <w:rsid w:val="00592BB1"/>
    <w:rsid w:val="00592C7F"/>
    <w:rsid w:val="00592CC7"/>
    <w:rsid w:val="00592CD2"/>
    <w:rsid w:val="00592D25"/>
    <w:rsid w:val="00592D92"/>
    <w:rsid w:val="00592E00"/>
    <w:rsid w:val="00592E7B"/>
    <w:rsid w:val="00592F86"/>
    <w:rsid w:val="00592F8C"/>
    <w:rsid w:val="00593001"/>
    <w:rsid w:val="00593018"/>
    <w:rsid w:val="00593074"/>
    <w:rsid w:val="005930DD"/>
    <w:rsid w:val="005930E2"/>
    <w:rsid w:val="005930E4"/>
    <w:rsid w:val="005930EC"/>
    <w:rsid w:val="0059312B"/>
    <w:rsid w:val="0059316C"/>
    <w:rsid w:val="00593223"/>
    <w:rsid w:val="005932F9"/>
    <w:rsid w:val="005933AB"/>
    <w:rsid w:val="00593449"/>
    <w:rsid w:val="005935C2"/>
    <w:rsid w:val="0059373A"/>
    <w:rsid w:val="00593799"/>
    <w:rsid w:val="00593808"/>
    <w:rsid w:val="00593833"/>
    <w:rsid w:val="00593846"/>
    <w:rsid w:val="00593897"/>
    <w:rsid w:val="00593952"/>
    <w:rsid w:val="00593AF9"/>
    <w:rsid w:val="00593CA7"/>
    <w:rsid w:val="00593CE2"/>
    <w:rsid w:val="00593D1A"/>
    <w:rsid w:val="00593D62"/>
    <w:rsid w:val="00593E19"/>
    <w:rsid w:val="00593F4D"/>
    <w:rsid w:val="005942D1"/>
    <w:rsid w:val="0059430A"/>
    <w:rsid w:val="005943BD"/>
    <w:rsid w:val="00594447"/>
    <w:rsid w:val="0059447B"/>
    <w:rsid w:val="005945A5"/>
    <w:rsid w:val="005945AC"/>
    <w:rsid w:val="0059465A"/>
    <w:rsid w:val="00594667"/>
    <w:rsid w:val="0059466F"/>
    <w:rsid w:val="00594698"/>
    <w:rsid w:val="00594704"/>
    <w:rsid w:val="005947D1"/>
    <w:rsid w:val="0059482A"/>
    <w:rsid w:val="00594885"/>
    <w:rsid w:val="0059489C"/>
    <w:rsid w:val="005949C1"/>
    <w:rsid w:val="00594A47"/>
    <w:rsid w:val="00594A59"/>
    <w:rsid w:val="00594BC2"/>
    <w:rsid w:val="00594BD1"/>
    <w:rsid w:val="00594BF6"/>
    <w:rsid w:val="00594C8C"/>
    <w:rsid w:val="00594CAF"/>
    <w:rsid w:val="00594CFA"/>
    <w:rsid w:val="00594DB2"/>
    <w:rsid w:val="00594E2C"/>
    <w:rsid w:val="00594E9B"/>
    <w:rsid w:val="00594EE9"/>
    <w:rsid w:val="00594F17"/>
    <w:rsid w:val="00595066"/>
    <w:rsid w:val="0059507B"/>
    <w:rsid w:val="005951D0"/>
    <w:rsid w:val="00595219"/>
    <w:rsid w:val="0059523C"/>
    <w:rsid w:val="0059530D"/>
    <w:rsid w:val="005953B0"/>
    <w:rsid w:val="00595514"/>
    <w:rsid w:val="00595597"/>
    <w:rsid w:val="00595656"/>
    <w:rsid w:val="0059565C"/>
    <w:rsid w:val="00595679"/>
    <w:rsid w:val="00595693"/>
    <w:rsid w:val="00595715"/>
    <w:rsid w:val="00595771"/>
    <w:rsid w:val="005957A3"/>
    <w:rsid w:val="005957D4"/>
    <w:rsid w:val="005957E7"/>
    <w:rsid w:val="0059587A"/>
    <w:rsid w:val="005958ED"/>
    <w:rsid w:val="00595A39"/>
    <w:rsid w:val="00595A9C"/>
    <w:rsid w:val="00595B1B"/>
    <w:rsid w:val="00595C02"/>
    <w:rsid w:val="00595CDF"/>
    <w:rsid w:val="00595D21"/>
    <w:rsid w:val="00595E1A"/>
    <w:rsid w:val="00595E2B"/>
    <w:rsid w:val="00595ED9"/>
    <w:rsid w:val="00595F62"/>
    <w:rsid w:val="00596069"/>
    <w:rsid w:val="0059608D"/>
    <w:rsid w:val="005960BA"/>
    <w:rsid w:val="005960D6"/>
    <w:rsid w:val="00596138"/>
    <w:rsid w:val="005961A9"/>
    <w:rsid w:val="005961CC"/>
    <w:rsid w:val="00596369"/>
    <w:rsid w:val="005963E2"/>
    <w:rsid w:val="0059651F"/>
    <w:rsid w:val="00596566"/>
    <w:rsid w:val="005965ED"/>
    <w:rsid w:val="005966A4"/>
    <w:rsid w:val="0059670D"/>
    <w:rsid w:val="0059676F"/>
    <w:rsid w:val="005967A5"/>
    <w:rsid w:val="005967B1"/>
    <w:rsid w:val="00596800"/>
    <w:rsid w:val="00596A4B"/>
    <w:rsid w:val="00596AB4"/>
    <w:rsid w:val="00596AE6"/>
    <w:rsid w:val="00596BD8"/>
    <w:rsid w:val="00596BE9"/>
    <w:rsid w:val="00596D37"/>
    <w:rsid w:val="00596E14"/>
    <w:rsid w:val="00596E8C"/>
    <w:rsid w:val="00597054"/>
    <w:rsid w:val="00597122"/>
    <w:rsid w:val="0059717E"/>
    <w:rsid w:val="005971A9"/>
    <w:rsid w:val="00597224"/>
    <w:rsid w:val="00597382"/>
    <w:rsid w:val="00597437"/>
    <w:rsid w:val="005974E3"/>
    <w:rsid w:val="00597583"/>
    <w:rsid w:val="005975C2"/>
    <w:rsid w:val="005975D2"/>
    <w:rsid w:val="00597609"/>
    <w:rsid w:val="005976B9"/>
    <w:rsid w:val="005976F2"/>
    <w:rsid w:val="00597852"/>
    <w:rsid w:val="005979F7"/>
    <w:rsid w:val="00597A02"/>
    <w:rsid w:val="00597A41"/>
    <w:rsid w:val="00597B34"/>
    <w:rsid w:val="00597B54"/>
    <w:rsid w:val="00597C07"/>
    <w:rsid w:val="00597E09"/>
    <w:rsid w:val="00597E84"/>
    <w:rsid w:val="00597ED7"/>
    <w:rsid w:val="00597F49"/>
    <w:rsid w:val="005A004C"/>
    <w:rsid w:val="005A01DE"/>
    <w:rsid w:val="005A01EA"/>
    <w:rsid w:val="005A020E"/>
    <w:rsid w:val="005A0261"/>
    <w:rsid w:val="005A026C"/>
    <w:rsid w:val="005A02D7"/>
    <w:rsid w:val="005A030B"/>
    <w:rsid w:val="005A0322"/>
    <w:rsid w:val="005A0431"/>
    <w:rsid w:val="005A0433"/>
    <w:rsid w:val="005A0447"/>
    <w:rsid w:val="005A0495"/>
    <w:rsid w:val="005A04C3"/>
    <w:rsid w:val="005A04DF"/>
    <w:rsid w:val="005A0589"/>
    <w:rsid w:val="005A05C4"/>
    <w:rsid w:val="005A063F"/>
    <w:rsid w:val="005A0659"/>
    <w:rsid w:val="005A069D"/>
    <w:rsid w:val="005A0710"/>
    <w:rsid w:val="005A07AB"/>
    <w:rsid w:val="005A080D"/>
    <w:rsid w:val="005A0816"/>
    <w:rsid w:val="005A083C"/>
    <w:rsid w:val="005A09B9"/>
    <w:rsid w:val="005A0AF7"/>
    <w:rsid w:val="005A0B1C"/>
    <w:rsid w:val="005A0C0F"/>
    <w:rsid w:val="005A0D40"/>
    <w:rsid w:val="005A0DC0"/>
    <w:rsid w:val="005A0DC6"/>
    <w:rsid w:val="005A0DEA"/>
    <w:rsid w:val="005A0E56"/>
    <w:rsid w:val="005A0E7F"/>
    <w:rsid w:val="005A1062"/>
    <w:rsid w:val="005A1064"/>
    <w:rsid w:val="005A1069"/>
    <w:rsid w:val="005A1088"/>
    <w:rsid w:val="005A11AD"/>
    <w:rsid w:val="005A11E0"/>
    <w:rsid w:val="005A134B"/>
    <w:rsid w:val="005A143D"/>
    <w:rsid w:val="005A1443"/>
    <w:rsid w:val="005A14A7"/>
    <w:rsid w:val="005A14A8"/>
    <w:rsid w:val="005A14C9"/>
    <w:rsid w:val="005A14D5"/>
    <w:rsid w:val="005A1562"/>
    <w:rsid w:val="005A1731"/>
    <w:rsid w:val="005A1753"/>
    <w:rsid w:val="005A179F"/>
    <w:rsid w:val="005A17E6"/>
    <w:rsid w:val="005A1829"/>
    <w:rsid w:val="005A189B"/>
    <w:rsid w:val="005A18FF"/>
    <w:rsid w:val="005A1916"/>
    <w:rsid w:val="005A1AC4"/>
    <w:rsid w:val="005A1AF6"/>
    <w:rsid w:val="005A1B78"/>
    <w:rsid w:val="005A1B86"/>
    <w:rsid w:val="005A1B87"/>
    <w:rsid w:val="005A1CBF"/>
    <w:rsid w:val="005A1DC2"/>
    <w:rsid w:val="005A1FAB"/>
    <w:rsid w:val="005A2003"/>
    <w:rsid w:val="005A207A"/>
    <w:rsid w:val="005A21F4"/>
    <w:rsid w:val="005A21F9"/>
    <w:rsid w:val="005A2239"/>
    <w:rsid w:val="005A225F"/>
    <w:rsid w:val="005A2270"/>
    <w:rsid w:val="005A22FC"/>
    <w:rsid w:val="005A2302"/>
    <w:rsid w:val="005A23D4"/>
    <w:rsid w:val="005A2499"/>
    <w:rsid w:val="005A25CB"/>
    <w:rsid w:val="005A266C"/>
    <w:rsid w:val="005A2686"/>
    <w:rsid w:val="005A2744"/>
    <w:rsid w:val="005A2799"/>
    <w:rsid w:val="005A27A6"/>
    <w:rsid w:val="005A27B8"/>
    <w:rsid w:val="005A289E"/>
    <w:rsid w:val="005A294A"/>
    <w:rsid w:val="005A2988"/>
    <w:rsid w:val="005A29B6"/>
    <w:rsid w:val="005A2A2B"/>
    <w:rsid w:val="005A2A86"/>
    <w:rsid w:val="005A2A9C"/>
    <w:rsid w:val="005A2C0B"/>
    <w:rsid w:val="005A2C1A"/>
    <w:rsid w:val="005A2CB6"/>
    <w:rsid w:val="005A2CCA"/>
    <w:rsid w:val="005A2D23"/>
    <w:rsid w:val="005A2FF4"/>
    <w:rsid w:val="005A304E"/>
    <w:rsid w:val="005A3054"/>
    <w:rsid w:val="005A30D3"/>
    <w:rsid w:val="005A317C"/>
    <w:rsid w:val="005A31A7"/>
    <w:rsid w:val="005A31FE"/>
    <w:rsid w:val="005A3256"/>
    <w:rsid w:val="005A32B2"/>
    <w:rsid w:val="005A32CE"/>
    <w:rsid w:val="005A3303"/>
    <w:rsid w:val="005A3340"/>
    <w:rsid w:val="005A337E"/>
    <w:rsid w:val="005A3409"/>
    <w:rsid w:val="005A3484"/>
    <w:rsid w:val="005A3521"/>
    <w:rsid w:val="005A353F"/>
    <w:rsid w:val="005A35B2"/>
    <w:rsid w:val="005A35F3"/>
    <w:rsid w:val="005A369E"/>
    <w:rsid w:val="005A378A"/>
    <w:rsid w:val="005A3844"/>
    <w:rsid w:val="005A3899"/>
    <w:rsid w:val="005A392E"/>
    <w:rsid w:val="005A3AAF"/>
    <w:rsid w:val="005A3BA8"/>
    <w:rsid w:val="005A3D28"/>
    <w:rsid w:val="005A3DFD"/>
    <w:rsid w:val="005A3E1E"/>
    <w:rsid w:val="005A3F36"/>
    <w:rsid w:val="005A3F89"/>
    <w:rsid w:val="005A3FE8"/>
    <w:rsid w:val="005A3FF6"/>
    <w:rsid w:val="005A4170"/>
    <w:rsid w:val="005A41B4"/>
    <w:rsid w:val="005A420F"/>
    <w:rsid w:val="005A430F"/>
    <w:rsid w:val="005A4423"/>
    <w:rsid w:val="005A4469"/>
    <w:rsid w:val="005A4504"/>
    <w:rsid w:val="005A45D4"/>
    <w:rsid w:val="005A498C"/>
    <w:rsid w:val="005A49B5"/>
    <w:rsid w:val="005A49D7"/>
    <w:rsid w:val="005A4ADD"/>
    <w:rsid w:val="005A4CEF"/>
    <w:rsid w:val="005A4E53"/>
    <w:rsid w:val="005A4E7F"/>
    <w:rsid w:val="005A4F41"/>
    <w:rsid w:val="005A5071"/>
    <w:rsid w:val="005A5148"/>
    <w:rsid w:val="005A51E3"/>
    <w:rsid w:val="005A5385"/>
    <w:rsid w:val="005A55CD"/>
    <w:rsid w:val="005A569C"/>
    <w:rsid w:val="005A5730"/>
    <w:rsid w:val="005A5779"/>
    <w:rsid w:val="005A577D"/>
    <w:rsid w:val="005A57B2"/>
    <w:rsid w:val="005A5803"/>
    <w:rsid w:val="005A58C8"/>
    <w:rsid w:val="005A59C9"/>
    <w:rsid w:val="005A59FC"/>
    <w:rsid w:val="005A5A01"/>
    <w:rsid w:val="005A5A13"/>
    <w:rsid w:val="005A5B0D"/>
    <w:rsid w:val="005A5B83"/>
    <w:rsid w:val="005A5BF0"/>
    <w:rsid w:val="005A5C3F"/>
    <w:rsid w:val="005A5C81"/>
    <w:rsid w:val="005A5CF8"/>
    <w:rsid w:val="005A5DC4"/>
    <w:rsid w:val="005A5DD4"/>
    <w:rsid w:val="005A5DEC"/>
    <w:rsid w:val="005A5EC2"/>
    <w:rsid w:val="005A5F1F"/>
    <w:rsid w:val="005A5F41"/>
    <w:rsid w:val="005A6298"/>
    <w:rsid w:val="005A6376"/>
    <w:rsid w:val="005A6395"/>
    <w:rsid w:val="005A63B8"/>
    <w:rsid w:val="005A640C"/>
    <w:rsid w:val="005A64EB"/>
    <w:rsid w:val="005A64F2"/>
    <w:rsid w:val="005A6594"/>
    <w:rsid w:val="005A672A"/>
    <w:rsid w:val="005A6739"/>
    <w:rsid w:val="005A67D6"/>
    <w:rsid w:val="005A68B0"/>
    <w:rsid w:val="005A68F3"/>
    <w:rsid w:val="005A69E5"/>
    <w:rsid w:val="005A6A7C"/>
    <w:rsid w:val="005A6A92"/>
    <w:rsid w:val="005A6AC8"/>
    <w:rsid w:val="005A6AE2"/>
    <w:rsid w:val="005A6B9C"/>
    <w:rsid w:val="005A6CC7"/>
    <w:rsid w:val="005A6DDD"/>
    <w:rsid w:val="005A6E15"/>
    <w:rsid w:val="005A6E66"/>
    <w:rsid w:val="005A6E8F"/>
    <w:rsid w:val="005A6ED7"/>
    <w:rsid w:val="005A6F30"/>
    <w:rsid w:val="005A6FD3"/>
    <w:rsid w:val="005A6FE2"/>
    <w:rsid w:val="005A7088"/>
    <w:rsid w:val="005A715D"/>
    <w:rsid w:val="005A717F"/>
    <w:rsid w:val="005A7414"/>
    <w:rsid w:val="005A7477"/>
    <w:rsid w:val="005A758C"/>
    <w:rsid w:val="005A75AA"/>
    <w:rsid w:val="005A75F4"/>
    <w:rsid w:val="005A7615"/>
    <w:rsid w:val="005A770F"/>
    <w:rsid w:val="005A7829"/>
    <w:rsid w:val="005A78F3"/>
    <w:rsid w:val="005A7A41"/>
    <w:rsid w:val="005A7AE9"/>
    <w:rsid w:val="005A7D19"/>
    <w:rsid w:val="005A7D3A"/>
    <w:rsid w:val="005A7D95"/>
    <w:rsid w:val="005A7E42"/>
    <w:rsid w:val="005A7EAC"/>
    <w:rsid w:val="005A7F82"/>
    <w:rsid w:val="005B008E"/>
    <w:rsid w:val="005B0099"/>
    <w:rsid w:val="005B0142"/>
    <w:rsid w:val="005B01CD"/>
    <w:rsid w:val="005B0225"/>
    <w:rsid w:val="005B029F"/>
    <w:rsid w:val="005B02B8"/>
    <w:rsid w:val="005B02C2"/>
    <w:rsid w:val="005B03A9"/>
    <w:rsid w:val="005B03AD"/>
    <w:rsid w:val="005B03EC"/>
    <w:rsid w:val="005B045B"/>
    <w:rsid w:val="005B04CA"/>
    <w:rsid w:val="005B04DF"/>
    <w:rsid w:val="005B063C"/>
    <w:rsid w:val="005B06DE"/>
    <w:rsid w:val="005B0841"/>
    <w:rsid w:val="005B08A4"/>
    <w:rsid w:val="005B0926"/>
    <w:rsid w:val="005B0A2F"/>
    <w:rsid w:val="005B0B20"/>
    <w:rsid w:val="005B0B5E"/>
    <w:rsid w:val="005B0BCF"/>
    <w:rsid w:val="005B0D1C"/>
    <w:rsid w:val="005B0D55"/>
    <w:rsid w:val="005B0DF0"/>
    <w:rsid w:val="005B0E0C"/>
    <w:rsid w:val="005B0EC9"/>
    <w:rsid w:val="005B0ED3"/>
    <w:rsid w:val="005B0F11"/>
    <w:rsid w:val="005B0F29"/>
    <w:rsid w:val="005B0FD9"/>
    <w:rsid w:val="005B1055"/>
    <w:rsid w:val="005B1230"/>
    <w:rsid w:val="005B13AF"/>
    <w:rsid w:val="005B140E"/>
    <w:rsid w:val="005B1569"/>
    <w:rsid w:val="005B1639"/>
    <w:rsid w:val="005B170C"/>
    <w:rsid w:val="005B17D8"/>
    <w:rsid w:val="005B19EA"/>
    <w:rsid w:val="005B1A32"/>
    <w:rsid w:val="005B1B0C"/>
    <w:rsid w:val="005B1B86"/>
    <w:rsid w:val="005B1BA8"/>
    <w:rsid w:val="005B1BF1"/>
    <w:rsid w:val="005B1C20"/>
    <w:rsid w:val="005B1C5E"/>
    <w:rsid w:val="005B1CFA"/>
    <w:rsid w:val="005B1D55"/>
    <w:rsid w:val="005B1D83"/>
    <w:rsid w:val="005B1E2F"/>
    <w:rsid w:val="005B1E50"/>
    <w:rsid w:val="005B20EF"/>
    <w:rsid w:val="005B219C"/>
    <w:rsid w:val="005B22C4"/>
    <w:rsid w:val="005B233A"/>
    <w:rsid w:val="005B247C"/>
    <w:rsid w:val="005B24B5"/>
    <w:rsid w:val="005B24CC"/>
    <w:rsid w:val="005B2603"/>
    <w:rsid w:val="005B2643"/>
    <w:rsid w:val="005B2794"/>
    <w:rsid w:val="005B27C5"/>
    <w:rsid w:val="005B284C"/>
    <w:rsid w:val="005B2903"/>
    <w:rsid w:val="005B2AEE"/>
    <w:rsid w:val="005B2B2E"/>
    <w:rsid w:val="005B2C10"/>
    <w:rsid w:val="005B2C43"/>
    <w:rsid w:val="005B2C83"/>
    <w:rsid w:val="005B2F3C"/>
    <w:rsid w:val="005B2FC7"/>
    <w:rsid w:val="005B2FFF"/>
    <w:rsid w:val="005B3144"/>
    <w:rsid w:val="005B33B3"/>
    <w:rsid w:val="005B3484"/>
    <w:rsid w:val="005B3523"/>
    <w:rsid w:val="005B352B"/>
    <w:rsid w:val="005B3550"/>
    <w:rsid w:val="005B35A4"/>
    <w:rsid w:val="005B35CE"/>
    <w:rsid w:val="005B37D1"/>
    <w:rsid w:val="005B37DB"/>
    <w:rsid w:val="005B39D6"/>
    <w:rsid w:val="005B3A2A"/>
    <w:rsid w:val="005B3A50"/>
    <w:rsid w:val="005B3BA2"/>
    <w:rsid w:val="005B3C6B"/>
    <w:rsid w:val="005B3CDC"/>
    <w:rsid w:val="005B3DA1"/>
    <w:rsid w:val="005B3E6D"/>
    <w:rsid w:val="005B3F0A"/>
    <w:rsid w:val="005B4099"/>
    <w:rsid w:val="005B4318"/>
    <w:rsid w:val="005B43AE"/>
    <w:rsid w:val="005B451F"/>
    <w:rsid w:val="005B452B"/>
    <w:rsid w:val="005B45DD"/>
    <w:rsid w:val="005B461D"/>
    <w:rsid w:val="005B4689"/>
    <w:rsid w:val="005B46DD"/>
    <w:rsid w:val="005B4778"/>
    <w:rsid w:val="005B48BE"/>
    <w:rsid w:val="005B4959"/>
    <w:rsid w:val="005B49C1"/>
    <w:rsid w:val="005B4B5D"/>
    <w:rsid w:val="005B4BE3"/>
    <w:rsid w:val="005B4D1E"/>
    <w:rsid w:val="005B4D9A"/>
    <w:rsid w:val="005B4F84"/>
    <w:rsid w:val="005B501A"/>
    <w:rsid w:val="005B50E5"/>
    <w:rsid w:val="005B5236"/>
    <w:rsid w:val="005B52A2"/>
    <w:rsid w:val="005B548B"/>
    <w:rsid w:val="005B54C9"/>
    <w:rsid w:val="005B5615"/>
    <w:rsid w:val="005B5632"/>
    <w:rsid w:val="005B5644"/>
    <w:rsid w:val="005B582C"/>
    <w:rsid w:val="005B5886"/>
    <w:rsid w:val="005B5970"/>
    <w:rsid w:val="005B5ACE"/>
    <w:rsid w:val="005B5AEC"/>
    <w:rsid w:val="005B5B41"/>
    <w:rsid w:val="005B5B81"/>
    <w:rsid w:val="005B5B88"/>
    <w:rsid w:val="005B5B92"/>
    <w:rsid w:val="005B5C0F"/>
    <w:rsid w:val="005B5D51"/>
    <w:rsid w:val="005B61F1"/>
    <w:rsid w:val="005B626E"/>
    <w:rsid w:val="005B630B"/>
    <w:rsid w:val="005B6335"/>
    <w:rsid w:val="005B63A0"/>
    <w:rsid w:val="005B665E"/>
    <w:rsid w:val="005B6685"/>
    <w:rsid w:val="005B66C8"/>
    <w:rsid w:val="005B67A8"/>
    <w:rsid w:val="005B6938"/>
    <w:rsid w:val="005B6978"/>
    <w:rsid w:val="005B6980"/>
    <w:rsid w:val="005B6A1A"/>
    <w:rsid w:val="005B6A1D"/>
    <w:rsid w:val="005B6A29"/>
    <w:rsid w:val="005B6B98"/>
    <w:rsid w:val="005B6BF0"/>
    <w:rsid w:val="005B6C69"/>
    <w:rsid w:val="005B6C79"/>
    <w:rsid w:val="005B6DCE"/>
    <w:rsid w:val="005B70FA"/>
    <w:rsid w:val="005B7176"/>
    <w:rsid w:val="005B717C"/>
    <w:rsid w:val="005B7214"/>
    <w:rsid w:val="005B7467"/>
    <w:rsid w:val="005B7507"/>
    <w:rsid w:val="005B75A2"/>
    <w:rsid w:val="005B7600"/>
    <w:rsid w:val="005B761F"/>
    <w:rsid w:val="005B782D"/>
    <w:rsid w:val="005B7A49"/>
    <w:rsid w:val="005B7B80"/>
    <w:rsid w:val="005B7BC4"/>
    <w:rsid w:val="005B7CD3"/>
    <w:rsid w:val="005B7CE9"/>
    <w:rsid w:val="005B7CEA"/>
    <w:rsid w:val="005B7D14"/>
    <w:rsid w:val="005C01ED"/>
    <w:rsid w:val="005C023D"/>
    <w:rsid w:val="005C028A"/>
    <w:rsid w:val="005C0292"/>
    <w:rsid w:val="005C0334"/>
    <w:rsid w:val="005C0378"/>
    <w:rsid w:val="005C0436"/>
    <w:rsid w:val="005C04CD"/>
    <w:rsid w:val="005C05BC"/>
    <w:rsid w:val="005C0743"/>
    <w:rsid w:val="005C082C"/>
    <w:rsid w:val="005C086D"/>
    <w:rsid w:val="005C08C1"/>
    <w:rsid w:val="005C092E"/>
    <w:rsid w:val="005C09F9"/>
    <w:rsid w:val="005C0A13"/>
    <w:rsid w:val="005C0ABA"/>
    <w:rsid w:val="005C0D91"/>
    <w:rsid w:val="005C0EA5"/>
    <w:rsid w:val="005C0F21"/>
    <w:rsid w:val="005C0F27"/>
    <w:rsid w:val="005C0FB5"/>
    <w:rsid w:val="005C114A"/>
    <w:rsid w:val="005C11FA"/>
    <w:rsid w:val="005C137D"/>
    <w:rsid w:val="005C13FA"/>
    <w:rsid w:val="005C142A"/>
    <w:rsid w:val="005C14AA"/>
    <w:rsid w:val="005C14B5"/>
    <w:rsid w:val="005C15E5"/>
    <w:rsid w:val="005C16D5"/>
    <w:rsid w:val="005C1748"/>
    <w:rsid w:val="005C18D3"/>
    <w:rsid w:val="005C18D7"/>
    <w:rsid w:val="005C1C40"/>
    <w:rsid w:val="005C1DFF"/>
    <w:rsid w:val="005C1E36"/>
    <w:rsid w:val="005C1E69"/>
    <w:rsid w:val="005C1EFC"/>
    <w:rsid w:val="005C1F2B"/>
    <w:rsid w:val="005C1F45"/>
    <w:rsid w:val="005C204C"/>
    <w:rsid w:val="005C217F"/>
    <w:rsid w:val="005C21AF"/>
    <w:rsid w:val="005C21FF"/>
    <w:rsid w:val="005C22A0"/>
    <w:rsid w:val="005C2343"/>
    <w:rsid w:val="005C2347"/>
    <w:rsid w:val="005C2478"/>
    <w:rsid w:val="005C25FD"/>
    <w:rsid w:val="005C261A"/>
    <w:rsid w:val="005C2669"/>
    <w:rsid w:val="005C2754"/>
    <w:rsid w:val="005C27A7"/>
    <w:rsid w:val="005C27BE"/>
    <w:rsid w:val="005C27F9"/>
    <w:rsid w:val="005C282C"/>
    <w:rsid w:val="005C2864"/>
    <w:rsid w:val="005C291B"/>
    <w:rsid w:val="005C29A2"/>
    <w:rsid w:val="005C2A69"/>
    <w:rsid w:val="005C2AB2"/>
    <w:rsid w:val="005C2B80"/>
    <w:rsid w:val="005C2C2A"/>
    <w:rsid w:val="005C2C48"/>
    <w:rsid w:val="005C2D5C"/>
    <w:rsid w:val="005C2D90"/>
    <w:rsid w:val="005C2DF6"/>
    <w:rsid w:val="005C2E65"/>
    <w:rsid w:val="005C2E7C"/>
    <w:rsid w:val="005C2EDD"/>
    <w:rsid w:val="005C2F64"/>
    <w:rsid w:val="005C30ED"/>
    <w:rsid w:val="005C314D"/>
    <w:rsid w:val="005C31EB"/>
    <w:rsid w:val="005C3265"/>
    <w:rsid w:val="005C3377"/>
    <w:rsid w:val="005C342B"/>
    <w:rsid w:val="005C351B"/>
    <w:rsid w:val="005C35A7"/>
    <w:rsid w:val="005C35B1"/>
    <w:rsid w:val="005C35B7"/>
    <w:rsid w:val="005C3716"/>
    <w:rsid w:val="005C37AA"/>
    <w:rsid w:val="005C37ED"/>
    <w:rsid w:val="005C3826"/>
    <w:rsid w:val="005C3876"/>
    <w:rsid w:val="005C38B2"/>
    <w:rsid w:val="005C38EB"/>
    <w:rsid w:val="005C393F"/>
    <w:rsid w:val="005C3A0F"/>
    <w:rsid w:val="005C3A45"/>
    <w:rsid w:val="005C3A87"/>
    <w:rsid w:val="005C3A94"/>
    <w:rsid w:val="005C3AA9"/>
    <w:rsid w:val="005C3ACA"/>
    <w:rsid w:val="005C3AF2"/>
    <w:rsid w:val="005C3B20"/>
    <w:rsid w:val="005C3B24"/>
    <w:rsid w:val="005C3C17"/>
    <w:rsid w:val="005C3C31"/>
    <w:rsid w:val="005C3C54"/>
    <w:rsid w:val="005C3CE8"/>
    <w:rsid w:val="005C3DED"/>
    <w:rsid w:val="005C3E03"/>
    <w:rsid w:val="005C3E87"/>
    <w:rsid w:val="005C3E89"/>
    <w:rsid w:val="005C3F04"/>
    <w:rsid w:val="005C3F9B"/>
    <w:rsid w:val="005C4099"/>
    <w:rsid w:val="005C40A4"/>
    <w:rsid w:val="005C40C3"/>
    <w:rsid w:val="005C40EB"/>
    <w:rsid w:val="005C417E"/>
    <w:rsid w:val="005C428C"/>
    <w:rsid w:val="005C42E5"/>
    <w:rsid w:val="005C4331"/>
    <w:rsid w:val="005C4332"/>
    <w:rsid w:val="005C43D1"/>
    <w:rsid w:val="005C43D5"/>
    <w:rsid w:val="005C4511"/>
    <w:rsid w:val="005C470B"/>
    <w:rsid w:val="005C4747"/>
    <w:rsid w:val="005C4767"/>
    <w:rsid w:val="005C4841"/>
    <w:rsid w:val="005C484E"/>
    <w:rsid w:val="005C48DD"/>
    <w:rsid w:val="005C4929"/>
    <w:rsid w:val="005C49A2"/>
    <w:rsid w:val="005C49F4"/>
    <w:rsid w:val="005C49FF"/>
    <w:rsid w:val="005C4AAE"/>
    <w:rsid w:val="005C4BCF"/>
    <w:rsid w:val="005C4C67"/>
    <w:rsid w:val="005C4C93"/>
    <w:rsid w:val="005C4CDF"/>
    <w:rsid w:val="005C4EAD"/>
    <w:rsid w:val="005C4EC7"/>
    <w:rsid w:val="005C4F8F"/>
    <w:rsid w:val="005C5093"/>
    <w:rsid w:val="005C51AE"/>
    <w:rsid w:val="005C51FE"/>
    <w:rsid w:val="005C5364"/>
    <w:rsid w:val="005C544F"/>
    <w:rsid w:val="005C55BE"/>
    <w:rsid w:val="005C5622"/>
    <w:rsid w:val="005C56C5"/>
    <w:rsid w:val="005C5829"/>
    <w:rsid w:val="005C586E"/>
    <w:rsid w:val="005C5886"/>
    <w:rsid w:val="005C58B2"/>
    <w:rsid w:val="005C5935"/>
    <w:rsid w:val="005C5A24"/>
    <w:rsid w:val="005C5B37"/>
    <w:rsid w:val="005C5B43"/>
    <w:rsid w:val="005C5C3C"/>
    <w:rsid w:val="005C5C80"/>
    <w:rsid w:val="005C5DD2"/>
    <w:rsid w:val="005C5F98"/>
    <w:rsid w:val="005C600C"/>
    <w:rsid w:val="005C6051"/>
    <w:rsid w:val="005C629B"/>
    <w:rsid w:val="005C6344"/>
    <w:rsid w:val="005C6349"/>
    <w:rsid w:val="005C63B5"/>
    <w:rsid w:val="005C63D3"/>
    <w:rsid w:val="005C63E8"/>
    <w:rsid w:val="005C641E"/>
    <w:rsid w:val="005C6421"/>
    <w:rsid w:val="005C644B"/>
    <w:rsid w:val="005C65F6"/>
    <w:rsid w:val="005C65F9"/>
    <w:rsid w:val="005C6605"/>
    <w:rsid w:val="005C6636"/>
    <w:rsid w:val="005C66C4"/>
    <w:rsid w:val="005C67BD"/>
    <w:rsid w:val="005C68DE"/>
    <w:rsid w:val="005C68FA"/>
    <w:rsid w:val="005C692A"/>
    <w:rsid w:val="005C69E0"/>
    <w:rsid w:val="005C6A39"/>
    <w:rsid w:val="005C6A5D"/>
    <w:rsid w:val="005C6ADC"/>
    <w:rsid w:val="005C6CE9"/>
    <w:rsid w:val="005C6DAA"/>
    <w:rsid w:val="005C6DE9"/>
    <w:rsid w:val="005C6FC4"/>
    <w:rsid w:val="005C6FC9"/>
    <w:rsid w:val="005C7011"/>
    <w:rsid w:val="005C71AA"/>
    <w:rsid w:val="005C71BE"/>
    <w:rsid w:val="005C7317"/>
    <w:rsid w:val="005C737E"/>
    <w:rsid w:val="005C73BA"/>
    <w:rsid w:val="005C7415"/>
    <w:rsid w:val="005C74BB"/>
    <w:rsid w:val="005C7667"/>
    <w:rsid w:val="005C768A"/>
    <w:rsid w:val="005C77A7"/>
    <w:rsid w:val="005C78B1"/>
    <w:rsid w:val="005C7924"/>
    <w:rsid w:val="005C797D"/>
    <w:rsid w:val="005C7992"/>
    <w:rsid w:val="005C7B16"/>
    <w:rsid w:val="005C7B3E"/>
    <w:rsid w:val="005C7BB6"/>
    <w:rsid w:val="005C7CCF"/>
    <w:rsid w:val="005C7D0D"/>
    <w:rsid w:val="005C7D78"/>
    <w:rsid w:val="005C7D93"/>
    <w:rsid w:val="005C7E1D"/>
    <w:rsid w:val="005C7E2E"/>
    <w:rsid w:val="005C7E77"/>
    <w:rsid w:val="005D025B"/>
    <w:rsid w:val="005D026B"/>
    <w:rsid w:val="005D0361"/>
    <w:rsid w:val="005D037A"/>
    <w:rsid w:val="005D0441"/>
    <w:rsid w:val="005D0452"/>
    <w:rsid w:val="005D0537"/>
    <w:rsid w:val="005D074F"/>
    <w:rsid w:val="005D075C"/>
    <w:rsid w:val="005D077D"/>
    <w:rsid w:val="005D0785"/>
    <w:rsid w:val="005D0834"/>
    <w:rsid w:val="005D086A"/>
    <w:rsid w:val="005D0902"/>
    <w:rsid w:val="005D09A2"/>
    <w:rsid w:val="005D0AF3"/>
    <w:rsid w:val="005D0DBD"/>
    <w:rsid w:val="005D0DC8"/>
    <w:rsid w:val="005D0DE8"/>
    <w:rsid w:val="005D0E82"/>
    <w:rsid w:val="005D0F75"/>
    <w:rsid w:val="005D0FBE"/>
    <w:rsid w:val="005D102B"/>
    <w:rsid w:val="005D1143"/>
    <w:rsid w:val="005D1315"/>
    <w:rsid w:val="005D1328"/>
    <w:rsid w:val="005D1397"/>
    <w:rsid w:val="005D147D"/>
    <w:rsid w:val="005D156F"/>
    <w:rsid w:val="005D1653"/>
    <w:rsid w:val="005D1692"/>
    <w:rsid w:val="005D17D7"/>
    <w:rsid w:val="005D17DF"/>
    <w:rsid w:val="005D1A16"/>
    <w:rsid w:val="005D1A6E"/>
    <w:rsid w:val="005D1B6C"/>
    <w:rsid w:val="005D1BA2"/>
    <w:rsid w:val="005D1C90"/>
    <w:rsid w:val="005D1D31"/>
    <w:rsid w:val="005D1DD4"/>
    <w:rsid w:val="005D1E18"/>
    <w:rsid w:val="005D1F17"/>
    <w:rsid w:val="005D1F5D"/>
    <w:rsid w:val="005D1F87"/>
    <w:rsid w:val="005D2037"/>
    <w:rsid w:val="005D20D7"/>
    <w:rsid w:val="005D2104"/>
    <w:rsid w:val="005D2218"/>
    <w:rsid w:val="005D2244"/>
    <w:rsid w:val="005D235E"/>
    <w:rsid w:val="005D23D4"/>
    <w:rsid w:val="005D2500"/>
    <w:rsid w:val="005D26D0"/>
    <w:rsid w:val="005D2713"/>
    <w:rsid w:val="005D27E3"/>
    <w:rsid w:val="005D2832"/>
    <w:rsid w:val="005D284D"/>
    <w:rsid w:val="005D2850"/>
    <w:rsid w:val="005D29A0"/>
    <w:rsid w:val="005D29A4"/>
    <w:rsid w:val="005D29C2"/>
    <w:rsid w:val="005D2AD6"/>
    <w:rsid w:val="005D2B44"/>
    <w:rsid w:val="005D2BF7"/>
    <w:rsid w:val="005D2C19"/>
    <w:rsid w:val="005D2C58"/>
    <w:rsid w:val="005D2C5F"/>
    <w:rsid w:val="005D2D50"/>
    <w:rsid w:val="005D2EFE"/>
    <w:rsid w:val="005D3039"/>
    <w:rsid w:val="005D3165"/>
    <w:rsid w:val="005D319D"/>
    <w:rsid w:val="005D3220"/>
    <w:rsid w:val="005D328B"/>
    <w:rsid w:val="005D32DA"/>
    <w:rsid w:val="005D3433"/>
    <w:rsid w:val="005D346D"/>
    <w:rsid w:val="005D3479"/>
    <w:rsid w:val="005D34F3"/>
    <w:rsid w:val="005D35A2"/>
    <w:rsid w:val="005D35FC"/>
    <w:rsid w:val="005D3608"/>
    <w:rsid w:val="005D364F"/>
    <w:rsid w:val="005D375C"/>
    <w:rsid w:val="005D3779"/>
    <w:rsid w:val="005D3783"/>
    <w:rsid w:val="005D3857"/>
    <w:rsid w:val="005D394A"/>
    <w:rsid w:val="005D3AAC"/>
    <w:rsid w:val="005D3BE2"/>
    <w:rsid w:val="005D3C5D"/>
    <w:rsid w:val="005D3DD3"/>
    <w:rsid w:val="005D3DDE"/>
    <w:rsid w:val="005D3E2C"/>
    <w:rsid w:val="005D3FC6"/>
    <w:rsid w:val="005D402E"/>
    <w:rsid w:val="005D4172"/>
    <w:rsid w:val="005D42E8"/>
    <w:rsid w:val="005D433F"/>
    <w:rsid w:val="005D4402"/>
    <w:rsid w:val="005D449D"/>
    <w:rsid w:val="005D4502"/>
    <w:rsid w:val="005D4517"/>
    <w:rsid w:val="005D454C"/>
    <w:rsid w:val="005D4614"/>
    <w:rsid w:val="005D46D8"/>
    <w:rsid w:val="005D4762"/>
    <w:rsid w:val="005D4886"/>
    <w:rsid w:val="005D491E"/>
    <w:rsid w:val="005D49BE"/>
    <w:rsid w:val="005D4A08"/>
    <w:rsid w:val="005D4A6D"/>
    <w:rsid w:val="005D4AC7"/>
    <w:rsid w:val="005D4B18"/>
    <w:rsid w:val="005D4D7E"/>
    <w:rsid w:val="005D4DB1"/>
    <w:rsid w:val="005D4EAA"/>
    <w:rsid w:val="005D4F01"/>
    <w:rsid w:val="005D4F27"/>
    <w:rsid w:val="005D503B"/>
    <w:rsid w:val="005D50AB"/>
    <w:rsid w:val="005D5165"/>
    <w:rsid w:val="005D5385"/>
    <w:rsid w:val="005D53A3"/>
    <w:rsid w:val="005D53C9"/>
    <w:rsid w:val="005D53F8"/>
    <w:rsid w:val="005D53F9"/>
    <w:rsid w:val="005D5596"/>
    <w:rsid w:val="005D5620"/>
    <w:rsid w:val="005D5639"/>
    <w:rsid w:val="005D563F"/>
    <w:rsid w:val="005D5736"/>
    <w:rsid w:val="005D5919"/>
    <w:rsid w:val="005D5A0C"/>
    <w:rsid w:val="005D5A4B"/>
    <w:rsid w:val="005D5AB3"/>
    <w:rsid w:val="005D5AE6"/>
    <w:rsid w:val="005D5B0D"/>
    <w:rsid w:val="005D5B88"/>
    <w:rsid w:val="005D5C28"/>
    <w:rsid w:val="005D5C4B"/>
    <w:rsid w:val="005D5C86"/>
    <w:rsid w:val="005D5C8E"/>
    <w:rsid w:val="005D5DB5"/>
    <w:rsid w:val="005D5E2A"/>
    <w:rsid w:val="005D5EAC"/>
    <w:rsid w:val="005D6069"/>
    <w:rsid w:val="005D60F0"/>
    <w:rsid w:val="005D618D"/>
    <w:rsid w:val="005D61EF"/>
    <w:rsid w:val="005D6203"/>
    <w:rsid w:val="005D62DB"/>
    <w:rsid w:val="005D655A"/>
    <w:rsid w:val="005D655C"/>
    <w:rsid w:val="005D665B"/>
    <w:rsid w:val="005D67DF"/>
    <w:rsid w:val="005D6811"/>
    <w:rsid w:val="005D6813"/>
    <w:rsid w:val="005D6832"/>
    <w:rsid w:val="005D6873"/>
    <w:rsid w:val="005D6AE8"/>
    <w:rsid w:val="005D6BE1"/>
    <w:rsid w:val="005D6BFE"/>
    <w:rsid w:val="005D6CEB"/>
    <w:rsid w:val="005D6D67"/>
    <w:rsid w:val="005D6D7B"/>
    <w:rsid w:val="005D6DA2"/>
    <w:rsid w:val="005D6DC0"/>
    <w:rsid w:val="005D6DE7"/>
    <w:rsid w:val="005D6E76"/>
    <w:rsid w:val="005D6EA4"/>
    <w:rsid w:val="005D6EDD"/>
    <w:rsid w:val="005D6F1A"/>
    <w:rsid w:val="005D6F2C"/>
    <w:rsid w:val="005D6F9E"/>
    <w:rsid w:val="005D6FB2"/>
    <w:rsid w:val="005D7031"/>
    <w:rsid w:val="005D70E3"/>
    <w:rsid w:val="005D71CC"/>
    <w:rsid w:val="005D7209"/>
    <w:rsid w:val="005D74E5"/>
    <w:rsid w:val="005D75F5"/>
    <w:rsid w:val="005D7632"/>
    <w:rsid w:val="005D76C7"/>
    <w:rsid w:val="005D7964"/>
    <w:rsid w:val="005D79AA"/>
    <w:rsid w:val="005D7B1A"/>
    <w:rsid w:val="005D7CAB"/>
    <w:rsid w:val="005D7CBB"/>
    <w:rsid w:val="005D7DF7"/>
    <w:rsid w:val="005D7EB1"/>
    <w:rsid w:val="005D7F5A"/>
    <w:rsid w:val="005D7FBD"/>
    <w:rsid w:val="005E0032"/>
    <w:rsid w:val="005E00F9"/>
    <w:rsid w:val="005E012B"/>
    <w:rsid w:val="005E0134"/>
    <w:rsid w:val="005E02F3"/>
    <w:rsid w:val="005E02F5"/>
    <w:rsid w:val="005E049E"/>
    <w:rsid w:val="005E04B7"/>
    <w:rsid w:val="005E051B"/>
    <w:rsid w:val="005E05D4"/>
    <w:rsid w:val="005E060E"/>
    <w:rsid w:val="005E06A0"/>
    <w:rsid w:val="005E0917"/>
    <w:rsid w:val="005E097A"/>
    <w:rsid w:val="005E0B24"/>
    <w:rsid w:val="005E0B78"/>
    <w:rsid w:val="005E0BF5"/>
    <w:rsid w:val="005E0CBD"/>
    <w:rsid w:val="005E0CF8"/>
    <w:rsid w:val="005E0E4F"/>
    <w:rsid w:val="005E0E63"/>
    <w:rsid w:val="005E0F8E"/>
    <w:rsid w:val="005E0FBD"/>
    <w:rsid w:val="005E101D"/>
    <w:rsid w:val="005E1021"/>
    <w:rsid w:val="005E1074"/>
    <w:rsid w:val="005E1117"/>
    <w:rsid w:val="005E121C"/>
    <w:rsid w:val="005E1227"/>
    <w:rsid w:val="005E12A1"/>
    <w:rsid w:val="005E132E"/>
    <w:rsid w:val="005E1360"/>
    <w:rsid w:val="005E14E1"/>
    <w:rsid w:val="005E1526"/>
    <w:rsid w:val="005E1586"/>
    <w:rsid w:val="005E166F"/>
    <w:rsid w:val="005E16CA"/>
    <w:rsid w:val="005E1710"/>
    <w:rsid w:val="005E1712"/>
    <w:rsid w:val="005E171D"/>
    <w:rsid w:val="005E193A"/>
    <w:rsid w:val="005E1BD2"/>
    <w:rsid w:val="005E1C2A"/>
    <w:rsid w:val="005E1CB4"/>
    <w:rsid w:val="005E1D5A"/>
    <w:rsid w:val="005E1E63"/>
    <w:rsid w:val="005E1EB8"/>
    <w:rsid w:val="005E1EF6"/>
    <w:rsid w:val="005E1FC4"/>
    <w:rsid w:val="005E1FD7"/>
    <w:rsid w:val="005E207B"/>
    <w:rsid w:val="005E208A"/>
    <w:rsid w:val="005E20FA"/>
    <w:rsid w:val="005E21A0"/>
    <w:rsid w:val="005E21B0"/>
    <w:rsid w:val="005E2519"/>
    <w:rsid w:val="005E2655"/>
    <w:rsid w:val="005E269E"/>
    <w:rsid w:val="005E26EB"/>
    <w:rsid w:val="005E26FC"/>
    <w:rsid w:val="005E284A"/>
    <w:rsid w:val="005E28B9"/>
    <w:rsid w:val="005E28BC"/>
    <w:rsid w:val="005E28D2"/>
    <w:rsid w:val="005E292D"/>
    <w:rsid w:val="005E2996"/>
    <w:rsid w:val="005E2A10"/>
    <w:rsid w:val="005E2A7B"/>
    <w:rsid w:val="005E2B54"/>
    <w:rsid w:val="005E2B62"/>
    <w:rsid w:val="005E2D8E"/>
    <w:rsid w:val="005E2E9E"/>
    <w:rsid w:val="005E2EA6"/>
    <w:rsid w:val="005E2EE3"/>
    <w:rsid w:val="005E3065"/>
    <w:rsid w:val="005E31C5"/>
    <w:rsid w:val="005E324E"/>
    <w:rsid w:val="005E3268"/>
    <w:rsid w:val="005E329C"/>
    <w:rsid w:val="005E32C2"/>
    <w:rsid w:val="005E3376"/>
    <w:rsid w:val="005E33B5"/>
    <w:rsid w:val="005E3400"/>
    <w:rsid w:val="005E340A"/>
    <w:rsid w:val="005E3523"/>
    <w:rsid w:val="005E3548"/>
    <w:rsid w:val="005E359A"/>
    <w:rsid w:val="005E3655"/>
    <w:rsid w:val="005E36C7"/>
    <w:rsid w:val="005E36F2"/>
    <w:rsid w:val="005E37F1"/>
    <w:rsid w:val="005E3964"/>
    <w:rsid w:val="005E3A87"/>
    <w:rsid w:val="005E3B21"/>
    <w:rsid w:val="005E3B61"/>
    <w:rsid w:val="005E3C23"/>
    <w:rsid w:val="005E3C8C"/>
    <w:rsid w:val="005E3E53"/>
    <w:rsid w:val="005E3E7C"/>
    <w:rsid w:val="005E3F2A"/>
    <w:rsid w:val="005E4041"/>
    <w:rsid w:val="005E409C"/>
    <w:rsid w:val="005E4175"/>
    <w:rsid w:val="005E41F3"/>
    <w:rsid w:val="005E42D8"/>
    <w:rsid w:val="005E4460"/>
    <w:rsid w:val="005E44F0"/>
    <w:rsid w:val="005E4609"/>
    <w:rsid w:val="005E4663"/>
    <w:rsid w:val="005E46D2"/>
    <w:rsid w:val="005E47D5"/>
    <w:rsid w:val="005E481E"/>
    <w:rsid w:val="005E482C"/>
    <w:rsid w:val="005E485A"/>
    <w:rsid w:val="005E48A2"/>
    <w:rsid w:val="005E4952"/>
    <w:rsid w:val="005E496E"/>
    <w:rsid w:val="005E4A63"/>
    <w:rsid w:val="005E4ACA"/>
    <w:rsid w:val="005E4B2B"/>
    <w:rsid w:val="005E4C31"/>
    <w:rsid w:val="005E4DE5"/>
    <w:rsid w:val="005E4E09"/>
    <w:rsid w:val="005E4EE1"/>
    <w:rsid w:val="005E4EF5"/>
    <w:rsid w:val="005E4F5E"/>
    <w:rsid w:val="005E4F71"/>
    <w:rsid w:val="005E4FC0"/>
    <w:rsid w:val="005E5016"/>
    <w:rsid w:val="005E51D2"/>
    <w:rsid w:val="005E51FF"/>
    <w:rsid w:val="005E528D"/>
    <w:rsid w:val="005E5382"/>
    <w:rsid w:val="005E5453"/>
    <w:rsid w:val="005E5575"/>
    <w:rsid w:val="005E557C"/>
    <w:rsid w:val="005E55BD"/>
    <w:rsid w:val="005E5630"/>
    <w:rsid w:val="005E56A7"/>
    <w:rsid w:val="005E56B0"/>
    <w:rsid w:val="005E57D0"/>
    <w:rsid w:val="005E5854"/>
    <w:rsid w:val="005E58D9"/>
    <w:rsid w:val="005E5916"/>
    <w:rsid w:val="005E5937"/>
    <w:rsid w:val="005E5A15"/>
    <w:rsid w:val="005E5ABB"/>
    <w:rsid w:val="005E5C6E"/>
    <w:rsid w:val="005E5D79"/>
    <w:rsid w:val="005E5EC0"/>
    <w:rsid w:val="005E605F"/>
    <w:rsid w:val="005E60DE"/>
    <w:rsid w:val="005E610D"/>
    <w:rsid w:val="005E6155"/>
    <w:rsid w:val="005E61E0"/>
    <w:rsid w:val="005E6282"/>
    <w:rsid w:val="005E631E"/>
    <w:rsid w:val="005E63D3"/>
    <w:rsid w:val="005E64BA"/>
    <w:rsid w:val="005E6515"/>
    <w:rsid w:val="005E6541"/>
    <w:rsid w:val="005E656D"/>
    <w:rsid w:val="005E656E"/>
    <w:rsid w:val="005E66F0"/>
    <w:rsid w:val="005E676D"/>
    <w:rsid w:val="005E68A5"/>
    <w:rsid w:val="005E6910"/>
    <w:rsid w:val="005E695D"/>
    <w:rsid w:val="005E6A43"/>
    <w:rsid w:val="005E6AB3"/>
    <w:rsid w:val="005E6BFD"/>
    <w:rsid w:val="005E6C33"/>
    <w:rsid w:val="005E6CB9"/>
    <w:rsid w:val="005E6D2F"/>
    <w:rsid w:val="005E6D56"/>
    <w:rsid w:val="005E6DBB"/>
    <w:rsid w:val="005E6E1D"/>
    <w:rsid w:val="005E6E8F"/>
    <w:rsid w:val="005E6F65"/>
    <w:rsid w:val="005E6FEA"/>
    <w:rsid w:val="005E7045"/>
    <w:rsid w:val="005E70B4"/>
    <w:rsid w:val="005E714E"/>
    <w:rsid w:val="005E71AB"/>
    <w:rsid w:val="005E71AC"/>
    <w:rsid w:val="005E71F7"/>
    <w:rsid w:val="005E725F"/>
    <w:rsid w:val="005E7398"/>
    <w:rsid w:val="005E7437"/>
    <w:rsid w:val="005E7468"/>
    <w:rsid w:val="005E7480"/>
    <w:rsid w:val="005E7686"/>
    <w:rsid w:val="005E76A2"/>
    <w:rsid w:val="005E76B6"/>
    <w:rsid w:val="005E7824"/>
    <w:rsid w:val="005E78C3"/>
    <w:rsid w:val="005E79B1"/>
    <w:rsid w:val="005E7A89"/>
    <w:rsid w:val="005E7B10"/>
    <w:rsid w:val="005E7E55"/>
    <w:rsid w:val="005E7EF2"/>
    <w:rsid w:val="005EB9D3"/>
    <w:rsid w:val="005F0020"/>
    <w:rsid w:val="005F0093"/>
    <w:rsid w:val="005F015F"/>
    <w:rsid w:val="005F01DD"/>
    <w:rsid w:val="005F01F9"/>
    <w:rsid w:val="005F02D3"/>
    <w:rsid w:val="005F02D8"/>
    <w:rsid w:val="005F0589"/>
    <w:rsid w:val="005F0892"/>
    <w:rsid w:val="005F094D"/>
    <w:rsid w:val="005F09A6"/>
    <w:rsid w:val="005F0B05"/>
    <w:rsid w:val="005F0C9D"/>
    <w:rsid w:val="005F0CC7"/>
    <w:rsid w:val="005F0CD9"/>
    <w:rsid w:val="005F0D6E"/>
    <w:rsid w:val="005F0E51"/>
    <w:rsid w:val="005F0E63"/>
    <w:rsid w:val="005F0F10"/>
    <w:rsid w:val="005F0F1A"/>
    <w:rsid w:val="005F100E"/>
    <w:rsid w:val="005F105A"/>
    <w:rsid w:val="005F129E"/>
    <w:rsid w:val="005F1344"/>
    <w:rsid w:val="005F136F"/>
    <w:rsid w:val="005F13E3"/>
    <w:rsid w:val="005F143C"/>
    <w:rsid w:val="005F1518"/>
    <w:rsid w:val="005F1555"/>
    <w:rsid w:val="005F15E5"/>
    <w:rsid w:val="005F1605"/>
    <w:rsid w:val="005F1701"/>
    <w:rsid w:val="005F1711"/>
    <w:rsid w:val="005F1787"/>
    <w:rsid w:val="005F17E6"/>
    <w:rsid w:val="005F1841"/>
    <w:rsid w:val="005F191A"/>
    <w:rsid w:val="005F1ABF"/>
    <w:rsid w:val="005F1ACE"/>
    <w:rsid w:val="005F1BF7"/>
    <w:rsid w:val="005F1CF1"/>
    <w:rsid w:val="005F1DAF"/>
    <w:rsid w:val="005F1E62"/>
    <w:rsid w:val="005F1E85"/>
    <w:rsid w:val="005F1EDB"/>
    <w:rsid w:val="005F1F19"/>
    <w:rsid w:val="005F1F66"/>
    <w:rsid w:val="005F2041"/>
    <w:rsid w:val="005F2084"/>
    <w:rsid w:val="005F21B9"/>
    <w:rsid w:val="005F21E5"/>
    <w:rsid w:val="005F2248"/>
    <w:rsid w:val="005F224B"/>
    <w:rsid w:val="005F2280"/>
    <w:rsid w:val="005F22E3"/>
    <w:rsid w:val="005F2468"/>
    <w:rsid w:val="005F2473"/>
    <w:rsid w:val="005F24F2"/>
    <w:rsid w:val="005F2506"/>
    <w:rsid w:val="005F25AB"/>
    <w:rsid w:val="005F263A"/>
    <w:rsid w:val="005F2748"/>
    <w:rsid w:val="005F275C"/>
    <w:rsid w:val="005F29C4"/>
    <w:rsid w:val="005F2A00"/>
    <w:rsid w:val="005F2C09"/>
    <w:rsid w:val="005F2C3C"/>
    <w:rsid w:val="005F2C44"/>
    <w:rsid w:val="005F2E7C"/>
    <w:rsid w:val="005F2E90"/>
    <w:rsid w:val="005F2EB1"/>
    <w:rsid w:val="005F2EE2"/>
    <w:rsid w:val="005F2FF5"/>
    <w:rsid w:val="005F304D"/>
    <w:rsid w:val="005F3150"/>
    <w:rsid w:val="005F3166"/>
    <w:rsid w:val="005F32BA"/>
    <w:rsid w:val="005F32BD"/>
    <w:rsid w:val="005F341A"/>
    <w:rsid w:val="005F3448"/>
    <w:rsid w:val="005F34BC"/>
    <w:rsid w:val="005F353B"/>
    <w:rsid w:val="005F3812"/>
    <w:rsid w:val="005F386A"/>
    <w:rsid w:val="005F3901"/>
    <w:rsid w:val="005F397A"/>
    <w:rsid w:val="005F3A0C"/>
    <w:rsid w:val="005F3B73"/>
    <w:rsid w:val="005F3BC3"/>
    <w:rsid w:val="005F3BE3"/>
    <w:rsid w:val="005F3BE4"/>
    <w:rsid w:val="005F3E2D"/>
    <w:rsid w:val="005F3F90"/>
    <w:rsid w:val="005F4142"/>
    <w:rsid w:val="005F41B5"/>
    <w:rsid w:val="005F41E7"/>
    <w:rsid w:val="005F4251"/>
    <w:rsid w:val="005F4317"/>
    <w:rsid w:val="005F4331"/>
    <w:rsid w:val="005F454F"/>
    <w:rsid w:val="005F4572"/>
    <w:rsid w:val="005F468C"/>
    <w:rsid w:val="005F468D"/>
    <w:rsid w:val="005F4779"/>
    <w:rsid w:val="005F483C"/>
    <w:rsid w:val="005F4A42"/>
    <w:rsid w:val="005F4A4C"/>
    <w:rsid w:val="005F4AE4"/>
    <w:rsid w:val="005F4B2F"/>
    <w:rsid w:val="005F4BB6"/>
    <w:rsid w:val="005F4C78"/>
    <w:rsid w:val="005F4C80"/>
    <w:rsid w:val="005F4E90"/>
    <w:rsid w:val="005F4ECD"/>
    <w:rsid w:val="005F4EEC"/>
    <w:rsid w:val="005F4F3C"/>
    <w:rsid w:val="005F4F70"/>
    <w:rsid w:val="005F4F96"/>
    <w:rsid w:val="005F4FE9"/>
    <w:rsid w:val="005F5017"/>
    <w:rsid w:val="005F503A"/>
    <w:rsid w:val="005F5060"/>
    <w:rsid w:val="005F50BC"/>
    <w:rsid w:val="005F52E6"/>
    <w:rsid w:val="005F5465"/>
    <w:rsid w:val="005F5498"/>
    <w:rsid w:val="005F5551"/>
    <w:rsid w:val="005F559C"/>
    <w:rsid w:val="005F562A"/>
    <w:rsid w:val="005F5697"/>
    <w:rsid w:val="005F5702"/>
    <w:rsid w:val="005F57B7"/>
    <w:rsid w:val="005F583E"/>
    <w:rsid w:val="005F5882"/>
    <w:rsid w:val="005F58AA"/>
    <w:rsid w:val="005F59D3"/>
    <w:rsid w:val="005F5A2E"/>
    <w:rsid w:val="005F5BBC"/>
    <w:rsid w:val="005F5BFD"/>
    <w:rsid w:val="005F5C6C"/>
    <w:rsid w:val="005F5CA5"/>
    <w:rsid w:val="005F5DAB"/>
    <w:rsid w:val="005F5E1F"/>
    <w:rsid w:val="005F616D"/>
    <w:rsid w:val="005F6195"/>
    <w:rsid w:val="005F6219"/>
    <w:rsid w:val="005F6261"/>
    <w:rsid w:val="005F637F"/>
    <w:rsid w:val="005F6382"/>
    <w:rsid w:val="005F645E"/>
    <w:rsid w:val="005F6475"/>
    <w:rsid w:val="005F6612"/>
    <w:rsid w:val="005F668D"/>
    <w:rsid w:val="005F6725"/>
    <w:rsid w:val="005F68B5"/>
    <w:rsid w:val="005F693C"/>
    <w:rsid w:val="005F6AA4"/>
    <w:rsid w:val="005F6B78"/>
    <w:rsid w:val="005F6C22"/>
    <w:rsid w:val="005F6E0F"/>
    <w:rsid w:val="005F6E44"/>
    <w:rsid w:val="005F6E8C"/>
    <w:rsid w:val="005F6FB3"/>
    <w:rsid w:val="005F7025"/>
    <w:rsid w:val="005F7045"/>
    <w:rsid w:val="005F70CD"/>
    <w:rsid w:val="005F716E"/>
    <w:rsid w:val="005F72EB"/>
    <w:rsid w:val="005F7368"/>
    <w:rsid w:val="005F7455"/>
    <w:rsid w:val="005F74A5"/>
    <w:rsid w:val="005F7700"/>
    <w:rsid w:val="005F78BC"/>
    <w:rsid w:val="005F791D"/>
    <w:rsid w:val="005F7A61"/>
    <w:rsid w:val="005F7AF7"/>
    <w:rsid w:val="005F7BD3"/>
    <w:rsid w:val="005F7BF1"/>
    <w:rsid w:val="005F7CC0"/>
    <w:rsid w:val="005F7D77"/>
    <w:rsid w:val="005F7E29"/>
    <w:rsid w:val="005F7E36"/>
    <w:rsid w:val="00600030"/>
    <w:rsid w:val="00600105"/>
    <w:rsid w:val="0060027E"/>
    <w:rsid w:val="006002F2"/>
    <w:rsid w:val="0060036D"/>
    <w:rsid w:val="0060039C"/>
    <w:rsid w:val="006003BB"/>
    <w:rsid w:val="00600473"/>
    <w:rsid w:val="0060067F"/>
    <w:rsid w:val="006006BA"/>
    <w:rsid w:val="0060070F"/>
    <w:rsid w:val="00600830"/>
    <w:rsid w:val="006009DA"/>
    <w:rsid w:val="00600BD2"/>
    <w:rsid w:val="00600C2D"/>
    <w:rsid w:val="00600C3C"/>
    <w:rsid w:val="00600D2E"/>
    <w:rsid w:val="00600D84"/>
    <w:rsid w:val="00600E32"/>
    <w:rsid w:val="00600E50"/>
    <w:rsid w:val="00600F85"/>
    <w:rsid w:val="00600FA2"/>
    <w:rsid w:val="00601161"/>
    <w:rsid w:val="00601284"/>
    <w:rsid w:val="00601361"/>
    <w:rsid w:val="0060137B"/>
    <w:rsid w:val="00601437"/>
    <w:rsid w:val="006014DE"/>
    <w:rsid w:val="0060150B"/>
    <w:rsid w:val="00601556"/>
    <w:rsid w:val="006015A2"/>
    <w:rsid w:val="006016D1"/>
    <w:rsid w:val="00601741"/>
    <w:rsid w:val="00601843"/>
    <w:rsid w:val="006018F5"/>
    <w:rsid w:val="006018FD"/>
    <w:rsid w:val="00601918"/>
    <w:rsid w:val="00601A5A"/>
    <w:rsid w:val="00601AF6"/>
    <w:rsid w:val="00601B56"/>
    <w:rsid w:val="00601B85"/>
    <w:rsid w:val="00601BD6"/>
    <w:rsid w:val="00601C2C"/>
    <w:rsid w:val="00601CE1"/>
    <w:rsid w:val="00601D4B"/>
    <w:rsid w:val="00601DAA"/>
    <w:rsid w:val="00601DF8"/>
    <w:rsid w:val="00601E89"/>
    <w:rsid w:val="00601F65"/>
    <w:rsid w:val="00602100"/>
    <w:rsid w:val="00602183"/>
    <w:rsid w:val="0060218C"/>
    <w:rsid w:val="0060220F"/>
    <w:rsid w:val="00602270"/>
    <w:rsid w:val="0060231A"/>
    <w:rsid w:val="00602372"/>
    <w:rsid w:val="006023BF"/>
    <w:rsid w:val="00602580"/>
    <w:rsid w:val="0060265B"/>
    <w:rsid w:val="00602673"/>
    <w:rsid w:val="006026FE"/>
    <w:rsid w:val="00602753"/>
    <w:rsid w:val="00602936"/>
    <w:rsid w:val="0060295C"/>
    <w:rsid w:val="00602A52"/>
    <w:rsid w:val="00602A76"/>
    <w:rsid w:val="00602AB3"/>
    <w:rsid w:val="00602AC1"/>
    <w:rsid w:val="00602BF4"/>
    <w:rsid w:val="00602C9A"/>
    <w:rsid w:val="00602D64"/>
    <w:rsid w:val="00602DA9"/>
    <w:rsid w:val="00602DAF"/>
    <w:rsid w:val="00602DCD"/>
    <w:rsid w:val="00602E03"/>
    <w:rsid w:val="00602EAE"/>
    <w:rsid w:val="00602ED7"/>
    <w:rsid w:val="00602EED"/>
    <w:rsid w:val="0060307A"/>
    <w:rsid w:val="00603097"/>
    <w:rsid w:val="006030C5"/>
    <w:rsid w:val="006030D7"/>
    <w:rsid w:val="00603122"/>
    <w:rsid w:val="006031F0"/>
    <w:rsid w:val="00603252"/>
    <w:rsid w:val="00603284"/>
    <w:rsid w:val="00603406"/>
    <w:rsid w:val="006034FD"/>
    <w:rsid w:val="00603551"/>
    <w:rsid w:val="00603583"/>
    <w:rsid w:val="00603587"/>
    <w:rsid w:val="006036AC"/>
    <w:rsid w:val="00603825"/>
    <w:rsid w:val="00603A22"/>
    <w:rsid w:val="00603A38"/>
    <w:rsid w:val="00603A71"/>
    <w:rsid w:val="00603ACA"/>
    <w:rsid w:val="00603AD9"/>
    <w:rsid w:val="00603B20"/>
    <w:rsid w:val="00603B22"/>
    <w:rsid w:val="00603B2E"/>
    <w:rsid w:val="00603CD8"/>
    <w:rsid w:val="00604059"/>
    <w:rsid w:val="006041EF"/>
    <w:rsid w:val="0060423F"/>
    <w:rsid w:val="0060434B"/>
    <w:rsid w:val="00604379"/>
    <w:rsid w:val="0060439B"/>
    <w:rsid w:val="006043F8"/>
    <w:rsid w:val="00604480"/>
    <w:rsid w:val="00604490"/>
    <w:rsid w:val="00604499"/>
    <w:rsid w:val="006044DA"/>
    <w:rsid w:val="00604675"/>
    <w:rsid w:val="00604825"/>
    <w:rsid w:val="0060485B"/>
    <w:rsid w:val="006049DA"/>
    <w:rsid w:val="006049E4"/>
    <w:rsid w:val="00604A1E"/>
    <w:rsid w:val="00604A81"/>
    <w:rsid w:val="00604AE2"/>
    <w:rsid w:val="00604AF4"/>
    <w:rsid w:val="00604B08"/>
    <w:rsid w:val="00604BAD"/>
    <w:rsid w:val="00604DAF"/>
    <w:rsid w:val="00604DC0"/>
    <w:rsid w:val="00604F9B"/>
    <w:rsid w:val="0060501B"/>
    <w:rsid w:val="0060502A"/>
    <w:rsid w:val="006050AA"/>
    <w:rsid w:val="006050FC"/>
    <w:rsid w:val="006051B2"/>
    <w:rsid w:val="006051BF"/>
    <w:rsid w:val="00605223"/>
    <w:rsid w:val="006052FD"/>
    <w:rsid w:val="00605404"/>
    <w:rsid w:val="0060548C"/>
    <w:rsid w:val="0060549A"/>
    <w:rsid w:val="006054D4"/>
    <w:rsid w:val="00605542"/>
    <w:rsid w:val="006055F3"/>
    <w:rsid w:val="006055FF"/>
    <w:rsid w:val="00605623"/>
    <w:rsid w:val="006056F0"/>
    <w:rsid w:val="00605725"/>
    <w:rsid w:val="00605789"/>
    <w:rsid w:val="006058BF"/>
    <w:rsid w:val="0060591D"/>
    <w:rsid w:val="00605995"/>
    <w:rsid w:val="00605B2F"/>
    <w:rsid w:val="00605B9A"/>
    <w:rsid w:val="00605C13"/>
    <w:rsid w:val="00605C9B"/>
    <w:rsid w:val="00605CB6"/>
    <w:rsid w:val="00605D3B"/>
    <w:rsid w:val="00605D98"/>
    <w:rsid w:val="00605ED3"/>
    <w:rsid w:val="00605F00"/>
    <w:rsid w:val="00605FD0"/>
    <w:rsid w:val="00606245"/>
    <w:rsid w:val="00606275"/>
    <w:rsid w:val="006062F4"/>
    <w:rsid w:val="006063B7"/>
    <w:rsid w:val="0060648B"/>
    <w:rsid w:val="0060654D"/>
    <w:rsid w:val="006065A5"/>
    <w:rsid w:val="006065BA"/>
    <w:rsid w:val="00606620"/>
    <w:rsid w:val="00606662"/>
    <w:rsid w:val="00606709"/>
    <w:rsid w:val="0060672C"/>
    <w:rsid w:val="0060677C"/>
    <w:rsid w:val="00606821"/>
    <w:rsid w:val="006068B1"/>
    <w:rsid w:val="006069BA"/>
    <w:rsid w:val="00606BC0"/>
    <w:rsid w:val="00606C08"/>
    <w:rsid w:val="00606CEF"/>
    <w:rsid w:val="00606E87"/>
    <w:rsid w:val="00606E9C"/>
    <w:rsid w:val="00606EF7"/>
    <w:rsid w:val="0060728A"/>
    <w:rsid w:val="0060730E"/>
    <w:rsid w:val="0060742B"/>
    <w:rsid w:val="00607552"/>
    <w:rsid w:val="006075EA"/>
    <w:rsid w:val="006076F1"/>
    <w:rsid w:val="00607828"/>
    <w:rsid w:val="006078EB"/>
    <w:rsid w:val="00607A85"/>
    <w:rsid w:val="00607ACC"/>
    <w:rsid w:val="00607B06"/>
    <w:rsid w:val="00607B36"/>
    <w:rsid w:val="00607BB6"/>
    <w:rsid w:val="00607C0D"/>
    <w:rsid w:val="00607C64"/>
    <w:rsid w:val="00607C70"/>
    <w:rsid w:val="00607F3B"/>
    <w:rsid w:val="00607F78"/>
    <w:rsid w:val="00607FBC"/>
    <w:rsid w:val="00607FEE"/>
    <w:rsid w:val="00607FF4"/>
    <w:rsid w:val="00610012"/>
    <w:rsid w:val="0061027B"/>
    <w:rsid w:val="0061027D"/>
    <w:rsid w:val="0061028F"/>
    <w:rsid w:val="0061034E"/>
    <w:rsid w:val="006104D0"/>
    <w:rsid w:val="006104DA"/>
    <w:rsid w:val="0061054A"/>
    <w:rsid w:val="006106E7"/>
    <w:rsid w:val="00610887"/>
    <w:rsid w:val="00610A0E"/>
    <w:rsid w:val="00610A5B"/>
    <w:rsid w:val="00610C07"/>
    <w:rsid w:val="00610D5B"/>
    <w:rsid w:val="00610DE0"/>
    <w:rsid w:val="00610E36"/>
    <w:rsid w:val="00610E59"/>
    <w:rsid w:val="0061119C"/>
    <w:rsid w:val="0061131B"/>
    <w:rsid w:val="0061137B"/>
    <w:rsid w:val="006113D7"/>
    <w:rsid w:val="006114AD"/>
    <w:rsid w:val="00611556"/>
    <w:rsid w:val="006116BF"/>
    <w:rsid w:val="006116DC"/>
    <w:rsid w:val="006116E1"/>
    <w:rsid w:val="00611718"/>
    <w:rsid w:val="006117EA"/>
    <w:rsid w:val="006118AB"/>
    <w:rsid w:val="006118BE"/>
    <w:rsid w:val="00611944"/>
    <w:rsid w:val="00611989"/>
    <w:rsid w:val="00611AC9"/>
    <w:rsid w:val="00611AFE"/>
    <w:rsid w:val="00611B08"/>
    <w:rsid w:val="00611CA1"/>
    <w:rsid w:val="00611D7E"/>
    <w:rsid w:val="00611E0A"/>
    <w:rsid w:val="00611E87"/>
    <w:rsid w:val="00611EA6"/>
    <w:rsid w:val="00611F22"/>
    <w:rsid w:val="0061204F"/>
    <w:rsid w:val="00612086"/>
    <w:rsid w:val="006120CE"/>
    <w:rsid w:val="00612100"/>
    <w:rsid w:val="00612483"/>
    <w:rsid w:val="006124E8"/>
    <w:rsid w:val="00612560"/>
    <w:rsid w:val="00612579"/>
    <w:rsid w:val="00612580"/>
    <w:rsid w:val="00612818"/>
    <w:rsid w:val="00612883"/>
    <w:rsid w:val="0061291D"/>
    <w:rsid w:val="006129A4"/>
    <w:rsid w:val="00612B58"/>
    <w:rsid w:val="00612C44"/>
    <w:rsid w:val="00612CC6"/>
    <w:rsid w:val="00612CF4"/>
    <w:rsid w:val="00612D1E"/>
    <w:rsid w:val="00612D78"/>
    <w:rsid w:val="00612E1E"/>
    <w:rsid w:val="00612E5F"/>
    <w:rsid w:val="00612EDF"/>
    <w:rsid w:val="00612EEA"/>
    <w:rsid w:val="00612F6A"/>
    <w:rsid w:val="00613007"/>
    <w:rsid w:val="006131BE"/>
    <w:rsid w:val="00613201"/>
    <w:rsid w:val="006132F1"/>
    <w:rsid w:val="00613312"/>
    <w:rsid w:val="0061331C"/>
    <w:rsid w:val="0061344F"/>
    <w:rsid w:val="0061347E"/>
    <w:rsid w:val="006134AE"/>
    <w:rsid w:val="00613517"/>
    <w:rsid w:val="0061357F"/>
    <w:rsid w:val="0061364C"/>
    <w:rsid w:val="00613692"/>
    <w:rsid w:val="00613695"/>
    <w:rsid w:val="00613715"/>
    <w:rsid w:val="0061372B"/>
    <w:rsid w:val="006138AA"/>
    <w:rsid w:val="00613A00"/>
    <w:rsid w:val="00613A94"/>
    <w:rsid w:val="00613AB1"/>
    <w:rsid w:val="00613AE4"/>
    <w:rsid w:val="00613B6E"/>
    <w:rsid w:val="00613BCE"/>
    <w:rsid w:val="00613CC6"/>
    <w:rsid w:val="00613D2D"/>
    <w:rsid w:val="00613D63"/>
    <w:rsid w:val="00613F9E"/>
    <w:rsid w:val="0061413D"/>
    <w:rsid w:val="0061414A"/>
    <w:rsid w:val="00614184"/>
    <w:rsid w:val="006141CA"/>
    <w:rsid w:val="0061420E"/>
    <w:rsid w:val="0061420F"/>
    <w:rsid w:val="00614256"/>
    <w:rsid w:val="0061426A"/>
    <w:rsid w:val="00614390"/>
    <w:rsid w:val="006143DD"/>
    <w:rsid w:val="006144ED"/>
    <w:rsid w:val="00614509"/>
    <w:rsid w:val="0061451E"/>
    <w:rsid w:val="00614536"/>
    <w:rsid w:val="00614560"/>
    <w:rsid w:val="0061457D"/>
    <w:rsid w:val="0061479F"/>
    <w:rsid w:val="0061480A"/>
    <w:rsid w:val="006148D4"/>
    <w:rsid w:val="006148F9"/>
    <w:rsid w:val="006149F7"/>
    <w:rsid w:val="00614A06"/>
    <w:rsid w:val="00614A4F"/>
    <w:rsid w:val="00614A72"/>
    <w:rsid w:val="00614AB2"/>
    <w:rsid w:val="00614EA4"/>
    <w:rsid w:val="00615163"/>
    <w:rsid w:val="006151E3"/>
    <w:rsid w:val="0061520C"/>
    <w:rsid w:val="00615259"/>
    <w:rsid w:val="006153BE"/>
    <w:rsid w:val="0061550C"/>
    <w:rsid w:val="006155FE"/>
    <w:rsid w:val="0061566F"/>
    <w:rsid w:val="00615694"/>
    <w:rsid w:val="00615711"/>
    <w:rsid w:val="00615729"/>
    <w:rsid w:val="0061572C"/>
    <w:rsid w:val="006159CC"/>
    <w:rsid w:val="006159E8"/>
    <w:rsid w:val="00615A21"/>
    <w:rsid w:val="00615A58"/>
    <w:rsid w:val="00615B1A"/>
    <w:rsid w:val="00615B59"/>
    <w:rsid w:val="00615BAC"/>
    <w:rsid w:val="00615C7B"/>
    <w:rsid w:val="00615D10"/>
    <w:rsid w:val="00615F38"/>
    <w:rsid w:val="00615F96"/>
    <w:rsid w:val="006160DC"/>
    <w:rsid w:val="0061617F"/>
    <w:rsid w:val="00616204"/>
    <w:rsid w:val="00616244"/>
    <w:rsid w:val="00616354"/>
    <w:rsid w:val="006163B9"/>
    <w:rsid w:val="006163F4"/>
    <w:rsid w:val="00616505"/>
    <w:rsid w:val="0061671D"/>
    <w:rsid w:val="00616749"/>
    <w:rsid w:val="006168DD"/>
    <w:rsid w:val="00616959"/>
    <w:rsid w:val="00616AC7"/>
    <w:rsid w:val="00616BFB"/>
    <w:rsid w:val="00616C81"/>
    <w:rsid w:val="00616E10"/>
    <w:rsid w:val="00616E34"/>
    <w:rsid w:val="00616F1B"/>
    <w:rsid w:val="00616F1F"/>
    <w:rsid w:val="00616F23"/>
    <w:rsid w:val="00617030"/>
    <w:rsid w:val="0061707D"/>
    <w:rsid w:val="006170BA"/>
    <w:rsid w:val="006171D8"/>
    <w:rsid w:val="0061721C"/>
    <w:rsid w:val="006173D7"/>
    <w:rsid w:val="00617420"/>
    <w:rsid w:val="00617451"/>
    <w:rsid w:val="00617468"/>
    <w:rsid w:val="00617485"/>
    <w:rsid w:val="00617488"/>
    <w:rsid w:val="006174AF"/>
    <w:rsid w:val="006174CC"/>
    <w:rsid w:val="006174DE"/>
    <w:rsid w:val="00617520"/>
    <w:rsid w:val="00617583"/>
    <w:rsid w:val="00617625"/>
    <w:rsid w:val="00617656"/>
    <w:rsid w:val="0061778B"/>
    <w:rsid w:val="006177AD"/>
    <w:rsid w:val="00617806"/>
    <w:rsid w:val="00617A18"/>
    <w:rsid w:val="00617ABC"/>
    <w:rsid w:val="00617AE5"/>
    <w:rsid w:val="00617B6F"/>
    <w:rsid w:val="00617CB4"/>
    <w:rsid w:val="00617D4F"/>
    <w:rsid w:val="00617D57"/>
    <w:rsid w:val="00617D66"/>
    <w:rsid w:val="00617D90"/>
    <w:rsid w:val="00617DC8"/>
    <w:rsid w:val="00617F1E"/>
    <w:rsid w:val="00617FD3"/>
    <w:rsid w:val="006200A5"/>
    <w:rsid w:val="00620133"/>
    <w:rsid w:val="00620197"/>
    <w:rsid w:val="00620350"/>
    <w:rsid w:val="00620397"/>
    <w:rsid w:val="006204DD"/>
    <w:rsid w:val="0062056C"/>
    <w:rsid w:val="006205AF"/>
    <w:rsid w:val="0062078C"/>
    <w:rsid w:val="0062084A"/>
    <w:rsid w:val="0062093A"/>
    <w:rsid w:val="0062093B"/>
    <w:rsid w:val="006209B6"/>
    <w:rsid w:val="00620A5B"/>
    <w:rsid w:val="00620B96"/>
    <w:rsid w:val="00620C19"/>
    <w:rsid w:val="00620C8F"/>
    <w:rsid w:val="00620D2B"/>
    <w:rsid w:val="00620F7A"/>
    <w:rsid w:val="0062105D"/>
    <w:rsid w:val="006210A5"/>
    <w:rsid w:val="006210DF"/>
    <w:rsid w:val="00621190"/>
    <w:rsid w:val="00621222"/>
    <w:rsid w:val="00621224"/>
    <w:rsid w:val="00621241"/>
    <w:rsid w:val="00621255"/>
    <w:rsid w:val="006213D1"/>
    <w:rsid w:val="00621430"/>
    <w:rsid w:val="006215A4"/>
    <w:rsid w:val="00621860"/>
    <w:rsid w:val="006218B8"/>
    <w:rsid w:val="006218BA"/>
    <w:rsid w:val="00621905"/>
    <w:rsid w:val="006219C6"/>
    <w:rsid w:val="006219CB"/>
    <w:rsid w:val="00621B07"/>
    <w:rsid w:val="00621D13"/>
    <w:rsid w:val="00621D84"/>
    <w:rsid w:val="00621DA5"/>
    <w:rsid w:val="00621F4A"/>
    <w:rsid w:val="006220C3"/>
    <w:rsid w:val="006220FD"/>
    <w:rsid w:val="00622153"/>
    <w:rsid w:val="0062215B"/>
    <w:rsid w:val="00622190"/>
    <w:rsid w:val="006221C2"/>
    <w:rsid w:val="00622256"/>
    <w:rsid w:val="0062226F"/>
    <w:rsid w:val="006222FA"/>
    <w:rsid w:val="006223CE"/>
    <w:rsid w:val="00622415"/>
    <w:rsid w:val="0062244B"/>
    <w:rsid w:val="00622462"/>
    <w:rsid w:val="00622473"/>
    <w:rsid w:val="00622482"/>
    <w:rsid w:val="0062248F"/>
    <w:rsid w:val="006225D3"/>
    <w:rsid w:val="006225EA"/>
    <w:rsid w:val="006225F0"/>
    <w:rsid w:val="006225F9"/>
    <w:rsid w:val="00622659"/>
    <w:rsid w:val="00622692"/>
    <w:rsid w:val="006227D0"/>
    <w:rsid w:val="00622A0F"/>
    <w:rsid w:val="00622A2A"/>
    <w:rsid w:val="00622A66"/>
    <w:rsid w:val="00622BE2"/>
    <w:rsid w:val="00622CC0"/>
    <w:rsid w:val="00622DBE"/>
    <w:rsid w:val="00622DD7"/>
    <w:rsid w:val="00622E72"/>
    <w:rsid w:val="00622FC7"/>
    <w:rsid w:val="00623074"/>
    <w:rsid w:val="006230C1"/>
    <w:rsid w:val="006231D1"/>
    <w:rsid w:val="00623351"/>
    <w:rsid w:val="006233A4"/>
    <w:rsid w:val="006233C4"/>
    <w:rsid w:val="006233F7"/>
    <w:rsid w:val="00623474"/>
    <w:rsid w:val="00623533"/>
    <w:rsid w:val="006237E4"/>
    <w:rsid w:val="006238B5"/>
    <w:rsid w:val="00623909"/>
    <w:rsid w:val="0062393B"/>
    <w:rsid w:val="006239A9"/>
    <w:rsid w:val="00623A85"/>
    <w:rsid w:val="00623ACE"/>
    <w:rsid w:val="00623BF8"/>
    <w:rsid w:val="00623D37"/>
    <w:rsid w:val="00623EB6"/>
    <w:rsid w:val="00623FDB"/>
    <w:rsid w:val="0062407C"/>
    <w:rsid w:val="00624098"/>
    <w:rsid w:val="006240D3"/>
    <w:rsid w:val="006242A0"/>
    <w:rsid w:val="00624337"/>
    <w:rsid w:val="00624369"/>
    <w:rsid w:val="0062438F"/>
    <w:rsid w:val="00624463"/>
    <w:rsid w:val="006244BF"/>
    <w:rsid w:val="0062450E"/>
    <w:rsid w:val="00624531"/>
    <w:rsid w:val="006245F8"/>
    <w:rsid w:val="00624651"/>
    <w:rsid w:val="00624731"/>
    <w:rsid w:val="00624783"/>
    <w:rsid w:val="006248C9"/>
    <w:rsid w:val="006249B0"/>
    <w:rsid w:val="006249E5"/>
    <w:rsid w:val="00624A2C"/>
    <w:rsid w:val="00624A6F"/>
    <w:rsid w:val="00624B36"/>
    <w:rsid w:val="00624B57"/>
    <w:rsid w:val="00624BA6"/>
    <w:rsid w:val="00624C99"/>
    <w:rsid w:val="00624CE8"/>
    <w:rsid w:val="00624D11"/>
    <w:rsid w:val="00624D6B"/>
    <w:rsid w:val="00624D74"/>
    <w:rsid w:val="00624D91"/>
    <w:rsid w:val="00625060"/>
    <w:rsid w:val="00625073"/>
    <w:rsid w:val="00625114"/>
    <w:rsid w:val="00625152"/>
    <w:rsid w:val="00625301"/>
    <w:rsid w:val="00625324"/>
    <w:rsid w:val="00625543"/>
    <w:rsid w:val="00625575"/>
    <w:rsid w:val="006255E4"/>
    <w:rsid w:val="006255F5"/>
    <w:rsid w:val="0062562A"/>
    <w:rsid w:val="006256DD"/>
    <w:rsid w:val="006256FD"/>
    <w:rsid w:val="00625731"/>
    <w:rsid w:val="00625749"/>
    <w:rsid w:val="00625798"/>
    <w:rsid w:val="00625868"/>
    <w:rsid w:val="006258CD"/>
    <w:rsid w:val="006258FF"/>
    <w:rsid w:val="006259A7"/>
    <w:rsid w:val="00625C2C"/>
    <w:rsid w:val="00626013"/>
    <w:rsid w:val="006260EC"/>
    <w:rsid w:val="00626196"/>
    <w:rsid w:val="006261CE"/>
    <w:rsid w:val="00626235"/>
    <w:rsid w:val="00626260"/>
    <w:rsid w:val="006262BC"/>
    <w:rsid w:val="006262E1"/>
    <w:rsid w:val="006262EA"/>
    <w:rsid w:val="006263D3"/>
    <w:rsid w:val="006264C8"/>
    <w:rsid w:val="00626552"/>
    <w:rsid w:val="006265BC"/>
    <w:rsid w:val="0062660C"/>
    <w:rsid w:val="0062665A"/>
    <w:rsid w:val="0062673E"/>
    <w:rsid w:val="0062679B"/>
    <w:rsid w:val="006268CE"/>
    <w:rsid w:val="00626D27"/>
    <w:rsid w:val="00626DAF"/>
    <w:rsid w:val="00626E0F"/>
    <w:rsid w:val="00626E3A"/>
    <w:rsid w:val="00626F1A"/>
    <w:rsid w:val="00626FE1"/>
    <w:rsid w:val="0062704C"/>
    <w:rsid w:val="006271A9"/>
    <w:rsid w:val="006273D5"/>
    <w:rsid w:val="006273E9"/>
    <w:rsid w:val="00627486"/>
    <w:rsid w:val="00627575"/>
    <w:rsid w:val="006275C8"/>
    <w:rsid w:val="0062761B"/>
    <w:rsid w:val="006276B7"/>
    <w:rsid w:val="006276D2"/>
    <w:rsid w:val="0062770B"/>
    <w:rsid w:val="00627717"/>
    <w:rsid w:val="00627755"/>
    <w:rsid w:val="00627767"/>
    <w:rsid w:val="00627845"/>
    <w:rsid w:val="006278F6"/>
    <w:rsid w:val="00627951"/>
    <w:rsid w:val="00627A05"/>
    <w:rsid w:val="00627AF4"/>
    <w:rsid w:val="00627AFA"/>
    <w:rsid w:val="00627BE5"/>
    <w:rsid w:val="00627C1C"/>
    <w:rsid w:val="00627C30"/>
    <w:rsid w:val="00627C41"/>
    <w:rsid w:val="00627D55"/>
    <w:rsid w:val="00627E1B"/>
    <w:rsid w:val="00627F6A"/>
    <w:rsid w:val="00627FF1"/>
    <w:rsid w:val="00630012"/>
    <w:rsid w:val="00630055"/>
    <w:rsid w:val="0063006C"/>
    <w:rsid w:val="006300B4"/>
    <w:rsid w:val="00630277"/>
    <w:rsid w:val="00630447"/>
    <w:rsid w:val="006304AC"/>
    <w:rsid w:val="0063058D"/>
    <w:rsid w:val="006305B7"/>
    <w:rsid w:val="0063065F"/>
    <w:rsid w:val="00630810"/>
    <w:rsid w:val="00630970"/>
    <w:rsid w:val="006309DA"/>
    <w:rsid w:val="00630CAF"/>
    <w:rsid w:val="00630CEE"/>
    <w:rsid w:val="00630E09"/>
    <w:rsid w:val="00630E4A"/>
    <w:rsid w:val="00630F71"/>
    <w:rsid w:val="00630FB4"/>
    <w:rsid w:val="006310BF"/>
    <w:rsid w:val="006310E5"/>
    <w:rsid w:val="006311E8"/>
    <w:rsid w:val="00631241"/>
    <w:rsid w:val="00631279"/>
    <w:rsid w:val="00631328"/>
    <w:rsid w:val="00631389"/>
    <w:rsid w:val="006313B2"/>
    <w:rsid w:val="006315DA"/>
    <w:rsid w:val="0063160C"/>
    <w:rsid w:val="006316D5"/>
    <w:rsid w:val="0063187D"/>
    <w:rsid w:val="006318F5"/>
    <w:rsid w:val="0063192E"/>
    <w:rsid w:val="006319CF"/>
    <w:rsid w:val="00631A26"/>
    <w:rsid w:val="00631A2C"/>
    <w:rsid w:val="00631BC7"/>
    <w:rsid w:val="00631BFC"/>
    <w:rsid w:val="00631D13"/>
    <w:rsid w:val="00631D95"/>
    <w:rsid w:val="00631DF5"/>
    <w:rsid w:val="00631F21"/>
    <w:rsid w:val="00631F8E"/>
    <w:rsid w:val="006321CE"/>
    <w:rsid w:val="0063226B"/>
    <w:rsid w:val="006322A8"/>
    <w:rsid w:val="006323A7"/>
    <w:rsid w:val="006323FD"/>
    <w:rsid w:val="00632423"/>
    <w:rsid w:val="00632509"/>
    <w:rsid w:val="00632616"/>
    <w:rsid w:val="00632677"/>
    <w:rsid w:val="0063284A"/>
    <w:rsid w:val="00632993"/>
    <w:rsid w:val="00632C70"/>
    <w:rsid w:val="00632E23"/>
    <w:rsid w:val="00632EFC"/>
    <w:rsid w:val="00632F1F"/>
    <w:rsid w:val="00633033"/>
    <w:rsid w:val="0063326E"/>
    <w:rsid w:val="006333F9"/>
    <w:rsid w:val="00633442"/>
    <w:rsid w:val="006334F7"/>
    <w:rsid w:val="00633625"/>
    <w:rsid w:val="00633647"/>
    <w:rsid w:val="00633785"/>
    <w:rsid w:val="0063389F"/>
    <w:rsid w:val="006338E4"/>
    <w:rsid w:val="006338FF"/>
    <w:rsid w:val="00633B15"/>
    <w:rsid w:val="00633C96"/>
    <w:rsid w:val="00633E0E"/>
    <w:rsid w:val="00633E45"/>
    <w:rsid w:val="00633ED8"/>
    <w:rsid w:val="00634035"/>
    <w:rsid w:val="0063413B"/>
    <w:rsid w:val="0063416B"/>
    <w:rsid w:val="006341DF"/>
    <w:rsid w:val="00634202"/>
    <w:rsid w:val="00634366"/>
    <w:rsid w:val="006343C6"/>
    <w:rsid w:val="00634447"/>
    <w:rsid w:val="00634563"/>
    <w:rsid w:val="006345DD"/>
    <w:rsid w:val="00634608"/>
    <w:rsid w:val="00634865"/>
    <w:rsid w:val="00634996"/>
    <w:rsid w:val="006349DD"/>
    <w:rsid w:val="00634A00"/>
    <w:rsid w:val="00634C3B"/>
    <w:rsid w:val="00634D03"/>
    <w:rsid w:val="00634D62"/>
    <w:rsid w:val="00634D7D"/>
    <w:rsid w:val="00634EEC"/>
    <w:rsid w:val="00634FCC"/>
    <w:rsid w:val="0063505E"/>
    <w:rsid w:val="00635190"/>
    <w:rsid w:val="006351F8"/>
    <w:rsid w:val="0063520E"/>
    <w:rsid w:val="006353CD"/>
    <w:rsid w:val="00635462"/>
    <w:rsid w:val="006355F4"/>
    <w:rsid w:val="006355F7"/>
    <w:rsid w:val="006357E6"/>
    <w:rsid w:val="00635827"/>
    <w:rsid w:val="00635831"/>
    <w:rsid w:val="00635AF1"/>
    <w:rsid w:val="00635BB7"/>
    <w:rsid w:val="00635C6B"/>
    <w:rsid w:val="00635C85"/>
    <w:rsid w:val="00635C8E"/>
    <w:rsid w:val="00635C9B"/>
    <w:rsid w:val="00635C9D"/>
    <w:rsid w:val="00635CE5"/>
    <w:rsid w:val="00635DBC"/>
    <w:rsid w:val="00635E28"/>
    <w:rsid w:val="00635F73"/>
    <w:rsid w:val="00635FE5"/>
    <w:rsid w:val="00636096"/>
    <w:rsid w:val="006360DE"/>
    <w:rsid w:val="00636104"/>
    <w:rsid w:val="0063611F"/>
    <w:rsid w:val="006361A4"/>
    <w:rsid w:val="00636276"/>
    <w:rsid w:val="006365F9"/>
    <w:rsid w:val="0063674A"/>
    <w:rsid w:val="006367FD"/>
    <w:rsid w:val="00636866"/>
    <w:rsid w:val="006368D3"/>
    <w:rsid w:val="0063693F"/>
    <w:rsid w:val="00636A34"/>
    <w:rsid w:val="00636AE1"/>
    <w:rsid w:val="00636B96"/>
    <w:rsid w:val="00636C45"/>
    <w:rsid w:val="00636CC7"/>
    <w:rsid w:val="00636DA7"/>
    <w:rsid w:val="00636F56"/>
    <w:rsid w:val="00636FA7"/>
    <w:rsid w:val="00636FEA"/>
    <w:rsid w:val="006370FF"/>
    <w:rsid w:val="0063712B"/>
    <w:rsid w:val="006372F2"/>
    <w:rsid w:val="0063730C"/>
    <w:rsid w:val="00637339"/>
    <w:rsid w:val="0063743F"/>
    <w:rsid w:val="006374FA"/>
    <w:rsid w:val="00637594"/>
    <w:rsid w:val="0063760B"/>
    <w:rsid w:val="00637616"/>
    <w:rsid w:val="0063761A"/>
    <w:rsid w:val="00637662"/>
    <w:rsid w:val="006377C3"/>
    <w:rsid w:val="00637A10"/>
    <w:rsid w:val="00637B97"/>
    <w:rsid w:val="00637BBE"/>
    <w:rsid w:val="00637DF2"/>
    <w:rsid w:val="00637E12"/>
    <w:rsid w:val="00637EB5"/>
    <w:rsid w:val="00637ED8"/>
    <w:rsid w:val="00637EE5"/>
    <w:rsid w:val="00637EF7"/>
    <w:rsid w:val="00637F60"/>
    <w:rsid w:val="00640028"/>
    <w:rsid w:val="00640081"/>
    <w:rsid w:val="006400A6"/>
    <w:rsid w:val="00640191"/>
    <w:rsid w:val="0064019D"/>
    <w:rsid w:val="006401D2"/>
    <w:rsid w:val="00640273"/>
    <w:rsid w:val="006402DA"/>
    <w:rsid w:val="006402FF"/>
    <w:rsid w:val="0064030E"/>
    <w:rsid w:val="006405CA"/>
    <w:rsid w:val="0064072F"/>
    <w:rsid w:val="00640844"/>
    <w:rsid w:val="006408E6"/>
    <w:rsid w:val="006409AF"/>
    <w:rsid w:val="00640ACE"/>
    <w:rsid w:val="00640AEA"/>
    <w:rsid w:val="00640D2B"/>
    <w:rsid w:val="00640D94"/>
    <w:rsid w:val="00640EA3"/>
    <w:rsid w:val="00640ED7"/>
    <w:rsid w:val="00640F0E"/>
    <w:rsid w:val="00640F6F"/>
    <w:rsid w:val="00641001"/>
    <w:rsid w:val="00641029"/>
    <w:rsid w:val="0064119D"/>
    <w:rsid w:val="006411AD"/>
    <w:rsid w:val="00641221"/>
    <w:rsid w:val="0064122A"/>
    <w:rsid w:val="0064148C"/>
    <w:rsid w:val="00641629"/>
    <w:rsid w:val="00641660"/>
    <w:rsid w:val="006417A3"/>
    <w:rsid w:val="0064184F"/>
    <w:rsid w:val="006419BE"/>
    <w:rsid w:val="006419CF"/>
    <w:rsid w:val="00641A32"/>
    <w:rsid w:val="00641AAF"/>
    <w:rsid w:val="00641ABD"/>
    <w:rsid w:val="00641B3A"/>
    <w:rsid w:val="00641B4F"/>
    <w:rsid w:val="00641C29"/>
    <w:rsid w:val="00641C34"/>
    <w:rsid w:val="00641CCF"/>
    <w:rsid w:val="00641E17"/>
    <w:rsid w:val="00641E58"/>
    <w:rsid w:val="00641F3B"/>
    <w:rsid w:val="00642023"/>
    <w:rsid w:val="0064204F"/>
    <w:rsid w:val="00642065"/>
    <w:rsid w:val="006420CE"/>
    <w:rsid w:val="00642272"/>
    <w:rsid w:val="00642273"/>
    <w:rsid w:val="006423CE"/>
    <w:rsid w:val="006424CE"/>
    <w:rsid w:val="0064250A"/>
    <w:rsid w:val="00642516"/>
    <w:rsid w:val="0064258F"/>
    <w:rsid w:val="006425D9"/>
    <w:rsid w:val="006425E0"/>
    <w:rsid w:val="006425EC"/>
    <w:rsid w:val="00642621"/>
    <w:rsid w:val="006426C6"/>
    <w:rsid w:val="00642717"/>
    <w:rsid w:val="00642791"/>
    <w:rsid w:val="00642879"/>
    <w:rsid w:val="00642950"/>
    <w:rsid w:val="006429B1"/>
    <w:rsid w:val="006429FC"/>
    <w:rsid w:val="00642A0D"/>
    <w:rsid w:val="00642A46"/>
    <w:rsid w:val="00642AD7"/>
    <w:rsid w:val="00642AEB"/>
    <w:rsid w:val="00642C4A"/>
    <w:rsid w:val="00642C67"/>
    <w:rsid w:val="00642C8A"/>
    <w:rsid w:val="00642C91"/>
    <w:rsid w:val="00642DD3"/>
    <w:rsid w:val="00642DE9"/>
    <w:rsid w:val="00642E3E"/>
    <w:rsid w:val="00642E40"/>
    <w:rsid w:val="00642E73"/>
    <w:rsid w:val="00642EBF"/>
    <w:rsid w:val="00642EE7"/>
    <w:rsid w:val="00642FB5"/>
    <w:rsid w:val="00643002"/>
    <w:rsid w:val="00643045"/>
    <w:rsid w:val="006431B8"/>
    <w:rsid w:val="00643285"/>
    <w:rsid w:val="006432A0"/>
    <w:rsid w:val="006432EB"/>
    <w:rsid w:val="006433CB"/>
    <w:rsid w:val="0064343F"/>
    <w:rsid w:val="00643458"/>
    <w:rsid w:val="00643586"/>
    <w:rsid w:val="006435A4"/>
    <w:rsid w:val="00643636"/>
    <w:rsid w:val="006436CB"/>
    <w:rsid w:val="006436ED"/>
    <w:rsid w:val="0064387F"/>
    <w:rsid w:val="006438B2"/>
    <w:rsid w:val="006438DF"/>
    <w:rsid w:val="00643915"/>
    <w:rsid w:val="00643992"/>
    <w:rsid w:val="00643A44"/>
    <w:rsid w:val="00643ADD"/>
    <w:rsid w:val="00643B52"/>
    <w:rsid w:val="00643D26"/>
    <w:rsid w:val="00643E3F"/>
    <w:rsid w:val="00643E6F"/>
    <w:rsid w:val="00643E79"/>
    <w:rsid w:val="00643F03"/>
    <w:rsid w:val="00643FD0"/>
    <w:rsid w:val="0064403F"/>
    <w:rsid w:val="00644163"/>
    <w:rsid w:val="006441DD"/>
    <w:rsid w:val="00644268"/>
    <w:rsid w:val="006442E9"/>
    <w:rsid w:val="0064431F"/>
    <w:rsid w:val="0064442C"/>
    <w:rsid w:val="0064450E"/>
    <w:rsid w:val="006446A0"/>
    <w:rsid w:val="006446D3"/>
    <w:rsid w:val="0064479F"/>
    <w:rsid w:val="006447CF"/>
    <w:rsid w:val="0064482A"/>
    <w:rsid w:val="0064483A"/>
    <w:rsid w:val="00644919"/>
    <w:rsid w:val="00644B65"/>
    <w:rsid w:val="00644C31"/>
    <w:rsid w:val="00644CED"/>
    <w:rsid w:val="00645268"/>
    <w:rsid w:val="0064535D"/>
    <w:rsid w:val="00645414"/>
    <w:rsid w:val="006454F6"/>
    <w:rsid w:val="00645507"/>
    <w:rsid w:val="006456A0"/>
    <w:rsid w:val="006457A7"/>
    <w:rsid w:val="006457EF"/>
    <w:rsid w:val="006457FF"/>
    <w:rsid w:val="00645B20"/>
    <w:rsid w:val="00645BDC"/>
    <w:rsid w:val="00645CED"/>
    <w:rsid w:val="00645DAF"/>
    <w:rsid w:val="00645DE7"/>
    <w:rsid w:val="00645FC8"/>
    <w:rsid w:val="00646035"/>
    <w:rsid w:val="00646044"/>
    <w:rsid w:val="006460AB"/>
    <w:rsid w:val="006460AF"/>
    <w:rsid w:val="00646246"/>
    <w:rsid w:val="006462BF"/>
    <w:rsid w:val="0064648A"/>
    <w:rsid w:val="006464C5"/>
    <w:rsid w:val="006465DB"/>
    <w:rsid w:val="00646822"/>
    <w:rsid w:val="0064687A"/>
    <w:rsid w:val="006468E3"/>
    <w:rsid w:val="00646944"/>
    <w:rsid w:val="00646B96"/>
    <w:rsid w:val="00646C6D"/>
    <w:rsid w:val="00646D10"/>
    <w:rsid w:val="00646D23"/>
    <w:rsid w:val="00646E7F"/>
    <w:rsid w:val="00646EB2"/>
    <w:rsid w:val="00646F7F"/>
    <w:rsid w:val="00646FE1"/>
    <w:rsid w:val="00647196"/>
    <w:rsid w:val="006471A6"/>
    <w:rsid w:val="006471C5"/>
    <w:rsid w:val="00647207"/>
    <w:rsid w:val="0064724E"/>
    <w:rsid w:val="006473D6"/>
    <w:rsid w:val="00647441"/>
    <w:rsid w:val="006474BD"/>
    <w:rsid w:val="006477A3"/>
    <w:rsid w:val="006477A9"/>
    <w:rsid w:val="006477F6"/>
    <w:rsid w:val="0064796F"/>
    <w:rsid w:val="00647B85"/>
    <w:rsid w:val="00647BEB"/>
    <w:rsid w:val="00647C29"/>
    <w:rsid w:val="00647C5D"/>
    <w:rsid w:val="00647D47"/>
    <w:rsid w:val="00647DAC"/>
    <w:rsid w:val="00647EC7"/>
    <w:rsid w:val="00647EF7"/>
    <w:rsid w:val="00647F4A"/>
    <w:rsid w:val="00647FB6"/>
    <w:rsid w:val="006492BC"/>
    <w:rsid w:val="0064B321"/>
    <w:rsid w:val="00650064"/>
    <w:rsid w:val="0065016E"/>
    <w:rsid w:val="00650237"/>
    <w:rsid w:val="00650243"/>
    <w:rsid w:val="006502B1"/>
    <w:rsid w:val="00650320"/>
    <w:rsid w:val="0065064C"/>
    <w:rsid w:val="0065072C"/>
    <w:rsid w:val="00650745"/>
    <w:rsid w:val="00650818"/>
    <w:rsid w:val="00650892"/>
    <w:rsid w:val="006508CB"/>
    <w:rsid w:val="006508CF"/>
    <w:rsid w:val="00650970"/>
    <w:rsid w:val="006509B9"/>
    <w:rsid w:val="00650A1D"/>
    <w:rsid w:val="00650B1F"/>
    <w:rsid w:val="00650D6C"/>
    <w:rsid w:val="00650DAD"/>
    <w:rsid w:val="00650DBA"/>
    <w:rsid w:val="00650E96"/>
    <w:rsid w:val="00651052"/>
    <w:rsid w:val="0065126A"/>
    <w:rsid w:val="006512D7"/>
    <w:rsid w:val="00651312"/>
    <w:rsid w:val="00651395"/>
    <w:rsid w:val="006513EA"/>
    <w:rsid w:val="00651483"/>
    <w:rsid w:val="0065151E"/>
    <w:rsid w:val="006515B6"/>
    <w:rsid w:val="0065163A"/>
    <w:rsid w:val="006516F2"/>
    <w:rsid w:val="00651754"/>
    <w:rsid w:val="0065181F"/>
    <w:rsid w:val="0065188A"/>
    <w:rsid w:val="006518EC"/>
    <w:rsid w:val="0065195F"/>
    <w:rsid w:val="00651981"/>
    <w:rsid w:val="00651A52"/>
    <w:rsid w:val="00651AAE"/>
    <w:rsid w:val="00651B38"/>
    <w:rsid w:val="00651BEE"/>
    <w:rsid w:val="00651CDE"/>
    <w:rsid w:val="00651D46"/>
    <w:rsid w:val="00651E6F"/>
    <w:rsid w:val="00651EE8"/>
    <w:rsid w:val="00651EEF"/>
    <w:rsid w:val="00651EFC"/>
    <w:rsid w:val="00651F39"/>
    <w:rsid w:val="00651FFB"/>
    <w:rsid w:val="00652096"/>
    <w:rsid w:val="006521AA"/>
    <w:rsid w:val="0065224D"/>
    <w:rsid w:val="0065242F"/>
    <w:rsid w:val="006525DB"/>
    <w:rsid w:val="00652648"/>
    <w:rsid w:val="006527FC"/>
    <w:rsid w:val="00652864"/>
    <w:rsid w:val="0065298F"/>
    <w:rsid w:val="006529EB"/>
    <w:rsid w:val="00652A65"/>
    <w:rsid w:val="00652B71"/>
    <w:rsid w:val="00652C01"/>
    <w:rsid w:val="00652C03"/>
    <w:rsid w:val="00652E14"/>
    <w:rsid w:val="00652EC0"/>
    <w:rsid w:val="00652EFD"/>
    <w:rsid w:val="00652F77"/>
    <w:rsid w:val="00653024"/>
    <w:rsid w:val="006530AB"/>
    <w:rsid w:val="006531AF"/>
    <w:rsid w:val="00653327"/>
    <w:rsid w:val="006534BC"/>
    <w:rsid w:val="006534DC"/>
    <w:rsid w:val="006534E0"/>
    <w:rsid w:val="00653541"/>
    <w:rsid w:val="006535CD"/>
    <w:rsid w:val="00653631"/>
    <w:rsid w:val="0065375E"/>
    <w:rsid w:val="00653775"/>
    <w:rsid w:val="006537C4"/>
    <w:rsid w:val="00653800"/>
    <w:rsid w:val="006538D2"/>
    <w:rsid w:val="00653969"/>
    <w:rsid w:val="006539BB"/>
    <w:rsid w:val="00653A08"/>
    <w:rsid w:val="00653AB0"/>
    <w:rsid w:val="00653B24"/>
    <w:rsid w:val="00653C6D"/>
    <w:rsid w:val="00653E25"/>
    <w:rsid w:val="00653F50"/>
    <w:rsid w:val="00653F55"/>
    <w:rsid w:val="0065401D"/>
    <w:rsid w:val="0065403F"/>
    <w:rsid w:val="00654049"/>
    <w:rsid w:val="006540AC"/>
    <w:rsid w:val="006540E8"/>
    <w:rsid w:val="00654156"/>
    <w:rsid w:val="006542EB"/>
    <w:rsid w:val="00654307"/>
    <w:rsid w:val="00654350"/>
    <w:rsid w:val="006544B8"/>
    <w:rsid w:val="006544D9"/>
    <w:rsid w:val="00654698"/>
    <w:rsid w:val="006546CC"/>
    <w:rsid w:val="00654797"/>
    <w:rsid w:val="006547D8"/>
    <w:rsid w:val="00654877"/>
    <w:rsid w:val="006548DF"/>
    <w:rsid w:val="00654985"/>
    <w:rsid w:val="006549A5"/>
    <w:rsid w:val="00654BEB"/>
    <w:rsid w:val="00654C61"/>
    <w:rsid w:val="00654C80"/>
    <w:rsid w:val="00654DE8"/>
    <w:rsid w:val="00654E0D"/>
    <w:rsid w:val="00654E46"/>
    <w:rsid w:val="00654E50"/>
    <w:rsid w:val="00654EAC"/>
    <w:rsid w:val="00654F04"/>
    <w:rsid w:val="00654F8B"/>
    <w:rsid w:val="00655106"/>
    <w:rsid w:val="006551E3"/>
    <w:rsid w:val="00655237"/>
    <w:rsid w:val="00655282"/>
    <w:rsid w:val="00655343"/>
    <w:rsid w:val="0065539A"/>
    <w:rsid w:val="00655421"/>
    <w:rsid w:val="0065552F"/>
    <w:rsid w:val="006557B9"/>
    <w:rsid w:val="006557FD"/>
    <w:rsid w:val="006558D8"/>
    <w:rsid w:val="00655990"/>
    <w:rsid w:val="00655B79"/>
    <w:rsid w:val="00655BF6"/>
    <w:rsid w:val="00655C0E"/>
    <w:rsid w:val="00655DF1"/>
    <w:rsid w:val="0065603A"/>
    <w:rsid w:val="0065604C"/>
    <w:rsid w:val="00656337"/>
    <w:rsid w:val="00656482"/>
    <w:rsid w:val="00656501"/>
    <w:rsid w:val="006565CC"/>
    <w:rsid w:val="006566A3"/>
    <w:rsid w:val="00656739"/>
    <w:rsid w:val="00656787"/>
    <w:rsid w:val="0065692C"/>
    <w:rsid w:val="00656BE1"/>
    <w:rsid w:val="00656C99"/>
    <w:rsid w:val="00656C9E"/>
    <w:rsid w:val="00656CAC"/>
    <w:rsid w:val="00656DB1"/>
    <w:rsid w:val="00656FFA"/>
    <w:rsid w:val="00657071"/>
    <w:rsid w:val="00657081"/>
    <w:rsid w:val="006570E1"/>
    <w:rsid w:val="006571EB"/>
    <w:rsid w:val="0065729E"/>
    <w:rsid w:val="00657390"/>
    <w:rsid w:val="006573FE"/>
    <w:rsid w:val="00657622"/>
    <w:rsid w:val="00657678"/>
    <w:rsid w:val="00657A5F"/>
    <w:rsid w:val="00657AA4"/>
    <w:rsid w:val="00657AB3"/>
    <w:rsid w:val="00657AFE"/>
    <w:rsid w:val="00657B28"/>
    <w:rsid w:val="00657C2B"/>
    <w:rsid w:val="00657C4E"/>
    <w:rsid w:val="00657CE8"/>
    <w:rsid w:val="00657E7F"/>
    <w:rsid w:val="00657F42"/>
    <w:rsid w:val="00657F53"/>
    <w:rsid w:val="00657F66"/>
    <w:rsid w:val="00657FC8"/>
    <w:rsid w:val="00657FE1"/>
    <w:rsid w:val="00660162"/>
    <w:rsid w:val="006601A1"/>
    <w:rsid w:val="00660280"/>
    <w:rsid w:val="00660306"/>
    <w:rsid w:val="00660433"/>
    <w:rsid w:val="00660548"/>
    <w:rsid w:val="0066070B"/>
    <w:rsid w:val="0066077E"/>
    <w:rsid w:val="006607DC"/>
    <w:rsid w:val="006608C3"/>
    <w:rsid w:val="00660925"/>
    <w:rsid w:val="00660C85"/>
    <w:rsid w:val="00660CE8"/>
    <w:rsid w:val="00660D86"/>
    <w:rsid w:val="00660DAE"/>
    <w:rsid w:val="00660E94"/>
    <w:rsid w:val="00660EE6"/>
    <w:rsid w:val="00660EF1"/>
    <w:rsid w:val="00660F5C"/>
    <w:rsid w:val="00660F67"/>
    <w:rsid w:val="0066108D"/>
    <w:rsid w:val="0066128F"/>
    <w:rsid w:val="006612DE"/>
    <w:rsid w:val="006612FA"/>
    <w:rsid w:val="00661323"/>
    <w:rsid w:val="00661522"/>
    <w:rsid w:val="00661589"/>
    <w:rsid w:val="0066159F"/>
    <w:rsid w:val="006615B1"/>
    <w:rsid w:val="00661754"/>
    <w:rsid w:val="006617A7"/>
    <w:rsid w:val="0066188C"/>
    <w:rsid w:val="006618E4"/>
    <w:rsid w:val="006618EA"/>
    <w:rsid w:val="006619D8"/>
    <w:rsid w:val="00661AC0"/>
    <w:rsid w:val="00661B34"/>
    <w:rsid w:val="00661C0F"/>
    <w:rsid w:val="00661EB2"/>
    <w:rsid w:val="00661F55"/>
    <w:rsid w:val="0066204B"/>
    <w:rsid w:val="00662238"/>
    <w:rsid w:val="006622B4"/>
    <w:rsid w:val="0066230A"/>
    <w:rsid w:val="0066239C"/>
    <w:rsid w:val="0066259E"/>
    <w:rsid w:val="006625B0"/>
    <w:rsid w:val="00662792"/>
    <w:rsid w:val="006627D2"/>
    <w:rsid w:val="006627DF"/>
    <w:rsid w:val="00662980"/>
    <w:rsid w:val="00662A18"/>
    <w:rsid w:val="00662B02"/>
    <w:rsid w:val="00662B09"/>
    <w:rsid w:val="00662B1F"/>
    <w:rsid w:val="00662C1C"/>
    <w:rsid w:val="00662CE3"/>
    <w:rsid w:val="00662D9D"/>
    <w:rsid w:val="00662DF9"/>
    <w:rsid w:val="00662EBE"/>
    <w:rsid w:val="00662EF4"/>
    <w:rsid w:val="00662F28"/>
    <w:rsid w:val="00663017"/>
    <w:rsid w:val="00663027"/>
    <w:rsid w:val="0066302C"/>
    <w:rsid w:val="0066307C"/>
    <w:rsid w:val="006630C4"/>
    <w:rsid w:val="006632FD"/>
    <w:rsid w:val="00663380"/>
    <w:rsid w:val="006633E7"/>
    <w:rsid w:val="006634CF"/>
    <w:rsid w:val="0066376D"/>
    <w:rsid w:val="006637C0"/>
    <w:rsid w:val="006638F1"/>
    <w:rsid w:val="00663910"/>
    <w:rsid w:val="00663979"/>
    <w:rsid w:val="006639C9"/>
    <w:rsid w:val="00663DDD"/>
    <w:rsid w:val="00663E3B"/>
    <w:rsid w:val="00663E72"/>
    <w:rsid w:val="00663F57"/>
    <w:rsid w:val="006640C8"/>
    <w:rsid w:val="00664152"/>
    <w:rsid w:val="00664298"/>
    <w:rsid w:val="006642AC"/>
    <w:rsid w:val="00664339"/>
    <w:rsid w:val="00664348"/>
    <w:rsid w:val="00664376"/>
    <w:rsid w:val="0066439D"/>
    <w:rsid w:val="006643C3"/>
    <w:rsid w:val="006643D1"/>
    <w:rsid w:val="00664534"/>
    <w:rsid w:val="0066459F"/>
    <w:rsid w:val="006645CF"/>
    <w:rsid w:val="006646C4"/>
    <w:rsid w:val="00664747"/>
    <w:rsid w:val="00664919"/>
    <w:rsid w:val="0066491E"/>
    <w:rsid w:val="006649B8"/>
    <w:rsid w:val="00664B3B"/>
    <w:rsid w:val="00664DCA"/>
    <w:rsid w:val="00664EE7"/>
    <w:rsid w:val="00664FCD"/>
    <w:rsid w:val="0066501A"/>
    <w:rsid w:val="0066504D"/>
    <w:rsid w:val="0066513E"/>
    <w:rsid w:val="00665155"/>
    <w:rsid w:val="00665461"/>
    <w:rsid w:val="0066548B"/>
    <w:rsid w:val="006655D6"/>
    <w:rsid w:val="006657D7"/>
    <w:rsid w:val="0066582A"/>
    <w:rsid w:val="006658E5"/>
    <w:rsid w:val="0066599A"/>
    <w:rsid w:val="00665A91"/>
    <w:rsid w:val="00665AE5"/>
    <w:rsid w:val="00665D96"/>
    <w:rsid w:val="00665EB4"/>
    <w:rsid w:val="00665ECF"/>
    <w:rsid w:val="00665FB0"/>
    <w:rsid w:val="00665FD1"/>
    <w:rsid w:val="00666021"/>
    <w:rsid w:val="00666061"/>
    <w:rsid w:val="00666160"/>
    <w:rsid w:val="0066631E"/>
    <w:rsid w:val="00666399"/>
    <w:rsid w:val="0066639E"/>
    <w:rsid w:val="006663A3"/>
    <w:rsid w:val="006663D8"/>
    <w:rsid w:val="00666431"/>
    <w:rsid w:val="0066646E"/>
    <w:rsid w:val="006665D2"/>
    <w:rsid w:val="006666BC"/>
    <w:rsid w:val="00666765"/>
    <w:rsid w:val="0066685C"/>
    <w:rsid w:val="0066685D"/>
    <w:rsid w:val="00666860"/>
    <w:rsid w:val="006668D7"/>
    <w:rsid w:val="00666A48"/>
    <w:rsid w:val="00666AAD"/>
    <w:rsid w:val="00666BA0"/>
    <w:rsid w:val="00666BAD"/>
    <w:rsid w:val="00666C4D"/>
    <w:rsid w:val="00666CC4"/>
    <w:rsid w:val="00666CE0"/>
    <w:rsid w:val="00666DE1"/>
    <w:rsid w:val="00666E69"/>
    <w:rsid w:val="00666F2F"/>
    <w:rsid w:val="00666F5E"/>
    <w:rsid w:val="00666F96"/>
    <w:rsid w:val="00666FC5"/>
    <w:rsid w:val="00666FDD"/>
    <w:rsid w:val="00667285"/>
    <w:rsid w:val="00667444"/>
    <w:rsid w:val="006674DB"/>
    <w:rsid w:val="00667516"/>
    <w:rsid w:val="006676C0"/>
    <w:rsid w:val="0066783E"/>
    <w:rsid w:val="006678B9"/>
    <w:rsid w:val="00667A07"/>
    <w:rsid w:val="00667B1D"/>
    <w:rsid w:val="00667B21"/>
    <w:rsid w:val="00667B97"/>
    <w:rsid w:val="00667BAE"/>
    <w:rsid w:val="00667BB9"/>
    <w:rsid w:val="00667BC9"/>
    <w:rsid w:val="00667BE4"/>
    <w:rsid w:val="00667EA0"/>
    <w:rsid w:val="00667F5D"/>
    <w:rsid w:val="00667FB9"/>
    <w:rsid w:val="00667FC0"/>
    <w:rsid w:val="0067015F"/>
    <w:rsid w:val="006701A3"/>
    <w:rsid w:val="00670304"/>
    <w:rsid w:val="006703D8"/>
    <w:rsid w:val="00670547"/>
    <w:rsid w:val="0067080C"/>
    <w:rsid w:val="00670B1A"/>
    <w:rsid w:val="00670B4D"/>
    <w:rsid w:val="00670C20"/>
    <w:rsid w:val="00670D1D"/>
    <w:rsid w:val="00670D50"/>
    <w:rsid w:val="00670D64"/>
    <w:rsid w:val="00670DB0"/>
    <w:rsid w:val="00670E0C"/>
    <w:rsid w:val="00670E47"/>
    <w:rsid w:val="00670F0E"/>
    <w:rsid w:val="00670FA5"/>
    <w:rsid w:val="00670FAE"/>
    <w:rsid w:val="00671026"/>
    <w:rsid w:val="00671047"/>
    <w:rsid w:val="00671060"/>
    <w:rsid w:val="0067111B"/>
    <w:rsid w:val="00671168"/>
    <w:rsid w:val="006711F0"/>
    <w:rsid w:val="00671211"/>
    <w:rsid w:val="0067130F"/>
    <w:rsid w:val="006713BD"/>
    <w:rsid w:val="006714F5"/>
    <w:rsid w:val="00671559"/>
    <w:rsid w:val="006715F5"/>
    <w:rsid w:val="0067162F"/>
    <w:rsid w:val="00671646"/>
    <w:rsid w:val="006716EB"/>
    <w:rsid w:val="00671743"/>
    <w:rsid w:val="0067174D"/>
    <w:rsid w:val="0067178D"/>
    <w:rsid w:val="006717B8"/>
    <w:rsid w:val="006717C1"/>
    <w:rsid w:val="0067184A"/>
    <w:rsid w:val="00671878"/>
    <w:rsid w:val="00671974"/>
    <w:rsid w:val="00671A4B"/>
    <w:rsid w:val="00671A6F"/>
    <w:rsid w:val="00671AB9"/>
    <w:rsid w:val="00671B55"/>
    <w:rsid w:val="00671C85"/>
    <w:rsid w:val="00671DAD"/>
    <w:rsid w:val="0067215D"/>
    <w:rsid w:val="006721EE"/>
    <w:rsid w:val="00672228"/>
    <w:rsid w:val="00672236"/>
    <w:rsid w:val="00672246"/>
    <w:rsid w:val="006722A1"/>
    <w:rsid w:val="0067241D"/>
    <w:rsid w:val="00672452"/>
    <w:rsid w:val="00672526"/>
    <w:rsid w:val="0067269F"/>
    <w:rsid w:val="006727C6"/>
    <w:rsid w:val="006727FA"/>
    <w:rsid w:val="00672809"/>
    <w:rsid w:val="00672842"/>
    <w:rsid w:val="00672A73"/>
    <w:rsid w:val="00672A76"/>
    <w:rsid w:val="00672ACB"/>
    <w:rsid w:val="00672B16"/>
    <w:rsid w:val="00672B7B"/>
    <w:rsid w:val="00672C1F"/>
    <w:rsid w:val="00672C80"/>
    <w:rsid w:val="00672D5E"/>
    <w:rsid w:val="00672E79"/>
    <w:rsid w:val="00672F04"/>
    <w:rsid w:val="006730A1"/>
    <w:rsid w:val="006730EB"/>
    <w:rsid w:val="006730FB"/>
    <w:rsid w:val="00673101"/>
    <w:rsid w:val="0067320D"/>
    <w:rsid w:val="00673289"/>
    <w:rsid w:val="00673330"/>
    <w:rsid w:val="00673583"/>
    <w:rsid w:val="00673590"/>
    <w:rsid w:val="0067366A"/>
    <w:rsid w:val="006736F1"/>
    <w:rsid w:val="00673835"/>
    <w:rsid w:val="0067394B"/>
    <w:rsid w:val="0067399A"/>
    <w:rsid w:val="00673A0B"/>
    <w:rsid w:val="00673B2E"/>
    <w:rsid w:val="00673C34"/>
    <w:rsid w:val="00673C70"/>
    <w:rsid w:val="00673C78"/>
    <w:rsid w:val="00673C86"/>
    <w:rsid w:val="00673C89"/>
    <w:rsid w:val="00673E20"/>
    <w:rsid w:val="00673F1B"/>
    <w:rsid w:val="00674017"/>
    <w:rsid w:val="00674287"/>
    <w:rsid w:val="006743CE"/>
    <w:rsid w:val="00674444"/>
    <w:rsid w:val="006744D8"/>
    <w:rsid w:val="006746B9"/>
    <w:rsid w:val="00674778"/>
    <w:rsid w:val="00674779"/>
    <w:rsid w:val="0067477C"/>
    <w:rsid w:val="006747FC"/>
    <w:rsid w:val="0067486A"/>
    <w:rsid w:val="006748A8"/>
    <w:rsid w:val="00674B97"/>
    <w:rsid w:val="00674D51"/>
    <w:rsid w:val="00674FBA"/>
    <w:rsid w:val="0067501E"/>
    <w:rsid w:val="00675037"/>
    <w:rsid w:val="00675118"/>
    <w:rsid w:val="006754EE"/>
    <w:rsid w:val="0067560E"/>
    <w:rsid w:val="006756A6"/>
    <w:rsid w:val="00675709"/>
    <w:rsid w:val="0067570D"/>
    <w:rsid w:val="00675768"/>
    <w:rsid w:val="006757C9"/>
    <w:rsid w:val="006758DA"/>
    <w:rsid w:val="00675A8A"/>
    <w:rsid w:val="00675ACF"/>
    <w:rsid w:val="00675C17"/>
    <w:rsid w:val="00675C69"/>
    <w:rsid w:val="00675C7C"/>
    <w:rsid w:val="00675D11"/>
    <w:rsid w:val="00675D5A"/>
    <w:rsid w:val="00675D8F"/>
    <w:rsid w:val="00675E33"/>
    <w:rsid w:val="00675E3F"/>
    <w:rsid w:val="00675FB1"/>
    <w:rsid w:val="0067601C"/>
    <w:rsid w:val="00676154"/>
    <w:rsid w:val="006761B2"/>
    <w:rsid w:val="006761BF"/>
    <w:rsid w:val="0067630E"/>
    <w:rsid w:val="00676396"/>
    <w:rsid w:val="006763DD"/>
    <w:rsid w:val="00676530"/>
    <w:rsid w:val="0067663E"/>
    <w:rsid w:val="0067672E"/>
    <w:rsid w:val="006767E3"/>
    <w:rsid w:val="0067681B"/>
    <w:rsid w:val="00676886"/>
    <w:rsid w:val="00676911"/>
    <w:rsid w:val="00676A85"/>
    <w:rsid w:val="00676AE5"/>
    <w:rsid w:val="00676C93"/>
    <w:rsid w:val="00676CD5"/>
    <w:rsid w:val="00676CE5"/>
    <w:rsid w:val="00676D29"/>
    <w:rsid w:val="00676E98"/>
    <w:rsid w:val="00676FE4"/>
    <w:rsid w:val="006770E5"/>
    <w:rsid w:val="00677105"/>
    <w:rsid w:val="006771E6"/>
    <w:rsid w:val="006772E6"/>
    <w:rsid w:val="00677480"/>
    <w:rsid w:val="006774AF"/>
    <w:rsid w:val="00677634"/>
    <w:rsid w:val="006777F4"/>
    <w:rsid w:val="00677924"/>
    <w:rsid w:val="006779A0"/>
    <w:rsid w:val="006779FC"/>
    <w:rsid w:val="00677AA4"/>
    <w:rsid w:val="00677AAF"/>
    <w:rsid w:val="00677AB5"/>
    <w:rsid w:val="00677C27"/>
    <w:rsid w:val="00677D63"/>
    <w:rsid w:val="00677E04"/>
    <w:rsid w:val="00677E2C"/>
    <w:rsid w:val="0068008F"/>
    <w:rsid w:val="006800C0"/>
    <w:rsid w:val="0068013E"/>
    <w:rsid w:val="006801D5"/>
    <w:rsid w:val="00680304"/>
    <w:rsid w:val="0068037D"/>
    <w:rsid w:val="006803B7"/>
    <w:rsid w:val="00680521"/>
    <w:rsid w:val="0068064D"/>
    <w:rsid w:val="006806CF"/>
    <w:rsid w:val="0068071E"/>
    <w:rsid w:val="00680766"/>
    <w:rsid w:val="00680837"/>
    <w:rsid w:val="006808C8"/>
    <w:rsid w:val="00680A04"/>
    <w:rsid w:val="00680A41"/>
    <w:rsid w:val="00680AEF"/>
    <w:rsid w:val="00680B0E"/>
    <w:rsid w:val="00680B4E"/>
    <w:rsid w:val="00680BB8"/>
    <w:rsid w:val="00680C58"/>
    <w:rsid w:val="00680CF6"/>
    <w:rsid w:val="00680D37"/>
    <w:rsid w:val="00680D8C"/>
    <w:rsid w:val="00680D97"/>
    <w:rsid w:val="00680DC2"/>
    <w:rsid w:val="00680DC8"/>
    <w:rsid w:val="00680E2F"/>
    <w:rsid w:val="00680EEA"/>
    <w:rsid w:val="00680F1F"/>
    <w:rsid w:val="00680FB9"/>
    <w:rsid w:val="00680FD4"/>
    <w:rsid w:val="00680FE3"/>
    <w:rsid w:val="006810A5"/>
    <w:rsid w:val="006810BD"/>
    <w:rsid w:val="006810E7"/>
    <w:rsid w:val="006810FD"/>
    <w:rsid w:val="00681161"/>
    <w:rsid w:val="00681252"/>
    <w:rsid w:val="006812CD"/>
    <w:rsid w:val="006812E5"/>
    <w:rsid w:val="006814E6"/>
    <w:rsid w:val="00681538"/>
    <w:rsid w:val="00681599"/>
    <w:rsid w:val="006815D2"/>
    <w:rsid w:val="00681665"/>
    <w:rsid w:val="006816A8"/>
    <w:rsid w:val="006816FD"/>
    <w:rsid w:val="00681710"/>
    <w:rsid w:val="0068179C"/>
    <w:rsid w:val="0068181F"/>
    <w:rsid w:val="00681880"/>
    <w:rsid w:val="00681990"/>
    <w:rsid w:val="006819B1"/>
    <w:rsid w:val="00681B25"/>
    <w:rsid w:val="00681B41"/>
    <w:rsid w:val="00681C3F"/>
    <w:rsid w:val="00681DAE"/>
    <w:rsid w:val="00681DEC"/>
    <w:rsid w:val="00681E35"/>
    <w:rsid w:val="00681FDC"/>
    <w:rsid w:val="00682001"/>
    <w:rsid w:val="00682024"/>
    <w:rsid w:val="00682161"/>
    <w:rsid w:val="00682173"/>
    <w:rsid w:val="0068219C"/>
    <w:rsid w:val="00682273"/>
    <w:rsid w:val="006822AD"/>
    <w:rsid w:val="006822F1"/>
    <w:rsid w:val="0068235F"/>
    <w:rsid w:val="006824B4"/>
    <w:rsid w:val="006824E0"/>
    <w:rsid w:val="0068265F"/>
    <w:rsid w:val="0068278F"/>
    <w:rsid w:val="006827F6"/>
    <w:rsid w:val="006828AD"/>
    <w:rsid w:val="006828CB"/>
    <w:rsid w:val="00682902"/>
    <w:rsid w:val="006829C0"/>
    <w:rsid w:val="00682AA2"/>
    <w:rsid w:val="00682BE3"/>
    <w:rsid w:val="00682C78"/>
    <w:rsid w:val="00682DC9"/>
    <w:rsid w:val="00682F1F"/>
    <w:rsid w:val="00683219"/>
    <w:rsid w:val="0068322B"/>
    <w:rsid w:val="00683236"/>
    <w:rsid w:val="00683241"/>
    <w:rsid w:val="0068328B"/>
    <w:rsid w:val="0068329A"/>
    <w:rsid w:val="006832F9"/>
    <w:rsid w:val="0068341B"/>
    <w:rsid w:val="00683462"/>
    <w:rsid w:val="00683463"/>
    <w:rsid w:val="0068379D"/>
    <w:rsid w:val="006837B8"/>
    <w:rsid w:val="006837C9"/>
    <w:rsid w:val="006837EB"/>
    <w:rsid w:val="0068386B"/>
    <w:rsid w:val="00683A68"/>
    <w:rsid w:val="00683A88"/>
    <w:rsid w:val="00683ACF"/>
    <w:rsid w:val="00683B3F"/>
    <w:rsid w:val="00683B70"/>
    <w:rsid w:val="00683B76"/>
    <w:rsid w:val="00683C6E"/>
    <w:rsid w:val="00683EFB"/>
    <w:rsid w:val="00683F7D"/>
    <w:rsid w:val="00684081"/>
    <w:rsid w:val="006840C1"/>
    <w:rsid w:val="00684251"/>
    <w:rsid w:val="00684549"/>
    <w:rsid w:val="00684621"/>
    <w:rsid w:val="00684646"/>
    <w:rsid w:val="006846D9"/>
    <w:rsid w:val="006846F3"/>
    <w:rsid w:val="006847DE"/>
    <w:rsid w:val="006847F9"/>
    <w:rsid w:val="00684842"/>
    <w:rsid w:val="00684900"/>
    <w:rsid w:val="00684AA1"/>
    <w:rsid w:val="00684BA3"/>
    <w:rsid w:val="00684C59"/>
    <w:rsid w:val="00684DDB"/>
    <w:rsid w:val="00684E97"/>
    <w:rsid w:val="00684EE4"/>
    <w:rsid w:val="00684F75"/>
    <w:rsid w:val="00684FB1"/>
    <w:rsid w:val="00685060"/>
    <w:rsid w:val="00685100"/>
    <w:rsid w:val="00685129"/>
    <w:rsid w:val="00685214"/>
    <w:rsid w:val="00685222"/>
    <w:rsid w:val="006852A5"/>
    <w:rsid w:val="006852A7"/>
    <w:rsid w:val="006852AB"/>
    <w:rsid w:val="006853BE"/>
    <w:rsid w:val="00685630"/>
    <w:rsid w:val="00685639"/>
    <w:rsid w:val="0068574A"/>
    <w:rsid w:val="0068577E"/>
    <w:rsid w:val="0068579B"/>
    <w:rsid w:val="006858B3"/>
    <w:rsid w:val="006859C9"/>
    <w:rsid w:val="006859DB"/>
    <w:rsid w:val="00685A47"/>
    <w:rsid w:val="00685BDA"/>
    <w:rsid w:val="00685D57"/>
    <w:rsid w:val="00685DA2"/>
    <w:rsid w:val="00685E04"/>
    <w:rsid w:val="00685E15"/>
    <w:rsid w:val="00685E4B"/>
    <w:rsid w:val="00685F2A"/>
    <w:rsid w:val="00686017"/>
    <w:rsid w:val="0068601D"/>
    <w:rsid w:val="0068606C"/>
    <w:rsid w:val="006861A5"/>
    <w:rsid w:val="006861E5"/>
    <w:rsid w:val="006861EC"/>
    <w:rsid w:val="00686302"/>
    <w:rsid w:val="0068634D"/>
    <w:rsid w:val="006863C3"/>
    <w:rsid w:val="006866B5"/>
    <w:rsid w:val="006866C9"/>
    <w:rsid w:val="00686716"/>
    <w:rsid w:val="006867C5"/>
    <w:rsid w:val="00686872"/>
    <w:rsid w:val="00686881"/>
    <w:rsid w:val="006868EF"/>
    <w:rsid w:val="006869F5"/>
    <w:rsid w:val="00686A25"/>
    <w:rsid w:val="00686A67"/>
    <w:rsid w:val="00686C12"/>
    <w:rsid w:val="00686CFC"/>
    <w:rsid w:val="00686E7A"/>
    <w:rsid w:val="00687152"/>
    <w:rsid w:val="00687225"/>
    <w:rsid w:val="00687231"/>
    <w:rsid w:val="006873B9"/>
    <w:rsid w:val="00687472"/>
    <w:rsid w:val="0068748F"/>
    <w:rsid w:val="006874F4"/>
    <w:rsid w:val="00687511"/>
    <w:rsid w:val="0068759B"/>
    <w:rsid w:val="006875D3"/>
    <w:rsid w:val="0068764A"/>
    <w:rsid w:val="00687665"/>
    <w:rsid w:val="00687682"/>
    <w:rsid w:val="00687779"/>
    <w:rsid w:val="006877D1"/>
    <w:rsid w:val="006877E4"/>
    <w:rsid w:val="00687870"/>
    <w:rsid w:val="0068787A"/>
    <w:rsid w:val="006878CE"/>
    <w:rsid w:val="006878F1"/>
    <w:rsid w:val="0068794C"/>
    <w:rsid w:val="0068799A"/>
    <w:rsid w:val="006879BA"/>
    <w:rsid w:val="00687A5C"/>
    <w:rsid w:val="00687B4E"/>
    <w:rsid w:val="00687B6C"/>
    <w:rsid w:val="00687D57"/>
    <w:rsid w:val="00687D65"/>
    <w:rsid w:val="00687EBF"/>
    <w:rsid w:val="0069011A"/>
    <w:rsid w:val="0069026D"/>
    <w:rsid w:val="006902D0"/>
    <w:rsid w:val="0069030F"/>
    <w:rsid w:val="0069035A"/>
    <w:rsid w:val="006905BC"/>
    <w:rsid w:val="006905CF"/>
    <w:rsid w:val="006905D3"/>
    <w:rsid w:val="00690693"/>
    <w:rsid w:val="0069071C"/>
    <w:rsid w:val="00690725"/>
    <w:rsid w:val="006907AF"/>
    <w:rsid w:val="006907C1"/>
    <w:rsid w:val="006907ED"/>
    <w:rsid w:val="00690883"/>
    <w:rsid w:val="006909B3"/>
    <w:rsid w:val="00690C40"/>
    <w:rsid w:val="00690D55"/>
    <w:rsid w:val="00690D57"/>
    <w:rsid w:val="00690D8D"/>
    <w:rsid w:val="00690E9E"/>
    <w:rsid w:val="00690EB7"/>
    <w:rsid w:val="00690EC9"/>
    <w:rsid w:val="00691075"/>
    <w:rsid w:val="006910F6"/>
    <w:rsid w:val="00691247"/>
    <w:rsid w:val="0069134C"/>
    <w:rsid w:val="00691463"/>
    <w:rsid w:val="0069162A"/>
    <w:rsid w:val="0069162C"/>
    <w:rsid w:val="006916E0"/>
    <w:rsid w:val="0069179E"/>
    <w:rsid w:val="00691839"/>
    <w:rsid w:val="006918B2"/>
    <w:rsid w:val="0069194B"/>
    <w:rsid w:val="0069197D"/>
    <w:rsid w:val="00691BDE"/>
    <w:rsid w:val="00691D6F"/>
    <w:rsid w:val="00691DBE"/>
    <w:rsid w:val="00691FC7"/>
    <w:rsid w:val="00691FDE"/>
    <w:rsid w:val="00691FEF"/>
    <w:rsid w:val="00692181"/>
    <w:rsid w:val="006921B5"/>
    <w:rsid w:val="00692251"/>
    <w:rsid w:val="00692336"/>
    <w:rsid w:val="00692341"/>
    <w:rsid w:val="00692346"/>
    <w:rsid w:val="00692497"/>
    <w:rsid w:val="00692504"/>
    <w:rsid w:val="0069250F"/>
    <w:rsid w:val="006925C9"/>
    <w:rsid w:val="00692600"/>
    <w:rsid w:val="0069279C"/>
    <w:rsid w:val="006928B8"/>
    <w:rsid w:val="00692990"/>
    <w:rsid w:val="0069299B"/>
    <w:rsid w:val="006929C7"/>
    <w:rsid w:val="00692A54"/>
    <w:rsid w:val="00692B96"/>
    <w:rsid w:val="00692BF0"/>
    <w:rsid w:val="00692C9A"/>
    <w:rsid w:val="00692D28"/>
    <w:rsid w:val="00692D73"/>
    <w:rsid w:val="00692DF6"/>
    <w:rsid w:val="00692E02"/>
    <w:rsid w:val="00692F88"/>
    <w:rsid w:val="00692F9E"/>
    <w:rsid w:val="00693075"/>
    <w:rsid w:val="006930A1"/>
    <w:rsid w:val="006930E7"/>
    <w:rsid w:val="006930F3"/>
    <w:rsid w:val="00693167"/>
    <w:rsid w:val="006931CC"/>
    <w:rsid w:val="00693207"/>
    <w:rsid w:val="00693246"/>
    <w:rsid w:val="00693250"/>
    <w:rsid w:val="00693290"/>
    <w:rsid w:val="006932F9"/>
    <w:rsid w:val="0069343A"/>
    <w:rsid w:val="00693455"/>
    <w:rsid w:val="006934C9"/>
    <w:rsid w:val="006934F4"/>
    <w:rsid w:val="006937C7"/>
    <w:rsid w:val="006937EA"/>
    <w:rsid w:val="00693A45"/>
    <w:rsid w:val="00693ABD"/>
    <w:rsid w:val="00693B1D"/>
    <w:rsid w:val="00693B78"/>
    <w:rsid w:val="00693BF5"/>
    <w:rsid w:val="00693C94"/>
    <w:rsid w:val="00693CF3"/>
    <w:rsid w:val="00693DAE"/>
    <w:rsid w:val="00693DC2"/>
    <w:rsid w:val="00693DEF"/>
    <w:rsid w:val="00693E22"/>
    <w:rsid w:val="00693ED7"/>
    <w:rsid w:val="00693FCB"/>
    <w:rsid w:val="00693FEE"/>
    <w:rsid w:val="00694028"/>
    <w:rsid w:val="0069428C"/>
    <w:rsid w:val="006942B7"/>
    <w:rsid w:val="006942CC"/>
    <w:rsid w:val="0069437F"/>
    <w:rsid w:val="0069455A"/>
    <w:rsid w:val="006945C8"/>
    <w:rsid w:val="00694778"/>
    <w:rsid w:val="0069485E"/>
    <w:rsid w:val="00694A66"/>
    <w:rsid w:val="00694A8E"/>
    <w:rsid w:val="00694D09"/>
    <w:rsid w:val="00694DA1"/>
    <w:rsid w:val="00694F14"/>
    <w:rsid w:val="00694F9A"/>
    <w:rsid w:val="0069500D"/>
    <w:rsid w:val="00695067"/>
    <w:rsid w:val="00695134"/>
    <w:rsid w:val="0069516C"/>
    <w:rsid w:val="00695224"/>
    <w:rsid w:val="00695308"/>
    <w:rsid w:val="00695426"/>
    <w:rsid w:val="00695496"/>
    <w:rsid w:val="006954B9"/>
    <w:rsid w:val="0069567C"/>
    <w:rsid w:val="00695886"/>
    <w:rsid w:val="006958D6"/>
    <w:rsid w:val="00695962"/>
    <w:rsid w:val="00695A08"/>
    <w:rsid w:val="00695ADB"/>
    <w:rsid w:val="00695B0F"/>
    <w:rsid w:val="00695B5F"/>
    <w:rsid w:val="00695C4D"/>
    <w:rsid w:val="00695C66"/>
    <w:rsid w:val="00695DAA"/>
    <w:rsid w:val="00695E51"/>
    <w:rsid w:val="00695E8F"/>
    <w:rsid w:val="00695EBC"/>
    <w:rsid w:val="00695F4F"/>
    <w:rsid w:val="00695F5E"/>
    <w:rsid w:val="00695F7E"/>
    <w:rsid w:val="00696169"/>
    <w:rsid w:val="00696171"/>
    <w:rsid w:val="00696192"/>
    <w:rsid w:val="00696254"/>
    <w:rsid w:val="006963AB"/>
    <w:rsid w:val="006963B4"/>
    <w:rsid w:val="00696488"/>
    <w:rsid w:val="00696574"/>
    <w:rsid w:val="006967B4"/>
    <w:rsid w:val="00696829"/>
    <w:rsid w:val="0069685E"/>
    <w:rsid w:val="00696898"/>
    <w:rsid w:val="00696AF5"/>
    <w:rsid w:val="00696B31"/>
    <w:rsid w:val="00696B77"/>
    <w:rsid w:val="00696BCE"/>
    <w:rsid w:val="00696C06"/>
    <w:rsid w:val="00696C11"/>
    <w:rsid w:val="00696C4D"/>
    <w:rsid w:val="00696DE5"/>
    <w:rsid w:val="00696E0F"/>
    <w:rsid w:val="00696EA2"/>
    <w:rsid w:val="00696EC3"/>
    <w:rsid w:val="00696EE4"/>
    <w:rsid w:val="00696F4B"/>
    <w:rsid w:val="00697075"/>
    <w:rsid w:val="006971A8"/>
    <w:rsid w:val="00697292"/>
    <w:rsid w:val="0069734C"/>
    <w:rsid w:val="00697357"/>
    <w:rsid w:val="00697373"/>
    <w:rsid w:val="0069744D"/>
    <w:rsid w:val="00697474"/>
    <w:rsid w:val="0069750A"/>
    <w:rsid w:val="00697592"/>
    <w:rsid w:val="006975AD"/>
    <w:rsid w:val="00697695"/>
    <w:rsid w:val="0069771B"/>
    <w:rsid w:val="0069772D"/>
    <w:rsid w:val="00697772"/>
    <w:rsid w:val="006977F8"/>
    <w:rsid w:val="0069788C"/>
    <w:rsid w:val="006978B2"/>
    <w:rsid w:val="0069796E"/>
    <w:rsid w:val="006979C3"/>
    <w:rsid w:val="00697AFA"/>
    <w:rsid w:val="00697D9D"/>
    <w:rsid w:val="00697E89"/>
    <w:rsid w:val="00697E9D"/>
    <w:rsid w:val="00697F21"/>
    <w:rsid w:val="00697F46"/>
    <w:rsid w:val="006A0087"/>
    <w:rsid w:val="006A00FD"/>
    <w:rsid w:val="006A019B"/>
    <w:rsid w:val="006A01A9"/>
    <w:rsid w:val="006A01AA"/>
    <w:rsid w:val="006A02C0"/>
    <w:rsid w:val="006A0393"/>
    <w:rsid w:val="006A03B2"/>
    <w:rsid w:val="006A03B6"/>
    <w:rsid w:val="006A040E"/>
    <w:rsid w:val="006A045E"/>
    <w:rsid w:val="006A0488"/>
    <w:rsid w:val="006A04D6"/>
    <w:rsid w:val="006A05BB"/>
    <w:rsid w:val="006A05BE"/>
    <w:rsid w:val="006A06D8"/>
    <w:rsid w:val="006A06F5"/>
    <w:rsid w:val="006A0749"/>
    <w:rsid w:val="006A0989"/>
    <w:rsid w:val="006A099B"/>
    <w:rsid w:val="006A0A03"/>
    <w:rsid w:val="006A0AF0"/>
    <w:rsid w:val="006A0B95"/>
    <w:rsid w:val="006A0BCE"/>
    <w:rsid w:val="006A0BF2"/>
    <w:rsid w:val="006A0C2F"/>
    <w:rsid w:val="006A0C60"/>
    <w:rsid w:val="006A0CAD"/>
    <w:rsid w:val="006A0E1E"/>
    <w:rsid w:val="006A0E5A"/>
    <w:rsid w:val="006A0F38"/>
    <w:rsid w:val="006A0F88"/>
    <w:rsid w:val="006A0FA7"/>
    <w:rsid w:val="006A0FA8"/>
    <w:rsid w:val="006A115F"/>
    <w:rsid w:val="006A12CC"/>
    <w:rsid w:val="006A1436"/>
    <w:rsid w:val="006A14BA"/>
    <w:rsid w:val="006A14F8"/>
    <w:rsid w:val="006A1506"/>
    <w:rsid w:val="006A1563"/>
    <w:rsid w:val="006A159D"/>
    <w:rsid w:val="006A15B4"/>
    <w:rsid w:val="006A160E"/>
    <w:rsid w:val="006A17D4"/>
    <w:rsid w:val="006A18A4"/>
    <w:rsid w:val="006A18B0"/>
    <w:rsid w:val="006A1A20"/>
    <w:rsid w:val="006A1A88"/>
    <w:rsid w:val="006A1AB5"/>
    <w:rsid w:val="006A1AC2"/>
    <w:rsid w:val="006A1AEA"/>
    <w:rsid w:val="006A1B6E"/>
    <w:rsid w:val="006A1B94"/>
    <w:rsid w:val="006A1C2E"/>
    <w:rsid w:val="006A1D65"/>
    <w:rsid w:val="006A1EB3"/>
    <w:rsid w:val="006A1EDD"/>
    <w:rsid w:val="006A1F24"/>
    <w:rsid w:val="006A1F79"/>
    <w:rsid w:val="006A1FB0"/>
    <w:rsid w:val="006A1FF1"/>
    <w:rsid w:val="006A21A5"/>
    <w:rsid w:val="006A2383"/>
    <w:rsid w:val="006A23CB"/>
    <w:rsid w:val="006A2649"/>
    <w:rsid w:val="006A2656"/>
    <w:rsid w:val="006A2707"/>
    <w:rsid w:val="006A2715"/>
    <w:rsid w:val="006A27F7"/>
    <w:rsid w:val="006A2806"/>
    <w:rsid w:val="006A2AF4"/>
    <w:rsid w:val="006A2AFC"/>
    <w:rsid w:val="006A2B3F"/>
    <w:rsid w:val="006A2DB4"/>
    <w:rsid w:val="006A2DBF"/>
    <w:rsid w:val="006A2EEF"/>
    <w:rsid w:val="006A2FD7"/>
    <w:rsid w:val="006A2FE6"/>
    <w:rsid w:val="006A3078"/>
    <w:rsid w:val="006A308C"/>
    <w:rsid w:val="006A326A"/>
    <w:rsid w:val="006A34CC"/>
    <w:rsid w:val="006A3579"/>
    <w:rsid w:val="006A3667"/>
    <w:rsid w:val="006A383B"/>
    <w:rsid w:val="006A3901"/>
    <w:rsid w:val="006A3B34"/>
    <w:rsid w:val="006A3B3C"/>
    <w:rsid w:val="006A3BF2"/>
    <w:rsid w:val="006A3CDC"/>
    <w:rsid w:val="006A3D64"/>
    <w:rsid w:val="006A3F10"/>
    <w:rsid w:val="006A419B"/>
    <w:rsid w:val="006A42C8"/>
    <w:rsid w:val="006A4392"/>
    <w:rsid w:val="006A4511"/>
    <w:rsid w:val="006A467E"/>
    <w:rsid w:val="006A46C9"/>
    <w:rsid w:val="006A47AD"/>
    <w:rsid w:val="006A47D3"/>
    <w:rsid w:val="006A47F3"/>
    <w:rsid w:val="006A4910"/>
    <w:rsid w:val="006A4A26"/>
    <w:rsid w:val="006A4A6E"/>
    <w:rsid w:val="006A4A9A"/>
    <w:rsid w:val="006A4AA5"/>
    <w:rsid w:val="006A4B0A"/>
    <w:rsid w:val="006A4CC6"/>
    <w:rsid w:val="006A4CE7"/>
    <w:rsid w:val="006A4D16"/>
    <w:rsid w:val="006A4DDE"/>
    <w:rsid w:val="006A4EB9"/>
    <w:rsid w:val="006A4F61"/>
    <w:rsid w:val="006A4FDA"/>
    <w:rsid w:val="006A4FF2"/>
    <w:rsid w:val="006A5017"/>
    <w:rsid w:val="006A511C"/>
    <w:rsid w:val="006A5234"/>
    <w:rsid w:val="006A5296"/>
    <w:rsid w:val="006A5297"/>
    <w:rsid w:val="006A52FA"/>
    <w:rsid w:val="006A538A"/>
    <w:rsid w:val="006A53D3"/>
    <w:rsid w:val="006A57C6"/>
    <w:rsid w:val="006A57F9"/>
    <w:rsid w:val="006A588D"/>
    <w:rsid w:val="006A58C2"/>
    <w:rsid w:val="006A5994"/>
    <w:rsid w:val="006A59E5"/>
    <w:rsid w:val="006A5B8F"/>
    <w:rsid w:val="006A5C09"/>
    <w:rsid w:val="006A5C4D"/>
    <w:rsid w:val="006A5C86"/>
    <w:rsid w:val="006A5CAF"/>
    <w:rsid w:val="006A5D27"/>
    <w:rsid w:val="006A5E1F"/>
    <w:rsid w:val="006A6132"/>
    <w:rsid w:val="006A62A6"/>
    <w:rsid w:val="006A62EC"/>
    <w:rsid w:val="006A631A"/>
    <w:rsid w:val="006A635F"/>
    <w:rsid w:val="006A63C4"/>
    <w:rsid w:val="006A64EC"/>
    <w:rsid w:val="006A6530"/>
    <w:rsid w:val="006A66BE"/>
    <w:rsid w:val="006A6799"/>
    <w:rsid w:val="006A686A"/>
    <w:rsid w:val="006A6903"/>
    <w:rsid w:val="006A6B33"/>
    <w:rsid w:val="006A6B77"/>
    <w:rsid w:val="006A6CB8"/>
    <w:rsid w:val="006A6D4F"/>
    <w:rsid w:val="006A6E03"/>
    <w:rsid w:val="006A6E58"/>
    <w:rsid w:val="006A6F45"/>
    <w:rsid w:val="006A6F66"/>
    <w:rsid w:val="006A6F96"/>
    <w:rsid w:val="006A70CE"/>
    <w:rsid w:val="006A70EE"/>
    <w:rsid w:val="006A713C"/>
    <w:rsid w:val="006A715C"/>
    <w:rsid w:val="006A715E"/>
    <w:rsid w:val="006A71B0"/>
    <w:rsid w:val="006A71CF"/>
    <w:rsid w:val="006A72CC"/>
    <w:rsid w:val="006A72D8"/>
    <w:rsid w:val="006A7318"/>
    <w:rsid w:val="006A7394"/>
    <w:rsid w:val="006A73C0"/>
    <w:rsid w:val="006A73D7"/>
    <w:rsid w:val="006A7646"/>
    <w:rsid w:val="006A775B"/>
    <w:rsid w:val="006A7846"/>
    <w:rsid w:val="006A7883"/>
    <w:rsid w:val="006A79C1"/>
    <w:rsid w:val="006A7A49"/>
    <w:rsid w:val="006A7AF2"/>
    <w:rsid w:val="006A7BED"/>
    <w:rsid w:val="006A7DD3"/>
    <w:rsid w:val="006A7EA3"/>
    <w:rsid w:val="006A7EB1"/>
    <w:rsid w:val="006A7EC2"/>
    <w:rsid w:val="006A7F51"/>
    <w:rsid w:val="006A7FD8"/>
    <w:rsid w:val="006B01D2"/>
    <w:rsid w:val="006B0226"/>
    <w:rsid w:val="006B02C1"/>
    <w:rsid w:val="006B02DA"/>
    <w:rsid w:val="006B03CE"/>
    <w:rsid w:val="006B03D4"/>
    <w:rsid w:val="006B03FA"/>
    <w:rsid w:val="006B04CA"/>
    <w:rsid w:val="006B050E"/>
    <w:rsid w:val="006B0587"/>
    <w:rsid w:val="006B05B7"/>
    <w:rsid w:val="006B061A"/>
    <w:rsid w:val="006B073E"/>
    <w:rsid w:val="006B081F"/>
    <w:rsid w:val="006B0885"/>
    <w:rsid w:val="006B09A0"/>
    <w:rsid w:val="006B0A60"/>
    <w:rsid w:val="006B0B60"/>
    <w:rsid w:val="006B0BFF"/>
    <w:rsid w:val="006B0F71"/>
    <w:rsid w:val="006B0FA6"/>
    <w:rsid w:val="006B10C4"/>
    <w:rsid w:val="006B10F8"/>
    <w:rsid w:val="006B116E"/>
    <w:rsid w:val="006B11D4"/>
    <w:rsid w:val="006B123F"/>
    <w:rsid w:val="006B1361"/>
    <w:rsid w:val="006B136D"/>
    <w:rsid w:val="006B1372"/>
    <w:rsid w:val="006B138E"/>
    <w:rsid w:val="006B13B3"/>
    <w:rsid w:val="006B13B9"/>
    <w:rsid w:val="006B145B"/>
    <w:rsid w:val="006B15FA"/>
    <w:rsid w:val="006B16DA"/>
    <w:rsid w:val="006B16DE"/>
    <w:rsid w:val="006B170D"/>
    <w:rsid w:val="006B173C"/>
    <w:rsid w:val="006B1783"/>
    <w:rsid w:val="006B17E8"/>
    <w:rsid w:val="006B1869"/>
    <w:rsid w:val="006B1A65"/>
    <w:rsid w:val="006B1B0C"/>
    <w:rsid w:val="006B1DE9"/>
    <w:rsid w:val="006B1DFE"/>
    <w:rsid w:val="006B1ECA"/>
    <w:rsid w:val="006B1EDF"/>
    <w:rsid w:val="006B1EFD"/>
    <w:rsid w:val="006B1F20"/>
    <w:rsid w:val="006B218D"/>
    <w:rsid w:val="006B2205"/>
    <w:rsid w:val="006B22EB"/>
    <w:rsid w:val="006B231B"/>
    <w:rsid w:val="006B2343"/>
    <w:rsid w:val="006B23B8"/>
    <w:rsid w:val="006B260F"/>
    <w:rsid w:val="006B2712"/>
    <w:rsid w:val="006B27D1"/>
    <w:rsid w:val="006B281C"/>
    <w:rsid w:val="006B2859"/>
    <w:rsid w:val="006B2871"/>
    <w:rsid w:val="006B2875"/>
    <w:rsid w:val="006B2901"/>
    <w:rsid w:val="006B2A1A"/>
    <w:rsid w:val="006B2B89"/>
    <w:rsid w:val="006B2BB5"/>
    <w:rsid w:val="006B2CBC"/>
    <w:rsid w:val="006B2D84"/>
    <w:rsid w:val="006B2D89"/>
    <w:rsid w:val="006B2E61"/>
    <w:rsid w:val="006B2ED7"/>
    <w:rsid w:val="006B2F17"/>
    <w:rsid w:val="006B2F33"/>
    <w:rsid w:val="006B2FC7"/>
    <w:rsid w:val="006B32D5"/>
    <w:rsid w:val="006B34C5"/>
    <w:rsid w:val="006B34C8"/>
    <w:rsid w:val="006B3546"/>
    <w:rsid w:val="006B357B"/>
    <w:rsid w:val="006B35D4"/>
    <w:rsid w:val="006B3611"/>
    <w:rsid w:val="006B364B"/>
    <w:rsid w:val="006B3666"/>
    <w:rsid w:val="006B36FB"/>
    <w:rsid w:val="006B37AC"/>
    <w:rsid w:val="006B384D"/>
    <w:rsid w:val="006B39B1"/>
    <w:rsid w:val="006B3A15"/>
    <w:rsid w:val="006B3AB2"/>
    <w:rsid w:val="006B3ADE"/>
    <w:rsid w:val="006B3B40"/>
    <w:rsid w:val="006B3B82"/>
    <w:rsid w:val="006B3C9C"/>
    <w:rsid w:val="006B3CF6"/>
    <w:rsid w:val="006B3E28"/>
    <w:rsid w:val="006B3EB4"/>
    <w:rsid w:val="006B3F3D"/>
    <w:rsid w:val="006B3F8D"/>
    <w:rsid w:val="006B3F9D"/>
    <w:rsid w:val="006B3FFB"/>
    <w:rsid w:val="006B3FFE"/>
    <w:rsid w:val="006B4454"/>
    <w:rsid w:val="006B44A4"/>
    <w:rsid w:val="006B4611"/>
    <w:rsid w:val="006B469E"/>
    <w:rsid w:val="006B47D0"/>
    <w:rsid w:val="006B47E7"/>
    <w:rsid w:val="006B4849"/>
    <w:rsid w:val="006B486D"/>
    <w:rsid w:val="006B4882"/>
    <w:rsid w:val="006B48D9"/>
    <w:rsid w:val="006B4904"/>
    <w:rsid w:val="006B49D2"/>
    <w:rsid w:val="006B4A15"/>
    <w:rsid w:val="006B4AB3"/>
    <w:rsid w:val="006B4B25"/>
    <w:rsid w:val="006B4BEC"/>
    <w:rsid w:val="006B4C1D"/>
    <w:rsid w:val="006B4C55"/>
    <w:rsid w:val="006B4C5F"/>
    <w:rsid w:val="006B4C70"/>
    <w:rsid w:val="006B4CBA"/>
    <w:rsid w:val="006B4CD0"/>
    <w:rsid w:val="006B4CF5"/>
    <w:rsid w:val="006B4ECC"/>
    <w:rsid w:val="006B4F6C"/>
    <w:rsid w:val="006B5009"/>
    <w:rsid w:val="006B508C"/>
    <w:rsid w:val="006B50BB"/>
    <w:rsid w:val="006B5133"/>
    <w:rsid w:val="006B5148"/>
    <w:rsid w:val="006B51A0"/>
    <w:rsid w:val="006B530A"/>
    <w:rsid w:val="006B5389"/>
    <w:rsid w:val="006B54B5"/>
    <w:rsid w:val="006B54E1"/>
    <w:rsid w:val="006B5551"/>
    <w:rsid w:val="006B55A3"/>
    <w:rsid w:val="006B55AF"/>
    <w:rsid w:val="006B5736"/>
    <w:rsid w:val="006B57B5"/>
    <w:rsid w:val="006B584A"/>
    <w:rsid w:val="006B59C0"/>
    <w:rsid w:val="006B5A17"/>
    <w:rsid w:val="006B5A50"/>
    <w:rsid w:val="006B5B01"/>
    <w:rsid w:val="006B5B18"/>
    <w:rsid w:val="006B5B5E"/>
    <w:rsid w:val="006B5C43"/>
    <w:rsid w:val="006B5CFB"/>
    <w:rsid w:val="006B5CFD"/>
    <w:rsid w:val="006B5D62"/>
    <w:rsid w:val="006B5D94"/>
    <w:rsid w:val="006B5D9C"/>
    <w:rsid w:val="006B5EB1"/>
    <w:rsid w:val="006B5F27"/>
    <w:rsid w:val="006B6024"/>
    <w:rsid w:val="006B6071"/>
    <w:rsid w:val="006B6073"/>
    <w:rsid w:val="006B608B"/>
    <w:rsid w:val="006B60BF"/>
    <w:rsid w:val="006B6128"/>
    <w:rsid w:val="006B615F"/>
    <w:rsid w:val="006B620F"/>
    <w:rsid w:val="006B6242"/>
    <w:rsid w:val="006B62DC"/>
    <w:rsid w:val="006B6396"/>
    <w:rsid w:val="006B642F"/>
    <w:rsid w:val="006B6430"/>
    <w:rsid w:val="006B6486"/>
    <w:rsid w:val="006B6515"/>
    <w:rsid w:val="006B653C"/>
    <w:rsid w:val="006B6551"/>
    <w:rsid w:val="006B65EC"/>
    <w:rsid w:val="006B6615"/>
    <w:rsid w:val="006B6636"/>
    <w:rsid w:val="006B6699"/>
    <w:rsid w:val="006B6819"/>
    <w:rsid w:val="006B68B6"/>
    <w:rsid w:val="006B6967"/>
    <w:rsid w:val="006B699F"/>
    <w:rsid w:val="006B6A43"/>
    <w:rsid w:val="006B6A44"/>
    <w:rsid w:val="006B6A46"/>
    <w:rsid w:val="006B6A9D"/>
    <w:rsid w:val="006B6B56"/>
    <w:rsid w:val="006B6BEE"/>
    <w:rsid w:val="006B6DE8"/>
    <w:rsid w:val="006B6EA3"/>
    <w:rsid w:val="006B6EDE"/>
    <w:rsid w:val="006B6EE9"/>
    <w:rsid w:val="006B70A4"/>
    <w:rsid w:val="006B7135"/>
    <w:rsid w:val="006B73A2"/>
    <w:rsid w:val="006B73B0"/>
    <w:rsid w:val="006B74E5"/>
    <w:rsid w:val="006B7538"/>
    <w:rsid w:val="006B771B"/>
    <w:rsid w:val="006B77A3"/>
    <w:rsid w:val="006B77C2"/>
    <w:rsid w:val="006B7857"/>
    <w:rsid w:val="006B78DA"/>
    <w:rsid w:val="006B79F1"/>
    <w:rsid w:val="006B7AB2"/>
    <w:rsid w:val="006B7B36"/>
    <w:rsid w:val="006B7B89"/>
    <w:rsid w:val="006B7B9E"/>
    <w:rsid w:val="006B7C77"/>
    <w:rsid w:val="006B7E3B"/>
    <w:rsid w:val="006B7EB8"/>
    <w:rsid w:val="006B7F9C"/>
    <w:rsid w:val="006B7FEF"/>
    <w:rsid w:val="006C00C2"/>
    <w:rsid w:val="006C0156"/>
    <w:rsid w:val="006C0309"/>
    <w:rsid w:val="006C0386"/>
    <w:rsid w:val="006C03A6"/>
    <w:rsid w:val="006C03AB"/>
    <w:rsid w:val="006C03F6"/>
    <w:rsid w:val="006C0425"/>
    <w:rsid w:val="006C0523"/>
    <w:rsid w:val="006C05A6"/>
    <w:rsid w:val="006C063A"/>
    <w:rsid w:val="006C06F6"/>
    <w:rsid w:val="006C075B"/>
    <w:rsid w:val="006C0815"/>
    <w:rsid w:val="006C0836"/>
    <w:rsid w:val="006C086B"/>
    <w:rsid w:val="006C0929"/>
    <w:rsid w:val="006C0B06"/>
    <w:rsid w:val="006C0BDB"/>
    <w:rsid w:val="006C0C18"/>
    <w:rsid w:val="006C0CA7"/>
    <w:rsid w:val="006C0DCA"/>
    <w:rsid w:val="006C0E7A"/>
    <w:rsid w:val="006C0E97"/>
    <w:rsid w:val="006C0F4E"/>
    <w:rsid w:val="006C1122"/>
    <w:rsid w:val="006C1167"/>
    <w:rsid w:val="006C14CA"/>
    <w:rsid w:val="006C14D0"/>
    <w:rsid w:val="006C1532"/>
    <w:rsid w:val="006C1586"/>
    <w:rsid w:val="006C15C7"/>
    <w:rsid w:val="006C168C"/>
    <w:rsid w:val="006C1690"/>
    <w:rsid w:val="006C16D2"/>
    <w:rsid w:val="006C18C6"/>
    <w:rsid w:val="006C18E3"/>
    <w:rsid w:val="006C1A08"/>
    <w:rsid w:val="006C1A10"/>
    <w:rsid w:val="006C1A8D"/>
    <w:rsid w:val="006C1B67"/>
    <w:rsid w:val="006C1C82"/>
    <w:rsid w:val="006C1F56"/>
    <w:rsid w:val="006C205E"/>
    <w:rsid w:val="006C20C1"/>
    <w:rsid w:val="006C20EF"/>
    <w:rsid w:val="006C210B"/>
    <w:rsid w:val="006C222F"/>
    <w:rsid w:val="006C22DD"/>
    <w:rsid w:val="006C22E7"/>
    <w:rsid w:val="006C2378"/>
    <w:rsid w:val="006C2557"/>
    <w:rsid w:val="006C257D"/>
    <w:rsid w:val="006C2711"/>
    <w:rsid w:val="006C2731"/>
    <w:rsid w:val="006C2784"/>
    <w:rsid w:val="006C2821"/>
    <w:rsid w:val="006C295B"/>
    <w:rsid w:val="006C2A58"/>
    <w:rsid w:val="006C2C1D"/>
    <w:rsid w:val="006C2C75"/>
    <w:rsid w:val="006C2C81"/>
    <w:rsid w:val="006C2D15"/>
    <w:rsid w:val="006C2D6A"/>
    <w:rsid w:val="006C2D99"/>
    <w:rsid w:val="006C2DA5"/>
    <w:rsid w:val="006C2E11"/>
    <w:rsid w:val="006C2F07"/>
    <w:rsid w:val="006C2FC2"/>
    <w:rsid w:val="006C30FF"/>
    <w:rsid w:val="006C317F"/>
    <w:rsid w:val="006C3243"/>
    <w:rsid w:val="006C3363"/>
    <w:rsid w:val="006C357C"/>
    <w:rsid w:val="006C3685"/>
    <w:rsid w:val="006C3693"/>
    <w:rsid w:val="006C36EB"/>
    <w:rsid w:val="006C36EE"/>
    <w:rsid w:val="006C3829"/>
    <w:rsid w:val="006C385B"/>
    <w:rsid w:val="006C3A6A"/>
    <w:rsid w:val="006C3AD8"/>
    <w:rsid w:val="006C3AF1"/>
    <w:rsid w:val="006C3D71"/>
    <w:rsid w:val="006C3DF5"/>
    <w:rsid w:val="006C3E01"/>
    <w:rsid w:val="006C3E2D"/>
    <w:rsid w:val="006C3E44"/>
    <w:rsid w:val="006C3EDA"/>
    <w:rsid w:val="006C404B"/>
    <w:rsid w:val="006C40C8"/>
    <w:rsid w:val="006C4163"/>
    <w:rsid w:val="006C41A8"/>
    <w:rsid w:val="006C435B"/>
    <w:rsid w:val="006C437B"/>
    <w:rsid w:val="006C4422"/>
    <w:rsid w:val="006C44AA"/>
    <w:rsid w:val="006C44BA"/>
    <w:rsid w:val="006C4534"/>
    <w:rsid w:val="006C45DA"/>
    <w:rsid w:val="006C46E7"/>
    <w:rsid w:val="006C4753"/>
    <w:rsid w:val="006C477D"/>
    <w:rsid w:val="006C47C0"/>
    <w:rsid w:val="006C4BA1"/>
    <w:rsid w:val="006C4CE8"/>
    <w:rsid w:val="006C4D5C"/>
    <w:rsid w:val="006C4D87"/>
    <w:rsid w:val="006C4DBB"/>
    <w:rsid w:val="006C4DED"/>
    <w:rsid w:val="006C4E5B"/>
    <w:rsid w:val="006C4F39"/>
    <w:rsid w:val="006C4F9B"/>
    <w:rsid w:val="006C517D"/>
    <w:rsid w:val="006C529E"/>
    <w:rsid w:val="006C529F"/>
    <w:rsid w:val="006C52E1"/>
    <w:rsid w:val="006C5307"/>
    <w:rsid w:val="006C5321"/>
    <w:rsid w:val="006C533D"/>
    <w:rsid w:val="006C53C8"/>
    <w:rsid w:val="006C558F"/>
    <w:rsid w:val="006C56A4"/>
    <w:rsid w:val="006C5810"/>
    <w:rsid w:val="006C58BE"/>
    <w:rsid w:val="006C5A34"/>
    <w:rsid w:val="006C5A3F"/>
    <w:rsid w:val="006C5A74"/>
    <w:rsid w:val="006C5B1E"/>
    <w:rsid w:val="006C5C22"/>
    <w:rsid w:val="006C5E4F"/>
    <w:rsid w:val="006C5E61"/>
    <w:rsid w:val="006C5EA2"/>
    <w:rsid w:val="006C5F09"/>
    <w:rsid w:val="006C5F4F"/>
    <w:rsid w:val="006C5F94"/>
    <w:rsid w:val="006C5FD6"/>
    <w:rsid w:val="006C603D"/>
    <w:rsid w:val="006C60AC"/>
    <w:rsid w:val="006C619E"/>
    <w:rsid w:val="006C63BE"/>
    <w:rsid w:val="006C63C8"/>
    <w:rsid w:val="006C6565"/>
    <w:rsid w:val="006C6692"/>
    <w:rsid w:val="006C66CD"/>
    <w:rsid w:val="006C6728"/>
    <w:rsid w:val="006C679A"/>
    <w:rsid w:val="006C690B"/>
    <w:rsid w:val="006C6975"/>
    <w:rsid w:val="006C698A"/>
    <w:rsid w:val="006C69A3"/>
    <w:rsid w:val="006C69AC"/>
    <w:rsid w:val="006C6A20"/>
    <w:rsid w:val="006C6A38"/>
    <w:rsid w:val="006C6C12"/>
    <w:rsid w:val="006C6C13"/>
    <w:rsid w:val="006C6C20"/>
    <w:rsid w:val="006C6CC8"/>
    <w:rsid w:val="006C6E7C"/>
    <w:rsid w:val="006C6FA7"/>
    <w:rsid w:val="006C7138"/>
    <w:rsid w:val="006C7191"/>
    <w:rsid w:val="006C71C3"/>
    <w:rsid w:val="006C7381"/>
    <w:rsid w:val="006C73F5"/>
    <w:rsid w:val="006C741E"/>
    <w:rsid w:val="006C7424"/>
    <w:rsid w:val="006C7473"/>
    <w:rsid w:val="006C75DE"/>
    <w:rsid w:val="006C7615"/>
    <w:rsid w:val="006C76C8"/>
    <w:rsid w:val="006C785F"/>
    <w:rsid w:val="006C78D6"/>
    <w:rsid w:val="006C78FA"/>
    <w:rsid w:val="006C79F8"/>
    <w:rsid w:val="006C7B4C"/>
    <w:rsid w:val="006C7E14"/>
    <w:rsid w:val="006C7E1D"/>
    <w:rsid w:val="006C7F8A"/>
    <w:rsid w:val="006CA57C"/>
    <w:rsid w:val="006D0000"/>
    <w:rsid w:val="006D0037"/>
    <w:rsid w:val="006D0238"/>
    <w:rsid w:val="006D03BE"/>
    <w:rsid w:val="006D042A"/>
    <w:rsid w:val="006D0548"/>
    <w:rsid w:val="006D054C"/>
    <w:rsid w:val="006D066A"/>
    <w:rsid w:val="006D06E8"/>
    <w:rsid w:val="006D0738"/>
    <w:rsid w:val="006D0739"/>
    <w:rsid w:val="006D07E6"/>
    <w:rsid w:val="006D0874"/>
    <w:rsid w:val="006D0928"/>
    <w:rsid w:val="006D0940"/>
    <w:rsid w:val="006D0980"/>
    <w:rsid w:val="006D0B7A"/>
    <w:rsid w:val="006D0B95"/>
    <w:rsid w:val="006D0BDA"/>
    <w:rsid w:val="006D0BFE"/>
    <w:rsid w:val="006D0D0B"/>
    <w:rsid w:val="006D0D8B"/>
    <w:rsid w:val="006D0DEC"/>
    <w:rsid w:val="006D0E40"/>
    <w:rsid w:val="006D0E88"/>
    <w:rsid w:val="006D0EDA"/>
    <w:rsid w:val="006D0EEE"/>
    <w:rsid w:val="006D0F00"/>
    <w:rsid w:val="006D0F14"/>
    <w:rsid w:val="006D1024"/>
    <w:rsid w:val="006D1160"/>
    <w:rsid w:val="006D11A7"/>
    <w:rsid w:val="006D128D"/>
    <w:rsid w:val="006D1302"/>
    <w:rsid w:val="006D132E"/>
    <w:rsid w:val="006D136D"/>
    <w:rsid w:val="006D1438"/>
    <w:rsid w:val="006D1489"/>
    <w:rsid w:val="006D14EF"/>
    <w:rsid w:val="006D15CB"/>
    <w:rsid w:val="006D15CC"/>
    <w:rsid w:val="006D15E6"/>
    <w:rsid w:val="006D1629"/>
    <w:rsid w:val="006D1645"/>
    <w:rsid w:val="006D1727"/>
    <w:rsid w:val="006D173B"/>
    <w:rsid w:val="006D178A"/>
    <w:rsid w:val="006D1869"/>
    <w:rsid w:val="006D1884"/>
    <w:rsid w:val="006D1969"/>
    <w:rsid w:val="006D1B6C"/>
    <w:rsid w:val="006D1B7F"/>
    <w:rsid w:val="006D1C3D"/>
    <w:rsid w:val="006D1C9D"/>
    <w:rsid w:val="006D1D7E"/>
    <w:rsid w:val="006D1D87"/>
    <w:rsid w:val="006D1D96"/>
    <w:rsid w:val="006D1E77"/>
    <w:rsid w:val="006D1E82"/>
    <w:rsid w:val="006D1ECA"/>
    <w:rsid w:val="006D1ECF"/>
    <w:rsid w:val="006D1EEE"/>
    <w:rsid w:val="006D1F3C"/>
    <w:rsid w:val="006D21BB"/>
    <w:rsid w:val="006D21CD"/>
    <w:rsid w:val="006D2230"/>
    <w:rsid w:val="006D2324"/>
    <w:rsid w:val="006D2358"/>
    <w:rsid w:val="006D23BB"/>
    <w:rsid w:val="006D23EE"/>
    <w:rsid w:val="006D2420"/>
    <w:rsid w:val="006D249E"/>
    <w:rsid w:val="006D2622"/>
    <w:rsid w:val="006D2666"/>
    <w:rsid w:val="006D27D2"/>
    <w:rsid w:val="006D2827"/>
    <w:rsid w:val="006D289B"/>
    <w:rsid w:val="006D2AB3"/>
    <w:rsid w:val="006D2B3C"/>
    <w:rsid w:val="006D2B81"/>
    <w:rsid w:val="006D2C36"/>
    <w:rsid w:val="006D2C9D"/>
    <w:rsid w:val="006D2D25"/>
    <w:rsid w:val="006D2DA3"/>
    <w:rsid w:val="006D2E54"/>
    <w:rsid w:val="006D2F21"/>
    <w:rsid w:val="006D2F48"/>
    <w:rsid w:val="006D2FF3"/>
    <w:rsid w:val="006D30D1"/>
    <w:rsid w:val="006D319B"/>
    <w:rsid w:val="006D31C4"/>
    <w:rsid w:val="006D33CF"/>
    <w:rsid w:val="006D33FC"/>
    <w:rsid w:val="006D3405"/>
    <w:rsid w:val="006D348E"/>
    <w:rsid w:val="006D365D"/>
    <w:rsid w:val="006D379F"/>
    <w:rsid w:val="006D381E"/>
    <w:rsid w:val="006D38F5"/>
    <w:rsid w:val="006D3A08"/>
    <w:rsid w:val="006D3A34"/>
    <w:rsid w:val="006D3A54"/>
    <w:rsid w:val="006D3A5C"/>
    <w:rsid w:val="006D3A75"/>
    <w:rsid w:val="006D3B84"/>
    <w:rsid w:val="006D3D68"/>
    <w:rsid w:val="006D3ED1"/>
    <w:rsid w:val="006D3F80"/>
    <w:rsid w:val="006D3F87"/>
    <w:rsid w:val="006D3FFA"/>
    <w:rsid w:val="006D4061"/>
    <w:rsid w:val="006D4079"/>
    <w:rsid w:val="006D4198"/>
    <w:rsid w:val="006D4375"/>
    <w:rsid w:val="006D444A"/>
    <w:rsid w:val="006D444B"/>
    <w:rsid w:val="006D44D3"/>
    <w:rsid w:val="006D4787"/>
    <w:rsid w:val="006D47A8"/>
    <w:rsid w:val="006D48E8"/>
    <w:rsid w:val="006D48EE"/>
    <w:rsid w:val="006D4A74"/>
    <w:rsid w:val="006D4AD5"/>
    <w:rsid w:val="006D4ADE"/>
    <w:rsid w:val="006D4BD2"/>
    <w:rsid w:val="006D4BEB"/>
    <w:rsid w:val="006D4BF5"/>
    <w:rsid w:val="006D4C6B"/>
    <w:rsid w:val="006D4D02"/>
    <w:rsid w:val="006D4D5B"/>
    <w:rsid w:val="006D4DA1"/>
    <w:rsid w:val="006D4E49"/>
    <w:rsid w:val="006D4E4F"/>
    <w:rsid w:val="006D4E9A"/>
    <w:rsid w:val="006D50C4"/>
    <w:rsid w:val="006D512C"/>
    <w:rsid w:val="006D519C"/>
    <w:rsid w:val="006D51FA"/>
    <w:rsid w:val="006D5241"/>
    <w:rsid w:val="006D553D"/>
    <w:rsid w:val="006D55EB"/>
    <w:rsid w:val="006D56F2"/>
    <w:rsid w:val="006D57F9"/>
    <w:rsid w:val="006D588E"/>
    <w:rsid w:val="006D5943"/>
    <w:rsid w:val="006D596F"/>
    <w:rsid w:val="006D59CD"/>
    <w:rsid w:val="006D5A3C"/>
    <w:rsid w:val="006D5A54"/>
    <w:rsid w:val="006D5AA4"/>
    <w:rsid w:val="006D5AEE"/>
    <w:rsid w:val="006D5C09"/>
    <w:rsid w:val="006D5C1E"/>
    <w:rsid w:val="006D5C23"/>
    <w:rsid w:val="006D5C24"/>
    <w:rsid w:val="006D5CCA"/>
    <w:rsid w:val="006D5CF8"/>
    <w:rsid w:val="006D5CFB"/>
    <w:rsid w:val="006D5D2A"/>
    <w:rsid w:val="006D5D95"/>
    <w:rsid w:val="006D5E96"/>
    <w:rsid w:val="006D5EDC"/>
    <w:rsid w:val="006D5F07"/>
    <w:rsid w:val="006D5F95"/>
    <w:rsid w:val="006D60D0"/>
    <w:rsid w:val="006D622A"/>
    <w:rsid w:val="006D62B1"/>
    <w:rsid w:val="006D62F7"/>
    <w:rsid w:val="006D63A8"/>
    <w:rsid w:val="006D63C1"/>
    <w:rsid w:val="006D653D"/>
    <w:rsid w:val="006D6582"/>
    <w:rsid w:val="006D658A"/>
    <w:rsid w:val="006D6683"/>
    <w:rsid w:val="006D66D7"/>
    <w:rsid w:val="006D675C"/>
    <w:rsid w:val="006D68C4"/>
    <w:rsid w:val="006D6964"/>
    <w:rsid w:val="006D69E9"/>
    <w:rsid w:val="006D69F5"/>
    <w:rsid w:val="006D6B4F"/>
    <w:rsid w:val="006D6C11"/>
    <w:rsid w:val="006D6C98"/>
    <w:rsid w:val="006D6DCC"/>
    <w:rsid w:val="006D6E85"/>
    <w:rsid w:val="006D6F05"/>
    <w:rsid w:val="006D7007"/>
    <w:rsid w:val="006D704B"/>
    <w:rsid w:val="006D704D"/>
    <w:rsid w:val="006D72E6"/>
    <w:rsid w:val="006D73E4"/>
    <w:rsid w:val="006D7442"/>
    <w:rsid w:val="006D760B"/>
    <w:rsid w:val="006D761C"/>
    <w:rsid w:val="006D783F"/>
    <w:rsid w:val="006D7952"/>
    <w:rsid w:val="006D79F7"/>
    <w:rsid w:val="006D7AC7"/>
    <w:rsid w:val="006D7BAF"/>
    <w:rsid w:val="006D7C79"/>
    <w:rsid w:val="006D7D1B"/>
    <w:rsid w:val="006D7DC1"/>
    <w:rsid w:val="006D7DF0"/>
    <w:rsid w:val="006D7EA0"/>
    <w:rsid w:val="006D7F94"/>
    <w:rsid w:val="006E0005"/>
    <w:rsid w:val="006E0056"/>
    <w:rsid w:val="006E00C7"/>
    <w:rsid w:val="006E014F"/>
    <w:rsid w:val="006E02CC"/>
    <w:rsid w:val="006E04C9"/>
    <w:rsid w:val="006E0512"/>
    <w:rsid w:val="006E052E"/>
    <w:rsid w:val="006E06FC"/>
    <w:rsid w:val="006E07F5"/>
    <w:rsid w:val="006E08DD"/>
    <w:rsid w:val="006E0999"/>
    <w:rsid w:val="006E0A6D"/>
    <w:rsid w:val="006E0A79"/>
    <w:rsid w:val="006E0BA4"/>
    <w:rsid w:val="006E0D11"/>
    <w:rsid w:val="006E0D28"/>
    <w:rsid w:val="006E0DD4"/>
    <w:rsid w:val="006E0E52"/>
    <w:rsid w:val="006E0E61"/>
    <w:rsid w:val="006E0F3F"/>
    <w:rsid w:val="006E0FDF"/>
    <w:rsid w:val="006E1017"/>
    <w:rsid w:val="006E1035"/>
    <w:rsid w:val="006E10F9"/>
    <w:rsid w:val="006E110E"/>
    <w:rsid w:val="006E11C1"/>
    <w:rsid w:val="006E1247"/>
    <w:rsid w:val="006E12F8"/>
    <w:rsid w:val="006E137F"/>
    <w:rsid w:val="006E144D"/>
    <w:rsid w:val="006E14B4"/>
    <w:rsid w:val="006E1547"/>
    <w:rsid w:val="006E155E"/>
    <w:rsid w:val="006E1710"/>
    <w:rsid w:val="006E171F"/>
    <w:rsid w:val="006E17BC"/>
    <w:rsid w:val="006E17BD"/>
    <w:rsid w:val="006E1919"/>
    <w:rsid w:val="006E1945"/>
    <w:rsid w:val="006E1990"/>
    <w:rsid w:val="006E1B02"/>
    <w:rsid w:val="006E1BC8"/>
    <w:rsid w:val="006E1CDD"/>
    <w:rsid w:val="006E1CF7"/>
    <w:rsid w:val="006E1D28"/>
    <w:rsid w:val="006E1EE0"/>
    <w:rsid w:val="006E202A"/>
    <w:rsid w:val="006E2040"/>
    <w:rsid w:val="006E209D"/>
    <w:rsid w:val="006E2307"/>
    <w:rsid w:val="006E23D8"/>
    <w:rsid w:val="006E23EB"/>
    <w:rsid w:val="006E2416"/>
    <w:rsid w:val="006E247B"/>
    <w:rsid w:val="006E255B"/>
    <w:rsid w:val="006E25E7"/>
    <w:rsid w:val="006E2616"/>
    <w:rsid w:val="006E26D4"/>
    <w:rsid w:val="006E274B"/>
    <w:rsid w:val="006E27BC"/>
    <w:rsid w:val="006E27ED"/>
    <w:rsid w:val="006E284D"/>
    <w:rsid w:val="006E28B7"/>
    <w:rsid w:val="006E2921"/>
    <w:rsid w:val="006E2968"/>
    <w:rsid w:val="006E2ACE"/>
    <w:rsid w:val="006E2B8A"/>
    <w:rsid w:val="006E2CB9"/>
    <w:rsid w:val="006E2DD9"/>
    <w:rsid w:val="006E2E33"/>
    <w:rsid w:val="006E2EA5"/>
    <w:rsid w:val="006E2EF5"/>
    <w:rsid w:val="006E2EF6"/>
    <w:rsid w:val="006E2FA2"/>
    <w:rsid w:val="006E306E"/>
    <w:rsid w:val="006E310A"/>
    <w:rsid w:val="006E31DA"/>
    <w:rsid w:val="006E31FA"/>
    <w:rsid w:val="006E326E"/>
    <w:rsid w:val="006E32EC"/>
    <w:rsid w:val="006E339B"/>
    <w:rsid w:val="006E33A8"/>
    <w:rsid w:val="006E33B8"/>
    <w:rsid w:val="006E3502"/>
    <w:rsid w:val="006E384A"/>
    <w:rsid w:val="006E386B"/>
    <w:rsid w:val="006E38D1"/>
    <w:rsid w:val="006E38F0"/>
    <w:rsid w:val="006E3A31"/>
    <w:rsid w:val="006E3A75"/>
    <w:rsid w:val="006E3BF6"/>
    <w:rsid w:val="006E3DD1"/>
    <w:rsid w:val="006E3E59"/>
    <w:rsid w:val="006E3E82"/>
    <w:rsid w:val="006E3EF0"/>
    <w:rsid w:val="006E3FC5"/>
    <w:rsid w:val="006E4072"/>
    <w:rsid w:val="006E4140"/>
    <w:rsid w:val="006E4147"/>
    <w:rsid w:val="006E41F3"/>
    <w:rsid w:val="006E4281"/>
    <w:rsid w:val="006E42F1"/>
    <w:rsid w:val="006E4317"/>
    <w:rsid w:val="006E4348"/>
    <w:rsid w:val="006E4477"/>
    <w:rsid w:val="006E44CF"/>
    <w:rsid w:val="006E4667"/>
    <w:rsid w:val="006E4676"/>
    <w:rsid w:val="006E46B1"/>
    <w:rsid w:val="006E4772"/>
    <w:rsid w:val="006E48EF"/>
    <w:rsid w:val="006E498E"/>
    <w:rsid w:val="006E49F3"/>
    <w:rsid w:val="006E4A42"/>
    <w:rsid w:val="006E4BA5"/>
    <w:rsid w:val="006E4BAB"/>
    <w:rsid w:val="006E4BED"/>
    <w:rsid w:val="006E4D9F"/>
    <w:rsid w:val="006E4E31"/>
    <w:rsid w:val="006E4E37"/>
    <w:rsid w:val="006E4EB1"/>
    <w:rsid w:val="006E51A8"/>
    <w:rsid w:val="006E5206"/>
    <w:rsid w:val="006E527B"/>
    <w:rsid w:val="006E52A2"/>
    <w:rsid w:val="006E5314"/>
    <w:rsid w:val="006E53B5"/>
    <w:rsid w:val="006E54F7"/>
    <w:rsid w:val="006E5536"/>
    <w:rsid w:val="006E55BE"/>
    <w:rsid w:val="006E564D"/>
    <w:rsid w:val="006E5902"/>
    <w:rsid w:val="006E5969"/>
    <w:rsid w:val="006E59CB"/>
    <w:rsid w:val="006E5BAA"/>
    <w:rsid w:val="006E5C5A"/>
    <w:rsid w:val="006E5D65"/>
    <w:rsid w:val="006E5D77"/>
    <w:rsid w:val="006E5DDE"/>
    <w:rsid w:val="006E5DF1"/>
    <w:rsid w:val="006E5E09"/>
    <w:rsid w:val="006E5EF2"/>
    <w:rsid w:val="006E5FE7"/>
    <w:rsid w:val="006E6045"/>
    <w:rsid w:val="006E61C5"/>
    <w:rsid w:val="006E61C6"/>
    <w:rsid w:val="006E6266"/>
    <w:rsid w:val="006E6618"/>
    <w:rsid w:val="006E66A4"/>
    <w:rsid w:val="006E6869"/>
    <w:rsid w:val="006E6896"/>
    <w:rsid w:val="006E6919"/>
    <w:rsid w:val="006E6928"/>
    <w:rsid w:val="006E69FF"/>
    <w:rsid w:val="006E6A7F"/>
    <w:rsid w:val="006E6ADA"/>
    <w:rsid w:val="006E6AEB"/>
    <w:rsid w:val="006E6BE9"/>
    <w:rsid w:val="006E6BFE"/>
    <w:rsid w:val="006E6D14"/>
    <w:rsid w:val="006E6D43"/>
    <w:rsid w:val="006E6D58"/>
    <w:rsid w:val="006E6EAB"/>
    <w:rsid w:val="006E71B9"/>
    <w:rsid w:val="006E72C1"/>
    <w:rsid w:val="006E72F7"/>
    <w:rsid w:val="006E7412"/>
    <w:rsid w:val="006E751C"/>
    <w:rsid w:val="006E7571"/>
    <w:rsid w:val="006E7573"/>
    <w:rsid w:val="006E75D7"/>
    <w:rsid w:val="006E7665"/>
    <w:rsid w:val="006E7697"/>
    <w:rsid w:val="006E76FB"/>
    <w:rsid w:val="006E7774"/>
    <w:rsid w:val="006E778A"/>
    <w:rsid w:val="006E77DE"/>
    <w:rsid w:val="006E78F3"/>
    <w:rsid w:val="006E7B20"/>
    <w:rsid w:val="006E7D1F"/>
    <w:rsid w:val="006E7D52"/>
    <w:rsid w:val="006E7D68"/>
    <w:rsid w:val="006E7DE5"/>
    <w:rsid w:val="006E7EB9"/>
    <w:rsid w:val="006E7FC7"/>
    <w:rsid w:val="006F0013"/>
    <w:rsid w:val="006F0050"/>
    <w:rsid w:val="006F01B4"/>
    <w:rsid w:val="006F0295"/>
    <w:rsid w:val="006F041F"/>
    <w:rsid w:val="006F06AD"/>
    <w:rsid w:val="006F07B5"/>
    <w:rsid w:val="006F07B6"/>
    <w:rsid w:val="006F0BFA"/>
    <w:rsid w:val="006F0C6B"/>
    <w:rsid w:val="006F0CAE"/>
    <w:rsid w:val="006F0D84"/>
    <w:rsid w:val="006F0D89"/>
    <w:rsid w:val="006F0DF2"/>
    <w:rsid w:val="006F0E4F"/>
    <w:rsid w:val="006F0F19"/>
    <w:rsid w:val="006F1017"/>
    <w:rsid w:val="006F1091"/>
    <w:rsid w:val="006F10E9"/>
    <w:rsid w:val="006F1239"/>
    <w:rsid w:val="006F1261"/>
    <w:rsid w:val="006F1481"/>
    <w:rsid w:val="006F149E"/>
    <w:rsid w:val="006F14B7"/>
    <w:rsid w:val="006F14D4"/>
    <w:rsid w:val="006F186F"/>
    <w:rsid w:val="006F1ACD"/>
    <w:rsid w:val="006F1AE4"/>
    <w:rsid w:val="006F1B6D"/>
    <w:rsid w:val="006F1CFE"/>
    <w:rsid w:val="006F1E64"/>
    <w:rsid w:val="006F1E69"/>
    <w:rsid w:val="006F1E70"/>
    <w:rsid w:val="006F212A"/>
    <w:rsid w:val="006F2295"/>
    <w:rsid w:val="006F2441"/>
    <w:rsid w:val="006F2489"/>
    <w:rsid w:val="006F27AA"/>
    <w:rsid w:val="006F27BB"/>
    <w:rsid w:val="006F27E0"/>
    <w:rsid w:val="006F2808"/>
    <w:rsid w:val="006F2866"/>
    <w:rsid w:val="006F2878"/>
    <w:rsid w:val="006F28A2"/>
    <w:rsid w:val="006F28DF"/>
    <w:rsid w:val="006F29F5"/>
    <w:rsid w:val="006F2AAB"/>
    <w:rsid w:val="006F2BB0"/>
    <w:rsid w:val="006F2C62"/>
    <w:rsid w:val="006F2CEA"/>
    <w:rsid w:val="006F2D74"/>
    <w:rsid w:val="006F2DA3"/>
    <w:rsid w:val="006F2F41"/>
    <w:rsid w:val="006F2F87"/>
    <w:rsid w:val="006F2FE9"/>
    <w:rsid w:val="006F303B"/>
    <w:rsid w:val="006F30B2"/>
    <w:rsid w:val="006F31C6"/>
    <w:rsid w:val="006F32DF"/>
    <w:rsid w:val="006F332C"/>
    <w:rsid w:val="006F3386"/>
    <w:rsid w:val="006F33E7"/>
    <w:rsid w:val="006F33EF"/>
    <w:rsid w:val="006F3559"/>
    <w:rsid w:val="006F359E"/>
    <w:rsid w:val="006F36B3"/>
    <w:rsid w:val="006F36FA"/>
    <w:rsid w:val="006F370A"/>
    <w:rsid w:val="006F37AB"/>
    <w:rsid w:val="006F384E"/>
    <w:rsid w:val="006F391A"/>
    <w:rsid w:val="006F392A"/>
    <w:rsid w:val="006F392E"/>
    <w:rsid w:val="006F3955"/>
    <w:rsid w:val="006F3A02"/>
    <w:rsid w:val="006F3A1D"/>
    <w:rsid w:val="006F3AAE"/>
    <w:rsid w:val="006F3B4C"/>
    <w:rsid w:val="006F3BFA"/>
    <w:rsid w:val="006F3CB2"/>
    <w:rsid w:val="006F3D6B"/>
    <w:rsid w:val="006F3D9C"/>
    <w:rsid w:val="006F3EDA"/>
    <w:rsid w:val="006F3F3B"/>
    <w:rsid w:val="006F3F8B"/>
    <w:rsid w:val="006F3FDA"/>
    <w:rsid w:val="006F4043"/>
    <w:rsid w:val="006F40CA"/>
    <w:rsid w:val="006F40E9"/>
    <w:rsid w:val="006F4211"/>
    <w:rsid w:val="006F42F5"/>
    <w:rsid w:val="006F435E"/>
    <w:rsid w:val="006F43BC"/>
    <w:rsid w:val="006F48B8"/>
    <w:rsid w:val="006F49EE"/>
    <w:rsid w:val="006F4B7F"/>
    <w:rsid w:val="006F4D13"/>
    <w:rsid w:val="006F4E4A"/>
    <w:rsid w:val="006F4F21"/>
    <w:rsid w:val="006F4FC1"/>
    <w:rsid w:val="006F508F"/>
    <w:rsid w:val="006F50D0"/>
    <w:rsid w:val="006F516C"/>
    <w:rsid w:val="006F51C1"/>
    <w:rsid w:val="006F51F3"/>
    <w:rsid w:val="006F5478"/>
    <w:rsid w:val="006F54F3"/>
    <w:rsid w:val="006F554E"/>
    <w:rsid w:val="006F556C"/>
    <w:rsid w:val="006F55CA"/>
    <w:rsid w:val="006F570A"/>
    <w:rsid w:val="006F5759"/>
    <w:rsid w:val="006F5764"/>
    <w:rsid w:val="006F5795"/>
    <w:rsid w:val="006F585B"/>
    <w:rsid w:val="006F59B2"/>
    <w:rsid w:val="006F59C6"/>
    <w:rsid w:val="006F5AF1"/>
    <w:rsid w:val="006F5C1C"/>
    <w:rsid w:val="006F5C80"/>
    <w:rsid w:val="006F5CE8"/>
    <w:rsid w:val="006F5D19"/>
    <w:rsid w:val="006F5D4B"/>
    <w:rsid w:val="006F5D7B"/>
    <w:rsid w:val="006F5D8F"/>
    <w:rsid w:val="006F5DBF"/>
    <w:rsid w:val="006F5E1F"/>
    <w:rsid w:val="006F5EDB"/>
    <w:rsid w:val="006F5F5D"/>
    <w:rsid w:val="006F5F8B"/>
    <w:rsid w:val="006F5FE1"/>
    <w:rsid w:val="006F61AA"/>
    <w:rsid w:val="006F6209"/>
    <w:rsid w:val="006F620A"/>
    <w:rsid w:val="006F62ED"/>
    <w:rsid w:val="006F6493"/>
    <w:rsid w:val="006F64D1"/>
    <w:rsid w:val="006F64D5"/>
    <w:rsid w:val="006F6595"/>
    <w:rsid w:val="006F6620"/>
    <w:rsid w:val="006F6689"/>
    <w:rsid w:val="006F6831"/>
    <w:rsid w:val="006F6888"/>
    <w:rsid w:val="006F68C0"/>
    <w:rsid w:val="006F6962"/>
    <w:rsid w:val="006F69B3"/>
    <w:rsid w:val="006F6AEC"/>
    <w:rsid w:val="006F6B11"/>
    <w:rsid w:val="006F6B28"/>
    <w:rsid w:val="006F6BC7"/>
    <w:rsid w:val="006F6C83"/>
    <w:rsid w:val="006F6CF1"/>
    <w:rsid w:val="006F6DB6"/>
    <w:rsid w:val="006F6E23"/>
    <w:rsid w:val="006F702A"/>
    <w:rsid w:val="006F7038"/>
    <w:rsid w:val="006F70BD"/>
    <w:rsid w:val="006F7102"/>
    <w:rsid w:val="006F712E"/>
    <w:rsid w:val="006F7232"/>
    <w:rsid w:val="006F7251"/>
    <w:rsid w:val="006F727E"/>
    <w:rsid w:val="006F7305"/>
    <w:rsid w:val="006F732A"/>
    <w:rsid w:val="006F73B8"/>
    <w:rsid w:val="006F7500"/>
    <w:rsid w:val="006F7679"/>
    <w:rsid w:val="006F77F8"/>
    <w:rsid w:val="006F78A8"/>
    <w:rsid w:val="006F78AF"/>
    <w:rsid w:val="006F7915"/>
    <w:rsid w:val="006F7A19"/>
    <w:rsid w:val="006F7A30"/>
    <w:rsid w:val="006F7A96"/>
    <w:rsid w:val="006F7BA8"/>
    <w:rsid w:val="006F7BAE"/>
    <w:rsid w:val="006F7BB8"/>
    <w:rsid w:val="006F7C02"/>
    <w:rsid w:val="006F7C34"/>
    <w:rsid w:val="006F7C8E"/>
    <w:rsid w:val="006F7DC7"/>
    <w:rsid w:val="006F7E05"/>
    <w:rsid w:val="006F7E69"/>
    <w:rsid w:val="006F7F41"/>
    <w:rsid w:val="006F7F56"/>
    <w:rsid w:val="006F7FCD"/>
    <w:rsid w:val="006FB740"/>
    <w:rsid w:val="00700007"/>
    <w:rsid w:val="00700086"/>
    <w:rsid w:val="0070016B"/>
    <w:rsid w:val="0070035F"/>
    <w:rsid w:val="0070037D"/>
    <w:rsid w:val="00700407"/>
    <w:rsid w:val="007004F2"/>
    <w:rsid w:val="007007BA"/>
    <w:rsid w:val="0070085E"/>
    <w:rsid w:val="00700915"/>
    <w:rsid w:val="0070091A"/>
    <w:rsid w:val="00700974"/>
    <w:rsid w:val="00700A82"/>
    <w:rsid w:val="00700B7E"/>
    <w:rsid w:val="00700C31"/>
    <w:rsid w:val="00700D28"/>
    <w:rsid w:val="00700D61"/>
    <w:rsid w:val="00700D8D"/>
    <w:rsid w:val="00700D98"/>
    <w:rsid w:val="00700F9F"/>
    <w:rsid w:val="0070103C"/>
    <w:rsid w:val="007010A8"/>
    <w:rsid w:val="007010DA"/>
    <w:rsid w:val="00701102"/>
    <w:rsid w:val="00701127"/>
    <w:rsid w:val="007013A5"/>
    <w:rsid w:val="00701418"/>
    <w:rsid w:val="007014EE"/>
    <w:rsid w:val="007015AD"/>
    <w:rsid w:val="0070168E"/>
    <w:rsid w:val="0070173B"/>
    <w:rsid w:val="0070182E"/>
    <w:rsid w:val="0070191E"/>
    <w:rsid w:val="00701945"/>
    <w:rsid w:val="007019ED"/>
    <w:rsid w:val="00701B9D"/>
    <w:rsid w:val="00701C17"/>
    <w:rsid w:val="00701D78"/>
    <w:rsid w:val="00701FCB"/>
    <w:rsid w:val="007020D9"/>
    <w:rsid w:val="007021E6"/>
    <w:rsid w:val="007023B0"/>
    <w:rsid w:val="00702446"/>
    <w:rsid w:val="007025D2"/>
    <w:rsid w:val="007025F4"/>
    <w:rsid w:val="00702613"/>
    <w:rsid w:val="00702632"/>
    <w:rsid w:val="0070274A"/>
    <w:rsid w:val="00702808"/>
    <w:rsid w:val="007028F4"/>
    <w:rsid w:val="007029C1"/>
    <w:rsid w:val="00702A2D"/>
    <w:rsid w:val="00702B38"/>
    <w:rsid w:val="00702BEC"/>
    <w:rsid w:val="00702C44"/>
    <w:rsid w:val="00702C4E"/>
    <w:rsid w:val="00702C55"/>
    <w:rsid w:val="00702CE9"/>
    <w:rsid w:val="00702D2F"/>
    <w:rsid w:val="00702E00"/>
    <w:rsid w:val="00702E79"/>
    <w:rsid w:val="00702E90"/>
    <w:rsid w:val="00702EC5"/>
    <w:rsid w:val="00702EEA"/>
    <w:rsid w:val="00702FE5"/>
    <w:rsid w:val="007030D0"/>
    <w:rsid w:val="0070313B"/>
    <w:rsid w:val="0070319A"/>
    <w:rsid w:val="007031B3"/>
    <w:rsid w:val="007032FA"/>
    <w:rsid w:val="0070335C"/>
    <w:rsid w:val="00703382"/>
    <w:rsid w:val="007033B1"/>
    <w:rsid w:val="007033D3"/>
    <w:rsid w:val="0070341A"/>
    <w:rsid w:val="007034B6"/>
    <w:rsid w:val="0070353E"/>
    <w:rsid w:val="007036B6"/>
    <w:rsid w:val="00703752"/>
    <w:rsid w:val="0070381B"/>
    <w:rsid w:val="007038DF"/>
    <w:rsid w:val="0070396D"/>
    <w:rsid w:val="00703977"/>
    <w:rsid w:val="00703985"/>
    <w:rsid w:val="00703AAD"/>
    <w:rsid w:val="00703C2F"/>
    <w:rsid w:val="00703C43"/>
    <w:rsid w:val="00703C88"/>
    <w:rsid w:val="00703DAC"/>
    <w:rsid w:val="00703F6B"/>
    <w:rsid w:val="00703F80"/>
    <w:rsid w:val="00703F8E"/>
    <w:rsid w:val="00703FA2"/>
    <w:rsid w:val="00703FFD"/>
    <w:rsid w:val="00704085"/>
    <w:rsid w:val="00704118"/>
    <w:rsid w:val="0070421F"/>
    <w:rsid w:val="00704263"/>
    <w:rsid w:val="0070427D"/>
    <w:rsid w:val="0070427E"/>
    <w:rsid w:val="007042BC"/>
    <w:rsid w:val="0070445D"/>
    <w:rsid w:val="0070452F"/>
    <w:rsid w:val="0070459D"/>
    <w:rsid w:val="00704620"/>
    <w:rsid w:val="00704666"/>
    <w:rsid w:val="0070466F"/>
    <w:rsid w:val="00704725"/>
    <w:rsid w:val="0070483C"/>
    <w:rsid w:val="00704883"/>
    <w:rsid w:val="0070491E"/>
    <w:rsid w:val="0070492B"/>
    <w:rsid w:val="00704934"/>
    <w:rsid w:val="00704970"/>
    <w:rsid w:val="00704AC8"/>
    <w:rsid w:val="00704ADA"/>
    <w:rsid w:val="00704B3C"/>
    <w:rsid w:val="00704BE5"/>
    <w:rsid w:val="00704C0C"/>
    <w:rsid w:val="00704C6D"/>
    <w:rsid w:val="00704CC0"/>
    <w:rsid w:val="00704D70"/>
    <w:rsid w:val="00704DBE"/>
    <w:rsid w:val="00704E59"/>
    <w:rsid w:val="00704F36"/>
    <w:rsid w:val="00704F84"/>
    <w:rsid w:val="0070527F"/>
    <w:rsid w:val="00705310"/>
    <w:rsid w:val="00705443"/>
    <w:rsid w:val="007059F5"/>
    <w:rsid w:val="00705B10"/>
    <w:rsid w:val="00705BFD"/>
    <w:rsid w:val="00705C20"/>
    <w:rsid w:val="00705C8F"/>
    <w:rsid w:val="00705D4B"/>
    <w:rsid w:val="00705E72"/>
    <w:rsid w:val="00705EA0"/>
    <w:rsid w:val="00705EA7"/>
    <w:rsid w:val="00705FE1"/>
    <w:rsid w:val="00706061"/>
    <w:rsid w:val="00706099"/>
    <w:rsid w:val="007060E8"/>
    <w:rsid w:val="00706139"/>
    <w:rsid w:val="007061F6"/>
    <w:rsid w:val="0070634A"/>
    <w:rsid w:val="00706384"/>
    <w:rsid w:val="007063F3"/>
    <w:rsid w:val="0070648A"/>
    <w:rsid w:val="00706498"/>
    <w:rsid w:val="007064A3"/>
    <w:rsid w:val="007065F3"/>
    <w:rsid w:val="0070665A"/>
    <w:rsid w:val="00706760"/>
    <w:rsid w:val="00706770"/>
    <w:rsid w:val="00706772"/>
    <w:rsid w:val="007068A2"/>
    <w:rsid w:val="007068BD"/>
    <w:rsid w:val="007069DA"/>
    <w:rsid w:val="007069DD"/>
    <w:rsid w:val="00706AFE"/>
    <w:rsid w:val="00706B5E"/>
    <w:rsid w:val="00706B74"/>
    <w:rsid w:val="00706B82"/>
    <w:rsid w:val="00706CF2"/>
    <w:rsid w:val="00706CF5"/>
    <w:rsid w:val="00706DD9"/>
    <w:rsid w:val="00706E7F"/>
    <w:rsid w:val="00706E81"/>
    <w:rsid w:val="00706ECC"/>
    <w:rsid w:val="00706EE7"/>
    <w:rsid w:val="00706FA9"/>
    <w:rsid w:val="007070FD"/>
    <w:rsid w:val="0070714A"/>
    <w:rsid w:val="007071EC"/>
    <w:rsid w:val="00707257"/>
    <w:rsid w:val="0070732C"/>
    <w:rsid w:val="007073E2"/>
    <w:rsid w:val="00707406"/>
    <w:rsid w:val="00707477"/>
    <w:rsid w:val="0070749F"/>
    <w:rsid w:val="0070762A"/>
    <w:rsid w:val="007076A4"/>
    <w:rsid w:val="00707801"/>
    <w:rsid w:val="00707825"/>
    <w:rsid w:val="00707826"/>
    <w:rsid w:val="007078B3"/>
    <w:rsid w:val="007078E9"/>
    <w:rsid w:val="00707A04"/>
    <w:rsid w:val="00707A8D"/>
    <w:rsid w:val="00707B77"/>
    <w:rsid w:val="00707B89"/>
    <w:rsid w:val="00707C5C"/>
    <w:rsid w:val="00707C8C"/>
    <w:rsid w:val="00707CB8"/>
    <w:rsid w:val="00707D31"/>
    <w:rsid w:val="00707E4E"/>
    <w:rsid w:val="00707E89"/>
    <w:rsid w:val="00707ED4"/>
    <w:rsid w:val="00707FAF"/>
    <w:rsid w:val="0071009D"/>
    <w:rsid w:val="007100FA"/>
    <w:rsid w:val="007101C2"/>
    <w:rsid w:val="007102A4"/>
    <w:rsid w:val="00710381"/>
    <w:rsid w:val="007103F0"/>
    <w:rsid w:val="0071041D"/>
    <w:rsid w:val="0071046B"/>
    <w:rsid w:val="00710550"/>
    <w:rsid w:val="007106D5"/>
    <w:rsid w:val="007106FD"/>
    <w:rsid w:val="00710718"/>
    <w:rsid w:val="007107AC"/>
    <w:rsid w:val="00710893"/>
    <w:rsid w:val="007108DB"/>
    <w:rsid w:val="00710909"/>
    <w:rsid w:val="00710983"/>
    <w:rsid w:val="00710AD6"/>
    <w:rsid w:val="00710BF9"/>
    <w:rsid w:val="00710E20"/>
    <w:rsid w:val="00710E50"/>
    <w:rsid w:val="00710EBC"/>
    <w:rsid w:val="00710F48"/>
    <w:rsid w:val="00710F58"/>
    <w:rsid w:val="00710F96"/>
    <w:rsid w:val="007110AD"/>
    <w:rsid w:val="007110CF"/>
    <w:rsid w:val="0071119F"/>
    <w:rsid w:val="007111D6"/>
    <w:rsid w:val="00711378"/>
    <w:rsid w:val="0071141F"/>
    <w:rsid w:val="007114D5"/>
    <w:rsid w:val="00711588"/>
    <w:rsid w:val="0071158E"/>
    <w:rsid w:val="007115E3"/>
    <w:rsid w:val="007118A9"/>
    <w:rsid w:val="00711997"/>
    <w:rsid w:val="00711A29"/>
    <w:rsid w:val="00711A45"/>
    <w:rsid w:val="00711BBF"/>
    <w:rsid w:val="00711C51"/>
    <w:rsid w:val="00711C6B"/>
    <w:rsid w:val="00711D8B"/>
    <w:rsid w:val="00711E85"/>
    <w:rsid w:val="00711FCB"/>
    <w:rsid w:val="00712310"/>
    <w:rsid w:val="007123D1"/>
    <w:rsid w:val="007124A6"/>
    <w:rsid w:val="007124D8"/>
    <w:rsid w:val="007125CE"/>
    <w:rsid w:val="0071260A"/>
    <w:rsid w:val="00712624"/>
    <w:rsid w:val="00712632"/>
    <w:rsid w:val="00712648"/>
    <w:rsid w:val="007126B4"/>
    <w:rsid w:val="007127B6"/>
    <w:rsid w:val="0071295B"/>
    <w:rsid w:val="007129AB"/>
    <w:rsid w:val="007129D2"/>
    <w:rsid w:val="00712A5D"/>
    <w:rsid w:val="00712ADD"/>
    <w:rsid w:val="00712B00"/>
    <w:rsid w:val="00712B03"/>
    <w:rsid w:val="00712CCB"/>
    <w:rsid w:val="00712D64"/>
    <w:rsid w:val="00712E2C"/>
    <w:rsid w:val="00712E64"/>
    <w:rsid w:val="00712FA8"/>
    <w:rsid w:val="00713182"/>
    <w:rsid w:val="00713189"/>
    <w:rsid w:val="007131F1"/>
    <w:rsid w:val="00713292"/>
    <w:rsid w:val="0071329E"/>
    <w:rsid w:val="0071343A"/>
    <w:rsid w:val="007134C5"/>
    <w:rsid w:val="007135A6"/>
    <w:rsid w:val="007135AC"/>
    <w:rsid w:val="00713622"/>
    <w:rsid w:val="0071366A"/>
    <w:rsid w:val="007136E3"/>
    <w:rsid w:val="007136EA"/>
    <w:rsid w:val="00713753"/>
    <w:rsid w:val="00713758"/>
    <w:rsid w:val="007137D4"/>
    <w:rsid w:val="0071380E"/>
    <w:rsid w:val="0071382D"/>
    <w:rsid w:val="00713936"/>
    <w:rsid w:val="0071393D"/>
    <w:rsid w:val="00713946"/>
    <w:rsid w:val="007139C4"/>
    <w:rsid w:val="00713A7F"/>
    <w:rsid w:val="00713A83"/>
    <w:rsid w:val="00713AA8"/>
    <w:rsid w:val="00713B9B"/>
    <w:rsid w:val="00713C19"/>
    <w:rsid w:val="00713DDF"/>
    <w:rsid w:val="00713E86"/>
    <w:rsid w:val="00714091"/>
    <w:rsid w:val="0071414B"/>
    <w:rsid w:val="007141BC"/>
    <w:rsid w:val="00714286"/>
    <w:rsid w:val="007142A7"/>
    <w:rsid w:val="007142D8"/>
    <w:rsid w:val="00714330"/>
    <w:rsid w:val="0071447C"/>
    <w:rsid w:val="00714483"/>
    <w:rsid w:val="007144D4"/>
    <w:rsid w:val="007144DA"/>
    <w:rsid w:val="00714685"/>
    <w:rsid w:val="00714763"/>
    <w:rsid w:val="007147EC"/>
    <w:rsid w:val="007148B9"/>
    <w:rsid w:val="0071493A"/>
    <w:rsid w:val="007149FB"/>
    <w:rsid w:val="00714A8C"/>
    <w:rsid w:val="00714B26"/>
    <w:rsid w:val="00714B7A"/>
    <w:rsid w:val="00714BB1"/>
    <w:rsid w:val="00714CEB"/>
    <w:rsid w:val="00714DBA"/>
    <w:rsid w:val="00714F88"/>
    <w:rsid w:val="0071506F"/>
    <w:rsid w:val="007150E2"/>
    <w:rsid w:val="00715143"/>
    <w:rsid w:val="00715191"/>
    <w:rsid w:val="0071522E"/>
    <w:rsid w:val="007152AB"/>
    <w:rsid w:val="0071535A"/>
    <w:rsid w:val="0071540A"/>
    <w:rsid w:val="007154D9"/>
    <w:rsid w:val="00715582"/>
    <w:rsid w:val="007155EB"/>
    <w:rsid w:val="0071564B"/>
    <w:rsid w:val="00715657"/>
    <w:rsid w:val="00715684"/>
    <w:rsid w:val="00715693"/>
    <w:rsid w:val="00715696"/>
    <w:rsid w:val="00715947"/>
    <w:rsid w:val="0071598C"/>
    <w:rsid w:val="007159BD"/>
    <w:rsid w:val="00715A09"/>
    <w:rsid w:val="00715B00"/>
    <w:rsid w:val="00715B20"/>
    <w:rsid w:val="00715BDC"/>
    <w:rsid w:val="00715C1E"/>
    <w:rsid w:val="00715C52"/>
    <w:rsid w:val="00715CA9"/>
    <w:rsid w:val="00715D65"/>
    <w:rsid w:val="00715E57"/>
    <w:rsid w:val="00715EBF"/>
    <w:rsid w:val="00715F64"/>
    <w:rsid w:val="00715F7D"/>
    <w:rsid w:val="00716018"/>
    <w:rsid w:val="0071603D"/>
    <w:rsid w:val="0071609F"/>
    <w:rsid w:val="007160D9"/>
    <w:rsid w:val="00716162"/>
    <w:rsid w:val="00716236"/>
    <w:rsid w:val="007162E8"/>
    <w:rsid w:val="0071630D"/>
    <w:rsid w:val="00716378"/>
    <w:rsid w:val="0071637A"/>
    <w:rsid w:val="007163A7"/>
    <w:rsid w:val="00716418"/>
    <w:rsid w:val="007164A0"/>
    <w:rsid w:val="00716695"/>
    <w:rsid w:val="007166B8"/>
    <w:rsid w:val="0071678C"/>
    <w:rsid w:val="0071678E"/>
    <w:rsid w:val="0071685D"/>
    <w:rsid w:val="00716872"/>
    <w:rsid w:val="0071693E"/>
    <w:rsid w:val="00716965"/>
    <w:rsid w:val="00716A30"/>
    <w:rsid w:val="00716AB4"/>
    <w:rsid w:val="00716AE8"/>
    <w:rsid w:val="00716AF6"/>
    <w:rsid w:val="00716B02"/>
    <w:rsid w:val="00716C69"/>
    <w:rsid w:val="00716CA9"/>
    <w:rsid w:val="00716D0A"/>
    <w:rsid w:val="00716D20"/>
    <w:rsid w:val="00716D68"/>
    <w:rsid w:val="00716D8B"/>
    <w:rsid w:val="00716DB1"/>
    <w:rsid w:val="00716E2C"/>
    <w:rsid w:val="00716E6B"/>
    <w:rsid w:val="00716EA7"/>
    <w:rsid w:val="00716EBE"/>
    <w:rsid w:val="0071707F"/>
    <w:rsid w:val="0071716A"/>
    <w:rsid w:val="007172DE"/>
    <w:rsid w:val="007173C5"/>
    <w:rsid w:val="00717481"/>
    <w:rsid w:val="00717496"/>
    <w:rsid w:val="007175F1"/>
    <w:rsid w:val="007176BD"/>
    <w:rsid w:val="007177BA"/>
    <w:rsid w:val="007177FD"/>
    <w:rsid w:val="0071791D"/>
    <w:rsid w:val="007179EC"/>
    <w:rsid w:val="00717A5F"/>
    <w:rsid w:val="00717A7E"/>
    <w:rsid w:val="00717AB6"/>
    <w:rsid w:val="00717B0B"/>
    <w:rsid w:val="00717B31"/>
    <w:rsid w:val="00717C4C"/>
    <w:rsid w:val="00717DAF"/>
    <w:rsid w:val="00717DE2"/>
    <w:rsid w:val="00717DE7"/>
    <w:rsid w:val="00717E3C"/>
    <w:rsid w:val="00717EBC"/>
    <w:rsid w:val="00717FDA"/>
    <w:rsid w:val="0072006D"/>
    <w:rsid w:val="00720092"/>
    <w:rsid w:val="0072009C"/>
    <w:rsid w:val="007200C1"/>
    <w:rsid w:val="00720131"/>
    <w:rsid w:val="00720183"/>
    <w:rsid w:val="007202B6"/>
    <w:rsid w:val="0072031B"/>
    <w:rsid w:val="00720323"/>
    <w:rsid w:val="00720340"/>
    <w:rsid w:val="007203CC"/>
    <w:rsid w:val="0072051E"/>
    <w:rsid w:val="007205DF"/>
    <w:rsid w:val="007205E0"/>
    <w:rsid w:val="007206E4"/>
    <w:rsid w:val="00720871"/>
    <w:rsid w:val="007208A5"/>
    <w:rsid w:val="0072095E"/>
    <w:rsid w:val="00720988"/>
    <w:rsid w:val="00720A88"/>
    <w:rsid w:val="00720B69"/>
    <w:rsid w:val="00720B7E"/>
    <w:rsid w:val="00720BB3"/>
    <w:rsid w:val="00720E15"/>
    <w:rsid w:val="007210C7"/>
    <w:rsid w:val="007211AC"/>
    <w:rsid w:val="00721285"/>
    <w:rsid w:val="00721447"/>
    <w:rsid w:val="00721634"/>
    <w:rsid w:val="007216F5"/>
    <w:rsid w:val="00721733"/>
    <w:rsid w:val="00721823"/>
    <w:rsid w:val="00721896"/>
    <w:rsid w:val="00721926"/>
    <w:rsid w:val="0072199D"/>
    <w:rsid w:val="007219ED"/>
    <w:rsid w:val="00721A7F"/>
    <w:rsid w:val="00721AB7"/>
    <w:rsid w:val="00721B3F"/>
    <w:rsid w:val="00721B54"/>
    <w:rsid w:val="00721B5C"/>
    <w:rsid w:val="00721BD8"/>
    <w:rsid w:val="00721D45"/>
    <w:rsid w:val="00721DCA"/>
    <w:rsid w:val="00721E0A"/>
    <w:rsid w:val="00721F6C"/>
    <w:rsid w:val="00722040"/>
    <w:rsid w:val="007220B6"/>
    <w:rsid w:val="007220CF"/>
    <w:rsid w:val="0072213A"/>
    <w:rsid w:val="00722196"/>
    <w:rsid w:val="00722215"/>
    <w:rsid w:val="007222E9"/>
    <w:rsid w:val="007223BF"/>
    <w:rsid w:val="0072254F"/>
    <w:rsid w:val="007226CD"/>
    <w:rsid w:val="007226EA"/>
    <w:rsid w:val="007226FC"/>
    <w:rsid w:val="00722876"/>
    <w:rsid w:val="007228CD"/>
    <w:rsid w:val="007228EB"/>
    <w:rsid w:val="00722958"/>
    <w:rsid w:val="00722969"/>
    <w:rsid w:val="0072299D"/>
    <w:rsid w:val="00722A4A"/>
    <w:rsid w:val="00722A6E"/>
    <w:rsid w:val="00722ACB"/>
    <w:rsid w:val="00722BF9"/>
    <w:rsid w:val="00722CE9"/>
    <w:rsid w:val="00722D57"/>
    <w:rsid w:val="00722EB4"/>
    <w:rsid w:val="00722F06"/>
    <w:rsid w:val="00722FC9"/>
    <w:rsid w:val="007230D7"/>
    <w:rsid w:val="0072314D"/>
    <w:rsid w:val="00723350"/>
    <w:rsid w:val="007233CE"/>
    <w:rsid w:val="0072348D"/>
    <w:rsid w:val="007235C0"/>
    <w:rsid w:val="0072361F"/>
    <w:rsid w:val="00723707"/>
    <w:rsid w:val="007237DB"/>
    <w:rsid w:val="007237E3"/>
    <w:rsid w:val="00723835"/>
    <w:rsid w:val="00723892"/>
    <w:rsid w:val="007238AA"/>
    <w:rsid w:val="007238BD"/>
    <w:rsid w:val="0072390E"/>
    <w:rsid w:val="007239C8"/>
    <w:rsid w:val="00723A1C"/>
    <w:rsid w:val="00723A64"/>
    <w:rsid w:val="00723AAA"/>
    <w:rsid w:val="00723BF6"/>
    <w:rsid w:val="00723C16"/>
    <w:rsid w:val="00723C47"/>
    <w:rsid w:val="00723C60"/>
    <w:rsid w:val="00723CA6"/>
    <w:rsid w:val="00723CC1"/>
    <w:rsid w:val="00723E49"/>
    <w:rsid w:val="00723E63"/>
    <w:rsid w:val="00723EB5"/>
    <w:rsid w:val="00723FBD"/>
    <w:rsid w:val="00723FEE"/>
    <w:rsid w:val="00724046"/>
    <w:rsid w:val="007240CA"/>
    <w:rsid w:val="0072417F"/>
    <w:rsid w:val="00724183"/>
    <w:rsid w:val="007241A7"/>
    <w:rsid w:val="007241AC"/>
    <w:rsid w:val="007241E4"/>
    <w:rsid w:val="007241F4"/>
    <w:rsid w:val="007242C6"/>
    <w:rsid w:val="0072434D"/>
    <w:rsid w:val="0072439A"/>
    <w:rsid w:val="00724413"/>
    <w:rsid w:val="00724450"/>
    <w:rsid w:val="00724456"/>
    <w:rsid w:val="007244E5"/>
    <w:rsid w:val="00724591"/>
    <w:rsid w:val="007245ED"/>
    <w:rsid w:val="00724681"/>
    <w:rsid w:val="007246AA"/>
    <w:rsid w:val="007246EF"/>
    <w:rsid w:val="00724749"/>
    <w:rsid w:val="007247C7"/>
    <w:rsid w:val="007248C9"/>
    <w:rsid w:val="0072495D"/>
    <w:rsid w:val="00724B83"/>
    <w:rsid w:val="00724BB0"/>
    <w:rsid w:val="00724C8A"/>
    <w:rsid w:val="00724CDA"/>
    <w:rsid w:val="00724D47"/>
    <w:rsid w:val="00724F34"/>
    <w:rsid w:val="00724FA0"/>
    <w:rsid w:val="00724FA9"/>
    <w:rsid w:val="00724FB9"/>
    <w:rsid w:val="00724FD8"/>
    <w:rsid w:val="00725013"/>
    <w:rsid w:val="0072503D"/>
    <w:rsid w:val="0072504E"/>
    <w:rsid w:val="007250DE"/>
    <w:rsid w:val="007254BD"/>
    <w:rsid w:val="007256AF"/>
    <w:rsid w:val="0072574D"/>
    <w:rsid w:val="00725750"/>
    <w:rsid w:val="00725879"/>
    <w:rsid w:val="00725A62"/>
    <w:rsid w:val="00725AB7"/>
    <w:rsid w:val="00725AE3"/>
    <w:rsid w:val="00725B1B"/>
    <w:rsid w:val="00725B41"/>
    <w:rsid w:val="00725BD3"/>
    <w:rsid w:val="00725C83"/>
    <w:rsid w:val="00725CBF"/>
    <w:rsid w:val="00725D0B"/>
    <w:rsid w:val="00725D1B"/>
    <w:rsid w:val="00725E60"/>
    <w:rsid w:val="00725E6C"/>
    <w:rsid w:val="00725F1E"/>
    <w:rsid w:val="00726009"/>
    <w:rsid w:val="00726044"/>
    <w:rsid w:val="007260DD"/>
    <w:rsid w:val="007261E4"/>
    <w:rsid w:val="0072629A"/>
    <w:rsid w:val="0072640E"/>
    <w:rsid w:val="007264AB"/>
    <w:rsid w:val="007264C6"/>
    <w:rsid w:val="007264FE"/>
    <w:rsid w:val="00726512"/>
    <w:rsid w:val="00726559"/>
    <w:rsid w:val="00726560"/>
    <w:rsid w:val="00726562"/>
    <w:rsid w:val="007265B4"/>
    <w:rsid w:val="007265CC"/>
    <w:rsid w:val="007266BE"/>
    <w:rsid w:val="00726744"/>
    <w:rsid w:val="007268B1"/>
    <w:rsid w:val="007269DB"/>
    <w:rsid w:val="007269F8"/>
    <w:rsid w:val="00726A26"/>
    <w:rsid w:val="00726A84"/>
    <w:rsid w:val="00726A8E"/>
    <w:rsid w:val="00726B07"/>
    <w:rsid w:val="00726B52"/>
    <w:rsid w:val="00726C3F"/>
    <w:rsid w:val="00726D6C"/>
    <w:rsid w:val="00726DDD"/>
    <w:rsid w:val="00726E35"/>
    <w:rsid w:val="00726F01"/>
    <w:rsid w:val="00726F24"/>
    <w:rsid w:val="00726F61"/>
    <w:rsid w:val="00726FE6"/>
    <w:rsid w:val="007270B8"/>
    <w:rsid w:val="007270FE"/>
    <w:rsid w:val="00727162"/>
    <w:rsid w:val="00727240"/>
    <w:rsid w:val="0072729F"/>
    <w:rsid w:val="007272B7"/>
    <w:rsid w:val="007272E2"/>
    <w:rsid w:val="007273C3"/>
    <w:rsid w:val="007275BD"/>
    <w:rsid w:val="0072761D"/>
    <w:rsid w:val="0072765C"/>
    <w:rsid w:val="007277AE"/>
    <w:rsid w:val="00727806"/>
    <w:rsid w:val="007278AD"/>
    <w:rsid w:val="00727945"/>
    <w:rsid w:val="00727968"/>
    <w:rsid w:val="00727A35"/>
    <w:rsid w:val="00727A3A"/>
    <w:rsid w:val="00727BC6"/>
    <w:rsid w:val="00727D34"/>
    <w:rsid w:val="00727D45"/>
    <w:rsid w:val="00727EC5"/>
    <w:rsid w:val="00727F1F"/>
    <w:rsid w:val="007300E4"/>
    <w:rsid w:val="0073014A"/>
    <w:rsid w:val="0073019B"/>
    <w:rsid w:val="0073028D"/>
    <w:rsid w:val="00730427"/>
    <w:rsid w:val="0073042F"/>
    <w:rsid w:val="00730444"/>
    <w:rsid w:val="007305D8"/>
    <w:rsid w:val="00730611"/>
    <w:rsid w:val="00730674"/>
    <w:rsid w:val="00730775"/>
    <w:rsid w:val="0073077D"/>
    <w:rsid w:val="0073077F"/>
    <w:rsid w:val="00730922"/>
    <w:rsid w:val="00730B7C"/>
    <w:rsid w:val="00730CD1"/>
    <w:rsid w:val="00730CFD"/>
    <w:rsid w:val="00730DB5"/>
    <w:rsid w:val="00730E25"/>
    <w:rsid w:val="00730E4F"/>
    <w:rsid w:val="00730FA5"/>
    <w:rsid w:val="0073116F"/>
    <w:rsid w:val="007311AB"/>
    <w:rsid w:val="0073130F"/>
    <w:rsid w:val="00731310"/>
    <w:rsid w:val="00731312"/>
    <w:rsid w:val="0073131C"/>
    <w:rsid w:val="00731476"/>
    <w:rsid w:val="00731561"/>
    <w:rsid w:val="0073158B"/>
    <w:rsid w:val="0073174B"/>
    <w:rsid w:val="00731752"/>
    <w:rsid w:val="007317D3"/>
    <w:rsid w:val="007318AC"/>
    <w:rsid w:val="00731A95"/>
    <w:rsid w:val="00731AB0"/>
    <w:rsid w:val="00731B15"/>
    <w:rsid w:val="00731B6B"/>
    <w:rsid w:val="00731C38"/>
    <w:rsid w:val="00731C6B"/>
    <w:rsid w:val="00731C7A"/>
    <w:rsid w:val="00731CAB"/>
    <w:rsid w:val="00731D3C"/>
    <w:rsid w:val="00731DA5"/>
    <w:rsid w:val="00731E30"/>
    <w:rsid w:val="00731E79"/>
    <w:rsid w:val="00731F11"/>
    <w:rsid w:val="00731F3B"/>
    <w:rsid w:val="00731F3E"/>
    <w:rsid w:val="00731F4C"/>
    <w:rsid w:val="00731F70"/>
    <w:rsid w:val="00731FAF"/>
    <w:rsid w:val="0073204F"/>
    <w:rsid w:val="0073211B"/>
    <w:rsid w:val="00732197"/>
    <w:rsid w:val="007322FA"/>
    <w:rsid w:val="00732454"/>
    <w:rsid w:val="007324B6"/>
    <w:rsid w:val="0073252A"/>
    <w:rsid w:val="0073255D"/>
    <w:rsid w:val="007325C2"/>
    <w:rsid w:val="00732759"/>
    <w:rsid w:val="007327AF"/>
    <w:rsid w:val="007327B3"/>
    <w:rsid w:val="00732835"/>
    <w:rsid w:val="0073297D"/>
    <w:rsid w:val="007329DD"/>
    <w:rsid w:val="007329F0"/>
    <w:rsid w:val="00732B90"/>
    <w:rsid w:val="00732D22"/>
    <w:rsid w:val="00732E66"/>
    <w:rsid w:val="00732EF9"/>
    <w:rsid w:val="00732F5E"/>
    <w:rsid w:val="00732F76"/>
    <w:rsid w:val="0073320E"/>
    <w:rsid w:val="007332E9"/>
    <w:rsid w:val="00733339"/>
    <w:rsid w:val="00733418"/>
    <w:rsid w:val="00733499"/>
    <w:rsid w:val="00733586"/>
    <w:rsid w:val="0073359D"/>
    <w:rsid w:val="007335A6"/>
    <w:rsid w:val="0073361D"/>
    <w:rsid w:val="007336F2"/>
    <w:rsid w:val="0073374C"/>
    <w:rsid w:val="00733793"/>
    <w:rsid w:val="007339A4"/>
    <w:rsid w:val="007339BD"/>
    <w:rsid w:val="00733AAB"/>
    <w:rsid w:val="00733C35"/>
    <w:rsid w:val="00733C4D"/>
    <w:rsid w:val="00733F86"/>
    <w:rsid w:val="00733FBA"/>
    <w:rsid w:val="00733FE9"/>
    <w:rsid w:val="00734015"/>
    <w:rsid w:val="007341A7"/>
    <w:rsid w:val="00734209"/>
    <w:rsid w:val="0073425A"/>
    <w:rsid w:val="00734308"/>
    <w:rsid w:val="00734484"/>
    <w:rsid w:val="00734580"/>
    <w:rsid w:val="007345AB"/>
    <w:rsid w:val="00734722"/>
    <w:rsid w:val="0073481F"/>
    <w:rsid w:val="00734823"/>
    <w:rsid w:val="0073482B"/>
    <w:rsid w:val="00734954"/>
    <w:rsid w:val="007349A4"/>
    <w:rsid w:val="007349CA"/>
    <w:rsid w:val="00734A74"/>
    <w:rsid w:val="00734A8B"/>
    <w:rsid w:val="00734A9A"/>
    <w:rsid w:val="00734BDF"/>
    <w:rsid w:val="00734C5B"/>
    <w:rsid w:val="00734C71"/>
    <w:rsid w:val="00734CDC"/>
    <w:rsid w:val="00734D02"/>
    <w:rsid w:val="00734D04"/>
    <w:rsid w:val="00734D83"/>
    <w:rsid w:val="00734F9B"/>
    <w:rsid w:val="00734FA4"/>
    <w:rsid w:val="00734FD3"/>
    <w:rsid w:val="00734FFE"/>
    <w:rsid w:val="007350FC"/>
    <w:rsid w:val="007351EB"/>
    <w:rsid w:val="007353AA"/>
    <w:rsid w:val="00735482"/>
    <w:rsid w:val="007354BC"/>
    <w:rsid w:val="007354F3"/>
    <w:rsid w:val="00735510"/>
    <w:rsid w:val="00735517"/>
    <w:rsid w:val="00735532"/>
    <w:rsid w:val="00735541"/>
    <w:rsid w:val="0073574E"/>
    <w:rsid w:val="00735787"/>
    <w:rsid w:val="007358DE"/>
    <w:rsid w:val="00735C04"/>
    <w:rsid w:val="00735CA1"/>
    <w:rsid w:val="00735CCA"/>
    <w:rsid w:val="00735D5A"/>
    <w:rsid w:val="00735E4F"/>
    <w:rsid w:val="00735E72"/>
    <w:rsid w:val="00735F28"/>
    <w:rsid w:val="00735F6E"/>
    <w:rsid w:val="00735FEC"/>
    <w:rsid w:val="00736009"/>
    <w:rsid w:val="0073600B"/>
    <w:rsid w:val="007360EA"/>
    <w:rsid w:val="007361A6"/>
    <w:rsid w:val="007361DA"/>
    <w:rsid w:val="007363B1"/>
    <w:rsid w:val="00736415"/>
    <w:rsid w:val="0073641B"/>
    <w:rsid w:val="0073647A"/>
    <w:rsid w:val="007364C6"/>
    <w:rsid w:val="00736509"/>
    <w:rsid w:val="007365D8"/>
    <w:rsid w:val="00736612"/>
    <w:rsid w:val="00736677"/>
    <w:rsid w:val="007367FC"/>
    <w:rsid w:val="0073681D"/>
    <w:rsid w:val="0073683E"/>
    <w:rsid w:val="007368CB"/>
    <w:rsid w:val="0073696E"/>
    <w:rsid w:val="007369CC"/>
    <w:rsid w:val="00736B3D"/>
    <w:rsid w:val="00736C19"/>
    <w:rsid w:val="00736CB7"/>
    <w:rsid w:val="00736D7C"/>
    <w:rsid w:val="00736DC2"/>
    <w:rsid w:val="00736F5E"/>
    <w:rsid w:val="00736F89"/>
    <w:rsid w:val="0073709E"/>
    <w:rsid w:val="007370E0"/>
    <w:rsid w:val="00737164"/>
    <w:rsid w:val="00737195"/>
    <w:rsid w:val="007374A9"/>
    <w:rsid w:val="007375B0"/>
    <w:rsid w:val="007375FD"/>
    <w:rsid w:val="00737726"/>
    <w:rsid w:val="00737859"/>
    <w:rsid w:val="0073785E"/>
    <w:rsid w:val="007378D5"/>
    <w:rsid w:val="007379F0"/>
    <w:rsid w:val="00737A08"/>
    <w:rsid w:val="00737A5E"/>
    <w:rsid w:val="00737AD9"/>
    <w:rsid w:val="00737B1A"/>
    <w:rsid w:val="00737E91"/>
    <w:rsid w:val="00737F5E"/>
    <w:rsid w:val="00740170"/>
    <w:rsid w:val="0074017D"/>
    <w:rsid w:val="007401A2"/>
    <w:rsid w:val="007402C5"/>
    <w:rsid w:val="007404A2"/>
    <w:rsid w:val="007404E7"/>
    <w:rsid w:val="007404F4"/>
    <w:rsid w:val="00740645"/>
    <w:rsid w:val="0074065E"/>
    <w:rsid w:val="00740853"/>
    <w:rsid w:val="0074091B"/>
    <w:rsid w:val="0074097B"/>
    <w:rsid w:val="00740AB4"/>
    <w:rsid w:val="00740B07"/>
    <w:rsid w:val="00740C24"/>
    <w:rsid w:val="00740E45"/>
    <w:rsid w:val="00740E9A"/>
    <w:rsid w:val="00740F8E"/>
    <w:rsid w:val="00740FBB"/>
    <w:rsid w:val="00740FC7"/>
    <w:rsid w:val="00740FD4"/>
    <w:rsid w:val="00740FE9"/>
    <w:rsid w:val="00741025"/>
    <w:rsid w:val="0074120B"/>
    <w:rsid w:val="0074126E"/>
    <w:rsid w:val="00741283"/>
    <w:rsid w:val="007412EE"/>
    <w:rsid w:val="00741331"/>
    <w:rsid w:val="00741393"/>
    <w:rsid w:val="007413D2"/>
    <w:rsid w:val="007413E2"/>
    <w:rsid w:val="007415A3"/>
    <w:rsid w:val="00741750"/>
    <w:rsid w:val="00741863"/>
    <w:rsid w:val="007418AB"/>
    <w:rsid w:val="00741918"/>
    <w:rsid w:val="00741B7A"/>
    <w:rsid w:val="00741BC4"/>
    <w:rsid w:val="00741BE9"/>
    <w:rsid w:val="00741CF4"/>
    <w:rsid w:val="00741D79"/>
    <w:rsid w:val="00741DFF"/>
    <w:rsid w:val="00741E14"/>
    <w:rsid w:val="00741E88"/>
    <w:rsid w:val="00741F88"/>
    <w:rsid w:val="00742073"/>
    <w:rsid w:val="0074213D"/>
    <w:rsid w:val="007421ED"/>
    <w:rsid w:val="0074227B"/>
    <w:rsid w:val="007423AB"/>
    <w:rsid w:val="007423F3"/>
    <w:rsid w:val="00742599"/>
    <w:rsid w:val="0074288F"/>
    <w:rsid w:val="007428CD"/>
    <w:rsid w:val="007428D6"/>
    <w:rsid w:val="0074294B"/>
    <w:rsid w:val="00742A66"/>
    <w:rsid w:val="00742B40"/>
    <w:rsid w:val="00742B90"/>
    <w:rsid w:val="00742BC7"/>
    <w:rsid w:val="00742BFB"/>
    <w:rsid w:val="00742C45"/>
    <w:rsid w:val="00742D1B"/>
    <w:rsid w:val="00742D6E"/>
    <w:rsid w:val="00742E52"/>
    <w:rsid w:val="00742F16"/>
    <w:rsid w:val="00742FA8"/>
    <w:rsid w:val="0074305E"/>
    <w:rsid w:val="007431AC"/>
    <w:rsid w:val="00743287"/>
    <w:rsid w:val="0074336C"/>
    <w:rsid w:val="0074337E"/>
    <w:rsid w:val="00743427"/>
    <w:rsid w:val="007434AA"/>
    <w:rsid w:val="00743554"/>
    <w:rsid w:val="0074355F"/>
    <w:rsid w:val="007435DC"/>
    <w:rsid w:val="00743639"/>
    <w:rsid w:val="0074365A"/>
    <w:rsid w:val="007436AD"/>
    <w:rsid w:val="0074389F"/>
    <w:rsid w:val="00743AE8"/>
    <w:rsid w:val="00743B04"/>
    <w:rsid w:val="00743C6D"/>
    <w:rsid w:val="00743CBC"/>
    <w:rsid w:val="00743D0C"/>
    <w:rsid w:val="00743DF4"/>
    <w:rsid w:val="00743FD6"/>
    <w:rsid w:val="00744018"/>
    <w:rsid w:val="00744035"/>
    <w:rsid w:val="00744041"/>
    <w:rsid w:val="0074408D"/>
    <w:rsid w:val="007440AD"/>
    <w:rsid w:val="00744125"/>
    <w:rsid w:val="00744137"/>
    <w:rsid w:val="0074422E"/>
    <w:rsid w:val="007442AB"/>
    <w:rsid w:val="007442D2"/>
    <w:rsid w:val="00744412"/>
    <w:rsid w:val="00744496"/>
    <w:rsid w:val="007446AD"/>
    <w:rsid w:val="007447A7"/>
    <w:rsid w:val="007447E5"/>
    <w:rsid w:val="00744879"/>
    <w:rsid w:val="007448DD"/>
    <w:rsid w:val="00744920"/>
    <w:rsid w:val="00744954"/>
    <w:rsid w:val="00744A05"/>
    <w:rsid w:val="00744A28"/>
    <w:rsid w:val="00744BF9"/>
    <w:rsid w:val="00744C79"/>
    <w:rsid w:val="00744CAF"/>
    <w:rsid w:val="00744E85"/>
    <w:rsid w:val="00744FC9"/>
    <w:rsid w:val="00744FD9"/>
    <w:rsid w:val="00745089"/>
    <w:rsid w:val="0074518A"/>
    <w:rsid w:val="00745191"/>
    <w:rsid w:val="007451BC"/>
    <w:rsid w:val="0074521C"/>
    <w:rsid w:val="007452BA"/>
    <w:rsid w:val="00745325"/>
    <w:rsid w:val="00745376"/>
    <w:rsid w:val="00745413"/>
    <w:rsid w:val="0074541E"/>
    <w:rsid w:val="007454B2"/>
    <w:rsid w:val="00745519"/>
    <w:rsid w:val="0074560A"/>
    <w:rsid w:val="00745630"/>
    <w:rsid w:val="007456AF"/>
    <w:rsid w:val="007456B0"/>
    <w:rsid w:val="007456BF"/>
    <w:rsid w:val="00745724"/>
    <w:rsid w:val="007457D0"/>
    <w:rsid w:val="007458AD"/>
    <w:rsid w:val="007458DA"/>
    <w:rsid w:val="00745907"/>
    <w:rsid w:val="00745961"/>
    <w:rsid w:val="007459A0"/>
    <w:rsid w:val="007459AB"/>
    <w:rsid w:val="007459FE"/>
    <w:rsid w:val="00745CBE"/>
    <w:rsid w:val="00745D5B"/>
    <w:rsid w:val="00746052"/>
    <w:rsid w:val="007460B7"/>
    <w:rsid w:val="007460CC"/>
    <w:rsid w:val="007460DC"/>
    <w:rsid w:val="0074616B"/>
    <w:rsid w:val="0074628C"/>
    <w:rsid w:val="00746324"/>
    <w:rsid w:val="007463AB"/>
    <w:rsid w:val="0074646A"/>
    <w:rsid w:val="0074648A"/>
    <w:rsid w:val="00746544"/>
    <w:rsid w:val="007465B0"/>
    <w:rsid w:val="007465D1"/>
    <w:rsid w:val="007465DF"/>
    <w:rsid w:val="0074662A"/>
    <w:rsid w:val="00746657"/>
    <w:rsid w:val="007466E4"/>
    <w:rsid w:val="0074673F"/>
    <w:rsid w:val="007467A4"/>
    <w:rsid w:val="00746813"/>
    <w:rsid w:val="0074681D"/>
    <w:rsid w:val="00746902"/>
    <w:rsid w:val="0074694E"/>
    <w:rsid w:val="00746A28"/>
    <w:rsid w:val="00746ACC"/>
    <w:rsid w:val="00746AEE"/>
    <w:rsid w:val="00746B81"/>
    <w:rsid w:val="00746C82"/>
    <w:rsid w:val="00746CB2"/>
    <w:rsid w:val="00746F38"/>
    <w:rsid w:val="00746F76"/>
    <w:rsid w:val="00747179"/>
    <w:rsid w:val="0074723A"/>
    <w:rsid w:val="0074733E"/>
    <w:rsid w:val="0074737A"/>
    <w:rsid w:val="007473D5"/>
    <w:rsid w:val="0074740C"/>
    <w:rsid w:val="00747412"/>
    <w:rsid w:val="00747578"/>
    <w:rsid w:val="0074768E"/>
    <w:rsid w:val="007476BC"/>
    <w:rsid w:val="007476D1"/>
    <w:rsid w:val="007476E7"/>
    <w:rsid w:val="00747743"/>
    <w:rsid w:val="00747874"/>
    <w:rsid w:val="00747987"/>
    <w:rsid w:val="0074799F"/>
    <w:rsid w:val="00747A6D"/>
    <w:rsid w:val="00747AA0"/>
    <w:rsid w:val="00747BD2"/>
    <w:rsid w:val="00747C23"/>
    <w:rsid w:val="00747D90"/>
    <w:rsid w:val="00747F05"/>
    <w:rsid w:val="00747F88"/>
    <w:rsid w:val="00747F9B"/>
    <w:rsid w:val="0075006C"/>
    <w:rsid w:val="007500EF"/>
    <w:rsid w:val="00750352"/>
    <w:rsid w:val="00750476"/>
    <w:rsid w:val="007504F6"/>
    <w:rsid w:val="00750541"/>
    <w:rsid w:val="0075054A"/>
    <w:rsid w:val="007507DE"/>
    <w:rsid w:val="007507FC"/>
    <w:rsid w:val="00750899"/>
    <w:rsid w:val="007508F1"/>
    <w:rsid w:val="00750A21"/>
    <w:rsid w:val="00750A62"/>
    <w:rsid w:val="00750A8D"/>
    <w:rsid w:val="00750AD8"/>
    <w:rsid w:val="00750B00"/>
    <w:rsid w:val="00750B12"/>
    <w:rsid w:val="00750C6D"/>
    <w:rsid w:val="00750D36"/>
    <w:rsid w:val="00750E27"/>
    <w:rsid w:val="00750E38"/>
    <w:rsid w:val="00750F28"/>
    <w:rsid w:val="00750F3F"/>
    <w:rsid w:val="00750FB0"/>
    <w:rsid w:val="00751087"/>
    <w:rsid w:val="0075119A"/>
    <w:rsid w:val="0075119D"/>
    <w:rsid w:val="007512B1"/>
    <w:rsid w:val="00751352"/>
    <w:rsid w:val="00751516"/>
    <w:rsid w:val="0075152E"/>
    <w:rsid w:val="007515E9"/>
    <w:rsid w:val="00751667"/>
    <w:rsid w:val="00751698"/>
    <w:rsid w:val="0075181F"/>
    <w:rsid w:val="00751902"/>
    <w:rsid w:val="00751917"/>
    <w:rsid w:val="00751999"/>
    <w:rsid w:val="007519A3"/>
    <w:rsid w:val="00751BC2"/>
    <w:rsid w:val="00751BC8"/>
    <w:rsid w:val="00751CBE"/>
    <w:rsid w:val="00751D37"/>
    <w:rsid w:val="00751D65"/>
    <w:rsid w:val="00751DD4"/>
    <w:rsid w:val="00751FCC"/>
    <w:rsid w:val="0075207A"/>
    <w:rsid w:val="007521B0"/>
    <w:rsid w:val="00752246"/>
    <w:rsid w:val="007522AF"/>
    <w:rsid w:val="0075230D"/>
    <w:rsid w:val="00752322"/>
    <w:rsid w:val="0075236A"/>
    <w:rsid w:val="0075239F"/>
    <w:rsid w:val="0075248E"/>
    <w:rsid w:val="007524DE"/>
    <w:rsid w:val="0075258A"/>
    <w:rsid w:val="007525C0"/>
    <w:rsid w:val="00752638"/>
    <w:rsid w:val="007527DD"/>
    <w:rsid w:val="00752812"/>
    <w:rsid w:val="007528A5"/>
    <w:rsid w:val="007528BA"/>
    <w:rsid w:val="0075292B"/>
    <w:rsid w:val="007529A1"/>
    <w:rsid w:val="00752AD7"/>
    <w:rsid w:val="00752B4F"/>
    <w:rsid w:val="00752BF5"/>
    <w:rsid w:val="00752C17"/>
    <w:rsid w:val="00752C19"/>
    <w:rsid w:val="00752C85"/>
    <w:rsid w:val="00752CB8"/>
    <w:rsid w:val="00752D08"/>
    <w:rsid w:val="00752DA3"/>
    <w:rsid w:val="00752DCF"/>
    <w:rsid w:val="00752DE5"/>
    <w:rsid w:val="00752DFD"/>
    <w:rsid w:val="00752E37"/>
    <w:rsid w:val="00752E93"/>
    <w:rsid w:val="00752EBC"/>
    <w:rsid w:val="00752F2E"/>
    <w:rsid w:val="00752F46"/>
    <w:rsid w:val="00752FCB"/>
    <w:rsid w:val="00753035"/>
    <w:rsid w:val="0075309F"/>
    <w:rsid w:val="007530AE"/>
    <w:rsid w:val="007531FD"/>
    <w:rsid w:val="00753213"/>
    <w:rsid w:val="00753258"/>
    <w:rsid w:val="00753276"/>
    <w:rsid w:val="007532ED"/>
    <w:rsid w:val="00753427"/>
    <w:rsid w:val="007534A4"/>
    <w:rsid w:val="007534A6"/>
    <w:rsid w:val="007534E9"/>
    <w:rsid w:val="00753519"/>
    <w:rsid w:val="00753646"/>
    <w:rsid w:val="007536B9"/>
    <w:rsid w:val="0075373D"/>
    <w:rsid w:val="007539D2"/>
    <w:rsid w:val="00753A3C"/>
    <w:rsid w:val="00753A64"/>
    <w:rsid w:val="00753AFB"/>
    <w:rsid w:val="00753B0C"/>
    <w:rsid w:val="00753B32"/>
    <w:rsid w:val="00753DB3"/>
    <w:rsid w:val="00753EC0"/>
    <w:rsid w:val="00753F15"/>
    <w:rsid w:val="00753FFC"/>
    <w:rsid w:val="00754047"/>
    <w:rsid w:val="0075405F"/>
    <w:rsid w:val="00754121"/>
    <w:rsid w:val="00754172"/>
    <w:rsid w:val="00754250"/>
    <w:rsid w:val="0075426C"/>
    <w:rsid w:val="00754273"/>
    <w:rsid w:val="007542C1"/>
    <w:rsid w:val="00754350"/>
    <w:rsid w:val="00754406"/>
    <w:rsid w:val="00754421"/>
    <w:rsid w:val="00754431"/>
    <w:rsid w:val="0075465F"/>
    <w:rsid w:val="007546C1"/>
    <w:rsid w:val="00754773"/>
    <w:rsid w:val="0075484B"/>
    <w:rsid w:val="007548C4"/>
    <w:rsid w:val="007549A0"/>
    <w:rsid w:val="00754A30"/>
    <w:rsid w:val="00754A86"/>
    <w:rsid w:val="00754AA9"/>
    <w:rsid w:val="00754B03"/>
    <w:rsid w:val="00754C05"/>
    <w:rsid w:val="00754C24"/>
    <w:rsid w:val="00754E17"/>
    <w:rsid w:val="00754E38"/>
    <w:rsid w:val="00754EBD"/>
    <w:rsid w:val="00754ED4"/>
    <w:rsid w:val="00755041"/>
    <w:rsid w:val="007550A0"/>
    <w:rsid w:val="0075527C"/>
    <w:rsid w:val="0075538B"/>
    <w:rsid w:val="007553EE"/>
    <w:rsid w:val="007555AE"/>
    <w:rsid w:val="00755694"/>
    <w:rsid w:val="007556D9"/>
    <w:rsid w:val="007558F5"/>
    <w:rsid w:val="00755926"/>
    <w:rsid w:val="00755B6A"/>
    <w:rsid w:val="00755C11"/>
    <w:rsid w:val="00755C15"/>
    <w:rsid w:val="00755C23"/>
    <w:rsid w:val="00755C30"/>
    <w:rsid w:val="00755C3E"/>
    <w:rsid w:val="00755C8F"/>
    <w:rsid w:val="00755D5D"/>
    <w:rsid w:val="00755DC2"/>
    <w:rsid w:val="00755F2D"/>
    <w:rsid w:val="00755F8B"/>
    <w:rsid w:val="0075604F"/>
    <w:rsid w:val="00756091"/>
    <w:rsid w:val="007560A8"/>
    <w:rsid w:val="00756118"/>
    <w:rsid w:val="007561BF"/>
    <w:rsid w:val="00756208"/>
    <w:rsid w:val="007562FF"/>
    <w:rsid w:val="00756452"/>
    <w:rsid w:val="0075646E"/>
    <w:rsid w:val="007566AB"/>
    <w:rsid w:val="0075675A"/>
    <w:rsid w:val="0075684C"/>
    <w:rsid w:val="00756877"/>
    <w:rsid w:val="00756957"/>
    <w:rsid w:val="007569CA"/>
    <w:rsid w:val="00756AE0"/>
    <w:rsid w:val="00756BBA"/>
    <w:rsid w:val="00756BCA"/>
    <w:rsid w:val="00756C31"/>
    <w:rsid w:val="00756C4C"/>
    <w:rsid w:val="00756D2D"/>
    <w:rsid w:val="00756DCE"/>
    <w:rsid w:val="00756E73"/>
    <w:rsid w:val="00756F3F"/>
    <w:rsid w:val="00756FA3"/>
    <w:rsid w:val="00756FF9"/>
    <w:rsid w:val="007570A5"/>
    <w:rsid w:val="007570B1"/>
    <w:rsid w:val="007571FD"/>
    <w:rsid w:val="007572E6"/>
    <w:rsid w:val="0075740B"/>
    <w:rsid w:val="00757415"/>
    <w:rsid w:val="0075756D"/>
    <w:rsid w:val="00757583"/>
    <w:rsid w:val="007575E0"/>
    <w:rsid w:val="0075763D"/>
    <w:rsid w:val="0075767C"/>
    <w:rsid w:val="00757832"/>
    <w:rsid w:val="00757836"/>
    <w:rsid w:val="0075799A"/>
    <w:rsid w:val="007579C5"/>
    <w:rsid w:val="00757AAB"/>
    <w:rsid w:val="00757ADA"/>
    <w:rsid w:val="00757B5A"/>
    <w:rsid w:val="00757BE9"/>
    <w:rsid w:val="00757CDF"/>
    <w:rsid w:val="00757DD8"/>
    <w:rsid w:val="00757F43"/>
    <w:rsid w:val="00757F55"/>
    <w:rsid w:val="00757F6E"/>
    <w:rsid w:val="0076005C"/>
    <w:rsid w:val="00760169"/>
    <w:rsid w:val="007601CF"/>
    <w:rsid w:val="0076021B"/>
    <w:rsid w:val="00760402"/>
    <w:rsid w:val="00760479"/>
    <w:rsid w:val="00760669"/>
    <w:rsid w:val="007606BB"/>
    <w:rsid w:val="00760831"/>
    <w:rsid w:val="00760BD2"/>
    <w:rsid w:val="00760D73"/>
    <w:rsid w:val="00760D98"/>
    <w:rsid w:val="00760DAD"/>
    <w:rsid w:val="00760DBF"/>
    <w:rsid w:val="00760E6F"/>
    <w:rsid w:val="00760E94"/>
    <w:rsid w:val="00760EEC"/>
    <w:rsid w:val="00760F6E"/>
    <w:rsid w:val="00760F70"/>
    <w:rsid w:val="0076110E"/>
    <w:rsid w:val="0076112F"/>
    <w:rsid w:val="0076116D"/>
    <w:rsid w:val="007611B6"/>
    <w:rsid w:val="00761231"/>
    <w:rsid w:val="00761388"/>
    <w:rsid w:val="00761407"/>
    <w:rsid w:val="00761529"/>
    <w:rsid w:val="007615A3"/>
    <w:rsid w:val="00761713"/>
    <w:rsid w:val="00761735"/>
    <w:rsid w:val="0076178B"/>
    <w:rsid w:val="007617A2"/>
    <w:rsid w:val="007617D2"/>
    <w:rsid w:val="00761839"/>
    <w:rsid w:val="0076183F"/>
    <w:rsid w:val="0076192B"/>
    <w:rsid w:val="00761936"/>
    <w:rsid w:val="007619E5"/>
    <w:rsid w:val="00761AEE"/>
    <w:rsid w:val="00761B2E"/>
    <w:rsid w:val="00761B3B"/>
    <w:rsid w:val="00761BFE"/>
    <w:rsid w:val="00761D7B"/>
    <w:rsid w:val="00761D87"/>
    <w:rsid w:val="00761D88"/>
    <w:rsid w:val="00761DC6"/>
    <w:rsid w:val="00761E1A"/>
    <w:rsid w:val="00761E55"/>
    <w:rsid w:val="00762031"/>
    <w:rsid w:val="007620FA"/>
    <w:rsid w:val="00762164"/>
    <w:rsid w:val="007621A5"/>
    <w:rsid w:val="007621DB"/>
    <w:rsid w:val="007621DE"/>
    <w:rsid w:val="00762206"/>
    <w:rsid w:val="0076228C"/>
    <w:rsid w:val="00762372"/>
    <w:rsid w:val="00762553"/>
    <w:rsid w:val="00762578"/>
    <w:rsid w:val="00762580"/>
    <w:rsid w:val="007626A3"/>
    <w:rsid w:val="00762801"/>
    <w:rsid w:val="00762895"/>
    <w:rsid w:val="007629BF"/>
    <w:rsid w:val="00762C5D"/>
    <w:rsid w:val="00762C87"/>
    <w:rsid w:val="00762E62"/>
    <w:rsid w:val="00762EF4"/>
    <w:rsid w:val="00762F40"/>
    <w:rsid w:val="00763040"/>
    <w:rsid w:val="00763109"/>
    <w:rsid w:val="0076319E"/>
    <w:rsid w:val="00763210"/>
    <w:rsid w:val="0076338D"/>
    <w:rsid w:val="007633D7"/>
    <w:rsid w:val="0076341E"/>
    <w:rsid w:val="00763513"/>
    <w:rsid w:val="00763572"/>
    <w:rsid w:val="007635AD"/>
    <w:rsid w:val="00763634"/>
    <w:rsid w:val="007636FF"/>
    <w:rsid w:val="0076374B"/>
    <w:rsid w:val="00763811"/>
    <w:rsid w:val="00763845"/>
    <w:rsid w:val="00763852"/>
    <w:rsid w:val="0076389B"/>
    <w:rsid w:val="007638F6"/>
    <w:rsid w:val="0076391F"/>
    <w:rsid w:val="00763C43"/>
    <w:rsid w:val="00763C67"/>
    <w:rsid w:val="00763CEC"/>
    <w:rsid w:val="00763D2C"/>
    <w:rsid w:val="00763E86"/>
    <w:rsid w:val="00763E9D"/>
    <w:rsid w:val="00763EC1"/>
    <w:rsid w:val="00763F4C"/>
    <w:rsid w:val="00763F5F"/>
    <w:rsid w:val="00763FA3"/>
    <w:rsid w:val="00763FDA"/>
    <w:rsid w:val="00763FFD"/>
    <w:rsid w:val="007640D1"/>
    <w:rsid w:val="00764177"/>
    <w:rsid w:val="007641B4"/>
    <w:rsid w:val="00764307"/>
    <w:rsid w:val="00764361"/>
    <w:rsid w:val="00764431"/>
    <w:rsid w:val="00764473"/>
    <w:rsid w:val="00764769"/>
    <w:rsid w:val="0076480C"/>
    <w:rsid w:val="00764823"/>
    <w:rsid w:val="007649A9"/>
    <w:rsid w:val="00764ACD"/>
    <w:rsid w:val="00764B3F"/>
    <w:rsid w:val="00764BDA"/>
    <w:rsid w:val="00764CD4"/>
    <w:rsid w:val="00764CF8"/>
    <w:rsid w:val="00764D55"/>
    <w:rsid w:val="00764D80"/>
    <w:rsid w:val="00764E0F"/>
    <w:rsid w:val="00764EFC"/>
    <w:rsid w:val="00764FED"/>
    <w:rsid w:val="00764FF8"/>
    <w:rsid w:val="0076500B"/>
    <w:rsid w:val="007650E2"/>
    <w:rsid w:val="007650E8"/>
    <w:rsid w:val="007651E8"/>
    <w:rsid w:val="0076528E"/>
    <w:rsid w:val="007652BB"/>
    <w:rsid w:val="007652C5"/>
    <w:rsid w:val="007652F7"/>
    <w:rsid w:val="0076534A"/>
    <w:rsid w:val="00765457"/>
    <w:rsid w:val="0076548A"/>
    <w:rsid w:val="0076557D"/>
    <w:rsid w:val="00765676"/>
    <w:rsid w:val="00765738"/>
    <w:rsid w:val="00765777"/>
    <w:rsid w:val="0076593A"/>
    <w:rsid w:val="00765A3E"/>
    <w:rsid w:val="00765B0C"/>
    <w:rsid w:val="00765BB3"/>
    <w:rsid w:val="00765D24"/>
    <w:rsid w:val="00765D40"/>
    <w:rsid w:val="00765D9E"/>
    <w:rsid w:val="00765DA1"/>
    <w:rsid w:val="00765EEC"/>
    <w:rsid w:val="00765FEA"/>
    <w:rsid w:val="0076616B"/>
    <w:rsid w:val="0076618E"/>
    <w:rsid w:val="0076634D"/>
    <w:rsid w:val="0076635E"/>
    <w:rsid w:val="00766385"/>
    <w:rsid w:val="007663D1"/>
    <w:rsid w:val="007664B9"/>
    <w:rsid w:val="0076653F"/>
    <w:rsid w:val="0076660B"/>
    <w:rsid w:val="0076662F"/>
    <w:rsid w:val="0076675D"/>
    <w:rsid w:val="0076688E"/>
    <w:rsid w:val="00766B2F"/>
    <w:rsid w:val="00766B4D"/>
    <w:rsid w:val="00766BCC"/>
    <w:rsid w:val="00766BD2"/>
    <w:rsid w:val="00766BED"/>
    <w:rsid w:val="00766D3C"/>
    <w:rsid w:val="00766E87"/>
    <w:rsid w:val="00766EEC"/>
    <w:rsid w:val="00766EF2"/>
    <w:rsid w:val="00766F5F"/>
    <w:rsid w:val="00766F63"/>
    <w:rsid w:val="00767197"/>
    <w:rsid w:val="0076721B"/>
    <w:rsid w:val="00767242"/>
    <w:rsid w:val="007672EF"/>
    <w:rsid w:val="00767323"/>
    <w:rsid w:val="0076738C"/>
    <w:rsid w:val="0076745D"/>
    <w:rsid w:val="0076749B"/>
    <w:rsid w:val="007674AE"/>
    <w:rsid w:val="00767557"/>
    <w:rsid w:val="0076774E"/>
    <w:rsid w:val="007677B9"/>
    <w:rsid w:val="007677E3"/>
    <w:rsid w:val="007679AE"/>
    <w:rsid w:val="007679B0"/>
    <w:rsid w:val="007679CE"/>
    <w:rsid w:val="00767A98"/>
    <w:rsid w:val="00767C1D"/>
    <w:rsid w:val="00767C3B"/>
    <w:rsid w:val="00767DA1"/>
    <w:rsid w:val="00767E0C"/>
    <w:rsid w:val="00767E2F"/>
    <w:rsid w:val="00767E7A"/>
    <w:rsid w:val="00767F1A"/>
    <w:rsid w:val="00767FC1"/>
    <w:rsid w:val="00767FFB"/>
    <w:rsid w:val="00770031"/>
    <w:rsid w:val="00770076"/>
    <w:rsid w:val="007701B3"/>
    <w:rsid w:val="0077026E"/>
    <w:rsid w:val="00770275"/>
    <w:rsid w:val="007703A4"/>
    <w:rsid w:val="0077040F"/>
    <w:rsid w:val="00770424"/>
    <w:rsid w:val="00770491"/>
    <w:rsid w:val="0077053F"/>
    <w:rsid w:val="007705BF"/>
    <w:rsid w:val="0077063F"/>
    <w:rsid w:val="007708AA"/>
    <w:rsid w:val="007708D7"/>
    <w:rsid w:val="0077096F"/>
    <w:rsid w:val="00770B60"/>
    <w:rsid w:val="00770BB6"/>
    <w:rsid w:val="00770C3E"/>
    <w:rsid w:val="00770C6C"/>
    <w:rsid w:val="00770C7A"/>
    <w:rsid w:val="00770C82"/>
    <w:rsid w:val="00770F76"/>
    <w:rsid w:val="00770F93"/>
    <w:rsid w:val="00770F94"/>
    <w:rsid w:val="00770FCB"/>
    <w:rsid w:val="00770FEA"/>
    <w:rsid w:val="007710A8"/>
    <w:rsid w:val="007710C2"/>
    <w:rsid w:val="00771160"/>
    <w:rsid w:val="007712EC"/>
    <w:rsid w:val="007712F2"/>
    <w:rsid w:val="0077132D"/>
    <w:rsid w:val="007713C1"/>
    <w:rsid w:val="0077151B"/>
    <w:rsid w:val="007715C0"/>
    <w:rsid w:val="0077169C"/>
    <w:rsid w:val="00771779"/>
    <w:rsid w:val="00771828"/>
    <w:rsid w:val="007718A1"/>
    <w:rsid w:val="007718E5"/>
    <w:rsid w:val="00771ACF"/>
    <w:rsid w:val="00771B03"/>
    <w:rsid w:val="00771C08"/>
    <w:rsid w:val="00771C49"/>
    <w:rsid w:val="00771C87"/>
    <w:rsid w:val="00771CA1"/>
    <w:rsid w:val="00771D33"/>
    <w:rsid w:val="00771D90"/>
    <w:rsid w:val="00771DDD"/>
    <w:rsid w:val="00771E4E"/>
    <w:rsid w:val="00771F15"/>
    <w:rsid w:val="00771FF5"/>
    <w:rsid w:val="0077203B"/>
    <w:rsid w:val="007721E2"/>
    <w:rsid w:val="0077238B"/>
    <w:rsid w:val="00772391"/>
    <w:rsid w:val="007723DB"/>
    <w:rsid w:val="00772511"/>
    <w:rsid w:val="00772545"/>
    <w:rsid w:val="007725B6"/>
    <w:rsid w:val="00772714"/>
    <w:rsid w:val="00772766"/>
    <w:rsid w:val="007727DA"/>
    <w:rsid w:val="007727DB"/>
    <w:rsid w:val="00772828"/>
    <w:rsid w:val="007728C7"/>
    <w:rsid w:val="00772923"/>
    <w:rsid w:val="0077292D"/>
    <w:rsid w:val="00772C9E"/>
    <w:rsid w:val="00772CC8"/>
    <w:rsid w:val="00772DBE"/>
    <w:rsid w:val="00772E5E"/>
    <w:rsid w:val="00772F93"/>
    <w:rsid w:val="007730A4"/>
    <w:rsid w:val="007730C6"/>
    <w:rsid w:val="0077316D"/>
    <w:rsid w:val="007731C8"/>
    <w:rsid w:val="00773274"/>
    <w:rsid w:val="007732A6"/>
    <w:rsid w:val="007733F6"/>
    <w:rsid w:val="00773413"/>
    <w:rsid w:val="0077348E"/>
    <w:rsid w:val="007734A9"/>
    <w:rsid w:val="0077371C"/>
    <w:rsid w:val="0077375E"/>
    <w:rsid w:val="007737CD"/>
    <w:rsid w:val="007738FA"/>
    <w:rsid w:val="0077399E"/>
    <w:rsid w:val="007739F6"/>
    <w:rsid w:val="00773A97"/>
    <w:rsid w:val="00773B63"/>
    <w:rsid w:val="00773BB3"/>
    <w:rsid w:val="00773D2D"/>
    <w:rsid w:val="0077409C"/>
    <w:rsid w:val="00774128"/>
    <w:rsid w:val="007741B1"/>
    <w:rsid w:val="0077428F"/>
    <w:rsid w:val="00774334"/>
    <w:rsid w:val="007743DF"/>
    <w:rsid w:val="00774430"/>
    <w:rsid w:val="0077445C"/>
    <w:rsid w:val="00774506"/>
    <w:rsid w:val="00774597"/>
    <w:rsid w:val="007746A7"/>
    <w:rsid w:val="007746D3"/>
    <w:rsid w:val="0077472B"/>
    <w:rsid w:val="00774765"/>
    <w:rsid w:val="00774799"/>
    <w:rsid w:val="007748F2"/>
    <w:rsid w:val="00774909"/>
    <w:rsid w:val="00774923"/>
    <w:rsid w:val="00774955"/>
    <w:rsid w:val="00774A80"/>
    <w:rsid w:val="00774AA3"/>
    <w:rsid w:val="00774AE5"/>
    <w:rsid w:val="00774B29"/>
    <w:rsid w:val="00774CD1"/>
    <w:rsid w:val="00774D28"/>
    <w:rsid w:val="00774F88"/>
    <w:rsid w:val="00774FFB"/>
    <w:rsid w:val="00775049"/>
    <w:rsid w:val="007750A1"/>
    <w:rsid w:val="00775112"/>
    <w:rsid w:val="007751AC"/>
    <w:rsid w:val="00775293"/>
    <w:rsid w:val="00775305"/>
    <w:rsid w:val="0077530A"/>
    <w:rsid w:val="0077531D"/>
    <w:rsid w:val="00775326"/>
    <w:rsid w:val="00775593"/>
    <w:rsid w:val="00775654"/>
    <w:rsid w:val="0077576D"/>
    <w:rsid w:val="007757DD"/>
    <w:rsid w:val="0077587B"/>
    <w:rsid w:val="0077587C"/>
    <w:rsid w:val="00775930"/>
    <w:rsid w:val="00775963"/>
    <w:rsid w:val="0077599F"/>
    <w:rsid w:val="00775A21"/>
    <w:rsid w:val="00775A26"/>
    <w:rsid w:val="00775A9F"/>
    <w:rsid w:val="00775AB7"/>
    <w:rsid w:val="00775AB9"/>
    <w:rsid w:val="00775B5C"/>
    <w:rsid w:val="00775BCE"/>
    <w:rsid w:val="00775C41"/>
    <w:rsid w:val="00775D63"/>
    <w:rsid w:val="00775DFA"/>
    <w:rsid w:val="00775E50"/>
    <w:rsid w:val="00775E56"/>
    <w:rsid w:val="00775F13"/>
    <w:rsid w:val="00775F4E"/>
    <w:rsid w:val="0077602E"/>
    <w:rsid w:val="0077605C"/>
    <w:rsid w:val="007760D6"/>
    <w:rsid w:val="00776165"/>
    <w:rsid w:val="00776250"/>
    <w:rsid w:val="00776261"/>
    <w:rsid w:val="0077639D"/>
    <w:rsid w:val="007764A3"/>
    <w:rsid w:val="0077662F"/>
    <w:rsid w:val="0077664A"/>
    <w:rsid w:val="00776705"/>
    <w:rsid w:val="0077679D"/>
    <w:rsid w:val="007768AA"/>
    <w:rsid w:val="007768DE"/>
    <w:rsid w:val="00776A0F"/>
    <w:rsid w:val="00776A3D"/>
    <w:rsid w:val="00776AA3"/>
    <w:rsid w:val="00776B28"/>
    <w:rsid w:val="00776B5A"/>
    <w:rsid w:val="00776B85"/>
    <w:rsid w:val="00776B91"/>
    <w:rsid w:val="00776C07"/>
    <w:rsid w:val="00776C7D"/>
    <w:rsid w:val="00776C86"/>
    <w:rsid w:val="00776DC9"/>
    <w:rsid w:val="00776DE4"/>
    <w:rsid w:val="00776E12"/>
    <w:rsid w:val="00776E4A"/>
    <w:rsid w:val="00776F16"/>
    <w:rsid w:val="00776FAA"/>
    <w:rsid w:val="00776FEC"/>
    <w:rsid w:val="00776FF1"/>
    <w:rsid w:val="0077704B"/>
    <w:rsid w:val="00777095"/>
    <w:rsid w:val="007770F6"/>
    <w:rsid w:val="00777226"/>
    <w:rsid w:val="00777288"/>
    <w:rsid w:val="0077729F"/>
    <w:rsid w:val="007772C5"/>
    <w:rsid w:val="00777313"/>
    <w:rsid w:val="00777368"/>
    <w:rsid w:val="00777393"/>
    <w:rsid w:val="0077743A"/>
    <w:rsid w:val="0077745A"/>
    <w:rsid w:val="007774F8"/>
    <w:rsid w:val="007774F9"/>
    <w:rsid w:val="007775AE"/>
    <w:rsid w:val="007775B6"/>
    <w:rsid w:val="007776EA"/>
    <w:rsid w:val="007777F9"/>
    <w:rsid w:val="00777982"/>
    <w:rsid w:val="00777A91"/>
    <w:rsid w:val="00777AA8"/>
    <w:rsid w:val="00777AF9"/>
    <w:rsid w:val="00777B89"/>
    <w:rsid w:val="00777BE3"/>
    <w:rsid w:val="00777C50"/>
    <w:rsid w:val="00777CA4"/>
    <w:rsid w:val="00777CE4"/>
    <w:rsid w:val="00777D62"/>
    <w:rsid w:val="00777DD9"/>
    <w:rsid w:val="00777E6F"/>
    <w:rsid w:val="00777ED3"/>
    <w:rsid w:val="00777EF4"/>
    <w:rsid w:val="00777F08"/>
    <w:rsid w:val="00780060"/>
    <w:rsid w:val="00780067"/>
    <w:rsid w:val="007800D5"/>
    <w:rsid w:val="00780171"/>
    <w:rsid w:val="007801A2"/>
    <w:rsid w:val="007801BD"/>
    <w:rsid w:val="007801E3"/>
    <w:rsid w:val="007801E9"/>
    <w:rsid w:val="00780382"/>
    <w:rsid w:val="00780412"/>
    <w:rsid w:val="00780414"/>
    <w:rsid w:val="00780441"/>
    <w:rsid w:val="00780456"/>
    <w:rsid w:val="00780474"/>
    <w:rsid w:val="007804F4"/>
    <w:rsid w:val="00780687"/>
    <w:rsid w:val="00780793"/>
    <w:rsid w:val="00780A41"/>
    <w:rsid w:val="00780B47"/>
    <w:rsid w:val="00780D16"/>
    <w:rsid w:val="00780DE4"/>
    <w:rsid w:val="00780F97"/>
    <w:rsid w:val="00781026"/>
    <w:rsid w:val="00781067"/>
    <w:rsid w:val="0078108D"/>
    <w:rsid w:val="007810E4"/>
    <w:rsid w:val="00781110"/>
    <w:rsid w:val="00781185"/>
    <w:rsid w:val="00781253"/>
    <w:rsid w:val="007812A9"/>
    <w:rsid w:val="00781336"/>
    <w:rsid w:val="00781338"/>
    <w:rsid w:val="00781474"/>
    <w:rsid w:val="0078154F"/>
    <w:rsid w:val="00781570"/>
    <w:rsid w:val="00781584"/>
    <w:rsid w:val="007815B8"/>
    <w:rsid w:val="00781615"/>
    <w:rsid w:val="00781632"/>
    <w:rsid w:val="00781641"/>
    <w:rsid w:val="007816C6"/>
    <w:rsid w:val="007816E9"/>
    <w:rsid w:val="007817CA"/>
    <w:rsid w:val="007818EB"/>
    <w:rsid w:val="0078191C"/>
    <w:rsid w:val="00781A00"/>
    <w:rsid w:val="00781AC5"/>
    <w:rsid w:val="00781B1A"/>
    <w:rsid w:val="00781B65"/>
    <w:rsid w:val="00781BCF"/>
    <w:rsid w:val="00781D24"/>
    <w:rsid w:val="00781DF7"/>
    <w:rsid w:val="00781EEC"/>
    <w:rsid w:val="00781EEE"/>
    <w:rsid w:val="00781F0E"/>
    <w:rsid w:val="00781FAD"/>
    <w:rsid w:val="0078202D"/>
    <w:rsid w:val="0078203C"/>
    <w:rsid w:val="007820DD"/>
    <w:rsid w:val="0078217A"/>
    <w:rsid w:val="00782185"/>
    <w:rsid w:val="00782223"/>
    <w:rsid w:val="00782310"/>
    <w:rsid w:val="00782421"/>
    <w:rsid w:val="007824BC"/>
    <w:rsid w:val="007824FE"/>
    <w:rsid w:val="00782660"/>
    <w:rsid w:val="0078268D"/>
    <w:rsid w:val="00782819"/>
    <w:rsid w:val="00782A38"/>
    <w:rsid w:val="00782C88"/>
    <w:rsid w:val="00782CCE"/>
    <w:rsid w:val="00782DFF"/>
    <w:rsid w:val="00782EF0"/>
    <w:rsid w:val="00782F2C"/>
    <w:rsid w:val="007830CD"/>
    <w:rsid w:val="007830EB"/>
    <w:rsid w:val="00783137"/>
    <w:rsid w:val="00783197"/>
    <w:rsid w:val="007831C7"/>
    <w:rsid w:val="0078324F"/>
    <w:rsid w:val="007832BE"/>
    <w:rsid w:val="0078330F"/>
    <w:rsid w:val="0078338E"/>
    <w:rsid w:val="0078343F"/>
    <w:rsid w:val="007834DC"/>
    <w:rsid w:val="007836A8"/>
    <w:rsid w:val="00783716"/>
    <w:rsid w:val="007837C2"/>
    <w:rsid w:val="007837D8"/>
    <w:rsid w:val="0078383D"/>
    <w:rsid w:val="007838E5"/>
    <w:rsid w:val="00783946"/>
    <w:rsid w:val="007839B8"/>
    <w:rsid w:val="00783A0E"/>
    <w:rsid w:val="00783B00"/>
    <w:rsid w:val="00783C21"/>
    <w:rsid w:val="00783D41"/>
    <w:rsid w:val="00783D5D"/>
    <w:rsid w:val="00783D6A"/>
    <w:rsid w:val="00783DBF"/>
    <w:rsid w:val="00783EEF"/>
    <w:rsid w:val="00783F17"/>
    <w:rsid w:val="00783FFD"/>
    <w:rsid w:val="0078424E"/>
    <w:rsid w:val="00784268"/>
    <w:rsid w:val="007842AD"/>
    <w:rsid w:val="00784407"/>
    <w:rsid w:val="007844E6"/>
    <w:rsid w:val="00784543"/>
    <w:rsid w:val="00784594"/>
    <w:rsid w:val="007845D2"/>
    <w:rsid w:val="0078465E"/>
    <w:rsid w:val="007846A4"/>
    <w:rsid w:val="007846E3"/>
    <w:rsid w:val="007846EC"/>
    <w:rsid w:val="0078470A"/>
    <w:rsid w:val="00784724"/>
    <w:rsid w:val="007847C7"/>
    <w:rsid w:val="00784855"/>
    <w:rsid w:val="007848B2"/>
    <w:rsid w:val="007848EC"/>
    <w:rsid w:val="00784977"/>
    <w:rsid w:val="00784A15"/>
    <w:rsid w:val="00784AE7"/>
    <w:rsid w:val="00784B27"/>
    <w:rsid w:val="00784B2A"/>
    <w:rsid w:val="00784B60"/>
    <w:rsid w:val="00784B92"/>
    <w:rsid w:val="00784BBB"/>
    <w:rsid w:val="00784CED"/>
    <w:rsid w:val="00784E91"/>
    <w:rsid w:val="00785261"/>
    <w:rsid w:val="00785274"/>
    <w:rsid w:val="0078528A"/>
    <w:rsid w:val="007853F3"/>
    <w:rsid w:val="0078540B"/>
    <w:rsid w:val="00785593"/>
    <w:rsid w:val="00785594"/>
    <w:rsid w:val="007857C6"/>
    <w:rsid w:val="00785AA6"/>
    <w:rsid w:val="00785AAB"/>
    <w:rsid w:val="00785ACB"/>
    <w:rsid w:val="00785AD7"/>
    <w:rsid w:val="00785AF1"/>
    <w:rsid w:val="00785B24"/>
    <w:rsid w:val="00785B87"/>
    <w:rsid w:val="00785BE1"/>
    <w:rsid w:val="00785C21"/>
    <w:rsid w:val="00785D52"/>
    <w:rsid w:val="00785E75"/>
    <w:rsid w:val="00785E77"/>
    <w:rsid w:val="00785F6A"/>
    <w:rsid w:val="00786048"/>
    <w:rsid w:val="00786091"/>
    <w:rsid w:val="007860E9"/>
    <w:rsid w:val="0078615B"/>
    <w:rsid w:val="0078616C"/>
    <w:rsid w:val="0078616F"/>
    <w:rsid w:val="0078632B"/>
    <w:rsid w:val="007864D4"/>
    <w:rsid w:val="00786798"/>
    <w:rsid w:val="007867C5"/>
    <w:rsid w:val="0078680C"/>
    <w:rsid w:val="00786840"/>
    <w:rsid w:val="00786996"/>
    <w:rsid w:val="00786A5D"/>
    <w:rsid w:val="00786B8E"/>
    <w:rsid w:val="00786C20"/>
    <w:rsid w:val="00786C2F"/>
    <w:rsid w:val="00786C9A"/>
    <w:rsid w:val="00786D76"/>
    <w:rsid w:val="00786F3B"/>
    <w:rsid w:val="00787139"/>
    <w:rsid w:val="00787189"/>
    <w:rsid w:val="00787212"/>
    <w:rsid w:val="007872FF"/>
    <w:rsid w:val="0078738D"/>
    <w:rsid w:val="007873C2"/>
    <w:rsid w:val="00787412"/>
    <w:rsid w:val="007877BC"/>
    <w:rsid w:val="007877D0"/>
    <w:rsid w:val="00787817"/>
    <w:rsid w:val="00787996"/>
    <w:rsid w:val="007879D8"/>
    <w:rsid w:val="00787ABB"/>
    <w:rsid w:val="00787B70"/>
    <w:rsid w:val="00787B9B"/>
    <w:rsid w:val="00787BA3"/>
    <w:rsid w:val="00787C51"/>
    <w:rsid w:val="00787CF5"/>
    <w:rsid w:val="00787E8C"/>
    <w:rsid w:val="00787ED8"/>
    <w:rsid w:val="00787F1B"/>
    <w:rsid w:val="00787FA1"/>
    <w:rsid w:val="00790013"/>
    <w:rsid w:val="00790286"/>
    <w:rsid w:val="0079048C"/>
    <w:rsid w:val="007904C4"/>
    <w:rsid w:val="00790581"/>
    <w:rsid w:val="00790592"/>
    <w:rsid w:val="0079063B"/>
    <w:rsid w:val="0079072B"/>
    <w:rsid w:val="007907C2"/>
    <w:rsid w:val="007907CB"/>
    <w:rsid w:val="0079087E"/>
    <w:rsid w:val="00790AAD"/>
    <w:rsid w:val="00790B06"/>
    <w:rsid w:val="00790BD1"/>
    <w:rsid w:val="00790C0B"/>
    <w:rsid w:val="00790D3B"/>
    <w:rsid w:val="00790E21"/>
    <w:rsid w:val="00790E29"/>
    <w:rsid w:val="00790E8A"/>
    <w:rsid w:val="00790F9D"/>
    <w:rsid w:val="0079100F"/>
    <w:rsid w:val="007910A8"/>
    <w:rsid w:val="007911FC"/>
    <w:rsid w:val="0079137A"/>
    <w:rsid w:val="00791469"/>
    <w:rsid w:val="007914B0"/>
    <w:rsid w:val="007914BB"/>
    <w:rsid w:val="00791592"/>
    <w:rsid w:val="007915B5"/>
    <w:rsid w:val="0079163E"/>
    <w:rsid w:val="0079168D"/>
    <w:rsid w:val="0079173C"/>
    <w:rsid w:val="007917C8"/>
    <w:rsid w:val="00791999"/>
    <w:rsid w:val="007919C6"/>
    <w:rsid w:val="00791A55"/>
    <w:rsid w:val="00791A88"/>
    <w:rsid w:val="00791B1B"/>
    <w:rsid w:val="00791BA7"/>
    <w:rsid w:val="00791BB7"/>
    <w:rsid w:val="00791BC1"/>
    <w:rsid w:val="00791BE7"/>
    <w:rsid w:val="00791C03"/>
    <w:rsid w:val="00791CD0"/>
    <w:rsid w:val="00791CFE"/>
    <w:rsid w:val="00791D46"/>
    <w:rsid w:val="00791DD6"/>
    <w:rsid w:val="00791E7E"/>
    <w:rsid w:val="00791E7F"/>
    <w:rsid w:val="00791F09"/>
    <w:rsid w:val="00791F7F"/>
    <w:rsid w:val="00792039"/>
    <w:rsid w:val="00792173"/>
    <w:rsid w:val="0079218C"/>
    <w:rsid w:val="007921F9"/>
    <w:rsid w:val="00792248"/>
    <w:rsid w:val="00792280"/>
    <w:rsid w:val="0079235C"/>
    <w:rsid w:val="0079239A"/>
    <w:rsid w:val="0079249A"/>
    <w:rsid w:val="007924E9"/>
    <w:rsid w:val="00792503"/>
    <w:rsid w:val="007925A1"/>
    <w:rsid w:val="00792659"/>
    <w:rsid w:val="0079266D"/>
    <w:rsid w:val="00792712"/>
    <w:rsid w:val="0079275E"/>
    <w:rsid w:val="0079276F"/>
    <w:rsid w:val="007927AC"/>
    <w:rsid w:val="0079288F"/>
    <w:rsid w:val="00792917"/>
    <w:rsid w:val="007929B5"/>
    <w:rsid w:val="007929FE"/>
    <w:rsid w:val="00792A77"/>
    <w:rsid w:val="00792AC3"/>
    <w:rsid w:val="00792B35"/>
    <w:rsid w:val="00792B37"/>
    <w:rsid w:val="00792C85"/>
    <w:rsid w:val="00792D02"/>
    <w:rsid w:val="00792DD3"/>
    <w:rsid w:val="00792E18"/>
    <w:rsid w:val="00792F1D"/>
    <w:rsid w:val="00792FA1"/>
    <w:rsid w:val="0079301C"/>
    <w:rsid w:val="00793107"/>
    <w:rsid w:val="0079323B"/>
    <w:rsid w:val="007932F9"/>
    <w:rsid w:val="00793354"/>
    <w:rsid w:val="00793421"/>
    <w:rsid w:val="00793574"/>
    <w:rsid w:val="0079368F"/>
    <w:rsid w:val="007936DE"/>
    <w:rsid w:val="00793745"/>
    <w:rsid w:val="0079375D"/>
    <w:rsid w:val="007937BE"/>
    <w:rsid w:val="007937D0"/>
    <w:rsid w:val="00793919"/>
    <w:rsid w:val="00793930"/>
    <w:rsid w:val="00793A16"/>
    <w:rsid w:val="00793A71"/>
    <w:rsid w:val="00793B55"/>
    <w:rsid w:val="00793B57"/>
    <w:rsid w:val="00793DB9"/>
    <w:rsid w:val="00793E19"/>
    <w:rsid w:val="00793E2F"/>
    <w:rsid w:val="00793E50"/>
    <w:rsid w:val="00793ED3"/>
    <w:rsid w:val="00793F03"/>
    <w:rsid w:val="00793F37"/>
    <w:rsid w:val="00794030"/>
    <w:rsid w:val="00794039"/>
    <w:rsid w:val="0079422D"/>
    <w:rsid w:val="0079424A"/>
    <w:rsid w:val="0079425F"/>
    <w:rsid w:val="007942D8"/>
    <w:rsid w:val="007943B2"/>
    <w:rsid w:val="00794402"/>
    <w:rsid w:val="00794548"/>
    <w:rsid w:val="00794576"/>
    <w:rsid w:val="007945A7"/>
    <w:rsid w:val="007946C6"/>
    <w:rsid w:val="007946D0"/>
    <w:rsid w:val="007946ED"/>
    <w:rsid w:val="0079478E"/>
    <w:rsid w:val="007947CC"/>
    <w:rsid w:val="0079481B"/>
    <w:rsid w:val="00794895"/>
    <w:rsid w:val="007948BE"/>
    <w:rsid w:val="007948D9"/>
    <w:rsid w:val="00794940"/>
    <w:rsid w:val="007949A3"/>
    <w:rsid w:val="007949FC"/>
    <w:rsid w:val="00794A00"/>
    <w:rsid w:val="00794AA2"/>
    <w:rsid w:val="00794B56"/>
    <w:rsid w:val="00794B62"/>
    <w:rsid w:val="00794C69"/>
    <w:rsid w:val="00794CE9"/>
    <w:rsid w:val="00794D51"/>
    <w:rsid w:val="00794E3E"/>
    <w:rsid w:val="00794E6F"/>
    <w:rsid w:val="00794F09"/>
    <w:rsid w:val="00794F3A"/>
    <w:rsid w:val="00794FAB"/>
    <w:rsid w:val="00794FC0"/>
    <w:rsid w:val="00795135"/>
    <w:rsid w:val="007952B9"/>
    <w:rsid w:val="0079533E"/>
    <w:rsid w:val="0079558E"/>
    <w:rsid w:val="007955A1"/>
    <w:rsid w:val="00795602"/>
    <w:rsid w:val="007956B4"/>
    <w:rsid w:val="007956D6"/>
    <w:rsid w:val="0079574A"/>
    <w:rsid w:val="0079577F"/>
    <w:rsid w:val="0079592D"/>
    <w:rsid w:val="00795A0B"/>
    <w:rsid w:val="00795BB5"/>
    <w:rsid w:val="00795C26"/>
    <w:rsid w:val="00795CEA"/>
    <w:rsid w:val="00795D3D"/>
    <w:rsid w:val="00795E54"/>
    <w:rsid w:val="00795EC4"/>
    <w:rsid w:val="00795F76"/>
    <w:rsid w:val="0079603B"/>
    <w:rsid w:val="007960C1"/>
    <w:rsid w:val="00796149"/>
    <w:rsid w:val="007961A1"/>
    <w:rsid w:val="007961A2"/>
    <w:rsid w:val="0079635F"/>
    <w:rsid w:val="00796504"/>
    <w:rsid w:val="00796512"/>
    <w:rsid w:val="007965AD"/>
    <w:rsid w:val="007966F7"/>
    <w:rsid w:val="0079673B"/>
    <w:rsid w:val="00796773"/>
    <w:rsid w:val="007967C5"/>
    <w:rsid w:val="00796804"/>
    <w:rsid w:val="007968C0"/>
    <w:rsid w:val="007968E5"/>
    <w:rsid w:val="00796925"/>
    <w:rsid w:val="00796954"/>
    <w:rsid w:val="007969E6"/>
    <w:rsid w:val="00796B9F"/>
    <w:rsid w:val="00796C2A"/>
    <w:rsid w:val="00797004"/>
    <w:rsid w:val="007971DD"/>
    <w:rsid w:val="00797277"/>
    <w:rsid w:val="00797284"/>
    <w:rsid w:val="007973B6"/>
    <w:rsid w:val="007974A0"/>
    <w:rsid w:val="00797588"/>
    <w:rsid w:val="00797589"/>
    <w:rsid w:val="007976D3"/>
    <w:rsid w:val="0079774B"/>
    <w:rsid w:val="00797764"/>
    <w:rsid w:val="007977D8"/>
    <w:rsid w:val="007977FA"/>
    <w:rsid w:val="007979BC"/>
    <w:rsid w:val="007979F6"/>
    <w:rsid w:val="00797B3D"/>
    <w:rsid w:val="00797BB3"/>
    <w:rsid w:val="00797CB9"/>
    <w:rsid w:val="00797CCE"/>
    <w:rsid w:val="00797CF7"/>
    <w:rsid w:val="00797D0F"/>
    <w:rsid w:val="00797D9D"/>
    <w:rsid w:val="00797E38"/>
    <w:rsid w:val="00797ECB"/>
    <w:rsid w:val="00797F35"/>
    <w:rsid w:val="00797FF2"/>
    <w:rsid w:val="007A0167"/>
    <w:rsid w:val="007A01D5"/>
    <w:rsid w:val="007A01DA"/>
    <w:rsid w:val="007A03D9"/>
    <w:rsid w:val="007A0599"/>
    <w:rsid w:val="007A07A4"/>
    <w:rsid w:val="007A09D7"/>
    <w:rsid w:val="007A09D8"/>
    <w:rsid w:val="007A0A52"/>
    <w:rsid w:val="007A0A83"/>
    <w:rsid w:val="007A0C39"/>
    <w:rsid w:val="007A0DA2"/>
    <w:rsid w:val="007A0E31"/>
    <w:rsid w:val="007A0E43"/>
    <w:rsid w:val="007A0EE4"/>
    <w:rsid w:val="007A0EFA"/>
    <w:rsid w:val="007A0F01"/>
    <w:rsid w:val="007A0F0B"/>
    <w:rsid w:val="007A0F6E"/>
    <w:rsid w:val="007A106B"/>
    <w:rsid w:val="007A10C6"/>
    <w:rsid w:val="007A1265"/>
    <w:rsid w:val="007A12EA"/>
    <w:rsid w:val="007A1306"/>
    <w:rsid w:val="007A1382"/>
    <w:rsid w:val="007A1460"/>
    <w:rsid w:val="007A1476"/>
    <w:rsid w:val="007A1487"/>
    <w:rsid w:val="007A14C1"/>
    <w:rsid w:val="007A14CA"/>
    <w:rsid w:val="007A160F"/>
    <w:rsid w:val="007A1813"/>
    <w:rsid w:val="007A1852"/>
    <w:rsid w:val="007A1ABA"/>
    <w:rsid w:val="007A1C82"/>
    <w:rsid w:val="007A1D9C"/>
    <w:rsid w:val="007A1EE8"/>
    <w:rsid w:val="007A1EF7"/>
    <w:rsid w:val="007A1FAC"/>
    <w:rsid w:val="007A20C6"/>
    <w:rsid w:val="007A2203"/>
    <w:rsid w:val="007A2315"/>
    <w:rsid w:val="007A23CC"/>
    <w:rsid w:val="007A256C"/>
    <w:rsid w:val="007A259B"/>
    <w:rsid w:val="007A25A4"/>
    <w:rsid w:val="007A2602"/>
    <w:rsid w:val="007A264E"/>
    <w:rsid w:val="007A2675"/>
    <w:rsid w:val="007A268D"/>
    <w:rsid w:val="007A26ED"/>
    <w:rsid w:val="007A2741"/>
    <w:rsid w:val="007A27B3"/>
    <w:rsid w:val="007A2839"/>
    <w:rsid w:val="007A2882"/>
    <w:rsid w:val="007A28D8"/>
    <w:rsid w:val="007A29E5"/>
    <w:rsid w:val="007A29E9"/>
    <w:rsid w:val="007A29FE"/>
    <w:rsid w:val="007A2A6D"/>
    <w:rsid w:val="007A2A72"/>
    <w:rsid w:val="007A2B2A"/>
    <w:rsid w:val="007A2D72"/>
    <w:rsid w:val="007A2DA6"/>
    <w:rsid w:val="007A2E13"/>
    <w:rsid w:val="007A2E35"/>
    <w:rsid w:val="007A2E8B"/>
    <w:rsid w:val="007A2EBA"/>
    <w:rsid w:val="007A2F72"/>
    <w:rsid w:val="007A2FC7"/>
    <w:rsid w:val="007A3056"/>
    <w:rsid w:val="007A3090"/>
    <w:rsid w:val="007A31D4"/>
    <w:rsid w:val="007A32AA"/>
    <w:rsid w:val="007A337C"/>
    <w:rsid w:val="007A33BE"/>
    <w:rsid w:val="007A34D2"/>
    <w:rsid w:val="007A3578"/>
    <w:rsid w:val="007A35DB"/>
    <w:rsid w:val="007A35E1"/>
    <w:rsid w:val="007A37F1"/>
    <w:rsid w:val="007A3861"/>
    <w:rsid w:val="007A3929"/>
    <w:rsid w:val="007A3937"/>
    <w:rsid w:val="007A3A34"/>
    <w:rsid w:val="007A3B10"/>
    <w:rsid w:val="007A3B1C"/>
    <w:rsid w:val="007A3B74"/>
    <w:rsid w:val="007A3C4E"/>
    <w:rsid w:val="007A3D85"/>
    <w:rsid w:val="007A3DE0"/>
    <w:rsid w:val="007A3E4C"/>
    <w:rsid w:val="007A3EEC"/>
    <w:rsid w:val="007A40A8"/>
    <w:rsid w:val="007A40F9"/>
    <w:rsid w:val="007A416D"/>
    <w:rsid w:val="007A43C0"/>
    <w:rsid w:val="007A4495"/>
    <w:rsid w:val="007A44E5"/>
    <w:rsid w:val="007A456F"/>
    <w:rsid w:val="007A4646"/>
    <w:rsid w:val="007A47EA"/>
    <w:rsid w:val="007A4872"/>
    <w:rsid w:val="007A4957"/>
    <w:rsid w:val="007A49D8"/>
    <w:rsid w:val="007A4A6B"/>
    <w:rsid w:val="007A4A78"/>
    <w:rsid w:val="007A4B08"/>
    <w:rsid w:val="007A4B96"/>
    <w:rsid w:val="007A4BB8"/>
    <w:rsid w:val="007A4C4A"/>
    <w:rsid w:val="007A4CF6"/>
    <w:rsid w:val="007A4D53"/>
    <w:rsid w:val="007A4DFD"/>
    <w:rsid w:val="007A4F16"/>
    <w:rsid w:val="007A4F21"/>
    <w:rsid w:val="007A4F38"/>
    <w:rsid w:val="007A4FD0"/>
    <w:rsid w:val="007A5021"/>
    <w:rsid w:val="007A50CA"/>
    <w:rsid w:val="007A5160"/>
    <w:rsid w:val="007A53C9"/>
    <w:rsid w:val="007A548D"/>
    <w:rsid w:val="007A55FA"/>
    <w:rsid w:val="007A5615"/>
    <w:rsid w:val="007A566C"/>
    <w:rsid w:val="007A5671"/>
    <w:rsid w:val="007A5674"/>
    <w:rsid w:val="007A5801"/>
    <w:rsid w:val="007A595B"/>
    <w:rsid w:val="007A59F4"/>
    <w:rsid w:val="007A5C2C"/>
    <w:rsid w:val="007A5CEE"/>
    <w:rsid w:val="007A5D2D"/>
    <w:rsid w:val="007A5D3A"/>
    <w:rsid w:val="007A5E56"/>
    <w:rsid w:val="007A5E74"/>
    <w:rsid w:val="007A5FDE"/>
    <w:rsid w:val="007A6023"/>
    <w:rsid w:val="007A6228"/>
    <w:rsid w:val="007A6241"/>
    <w:rsid w:val="007A642D"/>
    <w:rsid w:val="007A645C"/>
    <w:rsid w:val="007A6468"/>
    <w:rsid w:val="007A649E"/>
    <w:rsid w:val="007A64A0"/>
    <w:rsid w:val="007A6572"/>
    <w:rsid w:val="007A6578"/>
    <w:rsid w:val="007A672C"/>
    <w:rsid w:val="007A67FB"/>
    <w:rsid w:val="007A6824"/>
    <w:rsid w:val="007A694E"/>
    <w:rsid w:val="007A6979"/>
    <w:rsid w:val="007A69C4"/>
    <w:rsid w:val="007A6B69"/>
    <w:rsid w:val="007A6B6A"/>
    <w:rsid w:val="007A6B90"/>
    <w:rsid w:val="007A6C55"/>
    <w:rsid w:val="007A6C9C"/>
    <w:rsid w:val="007A6CAA"/>
    <w:rsid w:val="007A6F14"/>
    <w:rsid w:val="007A6F2F"/>
    <w:rsid w:val="007A70FA"/>
    <w:rsid w:val="007A712C"/>
    <w:rsid w:val="007A714B"/>
    <w:rsid w:val="007A7167"/>
    <w:rsid w:val="007A716B"/>
    <w:rsid w:val="007A71C6"/>
    <w:rsid w:val="007A72DF"/>
    <w:rsid w:val="007A72E0"/>
    <w:rsid w:val="007A72ED"/>
    <w:rsid w:val="007A7332"/>
    <w:rsid w:val="007A73B4"/>
    <w:rsid w:val="007A7503"/>
    <w:rsid w:val="007A752E"/>
    <w:rsid w:val="007A7666"/>
    <w:rsid w:val="007A7771"/>
    <w:rsid w:val="007A7882"/>
    <w:rsid w:val="007A7894"/>
    <w:rsid w:val="007A78ED"/>
    <w:rsid w:val="007A78F7"/>
    <w:rsid w:val="007A7B37"/>
    <w:rsid w:val="007A7B83"/>
    <w:rsid w:val="007A7C9A"/>
    <w:rsid w:val="007A7CB7"/>
    <w:rsid w:val="007A7FEA"/>
    <w:rsid w:val="007B0220"/>
    <w:rsid w:val="007B0256"/>
    <w:rsid w:val="007B02AB"/>
    <w:rsid w:val="007B0367"/>
    <w:rsid w:val="007B03F4"/>
    <w:rsid w:val="007B0709"/>
    <w:rsid w:val="007B0715"/>
    <w:rsid w:val="007B07F7"/>
    <w:rsid w:val="007B085B"/>
    <w:rsid w:val="007B087E"/>
    <w:rsid w:val="007B0896"/>
    <w:rsid w:val="007B0940"/>
    <w:rsid w:val="007B09E7"/>
    <w:rsid w:val="007B0A9C"/>
    <w:rsid w:val="007B0AB1"/>
    <w:rsid w:val="007B0ACD"/>
    <w:rsid w:val="007B0B4F"/>
    <w:rsid w:val="007B0B9B"/>
    <w:rsid w:val="007B0BB1"/>
    <w:rsid w:val="007B0C24"/>
    <w:rsid w:val="007B0DC4"/>
    <w:rsid w:val="007B0DD9"/>
    <w:rsid w:val="007B103E"/>
    <w:rsid w:val="007B1093"/>
    <w:rsid w:val="007B11D8"/>
    <w:rsid w:val="007B1246"/>
    <w:rsid w:val="007B148C"/>
    <w:rsid w:val="007B1517"/>
    <w:rsid w:val="007B165A"/>
    <w:rsid w:val="007B16FD"/>
    <w:rsid w:val="007B19E7"/>
    <w:rsid w:val="007B1AB9"/>
    <w:rsid w:val="007B1D13"/>
    <w:rsid w:val="007B1DE8"/>
    <w:rsid w:val="007B1ECE"/>
    <w:rsid w:val="007B1EDF"/>
    <w:rsid w:val="007B1F0C"/>
    <w:rsid w:val="007B1F15"/>
    <w:rsid w:val="007B1F3A"/>
    <w:rsid w:val="007B2057"/>
    <w:rsid w:val="007B2059"/>
    <w:rsid w:val="007B20FB"/>
    <w:rsid w:val="007B212C"/>
    <w:rsid w:val="007B23AB"/>
    <w:rsid w:val="007B23B9"/>
    <w:rsid w:val="007B23F0"/>
    <w:rsid w:val="007B2453"/>
    <w:rsid w:val="007B246B"/>
    <w:rsid w:val="007B2543"/>
    <w:rsid w:val="007B25AF"/>
    <w:rsid w:val="007B25D1"/>
    <w:rsid w:val="007B2694"/>
    <w:rsid w:val="007B26E8"/>
    <w:rsid w:val="007B275F"/>
    <w:rsid w:val="007B2885"/>
    <w:rsid w:val="007B297F"/>
    <w:rsid w:val="007B298D"/>
    <w:rsid w:val="007B29F5"/>
    <w:rsid w:val="007B2A87"/>
    <w:rsid w:val="007B2B9B"/>
    <w:rsid w:val="007B2BE2"/>
    <w:rsid w:val="007B2C6D"/>
    <w:rsid w:val="007B2D00"/>
    <w:rsid w:val="007B2E1A"/>
    <w:rsid w:val="007B2E9C"/>
    <w:rsid w:val="007B2F4E"/>
    <w:rsid w:val="007B2F77"/>
    <w:rsid w:val="007B2F81"/>
    <w:rsid w:val="007B3080"/>
    <w:rsid w:val="007B3241"/>
    <w:rsid w:val="007B34BC"/>
    <w:rsid w:val="007B3558"/>
    <w:rsid w:val="007B360D"/>
    <w:rsid w:val="007B3641"/>
    <w:rsid w:val="007B36C5"/>
    <w:rsid w:val="007B36DA"/>
    <w:rsid w:val="007B38EA"/>
    <w:rsid w:val="007B38F0"/>
    <w:rsid w:val="007B3995"/>
    <w:rsid w:val="007B39E5"/>
    <w:rsid w:val="007B3BA9"/>
    <w:rsid w:val="007B3D08"/>
    <w:rsid w:val="007B3E35"/>
    <w:rsid w:val="007B3F07"/>
    <w:rsid w:val="007B407B"/>
    <w:rsid w:val="007B4145"/>
    <w:rsid w:val="007B416E"/>
    <w:rsid w:val="007B424D"/>
    <w:rsid w:val="007B434F"/>
    <w:rsid w:val="007B44ED"/>
    <w:rsid w:val="007B45AD"/>
    <w:rsid w:val="007B4621"/>
    <w:rsid w:val="007B47DB"/>
    <w:rsid w:val="007B485C"/>
    <w:rsid w:val="007B4879"/>
    <w:rsid w:val="007B48BB"/>
    <w:rsid w:val="007B48FC"/>
    <w:rsid w:val="007B492C"/>
    <w:rsid w:val="007B4996"/>
    <w:rsid w:val="007B4C2A"/>
    <w:rsid w:val="007B4CE9"/>
    <w:rsid w:val="007B4E1B"/>
    <w:rsid w:val="007B4E4B"/>
    <w:rsid w:val="007B5089"/>
    <w:rsid w:val="007B50BD"/>
    <w:rsid w:val="007B50C6"/>
    <w:rsid w:val="007B518A"/>
    <w:rsid w:val="007B51EC"/>
    <w:rsid w:val="007B51F3"/>
    <w:rsid w:val="007B523F"/>
    <w:rsid w:val="007B52BC"/>
    <w:rsid w:val="007B54BA"/>
    <w:rsid w:val="007B555A"/>
    <w:rsid w:val="007B55DC"/>
    <w:rsid w:val="007B5602"/>
    <w:rsid w:val="007B56AB"/>
    <w:rsid w:val="007B5751"/>
    <w:rsid w:val="007B5762"/>
    <w:rsid w:val="007B5800"/>
    <w:rsid w:val="007B5879"/>
    <w:rsid w:val="007B5884"/>
    <w:rsid w:val="007B58C4"/>
    <w:rsid w:val="007B598B"/>
    <w:rsid w:val="007B5A44"/>
    <w:rsid w:val="007B5B1A"/>
    <w:rsid w:val="007B5C4B"/>
    <w:rsid w:val="007B5CF3"/>
    <w:rsid w:val="007B5CF4"/>
    <w:rsid w:val="007B5D3C"/>
    <w:rsid w:val="007B5E67"/>
    <w:rsid w:val="007B5E8F"/>
    <w:rsid w:val="007B5EA3"/>
    <w:rsid w:val="007B5F11"/>
    <w:rsid w:val="007B5F48"/>
    <w:rsid w:val="007B5F4C"/>
    <w:rsid w:val="007B5F54"/>
    <w:rsid w:val="007B604F"/>
    <w:rsid w:val="007B60A8"/>
    <w:rsid w:val="007B60B0"/>
    <w:rsid w:val="007B6131"/>
    <w:rsid w:val="007B62CA"/>
    <w:rsid w:val="007B63EE"/>
    <w:rsid w:val="007B657C"/>
    <w:rsid w:val="007B65E8"/>
    <w:rsid w:val="007B6630"/>
    <w:rsid w:val="007B664B"/>
    <w:rsid w:val="007B6833"/>
    <w:rsid w:val="007B6937"/>
    <w:rsid w:val="007B696E"/>
    <w:rsid w:val="007B69F2"/>
    <w:rsid w:val="007B6B7D"/>
    <w:rsid w:val="007B6DC7"/>
    <w:rsid w:val="007B6DD0"/>
    <w:rsid w:val="007B6EBE"/>
    <w:rsid w:val="007B6FA3"/>
    <w:rsid w:val="007B7014"/>
    <w:rsid w:val="007B703D"/>
    <w:rsid w:val="007B7140"/>
    <w:rsid w:val="007B71AB"/>
    <w:rsid w:val="007B71EC"/>
    <w:rsid w:val="007B722A"/>
    <w:rsid w:val="007B7259"/>
    <w:rsid w:val="007B7445"/>
    <w:rsid w:val="007B74A0"/>
    <w:rsid w:val="007B7552"/>
    <w:rsid w:val="007B7681"/>
    <w:rsid w:val="007B7702"/>
    <w:rsid w:val="007B7799"/>
    <w:rsid w:val="007B7923"/>
    <w:rsid w:val="007B798E"/>
    <w:rsid w:val="007B7ABC"/>
    <w:rsid w:val="007B7AC1"/>
    <w:rsid w:val="007B7CC1"/>
    <w:rsid w:val="007B7CCA"/>
    <w:rsid w:val="007B7CF1"/>
    <w:rsid w:val="007B7D0B"/>
    <w:rsid w:val="007B7E4F"/>
    <w:rsid w:val="007B7ED0"/>
    <w:rsid w:val="007B7ED2"/>
    <w:rsid w:val="007B7FF5"/>
    <w:rsid w:val="007C0140"/>
    <w:rsid w:val="007C0243"/>
    <w:rsid w:val="007C034A"/>
    <w:rsid w:val="007C038D"/>
    <w:rsid w:val="007C03DA"/>
    <w:rsid w:val="007C0421"/>
    <w:rsid w:val="007C047D"/>
    <w:rsid w:val="007C04C0"/>
    <w:rsid w:val="007C04C8"/>
    <w:rsid w:val="007C0579"/>
    <w:rsid w:val="007C066F"/>
    <w:rsid w:val="007C0678"/>
    <w:rsid w:val="007C067F"/>
    <w:rsid w:val="007C0757"/>
    <w:rsid w:val="007C07B0"/>
    <w:rsid w:val="007C07EE"/>
    <w:rsid w:val="007C097B"/>
    <w:rsid w:val="007C0C51"/>
    <w:rsid w:val="007C0CC9"/>
    <w:rsid w:val="007C0D09"/>
    <w:rsid w:val="007C0DC9"/>
    <w:rsid w:val="007C0DCB"/>
    <w:rsid w:val="007C0E9C"/>
    <w:rsid w:val="007C0EB1"/>
    <w:rsid w:val="007C0EC3"/>
    <w:rsid w:val="007C10E1"/>
    <w:rsid w:val="007C1142"/>
    <w:rsid w:val="007C11AF"/>
    <w:rsid w:val="007C12D1"/>
    <w:rsid w:val="007C13F8"/>
    <w:rsid w:val="007C14EF"/>
    <w:rsid w:val="007C15B0"/>
    <w:rsid w:val="007C162D"/>
    <w:rsid w:val="007C180A"/>
    <w:rsid w:val="007C1867"/>
    <w:rsid w:val="007C18DB"/>
    <w:rsid w:val="007C193D"/>
    <w:rsid w:val="007C1987"/>
    <w:rsid w:val="007C1991"/>
    <w:rsid w:val="007C19AD"/>
    <w:rsid w:val="007C1A74"/>
    <w:rsid w:val="007C1AD6"/>
    <w:rsid w:val="007C1AE7"/>
    <w:rsid w:val="007C1B30"/>
    <w:rsid w:val="007C1B57"/>
    <w:rsid w:val="007C1BE1"/>
    <w:rsid w:val="007C1C3B"/>
    <w:rsid w:val="007C1C54"/>
    <w:rsid w:val="007C1C78"/>
    <w:rsid w:val="007C1CEF"/>
    <w:rsid w:val="007C1DBB"/>
    <w:rsid w:val="007C1E04"/>
    <w:rsid w:val="007C1E43"/>
    <w:rsid w:val="007C1F06"/>
    <w:rsid w:val="007C20A2"/>
    <w:rsid w:val="007C217B"/>
    <w:rsid w:val="007C217D"/>
    <w:rsid w:val="007C222B"/>
    <w:rsid w:val="007C239C"/>
    <w:rsid w:val="007C23EE"/>
    <w:rsid w:val="007C2407"/>
    <w:rsid w:val="007C2449"/>
    <w:rsid w:val="007C26BF"/>
    <w:rsid w:val="007C27FC"/>
    <w:rsid w:val="007C28C6"/>
    <w:rsid w:val="007C2962"/>
    <w:rsid w:val="007C299D"/>
    <w:rsid w:val="007C2A76"/>
    <w:rsid w:val="007C2B6F"/>
    <w:rsid w:val="007C2B83"/>
    <w:rsid w:val="007C2BE7"/>
    <w:rsid w:val="007C2C06"/>
    <w:rsid w:val="007C2CD0"/>
    <w:rsid w:val="007C2CFA"/>
    <w:rsid w:val="007C2D67"/>
    <w:rsid w:val="007C300E"/>
    <w:rsid w:val="007C3026"/>
    <w:rsid w:val="007C30D7"/>
    <w:rsid w:val="007C31AF"/>
    <w:rsid w:val="007C31C0"/>
    <w:rsid w:val="007C31DB"/>
    <w:rsid w:val="007C338A"/>
    <w:rsid w:val="007C3399"/>
    <w:rsid w:val="007C33E5"/>
    <w:rsid w:val="007C341F"/>
    <w:rsid w:val="007C3489"/>
    <w:rsid w:val="007C34F5"/>
    <w:rsid w:val="007C360E"/>
    <w:rsid w:val="007C3753"/>
    <w:rsid w:val="007C37BE"/>
    <w:rsid w:val="007C37D9"/>
    <w:rsid w:val="007C3801"/>
    <w:rsid w:val="007C388B"/>
    <w:rsid w:val="007C38EF"/>
    <w:rsid w:val="007C38FA"/>
    <w:rsid w:val="007C3965"/>
    <w:rsid w:val="007C3A2A"/>
    <w:rsid w:val="007C3B0D"/>
    <w:rsid w:val="007C3B17"/>
    <w:rsid w:val="007C3CDA"/>
    <w:rsid w:val="007C3E54"/>
    <w:rsid w:val="007C3E8C"/>
    <w:rsid w:val="007C3EA1"/>
    <w:rsid w:val="007C3EB1"/>
    <w:rsid w:val="007C3F39"/>
    <w:rsid w:val="007C3F8D"/>
    <w:rsid w:val="007C401C"/>
    <w:rsid w:val="007C40A3"/>
    <w:rsid w:val="007C40A9"/>
    <w:rsid w:val="007C40CB"/>
    <w:rsid w:val="007C415B"/>
    <w:rsid w:val="007C4196"/>
    <w:rsid w:val="007C431A"/>
    <w:rsid w:val="007C4505"/>
    <w:rsid w:val="007C450E"/>
    <w:rsid w:val="007C455A"/>
    <w:rsid w:val="007C47CC"/>
    <w:rsid w:val="007C4830"/>
    <w:rsid w:val="007C48E0"/>
    <w:rsid w:val="007C4922"/>
    <w:rsid w:val="007C49E7"/>
    <w:rsid w:val="007C4A90"/>
    <w:rsid w:val="007C4B0E"/>
    <w:rsid w:val="007C4D75"/>
    <w:rsid w:val="007C4DB7"/>
    <w:rsid w:val="007C4DF7"/>
    <w:rsid w:val="007C4EAD"/>
    <w:rsid w:val="007C4F19"/>
    <w:rsid w:val="007C4F5A"/>
    <w:rsid w:val="007C4FF7"/>
    <w:rsid w:val="007C5061"/>
    <w:rsid w:val="007C50A1"/>
    <w:rsid w:val="007C50AC"/>
    <w:rsid w:val="007C50D9"/>
    <w:rsid w:val="007C51B5"/>
    <w:rsid w:val="007C5339"/>
    <w:rsid w:val="007C5568"/>
    <w:rsid w:val="007C564E"/>
    <w:rsid w:val="007C5727"/>
    <w:rsid w:val="007C57B0"/>
    <w:rsid w:val="007C57D7"/>
    <w:rsid w:val="007C58E5"/>
    <w:rsid w:val="007C596A"/>
    <w:rsid w:val="007C598F"/>
    <w:rsid w:val="007C5BFF"/>
    <w:rsid w:val="007C5D01"/>
    <w:rsid w:val="007C5D36"/>
    <w:rsid w:val="007C5E73"/>
    <w:rsid w:val="007C5E94"/>
    <w:rsid w:val="007C5EA1"/>
    <w:rsid w:val="007C5EEB"/>
    <w:rsid w:val="007C5F61"/>
    <w:rsid w:val="007C6087"/>
    <w:rsid w:val="007C608D"/>
    <w:rsid w:val="007C60A7"/>
    <w:rsid w:val="007C60B3"/>
    <w:rsid w:val="007C617B"/>
    <w:rsid w:val="007C61ED"/>
    <w:rsid w:val="007C61F4"/>
    <w:rsid w:val="007C6273"/>
    <w:rsid w:val="007C6283"/>
    <w:rsid w:val="007C62A7"/>
    <w:rsid w:val="007C6314"/>
    <w:rsid w:val="007C64A7"/>
    <w:rsid w:val="007C64EE"/>
    <w:rsid w:val="007C64F9"/>
    <w:rsid w:val="007C6577"/>
    <w:rsid w:val="007C6632"/>
    <w:rsid w:val="007C663D"/>
    <w:rsid w:val="007C66B9"/>
    <w:rsid w:val="007C67FF"/>
    <w:rsid w:val="007C68AA"/>
    <w:rsid w:val="007C6963"/>
    <w:rsid w:val="007C69E5"/>
    <w:rsid w:val="007C6A35"/>
    <w:rsid w:val="007C6A8A"/>
    <w:rsid w:val="007C6AC7"/>
    <w:rsid w:val="007C6B4B"/>
    <w:rsid w:val="007C6C1A"/>
    <w:rsid w:val="007C6C3F"/>
    <w:rsid w:val="007C6C44"/>
    <w:rsid w:val="007C6CB6"/>
    <w:rsid w:val="007C6E29"/>
    <w:rsid w:val="007C6E3F"/>
    <w:rsid w:val="007C6E75"/>
    <w:rsid w:val="007C6EA4"/>
    <w:rsid w:val="007C6EB7"/>
    <w:rsid w:val="007C6FF7"/>
    <w:rsid w:val="007C7056"/>
    <w:rsid w:val="007C709C"/>
    <w:rsid w:val="007C7330"/>
    <w:rsid w:val="007C7537"/>
    <w:rsid w:val="007C7659"/>
    <w:rsid w:val="007C76EA"/>
    <w:rsid w:val="007C77E7"/>
    <w:rsid w:val="007C7842"/>
    <w:rsid w:val="007C7974"/>
    <w:rsid w:val="007C7AA9"/>
    <w:rsid w:val="007C7B3A"/>
    <w:rsid w:val="007C7B47"/>
    <w:rsid w:val="007C7B8E"/>
    <w:rsid w:val="007C7BF8"/>
    <w:rsid w:val="007C7C1A"/>
    <w:rsid w:val="007C7C31"/>
    <w:rsid w:val="007C7C5E"/>
    <w:rsid w:val="007C7CC7"/>
    <w:rsid w:val="007C7D01"/>
    <w:rsid w:val="007C7D94"/>
    <w:rsid w:val="007C7F8A"/>
    <w:rsid w:val="007C7FCA"/>
    <w:rsid w:val="007C7FD0"/>
    <w:rsid w:val="007D0027"/>
    <w:rsid w:val="007D0085"/>
    <w:rsid w:val="007D00CE"/>
    <w:rsid w:val="007D01D6"/>
    <w:rsid w:val="007D021E"/>
    <w:rsid w:val="007D0225"/>
    <w:rsid w:val="007D027A"/>
    <w:rsid w:val="007D02B0"/>
    <w:rsid w:val="007D0310"/>
    <w:rsid w:val="007D039E"/>
    <w:rsid w:val="007D041C"/>
    <w:rsid w:val="007D042C"/>
    <w:rsid w:val="007D046B"/>
    <w:rsid w:val="007D051B"/>
    <w:rsid w:val="007D054A"/>
    <w:rsid w:val="007D058B"/>
    <w:rsid w:val="007D083A"/>
    <w:rsid w:val="007D0851"/>
    <w:rsid w:val="007D0A89"/>
    <w:rsid w:val="007D0C16"/>
    <w:rsid w:val="007D0DB5"/>
    <w:rsid w:val="007D0DE5"/>
    <w:rsid w:val="007D0E29"/>
    <w:rsid w:val="007D0E46"/>
    <w:rsid w:val="007D0F3F"/>
    <w:rsid w:val="007D0F6C"/>
    <w:rsid w:val="007D1000"/>
    <w:rsid w:val="007D10A8"/>
    <w:rsid w:val="007D114A"/>
    <w:rsid w:val="007D12B1"/>
    <w:rsid w:val="007D131E"/>
    <w:rsid w:val="007D144C"/>
    <w:rsid w:val="007D14FD"/>
    <w:rsid w:val="007D160A"/>
    <w:rsid w:val="007D1614"/>
    <w:rsid w:val="007D1740"/>
    <w:rsid w:val="007D1756"/>
    <w:rsid w:val="007D185D"/>
    <w:rsid w:val="007D1A95"/>
    <w:rsid w:val="007D1B12"/>
    <w:rsid w:val="007D1B4E"/>
    <w:rsid w:val="007D1BAE"/>
    <w:rsid w:val="007D1BDE"/>
    <w:rsid w:val="007D1C2F"/>
    <w:rsid w:val="007D1C87"/>
    <w:rsid w:val="007D1CB1"/>
    <w:rsid w:val="007D1D45"/>
    <w:rsid w:val="007D1D7D"/>
    <w:rsid w:val="007D1DB4"/>
    <w:rsid w:val="007D1E1C"/>
    <w:rsid w:val="007D1E40"/>
    <w:rsid w:val="007D2016"/>
    <w:rsid w:val="007D2036"/>
    <w:rsid w:val="007D207E"/>
    <w:rsid w:val="007D20B7"/>
    <w:rsid w:val="007D2181"/>
    <w:rsid w:val="007D21CC"/>
    <w:rsid w:val="007D22A8"/>
    <w:rsid w:val="007D2328"/>
    <w:rsid w:val="007D240E"/>
    <w:rsid w:val="007D241F"/>
    <w:rsid w:val="007D2498"/>
    <w:rsid w:val="007D24BB"/>
    <w:rsid w:val="007D2568"/>
    <w:rsid w:val="007D2613"/>
    <w:rsid w:val="007D269A"/>
    <w:rsid w:val="007D27E6"/>
    <w:rsid w:val="007D27E8"/>
    <w:rsid w:val="007D28EA"/>
    <w:rsid w:val="007D29FB"/>
    <w:rsid w:val="007D2B5C"/>
    <w:rsid w:val="007D2C7E"/>
    <w:rsid w:val="007D2D1E"/>
    <w:rsid w:val="007D2D21"/>
    <w:rsid w:val="007D2D3E"/>
    <w:rsid w:val="007D30A2"/>
    <w:rsid w:val="007D30A7"/>
    <w:rsid w:val="007D3469"/>
    <w:rsid w:val="007D35CB"/>
    <w:rsid w:val="007D35E9"/>
    <w:rsid w:val="007D3602"/>
    <w:rsid w:val="007D3663"/>
    <w:rsid w:val="007D368A"/>
    <w:rsid w:val="007D37AC"/>
    <w:rsid w:val="007D3A9B"/>
    <w:rsid w:val="007D3B96"/>
    <w:rsid w:val="007D3BEF"/>
    <w:rsid w:val="007D3BF1"/>
    <w:rsid w:val="007D3CD1"/>
    <w:rsid w:val="007D3CE4"/>
    <w:rsid w:val="007D3D9E"/>
    <w:rsid w:val="007D3F4E"/>
    <w:rsid w:val="007D4000"/>
    <w:rsid w:val="007D40B4"/>
    <w:rsid w:val="007D412A"/>
    <w:rsid w:val="007D413A"/>
    <w:rsid w:val="007D41D9"/>
    <w:rsid w:val="007D41F5"/>
    <w:rsid w:val="007D423D"/>
    <w:rsid w:val="007D4257"/>
    <w:rsid w:val="007D4272"/>
    <w:rsid w:val="007D42B2"/>
    <w:rsid w:val="007D440F"/>
    <w:rsid w:val="007D45F1"/>
    <w:rsid w:val="007D460E"/>
    <w:rsid w:val="007D462E"/>
    <w:rsid w:val="007D4792"/>
    <w:rsid w:val="007D47F4"/>
    <w:rsid w:val="007D4813"/>
    <w:rsid w:val="007D4871"/>
    <w:rsid w:val="007D48A3"/>
    <w:rsid w:val="007D48F9"/>
    <w:rsid w:val="007D48FA"/>
    <w:rsid w:val="007D4934"/>
    <w:rsid w:val="007D496C"/>
    <w:rsid w:val="007D49BF"/>
    <w:rsid w:val="007D4A2A"/>
    <w:rsid w:val="007D4AD1"/>
    <w:rsid w:val="007D4B1A"/>
    <w:rsid w:val="007D4C63"/>
    <w:rsid w:val="007D4C79"/>
    <w:rsid w:val="007D4D4D"/>
    <w:rsid w:val="007D4D75"/>
    <w:rsid w:val="007D4DEF"/>
    <w:rsid w:val="007D4EC0"/>
    <w:rsid w:val="007D4F4C"/>
    <w:rsid w:val="007D4F61"/>
    <w:rsid w:val="007D4FB2"/>
    <w:rsid w:val="007D5032"/>
    <w:rsid w:val="007D528C"/>
    <w:rsid w:val="007D52E4"/>
    <w:rsid w:val="007D53DF"/>
    <w:rsid w:val="007D53E2"/>
    <w:rsid w:val="007D53FC"/>
    <w:rsid w:val="007D5452"/>
    <w:rsid w:val="007D54E9"/>
    <w:rsid w:val="007D5569"/>
    <w:rsid w:val="007D559F"/>
    <w:rsid w:val="007D5657"/>
    <w:rsid w:val="007D5753"/>
    <w:rsid w:val="007D57C1"/>
    <w:rsid w:val="007D588F"/>
    <w:rsid w:val="007D5917"/>
    <w:rsid w:val="007D5BA5"/>
    <w:rsid w:val="007D5C07"/>
    <w:rsid w:val="007D5C83"/>
    <w:rsid w:val="007D5D8B"/>
    <w:rsid w:val="007D5F7F"/>
    <w:rsid w:val="007D5FDA"/>
    <w:rsid w:val="007D6020"/>
    <w:rsid w:val="007D6164"/>
    <w:rsid w:val="007D6208"/>
    <w:rsid w:val="007D62D8"/>
    <w:rsid w:val="007D638C"/>
    <w:rsid w:val="007D64EB"/>
    <w:rsid w:val="007D6650"/>
    <w:rsid w:val="007D67FB"/>
    <w:rsid w:val="007D68B9"/>
    <w:rsid w:val="007D6914"/>
    <w:rsid w:val="007D695C"/>
    <w:rsid w:val="007D6A63"/>
    <w:rsid w:val="007D6DE7"/>
    <w:rsid w:val="007D6E2B"/>
    <w:rsid w:val="007D6E85"/>
    <w:rsid w:val="007D6EB7"/>
    <w:rsid w:val="007D6FBF"/>
    <w:rsid w:val="007D700B"/>
    <w:rsid w:val="007D7017"/>
    <w:rsid w:val="007D7102"/>
    <w:rsid w:val="007D7273"/>
    <w:rsid w:val="007D72CC"/>
    <w:rsid w:val="007D7357"/>
    <w:rsid w:val="007D74C4"/>
    <w:rsid w:val="007D74D4"/>
    <w:rsid w:val="007D7606"/>
    <w:rsid w:val="007D7622"/>
    <w:rsid w:val="007D7633"/>
    <w:rsid w:val="007D776F"/>
    <w:rsid w:val="007D77D0"/>
    <w:rsid w:val="007D7821"/>
    <w:rsid w:val="007D784E"/>
    <w:rsid w:val="007D78A5"/>
    <w:rsid w:val="007D78CD"/>
    <w:rsid w:val="007D7960"/>
    <w:rsid w:val="007D7A56"/>
    <w:rsid w:val="007D7A93"/>
    <w:rsid w:val="007D7AC7"/>
    <w:rsid w:val="007D7C74"/>
    <w:rsid w:val="007D7C7B"/>
    <w:rsid w:val="007D7CF8"/>
    <w:rsid w:val="007D7D44"/>
    <w:rsid w:val="007D7E9F"/>
    <w:rsid w:val="007D7EF0"/>
    <w:rsid w:val="007D7FA4"/>
    <w:rsid w:val="007DE56B"/>
    <w:rsid w:val="007E008D"/>
    <w:rsid w:val="007E00B6"/>
    <w:rsid w:val="007E0117"/>
    <w:rsid w:val="007E01C8"/>
    <w:rsid w:val="007E01DF"/>
    <w:rsid w:val="007E01FC"/>
    <w:rsid w:val="007E0260"/>
    <w:rsid w:val="007E030C"/>
    <w:rsid w:val="007E0330"/>
    <w:rsid w:val="007E043C"/>
    <w:rsid w:val="007E0490"/>
    <w:rsid w:val="007E0499"/>
    <w:rsid w:val="007E04F9"/>
    <w:rsid w:val="007E056A"/>
    <w:rsid w:val="007E0641"/>
    <w:rsid w:val="007E0659"/>
    <w:rsid w:val="007E06D1"/>
    <w:rsid w:val="007E06D2"/>
    <w:rsid w:val="007E07C8"/>
    <w:rsid w:val="007E09C1"/>
    <w:rsid w:val="007E0A99"/>
    <w:rsid w:val="007E0BD7"/>
    <w:rsid w:val="007E0F33"/>
    <w:rsid w:val="007E0F73"/>
    <w:rsid w:val="007E1027"/>
    <w:rsid w:val="007E1066"/>
    <w:rsid w:val="007E10E8"/>
    <w:rsid w:val="007E121B"/>
    <w:rsid w:val="007E1229"/>
    <w:rsid w:val="007E12C1"/>
    <w:rsid w:val="007E13DC"/>
    <w:rsid w:val="007E142F"/>
    <w:rsid w:val="007E14B9"/>
    <w:rsid w:val="007E14BE"/>
    <w:rsid w:val="007E1588"/>
    <w:rsid w:val="007E159E"/>
    <w:rsid w:val="007E15CA"/>
    <w:rsid w:val="007E15DA"/>
    <w:rsid w:val="007E15E3"/>
    <w:rsid w:val="007E1692"/>
    <w:rsid w:val="007E1797"/>
    <w:rsid w:val="007E17DB"/>
    <w:rsid w:val="007E181A"/>
    <w:rsid w:val="007E1905"/>
    <w:rsid w:val="007E194D"/>
    <w:rsid w:val="007E19B9"/>
    <w:rsid w:val="007E1A25"/>
    <w:rsid w:val="007E1A81"/>
    <w:rsid w:val="007E1B42"/>
    <w:rsid w:val="007E1B45"/>
    <w:rsid w:val="007E1B5B"/>
    <w:rsid w:val="007E1C70"/>
    <w:rsid w:val="007E1C77"/>
    <w:rsid w:val="007E1D7E"/>
    <w:rsid w:val="007E1E90"/>
    <w:rsid w:val="007E1F18"/>
    <w:rsid w:val="007E1F3F"/>
    <w:rsid w:val="007E1F89"/>
    <w:rsid w:val="007E1FC8"/>
    <w:rsid w:val="007E1FD1"/>
    <w:rsid w:val="007E1FFA"/>
    <w:rsid w:val="007E2151"/>
    <w:rsid w:val="007E22AA"/>
    <w:rsid w:val="007E22FB"/>
    <w:rsid w:val="007E243E"/>
    <w:rsid w:val="007E2539"/>
    <w:rsid w:val="007E25FC"/>
    <w:rsid w:val="007E275F"/>
    <w:rsid w:val="007E2781"/>
    <w:rsid w:val="007E28C9"/>
    <w:rsid w:val="007E295F"/>
    <w:rsid w:val="007E2B7E"/>
    <w:rsid w:val="007E2BF6"/>
    <w:rsid w:val="007E2C00"/>
    <w:rsid w:val="007E2C1C"/>
    <w:rsid w:val="007E2CB5"/>
    <w:rsid w:val="007E2E84"/>
    <w:rsid w:val="007E2F58"/>
    <w:rsid w:val="007E2FAF"/>
    <w:rsid w:val="007E3087"/>
    <w:rsid w:val="007E3591"/>
    <w:rsid w:val="007E35D2"/>
    <w:rsid w:val="007E3746"/>
    <w:rsid w:val="007E3762"/>
    <w:rsid w:val="007E37CA"/>
    <w:rsid w:val="007E382B"/>
    <w:rsid w:val="007E38BF"/>
    <w:rsid w:val="007E3959"/>
    <w:rsid w:val="007E3ADB"/>
    <w:rsid w:val="007E3B31"/>
    <w:rsid w:val="007E3B8B"/>
    <w:rsid w:val="007E3BE0"/>
    <w:rsid w:val="007E3C59"/>
    <w:rsid w:val="007E3C6D"/>
    <w:rsid w:val="007E3C85"/>
    <w:rsid w:val="007E3E17"/>
    <w:rsid w:val="007E3E7F"/>
    <w:rsid w:val="007E3F36"/>
    <w:rsid w:val="007E3F3C"/>
    <w:rsid w:val="007E3F50"/>
    <w:rsid w:val="007E3FA1"/>
    <w:rsid w:val="007E3FCB"/>
    <w:rsid w:val="007E4138"/>
    <w:rsid w:val="007E4293"/>
    <w:rsid w:val="007E4298"/>
    <w:rsid w:val="007E4358"/>
    <w:rsid w:val="007E43B9"/>
    <w:rsid w:val="007E43DC"/>
    <w:rsid w:val="007E44FD"/>
    <w:rsid w:val="007E47C3"/>
    <w:rsid w:val="007E482C"/>
    <w:rsid w:val="007E490B"/>
    <w:rsid w:val="007E4D12"/>
    <w:rsid w:val="007E4DD8"/>
    <w:rsid w:val="007E4DE7"/>
    <w:rsid w:val="007E4E81"/>
    <w:rsid w:val="007E4F12"/>
    <w:rsid w:val="007E51F4"/>
    <w:rsid w:val="007E5244"/>
    <w:rsid w:val="007E526C"/>
    <w:rsid w:val="007E5295"/>
    <w:rsid w:val="007E53E4"/>
    <w:rsid w:val="007E54D5"/>
    <w:rsid w:val="007E558E"/>
    <w:rsid w:val="007E55C4"/>
    <w:rsid w:val="007E55CE"/>
    <w:rsid w:val="007E56E0"/>
    <w:rsid w:val="007E5827"/>
    <w:rsid w:val="007E5870"/>
    <w:rsid w:val="007E5972"/>
    <w:rsid w:val="007E59B7"/>
    <w:rsid w:val="007E5A50"/>
    <w:rsid w:val="007E5A9B"/>
    <w:rsid w:val="007E5BA6"/>
    <w:rsid w:val="007E5DAF"/>
    <w:rsid w:val="007E5E2B"/>
    <w:rsid w:val="007E5E47"/>
    <w:rsid w:val="007E5EE4"/>
    <w:rsid w:val="007E5F32"/>
    <w:rsid w:val="007E608D"/>
    <w:rsid w:val="007E6095"/>
    <w:rsid w:val="007E6136"/>
    <w:rsid w:val="007E61E5"/>
    <w:rsid w:val="007E6270"/>
    <w:rsid w:val="007E635A"/>
    <w:rsid w:val="007E64B7"/>
    <w:rsid w:val="007E653B"/>
    <w:rsid w:val="007E6576"/>
    <w:rsid w:val="007E679E"/>
    <w:rsid w:val="007E67D4"/>
    <w:rsid w:val="007E67F4"/>
    <w:rsid w:val="007E68BC"/>
    <w:rsid w:val="007E68FD"/>
    <w:rsid w:val="007E6996"/>
    <w:rsid w:val="007E69E1"/>
    <w:rsid w:val="007E6AF5"/>
    <w:rsid w:val="007E6B13"/>
    <w:rsid w:val="007E6B1A"/>
    <w:rsid w:val="007E6BE8"/>
    <w:rsid w:val="007E6CFE"/>
    <w:rsid w:val="007E6E03"/>
    <w:rsid w:val="007E6E8C"/>
    <w:rsid w:val="007E6F28"/>
    <w:rsid w:val="007E6F8F"/>
    <w:rsid w:val="007E6F9A"/>
    <w:rsid w:val="007E6FBE"/>
    <w:rsid w:val="007E701E"/>
    <w:rsid w:val="007E708D"/>
    <w:rsid w:val="007E7120"/>
    <w:rsid w:val="007E719A"/>
    <w:rsid w:val="007E7206"/>
    <w:rsid w:val="007E721E"/>
    <w:rsid w:val="007E7245"/>
    <w:rsid w:val="007E7404"/>
    <w:rsid w:val="007E7650"/>
    <w:rsid w:val="007E7878"/>
    <w:rsid w:val="007E7896"/>
    <w:rsid w:val="007E789D"/>
    <w:rsid w:val="007E798E"/>
    <w:rsid w:val="007E79E1"/>
    <w:rsid w:val="007E7A1A"/>
    <w:rsid w:val="007E7B4B"/>
    <w:rsid w:val="007E7C18"/>
    <w:rsid w:val="007E7E1F"/>
    <w:rsid w:val="007E7E9E"/>
    <w:rsid w:val="007F00B0"/>
    <w:rsid w:val="007F00E6"/>
    <w:rsid w:val="007F0195"/>
    <w:rsid w:val="007F01C8"/>
    <w:rsid w:val="007F03BF"/>
    <w:rsid w:val="007F06B6"/>
    <w:rsid w:val="007F070C"/>
    <w:rsid w:val="007F0779"/>
    <w:rsid w:val="007F07BB"/>
    <w:rsid w:val="007F07D8"/>
    <w:rsid w:val="007F07FC"/>
    <w:rsid w:val="007F08B9"/>
    <w:rsid w:val="007F093C"/>
    <w:rsid w:val="007F0A4A"/>
    <w:rsid w:val="007F0A70"/>
    <w:rsid w:val="007F0B93"/>
    <w:rsid w:val="007F0BA2"/>
    <w:rsid w:val="007F0DFB"/>
    <w:rsid w:val="007F0F79"/>
    <w:rsid w:val="007F0FA0"/>
    <w:rsid w:val="007F10E5"/>
    <w:rsid w:val="007F1234"/>
    <w:rsid w:val="007F133D"/>
    <w:rsid w:val="007F1398"/>
    <w:rsid w:val="007F140B"/>
    <w:rsid w:val="007F1445"/>
    <w:rsid w:val="007F1497"/>
    <w:rsid w:val="007F1508"/>
    <w:rsid w:val="007F1769"/>
    <w:rsid w:val="007F1861"/>
    <w:rsid w:val="007F187C"/>
    <w:rsid w:val="007F1A23"/>
    <w:rsid w:val="007F1A35"/>
    <w:rsid w:val="007F1B6F"/>
    <w:rsid w:val="007F1BCC"/>
    <w:rsid w:val="007F1C45"/>
    <w:rsid w:val="007F1DB7"/>
    <w:rsid w:val="007F1E34"/>
    <w:rsid w:val="007F1E67"/>
    <w:rsid w:val="007F1FF0"/>
    <w:rsid w:val="007F201B"/>
    <w:rsid w:val="007F203C"/>
    <w:rsid w:val="007F2061"/>
    <w:rsid w:val="007F20C9"/>
    <w:rsid w:val="007F20DF"/>
    <w:rsid w:val="007F2118"/>
    <w:rsid w:val="007F2190"/>
    <w:rsid w:val="007F219A"/>
    <w:rsid w:val="007F2297"/>
    <w:rsid w:val="007F23F4"/>
    <w:rsid w:val="007F2470"/>
    <w:rsid w:val="007F24D3"/>
    <w:rsid w:val="007F25C4"/>
    <w:rsid w:val="007F25DB"/>
    <w:rsid w:val="007F260E"/>
    <w:rsid w:val="007F2799"/>
    <w:rsid w:val="007F27D9"/>
    <w:rsid w:val="007F2854"/>
    <w:rsid w:val="007F28CF"/>
    <w:rsid w:val="007F28D0"/>
    <w:rsid w:val="007F28F7"/>
    <w:rsid w:val="007F2994"/>
    <w:rsid w:val="007F2B93"/>
    <w:rsid w:val="007F2C56"/>
    <w:rsid w:val="007F2D82"/>
    <w:rsid w:val="007F2DDA"/>
    <w:rsid w:val="007F2E20"/>
    <w:rsid w:val="007F2F3C"/>
    <w:rsid w:val="007F3266"/>
    <w:rsid w:val="007F33C9"/>
    <w:rsid w:val="007F33CF"/>
    <w:rsid w:val="007F342D"/>
    <w:rsid w:val="007F34A6"/>
    <w:rsid w:val="007F34F7"/>
    <w:rsid w:val="007F3508"/>
    <w:rsid w:val="007F3609"/>
    <w:rsid w:val="007F361A"/>
    <w:rsid w:val="007F371E"/>
    <w:rsid w:val="007F386A"/>
    <w:rsid w:val="007F387F"/>
    <w:rsid w:val="007F38CA"/>
    <w:rsid w:val="007F38D7"/>
    <w:rsid w:val="007F3947"/>
    <w:rsid w:val="007F398E"/>
    <w:rsid w:val="007F399B"/>
    <w:rsid w:val="007F3ABF"/>
    <w:rsid w:val="007F3BF8"/>
    <w:rsid w:val="007F3C65"/>
    <w:rsid w:val="007F3D10"/>
    <w:rsid w:val="007F3E0B"/>
    <w:rsid w:val="007F3EC7"/>
    <w:rsid w:val="007F3ED9"/>
    <w:rsid w:val="007F3F45"/>
    <w:rsid w:val="007F3FD1"/>
    <w:rsid w:val="007F3FF2"/>
    <w:rsid w:val="007F40EA"/>
    <w:rsid w:val="007F4180"/>
    <w:rsid w:val="007F4258"/>
    <w:rsid w:val="007F4261"/>
    <w:rsid w:val="007F4545"/>
    <w:rsid w:val="007F45E3"/>
    <w:rsid w:val="007F462D"/>
    <w:rsid w:val="007F46D1"/>
    <w:rsid w:val="007F490D"/>
    <w:rsid w:val="007F4A2E"/>
    <w:rsid w:val="007F4A3B"/>
    <w:rsid w:val="007F4A9B"/>
    <w:rsid w:val="007F4AE4"/>
    <w:rsid w:val="007F4BB8"/>
    <w:rsid w:val="007F4BB9"/>
    <w:rsid w:val="007F4C76"/>
    <w:rsid w:val="007F4EBA"/>
    <w:rsid w:val="007F4EE0"/>
    <w:rsid w:val="007F4F95"/>
    <w:rsid w:val="007F545B"/>
    <w:rsid w:val="007F54FB"/>
    <w:rsid w:val="007F5650"/>
    <w:rsid w:val="007F56C2"/>
    <w:rsid w:val="007F5702"/>
    <w:rsid w:val="007F5791"/>
    <w:rsid w:val="007F5869"/>
    <w:rsid w:val="007F58DC"/>
    <w:rsid w:val="007F59D4"/>
    <w:rsid w:val="007F5B34"/>
    <w:rsid w:val="007F5CD9"/>
    <w:rsid w:val="007F5F6B"/>
    <w:rsid w:val="007F6063"/>
    <w:rsid w:val="007F60DF"/>
    <w:rsid w:val="007F60E5"/>
    <w:rsid w:val="007F6150"/>
    <w:rsid w:val="007F637B"/>
    <w:rsid w:val="007F63E1"/>
    <w:rsid w:val="007F6434"/>
    <w:rsid w:val="007F6452"/>
    <w:rsid w:val="007F64B5"/>
    <w:rsid w:val="007F65EB"/>
    <w:rsid w:val="007F6654"/>
    <w:rsid w:val="007F6674"/>
    <w:rsid w:val="007F66E9"/>
    <w:rsid w:val="007F6839"/>
    <w:rsid w:val="007F6875"/>
    <w:rsid w:val="007F68FE"/>
    <w:rsid w:val="007F6A36"/>
    <w:rsid w:val="007F6A70"/>
    <w:rsid w:val="007F6B2E"/>
    <w:rsid w:val="007F6B6C"/>
    <w:rsid w:val="007F6BBE"/>
    <w:rsid w:val="007F6C63"/>
    <w:rsid w:val="007F6D03"/>
    <w:rsid w:val="007F6E43"/>
    <w:rsid w:val="007F6EAA"/>
    <w:rsid w:val="007F704C"/>
    <w:rsid w:val="007F7068"/>
    <w:rsid w:val="007F706B"/>
    <w:rsid w:val="007F70CB"/>
    <w:rsid w:val="007F70D5"/>
    <w:rsid w:val="007F7154"/>
    <w:rsid w:val="007F721F"/>
    <w:rsid w:val="007F72D8"/>
    <w:rsid w:val="007F7334"/>
    <w:rsid w:val="007F736D"/>
    <w:rsid w:val="007F745F"/>
    <w:rsid w:val="007F748C"/>
    <w:rsid w:val="007F74E2"/>
    <w:rsid w:val="007F7734"/>
    <w:rsid w:val="007F77BC"/>
    <w:rsid w:val="007F77CA"/>
    <w:rsid w:val="007F7802"/>
    <w:rsid w:val="007F7804"/>
    <w:rsid w:val="007F7863"/>
    <w:rsid w:val="007F7953"/>
    <w:rsid w:val="007F7989"/>
    <w:rsid w:val="007F79D8"/>
    <w:rsid w:val="007F79ED"/>
    <w:rsid w:val="007F79F8"/>
    <w:rsid w:val="007F7B97"/>
    <w:rsid w:val="007F7BBC"/>
    <w:rsid w:val="007F7BCE"/>
    <w:rsid w:val="007F7CEE"/>
    <w:rsid w:val="007F7ED6"/>
    <w:rsid w:val="007F7F2C"/>
    <w:rsid w:val="007F7FDF"/>
    <w:rsid w:val="008000F2"/>
    <w:rsid w:val="008001E7"/>
    <w:rsid w:val="008006DF"/>
    <w:rsid w:val="008007CF"/>
    <w:rsid w:val="008007E7"/>
    <w:rsid w:val="00800820"/>
    <w:rsid w:val="00800854"/>
    <w:rsid w:val="0080087B"/>
    <w:rsid w:val="00800945"/>
    <w:rsid w:val="00800A17"/>
    <w:rsid w:val="00800D47"/>
    <w:rsid w:val="00800EB0"/>
    <w:rsid w:val="0080112F"/>
    <w:rsid w:val="008011AA"/>
    <w:rsid w:val="0080120E"/>
    <w:rsid w:val="00801376"/>
    <w:rsid w:val="00801467"/>
    <w:rsid w:val="00801494"/>
    <w:rsid w:val="00801516"/>
    <w:rsid w:val="00801539"/>
    <w:rsid w:val="008015E2"/>
    <w:rsid w:val="008015F5"/>
    <w:rsid w:val="00801698"/>
    <w:rsid w:val="0080174A"/>
    <w:rsid w:val="00801812"/>
    <w:rsid w:val="0080188C"/>
    <w:rsid w:val="008018AD"/>
    <w:rsid w:val="00801922"/>
    <w:rsid w:val="00801AE2"/>
    <w:rsid w:val="00801B28"/>
    <w:rsid w:val="00801B45"/>
    <w:rsid w:val="00801B65"/>
    <w:rsid w:val="00801C3C"/>
    <w:rsid w:val="00801CBF"/>
    <w:rsid w:val="00801DB6"/>
    <w:rsid w:val="00801DBE"/>
    <w:rsid w:val="00801EA5"/>
    <w:rsid w:val="00802168"/>
    <w:rsid w:val="008021C7"/>
    <w:rsid w:val="0080223F"/>
    <w:rsid w:val="0080225F"/>
    <w:rsid w:val="0080242E"/>
    <w:rsid w:val="008024E3"/>
    <w:rsid w:val="00802561"/>
    <w:rsid w:val="00802626"/>
    <w:rsid w:val="008027FA"/>
    <w:rsid w:val="0080287F"/>
    <w:rsid w:val="008028E9"/>
    <w:rsid w:val="00802907"/>
    <w:rsid w:val="00802950"/>
    <w:rsid w:val="00802A40"/>
    <w:rsid w:val="00802A82"/>
    <w:rsid w:val="00802A9A"/>
    <w:rsid w:val="00802C14"/>
    <w:rsid w:val="00802D9A"/>
    <w:rsid w:val="00802FB2"/>
    <w:rsid w:val="00803177"/>
    <w:rsid w:val="00803286"/>
    <w:rsid w:val="00803308"/>
    <w:rsid w:val="00803309"/>
    <w:rsid w:val="0080332D"/>
    <w:rsid w:val="0080363D"/>
    <w:rsid w:val="0080364A"/>
    <w:rsid w:val="00803854"/>
    <w:rsid w:val="00803912"/>
    <w:rsid w:val="008039D9"/>
    <w:rsid w:val="00803A55"/>
    <w:rsid w:val="00803B77"/>
    <w:rsid w:val="00803C34"/>
    <w:rsid w:val="00803C6E"/>
    <w:rsid w:val="00803CB2"/>
    <w:rsid w:val="00803DE0"/>
    <w:rsid w:val="00803F8E"/>
    <w:rsid w:val="008040DC"/>
    <w:rsid w:val="0080410F"/>
    <w:rsid w:val="0080413F"/>
    <w:rsid w:val="008041EF"/>
    <w:rsid w:val="008044FC"/>
    <w:rsid w:val="00804597"/>
    <w:rsid w:val="008047DB"/>
    <w:rsid w:val="008048FD"/>
    <w:rsid w:val="0080494C"/>
    <w:rsid w:val="00804B55"/>
    <w:rsid w:val="00804D00"/>
    <w:rsid w:val="00804D54"/>
    <w:rsid w:val="00804D55"/>
    <w:rsid w:val="00804D6F"/>
    <w:rsid w:val="00804D79"/>
    <w:rsid w:val="00804E78"/>
    <w:rsid w:val="00804EDD"/>
    <w:rsid w:val="00805007"/>
    <w:rsid w:val="0080512F"/>
    <w:rsid w:val="0080515F"/>
    <w:rsid w:val="0080527B"/>
    <w:rsid w:val="008054A1"/>
    <w:rsid w:val="0080558A"/>
    <w:rsid w:val="0080569A"/>
    <w:rsid w:val="008056A5"/>
    <w:rsid w:val="008056A9"/>
    <w:rsid w:val="00805706"/>
    <w:rsid w:val="0080573C"/>
    <w:rsid w:val="00805856"/>
    <w:rsid w:val="008058B9"/>
    <w:rsid w:val="00805938"/>
    <w:rsid w:val="00805A7D"/>
    <w:rsid w:val="00805B0A"/>
    <w:rsid w:val="00805B51"/>
    <w:rsid w:val="00805B58"/>
    <w:rsid w:val="00805C3D"/>
    <w:rsid w:val="00805E5D"/>
    <w:rsid w:val="00805EF9"/>
    <w:rsid w:val="00805F67"/>
    <w:rsid w:val="00805F6F"/>
    <w:rsid w:val="00805FDC"/>
    <w:rsid w:val="00806003"/>
    <w:rsid w:val="0080603F"/>
    <w:rsid w:val="00806180"/>
    <w:rsid w:val="00806241"/>
    <w:rsid w:val="008063A3"/>
    <w:rsid w:val="0080643F"/>
    <w:rsid w:val="008064E2"/>
    <w:rsid w:val="008065C3"/>
    <w:rsid w:val="0080664D"/>
    <w:rsid w:val="008066B0"/>
    <w:rsid w:val="00806817"/>
    <w:rsid w:val="00806907"/>
    <w:rsid w:val="0080695E"/>
    <w:rsid w:val="008069E2"/>
    <w:rsid w:val="00806B63"/>
    <w:rsid w:val="00806C44"/>
    <w:rsid w:val="00806C64"/>
    <w:rsid w:val="00806C87"/>
    <w:rsid w:val="00806C94"/>
    <w:rsid w:val="00806CBF"/>
    <w:rsid w:val="00806D4D"/>
    <w:rsid w:val="00806E8B"/>
    <w:rsid w:val="00806F2E"/>
    <w:rsid w:val="00806F49"/>
    <w:rsid w:val="00806F9E"/>
    <w:rsid w:val="00807084"/>
    <w:rsid w:val="008070F3"/>
    <w:rsid w:val="008071C1"/>
    <w:rsid w:val="0080739F"/>
    <w:rsid w:val="0080746C"/>
    <w:rsid w:val="00807498"/>
    <w:rsid w:val="00807564"/>
    <w:rsid w:val="00807590"/>
    <w:rsid w:val="008075C4"/>
    <w:rsid w:val="008078AA"/>
    <w:rsid w:val="0080793E"/>
    <w:rsid w:val="008079CA"/>
    <w:rsid w:val="008079EC"/>
    <w:rsid w:val="00807A35"/>
    <w:rsid w:val="00807A9A"/>
    <w:rsid w:val="00807AA2"/>
    <w:rsid w:val="00807B9F"/>
    <w:rsid w:val="00807C5B"/>
    <w:rsid w:val="00807C6F"/>
    <w:rsid w:val="00807CCD"/>
    <w:rsid w:val="00807D85"/>
    <w:rsid w:val="00807EFB"/>
    <w:rsid w:val="00807F87"/>
    <w:rsid w:val="00807FB6"/>
    <w:rsid w:val="00810027"/>
    <w:rsid w:val="008100CB"/>
    <w:rsid w:val="008100F3"/>
    <w:rsid w:val="00810107"/>
    <w:rsid w:val="008102C3"/>
    <w:rsid w:val="00810468"/>
    <w:rsid w:val="0081052D"/>
    <w:rsid w:val="008105FF"/>
    <w:rsid w:val="008106BA"/>
    <w:rsid w:val="00810872"/>
    <w:rsid w:val="00810926"/>
    <w:rsid w:val="00810A7D"/>
    <w:rsid w:val="00810ABD"/>
    <w:rsid w:val="00810AF6"/>
    <w:rsid w:val="00810B94"/>
    <w:rsid w:val="00810C6A"/>
    <w:rsid w:val="00810DA0"/>
    <w:rsid w:val="00810E0B"/>
    <w:rsid w:val="008110D4"/>
    <w:rsid w:val="00811236"/>
    <w:rsid w:val="00811401"/>
    <w:rsid w:val="00811431"/>
    <w:rsid w:val="008114E7"/>
    <w:rsid w:val="008115F8"/>
    <w:rsid w:val="008116BD"/>
    <w:rsid w:val="008116DD"/>
    <w:rsid w:val="00811701"/>
    <w:rsid w:val="00811707"/>
    <w:rsid w:val="008117D4"/>
    <w:rsid w:val="00811817"/>
    <w:rsid w:val="00811870"/>
    <w:rsid w:val="00811923"/>
    <w:rsid w:val="008119EF"/>
    <w:rsid w:val="008119FD"/>
    <w:rsid w:val="00811CD1"/>
    <w:rsid w:val="00811E18"/>
    <w:rsid w:val="00811E58"/>
    <w:rsid w:val="00811F1F"/>
    <w:rsid w:val="00811F8D"/>
    <w:rsid w:val="008120CB"/>
    <w:rsid w:val="008123E0"/>
    <w:rsid w:val="00812477"/>
    <w:rsid w:val="008124A4"/>
    <w:rsid w:val="008124E6"/>
    <w:rsid w:val="00812656"/>
    <w:rsid w:val="00812769"/>
    <w:rsid w:val="00812786"/>
    <w:rsid w:val="008127CD"/>
    <w:rsid w:val="008129A8"/>
    <w:rsid w:val="00812A7B"/>
    <w:rsid w:val="00812A7D"/>
    <w:rsid w:val="00812AEB"/>
    <w:rsid w:val="00812C16"/>
    <w:rsid w:val="00812C6A"/>
    <w:rsid w:val="00812C6B"/>
    <w:rsid w:val="00812C72"/>
    <w:rsid w:val="00812C74"/>
    <w:rsid w:val="00812CE8"/>
    <w:rsid w:val="00812D9D"/>
    <w:rsid w:val="00812DCF"/>
    <w:rsid w:val="00812ECF"/>
    <w:rsid w:val="00812F29"/>
    <w:rsid w:val="00812F2A"/>
    <w:rsid w:val="0081318F"/>
    <w:rsid w:val="008132E0"/>
    <w:rsid w:val="00813365"/>
    <w:rsid w:val="00813423"/>
    <w:rsid w:val="008134E3"/>
    <w:rsid w:val="00813514"/>
    <w:rsid w:val="008136FB"/>
    <w:rsid w:val="0081379E"/>
    <w:rsid w:val="0081382A"/>
    <w:rsid w:val="00813886"/>
    <w:rsid w:val="00813957"/>
    <w:rsid w:val="00813A2C"/>
    <w:rsid w:val="00813B57"/>
    <w:rsid w:val="00813B7C"/>
    <w:rsid w:val="00813CC2"/>
    <w:rsid w:val="00813D03"/>
    <w:rsid w:val="00813D2E"/>
    <w:rsid w:val="00813DD2"/>
    <w:rsid w:val="00813FB5"/>
    <w:rsid w:val="00814033"/>
    <w:rsid w:val="00814050"/>
    <w:rsid w:val="008140EE"/>
    <w:rsid w:val="0081425D"/>
    <w:rsid w:val="00814311"/>
    <w:rsid w:val="00814446"/>
    <w:rsid w:val="00814499"/>
    <w:rsid w:val="008144C0"/>
    <w:rsid w:val="008144C9"/>
    <w:rsid w:val="0081450A"/>
    <w:rsid w:val="00814578"/>
    <w:rsid w:val="00814771"/>
    <w:rsid w:val="00814851"/>
    <w:rsid w:val="00814B01"/>
    <w:rsid w:val="00814BEA"/>
    <w:rsid w:val="00814F35"/>
    <w:rsid w:val="00814F9A"/>
    <w:rsid w:val="00814FA0"/>
    <w:rsid w:val="00814FC3"/>
    <w:rsid w:val="0081507B"/>
    <w:rsid w:val="008150BE"/>
    <w:rsid w:val="00815115"/>
    <w:rsid w:val="0081520D"/>
    <w:rsid w:val="008152B5"/>
    <w:rsid w:val="00815469"/>
    <w:rsid w:val="008154E6"/>
    <w:rsid w:val="00815504"/>
    <w:rsid w:val="0081551E"/>
    <w:rsid w:val="0081561E"/>
    <w:rsid w:val="00815859"/>
    <w:rsid w:val="0081588E"/>
    <w:rsid w:val="008158CE"/>
    <w:rsid w:val="0081590D"/>
    <w:rsid w:val="008159E3"/>
    <w:rsid w:val="008159E5"/>
    <w:rsid w:val="00815A04"/>
    <w:rsid w:val="00815A06"/>
    <w:rsid w:val="00815A31"/>
    <w:rsid w:val="00815A6D"/>
    <w:rsid w:val="00815AF1"/>
    <w:rsid w:val="00815E45"/>
    <w:rsid w:val="00815F15"/>
    <w:rsid w:val="00815F66"/>
    <w:rsid w:val="00816095"/>
    <w:rsid w:val="008161D2"/>
    <w:rsid w:val="00816275"/>
    <w:rsid w:val="008162E5"/>
    <w:rsid w:val="00816335"/>
    <w:rsid w:val="0081633C"/>
    <w:rsid w:val="0081634D"/>
    <w:rsid w:val="008163D8"/>
    <w:rsid w:val="0081643E"/>
    <w:rsid w:val="00816558"/>
    <w:rsid w:val="00816648"/>
    <w:rsid w:val="00816671"/>
    <w:rsid w:val="0081668E"/>
    <w:rsid w:val="00816810"/>
    <w:rsid w:val="0081681C"/>
    <w:rsid w:val="00816832"/>
    <w:rsid w:val="00816929"/>
    <w:rsid w:val="008169F2"/>
    <w:rsid w:val="00816A47"/>
    <w:rsid w:val="00816AAC"/>
    <w:rsid w:val="00816AD0"/>
    <w:rsid w:val="00816D83"/>
    <w:rsid w:val="00816F2C"/>
    <w:rsid w:val="00816FD4"/>
    <w:rsid w:val="00816FF3"/>
    <w:rsid w:val="00817056"/>
    <w:rsid w:val="0081705B"/>
    <w:rsid w:val="00817069"/>
    <w:rsid w:val="008170A2"/>
    <w:rsid w:val="00817319"/>
    <w:rsid w:val="0081734D"/>
    <w:rsid w:val="0081738B"/>
    <w:rsid w:val="00817457"/>
    <w:rsid w:val="008174CF"/>
    <w:rsid w:val="00817523"/>
    <w:rsid w:val="00817544"/>
    <w:rsid w:val="00817619"/>
    <w:rsid w:val="0081766B"/>
    <w:rsid w:val="00817714"/>
    <w:rsid w:val="008178BE"/>
    <w:rsid w:val="00817918"/>
    <w:rsid w:val="00817970"/>
    <w:rsid w:val="00817A4D"/>
    <w:rsid w:val="00817A52"/>
    <w:rsid w:val="00817A84"/>
    <w:rsid w:val="00817ACC"/>
    <w:rsid w:val="00817AD7"/>
    <w:rsid w:val="00817BCA"/>
    <w:rsid w:val="00817D91"/>
    <w:rsid w:val="00817F52"/>
    <w:rsid w:val="008201D4"/>
    <w:rsid w:val="00820234"/>
    <w:rsid w:val="00820264"/>
    <w:rsid w:val="00820272"/>
    <w:rsid w:val="008202D4"/>
    <w:rsid w:val="0082036A"/>
    <w:rsid w:val="008203CA"/>
    <w:rsid w:val="0082051D"/>
    <w:rsid w:val="008205F2"/>
    <w:rsid w:val="00820644"/>
    <w:rsid w:val="0082067D"/>
    <w:rsid w:val="00820821"/>
    <w:rsid w:val="00820851"/>
    <w:rsid w:val="008209FD"/>
    <w:rsid w:val="00820A65"/>
    <w:rsid w:val="00820B61"/>
    <w:rsid w:val="00820F4F"/>
    <w:rsid w:val="00821194"/>
    <w:rsid w:val="008212EF"/>
    <w:rsid w:val="008212F1"/>
    <w:rsid w:val="00821384"/>
    <w:rsid w:val="00821442"/>
    <w:rsid w:val="0082145C"/>
    <w:rsid w:val="008214C4"/>
    <w:rsid w:val="00821513"/>
    <w:rsid w:val="0082151D"/>
    <w:rsid w:val="008215E6"/>
    <w:rsid w:val="00821888"/>
    <w:rsid w:val="0082192A"/>
    <w:rsid w:val="008219FB"/>
    <w:rsid w:val="00821B07"/>
    <w:rsid w:val="00821BD1"/>
    <w:rsid w:val="00821D59"/>
    <w:rsid w:val="00821DF6"/>
    <w:rsid w:val="00822194"/>
    <w:rsid w:val="008221E3"/>
    <w:rsid w:val="00822294"/>
    <w:rsid w:val="008223EE"/>
    <w:rsid w:val="008223F6"/>
    <w:rsid w:val="0082241E"/>
    <w:rsid w:val="00822453"/>
    <w:rsid w:val="0082249F"/>
    <w:rsid w:val="008224B5"/>
    <w:rsid w:val="00822517"/>
    <w:rsid w:val="00822613"/>
    <w:rsid w:val="00822643"/>
    <w:rsid w:val="0082278F"/>
    <w:rsid w:val="008227E2"/>
    <w:rsid w:val="0082281E"/>
    <w:rsid w:val="008228E0"/>
    <w:rsid w:val="00822983"/>
    <w:rsid w:val="00822A68"/>
    <w:rsid w:val="00822AA0"/>
    <w:rsid w:val="00822AFB"/>
    <w:rsid w:val="00822BB3"/>
    <w:rsid w:val="00822BC8"/>
    <w:rsid w:val="00822BCC"/>
    <w:rsid w:val="00822CB4"/>
    <w:rsid w:val="00822E0D"/>
    <w:rsid w:val="00822E1F"/>
    <w:rsid w:val="00822EA0"/>
    <w:rsid w:val="00822EA6"/>
    <w:rsid w:val="00822EE7"/>
    <w:rsid w:val="00822F12"/>
    <w:rsid w:val="00822FE1"/>
    <w:rsid w:val="00823176"/>
    <w:rsid w:val="008232AE"/>
    <w:rsid w:val="00823327"/>
    <w:rsid w:val="008233E6"/>
    <w:rsid w:val="00823414"/>
    <w:rsid w:val="00823429"/>
    <w:rsid w:val="0082355F"/>
    <w:rsid w:val="00823571"/>
    <w:rsid w:val="008236D2"/>
    <w:rsid w:val="008236F1"/>
    <w:rsid w:val="00823751"/>
    <w:rsid w:val="0082389C"/>
    <w:rsid w:val="0082390E"/>
    <w:rsid w:val="0082399F"/>
    <w:rsid w:val="00823A33"/>
    <w:rsid w:val="00823AE3"/>
    <w:rsid w:val="00823AF1"/>
    <w:rsid w:val="00823B95"/>
    <w:rsid w:val="00823BC7"/>
    <w:rsid w:val="00823C17"/>
    <w:rsid w:val="00823CD7"/>
    <w:rsid w:val="00823D82"/>
    <w:rsid w:val="00823DB9"/>
    <w:rsid w:val="00823DC3"/>
    <w:rsid w:val="00823EE1"/>
    <w:rsid w:val="008240D8"/>
    <w:rsid w:val="0082410F"/>
    <w:rsid w:val="008241FF"/>
    <w:rsid w:val="00824241"/>
    <w:rsid w:val="0082438F"/>
    <w:rsid w:val="0082440D"/>
    <w:rsid w:val="0082441B"/>
    <w:rsid w:val="0082441E"/>
    <w:rsid w:val="00824753"/>
    <w:rsid w:val="0082479E"/>
    <w:rsid w:val="00824811"/>
    <w:rsid w:val="0082484B"/>
    <w:rsid w:val="00824865"/>
    <w:rsid w:val="0082494F"/>
    <w:rsid w:val="008249BB"/>
    <w:rsid w:val="008249C1"/>
    <w:rsid w:val="008249FD"/>
    <w:rsid w:val="00824BAC"/>
    <w:rsid w:val="00824BF8"/>
    <w:rsid w:val="00824C29"/>
    <w:rsid w:val="00824C2C"/>
    <w:rsid w:val="00824C50"/>
    <w:rsid w:val="00824CD7"/>
    <w:rsid w:val="00824DA0"/>
    <w:rsid w:val="00824E3A"/>
    <w:rsid w:val="00824E68"/>
    <w:rsid w:val="00824E8C"/>
    <w:rsid w:val="00824EE6"/>
    <w:rsid w:val="00824F3A"/>
    <w:rsid w:val="00825039"/>
    <w:rsid w:val="00825060"/>
    <w:rsid w:val="00825096"/>
    <w:rsid w:val="0082516A"/>
    <w:rsid w:val="00825254"/>
    <w:rsid w:val="00825382"/>
    <w:rsid w:val="008253E1"/>
    <w:rsid w:val="0082540D"/>
    <w:rsid w:val="00825440"/>
    <w:rsid w:val="00825584"/>
    <w:rsid w:val="00825592"/>
    <w:rsid w:val="00825631"/>
    <w:rsid w:val="00825736"/>
    <w:rsid w:val="008257E1"/>
    <w:rsid w:val="00825972"/>
    <w:rsid w:val="00825978"/>
    <w:rsid w:val="0082597E"/>
    <w:rsid w:val="00825AB2"/>
    <w:rsid w:val="00825B96"/>
    <w:rsid w:val="00825BA7"/>
    <w:rsid w:val="00825BAD"/>
    <w:rsid w:val="00825C4F"/>
    <w:rsid w:val="00825C64"/>
    <w:rsid w:val="00825D30"/>
    <w:rsid w:val="00825DBF"/>
    <w:rsid w:val="00825E2C"/>
    <w:rsid w:val="00825F83"/>
    <w:rsid w:val="00825FE6"/>
    <w:rsid w:val="0082607F"/>
    <w:rsid w:val="00826099"/>
    <w:rsid w:val="0082611D"/>
    <w:rsid w:val="00826310"/>
    <w:rsid w:val="008264A1"/>
    <w:rsid w:val="0082653A"/>
    <w:rsid w:val="008265F4"/>
    <w:rsid w:val="00826641"/>
    <w:rsid w:val="0082676B"/>
    <w:rsid w:val="00826881"/>
    <w:rsid w:val="008268AA"/>
    <w:rsid w:val="00826A30"/>
    <w:rsid w:val="00826ADB"/>
    <w:rsid w:val="00826B2F"/>
    <w:rsid w:val="00826BA0"/>
    <w:rsid w:val="00826D6F"/>
    <w:rsid w:val="00826D7D"/>
    <w:rsid w:val="00826DB6"/>
    <w:rsid w:val="00826E66"/>
    <w:rsid w:val="00826F37"/>
    <w:rsid w:val="0082700A"/>
    <w:rsid w:val="00827072"/>
    <w:rsid w:val="008271B7"/>
    <w:rsid w:val="00827269"/>
    <w:rsid w:val="00827366"/>
    <w:rsid w:val="008273E1"/>
    <w:rsid w:val="00827433"/>
    <w:rsid w:val="008274A3"/>
    <w:rsid w:val="008275A5"/>
    <w:rsid w:val="0082761A"/>
    <w:rsid w:val="00827635"/>
    <w:rsid w:val="00827797"/>
    <w:rsid w:val="0082781E"/>
    <w:rsid w:val="0082796F"/>
    <w:rsid w:val="0082799F"/>
    <w:rsid w:val="00827A4A"/>
    <w:rsid w:val="00827B95"/>
    <w:rsid w:val="00827DA3"/>
    <w:rsid w:val="00827DEE"/>
    <w:rsid w:val="00827F03"/>
    <w:rsid w:val="00827FEC"/>
    <w:rsid w:val="00827FF7"/>
    <w:rsid w:val="00830086"/>
    <w:rsid w:val="0083008F"/>
    <w:rsid w:val="008301B3"/>
    <w:rsid w:val="008301D3"/>
    <w:rsid w:val="008304C6"/>
    <w:rsid w:val="0083057C"/>
    <w:rsid w:val="00830733"/>
    <w:rsid w:val="0083077E"/>
    <w:rsid w:val="00830785"/>
    <w:rsid w:val="00830929"/>
    <w:rsid w:val="00830959"/>
    <w:rsid w:val="0083098C"/>
    <w:rsid w:val="008309F1"/>
    <w:rsid w:val="00830AFE"/>
    <w:rsid w:val="00830BAB"/>
    <w:rsid w:val="00830C0D"/>
    <w:rsid w:val="00830E23"/>
    <w:rsid w:val="00830E7F"/>
    <w:rsid w:val="00830E8C"/>
    <w:rsid w:val="00830EC6"/>
    <w:rsid w:val="008310A0"/>
    <w:rsid w:val="008311D8"/>
    <w:rsid w:val="0083135F"/>
    <w:rsid w:val="0083144B"/>
    <w:rsid w:val="0083144C"/>
    <w:rsid w:val="008314DB"/>
    <w:rsid w:val="00831522"/>
    <w:rsid w:val="00831565"/>
    <w:rsid w:val="008315C9"/>
    <w:rsid w:val="0083189B"/>
    <w:rsid w:val="00831A38"/>
    <w:rsid w:val="00831A5E"/>
    <w:rsid w:val="00831B0C"/>
    <w:rsid w:val="00831B9D"/>
    <w:rsid w:val="00831BEA"/>
    <w:rsid w:val="00831C13"/>
    <w:rsid w:val="00831D3C"/>
    <w:rsid w:val="00831D71"/>
    <w:rsid w:val="00831DA1"/>
    <w:rsid w:val="00831E2B"/>
    <w:rsid w:val="00831EE0"/>
    <w:rsid w:val="00831F86"/>
    <w:rsid w:val="008321CB"/>
    <w:rsid w:val="008321E3"/>
    <w:rsid w:val="00832201"/>
    <w:rsid w:val="00832248"/>
    <w:rsid w:val="008323E2"/>
    <w:rsid w:val="008323E7"/>
    <w:rsid w:val="008323ED"/>
    <w:rsid w:val="0083261E"/>
    <w:rsid w:val="0083268D"/>
    <w:rsid w:val="00832711"/>
    <w:rsid w:val="00832896"/>
    <w:rsid w:val="0083298D"/>
    <w:rsid w:val="008329EA"/>
    <w:rsid w:val="00832AA0"/>
    <w:rsid w:val="00832AA5"/>
    <w:rsid w:val="00832B2C"/>
    <w:rsid w:val="00832B58"/>
    <w:rsid w:val="00832B5E"/>
    <w:rsid w:val="00832C3E"/>
    <w:rsid w:val="00832D69"/>
    <w:rsid w:val="00832EAF"/>
    <w:rsid w:val="00832EBE"/>
    <w:rsid w:val="00832EF8"/>
    <w:rsid w:val="00832F8C"/>
    <w:rsid w:val="0083305C"/>
    <w:rsid w:val="008330EC"/>
    <w:rsid w:val="00833187"/>
    <w:rsid w:val="008332B8"/>
    <w:rsid w:val="0083338D"/>
    <w:rsid w:val="0083339F"/>
    <w:rsid w:val="008333C7"/>
    <w:rsid w:val="008333FB"/>
    <w:rsid w:val="0083343D"/>
    <w:rsid w:val="008334A2"/>
    <w:rsid w:val="008334D2"/>
    <w:rsid w:val="00833534"/>
    <w:rsid w:val="00833553"/>
    <w:rsid w:val="008336EA"/>
    <w:rsid w:val="00833765"/>
    <w:rsid w:val="0083376E"/>
    <w:rsid w:val="008337B0"/>
    <w:rsid w:val="008337C0"/>
    <w:rsid w:val="00833827"/>
    <w:rsid w:val="008338CF"/>
    <w:rsid w:val="008339B1"/>
    <w:rsid w:val="00833BA3"/>
    <w:rsid w:val="00833F08"/>
    <w:rsid w:val="00833F1C"/>
    <w:rsid w:val="00833FEB"/>
    <w:rsid w:val="0083402F"/>
    <w:rsid w:val="00834034"/>
    <w:rsid w:val="008342AD"/>
    <w:rsid w:val="008342E7"/>
    <w:rsid w:val="00834317"/>
    <w:rsid w:val="008343DA"/>
    <w:rsid w:val="00834450"/>
    <w:rsid w:val="008344B9"/>
    <w:rsid w:val="00834527"/>
    <w:rsid w:val="00834529"/>
    <w:rsid w:val="00834549"/>
    <w:rsid w:val="0083466D"/>
    <w:rsid w:val="0083470A"/>
    <w:rsid w:val="0083470D"/>
    <w:rsid w:val="00834731"/>
    <w:rsid w:val="0083473E"/>
    <w:rsid w:val="008347B5"/>
    <w:rsid w:val="008347EC"/>
    <w:rsid w:val="0083488A"/>
    <w:rsid w:val="0083492D"/>
    <w:rsid w:val="0083497A"/>
    <w:rsid w:val="00834D81"/>
    <w:rsid w:val="00834DB8"/>
    <w:rsid w:val="00834DC0"/>
    <w:rsid w:val="00834E39"/>
    <w:rsid w:val="00835079"/>
    <w:rsid w:val="0083512F"/>
    <w:rsid w:val="0083516C"/>
    <w:rsid w:val="008351F7"/>
    <w:rsid w:val="00835278"/>
    <w:rsid w:val="00835331"/>
    <w:rsid w:val="00835384"/>
    <w:rsid w:val="008353D9"/>
    <w:rsid w:val="00835451"/>
    <w:rsid w:val="00835515"/>
    <w:rsid w:val="0083551D"/>
    <w:rsid w:val="0083555B"/>
    <w:rsid w:val="00835591"/>
    <w:rsid w:val="00835692"/>
    <w:rsid w:val="00835755"/>
    <w:rsid w:val="00835773"/>
    <w:rsid w:val="00835788"/>
    <w:rsid w:val="008358F4"/>
    <w:rsid w:val="00835947"/>
    <w:rsid w:val="00835ABF"/>
    <w:rsid w:val="00835BE0"/>
    <w:rsid w:val="00835BEF"/>
    <w:rsid w:val="00835C45"/>
    <w:rsid w:val="00835CB4"/>
    <w:rsid w:val="00835D86"/>
    <w:rsid w:val="00835ED1"/>
    <w:rsid w:val="00835F2E"/>
    <w:rsid w:val="00835F34"/>
    <w:rsid w:val="00835F35"/>
    <w:rsid w:val="00836007"/>
    <w:rsid w:val="0083607C"/>
    <w:rsid w:val="00836090"/>
    <w:rsid w:val="008360D4"/>
    <w:rsid w:val="00836105"/>
    <w:rsid w:val="008361EB"/>
    <w:rsid w:val="008362E7"/>
    <w:rsid w:val="00836354"/>
    <w:rsid w:val="00836402"/>
    <w:rsid w:val="00836404"/>
    <w:rsid w:val="008365F5"/>
    <w:rsid w:val="00836676"/>
    <w:rsid w:val="00836697"/>
    <w:rsid w:val="008366F5"/>
    <w:rsid w:val="00836744"/>
    <w:rsid w:val="008367C8"/>
    <w:rsid w:val="008367E4"/>
    <w:rsid w:val="008368CE"/>
    <w:rsid w:val="00836956"/>
    <w:rsid w:val="00836B7C"/>
    <w:rsid w:val="00836BD3"/>
    <w:rsid w:val="00836D13"/>
    <w:rsid w:val="00836D45"/>
    <w:rsid w:val="00836D48"/>
    <w:rsid w:val="00836E65"/>
    <w:rsid w:val="00836FAC"/>
    <w:rsid w:val="00837170"/>
    <w:rsid w:val="00837197"/>
    <w:rsid w:val="00837210"/>
    <w:rsid w:val="008373A0"/>
    <w:rsid w:val="008373BB"/>
    <w:rsid w:val="008373C7"/>
    <w:rsid w:val="0083758E"/>
    <w:rsid w:val="0083770E"/>
    <w:rsid w:val="008377D6"/>
    <w:rsid w:val="0083794B"/>
    <w:rsid w:val="00837998"/>
    <w:rsid w:val="00837AE8"/>
    <w:rsid w:val="00837B15"/>
    <w:rsid w:val="00837B56"/>
    <w:rsid w:val="00837C71"/>
    <w:rsid w:val="00837F4E"/>
    <w:rsid w:val="00837F81"/>
    <w:rsid w:val="00837FA0"/>
    <w:rsid w:val="00837FB4"/>
    <w:rsid w:val="00837FF3"/>
    <w:rsid w:val="00840095"/>
    <w:rsid w:val="008400AE"/>
    <w:rsid w:val="008401E0"/>
    <w:rsid w:val="00840329"/>
    <w:rsid w:val="00840359"/>
    <w:rsid w:val="0084038C"/>
    <w:rsid w:val="008404FD"/>
    <w:rsid w:val="0084051B"/>
    <w:rsid w:val="0084051F"/>
    <w:rsid w:val="008405F2"/>
    <w:rsid w:val="0084098D"/>
    <w:rsid w:val="008409A8"/>
    <w:rsid w:val="00840AAD"/>
    <w:rsid w:val="00840B7A"/>
    <w:rsid w:val="00840D7F"/>
    <w:rsid w:val="00840E02"/>
    <w:rsid w:val="00840F2E"/>
    <w:rsid w:val="00840F64"/>
    <w:rsid w:val="00840FBD"/>
    <w:rsid w:val="0084105F"/>
    <w:rsid w:val="008411A5"/>
    <w:rsid w:val="008412A9"/>
    <w:rsid w:val="008412B8"/>
    <w:rsid w:val="008413D4"/>
    <w:rsid w:val="00841437"/>
    <w:rsid w:val="0084146A"/>
    <w:rsid w:val="008414BA"/>
    <w:rsid w:val="008414C5"/>
    <w:rsid w:val="00841562"/>
    <w:rsid w:val="0084161F"/>
    <w:rsid w:val="008416F1"/>
    <w:rsid w:val="00841752"/>
    <w:rsid w:val="0084176E"/>
    <w:rsid w:val="00841776"/>
    <w:rsid w:val="008417BE"/>
    <w:rsid w:val="0084180B"/>
    <w:rsid w:val="0084184E"/>
    <w:rsid w:val="00841A5C"/>
    <w:rsid w:val="00841AB2"/>
    <w:rsid w:val="00841C28"/>
    <w:rsid w:val="00841DEE"/>
    <w:rsid w:val="00841E09"/>
    <w:rsid w:val="008421AE"/>
    <w:rsid w:val="0084227C"/>
    <w:rsid w:val="0084228F"/>
    <w:rsid w:val="008422C6"/>
    <w:rsid w:val="008422E1"/>
    <w:rsid w:val="008423EC"/>
    <w:rsid w:val="00842436"/>
    <w:rsid w:val="008424EA"/>
    <w:rsid w:val="0084251B"/>
    <w:rsid w:val="0084255F"/>
    <w:rsid w:val="008425A9"/>
    <w:rsid w:val="008425F1"/>
    <w:rsid w:val="0084264C"/>
    <w:rsid w:val="00842823"/>
    <w:rsid w:val="0084293C"/>
    <w:rsid w:val="00842988"/>
    <w:rsid w:val="00842999"/>
    <w:rsid w:val="008429A9"/>
    <w:rsid w:val="008429C6"/>
    <w:rsid w:val="00842AF7"/>
    <w:rsid w:val="00842CAA"/>
    <w:rsid w:val="00842EBA"/>
    <w:rsid w:val="00842F57"/>
    <w:rsid w:val="00842FB4"/>
    <w:rsid w:val="00843104"/>
    <w:rsid w:val="0084315B"/>
    <w:rsid w:val="008431E3"/>
    <w:rsid w:val="00843259"/>
    <w:rsid w:val="008433E4"/>
    <w:rsid w:val="00843423"/>
    <w:rsid w:val="008434A4"/>
    <w:rsid w:val="008435F8"/>
    <w:rsid w:val="008436CD"/>
    <w:rsid w:val="0084372D"/>
    <w:rsid w:val="008437AB"/>
    <w:rsid w:val="00843812"/>
    <w:rsid w:val="00843865"/>
    <w:rsid w:val="008438A6"/>
    <w:rsid w:val="00843A14"/>
    <w:rsid w:val="00843AAA"/>
    <w:rsid w:val="00843B07"/>
    <w:rsid w:val="00843BDE"/>
    <w:rsid w:val="00843CF4"/>
    <w:rsid w:val="00843DA4"/>
    <w:rsid w:val="00843DDB"/>
    <w:rsid w:val="00843F37"/>
    <w:rsid w:val="008440E4"/>
    <w:rsid w:val="008441D1"/>
    <w:rsid w:val="00844229"/>
    <w:rsid w:val="0084427F"/>
    <w:rsid w:val="00844379"/>
    <w:rsid w:val="0084439F"/>
    <w:rsid w:val="008443BE"/>
    <w:rsid w:val="008443EE"/>
    <w:rsid w:val="0084440E"/>
    <w:rsid w:val="0084444D"/>
    <w:rsid w:val="0084447C"/>
    <w:rsid w:val="0084450B"/>
    <w:rsid w:val="0084459C"/>
    <w:rsid w:val="008446CD"/>
    <w:rsid w:val="00844818"/>
    <w:rsid w:val="008449D6"/>
    <w:rsid w:val="00844A4A"/>
    <w:rsid w:val="00844BD5"/>
    <w:rsid w:val="00844C11"/>
    <w:rsid w:val="00844C38"/>
    <w:rsid w:val="00844CC0"/>
    <w:rsid w:val="00844D1F"/>
    <w:rsid w:val="00844DD8"/>
    <w:rsid w:val="00844EDD"/>
    <w:rsid w:val="00844FD9"/>
    <w:rsid w:val="00844FED"/>
    <w:rsid w:val="00844FF6"/>
    <w:rsid w:val="0084505A"/>
    <w:rsid w:val="00845251"/>
    <w:rsid w:val="008452FD"/>
    <w:rsid w:val="00845354"/>
    <w:rsid w:val="0084535D"/>
    <w:rsid w:val="00845596"/>
    <w:rsid w:val="008455D7"/>
    <w:rsid w:val="008455F5"/>
    <w:rsid w:val="008457C0"/>
    <w:rsid w:val="00845808"/>
    <w:rsid w:val="0084582E"/>
    <w:rsid w:val="00845954"/>
    <w:rsid w:val="0084595D"/>
    <w:rsid w:val="008459B5"/>
    <w:rsid w:val="008459EE"/>
    <w:rsid w:val="00845B48"/>
    <w:rsid w:val="00845D14"/>
    <w:rsid w:val="00845D21"/>
    <w:rsid w:val="00845E44"/>
    <w:rsid w:val="00845FAE"/>
    <w:rsid w:val="00846001"/>
    <w:rsid w:val="00846069"/>
    <w:rsid w:val="0084610D"/>
    <w:rsid w:val="008461BE"/>
    <w:rsid w:val="00846231"/>
    <w:rsid w:val="0084624B"/>
    <w:rsid w:val="00846405"/>
    <w:rsid w:val="0084640D"/>
    <w:rsid w:val="008464CE"/>
    <w:rsid w:val="008464EA"/>
    <w:rsid w:val="008465FD"/>
    <w:rsid w:val="00846628"/>
    <w:rsid w:val="00846643"/>
    <w:rsid w:val="00846667"/>
    <w:rsid w:val="008466F6"/>
    <w:rsid w:val="008466F7"/>
    <w:rsid w:val="0084671B"/>
    <w:rsid w:val="00846743"/>
    <w:rsid w:val="0084679D"/>
    <w:rsid w:val="008467A0"/>
    <w:rsid w:val="008467E4"/>
    <w:rsid w:val="0084688C"/>
    <w:rsid w:val="00846929"/>
    <w:rsid w:val="00846984"/>
    <w:rsid w:val="00846A78"/>
    <w:rsid w:val="00846A80"/>
    <w:rsid w:val="00846BD1"/>
    <w:rsid w:val="00846BE3"/>
    <w:rsid w:val="00846C16"/>
    <w:rsid w:val="00846C63"/>
    <w:rsid w:val="00846C83"/>
    <w:rsid w:val="00846DA0"/>
    <w:rsid w:val="00846E79"/>
    <w:rsid w:val="00846EBF"/>
    <w:rsid w:val="00847051"/>
    <w:rsid w:val="00847140"/>
    <w:rsid w:val="00847166"/>
    <w:rsid w:val="0084717E"/>
    <w:rsid w:val="00847193"/>
    <w:rsid w:val="0084721D"/>
    <w:rsid w:val="00847228"/>
    <w:rsid w:val="0084730D"/>
    <w:rsid w:val="00847311"/>
    <w:rsid w:val="00847315"/>
    <w:rsid w:val="00847414"/>
    <w:rsid w:val="008474DB"/>
    <w:rsid w:val="008474E9"/>
    <w:rsid w:val="0084760F"/>
    <w:rsid w:val="0084770A"/>
    <w:rsid w:val="00847777"/>
    <w:rsid w:val="008479EE"/>
    <w:rsid w:val="00847A8E"/>
    <w:rsid w:val="00847ADF"/>
    <w:rsid w:val="00847AF8"/>
    <w:rsid w:val="00847B15"/>
    <w:rsid w:val="00847C10"/>
    <w:rsid w:val="00847CE3"/>
    <w:rsid w:val="00847CEB"/>
    <w:rsid w:val="00847E44"/>
    <w:rsid w:val="00847EAC"/>
    <w:rsid w:val="0085000F"/>
    <w:rsid w:val="00850297"/>
    <w:rsid w:val="0085029C"/>
    <w:rsid w:val="0085032B"/>
    <w:rsid w:val="0085063C"/>
    <w:rsid w:val="00850694"/>
    <w:rsid w:val="0085075F"/>
    <w:rsid w:val="00850767"/>
    <w:rsid w:val="008509A5"/>
    <w:rsid w:val="00850B7F"/>
    <w:rsid w:val="00850BC3"/>
    <w:rsid w:val="00850C56"/>
    <w:rsid w:val="00850CD7"/>
    <w:rsid w:val="00850D3D"/>
    <w:rsid w:val="00850D55"/>
    <w:rsid w:val="00850DE4"/>
    <w:rsid w:val="00850DFE"/>
    <w:rsid w:val="00850EEC"/>
    <w:rsid w:val="00850FE8"/>
    <w:rsid w:val="00851047"/>
    <w:rsid w:val="00851048"/>
    <w:rsid w:val="008511E4"/>
    <w:rsid w:val="00851229"/>
    <w:rsid w:val="0085129A"/>
    <w:rsid w:val="0085129B"/>
    <w:rsid w:val="008515D6"/>
    <w:rsid w:val="00851622"/>
    <w:rsid w:val="00851739"/>
    <w:rsid w:val="00851783"/>
    <w:rsid w:val="008517FC"/>
    <w:rsid w:val="00851844"/>
    <w:rsid w:val="00851921"/>
    <w:rsid w:val="00851958"/>
    <w:rsid w:val="0085196E"/>
    <w:rsid w:val="008519E3"/>
    <w:rsid w:val="00851AA9"/>
    <w:rsid w:val="00851B17"/>
    <w:rsid w:val="00851B5F"/>
    <w:rsid w:val="00851C07"/>
    <w:rsid w:val="00851C37"/>
    <w:rsid w:val="00851C75"/>
    <w:rsid w:val="00851CB4"/>
    <w:rsid w:val="00851DDF"/>
    <w:rsid w:val="00851ECA"/>
    <w:rsid w:val="00851F28"/>
    <w:rsid w:val="00851F4C"/>
    <w:rsid w:val="00851F69"/>
    <w:rsid w:val="00852001"/>
    <w:rsid w:val="00852010"/>
    <w:rsid w:val="00852291"/>
    <w:rsid w:val="008522DF"/>
    <w:rsid w:val="00852354"/>
    <w:rsid w:val="008524F5"/>
    <w:rsid w:val="0085251D"/>
    <w:rsid w:val="008525A7"/>
    <w:rsid w:val="00852663"/>
    <w:rsid w:val="008526A4"/>
    <w:rsid w:val="008529E1"/>
    <w:rsid w:val="00852A29"/>
    <w:rsid w:val="00852D27"/>
    <w:rsid w:val="00852E5F"/>
    <w:rsid w:val="00852F55"/>
    <w:rsid w:val="00852FAC"/>
    <w:rsid w:val="008530DE"/>
    <w:rsid w:val="0085313D"/>
    <w:rsid w:val="00853151"/>
    <w:rsid w:val="008531C2"/>
    <w:rsid w:val="00853200"/>
    <w:rsid w:val="0085320C"/>
    <w:rsid w:val="00853275"/>
    <w:rsid w:val="0085332A"/>
    <w:rsid w:val="00853462"/>
    <w:rsid w:val="00853498"/>
    <w:rsid w:val="008534F3"/>
    <w:rsid w:val="0085355E"/>
    <w:rsid w:val="008537C1"/>
    <w:rsid w:val="00853886"/>
    <w:rsid w:val="008538B5"/>
    <w:rsid w:val="0085393C"/>
    <w:rsid w:val="008539B4"/>
    <w:rsid w:val="00853A34"/>
    <w:rsid w:val="00853A83"/>
    <w:rsid w:val="00853A85"/>
    <w:rsid w:val="00853AB4"/>
    <w:rsid w:val="00853C82"/>
    <w:rsid w:val="00853DCF"/>
    <w:rsid w:val="00853E4E"/>
    <w:rsid w:val="00853EC1"/>
    <w:rsid w:val="00853F5D"/>
    <w:rsid w:val="00853FDA"/>
    <w:rsid w:val="00853FF0"/>
    <w:rsid w:val="0085401A"/>
    <w:rsid w:val="00854079"/>
    <w:rsid w:val="008540D5"/>
    <w:rsid w:val="008540F3"/>
    <w:rsid w:val="008541A0"/>
    <w:rsid w:val="008541E7"/>
    <w:rsid w:val="00854212"/>
    <w:rsid w:val="008542B1"/>
    <w:rsid w:val="008542C3"/>
    <w:rsid w:val="008542C7"/>
    <w:rsid w:val="00854471"/>
    <w:rsid w:val="0085452F"/>
    <w:rsid w:val="0085455E"/>
    <w:rsid w:val="008549AA"/>
    <w:rsid w:val="00854A3D"/>
    <w:rsid w:val="00854AE0"/>
    <w:rsid w:val="00854BBB"/>
    <w:rsid w:val="00854BBF"/>
    <w:rsid w:val="00854BEB"/>
    <w:rsid w:val="00854C0F"/>
    <w:rsid w:val="00854DA6"/>
    <w:rsid w:val="00854E48"/>
    <w:rsid w:val="00854E6D"/>
    <w:rsid w:val="00854E77"/>
    <w:rsid w:val="00854EB8"/>
    <w:rsid w:val="00854F82"/>
    <w:rsid w:val="0085500A"/>
    <w:rsid w:val="00855129"/>
    <w:rsid w:val="0085518E"/>
    <w:rsid w:val="00855254"/>
    <w:rsid w:val="0085526B"/>
    <w:rsid w:val="00855279"/>
    <w:rsid w:val="008552B1"/>
    <w:rsid w:val="008554DF"/>
    <w:rsid w:val="0085555E"/>
    <w:rsid w:val="00855614"/>
    <w:rsid w:val="0085561F"/>
    <w:rsid w:val="00855633"/>
    <w:rsid w:val="008556C4"/>
    <w:rsid w:val="00855859"/>
    <w:rsid w:val="0085592F"/>
    <w:rsid w:val="008559DE"/>
    <w:rsid w:val="00855A49"/>
    <w:rsid w:val="00855B59"/>
    <w:rsid w:val="00855C11"/>
    <w:rsid w:val="00855C26"/>
    <w:rsid w:val="00855C7E"/>
    <w:rsid w:val="00855DA2"/>
    <w:rsid w:val="00855EFA"/>
    <w:rsid w:val="00855F41"/>
    <w:rsid w:val="00855F7D"/>
    <w:rsid w:val="00855FB2"/>
    <w:rsid w:val="0085621B"/>
    <w:rsid w:val="008562F2"/>
    <w:rsid w:val="0085631F"/>
    <w:rsid w:val="00856422"/>
    <w:rsid w:val="00856531"/>
    <w:rsid w:val="008565B8"/>
    <w:rsid w:val="008565DF"/>
    <w:rsid w:val="00856608"/>
    <w:rsid w:val="0085664B"/>
    <w:rsid w:val="008566F7"/>
    <w:rsid w:val="008567C4"/>
    <w:rsid w:val="00856806"/>
    <w:rsid w:val="00856A25"/>
    <w:rsid w:val="00856A3B"/>
    <w:rsid w:val="00856A96"/>
    <w:rsid w:val="00856AC0"/>
    <w:rsid w:val="00856AFF"/>
    <w:rsid w:val="00856B2B"/>
    <w:rsid w:val="00856BCD"/>
    <w:rsid w:val="00856C10"/>
    <w:rsid w:val="00856C46"/>
    <w:rsid w:val="00856C8A"/>
    <w:rsid w:val="00856CE2"/>
    <w:rsid w:val="00856DAA"/>
    <w:rsid w:val="00857046"/>
    <w:rsid w:val="0085710F"/>
    <w:rsid w:val="00857263"/>
    <w:rsid w:val="008572DB"/>
    <w:rsid w:val="008573BB"/>
    <w:rsid w:val="0085745D"/>
    <w:rsid w:val="008574D0"/>
    <w:rsid w:val="008574E8"/>
    <w:rsid w:val="00857581"/>
    <w:rsid w:val="00857673"/>
    <w:rsid w:val="00857758"/>
    <w:rsid w:val="0085781E"/>
    <w:rsid w:val="008578C6"/>
    <w:rsid w:val="008578DA"/>
    <w:rsid w:val="00857953"/>
    <w:rsid w:val="0085798D"/>
    <w:rsid w:val="0085799D"/>
    <w:rsid w:val="00857A61"/>
    <w:rsid w:val="00857C52"/>
    <w:rsid w:val="00857D53"/>
    <w:rsid w:val="00857D5D"/>
    <w:rsid w:val="00857D5E"/>
    <w:rsid w:val="00857E08"/>
    <w:rsid w:val="00857E1D"/>
    <w:rsid w:val="00857E42"/>
    <w:rsid w:val="00857EA3"/>
    <w:rsid w:val="00857F2D"/>
    <w:rsid w:val="00857F45"/>
    <w:rsid w:val="00857F54"/>
    <w:rsid w:val="008601D3"/>
    <w:rsid w:val="00860206"/>
    <w:rsid w:val="00860302"/>
    <w:rsid w:val="008603EB"/>
    <w:rsid w:val="008603F6"/>
    <w:rsid w:val="00860675"/>
    <w:rsid w:val="00860688"/>
    <w:rsid w:val="00860866"/>
    <w:rsid w:val="008608EF"/>
    <w:rsid w:val="008608F8"/>
    <w:rsid w:val="00860A03"/>
    <w:rsid w:val="00860AE6"/>
    <w:rsid w:val="00860CA0"/>
    <w:rsid w:val="00860E9C"/>
    <w:rsid w:val="008610E7"/>
    <w:rsid w:val="00861126"/>
    <w:rsid w:val="00861185"/>
    <w:rsid w:val="00861230"/>
    <w:rsid w:val="0086124E"/>
    <w:rsid w:val="008612FE"/>
    <w:rsid w:val="008613A3"/>
    <w:rsid w:val="00861417"/>
    <w:rsid w:val="008615B9"/>
    <w:rsid w:val="00861652"/>
    <w:rsid w:val="008616FA"/>
    <w:rsid w:val="00861764"/>
    <w:rsid w:val="00861890"/>
    <w:rsid w:val="00861AA0"/>
    <w:rsid w:val="00861AC6"/>
    <w:rsid w:val="00861C3C"/>
    <w:rsid w:val="00861C77"/>
    <w:rsid w:val="00861C7F"/>
    <w:rsid w:val="00861CA3"/>
    <w:rsid w:val="00861D09"/>
    <w:rsid w:val="00861D7F"/>
    <w:rsid w:val="00861DA4"/>
    <w:rsid w:val="00861EB2"/>
    <w:rsid w:val="00861ECF"/>
    <w:rsid w:val="00862135"/>
    <w:rsid w:val="00862144"/>
    <w:rsid w:val="00862175"/>
    <w:rsid w:val="008623E6"/>
    <w:rsid w:val="008623F2"/>
    <w:rsid w:val="00862442"/>
    <w:rsid w:val="008624F7"/>
    <w:rsid w:val="008625D2"/>
    <w:rsid w:val="00862630"/>
    <w:rsid w:val="00862694"/>
    <w:rsid w:val="00862721"/>
    <w:rsid w:val="0086292D"/>
    <w:rsid w:val="00862A44"/>
    <w:rsid w:val="00862AA2"/>
    <w:rsid w:val="00862B81"/>
    <w:rsid w:val="00862BB4"/>
    <w:rsid w:val="00862BE2"/>
    <w:rsid w:val="00862C0D"/>
    <w:rsid w:val="00862D2F"/>
    <w:rsid w:val="00862D33"/>
    <w:rsid w:val="00862D82"/>
    <w:rsid w:val="00862DC5"/>
    <w:rsid w:val="00862DE3"/>
    <w:rsid w:val="00862E58"/>
    <w:rsid w:val="00862E68"/>
    <w:rsid w:val="00862E7D"/>
    <w:rsid w:val="00862F8A"/>
    <w:rsid w:val="0086302A"/>
    <w:rsid w:val="0086309E"/>
    <w:rsid w:val="00863123"/>
    <w:rsid w:val="0086320F"/>
    <w:rsid w:val="00863242"/>
    <w:rsid w:val="00863355"/>
    <w:rsid w:val="00863521"/>
    <w:rsid w:val="0086356A"/>
    <w:rsid w:val="008635CF"/>
    <w:rsid w:val="00863617"/>
    <w:rsid w:val="008637AE"/>
    <w:rsid w:val="008637E9"/>
    <w:rsid w:val="00863849"/>
    <w:rsid w:val="00863872"/>
    <w:rsid w:val="008639A1"/>
    <w:rsid w:val="00863ABD"/>
    <w:rsid w:val="00863B00"/>
    <w:rsid w:val="00863BB3"/>
    <w:rsid w:val="00863C56"/>
    <w:rsid w:val="00863CBE"/>
    <w:rsid w:val="00863D7E"/>
    <w:rsid w:val="00863D7F"/>
    <w:rsid w:val="00863E03"/>
    <w:rsid w:val="00863EBA"/>
    <w:rsid w:val="00863F45"/>
    <w:rsid w:val="00864042"/>
    <w:rsid w:val="008642CA"/>
    <w:rsid w:val="008642E8"/>
    <w:rsid w:val="008644D1"/>
    <w:rsid w:val="008645EB"/>
    <w:rsid w:val="008648C1"/>
    <w:rsid w:val="008648CE"/>
    <w:rsid w:val="008649E4"/>
    <w:rsid w:val="008649F0"/>
    <w:rsid w:val="00864A23"/>
    <w:rsid w:val="00864B13"/>
    <w:rsid w:val="00864DCC"/>
    <w:rsid w:val="00864E71"/>
    <w:rsid w:val="00864F7C"/>
    <w:rsid w:val="00865142"/>
    <w:rsid w:val="00865257"/>
    <w:rsid w:val="00865288"/>
    <w:rsid w:val="00865403"/>
    <w:rsid w:val="0086543E"/>
    <w:rsid w:val="008654B0"/>
    <w:rsid w:val="00865502"/>
    <w:rsid w:val="008655D5"/>
    <w:rsid w:val="00865653"/>
    <w:rsid w:val="008657E6"/>
    <w:rsid w:val="00865914"/>
    <w:rsid w:val="0086594B"/>
    <w:rsid w:val="00865954"/>
    <w:rsid w:val="00865A24"/>
    <w:rsid w:val="00865BC1"/>
    <w:rsid w:val="00865C32"/>
    <w:rsid w:val="00865C4A"/>
    <w:rsid w:val="00865CC8"/>
    <w:rsid w:val="00865D60"/>
    <w:rsid w:val="00865DE7"/>
    <w:rsid w:val="00865F31"/>
    <w:rsid w:val="008660B1"/>
    <w:rsid w:val="008660B8"/>
    <w:rsid w:val="008660F7"/>
    <w:rsid w:val="0086626A"/>
    <w:rsid w:val="008663B7"/>
    <w:rsid w:val="00866454"/>
    <w:rsid w:val="008664B7"/>
    <w:rsid w:val="00866506"/>
    <w:rsid w:val="00866577"/>
    <w:rsid w:val="00866660"/>
    <w:rsid w:val="008666A0"/>
    <w:rsid w:val="008666ED"/>
    <w:rsid w:val="008668CF"/>
    <w:rsid w:val="008668FC"/>
    <w:rsid w:val="008669DB"/>
    <w:rsid w:val="00866B4E"/>
    <w:rsid w:val="00866C21"/>
    <w:rsid w:val="00866DB4"/>
    <w:rsid w:val="00866EAE"/>
    <w:rsid w:val="008670D9"/>
    <w:rsid w:val="00867129"/>
    <w:rsid w:val="00867246"/>
    <w:rsid w:val="008672BE"/>
    <w:rsid w:val="00867334"/>
    <w:rsid w:val="00867365"/>
    <w:rsid w:val="00867429"/>
    <w:rsid w:val="0086745C"/>
    <w:rsid w:val="0086756D"/>
    <w:rsid w:val="008675F4"/>
    <w:rsid w:val="0086764F"/>
    <w:rsid w:val="00867660"/>
    <w:rsid w:val="008677F3"/>
    <w:rsid w:val="00867851"/>
    <w:rsid w:val="0086799E"/>
    <w:rsid w:val="008679A3"/>
    <w:rsid w:val="008679B4"/>
    <w:rsid w:val="00867ABB"/>
    <w:rsid w:val="00867AC0"/>
    <w:rsid w:val="00867B10"/>
    <w:rsid w:val="00867B68"/>
    <w:rsid w:val="00867C4F"/>
    <w:rsid w:val="00867D3D"/>
    <w:rsid w:val="00867D93"/>
    <w:rsid w:val="00867E18"/>
    <w:rsid w:val="00867E94"/>
    <w:rsid w:val="00867F1E"/>
    <w:rsid w:val="00867FF9"/>
    <w:rsid w:val="00870365"/>
    <w:rsid w:val="008704AC"/>
    <w:rsid w:val="0087052B"/>
    <w:rsid w:val="00870651"/>
    <w:rsid w:val="00870757"/>
    <w:rsid w:val="00870898"/>
    <w:rsid w:val="00870A36"/>
    <w:rsid w:val="00870B56"/>
    <w:rsid w:val="00870B93"/>
    <w:rsid w:val="00870BC1"/>
    <w:rsid w:val="00870C7E"/>
    <w:rsid w:val="00870CB6"/>
    <w:rsid w:val="00870DDB"/>
    <w:rsid w:val="00870E07"/>
    <w:rsid w:val="00870EC7"/>
    <w:rsid w:val="00871110"/>
    <w:rsid w:val="008712F9"/>
    <w:rsid w:val="0087137D"/>
    <w:rsid w:val="0087138F"/>
    <w:rsid w:val="0087140E"/>
    <w:rsid w:val="00871470"/>
    <w:rsid w:val="00871487"/>
    <w:rsid w:val="008714FD"/>
    <w:rsid w:val="008715EC"/>
    <w:rsid w:val="00871650"/>
    <w:rsid w:val="0087168A"/>
    <w:rsid w:val="00871791"/>
    <w:rsid w:val="008718AC"/>
    <w:rsid w:val="00871A46"/>
    <w:rsid w:val="00871A50"/>
    <w:rsid w:val="00871B11"/>
    <w:rsid w:val="00871B12"/>
    <w:rsid w:val="00871B7F"/>
    <w:rsid w:val="00871D7D"/>
    <w:rsid w:val="00871EA3"/>
    <w:rsid w:val="00871EB1"/>
    <w:rsid w:val="00871F55"/>
    <w:rsid w:val="00871FB5"/>
    <w:rsid w:val="00872201"/>
    <w:rsid w:val="00872232"/>
    <w:rsid w:val="00872237"/>
    <w:rsid w:val="00872247"/>
    <w:rsid w:val="008722A1"/>
    <w:rsid w:val="00872305"/>
    <w:rsid w:val="00872519"/>
    <w:rsid w:val="00872526"/>
    <w:rsid w:val="008725F5"/>
    <w:rsid w:val="008726B4"/>
    <w:rsid w:val="008726DF"/>
    <w:rsid w:val="00872749"/>
    <w:rsid w:val="0087279E"/>
    <w:rsid w:val="008727A5"/>
    <w:rsid w:val="008727CB"/>
    <w:rsid w:val="008727D0"/>
    <w:rsid w:val="0087281C"/>
    <w:rsid w:val="008729E8"/>
    <w:rsid w:val="00872A2E"/>
    <w:rsid w:val="00872B58"/>
    <w:rsid w:val="00872B95"/>
    <w:rsid w:val="00872C4D"/>
    <w:rsid w:val="00872CAB"/>
    <w:rsid w:val="00872E7D"/>
    <w:rsid w:val="00872EAF"/>
    <w:rsid w:val="00872ED6"/>
    <w:rsid w:val="00873050"/>
    <w:rsid w:val="00873118"/>
    <w:rsid w:val="0087312C"/>
    <w:rsid w:val="0087318C"/>
    <w:rsid w:val="008731D6"/>
    <w:rsid w:val="00873209"/>
    <w:rsid w:val="00873303"/>
    <w:rsid w:val="00873376"/>
    <w:rsid w:val="00873525"/>
    <w:rsid w:val="0087359B"/>
    <w:rsid w:val="00873673"/>
    <w:rsid w:val="008736A0"/>
    <w:rsid w:val="008737AC"/>
    <w:rsid w:val="008737B9"/>
    <w:rsid w:val="008737BB"/>
    <w:rsid w:val="008737E4"/>
    <w:rsid w:val="0087382E"/>
    <w:rsid w:val="008738C4"/>
    <w:rsid w:val="0087397F"/>
    <w:rsid w:val="00873986"/>
    <w:rsid w:val="008739A5"/>
    <w:rsid w:val="00873A53"/>
    <w:rsid w:val="00873A84"/>
    <w:rsid w:val="00873BEC"/>
    <w:rsid w:val="00873EBC"/>
    <w:rsid w:val="00873EEF"/>
    <w:rsid w:val="00873FA1"/>
    <w:rsid w:val="00873FE4"/>
    <w:rsid w:val="008740F4"/>
    <w:rsid w:val="008741E1"/>
    <w:rsid w:val="0087422A"/>
    <w:rsid w:val="008742FD"/>
    <w:rsid w:val="0087430C"/>
    <w:rsid w:val="00874324"/>
    <w:rsid w:val="00874380"/>
    <w:rsid w:val="00874393"/>
    <w:rsid w:val="008743C0"/>
    <w:rsid w:val="008743EB"/>
    <w:rsid w:val="00874411"/>
    <w:rsid w:val="0087443D"/>
    <w:rsid w:val="00874465"/>
    <w:rsid w:val="00874546"/>
    <w:rsid w:val="00874643"/>
    <w:rsid w:val="0087467A"/>
    <w:rsid w:val="008746F4"/>
    <w:rsid w:val="008747AC"/>
    <w:rsid w:val="0087484A"/>
    <w:rsid w:val="008748C5"/>
    <w:rsid w:val="0087498E"/>
    <w:rsid w:val="008749D6"/>
    <w:rsid w:val="00874A62"/>
    <w:rsid w:val="00874BE5"/>
    <w:rsid w:val="00874C2E"/>
    <w:rsid w:val="00874C74"/>
    <w:rsid w:val="00874CAF"/>
    <w:rsid w:val="00874CBC"/>
    <w:rsid w:val="00874CC7"/>
    <w:rsid w:val="00874D08"/>
    <w:rsid w:val="00874D11"/>
    <w:rsid w:val="00874D38"/>
    <w:rsid w:val="00874E1A"/>
    <w:rsid w:val="00874E43"/>
    <w:rsid w:val="00874E66"/>
    <w:rsid w:val="00874E89"/>
    <w:rsid w:val="00874EB9"/>
    <w:rsid w:val="00874F77"/>
    <w:rsid w:val="0087501B"/>
    <w:rsid w:val="00875064"/>
    <w:rsid w:val="0087514C"/>
    <w:rsid w:val="0087518A"/>
    <w:rsid w:val="008752CF"/>
    <w:rsid w:val="008752DC"/>
    <w:rsid w:val="00875358"/>
    <w:rsid w:val="008753A3"/>
    <w:rsid w:val="00875471"/>
    <w:rsid w:val="00875499"/>
    <w:rsid w:val="008754E1"/>
    <w:rsid w:val="00875563"/>
    <w:rsid w:val="008755FE"/>
    <w:rsid w:val="008756B2"/>
    <w:rsid w:val="0087571D"/>
    <w:rsid w:val="008757EF"/>
    <w:rsid w:val="008758D5"/>
    <w:rsid w:val="00875942"/>
    <w:rsid w:val="008759B7"/>
    <w:rsid w:val="00875CA4"/>
    <w:rsid w:val="00875D4C"/>
    <w:rsid w:val="00875D67"/>
    <w:rsid w:val="00875E18"/>
    <w:rsid w:val="00875E68"/>
    <w:rsid w:val="00875F18"/>
    <w:rsid w:val="00875F46"/>
    <w:rsid w:val="008760DB"/>
    <w:rsid w:val="008762D4"/>
    <w:rsid w:val="008762D6"/>
    <w:rsid w:val="0087634B"/>
    <w:rsid w:val="0087638F"/>
    <w:rsid w:val="008763ED"/>
    <w:rsid w:val="00876413"/>
    <w:rsid w:val="00876421"/>
    <w:rsid w:val="00876428"/>
    <w:rsid w:val="00876563"/>
    <w:rsid w:val="008765CD"/>
    <w:rsid w:val="00876602"/>
    <w:rsid w:val="0087665E"/>
    <w:rsid w:val="008766A9"/>
    <w:rsid w:val="008766F7"/>
    <w:rsid w:val="0087670B"/>
    <w:rsid w:val="0087685A"/>
    <w:rsid w:val="008768D3"/>
    <w:rsid w:val="008768E8"/>
    <w:rsid w:val="008768FA"/>
    <w:rsid w:val="008769E1"/>
    <w:rsid w:val="00876A17"/>
    <w:rsid w:val="00876A30"/>
    <w:rsid w:val="00876A43"/>
    <w:rsid w:val="00876AC0"/>
    <w:rsid w:val="00876C0E"/>
    <w:rsid w:val="00876CA6"/>
    <w:rsid w:val="00876CCA"/>
    <w:rsid w:val="00876F9C"/>
    <w:rsid w:val="00877018"/>
    <w:rsid w:val="0087713C"/>
    <w:rsid w:val="0087716B"/>
    <w:rsid w:val="0087727E"/>
    <w:rsid w:val="008772C2"/>
    <w:rsid w:val="008773CF"/>
    <w:rsid w:val="008773F8"/>
    <w:rsid w:val="008775E5"/>
    <w:rsid w:val="00877611"/>
    <w:rsid w:val="00877717"/>
    <w:rsid w:val="00877724"/>
    <w:rsid w:val="00877868"/>
    <w:rsid w:val="00877A08"/>
    <w:rsid w:val="00877ADF"/>
    <w:rsid w:val="00877B04"/>
    <w:rsid w:val="00877BAB"/>
    <w:rsid w:val="00877BAD"/>
    <w:rsid w:val="00877C32"/>
    <w:rsid w:val="00877CE6"/>
    <w:rsid w:val="00877CEF"/>
    <w:rsid w:val="00877CF2"/>
    <w:rsid w:val="00877DBC"/>
    <w:rsid w:val="00877DC9"/>
    <w:rsid w:val="00877FCE"/>
    <w:rsid w:val="00877FF2"/>
    <w:rsid w:val="00880066"/>
    <w:rsid w:val="0088007D"/>
    <w:rsid w:val="0088013E"/>
    <w:rsid w:val="0088017F"/>
    <w:rsid w:val="00880212"/>
    <w:rsid w:val="00880254"/>
    <w:rsid w:val="0088059A"/>
    <w:rsid w:val="008805CA"/>
    <w:rsid w:val="00880773"/>
    <w:rsid w:val="00880796"/>
    <w:rsid w:val="00880891"/>
    <w:rsid w:val="008808AF"/>
    <w:rsid w:val="00880A9A"/>
    <w:rsid w:val="00880B69"/>
    <w:rsid w:val="00880B7E"/>
    <w:rsid w:val="00880C09"/>
    <w:rsid w:val="00880C3A"/>
    <w:rsid w:val="00880C40"/>
    <w:rsid w:val="00880C5F"/>
    <w:rsid w:val="00880DCA"/>
    <w:rsid w:val="00880EE3"/>
    <w:rsid w:val="00880F2E"/>
    <w:rsid w:val="00880FCA"/>
    <w:rsid w:val="00881063"/>
    <w:rsid w:val="00881085"/>
    <w:rsid w:val="0088109D"/>
    <w:rsid w:val="0088117A"/>
    <w:rsid w:val="008812F3"/>
    <w:rsid w:val="0088144E"/>
    <w:rsid w:val="0088148D"/>
    <w:rsid w:val="00881516"/>
    <w:rsid w:val="0088158C"/>
    <w:rsid w:val="008815BA"/>
    <w:rsid w:val="0088166B"/>
    <w:rsid w:val="0088189D"/>
    <w:rsid w:val="008818D1"/>
    <w:rsid w:val="00881935"/>
    <w:rsid w:val="00881A1B"/>
    <w:rsid w:val="00881AB9"/>
    <w:rsid w:val="00881B71"/>
    <w:rsid w:val="00881C25"/>
    <w:rsid w:val="00881CB9"/>
    <w:rsid w:val="00881F58"/>
    <w:rsid w:val="00881FEA"/>
    <w:rsid w:val="00882021"/>
    <w:rsid w:val="008820F8"/>
    <w:rsid w:val="008821C8"/>
    <w:rsid w:val="008821E4"/>
    <w:rsid w:val="00882259"/>
    <w:rsid w:val="0088231E"/>
    <w:rsid w:val="00882330"/>
    <w:rsid w:val="00882416"/>
    <w:rsid w:val="0088242B"/>
    <w:rsid w:val="008824FB"/>
    <w:rsid w:val="00882547"/>
    <w:rsid w:val="00882548"/>
    <w:rsid w:val="00882599"/>
    <w:rsid w:val="008825FF"/>
    <w:rsid w:val="00882611"/>
    <w:rsid w:val="00882734"/>
    <w:rsid w:val="0088284B"/>
    <w:rsid w:val="008829BC"/>
    <w:rsid w:val="008829F9"/>
    <w:rsid w:val="00882BA0"/>
    <w:rsid w:val="00882CE1"/>
    <w:rsid w:val="00882DA1"/>
    <w:rsid w:val="00882DE7"/>
    <w:rsid w:val="00882E39"/>
    <w:rsid w:val="008830A4"/>
    <w:rsid w:val="0088324B"/>
    <w:rsid w:val="008832A2"/>
    <w:rsid w:val="00883320"/>
    <w:rsid w:val="00883364"/>
    <w:rsid w:val="008833C8"/>
    <w:rsid w:val="0088341B"/>
    <w:rsid w:val="00883465"/>
    <w:rsid w:val="00883474"/>
    <w:rsid w:val="008834E7"/>
    <w:rsid w:val="0088354C"/>
    <w:rsid w:val="008835C8"/>
    <w:rsid w:val="008835E4"/>
    <w:rsid w:val="008835FC"/>
    <w:rsid w:val="008837C8"/>
    <w:rsid w:val="00883801"/>
    <w:rsid w:val="00883B21"/>
    <w:rsid w:val="00883B6E"/>
    <w:rsid w:val="00883CC3"/>
    <w:rsid w:val="00883D65"/>
    <w:rsid w:val="00883D9F"/>
    <w:rsid w:val="00883E0B"/>
    <w:rsid w:val="00883E60"/>
    <w:rsid w:val="00883F34"/>
    <w:rsid w:val="00883F59"/>
    <w:rsid w:val="0088403E"/>
    <w:rsid w:val="008840C1"/>
    <w:rsid w:val="00884193"/>
    <w:rsid w:val="008841BF"/>
    <w:rsid w:val="008842AA"/>
    <w:rsid w:val="00884395"/>
    <w:rsid w:val="00884396"/>
    <w:rsid w:val="00884565"/>
    <w:rsid w:val="00884639"/>
    <w:rsid w:val="00884695"/>
    <w:rsid w:val="00884743"/>
    <w:rsid w:val="00884807"/>
    <w:rsid w:val="0088484C"/>
    <w:rsid w:val="008848CA"/>
    <w:rsid w:val="00884977"/>
    <w:rsid w:val="008849BA"/>
    <w:rsid w:val="008849E3"/>
    <w:rsid w:val="00884ABF"/>
    <w:rsid w:val="00884AF4"/>
    <w:rsid w:val="00884AFA"/>
    <w:rsid w:val="00884BE3"/>
    <w:rsid w:val="00884C41"/>
    <w:rsid w:val="00884CF4"/>
    <w:rsid w:val="00884E00"/>
    <w:rsid w:val="00884F29"/>
    <w:rsid w:val="00884F2B"/>
    <w:rsid w:val="00884F5A"/>
    <w:rsid w:val="00884F66"/>
    <w:rsid w:val="00884FDC"/>
    <w:rsid w:val="00885085"/>
    <w:rsid w:val="00885110"/>
    <w:rsid w:val="00885198"/>
    <w:rsid w:val="00885209"/>
    <w:rsid w:val="008852B9"/>
    <w:rsid w:val="008853AB"/>
    <w:rsid w:val="00885541"/>
    <w:rsid w:val="00885584"/>
    <w:rsid w:val="0088560D"/>
    <w:rsid w:val="008858BA"/>
    <w:rsid w:val="0088595E"/>
    <w:rsid w:val="008859E0"/>
    <w:rsid w:val="00885AF9"/>
    <w:rsid w:val="00885BC7"/>
    <w:rsid w:val="00885CA6"/>
    <w:rsid w:val="00885CB5"/>
    <w:rsid w:val="00885DC5"/>
    <w:rsid w:val="00885DCD"/>
    <w:rsid w:val="00885F4A"/>
    <w:rsid w:val="00886108"/>
    <w:rsid w:val="00886224"/>
    <w:rsid w:val="00886227"/>
    <w:rsid w:val="008862B9"/>
    <w:rsid w:val="008862E6"/>
    <w:rsid w:val="00886300"/>
    <w:rsid w:val="008863A3"/>
    <w:rsid w:val="008863A8"/>
    <w:rsid w:val="008863F0"/>
    <w:rsid w:val="00886453"/>
    <w:rsid w:val="00886471"/>
    <w:rsid w:val="0088647A"/>
    <w:rsid w:val="00886614"/>
    <w:rsid w:val="0088674E"/>
    <w:rsid w:val="008867A9"/>
    <w:rsid w:val="00886847"/>
    <w:rsid w:val="008868A1"/>
    <w:rsid w:val="00886AE3"/>
    <w:rsid w:val="00886BEF"/>
    <w:rsid w:val="00886CD1"/>
    <w:rsid w:val="00886D40"/>
    <w:rsid w:val="00886DD2"/>
    <w:rsid w:val="00886EE8"/>
    <w:rsid w:val="00886F2E"/>
    <w:rsid w:val="00886FA0"/>
    <w:rsid w:val="00887089"/>
    <w:rsid w:val="008870A5"/>
    <w:rsid w:val="008872AD"/>
    <w:rsid w:val="008872DF"/>
    <w:rsid w:val="008873C0"/>
    <w:rsid w:val="0088741C"/>
    <w:rsid w:val="00887486"/>
    <w:rsid w:val="008874A6"/>
    <w:rsid w:val="008874BC"/>
    <w:rsid w:val="008876CC"/>
    <w:rsid w:val="0088771D"/>
    <w:rsid w:val="00887886"/>
    <w:rsid w:val="008878C6"/>
    <w:rsid w:val="008879EB"/>
    <w:rsid w:val="00887A2C"/>
    <w:rsid w:val="00887A70"/>
    <w:rsid w:val="00887AB3"/>
    <w:rsid w:val="00887AD7"/>
    <w:rsid w:val="00887B50"/>
    <w:rsid w:val="00887CAD"/>
    <w:rsid w:val="00887DAB"/>
    <w:rsid w:val="00887E03"/>
    <w:rsid w:val="00887E3D"/>
    <w:rsid w:val="00887E89"/>
    <w:rsid w:val="00887F8D"/>
    <w:rsid w:val="0089002B"/>
    <w:rsid w:val="0089006E"/>
    <w:rsid w:val="008900CE"/>
    <w:rsid w:val="0089016F"/>
    <w:rsid w:val="008902B4"/>
    <w:rsid w:val="00890307"/>
    <w:rsid w:val="00890349"/>
    <w:rsid w:val="00890354"/>
    <w:rsid w:val="008903E1"/>
    <w:rsid w:val="0089050E"/>
    <w:rsid w:val="00890574"/>
    <w:rsid w:val="0089065B"/>
    <w:rsid w:val="0089066E"/>
    <w:rsid w:val="008906FD"/>
    <w:rsid w:val="00890979"/>
    <w:rsid w:val="00890A0C"/>
    <w:rsid w:val="00890A9F"/>
    <w:rsid w:val="00890AF8"/>
    <w:rsid w:val="00890B32"/>
    <w:rsid w:val="00890B9F"/>
    <w:rsid w:val="00890C24"/>
    <w:rsid w:val="00890DA0"/>
    <w:rsid w:val="00890E6E"/>
    <w:rsid w:val="00890F4F"/>
    <w:rsid w:val="00890F59"/>
    <w:rsid w:val="008911A0"/>
    <w:rsid w:val="00891436"/>
    <w:rsid w:val="0089151C"/>
    <w:rsid w:val="00891598"/>
    <w:rsid w:val="00891632"/>
    <w:rsid w:val="008916D6"/>
    <w:rsid w:val="008916F1"/>
    <w:rsid w:val="0089177C"/>
    <w:rsid w:val="00891781"/>
    <w:rsid w:val="0089187D"/>
    <w:rsid w:val="008918E1"/>
    <w:rsid w:val="00891A02"/>
    <w:rsid w:val="00891BC8"/>
    <w:rsid w:val="00891E8F"/>
    <w:rsid w:val="00891FD9"/>
    <w:rsid w:val="00891FE4"/>
    <w:rsid w:val="00891FFE"/>
    <w:rsid w:val="00892000"/>
    <w:rsid w:val="0089200A"/>
    <w:rsid w:val="00892067"/>
    <w:rsid w:val="008920D2"/>
    <w:rsid w:val="008921A2"/>
    <w:rsid w:val="008921CC"/>
    <w:rsid w:val="008921DA"/>
    <w:rsid w:val="00892217"/>
    <w:rsid w:val="0089221C"/>
    <w:rsid w:val="008922BA"/>
    <w:rsid w:val="008924B4"/>
    <w:rsid w:val="008924B5"/>
    <w:rsid w:val="008927FD"/>
    <w:rsid w:val="00892813"/>
    <w:rsid w:val="008928FF"/>
    <w:rsid w:val="0089298D"/>
    <w:rsid w:val="008929E7"/>
    <w:rsid w:val="00892A12"/>
    <w:rsid w:val="00892A50"/>
    <w:rsid w:val="00892AB9"/>
    <w:rsid w:val="00892B0A"/>
    <w:rsid w:val="00892C30"/>
    <w:rsid w:val="00892C5D"/>
    <w:rsid w:val="00892C6D"/>
    <w:rsid w:val="00892D9B"/>
    <w:rsid w:val="00892FD9"/>
    <w:rsid w:val="008931AB"/>
    <w:rsid w:val="00893223"/>
    <w:rsid w:val="00893421"/>
    <w:rsid w:val="008934F9"/>
    <w:rsid w:val="00893524"/>
    <w:rsid w:val="0089352B"/>
    <w:rsid w:val="008935F6"/>
    <w:rsid w:val="0089361D"/>
    <w:rsid w:val="0089389B"/>
    <w:rsid w:val="008938DC"/>
    <w:rsid w:val="00893AD0"/>
    <w:rsid w:val="00893B29"/>
    <w:rsid w:val="00893B3E"/>
    <w:rsid w:val="00893B74"/>
    <w:rsid w:val="00893BE2"/>
    <w:rsid w:val="00893C18"/>
    <w:rsid w:val="00893C5D"/>
    <w:rsid w:val="00893D27"/>
    <w:rsid w:val="00893DA0"/>
    <w:rsid w:val="00893E52"/>
    <w:rsid w:val="00893FED"/>
    <w:rsid w:val="0089406F"/>
    <w:rsid w:val="0089407A"/>
    <w:rsid w:val="00894086"/>
    <w:rsid w:val="00894189"/>
    <w:rsid w:val="008942F0"/>
    <w:rsid w:val="00894305"/>
    <w:rsid w:val="00894383"/>
    <w:rsid w:val="0089445F"/>
    <w:rsid w:val="00894583"/>
    <w:rsid w:val="008946E5"/>
    <w:rsid w:val="0089472E"/>
    <w:rsid w:val="00894A52"/>
    <w:rsid w:val="00894CFF"/>
    <w:rsid w:val="00894DF0"/>
    <w:rsid w:val="00894DF6"/>
    <w:rsid w:val="00894E34"/>
    <w:rsid w:val="00894E91"/>
    <w:rsid w:val="00894EFF"/>
    <w:rsid w:val="0089505B"/>
    <w:rsid w:val="00895134"/>
    <w:rsid w:val="00895184"/>
    <w:rsid w:val="00895423"/>
    <w:rsid w:val="0089545A"/>
    <w:rsid w:val="00895468"/>
    <w:rsid w:val="0089548B"/>
    <w:rsid w:val="008954CD"/>
    <w:rsid w:val="0089550A"/>
    <w:rsid w:val="00895528"/>
    <w:rsid w:val="0089553A"/>
    <w:rsid w:val="0089554D"/>
    <w:rsid w:val="00895551"/>
    <w:rsid w:val="00895559"/>
    <w:rsid w:val="008955C5"/>
    <w:rsid w:val="008956EA"/>
    <w:rsid w:val="00895703"/>
    <w:rsid w:val="0089574F"/>
    <w:rsid w:val="008957F8"/>
    <w:rsid w:val="00895807"/>
    <w:rsid w:val="00895819"/>
    <w:rsid w:val="008958DF"/>
    <w:rsid w:val="008958E6"/>
    <w:rsid w:val="00895926"/>
    <w:rsid w:val="0089593C"/>
    <w:rsid w:val="00895979"/>
    <w:rsid w:val="008959A1"/>
    <w:rsid w:val="008959B2"/>
    <w:rsid w:val="00895A5E"/>
    <w:rsid w:val="00895A67"/>
    <w:rsid w:val="00895B15"/>
    <w:rsid w:val="00895B75"/>
    <w:rsid w:val="00895C2B"/>
    <w:rsid w:val="00895D7D"/>
    <w:rsid w:val="00895E42"/>
    <w:rsid w:val="00895E4B"/>
    <w:rsid w:val="008960A9"/>
    <w:rsid w:val="0089617C"/>
    <w:rsid w:val="008961AB"/>
    <w:rsid w:val="0089621B"/>
    <w:rsid w:val="008962E0"/>
    <w:rsid w:val="00896310"/>
    <w:rsid w:val="00896359"/>
    <w:rsid w:val="008963D9"/>
    <w:rsid w:val="008963E1"/>
    <w:rsid w:val="00896408"/>
    <w:rsid w:val="0089644E"/>
    <w:rsid w:val="008965A9"/>
    <w:rsid w:val="008965C9"/>
    <w:rsid w:val="008965D7"/>
    <w:rsid w:val="008965E3"/>
    <w:rsid w:val="00896663"/>
    <w:rsid w:val="00896738"/>
    <w:rsid w:val="00896747"/>
    <w:rsid w:val="0089680C"/>
    <w:rsid w:val="00896869"/>
    <w:rsid w:val="008969E6"/>
    <w:rsid w:val="00896A68"/>
    <w:rsid w:val="00896A8F"/>
    <w:rsid w:val="00896B44"/>
    <w:rsid w:val="00896BAF"/>
    <w:rsid w:val="00896BD1"/>
    <w:rsid w:val="00896CDB"/>
    <w:rsid w:val="00896D7E"/>
    <w:rsid w:val="00896F6D"/>
    <w:rsid w:val="00896F88"/>
    <w:rsid w:val="008970AF"/>
    <w:rsid w:val="008970F4"/>
    <w:rsid w:val="00897114"/>
    <w:rsid w:val="00897250"/>
    <w:rsid w:val="0089725C"/>
    <w:rsid w:val="0089730F"/>
    <w:rsid w:val="008973C3"/>
    <w:rsid w:val="0089743A"/>
    <w:rsid w:val="00897574"/>
    <w:rsid w:val="00897659"/>
    <w:rsid w:val="00897677"/>
    <w:rsid w:val="0089773E"/>
    <w:rsid w:val="0089774A"/>
    <w:rsid w:val="0089787A"/>
    <w:rsid w:val="008978A4"/>
    <w:rsid w:val="008978F5"/>
    <w:rsid w:val="00897900"/>
    <w:rsid w:val="008979D8"/>
    <w:rsid w:val="00897A90"/>
    <w:rsid w:val="00897C2E"/>
    <w:rsid w:val="00897D14"/>
    <w:rsid w:val="00897DAD"/>
    <w:rsid w:val="00897F4C"/>
    <w:rsid w:val="008A0001"/>
    <w:rsid w:val="008A0071"/>
    <w:rsid w:val="008A0144"/>
    <w:rsid w:val="008A01A9"/>
    <w:rsid w:val="008A025F"/>
    <w:rsid w:val="008A0376"/>
    <w:rsid w:val="008A0446"/>
    <w:rsid w:val="008A04BA"/>
    <w:rsid w:val="008A0638"/>
    <w:rsid w:val="008A084D"/>
    <w:rsid w:val="008A0913"/>
    <w:rsid w:val="008A09B2"/>
    <w:rsid w:val="008A09E5"/>
    <w:rsid w:val="008A0A1E"/>
    <w:rsid w:val="008A0A2F"/>
    <w:rsid w:val="008A0B31"/>
    <w:rsid w:val="008A0B9E"/>
    <w:rsid w:val="008A0BE8"/>
    <w:rsid w:val="008A0D0A"/>
    <w:rsid w:val="008A0D54"/>
    <w:rsid w:val="008A0E33"/>
    <w:rsid w:val="008A0FB8"/>
    <w:rsid w:val="008A1056"/>
    <w:rsid w:val="008A12EF"/>
    <w:rsid w:val="008A1448"/>
    <w:rsid w:val="008A1575"/>
    <w:rsid w:val="008A1649"/>
    <w:rsid w:val="008A165A"/>
    <w:rsid w:val="008A16DD"/>
    <w:rsid w:val="008A18A8"/>
    <w:rsid w:val="008A18F8"/>
    <w:rsid w:val="008A1F85"/>
    <w:rsid w:val="008A20A7"/>
    <w:rsid w:val="008A210A"/>
    <w:rsid w:val="008A21B4"/>
    <w:rsid w:val="008A2234"/>
    <w:rsid w:val="008A2258"/>
    <w:rsid w:val="008A2270"/>
    <w:rsid w:val="008A2288"/>
    <w:rsid w:val="008A22D4"/>
    <w:rsid w:val="008A24E3"/>
    <w:rsid w:val="008A2570"/>
    <w:rsid w:val="008A2694"/>
    <w:rsid w:val="008A2706"/>
    <w:rsid w:val="008A2711"/>
    <w:rsid w:val="008A2714"/>
    <w:rsid w:val="008A279D"/>
    <w:rsid w:val="008A27FC"/>
    <w:rsid w:val="008A281E"/>
    <w:rsid w:val="008A28A4"/>
    <w:rsid w:val="008A28D3"/>
    <w:rsid w:val="008A28EB"/>
    <w:rsid w:val="008A28F0"/>
    <w:rsid w:val="008A29E1"/>
    <w:rsid w:val="008A2AFC"/>
    <w:rsid w:val="008A2C03"/>
    <w:rsid w:val="008A2C0B"/>
    <w:rsid w:val="008A2CEA"/>
    <w:rsid w:val="008A2D5C"/>
    <w:rsid w:val="008A2D8B"/>
    <w:rsid w:val="008A2DCC"/>
    <w:rsid w:val="008A2EA7"/>
    <w:rsid w:val="008A2EA9"/>
    <w:rsid w:val="008A2F89"/>
    <w:rsid w:val="008A2FE7"/>
    <w:rsid w:val="008A30CE"/>
    <w:rsid w:val="008A31CD"/>
    <w:rsid w:val="008A31E4"/>
    <w:rsid w:val="008A3219"/>
    <w:rsid w:val="008A3256"/>
    <w:rsid w:val="008A32AC"/>
    <w:rsid w:val="008A34A1"/>
    <w:rsid w:val="008A35E9"/>
    <w:rsid w:val="008A36E0"/>
    <w:rsid w:val="008A3734"/>
    <w:rsid w:val="008A3771"/>
    <w:rsid w:val="008A378D"/>
    <w:rsid w:val="008A3796"/>
    <w:rsid w:val="008A388B"/>
    <w:rsid w:val="008A3992"/>
    <w:rsid w:val="008A39E1"/>
    <w:rsid w:val="008A3A0B"/>
    <w:rsid w:val="008A3A2D"/>
    <w:rsid w:val="008A3BCD"/>
    <w:rsid w:val="008A3C7F"/>
    <w:rsid w:val="008A3C8D"/>
    <w:rsid w:val="008A3CC4"/>
    <w:rsid w:val="008A3D98"/>
    <w:rsid w:val="008A3DF2"/>
    <w:rsid w:val="008A3E47"/>
    <w:rsid w:val="008A3EB4"/>
    <w:rsid w:val="008A3F6D"/>
    <w:rsid w:val="008A3F77"/>
    <w:rsid w:val="008A419F"/>
    <w:rsid w:val="008A426E"/>
    <w:rsid w:val="008A4527"/>
    <w:rsid w:val="008A4889"/>
    <w:rsid w:val="008A48AF"/>
    <w:rsid w:val="008A4978"/>
    <w:rsid w:val="008A49F9"/>
    <w:rsid w:val="008A4B84"/>
    <w:rsid w:val="008A4BE6"/>
    <w:rsid w:val="008A4C2B"/>
    <w:rsid w:val="008A4CF0"/>
    <w:rsid w:val="008A4CF6"/>
    <w:rsid w:val="008A4D78"/>
    <w:rsid w:val="008A4DF5"/>
    <w:rsid w:val="008A4E8F"/>
    <w:rsid w:val="008A4F8B"/>
    <w:rsid w:val="008A5005"/>
    <w:rsid w:val="008A5098"/>
    <w:rsid w:val="008A50B0"/>
    <w:rsid w:val="008A5113"/>
    <w:rsid w:val="008A51F7"/>
    <w:rsid w:val="008A5267"/>
    <w:rsid w:val="008A5313"/>
    <w:rsid w:val="008A5435"/>
    <w:rsid w:val="008A54B8"/>
    <w:rsid w:val="008A54F1"/>
    <w:rsid w:val="008A561A"/>
    <w:rsid w:val="008A5662"/>
    <w:rsid w:val="008A56D1"/>
    <w:rsid w:val="008A56EF"/>
    <w:rsid w:val="008A5719"/>
    <w:rsid w:val="008A5720"/>
    <w:rsid w:val="008A579B"/>
    <w:rsid w:val="008A5850"/>
    <w:rsid w:val="008A5AF0"/>
    <w:rsid w:val="008A5BEE"/>
    <w:rsid w:val="008A5BFE"/>
    <w:rsid w:val="008A5C9C"/>
    <w:rsid w:val="008A5CF5"/>
    <w:rsid w:val="008A5D5C"/>
    <w:rsid w:val="008A5DC4"/>
    <w:rsid w:val="008A5DC7"/>
    <w:rsid w:val="008A5F44"/>
    <w:rsid w:val="008A5F77"/>
    <w:rsid w:val="008A6040"/>
    <w:rsid w:val="008A60EF"/>
    <w:rsid w:val="008A6196"/>
    <w:rsid w:val="008A61A3"/>
    <w:rsid w:val="008A61E5"/>
    <w:rsid w:val="008A621E"/>
    <w:rsid w:val="008A6237"/>
    <w:rsid w:val="008A62C1"/>
    <w:rsid w:val="008A6351"/>
    <w:rsid w:val="008A63B7"/>
    <w:rsid w:val="008A6433"/>
    <w:rsid w:val="008A647D"/>
    <w:rsid w:val="008A657C"/>
    <w:rsid w:val="008A6586"/>
    <w:rsid w:val="008A6752"/>
    <w:rsid w:val="008A67FE"/>
    <w:rsid w:val="008A68EB"/>
    <w:rsid w:val="008A691B"/>
    <w:rsid w:val="008A6ABF"/>
    <w:rsid w:val="008A6ADD"/>
    <w:rsid w:val="008A6B50"/>
    <w:rsid w:val="008A6B51"/>
    <w:rsid w:val="008A6B82"/>
    <w:rsid w:val="008A6B85"/>
    <w:rsid w:val="008A6BD3"/>
    <w:rsid w:val="008A6C37"/>
    <w:rsid w:val="008A6E3D"/>
    <w:rsid w:val="008A6EC7"/>
    <w:rsid w:val="008A6FA9"/>
    <w:rsid w:val="008A7067"/>
    <w:rsid w:val="008A710D"/>
    <w:rsid w:val="008A7126"/>
    <w:rsid w:val="008A7131"/>
    <w:rsid w:val="008A7132"/>
    <w:rsid w:val="008A72A8"/>
    <w:rsid w:val="008A7366"/>
    <w:rsid w:val="008A73C3"/>
    <w:rsid w:val="008A741E"/>
    <w:rsid w:val="008A7502"/>
    <w:rsid w:val="008A75AC"/>
    <w:rsid w:val="008A75BB"/>
    <w:rsid w:val="008A75EC"/>
    <w:rsid w:val="008A7777"/>
    <w:rsid w:val="008A77F9"/>
    <w:rsid w:val="008A78F5"/>
    <w:rsid w:val="008A7913"/>
    <w:rsid w:val="008A7AFC"/>
    <w:rsid w:val="008A7B56"/>
    <w:rsid w:val="008A7DB2"/>
    <w:rsid w:val="008A7DD0"/>
    <w:rsid w:val="008A7E90"/>
    <w:rsid w:val="008A7FFA"/>
    <w:rsid w:val="008B0072"/>
    <w:rsid w:val="008B008D"/>
    <w:rsid w:val="008B02CB"/>
    <w:rsid w:val="008B03EE"/>
    <w:rsid w:val="008B047A"/>
    <w:rsid w:val="008B048C"/>
    <w:rsid w:val="008B04A4"/>
    <w:rsid w:val="008B0779"/>
    <w:rsid w:val="008B07F1"/>
    <w:rsid w:val="008B08CE"/>
    <w:rsid w:val="008B0A1F"/>
    <w:rsid w:val="008B0B45"/>
    <w:rsid w:val="008B0C2F"/>
    <w:rsid w:val="008B0CB2"/>
    <w:rsid w:val="008B0CE6"/>
    <w:rsid w:val="008B0CF5"/>
    <w:rsid w:val="008B0D0A"/>
    <w:rsid w:val="008B0E0C"/>
    <w:rsid w:val="008B0E31"/>
    <w:rsid w:val="008B0E43"/>
    <w:rsid w:val="008B0E48"/>
    <w:rsid w:val="008B0E71"/>
    <w:rsid w:val="008B0FDA"/>
    <w:rsid w:val="008B10A8"/>
    <w:rsid w:val="008B11CD"/>
    <w:rsid w:val="008B1262"/>
    <w:rsid w:val="008B13F0"/>
    <w:rsid w:val="008B1473"/>
    <w:rsid w:val="008B14AA"/>
    <w:rsid w:val="008B157A"/>
    <w:rsid w:val="008B1632"/>
    <w:rsid w:val="008B17B1"/>
    <w:rsid w:val="008B18D3"/>
    <w:rsid w:val="008B19DA"/>
    <w:rsid w:val="008B1AA9"/>
    <w:rsid w:val="008B1BFF"/>
    <w:rsid w:val="008B1C97"/>
    <w:rsid w:val="008B1CFD"/>
    <w:rsid w:val="008B1DAB"/>
    <w:rsid w:val="008B1DB0"/>
    <w:rsid w:val="008B1DF7"/>
    <w:rsid w:val="008B1E75"/>
    <w:rsid w:val="008B1F75"/>
    <w:rsid w:val="008B201E"/>
    <w:rsid w:val="008B231C"/>
    <w:rsid w:val="008B23CE"/>
    <w:rsid w:val="008B2420"/>
    <w:rsid w:val="008B2497"/>
    <w:rsid w:val="008B24BA"/>
    <w:rsid w:val="008B24DB"/>
    <w:rsid w:val="008B2566"/>
    <w:rsid w:val="008B2593"/>
    <w:rsid w:val="008B25E4"/>
    <w:rsid w:val="008B284A"/>
    <w:rsid w:val="008B28D1"/>
    <w:rsid w:val="008B29A6"/>
    <w:rsid w:val="008B2B4A"/>
    <w:rsid w:val="008B2B71"/>
    <w:rsid w:val="008B2BBA"/>
    <w:rsid w:val="008B2C09"/>
    <w:rsid w:val="008B2C89"/>
    <w:rsid w:val="008B2CA7"/>
    <w:rsid w:val="008B2E04"/>
    <w:rsid w:val="008B2E90"/>
    <w:rsid w:val="008B2F9E"/>
    <w:rsid w:val="008B30AE"/>
    <w:rsid w:val="008B3167"/>
    <w:rsid w:val="008B316A"/>
    <w:rsid w:val="008B31AB"/>
    <w:rsid w:val="008B33BA"/>
    <w:rsid w:val="008B3419"/>
    <w:rsid w:val="008B3479"/>
    <w:rsid w:val="008B37B2"/>
    <w:rsid w:val="008B381B"/>
    <w:rsid w:val="008B385B"/>
    <w:rsid w:val="008B3863"/>
    <w:rsid w:val="008B3865"/>
    <w:rsid w:val="008B3993"/>
    <w:rsid w:val="008B3A0B"/>
    <w:rsid w:val="008B3B17"/>
    <w:rsid w:val="008B3C35"/>
    <w:rsid w:val="008B3D4E"/>
    <w:rsid w:val="008B3D91"/>
    <w:rsid w:val="008B3DA2"/>
    <w:rsid w:val="008B3DD7"/>
    <w:rsid w:val="008B3E2F"/>
    <w:rsid w:val="008B3E75"/>
    <w:rsid w:val="008B3F03"/>
    <w:rsid w:val="008B3F1A"/>
    <w:rsid w:val="008B3F6D"/>
    <w:rsid w:val="008B3F99"/>
    <w:rsid w:val="008B3FA4"/>
    <w:rsid w:val="008B4018"/>
    <w:rsid w:val="008B4056"/>
    <w:rsid w:val="008B40FA"/>
    <w:rsid w:val="008B4203"/>
    <w:rsid w:val="008B422E"/>
    <w:rsid w:val="008B428E"/>
    <w:rsid w:val="008B42A1"/>
    <w:rsid w:val="008B42CE"/>
    <w:rsid w:val="008B42E7"/>
    <w:rsid w:val="008B432A"/>
    <w:rsid w:val="008B43DE"/>
    <w:rsid w:val="008B451A"/>
    <w:rsid w:val="008B4521"/>
    <w:rsid w:val="008B45B5"/>
    <w:rsid w:val="008B45D5"/>
    <w:rsid w:val="008B4645"/>
    <w:rsid w:val="008B48DC"/>
    <w:rsid w:val="008B4916"/>
    <w:rsid w:val="008B4959"/>
    <w:rsid w:val="008B4AE8"/>
    <w:rsid w:val="008B4C24"/>
    <w:rsid w:val="008B4CBD"/>
    <w:rsid w:val="008B4CFF"/>
    <w:rsid w:val="008B4E06"/>
    <w:rsid w:val="008B4EEA"/>
    <w:rsid w:val="008B4FD9"/>
    <w:rsid w:val="008B50A1"/>
    <w:rsid w:val="008B50E9"/>
    <w:rsid w:val="008B518A"/>
    <w:rsid w:val="008B52AC"/>
    <w:rsid w:val="008B531F"/>
    <w:rsid w:val="008B5346"/>
    <w:rsid w:val="008B53D4"/>
    <w:rsid w:val="008B5513"/>
    <w:rsid w:val="008B5583"/>
    <w:rsid w:val="008B585C"/>
    <w:rsid w:val="008B585D"/>
    <w:rsid w:val="008B58C5"/>
    <w:rsid w:val="008B58D7"/>
    <w:rsid w:val="008B5A23"/>
    <w:rsid w:val="008B5BE6"/>
    <w:rsid w:val="008B5C08"/>
    <w:rsid w:val="008B5CE3"/>
    <w:rsid w:val="008B5D61"/>
    <w:rsid w:val="008B5D83"/>
    <w:rsid w:val="008B5D97"/>
    <w:rsid w:val="008B5DCF"/>
    <w:rsid w:val="008B5DF0"/>
    <w:rsid w:val="008B5E06"/>
    <w:rsid w:val="008B5E6C"/>
    <w:rsid w:val="008B5EB4"/>
    <w:rsid w:val="008B5F20"/>
    <w:rsid w:val="008B5F8A"/>
    <w:rsid w:val="008B602E"/>
    <w:rsid w:val="008B60A7"/>
    <w:rsid w:val="008B616C"/>
    <w:rsid w:val="008B6227"/>
    <w:rsid w:val="008B647A"/>
    <w:rsid w:val="008B65CA"/>
    <w:rsid w:val="008B6620"/>
    <w:rsid w:val="008B668B"/>
    <w:rsid w:val="008B6959"/>
    <w:rsid w:val="008B6974"/>
    <w:rsid w:val="008B6994"/>
    <w:rsid w:val="008B6CB8"/>
    <w:rsid w:val="008B6D1C"/>
    <w:rsid w:val="008B6D72"/>
    <w:rsid w:val="008B6D91"/>
    <w:rsid w:val="008B6F44"/>
    <w:rsid w:val="008B6FED"/>
    <w:rsid w:val="008B70FF"/>
    <w:rsid w:val="008B7139"/>
    <w:rsid w:val="008B71FB"/>
    <w:rsid w:val="008B7212"/>
    <w:rsid w:val="008B7242"/>
    <w:rsid w:val="008B7247"/>
    <w:rsid w:val="008B72D8"/>
    <w:rsid w:val="008B7345"/>
    <w:rsid w:val="008B74A9"/>
    <w:rsid w:val="008B74F5"/>
    <w:rsid w:val="008B7597"/>
    <w:rsid w:val="008B7640"/>
    <w:rsid w:val="008B76A2"/>
    <w:rsid w:val="008B77AD"/>
    <w:rsid w:val="008B781B"/>
    <w:rsid w:val="008B786F"/>
    <w:rsid w:val="008B7962"/>
    <w:rsid w:val="008B79B9"/>
    <w:rsid w:val="008B7A25"/>
    <w:rsid w:val="008B7A46"/>
    <w:rsid w:val="008B7A5B"/>
    <w:rsid w:val="008B7A6F"/>
    <w:rsid w:val="008B7BAC"/>
    <w:rsid w:val="008B7C27"/>
    <w:rsid w:val="008B7C68"/>
    <w:rsid w:val="008B7CD0"/>
    <w:rsid w:val="008B7D5E"/>
    <w:rsid w:val="008B7D82"/>
    <w:rsid w:val="008B7E38"/>
    <w:rsid w:val="008B7EDE"/>
    <w:rsid w:val="008B7FD4"/>
    <w:rsid w:val="008C0043"/>
    <w:rsid w:val="008C006A"/>
    <w:rsid w:val="008C00C0"/>
    <w:rsid w:val="008C00C2"/>
    <w:rsid w:val="008C00D6"/>
    <w:rsid w:val="008C012F"/>
    <w:rsid w:val="008C01B2"/>
    <w:rsid w:val="008C01BD"/>
    <w:rsid w:val="008C01D6"/>
    <w:rsid w:val="008C02CC"/>
    <w:rsid w:val="008C0300"/>
    <w:rsid w:val="008C03FE"/>
    <w:rsid w:val="008C05DA"/>
    <w:rsid w:val="008C06C7"/>
    <w:rsid w:val="008C06E0"/>
    <w:rsid w:val="008C07FA"/>
    <w:rsid w:val="008C0A92"/>
    <w:rsid w:val="008C0BE7"/>
    <w:rsid w:val="008C0C7B"/>
    <w:rsid w:val="008C0C7C"/>
    <w:rsid w:val="008C0DC7"/>
    <w:rsid w:val="008C0FE6"/>
    <w:rsid w:val="008C11D3"/>
    <w:rsid w:val="008C11FB"/>
    <w:rsid w:val="008C1205"/>
    <w:rsid w:val="008C1252"/>
    <w:rsid w:val="008C13F7"/>
    <w:rsid w:val="008C14D3"/>
    <w:rsid w:val="008C1547"/>
    <w:rsid w:val="008C1566"/>
    <w:rsid w:val="008C15E7"/>
    <w:rsid w:val="008C1704"/>
    <w:rsid w:val="008C173B"/>
    <w:rsid w:val="008C1900"/>
    <w:rsid w:val="008C191B"/>
    <w:rsid w:val="008C19B2"/>
    <w:rsid w:val="008C19B7"/>
    <w:rsid w:val="008C1A2E"/>
    <w:rsid w:val="008C1AAD"/>
    <w:rsid w:val="008C1BA1"/>
    <w:rsid w:val="008C1BEF"/>
    <w:rsid w:val="008C1C24"/>
    <w:rsid w:val="008C1C7A"/>
    <w:rsid w:val="008C1E25"/>
    <w:rsid w:val="008C1E8F"/>
    <w:rsid w:val="008C1ECE"/>
    <w:rsid w:val="008C2262"/>
    <w:rsid w:val="008C22F3"/>
    <w:rsid w:val="008C240A"/>
    <w:rsid w:val="008C24AF"/>
    <w:rsid w:val="008C24BF"/>
    <w:rsid w:val="008C24E8"/>
    <w:rsid w:val="008C2535"/>
    <w:rsid w:val="008C256E"/>
    <w:rsid w:val="008C25D9"/>
    <w:rsid w:val="008C2802"/>
    <w:rsid w:val="008C288F"/>
    <w:rsid w:val="008C2A3A"/>
    <w:rsid w:val="008C2AF4"/>
    <w:rsid w:val="008C2B49"/>
    <w:rsid w:val="008C2C1E"/>
    <w:rsid w:val="008C2D07"/>
    <w:rsid w:val="008C2E1F"/>
    <w:rsid w:val="008C2EB1"/>
    <w:rsid w:val="008C2ED0"/>
    <w:rsid w:val="008C2FF3"/>
    <w:rsid w:val="008C3227"/>
    <w:rsid w:val="008C32D3"/>
    <w:rsid w:val="008C32FF"/>
    <w:rsid w:val="008C34DE"/>
    <w:rsid w:val="008C3615"/>
    <w:rsid w:val="008C3625"/>
    <w:rsid w:val="008C3691"/>
    <w:rsid w:val="008C36D0"/>
    <w:rsid w:val="008C3726"/>
    <w:rsid w:val="008C3752"/>
    <w:rsid w:val="008C38A4"/>
    <w:rsid w:val="008C3A02"/>
    <w:rsid w:val="008C3AF3"/>
    <w:rsid w:val="008C3C8E"/>
    <w:rsid w:val="008C3CD2"/>
    <w:rsid w:val="008C3D82"/>
    <w:rsid w:val="008C3D8F"/>
    <w:rsid w:val="008C401D"/>
    <w:rsid w:val="008C4070"/>
    <w:rsid w:val="008C407E"/>
    <w:rsid w:val="008C40B0"/>
    <w:rsid w:val="008C4146"/>
    <w:rsid w:val="008C4246"/>
    <w:rsid w:val="008C43CE"/>
    <w:rsid w:val="008C43ED"/>
    <w:rsid w:val="008C43FE"/>
    <w:rsid w:val="008C4486"/>
    <w:rsid w:val="008C45B9"/>
    <w:rsid w:val="008C4605"/>
    <w:rsid w:val="008C46D6"/>
    <w:rsid w:val="008C46EA"/>
    <w:rsid w:val="008C473D"/>
    <w:rsid w:val="008C4756"/>
    <w:rsid w:val="008C4795"/>
    <w:rsid w:val="008C4818"/>
    <w:rsid w:val="008C48F7"/>
    <w:rsid w:val="008C496B"/>
    <w:rsid w:val="008C4B80"/>
    <w:rsid w:val="008C4C04"/>
    <w:rsid w:val="008C4C06"/>
    <w:rsid w:val="008C4C54"/>
    <w:rsid w:val="008C4CB9"/>
    <w:rsid w:val="008C4D57"/>
    <w:rsid w:val="008C4D95"/>
    <w:rsid w:val="008C4DA1"/>
    <w:rsid w:val="008C4EA7"/>
    <w:rsid w:val="008C5131"/>
    <w:rsid w:val="008C5152"/>
    <w:rsid w:val="008C51AD"/>
    <w:rsid w:val="008C5222"/>
    <w:rsid w:val="008C53E2"/>
    <w:rsid w:val="008C5516"/>
    <w:rsid w:val="008C5543"/>
    <w:rsid w:val="008C5623"/>
    <w:rsid w:val="008C5748"/>
    <w:rsid w:val="008C5768"/>
    <w:rsid w:val="008C580F"/>
    <w:rsid w:val="008C5880"/>
    <w:rsid w:val="008C58CE"/>
    <w:rsid w:val="008C59E6"/>
    <w:rsid w:val="008C5AC4"/>
    <w:rsid w:val="008C5BA8"/>
    <w:rsid w:val="008C5BF1"/>
    <w:rsid w:val="008C5BF7"/>
    <w:rsid w:val="008C5C19"/>
    <w:rsid w:val="008C5C52"/>
    <w:rsid w:val="008C5C79"/>
    <w:rsid w:val="008C5D15"/>
    <w:rsid w:val="008C5D90"/>
    <w:rsid w:val="008C5E9D"/>
    <w:rsid w:val="008C6065"/>
    <w:rsid w:val="008C619E"/>
    <w:rsid w:val="008C622E"/>
    <w:rsid w:val="008C62F0"/>
    <w:rsid w:val="008C64F9"/>
    <w:rsid w:val="008C6503"/>
    <w:rsid w:val="008C663B"/>
    <w:rsid w:val="008C6705"/>
    <w:rsid w:val="008C6773"/>
    <w:rsid w:val="008C682A"/>
    <w:rsid w:val="008C689C"/>
    <w:rsid w:val="008C68DC"/>
    <w:rsid w:val="008C68FC"/>
    <w:rsid w:val="008C6934"/>
    <w:rsid w:val="008C6ACD"/>
    <w:rsid w:val="008C6B08"/>
    <w:rsid w:val="008C6B8E"/>
    <w:rsid w:val="008C6C49"/>
    <w:rsid w:val="008C6CB1"/>
    <w:rsid w:val="008C6D11"/>
    <w:rsid w:val="008C6E60"/>
    <w:rsid w:val="008C6FFC"/>
    <w:rsid w:val="008C7060"/>
    <w:rsid w:val="008C70AA"/>
    <w:rsid w:val="008C70B5"/>
    <w:rsid w:val="008C7127"/>
    <w:rsid w:val="008C71D0"/>
    <w:rsid w:val="008C71D6"/>
    <w:rsid w:val="008C71FC"/>
    <w:rsid w:val="008C754D"/>
    <w:rsid w:val="008C757D"/>
    <w:rsid w:val="008C75DB"/>
    <w:rsid w:val="008C75DF"/>
    <w:rsid w:val="008C7603"/>
    <w:rsid w:val="008C7685"/>
    <w:rsid w:val="008C76E8"/>
    <w:rsid w:val="008C7775"/>
    <w:rsid w:val="008C7806"/>
    <w:rsid w:val="008C78A4"/>
    <w:rsid w:val="008C7996"/>
    <w:rsid w:val="008C79D4"/>
    <w:rsid w:val="008C7AC2"/>
    <w:rsid w:val="008C7B68"/>
    <w:rsid w:val="008C7B6C"/>
    <w:rsid w:val="008C7B9A"/>
    <w:rsid w:val="008C7BA0"/>
    <w:rsid w:val="008C7BCB"/>
    <w:rsid w:val="008C7C31"/>
    <w:rsid w:val="008C7CF9"/>
    <w:rsid w:val="008C7D29"/>
    <w:rsid w:val="008C7DC1"/>
    <w:rsid w:val="008C7E49"/>
    <w:rsid w:val="008C7E4E"/>
    <w:rsid w:val="008C7F74"/>
    <w:rsid w:val="008D0013"/>
    <w:rsid w:val="008D0075"/>
    <w:rsid w:val="008D0192"/>
    <w:rsid w:val="008D01C8"/>
    <w:rsid w:val="008D01CD"/>
    <w:rsid w:val="008D04E7"/>
    <w:rsid w:val="008D0505"/>
    <w:rsid w:val="008D0557"/>
    <w:rsid w:val="008D0590"/>
    <w:rsid w:val="008D0605"/>
    <w:rsid w:val="008D0645"/>
    <w:rsid w:val="008D06A0"/>
    <w:rsid w:val="008D08A8"/>
    <w:rsid w:val="008D08DD"/>
    <w:rsid w:val="008D08F9"/>
    <w:rsid w:val="008D0A25"/>
    <w:rsid w:val="008D0A47"/>
    <w:rsid w:val="008D0B05"/>
    <w:rsid w:val="008D0B75"/>
    <w:rsid w:val="008D0CB5"/>
    <w:rsid w:val="008D0E5F"/>
    <w:rsid w:val="008D0E68"/>
    <w:rsid w:val="008D0F78"/>
    <w:rsid w:val="008D1009"/>
    <w:rsid w:val="008D1045"/>
    <w:rsid w:val="008D1113"/>
    <w:rsid w:val="008D1164"/>
    <w:rsid w:val="008D11BA"/>
    <w:rsid w:val="008D1231"/>
    <w:rsid w:val="008D1295"/>
    <w:rsid w:val="008D12C5"/>
    <w:rsid w:val="008D12D9"/>
    <w:rsid w:val="008D147B"/>
    <w:rsid w:val="008D14AB"/>
    <w:rsid w:val="008D14F6"/>
    <w:rsid w:val="008D1565"/>
    <w:rsid w:val="008D16CA"/>
    <w:rsid w:val="008D1880"/>
    <w:rsid w:val="008D1884"/>
    <w:rsid w:val="008D1924"/>
    <w:rsid w:val="008D1976"/>
    <w:rsid w:val="008D19D2"/>
    <w:rsid w:val="008D19E8"/>
    <w:rsid w:val="008D1A23"/>
    <w:rsid w:val="008D1A37"/>
    <w:rsid w:val="008D1AD3"/>
    <w:rsid w:val="008D1B1C"/>
    <w:rsid w:val="008D1BF3"/>
    <w:rsid w:val="008D1CB5"/>
    <w:rsid w:val="008D1CBF"/>
    <w:rsid w:val="008D1CEF"/>
    <w:rsid w:val="008D1D48"/>
    <w:rsid w:val="008D1D95"/>
    <w:rsid w:val="008D1E06"/>
    <w:rsid w:val="008D1E34"/>
    <w:rsid w:val="008D1F03"/>
    <w:rsid w:val="008D1FEE"/>
    <w:rsid w:val="008D200F"/>
    <w:rsid w:val="008D2231"/>
    <w:rsid w:val="008D229F"/>
    <w:rsid w:val="008D2368"/>
    <w:rsid w:val="008D2391"/>
    <w:rsid w:val="008D244A"/>
    <w:rsid w:val="008D24D0"/>
    <w:rsid w:val="008D2526"/>
    <w:rsid w:val="008D2636"/>
    <w:rsid w:val="008D26AA"/>
    <w:rsid w:val="008D2753"/>
    <w:rsid w:val="008D286E"/>
    <w:rsid w:val="008D28AE"/>
    <w:rsid w:val="008D2ABD"/>
    <w:rsid w:val="008D2B4A"/>
    <w:rsid w:val="008D2B77"/>
    <w:rsid w:val="008D2D9E"/>
    <w:rsid w:val="008D2F85"/>
    <w:rsid w:val="008D2FDB"/>
    <w:rsid w:val="008D2FE1"/>
    <w:rsid w:val="008D312E"/>
    <w:rsid w:val="008D31B8"/>
    <w:rsid w:val="008D33AE"/>
    <w:rsid w:val="008D33FF"/>
    <w:rsid w:val="008D3439"/>
    <w:rsid w:val="008D34E4"/>
    <w:rsid w:val="008D3774"/>
    <w:rsid w:val="008D3797"/>
    <w:rsid w:val="008D37A7"/>
    <w:rsid w:val="008D3AD6"/>
    <w:rsid w:val="008D3ADD"/>
    <w:rsid w:val="008D3AEF"/>
    <w:rsid w:val="008D3B1D"/>
    <w:rsid w:val="008D3B86"/>
    <w:rsid w:val="008D3D1D"/>
    <w:rsid w:val="008D3E00"/>
    <w:rsid w:val="008D3E93"/>
    <w:rsid w:val="008D3EA0"/>
    <w:rsid w:val="008D3ED6"/>
    <w:rsid w:val="008D3FFE"/>
    <w:rsid w:val="008D428F"/>
    <w:rsid w:val="008D4364"/>
    <w:rsid w:val="008D4706"/>
    <w:rsid w:val="008D475D"/>
    <w:rsid w:val="008D4779"/>
    <w:rsid w:val="008D4800"/>
    <w:rsid w:val="008D48EE"/>
    <w:rsid w:val="008D492A"/>
    <w:rsid w:val="008D4A9B"/>
    <w:rsid w:val="008D4B51"/>
    <w:rsid w:val="008D4B85"/>
    <w:rsid w:val="008D4BE6"/>
    <w:rsid w:val="008D4C9D"/>
    <w:rsid w:val="008D4D48"/>
    <w:rsid w:val="008D4EDA"/>
    <w:rsid w:val="008D4F0A"/>
    <w:rsid w:val="008D4F16"/>
    <w:rsid w:val="008D4F40"/>
    <w:rsid w:val="008D4F94"/>
    <w:rsid w:val="008D5076"/>
    <w:rsid w:val="008D50FE"/>
    <w:rsid w:val="008D5100"/>
    <w:rsid w:val="008D51B4"/>
    <w:rsid w:val="008D5394"/>
    <w:rsid w:val="008D5538"/>
    <w:rsid w:val="008D5626"/>
    <w:rsid w:val="008D5669"/>
    <w:rsid w:val="008D5871"/>
    <w:rsid w:val="008D58F9"/>
    <w:rsid w:val="008D5A77"/>
    <w:rsid w:val="008D5AE7"/>
    <w:rsid w:val="008D5BF7"/>
    <w:rsid w:val="008D5C93"/>
    <w:rsid w:val="008D5DB5"/>
    <w:rsid w:val="008D5E8A"/>
    <w:rsid w:val="008D5EDB"/>
    <w:rsid w:val="008D5F2A"/>
    <w:rsid w:val="008D5F7F"/>
    <w:rsid w:val="008D6077"/>
    <w:rsid w:val="008D622F"/>
    <w:rsid w:val="008D624B"/>
    <w:rsid w:val="008D6327"/>
    <w:rsid w:val="008D6395"/>
    <w:rsid w:val="008D646B"/>
    <w:rsid w:val="008D652C"/>
    <w:rsid w:val="008D6555"/>
    <w:rsid w:val="008D65CF"/>
    <w:rsid w:val="008D6674"/>
    <w:rsid w:val="008D6689"/>
    <w:rsid w:val="008D6808"/>
    <w:rsid w:val="008D6953"/>
    <w:rsid w:val="008D6960"/>
    <w:rsid w:val="008D6A38"/>
    <w:rsid w:val="008D6BB7"/>
    <w:rsid w:val="008D6C88"/>
    <w:rsid w:val="008D6C91"/>
    <w:rsid w:val="008D6EDF"/>
    <w:rsid w:val="008D6F5E"/>
    <w:rsid w:val="008D6FFC"/>
    <w:rsid w:val="008D7043"/>
    <w:rsid w:val="008D72C5"/>
    <w:rsid w:val="008D7301"/>
    <w:rsid w:val="008D732E"/>
    <w:rsid w:val="008D745A"/>
    <w:rsid w:val="008D745D"/>
    <w:rsid w:val="008D7545"/>
    <w:rsid w:val="008D7882"/>
    <w:rsid w:val="008D7973"/>
    <w:rsid w:val="008D79A2"/>
    <w:rsid w:val="008D7A12"/>
    <w:rsid w:val="008D7AAD"/>
    <w:rsid w:val="008D7AD0"/>
    <w:rsid w:val="008D7BC0"/>
    <w:rsid w:val="008D7CD0"/>
    <w:rsid w:val="008D7DA7"/>
    <w:rsid w:val="008E0244"/>
    <w:rsid w:val="008E0256"/>
    <w:rsid w:val="008E0264"/>
    <w:rsid w:val="008E02AC"/>
    <w:rsid w:val="008E02F7"/>
    <w:rsid w:val="008E0487"/>
    <w:rsid w:val="008E04B3"/>
    <w:rsid w:val="008E0523"/>
    <w:rsid w:val="008E06E2"/>
    <w:rsid w:val="008E06F3"/>
    <w:rsid w:val="008E0887"/>
    <w:rsid w:val="008E0C72"/>
    <w:rsid w:val="008E0CBD"/>
    <w:rsid w:val="008E0CBE"/>
    <w:rsid w:val="008E0D72"/>
    <w:rsid w:val="008E0F05"/>
    <w:rsid w:val="008E0F26"/>
    <w:rsid w:val="008E0F3B"/>
    <w:rsid w:val="008E0F65"/>
    <w:rsid w:val="008E0FDD"/>
    <w:rsid w:val="008E100D"/>
    <w:rsid w:val="008E109B"/>
    <w:rsid w:val="008E1191"/>
    <w:rsid w:val="008E11A4"/>
    <w:rsid w:val="008E1211"/>
    <w:rsid w:val="008E12A0"/>
    <w:rsid w:val="008E12B8"/>
    <w:rsid w:val="008E1328"/>
    <w:rsid w:val="008E13E5"/>
    <w:rsid w:val="008E147A"/>
    <w:rsid w:val="008E1578"/>
    <w:rsid w:val="008E15F9"/>
    <w:rsid w:val="008E1746"/>
    <w:rsid w:val="008E17A2"/>
    <w:rsid w:val="008E191B"/>
    <w:rsid w:val="008E1BC8"/>
    <w:rsid w:val="008E1BED"/>
    <w:rsid w:val="008E1C62"/>
    <w:rsid w:val="008E1C89"/>
    <w:rsid w:val="008E1D79"/>
    <w:rsid w:val="008E1DD9"/>
    <w:rsid w:val="008E1F65"/>
    <w:rsid w:val="008E1FD9"/>
    <w:rsid w:val="008E203C"/>
    <w:rsid w:val="008E21CB"/>
    <w:rsid w:val="008E21E6"/>
    <w:rsid w:val="008E221B"/>
    <w:rsid w:val="008E2248"/>
    <w:rsid w:val="008E22B5"/>
    <w:rsid w:val="008E2430"/>
    <w:rsid w:val="008E2444"/>
    <w:rsid w:val="008E244B"/>
    <w:rsid w:val="008E245D"/>
    <w:rsid w:val="008E2463"/>
    <w:rsid w:val="008E24C0"/>
    <w:rsid w:val="008E252B"/>
    <w:rsid w:val="008E2549"/>
    <w:rsid w:val="008E2643"/>
    <w:rsid w:val="008E2725"/>
    <w:rsid w:val="008E282D"/>
    <w:rsid w:val="008E29A8"/>
    <w:rsid w:val="008E2A41"/>
    <w:rsid w:val="008E2AED"/>
    <w:rsid w:val="008E2AF8"/>
    <w:rsid w:val="008E2B93"/>
    <w:rsid w:val="008E2C5E"/>
    <w:rsid w:val="008E2C64"/>
    <w:rsid w:val="008E2EB0"/>
    <w:rsid w:val="008E2EC9"/>
    <w:rsid w:val="008E2F02"/>
    <w:rsid w:val="008E2FE9"/>
    <w:rsid w:val="008E310F"/>
    <w:rsid w:val="008E3243"/>
    <w:rsid w:val="008E333E"/>
    <w:rsid w:val="008E3349"/>
    <w:rsid w:val="008E354D"/>
    <w:rsid w:val="008E35A3"/>
    <w:rsid w:val="008E363B"/>
    <w:rsid w:val="008E364E"/>
    <w:rsid w:val="008E3681"/>
    <w:rsid w:val="008E3698"/>
    <w:rsid w:val="008E36E4"/>
    <w:rsid w:val="008E3700"/>
    <w:rsid w:val="008E3836"/>
    <w:rsid w:val="008E3883"/>
    <w:rsid w:val="008E38DE"/>
    <w:rsid w:val="008E3944"/>
    <w:rsid w:val="008E39EB"/>
    <w:rsid w:val="008E3AB0"/>
    <w:rsid w:val="008E3B39"/>
    <w:rsid w:val="008E3BA7"/>
    <w:rsid w:val="008E3CD5"/>
    <w:rsid w:val="008E3CDA"/>
    <w:rsid w:val="008E3CE8"/>
    <w:rsid w:val="008E3D11"/>
    <w:rsid w:val="008E3DAE"/>
    <w:rsid w:val="008E3F0E"/>
    <w:rsid w:val="008E3F2C"/>
    <w:rsid w:val="008E4132"/>
    <w:rsid w:val="008E41A8"/>
    <w:rsid w:val="008E421C"/>
    <w:rsid w:val="008E42AA"/>
    <w:rsid w:val="008E445D"/>
    <w:rsid w:val="008E4587"/>
    <w:rsid w:val="008E46F2"/>
    <w:rsid w:val="008E47F9"/>
    <w:rsid w:val="008E485B"/>
    <w:rsid w:val="008E48E2"/>
    <w:rsid w:val="008E498E"/>
    <w:rsid w:val="008E4A11"/>
    <w:rsid w:val="008E4A27"/>
    <w:rsid w:val="008E4B36"/>
    <w:rsid w:val="008E4B6E"/>
    <w:rsid w:val="008E4DF3"/>
    <w:rsid w:val="008E4FBE"/>
    <w:rsid w:val="008E509E"/>
    <w:rsid w:val="008E50D5"/>
    <w:rsid w:val="008E50FA"/>
    <w:rsid w:val="008E5139"/>
    <w:rsid w:val="008E5277"/>
    <w:rsid w:val="008E52DE"/>
    <w:rsid w:val="008E5413"/>
    <w:rsid w:val="008E5445"/>
    <w:rsid w:val="008E5510"/>
    <w:rsid w:val="008E5772"/>
    <w:rsid w:val="008E583E"/>
    <w:rsid w:val="008E5AB4"/>
    <w:rsid w:val="008E5B19"/>
    <w:rsid w:val="008E5B82"/>
    <w:rsid w:val="008E5DAD"/>
    <w:rsid w:val="008E5E70"/>
    <w:rsid w:val="008E5E92"/>
    <w:rsid w:val="008E5EBB"/>
    <w:rsid w:val="008E60AD"/>
    <w:rsid w:val="008E6224"/>
    <w:rsid w:val="008E6237"/>
    <w:rsid w:val="008E6267"/>
    <w:rsid w:val="008E62DA"/>
    <w:rsid w:val="008E6346"/>
    <w:rsid w:val="008E63C0"/>
    <w:rsid w:val="008E64D1"/>
    <w:rsid w:val="008E65AC"/>
    <w:rsid w:val="008E65B7"/>
    <w:rsid w:val="008E6734"/>
    <w:rsid w:val="008E6776"/>
    <w:rsid w:val="008E67A8"/>
    <w:rsid w:val="008E6862"/>
    <w:rsid w:val="008E68D5"/>
    <w:rsid w:val="008E6AAF"/>
    <w:rsid w:val="008E6AD4"/>
    <w:rsid w:val="008E6AF2"/>
    <w:rsid w:val="008E6B20"/>
    <w:rsid w:val="008E6B68"/>
    <w:rsid w:val="008E6BA8"/>
    <w:rsid w:val="008E6BE5"/>
    <w:rsid w:val="008E6C5E"/>
    <w:rsid w:val="008E6C63"/>
    <w:rsid w:val="008E6D64"/>
    <w:rsid w:val="008E6E18"/>
    <w:rsid w:val="008E6F6C"/>
    <w:rsid w:val="008E6F80"/>
    <w:rsid w:val="008E711D"/>
    <w:rsid w:val="008E776F"/>
    <w:rsid w:val="008E7877"/>
    <w:rsid w:val="008E7981"/>
    <w:rsid w:val="008E7A18"/>
    <w:rsid w:val="008E7A23"/>
    <w:rsid w:val="008E7AC3"/>
    <w:rsid w:val="008E7AF2"/>
    <w:rsid w:val="008E7B35"/>
    <w:rsid w:val="008E7CCE"/>
    <w:rsid w:val="008E7D9A"/>
    <w:rsid w:val="008E7EE0"/>
    <w:rsid w:val="008E7FEA"/>
    <w:rsid w:val="008F00E8"/>
    <w:rsid w:val="008F00F5"/>
    <w:rsid w:val="008F01D5"/>
    <w:rsid w:val="008F02AE"/>
    <w:rsid w:val="008F035B"/>
    <w:rsid w:val="008F03C1"/>
    <w:rsid w:val="008F03D6"/>
    <w:rsid w:val="008F03F6"/>
    <w:rsid w:val="008F041C"/>
    <w:rsid w:val="008F051B"/>
    <w:rsid w:val="008F061E"/>
    <w:rsid w:val="008F068C"/>
    <w:rsid w:val="008F06CC"/>
    <w:rsid w:val="008F0897"/>
    <w:rsid w:val="008F0AC6"/>
    <w:rsid w:val="008F0D09"/>
    <w:rsid w:val="008F0D37"/>
    <w:rsid w:val="008F0DD6"/>
    <w:rsid w:val="008F0EB9"/>
    <w:rsid w:val="008F1033"/>
    <w:rsid w:val="008F1063"/>
    <w:rsid w:val="008F1167"/>
    <w:rsid w:val="008F11BD"/>
    <w:rsid w:val="008F1342"/>
    <w:rsid w:val="008F1441"/>
    <w:rsid w:val="008F1487"/>
    <w:rsid w:val="008F1528"/>
    <w:rsid w:val="008F1540"/>
    <w:rsid w:val="008F1663"/>
    <w:rsid w:val="008F1777"/>
    <w:rsid w:val="008F180A"/>
    <w:rsid w:val="008F1851"/>
    <w:rsid w:val="008F1873"/>
    <w:rsid w:val="008F18A3"/>
    <w:rsid w:val="008F1930"/>
    <w:rsid w:val="008F195D"/>
    <w:rsid w:val="008F1A07"/>
    <w:rsid w:val="008F1AAE"/>
    <w:rsid w:val="008F1AE0"/>
    <w:rsid w:val="008F1CB3"/>
    <w:rsid w:val="008F1D22"/>
    <w:rsid w:val="008F1D2B"/>
    <w:rsid w:val="008F1EB4"/>
    <w:rsid w:val="008F1F4B"/>
    <w:rsid w:val="008F20AE"/>
    <w:rsid w:val="008F20C3"/>
    <w:rsid w:val="008F20D9"/>
    <w:rsid w:val="008F219C"/>
    <w:rsid w:val="008F21D0"/>
    <w:rsid w:val="008F2226"/>
    <w:rsid w:val="008F2238"/>
    <w:rsid w:val="008F2265"/>
    <w:rsid w:val="008F2336"/>
    <w:rsid w:val="008F2443"/>
    <w:rsid w:val="008F245D"/>
    <w:rsid w:val="008F24F5"/>
    <w:rsid w:val="008F2505"/>
    <w:rsid w:val="008F25B4"/>
    <w:rsid w:val="008F26A0"/>
    <w:rsid w:val="008F26B1"/>
    <w:rsid w:val="008F28E2"/>
    <w:rsid w:val="008F28EF"/>
    <w:rsid w:val="008F2945"/>
    <w:rsid w:val="008F2955"/>
    <w:rsid w:val="008F296C"/>
    <w:rsid w:val="008F29E0"/>
    <w:rsid w:val="008F2A68"/>
    <w:rsid w:val="008F2A9A"/>
    <w:rsid w:val="008F2B00"/>
    <w:rsid w:val="008F2B56"/>
    <w:rsid w:val="008F2BF3"/>
    <w:rsid w:val="008F2C27"/>
    <w:rsid w:val="008F2C78"/>
    <w:rsid w:val="008F2E43"/>
    <w:rsid w:val="008F2E95"/>
    <w:rsid w:val="008F2EC8"/>
    <w:rsid w:val="008F2F6B"/>
    <w:rsid w:val="008F3023"/>
    <w:rsid w:val="008F3049"/>
    <w:rsid w:val="008F3162"/>
    <w:rsid w:val="008F31C8"/>
    <w:rsid w:val="008F3221"/>
    <w:rsid w:val="008F3360"/>
    <w:rsid w:val="008F33C9"/>
    <w:rsid w:val="008F340F"/>
    <w:rsid w:val="008F35FE"/>
    <w:rsid w:val="008F36C2"/>
    <w:rsid w:val="008F3703"/>
    <w:rsid w:val="008F3733"/>
    <w:rsid w:val="008F37AD"/>
    <w:rsid w:val="008F3845"/>
    <w:rsid w:val="008F3B5A"/>
    <w:rsid w:val="008F3B7D"/>
    <w:rsid w:val="008F3CF7"/>
    <w:rsid w:val="008F3D26"/>
    <w:rsid w:val="008F3E17"/>
    <w:rsid w:val="008F3F2D"/>
    <w:rsid w:val="008F3F7D"/>
    <w:rsid w:val="008F406B"/>
    <w:rsid w:val="008F408E"/>
    <w:rsid w:val="008F4113"/>
    <w:rsid w:val="008F4170"/>
    <w:rsid w:val="008F41E1"/>
    <w:rsid w:val="008F42FB"/>
    <w:rsid w:val="008F4330"/>
    <w:rsid w:val="008F4669"/>
    <w:rsid w:val="008F46BB"/>
    <w:rsid w:val="008F46ED"/>
    <w:rsid w:val="008F476B"/>
    <w:rsid w:val="008F47A2"/>
    <w:rsid w:val="008F4821"/>
    <w:rsid w:val="008F49AF"/>
    <w:rsid w:val="008F4AF7"/>
    <w:rsid w:val="008F4B64"/>
    <w:rsid w:val="008F4C7A"/>
    <w:rsid w:val="008F4E2F"/>
    <w:rsid w:val="008F4E44"/>
    <w:rsid w:val="008F4FDA"/>
    <w:rsid w:val="008F5048"/>
    <w:rsid w:val="008F5207"/>
    <w:rsid w:val="008F5241"/>
    <w:rsid w:val="008F52D3"/>
    <w:rsid w:val="008F52E0"/>
    <w:rsid w:val="008F5436"/>
    <w:rsid w:val="008F54CE"/>
    <w:rsid w:val="008F55CF"/>
    <w:rsid w:val="008F5655"/>
    <w:rsid w:val="008F56B1"/>
    <w:rsid w:val="008F5744"/>
    <w:rsid w:val="008F57C2"/>
    <w:rsid w:val="008F57DA"/>
    <w:rsid w:val="008F58A0"/>
    <w:rsid w:val="008F58DC"/>
    <w:rsid w:val="008F599F"/>
    <w:rsid w:val="008F5AAF"/>
    <w:rsid w:val="008F5D10"/>
    <w:rsid w:val="008F5E4E"/>
    <w:rsid w:val="008F5F58"/>
    <w:rsid w:val="008F5F76"/>
    <w:rsid w:val="008F5FBF"/>
    <w:rsid w:val="008F5FE8"/>
    <w:rsid w:val="008F622C"/>
    <w:rsid w:val="008F6242"/>
    <w:rsid w:val="008F6290"/>
    <w:rsid w:val="008F6317"/>
    <w:rsid w:val="008F6526"/>
    <w:rsid w:val="008F65B5"/>
    <w:rsid w:val="008F67D7"/>
    <w:rsid w:val="008F68DC"/>
    <w:rsid w:val="008F6AB2"/>
    <w:rsid w:val="008F6AC3"/>
    <w:rsid w:val="008F6AFC"/>
    <w:rsid w:val="008F6B79"/>
    <w:rsid w:val="008F6BA1"/>
    <w:rsid w:val="008F6DF9"/>
    <w:rsid w:val="008F6FF5"/>
    <w:rsid w:val="008F71EA"/>
    <w:rsid w:val="008F74B1"/>
    <w:rsid w:val="008F757A"/>
    <w:rsid w:val="008F75BA"/>
    <w:rsid w:val="008F75D3"/>
    <w:rsid w:val="008F7666"/>
    <w:rsid w:val="008F76E3"/>
    <w:rsid w:val="008F771D"/>
    <w:rsid w:val="008F7720"/>
    <w:rsid w:val="008F773D"/>
    <w:rsid w:val="008F7946"/>
    <w:rsid w:val="008F7AC1"/>
    <w:rsid w:val="008F7BA7"/>
    <w:rsid w:val="008F7C05"/>
    <w:rsid w:val="008F7C6C"/>
    <w:rsid w:val="008F7C7E"/>
    <w:rsid w:val="008F7C98"/>
    <w:rsid w:val="008F7D1D"/>
    <w:rsid w:val="008F7DBD"/>
    <w:rsid w:val="008F7EB7"/>
    <w:rsid w:val="008F7EED"/>
    <w:rsid w:val="008F7F16"/>
    <w:rsid w:val="008F7F99"/>
    <w:rsid w:val="008F7FA6"/>
    <w:rsid w:val="0090009E"/>
    <w:rsid w:val="009001FD"/>
    <w:rsid w:val="00900220"/>
    <w:rsid w:val="009002B3"/>
    <w:rsid w:val="009002BE"/>
    <w:rsid w:val="0090038C"/>
    <w:rsid w:val="00900399"/>
    <w:rsid w:val="009003C2"/>
    <w:rsid w:val="00900416"/>
    <w:rsid w:val="00900455"/>
    <w:rsid w:val="00900466"/>
    <w:rsid w:val="009005FE"/>
    <w:rsid w:val="0090071D"/>
    <w:rsid w:val="0090084B"/>
    <w:rsid w:val="009008AB"/>
    <w:rsid w:val="00900A8B"/>
    <w:rsid w:val="00900B24"/>
    <w:rsid w:val="00900BAC"/>
    <w:rsid w:val="00900BE9"/>
    <w:rsid w:val="00900BED"/>
    <w:rsid w:val="00900C15"/>
    <w:rsid w:val="00900C53"/>
    <w:rsid w:val="00900C63"/>
    <w:rsid w:val="00900C98"/>
    <w:rsid w:val="00900CE2"/>
    <w:rsid w:val="00900D91"/>
    <w:rsid w:val="00900DEA"/>
    <w:rsid w:val="00900E27"/>
    <w:rsid w:val="00900E31"/>
    <w:rsid w:val="00900E85"/>
    <w:rsid w:val="00900EDA"/>
    <w:rsid w:val="00900F5A"/>
    <w:rsid w:val="00901007"/>
    <w:rsid w:val="009010BE"/>
    <w:rsid w:val="00901102"/>
    <w:rsid w:val="00901232"/>
    <w:rsid w:val="009012DB"/>
    <w:rsid w:val="0090142A"/>
    <w:rsid w:val="0090148F"/>
    <w:rsid w:val="00901580"/>
    <w:rsid w:val="00901585"/>
    <w:rsid w:val="009015CB"/>
    <w:rsid w:val="0090166E"/>
    <w:rsid w:val="00901771"/>
    <w:rsid w:val="009017AA"/>
    <w:rsid w:val="009017C2"/>
    <w:rsid w:val="00901808"/>
    <w:rsid w:val="00901891"/>
    <w:rsid w:val="00901A08"/>
    <w:rsid w:val="00901A5D"/>
    <w:rsid w:val="00901AA4"/>
    <w:rsid w:val="00901C53"/>
    <w:rsid w:val="00901D6D"/>
    <w:rsid w:val="00901DC0"/>
    <w:rsid w:val="00901DCB"/>
    <w:rsid w:val="00901E89"/>
    <w:rsid w:val="00901EA3"/>
    <w:rsid w:val="00901F3C"/>
    <w:rsid w:val="00901F8B"/>
    <w:rsid w:val="00902066"/>
    <w:rsid w:val="009020AA"/>
    <w:rsid w:val="009020E7"/>
    <w:rsid w:val="0090211D"/>
    <w:rsid w:val="00902150"/>
    <w:rsid w:val="00902157"/>
    <w:rsid w:val="00902183"/>
    <w:rsid w:val="00902219"/>
    <w:rsid w:val="0090224D"/>
    <w:rsid w:val="009022EC"/>
    <w:rsid w:val="009023B7"/>
    <w:rsid w:val="00902433"/>
    <w:rsid w:val="009025A6"/>
    <w:rsid w:val="009025CC"/>
    <w:rsid w:val="009025E4"/>
    <w:rsid w:val="00902617"/>
    <w:rsid w:val="00902A14"/>
    <w:rsid w:val="00902B52"/>
    <w:rsid w:val="00902C26"/>
    <w:rsid w:val="00902C8D"/>
    <w:rsid w:val="00902C94"/>
    <w:rsid w:val="00902CC7"/>
    <w:rsid w:val="00902E0E"/>
    <w:rsid w:val="00902E11"/>
    <w:rsid w:val="00902E6A"/>
    <w:rsid w:val="00902F11"/>
    <w:rsid w:val="009031DA"/>
    <w:rsid w:val="00903316"/>
    <w:rsid w:val="00903366"/>
    <w:rsid w:val="00903480"/>
    <w:rsid w:val="00903533"/>
    <w:rsid w:val="009035B3"/>
    <w:rsid w:val="009035C2"/>
    <w:rsid w:val="00903633"/>
    <w:rsid w:val="00903651"/>
    <w:rsid w:val="00903698"/>
    <w:rsid w:val="009038F8"/>
    <w:rsid w:val="009039F5"/>
    <w:rsid w:val="009039FF"/>
    <w:rsid w:val="00903C78"/>
    <w:rsid w:val="00903CE9"/>
    <w:rsid w:val="00903D87"/>
    <w:rsid w:val="00903EC9"/>
    <w:rsid w:val="00903EE0"/>
    <w:rsid w:val="00903F4B"/>
    <w:rsid w:val="009041B1"/>
    <w:rsid w:val="009042D5"/>
    <w:rsid w:val="009042F1"/>
    <w:rsid w:val="009045E2"/>
    <w:rsid w:val="00904689"/>
    <w:rsid w:val="00904704"/>
    <w:rsid w:val="00904819"/>
    <w:rsid w:val="00904981"/>
    <w:rsid w:val="009049AD"/>
    <w:rsid w:val="00904ABB"/>
    <w:rsid w:val="00904BBF"/>
    <w:rsid w:val="00904BD7"/>
    <w:rsid w:val="00904C8B"/>
    <w:rsid w:val="00904CA8"/>
    <w:rsid w:val="00904CB7"/>
    <w:rsid w:val="00904CE7"/>
    <w:rsid w:val="00904E74"/>
    <w:rsid w:val="00904E75"/>
    <w:rsid w:val="00904E84"/>
    <w:rsid w:val="00905254"/>
    <w:rsid w:val="00905293"/>
    <w:rsid w:val="009052B5"/>
    <w:rsid w:val="00905454"/>
    <w:rsid w:val="0090554B"/>
    <w:rsid w:val="00905591"/>
    <w:rsid w:val="009055C7"/>
    <w:rsid w:val="00905689"/>
    <w:rsid w:val="009056A1"/>
    <w:rsid w:val="0090582B"/>
    <w:rsid w:val="00905A1B"/>
    <w:rsid w:val="00905A74"/>
    <w:rsid w:val="00905ADD"/>
    <w:rsid w:val="00905B6C"/>
    <w:rsid w:val="00905B83"/>
    <w:rsid w:val="00905C21"/>
    <w:rsid w:val="00905CAE"/>
    <w:rsid w:val="00905CCA"/>
    <w:rsid w:val="00905F1F"/>
    <w:rsid w:val="00905F57"/>
    <w:rsid w:val="00905FA9"/>
    <w:rsid w:val="0090608F"/>
    <w:rsid w:val="009060F1"/>
    <w:rsid w:val="0090611E"/>
    <w:rsid w:val="00906220"/>
    <w:rsid w:val="009064C4"/>
    <w:rsid w:val="009064F6"/>
    <w:rsid w:val="00906549"/>
    <w:rsid w:val="00906579"/>
    <w:rsid w:val="009065CB"/>
    <w:rsid w:val="00906630"/>
    <w:rsid w:val="009066F3"/>
    <w:rsid w:val="0090678A"/>
    <w:rsid w:val="00906864"/>
    <w:rsid w:val="00906AE2"/>
    <w:rsid w:val="00906B0A"/>
    <w:rsid w:val="00906B3F"/>
    <w:rsid w:val="00906CA7"/>
    <w:rsid w:val="00906E3A"/>
    <w:rsid w:val="00906E3C"/>
    <w:rsid w:val="00906F35"/>
    <w:rsid w:val="00906F81"/>
    <w:rsid w:val="00906FB0"/>
    <w:rsid w:val="0090702F"/>
    <w:rsid w:val="0090715B"/>
    <w:rsid w:val="009071BB"/>
    <w:rsid w:val="009071F9"/>
    <w:rsid w:val="00907206"/>
    <w:rsid w:val="00907259"/>
    <w:rsid w:val="0090749A"/>
    <w:rsid w:val="009075C8"/>
    <w:rsid w:val="00907654"/>
    <w:rsid w:val="0090771A"/>
    <w:rsid w:val="009077F2"/>
    <w:rsid w:val="009078F4"/>
    <w:rsid w:val="00907A4F"/>
    <w:rsid w:val="00907A9C"/>
    <w:rsid w:val="00907AB9"/>
    <w:rsid w:val="00907B0D"/>
    <w:rsid w:val="00907B72"/>
    <w:rsid w:val="00907BD1"/>
    <w:rsid w:val="00907C2F"/>
    <w:rsid w:val="00907E2A"/>
    <w:rsid w:val="00907E70"/>
    <w:rsid w:val="00907EDF"/>
    <w:rsid w:val="00907F16"/>
    <w:rsid w:val="00907F2B"/>
    <w:rsid w:val="00910047"/>
    <w:rsid w:val="0091008E"/>
    <w:rsid w:val="009100BA"/>
    <w:rsid w:val="009100BE"/>
    <w:rsid w:val="00910370"/>
    <w:rsid w:val="009105B6"/>
    <w:rsid w:val="009105CA"/>
    <w:rsid w:val="00910636"/>
    <w:rsid w:val="0091071E"/>
    <w:rsid w:val="00910725"/>
    <w:rsid w:val="0091081F"/>
    <w:rsid w:val="00910854"/>
    <w:rsid w:val="00910891"/>
    <w:rsid w:val="009108A1"/>
    <w:rsid w:val="00910A95"/>
    <w:rsid w:val="00910B15"/>
    <w:rsid w:val="00910B6E"/>
    <w:rsid w:val="00910BB0"/>
    <w:rsid w:val="00910BE1"/>
    <w:rsid w:val="00910CAE"/>
    <w:rsid w:val="00910D6F"/>
    <w:rsid w:val="00910DB2"/>
    <w:rsid w:val="00910DCD"/>
    <w:rsid w:val="00910F51"/>
    <w:rsid w:val="00910F93"/>
    <w:rsid w:val="0091108F"/>
    <w:rsid w:val="00911109"/>
    <w:rsid w:val="009111A9"/>
    <w:rsid w:val="00911299"/>
    <w:rsid w:val="00911401"/>
    <w:rsid w:val="0091154C"/>
    <w:rsid w:val="009115D5"/>
    <w:rsid w:val="00911670"/>
    <w:rsid w:val="0091170A"/>
    <w:rsid w:val="0091178E"/>
    <w:rsid w:val="009117B5"/>
    <w:rsid w:val="009117C7"/>
    <w:rsid w:val="00911898"/>
    <w:rsid w:val="00911A30"/>
    <w:rsid w:val="00911B14"/>
    <w:rsid w:val="00911B79"/>
    <w:rsid w:val="00911BA0"/>
    <w:rsid w:val="00911BD6"/>
    <w:rsid w:val="00911CA2"/>
    <w:rsid w:val="00911CAE"/>
    <w:rsid w:val="00911D71"/>
    <w:rsid w:val="00911F92"/>
    <w:rsid w:val="0091203A"/>
    <w:rsid w:val="00912054"/>
    <w:rsid w:val="0091206A"/>
    <w:rsid w:val="00912119"/>
    <w:rsid w:val="00912331"/>
    <w:rsid w:val="009123BD"/>
    <w:rsid w:val="009123E9"/>
    <w:rsid w:val="00912417"/>
    <w:rsid w:val="00912677"/>
    <w:rsid w:val="0091275F"/>
    <w:rsid w:val="00912763"/>
    <w:rsid w:val="00912848"/>
    <w:rsid w:val="009128DA"/>
    <w:rsid w:val="009129BF"/>
    <w:rsid w:val="009129CA"/>
    <w:rsid w:val="00912A55"/>
    <w:rsid w:val="00912BBC"/>
    <w:rsid w:val="00912CA5"/>
    <w:rsid w:val="00913146"/>
    <w:rsid w:val="00913197"/>
    <w:rsid w:val="009131AF"/>
    <w:rsid w:val="00913229"/>
    <w:rsid w:val="0091340D"/>
    <w:rsid w:val="00913523"/>
    <w:rsid w:val="0091367A"/>
    <w:rsid w:val="00913692"/>
    <w:rsid w:val="0091370D"/>
    <w:rsid w:val="00913742"/>
    <w:rsid w:val="0091374C"/>
    <w:rsid w:val="0091385C"/>
    <w:rsid w:val="0091385F"/>
    <w:rsid w:val="0091388C"/>
    <w:rsid w:val="00913910"/>
    <w:rsid w:val="0091395B"/>
    <w:rsid w:val="009139FC"/>
    <w:rsid w:val="00913A01"/>
    <w:rsid w:val="00913A25"/>
    <w:rsid w:val="00913B1B"/>
    <w:rsid w:val="00913D6D"/>
    <w:rsid w:val="00913DFE"/>
    <w:rsid w:val="00913F8D"/>
    <w:rsid w:val="00914035"/>
    <w:rsid w:val="00914074"/>
    <w:rsid w:val="009140F8"/>
    <w:rsid w:val="009140FA"/>
    <w:rsid w:val="00914100"/>
    <w:rsid w:val="0091443A"/>
    <w:rsid w:val="00914452"/>
    <w:rsid w:val="009144A0"/>
    <w:rsid w:val="0091467A"/>
    <w:rsid w:val="009146B6"/>
    <w:rsid w:val="009146BC"/>
    <w:rsid w:val="00914788"/>
    <w:rsid w:val="0091482C"/>
    <w:rsid w:val="00914867"/>
    <w:rsid w:val="00914897"/>
    <w:rsid w:val="009148A3"/>
    <w:rsid w:val="009148BB"/>
    <w:rsid w:val="009148C3"/>
    <w:rsid w:val="00914914"/>
    <w:rsid w:val="009149FC"/>
    <w:rsid w:val="00914A4C"/>
    <w:rsid w:val="00914BA5"/>
    <w:rsid w:val="00914BBB"/>
    <w:rsid w:val="00914C30"/>
    <w:rsid w:val="00914CB1"/>
    <w:rsid w:val="00914D7C"/>
    <w:rsid w:val="00914E9E"/>
    <w:rsid w:val="00914FD5"/>
    <w:rsid w:val="0091503A"/>
    <w:rsid w:val="0091507C"/>
    <w:rsid w:val="0091509B"/>
    <w:rsid w:val="009150B7"/>
    <w:rsid w:val="00915131"/>
    <w:rsid w:val="0091515B"/>
    <w:rsid w:val="00915167"/>
    <w:rsid w:val="00915239"/>
    <w:rsid w:val="00915288"/>
    <w:rsid w:val="009152B4"/>
    <w:rsid w:val="0091541C"/>
    <w:rsid w:val="00915466"/>
    <w:rsid w:val="0091566A"/>
    <w:rsid w:val="009157A3"/>
    <w:rsid w:val="009157B1"/>
    <w:rsid w:val="009159FD"/>
    <w:rsid w:val="00915A49"/>
    <w:rsid w:val="00915A61"/>
    <w:rsid w:val="00915AA5"/>
    <w:rsid w:val="00915BC5"/>
    <w:rsid w:val="00915C6D"/>
    <w:rsid w:val="00915C72"/>
    <w:rsid w:val="00915D8C"/>
    <w:rsid w:val="00915DAF"/>
    <w:rsid w:val="00915ED4"/>
    <w:rsid w:val="00915F82"/>
    <w:rsid w:val="00915FC5"/>
    <w:rsid w:val="00916114"/>
    <w:rsid w:val="00916390"/>
    <w:rsid w:val="00916460"/>
    <w:rsid w:val="00916480"/>
    <w:rsid w:val="009164A6"/>
    <w:rsid w:val="009164E7"/>
    <w:rsid w:val="00916625"/>
    <w:rsid w:val="00916815"/>
    <w:rsid w:val="00916A2F"/>
    <w:rsid w:val="00916ACC"/>
    <w:rsid w:val="00916BC3"/>
    <w:rsid w:val="00916BFD"/>
    <w:rsid w:val="00916CA4"/>
    <w:rsid w:val="00916F06"/>
    <w:rsid w:val="00917086"/>
    <w:rsid w:val="0091719B"/>
    <w:rsid w:val="009171E5"/>
    <w:rsid w:val="009171EA"/>
    <w:rsid w:val="009172B3"/>
    <w:rsid w:val="00917316"/>
    <w:rsid w:val="00917384"/>
    <w:rsid w:val="009173E6"/>
    <w:rsid w:val="00917436"/>
    <w:rsid w:val="009174F5"/>
    <w:rsid w:val="0091768C"/>
    <w:rsid w:val="0091769D"/>
    <w:rsid w:val="00917768"/>
    <w:rsid w:val="0091787F"/>
    <w:rsid w:val="00917AA8"/>
    <w:rsid w:val="00917AB1"/>
    <w:rsid w:val="00917AF2"/>
    <w:rsid w:val="00917CDF"/>
    <w:rsid w:val="00917D37"/>
    <w:rsid w:val="00917E58"/>
    <w:rsid w:val="00917FAF"/>
    <w:rsid w:val="009200E1"/>
    <w:rsid w:val="009201EE"/>
    <w:rsid w:val="00920234"/>
    <w:rsid w:val="00920237"/>
    <w:rsid w:val="00920256"/>
    <w:rsid w:val="00920634"/>
    <w:rsid w:val="0092067E"/>
    <w:rsid w:val="009206C8"/>
    <w:rsid w:val="009206DB"/>
    <w:rsid w:val="009208C0"/>
    <w:rsid w:val="009208D1"/>
    <w:rsid w:val="00920A6E"/>
    <w:rsid w:val="00920B01"/>
    <w:rsid w:val="00920B3C"/>
    <w:rsid w:val="00920D6C"/>
    <w:rsid w:val="00920DD1"/>
    <w:rsid w:val="00920E45"/>
    <w:rsid w:val="00920F0A"/>
    <w:rsid w:val="00921022"/>
    <w:rsid w:val="0092108F"/>
    <w:rsid w:val="00921217"/>
    <w:rsid w:val="009212EA"/>
    <w:rsid w:val="009213AE"/>
    <w:rsid w:val="009213BA"/>
    <w:rsid w:val="009214E6"/>
    <w:rsid w:val="009214ED"/>
    <w:rsid w:val="0092158D"/>
    <w:rsid w:val="009216D3"/>
    <w:rsid w:val="0092177D"/>
    <w:rsid w:val="009217AB"/>
    <w:rsid w:val="0092191A"/>
    <w:rsid w:val="00921A0B"/>
    <w:rsid w:val="00921A0C"/>
    <w:rsid w:val="00921ACF"/>
    <w:rsid w:val="00921BC6"/>
    <w:rsid w:val="00921BC9"/>
    <w:rsid w:val="00921BEE"/>
    <w:rsid w:val="00921C61"/>
    <w:rsid w:val="00921C81"/>
    <w:rsid w:val="00921D05"/>
    <w:rsid w:val="00921E27"/>
    <w:rsid w:val="00921F5B"/>
    <w:rsid w:val="00921F6B"/>
    <w:rsid w:val="00921F7B"/>
    <w:rsid w:val="00922086"/>
    <w:rsid w:val="009220E4"/>
    <w:rsid w:val="009220FF"/>
    <w:rsid w:val="00922140"/>
    <w:rsid w:val="00922182"/>
    <w:rsid w:val="009221C3"/>
    <w:rsid w:val="0092227D"/>
    <w:rsid w:val="00922346"/>
    <w:rsid w:val="00922477"/>
    <w:rsid w:val="009224BC"/>
    <w:rsid w:val="009224BE"/>
    <w:rsid w:val="009224CD"/>
    <w:rsid w:val="0092250E"/>
    <w:rsid w:val="009225F0"/>
    <w:rsid w:val="00922647"/>
    <w:rsid w:val="0092272B"/>
    <w:rsid w:val="00922786"/>
    <w:rsid w:val="00922843"/>
    <w:rsid w:val="009228DF"/>
    <w:rsid w:val="009228F0"/>
    <w:rsid w:val="009228F6"/>
    <w:rsid w:val="00922A0E"/>
    <w:rsid w:val="00922B46"/>
    <w:rsid w:val="00922C03"/>
    <w:rsid w:val="00922C7B"/>
    <w:rsid w:val="00922CD9"/>
    <w:rsid w:val="00922E7B"/>
    <w:rsid w:val="00922FFF"/>
    <w:rsid w:val="0092304E"/>
    <w:rsid w:val="009231B7"/>
    <w:rsid w:val="00923247"/>
    <w:rsid w:val="00923310"/>
    <w:rsid w:val="009233D6"/>
    <w:rsid w:val="00923413"/>
    <w:rsid w:val="009235EC"/>
    <w:rsid w:val="00923730"/>
    <w:rsid w:val="00923801"/>
    <w:rsid w:val="00923851"/>
    <w:rsid w:val="00923876"/>
    <w:rsid w:val="00923B70"/>
    <w:rsid w:val="00923FF7"/>
    <w:rsid w:val="0092401A"/>
    <w:rsid w:val="0092408A"/>
    <w:rsid w:val="009240BC"/>
    <w:rsid w:val="009241DF"/>
    <w:rsid w:val="009242FA"/>
    <w:rsid w:val="00924523"/>
    <w:rsid w:val="009245B3"/>
    <w:rsid w:val="00924651"/>
    <w:rsid w:val="00924693"/>
    <w:rsid w:val="0092483A"/>
    <w:rsid w:val="009249AB"/>
    <w:rsid w:val="009249C3"/>
    <w:rsid w:val="00924A0F"/>
    <w:rsid w:val="00924A26"/>
    <w:rsid w:val="00924A5B"/>
    <w:rsid w:val="00924AA0"/>
    <w:rsid w:val="00924AAB"/>
    <w:rsid w:val="00924BF0"/>
    <w:rsid w:val="00924CFB"/>
    <w:rsid w:val="00924D6F"/>
    <w:rsid w:val="00924D9A"/>
    <w:rsid w:val="00924DE0"/>
    <w:rsid w:val="00924EE9"/>
    <w:rsid w:val="00924F37"/>
    <w:rsid w:val="00924F57"/>
    <w:rsid w:val="00924FC0"/>
    <w:rsid w:val="0092500B"/>
    <w:rsid w:val="0092500F"/>
    <w:rsid w:val="009251A8"/>
    <w:rsid w:val="00925381"/>
    <w:rsid w:val="00925399"/>
    <w:rsid w:val="0092540F"/>
    <w:rsid w:val="0092544D"/>
    <w:rsid w:val="009254D1"/>
    <w:rsid w:val="009254F5"/>
    <w:rsid w:val="00925521"/>
    <w:rsid w:val="009255A1"/>
    <w:rsid w:val="00925608"/>
    <w:rsid w:val="009256FB"/>
    <w:rsid w:val="00925719"/>
    <w:rsid w:val="0092584F"/>
    <w:rsid w:val="00925968"/>
    <w:rsid w:val="0092597E"/>
    <w:rsid w:val="00925A09"/>
    <w:rsid w:val="00925AC9"/>
    <w:rsid w:val="00925AEA"/>
    <w:rsid w:val="00925B8F"/>
    <w:rsid w:val="00925C7F"/>
    <w:rsid w:val="00925E30"/>
    <w:rsid w:val="00925E74"/>
    <w:rsid w:val="00925F94"/>
    <w:rsid w:val="00926055"/>
    <w:rsid w:val="0092607A"/>
    <w:rsid w:val="00926107"/>
    <w:rsid w:val="00926212"/>
    <w:rsid w:val="0092624A"/>
    <w:rsid w:val="00926304"/>
    <w:rsid w:val="0092635A"/>
    <w:rsid w:val="009265B6"/>
    <w:rsid w:val="0092663D"/>
    <w:rsid w:val="00926646"/>
    <w:rsid w:val="0092668D"/>
    <w:rsid w:val="009267BE"/>
    <w:rsid w:val="009268F0"/>
    <w:rsid w:val="009269C3"/>
    <w:rsid w:val="009269F4"/>
    <w:rsid w:val="00926A00"/>
    <w:rsid w:val="00926A54"/>
    <w:rsid w:val="00926AD1"/>
    <w:rsid w:val="00926AF7"/>
    <w:rsid w:val="00926C78"/>
    <w:rsid w:val="00926C9F"/>
    <w:rsid w:val="00926D03"/>
    <w:rsid w:val="00926DD1"/>
    <w:rsid w:val="00926FAE"/>
    <w:rsid w:val="00926FBE"/>
    <w:rsid w:val="009270E9"/>
    <w:rsid w:val="00927107"/>
    <w:rsid w:val="0092714F"/>
    <w:rsid w:val="009271C1"/>
    <w:rsid w:val="0092720E"/>
    <w:rsid w:val="0092737D"/>
    <w:rsid w:val="009273F3"/>
    <w:rsid w:val="0092747C"/>
    <w:rsid w:val="00927496"/>
    <w:rsid w:val="009274F1"/>
    <w:rsid w:val="00927504"/>
    <w:rsid w:val="009276AD"/>
    <w:rsid w:val="0092777B"/>
    <w:rsid w:val="009278F7"/>
    <w:rsid w:val="00927A3B"/>
    <w:rsid w:val="00927AAB"/>
    <w:rsid w:val="00927B40"/>
    <w:rsid w:val="00927B89"/>
    <w:rsid w:val="00927BE5"/>
    <w:rsid w:val="00927E36"/>
    <w:rsid w:val="00927E7E"/>
    <w:rsid w:val="00927EB6"/>
    <w:rsid w:val="00927F50"/>
    <w:rsid w:val="00930214"/>
    <w:rsid w:val="0093021A"/>
    <w:rsid w:val="009302A2"/>
    <w:rsid w:val="009302C2"/>
    <w:rsid w:val="009302D1"/>
    <w:rsid w:val="009302E3"/>
    <w:rsid w:val="00930323"/>
    <w:rsid w:val="009303AC"/>
    <w:rsid w:val="0093046D"/>
    <w:rsid w:val="0093053C"/>
    <w:rsid w:val="009305EC"/>
    <w:rsid w:val="00930617"/>
    <w:rsid w:val="009306E5"/>
    <w:rsid w:val="009306FD"/>
    <w:rsid w:val="00930714"/>
    <w:rsid w:val="0093082B"/>
    <w:rsid w:val="00930847"/>
    <w:rsid w:val="00930A09"/>
    <w:rsid w:val="00930AC2"/>
    <w:rsid w:val="00930ADA"/>
    <w:rsid w:val="00930BE7"/>
    <w:rsid w:val="00930C68"/>
    <w:rsid w:val="00930D33"/>
    <w:rsid w:val="00930DB9"/>
    <w:rsid w:val="00930E9F"/>
    <w:rsid w:val="00930EAD"/>
    <w:rsid w:val="00931036"/>
    <w:rsid w:val="0093114F"/>
    <w:rsid w:val="009311AF"/>
    <w:rsid w:val="009311D0"/>
    <w:rsid w:val="009311D7"/>
    <w:rsid w:val="00931226"/>
    <w:rsid w:val="00931286"/>
    <w:rsid w:val="00931288"/>
    <w:rsid w:val="009312EB"/>
    <w:rsid w:val="009315C6"/>
    <w:rsid w:val="009316A3"/>
    <w:rsid w:val="00931757"/>
    <w:rsid w:val="0093176E"/>
    <w:rsid w:val="00931891"/>
    <w:rsid w:val="00931924"/>
    <w:rsid w:val="00931948"/>
    <w:rsid w:val="00931AB0"/>
    <w:rsid w:val="00931B97"/>
    <w:rsid w:val="00931C7D"/>
    <w:rsid w:val="00931CFC"/>
    <w:rsid w:val="00931DDF"/>
    <w:rsid w:val="00931EF1"/>
    <w:rsid w:val="00931F6C"/>
    <w:rsid w:val="00932035"/>
    <w:rsid w:val="0093209C"/>
    <w:rsid w:val="009320E2"/>
    <w:rsid w:val="00932200"/>
    <w:rsid w:val="00932226"/>
    <w:rsid w:val="00932246"/>
    <w:rsid w:val="00932304"/>
    <w:rsid w:val="009323D1"/>
    <w:rsid w:val="00932412"/>
    <w:rsid w:val="0093245E"/>
    <w:rsid w:val="0093253F"/>
    <w:rsid w:val="00932599"/>
    <w:rsid w:val="00932681"/>
    <w:rsid w:val="009326CD"/>
    <w:rsid w:val="0093292A"/>
    <w:rsid w:val="0093294C"/>
    <w:rsid w:val="00932B13"/>
    <w:rsid w:val="00932B7D"/>
    <w:rsid w:val="00932C86"/>
    <w:rsid w:val="00932CF4"/>
    <w:rsid w:val="00932FE7"/>
    <w:rsid w:val="009330B2"/>
    <w:rsid w:val="009330D2"/>
    <w:rsid w:val="00933116"/>
    <w:rsid w:val="00933166"/>
    <w:rsid w:val="009331A7"/>
    <w:rsid w:val="0093326A"/>
    <w:rsid w:val="00933296"/>
    <w:rsid w:val="0093332C"/>
    <w:rsid w:val="0093334B"/>
    <w:rsid w:val="009333B6"/>
    <w:rsid w:val="009334F7"/>
    <w:rsid w:val="00933550"/>
    <w:rsid w:val="00933582"/>
    <w:rsid w:val="009336BC"/>
    <w:rsid w:val="009336F4"/>
    <w:rsid w:val="009337C8"/>
    <w:rsid w:val="00933845"/>
    <w:rsid w:val="00933862"/>
    <w:rsid w:val="00933AF7"/>
    <w:rsid w:val="00933B87"/>
    <w:rsid w:val="00933C8D"/>
    <w:rsid w:val="00933CC9"/>
    <w:rsid w:val="00933FC4"/>
    <w:rsid w:val="00934072"/>
    <w:rsid w:val="00934104"/>
    <w:rsid w:val="00934108"/>
    <w:rsid w:val="00934139"/>
    <w:rsid w:val="009341D9"/>
    <w:rsid w:val="009341E6"/>
    <w:rsid w:val="00934246"/>
    <w:rsid w:val="0093431A"/>
    <w:rsid w:val="0093439C"/>
    <w:rsid w:val="00934499"/>
    <w:rsid w:val="00934524"/>
    <w:rsid w:val="00934576"/>
    <w:rsid w:val="009345A5"/>
    <w:rsid w:val="0093481B"/>
    <w:rsid w:val="00934A65"/>
    <w:rsid w:val="00934C0F"/>
    <w:rsid w:val="00934E0C"/>
    <w:rsid w:val="00934F63"/>
    <w:rsid w:val="0093505D"/>
    <w:rsid w:val="00935176"/>
    <w:rsid w:val="009351B8"/>
    <w:rsid w:val="0093523A"/>
    <w:rsid w:val="0093524D"/>
    <w:rsid w:val="009353CE"/>
    <w:rsid w:val="009353EA"/>
    <w:rsid w:val="009354EF"/>
    <w:rsid w:val="009355DB"/>
    <w:rsid w:val="009355E0"/>
    <w:rsid w:val="00935711"/>
    <w:rsid w:val="00935736"/>
    <w:rsid w:val="0093580C"/>
    <w:rsid w:val="0093581E"/>
    <w:rsid w:val="00935833"/>
    <w:rsid w:val="0093583A"/>
    <w:rsid w:val="009358CA"/>
    <w:rsid w:val="00935920"/>
    <w:rsid w:val="0093595C"/>
    <w:rsid w:val="009359E9"/>
    <w:rsid w:val="00935A52"/>
    <w:rsid w:val="00935C9B"/>
    <w:rsid w:val="00935CC1"/>
    <w:rsid w:val="00935D15"/>
    <w:rsid w:val="00935D2C"/>
    <w:rsid w:val="00935D3B"/>
    <w:rsid w:val="00935DAB"/>
    <w:rsid w:val="00935DAE"/>
    <w:rsid w:val="00935DD0"/>
    <w:rsid w:val="00935E58"/>
    <w:rsid w:val="0093614F"/>
    <w:rsid w:val="00936203"/>
    <w:rsid w:val="00936229"/>
    <w:rsid w:val="009362EE"/>
    <w:rsid w:val="00936350"/>
    <w:rsid w:val="009363F7"/>
    <w:rsid w:val="00936459"/>
    <w:rsid w:val="00936525"/>
    <w:rsid w:val="0093653B"/>
    <w:rsid w:val="00936688"/>
    <w:rsid w:val="00936761"/>
    <w:rsid w:val="00936772"/>
    <w:rsid w:val="0093690F"/>
    <w:rsid w:val="0093696A"/>
    <w:rsid w:val="009369AD"/>
    <w:rsid w:val="00936AC3"/>
    <w:rsid w:val="00936B04"/>
    <w:rsid w:val="00936BEB"/>
    <w:rsid w:val="00936C3C"/>
    <w:rsid w:val="00936C5B"/>
    <w:rsid w:val="00936CCD"/>
    <w:rsid w:val="00936E60"/>
    <w:rsid w:val="0093702B"/>
    <w:rsid w:val="0093708C"/>
    <w:rsid w:val="00937098"/>
    <w:rsid w:val="00937101"/>
    <w:rsid w:val="0093711A"/>
    <w:rsid w:val="009371B5"/>
    <w:rsid w:val="0093722B"/>
    <w:rsid w:val="00937244"/>
    <w:rsid w:val="009372F7"/>
    <w:rsid w:val="0093739F"/>
    <w:rsid w:val="0093741F"/>
    <w:rsid w:val="00937516"/>
    <w:rsid w:val="00937551"/>
    <w:rsid w:val="00937621"/>
    <w:rsid w:val="009376D7"/>
    <w:rsid w:val="009376EF"/>
    <w:rsid w:val="009377E3"/>
    <w:rsid w:val="00937D0E"/>
    <w:rsid w:val="00937E57"/>
    <w:rsid w:val="00937F52"/>
    <w:rsid w:val="0093A43F"/>
    <w:rsid w:val="00940107"/>
    <w:rsid w:val="0094024D"/>
    <w:rsid w:val="00940253"/>
    <w:rsid w:val="00940269"/>
    <w:rsid w:val="009402D5"/>
    <w:rsid w:val="009403DC"/>
    <w:rsid w:val="00940520"/>
    <w:rsid w:val="0094053C"/>
    <w:rsid w:val="00940636"/>
    <w:rsid w:val="00940682"/>
    <w:rsid w:val="00940887"/>
    <w:rsid w:val="009408A6"/>
    <w:rsid w:val="009408D6"/>
    <w:rsid w:val="009408FF"/>
    <w:rsid w:val="009409C0"/>
    <w:rsid w:val="00940A1B"/>
    <w:rsid w:val="00940AF9"/>
    <w:rsid w:val="00940B80"/>
    <w:rsid w:val="00940C6F"/>
    <w:rsid w:val="00940C75"/>
    <w:rsid w:val="00940C82"/>
    <w:rsid w:val="00940D7F"/>
    <w:rsid w:val="00940DEB"/>
    <w:rsid w:val="00940DFB"/>
    <w:rsid w:val="00940E0C"/>
    <w:rsid w:val="00940E4F"/>
    <w:rsid w:val="00940F84"/>
    <w:rsid w:val="009410BA"/>
    <w:rsid w:val="0094136C"/>
    <w:rsid w:val="009414C6"/>
    <w:rsid w:val="00941553"/>
    <w:rsid w:val="0094156C"/>
    <w:rsid w:val="00941649"/>
    <w:rsid w:val="009416A9"/>
    <w:rsid w:val="00941743"/>
    <w:rsid w:val="00941823"/>
    <w:rsid w:val="0094183A"/>
    <w:rsid w:val="00941873"/>
    <w:rsid w:val="00941A55"/>
    <w:rsid w:val="00941B25"/>
    <w:rsid w:val="00941B66"/>
    <w:rsid w:val="00941C26"/>
    <w:rsid w:val="00941C2A"/>
    <w:rsid w:val="00941D74"/>
    <w:rsid w:val="00941D82"/>
    <w:rsid w:val="00941D9E"/>
    <w:rsid w:val="00941DF6"/>
    <w:rsid w:val="00941EA5"/>
    <w:rsid w:val="00941F4A"/>
    <w:rsid w:val="00941F55"/>
    <w:rsid w:val="00941FB0"/>
    <w:rsid w:val="00942029"/>
    <w:rsid w:val="00942084"/>
    <w:rsid w:val="0094211F"/>
    <w:rsid w:val="009421C5"/>
    <w:rsid w:val="009422EA"/>
    <w:rsid w:val="0094234B"/>
    <w:rsid w:val="009423FD"/>
    <w:rsid w:val="009424E2"/>
    <w:rsid w:val="0094262B"/>
    <w:rsid w:val="00942653"/>
    <w:rsid w:val="0094288A"/>
    <w:rsid w:val="009428A5"/>
    <w:rsid w:val="00942907"/>
    <w:rsid w:val="00942AC1"/>
    <w:rsid w:val="00942B59"/>
    <w:rsid w:val="00942BC8"/>
    <w:rsid w:val="00942BEC"/>
    <w:rsid w:val="00942C8C"/>
    <w:rsid w:val="00942D3D"/>
    <w:rsid w:val="00942DB8"/>
    <w:rsid w:val="00942DFE"/>
    <w:rsid w:val="00942E4A"/>
    <w:rsid w:val="00942F28"/>
    <w:rsid w:val="00942F7D"/>
    <w:rsid w:val="00942FD6"/>
    <w:rsid w:val="009430DB"/>
    <w:rsid w:val="00943155"/>
    <w:rsid w:val="009431C2"/>
    <w:rsid w:val="0094324B"/>
    <w:rsid w:val="009432CA"/>
    <w:rsid w:val="009432E2"/>
    <w:rsid w:val="00943301"/>
    <w:rsid w:val="009434BE"/>
    <w:rsid w:val="0094350C"/>
    <w:rsid w:val="0094351E"/>
    <w:rsid w:val="0094353C"/>
    <w:rsid w:val="0094353D"/>
    <w:rsid w:val="00943645"/>
    <w:rsid w:val="00943684"/>
    <w:rsid w:val="009436FC"/>
    <w:rsid w:val="009437D1"/>
    <w:rsid w:val="0094385A"/>
    <w:rsid w:val="009439D5"/>
    <w:rsid w:val="00943A11"/>
    <w:rsid w:val="00943A7B"/>
    <w:rsid w:val="00943B6B"/>
    <w:rsid w:val="00943D29"/>
    <w:rsid w:val="00943D2D"/>
    <w:rsid w:val="00943DB0"/>
    <w:rsid w:val="00943DB8"/>
    <w:rsid w:val="00943E21"/>
    <w:rsid w:val="00943F49"/>
    <w:rsid w:val="00944176"/>
    <w:rsid w:val="009441E2"/>
    <w:rsid w:val="00944296"/>
    <w:rsid w:val="00944312"/>
    <w:rsid w:val="00944612"/>
    <w:rsid w:val="00944A2D"/>
    <w:rsid w:val="00944A37"/>
    <w:rsid w:val="00944A72"/>
    <w:rsid w:val="00944B51"/>
    <w:rsid w:val="00944BA3"/>
    <w:rsid w:val="00944BBF"/>
    <w:rsid w:val="00944C2A"/>
    <w:rsid w:val="00944C57"/>
    <w:rsid w:val="00944CD9"/>
    <w:rsid w:val="00944D59"/>
    <w:rsid w:val="00944D7B"/>
    <w:rsid w:val="00944D98"/>
    <w:rsid w:val="00944EEE"/>
    <w:rsid w:val="00945070"/>
    <w:rsid w:val="0094510A"/>
    <w:rsid w:val="00945123"/>
    <w:rsid w:val="0094513D"/>
    <w:rsid w:val="009452C5"/>
    <w:rsid w:val="00945392"/>
    <w:rsid w:val="009453DB"/>
    <w:rsid w:val="009454DB"/>
    <w:rsid w:val="0094550E"/>
    <w:rsid w:val="0094553D"/>
    <w:rsid w:val="0094563F"/>
    <w:rsid w:val="00945647"/>
    <w:rsid w:val="00945710"/>
    <w:rsid w:val="00945766"/>
    <w:rsid w:val="0094577E"/>
    <w:rsid w:val="00945953"/>
    <w:rsid w:val="00945A1B"/>
    <w:rsid w:val="00945A53"/>
    <w:rsid w:val="00945F2F"/>
    <w:rsid w:val="00945F94"/>
    <w:rsid w:val="0094608A"/>
    <w:rsid w:val="009460ED"/>
    <w:rsid w:val="00946106"/>
    <w:rsid w:val="00946128"/>
    <w:rsid w:val="0094623F"/>
    <w:rsid w:val="00946384"/>
    <w:rsid w:val="0094642E"/>
    <w:rsid w:val="00946483"/>
    <w:rsid w:val="009464D9"/>
    <w:rsid w:val="009466AB"/>
    <w:rsid w:val="009466D6"/>
    <w:rsid w:val="00946793"/>
    <w:rsid w:val="00946842"/>
    <w:rsid w:val="00946B3E"/>
    <w:rsid w:val="00946BBA"/>
    <w:rsid w:val="00946CF6"/>
    <w:rsid w:val="00946F87"/>
    <w:rsid w:val="00946FF4"/>
    <w:rsid w:val="00947026"/>
    <w:rsid w:val="00947408"/>
    <w:rsid w:val="0094748B"/>
    <w:rsid w:val="009474AC"/>
    <w:rsid w:val="009474EF"/>
    <w:rsid w:val="0094755E"/>
    <w:rsid w:val="00947632"/>
    <w:rsid w:val="009476A4"/>
    <w:rsid w:val="009476BC"/>
    <w:rsid w:val="009477D3"/>
    <w:rsid w:val="00947803"/>
    <w:rsid w:val="009478D0"/>
    <w:rsid w:val="0094793C"/>
    <w:rsid w:val="00947A03"/>
    <w:rsid w:val="00947A8D"/>
    <w:rsid w:val="00947A8F"/>
    <w:rsid w:val="00947ADB"/>
    <w:rsid w:val="00947AEF"/>
    <w:rsid w:val="00947BC4"/>
    <w:rsid w:val="00947CEC"/>
    <w:rsid w:val="00947FA7"/>
    <w:rsid w:val="00947FB3"/>
    <w:rsid w:val="00950027"/>
    <w:rsid w:val="00950059"/>
    <w:rsid w:val="0095009A"/>
    <w:rsid w:val="0095013C"/>
    <w:rsid w:val="00950194"/>
    <w:rsid w:val="009501E6"/>
    <w:rsid w:val="009503F6"/>
    <w:rsid w:val="00950544"/>
    <w:rsid w:val="009505D1"/>
    <w:rsid w:val="00950698"/>
    <w:rsid w:val="009507E8"/>
    <w:rsid w:val="00950A8C"/>
    <w:rsid w:val="00950AB5"/>
    <w:rsid w:val="00950B05"/>
    <w:rsid w:val="00950B9F"/>
    <w:rsid w:val="00950C06"/>
    <w:rsid w:val="00950C75"/>
    <w:rsid w:val="00950E73"/>
    <w:rsid w:val="00950EA5"/>
    <w:rsid w:val="00950FAA"/>
    <w:rsid w:val="00951019"/>
    <w:rsid w:val="009510A0"/>
    <w:rsid w:val="00951132"/>
    <w:rsid w:val="00951150"/>
    <w:rsid w:val="009513C5"/>
    <w:rsid w:val="00951521"/>
    <w:rsid w:val="0095152D"/>
    <w:rsid w:val="0095174C"/>
    <w:rsid w:val="00951782"/>
    <w:rsid w:val="00951890"/>
    <w:rsid w:val="009518F2"/>
    <w:rsid w:val="009519AA"/>
    <w:rsid w:val="00951A38"/>
    <w:rsid w:val="00951B23"/>
    <w:rsid w:val="00951B73"/>
    <w:rsid w:val="00951D5C"/>
    <w:rsid w:val="00951D9F"/>
    <w:rsid w:val="00951DA7"/>
    <w:rsid w:val="00951FDE"/>
    <w:rsid w:val="009520AF"/>
    <w:rsid w:val="009520F3"/>
    <w:rsid w:val="0095214B"/>
    <w:rsid w:val="00952232"/>
    <w:rsid w:val="009522D3"/>
    <w:rsid w:val="0095273D"/>
    <w:rsid w:val="00952886"/>
    <w:rsid w:val="0095288D"/>
    <w:rsid w:val="0095290B"/>
    <w:rsid w:val="0095290E"/>
    <w:rsid w:val="009529D7"/>
    <w:rsid w:val="009529EA"/>
    <w:rsid w:val="00952AA2"/>
    <w:rsid w:val="00952ACB"/>
    <w:rsid w:val="00952B17"/>
    <w:rsid w:val="00952B4B"/>
    <w:rsid w:val="00952B5B"/>
    <w:rsid w:val="00952C8A"/>
    <w:rsid w:val="00952CFD"/>
    <w:rsid w:val="00952CFE"/>
    <w:rsid w:val="00952E3F"/>
    <w:rsid w:val="00952EC0"/>
    <w:rsid w:val="00952F64"/>
    <w:rsid w:val="00953092"/>
    <w:rsid w:val="0095315A"/>
    <w:rsid w:val="0095319C"/>
    <w:rsid w:val="009531C1"/>
    <w:rsid w:val="00953274"/>
    <w:rsid w:val="0095329F"/>
    <w:rsid w:val="009532EF"/>
    <w:rsid w:val="00953318"/>
    <w:rsid w:val="009533D1"/>
    <w:rsid w:val="009533FB"/>
    <w:rsid w:val="00953515"/>
    <w:rsid w:val="0095352F"/>
    <w:rsid w:val="0095362A"/>
    <w:rsid w:val="00953666"/>
    <w:rsid w:val="0095366A"/>
    <w:rsid w:val="009536A1"/>
    <w:rsid w:val="009536ED"/>
    <w:rsid w:val="009537A7"/>
    <w:rsid w:val="00953914"/>
    <w:rsid w:val="009539A5"/>
    <w:rsid w:val="00953D04"/>
    <w:rsid w:val="00953E31"/>
    <w:rsid w:val="00953E55"/>
    <w:rsid w:val="00953E9A"/>
    <w:rsid w:val="0095407A"/>
    <w:rsid w:val="009540EF"/>
    <w:rsid w:val="00954167"/>
    <w:rsid w:val="009541A2"/>
    <w:rsid w:val="009541D7"/>
    <w:rsid w:val="00954458"/>
    <w:rsid w:val="00954465"/>
    <w:rsid w:val="00954635"/>
    <w:rsid w:val="00954791"/>
    <w:rsid w:val="009547C2"/>
    <w:rsid w:val="009547F1"/>
    <w:rsid w:val="00954935"/>
    <w:rsid w:val="00954993"/>
    <w:rsid w:val="00954A6F"/>
    <w:rsid w:val="00954B06"/>
    <w:rsid w:val="00954B1F"/>
    <w:rsid w:val="00954B58"/>
    <w:rsid w:val="00954C52"/>
    <w:rsid w:val="00954CCD"/>
    <w:rsid w:val="00954DAA"/>
    <w:rsid w:val="00954EA1"/>
    <w:rsid w:val="00954ECD"/>
    <w:rsid w:val="00954F23"/>
    <w:rsid w:val="00954F59"/>
    <w:rsid w:val="00954F80"/>
    <w:rsid w:val="00954F81"/>
    <w:rsid w:val="0095506E"/>
    <w:rsid w:val="009550C0"/>
    <w:rsid w:val="0095512D"/>
    <w:rsid w:val="0095519D"/>
    <w:rsid w:val="00955232"/>
    <w:rsid w:val="0095536E"/>
    <w:rsid w:val="009555C1"/>
    <w:rsid w:val="00955726"/>
    <w:rsid w:val="00955730"/>
    <w:rsid w:val="0095575D"/>
    <w:rsid w:val="0095585B"/>
    <w:rsid w:val="00955887"/>
    <w:rsid w:val="00955B31"/>
    <w:rsid w:val="00955BA1"/>
    <w:rsid w:val="00955CB6"/>
    <w:rsid w:val="00955D46"/>
    <w:rsid w:val="00955D66"/>
    <w:rsid w:val="00955E84"/>
    <w:rsid w:val="00955EC4"/>
    <w:rsid w:val="00955F0A"/>
    <w:rsid w:val="00955F51"/>
    <w:rsid w:val="00956002"/>
    <w:rsid w:val="0095621A"/>
    <w:rsid w:val="0095622A"/>
    <w:rsid w:val="0095632B"/>
    <w:rsid w:val="009563E0"/>
    <w:rsid w:val="009563F8"/>
    <w:rsid w:val="0095652E"/>
    <w:rsid w:val="00956635"/>
    <w:rsid w:val="00956992"/>
    <w:rsid w:val="009569D0"/>
    <w:rsid w:val="00956A5C"/>
    <w:rsid w:val="00956AF9"/>
    <w:rsid w:val="00956B21"/>
    <w:rsid w:val="00956C43"/>
    <w:rsid w:val="00956CC2"/>
    <w:rsid w:val="00956CFA"/>
    <w:rsid w:val="00956D39"/>
    <w:rsid w:val="00956D3C"/>
    <w:rsid w:val="00956DF1"/>
    <w:rsid w:val="00956F6C"/>
    <w:rsid w:val="00957161"/>
    <w:rsid w:val="00957206"/>
    <w:rsid w:val="00957351"/>
    <w:rsid w:val="00957471"/>
    <w:rsid w:val="009575E4"/>
    <w:rsid w:val="009576BE"/>
    <w:rsid w:val="009576E8"/>
    <w:rsid w:val="00957714"/>
    <w:rsid w:val="009577C1"/>
    <w:rsid w:val="009577E6"/>
    <w:rsid w:val="0095788A"/>
    <w:rsid w:val="00957895"/>
    <w:rsid w:val="0095789B"/>
    <w:rsid w:val="0095790E"/>
    <w:rsid w:val="009579AD"/>
    <w:rsid w:val="00957A11"/>
    <w:rsid w:val="00957B2E"/>
    <w:rsid w:val="00957B61"/>
    <w:rsid w:val="00957C88"/>
    <w:rsid w:val="00957D9F"/>
    <w:rsid w:val="00957DD5"/>
    <w:rsid w:val="00957DD6"/>
    <w:rsid w:val="00957E1D"/>
    <w:rsid w:val="00957E6C"/>
    <w:rsid w:val="00957ED6"/>
    <w:rsid w:val="00957EFF"/>
    <w:rsid w:val="00957FE3"/>
    <w:rsid w:val="00957FF3"/>
    <w:rsid w:val="0096001B"/>
    <w:rsid w:val="00960073"/>
    <w:rsid w:val="0096016B"/>
    <w:rsid w:val="00960176"/>
    <w:rsid w:val="0096019F"/>
    <w:rsid w:val="009601DA"/>
    <w:rsid w:val="00960269"/>
    <w:rsid w:val="00960333"/>
    <w:rsid w:val="0096040C"/>
    <w:rsid w:val="009604F0"/>
    <w:rsid w:val="00960537"/>
    <w:rsid w:val="0096056C"/>
    <w:rsid w:val="0096056E"/>
    <w:rsid w:val="0096089C"/>
    <w:rsid w:val="009608BD"/>
    <w:rsid w:val="009608FC"/>
    <w:rsid w:val="00960972"/>
    <w:rsid w:val="00960A12"/>
    <w:rsid w:val="00960A62"/>
    <w:rsid w:val="00960AA9"/>
    <w:rsid w:val="00960ABF"/>
    <w:rsid w:val="00960B76"/>
    <w:rsid w:val="00960C01"/>
    <w:rsid w:val="00960C51"/>
    <w:rsid w:val="00960D28"/>
    <w:rsid w:val="00960D59"/>
    <w:rsid w:val="00960E33"/>
    <w:rsid w:val="00960F11"/>
    <w:rsid w:val="009610CF"/>
    <w:rsid w:val="00961252"/>
    <w:rsid w:val="0096150B"/>
    <w:rsid w:val="0096152E"/>
    <w:rsid w:val="00961571"/>
    <w:rsid w:val="009615B3"/>
    <w:rsid w:val="0096160D"/>
    <w:rsid w:val="00961689"/>
    <w:rsid w:val="009616E2"/>
    <w:rsid w:val="00961737"/>
    <w:rsid w:val="00961741"/>
    <w:rsid w:val="0096177B"/>
    <w:rsid w:val="009617DD"/>
    <w:rsid w:val="009617FC"/>
    <w:rsid w:val="0096185B"/>
    <w:rsid w:val="0096190D"/>
    <w:rsid w:val="00961943"/>
    <w:rsid w:val="009619BB"/>
    <w:rsid w:val="00961A51"/>
    <w:rsid w:val="00961A91"/>
    <w:rsid w:val="00961AF6"/>
    <w:rsid w:val="00961B25"/>
    <w:rsid w:val="00961B62"/>
    <w:rsid w:val="00961B9C"/>
    <w:rsid w:val="00961BB2"/>
    <w:rsid w:val="00961BB8"/>
    <w:rsid w:val="00961E05"/>
    <w:rsid w:val="00961E36"/>
    <w:rsid w:val="00961F42"/>
    <w:rsid w:val="00961FD0"/>
    <w:rsid w:val="00962014"/>
    <w:rsid w:val="00962101"/>
    <w:rsid w:val="00962173"/>
    <w:rsid w:val="009621E5"/>
    <w:rsid w:val="00962263"/>
    <w:rsid w:val="00962301"/>
    <w:rsid w:val="00962352"/>
    <w:rsid w:val="00962465"/>
    <w:rsid w:val="0096250B"/>
    <w:rsid w:val="009625CB"/>
    <w:rsid w:val="009625F8"/>
    <w:rsid w:val="009625FE"/>
    <w:rsid w:val="00962692"/>
    <w:rsid w:val="009627AD"/>
    <w:rsid w:val="00962811"/>
    <w:rsid w:val="009628D7"/>
    <w:rsid w:val="00962A2E"/>
    <w:rsid w:val="00962CBD"/>
    <w:rsid w:val="00962D7C"/>
    <w:rsid w:val="00962D9A"/>
    <w:rsid w:val="00962DA9"/>
    <w:rsid w:val="00962F07"/>
    <w:rsid w:val="0096310D"/>
    <w:rsid w:val="0096313B"/>
    <w:rsid w:val="0096316A"/>
    <w:rsid w:val="0096319D"/>
    <w:rsid w:val="009632F2"/>
    <w:rsid w:val="009632FD"/>
    <w:rsid w:val="0096332F"/>
    <w:rsid w:val="0096344D"/>
    <w:rsid w:val="00963539"/>
    <w:rsid w:val="0096358D"/>
    <w:rsid w:val="0096359F"/>
    <w:rsid w:val="009635BA"/>
    <w:rsid w:val="00963631"/>
    <w:rsid w:val="009636EC"/>
    <w:rsid w:val="00963773"/>
    <w:rsid w:val="009637D7"/>
    <w:rsid w:val="00963A95"/>
    <w:rsid w:val="00963B37"/>
    <w:rsid w:val="00963C97"/>
    <w:rsid w:val="00963CE1"/>
    <w:rsid w:val="00963D3B"/>
    <w:rsid w:val="00963DFD"/>
    <w:rsid w:val="00963E8B"/>
    <w:rsid w:val="00963EF1"/>
    <w:rsid w:val="00964047"/>
    <w:rsid w:val="009640CF"/>
    <w:rsid w:val="009641FE"/>
    <w:rsid w:val="00964261"/>
    <w:rsid w:val="0096430D"/>
    <w:rsid w:val="00964420"/>
    <w:rsid w:val="00964455"/>
    <w:rsid w:val="00964464"/>
    <w:rsid w:val="009645C7"/>
    <w:rsid w:val="009645C8"/>
    <w:rsid w:val="0096460C"/>
    <w:rsid w:val="00964614"/>
    <w:rsid w:val="00964632"/>
    <w:rsid w:val="00964729"/>
    <w:rsid w:val="009647AC"/>
    <w:rsid w:val="009649F9"/>
    <w:rsid w:val="00964AA8"/>
    <w:rsid w:val="00964AF3"/>
    <w:rsid w:val="00964B75"/>
    <w:rsid w:val="00964B81"/>
    <w:rsid w:val="00964C5E"/>
    <w:rsid w:val="00964CF2"/>
    <w:rsid w:val="00964D91"/>
    <w:rsid w:val="00964E3D"/>
    <w:rsid w:val="00964E84"/>
    <w:rsid w:val="00964EF6"/>
    <w:rsid w:val="00964EFE"/>
    <w:rsid w:val="00964FB9"/>
    <w:rsid w:val="00965060"/>
    <w:rsid w:val="00965229"/>
    <w:rsid w:val="00965285"/>
    <w:rsid w:val="009652CB"/>
    <w:rsid w:val="009652D0"/>
    <w:rsid w:val="009654CE"/>
    <w:rsid w:val="009655C7"/>
    <w:rsid w:val="009656E5"/>
    <w:rsid w:val="009658A4"/>
    <w:rsid w:val="009658B3"/>
    <w:rsid w:val="009659B8"/>
    <w:rsid w:val="009659CA"/>
    <w:rsid w:val="00965AD0"/>
    <w:rsid w:val="00965B9A"/>
    <w:rsid w:val="00965B9C"/>
    <w:rsid w:val="00965BD3"/>
    <w:rsid w:val="00965C2C"/>
    <w:rsid w:val="00965D02"/>
    <w:rsid w:val="00965D12"/>
    <w:rsid w:val="00965D13"/>
    <w:rsid w:val="00965D45"/>
    <w:rsid w:val="00965DD3"/>
    <w:rsid w:val="00965E47"/>
    <w:rsid w:val="00965F68"/>
    <w:rsid w:val="00965F8B"/>
    <w:rsid w:val="00965F9B"/>
    <w:rsid w:val="00965FE9"/>
    <w:rsid w:val="00966004"/>
    <w:rsid w:val="00966025"/>
    <w:rsid w:val="0096609C"/>
    <w:rsid w:val="00966115"/>
    <w:rsid w:val="0096612F"/>
    <w:rsid w:val="009661D4"/>
    <w:rsid w:val="009661ED"/>
    <w:rsid w:val="009661EF"/>
    <w:rsid w:val="009662D5"/>
    <w:rsid w:val="009662E5"/>
    <w:rsid w:val="0096633E"/>
    <w:rsid w:val="00966399"/>
    <w:rsid w:val="00966458"/>
    <w:rsid w:val="0096655F"/>
    <w:rsid w:val="00966594"/>
    <w:rsid w:val="009665A8"/>
    <w:rsid w:val="009665ED"/>
    <w:rsid w:val="009665FB"/>
    <w:rsid w:val="0096668F"/>
    <w:rsid w:val="009667BD"/>
    <w:rsid w:val="0096684F"/>
    <w:rsid w:val="00966877"/>
    <w:rsid w:val="00966894"/>
    <w:rsid w:val="009668B7"/>
    <w:rsid w:val="009668CC"/>
    <w:rsid w:val="00966AAB"/>
    <w:rsid w:val="00966B7B"/>
    <w:rsid w:val="00966BF2"/>
    <w:rsid w:val="00966C91"/>
    <w:rsid w:val="00966D25"/>
    <w:rsid w:val="00966D87"/>
    <w:rsid w:val="00966DAF"/>
    <w:rsid w:val="00966E96"/>
    <w:rsid w:val="00966F49"/>
    <w:rsid w:val="00966F57"/>
    <w:rsid w:val="00967035"/>
    <w:rsid w:val="009670C6"/>
    <w:rsid w:val="009670F1"/>
    <w:rsid w:val="00967151"/>
    <w:rsid w:val="0096724C"/>
    <w:rsid w:val="009673DD"/>
    <w:rsid w:val="00967409"/>
    <w:rsid w:val="00967482"/>
    <w:rsid w:val="00967495"/>
    <w:rsid w:val="009675CE"/>
    <w:rsid w:val="0096764D"/>
    <w:rsid w:val="00967783"/>
    <w:rsid w:val="0096780F"/>
    <w:rsid w:val="0096783F"/>
    <w:rsid w:val="0096784E"/>
    <w:rsid w:val="00967926"/>
    <w:rsid w:val="0096795E"/>
    <w:rsid w:val="009679FF"/>
    <w:rsid w:val="00967A0C"/>
    <w:rsid w:val="00967A0E"/>
    <w:rsid w:val="00967ACB"/>
    <w:rsid w:val="00967B6E"/>
    <w:rsid w:val="00967B7A"/>
    <w:rsid w:val="00967C04"/>
    <w:rsid w:val="00967C6C"/>
    <w:rsid w:val="00967CA7"/>
    <w:rsid w:val="00967D0E"/>
    <w:rsid w:val="00967D28"/>
    <w:rsid w:val="00967DC5"/>
    <w:rsid w:val="00967EBA"/>
    <w:rsid w:val="0097019E"/>
    <w:rsid w:val="009702A6"/>
    <w:rsid w:val="00970415"/>
    <w:rsid w:val="0097056B"/>
    <w:rsid w:val="00970581"/>
    <w:rsid w:val="009705BB"/>
    <w:rsid w:val="00970669"/>
    <w:rsid w:val="009706FB"/>
    <w:rsid w:val="00970710"/>
    <w:rsid w:val="00970726"/>
    <w:rsid w:val="009707C8"/>
    <w:rsid w:val="00970833"/>
    <w:rsid w:val="0097091D"/>
    <w:rsid w:val="009709AD"/>
    <w:rsid w:val="009709D0"/>
    <w:rsid w:val="00970BD7"/>
    <w:rsid w:val="00970CA2"/>
    <w:rsid w:val="00970CD9"/>
    <w:rsid w:val="00970CF1"/>
    <w:rsid w:val="00970D88"/>
    <w:rsid w:val="00970D9D"/>
    <w:rsid w:val="00970E69"/>
    <w:rsid w:val="00971025"/>
    <w:rsid w:val="00971071"/>
    <w:rsid w:val="009710F3"/>
    <w:rsid w:val="009711EA"/>
    <w:rsid w:val="00971232"/>
    <w:rsid w:val="0097136F"/>
    <w:rsid w:val="00971516"/>
    <w:rsid w:val="009715BF"/>
    <w:rsid w:val="009716C4"/>
    <w:rsid w:val="009717BB"/>
    <w:rsid w:val="00971811"/>
    <w:rsid w:val="0097189E"/>
    <w:rsid w:val="009718C8"/>
    <w:rsid w:val="00971A8E"/>
    <w:rsid w:val="00971ABA"/>
    <w:rsid w:val="00971CA6"/>
    <w:rsid w:val="00971CC7"/>
    <w:rsid w:val="00971F9C"/>
    <w:rsid w:val="00971FB1"/>
    <w:rsid w:val="00972022"/>
    <w:rsid w:val="0097204C"/>
    <w:rsid w:val="00972122"/>
    <w:rsid w:val="00972163"/>
    <w:rsid w:val="00972234"/>
    <w:rsid w:val="0097227F"/>
    <w:rsid w:val="00972353"/>
    <w:rsid w:val="00972399"/>
    <w:rsid w:val="0097241B"/>
    <w:rsid w:val="00972436"/>
    <w:rsid w:val="0097249A"/>
    <w:rsid w:val="0097254C"/>
    <w:rsid w:val="009725C6"/>
    <w:rsid w:val="00972610"/>
    <w:rsid w:val="009728CE"/>
    <w:rsid w:val="00972A3B"/>
    <w:rsid w:val="00972C6D"/>
    <w:rsid w:val="00972CDA"/>
    <w:rsid w:val="00972DD0"/>
    <w:rsid w:val="00972E04"/>
    <w:rsid w:val="00972E1B"/>
    <w:rsid w:val="00972E78"/>
    <w:rsid w:val="00972E79"/>
    <w:rsid w:val="00972E86"/>
    <w:rsid w:val="00972EF0"/>
    <w:rsid w:val="00972F84"/>
    <w:rsid w:val="00972FCD"/>
    <w:rsid w:val="009730CA"/>
    <w:rsid w:val="009731A5"/>
    <w:rsid w:val="00973215"/>
    <w:rsid w:val="009732A9"/>
    <w:rsid w:val="0097334C"/>
    <w:rsid w:val="00973393"/>
    <w:rsid w:val="009733B3"/>
    <w:rsid w:val="00973412"/>
    <w:rsid w:val="009734B3"/>
    <w:rsid w:val="009734BB"/>
    <w:rsid w:val="009734DA"/>
    <w:rsid w:val="00973542"/>
    <w:rsid w:val="009735C8"/>
    <w:rsid w:val="009735F3"/>
    <w:rsid w:val="00973646"/>
    <w:rsid w:val="0097372E"/>
    <w:rsid w:val="009737A6"/>
    <w:rsid w:val="0097384B"/>
    <w:rsid w:val="00973879"/>
    <w:rsid w:val="009738B8"/>
    <w:rsid w:val="009738E6"/>
    <w:rsid w:val="00973925"/>
    <w:rsid w:val="009739F9"/>
    <w:rsid w:val="00973A16"/>
    <w:rsid w:val="00973A40"/>
    <w:rsid w:val="00973B31"/>
    <w:rsid w:val="00973BF3"/>
    <w:rsid w:val="00973C1D"/>
    <w:rsid w:val="00973CC1"/>
    <w:rsid w:val="00973E5A"/>
    <w:rsid w:val="00973F28"/>
    <w:rsid w:val="00973F9C"/>
    <w:rsid w:val="00974027"/>
    <w:rsid w:val="00974029"/>
    <w:rsid w:val="00974066"/>
    <w:rsid w:val="00974069"/>
    <w:rsid w:val="009740B1"/>
    <w:rsid w:val="009740BE"/>
    <w:rsid w:val="009740C3"/>
    <w:rsid w:val="0097412E"/>
    <w:rsid w:val="0097414C"/>
    <w:rsid w:val="0097423B"/>
    <w:rsid w:val="0097430D"/>
    <w:rsid w:val="00974499"/>
    <w:rsid w:val="0097449D"/>
    <w:rsid w:val="009744BE"/>
    <w:rsid w:val="009744C3"/>
    <w:rsid w:val="00974589"/>
    <w:rsid w:val="00974616"/>
    <w:rsid w:val="00974796"/>
    <w:rsid w:val="009747A9"/>
    <w:rsid w:val="009747B2"/>
    <w:rsid w:val="009748BF"/>
    <w:rsid w:val="00974A0C"/>
    <w:rsid w:val="00974B83"/>
    <w:rsid w:val="00974BC4"/>
    <w:rsid w:val="00974CC3"/>
    <w:rsid w:val="00974CF4"/>
    <w:rsid w:val="00974D25"/>
    <w:rsid w:val="00974EEC"/>
    <w:rsid w:val="00975023"/>
    <w:rsid w:val="0097538B"/>
    <w:rsid w:val="009753E0"/>
    <w:rsid w:val="00975687"/>
    <w:rsid w:val="009757D5"/>
    <w:rsid w:val="00975A6C"/>
    <w:rsid w:val="00975F3B"/>
    <w:rsid w:val="00976053"/>
    <w:rsid w:val="00976069"/>
    <w:rsid w:val="0097607C"/>
    <w:rsid w:val="009760F5"/>
    <w:rsid w:val="0097612C"/>
    <w:rsid w:val="0097635C"/>
    <w:rsid w:val="009764C3"/>
    <w:rsid w:val="009764D3"/>
    <w:rsid w:val="009764F4"/>
    <w:rsid w:val="009765D7"/>
    <w:rsid w:val="009765E8"/>
    <w:rsid w:val="009769D0"/>
    <w:rsid w:val="009769F4"/>
    <w:rsid w:val="00976A54"/>
    <w:rsid w:val="00976A69"/>
    <w:rsid w:val="00976B1F"/>
    <w:rsid w:val="00976D29"/>
    <w:rsid w:val="00976E24"/>
    <w:rsid w:val="00976F77"/>
    <w:rsid w:val="0097700C"/>
    <w:rsid w:val="00977109"/>
    <w:rsid w:val="009771EC"/>
    <w:rsid w:val="00977392"/>
    <w:rsid w:val="009773E8"/>
    <w:rsid w:val="00977400"/>
    <w:rsid w:val="00977463"/>
    <w:rsid w:val="00977468"/>
    <w:rsid w:val="00977534"/>
    <w:rsid w:val="009775E1"/>
    <w:rsid w:val="0097761B"/>
    <w:rsid w:val="009777B5"/>
    <w:rsid w:val="00977882"/>
    <w:rsid w:val="0097792B"/>
    <w:rsid w:val="00977A1F"/>
    <w:rsid w:val="00977A62"/>
    <w:rsid w:val="00977B1B"/>
    <w:rsid w:val="00977B62"/>
    <w:rsid w:val="00977B75"/>
    <w:rsid w:val="00977BA6"/>
    <w:rsid w:val="00977BE8"/>
    <w:rsid w:val="00977C2B"/>
    <w:rsid w:val="00977C51"/>
    <w:rsid w:val="00977C58"/>
    <w:rsid w:val="00977DD2"/>
    <w:rsid w:val="00977E1C"/>
    <w:rsid w:val="00977E70"/>
    <w:rsid w:val="00977ED1"/>
    <w:rsid w:val="00977FD6"/>
    <w:rsid w:val="00980167"/>
    <w:rsid w:val="00980374"/>
    <w:rsid w:val="00980448"/>
    <w:rsid w:val="00980457"/>
    <w:rsid w:val="0098062D"/>
    <w:rsid w:val="00980647"/>
    <w:rsid w:val="009806DB"/>
    <w:rsid w:val="009806E3"/>
    <w:rsid w:val="009807EC"/>
    <w:rsid w:val="0098083E"/>
    <w:rsid w:val="0098089A"/>
    <w:rsid w:val="009808B1"/>
    <w:rsid w:val="009808E1"/>
    <w:rsid w:val="0098096C"/>
    <w:rsid w:val="00980995"/>
    <w:rsid w:val="00980BD4"/>
    <w:rsid w:val="00980C28"/>
    <w:rsid w:val="00980CA2"/>
    <w:rsid w:val="00980CDD"/>
    <w:rsid w:val="00980DB1"/>
    <w:rsid w:val="00980EB4"/>
    <w:rsid w:val="00980EDD"/>
    <w:rsid w:val="00980FE1"/>
    <w:rsid w:val="00981075"/>
    <w:rsid w:val="009810E0"/>
    <w:rsid w:val="00981213"/>
    <w:rsid w:val="00981286"/>
    <w:rsid w:val="00981365"/>
    <w:rsid w:val="009813E7"/>
    <w:rsid w:val="00981522"/>
    <w:rsid w:val="009815DB"/>
    <w:rsid w:val="009815F0"/>
    <w:rsid w:val="00981747"/>
    <w:rsid w:val="0098180A"/>
    <w:rsid w:val="00981997"/>
    <w:rsid w:val="00981AF3"/>
    <w:rsid w:val="00981B00"/>
    <w:rsid w:val="00981BEC"/>
    <w:rsid w:val="00981BEE"/>
    <w:rsid w:val="00981BF8"/>
    <w:rsid w:val="00981C17"/>
    <w:rsid w:val="00981C18"/>
    <w:rsid w:val="00981C9B"/>
    <w:rsid w:val="00981D26"/>
    <w:rsid w:val="00981E40"/>
    <w:rsid w:val="00981E5D"/>
    <w:rsid w:val="00981EDD"/>
    <w:rsid w:val="00981EFE"/>
    <w:rsid w:val="00981F36"/>
    <w:rsid w:val="00981FBC"/>
    <w:rsid w:val="00981FC6"/>
    <w:rsid w:val="0098202F"/>
    <w:rsid w:val="00982042"/>
    <w:rsid w:val="0098207A"/>
    <w:rsid w:val="0098220E"/>
    <w:rsid w:val="009822A0"/>
    <w:rsid w:val="009822FF"/>
    <w:rsid w:val="009823C4"/>
    <w:rsid w:val="0098245F"/>
    <w:rsid w:val="00982460"/>
    <w:rsid w:val="009824D1"/>
    <w:rsid w:val="0098260A"/>
    <w:rsid w:val="00982616"/>
    <w:rsid w:val="00982635"/>
    <w:rsid w:val="009826AC"/>
    <w:rsid w:val="0098281E"/>
    <w:rsid w:val="00982884"/>
    <w:rsid w:val="009829B9"/>
    <w:rsid w:val="009829D5"/>
    <w:rsid w:val="00982A7D"/>
    <w:rsid w:val="00982BD0"/>
    <w:rsid w:val="00982BFA"/>
    <w:rsid w:val="00982D2F"/>
    <w:rsid w:val="00982DF3"/>
    <w:rsid w:val="00982F07"/>
    <w:rsid w:val="00982F55"/>
    <w:rsid w:val="00982FE7"/>
    <w:rsid w:val="009830DE"/>
    <w:rsid w:val="009830E2"/>
    <w:rsid w:val="00983117"/>
    <w:rsid w:val="00983140"/>
    <w:rsid w:val="009831CE"/>
    <w:rsid w:val="009831FF"/>
    <w:rsid w:val="009832C2"/>
    <w:rsid w:val="00983355"/>
    <w:rsid w:val="0098338B"/>
    <w:rsid w:val="0098340A"/>
    <w:rsid w:val="009835BB"/>
    <w:rsid w:val="00983694"/>
    <w:rsid w:val="009836FB"/>
    <w:rsid w:val="00983732"/>
    <w:rsid w:val="00983B7F"/>
    <w:rsid w:val="00983B82"/>
    <w:rsid w:val="00983BB4"/>
    <w:rsid w:val="00983C12"/>
    <w:rsid w:val="00983C6C"/>
    <w:rsid w:val="00983DE1"/>
    <w:rsid w:val="00983E4B"/>
    <w:rsid w:val="00983F93"/>
    <w:rsid w:val="009840D1"/>
    <w:rsid w:val="009842BD"/>
    <w:rsid w:val="00984335"/>
    <w:rsid w:val="0098435F"/>
    <w:rsid w:val="00984467"/>
    <w:rsid w:val="009845D7"/>
    <w:rsid w:val="009846A5"/>
    <w:rsid w:val="0098485B"/>
    <w:rsid w:val="00984877"/>
    <w:rsid w:val="009848DB"/>
    <w:rsid w:val="00984902"/>
    <w:rsid w:val="00984ABE"/>
    <w:rsid w:val="00984AC7"/>
    <w:rsid w:val="00984CB2"/>
    <w:rsid w:val="00984D0D"/>
    <w:rsid w:val="00984E4E"/>
    <w:rsid w:val="00984F54"/>
    <w:rsid w:val="0098506A"/>
    <w:rsid w:val="0098508A"/>
    <w:rsid w:val="00985095"/>
    <w:rsid w:val="009850FF"/>
    <w:rsid w:val="00985198"/>
    <w:rsid w:val="00985242"/>
    <w:rsid w:val="0098530C"/>
    <w:rsid w:val="0098536A"/>
    <w:rsid w:val="0098542A"/>
    <w:rsid w:val="00985487"/>
    <w:rsid w:val="009854E9"/>
    <w:rsid w:val="0098552B"/>
    <w:rsid w:val="0098559A"/>
    <w:rsid w:val="009855CE"/>
    <w:rsid w:val="0098562D"/>
    <w:rsid w:val="0098562F"/>
    <w:rsid w:val="009856AF"/>
    <w:rsid w:val="00985764"/>
    <w:rsid w:val="00985897"/>
    <w:rsid w:val="009858AF"/>
    <w:rsid w:val="00985997"/>
    <w:rsid w:val="009859AB"/>
    <w:rsid w:val="00985A5F"/>
    <w:rsid w:val="00985AD7"/>
    <w:rsid w:val="00985BFB"/>
    <w:rsid w:val="00985C07"/>
    <w:rsid w:val="00985CE8"/>
    <w:rsid w:val="00985EED"/>
    <w:rsid w:val="00985F68"/>
    <w:rsid w:val="00985FE3"/>
    <w:rsid w:val="00985FFA"/>
    <w:rsid w:val="009860B0"/>
    <w:rsid w:val="009860C2"/>
    <w:rsid w:val="00986111"/>
    <w:rsid w:val="009861EB"/>
    <w:rsid w:val="009861F0"/>
    <w:rsid w:val="009863F6"/>
    <w:rsid w:val="00986497"/>
    <w:rsid w:val="0098650D"/>
    <w:rsid w:val="00986540"/>
    <w:rsid w:val="009865BB"/>
    <w:rsid w:val="009865E3"/>
    <w:rsid w:val="009865F7"/>
    <w:rsid w:val="00986630"/>
    <w:rsid w:val="009866AE"/>
    <w:rsid w:val="00986773"/>
    <w:rsid w:val="009868B6"/>
    <w:rsid w:val="0098690D"/>
    <w:rsid w:val="00986918"/>
    <w:rsid w:val="00986A53"/>
    <w:rsid w:val="00986AC5"/>
    <w:rsid w:val="00986B58"/>
    <w:rsid w:val="00986C8D"/>
    <w:rsid w:val="00986D14"/>
    <w:rsid w:val="00986DA2"/>
    <w:rsid w:val="00986DF2"/>
    <w:rsid w:val="00986E35"/>
    <w:rsid w:val="00987042"/>
    <w:rsid w:val="00987087"/>
    <w:rsid w:val="0098711E"/>
    <w:rsid w:val="00987187"/>
    <w:rsid w:val="009872B2"/>
    <w:rsid w:val="009872D1"/>
    <w:rsid w:val="0098730B"/>
    <w:rsid w:val="009873D3"/>
    <w:rsid w:val="009874F0"/>
    <w:rsid w:val="00987547"/>
    <w:rsid w:val="009875A9"/>
    <w:rsid w:val="00987644"/>
    <w:rsid w:val="009876AE"/>
    <w:rsid w:val="00987714"/>
    <w:rsid w:val="0098781D"/>
    <w:rsid w:val="00987823"/>
    <w:rsid w:val="00987876"/>
    <w:rsid w:val="00987908"/>
    <w:rsid w:val="009879C0"/>
    <w:rsid w:val="00987A07"/>
    <w:rsid w:val="00987A17"/>
    <w:rsid w:val="00987B1D"/>
    <w:rsid w:val="00987B32"/>
    <w:rsid w:val="00987B34"/>
    <w:rsid w:val="00987BA1"/>
    <w:rsid w:val="00987BB7"/>
    <w:rsid w:val="00987CA2"/>
    <w:rsid w:val="00987CE3"/>
    <w:rsid w:val="00987CEB"/>
    <w:rsid w:val="00987D1E"/>
    <w:rsid w:val="00987D8D"/>
    <w:rsid w:val="00987D99"/>
    <w:rsid w:val="00987DDB"/>
    <w:rsid w:val="00987DE0"/>
    <w:rsid w:val="00987E64"/>
    <w:rsid w:val="00990155"/>
    <w:rsid w:val="0099016E"/>
    <w:rsid w:val="00990243"/>
    <w:rsid w:val="0099045B"/>
    <w:rsid w:val="009904A2"/>
    <w:rsid w:val="009904E9"/>
    <w:rsid w:val="00990623"/>
    <w:rsid w:val="009906BD"/>
    <w:rsid w:val="009906CA"/>
    <w:rsid w:val="00990712"/>
    <w:rsid w:val="00990714"/>
    <w:rsid w:val="009907D5"/>
    <w:rsid w:val="00990830"/>
    <w:rsid w:val="00990982"/>
    <w:rsid w:val="0099099A"/>
    <w:rsid w:val="009909C8"/>
    <w:rsid w:val="009909E3"/>
    <w:rsid w:val="00990BDB"/>
    <w:rsid w:val="00990BDF"/>
    <w:rsid w:val="00990BE5"/>
    <w:rsid w:val="00990C6A"/>
    <w:rsid w:val="00990C6B"/>
    <w:rsid w:val="00990D3B"/>
    <w:rsid w:val="00990D91"/>
    <w:rsid w:val="00990D97"/>
    <w:rsid w:val="00990DA7"/>
    <w:rsid w:val="00990DF6"/>
    <w:rsid w:val="00990E1D"/>
    <w:rsid w:val="00990E6C"/>
    <w:rsid w:val="00990F06"/>
    <w:rsid w:val="00990F88"/>
    <w:rsid w:val="0099100F"/>
    <w:rsid w:val="0099124E"/>
    <w:rsid w:val="0099145C"/>
    <w:rsid w:val="009914A1"/>
    <w:rsid w:val="009914AE"/>
    <w:rsid w:val="0099151C"/>
    <w:rsid w:val="009916B4"/>
    <w:rsid w:val="0099170F"/>
    <w:rsid w:val="0099171E"/>
    <w:rsid w:val="00991988"/>
    <w:rsid w:val="00991992"/>
    <w:rsid w:val="00991C01"/>
    <w:rsid w:val="00991C87"/>
    <w:rsid w:val="00991C9D"/>
    <w:rsid w:val="00991CB5"/>
    <w:rsid w:val="00991CC0"/>
    <w:rsid w:val="00991DBF"/>
    <w:rsid w:val="00991E2C"/>
    <w:rsid w:val="00991E95"/>
    <w:rsid w:val="00991EC0"/>
    <w:rsid w:val="00991F78"/>
    <w:rsid w:val="00991FA8"/>
    <w:rsid w:val="0099216B"/>
    <w:rsid w:val="0099250D"/>
    <w:rsid w:val="00992681"/>
    <w:rsid w:val="00992734"/>
    <w:rsid w:val="00992788"/>
    <w:rsid w:val="009928C4"/>
    <w:rsid w:val="009929E9"/>
    <w:rsid w:val="00992B0B"/>
    <w:rsid w:val="00992B69"/>
    <w:rsid w:val="00992B6A"/>
    <w:rsid w:val="00992BC1"/>
    <w:rsid w:val="00992F2B"/>
    <w:rsid w:val="0099305A"/>
    <w:rsid w:val="00993214"/>
    <w:rsid w:val="0099321C"/>
    <w:rsid w:val="009932D7"/>
    <w:rsid w:val="00993454"/>
    <w:rsid w:val="0099349E"/>
    <w:rsid w:val="0099350F"/>
    <w:rsid w:val="00993760"/>
    <w:rsid w:val="009938AB"/>
    <w:rsid w:val="0099395F"/>
    <w:rsid w:val="009939B6"/>
    <w:rsid w:val="00993B21"/>
    <w:rsid w:val="00993C6B"/>
    <w:rsid w:val="00993CB9"/>
    <w:rsid w:val="00993D13"/>
    <w:rsid w:val="00993F63"/>
    <w:rsid w:val="00993F7D"/>
    <w:rsid w:val="00993F9A"/>
    <w:rsid w:val="00993FD3"/>
    <w:rsid w:val="00994202"/>
    <w:rsid w:val="0099435E"/>
    <w:rsid w:val="0099440F"/>
    <w:rsid w:val="0099444F"/>
    <w:rsid w:val="00994511"/>
    <w:rsid w:val="00994600"/>
    <w:rsid w:val="009947DF"/>
    <w:rsid w:val="00994844"/>
    <w:rsid w:val="00994AAB"/>
    <w:rsid w:val="00994D32"/>
    <w:rsid w:val="0099508D"/>
    <w:rsid w:val="0099513D"/>
    <w:rsid w:val="0099513E"/>
    <w:rsid w:val="009951CE"/>
    <w:rsid w:val="0099522E"/>
    <w:rsid w:val="00995242"/>
    <w:rsid w:val="00995259"/>
    <w:rsid w:val="00995272"/>
    <w:rsid w:val="00995274"/>
    <w:rsid w:val="009953FD"/>
    <w:rsid w:val="009954FA"/>
    <w:rsid w:val="0099562B"/>
    <w:rsid w:val="009956DF"/>
    <w:rsid w:val="00995761"/>
    <w:rsid w:val="00995780"/>
    <w:rsid w:val="0099586F"/>
    <w:rsid w:val="00995881"/>
    <w:rsid w:val="009958AC"/>
    <w:rsid w:val="0099595B"/>
    <w:rsid w:val="00995A04"/>
    <w:rsid w:val="00995B6A"/>
    <w:rsid w:val="00995C14"/>
    <w:rsid w:val="00995E2B"/>
    <w:rsid w:val="00995E7D"/>
    <w:rsid w:val="00995F25"/>
    <w:rsid w:val="00996090"/>
    <w:rsid w:val="009960A8"/>
    <w:rsid w:val="009960C3"/>
    <w:rsid w:val="009960F7"/>
    <w:rsid w:val="00996117"/>
    <w:rsid w:val="0099624E"/>
    <w:rsid w:val="00996250"/>
    <w:rsid w:val="0099631E"/>
    <w:rsid w:val="009963A8"/>
    <w:rsid w:val="00996565"/>
    <w:rsid w:val="00996689"/>
    <w:rsid w:val="00996691"/>
    <w:rsid w:val="0099677C"/>
    <w:rsid w:val="009967F9"/>
    <w:rsid w:val="009969D4"/>
    <w:rsid w:val="009969F6"/>
    <w:rsid w:val="00996B15"/>
    <w:rsid w:val="00996BCF"/>
    <w:rsid w:val="00996C56"/>
    <w:rsid w:val="00996C90"/>
    <w:rsid w:val="00996E3B"/>
    <w:rsid w:val="00996E4B"/>
    <w:rsid w:val="00996E61"/>
    <w:rsid w:val="00996F1A"/>
    <w:rsid w:val="00997154"/>
    <w:rsid w:val="00997355"/>
    <w:rsid w:val="009973D9"/>
    <w:rsid w:val="00997402"/>
    <w:rsid w:val="00997470"/>
    <w:rsid w:val="009974BB"/>
    <w:rsid w:val="0099758C"/>
    <w:rsid w:val="00997624"/>
    <w:rsid w:val="0099765B"/>
    <w:rsid w:val="009976BF"/>
    <w:rsid w:val="009977A4"/>
    <w:rsid w:val="00997849"/>
    <w:rsid w:val="009979A5"/>
    <w:rsid w:val="00997B0D"/>
    <w:rsid w:val="00997B4E"/>
    <w:rsid w:val="00997C42"/>
    <w:rsid w:val="00997CFA"/>
    <w:rsid w:val="00997D7F"/>
    <w:rsid w:val="00997DC5"/>
    <w:rsid w:val="00997DF1"/>
    <w:rsid w:val="00997ECA"/>
    <w:rsid w:val="00997F09"/>
    <w:rsid w:val="00997FD0"/>
    <w:rsid w:val="009A000B"/>
    <w:rsid w:val="009A00BE"/>
    <w:rsid w:val="009A0229"/>
    <w:rsid w:val="009A0242"/>
    <w:rsid w:val="009A02D9"/>
    <w:rsid w:val="009A0387"/>
    <w:rsid w:val="009A0400"/>
    <w:rsid w:val="009A057E"/>
    <w:rsid w:val="009A078B"/>
    <w:rsid w:val="009A083C"/>
    <w:rsid w:val="009A085E"/>
    <w:rsid w:val="009A089E"/>
    <w:rsid w:val="009A093E"/>
    <w:rsid w:val="009A0966"/>
    <w:rsid w:val="009A0985"/>
    <w:rsid w:val="009A0A1F"/>
    <w:rsid w:val="009A0AAC"/>
    <w:rsid w:val="009A0AB6"/>
    <w:rsid w:val="009A0B5B"/>
    <w:rsid w:val="009A0E65"/>
    <w:rsid w:val="009A0EA2"/>
    <w:rsid w:val="009A10DE"/>
    <w:rsid w:val="009A1147"/>
    <w:rsid w:val="009A11A4"/>
    <w:rsid w:val="009A124A"/>
    <w:rsid w:val="009A1299"/>
    <w:rsid w:val="009A146F"/>
    <w:rsid w:val="009A14A9"/>
    <w:rsid w:val="009A14C9"/>
    <w:rsid w:val="009A1696"/>
    <w:rsid w:val="009A16DB"/>
    <w:rsid w:val="009A1762"/>
    <w:rsid w:val="009A17C5"/>
    <w:rsid w:val="009A19DD"/>
    <w:rsid w:val="009A1A1B"/>
    <w:rsid w:val="009A1A44"/>
    <w:rsid w:val="009A1AB7"/>
    <w:rsid w:val="009A1AB8"/>
    <w:rsid w:val="009A1B10"/>
    <w:rsid w:val="009A1BE2"/>
    <w:rsid w:val="009A1C76"/>
    <w:rsid w:val="009A1E18"/>
    <w:rsid w:val="009A1EF3"/>
    <w:rsid w:val="009A216A"/>
    <w:rsid w:val="009A2281"/>
    <w:rsid w:val="009A2307"/>
    <w:rsid w:val="009A2497"/>
    <w:rsid w:val="009A24EA"/>
    <w:rsid w:val="009A2567"/>
    <w:rsid w:val="009A26B7"/>
    <w:rsid w:val="009A26D0"/>
    <w:rsid w:val="009A2962"/>
    <w:rsid w:val="009A29FE"/>
    <w:rsid w:val="009A2A33"/>
    <w:rsid w:val="009A2A7B"/>
    <w:rsid w:val="009A2A84"/>
    <w:rsid w:val="009A2ACC"/>
    <w:rsid w:val="009A2DA5"/>
    <w:rsid w:val="009A2EA4"/>
    <w:rsid w:val="009A2F2F"/>
    <w:rsid w:val="009A3161"/>
    <w:rsid w:val="009A3169"/>
    <w:rsid w:val="009A3257"/>
    <w:rsid w:val="009A32A4"/>
    <w:rsid w:val="009A3311"/>
    <w:rsid w:val="009A333A"/>
    <w:rsid w:val="009A35D8"/>
    <w:rsid w:val="009A3769"/>
    <w:rsid w:val="009A381A"/>
    <w:rsid w:val="009A3832"/>
    <w:rsid w:val="009A384A"/>
    <w:rsid w:val="009A387E"/>
    <w:rsid w:val="009A3BBA"/>
    <w:rsid w:val="009A3BFA"/>
    <w:rsid w:val="009A3C08"/>
    <w:rsid w:val="009A3CFB"/>
    <w:rsid w:val="009A3D4A"/>
    <w:rsid w:val="009A3E75"/>
    <w:rsid w:val="009A3E8A"/>
    <w:rsid w:val="009A3F5D"/>
    <w:rsid w:val="009A4010"/>
    <w:rsid w:val="009A40E4"/>
    <w:rsid w:val="009A4177"/>
    <w:rsid w:val="009A4216"/>
    <w:rsid w:val="009A4232"/>
    <w:rsid w:val="009A4289"/>
    <w:rsid w:val="009A4341"/>
    <w:rsid w:val="009A434F"/>
    <w:rsid w:val="009A43E6"/>
    <w:rsid w:val="009A44B4"/>
    <w:rsid w:val="009A4589"/>
    <w:rsid w:val="009A45AA"/>
    <w:rsid w:val="009A45C4"/>
    <w:rsid w:val="009A466E"/>
    <w:rsid w:val="009A46BA"/>
    <w:rsid w:val="009A4746"/>
    <w:rsid w:val="009A494B"/>
    <w:rsid w:val="009A49C6"/>
    <w:rsid w:val="009A4A90"/>
    <w:rsid w:val="009A4BFA"/>
    <w:rsid w:val="009A4C87"/>
    <w:rsid w:val="009A4CD4"/>
    <w:rsid w:val="009A4E1B"/>
    <w:rsid w:val="009A4F63"/>
    <w:rsid w:val="009A4F65"/>
    <w:rsid w:val="009A4F72"/>
    <w:rsid w:val="009A509D"/>
    <w:rsid w:val="009A51AA"/>
    <w:rsid w:val="009A5326"/>
    <w:rsid w:val="009A5361"/>
    <w:rsid w:val="009A53D8"/>
    <w:rsid w:val="009A543B"/>
    <w:rsid w:val="009A5447"/>
    <w:rsid w:val="009A54B2"/>
    <w:rsid w:val="009A5516"/>
    <w:rsid w:val="009A567F"/>
    <w:rsid w:val="009A56AE"/>
    <w:rsid w:val="009A580D"/>
    <w:rsid w:val="009A580E"/>
    <w:rsid w:val="009A593E"/>
    <w:rsid w:val="009A59AF"/>
    <w:rsid w:val="009A59C5"/>
    <w:rsid w:val="009A5C0A"/>
    <w:rsid w:val="009A5C7C"/>
    <w:rsid w:val="009A5D0E"/>
    <w:rsid w:val="009A5E40"/>
    <w:rsid w:val="009A5F3D"/>
    <w:rsid w:val="009A5F79"/>
    <w:rsid w:val="009A5FC8"/>
    <w:rsid w:val="009A6189"/>
    <w:rsid w:val="009A61B0"/>
    <w:rsid w:val="009A6245"/>
    <w:rsid w:val="009A6262"/>
    <w:rsid w:val="009A6287"/>
    <w:rsid w:val="009A6595"/>
    <w:rsid w:val="009A659D"/>
    <w:rsid w:val="009A6694"/>
    <w:rsid w:val="009A67AD"/>
    <w:rsid w:val="009A67E6"/>
    <w:rsid w:val="009A696C"/>
    <w:rsid w:val="009A6B86"/>
    <w:rsid w:val="009A6C50"/>
    <w:rsid w:val="009A6C55"/>
    <w:rsid w:val="009A6C71"/>
    <w:rsid w:val="009A6EC3"/>
    <w:rsid w:val="009A6ED7"/>
    <w:rsid w:val="009A7101"/>
    <w:rsid w:val="009A7110"/>
    <w:rsid w:val="009A7131"/>
    <w:rsid w:val="009A718E"/>
    <w:rsid w:val="009A7196"/>
    <w:rsid w:val="009A7277"/>
    <w:rsid w:val="009A7282"/>
    <w:rsid w:val="009A728B"/>
    <w:rsid w:val="009A7317"/>
    <w:rsid w:val="009A7338"/>
    <w:rsid w:val="009A7394"/>
    <w:rsid w:val="009A73DD"/>
    <w:rsid w:val="009A73FC"/>
    <w:rsid w:val="009A7416"/>
    <w:rsid w:val="009A748F"/>
    <w:rsid w:val="009A7628"/>
    <w:rsid w:val="009A7953"/>
    <w:rsid w:val="009A79EF"/>
    <w:rsid w:val="009A7A3D"/>
    <w:rsid w:val="009A7ABE"/>
    <w:rsid w:val="009A7B50"/>
    <w:rsid w:val="009A7BBE"/>
    <w:rsid w:val="009A7CED"/>
    <w:rsid w:val="009A7D1A"/>
    <w:rsid w:val="009A7D4A"/>
    <w:rsid w:val="009A7D87"/>
    <w:rsid w:val="009A7DA0"/>
    <w:rsid w:val="009A7E12"/>
    <w:rsid w:val="009A7E2D"/>
    <w:rsid w:val="009B0023"/>
    <w:rsid w:val="009B00F2"/>
    <w:rsid w:val="009B0115"/>
    <w:rsid w:val="009B019C"/>
    <w:rsid w:val="009B0242"/>
    <w:rsid w:val="009B0316"/>
    <w:rsid w:val="009B031E"/>
    <w:rsid w:val="009B0466"/>
    <w:rsid w:val="009B057A"/>
    <w:rsid w:val="009B05D4"/>
    <w:rsid w:val="009B088F"/>
    <w:rsid w:val="009B08AB"/>
    <w:rsid w:val="009B0A16"/>
    <w:rsid w:val="009B0A95"/>
    <w:rsid w:val="009B0C80"/>
    <w:rsid w:val="009B0CC3"/>
    <w:rsid w:val="009B0D44"/>
    <w:rsid w:val="009B0D87"/>
    <w:rsid w:val="009B0DFA"/>
    <w:rsid w:val="009B0E28"/>
    <w:rsid w:val="009B0E56"/>
    <w:rsid w:val="009B0E5F"/>
    <w:rsid w:val="009B0E6E"/>
    <w:rsid w:val="009B0F1F"/>
    <w:rsid w:val="009B0F40"/>
    <w:rsid w:val="009B0F77"/>
    <w:rsid w:val="009B1029"/>
    <w:rsid w:val="009B102B"/>
    <w:rsid w:val="009B1062"/>
    <w:rsid w:val="009B121A"/>
    <w:rsid w:val="009B1224"/>
    <w:rsid w:val="009B12AA"/>
    <w:rsid w:val="009B13BC"/>
    <w:rsid w:val="009B13FA"/>
    <w:rsid w:val="009B1405"/>
    <w:rsid w:val="009B140B"/>
    <w:rsid w:val="009B144A"/>
    <w:rsid w:val="009B171A"/>
    <w:rsid w:val="009B177D"/>
    <w:rsid w:val="009B1856"/>
    <w:rsid w:val="009B1864"/>
    <w:rsid w:val="009B192B"/>
    <w:rsid w:val="009B199D"/>
    <w:rsid w:val="009B1BD8"/>
    <w:rsid w:val="009B1CDB"/>
    <w:rsid w:val="009B1D97"/>
    <w:rsid w:val="009B1DA4"/>
    <w:rsid w:val="009B1E28"/>
    <w:rsid w:val="009B1E5A"/>
    <w:rsid w:val="009B1E5F"/>
    <w:rsid w:val="009B1E67"/>
    <w:rsid w:val="009B1F8D"/>
    <w:rsid w:val="009B1FF1"/>
    <w:rsid w:val="009B2010"/>
    <w:rsid w:val="009B202F"/>
    <w:rsid w:val="009B2130"/>
    <w:rsid w:val="009B227A"/>
    <w:rsid w:val="009B233F"/>
    <w:rsid w:val="009B2384"/>
    <w:rsid w:val="009B23E3"/>
    <w:rsid w:val="009B241A"/>
    <w:rsid w:val="009B2427"/>
    <w:rsid w:val="009B2435"/>
    <w:rsid w:val="009B24B2"/>
    <w:rsid w:val="009B2584"/>
    <w:rsid w:val="009B2665"/>
    <w:rsid w:val="009B2704"/>
    <w:rsid w:val="009B2762"/>
    <w:rsid w:val="009B292C"/>
    <w:rsid w:val="009B2969"/>
    <w:rsid w:val="009B29CE"/>
    <w:rsid w:val="009B2A8B"/>
    <w:rsid w:val="009B2A9D"/>
    <w:rsid w:val="009B2AAE"/>
    <w:rsid w:val="009B2B61"/>
    <w:rsid w:val="009B2CF2"/>
    <w:rsid w:val="009B2D30"/>
    <w:rsid w:val="009B2D42"/>
    <w:rsid w:val="009B2D4F"/>
    <w:rsid w:val="009B2D71"/>
    <w:rsid w:val="009B2D7E"/>
    <w:rsid w:val="009B2DF2"/>
    <w:rsid w:val="009B2E6E"/>
    <w:rsid w:val="009B2E9D"/>
    <w:rsid w:val="009B2EAC"/>
    <w:rsid w:val="009B2F85"/>
    <w:rsid w:val="009B2FF4"/>
    <w:rsid w:val="009B3057"/>
    <w:rsid w:val="009B3083"/>
    <w:rsid w:val="009B3101"/>
    <w:rsid w:val="009B3104"/>
    <w:rsid w:val="009B3139"/>
    <w:rsid w:val="009B316B"/>
    <w:rsid w:val="009B3390"/>
    <w:rsid w:val="009B3439"/>
    <w:rsid w:val="009B3488"/>
    <w:rsid w:val="009B348F"/>
    <w:rsid w:val="009B34BD"/>
    <w:rsid w:val="009B34C5"/>
    <w:rsid w:val="009B34D0"/>
    <w:rsid w:val="009B361D"/>
    <w:rsid w:val="009B3752"/>
    <w:rsid w:val="009B3863"/>
    <w:rsid w:val="009B38CE"/>
    <w:rsid w:val="009B3977"/>
    <w:rsid w:val="009B399D"/>
    <w:rsid w:val="009B39C8"/>
    <w:rsid w:val="009B3A00"/>
    <w:rsid w:val="009B3A1F"/>
    <w:rsid w:val="009B3A90"/>
    <w:rsid w:val="009B3B50"/>
    <w:rsid w:val="009B3C7B"/>
    <w:rsid w:val="009B3DE6"/>
    <w:rsid w:val="009B3FD6"/>
    <w:rsid w:val="009B4186"/>
    <w:rsid w:val="009B4386"/>
    <w:rsid w:val="009B4484"/>
    <w:rsid w:val="009B45EA"/>
    <w:rsid w:val="009B45EC"/>
    <w:rsid w:val="009B45F8"/>
    <w:rsid w:val="009B46B9"/>
    <w:rsid w:val="009B490F"/>
    <w:rsid w:val="009B49D3"/>
    <w:rsid w:val="009B49E5"/>
    <w:rsid w:val="009B4A85"/>
    <w:rsid w:val="009B4AF6"/>
    <w:rsid w:val="009B4B0D"/>
    <w:rsid w:val="009B4C0B"/>
    <w:rsid w:val="009B4C75"/>
    <w:rsid w:val="009B4CAF"/>
    <w:rsid w:val="009B4D9D"/>
    <w:rsid w:val="009B4DE5"/>
    <w:rsid w:val="009B4E6B"/>
    <w:rsid w:val="009B4F1C"/>
    <w:rsid w:val="009B4F74"/>
    <w:rsid w:val="009B4FE7"/>
    <w:rsid w:val="009B522D"/>
    <w:rsid w:val="009B5391"/>
    <w:rsid w:val="009B53C7"/>
    <w:rsid w:val="009B53FF"/>
    <w:rsid w:val="009B5435"/>
    <w:rsid w:val="009B5476"/>
    <w:rsid w:val="009B555F"/>
    <w:rsid w:val="009B5583"/>
    <w:rsid w:val="009B55A1"/>
    <w:rsid w:val="009B5625"/>
    <w:rsid w:val="009B5637"/>
    <w:rsid w:val="009B565B"/>
    <w:rsid w:val="009B56A7"/>
    <w:rsid w:val="009B56F0"/>
    <w:rsid w:val="009B5814"/>
    <w:rsid w:val="009B58D7"/>
    <w:rsid w:val="009B58DA"/>
    <w:rsid w:val="009B590C"/>
    <w:rsid w:val="009B5982"/>
    <w:rsid w:val="009B5A72"/>
    <w:rsid w:val="009B5AB3"/>
    <w:rsid w:val="009B5B41"/>
    <w:rsid w:val="009B5CD5"/>
    <w:rsid w:val="009B5CF2"/>
    <w:rsid w:val="009B5E0F"/>
    <w:rsid w:val="009B5E20"/>
    <w:rsid w:val="009B5F05"/>
    <w:rsid w:val="009B5FD8"/>
    <w:rsid w:val="009B5FF1"/>
    <w:rsid w:val="009B600F"/>
    <w:rsid w:val="009B6096"/>
    <w:rsid w:val="009B60A8"/>
    <w:rsid w:val="009B60AD"/>
    <w:rsid w:val="009B60B2"/>
    <w:rsid w:val="009B6122"/>
    <w:rsid w:val="009B616E"/>
    <w:rsid w:val="009B61F1"/>
    <w:rsid w:val="009B622B"/>
    <w:rsid w:val="009B6255"/>
    <w:rsid w:val="009B6303"/>
    <w:rsid w:val="009B63A3"/>
    <w:rsid w:val="009B644E"/>
    <w:rsid w:val="009B6555"/>
    <w:rsid w:val="009B65D8"/>
    <w:rsid w:val="009B66DE"/>
    <w:rsid w:val="009B682B"/>
    <w:rsid w:val="009B685E"/>
    <w:rsid w:val="009B6939"/>
    <w:rsid w:val="009B693A"/>
    <w:rsid w:val="009B6978"/>
    <w:rsid w:val="009B6979"/>
    <w:rsid w:val="009B69D8"/>
    <w:rsid w:val="009B6A75"/>
    <w:rsid w:val="009B6A86"/>
    <w:rsid w:val="009B6ADC"/>
    <w:rsid w:val="009B6AF4"/>
    <w:rsid w:val="009B6D3D"/>
    <w:rsid w:val="009B6DBF"/>
    <w:rsid w:val="009B6DF2"/>
    <w:rsid w:val="009B6E3B"/>
    <w:rsid w:val="009B6ED8"/>
    <w:rsid w:val="009B6F40"/>
    <w:rsid w:val="009B6F5A"/>
    <w:rsid w:val="009B6FE7"/>
    <w:rsid w:val="009B704F"/>
    <w:rsid w:val="009B70DD"/>
    <w:rsid w:val="009B70E1"/>
    <w:rsid w:val="009B7214"/>
    <w:rsid w:val="009B7236"/>
    <w:rsid w:val="009B756C"/>
    <w:rsid w:val="009B7747"/>
    <w:rsid w:val="009B7793"/>
    <w:rsid w:val="009B77C2"/>
    <w:rsid w:val="009B784B"/>
    <w:rsid w:val="009B78F0"/>
    <w:rsid w:val="009B791D"/>
    <w:rsid w:val="009B7A29"/>
    <w:rsid w:val="009B7B1B"/>
    <w:rsid w:val="009B7BD9"/>
    <w:rsid w:val="009B7DF6"/>
    <w:rsid w:val="009B7E7C"/>
    <w:rsid w:val="009B7E87"/>
    <w:rsid w:val="009B7EB1"/>
    <w:rsid w:val="009B7F0D"/>
    <w:rsid w:val="009C0010"/>
    <w:rsid w:val="009C0050"/>
    <w:rsid w:val="009C014B"/>
    <w:rsid w:val="009C01B4"/>
    <w:rsid w:val="009C039B"/>
    <w:rsid w:val="009C03FB"/>
    <w:rsid w:val="009C040B"/>
    <w:rsid w:val="009C040C"/>
    <w:rsid w:val="009C0445"/>
    <w:rsid w:val="009C0500"/>
    <w:rsid w:val="009C052D"/>
    <w:rsid w:val="009C0634"/>
    <w:rsid w:val="009C0695"/>
    <w:rsid w:val="009C06BC"/>
    <w:rsid w:val="009C07EC"/>
    <w:rsid w:val="009C081B"/>
    <w:rsid w:val="009C08A2"/>
    <w:rsid w:val="009C0967"/>
    <w:rsid w:val="009C0BFC"/>
    <w:rsid w:val="009C0CC1"/>
    <w:rsid w:val="009C0D0D"/>
    <w:rsid w:val="009C0D6C"/>
    <w:rsid w:val="009C0DB3"/>
    <w:rsid w:val="009C0E22"/>
    <w:rsid w:val="009C0EDC"/>
    <w:rsid w:val="009C0FE5"/>
    <w:rsid w:val="009C10C9"/>
    <w:rsid w:val="009C1190"/>
    <w:rsid w:val="009C1193"/>
    <w:rsid w:val="009C119F"/>
    <w:rsid w:val="009C12D0"/>
    <w:rsid w:val="009C1434"/>
    <w:rsid w:val="009C1468"/>
    <w:rsid w:val="009C1514"/>
    <w:rsid w:val="009C1526"/>
    <w:rsid w:val="009C156C"/>
    <w:rsid w:val="009C15CB"/>
    <w:rsid w:val="009C15CE"/>
    <w:rsid w:val="009C1693"/>
    <w:rsid w:val="009C16D8"/>
    <w:rsid w:val="009C193A"/>
    <w:rsid w:val="009C19A9"/>
    <w:rsid w:val="009C1A33"/>
    <w:rsid w:val="009C1A4A"/>
    <w:rsid w:val="009C1CB0"/>
    <w:rsid w:val="009C1CE1"/>
    <w:rsid w:val="009C1E11"/>
    <w:rsid w:val="009C1E6E"/>
    <w:rsid w:val="009C1E9E"/>
    <w:rsid w:val="009C1F89"/>
    <w:rsid w:val="009C2038"/>
    <w:rsid w:val="009C22D2"/>
    <w:rsid w:val="009C236E"/>
    <w:rsid w:val="009C244D"/>
    <w:rsid w:val="009C2568"/>
    <w:rsid w:val="009C28E0"/>
    <w:rsid w:val="009C28E2"/>
    <w:rsid w:val="009C28E3"/>
    <w:rsid w:val="009C2A99"/>
    <w:rsid w:val="009C2C7D"/>
    <w:rsid w:val="009C2D73"/>
    <w:rsid w:val="009C2D8E"/>
    <w:rsid w:val="009C2E5D"/>
    <w:rsid w:val="009C2F82"/>
    <w:rsid w:val="009C3065"/>
    <w:rsid w:val="009C30B2"/>
    <w:rsid w:val="009C315E"/>
    <w:rsid w:val="009C3160"/>
    <w:rsid w:val="009C3287"/>
    <w:rsid w:val="009C32BA"/>
    <w:rsid w:val="009C33EE"/>
    <w:rsid w:val="009C347D"/>
    <w:rsid w:val="009C34E7"/>
    <w:rsid w:val="009C34F7"/>
    <w:rsid w:val="009C3525"/>
    <w:rsid w:val="009C3615"/>
    <w:rsid w:val="009C36AF"/>
    <w:rsid w:val="009C37A8"/>
    <w:rsid w:val="009C385D"/>
    <w:rsid w:val="009C3891"/>
    <w:rsid w:val="009C39B0"/>
    <w:rsid w:val="009C3C01"/>
    <w:rsid w:val="009C3C63"/>
    <w:rsid w:val="009C3D3F"/>
    <w:rsid w:val="009C3D9B"/>
    <w:rsid w:val="009C3DF6"/>
    <w:rsid w:val="009C3E16"/>
    <w:rsid w:val="009C3E74"/>
    <w:rsid w:val="009C3ECF"/>
    <w:rsid w:val="009C3EE3"/>
    <w:rsid w:val="009C3F32"/>
    <w:rsid w:val="009C405D"/>
    <w:rsid w:val="009C4094"/>
    <w:rsid w:val="009C4130"/>
    <w:rsid w:val="009C43D8"/>
    <w:rsid w:val="009C44A9"/>
    <w:rsid w:val="009C4517"/>
    <w:rsid w:val="009C46C1"/>
    <w:rsid w:val="009C46DC"/>
    <w:rsid w:val="009C46ED"/>
    <w:rsid w:val="009C4727"/>
    <w:rsid w:val="009C4786"/>
    <w:rsid w:val="009C488A"/>
    <w:rsid w:val="009C48D1"/>
    <w:rsid w:val="009C4947"/>
    <w:rsid w:val="009C495D"/>
    <w:rsid w:val="009C49C9"/>
    <w:rsid w:val="009C4AA4"/>
    <w:rsid w:val="009C4B58"/>
    <w:rsid w:val="009C4C99"/>
    <w:rsid w:val="009C4CC7"/>
    <w:rsid w:val="009C4EEC"/>
    <w:rsid w:val="009C506C"/>
    <w:rsid w:val="009C51A5"/>
    <w:rsid w:val="009C51C9"/>
    <w:rsid w:val="009C51DD"/>
    <w:rsid w:val="009C5467"/>
    <w:rsid w:val="009C5497"/>
    <w:rsid w:val="009C557F"/>
    <w:rsid w:val="009C55CF"/>
    <w:rsid w:val="009C55EA"/>
    <w:rsid w:val="009C5626"/>
    <w:rsid w:val="009C577A"/>
    <w:rsid w:val="009C5818"/>
    <w:rsid w:val="009C58C7"/>
    <w:rsid w:val="009C59E4"/>
    <w:rsid w:val="009C5ABD"/>
    <w:rsid w:val="009C5AE7"/>
    <w:rsid w:val="009C5B0E"/>
    <w:rsid w:val="009C5B18"/>
    <w:rsid w:val="009C5BC6"/>
    <w:rsid w:val="009C5C8A"/>
    <w:rsid w:val="009C5CBB"/>
    <w:rsid w:val="009C5D7B"/>
    <w:rsid w:val="009C5D8B"/>
    <w:rsid w:val="009C5E6E"/>
    <w:rsid w:val="009C5E93"/>
    <w:rsid w:val="009C5EA1"/>
    <w:rsid w:val="009C5F2A"/>
    <w:rsid w:val="009C5F65"/>
    <w:rsid w:val="009C604C"/>
    <w:rsid w:val="009C6079"/>
    <w:rsid w:val="009C60DE"/>
    <w:rsid w:val="009C60E7"/>
    <w:rsid w:val="009C6187"/>
    <w:rsid w:val="009C6189"/>
    <w:rsid w:val="009C622D"/>
    <w:rsid w:val="009C6240"/>
    <w:rsid w:val="009C631C"/>
    <w:rsid w:val="009C64CB"/>
    <w:rsid w:val="009C656F"/>
    <w:rsid w:val="009C6573"/>
    <w:rsid w:val="009C65A5"/>
    <w:rsid w:val="009C6721"/>
    <w:rsid w:val="009C677B"/>
    <w:rsid w:val="009C6881"/>
    <w:rsid w:val="009C690B"/>
    <w:rsid w:val="009C69A0"/>
    <w:rsid w:val="009C6A03"/>
    <w:rsid w:val="009C6A76"/>
    <w:rsid w:val="009C6B27"/>
    <w:rsid w:val="009C6C15"/>
    <w:rsid w:val="009C6CEE"/>
    <w:rsid w:val="009C6CF4"/>
    <w:rsid w:val="009C6D0B"/>
    <w:rsid w:val="009C6FA7"/>
    <w:rsid w:val="009C71D5"/>
    <w:rsid w:val="009C71D7"/>
    <w:rsid w:val="009C71DB"/>
    <w:rsid w:val="009C72B9"/>
    <w:rsid w:val="009C7338"/>
    <w:rsid w:val="009C7391"/>
    <w:rsid w:val="009C73F5"/>
    <w:rsid w:val="009C74E2"/>
    <w:rsid w:val="009C750B"/>
    <w:rsid w:val="009C75B2"/>
    <w:rsid w:val="009C7650"/>
    <w:rsid w:val="009C766F"/>
    <w:rsid w:val="009C7735"/>
    <w:rsid w:val="009C7757"/>
    <w:rsid w:val="009C77DD"/>
    <w:rsid w:val="009C77F6"/>
    <w:rsid w:val="009C7866"/>
    <w:rsid w:val="009C7880"/>
    <w:rsid w:val="009C7AB1"/>
    <w:rsid w:val="009C7B38"/>
    <w:rsid w:val="009C7BA6"/>
    <w:rsid w:val="009C7CBD"/>
    <w:rsid w:val="009C7D3B"/>
    <w:rsid w:val="009C7DA2"/>
    <w:rsid w:val="009C7DB0"/>
    <w:rsid w:val="009C7DB5"/>
    <w:rsid w:val="009D01B0"/>
    <w:rsid w:val="009D01B3"/>
    <w:rsid w:val="009D0241"/>
    <w:rsid w:val="009D02C4"/>
    <w:rsid w:val="009D030C"/>
    <w:rsid w:val="009D0363"/>
    <w:rsid w:val="009D0365"/>
    <w:rsid w:val="009D0460"/>
    <w:rsid w:val="009D0539"/>
    <w:rsid w:val="009D059E"/>
    <w:rsid w:val="009D06A4"/>
    <w:rsid w:val="009D06D0"/>
    <w:rsid w:val="009D07B9"/>
    <w:rsid w:val="009D086B"/>
    <w:rsid w:val="009D08C7"/>
    <w:rsid w:val="009D08EA"/>
    <w:rsid w:val="009D0951"/>
    <w:rsid w:val="009D09C6"/>
    <w:rsid w:val="009D0ACC"/>
    <w:rsid w:val="009D0AF1"/>
    <w:rsid w:val="009D0B67"/>
    <w:rsid w:val="009D0B83"/>
    <w:rsid w:val="009D0C74"/>
    <w:rsid w:val="009D0CA2"/>
    <w:rsid w:val="009D0CFF"/>
    <w:rsid w:val="009D0DAA"/>
    <w:rsid w:val="009D0E32"/>
    <w:rsid w:val="009D0E8B"/>
    <w:rsid w:val="009D0EF8"/>
    <w:rsid w:val="009D10E0"/>
    <w:rsid w:val="009D11D2"/>
    <w:rsid w:val="009D127B"/>
    <w:rsid w:val="009D1283"/>
    <w:rsid w:val="009D1298"/>
    <w:rsid w:val="009D12D8"/>
    <w:rsid w:val="009D1303"/>
    <w:rsid w:val="009D133B"/>
    <w:rsid w:val="009D134C"/>
    <w:rsid w:val="009D13E3"/>
    <w:rsid w:val="009D13E6"/>
    <w:rsid w:val="009D1555"/>
    <w:rsid w:val="009D15D0"/>
    <w:rsid w:val="009D1632"/>
    <w:rsid w:val="009D175A"/>
    <w:rsid w:val="009D179E"/>
    <w:rsid w:val="009D17A7"/>
    <w:rsid w:val="009D180E"/>
    <w:rsid w:val="009D188D"/>
    <w:rsid w:val="009D18A5"/>
    <w:rsid w:val="009D19FC"/>
    <w:rsid w:val="009D1AFC"/>
    <w:rsid w:val="009D1B4A"/>
    <w:rsid w:val="009D1C3B"/>
    <w:rsid w:val="009D1D33"/>
    <w:rsid w:val="009D1D40"/>
    <w:rsid w:val="009D1D60"/>
    <w:rsid w:val="009D1DEE"/>
    <w:rsid w:val="009D1E06"/>
    <w:rsid w:val="009D1F02"/>
    <w:rsid w:val="009D1FA7"/>
    <w:rsid w:val="009D2251"/>
    <w:rsid w:val="009D2337"/>
    <w:rsid w:val="009D252A"/>
    <w:rsid w:val="009D2594"/>
    <w:rsid w:val="009D25A7"/>
    <w:rsid w:val="009D25FA"/>
    <w:rsid w:val="009D26ED"/>
    <w:rsid w:val="009D28EF"/>
    <w:rsid w:val="009D29A8"/>
    <w:rsid w:val="009D2AA0"/>
    <w:rsid w:val="009D2BC5"/>
    <w:rsid w:val="009D2C07"/>
    <w:rsid w:val="009D2C2C"/>
    <w:rsid w:val="009D2C38"/>
    <w:rsid w:val="009D2DEA"/>
    <w:rsid w:val="009D2DF8"/>
    <w:rsid w:val="009D2E19"/>
    <w:rsid w:val="009D2ECF"/>
    <w:rsid w:val="009D2EE8"/>
    <w:rsid w:val="009D2F65"/>
    <w:rsid w:val="009D3004"/>
    <w:rsid w:val="009D3098"/>
    <w:rsid w:val="009D31A2"/>
    <w:rsid w:val="009D32E3"/>
    <w:rsid w:val="009D352E"/>
    <w:rsid w:val="009D358E"/>
    <w:rsid w:val="009D3726"/>
    <w:rsid w:val="009D3821"/>
    <w:rsid w:val="009D38AB"/>
    <w:rsid w:val="009D38E6"/>
    <w:rsid w:val="009D39F7"/>
    <w:rsid w:val="009D3A09"/>
    <w:rsid w:val="009D3AA7"/>
    <w:rsid w:val="009D3BCB"/>
    <w:rsid w:val="009D3CCB"/>
    <w:rsid w:val="009D3D49"/>
    <w:rsid w:val="009D3DE8"/>
    <w:rsid w:val="009D3F04"/>
    <w:rsid w:val="009D3F26"/>
    <w:rsid w:val="009D3F98"/>
    <w:rsid w:val="009D3FC1"/>
    <w:rsid w:val="009D406F"/>
    <w:rsid w:val="009D41FB"/>
    <w:rsid w:val="009D437E"/>
    <w:rsid w:val="009D43B1"/>
    <w:rsid w:val="009D43E9"/>
    <w:rsid w:val="009D43EB"/>
    <w:rsid w:val="009D4438"/>
    <w:rsid w:val="009D48E5"/>
    <w:rsid w:val="009D4983"/>
    <w:rsid w:val="009D4C63"/>
    <w:rsid w:val="009D4E53"/>
    <w:rsid w:val="009D4F86"/>
    <w:rsid w:val="009D50AF"/>
    <w:rsid w:val="009D529E"/>
    <w:rsid w:val="009D52C7"/>
    <w:rsid w:val="009D52D7"/>
    <w:rsid w:val="009D5333"/>
    <w:rsid w:val="009D547B"/>
    <w:rsid w:val="009D551D"/>
    <w:rsid w:val="009D554B"/>
    <w:rsid w:val="009D562C"/>
    <w:rsid w:val="009D5671"/>
    <w:rsid w:val="009D56F2"/>
    <w:rsid w:val="009D583A"/>
    <w:rsid w:val="009D5889"/>
    <w:rsid w:val="009D591A"/>
    <w:rsid w:val="009D595E"/>
    <w:rsid w:val="009D5A48"/>
    <w:rsid w:val="009D5B89"/>
    <w:rsid w:val="009D5B8F"/>
    <w:rsid w:val="009D5C10"/>
    <w:rsid w:val="009D5C3D"/>
    <w:rsid w:val="009D5CE7"/>
    <w:rsid w:val="009D5F54"/>
    <w:rsid w:val="009D5FEA"/>
    <w:rsid w:val="009D6182"/>
    <w:rsid w:val="009D629F"/>
    <w:rsid w:val="009D62A7"/>
    <w:rsid w:val="009D62C4"/>
    <w:rsid w:val="009D637A"/>
    <w:rsid w:val="009D6562"/>
    <w:rsid w:val="009D6565"/>
    <w:rsid w:val="009D657C"/>
    <w:rsid w:val="009D6628"/>
    <w:rsid w:val="009D6800"/>
    <w:rsid w:val="009D6AAB"/>
    <w:rsid w:val="009D6AF9"/>
    <w:rsid w:val="009D6B2A"/>
    <w:rsid w:val="009D6C04"/>
    <w:rsid w:val="009D6DA4"/>
    <w:rsid w:val="009D6E05"/>
    <w:rsid w:val="009D6E84"/>
    <w:rsid w:val="009D6F17"/>
    <w:rsid w:val="009D6F8C"/>
    <w:rsid w:val="009D6F90"/>
    <w:rsid w:val="009D6FAF"/>
    <w:rsid w:val="009D6FCA"/>
    <w:rsid w:val="009D6FEB"/>
    <w:rsid w:val="009D7044"/>
    <w:rsid w:val="009D7153"/>
    <w:rsid w:val="009D7212"/>
    <w:rsid w:val="009D7310"/>
    <w:rsid w:val="009D7316"/>
    <w:rsid w:val="009D74EB"/>
    <w:rsid w:val="009D7521"/>
    <w:rsid w:val="009D7561"/>
    <w:rsid w:val="009D764C"/>
    <w:rsid w:val="009D769B"/>
    <w:rsid w:val="009D76EA"/>
    <w:rsid w:val="009D780A"/>
    <w:rsid w:val="009D78A9"/>
    <w:rsid w:val="009D7937"/>
    <w:rsid w:val="009D7942"/>
    <w:rsid w:val="009D7981"/>
    <w:rsid w:val="009D79E3"/>
    <w:rsid w:val="009D79F5"/>
    <w:rsid w:val="009D7A12"/>
    <w:rsid w:val="009D7B1C"/>
    <w:rsid w:val="009D7B41"/>
    <w:rsid w:val="009D7D15"/>
    <w:rsid w:val="009D7D58"/>
    <w:rsid w:val="009D7DC8"/>
    <w:rsid w:val="009D7DD3"/>
    <w:rsid w:val="009D7F74"/>
    <w:rsid w:val="009E0026"/>
    <w:rsid w:val="009E00E7"/>
    <w:rsid w:val="009E011C"/>
    <w:rsid w:val="009E0159"/>
    <w:rsid w:val="009E015D"/>
    <w:rsid w:val="009E02FC"/>
    <w:rsid w:val="009E0335"/>
    <w:rsid w:val="009E0415"/>
    <w:rsid w:val="009E0417"/>
    <w:rsid w:val="009E04F3"/>
    <w:rsid w:val="009E0622"/>
    <w:rsid w:val="009E064C"/>
    <w:rsid w:val="009E0659"/>
    <w:rsid w:val="009E06C6"/>
    <w:rsid w:val="009E071D"/>
    <w:rsid w:val="009E080D"/>
    <w:rsid w:val="009E0824"/>
    <w:rsid w:val="009E0965"/>
    <w:rsid w:val="009E0A2B"/>
    <w:rsid w:val="009E0AF9"/>
    <w:rsid w:val="009E0C44"/>
    <w:rsid w:val="009E0C90"/>
    <w:rsid w:val="009E0CAF"/>
    <w:rsid w:val="009E0CE9"/>
    <w:rsid w:val="009E0CEE"/>
    <w:rsid w:val="009E0D87"/>
    <w:rsid w:val="009E0D8D"/>
    <w:rsid w:val="009E0DC3"/>
    <w:rsid w:val="009E0DD4"/>
    <w:rsid w:val="009E0FFD"/>
    <w:rsid w:val="009E1003"/>
    <w:rsid w:val="009E11E3"/>
    <w:rsid w:val="009E123D"/>
    <w:rsid w:val="009E12DC"/>
    <w:rsid w:val="009E131E"/>
    <w:rsid w:val="009E1400"/>
    <w:rsid w:val="009E1414"/>
    <w:rsid w:val="009E1415"/>
    <w:rsid w:val="009E1453"/>
    <w:rsid w:val="009E14F6"/>
    <w:rsid w:val="009E14FF"/>
    <w:rsid w:val="009E15C7"/>
    <w:rsid w:val="009E16FF"/>
    <w:rsid w:val="009E189C"/>
    <w:rsid w:val="009E1993"/>
    <w:rsid w:val="009E19BF"/>
    <w:rsid w:val="009E19E9"/>
    <w:rsid w:val="009E1A2F"/>
    <w:rsid w:val="009E1AB0"/>
    <w:rsid w:val="009E1CFA"/>
    <w:rsid w:val="009E1DB3"/>
    <w:rsid w:val="009E1DE0"/>
    <w:rsid w:val="009E1E90"/>
    <w:rsid w:val="009E1E94"/>
    <w:rsid w:val="009E1E99"/>
    <w:rsid w:val="009E1F6B"/>
    <w:rsid w:val="009E20A6"/>
    <w:rsid w:val="009E213A"/>
    <w:rsid w:val="009E2250"/>
    <w:rsid w:val="009E22F8"/>
    <w:rsid w:val="009E230E"/>
    <w:rsid w:val="009E2466"/>
    <w:rsid w:val="009E2499"/>
    <w:rsid w:val="009E263F"/>
    <w:rsid w:val="009E2642"/>
    <w:rsid w:val="009E2651"/>
    <w:rsid w:val="009E26ED"/>
    <w:rsid w:val="009E28DA"/>
    <w:rsid w:val="009E2970"/>
    <w:rsid w:val="009E2B61"/>
    <w:rsid w:val="009E2BCC"/>
    <w:rsid w:val="009E2D5C"/>
    <w:rsid w:val="009E2D61"/>
    <w:rsid w:val="009E2E22"/>
    <w:rsid w:val="009E2EB5"/>
    <w:rsid w:val="009E2FE6"/>
    <w:rsid w:val="009E2FFC"/>
    <w:rsid w:val="009E3055"/>
    <w:rsid w:val="009E30B4"/>
    <w:rsid w:val="009E30F7"/>
    <w:rsid w:val="009E3131"/>
    <w:rsid w:val="009E3178"/>
    <w:rsid w:val="009E31D9"/>
    <w:rsid w:val="009E31E2"/>
    <w:rsid w:val="009E31FD"/>
    <w:rsid w:val="009E32B6"/>
    <w:rsid w:val="009E3360"/>
    <w:rsid w:val="009E3471"/>
    <w:rsid w:val="009E3518"/>
    <w:rsid w:val="009E35DF"/>
    <w:rsid w:val="009E3636"/>
    <w:rsid w:val="009E36B9"/>
    <w:rsid w:val="009E36D3"/>
    <w:rsid w:val="009E37D7"/>
    <w:rsid w:val="009E3B43"/>
    <w:rsid w:val="009E3C64"/>
    <w:rsid w:val="009E3CA7"/>
    <w:rsid w:val="009E3CA8"/>
    <w:rsid w:val="009E3DF7"/>
    <w:rsid w:val="009E3E5B"/>
    <w:rsid w:val="009E3FB4"/>
    <w:rsid w:val="009E4134"/>
    <w:rsid w:val="009E420A"/>
    <w:rsid w:val="009E43A0"/>
    <w:rsid w:val="009E44EF"/>
    <w:rsid w:val="009E44F1"/>
    <w:rsid w:val="009E4573"/>
    <w:rsid w:val="009E4602"/>
    <w:rsid w:val="009E4609"/>
    <w:rsid w:val="009E46B9"/>
    <w:rsid w:val="009E46C6"/>
    <w:rsid w:val="009E48B1"/>
    <w:rsid w:val="009E4984"/>
    <w:rsid w:val="009E49CF"/>
    <w:rsid w:val="009E49D9"/>
    <w:rsid w:val="009E49DA"/>
    <w:rsid w:val="009E49FF"/>
    <w:rsid w:val="009E4BD0"/>
    <w:rsid w:val="009E4C3F"/>
    <w:rsid w:val="009E4D13"/>
    <w:rsid w:val="009E4F34"/>
    <w:rsid w:val="009E50BD"/>
    <w:rsid w:val="009E5117"/>
    <w:rsid w:val="009E5162"/>
    <w:rsid w:val="009E5190"/>
    <w:rsid w:val="009E5246"/>
    <w:rsid w:val="009E5294"/>
    <w:rsid w:val="009E53EA"/>
    <w:rsid w:val="009E5419"/>
    <w:rsid w:val="009E55C1"/>
    <w:rsid w:val="009E5678"/>
    <w:rsid w:val="009E56D5"/>
    <w:rsid w:val="009E5730"/>
    <w:rsid w:val="009E5776"/>
    <w:rsid w:val="009E5866"/>
    <w:rsid w:val="009E58B0"/>
    <w:rsid w:val="009E5978"/>
    <w:rsid w:val="009E5A77"/>
    <w:rsid w:val="009E5ABB"/>
    <w:rsid w:val="009E5AE7"/>
    <w:rsid w:val="009E5CB4"/>
    <w:rsid w:val="009E5DB5"/>
    <w:rsid w:val="009E5F0F"/>
    <w:rsid w:val="009E5F10"/>
    <w:rsid w:val="009E5F88"/>
    <w:rsid w:val="009E6046"/>
    <w:rsid w:val="009E607F"/>
    <w:rsid w:val="009E608F"/>
    <w:rsid w:val="009E6185"/>
    <w:rsid w:val="009E6207"/>
    <w:rsid w:val="009E625A"/>
    <w:rsid w:val="009E62AA"/>
    <w:rsid w:val="009E6357"/>
    <w:rsid w:val="009E63A7"/>
    <w:rsid w:val="009E63CA"/>
    <w:rsid w:val="009E63E2"/>
    <w:rsid w:val="009E6534"/>
    <w:rsid w:val="009E6592"/>
    <w:rsid w:val="009E65A1"/>
    <w:rsid w:val="009E66B2"/>
    <w:rsid w:val="009E66F3"/>
    <w:rsid w:val="009E67C1"/>
    <w:rsid w:val="009E68EC"/>
    <w:rsid w:val="009E69F1"/>
    <w:rsid w:val="009E6A8A"/>
    <w:rsid w:val="009E6B37"/>
    <w:rsid w:val="009E6C28"/>
    <w:rsid w:val="009E6D17"/>
    <w:rsid w:val="009E6ECC"/>
    <w:rsid w:val="009E6F88"/>
    <w:rsid w:val="009E6FCC"/>
    <w:rsid w:val="009E7140"/>
    <w:rsid w:val="009E716B"/>
    <w:rsid w:val="009E7192"/>
    <w:rsid w:val="009E71CA"/>
    <w:rsid w:val="009E7285"/>
    <w:rsid w:val="009E72AB"/>
    <w:rsid w:val="009E72BF"/>
    <w:rsid w:val="009E72E9"/>
    <w:rsid w:val="009E7342"/>
    <w:rsid w:val="009E73FA"/>
    <w:rsid w:val="009E749F"/>
    <w:rsid w:val="009E7534"/>
    <w:rsid w:val="009E7601"/>
    <w:rsid w:val="009E7671"/>
    <w:rsid w:val="009E767F"/>
    <w:rsid w:val="009E7689"/>
    <w:rsid w:val="009E772C"/>
    <w:rsid w:val="009E781C"/>
    <w:rsid w:val="009E78A5"/>
    <w:rsid w:val="009E7998"/>
    <w:rsid w:val="009E7A35"/>
    <w:rsid w:val="009E7A5B"/>
    <w:rsid w:val="009E7ACA"/>
    <w:rsid w:val="009E7B45"/>
    <w:rsid w:val="009E7BE3"/>
    <w:rsid w:val="009E7D2F"/>
    <w:rsid w:val="009E7D60"/>
    <w:rsid w:val="009E7D72"/>
    <w:rsid w:val="009E7D85"/>
    <w:rsid w:val="009E7DA7"/>
    <w:rsid w:val="009E7DA9"/>
    <w:rsid w:val="009E7DE1"/>
    <w:rsid w:val="009E7EE1"/>
    <w:rsid w:val="009E7F58"/>
    <w:rsid w:val="009E7FA6"/>
    <w:rsid w:val="009E8271"/>
    <w:rsid w:val="009F0114"/>
    <w:rsid w:val="009F0194"/>
    <w:rsid w:val="009F023F"/>
    <w:rsid w:val="009F0259"/>
    <w:rsid w:val="009F0276"/>
    <w:rsid w:val="009F02B2"/>
    <w:rsid w:val="009F0338"/>
    <w:rsid w:val="009F0498"/>
    <w:rsid w:val="009F0767"/>
    <w:rsid w:val="009F07CB"/>
    <w:rsid w:val="009F07ED"/>
    <w:rsid w:val="009F0821"/>
    <w:rsid w:val="009F0875"/>
    <w:rsid w:val="009F08EE"/>
    <w:rsid w:val="009F0922"/>
    <w:rsid w:val="009F0A5B"/>
    <w:rsid w:val="009F0C2D"/>
    <w:rsid w:val="009F0CAE"/>
    <w:rsid w:val="009F0D53"/>
    <w:rsid w:val="009F0EB9"/>
    <w:rsid w:val="009F109D"/>
    <w:rsid w:val="009F125D"/>
    <w:rsid w:val="009F132C"/>
    <w:rsid w:val="009F14EE"/>
    <w:rsid w:val="009F1568"/>
    <w:rsid w:val="009F15E1"/>
    <w:rsid w:val="009F174F"/>
    <w:rsid w:val="009F1791"/>
    <w:rsid w:val="009F190F"/>
    <w:rsid w:val="009F19C7"/>
    <w:rsid w:val="009F1B07"/>
    <w:rsid w:val="009F1B40"/>
    <w:rsid w:val="009F1B72"/>
    <w:rsid w:val="009F1BEC"/>
    <w:rsid w:val="009F1C66"/>
    <w:rsid w:val="009F1E69"/>
    <w:rsid w:val="009F2091"/>
    <w:rsid w:val="009F2108"/>
    <w:rsid w:val="009F2157"/>
    <w:rsid w:val="009F2191"/>
    <w:rsid w:val="009F21F4"/>
    <w:rsid w:val="009F22FF"/>
    <w:rsid w:val="009F2330"/>
    <w:rsid w:val="009F253E"/>
    <w:rsid w:val="009F255A"/>
    <w:rsid w:val="009F2587"/>
    <w:rsid w:val="009F2650"/>
    <w:rsid w:val="009F2763"/>
    <w:rsid w:val="009F2972"/>
    <w:rsid w:val="009F2A3D"/>
    <w:rsid w:val="009F2ABB"/>
    <w:rsid w:val="009F2BC1"/>
    <w:rsid w:val="009F2CBA"/>
    <w:rsid w:val="009F2CD3"/>
    <w:rsid w:val="009F2D3D"/>
    <w:rsid w:val="009F2F30"/>
    <w:rsid w:val="009F3096"/>
    <w:rsid w:val="009F310E"/>
    <w:rsid w:val="009F3148"/>
    <w:rsid w:val="009F318A"/>
    <w:rsid w:val="009F31B6"/>
    <w:rsid w:val="009F32DC"/>
    <w:rsid w:val="009F3305"/>
    <w:rsid w:val="009F34C8"/>
    <w:rsid w:val="009F3519"/>
    <w:rsid w:val="009F3535"/>
    <w:rsid w:val="009F355C"/>
    <w:rsid w:val="009F36EE"/>
    <w:rsid w:val="009F38A4"/>
    <w:rsid w:val="009F38B2"/>
    <w:rsid w:val="009F3A7B"/>
    <w:rsid w:val="009F3BD8"/>
    <w:rsid w:val="009F3E3C"/>
    <w:rsid w:val="009F3EA8"/>
    <w:rsid w:val="009F3F63"/>
    <w:rsid w:val="009F409C"/>
    <w:rsid w:val="009F40ED"/>
    <w:rsid w:val="009F4143"/>
    <w:rsid w:val="009F416F"/>
    <w:rsid w:val="009F41E0"/>
    <w:rsid w:val="009F41F6"/>
    <w:rsid w:val="009F421A"/>
    <w:rsid w:val="009F42B3"/>
    <w:rsid w:val="009F42B5"/>
    <w:rsid w:val="009F4309"/>
    <w:rsid w:val="009F4380"/>
    <w:rsid w:val="009F4436"/>
    <w:rsid w:val="009F447D"/>
    <w:rsid w:val="009F44DF"/>
    <w:rsid w:val="009F450E"/>
    <w:rsid w:val="009F453A"/>
    <w:rsid w:val="009F455B"/>
    <w:rsid w:val="009F45DA"/>
    <w:rsid w:val="009F46DB"/>
    <w:rsid w:val="009F46DD"/>
    <w:rsid w:val="009F46E8"/>
    <w:rsid w:val="009F47A0"/>
    <w:rsid w:val="009F4827"/>
    <w:rsid w:val="009F48B4"/>
    <w:rsid w:val="009F48CA"/>
    <w:rsid w:val="009F498B"/>
    <w:rsid w:val="009F4990"/>
    <w:rsid w:val="009F4AEB"/>
    <w:rsid w:val="009F4B3A"/>
    <w:rsid w:val="009F4B9E"/>
    <w:rsid w:val="009F4C49"/>
    <w:rsid w:val="009F4CF4"/>
    <w:rsid w:val="009F4E2C"/>
    <w:rsid w:val="009F4E49"/>
    <w:rsid w:val="009F4EE4"/>
    <w:rsid w:val="009F4F70"/>
    <w:rsid w:val="009F5030"/>
    <w:rsid w:val="009F5088"/>
    <w:rsid w:val="009F5100"/>
    <w:rsid w:val="009F5154"/>
    <w:rsid w:val="009F52A3"/>
    <w:rsid w:val="009F52C4"/>
    <w:rsid w:val="009F5302"/>
    <w:rsid w:val="009F5352"/>
    <w:rsid w:val="009F5366"/>
    <w:rsid w:val="009F53A6"/>
    <w:rsid w:val="009F54D8"/>
    <w:rsid w:val="009F550C"/>
    <w:rsid w:val="009F5531"/>
    <w:rsid w:val="009F5613"/>
    <w:rsid w:val="009F562B"/>
    <w:rsid w:val="009F563B"/>
    <w:rsid w:val="009F5652"/>
    <w:rsid w:val="009F567B"/>
    <w:rsid w:val="009F56FC"/>
    <w:rsid w:val="009F570B"/>
    <w:rsid w:val="009F58AF"/>
    <w:rsid w:val="009F5900"/>
    <w:rsid w:val="009F5ACF"/>
    <w:rsid w:val="009F5B1E"/>
    <w:rsid w:val="009F5BDC"/>
    <w:rsid w:val="009F5C16"/>
    <w:rsid w:val="009F5C3D"/>
    <w:rsid w:val="009F5CF9"/>
    <w:rsid w:val="009F5D13"/>
    <w:rsid w:val="009F5D72"/>
    <w:rsid w:val="009F5ECB"/>
    <w:rsid w:val="009F5F2A"/>
    <w:rsid w:val="009F5FDE"/>
    <w:rsid w:val="009F60AE"/>
    <w:rsid w:val="009F6196"/>
    <w:rsid w:val="009F62A3"/>
    <w:rsid w:val="009F62E0"/>
    <w:rsid w:val="009F6370"/>
    <w:rsid w:val="009F63F1"/>
    <w:rsid w:val="009F6408"/>
    <w:rsid w:val="009F6413"/>
    <w:rsid w:val="009F644A"/>
    <w:rsid w:val="009F6457"/>
    <w:rsid w:val="009F6480"/>
    <w:rsid w:val="009F648B"/>
    <w:rsid w:val="009F64AE"/>
    <w:rsid w:val="009F64C1"/>
    <w:rsid w:val="009F65AB"/>
    <w:rsid w:val="009F678B"/>
    <w:rsid w:val="009F679C"/>
    <w:rsid w:val="009F67DD"/>
    <w:rsid w:val="009F6814"/>
    <w:rsid w:val="009F68A7"/>
    <w:rsid w:val="009F696A"/>
    <w:rsid w:val="009F6A76"/>
    <w:rsid w:val="009F6AB3"/>
    <w:rsid w:val="009F6B6F"/>
    <w:rsid w:val="009F6B75"/>
    <w:rsid w:val="009F6BC3"/>
    <w:rsid w:val="009F6C56"/>
    <w:rsid w:val="009F6D2F"/>
    <w:rsid w:val="009F6D37"/>
    <w:rsid w:val="009F6D6C"/>
    <w:rsid w:val="009F6D98"/>
    <w:rsid w:val="009F6DBA"/>
    <w:rsid w:val="009F6EA2"/>
    <w:rsid w:val="009F6EB8"/>
    <w:rsid w:val="009F70C9"/>
    <w:rsid w:val="009F7199"/>
    <w:rsid w:val="009F74A0"/>
    <w:rsid w:val="009F74AA"/>
    <w:rsid w:val="009F754D"/>
    <w:rsid w:val="009F7654"/>
    <w:rsid w:val="009F7763"/>
    <w:rsid w:val="009F77D5"/>
    <w:rsid w:val="009F77F4"/>
    <w:rsid w:val="009F7847"/>
    <w:rsid w:val="009F7866"/>
    <w:rsid w:val="009F7954"/>
    <w:rsid w:val="009F7993"/>
    <w:rsid w:val="009F79C0"/>
    <w:rsid w:val="009F79FF"/>
    <w:rsid w:val="009F7A0F"/>
    <w:rsid w:val="009F7A6C"/>
    <w:rsid w:val="009F7A7B"/>
    <w:rsid w:val="009F7C7C"/>
    <w:rsid w:val="009F7D90"/>
    <w:rsid w:val="009F7E0A"/>
    <w:rsid w:val="009F7FAA"/>
    <w:rsid w:val="00A00067"/>
    <w:rsid w:val="00A00122"/>
    <w:rsid w:val="00A0015F"/>
    <w:rsid w:val="00A001C0"/>
    <w:rsid w:val="00A0030F"/>
    <w:rsid w:val="00A00411"/>
    <w:rsid w:val="00A007F0"/>
    <w:rsid w:val="00A00961"/>
    <w:rsid w:val="00A00B30"/>
    <w:rsid w:val="00A00C25"/>
    <w:rsid w:val="00A00C29"/>
    <w:rsid w:val="00A00C3A"/>
    <w:rsid w:val="00A00C52"/>
    <w:rsid w:val="00A00D2D"/>
    <w:rsid w:val="00A00D4A"/>
    <w:rsid w:val="00A00DF5"/>
    <w:rsid w:val="00A00E9C"/>
    <w:rsid w:val="00A00F58"/>
    <w:rsid w:val="00A00F59"/>
    <w:rsid w:val="00A00FE8"/>
    <w:rsid w:val="00A01078"/>
    <w:rsid w:val="00A0110E"/>
    <w:rsid w:val="00A0123B"/>
    <w:rsid w:val="00A01337"/>
    <w:rsid w:val="00A01455"/>
    <w:rsid w:val="00A01502"/>
    <w:rsid w:val="00A01552"/>
    <w:rsid w:val="00A016B2"/>
    <w:rsid w:val="00A016F1"/>
    <w:rsid w:val="00A017CD"/>
    <w:rsid w:val="00A017E6"/>
    <w:rsid w:val="00A0182E"/>
    <w:rsid w:val="00A0194F"/>
    <w:rsid w:val="00A01AF3"/>
    <w:rsid w:val="00A01AFF"/>
    <w:rsid w:val="00A01BC7"/>
    <w:rsid w:val="00A01D51"/>
    <w:rsid w:val="00A01D8F"/>
    <w:rsid w:val="00A01EA0"/>
    <w:rsid w:val="00A01EC6"/>
    <w:rsid w:val="00A01F1C"/>
    <w:rsid w:val="00A01F65"/>
    <w:rsid w:val="00A01FBD"/>
    <w:rsid w:val="00A01FE5"/>
    <w:rsid w:val="00A02014"/>
    <w:rsid w:val="00A02047"/>
    <w:rsid w:val="00A02150"/>
    <w:rsid w:val="00A02175"/>
    <w:rsid w:val="00A02178"/>
    <w:rsid w:val="00A021B5"/>
    <w:rsid w:val="00A0221A"/>
    <w:rsid w:val="00A022D3"/>
    <w:rsid w:val="00A0230C"/>
    <w:rsid w:val="00A02334"/>
    <w:rsid w:val="00A02522"/>
    <w:rsid w:val="00A025FE"/>
    <w:rsid w:val="00A026D1"/>
    <w:rsid w:val="00A0275D"/>
    <w:rsid w:val="00A02783"/>
    <w:rsid w:val="00A02897"/>
    <w:rsid w:val="00A028C9"/>
    <w:rsid w:val="00A0290E"/>
    <w:rsid w:val="00A0292B"/>
    <w:rsid w:val="00A0295E"/>
    <w:rsid w:val="00A02A62"/>
    <w:rsid w:val="00A02A75"/>
    <w:rsid w:val="00A02CD9"/>
    <w:rsid w:val="00A02E78"/>
    <w:rsid w:val="00A02E9B"/>
    <w:rsid w:val="00A02F94"/>
    <w:rsid w:val="00A030D6"/>
    <w:rsid w:val="00A030FE"/>
    <w:rsid w:val="00A031FE"/>
    <w:rsid w:val="00A03271"/>
    <w:rsid w:val="00A032BF"/>
    <w:rsid w:val="00A03401"/>
    <w:rsid w:val="00A03427"/>
    <w:rsid w:val="00A0345D"/>
    <w:rsid w:val="00A034E8"/>
    <w:rsid w:val="00A03695"/>
    <w:rsid w:val="00A0371A"/>
    <w:rsid w:val="00A03726"/>
    <w:rsid w:val="00A03762"/>
    <w:rsid w:val="00A0382F"/>
    <w:rsid w:val="00A0383D"/>
    <w:rsid w:val="00A0390C"/>
    <w:rsid w:val="00A03964"/>
    <w:rsid w:val="00A03A09"/>
    <w:rsid w:val="00A03ABF"/>
    <w:rsid w:val="00A03AE3"/>
    <w:rsid w:val="00A03B03"/>
    <w:rsid w:val="00A03B8D"/>
    <w:rsid w:val="00A03C5F"/>
    <w:rsid w:val="00A03CA3"/>
    <w:rsid w:val="00A03DBE"/>
    <w:rsid w:val="00A03DCA"/>
    <w:rsid w:val="00A03E39"/>
    <w:rsid w:val="00A03E7D"/>
    <w:rsid w:val="00A04042"/>
    <w:rsid w:val="00A04351"/>
    <w:rsid w:val="00A0438C"/>
    <w:rsid w:val="00A0438D"/>
    <w:rsid w:val="00A04653"/>
    <w:rsid w:val="00A04749"/>
    <w:rsid w:val="00A04803"/>
    <w:rsid w:val="00A04988"/>
    <w:rsid w:val="00A04A9F"/>
    <w:rsid w:val="00A04B2B"/>
    <w:rsid w:val="00A04EA6"/>
    <w:rsid w:val="00A04F5A"/>
    <w:rsid w:val="00A05012"/>
    <w:rsid w:val="00A05042"/>
    <w:rsid w:val="00A0504F"/>
    <w:rsid w:val="00A05066"/>
    <w:rsid w:val="00A050D7"/>
    <w:rsid w:val="00A050E9"/>
    <w:rsid w:val="00A05105"/>
    <w:rsid w:val="00A051A2"/>
    <w:rsid w:val="00A0527C"/>
    <w:rsid w:val="00A05429"/>
    <w:rsid w:val="00A05464"/>
    <w:rsid w:val="00A054D3"/>
    <w:rsid w:val="00A0568E"/>
    <w:rsid w:val="00A05817"/>
    <w:rsid w:val="00A05852"/>
    <w:rsid w:val="00A05A7F"/>
    <w:rsid w:val="00A05AA6"/>
    <w:rsid w:val="00A05AA7"/>
    <w:rsid w:val="00A05BCB"/>
    <w:rsid w:val="00A05C13"/>
    <w:rsid w:val="00A05C14"/>
    <w:rsid w:val="00A05C22"/>
    <w:rsid w:val="00A05C3C"/>
    <w:rsid w:val="00A05C43"/>
    <w:rsid w:val="00A05C87"/>
    <w:rsid w:val="00A05C99"/>
    <w:rsid w:val="00A05C9C"/>
    <w:rsid w:val="00A05D1B"/>
    <w:rsid w:val="00A05D64"/>
    <w:rsid w:val="00A05E3A"/>
    <w:rsid w:val="00A05EBC"/>
    <w:rsid w:val="00A05EF7"/>
    <w:rsid w:val="00A05F47"/>
    <w:rsid w:val="00A05F57"/>
    <w:rsid w:val="00A05FA8"/>
    <w:rsid w:val="00A05FEE"/>
    <w:rsid w:val="00A0600E"/>
    <w:rsid w:val="00A06034"/>
    <w:rsid w:val="00A060D4"/>
    <w:rsid w:val="00A0611C"/>
    <w:rsid w:val="00A06309"/>
    <w:rsid w:val="00A06312"/>
    <w:rsid w:val="00A063D2"/>
    <w:rsid w:val="00A0652D"/>
    <w:rsid w:val="00A06531"/>
    <w:rsid w:val="00A0665E"/>
    <w:rsid w:val="00A066B0"/>
    <w:rsid w:val="00A068A6"/>
    <w:rsid w:val="00A068BF"/>
    <w:rsid w:val="00A069A9"/>
    <w:rsid w:val="00A069D5"/>
    <w:rsid w:val="00A069EC"/>
    <w:rsid w:val="00A06A8A"/>
    <w:rsid w:val="00A06ACA"/>
    <w:rsid w:val="00A06B7A"/>
    <w:rsid w:val="00A06CB0"/>
    <w:rsid w:val="00A06D71"/>
    <w:rsid w:val="00A06DE7"/>
    <w:rsid w:val="00A06E3E"/>
    <w:rsid w:val="00A06E86"/>
    <w:rsid w:val="00A06F16"/>
    <w:rsid w:val="00A06F32"/>
    <w:rsid w:val="00A07057"/>
    <w:rsid w:val="00A070BE"/>
    <w:rsid w:val="00A07124"/>
    <w:rsid w:val="00A07158"/>
    <w:rsid w:val="00A07264"/>
    <w:rsid w:val="00A072A1"/>
    <w:rsid w:val="00A07320"/>
    <w:rsid w:val="00A07373"/>
    <w:rsid w:val="00A07438"/>
    <w:rsid w:val="00A074C4"/>
    <w:rsid w:val="00A074D2"/>
    <w:rsid w:val="00A075B0"/>
    <w:rsid w:val="00A07613"/>
    <w:rsid w:val="00A076CC"/>
    <w:rsid w:val="00A076CF"/>
    <w:rsid w:val="00A07816"/>
    <w:rsid w:val="00A07867"/>
    <w:rsid w:val="00A07894"/>
    <w:rsid w:val="00A0792C"/>
    <w:rsid w:val="00A07980"/>
    <w:rsid w:val="00A07A92"/>
    <w:rsid w:val="00A07D90"/>
    <w:rsid w:val="00A07E7B"/>
    <w:rsid w:val="00A07EFD"/>
    <w:rsid w:val="00A1006C"/>
    <w:rsid w:val="00A10098"/>
    <w:rsid w:val="00A10168"/>
    <w:rsid w:val="00A10474"/>
    <w:rsid w:val="00A10503"/>
    <w:rsid w:val="00A10525"/>
    <w:rsid w:val="00A10707"/>
    <w:rsid w:val="00A1079C"/>
    <w:rsid w:val="00A10AA6"/>
    <w:rsid w:val="00A10AE1"/>
    <w:rsid w:val="00A10B01"/>
    <w:rsid w:val="00A10B41"/>
    <w:rsid w:val="00A10BBB"/>
    <w:rsid w:val="00A10CF8"/>
    <w:rsid w:val="00A10D3E"/>
    <w:rsid w:val="00A10DAA"/>
    <w:rsid w:val="00A10E6F"/>
    <w:rsid w:val="00A10F3C"/>
    <w:rsid w:val="00A10FE6"/>
    <w:rsid w:val="00A11008"/>
    <w:rsid w:val="00A1108E"/>
    <w:rsid w:val="00A11092"/>
    <w:rsid w:val="00A110E0"/>
    <w:rsid w:val="00A11110"/>
    <w:rsid w:val="00A11128"/>
    <w:rsid w:val="00A112A0"/>
    <w:rsid w:val="00A112CA"/>
    <w:rsid w:val="00A11340"/>
    <w:rsid w:val="00A113F1"/>
    <w:rsid w:val="00A113F8"/>
    <w:rsid w:val="00A114B4"/>
    <w:rsid w:val="00A1168B"/>
    <w:rsid w:val="00A117DA"/>
    <w:rsid w:val="00A118C3"/>
    <w:rsid w:val="00A11974"/>
    <w:rsid w:val="00A119AF"/>
    <w:rsid w:val="00A11A06"/>
    <w:rsid w:val="00A11A37"/>
    <w:rsid w:val="00A11AFD"/>
    <w:rsid w:val="00A11B5B"/>
    <w:rsid w:val="00A11C80"/>
    <w:rsid w:val="00A11C9F"/>
    <w:rsid w:val="00A11CEB"/>
    <w:rsid w:val="00A11E78"/>
    <w:rsid w:val="00A11E7F"/>
    <w:rsid w:val="00A11F3B"/>
    <w:rsid w:val="00A11F73"/>
    <w:rsid w:val="00A11FE5"/>
    <w:rsid w:val="00A12034"/>
    <w:rsid w:val="00A120F4"/>
    <w:rsid w:val="00A12129"/>
    <w:rsid w:val="00A12368"/>
    <w:rsid w:val="00A12400"/>
    <w:rsid w:val="00A12476"/>
    <w:rsid w:val="00A124A4"/>
    <w:rsid w:val="00A12520"/>
    <w:rsid w:val="00A12580"/>
    <w:rsid w:val="00A125A5"/>
    <w:rsid w:val="00A1261F"/>
    <w:rsid w:val="00A1267D"/>
    <w:rsid w:val="00A127C3"/>
    <w:rsid w:val="00A127DB"/>
    <w:rsid w:val="00A12805"/>
    <w:rsid w:val="00A12807"/>
    <w:rsid w:val="00A1285E"/>
    <w:rsid w:val="00A128FF"/>
    <w:rsid w:val="00A12986"/>
    <w:rsid w:val="00A129AE"/>
    <w:rsid w:val="00A12A39"/>
    <w:rsid w:val="00A12A8E"/>
    <w:rsid w:val="00A12AFD"/>
    <w:rsid w:val="00A12C0E"/>
    <w:rsid w:val="00A12E5D"/>
    <w:rsid w:val="00A12E90"/>
    <w:rsid w:val="00A12F56"/>
    <w:rsid w:val="00A131DC"/>
    <w:rsid w:val="00A1322B"/>
    <w:rsid w:val="00A1323C"/>
    <w:rsid w:val="00A13256"/>
    <w:rsid w:val="00A1326C"/>
    <w:rsid w:val="00A132C6"/>
    <w:rsid w:val="00A13341"/>
    <w:rsid w:val="00A133B6"/>
    <w:rsid w:val="00A13492"/>
    <w:rsid w:val="00A134B3"/>
    <w:rsid w:val="00A134E6"/>
    <w:rsid w:val="00A13549"/>
    <w:rsid w:val="00A135A2"/>
    <w:rsid w:val="00A1362B"/>
    <w:rsid w:val="00A136EC"/>
    <w:rsid w:val="00A1374B"/>
    <w:rsid w:val="00A137A4"/>
    <w:rsid w:val="00A137B2"/>
    <w:rsid w:val="00A13A18"/>
    <w:rsid w:val="00A13A51"/>
    <w:rsid w:val="00A13B1E"/>
    <w:rsid w:val="00A13B3C"/>
    <w:rsid w:val="00A13C61"/>
    <w:rsid w:val="00A13D3A"/>
    <w:rsid w:val="00A13DDF"/>
    <w:rsid w:val="00A13E3B"/>
    <w:rsid w:val="00A13EB0"/>
    <w:rsid w:val="00A13F05"/>
    <w:rsid w:val="00A13F26"/>
    <w:rsid w:val="00A13FEA"/>
    <w:rsid w:val="00A1404B"/>
    <w:rsid w:val="00A140B3"/>
    <w:rsid w:val="00A140BB"/>
    <w:rsid w:val="00A140E7"/>
    <w:rsid w:val="00A14222"/>
    <w:rsid w:val="00A1435D"/>
    <w:rsid w:val="00A144C1"/>
    <w:rsid w:val="00A145D9"/>
    <w:rsid w:val="00A14666"/>
    <w:rsid w:val="00A1466A"/>
    <w:rsid w:val="00A1470E"/>
    <w:rsid w:val="00A148B4"/>
    <w:rsid w:val="00A148CB"/>
    <w:rsid w:val="00A149E5"/>
    <w:rsid w:val="00A14A11"/>
    <w:rsid w:val="00A14A5F"/>
    <w:rsid w:val="00A14A65"/>
    <w:rsid w:val="00A14BAC"/>
    <w:rsid w:val="00A14CDD"/>
    <w:rsid w:val="00A14D58"/>
    <w:rsid w:val="00A150C4"/>
    <w:rsid w:val="00A151F0"/>
    <w:rsid w:val="00A152DC"/>
    <w:rsid w:val="00A154F4"/>
    <w:rsid w:val="00A15540"/>
    <w:rsid w:val="00A15643"/>
    <w:rsid w:val="00A156F8"/>
    <w:rsid w:val="00A157E3"/>
    <w:rsid w:val="00A157FC"/>
    <w:rsid w:val="00A15841"/>
    <w:rsid w:val="00A158AD"/>
    <w:rsid w:val="00A15A3F"/>
    <w:rsid w:val="00A15A7C"/>
    <w:rsid w:val="00A15AE6"/>
    <w:rsid w:val="00A15AF6"/>
    <w:rsid w:val="00A15C28"/>
    <w:rsid w:val="00A15CFF"/>
    <w:rsid w:val="00A15D6B"/>
    <w:rsid w:val="00A15E39"/>
    <w:rsid w:val="00A15E43"/>
    <w:rsid w:val="00A15FA0"/>
    <w:rsid w:val="00A15FE7"/>
    <w:rsid w:val="00A15FF3"/>
    <w:rsid w:val="00A160CF"/>
    <w:rsid w:val="00A16178"/>
    <w:rsid w:val="00A1618D"/>
    <w:rsid w:val="00A16212"/>
    <w:rsid w:val="00A1623E"/>
    <w:rsid w:val="00A163F1"/>
    <w:rsid w:val="00A16417"/>
    <w:rsid w:val="00A16563"/>
    <w:rsid w:val="00A1660C"/>
    <w:rsid w:val="00A16628"/>
    <w:rsid w:val="00A1666B"/>
    <w:rsid w:val="00A1667E"/>
    <w:rsid w:val="00A166CF"/>
    <w:rsid w:val="00A1670D"/>
    <w:rsid w:val="00A1671A"/>
    <w:rsid w:val="00A16720"/>
    <w:rsid w:val="00A16980"/>
    <w:rsid w:val="00A169C8"/>
    <w:rsid w:val="00A169CF"/>
    <w:rsid w:val="00A169EF"/>
    <w:rsid w:val="00A16B51"/>
    <w:rsid w:val="00A16C5C"/>
    <w:rsid w:val="00A16CAB"/>
    <w:rsid w:val="00A16ED0"/>
    <w:rsid w:val="00A16EFA"/>
    <w:rsid w:val="00A1707A"/>
    <w:rsid w:val="00A17105"/>
    <w:rsid w:val="00A17134"/>
    <w:rsid w:val="00A1718F"/>
    <w:rsid w:val="00A172D3"/>
    <w:rsid w:val="00A17444"/>
    <w:rsid w:val="00A174F2"/>
    <w:rsid w:val="00A17622"/>
    <w:rsid w:val="00A176F9"/>
    <w:rsid w:val="00A17789"/>
    <w:rsid w:val="00A178C1"/>
    <w:rsid w:val="00A178EE"/>
    <w:rsid w:val="00A17AB9"/>
    <w:rsid w:val="00A17AD9"/>
    <w:rsid w:val="00A17B5E"/>
    <w:rsid w:val="00A17B7B"/>
    <w:rsid w:val="00A17C29"/>
    <w:rsid w:val="00A17CC1"/>
    <w:rsid w:val="00A17DA8"/>
    <w:rsid w:val="00A17E18"/>
    <w:rsid w:val="00A17E6A"/>
    <w:rsid w:val="00A17F01"/>
    <w:rsid w:val="00A17FE7"/>
    <w:rsid w:val="00A20076"/>
    <w:rsid w:val="00A20113"/>
    <w:rsid w:val="00A20132"/>
    <w:rsid w:val="00A2020D"/>
    <w:rsid w:val="00A2028A"/>
    <w:rsid w:val="00A203E2"/>
    <w:rsid w:val="00A2051F"/>
    <w:rsid w:val="00A205A9"/>
    <w:rsid w:val="00A2064D"/>
    <w:rsid w:val="00A20742"/>
    <w:rsid w:val="00A207FC"/>
    <w:rsid w:val="00A2093C"/>
    <w:rsid w:val="00A2095C"/>
    <w:rsid w:val="00A20984"/>
    <w:rsid w:val="00A20A26"/>
    <w:rsid w:val="00A20A8A"/>
    <w:rsid w:val="00A20A91"/>
    <w:rsid w:val="00A20AB2"/>
    <w:rsid w:val="00A20B39"/>
    <w:rsid w:val="00A20B5A"/>
    <w:rsid w:val="00A20B77"/>
    <w:rsid w:val="00A20BE3"/>
    <w:rsid w:val="00A20C2C"/>
    <w:rsid w:val="00A20D1C"/>
    <w:rsid w:val="00A20DDA"/>
    <w:rsid w:val="00A20E6E"/>
    <w:rsid w:val="00A20F2F"/>
    <w:rsid w:val="00A210C8"/>
    <w:rsid w:val="00A210D8"/>
    <w:rsid w:val="00A210F6"/>
    <w:rsid w:val="00A210FE"/>
    <w:rsid w:val="00A21115"/>
    <w:rsid w:val="00A21116"/>
    <w:rsid w:val="00A211E3"/>
    <w:rsid w:val="00A212AA"/>
    <w:rsid w:val="00A21317"/>
    <w:rsid w:val="00A213AE"/>
    <w:rsid w:val="00A2142B"/>
    <w:rsid w:val="00A21452"/>
    <w:rsid w:val="00A21592"/>
    <w:rsid w:val="00A21762"/>
    <w:rsid w:val="00A21776"/>
    <w:rsid w:val="00A21783"/>
    <w:rsid w:val="00A217BF"/>
    <w:rsid w:val="00A21884"/>
    <w:rsid w:val="00A218A5"/>
    <w:rsid w:val="00A219D3"/>
    <w:rsid w:val="00A21AA9"/>
    <w:rsid w:val="00A21AF8"/>
    <w:rsid w:val="00A21B51"/>
    <w:rsid w:val="00A21BAB"/>
    <w:rsid w:val="00A21EEB"/>
    <w:rsid w:val="00A21EEC"/>
    <w:rsid w:val="00A220BF"/>
    <w:rsid w:val="00A22118"/>
    <w:rsid w:val="00A2214B"/>
    <w:rsid w:val="00A2227F"/>
    <w:rsid w:val="00A22296"/>
    <w:rsid w:val="00A222F1"/>
    <w:rsid w:val="00A22302"/>
    <w:rsid w:val="00A22317"/>
    <w:rsid w:val="00A22322"/>
    <w:rsid w:val="00A223BD"/>
    <w:rsid w:val="00A223CB"/>
    <w:rsid w:val="00A22483"/>
    <w:rsid w:val="00A224CF"/>
    <w:rsid w:val="00A225D4"/>
    <w:rsid w:val="00A22618"/>
    <w:rsid w:val="00A22622"/>
    <w:rsid w:val="00A227D6"/>
    <w:rsid w:val="00A22803"/>
    <w:rsid w:val="00A22810"/>
    <w:rsid w:val="00A2286D"/>
    <w:rsid w:val="00A228E2"/>
    <w:rsid w:val="00A22914"/>
    <w:rsid w:val="00A229AF"/>
    <w:rsid w:val="00A229C9"/>
    <w:rsid w:val="00A22A65"/>
    <w:rsid w:val="00A22B34"/>
    <w:rsid w:val="00A22BF1"/>
    <w:rsid w:val="00A22D71"/>
    <w:rsid w:val="00A22E79"/>
    <w:rsid w:val="00A22EA7"/>
    <w:rsid w:val="00A22EBC"/>
    <w:rsid w:val="00A22FDA"/>
    <w:rsid w:val="00A230EB"/>
    <w:rsid w:val="00A232CD"/>
    <w:rsid w:val="00A23344"/>
    <w:rsid w:val="00A23429"/>
    <w:rsid w:val="00A234AE"/>
    <w:rsid w:val="00A23556"/>
    <w:rsid w:val="00A23584"/>
    <w:rsid w:val="00A235EF"/>
    <w:rsid w:val="00A2362C"/>
    <w:rsid w:val="00A23658"/>
    <w:rsid w:val="00A236FE"/>
    <w:rsid w:val="00A238F5"/>
    <w:rsid w:val="00A23AC5"/>
    <w:rsid w:val="00A23BF1"/>
    <w:rsid w:val="00A23E7E"/>
    <w:rsid w:val="00A23EFF"/>
    <w:rsid w:val="00A23FC4"/>
    <w:rsid w:val="00A24014"/>
    <w:rsid w:val="00A2404B"/>
    <w:rsid w:val="00A2411E"/>
    <w:rsid w:val="00A2411F"/>
    <w:rsid w:val="00A241B3"/>
    <w:rsid w:val="00A24225"/>
    <w:rsid w:val="00A24231"/>
    <w:rsid w:val="00A24327"/>
    <w:rsid w:val="00A2433C"/>
    <w:rsid w:val="00A24387"/>
    <w:rsid w:val="00A244C4"/>
    <w:rsid w:val="00A244F6"/>
    <w:rsid w:val="00A2460A"/>
    <w:rsid w:val="00A24760"/>
    <w:rsid w:val="00A24808"/>
    <w:rsid w:val="00A2482F"/>
    <w:rsid w:val="00A2485B"/>
    <w:rsid w:val="00A248E0"/>
    <w:rsid w:val="00A24948"/>
    <w:rsid w:val="00A24964"/>
    <w:rsid w:val="00A2496A"/>
    <w:rsid w:val="00A24A0F"/>
    <w:rsid w:val="00A24B2E"/>
    <w:rsid w:val="00A24BE5"/>
    <w:rsid w:val="00A24BF5"/>
    <w:rsid w:val="00A24D0A"/>
    <w:rsid w:val="00A24DA0"/>
    <w:rsid w:val="00A24F99"/>
    <w:rsid w:val="00A24FEF"/>
    <w:rsid w:val="00A25011"/>
    <w:rsid w:val="00A25105"/>
    <w:rsid w:val="00A25190"/>
    <w:rsid w:val="00A25263"/>
    <w:rsid w:val="00A25559"/>
    <w:rsid w:val="00A25660"/>
    <w:rsid w:val="00A25674"/>
    <w:rsid w:val="00A25831"/>
    <w:rsid w:val="00A25894"/>
    <w:rsid w:val="00A259EF"/>
    <w:rsid w:val="00A25A94"/>
    <w:rsid w:val="00A25AB6"/>
    <w:rsid w:val="00A25C10"/>
    <w:rsid w:val="00A25CB1"/>
    <w:rsid w:val="00A25CED"/>
    <w:rsid w:val="00A25D4A"/>
    <w:rsid w:val="00A25DA9"/>
    <w:rsid w:val="00A25DFF"/>
    <w:rsid w:val="00A25E00"/>
    <w:rsid w:val="00A25EAA"/>
    <w:rsid w:val="00A26022"/>
    <w:rsid w:val="00A26100"/>
    <w:rsid w:val="00A26114"/>
    <w:rsid w:val="00A26197"/>
    <w:rsid w:val="00A2626A"/>
    <w:rsid w:val="00A262D5"/>
    <w:rsid w:val="00A26509"/>
    <w:rsid w:val="00A26527"/>
    <w:rsid w:val="00A266F0"/>
    <w:rsid w:val="00A26731"/>
    <w:rsid w:val="00A267B7"/>
    <w:rsid w:val="00A26865"/>
    <w:rsid w:val="00A26893"/>
    <w:rsid w:val="00A268A8"/>
    <w:rsid w:val="00A26996"/>
    <w:rsid w:val="00A269BC"/>
    <w:rsid w:val="00A26AE3"/>
    <w:rsid w:val="00A26B99"/>
    <w:rsid w:val="00A26F12"/>
    <w:rsid w:val="00A27546"/>
    <w:rsid w:val="00A2787B"/>
    <w:rsid w:val="00A278DC"/>
    <w:rsid w:val="00A27964"/>
    <w:rsid w:val="00A279C0"/>
    <w:rsid w:val="00A279E4"/>
    <w:rsid w:val="00A279EA"/>
    <w:rsid w:val="00A27AF7"/>
    <w:rsid w:val="00A27B01"/>
    <w:rsid w:val="00A27B17"/>
    <w:rsid w:val="00A27C39"/>
    <w:rsid w:val="00A27D09"/>
    <w:rsid w:val="00A27E12"/>
    <w:rsid w:val="00A27E18"/>
    <w:rsid w:val="00A27F1B"/>
    <w:rsid w:val="00A27F7D"/>
    <w:rsid w:val="00A27FA2"/>
    <w:rsid w:val="00A30001"/>
    <w:rsid w:val="00A3002F"/>
    <w:rsid w:val="00A3006E"/>
    <w:rsid w:val="00A300D8"/>
    <w:rsid w:val="00A30187"/>
    <w:rsid w:val="00A302A1"/>
    <w:rsid w:val="00A302D1"/>
    <w:rsid w:val="00A30331"/>
    <w:rsid w:val="00A30358"/>
    <w:rsid w:val="00A3036D"/>
    <w:rsid w:val="00A3039B"/>
    <w:rsid w:val="00A303D3"/>
    <w:rsid w:val="00A30487"/>
    <w:rsid w:val="00A30510"/>
    <w:rsid w:val="00A30625"/>
    <w:rsid w:val="00A306F6"/>
    <w:rsid w:val="00A3073E"/>
    <w:rsid w:val="00A3075A"/>
    <w:rsid w:val="00A307FE"/>
    <w:rsid w:val="00A307FF"/>
    <w:rsid w:val="00A30896"/>
    <w:rsid w:val="00A30930"/>
    <w:rsid w:val="00A30932"/>
    <w:rsid w:val="00A30997"/>
    <w:rsid w:val="00A309D9"/>
    <w:rsid w:val="00A309E2"/>
    <w:rsid w:val="00A30B63"/>
    <w:rsid w:val="00A30BA3"/>
    <w:rsid w:val="00A30BB0"/>
    <w:rsid w:val="00A30BBB"/>
    <w:rsid w:val="00A30C18"/>
    <w:rsid w:val="00A30DAF"/>
    <w:rsid w:val="00A30E16"/>
    <w:rsid w:val="00A3102D"/>
    <w:rsid w:val="00A3108E"/>
    <w:rsid w:val="00A31125"/>
    <w:rsid w:val="00A311A0"/>
    <w:rsid w:val="00A31204"/>
    <w:rsid w:val="00A3127D"/>
    <w:rsid w:val="00A3136D"/>
    <w:rsid w:val="00A313FB"/>
    <w:rsid w:val="00A314A7"/>
    <w:rsid w:val="00A31502"/>
    <w:rsid w:val="00A31531"/>
    <w:rsid w:val="00A31574"/>
    <w:rsid w:val="00A3158C"/>
    <w:rsid w:val="00A316DE"/>
    <w:rsid w:val="00A316ED"/>
    <w:rsid w:val="00A317B6"/>
    <w:rsid w:val="00A318A9"/>
    <w:rsid w:val="00A31926"/>
    <w:rsid w:val="00A319B9"/>
    <w:rsid w:val="00A319E4"/>
    <w:rsid w:val="00A319F4"/>
    <w:rsid w:val="00A31AB0"/>
    <w:rsid w:val="00A31B43"/>
    <w:rsid w:val="00A31D8A"/>
    <w:rsid w:val="00A31DFA"/>
    <w:rsid w:val="00A31FAA"/>
    <w:rsid w:val="00A31FAE"/>
    <w:rsid w:val="00A323AD"/>
    <w:rsid w:val="00A323C5"/>
    <w:rsid w:val="00A324B8"/>
    <w:rsid w:val="00A32527"/>
    <w:rsid w:val="00A3262F"/>
    <w:rsid w:val="00A326E2"/>
    <w:rsid w:val="00A326E5"/>
    <w:rsid w:val="00A328A7"/>
    <w:rsid w:val="00A328B8"/>
    <w:rsid w:val="00A32955"/>
    <w:rsid w:val="00A329C2"/>
    <w:rsid w:val="00A329D2"/>
    <w:rsid w:val="00A329E8"/>
    <w:rsid w:val="00A32B01"/>
    <w:rsid w:val="00A32BEE"/>
    <w:rsid w:val="00A32C1F"/>
    <w:rsid w:val="00A32E33"/>
    <w:rsid w:val="00A32E5F"/>
    <w:rsid w:val="00A32E72"/>
    <w:rsid w:val="00A32EA4"/>
    <w:rsid w:val="00A32F15"/>
    <w:rsid w:val="00A32F7D"/>
    <w:rsid w:val="00A32F82"/>
    <w:rsid w:val="00A330F3"/>
    <w:rsid w:val="00A3313A"/>
    <w:rsid w:val="00A33266"/>
    <w:rsid w:val="00A33329"/>
    <w:rsid w:val="00A33352"/>
    <w:rsid w:val="00A33361"/>
    <w:rsid w:val="00A334A7"/>
    <w:rsid w:val="00A334BF"/>
    <w:rsid w:val="00A334EB"/>
    <w:rsid w:val="00A33520"/>
    <w:rsid w:val="00A3354C"/>
    <w:rsid w:val="00A335A9"/>
    <w:rsid w:val="00A335B5"/>
    <w:rsid w:val="00A335C4"/>
    <w:rsid w:val="00A33607"/>
    <w:rsid w:val="00A33885"/>
    <w:rsid w:val="00A339DD"/>
    <w:rsid w:val="00A339EE"/>
    <w:rsid w:val="00A33A50"/>
    <w:rsid w:val="00A33A9D"/>
    <w:rsid w:val="00A33AE8"/>
    <w:rsid w:val="00A33BE1"/>
    <w:rsid w:val="00A33BFA"/>
    <w:rsid w:val="00A33D4C"/>
    <w:rsid w:val="00A33EB3"/>
    <w:rsid w:val="00A33EEA"/>
    <w:rsid w:val="00A33F4D"/>
    <w:rsid w:val="00A34075"/>
    <w:rsid w:val="00A341FF"/>
    <w:rsid w:val="00A3429B"/>
    <w:rsid w:val="00A34363"/>
    <w:rsid w:val="00A34377"/>
    <w:rsid w:val="00A3449B"/>
    <w:rsid w:val="00A344F3"/>
    <w:rsid w:val="00A34533"/>
    <w:rsid w:val="00A345D7"/>
    <w:rsid w:val="00A345EF"/>
    <w:rsid w:val="00A346B2"/>
    <w:rsid w:val="00A34B79"/>
    <w:rsid w:val="00A34C42"/>
    <w:rsid w:val="00A34C97"/>
    <w:rsid w:val="00A34CE0"/>
    <w:rsid w:val="00A34E32"/>
    <w:rsid w:val="00A34E34"/>
    <w:rsid w:val="00A34E4E"/>
    <w:rsid w:val="00A34F57"/>
    <w:rsid w:val="00A34F81"/>
    <w:rsid w:val="00A34FE3"/>
    <w:rsid w:val="00A350B5"/>
    <w:rsid w:val="00A3519E"/>
    <w:rsid w:val="00A351FE"/>
    <w:rsid w:val="00A35265"/>
    <w:rsid w:val="00A352E1"/>
    <w:rsid w:val="00A35590"/>
    <w:rsid w:val="00A3582D"/>
    <w:rsid w:val="00A35842"/>
    <w:rsid w:val="00A35868"/>
    <w:rsid w:val="00A3586E"/>
    <w:rsid w:val="00A358A8"/>
    <w:rsid w:val="00A358F4"/>
    <w:rsid w:val="00A359B0"/>
    <w:rsid w:val="00A359BA"/>
    <w:rsid w:val="00A35A32"/>
    <w:rsid w:val="00A35AA3"/>
    <w:rsid w:val="00A35BD6"/>
    <w:rsid w:val="00A35CA9"/>
    <w:rsid w:val="00A35D40"/>
    <w:rsid w:val="00A35D56"/>
    <w:rsid w:val="00A35E97"/>
    <w:rsid w:val="00A35F3E"/>
    <w:rsid w:val="00A35FE9"/>
    <w:rsid w:val="00A3602B"/>
    <w:rsid w:val="00A36066"/>
    <w:rsid w:val="00A360E2"/>
    <w:rsid w:val="00A360F3"/>
    <w:rsid w:val="00A36392"/>
    <w:rsid w:val="00A363CC"/>
    <w:rsid w:val="00A364FD"/>
    <w:rsid w:val="00A3652C"/>
    <w:rsid w:val="00A365B4"/>
    <w:rsid w:val="00A3662D"/>
    <w:rsid w:val="00A36719"/>
    <w:rsid w:val="00A3678A"/>
    <w:rsid w:val="00A367C2"/>
    <w:rsid w:val="00A36852"/>
    <w:rsid w:val="00A369A3"/>
    <w:rsid w:val="00A369C3"/>
    <w:rsid w:val="00A36BFD"/>
    <w:rsid w:val="00A36C2A"/>
    <w:rsid w:val="00A36C81"/>
    <w:rsid w:val="00A36D1E"/>
    <w:rsid w:val="00A36DD5"/>
    <w:rsid w:val="00A3702D"/>
    <w:rsid w:val="00A37075"/>
    <w:rsid w:val="00A37094"/>
    <w:rsid w:val="00A371DE"/>
    <w:rsid w:val="00A3720B"/>
    <w:rsid w:val="00A3723A"/>
    <w:rsid w:val="00A3727D"/>
    <w:rsid w:val="00A372B1"/>
    <w:rsid w:val="00A37301"/>
    <w:rsid w:val="00A373EE"/>
    <w:rsid w:val="00A374A4"/>
    <w:rsid w:val="00A374F1"/>
    <w:rsid w:val="00A37586"/>
    <w:rsid w:val="00A3761A"/>
    <w:rsid w:val="00A376A9"/>
    <w:rsid w:val="00A37748"/>
    <w:rsid w:val="00A37783"/>
    <w:rsid w:val="00A3779D"/>
    <w:rsid w:val="00A3794F"/>
    <w:rsid w:val="00A37A59"/>
    <w:rsid w:val="00A37A6D"/>
    <w:rsid w:val="00A37B71"/>
    <w:rsid w:val="00A37C28"/>
    <w:rsid w:val="00A37C8D"/>
    <w:rsid w:val="00A37CD1"/>
    <w:rsid w:val="00A37D3F"/>
    <w:rsid w:val="00A37D7E"/>
    <w:rsid w:val="00A37EBC"/>
    <w:rsid w:val="00A37EF6"/>
    <w:rsid w:val="00A37F2E"/>
    <w:rsid w:val="00A37FEC"/>
    <w:rsid w:val="00A4003C"/>
    <w:rsid w:val="00A401CE"/>
    <w:rsid w:val="00A402A1"/>
    <w:rsid w:val="00A402EE"/>
    <w:rsid w:val="00A40304"/>
    <w:rsid w:val="00A403D1"/>
    <w:rsid w:val="00A40405"/>
    <w:rsid w:val="00A40476"/>
    <w:rsid w:val="00A404B9"/>
    <w:rsid w:val="00A404CC"/>
    <w:rsid w:val="00A404FD"/>
    <w:rsid w:val="00A40532"/>
    <w:rsid w:val="00A405C1"/>
    <w:rsid w:val="00A40768"/>
    <w:rsid w:val="00A407AB"/>
    <w:rsid w:val="00A40873"/>
    <w:rsid w:val="00A40901"/>
    <w:rsid w:val="00A40923"/>
    <w:rsid w:val="00A40995"/>
    <w:rsid w:val="00A409BB"/>
    <w:rsid w:val="00A40A7F"/>
    <w:rsid w:val="00A40B7E"/>
    <w:rsid w:val="00A40BB6"/>
    <w:rsid w:val="00A40C92"/>
    <w:rsid w:val="00A40CDF"/>
    <w:rsid w:val="00A40D27"/>
    <w:rsid w:val="00A40D71"/>
    <w:rsid w:val="00A40F23"/>
    <w:rsid w:val="00A40F2F"/>
    <w:rsid w:val="00A40F3C"/>
    <w:rsid w:val="00A41072"/>
    <w:rsid w:val="00A4108D"/>
    <w:rsid w:val="00A411C0"/>
    <w:rsid w:val="00A4120C"/>
    <w:rsid w:val="00A4127B"/>
    <w:rsid w:val="00A4132C"/>
    <w:rsid w:val="00A413D9"/>
    <w:rsid w:val="00A41465"/>
    <w:rsid w:val="00A41548"/>
    <w:rsid w:val="00A415C5"/>
    <w:rsid w:val="00A4162D"/>
    <w:rsid w:val="00A41A3F"/>
    <w:rsid w:val="00A41A88"/>
    <w:rsid w:val="00A41C65"/>
    <w:rsid w:val="00A41CB0"/>
    <w:rsid w:val="00A41CC2"/>
    <w:rsid w:val="00A41DF7"/>
    <w:rsid w:val="00A41E67"/>
    <w:rsid w:val="00A41EA8"/>
    <w:rsid w:val="00A41F4F"/>
    <w:rsid w:val="00A41FF2"/>
    <w:rsid w:val="00A42072"/>
    <w:rsid w:val="00A420A6"/>
    <w:rsid w:val="00A42149"/>
    <w:rsid w:val="00A42205"/>
    <w:rsid w:val="00A42255"/>
    <w:rsid w:val="00A42324"/>
    <w:rsid w:val="00A424A2"/>
    <w:rsid w:val="00A4252A"/>
    <w:rsid w:val="00A425CA"/>
    <w:rsid w:val="00A426EA"/>
    <w:rsid w:val="00A4275D"/>
    <w:rsid w:val="00A42801"/>
    <w:rsid w:val="00A428BD"/>
    <w:rsid w:val="00A428FF"/>
    <w:rsid w:val="00A42905"/>
    <w:rsid w:val="00A42985"/>
    <w:rsid w:val="00A42AA0"/>
    <w:rsid w:val="00A42B01"/>
    <w:rsid w:val="00A42B1B"/>
    <w:rsid w:val="00A42B4F"/>
    <w:rsid w:val="00A42BF6"/>
    <w:rsid w:val="00A42C05"/>
    <w:rsid w:val="00A42CC3"/>
    <w:rsid w:val="00A42CC7"/>
    <w:rsid w:val="00A42CCD"/>
    <w:rsid w:val="00A42DB5"/>
    <w:rsid w:val="00A42E10"/>
    <w:rsid w:val="00A42E53"/>
    <w:rsid w:val="00A42E56"/>
    <w:rsid w:val="00A42EDD"/>
    <w:rsid w:val="00A42FDA"/>
    <w:rsid w:val="00A430A0"/>
    <w:rsid w:val="00A430BA"/>
    <w:rsid w:val="00A43189"/>
    <w:rsid w:val="00A431CA"/>
    <w:rsid w:val="00A4333D"/>
    <w:rsid w:val="00A435DD"/>
    <w:rsid w:val="00A435E8"/>
    <w:rsid w:val="00A435F4"/>
    <w:rsid w:val="00A43690"/>
    <w:rsid w:val="00A43732"/>
    <w:rsid w:val="00A43766"/>
    <w:rsid w:val="00A437FE"/>
    <w:rsid w:val="00A4383F"/>
    <w:rsid w:val="00A438DE"/>
    <w:rsid w:val="00A43A11"/>
    <w:rsid w:val="00A43A39"/>
    <w:rsid w:val="00A43AEC"/>
    <w:rsid w:val="00A43B78"/>
    <w:rsid w:val="00A43C6F"/>
    <w:rsid w:val="00A43CA7"/>
    <w:rsid w:val="00A43CFC"/>
    <w:rsid w:val="00A43D5F"/>
    <w:rsid w:val="00A43E2A"/>
    <w:rsid w:val="00A43E56"/>
    <w:rsid w:val="00A43E66"/>
    <w:rsid w:val="00A43E86"/>
    <w:rsid w:val="00A4406D"/>
    <w:rsid w:val="00A440AB"/>
    <w:rsid w:val="00A440BD"/>
    <w:rsid w:val="00A440E3"/>
    <w:rsid w:val="00A44163"/>
    <w:rsid w:val="00A441E4"/>
    <w:rsid w:val="00A442F2"/>
    <w:rsid w:val="00A44327"/>
    <w:rsid w:val="00A44361"/>
    <w:rsid w:val="00A444BD"/>
    <w:rsid w:val="00A445FF"/>
    <w:rsid w:val="00A4462B"/>
    <w:rsid w:val="00A4464C"/>
    <w:rsid w:val="00A446BD"/>
    <w:rsid w:val="00A446DF"/>
    <w:rsid w:val="00A447CE"/>
    <w:rsid w:val="00A44957"/>
    <w:rsid w:val="00A44A1D"/>
    <w:rsid w:val="00A44A31"/>
    <w:rsid w:val="00A44A99"/>
    <w:rsid w:val="00A44B2E"/>
    <w:rsid w:val="00A44B3F"/>
    <w:rsid w:val="00A44B4A"/>
    <w:rsid w:val="00A44C1A"/>
    <w:rsid w:val="00A44CE1"/>
    <w:rsid w:val="00A44D24"/>
    <w:rsid w:val="00A44D36"/>
    <w:rsid w:val="00A44D44"/>
    <w:rsid w:val="00A44D75"/>
    <w:rsid w:val="00A44D94"/>
    <w:rsid w:val="00A44D96"/>
    <w:rsid w:val="00A44DAF"/>
    <w:rsid w:val="00A44E3D"/>
    <w:rsid w:val="00A44EBE"/>
    <w:rsid w:val="00A44EED"/>
    <w:rsid w:val="00A45169"/>
    <w:rsid w:val="00A451DF"/>
    <w:rsid w:val="00A4531A"/>
    <w:rsid w:val="00A453C0"/>
    <w:rsid w:val="00A4548A"/>
    <w:rsid w:val="00A454F9"/>
    <w:rsid w:val="00A45518"/>
    <w:rsid w:val="00A45614"/>
    <w:rsid w:val="00A4567A"/>
    <w:rsid w:val="00A4567E"/>
    <w:rsid w:val="00A45681"/>
    <w:rsid w:val="00A4569C"/>
    <w:rsid w:val="00A456B3"/>
    <w:rsid w:val="00A4580D"/>
    <w:rsid w:val="00A45823"/>
    <w:rsid w:val="00A4584A"/>
    <w:rsid w:val="00A458D3"/>
    <w:rsid w:val="00A459CC"/>
    <w:rsid w:val="00A45BDB"/>
    <w:rsid w:val="00A45C6F"/>
    <w:rsid w:val="00A45D22"/>
    <w:rsid w:val="00A45FBE"/>
    <w:rsid w:val="00A45FFD"/>
    <w:rsid w:val="00A460AA"/>
    <w:rsid w:val="00A461F5"/>
    <w:rsid w:val="00A461FC"/>
    <w:rsid w:val="00A462C1"/>
    <w:rsid w:val="00A462E1"/>
    <w:rsid w:val="00A4632D"/>
    <w:rsid w:val="00A464F2"/>
    <w:rsid w:val="00A46592"/>
    <w:rsid w:val="00A466CF"/>
    <w:rsid w:val="00A4673C"/>
    <w:rsid w:val="00A4673D"/>
    <w:rsid w:val="00A467E1"/>
    <w:rsid w:val="00A468EA"/>
    <w:rsid w:val="00A4690E"/>
    <w:rsid w:val="00A46938"/>
    <w:rsid w:val="00A46A77"/>
    <w:rsid w:val="00A46B30"/>
    <w:rsid w:val="00A46BC2"/>
    <w:rsid w:val="00A46BEF"/>
    <w:rsid w:val="00A46D52"/>
    <w:rsid w:val="00A46E17"/>
    <w:rsid w:val="00A46E33"/>
    <w:rsid w:val="00A46E34"/>
    <w:rsid w:val="00A46E41"/>
    <w:rsid w:val="00A46E65"/>
    <w:rsid w:val="00A46E6F"/>
    <w:rsid w:val="00A46FFE"/>
    <w:rsid w:val="00A4705C"/>
    <w:rsid w:val="00A47088"/>
    <w:rsid w:val="00A47144"/>
    <w:rsid w:val="00A471D0"/>
    <w:rsid w:val="00A4728C"/>
    <w:rsid w:val="00A47322"/>
    <w:rsid w:val="00A47363"/>
    <w:rsid w:val="00A4738A"/>
    <w:rsid w:val="00A4740D"/>
    <w:rsid w:val="00A47590"/>
    <w:rsid w:val="00A4770E"/>
    <w:rsid w:val="00A4787E"/>
    <w:rsid w:val="00A4790D"/>
    <w:rsid w:val="00A47931"/>
    <w:rsid w:val="00A47AC0"/>
    <w:rsid w:val="00A47AC7"/>
    <w:rsid w:val="00A47B99"/>
    <w:rsid w:val="00A47C5B"/>
    <w:rsid w:val="00A47C6E"/>
    <w:rsid w:val="00A47D29"/>
    <w:rsid w:val="00A47D35"/>
    <w:rsid w:val="00A47D83"/>
    <w:rsid w:val="00A47D8A"/>
    <w:rsid w:val="00A47DDC"/>
    <w:rsid w:val="00A47DEB"/>
    <w:rsid w:val="00A47E34"/>
    <w:rsid w:val="00A47E5D"/>
    <w:rsid w:val="00A47E61"/>
    <w:rsid w:val="00A47FB3"/>
    <w:rsid w:val="00A50008"/>
    <w:rsid w:val="00A50052"/>
    <w:rsid w:val="00A50053"/>
    <w:rsid w:val="00A5009D"/>
    <w:rsid w:val="00A50184"/>
    <w:rsid w:val="00A502C5"/>
    <w:rsid w:val="00A503AB"/>
    <w:rsid w:val="00A503B6"/>
    <w:rsid w:val="00A503E4"/>
    <w:rsid w:val="00A505CB"/>
    <w:rsid w:val="00A50663"/>
    <w:rsid w:val="00A50860"/>
    <w:rsid w:val="00A508B1"/>
    <w:rsid w:val="00A508FD"/>
    <w:rsid w:val="00A5094D"/>
    <w:rsid w:val="00A509FC"/>
    <w:rsid w:val="00A50A13"/>
    <w:rsid w:val="00A50A61"/>
    <w:rsid w:val="00A50A8D"/>
    <w:rsid w:val="00A50B08"/>
    <w:rsid w:val="00A50C9A"/>
    <w:rsid w:val="00A50DA7"/>
    <w:rsid w:val="00A50DC1"/>
    <w:rsid w:val="00A50E8C"/>
    <w:rsid w:val="00A50F3B"/>
    <w:rsid w:val="00A51010"/>
    <w:rsid w:val="00A5118A"/>
    <w:rsid w:val="00A5128E"/>
    <w:rsid w:val="00A512E5"/>
    <w:rsid w:val="00A5139C"/>
    <w:rsid w:val="00A514C4"/>
    <w:rsid w:val="00A51518"/>
    <w:rsid w:val="00A51654"/>
    <w:rsid w:val="00A5175D"/>
    <w:rsid w:val="00A519E6"/>
    <w:rsid w:val="00A51BF1"/>
    <w:rsid w:val="00A51CE2"/>
    <w:rsid w:val="00A51CF9"/>
    <w:rsid w:val="00A520B9"/>
    <w:rsid w:val="00A52133"/>
    <w:rsid w:val="00A521D8"/>
    <w:rsid w:val="00A524CC"/>
    <w:rsid w:val="00A524CF"/>
    <w:rsid w:val="00A525FC"/>
    <w:rsid w:val="00A52607"/>
    <w:rsid w:val="00A5270B"/>
    <w:rsid w:val="00A52762"/>
    <w:rsid w:val="00A528D2"/>
    <w:rsid w:val="00A529F5"/>
    <w:rsid w:val="00A52A9A"/>
    <w:rsid w:val="00A52AB4"/>
    <w:rsid w:val="00A52AFB"/>
    <w:rsid w:val="00A52B88"/>
    <w:rsid w:val="00A52BD0"/>
    <w:rsid w:val="00A52BE8"/>
    <w:rsid w:val="00A52C43"/>
    <w:rsid w:val="00A52DCC"/>
    <w:rsid w:val="00A52E68"/>
    <w:rsid w:val="00A52FDA"/>
    <w:rsid w:val="00A5316C"/>
    <w:rsid w:val="00A53212"/>
    <w:rsid w:val="00A5324D"/>
    <w:rsid w:val="00A53267"/>
    <w:rsid w:val="00A53296"/>
    <w:rsid w:val="00A5329A"/>
    <w:rsid w:val="00A532C1"/>
    <w:rsid w:val="00A532DE"/>
    <w:rsid w:val="00A533BC"/>
    <w:rsid w:val="00A533C1"/>
    <w:rsid w:val="00A53417"/>
    <w:rsid w:val="00A534FD"/>
    <w:rsid w:val="00A53649"/>
    <w:rsid w:val="00A536B8"/>
    <w:rsid w:val="00A5371D"/>
    <w:rsid w:val="00A53899"/>
    <w:rsid w:val="00A53905"/>
    <w:rsid w:val="00A53912"/>
    <w:rsid w:val="00A53913"/>
    <w:rsid w:val="00A5397C"/>
    <w:rsid w:val="00A539FF"/>
    <w:rsid w:val="00A53A41"/>
    <w:rsid w:val="00A53A94"/>
    <w:rsid w:val="00A53ABB"/>
    <w:rsid w:val="00A53C65"/>
    <w:rsid w:val="00A53C69"/>
    <w:rsid w:val="00A53C6B"/>
    <w:rsid w:val="00A53C78"/>
    <w:rsid w:val="00A53E37"/>
    <w:rsid w:val="00A53E3B"/>
    <w:rsid w:val="00A53EFE"/>
    <w:rsid w:val="00A53F29"/>
    <w:rsid w:val="00A54011"/>
    <w:rsid w:val="00A5403D"/>
    <w:rsid w:val="00A54046"/>
    <w:rsid w:val="00A54066"/>
    <w:rsid w:val="00A54114"/>
    <w:rsid w:val="00A54161"/>
    <w:rsid w:val="00A5426F"/>
    <w:rsid w:val="00A542E9"/>
    <w:rsid w:val="00A54356"/>
    <w:rsid w:val="00A544DF"/>
    <w:rsid w:val="00A545E8"/>
    <w:rsid w:val="00A54629"/>
    <w:rsid w:val="00A547D6"/>
    <w:rsid w:val="00A54807"/>
    <w:rsid w:val="00A5482B"/>
    <w:rsid w:val="00A548BA"/>
    <w:rsid w:val="00A548F2"/>
    <w:rsid w:val="00A54A1B"/>
    <w:rsid w:val="00A54A2E"/>
    <w:rsid w:val="00A54B6A"/>
    <w:rsid w:val="00A54C2D"/>
    <w:rsid w:val="00A54C86"/>
    <w:rsid w:val="00A54E31"/>
    <w:rsid w:val="00A54E4C"/>
    <w:rsid w:val="00A54EDB"/>
    <w:rsid w:val="00A54EE3"/>
    <w:rsid w:val="00A54F3D"/>
    <w:rsid w:val="00A54F51"/>
    <w:rsid w:val="00A54FCA"/>
    <w:rsid w:val="00A54FF5"/>
    <w:rsid w:val="00A55065"/>
    <w:rsid w:val="00A55109"/>
    <w:rsid w:val="00A551A3"/>
    <w:rsid w:val="00A551A5"/>
    <w:rsid w:val="00A551FD"/>
    <w:rsid w:val="00A552FB"/>
    <w:rsid w:val="00A5540A"/>
    <w:rsid w:val="00A55477"/>
    <w:rsid w:val="00A5548C"/>
    <w:rsid w:val="00A55582"/>
    <w:rsid w:val="00A5562F"/>
    <w:rsid w:val="00A5582F"/>
    <w:rsid w:val="00A5586C"/>
    <w:rsid w:val="00A558AC"/>
    <w:rsid w:val="00A558AF"/>
    <w:rsid w:val="00A55985"/>
    <w:rsid w:val="00A55BD8"/>
    <w:rsid w:val="00A55C3D"/>
    <w:rsid w:val="00A55E2E"/>
    <w:rsid w:val="00A55E3F"/>
    <w:rsid w:val="00A55F81"/>
    <w:rsid w:val="00A56027"/>
    <w:rsid w:val="00A5602F"/>
    <w:rsid w:val="00A5610A"/>
    <w:rsid w:val="00A56178"/>
    <w:rsid w:val="00A561F2"/>
    <w:rsid w:val="00A5623C"/>
    <w:rsid w:val="00A56279"/>
    <w:rsid w:val="00A5627E"/>
    <w:rsid w:val="00A56354"/>
    <w:rsid w:val="00A56386"/>
    <w:rsid w:val="00A564B6"/>
    <w:rsid w:val="00A564E5"/>
    <w:rsid w:val="00A565F2"/>
    <w:rsid w:val="00A565FB"/>
    <w:rsid w:val="00A5662A"/>
    <w:rsid w:val="00A56667"/>
    <w:rsid w:val="00A566C0"/>
    <w:rsid w:val="00A56836"/>
    <w:rsid w:val="00A568E0"/>
    <w:rsid w:val="00A5697E"/>
    <w:rsid w:val="00A56A18"/>
    <w:rsid w:val="00A56B11"/>
    <w:rsid w:val="00A56B28"/>
    <w:rsid w:val="00A56BBA"/>
    <w:rsid w:val="00A56BE7"/>
    <w:rsid w:val="00A56BFA"/>
    <w:rsid w:val="00A56C06"/>
    <w:rsid w:val="00A56CF1"/>
    <w:rsid w:val="00A56D58"/>
    <w:rsid w:val="00A56D72"/>
    <w:rsid w:val="00A56D9C"/>
    <w:rsid w:val="00A56E0E"/>
    <w:rsid w:val="00A56E67"/>
    <w:rsid w:val="00A56E70"/>
    <w:rsid w:val="00A57282"/>
    <w:rsid w:val="00A572CC"/>
    <w:rsid w:val="00A573A6"/>
    <w:rsid w:val="00A573C1"/>
    <w:rsid w:val="00A57494"/>
    <w:rsid w:val="00A5749F"/>
    <w:rsid w:val="00A575C8"/>
    <w:rsid w:val="00A576DA"/>
    <w:rsid w:val="00A57871"/>
    <w:rsid w:val="00A57960"/>
    <w:rsid w:val="00A57A51"/>
    <w:rsid w:val="00A57BA3"/>
    <w:rsid w:val="00A57C3C"/>
    <w:rsid w:val="00A57C5D"/>
    <w:rsid w:val="00A600D3"/>
    <w:rsid w:val="00A6012C"/>
    <w:rsid w:val="00A6016C"/>
    <w:rsid w:val="00A6028B"/>
    <w:rsid w:val="00A60311"/>
    <w:rsid w:val="00A6046B"/>
    <w:rsid w:val="00A60483"/>
    <w:rsid w:val="00A604E8"/>
    <w:rsid w:val="00A6059F"/>
    <w:rsid w:val="00A605D8"/>
    <w:rsid w:val="00A6067A"/>
    <w:rsid w:val="00A6069A"/>
    <w:rsid w:val="00A60772"/>
    <w:rsid w:val="00A60784"/>
    <w:rsid w:val="00A60815"/>
    <w:rsid w:val="00A60918"/>
    <w:rsid w:val="00A60982"/>
    <w:rsid w:val="00A60A0A"/>
    <w:rsid w:val="00A60A4C"/>
    <w:rsid w:val="00A60A5F"/>
    <w:rsid w:val="00A60A89"/>
    <w:rsid w:val="00A60C53"/>
    <w:rsid w:val="00A60F3E"/>
    <w:rsid w:val="00A61030"/>
    <w:rsid w:val="00A610E9"/>
    <w:rsid w:val="00A61282"/>
    <w:rsid w:val="00A61394"/>
    <w:rsid w:val="00A61579"/>
    <w:rsid w:val="00A6159E"/>
    <w:rsid w:val="00A61636"/>
    <w:rsid w:val="00A61659"/>
    <w:rsid w:val="00A617D4"/>
    <w:rsid w:val="00A6185A"/>
    <w:rsid w:val="00A618B6"/>
    <w:rsid w:val="00A618D3"/>
    <w:rsid w:val="00A6190C"/>
    <w:rsid w:val="00A61923"/>
    <w:rsid w:val="00A6193C"/>
    <w:rsid w:val="00A61996"/>
    <w:rsid w:val="00A619C4"/>
    <w:rsid w:val="00A619EB"/>
    <w:rsid w:val="00A61AD4"/>
    <w:rsid w:val="00A61B4E"/>
    <w:rsid w:val="00A61BD6"/>
    <w:rsid w:val="00A61C4D"/>
    <w:rsid w:val="00A61C5E"/>
    <w:rsid w:val="00A61CB9"/>
    <w:rsid w:val="00A61D19"/>
    <w:rsid w:val="00A61D29"/>
    <w:rsid w:val="00A61DF3"/>
    <w:rsid w:val="00A61E16"/>
    <w:rsid w:val="00A61F3C"/>
    <w:rsid w:val="00A61FB9"/>
    <w:rsid w:val="00A62044"/>
    <w:rsid w:val="00A6209B"/>
    <w:rsid w:val="00A6238E"/>
    <w:rsid w:val="00A62414"/>
    <w:rsid w:val="00A6253A"/>
    <w:rsid w:val="00A6253D"/>
    <w:rsid w:val="00A627A0"/>
    <w:rsid w:val="00A62820"/>
    <w:rsid w:val="00A62827"/>
    <w:rsid w:val="00A628A6"/>
    <w:rsid w:val="00A628CA"/>
    <w:rsid w:val="00A628E0"/>
    <w:rsid w:val="00A629C8"/>
    <w:rsid w:val="00A629DD"/>
    <w:rsid w:val="00A62D1F"/>
    <w:rsid w:val="00A62D49"/>
    <w:rsid w:val="00A62DC8"/>
    <w:rsid w:val="00A62E30"/>
    <w:rsid w:val="00A62EF2"/>
    <w:rsid w:val="00A62F2B"/>
    <w:rsid w:val="00A62FE9"/>
    <w:rsid w:val="00A630D0"/>
    <w:rsid w:val="00A6312C"/>
    <w:rsid w:val="00A6316B"/>
    <w:rsid w:val="00A63243"/>
    <w:rsid w:val="00A6327A"/>
    <w:rsid w:val="00A632E7"/>
    <w:rsid w:val="00A632EF"/>
    <w:rsid w:val="00A63306"/>
    <w:rsid w:val="00A6335C"/>
    <w:rsid w:val="00A63413"/>
    <w:rsid w:val="00A63421"/>
    <w:rsid w:val="00A63474"/>
    <w:rsid w:val="00A636B6"/>
    <w:rsid w:val="00A6379D"/>
    <w:rsid w:val="00A639AF"/>
    <w:rsid w:val="00A63A45"/>
    <w:rsid w:val="00A63B37"/>
    <w:rsid w:val="00A63B6C"/>
    <w:rsid w:val="00A63B90"/>
    <w:rsid w:val="00A63BC6"/>
    <w:rsid w:val="00A63C0A"/>
    <w:rsid w:val="00A63CEA"/>
    <w:rsid w:val="00A63D7A"/>
    <w:rsid w:val="00A63DC2"/>
    <w:rsid w:val="00A63F85"/>
    <w:rsid w:val="00A64111"/>
    <w:rsid w:val="00A64147"/>
    <w:rsid w:val="00A6414E"/>
    <w:rsid w:val="00A641AF"/>
    <w:rsid w:val="00A641D4"/>
    <w:rsid w:val="00A642A2"/>
    <w:rsid w:val="00A642FF"/>
    <w:rsid w:val="00A6436E"/>
    <w:rsid w:val="00A643BB"/>
    <w:rsid w:val="00A64444"/>
    <w:rsid w:val="00A644B6"/>
    <w:rsid w:val="00A6453E"/>
    <w:rsid w:val="00A6463F"/>
    <w:rsid w:val="00A64654"/>
    <w:rsid w:val="00A6480A"/>
    <w:rsid w:val="00A6480D"/>
    <w:rsid w:val="00A6488D"/>
    <w:rsid w:val="00A648B6"/>
    <w:rsid w:val="00A64925"/>
    <w:rsid w:val="00A649F4"/>
    <w:rsid w:val="00A64C1C"/>
    <w:rsid w:val="00A64C88"/>
    <w:rsid w:val="00A64D36"/>
    <w:rsid w:val="00A64D38"/>
    <w:rsid w:val="00A64DEE"/>
    <w:rsid w:val="00A650A3"/>
    <w:rsid w:val="00A6513F"/>
    <w:rsid w:val="00A651A9"/>
    <w:rsid w:val="00A651FB"/>
    <w:rsid w:val="00A652FC"/>
    <w:rsid w:val="00A6534F"/>
    <w:rsid w:val="00A654A1"/>
    <w:rsid w:val="00A65556"/>
    <w:rsid w:val="00A65592"/>
    <w:rsid w:val="00A65626"/>
    <w:rsid w:val="00A65666"/>
    <w:rsid w:val="00A65685"/>
    <w:rsid w:val="00A6575F"/>
    <w:rsid w:val="00A65782"/>
    <w:rsid w:val="00A657C3"/>
    <w:rsid w:val="00A6596E"/>
    <w:rsid w:val="00A65A78"/>
    <w:rsid w:val="00A65AED"/>
    <w:rsid w:val="00A65C7C"/>
    <w:rsid w:val="00A65CC7"/>
    <w:rsid w:val="00A65D66"/>
    <w:rsid w:val="00A65DE1"/>
    <w:rsid w:val="00A65ED0"/>
    <w:rsid w:val="00A65F50"/>
    <w:rsid w:val="00A66142"/>
    <w:rsid w:val="00A66165"/>
    <w:rsid w:val="00A66200"/>
    <w:rsid w:val="00A6643E"/>
    <w:rsid w:val="00A66572"/>
    <w:rsid w:val="00A665C8"/>
    <w:rsid w:val="00A665E0"/>
    <w:rsid w:val="00A6664B"/>
    <w:rsid w:val="00A6666A"/>
    <w:rsid w:val="00A6666D"/>
    <w:rsid w:val="00A667EB"/>
    <w:rsid w:val="00A66820"/>
    <w:rsid w:val="00A668F8"/>
    <w:rsid w:val="00A66912"/>
    <w:rsid w:val="00A66983"/>
    <w:rsid w:val="00A6699F"/>
    <w:rsid w:val="00A669F9"/>
    <w:rsid w:val="00A66A27"/>
    <w:rsid w:val="00A66A29"/>
    <w:rsid w:val="00A66A4B"/>
    <w:rsid w:val="00A66A95"/>
    <w:rsid w:val="00A66C5B"/>
    <w:rsid w:val="00A66CD4"/>
    <w:rsid w:val="00A66D31"/>
    <w:rsid w:val="00A66D5C"/>
    <w:rsid w:val="00A66D88"/>
    <w:rsid w:val="00A66E0D"/>
    <w:rsid w:val="00A66EA6"/>
    <w:rsid w:val="00A66EFE"/>
    <w:rsid w:val="00A66F70"/>
    <w:rsid w:val="00A66F79"/>
    <w:rsid w:val="00A66F99"/>
    <w:rsid w:val="00A66FAC"/>
    <w:rsid w:val="00A66FF1"/>
    <w:rsid w:val="00A6701C"/>
    <w:rsid w:val="00A67066"/>
    <w:rsid w:val="00A670BB"/>
    <w:rsid w:val="00A670BF"/>
    <w:rsid w:val="00A67125"/>
    <w:rsid w:val="00A67130"/>
    <w:rsid w:val="00A6724F"/>
    <w:rsid w:val="00A67325"/>
    <w:rsid w:val="00A67352"/>
    <w:rsid w:val="00A67389"/>
    <w:rsid w:val="00A673A6"/>
    <w:rsid w:val="00A673B9"/>
    <w:rsid w:val="00A67434"/>
    <w:rsid w:val="00A67456"/>
    <w:rsid w:val="00A67471"/>
    <w:rsid w:val="00A675E1"/>
    <w:rsid w:val="00A676AD"/>
    <w:rsid w:val="00A6789D"/>
    <w:rsid w:val="00A6798F"/>
    <w:rsid w:val="00A679F9"/>
    <w:rsid w:val="00A67AB5"/>
    <w:rsid w:val="00A67BBB"/>
    <w:rsid w:val="00A67BF4"/>
    <w:rsid w:val="00A67C71"/>
    <w:rsid w:val="00A67CD0"/>
    <w:rsid w:val="00A67D52"/>
    <w:rsid w:val="00A67D9A"/>
    <w:rsid w:val="00A67E70"/>
    <w:rsid w:val="00A67F5A"/>
    <w:rsid w:val="00A7003F"/>
    <w:rsid w:val="00A70053"/>
    <w:rsid w:val="00A70206"/>
    <w:rsid w:val="00A7034D"/>
    <w:rsid w:val="00A705BD"/>
    <w:rsid w:val="00A706A6"/>
    <w:rsid w:val="00A70775"/>
    <w:rsid w:val="00A708EC"/>
    <w:rsid w:val="00A70AF7"/>
    <w:rsid w:val="00A70C50"/>
    <w:rsid w:val="00A70D54"/>
    <w:rsid w:val="00A70DE4"/>
    <w:rsid w:val="00A70E54"/>
    <w:rsid w:val="00A70E95"/>
    <w:rsid w:val="00A70EE3"/>
    <w:rsid w:val="00A70FCB"/>
    <w:rsid w:val="00A70FE3"/>
    <w:rsid w:val="00A70FFF"/>
    <w:rsid w:val="00A71109"/>
    <w:rsid w:val="00A7112B"/>
    <w:rsid w:val="00A71142"/>
    <w:rsid w:val="00A7116E"/>
    <w:rsid w:val="00A711E4"/>
    <w:rsid w:val="00A711F3"/>
    <w:rsid w:val="00A712BB"/>
    <w:rsid w:val="00A7133D"/>
    <w:rsid w:val="00A71370"/>
    <w:rsid w:val="00A713AA"/>
    <w:rsid w:val="00A71422"/>
    <w:rsid w:val="00A714FE"/>
    <w:rsid w:val="00A71553"/>
    <w:rsid w:val="00A715B9"/>
    <w:rsid w:val="00A71650"/>
    <w:rsid w:val="00A71693"/>
    <w:rsid w:val="00A71724"/>
    <w:rsid w:val="00A71747"/>
    <w:rsid w:val="00A71894"/>
    <w:rsid w:val="00A718FC"/>
    <w:rsid w:val="00A71A72"/>
    <w:rsid w:val="00A71AA8"/>
    <w:rsid w:val="00A71AB8"/>
    <w:rsid w:val="00A71ACB"/>
    <w:rsid w:val="00A71AFC"/>
    <w:rsid w:val="00A71B45"/>
    <w:rsid w:val="00A71C8A"/>
    <w:rsid w:val="00A71CB0"/>
    <w:rsid w:val="00A71CBB"/>
    <w:rsid w:val="00A71D95"/>
    <w:rsid w:val="00A71EC3"/>
    <w:rsid w:val="00A71F83"/>
    <w:rsid w:val="00A71FA5"/>
    <w:rsid w:val="00A71FBF"/>
    <w:rsid w:val="00A720E1"/>
    <w:rsid w:val="00A7211F"/>
    <w:rsid w:val="00A721FC"/>
    <w:rsid w:val="00A7227E"/>
    <w:rsid w:val="00A72374"/>
    <w:rsid w:val="00A72393"/>
    <w:rsid w:val="00A723AA"/>
    <w:rsid w:val="00A72479"/>
    <w:rsid w:val="00A7247A"/>
    <w:rsid w:val="00A724C9"/>
    <w:rsid w:val="00A724F2"/>
    <w:rsid w:val="00A7260E"/>
    <w:rsid w:val="00A72723"/>
    <w:rsid w:val="00A72787"/>
    <w:rsid w:val="00A72821"/>
    <w:rsid w:val="00A7286D"/>
    <w:rsid w:val="00A728A8"/>
    <w:rsid w:val="00A728E3"/>
    <w:rsid w:val="00A7297F"/>
    <w:rsid w:val="00A729EB"/>
    <w:rsid w:val="00A72A04"/>
    <w:rsid w:val="00A72B11"/>
    <w:rsid w:val="00A72B76"/>
    <w:rsid w:val="00A72C86"/>
    <w:rsid w:val="00A72CB4"/>
    <w:rsid w:val="00A72D29"/>
    <w:rsid w:val="00A72E26"/>
    <w:rsid w:val="00A72E96"/>
    <w:rsid w:val="00A72EB2"/>
    <w:rsid w:val="00A72EC9"/>
    <w:rsid w:val="00A72EDC"/>
    <w:rsid w:val="00A73050"/>
    <w:rsid w:val="00A73149"/>
    <w:rsid w:val="00A731CA"/>
    <w:rsid w:val="00A731CE"/>
    <w:rsid w:val="00A7324C"/>
    <w:rsid w:val="00A73251"/>
    <w:rsid w:val="00A73315"/>
    <w:rsid w:val="00A733D6"/>
    <w:rsid w:val="00A73420"/>
    <w:rsid w:val="00A73568"/>
    <w:rsid w:val="00A73580"/>
    <w:rsid w:val="00A73628"/>
    <w:rsid w:val="00A7365F"/>
    <w:rsid w:val="00A73668"/>
    <w:rsid w:val="00A736B0"/>
    <w:rsid w:val="00A736DE"/>
    <w:rsid w:val="00A7377A"/>
    <w:rsid w:val="00A737A5"/>
    <w:rsid w:val="00A7381B"/>
    <w:rsid w:val="00A738E5"/>
    <w:rsid w:val="00A739BD"/>
    <w:rsid w:val="00A73ABA"/>
    <w:rsid w:val="00A73B89"/>
    <w:rsid w:val="00A73B99"/>
    <w:rsid w:val="00A73C26"/>
    <w:rsid w:val="00A73CB3"/>
    <w:rsid w:val="00A73D5E"/>
    <w:rsid w:val="00A73DCD"/>
    <w:rsid w:val="00A73E1C"/>
    <w:rsid w:val="00A73ECC"/>
    <w:rsid w:val="00A73F4B"/>
    <w:rsid w:val="00A73FAC"/>
    <w:rsid w:val="00A741C2"/>
    <w:rsid w:val="00A74285"/>
    <w:rsid w:val="00A742DB"/>
    <w:rsid w:val="00A74506"/>
    <w:rsid w:val="00A745BF"/>
    <w:rsid w:val="00A746A9"/>
    <w:rsid w:val="00A74739"/>
    <w:rsid w:val="00A74769"/>
    <w:rsid w:val="00A7478F"/>
    <w:rsid w:val="00A7479C"/>
    <w:rsid w:val="00A7487A"/>
    <w:rsid w:val="00A748A3"/>
    <w:rsid w:val="00A749CD"/>
    <w:rsid w:val="00A74B22"/>
    <w:rsid w:val="00A74CDE"/>
    <w:rsid w:val="00A74D06"/>
    <w:rsid w:val="00A74D19"/>
    <w:rsid w:val="00A74D68"/>
    <w:rsid w:val="00A74DE9"/>
    <w:rsid w:val="00A750AF"/>
    <w:rsid w:val="00A75104"/>
    <w:rsid w:val="00A751F3"/>
    <w:rsid w:val="00A751FA"/>
    <w:rsid w:val="00A75201"/>
    <w:rsid w:val="00A75289"/>
    <w:rsid w:val="00A752A8"/>
    <w:rsid w:val="00A752AE"/>
    <w:rsid w:val="00A75380"/>
    <w:rsid w:val="00A7546B"/>
    <w:rsid w:val="00A75496"/>
    <w:rsid w:val="00A755B6"/>
    <w:rsid w:val="00A75711"/>
    <w:rsid w:val="00A75783"/>
    <w:rsid w:val="00A75846"/>
    <w:rsid w:val="00A7590E"/>
    <w:rsid w:val="00A75959"/>
    <w:rsid w:val="00A759C0"/>
    <w:rsid w:val="00A759D5"/>
    <w:rsid w:val="00A75A95"/>
    <w:rsid w:val="00A75A9E"/>
    <w:rsid w:val="00A75AAA"/>
    <w:rsid w:val="00A75AC4"/>
    <w:rsid w:val="00A75B20"/>
    <w:rsid w:val="00A75B31"/>
    <w:rsid w:val="00A75C06"/>
    <w:rsid w:val="00A75C57"/>
    <w:rsid w:val="00A75C76"/>
    <w:rsid w:val="00A75DC9"/>
    <w:rsid w:val="00A75F67"/>
    <w:rsid w:val="00A760C9"/>
    <w:rsid w:val="00A761E4"/>
    <w:rsid w:val="00A762A6"/>
    <w:rsid w:val="00A7647E"/>
    <w:rsid w:val="00A76521"/>
    <w:rsid w:val="00A765BD"/>
    <w:rsid w:val="00A76690"/>
    <w:rsid w:val="00A76733"/>
    <w:rsid w:val="00A767E0"/>
    <w:rsid w:val="00A76847"/>
    <w:rsid w:val="00A76981"/>
    <w:rsid w:val="00A76A40"/>
    <w:rsid w:val="00A76B0F"/>
    <w:rsid w:val="00A76B49"/>
    <w:rsid w:val="00A76B5C"/>
    <w:rsid w:val="00A76DBB"/>
    <w:rsid w:val="00A76E20"/>
    <w:rsid w:val="00A76E5D"/>
    <w:rsid w:val="00A76F6D"/>
    <w:rsid w:val="00A76F85"/>
    <w:rsid w:val="00A770B9"/>
    <w:rsid w:val="00A7712F"/>
    <w:rsid w:val="00A771B7"/>
    <w:rsid w:val="00A771EB"/>
    <w:rsid w:val="00A772D2"/>
    <w:rsid w:val="00A77379"/>
    <w:rsid w:val="00A7737C"/>
    <w:rsid w:val="00A7738D"/>
    <w:rsid w:val="00A773CC"/>
    <w:rsid w:val="00A77478"/>
    <w:rsid w:val="00A7773E"/>
    <w:rsid w:val="00A77773"/>
    <w:rsid w:val="00A77792"/>
    <w:rsid w:val="00A777C7"/>
    <w:rsid w:val="00A77822"/>
    <w:rsid w:val="00A77872"/>
    <w:rsid w:val="00A778A4"/>
    <w:rsid w:val="00A7793C"/>
    <w:rsid w:val="00A77A63"/>
    <w:rsid w:val="00A77A94"/>
    <w:rsid w:val="00A77B23"/>
    <w:rsid w:val="00A77B6E"/>
    <w:rsid w:val="00A77BB8"/>
    <w:rsid w:val="00A77C24"/>
    <w:rsid w:val="00A77D4C"/>
    <w:rsid w:val="00A77D63"/>
    <w:rsid w:val="00A77DEF"/>
    <w:rsid w:val="00A77EEA"/>
    <w:rsid w:val="00A800F2"/>
    <w:rsid w:val="00A80240"/>
    <w:rsid w:val="00A803FB"/>
    <w:rsid w:val="00A80496"/>
    <w:rsid w:val="00A807B1"/>
    <w:rsid w:val="00A807DF"/>
    <w:rsid w:val="00A808B9"/>
    <w:rsid w:val="00A808D9"/>
    <w:rsid w:val="00A8092D"/>
    <w:rsid w:val="00A80993"/>
    <w:rsid w:val="00A809E1"/>
    <w:rsid w:val="00A80A51"/>
    <w:rsid w:val="00A80AD1"/>
    <w:rsid w:val="00A80B7F"/>
    <w:rsid w:val="00A80B97"/>
    <w:rsid w:val="00A80BD5"/>
    <w:rsid w:val="00A80DE0"/>
    <w:rsid w:val="00A80E61"/>
    <w:rsid w:val="00A80FCE"/>
    <w:rsid w:val="00A81123"/>
    <w:rsid w:val="00A81172"/>
    <w:rsid w:val="00A8118C"/>
    <w:rsid w:val="00A8119F"/>
    <w:rsid w:val="00A8121B"/>
    <w:rsid w:val="00A81389"/>
    <w:rsid w:val="00A813B6"/>
    <w:rsid w:val="00A81557"/>
    <w:rsid w:val="00A81576"/>
    <w:rsid w:val="00A81697"/>
    <w:rsid w:val="00A817E4"/>
    <w:rsid w:val="00A81846"/>
    <w:rsid w:val="00A81A03"/>
    <w:rsid w:val="00A81B25"/>
    <w:rsid w:val="00A81CC3"/>
    <w:rsid w:val="00A81D57"/>
    <w:rsid w:val="00A81DD2"/>
    <w:rsid w:val="00A81E9D"/>
    <w:rsid w:val="00A81F0D"/>
    <w:rsid w:val="00A81FDE"/>
    <w:rsid w:val="00A82097"/>
    <w:rsid w:val="00A8222E"/>
    <w:rsid w:val="00A82249"/>
    <w:rsid w:val="00A82270"/>
    <w:rsid w:val="00A822CF"/>
    <w:rsid w:val="00A82626"/>
    <w:rsid w:val="00A8268D"/>
    <w:rsid w:val="00A826D5"/>
    <w:rsid w:val="00A826D8"/>
    <w:rsid w:val="00A826E2"/>
    <w:rsid w:val="00A827EB"/>
    <w:rsid w:val="00A82876"/>
    <w:rsid w:val="00A82987"/>
    <w:rsid w:val="00A829F2"/>
    <w:rsid w:val="00A82AE3"/>
    <w:rsid w:val="00A82B64"/>
    <w:rsid w:val="00A82BA8"/>
    <w:rsid w:val="00A82CCC"/>
    <w:rsid w:val="00A83127"/>
    <w:rsid w:val="00A83171"/>
    <w:rsid w:val="00A83173"/>
    <w:rsid w:val="00A831B0"/>
    <w:rsid w:val="00A83274"/>
    <w:rsid w:val="00A832B6"/>
    <w:rsid w:val="00A83302"/>
    <w:rsid w:val="00A8330D"/>
    <w:rsid w:val="00A83352"/>
    <w:rsid w:val="00A834D2"/>
    <w:rsid w:val="00A83519"/>
    <w:rsid w:val="00A83529"/>
    <w:rsid w:val="00A836EC"/>
    <w:rsid w:val="00A83716"/>
    <w:rsid w:val="00A83790"/>
    <w:rsid w:val="00A837A8"/>
    <w:rsid w:val="00A837DF"/>
    <w:rsid w:val="00A83854"/>
    <w:rsid w:val="00A83954"/>
    <w:rsid w:val="00A83A41"/>
    <w:rsid w:val="00A83ACD"/>
    <w:rsid w:val="00A83AF7"/>
    <w:rsid w:val="00A83B05"/>
    <w:rsid w:val="00A83C62"/>
    <w:rsid w:val="00A83CA1"/>
    <w:rsid w:val="00A83CC3"/>
    <w:rsid w:val="00A83DB6"/>
    <w:rsid w:val="00A83E00"/>
    <w:rsid w:val="00A83E9C"/>
    <w:rsid w:val="00A84025"/>
    <w:rsid w:val="00A84117"/>
    <w:rsid w:val="00A841B0"/>
    <w:rsid w:val="00A8428B"/>
    <w:rsid w:val="00A84294"/>
    <w:rsid w:val="00A842CB"/>
    <w:rsid w:val="00A843AF"/>
    <w:rsid w:val="00A843B6"/>
    <w:rsid w:val="00A84420"/>
    <w:rsid w:val="00A84436"/>
    <w:rsid w:val="00A84462"/>
    <w:rsid w:val="00A844C8"/>
    <w:rsid w:val="00A846CA"/>
    <w:rsid w:val="00A8471B"/>
    <w:rsid w:val="00A847C1"/>
    <w:rsid w:val="00A84887"/>
    <w:rsid w:val="00A84945"/>
    <w:rsid w:val="00A849BC"/>
    <w:rsid w:val="00A84A25"/>
    <w:rsid w:val="00A84A8B"/>
    <w:rsid w:val="00A84B1D"/>
    <w:rsid w:val="00A84B20"/>
    <w:rsid w:val="00A84BCE"/>
    <w:rsid w:val="00A84CFA"/>
    <w:rsid w:val="00A84D07"/>
    <w:rsid w:val="00A84DAC"/>
    <w:rsid w:val="00A84E5A"/>
    <w:rsid w:val="00A84E8A"/>
    <w:rsid w:val="00A84F36"/>
    <w:rsid w:val="00A84FB2"/>
    <w:rsid w:val="00A8507C"/>
    <w:rsid w:val="00A85080"/>
    <w:rsid w:val="00A85122"/>
    <w:rsid w:val="00A85279"/>
    <w:rsid w:val="00A85332"/>
    <w:rsid w:val="00A85403"/>
    <w:rsid w:val="00A85465"/>
    <w:rsid w:val="00A854DE"/>
    <w:rsid w:val="00A85503"/>
    <w:rsid w:val="00A8553C"/>
    <w:rsid w:val="00A85540"/>
    <w:rsid w:val="00A8557C"/>
    <w:rsid w:val="00A85624"/>
    <w:rsid w:val="00A85724"/>
    <w:rsid w:val="00A857BD"/>
    <w:rsid w:val="00A857C7"/>
    <w:rsid w:val="00A85822"/>
    <w:rsid w:val="00A859DA"/>
    <w:rsid w:val="00A85B83"/>
    <w:rsid w:val="00A85B92"/>
    <w:rsid w:val="00A85C71"/>
    <w:rsid w:val="00A85C89"/>
    <w:rsid w:val="00A85D7B"/>
    <w:rsid w:val="00A85E44"/>
    <w:rsid w:val="00A85EC8"/>
    <w:rsid w:val="00A85FE9"/>
    <w:rsid w:val="00A86002"/>
    <w:rsid w:val="00A860FA"/>
    <w:rsid w:val="00A861BC"/>
    <w:rsid w:val="00A861C8"/>
    <w:rsid w:val="00A863D6"/>
    <w:rsid w:val="00A8644D"/>
    <w:rsid w:val="00A864AC"/>
    <w:rsid w:val="00A864B8"/>
    <w:rsid w:val="00A8650A"/>
    <w:rsid w:val="00A86584"/>
    <w:rsid w:val="00A865FE"/>
    <w:rsid w:val="00A86688"/>
    <w:rsid w:val="00A867F1"/>
    <w:rsid w:val="00A8692A"/>
    <w:rsid w:val="00A8694A"/>
    <w:rsid w:val="00A86BA5"/>
    <w:rsid w:val="00A86C55"/>
    <w:rsid w:val="00A86C72"/>
    <w:rsid w:val="00A86D30"/>
    <w:rsid w:val="00A86F42"/>
    <w:rsid w:val="00A86F48"/>
    <w:rsid w:val="00A870B5"/>
    <w:rsid w:val="00A87111"/>
    <w:rsid w:val="00A871E8"/>
    <w:rsid w:val="00A872C0"/>
    <w:rsid w:val="00A872CA"/>
    <w:rsid w:val="00A872F9"/>
    <w:rsid w:val="00A873C9"/>
    <w:rsid w:val="00A873D0"/>
    <w:rsid w:val="00A873FA"/>
    <w:rsid w:val="00A87426"/>
    <w:rsid w:val="00A874D0"/>
    <w:rsid w:val="00A874DF"/>
    <w:rsid w:val="00A87860"/>
    <w:rsid w:val="00A8787E"/>
    <w:rsid w:val="00A87A6E"/>
    <w:rsid w:val="00A87B5B"/>
    <w:rsid w:val="00A87B84"/>
    <w:rsid w:val="00A87BE3"/>
    <w:rsid w:val="00A87CC4"/>
    <w:rsid w:val="00A87E67"/>
    <w:rsid w:val="00A87E95"/>
    <w:rsid w:val="00A87F1A"/>
    <w:rsid w:val="00A87F67"/>
    <w:rsid w:val="00A87F8B"/>
    <w:rsid w:val="00A87FDC"/>
    <w:rsid w:val="00A9013F"/>
    <w:rsid w:val="00A90212"/>
    <w:rsid w:val="00A9030B"/>
    <w:rsid w:val="00A90380"/>
    <w:rsid w:val="00A904AE"/>
    <w:rsid w:val="00A9059B"/>
    <w:rsid w:val="00A905AC"/>
    <w:rsid w:val="00A906FF"/>
    <w:rsid w:val="00A907A7"/>
    <w:rsid w:val="00A907E0"/>
    <w:rsid w:val="00A908AE"/>
    <w:rsid w:val="00A9091C"/>
    <w:rsid w:val="00A90A0A"/>
    <w:rsid w:val="00A90A4A"/>
    <w:rsid w:val="00A90B20"/>
    <w:rsid w:val="00A90B54"/>
    <w:rsid w:val="00A90BF6"/>
    <w:rsid w:val="00A90C4E"/>
    <w:rsid w:val="00A90D60"/>
    <w:rsid w:val="00A90E17"/>
    <w:rsid w:val="00A90EDF"/>
    <w:rsid w:val="00A90FBF"/>
    <w:rsid w:val="00A910DA"/>
    <w:rsid w:val="00A91138"/>
    <w:rsid w:val="00A91182"/>
    <w:rsid w:val="00A911C0"/>
    <w:rsid w:val="00A9129B"/>
    <w:rsid w:val="00A912C3"/>
    <w:rsid w:val="00A9146B"/>
    <w:rsid w:val="00A914CD"/>
    <w:rsid w:val="00A914F4"/>
    <w:rsid w:val="00A9151B"/>
    <w:rsid w:val="00A91573"/>
    <w:rsid w:val="00A91585"/>
    <w:rsid w:val="00A915B6"/>
    <w:rsid w:val="00A915BE"/>
    <w:rsid w:val="00A916DA"/>
    <w:rsid w:val="00A9171A"/>
    <w:rsid w:val="00A91A0C"/>
    <w:rsid w:val="00A91B47"/>
    <w:rsid w:val="00A91DE7"/>
    <w:rsid w:val="00A91F3E"/>
    <w:rsid w:val="00A91F94"/>
    <w:rsid w:val="00A91FAE"/>
    <w:rsid w:val="00A92074"/>
    <w:rsid w:val="00A9212A"/>
    <w:rsid w:val="00A921D6"/>
    <w:rsid w:val="00A92220"/>
    <w:rsid w:val="00A92257"/>
    <w:rsid w:val="00A9234C"/>
    <w:rsid w:val="00A92502"/>
    <w:rsid w:val="00A92504"/>
    <w:rsid w:val="00A92540"/>
    <w:rsid w:val="00A92580"/>
    <w:rsid w:val="00A926A5"/>
    <w:rsid w:val="00A92799"/>
    <w:rsid w:val="00A92908"/>
    <w:rsid w:val="00A92A35"/>
    <w:rsid w:val="00A92A54"/>
    <w:rsid w:val="00A92AC4"/>
    <w:rsid w:val="00A92BDA"/>
    <w:rsid w:val="00A92C54"/>
    <w:rsid w:val="00A92C77"/>
    <w:rsid w:val="00A92C84"/>
    <w:rsid w:val="00A92CE1"/>
    <w:rsid w:val="00A92D43"/>
    <w:rsid w:val="00A92E91"/>
    <w:rsid w:val="00A92F9A"/>
    <w:rsid w:val="00A92FCE"/>
    <w:rsid w:val="00A9308B"/>
    <w:rsid w:val="00A931C0"/>
    <w:rsid w:val="00A93314"/>
    <w:rsid w:val="00A935D0"/>
    <w:rsid w:val="00A93692"/>
    <w:rsid w:val="00A936AA"/>
    <w:rsid w:val="00A936AF"/>
    <w:rsid w:val="00A936C1"/>
    <w:rsid w:val="00A936F7"/>
    <w:rsid w:val="00A937C7"/>
    <w:rsid w:val="00A93A63"/>
    <w:rsid w:val="00A93BE6"/>
    <w:rsid w:val="00A93C22"/>
    <w:rsid w:val="00A93C9A"/>
    <w:rsid w:val="00A93D43"/>
    <w:rsid w:val="00A94057"/>
    <w:rsid w:val="00A941AD"/>
    <w:rsid w:val="00A94474"/>
    <w:rsid w:val="00A944B9"/>
    <w:rsid w:val="00A944F2"/>
    <w:rsid w:val="00A94620"/>
    <w:rsid w:val="00A9462F"/>
    <w:rsid w:val="00A948AF"/>
    <w:rsid w:val="00A94907"/>
    <w:rsid w:val="00A949D7"/>
    <w:rsid w:val="00A94A1F"/>
    <w:rsid w:val="00A94AB3"/>
    <w:rsid w:val="00A94B62"/>
    <w:rsid w:val="00A94B72"/>
    <w:rsid w:val="00A94B9E"/>
    <w:rsid w:val="00A94D0A"/>
    <w:rsid w:val="00A94D1C"/>
    <w:rsid w:val="00A94DCB"/>
    <w:rsid w:val="00A94E2D"/>
    <w:rsid w:val="00A94EA7"/>
    <w:rsid w:val="00A95089"/>
    <w:rsid w:val="00A95125"/>
    <w:rsid w:val="00A953EA"/>
    <w:rsid w:val="00A954FF"/>
    <w:rsid w:val="00A955B6"/>
    <w:rsid w:val="00A955ED"/>
    <w:rsid w:val="00A956D0"/>
    <w:rsid w:val="00A956FE"/>
    <w:rsid w:val="00A95871"/>
    <w:rsid w:val="00A95886"/>
    <w:rsid w:val="00A958D1"/>
    <w:rsid w:val="00A95A2D"/>
    <w:rsid w:val="00A95A3A"/>
    <w:rsid w:val="00A95A63"/>
    <w:rsid w:val="00A95AE2"/>
    <w:rsid w:val="00A95C06"/>
    <w:rsid w:val="00A95C9B"/>
    <w:rsid w:val="00A95D24"/>
    <w:rsid w:val="00A95E48"/>
    <w:rsid w:val="00A95E49"/>
    <w:rsid w:val="00A95E7C"/>
    <w:rsid w:val="00A95E8C"/>
    <w:rsid w:val="00A95E8E"/>
    <w:rsid w:val="00A95EF4"/>
    <w:rsid w:val="00A95F82"/>
    <w:rsid w:val="00A963E8"/>
    <w:rsid w:val="00A9647D"/>
    <w:rsid w:val="00A964C4"/>
    <w:rsid w:val="00A9650D"/>
    <w:rsid w:val="00A965A0"/>
    <w:rsid w:val="00A965CD"/>
    <w:rsid w:val="00A965D3"/>
    <w:rsid w:val="00A9662D"/>
    <w:rsid w:val="00A9664C"/>
    <w:rsid w:val="00A966A7"/>
    <w:rsid w:val="00A966F4"/>
    <w:rsid w:val="00A96939"/>
    <w:rsid w:val="00A969D2"/>
    <w:rsid w:val="00A96B7B"/>
    <w:rsid w:val="00A96C2B"/>
    <w:rsid w:val="00A96DA3"/>
    <w:rsid w:val="00A96E0E"/>
    <w:rsid w:val="00A96E32"/>
    <w:rsid w:val="00A96E3E"/>
    <w:rsid w:val="00A96EC8"/>
    <w:rsid w:val="00A96F67"/>
    <w:rsid w:val="00A970B0"/>
    <w:rsid w:val="00A97153"/>
    <w:rsid w:val="00A971A7"/>
    <w:rsid w:val="00A971AB"/>
    <w:rsid w:val="00A97234"/>
    <w:rsid w:val="00A973BD"/>
    <w:rsid w:val="00A97439"/>
    <w:rsid w:val="00A9746B"/>
    <w:rsid w:val="00A97520"/>
    <w:rsid w:val="00A97591"/>
    <w:rsid w:val="00A976C8"/>
    <w:rsid w:val="00A97729"/>
    <w:rsid w:val="00A97740"/>
    <w:rsid w:val="00A977BC"/>
    <w:rsid w:val="00A97823"/>
    <w:rsid w:val="00A97863"/>
    <w:rsid w:val="00A97904"/>
    <w:rsid w:val="00A97975"/>
    <w:rsid w:val="00A97A01"/>
    <w:rsid w:val="00A97A7A"/>
    <w:rsid w:val="00A97A7E"/>
    <w:rsid w:val="00A97C59"/>
    <w:rsid w:val="00A97C96"/>
    <w:rsid w:val="00A97D0D"/>
    <w:rsid w:val="00A97D3B"/>
    <w:rsid w:val="00A97D50"/>
    <w:rsid w:val="00A97E02"/>
    <w:rsid w:val="00A97E20"/>
    <w:rsid w:val="00A97E24"/>
    <w:rsid w:val="00A97E57"/>
    <w:rsid w:val="00A97F38"/>
    <w:rsid w:val="00A97F4C"/>
    <w:rsid w:val="00A97F65"/>
    <w:rsid w:val="00A97F7A"/>
    <w:rsid w:val="00A97FA8"/>
    <w:rsid w:val="00AA0131"/>
    <w:rsid w:val="00AA0153"/>
    <w:rsid w:val="00AA0177"/>
    <w:rsid w:val="00AA01A1"/>
    <w:rsid w:val="00AA028E"/>
    <w:rsid w:val="00AA0339"/>
    <w:rsid w:val="00AA0391"/>
    <w:rsid w:val="00AA0481"/>
    <w:rsid w:val="00AA04B0"/>
    <w:rsid w:val="00AA04B9"/>
    <w:rsid w:val="00AA04C8"/>
    <w:rsid w:val="00AA0592"/>
    <w:rsid w:val="00AA05BD"/>
    <w:rsid w:val="00AA0600"/>
    <w:rsid w:val="00AA064D"/>
    <w:rsid w:val="00AA0652"/>
    <w:rsid w:val="00AA06A1"/>
    <w:rsid w:val="00AA07A4"/>
    <w:rsid w:val="00AA08BE"/>
    <w:rsid w:val="00AA0976"/>
    <w:rsid w:val="00AA09DE"/>
    <w:rsid w:val="00AA0A6F"/>
    <w:rsid w:val="00AA0ADA"/>
    <w:rsid w:val="00AA0B3C"/>
    <w:rsid w:val="00AA0C41"/>
    <w:rsid w:val="00AA0C5E"/>
    <w:rsid w:val="00AA0C99"/>
    <w:rsid w:val="00AA0D00"/>
    <w:rsid w:val="00AA0DDE"/>
    <w:rsid w:val="00AA0E3F"/>
    <w:rsid w:val="00AA0E4B"/>
    <w:rsid w:val="00AA0EBE"/>
    <w:rsid w:val="00AA0F0B"/>
    <w:rsid w:val="00AA0F73"/>
    <w:rsid w:val="00AA1019"/>
    <w:rsid w:val="00AA1023"/>
    <w:rsid w:val="00AA106F"/>
    <w:rsid w:val="00AA1156"/>
    <w:rsid w:val="00AA11E3"/>
    <w:rsid w:val="00AA1262"/>
    <w:rsid w:val="00AA137C"/>
    <w:rsid w:val="00AA1489"/>
    <w:rsid w:val="00AA14A2"/>
    <w:rsid w:val="00AA14C5"/>
    <w:rsid w:val="00AA14DC"/>
    <w:rsid w:val="00AA15BD"/>
    <w:rsid w:val="00AA167A"/>
    <w:rsid w:val="00AA16E0"/>
    <w:rsid w:val="00AA1712"/>
    <w:rsid w:val="00AA1788"/>
    <w:rsid w:val="00AA1791"/>
    <w:rsid w:val="00AA195B"/>
    <w:rsid w:val="00AA19FF"/>
    <w:rsid w:val="00AA1A29"/>
    <w:rsid w:val="00AA1A89"/>
    <w:rsid w:val="00AA1AB2"/>
    <w:rsid w:val="00AA1AE4"/>
    <w:rsid w:val="00AA1BD0"/>
    <w:rsid w:val="00AA1C6E"/>
    <w:rsid w:val="00AA1C70"/>
    <w:rsid w:val="00AA1CA6"/>
    <w:rsid w:val="00AA1DF0"/>
    <w:rsid w:val="00AA1E5B"/>
    <w:rsid w:val="00AA1E5E"/>
    <w:rsid w:val="00AA1EC0"/>
    <w:rsid w:val="00AA1F7E"/>
    <w:rsid w:val="00AA221D"/>
    <w:rsid w:val="00AA223C"/>
    <w:rsid w:val="00AA236C"/>
    <w:rsid w:val="00AA2461"/>
    <w:rsid w:val="00AA24F6"/>
    <w:rsid w:val="00AA24F9"/>
    <w:rsid w:val="00AA257A"/>
    <w:rsid w:val="00AA27D0"/>
    <w:rsid w:val="00AA280B"/>
    <w:rsid w:val="00AA288E"/>
    <w:rsid w:val="00AA289B"/>
    <w:rsid w:val="00AA29BC"/>
    <w:rsid w:val="00AA2B4F"/>
    <w:rsid w:val="00AA2BA2"/>
    <w:rsid w:val="00AA2BB9"/>
    <w:rsid w:val="00AA2BD5"/>
    <w:rsid w:val="00AA2C7C"/>
    <w:rsid w:val="00AA2EA1"/>
    <w:rsid w:val="00AA2EFA"/>
    <w:rsid w:val="00AA2F6B"/>
    <w:rsid w:val="00AA30DF"/>
    <w:rsid w:val="00AA31F6"/>
    <w:rsid w:val="00AA3253"/>
    <w:rsid w:val="00AA3266"/>
    <w:rsid w:val="00AA329D"/>
    <w:rsid w:val="00AA32E0"/>
    <w:rsid w:val="00AA32FA"/>
    <w:rsid w:val="00AA3385"/>
    <w:rsid w:val="00AA340C"/>
    <w:rsid w:val="00AA3476"/>
    <w:rsid w:val="00AA34F0"/>
    <w:rsid w:val="00AA3555"/>
    <w:rsid w:val="00AA369B"/>
    <w:rsid w:val="00AA377B"/>
    <w:rsid w:val="00AA377F"/>
    <w:rsid w:val="00AA38A6"/>
    <w:rsid w:val="00AA3995"/>
    <w:rsid w:val="00AA39A4"/>
    <w:rsid w:val="00AA3A5D"/>
    <w:rsid w:val="00AA3A70"/>
    <w:rsid w:val="00AA3AE7"/>
    <w:rsid w:val="00AA3C5F"/>
    <w:rsid w:val="00AA3CED"/>
    <w:rsid w:val="00AA3D1A"/>
    <w:rsid w:val="00AA3D66"/>
    <w:rsid w:val="00AA3D75"/>
    <w:rsid w:val="00AA3E1E"/>
    <w:rsid w:val="00AA3E43"/>
    <w:rsid w:val="00AA3E68"/>
    <w:rsid w:val="00AA3E89"/>
    <w:rsid w:val="00AA3EAC"/>
    <w:rsid w:val="00AA3FD9"/>
    <w:rsid w:val="00AA4039"/>
    <w:rsid w:val="00AA4138"/>
    <w:rsid w:val="00AA41E1"/>
    <w:rsid w:val="00AA424D"/>
    <w:rsid w:val="00AA433A"/>
    <w:rsid w:val="00AA43B5"/>
    <w:rsid w:val="00AA443E"/>
    <w:rsid w:val="00AA446C"/>
    <w:rsid w:val="00AA4523"/>
    <w:rsid w:val="00AA45CB"/>
    <w:rsid w:val="00AA46AB"/>
    <w:rsid w:val="00AA46FF"/>
    <w:rsid w:val="00AA4779"/>
    <w:rsid w:val="00AA4874"/>
    <w:rsid w:val="00AA48D6"/>
    <w:rsid w:val="00AA48E7"/>
    <w:rsid w:val="00AA4900"/>
    <w:rsid w:val="00AA4979"/>
    <w:rsid w:val="00AA4986"/>
    <w:rsid w:val="00AA49B1"/>
    <w:rsid w:val="00AA4A0B"/>
    <w:rsid w:val="00AA4AAF"/>
    <w:rsid w:val="00AA4B97"/>
    <w:rsid w:val="00AA4B9B"/>
    <w:rsid w:val="00AA4CD3"/>
    <w:rsid w:val="00AA4F27"/>
    <w:rsid w:val="00AA4F76"/>
    <w:rsid w:val="00AA4FFD"/>
    <w:rsid w:val="00AA5028"/>
    <w:rsid w:val="00AA50BA"/>
    <w:rsid w:val="00AA510D"/>
    <w:rsid w:val="00AA513C"/>
    <w:rsid w:val="00AA5242"/>
    <w:rsid w:val="00AA52A8"/>
    <w:rsid w:val="00AA52D1"/>
    <w:rsid w:val="00AA53F3"/>
    <w:rsid w:val="00AA544F"/>
    <w:rsid w:val="00AA554A"/>
    <w:rsid w:val="00AA5612"/>
    <w:rsid w:val="00AA563E"/>
    <w:rsid w:val="00AA56AE"/>
    <w:rsid w:val="00AA5817"/>
    <w:rsid w:val="00AA583B"/>
    <w:rsid w:val="00AA58CC"/>
    <w:rsid w:val="00AA59CF"/>
    <w:rsid w:val="00AA5B13"/>
    <w:rsid w:val="00AA5C87"/>
    <w:rsid w:val="00AA5CE9"/>
    <w:rsid w:val="00AA5DC4"/>
    <w:rsid w:val="00AA5DD7"/>
    <w:rsid w:val="00AA5E2F"/>
    <w:rsid w:val="00AA6164"/>
    <w:rsid w:val="00AA61D9"/>
    <w:rsid w:val="00AA61F1"/>
    <w:rsid w:val="00AA63B6"/>
    <w:rsid w:val="00AA63DA"/>
    <w:rsid w:val="00AA6499"/>
    <w:rsid w:val="00AA64AC"/>
    <w:rsid w:val="00AA6535"/>
    <w:rsid w:val="00AA6616"/>
    <w:rsid w:val="00AA6654"/>
    <w:rsid w:val="00AA6677"/>
    <w:rsid w:val="00AA66A5"/>
    <w:rsid w:val="00AA6774"/>
    <w:rsid w:val="00AA67D4"/>
    <w:rsid w:val="00AA687A"/>
    <w:rsid w:val="00AA69CA"/>
    <w:rsid w:val="00AA6A0A"/>
    <w:rsid w:val="00AA6A50"/>
    <w:rsid w:val="00AA6A7D"/>
    <w:rsid w:val="00AA6CF7"/>
    <w:rsid w:val="00AA6D25"/>
    <w:rsid w:val="00AA6DB0"/>
    <w:rsid w:val="00AA6DB3"/>
    <w:rsid w:val="00AA6DBE"/>
    <w:rsid w:val="00AA6F82"/>
    <w:rsid w:val="00AA6FFC"/>
    <w:rsid w:val="00AA701B"/>
    <w:rsid w:val="00AA70D7"/>
    <w:rsid w:val="00AA714A"/>
    <w:rsid w:val="00AA714E"/>
    <w:rsid w:val="00AA7224"/>
    <w:rsid w:val="00AA7226"/>
    <w:rsid w:val="00AA7322"/>
    <w:rsid w:val="00AA734B"/>
    <w:rsid w:val="00AA7481"/>
    <w:rsid w:val="00AA758F"/>
    <w:rsid w:val="00AA75DB"/>
    <w:rsid w:val="00AA7760"/>
    <w:rsid w:val="00AA7834"/>
    <w:rsid w:val="00AA7963"/>
    <w:rsid w:val="00AA7984"/>
    <w:rsid w:val="00AA79DC"/>
    <w:rsid w:val="00AA7A93"/>
    <w:rsid w:val="00AA7AB3"/>
    <w:rsid w:val="00AA7AF7"/>
    <w:rsid w:val="00AA7C22"/>
    <w:rsid w:val="00AA7C91"/>
    <w:rsid w:val="00AA7CB4"/>
    <w:rsid w:val="00AA7CC3"/>
    <w:rsid w:val="00AA7DFD"/>
    <w:rsid w:val="00AA7E81"/>
    <w:rsid w:val="00AA7F04"/>
    <w:rsid w:val="00AA7F29"/>
    <w:rsid w:val="00AA7F96"/>
    <w:rsid w:val="00AB0080"/>
    <w:rsid w:val="00AB016A"/>
    <w:rsid w:val="00AB0178"/>
    <w:rsid w:val="00AB01B8"/>
    <w:rsid w:val="00AB01C6"/>
    <w:rsid w:val="00AB01F7"/>
    <w:rsid w:val="00AB02BC"/>
    <w:rsid w:val="00AB0316"/>
    <w:rsid w:val="00AB0324"/>
    <w:rsid w:val="00AB0339"/>
    <w:rsid w:val="00AB0396"/>
    <w:rsid w:val="00AB0494"/>
    <w:rsid w:val="00AB049A"/>
    <w:rsid w:val="00AB0585"/>
    <w:rsid w:val="00AB05B0"/>
    <w:rsid w:val="00AB0655"/>
    <w:rsid w:val="00AB09D1"/>
    <w:rsid w:val="00AB0A96"/>
    <w:rsid w:val="00AB0A9A"/>
    <w:rsid w:val="00AB0B42"/>
    <w:rsid w:val="00AB0B9E"/>
    <w:rsid w:val="00AB0C24"/>
    <w:rsid w:val="00AB0C30"/>
    <w:rsid w:val="00AB0DFC"/>
    <w:rsid w:val="00AB0EF8"/>
    <w:rsid w:val="00AB0F7F"/>
    <w:rsid w:val="00AB0FEE"/>
    <w:rsid w:val="00AB1056"/>
    <w:rsid w:val="00AB106F"/>
    <w:rsid w:val="00AB10B2"/>
    <w:rsid w:val="00AB11E2"/>
    <w:rsid w:val="00AB127A"/>
    <w:rsid w:val="00AB12CB"/>
    <w:rsid w:val="00AB134B"/>
    <w:rsid w:val="00AB1353"/>
    <w:rsid w:val="00AB135D"/>
    <w:rsid w:val="00AB141C"/>
    <w:rsid w:val="00AB1715"/>
    <w:rsid w:val="00AB1790"/>
    <w:rsid w:val="00AB1867"/>
    <w:rsid w:val="00AB18B5"/>
    <w:rsid w:val="00AB1993"/>
    <w:rsid w:val="00AB1A09"/>
    <w:rsid w:val="00AB1B09"/>
    <w:rsid w:val="00AB1B61"/>
    <w:rsid w:val="00AB1CE2"/>
    <w:rsid w:val="00AB1D31"/>
    <w:rsid w:val="00AB1F88"/>
    <w:rsid w:val="00AB201C"/>
    <w:rsid w:val="00AB21C6"/>
    <w:rsid w:val="00AB21F2"/>
    <w:rsid w:val="00AB224B"/>
    <w:rsid w:val="00AB227C"/>
    <w:rsid w:val="00AB22F6"/>
    <w:rsid w:val="00AB23F5"/>
    <w:rsid w:val="00AB240F"/>
    <w:rsid w:val="00AB2578"/>
    <w:rsid w:val="00AB25AE"/>
    <w:rsid w:val="00AB25E0"/>
    <w:rsid w:val="00AB278C"/>
    <w:rsid w:val="00AB2A8B"/>
    <w:rsid w:val="00AB2B4F"/>
    <w:rsid w:val="00AB2BAA"/>
    <w:rsid w:val="00AB2C53"/>
    <w:rsid w:val="00AB2CA0"/>
    <w:rsid w:val="00AB2DAF"/>
    <w:rsid w:val="00AB2DEB"/>
    <w:rsid w:val="00AB2E46"/>
    <w:rsid w:val="00AB2E55"/>
    <w:rsid w:val="00AB2E61"/>
    <w:rsid w:val="00AB2F6A"/>
    <w:rsid w:val="00AB31BA"/>
    <w:rsid w:val="00AB31FA"/>
    <w:rsid w:val="00AB32C2"/>
    <w:rsid w:val="00AB3395"/>
    <w:rsid w:val="00AB34C3"/>
    <w:rsid w:val="00AB34E1"/>
    <w:rsid w:val="00AB35BE"/>
    <w:rsid w:val="00AB375F"/>
    <w:rsid w:val="00AB38B1"/>
    <w:rsid w:val="00AB3900"/>
    <w:rsid w:val="00AB39D7"/>
    <w:rsid w:val="00AB39DF"/>
    <w:rsid w:val="00AB3A6C"/>
    <w:rsid w:val="00AB3C72"/>
    <w:rsid w:val="00AB3CF7"/>
    <w:rsid w:val="00AB3DBD"/>
    <w:rsid w:val="00AB4381"/>
    <w:rsid w:val="00AB449B"/>
    <w:rsid w:val="00AB44E8"/>
    <w:rsid w:val="00AB45D1"/>
    <w:rsid w:val="00AB4822"/>
    <w:rsid w:val="00AB489E"/>
    <w:rsid w:val="00AB498E"/>
    <w:rsid w:val="00AB4A18"/>
    <w:rsid w:val="00AB4A84"/>
    <w:rsid w:val="00AB4A99"/>
    <w:rsid w:val="00AB4AB6"/>
    <w:rsid w:val="00AB4B3C"/>
    <w:rsid w:val="00AB4C5A"/>
    <w:rsid w:val="00AB4CDC"/>
    <w:rsid w:val="00AB4CFB"/>
    <w:rsid w:val="00AB4D15"/>
    <w:rsid w:val="00AB4D89"/>
    <w:rsid w:val="00AB4D8E"/>
    <w:rsid w:val="00AB4E69"/>
    <w:rsid w:val="00AB4EE3"/>
    <w:rsid w:val="00AB4F0B"/>
    <w:rsid w:val="00AB5098"/>
    <w:rsid w:val="00AB5248"/>
    <w:rsid w:val="00AB5272"/>
    <w:rsid w:val="00AB52F6"/>
    <w:rsid w:val="00AB53B5"/>
    <w:rsid w:val="00AB5402"/>
    <w:rsid w:val="00AB5443"/>
    <w:rsid w:val="00AB54F7"/>
    <w:rsid w:val="00AB5500"/>
    <w:rsid w:val="00AB551E"/>
    <w:rsid w:val="00AB55D6"/>
    <w:rsid w:val="00AB55DF"/>
    <w:rsid w:val="00AB5639"/>
    <w:rsid w:val="00AB570B"/>
    <w:rsid w:val="00AB5899"/>
    <w:rsid w:val="00AB58D2"/>
    <w:rsid w:val="00AB58D6"/>
    <w:rsid w:val="00AB5943"/>
    <w:rsid w:val="00AB59A8"/>
    <w:rsid w:val="00AB5A40"/>
    <w:rsid w:val="00AB5A9B"/>
    <w:rsid w:val="00AB5AA5"/>
    <w:rsid w:val="00AB5D22"/>
    <w:rsid w:val="00AB5D8F"/>
    <w:rsid w:val="00AB5ED9"/>
    <w:rsid w:val="00AB5F18"/>
    <w:rsid w:val="00AB5FFB"/>
    <w:rsid w:val="00AB61BC"/>
    <w:rsid w:val="00AB61D3"/>
    <w:rsid w:val="00AB6201"/>
    <w:rsid w:val="00AB625F"/>
    <w:rsid w:val="00AB6370"/>
    <w:rsid w:val="00AB6397"/>
    <w:rsid w:val="00AB640C"/>
    <w:rsid w:val="00AB6411"/>
    <w:rsid w:val="00AB6587"/>
    <w:rsid w:val="00AB66CB"/>
    <w:rsid w:val="00AB66FE"/>
    <w:rsid w:val="00AB67D9"/>
    <w:rsid w:val="00AB681A"/>
    <w:rsid w:val="00AB6965"/>
    <w:rsid w:val="00AB698A"/>
    <w:rsid w:val="00AB6AD6"/>
    <w:rsid w:val="00AB6AF1"/>
    <w:rsid w:val="00AB6B07"/>
    <w:rsid w:val="00AB6B5D"/>
    <w:rsid w:val="00AB6CC8"/>
    <w:rsid w:val="00AB6CFE"/>
    <w:rsid w:val="00AB6DDB"/>
    <w:rsid w:val="00AB6EB7"/>
    <w:rsid w:val="00AB6F28"/>
    <w:rsid w:val="00AB6F72"/>
    <w:rsid w:val="00AB7196"/>
    <w:rsid w:val="00AB71BC"/>
    <w:rsid w:val="00AB724B"/>
    <w:rsid w:val="00AB72C8"/>
    <w:rsid w:val="00AB735E"/>
    <w:rsid w:val="00AB73DF"/>
    <w:rsid w:val="00AB742D"/>
    <w:rsid w:val="00AB74AB"/>
    <w:rsid w:val="00AB769B"/>
    <w:rsid w:val="00AB7833"/>
    <w:rsid w:val="00AB7941"/>
    <w:rsid w:val="00AB79A6"/>
    <w:rsid w:val="00AB7A06"/>
    <w:rsid w:val="00AB7AA5"/>
    <w:rsid w:val="00AB7B42"/>
    <w:rsid w:val="00AB7B94"/>
    <w:rsid w:val="00AB7C94"/>
    <w:rsid w:val="00AB7DA4"/>
    <w:rsid w:val="00AB7DC4"/>
    <w:rsid w:val="00AB7EAA"/>
    <w:rsid w:val="00AB7F33"/>
    <w:rsid w:val="00AC0186"/>
    <w:rsid w:val="00AC0245"/>
    <w:rsid w:val="00AC02C8"/>
    <w:rsid w:val="00AC03A2"/>
    <w:rsid w:val="00AC04A3"/>
    <w:rsid w:val="00AC06BF"/>
    <w:rsid w:val="00AC0886"/>
    <w:rsid w:val="00AC0896"/>
    <w:rsid w:val="00AC092F"/>
    <w:rsid w:val="00AC0939"/>
    <w:rsid w:val="00AC09AE"/>
    <w:rsid w:val="00AC0A70"/>
    <w:rsid w:val="00AC0AC4"/>
    <w:rsid w:val="00AC0AEE"/>
    <w:rsid w:val="00AC0BFB"/>
    <w:rsid w:val="00AC0C1E"/>
    <w:rsid w:val="00AC0DA5"/>
    <w:rsid w:val="00AC0EE8"/>
    <w:rsid w:val="00AC0F9F"/>
    <w:rsid w:val="00AC101D"/>
    <w:rsid w:val="00AC1041"/>
    <w:rsid w:val="00AC10A8"/>
    <w:rsid w:val="00AC1185"/>
    <w:rsid w:val="00AC11BF"/>
    <w:rsid w:val="00AC1213"/>
    <w:rsid w:val="00AC13FE"/>
    <w:rsid w:val="00AC1465"/>
    <w:rsid w:val="00AC14B0"/>
    <w:rsid w:val="00AC1501"/>
    <w:rsid w:val="00AC15CA"/>
    <w:rsid w:val="00AC166F"/>
    <w:rsid w:val="00AC167A"/>
    <w:rsid w:val="00AC168D"/>
    <w:rsid w:val="00AC16FF"/>
    <w:rsid w:val="00AC17FC"/>
    <w:rsid w:val="00AC1834"/>
    <w:rsid w:val="00AC1900"/>
    <w:rsid w:val="00AC1947"/>
    <w:rsid w:val="00AC199B"/>
    <w:rsid w:val="00AC1BD2"/>
    <w:rsid w:val="00AC1C12"/>
    <w:rsid w:val="00AC1D53"/>
    <w:rsid w:val="00AC1D63"/>
    <w:rsid w:val="00AC1D78"/>
    <w:rsid w:val="00AC1E3E"/>
    <w:rsid w:val="00AC1E3F"/>
    <w:rsid w:val="00AC1E82"/>
    <w:rsid w:val="00AC1F1C"/>
    <w:rsid w:val="00AC2150"/>
    <w:rsid w:val="00AC21A0"/>
    <w:rsid w:val="00AC2299"/>
    <w:rsid w:val="00AC23CE"/>
    <w:rsid w:val="00AC2491"/>
    <w:rsid w:val="00AC25A4"/>
    <w:rsid w:val="00AC2686"/>
    <w:rsid w:val="00AC2815"/>
    <w:rsid w:val="00AC2A7E"/>
    <w:rsid w:val="00AC2BC3"/>
    <w:rsid w:val="00AC2BE4"/>
    <w:rsid w:val="00AC2C3C"/>
    <w:rsid w:val="00AC2CEA"/>
    <w:rsid w:val="00AC2D3D"/>
    <w:rsid w:val="00AC2D49"/>
    <w:rsid w:val="00AC2D6B"/>
    <w:rsid w:val="00AC2D6D"/>
    <w:rsid w:val="00AC2DA2"/>
    <w:rsid w:val="00AC2E0B"/>
    <w:rsid w:val="00AC2F1C"/>
    <w:rsid w:val="00AC2F21"/>
    <w:rsid w:val="00AC2F5C"/>
    <w:rsid w:val="00AC2FF8"/>
    <w:rsid w:val="00AC30DA"/>
    <w:rsid w:val="00AC30F8"/>
    <w:rsid w:val="00AC32B5"/>
    <w:rsid w:val="00AC3311"/>
    <w:rsid w:val="00AC3329"/>
    <w:rsid w:val="00AC3351"/>
    <w:rsid w:val="00AC336C"/>
    <w:rsid w:val="00AC33D6"/>
    <w:rsid w:val="00AC33F8"/>
    <w:rsid w:val="00AC34D6"/>
    <w:rsid w:val="00AC35F3"/>
    <w:rsid w:val="00AC3679"/>
    <w:rsid w:val="00AC3785"/>
    <w:rsid w:val="00AC3821"/>
    <w:rsid w:val="00AC3859"/>
    <w:rsid w:val="00AC388B"/>
    <w:rsid w:val="00AC388F"/>
    <w:rsid w:val="00AC38DF"/>
    <w:rsid w:val="00AC397F"/>
    <w:rsid w:val="00AC39D2"/>
    <w:rsid w:val="00AC39F7"/>
    <w:rsid w:val="00AC3A83"/>
    <w:rsid w:val="00AC3AD9"/>
    <w:rsid w:val="00AC3B03"/>
    <w:rsid w:val="00AC3B09"/>
    <w:rsid w:val="00AC3B73"/>
    <w:rsid w:val="00AC3D68"/>
    <w:rsid w:val="00AC3F81"/>
    <w:rsid w:val="00AC3F92"/>
    <w:rsid w:val="00AC42A7"/>
    <w:rsid w:val="00AC44CC"/>
    <w:rsid w:val="00AC4603"/>
    <w:rsid w:val="00AC46B7"/>
    <w:rsid w:val="00AC4721"/>
    <w:rsid w:val="00AC478A"/>
    <w:rsid w:val="00AC47D8"/>
    <w:rsid w:val="00AC47E9"/>
    <w:rsid w:val="00AC488C"/>
    <w:rsid w:val="00AC4955"/>
    <w:rsid w:val="00AC499A"/>
    <w:rsid w:val="00AC49BA"/>
    <w:rsid w:val="00AC4A00"/>
    <w:rsid w:val="00AC4C18"/>
    <w:rsid w:val="00AC4D06"/>
    <w:rsid w:val="00AC4D14"/>
    <w:rsid w:val="00AC4DB0"/>
    <w:rsid w:val="00AC4DB7"/>
    <w:rsid w:val="00AC4E0D"/>
    <w:rsid w:val="00AC4E54"/>
    <w:rsid w:val="00AC4EA1"/>
    <w:rsid w:val="00AC4F37"/>
    <w:rsid w:val="00AC4FB1"/>
    <w:rsid w:val="00AC5032"/>
    <w:rsid w:val="00AC51E1"/>
    <w:rsid w:val="00AC524A"/>
    <w:rsid w:val="00AC526B"/>
    <w:rsid w:val="00AC52AF"/>
    <w:rsid w:val="00AC532E"/>
    <w:rsid w:val="00AC536A"/>
    <w:rsid w:val="00AC5377"/>
    <w:rsid w:val="00AC53BD"/>
    <w:rsid w:val="00AC53DA"/>
    <w:rsid w:val="00AC55D3"/>
    <w:rsid w:val="00AC5680"/>
    <w:rsid w:val="00AC56A3"/>
    <w:rsid w:val="00AC570C"/>
    <w:rsid w:val="00AC5882"/>
    <w:rsid w:val="00AC588D"/>
    <w:rsid w:val="00AC5912"/>
    <w:rsid w:val="00AC5938"/>
    <w:rsid w:val="00AC5A8C"/>
    <w:rsid w:val="00AC5BCA"/>
    <w:rsid w:val="00AC5CAA"/>
    <w:rsid w:val="00AC5D30"/>
    <w:rsid w:val="00AC5DA0"/>
    <w:rsid w:val="00AC5E20"/>
    <w:rsid w:val="00AC5F50"/>
    <w:rsid w:val="00AC5FC3"/>
    <w:rsid w:val="00AC6011"/>
    <w:rsid w:val="00AC60E9"/>
    <w:rsid w:val="00AC613B"/>
    <w:rsid w:val="00AC61E0"/>
    <w:rsid w:val="00AC61E7"/>
    <w:rsid w:val="00AC6203"/>
    <w:rsid w:val="00AC6303"/>
    <w:rsid w:val="00AC6324"/>
    <w:rsid w:val="00AC6463"/>
    <w:rsid w:val="00AC6835"/>
    <w:rsid w:val="00AC6BE5"/>
    <w:rsid w:val="00AC6C08"/>
    <w:rsid w:val="00AC6C23"/>
    <w:rsid w:val="00AC6CE3"/>
    <w:rsid w:val="00AC6D38"/>
    <w:rsid w:val="00AC6F7D"/>
    <w:rsid w:val="00AC6FCC"/>
    <w:rsid w:val="00AC700E"/>
    <w:rsid w:val="00AC704F"/>
    <w:rsid w:val="00AC710E"/>
    <w:rsid w:val="00AC71C8"/>
    <w:rsid w:val="00AC720A"/>
    <w:rsid w:val="00AC726C"/>
    <w:rsid w:val="00AC74A8"/>
    <w:rsid w:val="00AC7511"/>
    <w:rsid w:val="00AC7559"/>
    <w:rsid w:val="00AC777B"/>
    <w:rsid w:val="00AC782A"/>
    <w:rsid w:val="00AC7964"/>
    <w:rsid w:val="00AC7975"/>
    <w:rsid w:val="00AC7A36"/>
    <w:rsid w:val="00AC7AD7"/>
    <w:rsid w:val="00AC7B56"/>
    <w:rsid w:val="00AC7B95"/>
    <w:rsid w:val="00AC7D9C"/>
    <w:rsid w:val="00ACFC76"/>
    <w:rsid w:val="00AD00F4"/>
    <w:rsid w:val="00AD020C"/>
    <w:rsid w:val="00AD031C"/>
    <w:rsid w:val="00AD0331"/>
    <w:rsid w:val="00AD03AF"/>
    <w:rsid w:val="00AD0418"/>
    <w:rsid w:val="00AD060F"/>
    <w:rsid w:val="00AD083F"/>
    <w:rsid w:val="00AD0859"/>
    <w:rsid w:val="00AD0879"/>
    <w:rsid w:val="00AD08BC"/>
    <w:rsid w:val="00AD08F7"/>
    <w:rsid w:val="00AD0919"/>
    <w:rsid w:val="00AD09FB"/>
    <w:rsid w:val="00AD0C97"/>
    <w:rsid w:val="00AD0CEC"/>
    <w:rsid w:val="00AD0D91"/>
    <w:rsid w:val="00AD0DBD"/>
    <w:rsid w:val="00AD0E7C"/>
    <w:rsid w:val="00AD0E9E"/>
    <w:rsid w:val="00AD0EF4"/>
    <w:rsid w:val="00AD0F2E"/>
    <w:rsid w:val="00AD0FA6"/>
    <w:rsid w:val="00AD1128"/>
    <w:rsid w:val="00AD1162"/>
    <w:rsid w:val="00AD11A6"/>
    <w:rsid w:val="00AD126F"/>
    <w:rsid w:val="00AD1271"/>
    <w:rsid w:val="00AD1334"/>
    <w:rsid w:val="00AD1468"/>
    <w:rsid w:val="00AD1732"/>
    <w:rsid w:val="00AD187F"/>
    <w:rsid w:val="00AD18AD"/>
    <w:rsid w:val="00AD18C6"/>
    <w:rsid w:val="00AD1915"/>
    <w:rsid w:val="00AD19CF"/>
    <w:rsid w:val="00AD1A5B"/>
    <w:rsid w:val="00AD1BD2"/>
    <w:rsid w:val="00AD1C09"/>
    <w:rsid w:val="00AD1CD3"/>
    <w:rsid w:val="00AD1DD4"/>
    <w:rsid w:val="00AD1DEC"/>
    <w:rsid w:val="00AD1E08"/>
    <w:rsid w:val="00AD1E36"/>
    <w:rsid w:val="00AD1F46"/>
    <w:rsid w:val="00AD1F4B"/>
    <w:rsid w:val="00AD1F6C"/>
    <w:rsid w:val="00AD20B8"/>
    <w:rsid w:val="00AD212A"/>
    <w:rsid w:val="00AD223D"/>
    <w:rsid w:val="00AD22A3"/>
    <w:rsid w:val="00AD22DE"/>
    <w:rsid w:val="00AD2307"/>
    <w:rsid w:val="00AD2315"/>
    <w:rsid w:val="00AD2420"/>
    <w:rsid w:val="00AD25B4"/>
    <w:rsid w:val="00AD2657"/>
    <w:rsid w:val="00AD283E"/>
    <w:rsid w:val="00AD2981"/>
    <w:rsid w:val="00AD2AF8"/>
    <w:rsid w:val="00AD2B28"/>
    <w:rsid w:val="00AD2BA3"/>
    <w:rsid w:val="00AD2C72"/>
    <w:rsid w:val="00AD2C81"/>
    <w:rsid w:val="00AD2CF5"/>
    <w:rsid w:val="00AD2D7B"/>
    <w:rsid w:val="00AD2EF2"/>
    <w:rsid w:val="00AD2F23"/>
    <w:rsid w:val="00AD3088"/>
    <w:rsid w:val="00AD30A2"/>
    <w:rsid w:val="00AD31B2"/>
    <w:rsid w:val="00AD3264"/>
    <w:rsid w:val="00AD32C8"/>
    <w:rsid w:val="00AD32E7"/>
    <w:rsid w:val="00AD33B6"/>
    <w:rsid w:val="00AD3440"/>
    <w:rsid w:val="00AD3546"/>
    <w:rsid w:val="00AD3656"/>
    <w:rsid w:val="00AD36E5"/>
    <w:rsid w:val="00AD37AD"/>
    <w:rsid w:val="00AD37F1"/>
    <w:rsid w:val="00AD380B"/>
    <w:rsid w:val="00AD385B"/>
    <w:rsid w:val="00AD3896"/>
    <w:rsid w:val="00AD3DB9"/>
    <w:rsid w:val="00AD3DF2"/>
    <w:rsid w:val="00AD3E4A"/>
    <w:rsid w:val="00AD3FAE"/>
    <w:rsid w:val="00AD402A"/>
    <w:rsid w:val="00AD41DD"/>
    <w:rsid w:val="00AD41E5"/>
    <w:rsid w:val="00AD423A"/>
    <w:rsid w:val="00AD4277"/>
    <w:rsid w:val="00AD4280"/>
    <w:rsid w:val="00AD4476"/>
    <w:rsid w:val="00AD459D"/>
    <w:rsid w:val="00AD45BF"/>
    <w:rsid w:val="00AD45D2"/>
    <w:rsid w:val="00AD4616"/>
    <w:rsid w:val="00AD4669"/>
    <w:rsid w:val="00AD4782"/>
    <w:rsid w:val="00AD47B2"/>
    <w:rsid w:val="00AD48D4"/>
    <w:rsid w:val="00AD497F"/>
    <w:rsid w:val="00AD4A35"/>
    <w:rsid w:val="00AD4AE7"/>
    <w:rsid w:val="00AD4CBA"/>
    <w:rsid w:val="00AD4D76"/>
    <w:rsid w:val="00AD4DAC"/>
    <w:rsid w:val="00AD4E3E"/>
    <w:rsid w:val="00AD4EB8"/>
    <w:rsid w:val="00AD4F8E"/>
    <w:rsid w:val="00AD4FD0"/>
    <w:rsid w:val="00AD5084"/>
    <w:rsid w:val="00AD515F"/>
    <w:rsid w:val="00AD51DD"/>
    <w:rsid w:val="00AD51DF"/>
    <w:rsid w:val="00AD5251"/>
    <w:rsid w:val="00AD526B"/>
    <w:rsid w:val="00AD52FC"/>
    <w:rsid w:val="00AD5396"/>
    <w:rsid w:val="00AD572E"/>
    <w:rsid w:val="00AD578E"/>
    <w:rsid w:val="00AD5880"/>
    <w:rsid w:val="00AD58D3"/>
    <w:rsid w:val="00AD58D6"/>
    <w:rsid w:val="00AD59E2"/>
    <w:rsid w:val="00AD5AB3"/>
    <w:rsid w:val="00AD5ACE"/>
    <w:rsid w:val="00AD5C30"/>
    <w:rsid w:val="00AD5C8E"/>
    <w:rsid w:val="00AD5D54"/>
    <w:rsid w:val="00AD5D70"/>
    <w:rsid w:val="00AD5EB8"/>
    <w:rsid w:val="00AD5F5D"/>
    <w:rsid w:val="00AD5F67"/>
    <w:rsid w:val="00AD5F6D"/>
    <w:rsid w:val="00AD5F8C"/>
    <w:rsid w:val="00AD5FA8"/>
    <w:rsid w:val="00AD6077"/>
    <w:rsid w:val="00AD6105"/>
    <w:rsid w:val="00AD6211"/>
    <w:rsid w:val="00AD6279"/>
    <w:rsid w:val="00AD6422"/>
    <w:rsid w:val="00AD6492"/>
    <w:rsid w:val="00AD6494"/>
    <w:rsid w:val="00AD652E"/>
    <w:rsid w:val="00AD669B"/>
    <w:rsid w:val="00AD68E3"/>
    <w:rsid w:val="00AD6921"/>
    <w:rsid w:val="00AD694A"/>
    <w:rsid w:val="00AD69FF"/>
    <w:rsid w:val="00AD6A12"/>
    <w:rsid w:val="00AD6A60"/>
    <w:rsid w:val="00AD6B8E"/>
    <w:rsid w:val="00AD6CA1"/>
    <w:rsid w:val="00AD6D8D"/>
    <w:rsid w:val="00AD6EBE"/>
    <w:rsid w:val="00AD6F57"/>
    <w:rsid w:val="00AD718F"/>
    <w:rsid w:val="00AD71D9"/>
    <w:rsid w:val="00AD7213"/>
    <w:rsid w:val="00AD7387"/>
    <w:rsid w:val="00AD74D3"/>
    <w:rsid w:val="00AD75F2"/>
    <w:rsid w:val="00AD7648"/>
    <w:rsid w:val="00AD7853"/>
    <w:rsid w:val="00AD791D"/>
    <w:rsid w:val="00AD7B47"/>
    <w:rsid w:val="00AD7CEE"/>
    <w:rsid w:val="00AD7D59"/>
    <w:rsid w:val="00AD7E1A"/>
    <w:rsid w:val="00AD7F4F"/>
    <w:rsid w:val="00AE0240"/>
    <w:rsid w:val="00AE0333"/>
    <w:rsid w:val="00AE0342"/>
    <w:rsid w:val="00AE04E2"/>
    <w:rsid w:val="00AE0517"/>
    <w:rsid w:val="00AE07BB"/>
    <w:rsid w:val="00AE086A"/>
    <w:rsid w:val="00AE088C"/>
    <w:rsid w:val="00AE08D6"/>
    <w:rsid w:val="00AE08FA"/>
    <w:rsid w:val="00AE0976"/>
    <w:rsid w:val="00AE0AAA"/>
    <w:rsid w:val="00AE0B10"/>
    <w:rsid w:val="00AE0DA2"/>
    <w:rsid w:val="00AE0E87"/>
    <w:rsid w:val="00AE0F1C"/>
    <w:rsid w:val="00AE0F5C"/>
    <w:rsid w:val="00AE100C"/>
    <w:rsid w:val="00AE10E4"/>
    <w:rsid w:val="00AE112F"/>
    <w:rsid w:val="00AE1187"/>
    <w:rsid w:val="00AE11D3"/>
    <w:rsid w:val="00AE12E3"/>
    <w:rsid w:val="00AE1304"/>
    <w:rsid w:val="00AE147E"/>
    <w:rsid w:val="00AE1538"/>
    <w:rsid w:val="00AE15B1"/>
    <w:rsid w:val="00AE161B"/>
    <w:rsid w:val="00AE16B0"/>
    <w:rsid w:val="00AE16C2"/>
    <w:rsid w:val="00AE183B"/>
    <w:rsid w:val="00AE195B"/>
    <w:rsid w:val="00AE19D4"/>
    <w:rsid w:val="00AE1AA4"/>
    <w:rsid w:val="00AE1C10"/>
    <w:rsid w:val="00AE1C87"/>
    <w:rsid w:val="00AE1D6C"/>
    <w:rsid w:val="00AE1D6F"/>
    <w:rsid w:val="00AE1EC8"/>
    <w:rsid w:val="00AE1FEC"/>
    <w:rsid w:val="00AE2158"/>
    <w:rsid w:val="00AE219A"/>
    <w:rsid w:val="00AE21FA"/>
    <w:rsid w:val="00AE22A1"/>
    <w:rsid w:val="00AE2334"/>
    <w:rsid w:val="00AE2339"/>
    <w:rsid w:val="00AE2513"/>
    <w:rsid w:val="00AE25E6"/>
    <w:rsid w:val="00AE2636"/>
    <w:rsid w:val="00AE2646"/>
    <w:rsid w:val="00AE273A"/>
    <w:rsid w:val="00AE27BE"/>
    <w:rsid w:val="00AE28AB"/>
    <w:rsid w:val="00AE2922"/>
    <w:rsid w:val="00AE2924"/>
    <w:rsid w:val="00AE295A"/>
    <w:rsid w:val="00AE2965"/>
    <w:rsid w:val="00AE29BD"/>
    <w:rsid w:val="00AE2AFA"/>
    <w:rsid w:val="00AE2B69"/>
    <w:rsid w:val="00AE2B83"/>
    <w:rsid w:val="00AE2C86"/>
    <w:rsid w:val="00AE2D98"/>
    <w:rsid w:val="00AE2D9E"/>
    <w:rsid w:val="00AE2E70"/>
    <w:rsid w:val="00AE2E8C"/>
    <w:rsid w:val="00AE30CA"/>
    <w:rsid w:val="00AE31E5"/>
    <w:rsid w:val="00AE325C"/>
    <w:rsid w:val="00AE32A6"/>
    <w:rsid w:val="00AE32A9"/>
    <w:rsid w:val="00AE3339"/>
    <w:rsid w:val="00AE3368"/>
    <w:rsid w:val="00AE33AC"/>
    <w:rsid w:val="00AE34AD"/>
    <w:rsid w:val="00AE3575"/>
    <w:rsid w:val="00AE35D6"/>
    <w:rsid w:val="00AE36AB"/>
    <w:rsid w:val="00AE3721"/>
    <w:rsid w:val="00AE39A2"/>
    <w:rsid w:val="00AE3A8B"/>
    <w:rsid w:val="00AE3B7F"/>
    <w:rsid w:val="00AE3BB3"/>
    <w:rsid w:val="00AE3C09"/>
    <w:rsid w:val="00AE3C25"/>
    <w:rsid w:val="00AE3CBA"/>
    <w:rsid w:val="00AE3D45"/>
    <w:rsid w:val="00AE3DCC"/>
    <w:rsid w:val="00AE3E0A"/>
    <w:rsid w:val="00AE40F2"/>
    <w:rsid w:val="00AE41FC"/>
    <w:rsid w:val="00AE4380"/>
    <w:rsid w:val="00AE449B"/>
    <w:rsid w:val="00AE44AD"/>
    <w:rsid w:val="00AE4687"/>
    <w:rsid w:val="00AE468E"/>
    <w:rsid w:val="00AE486E"/>
    <w:rsid w:val="00AE489F"/>
    <w:rsid w:val="00AE48FF"/>
    <w:rsid w:val="00AE4905"/>
    <w:rsid w:val="00AE4A6F"/>
    <w:rsid w:val="00AE4C05"/>
    <w:rsid w:val="00AE4C09"/>
    <w:rsid w:val="00AE4C61"/>
    <w:rsid w:val="00AE4D1D"/>
    <w:rsid w:val="00AE4D2E"/>
    <w:rsid w:val="00AE4DB9"/>
    <w:rsid w:val="00AE4E0C"/>
    <w:rsid w:val="00AE4E2D"/>
    <w:rsid w:val="00AE512D"/>
    <w:rsid w:val="00AE523B"/>
    <w:rsid w:val="00AE5423"/>
    <w:rsid w:val="00AE54BD"/>
    <w:rsid w:val="00AE5570"/>
    <w:rsid w:val="00AE55FE"/>
    <w:rsid w:val="00AE563A"/>
    <w:rsid w:val="00AE56D0"/>
    <w:rsid w:val="00AE56E7"/>
    <w:rsid w:val="00AE5729"/>
    <w:rsid w:val="00AE57E0"/>
    <w:rsid w:val="00AE58C3"/>
    <w:rsid w:val="00AE58CC"/>
    <w:rsid w:val="00AE59B2"/>
    <w:rsid w:val="00AE59E9"/>
    <w:rsid w:val="00AE5A1F"/>
    <w:rsid w:val="00AE5A85"/>
    <w:rsid w:val="00AE5A9C"/>
    <w:rsid w:val="00AE5B1D"/>
    <w:rsid w:val="00AE5B77"/>
    <w:rsid w:val="00AE5B92"/>
    <w:rsid w:val="00AE5C42"/>
    <w:rsid w:val="00AE5DFC"/>
    <w:rsid w:val="00AE5E5C"/>
    <w:rsid w:val="00AE5E66"/>
    <w:rsid w:val="00AE5E74"/>
    <w:rsid w:val="00AE5F00"/>
    <w:rsid w:val="00AE5FF1"/>
    <w:rsid w:val="00AE611B"/>
    <w:rsid w:val="00AE6138"/>
    <w:rsid w:val="00AE6212"/>
    <w:rsid w:val="00AE6225"/>
    <w:rsid w:val="00AE62F2"/>
    <w:rsid w:val="00AE62F5"/>
    <w:rsid w:val="00AE6347"/>
    <w:rsid w:val="00AE6546"/>
    <w:rsid w:val="00AE6562"/>
    <w:rsid w:val="00AE65AE"/>
    <w:rsid w:val="00AE65EF"/>
    <w:rsid w:val="00AE6672"/>
    <w:rsid w:val="00AE688E"/>
    <w:rsid w:val="00AE68E2"/>
    <w:rsid w:val="00AE6952"/>
    <w:rsid w:val="00AE695A"/>
    <w:rsid w:val="00AE69CE"/>
    <w:rsid w:val="00AE6A07"/>
    <w:rsid w:val="00AE6A34"/>
    <w:rsid w:val="00AE6A5D"/>
    <w:rsid w:val="00AE6BE2"/>
    <w:rsid w:val="00AE6D08"/>
    <w:rsid w:val="00AE6D63"/>
    <w:rsid w:val="00AE6E0E"/>
    <w:rsid w:val="00AE6E0F"/>
    <w:rsid w:val="00AE6E48"/>
    <w:rsid w:val="00AE6EC6"/>
    <w:rsid w:val="00AE6EC9"/>
    <w:rsid w:val="00AE6F4B"/>
    <w:rsid w:val="00AE6FB5"/>
    <w:rsid w:val="00AE70F2"/>
    <w:rsid w:val="00AE7131"/>
    <w:rsid w:val="00AE7217"/>
    <w:rsid w:val="00AE7276"/>
    <w:rsid w:val="00AE72D5"/>
    <w:rsid w:val="00AE730F"/>
    <w:rsid w:val="00AE7367"/>
    <w:rsid w:val="00AE7395"/>
    <w:rsid w:val="00AE73CA"/>
    <w:rsid w:val="00AE744F"/>
    <w:rsid w:val="00AE7487"/>
    <w:rsid w:val="00AE761B"/>
    <w:rsid w:val="00AE767E"/>
    <w:rsid w:val="00AE7756"/>
    <w:rsid w:val="00AE7801"/>
    <w:rsid w:val="00AE790B"/>
    <w:rsid w:val="00AE794B"/>
    <w:rsid w:val="00AE7969"/>
    <w:rsid w:val="00AE7A02"/>
    <w:rsid w:val="00AE7ADC"/>
    <w:rsid w:val="00AE7CCF"/>
    <w:rsid w:val="00AE7D1E"/>
    <w:rsid w:val="00AE7EB2"/>
    <w:rsid w:val="00AE7F4B"/>
    <w:rsid w:val="00AF0017"/>
    <w:rsid w:val="00AF005E"/>
    <w:rsid w:val="00AF0063"/>
    <w:rsid w:val="00AF007C"/>
    <w:rsid w:val="00AF017E"/>
    <w:rsid w:val="00AF0302"/>
    <w:rsid w:val="00AF0610"/>
    <w:rsid w:val="00AF065E"/>
    <w:rsid w:val="00AF066E"/>
    <w:rsid w:val="00AF0711"/>
    <w:rsid w:val="00AF083B"/>
    <w:rsid w:val="00AF0886"/>
    <w:rsid w:val="00AF0888"/>
    <w:rsid w:val="00AF0956"/>
    <w:rsid w:val="00AF09DF"/>
    <w:rsid w:val="00AF0A92"/>
    <w:rsid w:val="00AF0AA1"/>
    <w:rsid w:val="00AF0B3B"/>
    <w:rsid w:val="00AF0B7F"/>
    <w:rsid w:val="00AF0BB5"/>
    <w:rsid w:val="00AF0BC8"/>
    <w:rsid w:val="00AF0C91"/>
    <w:rsid w:val="00AF0C9E"/>
    <w:rsid w:val="00AF0D9C"/>
    <w:rsid w:val="00AF0E0C"/>
    <w:rsid w:val="00AF0EDA"/>
    <w:rsid w:val="00AF0F37"/>
    <w:rsid w:val="00AF105D"/>
    <w:rsid w:val="00AF10F0"/>
    <w:rsid w:val="00AF1149"/>
    <w:rsid w:val="00AF1168"/>
    <w:rsid w:val="00AF117B"/>
    <w:rsid w:val="00AF11BB"/>
    <w:rsid w:val="00AF1331"/>
    <w:rsid w:val="00AF14D4"/>
    <w:rsid w:val="00AF14FE"/>
    <w:rsid w:val="00AF15BF"/>
    <w:rsid w:val="00AF170C"/>
    <w:rsid w:val="00AF1835"/>
    <w:rsid w:val="00AF1A22"/>
    <w:rsid w:val="00AF1A8B"/>
    <w:rsid w:val="00AF1BF1"/>
    <w:rsid w:val="00AF1CA9"/>
    <w:rsid w:val="00AF1D99"/>
    <w:rsid w:val="00AF1EAD"/>
    <w:rsid w:val="00AF1EEA"/>
    <w:rsid w:val="00AF1FA3"/>
    <w:rsid w:val="00AF206A"/>
    <w:rsid w:val="00AF21E5"/>
    <w:rsid w:val="00AF236F"/>
    <w:rsid w:val="00AF23E9"/>
    <w:rsid w:val="00AF247C"/>
    <w:rsid w:val="00AF24F6"/>
    <w:rsid w:val="00AF2524"/>
    <w:rsid w:val="00AF25B2"/>
    <w:rsid w:val="00AF266A"/>
    <w:rsid w:val="00AF26D1"/>
    <w:rsid w:val="00AF26EC"/>
    <w:rsid w:val="00AF273A"/>
    <w:rsid w:val="00AF273F"/>
    <w:rsid w:val="00AF27E8"/>
    <w:rsid w:val="00AF27EE"/>
    <w:rsid w:val="00AF280B"/>
    <w:rsid w:val="00AF293B"/>
    <w:rsid w:val="00AF297D"/>
    <w:rsid w:val="00AF2996"/>
    <w:rsid w:val="00AF2A12"/>
    <w:rsid w:val="00AF2A21"/>
    <w:rsid w:val="00AF2A5C"/>
    <w:rsid w:val="00AF2AEF"/>
    <w:rsid w:val="00AF2B33"/>
    <w:rsid w:val="00AF2B49"/>
    <w:rsid w:val="00AF2E84"/>
    <w:rsid w:val="00AF2F91"/>
    <w:rsid w:val="00AF3033"/>
    <w:rsid w:val="00AF307B"/>
    <w:rsid w:val="00AF30F0"/>
    <w:rsid w:val="00AF30F9"/>
    <w:rsid w:val="00AF313B"/>
    <w:rsid w:val="00AF3320"/>
    <w:rsid w:val="00AF3352"/>
    <w:rsid w:val="00AF3353"/>
    <w:rsid w:val="00AF3385"/>
    <w:rsid w:val="00AF33D6"/>
    <w:rsid w:val="00AF3412"/>
    <w:rsid w:val="00AF34DF"/>
    <w:rsid w:val="00AF34F2"/>
    <w:rsid w:val="00AF35E8"/>
    <w:rsid w:val="00AF37FE"/>
    <w:rsid w:val="00AF382F"/>
    <w:rsid w:val="00AF3918"/>
    <w:rsid w:val="00AF3AF1"/>
    <w:rsid w:val="00AF3E23"/>
    <w:rsid w:val="00AF3EDA"/>
    <w:rsid w:val="00AF3FEE"/>
    <w:rsid w:val="00AF403F"/>
    <w:rsid w:val="00AF4047"/>
    <w:rsid w:val="00AF4173"/>
    <w:rsid w:val="00AF41AC"/>
    <w:rsid w:val="00AF4224"/>
    <w:rsid w:val="00AF4338"/>
    <w:rsid w:val="00AF4444"/>
    <w:rsid w:val="00AF454E"/>
    <w:rsid w:val="00AF469F"/>
    <w:rsid w:val="00AF471A"/>
    <w:rsid w:val="00AF475D"/>
    <w:rsid w:val="00AF49BF"/>
    <w:rsid w:val="00AF4A80"/>
    <w:rsid w:val="00AF4AFE"/>
    <w:rsid w:val="00AF4B6B"/>
    <w:rsid w:val="00AF4BDC"/>
    <w:rsid w:val="00AF4C8F"/>
    <w:rsid w:val="00AF4EE2"/>
    <w:rsid w:val="00AF4F30"/>
    <w:rsid w:val="00AF507D"/>
    <w:rsid w:val="00AF52D6"/>
    <w:rsid w:val="00AF52F5"/>
    <w:rsid w:val="00AF53C8"/>
    <w:rsid w:val="00AF548B"/>
    <w:rsid w:val="00AF54D5"/>
    <w:rsid w:val="00AF55AB"/>
    <w:rsid w:val="00AF5653"/>
    <w:rsid w:val="00AF56AC"/>
    <w:rsid w:val="00AF56BA"/>
    <w:rsid w:val="00AF5820"/>
    <w:rsid w:val="00AF5840"/>
    <w:rsid w:val="00AF5AD0"/>
    <w:rsid w:val="00AF5B1F"/>
    <w:rsid w:val="00AF5BDB"/>
    <w:rsid w:val="00AF5C16"/>
    <w:rsid w:val="00AF5C45"/>
    <w:rsid w:val="00AF5CEC"/>
    <w:rsid w:val="00AF5DC5"/>
    <w:rsid w:val="00AF5DD7"/>
    <w:rsid w:val="00AF5F17"/>
    <w:rsid w:val="00AF5F3D"/>
    <w:rsid w:val="00AF5FCE"/>
    <w:rsid w:val="00AF5FD0"/>
    <w:rsid w:val="00AF6015"/>
    <w:rsid w:val="00AF6078"/>
    <w:rsid w:val="00AF6229"/>
    <w:rsid w:val="00AF62AA"/>
    <w:rsid w:val="00AF633C"/>
    <w:rsid w:val="00AF63AB"/>
    <w:rsid w:val="00AF63F3"/>
    <w:rsid w:val="00AF6423"/>
    <w:rsid w:val="00AF6498"/>
    <w:rsid w:val="00AF64CB"/>
    <w:rsid w:val="00AF6629"/>
    <w:rsid w:val="00AF687B"/>
    <w:rsid w:val="00AF6967"/>
    <w:rsid w:val="00AF6B17"/>
    <w:rsid w:val="00AF6BDC"/>
    <w:rsid w:val="00AF6E39"/>
    <w:rsid w:val="00AF6E69"/>
    <w:rsid w:val="00AF6EAE"/>
    <w:rsid w:val="00AF6F75"/>
    <w:rsid w:val="00AF7023"/>
    <w:rsid w:val="00AF7040"/>
    <w:rsid w:val="00AF7083"/>
    <w:rsid w:val="00AF708A"/>
    <w:rsid w:val="00AF7092"/>
    <w:rsid w:val="00AF7143"/>
    <w:rsid w:val="00AF71DF"/>
    <w:rsid w:val="00AF7214"/>
    <w:rsid w:val="00AF7269"/>
    <w:rsid w:val="00AF7371"/>
    <w:rsid w:val="00AF7466"/>
    <w:rsid w:val="00AF751F"/>
    <w:rsid w:val="00AF7585"/>
    <w:rsid w:val="00AF763C"/>
    <w:rsid w:val="00AF76FC"/>
    <w:rsid w:val="00AF7701"/>
    <w:rsid w:val="00AF775B"/>
    <w:rsid w:val="00AF7926"/>
    <w:rsid w:val="00AF7939"/>
    <w:rsid w:val="00AF7AB1"/>
    <w:rsid w:val="00AF7B0B"/>
    <w:rsid w:val="00AF7E6D"/>
    <w:rsid w:val="00AF7EB6"/>
    <w:rsid w:val="00AF7F00"/>
    <w:rsid w:val="00AF7F17"/>
    <w:rsid w:val="00AF7FE4"/>
    <w:rsid w:val="00AFB076"/>
    <w:rsid w:val="00B00038"/>
    <w:rsid w:val="00B0006C"/>
    <w:rsid w:val="00B000BE"/>
    <w:rsid w:val="00B0015C"/>
    <w:rsid w:val="00B00239"/>
    <w:rsid w:val="00B00270"/>
    <w:rsid w:val="00B002B5"/>
    <w:rsid w:val="00B003AE"/>
    <w:rsid w:val="00B00428"/>
    <w:rsid w:val="00B00463"/>
    <w:rsid w:val="00B00540"/>
    <w:rsid w:val="00B0058E"/>
    <w:rsid w:val="00B005C1"/>
    <w:rsid w:val="00B0072F"/>
    <w:rsid w:val="00B00856"/>
    <w:rsid w:val="00B0094B"/>
    <w:rsid w:val="00B00978"/>
    <w:rsid w:val="00B00A0A"/>
    <w:rsid w:val="00B00A37"/>
    <w:rsid w:val="00B00CBE"/>
    <w:rsid w:val="00B00CDC"/>
    <w:rsid w:val="00B0114F"/>
    <w:rsid w:val="00B011B2"/>
    <w:rsid w:val="00B011C0"/>
    <w:rsid w:val="00B01205"/>
    <w:rsid w:val="00B0120A"/>
    <w:rsid w:val="00B01433"/>
    <w:rsid w:val="00B014AA"/>
    <w:rsid w:val="00B01581"/>
    <w:rsid w:val="00B01955"/>
    <w:rsid w:val="00B0198A"/>
    <w:rsid w:val="00B019AB"/>
    <w:rsid w:val="00B01A08"/>
    <w:rsid w:val="00B01B85"/>
    <w:rsid w:val="00B01CA9"/>
    <w:rsid w:val="00B01DA1"/>
    <w:rsid w:val="00B01DA2"/>
    <w:rsid w:val="00B01DCE"/>
    <w:rsid w:val="00B01DE9"/>
    <w:rsid w:val="00B01E2C"/>
    <w:rsid w:val="00B01EB6"/>
    <w:rsid w:val="00B020AE"/>
    <w:rsid w:val="00B02159"/>
    <w:rsid w:val="00B02169"/>
    <w:rsid w:val="00B021E9"/>
    <w:rsid w:val="00B02366"/>
    <w:rsid w:val="00B023BE"/>
    <w:rsid w:val="00B023EC"/>
    <w:rsid w:val="00B0243A"/>
    <w:rsid w:val="00B02521"/>
    <w:rsid w:val="00B027FF"/>
    <w:rsid w:val="00B02870"/>
    <w:rsid w:val="00B028C0"/>
    <w:rsid w:val="00B028F1"/>
    <w:rsid w:val="00B02A7D"/>
    <w:rsid w:val="00B02AB3"/>
    <w:rsid w:val="00B02ABA"/>
    <w:rsid w:val="00B02BF4"/>
    <w:rsid w:val="00B02BF7"/>
    <w:rsid w:val="00B02C08"/>
    <w:rsid w:val="00B02CF5"/>
    <w:rsid w:val="00B02D32"/>
    <w:rsid w:val="00B02DD7"/>
    <w:rsid w:val="00B02DE0"/>
    <w:rsid w:val="00B02F1C"/>
    <w:rsid w:val="00B02F9B"/>
    <w:rsid w:val="00B03102"/>
    <w:rsid w:val="00B0318F"/>
    <w:rsid w:val="00B03338"/>
    <w:rsid w:val="00B03397"/>
    <w:rsid w:val="00B03471"/>
    <w:rsid w:val="00B03523"/>
    <w:rsid w:val="00B035E7"/>
    <w:rsid w:val="00B03606"/>
    <w:rsid w:val="00B03611"/>
    <w:rsid w:val="00B037A6"/>
    <w:rsid w:val="00B037F5"/>
    <w:rsid w:val="00B03871"/>
    <w:rsid w:val="00B0387A"/>
    <w:rsid w:val="00B039BE"/>
    <w:rsid w:val="00B03A57"/>
    <w:rsid w:val="00B03C83"/>
    <w:rsid w:val="00B03CE0"/>
    <w:rsid w:val="00B03D9E"/>
    <w:rsid w:val="00B03DF2"/>
    <w:rsid w:val="00B03EC1"/>
    <w:rsid w:val="00B03F94"/>
    <w:rsid w:val="00B04101"/>
    <w:rsid w:val="00B04169"/>
    <w:rsid w:val="00B04194"/>
    <w:rsid w:val="00B041D6"/>
    <w:rsid w:val="00B04210"/>
    <w:rsid w:val="00B042FF"/>
    <w:rsid w:val="00B043DE"/>
    <w:rsid w:val="00B04509"/>
    <w:rsid w:val="00B04557"/>
    <w:rsid w:val="00B0455F"/>
    <w:rsid w:val="00B045BF"/>
    <w:rsid w:val="00B04616"/>
    <w:rsid w:val="00B04632"/>
    <w:rsid w:val="00B0467E"/>
    <w:rsid w:val="00B04685"/>
    <w:rsid w:val="00B04774"/>
    <w:rsid w:val="00B0486B"/>
    <w:rsid w:val="00B048C6"/>
    <w:rsid w:val="00B049D3"/>
    <w:rsid w:val="00B04A93"/>
    <w:rsid w:val="00B04B04"/>
    <w:rsid w:val="00B04B9E"/>
    <w:rsid w:val="00B04E0B"/>
    <w:rsid w:val="00B04ECA"/>
    <w:rsid w:val="00B05070"/>
    <w:rsid w:val="00B05094"/>
    <w:rsid w:val="00B050D1"/>
    <w:rsid w:val="00B05123"/>
    <w:rsid w:val="00B05209"/>
    <w:rsid w:val="00B0525A"/>
    <w:rsid w:val="00B0532A"/>
    <w:rsid w:val="00B05334"/>
    <w:rsid w:val="00B05395"/>
    <w:rsid w:val="00B053D9"/>
    <w:rsid w:val="00B053DF"/>
    <w:rsid w:val="00B0540B"/>
    <w:rsid w:val="00B0552E"/>
    <w:rsid w:val="00B05747"/>
    <w:rsid w:val="00B0589C"/>
    <w:rsid w:val="00B05A91"/>
    <w:rsid w:val="00B05B3E"/>
    <w:rsid w:val="00B05C0C"/>
    <w:rsid w:val="00B05C29"/>
    <w:rsid w:val="00B05C7B"/>
    <w:rsid w:val="00B05D2B"/>
    <w:rsid w:val="00B05D49"/>
    <w:rsid w:val="00B05E36"/>
    <w:rsid w:val="00B05E7B"/>
    <w:rsid w:val="00B05F39"/>
    <w:rsid w:val="00B06047"/>
    <w:rsid w:val="00B060D8"/>
    <w:rsid w:val="00B061CA"/>
    <w:rsid w:val="00B061E1"/>
    <w:rsid w:val="00B06420"/>
    <w:rsid w:val="00B065E7"/>
    <w:rsid w:val="00B067A4"/>
    <w:rsid w:val="00B067FE"/>
    <w:rsid w:val="00B06847"/>
    <w:rsid w:val="00B0694B"/>
    <w:rsid w:val="00B06982"/>
    <w:rsid w:val="00B0699A"/>
    <w:rsid w:val="00B06B20"/>
    <w:rsid w:val="00B06BDB"/>
    <w:rsid w:val="00B06C2A"/>
    <w:rsid w:val="00B06C3D"/>
    <w:rsid w:val="00B06C53"/>
    <w:rsid w:val="00B06C9E"/>
    <w:rsid w:val="00B06D25"/>
    <w:rsid w:val="00B06D48"/>
    <w:rsid w:val="00B06D4F"/>
    <w:rsid w:val="00B06E4F"/>
    <w:rsid w:val="00B06F5C"/>
    <w:rsid w:val="00B06F7C"/>
    <w:rsid w:val="00B0703B"/>
    <w:rsid w:val="00B07131"/>
    <w:rsid w:val="00B0717B"/>
    <w:rsid w:val="00B071E8"/>
    <w:rsid w:val="00B071FF"/>
    <w:rsid w:val="00B072E7"/>
    <w:rsid w:val="00B07308"/>
    <w:rsid w:val="00B073FB"/>
    <w:rsid w:val="00B07430"/>
    <w:rsid w:val="00B07435"/>
    <w:rsid w:val="00B07453"/>
    <w:rsid w:val="00B0746B"/>
    <w:rsid w:val="00B075C4"/>
    <w:rsid w:val="00B075E8"/>
    <w:rsid w:val="00B076AD"/>
    <w:rsid w:val="00B07819"/>
    <w:rsid w:val="00B0781D"/>
    <w:rsid w:val="00B078C0"/>
    <w:rsid w:val="00B0793B"/>
    <w:rsid w:val="00B07A1A"/>
    <w:rsid w:val="00B07A76"/>
    <w:rsid w:val="00B07A9E"/>
    <w:rsid w:val="00B07BF5"/>
    <w:rsid w:val="00B07C64"/>
    <w:rsid w:val="00B07E43"/>
    <w:rsid w:val="00B07EDC"/>
    <w:rsid w:val="00B07EDE"/>
    <w:rsid w:val="00B07EE3"/>
    <w:rsid w:val="00B07FAB"/>
    <w:rsid w:val="00B07FFA"/>
    <w:rsid w:val="00B100AB"/>
    <w:rsid w:val="00B1010F"/>
    <w:rsid w:val="00B1014E"/>
    <w:rsid w:val="00B10159"/>
    <w:rsid w:val="00B10344"/>
    <w:rsid w:val="00B106E8"/>
    <w:rsid w:val="00B1077F"/>
    <w:rsid w:val="00B108EA"/>
    <w:rsid w:val="00B10988"/>
    <w:rsid w:val="00B10AF4"/>
    <w:rsid w:val="00B10B69"/>
    <w:rsid w:val="00B10BF1"/>
    <w:rsid w:val="00B10C62"/>
    <w:rsid w:val="00B10CF5"/>
    <w:rsid w:val="00B10CFD"/>
    <w:rsid w:val="00B10D40"/>
    <w:rsid w:val="00B10D78"/>
    <w:rsid w:val="00B10EAE"/>
    <w:rsid w:val="00B10EB1"/>
    <w:rsid w:val="00B10EB6"/>
    <w:rsid w:val="00B10EC3"/>
    <w:rsid w:val="00B11068"/>
    <w:rsid w:val="00B11129"/>
    <w:rsid w:val="00B11260"/>
    <w:rsid w:val="00B1133D"/>
    <w:rsid w:val="00B113AC"/>
    <w:rsid w:val="00B11439"/>
    <w:rsid w:val="00B11451"/>
    <w:rsid w:val="00B11493"/>
    <w:rsid w:val="00B1153E"/>
    <w:rsid w:val="00B116AE"/>
    <w:rsid w:val="00B1174C"/>
    <w:rsid w:val="00B11851"/>
    <w:rsid w:val="00B118AC"/>
    <w:rsid w:val="00B11949"/>
    <w:rsid w:val="00B11984"/>
    <w:rsid w:val="00B119DB"/>
    <w:rsid w:val="00B119E0"/>
    <w:rsid w:val="00B119FD"/>
    <w:rsid w:val="00B11A00"/>
    <w:rsid w:val="00B11AA1"/>
    <w:rsid w:val="00B11AB9"/>
    <w:rsid w:val="00B11AC8"/>
    <w:rsid w:val="00B11AF2"/>
    <w:rsid w:val="00B11D43"/>
    <w:rsid w:val="00B11DA1"/>
    <w:rsid w:val="00B11E82"/>
    <w:rsid w:val="00B11E94"/>
    <w:rsid w:val="00B11EB6"/>
    <w:rsid w:val="00B11EE4"/>
    <w:rsid w:val="00B11EF4"/>
    <w:rsid w:val="00B12044"/>
    <w:rsid w:val="00B120DA"/>
    <w:rsid w:val="00B121BF"/>
    <w:rsid w:val="00B1233D"/>
    <w:rsid w:val="00B12346"/>
    <w:rsid w:val="00B12548"/>
    <w:rsid w:val="00B12688"/>
    <w:rsid w:val="00B126FB"/>
    <w:rsid w:val="00B12801"/>
    <w:rsid w:val="00B1292F"/>
    <w:rsid w:val="00B12935"/>
    <w:rsid w:val="00B12946"/>
    <w:rsid w:val="00B12995"/>
    <w:rsid w:val="00B12A25"/>
    <w:rsid w:val="00B12A6A"/>
    <w:rsid w:val="00B12CBC"/>
    <w:rsid w:val="00B12D08"/>
    <w:rsid w:val="00B12D9F"/>
    <w:rsid w:val="00B12F7F"/>
    <w:rsid w:val="00B12FB0"/>
    <w:rsid w:val="00B130C5"/>
    <w:rsid w:val="00B13361"/>
    <w:rsid w:val="00B1339E"/>
    <w:rsid w:val="00B133A3"/>
    <w:rsid w:val="00B133B8"/>
    <w:rsid w:val="00B133C4"/>
    <w:rsid w:val="00B133F5"/>
    <w:rsid w:val="00B13401"/>
    <w:rsid w:val="00B135DC"/>
    <w:rsid w:val="00B13677"/>
    <w:rsid w:val="00B136CC"/>
    <w:rsid w:val="00B13700"/>
    <w:rsid w:val="00B137DC"/>
    <w:rsid w:val="00B137E8"/>
    <w:rsid w:val="00B1381F"/>
    <w:rsid w:val="00B13904"/>
    <w:rsid w:val="00B139CC"/>
    <w:rsid w:val="00B13C16"/>
    <w:rsid w:val="00B13ECE"/>
    <w:rsid w:val="00B13ED6"/>
    <w:rsid w:val="00B13FCD"/>
    <w:rsid w:val="00B13FE9"/>
    <w:rsid w:val="00B14045"/>
    <w:rsid w:val="00B1409C"/>
    <w:rsid w:val="00B140E3"/>
    <w:rsid w:val="00B14305"/>
    <w:rsid w:val="00B1441E"/>
    <w:rsid w:val="00B144F7"/>
    <w:rsid w:val="00B14531"/>
    <w:rsid w:val="00B145B5"/>
    <w:rsid w:val="00B14642"/>
    <w:rsid w:val="00B14695"/>
    <w:rsid w:val="00B1476F"/>
    <w:rsid w:val="00B14983"/>
    <w:rsid w:val="00B1498B"/>
    <w:rsid w:val="00B149A8"/>
    <w:rsid w:val="00B149D3"/>
    <w:rsid w:val="00B14B2E"/>
    <w:rsid w:val="00B14C1D"/>
    <w:rsid w:val="00B14C9D"/>
    <w:rsid w:val="00B14D8D"/>
    <w:rsid w:val="00B14E62"/>
    <w:rsid w:val="00B14FFD"/>
    <w:rsid w:val="00B15021"/>
    <w:rsid w:val="00B15037"/>
    <w:rsid w:val="00B15253"/>
    <w:rsid w:val="00B1536F"/>
    <w:rsid w:val="00B153EB"/>
    <w:rsid w:val="00B15401"/>
    <w:rsid w:val="00B15426"/>
    <w:rsid w:val="00B15488"/>
    <w:rsid w:val="00B154B3"/>
    <w:rsid w:val="00B154C9"/>
    <w:rsid w:val="00B1550D"/>
    <w:rsid w:val="00B1551B"/>
    <w:rsid w:val="00B1551C"/>
    <w:rsid w:val="00B155CF"/>
    <w:rsid w:val="00B155F7"/>
    <w:rsid w:val="00B1566F"/>
    <w:rsid w:val="00B157E7"/>
    <w:rsid w:val="00B1590B"/>
    <w:rsid w:val="00B15926"/>
    <w:rsid w:val="00B15ADC"/>
    <w:rsid w:val="00B15CFB"/>
    <w:rsid w:val="00B15D6E"/>
    <w:rsid w:val="00B15EEA"/>
    <w:rsid w:val="00B15EF2"/>
    <w:rsid w:val="00B15F51"/>
    <w:rsid w:val="00B1604E"/>
    <w:rsid w:val="00B1620D"/>
    <w:rsid w:val="00B162C0"/>
    <w:rsid w:val="00B16340"/>
    <w:rsid w:val="00B16595"/>
    <w:rsid w:val="00B165BB"/>
    <w:rsid w:val="00B16733"/>
    <w:rsid w:val="00B16765"/>
    <w:rsid w:val="00B16767"/>
    <w:rsid w:val="00B16829"/>
    <w:rsid w:val="00B16891"/>
    <w:rsid w:val="00B168C9"/>
    <w:rsid w:val="00B16A51"/>
    <w:rsid w:val="00B16B88"/>
    <w:rsid w:val="00B16BA6"/>
    <w:rsid w:val="00B16D30"/>
    <w:rsid w:val="00B16DB1"/>
    <w:rsid w:val="00B16FB8"/>
    <w:rsid w:val="00B17003"/>
    <w:rsid w:val="00B1704E"/>
    <w:rsid w:val="00B1707F"/>
    <w:rsid w:val="00B17129"/>
    <w:rsid w:val="00B17130"/>
    <w:rsid w:val="00B17158"/>
    <w:rsid w:val="00B171AA"/>
    <w:rsid w:val="00B1725C"/>
    <w:rsid w:val="00B17305"/>
    <w:rsid w:val="00B17375"/>
    <w:rsid w:val="00B173F6"/>
    <w:rsid w:val="00B174AD"/>
    <w:rsid w:val="00B174B6"/>
    <w:rsid w:val="00B174F9"/>
    <w:rsid w:val="00B176D2"/>
    <w:rsid w:val="00B1777D"/>
    <w:rsid w:val="00B177CC"/>
    <w:rsid w:val="00B17867"/>
    <w:rsid w:val="00B17B8D"/>
    <w:rsid w:val="00B17B8E"/>
    <w:rsid w:val="00B17C3C"/>
    <w:rsid w:val="00B17CB5"/>
    <w:rsid w:val="00B17DA3"/>
    <w:rsid w:val="00B17E06"/>
    <w:rsid w:val="00B17FE9"/>
    <w:rsid w:val="00B20071"/>
    <w:rsid w:val="00B200A6"/>
    <w:rsid w:val="00B20148"/>
    <w:rsid w:val="00B201D0"/>
    <w:rsid w:val="00B2031F"/>
    <w:rsid w:val="00B203C1"/>
    <w:rsid w:val="00B203E9"/>
    <w:rsid w:val="00B20407"/>
    <w:rsid w:val="00B205FD"/>
    <w:rsid w:val="00B2067C"/>
    <w:rsid w:val="00B2072B"/>
    <w:rsid w:val="00B20740"/>
    <w:rsid w:val="00B20807"/>
    <w:rsid w:val="00B20950"/>
    <w:rsid w:val="00B20CB6"/>
    <w:rsid w:val="00B20D86"/>
    <w:rsid w:val="00B20EC7"/>
    <w:rsid w:val="00B2111C"/>
    <w:rsid w:val="00B2122E"/>
    <w:rsid w:val="00B2125C"/>
    <w:rsid w:val="00B2131D"/>
    <w:rsid w:val="00B21367"/>
    <w:rsid w:val="00B2139E"/>
    <w:rsid w:val="00B21447"/>
    <w:rsid w:val="00B21575"/>
    <w:rsid w:val="00B21743"/>
    <w:rsid w:val="00B21886"/>
    <w:rsid w:val="00B218DE"/>
    <w:rsid w:val="00B218F8"/>
    <w:rsid w:val="00B21AE3"/>
    <w:rsid w:val="00B21B3A"/>
    <w:rsid w:val="00B21B44"/>
    <w:rsid w:val="00B21B78"/>
    <w:rsid w:val="00B21BB1"/>
    <w:rsid w:val="00B21C26"/>
    <w:rsid w:val="00B21C33"/>
    <w:rsid w:val="00B21CE9"/>
    <w:rsid w:val="00B21EEC"/>
    <w:rsid w:val="00B21FAD"/>
    <w:rsid w:val="00B22102"/>
    <w:rsid w:val="00B22115"/>
    <w:rsid w:val="00B2218B"/>
    <w:rsid w:val="00B2224A"/>
    <w:rsid w:val="00B223A2"/>
    <w:rsid w:val="00B223A9"/>
    <w:rsid w:val="00B223D7"/>
    <w:rsid w:val="00B22486"/>
    <w:rsid w:val="00B2256E"/>
    <w:rsid w:val="00B2271E"/>
    <w:rsid w:val="00B22737"/>
    <w:rsid w:val="00B22778"/>
    <w:rsid w:val="00B227C0"/>
    <w:rsid w:val="00B227ED"/>
    <w:rsid w:val="00B22851"/>
    <w:rsid w:val="00B22AAE"/>
    <w:rsid w:val="00B22ADE"/>
    <w:rsid w:val="00B22AF9"/>
    <w:rsid w:val="00B22B5A"/>
    <w:rsid w:val="00B22BF4"/>
    <w:rsid w:val="00B22C31"/>
    <w:rsid w:val="00B22C8A"/>
    <w:rsid w:val="00B22CFD"/>
    <w:rsid w:val="00B22D1C"/>
    <w:rsid w:val="00B22D81"/>
    <w:rsid w:val="00B22DA3"/>
    <w:rsid w:val="00B22E59"/>
    <w:rsid w:val="00B22F29"/>
    <w:rsid w:val="00B23022"/>
    <w:rsid w:val="00B23053"/>
    <w:rsid w:val="00B230ED"/>
    <w:rsid w:val="00B231A5"/>
    <w:rsid w:val="00B231C4"/>
    <w:rsid w:val="00B23241"/>
    <w:rsid w:val="00B232B3"/>
    <w:rsid w:val="00B23457"/>
    <w:rsid w:val="00B234C6"/>
    <w:rsid w:val="00B2351F"/>
    <w:rsid w:val="00B2383C"/>
    <w:rsid w:val="00B2393E"/>
    <w:rsid w:val="00B23966"/>
    <w:rsid w:val="00B23B2F"/>
    <w:rsid w:val="00B23B3B"/>
    <w:rsid w:val="00B23B92"/>
    <w:rsid w:val="00B23C39"/>
    <w:rsid w:val="00B23E2F"/>
    <w:rsid w:val="00B23FA4"/>
    <w:rsid w:val="00B24053"/>
    <w:rsid w:val="00B24092"/>
    <w:rsid w:val="00B2419D"/>
    <w:rsid w:val="00B241A4"/>
    <w:rsid w:val="00B241F3"/>
    <w:rsid w:val="00B2422F"/>
    <w:rsid w:val="00B242C0"/>
    <w:rsid w:val="00B24320"/>
    <w:rsid w:val="00B24341"/>
    <w:rsid w:val="00B24507"/>
    <w:rsid w:val="00B2457A"/>
    <w:rsid w:val="00B245D4"/>
    <w:rsid w:val="00B24696"/>
    <w:rsid w:val="00B246DE"/>
    <w:rsid w:val="00B246E8"/>
    <w:rsid w:val="00B24700"/>
    <w:rsid w:val="00B24789"/>
    <w:rsid w:val="00B2484C"/>
    <w:rsid w:val="00B24912"/>
    <w:rsid w:val="00B24958"/>
    <w:rsid w:val="00B2499C"/>
    <w:rsid w:val="00B249BB"/>
    <w:rsid w:val="00B24A72"/>
    <w:rsid w:val="00B24A98"/>
    <w:rsid w:val="00B24B1C"/>
    <w:rsid w:val="00B24B77"/>
    <w:rsid w:val="00B24C21"/>
    <w:rsid w:val="00B24C2E"/>
    <w:rsid w:val="00B24CA2"/>
    <w:rsid w:val="00B24E3E"/>
    <w:rsid w:val="00B24EC5"/>
    <w:rsid w:val="00B24F21"/>
    <w:rsid w:val="00B24F7A"/>
    <w:rsid w:val="00B24FB3"/>
    <w:rsid w:val="00B25033"/>
    <w:rsid w:val="00B25125"/>
    <w:rsid w:val="00B2512E"/>
    <w:rsid w:val="00B253EA"/>
    <w:rsid w:val="00B25462"/>
    <w:rsid w:val="00B2551D"/>
    <w:rsid w:val="00B2555B"/>
    <w:rsid w:val="00B2576B"/>
    <w:rsid w:val="00B257B3"/>
    <w:rsid w:val="00B258FE"/>
    <w:rsid w:val="00B25A02"/>
    <w:rsid w:val="00B25C77"/>
    <w:rsid w:val="00B25DA0"/>
    <w:rsid w:val="00B25DB5"/>
    <w:rsid w:val="00B25E18"/>
    <w:rsid w:val="00B25E6B"/>
    <w:rsid w:val="00B25E97"/>
    <w:rsid w:val="00B25F38"/>
    <w:rsid w:val="00B26013"/>
    <w:rsid w:val="00B2610A"/>
    <w:rsid w:val="00B26138"/>
    <w:rsid w:val="00B261C8"/>
    <w:rsid w:val="00B26263"/>
    <w:rsid w:val="00B26265"/>
    <w:rsid w:val="00B262E8"/>
    <w:rsid w:val="00B2638B"/>
    <w:rsid w:val="00B2640A"/>
    <w:rsid w:val="00B26426"/>
    <w:rsid w:val="00B2643E"/>
    <w:rsid w:val="00B26496"/>
    <w:rsid w:val="00B265EA"/>
    <w:rsid w:val="00B2665F"/>
    <w:rsid w:val="00B26747"/>
    <w:rsid w:val="00B2678E"/>
    <w:rsid w:val="00B2685F"/>
    <w:rsid w:val="00B2686A"/>
    <w:rsid w:val="00B2686D"/>
    <w:rsid w:val="00B26964"/>
    <w:rsid w:val="00B26A35"/>
    <w:rsid w:val="00B26AA7"/>
    <w:rsid w:val="00B26ACF"/>
    <w:rsid w:val="00B26B74"/>
    <w:rsid w:val="00B26BA6"/>
    <w:rsid w:val="00B26BC3"/>
    <w:rsid w:val="00B26CA1"/>
    <w:rsid w:val="00B26E7A"/>
    <w:rsid w:val="00B26EA8"/>
    <w:rsid w:val="00B26EDA"/>
    <w:rsid w:val="00B26F43"/>
    <w:rsid w:val="00B26F6B"/>
    <w:rsid w:val="00B26FF1"/>
    <w:rsid w:val="00B2704C"/>
    <w:rsid w:val="00B27081"/>
    <w:rsid w:val="00B27096"/>
    <w:rsid w:val="00B270A5"/>
    <w:rsid w:val="00B272AC"/>
    <w:rsid w:val="00B272E2"/>
    <w:rsid w:val="00B273F0"/>
    <w:rsid w:val="00B27525"/>
    <w:rsid w:val="00B27595"/>
    <w:rsid w:val="00B275A0"/>
    <w:rsid w:val="00B27657"/>
    <w:rsid w:val="00B276BA"/>
    <w:rsid w:val="00B27813"/>
    <w:rsid w:val="00B2783D"/>
    <w:rsid w:val="00B279BD"/>
    <w:rsid w:val="00B27A15"/>
    <w:rsid w:val="00B27A5F"/>
    <w:rsid w:val="00B27BF1"/>
    <w:rsid w:val="00B27CE7"/>
    <w:rsid w:val="00B27D17"/>
    <w:rsid w:val="00B27D4F"/>
    <w:rsid w:val="00B27EF8"/>
    <w:rsid w:val="00B30013"/>
    <w:rsid w:val="00B30079"/>
    <w:rsid w:val="00B300C1"/>
    <w:rsid w:val="00B301D0"/>
    <w:rsid w:val="00B301D7"/>
    <w:rsid w:val="00B30279"/>
    <w:rsid w:val="00B302F3"/>
    <w:rsid w:val="00B303F7"/>
    <w:rsid w:val="00B30444"/>
    <w:rsid w:val="00B30480"/>
    <w:rsid w:val="00B304DD"/>
    <w:rsid w:val="00B305AA"/>
    <w:rsid w:val="00B30861"/>
    <w:rsid w:val="00B30897"/>
    <w:rsid w:val="00B308DC"/>
    <w:rsid w:val="00B30905"/>
    <w:rsid w:val="00B309E4"/>
    <w:rsid w:val="00B30A04"/>
    <w:rsid w:val="00B30A41"/>
    <w:rsid w:val="00B30A70"/>
    <w:rsid w:val="00B30A7D"/>
    <w:rsid w:val="00B30AAA"/>
    <w:rsid w:val="00B30B6E"/>
    <w:rsid w:val="00B30BE6"/>
    <w:rsid w:val="00B30C31"/>
    <w:rsid w:val="00B30EBF"/>
    <w:rsid w:val="00B30EEC"/>
    <w:rsid w:val="00B30F78"/>
    <w:rsid w:val="00B31004"/>
    <w:rsid w:val="00B310F0"/>
    <w:rsid w:val="00B3113E"/>
    <w:rsid w:val="00B313BE"/>
    <w:rsid w:val="00B313FB"/>
    <w:rsid w:val="00B31412"/>
    <w:rsid w:val="00B31526"/>
    <w:rsid w:val="00B31683"/>
    <w:rsid w:val="00B316C2"/>
    <w:rsid w:val="00B318DE"/>
    <w:rsid w:val="00B3190C"/>
    <w:rsid w:val="00B31913"/>
    <w:rsid w:val="00B31915"/>
    <w:rsid w:val="00B319CD"/>
    <w:rsid w:val="00B31A7E"/>
    <w:rsid w:val="00B31ACF"/>
    <w:rsid w:val="00B31AEA"/>
    <w:rsid w:val="00B31C59"/>
    <w:rsid w:val="00B31D33"/>
    <w:rsid w:val="00B31D4F"/>
    <w:rsid w:val="00B31EBF"/>
    <w:rsid w:val="00B31F50"/>
    <w:rsid w:val="00B31F6E"/>
    <w:rsid w:val="00B31FAA"/>
    <w:rsid w:val="00B32098"/>
    <w:rsid w:val="00B320A4"/>
    <w:rsid w:val="00B320EB"/>
    <w:rsid w:val="00B32108"/>
    <w:rsid w:val="00B32144"/>
    <w:rsid w:val="00B3214F"/>
    <w:rsid w:val="00B321B2"/>
    <w:rsid w:val="00B32228"/>
    <w:rsid w:val="00B3231C"/>
    <w:rsid w:val="00B32339"/>
    <w:rsid w:val="00B3235E"/>
    <w:rsid w:val="00B32491"/>
    <w:rsid w:val="00B32504"/>
    <w:rsid w:val="00B32676"/>
    <w:rsid w:val="00B326DD"/>
    <w:rsid w:val="00B32754"/>
    <w:rsid w:val="00B32786"/>
    <w:rsid w:val="00B32810"/>
    <w:rsid w:val="00B32812"/>
    <w:rsid w:val="00B3287C"/>
    <w:rsid w:val="00B328CA"/>
    <w:rsid w:val="00B3290A"/>
    <w:rsid w:val="00B32A4A"/>
    <w:rsid w:val="00B32AB9"/>
    <w:rsid w:val="00B32ABB"/>
    <w:rsid w:val="00B32B07"/>
    <w:rsid w:val="00B32BD6"/>
    <w:rsid w:val="00B32E71"/>
    <w:rsid w:val="00B32F09"/>
    <w:rsid w:val="00B32F72"/>
    <w:rsid w:val="00B33176"/>
    <w:rsid w:val="00B33185"/>
    <w:rsid w:val="00B3364D"/>
    <w:rsid w:val="00B3368A"/>
    <w:rsid w:val="00B33725"/>
    <w:rsid w:val="00B337E9"/>
    <w:rsid w:val="00B33828"/>
    <w:rsid w:val="00B33879"/>
    <w:rsid w:val="00B3395A"/>
    <w:rsid w:val="00B33A26"/>
    <w:rsid w:val="00B33A39"/>
    <w:rsid w:val="00B33B08"/>
    <w:rsid w:val="00B33BA9"/>
    <w:rsid w:val="00B33BCA"/>
    <w:rsid w:val="00B33BFA"/>
    <w:rsid w:val="00B33C76"/>
    <w:rsid w:val="00B33CB7"/>
    <w:rsid w:val="00B33DD8"/>
    <w:rsid w:val="00B33E37"/>
    <w:rsid w:val="00B33EAA"/>
    <w:rsid w:val="00B33EBF"/>
    <w:rsid w:val="00B33F56"/>
    <w:rsid w:val="00B33FC7"/>
    <w:rsid w:val="00B33FCB"/>
    <w:rsid w:val="00B34101"/>
    <w:rsid w:val="00B3411E"/>
    <w:rsid w:val="00B341D9"/>
    <w:rsid w:val="00B34200"/>
    <w:rsid w:val="00B34233"/>
    <w:rsid w:val="00B34294"/>
    <w:rsid w:val="00B3434F"/>
    <w:rsid w:val="00B343D3"/>
    <w:rsid w:val="00B343F2"/>
    <w:rsid w:val="00B34410"/>
    <w:rsid w:val="00B344E0"/>
    <w:rsid w:val="00B345B8"/>
    <w:rsid w:val="00B3471E"/>
    <w:rsid w:val="00B347A2"/>
    <w:rsid w:val="00B347B7"/>
    <w:rsid w:val="00B3483D"/>
    <w:rsid w:val="00B348A2"/>
    <w:rsid w:val="00B34A21"/>
    <w:rsid w:val="00B34AFC"/>
    <w:rsid w:val="00B34C98"/>
    <w:rsid w:val="00B34D47"/>
    <w:rsid w:val="00B34D48"/>
    <w:rsid w:val="00B34F4F"/>
    <w:rsid w:val="00B34F7D"/>
    <w:rsid w:val="00B35043"/>
    <w:rsid w:val="00B351E9"/>
    <w:rsid w:val="00B351FE"/>
    <w:rsid w:val="00B3531A"/>
    <w:rsid w:val="00B353A4"/>
    <w:rsid w:val="00B353BE"/>
    <w:rsid w:val="00B3542C"/>
    <w:rsid w:val="00B354B3"/>
    <w:rsid w:val="00B3570E"/>
    <w:rsid w:val="00B35943"/>
    <w:rsid w:val="00B35978"/>
    <w:rsid w:val="00B359F1"/>
    <w:rsid w:val="00B35B2A"/>
    <w:rsid w:val="00B35D0C"/>
    <w:rsid w:val="00B35F76"/>
    <w:rsid w:val="00B35F95"/>
    <w:rsid w:val="00B35F96"/>
    <w:rsid w:val="00B36024"/>
    <w:rsid w:val="00B3607E"/>
    <w:rsid w:val="00B3609D"/>
    <w:rsid w:val="00B36115"/>
    <w:rsid w:val="00B3613C"/>
    <w:rsid w:val="00B36185"/>
    <w:rsid w:val="00B36337"/>
    <w:rsid w:val="00B363DB"/>
    <w:rsid w:val="00B36539"/>
    <w:rsid w:val="00B365CF"/>
    <w:rsid w:val="00B3660B"/>
    <w:rsid w:val="00B3679A"/>
    <w:rsid w:val="00B368C7"/>
    <w:rsid w:val="00B36963"/>
    <w:rsid w:val="00B36A2B"/>
    <w:rsid w:val="00B36BB2"/>
    <w:rsid w:val="00B36CA2"/>
    <w:rsid w:val="00B36D3C"/>
    <w:rsid w:val="00B36DB4"/>
    <w:rsid w:val="00B36E26"/>
    <w:rsid w:val="00B36F85"/>
    <w:rsid w:val="00B36FFB"/>
    <w:rsid w:val="00B37035"/>
    <w:rsid w:val="00B3707B"/>
    <w:rsid w:val="00B37085"/>
    <w:rsid w:val="00B370A6"/>
    <w:rsid w:val="00B3715D"/>
    <w:rsid w:val="00B3719C"/>
    <w:rsid w:val="00B371B2"/>
    <w:rsid w:val="00B371D5"/>
    <w:rsid w:val="00B371E6"/>
    <w:rsid w:val="00B37201"/>
    <w:rsid w:val="00B37217"/>
    <w:rsid w:val="00B372CF"/>
    <w:rsid w:val="00B372F9"/>
    <w:rsid w:val="00B37362"/>
    <w:rsid w:val="00B37449"/>
    <w:rsid w:val="00B37603"/>
    <w:rsid w:val="00B37693"/>
    <w:rsid w:val="00B37735"/>
    <w:rsid w:val="00B37790"/>
    <w:rsid w:val="00B378A2"/>
    <w:rsid w:val="00B3798D"/>
    <w:rsid w:val="00B37A27"/>
    <w:rsid w:val="00B37BCB"/>
    <w:rsid w:val="00B37C91"/>
    <w:rsid w:val="00B37CB2"/>
    <w:rsid w:val="00B37D63"/>
    <w:rsid w:val="00B37E82"/>
    <w:rsid w:val="00B37F1E"/>
    <w:rsid w:val="00B37F38"/>
    <w:rsid w:val="00B37F3B"/>
    <w:rsid w:val="00B37F62"/>
    <w:rsid w:val="00B400A0"/>
    <w:rsid w:val="00B40191"/>
    <w:rsid w:val="00B401BA"/>
    <w:rsid w:val="00B401CA"/>
    <w:rsid w:val="00B401E8"/>
    <w:rsid w:val="00B4028D"/>
    <w:rsid w:val="00B4036C"/>
    <w:rsid w:val="00B4046E"/>
    <w:rsid w:val="00B40530"/>
    <w:rsid w:val="00B40585"/>
    <w:rsid w:val="00B405BD"/>
    <w:rsid w:val="00B40731"/>
    <w:rsid w:val="00B408AC"/>
    <w:rsid w:val="00B409A8"/>
    <w:rsid w:val="00B40A05"/>
    <w:rsid w:val="00B40A3F"/>
    <w:rsid w:val="00B40A65"/>
    <w:rsid w:val="00B40A8D"/>
    <w:rsid w:val="00B40AF3"/>
    <w:rsid w:val="00B40B1F"/>
    <w:rsid w:val="00B40B7A"/>
    <w:rsid w:val="00B40CD7"/>
    <w:rsid w:val="00B40CFE"/>
    <w:rsid w:val="00B40D0B"/>
    <w:rsid w:val="00B40D1E"/>
    <w:rsid w:val="00B4101B"/>
    <w:rsid w:val="00B410CC"/>
    <w:rsid w:val="00B411E8"/>
    <w:rsid w:val="00B411E9"/>
    <w:rsid w:val="00B41305"/>
    <w:rsid w:val="00B413E1"/>
    <w:rsid w:val="00B414B1"/>
    <w:rsid w:val="00B415A8"/>
    <w:rsid w:val="00B415AA"/>
    <w:rsid w:val="00B41644"/>
    <w:rsid w:val="00B41647"/>
    <w:rsid w:val="00B416BE"/>
    <w:rsid w:val="00B416D0"/>
    <w:rsid w:val="00B419D4"/>
    <w:rsid w:val="00B419DE"/>
    <w:rsid w:val="00B41A18"/>
    <w:rsid w:val="00B41B38"/>
    <w:rsid w:val="00B41C0E"/>
    <w:rsid w:val="00B41C59"/>
    <w:rsid w:val="00B41C5A"/>
    <w:rsid w:val="00B41E4B"/>
    <w:rsid w:val="00B41EB7"/>
    <w:rsid w:val="00B41EEC"/>
    <w:rsid w:val="00B41EF5"/>
    <w:rsid w:val="00B41F42"/>
    <w:rsid w:val="00B4209C"/>
    <w:rsid w:val="00B42154"/>
    <w:rsid w:val="00B4223A"/>
    <w:rsid w:val="00B42446"/>
    <w:rsid w:val="00B42591"/>
    <w:rsid w:val="00B42678"/>
    <w:rsid w:val="00B42753"/>
    <w:rsid w:val="00B4277E"/>
    <w:rsid w:val="00B427A5"/>
    <w:rsid w:val="00B427F1"/>
    <w:rsid w:val="00B4282C"/>
    <w:rsid w:val="00B42989"/>
    <w:rsid w:val="00B429CA"/>
    <w:rsid w:val="00B42A3D"/>
    <w:rsid w:val="00B42B0A"/>
    <w:rsid w:val="00B42B52"/>
    <w:rsid w:val="00B42BF8"/>
    <w:rsid w:val="00B42D10"/>
    <w:rsid w:val="00B42DE0"/>
    <w:rsid w:val="00B42E51"/>
    <w:rsid w:val="00B42EFB"/>
    <w:rsid w:val="00B43086"/>
    <w:rsid w:val="00B430EA"/>
    <w:rsid w:val="00B4313A"/>
    <w:rsid w:val="00B43173"/>
    <w:rsid w:val="00B43227"/>
    <w:rsid w:val="00B4328C"/>
    <w:rsid w:val="00B4336F"/>
    <w:rsid w:val="00B433C2"/>
    <w:rsid w:val="00B433D2"/>
    <w:rsid w:val="00B43484"/>
    <w:rsid w:val="00B43674"/>
    <w:rsid w:val="00B43813"/>
    <w:rsid w:val="00B43851"/>
    <w:rsid w:val="00B4385B"/>
    <w:rsid w:val="00B43933"/>
    <w:rsid w:val="00B43967"/>
    <w:rsid w:val="00B439CB"/>
    <w:rsid w:val="00B43A8C"/>
    <w:rsid w:val="00B43B39"/>
    <w:rsid w:val="00B43B62"/>
    <w:rsid w:val="00B43B92"/>
    <w:rsid w:val="00B43C18"/>
    <w:rsid w:val="00B43C80"/>
    <w:rsid w:val="00B43E91"/>
    <w:rsid w:val="00B43ECC"/>
    <w:rsid w:val="00B43F20"/>
    <w:rsid w:val="00B440ED"/>
    <w:rsid w:val="00B44231"/>
    <w:rsid w:val="00B44268"/>
    <w:rsid w:val="00B4430E"/>
    <w:rsid w:val="00B44326"/>
    <w:rsid w:val="00B4435F"/>
    <w:rsid w:val="00B4442B"/>
    <w:rsid w:val="00B444F2"/>
    <w:rsid w:val="00B446DA"/>
    <w:rsid w:val="00B44803"/>
    <w:rsid w:val="00B448F0"/>
    <w:rsid w:val="00B44974"/>
    <w:rsid w:val="00B44998"/>
    <w:rsid w:val="00B449CB"/>
    <w:rsid w:val="00B44AD9"/>
    <w:rsid w:val="00B44AF3"/>
    <w:rsid w:val="00B44B08"/>
    <w:rsid w:val="00B44B29"/>
    <w:rsid w:val="00B44B9D"/>
    <w:rsid w:val="00B44C1C"/>
    <w:rsid w:val="00B44D0B"/>
    <w:rsid w:val="00B44D7F"/>
    <w:rsid w:val="00B44E27"/>
    <w:rsid w:val="00B44F6B"/>
    <w:rsid w:val="00B44F73"/>
    <w:rsid w:val="00B44F94"/>
    <w:rsid w:val="00B44F9B"/>
    <w:rsid w:val="00B4504D"/>
    <w:rsid w:val="00B450A2"/>
    <w:rsid w:val="00B45196"/>
    <w:rsid w:val="00B45226"/>
    <w:rsid w:val="00B452E0"/>
    <w:rsid w:val="00B453D3"/>
    <w:rsid w:val="00B4563D"/>
    <w:rsid w:val="00B45781"/>
    <w:rsid w:val="00B458CC"/>
    <w:rsid w:val="00B45942"/>
    <w:rsid w:val="00B45B53"/>
    <w:rsid w:val="00B45CFC"/>
    <w:rsid w:val="00B45D50"/>
    <w:rsid w:val="00B45D5F"/>
    <w:rsid w:val="00B45E24"/>
    <w:rsid w:val="00B45F09"/>
    <w:rsid w:val="00B45F84"/>
    <w:rsid w:val="00B45F8A"/>
    <w:rsid w:val="00B45FEC"/>
    <w:rsid w:val="00B4608A"/>
    <w:rsid w:val="00B46203"/>
    <w:rsid w:val="00B462FB"/>
    <w:rsid w:val="00B4632D"/>
    <w:rsid w:val="00B4636D"/>
    <w:rsid w:val="00B463F5"/>
    <w:rsid w:val="00B46448"/>
    <w:rsid w:val="00B46483"/>
    <w:rsid w:val="00B465A7"/>
    <w:rsid w:val="00B465FD"/>
    <w:rsid w:val="00B46648"/>
    <w:rsid w:val="00B466F8"/>
    <w:rsid w:val="00B46732"/>
    <w:rsid w:val="00B4676D"/>
    <w:rsid w:val="00B467C0"/>
    <w:rsid w:val="00B467D0"/>
    <w:rsid w:val="00B468AC"/>
    <w:rsid w:val="00B468BE"/>
    <w:rsid w:val="00B46915"/>
    <w:rsid w:val="00B469B4"/>
    <w:rsid w:val="00B46A0E"/>
    <w:rsid w:val="00B46CBB"/>
    <w:rsid w:val="00B46D14"/>
    <w:rsid w:val="00B46D82"/>
    <w:rsid w:val="00B46DDB"/>
    <w:rsid w:val="00B46E2D"/>
    <w:rsid w:val="00B4704D"/>
    <w:rsid w:val="00B4704F"/>
    <w:rsid w:val="00B47130"/>
    <w:rsid w:val="00B47142"/>
    <w:rsid w:val="00B4716A"/>
    <w:rsid w:val="00B47339"/>
    <w:rsid w:val="00B474E0"/>
    <w:rsid w:val="00B47586"/>
    <w:rsid w:val="00B47591"/>
    <w:rsid w:val="00B4759C"/>
    <w:rsid w:val="00B476D9"/>
    <w:rsid w:val="00B477B3"/>
    <w:rsid w:val="00B478B9"/>
    <w:rsid w:val="00B47AF0"/>
    <w:rsid w:val="00B47B6C"/>
    <w:rsid w:val="00B47B71"/>
    <w:rsid w:val="00B47C79"/>
    <w:rsid w:val="00B47CB9"/>
    <w:rsid w:val="00B47DAF"/>
    <w:rsid w:val="00B47FFB"/>
    <w:rsid w:val="00B5001B"/>
    <w:rsid w:val="00B501F4"/>
    <w:rsid w:val="00B50225"/>
    <w:rsid w:val="00B502BD"/>
    <w:rsid w:val="00B502D3"/>
    <w:rsid w:val="00B503E8"/>
    <w:rsid w:val="00B503EA"/>
    <w:rsid w:val="00B50451"/>
    <w:rsid w:val="00B50588"/>
    <w:rsid w:val="00B506F5"/>
    <w:rsid w:val="00B5072D"/>
    <w:rsid w:val="00B5075C"/>
    <w:rsid w:val="00B507AA"/>
    <w:rsid w:val="00B507E5"/>
    <w:rsid w:val="00B50800"/>
    <w:rsid w:val="00B50865"/>
    <w:rsid w:val="00B5087B"/>
    <w:rsid w:val="00B508DC"/>
    <w:rsid w:val="00B5090F"/>
    <w:rsid w:val="00B50961"/>
    <w:rsid w:val="00B50AD5"/>
    <w:rsid w:val="00B50B0D"/>
    <w:rsid w:val="00B50D1A"/>
    <w:rsid w:val="00B50DCB"/>
    <w:rsid w:val="00B50EB0"/>
    <w:rsid w:val="00B50FC2"/>
    <w:rsid w:val="00B51284"/>
    <w:rsid w:val="00B51334"/>
    <w:rsid w:val="00B51377"/>
    <w:rsid w:val="00B5139A"/>
    <w:rsid w:val="00B51681"/>
    <w:rsid w:val="00B51899"/>
    <w:rsid w:val="00B518BF"/>
    <w:rsid w:val="00B51A96"/>
    <w:rsid w:val="00B51D2C"/>
    <w:rsid w:val="00B51DA9"/>
    <w:rsid w:val="00B51ED3"/>
    <w:rsid w:val="00B51F37"/>
    <w:rsid w:val="00B51FC1"/>
    <w:rsid w:val="00B52107"/>
    <w:rsid w:val="00B521BC"/>
    <w:rsid w:val="00B5226A"/>
    <w:rsid w:val="00B5226D"/>
    <w:rsid w:val="00B522DC"/>
    <w:rsid w:val="00B523B6"/>
    <w:rsid w:val="00B523FB"/>
    <w:rsid w:val="00B5254D"/>
    <w:rsid w:val="00B52577"/>
    <w:rsid w:val="00B5258E"/>
    <w:rsid w:val="00B5267F"/>
    <w:rsid w:val="00B5278C"/>
    <w:rsid w:val="00B52872"/>
    <w:rsid w:val="00B528B2"/>
    <w:rsid w:val="00B5291F"/>
    <w:rsid w:val="00B529B9"/>
    <w:rsid w:val="00B52AC6"/>
    <w:rsid w:val="00B52B6B"/>
    <w:rsid w:val="00B52BA9"/>
    <w:rsid w:val="00B52C95"/>
    <w:rsid w:val="00B52C9B"/>
    <w:rsid w:val="00B52CA3"/>
    <w:rsid w:val="00B52CDD"/>
    <w:rsid w:val="00B52D9F"/>
    <w:rsid w:val="00B52FBB"/>
    <w:rsid w:val="00B52FE6"/>
    <w:rsid w:val="00B53307"/>
    <w:rsid w:val="00B5331D"/>
    <w:rsid w:val="00B5335E"/>
    <w:rsid w:val="00B534A0"/>
    <w:rsid w:val="00B53627"/>
    <w:rsid w:val="00B53713"/>
    <w:rsid w:val="00B53728"/>
    <w:rsid w:val="00B5373D"/>
    <w:rsid w:val="00B5382E"/>
    <w:rsid w:val="00B53841"/>
    <w:rsid w:val="00B53903"/>
    <w:rsid w:val="00B53927"/>
    <w:rsid w:val="00B53935"/>
    <w:rsid w:val="00B53A36"/>
    <w:rsid w:val="00B53B15"/>
    <w:rsid w:val="00B53C68"/>
    <w:rsid w:val="00B53D68"/>
    <w:rsid w:val="00B53D6D"/>
    <w:rsid w:val="00B53E71"/>
    <w:rsid w:val="00B53F58"/>
    <w:rsid w:val="00B53FB3"/>
    <w:rsid w:val="00B5405C"/>
    <w:rsid w:val="00B5427A"/>
    <w:rsid w:val="00B54384"/>
    <w:rsid w:val="00B543DB"/>
    <w:rsid w:val="00B544B1"/>
    <w:rsid w:val="00B54505"/>
    <w:rsid w:val="00B54516"/>
    <w:rsid w:val="00B54575"/>
    <w:rsid w:val="00B545AB"/>
    <w:rsid w:val="00B5473C"/>
    <w:rsid w:val="00B547DC"/>
    <w:rsid w:val="00B54889"/>
    <w:rsid w:val="00B5498C"/>
    <w:rsid w:val="00B54A69"/>
    <w:rsid w:val="00B54BD0"/>
    <w:rsid w:val="00B54D34"/>
    <w:rsid w:val="00B54DA4"/>
    <w:rsid w:val="00B54DAE"/>
    <w:rsid w:val="00B54DB6"/>
    <w:rsid w:val="00B54E12"/>
    <w:rsid w:val="00B54F68"/>
    <w:rsid w:val="00B54F8B"/>
    <w:rsid w:val="00B55108"/>
    <w:rsid w:val="00B551F3"/>
    <w:rsid w:val="00B552F8"/>
    <w:rsid w:val="00B553E0"/>
    <w:rsid w:val="00B5540A"/>
    <w:rsid w:val="00B5558E"/>
    <w:rsid w:val="00B555E4"/>
    <w:rsid w:val="00B556BA"/>
    <w:rsid w:val="00B55744"/>
    <w:rsid w:val="00B55880"/>
    <w:rsid w:val="00B55942"/>
    <w:rsid w:val="00B559DB"/>
    <w:rsid w:val="00B55AC1"/>
    <w:rsid w:val="00B55B1F"/>
    <w:rsid w:val="00B55D4C"/>
    <w:rsid w:val="00B55DDC"/>
    <w:rsid w:val="00B55DE7"/>
    <w:rsid w:val="00B55E45"/>
    <w:rsid w:val="00B55EB8"/>
    <w:rsid w:val="00B56035"/>
    <w:rsid w:val="00B56165"/>
    <w:rsid w:val="00B561D4"/>
    <w:rsid w:val="00B561DF"/>
    <w:rsid w:val="00B562CB"/>
    <w:rsid w:val="00B564F4"/>
    <w:rsid w:val="00B56515"/>
    <w:rsid w:val="00B566B6"/>
    <w:rsid w:val="00B56878"/>
    <w:rsid w:val="00B5687F"/>
    <w:rsid w:val="00B568B8"/>
    <w:rsid w:val="00B569A6"/>
    <w:rsid w:val="00B56B06"/>
    <w:rsid w:val="00B56B07"/>
    <w:rsid w:val="00B56B11"/>
    <w:rsid w:val="00B56BC6"/>
    <w:rsid w:val="00B56C07"/>
    <w:rsid w:val="00B56D21"/>
    <w:rsid w:val="00B56E62"/>
    <w:rsid w:val="00B56FC4"/>
    <w:rsid w:val="00B56FDD"/>
    <w:rsid w:val="00B5705A"/>
    <w:rsid w:val="00B570E9"/>
    <w:rsid w:val="00B571BE"/>
    <w:rsid w:val="00B573E8"/>
    <w:rsid w:val="00B5745D"/>
    <w:rsid w:val="00B57498"/>
    <w:rsid w:val="00B57549"/>
    <w:rsid w:val="00B57560"/>
    <w:rsid w:val="00B57604"/>
    <w:rsid w:val="00B576C3"/>
    <w:rsid w:val="00B576F7"/>
    <w:rsid w:val="00B57799"/>
    <w:rsid w:val="00B57923"/>
    <w:rsid w:val="00B57AFB"/>
    <w:rsid w:val="00B57B07"/>
    <w:rsid w:val="00B57B77"/>
    <w:rsid w:val="00B57C5D"/>
    <w:rsid w:val="00B57CCD"/>
    <w:rsid w:val="00B57D54"/>
    <w:rsid w:val="00B57DC1"/>
    <w:rsid w:val="00B57DF3"/>
    <w:rsid w:val="00B57E2E"/>
    <w:rsid w:val="00B57E7F"/>
    <w:rsid w:val="00B5D8A4"/>
    <w:rsid w:val="00B60161"/>
    <w:rsid w:val="00B601BF"/>
    <w:rsid w:val="00B601C9"/>
    <w:rsid w:val="00B60218"/>
    <w:rsid w:val="00B60281"/>
    <w:rsid w:val="00B602CB"/>
    <w:rsid w:val="00B6043A"/>
    <w:rsid w:val="00B6064D"/>
    <w:rsid w:val="00B6065A"/>
    <w:rsid w:val="00B606A3"/>
    <w:rsid w:val="00B606AF"/>
    <w:rsid w:val="00B60743"/>
    <w:rsid w:val="00B60749"/>
    <w:rsid w:val="00B6080A"/>
    <w:rsid w:val="00B6093A"/>
    <w:rsid w:val="00B609F5"/>
    <w:rsid w:val="00B60AC0"/>
    <w:rsid w:val="00B60B00"/>
    <w:rsid w:val="00B60BD9"/>
    <w:rsid w:val="00B60C01"/>
    <w:rsid w:val="00B60DEE"/>
    <w:rsid w:val="00B60EA5"/>
    <w:rsid w:val="00B60F22"/>
    <w:rsid w:val="00B60FD8"/>
    <w:rsid w:val="00B60FEE"/>
    <w:rsid w:val="00B6111C"/>
    <w:rsid w:val="00B612B1"/>
    <w:rsid w:val="00B612B2"/>
    <w:rsid w:val="00B612EA"/>
    <w:rsid w:val="00B61317"/>
    <w:rsid w:val="00B61354"/>
    <w:rsid w:val="00B6139A"/>
    <w:rsid w:val="00B613F3"/>
    <w:rsid w:val="00B61434"/>
    <w:rsid w:val="00B6144F"/>
    <w:rsid w:val="00B6163B"/>
    <w:rsid w:val="00B6192B"/>
    <w:rsid w:val="00B6192E"/>
    <w:rsid w:val="00B6193D"/>
    <w:rsid w:val="00B619B1"/>
    <w:rsid w:val="00B61AB3"/>
    <w:rsid w:val="00B61ADE"/>
    <w:rsid w:val="00B61B4D"/>
    <w:rsid w:val="00B61B85"/>
    <w:rsid w:val="00B61CB6"/>
    <w:rsid w:val="00B61E87"/>
    <w:rsid w:val="00B61E9F"/>
    <w:rsid w:val="00B61EF9"/>
    <w:rsid w:val="00B61F43"/>
    <w:rsid w:val="00B6203A"/>
    <w:rsid w:val="00B62266"/>
    <w:rsid w:val="00B6236A"/>
    <w:rsid w:val="00B62414"/>
    <w:rsid w:val="00B625B9"/>
    <w:rsid w:val="00B625DC"/>
    <w:rsid w:val="00B62624"/>
    <w:rsid w:val="00B626BC"/>
    <w:rsid w:val="00B626D1"/>
    <w:rsid w:val="00B6282E"/>
    <w:rsid w:val="00B628B4"/>
    <w:rsid w:val="00B628C4"/>
    <w:rsid w:val="00B62930"/>
    <w:rsid w:val="00B6295B"/>
    <w:rsid w:val="00B629E8"/>
    <w:rsid w:val="00B62A8A"/>
    <w:rsid w:val="00B62ABB"/>
    <w:rsid w:val="00B62B91"/>
    <w:rsid w:val="00B62C15"/>
    <w:rsid w:val="00B62CEA"/>
    <w:rsid w:val="00B62D97"/>
    <w:rsid w:val="00B62DC1"/>
    <w:rsid w:val="00B62E3E"/>
    <w:rsid w:val="00B62F9E"/>
    <w:rsid w:val="00B62FD9"/>
    <w:rsid w:val="00B630B8"/>
    <w:rsid w:val="00B63176"/>
    <w:rsid w:val="00B631C8"/>
    <w:rsid w:val="00B6329A"/>
    <w:rsid w:val="00B6335B"/>
    <w:rsid w:val="00B6345F"/>
    <w:rsid w:val="00B634E3"/>
    <w:rsid w:val="00B6352F"/>
    <w:rsid w:val="00B63704"/>
    <w:rsid w:val="00B6387A"/>
    <w:rsid w:val="00B63988"/>
    <w:rsid w:val="00B639BD"/>
    <w:rsid w:val="00B63A86"/>
    <w:rsid w:val="00B63B3A"/>
    <w:rsid w:val="00B63BA4"/>
    <w:rsid w:val="00B63DCA"/>
    <w:rsid w:val="00B63E08"/>
    <w:rsid w:val="00B63E86"/>
    <w:rsid w:val="00B63E90"/>
    <w:rsid w:val="00B6402F"/>
    <w:rsid w:val="00B640C0"/>
    <w:rsid w:val="00B643BE"/>
    <w:rsid w:val="00B64411"/>
    <w:rsid w:val="00B6445B"/>
    <w:rsid w:val="00B6445F"/>
    <w:rsid w:val="00B644BA"/>
    <w:rsid w:val="00B64560"/>
    <w:rsid w:val="00B645A5"/>
    <w:rsid w:val="00B64714"/>
    <w:rsid w:val="00B647A8"/>
    <w:rsid w:val="00B64829"/>
    <w:rsid w:val="00B64935"/>
    <w:rsid w:val="00B6499A"/>
    <w:rsid w:val="00B64BAE"/>
    <w:rsid w:val="00B64BC4"/>
    <w:rsid w:val="00B64BFC"/>
    <w:rsid w:val="00B64C1C"/>
    <w:rsid w:val="00B64C3A"/>
    <w:rsid w:val="00B64CD5"/>
    <w:rsid w:val="00B64D61"/>
    <w:rsid w:val="00B64E58"/>
    <w:rsid w:val="00B64F3D"/>
    <w:rsid w:val="00B64FB6"/>
    <w:rsid w:val="00B64FE9"/>
    <w:rsid w:val="00B65126"/>
    <w:rsid w:val="00B652E5"/>
    <w:rsid w:val="00B65371"/>
    <w:rsid w:val="00B653D3"/>
    <w:rsid w:val="00B65536"/>
    <w:rsid w:val="00B65577"/>
    <w:rsid w:val="00B655E7"/>
    <w:rsid w:val="00B6560E"/>
    <w:rsid w:val="00B65774"/>
    <w:rsid w:val="00B657F8"/>
    <w:rsid w:val="00B65883"/>
    <w:rsid w:val="00B65966"/>
    <w:rsid w:val="00B65A47"/>
    <w:rsid w:val="00B65A49"/>
    <w:rsid w:val="00B65A79"/>
    <w:rsid w:val="00B65CC3"/>
    <w:rsid w:val="00B65CEE"/>
    <w:rsid w:val="00B65D6D"/>
    <w:rsid w:val="00B65D72"/>
    <w:rsid w:val="00B65F4D"/>
    <w:rsid w:val="00B65F82"/>
    <w:rsid w:val="00B65FAA"/>
    <w:rsid w:val="00B6608A"/>
    <w:rsid w:val="00B660B6"/>
    <w:rsid w:val="00B660C7"/>
    <w:rsid w:val="00B66161"/>
    <w:rsid w:val="00B66258"/>
    <w:rsid w:val="00B6626F"/>
    <w:rsid w:val="00B66297"/>
    <w:rsid w:val="00B662F2"/>
    <w:rsid w:val="00B6634A"/>
    <w:rsid w:val="00B6637E"/>
    <w:rsid w:val="00B663D1"/>
    <w:rsid w:val="00B664C7"/>
    <w:rsid w:val="00B66669"/>
    <w:rsid w:val="00B666C9"/>
    <w:rsid w:val="00B666EB"/>
    <w:rsid w:val="00B66805"/>
    <w:rsid w:val="00B66937"/>
    <w:rsid w:val="00B6695E"/>
    <w:rsid w:val="00B669D0"/>
    <w:rsid w:val="00B66CD5"/>
    <w:rsid w:val="00B66D2C"/>
    <w:rsid w:val="00B66E74"/>
    <w:rsid w:val="00B66FCC"/>
    <w:rsid w:val="00B6701A"/>
    <w:rsid w:val="00B67177"/>
    <w:rsid w:val="00B6718B"/>
    <w:rsid w:val="00B67311"/>
    <w:rsid w:val="00B67319"/>
    <w:rsid w:val="00B67331"/>
    <w:rsid w:val="00B6746C"/>
    <w:rsid w:val="00B67494"/>
    <w:rsid w:val="00B6758D"/>
    <w:rsid w:val="00B6779D"/>
    <w:rsid w:val="00B67892"/>
    <w:rsid w:val="00B67913"/>
    <w:rsid w:val="00B67939"/>
    <w:rsid w:val="00B679C3"/>
    <w:rsid w:val="00B679E7"/>
    <w:rsid w:val="00B67A05"/>
    <w:rsid w:val="00B67BC2"/>
    <w:rsid w:val="00B67C2A"/>
    <w:rsid w:val="00B67CAB"/>
    <w:rsid w:val="00B67CD4"/>
    <w:rsid w:val="00B67DBE"/>
    <w:rsid w:val="00B67ECD"/>
    <w:rsid w:val="00B67F76"/>
    <w:rsid w:val="00B67FFB"/>
    <w:rsid w:val="00B70002"/>
    <w:rsid w:val="00B703DF"/>
    <w:rsid w:val="00B70414"/>
    <w:rsid w:val="00B70424"/>
    <w:rsid w:val="00B704A8"/>
    <w:rsid w:val="00B7060B"/>
    <w:rsid w:val="00B70669"/>
    <w:rsid w:val="00B70676"/>
    <w:rsid w:val="00B7067F"/>
    <w:rsid w:val="00B706DE"/>
    <w:rsid w:val="00B70719"/>
    <w:rsid w:val="00B70767"/>
    <w:rsid w:val="00B70798"/>
    <w:rsid w:val="00B707BF"/>
    <w:rsid w:val="00B707EE"/>
    <w:rsid w:val="00B709B8"/>
    <w:rsid w:val="00B70A3F"/>
    <w:rsid w:val="00B70B0A"/>
    <w:rsid w:val="00B70BC1"/>
    <w:rsid w:val="00B70D2F"/>
    <w:rsid w:val="00B70D48"/>
    <w:rsid w:val="00B70F37"/>
    <w:rsid w:val="00B710CE"/>
    <w:rsid w:val="00B7117B"/>
    <w:rsid w:val="00B711E0"/>
    <w:rsid w:val="00B71224"/>
    <w:rsid w:val="00B71270"/>
    <w:rsid w:val="00B71302"/>
    <w:rsid w:val="00B71315"/>
    <w:rsid w:val="00B7141C"/>
    <w:rsid w:val="00B714D1"/>
    <w:rsid w:val="00B7157B"/>
    <w:rsid w:val="00B7157E"/>
    <w:rsid w:val="00B715E0"/>
    <w:rsid w:val="00B71628"/>
    <w:rsid w:val="00B71651"/>
    <w:rsid w:val="00B71684"/>
    <w:rsid w:val="00B7169B"/>
    <w:rsid w:val="00B716BF"/>
    <w:rsid w:val="00B716D4"/>
    <w:rsid w:val="00B7175F"/>
    <w:rsid w:val="00B71782"/>
    <w:rsid w:val="00B71871"/>
    <w:rsid w:val="00B718A4"/>
    <w:rsid w:val="00B718AD"/>
    <w:rsid w:val="00B718F7"/>
    <w:rsid w:val="00B71952"/>
    <w:rsid w:val="00B71A07"/>
    <w:rsid w:val="00B71B15"/>
    <w:rsid w:val="00B71DA7"/>
    <w:rsid w:val="00B71E19"/>
    <w:rsid w:val="00B71EDF"/>
    <w:rsid w:val="00B71F81"/>
    <w:rsid w:val="00B72136"/>
    <w:rsid w:val="00B72149"/>
    <w:rsid w:val="00B7215C"/>
    <w:rsid w:val="00B721AB"/>
    <w:rsid w:val="00B72229"/>
    <w:rsid w:val="00B722DF"/>
    <w:rsid w:val="00B722F5"/>
    <w:rsid w:val="00B7230A"/>
    <w:rsid w:val="00B723BD"/>
    <w:rsid w:val="00B723C7"/>
    <w:rsid w:val="00B724BB"/>
    <w:rsid w:val="00B724FC"/>
    <w:rsid w:val="00B725EB"/>
    <w:rsid w:val="00B72667"/>
    <w:rsid w:val="00B72760"/>
    <w:rsid w:val="00B72798"/>
    <w:rsid w:val="00B7293D"/>
    <w:rsid w:val="00B7298C"/>
    <w:rsid w:val="00B729A1"/>
    <w:rsid w:val="00B729E8"/>
    <w:rsid w:val="00B72A6F"/>
    <w:rsid w:val="00B72A7D"/>
    <w:rsid w:val="00B72ADB"/>
    <w:rsid w:val="00B72C63"/>
    <w:rsid w:val="00B72F72"/>
    <w:rsid w:val="00B7328F"/>
    <w:rsid w:val="00B73292"/>
    <w:rsid w:val="00B73424"/>
    <w:rsid w:val="00B734BB"/>
    <w:rsid w:val="00B734D8"/>
    <w:rsid w:val="00B734F4"/>
    <w:rsid w:val="00B735C9"/>
    <w:rsid w:val="00B7381A"/>
    <w:rsid w:val="00B738DA"/>
    <w:rsid w:val="00B7394C"/>
    <w:rsid w:val="00B73A34"/>
    <w:rsid w:val="00B73A78"/>
    <w:rsid w:val="00B73B21"/>
    <w:rsid w:val="00B73B74"/>
    <w:rsid w:val="00B73CA7"/>
    <w:rsid w:val="00B73EC2"/>
    <w:rsid w:val="00B73EF1"/>
    <w:rsid w:val="00B73F08"/>
    <w:rsid w:val="00B73F41"/>
    <w:rsid w:val="00B7409E"/>
    <w:rsid w:val="00B740B9"/>
    <w:rsid w:val="00B740E7"/>
    <w:rsid w:val="00B741B3"/>
    <w:rsid w:val="00B742FC"/>
    <w:rsid w:val="00B7434D"/>
    <w:rsid w:val="00B74387"/>
    <w:rsid w:val="00B74420"/>
    <w:rsid w:val="00B7450D"/>
    <w:rsid w:val="00B74525"/>
    <w:rsid w:val="00B7457F"/>
    <w:rsid w:val="00B7460A"/>
    <w:rsid w:val="00B746C0"/>
    <w:rsid w:val="00B74710"/>
    <w:rsid w:val="00B74770"/>
    <w:rsid w:val="00B749AB"/>
    <w:rsid w:val="00B749E4"/>
    <w:rsid w:val="00B74A15"/>
    <w:rsid w:val="00B74B09"/>
    <w:rsid w:val="00B74B89"/>
    <w:rsid w:val="00B74D1F"/>
    <w:rsid w:val="00B74D2A"/>
    <w:rsid w:val="00B74D34"/>
    <w:rsid w:val="00B74D52"/>
    <w:rsid w:val="00B74DD4"/>
    <w:rsid w:val="00B74EA9"/>
    <w:rsid w:val="00B74EDC"/>
    <w:rsid w:val="00B74F35"/>
    <w:rsid w:val="00B75032"/>
    <w:rsid w:val="00B75149"/>
    <w:rsid w:val="00B752B5"/>
    <w:rsid w:val="00B7532C"/>
    <w:rsid w:val="00B75333"/>
    <w:rsid w:val="00B7533E"/>
    <w:rsid w:val="00B75515"/>
    <w:rsid w:val="00B755E9"/>
    <w:rsid w:val="00B75628"/>
    <w:rsid w:val="00B7595E"/>
    <w:rsid w:val="00B75ABB"/>
    <w:rsid w:val="00B75B47"/>
    <w:rsid w:val="00B75BCE"/>
    <w:rsid w:val="00B75C3E"/>
    <w:rsid w:val="00B75C4B"/>
    <w:rsid w:val="00B75C70"/>
    <w:rsid w:val="00B75CE8"/>
    <w:rsid w:val="00B75D1A"/>
    <w:rsid w:val="00B75D9F"/>
    <w:rsid w:val="00B75E79"/>
    <w:rsid w:val="00B75E9D"/>
    <w:rsid w:val="00B75ED5"/>
    <w:rsid w:val="00B76191"/>
    <w:rsid w:val="00B76369"/>
    <w:rsid w:val="00B763D2"/>
    <w:rsid w:val="00B76574"/>
    <w:rsid w:val="00B7668E"/>
    <w:rsid w:val="00B7695F"/>
    <w:rsid w:val="00B769CC"/>
    <w:rsid w:val="00B769F3"/>
    <w:rsid w:val="00B76AC5"/>
    <w:rsid w:val="00B76B0A"/>
    <w:rsid w:val="00B76B2B"/>
    <w:rsid w:val="00B76BAA"/>
    <w:rsid w:val="00B76BC4"/>
    <w:rsid w:val="00B76BEA"/>
    <w:rsid w:val="00B76C2E"/>
    <w:rsid w:val="00B76C76"/>
    <w:rsid w:val="00B76ECD"/>
    <w:rsid w:val="00B76F5F"/>
    <w:rsid w:val="00B77018"/>
    <w:rsid w:val="00B77155"/>
    <w:rsid w:val="00B7724F"/>
    <w:rsid w:val="00B772ED"/>
    <w:rsid w:val="00B77313"/>
    <w:rsid w:val="00B77401"/>
    <w:rsid w:val="00B774A0"/>
    <w:rsid w:val="00B775B4"/>
    <w:rsid w:val="00B77644"/>
    <w:rsid w:val="00B776BC"/>
    <w:rsid w:val="00B776E7"/>
    <w:rsid w:val="00B7777E"/>
    <w:rsid w:val="00B7783E"/>
    <w:rsid w:val="00B7785D"/>
    <w:rsid w:val="00B779C6"/>
    <w:rsid w:val="00B77B80"/>
    <w:rsid w:val="00B77C04"/>
    <w:rsid w:val="00B77C4A"/>
    <w:rsid w:val="00B77CA0"/>
    <w:rsid w:val="00B77CC7"/>
    <w:rsid w:val="00B77D40"/>
    <w:rsid w:val="00B77D4B"/>
    <w:rsid w:val="00B77DEF"/>
    <w:rsid w:val="00B77E9E"/>
    <w:rsid w:val="00B77F89"/>
    <w:rsid w:val="00B800AA"/>
    <w:rsid w:val="00B801E9"/>
    <w:rsid w:val="00B8021F"/>
    <w:rsid w:val="00B80230"/>
    <w:rsid w:val="00B80256"/>
    <w:rsid w:val="00B8030B"/>
    <w:rsid w:val="00B8045B"/>
    <w:rsid w:val="00B80472"/>
    <w:rsid w:val="00B804AE"/>
    <w:rsid w:val="00B80540"/>
    <w:rsid w:val="00B80552"/>
    <w:rsid w:val="00B805FB"/>
    <w:rsid w:val="00B80701"/>
    <w:rsid w:val="00B80709"/>
    <w:rsid w:val="00B808B6"/>
    <w:rsid w:val="00B80913"/>
    <w:rsid w:val="00B809FF"/>
    <w:rsid w:val="00B80A01"/>
    <w:rsid w:val="00B80B3B"/>
    <w:rsid w:val="00B80BDD"/>
    <w:rsid w:val="00B80BEE"/>
    <w:rsid w:val="00B80CD5"/>
    <w:rsid w:val="00B80CDE"/>
    <w:rsid w:val="00B80D1B"/>
    <w:rsid w:val="00B80D4D"/>
    <w:rsid w:val="00B81083"/>
    <w:rsid w:val="00B8117E"/>
    <w:rsid w:val="00B8118A"/>
    <w:rsid w:val="00B812DB"/>
    <w:rsid w:val="00B8133B"/>
    <w:rsid w:val="00B81373"/>
    <w:rsid w:val="00B813E5"/>
    <w:rsid w:val="00B813F8"/>
    <w:rsid w:val="00B81455"/>
    <w:rsid w:val="00B815CB"/>
    <w:rsid w:val="00B81603"/>
    <w:rsid w:val="00B8160F"/>
    <w:rsid w:val="00B81610"/>
    <w:rsid w:val="00B81652"/>
    <w:rsid w:val="00B816D2"/>
    <w:rsid w:val="00B8172A"/>
    <w:rsid w:val="00B81747"/>
    <w:rsid w:val="00B818D3"/>
    <w:rsid w:val="00B81927"/>
    <w:rsid w:val="00B819F7"/>
    <w:rsid w:val="00B81AFF"/>
    <w:rsid w:val="00B81B7E"/>
    <w:rsid w:val="00B81CAA"/>
    <w:rsid w:val="00B81CD9"/>
    <w:rsid w:val="00B81DF2"/>
    <w:rsid w:val="00B81E9F"/>
    <w:rsid w:val="00B81F2A"/>
    <w:rsid w:val="00B81FAF"/>
    <w:rsid w:val="00B81FD2"/>
    <w:rsid w:val="00B82011"/>
    <w:rsid w:val="00B82059"/>
    <w:rsid w:val="00B82061"/>
    <w:rsid w:val="00B820CD"/>
    <w:rsid w:val="00B82124"/>
    <w:rsid w:val="00B8213C"/>
    <w:rsid w:val="00B82256"/>
    <w:rsid w:val="00B823D8"/>
    <w:rsid w:val="00B82501"/>
    <w:rsid w:val="00B825BA"/>
    <w:rsid w:val="00B8262F"/>
    <w:rsid w:val="00B82738"/>
    <w:rsid w:val="00B82759"/>
    <w:rsid w:val="00B827DC"/>
    <w:rsid w:val="00B8283B"/>
    <w:rsid w:val="00B8288D"/>
    <w:rsid w:val="00B82957"/>
    <w:rsid w:val="00B82C1F"/>
    <w:rsid w:val="00B82CF1"/>
    <w:rsid w:val="00B82D8C"/>
    <w:rsid w:val="00B82DA1"/>
    <w:rsid w:val="00B82E6C"/>
    <w:rsid w:val="00B82E70"/>
    <w:rsid w:val="00B82FD3"/>
    <w:rsid w:val="00B8316D"/>
    <w:rsid w:val="00B831D0"/>
    <w:rsid w:val="00B83305"/>
    <w:rsid w:val="00B833D0"/>
    <w:rsid w:val="00B833D4"/>
    <w:rsid w:val="00B8342E"/>
    <w:rsid w:val="00B8349A"/>
    <w:rsid w:val="00B834C5"/>
    <w:rsid w:val="00B834DE"/>
    <w:rsid w:val="00B83571"/>
    <w:rsid w:val="00B83671"/>
    <w:rsid w:val="00B836FA"/>
    <w:rsid w:val="00B8382E"/>
    <w:rsid w:val="00B83860"/>
    <w:rsid w:val="00B8395F"/>
    <w:rsid w:val="00B83981"/>
    <w:rsid w:val="00B83996"/>
    <w:rsid w:val="00B83AE2"/>
    <w:rsid w:val="00B83C88"/>
    <w:rsid w:val="00B83CC4"/>
    <w:rsid w:val="00B83D2C"/>
    <w:rsid w:val="00B83D54"/>
    <w:rsid w:val="00B83E0B"/>
    <w:rsid w:val="00B83F12"/>
    <w:rsid w:val="00B83FC0"/>
    <w:rsid w:val="00B84092"/>
    <w:rsid w:val="00B840AB"/>
    <w:rsid w:val="00B840AE"/>
    <w:rsid w:val="00B8413D"/>
    <w:rsid w:val="00B8418B"/>
    <w:rsid w:val="00B841B5"/>
    <w:rsid w:val="00B841BB"/>
    <w:rsid w:val="00B84237"/>
    <w:rsid w:val="00B84270"/>
    <w:rsid w:val="00B842BE"/>
    <w:rsid w:val="00B843E2"/>
    <w:rsid w:val="00B84653"/>
    <w:rsid w:val="00B84710"/>
    <w:rsid w:val="00B847BF"/>
    <w:rsid w:val="00B848E6"/>
    <w:rsid w:val="00B84AFD"/>
    <w:rsid w:val="00B84B59"/>
    <w:rsid w:val="00B84CE9"/>
    <w:rsid w:val="00B84D40"/>
    <w:rsid w:val="00B850AA"/>
    <w:rsid w:val="00B85120"/>
    <w:rsid w:val="00B85174"/>
    <w:rsid w:val="00B851CE"/>
    <w:rsid w:val="00B85221"/>
    <w:rsid w:val="00B852F0"/>
    <w:rsid w:val="00B85379"/>
    <w:rsid w:val="00B853A3"/>
    <w:rsid w:val="00B853E3"/>
    <w:rsid w:val="00B85453"/>
    <w:rsid w:val="00B854C4"/>
    <w:rsid w:val="00B85522"/>
    <w:rsid w:val="00B85607"/>
    <w:rsid w:val="00B85782"/>
    <w:rsid w:val="00B8587E"/>
    <w:rsid w:val="00B85900"/>
    <w:rsid w:val="00B8598E"/>
    <w:rsid w:val="00B8599C"/>
    <w:rsid w:val="00B859A9"/>
    <w:rsid w:val="00B85A28"/>
    <w:rsid w:val="00B85A95"/>
    <w:rsid w:val="00B85AD5"/>
    <w:rsid w:val="00B85B1D"/>
    <w:rsid w:val="00B85B2D"/>
    <w:rsid w:val="00B85B3E"/>
    <w:rsid w:val="00B85BA2"/>
    <w:rsid w:val="00B85C70"/>
    <w:rsid w:val="00B85CD3"/>
    <w:rsid w:val="00B85DA8"/>
    <w:rsid w:val="00B85DFC"/>
    <w:rsid w:val="00B85E0D"/>
    <w:rsid w:val="00B85E15"/>
    <w:rsid w:val="00B85FCF"/>
    <w:rsid w:val="00B86022"/>
    <w:rsid w:val="00B86025"/>
    <w:rsid w:val="00B860B2"/>
    <w:rsid w:val="00B860E8"/>
    <w:rsid w:val="00B86106"/>
    <w:rsid w:val="00B86197"/>
    <w:rsid w:val="00B86198"/>
    <w:rsid w:val="00B861B3"/>
    <w:rsid w:val="00B86211"/>
    <w:rsid w:val="00B86233"/>
    <w:rsid w:val="00B862A5"/>
    <w:rsid w:val="00B862F4"/>
    <w:rsid w:val="00B86454"/>
    <w:rsid w:val="00B8668C"/>
    <w:rsid w:val="00B866A6"/>
    <w:rsid w:val="00B86723"/>
    <w:rsid w:val="00B86826"/>
    <w:rsid w:val="00B86908"/>
    <w:rsid w:val="00B8690E"/>
    <w:rsid w:val="00B8691E"/>
    <w:rsid w:val="00B869CA"/>
    <w:rsid w:val="00B869DC"/>
    <w:rsid w:val="00B86A34"/>
    <w:rsid w:val="00B86B59"/>
    <w:rsid w:val="00B86B6F"/>
    <w:rsid w:val="00B86C11"/>
    <w:rsid w:val="00B86C77"/>
    <w:rsid w:val="00B86CA0"/>
    <w:rsid w:val="00B86D78"/>
    <w:rsid w:val="00B86DD4"/>
    <w:rsid w:val="00B86EDB"/>
    <w:rsid w:val="00B86FF3"/>
    <w:rsid w:val="00B8707B"/>
    <w:rsid w:val="00B870E0"/>
    <w:rsid w:val="00B871EB"/>
    <w:rsid w:val="00B87274"/>
    <w:rsid w:val="00B8739A"/>
    <w:rsid w:val="00B873AB"/>
    <w:rsid w:val="00B8740C"/>
    <w:rsid w:val="00B874E7"/>
    <w:rsid w:val="00B8753C"/>
    <w:rsid w:val="00B875F4"/>
    <w:rsid w:val="00B8778C"/>
    <w:rsid w:val="00B877B2"/>
    <w:rsid w:val="00B87813"/>
    <w:rsid w:val="00B87822"/>
    <w:rsid w:val="00B8783D"/>
    <w:rsid w:val="00B8793D"/>
    <w:rsid w:val="00B87A62"/>
    <w:rsid w:val="00B87A79"/>
    <w:rsid w:val="00B87A88"/>
    <w:rsid w:val="00B87B0D"/>
    <w:rsid w:val="00B87B41"/>
    <w:rsid w:val="00B87C67"/>
    <w:rsid w:val="00B87E0A"/>
    <w:rsid w:val="00B87E45"/>
    <w:rsid w:val="00B90007"/>
    <w:rsid w:val="00B90053"/>
    <w:rsid w:val="00B9008D"/>
    <w:rsid w:val="00B900C5"/>
    <w:rsid w:val="00B900D6"/>
    <w:rsid w:val="00B90105"/>
    <w:rsid w:val="00B901D5"/>
    <w:rsid w:val="00B901D7"/>
    <w:rsid w:val="00B9047A"/>
    <w:rsid w:val="00B90787"/>
    <w:rsid w:val="00B90807"/>
    <w:rsid w:val="00B90867"/>
    <w:rsid w:val="00B9089E"/>
    <w:rsid w:val="00B909E6"/>
    <w:rsid w:val="00B90A04"/>
    <w:rsid w:val="00B90B22"/>
    <w:rsid w:val="00B90B31"/>
    <w:rsid w:val="00B90BD1"/>
    <w:rsid w:val="00B90BF4"/>
    <w:rsid w:val="00B90CB5"/>
    <w:rsid w:val="00B90F19"/>
    <w:rsid w:val="00B90FAB"/>
    <w:rsid w:val="00B9105C"/>
    <w:rsid w:val="00B91115"/>
    <w:rsid w:val="00B911E5"/>
    <w:rsid w:val="00B9129F"/>
    <w:rsid w:val="00B914BF"/>
    <w:rsid w:val="00B914D1"/>
    <w:rsid w:val="00B916CB"/>
    <w:rsid w:val="00B9171A"/>
    <w:rsid w:val="00B91878"/>
    <w:rsid w:val="00B91901"/>
    <w:rsid w:val="00B91953"/>
    <w:rsid w:val="00B91AFE"/>
    <w:rsid w:val="00B91B32"/>
    <w:rsid w:val="00B91D5D"/>
    <w:rsid w:val="00B91DE2"/>
    <w:rsid w:val="00B91E14"/>
    <w:rsid w:val="00B91E22"/>
    <w:rsid w:val="00B91EBB"/>
    <w:rsid w:val="00B91F19"/>
    <w:rsid w:val="00B91F27"/>
    <w:rsid w:val="00B9211B"/>
    <w:rsid w:val="00B9213A"/>
    <w:rsid w:val="00B92365"/>
    <w:rsid w:val="00B9237E"/>
    <w:rsid w:val="00B923B5"/>
    <w:rsid w:val="00B92476"/>
    <w:rsid w:val="00B9247F"/>
    <w:rsid w:val="00B92730"/>
    <w:rsid w:val="00B92771"/>
    <w:rsid w:val="00B927EE"/>
    <w:rsid w:val="00B92908"/>
    <w:rsid w:val="00B9292B"/>
    <w:rsid w:val="00B929AF"/>
    <w:rsid w:val="00B92A39"/>
    <w:rsid w:val="00B92BC2"/>
    <w:rsid w:val="00B92CE8"/>
    <w:rsid w:val="00B92CF3"/>
    <w:rsid w:val="00B92D56"/>
    <w:rsid w:val="00B92D89"/>
    <w:rsid w:val="00B92DD9"/>
    <w:rsid w:val="00B92E7A"/>
    <w:rsid w:val="00B92EC2"/>
    <w:rsid w:val="00B92EE3"/>
    <w:rsid w:val="00B92FEC"/>
    <w:rsid w:val="00B9331D"/>
    <w:rsid w:val="00B9336F"/>
    <w:rsid w:val="00B93376"/>
    <w:rsid w:val="00B93498"/>
    <w:rsid w:val="00B934B8"/>
    <w:rsid w:val="00B9352B"/>
    <w:rsid w:val="00B93639"/>
    <w:rsid w:val="00B9366D"/>
    <w:rsid w:val="00B936AE"/>
    <w:rsid w:val="00B9375A"/>
    <w:rsid w:val="00B93865"/>
    <w:rsid w:val="00B93A4B"/>
    <w:rsid w:val="00B93A55"/>
    <w:rsid w:val="00B93AA6"/>
    <w:rsid w:val="00B93AC5"/>
    <w:rsid w:val="00B93B7A"/>
    <w:rsid w:val="00B93C79"/>
    <w:rsid w:val="00B93D8C"/>
    <w:rsid w:val="00B93DA7"/>
    <w:rsid w:val="00B93DAF"/>
    <w:rsid w:val="00B93E20"/>
    <w:rsid w:val="00B93ED0"/>
    <w:rsid w:val="00B93F29"/>
    <w:rsid w:val="00B940F3"/>
    <w:rsid w:val="00B942C9"/>
    <w:rsid w:val="00B943BF"/>
    <w:rsid w:val="00B9449D"/>
    <w:rsid w:val="00B94505"/>
    <w:rsid w:val="00B94555"/>
    <w:rsid w:val="00B945A8"/>
    <w:rsid w:val="00B945EE"/>
    <w:rsid w:val="00B94707"/>
    <w:rsid w:val="00B948A0"/>
    <w:rsid w:val="00B94933"/>
    <w:rsid w:val="00B9494F"/>
    <w:rsid w:val="00B9496E"/>
    <w:rsid w:val="00B9498C"/>
    <w:rsid w:val="00B94A7E"/>
    <w:rsid w:val="00B94A82"/>
    <w:rsid w:val="00B94B17"/>
    <w:rsid w:val="00B94B24"/>
    <w:rsid w:val="00B94C08"/>
    <w:rsid w:val="00B94DF4"/>
    <w:rsid w:val="00B94E2F"/>
    <w:rsid w:val="00B94F46"/>
    <w:rsid w:val="00B951B1"/>
    <w:rsid w:val="00B951C2"/>
    <w:rsid w:val="00B952C9"/>
    <w:rsid w:val="00B952D0"/>
    <w:rsid w:val="00B9559E"/>
    <w:rsid w:val="00B9569A"/>
    <w:rsid w:val="00B95750"/>
    <w:rsid w:val="00B9575C"/>
    <w:rsid w:val="00B9575E"/>
    <w:rsid w:val="00B95890"/>
    <w:rsid w:val="00B95915"/>
    <w:rsid w:val="00B959EF"/>
    <w:rsid w:val="00B95A37"/>
    <w:rsid w:val="00B95B79"/>
    <w:rsid w:val="00B95C43"/>
    <w:rsid w:val="00B95CCB"/>
    <w:rsid w:val="00B95E75"/>
    <w:rsid w:val="00B95E82"/>
    <w:rsid w:val="00B95F07"/>
    <w:rsid w:val="00B96025"/>
    <w:rsid w:val="00B9605B"/>
    <w:rsid w:val="00B960F3"/>
    <w:rsid w:val="00B960FA"/>
    <w:rsid w:val="00B961B0"/>
    <w:rsid w:val="00B961E9"/>
    <w:rsid w:val="00B96298"/>
    <w:rsid w:val="00B96423"/>
    <w:rsid w:val="00B9648E"/>
    <w:rsid w:val="00B96546"/>
    <w:rsid w:val="00B96565"/>
    <w:rsid w:val="00B96624"/>
    <w:rsid w:val="00B96799"/>
    <w:rsid w:val="00B967B7"/>
    <w:rsid w:val="00B967E5"/>
    <w:rsid w:val="00B96822"/>
    <w:rsid w:val="00B96AD1"/>
    <w:rsid w:val="00B96AD9"/>
    <w:rsid w:val="00B96B60"/>
    <w:rsid w:val="00B96C12"/>
    <w:rsid w:val="00B96C86"/>
    <w:rsid w:val="00B96CDB"/>
    <w:rsid w:val="00B96D11"/>
    <w:rsid w:val="00B96DC8"/>
    <w:rsid w:val="00B96E74"/>
    <w:rsid w:val="00B96E8F"/>
    <w:rsid w:val="00B96F12"/>
    <w:rsid w:val="00B9706B"/>
    <w:rsid w:val="00B9708C"/>
    <w:rsid w:val="00B970AB"/>
    <w:rsid w:val="00B970FA"/>
    <w:rsid w:val="00B9716E"/>
    <w:rsid w:val="00B97189"/>
    <w:rsid w:val="00B971D4"/>
    <w:rsid w:val="00B97223"/>
    <w:rsid w:val="00B972DF"/>
    <w:rsid w:val="00B972F2"/>
    <w:rsid w:val="00B97334"/>
    <w:rsid w:val="00B97406"/>
    <w:rsid w:val="00B97509"/>
    <w:rsid w:val="00B97558"/>
    <w:rsid w:val="00B9762F"/>
    <w:rsid w:val="00B9765E"/>
    <w:rsid w:val="00B9772C"/>
    <w:rsid w:val="00B977F5"/>
    <w:rsid w:val="00B97842"/>
    <w:rsid w:val="00B978A3"/>
    <w:rsid w:val="00B97A03"/>
    <w:rsid w:val="00B97A62"/>
    <w:rsid w:val="00B97A73"/>
    <w:rsid w:val="00B97A84"/>
    <w:rsid w:val="00B97ADE"/>
    <w:rsid w:val="00B97B48"/>
    <w:rsid w:val="00B97D26"/>
    <w:rsid w:val="00B97DD5"/>
    <w:rsid w:val="00B97E90"/>
    <w:rsid w:val="00B97F7B"/>
    <w:rsid w:val="00BA0056"/>
    <w:rsid w:val="00BA0066"/>
    <w:rsid w:val="00BA007E"/>
    <w:rsid w:val="00BA0090"/>
    <w:rsid w:val="00BA0123"/>
    <w:rsid w:val="00BA021D"/>
    <w:rsid w:val="00BA030E"/>
    <w:rsid w:val="00BA03AB"/>
    <w:rsid w:val="00BA03BB"/>
    <w:rsid w:val="00BA04FA"/>
    <w:rsid w:val="00BA059A"/>
    <w:rsid w:val="00BA061A"/>
    <w:rsid w:val="00BA0625"/>
    <w:rsid w:val="00BA06CE"/>
    <w:rsid w:val="00BA0805"/>
    <w:rsid w:val="00BA087F"/>
    <w:rsid w:val="00BA08E7"/>
    <w:rsid w:val="00BA0978"/>
    <w:rsid w:val="00BA0A53"/>
    <w:rsid w:val="00BA0B37"/>
    <w:rsid w:val="00BA0BCD"/>
    <w:rsid w:val="00BA0C12"/>
    <w:rsid w:val="00BA0CB8"/>
    <w:rsid w:val="00BA0CCC"/>
    <w:rsid w:val="00BA0D18"/>
    <w:rsid w:val="00BA0D25"/>
    <w:rsid w:val="00BA0D53"/>
    <w:rsid w:val="00BA0E95"/>
    <w:rsid w:val="00BA0EF5"/>
    <w:rsid w:val="00BA0F90"/>
    <w:rsid w:val="00BA1167"/>
    <w:rsid w:val="00BA124D"/>
    <w:rsid w:val="00BA124E"/>
    <w:rsid w:val="00BA1368"/>
    <w:rsid w:val="00BA13FD"/>
    <w:rsid w:val="00BA14F1"/>
    <w:rsid w:val="00BA159C"/>
    <w:rsid w:val="00BA15E1"/>
    <w:rsid w:val="00BA17C9"/>
    <w:rsid w:val="00BA17D3"/>
    <w:rsid w:val="00BA17FF"/>
    <w:rsid w:val="00BA18FA"/>
    <w:rsid w:val="00BA195C"/>
    <w:rsid w:val="00BA19F8"/>
    <w:rsid w:val="00BA1A0C"/>
    <w:rsid w:val="00BA1BD8"/>
    <w:rsid w:val="00BA1CBA"/>
    <w:rsid w:val="00BA1CCB"/>
    <w:rsid w:val="00BA1DE5"/>
    <w:rsid w:val="00BA1DFA"/>
    <w:rsid w:val="00BA1EE9"/>
    <w:rsid w:val="00BA1F67"/>
    <w:rsid w:val="00BA1FC9"/>
    <w:rsid w:val="00BA200A"/>
    <w:rsid w:val="00BA20DE"/>
    <w:rsid w:val="00BA2112"/>
    <w:rsid w:val="00BA2177"/>
    <w:rsid w:val="00BA2325"/>
    <w:rsid w:val="00BA23D8"/>
    <w:rsid w:val="00BA23F3"/>
    <w:rsid w:val="00BA2539"/>
    <w:rsid w:val="00BA285F"/>
    <w:rsid w:val="00BA28D5"/>
    <w:rsid w:val="00BA2B6F"/>
    <w:rsid w:val="00BA2C98"/>
    <w:rsid w:val="00BA2CE5"/>
    <w:rsid w:val="00BA2D2F"/>
    <w:rsid w:val="00BA2D7A"/>
    <w:rsid w:val="00BA2DB9"/>
    <w:rsid w:val="00BA2DDC"/>
    <w:rsid w:val="00BA2DE7"/>
    <w:rsid w:val="00BA2E6E"/>
    <w:rsid w:val="00BA309A"/>
    <w:rsid w:val="00BA311E"/>
    <w:rsid w:val="00BA3142"/>
    <w:rsid w:val="00BA327F"/>
    <w:rsid w:val="00BA335E"/>
    <w:rsid w:val="00BA346E"/>
    <w:rsid w:val="00BA34A8"/>
    <w:rsid w:val="00BA34BE"/>
    <w:rsid w:val="00BA34D7"/>
    <w:rsid w:val="00BA3566"/>
    <w:rsid w:val="00BA357B"/>
    <w:rsid w:val="00BA36EA"/>
    <w:rsid w:val="00BA3804"/>
    <w:rsid w:val="00BA38B1"/>
    <w:rsid w:val="00BA38F9"/>
    <w:rsid w:val="00BA39BA"/>
    <w:rsid w:val="00BA3C96"/>
    <w:rsid w:val="00BA3E67"/>
    <w:rsid w:val="00BA3EFD"/>
    <w:rsid w:val="00BA3FA5"/>
    <w:rsid w:val="00BA3FC1"/>
    <w:rsid w:val="00BA4036"/>
    <w:rsid w:val="00BA4168"/>
    <w:rsid w:val="00BA41CD"/>
    <w:rsid w:val="00BA42CA"/>
    <w:rsid w:val="00BA43D2"/>
    <w:rsid w:val="00BA447E"/>
    <w:rsid w:val="00BA44BF"/>
    <w:rsid w:val="00BA4516"/>
    <w:rsid w:val="00BA4682"/>
    <w:rsid w:val="00BA46EC"/>
    <w:rsid w:val="00BA4701"/>
    <w:rsid w:val="00BA483D"/>
    <w:rsid w:val="00BA4881"/>
    <w:rsid w:val="00BA4A25"/>
    <w:rsid w:val="00BA4A69"/>
    <w:rsid w:val="00BA4B51"/>
    <w:rsid w:val="00BA4C65"/>
    <w:rsid w:val="00BA4CA6"/>
    <w:rsid w:val="00BA4CC7"/>
    <w:rsid w:val="00BA4D83"/>
    <w:rsid w:val="00BA4E57"/>
    <w:rsid w:val="00BA4E6C"/>
    <w:rsid w:val="00BA4F76"/>
    <w:rsid w:val="00BA4F9E"/>
    <w:rsid w:val="00BA50CC"/>
    <w:rsid w:val="00BA50DC"/>
    <w:rsid w:val="00BA516E"/>
    <w:rsid w:val="00BA5172"/>
    <w:rsid w:val="00BA5246"/>
    <w:rsid w:val="00BA52E9"/>
    <w:rsid w:val="00BA53E4"/>
    <w:rsid w:val="00BA541F"/>
    <w:rsid w:val="00BA54DF"/>
    <w:rsid w:val="00BA568D"/>
    <w:rsid w:val="00BA568E"/>
    <w:rsid w:val="00BA5694"/>
    <w:rsid w:val="00BA570A"/>
    <w:rsid w:val="00BA57AF"/>
    <w:rsid w:val="00BA57C1"/>
    <w:rsid w:val="00BA57E4"/>
    <w:rsid w:val="00BA5828"/>
    <w:rsid w:val="00BA58EB"/>
    <w:rsid w:val="00BA58EE"/>
    <w:rsid w:val="00BA58F1"/>
    <w:rsid w:val="00BA5986"/>
    <w:rsid w:val="00BA5B47"/>
    <w:rsid w:val="00BA5E4B"/>
    <w:rsid w:val="00BA5E7D"/>
    <w:rsid w:val="00BA5EB7"/>
    <w:rsid w:val="00BA5EB8"/>
    <w:rsid w:val="00BA6003"/>
    <w:rsid w:val="00BA600E"/>
    <w:rsid w:val="00BA603A"/>
    <w:rsid w:val="00BA6076"/>
    <w:rsid w:val="00BA60A4"/>
    <w:rsid w:val="00BA611D"/>
    <w:rsid w:val="00BA6120"/>
    <w:rsid w:val="00BA6192"/>
    <w:rsid w:val="00BA61CA"/>
    <w:rsid w:val="00BA61DC"/>
    <w:rsid w:val="00BA61EA"/>
    <w:rsid w:val="00BA6233"/>
    <w:rsid w:val="00BA63AE"/>
    <w:rsid w:val="00BA6400"/>
    <w:rsid w:val="00BA647B"/>
    <w:rsid w:val="00BA64D2"/>
    <w:rsid w:val="00BA65DC"/>
    <w:rsid w:val="00BA662E"/>
    <w:rsid w:val="00BA6684"/>
    <w:rsid w:val="00BA6727"/>
    <w:rsid w:val="00BA6746"/>
    <w:rsid w:val="00BA67F6"/>
    <w:rsid w:val="00BA686A"/>
    <w:rsid w:val="00BA686F"/>
    <w:rsid w:val="00BA68A1"/>
    <w:rsid w:val="00BA69EA"/>
    <w:rsid w:val="00BA69FE"/>
    <w:rsid w:val="00BA6A09"/>
    <w:rsid w:val="00BA6A8F"/>
    <w:rsid w:val="00BA6AC7"/>
    <w:rsid w:val="00BA6B14"/>
    <w:rsid w:val="00BA6BDE"/>
    <w:rsid w:val="00BA6C09"/>
    <w:rsid w:val="00BA6C5F"/>
    <w:rsid w:val="00BA6C9A"/>
    <w:rsid w:val="00BA6CD9"/>
    <w:rsid w:val="00BA6E51"/>
    <w:rsid w:val="00BA6F9C"/>
    <w:rsid w:val="00BA6FBB"/>
    <w:rsid w:val="00BA6FCD"/>
    <w:rsid w:val="00BA702D"/>
    <w:rsid w:val="00BA712B"/>
    <w:rsid w:val="00BA7221"/>
    <w:rsid w:val="00BA7246"/>
    <w:rsid w:val="00BA759D"/>
    <w:rsid w:val="00BA75F5"/>
    <w:rsid w:val="00BA778B"/>
    <w:rsid w:val="00BA7889"/>
    <w:rsid w:val="00BA789E"/>
    <w:rsid w:val="00BA78EB"/>
    <w:rsid w:val="00BA794A"/>
    <w:rsid w:val="00BA7A63"/>
    <w:rsid w:val="00BA7BC0"/>
    <w:rsid w:val="00BA7BD0"/>
    <w:rsid w:val="00BA7E73"/>
    <w:rsid w:val="00BA7F0E"/>
    <w:rsid w:val="00BA7F47"/>
    <w:rsid w:val="00BA7FBF"/>
    <w:rsid w:val="00BB0016"/>
    <w:rsid w:val="00BB0096"/>
    <w:rsid w:val="00BB00C8"/>
    <w:rsid w:val="00BB0235"/>
    <w:rsid w:val="00BB025C"/>
    <w:rsid w:val="00BB0348"/>
    <w:rsid w:val="00BB03A4"/>
    <w:rsid w:val="00BB03A8"/>
    <w:rsid w:val="00BB055C"/>
    <w:rsid w:val="00BB06B1"/>
    <w:rsid w:val="00BB0786"/>
    <w:rsid w:val="00BB0823"/>
    <w:rsid w:val="00BB0837"/>
    <w:rsid w:val="00BB099A"/>
    <w:rsid w:val="00BB0A11"/>
    <w:rsid w:val="00BB0ACF"/>
    <w:rsid w:val="00BB0BB8"/>
    <w:rsid w:val="00BB0C02"/>
    <w:rsid w:val="00BB0C0E"/>
    <w:rsid w:val="00BB0C44"/>
    <w:rsid w:val="00BB0CD5"/>
    <w:rsid w:val="00BB0D14"/>
    <w:rsid w:val="00BB0DA2"/>
    <w:rsid w:val="00BB0FD3"/>
    <w:rsid w:val="00BB0FE1"/>
    <w:rsid w:val="00BB1153"/>
    <w:rsid w:val="00BB1189"/>
    <w:rsid w:val="00BB11B0"/>
    <w:rsid w:val="00BB11F0"/>
    <w:rsid w:val="00BB1227"/>
    <w:rsid w:val="00BB1251"/>
    <w:rsid w:val="00BB12EF"/>
    <w:rsid w:val="00BB1540"/>
    <w:rsid w:val="00BB156A"/>
    <w:rsid w:val="00BB1577"/>
    <w:rsid w:val="00BB15A0"/>
    <w:rsid w:val="00BB16E5"/>
    <w:rsid w:val="00BB176C"/>
    <w:rsid w:val="00BB1776"/>
    <w:rsid w:val="00BB17B7"/>
    <w:rsid w:val="00BB1885"/>
    <w:rsid w:val="00BB190D"/>
    <w:rsid w:val="00BB1916"/>
    <w:rsid w:val="00BB1ADA"/>
    <w:rsid w:val="00BB1AF4"/>
    <w:rsid w:val="00BB1BCD"/>
    <w:rsid w:val="00BB1CB4"/>
    <w:rsid w:val="00BB1D55"/>
    <w:rsid w:val="00BB1EEB"/>
    <w:rsid w:val="00BB1FB9"/>
    <w:rsid w:val="00BB20A5"/>
    <w:rsid w:val="00BB2232"/>
    <w:rsid w:val="00BB225C"/>
    <w:rsid w:val="00BB22B2"/>
    <w:rsid w:val="00BB2303"/>
    <w:rsid w:val="00BB233D"/>
    <w:rsid w:val="00BB2362"/>
    <w:rsid w:val="00BB23E5"/>
    <w:rsid w:val="00BB23F8"/>
    <w:rsid w:val="00BB251E"/>
    <w:rsid w:val="00BB25BF"/>
    <w:rsid w:val="00BB279D"/>
    <w:rsid w:val="00BB27BB"/>
    <w:rsid w:val="00BB290F"/>
    <w:rsid w:val="00BB291D"/>
    <w:rsid w:val="00BB2A71"/>
    <w:rsid w:val="00BB2B43"/>
    <w:rsid w:val="00BB2BD0"/>
    <w:rsid w:val="00BB2C75"/>
    <w:rsid w:val="00BB2D29"/>
    <w:rsid w:val="00BB2D7C"/>
    <w:rsid w:val="00BB2DE1"/>
    <w:rsid w:val="00BB2EEF"/>
    <w:rsid w:val="00BB2F50"/>
    <w:rsid w:val="00BB3118"/>
    <w:rsid w:val="00BB313A"/>
    <w:rsid w:val="00BB33D7"/>
    <w:rsid w:val="00BB341B"/>
    <w:rsid w:val="00BB345F"/>
    <w:rsid w:val="00BB34FB"/>
    <w:rsid w:val="00BB3550"/>
    <w:rsid w:val="00BB3558"/>
    <w:rsid w:val="00BB3590"/>
    <w:rsid w:val="00BB35A6"/>
    <w:rsid w:val="00BB3666"/>
    <w:rsid w:val="00BB3677"/>
    <w:rsid w:val="00BB36C1"/>
    <w:rsid w:val="00BB3727"/>
    <w:rsid w:val="00BB3764"/>
    <w:rsid w:val="00BB3899"/>
    <w:rsid w:val="00BB3989"/>
    <w:rsid w:val="00BB3AB9"/>
    <w:rsid w:val="00BB3B1F"/>
    <w:rsid w:val="00BB3CF3"/>
    <w:rsid w:val="00BB3D52"/>
    <w:rsid w:val="00BB3F31"/>
    <w:rsid w:val="00BB40B7"/>
    <w:rsid w:val="00BB4242"/>
    <w:rsid w:val="00BB42E1"/>
    <w:rsid w:val="00BB44A3"/>
    <w:rsid w:val="00BB451F"/>
    <w:rsid w:val="00BB45AE"/>
    <w:rsid w:val="00BB45CB"/>
    <w:rsid w:val="00BB479F"/>
    <w:rsid w:val="00BB47C3"/>
    <w:rsid w:val="00BB484D"/>
    <w:rsid w:val="00BB48CF"/>
    <w:rsid w:val="00BB495B"/>
    <w:rsid w:val="00BB4968"/>
    <w:rsid w:val="00BB49A8"/>
    <w:rsid w:val="00BB4A28"/>
    <w:rsid w:val="00BB4BC2"/>
    <w:rsid w:val="00BB4CE2"/>
    <w:rsid w:val="00BB4DA3"/>
    <w:rsid w:val="00BB4E69"/>
    <w:rsid w:val="00BB4F1D"/>
    <w:rsid w:val="00BB4F2E"/>
    <w:rsid w:val="00BB4F60"/>
    <w:rsid w:val="00BB4FF9"/>
    <w:rsid w:val="00BB5022"/>
    <w:rsid w:val="00BB515A"/>
    <w:rsid w:val="00BB5180"/>
    <w:rsid w:val="00BB5267"/>
    <w:rsid w:val="00BB5424"/>
    <w:rsid w:val="00BB54C7"/>
    <w:rsid w:val="00BB54DE"/>
    <w:rsid w:val="00BB5605"/>
    <w:rsid w:val="00BB5635"/>
    <w:rsid w:val="00BB56DA"/>
    <w:rsid w:val="00BB5815"/>
    <w:rsid w:val="00BB5844"/>
    <w:rsid w:val="00BB588B"/>
    <w:rsid w:val="00BB59E3"/>
    <w:rsid w:val="00BB5F9B"/>
    <w:rsid w:val="00BB6010"/>
    <w:rsid w:val="00BB6114"/>
    <w:rsid w:val="00BB6255"/>
    <w:rsid w:val="00BB6265"/>
    <w:rsid w:val="00BB638E"/>
    <w:rsid w:val="00BB6482"/>
    <w:rsid w:val="00BB6594"/>
    <w:rsid w:val="00BB65D7"/>
    <w:rsid w:val="00BB6761"/>
    <w:rsid w:val="00BB67CA"/>
    <w:rsid w:val="00BB6825"/>
    <w:rsid w:val="00BB6865"/>
    <w:rsid w:val="00BB697C"/>
    <w:rsid w:val="00BB6A92"/>
    <w:rsid w:val="00BB6ACA"/>
    <w:rsid w:val="00BB6B27"/>
    <w:rsid w:val="00BB6B49"/>
    <w:rsid w:val="00BB6B8E"/>
    <w:rsid w:val="00BB6C15"/>
    <w:rsid w:val="00BB6C38"/>
    <w:rsid w:val="00BB6C5F"/>
    <w:rsid w:val="00BB6CDD"/>
    <w:rsid w:val="00BB6D6A"/>
    <w:rsid w:val="00BB6E5B"/>
    <w:rsid w:val="00BB6EE7"/>
    <w:rsid w:val="00BB6FED"/>
    <w:rsid w:val="00BB7006"/>
    <w:rsid w:val="00BB7133"/>
    <w:rsid w:val="00BB740E"/>
    <w:rsid w:val="00BB7470"/>
    <w:rsid w:val="00BB7538"/>
    <w:rsid w:val="00BB7546"/>
    <w:rsid w:val="00BB7669"/>
    <w:rsid w:val="00BB766B"/>
    <w:rsid w:val="00BB76E4"/>
    <w:rsid w:val="00BB773A"/>
    <w:rsid w:val="00BB77F6"/>
    <w:rsid w:val="00BB7953"/>
    <w:rsid w:val="00BB79A4"/>
    <w:rsid w:val="00BB79CB"/>
    <w:rsid w:val="00BB7B6A"/>
    <w:rsid w:val="00BB7C0B"/>
    <w:rsid w:val="00BB7C50"/>
    <w:rsid w:val="00BB7EBB"/>
    <w:rsid w:val="00BB7EE3"/>
    <w:rsid w:val="00BB7EF1"/>
    <w:rsid w:val="00BB7F2A"/>
    <w:rsid w:val="00BB7FB1"/>
    <w:rsid w:val="00BC0013"/>
    <w:rsid w:val="00BC0045"/>
    <w:rsid w:val="00BC017E"/>
    <w:rsid w:val="00BC02E8"/>
    <w:rsid w:val="00BC02EA"/>
    <w:rsid w:val="00BC04A2"/>
    <w:rsid w:val="00BC04B9"/>
    <w:rsid w:val="00BC04D2"/>
    <w:rsid w:val="00BC04E0"/>
    <w:rsid w:val="00BC0556"/>
    <w:rsid w:val="00BC05A7"/>
    <w:rsid w:val="00BC0636"/>
    <w:rsid w:val="00BC0642"/>
    <w:rsid w:val="00BC08EE"/>
    <w:rsid w:val="00BC0A0C"/>
    <w:rsid w:val="00BC0A14"/>
    <w:rsid w:val="00BC0A30"/>
    <w:rsid w:val="00BC0ACF"/>
    <w:rsid w:val="00BC0BD6"/>
    <w:rsid w:val="00BC0C32"/>
    <w:rsid w:val="00BC0C54"/>
    <w:rsid w:val="00BC0D3F"/>
    <w:rsid w:val="00BC0DA7"/>
    <w:rsid w:val="00BC0DBF"/>
    <w:rsid w:val="00BC0F30"/>
    <w:rsid w:val="00BC0FD6"/>
    <w:rsid w:val="00BC109C"/>
    <w:rsid w:val="00BC109F"/>
    <w:rsid w:val="00BC10B3"/>
    <w:rsid w:val="00BC10FA"/>
    <w:rsid w:val="00BC11B5"/>
    <w:rsid w:val="00BC1320"/>
    <w:rsid w:val="00BC13B5"/>
    <w:rsid w:val="00BC147F"/>
    <w:rsid w:val="00BC1542"/>
    <w:rsid w:val="00BC1563"/>
    <w:rsid w:val="00BC1578"/>
    <w:rsid w:val="00BC15CB"/>
    <w:rsid w:val="00BC15EC"/>
    <w:rsid w:val="00BC1856"/>
    <w:rsid w:val="00BC1888"/>
    <w:rsid w:val="00BC1889"/>
    <w:rsid w:val="00BC18F0"/>
    <w:rsid w:val="00BC19D6"/>
    <w:rsid w:val="00BC1A45"/>
    <w:rsid w:val="00BC1B20"/>
    <w:rsid w:val="00BC1BEC"/>
    <w:rsid w:val="00BC1C99"/>
    <w:rsid w:val="00BC1CA4"/>
    <w:rsid w:val="00BC1DFA"/>
    <w:rsid w:val="00BC1EFF"/>
    <w:rsid w:val="00BC1F9D"/>
    <w:rsid w:val="00BC1FB2"/>
    <w:rsid w:val="00BC1FC6"/>
    <w:rsid w:val="00BC208F"/>
    <w:rsid w:val="00BC20A9"/>
    <w:rsid w:val="00BC210A"/>
    <w:rsid w:val="00BC21FD"/>
    <w:rsid w:val="00BC221C"/>
    <w:rsid w:val="00BC226B"/>
    <w:rsid w:val="00BC22D1"/>
    <w:rsid w:val="00BC2379"/>
    <w:rsid w:val="00BC2439"/>
    <w:rsid w:val="00BC25DC"/>
    <w:rsid w:val="00BC26FB"/>
    <w:rsid w:val="00BC276C"/>
    <w:rsid w:val="00BC2866"/>
    <w:rsid w:val="00BC28A0"/>
    <w:rsid w:val="00BC28C4"/>
    <w:rsid w:val="00BC2977"/>
    <w:rsid w:val="00BC29A9"/>
    <w:rsid w:val="00BC2A0F"/>
    <w:rsid w:val="00BC2A8B"/>
    <w:rsid w:val="00BC2A8C"/>
    <w:rsid w:val="00BC2AE6"/>
    <w:rsid w:val="00BC2B4A"/>
    <w:rsid w:val="00BC2B59"/>
    <w:rsid w:val="00BC2B75"/>
    <w:rsid w:val="00BC2C77"/>
    <w:rsid w:val="00BC2C9F"/>
    <w:rsid w:val="00BC2D42"/>
    <w:rsid w:val="00BC2D5A"/>
    <w:rsid w:val="00BC2E2E"/>
    <w:rsid w:val="00BC2E6B"/>
    <w:rsid w:val="00BC2F4E"/>
    <w:rsid w:val="00BC3231"/>
    <w:rsid w:val="00BC3268"/>
    <w:rsid w:val="00BC32B8"/>
    <w:rsid w:val="00BC32C2"/>
    <w:rsid w:val="00BC32DD"/>
    <w:rsid w:val="00BC3339"/>
    <w:rsid w:val="00BC357C"/>
    <w:rsid w:val="00BC3714"/>
    <w:rsid w:val="00BC3740"/>
    <w:rsid w:val="00BC3819"/>
    <w:rsid w:val="00BC38E5"/>
    <w:rsid w:val="00BC3A49"/>
    <w:rsid w:val="00BC3B58"/>
    <w:rsid w:val="00BC3BE9"/>
    <w:rsid w:val="00BC3C7D"/>
    <w:rsid w:val="00BC3D64"/>
    <w:rsid w:val="00BC3DBA"/>
    <w:rsid w:val="00BC3E1D"/>
    <w:rsid w:val="00BC3E6F"/>
    <w:rsid w:val="00BC3EF3"/>
    <w:rsid w:val="00BC4010"/>
    <w:rsid w:val="00BC408B"/>
    <w:rsid w:val="00BC40B6"/>
    <w:rsid w:val="00BC40C3"/>
    <w:rsid w:val="00BC41BB"/>
    <w:rsid w:val="00BC41CD"/>
    <w:rsid w:val="00BC4251"/>
    <w:rsid w:val="00BC4269"/>
    <w:rsid w:val="00BC426B"/>
    <w:rsid w:val="00BC445C"/>
    <w:rsid w:val="00BC4578"/>
    <w:rsid w:val="00BC463D"/>
    <w:rsid w:val="00BC4729"/>
    <w:rsid w:val="00BC4760"/>
    <w:rsid w:val="00BC47E1"/>
    <w:rsid w:val="00BC4816"/>
    <w:rsid w:val="00BC48F2"/>
    <w:rsid w:val="00BC49DB"/>
    <w:rsid w:val="00BC4ABE"/>
    <w:rsid w:val="00BC4B4E"/>
    <w:rsid w:val="00BC4BA2"/>
    <w:rsid w:val="00BC4CFB"/>
    <w:rsid w:val="00BC4EA4"/>
    <w:rsid w:val="00BC4EBC"/>
    <w:rsid w:val="00BC4F6A"/>
    <w:rsid w:val="00BC4F99"/>
    <w:rsid w:val="00BC514F"/>
    <w:rsid w:val="00BC5284"/>
    <w:rsid w:val="00BC5342"/>
    <w:rsid w:val="00BC537C"/>
    <w:rsid w:val="00BC548A"/>
    <w:rsid w:val="00BC55E4"/>
    <w:rsid w:val="00BC567F"/>
    <w:rsid w:val="00BC572D"/>
    <w:rsid w:val="00BC5780"/>
    <w:rsid w:val="00BC578A"/>
    <w:rsid w:val="00BC5957"/>
    <w:rsid w:val="00BC5A47"/>
    <w:rsid w:val="00BC5A52"/>
    <w:rsid w:val="00BC5C07"/>
    <w:rsid w:val="00BC5D62"/>
    <w:rsid w:val="00BC5D83"/>
    <w:rsid w:val="00BC5E5A"/>
    <w:rsid w:val="00BC5E9D"/>
    <w:rsid w:val="00BC60A3"/>
    <w:rsid w:val="00BC6162"/>
    <w:rsid w:val="00BC628F"/>
    <w:rsid w:val="00BC6545"/>
    <w:rsid w:val="00BC6590"/>
    <w:rsid w:val="00BC66A6"/>
    <w:rsid w:val="00BC66E1"/>
    <w:rsid w:val="00BC6710"/>
    <w:rsid w:val="00BC6735"/>
    <w:rsid w:val="00BC68AB"/>
    <w:rsid w:val="00BC6ADE"/>
    <w:rsid w:val="00BC6B87"/>
    <w:rsid w:val="00BC6BD0"/>
    <w:rsid w:val="00BC6C1F"/>
    <w:rsid w:val="00BC6E5D"/>
    <w:rsid w:val="00BC6EF8"/>
    <w:rsid w:val="00BC6F4F"/>
    <w:rsid w:val="00BC6F8C"/>
    <w:rsid w:val="00BC6FD8"/>
    <w:rsid w:val="00BC7034"/>
    <w:rsid w:val="00BC7046"/>
    <w:rsid w:val="00BC736A"/>
    <w:rsid w:val="00BC742B"/>
    <w:rsid w:val="00BC743F"/>
    <w:rsid w:val="00BC74E7"/>
    <w:rsid w:val="00BC7537"/>
    <w:rsid w:val="00BC7572"/>
    <w:rsid w:val="00BC75F8"/>
    <w:rsid w:val="00BC76A3"/>
    <w:rsid w:val="00BC76CB"/>
    <w:rsid w:val="00BC7835"/>
    <w:rsid w:val="00BC789A"/>
    <w:rsid w:val="00BC78B1"/>
    <w:rsid w:val="00BC78FF"/>
    <w:rsid w:val="00BC794D"/>
    <w:rsid w:val="00BC79CD"/>
    <w:rsid w:val="00BC79E3"/>
    <w:rsid w:val="00BC7AC1"/>
    <w:rsid w:val="00BC7CCA"/>
    <w:rsid w:val="00BC7DA0"/>
    <w:rsid w:val="00BC7F17"/>
    <w:rsid w:val="00BC7F3D"/>
    <w:rsid w:val="00BC7FAA"/>
    <w:rsid w:val="00BD003D"/>
    <w:rsid w:val="00BD00FD"/>
    <w:rsid w:val="00BD01A4"/>
    <w:rsid w:val="00BD036B"/>
    <w:rsid w:val="00BD03EC"/>
    <w:rsid w:val="00BD0424"/>
    <w:rsid w:val="00BD04A5"/>
    <w:rsid w:val="00BD057A"/>
    <w:rsid w:val="00BD05F7"/>
    <w:rsid w:val="00BD0683"/>
    <w:rsid w:val="00BD0684"/>
    <w:rsid w:val="00BD06C3"/>
    <w:rsid w:val="00BD06DA"/>
    <w:rsid w:val="00BD075A"/>
    <w:rsid w:val="00BD0768"/>
    <w:rsid w:val="00BD07C6"/>
    <w:rsid w:val="00BD0881"/>
    <w:rsid w:val="00BD08B0"/>
    <w:rsid w:val="00BD092D"/>
    <w:rsid w:val="00BD0A27"/>
    <w:rsid w:val="00BD0ACF"/>
    <w:rsid w:val="00BD0B43"/>
    <w:rsid w:val="00BD0C0A"/>
    <w:rsid w:val="00BD0CCF"/>
    <w:rsid w:val="00BD0D56"/>
    <w:rsid w:val="00BD0DFF"/>
    <w:rsid w:val="00BD0E00"/>
    <w:rsid w:val="00BD0FD1"/>
    <w:rsid w:val="00BD0FFB"/>
    <w:rsid w:val="00BD1058"/>
    <w:rsid w:val="00BD1199"/>
    <w:rsid w:val="00BD1229"/>
    <w:rsid w:val="00BD122C"/>
    <w:rsid w:val="00BD130B"/>
    <w:rsid w:val="00BD14D7"/>
    <w:rsid w:val="00BD15D0"/>
    <w:rsid w:val="00BD160E"/>
    <w:rsid w:val="00BD1682"/>
    <w:rsid w:val="00BD1873"/>
    <w:rsid w:val="00BD1899"/>
    <w:rsid w:val="00BD19D5"/>
    <w:rsid w:val="00BD1B35"/>
    <w:rsid w:val="00BD1DC9"/>
    <w:rsid w:val="00BD1E00"/>
    <w:rsid w:val="00BD1F0B"/>
    <w:rsid w:val="00BD1F68"/>
    <w:rsid w:val="00BD1F6D"/>
    <w:rsid w:val="00BD20BA"/>
    <w:rsid w:val="00BD21CE"/>
    <w:rsid w:val="00BD2211"/>
    <w:rsid w:val="00BD229A"/>
    <w:rsid w:val="00BD22AB"/>
    <w:rsid w:val="00BD2396"/>
    <w:rsid w:val="00BD2424"/>
    <w:rsid w:val="00BD256F"/>
    <w:rsid w:val="00BD271B"/>
    <w:rsid w:val="00BD27F6"/>
    <w:rsid w:val="00BD2869"/>
    <w:rsid w:val="00BD2884"/>
    <w:rsid w:val="00BD2960"/>
    <w:rsid w:val="00BD2A72"/>
    <w:rsid w:val="00BD2B43"/>
    <w:rsid w:val="00BD2BAD"/>
    <w:rsid w:val="00BD2BE0"/>
    <w:rsid w:val="00BD2D9F"/>
    <w:rsid w:val="00BD2DE5"/>
    <w:rsid w:val="00BD2DED"/>
    <w:rsid w:val="00BD2EED"/>
    <w:rsid w:val="00BD333C"/>
    <w:rsid w:val="00BD340B"/>
    <w:rsid w:val="00BD35C9"/>
    <w:rsid w:val="00BD3628"/>
    <w:rsid w:val="00BD36DE"/>
    <w:rsid w:val="00BD3ACE"/>
    <w:rsid w:val="00BD3ADB"/>
    <w:rsid w:val="00BD3B2E"/>
    <w:rsid w:val="00BD3BD3"/>
    <w:rsid w:val="00BD3C64"/>
    <w:rsid w:val="00BD3DFE"/>
    <w:rsid w:val="00BD3EEF"/>
    <w:rsid w:val="00BD3F20"/>
    <w:rsid w:val="00BD4063"/>
    <w:rsid w:val="00BD417D"/>
    <w:rsid w:val="00BD4182"/>
    <w:rsid w:val="00BD4190"/>
    <w:rsid w:val="00BD41F6"/>
    <w:rsid w:val="00BD4226"/>
    <w:rsid w:val="00BD4227"/>
    <w:rsid w:val="00BD42C7"/>
    <w:rsid w:val="00BD42E8"/>
    <w:rsid w:val="00BD43A9"/>
    <w:rsid w:val="00BD448F"/>
    <w:rsid w:val="00BD44B8"/>
    <w:rsid w:val="00BD4882"/>
    <w:rsid w:val="00BD4980"/>
    <w:rsid w:val="00BD4A0F"/>
    <w:rsid w:val="00BD4ADB"/>
    <w:rsid w:val="00BD4B75"/>
    <w:rsid w:val="00BD4C4B"/>
    <w:rsid w:val="00BD4CAA"/>
    <w:rsid w:val="00BD4D25"/>
    <w:rsid w:val="00BD4F21"/>
    <w:rsid w:val="00BD4F5D"/>
    <w:rsid w:val="00BD4F80"/>
    <w:rsid w:val="00BD4F90"/>
    <w:rsid w:val="00BD4F92"/>
    <w:rsid w:val="00BD4FD1"/>
    <w:rsid w:val="00BD5144"/>
    <w:rsid w:val="00BD51B7"/>
    <w:rsid w:val="00BD51E8"/>
    <w:rsid w:val="00BD524C"/>
    <w:rsid w:val="00BD56F8"/>
    <w:rsid w:val="00BD573E"/>
    <w:rsid w:val="00BD58DC"/>
    <w:rsid w:val="00BD590A"/>
    <w:rsid w:val="00BD5920"/>
    <w:rsid w:val="00BD5926"/>
    <w:rsid w:val="00BD5A40"/>
    <w:rsid w:val="00BD5BFE"/>
    <w:rsid w:val="00BD5C68"/>
    <w:rsid w:val="00BD5CB3"/>
    <w:rsid w:val="00BD5D37"/>
    <w:rsid w:val="00BD5D85"/>
    <w:rsid w:val="00BD5DCE"/>
    <w:rsid w:val="00BD60B7"/>
    <w:rsid w:val="00BD611B"/>
    <w:rsid w:val="00BD63B9"/>
    <w:rsid w:val="00BD645A"/>
    <w:rsid w:val="00BD664E"/>
    <w:rsid w:val="00BD66CC"/>
    <w:rsid w:val="00BD68C9"/>
    <w:rsid w:val="00BD69DF"/>
    <w:rsid w:val="00BD6A3D"/>
    <w:rsid w:val="00BD6B30"/>
    <w:rsid w:val="00BD6B8F"/>
    <w:rsid w:val="00BD6C01"/>
    <w:rsid w:val="00BD6C81"/>
    <w:rsid w:val="00BD6CCA"/>
    <w:rsid w:val="00BD6D17"/>
    <w:rsid w:val="00BD6E3E"/>
    <w:rsid w:val="00BD6EC7"/>
    <w:rsid w:val="00BD6F0C"/>
    <w:rsid w:val="00BD6FBC"/>
    <w:rsid w:val="00BD6FBF"/>
    <w:rsid w:val="00BD6FCE"/>
    <w:rsid w:val="00BD7068"/>
    <w:rsid w:val="00BD70BF"/>
    <w:rsid w:val="00BD717A"/>
    <w:rsid w:val="00BD7300"/>
    <w:rsid w:val="00BD750D"/>
    <w:rsid w:val="00BD75D3"/>
    <w:rsid w:val="00BD763F"/>
    <w:rsid w:val="00BD76AC"/>
    <w:rsid w:val="00BD76CF"/>
    <w:rsid w:val="00BD7748"/>
    <w:rsid w:val="00BD781C"/>
    <w:rsid w:val="00BD7921"/>
    <w:rsid w:val="00BD79F2"/>
    <w:rsid w:val="00BD7AA8"/>
    <w:rsid w:val="00BD7B90"/>
    <w:rsid w:val="00BD7BA8"/>
    <w:rsid w:val="00BD7E31"/>
    <w:rsid w:val="00BD7EEE"/>
    <w:rsid w:val="00BD7F3F"/>
    <w:rsid w:val="00BD7FAF"/>
    <w:rsid w:val="00BE0009"/>
    <w:rsid w:val="00BE00C1"/>
    <w:rsid w:val="00BE0198"/>
    <w:rsid w:val="00BE01B7"/>
    <w:rsid w:val="00BE02C7"/>
    <w:rsid w:val="00BE0386"/>
    <w:rsid w:val="00BE047D"/>
    <w:rsid w:val="00BE049B"/>
    <w:rsid w:val="00BE0500"/>
    <w:rsid w:val="00BE0618"/>
    <w:rsid w:val="00BE0725"/>
    <w:rsid w:val="00BE0865"/>
    <w:rsid w:val="00BE087F"/>
    <w:rsid w:val="00BE0928"/>
    <w:rsid w:val="00BE097F"/>
    <w:rsid w:val="00BE0B4E"/>
    <w:rsid w:val="00BE0B69"/>
    <w:rsid w:val="00BE0C8B"/>
    <w:rsid w:val="00BE0CFD"/>
    <w:rsid w:val="00BE0D0C"/>
    <w:rsid w:val="00BE0DB2"/>
    <w:rsid w:val="00BE0F04"/>
    <w:rsid w:val="00BE1010"/>
    <w:rsid w:val="00BE11BE"/>
    <w:rsid w:val="00BE1340"/>
    <w:rsid w:val="00BE1493"/>
    <w:rsid w:val="00BE1581"/>
    <w:rsid w:val="00BE17AE"/>
    <w:rsid w:val="00BE18A1"/>
    <w:rsid w:val="00BE18A3"/>
    <w:rsid w:val="00BE1933"/>
    <w:rsid w:val="00BE19FC"/>
    <w:rsid w:val="00BE1A3F"/>
    <w:rsid w:val="00BE1A82"/>
    <w:rsid w:val="00BE1A8D"/>
    <w:rsid w:val="00BE1ACF"/>
    <w:rsid w:val="00BE1B52"/>
    <w:rsid w:val="00BE1BEB"/>
    <w:rsid w:val="00BE1C7F"/>
    <w:rsid w:val="00BE1CD3"/>
    <w:rsid w:val="00BE1D83"/>
    <w:rsid w:val="00BE1E02"/>
    <w:rsid w:val="00BE1ECE"/>
    <w:rsid w:val="00BE1F7C"/>
    <w:rsid w:val="00BE1F91"/>
    <w:rsid w:val="00BE1FAB"/>
    <w:rsid w:val="00BE204A"/>
    <w:rsid w:val="00BE20A1"/>
    <w:rsid w:val="00BE20B8"/>
    <w:rsid w:val="00BE2287"/>
    <w:rsid w:val="00BE229B"/>
    <w:rsid w:val="00BE24F6"/>
    <w:rsid w:val="00BE24FB"/>
    <w:rsid w:val="00BE2525"/>
    <w:rsid w:val="00BE2645"/>
    <w:rsid w:val="00BE270C"/>
    <w:rsid w:val="00BE276F"/>
    <w:rsid w:val="00BE289D"/>
    <w:rsid w:val="00BE2BB4"/>
    <w:rsid w:val="00BE2DFB"/>
    <w:rsid w:val="00BE2E06"/>
    <w:rsid w:val="00BE2EB5"/>
    <w:rsid w:val="00BE2F93"/>
    <w:rsid w:val="00BE3026"/>
    <w:rsid w:val="00BE3070"/>
    <w:rsid w:val="00BE30E7"/>
    <w:rsid w:val="00BE311F"/>
    <w:rsid w:val="00BE3383"/>
    <w:rsid w:val="00BE3395"/>
    <w:rsid w:val="00BE346D"/>
    <w:rsid w:val="00BE37C2"/>
    <w:rsid w:val="00BE3932"/>
    <w:rsid w:val="00BE3971"/>
    <w:rsid w:val="00BE3A16"/>
    <w:rsid w:val="00BE3AEE"/>
    <w:rsid w:val="00BE3D51"/>
    <w:rsid w:val="00BE3D61"/>
    <w:rsid w:val="00BE3F05"/>
    <w:rsid w:val="00BE409A"/>
    <w:rsid w:val="00BE40F0"/>
    <w:rsid w:val="00BE4418"/>
    <w:rsid w:val="00BE443C"/>
    <w:rsid w:val="00BE44D9"/>
    <w:rsid w:val="00BE4581"/>
    <w:rsid w:val="00BE459A"/>
    <w:rsid w:val="00BE469A"/>
    <w:rsid w:val="00BE46AA"/>
    <w:rsid w:val="00BE47A1"/>
    <w:rsid w:val="00BE47C5"/>
    <w:rsid w:val="00BE480C"/>
    <w:rsid w:val="00BE4815"/>
    <w:rsid w:val="00BE4938"/>
    <w:rsid w:val="00BE4A30"/>
    <w:rsid w:val="00BE4A52"/>
    <w:rsid w:val="00BE4AF7"/>
    <w:rsid w:val="00BE4B44"/>
    <w:rsid w:val="00BE4BD1"/>
    <w:rsid w:val="00BE4CA4"/>
    <w:rsid w:val="00BE4CB9"/>
    <w:rsid w:val="00BE4CE4"/>
    <w:rsid w:val="00BE4DC0"/>
    <w:rsid w:val="00BE4EDD"/>
    <w:rsid w:val="00BE4F07"/>
    <w:rsid w:val="00BE4F81"/>
    <w:rsid w:val="00BE524F"/>
    <w:rsid w:val="00BE52EE"/>
    <w:rsid w:val="00BE537D"/>
    <w:rsid w:val="00BE5414"/>
    <w:rsid w:val="00BE54A6"/>
    <w:rsid w:val="00BE550A"/>
    <w:rsid w:val="00BE5541"/>
    <w:rsid w:val="00BE55A7"/>
    <w:rsid w:val="00BE55BF"/>
    <w:rsid w:val="00BE5762"/>
    <w:rsid w:val="00BE57BE"/>
    <w:rsid w:val="00BE587E"/>
    <w:rsid w:val="00BE59FB"/>
    <w:rsid w:val="00BE5B8E"/>
    <w:rsid w:val="00BE5CD3"/>
    <w:rsid w:val="00BE5D58"/>
    <w:rsid w:val="00BE5D8C"/>
    <w:rsid w:val="00BE5D9F"/>
    <w:rsid w:val="00BE5DC4"/>
    <w:rsid w:val="00BE5DC7"/>
    <w:rsid w:val="00BE6073"/>
    <w:rsid w:val="00BE60B0"/>
    <w:rsid w:val="00BE60B7"/>
    <w:rsid w:val="00BE60CF"/>
    <w:rsid w:val="00BE6276"/>
    <w:rsid w:val="00BE627A"/>
    <w:rsid w:val="00BE628A"/>
    <w:rsid w:val="00BE64F9"/>
    <w:rsid w:val="00BE65A5"/>
    <w:rsid w:val="00BE6620"/>
    <w:rsid w:val="00BE6760"/>
    <w:rsid w:val="00BE67E0"/>
    <w:rsid w:val="00BE67EA"/>
    <w:rsid w:val="00BE6803"/>
    <w:rsid w:val="00BE6804"/>
    <w:rsid w:val="00BE68A6"/>
    <w:rsid w:val="00BE6A70"/>
    <w:rsid w:val="00BE6A8D"/>
    <w:rsid w:val="00BE6AAD"/>
    <w:rsid w:val="00BE6BF1"/>
    <w:rsid w:val="00BE6C0E"/>
    <w:rsid w:val="00BE6C29"/>
    <w:rsid w:val="00BE6C91"/>
    <w:rsid w:val="00BE6CB4"/>
    <w:rsid w:val="00BE6CF4"/>
    <w:rsid w:val="00BE6F10"/>
    <w:rsid w:val="00BE6F17"/>
    <w:rsid w:val="00BE7016"/>
    <w:rsid w:val="00BE7148"/>
    <w:rsid w:val="00BE727A"/>
    <w:rsid w:val="00BE730F"/>
    <w:rsid w:val="00BE732E"/>
    <w:rsid w:val="00BE73CA"/>
    <w:rsid w:val="00BE743D"/>
    <w:rsid w:val="00BE7508"/>
    <w:rsid w:val="00BE75C9"/>
    <w:rsid w:val="00BE75DD"/>
    <w:rsid w:val="00BE7855"/>
    <w:rsid w:val="00BE78AE"/>
    <w:rsid w:val="00BE78E1"/>
    <w:rsid w:val="00BE79D9"/>
    <w:rsid w:val="00BE7A53"/>
    <w:rsid w:val="00BE7B06"/>
    <w:rsid w:val="00BE7B50"/>
    <w:rsid w:val="00BE7B9D"/>
    <w:rsid w:val="00BE7C52"/>
    <w:rsid w:val="00BE7CDE"/>
    <w:rsid w:val="00BE7E4F"/>
    <w:rsid w:val="00BE7EC3"/>
    <w:rsid w:val="00BE7F62"/>
    <w:rsid w:val="00BE7F8D"/>
    <w:rsid w:val="00BE7FC4"/>
    <w:rsid w:val="00BE7FFE"/>
    <w:rsid w:val="00BF005E"/>
    <w:rsid w:val="00BF01BC"/>
    <w:rsid w:val="00BF0222"/>
    <w:rsid w:val="00BF02AA"/>
    <w:rsid w:val="00BF02D4"/>
    <w:rsid w:val="00BF03D2"/>
    <w:rsid w:val="00BF042A"/>
    <w:rsid w:val="00BF04B6"/>
    <w:rsid w:val="00BF0596"/>
    <w:rsid w:val="00BF06C8"/>
    <w:rsid w:val="00BF06FC"/>
    <w:rsid w:val="00BF070E"/>
    <w:rsid w:val="00BF07D4"/>
    <w:rsid w:val="00BF0881"/>
    <w:rsid w:val="00BF0968"/>
    <w:rsid w:val="00BF0B90"/>
    <w:rsid w:val="00BF0D39"/>
    <w:rsid w:val="00BF0DB8"/>
    <w:rsid w:val="00BF0ED5"/>
    <w:rsid w:val="00BF0F9B"/>
    <w:rsid w:val="00BF108B"/>
    <w:rsid w:val="00BF10ED"/>
    <w:rsid w:val="00BF1121"/>
    <w:rsid w:val="00BF119F"/>
    <w:rsid w:val="00BF11B7"/>
    <w:rsid w:val="00BF12F9"/>
    <w:rsid w:val="00BF13D6"/>
    <w:rsid w:val="00BF1410"/>
    <w:rsid w:val="00BF154A"/>
    <w:rsid w:val="00BF155B"/>
    <w:rsid w:val="00BF15F1"/>
    <w:rsid w:val="00BF168B"/>
    <w:rsid w:val="00BF172C"/>
    <w:rsid w:val="00BF179E"/>
    <w:rsid w:val="00BF17C9"/>
    <w:rsid w:val="00BF1800"/>
    <w:rsid w:val="00BF18F7"/>
    <w:rsid w:val="00BF1B09"/>
    <w:rsid w:val="00BF1C28"/>
    <w:rsid w:val="00BF1C96"/>
    <w:rsid w:val="00BF1CB8"/>
    <w:rsid w:val="00BF1F25"/>
    <w:rsid w:val="00BF1FFF"/>
    <w:rsid w:val="00BF20BA"/>
    <w:rsid w:val="00BF2259"/>
    <w:rsid w:val="00BF226E"/>
    <w:rsid w:val="00BF228F"/>
    <w:rsid w:val="00BF23AB"/>
    <w:rsid w:val="00BF23EC"/>
    <w:rsid w:val="00BF2698"/>
    <w:rsid w:val="00BF26CD"/>
    <w:rsid w:val="00BF2712"/>
    <w:rsid w:val="00BF2744"/>
    <w:rsid w:val="00BF28DF"/>
    <w:rsid w:val="00BF28FA"/>
    <w:rsid w:val="00BF2907"/>
    <w:rsid w:val="00BF2A5D"/>
    <w:rsid w:val="00BF2AE4"/>
    <w:rsid w:val="00BF2B7D"/>
    <w:rsid w:val="00BF2BD4"/>
    <w:rsid w:val="00BF2C1B"/>
    <w:rsid w:val="00BF2C5E"/>
    <w:rsid w:val="00BF2D8B"/>
    <w:rsid w:val="00BF2DB0"/>
    <w:rsid w:val="00BF2E75"/>
    <w:rsid w:val="00BF2EC6"/>
    <w:rsid w:val="00BF2EF8"/>
    <w:rsid w:val="00BF2F8B"/>
    <w:rsid w:val="00BF30A1"/>
    <w:rsid w:val="00BF30BC"/>
    <w:rsid w:val="00BF30C2"/>
    <w:rsid w:val="00BF30DC"/>
    <w:rsid w:val="00BF3315"/>
    <w:rsid w:val="00BF339F"/>
    <w:rsid w:val="00BF33F9"/>
    <w:rsid w:val="00BF3435"/>
    <w:rsid w:val="00BF3437"/>
    <w:rsid w:val="00BF3532"/>
    <w:rsid w:val="00BF36A4"/>
    <w:rsid w:val="00BF378E"/>
    <w:rsid w:val="00BF3792"/>
    <w:rsid w:val="00BF39C2"/>
    <w:rsid w:val="00BF3A0E"/>
    <w:rsid w:val="00BF3A23"/>
    <w:rsid w:val="00BF3A40"/>
    <w:rsid w:val="00BF3BF9"/>
    <w:rsid w:val="00BF3C2B"/>
    <w:rsid w:val="00BF3CAE"/>
    <w:rsid w:val="00BF3CB6"/>
    <w:rsid w:val="00BF3E1C"/>
    <w:rsid w:val="00BF3E43"/>
    <w:rsid w:val="00BF3F94"/>
    <w:rsid w:val="00BF3FA1"/>
    <w:rsid w:val="00BF4086"/>
    <w:rsid w:val="00BF415E"/>
    <w:rsid w:val="00BF41CD"/>
    <w:rsid w:val="00BF41E3"/>
    <w:rsid w:val="00BF4305"/>
    <w:rsid w:val="00BF4333"/>
    <w:rsid w:val="00BF4364"/>
    <w:rsid w:val="00BF4383"/>
    <w:rsid w:val="00BF44AB"/>
    <w:rsid w:val="00BF44DB"/>
    <w:rsid w:val="00BF4578"/>
    <w:rsid w:val="00BF46AC"/>
    <w:rsid w:val="00BF46CA"/>
    <w:rsid w:val="00BF46EF"/>
    <w:rsid w:val="00BF46F5"/>
    <w:rsid w:val="00BF4710"/>
    <w:rsid w:val="00BF48AA"/>
    <w:rsid w:val="00BF4A18"/>
    <w:rsid w:val="00BF4B36"/>
    <w:rsid w:val="00BF4B45"/>
    <w:rsid w:val="00BF4C50"/>
    <w:rsid w:val="00BF4C59"/>
    <w:rsid w:val="00BF4C60"/>
    <w:rsid w:val="00BF4DF4"/>
    <w:rsid w:val="00BF4E02"/>
    <w:rsid w:val="00BF4ECC"/>
    <w:rsid w:val="00BF4F55"/>
    <w:rsid w:val="00BF4FC9"/>
    <w:rsid w:val="00BF5079"/>
    <w:rsid w:val="00BF507E"/>
    <w:rsid w:val="00BF5131"/>
    <w:rsid w:val="00BF515C"/>
    <w:rsid w:val="00BF5280"/>
    <w:rsid w:val="00BF5341"/>
    <w:rsid w:val="00BF54FC"/>
    <w:rsid w:val="00BF5537"/>
    <w:rsid w:val="00BF5620"/>
    <w:rsid w:val="00BF56F1"/>
    <w:rsid w:val="00BF5737"/>
    <w:rsid w:val="00BF5849"/>
    <w:rsid w:val="00BF58A5"/>
    <w:rsid w:val="00BF58DE"/>
    <w:rsid w:val="00BF5B9E"/>
    <w:rsid w:val="00BF5BF1"/>
    <w:rsid w:val="00BF5CC5"/>
    <w:rsid w:val="00BF5CF6"/>
    <w:rsid w:val="00BF5DC5"/>
    <w:rsid w:val="00BF5DDD"/>
    <w:rsid w:val="00BF5F55"/>
    <w:rsid w:val="00BF5FD4"/>
    <w:rsid w:val="00BF6091"/>
    <w:rsid w:val="00BF61BA"/>
    <w:rsid w:val="00BF6243"/>
    <w:rsid w:val="00BF6348"/>
    <w:rsid w:val="00BF645D"/>
    <w:rsid w:val="00BF64B9"/>
    <w:rsid w:val="00BF678A"/>
    <w:rsid w:val="00BF6827"/>
    <w:rsid w:val="00BF692B"/>
    <w:rsid w:val="00BF693C"/>
    <w:rsid w:val="00BF6989"/>
    <w:rsid w:val="00BF6991"/>
    <w:rsid w:val="00BF6A6E"/>
    <w:rsid w:val="00BF6AE0"/>
    <w:rsid w:val="00BF6BC6"/>
    <w:rsid w:val="00BF6CDE"/>
    <w:rsid w:val="00BF6D4B"/>
    <w:rsid w:val="00BF6E03"/>
    <w:rsid w:val="00BF6E8C"/>
    <w:rsid w:val="00BF6ECB"/>
    <w:rsid w:val="00BF6EDA"/>
    <w:rsid w:val="00BF6F2E"/>
    <w:rsid w:val="00BF6F78"/>
    <w:rsid w:val="00BF6FAE"/>
    <w:rsid w:val="00BF70A2"/>
    <w:rsid w:val="00BF70B8"/>
    <w:rsid w:val="00BF71AF"/>
    <w:rsid w:val="00BF7258"/>
    <w:rsid w:val="00BF73B3"/>
    <w:rsid w:val="00BF73CC"/>
    <w:rsid w:val="00BF74EF"/>
    <w:rsid w:val="00BF74F8"/>
    <w:rsid w:val="00BF752E"/>
    <w:rsid w:val="00BF75C3"/>
    <w:rsid w:val="00BF75ED"/>
    <w:rsid w:val="00BF765E"/>
    <w:rsid w:val="00BF7676"/>
    <w:rsid w:val="00BF77CD"/>
    <w:rsid w:val="00BF786F"/>
    <w:rsid w:val="00BF7ADE"/>
    <w:rsid w:val="00BF7BC0"/>
    <w:rsid w:val="00BF7C1F"/>
    <w:rsid w:val="00BF7C47"/>
    <w:rsid w:val="00BF7D2D"/>
    <w:rsid w:val="00BF7D36"/>
    <w:rsid w:val="00BF7F8F"/>
    <w:rsid w:val="00BF7F9F"/>
    <w:rsid w:val="00BF7FC6"/>
    <w:rsid w:val="00C000E9"/>
    <w:rsid w:val="00C001E8"/>
    <w:rsid w:val="00C00334"/>
    <w:rsid w:val="00C00366"/>
    <w:rsid w:val="00C003AC"/>
    <w:rsid w:val="00C00404"/>
    <w:rsid w:val="00C0045B"/>
    <w:rsid w:val="00C0056F"/>
    <w:rsid w:val="00C0062A"/>
    <w:rsid w:val="00C006D8"/>
    <w:rsid w:val="00C0071C"/>
    <w:rsid w:val="00C0077E"/>
    <w:rsid w:val="00C007E8"/>
    <w:rsid w:val="00C00910"/>
    <w:rsid w:val="00C009F1"/>
    <w:rsid w:val="00C00A99"/>
    <w:rsid w:val="00C00F60"/>
    <w:rsid w:val="00C00F72"/>
    <w:rsid w:val="00C0101B"/>
    <w:rsid w:val="00C0139C"/>
    <w:rsid w:val="00C014B2"/>
    <w:rsid w:val="00C01510"/>
    <w:rsid w:val="00C01516"/>
    <w:rsid w:val="00C01682"/>
    <w:rsid w:val="00C016B1"/>
    <w:rsid w:val="00C01826"/>
    <w:rsid w:val="00C018C5"/>
    <w:rsid w:val="00C0199D"/>
    <w:rsid w:val="00C01AFE"/>
    <w:rsid w:val="00C01B18"/>
    <w:rsid w:val="00C01B2B"/>
    <w:rsid w:val="00C01BEE"/>
    <w:rsid w:val="00C01C15"/>
    <w:rsid w:val="00C01C21"/>
    <w:rsid w:val="00C01C59"/>
    <w:rsid w:val="00C01C5C"/>
    <w:rsid w:val="00C01DD9"/>
    <w:rsid w:val="00C01DDE"/>
    <w:rsid w:val="00C01DE1"/>
    <w:rsid w:val="00C01E46"/>
    <w:rsid w:val="00C01EE2"/>
    <w:rsid w:val="00C01F43"/>
    <w:rsid w:val="00C01F7E"/>
    <w:rsid w:val="00C0204A"/>
    <w:rsid w:val="00C020E8"/>
    <w:rsid w:val="00C020F0"/>
    <w:rsid w:val="00C02297"/>
    <w:rsid w:val="00C023AE"/>
    <w:rsid w:val="00C023C1"/>
    <w:rsid w:val="00C0240D"/>
    <w:rsid w:val="00C02433"/>
    <w:rsid w:val="00C02617"/>
    <w:rsid w:val="00C02624"/>
    <w:rsid w:val="00C0278A"/>
    <w:rsid w:val="00C027B8"/>
    <w:rsid w:val="00C027C4"/>
    <w:rsid w:val="00C027F3"/>
    <w:rsid w:val="00C028DB"/>
    <w:rsid w:val="00C02AFB"/>
    <w:rsid w:val="00C02C08"/>
    <w:rsid w:val="00C02CA7"/>
    <w:rsid w:val="00C02DF0"/>
    <w:rsid w:val="00C02E30"/>
    <w:rsid w:val="00C02ED4"/>
    <w:rsid w:val="00C02ED5"/>
    <w:rsid w:val="00C02F3B"/>
    <w:rsid w:val="00C031B0"/>
    <w:rsid w:val="00C03219"/>
    <w:rsid w:val="00C03272"/>
    <w:rsid w:val="00C0329B"/>
    <w:rsid w:val="00C03327"/>
    <w:rsid w:val="00C03717"/>
    <w:rsid w:val="00C0397A"/>
    <w:rsid w:val="00C039AB"/>
    <w:rsid w:val="00C03A18"/>
    <w:rsid w:val="00C03BEC"/>
    <w:rsid w:val="00C03C0C"/>
    <w:rsid w:val="00C03C1E"/>
    <w:rsid w:val="00C03C6C"/>
    <w:rsid w:val="00C03C8A"/>
    <w:rsid w:val="00C03D84"/>
    <w:rsid w:val="00C03D96"/>
    <w:rsid w:val="00C03E50"/>
    <w:rsid w:val="00C03FAA"/>
    <w:rsid w:val="00C041C3"/>
    <w:rsid w:val="00C041DE"/>
    <w:rsid w:val="00C04210"/>
    <w:rsid w:val="00C04257"/>
    <w:rsid w:val="00C042A4"/>
    <w:rsid w:val="00C044DF"/>
    <w:rsid w:val="00C045E9"/>
    <w:rsid w:val="00C04747"/>
    <w:rsid w:val="00C047A5"/>
    <w:rsid w:val="00C047A8"/>
    <w:rsid w:val="00C047CF"/>
    <w:rsid w:val="00C04920"/>
    <w:rsid w:val="00C0497F"/>
    <w:rsid w:val="00C049FE"/>
    <w:rsid w:val="00C04A69"/>
    <w:rsid w:val="00C04BC4"/>
    <w:rsid w:val="00C04C95"/>
    <w:rsid w:val="00C04EA8"/>
    <w:rsid w:val="00C04EBE"/>
    <w:rsid w:val="00C04F28"/>
    <w:rsid w:val="00C05143"/>
    <w:rsid w:val="00C05153"/>
    <w:rsid w:val="00C05321"/>
    <w:rsid w:val="00C0535B"/>
    <w:rsid w:val="00C0547A"/>
    <w:rsid w:val="00C0565F"/>
    <w:rsid w:val="00C05727"/>
    <w:rsid w:val="00C0579F"/>
    <w:rsid w:val="00C057BC"/>
    <w:rsid w:val="00C05823"/>
    <w:rsid w:val="00C0587A"/>
    <w:rsid w:val="00C0588F"/>
    <w:rsid w:val="00C059A1"/>
    <w:rsid w:val="00C059AC"/>
    <w:rsid w:val="00C059C8"/>
    <w:rsid w:val="00C05A6C"/>
    <w:rsid w:val="00C05A6E"/>
    <w:rsid w:val="00C05B39"/>
    <w:rsid w:val="00C05BB8"/>
    <w:rsid w:val="00C05D18"/>
    <w:rsid w:val="00C05D1A"/>
    <w:rsid w:val="00C05DB0"/>
    <w:rsid w:val="00C05DC5"/>
    <w:rsid w:val="00C05DD2"/>
    <w:rsid w:val="00C05E2B"/>
    <w:rsid w:val="00C05E94"/>
    <w:rsid w:val="00C05F91"/>
    <w:rsid w:val="00C05FC0"/>
    <w:rsid w:val="00C06039"/>
    <w:rsid w:val="00C06166"/>
    <w:rsid w:val="00C061FD"/>
    <w:rsid w:val="00C0626E"/>
    <w:rsid w:val="00C06272"/>
    <w:rsid w:val="00C06318"/>
    <w:rsid w:val="00C06336"/>
    <w:rsid w:val="00C06425"/>
    <w:rsid w:val="00C0652C"/>
    <w:rsid w:val="00C06688"/>
    <w:rsid w:val="00C06689"/>
    <w:rsid w:val="00C068D1"/>
    <w:rsid w:val="00C068EA"/>
    <w:rsid w:val="00C068EF"/>
    <w:rsid w:val="00C06A2A"/>
    <w:rsid w:val="00C06AC3"/>
    <w:rsid w:val="00C06B3A"/>
    <w:rsid w:val="00C06BC2"/>
    <w:rsid w:val="00C06BEA"/>
    <w:rsid w:val="00C06D27"/>
    <w:rsid w:val="00C06DB6"/>
    <w:rsid w:val="00C06EA5"/>
    <w:rsid w:val="00C0717A"/>
    <w:rsid w:val="00C071B1"/>
    <w:rsid w:val="00C07262"/>
    <w:rsid w:val="00C07359"/>
    <w:rsid w:val="00C073DB"/>
    <w:rsid w:val="00C073E4"/>
    <w:rsid w:val="00C07422"/>
    <w:rsid w:val="00C07481"/>
    <w:rsid w:val="00C075AB"/>
    <w:rsid w:val="00C0761D"/>
    <w:rsid w:val="00C07623"/>
    <w:rsid w:val="00C0766E"/>
    <w:rsid w:val="00C076DE"/>
    <w:rsid w:val="00C077E8"/>
    <w:rsid w:val="00C077FE"/>
    <w:rsid w:val="00C07888"/>
    <w:rsid w:val="00C07974"/>
    <w:rsid w:val="00C07A69"/>
    <w:rsid w:val="00C07ACA"/>
    <w:rsid w:val="00C07B0D"/>
    <w:rsid w:val="00C07B25"/>
    <w:rsid w:val="00C07B4C"/>
    <w:rsid w:val="00C07D78"/>
    <w:rsid w:val="00C07E08"/>
    <w:rsid w:val="00C07E5E"/>
    <w:rsid w:val="00C07E66"/>
    <w:rsid w:val="00C07E6F"/>
    <w:rsid w:val="00C07E79"/>
    <w:rsid w:val="00C07F5A"/>
    <w:rsid w:val="00C10061"/>
    <w:rsid w:val="00C101CE"/>
    <w:rsid w:val="00C101DE"/>
    <w:rsid w:val="00C102D3"/>
    <w:rsid w:val="00C102E9"/>
    <w:rsid w:val="00C102FA"/>
    <w:rsid w:val="00C10318"/>
    <w:rsid w:val="00C1037B"/>
    <w:rsid w:val="00C103FD"/>
    <w:rsid w:val="00C10446"/>
    <w:rsid w:val="00C10459"/>
    <w:rsid w:val="00C104BB"/>
    <w:rsid w:val="00C10519"/>
    <w:rsid w:val="00C10591"/>
    <w:rsid w:val="00C105CE"/>
    <w:rsid w:val="00C10692"/>
    <w:rsid w:val="00C106CB"/>
    <w:rsid w:val="00C106EA"/>
    <w:rsid w:val="00C10771"/>
    <w:rsid w:val="00C10796"/>
    <w:rsid w:val="00C107C3"/>
    <w:rsid w:val="00C1096E"/>
    <w:rsid w:val="00C10A15"/>
    <w:rsid w:val="00C10A85"/>
    <w:rsid w:val="00C10ABD"/>
    <w:rsid w:val="00C10B40"/>
    <w:rsid w:val="00C10B48"/>
    <w:rsid w:val="00C10B6B"/>
    <w:rsid w:val="00C10BCA"/>
    <w:rsid w:val="00C10BE8"/>
    <w:rsid w:val="00C10F03"/>
    <w:rsid w:val="00C10F67"/>
    <w:rsid w:val="00C11002"/>
    <w:rsid w:val="00C1106D"/>
    <w:rsid w:val="00C112D2"/>
    <w:rsid w:val="00C11346"/>
    <w:rsid w:val="00C11395"/>
    <w:rsid w:val="00C113E5"/>
    <w:rsid w:val="00C114F6"/>
    <w:rsid w:val="00C117E5"/>
    <w:rsid w:val="00C11830"/>
    <w:rsid w:val="00C1192E"/>
    <w:rsid w:val="00C11942"/>
    <w:rsid w:val="00C11A77"/>
    <w:rsid w:val="00C11AB3"/>
    <w:rsid w:val="00C11AF3"/>
    <w:rsid w:val="00C11CB8"/>
    <w:rsid w:val="00C11D22"/>
    <w:rsid w:val="00C11D5C"/>
    <w:rsid w:val="00C11E04"/>
    <w:rsid w:val="00C11ED7"/>
    <w:rsid w:val="00C11F17"/>
    <w:rsid w:val="00C11F83"/>
    <w:rsid w:val="00C11FEF"/>
    <w:rsid w:val="00C12072"/>
    <w:rsid w:val="00C120D2"/>
    <w:rsid w:val="00C12147"/>
    <w:rsid w:val="00C121C8"/>
    <w:rsid w:val="00C1227F"/>
    <w:rsid w:val="00C12284"/>
    <w:rsid w:val="00C122A0"/>
    <w:rsid w:val="00C123F5"/>
    <w:rsid w:val="00C12504"/>
    <w:rsid w:val="00C1256F"/>
    <w:rsid w:val="00C12587"/>
    <w:rsid w:val="00C12669"/>
    <w:rsid w:val="00C126A4"/>
    <w:rsid w:val="00C126DD"/>
    <w:rsid w:val="00C12717"/>
    <w:rsid w:val="00C1278D"/>
    <w:rsid w:val="00C1279A"/>
    <w:rsid w:val="00C127B1"/>
    <w:rsid w:val="00C127F4"/>
    <w:rsid w:val="00C12906"/>
    <w:rsid w:val="00C12934"/>
    <w:rsid w:val="00C12974"/>
    <w:rsid w:val="00C1298D"/>
    <w:rsid w:val="00C12B3A"/>
    <w:rsid w:val="00C12BC8"/>
    <w:rsid w:val="00C12E22"/>
    <w:rsid w:val="00C12F23"/>
    <w:rsid w:val="00C12F2B"/>
    <w:rsid w:val="00C1309E"/>
    <w:rsid w:val="00C13104"/>
    <w:rsid w:val="00C1313A"/>
    <w:rsid w:val="00C1329D"/>
    <w:rsid w:val="00C132A5"/>
    <w:rsid w:val="00C132C6"/>
    <w:rsid w:val="00C13354"/>
    <w:rsid w:val="00C1337F"/>
    <w:rsid w:val="00C133DD"/>
    <w:rsid w:val="00C133F3"/>
    <w:rsid w:val="00C13436"/>
    <w:rsid w:val="00C13476"/>
    <w:rsid w:val="00C134E3"/>
    <w:rsid w:val="00C1355F"/>
    <w:rsid w:val="00C135E6"/>
    <w:rsid w:val="00C13620"/>
    <w:rsid w:val="00C13650"/>
    <w:rsid w:val="00C13657"/>
    <w:rsid w:val="00C13665"/>
    <w:rsid w:val="00C1384E"/>
    <w:rsid w:val="00C1385A"/>
    <w:rsid w:val="00C138F9"/>
    <w:rsid w:val="00C139DB"/>
    <w:rsid w:val="00C13C61"/>
    <w:rsid w:val="00C13E16"/>
    <w:rsid w:val="00C13E85"/>
    <w:rsid w:val="00C14026"/>
    <w:rsid w:val="00C14078"/>
    <w:rsid w:val="00C140E7"/>
    <w:rsid w:val="00C14216"/>
    <w:rsid w:val="00C143DE"/>
    <w:rsid w:val="00C14731"/>
    <w:rsid w:val="00C147F9"/>
    <w:rsid w:val="00C14858"/>
    <w:rsid w:val="00C148AD"/>
    <w:rsid w:val="00C149E0"/>
    <w:rsid w:val="00C14B4C"/>
    <w:rsid w:val="00C14BBC"/>
    <w:rsid w:val="00C14BFD"/>
    <w:rsid w:val="00C14C0A"/>
    <w:rsid w:val="00C14C20"/>
    <w:rsid w:val="00C14C93"/>
    <w:rsid w:val="00C14CD3"/>
    <w:rsid w:val="00C14D08"/>
    <w:rsid w:val="00C14D7C"/>
    <w:rsid w:val="00C14F06"/>
    <w:rsid w:val="00C1506D"/>
    <w:rsid w:val="00C151A5"/>
    <w:rsid w:val="00C151AA"/>
    <w:rsid w:val="00C15259"/>
    <w:rsid w:val="00C15378"/>
    <w:rsid w:val="00C153C8"/>
    <w:rsid w:val="00C1554E"/>
    <w:rsid w:val="00C15685"/>
    <w:rsid w:val="00C157CA"/>
    <w:rsid w:val="00C15833"/>
    <w:rsid w:val="00C158CF"/>
    <w:rsid w:val="00C158EE"/>
    <w:rsid w:val="00C15A3E"/>
    <w:rsid w:val="00C15B28"/>
    <w:rsid w:val="00C15BDD"/>
    <w:rsid w:val="00C15C14"/>
    <w:rsid w:val="00C15D36"/>
    <w:rsid w:val="00C15D59"/>
    <w:rsid w:val="00C15DB9"/>
    <w:rsid w:val="00C15EE0"/>
    <w:rsid w:val="00C15F4B"/>
    <w:rsid w:val="00C15FF0"/>
    <w:rsid w:val="00C160A8"/>
    <w:rsid w:val="00C16155"/>
    <w:rsid w:val="00C1626F"/>
    <w:rsid w:val="00C1634D"/>
    <w:rsid w:val="00C1637D"/>
    <w:rsid w:val="00C1638B"/>
    <w:rsid w:val="00C1643A"/>
    <w:rsid w:val="00C165C9"/>
    <w:rsid w:val="00C16662"/>
    <w:rsid w:val="00C1671D"/>
    <w:rsid w:val="00C16851"/>
    <w:rsid w:val="00C1688D"/>
    <w:rsid w:val="00C168B0"/>
    <w:rsid w:val="00C1692D"/>
    <w:rsid w:val="00C16A31"/>
    <w:rsid w:val="00C16C5A"/>
    <w:rsid w:val="00C16C82"/>
    <w:rsid w:val="00C16DAA"/>
    <w:rsid w:val="00C16F63"/>
    <w:rsid w:val="00C16FC2"/>
    <w:rsid w:val="00C170C5"/>
    <w:rsid w:val="00C17260"/>
    <w:rsid w:val="00C17270"/>
    <w:rsid w:val="00C172A9"/>
    <w:rsid w:val="00C172F4"/>
    <w:rsid w:val="00C17359"/>
    <w:rsid w:val="00C17485"/>
    <w:rsid w:val="00C174C0"/>
    <w:rsid w:val="00C1755E"/>
    <w:rsid w:val="00C175D2"/>
    <w:rsid w:val="00C1767E"/>
    <w:rsid w:val="00C176C6"/>
    <w:rsid w:val="00C17739"/>
    <w:rsid w:val="00C1776B"/>
    <w:rsid w:val="00C17829"/>
    <w:rsid w:val="00C17838"/>
    <w:rsid w:val="00C17844"/>
    <w:rsid w:val="00C1786F"/>
    <w:rsid w:val="00C17886"/>
    <w:rsid w:val="00C178EE"/>
    <w:rsid w:val="00C178FF"/>
    <w:rsid w:val="00C179FE"/>
    <w:rsid w:val="00C17A4D"/>
    <w:rsid w:val="00C17A6E"/>
    <w:rsid w:val="00C17A8A"/>
    <w:rsid w:val="00C17B58"/>
    <w:rsid w:val="00C17BEA"/>
    <w:rsid w:val="00C17C00"/>
    <w:rsid w:val="00C17C1D"/>
    <w:rsid w:val="00C17CE8"/>
    <w:rsid w:val="00C17D61"/>
    <w:rsid w:val="00C17D7A"/>
    <w:rsid w:val="00C17E2E"/>
    <w:rsid w:val="00C17EDB"/>
    <w:rsid w:val="00C17F57"/>
    <w:rsid w:val="00C17F95"/>
    <w:rsid w:val="00C17FBF"/>
    <w:rsid w:val="00C17FD3"/>
    <w:rsid w:val="00C2009A"/>
    <w:rsid w:val="00C200E2"/>
    <w:rsid w:val="00C20130"/>
    <w:rsid w:val="00C201D4"/>
    <w:rsid w:val="00C20260"/>
    <w:rsid w:val="00C20266"/>
    <w:rsid w:val="00C2028A"/>
    <w:rsid w:val="00C2030E"/>
    <w:rsid w:val="00C20703"/>
    <w:rsid w:val="00C208C1"/>
    <w:rsid w:val="00C20996"/>
    <w:rsid w:val="00C209AD"/>
    <w:rsid w:val="00C20A56"/>
    <w:rsid w:val="00C20B4A"/>
    <w:rsid w:val="00C20BDE"/>
    <w:rsid w:val="00C20E31"/>
    <w:rsid w:val="00C20E4D"/>
    <w:rsid w:val="00C20F59"/>
    <w:rsid w:val="00C21059"/>
    <w:rsid w:val="00C21096"/>
    <w:rsid w:val="00C21184"/>
    <w:rsid w:val="00C211A5"/>
    <w:rsid w:val="00C211EE"/>
    <w:rsid w:val="00C2122A"/>
    <w:rsid w:val="00C2122E"/>
    <w:rsid w:val="00C21257"/>
    <w:rsid w:val="00C212A4"/>
    <w:rsid w:val="00C2135C"/>
    <w:rsid w:val="00C21444"/>
    <w:rsid w:val="00C21477"/>
    <w:rsid w:val="00C214C9"/>
    <w:rsid w:val="00C2162B"/>
    <w:rsid w:val="00C2167C"/>
    <w:rsid w:val="00C216DD"/>
    <w:rsid w:val="00C2171F"/>
    <w:rsid w:val="00C21751"/>
    <w:rsid w:val="00C21797"/>
    <w:rsid w:val="00C2183B"/>
    <w:rsid w:val="00C218CD"/>
    <w:rsid w:val="00C21924"/>
    <w:rsid w:val="00C21A0A"/>
    <w:rsid w:val="00C21A3E"/>
    <w:rsid w:val="00C21B4E"/>
    <w:rsid w:val="00C21BA0"/>
    <w:rsid w:val="00C21C31"/>
    <w:rsid w:val="00C21D34"/>
    <w:rsid w:val="00C21DF8"/>
    <w:rsid w:val="00C21FB4"/>
    <w:rsid w:val="00C21FDA"/>
    <w:rsid w:val="00C21FF8"/>
    <w:rsid w:val="00C22027"/>
    <w:rsid w:val="00C221AE"/>
    <w:rsid w:val="00C22254"/>
    <w:rsid w:val="00C222A5"/>
    <w:rsid w:val="00C222AF"/>
    <w:rsid w:val="00C22333"/>
    <w:rsid w:val="00C22375"/>
    <w:rsid w:val="00C22388"/>
    <w:rsid w:val="00C22412"/>
    <w:rsid w:val="00C22431"/>
    <w:rsid w:val="00C224BB"/>
    <w:rsid w:val="00C224CE"/>
    <w:rsid w:val="00C22514"/>
    <w:rsid w:val="00C22640"/>
    <w:rsid w:val="00C2267E"/>
    <w:rsid w:val="00C22701"/>
    <w:rsid w:val="00C2270C"/>
    <w:rsid w:val="00C22794"/>
    <w:rsid w:val="00C227D0"/>
    <w:rsid w:val="00C227DF"/>
    <w:rsid w:val="00C22916"/>
    <w:rsid w:val="00C22A8D"/>
    <w:rsid w:val="00C22B04"/>
    <w:rsid w:val="00C22B37"/>
    <w:rsid w:val="00C22B85"/>
    <w:rsid w:val="00C22C81"/>
    <w:rsid w:val="00C22CDC"/>
    <w:rsid w:val="00C22ED0"/>
    <w:rsid w:val="00C22F2B"/>
    <w:rsid w:val="00C230C9"/>
    <w:rsid w:val="00C23216"/>
    <w:rsid w:val="00C2324B"/>
    <w:rsid w:val="00C2326E"/>
    <w:rsid w:val="00C23322"/>
    <w:rsid w:val="00C233F2"/>
    <w:rsid w:val="00C23454"/>
    <w:rsid w:val="00C235D3"/>
    <w:rsid w:val="00C235F0"/>
    <w:rsid w:val="00C23692"/>
    <w:rsid w:val="00C236B5"/>
    <w:rsid w:val="00C23872"/>
    <w:rsid w:val="00C23882"/>
    <w:rsid w:val="00C2391A"/>
    <w:rsid w:val="00C2394D"/>
    <w:rsid w:val="00C2395F"/>
    <w:rsid w:val="00C23A19"/>
    <w:rsid w:val="00C23A3E"/>
    <w:rsid w:val="00C23A7D"/>
    <w:rsid w:val="00C23A91"/>
    <w:rsid w:val="00C23AE3"/>
    <w:rsid w:val="00C23B45"/>
    <w:rsid w:val="00C23B95"/>
    <w:rsid w:val="00C23BB5"/>
    <w:rsid w:val="00C23BF8"/>
    <w:rsid w:val="00C23E1D"/>
    <w:rsid w:val="00C23EC3"/>
    <w:rsid w:val="00C23EEA"/>
    <w:rsid w:val="00C23F22"/>
    <w:rsid w:val="00C23FCE"/>
    <w:rsid w:val="00C23FDB"/>
    <w:rsid w:val="00C23FFA"/>
    <w:rsid w:val="00C2407D"/>
    <w:rsid w:val="00C2408B"/>
    <w:rsid w:val="00C2411A"/>
    <w:rsid w:val="00C2447E"/>
    <w:rsid w:val="00C24499"/>
    <w:rsid w:val="00C244E5"/>
    <w:rsid w:val="00C2454D"/>
    <w:rsid w:val="00C2457A"/>
    <w:rsid w:val="00C24626"/>
    <w:rsid w:val="00C24695"/>
    <w:rsid w:val="00C246BC"/>
    <w:rsid w:val="00C246E3"/>
    <w:rsid w:val="00C24817"/>
    <w:rsid w:val="00C24823"/>
    <w:rsid w:val="00C24897"/>
    <w:rsid w:val="00C248FE"/>
    <w:rsid w:val="00C24968"/>
    <w:rsid w:val="00C24ACF"/>
    <w:rsid w:val="00C24BCC"/>
    <w:rsid w:val="00C24D1F"/>
    <w:rsid w:val="00C24D79"/>
    <w:rsid w:val="00C24DC9"/>
    <w:rsid w:val="00C24F24"/>
    <w:rsid w:val="00C24F26"/>
    <w:rsid w:val="00C24F60"/>
    <w:rsid w:val="00C25011"/>
    <w:rsid w:val="00C25144"/>
    <w:rsid w:val="00C25297"/>
    <w:rsid w:val="00C252CA"/>
    <w:rsid w:val="00C252DD"/>
    <w:rsid w:val="00C252F7"/>
    <w:rsid w:val="00C25378"/>
    <w:rsid w:val="00C2537F"/>
    <w:rsid w:val="00C2542D"/>
    <w:rsid w:val="00C254DA"/>
    <w:rsid w:val="00C25567"/>
    <w:rsid w:val="00C25643"/>
    <w:rsid w:val="00C25668"/>
    <w:rsid w:val="00C256A9"/>
    <w:rsid w:val="00C257B6"/>
    <w:rsid w:val="00C257DB"/>
    <w:rsid w:val="00C25875"/>
    <w:rsid w:val="00C25A40"/>
    <w:rsid w:val="00C25AD1"/>
    <w:rsid w:val="00C25B2A"/>
    <w:rsid w:val="00C25B3C"/>
    <w:rsid w:val="00C25B95"/>
    <w:rsid w:val="00C25BCA"/>
    <w:rsid w:val="00C25C6B"/>
    <w:rsid w:val="00C25C99"/>
    <w:rsid w:val="00C25DAE"/>
    <w:rsid w:val="00C25DB8"/>
    <w:rsid w:val="00C25DD1"/>
    <w:rsid w:val="00C25E7F"/>
    <w:rsid w:val="00C25F1F"/>
    <w:rsid w:val="00C25F7B"/>
    <w:rsid w:val="00C26078"/>
    <w:rsid w:val="00C2608D"/>
    <w:rsid w:val="00C26107"/>
    <w:rsid w:val="00C26194"/>
    <w:rsid w:val="00C2632F"/>
    <w:rsid w:val="00C26366"/>
    <w:rsid w:val="00C263A2"/>
    <w:rsid w:val="00C263F3"/>
    <w:rsid w:val="00C263FC"/>
    <w:rsid w:val="00C26540"/>
    <w:rsid w:val="00C26558"/>
    <w:rsid w:val="00C26600"/>
    <w:rsid w:val="00C267BB"/>
    <w:rsid w:val="00C267E6"/>
    <w:rsid w:val="00C269DD"/>
    <w:rsid w:val="00C26AE9"/>
    <w:rsid w:val="00C26B11"/>
    <w:rsid w:val="00C26D45"/>
    <w:rsid w:val="00C26D95"/>
    <w:rsid w:val="00C26EFD"/>
    <w:rsid w:val="00C26F36"/>
    <w:rsid w:val="00C26F39"/>
    <w:rsid w:val="00C27226"/>
    <w:rsid w:val="00C27310"/>
    <w:rsid w:val="00C274D4"/>
    <w:rsid w:val="00C2756F"/>
    <w:rsid w:val="00C275BA"/>
    <w:rsid w:val="00C275F5"/>
    <w:rsid w:val="00C275FE"/>
    <w:rsid w:val="00C276AE"/>
    <w:rsid w:val="00C27732"/>
    <w:rsid w:val="00C27771"/>
    <w:rsid w:val="00C27784"/>
    <w:rsid w:val="00C2788C"/>
    <w:rsid w:val="00C27899"/>
    <w:rsid w:val="00C278F2"/>
    <w:rsid w:val="00C278F6"/>
    <w:rsid w:val="00C27933"/>
    <w:rsid w:val="00C279A5"/>
    <w:rsid w:val="00C27A05"/>
    <w:rsid w:val="00C27A07"/>
    <w:rsid w:val="00C27A86"/>
    <w:rsid w:val="00C27AC3"/>
    <w:rsid w:val="00C27AF3"/>
    <w:rsid w:val="00C27B54"/>
    <w:rsid w:val="00C27BB7"/>
    <w:rsid w:val="00C27CA4"/>
    <w:rsid w:val="00C27D04"/>
    <w:rsid w:val="00C27DA2"/>
    <w:rsid w:val="00C27DBE"/>
    <w:rsid w:val="00C27F40"/>
    <w:rsid w:val="00C27F7C"/>
    <w:rsid w:val="00C3011F"/>
    <w:rsid w:val="00C301BE"/>
    <w:rsid w:val="00C304E7"/>
    <w:rsid w:val="00C30508"/>
    <w:rsid w:val="00C30546"/>
    <w:rsid w:val="00C3058C"/>
    <w:rsid w:val="00C306B0"/>
    <w:rsid w:val="00C306B3"/>
    <w:rsid w:val="00C30796"/>
    <w:rsid w:val="00C30841"/>
    <w:rsid w:val="00C30A7D"/>
    <w:rsid w:val="00C30AB6"/>
    <w:rsid w:val="00C30BBD"/>
    <w:rsid w:val="00C30BDE"/>
    <w:rsid w:val="00C30D83"/>
    <w:rsid w:val="00C30F3D"/>
    <w:rsid w:val="00C30FF7"/>
    <w:rsid w:val="00C30FFF"/>
    <w:rsid w:val="00C3103B"/>
    <w:rsid w:val="00C310B4"/>
    <w:rsid w:val="00C310BC"/>
    <w:rsid w:val="00C31316"/>
    <w:rsid w:val="00C313B8"/>
    <w:rsid w:val="00C313CB"/>
    <w:rsid w:val="00C31627"/>
    <w:rsid w:val="00C3170E"/>
    <w:rsid w:val="00C31741"/>
    <w:rsid w:val="00C317C4"/>
    <w:rsid w:val="00C317F4"/>
    <w:rsid w:val="00C319EF"/>
    <w:rsid w:val="00C31A85"/>
    <w:rsid w:val="00C31BD2"/>
    <w:rsid w:val="00C31C04"/>
    <w:rsid w:val="00C31D3D"/>
    <w:rsid w:val="00C31D98"/>
    <w:rsid w:val="00C31D9B"/>
    <w:rsid w:val="00C31E25"/>
    <w:rsid w:val="00C31E41"/>
    <w:rsid w:val="00C31E9A"/>
    <w:rsid w:val="00C31EF5"/>
    <w:rsid w:val="00C31EFD"/>
    <w:rsid w:val="00C31F2A"/>
    <w:rsid w:val="00C31FEB"/>
    <w:rsid w:val="00C320D8"/>
    <w:rsid w:val="00C3214C"/>
    <w:rsid w:val="00C321E7"/>
    <w:rsid w:val="00C32213"/>
    <w:rsid w:val="00C32375"/>
    <w:rsid w:val="00C32463"/>
    <w:rsid w:val="00C324EF"/>
    <w:rsid w:val="00C325E1"/>
    <w:rsid w:val="00C32627"/>
    <w:rsid w:val="00C32644"/>
    <w:rsid w:val="00C32789"/>
    <w:rsid w:val="00C327AE"/>
    <w:rsid w:val="00C3284B"/>
    <w:rsid w:val="00C328E0"/>
    <w:rsid w:val="00C328FF"/>
    <w:rsid w:val="00C32A2D"/>
    <w:rsid w:val="00C32AED"/>
    <w:rsid w:val="00C32D90"/>
    <w:rsid w:val="00C32EE2"/>
    <w:rsid w:val="00C3305E"/>
    <w:rsid w:val="00C33138"/>
    <w:rsid w:val="00C33615"/>
    <w:rsid w:val="00C33627"/>
    <w:rsid w:val="00C336DF"/>
    <w:rsid w:val="00C337B1"/>
    <w:rsid w:val="00C33938"/>
    <w:rsid w:val="00C3395E"/>
    <w:rsid w:val="00C33992"/>
    <w:rsid w:val="00C339AA"/>
    <w:rsid w:val="00C339C8"/>
    <w:rsid w:val="00C33C37"/>
    <w:rsid w:val="00C33CE7"/>
    <w:rsid w:val="00C33D2E"/>
    <w:rsid w:val="00C33D3A"/>
    <w:rsid w:val="00C33DF9"/>
    <w:rsid w:val="00C33F1F"/>
    <w:rsid w:val="00C33F2F"/>
    <w:rsid w:val="00C33FE3"/>
    <w:rsid w:val="00C342B0"/>
    <w:rsid w:val="00C343CC"/>
    <w:rsid w:val="00C34482"/>
    <w:rsid w:val="00C345B1"/>
    <w:rsid w:val="00C3461C"/>
    <w:rsid w:val="00C3464A"/>
    <w:rsid w:val="00C346F7"/>
    <w:rsid w:val="00C34758"/>
    <w:rsid w:val="00C348CE"/>
    <w:rsid w:val="00C349E6"/>
    <w:rsid w:val="00C34A93"/>
    <w:rsid w:val="00C34ABC"/>
    <w:rsid w:val="00C34C11"/>
    <w:rsid w:val="00C34D81"/>
    <w:rsid w:val="00C34DBC"/>
    <w:rsid w:val="00C34DC6"/>
    <w:rsid w:val="00C34ECA"/>
    <w:rsid w:val="00C34F3D"/>
    <w:rsid w:val="00C34F5F"/>
    <w:rsid w:val="00C34FCD"/>
    <w:rsid w:val="00C3509A"/>
    <w:rsid w:val="00C35105"/>
    <w:rsid w:val="00C35177"/>
    <w:rsid w:val="00C351B7"/>
    <w:rsid w:val="00C35258"/>
    <w:rsid w:val="00C352E6"/>
    <w:rsid w:val="00C35307"/>
    <w:rsid w:val="00C35448"/>
    <w:rsid w:val="00C354A3"/>
    <w:rsid w:val="00C354A8"/>
    <w:rsid w:val="00C35548"/>
    <w:rsid w:val="00C3558C"/>
    <w:rsid w:val="00C3570C"/>
    <w:rsid w:val="00C35782"/>
    <w:rsid w:val="00C357A4"/>
    <w:rsid w:val="00C357C6"/>
    <w:rsid w:val="00C358E0"/>
    <w:rsid w:val="00C35AA4"/>
    <w:rsid w:val="00C35AB3"/>
    <w:rsid w:val="00C35BD8"/>
    <w:rsid w:val="00C35C6E"/>
    <w:rsid w:val="00C35CF6"/>
    <w:rsid w:val="00C35DF1"/>
    <w:rsid w:val="00C35E09"/>
    <w:rsid w:val="00C35E6C"/>
    <w:rsid w:val="00C35E6F"/>
    <w:rsid w:val="00C35F67"/>
    <w:rsid w:val="00C35FBA"/>
    <w:rsid w:val="00C36063"/>
    <w:rsid w:val="00C360A4"/>
    <w:rsid w:val="00C360AD"/>
    <w:rsid w:val="00C360EE"/>
    <w:rsid w:val="00C36168"/>
    <w:rsid w:val="00C361A0"/>
    <w:rsid w:val="00C36255"/>
    <w:rsid w:val="00C363F8"/>
    <w:rsid w:val="00C36523"/>
    <w:rsid w:val="00C36545"/>
    <w:rsid w:val="00C365D8"/>
    <w:rsid w:val="00C367D3"/>
    <w:rsid w:val="00C3688B"/>
    <w:rsid w:val="00C368BF"/>
    <w:rsid w:val="00C36A52"/>
    <w:rsid w:val="00C36AE7"/>
    <w:rsid w:val="00C36B6B"/>
    <w:rsid w:val="00C36CCF"/>
    <w:rsid w:val="00C36CFF"/>
    <w:rsid w:val="00C36F21"/>
    <w:rsid w:val="00C36FBF"/>
    <w:rsid w:val="00C370D3"/>
    <w:rsid w:val="00C37142"/>
    <w:rsid w:val="00C37179"/>
    <w:rsid w:val="00C371E9"/>
    <w:rsid w:val="00C372F4"/>
    <w:rsid w:val="00C37314"/>
    <w:rsid w:val="00C37361"/>
    <w:rsid w:val="00C37394"/>
    <w:rsid w:val="00C373EB"/>
    <w:rsid w:val="00C37435"/>
    <w:rsid w:val="00C374EA"/>
    <w:rsid w:val="00C3753D"/>
    <w:rsid w:val="00C37622"/>
    <w:rsid w:val="00C3769B"/>
    <w:rsid w:val="00C376AB"/>
    <w:rsid w:val="00C376F7"/>
    <w:rsid w:val="00C37805"/>
    <w:rsid w:val="00C378C8"/>
    <w:rsid w:val="00C37908"/>
    <w:rsid w:val="00C37ACB"/>
    <w:rsid w:val="00C37BB7"/>
    <w:rsid w:val="00C37BF4"/>
    <w:rsid w:val="00C37C0E"/>
    <w:rsid w:val="00C37DC7"/>
    <w:rsid w:val="00C37DD5"/>
    <w:rsid w:val="00C37E9D"/>
    <w:rsid w:val="00C40089"/>
    <w:rsid w:val="00C400A6"/>
    <w:rsid w:val="00C401AF"/>
    <w:rsid w:val="00C40215"/>
    <w:rsid w:val="00C4024F"/>
    <w:rsid w:val="00C404A5"/>
    <w:rsid w:val="00C404D0"/>
    <w:rsid w:val="00C4058D"/>
    <w:rsid w:val="00C40591"/>
    <w:rsid w:val="00C40619"/>
    <w:rsid w:val="00C4069C"/>
    <w:rsid w:val="00C406EB"/>
    <w:rsid w:val="00C40712"/>
    <w:rsid w:val="00C4073B"/>
    <w:rsid w:val="00C4075D"/>
    <w:rsid w:val="00C40768"/>
    <w:rsid w:val="00C407B7"/>
    <w:rsid w:val="00C407F0"/>
    <w:rsid w:val="00C408D7"/>
    <w:rsid w:val="00C40920"/>
    <w:rsid w:val="00C4096F"/>
    <w:rsid w:val="00C40989"/>
    <w:rsid w:val="00C40A12"/>
    <w:rsid w:val="00C40B72"/>
    <w:rsid w:val="00C40C83"/>
    <w:rsid w:val="00C40CCA"/>
    <w:rsid w:val="00C40D2D"/>
    <w:rsid w:val="00C40D81"/>
    <w:rsid w:val="00C40DAA"/>
    <w:rsid w:val="00C40E11"/>
    <w:rsid w:val="00C40E35"/>
    <w:rsid w:val="00C40F0D"/>
    <w:rsid w:val="00C40F16"/>
    <w:rsid w:val="00C4109E"/>
    <w:rsid w:val="00C410F7"/>
    <w:rsid w:val="00C413BF"/>
    <w:rsid w:val="00C413D1"/>
    <w:rsid w:val="00C4143F"/>
    <w:rsid w:val="00C41456"/>
    <w:rsid w:val="00C414DF"/>
    <w:rsid w:val="00C41943"/>
    <w:rsid w:val="00C41A16"/>
    <w:rsid w:val="00C41C2D"/>
    <w:rsid w:val="00C41CF1"/>
    <w:rsid w:val="00C41D7F"/>
    <w:rsid w:val="00C41DEB"/>
    <w:rsid w:val="00C41E67"/>
    <w:rsid w:val="00C41E96"/>
    <w:rsid w:val="00C41EDA"/>
    <w:rsid w:val="00C41FCC"/>
    <w:rsid w:val="00C4202D"/>
    <w:rsid w:val="00C420AF"/>
    <w:rsid w:val="00C42184"/>
    <w:rsid w:val="00C421F9"/>
    <w:rsid w:val="00C4221A"/>
    <w:rsid w:val="00C422BD"/>
    <w:rsid w:val="00C422CE"/>
    <w:rsid w:val="00C42309"/>
    <w:rsid w:val="00C4233A"/>
    <w:rsid w:val="00C423E7"/>
    <w:rsid w:val="00C4240E"/>
    <w:rsid w:val="00C42411"/>
    <w:rsid w:val="00C42486"/>
    <w:rsid w:val="00C42543"/>
    <w:rsid w:val="00C42722"/>
    <w:rsid w:val="00C429BD"/>
    <w:rsid w:val="00C42B8F"/>
    <w:rsid w:val="00C42CE3"/>
    <w:rsid w:val="00C42CF2"/>
    <w:rsid w:val="00C42D16"/>
    <w:rsid w:val="00C42E09"/>
    <w:rsid w:val="00C42F4C"/>
    <w:rsid w:val="00C42FB8"/>
    <w:rsid w:val="00C43195"/>
    <w:rsid w:val="00C43266"/>
    <w:rsid w:val="00C4345F"/>
    <w:rsid w:val="00C434BC"/>
    <w:rsid w:val="00C4359F"/>
    <w:rsid w:val="00C436C0"/>
    <w:rsid w:val="00C4378D"/>
    <w:rsid w:val="00C437C7"/>
    <w:rsid w:val="00C437EE"/>
    <w:rsid w:val="00C438A6"/>
    <w:rsid w:val="00C438E3"/>
    <w:rsid w:val="00C4391B"/>
    <w:rsid w:val="00C43970"/>
    <w:rsid w:val="00C439A1"/>
    <w:rsid w:val="00C43A27"/>
    <w:rsid w:val="00C43BB5"/>
    <w:rsid w:val="00C43CAF"/>
    <w:rsid w:val="00C43D61"/>
    <w:rsid w:val="00C43D7A"/>
    <w:rsid w:val="00C43E6D"/>
    <w:rsid w:val="00C43EA3"/>
    <w:rsid w:val="00C43EB8"/>
    <w:rsid w:val="00C43FD2"/>
    <w:rsid w:val="00C441B3"/>
    <w:rsid w:val="00C442C8"/>
    <w:rsid w:val="00C4442E"/>
    <w:rsid w:val="00C4448B"/>
    <w:rsid w:val="00C44577"/>
    <w:rsid w:val="00C445A9"/>
    <w:rsid w:val="00C446B4"/>
    <w:rsid w:val="00C446F8"/>
    <w:rsid w:val="00C44904"/>
    <w:rsid w:val="00C44924"/>
    <w:rsid w:val="00C449D8"/>
    <w:rsid w:val="00C449DE"/>
    <w:rsid w:val="00C44A47"/>
    <w:rsid w:val="00C44A49"/>
    <w:rsid w:val="00C44D5D"/>
    <w:rsid w:val="00C44E0D"/>
    <w:rsid w:val="00C44E66"/>
    <w:rsid w:val="00C44F0E"/>
    <w:rsid w:val="00C44FF3"/>
    <w:rsid w:val="00C4506F"/>
    <w:rsid w:val="00C4514C"/>
    <w:rsid w:val="00C451B8"/>
    <w:rsid w:val="00C451E9"/>
    <w:rsid w:val="00C451F7"/>
    <w:rsid w:val="00C45340"/>
    <w:rsid w:val="00C453A0"/>
    <w:rsid w:val="00C453C6"/>
    <w:rsid w:val="00C4541A"/>
    <w:rsid w:val="00C45438"/>
    <w:rsid w:val="00C454E8"/>
    <w:rsid w:val="00C456D6"/>
    <w:rsid w:val="00C4579D"/>
    <w:rsid w:val="00C457D2"/>
    <w:rsid w:val="00C459C9"/>
    <w:rsid w:val="00C459FA"/>
    <w:rsid w:val="00C45A7A"/>
    <w:rsid w:val="00C45A7B"/>
    <w:rsid w:val="00C45AA4"/>
    <w:rsid w:val="00C45B7E"/>
    <w:rsid w:val="00C45C43"/>
    <w:rsid w:val="00C45DAA"/>
    <w:rsid w:val="00C45E1C"/>
    <w:rsid w:val="00C46058"/>
    <w:rsid w:val="00C46088"/>
    <w:rsid w:val="00C460A8"/>
    <w:rsid w:val="00C46107"/>
    <w:rsid w:val="00C461CF"/>
    <w:rsid w:val="00C462E8"/>
    <w:rsid w:val="00C46361"/>
    <w:rsid w:val="00C46487"/>
    <w:rsid w:val="00C465F8"/>
    <w:rsid w:val="00C4664E"/>
    <w:rsid w:val="00C4668D"/>
    <w:rsid w:val="00C469AE"/>
    <w:rsid w:val="00C469FC"/>
    <w:rsid w:val="00C46A3B"/>
    <w:rsid w:val="00C46AFB"/>
    <w:rsid w:val="00C46BDB"/>
    <w:rsid w:val="00C46CB4"/>
    <w:rsid w:val="00C46DE1"/>
    <w:rsid w:val="00C46E96"/>
    <w:rsid w:val="00C46F76"/>
    <w:rsid w:val="00C47175"/>
    <w:rsid w:val="00C4726C"/>
    <w:rsid w:val="00C47363"/>
    <w:rsid w:val="00C47366"/>
    <w:rsid w:val="00C4748A"/>
    <w:rsid w:val="00C474EA"/>
    <w:rsid w:val="00C474F5"/>
    <w:rsid w:val="00C47586"/>
    <w:rsid w:val="00C47667"/>
    <w:rsid w:val="00C4768F"/>
    <w:rsid w:val="00C476BF"/>
    <w:rsid w:val="00C477B9"/>
    <w:rsid w:val="00C4784C"/>
    <w:rsid w:val="00C479D6"/>
    <w:rsid w:val="00C47A31"/>
    <w:rsid w:val="00C47C41"/>
    <w:rsid w:val="00C47C5C"/>
    <w:rsid w:val="00C47E71"/>
    <w:rsid w:val="00C47ED7"/>
    <w:rsid w:val="00C47F8C"/>
    <w:rsid w:val="00C47FB5"/>
    <w:rsid w:val="00C50037"/>
    <w:rsid w:val="00C500E1"/>
    <w:rsid w:val="00C50136"/>
    <w:rsid w:val="00C50274"/>
    <w:rsid w:val="00C50275"/>
    <w:rsid w:val="00C503CB"/>
    <w:rsid w:val="00C50457"/>
    <w:rsid w:val="00C504BD"/>
    <w:rsid w:val="00C50504"/>
    <w:rsid w:val="00C50578"/>
    <w:rsid w:val="00C505CC"/>
    <w:rsid w:val="00C505DF"/>
    <w:rsid w:val="00C506D7"/>
    <w:rsid w:val="00C50747"/>
    <w:rsid w:val="00C50802"/>
    <w:rsid w:val="00C508D3"/>
    <w:rsid w:val="00C509E2"/>
    <w:rsid w:val="00C50A84"/>
    <w:rsid w:val="00C50B1D"/>
    <w:rsid w:val="00C50CC7"/>
    <w:rsid w:val="00C50D59"/>
    <w:rsid w:val="00C50E04"/>
    <w:rsid w:val="00C50E06"/>
    <w:rsid w:val="00C50EA7"/>
    <w:rsid w:val="00C51022"/>
    <w:rsid w:val="00C51240"/>
    <w:rsid w:val="00C5127B"/>
    <w:rsid w:val="00C51361"/>
    <w:rsid w:val="00C5137B"/>
    <w:rsid w:val="00C51394"/>
    <w:rsid w:val="00C51407"/>
    <w:rsid w:val="00C5140E"/>
    <w:rsid w:val="00C51434"/>
    <w:rsid w:val="00C51574"/>
    <w:rsid w:val="00C5165C"/>
    <w:rsid w:val="00C51673"/>
    <w:rsid w:val="00C51740"/>
    <w:rsid w:val="00C51763"/>
    <w:rsid w:val="00C517FB"/>
    <w:rsid w:val="00C51853"/>
    <w:rsid w:val="00C519A1"/>
    <w:rsid w:val="00C519F8"/>
    <w:rsid w:val="00C51A59"/>
    <w:rsid w:val="00C51A6A"/>
    <w:rsid w:val="00C51AE0"/>
    <w:rsid w:val="00C51BF6"/>
    <w:rsid w:val="00C51C94"/>
    <w:rsid w:val="00C51E86"/>
    <w:rsid w:val="00C51F08"/>
    <w:rsid w:val="00C51F16"/>
    <w:rsid w:val="00C51F5B"/>
    <w:rsid w:val="00C51F6C"/>
    <w:rsid w:val="00C51FB6"/>
    <w:rsid w:val="00C5201F"/>
    <w:rsid w:val="00C5208D"/>
    <w:rsid w:val="00C520ED"/>
    <w:rsid w:val="00C52142"/>
    <w:rsid w:val="00C521A7"/>
    <w:rsid w:val="00C521C1"/>
    <w:rsid w:val="00C52214"/>
    <w:rsid w:val="00C52256"/>
    <w:rsid w:val="00C5243B"/>
    <w:rsid w:val="00C52594"/>
    <w:rsid w:val="00C5265E"/>
    <w:rsid w:val="00C526A3"/>
    <w:rsid w:val="00C526C3"/>
    <w:rsid w:val="00C52754"/>
    <w:rsid w:val="00C527B6"/>
    <w:rsid w:val="00C5295F"/>
    <w:rsid w:val="00C5297D"/>
    <w:rsid w:val="00C52AC0"/>
    <w:rsid w:val="00C52AD4"/>
    <w:rsid w:val="00C52BF1"/>
    <w:rsid w:val="00C52C13"/>
    <w:rsid w:val="00C52CA0"/>
    <w:rsid w:val="00C52EAB"/>
    <w:rsid w:val="00C530E0"/>
    <w:rsid w:val="00C531CA"/>
    <w:rsid w:val="00C53202"/>
    <w:rsid w:val="00C532EA"/>
    <w:rsid w:val="00C5331E"/>
    <w:rsid w:val="00C53351"/>
    <w:rsid w:val="00C5335C"/>
    <w:rsid w:val="00C533C0"/>
    <w:rsid w:val="00C5356A"/>
    <w:rsid w:val="00C53578"/>
    <w:rsid w:val="00C53606"/>
    <w:rsid w:val="00C5373B"/>
    <w:rsid w:val="00C539DB"/>
    <w:rsid w:val="00C53A4C"/>
    <w:rsid w:val="00C53B33"/>
    <w:rsid w:val="00C53C58"/>
    <w:rsid w:val="00C53D76"/>
    <w:rsid w:val="00C53F60"/>
    <w:rsid w:val="00C5400B"/>
    <w:rsid w:val="00C54069"/>
    <w:rsid w:val="00C54130"/>
    <w:rsid w:val="00C5418A"/>
    <w:rsid w:val="00C5426A"/>
    <w:rsid w:val="00C542C4"/>
    <w:rsid w:val="00C54333"/>
    <w:rsid w:val="00C5443A"/>
    <w:rsid w:val="00C54522"/>
    <w:rsid w:val="00C54542"/>
    <w:rsid w:val="00C54742"/>
    <w:rsid w:val="00C547FF"/>
    <w:rsid w:val="00C54892"/>
    <w:rsid w:val="00C54950"/>
    <w:rsid w:val="00C5499B"/>
    <w:rsid w:val="00C549A2"/>
    <w:rsid w:val="00C54B9B"/>
    <w:rsid w:val="00C54BD3"/>
    <w:rsid w:val="00C54CD7"/>
    <w:rsid w:val="00C54D1E"/>
    <w:rsid w:val="00C54DF5"/>
    <w:rsid w:val="00C54E43"/>
    <w:rsid w:val="00C54EC1"/>
    <w:rsid w:val="00C54F33"/>
    <w:rsid w:val="00C54F48"/>
    <w:rsid w:val="00C54F57"/>
    <w:rsid w:val="00C550A1"/>
    <w:rsid w:val="00C55247"/>
    <w:rsid w:val="00C5576A"/>
    <w:rsid w:val="00C55783"/>
    <w:rsid w:val="00C5582D"/>
    <w:rsid w:val="00C55B5C"/>
    <w:rsid w:val="00C55BFA"/>
    <w:rsid w:val="00C55C43"/>
    <w:rsid w:val="00C55D5A"/>
    <w:rsid w:val="00C55DE7"/>
    <w:rsid w:val="00C55EB4"/>
    <w:rsid w:val="00C5606A"/>
    <w:rsid w:val="00C562E6"/>
    <w:rsid w:val="00C564EA"/>
    <w:rsid w:val="00C564FA"/>
    <w:rsid w:val="00C566AA"/>
    <w:rsid w:val="00C566C3"/>
    <w:rsid w:val="00C566D7"/>
    <w:rsid w:val="00C56743"/>
    <w:rsid w:val="00C567C9"/>
    <w:rsid w:val="00C56926"/>
    <w:rsid w:val="00C5698F"/>
    <w:rsid w:val="00C569B9"/>
    <w:rsid w:val="00C56A57"/>
    <w:rsid w:val="00C56A69"/>
    <w:rsid w:val="00C56B5A"/>
    <w:rsid w:val="00C56BC4"/>
    <w:rsid w:val="00C56C7E"/>
    <w:rsid w:val="00C56D82"/>
    <w:rsid w:val="00C56D96"/>
    <w:rsid w:val="00C56DD0"/>
    <w:rsid w:val="00C56E58"/>
    <w:rsid w:val="00C56E6D"/>
    <w:rsid w:val="00C56F83"/>
    <w:rsid w:val="00C57001"/>
    <w:rsid w:val="00C5702B"/>
    <w:rsid w:val="00C570AD"/>
    <w:rsid w:val="00C570BD"/>
    <w:rsid w:val="00C570C7"/>
    <w:rsid w:val="00C5723B"/>
    <w:rsid w:val="00C57282"/>
    <w:rsid w:val="00C57429"/>
    <w:rsid w:val="00C574A4"/>
    <w:rsid w:val="00C574AB"/>
    <w:rsid w:val="00C57610"/>
    <w:rsid w:val="00C57709"/>
    <w:rsid w:val="00C57846"/>
    <w:rsid w:val="00C57858"/>
    <w:rsid w:val="00C578DE"/>
    <w:rsid w:val="00C579E5"/>
    <w:rsid w:val="00C57A9B"/>
    <w:rsid w:val="00C57AAC"/>
    <w:rsid w:val="00C57ACC"/>
    <w:rsid w:val="00C57E79"/>
    <w:rsid w:val="00C60018"/>
    <w:rsid w:val="00C600B8"/>
    <w:rsid w:val="00C6016A"/>
    <w:rsid w:val="00C601BF"/>
    <w:rsid w:val="00C601D3"/>
    <w:rsid w:val="00C6041A"/>
    <w:rsid w:val="00C60441"/>
    <w:rsid w:val="00C60678"/>
    <w:rsid w:val="00C60695"/>
    <w:rsid w:val="00C607D9"/>
    <w:rsid w:val="00C6093B"/>
    <w:rsid w:val="00C6097E"/>
    <w:rsid w:val="00C60A21"/>
    <w:rsid w:val="00C60A4B"/>
    <w:rsid w:val="00C60A9D"/>
    <w:rsid w:val="00C60CAF"/>
    <w:rsid w:val="00C60D93"/>
    <w:rsid w:val="00C60E45"/>
    <w:rsid w:val="00C60E6D"/>
    <w:rsid w:val="00C60F11"/>
    <w:rsid w:val="00C60FB9"/>
    <w:rsid w:val="00C610A7"/>
    <w:rsid w:val="00C61137"/>
    <w:rsid w:val="00C611F1"/>
    <w:rsid w:val="00C612AD"/>
    <w:rsid w:val="00C61300"/>
    <w:rsid w:val="00C61395"/>
    <w:rsid w:val="00C61412"/>
    <w:rsid w:val="00C614EE"/>
    <w:rsid w:val="00C614F5"/>
    <w:rsid w:val="00C6154A"/>
    <w:rsid w:val="00C616AA"/>
    <w:rsid w:val="00C61720"/>
    <w:rsid w:val="00C61738"/>
    <w:rsid w:val="00C617AE"/>
    <w:rsid w:val="00C61948"/>
    <w:rsid w:val="00C61A4E"/>
    <w:rsid w:val="00C61B64"/>
    <w:rsid w:val="00C61B99"/>
    <w:rsid w:val="00C61BDD"/>
    <w:rsid w:val="00C61C31"/>
    <w:rsid w:val="00C61C4E"/>
    <w:rsid w:val="00C61D1F"/>
    <w:rsid w:val="00C61E2A"/>
    <w:rsid w:val="00C61EE0"/>
    <w:rsid w:val="00C61F21"/>
    <w:rsid w:val="00C61F2A"/>
    <w:rsid w:val="00C61F6D"/>
    <w:rsid w:val="00C61F81"/>
    <w:rsid w:val="00C61FC4"/>
    <w:rsid w:val="00C6201C"/>
    <w:rsid w:val="00C6226C"/>
    <w:rsid w:val="00C62309"/>
    <w:rsid w:val="00C6240B"/>
    <w:rsid w:val="00C62432"/>
    <w:rsid w:val="00C62446"/>
    <w:rsid w:val="00C626AD"/>
    <w:rsid w:val="00C626CA"/>
    <w:rsid w:val="00C62787"/>
    <w:rsid w:val="00C628A6"/>
    <w:rsid w:val="00C628D0"/>
    <w:rsid w:val="00C62A58"/>
    <w:rsid w:val="00C62B91"/>
    <w:rsid w:val="00C62BB0"/>
    <w:rsid w:val="00C62D27"/>
    <w:rsid w:val="00C62E75"/>
    <w:rsid w:val="00C62E92"/>
    <w:rsid w:val="00C62FB0"/>
    <w:rsid w:val="00C62FFE"/>
    <w:rsid w:val="00C6303E"/>
    <w:rsid w:val="00C63050"/>
    <w:rsid w:val="00C630BA"/>
    <w:rsid w:val="00C630D7"/>
    <w:rsid w:val="00C63311"/>
    <w:rsid w:val="00C633AD"/>
    <w:rsid w:val="00C633B7"/>
    <w:rsid w:val="00C633D4"/>
    <w:rsid w:val="00C634DA"/>
    <w:rsid w:val="00C634EE"/>
    <w:rsid w:val="00C634F6"/>
    <w:rsid w:val="00C635EF"/>
    <w:rsid w:val="00C6364C"/>
    <w:rsid w:val="00C637C5"/>
    <w:rsid w:val="00C639B4"/>
    <w:rsid w:val="00C639ED"/>
    <w:rsid w:val="00C63A00"/>
    <w:rsid w:val="00C63AB1"/>
    <w:rsid w:val="00C63AFD"/>
    <w:rsid w:val="00C63BF4"/>
    <w:rsid w:val="00C63CD0"/>
    <w:rsid w:val="00C63DE0"/>
    <w:rsid w:val="00C63E22"/>
    <w:rsid w:val="00C63EAD"/>
    <w:rsid w:val="00C63ECF"/>
    <w:rsid w:val="00C63EFC"/>
    <w:rsid w:val="00C64002"/>
    <w:rsid w:val="00C640A7"/>
    <w:rsid w:val="00C640B0"/>
    <w:rsid w:val="00C640CB"/>
    <w:rsid w:val="00C641A0"/>
    <w:rsid w:val="00C64250"/>
    <w:rsid w:val="00C642A6"/>
    <w:rsid w:val="00C64427"/>
    <w:rsid w:val="00C6447C"/>
    <w:rsid w:val="00C6448A"/>
    <w:rsid w:val="00C644B2"/>
    <w:rsid w:val="00C644D8"/>
    <w:rsid w:val="00C644DB"/>
    <w:rsid w:val="00C645DF"/>
    <w:rsid w:val="00C64692"/>
    <w:rsid w:val="00C6477E"/>
    <w:rsid w:val="00C648E3"/>
    <w:rsid w:val="00C6490F"/>
    <w:rsid w:val="00C64928"/>
    <w:rsid w:val="00C64950"/>
    <w:rsid w:val="00C64960"/>
    <w:rsid w:val="00C64A15"/>
    <w:rsid w:val="00C64AD0"/>
    <w:rsid w:val="00C64BB0"/>
    <w:rsid w:val="00C64BDA"/>
    <w:rsid w:val="00C64CD2"/>
    <w:rsid w:val="00C64D01"/>
    <w:rsid w:val="00C64D8D"/>
    <w:rsid w:val="00C64DE4"/>
    <w:rsid w:val="00C64E08"/>
    <w:rsid w:val="00C64F87"/>
    <w:rsid w:val="00C64F8B"/>
    <w:rsid w:val="00C6502D"/>
    <w:rsid w:val="00C65162"/>
    <w:rsid w:val="00C65266"/>
    <w:rsid w:val="00C652A3"/>
    <w:rsid w:val="00C653A6"/>
    <w:rsid w:val="00C653C2"/>
    <w:rsid w:val="00C65428"/>
    <w:rsid w:val="00C654B4"/>
    <w:rsid w:val="00C654B5"/>
    <w:rsid w:val="00C655DC"/>
    <w:rsid w:val="00C655E8"/>
    <w:rsid w:val="00C659B0"/>
    <w:rsid w:val="00C659CF"/>
    <w:rsid w:val="00C65A78"/>
    <w:rsid w:val="00C65ABC"/>
    <w:rsid w:val="00C65AE4"/>
    <w:rsid w:val="00C65BE1"/>
    <w:rsid w:val="00C65C48"/>
    <w:rsid w:val="00C65DAD"/>
    <w:rsid w:val="00C65DD9"/>
    <w:rsid w:val="00C65DDB"/>
    <w:rsid w:val="00C65DF4"/>
    <w:rsid w:val="00C65FAA"/>
    <w:rsid w:val="00C660AE"/>
    <w:rsid w:val="00C660B7"/>
    <w:rsid w:val="00C66141"/>
    <w:rsid w:val="00C661EB"/>
    <w:rsid w:val="00C66265"/>
    <w:rsid w:val="00C662FB"/>
    <w:rsid w:val="00C66351"/>
    <w:rsid w:val="00C66440"/>
    <w:rsid w:val="00C66546"/>
    <w:rsid w:val="00C6669B"/>
    <w:rsid w:val="00C666AC"/>
    <w:rsid w:val="00C666C5"/>
    <w:rsid w:val="00C66826"/>
    <w:rsid w:val="00C66947"/>
    <w:rsid w:val="00C66A2A"/>
    <w:rsid w:val="00C66A6E"/>
    <w:rsid w:val="00C66AE0"/>
    <w:rsid w:val="00C66B55"/>
    <w:rsid w:val="00C66B71"/>
    <w:rsid w:val="00C66CCC"/>
    <w:rsid w:val="00C66D2A"/>
    <w:rsid w:val="00C66E70"/>
    <w:rsid w:val="00C66EC3"/>
    <w:rsid w:val="00C67129"/>
    <w:rsid w:val="00C67261"/>
    <w:rsid w:val="00C67293"/>
    <w:rsid w:val="00C673A7"/>
    <w:rsid w:val="00C673C7"/>
    <w:rsid w:val="00C673D5"/>
    <w:rsid w:val="00C67432"/>
    <w:rsid w:val="00C67442"/>
    <w:rsid w:val="00C676F9"/>
    <w:rsid w:val="00C67708"/>
    <w:rsid w:val="00C6771E"/>
    <w:rsid w:val="00C678EA"/>
    <w:rsid w:val="00C6799F"/>
    <w:rsid w:val="00C67A18"/>
    <w:rsid w:val="00C67AF3"/>
    <w:rsid w:val="00C67B61"/>
    <w:rsid w:val="00C67B6E"/>
    <w:rsid w:val="00C67C16"/>
    <w:rsid w:val="00C67C24"/>
    <w:rsid w:val="00C67D1E"/>
    <w:rsid w:val="00C67D31"/>
    <w:rsid w:val="00C67D5C"/>
    <w:rsid w:val="00C67E56"/>
    <w:rsid w:val="00C67E6C"/>
    <w:rsid w:val="00C67EFA"/>
    <w:rsid w:val="00C67F96"/>
    <w:rsid w:val="00C70047"/>
    <w:rsid w:val="00C7004C"/>
    <w:rsid w:val="00C70083"/>
    <w:rsid w:val="00C700EB"/>
    <w:rsid w:val="00C70102"/>
    <w:rsid w:val="00C70166"/>
    <w:rsid w:val="00C70316"/>
    <w:rsid w:val="00C70323"/>
    <w:rsid w:val="00C7042A"/>
    <w:rsid w:val="00C70544"/>
    <w:rsid w:val="00C706B2"/>
    <w:rsid w:val="00C706FA"/>
    <w:rsid w:val="00C70741"/>
    <w:rsid w:val="00C70860"/>
    <w:rsid w:val="00C708B9"/>
    <w:rsid w:val="00C708DF"/>
    <w:rsid w:val="00C70930"/>
    <w:rsid w:val="00C70942"/>
    <w:rsid w:val="00C7099F"/>
    <w:rsid w:val="00C70AB0"/>
    <w:rsid w:val="00C70ABB"/>
    <w:rsid w:val="00C70AF6"/>
    <w:rsid w:val="00C70B28"/>
    <w:rsid w:val="00C70B5D"/>
    <w:rsid w:val="00C70C37"/>
    <w:rsid w:val="00C70FD4"/>
    <w:rsid w:val="00C710FB"/>
    <w:rsid w:val="00C7136F"/>
    <w:rsid w:val="00C71379"/>
    <w:rsid w:val="00C714FE"/>
    <w:rsid w:val="00C71544"/>
    <w:rsid w:val="00C7155C"/>
    <w:rsid w:val="00C71599"/>
    <w:rsid w:val="00C71673"/>
    <w:rsid w:val="00C71775"/>
    <w:rsid w:val="00C718C4"/>
    <w:rsid w:val="00C718D8"/>
    <w:rsid w:val="00C718E0"/>
    <w:rsid w:val="00C71928"/>
    <w:rsid w:val="00C71972"/>
    <w:rsid w:val="00C71AB3"/>
    <w:rsid w:val="00C71B39"/>
    <w:rsid w:val="00C71D31"/>
    <w:rsid w:val="00C71E6D"/>
    <w:rsid w:val="00C71F4E"/>
    <w:rsid w:val="00C71FDD"/>
    <w:rsid w:val="00C7204C"/>
    <w:rsid w:val="00C72083"/>
    <w:rsid w:val="00C72110"/>
    <w:rsid w:val="00C7231D"/>
    <w:rsid w:val="00C7236E"/>
    <w:rsid w:val="00C7247D"/>
    <w:rsid w:val="00C72519"/>
    <w:rsid w:val="00C72563"/>
    <w:rsid w:val="00C7257B"/>
    <w:rsid w:val="00C726F4"/>
    <w:rsid w:val="00C727D1"/>
    <w:rsid w:val="00C727DC"/>
    <w:rsid w:val="00C72825"/>
    <w:rsid w:val="00C72836"/>
    <w:rsid w:val="00C7287E"/>
    <w:rsid w:val="00C72891"/>
    <w:rsid w:val="00C7295B"/>
    <w:rsid w:val="00C729ED"/>
    <w:rsid w:val="00C72A74"/>
    <w:rsid w:val="00C72ABA"/>
    <w:rsid w:val="00C72B8A"/>
    <w:rsid w:val="00C72E65"/>
    <w:rsid w:val="00C72F67"/>
    <w:rsid w:val="00C73004"/>
    <w:rsid w:val="00C730AC"/>
    <w:rsid w:val="00C7316D"/>
    <w:rsid w:val="00C73184"/>
    <w:rsid w:val="00C7326C"/>
    <w:rsid w:val="00C7329E"/>
    <w:rsid w:val="00C732D6"/>
    <w:rsid w:val="00C73306"/>
    <w:rsid w:val="00C7330F"/>
    <w:rsid w:val="00C7340C"/>
    <w:rsid w:val="00C734D0"/>
    <w:rsid w:val="00C736D6"/>
    <w:rsid w:val="00C736EC"/>
    <w:rsid w:val="00C73740"/>
    <w:rsid w:val="00C73773"/>
    <w:rsid w:val="00C737BF"/>
    <w:rsid w:val="00C737CC"/>
    <w:rsid w:val="00C73848"/>
    <w:rsid w:val="00C7389B"/>
    <w:rsid w:val="00C738F5"/>
    <w:rsid w:val="00C7398E"/>
    <w:rsid w:val="00C73A70"/>
    <w:rsid w:val="00C73AAE"/>
    <w:rsid w:val="00C73B98"/>
    <w:rsid w:val="00C73BBF"/>
    <w:rsid w:val="00C73BFA"/>
    <w:rsid w:val="00C73C03"/>
    <w:rsid w:val="00C73CFE"/>
    <w:rsid w:val="00C73EA8"/>
    <w:rsid w:val="00C73F02"/>
    <w:rsid w:val="00C73F6D"/>
    <w:rsid w:val="00C74026"/>
    <w:rsid w:val="00C740A0"/>
    <w:rsid w:val="00C740DF"/>
    <w:rsid w:val="00C741DD"/>
    <w:rsid w:val="00C74322"/>
    <w:rsid w:val="00C743B9"/>
    <w:rsid w:val="00C7445A"/>
    <w:rsid w:val="00C744AC"/>
    <w:rsid w:val="00C744B0"/>
    <w:rsid w:val="00C744B5"/>
    <w:rsid w:val="00C7454D"/>
    <w:rsid w:val="00C7466A"/>
    <w:rsid w:val="00C74670"/>
    <w:rsid w:val="00C74715"/>
    <w:rsid w:val="00C7476B"/>
    <w:rsid w:val="00C7483C"/>
    <w:rsid w:val="00C74843"/>
    <w:rsid w:val="00C7484A"/>
    <w:rsid w:val="00C748BB"/>
    <w:rsid w:val="00C7498F"/>
    <w:rsid w:val="00C74A47"/>
    <w:rsid w:val="00C74BB2"/>
    <w:rsid w:val="00C74C33"/>
    <w:rsid w:val="00C74C89"/>
    <w:rsid w:val="00C74D70"/>
    <w:rsid w:val="00C74D8B"/>
    <w:rsid w:val="00C74DB8"/>
    <w:rsid w:val="00C74F9A"/>
    <w:rsid w:val="00C74FB8"/>
    <w:rsid w:val="00C74FDE"/>
    <w:rsid w:val="00C7503C"/>
    <w:rsid w:val="00C7506B"/>
    <w:rsid w:val="00C7507C"/>
    <w:rsid w:val="00C75138"/>
    <w:rsid w:val="00C75266"/>
    <w:rsid w:val="00C7534A"/>
    <w:rsid w:val="00C753CA"/>
    <w:rsid w:val="00C75475"/>
    <w:rsid w:val="00C754C6"/>
    <w:rsid w:val="00C755BA"/>
    <w:rsid w:val="00C75680"/>
    <w:rsid w:val="00C7569B"/>
    <w:rsid w:val="00C756EC"/>
    <w:rsid w:val="00C757AD"/>
    <w:rsid w:val="00C7594E"/>
    <w:rsid w:val="00C75ABA"/>
    <w:rsid w:val="00C75CC4"/>
    <w:rsid w:val="00C75CEC"/>
    <w:rsid w:val="00C75D13"/>
    <w:rsid w:val="00C75D8B"/>
    <w:rsid w:val="00C75DC2"/>
    <w:rsid w:val="00C75E12"/>
    <w:rsid w:val="00C75E73"/>
    <w:rsid w:val="00C75EF8"/>
    <w:rsid w:val="00C7605D"/>
    <w:rsid w:val="00C76281"/>
    <w:rsid w:val="00C763BF"/>
    <w:rsid w:val="00C76542"/>
    <w:rsid w:val="00C765E2"/>
    <w:rsid w:val="00C76713"/>
    <w:rsid w:val="00C76898"/>
    <w:rsid w:val="00C768BD"/>
    <w:rsid w:val="00C769C0"/>
    <w:rsid w:val="00C76A0C"/>
    <w:rsid w:val="00C76AB6"/>
    <w:rsid w:val="00C76AED"/>
    <w:rsid w:val="00C76B38"/>
    <w:rsid w:val="00C76B3D"/>
    <w:rsid w:val="00C76D5C"/>
    <w:rsid w:val="00C76D70"/>
    <w:rsid w:val="00C76E63"/>
    <w:rsid w:val="00C76F4D"/>
    <w:rsid w:val="00C76F99"/>
    <w:rsid w:val="00C7714F"/>
    <w:rsid w:val="00C7724B"/>
    <w:rsid w:val="00C77336"/>
    <w:rsid w:val="00C77433"/>
    <w:rsid w:val="00C7760A"/>
    <w:rsid w:val="00C7766A"/>
    <w:rsid w:val="00C77A73"/>
    <w:rsid w:val="00C77B45"/>
    <w:rsid w:val="00C77BAB"/>
    <w:rsid w:val="00C77C8B"/>
    <w:rsid w:val="00C77CDA"/>
    <w:rsid w:val="00C77D70"/>
    <w:rsid w:val="00C77E14"/>
    <w:rsid w:val="00C77E6A"/>
    <w:rsid w:val="00C80137"/>
    <w:rsid w:val="00C80330"/>
    <w:rsid w:val="00C803A3"/>
    <w:rsid w:val="00C80464"/>
    <w:rsid w:val="00C807DC"/>
    <w:rsid w:val="00C8088B"/>
    <w:rsid w:val="00C809B4"/>
    <w:rsid w:val="00C809C4"/>
    <w:rsid w:val="00C80A3B"/>
    <w:rsid w:val="00C80AF6"/>
    <w:rsid w:val="00C80B15"/>
    <w:rsid w:val="00C80B3C"/>
    <w:rsid w:val="00C80B46"/>
    <w:rsid w:val="00C80B60"/>
    <w:rsid w:val="00C80C05"/>
    <w:rsid w:val="00C80CD1"/>
    <w:rsid w:val="00C80E14"/>
    <w:rsid w:val="00C80E46"/>
    <w:rsid w:val="00C80ECD"/>
    <w:rsid w:val="00C80F07"/>
    <w:rsid w:val="00C80FB1"/>
    <w:rsid w:val="00C80FCE"/>
    <w:rsid w:val="00C810C7"/>
    <w:rsid w:val="00C810F3"/>
    <w:rsid w:val="00C8113A"/>
    <w:rsid w:val="00C81146"/>
    <w:rsid w:val="00C81185"/>
    <w:rsid w:val="00C811A7"/>
    <w:rsid w:val="00C811B4"/>
    <w:rsid w:val="00C811D2"/>
    <w:rsid w:val="00C81202"/>
    <w:rsid w:val="00C8122A"/>
    <w:rsid w:val="00C8125A"/>
    <w:rsid w:val="00C812D8"/>
    <w:rsid w:val="00C812DF"/>
    <w:rsid w:val="00C812E8"/>
    <w:rsid w:val="00C8131C"/>
    <w:rsid w:val="00C813AB"/>
    <w:rsid w:val="00C81484"/>
    <w:rsid w:val="00C8150C"/>
    <w:rsid w:val="00C81520"/>
    <w:rsid w:val="00C81585"/>
    <w:rsid w:val="00C81783"/>
    <w:rsid w:val="00C81834"/>
    <w:rsid w:val="00C818CD"/>
    <w:rsid w:val="00C81AD4"/>
    <w:rsid w:val="00C81ADD"/>
    <w:rsid w:val="00C81C43"/>
    <w:rsid w:val="00C81D32"/>
    <w:rsid w:val="00C81D75"/>
    <w:rsid w:val="00C81F7B"/>
    <w:rsid w:val="00C81FC1"/>
    <w:rsid w:val="00C82046"/>
    <w:rsid w:val="00C821EA"/>
    <w:rsid w:val="00C8220F"/>
    <w:rsid w:val="00C8222D"/>
    <w:rsid w:val="00C82299"/>
    <w:rsid w:val="00C822E0"/>
    <w:rsid w:val="00C82332"/>
    <w:rsid w:val="00C82432"/>
    <w:rsid w:val="00C8243A"/>
    <w:rsid w:val="00C82453"/>
    <w:rsid w:val="00C82482"/>
    <w:rsid w:val="00C826E2"/>
    <w:rsid w:val="00C826E3"/>
    <w:rsid w:val="00C8273A"/>
    <w:rsid w:val="00C827DF"/>
    <w:rsid w:val="00C82964"/>
    <w:rsid w:val="00C829E9"/>
    <w:rsid w:val="00C82A1D"/>
    <w:rsid w:val="00C82A35"/>
    <w:rsid w:val="00C82A3D"/>
    <w:rsid w:val="00C82A76"/>
    <w:rsid w:val="00C82ABE"/>
    <w:rsid w:val="00C82B5D"/>
    <w:rsid w:val="00C82B6C"/>
    <w:rsid w:val="00C82D78"/>
    <w:rsid w:val="00C82D84"/>
    <w:rsid w:val="00C82D8B"/>
    <w:rsid w:val="00C83051"/>
    <w:rsid w:val="00C830FB"/>
    <w:rsid w:val="00C83186"/>
    <w:rsid w:val="00C831BD"/>
    <w:rsid w:val="00C831E8"/>
    <w:rsid w:val="00C83293"/>
    <w:rsid w:val="00C832F7"/>
    <w:rsid w:val="00C83322"/>
    <w:rsid w:val="00C83395"/>
    <w:rsid w:val="00C83400"/>
    <w:rsid w:val="00C83458"/>
    <w:rsid w:val="00C83548"/>
    <w:rsid w:val="00C83661"/>
    <w:rsid w:val="00C8368D"/>
    <w:rsid w:val="00C837D1"/>
    <w:rsid w:val="00C83882"/>
    <w:rsid w:val="00C83A24"/>
    <w:rsid w:val="00C83BF4"/>
    <w:rsid w:val="00C83C63"/>
    <w:rsid w:val="00C83C6B"/>
    <w:rsid w:val="00C83C9A"/>
    <w:rsid w:val="00C83D26"/>
    <w:rsid w:val="00C83F3E"/>
    <w:rsid w:val="00C84004"/>
    <w:rsid w:val="00C8419F"/>
    <w:rsid w:val="00C8426C"/>
    <w:rsid w:val="00C8428C"/>
    <w:rsid w:val="00C8437B"/>
    <w:rsid w:val="00C844AF"/>
    <w:rsid w:val="00C845F2"/>
    <w:rsid w:val="00C8475F"/>
    <w:rsid w:val="00C84778"/>
    <w:rsid w:val="00C847ED"/>
    <w:rsid w:val="00C84851"/>
    <w:rsid w:val="00C84888"/>
    <w:rsid w:val="00C84984"/>
    <w:rsid w:val="00C84A51"/>
    <w:rsid w:val="00C84A6D"/>
    <w:rsid w:val="00C84AC0"/>
    <w:rsid w:val="00C84BBC"/>
    <w:rsid w:val="00C84C9C"/>
    <w:rsid w:val="00C84D44"/>
    <w:rsid w:val="00C84D92"/>
    <w:rsid w:val="00C84E09"/>
    <w:rsid w:val="00C84E4A"/>
    <w:rsid w:val="00C84EE5"/>
    <w:rsid w:val="00C84F6E"/>
    <w:rsid w:val="00C852A0"/>
    <w:rsid w:val="00C85395"/>
    <w:rsid w:val="00C853AA"/>
    <w:rsid w:val="00C85485"/>
    <w:rsid w:val="00C854F2"/>
    <w:rsid w:val="00C855F6"/>
    <w:rsid w:val="00C85647"/>
    <w:rsid w:val="00C8570A"/>
    <w:rsid w:val="00C85744"/>
    <w:rsid w:val="00C857C7"/>
    <w:rsid w:val="00C85849"/>
    <w:rsid w:val="00C85929"/>
    <w:rsid w:val="00C85A58"/>
    <w:rsid w:val="00C85AC7"/>
    <w:rsid w:val="00C85BD0"/>
    <w:rsid w:val="00C85BD8"/>
    <w:rsid w:val="00C85C25"/>
    <w:rsid w:val="00C85CC8"/>
    <w:rsid w:val="00C85E5E"/>
    <w:rsid w:val="00C85E8F"/>
    <w:rsid w:val="00C85E97"/>
    <w:rsid w:val="00C85F53"/>
    <w:rsid w:val="00C85F8B"/>
    <w:rsid w:val="00C8603B"/>
    <w:rsid w:val="00C860E9"/>
    <w:rsid w:val="00C8611F"/>
    <w:rsid w:val="00C861AA"/>
    <w:rsid w:val="00C86289"/>
    <w:rsid w:val="00C862CB"/>
    <w:rsid w:val="00C863E3"/>
    <w:rsid w:val="00C863FA"/>
    <w:rsid w:val="00C86502"/>
    <w:rsid w:val="00C867E0"/>
    <w:rsid w:val="00C868B9"/>
    <w:rsid w:val="00C86932"/>
    <w:rsid w:val="00C86981"/>
    <w:rsid w:val="00C86A7E"/>
    <w:rsid w:val="00C86B58"/>
    <w:rsid w:val="00C86B62"/>
    <w:rsid w:val="00C86BDF"/>
    <w:rsid w:val="00C86C1B"/>
    <w:rsid w:val="00C86CE1"/>
    <w:rsid w:val="00C86E26"/>
    <w:rsid w:val="00C86F72"/>
    <w:rsid w:val="00C86FCC"/>
    <w:rsid w:val="00C87124"/>
    <w:rsid w:val="00C871A6"/>
    <w:rsid w:val="00C871B1"/>
    <w:rsid w:val="00C87204"/>
    <w:rsid w:val="00C872B6"/>
    <w:rsid w:val="00C872F9"/>
    <w:rsid w:val="00C873CB"/>
    <w:rsid w:val="00C87401"/>
    <w:rsid w:val="00C8741C"/>
    <w:rsid w:val="00C87434"/>
    <w:rsid w:val="00C8746A"/>
    <w:rsid w:val="00C8748F"/>
    <w:rsid w:val="00C87507"/>
    <w:rsid w:val="00C87586"/>
    <w:rsid w:val="00C8765A"/>
    <w:rsid w:val="00C876DC"/>
    <w:rsid w:val="00C877D0"/>
    <w:rsid w:val="00C87829"/>
    <w:rsid w:val="00C87838"/>
    <w:rsid w:val="00C87B17"/>
    <w:rsid w:val="00C87C3F"/>
    <w:rsid w:val="00C87C5F"/>
    <w:rsid w:val="00C87D66"/>
    <w:rsid w:val="00C87D91"/>
    <w:rsid w:val="00C87DE9"/>
    <w:rsid w:val="00C87E02"/>
    <w:rsid w:val="00C87E31"/>
    <w:rsid w:val="00C87E69"/>
    <w:rsid w:val="00C87F18"/>
    <w:rsid w:val="00C87FC4"/>
    <w:rsid w:val="00C87FD5"/>
    <w:rsid w:val="00C90044"/>
    <w:rsid w:val="00C90079"/>
    <w:rsid w:val="00C900AA"/>
    <w:rsid w:val="00C900AD"/>
    <w:rsid w:val="00C90191"/>
    <w:rsid w:val="00C901EA"/>
    <w:rsid w:val="00C902B1"/>
    <w:rsid w:val="00C902D7"/>
    <w:rsid w:val="00C902DA"/>
    <w:rsid w:val="00C903E8"/>
    <w:rsid w:val="00C9050E"/>
    <w:rsid w:val="00C90564"/>
    <w:rsid w:val="00C9059C"/>
    <w:rsid w:val="00C905A6"/>
    <w:rsid w:val="00C905F8"/>
    <w:rsid w:val="00C907C4"/>
    <w:rsid w:val="00C90818"/>
    <w:rsid w:val="00C90ABE"/>
    <w:rsid w:val="00C90B78"/>
    <w:rsid w:val="00C90BA7"/>
    <w:rsid w:val="00C90BB9"/>
    <w:rsid w:val="00C90BBB"/>
    <w:rsid w:val="00C90C54"/>
    <w:rsid w:val="00C90C58"/>
    <w:rsid w:val="00C90C99"/>
    <w:rsid w:val="00C90CEC"/>
    <w:rsid w:val="00C90D0A"/>
    <w:rsid w:val="00C90DE7"/>
    <w:rsid w:val="00C90E9A"/>
    <w:rsid w:val="00C90F2C"/>
    <w:rsid w:val="00C90F50"/>
    <w:rsid w:val="00C90F5D"/>
    <w:rsid w:val="00C90F97"/>
    <w:rsid w:val="00C90FF3"/>
    <w:rsid w:val="00C90FF7"/>
    <w:rsid w:val="00C91099"/>
    <w:rsid w:val="00C9109A"/>
    <w:rsid w:val="00C91255"/>
    <w:rsid w:val="00C91265"/>
    <w:rsid w:val="00C914B8"/>
    <w:rsid w:val="00C914DA"/>
    <w:rsid w:val="00C9163F"/>
    <w:rsid w:val="00C91643"/>
    <w:rsid w:val="00C9174C"/>
    <w:rsid w:val="00C917B3"/>
    <w:rsid w:val="00C917D5"/>
    <w:rsid w:val="00C917D6"/>
    <w:rsid w:val="00C9181E"/>
    <w:rsid w:val="00C9192C"/>
    <w:rsid w:val="00C9196D"/>
    <w:rsid w:val="00C919EB"/>
    <w:rsid w:val="00C91A74"/>
    <w:rsid w:val="00C91C77"/>
    <w:rsid w:val="00C91D20"/>
    <w:rsid w:val="00C91E3A"/>
    <w:rsid w:val="00C91E9D"/>
    <w:rsid w:val="00C91EED"/>
    <w:rsid w:val="00C91EF1"/>
    <w:rsid w:val="00C91F5C"/>
    <w:rsid w:val="00C92237"/>
    <w:rsid w:val="00C92263"/>
    <w:rsid w:val="00C92382"/>
    <w:rsid w:val="00C924CF"/>
    <w:rsid w:val="00C924FD"/>
    <w:rsid w:val="00C925D6"/>
    <w:rsid w:val="00C926E7"/>
    <w:rsid w:val="00C9272F"/>
    <w:rsid w:val="00C92746"/>
    <w:rsid w:val="00C92906"/>
    <w:rsid w:val="00C9296E"/>
    <w:rsid w:val="00C92A74"/>
    <w:rsid w:val="00C92AEC"/>
    <w:rsid w:val="00C92DEE"/>
    <w:rsid w:val="00C92F06"/>
    <w:rsid w:val="00C92F27"/>
    <w:rsid w:val="00C92FAA"/>
    <w:rsid w:val="00C93109"/>
    <w:rsid w:val="00C931C1"/>
    <w:rsid w:val="00C931CC"/>
    <w:rsid w:val="00C931EE"/>
    <w:rsid w:val="00C93264"/>
    <w:rsid w:val="00C932E5"/>
    <w:rsid w:val="00C93386"/>
    <w:rsid w:val="00C93416"/>
    <w:rsid w:val="00C93473"/>
    <w:rsid w:val="00C9351A"/>
    <w:rsid w:val="00C9355F"/>
    <w:rsid w:val="00C9358C"/>
    <w:rsid w:val="00C93690"/>
    <w:rsid w:val="00C93696"/>
    <w:rsid w:val="00C93772"/>
    <w:rsid w:val="00C938A8"/>
    <w:rsid w:val="00C93946"/>
    <w:rsid w:val="00C93B2B"/>
    <w:rsid w:val="00C93D2F"/>
    <w:rsid w:val="00C93DA9"/>
    <w:rsid w:val="00C93E13"/>
    <w:rsid w:val="00C93E70"/>
    <w:rsid w:val="00C93EDC"/>
    <w:rsid w:val="00C93F43"/>
    <w:rsid w:val="00C93FA0"/>
    <w:rsid w:val="00C93FF8"/>
    <w:rsid w:val="00C9402B"/>
    <w:rsid w:val="00C94190"/>
    <w:rsid w:val="00C9427A"/>
    <w:rsid w:val="00C942FE"/>
    <w:rsid w:val="00C9437A"/>
    <w:rsid w:val="00C9446A"/>
    <w:rsid w:val="00C94660"/>
    <w:rsid w:val="00C94666"/>
    <w:rsid w:val="00C946D7"/>
    <w:rsid w:val="00C946E1"/>
    <w:rsid w:val="00C9472D"/>
    <w:rsid w:val="00C947E1"/>
    <w:rsid w:val="00C94805"/>
    <w:rsid w:val="00C94839"/>
    <w:rsid w:val="00C9497B"/>
    <w:rsid w:val="00C9498E"/>
    <w:rsid w:val="00C94A55"/>
    <w:rsid w:val="00C94AB9"/>
    <w:rsid w:val="00C94B92"/>
    <w:rsid w:val="00C94C5A"/>
    <w:rsid w:val="00C94CA0"/>
    <w:rsid w:val="00C94D0B"/>
    <w:rsid w:val="00C94E71"/>
    <w:rsid w:val="00C94EA6"/>
    <w:rsid w:val="00C94F1E"/>
    <w:rsid w:val="00C94FC3"/>
    <w:rsid w:val="00C95187"/>
    <w:rsid w:val="00C95255"/>
    <w:rsid w:val="00C952C0"/>
    <w:rsid w:val="00C952C6"/>
    <w:rsid w:val="00C9539D"/>
    <w:rsid w:val="00C9547A"/>
    <w:rsid w:val="00C955C7"/>
    <w:rsid w:val="00C95661"/>
    <w:rsid w:val="00C956A5"/>
    <w:rsid w:val="00C957BD"/>
    <w:rsid w:val="00C957D0"/>
    <w:rsid w:val="00C9581D"/>
    <w:rsid w:val="00C95825"/>
    <w:rsid w:val="00C95861"/>
    <w:rsid w:val="00C9596B"/>
    <w:rsid w:val="00C95A07"/>
    <w:rsid w:val="00C95AD9"/>
    <w:rsid w:val="00C95B19"/>
    <w:rsid w:val="00C95C71"/>
    <w:rsid w:val="00C95C8B"/>
    <w:rsid w:val="00C95DC8"/>
    <w:rsid w:val="00C95E1F"/>
    <w:rsid w:val="00C95EDF"/>
    <w:rsid w:val="00C95EE2"/>
    <w:rsid w:val="00C95EEE"/>
    <w:rsid w:val="00C95F83"/>
    <w:rsid w:val="00C9616B"/>
    <w:rsid w:val="00C96184"/>
    <w:rsid w:val="00C96195"/>
    <w:rsid w:val="00C961A1"/>
    <w:rsid w:val="00C96270"/>
    <w:rsid w:val="00C9635B"/>
    <w:rsid w:val="00C96438"/>
    <w:rsid w:val="00C964EF"/>
    <w:rsid w:val="00C9660F"/>
    <w:rsid w:val="00C9662A"/>
    <w:rsid w:val="00C9664F"/>
    <w:rsid w:val="00C96760"/>
    <w:rsid w:val="00C9676E"/>
    <w:rsid w:val="00C96784"/>
    <w:rsid w:val="00C967DC"/>
    <w:rsid w:val="00C967E7"/>
    <w:rsid w:val="00C968C1"/>
    <w:rsid w:val="00C969BF"/>
    <w:rsid w:val="00C969E2"/>
    <w:rsid w:val="00C969E9"/>
    <w:rsid w:val="00C96A69"/>
    <w:rsid w:val="00C96B5F"/>
    <w:rsid w:val="00C96B74"/>
    <w:rsid w:val="00C96C09"/>
    <w:rsid w:val="00C96CFC"/>
    <w:rsid w:val="00C96D62"/>
    <w:rsid w:val="00C96E77"/>
    <w:rsid w:val="00C96EC7"/>
    <w:rsid w:val="00C96F5E"/>
    <w:rsid w:val="00C97121"/>
    <w:rsid w:val="00C97175"/>
    <w:rsid w:val="00C9717B"/>
    <w:rsid w:val="00C97182"/>
    <w:rsid w:val="00C971DF"/>
    <w:rsid w:val="00C972E6"/>
    <w:rsid w:val="00C9734D"/>
    <w:rsid w:val="00C97356"/>
    <w:rsid w:val="00C97377"/>
    <w:rsid w:val="00C973BC"/>
    <w:rsid w:val="00C974C5"/>
    <w:rsid w:val="00C9753F"/>
    <w:rsid w:val="00C976B6"/>
    <w:rsid w:val="00C976C7"/>
    <w:rsid w:val="00C9783C"/>
    <w:rsid w:val="00C97955"/>
    <w:rsid w:val="00C97973"/>
    <w:rsid w:val="00C97A15"/>
    <w:rsid w:val="00C97ACC"/>
    <w:rsid w:val="00C97B51"/>
    <w:rsid w:val="00C97C2D"/>
    <w:rsid w:val="00C97C3D"/>
    <w:rsid w:val="00C97C67"/>
    <w:rsid w:val="00C97DB2"/>
    <w:rsid w:val="00C97DBA"/>
    <w:rsid w:val="00C97E9A"/>
    <w:rsid w:val="00C97EAE"/>
    <w:rsid w:val="00C97ECD"/>
    <w:rsid w:val="00CA03D6"/>
    <w:rsid w:val="00CA045E"/>
    <w:rsid w:val="00CA0472"/>
    <w:rsid w:val="00CA0651"/>
    <w:rsid w:val="00CA067C"/>
    <w:rsid w:val="00CA06A4"/>
    <w:rsid w:val="00CA072E"/>
    <w:rsid w:val="00CA077A"/>
    <w:rsid w:val="00CA0783"/>
    <w:rsid w:val="00CA0785"/>
    <w:rsid w:val="00CA08A3"/>
    <w:rsid w:val="00CA090F"/>
    <w:rsid w:val="00CA0A3B"/>
    <w:rsid w:val="00CA0B0B"/>
    <w:rsid w:val="00CA0C0B"/>
    <w:rsid w:val="00CA0C89"/>
    <w:rsid w:val="00CA0DFD"/>
    <w:rsid w:val="00CA0E10"/>
    <w:rsid w:val="00CA0E76"/>
    <w:rsid w:val="00CA0FB1"/>
    <w:rsid w:val="00CA10A2"/>
    <w:rsid w:val="00CA11F1"/>
    <w:rsid w:val="00CA125B"/>
    <w:rsid w:val="00CA12AA"/>
    <w:rsid w:val="00CA12E9"/>
    <w:rsid w:val="00CA131A"/>
    <w:rsid w:val="00CA1337"/>
    <w:rsid w:val="00CA133C"/>
    <w:rsid w:val="00CA1342"/>
    <w:rsid w:val="00CA1506"/>
    <w:rsid w:val="00CA1517"/>
    <w:rsid w:val="00CA153B"/>
    <w:rsid w:val="00CA15ED"/>
    <w:rsid w:val="00CA1640"/>
    <w:rsid w:val="00CA1737"/>
    <w:rsid w:val="00CA1762"/>
    <w:rsid w:val="00CA17D1"/>
    <w:rsid w:val="00CA1974"/>
    <w:rsid w:val="00CA1A56"/>
    <w:rsid w:val="00CA1AF5"/>
    <w:rsid w:val="00CA1B01"/>
    <w:rsid w:val="00CA1B58"/>
    <w:rsid w:val="00CA1C3D"/>
    <w:rsid w:val="00CA1DBE"/>
    <w:rsid w:val="00CA1DE4"/>
    <w:rsid w:val="00CA2000"/>
    <w:rsid w:val="00CA21EE"/>
    <w:rsid w:val="00CA232C"/>
    <w:rsid w:val="00CA245F"/>
    <w:rsid w:val="00CA2481"/>
    <w:rsid w:val="00CA24B6"/>
    <w:rsid w:val="00CA24F9"/>
    <w:rsid w:val="00CA266D"/>
    <w:rsid w:val="00CA26A3"/>
    <w:rsid w:val="00CA2796"/>
    <w:rsid w:val="00CA27DC"/>
    <w:rsid w:val="00CA2B5C"/>
    <w:rsid w:val="00CA2CE9"/>
    <w:rsid w:val="00CA2CF4"/>
    <w:rsid w:val="00CA2D4C"/>
    <w:rsid w:val="00CA2E72"/>
    <w:rsid w:val="00CA317E"/>
    <w:rsid w:val="00CA328F"/>
    <w:rsid w:val="00CA33BC"/>
    <w:rsid w:val="00CA33C0"/>
    <w:rsid w:val="00CA35C6"/>
    <w:rsid w:val="00CA3653"/>
    <w:rsid w:val="00CA36B6"/>
    <w:rsid w:val="00CA37CE"/>
    <w:rsid w:val="00CA3830"/>
    <w:rsid w:val="00CA38E3"/>
    <w:rsid w:val="00CA39B3"/>
    <w:rsid w:val="00CA3A19"/>
    <w:rsid w:val="00CA3CED"/>
    <w:rsid w:val="00CA3D44"/>
    <w:rsid w:val="00CA3DB8"/>
    <w:rsid w:val="00CA3DC8"/>
    <w:rsid w:val="00CA4026"/>
    <w:rsid w:val="00CA4092"/>
    <w:rsid w:val="00CA40A1"/>
    <w:rsid w:val="00CA423B"/>
    <w:rsid w:val="00CA4313"/>
    <w:rsid w:val="00CA436E"/>
    <w:rsid w:val="00CA4393"/>
    <w:rsid w:val="00CA43E1"/>
    <w:rsid w:val="00CA43F8"/>
    <w:rsid w:val="00CA44AF"/>
    <w:rsid w:val="00CA4516"/>
    <w:rsid w:val="00CA4567"/>
    <w:rsid w:val="00CA456A"/>
    <w:rsid w:val="00CA459F"/>
    <w:rsid w:val="00CA46E0"/>
    <w:rsid w:val="00CA4774"/>
    <w:rsid w:val="00CA47AD"/>
    <w:rsid w:val="00CA481F"/>
    <w:rsid w:val="00CA496D"/>
    <w:rsid w:val="00CA498D"/>
    <w:rsid w:val="00CA49D1"/>
    <w:rsid w:val="00CA49EA"/>
    <w:rsid w:val="00CA4A6F"/>
    <w:rsid w:val="00CA4B81"/>
    <w:rsid w:val="00CA4CF3"/>
    <w:rsid w:val="00CA4DAA"/>
    <w:rsid w:val="00CA4E10"/>
    <w:rsid w:val="00CA4F3A"/>
    <w:rsid w:val="00CA4F45"/>
    <w:rsid w:val="00CA50E1"/>
    <w:rsid w:val="00CA518D"/>
    <w:rsid w:val="00CA521F"/>
    <w:rsid w:val="00CA524D"/>
    <w:rsid w:val="00CA526C"/>
    <w:rsid w:val="00CA5351"/>
    <w:rsid w:val="00CA5376"/>
    <w:rsid w:val="00CA53B2"/>
    <w:rsid w:val="00CA53CC"/>
    <w:rsid w:val="00CA54A1"/>
    <w:rsid w:val="00CA54AD"/>
    <w:rsid w:val="00CA5702"/>
    <w:rsid w:val="00CA570D"/>
    <w:rsid w:val="00CA575D"/>
    <w:rsid w:val="00CA57CF"/>
    <w:rsid w:val="00CA582A"/>
    <w:rsid w:val="00CA5847"/>
    <w:rsid w:val="00CA591C"/>
    <w:rsid w:val="00CA5925"/>
    <w:rsid w:val="00CA596E"/>
    <w:rsid w:val="00CA5C4E"/>
    <w:rsid w:val="00CA5D88"/>
    <w:rsid w:val="00CA5DD2"/>
    <w:rsid w:val="00CA5F89"/>
    <w:rsid w:val="00CA619B"/>
    <w:rsid w:val="00CA61AD"/>
    <w:rsid w:val="00CA61FC"/>
    <w:rsid w:val="00CA6398"/>
    <w:rsid w:val="00CA63D6"/>
    <w:rsid w:val="00CA63FC"/>
    <w:rsid w:val="00CA6626"/>
    <w:rsid w:val="00CA66D7"/>
    <w:rsid w:val="00CA6BB9"/>
    <w:rsid w:val="00CA6C9D"/>
    <w:rsid w:val="00CA6D66"/>
    <w:rsid w:val="00CA6DAD"/>
    <w:rsid w:val="00CA6EC0"/>
    <w:rsid w:val="00CA6F0D"/>
    <w:rsid w:val="00CA6FE9"/>
    <w:rsid w:val="00CA6FEC"/>
    <w:rsid w:val="00CA7130"/>
    <w:rsid w:val="00CA71C5"/>
    <w:rsid w:val="00CA725E"/>
    <w:rsid w:val="00CA726D"/>
    <w:rsid w:val="00CA729F"/>
    <w:rsid w:val="00CA732A"/>
    <w:rsid w:val="00CA73FC"/>
    <w:rsid w:val="00CA7549"/>
    <w:rsid w:val="00CA75B7"/>
    <w:rsid w:val="00CA7688"/>
    <w:rsid w:val="00CA77CB"/>
    <w:rsid w:val="00CA7838"/>
    <w:rsid w:val="00CA7862"/>
    <w:rsid w:val="00CA7948"/>
    <w:rsid w:val="00CA7A04"/>
    <w:rsid w:val="00CA7A54"/>
    <w:rsid w:val="00CA7AD1"/>
    <w:rsid w:val="00CA7B29"/>
    <w:rsid w:val="00CA7B4E"/>
    <w:rsid w:val="00CA7B98"/>
    <w:rsid w:val="00CA7C01"/>
    <w:rsid w:val="00CA7C46"/>
    <w:rsid w:val="00CA7C92"/>
    <w:rsid w:val="00CA7DBB"/>
    <w:rsid w:val="00CA7E13"/>
    <w:rsid w:val="00CA7E23"/>
    <w:rsid w:val="00CA7E2D"/>
    <w:rsid w:val="00CA7E32"/>
    <w:rsid w:val="00CA7E7A"/>
    <w:rsid w:val="00CA7ECF"/>
    <w:rsid w:val="00CA7F27"/>
    <w:rsid w:val="00CA7FBC"/>
    <w:rsid w:val="00CA7FC5"/>
    <w:rsid w:val="00CB0106"/>
    <w:rsid w:val="00CB0167"/>
    <w:rsid w:val="00CB02E5"/>
    <w:rsid w:val="00CB0491"/>
    <w:rsid w:val="00CB05C7"/>
    <w:rsid w:val="00CB05D7"/>
    <w:rsid w:val="00CB065B"/>
    <w:rsid w:val="00CB0698"/>
    <w:rsid w:val="00CB06FE"/>
    <w:rsid w:val="00CB0917"/>
    <w:rsid w:val="00CB0920"/>
    <w:rsid w:val="00CB0950"/>
    <w:rsid w:val="00CB0A08"/>
    <w:rsid w:val="00CB0B82"/>
    <w:rsid w:val="00CB0B84"/>
    <w:rsid w:val="00CB0D60"/>
    <w:rsid w:val="00CB0D99"/>
    <w:rsid w:val="00CB0E72"/>
    <w:rsid w:val="00CB0EEB"/>
    <w:rsid w:val="00CB1058"/>
    <w:rsid w:val="00CB109A"/>
    <w:rsid w:val="00CB11AE"/>
    <w:rsid w:val="00CB11F1"/>
    <w:rsid w:val="00CB1230"/>
    <w:rsid w:val="00CB127E"/>
    <w:rsid w:val="00CB1287"/>
    <w:rsid w:val="00CB12A1"/>
    <w:rsid w:val="00CB12DB"/>
    <w:rsid w:val="00CB1365"/>
    <w:rsid w:val="00CB1525"/>
    <w:rsid w:val="00CB152D"/>
    <w:rsid w:val="00CB155C"/>
    <w:rsid w:val="00CB160F"/>
    <w:rsid w:val="00CB16C7"/>
    <w:rsid w:val="00CB17F5"/>
    <w:rsid w:val="00CB181C"/>
    <w:rsid w:val="00CB1836"/>
    <w:rsid w:val="00CB190A"/>
    <w:rsid w:val="00CB1966"/>
    <w:rsid w:val="00CB1995"/>
    <w:rsid w:val="00CB1A0C"/>
    <w:rsid w:val="00CB1A71"/>
    <w:rsid w:val="00CB1AA4"/>
    <w:rsid w:val="00CB1B77"/>
    <w:rsid w:val="00CB1BB7"/>
    <w:rsid w:val="00CB1BFC"/>
    <w:rsid w:val="00CB1C9D"/>
    <w:rsid w:val="00CB1D4B"/>
    <w:rsid w:val="00CB1E4C"/>
    <w:rsid w:val="00CB1E65"/>
    <w:rsid w:val="00CB1E9D"/>
    <w:rsid w:val="00CB1F35"/>
    <w:rsid w:val="00CB20D5"/>
    <w:rsid w:val="00CB213E"/>
    <w:rsid w:val="00CB2164"/>
    <w:rsid w:val="00CB22DD"/>
    <w:rsid w:val="00CB2379"/>
    <w:rsid w:val="00CB24D2"/>
    <w:rsid w:val="00CB261E"/>
    <w:rsid w:val="00CB2711"/>
    <w:rsid w:val="00CB2727"/>
    <w:rsid w:val="00CB290A"/>
    <w:rsid w:val="00CB2957"/>
    <w:rsid w:val="00CB2959"/>
    <w:rsid w:val="00CB2998"/>
    <w:rsid w:val="00CB2AF5"/>
    <w:rsid w:val="00CB2CA5"/>
    <w:rsid w:val="00CB2CD3"/>
    <w:rsid w:val="00CB2D14"/>
    <w:rsid w:val="00CB2F0E"/>
    <w:rsid w:val="00CB2FAA"/>
    <w:rsid w:val="00CB2FB7"/>
    <w:rsid w:val="00CB3082"/>
    <w:rsid w:val="00CB3085"/>
    <w:rsid w:val="00CB3094"/>
    <w:rsid w:val="00CB3383"/>
    <w:rsid w:val="00CB355B"/>
    <w:rsid w:val="00CB3627"/>
    <w:rsid w:val="00CB3867"/>
    <w:rsid w:val="00CB38F5"/>
    <w:rsid w:val="00CB393C"/>
    <w:rsid w:val="00CB39E1"/>
    <w:rsid w:val="00CB3A36"/>
    <w:rsid w:val="00CB3A9D"/>
    <w:rsid w:val="00CB3B17"/>
    <w:rsid w:val="00CB3B64"/>
    <w:rsid w:val="00CB3B6B"/>
    <w:rsid w:val="00CB3B96"/>
    <w:rsid w:val="00CB3C11"/>
    <w:rsid w:val="00CB3C3F"/>
    <w:rsid w:val="00CB3CC4"/>
    <w:rsid w:val="00CB3CF1"/>
    <w:rsid w:val="00CB3D21"/>
    <w:rsid w:val="00CB3EEE"/>
    <w:rsid w:val="00CB3EF6"/>
    <w:rsid w:val="00CB3EF9"/>
    <w:rsid w:val="00CB4030"/>
    <w:rsid w:val="00CB407E"/>
    <w:rsid w:val="00CB4140"/>
    <w:rsid w:val="00CB418F"/>
    <w:rsid w:val="00CB4227"/>
    <w:rsid w:val="00CB423F"/>
    <w:rsid w:val="00CB4286"/>
    <w:rsid w:val="00CB432E"/>
    <w:rsid w:val="00CB436A"/>
    <w:rsid w:val="00CB44C1"/>
    <w:rsid w:val="00CB450C"/>
    <w:rsid w:val="00CB457D"/>
    <w:rsid w:val="00CB4590"/>
    <w:rsid w:val="00CB45B0"/>
    <w:rsid w:val="00CB4656"/>
    <w:rsid w:val="00CB4697"/>
    <w:rsid w:val="00CB47FE"/>
    <w:rsid w:val="00CB48BC"/>
    <w:rsid w:val="00CB4945"/>
    <w:rsid w:val="00CB49A7"/>
    <w:rsid w:val="00CB4A4A"/>
    <w:rsid w:val="00CB4A4B"/>
    <w:rsid w:val="00CB4A75"/>
    <w:rsid w:val="00CB4B25"/>
    <w:rsid w:val="00CB4B7E"/>
    <w:rsid w:val="00CB4CE8"/>
    <w:rsid w:val="00CB4D16"/>
    <w:rsid w:val="00CB4D47"/>
    <w:rsid w:val="00CB4E36"/>
    <w:rsid w:val="00CB4EDD"/>
    <w:rsid w:val="00CB4F23"/>
    <w:rsid w:val="00CB4F56"/>
    <w:rsid w:val="00CB4FD9"/>
    <w:rsid w:val="00CB5283"/>
    <w:rsid w:val="00CB52F0"/>
    <w:rsid w:val="00CB5342"/>
    <w:rsid w:val="00CB534C"/>
    <w:rsid w:val="00CB53C0"/>
    <w:rsid w:val="00CB5455"/>
    <w:rsid w:val="00CB54A3"/>
    <w:rsid w:val="00CB54D0"/>
    <w:rsid w:val="00CB5553"/>
    <w:rsid w:val="00CB555C"/>
    <w:rsid w:val="00CB55BE"/>
    <w:rsid w:val="00CB55EC"/>
    <w:rsid w:val="00CB55F5"/>
    <w:rsid w:val="00CB56DC"/>
    <w:rsid w:val="00CB58C0"/>
    <w:rsid w:val="00CB5907"/>
    <w:rsid w:val="00CB5987"/>
    <w:rsid w:val="00CB5989"/>
    <w:rsid w:val="00CB598C"/>
    <w:rsid w:val="00CB59AE"/>
    <w:rsid w:val="00CB59C5"/>
    <w:rsid w:val="00CB5A82"/>
    <w:rsid w:val="00CB5C7C"/>
    <w:rsid w:val="00CB5C8D"/>
    <w:rsid w:val="00CB5C93"/>
    <w:rsid w:val="00CB5D2E"/>
    <w:rsid w:val="00CB5E92"/>
    <w:rsid w:val="00CB5F15"/>
    <w:rsid w:val="00CB5F4B"/>
    <w:rsid w:val="00CB6034"/>
    <w:rsid w:val="00CB6111"/>
    <w:rsid w:val="00CB6114"/>
    <w:rsid w:val="00CB6133"/>
    <w:rsid w:val="00CB6210"/>
    <w:rsid w:val="00CB62BE"/>
    <w:rsid w:val="00CB62DA"/>
    <w:rsid w:val="00CB62E1"/>
    <w:rsid w:val="00CB662B"/>
    <w:rsid w:val="00CB662E"/>
    <w:rsid w:val="00CB66E0"/>
    <w:rsid w:val="00CB6785"/>
    <w:rsid w:val="00CB6A46"/>
    <w:rsid w:val="00CB6AA6"/>
    <w:rsid w:val="00CB6AD7"/>
    <w:rsid w:val="00CB6B35"/>
    <w:rsid w:val="00CB6BB9"/>
    <w:rsid w:val="00CB6C7C"/>
    <w:rsid w:val="00CB6CF0"/>
    <w:rsid w:val="00CB6E17"/>
    <w:rsid w:val="00CB6EBC"/>
    <w:rsid w:val="00CB6F07"/>
    <w:rsid w:val="00CB6F36"/>
    <w:rsid w:val="00CB6FCC"/>
    <w:rsid w:val="00CB704F"/>
    <w:rsid w:val="00CB7129"/>
    <w:rsid w:val="00CB7183"/>
    <w:rsid w:val="00CB718C"/>
    <w:rsid w:val="00CB7259"/>
    <w:rsid w:val="00CB72C6"/>
    <w:rsid w:val="00CB745F"/>
    <w:rsid w:val="00CB74B3"/>
    <w:rsid w:val="00CB758B"/>
    <w:rsid w:val="00CB7693"/>
    <w:rsid w:val="00CB76D1"/>
    <w:rsid w:val="00CB7705"/>
    <w:rsid w:val="00CB775C"/>
    <w:rsid w:val="00CB7914"/>
    <w:rsid w:val="00CB7AE8"/>
    <w:rsid w:val="00CB7C32"/>
    <w:rsid w:val="00CB7E51"/>
    <w:rsid w:val="00CB7E8B"/>
    <w:rsid w:val="00CB7F0B"/>
    <w:rsid w:val="00CB7FD6"/>
    <w:rsid w:val="00CC0080"/>
    <w:rsid w:val="00CC0107"/>
    <w:rsid w:val="00CC0131"/>
    <w:rsid w:val="00CC01D9"/>
    <w:rsid w:val="00CC0278"/>
    <w:rsid w:val="00CC02C8"/>
    <w:rsid w:val="00CC0302"/>
    <w:rsid w:val="00CC031B"/>
    <w:rsid w:val="00CC042A"/>
    <w:rsid w:val="00CC064C"/>
    <w:rsid w:val="00CC076B"/>
    <w:rsid w:val="00CC0851"/>
    <w:rsid w:val="00CC09AC"/>
    <w:rsid w:val="00CC09CA"/>
    <w:rsid w:val="00CC0B50"/>
    <w:rsid w:val="00CC0C94"/>
    <w:rsid w:val="00CC0D0C"/>
    <w:rsid w:val="00CC0D6C"/>
    <w:rsid w:val="00CC0D83"/>
    <w:rsid w:val="00CC0DD4"/>
    <w:rsid w:val="00CC0FD2"/>
    <w:rsid w:val="00CC0FD3"/>
    <w:rsid w:val="00CC10A9"/>
    <w:rsid w:val="00CC10EC"/>
    <w:rsid w:val="00CC11DF"/>
    <w:rsid w:val="00CC1242"/>
    <w:rsid w:val="00CC12FC"/>
    <w:rsid w:val="00CC132B"/>
    <w:rsid w:val="00CC14A4"/>
    <w:rsid w:val="00CC14B5"/>
    <w:rsid w:val="00CC153D"/>
    <w:rsid w:val="00CC1593"/>
    <w:rsid w:val="00CC161F"/>
    <w:rsid w:val="00CC16DA"/>
    <w:rsid w:val="00CC1775"/>
    <w:rsid w:val="00CC183F"/>
    <w:rsid w:val="00CC1979"/>
    <w:rsid w:val="00CC1A1D"/>
    <w:rsid w:val="00CC1A3E"/>
    <w:rsid w:val="00CC1A4A"/>
    <w:rsid w:val="00CC1AE3"/>
    <w:rsid w:val="00CC1B61"/>
    <w:rsid w:val="00CC1BC8"/>
    <w:rsid w:val="00CC1D13"/>
    <w:rsid w:val="00CC1D52"/>
    <w:rsid w:val="00CC1D90"/>
    <w:rsid w:val="00CC1E5D"/>
    <w:rsid w:val="00CC1E9D"/>
    <w:rsid w:val="00CC1F26"/>
    <w:rsid w:val="00CC1FED"/>
    <w:rsid w:val="00CC2539"/>
    <w:rsid w:val="00CC26FD"/>
    <w:rsid w:val="00CC27E2"/>
    <w:rsid w:val="00CC292C"/>
    <w:rsid w:val="00CC29A7"/>
    <w:rsid w:val="00CC2A7B"/>
    <w:rsid w:val="00CC2BC1"/>
    <w:rsid w:val="00CC2CBA"/>
    <w:rsid w:val="00CC2CE3"/>
    <w:rsid w:val="00CC2EDD"/>
    <w:rsid w:val="00CC2EEF"/>
    <w:rsid w:val="00CC3070"/>
    <w:rsid w:val="00CC307D"/>
    <w:rsid w:val="00CC31F6"/>
    <w:rsid w:val="00CC322E"/>
    <w:rsid w:val="00CC3297"/>
    <w:rsid w:val="00CC32EA"/>
    <w:rsid w:val="00CC3475"/>
    <w:rsid w:val="00CC34BB"/>
    <w:rsid w:val="00CC34E5"/>
    <w:rsid w:val="00CC3576"/>
    <w:rsid w:val="00CC3587"/>
    <w:rsid w:val="00CC3591"/>
    <w:rsid w:val="00CC3670"/>
    <w:rsid w:val="00CC3737"/>
    <w:rsid w:val="00CC3796"/>
    <w:rsid w:val="00CC382D"/>
    <w:rsid w:val="00CC38CB"/>
    <w:rsid w:val="00CC390C"/>
    <w:rsid w:val="00CC3A7C"/>
    <w:rsid w:val="00CC3A7F"/>
    <w:rsid w:val="00CC3ACD"/>
    <w:rsid w:val="00CC3AE0"/>
    <w:rsid w:val="00CC3B4A"/>
    <w:rsid w:val="00CC3B88"/>
    <w:rsid w:val="00CC3BDF"/>
    <w:rsid w:val="00CC3C39"/>
    <w:rsid w:val="00CC3C85"/>
    <w:rsid w:val="00CC3D38"/>
    <w:rsid w:val="00CC3DBD"/>
    <w:rsid w:val="00CC3E26"/>
    <w:rsid w:val="00CC4009"/>
    <w:rsid w:val="00CC40CF"/>
    <w:rsid w:val="00CC40F8"/>
    <w:rsid w:val="00CC4144"/>
    <w:rsid w:val="00CC41C0"/>
    <w:rsid w:val="00CC428B"/>
    <w:rsid w:val="00CC42DF"/>
    <w:rsid w:val="00CC4359"/>
    <w:rsid w:val="00CC4599"/>
    <w:rsid w:val="00CC472F"/>
    <w:rsid w:val="00CC4779"/>
    <w:rsid w:val="00CC47D1"/>
    <w:rsid w:val="00CC491F"/>
    <w:rsid w:val="00CC4AF4"/>
    <w:rsid w:val="00CC4B11"/>
    <w:rsid w:val="00CC4B9E"/>
    <w:rsid w:val="00CC4BDB"/>
    <w:rsid w:val="00CC4C35"/>
    <w:rsid w:val="00CC4C81"/>
    <w:rsid w:val="00CC4CA6"/>
    <w:rsid w:val="00CC4CB0"/>
    <w:rsid w:val="00CC4CE2"/>
    <w:rsid w:val="00CC4E19"/>
    <w:rsid w:val="00CC4E23"/>
    <w:rsid w:val="00CC4ECF"/>
    <w:rsid w:val="00CC4F39"/>
    <w:rsid w:val="00CC511C"/>
    <w:rsid w:val="00CC516A"/>
    <w:rsid w:val="00CC5191"/>
    <w:rsid w:val="00CC51A8"/>
    <w:rsid w:val="00CC51A9"/>
    <w:rsid w:val="00CC5291"/>
    <w:rsid w:val="00CC5415"/>
    <w:rsid w:val="00CC5490"/>
    <w:rsid w:val="00CC5493"/>
    <w:rsid w:val="00CC55C4"/>
    <w:rsid w:val="00CC55D1"/>
    <w:rsid w:val="00CC56C4"/>
    <w:rsid w:val="00CC5780"/>
    <w:rsid w:val="00CC5953"/>
    <w:rsid w:val="00CC5980"/>
    <w:rsid w:val="00CC59A6"/>
    <w:rsid w:val="00CC5A06"/>
    <w:rsid w:val="00CC5A55"/>
    <w:rsid w:val="00CC5A74"/>
    <w:rsid w:val="00CC5B1C"/>
    <w:rsid w:val="00CC5BA4"/>
    <w:rsid w:val="00CC5D9C"/>
    <w:rsid w:val="00CC5F0A"/>
    <w:rsid w:val="00CC5F0F"/>
    <w:rsid w:val="00CC5F23"/>
    <w:rsid w:val="00CC5F3A"/>
    <w:rsid w:val="00CC6086"/>
    <w:rsid w:val="00CC6113"/>
    <w:rsid w:val="00CC6151"/>
    <w:rsid w:val="00CC62B4"/>
    <w:rsid w:val="00CC6420"/>
    <w:rsid w:val="00CC6596"/>
    <w:rsid w:val="00CC65B3"/>
    <w:rsid w:val="00CC66C7"/>
    <w:rsid w:val="00CC6859"/>
    <w:rsid w:val="00CC685F"/>
    <w:rsid w:val="00CC6895"/>
    <w:rsid w:val="00CC689D"/>
    <w:rsid w:val="00CC68AD"/>
    <w:rsid w:val="00CC6962"/>
    <w:rsid w:val="00CC6DB4"/>
    <w:rsid w:val="00CC6E4E"/>
    <w:rsid w:val="00CC6E75"/>
    <w:rsid w:val="00CC6F21"/>
    <w:rsid w:val="00CC6F66"/>
    <w:rsid w:val="00CC7090"/>
    <w:rsid w:val="00CC7111"/>
    <w:rsid w:val="00CC724F"/>
    <w:rsid w:val="00CC7354"/>
    <w:rsid w:val="00CC7444"/>
    <w:rsid w:val="00CC74BB"/>
    <w:rsid w:val="00CC74C2"/>
    <w:rsid w:val="00CC74D4"/>
    <w:rsid w:val="00CC757F"/>
    <w:rsid w:val="00CC75C5"/>
    <w:rsid w:val="00CC7608"/>
    <w:rsid w:val="00CC7690"/>
    <w:rsid w:val="00CC7755"/>
    <w:rsid w:val="00CC78A1"/>
    <w:rsid w:val="00CC7930"/>
    <w:rsid w:val="00CC795A"/>
    <w:rsid w:val="00CC79D8"/>
    <w:rsid w:val="00CC7AB2"/>
    <w:rsid w:val="00CC7B22"/>
    <w:rsid w:val="00CC7CB4"/>
    <w:rsid w:val="00CC7D27"/>
    <w:rsid w:val="00CC7DA0"/>
    <w:rsid w:val="00CC7E23"/>
    <w:rsid w:val="00CC7E25"/>
    <w:rsid w:val="00CC7FAC"/>
    <w:rsid w:val="00CC7FD9"/>
    <w:rsid w:val="00CD0093"/>
    <w:rsid w:val="00CD0190"/>
    <w:rsid w:val="00CD021C"/>
    <w:rsid w:val="00CD047E"/>
    <w:rsid w:val="00CD04AC"/>
    <w:rsid w:val="00CD05BC"/>
    <w:rsid w:val="00CD0654"/>
    <w:rsid w:val="00CD065D"/>
    <w:rsid w:val="00CD06E1"/>
    <w:rsid w:val="00CD0855"/>
    <w:rsid w:val="00CD0898"/>
    <w:rsid w:val="00CD0930"/>
    <w:rsid w:val="00CD09D2"/>
    <w:rsid w:val="00CD0AE8"/>
    <w:rsid w:val="00CD0B69"/>
    <w:rsid w:val="00CD0BBF"/>
    <w:rsid w:val="00CD0C65"/>
    <w:rsid w:val="00CD0DA5"/>
    <w:rsid w:val="00CD0EAA"/>
    <w:rsid w:val="00CD0EF5"/>
    <w:rsid w:val="00CD0F82"/>
    <w:rsid w:val="00CD100B"/>
    <w:rsid w:val="00CD10F9"/>
    <w:rsid w:val="00CD1148"/>
    <w:rsid w:val="00CD11B5"/>
    <w:rsid w:val="00CD122B"/>
    <w:rsid w:val="00CD124F"/>
    <w:rsid w:val="00CD12CF"/>
    <w:rsid w:val="00CD12F0"/>
    <w:rsid w:val="00CD12F8"/>
    <w:rsid w:val="00CD13EE"/>
    <w:rsid w:val="00CD14D4"/>
    <w:rsid w:val="00CD1727"/>
    <w:rsid w:val="00CD1986"/>
    <w:rsid w:val="00CD1A1E"/>
    <w:rsid w:val="00CD1A57"/>
    <w:rsid w:val="00CD1A85"/>
    <w:rsid w:val="00CD1A88"/>
    <w:rsid w:val="00CD1AA9"/>
    <w:rsid w:val="00CD1B04"/>
    <w:rsid w:val="00CD1B1F"/>
    <w:rsid w:val="00CD1B69"/>
    <w:rsid w:val="00CD1B8B"/>
    <w:rsid w:val="00CD1C46"/>
    <w:rsid w:val="00CD1DE0"/>
    <w:rsid w:val="00CD1DE1"/>
    <w:rsid w:val="00CD1E18"/>
    <w:rsid w:val="00CD1F8E"/>
    <w:rsid w:val="00CD2051"/>
    <w:rsid w:val="00CD2106"/>
    <w:rsid w:val="00CD2236"/>
    <w:rsid w:val="00CD2249"/>
    <w:rsid w:val="00CD247A"/>
    <w:rsid w:val="00CD249C"/>
    <w:rsid w:val="00CD24A1"/>
    <w:rsid w:val="00CD25E9"/>
    <w:rsid w:val="00CD2784"/>
    <w:rsid w:val="00CD27A1"/>
    <w:rsid w:val="00CD280D"/>
    <w:rsid w:val="00CD2833"/>
    <w:rsid w:val="00CD28A8"/>
    <w:rsid w:val="00CD29DA"/>
    <w:rsid w:val="00CD29DD"/>
    <w:rsid w:val="00CD2BB9"/>
    <w:rsid w:val="00CD2BFE"/>
    <w:rsid w:val="00CD2C1D"/>
    <w:rsid w:val="00CD2C22"/>
    <w:rsid w:val="00CD2CAE"/>
    <w:rsid w:val="00CD2D7B"/>
    <w:rsid w:val="00CD2E2B"/>
    <w:rsid w:val="00CD2E37"/>
    <w:rsid w:val="00CD2E64"/>
    <w:rsid w:val="00CD2F4F"/>
    <w:rsid w:val="00CD2FA1"/>
    <w:rsid w:val="00CD2FB8"/>
    <w:rsid w:val="00CD32E9"/>
    <w:rsid w:val="00CD32ED"/>
    <w:rsid w:val="00CD334F"/>
    <w:rsid w:val="00CD3358"/>
    <w:rsid w:val="00CD3407"/>
    <w:rsid w:val="00CD35E1"/>
    <w:rsid w:val="00CD361C"/>
    <w:rsid w:val="00CD36A0"/>
    <w:rsid w:val="00CD391B"/>
    <w:rsid w:val="00CD3956"/>
    <w:rsid w:val="00CD39F9"/>
    <w:rsid w:val="00CD3A0F"/>
    <w:rsid w:val="00CD3A3E"/>
    <w:rsid w:val="00CD3ABC"/>
    <w:rsid w:val="00CD3AF1"/>
    <w:rsid w:val="00CD3B4C"/>
    <w:rsid w:val="00CD3BAB"/>
    <w:rsid w:val="00CD3C13"/>
    <w:rsid w:val="00CD3C16"/>
    <w:rsid w:val="00CD3CBF"/>
    <w:rsid w:val="00CD3D2A"/>
    <w:rsid w:val="00CD3D5C"/>
    <w:rsid w:val="00CD3EA4"/>
    <w:rsid w:val="00CD3EFA"/>
    <w:rsid w:val="00CD40B0"/>
    <w:rsid w:val="00CD41D8"/>
    <w:rsid w:val="00CD421D"/>
    <w:rsid w:val="00CD4332"/>
    <w:rsid w:val="00CD437D"/>
    <w:rsid w:val="00CD4463"/>
    <w:rsid w:val="00CD4473"/>
    <w:rsid w:val="00CD4482"/>
    <w:rsid w:val="00CD4592"/>
    <w:rsid w:val="00CD4622"/>
    <w:rsid w:val="00CD4688"/>
    <w:rsid w:val="00CD46F6"/>
    <w:rsid w:val="00CD4781"/>
    <w:rsid w:val="00CD47DA"/>
    <w:rsid w:val="00CD48CE"/>
    <w:rsid w:val="00CD4998"/>
    <w:rsid w:val="00CD4B43"/>
    <w:rsid w:val="00CD4B6E"/>
    <w:rsid w:val="00CD4B95"/>
    <w:rsid w:val="00CD4C22"/>
    <w:rsid w:val="00CD4C76"/>
    <w:rsid w:val="00CD4CD6"/>
    <w:rsid w:val="00CD4CEC"/>
    <w:rsid w:val="00CD4D1A"/>
    <w:rsid w:val="00CD4D75"/>
    <w:rsid w:val="00CD4EF7"/>
    <w:rsid w:val="00CD4FD8"/>
    <w:rsid w:val="00CD504F"/>
    <w:rsid w:val="00CD5461"/>
    <w:rsid w:val="00CD547C"/>
    <w:rsid w:val="00CD55CE"/>
    <w:rsid w:val="00CD568A"/>
    <w:rsid w:val="00CD572C"/>
    <w:rsid w:val="00CD5745"/>
    <w:rsid w:val="00CD576C"/>
    <w:rsid w:val="00CD579F"/>
    <w:rsid w:val="00CD58C4"/>
    <w:rsid w:val="00CD5920"/>
    <w:rsid w:val="00CD59FF"/>
    <w:rsid w:val="00CD5B1C"/>
    <w:rsid w:val="00CD5B3D"/>
    <w:rsid w:val="00CD5B68"/>
    <w:rsid w:val="00CD5C1F"/>
    <w:rsid w:val="00CD5C51"/>
    <w:rsid w:val="00CD5D8D"/>
    <w:rsid w:val="00CD5E58"/>
    <w:rsid w:val="00CD5F71"/>
    <w:rsid w:val="00CD5FF6"/>
    <w:rsid w:val="00CD614D"/>
    <w:rsid w:val="00CD627F"/>
    <w:rsid w:val="00CD657D"/>
    <w:rsid w:val="00CD65DB"/>
    <w:rsid w:val="00CD664B"/>
    <w:rsid w:val="00CD66B6"/>
    <w:rsid w:val="00CD6701"/>
    <w:rsid w:val="00CD6786"/>
    <w:rsid w:val="00CD68BD"/>
    <w:rsid w:val="00CD6AF6"/>
    <w:rsid w:val="00CD6B0E"/>
    <w:rsid w:val="00CD6B28"/>
    <w:rsid w:val="00CD6B8B"/>
    <w:rsid w:val="00CD6CA8"/>
    <w:rsid w:val="00CD6DE6"/>
    <w:rsid w:val="00CD6F93"/>
    <w:rsid w:val="00CD7119"/>
    <w:rsid w:val="00CD711D"/>
    <w:rsid w:val="00CD7150"/>
    <w:rsid w:val="00CD723A"/>
    <w:rsid w:val="00CD7256"/>
    <w:rsid w:val="00CD7685"/>
    <w:rsid w:val="00CD7869"/>
    <w:rsid w:val="00CD7916"/>
    <w:rsid w:val="00CD7A3E"/>
    <w:rsid w:val="00CD7B5E"/>
    <w:rsid w:val="00CD7C48"/>
    <w:rsid w:val="00CD7C7F"/>
    <w:rsid w:val="00CD7CCA"/>
    <w:rsid w:val="00CD7D2A"/>
    <w:rsid w:val="00CD7DF0"/>
    <w:rsid w:val="00CD7ED4"/>
    <w:rsid w:val="00CD7EEF"/>
    <w:rsid w:val="00CD7F2A"/>
    <w:rsid w:val="00CD7FEF"/>
    <w:rsid w:val="00CE0005"/>
    <w:rsid w:val="00CE013A"/>
    <w:rsid w:val="00CE01BD"/>
    <w:rsid w:val="00CE02BC"/>
    <w:rsid w:val="00CE03E6"/>
    <w:rsid w:val="00CE0562"/>
    <w:rsid w:val="00CE05D6"/>
    <w:rsid w:val="00CE0600"/>
    <w:rsid w:val="00CE07B4"/>
    <w:rsid w:val="00CE0801"/>
    <w:rsid w:val="00CE08B5"/>
    <w:rsid w:val="00CE091B"/>
    <w:rsid w:val="00CE09A5"/>
    <w:rsid w:val="00CE0B58"/>
    <w:rsid w:val="00CE0C31"/>
    <w:rsid w:val="00CE0D22"/>
    <w:rsid w:val="00CE0E71"/>
    <w:rsid w:val="00CE0E96"/>
    <w:rsid w:val="00CE1028"/>
    <w:rsid w:val="00CE108A"/>
    <w:rsid w:val="00CE10BE"/>
    <w:rsid w:val="00CE10E6"/>
    <w:rsid w:val="00CE1163"/>
    <w:rsid w:val="00CE12B5"/>
    <w:rsid w:val="00CE131D"/>
    <w:rsid w:val="00CE133A"/>
    <w:rsid w:val="00CE13A0"/>
    <w:rsid w:val="00CE15E6"/>
    <w:rsid w:val="00CE163D"/>
    <w:rsid w:val="00CE16B0"/>
    <w:rsid w:val="00CE1720"/>
    <w:rsid w:val="00CE17DA"/>
    <w:rsid w:val="00CE1965"/>
    <w:rsid w:val="00CE199F"/>
    <w:rsid w:val="00CE1A0B"/>
    <w:rsid w:val="00CE1A73"/>
    <w:rsid w:val="00CE1BC8"/>
    <w:rsid w:val="00CE1C05"/>
    <w:rsid w:val="00CE1C25"/>
    <w:rsid w:val="00CE1CB4"/>
    <w:rsid w:val="00CE1D30"/>
    <w:rsid w:val="00CE1DAA"/>
    <w:rsid w:val="00CE1DB9"/>
    <w:rsid w:val="00CE1F33"/>
    <w:rsid w:val="00CE1F5D"/>
    <w:rsid w:val="00CE1FEA"/>
    <w:rsid w:val="00CE202F"/>
    <w:rsid w:val="00CE20B3"/>
    <w:rsid w:val="00CE20C9"/>
    <w:rsid w:val="00CE2136"/>
    <w:rsid w:val="00CE21C0"/>
    <w:rsid w:val="00CE21E0"/>
    <w:rsid w:val="00CE2285"/>
    <w:rsid w:val="00CE2358"/>
    <w:rsid w:val="00CE25CA"/>
    <w:rsid w:val="00CE2622"/>
    <w:rsid w:val="00CE278E"/>
    <w:rsid w:val="00CE2887"/>
    <w:rsid w:val="00CE28F3"/>
    <w:rsid w:val="00CE2A22"/>
    <w:rsid w:val="00CE2BFB"/>
    <w:rsid w:val="00CE2D35"/>
    <w:rsid w:val="00CE3049"/>
    <w:rsid w:val="00CE32F7"/>
    <w:rsid w:val="00CE3331"/>
    <w:rsid w:val="00CE336F"/>
    <w:rsid w:val="00CE33AF"/>
    <w:rsid w:val="00CE34EA"/>
    <w:rsid w:val="00CE3519"/>
    <w:rsid w:val="00CE358E"/>
    <w:rsid w:val="00CE3643"/>
    <w:rsid w:val="00CE3748"/>
    <w:rsid w:val="00CE3784"/>
    <w:rsid w:val="00CE37A7"/>
    <w:rsid w:val="00CE37B1"/>
    <w:rsid w:val="00CE3846"/>
    <w:rsid w:val="00CE3888"/>
    <w:rsid w:val="00CE38AE"/>
    <w:rsid w:val="00CE38D2"/>
    <w:rsid w:val="00CE38F0"/>
    <w:rsid w:val="00CE3927"/>
    <w:rsid w:val="00CE3A6A"/>
    <w:rsid w:val="00CE3B14"/>
    <w:rsid w:val="00CE3BF8"/>
    <w:rsid w:val="00CE3CE6"/>
    <w:rsid w:val="00CE3DBD"/>
    <w:rsid w:val="00CE3E2F"/>
    <w:rsid w:val="00CE3EA4"/>
    <w:rsid w:val="00CE3EB8"/>
    <w:rsid w:val="00CE3EB9"/>
    <w:rsid w:val="00CE3F83"/>
    <w:rsid w:val="00CE3F9E"/>
    <w:rsid w:val="00CE4114"/>
    <w:rsid w:val="00CE417A"/>
    <w:rsid w:val="00CE41B7"/>
    <w:rsid w:val="00CE4217"/>
    <w:rsid w:val="00CE42BB"/>
    <w:rsid w:val="00CE4392"/>
    <w:rsid w:val="00CE43A6"/>
    <w:rsid w:val="00CE4617"/>
    <w:rsid w:val="00CE46DF"/>
    <w:rsid w:val="00CE47A9"/>
    <w:rsid w:val="00CE47FD"/>
    <w:rsid w:val="00CE480F"/>
    <w:rsid w:val="00CE485D"/>
    <w:rsid w:val="00CE4A2B"/>
    <w:rsid w:val="00CE4AD8"/>
    <w:rsid w:val="00CE4B05"/>
    <w:rsid w:val="00CE4BA7"/>
    <w:rsid w:val="00CE4C04"/>
    <w:rsid w:val="00CE4C7D"/>
    <w:rsid w:val="00CE4D74"/>
    <w:rsid w:val="00CE4DE9"/>
    <w:rsid w:val="00CE4FFE"/>
    <w:rsid w:val="00CE5064"/>
    <w:rsid w:val="00CE5080"/>
    <w:rsid w:val="00CE50A3"/>
    <w:rsid w:val="00CE50D8"/>
    <w:rsid w:val="00CE50F4"/>
    <w:rsid w:val="00CE5153"/>
    <w:rsid w:val="00CE51B9"/>
    <w:rsid w:val="00CE51DF"/>
    <w:rsid w:val="00CE53EE"/>
    <w:rsid w:val="00CE5488"/>
    <w:rsid w:val="00CE54C0"/>
    <w:rsid w:val="00CE54EE"/>
    <w:rsid w:val="00CE5511"/>
    <w:rsid w:val="00CE55FB"/>
    <w:rsid w:val="00CE56DC"/>
    <w:rsid w:val="00CE5760"/>
    <w:rsid w:val="00CE5764"/>
    <w:rsid w:val="00CE587F"/>
    <w:rsid w:val="00CE5892"/>
    <w:rsid w:val="00CE5919"/>
    <w:rsid w:val="00CE598D"/>
    <w:rsid w:val="00CE5CDC"/>
    <w:rsid w:val="00CE5D0F"/>
    <w:rsid w:val="00CE5D54"/>
    <w:rsid w:val="00CE5DDB"/>
    <w:rsid w:val="00CE5E64"/>
    <w:rsid w:val="00CE603F"/>
    <w:rsid w:val="00CE6311"/>
    <w:rsid w:val="00CE6359"/>
    <w:rsid w:val="00CE636D"/>
    <w:rsid w:val="00CE63E6"/>
    <w:rsid w:val="00CE64E8"/>
    <w:rsid w:val="00CE652F"/>
    <w:rsid w:val="00CE6536"/>
    <w:rsid w:val="00CE6625"/>
    <w:rsid w:val="00CE6640"/>
    <w:rsid w:val="00CE66B2"/>
    <w:rsid w:val="00CE673B"/>
    <w:rsid w:val="00CE67A7"/>
    <w:rsid w:val="00CE6859"/>
    <w:rsid w:val="00CE685E"/>
    <w:rsid w:val="00CE688E"/>
    <w:rsid w:val="00CE689A"/>
    <w:rsid w:val="00CE68B4"/>
    <w:rsid w:val="00CE690E"/>
    <w:rsid w:val="00CE6A12"/>
    <w:rsid w:val="00CE6A4B"/>
    <w:rsid w:val="00CE6C35"/>
    <w:rsid w:val="00CE6E05"/>
    <w:rsid w:val="00CE6E0A"/>
    <w:rsid w:val="00CE6E22"/>
    <w:rsid w:val="00CE6EF3"/>
    <w:rsid w:val="00CE6F1C"/>
    <w:rsid w:val="00CE6FBB"/>
    <w:rsid w:val="00CE6FCA"/>
    <w:rsid w:val="00CE6FEB"/>
    <w:rsid w:val="00CE7019"/>
    <w:rsid w:val="00CE7082"/>
    <w:rsid w:val="00CE70CD"/>
    <w:rsid w:val="00CE70E7"/>
    <w:rsid w:val="00CE7117"/>
    <w:rsid w:val="00CE74A1"/>
    <w:rsid w:val="00CE75EE"/>
    <w:rsid w:val="00CE7679"/>
    <w:rsid w:val="00CE7699"/>
    <w:rsid w:val="00CE76F8"/>
    <w:rsid w:val="00CE776D"/>
    <w:rsid w:val="00CE7846"/>
    <w:rsid w:val="00CE784E"/>
    <w:rsid w:val="00CE78C2"/>
    <w:rsid w:val="00CE7953"/>
    <w:rsid w:val="00CE7992"/>
    <w:rsid w:val="00CE79C9"/>
    <w:rsid w:val="00CE79F8"/>
    <w:rsid w:val="00CE7A69"/>
    <w:rsid w:val="00CE7ADB"/>
    <w:rsid w:val="00CE7B02"/>
    <w:rsid w:val="00CE7B24"/>
    <w:rsid w:val="00CE7B65"/>
    <w:rsid w:val="00CE7BF1"/>
    <w:rsid w:val="00CE7BFC"/>
    <w:rsid w:val="00CE7C78"/>
    <w:rsid w:val="00CE7E84"/>
    <w:rsid w:val="00CE7ECB"/>
    <w:rsid w:val="00CF008D"/>
    <w:rsid w:val="00CF00B3"/>
    <w:rsid w:val="00CF012C"/>
    <w:rsid w:val="00CF01BD"/>
    <w:rsid w:val="00CF0202"/>
    <w:rsid w:val="00CF0214"/>
    <w:rsid w:val="00CF028F"/>
    <w:rsid w:val="00CF0317"/>
    <w:rsid w:val="00CF036B"/>
    <w:rsid w:val="00CF03C9"/>
    <w:rsid w:val="00CF04F5"/>
    <w:rsid w:val="00CF0655"/>
    <w:rsid w:val="00CF0694"/>
    <w:rsid w:val="00CF0732"/>
    <w:rsid w:val="00CF0772"/>
    <w:rsid w:val="00CF0835"/>
    <w:rsid w:val="00CF084A"/>
    <w:rsid w:val="00CF0897"/>
    <w:rsid w:val="00CF08C1"/>
    <w:rsid w:val="00CF098D"/>
    <w:rsid w:val="00CF0B34"/>
    <w:rsid w:val="00CF0BE9"/>
    <w:rsid w:val="00CF0CD9"/>
    <w:rsid w:val="00CF0D66"/>
    <w:rsid w:val="00CF0D6A"/>
    <w:rsid w:val="00CF0DE4"/>
    <w:rsid w:val="00CF0DFB"/>
    <w:rsid w:val="00CF0E0D"/>
    <w:rsid w:val="00CF0E38"/>
    <w:rsid w:val="00CF0E3A"/>
    <w:rsid w:val="00CF0EA0"/>
    <w:rsid w:val="00CF100B"/>
    <w:rsid w:val="00CF1084"/>
    <w:rsid w:val="00CF10C4"/>
    <w:rsid w:val="00CF112B"/>
    <w:rsid w:val="00CF1198"/>
    <w:rsid w:val="00CF11DC"/>
    <w:rsid w:val="00CF1211"/>
    <w:rsid w:val="00CF13BF"/>
    <w:rsid w:val="00CF13D2"/>
    <w:rsid w:val="00CF1440"/>
    <w:rsid w:val="00CF144A"/>
    <w:rsid w:val="00CF155F"/>
    <w:rsid w:val="00CF1617"/>
    <w:rsid w:val="00CF161B"/>
    <w:rsid w:val="00CF163C"/>
    <w:rsid w:val="00CF166B"/>
    <w:rsid w:val="00CF16C3"/>
    <w:rsid w:val="00CF1777"/>
    <w:rsid w:val="00CF17DD"/>
    <w:rsid w:val="00CF18C1"/>
    <w:rsid w:val="00CF18F8"/>
    <w:rsid w:val="00CF1911"/>
    <w:rsid w:val="00CF193B"/>
    <w:rsid w:val="00CF1A30"/>
    <w:rsid w:val="00CF1A98"/>
    <w:rsid w:val="00CF1B24"/>
    <w:rsid w:val="00CF1BEE"/>
    <w:rsid w:val="00CF1BFB"/>
    <w:rsid w:val="00CF1C0D"/>
    <w:rsid w:val="00CF1C79"/>
    <w:rsid w:val="00CF1C89"/>
    <w:rsid w:val="00CF1C97"/>
    <w:rsid w:val="00CF1D66"/>
    <w:rsid w:val="00CF1DA6"/>
    <w:rsid w:val="00CF1DE2"/>
    <w:rsid w:val="00CF1ECB"/>
    <w:rsid w:val="00CF1EFB"/>
    <w:rsid w:val="00CF1FF9"/>
    <w:rsid w:val="00CF2047"/>
    <w:rsid w:val="00CF2279"/>
    <w:rsid w:val="00CF22A9"/>
    <w:rsid w:val="00CF22E0"/>
    <w:rsid w:val="00CF2389"/>
    <w:rsid w:val="00CF2517"/>
    <w:rsid w:val="00CF26A8"/>
    <w:rsid w:val="00CF272D"/>
    <w:rsid w:val="00CF2814"/>
    <w:rsid w:val="00CF28E2"/>
    <w:rsid w:val="00CF2914"/>
    <w:rsid w:val="00CF29A0"/>
    <w:rsid w:val="00CF2A2E"/>
    <w:rsid w:val="00CF2D54"/>
    <w:rsid w:val="00CF2D57"/>
    <w:rsid w:val="00CF2D98"/>
    <w:rsid w:val="00CF2E0B"/>
    <w:rsid w:val="00CF2F24"/>
    <w:rsid w:val="00CF3127"/>
    <w:rsid w:val="00CF3157"/>
    <w:rsid w:val="00CF3247"/>
    <w:rsid w:val="00CF342E"/>
    <w:rsid w:val="00CF3472"/>
    <w:rsid w:val="00CF34B2"/>
    <w:rsid w:val="00CF3562"/>
    <w:rsid w:val="00CF358A"/>
    <w:rsid w:val="00CF35C9"/>
    <w:rsid w:val="00CF35DC"/>
    <w:rsid w:val="00CF3606"/>
    <w:rsid w:val="00CF368B"/>
    <w:rsid w:val="00CF36DF"/>
    <w:rsid w:val="00CF3721"/>
    <w:rsid w:val="00CF3780"/>
    <w:rsid w:val="00CF38F5"/>
    <w:rsid w:val="00CF390B"/>
    <w:rsid w:val="00CF392F"/>
    <w:rsid w:val="00CF39D0"/>
    <w:rsid w:val="00CF3A17"/>
    <w:rsid w:val="00CF3CC3"/>
    <w:rsid w:val="00CF3D9E"/>
    <w:rsid w:val="00CF3DB4"/>
    <w:rsid w:val="00CF3DFE"/>
    <w:rsid w:val="00CF3E7C"/>
    <w:rsid w:val="00CF3EE8"/>
    <w:rsid w:val="00CF3F61"/>
    <w:rsid w:val="00CF41D8"/>
    <w:rsid w:val="00CF41F5"/>
    <w:rsid w:val="00CF448B"/>
    <w:rsid w:val="00CF453F"/>
    <w:rsid w:val="00CF4559"/>
    <w:rsid w:val="00CF4667"/>
    <w:rsid w:val="00CF4699"/>
    <w:rsid w:val="00CF46C5"/>
    <w:rsid w:val="00CF46DD"/>
    <w:rsid w:val="00CF46FA"/>
    <w:rsid w:val="00CF486C"/>
    <w:rsid w:val="00CF48D3"/>
    <w:rsid w:val="00CF4AEF"/>
    <w:rsid w:val="00CF4DF9"/>
    <w:rsid w:val="00CF4E0F"/>
    <w:rsid w:val="00CF4F44"/>
    <w:rsid w:val="00CF4F95"/>
    <w:rsid w:val="00CF4FE5"/>
    <w:rsid w:val="00CF4FE6"/>
    <w:rsid w:val="00CF5041"/>
    <w:rsid w:val="00CF51B1"/>
    <w:rsid w:val="00CF525B"/>
    <w:rsid w:val="00CF52B3"/>
    <w:rsid w:val="00CF53F5"/>
    <w:rsid w:val="00CF553C"/>
    <w:rsid w:val="00CF5633"/>
    <w:rsid w:val="00CF56BB"/>
    <w:rsid w:val="00CF56E8"/>
    <w:rsid w:val="00CF56F6"/>
    <w:rsid w:val="00CF5807"/>
    <w:rsid w:val="00CF587C"/>
    <w:rsid w:val="00CF5932"/>
    <w:rsid w:val="00CF59C5"/>
    <w:rsid w:val="00CF5A52"/>
    <w:rsid w:val="00CF5C99"/>
    <w:rsid w:val="00CF5CC1"/>
    <w:rsid w:val="00CF5D28"/>
    <w:rsid w:val="00CF5DBE"/>
    <w:rsid w:val="00CF5DCE"/>
    <w:rsid w:val="00CF5E20"/>
    <w:rsid w:val="00CF5E4D"/>
    <w:rsid w:val="00CF5E99"/>
    <w:rsid w:val="00CF5E9E"/>
    <w:rsid w:val="00CF6083"/>
    <w:rsid w:val="00CF6242"/>
    <w:rsid w:val="00CF63E6"/>
    <w:rsid w:val="00CF663A"/>
    <w:rsid w:val="00CF66DD"/>
    <w:rsid w:val="00CF66FF"/>
    <w:rsid w:val="00CF6761"/>
    <w:rsid w:val="00CF67C1"/>
    <w:rsid w:val="00CF689E"/>
    <w:rsid w:val="00CF68C7"/>
    <w:rsid w:val="00CF68E0"/>
    <w:rsid w:val="00CF6AD9"/>
    <w:rsid w:val="00CF6AEE"/>
    <w:rsid w:val="00CF6B00"/>
    <w:rsid w:val="00CF6B3E"/>
    <w:rsid w:val="00CF6B5C"/>
    <w:rsid w:val="00CF6C04"/>
    <w:rsid w:val="00CF6C6E"/>
    <w:rsid w:val="00CF6C98"/>
    <w:rsid w:val="00CF6CC1"/>
    <w:rsid w:val="00CF6CC4"/>
    <w:rsid w:val="00CF6D65"/>
    <w:rsid w:val="00CF6DC6"/>
    <w:rsid w:val="00CF6DDD"/>
    <w:rsid w:val="00CF6E21"/>
    <w:rsid w:val="00CF6ECB"/>
    <w:rsid w:val="00CF6F74"/>
    <w:rsid w:val="00CF6FA2"/>
    <w:rsid w:val="00CF6FC0"/>
    <w:rsid w:val="00CF6FD3"/>
    <w:rsid w:val="00CF7070"/>
    <w:rsid w:val="00CF716B"/>
    <w:rsid w:val="00CF72DE"/>
    <w:rsid w:val="00CF73A7"/>
    <w:rsid w:val="00CF73AB"/>
    <w:rsid w:val="00CF73CB"/>
    <w:rsid w:val="00CF7529"/>
    <w:rsid w:val="00CF7668"/>
    <w:rsid w:val="00CF76DD"/>
    <w:rsid w:val="00CF7756"/>
    <w:rsid w:val="00CF7987"/>
    <w:rsid w:val="00CF7A5F"/>
    <w:rsid w:val="00CF7B1B"/>
    <w:rsid w:val="00CF7B27"/>
    <w:rsid w:val="00CF7B99"/>
    <w:rsid w:val="00CF7C09"/>
    <w:rsid w:val="00CF7C0D"/>
    <w:rsid w:val="00CF7CC1"/>
    <w:rsid w:val="00CF7DA8"/>
    <w:rsid w:val="00CF7DFB"/>
    <w:rsid w:val="00CF7F29"/>
    <w:rsid w:val="00CF7F5E"/>
    <w:rsid w:val="00CF7FEF"/>
    <w:rsid w:val="00D00082"/>
    <w:rsid w:val="00D0013D"/>
    <w:rsid w:val="00D00421"/>
    <w:rsid w:val="00D00468"/>
    <w:rsid w:val="00D00589"/>
    <w:rsid w:val="00D005A4"/>
    <w:rsid w:val="00D005DF"/>
    <w:rsid w:val="00D0063E"/>
    <w:rsid w:val="00D00717"/>
    <w:rsid w:val="00D00784"/>
    <w:rsid w:val="00D009A5"/>
    <w:rsid w:val="00D00B5D"/>
    <w:rsid w:val="00D00C04"/>
    <w:rsid w:val="00D00CCF"/>
    <w:rsid w:val="00D00D24"/>
    <w:rsid w:val="00D00DA5"/>
    <w:rsid w:val="00D00E43"/>
    <w:rsid w:val="00D00E7A"/>
    <w:rsid w:val="00D01041"/>
    <w:rsid w:val="00D0106D"/>
    <w:rsid w:val="00D0127D"/>
    <w:rsid w:val="00D01405"/>
    <w:rsid w:val="00D0142A"/>
    <w:rsid w:val="00D01493"/>
    <w:rsid w:val="00D014B0"/>
    <w:rsid w:val="00D01559"/>
    <w:rsid w:val="00D0159F"/>
    <w:rsid w:val="00D015BE"/>
    <w:rsid w:val="00D01625"/>
    <w:rsid w:val="00D016D8"/>
    <w:rsid w:val="00D0178C"/>
    <w:rsid w:val="00D017BA"/>
    <w:rsid w:val="00D017BE"/>
    <w:rsid w:val="00D017D9"/>
    <w:rsid w:val="00D019A8"/>
    <w:rsid w:val="00D01B1D"/>
    <w:rsid w:val="00D01B38"/>
    <w:rsid w:val="00D01B5F"/>
    <w:rsid w:val="00D01B67"/>
    <w:rsid w:val="00D01B9C"/>
    <w:rsid w:val="00D01BD8"/>
    <w:rsid w:val="00D01C5D"/>
    <w:rsid w:val="00D01E21"/>
    <w:rsid w:val="00D01F2A"/>
    <w:rsid w:val="00D01F30"/>
    <w:rsid w:val="00D01F64"/>
    <w:rsid w:val="00D0212B"/>
    <w:rsid w:val="00D02175"/>
    <w:rsid w:val="00D021A0"/>
    <w:rsid w:val="00D02209"/>
    <w:rsid w:val="00D022A4"/>
    <w:rsid w:val="00D022F6"/>
    <w:rsid w:val="00D02300"/>
    <w:rsid w:val="00D023BB"/>
    <w:rsid w:val="00D023C6"/>
    <w:rsid w:val="00D024CF"/>
    <w:rsid w:val="00D02643"/>
    <w:rsid w:val="00D0269C"/>
    <w:rsid w:val="00D026C6"/>
    <w:rsid w:val="00D02888"/>
    <w:rsid w:val="00D028B3"/>
    <w:rsid w:val="00D028FD"/>
    <w:rsid w:val="00D028FE"/>
    <w:rsid w:val="00D02915"/>
    <w:rsid w:val="00D02C0F"/>
    <w:rsid w:val="00D02C25"/>
    <w:rsid w:val="00D02C28"/>
    <w:rsid w:val="00D02C2B"/>
    <w:rsid w:val="00D02D2D"/>
    <w:rsid w:val="00D02D3E"/>
    <w:rsid w:val="00D02D43"/>
    <w:rsid w:val="00D02D62"/>
    <w:rsid w:val="00D02E4C"/>
    <w:rsid w:val="00D03155"/>
    <w:rsid w:val="00D031C9"/>
    <w:rsid w:val="00D031E6"/>
    <w:rsid w:val="00D03281"/>
    <w:rsid w:val="00D032CB"/>
    <w:rsid w:val="00D032FD"/>
    <w:rsid w:val="00D0334C"/>
    <w:rsid w:val="00D03368"/>
    <w:rsid w:val="00D0340C"/>
    <w:rsid w:val="00D03455"/>
    <w:rsid w:val="00D035C8"/>
    <w:rsid w:val="00D03684"/>
    <w:rsid w:val="00D036F9"/>
    <w:rsid w:val="00D0377D"/>
    <w:rsid w:val="00D038EA"/>
    <w:rsid w:val="00D039B7"/>
    <w:rsid w:val="00D039E6"/>
    <w:rsid w:val="00D03ABB"/>
    <w:rsid w:val="00D03B21"/>
    <w:rsid w:val="00D03B4D"/>
    <w:rsid w:val="00D03BD0"/>
    <w:rsid w:val="00D03D61"/>
    <w:rsid w:val="00D03DF2"/>
    <w:rsid w:val="00D03E96"/>
    <w:rsid w:val="00D03F0E"/>
    <w:rsid w:val="00D03F4B"/>
    <w:rsid w:val="00D03FFB"/>
    <w:rsid w:val="00D04097"/>
    <w:rsid w:val="00D040A3"/>
    <w:rsid w:val="00D04111"/>
    <w:rsid w:val="00D0418A"/>
    <w:rsid w:val="00D042E1"/>
    <w:rsid w:val="00D04456"/>
    <w:rsid w:val="00D04464"/>
    <w:rsid w:val="00D04520"/>
    <w:rsid w:val="00D0458F"/>
    <w:rsid w:val="00D0468E"/>
    <w:rsid w:val="00D04836"/>
    <w:rsid w:val="00D04849"/>
    <w:rsid w:val="00D0486A"/>
    <w:rsid w:val="00D0496A"/>
    <w:rsid w:val="00D04A4B"/>
    <w:rsid w:val="00D04A84"/>
    <w:rsid w:val="00D04ACB"/>
    <w:rsid w:val="00D04BBA"/>
    <w:rsid w:val="00D04CF5"/>
    <w:rsid w:val="00D04CF9"/>
    <w:rsid w:val="00D04D58"/>
    <w:rsid w:val="00D04D8F"/>
    <w:rsid w:val="00D04EB3"/>
    <w:rsid w:val="00D04ED0"/>
    <w:rsid w:val="00D04F5B"/>
    <w:rsid w:val="00D04F67"/>
    <w:rsid w:val="00D04F99"/>
    <w:rsid w:val="00D04FAF"/>
    <w:rsid w:val="00D04FFD"/>
    <w:rsid w:val="00D0501F"/>
    <w:rsid w:val="00D050BE"/>
    <w:rsid w:val="00D050DC"/>
    <w:rsid w:val="00D0515C"/>
    <w:rsid w:val="00D051B9"/>
    <w:rsid w:val="00D05358"/>
    <w:rsid w:val="00D053C5"/>
    <w:rsid w:val="00D05433"/>
    <w:rsid w:val="00D05475"/>
    <w:rsid w:val="00D054C2"/>
    <w:rsid w:val="00D05549"/>
    <w:rsid w:val="00D0556D"/>
    <w:rsid w:val="00D0568C"/>
    <w:rsid w:val="00D057EF"/>
    <w:rsid w:val="00D05891"/>
    <w:rsid w:val="00D05A1E"/>
    <w:rsid w:val="00D05B89"/>
    <w:rsid w:val="00D05C22"/>
    <w:rsid w:val="00D05C2A"/>
    <w:rsid w:val="00D05D3F"/>
    <w:rsid w:val="00D05D54"/>
    <w:rsid w:val="00D05D65"/>
    <w:rsid w:val="00D05D69"/>
    <w:rsid w:val="00D05E15"/>
    <w:rsid w:val="00D05E65"/>
    <w:rsid w:val="00D05EA7"/>
    <w:rsid w:val="00D05F13"/>
    <w:rsid w:val="00D05FC8"/>
    <w:rsid w:val="00D06034"/>
    <w:rsid w:val="00D0606B"/>
    <w:rsid w:val="00D061C2"/>
    <w:rsid w:val="00D061C4"/>
    <w:rsid w:val="00D06271"/>
    <w:rsid w:val="00D062A2"/>
    <w:rsid w:val="00D062F9"/>
    <w:rsid w:val="00D0636D"/>
    <w:rsid w:val="00D065C5"/>
    <w:rsid w:val="00D065CE"/>
    <w:rsid w:val="00D066A1"/>
    <w:rsid w:val="00D0670A"/>
    <w:rsid w:val="00D06743"/>
    <w:rsid w:val="00D0683E"/>
    <w:rsid w:val="00D06853"/>
    <w:rsid w:val="00D06873"/>
    <w:rsid w:val="00D068CE"/>
    <w:rsid w:val="00D0691F"/>
    <w:rsid w:val="00D06A9E"/>
    <w:rsid w:val="00D06B19"/>
    <w:rsid w:val="00D06BAC"/>
    <w:rsid w:val="00D06BEC"/>
    <w:rsid w:val="00D06C47"/>
    <w:rsid w:val="00D06C55"/>
    <w:rsid w:val="00D06C58"/>
    <w:rsid w:val="00D06D04"/>
    <w:rsid w:val="00D06D51"/>
    <w:rsid w:val="00D06F0C"/>
    <w:rsid w:val="00D06F93"/>
    <w:rsid w:val="00D06FA0"/>
    <w:rsid w:val="00D0714F"/>
    <w:rsid w:val="00D071C8"/>
    <w:rsid w:val="00D0740B"/>
    <w:rsid w:val="00D07552"/>
    <w:rsid w:val="00D07570"/>
    <w:rsid w:val="00D075A9"/>
    <w:rsid w:val="00D07717"/>
    <w:rsid w:val="00D0775D"/>
    <w:rsid w:val="00D077F1"/>
    <w:rsid w:val="00D07820"/>
    <w:rsid w:val="00D078CF"/>
    <w:rsid w:val="00D07977"/>
    <w:rsid w:val="00D07CAC"/>
    <w:rsid w:val="00D07D21"/>
    <w:rsid w:val="00D07D5A"/>
    <w:rsid w:val="00D07DA8"/>
    <w:rsid w:val="00D07DDB"/>
    <w:rsid w:val="00D07DDF"/>
    <w:rsid w:val="00D07DE8"/>
    <w:rsid w:val="00D07DF4"/>
    <w:rsid w:val="00D07E99"/>
    <w:rsid w:val="00D07EB1"/>
    <w:rsid w:val="00D07EBE"/>
    <w:rsid w:val="00D07F8C"/>
    <w:rsid w:val="00D07F97"/>
    <w:rsid w:val="00D07FDB"/>
    <w:rsid w:val="00D0EBB8"/>
    <w:rsid w:val="00D100B2"/>
    <w:rsid w:val="00D1011D"/>
    <w:rsid w:val="00D1017E"/>
    <w:rsid w:val="00D10270"/>
    <w:rsid w:val="00D102CE"/>
    <w:rsid w:val="00D10343"/>
    <w:rsid w:val="00D103AE"/>
    <w:rsid w:val="00D103E7"/>
    <w:rsid w:val="00D1042D"/>
    <w:rsid w:val="00D1061C"/>
    <w:rsid w:val="00D10625"/>
    <w:rsid w:val="00D1066E"/>
    <w:rsid w:val="00D10675"/>
    <w:rsid w:val="00D106DC"/>
    <w:rsid w:val="00D10756"/>
    <w:rsid w:val="00D108FA"/>
    <w:rsid w:val="00D10B66"/>
    <w:rsid w:val="00D10C0A"/>
    <w:rsid w:val="00D10C98"/>
    <w:rsid w:val="00D10CCD"/>
    <w:rsid w:val="00D10D18"/>
    <w:rsid w:val="00D10E17"/>
    <w:rsid w:val="00D11084"/>
    <w:rsid w:val="00D11151"/>
    <w:rsid w:val="00D11161"/>
    <w:rsid w:val="00D112B3"/>
    <w:rsid w:val="00D113C5"/>
    <w:rsid w:val="00D11561"/>
    <w:rsid w:val="00D11742"/>
    <w:rsid w:val="00D1181A"/>
    <w:rsid w:val="00D1188C"/>
    <w:rsid w:val="00D118A5"/>
    <w:rsid w:val="00D1190D"/>
    <w:rsid w:val="00D11B01"/>
    <w:rsid w:val="00D11BDD"/>
    <w:rsid w:val="00D11CF4"/>
    <w:rsid w:val="00D11D6A"/>
    <w:rsid w:val="00D11DD3"/>
    <w:rsid w:val="00D11F89"/>
    <w:rsid w:val="00D1218D"/>
    <w:rsid w:val="00D12191"/>
    <w:rsid w:val="00D12192"/>
    <w:rsid w:val="00D122FC"/>
    <w:rsid w:val="00D1233D"/>
    <w:rsid w:val="00D1234D"/>
    <w:rsid w:val="00D12365"/>
    <w:rsid w:val="00D123E3"/>
    <w:rsid w:val="00D1242A"/>
    <w:rsid w:val="00D12468"/>
    <w:rsid w:val="00D12530"/>
    <w:rsid w:val="00D12553"/>
    <w:rsid w:val="00D125C5"/>
    <w:rsid w:val="00D125F2"/>
    <w:rsid w:val="00D12615"/>
    <w:rsid w:val="00D12652"/>
    <w:rsid w:val="00D1288A"/>
    <w:rsid w:val="00D128B6"/>
    <w:rsid w:val="00D128EB"/>
    <w:rsid w:val="00D12967"/>
    <w:rsid w:val="00D129A9"/>
    <w:rsid w:val="00D12B17"/>
    <w:rsid w:val="00D12B83"/>
    <w:rsid w:val="00D12C88"/>
    <w:rsid w:val="00D12C8E"/>
    <w:rsid w:val="00D12CEF"/>
    <w:rsid w:val="00D12D9D"/>
    <w:rsid w:val="00D12EF6"/>
    <w:rsid w:val="00D12F2B"/>
    <w:rsid w:val="00D12F42"/>
    <w:rsid w:val="00D12FBE"/>
    <w:rsid w:val="00D12FCB"/>
    <w:rsid w:val="00D13147"/>
    <w:rsid w:val="00D13165"/>
    <w:rsid w:val="00D1323B"/>
    <w:rsid w:val="00D13285"/>
    <w:rsid w:val="00D132A1"/>
    <w:rsid w:val="00D132E3"/>
    <w:rsid w:val="00D1333C"/>
    <w:rsid w:val="00D13352"/>
    <w:rsid w:val="00D1335E"/>
    <w:rsid w:val="00D1346A"/>
    <w:rsid w:val="00D13514"/>
    <w:rsid w:val="00D13592"/>
    <w:rsid w:val="00D135D0"/>
    <w:rsid w:val="00D1365D"/>
    <w:rsid w:val="00D137FB"/>
    <w:rsid w:val="00D1381E"/>
    <w:rsid w:val="00D13852"/>
    <w:rsid w:val="00D13855"/>
    <w:rsid w:val="00D13BB3"/>
    <w:rsid w:val="00D13BD5"/>
    <w:rsid w:val="00D13C16"/>
    <w:rsid w:val="00D13C40"/>
    <w:rsid w:val="00D13CFB"/>
    <w:rsid w:val="00D13D15"/>
    <w:rsid w:val="00D13EAC"/>
    <w:rsid w:val="00D13F91"/>
    <w:rsid w:val="00D14372"/>
    <w:rsid w:val="00D143C7"/>
    <w:rsid w:val="00D14411"/>
    <w:rsid w:val="00D14498"/>
    <w:rsid w:val="00D14530"/>
    <w:rsid w:val="00D146D2"/>
    <w:rsid w:val="00D1478D"/>
    <w:rsid w:val="00D14897"/>
    <w:rsid w:val="00D148F9"/>
    <w:rsid w:val="00D149B9"/>
    <w:rsid w:val="00D14B6D"/>
    <w:rsid w:val="00D14BEB"/>
    <w:rsid w:val="00D14BF1"/>
    <w:rsid w:val="00D14C5D"/>
    <w:rsid w:val="00D14D9D"/>
    <w:rsid w:val="00D14E38"/>
    <w:rsid w:val="00D14F19"/>
    <w:rsid w:val="00D14FDD"/>
    <w:rsid w:val="00D15001"/>
    <w:rsid w:val="00D15027"/>
    <w:rsid w:val="00D1506C"/>
    <w:rsid w:val="00D150B3"/>
    <w:rsid w:val="00D150D4"/>
    <w:rsid w:val="00D151C6"/>
    <w:rsid w:val="00D151E3"/>
    <w:rsid w:val="00D153C6"/>
    <w:rsid w:val="00D15500"/>
    <w:rsid w:val="00D15513"/>
    <w:rsid w:val="00D15568"/>
    <w:rsid w:val="00D15638"/>
    <w:rsid w:val="00D1568C"/>
    <w:rsid w:val="00D156A8"/>
    <w:rsid w:val="00D15712"/>
    <w:rsid w:val="00D15888"/>
    <w:rsid w:val="00D158A2"/>
    <w:rsid w:val="00D15954"/>
    <w:rsid w:val="00D15BE4"/>
    <w:rsid w:val="00D15CDB"/>
    <w:rsid w:val="00D15DDB"/>
    <w:rsid w:val="00D15E31"/>
    <w:rsid w:val="00D15E39"/>
    <w:rsid w:val="00D15ECD"/>
    <w:rsid w:val="00D15F02"/>
    <w:rsid w:val="00D15F19"/>
    <w:rsid w:val="00D15F6D"/>
    <w:rsid w:val="00D15FEC"/>
    <w:rsid w:val="00D1601F"/>
    <w:rsid w:val="00D16022"/>
    <w:rsid w:val="00D1612E"/>
    <w:rsid w:val="00D16146"/>
    <w:rsid w:val="00D1624E"/>
    <w:rsid w:val="00D162DB"/>
    <w:rsid w:val="00D16330"/>
    <w:rsid w:val="00D163A8"/>
    <w:rsid w:val="00D163DE"/>
    <w:rsid w:val="00D164D5"/>
    <w:rsid w:val="00D16545"/>
    <w:rsid w:val="00D16778"/>
    <w:rsid w:val="00D168AC"/>
    <w:rsid w:val="00D168DD"/>
    <w:rsid w:val="00D1691F"/>
    <w:rsid w:val="00D1692B"/>
    <w:rsid w:val="00D1696B"/>
    <w:rsid w:val="00D169E2"/>
    <w:rsid w:val="00D16AA6"/>
    <w:rsid w:val="00D16AAA"/>
    <w:rsid w:val="00D16AD7"/>
    <w:rsid w:val="00D16AF1"/>
    <w:rsid w:val="00D16B5A"/>
    <w:rsid w:val="00D16B70"/>
    <w:rsid w:val="00D16BAA"/>
    <w:rsid w:val="00D16C3B"/>
    <w:rsid w:val="00D16C5C"/>
    <w:rsid w:val="00D16C7B"/>
    <w:rsid w:val="00D16D38"/>
    <w:rsid w:val="00D16D69"/>
    <w:rsid w:val="00D16DD5"/>
    <w:rsid w:val="00D16DE6"/>
    <w:rsid w:val="00D16E94"/>
    <w:rsid w:val="00D16ECA"/>
    <w:rsid w:val="00D16F6E"/>
    <w:rsid w:val="00D16F7A"/>
    <w:rsid w:val="00D171B5"/>
    <w:rsid w:val="00D1727F"/>
    <w:rsid w:val="00D17338"/>
    <w:rsid w:val="00D1736E"/>
    <w:rsid w:val="00D173E1"/>
    <w:rsid w:val="00D1741F"/>
    <w:rsid w:val="00D17454"/>
    <w:rsid w:val="00D17509"/>
    <w:rsid w:val="00D17582"/>
    <w:rsid w:val="00D17731"/>
    <w:rsid w:val="00D17767"/>
    <w:rsid w:val="00D1780A"/>
    <w:rsid w:val="00D178F4"/>
    <w:rsid w:val="00D179D1"/>
    <w:rsid w:val="00D17B48"/>
    <w:rsid w:val="00D17BA4"/>
    <w:rsid w:val="00D17BB9"/>
    <w:rsid w:val="00D17CD1"/>
    <w:rsid w:val="00D17D85"/>
    <w:rsid w:val="00D17DCA"/>
    <w:rsid w:val="00D17E39"/>
    <w:rsid w:val="00D17FF3"/>
    <w:rsid w:val="00D2003A"/>
    <w:rsid w:val="00D20057"/>
    <w:rsid w:val="00D2018C"/>
    <w:rsid w:val="00D2025D"/>
    <w:rsid w:val="00D20469"/>
    <w:rsid w:val="00D2052B"/>
    <w:rsid w:val="00D2055A"/>
    <w:rsid w:val="00D2057C"/>
    <w:rsid w:val="00D2062E"/>
    <w:rsid w:val="00D206E5"/>
    <w:rsid w:val="00D2072C"/>
    <w:rsid w:val="00D20827"/>
    <w:rsid w:val="00D20850"/>
    <w:rsid w:val="00D208E0"/>
    <w:rsid w:val="00D2091D"/>
    <w:rsid w:val="00D20A00"/>
    <w:rsid w:val="00D20AE1"/>
    <w:rsid w:val="00D20B12"/>
    <w:rsid w:val="00D20C4E"/>
    <w:rsid w:val="00D20C9B"/>
    <w:rsid w:val="00D20D77"/>
    <w:rsid w:val="00D20D96"/>
    <w:rsid w:val="00D20EAE"/>
    <w:rsid w:val="00D20FC8"/>
    <w:rsid w:val="00D2105B"/>
    <w:rsid w:val="00D211A9"/>
    <w:rsid w:val="00D21389"/>
    <w:rsid w:val="00D2138D"/>
    <w:rsid w:val="00D214BE"/>
    <w:rsid w:val="00D214CE"/>
    <w:rsid w:val="00D2156C"/>
    <w:rsid w:val="00D21612"/>
    <w:rsid w:val="00D21614"/>
    <w:rsid w:val="00D217CE"/>
    <w:rsid w:val="00D21869"/>
    <w:rsid w:val="00D218E3"/>
    <w:rsid w:val="00D219E8"/>
    <w:rsid w:val="00D21AFB"/>
    <w:rsid w:val="00D21BD7"/>
    <w:rsid w:val="00D21D5F"/>
    <w:rsid w:val="00D21D7D"/>
    <w:rsid w:val="00D21DE0"/>
    <w:rsid w:val="00D21FA2"/>
    <w:rsid w:val="00D21FC2"/>
    <w:rsid w:val="00D21FDE"/>
    <w:rsid w:val="00D22010"/>
    <w:rsid w:val="00D22012"/>
    <w:rsid w:val="00D2202F"/>
    <w:rsid w:val="00D22051"/>
    <w:rsid w:val="00D22057"/>
    <w:rsid w:val="00D22068"/>
    <w:rsid w:val="00D22084"/>
    <w:rsid w:val="00D220F2"/>
    <w:rsid w:val="00D22152"/>
    <w:rsid w:val="00D22256"/>
    <w:rsid w:val="00D22260"/>
    <w:rsid w:val="00D22269"/>
    <w:rsid w:val="00D222C9"/>
    <w:rsid w:val="00D2238A"/>
    <w:rsid w:val="00D223B8"/>
    <w:rsid w:val="00D22459"/>
    <w:rsid w:val="00D224BE"/>
    <w:rsid w:val="00D2256B"/>
    <w:rsid w:val="00D225E0"/>
    <w:rsid w:val="00D22622"/>
    <w:rsid w:val="00D228EE"/>
    <w:rsid w:val="00D229BB"/>
    <w:rsid w:val="00D22A0F"/>
    <w:rsid w:val="00D22A1F"/>
    <w:rsid w:val="00D22A8A"/>
    <w:rsid w:val="00D22B0E"/>
    <w:rsid w:val="00D22C2F"/>
    <w:rsid w:val="00D22C5A"/>
    <w:rsid w:val="00D22D1D"/>
    <w:rsid w:val="00D22D61"/>
    <w:rsid w:val="00D22DEA"/>
    <w:rsid w:val="00D22E46"/>
    <w:rsid w:val="00D22E52"/>
    <w:rsid w:val="00D22F61"/>
    <w:rsid w:val="00D22FAE"/>
    <w:rsid w:val="00D2305E"/>
    <w:rsid w:val="00D2306D"/>
    <w:rsid w:val="00D23071"/>
    <w:rsid w:val="00D232D5"/>
    <w:rsid w:val="00D235D8"/>
    <w:rsid w:val="00D23612"/>
    <w:rsid w:val="00D236AA"/>
    <w:rsid w:val="00D236D9"/>
    <w:rsid w:val="00D236E4"/>
    <w:rsid w:val="00D2371B"/>
    <w:rsid w:val="00D23733"/>
    <w:rsid w:val="00D237AA"/>
    <w:rsid w:val="00D23819"/>
    <w:rsid w:val="00D2390E"/>
    <w:rsid w:val="00D239F7"/>
    <w:rsid w:val="00D23A4A"/>
    <w:rsid w:val="00D23A54"/>
    <w:rsid w:val="00D23A62"/>
    <w:rsid w:val="00D23B8D"/>
    <w:rsid w:val="00D23D0E"/>
    <w:rsid w:val="00D23D47"/>
    <w:rsid w:val="00D23D85"/>
    <w:rsid w:val="00D23DBD"/>
    <w:rsid w:val="00D23DBF"/>
    <w:rsid w:val="00D23EE6"/>
    <w:rsid w:val="00D24084"/>
    <w:rsid w:val="00D240A3"/>
    <w:rsid w:val="00D240AB"/>
    <w:rsid w:val="00D24148"/>
    <w:rsid w:val="00D241E8"/>
    <w:rsid w:val="00D2438A"/>
    <w:rsid w:val="00D243F9"/>
    <w:rsid w:val="00D24508"/>
    <w:rsid w:val="00D24859"/>
    <w:rsid w:val="00D249A5"/>
    <w:rsid w:val="00D24A42"/>
    <w:rsid w:val="00D24A56"/>
    <w:rsid w:val="00D24A83"/>
    <w:rsid w:val="00D24AAD"/>
    <w:rsid w:val="00D24AB8"/>
    <w:rsid w:val="00D24B11"/>
    <w:rsid w:val="00D24B91"/>
    <w:rsid w:val="00D24B9D"/>
    <w:rsid w:val="00D24D24"/>
    <w:rsid w:val="00D24D3D"/>
    <w:rsid w:val="00D24DFE"/>
    <w:rsid w:val="00D24F3B"/>
    <w:rsid w:val="00D24F46"/>
    <w:rsid w:val="00D24F8E"/>
    <w:rsid w:val="00D25125"/>
    <w:rsid w:val="00D25178"/>
    <w:rsid w:val="00D251B8"/>
    <w:rsid w:val="00D25359"/>
    <w:rsid w:val="00D25494"/>
    <w:rsid w:val="00D2553B"/>
    <w:rsid w:val="00D255F2"/>
    <w:rsid w:val="00D25682"/>
    <w:rsid w:val="00D25831"/>
    <w:rsid w:val="00D2586A"/>
    <w:rsid w:val="00D258D5"/>
    <w:rsid w:val="00D258DC"/>
    <w:rsid w:val="00D25BA3"/>
    <w:rsid w:val="00D25C68"/>
    <w:rsid w:val="00D25C74"/>
    <w:rsid w:val="00D25CA3"/>
    <w:rsid w:val="00D25DC1"/>
    <w:rsid w:val="00D25E2A"/>
    <w:rsid w:val="00D25EA8"/>
    <w:rsid w:val="00D25F0E"/>
    <w:rsid w:val="00D25F2C"/>
    <w:rsid w:val="00D26017"/>
    <w:rsid w:val="00D260E5"/>
    <w:rsid w:val="00D2614A"/>
    <w:rsid w:val="00D26342"/>
    <w:rsid w:val="00D2634C"/>
    <w:rsid w:val="00D265F2"/>
    <w:rsid w:val="00D2682E"/>
    <w:rsid w:val="00D26855"/>
    <w:rsid w:val="00D26990"/>
    <w:rsid w:val="00D26AA9"/>
    <w:rsid w:val="00D26BD8"/>
    <w:rsid w:val="00D26C13"/>
    <w:rsid w:val="00D26D2A"/>
    <w:rsid w:val="00D26DE4"/>
    <w:rsid w:val="00D26F7C"/>
    <w:rsid w:val="00D2721F"/>
    <w:rsid w:val="00D27330"/>
    <w:rsid w:val="00D273D8"/>
    <w:rsid w:val="00D273F9"/>
    <w:rsid w:val="00D275D5"/>
    <w:rsid w:val="00D2765B"/>
    <w:rsid w:val="00D276D9"/>
    <w:rsid w:val="00D277DA"/>
    <w:rsid w:val="00D27814"/>
    <w:rsid w:val="00D279CB"/>
    <w:rsid w:val="00D279E5"/>
    <w:rsid w:val="00D27BA7"/>
    <w:rsid w:val="00D27C10"/>
    <w:rsid w:val="00D27D77"/>
    <w:rsid w:val="00D27DD8"/>
    <w:rsid w:val="00D27EF0"/>
    <w:rsid w:val="00D3008C"/>
    <w:rsid w:val="00D3015A"/>
    <w:rsid w:val="00D301A4"/>
    <w:rsid w:val="00D3020D"/>
    <w:rsid w:val="00D30262"/>
    <w:rsid w:val="00D304A5"/>
    <w:rsid w:val="00D3058D"/>
    <w:rsid w:val="00D30635"/>
    <w:rsid w:val="00D3090E"/>
    <w:rsid w:val="00D30910"/>
    <w:rsid w:val="00D3096C"/>
    <w:rsid w:val="00D309C5"/>
    <w:rsid w:val="00D309F3"/>
    <w:rsid w:val="00D30AF6"/>
    <w:rsid w:val="00D30B17"/>
    <w:rsid w:val="00D30B9B"/>
    <w:rsid w:val="00D30C14"/>
    <w:rsid w:val="00D30C73"/>
    <w:rsid w:val="00D30CFE"/>
    <w:rsid w:val="00D30D28"/>
    <w:rsid w:val="00D30F15"/>
    <w:rsid w:val="00D30FA3"/>
    <w:rsid w:val="00D310DE"/>
    <w:rsid w:val="00D311FF"/>
    <w:rsid w:val="00D3126F"/>
    <w:rsid w:val="00D312D7"/>
    <w:rsid w:val="00D313CF"/>
    <w:rsid w:val="00D3140D"/>
    <w:rsid w:val="00D314D6"/>
    <w:rsid w:val="00D314EA"/>
    <w:rsid w:val="00D31501"/>
    <w:rsid w:val="00D315C2"/>
    <w:rsid w:val="00D315CB"/>
    <w:rsid w:val="00D31711"/>
    <w:rsid w:val="00D3182B"/>
    <w:rsid w:val="00D31A2C"/>
    <w:rsid w:val="00D31AC6"/>
    <w:rsid w:val="00D31ACD"/>
    <w:rsid w:val="00D31B48"/>
    <w:rsid w:val="00D31B54"/>
    <w:rsid w:val="00D31B59"/>
    <w:rsid w:val="00D31BE6"/>
    <w:rsid w:val="00D31CEB"/>
    <w:rsid w:val="00D31DE8"/>
    <w:rsid w:val="00D31ED9"/>
    <w:rsid w:val="00D31F4C"/>
    <w:rsid w:val="00D320E1"/>
    <w:rsid w:val="00D320E7"/>
    <w:rsid w:val="00D32291"/>
    <w:rsid w:val="00D322AC"/>
    <w:rsid w:val="00D322AF"/>
    <w:rsid w:val="00D32408"/>
    <w:rsid w:val="00D32469"/>
    <w:rsid w:val="00D324E9"/>
    <w:rsid w:val="00D325EE"/>
    <w:rsid w:val="00D3260B"/>
    <w:rsid w:val="00D32829"/>
    <w:rsid w:val="00D3283F"/>
    <w:rsid w:val="00D3286E"/>
    <w:rsid w:val="00D32882"/>
    <w:rsid w:val="00D32971"/>
    <w:rsid w:val="00D3298B"/>
    <w:rsid w:val="00D32AA3"/>
    <w:rsid w:val="00D32AC1"/>
    <w:rsid w:val="00D32AE6"/>
    <w:rsid w:val="00D32C77"/>
    <w:rsid w:val="00D32D6A"/>
    <w:rsid w:val="00D32E3E"/>
    <w:rsid w:val="00D32EAA"/>
    <w:rsid w:val="00D32F5D"/>
    <w:rsid w:val="00D330DA"/>
    <w:rsid w:val="00D331DC"/>
    <w:rsid w:val="00D33270"/>
    <w:rsid w:val="00D332A4"/>
    <w:rsid w:val="00D332D0"/>
    <w:rsid w:val="00D333AC"/>
    <w:rsid w:val="00D3364A"/>
    <w:rsid w:val="00D3371D"/>
    <w:rsid w:val="00D33743"/>
    <w:rsid w:val="00D337FE"/>
    <w:rsid w:val="00D3388F"/>
    <w:rsid w:val="00D33A1A"/>
    <w:rsid w:val="00D33AC7"/>
    <w:rsid w:val="00D33B03"/>
    <w:rsid w:val="00D33B07"/>
    <w:rsid w:val="00D33BB2"/>
    <w:rsid w:val="00D33C4D"/>
    <w:rsid w:val="00D33C5B"/>
    <w:rsid w:val="00D33CAB"/>
    <w:rsid w:val="00D33DAB"/>
    <w:rsid w:val="00D33E13"/>
    <w:rsid w:val="00D33FBE"/>
    <w:rsid w:val="00D33FC8"/>
    <w:rsid w:val="00D33FEB"/>
    <w:rsid w:val="00D340C9"/>
    <w:rsid w:val="00D3426A"/>
    <w:rsid w:val="00D34404"/>
    <w:rsid w:val="00D34413"/>
    <w:rsid w:val="00D34442"/>
    <w:rsid w:val="00D34459"/>
    <w:rsid w:val="00D34464"/>
    <w:rsid w:val="00D34487"/>
    <w:rsid w:val="00D344C9"/>
    <w:rsid w:val="00D34545"/>
    <w:rsid w:val="00D34568"/>
    <w:rsid w:val="00D345F7"/>
    <w:rsid w:val="00D34616"/>
    <w:rsid w:val="00D3461E"/>
    <w:rsid w:val="00D34656"/>
    <w:rsid w:val="00D347F0"/>
    <w:rsid w:val="00D348B2"/>
    <w:rsid w:val="00D348CC"/>
    <w:rsid w:val="00D34959"/>
    <w:rsid w:val="00D34A04"/>
    <w:rsid w:val="00D34A10"/>
    <w:rsid w:val="00D34AE7"/>
    <w:rsid w:val="00D34CAE"/>
    <w:rsid w:val="00D34CCC"/>
    <w:rsid w:val="00D34EEF"/>
    <w:rsid w:val="00D3514F"/>
    <w:rsid w:val="00D3517D"/>
    <w:rsid w:val="00D35185"/>
    <w:rsid w:val="00D3519B"/>
    <w:rsid w:val="00D351EF"/>
    <w:rsid w:val="00D35246"/>
    <w:rsid w:val="00D3524E"/>
    <w:rsid w:val="00D352AD"/>
    <w:rsid w:val="00D353D7"/>
    <w:rsid w:val="00D35417"/>
    <w:rsid w:val="00D35523"/>
    <w:rsid w:val="00D35654"/>
    <w:rsid w:val="00D35655"/>
    <w:rsid w:val="00D35765"/>
    <w:rsid w:val="00D35BEC"/>
    <w:rsid w:val="00D35C36"/>
    <w:rsid w:val="00D35D28"/>
    <w:rsid w:val="00D35D79"/>
    <w:rsid w:val="00D35E48"/>
    <w:rsid w:val="00D35E75"/>
    <w:rsid w:val="00D35E9D"/>
    <w:rsid w:val="00D35EEF"/>
    <w:rsid w:val="00D35F75"/>
    <w:rsid w:val="00D35FF6"/>
    <w:rsid w:val="00D36154"/>
    <w:rsid w:val="00D36241"/>
    <w:rsid w:val="00D3636E"/>
    <w:rsid w:val="00D363CC"/>
    <w:rsid w:val="00D36490"/>
    <w:rsid w:val="00D36548"/>
    <w:rsid w:val="00D365CC"/>
    <w:rsid w:val="00D36701"/>
    <w:rsid w:val="00D367A9"/>
    <w:rsid w:val="00D367BD"/>
    <w:rsid w:val="00D367EE"/>
    <w:rsid w:val="00D36844"/>
    <w:rsid w:val="00D368BF"/>
    <w:rsid w:val="00D368CA"/>
    <w:rsid w:val="00D369FA"/>
    <w:rsid w:val="00D36AD8"/>
    <w:rsid w:val="00D36BC1"/>
    <w:rsid w:val="00D36BCD"/>
    <w:rsid w:val="00D36C05"/>
    <w:rsid w:val="00D36E95"/>
    <w:rsid w:val="00D36E9A"/>
    <w:rsid w:val="00D36F22"/>
    <w:rsid w:val="00D36F7C"/>
    <w:rsid w:val="00D370B3"/>
    <w:rsid w:val="00D37104"/>
    <w:rsid w:val="00D37147"/>
    <w:rsid w:val="00D373BD"/>
    <w:rsid w:val="00D3759B"/>
    <w:rsid w:val="00D375EC"/>
    <w:rsid w:val="00D3763F"/>
    <w:rsid w:val="00D377F9"/>
    <w:rsid w:val="00D37880"/>
    <w:rsid w:val="00D378FE"/>
    <w:rsid w:val="00D3792D"/>
    <w:rsid w:val="00D3792E"/>
    <w:rsid w:val="00D37941"/>
    <w:rsid w:val="00D379A9"/>
    <w:rsid w:val="00D379EA"/>
    <w:rsid w:val="00D37A5B"/>
    <w:rsid w:val="00D37D50"/>
    <w:rsid w:val="00D37E33"/>
    <w:rsid w:val="00D401C7"/>
    <w:rsid w:val="00D40284"/>
    <w:rsid w:val="00D404E5"/>
    <w:rsid w:val="00D404F6"/>
    <w:rsid w:val="00D4051E"/>
    <w:rsid w:val="00D40593"/>
    <w:rsid w:val="00D405AE"/>
    <w:rsid w:val="00D40691"/>
    <w:rsid w:val="00D408B1"/>
    <w:rsid w:val="00D408D4"/>
    <w:rsid w:val="00D408DC"/>
    <w:rsid w:val="00D4090D"/>
    <w:rsid w:val="00D4095D"/>
    <w:rsid w:val="00D40A4E"/>
    <w:rsid w:val="00D40B10"/>
    <w:rsid w:val="00D40C5E"/>
    <w:rsid w:val="00D40C92"/>
    <w:rsid w:val="00D40D00"/>
    <w:rsid w:val="00D40DBA"/>
    <w:rsid w:val="00D40DEA"/>
    <w:rsid w:val="00D40E32"/>
    <w:rsid w:val="00D40E92"/>
    <w:rsid w:val="00D40F73"/>
    <w:rsid w:val="00D4105F"/>
    <w:rsid w:val="00D41074"/>
    <w:rsid w:val="00D4110B"/>
    <w:rsid w:val="00D411C3"/>
    <w:rsid w:val="00D41281"/>
    <w:rsid w:val="00D41381"/>
    <w:rsid w:val="00D413E9"/>
    <w:rsid w:val="00D41451"/>
    <w:rsid w:val="00D414D9"/>
    <w:rsid w:val="00D4157D"/>
    <w:rsid w:val="00D415BF"/>
    <w:rsid w:val="00D4164B"/>
    <w:rsid w:val="00D4169D"/>
    <w:rsid w:val="00D41767"/>
    <w:rsid w:val="00D417BB"/>
    <w:rsid w:val="00D41857"/>
    <w:rsid w:val="00D4196D"/>
    <w:rsid w:val="00D4197E"/>
    <w:rsid w:val="00D419B5"/>
    <w:rsid w:val="00D41B05"/>
    <w:rsid w:val="00D41BF1"/>
    <w:rsid w:val="00D41C33"/>
    <w:rsid w:val="00D41DB1"/>
    <w:rsid w:val="00D41E0D"/>
    <w:rsid w:val="00D41EF6"/>
    <w:rsid w:val="00D420F2"/>
    <w:rsid w:val="00D42126"/>
    <w:rsid w:val="00D42204"/>
    <w:rsid w:val="00D422C4"/>
    <w:rsid w:val="00D422D8"/>
    <w:rsid w:val="00D4230F"/>
    <w:rsid w:val="00D42393"/>
    <w:rsid w:val="00D424E0"/>
    <w:rsid w:val="00D425A4"/>
    <w:rsid w:val="00D425BC"/>
    <w:rsid w:val="00D42639"/>
    <w:rsid w:val="00D42649"/>
    <w:rsid w:val="00D42672"/>
    <w:rsid w:val="00D4268C"/>
    <w:rsid w:val="00D42728"/>
    <w:rsid w:val="00D4273F"/>
    <w:rsid w:val="00D42823"/>
    <w:rsid w:val="00D4286B"/>
    <w:rsid w:val="00D42A07"/>
    <w:rsid w:val="00D42A0B"/>
    <w:rsid w:val="00D42A4A"/>
    <w:rsid w:val="00D42AC8"/>
    <w:rsid w:val="00D42ADC"/>
    <w:rsid w:val="00D42C13"/>
    <w:rsid w:val="00D42D4D"/>
    <w:rsid w:val="00D42DFD"/>
    <w:rsid w:val="00D42E57"/>
    <w:rsid w:val="00D42E60"/>
    <w:rsid w:val="00D42F11"/>
    <w:rsid w:val="00D43047"/>
    <w:rsid w:val="00D43051"/>
    <w:rsid w:val="00D431EE"/>
    <w:rsid w:val="00D432A7"/>
    <w:rsid w:val="00D4331E"/>
    <w:rsid w:val="00D43346"/>
    <w:rsid w:val="00D43458"/>
    <w:rsid w:val="00D4349D"/>
    <w:rsid w:val="00D4356D"/>
    <w:rsid w:val="00D43631"/>
    <w:rsid w:val="00D43658"/>
    <w:rsid w:val="00D4378E"/>
    <w:rsid w:val="00D438D9"/>
    <w:rsid w:val="00D438DA"/>
    <w:rsid w:val="00D438E9"/>
    <w:rsid w:val="00D4397F"/>
    <w:rsid w:val="00D43A7F"/>
    <w:rsid w:val="00D43B09"/>
    <w:rsid w:val="00D43BEA"/>
    <w:rsid w:val="00D43D08"/>
    <w:rsid w:val="00D43D8F"/>
    <w:rsid w:val="00D43D97"/>
    <w:rsid w:val="00D43DF1"/>
    <w:rsid w:val="00D43EFC"/>
    <w:rsid w:val="00D43F81"/>
    <w:rsid w:val="00D43F94"/>
    <w:rsid w:val="00D43FB5"/>
    <w:rsid w:val="00D43FB6"/>
    <w:rsid w:val="00D44175"/>
    <w:rsid w:val="00D44282"/>
    <w:rsid w:val="00D442E1"/>
    <w:rsid w:val="00D4443A"/>
    <w:rsid w:val="00D44443"/>
    <w:rsid w:val="00D44499"/>
    <w:rsid w:val="00D445B2"/>
    <w:rsid w:val="00D4473E"/>
    <w:rsid w:val="00D44749"/>
    <w:rsid w:val="00D4477B"/>
    <w:rsid w:val="00D44873"/>
    <w:rsid w:val="00D4488E"/>
    <w:rsid w:val="00D44972"/>
    <w:rsid w:val="00D449A5"/>
    <w:rsid w:val="00D44C46"/>
    <w:rsid w:val="00D44CCD"/>
    <w:rsid w:val="00D44DBD"/>
    <w:rsid w:val="00D44E6C"/>
    <w:rsid w:val="00D44EBC"/>
    <w:rsid w:val="00D4519E"/>
    <w:rsid w:val="00D453B0"/>
    <w:rsid w:val="00D45444"/>
    <w:rsid w:val="00D45452"/>
    <w:rsid w:val="00D4561F"/>
    <w:rsid w:val="00D456C8"/>
    <w:rsid w:val="00D457B9"/>
    <w:rsid w:val="00D458CB"/>
    <w:rsid w:val="00D45949"/>
    <w:rsid w:val="00D45991"/>
    <w:rsid w:val="00D45993"/>
    <w:rsid w:val="00D459C2"/>
    <w:rsid w:val="00D459CC"/>
    <w:rsid w:val="00D45A0E"/>
    <w:rsid w:val="00D45BA2"/>
    <w:rsid w:val="00D45C77"/>
    <w:rsid w:val="00D45CB4"/>
    <w:rsid w:val="00D45DD9"/>
    <w:rsid w:val="00D45F1C"/>
    <w:rsid w:val="00D460A1"/>
    <w:rsid w:val="00D46165"/>
    <w:rsid w:val="00D461F7"/>
    <w:rsid w:val="00D46269"/>
    <w:rsid w:val="00D462D5"/>
    <w:rsid w:val="00D464AA"/>
    <w:rsid w:val="00D46616"/>
    <w:rsid w:val="00D4669D"/>
    <w:rsid w:val="00D467D6"/>
    <w:rsid w:val="00D467DD"/>
    <w:rsid w:val="00D46848"/>
    <w:rsid w:val="00D468A6"/>
    <w:rsid w:val="00D468E8"/>
    <w:rsid w:val="00D469BD"/>
    <w:rsid w:val="00D46A6C"/>
    <w:rsid w:val="00D46A9D"/>
    <w:rsid w:val="00D46ADD"/>
    <w:rsid w:val="00D46DA8"/>
    <w:rsid w:val="00D46F20"/>
    <w:rsid w:val="00D46F3E"/>
    <w:rsid w:val="00D47093"/>
    <w:rsid w:val="00D470B7"/>
    <w:rsid w:val="00D47229"/>
    <w:rsid w:val="00D4733A"/>
    <w:rsid w:val="00D4733E"/>
    <w:rsid w:val="00D47354"/>
    <w:rsid w:val="00D47368"/>
    <w:rsid w:val="00D473DC"/>
    <w:rsid w:val="00D4744A"/>
    <w:rsid w:val="00D47455"/>
    <w:rsid w:val="00D474C3"/>
    <w:rsid w:val="00D4754B"/>
    <w:rsid w:val="00D47711"/>
    <w:rsid w:val="00D47718"/>
    <w:rsid w:val="00D4790C"/>
    <w:rsid w:val="00D47999"/>
    <w:rsid w:val="00D47A1D"/>
    <w:rsid w:val="00D47A4C"/>
    <w:rsid w:val="00D47BDD"/>
    <w:rsid w:val="00D47CF9"/>
    <w:rsid w:val="00D47DAD"/>
    <w:rsid w:val="00D47E99"/>
    <w:rsid w:val="00D47EEB"/>
    <w:rsid w:val="00D47F73"/>
    <w:rsid w:val="00D5007F"/>
    <w:rsid w:val="00D50086"/>
    <w:rsid w:val="00D500FF"/>
    <w:rsid w:val="00D50259"/>
    <w:rsid w:val="00D5036A"/>
    <w:rsid w:val="00D503B2"/>
    <w:rsid w:val="00D50475"/>
    <w:rsid w:val="00D504D9"/>
    <w:rsid w:val="00D5063C"/>
    <w:rsid w:val="00D506B9"/>
    <w:rsid w:val="00D507A2"/>
    <w:rsid w:val="00D508E1"/>
    <w:rsid w:val="00D50952"/>
    <w:rsid w:val="00D50993"/>
    <w:rsid w:val="00D50996"/>
    <w:rsid w:val="00D50A50"/>
    <w:rsid w:val="00D50B27"/>
    <w:rsid w:val="00D50C19"/>
    <w:rsid w:val="00D50C21"/>
    <w:rsid w:val="00D51019"/>
    <w:rsid w:val="00D510E4"/>
    <w:rsid w:val="00D5110F"/>
    <w:rsid w:val="00D51120"/>
    <w:rsid w:val="00D5115B"/>
    <w:rsid w:val="00D511D4"/>
    <w:rsid w:val="00D5133F"/>
    <w:rsid w:val="00D51350"/>
    <w:rsid w:val="00D513E5"/>
    <w:rsid w:val="00D5153B"/>
    <w:rsid w:val="00D515B6"/>
    <w:rsid w:val="00D51692"/>
    <w:rsid w:val="00D516AB"/>
    <w:rsid w:val="00D516FA"/>
    <w:rsid w:val="00D51741"/>
    <w:rsid w:val="00D51933"/>
    <w:rsid w:val="00D519A4"/>
    <w:rsid w:val="00D519D4"/>
    <w:rsid w:val="00D51BE4"/>
    <w:rsid w:val="00D51C40"/>
    <w:rsid w:val="00D51C9C"/>
    <w:rsid w:val="00D51CAD"/>
    <w:rsid w:val="00D51DF0"/>
    <w:rsid w:val="00D520AF"/>
    <w:rsid w:val="00D5233E"/>
    <w:rsid w:val="00D52394"/>
    <w:rsid w:val="00D5245C"/>
    <w:rsid w:val="00D5273A"/>
    <w:rsid w:val="00D5284C"/>
    <w:rsid w:val="00D528BE"/>
    <w:rsid w:val="00D52911"/>
    <w:rsid w:val="00D52939"/>
    <w:rsid w:val="00D529FF"/>
    <w:rsid w:val="00D52A55"/>
    <w:rsid w:val="00D52B4D"/>
    <w:rsid w:val="00D52BB1"/>
    <w:rsid w:val="00D52C80"/>
    <w:rsid w:val="00D52CD0"/>
    <w:rsid w:val="00D52D06"/>
    <w:rsid w:val="00D52D23"/>
    <w:rsid w:val="00D52DB8"/>
    <w:rsid w:val="00D52DED"/>
    <w:rsid w:val="00D52E70"/>
    <w:rsid w:val="00D52F22"/>
    <w:rsid w:val="00D52F24"/>
    <w:rsid w:val="00D52F78"/>
    <w:rsid w:val="00D52FE2"/>
    <w:rsid w:val="00D53284"/>
    <w:rsid w:val="00D532B7"/>
    <w:rsid w:val="00D5341F"/>
    <w:rsid w:val="00D53477"/>
    <w:rsid w:val="00D534CB"/>
    <w:rsid w:val="00D53503"/>
    <w:rsid w:val="00D5361E"/>
    <w:rsid w:val="00D536C7"/>
    <w:rsid w:val="00D5376C"/>
    <w:rsid w:val="00D53778"/>
    <w:rsid w:val="00D53784"/>
    <w:rsid w:val="00D537DB"/>
    <w:rsid w:val="00D53851"/>
    <w:rsid w:val="00D5398F"/>
    <w:rsid w:val="00D53B2A"/>
    <w:rsid w:val="00D53B59"/>
    <w:rsid w:val="00D53C02"/>
    <w:rsid w:val="00D53C66"/>
    <w:rsid w:val="00D53C6B"/>
    <w:rsid w:val="00D53C86"/>
    <w:rsid w:val="00D53D09"/>
    <w:rsid w:val="00D53D37"/>
    <w:rsid w:val="00D53DA2"/>
    <w:rsid w:val="00D53DD3"/>
    <w:rsid w:val="00D53EEC"/>
    <w:rsid w:val="00D53FC6"/>
    <w:rsid w:val="00D5408D"/>
    <w:rsid w:val="00D540E2"/>
    <w:rsid w:val="00D5413B"/>
    <w:rsid w:val="00D5413D"/>
    <w:rsid w:val="00D54149"/>
    <w:rsid w:val="00D541A8"/>
    <w:rsid w:val="00D541CA"/>
    <w:rsid w:val="00D541D3"/>
    <w:rsid w:val="00D542AD"/>
    <w:rsid w:val="00D543A1"/>
    <w:rsid w:val="00D5446E"/>
    <w:rsid w:val="00D544C9"/>
    <w:rsid w:val="00D5454C"/>
    <w:rsid w:val="00D54573"/>
    <w:rsid w:val="00D54655"/>
    <w:rsid w:val="00D54689"/>
    <w:rsid w:val="00D546BD"/>
    <w:rsid w:val="00D546E9"/>
    <w:rsid w:val="00D54738"/>
    <w:rsid w:val="00D54878"/>
    <w:rsid w:val="00D54939"/>
    <w:rsid w:val="00D54A02"/>
    <w:rsid w:val="00D54AD6"/>
    <w:rsid w:val="00D54BC8"/>
    <w:rsid w:val="00D54BE0"/>
    <w:rsid w:val="00D54D12"/>
    <w:rsid w:val="00D54E0D"/>
    <w:rsid w:val="00D54F99"/>
    <w:rsid w:val="00D54FD1"/>
    <w:rsid w:val="00D55084"/>
    <w:rsid w:val="00D551C5"/>
    <w:rsid w:val="00D5525A"/>
    <w:rsid w:val="00D5526C"/>
    <w:rsid w:val="00D5541A"/>
    <w:rsid w:val="00D5542E"/>
    <w:rsid w:val="00D5554D"/>
    <w:rsid w:val="00D555BC"/>
    <w:rsid w:val="00D555EA"/>
    <w:rsid w:val="00D558D4"/>
    <w:rsid w:val="00D559CB"/>
    <w:rsid w:val="00D559CC"/>
    <w:rsid w:val="00D55B45"/>
    <w:rsid w:val="00D55B8E"/>
    <w:rsid w:val="00D55BC0"/>
    <w:rsid w:val="00D55BFA"/>
    <w:rsid w:val="00D55D2A"/>
    <w:rsid w:val="00D55DB0"/>
    <w:rsid w:val="00D55DB7"/>
    <w:rsid w:val="00D55EBE"/>
    <w:rsid w:val="00D55F1B"/>
    <w:rsid w:val="00D55F2E"/>
    <w:rsid w:val="00D55FA2"/>
    <w:rsid w:val="00D55FF9"/>
    <w:rsid w:val="00D560B8"/>
    <w:rsid w:val="00D560FD"/>
    <w:rsid w:val="00D56228"/>
    <w:rsid w:val="00D56309"/>
    <w:rsid w:val="00D56351"/>
    <w:rsid w:val="00D5637B"/>
    <w:rsid w:val="00D56529"/>
    <w:rsid w:val="00D5652F"/>
    <w:rsid w:val="00D565CA"/>
    <w:rsid w:val="00D565EF"/>
    <w:rsid w:val="00D56611"/>
    <w:rsid w:val="00D56626"/>
    <w:rsid w:val="00D566BC"/>
    <w:rsid w:val="00D567A6"/>
    <w:rsid w:val="00D56829"/>
    <w:rsid w:val="00D56993"/>
    <w:rsid w:val="00D569F5"/>
    <w:rsid w:val="00D56B14"/>
    <w:rsid w:val="00D56B35"/>
    <w:rsid w:val="00D56B40"/>
    <w:rsid w:val="00D56B7A"/>
    <w:rsid w:val="00D56BF5"/>
    <w:rsid w:val="00D56CC2"/>
    <w:rsid w:val="00D56D7D"/>
    <w:rsid w:val="00D56F02"/>
    <w:rsid w:val="00D56F06"/>
    <w:rsid w:val="00D56F2D"/>
    <w:rsid w:val="00D5701C"/>
    <w:rsid w:val="00D57155"/>
    <w:rsid w:val="00D5723F"/>
    <w:rsid w:val="00D57250"/>
    <w:rsid w:val="00D57369"/>
    <w:rsid w:val="00D57733"/>
    <w:rsid w:val="00D577A9"/>
    <w:rsid w:val="00D57878"/>
    <w:rsid w:val="00D578C5"/>
    <w:rsid w:val="00D578D6"/>
    <w:rsid w:val="00D579DF"/>
    <w:rsid w:val="00D57A2B"/>
    <w:rsid w:val="00D57A9A"/>
    <w:rsid w:val="00D57BE6"/>
    <w:rsid w:val="00D57C04"/>
    <w:rsid w:val="00D57C08"/>
    <w:rsid w:val="00D57D64"/>
    <w:rsid w:val="00D57D7C"/>
    <w:rsid w:val="00D57E10"/>
    <w:rsid w:val="00D60009"/>
    <w:rsid w:val="00D60026"/>
    <w:rsid w:val="00D601AD"/>
    <w:rsid w:val="00D60201"/>
    <w:rsid w:val="00D602D5"/>
    <w:rsid w:val="00D60337"/>
    <w:rsid w:val="00D6039A"/>
    <w:rsid w:val="00D6054A"/>
    <w:rsid w:val="00D6057A"/>
    <w:rsid w:val="00D605EE"/>
    <w:rsid w:val="00D606E3"/>
    <w:rsid w:val="00D60769"/>
    <w:rsid w:val="00D6077D"/>
    <w:rsid w:val="00D6080A"/>
    <w:rsid w:val="00D60A42"/>
    <w:rsid w:val="00D60A65"/>
    <w:rsid w:val="00D60A72"/>
    <w:rsid w:val="00D60A81"/>
    <w:rsid w:val="00D60AC2"/>
    <w:rsid w:val="00D60B40"/>
    <w:rsid w:val="00D60B46"/>
    <w:rsid w:val="00D60B4F"/>
    <w:rsid w:val="00D60CD1"/>
    <w:rsid w:val="00D60E97"/>
    <w:rsid w:val="00D60EC3"/>
    <w:rsid w:val="00D60F51"/>
    <w:rsid w:val="00D60F63"/>
    <w:rsid w:val="00D6103E"/>
    <w:rsid w:val="00D6108D"/>
    <w:rsid w:val="00D61130"/>
    <w:rsid w:val="00D6114D"/>
    <w:rsid w:val="00D61157"/>
    <w:rsid w:val="00D612B5"/>
    <w:rsid w:val="00D612D2"/>
    <w:rsid w:val="00D61321"/>
    <w:rsid w:val="00D61457"/>
    <w:rsid w:val="00D6151A"/>
    <w:rsid w:val="00D616DE"/>
    <w:rsid w:val="00D61857"/>
    <w:rsid w:val="00D61870"/>
    <w:rsid w:val="00D61895"/>
    <w:rsid w:val="00D618E7"/>
    <w:rsid w:val="00D61911"/>
    <w:rsid w:val="00D61941"/>
    <w:rsid w:val="00D6198D"/>
    <w:rsid w:val="00D61A16"/>
    <w:rsid w:val="00D61B3E"/>
    <w:rsid w:val="00D61C28"/>
    <w:rsid w:val="00D61C4A"/>
    <w:rsid w:val="00D61DD6"/>
    <w:rsid w:val="00D61E0E"/>
    <w:rsid w:val="00D61E44"/>
    <w:rsid w:val="00D61EC5"/>
    <w:rsid w:val="00D620E5"/>
    <w:rsid w:val="00D6213B"/>
    <w:rsid w:val="00D62255"/>
    <w:rsid w:val="00D6230C"/>
    <w:rsid w:val="00D623BF"/>
    <w:rsid w:val="00D6240A"/>
    <w:rsid w:val="00D62456"/>
    <w:rsid w:val="00D6249E"/>
    <w:rsid w:val="00D624BF"/>
    <w:rsid w:val="00D624D4"/>
    <w:rsid w:val="00D62563"/>
    <w:rsid w:val="00D625A2"/>
    <w:rsid w:val="00D625FF"/>
    <w:rsid w:val="00D6262D"/>
    <w:rsid w:val="00D62663"/>
    <w:rsid w:val="00D62680"/>
    <w:rsid w:val="00D62797"/>
    <w:rsid w:val="00D627B7"/>
    <w:rsid w:val="00D628A5"/>
    <w:rsid w:val="00D62AB2"/>
    <w:rsid w:val="00D62AC6"/>
    <w:rsid w:val="00D62C08"/>
    <w:rsid w:val="00D62D6B"/>
    <w:rsid w:val="00D62EFA"/>
    <w:rsid w:val="00D62F5F"/>
    <w:rsid w:val="00D62F6C"/>
    <w:rsid w:val="00D63006"/>
    <w:rsid w:val="00D6300B"/>
    <w:rsid w:val="00D632A9"/>
    <w:rsid w:val="00D632DB"/>
    <w:rsid w:val="00D633BC"/>
    <w:rsid w:val="00D633F4"/>
    <w:rsid w:val="00D6351E"/>
    <w:rsid w:val="00D63526"/>
    <w:rsid w:val="00D63593"/>
    <w:rsid w:val="00D635E1"/>
    <w:rsid w:val="00D63619"/>
    <w:rsid w:val="00D6363B"/>
    <w:rsid w:val="00D63649"/>
    <w:rsid w:val="00D6367C"/>
    <w:rsid w:val="00D63695"/>
    <w:rsid w:val="00D636CA"/>
    <w:rsid w:val="00D63876"/>
    <w:rsid w:val="00D639A7"/>
    <w:rsid w:val="00D639D2"/>
    <w:rsid w:val="00D639FC"/>
    <w:rsid w:val="00D63B48"/>
    <w:rsid w:val="00D63BDC"/>
    <w:rsid w:val="00D63DA5"/>
    <w:rsid w:val="00D63EB2"/>
    <w:rsid w:val="00D63EC7"/>
    <w:rsid w:val="00D63ECB"/>
    <w:rsid w:val="00D63EE0"/>
    <w:rsid w:val="00D64024"/>
    <w:rsid w:val="00D64061"/>
    <w:rsid w:val="00D641F2"/>
    <w:rsid w:val="00D6420E"/>
    <w:rsid w:val="00D64251"/>
    <w:rsid w:val="00D642C5"/>
    <w:rsid w:val="00D644B0"/>
    <w:rsid w:val="00D644F8"/>
    <w:rsid w:val="00D6469A"/>
    <w:rsid w:val="00D64756"/>
    <w:rsid w:val="00D647A0"/>
    <w:rsid w:val="00D6484A"/>
    <w:rsid w:val="00D64911"/>
    <w:rsid w:val="00D64A86"/>
    <w:rsid w:val="00D64B6D"/>
    <w:rsid w:val="00D64B8D"/>
    <w:rsid w:val="00D64E40"/>
    <w:rsid w:val="00D64E64"/>
    <w:rsid w:val="00D64EB0"/>
    <w:rsid w:val="00D64EB1"/>
    <w:rsid w:val="00D64F5D"/>
    <w:rsid w:val="00D650DE"/>
    <w:rsid w:val="00D65162"/>
    <w:rsid w:val="00D65302"/>
    <w:rsid w:val="00D6531F"/>
    <w:rsid w:val="00D65366"/>
    <w:rsid w:val="00D653DD"/>
    <w:rsid w:val="00D653E6"/>
    <w:rsid w:val="00D6547E"/>
    <w:rsid w:val="00D65503"/>
    <w:rsid w:val="00D6550C"/>
    <w:rsid w:val="00D6567D"/>
    <w:rsid w:val="00D656CD"/>
    <w:rsid w:val="00D6570D"/>
    <w:rsid w:val="00D657BB"/>
    <w:rsid w:val="00D659C9"/>
    <w:rsid w:val="00D659D3"/>
    <w:rsid w:val="00D65AEE"/>
    <w:rsid w:val="00D65B05"/>
    <w:rsid w:val="00D65BA3"/>
    <w:rsid w:val="00D65C70"/>
    <w:rsid w:val="00D65E94"/>
    <w:rsid w:val="00D65F5A"/>
    <w:rsid w:val="00D65FA9"/>
    <w:rsid w:val="00D65FCE"/>
    <w:rsid w:val="00D6605C"/>
    <w:rsid w:val="00D66072"/>
    <w:rsid w:val="00D6610C"/>
    <w:rsid w:val="00D6612F"/>
    <w:rsid w:val="00D661C8"/>
    <w:rsid w:val="00D66202"/>
    <w:rsid w:val="00D66212"/>
    <w:rsid w:val="00D66343"/>
    <w:rsid w:val="00D663A1"/>
    <w:rsid w:val="00D663BF"/>
    <w:rsid w:val="00D663F4"/>
    <w:rsid w:val="00D66442"/>
    <w:rsid w:val="00D664B2"/>
    <w:rsid w:val="00D664E9"/>
    <w:rsid w:val="00D664FA"/>
    <w:rsid w:val="00D66537"/>
    <w:rsid w:val="00D665DF"/>
    <w:rsid w:val="00D66624"/>
    <w:rsid w:val="00D6677C"/>
    <w:rsid w:val="00D667A0"/>
    <w:rsid w:val="00D667A7"/>
    <w:rsid w:val="00D66868"/>
    <w:rsid w:val="00D66936"/>
    <w:rsid w:val="00D669F3"/>
    <w:rsid w:val="00D66A86"/>
    <w:rsid w:val="00D66A9E"/>
    <w:rsid w:val="00D66B90"/>
    <w:rsid w:val="00D66B99"/>
    <w:rsid w:val="00D66C31"/>
    <w:rsid w:val="00D66DCD"/>
    <w:rsid w:val="00D66FD3"/>
    <w:rsid w:val="00D67002"/>
    <w:rsid w:val="00D6700D"/>
    <w:rsid w:val="00D6704E"/>
    <w:rsid w:val="00D67148"/>
    <w:rsid w:val="00D6720E"/>
    <w:rsid w:val="00D67242"/>
    <w:rsid w:val="00D6726F"/>
    <w:rsid w:val="00D672B7"/>
    <w:rsid w:val="00D6747E"/>
    <w:rsid w:val="00D674E6"/>
    <w:rsid w:val="00D67592"/>
    <w:rsid w:val="00D675B0"/>
    <w:rsid w:val="00D675BE"/>
    <w:rsid w:val="00D675D0"/>
    <w:rsid w:val="00D6762E"/>
    <w:rsid w:val="00D67649"/>
    <w:rsid w:val="00D676F9"/>
    <w:rsid w:val="00D67749"/>
    <w:rsid w:val="00D67827"/>
    <w:rsid w:val="00D67965"/>
    <w:rsid w:val="00D6797B"/>
    <w:rsid w:val="00D679AE"/>
    <w:rsid w:val="00D679AF"/>
    <w:rsid w:val="00D679D4"/>
    <w:rsid w:val="00D67BEB"/>
    <w:rsid w:val="00D67C09"/>
    <w:rsid w:val="00D67CC2"/>
    <w:rsid w:val="00D67CDB"/>
    <w:rsid w:val="00D67D9A"/>
    <w:rsid w:val="00D67DFC"/>
    <w:rsid w:val="00D67E36"/>
    <w:rsid w:val="00D67E6E"/>
    <w:rsid w:val="00D67F15"/>
    <w:rsid w:val="00D67F75"/>
    <w:rsid w:val="00D70018"/>
    <w:rsid w:val="00D7010F"/>
    <w:rsid w:val="00D701C8"/>
    <w:rsid w:val="00D702C3"/>
    <w:rsid w:val="00D70349"/>
    <w:rsid w:val="00D70392"/>
    <w:rsid w:val="00D7056E"/>
    <w:rsid w:val="00D705CD"/>
    <w:rsid w:val="00D7068C"/>
    <w:rsid w:val="00D706BB"/>
    <w:rsid w:val="00D707EB"/>
    <w:rsid w:val="00D7099B"/>
    <w:rsid w:val="00D70A3E"/>
    <w:rsid w:val="00D70B8E"/>
    <w:rsid w:val="00D70BD4"/>
    <w:rsid w:val="00D70C56"/>
    <w:rsid w:val="00D70CEF"/>
    <w:rsid w:val="00D70D2C"/>
    <w:rsid w:val="00D70D9E"/>
    <w:rsid w:val="00D70ED6"/>
    <w:rsid w:val="00D70EEC"/>
    <w:rsid w:val="00D7108F"/>
    <w:rsid w:val="00D710F3"/>
    <w:rsid w:val="00D71239"/>
    <w:rsid w:val="00D71449"/>
    <w:rsid w:val="00D714B5"/>
    <w:rsid w:val="00D714F1"/>
    <w:rsid w:val="00D715E0"/>
    <w:rsid w:val="00D715EB"/>
    <w:rsid w:val="00D7180F"/>
    <w:rsid w:val="00D718C3"/>
    <w:rsid w:val="00D7190A"/>
    <w:rsid w:val="00D71ABB"/>
    <w:rsid w:val="00D71B0E"/>
    <w:rsid w:val="00D71C54"/>
    <w:rsid w:val="00D71D59"/>
    <w:rsid w:val="00D71E1C"/>
    <w:rsid w:val="00D71ED6"/>
    <w:rsid w:val="00D71FA3"/>
    <w:rsid w:val="00D71FC5"/>
    <w:rsid w:val="00D7212A"/>
    <w:rsid w:val="00D721DF"/>
    <w:rsid w:val="00D721E1"/>
    <w:rsid w:val="00D72291"/>
    <w:rsid w:val="00D722BC"/>
    <w:rsid w:val="00D7231E"/>
    <w:rsid w:val="00D72404"/>
    <w:rsid w:val="00D7264F"/>
    <w:rsid w:val="00D7275E"/>
    <w:rsid w:val="00D7283C"/>
    <w:rsid w:val="00D7295A"/>
    <w:rsid w:val="00D72984"/>
    <w:rsid w:val="00D729C1"/>
    <w:rsid w:val="00D729EC"/>
    <w:rsid w:val="00D72A4F"/>
    <w:rsid w:val="00D72AEA"/>
    <w:rsid w:val="00D72B13"/>
    <w:rsid w:val="00D72D47"/>
    <w:rsid w:val="00D72E94"/>
    <w:rsid w:val="00D72F3B"/>
    <w:rsid w:val="00D73017"/>
    <w:rsid w:val="00D7303B"/>
    <w:rsid w:val="00D73247"/>
    <w:rsid w:val="00D7326A"/>
    <w:rsid w:val="00D73394"/>
    <w:rsid w:val="00D7353A"/>
    <w:rsid w:val="00D736A2"/>
    <w:rsid w:val="00D737FB"/>
    <w:rsid w:val="00D7383D"/>
    <w:rsid w:val="00D73964"/>
    <w:rsid w:val="00D73A1A"/>
    <w:rsid w:val="00D73A37"/>
    <w:rsid w:val="00D73BD0"/>
    <w:rsid w:val="00D73BD9"/>
    <w:rsid w:val="00D73C56"/>
    <w:rsid w:val="00D73D2F"/>
    <w:rsid w:val="00D73D5D"/>
    <w:rsid w:val="00D73D76"/>
    <w:rsid w:val="00D73DF3"/>
    <w:rsid w:val="00D73E27"/>
    <w:rsid w:val="00D74003"/>
    <w:rsid w:val="00D740A1"/>
    <w:rsid w:val="00D741B2"/>
    <w:rsid w:val="00D742D7"/>
    <w:rsid w:val="00D743AF"/>
    <w:rsid w:val="00D74480"/>
    <w:rsid w:val="00D74559"/>
    <w:rsid w:val="00D745FB"/>
    <w:rsid w:val="00D747B1"/>
    <w:rsid w:val="00D748BA"/>
    <w:rsid w:val="00D74966"/>
    <w:rsid w:val="00D7496F"/>
    <w:rsid w:val="00D74ADE"/>
    <w:rsid w:val="00D74BC4"/>
    <w:rsid w:val="00D74BD8"/>
    <w:rsid w:val="00D74C17"/>
    <w:rsid w:val="00D74C53"/>
    <w:rsid w:val="00D74C61"/>
    <w:rsid w:val="00D74CD9"/>
    <w:rsid w:val="00D74CE3"/>
    <w:rsid w:val="00D74DA7"/>
    <w:rsid w:val="00D74E9E"/>
    <w:rsid w:val="00D74EAF"/>
    <w:rsid w:val="00D74EF2"/>
    <w:rsid w:val="00D74F80"/>
    <w:rsid w:val="00D74FB4"/>
    <w:rsid w:val="00D75086"/>
    <w:rsid w:val="00D750B0"/>
    <w:rsid w:val="00D750EC"/>
    <w:rsid w:val="00D750F3"/>
    <w:rsid w:val="00D752A4"/>
    <w:rsid w:val="00D752BE"/>
    <w:rsid w:val="00D752D1"/>
    <w:rsid w:val="00D75327"/>
    <w:rsid w:val="00D7539B"/>
    <w:rsid w:val="00D753A3"/>
    <w:rsid w:val="00D753B8"/>
    <w:rsid w:val="00D75508"/>
    <w:rsid w:val="00D755D9"/>
    <w:rsid w:val="00D755FE"/>
    <w:rsid w:val="00D756A3"/>
    <w:rsid w:val="00D756B1"/>
    <w:rsid w:val="00D75755"/>
    <w:rsid w:val="00D75768"/>
    <w:rsid w:val="00D757EB"/>
    <w:rsid w:val="00D758E9"/>
    <w:rsid w:val="00D75964"/>
    <w:rsid w:val="00D7596C"/>
    <w:rsid w:val="00D75971"/>
    <w:rsid w:val="00D75A64"/>
    <w:rsid w:val="00D75CD2"/>
    <w:rsid w:val="00D75D45"/>
    <w:rsid w:val="00D75E30"/>
    <w:rsid w:val="00D75F1F"/>
    <w:rsid w:val="00D75F8C"/>
    <w:rsid w:val="00D7602D"/>
    <w:rsid w:val="00D7607E"/>
    <w:rsid w:val="00D7614C"/>
    <w:rsid w:val="00D76215"/>
    <w:rsid w:val="00D762DA"/>
    <w:rsid w:val="00D762FC"/>
    <w:rsid w:val="00D76485"/>
    <w:rsid w:val="00D7653C"/>
    <w:rsid w:val="00D765B7"/>
    <w:rsid w:val="00D765EE"/>
    <w:rsid w:val="00D76702"/>
    <w:rsid w:val="00D767AE"/>
    <w:rsid w:val="00D768BE"/>
    <w:rsid w:val="00D76AE5"/>
    <w:rsid w:val="00D76B8F"/>
    <w:rsid w:val="00D76C2E"/>
    <w:rsid w:val="00D76C4E"/>
    <w:rsid w:val="00D76CB6"/>
    <w:rsid w:val="00D76D01"/>
    <w:rsid w:val="00D76D0F"/>
    <w:rsid w:val="00D76E51"/>
    <w:rsid w:val="00D76E97"/>
    <w:rsid w:val="00D76EA4"/>
    <w:rsid w:val="00D76FBF"/>
    <w:rsid w:val="00D77004"/>
    <w:rsid w:val="00D770B1"/>
    <w:rsid w:val="00D77249"/>
    <w:rsid w:val="00D772AD"/>
    <w:rsid w:val="00D7732C"/>
    <w:rsid w:val="00D77426"/>
    <w:rsid w:val="00D77462"/>
    <w:rsid w:val="00D77470"/>
    <w:rsid w:val="00D77618"/>
    <w:rsid w:val="00D7779A"/>
    <w:rsid w:val="00D7789C"/>
    <w:rsid w:val="00D778EA"/>
    <w:rsid w:val="00D77911"/>
    <w:rsid w:val="00D77946"/>
    <w:rsid w:val="00D77953"/>
    <w:rsid w:val="00D779A2"/>
    <w:rsid w:val="00D77AF1"/>
    <w:rsid w:val="00D77B21"/>
    <w:rsid w:val="00D77BB5"/>
    <w:rsid w:val="00D77C62"/>
    <w:rsid w:val="00D77D0E"/>
    <w:rsid w:val="00D77D54"/>
    <w:rsid w:val="00D77D8C"/>
    <w:rsid w:val="00D77DBB"/>
    <w:rsid w:val="00D77E43"/>
    <w:rsid w:val="00D77E75"/>
    <w:rsid w:val="00D77E87"/>
    <w:rsid w:val="00D77ECC"/>
    <w:rsid w:val="00D77F31"/>
    <w:rsid w:val="00D80015"/>
    <w:rsid w:val="00D8013F"/>
    <w:rsid w:val="00D802B8"/>
    <w:rsid w:val="00D802CF"/>
    <w:rsid w:val="00D80338"/>
    <w:rsid w:val="00D803FE"/>
    <w:rsid w:val="00D804A2"/>
    <w:rsid w:val="00D8058C"/>
    <w:rsid w:val="00D8082D"/>
    <w:rsid w:val="00D809FD"/>
    <w:rsid w:val="00D80B9C"/>
    <w:rsid w:val="00D80C1C"/>
    <w:rsid w:val="00D80D36"/>
    <w:rsid w:val="00D80D85"/>
    <w:rsid w:val="00D80DBC"/>
    <w:rsid w:val="00D80EB2"/>
    <w:rsid w:val="00D80F02"/>
    <w:rsid w:val="00D80F48"/>
    <w:rsid w:val="00D80F68"/>
    <w:rsid w:val="00D80FEE"/>
    <w:rsid w:val="00D81023"/>
    <w:rsid w:val="00D81174"/>
    <w:rsid w:val="00D811B6"/>
    <w:rsid w:val="00D8120C"/>
    <w:rsid w:val="00D81238"/>
    <w:rsid w:val="00D81337"/>
    <w:rsid w:val="00D814A8"/>
    <w:rsid w:val="00D81914"/>
    <w:rsid w:val="00D8195D"/>
    <w:rsid w:val="00D81AFB"/>
    <w:rsid w:val="00D81C6A"/>
    <w:rsid w:val="00D81DB4"/>
    <w:rsid w:val="00D81F46"/>
    <w:rsid w:val="00D82097"/>
    <w:rsid w:val="00D8229D"/>
    <w:rsid w:val="00D82314"/>
    <w:rsid w:val="00D82443"/>
    <w:rsid w:val="00D82516"/>
    <w:rsid w:val="00D82563"/>
    <w:rsid w:val="00D825C1"/>
    <w:rsid w:val="00D826CD"/>
    <w:rsid w:val="00D82750"/>
    <w:rsid w:val="00D82766"/>
    <w:rsid w:val="00D82836"/>
    <w:rsid w:val="00D82925"/>
    <w:rsid w:val="00D829E9"/>
    <w:rsid w:val="00D82A4F"/>
    <w:rsid w:val="00D82AA7"/>
    <w:rsid w:val="00D82B0D"/>
    <w:rsid w:val="00D82B40"/>
    <w:rsid w:val="00D82B82"/>
    <w:rsid w:val="00D82D5A"/>
    <w:rsid w:val="00D82D64"/>
    <w:rsid w:val="00D82E46"/>
    <w:rsid w:val="00D82F8C"/>
    <w:rsid w:val="00D83039"/>
    <w:rsid w:val="00D830BF"/>
    <w:rsid w:val="00D83407"/>
    <w:rsid w:val="00D83445"/>
    <w:rsid w:val="00D8347C"/>
    <w:rsid w:val="00D834A7"/>
    <w:rsid w:val="00D83705"/>
    <w:rsid w:val="00D8380E"/>
    <w:rsid w:val="00D83912"/>
    <w:rsid w:val="00D83A0D"/>
    <w:rsid w:val="00D83B90"/>
    <w:rsid w:val="00D83F06"/>
    <w:rsid w:val="00D83F1D"/>
    <w:rsid w:val="00D83FAC"/>
    <w:rsid w:val="00D840EE"/>
    <w:rsid w:val="00D8410D"/>
    <w:rsid w:val="00D8413D"/>
    <w:rsid w:val="00D84182"/>
    <w:rsid w:val="00D841B9"/>
    <w:rsid w:val="00D84215"/>
    <w:rsid w:val="00D8427F"/>
    <w:rsid w:val="00D84303"/>
    <w:rsid w:val="00D843E6"/>
    <w:rsid w:val="00D8445C"/>
    <w:rsid w:val="00D84472"/>
    <w:rsid w:val="00D84496"/>
    <w:rsid w:val="00D84546"/>
    <w:rsid w:val="00D845F4"/>
    <w:rsid w:val="00D84708"/>
    <w:rsid w:val="00D847CD"/>
    <w:rsid w:val="00D848AA"/>
    <w:rsid w:val="00D84909"/>
    <w:rsid w:val="00D8491F"/>
    <w:rsid w:val="00D84A21"/>
    <w:rsid w:val="00D84A40"/>
    <w:rsid w:val="00D84B56"/>
    <w:rsid w:val="00D84BA4"/>
    <w:rsid w:val="00D84CAB"/>
    <w:rsid w:val="00D84D42"/>
    <w:rsid w:val="00D84D9E"/>
    <w:rsid w:val="00D84DFD"/>
    <w:rsid w:val="00D84E05"/>
    <w:rsid w:val="00D84EF4"/>
    <w:rsid w:val="00D84F17"/>
    <w:rsid w:val="00D84F83"/>
    <w:rsid w:val="00D850A9"/>
    <w:rsid w:val="00D8511D"/>
    <w:rsid w:val="00D85170"/>
    <w:rsid w:val="00D8535B"/>
    <w:rsid w:val="00D85477"/>
    <w:rsid w:val="00D855E3"/>
    <w:rsid w:val="00D85699"/>
    <w:rsid w:val="00D8570D"/>
    <w:rsid w:val="00D857B1"/>
    <w:rsid w:val="00D857E6"/>
    <w:rsid w:val="00D857FF"/>
    <w:rsid w:val="00D8584A"/>
    <w:rsid w:val="00D858CA"/>
    <w:rsid w:val="00D858FF"/>
    <w:rsid w:val="00D8591B"/>
    <w:rsid w:val="00D85A8A"/>
    <w:rsid w:val="00D85A95"/>
    <w:rsid w:val="00D85A99"/>
    <w:rsid w:val="00D85B6F"/>
    <w:rsid w:val="00D85C47"/>
    <w:rsid w:val="00D85C9A"/>
    <w:rsid w:val="00D85E31"/>
    <w:rsid w:val="00D85E74"/>
    <w:rsid w:val="00D85EC8"/>
    <w:rsid w:val="00D86009"/>
    <w:rsid w:val="00D86073"/>
    <w:rsid w:val="00D860B8"/>
    <w:rsid w:val="00D8646F"/>
    <w:rsid w:val="00D864C2"/>
    <w:rsid w:val="00D86614"/>
    <w:rsid w:val="00D86736"/>
    <w:rsid w:val="00D8673A"/>
    <w:rsid w:val="00D8674A"/>
    <w:rsid w:val="00D86811"/>
    <w:rsid w:val="00D8697C"/>
    <w:rsid w:val="00D86A14"/>
    <w:rsid w:val="00D86A3F"/>
    <w:rsid w:val="00D86D94"/>
    <w:rsid w:val="00D86E38"/>
    <w:rsid w:val="00D86E50"/>
    <w:rsid w:val="00D86EEA"/>
    <w:rsid w:val="00D86F1E"/>
    <w:rsid w:val="00D86FF7"/>
    <w:rsid w:val="00D87147"/>
    <w:rsid w:val="00D8715C"/>
    <w:rsid w:val="00D87426"/>
    <w:rsid w:val="00D87439"/>
    <w:rsid w:val="00D8747D"/>
    <w:rsid w:val="00D87504"/>
    <w:rsid w:val="00D8765C"/>
    <w:rsid w:val="00D8776D"/>
    <w:rsid w:val="00D877AB"/>
    <w:rsid w:val="00D87860"/>
    <w:rsid w:val="00D87921"/>
    <w:rsid w:val="00D879F7"/>
    <w:rsid w:val="00D87A01"/>
    <w:rsid w:val="00D87A57"/>
    <w:rsid w:val="00D87AA6"/>
    <w:rsid w:val="00D87AE4"/>
    <w:rsid w:val="00D87E0B"/>
    <w:rsid w:val="00D87E7D"/>
    <w:rsid w:val="00D90093"/>
    <w:rsid w:val="00D900DD"/>
    <w:rsid w:val="00D900FF"/>
    <w:rsid w:val="00D901E9"/>
    <w:rsid w:val="00D90217"/>
    <w:rsid w:val="00D9023B"/>
    <w:rsid w:val="00D9038F"/>
    <w:rsid w:val="00D903BB"/>
    <w:rsid w:val="00D90598"/>
    <w:rsid w:val="00D90780"/>
    <w:rsid w:val="00D907B9"/>
    <w:rsid w:val="00D90861"/>
    <w:rsid w:val="00D90906"/>
    <w:rsid w:val="00D90935"/>
    <w:rsid w:val="00D9094E"/>
    <w:rsid w:val="00D90B19"/>
    <w:rsid w:val="00D90BD7"/>
    <w:rsid w:val="00D90D14"/>
    <w:rsid w:val="00D90D31"/>
    <w:rsid w:val="00D90D3C"/>
    <w:rsid w:val="00D90FD3"/>
    <w:rsid w:val="00D90FEF"/>
    <w:rsid w:val="00D9104C"/>
    <w:rsid w:val="00D91059"/>
    <w:rsid w:val="00D910A3"/>
    <w:rsid w:val="00D91138"/>
    <w:rsid w:val="00D9115F"/>
    <w:rsid w:val="00D911DA"/>
    <w:rsid w:val="00D912B9"/>
    <w:rsid w:val="00D91457"/>
    <w:rsid w:val="00D914DF"/>
    <w:rsid w:val="00D9152A"/>
    <w:rsid w:val="00D91599"/>
    <w:rsid w:val="00D915F9"/>
    <w:rsid w:val="00D9161A"/>
    <w:rsid w:val="00D916AD"/>
    <w:rsid w:val="00D919B6"/>
    <w:rsid w:val="00D91A18"/>
    <w:rsid w:val="00D91A27"/>
    <w:rsid w:val="00D91A66"/>
    <w:rsid w:val="00D91A79"/>
    <w:rsid w:val="00D91B04"/>
    <w:rsid w:val="00D91CCD"/>
    <w:rsid w:val="00D91CD7"/>
    <w:rsid w:val="00D91DDB"/>
    <w:rsid w:val="00D91EB7"/>
    <w:rsid w:val="00D91EE8"/>
    <w:rsid w:val="00D91F86"/>
    <w:rsid w:val="00D91F8C"/>
    <w:rsid w:val="00D92075"/>
    <w:rsid w:val="00D92116"/>
    <w:rsid w:val="00D92201"/>
    <w:rsid w:val="00D9226A"/>
    <w:rsid w:val="00D922A6"/>
    <w:rsid w:val="00D92383"/>
    <w:rsid w:val="00D923F0"/>
    <w:rsid w:val="00D92413"/>
    <w:rsid w:val="00D92446"/>
    <w:rsid w:val="00D92484"/>
    <w:rsid w:val="00D9256F"/>
    <w:rsid w:val="00D92576"/>
    <w:rsid w:val="00D925F8"/>
    <w:rsid w:val="00D9269D"/>
    <w:rsid w:val="00D926B3"/>
    <w:rsid w:val="00D92777"/>
    <w:rsid w:val="00D928F3"/>
    <w:rsid w:val="00D92967"/>
    <w:rsid w:val="00D929F2"/>
    <w:rsid w:val="00D92A18"/>
    <w:rsid w:val="00D92A25"/>
    <w:rsid w:val="00D92AA3"/>
    <w:rsid w:val="00D92B37"/>
    <w:rsid w:val="00D92B66"/>
    <w:rsid w:val="00D92BFC"/>
    <w:rsid w:val="00D92C28"/>
    <w:rsid w:val="00D92C4C"/>
    <w:rsid w:val="00D92E49"/>
    <w:rsid w:val="00D92F1C"/>
    <w:rsid w:val="00D93235"/>
    <w:rsid w:val="00D9329F"/>
    <w:rsid w:val="00D93469"/>
    <w:rsid w:val="00D93513"/>
    <w:rsid w:val="00D9355B"/>
    <w:rsid w:val="00D9358D"/>
    <w:rsid w:val="00D936DA"/>
    <w:rsid w:val="00D93799"/>
    <w:rsid w:val="00D938C3"/>
    <w:rsid w:val="00D93A21"/>
    <w:rsid w:val="00D93A9D"/>
    <w:rsid w:val="00D93B2A"/>
    <w:rsid w:val="00D93B58"/>
    <w:rsid w:val="00D93BC6"/>
    <w:rsid w:val="00D93BCF"/>
    <w:rsid w:val="00D93CE7"/>
    <w:rsid w:val="00D93E29"/>
    <w:rsid w:val="00D93EC8"/>
    <w:rsid w:val="00D93F29"/>
    <w:rsid w:val="00D94074"/>
    <w:rsid w:val="00D94083"/>
    <w:rsid w:val="00D94129"/>
    <w:rsid w:val="00D941C7"/>
    <w:rsid w:val="00D94201"/>
    <w:rsid w:val="00D94261"/>
    <w:rsid w:val="00D942D2"/>
    <w:rsid w:val="00D942F0"/>
    <w:rsid w:val="00D943E5"/>
    <w:rsid w:val="00D94455"/>
    <w:rsid w:val="00D944E3"/>
    <w:rsid w:val="00D94670"/>
    <w:rsid w:val="00D94691"/>
    <w:rsid w:val="00D946A3"/>
    <w:rsid w:val="00D94730"/>
    <w:rsid w:val="00D9473B"/>
    <w:rsid w:val="00D94742"/>
    <w:rsid w:val="00D947D1"/>
    <w:rsid w:val="00D947E2"/>
    <w:rsid w:val="00D94823"/>
    <w:rsid w:val="00D9490B"/>
    <w:rsid w:val="00D9491E"/>
    <w:rsid w:val="00D94955"/>
    <w:rsid w:val="00D94A30"/>
    <w:rsid w:val="00D94A3C"/>
    <w:rsid w:val="00D94AD9"/>
    <w:rsid w:val="00D94BE9"/>
    <w:rsid w:val="00D94C93"/>
    <w:rsid w:val="00D94D3B"/>
    <w:rsid w:val="00D94D67"/>
    <w:rsid w:val="00D950A8"/>
    <w:rsid w:val="00D950C8"/>
    <w:rsid w:val="00D9510A"/>
    <w:rsid w:val="00D951BC"/>
    <w:rsid w:val="00D95201"/>
    <w:rsid w:val="00D95215"/>
    <w:rsid w:val="00D952FD"/>
    <w:rsid w:val="00D9537A"/>
    <w:rsid w:val="00D9537C"/>
    <w:rsid w:val="00D95514"/>
    <w:rsid w:val="00D955DC"/>
    <w:rsid w:val="00D9560A"/>
    <w:rsid w:val="00D956C1"/>
    <w:rsid w:val="00D957A8"/>
    <w:rsid w:val="00D95817"/>
    <w:rsid w:val="00D95A18"/>
    <w:rsid w:val="00D95A27"/>
    <w:rsid w:val="00D95AB7"/>
    <w:rsid w:val="00D95DC8"/>
    <w:rsid w:val="00D95E74"/>
    <w:rsid w:val="00D95EF3"/>
    <w:rsid w:val="00D96055"/>
    <w:rsid w:val="00D96143"/>
    <w:rsid w:val="00D96168"/>
    <w:rsid w:val="00D961B5"/>
    <w:rsid w:val="00D96582"/>
    <w:rsid w:val="00D96641"/>
    <w:rsid w:val="00D9666F"/>
    <w:rsid w:val="00D9669E"/>
    <w:rsid w:val="00D966F0"/>
    <w:rsid w:val="00D96708"/>
    <w:rsid w:val="00D96717"/>
    <w:rsid w:val="00D96957"/>
    <w:rsid w:val="00D96995"/>
    <w:rsid w:val="00D96B17"/>
    <w:rsid w:val="00D96BAE"/>
    <w:rsid w:val="00D96BBB"/>
    <w:rsid w:val="00D96D10"/>
    <w:rsid w:val="00D96D1A"/>
    <w:rsid w:val="00D96DA0"/>
    <w:rsid w:val="00D96F52"/>
    <w:rsid w:val="00D9705E"/>
    <w:rsid w:val="00D970BF"/>
    <w:rsid w:val="00D972A8"/>
    <w:rsid w:val="00D974FA"/>
    <w:rsid w:val="00D975EB"/>
    <w:rsid w:val="00D97620"/>
    <w:rsid w:val="00D97626"/>
    <w:rsid w:val="00D97631"/>
    <w:rsid w:val="00D976AB"/>
    <w:rsid w:val="00D97781"/>
    <w:rsid w:val="00D977A0"/>
    <w:rsid w:val="00D977E1"/>
    <w:rsid w:val="00D977F6"/>
    <w:rsid w:val="00D97851"/>
    <w:rsid w:val="00D9789A"/>
    <w:rsid w:val="00D9795F"/>
    <w:rsid w:val="00D97B48"/>
    <w:rsid w:val="00D97C17"/>
    <w:rsid w:val="00D97D58"/>
    <w:rsid w:val="00D97DC3"/>
    <w:rsid w:val="00D97E3F"/>
    <w:rsid w:val="00D97E80"/>
    <w:rsid w:val="00D97F04"/>
    <w:rsid w:val="00D97F0A"/>
    <w:rsid w:val="00D97F46"/>
    <w:rsid w:val="00DA000F"/>
    <w:rsid w:val="00DA002B"/>
    <w:rsid w:val="00DA017E"/>
    <w:rsid w:val="00DA01E1"/>
    <w:rsid w:val="00DA022A"/>
    <w:rsid w:val="00DA02D8"/>
    <w:rsid w:val="00DA0412"/>
    <w:rsid w:val="00DA045C"/>
    <w:rsid w:val="00DA04B8"/>
    <w:rsid w:val="00DA053C"/>
    <w:rsid w:val="00DA0672"/>
    <w:rsid w:val="00DA06F4"/>
    <w:rsid w:val="00DA073F"/>
    <w:rsid w:val="00DA08C7"/>
    <w:rsid w:val="00DA0981"/>
    <w:rsid w:val="00DA09A4"/>
    <w:rsid w:val="00DA09C0"/>
    <w:rsid w:val="00DA09DA"/>
    <w:rsid w:val="00DA0A35"/>
    <w:rsid w:val="00DA0BDD"/>
    <w:rsid w:val="00DA0C50"/>
    <w:rsid w:val="00DA0CA8"/>
    <w:rsid w:val="00DA0EA0"/>
    <w:rsid w:val="00DA0EBB"/>
    <w:rsid w:val="00DA10F9"/>
    <w:rsid w:val="00DA1105"/>
    <w:rsid w:val="00DA1124"/>
    <w:rsid w:val="00DA115D"/>
    <w:rsid w:val="00DA1208"/>
    <w:rsid w:val="00DA1209"/>
    <w:rsid w:val="00DA123A"/>
    <w:rsid w:val="00DA1407"/>
    <w:rsid w:val="00DA15D9"/>
    <w:rsid w:val="00DA1775"/>
    <w:rsid w:val="00DA18B3"/>
    <w:rsid w:val="00DA18CB"/>
    <w:rsid w:val="00DA1937"/>
    <w:rsid w:val="00DA193D"/>
    <w:rsid w:val="00DA19A3"/>
    <w:rsid w:val="00DA19C3"/>
    <w:rsid w:val="00DA1A3F"/>
    <w:rsid w:val="00DA1AAA"/>
    <w:rsid w:val="00DA1ABD"/>
    <w:rsid w:val="00DA1AF6"/>
    <w:rsid w:val="00DA1C06"/>
    <w:rsid w:val="00DA1C91"/>
    <w:rsid w:val="00DA1DEC"/>
    <w:rsid w:val="00DA1E9F"/>
    <w:rsid w:val="00DA1F5C"/>
    <w:rsid w:val="00DA2165"/>
    <w:rsid w:val="00DA216D"/>
    <w:rsid w:val="00DA2260"/>
    <w:rsid w:val="00DA2293"/>
    <w:rsid w:val="00DA22D3"/>
    <w:rsid w:val="00DA2336"/>
    <w:rsid w:val="00DA234C"/>
    <w:rsid w:val="00DA23A2"/>
    <w:rsid w:val="00DA23D1"/>
    <w:rsid w:val="00DA2431"/>
    <w:rsid w:val="00DA243A"/>
    <w:rsid w:val="00DA24AC"/>
    <w:rsid w:val="00DA251B"/>
    <w:rsid w:val="00DA259C"/>
    <w:rsid w:val="00DA25A0"/>
    <w:rsid w:val="00DA2612"/>
    <w:rsid w:val="00DA288B"/>
    <w:rsid w:val="00DA28BE"/>
    <w:rsid w:val="00DA2A3E"/>
    <w:rsid w:val="00DA2A9B"/>
    <w:rsid w:val="00DA2CBE"/>
    <w:rsid w:val="00DA2DC8"/>
    <w:rsid w:val="00DA2E2E"/>
    <w:rsid w:val="00DA2E49"/>
    <w:rsid w:val="00DA2EAC"/>
    <w:rsid w:val="00DA2EFD"/>
    <w:rsid w:val="00DA3025"/>
    <w:rsid w:val="00DA308C"/>
    <w:rsid w:val="00DA30C0"/>
    <w:rsid w:val="00DA31D0"/>
    <w:rsid w:val="00DA3254"/>
    <w:rsid w:val="00DA32D5"/>
    <w:rsid w:val="00DA33D7"/>
    <w:rsid w:val="00DA33DB"/>
    <w:rsid w:val="00DA3550"/>
    <w:rsid w:val="00DA35E4"/>
    <w:rsid w:val="00DA3694"/>
    <w:rsid w:val="00DA3721"/>
    <w:rsid w:val="00DA3738"/>
    <w:rsid w:val="00DA3758"/>
    <w:rsid w:val="00DA3A6B"/>
    <w:rsid w:val="00DA3AA5"/>
    <w:rsid w:val="00DA3B5F"/>
    <w:rsid w:val="00DA3BEB"/>
    <w:rsid w:val="00DA3C78"/>
    <w:rsid w:val="00DA3E02"/>
    <w:rsid w:val="00DA3EB4"/>
    <w:rsid w:val="00DA3EEE"/>
    <w:rsid w:val="00DA4020"/>
    <w:rsid w:val="00DA4071"/>
    <w:rsid w:val="00DA4175"/>
    <w:rsid w:val="00DA42AC"/>
    <w:rsid w:val="00DA430C"/>
    <w:rsid w:val="00DA433D"/>
    <w:rsid w:val="00DA438F"/>
    <w:rsid w:val="00DA43A7"/>
    <w:rsid w:val="00DA44EA"/>
    <w:rsid w:val="00DA4608"/>
    <w:rsid w:val="00DA4630"/>
    <w:rsid w:val="00DA46A9"/>
    <w:rsid w:val="00DA4725"/>
    <w:rsid w:val="00DA48A8"/>
    <w:rsid w:val="00DA48E0"/>
    <w:rsid w:val="00DA4932"/>
    <w:rsid w:val="00DA4955"/>
    <w:rsid w:val="00DA4983"/>
    <w:rsid w:val="00DA4A53"/>
    <w:rsid w:val="00DA4A7B"/>
    <w:rsid w:val="00DA4AB3"/>
    <w:rsid w:val="00DA4AF3"/>
    <w:rsid w:val="00DA4B0A"/>
    <w:rsid w:val="00DA4B22"/>
    <w:rsid w:val="00DA4CF7"/>
    <w:rsid w:val="00DA4D43"/>
    <w:rsid w:val="00DA4D50"/>
    <w:rsid w:val="00DA4DF3"/>
    <w:rsid w:val="00DA4E0A"/>
    <w:rsid w:val="00DA4E2B"/>
    <w:rsid w:val="00DA4E71"/>
    <w:rsid w:val="00DA5024"/>
    <w:rsid w:val="00DA50CD"/>
    <w:rsid w:val="00DA50DB"/>
    <w:rsid w:val="00DA5185"/>
    <w:rsid w:val="00DA519F"/>
    <w:rsid w:val="00DA51D1"/>
    <w:rsid w:val="00DA5343"/>
    <w:rsid w:val="00DA5362"/>
    <w:rsid w:val="00DA53F8"/>
    <w:rsid w:val="00DA54C0"/>
    <w:rsid w:val="00DA54E8"/>
    <w:rsid w:val="00DA55A4"/>
    <w:rsid w:val="00DA560F"/>
    <w:rsid w:val="00DA5678"/>
    <w:rsid w:val="00DA567E"/>
    <w:rsid w:val="00DA56AB"/>
    <w:rsid w:val="00DA56D2"/>
    <w:rsid w:val="00DA56D7"/>
    <w:rsid w:val="00DA5757"/>
    <w:rsid w:val="00DA58A6"/>
    <w:rsid w:val="00DA5934"/>
    <w:rsid w:val="00DA596A"/>
    <w:rsid w:val="00DA597A"/>
    <w:rsid w:val="00DA59BF"/>
    <w:rsid w:val="00DA5A69"/>
    <w:rsid w:val="00DA5A99"/>
    <w:rsid w:val="00DA5AAF"/>
    <w:rsid w:val="00DA5ACA"/>
    <w:rsid w:val="00DA5B96"/>
    <w:rsid w:val="00DA5CA9"/>
    <w:rsid w:val="00DA5D1C"/>
    <w:rsid w:val="00DA5D57"/>
    <w:rsid w:val="00DA5DAB"/>
    <w:rsid w:val="00DA5DAC"/>
    <w:rsid w:val="00DA5EA5"/>
    <w:rsid w:val="00DA5EB5"/>
    <w:rsid w:val="00DA5F02"/>
    <w:rsid w:val="00DA5F3A"/>
    <w:rsid w:val="00DA5F61"/>
    <w:rsid w:val="00DA5FCC"/>
    <w:rsid w:val="00DA6008"/>
    <w:rsid w:val="00DA6009"/>
    <w:rsid w:val="00DA60F4"/>
    <w:rsid w:val="00DA613E"/>
    <w:rsid w:val="00DA613F"/>
    <w:rsid w:val="00DA618E"/>
    <w:rsid w:val="00DA61E6"/>
    <w:rsid w:val="00DA6230"/>
    <w:rsid w:val="00DA62D1"/>
    <w:rsid w:val="00DA6363"/>
    <w:rsid w:val="00DA640D"/>
    <w:rsid w:val="00DA644F"/>
    <w:rsid w:val="00DA648F"/>
    <w:rsid w:val="00DA6607"/>
    <w:rsid w:val="00DA66CD"/>
    <w:rsid w:val="00DA6736"/>
    <w:rsid w:val="00DA67CA"/>
    <w:rsid w:val="00DA67FD"/>
    <w:rsid w:val="00DA6834"/>
    <w:rsid w:val="00DA6877"/>
    <w:rsid w:val="00DA6976"/>
    <w:rsid w:val="00DA69DE"/>
    <w:rsid w:val="00DA6B36"/>
    <w:rsid w:val="00DA6C0A"/>
    <w:rsid w:val="00DA6CA5"/>
    <w:rsid w:val="00DA6F70"/>
    <w:rsid w:val="00DA6FCC"/>
    <w:rsid w:val="00DA7190"/>
    <w:rsid w:val="00DA71CE"/>
    <w:rsid w:val="00DA7213"/>
    <w:rsid w:val="00DA724B"/>
    <w:rsid w:val="00DA7349"/>
    <w:rsid w:val="00DA7426"/>
    <w:rsid w:val="00DA767F"/>
    <w:rsid w:val="00DA772A"/>
    <w:rsid w:val="00DA77B3"/>
    <w:rsid w:val="00DA7882"/>
    <w:rsid w:val="00DA79ED"/>
    <w:rsid w:val="00DA79FF"/>
    <w:rsid w:val="00DA7B4A"/>
    <w:rsid w:val="00DA7BDD"/>
    <w:rsid w:val="00DA7FF0"/>
    <w:rsid w:val="00DB009E"/>
    <w:rsid w:val="00DB00CA"/>
    <w:rsid w:val="00DB0149"/>
    <w:rsid w:val="00DB0211"/>
    <w:rsid w:val="00DB0267"/>
    <w:rsid w:val="00DB034E"/>
    <w:rsid w:val="00DB0360"/>
    <w:rsid w:val="00DB0489"/>
    <w:rsid w:val="00DB0579"/>
    <w:rsid w:val="00DB059D"/>
    <w:rsid w:val="00DB05A7"/>
    <w:rsid w:val="00DB05B5"/>
    <w:rsid w:val="00DB0647"/>
    <w:rsid w:val="00DB0717"/>
    <w:rsid w:val="00DB07D7"/>
    <w:rsid w:val="00DB093B"/>
    <w:rsid w:val="00DB0A0D"/>
    <w:rsid w:val="00DB0A69"/>
    <w:rsid w:val="00DB0A86"/>
    <w:rsid w:val="00DB0B50"/>
    <w:rsid w:val="00DB0D4B"/>
    <w:rsid w:val="00DB0E2F"/>
    <w:rsid w:val="00DB0F27"/>
    <w:rsid w:val="00DB0F4B"/>
    <w:rsid w:val="00DB102B"/>
    <w:rsid w:val="00DB1069"/>
    <w:rsid w:val="00DB11E8"/>
    <w:rsid w:val="00DB12EE"/>
    <w:rsid w:val="00DB1519"/>
    <w:rsid w:val="00DB155D"/>
    <w:rsid w:val="00DB15E6"/>
    <w:rsid w:val="00DB163A"/>
    <w:rsid w:val="00DB1682"/>
    <w:rsid w:val="00DB186D"/>
    <w:rsid w:val="00DB1948"/>
    <w:rsid w:val="00DB1B25"/>
    <w:rsid w:val="00DB1B27"/>
    <w:rsid w:val="00DB1B4C"/>
    <w:rsid w:val="00DB1BF0"/>
    <w:rsid w:val="00DB1C02"/>
    <w:rsid w:val="00DB1D67"/>
    <w:rsid w:val="00DB1DF3"/>
    <w:rsid w:val="00DB1E2C"/>
    <w:rsid w:val="00DB1E36"/>
    <w:rsid w:val="00DB1E60"/>
    <w:rsid w:val="00DB1FE1"/>
    <w:rsid w:val="00DB214D"/>
    <w:rsid w:val="00DB22EC"/>
    <w:rsid w:val="00DB24DB"/>
    <w:rsid w:val="00DB25D5"/>
    <w:rsid w:val="00DB2626"/>
    <w:rsid w:val="00DB2637"/>
    <w:rsid w:val="00DB289E"/>
    <w:rsid w:val="00DB28BB"/>
    <w:rsid w:val="00DB28C2"/>
    <w:rsid w:val="00DB29D8"/>
    <w:rsid w:val="00DB2A14"/>
    <w:rsid w:val="00DB2A57"/>
    <w:rsid w:val="00DB2B75"/>
    <w:rsid w:val="00DB2C29"/>
    <w:rsid w:val="00DB2C8A"/>
    <w:rsid w:val="00DB2DE6"/>
    <w:rsid w:val="00DB3050"/>
    <w:rsid w:val="00DB3079"/>
    <w:rsid w:val="00DB30E8"/>
    <w:rsid w:val="00DB3111"/>
    <w:rsid w:val="00DB3343"/>
    <w:rsid w:val="00DB338F"/>
    <w:rsid w:val="00DB33E4"/>
    <w:rsid w:val="00DB3509"/>
    <w:rsid w:val="00DB358F"/>
    <w:rsid w:val="00DB359E"/>
    <w:rsid w:val="00DB35A0"/>
    <w:rsid w:val="00DB35AE"/>
    <w:rsid w:val="00DB35B8"/>
    <w:rsid w:val="00DB368B"/>
    <w:rsid w:val="00DB37F1"/>
    <w:rsid w:val="00DB381E"/>
    <w:rsid w:val="00DB387A"/>
    <w:rsid w:val="00DB38C2"/>
    <w:rsid w:val="00DB39BB"/>
    <w:rsid w:val="00DB3B41"/>
    <w:rsid w:val="00DB3CA9"/>
    <w:rsid w:val="00DB3D03"/>
    <w:rsid w:val="00DB3F07"/>
    <w:rsid w:val="00DB3F31"/>
    <w:rsid w:val="00DB3F74"/>
    <w:rsid w:val="00DB3F7B"/>
    <w:rsid w:val="00DB3F86"/>
    <w:rsid w:val="00DB4083"/>
    <w:rsid w:val="00DB4212"/>
    <w:rsid w:val="00DB4365"/>
    <w:rsid w:val="00DB44A0"/>
    <w:rsid w:val="00DB4576"/>
    <w:rsid w:val="00DB465B"/>
    <w:rsid w:val="00DB4694"/>
    <w:rsid w:val="00DB46F2"/>
    <w:rsid w:val="00DB4724"/>
    <w:rsid w:val="00DB47CF"/>
    <w:rsid w:val="00DB4837"/>
    <w:rsid w:val="00DB49E5"/>
    <w:rsid w:val="00DB4ABB"/>
    <w:rsid w:val="00DB4CC1"/>
    <w:rsid w:val="00DB4DEA"/>
    <w:rsid w:val="00DB4E4E"/>
    <w:rsid w:val="00DB4E74"/>
    <w:rsid w:val="00DB4F05"/>
    <w:rsid w:val="00DB4FB6"/>
    <w:rsid w:val="00DB5050"/>
    <w:rsid w:val="00DB51E5"/>
    <w:rsid w:val="00DB51F5"/>
    <w:rsid w:val="00DB52DA"/>
    <w:rsid w:val="00DB53C1"/>
    <w:rsid w:val="00DB53FE"/>
    <w:rsid w:val="00DB54F5"/>
    <w:rsid w:val="00DB5503"/>
    <w:rsid w:val="00DB551C"/>
    <w:rsid w:val="00DB551F"/>
    <w:rsid w:val="00DB55B7"/>
    <w:rsid w:val="00DB55E5"/>
    <w:rsid w:val="00DB5682"/>
    <w:rsid w:val="00DB56F7"/>
    <w:rsid w:val="00DB592B"/>
    <w:rsid w:val="00DB59DD"/>
    <w:rsid w:val="00DB5AA2"/>
    <w:rsid w:val="00DB5B7B"/>
    <w:rsid w:val="00DB5CD3"/>
    <w:rsid w:val="00DB5CF5"/>
    <w:rsid w:val="00DB5D81"/>
    <w:rsid w:val="00DB5DA1"/>
    <w:rsid w:val="00DB5EBE"/>
    <w:rsid w:val="00DB5F41"/>
    <w:rsid w:val="00DB5FB8"/>
    <w:rsid w:val="00DB61E9"/>
    <w:rsid w:val="00DB6417"/>
    <w:rsid w:val="00DB644F"/>
    <w:rsid w:val="00DB6561"/>
    <w:rsid w:val="00DB66CB"/>
    <w:rsid w:val="00DB6877"/>
    <w:rsid w:val="00DB689D"/>
    <w:rsid w:val="00DB69DD"/>
    <w:rsid w:val="00DB6A35"/>
    <w:rsid w:val="00DB6A6F"/>
    <w:rsid w:val="00DB6BE2"/>
    <w:rsid w:val="00DB6C41"/>
    <w:rsid w:val="00DB6C54"/>
    <w:rsid w:val="00DB6CD0"/>
    <w:rsid w:val="00DB6D3B"/>
    <w:rsid w:val="00DB6D48"/>
    <w:rsid w:val="00DB6D56"/>
    <w:rsid w:val="00DB6E64"/>
    <w:rsid w:val="00DB6F51"/>
    <w:rsid w:val="00DB6FB0"/>
    <w:rsid w:val="00DB6FD9"/>
    <w:rsid w:val="00DB7040"/>
    <w:rsid w:val="00DB7085"/>
    <w:rsid w:val="00DB708B"/>
    <w:rsid w:val="00DB709B"/>
    <w:rsid w:val="00DB7140"/>
    <w:rsid w:val="00DB716D"/>
    <w:rsid w:val="00DB71AA"/>
    <w:rsid w:val="00DB71C0"/>
    <w:rsid w:val="00DB71D7"/>
    <w:rsid w:val="00DB72B8"/>
    <w:rsid w:val="00DB7349"/>
    <w:rsid w:val="00DB7366"/>
    <w:rsid w:val="00DB7452"/>
    <w:rsid w:val="00DB750F"/>
    <w:rsid w:val="00DB75B2"/>
    <w:rsid w:val="00DB7669"/>
    <w:rsid w:val="00DB76B4"/>
    <w:rsid w:val="00DB77C7"/>
    <w:rsid w:val="00DB7821"/>
    <w:rsid w:val="00DB78AC"/>
    <w:rsid w:val="00DB78BD"/>
    <w:rsid w:val="00DB7B3E"/>
    <w:rsid w:val="00DB7B5B"/>
    <w:rsid w:val="00DB7BFE"/>
    <w:rsid w:val="00DB7C61"/>
    <w:rsid w:val="00DB7CBD"/>
    <w:rsid w:val="00DB7D67"/>
    <w:rsid w:val="00DB7E91"/>
    <w:rsid w:val="00DB7FA5"/>
    <w:rsid w:val="00DB7FEB"/>
    <w:rsid w:val="00DC0277"/>
    <w:rsid w:val="00DC02EB"/>
    <w:rsid w:val="00DC02F5"/>
    <w:rsid w:val="00DC035A"/>
    <w:rsid w:val="00DC04A5"/>
    <w:rsid w:val="00DC0555"/>
    <w:rsid w:val="00DC062B"/>
    <w:rsid w:val="00DC062F"/>
    <w:rsid w:val="00DC0688"/>
    <w:rsid w:val="00DC0753"/>
    <w:rsid w:val="00DC0991"/>
    <w:rsid w:val="00DC0A2F"/>
    <w:rsid w:val="00DC0B1B"/>
    <w:rsid w:val="00DC0B71"/>
    <w:rsid w:val="00DC0B72"/>
    <w:rsid w:val="00DC0C55"/>
    <w:rsid w:val="00DC0D7A"/>
    <w:rsid w:val="00DC0DB9"/>
    <w:rsid w:val="00DC0DE7"/>
    <w:rsid w:val="00DC0E54"/>
    <w:rsid w:val="00DC0EBD"/>
    <w:rsid w:val="00DC0ECE"/>
    <w:rsid w:val="00DC0EFF"/>
    <w:rsid w:val="00DC1040"/>
    <w:rsid w:val="00DC10B1"/>
    <w:rsid w:val="00DC1140"/>
    <w:rsid w:val="00DC11AD"/>
    <w:rsid w:val="00DC1260"/>
    <w:rsid w:val="00DC1357"/>
    <w:rsid w:val="00DC148E"/>
    <w:rsid w:val="00DC14B9"/>
    <w:rsid w:val="00DC14DB"/>
    <w:rsid w:val="00DC1524"/>
    <w:rsid w:val="00DC1587"/>
    <w:rsid w:val="00DC15CD"/>
    <w:rsid w:val="00DC1660"/>
    <w:rsid w:val="00DC171B"/>
    <w:rsid w:val="00DC1809"/>
    <w:rsid w:val="00DC183D"/>
    <w:rsid w:val="00DC18E1"/>
    <w:rsid w:val="00DC1919"/>
    <w:rsid w:val="00DC1A21"/>
    <w:rsid w:val="00DC1A97"/>
    <w:rsid w:val="00DC1B40"/>
    <w:rsid w:val="00DC1B41"/>
    <w:rsid w:val="00DC1BAF"/>
    <w:rsid w:val="00DC1D34"/>
    <w:rsid w:val="00DC1D3B"/>
    <w:rsid w:val="00DC1F1D"/>
    <w:rsid w:val="00DC1F6B"/>
    <w:rsid w:val="00DC1FC3"/>
    <w:rsid w:val="00DC2021"/>
    <w:rsid w:val="00DC205A"/>
    <w:rsid w:val="00DC2079"/>
    <w:rsid w:val="00DC238A"/>
    <w:rsid w:val="00DC23AF"/>
    <w:rsid w:val="00DC2448"/>
    <w:rsid w:val="00DC2562"/>
    <w:rsid w:val="00DC27E0"/>
    <w:rsid w:val="00DC2943"/>
    <w:rsid w:val="00DC2A15"/>
    <w:rsid w:val="00DC2C48"/>
    <w:rsid w:val="00DC2C4E"/>
    <w:rsid w:val="00DC2CEA"/>
    <w:rsid w:val="00DC2FD3"/>
    <w:rsid w:val="00DC307A"/>
    <w:rsid w:val="00DC307C"/>
    <w:rsid w:val="00DC30E0"/>
    <w:rsid w:val="00DC3118"/>
    <w:rsid w:val="00DC317D"/>
    <w:rsid w:val="00DC31E5"/>
    <w:rsid w:val="00DC320D"/>
    <w:rsid w:val="00DC3278"/>
    <w:rsid w:val="00DC3320"/>
    <w:rsid w:val="00DC3325"/>
    <w:rsid w:val="00DC33CB"/>
    <w:rsid w:val="00DC35F3"/>
    <w:rsid w:val="00DC3658"/>
    <w:rsid w:val="00DC368A"/>
    <w:rsid w:val="00DC36CA"/>
    <w:rsid w:val="00DC3722"/>
    <w:rsid w:val="00DC3851"/>
    <w:rsid w:val="00DC3876"/>
    <w:rsid w:val="00DC3913"/>
    <w:rsid w:val="00DC39C7"/>
    <w:rsid w:val="00DC39CB"/>
    <w:rsid w:val="00DC3AA9"/>
    <w:rsid w:val="00DC3B9C"/>
    <w:rsid w:val="00DC3BB2"/>
    <w:rsid w:val="00DC3BCE"/>
    <w:rsid w:val="00DC3BCF"/>
    <w:rsid w:val="00DC3BE0"/>
    <w:rsid w:val="00DC3CF0"/>
    <w:rsid w:val="00DC3D96"/>
    <w:rsid w:val="00DC3DBB"/>
    <w:rsid w:val="00DC3DDB"/>
    <w:rsid w:val="00DC3E84"/>
    <w:rsid w:val="00DC3F30"/>
    <w:rsid w:val="00DC4031"/>
    <w:rsid w:val="00DC40E5"/>
    <w:rsid w:val="00DC4274"/>
    <w:rsid w:val="00DC4290"/>
    <w:rsid w:val="00DC4345"/>
    <w:rsid w:val="00DC4361"/>
    <w:rsid w:val="00DC4453"/>
    <w:rsid w:val="00DC4497"/>
    <w:rsid w:val="00DC44DD"/>
    <w:rsid w:val="00DC4502"/>
    <w:rsid w:val="00DC45B9"/>
    <w:rsid w:val="00DC46E0"/>
    <w:rsid w:val="00DC47B5"/>
    <w:rsid w:val="00DC48D2"/>
    <w:rsid w:val="00DC49C1"/>
    <w:rsid w:val="00DC4A85"/>
    <w:rsid w:val="00DC4AAF"/>
    <w:rsid w:val="00DC4C19"/>
    <w:rsid w:val="00DC4E74"/>
    <w:rsid w:val="00DC4E88"/>
    <w:rsid w:val="00DC4F03"/>
    <w:rsid w:val="00DC4F7B"/>
    <w:rsid w:val="00DC4FBB"/>
    <w:rsid w:val="00DC4FDD"/>
    <w:rsid w:val="00DC5310"/>
    <w:rsid w:val="00DC53F5"/>
    <w:rsid w:val="00DC550F"/>
    <w:rsid w:val="00DC55FD"/>
    <w:rsid w:val="00DC56AC"/>
    <w:rsid w:val="00DC56D0"/>
    <w:rsid w:val="00DC57BD"/>
    <w:rsid w:val="00DC599B"/>
    <w:rsid w:val="00DC5A3C"/>
    <w:rsid w:val="00DC5B4A"/>
    <w:rsid w:val="00DC5BC8"/>
    <w:rsid w:val="00DC5D31"/>
    <w:rsid w:val="00DC5D72"/>
    <w:rsid w:val="00DC5DB7"/>
    <w:rsid w:val="00DC5DDC"/>
    <w:rsid w:val="00DC5DFF"/>
    <w:rsid w:val="00DC5EE6"/>
    <w:rsid w:val="00DC5F7F"/>
    <w:rsid w:val="00DC603D"/>
    <w:rsid w:val="00DC60E6"/>
    <w:rsid w:val="00DC60F0"/>
    <w:rsid w:val="00DC6124"/>
    <w:rsid w:val="00DC61A0"/>
    <w:rsid w:val="00DC62DF"/>
    <w:rsid w:val="00DC6319"/>
    <w:rsid w:val="00DC6356"/>
    <w:rsid w:val="00DC6455"/>
    <w:rsid w:val="00DC64A6"/>
    <w:rsid w:val="00DC64D5"/>
    <w:rsid w:val="00DC653C"/>
    <w:rsid w:val="00DC653E"/>
    <w:rsid w:val="00DC6549"/>
    <w:rsid w:val="00DC65AD"/>
    <w:rsid w:val="00DC67B3"/>
    <w:rsid w:val="00DC67BD"/>
    <w:rsid w:val="00DC68F2"/>
    <w:rsid w:val="00DC69C5"/>
    <w:rsid w:val="00DC6A86"/>
    <w:rsid w:val="00DC6B2C"/>
    <w:rsid w:val="00DC6BBD"/>
    <w:rsid w:val="00DC6C44"/>
    <w:rsid w:val="00DC6C60"/>
    <w:rsid w:val="00DC6CAC"/>
    <w:rsid w:val="00DC6D1B"/>
    <w:rsid w:val="00DC6D33"/>
    <w:rsid w:val="00DC6D9D"/>
    <w:rsid w:val="00DC6EAD"/>
    <w:rsid w:val="00DC6FAF"/>
    <w:rsid w:val="00DC70D9"/>
    <w:rsid w:val="00DC71B7"/>
    <w:rsid w:val="00DC7258"/>
    <w:rsid w:val="00DC7290"/>
    <w:rsid w:val="00DC737A"/>
    <w:rsid w:val="00DC73BE"/>
    <w:rsid w:val="00DC73BF"/>
    <w:rsid w:val="00DC74AF"/>
    <w:rsid w:val="00DC74F4"/>
    <w:rsid w:val="00DC759D"/>
    <w:rsid w:val="00DC761B"/>
    <w:rsid w:val="00DC76C0"/>
    <w:rsid w:val="00DC781C"/>
    <w:rsid w:val="00DC785F"/>
    <w:rsid w:val="00DC789E"/>
    <w:rsid w:val="00DC7953"/>
    <w:rsid w:val="00DC797E"/>
    <w:rsid w:val="00DC79CA"/>
    <w:rsid w:val="00DC79E9"/>
    <w:rsid w:val="00DC7A06"/>
    <w:rsid w:val="00DC7ADF"/>
    <w:rsid w:val="00DC7B1D"/>
    <w:rsid w:val="00DC7B56"/>
    <w:rsid w:val="00DC7B61"/>
    <w:rsid w:val="00DC7B72"/>
    <w:rsid w:val="00DC7B90"/>
    <w:rsid w:val="00DC7D3E"/>
    <w:rsid w:val="00DC7D41"/>
    <w:rsid w:val="00DC7D6F"/>
    <w:rsid w:val="00DC7F5A"/>
    <w:rsid w:val="00DD0055"/>
    <w:rsid w:val="00DD00E9"/>
    <w:rsid w:val="00DD00FA"/>
    <w:rsid w:val="00DD043C"/>
    <w:rsid w:val="00DD0567"/>
    <w:rsid w:val="00DD0698"/>
    <w:rsid w:val="00DD075E"/>
    <w:rsid w:val="00DD07DD"/>
    <w:rsid w:val="00DD07FD"/>
    <w:rsid w:val="00DD0845"/>
    <w:rsid w:val="00DD087D"/>
    <w:rsid w:val="00DD0991"/>
    <w:rsid w:val="00DD0B2B"/>
    <w:rsid w:val="00DD0B7B"/>
    <w:rsid w:val="00DD0BCC"/>
    <w:rsid w:val="00DD0BE1"/>
    <w:rsid w:val="00DD0C25"/>
    <w:rsid w:val="00DD0CDA"/>
    <w:rsid w:val="00DD0CEE"/>
    <w:rsid w:val="00DD0D4D"/>
    <w:rsid w:val="00DD0F36"/>
    <w:rsid w:val="00DD104A"/>
    <w:rsid w:val="00DD10FB"/>
    <w:rsid w:val="00DD1219"/>
    <w:rsid w:val="00DD124C"/>
    <w:rsid w:val="00DD127B"/>
    <w:rsid w:val="00DD127C"/>
    <w:rsid w:val="00DD1407"/>
    <w:rsid w:val="00DD1493"/>
    <w:rsid w:val="00DD18FF"/>
    <w:rsid w:val="00DD1A92"/>
    <w:rsid w:val="00DD1AB8"/>
    <w:rsid w:val="00DD1B21"/>
    <w:rsid w:val="00DD1C73"/>
    <w:rsid w:val="00DD1CBF"/>
    <w:rsid w:val="00DD1CFC"/>
    <w:rsid w:val="00DD1D46"/>
    <w:rsid w:val="00DD1D47"/>
    <w:rsid w:val="00DD1D8B"/>
    <w:rsid w:val="00DD1DBC"/>
    <w:rsid w:val="00DD1DF8"/>
    <w:rsid w:val="00DD1F55"/>
    <w:rsid w:val="00DD2051"/>
    <w:rsid w:val="00DD21E0"/>
    <w:rsid w:val="00DD2215"/>
    <w:rsid w:val="00DD2216"/>
    <w:rsid w:val="00DD221F"/>
    <w:rsid w:val="00DD2257"/>
    <w:rsid w:val="00DD2289"/>
    <w:rsid w:val="00DD22BB"/>
    <w:rsid w:val="00DD22BF"/>
    <w:rsid w:val="00DD231B"/>
    <w:rsid w:val="00DD2548"/>
    <w:rsid w:val="00DD25E8"/>
    <w:rsid w:val="00DD2610"/>
    <w:rsid w:val="00DD262C"/>
    <w:rsid w:val="00DD2646"/>
    <w:rsid w:val="00DD269D"/>
    <w:rsid w:val="00DD26F5"/>
    <w:rsid w:val="00DD270F"/>
    <w:rsid w:val="00DD27A9"/>
    <w:rsid w:val="00DD2868"/>
    <w:rsid w:val="00DD2979"/>
    <w:rsid w:val="00DD2AA9"/>
    <w:rsid w:val="00DD2ACE"/>
    <w:rsid w:val="00DD2C25"/>
    <w:rsid w:val="00DD2C6E"/>
    <w:rsid w:val="00DD2C8C"/>
    <w:rsid w:val="00DD2DCD"/>
    <w:rsid w:val="00DD2E18"/>
    <w:rsid w:val="00DD2EAE"/>
    <w:rsid w:val="00DD2F32"/>
    <w:rsid w:val="00DD2F58"/>
    <w:rsid w:val="00DD2FC2"/>
    <w:rsid w:val="00DD30A7"/>
    <w:rsid w:val="00DD3145"/>
    <w:rsid w:val="00DD31D4"/>
    <w:rsid w:val="00DD3268"/>
    <w:rsid w:val="00DD32BA"/>
    <w:rsid w:val="00DD3323"/>
    <w:rsid w:val="00DD33DC"/>
    <w:rsid w:val="00DD3428"/>
    <w:rsid w:val="00DD342C"/>
    <w:rsid w:val="00DD3482"/>
    <w:rsid w:val="00DD34A0"/>
    <w:rsid w:val="00DD3504"/>
    <w:rsid w:val="00DD35D9"/>
    <w:rsid w:val="00DD3677"/>
    <w:rsid w:val="00DD369E"/>
    <w:rsid w:val="00DD37B3"/>
    <w:rsid w:val="00DD37BD"/>
    <w:rsid w:val="00DD386F"/>
    <w:rsid w:val="00DD398B"/>
    <w:rsid w:val="00DD3B81"/>
    <w:rsid w:val="00DD3C77"/>
    <w:rsid w:val="00DD3C91"/>
    <w:rsid w:val="00DD3E19"/>
    <w:rsid w:val="00DD3E1E"/>
    <w:rsid w:val="00DD3E22"/>
    <w:rsid w:val="00DD3E47"/>
    <w:rsid w:val="00DD3E86"/>
    <w:rsid w:val="00DD4018"/>
    <w:rsid w:val="00DD40C9"/>
    <w:rsid w:val="00DD4115"/>
    <w:rsid w:val="00DD4194"/>
    <w:rsid w:val="00DD41A9"/>
    <w:rsid w:val="00DD41CE"/>
    <w:rsid w:val="00DD41FC"/>
    <w:rsid w:val="00DD42AF"/>
    <w:rsid w:val="00DD434E"/>
    <w:rsid w:val="00DD449A"/>
    <w:rsid w:val="00DD44B5"/>
    <w:rsid w:val="00DD459F"/>
    <w:rsid w:val="00DD4663"/>
    <w:rsid w:val="00DD4666"/>
    <w:rsid w:val="00DD46E8"/>
    <w:rsid w:val="00DD4707"/>
    <w:rsid w:val="00DD4856"/>
    <w:rsid w:val="00DD4BAC"/>
    <w:rsid w:val="00DD4D2B"/>
    <w:rsid w:val="00DD4D76"/>
    <w:rsid w:val="00DD4DA2"/>
    <w:rsid w:val="00DD4DDF"/>
    <w:rsid w:val="00DD4E87"/>
    <w:rsid w:val="00DD4EB0"/>
    <w:rsid w:val="00DD4F49"/>
    <w:rsid w:val="00DD4FC8"/>
    <w:rsid w:val="00DD5015"/>
    <w:rsid w:val="00DD5161"/>
    <w:rsid w:val="00DD53EE"/>
    <w:rsid w:val="00DD5439"/>
    <w:rsid w:val="00DD553A"/>
    <w:rsid w:val="00DD5554"/>
    <w:rsid w:val="00DD55B7"/>
    <w:rsid w:val="00DD566A"/>
    <w:rsid w:val="00DD56B2"/>
    <w:rsid w:val="00DD5820"/>
    <w:rsid w:val="00DD584E"/>
    <w:rsid w:val="00DD5872"/>
    <w:rsid w:val="00DD58F1"/>
    <w:rsid w:val="00DD5A50"/>
    <w:rsid w:val="00DD5A51"/>
    <w:rsid w:val="00DD5BD7"/>
    <w:rsid w:val="00DD5C89"/>
    <w:rsid w:val="00DD5C98"/>
    <w:rsid w:val="00DD5F9D"/>
    <w:rsid w:val="00DD602A"/>
    <w:rsid w:val="00DD6048"/>
    <w:rsid w:val="00DD60A3"/>
    <w:rsid w:val="00DD6212"/>
    <w:rsid w:val="00DD622A"/>
    <w:rsid w:val="00DD623E"/>
    <w:rsid w:val="00DD6277"/>
    <w:rsid w:val="00DD6342"/>
    <w:rsid w:val="00DD6506"/>
    <w:rsid w:val="00DD66AC"/>
    <w:rsid w:val="00DD6739"/>
    <w:rsid w:val="00DD6A76"/>
    <w:rsid w:val="00DD6B3F"/>
    <w:rsid w:val="00DD6B60"/>
    <w:rsid w:val="00DD6B65"/>
    <w:rsid w:val="00DD6BE5"/>
    <w:rsid w:val="00DD6C7F"/>
    <w:rsid w:val="00DD6E31"/>
    <w:rsid w:val="00DD6F66"/>
    <w:rsid w:val="00DD70BE"/>
    <w:rsid w:val="00DD726F"/>
    <w:rsid w:val="00DD72A8"/>
    <w:rsid w:val="00DD72C6"/>
    <w:rsid w:val="00DD730B"/>
    <w:rsid w:val="00DD737D"/>
    <w:rsid w:val="00DD7384"/>
    <w:rsid w:val="00DD7385"/>
    <w:rsid w:val="00DD73FC"/>
    <w:rsid w:val="00DD7480"/>
    <w:rsid w:val="00DD74A9"/>
    <w:rsid w:val="00DD74AC"/>
    <w:rsid w:val="00DD7557"/>
    <w:rsid w:val="00DD760C"/>
    <w:rsid w:val="00DD76B8"/>
    <w:rsid w:val="00DD7797"/>
    <w:rsid w:val="00DD7841"/>
    <w:rsid w:val="00DD7851"/>
    <w:rsid w:val="00DD7869"/>
    <w:rsid w:val="00DD794D"/>
    <w:rsid w:val="00DD79C9"/>
    <w:rsid w:val="00DD7ACE"/>
    <w:rsid w:val="00DD7B13"/>
    <w:rsid w:val="00DD7B78"/>
    <w:rsid w:val="00DD7BB9"/>
    <w:rsid w:val="00DD7BEE"/>
    <w:rsid w:val="00DD7C8A"/>
    <w:rsid w:val="00DD7D39"/>
    <w:rsid w:val="00DD7E84"/>
    <w:rsid w:val="00DD7F8F"/>
    <w:rsid w:val="00DD7FBC"/>
    <w:rsid w:val="00DD7FC4"/>
    <w:rsid w:val="00DD7FC8"/>
    <w:rsid w:val="00DE00A9"/>
    <w:rsid w:val="00DE015C"/>
    <w:rsid w:val="00DE0182"/>
    <w:rsid w:val="00DE03A6"/>
    <w:rsid w:val="00DE03BB"/>
    <w:rsid w:val="00DE0408"/>
    <w:rsid w:val="00DE0549"/>
    <w:rsid w:val="00DE058E"/>
    <w:rsid w:val="00DE068D"/>
    <w:rsid w:val="00DE069F"/>
    <w:rsid w:val="00DE06D0"/>
    <w:rsid w:val="00DE0823"/>
    <w:rsid w:val="00DE085C"/>
    <w:rsid w:val="00DE085F"/>
    <w:rsid w:val="00DE096B"/>
    <w:rsid w:val="00DE09FC"/>
    <w:rsid w:val="00DE0B76"/>
    <w:rsid w:val="00DE0BDB"/>
    <w:rsid w:val="00DE0C55"/>
    <w:rsid w:val="00DE0D10"/>
    <w:rsid w:val="00DE0D26"/>
    <w:rsid w:val="00DE0D6F"/>
    <w:rsid w:val="00DE0D8D"/>
    <w:rsid w:val="00DE0DB3"/>
    <w:rsid w:val="00DE0E39"/>
    <w:rsid w:val="00DE0EB9"/>
    <w:rsid w:val="00DE0F54"/>
    <w:rsid w:val="00DE1007"/>
    <w:rsid w:val="00DE1040"/>
    <w:rsid w:val="00DE104D"/>
    <w:rsid w:val="00DE105B"/>
    <w:rsid w:val="00DE1113"/>
    <w:rsid w:val="00DE133E"/>
    <w:rsid w:val="00DE145E"/>
    <w:rsid w:val="00DE1477"/>
    <w:rsid w:val="00DE157D"/>
    <w:rsid w:val="00DE1785"/>
    <w:rsid w:val="00DE186C"/>
    <w:rsid w:val="00DE1932"/>
    <w:rsid w:val="00DE196A"/>
    <w:rsid w:val="00DE1B6D"/>
    <w:rsid w:val="00DE1BB9"/>
    <w:rsid w:val="00DE1C76"/>
    <w:rsid w:val="00DE1D0E"/>
    <w:rsid w:val="00DE1DA4"/>
    <w:rsid w:val="00DE1DC1"/>
    <w:rsid w:val="00DE1DF2"/>
    <w:rsid w:val="00DE1E35"/>
    <w:rsid w:val="00DE1F06"/>
    <w:rsid w:val="00DE1F7B"/>
    <w:rsid w:val="00DE1FB1"/>
    <w:rsid w:val="00DE1FD1"/>
    <w:rsid w:val="00DE215F"/>
    <w:rsid w:val="00DE21D7"/>
    <w:rsid w:val="00DE2204"/>
    <w:rsid w:val="00DE23B8"/>
    <w:rsid w:val="00DE2459"/>
    <w:rsid w:val="00DE25AA"/>
    <w:rsid w:val="00DE25CF"/>
    <w:rsid w:val="00DE26C0"/>
    <w:rsid w:val="00DE2739"/>
    <w:rsid w:val="00DE2822"/>
    <w:rsid w:val="00DE28E0"/>
    <w:rsid w:val="00DE2B39"/>
    <w:rsid w:val="00DE2B4C"/>
    <w:rsid w:val="00DE2BFE"/>
    <w:rsid w:val="00DE2D66"/>
    <w:rsid w:val="00DE2D73"/>
    <w:rsid w:val="00DE2DE4"/>
    <w:rsid w:val="00DE2F1F"/>
    <w:rsid w:val="00DE2FD0"/>
    <w:rsid w:val="00DE2FF6"/>
    <w:rsid w:val="00DE3104"/>
    <w:rsid w:val="00DE33B9"/>
    <w:rsid w:val="00DE3430"/>
    <w:rsid w:val="00DE353D"/>
    <w:rsid w:val="00DE3544"/>
    <w:rsid w:val="00DE3599"/>
    <w:rsid w:val="00DE3653"/>
    <w:rsid w:val="00DE36A1"/>
    <w:rsid w:val="00DE36FC"/>
    <w:rsid w:val="00DE3787"/>
    <w:rsid w:val="00DE37A3"/>
    <w:rsid w:val="00DE3843"/>
    <w:rsid w:val="00DE387D"/>
    <w:rsid w:val="00DE38DA"/>
    <w:rsid w:val="00DE39B4"/>
    <w:rsid w:val="00DE3A04"/>
    <w:rsid w:val="00DE3CF0"/>
    <w:rsid w:val="00DE407C"/>
    <w:rsid w:val="00DE41CE"/>
    <w:rsid w:val="00DE4299"/>
    <w:rsid w:val="00DE43FE"/>
    <w:rsid w:val="00DE454E"/>
    <w:rsid w:val="00DE4601"/>
    <w:rsid w:val="00DE460F"/>
    <w:rsid w:val="00DE4697"/>
    <w:rsid w:val="00DE478C"/>
    <w:rsid w:val="00DE478F"/>
    <w:rsid w:val="00DE47DC"/>
    <w:rsid w:val="00DE48C2"/>
    <w:rsid w:val="00DE48DC"/>
    <w:rsid w:val="00DE4920"/>
    <w:rsid w:val="00DE49BD"/>
    <w:rsid w:val="00DE4A2D"/>
    <w:rsid w:val="00DE4A37"/>
    <w:rsid w:val="00DE4A71"/>
    <w:rsid w:val="00DE4C0F"/>
    <w:rsid w:val="00DE4CB5"/>
    <w:rsid w:val="00DE4CB6"/>
    <w:rsid w:val="00DE4D63"/>
    <w:rsid w:val="00DE505A"/>
    <w:rsid w:val="00DE50E6"/>
    <w:rsid w:val="00DE5229"/>
    <w:rsid w:val="00DE5237"/>
    <w:rsid w:val="00DE527D"/>
    <w:rsid w:val="00DE528E"/>
    <w:rsid w:val="00DE52DC"/>
    <w:rsid w:val="00DE5345"/>
    <w:rsid w:val="00DE53B6"/>
    <w:rsid w:val="00DE53DA"/>
    <w:rsid w:val="00DE5496"/>
    <w:rsid w:val="00DE54BB"/>
    <w:rsid w:val="00DE54E2"/>
    <w:rsid w:val="00DE577D"/>
    <w:rsid w:val="00DE57D2"/>
    <w:rsid w:val="00DE57F8"/>
    <w:rsid w:val="00DE5816"/>
    <w:rsid w:val="00DE5940"/>
    <w:rsid w:val="00DE597D"/>
    <w:rsid w:val="00DE5980"/>
    <w:rsid w:val="00DE5A9B"/>
    <w:rsid w:val="00DE5AC8"/>
    <w:rsid w:val="00DE5AFC"/>
    <w:rsid w:val="00DE5C14"/>
    <w:rsid w:val="00DE5C44"/>
    <w:rsid w:val="00DE5C61"/>
    <w:rsid w:val="00DE5CA4"/>
    <w:rsid w:val="00DE5CEF"/>
    <w:rsid w:val="00DE5E7E"/>
    <w:rsid w:val="00DE5F6F"/>
    <w:rsid w:val="00DE5F8E"/>
    <w:rsid w:val="00DE6001"/>
    <w:rsid w:val="00DE6051"/>
    <w:rsid w:val="00DE623D"/>
    <w:rsid w:val="00DE6297"/>
    <w:rsid w:val="00DE645B"/>
    <w:rsid w:val="00DE650B"/>
    <w:rsid w:val="00DE6573"/>
    <w:rsid w:val="00DE65F4"/>
    <w:rsid w:val="00DE6651"/>
    <w:rsid w:val="00DE6664"/>
    <w:rsid w:val="00DE66DC"/>
    <w:rsid w:val="00DE67FE"/>
    <w:rsid w:val="00DE688D"/>
    <w:rsid w:val="00DE68B0"/>
    <w:rsid w:val="00DE68C4"/>
    <w:rsid w:val="00DE690C"/>
    <w:rsid w:val="00DE6924"/>
    <w:rsid w:val="00DE69A9"/>
    <w:rsid w:val="00DE69F0"/>
    <w:rsid w:val="00DE6A2B"/>
    <w:rsid w:val="00DE6AC1"/>
    <w:rsid w:val="00DE6B57"/>
    <w:rsid w:val="00DE6C1D"/>
    <w:rsid w:val="00DE6DC1"/>
    <w:rsid w:val="00DE6F73"/>
    <w:rsid w:val="00DE6F83"/>
    <w:rsid w:val="00DE7005"/>
    <w:rsid w:val="00DE7078"/>
    <w:rsid w:val="00DE716D"/>
    <w:rsid w:val="00DE719F"/>
    <w:rsid w:val="00DE7240"/>
    <w:rsid w:val="00DE72A4"/>
    <w:rsid w:val="00DE72C0"/>
    <w:rsid w:val="00DE7335"/>
    <w:rsid w:val="00DE7362"/>
    <w:rsid w:val="00DE74AA"/>
    <w:rsid w:val="00DE7502"/>
    <w:rsid w:val="00DE7579"/>
    <w:rsid w:val="00DE75DC"/>
    <w:rsid w:val="00DE76B7"/>
    <w:rsid w:val="00DE76C6"/>
    <w:rsid w:val="00DE774F"/>
    <w:rsid w:val="00DE7795"/>
    <w:rsid w:val="00DE7811"/>
    <w:rsid w:val="00DE7933"/>
    <w:rsid w:val="00DE7A18"/>
    <w:rsid w:val="00DE7A9B"/>
    <w:rsid w:val="00DE7B69"/>
    <w:rsid w:val="00DE7C9C"/>
    <w:rsid w:val="00DE7D18"/>
    <w:rsid w:val="00DE7D40"/>
    <w:rsid w:val="00DF004A"/>
    <w:rsid w:val="00DF00BA"/>
    <w:rsid w:val="00DF00C1"/>
    <w:rsid w:val="00DF0177"/>
    <w:rsid w:val="00DF0189"/>
    <w:rsid w:val="00DF028F"/>
    <w:rsid w:val="00DF0355"/>
    <w:rsid w:val="00DF03D1"/>
    <w:rsid w:val="00DF041F"/>
    <w:rsid w:val="00DF0521"/>
    <w:rsid w:val="00DF06EA"/>
    <w:rsid w:val="00DF07A5"/>
    <w:rsid w:val="00DF0860"/>
    <w:rsid w:val="00DF089B"/>
    <w:rsid w:val="00DF0A1A"/>
    <w:rsid w:val="00DF0ACE"/>
    <w:rsid w:val="00DF0B98"/>
    <w:rsid w:val="00DF0C81"/>
    <w:rsid w:val="00DF0CF5"/>
    <w:rsid w:val="00DF0D5D"/>
    <w:rsid w:val="00DF0D6A"/>
    <w:rsid w:val="00DF0DA2"/>
    <w:rsid w:val="00DF0E50"/>
    <w:rsid w:val="00DF0E70"/>
    <w:rsid w:val="00DF0EDB"/>
    <w:rsid w:val="00DF0F17"/>
    <w:rsid w:val="00DF0FDA"/>
    <w:rsid w:val="00DF0FFD"/>
    <w:rsid w:val="00DF1053"/>
    <w:rsid w:val="00DF10AD"/>
    <w:rsid w:val="00DF123F"/>
    <w:rsid w:val="00DF1264"/>
    <w:rsid w:val="00DF147F"/>
    <w:rsid w:val="00DF14F0"/>
    <w:rsid w:val="00DF1639"/>
    <w:rsid w:val="00DF177A"/>
    <w:rsid w:val="00DF17C3"/>
    <w:rsid w:val="00DF17DA"/>
    <w:rsid w:val="00DF1872"/>
    <w:rsid w:val="00DF1896"/>
    <w:rsid w:val="00DF1941"/>
    <w:rsid w:val="00DF1B43"/>
    <w:rsid w:val="00DF1BC9"/>
    <w:rsid w:val="00DF1C2D"/>
    <w:rsid w:val="00DF1C49"/>
    <w:rsid w:val="00DF1C70"/>
    <w:rsid w:val="00DF1CE4"/>
    <w:rsid w:val="00DF1CE9"/>
    <w:rsid w:val="00DF1D31"/>
    <w:rsid w:val="00DF1D6D"/>
    <w:rsid w:val="00DF1F2E"/>
    <w:rsid w:val="00DF1FFC"/>
    <w:rsid w:val="00DF206E"/>
    <w:rsid w:val="00DF21D9"/>
    <w:rsid w:val="00DF22B8"/>
    <w:rsid w:val="00DF230E"/>
    <w:rsid w:val="00DF2401"/>
    <w:rsid w:val="00DF24E5"/>
    <w:rsid w:val="00DF24F6"/>
    <w:rsid w:val="00DF2542"/>
    <w:rsid w:val="00DF2545"/>
    <w:rsid w:val="00DF25CC"/>
    <w:rsid w:val="00DF2633"/>
    <w:rsid w:val="00DF27BA"/>
    <w:rsid w:val="00DF2824"/>
    <w:rsid w:val="00DF2A45"/>
    <w:rsid w:val="00DF2BCD"/>
    <w:rsid w:val="00DF2C18"/>
    <w:rsid w:val="00DF2CC7"/>
    <w:rsid w:val="00DF2F63"/>
    <w:rsid w:val="00DF2F7A"/>
    <w:rsid w:val="00DF2F99"/>
    <w:rsid w:val="00DF2FFF"/>
    <w:rsid w:val="00DF3039"/>
    <w:rsid w:val="00DF307F"/>
    <w:rsid w:val="00DF3128"/>
    <w:rsid w:val="00DF3161"/>
    <w:rsid w:val="00DF32B1"/>
    <w:rsid w:val="00DF32CC"/>
    <w:rsid w:val="00DF33E5"/>
    <w:rsid w:val="00DF357A"/>
    <w:rsid w:val="00DF35BB"/>
    <w:rsid w:val="00DF3628"/>
    <w:rsid w:val="00DF362C"/>
    <w:rsid w:val="00DF3755"/>
    <w:rsid w:val="00DF375D"/>
    <w:rsid w:val="00DF37FE"/>
    <w:rsid w:val="00DF3812"/>
    <w:rsid w:val="00DF3952"/>
    <w:rsid w:val="00DF3B01"/>
    <w:rsid w:val="00DF3B4A"/>
    <w:rsid w:val="00DF3B94"/>
    <w:rsid w:val="00DF3E76"/>
    <w:rsid w:val="00DF3F2D"/>
    <w:rsid w:val="00DF3F41"/>
    <w:rsid w:val="00DF3FD1"/>
    <w:rsid w:val="00DF407A"/>
    <w:rsid w:val="00DF4192"/>
    <w:rsid w:val="00DF41AE"/>
    <w:rsid w:val="00DF428C"/>
    <w:rsid w:val="00DF4470"/>
    <w:rsid w:val="00DF452A"/>
    <w:rsid w:val="00DF4573"/>
    <w:rsid w:val="00DF4577"/>
    <w:rsid w:val="00DF45CD"/>
    <w:rsid w:val="00DF463A"/>
    <w:rsid w:val="00DF4640"/>
    <w:rsid w:val="00DF47A5"/>
    <w:rsid w:val="00DF47C1"/>
    <w:rsid w:val="00DF47EB"/>
    <w:rsid w:val="00DF47FA"/>
    <w:rsid w:val="00DF4906"/>
    <w:rsid w:val="00DF49D3"/>
    <w:rsid w:val="00DF4A03"/>
    <w:rsid w:val="00DF4B72"/>
    <w:rsid w:val="00DF4BD4"/>
    <w:rsid w:val="00DF4BDD"/>
    <w:rsid w:val="00DF4D3E"/>
    <w:rsid w:val="00DF4D55"/>
    <w:rsid w:val="00DF4E4C"/>
    <w:rsid w:val="00DF4E56"/>
    <w:rsid w:val="00DF4E78"/>
    <w:rsid w:val="00DF4FC3"/>
    <w:rsid w:val="00DF4FDC"/>
    <w:rsid w:val="00DF4FF4"/>
    <w:rsid w:val="00DF5044"/>
    <w:rsid w:val="00DF5063"/>
    <w:rsid w:val="00DF52E3"/>
    <w:rsid w:val="00DF557C"/>
    <w:rsid w:val="00DF5600"/>
    <w:rsid w:val="00DF564C"/>
    <w:rsid w:val="00DF56EE"/>
    <w:rsid w:val="00DF5765"/>
    <w:rsid w:val="00DF584E"/>
    <w:rsid w:val="00DF5863"/>
    <w:rsid w:val="00DF58B8"/>
    <w:rsid w:val="00DF592D"/>
    <w:rsid w:val="00DF5A3C"/>
    <w:rsid w:val="00DF5A61"/>
    <w:rsid w:val="00DF5B4F"/>
    <w:rsid w:val="00DF5C43"/>
    <w:rsid w:val="00DF5C94"/>
    <w:rsid w:val="00DF5D88"/>
    <w:rsid w:val="00DF5DE9"/>
    <w:rsid w:val="00DF5E27"/>
    <w:rsid w:val="00DF5E33"/>
    <w:rsid w:val="00DF5E54"/>
    <w:rsid w:val="00DF5E7F"/>
    <w:rsid w:val="00DF5EAF"/>
    <w:rsid w:val="00DF5F67"/>
    <w:rsid w:val="00DF5FDB"/>
    <w:rsid w:val="00DF5FF7"/>
    <w:rsid w:val="00DF604A"/>
    <w:rsid w:val="00DF6050"/>
    <w:rsid w:val="00DF60B5"/>
    <w:rsid w:val="00DF61A8"/>
    <w:rsid w:val="00DF628B"/>
    <w:rsid w:val="00DF633C"/>
    <w:rsid w:val="00DF6349"/>
    <w:rsid w:val="00DF6399"/>
    <w:rsid w:val="00DF6424"/>
    <w:rsid w:val="00DF642C"/>
    <w:rsid w:val="00DF64A1"/>
    <w:rsid w:val="00DF6550"/>
    <w:rsid w:val="00DF65BF"/>
    <w:rsid w:val="00DF673E"/>
    <w:rsid w:val="00DF683B"/>
    <w:rsid w:val="00DF6973"/>
    <w:rsid w:val="00DF69C0"/>
    <w:rsid w:val="00DF6A37"/>
    <w:rsid w:val="00DF6A43"/>
    <w:rsid w:val="00DF6B04"/>
    <w:rsid w:val="00DF6B9F"/>
    <w:rsid w:val="00DF6BAC"/>
    <w:rsid w:val="00DF6E85"/>
    <w:rsid w:val="00DF6F15"/>
    <w:rsid w:val="00DF705B"/>
    <w:rsid w:val="00DF7078"/>
    <w:rsid w:val="00DF712F"/>
    <w:rsid w:val="00DF7136"/>
    <w:rsid w:val="00DF7303"/>
    <w:rsid w:val="00DF7415"/>
    <w:rsid w:val="00DF74E1"/>
    <w:rsid w:val="00DF74F7"/>
    <w:rsid w:val="00DF7571"/>
    <w:rsid w:val="00DF75B0"/>
    <w:rsid w:val="00DF7632"/>
    <w:rsid w:val="00DF765B"/>
    <w:rsid w:val="00DF768D"/>
    <w:rsid w:val="00DF777B"/>
    <w:rsid w:val="00DF77A8"/>
    <w:rsid w:val="00DF77EB"/>
    <w:rsid w:val="00DF790F"/>
    <w:rsid w:val="00DF7981"/>
    <w:rsid w:val="00DF7A7A"/>
    <w:rsid w:val="00DF7B7B"/>
    <w:rsid w:val="00DF7BE4"/>
    <w:rsid w:val="00DF7C0E"/>
    <w:rsid w:val="00DF7D4C"/>
    <w:rsid w:val="00DF7D6E"/>
    <w:rsid w:val="00DF7DE5"/>
    <w:rsid w:val="00DF7E26"/>
    <w:rsid w:val="00DF7E64"/>
    <w:rsid w:val="00DF7E98"/>
    <w:rsid w:val="00DF7ECB"/>
    <w:rsid w:val="00DF7EF2"/>
    <w:rsid w:val="00DF7F52"/>
    <w:rsid w:val="00DF7F7F"/>
    <w:rsid w:val="00E00004"/>
    <w:rsid w:val="00E00072"/>
    <w:rsid w:val="00E001CC"/>
    <w:rsid w:val="00E001E3"/>
    <w:rsid w:val="00E0020E"/>
    <w:rsid w:val="00E00262"/>
    <w:rsid w:val="00E0026F"/>
    <w:rsid w:val="00E00288"/>
    <w:rsid w:val="00E003B1"/>
    <w:rsid w:val="00E00496"/>
    <w:rsid w:val="00E00726"/>
    <w:rsid w:val="00E00813"/>
    <w:rsid w:val="00E0093B"/>
    <w:rsid w:val="00E009E9"/>
    <w:rsid w:val="00E00A5F"/>
    <w:rsid w:val="00E00AAF"/>
    <w:rsid w:val="00E00C83"/>
    <w:rsid w:val="00E00C97"/>
    <w:rsid w:val="00E00D47"/>
    <w:rsid w:val="00E00E01"/>
    <w:rsid w:val="00E00E1B"/>
    <w:rsid w:val="00E00F3E"/>
    <w:rsid w:val="00E01004"/>
    <w:rsid w:val="00E0108A"/>
    <w:rsid w:val="00E010DC"/>
    <w:rsid w:val="00E0124A"/>
    <w:rsid w:val="00E01297"/>
    <w:rsid w:val="00E0130D"/>
    <w:rsid w:val="00E0141D"/>
    <w:rsid w:val="00E01448"/>
    <w:rsid w:val="00E014B0"/>
    <w:rsid w:val="00E0156A"/>
    <w:rsid w:val="00E01664"/>
    <w:rsid w:val="00E01666"/>
    <w:rsid w:val="00E0166A"/>
    <w:rsid w:val="00E016D6"/>
    <w:rsid w:val="00E01795"/>
    <w:rsid w:val="00E017DF"/>
    <w:rsid w:val="00E017E9"/>
    <w:rsid w:val="00E01800"/>
    <w:rsid w:val="00E01B67"/>
    <w:rsid w:val="00E01B81"/>
    <w:rsid w:val="00E01BC8"/>
    <w:rsid w:val="00E01CF6"/>
    <w:rsid w:val="00E01D81"/>
    <w:rsid w:val="00E01DD5"/>
    <w:rsid w:val="00E01E8D"/>
    <w:rsid w:val="00E01EA0"/>
    <w:rsid w:val="00E01EF2"/>
    <w:rsid w:val="00E01FA5"/>
    <w:rsid w:val="00E01FAA"/>
    <w:rsid w:val="00E020A9"/>
    <w:rsid w:val="00E02143"/>
    <w:rsid w:val="00E02171"/>
    <w:rsid w:val="00E0217B"/>
    <w:rsid w:val="00E0219F"/>
    <w:rsid w:val="00E02244"/>
    <w:rsid w:val="00E0224C"/>
    <w:rsid w:val="00E02292"/>
    <w:rsid w:val="00E022D7"/>
    <w:rsid w:val="00E0230F"/>
    <w:rsid w:val="00E023E3"/>
    <w:rsid w:val="00E02412"/>
    <w:rsid w:val="00E024EC"/>
    <w:rsid w:val="00E02555"/>
    <w:rsid w:val="00E02728"/>
    <w:rsid w:val="00E02763"/>
    <w:rsid w:val="00E02788"/>
    <w:rsid w:val="00E0283D"/>
    <w:rsid w:val="00E02854"/>
    <w:rsid w:val="00E0298D"/>
    <w:rsid w:val="00E02A70"/>
    <w:rsid w:val="00E02AA3"/>
    <w:rsid w:val="00E02AF8"/>
    <w:rsid w:val="00E02B5D"/>
    <w:rsid w:val="00E02B62"/>
    <w:rsid w:val="00E02B67"/>
    <w:rsid w:val="00E02C1A"/>
    <w:rsid w:val="00E02CE1"/>
    <w:rsid w:val="00E02D28"/>
    <w:rsid w:val="00E02E1E"/>
    <w:rsid w:val="00E02E6B"/>
    <w:rsid w:val="00E02F38"/>
    <w:rsid w:val="00E02F78"/>
    <w:rsid w:val="00E02FD5"/>
    <w:rsid w:val="00E03092"/>
    <w:rsid w:val="00E030A3"/>
    <w:rsid w:val="00E03114"/>
    <w:rsid w:val="00E03151"/>
    <w:rsid w:val="00E031EA"/>
    <w:rsid w:val="00E03248"/>
    <w:rsid w:val="00E03328"/>
    <w:rsid w:val="00E0342D"/>
    <w:rsid w:val="00E034AE"/>
    <w:rsid w:val="00E034B1"/>
    <w:rsid w:val="00E03637"/>
    <w:rsid w:val="00E036CD"/>
    <w:rsid w:val="00E03700"/>
    <w:rsid w:val="00E039A6"/>
    <w:rsid w:val="00E039AA"/>
    <w:rsid w:val="00E03A28"/>
    <w:rsid w:val="00E03AD0"/>
    <w:rsid w:val="00E03D1A"/>
    <w:rsid w:val="00E03D9F"/>
    <w:rsid w:val="00E03E60"/>
    <w:rsid w:val="00E03EC9"/>
    <w:rsid w:val="00E03EFC"/>
    <w:rsid w:val="00E03FC3"/>
    <w:rsid w:val="00E04075"/>
    <w:rsid w:val="00E04150"/>
    <w:rsid w:val="00E04190"/>
    <w:rsid w:val="00E041C9"/>
    <w:rsid w:val="00E0422C"/>
    <w:rsid w:val="00E04277"/>
    <w:rsid w:val="00E042B8"/>
    <w:rsid w:val="00E0458A"/>
    <w:rsid w:val="00E045C8"/>
    <w:rsid w:val="00E04718"/>
    <w:rsid w:val="00E0473C"/>
    <w:rsid w:val="00E048F8"/>
    <w:rsid w:val="00E04A0C"/>
    <w:rsid w:val="00E04AEF"/>
    <w:rsid w:val="00E04AF6"/>
    <w:rsid w:val="00E04B9D"/>
    <w:rsid w:val="00E04BA8"/>
    <w:rsid w:val="00E04C4F"/>
    <w:rsid w:val="00E04D78"/>
    <w:rsid w:val="00E04E08"/>
    <w:rsid w:val="00E04EDD"/>
    <w:rsid w:val="00E04FB6"/>
    <w:rsid w:val="00E05016"/>
    <w:rsid w:val="00E050AA"/>
    <w:rsid w:val="00E052E9"/>
    <w:rsid w:val="00E05339"/>
    <w:rsid w:val="00E0534E"/>
    <w:rsid w:val="00E0535A"/>
    <w:rsid w:val="00E053B4"/>
    <w:rsid w:val="00E05463"/>
    <w:rsid w:val="00E054C2"/>
    <w:rsid w:val="00E055D5"/>
    <w:rsid w:val="00E055DB"/>
    <w:rsid w:val="00E05608"/>
    <w:rsid w:val="00E056C5"/>
    <w:rsid w:val="00E05886"/>
    <w:rsid w:val="00E0589E"/>
    <w:rsid w:val="00E058D9"/>
    <w:rsid w:val="00E05921"/>
    <w:rsid w:val="00E05B20"/>
    <w:rsid w:val="00E05BE0"/>
    <w:rsid w:val="00E05C79"/>
    <w:rsid w:val="00E05D08"/>
    <w:rsid w:val="00E05E12"/>
    <w:rsid w:val="00E05EB0"/>
    <w:rsid w:val="00E05F24"/>
    <w:rsid w:val="00E05F33"/>
    <w:rsid w:val="00E05FDE"/>
    <w:rsid w:val="00E05FE8"/>
    <w:rsid w:val="00E0602C"/>
    <w:rsid w:val="00E0603C"/>
    <w:rsid w:val="00E06126"/>
    <w:rsid w:val="00E06186"/>
    <w:rsid w:val="00E06190"/>
    <w:rsid w:val="00E06245"/>
    <w:rsid w:val="00E063DF"/>
    <w:rsid w:val="00E06484"/>
    <w:rsid w:val="00E0649B"/>
    <w:rsid w:val="00E064B5"/>
    <w:rsid w:val="00E064B9"/>
    <w:rsid w:val="00E065DE"/>
    <w:rsid w:val="00E065E0"/>
    <w:rsid w:val="00E0660A"/>
    <w:rsid w:val="00E06618"/>
    <w:rsid w:val="00E0675B"/>
    <w:rsid w:val="00E0678E"/>
    <w:rsid w:val="00E06A6F"/>
    <w:rsid w:val="00E06AD6"/>
    <w:rsid w:val="00E06B08"/>
    <w:rsid w:val="00E06B94"/>
    <w:rsid w:val="00E06B9F"/>
    <w:rsid w:val="00E06BDC"/>
    <w:rsid w:val="00E06C92"/>
    <w:rsid w:val="00E06D30"/>
    <w:rsid w:val="00E06D43"/>
    <w:rsid w:val="00E06DE6"/>
    <w:rsid w:val="00E06EBA"/>
    <w:rsid w:val="00E06EFE"/>
    <w:rsid w:val="00E06F9C"/>
    <w:rsid w:val="00E071AC"/>
    <w:rsid w:val="00E07282"/>
    <w:rsid w:val="00E07343"/>
    <w:rsid w:val="00E07357"/>
    <w:rsid w:val="00E073D3"/>
    <w:rsid w:val="00E073F8"/>
    <w:rsid w:val="00E07468"/>
    <w:rsid w:val="00E074BD"/>
    <w:rsid w:val="00E075CB"/>
    <w:rsid w:val="00E076E4"/>
    <w:rsid w:val="00E0771F"/>
    <w:rsid w:val="00E07974"/>
    <w:rsid w:val="00E07A38"/>
    <w:rsid w:val="00E07A9A"/>
    <w:rsid w:val="00E07C83"/>
    <w:rsid w:val="00E07CCA"/>
    <w:rsid w:val="00E07EA0"/>
    <w:rsid w:val="00E07EBE"/>
    <w:rsid w:val="00E07ED0"/>
    <w:rsid w:val="00E07FBA"/>
    <w:rsid w:val="00E07FCE"/>
    <w:rsid w:val="00E1001B"/>
    <w:rsid w:val="00E10056"/>
    <w:rsid w:val="00E1008D"/>
    <w:rsid w:val="00E100B0"/>
    <w:rsid w:val="00E1023F"/>
    <w:rsid w:val="00E10249"/>
    <w:rsid w:val="00E10535"/>
    <w:rsid w:val="00E10606"/>
    <w:rsid w:val="00E10609"/>
    <w:rsid w:val="00E10962"/>
    <w:rsid w:val="00E109A2"/>
    <w:rsid w:val="00E109E5"/>
    <w:rsid w:val="00E10AA9"/>
    <w:rsid w:val="00E10AD5"/>
    <w:rsid w:val="00E10AF8"/>
    <w:rsid w:val="00E10B6C"/>
    <w:rsid w:val="00E10C8B"/>
    <w:rsid w:val="00E10DA2"/>
    <w:rsid w:val="00E10E04"/>
    <w:rsid w:val="00E10F1D"/>
    <w:rsid w:val="00E10FB9"/>
    <w:rsid w:val="00E10FDF"/>
    <w:rsid w:val="00E11178"/>
    <w:rsid w:val="00E11189"/>
    <w:rsid w:val="00E112C1"/>
    <w:rsid w:val="00E112DE"/>
    <w:rsid w:val="00E1132B"/>
    <w:rsid w:val="00E11409"/>
    <w:rsid w:val="00E11471"/>
    <w:rsid w:val="00E11480"/>
    <w:rsid w:val="00E116A8"/>
    <w:rsid w:val="00E11711"/>
    <w:rsid w:val="00E1176A"/>
    <w:rsid w:val="00E11874"/>
    <w:rsid w:val="00E11921"/>
    <w:rsid w:val="00E11A27"/>
    <w:rsid w:val="00E11B8C"/>
    <w:rsid w:val="00E11C5E"/>
    <w:rsid w:val="00E11D91"/>
    <w:rsid w:val="00E11E5A"/>
    <w:rsid w:val="00E11EC2"/>
    <w:rsid w:val="00E11F26"/>
    <w:rsid w:val="00E1203E"/>
    <w:rsid w:val="00E121BF"/>
    <w:rsid w:val="00E121FD"/>
    <w:rsid w:val="00E12298"/>
    <w:rsid w:val="00E12425"/>
    <w:rsid w:val="00E12441"/>
    <w:rsid w:val="00E12486"/>
    <w:rsid w:val="00E12631"/>
    <w:rsid w:val="00E12729"/>
    <w:rsid w:val="00E127D2"/>
    <w:rsid w:val="00E127EF"/>
    <w:rsid w:val="00E12827"/>
    <w:rsid w:val="00E12862"/>
    <w:rsid w:val="00E128A0"/>
    <w:rsid w:val="00E128EF"/>
    <w:rsid w:val="00E12917"/>
    <w:rsid w:val="00E12934"/>
    <w:rsid w:val="00E12B6B"/>
    <w:rsid w:val="00E12BF6"/>
    <w:rsid w:val="00E12CF5"/>
    <w:rsid w:val="00E12DF6"/>
    <w:rsid w:val="00E12E8B"/>
    <w:rsid w:val="00E12EF8"/>
    <w:rsid w:val="00E12F82"/>
    <w:rsid w:val="00E12FF4"/>
    <w:rsid w:val="00E131D8"/>
    <w:rsid w:val="00E13227"/>
    <w:rsid w:val="00E133A6"/>
    <w:rsid w:val="00E133DC"/>
    <w:rsid w:val="00E134C4"/>
    <w:rsid w:val="00E134DD"/>
    <w:rsid w:val="00E135AD"/>
    <w:rsid w:val="00E136DF"/>
    <w:rsid w:val="00E137E2"/>
    <w:rsid w:val="00E13823"/>
    <w:rsid w:val="00E1383C"/>
    <w:rsid w:val="00E13B7B"/>
    <w:rsid w:val="00E13DE0"/>
    <w:rsid w:val="00E13E7D"/>
    <w:rsid w:val="00E13F89"/>
    <w:rsid w:val="00E1400D"/>
    <w:rsid w:val="00E140C5"/>
    <w:rsid w:val="00E14248"/>
    <w:rsid w:val="00E1427D"/>
    <w:rsid w:val="00E142C3"/>
    <w:rsid w:val="00E14323"/>
    <w:rsid w:val="00E14435"/>
    <w:rsid w:val="00E144DC"/>
    <w:rsid w:val="00E144E3"/>
    <w:rsid w:val="00E14557"/>
    <w:rsid w:val="00E145AD"/>
    <w:rsid w:val="00E1472F"/>
    <w:rsid w:val="00E1483A"/>
    <w:rsid w:val="00E1488A"/>
    <w:rsid w:val="00E148C5"/>
    <w:rsid w:val="00E148C6"/>
    <w:rsid w:val="00E149BA"/>
    <w:rsid w:val="00E14B35"/>
    <w:rsid w:val="00E14C00"/>
    <w:rsid w:val="00E14CE6"/>
    <w:rsid w:val="00E14E6B"/>
    <w:rsid w:val="00E14E76"/>
    <w:rsid w:val="00E14F96"/>
    <w:rsid w:val="00E14FCC"/>
    <w:rsid w:val="00E15007"/>
    <w:rsid w:val="00E1502B"/>
    <w:rsid w:val="00E15086"/>
    <w:rsid w:val="00E1509E"/>
    <w:rsid w:val="00E15158"/>
    <w:rsid w:val="00E1526C"/>
    <w:rsid w:val="00E15278"/>
    <w:rsid w:val="00E15291"/>
    <w:rsid w:val="00E152BC"/>
    <w:rsid w:val="00E15419"/>
    <w:rsid w:val="00E15600"/>
    <w:rsid w:val="00E15638"/>
    <w:rsid w:val="00E156CA"/>
    <w:rsid w:val="00E156EA"/>
    <w:rsid w:val="00E1578D"/>
    <w:rsid w:val="00E1579D"/>
    <w:rsid w:val="00E158A6"/>
    <w:rsid w:val="00E15901"/>
    <w:rsid w:val="00E159C5"/>
    <w:rsid w:val="00E15A70"/>
    <w:rsid w:val="00E15A8F"/>
    <w:rsid w:val="00E15AF8"/>
    <w:rsid w:val="00E15B0D"/>
    <w:rsid w:val="00E15B4E"/>
    <w:rsid w:val="00E15D14"/>
    <w:rsid w:val="00E15D3B"/>
    <w:rsid w:val="00E15E75"/>
    <w:rsid w:val="00E15EBE"/>
    <w:rsid w:val="00E15F00"/>
    <w:rsid w:val="00E15F4E"/>
    <w:rsid w:val="00E15FF7"/>
    <w:rsid w:val="00E1601E"/>
    <w:rsid w:val="00E1604D"/>
    <w:rsid w:val="00E16194"/>
    <w:rsid w:val="00E16218"/>
    <w:rsid w:val="00E1635A"/>
    <w:rsid w:val="00E163F0"/>
    <w:rsid w:val="00E16406"/>
    <w:rsid w:val="00E16418"/>
    <w:rsid w:val="00E164EA"/>
    <w:rsid w:val="00E16662"/>
    <w:rsid w:val="00E16688"/>
    <w:rsid w:val="00E166F0"/>
    <w:rsid w:val="00E16809"/>
    <w:rsid w:val="00E1680F"/>
    <w:rsid w:val="00E16888"/>
    <w:rsid w:val="00E16A31"/>
    <w:rsid w:val="00E16A59"/>
    <w:rsid w:val="00E16A9B"/>
    <w:rsid w:val="00E16B96"/>
    <w:rsid w:val="00E16BB5"/>
    <w:rsid w:val="00E16C93"/>
    <w:rsid w:val="00E16DC1"/>
    <w:rsid w:val="00E16E15"/>
    <w:rsid w:val="00E16EC6"/>
    <w:rsid w:val="00E16F10"/>
    <w:rsid w:val="00E16FAA"/>
    <w:rsid w:val="00E17013"/>
    <w:rsid w:val="00E17058"/>
    <w:rsid w:val="00E170CE"/>
    <w:rsid w:val="00E1732C"/>
    <w:rsid w:val="00E173C8"/>
    <w:rsid w:val="00E173FC"/>
    <w:rsid w:val="00E174FC"/>
    <w:rsid w:val="00E176BE"/>
    <w:rsid w:val="00E17907"/>
    <w:rsid w:val="00E1795D"/>
    <w:rsid w:val="00E179B9"/>
    <w:rsid w:val="00E179C2"/>
    <w:rsid w:val="00E17A1A"/>
    <w:rsid w:val="00E17AA2"/>
    <w:rsid w:val="00E17AD1"/>
    <w:rsid w:val="00E17B2F"/>
    <w:rsid w:val="00E17B4E"/>
    <w:rsid w:val="00E17C6D"/>
    <w:rsid w:val="00E17D29"/>
    <w:rsid w:val="00E17EEB"/>
    <w:rsid w:val="00E17F2B"/>
    <w:rsid w:val="00E17F46"/>
    <w:rsid w:val="00E17F68"/>
    <w:rsid w:val="00E17F99"/>
    <w:rsid w:val="00E2004E"/>
    <w:rsid w:val="00E200EC"/>
    <w:rsid w:val="00E200F3"/>
    <w:rsid w:val="00E2018D"/>
    <w:rsid w:val="00E2032B"/>
    <w:rsid w:val="00E20552"/>
    <w:rsid w:val="00E2066C"/>
    <w:rsid w:val="00E2098B"/>
    <w:rsid w:val="00E209D8"/>
    <w:rsid w:val="00E20A35"/>
    <w:rsid w:val="00E20AC7"/>
    <w:rsid w:val="00E20B30"/>
    <w:rsid w:val="00E20CCF"/>
    <w:rsid w:val="00E20CEC"/>
    <w:rsid w:val="00E20D1A"/>
    <w:rsid w:val="00E20D1B"/>
    <w:rsid w:val="00E20D67"/>
    <w:rsid w:val="00E20E19"/>
    <w:rsid w:val="00E20EC3"/>
    <w:rsid w:val="00E20EE6"/>
    <w:rsid w:val="00E20FAE"/>
    <w:rsid w:val="00E2104A"/>
    <w:rsid w:val="00E21119"/>
    <w:rsid w:val="00E21172"/>
    <w:rsid w:val="00E2123B"/>
    <w:rsid w:val="00E21268"/>
    <w:rsid w:val="00E212CE"/>
    <w:rsid w:val="00E2137F"/>
    <w:rsid w:val="00E21399"/>
    <w:rsid w:val="00E213BD"/>
    <w:rsid w:val="00E213F9"/>
    <w:rsid w:val="00E21445"/>
    <w:rsid w:val="00E21448"/>
    <w:rsid w:val="00E214F0"/>
    <w:rsid w:val="00E216D8"/>
    <w:rsid w:val="00E21766"/>
    <w:rsid w:val="00E2184C"/>
    <w:rsid w:val="00E218E6"/>
    <w:rsid w:val="00E21A25"/>
    <w:rsid w:val="00E21AE7"/>
    <w:rsid w:val="00E21AFA"/>
    <w:rsid w:val="00E21B67"/>
    <w:rsid w:val="00E21B69"/>
    <w:rsid w:val="00E21BF5"/>
    <w:rsid w:val="00E21D92"/>
    <w:rsid w:val="00E21DF1"/>
    <w:rsid w:val="00E21E21"/>
    <w:rsid w:val="00E21EA3"/>
    <w:rsid w:val="00E21FEC"/>
    <w:rsid w:val="00E2214E"/>
    <w:rsid w:val="00E22162"/>
    <w:rsid w:val="00E22166"/>
    <w:rsid w:val="00E22192"/>
    <w:rsid w:val="00E224E9"/>
    <w:rsid w:val="00E2268C"/>
    <w:rsid w:val="00E227B3"/>
    <w:rsid w:val="00E22874"/>
    <w:rsid w:val="00E22B26"/>
    <w:rsid w:val="00E22B7B"/>
    <w:rsid w:val="00E22BBA"/>
    <w:rsid w:val="00E22C2D"/>
    <w:rsid w:val="00E22C82"/>
    <w:rsid w:val="00E22DE5"/>
    <w:rsid w:val="00E22E3E"/>
    <w:rsid w:val="00E22F15"/>
    <w:rsid w:val="00E2308A"/>
    <w:rsid w:val="00E23145"/>
    <w:rsid w:val="00E23168"/>
    <w:rsid w:val="00E232BB"/>
    <w:rsid w:val="00E23359"/>
    <w:rsid w:val="00E23454"/>
    <w:rsid w:val="00E234F8"/>
    <w:rsid w:val="00E23531"/>
    <w:rsid w:val="00E23593"/>
    <w:rsid w:val="00E235A3"/>
    <w:rsid w:val="00E2369A"/>
    <w:rsid w:val="00E236A5"/>
    <w:rsid w:val="00E23735"/>
    <w:rsid w:val="00E23788"/>
    <w:rsid w:val="00E23805"/>
    <w:rsid w:val="00E238D9"/>
    <w:rsid w:val="00E239A8"/>
    <w:rsid w:val="00E23A31"/>
    <w:rsid w:val="00E23A6B"/>
    <w:rsid w:val="00E23C12"/>
    <w:rsid w:val="00E23CB0"/>
    <w:rsid w:val="00E23CCB"/>
    <w:rsid w:val="00E23D1A"/>
    <w:rsid w:val="00E23D9D"/>
    <w:rsid w:val="00E23E8F"/>
    <w:rsid w:val="00E23EEC"/>
    <w:rsid w:val="00E23F63"/>
    <w:rsid w:val="00E24069"/>
    <w:rsid w:val="00E24162"/>
    <w:rsid w:val="00E2420B"/>
    <w:rsid w:val="00E24220"/>
    <w:rsid w:val="00E2428E"/>
    <w:rsid w:val="00E24315"/>
    <w:rsid w:val="00E243B8"/>
    <w:rsid w:val="00E24446"/>
    <w:rsid w:val="00E24554"/>
    <w:rsid w:val="00E24795"/>
    <w:rsid w:val="00E247F3"/>
    <w:rsid w:val="00E24835"/>
    <w:rsid w:val="00E24893"/>
    <w:rsid w:val="00E24907"/>
    <w:rsid w:val="00E2495F"/>
    <w:rsid w:val="00E24962"/>
    <w:rsid w:val="00E24A2D"/>
    <w:rsid w:val="00E24AEB"/>
    <w:rsid w:val="00E24B61"/>
    <w:rsid w:val="00E24B81"/>
    <w:rsid w:val="00E24BE1"/>
    <w:rsid w:val="00E24C35"/>
    <w:rsid w:val="00E24C62"/>
    <w:rsid w:val="00E24C73"/>
    <w:rsid w:val="00E24CEA"/>
    <w:rsid w:val="00E24CF8"/>
    <w:rsid w:val="00E24DF8"/>
    <w:rsid w:val="00E24E3D"/>
    <w:rsid w:val="00E24EDD"/>
    <w:rsid w:val="00E24FA7"/>
    <w:rsid w:val="00E250FD"/>
    <w:rsid w:val="00E25150"/>
    <w:rsid w:val="00E252AA"/>
    <w:rsid w:val="00E2534A"/>
    <w:rsid w:val="00E25409"/>
    <w:rsid w:val="00E25548"/>
    <w:rsid w:val="00E25578"/>
    <w:rsid w:val="00E255CC"/>
    <w:rsid w:val="00E25602"/>
    <w:rsid w:val="00E25719"/>
    <w:rsid w:val="00E2574E"/>
    <w:rsid w:val="00E257B1"/>
    <w:rsid w:val="00E257B6"/>
    <w:rsid w:val="00E25804"/>
    <w:rsid w:val="00E25832"/>
    <w:rsid w:val="00E258D1"/>
    <w:rsid w:val="00E2590F"/>
    <w:rsid w:val="00E25934"/>
    <w:rsid w:val="00E25B7B"/>
    <w:rsid w:val="00E25BF4"/>
    <w:rsid w:val="00E25C24"/>
    <w:rsid w:val="00E25C38"/>
    <w:rsid w:val="00E25E16"/>
    <w:rsid w:val="00E25EED"/>
    <w:rsid w:val="00E25EF6"/>
    <w:rsid w:val="00E25F16"/>
    <w:rsid w:val="00E25FC8"/>
    <w:rsid w:val="00E2602B"/>
    <w:rsid w:val="00E26042"/>
    <w:rsid w:val="00E2609E"/>
    <w:rsid w:val="00E260F4"/>
    <w:rsid w:val="00E26192"/>
    <w:rsid w:val="00E261AB"/>
    <w:rsid w:val="00E261C1"/>
    <w:rsid w:val="00E262CF"/>
    <w:rsid w:val="00E2637E"/>
    <w:rsid w:val="00E26397"/>
    <w:rsid w:val="00E264E5"/>
    <w:rsid w:val="00E2652A"/>
    <w:rsid w:val="00E26542"/>
    <w:rsid w:val="00E265A8"/>
    <w:rsid w:val="00E265E2"/>
    <w:rsid w:val="00E265F7"/>
    <w:rsid w:val="00E266B8"/>
    <w:rsid w:val="00E2677C"/>
    <w:rsid w:val="00E267D8"/>
    <w:rsid w:val="00E2681F"/>
    <w:rsid w:val="00E2688C"/>
    <w:rsid w:val="00E26906"/>
    <w:rsid w:val="00E269A0"/>
    <w:rsid w:val="00E26A39"/>
    <w:rsid w:val="00E26AB8"/>
    <w:rsid w:val="00E26C48"/>
    <w:rsid w:val="00E26C9A"/>
    <w:rsid w:val="00E26D64"/>
    <w:rsid w:val="00E26D6F"/>
    <w:rsid w:val="00E26DA4"/>
    <w:rsid w:val="00E26DF9"/>
    <w:rsid w:val="00E26E26"/>
    <w:rsid w:val="00E26E59"/>
    <w:rsid w:val="00E26E96"/>
    <w:rsid w:val="00E26FD3"/>
    <w:rsid w:val="00E2700A"/>
    <w:rsid w:val="00E270DB"/>
    <w:rsid w:val="00E270DC"/>
    <w:rsid w:val="00E273DA"/>
    <w:rsid w:val="00E274B2"/>
    <w:rsid w:val="00E276B5"/>
    <w:rsid w:val="00E276CA"/>
    <w:rsid w:val="00E277CE"/>
    <w:rsid w:val="00E277D2"/>
    <w:rsid w:val="00E27823"/>
    <w:rsid w:val="00E27859"/>
    <w:rsid w:val="00E27876"/>
    <w:rsid w:val="00E27890"/>
    <w:rsid w:val="00E279AA"/>
    <w:rsid w:val="00E27A09"/>
    <w:rsid w:val="00E27ACD"/>
    <w:rsid w:val="00E27AE6"/>
    <w:rsid w:val="00E27B20"/>
    <w:rsid w:val="00E27B56"/>
    <w:rsid w:val="00E27BF1"/>
    <w:rsid w:val="00E27C87"/>
    <w:rsid w:val="00E27D10"/>
    <w:rsid w:val="00E27D85"/>
    <w:rsid w:val="00E27DBB"/>
    <w:rsid w:val="00E27E76"/>
    <w:rsid w:val="00E27EE3"/>
    <w:rsid w:val="00E27FD5"/>
    <w:rsid w:val="00E300FD"/>
    <w:rsid w:val="00E30233"/>
    <w:rsid w:val="00E3027B"/>
    <w:rsid w:val="00E3030E"/>
    <w:rsid w:val="00E30390"/>
    <w:rsid w:val="00E30454"/>
    <w:rsid w:val="00E304C3"/>
    <w:rsid w:val="00E305FB"/>
    <w:rsid w:val="00E306F4"/>
    <w:rsid w:val="00E307DA"/>
    <w:rsid w:val="00E309DB"/>
    <w:rsid w:val="00E30C3C"/>
    <w:rsid w:val="00E30D49"/>
    <w:rsid w:val="00E30DDE"/>
    <w:rsid w:val="00E30E79"/>
    <w:rsid w:val="00E30E95"/>
    <w:rsid w:val="00E30F54"/>
    <w:rsid w:val="00E30F58"/>
    <w:rsid w:val="00E30F80"/>
    <w:rsid w:val="00E30FA9"/>
    <w:rsid w:val="00E30FF9"/>
    <w:rsid w:val="00E311BB"/>
    <w:rsid w:val="00E311BF"/>
    <w:rsid w:val="00E311D6"/>
    <w:rsid w:val="00E312AA"/>
    <w:rsid w:val="00E312FE"/>
    <w:rsid w:val="00E31330"/>
    <w:rsid w:val="00E313F8"/>
    <w:rsid w:val="00E31604"/>
    <w:rsid w:val="00E3190F"/>
    <w:rsid w:val="00E319CD"/>
    <w:rsid w:val="00E31A38"/>
    <w:rsid w:val="00E31A44"/>
    <w:rsid w:val="00E31A8D"/>
    <w:rsid w:val="00E31AB7"/>
    <w:rsid w:val="00E31B4A"/>
    <w:rsid w:val="00E31D37"/>
    <w:rsid w:val="00E31DB5"/>
    <w:rsid w:val="00E31E88"/>
    <w:rsid w:val="00E31F2C"/>
    <w:rsid w:val="00E3206D"/>
    <w:rsid w:val="00E32137"/>
    <w:rsid w:val="00E32268"/>
    <w:rsid w:val="00E32272"/>
    <w:rsid w:val="00E324E7"/>
    <w:rsid w:val="00E32520"/>
    <w:rsid w:val="00E326F1"/>
    <w:rsid w:val="00E32710"/>
    <w:rsid w:val="00E327F6"/>
    <w:rsid w:val="00E32861"/>
    <w:rsid w:val="00E3292C"/>
    <w:rsid w:val="00E32950"/>
    <w:rsid w:val="00E329D8"/>
    <w:rsid w:val="00E32A5B"/>
    <w:rsid w:val="00E32A97"/>
    <w:rsid w:val="00E32ACF"/>
    <w:rsid w:val="00E32C99"/>
    <w:rsid w:val="00E32CC1"/>
    <w:rsid w:val="00E32DEC"/>
    <w:rsid w:val="00E32EF7"/>
    <w:rsid w:val="00E32F3C"/>
    <w:rsid w:val="00E32FB5"/>
    <w:rsid w:val="00E3301D"/>
    <w:rsid w:val="00E33038"/>
    <w:rsid w:val="00E3310A"/>
    <w:rsid w:val="00E3314F"/>
    <w:rsid w:val="00E3355C"/>
    <w:rsid w:val="00E33609"/>
    <w:rsid w:val="00E3362B"/>
    <w:rsid w:val="00E336B0"/>
    <w:rsid w:val="00E336C1"/>
    <w:rsid w:val="00E337FD"/>
    <w:rsid w:val="00E33977"/>
    <w:rsid w:val="00E33A41"/>
    <w:rsid w:val="00E33A4A"/>
    <w:rsid w:val="00E33ACE"/>
    <w:rsid w:val="00E33AF4"/>
    <w:rsid w:val="00E33B23"/>
    <w:rsid w:val="00E33B34"/>
    <w:rsid w:val="00E33CD8"/>
    <w:rsid w:val="00E33D1A"/>
    <w:rsid w:val="00E33FF2"/>
    <w:rsid w:val="00E341B0"/>
    <w:rsid w:val="00E341CB"/>
    <w:rsid w:val="00E342D4"/>
    <w:rsid w:val="00E34360"/>
    <w:rsid w:val="00E343A7"/>
    <w:rsid w:val="00E34400"/>
    <w:rsid w:val="00E34445"/>
    <w:rsid w:val="00E3449E"/>
    <w:rsid w:val="00E34518"/>
    <w:rsid w:val="00E34587"/>
    <w:rsid w:val="00E345F5"/>
    <w:rsid w:val="00E346B1"/>
    <w:rsid w:val="00E349FD"/>
    <w:rsid w:val="00E34B67"/>
    <w:rsid w:val="00E34BBA"/>
    <w:rsid w:val="00E34D25"/>
    <w:rsid w:val="00E34D56"/>
    <w:rsid w:val="00E34DAE"/>
    <w:rsid w:val="00E34E5D"/>
    <w:rsid w:val="00E34E89"/>
    <w:rsid w:val="00E34EE4"/>
    <w:rsid w:val="00E34F27"/>
    <w:rsid w:val="00E34F7A"/>
    <w:rsid w:val="00E34F98"/>
    <w:rsid w:val="00E3523F"/>
    <w:rsid w:val="00E3538E"/>
    <w:rsid w:val="00E3540C"/>
    <w:rsid w:val="00E3545F"/>
    <w:rsid w:val="00E35471"/>
    <w:rsid w:val="00E354F0"/>
    <w:rsid w:val="00E35510"/>
    <w:rsid w:val="00E356E2"/>
    <w:rsid w:val="00E35763"/>
    <w:rsid w:val="00E357EC"/>
    <w:rsid w:val="00E3583C"/>
    <w:rsid w:val="00E3584D"/>
    <w:rsid w:val="00E358D8"/>
    <w:rsid w:val="00E35959"/>
    <w:rsid w:val="00E3599E"/>
    <w:rsid w:val="00E35B1F"/>
    <w:rsid w:val="00E35C0C"/>
    <w:rsid w:val="00E35C85"/>
    <w:rsid w:val="00E35CF5"/>
    <w:rsid w:val="00E35E36"/>
    <w:rsid w:val="00E35E41"/>
    <w:rsid w:val="00E35E47"/>
    <w:rsid w:val="00E35EAB"/>
    <w:rsid w:val="00E35F9D"/>
    <w:rsid w:val="00E36090"/>
    <w:rsid w:val="00E360E2"/>
    <w:rsid w:val="00E36123"/>
    <w:rsid w:val="00E3612F"/>
    <w:rsid w:val="00E3620C"/>
    <w:rsid w:val="00E362A4"/>
    <w:rsid w:val="00E362DA"/>
    <w:rsid w:val="00E36352"/>
    <w:rsid w:val="00E36379"/>
    <w:rsid w:val="00E36398"/>
    <w:rsid w:val="00E36652"/>
    <w:rsid w:val="00E366C8"/>
    <w:rsid w:val="00E3670C"/>
    <w:rsid w:val="00E36816"/>
    <w:rsid w:val="00E368F0"/>
    <w:rsid w:val="00E36946"/>
    <w:rsid w:val="00E36AF1"/>
    <w:rsid w:val="00E36B96"/>
    <w:rsid w:val="00E36BB1"/>
    <w:rsid w:val="00E36BFB"/>
    <w:rsid w:val="00E36CF2"/>
    <w:rsid w:val="00E3708A"/>
    <w:rsid w:val="00E37094"/>
    <w:rsid w:val="00E3712B"/>
    <w:rsid w:val="00E3717E"/>
    <w:rsid w:val="00E371DA"/>
    <w:rsid w:val="00E3724F"/>
    <w:rsid w:val="00E3744C"/>
    <w:rsid w:val="00E3746D"/>
    <w:rsid w:val="00E3747C"/>
    <w:rsid w:val="00E374B1"/>
    <w:rsid w:val="00E374C4"/>
    <w:rsid w:val="00E37578"/>
    <w:rsid w:val="00E37683"/>
    <w:rsid w:val="00E377E4"/>
    <w:rsid w:val="00E37901"/>
    <w:rsid w:val="00E3790A"/>
    <w:rsid w:val="00E3792B"/>
    <w:rsid w:val="00E379E6"/>
    <w:rsid w:val="00E37AA0"/>
    <w:rsid w:val="00E37AA4"/>
    <w:rsid w:val="00E37ABA"/>
    <w:rsid w:val="00E37AEB"/>
    <w:rsid w:val="00E37B0C"/>
    <w:rsid w:val="00E37C3A"/>
    <w:rsid w:val="00E37CED"/>
    <w:rsid w:val="00E37D25"/>
    <w:rsid w:val="00E37E0C"/>
    <w:rsid w:val="00E37E42"/>
    <w:rsid w:val="00E37E86"/>
    <w:rsid w:val="00E37EAA"/>
    <w:rsid w:val="00E40045"/>
    <w:rsid w:val="00E401BD"/>
    <w:rsid w:val="00E4025A"/>
    <w:rsid w:val="00E4031E"/>
    <w:rsid w:val="00E4033B"/>
    <w:rsid w:val="00E4035E"/>
    <w:rsid w:val="00E4038D"/>
    <w:rsid w:val="00E4044E"/>
    <w:rsid w:val="00E404E7"/>
    <w:rsid w:val="00E40615"/>
    <w:rsid w:val="00E4063E"/>
    <w:rsid w:val="00E40681"/>
    <w:rsid w:val="00E4075A"/>
    <w:rsid w:val="00E4075E"/>
    <w:rsid w:val="00E408C1"/>
    <w:rsid w:val="00E408DC"/>
    <w:rsid w:val="00E408E0"/>
    <w:rsid w:val="00E40974"/>
    <w:rsid w:val="00E40A5D"/>
    <w:rsid w:val="00E40AF3"/>
    <w:rsid w:val="00E40C68"/>
    <w:rsid w:val="00E40C79"/>
    <w:rsid w:val="00E40FE2"/>
    <w:rsid w:val="00E41009"/>
    <w:rsid w:val="00E41065"/>
    <w:rsid w:val="00E41081"/>
    <w:rsid w:val="00E4110F"/>
    <w:rsid w:val="00E41117"/>
    <w:rsid w:val="00E41170"/>
    <w:rsid w:val="00E411B8"/>
    <w:rsid w:val="00E41374"/>
    <w:rsid w:val="00E418C6"/>
    <w:rsid w:val="00E418EF"/>
    <w:rsid w:val="00E419FB"/>
    <w:rsid w:val="00E41A1F"/>
    <w:rsid w:val="00E41A29"/>
    <w:rsid w:val="00E41A31"/>
    <w:rsid w:val="00E41AC2"/>
    <w:rsid w:val="00E41CBE"/>
    <w:rsid w:val="00E41E09"/>
    <w:rsid w:val="00E41E6A"/>
    <w:rsid w:val="00E41ED7"/>
    <w:rsid w:val="00E42026"/>
    <w:rsid w:val="00E4209A"/>
    <w:rsid w:val="00E420E6"/>
    <w:rsid w:val="00E4214B"/>
    <w:rsid w:val="00E4227D"/>
    <w:rsid w:val="00E42390"/>
    <w:rsid w:val="00E42456"/>
    <w:rsid w:val="00E42514"/>
    <w:rsid w:val="00E42571"/>
    <w:rsid w:val="00E42695"/>
    <w:rsid w:val="00E4281A"/>
    <w:rsid w:val="00E42866"/>
    <w:rsid w:val="00E428BA"/>
    <w:rsid w:val="00E428F5"/>
    <w:rsid w:val="00E42B3E"/>
    <w:rsid w:val="00E42D47"/>
    <w:rsid w:val="00E42D62"/>
    <w:rsid w:val="00E42E50"/>
    <w:rsid w:val="00E42FBB"/>
    <w:rsid w:val="00E42FBD"/>
    <w:rsid w:val="00E4314A"/>
    <w:rsid w:val="00E432C7"/>
    <w:rsid w:val="00E433F3"/>
    <w:rsid w:val="00E434B5"/>
    <w:rsid w:val="00E4351B"/>
    <w:rsid w:val="00E43581"/>
    <w:rsid w:val="00E435BD"/>
    <w:rsid w:val="00E4360A"/>
    <w:rsid w:val="00E4363E"/>
    <w:rsid w:val="00E43724"/>
    <w:rsid w:val="00E43762"/>
    <w:rsid w:val="00E43819"/>
    <w:rsid w:val="00E43885"/>
    <w:rsid w:val="00E43AC5"/>
    <w:rsid w:val="00E43B5B"/>
    <w:rsid w:val="00E43BAD"/>
    <w:rsid w:val="00E43D00"/>
    <w:rsid w:val="00E43E2E"/>
    <w:rsid w:val="00E43E90"/>
    <w:rsid w:val="00E43ED2"/>
    <w:rsid w:val="00E43FD6"/>
    <w:rsid w:val="00E44060"/>
    <w:rsid w:val="00E44239"/>
    <w:rsid w:val="00E442C7"/>
    <w:rsid w:val="00E443A2"/>
    <w:rsid w:val="00E44408"/>
    <w:rsid w:val="00E444F0"/>
    <w:rsid w:val="00E44569"/>
    <w:rsid w:val="00E44611"/>
    <w:rsid w:val="00E44659"/>
    <w:rsid w:val="00E4479B"/>
    <w:rsid w:val="00E448B5"/>
    <w:rsid w:val="00E44996"/>
    <w:rsid w:val="00E44A4C"/>
    <w:rsid w:val="00E44AA4"/>
    <w:rsid w:val="00E44B7E"/>
    <w:rsid w:val="00E44B85"/>
    <w:rsid w:val="00E44BBD"/>
    <w:rsid w:val="00E44BEB"/>
    <w:rsid w:val="00E44CB3"/>
    <w:rsid w:val="00E44D35"/>
    <w:rsid w:val="00E44DBB"/>
    <w:rsid w:val="00E44E60"/>
    <w:rsid w:val="00E44E71"/>
    <w:rsid w:val="00E44EA1"/>
    <w:rsid w:val="00E44EAD"/>
    <w:rsid w:val="00E44F14"/>
    <w:rsid w:val="00E44F5C"/>
    <w:rsid w:val="00E44F61"/>
    <w:rsid w:val="00E4502D"/>
    <w:rsid w:val="00E4505C"/>
    <w:rsid w:val="00E45120"/>
    <w:rsid w:val="00E45175"/>
    <w:rsid w:val="00E451AB"/>
    <w:rsid w:val="00E451CC"/>
    <w:rsid w:val="00E451ED"/>
    <w:rsid w:val="00E451FB"/>
    <w:rsid w:val="00E45304"/>
    <w:rsid w:val="00E45347"/>
    <w:rsid w:val="00E453DD"/>
    <w:rsid w:val="00E4552B"/>
    <w:rsid w:val="00E4561B"/>
    <w:rsid w:val="00E45672"/>
    <w:rsid w:val="00E456D0"/>
    <w:rsid w:val="00E456D2"/>
    <w:rsid w:val="00E4572D"/>
    <w:rsid w:val="00E45898"/>
    <w:rsid w:val="00E45965"/>
    <w:rsid w:val="00E4598E"/>
    <w:rsid w:val="00E45AAE"/>
    <w:rsid w:val="00E45ADD"/>
    <w:rsid w:val="00E45B09"/>
    <w:rsid w:val="00E45B34"/>
    <w:rsid w:val="00E45B80"/>
    <w:rsid w:val="00E45D1D"/>
    <w:rsid w:val="00E45E33"/>
    <w:rsid w:val="00E45E54"/>
    <w:rsid w:val="00E45E5A"/>
    <w:rsid w:val="00E45E75"/>
    <w:rsid w:val="00E4606B"/>
    <w:rsid w:val="00E46072"/>
    <w:rsid w:val="00E4611D"/>
    <w:rsid w:val="00E461A1"/>
    <w:rsid w:val="00E462FA"/>
    <w:rsid w:val="00E46338"/>
    <w:rsid w:val="00E464A2"/>
    <w:rsid w:val="00E465C3"/>
    <w:rsid w:val="00E46618"/>
    <w:rsid w:val="00E466E2"/>
    <w:rsid w:val="00E4673F"/>
    <w:rsid w:val="00E4677F"/>
    <w:rsid w:val="00E4678C"/>
    <w:rsid w:val="00E4679C"/>
    <w:rsid w:val="00E467B1"/>
    <w:rsid w:val="00E46846"/>
    <w:rsid w:val="00E4692A"/>
    <w:rsid w:val="00E46970"/>
    <w:rsid w:val="00E469FB"/>
    <w:rsid w:val="00E46A4F"/>
    <w:rsid w:val="00E46D54"/>
    <w:rsid w:val="00E46E6E"/>
    <w:rsid w:val="00E46EA2"/>
    <w:rsid w:val="00E47194"/>
    <w:rsid w:val="00E47212"/>
    <w:rsid w:val="00E47244"/>
    <w:rsid w:val="00E47264"/>
    <w:rsid w:val="00E474B3"/>
    <w:rsid w:val="00E47526"/>
    <w:rsid w:val="00E47630"/>
    <w:rsid w:val="00E477E5"/>
    <w:rsid w:val="00E477FB"/>
    <w:rsid w:val="00E47836"/>
    <w:rsid w:val="00E478E3"/>
    <w:rsid w:val="00E479AC"/>
    <w:rsid w:val="00E47AD2"/>
    <w:rsid w:val="00E47AFC"/>
    <w:rsid w:val="00E47B0C"/>
    <w:rsid w:val="00E47BDE"/>
    <w:rsid w:val="00E47DD8"/>
    <w:rsid w:val="00E5007E"/>
    <w:rsid w:val="00E5008D"/>
    <w:rsid w:val="00E500F2"/>
    <w:rsid w:val="00E50206"/>
    <w:rsid w:val="00E50319"/>
    <w:rsid w:val="00E5040C"/>
    <w:rsid w:val="00E5048F"/>
    <w:rsid w:val="00E50501"/>
    <w:rsid w:val="00E50667"/>
    <w:rsid w:val="00E5068F"/>
    <w:rsid w:val="00E506A9"/>
    <w:rsid w:val="00E50785"/>
    <w:rsid w:val="00E507B4"/>
    <w:rsid w:val="00E50869"/>
    <w:rsid w:val="00E5087E"/>
    <w:rsid w:val="00E508E1"/>
    <w:rsid w:val="00E508F4"/>
    <w:rsid w:val="00E5091F"/>
    <w:rsid w:val="00E50946"/>
    <w:rsid w:val="00E50C05"/>
    <w:rsid w:val="00E50C65"/>
    <w:rsid w:val="00E50E63"/>
    <w:rsid w:val="00E50FCE"/>
    <w:rsid w:val="00E50FF3"/>
    <w:rsid w:val="00E51011"/>
    <w:rsid w:val="00E510B5"/>
    <w:rsid w:val="00E51343"/>
    <w:rsid w:val="00E514AF"/>
    <w:rsid w:val="00E514F4"/>
    <w:rsid w:val="00E51556"/>
    <w:rsid w:val="00E515EA"/>
    <w:rsid w:val="00E51737"/>
    <w:rsid w:val="00E517E5"/>
    <w:rsid w:val="00E517F7"/>
    <w:rsid w:val="00E51989"/>
    <w:rsid w:val="00E5199B"/>
    <w:rsid w:val="00E51A77"/>
    <w:rsid w:val="00E51B72"/>
    <w:rsid w:val="00E51C5C"/>
    <w:rsid w:val="00E51D02"/>
    <w:rsid w:val="00E51D0A"/>
    <w:rsid w:val="00E51D5A"/>
    <w:rsid w:val="00E51D66"/>
    <w:rsid w:val="00E51E16"/>
    <w:rsid w:val="00E51EF1"/>
    <w:rsid w:val="00E52033"/>
    <w:rsid w:val="00E52114"/>
    <w:rsid w:val="00E52116"/>
    <w:rsid w:val="00E5214F"/>
    <w:rsid w:val="00E521AC"/>
    <w:rsid w:val="00E5221E"/>
    <w:rsid w:val="00E52244"/>
    <w:rsid w:val="00E52353"/>
    <w:rsid w:val="00E523D1"/>
    <w:rsid w:val="00E52439"/>
    <w:rsid w:val="00E52452"/>
    <w:rsid w:val="00E524FC"/>
    <w:rsid w:val="00E5250D"/>
    <w:rsid w:val="00E525AD"/>
    <w:rsid w:val="00E526CE"/>
    <w:rsid w:val="00E52765"/>
    <w:rsid w:val="00E52835"/>
    <w:rsid w:val="00E52843"/>
    <w:rsid w:val="00E528C0"/>
    <w:rsid w:val="00E5292A"/>
    <w:rsid w:val="00E52AC8"/>
    <w:rsid w:val="00E52C6F"/>
    <w:rsid w:val="00E52C78"/>
    <w:rsid w:val="00E52D4B"/>
    <w:rsid w:val="00E52DAB"/>
    <w:rsid w:val="00E52ECE"/>
    <w:rsid w:val="00E52EE3"/>
    <w:rsid w:val="00E53067"/>
    <w:rsid w:val="00E53113"/>
    <w:rsid w:val="00E53166"/>
    <w:rsid w:val="00E5318E"/>
    <w:rsid w:val="00E5319C"/>
    <w:rsid w:val="00E531AD"/>
    <w:rsid w:val="00E53263"/>
    <w:rsid w:val="00E53341"/>
    <w:rsid w:val="00E533AB"/>
    <w:rsid w:val="00E533B9"/>
    <w:rsid w:val="00E534AD"/>
    <w:rsid w:val="00E535A1"/>
    <w:rsid w:val="00E536A0"/>
    <w:rsid w:val="00E53833"/>
    <w:rsid w:val="00E5395D"/>
    <w:rsid w:val="00E539E3"/>
    <w:rsid w:val="00E53A64"/>
    <w:rsid w:val="00E53ACC"/>
    <w:rsid w:val="00E53ACE"/>
    <w:rsid w:val="00E53B11"/>
    <w:rsid w:val="00E53CEA"/>
    <w:rsid w:val="00E53CF9"/>
    <w:rsid w:val="00E53D2B"/>
    <w:rsid w:val="00E53D7B"/>
    <w:rsid w:val="00E53DD2"/>
    <w:rsid w:val="00E53E9C"/>
    <w:rsid w:val="00E53F99"/>
    <w:rsid w:val="00E53FCB"/>
    <w:rsid w:val="00E53FE9"/>
    <w:rsid w:val="00E54043"/>
    <w:rsid w:val="00E5405D"/>
    <w:rsid w:val="00E54091"/>
    <w:rsid w:val="00E54152"/>
    <w:rsid w:val="00E541B6"/>
    <w:rsid w:val="00E54256"/>
    <w:rsid w:val="00E542D2"/>
    <w:rsid w:val="00E543B7"/>
    <w:rsid w:val="00E545C5"/>
    <w:rsid w:val="00E546E5"/>
    <w:rsid w:val="00E5476B"/>
    <w:rsid w:val="00E54805"/>
    <w:rsid w:val="00E54827"/>
    <w:rsid w:val="00E54888"/>
    <w:rsid w:val="00E548B8"/>
    <w:rsid w:val="00E54AF2"/>
    <w:rsid w:val="00E54B41"/>
    <w:rsid w:val="00E54BFF"/>
    <w:rsid w:val="00E54C1B"/>
    <w:rsid w:val="00E54E00"/>
    <w:rsid w:val="00E54EB3"/>
    <w:rsid w:val="00E54EB4"/>
    <w:rsid w:val="00E54F5B"/>
    <w:rsid w:val="00E54F90"/>
    <w:rsid w:val="00E5527B"/>
    <w:rsid w:val="00E553CF"/>
    <w:rsid w:val="00E5544E"/>
    <w:rsid w:val="00E55591"/>
    <w:rsid w:val="00E555C4"/>
    <w:rsid w:val="00E55769"/>
    <w:rsid w:val="00E558AB"/>
    <w:rsid w:val="00E558E8"/>
    <w:rsid w:val="00E5591A"/>
    <w:rsid w:val="00E55941"/>
    <w:rsid w:val="00E559B0"/>
    <w:rsid w:val="00E55A29"/>
    <w:rsid w:val="00E55BAE"/>
    <w:rsid w:val="00E55C59"/>
    <w:rsid w:val="00E55E73"/>
    <w:rsid w:val="00E55F78"/>
    <w:rsid w:val="00E5605C"/>
    <w:rsid w:val="00E56065"/>
    <w:rsid w:val="00E56179"/>
    <w:rsid w:val="00E5617E"/>
    <w:rsid w:val="00E5624C"/>
    <w:rsid w:val="00E56261"/>
    <w:rsid w:val="00E5626F"/>
    <w:rsid w:val="00E563F5"/>
    <w:rsid w:val="00E56483"/>
    <w:rsid w:val="00E564D5"/>
    <w:rsid w:val="00E5652D"/>
    <w:rsid w:val="00E56615"/>
    <w:rsid w:val="00E5669C"/>
    <w:rsid w:val="00E566FD"/>
    <w:rsid w:val="00E56701"/>
    <w:rsid w:val="00E56A8D"/>
    <w:rsid w:val="00E56D9D"/>
    <w:rsid w:val="00E56DB6"/>
    <w:rsid w:val="00E56E10"/>
    <w:rsid w:val="00E56F25"/>
    <w:rsid w:val="00E56FA3"/>
    <w:rsid w:val="00E56FBB"/>
    <w:rsid w:val="00E57041"/>
    <w:rsid w:val="00E57276"/>
    <w:rsid w:val="00E572E3"/>
    <w:rsid w:val="00E5730E"/>
    <w:rsid w:val="00E5770F"/>
    <w:rsid w:val="00E57795"/>
    <w:rsid w:val="00E5779A"/>
    <w:rsid w:val="00E577BE"/>
    <w:rsid w:val="00E57813"/>
    <w:rsid w:val="00E57850"/>
    <w:rsid w:val="00E57937"/>
    <w:rsid w:val="00E57988"/>
    <w:rsid w:val="00E579D6"/>
    <w:rsid w:val="00E57CB0"/>
    <w:rsid w:val="00E57D34"/>
    <w:rsid w:val="00E57D4E"/>
    <w:rsid w:val="00E57E54"/>
    <w:rsid w:val="00E57E8E"/>
    <w:rsid w:val="00E57FF5"/>
    <w:rsid w:val="00E60003"/>
    <w:rsid w:val="00E60018"/>
    <w:rsid w:val="00E60043"/>
    <w:rsid w:val="00E6005E"/>
    <w:rsid w:val="00E60151"/>
    <w:rsid w:val="00E601AC"/>
    <w:rsid w:val="00E60401"/>
    <w:rsid w:val="00E6046A"/>
    <w:rsid w:val="00E60578"/>
    <w:rsid w:val="00E6057C"/>
    <w:rsid w:val="00E60756"/>
    <w:rsid w:val="00E60893"/>
    <w:rsid w:val="00E608AA"/>
    <w:rsid w:val="00E6091E"/>
    <w:rsid w:val="00E6097C"/>
    <w:rsid w:val="00E60A35"/>
    <w:rsid w:val="00E60ABC"/>
    <w:rsid w:val="00E60B71"/>
    <w:rsid w:val="00E60B9B"/>
    <w:rsid w:val="00E60BE5"/>
    <w:rsid w:val="00E60C40"/>
    <w:rsid w:val="00E60C4D"/>
    <w:rsid w:val="00E60C60"/>
    <w:rsid w:val="00E60D22"/>
    <w:rsid w:val="00E60D23"/>
    <w:rsid w:val="00E60D60"/>
    <w:rsid w:val="00E60E03"/>
    <w:rsid w:val="00E60EFE"/>
    <w:rsid w:val="00E6118A"/>
    <w:rsid w:val="00E613A5"/>
    <w:rsid w:val="00E613C3"/>
    <w:rsid w:val="00E613D4"/>
    <w:rsid w:val="00E61400"/>
    <w:rsid w:val="00E61453"/>
    <w:rsid w:val="00E614B7"/>
    <w:rsid w:val="00E6153C"/>
    <w:rsid w:val="00E61607"/>
    <w:rsid w:val="00E61642"/>
    <w:rsid w:val="00E61656"/>
    <w:rsid w:val="00E616E0"/>
    <w:rsid w:val="00E61825"/>
    <w:rsid w:val="00E6182D"/>
    <w:rsid w:val="00E619F8"/>
    <w:rsid w:val="00E61AAC"/>
    <w:rsid w:val="00E61C80"/>
    <w:rsid w:val="00E61CBE"/>
    <w:rsid w:val="00E61D25"/>
    <w:rsid w:val="00E61E7A"/>
    <w:rsid w:val="00E61EFE"/>
    <w:rsid w:val="00E61F61"/>
    <w:rsid w:val="00E61F9F"/>
    <w:rsid w:val="00E61FAF"/>
    <w:rsid w:val="00E620B0"/>
    <w:rsid w:val="00E620FC"/>
    <w:rsid w:val="00E62145"/>
    <w:rsid w:val="00E6217F"/>
    <w:rsid w:val="00E6227D"/>
    <w:rsid w:val="00E622BF"/>
    <w:rsid w:val="00E622DB"/>
    <w:rsid w:val="00E6235B"/>
    <w:rsid w:val="00E623B3"/>
    <w:rsid w:val="00E62490"/>
    <w:rsid w:val="00E6261B"/>
    <w:rsid w:val="00E62904"/>
    <w:rsid w:val="00E6295C"/>
    <w:rsid w:val="00E62C2B"/>
    <w:rsid w:val="00E62C92"/>
    <w:rsid w:val="00E62EC8"/>
    <w:rsid w:val="00E62F0C"/>
    <w:rsid w:val="00E62F2E"/>
    <w:rsid w:val="00E62FC6"/>
    <w:rsid w:val="00E63004"/>
    <w:rsid w:val="00E6302A"/>
    <w:rsid w:val="00E6308A"/>
    <w:rsid w:val="00E631E2"/>
    <w:rsid w:val="00E632AA"/>
    <w:rsid w:val="00E632B3"/>
    <w:rsid w:val="00E632E5"/>
    <w:rsid w:val="00E63372"/>
    <w:rsid w:val="00E633FD"/>
    <w:rsid w:val="00E63404"/>
    <w:rsid w:val="00E634EA"/>
    <w:rsid w:val="00E63714"/>
    <w:rsid w:val="00E638E2"/>
    <w:rsid w:val="00E63A8A"/>
    <w:rsid w:val="00E63AFB"/>
    <w:rsid w:val="00E63B0E"/>
    <w:rsid w:val="00E63C35"/>
    <w:rsid w:val="00E63C3E"/>
    <w:rsid w:val="00E63CE9"/>
    <w:rsid w:val="00E63D64"/>
    <w:rsid w:val="00E63DAE"/>
    <w:rsid w:val="00E63EBB"/>
    <w:rsid w:val="00E63F0E"/>
    <w:rsid w:val="00E63F1C"/>
    <w:rsid w:val="00E63FD9"/>
    <w:rsid w:val="00E641D5"/>
    <w:rsid w:val="00E64236"/>
    <w:rsid w:val="00E6424C"/>
    <w:rsid w:val="00E643E0"/>
    <w:rsid w:val="00E64424"/>
    <w:rsid w:val="00E6444F"/>
    <w:rsid w:val="00E6446E"/>
    <w:rsid w:val="00E644E8"/>
    <w:rsid w:val="00E64525"/>
    <w:rsid w:val="00E64616"/>
    <w:rsid w:val="00E6480F"/>
    <w:rsid w:val="00E6483B"/>
    <w:rsid w:val="00E64866"/>
    <w:rsid w:val="00E648A7"/>
    <w:rsid w:val="00E64A5F"/>
    <w:rsid w:val="00E64A66"/>
    <w:rsid w:val="00E64A70"/>
    <w:rsid w:val="00E64C52"/>
    <w:rsid w:val="00E64C67"/>
    <w:rsid w:val="00E64D3E"/>
    <w:rsid w:val="00E64D84"/>
    <w:rsid w:val="00E64E4A"/>
    <w:rsid w:val="00E64EEE"/>
    <w:rsid w:val="00E64FDA"/>
    <w:rsid w:val="00E6500F"/>
    <w:rsid w:val="00E650A3"/>
    <w:rsid w:val="00E650E6"/>
    <w:rsid w:val="00E650EB"/>
    <w:rsid w:val="00E65139"/>
    <w:rsid w:val="00E65169"/>
    <w:rsid w:val="00E651AC"/>
    <w:rsid w:val="00E65233"/>
    <w:rsid w:val="00E6525F"/>
    <w:rsid w:val="00E652D3"/>
    <w:rsid w:val="00E652FA"/>
    <w:rsid w:val="00E65315"/>
    <w:rsid w:val="00E654D1"/>
    <w:rsid w:val="00E6558C"/>
    <w:rsid w:val="00E655BA"/>
    <w:rsid w:val="00E6576D"/>
    <w:rsid w:val="00E65812"/>
    <w:rsid w:val="00E658C8"/>
    <w:rsid w:val="00E65970"/>
    <w:rsid w:val="00E659A5"/>
    <w:rsid w:val="00E659B0"/>
    <w:rsid w:val="00E659D9"/>
    <w:rsid w:val="00E659F8"/>
    <w:rsid w:val="00E65B8F"/>
    <w:rsid w:val="00E65B9E"/>
    <w:rsid w:val="00E65BDC"/>
    <w:rsid w:val="00E65CC5"/>
    <w:rsid w:val="00E65D6F"/>
    <w:rsid w:val="00E65FF3"/>
    <w:rsid w:val="00E660E3"/>
    <w:rsid w:val="00E662C8"/>
    <w:rsid w:val="00E662E8"/>
    <w:rsid w:val="00E66325"/>
    <w:rsid w:val="00E66339"/>
    <w:rsid w:val="00E66406"/>
    <w:rsid w:val="00E664D3"/>
    <w:rsid w:val="00E665C9"/>
    <w:rsid w:val="00E665CC"/>
    <w:rsid w:val="00E665EC"/>
    <w:rsid w:val="00E6689B"/>
    <w:rsid w:val="00E668A0"/>
    <w:rsid w:val="00E669E0"/>
    <w:rsid w:val="00E66A15"/>
    <w:rsid w:val="00E66A4D"/>
    <w:rsid w:val="00E66B2A"/>
    <w:rsid w:val="00E66B57"/>
    <w:rsid w:val="00E66B80"/>
    <w:rsid w:val="00E66BC0"/>
    <w:rsid w:val="00E66BDB"/>
    <w:rsid w:val="00E66BDC"/>
    <w:rsid w:val="00E66C01"/>
    <w:rsid w:val="00E670AF"/>
    <w:rsid w:val="00E670C5"/>
    <w:rsid w:val="00E67188"/>
    <w:rsid w:val="00E672CC"/>
    <w:rsid w:val="00E67466"/>
    <w:rsid w:val="00E67477"/>
    <w:rsid w:val="00E6748E"/>
    <w:rsid w:val="00E674DC"/>
    <w:rsid w:val="00E6752F"/>
    <w:rsid w:val="00E67643"/>
    <w:rsid w:val="00E6771E"/>
    <w:rsid w:val="00E67728"/>
    <w:rsid w:val="00E677EC"/>
    <w:rsid w:val="00E677F1"/>
    <w:rsid w:val="00E678B7"/>
    <w:rsid w:val="00E67940"/>
    <w:rsid w:val="00E67965"/>
    <w:rsid w:val="00E679D1"/>
    <w:rsid w:val="00E679E9"/>
    <w:rsid w:val="00E67AAA"/>
    <w:rsid w:val="00E67B19"/>
    <w:rsid w:val="00E67B6D"/>
    <w:rsid w:val="00E67BCE"/>
    <w:rsid w:val="00E67BE5"/>
    <w:rsid w:val="00E67C7F"/>
    <w:rsid w:val="00E67D2D"/>
    <w:rsid w:val="00E67D3E"/>
    <w:rsid w:val="00E67DDD"/>
    <w:rsid w:val="00E67E09"/>
    <w:rsid w:val="00E67E5F"/>
    <w:rsid w:val="00E67E6C"/>
    <w:rsid w:val="00E67EF0"/>
    <w:rsid w:val="00E67F1C"/>
    <w:rsid w:val="00E67F61"/>
    <w:rsid w:val="00E6B856"/>
    <w:rsid w:val="00E70030"/>
    <w:rsid w:val="00E70040"/>
    <w:rsid w:val="00E702D4"/>
    <w:rsid w:val="00E7041D"/>
    <w:rsid w:val="00E70443"/>
    <w:rsid w:val="00E70552"/>
    <w:rsid w:val="00E7062B"/>
    <w:rsid w:val="00E706B6"/>
    <w:rsid w:val="00E706EB"/>
    <w:rsid w:val="00E706F5"/>
    <w:rsid w:val="00E70870"/>
    <w:rsid w:val="00E70877"/>
    <w:rsid w:val="00E708BB"/>
    <w:rsid w:val="00E70A67"/>
    <w:rsid w:val="00E70A68"/>
    <w:rsid w:val="00E70B9D"/>
    <w:rsid w:val="00E70CF3"/>
    <w:rsid w:val="00E70D96"/>
    <w:rsid w:val="00E70E39"/>
    <w:rsid w:val="00E71086"/>
    <w:rsid w:val="00E71181"/>
    <w:rsid w:val="00E7124F"/>
    <w:rsid w:val="00E71292"/>
    <w:rsid w:val="00E712A4"/>
    <w:rsid w:val="00E712E6"/>
    <w:rsid w:val="00E713F2"/>
    <w:rsid w:val="00E71505"/>
    <w:rsid w:val="00E7160E"/>
    <w:rsid w:val="00E71843"/>
    <w:rsid w:val="00E7185A"/>
    <w:rsid w:val="00E718CB"/>
    <w:rsid w:val="00E71984"/>
    <w:rsid w:val="00E71AFE"/>
    <w:rsid w:val="00E71BBC"/>
    <w:rsid w:val="00E71C14"/>
    <w:rsid w:val="00E71C64"/>
    <w:rsid w:val="00E71D49"/>
    <w:rsid w:val="00E71D6F"/>
    <w:rsid w:val="00E71DDA"/>
    <w:rsid w:val="00E71E85"/>
    <w:rsid w:val="00E71E8B"/>
    <w:rsid w:val="00E71F25"/>
    <w:rsid w:val="00E71FC8"/>
    <w:rsid w:val="00E724A0"/>
    <w:rsid w:val="00E724F8"/>
    <w:rsid w:val="00E7251C"/>
    <w:rsid w:val="00E7258E"/>
    <w:rsid w:val="00E725E1"/>
    <w:rsid w:val="00E7278F"/>
    <w:rsid w:val="00E7284B"/>
    <w:rsid w:val="00E728D6"/>
    <w:rsid w:val="00E729B7"/>
    <w:rsid w:val="00E729BC"/>
    <w:rsid w:val="00E72A67"/>
    <w:rsid w:val="00E72ACC"/>
    <w:rsid w:val="00E72B28"/>
    <w:rsid w:val="00E72C5E"/>
    <w:rsid w:val="00E72D4F"/>
    <w:rsid w:val="00E72E73"/>
    <w:rsid w:val="00E72F05"/>
    <w:rsid w:val="00E73153"/>
    <w:rsid w:val="00E731DE"/>
    <w:rsid w:val="00E7323A"/>
    <w:rsid w:val="00E733B0"/>
    <w:rsid w:val="00E73404"/>
    <w:rsid w:val="00E73426"/>
    <w:rsid w:val="00E73446"/>
    <w:rsid w:val="00E734DB"/>
    <w:rsid w:val="00E7356E"/>
    <w:rsid w:val="00E73615"/>
    <w:rsid w:val="00E7366A"/>
    <w:rsid w:val="00E736F4"/>
    <w:rsid w:val="00E7381F"/>
    <w:rsid w:val="00E73AC5"/>
    <w:rsid w:val="00E73ACE"/>
    <w:rsid w:val="00E73B05"/>
    <w:rsid w:val="00E73C43"/>
    <w:rsid w:val="00E73C7E"/>
    <w:rsid w:val="00E73C85"/>
    <w:rsid w:val="00E73C96"/>
    <w:rsid w:val="00E73C9F"/>
    <w:rsid w:val="00E73D1B"/>
    <w:rsid w:val="00E73DD7"/>
    <w:rsid w:val="00E73E09"/>
    <w:rsid w:val="00E7402A"/>
    <w:rsid w:val="00E74139"/>
    <w:rsid w:val="00E741C0"/>
    <w:rsid w:val="00E74219"/>
    <w:rsid w:val="00E742BA"/>
    <w:rsid w:val="00E74403"/>
    <w:rsid w:val="00E744EE"/>
    <w:rsid w:val="00E74722"/>
    <w:rsid w:val="00E747F2"/>
    <w:rsid w:val="00E7486B"/>
    <w:rsid w:val="00E74883"/>
    <w:rsid w:val="00E748F5"/>
    <w:rsid w:val="00E74907"/>
    <w:rsid w:val="00E749B2"/>
    <w:rsid w:val="00E749F4"/>
    <w:rsid w:val="00E74ACB"/>
    <w:rsid w:val="00E74B06"/>
    <w:rsid w:val="00E74BA5"/>
    <w:rsid w:val="00E74BAF"/>
    <w:rsid w:val="00E74BB3"/>
    <w:rsid w:val="00E74C66"/>
    <w:rsid w:val="00E74E0D"/>
    <w:rsid w:val="00E74F48"/>
    <w:rsid w:val="00E75047"/>
    <w:rsid w:val="00E75147"/>
    <w:rsid w:val="00E751D3"/>
    <w:rsid w:val="00E75207"/>
    <w:rsid w:val="00E7522E"/>
    <w:rsid w:val="00E75267"/>
    <w:rsid w:val="00E752C0"/>
    <w:rsid w:val="00E753D8"/>
    <w:rsid w:val="00E75495"/>
    <w:rsid w:val="00E7549C"/>
    <w:rsid w:val="00E754B5"/>
    <w:rsid w:val="00E755E6"/>
    <w:rsid w:val="00E756E2"/>
    <w:rsid w:val="00E75719"/>
    <w:rsid w:val="00E757A3"/>
    <w:rsid w:val="00E75851"/>
    <w:rsid w:val="00E75869"/>
    <w:rsid w:val="00E75932"/>
    <w:rsid w:val="00E759E9"/>
    <w:rsid w:val="00E75A51"/>
    <w:rsid w:val="00E75B2E"/>
    <w:rsid w:val="00E75D6C"/>
    <w:rsid w:val="00E76039"/>
    <w:rsid w:val="00E760E9"/>
    <w:rsid w:val="00E76127"/>
    <w:rsid w:val="00E76148"/>
    <w:rsid w:val="00E761A2"/>
    <w:rsid w:val="00E76271"/>
    <w:rsid w:val="00E763DC"/>
    <w:rsid w:val="00E76508"/>
    <w:rsid w:val="00E76537"/>
    <w:rsid w:val="00E765FC"/>
    <w:rsid w:val="00E76648"/>
    <w:rsid w:val="00E76664"/>
    <w:rsid w:val="00E7670C"/>
    <w:rsid w:val="00E767C1"/>
    <w:rsid w:val="00E769BC"/>
    <w:rsid w:val="00E76AEC"/>
    <w:rsid w:val="00E76B91"/>
    <w:rsid w:val="00E76C31"/>
    <w:rsid w:val="00E76DA2"/>
    <w:rsid w:val="00E771B5"/>
    <w:rsid w:val="00E77205"/>
    <w:rsid w:val="00E7722E"/>
    <w:rsid w:val="00E7723C"/>
    <w:rsid w:val="00E7723F"/>
    <w:rsid w:val="00E77275"/>
    <w:rsid w:val="00E77375"/>
    <w:rsid w:val="00E774A5"/>
    <w:rsid w:val="00E77826"/>
    <w:rsid w:val="00E77855"/>
    <w:rsid w:val="00E7786C"/>
    <w:rsid w:val="00E779B4"/>
    <w:rsid w:val="00E77A65"/>
    <w:rsid w:val="00E77AB6"/>
    <w:rsid w:val="00E77C39"/>
    <w:rsid w:val="00E77C6C"/>
    <w:rsid w:val="00E77D1F"/>
    <w:rsid w:val="00E77D4C"/>
    <w:rsid w:val="00E77DEC"/>
    <w:rsid w:val="00E77E2B"/>
    <w:rsid w:val="00E77F10"/>
    <w:rsid w:val="00E77FC7"/>
    <w:rsid w:val="00E8003F"/>
    <w:rsid w:val="00E800B9"/>
    <w:rsid w:val="00E801BE"/>
    <w:rsid w:val="00E8028F"/>
    <w:rsid w:val="00E802FE"/>
    <w:rsid w:val="00E80330"/>
    <w:rsid w:val="00E805AA"/>
    <w:rsid w:val="00E805B6"/>
    <w:rsid w:val="00E8065A"/>
    <w:rsid w:val="00E806D9"/>
    <w:rsid w:val="00E807BE"/>
    <w:rsid w:val="00E8081A"/>
    <w:rsid w:val="00E808E5"/>
    <w:rsid w:val="00E8097C"/>
    <w:rsid w:val="00E80A3D"/>
    <w:rsid w:val="00E80B10"/>
    <w:rsid w:val="00E80BDC"/>
    <w:rsid w:val="00E80BF0"/>
    <w:rsid w:val="00E80C0F"/>
    <w:rsid w:val="00E80D59"/>
    <w:rsid w:val="00E80DFD"/>
    <w:rsid w:val="00E80EA9"/>
    <w:rsid w:val="00E80F8D"/>
    <w:rsid w:val="00E81034"/>
    <w:rsid w:val="00E810E2"/>
    <w:rsid w:val="00E81120"/>
    <w:rsid w:val="00E811D9"/>
    <w:rsid w:val="00E813DB"/>
    <w:rsid w:val="00E8161C"/>
    <w:rsid w:val="00E817C3"/>
    <w:rsid w:val="00E81832"/>
    <w:rsid w:val="00E81863"/>
    <w:rsid w:val="00E818AC"/>
    <w:rsid w:val="00E818BF"/>
    <w:rsid w:val="00E818DD"/>
    <w:rsid w:val="00E818E6"/>
    <w:rsid w:val="00E818F5"/>
    <w:rsid w:val="00E819BA"/>
    <w:rsid w:val="00E81BF5"/>
    <w:rsid w:val="00E81CA2"/>
    <w:rsid w:val="00E81CBB"/>
    <w:rsid w:val="00E81CF4"/>
    <w:rsid w:val="00E81DCB"/>
    <w:rsid w:val="00E81E1E"/>
    <w:rsid w:val="00E81EDB"/>
    <w:rsid w:val="00E81F05"/>
    <w:rsid w:val="00E81F41"/>
    <w:rsid w:val="00E81F78"/>
    <w:rsid w:val="00E81FA0"/>
    <w:rsid w:val="00E82055"/>
    <w:rsid w:val="00E82086"/>
    <w:rsid w:val="00E820B4"/>
    <w:rsid w:val="00E820D9"/>
    <w:rsid w:val="00E820E7"/>
    <w:rsid w:val="00E82161"/>
    <w:rsid w:val="00E82188"/>
    <w:rsid w:val="00E8225B"/>
    <w:rsid w:val="00E822C0"/>
    <w:rsid w:val="00E822D5"/>
    <w:rsid w:val="00E8230B"/>
    <w:rsid w:val="00E8236B"/>
    <w:rsid w:val="00E8245D"/>
    <w:rsid w:val="00E8246D"/>
    <w:rsid w:val="00E8250E"/>
    <w:rsid w:val="00E82A3C"/>
    <w:rsid w:val="00E82A86"/>
    <w:rsid w:val="00E82A9F"/>
    <w:rsid w:val="00E82AAF"/>
    <w:rsid w:val="00E82AC1"/>
    <w:rsid w:val="00E82B90"/>
    <w:rsid w:val="00E8301C"/>
    <w:rsid w:val="00E83043"/>
    <w:rsid w:val="00E8307C"/>
    <w:rsid w:val="00E8332E"/>
    <w:rsid w:val="00E83405"/>
    <w:rsid w:val="00E8344C"/>
    <w:rsid w:val="00E83475"/>
    <w:rsid w:val="00E83638"/>
    <w:rsid w:val="00E83657"/>
    <w:rsid w:val="00E836D9"/>
    <w:rsid w:val="00E83A88"/>
    <w:rsid w:val="00E83B9C"/>
    <w:rsid w:val="00E83CAF"/>
    <w:rsid w:val="00E83D5E"/>
    <w:rsid w:val="00E83E38"/>
    <w:rsid w:val="00E83ED5"/>
    <w:rsid w:val="00E83FE4"/>
    <w:rsid w:val="00E84045"/>
    <w:rsid w:val="00E84083"/>
    <w:rsid w:val="00E8417A"/>
    <w:rsid w:val="00E8418C"/>
    <w:rsid w:val="00E84236"/>
    <w:rsid w:val="00E8427A"/>
    <w:rsid w:val="00E84357"/>
    <w:rsid w:val="00E8446D"/>
    <w:rsid w:val="00E8455F"/>
    <w:rsid w:val="00E84561"/>
    <w:rsid w:val="00E845DA"/>
    <w:rsid w:val="00E8460D"/>
    <w:rsid w:val="00E84623"/>
    <w:rsid w:val="00E84683"/>
    <w:rsid w:val="00E847B7"/>
    <w:rsid w:val="00E847C5"/>
    <w:rsid w:val="00E84868"/>
    <w:rsid w:val="00E84889"/>
    <w:rsid w:val="00E84B6F"/>
    <w:rsid w:val="00E84BAB"/>
    <w:rsid w:val="00E84BC1"/>
    <w:rsid w:val="00E84BF4"/>
    <w:rsid w:val="00E84CC9"/>
    <w:rsid w:val="00E84D1E"/>
    <w:rsid w:val="00E84DDE"/>
    <w:rsid w:val="00E84FC3"/>
    <w:rsid w:val="00E850D7"/>
    <w:rsid w:val="00E851AB"/>
    <w:rsid w:val="00E8521E"/>
    <w:rsid w:val="00E852C8"/>
    <w:rsid w:val="00E85416"/>
    <w:rsid w:val="00E85476"/>
    <w:rsid w:val="00E855B0"/>
    <w:rsid w:val="00E856CF"/>
    <w:rsid w:val="00E85864"/>
    <w:rsid w:val="00E858A7"/>
    <w:rsid w:val="00E858BD"/>
    <w:rsid w:val="00E8596C"/>
    <w:rsid w:val="00E859C9"/>
    <w:rsid w:val="00E85BC8"/>
    <w:rsid w:val="00E85C80"/>
    <w:rsid w:val="00E85C84"/>
    <w:rsid w:val="00E85D21"/>
    <w:rsid w:val="00E85D82"/>
    <w:rsid w:val="00E85DE0"/>
    <w:rsid w:val="00E85DE3"/>
    <w:rsid w:val="00E85DFA"/>
    <w:rsid w:val="00E85E8F"/>
    <w:rsid w:val="00E85F59"/>
    <w:rsid w:val="00E85F6A"/>
    <w:rsid w:val="00E85FD0"/>
    <w:rsid w:val="00E861A7"/>
    <w:rsid w:val="00E861C7"/>
    <w:rsid w:val="00E86205"/>
    <w:rsid w:val="00E86239"/>
    <w:rsid w:val="00E86324"/>
    <w:rsid w:val="00E863D7"/>
    <w:rsid w:val="00E8645E"/>
    <w:rsid w:val="00E864B3"/>
    <w:rsid w:val="00E864B9"/>
    <w:rsid w:val="00E866FD"/>
    <w:rsid w:val="00E8674E"/>
    <w:rsid w:val="00E8688E"/>
    <w:rsid w:val="00E868B9"/>
    <w:rsid w:val="00E8693D"/>
    <w:rsid w:val="00E869BB"/>
    <w:rsid w:val="00E869E9"/>
    <w:rsid w:val="00E86A64"/>
    <w:rsid w:val="00E86B1D"/>
    <w:rsid w:val="00E86CD5"/>
    <w:rsid w:val="00E86D96"/>
    <w:rsid w:val="00E86DA1"/>
    <w:rsid w:val="00E86DBC"/>
    <w:rsid w:val="00E86DF1"/>
    <w:rsid w:val="00E86ECD"/>
    <w:rsid w:val="00E86EFC"/>
    <w:rsid w:val="00E86F64"/>
    <w:rsid w:val="00E86FA9"/>
    <w:rsid w:val="00E87042"/>
    <w:rsid w:val="00E8712D"/>
    <w:rsid w:val="00E8712E"/>
    <w:rsid w:val="00E87218"/>
    <w:rsid w:val="00E8727C"/>
    <w:rsid w:val="00E87642"/>
    <w:rsid w:val="00E8766C"/>
    <w:rsid w:val="00E8768C"/>
    <w:rsid w:val="00E8776F"/>
    <w:rsid w:val="00E8785A"/>
    <w:rsid w:val="00E87918"/>
    <w:rsid w:val="00E87935"/>
    <w:rsid w:val="00E87988"/>
    <w:rsid w:val="00E879A4"/>
    <w:rsid w:val="00E87A89"/>
    <w:rsid w:val="00E87AED"/>
    <w:rsid w:val="00E87AEF"/>
    <w:rsid w:val="00E87B76"/>
    <w:rsid w:val="00E87B79"/>
    <w:rsid w:val="00E87B9E"/>
    <w:rsid w:val="00E87BA0"/>
    <w:rsid w:val="00E87CC8"/>
    <w:rsid w:val="00E87D3D"/>
    <w:rsid w:val="00E87EAC"/>
    <w:rsid w:val="00E87F59"/>
    <w:rsid w:val="00E87FEE"/>
    <w:rsid w:val="00E9003E"/>
    <w:rsid w:val="00E900CE"/>
    <w:rsid w:val="00E90166"/>
    <w:rsid w:val="00E90375"/>
    <w:rsid w:val="00E90477"/>
    <w:rsid w:val="00E905FA"/>
    <w:rsid w:val="00E906C8"/>
    <w:rsid w:val="00E90732"/>
    <w:rsid w:val="00E90738"/>
    <w:rsid w:val="00E90743"/>
    <w:rsid w:val="00E90771"/>
    <w:rsid w:val="00E90868"/>
    <w:rsid w:val="00E9090D"/>
    <w:rsid w:val="00E909E4"/>
    <w:rsid w:val="00E90CDA"/>
    <w:rsid w:val="00E90D22"/>
    <w:rsid w:val="00E90E43"/>
    <w:rsid w:val="00E90E4E"/>
    <w:rsid w:val="00E90F23"/>
    <w:rsid w:val="00E9116C"/>
    <w:rsid w:val="00E9130F"/>
    <w:rsid w:val="00E91385"/>
    <w:rsid w:val="00E91389"/>
    <w:rsid w:val="00E913FB"/>
    <w:rsid w:val="00E91472"/>
    <w:rsid w:val="00E9153F"/>
    <w:rsid w:val="00E91542"/>
    <w:rsid w:val="00E91683"/>
    <w:rsid w:val="00E91690"/>
    <w:rsid w:val="00E91912"/>
    <w:rsid w:val="00E91BAA"/>
    <w:rsid w:val="00E91D9D"/>
    <w:rsid w:val="00E91DBF"/>
    <w:rsid w:val="00E91DF6"/>
    <w:rsid w:val="00E91F57"/>
    <w:rsid w:val="00E91FCD"/>
    <w:rsid w:val="00E92108"/>
    <w:rsid w:val="00E9213F"/>
    <w:rsid w:val="00E921E7"/>
    <w:rsid w:val="00E9222D"/>
    <w:rsid w:val="00E923BD"/>
    <w:rsid w:val="00E9252A"/>
    <w:rsid w:val="00E9252F"/>
    <w:rsid w:val="00E92548"/>
    <w:rsid w:val="00E92637"/>
    <w:rsid w:val="00E92711"/>
    <w:rsid w:val="00E927D1"/>
    <w:rsid w:val="00E927D3"/>
    <w:rsid w:val="00E92858"/>
    <w:rsid w:val="00E9285A"/>
    <w:rsid w:val="00E928DD"/>
    <w:rsid w:val="00E929AA"/>
    <w:rsid w:val="00E92A2D"/>
    <w:rsid w:val="00E92A72"/>
    <w:rsid w:val="00E92A76"/>
    <w:rsid w:val="00E92C70"/>
    <w:rsid w:val="00E92C80"/>
    <w:rsid w:val="00E92C8C"/>
    <w:rsid w:val="00E92C99"/>
    <w:rsid w:val="00E92D67"/>
    <w:rsid w:val="00E92D70"/>
    <w:rsid w:val="00E92E27"/>
    <w:rsid w:val="00E92E58"/>
    <w:rsid w:val="00E92F3B"/>
    <w:rsid w:val="00E9309B"/>
    <w:rsid w:val="00E930C6"/>
    <w:rsid w:val="00E9348A"/>
    <w:rsid w:val="00E935F3"/>
    <w:rsid w:val="00E9363C"/>
    <w:rsid w:val="00E936F5"/>
    <w:rsid w:val="00E9384E"/>
    <w:rsid w:val="00E93A0C"/>
    <w:rsid w:val="00E93E26"/>
    <w:rsid w:val="00E93E29"/>
    <w:rsid w:val="00E93E3D"/>
    <w:rsid w:val="00E93FDE"/>
    <w:rsid w:val="00E940C0"/>
    <w:rsid w:val="00E94282"/>
    <w:rsid w:val="00E942C6"/>
    <w:rsid w:val="00E9437B"/>
    <w:rsid w:val="00E943E4"/>
    <w:rsid w:val="00E94411"/>
    <w:rsid w:val="00E944F7"/>
    <w:rsid w:val="00E946E7"/>
    <w:rsid w:val="00E94734"/>
    <w:rsid w:val="00E94737"/>
    <w:rsid w:val="00E94796"/>
    <w:rsid w:val="00E947DD"/>
    <w:rsid w:val="00E94809"/>
    <w:rsid w:val="00E9481F"/>
    <w:rsid w:val="00E94861"/>
    <w:rsid w:val="00E94982"/>
    <w:rsid w:val="00E94A44"/>
    <w:rsid w:val="00E94ACF"/>
    <w:rsid w:val="00E94B13"/>
    <w:rsid w:val="00E94B4B"/>
    <w:rsid w:val="00E94C53"/>
    <w:rsid w:val="00E94CEF"/>
    <w:rsid w:val="00E94D1C"/>
    <w:rsid w:val="00E94D35"/>
    <w:rsid w:val="00E94DB0"/>
    <w:rsid w:val="00E95010"/>
    <w:rsid w:val="00E95074"/>
    <w:rsid w:val="00E95078"/>
    <w:rsid w:val="00E9509A"/>
    <w:rsid w:val="00E9523A"/>
    <w:rsid w:val="00E95248"/>
    <w:rsid w:val="00E9533B"/>
    <w:rsid w:val="00E9539B"/>
    <w:rsid w:val="00E953B4"/>
    <w:rsid w:val="00E953D5"/>
    <w:rsid w:val="00E95517"/>
    <w:rsid w:val="00E95582"/>
    <w:rsid w:val="00E955B0"/>
    <w:rsid w:val="00E956B6"/>
    <w:rsid w:val="00E956E5"/>
    <w:rsid w:val="00E9576B"/>
    <w:rsid w:val="00E957D5"/>
    <w:rsid w:val="00E957EF"/>
    <w:rsid w:val="00E958A5"/>
    <w:rsid w:val="00E95987"/>
    <w:rsid w:val="00E959B4"/>
    <w:rsid w:val="00E95AFF"/>
    <w:rsid w:val="00E95B03"/>
    <w:rsid w:val="00E95B38"/>
    <w:rsid w:val="00E95B5A"/>
    <w:rsid w:val="00E95B9B"/>
    <w:rsid w:val="00E95BA1"/>
    <w:rsid w:val="00E95C15"/>
    <w:rsid w:val="00E95CB1"/>
    <w:rsid w:val="00E95CF7"/>
    <w:rsid w:val="00E95E59"/>
    <w:rsid w:val="00E95F08"/>
    <w:rsid w:val="00E95F73"/>
    <w:rsid w:val="00E95F7E"/>
    <w:rsid w:val="00E95F85"/>
    <w:rsid w:val="00E95F8E"/>
    <w:rsid w:val="00E95FAC"/>
    <w:rsid w:val="00E96231"/>
    <w:rsid w:val="00E96271"/>
    <w:rsid w:val="00E9637E"/>
    <w:rsid w:val="00E963FC"/>
    <w:rsid w:val="00E96422"/>
    <w:rsid w:val="00E96511"/>
    <w:rsid w:val="00E96520"/>
    <w:rsid w:val="00E96567"/>
    <w:rsid w:val="00E965D3"/>
    <w:rsid w:val="00E967A8"/>
    <w:rsid w:val="00E9685F"/>
    <w:rsid w:val="00E96862"/>
    <w:rsid w:val="00E96926"/>
    <w:rsid w:val="00E96983"/>
    <w:rsid w:val="00E96A65"/>
    <w:rsid w:val="00E96AA1"/>
    <w:rsid w:val="00E96C4B"/>
    <w:rsid w:val="00E96D7C"/>
    <w:rsid w:val="00E96EDB"/>
    <w:rsid w:val="00E96EEF"/>
    <w:rsid w:val="00E9704D"/>
    <w:rsid w:val="00E970C5"/>
    <w:rsid w:val="00E970FB"/>
    <w:rsid w:val="00E97135"/>
    <w:rsid w:val="00E97143"/>
    <w:rsid w:val="00E97173"/>
    <w:rsid w:val="00E97230"/>
    <w:rsid w:val="00E97238"/>
    <w:rsid w:val="00E9723E"/>
    <w:rsid w:val="00E9725F"/>
    <w:rsid w:val="00E97309"/>
    <w:rsid w:val="00E97360"/>
    <w:rsid w:val="00E9742A"/>
    <w:rsid w:val="00E9745D"/>
    <w:rsid w:val="00E97485"/>
    <w:rsid w:val="00E97486"/>
    <w:rsid w:val="00E974EA"/>
    <w:rsid w:val="00E974FE"/>
    <w:rsid w:val="00E97566"/>
    <w:rsid w:val="00E975B6"/>
    <w:rsid w:val="00E9771D"/>
    <w:rsid w:val="00E977CF"/>
    <w:rsid w:val="00E9780D"/>
    <w:rsid w:val="00E978A6"/>
    <w:rsid w:val="00E978D9"/>
    <w:rsid w:val="00E978E8"/>
    <w:rsid w:val="00E97905"/>
    <w:rsid w:val="00E979D5"/>
    <w:rsid w:val="00E979E4"/>
    <w:rsid w:val="00E97AB2"/>
    <w:rsid w:val="00E97C96"/>
    <w:rsid w:val="00E97DCA"/>
    <w:rsid w:val="00E97F69"/>
    <w:rsid w:val="00EA01E3"/>
    <w:rsid w:val="00EA031E"/>
    <w:rsid w:val="00EA0326"/>
    <w:rsid w:val="00EA03E7"/>
    <w:rsid w:val="00EA050F"/>
    <w:rsid w:val="00EA065F"/>
    <w:rsid w:val="00EA0776"/>
    <w:rsid w:val="00EA09BD"/>
    <w:rsid w:val="00EA0A02"/>
    <w:rsid w:val="00EA0A32"/>
    <w:rsid w:val="00EA0ACA"/>
    <w:rsid w:val="00EA0B8F"/>
    <w:rsid w:val="00EA0C07"/>
    <w:rsid w:val="00EA0CAD"/>
    <w:rsid w:val="00EA0CDB"/>
    <w:rsid w:val="00EA0CF3"/>
    <w:rsid w:val="00EA0D08"/>
    <w:rsid w:val="00EA0DA2"/>
    <w:rsid w:val="00EA0DB7"/>
    <w:rsid w:val="00EA0DCF"/>
    <w:rsid w:val="00EA0E87"/>
    <w:rsid w:val="00EA1029"/>
    <w:rsid w:val="00EA107A"/>
    <w:rsid w:val="00EA10E3"/>
    <w:rsid w:val="00EA1150"/>
    <w:rsid w:val="00EA11D7"/>
    <w:rsid w:val="00EA13ED"/>
    <w:rsid w:val="00EA148E"/>
    <w:rsid w:val="00EA1494"/>
    <w:rsid w:val="00EA14E6"/>
    <w:rsid w:val="00EA14FE"/>
    <w:rsid w:val="00EA1588"/>
    <w:rsid w:val="00EA16E8"/>
    <w:rsid w:val="00EA17F7"/>
    <w:rsid w:val="00EA1853"/>
    <w:rsid w:val="00EA18C1"/>
    <w:rsid w:val="00EA191A"/>
    <w:rsid w:val="00EA194A"/>
    <w:rsid w:val="00EA1B70"/>
    <w:rsid w:val="00EA1B9F"/>
    <w:rsid w:val="00EA1C0C"/>
    <w:rsid w:val="00EA1E7F"/>
    <w:rsid w:val="00EA1FDA"/>
    <w:rsid w:val="00EA206E"/>
    <w:rsid w:val="00EA21DA"/>
    <w:rsid w:val="00EA2203"/>
    <w:rsid w:val="00EA2220"/>
    <w:rsid w:val="00EA231B"/>
    <w:rsid w:val="00EA24AB"/>
    <w:rsid w:val="00EA2510"/>
    <w:rsid w:val="00EA2538"/>
    <w:rsid w:val="00EA2685"/>
    <w:rsid w:val="00EA2694"/>
    <w:rsid w:val="00EA2765"/>
    <w:rsid w:val="00EA28E9"/>
    <w:rsid w:val="00EA290A"/>
    <w:rsid w:val="00EA292A"/>
    <w:rsid w:val="00EA29CF"/>
    <w:rsid w:val="00EA2AFC"/>
    <w:rsid w:val="00EA2BE7"/>
    <w:rsid w:val="00EA2D56"/>
    <w:rsid w:val="00EA2D58"/>
    <w:rsid w:val="00EA2EF5"/>
    <w:rsid w:val="00EA2F96"/>
    <w:rsid w:val="00EA3011"/>
    <w:rsid w:val="00EA301A"/>
    <w:rsid w:val="00EA3091"/>
    <w:rsid w:val="00EA3107"/>
    <w:rsid w:val="00EA32A2"/>
    <w:rsid w:val="00EA3343"/>
    <w:rsid w:val="00EA335A"/>
    <w:rsid w:val="00EA335D"/>
    <w:rsid w:val="00EA3361"/>
    <w:rsid w:val="00EA350D"/>
    <w:rsid w:val="00EA3631"/>
    <w:rsid w:val="00EA3644"/>
    <w:rsid w:val="00EA3669"/>
    <w:rsid w:val="00EA368B"/>
    <w:rsid w:val="00EA3696"/>
    <w:rsid w:val="00EA36C0"/>
    <w:rsid w:val="00EA36E9"/>
    <w:rsid w:val="00EA370C"/>
    <w:rsid w:val="00EA3728"/>
    <w:rsid w:val="00EA397F"/>
    <w:rsid w:val="00EA39A6"/>
    <w:rsid w:val="00EA39E6"/>
    <w:rsid w:val="00EA3A4A"/>
    <w:rsid w:val="00EA3A8F"/>
    <w:rsid w:val="00EA3AFE"/>
    <w:rsid w:val="00EA3B48"/>
    <w:rsid w:val="00EA3B61"/>
    <w:rsid w:val="00EA3BE3"/>
    <w:rsid w:val="00EA3CC1"/>
    <w:rsid w:val="00EA3DD8"/>
    <w:rsid w:val="00EA3E58"/>
    <w:rsid w:val="00EA40A9"/>
    <w:rsid w:val="00EA40D0"/>
    <w:rsid w:val="00EA41DB"/>
    <w:rsid w:val="00EA420E"/>
    <w:rsid w:val="00EA42CC"/>
    <w:rsid w:val="00EA436B"/>
    <w:rsid w:val="00EA437B"/>
    <w:rsid w:val="00EA43DD"/>
    <w:rsid w:val="00EA44F8"/>
    <w:rsid w:val="00EA4550"/>
    <w:rsid w:val="00EA4582"/>
    <w:rsid w:val="00EA4680"/>
    <w:rsid w:val="00EA4684"/>
    <w:rsid w:val="00EA4827"/>
    <w:rsid w:val="00EA4862"/>
    <w:rsid w:val="00EA48AF"/>
    <w:rsid w:val="00EA48E3"/>
    <w:rsid w:val="00EA4979"/>
    <w:rsid w:val="00EA49A4"/>
    <w:rsid w:val="00EA4BFF"/>
    <w:rsid w:val="00EA4C97"/>
    <w:rsid w:val="00EA4EA2"/>
    <w:rsid w:val="00EA4ED3"/>
    <w:rsid w:val="00EA4EFA"/>
    <w:rsid w:val="00EA4EFE"/>
    <w:rsid w:val="00EA51BD"/>
    <w:rsid w:val="00EA5244"/>
    <w:rsid w:val="00EA5294"/>
    <w:rsid w:val="00EA5301"/>
    <w:rsid w:val="00EA532F"/>
    <w:rsid w:val="00EA537E"/>
    <w:rsid w:val="00EA550A"/>
    <w:rsid w:val="00EA5571"/>
    <w:rsid w:val="00EA55BB"/>
    <w:rsid w:val="00EA5640"/>
    <w:rsid w:val="00EA5658"/>
    <w:rsid w:val="00EA56DB"/>
    <w:rsid w:val="00EA56E9"/>
    <w:rsid w:val="00EA5725"/>
    <w:rsid w:val="00EA57AE"/>
    <w:rsid w:val="00EA5803"/>
    <w:rsid w:val="00EA58E4"/>
    <w:rsid w:val="00EA5956"/>
    <w:rsid w:val="00EA597A"/>
    <w:rsid w:val="00EA59EC"/>
    <w:rsid w:val="00EA5A2A"/>
    <w:rsid w:val="00EA5ABF"/>
    <w:rsid w:val="00EA5C06"/>
    <w:rsid w:val="00EA5C25"/>
    <w:rsid w:val="00EA5CA3"/>
    <w:rsid w:val="00EA5CF1"/>
    <w:rsid w:val="00EA5CF3"/>
    <w:rsid w:val="00EA5D04"/>
    <w:rsid w:val="00EA5D43"/>
    <w:rsid w:val="00EA5D6F"/>
    <w:rsid w:val="00EA5DF6"/>
    <w:rsid w:val="00EA5E95"/>
    <w:rsid w:val="00EA5F46"/>
    <w:rsid w:val="00EA60C4"/>
    <w:rsid w:val="00EA6129"/>
    <w:rsid w:val="00EA61AF"/>
    <w:rsid w:val="00EA632E"/>
    <w:rsid w:val="00EA63BF"/>
    <w:rsid w:val="00EA6406"/>
    <w:rsid w:val="00EA6456"/>
    <w:rsid w:val="00EA65FC"/>
    <w:rsid w:val="00EA6666"/>
    <w:rsid w:val="00EA66F0"/>
    <w:rsid w:val="00EA6796"/>
    <w:rsid w:val="00EA6805"/>
    <w:rsid w:val="00EA68C9"/>
    <w:rsid w:val="00EA6992"/>
    <w:rsid w:val="00EA6A33"/>
    <w:rsid w:val="00EA6BED"/>
    <w:rsid w:val="00EA6C88"/>
    <w:rsid w:val="00EA6D84"/>
    <w:rsid w:val="00EA6DCF"/>
    <w:rsid w:val="00EA6EA9"/>
    <w:rsid w:val="00EA6EF7"/>
    <w:rsid w:val="00EA6F84"/>
    <w:rsid w:val="00EA7069"/>
    <w:rsid w:val="00EA713F"/>
    <w:rsid w:val="00EA71E5"/>
    <w:rsid w:val="00EA7250"/>
    <w:rsid w:val="00EA72AA"/>
    <w:rsid w:val="00EA72B2"/>
    <w:rsid w:val="00EA72E9"/>
    <w:rsid w:val="00EA731A"/>
    <w:rsid w:val="00EA7492"/>
    <w:rsid w:val="00EA7514"/>
    <w:rsid w:val="00EA7524"/>
    <w:rsid w:val="00EA7585"/>
    <w:rsid w:val="00EA75F8"/>
    <w:rsid w:val="00EA7604"/>
    <w:rsid w:val="00EA776A"/>
    <w:rsid w:val="00EA7803"/>
    <w:rsid w:val="00EA790D"/>
    <w:rsid w:val="00EA7C52"/>
    <w:rsid w:val="00EA7D98"/>
    <w:rsid w:val="00EA7DA1"/>
    <w:rsid w:val="00EA7E29"/>
    <w:rsid w:val="00EA7E7D"/>
    <w:rsid w:val="00EA7EE7"/>
    <w:rsid w:val="00EA7EEF"/>
    <w:rsid w:val="00EA7FD9"/>
    <w:rsid w:val="00EB0178"/>
    <w:rsid w:val="00EB01D4"/>
    <w:rsid w:val="00EB01E2"/>
    <w:rsid w:val="00EB028B"/>
    <w:rsid w:val="00EB0317"/>
    <w:rsid w:val="00EB0427"/>
    <w:rsid w:val="00EB066C"/>
    <w:rsid w:val="00EB06A4"/>
    <w:rsid w:val="00EB06FF"/>
    <w:rsid w:val="00EB0804"/>
    <w:rsid w:val="00EB088C"/>
    <w:rsid w:val="00EB09C1"/>
    <w:rsid w:val="00EB0B10"/>
    <w:rsid w:val="00EB0CC1"/>
    <w:rsid w:val="00EB0F3D"/>
    <w:rsid w:val="00EB0FFE"/>
    <w:rsid w:val="00EB102D"/>
    <w:rsid w:val="00EB1149"/>
    <w:rsid w:val="00EB11DD"/>
    <w:rsid w:val="00EB13A9"/>
    <w:rsid w:val="00EB14A8"/>
    <w:rsid w:val="00EB1639"/>
    <w:rsid w:val="00EB1640"/>
    <w:rsid w:val="00EB16D9"/>
    <w:rsid w:val="00EB17A3"/>
    <w:rsid w:val="00EB1841"/>
    <w:rsid w:val="00EB188E"/>
    <w:rsid w:val="00EB18B8"/>
    <w:rsid w:val="00EB190F"/>
    <w:rsid w:val="00EB193E"/>
    <w:rsid w:val="00EB1992"/>
    <w:rsid w:val="00EB19F4"/>
    <w:rsid w:val="00EB1B14"/>
    <w:rsid w:val="00EB1B2E"/>
    <w:rsid w:val="00EB1B4C"/>
    <w:rsid w:val="00EB1C88"/>
    <w:rsid w:val="00EB1D17"/>
    <w:rsid w:val="00EB1DDC"/>
    <w:rsid w:val="00EB1E0C"/>
    <w:rsid w:val="00EB1F33"/>
    <w:rsid w:val="00EB1F89"/>
    <w:rsid w:val="00EB20D4"/>
    <w:rsid w:val="00EB211C"/>
    <w:rsid w:val="00EB223B"/>
    <w:rsid w:val="00EB2265"/>
    <w:rsid w:val="00EB22CD"/>
    <w:rsid w:val="00EB2462"/>
    <w:rsid w:val="00EB24A5"/>
    <w:rsid w:val="00EB256E"/>
    <w:rsid w:val="00EB2574"/>
    <w:rsid w:val="00EB2591"/>
    <w:rsid w:val="00EB25A6"/>
    <w:rsid w:val="00EB27CC"/>
    <w:rsid w:val="00EB2902"/>
    <w:rsid w:val="00EB2983"/>
    <w:rsid w:val="00EB2985"/>
    <w:rsid w:val="00EB29C1"/>
    <w:rsid w:val="00EB2A2C"/>
    <w:rsid w:val="00EB2B79"/>
    <w:rsid w:val="00EB2BD6"/>
    <w:rsid w:val="00EB2C43"/>
    <w:rsid w:val="00EB2C93"/>
    <w:rsid w:val="00EB2DB4"/>
    <w:rsid w:val="00EB2E0E"/>
    <w:rsid w:val="00EB2E4B"/>
    <w:rsid w:val="00EB2E6C"/>
    <w:rsid w:val="00EB2E84"/>
    <w:rsid w:val="00EB2FAB"/>
    <w:rsid w:val="00EB30DD"/>
    <w:rsid w:val="00EB30DF"/>
    <w:rsid w:val="00EB310C"/>
    <w:rsid w:val="00EB315F"/>
    <w:rsid w:val="00EB31B5"/>
    <w:rsid w:val="00EB32AF"/>
    <w:rsid w:val="00EB354E"/>
    <w:rsid w:val="00EB3601"/>
    <w:rsid w:val="00EB3654"/>
    <w:rsid w:val="00EB3760"/>
    <w:rsid w:val="00EB389F"/>
    <w:rsid w:val="00EB3A96"/>
    <w:rsid w:val="00EB3B7A"/>
    <w:rsid w:val="00EB3C48"/>
    <w:rsid w:val="00EB3C5F"/>
    <w:rsid w:val="00EB3E38"/>
    <w:rsid w:val="00EB3E99"/>
    <w:rsid w:val="00EB3EA4"/>
    <w:rsid w:val="00EB4004"/>
    <w:rsid w:val="00EB4031"/>
    <w:rsid w:val="00EB4046"/>
    <w:rsid w:val="00EB4179"/>
    <w:rsid w:val="00EB429C"/>
    <w:rsid w:val="00EB42C3"/>
    <w:rsid w:val="00EB42C4"/>
    <w:rsid w:val="00EB443B"/>
    <w:rsid w:val="00EB446E"/>
    <w:rsid w:val="00EB450A"/>
    <w:rsid w:val="00EB47D9"/>
    <w:rsid w:val="00EB484F"/>
    <w:rsid w:val="00EB4911"/>
    <w:rsid w:val="00EB4938"/>
    <w:rsid w:val="00EB4972"/>
    <w:rsid w:val="00EB49D4"/>
    <w:rsid w:val="00EB4AAF"/>
    <w:rsid w:val="00EB4B3B"/>
    <w:rsid w:val="00EB4BF4"/>
    <w:rsid w:val="00EB4C35"/>
    <w:rsid w:val="00EB4C85"/>
    <w:rsid w:val="00EB4CA4"/>
    <w:rsid w:val="00EB4D4D"/>
    <w:rsid w:val="00EB4E35"/>
    <w:rsid w:val="00EB4F21"/>
    <w:rsid w:val="00EB4F96"/>
    <w:rsid w:val="00EB5035"/>
    <w:rsid w:val="00EB50F7"/>
    <w:rsid w:val="00EB532D"/>
    <w:rsid w:val="00EB53F8"/>
    <w:rsid w:val="00EB5521"/>
    <w:rsid w:val="00EB55D6"/>
    <w:rsid w:val="00EB564F"/>
    <w:rsid w:val="00EB567F"/>
    <w:rsid w:val="00EB577C"/>
    <w:rsid w:val="00EB5784"/>
    <w:rsid w:val="00EB57A3"/>
    <w:rsid w:val="00EB5816"/>
    <w:rsid w:val="00EB5832"/>
    <w:rsid w:val="00EB584C"/>
    <w:rsid w:val="00EB595C"/>
    <w:rsid w:val="00EB5999"/>
    <w:rsid w:val="00EB5A03"/>
    <w:rsid w:val="00EB5A53"/>
    <w:rsid w:val="00EB5A69"/>
    <w:rsid w:val="00EB5B7D"/>
    <w:rsid w:val="00EB5BD9"/>
    <w:rsid w:val="00EB5C84"/>
    <w:rsid w:val="00EB5D2C"/>
    <w:rsid w:val="00EB5F55"/>
    <w:rsid w:val="00EB607C"/>
    <w:rsid w:val="00EB60C2"/>
    <w:rsid w:val="00EB60CC"/>
    <w:rsid w:val="00EB6148"/>
    <w:rsid w:val="00EB62D2"/>
    <w:rsid w:val="00EB6343"/>
    <w:rsid w:val="00EB6461"/>
    <w:rsid w:val="00EB64BC"/>
    <w:rsid w:val="00EB651A"/>
    <w:rsid w:val="00EB66AD"/>
    <w:rsid w:val="00EB6704"/>
    <w:rsid w:val="00EB6809"/>
    <w:rsid w:val="00EB6852"/>
    <w:rsid w:val="00EB6854"/>
    <w:rsid w:val="00EB6875"/>
    <w:rsid w:val="00EB6993"/>
    <w:rsid w:val="00EB69AA"/>
    <w:rsid w:val="00EB6A65"/>
    <w:rsid w:val="00EB6B5A"/>
    <w:rsid w:val="00EB6C65"/>
    <w:rsid w:val="00EB6D18"/>
    <w:rsid w:val="00EB6D57"/>
    <w:rsid w:val="00EB6DA7"/>
    <w:rsid w:val="00EB6E2F"/>
    <w:rsid w:val="00EB6F6D"/>
    <w:rsid w:val="00EB7059"/>
    <w:rsid w:val="00EB7086"/>
    <w:rsid w:val="00EB7096"/>
    <w:rsid w:val="00EB70A4"/>
    <w:rsid w:val="00EB70D7"/>
    <w:rsid w:val="00EB7104"/>
    <w:rsid w:val="00EB712E"/>
    <w:rsid w:val="00EB712F"/>
    <w:rsid w:val="00EB717B"/>
    <w:rsid w:val="00EB7227"/>
    <w:rsid w:val="00EB7269"/>
    <w:rsid w:val="00EB754A"/>
    <w:rsid w:val="00EB7579"/>
    <w:rsid w:val="00EB7696"/>
    <w:rsid w:val="00EB77C3"/>
    <w:rsid w:val="00EB7902"/>
    <w:rsid w:val="00EB7905"/>
    <w:rsid w:val="00EB7922"/>
    <w:rsid w:val="00EB7A05"/>
    <w:rsid w:val="00EB7B20"/>
    <w:rsid w:val="00EB7BC7"/>
    <w:rsid w:val="00EB7BCC"/>
    <w:rsid w:val="00EB7C31"/>
    <w:rsid w:val="00EB7C8F"/>
    <w:rsid w:val="00EB7CEA"/>
    <w:rsid w:val="00EB7CF7"/>
    <w:rsid w:val="00EB7D01"/>
    <w:rsid w:val="00EB7D2B"/>
    <w:rsid w:val="00EB7D53"/>
    <w:rsid w:val="00EB7EC1"/>
    <w:rsid w:val="00EB7F75"/>
    <w:rsid w:val="00EC005E"/>
    <w:rsid w:val="00EC00B9"/>
    <w:rsid w:val="00EC0129"/>
    <w:rsid w:val="00EC0156"/>
    <w:rsid w:val="00EC0158"/>
    <w:rsid w:val="00EC01C3"/>
    <w:rsid w:val="00EC02B6"/>
    <w:rsid w:val="00EC02DB"/>
    <w:rsid w:val="00EC0379"/>
    <w:rsid w:val="00EC03D8"/>
    <w:rsid w:val="00EC04D4"/>
    <w:rsid w:val="00EC059A"/>
    <w:rsid w:val="00EC05F7"/>
    <w:rsid w:val="00EC065C"/>
    <w:rsid w:val="00EC0837"/>
    <w:rsid w:val="00EC0852"/>
    <w:rsid w:val="00EC08CE"/>
    <w:rsid w:val="00EC0983"/>
    <w:rsid w:val="00EC0992"/>
    <w:rsid w:val="00EC0B27"/>
    <w:rsid w:val="00EC0B3A"/>
    <w:rsid w:val="00EC0B5E"/>
    <w:rsid w:val="00EC0BE9"/>
    <w:rsid w:val="00EC0C30"/>
    <w:rsid w:val="00EC0CA9"/>
    <w:rsid w:val="00EC0CBB"/>
    <w:rsid w:val="00EC0E7E"/>
    <w:rsid w:val="00EC0F90"/>
    <w:rsid w:val="00EC0FA9"/>
    <w:rsid w:val="00EC10EF"/>
    <w:rsid w:val="00EC1192"/>
    <w:rsid w:val="00EC1287"/>
    <w:rsid w:val="00EC134C"/>
    <w:rsid w:val="00EC1379"/>
    <w:rsid w:val="00EC1484"/>
    <w:rsid w:val="00EC148E"/>
    <w:rsid w:val="00EC15A9"/>
    <w:rsid w:val="00EC1702"/>
    <w:rsid w:val="00EC174F"/>
    <w:rsid w:val="00EC175D"/>
    <w:rsid w:val="00EC17A1"/>
    <w:rsid w:val="00EC1826"/>
    <w:rsid w:val="00EC188A"/>
    <w:rsid w:val="00EC18BC"/>
    <w:rsid w:val="00EC19BD"/>
    <w:rsid w:val="00EC1AB3"/>
    <w:rsid w:val="00EC1ABB"/>
    <w:rsid w:val="00EC1B5C"/>
    <w:rsid w:val="00EC1C0E"/>
    <w:rsid w:val="00EC1C1F"/>
    <w:rsid w:val="00EC1CD1"/>
    <w:rsid w:val="00EC1D33"/>
    <w:rsid w:val="00EC1D52"/>
    <w:rsid w:val="00EC1E0E"/>
    <w:rsid w:val="00EC1F85"/>
    <w:rsid w:val="00EC1FD8"/>
    <w:rsid w:val="00EC2126"/>
    <w:rsid w:val="00EC236F"/>
    <w:rsid w:val="00EC2378"/>
    <w:rsid w:val="00EC24A4"/>
    <w:rsid w:val="00EC24D2"/>
    <w:rsid w:val="00EC25B8"/>
    <w:rsid w:val="00EC2611"/>
    <w:rsid w:val="00EC2813"/>
    <w:rsid w:val="00EC2A1B"/>
    <w:rsid w:val="00EC2B00"/>
    <w:rsid w:val="00EC2B60"/>
    <w:rsid w:val="00EC2CB7"/>
    <w:rsid w:val="00EC2D78"/>
    <w:rsid w:val="00EC2FB2"/>
    <w:rsid w:val="00EC3223"/>
    <w:rsid w:val="00EC3348"/>
    <w:rsid w:val="00EC33C3"/>
    <w:rsid w:val="00EC342B"/>
    <w:rsid w:val="00EC3431"/>
    <w:rsid w:val="00EC361B"/>
    <w:rsid w:val="00EC3647"/>
    <w:rsid w:val="00EC36C0"/>
    <w:rsid w:val="00EC37B5"/>
    <w:rsid w:val="00EC385D"/>
    <w:rsid w:val="00EC3905"/>
    <w:rsid w:val="00EC3996"/>
    <w:rsid w:val="00EC3A27"/>
    <w:rsid w:val="00EC3A9A"/>
    <w:rsid w:val="00EC3B1F"/>
    <w:rsid w:val="00EC3C91"/>
    <w:rsid w:val="00EC3DF3"/>
    <w:rsid w:val="00EC3EB7"/>
    <w:rsid w:val="00EC3EC2"/>
    <w:rsid w:val="00EC3ECA"/>
    <w:rsid w:val="00EC3FCE"/>
    <w:rsid w:val="00EC3FFE"/>
    <w:rsid w:val="00EC40CE"/>
    <w:rsid w:val="00EC4127"/>
    <w:rsid w:val="00EC4383"/>
    <w:rsid w:val="00EC44EC"/>
    <w:rsid w:val="00EC45E9"/>
    <w:rsid w:val="00EC467C"/>
    <w:rsid w:val="00EC479A"/>
    <w:rsid w:val="00EC47FF"/>
    <w:rsid w:val="00EC489A"/>
    <w:rsid w:val="00EC497E"/>
    <w:rsid w:val="00EC49F6"/>
    <w:rsid w:val="00EC4A2E"/>
    <w:rsid w:val="00EC4AFB"/>
    <w:rsid w:val="00EC4C85"/>
    <w:rsid w:val="00EC4CEB"/>
    <w:rsid w:val="00EC4D51"/>
    <w:rsid w:val="00EC4DA2"/>
    <w:rsid w:val="00EC4E48"/>
    <w:rsid w:val="00EC50B6"/>
    <w:rsid w:val="00EC50BE"/>
    <w:rsid w:val="00EC50C0"/>
    <w:rsid w:val="00EC5101"/>
    <w:rsid w:val="00EC513C"/>
    <w:rsid w:val="00EC51E6"/>
    <w:rsid w:val="00EC535A"/>
    <w:rsid w:val="00EC53EF"/>
    <w:rsid w:val="00EC53F4"/>
    <w:rsid w:val="00EC5568"/>
    <w:rsid w:val="00EC5641"/>
    <w:rsid w:val="00EC566E"/>
    <w:rsid w:val="00EC5829"/>
    <w:rsid w:val="00EC5898"/>
    <w:rsid w:val="00EC595A"/>
    <w:rsid w:val="00EC59A8"/>
    <w:rsid w:val="00EC5A25"/>
    <w:rsid w:val="00EC5A37"/>
    <w:rsid w:val="00EC5AA5"/>
    <w:rsid w:val="00EC5CCB"/>
    <w:rsid w:val="00EC5E13"/>
    <w:rsid w:val="00EC604F"/>
    <w:rsid w:val="00EC6101"/>
    <w:rsid w:val="00EC611E"/>
    <w:rsid w:val="00EC618E"/>
    <w:rsid w:val="00EC61FA"/>
    <w:rsid w:val="00EC629C"/>
    <w:rsid w:val="00EC62D6"/>
    <w:rsid w:val="00EC62F5"/>
    <w:rsid w:val="00EC62FE"/>
    <w:rsid w:val="00EC63D0"/>
    <w:rsid w:val="00EC6511"/>
    <w:rsid w:val="00EC6556"/>
    <w:rsid w:val="00EC67A0"/>
    <w:rsid w:val="00EC67D4"/>
    <w:rsid w:val="00EC69D1"/>
    <w:rsid w:val="00EC6BB1"/>
    <w:rsid w:val="00EC6C25"/>
    <w:rsid w:val="00EC6C93"/>
    <w:rsid w:val="00EC6C9D"/>
    <w:rsid w:val="00EC6CE0"/>
    <w:rsid w:val="00EC6D5B"/>
    <w:rsid w:val="00EC6DCE"/>
    <w:rsid w:val="00EC6E63"/>
    <w:rsid w:val="00EC6EA5"/>
    <w:rsid w:val="00EC6F3E"/>
    <w:rsid w:val="00EC6FDD"/>
    <w:rsid w:val="00EC7039"/>
    <w:rsid w:val="00EC7108"/>
    <w:rsid w:val="00EC712C"/>
    <w:rsid w:val="00EC714D"/>
    <w:rsid w:val="00EC71B1"/>
    <w:rsid w:val="00EC71C3"/>
    <w:rsid w:val="00EC73D8"/>
    <w:rsid w:val="00EC7459"/>
    <w:rsid w:val="00EC74D0"/>
    <w:rsid w:val="00EC7572"/>
    <w:rsid w:val="00EC766E"/>
    <w:rsid w:val="00EC7691"/>
    <w:rsid w:val="00EC76A1"/>
    <w:rsid w:val="00EC7723"/>
    <w:rsid w:val="00EC776C"/>
    <w:rsid w:val="00EC7775"/>
    <w:rsid w:val="00EC7868"/>
    <w:rsid w:val="00EC787E"/>
    <w:rsid w:val="00EC7AA7"/>
    <w:rsid w:val="00EC7AED"/>
    <w:rsid w:val="00EC7BF0"/>
    <w:rsid w:val="00EC7BF1"/>
    <w:rsid w:val="00EC7C02"/>
    <w:rsid w:val="00EC7C61"/>
    <w:rsid w:val="00EC7CCB"/>
    <w:rsid w:val="00EC7D54"/>
    <w:rsid w:val="00EC7D67"/>
    <w:rsid w:val="00EC7DE9"/>
    <w:rsid w:val="00EC7E5D"/>
    <w:rsid w:val="00EC7E6F"/>
    <w:rsid w:val="00EC7ED9"/>
    <w:rsid w:val="00EC7F55"/>
    <w:rsid w:val="00EC7F69"/>
    <w:rsid w:val="00EC7FE9"/>
    <w:rsid w:val="00ED0071"/>
    <w:rsid w:val="00ED00F3"/>
    <w:rsid w:val="00ED0256"/>
    <w:rsid w:val="00ED03EA"/>
    <w:rsid w:val="00ED041C"/>
    <w:rsid w:val="00ED05D3"/>
    <w:rsid w:val="00ED05D9"/>
    <w:rsid w:val="00ED0750"/>
    <w:rsid w:val="00ED0899"/>
    <w:rsid w:val="00ED08FA"/>
    <w:rsid w:val="00ED09BD"/>
    <w:rsid w:val="00ED0B80"/>
    <w:rsid w:val="00ED0C83"/>
    <w:rsid w:val="00ED0CD6"/>
    <w:rsid w:val="00ED0D94"/>
    <w:rsid w:val="00ED0DD1"/>
    <w:rsid w:val="00ED0EAB"/>
    <w:rsid w:val="00ED0ED6"/>
    <w:rsid w:val="00ED0FC5"/>
    <w:rsid w:val="00ED1044"/>
    <w:rsid w:val="00ED11B3"/>
    <w:rsid w:val="00ED11D8"/>
    <w:rsid w:val="00ED1245"/>
    <w:rsid w:val="00ED12FE"/>
    <w:rsid w:val="00ED13B2"/>
    <w:rsid w:val="00ED14A7"/>
    <w:rsid w:val="00ED1576"/>
    <w:rsid w:val="00ED15F7"/>
    <w:rsid w:val="00ED166C"/>
    <w:rsid w:val="00ED1695"/>
    <w:rsid w:val="00ED1822"/>
    <w:rsid w:val="00ED191F"/>
    <w:rsid w:val="00ED19D3"/>
    <w:rsid w:val="00ED1A09"/>
    <w:rsid w:val="00ED1AA9"/>
    <w:rsid w:val="00ED1ADA"/>
    <w:rsid w:val="00ED1AE3"/>
    <w:rsid w:val="00ED1B15"/>
    <w:rsid w:val="00ED1B71"/>
    <w:rsid w:val="00ED1C40"/>
    <w:rsid w:val="00ED1C85"/>
    <w:rsid w:val="00ED1CE3"/>
    <w:rsid w:val="00ED1D17"/>
    <w:rsid w:val="00ED1D29"/>
    <w:rsid w:val="00ED1DFF"/>
    <w:rsid w:val="00ED1E07"/>
    <w:rsid w:val="00ED1E4A"/>
    <w:rsid w:val="00ED1EFC"/>
    <w:rsid w:val="00ED20BB"/>
    <w:rsid w:val="00ED20EF"/>
    <w:rsid w:val="00ED2342"/>
    <w:rsid w:val="00ED23C7"/>
    <w:rsid w:val="00ED2616"/>
    <w:rsid w:val="00ED268B"/>
    <w:rsid w:val="00ED2707"/>
    <w:rsid w:val="00ED274D"/>
    <w:rsid w:val="00ED27A7"/>
    <w:rsid w:val="00ED28BD"/>
    <w:rsid w:val="00ED2B3F"/>
    <w:rsid w:val="00ED2B46"/>
    <w:rsid w:val="00ED2B93"/>
    <w:rsid w:val="00ED2BFE"/>
    <w:rsid w:val="00ED2C50"/>
    <w:rsid w:val="00ED2D99"/>
    <w:rsid w:val="00ED2DF6"/>
    <w:rsid w:val="00ED2F17"/>
    <w:rsid w:val="00ED2F67"/>
    <w:rsid w:val="00ED32BF"/>
    <w:rsid w:val="00ED3302"/>
    <w:rsid w:val="00ED3336"/>
    <w:rsid w:val="00ED3424"/>
    <w:rsid w:val="00ED3447"/>
    <w:rsid w:val="00ED355F"/>
    <w:rsid w:val="00ED359D"/>
    <w:rsid w:val="00ED3778"/>
    <w:rsid w:val="00ED378C"/>
    <w:rsid w:val="00ED3B12"/>
    <w:rsid w:val="00ED3C6D"/>
    <w:rsid w:val="00ED3D32"/>
    <w:rsid w:val="00ED3ED7"/>
    <w:rsid w:val="00ED3EF5"/>
    <w:rsid w:val="00ED3FF7"/>
    <w:rsid w:val="00ED4010"/>
    <w:rsid w:val="00ED4017"/>
    <w:rsid w:val="00ED405B"/>
    <w:rsid w:val="00ED4164"/>
    <w:rsid w:val="00ED41A0"/>
    <w:rsid w:val="00ED42C0"/>
    <w:rsid w:val="00ED42D0"/>
    <w:rsid w:val="00ED438B"/>
    <w:rsid w:val="00ED43CF"/>
    <w:rsid w:val="00ED440F"/>
    <w:rsid w:val="00ED4410"/>
    <w:rsid w:val="00ED444C"/>
    <w:rsid w:val="00ED4460"/>
    <w:rsid w:val="00ED453B"/>
    <w:rsid w:val="00ED4543"/>
    <w:rsid w:val="00ED45F1"/>
    <w:rsid w:val="00ED46CD"/>
    <w:rsid w:val="00ED472D"/>
    <w:rsid w:val="00ED474B"/>
    <w:rsid w:val="00ED492B"/>
    <w:rsid w:val="00ED4953"/>
    <w:rsid w:val="00ED49DF"/>
    <w:rsid w:val="00ED4AE5"/>
    <w:rsid w:val="00ED4BDB"/>
    <w:rsid w:val="00ED4BE6"/>
    <w:rsid w:val="00ED4C5A"/>
    <w:rsid w:val="00ED4E6B"/>
    <w:rsid w:val="00ED4E98"/>
    <w:rsid w:val="00ED4ED4"/>
    <w:rsid w:val="00ED4F4F"/>
    <w:rsid w:val="00ED4F93"/>
    <w:rsid w:val="00ED4F9A"/>
    <w:rsid w:val="00ED4FFD"/>
    <w:rsid w:val="00ED508D"/>
    <w:rsid w:val="00ED50F4"/>
    <w:rsid w:val="00ED5138"/>
    <w:rsid w:val="00ED51C5"/>
    <w:rsid w:val="00ED5253"/>
    <w:rsid w:val="00ED53D5"/>
    <w:rsid w:val="00ED5458"/>
    <w:rsid w:val="00ED5491"/>
    <w:rsid w:val="00ED54C4"/>
    <w:rsid w:val="00ED5639"/>
    <w:rsid w:val="00ED5734"/>
    <w:rsid w:val="00ED573C"/>
    <w:rsid w:val="00ED576C"/>
    <w:rsid w:val="00ED581A"/>
    <w:rsid w:val="00ED5A99"/>
    <w:rsid w:val="00ED5AE3"/>
    <w:rsid w:val="00ED5AFB"/>
    <w:rsid w:val="00ED5B08"/>
    <w:rsid w:val="00ED5B44"/>
    <w:rsid w:val="00ED5BAA"/>
    <w:rsid w:val="00ED5BE6"/>
    <w:rsid w:val="00ED5CBA"/>
    <w:rsid w:val="00ED5DEF"/>
    <w:rsid w:val="00ED5E41"/>
    <w:rsid w:val="00ED5EF3"/>
    <w:rsid w:val="00ED6062"/>
    <w:rsid w:val="00ED60EE"/>
    <w:rsid w:val="00ED61DC"/>
    <w:rsid w:val="00ED6204"/>
    <w:rsid w:val="00ED62CE"/>
    <w:rsid w:val="00ED639A"/>
    <w:rsid w:val="00ED6404"/>
    <w:rsid w:val="00ED6452"/>
    <w:rsid w:val="00ED65A0"/>
    <w:rsid w:val="00ED66D2"/>
    <w:rsid w:val="00ED678C"/>
    <w:rsid w:val="00ED68FE"/>
    <w:rsid w:val="00ED6A7B"/>
    <w:rsid w:val="00ED6AA0"/>
    <w:rsid w:val="00ED6AFE"/>
    <w:rsid w:val="00ED6CCE"/>
    <w:rsid w:val="00ED706C"/>
    <w:rsid w:val="00ED71E1"/>
    <w:rsid w:val="00ED72C3"/>
    <w:rsid w:val="00ED72CA"/>
    <w:rsid w:val="00ED7321"/>
    <w:rsid w:val="00ED749C"/>
    <w:rsid w:val="00ED76AA"/>
    <w:rsid w:val="00ED76F6"/>
    <w:rsid w:val="00ED788E"/>
    <w:rsid w:val="00ED7977"/>
    <w:rsid w:val="00ED7A0F"/>
    <w:rsid w:val="00ED7C2D"/>
    <w:rsid w:val="00ED7CAD"/>
    <w:rsid w:val="00ED7D08"/>
    <w:rsid w:val="00ED7D12"/>
    <w:rsid w:val="00EDB02E"/>
    <w:rsid w:val="00EE00A3"/>
    <w:rsid w:val="00EE00E1"/>
    <w:rsid w:val="00EE026B"/>
    <w:rsid w:val="00EE02BC"/>
    <w:rsid w:val="00EE0311"/>
    <w:rsid w:val="00EE036C"/>
    <w:rsid w:val="00EE050E"/>
    <w:rsid w:val="00EE05A7"/>
    <w:rsid w:val="00EE05C3"/>
    <w:rsid w:val="00EE0674"/>
    <w:rsid w:val="00EE082D"/>
    <w:rsid w:val="00EE0864"/>
    <w:rsid w:val="00EE08F4"/>
    <w:rsid w:val="00EE096A"/>
    <w:rsid w:val="00EE0BC5"/>
    <w:rsid w:val="00EE0DF5"/>
    <w:rsid w:val="00EE0E41"/>
    <w:rsid w:val="00EE0E4B"/>
    <w:rsid w:val="00EE0E6B"/>
    <w:rsid w:val="00EE0EE6"/>
    <w:rsid w:val="00EE0F96"/>
    <w:rsid w:val="00EE100F"/>
    <w:rsid w:val="00EE1100"/>
    <w:rsid w:val="00EE1112"/>
    <w:rsid w:val="00EE1166"/>
    <w:rsid w:val="00EE12DD"/>
    <w:rsid w:val="00EE12DE"/>
    <w:rsid w:val="00EE1384"/>
    <w:rsid w:val="00EE1389"/>
    <w:rsid w:val="00EE1458"/>
    <w:rsid w:val="00EE1464"/>
    <w:rsid w:val="00EE148B"/>
    <w:rsid w:val="00EE14A6"/>
    <w:rsid w:val="00EE14F2"/>
    <w:rsid w:val="00EE154E"/>
    <w:rsid w:val="00EE15E3"/>
    <w:rsid w:val="00EE166D"/>
    <w:rsid w:val="00EE1715"/>
    <w:rsid w:val="00EE1762"/>
    <w:rsid w:val="00EE1786"/>
    <w:rsid w:val="00EE1796"/>
    <w:rsid w:val="00EE17F7"/>
    <w:rsid w:val="00EE185B"/>
    <w:rsid w:val="00EE1921"/>
    <w:rsid w:val="00EE1962"/>
    <w:rsid w:val="00EE198E"/>
    <w:rsid w:val="00EE1A2A"/>
    <w:rsid w:val="00EE1AA8"/>
    <w:rsid w:val="00EE1DA4"/>
    <w:rsid w:val="00EE1E49"/>
    <w:rsid w:val="00EE1E77"/>
    <w:rsid w:val="00EE1EF6"/>
    <w:rsid w:val="00EE1F92"/>
    <w:rsid w:val="00EE203C"/>
    <w:rsid w:val="00EE2075"/>
    <w:rsid w:val="00EE20F0"/>
    <w:rsid w:val="00EE2150"/>
    <w:rsid w:val="00EE21F2"/>
    <w:rsid w:val="00EE22A0"/>
    <w:rsid w:val="00EE2316"/>
    <w:rsid w:val="00EE237E"/>
    <w:rsid w:val="00EE25F8"/>
    <w:rsid w:val="00EE2617"/>
    <w:rsid w:val="00EE2627"/>
    <w:rsid w:val="00EE27C3"/>
    <w:rsid w:val="00EE27E7"/>
    <w:rsid w:val="00EE283E"/>
    <w:rsid w:val="00EE29EB"/>
    <w:rsid w:val="00EE2B3B"/>
    <w:rsid w:val="00EE2B6D"/>
    <w:rsid w:val="00EE2B7B"/>
    <w:rsid w:val="00EE2CE8"/>
    <w:rsid w:val="00EE2E2F"/>
    <w:rsid w:val="00EE2E4C"/>
    <w:rsid w:val="00EE2EFB"/>
    <w:rsid w:val="00EE2EFC"/>
    <w:rsid w:val="00EE2FEA"/>
    <w:rsid w:val="00EE30B9"/>
    <w:rsid w:val="00EE3202"/>
    <w:rsid w:val="00EE326A"/>
    <w:rsid w:val="00EE32A6"/>
    <w:rsid w:val="00EE32A9"/>
    <w:rsid w:val="00EE32B1"/>
    <w:rsid w:val="00EE32BD"/>
    <w:rsid w:val="00EE32F2"/>
    <w:rsid w:val="00EE336A"/>
    <w:rsid w:val="00EE33DB"/>
    <w:rsid w:val="00EE33EC"/>
    <w:rsid w:val="00EE351F"/>
    <w:rsid w:val="00EE356B"/>
    <w:rsid w:val="00EE3790"/>
    <w:rsid w:val="00EE3834"/>
    <w:rsid w:val="00EE385F"/>
    <w:rsid w:val="00EE39F3"/>
    <w:rsid w:val="00EE3BFE"/>
    <w:rsid w:val="00EE3D14"/>
    <w:rsid w:val="00EE3DBB"/>
    <w:rsid w:val="00EE3DCA"/>
    <w:rsid w:val="00EE3DF6"/>
    <w:rsid w:val="00EE4066"/>
    <w:rsid w:val="00EE40EB"/>
    <w:rsid w:val="00EE41B5"/>
    <w:rsid w:val="00EE4259"/>
    <w:rsid w:val="00EE42A9"/>
    <w:rsid w:val="00EE4305"/>
    <w:rsid w:val="00EE4377"/>
    <w:rsid w:val="00EE443B"/>
    <w:rsid w:val="00EE445D"/>
    <w:rsid w:val="00EE4616"/>
    <w:rsid w:val="00EE4618"/>
    <w:rsid w:val="00EE4643"/>
    <w:rsid w:val="00EE47CD"/>
    <w:rsid w:val="00EE481C"/>
    <w:rsid w:val="00EE48F7"/>
    <w:rsid w:val="00EE4902"/>
    <w:rsid w:val="00EE495C"/>
    <w:rsid w:val="00EE4A78"/>
    <w:rsid w:val="00EE4AC7"/>
    <w:rsid w:val="00EE4B28"/>
    <w:rsid w:val="00EE4B4C"/>
    <w:rsid w:val="00EE4B63"/>
    <w:rsid w:val="00EE4C2F"/>
    <w:rsid w:val="00EE4D2B"/>
    <w:rsid w:val="00EE4DD6"/>
    <w:rsid w:val="00EE4DD9"/>
    <w:rsid w:val="00EE4ED7"/>
    <w:rsid w:val="00EE4EE2"/>
    <w:rsid w:val="00EE4F1B"/>
    <w:rsid w:val="00EE5146"/>
    <w:rsid w:val="00EE517C"/>
    <w:rsid w:val="00EE528D"/>
    <w:rsid w:val="00EE52E1"/>
    <w:rsid w:val="00EE53E4"/>
    <w:rsid w:val="00EE5458"/>
    <w:rsid w:val="00EE54CC"/>
    <w:rsid w:val="00EE561A"/>
    <w:rsid w:val="00EE569A"/>
    <w:rsid w:val="00EE5721"/>
    <w:rsid w:val="00EE5739"/>
    <w:rsid w:val="00EE57C5"/>
    <w:rsid w:val="00EE5800"/>
    <w:rsid w:val="00EE5867"/>
    <w:rsid w:val="00EE58F1"/>
    <w:rsid w:val="00EE5934"/>
    <w:rsid w:val="00EE5A32"/>
    <w:rsid w:val="00EE5BDA"/>
    <w:rsid w:val="00EE5CD2"/>
    <w:rsid w:val="00EE5D1B"/>
    <w:rsid w:val="00EE5D2E"/>
    <w:rsid w:val="00EE5DB2"/>
    <w:rsid w:val="00EE5DE8"/>
    <w:rsid w:val="00EE5E4A"/>
    <w:rsid w:val="00EE5E4D"/>
    <w:rsid w:val="00EE5FE7"/>
    <w:rsid w:val="00EE6031"/>
    <w:rsid w:val="00EE616F"/>
    <w:rsid w:val="00EE62BE"/>
    <w:rsid w:val="00EE6313"/>
    <w:rsid w:val="00EE632D"/>
    <w:rsid w:val="00EE6399"/>
    <w:rsid w:val="00EE6497"/>
    <w:rsid w:val="00EE668A"/>
    <w:rsid w:val="00EE67CA"/>
    <w:rsid w:val="00EE67D9"/>
    <w:rsid w:val="00EE6816"/>
    <w:rsid w:val="00EE68FC"/>
    <w:rsid w:val="00EE690E"/>
    <w:rsid w:val="00EE6922"/>
    <w:rsid w:val="00EE6A24"/>
    <w:rsid w:val="00EE6A43"/>
    <w:rsid w:val="00EE6AC8"/>
    <w:rsid w:val="00EE6E2C"/>
    <w:rsid w:val="00EE6F01"/>
    <w:rsid w:val="00EE7050"/>
    <w:rsid w:val="00EE707E"/>
    <w:rsid w:val="00EE71C7"/>
    <w:rsid w:val="00EE725A"/>
    <w:rsid w:val="00EE72D3"/>
    <w:rsid w:val="00EE731A"/>
    <w:rsid w:val="00EE73FF"/>
    <w:rsid w:val="00EE75F8"/>
    <w:rsid w:val="00EE772F"/>
    <w:rsid w:val="00EE77C5"/>
    <w:rsid w:val="00EE785E"/>
    <w:rsid w:val="00EE788C"/>
    <w:rsid w:val="00EE7AD7"/>
    <w:rsid w:val="00EE7B52"/>
    <w:rsid w:val="00EE7BA8"/>
    <w:rsid w:val="00EE7C8E"/>
    <w:rsid w:val="00EE7D5F"/>
    <w:rsid w:val="00EE7E18"/>
    <w:rsid w:val="00EE7F5E"/>
    <w:rsid w:val="00EE7FE7"/>
    <w:rsid w:val="00EF007B"/>
    <w:rsid w:val="00EF00CC"/>
    <w:rsid w:val="00EF010F"/>
    <w:rsid w:val="00EF0128"/>
    <w:rsid w:val="00EF017C"/>
    <w:rsid w:val="00EF0231"/>
    <w:rsid w:val="00EF02D6"/>
    <w:rsid w:val="00EF0336"/>
    <w:rsid w:val="00EF0366"/>
    <w:rsid w:val="00EF042F"/>
    <w:rsid w:val="00EF04CB"/>
    <w:rsid w:val="00EF04E9"/>
    <w:rsid w:val="00EF04ED"/>
    <w:rsid w:val="00EF0643"/>
    <w:rsid w:val="00EF0720"/>
    <w:rsid w:val="00EF07C1"/>
    <w:rsid w:val="00EF07EF"/>
    <w:rsid w:val="00EF0801"/>
    <w:rsid w:val="00EF0812"/>
    <w:rsid w:val="00EF0860"/>
    <w:rsid w:val="00EF08B7"/>
    <w:rsid w:val="00EF08D2"/>
    <w:rsid w:val="00EF0C56"/>
    <w:rsid w:val="00EF0D4B"/>
    <w:rsid w:val="00EF0DEE"/>
    <w:rsid w:val="00EF0DF5"/>
    <w:rsid w:val="00EF0E0D"/>
    <w:rsid w:val="00EF0E19"/>
    <w:rsid w:val="00EF0E41"/>
    <w:rsid w:val="00EF0F65"/>
    <w:rsid w:val="00EF0FD9"/>
    <w:rsid w:val="00EF1027"/>
    <w:rsid w:val="00EF1079"/>
    <w:rsid w:val="00EF10A6"/>
    <w:rsid w:val="00EF1165"/>
    <w:rsid w:val="00EF12FB"/>
    <w:rsid w:val="00EF1481"/>
    <w:rsid w:val="00EF14A2"/>
    <w:rsid w:val="00EF1558"/>
    <w:rsid w:val="00EF15AB"/>
    <w:rsid w:val="00EF15B6"/>
    <w:rsid w:val="00EF16BF"/>
    <w:rsid w:val="00EF17C7"/>
    <w:rsid w:val="00EF1834"/>
    <w:rsid w:val="00EF18D1"/>
    <w:rsid w:val="00EF1969"/>
    <w:rsid w:val="00EF1DF3"/>
    <w:rsid w:val="00EF1E66"/>
    <w:rsid w:val="00EF1ECC"/>
    <w:rsid w:val="00EF1EE0"/>
    <w:rsid w:val="00EF205D"/>
    <w:rsid w:val="00EF20E4"/>
    <w:rsid w:val="00EF2174"/>
    <w:rsid w:val="00EF2410"/>
    <w:rsid w:val="00EF24C7"/>
    <w:rsid w:val="00EF25F9"/>
    <w:rsid w:val="00EF261A"/>
    <w:rsid w:val="00EF279C"/>
    <w:rsid w:val="00EF284E"/>
    <w:rsid w:val="00EF2857"/>
    <w:rsid w:val="00EF2884"/>
    <w:rsid w:val="00EF290C"/>
    <w:rsid w:val="00EF29E9"/>
    <w:rsid w:val="00EF2C9C"/>
    <w:rsid w:val="00EF2D6E"/>
    <w:rsid w:val="00EF2D83"/>
    <w:rsid w:val="00EF2E7C"/>
    <w:rsid w:val="00EF2EC5"/>
    <w:rsid w:val="00EF2EF8"/>
    <w:rsid w:val="00EF3066"/>
    <w:rsid w:val="00EF3092"/>
    <w:rsid w:val="00EF30E6"/>
    <w:rsid w:val="00EF315B"/>
    <w:rsid w:val="00EF322F"/>
    <w:rsid w:val="00EF32FF"/>
    <w:rsid w:val="00EF33B8"/>
    <w:rsid w:val="00EF3400"/>
    <w:rsid w:val="00EF34A6"/>
    <w:rsid w:val="00EF3541"/>
    <w:rsid w:val="00EF35AB"/>
    <w:rsid w:val="00EF3662"/>
    <w:rsid w:val="00EF36DF"/>
    <w:rsid w:val="00EF37CB"/>
    <w:rsid w:val="00EF37D7"/>
    <w:rsid w:val="00EF385B"/>
    <w:rsid w:val="00EF390E"/>
    <w:rsid w:val="00EF39B6"/>
    <w:rsid w:val="00EF3A10"/>
    <w:rsid w:val="00EF3A16"/>
    <w:rsid w:val="00EF3A44"/>
    <w:rsid w:val="00EF3ACD"/>
    <w:rsid w:val="00EF3CE6"/>
    <w:rsid w:val="00EF3D7B"/>
    <w:rsid w:val="00EF3D94"/>
    <w:rsid w:val="00EF3DFD"/>
    <w:rsid w:val="00EF3F63"/>
    <w:rsid w:val="00EF3F74"/>
    <w:rsid w:val="00EF4142"/>
    <w:rsid w:val="00EF41C8"/>
    <w:rsid w:val="00EF434C"/>
    <w:rsid w:val="00EF4423"/>
    <w:rsid w:val="00EF4468"/>
    <w:rsid w:val="00EF4642"/>
    <w:rsid w:val="00EF46BD"/>
    <w:rsid w:val="00EF4764"/>
    <w:rsid w:val="00EF480A"/>
    <w:rsid w:val="00EF4843"/>
    <w:rsid w:val="00EF48D9"/>
    <w:rsid w:val="00EF4924"/>
    <w:rsid w:val="00EF4A07"/>
    <w:rsid w:val="00EF4B89"/>
    <w:rsid w:val="00EF4C1B"/>
    <w:rsid w:val="00EF4CA1"/>
    <w:rsid w:val="00EF4D40"/>
    <w:rsid w:val="00EF4DB5"/>
    <w:rsid w:val="00EF4DE7"/>
    <w:rsid w:val="00EF4EE0"/>
    <w:rsid w:val="00EF4F27"/>
    <w:rsid w:val="00EF4FD8"/>
    <w:rsid w:val="00EF5002"/>
    <w:rsid w:val="00EF5334"/>
    <w:rsid w:val="00EF547F"/>
    <w:rsid w:val="00EF55ED"/>
    <w:rsid w:val="00EF56E8"/>
    <w:rsid w:val="00EF59A8"/>
    <w:rsid w:val="00EF59B1"/>
    <w:rsid w:val="00EF59D9"/>
    <w:rsid w:val="00EF59F3"/>
    <w:rsid w:val="00EF5A00"/>
    <w:rsid w:val="00EF5B54"/>
    <w:rsid w:val="00EF5BE4"/>
    <w:rsid w:val="00EF5D8B"/>
    <w:rsid w:val="00EF5EA2"/>
    <w:rsid w:val="00EF5EF6"/>
    <w:rsid w:val="00EF602C"/>
    <w:rsid w:val="00EF608E"/>
    <w:rsid w:val="00EF6311"/>
    <w:rsid w:val="00EF636E"/>
    <w:rsid w:val="00EF6550"/>
    <w:rsid w:val="00EF6590"/>
    <w:rsid w:val="00EF6742"/>
    <w:rsid w:val="00EF67CE"/>
    <w:rsid w:val="00EF6931"/>
    <w:rsid w:val="00EF69B9"/>
    <w:rsid w:val="00EF6A12"/>
    <w:rsid w:val="00EF6A22"/>
    <w:rsid w:val="00EF6A2C"/>
    <w:rsid w:val="00EF6C01"/>
    <w:rsid w:val="00EF6C3B"/>
    <w:rsid w:val="00EF6C3D"/>
    <w:rsid w:val="00EF6CF7"/>
    <w:rsid w:val="00EF6DC8"/>
    <w:rsid w:val="00EF6DD6"/>
    <w:rsid w:val="00EF6E3B"/>
    <w:rsid w:val="00EF6EC3"/>
    <w:rsid w:val="00EF6F98"/>
    <w:rsid w:val="00EF710D"/>
    <w:rsid w:val="00EF7139"/>
    <w:rsid w:val="00EF7156"/>
    <w:rsid w:val="00EF7160"/>
    <w:rsid w:val="00EF71E1"/>
    <w:rsid w:val="00EF7293"/>
    <w:rsid w:val="00EF7300"/>
    <w:rsid w:val="00EF7390"/>
    <w:rsid w:val="00EF7625"/>
    <w:rsid w:val="00EF7707"/>
    <w:rsid w:val="00EF7717"/>
    <w:rsid w:val="00EF77ED"/>
    <w:rsid w:val="00EF78AE"/>
    <w:rsid w:val="00EF78DF"/>
    <w:rsid w:val="00EF79E4"/>
    <w:rsid w:val="00EF79F4"/>
    <w:rsid w:val="00EF7A42"/>
    <w:rsid w:val="00EF7A74"/>
    <w:rsid w:val="00EF7A79"/>
    <w:rsid w:val="00EF7B0B"/>
    <w:rsid w:val="00EF7B6E"/>
    <w:rsid w:val="00EF7BE3"/>
    <w:rsid w:val="00EF7CB5"/>
    <w:rsid w:val="00EF7D10"/>
    <w:rsid w:val="00EF7D1E"/>
    <w:rsid w:val="00EF7E6D"/>
    <w:rsid w:val="00EF7E8D"/>
    <w:rsid w:val="00EF7EF6"/>
    <w:rsid w:val="00EF7F24"/>
    <w:rsid w:val="00EF7FAB"/>
    <w:rsid w:val="00EF7FBF"/>
    <w:rsid w:val="00EF7FD7"/>
    <w:rsid w:val="00F0001D"/>
    <w:rsid w:val="00F00081"/>
    <w:rsid w:val="00F0019F"/>
    <w:rsid w:val="00F0027C"/>
    <w:rsid w:val="00F00301"/>
    <w:rsid w:val="00F003C3"/>
    <w:rsid w:val="00F003F6"/>
    <w:rsid w:val="00F00433"/>
    <w:rsid w:val="00F004C5"/>
    <w:rsid w:val="00F00614"/>
    <w:rsid w:val="00F00617"/>
    <w:rsid w:val="00F0062D"/>
    <w:rsid w:val="00F00669"/>
    <w:rsid w:val="00F00676"/>
    <w:rsid w:val="00F006BF"/>
    <w:rsid w:val="00F00721"/>
    <w:rsid w:val="00F007F2"/>
    <w:rsid w:val="00F0098B"/>
    <w:rsid w:val="00F00ACC"/>
    <w:rsid w:val="00F00AE8"/>
    <w:rsid w:val="00F00B36"/>
    <w:rsid w:val="00F00CF6"/>
    <w:rsid w:val="00F00D0C"/>
    <w:rsid w:val="00F00D6F"/>
    <w:rsid w:val="00F00EA2"/>
    <w:rsid w:val="00F00FA9"/>
    <w:rsid w:val="00F010C7"/>
    <w:rsid w:val="00F0121D"/>
    <w:rsid w:val="00F014DC"/>
    <w:rsid w:val="00F01501"/>
    <w:rsid w:val="00F0169C"/>
    <w:rsid w:val="00F0172A"/>
    <w:rsid w:val="00F01757"/>
    <w:rsid w:val="00F017A0"/>
    <w:rsid w:val="00F0184B"/>
    <w:rsid w:val="00F01896"/>
    <w:rsid w:val="00F018CC"/>
    <w:rsid w:val="00F01980"/>
    <w:rsid w:val="00F0198A"/>
    <w:rsid w:val="00F019FC"/>
    <w:rsid w:val="00F01C25"/>
    <w:rsid w:val="00F01C71"/>
    <w:rsid w:val="00F01D6B"/>
    <w:rsid w:val="00F01DAB"/>
    <w:rsid w:val="00F01E05"/>
    <w:rsid w:val="00F01E17"/>
    <w:rsid w:val="00F01FEA"/>
    <w:rsid w:val="00F02059"/>
    <w:rsid w:val="00F020AE"/>
    <w:rsid w:val="00F021B4"/>
    <w:rsid w:val="00F021B9"/>
    <w:rsid w:val="00F021C8"/>
    <w:rsid w:val="00F021EF"/>
    <w:rsid w:val="00F0228B"/>
    <w:rsid w:val="00F0229E"/>
    <w:rsid w:val="00F022D0"/>
    <w:rsid w:val="00F022F5"/>
    <w:rsid w:val="00F023B9"/>
    <w:rsid w:val="00F024A0"/>
    <w:rsid w:val="00F02582"/>
    <w:rsid w:val="00F025D5"/>
    <w:rsid w:val="00F02663"/>
    <w:rsid w:val="00F0267E"/>
    <w:rsid w:val="00F026F3"/>
    <w:rsid w:val="00F02753"/>
    <w:rsid w:val="00F027A2"/>
    <w:rsid w:val="00F027AF"/>
    <w:rsid w:val="00F02A05"/>
    <w:rsid w:val="00F02B1F"/>
    <w:rsid w:val="00F02B94"/>
    <w:rsid w:val="00F02B99"/>
    <w:rsid w:val="00F02C9E"/>
    <w:rsid w:val="00F02D46"/>
    <w:rsid w:val="00F02D6D"/>
    <w:rsid w:val="00F02D82"/>
    <w:rsid w:val="00F02DB4"/>
    <w:rsid w:val="00F02ED6"/>
    <w:rsid w:val="00F03264"/>
    <w:rsid w:val="00F0340D"/>
    <w:rsid w:val="00F035D5"/>
    <w:rsid w:val="00F03616"/>
    <w:rsid w:val="00F03744"/>
    <w:rsid w:val="00F03789"/>
    <w:rsid w:val="00F037C0"/>
    <w:rsid w:val="00F0388F"/>
    <w:rsid w:val="00F038C4"/>
    <w:rsid w:val="00F03ABB"/>
    <w:rsid w:val="00F03CD1"/>
    <w:rsid w:val="00F03E14"/>
    <w:rsid w:val="00F03E76"/>
    <w:rsid w:val="00F03EBD"/>
    <w:rsid w:val="00F03EEC"/>
    <w:rsid w:val="00F03F0D"/>
    <w:rsid w:val="00F03FDF"/>
    <w:rsid w:val="00F0402F"/>
    <w:rsid w:val="00F040F8"/>
    <w:rsid w:val="00F0416E"/>
    <w:rsid w:val="00F0420B"/>
    <w:rsid w:val="00F042E1"/>
    <w:rsid w:val="00F043C3"/>
    <w:rsid w:val="00F043C6"/>
    <w:rsid w:val="00F04468"/>
    <w:rsid w:val="00F044B2"/>
    <w:rsid w:val="00F046EC"/>
    <w:rsid w:val="00F04708"/>
    <w:rsid w:val="00F047FE"/>
    <w:rsid w:val="00F04831"/>
    <w:rsid w:val="00F049F7"/>
    <w:rsid w:val="00F04B6D"/>
    <w:rsid w:val="00F04B86"/>
    <w:rsid w:val="00F04CA6"/>
    <w:rsid w:val="00F04D73"/>
    <w:rsid w:val="00F04DD1"/>
    <w:rsid w:val="00F04DD9"/>
    <w:rsid w:val="00F04DE9"/>
    <w:rsid w:val="00F04E07"/>
    <w:rsid w:val="00F04EFD"/>
    <w:rsid w:val="00F04F02"/>
    <w:rsid w:val="00F04FE5"/>
    <w:rsid w:val="00F0506B"/>
    <w:rsid w:val="00F052D2"/>
    <w:rsid w:val="00F052D9"/>
    <w:rsid w:val="00F052E9"/>
    <w:rsid w:val="00F05455"/>
    <w:rsid w:val="00F05521"/>
    <w:rsid w:val="00F055C4"/>
    <w:rsid w:val="00F05719"/>
    <w:rsid w:val="00F057FF"/>
    <w:rsid w:val="00F05835"/>
    <w:rsid w:val="00F0593C"/>
    <w:rsid w:val="00F059EA"/>
    <w:rsid w:val="00F059EB"/>
    <w:rsid w:val="00F05A69"/>
    <w:rsid w:val="00F05A6D"/>
    <w:rsid w:val="00F05DE5"/>
    <w:rsid w:val="00F05EF5"/>
    <w:rsid w:val="00F05F09"/>
    <w:rsid w:val="00F05F98"/>
    <w:rsid w:val="00F06017"/>
    <w:rsid w:val="00F061B9"/>
    <w:rsid w:val="00F0624F"/>
    <w:rsid w:val="00F0632F"/>
    <w:rsid w:val="00F06390"/>
    <w:rsid w:val="00F06522"/>
    <w:rsid w:val="00F0656F"/>
    <w:rsid w:val="00F06592"/>
    <w:rsid w:val="00F065D3"/>
    <w:rsid w:val="00F06623"/>
    <w:rsid w:val="00F066AF"/>
    <w:rsid w:val="00F066EB"/>
    <w:rsid w:val="00F0684E"/>
    <w:rsid w:val="00F06908"/>
    <w:rsid w:val="00F0696A"/>
    <w:rsid w:val="00F06A64"/>
    <w:rsid w:val="00F06B00"/>
    <w:rsid w:val="00F06B0C"/>
    <w:rsid w:val="00F07018"/>
    <w:rsid w:val="00F0705F"/>
    <w:rsid w:val="00F07084"/>
    <w:rsid w:val="00F070B3"/>
    <w:rsid w:val="00F07137"/>
    <w:rsid w:val="00F07215"/>
    <w:rsid w:val="00F0727E"/>
    <w:rsid w:val="00F07309"/>
    <w:rsid w:val="00F07472"/>
    <w:rsid w:val="00F07474"/>
    <w:rsid w:val="00F0747C"/>
    <w:rsid w:val="00F0747D"/>
    <w:rsid w:val="00F074A8"/>
    <w:rsid w:val="00F074B3"/>
    <w:rsid w:val="00F074EA"/>
    <w:rsid w:val="00F07529"/>
    <w:rsid w:val="00F07680"/>
    <w:rsid w:val="00F07698"/>
    <w:rsid w:val="00F0769A"/>
    <w:rsid w:val="00F076D8"/>
    <w:rsid w:val="00F076E0"/>
    <w:rsid w:val="00F07783"/>
    <w:rsid w:val="00F078F7"/>
    <w:rsid w:val="00F07988"/>
    <w:rsid w:val="00F079D7"/>
    <w:rsid w:val="00F07AC9"/>
    <w:rsid w:val="00F07B9A"/>
    <w:rsid w:val="00F07D2D"/>
    <w:rsid w:val="00F07ED1"/>
    <w:rsid w:val="00F07F6E"/>
    <w:rsid w:val="00F07F71"/>
    <w:rsid w:val="00F07FCB"/>
    <w:rsid w:val="00F0FDEF"/>
    <w:rsid w:val="00F1008A"/>
    <w:rsid w:val="00F10114"/>
    <w:rsid w:val="00F10284"/>
    <w:rsid w:val="00F102AB"/>
    <w:rsid w:val="00F104BB"/>
    <w:rsid w:val="00F10545"/>
    <w:rsid w:val="00F105D7"/>
    <w:rsid w:val="00F105E8"/>
    <w:rsid w:val="00F10657"/>
    <w:rsid w:val="00F106D4"/>
    <w:rsid w:val="00F1083F"/>
    <w:rsid w:val="00F10840"/>
    <w:rsid w:val="00F10852"/>
    <w:rsid w:val="00F1086F"/>
    <w:rsid w:val="00F108CA"/>
    <w:rsid w:val="00F1093D"/>
    <w:rsid w:val="00F109CB"/>
    <w:rsid w:val="00F109FF"/>
    <w:rsid w:val="00F10A19"/>
    <w:rsid w:val="00F10ACE"/>
    <w:rsid w:val="00F10B0F"/>
    <w:rsid w:val="00F10B94"/>
    <w:rsid w:val="00F10BE4"/>
    <w:rsid w:val="00F10C8A"/>
    <w:rsid w:val="00F10CA0"/>
    <w:rsid w:val="00F10D81"/>
    <w:rsid w:val="00F10E4B"/>
    <w:rsid w:val="00F10EC6"/>
    <w:rsid w:val="00F10F2B"/>
    <w:rsid w:val="00F10F68"/>
    <w:rsid w:val="00F10F7E"/>
    <w:rsid w:val="00F10F85"/>
    <w:rsid w:val="00F10FC8"/>
    <w:rsid w:val="00F110CE"/>
    <w:rsid w:val="00F110E8"/>
    <w:rsid w:val="00F11137"/>
    <w:rsid w:val="00F11165"/>
    <w:rsid w:val="00F11269"/>
    <w:rsid w:val="00F112F0"/>
    <w:rsid w:val="00F11504"/>
    <w:rsid w:val="00F11508"/>
    <w:rsid w:val="00F11585"/>
    <w:rsid w:val="00F115D1"/>
    <w:rsid w:val="00F115DA"/>
    <w:rsid w:val="00F115DD"/>
    <w:rsid w:val="00F11795"/>
    <w:rsid w:val="00F1179A"/>
    <w:rsid w:val="00F117B3"/>
    <w:rsid w:val="00F117B7"/>
    <w:rsid w:val="00F11854"/>
    <w:rsid w:val="00F118DB"/>
    <w:rsid w:val="00F119DC"/>
    <w:rsid w:val="00F119EC"/>
    <w:rsid w:val="00F11A56"/>
    <w:rsid w:val="00F11AAD"/>
    <w:rsid w:val="00F11CBA"/>
    <w:rsid w:val="00F11DE1"/>
    <w:rsid w:val="00F11E90"/>
    <w:rsid w:val="00F121C8"/>
    <w:rsid w:val="00F1238B"/>
    <w:rsid w:val="00F124B0"/>
    <w:rsid w:val="00F124E6"/>
    <w:rsid w:val="00F1257F"/>
    <w:rsid w:val="00F125DB"/>
    <w:rsid w:val="00F125EA"/>
    <w:rsid w:val="00F125F2"/>
    <w:rsid w:val="00F127FE"/>
    <w:rsid w:val="00F128AE"/>
    <w:rsid w:val="00F12947"/>
    <w:rsid w:val="00F129A8"/>
    <w:rsid w:val="00F12A9D"/>
    <w:rsid w:val="00F12ADE"/>
    <w:rsid w:val="00F12BDF"/>
    <w:rsid w:val="00F12CF6"/>
    <w:rsid w:val="00F12D89"/>
    <w:rsid w:val="00F12DA7"/>
    <w:rsid w:val="00F12DBD"/>
    <w:rsid w:val="00F12DE9"/>
    <w:rsid w:val="00F12E17"/>
    <w:rsid w:val="00F13049"/>
    <w:rsid w:val="00F130E1"/>
    <w:rsid w:val="00F131EE"/>
    <w:rsid w:val="00F131EF"/>
    <w:rsid w:val="00F13234"/>
    <w:rsid w:val="00F13244"/>
    <w:rsid w:val="00F13251"/>
    <w:rsid w:val="00F1328E"/>
    <w:rsid w:val="00F133B1"/>
    <w:rsid w:val="00F13507"/>
    <w:rsid w:val="00F13527"/>
    <w:rsid w:val="00F13546"/>
    <w:rsid w:val="00F1358B"/>
    <w:rsid w:val="00F136A5"/>
    <w:rsid w:val="00F136EF"/>
    <w:rsid w:val="00F136F1"/>
    <w:rsid w:val="00F13792"/>
    <w:rsid w:val="00F13A77"/>
    <w:rsid w:val="00F13AB9"/>
    <w:rsid w:val="00F13B2E"/>
    <w:rsid w:val="00F13C95"/>
    <w:rsid w:val="00F13D13"/>
    <w:rsid w:val="00F13E02"/>
    <w:rsid w:val="00F13E76"/>
    <w:rsid w:val="00F13ECE"/>
    <w:rsid w:val="00F13F48"/>
    <w:rsid w:val="00F13FDA"/>
    <w:rsid w:val="00F13FF5"/>
    <w:rsid w:val="00F140AD"/>
    <w:rsid w:val="00F14244"/>
    <w:rsid w:val="00F142F0"/>
    <w:rsid w:val="00F14345"/>
    <w:rsid w:val="00F1448D"/>
    <w:rsid w:val="00F1453B"/>
    <w:rsid w:val="00F1467C"/>
    <w:rsid w:val="00F1480D"/>
    <w:rsid w:val="00F14846"/>
    <w:rsid w:val="00F148C2"/>
    <w:rsid w:val="00F148CA"/>
    <w:rsid w:val="00F148EA"/>
    <w:rsid w:val="00F14986"/>
    <w:rsid w:val="00F14A2D"/>
    <w:rsid w:val="00F14B11"/>
    <w:rsid w:val="00F14B48"/>
    <w:rsid w:val="00F14C6B"/>
    <w:rsid w:val="00F14D10"/>
    <w:rsid w:val="00F14D74"/>
    <w:rsid w:val="00F14E07"/>
    <w:rsid w:val="00F14FF9"/>
    <w:rsid w:val="00F15095"/>
    <w:rsid w:val="00F150AB"/>
    <w:rsid w:val="00F150C6"/>
    <w:rsid w:val="00F150E3"/>
    <w:rsid w:val="00F15180"/>
    <w:rsid w:val="00F151BA"/>
    <w:rsid w:val="00F154C5"/>
    <w:rsid w:val="00F154EC"/>
    <w:rsid w:val="00F155D4"/>
    <w:rsid w:val="00F15608"/>
    <w:rsid w:val="00F156FF"/>
    <w:rsid w:val="00F1574A"/>
    <w:rsid w:val="00F15823"/>
    <w:rsid w:val="00F1587E"/>
    <w:rsid w:val="00F15A11"/>
    <w:rsid w:val="00F15A4F"/>
    <w:rsid w:val="00F15BE8"/>
    <w:rsid w:val="00F15CAE"/>
    <w:rsid w:val="00F15D54"/>
    <w:rsid w:val="00F15E02"/>
    <w:rsid w:val="00F15E84"/>
    <w:rsid w:val="00F15FA1"/>
    <w:rsid w:val="00F16014"/>
    <w:rsid w:val="00F16051"/>
    <w:rsid w:val="00F16062"/>
    <w:rsid w:val="00F1609F"/>
    <w:rsid w:val="00F16107"/>
    <w:rsid w:val="00F16252"/>
    <w:rsid w:val="00F1629A"/>
    <w:rsid w:val="00F162D0"/>
    <w:rsid w:val="00F16311"/>
    <w:rsid w:val="00F16404"/>
    <w:rsid w:val="00F1644F"/>
    <w:rsid w:val="00F16664"/>
    <w:rsid w:val="00F1668A"/>
    <w:rsid w:val="00F166C9"/>
    <w:rsid w:val="00F16854"/>
    <w:rsid w:val="00F16857"/>
    <w:rsid w:val="00F16867"/>
    <w:rsid w:val="00F168F2"/>
    <w:rsid w:val="00F16958"/>
    <w:rsid w:val="00F16BE1"/>
    <w:rsid w:val="00F16BF5"/>
    <w:rsid w:val="00F16BF8"/>
    <w:rsid w:val="00F16C97"/>
    <w:rsid w:val="00F16C9F"/>
    <w:rsid w:val="00F16CEB"/>
    <w:rsid w:val="00F16D12"/>
    <w:rsid w:val="00F16D13"/>
    <w:rsid w:val="00F16D6C"/>
    <w:rsid w:val="00F16E8D"/>
    <w:rsid w:val="00F16E9C"/>
    <w:rsid w:val="00F170CE"/>
    <w:rsid w:val="00F170E2"/>
    <w:rsid w:val="00F1720F"/>
    <w:rsid w:val="00F17250"/>
    <w:rsid w:val="00F17371"/>
    <w:rsid w:val="00F1750E"/>
    <w:rsid w:val="00F175B4"/>
    <w:rsid w:val="00F175E3"/>
    <w:rsid w:val="00F17671"/>
    <w:rsid w:val="00F176D2"/>
    <w:rsid w:val="00F176FC"/>
    <w:rsid w:val="00F17736"/>
    <w:rsid w:val="00F17740"/>
    <w:rsid w:val="00F17980"/>
    <w:rsid w:val="00F17A0A"/>
    <w:rsid w:val="00F17A18"/>
    <w:rsid w:val="00F17AEA"/>
    <w:rsid w:val="00F17B6A"/>
    <w:rsid w:val="00F17C92"/>
    <w:rsid w:val="00F17D98"/>
    <w:rsid w:val="00F17DAC"/>
    <w:rsid w:val="00F17F0B"/>
    <w:rsid w:val="00F17F52"/>
    <w:rsid w:val="00F17F57"/>
    <w:rsid w:val="00F200C9"/>
    <w:rsid w:val="00F200D1"/>
    <w:rsid w:val="00F2010D"/>
    <w:rsid w:val="00F203C7"/>
    <w:rsid w:val="00F2050B"/>
    <w:rsid w:val="00F2054F"/>
    <w:rsid w:val="00F206A2"/>
    <w:rsid w:val="00F20841"/>
    <w:rsid w:val="00F2085E"/>
    <w:rsid w:val="00F20961"/>
    <w:rsid w:val="00F209D8"/>
    <w:rsid w:val="00F20A07"/>
    <w:rsid w:val="00F20A4F"/>
    <w:rsid w:val="00F20A89"/>
    <w:rsid w:val="00F20CF6"/>
    <w:rsid w:val="00F20DCA"/>
    <w:rsid w:val="00F20F3E"/>
    <w:rsid w:val="00F2107A"/>
    <w:rsid w:val="00F210E8"/>
    <w:rsid w:val="00F2114C"/>
    <w:rsid w:val="00F21178"/>
    <w:rsid w:val="00F211A3"/>
    <w:rsid w:val="00F211EA"/>
    <w:rsid w:val="00F212CF"/>
    <w:rsid w:val="00F2146B"/>
    <w:rsid w:val="00F2152F"/>
    <w:rsid w:val="00F21811"/>
    <w:rsid w:val="00F21831"/>
    <w:rsid w:val="00F21A9A"/>
    <w:rsid w:val="00F21B60"/>
    <w:rsid w:val="00F21C25"/>
    <w:rsid w:val="00F21D7D"/>
    <w:rsid w:val="00F21E35"/>
    <w:rsid w:val="00F21EB8"/>
    <w:rsid w:val="00F21F2C"/>
    <w:rsid w:val="00F21F58"/>
    <w:rsid w:val="00F21F7E"/>
    <w:rsid w:val="00F2219F"/>
    <w:rsid w:val="00F22280"/>
    <w:rsid w:val="00F2230E"/>
    <w:rsid w:val="00F22389"/>
    <w:rsid w:val="00F2238B"/>
    <w:rsid w:val="00F224C7"/>
    <w:rsid w:val="00F22580"/>
    <w:rsid w:val="00F225B5"/>
    <w:rsid w:val="00F22808"/>
    <w:rsid w:val="00F2281A"/>
    <w:rsid w:val="00F228FC"/>
    <w:rsid w:val="00F22954"/>
    <w:rsid w:val="00F229D1"/>
    <w:rsid w:val="00F229F8"/>
    <w:rsid w:val="00F22A44"/>
    <w:rsid w:val="00F22BBD"/>
    <w:rsid w:val="00F22CB8"/>
    <w:rsid w:val="00F22D5B"/>
    <w:rsid w:val="00F22D87"/>
    <w:rsid w:val="00F22DE9"/>
    <w:rsid w:val="00F22E64"/>
    <w:rsid w:val="00F22F32"/>
    <w:rsid w:val="00F23064"/>
    <w:rsid w:val="00F2306D"/>
    <w:rsid w:val="00F23100"/>
    <w:rsid w:val="00F2310A"/>
    <w:rsid w:val="00F23185"/>
    <w:rsid w:val="00F233B3"/>
    <w:rsid w:val="00F23416"/>
    <w:rsid w:val="00F2349D"/>
    <w:rsid w:val="00F2354B"/>
    <w:rsid w:val="00F2371E"/>
    <w:rsid w:val="00F2380B"/>
    <w:rsid w:val="00F23845"/>
    <w:rsid w:val="00F23978"/>
    <w:rsid w:val="00F239CA"/>
    <w:rsid w:val="00F239D6"/>
    <w:rsid w:val="00F239F4"/>
    <w:rsid w:val="00F23A1E"/>
    <w:rsid w:val="00F23A82"/>
    <w:rsid w:val="00F23AA3"/>
    <w:rsid w:val="00F23ADA"/>
    <w:rsid w:val="00F23B41"/>
    <w:rsid w:val="00F23C53"/>
    <w:rsid w:val="00F23CAD"/>
    <w:rsid w:val="00F23CB6"/>
    <w:rsid w:val="00F23D0F"/>
    <w:rsid w:val="00F23D49"/>
    <w:rsid w:val="00F23DC4"/>
    <w:rsid w:val="00F23DFC"/>
    <w:rsid w:val="00F23E85"/>
    <w:rsid w:val="00F23EFE"/>
    <w:rsid w:val="00F2413A"/>
    <w:rsid w:val="00F24144"/>
    <w:rsid w:val="00F243AE"/>
    <w:rsid w:val="00F24476"/>
    <w:rsid w:val="00F24523"/>
    <w:rsid w:val="00F24551"/>
    <w:rsid w:val="00F2463A"/>
    <w:rsid w:val="00F2465C"/>
    <w:rsid w:val="00F246F3"/>
    <w:rsid w:val="00F24751"/>
    <w:rsid w:val="00F2475C"/>
    <w:rsid w:val="00F24774"/>
    <w:rsid w:val="00F24785"/>
    <w:rsid w:val="00F249B7"/>
    <w:rsid w:val="00F24B24"/>
    <w:rsid w:val="00F24B4E"/>
    <w:rsid w:val="00F24B50"/>
    <w:rsid w:val="00F24CBE"/>
    <w:rsid w:val="00F24D7D"/>
    <w:rsid w:val="00F24D97"/>
    <w:rsid w:val="00F24DC1"/>
    <w:rsid w:val="00F24E39"/>
    <w:rsid w:val="00F24E42"/>
    <w:rsid w:val="00F24E86"/>
    <w:rsid w:val="00F24F32"/>
    <w:rsid w:val="00F24FB2"/>
    <w:rsid w:val="00F2504F"/>
    <w:rsid w:val="00F25070"/>
    <w:rsid w:val="00F2509D"/>
    <w:rsid w:val="00F250C3"/>
    <w:rsid w:val="00F25143"/>
    <w:rsid w:val="00F2514D"/>
    <w:rsid w:val="00F25177"/>
    <w:rsid w:val="00F25182"/>
    <w:rsid w:val="00F25212"/>
    <w:rsid w:val="00F25227"/>
    <w:rsid w:val="00F252E2"/>
    <w:rsid w:val="00F252E5"/>
    <w:rsid w:val="00F2530F"/>
    <w:rsid w:val="00F2535F"/>
    <w:rsid w:val="00F25373"/>
    <w:rsid w:val="00F253B2"/>
    <w:rsid w:val="00F25411"/>
    <w:rsid w:val="00F2542B"/>
    <w:rsid w:val="00F256A2"/>
    <w:rsid w:val="00F25829"/>
    <w:rsid w:val="00F2586F"/>
    <w:rsid w:val="00F25974"/>
    <w:rsid w:val="00F25A1E"/>
    <w:rsid w:val="00F25AD5"/>
    <w:rsid w:val="00F25C3A"/>
    <w:rsid w:val="00F25E0C"/>
    <w:rsid w:val="00F25EF0"/>
    <w:rsid w:val="00F26019"/>
    <w:rsid w:val="00F260AC"/>
    <w:rsid w:val="00F26172"/>
    <w:rsid w:val="00F2618D"/>
    <w:rsid w:val="00F262FD"/>
    <w:rsid w:val="00F264FC"/>
    <w:rsid w:val="00F266DA"/>
    <w:rsid w:val="00F2673F"/>
    <w:rsid w:val="00F269D7"/>
    <w:rsid w:val="00F26A62"/>
    <w:rsid w:val="00F26A75"/>
    <w:rsid w:val="00F26A90"/>
    <w:rsid w:val="00F26AF1"/>
    <w:rsid w:val="00F26BF9"/>
    <w:rsid w:val="00F26C13"/>
    <w:rsid w:val="00F26C66"/>
    <w:rsid w:val="00F26C9B"/>
    <w:rsid w:val="00F26D47"/>
    <w:rsid w:val="00F26E3A"/>
    <w:rsid w:val="00F26E54"/>
    <w:rsid w:val="00F26EEE"/>
    <w:rsid w:val="00F26F0B"/>
    <w:rsid w:val="00F26F32"/>
    <w:rsid w:val="00F27151"/>
    <w:rsid w:val="00F27153"/>
    <w:rsid w:val="00F27176"/>
    <w:rsid w:val="00F271E2"/>
    <w:rsid w:val="00F27292"/>
    <w:rsid w:val="00F27343"/>
    <w:rsid w:val="00F2734F"/>
    <w:rsid w:val="00F2738C"/>
    <w:rsid w:val="00F27465"/>
    <w:rsid w:val="00F27614"/>
    <w:rsid w:val="00F27666"/>
    <w:rsid w:val="00F27698"/>
    <w:rsid w:val="00F27755"/>
    <w:rsid w:val="00F277AE"/>
    <w:rsid w:val="00F277DA"/>
    <w:rsid w:val="00F277F1"/>
    <w:rsid w:val="00F277F9"/>
    <w:rsid w:val="00F27848"/>
    <w:rsid w:val="00F27902"/>
    <w:rsid w:val="00F27929"/>
    <w:rsid w:val="00F27942"/>
    <w:rsid w:val="00F27943"/>
    <w:rsid w:val="00F279EF"/>
    <w:rsid w:val="00F27A02"/>
    <w:rsid w:val="00F27ACA"/>
    <w:rsid w:val="00F27B26"/>
    <w:rsid w:val="00F27BF3"/>
    <w:rsid w:val="00F27C01"/>
    <w:rsid w:val="00F27D7E"/>
    <w:rsid w:val="00F27DB3"/>
    <w:rsid w:val="00F27DDE"/>
    <w:rsid w:val="00F27E29"/>
    <w:rsid w:val="00F27EA6"/>
    <w:rsid w:val="00F27EC8"/>
    <w:rsid w:val="00F27F1B"/>
    <w:rsid w:val="00F27F7B"/>
    <w:rsid w:val="00F30135"/>
    <w:rsid w:val="00F30177"/>
    <w:rsid w:val="00F3018E"/>
    <w:rsid w:val="00F3032F"/>
    <w:rsid w:val="00F30346"/>
    <w:rsid w:val="00F303F2"/>
    <w:rsid w:val="00F30469"/>
    <w:rsid w:val="00F305B2"/>
    <w:rsid w:val="00F305CC"/>
    <w:rsid w:val="00F305EF"/>
    <w:rsid w:val="00F30664"/>
    <w:rsid w:val="00F30674"/>
    <w:rsid w:val="00F30680"/>
    <w:rsid w:val="00F3073D"/>
    <w:rsid w:val="00F30885"/>
    <w:rsid w:val="00F30893"/>
    <w:rsid w:val="00F30908"/>
    <w:rsid w:val="00F30A9E"/>
    <w:rsid w:val="00F30C3A"/>
    <w:rsid w:val="00F30C4E"/>
    <w:rsid w:val="00F30CD0"/>
    <w:rsid w:val="00F30DCB"/>
    <w:rsid w:val="00F30DD3"/>
    <w:rsid w:val="00F30F45"/>
    <w:rsid w:val="00F30F48"/>
    <w:rsid w:val="00F31053"/>
    <w:rsid w:val="00F311A2"/>
    <w:rsid w:val="00F3126B"/>
    <w:rsid w:val="00F31339"/>
    <w:rsid w:val="00F31416"/>
    <w:rsid w:val="00F31435"/>
    <w:rsid w:val="00F314A9"/>
    <w:rsid w:val="00F315FB"/>
    <w:rsid w:val="00F31608"/>
    <w:rsid w:val="00F3172F"/>
    <w:rsid w:val="00F31846"/>
    <w:rsid w:val="00F31965"/>
    <w:rsid w:val="00F31A17"/>
    <w:rsid w:val="00F31A9F"/>
    <w:rsid w:val="00F31AF8"/>
    <w:rsid w:val="00F31B6D"/>
    <w:rsid w:val="00F31BB1"/>
    <w:rsid w:val="00F31BDA"/>
    <w:rsid w:val="00F31CB1"/>
    <w:rsid w:val="00F31E40"/>
    <w:rsid w:val="00F31E7C"/>
    <w:rsid w:val="00F31EAB"/>
    <w:rsid w:val="00F31F4B"/>
    <w:rsid w:val="00F3200D"/>
    <w:rsid w:val="00F321E7"/>
    <w:rsid w:val="00F32243"/>
    <w:rsid w:val="00F322A2"/>
    <w:rsid w:val="00F3233F"/>
    <w:rsid w:val="00F323E6"/>
    <w:rsid w:val="00F3242A"/>
    <w:rsid w:val="00F32541"/>
    <w:rsid w:val="00F32585"/>
    <w:rsid w:val="00F32610"/>
    <w:rsid w:val="00F326A2"/>
    <w:rsid w:val="00F3272F"/>
    <w:rsid w:val="00F3287A"/>
    <w:rsid w:val="00F32A67"/>
    <w:rsid w:val="00F32CD6"/>
    <w:rsid w:val="00F32CFD"/>
    <w:rsid w:val="00F32D32"/>
    <w:rsid w:val="00F32F94"/>
    <w:rsid w:val="00F32FFD"/>
    <w:rsid w:val="00F33212"/>
    <w:rsid w:val="00F3327C"/>
    <w:rsid w:val="00F332CC"/>
    <w:rsid w:val="00F33313"/>
    <w:rsid w:val="00F33498"/>
    <w:rsid w:val="00F334D9"/>
    <w:rsid w:val="00F33511"/>
    <w:rsid w:val="00F33552"/>
    <w:rsid w:val="00F33583"/>
    <w:rsid w:val="00F33785"/>
    <w:rsid w:val="00F338CF"/>
    <w:rsid w:val="00F3396B"/>
    <w:rsid w:val="00F3399A"/>
    <w:rsid w:val="00F33A04"/>
    <w:rsid w:val="00F33A34"/>
    <w:rsid w:val="00F33A58"/>
    <w:rsid w:val="00F33A60"/>
    <w:rsid w:val="00F33AB3"/>
    <w:rsid w:val="00F33ADB"/>
    <w:rsid w:val="00F33B53"/>
    <w:rsid w:val="00F33BC3"/>
    <w:rsid w:val="00F33CC1"/>
    <w:rsid w:val="00F33D27"/>
    <w:rsid w:val="00F33D34"/>
    <w:rsid w:val="00F33F29"/>
    <w:rsid w:val="00F33F2A"/>
    <w:rsid w:val="00F33FFB"/>
    <w:rsid w:val="00F3402B"/>
    <w:rsid w:val="00F340C9"/>
    <w:rsid w:val="00F341AB"/>
    <w:rsid w:val="00F342AC"/>
    <w:rsid w:val="00F3432D"/>
    <w:rsid w:val="00F3443C"/>
    <w:rsid w:val="00F344CE"/>
    <w:rsid w:val="00F34576"/>
    <w:rsid w:val="00F34649"/>
    <w:rsid w:val="00F34890"/>
    <w:rsid w:val="00F348F0"/>
    <w:rsid w:val="00F3496E"/>
    <w:rsid w:val="00F34A36"/>
    <w:rsid w:val="00F34AA9"/>
    <w:rsid w:val="00F34B99"/>
    <w:rsid w:val="00F34CB6"/>
    <w:rsid w:val="00F34CD0"/>
    <w:rsid w:val="00F34CD4"/>
    <w:rsid w:val="00F34CF3"/>
    <w:rsid w:val="00F34D40"/>
    <w:rsid w:val="00F34F94"/>
    <w:rsid w:val="00F34FC0"/>
    <w:rsid w:val="00F34FDC"/>
    <w:rsid w:val="00F3506F"/>
    <w:rsid w:val="00F350A4"/>
    <w:rsid w:val="00F350C5"/>
    <w:rsid w:val="00F3531A"/>
    <w:rsid w:val="00F35332"/>
    <w:rsid w:val="00F353AB"/>
    <w:rsid w:val="00F35401"/>
    <w:rsid w:val="00F35543"/>
    <w:rsid w:val="00F35679"/>
    <w:rsid w:val="00F35684"/>
    <w:rsid w:val="00F356B0"/>
    <w:rsid w:val="00F3583D"/>
    <w:rsid w:val="00F3585E"/>
    <w:rsid w:val="00F35935"/>
    <w:rsid w:val="00F3594C"/>
    <w:rsid w:val="00F35978"/>
    <w:rsid w:val="00F3598B"/>
    <w:rsid w:val="00F35A93"/>
    <w:rsid w:val="00F35BAD"/>
    <w:rsid w:val="00F35C41"/>
    <w:rsid w:val="00F35C64"/>
    <w:rsid w:val="00F35C7F"/>
    <w:rsid w:val="00F35CAC"/>
    <w:rsid w:val="00F35E3D"/>
    <w:rsid w:val="00F35EEB"/>
    <w:rsid w:val="00F35F19"/>
    <w:rsid w:val="00F35F28"/>
    <w:rsid w:val="00F35F37"/>
    <w:rsid w:val="00F36022"/>
    <w:rsid w:val="00F3602A"/>
    <w:rsid w:val="00F360E4"/>
    <w:rsid w:val="00F360EB"/>
    <w:rsid w:val="00F364FF"/>
    <w:rsid w:val="00F36508"/>
    <w:rsid w:val="00F365C9"/>
    <w:rsid w:val="00F3662D"/>
    <w:rsid w:val="00F366BF"/>
    <w:rsid w:val="00F366EE"/>
    <w:rsid w:val="00F36703"/>
    <w:rsid w:val="00F3674F"/>
    <w:rsid w:val="00F3676E"/>
    <w:rsid w:val="00F36AC8"/>
    <w:rsid w:val="00F36AD8"/>
    <w:rsid w:val="00F36BE2"/>
    <w:rsid w:val="00F36E24"/>
    <w:rsid w:val="00F36E4E"/>
    <w:rsid w:val="00F36F74"/>
    <w:rsid w:val="00F36F98"/>
    <w:rsid w:val="00F3711A"/>
    <w:rsid w:val="00F372B4"/>
    <w:rsid w:val="00F373F9"/>
    <w:rsid w:val="00F375EF"/>
    <w:rsid w:val="00F3760F"/>
    <w:rsid w:val="00F376FD"/>
    <w:rsid w:val="00F3775C"/>
    <w:rsid w:val="00F378D4"/>
    <w:rsid w:val="00F378FF"/>
    <w:rsid w:val="00F3793F"/>
    <w:rsid w:val="00F37B97"/>
    <w:rsid w:val="00F37C54"/>
    <w:rsid w:val="00F37CA5"/>
    <w:rsid w:val="00F37D3F"/>
    <w:rsid w:val="00F37D55"/>
    <w:rsid w:val="00F37E93"/>
    <w:rsid w:val="00F37EA9"/>
    <w:rsid w:val="00F38157"/>
    <w:rsid w:val="00F40027"/>
    <w:rsid w:val="00F4012D"/>
    <w:rsid w:val="00F401AE"/>
    <w:rsid w:val="00F401F4"/>
    <w:rsid w:val="00F4020F"/>
    <w:rsid w:val="00F4022B"/>
    <w:rsid w:val="00F40356"/>
    <w:rsid w:val="00F404A1"/>
    <w:rsid w:val="00F40569"/>
    <w:rsid w:val="00F40649"/>
    <w:rsid w:val="00F40700"/>
    <w:rsid w:val="00F407A6"/>
    <w:rsid w:val="00F407C7"/>
    <w:rsid w:val="00F4085B"/>
    <w:rsid w:val="00F409B7"/>
    <w:rsid w:val="00F409DF"/>
    <w:rsid w:val="00F409E0"/>
    <w:rsid w:val="00F40A0D"/>
    <w:rsid w:val="00F40A12"/>
    <w:rsid w:val="00F40A28"/>
    <w:rsid w:val="00F40B3C"/>
    <w:rsid w:val="00F40B99"/>
    <w:rsid w:val="00F40C93"/>
    <w:rsid w:val="00F40CD4"/>
    <w:rsid w:val="00F40D0B"/>
    <w:rsid w:val="00F40D6B"/>
    <w:rsid w:val="00F40DDF"/>
    <w:rsid w:val="00F40EA5"/>
    <w:rsid w:val="00F40FF2"/>
    <w:rsid w:val="00F41010"/>
    <w:rsid w:val="00F410DB"/>
    <w:rsid w:val="00F4114B"/>
    <w:rsid w:val="00F41212"/>
    <w:rsid w:val="00F41290"/>
    <w:rsid w:val="00F413DA"/>
    <w:rsid w:val="00F41428"/>
    <w:rsid w:val="00F41468"/>
    <w:rsid w:val="00F414DA"/>
    <w:rsid w:val="00F414E2"/>
    <w:rsid w:val="00F41618"/>
    <w:rsid w:val="00F41692"/>
    <w:rsid w:val="00F417AA"/>
    <w:rsid w:val="00F417D5"/>
    <w:rsid w:val="00F41836"/>
    <w:rsid w:val="00F41859"/>
    <w:rsid w:val="00F41874"/>
    <w:rsid w:val="00F4199B"/>
    <w:rsid w:val="00F41C47"/>
    <w:rsid w:val="00F41CF7"/>
    <w:rsid w:val="00F41E03"/>
    <w:rsid w:val="00F41F3C"/>
    <w:rsid w:val="00F41FCB"/>
    <w:rsid w:val="00F421C0"/>
    <w:rsid w:val="00F421D4"/>
    <w:rsid w:val="00F421D6"/>
    <w:rsid w:val="00F42254"/>
    <w:rsid w:val="00F42293"/>
    <w:rsid w:val="00F4229C"/>
    <w:rsid w:val="00F42399"/>
    <w:rsid w:val="00F423A7"/>
    <w:rsid w:val="00F424D0"/>
    <w:rsid w:val="00F42548"/>
    <w:rsid w:val="00F4260A"/>
    <w:rsid w:val="00F42701"/>
    <w:rsid w:val="00F42784"/>
    <w:rsid w:val="00F42976"/>
    <w:rsid w:val="00F42A72"/>
    <w:rsid w:val="00F42B1B"/>
    <w:rsid w:val="00F42B42"/>
    <w:rsid w:val="00F42B55"/>
    <w:rsid w:val="00F42C60"/>
    <w:rsid w:val="00F42C9E"/>
    <w:rsid w:val="00F42CC8"/>
    <w:rsid w:val="00F42CEF"/>
    <w:rsid w:val="00F42D10"/>
    <w:rsid w:val="00F42D6E"/>
    <w:rsid w:val="00F42DC5"/>
    <w:rsid w:val="00F42DF0"/>
    <w:rsid w:val="00F42E4E"/>
    <w:rsid w:val="00F42EC7"/>
    <w:rsid w:val="00F42EEA"/>
    <w:rsid w:val="00F43008"/>
    <w:rsid w:val="00F4302A"/>
    <w:rsid w:val="00F43118"/>
    <w:rsid w:val="00F43119"/>
    <w:rsid w:val="00F43130"/>
    <w:rsid w:val="00F43198"/>
    <w:rsid w:val="00F43290"/>
    <w:rsid w:val="00F43365"/>
    <w:rsid w:val="00F4338C"/>
    <w:rsid w:val="00F43494"/>
    <w:rsid w:val="00F434B8"/>
    <w:rsid w:val="00F43515"/>
    <w:rsid w:val="00F4366C"/>
    <w:rsid w:val="00F436E1"/>
    <w:rsid w:val="00F43731"/>
    <w:rsid w:val="00F43779"/>
    <w:rsid w:val="00F4383F"/>
    <w:rsid w:val="00F43852"/>
    <w:rsid w:val="00F439E0"/>
    <w:rsid w:val="00F43A02"/>
    <w:rsid w:val="00F43A0C"/>
    <w:rsid w:val="00F43A11"/>
    <w:rsid w:val="00F43B10"/>
    <w:rsid w:val="00F43CED"/>
    <w:rsid w:val="00F43D3B"/>
    <w:rsid w:val="00F43D53"/>
    <w:rsid w:val="00F43E12"/>
    <w:rsid w:val="00F43FB3"/>
    <w:rsid w:val="00F43FCF"/>
    <w:rsid w:val="00F4402A"/>
    <w:rsid w:val="00F44039"/>
    <w:rsid w:val="00F44151"/>
    <w:rsid w:val="00F44197"/>
    <w:rsid w:val="00F441BC"/>
    <w:rsid w:val="00F441CA"/>
    <w:rsid w:val="00F44231"/>
    <w:rsid w:val="00F44426"/>
    <w:rsid w:val="00F44456"/>
    <w:rsid w:val="00F4445C"/>
    <w:rsid w:val="00F444DD"/>
    <w:rsid w:val="00F44562"/>
    <w:rsid w:val="00F445CE"/>
    <w:rsid w:val="00F445DB"/>
    <w:rsid w:val="00F4460A"/>
    <w:rsid w:val="00F44641"/>
    <w:rsid w:val="00F446DF"/>
    <w:rsid w:val="00F44731"/>
    <w:rsid w:val="00F447C2"/>
    <w:rsid w:val="00F449AD"/>
    <w:rsid w:val="00F449D1"/>
    <w:rsid w:val="00F44A69"/>
    <w:rsid w:val="00F44AD7"/>
    <w:rsid w:val="00F44B2D"/>
    <w:rsid w:val="00F44B5F"/>
    <w:rsid w:val="00F44BAD"/>
    <w:rsid w:val="00F44BEE"/>
    <w:rsid w:val="00F44E98"/>
    <w:rsid w:val="00F44EB6"/>
    <w:rsid w:val="00F44ECD"/>
    <w:rsid w:val="00F44EE9"/>
    <w:rsid w:val="00F44F71"/>
    <w:rsid w:val="00F44F93"/>
    <w:rsid w:val="00F4503D"/>
    <w:rsid w:val="00F450D2"/>
    <w:rsid w:val="00F451B3"/>
    <w:rsid w:val="00F45299"/>
    <w:rsid w:val="00F45354"/>
    <w:rsid w:val="00F45370"/>
    <w:rsid w:val="00F4545B"/>
    <w:rsid w:val="00F45478"/>
    <w:rsid w:val="00F45485"/>
    <w:rsid w:val="00F454FC"/>
    <w:rsid w:val="00F4559B"/>
    <w:rsid w:val="00F455FF"/>
    <w:rsid w:val="00F456CF"/>
    <w:rsid w:val="00F457DD"/>
    <w:rsid w:val="00F458FA"/>
    <w:rsid w:val="00F45A0E"/>
    <w:rsid w:val="00F45A76"/>
    <w:rsid w:val="00F45AD8"/>
    <w:rsid w:val="00F45AF4"/>
    <w:rsid w:val="00F45AFB"/>
    <w:rsid w:val="00F45B61"/>
    <w:rsid w:val="00F45BBC"/>
    <w:rsid w:val="00F45C04"/>
    <w:rsid w:val="00F45CED"/>
    <w:rsid w:val="00F45DF4"/>
    <w:rsid w:val="00F45F0B"/>
    <w:rsid w:val="00F45FDF"/>
    <w:rsid w:val="00F4605F"/>
    <w:rsid w:val="00F460E7"/>
    <w:rsid w:val="00F46100"/>
    <w:rsid w:val="00F46194"/>
    <w:rsid w:val="00F462A2"/>
    <w:rsid w:val="00F464CC"/>
    <w:rsid w:val="00F46500"/>
    <w:rsid w:val="00F46506"/>
    <w:rsid w:val="00F46537"/>
    <w:rsid w:val="00F4654E"/>
    <w:rsid w:val="00F4657E"/>
    <w:rsid w:val="00F46778"/>
    <w:rsid w:val="00F46802"/>
    <w:rsid w:val="00F4691C"/>
    <w:rsid w:val="00F4695D"/>
    <w:rsid w:val="00F469C0"/>
    <w:rsid w:val="00F469D5"/>
    <w:rsid w:val="00F469D8"/>
    <w:rsid w:val="00F469EE"/>
    <w:rsid w:val="00F46A47"/>
    <w:rsid w:val="00F46B2A"/>
    <w:rsid w:val="00F46BE9"/>
    <w:rsid w:val="00F46C21"/>
    <w:rsid w:val="00F46C6A"/>
    <w:rsid w:val="00F46C9F"/>
    <w:rsid w:val="00F46D2F"/>
    <w:rsid w:val="00F46DCD"/>
    <w:rsid w:val="00F470F2"/>
    <w:rsid w:val="00F47244"/>
    <w:rsid w:val="00F4740E"/>
    <w:rsid w:val="00F474CD"/>
    <w:rsid w:val="00F47507"/>
    <w:rsid w:val="00F47515"/>
    <w:rsid w:val="00F47619"/>
    <w:rsid w:val="00F4770A"/>
    <w:rsid w:val="00F4783C"/>
    <w:rsid w:val="00F478D3"/>
    <w:rsid w:val="00F4796B"/>
    <w:rsid w:val="00F47A4B"/>
    <w:rsid w:val="00F47BA8"/>
    <w:rsid w:val="00F47BB9"/>
    <w:rsid w:val="00F47BCD"/>
    <w:rsid w:val="00F47CBF"/>
    <w:rsid w:val="00F47D29"/>
    <w:rsid w:val="00F47F6B"/>
    <w:rsid w:val="00F50018"/>
    <w:rsid w:val="00F500B6"/>
    <w:rsid w:val="00F50162"/>
    <w:rsid w:val="00F501D0"/>
    <w:rsid w:val="00F5028C"/>
    <w:rsid w:val="00F50303"/>
    <w:rsid w:val="00F50316"/>
    <w:rsid w:val="00F503E2"/>
    <w:rsid w:val="00F504D7"/>
    <w:rsid w:val="00F505FA"/>
    <w:rsid w:val="00F50607"/>
    <w:rsid w:val="00F50655"/>
    <w:rsid w:val="00F506B5"/>
    <w:rsid w:val="00F506E6"/>
    <w:rsid w:val="00F50884"/>
    <w:rsid w:val="00F50964"/>
    <w:rsid w:val="00F50981"/>
    <w:rsid w:val="00F50B86"/>
    <w:rsid w:val="00F50D05"/>
    <w:rsid w:val="00F50D66"/>
    <w:rsid w:val="00F50D9D"/>
    <w:rsid w:val="00F50E4D"/>
    <w:rsid w:val="00F50E5C"/>
    <w:rsid w:val="00F50EAE"/>
    <w:rsid w:val="00F50EF1"/>
    <w:rsid w:val="00F5106F"/>
    <w:rsid w:val="00F510D4"/>
    <w:rsid w:val="00F510EC"/>
    <w:rsid w:val="00F51101"/>
    <w:rsid w:val="00F5111F"/>
    <w:rsid w:val="00F5119C"/>
    <w:rsid w:val="00F5121C"/>
    <w:rsid w:val="00F51286"/>
    <w:rsid w:val="00F51397"/>
    <w:rsid w:val="00F513FE"/>
    <w:rsid w:val="00F51402"/>
    <w:rsid w:val="00F51451"/>
    <w:rsid w:val="00F51513"/>
    <w:rsid w:val="00F515E9"/>
    <w:rsid w:val="00F51664"/>
    <w:rsid w:val="00F51828"/>
    <w:rsid w:val="00F51850"/>
    <w:rsid w:val="00F51A5A"/>
    <w:rsid w:val="00F51AF6"/>
    <w:rsid w:val="00F51B29"/>
    <w:rsid w:val="00F51B50"/>
    <w:rsid w:val="00F51C1F"/>
    <w:rsid w:val="00F51C81"/>
    <w:rsid w:val="00F51DCF"/>
    <w:rsid w:val="00F51DEA"/>
    <w:rsid w:val="00F51E16"/>
    <w:rsid w:val="00F51E72"/>
    <w:rsid w:val="00F51E86"/>
    <w:rsid w:val="00F51EB6"/>
    <w:rsid w:val="00F52010"/>
    <w:rsid w:val="00F52128"/>
    <w:rsid w:val="00F5221D"/>
    <w:rsid w:val="00F52255"/>
    <w:rsid w:val="00F522B3"/>
    <w:rsid w:val="00F526E3"/>
    <w:rsid w:val="00F526EB"/>
    <w:rsid w:val="00F527A1"/>
    <w:rsid w:val="00F52870"/>
    <w:rsid w:val="00F529A6"/>
    <w:rsid w:val="00F529BE"/>
    <w:rsid w:val="00F52AB4"/>
    <w:rsid w:val="00F52CAE"/>
    <w:rsid w:val="00F52CB3"/>
    <w:rsid w:val="00F52CC0"/>
    <w:rsid w:val="00F52D2A"/>
    <w:rsid w:val="00F52D38"/>
    <w:rsid w:val="00F52D8D"/>
    <w:rsid w:val="00F52DE9"/>
    <w:rsid w:val="00F52E55"/>
    <w:rsid w:val="00F52E5F"/>
    <w:rsid w:val="00F52EA0"/>
    <w:rsid w:val="00F52F00"/>
    <w:rsid w:val="00F52F18"/>
    <w:rsid w:val="00F52F86"/>
    <w:rsid w:val="00F52FA4"/>
    <w:rsid w:val="00F531D9"/>
    <w:rsid w:val="00F532C3"/>
    <w:rsid w:val="00F53312"/>
    <w:rsid w:val="00F53325"/>
    <w:rsid w:val="00F53397"/>
    <w:rsid w:val="00F53414"/>
    <w:rsid w:val="00F534BD"/>
    <w:rsid w:val="00F53522"/>
    <w:rsid w:val="00F53778"/>
    <w:rsid w:val="00F5379E"/>
    <w:rsid w:val="00F538CC"/>
    <w:rsid w:val="00F538DC"/>
    <w:rsid w:val="00F539B0"/>
    <w:rsid w:val="00F53BE3"/>
    <w:rsid w:val="00F53CD6"/>
    <w:rsid w:val="00F53DB4"/>
    <w:rsid w:val="00F53DB8"/>
    <w:rsid w:val="00F53EB7"/>
    <w:rsid w:val="00F53EBC"/>
    <w:rsid w:val="00F53EC7"/>
    <w:rsid w:val="00F53F34"/>
    <w:rsid w:val="00F53F6D"/>
    <w:rsid w:val="00F53FDA"/>
    <w:rsid w:val="00F5402E"/>
    <w:rsid w:val="00F5405C"/>
    <w:rsid w:val="00F54113"/>
    <w:rsid w:val="00F541CE"/>
    <w:rsid w:val="00F54223"/>
    <w:rsid w:val="00F542A3"/>
    <w:rsid w:val="00F5439C"/>
    <w:rsid w:val="00F543AE"/>
    <w:rsid w:val="00F544F2"/>
    <w:rsid w:val="00F545AB"/>
    <w:rsid w:val="00F54641"/>
    <w:rsid w:val="00F546AA"/>
    <w:rsid w:val="00F54757"/>
    <w:rsid w:val="00F5481B"/>
    <w:rsid w:val="00F54A14"/>
    <w:rsid w:val="00F54A34"/>
    <w:rsid w:val="00F54C00"/>
    <w:rsid w:val="00F54C06"/>
    <w:rsid w:val="00F54D38"/>
    <w:rsid w:val="00F54E2C"/>
    <w:rsid w:val="00F54E53"/>
    <w:rsid w:val="00F54ECB"/>
    <w:rsid w:val="00F54F5B"/>
    <w:rsid w:val="00F54FA5"/>
    <w:rsid w:val="00F550A5"/>
    <w:rsid w:val="00F550CE"/>
    <w:rsid w:val="00F551E0"/>
    <w:rsid w:val="00F55306"/>
    <w:rsid w:val="00F553A3"/>
    <w:rsid w:val="00F553C8"/>
    <w:rsid w:val="00F553D1"/>
    <w:rsid w:val="00F5554D"/>
    <w:rsid w:val="00F55550"/>
    <w:rsid w:val="00F555BA"/>
    <w:rsid w:val="00F555FF"/>
    <w:rsid w:val="00F556F2"/>
    <w:rsid w:val="00F5573B"/>
    <w:rsid w:val="00F5574A"/>
    <w:rsid w:val="00F55774"/>
    <w:rsid w:val="00F558F7"/>
    <w:rsid w:val="00F55934"/>
    <w:rsid w:val="00F55A55"/>
    <w:rsid w:val="00F55B1F"/>
    <w:rsid w:val="00F55B97"/>
    <w:rsid w:val="00F55C29"/>
    <w:rsid w:val="00F55DA1"/>
    <w:rsid w:val="00F55E2B"/>
    <w:rsid w:val="00F55ED4"/>
    <w:rsid w:val="00F55FB6"/>
    <w:rsid w:val="00F56097"/>
    <w:rsid w:val="00F560B9"/>
    <w:rsid w:val="00F560C9"/>
    <w:rsid w:val="00F560F8"/>
    <w:rsid w:val="00F56139"/>
    <w:rsid w:val="00F562CA"/>
    <w:rsid w:val="00F5631E"/>
    <w:rsid w:val="00F56447"/>
    <w:rsid w:val="00F564DF"/>
    <w:rsid w:val="00F564F6"/>
    <w:rsid w:val="00F56601"/>
    <w:rsid w:val="00F56650"/>
    <w:rsid w:val="00F5666F"/>
    <w:rsid w:val="00F567ED"/>
    <w:rsid w:val="00F568C4"/>
    <w:rsid w:val="00F56909"/>
    <w:rsid w:val="00F56A0C"/>
    <w:rsid w:val="00F56A56"/>
    <w:rsid w:val="00F56BDC"/>
    <w:rsid w:val="00F56C1F"/>
    <w:rsid w:val="00F56C6A"/>
    <w:rsid w:val="00F56D3E"/>
    <w:rsid w:val="00F56D9F"/>
    <w:rsid w:val="00F56DA4"/>
    <w:rsid w:val="00F56DE5"/>
    <w:rsid w:val="00F56F1C"/>
    <w:rsid w:val="00F5709B"/>
    <w:rsid w:val="00F570E9"/>
    <w:rsid w:val="00F5715B"/>
    <w:rsid w:val="00F57168"/>
    <w:rsid w:val="00F571AC"/>
    <w:rsid w:val="00F57229"/>
    <w:rsid w:val="00F57340"/>
    <w:rsid w:val="00F573E7"/>
    <w:rsid w:val="00F5744A"/>
    <w:rsid w:val="00F5756D"/>
    <w:rsid w:val="00F575D8"/>
    <w:rsid w:val="00F575E0"/>
    <w:rsid w:val="00F57641"/>
    <w:rsid w:val="00F57765"/>
    <w:rsid w:val="00F57799"/>
    <w:rsid w:val="00F57818"/>
    <w:rsid w:val="00F578E7"/>
    <w:rsid w:val="00F578EB"/>
    <w:rsid w:val="00F57962"/>
    <w:rsid w:val="00F579D4"/>
    <w:rsid w:val="00F57A03"/>
    <w:rsid w:val="00F57AF4"/>
    <w:rsid w:val="00F57D31"/>
    <w:rsid w:val="00F57DE0"/>
    <w:rsid w:val="00F57E6F"/>
    <w:rsid w:val="00F57F12"/>
    <w:rsid w:val="00F57FA1"/>
    <w:rsid w:val="00F60177"/>
    <w:rsid w:val="00F60275"/>
    <w:rsid w:val="00F603AE"/>
    <w:rsid w:val="00F6042C"/>
    <w:rsid w:val="00F60516"/>
    <w:rsid w:val="00F605F3"/>
    <w:rsid w:val="00F6064F"/>
    <w:rsid w:val="00F606EB"/>
    <w:rsid w:val="00F60701"/>
    <w:rsid w:val="00F6072A"/>
    <w:rsid w:val="00F60753"/>
    <w:rsid w:val="00F6075F"/>
    <w:rsid w:val="00F607AD"/>
    <w:rsid w:val="00F607B5"/>
    <w:rsid w:val="00F60950"/>
    <w:rsid w:val="00F60A34"/>
    <w:rsid w:val="00F60A3E"/>
    <w:rsid w:val="00F60AE0"/>
    <w:rsid w:val="00F60AEF"/>
    <w:rsid w:val="00F60B09"/>
    <w:rsid w:val="00F60B40"/>
    <w:rsid w:val="00F60CC0"/>
    <w:rsid w:val="00F60D45"/>
    <w:rsid w:val="00F60DB8"/>
    <w:rsid w:val="00F60DD8"/>
    <w:rsid w:val="00F60DEA"/>
    <w:rsid w:val="00F60E00"/>
    <w:rsid w:val="00F60E97"/>
    <w:rsid w:val="00F60ED9"/>
    <w:rsid w:val="00F60EEF"/>
    <w:rsid w:val="00F60F86"/>
    <w:rsid w:val="00F610BA"/>
    <w:rsid w:val="00F610FA"/>
    <w:rsid w:val="00F6110E"/>
    <w:rsid w:val="00F611A5"/>
    <w:rsid w:val="00F61215"/>
    <w:rsid w:val="00F613EA"/>
    <w:rsid w:val="00F6146F"/>
    <w:rsid w:val="00F614B6"/>
    <w:rsid w:val="00F61555"/>
    <w:rsid w:val="00F61570"/>
    <w:rsid w:val="00F6161B"/>
    <w:rsid w:val="00F61764"/>
    <w:rsid w:val="00F617BD"/>
    <w:rsid w:val="00F618DF"/>
    <w:rsid w:val="00F61900"/>
    <w:rsid w:val="00F61918"/>
    <w:rsid w:val="00F6198E"/>
    <w:rsid w:val="00F619D3"/>
    <w:rsid w:val="00F61ABD"/>
    <w:rsid w:val="00F61B22"/>
    <w:rsid w:val="00F61B2B"/>
    <w:rsid w:val="00F61B34"/>
    <w:rsid w:val="00F61B5A"/>
    <w:rsid w:val="00F61C4E"/>
    <w:rsid w:val="00F61C82"/>
    <w:rsid w:val="00F61CA4"/>
    <w:rsid w:val="00F61CC1"/>
    <w:rsid w:val="00F61F14"/>
    <w:rsid w:val="00F61FFF"/>
    <w:rsid w:val="00F6203B"/>
    <w:rsid w:val="00F620AF"/>
    <w:rsid w:val="00F621B9"/>
    <w:rsid w:val="00F62252"/>
    <w:rsid w:val="00F62256"/>
    <w:rsid w:val="00F622DF"/>
    <w:rsid w:val="00F622E4"/>
    <w:rsid w:val="00F62365"/>
    <w:rsid w:val="00F62422"/>
    <w:rsid w:val="00F62473"/>
    <w:rsid w:val="00F62643"/>
    <w:rsid w:val="00F62715"/>
    <w:rsid w:val="00F62849"/>
    <w:rsid w:val="00F62957"/>
    <w:rsid w:val="00F62A23"/>
    <w:rsid w:val="00F62A3C"/>
    <w:rsid w:val="00F62AB9"/>
    <w:rsid w:val="00F62B8F"/>
    <w:rsid w:val="00F62C50"/>
    <w:rsid w:val="00F62D14"/>
    <w:rsid w:val="00F62D31"/>
    <w:rsid w:val="00F62D45"/>
    <w:rsid w:val="00F62DDA"/>
    <w:rsid w:val="00F62E55"/>
    <w:rsid w:val="00F62F9E"/>
    <w:rsid w:val="00F6301E"/>
    <w:rsid w:val="00F6312C"/>
    <w:rsid w:val="00F63283"/>
    <w:rsid w:val="00F63313"/>
    <w:rsid w:val="00F634D9"/>
    <w:rsid w:val="00F6355E"/>
    <w:rsid w:val="00F635AF"/>
    <w:rsid w:val="00F63633"/>
    <w:rsid w:val="00F636DC"/>
    <w:rsid w:val="00F637A7"/>
    <w:rsid w:val="00F63A19"/>
    <w:rsid w:val="00F63A34"/>
    <w:rsid w:val="00F63AE7"/>
    <w:rsid w:val="00F63D82"/>
    <w:rsid w:val="00F63E0A"/>
    <w:rsid w:val="00F63E57"/>
    <w:rsid w:val="00F63F01"/>
    <w:rsid w:val="00F63FEB"/>
    <w:rsid w:val="00F64058"/>
    <w:rsid w:val="00F640A0"/>
    <w:rsid w:val="00F640A4"/>
    <w:rsid w:val="00F641AD"/>
    <w:rsid w:val="00F641BF"/>
    <w:rsid w:val="00F64297"/>
    <w:rsid w:val="00F642B7"/>
    <w:rsid w:val="00F642E5"/>
    <w:rsid w:val="00F6430E"/>
    <w:rsid w:val="00F643C4"/>
    <w:rsid w:val="00F643E9"/>
    <w:rsid w:val="00F64473"/>
    <w:rsid w:val="00F646A0"/>
    <w:rsid w:val="00F6488E"/>
    <w:rsid w:val="00F648CB"/>
    <w:rsid w:val="00F65023"/>
    <w:rsid w:val="00F6502D"/>
    <w:rsid w:val="00F65090"/>
    <w:rsid w:val="00F65165"/>
    <w:rsid w:val="00F651DB"/>
    <w:rsid w:val="00F65230"/>
    <w:rsid w:val="00F65251"/>
    <w:rsid w:val="00F65257"/>
    <w:rsid w:val="00F65298"/>
    <w:rsid w:val="00F652A1"/>
    <w:rsid w:val="00F652EB"/>
    <w:rsid w:val="00F65321"/>
    <w:rsid w:val="00F65334"/>
    <w:rsid w:val="00F65354"/>
    <w:rsid w:val="00F653B9"/>
    <w:rsid w:val="00F65414"/>
    <w:rsid w:val="00F6542E"/>
    <w:rsid w:val="00F654CF"/>
    <w:rsid w:val="00F654D1"/>
    <w:rsid w:val="00F6558B"/>
    <w:rsid w:val="00F655BC"/>
    <w:rsid w:val="00F655CD"/>
    <w:rsid w:val="00F656EB"/>
    <w:rsid w:val="00F65732"/>
    <w:rsid w:val="00F657CC"/>
    <w:rsid w:val="00F65809"/>
    <w:rsid w:val="00F65894"/>
    <w:rsid w:val="00F658F0"/>
    <w:rsid w:val="00F65934"/>
    <w:rsid w:val="00F659C7"/>
    <w:rsid w:val="00F65A9D"/>
    <w:rsid w:val="00F65B4C"/>
    <w:rsid w:val="00F65BFF"/>
    <w:rsid w:val="00F65D0D"/>
    <w:rsid w:val="00F65DBF"/>
    <w:rsid w:val="00F65E65"/>
    <w:rsid w:val="00F65F16"/>
    <w:rsid w:val="00F65FE7"/>
    <w:rsid w:val="00F66060"/>
    <w:rsid w:val="00F660C1"/>
    <w:rsid w:val="00F6621F"/>
    <w:rsid w:val="00F66392"/>
    <w:rsid w:val="00F663BA"/>
    <w:rsid w:val="00F6659F"/>
    <w:rsid w:val="00F665FF"/>
    <w:rsid w:val="00F666AB"/>
    <w:rsid w:val="00F667B6"/>
    <w:rsid w:val="00F66872"/>
    <w:rsid w:val="00F66887"/>
    <w:rsid w:val="00F668A1"/>
    <w:rsid w:val="00F668ED"/>
    <w:rsid w:val="00F66A8C"/>
    <w:rsid w:val="00F66ADA"/>
    <w:rsid w:val="00F66BD1"/>
    <w:rsid w:val="00F66DFC"/>
    <w:rsid w:val="00F66E26"/>
    <w:rsid w:val="00F66E38"/>
    <w:rsid w:val="00F66E4E"/>
    <w:rsid w:val="00F66E51"/>
    <w:rsid w:val="00F66E60"/>
    <w:rsid w:val="00F66E78"/>
    <w:rsid w:val="00F66EAD"/>
    <w:rsid w:val="00F66EDB"/>
    <w:rsid w:val="00F66EDD"/>
    <w:rsid w:val="00F66F84"/>
    <w:rsid w:val="00F66FA2"/>
    <w:rsid w:val="00F670C2"/>
    <w:rsid w:val="00F670D9"/>
    <w:rsid w:val="00F670F0"/>
    <w:rsid w:val="00F672BE"/>
    <w:rsid w:val="00F672CF"/>
    <w:rsid w:val="00F6735B"/>
    <w:rsid w:val="00F67402"/>
    <w:rsid w:val="00F67417"/>
    <w:rsid w:val="00F675F4"/>
    <w:rsid w:val="00F67797"/>
    <w:rsid w:val="00F677C6"/>
    <w:rsid w:val="00F677FF"/>
    <w:rsid w:val="00F67823"/>
    <w:rsid w:val="00F67934"/>
    <w:rsid w:val="00F67976"/>
    <w:rsid w:val="00F67991"/>
    <w:rsid w:val="00F67C61"/>
    <w:rsid w:val="00F67C8C"/>
    <w:rsid w:val="00F67CFE"/>
    <w:rsid w:val="00F67D63"/>
    <w:rsid w:val="00F67DD1"/>
    <w:rsid w:val="00F67E80"/>
    <w:rsid w:val="00F67F02"/>
    <w:rsid w:val="00F67F44"/>
    <w:rsid w:val="00F67F5A"/>
    <w:rsid w:val="00F67FE4"/>
    <w:rsid w:val="00F7000B"/>
    <w:rsid w:val="00F7006F"/>
    <w:rsid w:val="00F700B0"/>
    <w:rsid w:val="00F702C0"/>
    <w:rsid w:val="00F702CE"/>
    <w:rsid w:val="00F704B9"/>
    <w:rsid w:val="00F704C3"/>
    <w:rsid w:val="00F704E1"/>
    <w:rsid w:val="00F705C4"/>
    <w:rsid w:val="00F70786"/>
    <w:rsid w:val="00F708A3"/>
    <w:rsid w:val="00F709DC"/>
    <w:rsid w:val="00F70AF5"/>
    <w:rsid w:val="00F70E1C"/>
    <w:rsid w:val="00F70EAC"/>
    <w:rsid w:val="00F70EB4"/>
    <w:rsid w:val="00F71026"/>
    <w:rsid w:val="00F7102B"/>
    <w:rsid w:val="00F71046"/>
    <w:rsid w:val="00F7105B"/>
    <w:rsid w:val="00F71241"/>
    <w:rsid w:val="00F71248"/>
    <w:rsid w:val="00F71263"/>
    <w:rsid w:val="00F712AD"/>
    <w:rsid w:val="00F7134D"/>
    <w:rsid w:val="00F71419"/>
    <w:rsid w:val="00F71449"/>
    <w:rsid w:val="00F71560"/>
    <w:rsid w:val="00F7159C"/>
    <w:rsid w:val="00F7161E"/>
    <w:rsid w:val="00F71650"/>
    <w:rsid w:val="00F7165E"/>
    <w:rsid w:val="00F716FF"/>
    <w:rsid w:val="00F718BC"/>
    <w:rsid w:val="00F718E5"/>
    <w:rsid w:val="00F71911"/>
    <w:rsid w:val="00F71B8B"/>
    <w:rsid w:val="00F71CB6"/>
    <w:rsid w:val="00F71DE9"/>
    <w:rsid w:val="00F71E1D"/>
    <w:rsid w:val="00F71E7C"/>
    <w:rsid w:val="00F71F18"/>
    <w:rsid w:val="00F71F34"/>
    <w:rsid w:val="00F71F45"/>
    <w:rsid w:val="00F71F9A"/>
    <w:rsid w:val="00F71FCA"/>
    <w:rsid w:val="00F7204C"/>
    <w:rsid w:val="00F72065"/>
    <w:rsid w:val="00F7208A"/>
    <w:rsid w:val="00F720B9"/>
    <w:rsid w:val="00F72154"/>
    <w:rsid w:val="00F7219A"/>
    <w:rsid w:val="00F722F8"/>
    <w:rsid w:val="00F7238B"/>
    <w:rsid w:val="00F7255A"/>
    <w:rsid w:val="00F72573"/>
    <w:rsid w:val="00F72686"/>
    <w:rsid w:val="00F727CA"/>
    <w:rsid w:val="00F728D3"/>
    <w:rsid w:val="00F72A0C"/>
    <w:rsid w:val="00F72AF1"/>
    <w:rsid w:val="00F72B4E"/>
    <w:rsid w:val="00F72C4A"/>
    <w:rsid w:val="00F72ECA"/>
    <w:rsid w:val="00F72EEA"/>
    <w:rsid w:val="00F72F09"/>
    <w:rsid w:val="00F72FBE"/>
    <w:rsid w:val="00F7304A"/>
    <w:rsid w:val="00F73091"/>
    <w:rsid w:val="00F73159"/>
    <w:rsid w:val="00F731F9"/>
    <w:rsid w:val="00F73213"/>
    <w:rsid w:val="00F73296"/>
    <w:rsid w:val="00F732B8"/>
    <w:rsid w:val="00F73407"/>
    <w:rsid w:val="00F73441"/>
    <w:rsid w:val="00F73566"/>
    <w:rsid w:val="00F73645"/>
    <w:rsid w:val="00F73670"/>
    <w:rsid w:val="00F736BC"/>
    <w:rsid w:val="00F73714"/>
    <w:rsid w:val="00F737E5"/>
    <w:rsid w:val="00F73BAB"/>
    <w:rsid w:val="00F73CAF"/>
    <w:rsid w:val="00F73CE3"/>
    <w:rsid w:val="00F73EA6"/>
    <w:rsid w:val="00F73F92"/>
    <w:rsid w:val="00F7404D"/>
    <w:rsid w:val="00F7407F"/>
    <w:rsid w:val="00F740CF"/>
    <w:rsid w:val="00F74343"/>
    <w:rsid w:val="00F74352"/>
    <w:rsid w:val="00F743C7"/>
    <w:rsid w:val="00F743CC"/>
    <w:rsid w:val="00F74524"/>
    <w:rsid w:val="00F7454F"/>
    <w:rsid w:val="00F745AE"/>
    <w:rsid w:val="00F747E9"/>
    <w:rsid w:val="00F74A9F"/>
    <w:rsid w:val="00F74AF0"/>
    <w:rsid w:val="00F74AF9"/>
    <w:rsid w:val="00F74B79"/>
    <w:rsid w:val="00F74BED"/>
    <w:rsid w:val="00F74CF6"/>
    <w:rsid w:val="00F74D27"/>
    <w:rsid w:val="00F74E63"/>
    <w:rsid w:val="00F74EFD"/>
    <w:rsid w:val="00F751D6"/>
    <w:rsid w:val="00F751DE"/>
    <w:rsid w:val="00F752BF"/>
    <w:rsid w:val="00F753E5"/>
    <w:rsid w:val="00F75448"/>
    <w:rsid w:val="00F7545E"/>
    <w:rsid w:val="00F754AF"/>
    <w:rsid w:val="00F754D9"/>
    <w:rsid w:val="00F7555E"/>
    <w:rsid w:val="00F75623"/>
    <w:rsid w:val="00F75631"/>
    <w:rsid w:val="00F75634"/>
    <w:rsid w:val="00F75662"/>
    <w:rsid w:val="00F75741"/>
    <w:rsid w:val="00F75881"/>
    <w:rsid w:val="00F758E8"/>
    <w:rsid w:val="00F75A6E"/>
    <w:rsid w:val="00F75A8A"/>
    <w:rsid w:val="00F75A9B"/>
    <w:rsid w:val="00F75AE6"/>
    <w:rsid w:val="00F75B67"/>
    <w:rsid w:val="00F75CE2"/>
    <w:rsid w:val="00F75CEA"/>
    <w:rsid w:val="00F75D3C"/>
    <w:rsid w:val="00F75DA0"/>
    <w:rsid w:val="00F75ED1"/>
    <w:rsid w:val="00F75F6C"/>
    <w:rsid w:val="00F75FC8"/>
    <w:rsid w:val="00F7609E"/>
    <w:rsid w:val="00F760BD"/>
    <w:rsid w:val="00F760CE"/>
    <w:rsid w:val="00F760D0"/>
    <w:rsid w:val="00F76154"/>
    <w:rsid w:val="00F76173"/>
    <w:rsid w:val="00F76182"/>
    <w:rsid w:val="00F761DB"/>
    <w:rsid w:val="00F7631F"/>
    <w:rsid w:val="00F7634D"/>
    <w:rsid w:val="00F76427"/>
    <w:rsid w:val="00F7646F"/>
    <w:rsid w:val="00F7650A"/>
    <w:rsid w:val="00F7651D"/>
    <w:rsid w:val="00F765DC"/>
    <w:rsid w:val="00F76606"/>
    <w:rsid w:val="00F76706"/>
    <w:rsid w:val="00F7680D"/>
    <w:rsid w:val="00F76838"/>
    <w:rsid w:val="00F7685F"/>
    <w:rsid w:val="00F76872"/>
    <w:rsid w:val="00F768C2"/>
    <w:rsid w:val="00F7699D"/>
    <w:rsid w:val="00F769AB"/>
    <w:rsid w:val="00F76A15"/>
    <w:rsid w:val="00F76A38"/>
    <w:rsid w:val="00F76ACC"/>
    <w:rsid w:val="00F76B88"/>
    <w:rsid w:val="00F76C8C"/>
    <w:rsid w:val="00F76D13"/>
    <w:rsid w:val="00F76D21"/>
    <w:rsid w:val="00F76E36"/>
    <w:rsid w:val="00F76E39"/>
    <w:rsid w:val="00F76E4D"/>
    <w:rsid w:val="00F76E8A"/>
    <w:rsid w:val="00F76E8E"/>
    <w:rsid w:val="00F76F44"/>
    <w:rsid w:val="00F770CA"/>
    <w:rsid w:val="00F770D9"/>
    <w:rsid w:val="00F7719B"/>
    <w:rsid w:val="00F77211"/>
    <w:rsid w:val="00F77306"/>
    <w:rsid w:val="00F77330"/>
    <w:rsid w:val="00F7749D"/>
    <w:rsid w:val="00F775B5"/>
    <w:rsid w:val="00F775E2"/>
    <w:rsid w:val="00F7769D"/>
    <w:rsid w:val="00F77752"/>
    <w:rsid w:val="00F77777"/>
    <w:rsid w:val="00F777B8"/>
    <w:rsid w:val="00F777ED"/>
    <w:rsid w:val="00F77835"/>
    <w:rsid w:val="00F7787C"/>
    <w:rsid w:val="00F779C9"/>
    <w:rsid w:val="00F779E0"/>
    <w:rsid w:val="00F77A4A"/>
    <w:rsid w:val="00F77A61"/>
    <w:rsid w:val="00F77AB6"/>
    <w:rsid w:val="00F77B96"/>
    <w:rsid w:val="00F77BA2"/>
    <w:rsid w:val="00F77BEB"/>
    <w:rsid w:val="00F77C14"/>
    <w:rsid w:val="00F77C36"/>
    <w:rsid w:val="00F77CE5"/>
    <w:rsid w:val="00F77DFD"/>
    <w:rsid w:val="00F77ECB"/>
    <w:rsid w:val="00F77ED2"/>
    <w:rsid w:val="00F80041"/>
    <w:rsid w:val="00F8029D"/>
    <w:rsid w:val="00F8034F"/>
    <w:rsid w:val="00F80352"/>
    <w:rsid w:val="00F8051D"/>
    <w:rsid w:val="00F80548"/>
    <w:rsid w:val="00F80587"/>
    <w:rsid w:val="00F8060E"/>
    <w:rsid w:val="00F80682"/>
    <w:rsid w:val="00F80710"/>
    <w:rsid w:val="00F8072D"/>
    <w:rsid w:val="00F80772"/>
    <w:rsid w:val="00F80803"/>
    <w:rsid w:val="00F8086F"/>
    <w:rsid w:val="00F8089F"/>
    <w:rsid w:val="00F80AA8"/>
    <w:rsid w:val="00F80C53"/>
    <w:rsid w:val="00F80D3E"/>
    <w:rsid w:val="00F80E0B"/>
    <w:rsid w:val="00F80E71"/>
    <w:rsid w:val="00F80EE5"/>
    <w:rsid w:val="00F80F0E"/>
    <w:rsid w:val="00F8109B"/>
    <w:rsid w:val="00F811DE"/>
    <w:rsid w:val="00F812F4"/>
    <w:rsid w:val="00F81315"/>
    <w:rsid w:val="00F813DB"/>
    <w:rsid w:val="00F81493"/>
    <w:rsid w:val="00F814D7"/>
    <w:rsid w:val="00F81553"/>
    <w:rsid w:val="00F81595"/>
    <w:rsid w:val="00F816C8"/>
    <w:rsid w:val="00F81720"/>
    <w:rsid w:val="00F8176C"/>
    <w:rsid w:val="00F81783"/>
    <w:rsid w:val="00F81804"/>
    <w:rsid w:val="00F818C6"/>
    <w:rsid w:val="00F818EF"/>
    <w:rsid w:val="00F819DF"/>
    <w:rsid w:val="00F81A5F"/>
    <w:rsid w:val="00F81AA2"/>
    <w:rsid w:val="00F81B01"/>
    <w:rsid w:val="00F81B29"/>
    <w:rsid w:val="00F81BBB"/>
    <w:rsid w:val="00F81C53"/>
    <w:rsid w:val="00F81C9F"/>
    <w:rsid w:val="00F81CD7"/>
    <w:rsid w:val="00F81D40"/>
    <w:rsid w:val="00F81D72"/>
    <w:rsid w:val="00F81D7C"/>
    <w:rsid w:val="00F81E11"/>
    <w:rsid w:val="00F81E24"/>
    <w:rsid w:val="00F81E95"/>
    <w:rsid w:val="00F81F08"/>
    <w:rsid w:val="00F81FB6"/>
    <w:rsid w:val="00F821B4"/>
    <w:rsid w:val="00F822F2"/>
    <w:rsid w:val="00F82304"/>
    <w:rsid w:val="00F82385"/>
    <w:rsid w:val="00F82423"/>
    <w:rsid w:val="00F8244C"/>
    <w:rsid w:val="00F8247C"/>
    <w:rsid w:val="00F8262F"/>
    <w:rsid w:val="00F82677"/>
    <w:rsid w:val="00F827EC"/>
    <w:rsid w:val="00F827FB"/>
    <w:rsid w:val="00F8297D"/>
    <w:rsid w:val="00F8299B"/>
    <w:rsid w:val="00F82A73"/>
    <w:rsid w:val="00F82AAB"/>
    <w:rsid w:val="00F82D18"/>
    <w:rsid w:val="00F82E44"/>
    <w:rsid w:val="00F83188"/>
    <w:rsid w:val="00F83297"/>
    <w:rsid w:val="00F832BD"/>
    <w:rsid w:val="00F83342"/>
    <w:rsid w:val="00F8339B"/>
    <w:rsid w:val="00F833D7"/>
    <w:rsid w:val="00F833DF"/>
    <w:rsid w:val="00F83427"/>
    <w:rsid w:val="00F83482"/>
    <w:rsid w:val="00F8348B"/>
    <w:rsid w:val="00F835B8"/>
    <w:rsid w:val="00F835D8"/>
    <w:rsid w:val="00F836CC"/>
    <w:rsid w:val="00F8375D"/>
    <w:rsid w:val="00F83937"/>
    <w:rsid w:val="00F83A25"/>
    <w:rsid w:val="00F83A3E"/>
    <w:rsid w:val="00F83AC1"/>
    <w:rsid w:val="00F83B54"/>
    <w:rsid w:val="00F83C88"/>
    <w:rsid w:val="00F83D03"/>
    <w:rsid w:val="00F83D66"/>
    <w:rsid w:val="00F83F31"/>
    <w:rsid w:val="00F83FA5"/>
    <w:rsid w:val="00F840D8"/>
    <w:rsid w:val="00F84128"/>
    <w:rsid w:val="00F841D4"/>
    <w:rsid w:val="00F84434"/>
    <w:rsid w:val="00F84466"/>
    <w:rsid w:val="00F844A1"/>
    <w:rsid w:val="00F844F6"/>
    <w:rsid w:val="00F8451F"/>
    <w:rsid w:val="00F84567"/>
    <w:rsid w:val="00F8462A"/>
    <w:rsid w:val="00F84697"/>
    <w:rsid w:val="00F84735"/>
    <w:rsid w:val="00F84746"/>
    <w:rsid w:val="00F847F6"/>
    <w:rsid w:val="00F8484E"/>
    <w:rsid w:val="00F84990"/>
    <w:rsid w:val="00F84AC9"/>
    <w:rsid w:val="00F84AEC"/>
    <w:rsid w:val="00F84C3E"/>
    <w:rsid w:val="00F84CEA"/>
    <w:rsid w:val="00F84D73"/>
    <w:rsid w:val="00F84FCD"/>
    <w:rsid w:val="00F84FE6"/>
    <w:rsid w:val="00F84FEB"/>
    <w:rsid w:val="00F850CB"/>
    <w:rsid w:val="00F850F1"/>
    <w:rsid w:val="00F85117"/>
    <w:rsid w:val="00F8518F"/>
    <w:rsid w:val="00F8545D"/>
    <w:rsid w:val="00F854D6"/>
    <w:rsid w:val="00F85541"/>
    <w:rsid w:val="00F855D6"/>
    <w:rsid w:val="00F85669"/>
    <w:rsid w:val="00F856EC"/>
    <w:rsid w:val="00F8572E"/>
    <w:rsid w:val="00F85902"/>
    <w:rsid w:val="00F8592D"/>
    <w:rsid w:val="00F85A4C"/>
    <w:rsid w:val="00F85A8B"/>
    <w:rsid w:val="00F85B92"/>
    <w:rsid w:val="00F85BE9"/>
    <w:rsid w:val="00F85CB2"/>
    <w:rsid w:val="00F85CBA"/>
    <w:rsid w:val="00F85CD0"/>
    <w:rsid w:val="00F85D52"/>
    <w:rsid w:val="00F85DBB"/>
    <w:rsid w:val="00F85DF4"/>
    <w:rsid w:val="00F85F07"/>
    <w:rsid w:val="00F85FF1"/>
    <w:rsid w:val="00F86017"/>
    <w:rsid w:val="00F86193"/>
    <w:rsid w:val="00F86311"/>
    <w:rsid w:val="00F86322"/>
    <w:rsid w:val="00F863DF"/>
    <w:rsid w:val="00F865E7"/>
    <w:rsid w:val="00F86614"/>
    <w:rsid w:val="00F8685C"/>
    <w:rsid w:val="00F8686B"/>
    <w:rsid w:val="00F868A0"/>
    <w:rsid w:val="00F8693F"/>
    <w:rsid w:val="00F869EB"/>
    <w:rsid w:val="00F86AEA"/>
    <w:rsid w:val="00F86B78"/>
    <w:rsid w:val="00F86BDC"/>
    <w:rsid w:val="00F86CF5"/>
    <w:rsid w:val="00F86D9D"/>
    <w:rsid w:val="00F86E11"/>
    <w:rsid w:val="00F86E44"/>
    <w:rsid w:val="00F86F33"/>
    <w:rsid w:val="00F86FAE"/>
    <w:rsid w:val="00F87013"/>
    <w:rsid w:val="00F8705F"/>
    <w:rsid w:val="00F870D3"/>
    <w:rsid w:val="00F870EA"/>
    <w:rsid w:val="00F87148"/>
    <w:rsid w:val="00F87150"/>
    <w:rsid w:val="00F87253"/>
    <w:rsid w:val="00F87284"/>
    <w:rsid w:val="00F872CF"/>
    <w:rsid w:val="00F8742D"/>
    <w:rsid w:val="00F87491"/>
    <w:rsid w:val="00F87530"/>
    <w:rsid w:val="00F8755A"/>
    <w:rsid w:val="00F8766C"/>
    <w:rsid w:val="00F876A1"/>
    <w:rsid w:val="00F876A2"/>
    <w:rsid w:val="00F876DC"/>
    <w:rsid w:val="00F87825"/>
    <w:rsid w:val="00F87A7D"/>
    <w:rsid w:val="00F87B6C"/>
    <w:rsid w:val="00F87D19"/>
    <w:rsid w:val="00F87D3C"/>
    <w:rsid w:val="00F87D74"/>
    <w:rsid w:val="00F87DEE"/>
    <w:rsid w:val="00F87EAD"/>
    <w:rsid w:val="00F87FF8"/>
    <w:rsid w:val="00F900C0"/>
    <w:rsid w:val="00F9013A"/>
    <w:rsid w:val="00F9036C"/>
    <w:rsid w:val="00F903B1"/>
    <w:rsid w:val="00F90467"/>
    <w:rsid w:val="00F904F3"/>
    <w:rsid w:val="00F90654"/>
    <w:rsid w:val="00F907A1"/>
    <w:rsid w:val="00F907C4"/>
    <w:rsid w:val="00F90907"/>
    <w:rsid w:val="00F90AC5"/>
    <w:rsid w:val="00F90B53"/>
    <w:rsid w:val="00F90B91"/>
    <w:rsid w:val="00F90BA1"/>
    <w:rsid w:val="00F90C06"/>
    <w:rsid w:val="00F90C23"/>
    <w:rsid w:val="00F90CD1"/>
    <w:rsid w:val="00F90EB1"/>
    <w:rsid w:val="00F9111B"/>
    <w:rsid w:val="00F9123C"/>
    <w:rsid w:val="00F91322"/>
    <w:rsid w:val="00F91340"/>
    <w:rsid w:val="00F91382"/>
    <w:rsid w:val="00F913B4"/>
    <w:rsid w:val="00F913F0"/>
    <w:rsid w:val="00F913FB"/>
    <w:rsid w:val="00F91542"/>
    <w:rsid w:val="00F91736"/>
    <w:rsid w:val="00F9188E"/>
    <w:rsid w:val="00F9190B"/>
    <w:rsid w:val="00F919E7"/>
    <w:rsid w:val="00F91AF2"/>
    <w:rsid w:val="00F91B7B"/>
    <w:rsid w:val="00F91BC9"/>
    <w:rsid w:val="00F91C00"/>
    <w:rsid w:val="00F91C48"/>
    <w:rsid w:val="00F91C4D"/>
    <w:rsid w:val="00F91D05"/>
    <w:rsid w:val="00F91E1F"/>
    <w:rsid w:val="00F91E6A"/>
    <w:rsid w:val="00F91E88"/>
    <w:rsid w:val="00F91F69"/>
    <w:rsid w:val="00F91FCF"/>
    <w:rsid w:val="00F91FD6"/>
    <w:rsid w:val="00F92038"/>
    <w:rsid w:val="00F92146"/>
    <w:rsid w:val="00F92149"/>
    <w:rsid w:val="00F92157"/>
    <w:rsid w:val="00F921A3"/>
    <w:rsid w:val="00F92291"/>
    <w:rsid w:val="00F922D3"/>
    <w:rsid w:val="00F922D6"/>
    <w:rsid w:val="00F9235E"/>
    <w:rsid w:val="00F9242A"/>
    <w:rsid w:val="00F9277F"/>
    <w:rsid w:val="00F92B29"/>
    <w:rsid w:val="00F92B79"/>
    <w:rsid w:val="00F92C4D"/>
    <w:rsid w:val="00F92D0E"/>
    <w:rsid w:val="00F92D49"/>
    <w:rsid w:val="00F92D9B"/>
    <w:rsid w:val="00F92E3C"/>
    <w:rsid w:val="00F92F20"/>
    <w:rsid w:val="00F93082"/>
    <w:rsid w:val="00F930E1"/>
    <w:rsid w:val="00F931C6"/>
    <w:rsid w:val="00F9346B"/>
    <w:rsid w:val="00F934F5"/>
    <w:rsid w:val="00F93511"/>
    <w:rsid w:val="00F93594"/>
    <w:rsid w:val="00F936D7"/>
    <w:rsid w:val="00F9371A"/>
    <w:rsid w:val="00F93852"/>
    <w:rsid w:val="00F93976"/>
    <w:rsid w:val="00F93ADF"/>
    <w:rsid w:val="00F93B1C"/>
    <w:rsid w:val="00F93B65"/>
    <w:rsid w:val="00F93BA8"/>
    <w:rsid w:val="00F93D1E"/>
    <w:rsid w:val="00F93D91"/>
    <w:rsid w:val="00F93E10"/>
    <w:rsid w:val="00F93F69"/>
    <w:rsid w:val="00F93FBE"/>
    <w:rsid w:val="00F941E5"/>
    <w:rsid w:val="00F9426B"/>
    <w:rsid w:val="00F9427D"/>
    <w:rsid w:val="00F943AE"/>
    <w:rsid w:val="00F943B0"/>
    <w:rsid w:val="00F943DA"/>
    <w:rsid w:val="00F94424"/>
    <w:rsid w:val="00F94453"/>
    <w:rsid w:val="00F944E6"/>
    <w:rsid w:val="00F94580"/>
    <w:rsid w:val="00F946F5"/>
    <w:rsid w:val="00F947B0"/>
    <w:rsid w:val="00F94967"/>
    <w:rsid w:val="00F94AAD"/>
    <w:rsid w:val="00F94AEE"/>
    <w:rsid w:val="00F94B51"/>
    <w:rsid w:val="00F94BA3"/>
    <w:rsid w:val="00F94BF6"/>
    <w:rsid w:val="00F94C3B"/>
    <w:rsid w:val="00F94C73"/>
    <w:rsid w:val="00F94C8A"/>
    <w:rsid w:val="00F94D21"/>
    <w:rsid w:val="00F94D52"/>
    <w:rsid w:val="00F94EAF"/>
    <w:rsid w:val="00F94EF0"/>
    <w:rsid w:val="00F94FD1"/>
    <w:rsid w:val="00F95083"/>
    <w:rsid w:val="00F950F3"/>
    <w:rsid w:val="00F951A9"/>
    <w:rsid w:val="00F95460"/>
    <w:rsid w:val="00F957A4"/>
    <w:rsid w:val="00F95827"/>
    <w:rsid w:val="00F959AB"/>
    <w:rsid w:val="00F95A66"/>
    <w:rsid w:val="00F95B2E"/>
    <w:rsid w:val="00F95B30"/>
    <w:rsid w:val="00F95B90"/>
    <w:rsid w:val="00F95BF2"/>
    <w:rsid w:val="00F95C60"/>
    <w:rsid w:val="00F95C9D"/>
    <w:rsid w:val="00F95DBF"/>
    <w:rsid w:val="00F95DCA"/>
    <w:rsid w:val="00F95DDC"/>
    <w:rsid w:val="00F95E10"/>
    <w:rsid w:val="00F95E35"/>
    <w:rsid w:val="00F95F73"/>
    <w:rsid w:val="00F961DC"/>
    <w:rsid w:val="00F962B1"/>
    <w:rsid w:val="00F96490"/>
    <w:rsid w:val="00F964E5"/>
    <w:rsid w:val="00F96502"/>
    <w:rsid w:val="00F9651C"/>
    <w:rsid w:val="00F965E1"/>
    <w:rsid w:val="00F96648"/>
    <w:rsid w:val="00F9687C"/>
    <w:rsid w:val="00F96947"/>
    <w:rsid w:val="00F969DF"/>
    <w:rsid w:val="00F96A85"/>
    <w:rsid w:val="00F96AF7"/>
    <w:rsid w:val="00F96B2F"/>
    <w:rsid w:val="00F96BF2"/>
    <w:rsid w:val="00F96BFD"/>
    <w:rsid w:val="00F96D5E"/>
    <w:rsid w:val="00F96D97"/>
    <w:rsid w:val="00F96E28"/>
    <w:rsid w:val="00F9706B"/>
    <w:rsid w:val="00F970D4"/>
    <w:rsid w:val="00F97102"/>
    <w:rsid w:val="00F97207"/>
    <w:rsid w:val="00F97236"/>
    <w:rsid w:val="00F97266"/>
    <w:rsid w:val="00F97317"/>
    <w:rsid w:val="00F9749C"/>
    <w:rsid w:val="00F974A9"/>
    <w:rsid w:val="00F974DE"/>
    <w:rsid w:val="00F975FF"/>
    <w:rsid w:val="00F97786"/>
    <w:rsid w:val="00F9781E"/>
    <w:rsid w:val="00F97862"/>
    <w:rsid w:val="00F97908"/>
    <w:rsid w:val="00F97A42"/>
    <w:rsid w:val="00F97A7A"/>
    <w:rsid w:val="00F97AA1"/>
    <w:rsid w:val="00F97BDE"/>
    <w:rsid w:val="00F97D86"/>
    <w:rsid w:val="00F97E1E"/>
    <w:rsid w:val="00F97EA4"/>
    <w:rsid w:val="00F97F27"/>
    <w:rsid w:val="00FA0095"/>
    <w:rsid w:val="00FA0227"/>
    <w:rsid w:val="00FA02D4"/>
    <w:rsid w:val="00FA0319"/>
    <w:rsid w:val="00FA0364"/>
    <w:rsid w:val="00FA057B"/>
    <w:rsid w:val="00FA0633"/>
    <w:rsid w:val="00FA0895"/>
    <w:rsid w:val="00FA094E"/>
    <w:rsid w:val="00FA0996"/>
    <w:rsid w:val="00FA0997"/>
    <w:rsid w:val="00FA09B3"/>
    <w:rsid w:val="00FA09D1"/>
    <w:rsid w:val="00FA09F0"/>
    <w:rsid w:val="00FA0A11"/>
    <w:rsid w:val="00FA0B29"/>
    <w:rsid w:val="00FA0D4A"/>
    <w:rsid w:val="00FA0E07"/>
    <w:rsid w:val="00FA0E99"/>
    <w:rsid w:val="00FA100B"/>
    <w:rsid w:val="00FA1012"/>
    <w:rsid w:val="00FA101F"/>
    <w:rsid w:val="00FA1092"/>
    <w:rsid w:val="00FA1286"/>
    <w:rsid w:val="00FA12CF"/>
    <w:rsid w:val="00FA1304"/>
    <w:rsid w:val="00FA133B"/>
    <w:rsid w:val="00FA1429"/>
    <w:rsid w:val="00FA1675"/>
    <w:rsid w:val="00FA1681"/>
    <w:rsid w:val="00FA1703"/>
    <w:rsid w:val="00FA1766"/>
    <w:rsid w:val="00FA1800"/>
    <w:rsid w:val="00FA18FC"/>
    <w:rsid w:val="00FA19C3"/>
    <w:rsid w:val="00FA1A80"/>
    <w:rsid w:val="00FA1B27"/>
    <w:rsid w:val="00FA1C55"/>
    <w:rsid w:val="00FA1C87"/>
    <w:rsid w:val="00FA2049"/>
    <w:rsid w:val="00FA2055"/>
    <w:rsid w:val="00FA20E6"/>
    <w:rsid w:val="00FA2100"/>
    <w:rsid w:val="00FA2113"/>
    <w:rsid w:val="00FA263F"/>
    <w:rsid w:val="00FA26BC"/>
    <w:rsid w:val="00FA26DA"/>
    <w:rsid w:val="00FA2710"/>
    <w:rsid w:val="00FA278B"/>
    <w:rsid w:val="00FA27D7"/>
    <w:rsid w:val="00FA2AA9"/>
    <w:rsid w:val="00FA2AAB"/>
    <w:rsid w:val="00FA2AF0"/>
    <w:rsid w:val="00FA2E9D"/>
    <w:rsid w:val="00FA2F7F"/>
    <w:rsid w:val="00FA2FEC"/>
    <w:rsid w:val="00FA30A8"/>
    <w:rsid w:val="00FA31A7"/>
    <w:rsid w:val="00FA321E"/>
    <w:rsid w:val="00FA3231"/>
    <w:rsid w:val="00FA348D"/>
    <w:rsid w:val="00FA354C"/>
    <w:rsid w:val="00FA35CD"/>
    <w:rsid w:val="00FA35D2"/>
    <w:rsid w:val="00FA3681"/>
    <w:rsid w:val="00FA383C"/>
    <w:rsid w:val="00FA38A7"/>
    <w:rsid w:val="00FA3906"/>
    <w:rsid w:val="00FA3933"/>
    <w:rsid w:val="00FA3C93"/>
    <w:rsid w:val="00FA3F78"/>
    <w:rsid w:val="00FA3FBB"/>
    <w:rsid w:val="00FA40AC"/>
    <w:rsid w:val="00FA40CC"/>
    <w:rsid w:val="00FA4107"/>
    <w:rsid w:val="00FA4134"/>
    <w:rsid w:val="00FA423D"/>
    <w:rsid w:val="00FA426D"/>
    <w:rsid w:val="00FA42A6"/>
    <w:rsid w:val="00FA430B"/>
    <w:rsid w:val="00FA4325"/>
    <w:rsid w:val="00FA4353"/>
    <w:rsid w:val="00FA4408"/>
    <w:rsid w:val="00FA4416"/>
    <w:rsid w:val="00FA472D"/>
    <w:rsid w:val="00FA480E"/>
    <w:rsid w:val="00FA49A7"/>
    <w:rsid w:val="00FA49E8"/>
    <w:rsid w:val="00FA4A62"/>
    <w:rsid w:val="00FA4A99"/>
    <w:rsid w:val="00FA4AA6"/>
    <w:rsid w:val="00FA4AD9"/>
    <w:rsid w:val="00FA4C57"/>
    <w:rsid w:val="00FA4C7E"/>
    <w:rsid w:val="00FA4C91"/>
    <w:rsid w:val="00FA4C96"/>
    <w:rsid w:val="00FA4D29"/>
    <w:rsid w:val="00FA4D41"/>
    <w:rsid w:val="00FA4D73"/>
    <w:rsid w:val="00FA4DAA"/>
    <w:rsid w:val="00FA4EAD"/>
    <w:rsid w:val="00FA4FED"/>
    <w:rsid w:val="00FA5039"/>
    <w:rsid w:val="00FA50A9"/>
    <w:rsid w:val="00FA517D"/>
    <w:rsid w:val="00FA51C3"/>
    <w:rsid w:val="00FA5269"/>
    <w:rsid w:val="00FA5350"/>
    <w:rsid w:val="00FA5390"/>
    <w:rsid w:val="00FA53E9"/>
    <w:rsid w:val="00FA53F1"/>
    <w:rsid w:val="00FA5436"/>
    <w:rsid w:val="00FA5448"/>
    <w:rsid w:val="00FA54DA"/>
    <w:rsid w:val="00FA5517"/>
    <w:rsid w:val="00FA55CE"/>
    <w:rsid w:val="00FA56DE"/>
    <w:rsid w:val="00FA5732"/>
    <w:rsid w:val="00FA5778"/>
    <w:rsid w:val="00FA584C"/>
    <w:rsid w:val="00FA58BD"/>
    <w:rsid w:val="00FA58DB"/>
    <w:rsid w:val="00FA5944"/>
    <w:rsid w:val="00FA59F3"/>
    <w:rsid w:val="00FA59FC"/>
    <w:rsid w:val="00FA5A5A"/>
    <w:rsid w:val="00FA5B18"/>
    <w:rsid w:val="00FA5D7F"/>
    <w:rsid w:val="00FA5E14"/>
    <w:rsid w:val="00FA5EE6"/>
    <w:rsid w:val="00FA5F2D"/>
    <w:rsid w:val="00FA5F64"/>
    <w:rsid w:val="00FA5F7D"/>
    <w:rsid w:val="00FA5F84"/>
    <w:rsid w:val="00FA5F89"/>
    <w:rsid w:val="00FA5FD9"/>
    <w:rsid w:val="00FA6198"/>
    <w:rsid w:val="00FA61A9"/>
    <w:rsid w:val="00FA61AC"/>
    <w:rsid w:val="00FA61DA"/>
    <w:rsid w:val="00FA63D0"/>
    <w:rsid w:val="00FA6462"/>
    <w:rsid w:val="00FA64CA"/>
    <w:rsid w:val="00FA662A"/>
    <w:rsid w:val="00FA66A9"/>
    <w:rsid w:val="00FA66CC"/>
    <w:rsid w:val="00FA6800"/>
    <w:rsid w:val="00FA680B"/>
    <w:rsid w:val="00FA6848"/>
    <w:rsid w:val="00FA68FC"/>
    <w:rsid w:val="00FA69FC"/>
    <w:rsid w:val="00FA6A19"/>
    <w:rsid w:val="00FA6B73"/>
    <w:rsid w:val="00FA6C9B"/>
    <w:rsid w:val="00FA6D07"/>
    <w:rsid w:val="00FA6D67"/>
    <w:rsid w:val="00FA6E19"/>
    <w:rsid w:val="00FA6E6C"/>
    <w:rsid w:val="00FA7071"/>
    <w:rsid w:val="00FA707F"/>
    <w:rsid w:val="00FA709D"/>
    <w:rsid w:val="00FA70CB"/>
    <w:rsid w:val="00FA7274"/>
    <w:rsid w:val="00FA73D7"/>
    <w:rsid w:val="00FA73F8"/>
    <w:rsid w:val="00FA744E"/>
    <w:rsid w:val="00FA7544"/>
    <w:rsid w:val="00FA7621"/>
    <w:rsid w:val="00FA76B0"/>
    <w:rsid w:val="00FA76D2"/>
    <w:rsid w:val="00FA774A"/>
    <w:rsid w:val="00FA7778"/>
    <w:rsid w:val="00FA780C"/>
    <w:rsid w:val="00FA7891"/>
    <w:rsid w:val="00FA78C6"/>
    <w:rsid w:val="00FA78E7"/>
    <w:rsid w:val="00FA79EE"/>
    <w:rsid w:val="00FA7B2A"/>
    <w:rsid w:val="00FA7C23"/>
    <w:rsid w:val="00FA7D6C"/>
    <w:rsid w:val="00FA7D80"/>
    <w:rsid w:val="00FA7D93"/>
    <w:rsid w:val="00FA7E2B"/>
    <w:rsid w:val="00FA7E75"/>
    <w:rsid w:val="00FA7F2E"/>
    <w:rsid w:val="00FB0151"/>
    <w:rsid w:val="00FB02A2"/>
    <w:rsid w:val="00FB03A0"/>
    <w:rsid w:val="00FB04F9"/>
    <w:rsid w:val="00FB05D4"/>
    <w:rsid w:val="00FB06CF"/>
    <w:rsid w:val="00FB06D0"/>
    <w:rsid w:val="00FB0718"/>
    <w:rsid w:val="00FB07F8"/>
    <w:rsid w:val="00FB0848"/>
    <w:rsid w:val="00FB087E"/>
    <w:rsid w:val="00FB094D"/>
    <w:rsid w:val="00FB0987"/>
    <w:rsid w:val="00FB0999"/>
    <w:rsid w:val="00FB0A9B"/>
    <w:rsid w:val="00FB0AD9"/>
    <w:rsid w:val="00FB0AF6"/>
    <w:rsid w:val="00FB0BAF"/>
    <w:rsid w:val="00FB0BB5"/>
    <w:rsid w:val="00FB0C1A"/>
    <w:rsid w:val="00FB0C1E"/>
    <w:rsid w:val="00FB0D95"/>
    <w:rsid w:val="00FB0D99"/>
    <w:rsid w:val="00FB0DBA"/>
    <w:rsid w:val="00FB0E1C"/>
    <w:rsid w:val="00FB0E87"/>
    <w:rsid w:val="00FB0F41"/>
    <w:rsid w:val="00FB0F8A"/>
    <w:rsid w:val="00FB0FEB"/>
    <w:rsid w:val="00FB0FFC"/>
    <w:rsid w:val="00FB1051"/>
    <w:rsid w:val="00FB10CB"/>
    <w:rsid w:val="00FB122B"/>
    <w:rsid w:val="00FB12EF"/>
    <w:rsid w:val="00FB1327"/>
    <w:rsid w:val="00FB13A0"/>
    <w:rsid w:val="00FB13F8"/>
    <w:rsid w:val="00FB13FC"/>
    <w:rsid w:val="00FB1466"/>
    <w:rsid w:val="00FB1498"/>
    <w:rsid w:val="00FB169B"/>
    <w:rsid w:val="00FB1760"/>
    <w:rsid w:val="00FB1AE1"/>
    <w:rsid w:val="00FB1B5C"/>
    <w:rsid w:val="00FB1BE3"/>
    <w:rsid w:val="00FB1CD1"/>
    <w:rsid w:val="00FB1CD2"/>
    <w:rsid w:val="00FB1D31"/>
    <w:rsid w:val="00FB1D9F"/>
    <w:rsid w:val="00FB1DBD"/>
    <w:rsid w:val="00FB1DE9"/>
    <w:rsid w:val="00FB1EB1"/>
    <w:rsid w:val="00FB2046"/>
    <w:rsid w:val="00FB206B"/>
    <w:rsid w:val="00FB20EF"/>
    <w:rsid w:val="00FB2143"/>
    <w:rsid w:val="00FB218E"/>
    <w:rsid w:val="00FB2191"/>
    <w:rsid w:val="00FB221A"/>
    <w:rsid w:val="00FB2222"/>
    <w:rsid w:val="00FB2245"/>
    <w:rsid w:val="00FB2270"/>
    <w:rsid w:val="00FB227D"/>
    <w:rsid w:val="00FB22E3"/>
    <w:rsid w:val="00FB23BF"/>
    <w:rsid w:val="00FB2560"/>
    <w:rsid w:val="00FB2574"/>
    <w:rsid w:val="00FB26B9"/>
    <w:rsid w:val="00FB26F3"/>
    <w:rsid w:val="00FB280E"/>
    <w:rsid w:val="00FB2864"/>
    <w:rsid w:val="00FB287E"/>
    <w:rsid w:val="00FB2881"/>
    <w:rsid w:val="00FB28B1"/>
    <w:rsid w:val="00FB29B1"/>
    <w:rsid w:val="00FB2A16"/>
    <w:rsid w:val="00FB2A47"/>
    <w:rsid w:val="00FB2AA0"/>
    <w:rsid w:val="00FB2B32"/>
    <w:rsid w:val="00FB2BFF"/>
    <w:rsid w:val="00FB2C8F"/>
    <w:rsid w:val="00FB2CCB"/>
    <w:rsid w:val="00FB2FBE"/>
    <w:rsid w:val="00FB3040"/>
    <w:rsid w:val="00FB30D6"/>
    <w:rsid w:val="00FB33BF"/>
    <w:rsid w:val="00FB345A"/>
    <w:rsid w:val="00FB346C"/>
    <w:rsid w:val="00FB347C"/>
    <w:rsid w:val="00FB351A"/>
    <w:rsid w:val="00FB3564"/>
    <w:rsid w:val="00FB35A9"/>
    <w:rsid w:val="00FB36A2"/>
    <w:rsid w:val="00FB37E2"/>
    <w:rsid w:val="00FB37E9"/>
    <w:rsid w:val="00FB3829"/>
    <w:rsid w:val="00FB38B6"/>
    <w:rsid w:val="00FB3948"/>
    <w:rsid w:val="00FB39A8"/>
    <w:rsid w:val="00FB39BC"/>
    <w:rsid w:val="00FB3A32"/>
    <w:rsid w:val="00FB3A75"/>
    <w:rsid w:val="00FB3B4B"/>
    <w:rsid w:val="00FB3BC0"/>
    <w:rsid w:val="00FB3C78"/>
    <w:rsid w:val="00FB3C91"/>
    <w:rsid w:val="00FB3CEF"/>
    <w:rsid w:val="00FB3D15"/>
    <w:rsid w:val="00FB3E53"/>
    <w:rsid w:val="00FB3ED2"/>
    <w:rsid w:val="00FB3F99"/>
    <w:rsid w:val="00FB41FC"/>
    <w:rsid w:val="00FB424D"/>
    <w:rsid w:val="00FB42C7"/>
    <w:rsid w:val="00FB42E0"/>
    <w:rsid w:val="00FB4449"/>
    <w:rsid w:val="00FB44AC"/>
    <w:rsid w:val="00FB4647"/>
    <w:rsid w:val="00FB4648"/>
    <w:rsid w:val="00FB487E"/>
    <w:rsid w:val="00FB4A0D"/>
    <w:rsid w:val="00FB4B19"/>
    <w:rsid w:val="00FB4BA2"/>
    <w:rsid w:val="00FB4C06"/>
    <w:rsid w:val="00FB4C62"/>
    <w:rsid w:val="00FB4CAD"/>
    <w:rsid w:val="00FB4D57"/>
    <w:rsid w:val="00FB4E15"/>
    <w:rsid w:val="00FB4E24"/>
    <w:rsid w:val="00FB506C"/>
    <w:rsid w:val="00FB5095"/>
    <w:rsid w:val="00FB5113"/>
    <w:rsid w:val="00FB517A"/>
    <w:rsid w:val="00FB51A4"/>
    <w:rsid w:val="00FB51A8"/>
    <w:rsid w:val="00FB52CD"/>
    <w:rsid w:val="00FB52FD"/>
    <w:rsid w:val="00FB539C"/>
    <w:rsid w:val="00FB53F8"/>
    <w:rsid w:val="00FB5559"/>
    <w:rsid w:val="00FB5583"/>
    <w:rsid w:val="00FB55EE"/>
    <w:rsid w:val="00FB59AE"/>
    <w:rsid w:val="00FB5A6B"/>
    <w:rsid w:val="00FB5A74"/>
    <w:rsid w:val="00FB5B21"/>
    <w:rsid w:val="00FB5B6E"/>
    <w:rsid w:val="00FB5BDD"/>
    <w:rsid w:val="00FB5C1B"/>
    <w:rsid w:val="00FB5C25"/>
    <w:rsid w:val="00FB5D14"/>
    <w:rsid w:val="00FB5DD6"/>
    <w:rsid w:val="00FB5DF1"/>
    <w:rsid w:val="00FB5DF8"/>
    <w:rsid w:val="00FB5E34"/>
    <w:rsid w:val="00FB5F29"/>
    <w:rsid w:val="00FB5F33"/>
    <w:rsid w:val="00FB5F67"/>
    <w:rsid w:val="00FB6017"/>
    <w:rsid w:val="00FB62DF"/>
    <w:rsid w:val="00FB632F"/>
    <w:rsid w:val="00FB6342"/>
    <w:rsid w:val="00FB6449"/>
    <w:rsid w:val="00FB65CC"/>
    <w:rsid w:val="00FB663D"/>
    <w:rsid w:val="00FB669F"/>
    <w:rsid w:val="00FB66C6"/>
    <w:rsid w:val="00FB6785"/>
    <w:rsid w:val="00FB6865"/>
    <w:rsid w:val="00FB69EF"/>
    <w:rsid w:val="00FB6AE4"/>
    <w:rsid w:val="00FB6B34"/>
    <w:rsid w:val="00FB6B48"/>
    <w:rsid w:val="00FB6B52"/>
    <w:rsid w:val="00FB6B5A"/>
    <w:rsid w:val="00FB6C2D"/>
    <w:rsid w:val="00FB6CFF"/>
    <w:rsid w:val="00FB6D22"/>
    <w:rsid w:val="00FB6E1F"/>
    <w:rsid w:val="00FB6E98"/>
    <w:rsid w:val="00FB6F07"/>
    <w:rsid w:val="00FB6FEF"/>
    <w:rsid w:val="00FB7023"/>
    <w:rsid w:val="00FB70BD"/>
    <w:rsid w:val="00FB7203"/>
    <w:rsid w:val="00FB7346"/>
    <w:rsid w:val="00FB7392"/>
    <w:rsid w:val="00FB739D"/>
    <w:rsid w:val="00FB73DA"/>
    <w:rsid w:val="00FB77E9"/>
    <w:rsid w:val="00FB7837"/>
    <w:rsid w:val="00FB78AE"/>
    <w:rsid w:val="00FB79B9"/>
    <w:rsid w:val="00FB7A66"/>
    <w:rsid w:val="00FB7AED"/>
    <w:rsid w:val="00FB7BFF"/>
    <w:rsid w:val="00FB7C90"/>
    <w:rsid w:val="00FB7D31"/>
    <w:rsid w:val="00FB7D41"/>
    <w:rsid w:val="00FB7D5A"/>
    <w:rsid w:val="00FB7E75"/>
    <w:rsid w:val="00FB7E82"/>
    <w:rsid w:val="00FB7EE2"/>
    <w:rsid w:val="00FB7FA1"/>
    <w:rsid w:val="00FC003F"/>
    <w:rsid w:val="00FC0126"/>
    <w:rsid w:val="00FC022D"/>
    <w:rsid w:val="00FC0356"/>
    <w:rsid w:val="00FC0512"/>
    <w:rsid w:val="00FC0568"/>
    <w:rsid w:val="00FC05FE"/>
    <w:rsid w:val="00FC0866"/>
    <w:rsid w:val="00FC089A"/>
    <w:rsid w:val="00FC08CA"/>
    <w:rsid w:val="00FC097A"/>
    <w:rsid w:val="00FC09F9"/>
    <w:rsid w:val="00FC0A06"/>
    <w:rsid w:val="00FC0AAF"/>
    <w:rsid w:val="00FC0B3D"/>
    <w:rsid w:val="00FC0C51"/>
    <w:rsid w:val="00FC0D28"/>
    <w:rsid w:val="00FC0D53"/>
    <w:rsid w:val="00FC0EB2"/>
    <w:rsid w:val="00FC0F10"/>
    <w:rsid w:val="00FC0F1C"/>
    <w:rsid w:val="00FC0F61"/>
    <w:rsid w:val="00FC0F98"/>
    <w:rsid w:val="00FC10AA"/>
    <w:rsid w:val="00FC1138"/>
    <w:rsid w:val="00FC1199"/>
    <w:rsid w:val="00FC123F"/>
    <w:rsid w:val="00FC1277"/>
    <w:rsid w:val="00FC127C"/>
    <w:rsid w:val="00FC13ED"/>
    <w:rsid w:val="00FC143A"/>
    <w:rsid w:val="00FC14A5"/>
    <w:rsid w:val="00FC1563"/>
    <w:rsid w:val="00FC16E1"/>
    <w:rsid w:val="00FC1965"/>
    <w:rsid w:val="00FC1A2E"/>
    <w:rsid w:val="00FC1BCD"/>
    <w:rsid w:val="00FC1BF7"/>
    <w:rsid w:val="00FC1D76"/>
    <w:rsid w:val="00FC1DB8"/>
    <w:rsid w:val="00FC1F6B"/>
    <w:rsid w:val="00FC1FD4"/>
    <w:rsid w:val="00FC209C"/>
    <w:rsid w:val="00FC20FE"/>
    <w:rsid w:val="00FC21A5"/>
    <w:rsid w:val="00FC21BD"/>
    <w:rsid w:val="00FC21E8"/>
    <w:rsid w:val="00FC22E1"/>
    <w:rsid w:val="00FC22FA"/>
    <w:rsid w:val="00FC2306"/>
    <w:rsid w:val="00FC24FF"/>
    <w:rsid w:val="00FC28A6"/>
    <w:rsid w:val="00FC28A8"/>
    <w:rsid w:val="00FC28D0"/>
    <w:rsid w:val="00FC28FC"/>
    <w:rsid w:val="00FC293E"/>
    <w:rsid w:val="00FC297B"/>
    <w:rsid w:val="00FC2AF0"/>
    <w:rsid w:val="00FC2C48"/>
    <w:rsid w:val="00FC2D57"/>
    <w:rsid w:val="00FC2D98"/>
    <w:rsid w:val="00FC2DF3"/>
    <w:rsid w:val="00FC2E45"/>
    <w:rsid w:val="00FC2EB0"/>
    <w:rsid w:val="00FC2ED5"/>
    <w:rsid w:val="00FC2F01"/>
    <w:rsid w:val="00FC2FFF"/>
    <w:rsid w:val="00FC30CC"/>
    <w:rsid w:val="00FC3136"/>
    <w:rsid w:val="00FC32A5"/>
    <w:rsid w:val="00FC333B"/>
    <w:rsid w:val="00FC3392"/>
    <w:rsid w:val="00FC3437"/>
    <w:rsid w:val="00FC3549"/>
    <w:rsid w:val="00FC3850"/>
    <w:rsid w:val="00FC38D4"/>
    <w:rsid w:val="00FC392F"/>
    <w:rsid w:val="00FC3A0F"/>
    <w:rsid w:val="00FC3ADA"/>
    <w:rsid w:val="00FC3AE2"/>
    <w:rsid w:val="00FC3BDE"/>
    <w:rsid w:val="00FC3C5B"/>
    <w:rsid w:val="00FC3CB4"/>
    <w:rsid w:val="00FC3D25"/>
    <w:rsid w:val="00FC3D2D"/>
    <w:rsid w:val="00FC3D41"/>
    <w:rsid w:val="00FC3D6B"/>
    <w:rsid w:val="00FC3D8A"/>
    <w:rsid w:val="00FC3D97"/>
    <w:rsid w:val="00FC3E7B"/>
    <w:rsid w:val="00FC3EC4"/>
    <w:rsid w:val="00FC431C"/>
    <w:rsid w:val="00FC44B5"/>
    <w:rsid w:val="00FC4700"/>
    <w:rsid w:val="00FC4740"/>
    <w:rsid w:val="00FC4901"/>
    <w:rsid w:val="00FC490E"/>
    <w:rsid w:val="00FC4943"/>
    <w:rsid w:val="00FC49A6"/>
    <w:rsid w:val="00FC4A37"/>
    <w:rsid w:val="00FC4B3D"/>
    <w:rsid w:val="00FC4BF7"/>
    <w:rsid w:val="00FC4CFC"/>
    <w:rsid w:val="00FC4CFF"/>
    <w:rsid w:val="00FC4D8B"/>
    <w:rsid w:val="00FC5031"/>
    <w:rsid w:val="00FC50E0"/>
    <w:rsid w:val="00FC52F2"/>
    <w:rsid w:val="00FC53B7"/>
    <w:rsid w:val="00FC53E9"/>
    <w:rsid w:val="00FC54F4"/>
    <w:rsid w:val="00FC566A"/>
    <w:rsid w:val="00FC5795"/>
    <w:rsid w:val="00FC57FE"/>
    <w:rsid w:val="00FC5803"/>
    <w:rsid w:val="00FC580D"/>
    <w:rsid w:val="00FC591B"/>
    <w:rsid w:val="00FC59EC"/>
    <w:rsid w:val="00FC5A50"/>
    <w:rsid w:val="00FC5A74"/>
    <w:rsid w:val="00FC5B2B"/>
    <w:rsid w:val="00FC5C3E"/>
    <w:rsid w:val="00FC5D27"/>
    <w:rsid w:val="00FC5D77"/>
    <w:rsid w:val="00FC5E0F"/>
    <w:rsid w:val="00FC5E22"/>
    <w:rsid w:val="00FC5E34"/>
    <w:rsid w:val="00FC5F5F"/>
    <w:rsid w:val="00FC611B"/>
    <w:rsid w:val="00FC613D"/>
    <w:rsid w:val="00FC6144"/>
    <w:rsid w:val="00FC6169"/>
    <w:rsid w:val="00FC639A"/>
    <w:rsid w:val="00FC64B9"/>
    <w:rsid w:val="00FC64C0"/>
    <w:rsid w:val="00FC650E"/>
    <w:rsid w:val="00FC67D6"/>
    <w:rsid w:val="00FC686B"/>
    <w:rsid w:val="00FC6877"/>
    <w:rsid w:val="00FC6913"/>
    <w:rsid w:val="00FC6A25"/>
    <w:rsid w:val="00FC6A2E"/>
    <w:rsid w:val="00FC6A9A"/>
    <w:rsid w:val="00FC6B6F"/>
    <w:rsid w:val="00FC6BBC"/>
    <w:rsid w:val="00FC6C50"/>
    <w:rsid w:val="00FC6DE7"/>
    <w:rsid w:val="00FC6F81"/>
    <w:rsid w:val="00FC70D8"/>
    <w:rsid w:val="00FC70F5"/>
    <w:rsid w:val="00FC7133"/>
    <w:rsid w:val="00FC7391"/>
    <w:rsid w:val="00FC740F"/>
    <w:rsid w:val="00FC7412"/>
    <w:rsid w:val="00FC7582"/>
    <w:rsid w:val="00FC778C"/>
    <w:rsid w:val="00FC77EF"/>
    <w:rsid w:val="00FC78A9"/>
    <w:rsid w:val="00FC78E1"/>
    <w:rsid w:val="00FC7923"/>
    <w:rsid w:val="00FC7AD1"/>
    <w:rsid w:val="00FC7B6B"/>
    <w:rsid w:val="00FC7B92"/>
    <w:rsid w:val="00FC7C45"/>
    <w:rsid w:val="00FC7C8C"/>
    <w:rsid w:val="00FC7D37"/>
    <w:rsid w:val="00FC7F2D"/>
    <w:rsid w:val="00FD011D"/>
    <w:rsid w:val="00FD020B"/>
    <w:rsid w:val="00FD02D9"/>
    <w:rsid w:val="00FD02FC"/>
    <w:rsid w:val="00FD0317"/>
    <w:rsid w:val="00FD0327"/>
    <w:rsid w:val="00FD0352"/>
    <w:rsid w:val="00FD042A"/>
    <w:rsid w:val="00FD04BB"/>
    <w:rsid w:val="00FD0535"/>
    <w:rsid w:val="00FD057D"/>
    <w:rsid w:val="00FD0586"/>
    <w:rsid w:val="00FD059D"/>
    <w:rsid w:val="00FD05CF"/>
    <w:rsid w:val="00FD06A2"/>
    <w:rsid w:val="00FD06D9"/>
    <w:rsid w:val="00FD0771"/>
    <w:rsid w:val="00FD07BA"/>
    <w:rsid w:val="00FD07ED"/>
    <w:rsid w:val="00FD0884"/>
    <w:rsid w:val="00FD08E4"/>
    <w:rsid w:val="00FD0BB3"/>
    <w:rsid w:val="00FD0BC0"/>
    <w:rsid w:val="00FD0BFF"/>
    <w:rsid w:val="00FD0D71"/>
    <w:rsid w:val="00FD0E6E"/>
    <w:rsid w:val="00FD0F2F"/>
    <w:rsid w:val="00FD0F62"/>
    <w:rsid w:val="00FD0F9B"/>
    <w:rsid w:val="00FD1068"/>
    <w:rsid w:val="00FD10E6"/>
    <w:rsid w:val="00FD1155"/>
    <w:rsid w:val="00FD1312"/>
    <w:rsid w:val="00FD1354"/>
    <w:rsid w:val="00FD13E9"/>
    <w:rsid w:val="00FD157D"/>
    <w:rsid w:val="00FD16F8"/>
    <w:rsid w:val="00FD1712"/>
    <w:rsid w:val="00FD17AE"/>
    <w:rsid w:val="00FD1872"/>
    <w:rsid w:val="00FD18A1"/>
    <w:rsid w:val="00FD1BB5"/>
    <w:rsid w:val="00FD1BBC"/>
    <w:rsid w:val="00FD1C02"/>
    <w:rsid w:val="00FD1C13"/>
    <w:rsid w:val="00FD1C2E"/>
    <w:rsid w:val="00FD1C91"/>
    <w:rsid w:val="00FD1DB2"/>
    <w:rsid w:val="00FD1DEC"/>
    <w:rsid w:val="00FD1FDB"/>
    <w:rsid w:val="00FD1FF8"/>
    <w:rsid w:val="00FD21F9"/>
    <w:rsid w:val="00FD226A"/>
    <w:rsid w:val="00FD22AF"/>
    <w:rsid w:val="00FD22B9"/>
    <w:rsid w:val="00FD23F7"/>
    <w:rsid w:val="00FD243E"/>
    <w:rsid w:val="00FD26C1"/>
    <w:rsid w:val="00FD26C5"/>
    <w:rsid w:val="00FD2725"/>
    <w:rsid w:val="00FD27E7"/>
    <w:rsid w:val="00FD290E"/>
    <w:rsid w:val="00FD29A3"/>
    <w:rsid w:val="00FD29C2"/>
    <w:rsid w:val="00FD2A9E"/>
    <w:rsid w:val="00FD2AEB"/>
    <w:rsid w:val="00FD2B06"/>
    <w:rsid w:val="00FD2B10"/>
    <w:rsid w:val="00FD2B38"/>
    <w:rsid w:val="00FD2B6E"/>
    <w:rsid w:val="00FD2BD6"/>
    <w:rsid w:val="00FD2D3C"/>
    <w:rsid w:val="00FD2D45"/>
    <w:rsid w:val="00FD2D9A"/>
    <w:rsid w:val="00FD2DC1"/>
    <w:rsid w:val="00FD2EB0"/>
    <w:rsid w:val="00FD302A"/>
    <w:rsid w:val="00FD32C2"/>
    <w:rsid w:val="00FD333F"/>
    <w:rsid w:val="00FD3372"/>
    <w:rsid w:val="00FD345C"/>
    <w:rsid w:val="00FD3478"/>
    <w:rsid w:val="00FD3483"/>
    <w:rsid w:val="00FD34D7"/>
    <w:rsid w:val="00FD3688"/>
    <w:rsid w:val="00FD375E"/>
    <w:rsid w:val="00FD37E4"/>
    <w:rsid w:val="00FD39A3"/>
    <w:rsid w:val="00FD39FA"/>
    <w:rsid w:val="00FD3A61"/>
    <w:rsid w:val="00FD3AB8"/>
    <w:rsid w:val="00FD3B7B"/>
    <w:rsid w:val="00FD3CF1"/>
    <w:rsid w:val="00FD3D10"/>
    <w:rsid w:val="00FD3DD7"/>
    <w:rsid w:val="00FD3F39"/>
    <w:rsid w:val="00FD3F6D"/>
    <w:rsid w:val="00FD3F7C"/>
    <w:rsid w:val="00FD406F"/>
    <w:rsid w:val="00FD4085"/>
    <w:rsid w:val="00FD4119"/>
    <w:rsid w:val="00FD415C"/>
    <w:rsid w:val="00FD41A4"/>
    <w:rsid w:val="00FD41CA"/>
    <w:rsid w:val="00FD429A"/>
    <w:rsid w:val="00FD42C7"/>
    <w:rsid w:val="00FD4346"/>
    <w:rsid w:val="00FD437C"/>
    <w:rsid w:val="00FD4393"/>
    <w:rsid w:val="00FD4404"/>
    <w:rsid w:val="00FD457D"/>
    <w:rsid w:val="00FD45E5"/>
    <w:rsid w:val="00FD4714"/>
    <w:rsid w:val="00FD4841"/>
    <w:rsid w:val="00FD4867"/>
    <w:rsid w:val="00FD496C"/>
    <w:rsid w:val="00FD4AFD"/>
    <w:rsid w:val="00FD4BF9"/>
    <w:rsid w:val="00FD4C37"/>
    <w:rsid w:val="00FD4C75"/>
    <w:rsid w:val="00FD4D21"/>
    <w:rsid w:val="00FD4D69"/>
    <w:rsid w:val="00FD4E73"/>
    <w:rsid w:val="00FD4FF9"/>
    <w:rsid w:val="00FD5051"/>
    <w:rsid w:val="00FD508F"/>
    <w:rsid w:val="00FD5148"/>
    <w:rsid w:val="00FD51AF"/>
    <w:rsid w:val="00FD5275"/>
    <w:rsid w:val="00FD534E"/>
    <w:rsid w:val="00FD53B9"/>
    <w:rsid w:val="00FD5491"/>
    <w:rsid w:val="00FD5493"/>
    <w:rsid w:val="00FD55D6"/>
    <w:rsid w:val="00FD5605"/>
    <w:rsid w:val="00FD5689"/>
    <w:rsid w:val="00FD56F4"/>
    <w:rsid w:val="00FD5701"/>
    <w:rsid w:val="00FD59C0"/>
    <w:rsid w:val="00FD5AD7"/>
    <w:rsid w:val="00FD5B45"/>
    <w:rsid w:val="00FD5B98"/>
    <w:rsid w:val="00FD5C3A"/>
    <w:rsid w:val="00FD5C61"/>
    <w:rsid w:val="00FD5C9E"/>
    <w:rsid w:val="00FD5D75"/>
    <w:rsid w:val="00FD5D97"/>
    <w:rsid w:val="00FD5DFD"/>
    <w:rsid w:val="00FD5E06"/>
    <w:rsid w:val="00FD6007"/>
    <w:rsid w:val="00FD6027"/>
    <w:rsid w:val="00FD617E"/>
    <w:rsid w:val="00FD61E3"/>
    <w:rsid w:val="00FD6249"/>
    <w:rsid w:val="00FD6375"/>
    <w:rsid w:val="00FD6389"/>
    <w:rsid w:val="00FD6575"/>
    <w:rsid w:val="00FD65F8"/>
    <w:rsid w:val="00FD6736"/>
    <w:rsid w:val="00FD674F"/>
    <w:rsid w:val="00FD67B2"/>
    <w:rsid w:val="00FD67FE"/>
    <w:rsid w:val="00FD6A47"/>
    <w:rsid w:val="00FD6B0F"/>
    <w:rsid w:val="00FD6B1B"/>
    <w:rsid w:val="00FD6B65"/>
    <w:rsid w:val="00FD6BA5"/>
    <w:rsid w:val="00FD6BAC"/>
    <w:rsid w:val="00FD6C4E"/>
    <w:rsid w:val="00FD6DD4"/>
    <w:rsid w:val="00FD6EDA"/>
    <w:rsid w:val="00FD6EFB"/>
    <w:rsid w:val="00FD6F72"/>
    <w:rsid w:val="00FD700B"/>
    <w:rsid w:val="00FD7074"/>
    <w:rsid w:val="00FD70DE"/>
    <w:rsid w:val="00FD7290"/>
    <w:rsid w:val="00FD72A3"/>
    <w:rsid w:val="00FD73B9"/>
    <w:rsid w:val="00FD7546"/>
    <w:rsid w:val="00FD7594"/>
    <w:rsid w:val="00FD75AC"/>
    <w:rsid w:val="00FD75F1"/>
    <w:rsid w:val="00FD7601"/>
    <w:rsid w:val="00FD7679"/>
    <w:rsid w:val="00FD77AF"/>
    <w:rsid w:val="00FD7808"/>
    <w:rsid w:val="00FD7926"/>
    <w:rsid w:val="00FD7938"/>
    <w:rsid w:val="00FD79D3"/>
    <w:rsid w:val="00FD79E4"/>
    <w:rsid w:val="00FD7A6F"/>
    <w:rsid w:val="00FD7C23"/>
    <w:rsid w:val="00FD7C26"/>
    <w:rsid w:val="00FD7C82"/>
    <w:rsid w:val="00FD7CC8"/>
    <w:rsid w:val="00FD7CEC"/>
    <w:rsid w:val="00FD7DCE"/>
    <w:rsid w:val="00FD7DDB"/>
    <w:rsid w:val="00FD7DEB"/>
    <w:rsid w:val="00FD7E1C"/>
    <w:rsid w:val="00FD7FCF"/>
    <w:rsid w:val="00FE002F"/>
    <w:rsid w:val="00FE00B7"/>
    <w:rsid w:val="00FE0163"/>
    <w:rsid w:val="00FE01B3"/>
    <w:rsid w:val="00FE0251"/>
    <w:rsid w:val="00FE02DD"/>
    <w:rsid w:val="00FE0344"/>
    <w:rsid w:val="00FE040C"/>
    <w:rsid w:val="00FE05AC"/>
    <w:rsid w:val="00FE05C6"/>
    <w:rsid w:val="00FE0721"/>
    <w:rsid w:val="00FE08C9"/>
    <w:rsid w:val="00FE09B7"/>
    <w:rsid w:val="00FE0A03"/>
    <w:rsid w:val="00FE0A7A"/>
    <w:rsid w:val="00FE0B1F"/>
    <w:rsid w:val="00FE0BFF"/>
    <w:rsid w:val="00FE0CEB"/>
    <w:rsid w:val="00FE0D71"/>
    <w:rsid w:val="00FE0EDC"/>
    <w:rsid w:val="00FE0F49"/>
    <w:rsid w:val="00FE0F77"/>
    <w:rsid w:val="00FE1072"/>
    <w:rsid w:val="00FE10BB"/>
    <w:rsid w:val="00FE1194"/>
    <w:rsid w:val="00FE122C"/>
    <w:rsid w:val="00FE132E"/>
    <w:rsid w:val="00FE1392"/>
    <w:rsid w:val="00FE139A"/>
    <w:rsid w:val="00FE1618"/>
    <w:rsid w:val="00FE16EB"/>
    <w:rsid w:val="00FE1703"/>
    <w:rsid w:val="00FE17B8"/>
    <w:rsid w:val="00FE186E"/>
    <w:rsid w:val="00FE1885"/>
    <w:rsid w:val="00FE191D"/>
    <w:rsid w:val="00FE19B4"/>
    <w:rsid w:val="00FE1A71"/>
    <w:rsid w:val="00FE1A74"/>
    <w:rsid w:val="00FE1B0D"/>
    <w:rsid w:val="00FE1B22"/>
    <w:rsid w:val="00FE1BAD"/>
    <w:rsid w:val="00FE1C56"/>
    <w:rsid w:val="00FE1CD5"/>
    <w:rsid w:val="00FE1EB1"/>
    <w:rsid w:val="00FE1EE3"/>
    <w:rsid w:val="00FE2073"/>
    <w:rsid w:val="00FE2152"/>
    <w:rsid w:val="00FE21AD"/>
    <w:rsid w:val="00FE21DB"/>
    <w:rsid w:val="00FE2254"/>
    <w:rsid w:val="00FE2337"/>
    <w:rsid w:val="00FE246E"/>
    <w:rsid w:val="00FE2494"/>
    <w:rsid w:val="00FE24E1"/>
    <w:rsid w:val="00FE2638"/>
    <w:rsid w:val="00FE263D"/>
    <w:rsid w:val="00FE2650"/>
    <w:rsid w:val="00FE27B3"/>
    <w:rsid w:val="00FE27FC"/>
    <w:rsid w:val="00FE28CC"/>
    <w:rsid w:val="00FE28D3"/>
    <w:rsid w:val="00FE2919"/>
    <w:rsid w:val="00FE2A5B"/>
    <w:rsid w:val="00FE2A67"/>
    <w:rsid w:val="00FE2ADB"/>
    <w:rsid w:val="00FE2B1F"/>
    <w:rsid w:val="00FE2B92"/>
    <w:rsid w:val="00FE2D6E"/>
    <w:rsid w:val="00FE2E1D"/>
    <w:rsid w:val="00FE2E3D"/>
    <w:rsid w:val="00FE2E60"/>
    <w:rsid w:val="00FE2E69"/>
    <w:rsid w:val="00FE2FC3"/>
    <w:rsid w:val="00FE3082"/>
    <w:rsid w:val="00FE3157"/>
    <w:rsid w:val="00FE3252"/>
    <w:rsid w:val="00FE3283"/>
    <w:rsid w:val="00FE328A"/>
    <w:rsid w:val="00FE32C8"/>
    <w:rsid w:val="00FE3354"/>
    <w:rsid w:val="00FE33CC"/>
    <w:rsid w:val="00FE35AA"/>
    <w:rsid w:val="00FE3746"/>
    <w:rsid w:val="00FE377F"/>
    <w:rsid w:val="00FE37C9"/>
    <w:rsid w:val="00FE38A0"/>
    <w:rsid w:val="00FE3968"/>
    <w:rsid w:val="00FE39D7"/>
    <w:rsid w:val="00FE3A52"/>
    <w:rsid w:val="00FE3B43"/>
    <w:rsid w:val="00FE3CD8"/>
    <w:rsid w:val="00FE3CED"/>
    <w:rsid w:val="00FE3D4B"/>
    <w:rsid w:val="00FE3D54"/>
    <w:rsid w:val="00FE3D6F"/>
    <w:rsid w:val="00FE3D9D"/>
    <w:rsid w:val="00FE3DCA"/>
    <w:rsid w:val="00FE3F20"/>
    <w:rsid w:val="00FE4123"/>
    <w:rsid w:val="00FE420D"/>
    <w:rsid w:val="00FE43A1"/>
    <w:rsid w:val="00FE44B9"/>
    <w:rsid w:val="00FE44E7"/>
    <w:rsid w:val="00FE4509"/>
    <w:rsid w:val="00FE4671"/>
    <w:rsid w:val="00FE46DA"/>
    <w:rsid w:val="00FE4755"/>
    <w:rsid w:val="00FE4760"/>
    <w:rsid w:val="00FE47CB"/>
    <w:rsid w:val="00FE486F"/>
    <w:rsid w:val="00FE48FF"/>
    <w:rsid w:val="00FE499B"/>
    <w:rsid w:val="00FE4A61"/>
    <w:rsid w:val="00FE4A84"/>
    <w:rsid w:val="00FE4B2B"/>
    <w:rsid w:val="00FE4B2E"/>
    <w:rsid w:val="00FE4D2A"/>
    <w:rsid w:val="00FE4D90"/>
    <w:rsid w:val="00FE4E65"/>
    <w:rsid w:val="00FE4EAB"/>
    <w:rsid w:val="00FE4FFA"/>
    <w:rsid w:val="00FE501D"/>
    <w:rsid w:val="00FE5036"/>
    <w:rsid w:val="00FE5176"/>
    <w:rsid w:val="00FE52A9"/>
    <w:rsid w:val="00FE537D"/>
    <w:rsid w:val="00FE53CB"/>
    <w:rsid w:val="00FE5451"/>
    <w:rsid w:val="00FE54BB"/>
    <w:rsid w:val="00FE54D4"/>
    <w:rsid w:val="00FE5723"/>
    <w:rsid w:val="00FE5724"/>
    <w:rsid w:val="00FE581E"/>
    <w:rsid w:val="00FE5829"/>
    <w:rsid w:val="00FE58C7"/>
    <w:rsid w:val="00FE58DA"/>
    <w:rsid w:val="00FE5927"/>
    <w:rsid w:val="00FE594D"/>
    <w:rsid w:val="00FE598B"/>
    <w:rsid w:val="00FE59EB"/>
    <w:rsid w:val="00FE5A91"/>
    <w:rsid w:val="00FE5AC3"/>
    <w:rsid w:val="00FE5BBA"/>
    <w:rsid w:val="00FE5BE9"/>
    <w:rsid w:val="00FE5CB7"/>
    <w:rsid w:val="00FE5D10"/>
    <w:rsid w:val="00FE5DF9"/>
    <w:rsid w:val="00FE5F86"/>
    <w:rsid w:val="00FE5FB0"/>
    <w:rsid w:val="00FE6031"/>
    <w:rsid w:val="00FE60C3"/>
    <w:rsid w:val="00FE6104"/>
    <w:rsid w:val="00FE61FE"/>
    <w:rsid w:val="00FE6263"/>
    <w:rsid w:val="00FE638B"/>
    <w:rsid w:val="00FE63A2"/>
    <w:rsid w:val="00FE642D"/>
    <w:rsid w:val="00FE6450"/>
    <w:rsid w:val="00FE64C0"/>
    <w:rsid w:val="00FE64DD"/>
    <w:rsid w:val="00FE68E5"/>
    <w:rsid w:val="00FE6984"/>
    <w:rsid w:val="00FE6AFC"/>
    <w:rsid w:val="00FE6C20"/>
    <w:rsid w:val="00FE6C3D"/>
    <w:rsid w:val="00FE6CA2"/>
    <w:rsid w:val="00FE6D12"/>
    <w:rsid w:val="00FE6D60"/>
    <w:rsid w:val="00FE6D8D"/>
    <w:rsid w:val="00FE6E94"/>
    <w:rsid w:val="00FE6FE1"/>
    <w:rsid w:val="00FE7022"/>
    <w:rsid w:val="00FE7155"/>
    <w:rsid w:val="00FE715C"/>
    <w:rsid w:val="00FE71C6"/>
    <w:rsid w:val="00FE72CC"/>
    <w:rsid w:val="00FE72EF"/>
    <w:rsid w:val="00FE7307"/>
    <w:rsid w:val="00FE73DB"/>
    <w:rsid w:val="00FE73E3"/>
    <w:rsid w:val="00FE7447"/>
    <w:rsid w:val="00FE75D6"/>
    <w:rsid w:val="00FE787E"/>
    <w:rsid w:val="00FE78AE"/>
    <w:rsid w:val="00FE79C4"/>
    <w:rsid w:val="00FE7AD9"/>
    <w:rsid w:val="00FE7AEA"/>
    <w:rsid w:val="00FE7D14"/>
    <w:rsid w:val="00FE7D3A"/>
    <w:rsid w:val="00FE7DBE"/>
    <w:rsid w:val="00FF0027"/>
    <w:rsid w:val="00FF003D"/>
    <w:rsid w:val="00FF0110"/>
    <w:rsid w:val="00FF015B"/>
    <w:rsid w:val="00FF02F7"/>
    <w:rsid w:val="00FF031D"/>
    <w:rsid w:val="00FF03E8"/>
    <w:rsid w:val="00FF048B"/>
    <w:rsid w:val="00FF049B"/>
    <w:rsid w:val="00FF049C"/>
    <w:rsid w:val="00FF052F"/>
    <w:rsid w:val="00FF0543"/>
    <w:rsid w:val="00FF0627"/>
    <w:rsid w:val="00FF062C"/>
    <w:rsid w:val="00FF0632"/>
    <w:rsid w:val="00FF06B4"/>
    <w:rsid w:val="00FF07BB"/>
    <w:rsid w:val="00FF0820"/>
    <w:rsid w:val="00FF0910"/>
    <w:rsid w:val="00FF093A"/>
    <w:rsid w:val="00FF0A34"/>
    <w:rsid w:val="00FF0A92"/>
    <w:rsid w:val="00FF0B83"/>
    <w:rsid w:val="00FF0D38"/>
    <w:rsid w:val="00FF0E54"/>
    <w:rsid w:val="00FF0F2F"/>
    <w:rsid w:val="00FF0F44"/>
    <w:rsid w:val="00FF0F46"/>
    <w:rsid w:val="00FF0F67"/>
    <w:rsid w:val="00FF0F83"/>
    <w:rsid w:val="00FF1018"/>
    <w:rsid w:val="00FF102B"/>
    <w:rsid w:val="00FF104D"/>
    <w:rsid w:val="00FF109B"/>
    <w:rsid w:val="00FF1144"/>
    <w:rsid w:val="00FF129D"/>
    <w:rsid w:val="00FF14F3"/>
    <w:rsid w:val="00FF1580"/>
    <w:rsid w:val="00FF159A"/>
    <w:rsid w:val="00FF1630"/>
    <w:rsid w:val="00FF179A"/>
    <w:rsid w:val="00FF17B0"/>
    <w:rsid w:val="00FF183A"/>
    <w:rsid w:val="00FF192F"/>
    <w:rsid w:val="00FF19C9"/>
    <w:rsid w:val="00FF1A1B"/>
    <w:rsid w:val="00FF1A1E"/>
    <w:rsid w:val="00FF1A23"/>
    <w:rsid w:val="00FF1B38"/>
    <w:rsid w:val="00FF1B5C"/>
    <w:rsid w:val="00FF1C1F"/>
    <w:rsid w:val="00FF1D5A"/>
    <w:rsid w:val="00FF1E0A"/>
    <w:rsid w:val="00FF1E21"/>
    <w:rsid w:val="00FF1F11"/>
    <w:rsid w:val="00FF233D"/>
    <w:rsid w:val="00FF2387"/>
    <w:rsid w:val="00FF23D0"/>
    <w:rsid w:val="00FF25DB"/>
    <w:rsid w:val="00FF272C"/>
    <w:rsid w:val="00FF284D"/>
    <w:rsid w:val="00FF28CD"/>
    <w:rsid w:val="00FF290D"/>
    <w:rsid w:val="00FF297F"/>
    <w:rsid w:val="00FF2A0D"/>
    <w:rsid w:val="00FF2B41"/>
    <w:rsid w:val="00FF2B52"/>
    <w:rsid w:val="00FF2C3A"/>
    <w:rsid w:val="00FF2DC9"/>
    <w:rsid w:val="00FF2E53"/>
    <w:rsid w:val="00FF2F28"/>
    <w:rsid w:val="00FF2F9E"/>
    <w:rsid w:val="00FF3029"/>
    <w:rsid w:val="00FF31B2"/>
    <w:rsid w:val="00FF32CB"/>
    <w:rsid w:val="00FF341C"/>
    <w:rsid w:val="00FF35A3"/>
    <w:rsid w:val="00FF35CE"/>
    <w:rsid w:val="00FF36E2"/>
    <w:rsid w:val="00FF36ED"/>
    <w:rsid w:val="00FF38A3"/>
    <w:rsid w:val="00FF3A5C"/>
    <w:rsid w:val="00FF3B89"/>
    <w:rsid w:val="00FF3D56"/>
    <w:rsid w:val="00FF3ECB"/>
    <w:rsid w:val="00FF3EF3"/>
    <w:rsid w:val="00FF3F5F"/>
    <w:rsid w:val="00FF4043"/>
    <w:rsid w:val="00FF4066"/>
    <w:rsid w:val="00FF40D4"/>
    <w:rsid w:val="00FF4133"/>
    <w:rsid w:val="00FF417D"/>
    <w:rsid w:val="00FF418F"/>
    <w:rsid w:val="00FF41B9"/>
    <w:rsid w:val="00FF4205"/>
    <w:rsid w:val="00FF422E"/>
    <w:rsid w:val="00FF4255"/>
    <w:rsid w:val="00FF42EA"/>
    <w:rsid w:val="00FF4305"/>
    <w:rsid w:val="00FF435B"/>
    <w:rsid w:val="00FF43F4"/>
    <w:rsid w:val="00FF4458"/>
    <w:rsid w:val="00FF4478"/>
    <w:rsid w:val="00FF453B"/>
    <w:rsid w:val="00FF459F"/>
    <w:rsid w:val="00FF469B"/>
    <w:rsid w:val="00FF46AC"/>
    <w:rsid w:val="00FF46D0"/>
    <w:rsid w:val="00FF4707"/>
    <w:rsid w:val="00FF4737"/>
    <w:rsid w:val="00FF47CB"/>
    <w:rsid w:val="00FF4932"/>
    <w:rsid w:val="00FF49A8"/>
    <w:rsid w:val="00FF49C0"/>
    <w:rsid w:val="00FF4A41"/>
    <w:rsid w:val="00FF4A6C"/>
    <w:rsid w:val="00FF4AB6"/>
    <w:rsid w:val="00FF4AED"/>
    <w:rsid w:val="00FF4AEE"/>
    <w:rsid w:val="00FF4B3B"/>
    <w:rsid w:val="00FF4BED"/>
    <w:rsid w:val="00FF4C6D"/>
    <w:rsid w:val="00FF4C8B"/>
    <w:rsid w:val="00FF4DF2"/>
    <w:rsid w:val="00FF4EBF"/>
    <w:rsid w:val="00FF4EC2"/>
    <w:rsid w:val="00FF4F11"/>
    <w:rsid w:val="00FF4F65"/>
    <w:rsid w:val="00FF51A3"/>
    <w:rsid w:val="00FF51E7"/>
    <w:rsid w:val="00FF52E7"/>
    <w:rsid w:val="00FF543D"/>
    <w:rsid w:val="00FF553E"/>
    <w:rsid w:val="00FF5592"/>
    <w:rsid w:val="00FF55FA"/>
    <w:rsid w:val="00FF55FC"/>
    <w:rsid w:val="00FF570A"/>
    <w:rsid w:val="00FF5852"/>
    <w:rsid w:val="00FF591B"/>
    <w:rsid w:val="00FF59AF"/>
    <w:rsid w:val="00FF5A51"/>
    <w:rsid w:val="00FF5B49"/>
    <w:rsid w:val="00FF5BA9"/>
    <w:rsid w:val="00FF5C14"/>
    <w:rsid w:val="00FF5C79"/>
    <w:rsid w:val="00FF5C86"/>
    <w:rsid w:val="00FF5CA2"/>
    <w:rsid w:val="00FF5CFA"/>
    <w:rsid w:val="00FF5D1F"/>
    <w:rsid w:val="00FF5EDE"/>
    <w:rsid w:val="00FF5F4B"/>
    <w:rsid w:val="00FF5F79"/>
    <w:rsid w:val="00FF5F87"/>
    <w:rsid w:val="00FF5FBF"/>
    <w:rsid w:val="00FF6079"/>
    <w:rsid w:val="00FF60EE"/>
    <w:rsid w:val="00FF6103"/>
    <w:rsid w:val="00FF614F"/>
    <w:rsid w:val="00FF616B"/>
    <w:rsid w:val="00FF6175"/>
    <w:rsid w:val="00FF61FD"/>
    <w:rsid w:val="00FF626A"/>
    <w:rsid w:val="00FF6317"/>
    <w:rsid w:val="00FF63A9"/>
    <w:rsid w:val="00FF63DB"/>
    <w:rsid w:val="00FF64A5"/>
    <w:rsid w:val="00FF66EA"/>
    <w:rsid w:val="00FF67C9"/>
    <w:rsid w:val="00FF69AC"/>
    <w:rsid w:val="00FF6AD1"/>
    <w:rsid w:val="00FF6AD2"/>
    <w:rsid w:val="00FF6B9D"/>
    <w:rsid w:val="00FF6DAF"/>
    <w:rsid w:val="00FF6DCF"/>
    <w:rsid w:val="00FF6F13"/>
    <w:rsid w:val="00FF709F"/>
    <w:rsid w:val="00FF71B6"/>
    <w:rsid w:val="00FF71EE"/>
    <w:rsid w:val="00FF7283"/>
    <w:rsid w:val="00FF729F"/>
    <w:rsid w:val="00FF72AB"/>
    <w:rsid w:val="00FF7306"/>
    <w:rsid w:val="00FF73B0"/>
    <w:rsid w:val="00FF75BC"/>
    <w:rsid w:val="00FF76CD"/>
    <w:rsid w:val="00FF7752"/>
    <w:rsid w:val="00FF7A17"/>
    <w:rsid w:val="00FF7A4F"/>
    <w:rsid w:val="00FF7A97"/>
    <w:rsid w:val="00FF7AEC"/>
    <w:rsid w:val="00FF7B87"/>
    <w:rsid w:val="00FF7B8F"/>
    <w:rsid w:val="00FF7B9C"/>
    <w:rsid w:val="00FF7C4F"/>
    <w:rsid w:val="00FF7D7F"/>
    <w:rsid w:val="00FF7E82"/>
    <w:rsid w:val="00FF7F56"/>
    <w:rsid w:val="00FF7F6C"/>
    <w:rsid w:val="00FF7F8C"/>
    <w:rsid w:val="00FF7FA1"/>
    <w:rsid w:val="00FFC7C7"/>
    <w:rsid w:val="0102E908"/>
    <w:rsid w:val="01048D60"/>
    <w:rsid w:val="01085C4B"/>
    <w:rsid w:val="010F20E6"/>
    <w:rsid w:val="01155C28"/>
    <w:rsid w:val="0118B47D"/>
    <w:rsid w:val="011A7E5A"/>
    <w:rsid w:val="011AEB1A"/>
    <w:rsid w:val="011D1E15"/>
    <w:rsid w:val="012B17DA"/>
    <w:rsid w:val="0134947D"/>
    <w:rsid w:val="013649A9"/>
    <w:rsid w:val="013B3ADD"/>
    <w:rsid w:val="013CCF8A"/>
    <w:rsid w:val="01463E92"/>
    <w:rsid w:val="0156D9E1"/>
    <w:rsid w:val="015E8E42"/>
    <w:rsid w:val="015F89DB"/>
    <w:rsid w:val="0166F7D8"/>
    <w:rsid w:val="016736FE"/>
    <w:rsid w:val="016BA449"/>
    <w:rsid w:val="01747A0B"/>
    <w:rsid w:val="017AF4C1"/>
    <w:rsid w:val="017B7614"/>
    <w:rsid w:val="017D2D6D"/>
    <w:rsid w:val="018E2604"/>
    <w:rsid w:val="018F078A"/>
    <w:rsid w:val="018F4C96"/>
    <w:rsid w:val="018F64CC"/>
    <w:rsid w:val="0190FE65"/>
    <w:rsid w:val="0193519F"/>
    <w:rsid w:val="0195D490"/>
    <w:rsid w:val="019C20FB"/>
    <w:rsid w:val="01A2BA33"/>
    <w:rsid w:val="01B09B6A"/>
    <w:rsid w:val="01B503BB"/>
    <w:rsid w:val="01CF3988"/>
    <w:rsid w:val="01CFC6B5"/>
    <w:rsid w:val="01D3E222"/>
    <w:rsid w:val="01E40288"/>
    <w:rsid w:val="01E4B844"/>
    <w:rsid w:val="01E6FDB5"/>
    <w:rsid w:val="01EB3FF4"/>
    <w:rsid w:val="01ED615E"/>
    <w:rsid w:val="01F24301"/>
    <w:rsid w:val="01F87DB6"/>
    <w:rsid w:val="01FA5A0B"/>
    <w:rsid w:val="02036302"/>
    <w:rsid w:val="02102D1A"/>
    <w:rsid w:val="0216B976"/>
    <w:rsid w:val="02174A52"/>
    <w:rsid w:val="0221241E"/>
    <w:rsid w:val="0223D81D"/>
    <w:rsid w:val="0228B489"/>
    <w:rsid w:val="022DDE17"/>
    <w:rsid w:val="022EAE79"/>
    <w:rsid w:val="0240B6FD"/>
    <w:rsid w:val="0243E870"/>
    <w:rsid w:val="0244EE45"/>
    <w:rsid w:val="024A4570"/>
    <w:rsid w:val="02599764"/>
    <w:rsid w:val="0263AA4C"/>
    <w:rsid w:val="026820E2"/>
    <w:rsid w:val="026B7FEC"/>
    <w:rsid w:val="026D8CA6"/>
    <w:rsid w:val="026EA261"/>
    <w:rsid w:val="02780018"/>
    <w:rsid w:val="027C8AFA"/>
    <w:rsid w:val="02819F23"/>
    <w:rsid w:val="028659C0"/>
    <w:rsid w:val="028D92D5"/>
    <w:rsid w:val="029122C7"/>
    <w:rsid w:val="02979AC7"/>
    <w:rsid w:val="029B292A"/>
    <w:rsid w:val="029B7D88"/>
    <w:rsid w:val="029FFE4E"/>
    <w:rsid w:val="02A364D6"/>
    <w:rsid w:val="02A846BD"/>
    <w:rsid w:val="02B095DD"/>
    <w:rsid w:val="02B432B3"/>
    <w:rsid w:val="02B60379"/>
    <w:rsid w:val="02B7B1CE"/>
    <w:rsid w:val="02B8E431"/>
    <w:rsid w:val="02BCB805"/>
    <w:rsid w:val="02BF600E"/>
    <w:rsid w:val="02C827F7"/>
    <w:rsid w:val="02C8A632"/>
    <w:rsid w:val="02CBFA46"/>
    <w:rsid w:val="02CCCD81"/>
    <w:rsid w:val="02CD28E5"/>
    <w:rsid w:val="02CDD103"/>
    <w:rsid w:val="02CED243"/>
    <w:rsid w:val="02CEFF68"/>
    <w:rsid w:val="02D2889D"/>
    <w:rsid w:val="02D93CB2"/>
    <w:rsid w:val="02DA0207"/>
    <w:rsid w:val="02E7F33F"/>
    <w:rsid w:val="02EA82F7"/>
    <w:rsid w:val="02EDB1C8"/>
    <w:rsid w:val="02F08C08"/>
    <w:rsid w:val="02F243FE"/>
    <w:rsid w:val="02F4ACD8"/>
    <w:rsid w:val="02F8D3F4"/>
    <w:rsid w:val="0306C017"/>
    <w:rsid w:val="0308A5CF"/>
    <w:rsid w:val="031161D6"/>
    <w:rsid w:val="0313A070"/>
    <w:rsid w:val="03191470"/>
    <w:rsid w:val="0319AE3F"/>
    <w:rsid w:val="031A8A28"/>
    <w:rsid w:val="0322CE9B"/>
    <w:rsid w:val="0326EAD1"/>
    <w:rsid w:val="0336AC24"/>
    <w:rsid w:val="033D9935"/>
    <w:rsid w:val="034328BC"/>
    <w:rsid w:val="0344ED9E"/>
    <w:rsid w:val="034A34D9"/>
    <w:rsid w:val="034F95E1"/>
    <w:rsid w:val="0351292A"/>
    <w:rsid w:val="0359DBE6"/>
    <w:rsid w:val="035BA525"/>
    <w:rsid w:val="035DB4AD"/>
    <w:rsid w:val="0362104F"/>
    <w:rsid w:val="03652425"/>
    <w:rsid w:val="036F3DEB"/>
    <w:rsid w:val="03753F4C"/>
    <w:rsid w:val="037F751C"/>
    <w:rsid w:val="038AB990"/>
    <w:rsid w:val="0391B363"/>
    <w:rsid w:val="03946FD7"/>
    <w:rsid w:val="03949F85"/>
    <w:rsid w:val="03979832"/>
    <w:rsid w:val="03987DB6"/>
    <w:rsid w:val="039CEF38"/>
    <w:rsid w:val="039D7534"/>
    <w:rsid w:val="039E3BED"/>
    <w:rsid w:val="039F0223"/>
    <w:rsid w:val="03A240D9"/>
    <w:rsid w:val="03AA6AF2"/>
    <w:rsid w:val="03B10A52"/>
    <w:rsid w:val="03B54C0E"/>
    <w:rsid w:val="03B65DA6"/>
    <w:rsid w:val="03B6C862"/>
    <w:rsid w:val="03BA2459"/>
    <w:rsid w:val="03BA89EB"/>
    <w:rsid w:val="03BAB0AE"/>
    <w:rsid w:val="03C5127E"/>
    <w:rsid w:val="03C975B0"/>
    <w:rsid w:val="03CD91C1"/>
    <w:rsid w:val="03D08AD2"/>
    <w:rsid w:val="03D8DCE0"/>
    <w:rsid w:val="03DD6125"/>
    <w:rsid w:val="03E4310F"/>
    <w:rsid w:val="03E475B8"/>
    <w:rsid w:val="03E9C849"/>
    <w:rsid w:val="03EB09D2"/>
    <w:rsid w:val="03ED72DC"/>
    <w:rsid w:val="03F43718"/>
    <w:rsid w:val="03F8DD45"/>
    <w:rsid w:val="03FD2D8D"/>
    <w:rsid w:val="04031BCA"/>
    <w:rsid w:val="0414A9E4"/>
    <w:rsid w:val="0415A7BB"/>
    <w:rsid w:val="041C5536"/>
    <w:rsid w:val="0421F942"/>
    <w:rsid w:val="0426F873"/>
    <w:rsid w:val="04386E06"/>
    <w:rsid w:val="04398005"/>
    <w:rsid w:val="04414135"/>
    <w:rsid w:val="04484AB1"/>
    <w:rsid w:val="044AD45D"/>
    <w:rsid w:val="044C1BAB"/>
    <w:rsid w:val="04526B6B"/>
    <w:rsid w:val="04531F64"/>
    <w:rsid w:val="0454AF4E"/>
    <w:rsid w:val="04586017"/>
    <w:rsid w:val="04587088"/>
    <w:rsid w:val="045BA320"/>
    <w:rsid w:val="04601778"/>
    <w:rsid w:val="04627E86"/>
    <w:rsid w:val="0462B505"/>
    <w:rsid w:val="046C617C"/>
    <w:rsid w:val="047AA7DF"/>
    <w:rsid w:val="047DB4A9"/>
    <w:rsid w:val="047ED5CB"/>
    <w:rsid w:val="04805ECD"/>
    <w:rsid w:val="0480925E"/>
    <w:rsid w:val="04811E8C"/>
    <w:rsid w:val="048A77DB"/>
    <w:rsid w:val="04934DD2"/>
    <w:rsid w:val="049FEACF"/>
    <w:rsid w:val="04A1EFB3"/>
    <w:rsid w:val="04AFA3C5"/>
    <w:rsid w:val="04B39F03"/>
    <w:rsid w:val="04B597D2"/>
    <w:rsid w:val="04C55A76"/>
    <w:rsid w:val="04CA2652"/>
    <w:rsid w:val="04CE92C4"/>
    <w:rsid w:val="04D56DC2"/>
    <w:rsid w:val="04DA0DDA"/>
    <w:rsid w:val="04DC3525"/>
    <w:rsid w:val="04DF0876"/>
    <w:rsid w:val="04E17524"/>
    <w:rsid w:val="04E23847"/>
    <w:rsid w:val="04E7B966"/>
    <w:rsid w:val="04E8076F"/>
    <w:rsid w:val="04F2F49A"/>
    <w:rsid w:val="04F30EB8"/>
    <w:rsid w:val="04F7640B"/>
    <w:rsid w:val="04F89A80"/>
    <w:rsid w:val="04FE873A"/>
    <w:rsid w:val="04FF0463"/>
    <w:rsid w:val="05038638"/>
    <w:rsid w:val="05092C14"/>
    <w:rsid w:val="050B4A1D"/>
    <w:rsid w:val="050B64CF"/>
    <w:rsid w:val="05229DC3"/>
    <w:rsid w:val="052BD341"/>
    <w:rsid w:val="052C69F6"/>
    <w:rsid w:val="053050E6"/>
    <w:rsid w:val="05308193"/>
    <w:rsid w:val="0534DCE9"/>
    <w:rsid w:val="05368B52"/>
    <w:rsid w:val="053CC8D9"/>
    <w:rsid w:val="053FAD6F"/>
    <w:rsid w:val="05453E56"/>
    <w:rsid w:val="0551A70E"/>
    <w:rsid w:val="0558D549"/>
    <w:rsid w:val="056F7BFB"/>
    <w:rsid w:val="056FFBEA"/>
    <w:rsid w:val="0572AC3C"/>
    <w:rsid w:val="058B5F66"/>
    <w:rsid w:val="05943610"/>
    <w:rsid w:val="059DE2DA"/>
    <w:rsid w:val="059E6ACC"/>
    <w:rsid w:val="05A0FF1F"/>
    <w:rsid w:val="05A778C5"/>
    <w:rsid w:val="05AD0354"/>
    <w:rsid w:val="05AE6046"/>
    <w:rsid w:val="05B1488D"/>
    <w:rsid w:val="05B3CFCF"/>
    <w:rsid w:val="05B512A3"/>
    <w:rsid w:val="05B6E1BE"/>
    <w:rsid w:val="05BAB13E"/>
    <w:rsid w:val="05C35CA9"/>
    <w:rsid w:val="05C6CF15"/>
    <w:rsid w:val="05C9CDE4"/>
    <w:rsid w:val="05CA1C3F"/>
    <w:rsid w:val="05CAF735"/>
    <w:rsid w:val="05CAFFA6"/>
    <w:rsid w:val="05D3A072"/>
    <w:rsid w:val="05D45ACC"/>
    <w:rsid w:val="05D5699F"/>
    <w:rsid w:val="05D7D279"/>
    <w:rsid w:val="05E6E913"/>
    <w:rsid w:val="05E820A5"/>
    <w:rsid w:val="05F41F7B"/>
    <w:rsid w:val="05FBFB9F"/>
    <w:rsid w:val="060F95D9"/>
    <w:rsid w:val="0619D8F1"/>
    <w:rsid w:val="061E8565"/>
    <w:rsid w:val="0621DB28"/>
    <w:rsid w:val="0627A4BE"/>
    <w:rsid w:val="06286E70"/>
    <w:rsid w:val="0628A172"/>
    <w:rsid w:val="062DA55A"/>
    <w:rsid w:val="0637E0BF"/>
    <w:rsid w:val="063B0CE6"/>
    <w:rsid w:val="064352A8"/>
    <w:rsid w:val="064CF13F"/>
    <w:rsid w:val="0653C60A"/>
    <w:rsid w:val="0659D8C8"/>
    <w:rsid w:val="0663BCC4"/>
    <w:rsid w:val="06743050"/>
    <w:rsid w:val="067B1CFF"/>
    <w:rsid w:val="067D48CF"/>
    <w:rsid w:val="067DA14A"/>
    <w:rsid w:val="068423FF"/>
    <w:rsid w:val="06893A5D"/>
    <w:rsid w:val="068ABB2A"/>
    <w:rsid w:val="069145C7"/>
    <w:rsid w:val="0699D842"/>
    <w:rsid w:val="06A4BBA7"/>
    <w:rsid w:val="06ACF38F"/>
    <w:rsid w:val="06AD357C"/>
    <w:rsid w:val="06B366F3"/>
    <w:rsid w:val="06B48E05"/>
    <w:rsid w:val="06D3AC28"/>
    <w:rsid w:val="06D939AB"/>
    <w:rsid w:val="06DF8913"/>
    <w:rsid w:val="06E46F9C"/>
    <w:rsid w:val="06F8F62E"/>
    <w:rsid w:val="0703C148"/>
    <w:rsid w:val="0704D4AB"/>
    <w:rsid w:val="07069BEE"/>
    <w:rsid w:val="070808B6"/>
    <w:rsid w:val="070C1362"/>
    <w:rsid w:val="0712D291"/>
    <w:rsid w:val="071F2223"/>
    <w:rsid w:val="0723C7AD"/>
    <w:rsid w:val="07275F15"/>
    <w:rsid w:val="0728D442"/>
    <w:rsid w:val="072EF42D"/>
    <w:rsid w:val="07378E4D"/>
    <w:rsid w:val="073D6283"/>
    <w:rsid w:val="07457E98"/>
    <w:rsid w:val="07520BD6"/>
    <w:rsid w:val="075CEFF0"/>
    <w:rsid w:val="0760C5A6"/>
    <w:rsid w:val="07629E21"/>
    <w:rsid w:val="0773D3D4"/>
    <w:rsid w:val="0782B447"/>
    <w:rsid w:val="07831929"/>
    <w:rsid w:val="0786B096"/>
    <w:rsid w:val="078E67A3"/>
    <w:rsid w:val="07943981"/>
    <w:rsid w:val="07957172"/>
    <w:rsid w:val="07A64741"/>
    <w:rsid w:val="07AAD8E8"/>
    <w:rsid w:val="07AEF1A4"/>
    <w:rsid w:val="07B24B80"/>
    <w:rsid w:val="07B8C4B5"/>
    <w:rsid w:val="07BB3474"/>
    <w:rsid w:val="07BBD774"/>
    <w:rsid w:val="07BD84F1"/>
    <w:rsid w:val="07BF1D62"/>
    <w:rsid w:val="07C73D73"/>
    <w:rsid w:val="07C8D948"/>
    <w:rsid w:val="07CAF2FA"/>
    <w:rsid w:val="07CB973B"/>
    <w:rsid w:val="07D142F9"/>
    <w:rsid w:val="07D28776"/>
    <w:rsid w:val="07D35685"/>
    <w:rsid w:val="07D48E05"/>
    <w:rsid w:val="07DB13FF"/>
    <w:rsid w:val="07E46525"/>
    <w:rsid w:val="07E8FDBD"/>
    <w:rsid w:val="07EA7420"/>
    <w:rsid w:val="07EEE4C8"/>
    <w:rsid w:val="07F293E7"/>
    <w:rsid w:val="07F55BA2"/>
    <w:rsid w:val="07F7AB84"/>
    <w:rsid w:val="07F85C6F"/>
    <w:rsid w:val="07FA3361"/>
    <w:rsid w:val="07FFF4B0"/>
    <w:rsid w:val="0802E5D2"/>
    <w:rsid w:val="0804CBEC"/>
    <w:rsid w:val="080A21AE"/>
    <w:rsid w:val="080B309F"/>
    <w:rsid w:val="080B4633"/>
    <w:rsid w:val="08129C87"/>
    <w:rsid w:val="08159C64"/>
    <w:rsid w:val="081B4B34"/>
    <w:rsid w:val="082677F8"/>
    <w:rsid w:val="08286D76"/>
    <w:rsid w:val="082B0B28"/>
    <w:rsid w:val="08334A83"/>
    <w:rsid w:val="083B186D"/>
    <w:rsid w:val="083BBCBB"/>
    <w:rsid w:val="083D552C"/>
    <w:rsid w:val="083D737E"/>
    <w:rsid w:val="08432177"/>
    <w:rsid w:val="084A7AF0"/>
    <w:rsid w:val="084F0B57"/>
    <w:rsid w:val="0851A797"/>
    <w:rsid w:val="0852AD9B"/>
    <w:rsid w:val="0852DD8F"/>
    <w:rsid w:val="08531B3B"/>
    <w:rsid w:val="085C220C"/>
    <w:rsid w:val="085CEBBE"/>
    <w:rsid w:val="085D1737"/>
    <w:rsid w:val="08633856"/>
    <w:rsid w:val="087E2D5E"/>
    <w:rsid w:val="08905713"/>
    <w:rsid w:val="08910DEF"/>
    <w:rsid w:val="089141BC"/>
    <w:rsid w:val="08959719"/>
    <w:rsid w:val="0895D0B8"/>
    <w:rsid w:val="08A22EE3"/>
    <w:rsid w:val="08A5DAD5"/>
    <w:rsid w:val="08AA3761"/>
    <w:rsid w:val="08B0EFC4"/>
    <w:rsid w:val="08BB0A78"/>
    <w:rsid w:val="08BF9AA5"/>
    <w:rsid w:val="08C5B194"/>
    <w:rsid w:val="08C8666B"/>
    <w:rsid w:val="08D67D79"/>
    <w:rsid w:val="08D821E0"/>
    <w:rsid w:val="08DB077A"/>
    <w:rsid w:val="08EAFFA7"/>
    <w:rsid w:val="08EBF51C"/>
    <w:rsid w:val="08EEC577"/>
    <w:rsid w:val="08F77A0D"/>
    <w:rsid w:val="090B69F7"/>
    <w:rsid w:val="090E26E8"/>
    <w:rsid w:val="091039BF"/>
    <w:rsid w:val="091F5E8D"/>
    <w:rsid w:val="09254F5B"/>
    <w:rsid w:val="09280E18"/>
    <w:rsid w:val="0938257F"/>
    <w:rsid w:val="0949C9D4"/>
    <w:rsid w:val="0956F0F0"/>
    <w:rsid w:val="095BBC32"/>
    <w:rsid w:val="095F3ED3"/>
    <w:rsid w:val="09617927"/>
    <w:rsid w:val="0961DA4A"/>
    <w:rsid w:val="09640F1D"/>
    <w:rsid w:val="09772C30"/>
    <w:rsid w:val="097D1944"/>
    <w:rsid w:val="097E7255"/>
    <w:rsid w:val="097F3742"/>
    <w:rsid w:val="097F8256"/>
    <w:rsid w:val="09841786"/>
    <w:rsid w:val="09848219"/>
    <w:rsid w:val="098BA463"/>
    <w:rsid w:val="099600E4"/>
    <w:rsid w:val="0998C194"/>
    <w:rsid w:val="09A2553A"/>
    <w:rsid w:val="09A348E0"/>
    <w:rsid w:val="09A7B472"/>
    <w:rsid w:val="09A8AC0C"/>
    <w:rsid w:val="09ACA537"/>
    <w:rsid w:val="09B1D51E"/>
    <w:rsid w:val="09C73504"/>
    <w:rsid w:val="09CAFF8E"/>
    <w:rsid w:val="09D0CC63"/>
    <w:rsid w:val="09D37BD0"/>
    <w:rsid w:val="09D80B60"/>
    <w:rsid w:val="09D8F682"/>
    <w:rsid w:val="09DD1121"/>
    <w:rsid w:val="09E14345"/>
    <w:rsid w:val="09F27428"/>
    <w:rsid w:val="09F6B04C"/>
    <w:rsid w:val="0A0055A7"/>
    <w:rsid w:val="0A09F29C"/>
    <w:rsid w:val="0A12ABE8"/>
    <w:rsid w:val="0A192D99"/>
    <w:rsid w:val="0A1FD54D"/>
    <w:rsid w:val="0A247805"/>
    <w:rsid w:val="0A302DD7"/>
    <w:rsid w:val="0A30F3B5"/>
    <w:rsid w:val="0A38C1A6"/>
    <w:rsid w:val="0A38C4FA"/>
    <w:rsid w:val="0A4927A3"/>
    <w:rsid w:val="0A4C97DE"/>
    <w:rsid w:val="0A4D0EB4"/>
    <w:rsid w:val="0A4E3754"/>
    <w:rsid w:val="0A624B73"/>
    <w:rsid w:val="0A629368"/>
    <w:rsid w:val="0A6AE477"/>
    <w:rsid w:val="0A744A92"/>
    <w:rsid w:val="0A7DE8D9"/>
    <w:rsid w:val="0A7F5AEF"/>
    <w:rsid w:val="0A8883F9"/>
    <w:rsid w:val="0A88F9CA"/>
    <w:rsid w:val="0A992F57"/>
    <w:rsid w:val="0A9A4F88"/>
    <w:rsid w:val="0A9C1AE5"/>
    <w:rsid w:val="0AA055A1"/>
    <w:rsid w:val="0AA2758D"/>
    <w:rsid w:val="0AA8521C"/>
    <w:rsid w:val="0AA9D11E"/>
    <w:rsid w:val="0AADD6DD"/>
    <w:rsid w:val="0AB64BBE"/>
    <w:rsid w:val="0ABF2CCD"/>
    <w:rsid w:val="0AC26705"/>
    <w:rsid w:val="0AD65328"/>
    <w:rsid w:val="0ADD2B4A"/>
    <w:rsid w:val="0ADF8D4B"/>
    <w:rsid w:val="0AE4C464"/>
    <w:rsid w:val="0AE53992"/>
    <w:rsid w:val="0AEC62B3"/>
    <w:rsid w:val="0AF0B501"/>
    <w:rsid w:val="0AF0E00F"/>
    <w:rsid w:val="0AF6F99C"/>
    <w:rsid w:val="0AFDCCC3"/>
    <w:rsid w:val="0B061A8F"/>
    <w:rsid w:val="0B0EA804"/>
    <w:rsid w:val="0B147658"/>
    <w:rsid w:val="0B22D732"/>
    <w:rsid w:val="0B249E46"/>
    <w:rsid w:val="0B251D6F"/>
    <w:rsid w:val="0B2F9BA8"/>
    <w:rsid w:val="0B33E7D8"/>
    <w:rsid w:val="0B3A1A8D"/>
    <w:rsid w:val="0B3A964D"/>
    <w:rsid w:val="0B46C9BF"/>
    <w:rsid w:val="0B530579"/>
    <w:rsid w:val="0B55C567"/>
    <w:rsid w:val="0B5627EE"/>
    <w:rsid w:val="0B57834A"/>
    <w:rsid w:val="0B5863D8"/>
    <w:rsid w:val="0B5B691F"/>
    <w:rsid w:val="0B5E7464"/>
    <w:rsid w:val="0B610C44"/>
    <w:rsid w:val="0B641ED4"/>
    <w:rsid w:val="0B6468CE"/>
    <w:rsid w:val="0B6F5A9F"/>
    <w:rsid w:val="0B7010AB"/>
    <w:rsid w:val="0B749D87"/>
    <w:rsid w:val="0B76687F"/>
    <w:rsid w:val="0B792758"/>
    <w:rsid w:val="0B7B5E8E"/>
    <w:rsid w:val="0B7BC847"/>
    <w:rsid w:val="0B7CB619"/>
    <w:rsid w:val="0B80FAB1"/>
    <w:rsid w:val="0B86F36B"/>
    <w:rsid w:val="0B894CD6"/>
    <w:rsid w:val="0B899249"/>
    <w:rsid w:val="0B8A3F5C"/>
    <w:rsid w:val="0B9000C9"/>
    <w:rsid w:val="0B916F20"/>
    <w:rsid w:val="0B93CE17"/>
    <w:rsid w:val="0B998797"/>
    <w:rsid w:val="0B9BF0B4"/>
    <w:rsid w:val="0BA3A878"/>
    <w:rsid w:val="0BA8BCB8"/>
    <w:rsid w:val="0BAD42E5"/>
    <w:rsid w:val="0BADBCEC"/>
    <w:rsid w:val="0BD88C24"/>
    <w:rsid w:val="0BDC5DA2"/>
    <w:rsid w:val="0BDCB59C"/>
    <w:rsid w:val="0BDD9157"/>
    <w:rsid w:val="0BDF018D"/>
    <w:rsid w:val="0BDF806F"/>
    <w:rsid w:val="0BEB7A6E"/>
    <w:rsid w:val="0BEC1D61"/>
    <w:rsid w:val="0BF732E6"/>
    <w:rsid w:val="0BF971E8"/>
    <w:rsid w:val="0BFF2BAD"/>
    <w:rsid w:val="0C05DC95"/>
    <w:rsid w:val="0C08AAF9"/>
    <w:rsid w:val="0C160773"/>
    <w:rsid w:val="0C178571"/>
    <w:rsid w:val="0C1A714C"/>
    <w:rsid w:val="0C1B1853"/>
    <w:rsid w:val="0C1F4C20"/>
    <w:rsid w:val="0C26CA39"/>
    <w:rsid w:val="0C2C27A8"/>
    <w:rsid w:val="0C2E58AA"/>
    <w:rsid w:val="0C30F988"/>
    <w:rsid w:val="0C319146"/>
    <w:rsid w:val="0C374BC9"/>
    <w:rsid w:val="0C3BE523"/>
    <w:rsid w:val="0C415328"/>
    <w:rsid w:val="0C44EDA0"/>
    <w:rsid w:val="0C488BA2"/>
    <w:rsid w:val="0C4A9E8A"/>
    <w:rsid w:val="0C4F2812"/>
    <w:rsid w:val="0C503309"/>
    <w:rsid w:val="0C5BC7B6"/>
    <w:rsid w:val="0C648F03"/>
    <w:rsid w:val="0C6AD08C"/>
    <w:rsid w:val="0C6FE468"/>
    <w:rsid w:val="0C877CC5"/>
    <w:rsid w:val="0C8EF973"/>
    <w:rsid w:val="0CABC487"/>
    <w:rsid w:val="0CABD766"/>
    <w:rsid w:val="0CAD4540"/>
    <w:rsid w:val="0CB2E644"/>
    <w:rsid w:val="0CB341F5"/>
    <w:rsid w:val="0CB5F3BD"/>
    <w:rsid w:val="0CB7638B"/>
    <w:rsid w:val="0CBC906E"/>
    <w:rsid w:val="0CCA6C2F"/>
    <w:rsid w:val="0CCDF7E7"/>
    <w:rsid w:val="0CCF749E"/>
    <w:rsid w:val="0CD01146"/>
    <w:rsid w:val="0CD5D968"/>
    <w:rsid w:val="0CD8B089"/>
    <w:rsid w:val="0CE14849"/>
    <w:rsid w:val="0CE6558E"/>
    <w:rsid w:val="0CECBDC8"/>
    <w:rsid w:val="0CF3731E"/>
    <w:rsid w:val="0CF7BF5D"/>
    <w:rsid w:val="0CF8517C"/>
    <w:rsid w:val="0CF86660"/>
    <w:rsid w:val="0CF88E4E"/>
    <w:rsid w:val="0CFBE3F2"/>
    <w:rsid w:val="0D0E0B78"/>
    <w:rsid w:val="0D1E79D8"/>
    <w:rsid w:val="0D251480"/>
    <w:rsid w:val="0D2886E7"/>
    <w:rsid w:val="0D3223D4"/>
    <w:rsid w:val="0D36E576"/>
    <w:rsid w:val="0D392A75"/>
    <w:rsid w:val="0D430291"/>
    <w:rsid w:val="0D4FAB70"/>
    <w:rsid w:val="0D5962CB"/>
    <w:rsid w:val="0D5C849D"/>
    <w:rsid w:val="0D6164FF"/>
    <w:rsid w:val="0D647AF4"/>
    <w:rsid w:val="0D6BDD52"/>
    <w:rsid w:val="0D747005"/>
    <w:rsid w:val="0D8DDCCC"/>
    <w:rsid w:val="0D8FDA0C"/>
    <w:rsid w:val="0D915B3C"/>
    <w:rsid w:val="0D9C3D7A"/>
    <w:rsid w:val="0DA66BF3"/>
    <w:rsid w:val="0DAF5FB4"/>
    <w:rsid w:val="0DAF6062"/>
    <w:rsid w:val="0DB0D282"/>
    <w:rsid w:val="0DB2DEB4"/>
    <w:rsid w:val="0DBB086B"/>
    <w:rsid w:val="0DBB350B"/>
    <w:rsid w:val="0DBF3117"/>
    <w:rsid w:val="0DC6C6D6"/>
    <w:rsid w:val="0DC8A7B0"/>
    <w:rsid w:val="0DD23303"/>
    <w:rsid w:val="0DD65AB7"/>
    <w:rsid w:val="0DD6DC16"/>
    <w:rsid w:val="0DDCDB41"/>
    <w:rsid w:val="0DE83107"/>
    <w:rsid w:val="0DE8707E"/>
    <w:rsid w:val="0DE87441"/>
    <w:rsid w:val="0DEAEE69"/>
    <w:rsid w:val="0DEB0C91"/>
    <w:rsid w:val="0DFA440D"/>
    <w:rsid w:val="0DFBEDA6"/>
    <w:rsid w:val="0DFD7869"/>
    <w:rsid w:val="0E00D38D"/>
    <w:rsid w:val="0E05695A"/>
    <w:rsid w:val="0E09E267"/>
    <w:rsid w:val="0E121AAF"/>
    <w:rsid w:val="0E221F02"/>
    <w:rsid w:val="0E316DEF"/>
    <w:rsid w:val="0E3A96BE"/>
    <w:rsid w:val="0E3D1483"/>
    <w:rsid w:val="0E400378"/>
    <w:rsid w:val="0E4030F7"/>
    <w:rsid w:val="0E53FF3B"/>
    <w:rsid w:val="0E54C257"/>
    <w:rsid w:val="0E558173"/>
    <w:rsid w:val="0E57F867"/>
    <w:rsid w:val="0E5D5B0A"/>
    <w:rsid w:val="0E669AD1"/>
    <w:rsid w:val="0E740A08"/>
    <w:rsid w:val="0E74708C"/>
    <w:rsid w:val="0E76FD7A"/>
    <w:rsid w:val="0E796FFB"/>
    <w:rsid w:val="0E7FA7A8"/>
    <w:rsid w:val="0E83111A"/>
    <w:rsid w:val="0E8A0C3E"/>
    <w:rsid w:val="0E8C0BE5"/>
    <w:rsid w:val="0E90E6E5"/>
    <w:rsid w:val="0E9DE0D9"/>
    <w:rsid w:val="0E9F0FCC"/>
    <w:rsid w:val="0EA1F385"/>
    <w:rsid w:val="0EA9DB8E"/>
    <w:rsid w:val="0EB292CB"/>
    <w:rsid w:val="0EB6CF4A"/>
    <w:rsid w:val="0ECA97A8"/>
    <w:rsid w:val="0ED3BA84"/>
    <w:rsid w:val="0ED50FB9"/>
    <w:rsid w:val="0ED510A8"/>
    <w:rsid w:val="0EDC5A44"/>
    <w:rsid w:val="0EE1602F"/>
    <w:rsid w:val="0EE7464C"/>
    <w:rsid w:val="0EE7E17B"/>
    <w:rsid w:val="0EEDCDA2"/>
    <w:rsid w:val="0EF76C6A"/>
    <w:rsid w:val="0F06229E"/>
    <w:rsid w:val="0F07369B"/>
    <w:rsid w:val="0F16A051"/>
    <w:rsid w:val="0F17996A"/>
    <w:rsid w:val="0F1D7EBD"/>
    <w:rsid w:val="0F2059BC"/>
    <w:rsid w:val="0F23636E"/>
    <w:rsid w:val="0F2679F6"/>
    <w:rsid w:val="0F2A7455"/>
    <w:rsid w:val="0F2C1952"/>
    <w:rsid w:val="0F39F648"/>
    <w:rsid w:val="0F4AE972"/>
    <w:rsid w:val="0F4CD453"/>
    <w:rsid w:val="0F4E77DC"/>
    <w:rsid w:val="0F4FD45B"/>
    <w:rsid w:val="0F50A0EB"/>
    <w:rsid w:val="0F524592"/>
    <w:rsid w:val="0F58409B"/>
    <w:rsid w:val="0F5D7CC4"/>
    <w:rsid w:val="0F6B1740"/>
    <w:rsid w:val="0F7461DF"/>
    <w:rsid w:val="0F82CEB1"/>
    <w:rsid w:val="0F835D2E"/>
    <w:rsid w:val="0F878721"/>
    <w:rsid w:val="0F882EF8"/>
    <w:rsid w:val="0F8CBD93"/>
    <w:rsid w:val="0F939D64"/>
    <w:rsid w:val="0F9A4448"/>
    <w:rsid w:val="0F9B0219"/>
    <w:rsid w:val="0F9CA1CF"/>
    <w:rsid w:val="0FA4B356"/>
    <w:rsid w:val="0FAB97FE"/>
    <w:rsid w:val="0FB00EA6"/>
    <w:rsid w:val="0FB44BD2"/>
    <w:rsid w:val="0FB68CFB"/>
    <w:rsid w:val="0FC758D3"/>
    <w:rsid w:val="0FC8E7EE"/>
    <w:rsid w:val="0FCC236C"/>
    <w:rsid w:val="0FD6CE8C"/>
    <w:rsid w:val="0FD998FF"/>
    <w:rsid w:val="0FDE23D6"/>
    <w:rsid w:val="0FE38DED"/>
    <w:rsid w:val="0FE50F7B"/>
    <w:rsid w:val="0FE9B207"/>
    <w:rsid w:val="0FEFD3BE"/>
    <w:rsid w:val="0FF19A09"/>
    <w:rsid w:val="100C8984"/>
    <w:rsid w:val="1012B5D7"/>
    <w:rsid w:val="10133DD9"/>
    <w:rsid w:val="101903B9"/>
    <w:rsid w:val="10197ECD"/>
    <w:rsid w:val="101B57E9"/>
    <w:rsid w:val="101C10EB"/>
    <w:rsid w:val="10205AD8"/>
    <w:rsid w:val="1021E319"/>
    <w:rsid w:val="1023C70F"/>
    <w:rsid w:val="10254CDA"/>
    <w:rsid w:val="1029D365"/>
    <w:rsid w:val="102C941A"/>
    <w:rsid w:val="1031B4DB"/>
    <w:rsid w:val="103280B2"/>
    <w:rsid w:val="103AB1AB"/>
    <w:rsid w:val="103F90E9"/>
    <w:rsid w:val="1043ED8B"/>
    <w:rsid w:val="104590BB"/>
    <w:rsid w:val="10466960"/>
    <w:rsid w:val="105E501D"/>
    <w:rsid w:val="1073311B"/>
    <w:rsid w:val="10844F85"/>
    <w:rsid w:val="10868384"/>
    <w:rsid w:val="1093C95C"/>
    <w:rsid w:val="1097D283"/>
    <w:rsid w:val="1098807C"/>
    <w:rsid w:val="10993974"/>
    <w:rsid w:val="109AECC7"/>
    <w:rsid w:val="10A8283D"/>
    <w:rsid w:val="10ABFDA5"/>
    <w:rsid w:val="10BA0366"/>
    <w:rsid w:val="10BC6F16"/>
    <w:rsid w:val="10BF3623"/>
    <w:rsid w:val="10C09B0C"/>
    <w:rsid w:val="10C4A0FA"/>
    <w:rsid w:val="10C71984"/>
    <w:rsid w:val="10CD8634"/>
    <w:rsid w:val="10CDECE1"/>
    <w:rsid w:val="10DA4F82"/>
    <w:rsid w:val="10DBE90D"/>
    <w:rsid w:val="10DE22E6"/>
    <w:rsid w:val="10E071CE"/>
    <w:rsid w:val="10E30E81"/>
    <w:rsid w:val="10FCE11D"/>
    <w:rsid w:val="10FE60BD"/>
    <w:rsid w:val="110AFA6C"/>
    <w:rsid w:val="110F27D4"/>
    <w:rsid w:val="1111205B"/>
    <w:rsid w:val="111C4783"/>
    <w:rsid w:val="111EAA49"/>
    <w:rsid w:val="112496BF"/>
    <w:rsid w:val="112C1AEA"/>
    <w:rsid w:val="113182E5"/>
    <w:rsid w:val="1138222A"/>
    <w:rsid w:val="113F4684"/>
    <w:rsid w:val="1142C6F5"/>
    <w:rsid w:val="11496FF5"/>
    <w:rsid w:val="114A4D35"/>
    <w:rsid w:val="114D8C38"/>
    <w:rsid w:val="1152187C"/>
    <w:rsid w:val="1152EE01"/>
    <w:rsid w:val="1155EA79"/>
    <w:rsid w:val="115CF939"/>
    <w:rsid w:val="1163FBE3"/>
    <w:rsid w:val="1167E0B1"/>
    <w:rsid w:val="117698D4"/>
    <w:rsid w:val="11786AF6"/>
    <w:rsid w:val="1179495E"/>
    <w:rsid w:val="117D282E"/>
    <w:rsid w:val="118B9343"/>
    <w:rsid w:val="118F72CB"/>
    <w:rsid w:val="11B16D42"/>
    <w:rsid w:val="11BA4E4B"/>
    <w:rsid w:val="11BC1C5A"/>
    <w:rsid w:val="11C31E9C"/>
    <w:rsid w:val="11C3BC9A"/>
    <w:rsid w:val="11D01CF1"/>
    <w:rsid w:val="11D04C88"/>
    <w:rsid w:val="11D203C4"/>
    <w:rsid w:val="11D3330A"/>
    <w:rsid w:val="11DD938F"/>
    <w:rsid w:val="11EABCF8"/>
    <w:rsid w:val="11FC508A"/>
    <w:rsid w:val="120B7943"/>
    <w:rsid w:val="120BB777"/>
    <w:rsid w:val="120CFA2F"/>
    <w:rsid w:val="120D9F78"/>
    <w:rsid w:val="121490A1"/>
    <w:rsid w:val="1214E4F6"/>
    <w:rsid w:val="12173A05"/>
    <w:rsid w:val="121F4129"/>
    <w:rsid w:val="12234400"/>
    <w:rsid w:val="12291250"/>
    <w:rsid w:val="122CF056"/>
    <w:rsid w:val="122E6905"/>
    <w:rsid w:val="1233D9E8"/>
    <w:rsid w:val="1235375B"/>
    <w:rsid w:val="123995AB"/>
    <w:rsid w:val="124842BF"/>
    <w:rsid w:val="1250C3F1"/>
    <w:rsid w:val="1259C7B6"/>
    <w:rsid w:val="125C4C32"/>
    <w:rsid w:val="1266885F"/>
    <w:rsid w:val="1269851B"/>
    <w:rsid w:val="126BAEA3"/>
    <w:rsid w:val="126D24BB"/>
    <w:rsid w:val="12722005"/>
    <w:rsid w:val="127BB1A7"/>
    <w:rsid w:val="127D8CFA"/>
    <w:rsid w:val="1281D068"/>
    <w:rsid w:val="1288787B"/>
    <w:rsid w:val="12896786"/>
    <w:rsid w:val="1297F9AA"/>
    <w:rsid w:val="12990621"/>
    <w:rsid w:val="129E7508"/>
    <w:rsid w:val="12A2C4E1"/>
    <w:rsid w:val="12A7CA03"/>
    <w:rsid w:val="12A84C18"/>
    <w:rsid w:val="12AC89CA"/>
    <w:rsid w:val="12BAF1D8"/>
    <w:rsid w:val="12BE5916"/>
    <w:rsid w:val="12C18C18"/>
    <w:rsid w:val="12C3C0BB"/>
    <w:rsid w:val="12C53937"/>
    <w:rsid w:val="12C756C1"/>
    <w:rsid w:val="12CFC795"/>
    <w:rsid w:val="12CFE3E2"/>
    <w:rsid w:val="12D0259A"/>
    <w:rsid w:val="12D62F19"/>
    <w:rsid w:val="12DFE80A"/>
    <w:rsid w:val="12E49FDC"/>
    <w:rsid w:val="12E76EEC"/>
    <w:rsid w:val="12F1C3D1"/>
    <w:rsid w:val="12F3B709"/>
    <w:rsid w:val="12F6673D"/>
    <w:rsid w:val="12FF968A"/>
    <w:rsid w:val="13027D4C"/>
    <w:rsid w:val="13039796"/>
    <w:rsid w:val="130691D4"/>
    <w:rsid w:val="130708C1"/>
    <w:rsid w:val="131C7859"/>
    <w:rsid w:val="131CD74F"/>
    <w:rsid w:val="1321FA8F"/>
    <w:rsid w:val="133273E8"/>
    <w:rsid w:val="1338569F"/>
    <w:rsid w:val="13388243"/>
    <w:rsid w:val="1339B508"/>
    <w:rsid w:val="133D33E7"/>
    <w:rsid w:val="134AFEFF"/>
    <w:rsid w:val="1353AF70"/>
    <w:rsid w:val="1360B5C3"/>
    <w:rsid w:val="13814406"/>
    <w:rsid w:val="1381D047"/>
    <w:rsid w:val="13871661"/>
    <w:rsid w:val="138E8658"/>
    <w:rsid w:val="1395FBBF"/>
    <w:rsid w:val="139977BE"/>
    <w:rsid w:val="1399C03C"/>
    <w:rsid w:val="13A031E3"/>
    <w:rsid w:val="13A8E688"/>
    <w:rsid w:val="13AF4ACD"/>
    <w:rsid w:val="13B506B9"/>
    <w:rsid w:val="13B53487"/>
    <w:rsid w:val="13B8309C"/>
    <w:rsid w:val="13BEAA32"/>
    <w:rsid w:val="13C3CD13"/>
    <w:rsid w:val="13D106AE"/>
    <w:rsid w:val="13D20510"/>
    <w:rsid w:val="13D35372"/>
    <w:rsid w:val="13D35CE9"/>
    <w:rsid w:val="13D66B7C"/>
    <w:rsid w:val="13DBAC8D"/>
    <w:rsid w:val="13E24039"/>
    <w:rsid w:val="13EB6E79"/>
    <w:rsid w:val="13EF2F37"/>
    <w:rsid w:val="13F21FC0"/>
    <w:rsid w:val="13F3B770"/>
    <w:rsid w:val="13FC5F48"/>
    <w:rsid w:val="14009DC3"/>
    <w:rsid w:val="1400B9A0"/>
    <w:rsid w:val="1409184F"/>
    <w:rsid w:val="14107022"/>
    <w:rsid w:val="141E3563"/>
    <w:rsid w:val="1433D748"/>
    <w:rsid w:val="1435C65A"/>
    <w:rsid w:val="143C99BC"/>
    <w:rsid w:val="144648A9"/>
    <w:rsid w:val="144AB062"/>
    <w:rsid w:val="144CB183"/>
    <w:rsid w:val="145B3C5D"/>
    <w:rsid w:val="145C5E87"/>
    <w:rsid w:val="1463844C"/>
    <w:rsid w:val="14643E4C"/>
    <w:rsid w:val="14665927"/>
    <w:rsid w:val="1469A47B"/>
    <w:rsid w:val="147F245B"/>
    <w:rsid w:val="148A05D5"/>
    <w:rsid w:val="14931CEA"/>
    <w:rsid w:val="149520A5"/>
    <w:rsid w:val="1495E8C4"/>
    <w:rsid w:val="149B66C4"/>
    <w:rsid w:val="149C7064"/>
    <w:rsid w:val="149F6A9A"/>
    <w:rsid w:val="14A08405"/>
    <w:rsid w:val="14A17874"/>
    <w:rsid w:val="14A976CC"/>
    <w:rsid w:val="14B7C9C0"/>
    <w:rsid w:val="14C31A3C"/>
    <w:rsid w:val="14CA2B5E"/>
    <w:rsid w:val="14CEB8EF"/>
    <w:rsid w:val="14D11048"/>
    <w:rsid w:val="14D718C8"/>
    <w:rsid w:val="14D79479"/>
    <w:rsid w:val="14D7DEBD"/>
    <w:rsid w:val="14D9BE40"/>
    <w:rsid w:val="14D9C46A"/>
    <w:rsid w:val="14DBF510"/>
    <w:rsid w:val="14E3C349"/>
    <w:rsid w:val="14E9278B"/>
    <w:rsid w:val="14F27983"/>
    <w:rsid w:val="14F35921"/>
    <w:rsid w:val="14F4C202"/>
    <w:rsid w:val="14F6C2FB"/>
    <w:rsid w:val="14F86C41"/>
    <w:rsid w:val="14F9AA3E"/>
    <w:rsid w:val="14FA22C9"/>
    <w:rsid w:val="14FC8B1A"/>
    <w:rsid w:val="15064C59"/>
    <w:rsid w:val="1509676D"/>
    <w:rsid w:val="150A03C4"/>
    <w:rsid w:val="150BAE6C"/>
    <w:rsid w:val="150F3400"/>
    <w:rsid w:val="15112C55"/>
    <w:rsid w:val="151383D1"/>
    <w:rsid w:val="15169A9B"/>
    <w:rsid w:val="15171069"/>
    <w:rsid w:val="15214B0D"/>
    <w:rsid w:val="152C83FD"/>
    <w:rsid w:val="152CB51E"/>
    <w:rsid w:val="1532EBF5"/>
    <w:rsid w:val="15391490"/>
    <w:rsid w:val="153AF031"/>
    <w:rsid w:val="153BBDF6"/>
    <w:rsid w:val="153F6387"/>
    <w:rsid w:val="153FB832"/>
    <w:rsid w:val="15400A9E"/>
    <w:rsid w:val="155E0195"/>
    <w:rsid w:val="155E2F33"/>
    <w:rsid w:val="156AC8E1"/>
    <w:rsid w:val="156E037C"/>
    <w:rsid w:val="15733AF1"/>
    <w:rsid w:val="1574E0ED"/>
    <w:rsid w:val="157827DE"/>
    <w:rsid w:val="158166E9"/>
    <w:rsid w:val="15934CB0"/>
    <w:rsid w:val="15A06E61"/>
    <w:rsid w:val="15A0C654"/>
    <w:rsid w:val="15A1F1B3"/>
    <w:rsid w:val="15AACB2B"/>
    <w:rsid w:val="15AD5B13"/>
    <w:rsid w:val="15AD5F55"/>
    <w:rsid w:val="15B02960"/>
    <w:rsid w:val="15B1815C"/>
    <w:rsid w:val="15B840EC"/>
    <w:rsid w:val="15B94588"/>
    <w:rsid w:val="15BBDD34"/>
    <w:rsid w:val="15C23C15"/>
    <w:rsid w:val="15CAD6FB"/>
    <w:rsid w:val="15D04A5B"/>
    <w:rsid w:val="15E82D0C"/>
    <w:rsid w:val="15F6F94C"/>
    <w:rsid w:val="15F8DFD1"/>
    <w:rsid w:val="15F9FC42"/>
    <w:rsid w:val="15FB29CE"/>
    <w:rsid w:val="15FF6EE5"/>
    <w:rsid w:val="160C32D3"/>
    <w:rsid w:val="160DFFDD"/>
    <w:rsid w:val="16110DFF"/>
    <w:rsid w:val="1618D4CE"/>
    <w:rsid w:val="162264EC"/>
    <w:rsid w:val="1625E6DF"/>
    <w:rsid w:val="1628251B"/>
    <w:rsid w:val="163524F3"/>
    <w:rsid w:val="163A52EA"/>
    <w:rsid w:val="163C181E"/>
    <w:rsid w:val="16484907"/>
    <w:rsid w:val="16545135"/>
    <w:rsid w:val="16565FB4"/>
    <w:rsid w:val="165E8462"/>
    <w:rsid w:val="165FF23F"/>
    <w:rsid w:val="166722D6"/>
    <w:rsid w:val="166D8913"/>
    <w:rsid w:val="167C4815"/>
    <w:rsid w:val="168CE7B5"/>
    <w:rsid w:val="169618F7"/>
    <w:rsid w:val="169CE7AC"/>
    <w:rsid w:val="16A6E82B"/>
    <w:rsid w:val="16AD2994"/>
    <w:rsid w:val="16B93FF5"/>
    <w:rsid w:val="16C22A86"/>
    <w:rsid w:val="16C9A141"/>
    <w:rsid w:val="16DB257A"/>
    <w:rsid w:val="16DCA2C1"/>
    <w:rsid w:val="16E06659"/>
    <w:rsid w:val="16EDC0A0"/>
    <w:rsid w:val="16F007A8"/>
    <w:rsid w:val="16F8B095"/>
    <w:rsid w:val="16FB0024"/>
    <w:rsid w:val="171951D4"/>
    <w:rsid w:val="1719E990"/>
    <w:rsid w:val="171CB853"/>
    <w:rsid w:val="172448CB"/>
    <w:rsid w:val="172C8942"/>
    <w:rsid w:val="172E6C99"/>
    <w:rsid w:val="1731143F"/>
    <w:rsid w:val="1732A340"/>
    <w:rsid w:val="1732B43C"/>
    <w:rsid w:val="17347656"/>
    <w:rsid w:val="1736293A"/>
    <w:rsid w:val="17367BAD"/>
    <w:rsid w:val="17383E06"/>
    <w:rsid w:val="17414CE6"/>
    <w:rsid w:val="1743F5E2"/>
    <w:rsid w:val="17486498"/>
    <w:rsid w:val="174D17E5"/>
    <w:rsid w:val="1753B8B1"/>
    <w:rsid w:val="17559447"/>
    <w:rsid w:val="1756EFB2"/>
    <w:rsid w:val="17580214"/>
    <w:rsid w:val="17581B53"/>
    <w:rsid w:val="1758287D"/>
    <w:rsid w:val="1758F348"/>
    <w:rsid w:val="176EDBAC"/>
    <w:rsid w:val="176FEB9D"/>
    <w:rsid w:val="1776C60E"/>
    <w:rsid w:val="1777603E"/>
    <w:rsid w:val="177D0833"/>
    <w:rsid w:val="177E9B9F"/>
    <w:rsid w:val="178506B5"/>
    <w:rsid w:val="178678BB"/>
    <w:rsid w:val="1787BFD4"/>
    <w:rsid w:val="179D60C1"/>
    <w:rsid w:val="179DFCFD"/>
    <w:rsid w:val="17A24635"/>
    <w:rsid w:val="17A8107F"/>
    <w:rsid w:val="17A8CE77"/>
    <w:rsid w:val="17AAB84F"/>
    <w:rsid w:val="17ABFA05"/>
    <w:rsid w:val="17B181B3"/>
    <w:rsid w:val="17B6B97B"/>
    <w:rsid w:val="17B75716"/>
    <w:rsid w:val="17B83FCC"/>
    <w:rsid w:val="17BE7294"/>
    <w:rsid w:val="17CB0B35"/>
    <w:rsid w:val="17CD6163"/>
    <w:rsid w:val="17CE14D0"/>
    <w:rsid w:val="17D5F610"/>
    <w:rsid w:val="17D6CD19"/>
    <w:rsid w:val="17DC2103"/>
    <w:rsid w:val="17E88BA5"/>
    <w:rsid w:val="17E9676C"/>
    <w:rsid w:val="17EC3BAF"/>
    <w:rsid w:val="17F4B47F"/>
    <w:rsid w:val="17FFD7CC"/>
    <w:rsid w:val="180CEFDE"/>
    <w:rsid w:val="1829E923"/>
    <w:rsid w:val="182AEEC3"/>
    <w:rsid w:val="183C4396"/>
    <w:rsid w:val="183CC11E"/>
    <w:rsid w:val="1841EC13"/>
    <w:rsid w:val="1849F697"/>
    <w:rsid w:val="1857B81D"/>
    <w:rsid w:val="186DF7A6"/>
    <w:rsid w:val="18744674"/>
    <w:rsid w:val="187BB0A3"/>
    <w:rsid w:val="187D3B26"/>
    <w:rsid w:val="187F280B"/>
    <w:rsid w:val="18832089"/>
    <w:rsid w:val="18885D58"/>
    <w:rsid w:val="18930EAC"/>
    <w:rsid w:val="18A46D7A"/>
    <w:rsid w:val="18A7C731"/>
    <w:rsid w:val="18CB58DB"/>
    <w:rsid w:val="18CD5A56"/>
    <w:rsid w:val="18D04220"/>
    <w:rsid w:val="18D72D5C"/>
    <w:rsid w:val="18DBADCA"/>
    <w:rsid w:val="18E371A0"/>
    <w:rsid w:val="18EB8113"/>
    <w:rsid w:val="18F821FA"/>
    <w:rsid w:val="1904C27D"/>
    <w:rsid w:val="19057225"/>
    <w:rsid w:val="190D8B7F"/>
    <w:rsid w:val="19127259"/>
    <w:rsid w:val="19161EDC"/>
    <w:rsid w:val="19202063"/>
    <w:rsid w:val="1924F390"/>
    <w:rsid w:val="1926ACE0"/>
    <w:rsid w:val="1928152B"/>
    <w:rsid w:val="192A9160"/>
    <w:rsid w:val="192C7229"/>
    <w:rsid w:val="192D42CE"/>
    <w:rsid w:val="192ECFE7"/>
    <w:rsid w:val="1930EFCA"/>
    <w:rsid w:val="19335BEF"/>
    <w:rsid w:val="193896DA"/>
    <w:rsid w:val="193D8CBD"/>
    <w:rsid w:val="19413860"/>
    <w:rsid w:val="1941E0BD"/>
    <w:rsid w:val="1949973F"/>
    <w:rsid w:val="194E053F"/>
    <w:rsid w:val="19522CC4"/>
    <w:rsid w:val="195C881A"/>
    <w:rsid w:val="19670563"/>
    <w:rsid w:val="19687453"/>
    <w:rsid w:val="1969076C"/>
    <w:rsid w:val="196AA79A"/>
    <w:rsid w:val="196B995C"/>
    <w:rsid w:val="19741487"/>
    <w:rsid w:val="197AFBDA"/>
    <w:rsid w:val="197F7805"/>
    <w:rsid w:val="198AEDDC"/>
    <w:rsid w:val="1990E60F"/>
    <w:rsid w:val="19ADA22F"/>
    <w:rsid w:val="19ADCDE6"/>
    <w:rsid w:val="19AE8CFA"/>
    <w:rsid w:val="19B3A4EE"/>
    <w:rsid w:val="19BC152D"/>
    <w:rsid w:val="19BD1562"/>
    <w:rsid w:val="19BD15EF"/>
    <w:rsid w:val="19C043CF"/>
    <w:rsid w:val="19C0F4E7"/>
    <w:rsid w:val="19C9AB12"/>
    <w:rsid w:val="19D2EE3F"/>
    <w:rsid w:val="19D7029C"/>
    <w:rsid w:val="19D86CC0"/>
    <w:rsid w:val="19E61E0B"/>
    <w:rsid w:val="19F0E5DA"/>
    <w:rsid w:val="19F87618"/>
    <w:rsid w:val="1A04CFF9"/>
    <w:rsid w:val="1A053903"/>
    <w:rsid w:val="1A1B25BD"/>
    <w:rsid w:val="1A41E219"/>
    <w:rsid w:val="1A42E8B3"/>
    <w:rsid w:val="1A48D08B"/>
    <w:rsid w:val="1A48ED04"/>
    <w:rsid w:val="1A546C53"/>
    <w:rsid w:val="1A5FF555"/>
    <w:rsid w:val="1A622035"/>
    <w:rsid w:val="1A663533"/>
    <w:rsid w:val="1A671541"/>
    <w:rsid w:val="1A71B825"/>
    <w:rsid w:val="1A72873B"/>
    <w:rsid w:val="1A749A00"/>
    <w:rsid w:val="1A79D1A4"/>
    <w:rsid w:val="1A7F1770"/>
    <w:rsid w:val="1A856473"/>
    <w:rsid w:val="1A859966"/>
    <w:rsid w:val="1A88377C"/>
    <w:rsid w:val="1A8FC784"/>
    <w:rsid w:val="1A920F68"/>
    <w:rsid w:val="1A9268FA"/>
    <w:rsid w:val="1A9A698D"/>
    <w:rsid w:val="1AA6C2D4"/>
    <w:rsid w:val="1AA8C1C8"/>
    <w:rsid w:val="1AB00E2B"/>
    <w:rsid w:val="1AB2976A"/>
    <w:rsid w:val="1AB56A98"/>
    <w:rsid w:val="1AB73E4A"/>
    <w:rsid w:val="1AB899CB"/>
    <w:rsid w:val="1ABAFC19"/>
    <w:rsid w:val="1AC5EF1B"/>
    <w:rsid w:val="1ACE73F2"/>
    <w:rsid w:val="1AD13A53"/>
    <w:rsid w:val="1AD6F615"/>
    <w:rsid w:val="1ADA8540"/>
    <w:rsid w:val="1ADCF013"/>
    <w:rsid w:val="1AEAC116"/>
    <w:rsid w:val="1AEC10EC"/>
    <w:rsid w:val="1AF4BF4A"/>
    <w:rsid w:val="1B012E0C"/>
    <w:rsid w:val="1B012F9D"/>
    <w:rsid w:val="1B02B081"/>
    <w:rsid w:val="1B1B4659"/>
    <w:rsid w:val="1B1E39D6"/>
    <w:rsid w:val="1B1E5AFC"/>
    <w:rsid w:val="1B2168BE"/>
    <w:rsid w:val="1B230CE7"/>
    <w:rsid w:val="1B249709"/>
    <w:rsid w:val="1B29C02E"/>
    <w:rsid w:val="1B2B8DDA"/>
    <w:rsid w:val="1B34001B"/>
    <w:rsid w:val="1B34D7A2"/>
    <w:rsid w:val="1B3F7FF1"/>
    <w:rsid w:val="1B49A63D"/>
    <w:rsid w:val="1B52EEB6"/>
    <w:rsid w:val="1B54F59F"/>
    <w:rsid w:val="1B5728F8"/>
    <w:rsid w:val="1B57F209"/>
    <w:rsid w:val="1B589BE4"/>
    <w:rsid w:val="1B639710"/>
    <w:rsid w:val="1B63CAA5"/>
    <w:rsid w:val="1B680F09"/>
    <w:rsid w:val="1B743F35"/>
    <w:rsid w:val="1B74469A"/>
    <w:rsid w:val="1B79DFF4"/>
    <w:rsid w:val="1B883DFA"/>
    <w:rsid w:val="1B918423"/>
    <w:rsid w:val="1B91FD13"/>
    <w:rsid w:val="1B956DB2"/>
    <w:rsid w:val="1B9B462E"/>
    <w:rsid w:val="1BA778FD"/>
    <w:rsid w:val="1BAF53FB"/>
    <w:rsid w:val="1BB4BD40"/>
    <w:rsid w:val="1BBE83B9"/>
    <w:rsid w:val="1BC33730"/>
    <w:rsid w:val="1BC4AEC1"/>
    <w:rsid w:val="1BCC6C87"/>
    <w:rsid w:val="1BDEBFCC"/>
    <w:rsid w:val="1BEAC265"/>
    <w:rsid w:val="1BEE3223"/>
    <w:rsid w:val="1BEE6774"/>
    <w:rsid w:val="1BEEDE5F"/>
    <w:rsid w:val="1BF3FCD2"/>
    <w:rsid w:val="1BFF5E32"/>
    <w:rsid w:val="1C01FC7F"/>
    <w:rsid w:val="1C063DCC"/>
    <w:rsid w:val="1C08001F"/>
    <w:rsid w:val="1C0849E0"/>
    <w:rsid w:val="1C144D25"/>
    <w:rsid w:val="1C1D0363"/>
    <w:rsid w:val="1C20290A"/>
    <w:rsid w:val="1C2721E6"/>
    <w:rsid w:val="1C27D575"/>
    <w:rsid w:val="1C284954"/>
    <w:rsid w:val="1C2AC315"/>
    <w:rsid w:val="1C38803E"/>
    <w:rsid w:val="1C3A133E"/>
    <w:rsid w:val="1C41A059"/>
    <w:rsid w:val="1C432383"/>
    <w:rsid w:val="1C453C54"/>
    <w:rsid w:val="1C45BFE1"/>
    <w:rsid w:val="1C46B08C"/>
    <w:rsid w:val="1C485FEB"/>
    <w:rsid w:val="1C59BA15"/>
    <w:rsid w:val="1C5BA128"/>
    <w:rsid w:val="1C5C934F"/>
    <w:rsid w:val="1C601EF4"/>
    <w:rsid w:val="1C74FF30"/>
    <w:rsid w:val="1C753100"/>
    <w:rsid w:val="1C820B6B"/>
    <w:rsid w:val="1C8361E8"/>
    <w:rsid w:val="1C83811E"/>
    <w:rsid w:val="1C84EBAB"/>
    <w:rsid w:val="1C861C4A"/>
    <w:rsid w:val="1C87FDE1"/>
    <w:rsid w:val="1C90B891"/>
    <w:rsid w:val="1C91D1A2"/>
    <w:rsid w:val="1C939D78"/>
    <w:rsid w:val="1C9B5C3E"/>
    <w:rsid w:val="1C9E171C"/>
    <w:rsid w:val="1CA47AEE"/>
    <w:rsid w:val="1CA5FCCB"/>
    <w:rsid w:val="1CAE2370"/>
    <w:rsid w:val="1CAEEFDB"/>
    <w:rsid w:val="1CB7B6E1"/>
    <w:rsid w:val="1CBC09E0"/>
    <w:rsid w:val="1CC0DCEF"/>
    <w:rsid w:val="1CC37153"/>
    <w:rsid w:val="1CC54DA5"/>
    <w:rsid w:val="1CD05564"/>
    <w:rsid w:val="1CD268FF"/>
    <w:rsid w:val="1CD7BB82"/>
    <w:rsid w:val="1CE51C0B"/>
    <w:rsid w:val="1CE52815"/>
    <w:rsid w:val="1CED535C"/>
    <w:rsid w:val="1CF0A9E1"/>
    <w:rsid w:val="1CF18143"/>
    <w:rsid w:val="1CF21770"/>
    <w:rsid w:val="1CFE65DC"/>
    <w:rsid w:val="1D01F3E4"/>
    <w:rsid w:val="1D0344FD"/>
    <w:rsid w:val="1D0606F8"/>
    <w:rsid w:val="1D081894"/>
    <w:rsid w:val="1D0BF8D6"/>
    <w:rsid w:val="1D10608C"/>
    <w:rsid w:val="1D14AACC"/>
    <w:rsid w:val="1D159A75"/>
    <w:rsid w:val="1D18806E"/>
    <w:rsid w:val="1D18DB04"/>
    <w:rsid w:val="1D1C860F"/>
    <w:rsid w:val="1D213B39"/>
    <w:rsid w:val="1D22F692"/>
    <w:rsid w:val="1D291E7B"/>
    <w:rsid w:val="1D307DDC"/>
    <w:rsid w:val="1D352411"/>
    <w:rsid w:val="1D3593D9"/>
    <w:rsid w:val="1D449548"/>
    <w:rsid w:val="1D4CDB77"/>
    <w:rsid w:val="1D4D4612"/>
    <w:rsid w:val="1D4E4200"/>
    <w:rsid w:val="1D5B1DED"/>
    <w:rsid w:val="1D5C5FD6"/>
    <w:rsid w:val="1D652E86"/>
    <w:rsid w:val="1D6F6BD1"/>
    <w:rsid w:val="1D74F631"/>
    <w:rsid w:val="1D7A2B62"/>
    <w:rsid w:val="1D8E2603"/>
    <w:rsid w:val="1D971A7C"/>
    <w:rsid w:val="1D981290"/>
    <w:rsid w:val="1D9FE215"/>
    <w:rsid w:val="1DA7A009"/>
    <w:rsid w:val="1DA92D37"/>
    <w:rsid w:val="1DAD688D"/>
    <w:rsid w:val="1DB93DAE"/>
    <w:rsid w:val="1DBA0B21"/>
    <w:rsid w:val="1DBD14A3"/>
    <w:rsid w:val="1DC36171"/>
    <w:rsid w:val="1DD46A46"/>
    <w:rsid w:val="1DDAF14C"/>
    <w:rsid w:val="1DE57386"/>
    <w:rsid w:val="1DE9F816"/>
    <w:rsid w:val="1DF3D3FC"/>
    <w:rsid w:val="1E04A40A"/>
    <w:rsid w:val="1E09E939"/>
    <w:rsid w:val="1E0D4871"/>
    <w:rsid w:val="1E1456C9"/>
    <w:rsid w:val="1E14DCEA"/>
    <w:rsid w:val="1E18C5D7"/>
    <w:rsid w:val="1E1A9A80"/>
    <w:rsid w:val="1E1D8D93"/>
    <w:rsid w:val="1E1DF1DD"/>
    <w:rsid w:val="1E2503A3"/>
    <w:rsid w:val="1E28E08D"/>
    <w:rsid w:val="1E3FD26C"/>
    <w:rsid w:val="1E403DF1"/>
    <w:rsid w:val="1E40E5C9"/>
    <w:rsid w:val="1E4443DC"/>
    <w:rsid w:val="1E4575C9"/>
    <w:rsid w:val="1E471DA2"/>
    <w:rsid w:val="1E47470A"/>
    <w:rsid w:val="1E47BC61"/>
    <w:rsid w:val="1E4E4C32"/>
    <w:rsid w:val="1E52CBAB"/>
    <w:rsid w:val="1E539CEC"/>
    <w:rsid w:val="1E58BB25"/>
    <w:rsid w:val="1E5F30DF"/>
    <w:rsid w:val="1E5F9731"/>
    <w:rsid w:val="1E6484C3"/>
    <w:rsid w:val="1E6566F5"/>
    <w:rsid w:val="1E68AD89"/>
    <w:rsid w:val="1E6AD8A0"/>
    <w:rsid w:val="1E78ADF1"/>
    <w:rsid w:val="1E7E5391"/>
    <w:rsid w:val="1E802608"/>
    <w:rsid w:val="1E80DCF2"/>
    <w:rsid w:val="1E8453B9"/>
    <w:rsid w:val="1E84A37D"/>
    <w:rsid w:val="1E85FC1D"/>
    <w:rsid w:val="1E87C8A2"/>
    <w:rsid w:val="1E907FE2"/>
    <w:rsid w:val="1E92CA4F"/>
    <w:rsid w:val="1E95D3BD"/>
    <w:rsid w:val="1E99785B"/>
    <w:rsid w:val="1E9C8712"/>
    <w:rsid w:val="1EA52F6A"/>
    <w:rsid w:val="1EAC3FFD"/>
    <w:rsid w:val="1EBA8D60"/>
    <w:rsid w:val="1EBB3C1A"/>
    <w:rsid w:val="1EC37AFE"/>
    <w:rsid w:val="1EC3C158"/>
    <w:rsid w:val="1EC68DE5"/>
    <w:rsid w:val="1EDFD3DE"/>
    <w:rsid w:val="1EE290DE"/>
    <w:rsid w:val="1EE3E0F1"/>
    <w:rsid w:val="1EEAFD3C"/>
    <w:rsid w:val="1EED39BB"/>
    <w:rsid w:val="1EED7A14"/>
    <w:rsid w:val="1EEDB73A"/>
    <w:rsid w:val="1EEF32AE"/>
    <w:rsid w:val="1EF9673B"/>
    <w:rsid w:val="1EFD03ED"/>
    <w:rsid w:val="1F01F23D"/>
    <w:rsid w:val="1F08AB86"/>
    <w:rsid w:val="1F0BC7D6"/>
    <w:rsid w:val="1F0EE377"/>
    <w:rsid w:val="1F139D0A"/>
    <w:rsid w:val="1F179706"/>
    <w:rsid w:val="1F2635CA"/>
    <w:rsid w:val="1F400B91"/>
    <w:rsid w:val="1F468790"/>
    <w:rsid w:val="1F4AB72E"/>
    <w:rsid w:val="1F5093B4"/>
    <w:rsid w:val="1F58E245"/>
    <w:rsid w:val="1F5D1DF0"/>
    <w:rsid w:val="1F5F2EAF"/>
    <w:rsid w:val="1F601821"/>
    <w:rsid w:val="1F650B18"/>
    <w:rsid w:val="1F68FBDC"/>
    <w:rsid w:val="1F6940B3"/>
    <w:rsid w:val="1F8354D1"/>
    <w:rsid w:val="1F8A610A"/>
    <w:rsid w:val="1F9164A4"/>
    <w:rsid w:val="1F95C2FA"/>
    <w:rsid w:val="1F975DD1"/>
    <w:rsid w:val="1F9CE324"/>
    <w:rsid w:val="1FA0B95C"/>
    <w:rsid w:val="1FA3CA51"/>
    <w:rsid w:val="1FA6301F"/>
    <w:rsid w:val="1FAA10FB"/>
    <w:rsid w:val="1FB80635"/>
    <w:rsid w:val="1FBA1781"/>
    <w:rsid w:val="1FCED61E"/>
    <w:rsid w:val="1FD04F6B"/>
    <w:rsid w:val="1FD5F80B"/>
    <w:rsid w:val="1FDC18B8"/>
    <w:rsid w:val="1FDCA3D2"/>
    <w:rsid w:val="1FDD9585"/>
    <w:rsid w:val="1FE8560B"/>
    <w:rsid w:val="1FE953AF"/>
    <w:rsid w:val="1FEA53F6"/>
    <w:rsid w:val="1FEFCA55"/>
    <w:rsid w:val="1FF39D3D"/>
    <w:rsid w:val="1FF4E872"/>
    <w:rsid w:val="1FF5C044"/>
    <w:rsid w:val="1FF900B7"/>
    <w:rsid w:val="1FFB0610"/>
    <w:rsid w:val="200826B0"/>
    <w:rsid w:val="20138756"/>
    <w:rsid w:val="20151AD0"/>
    <w:rsid w:val="2016897F"/>
    <w:rsid w:val="2029D505"/>
    <w:rsid w:val="202D02F5"/>
    <w:rsid w:val="203A50C5"/>
    <w:rsid w:val="204B35D2"/>
    <w:rsid w:val="204F8F2C"/>
    <w:rsid w:val="2057D3B7"/>
    <w:rsid w:val="205C64B1"/>
    <w:rsid w:val="2061F110"/>
    <w:rsid w:val="2068AD90"/>
    <w:rsid w:val="206A14C9"/>
    <w:rsid w:val="206BDF3D"/>
    <w:rsid w:val="20758CE3"/>
    <w:rsid w:val="207C2DC4"/>
    <w:rsid w:val="207D6341"/>
    <w:rsid w:val="207EA638"/>
    <w:rsid w:val="20815C1C"/>
    <w:rsid w:val="20876D70"/>
    <w:rsid w:val="20909CE2"/>
    <w:rsid w:val="20941E33"/>
    <w:rsid w:val="2096AC6B"/>
    <w:rsid w:val="2098DECE"/>
    <w:rsid w:val="209A2BED"/>
    <w:rsid w:val="20AA1C80"/>
    <w:rsid w:val="20B1CC07"/>
    <w:rsid w:val="20B3DBCD"/>
    <w:rsid w:val="20C295D9"/>
    <w:rsid w:val="20C4969E"/>
    <w:rsid w:val="20C4E6E6"/>
    <w:rsid w:val="20C7146D"/>
    <w:rsid w:val="20C76B9F"/>
    <w:rsid w:val="20CB00DB"/>
    <w:rsid w:val="20D9F361"/>
    <w:rsid w:val="20DAD941"/>
    <w:rsid w:val="20DB5486"/>
    <w:rsid w:val="20DFE6ED"/>
    <w:rsid w:val="20EE25E7"/>
    <w:rsid w:val="20EE75B9"/>
    <w:rsid w:val="20F3CFCC"/>
    <w:rsid w:val="20FAA0D0"/>
    <w:rsid w:val="2102FF8A"/>
    <w:rsid w:val="2106D98C"/>
    <w:rsid w:val="2114BD3F"/>
    <w:rsid w:val="21163ED6"/>
    <w:rsid w:val="211945C0"/>
    <w:rsid w:val="21244631"/>
    <w:rsid w:val="21282DFC"/>
    <w:rsid w:val="2141DBB7"/>
    <w:rsid w:val="214278CF"/>
    <w:rsid w:val="21487991"/>
    <w:rsid w:val="214E3A1F"/>
    <w:rsid w:val="2158F399"/>
    <w:rsid w:val="216DECE2"/>
    <w:rsid w:val="21723176"/>
    <w:rsid w:val="2173DC73"/>
    <w:rsid w:val="2178CF83"/>
    <w:rsid w:val="217BE7CF"/>
    <w:rsid w:val="217F90FE"/>
    <w:rsid w:val="2181F333"/>
    <w:rsid w:val="21820726"/>
    <w:rsid w:val="2183A0C7"/>
    <w:rsid w:val="2185F137"/>
    <w:rsid w:val="218D5AF3"/>
    <w:rsid w:val="218E26E1"/>
    <w:rsid w:val="21965ED6"/>
    <w:rsid w:val="2197C24F"/>
    <w:rsid w:val="2197D285"/>
    <w:rsid w:val="219BEBB0"/>
    <w:rsid w:val="219CB60A"/>
    <w:rsid w:val="21A46E06"/>
    <w:rsid w:val="21ACBEC3"/>
    <w:rsid w:val="21B4F9AB"/>
    <w:rsid w:val="21BABA93"/>
    <w:rsid w:val="21DDF7D5"/>
    <w:rsid w:val="21E6E668"/>
    <w:rsid w:val="21F55DD1"/>
    <w:rsid w:val="220AF4DC"/>
    <w:rsid w:val="220AFACF"/>
    <w:rsid w:val="220B71DE"/>
    <w:rsid w:val="220E3C94"/>
    <w:rsid w:val="220F11C9"/>
    <w:rsid w:val="22117475"/>
    <w:rsid w:val="221372CF"/>
    <w:rsid w:val="2220C26B"/>
    <w:rsid w:val="2222060D"/>
    <w:rsid w:val="2225398C"/>
    <w:rsid w:val="2228F710"/>
    <w:rsid w:val="222AFEC8"/>
    <w:rsid w:val="222EAD39"/>
    <w:rsid w:val="222EC1B0"/>
    <w:rsid w:val="2235D1DA"/>
    <w:rsid w:val="22363D1F"/>
    <w:rsid w:val="22378A15"/>
    <w:rsid w:val="223B7D03"/>
    <w:rsid w:val="224D76C6"/>
    <w:rsid w:val="2255A60F"/>
    <w:rsid w:val="225F1EDD"/>
    <w:rsid w:val="22638A78"/>
    <w:rsid w:val="2265D05C"/>
    <w:rsid w:val="22744C25"/>
    <w:rsid w:val="227784D0"/>
    <w:rsid w:val="227BCD1F"/>
    <w:rsid w:val="228B1306"/>
    <w:rsid w:val="228F632D"/>
    <w:rsid w:val="22962899"/>
    <w:rsid w:val="22A2AB94"/>
    <w:rsid w:val="22A45743"/>
    <w:rsid w:val="22A4CE4C"/>
    <w:rsid w:val="22A67F6A"/>
    <w:rsid w:val="22A75158"/>
    <w:rsid w:val="22A79FE4"/>
    <w:rsid w:val="22A9316F"/>
    <w:rsid w:val="22A9C497"/>
    <w:rsid w:val="22AD7513"/>
    <w:rsid w:val="22BB84BC"/>
    <w:rsid w:val="22BDB2F5"/>
    <w:rsid w:val="22C78F13"/>
    <w:rsid w:val="22D89C89"/>
    <w:rsid w:val="22DC17AF"/>
    <w:rsid w:val="22DC9573"/>
    <w:rsid w:val="22DF20C6"/>
    <w:rsid w:val="22E2C87C"/>
    <w:rsid w:val="22F0144E"/>
    <w:rsid w:val="2311CCA5"/>
    <w:rsid w:val="2317E95A"/>
    <w:rsid w:val="23192E7C"/>
    <w:rsid w:val="231BE5D1"/>
    <w:rsid w:val="2320CC2E"/>
    <w:rsid w:val="2324176F"/>
    <w:rsid w:val="2324A22C"/>
    <w:rsid w:val="23251987"/>
    <w:rsid w:val="2326C97E"/>
    <w:rsid w:val="23360E38"/>
    <w:rsid w:val="23381951"/>
    <w:rsid w:val="233FDAD0"/>
    <w:rsid w:val="2340C4B3"/>
    <w:rsid w:val="234367D4"/>
    <w:rsid w:val="2349F886"/>
    <w:rsid w:val="234AD101"/>
    <w:rsid w:val="234B25C8"/>
    <w:rsid w:val="23541B7A"/>
    <w:rsid w:val="23581748"/>
    <w:rsid w:val="235E8F5B"/>
    <w:rsid w:val="23651199"/>
    <w:rsid w:val="23712F2E"/>
    <w:rsid w:val="2371D02E"/>
    <w:rsid w:val="237931B4"/>
    <w:rsid w:val="2395693B"/>
    <w:rsid w:val="239B3E73"/>
    <w:rsid w:val="239F9514"/>
    <w:rsid w:val="23A13C68"/>
    <w:rsid w:val="23A30965"/>
    <w:rsid w:val="23A33ED7"/>
    <w:rsid w:val="23AEE15B"/>
    <w:rsid w:val="23BD55B5"/>
    <w:rsid w:val="23BE46FD"/>
    <w:rsid w:val="23C8B655"/>
    <w:rsid w:val="23C8C55C"/>
    <w:rsid w:val="23CA9364"/>
    <w:rsid w:val="23CB97B3"/>
    <w:rsid w:val="23D678AF"/>
    <w:rsid w:val="23E487A1"/>
    <w:rsid w:val="23E8337E"/>
    <w:rsid w:val="23EB38E6"/>
    <w:rsid w:val="23F9C936"/>
    <w:rsid w:val="24125550"/>
    <w:rsid w:val="241335CF"/>
    <w:rsid w:val="2417A68B"/>
    <w:rsid w:val="2424A00C"/>
    <w:rsid w:val="24269963"/>
    <w:rsid w:val="242B39B2"/>
    <w:rsid w:val="24310726"/>
    <w:rsid w:val="24379B04"/>
    <w:rsid w:val="24384958"/>
    <w:rsid w:val="2438BE19"/>
    <w:rsid w:val="243C6C02"/>
    <w:rsid w:val="243F8927"/>
    <w:rsid w:val="244AB87D"/>
    <w:rsid w:val="2454F990"/>
    <w:rsid w:val="24588029"/>
    <w:rsid w:val="2461FB86"/>
    <w:rsid w:val="2463A4CA"/>
    <w:rsid w:val="246BA20F"/>
    <w:rsid w:val="246E71CB"/>
    <w:rsid w:val="24824A2F"/>
    <w:rsid w:val="2483DCB5"/>
    <w:rsid w:val="248C4EBC"/>
    <w:rsid w:val="248F7E00"/>
    <w:rsid w:val="24A13128"/>
    <w:rsid w:val="24ABE1C7"/>
    <w:rsid w:val="24B2D6CA"/>
    <w:rsid w:val="24B3323E"/>
    <w:rsid w:val="24BA6EC9"/>
    <w:rsid w:val="24BBA9ED"/>
    <w:rsid w:val="24BBBE2A"/>
    <w:rsid w:val="24BDC2C1"/>
    <w:rsid w:val="24C0D0DD"/>
    <w:rsid w:val="24C2ACF0"/>
    <w:rsid w:val="24C7B5A6"/>
    <w:rsid w:val="24DA7412"/>
    <w:rsid w:val="24E3D213"/>
    <w:rsid w:val="24E56820"/>
    <w:rsid w:val="24F337D4"/>
    <w:rsid w:val="25013C33"/>
    <w:rsid w:val="2503C48C"/>
    <w:rsid w:val="25096FB8"/>
    <w:rsid w:val="250FEB46"/>
    <w:rsid w:val="2512A63C"/>
    <w:rsid w:val="2516CEAC"/>
    <w:rsid w:val="2526781A"/>
    <w:rsid w:val="2526E681"/>
    <w:rsid w:val="252CE878"/>
    <w:rsid w:val="252D0D6D"/>
    <w:rsid w:val="2540CAC6"/>
    <w:rsid w:val="2541BDF5"/>
    <w:rsid w:val="2545FA73"/>
    <w:rsid w:val="25479F87"/>
    <w:rsid w:val="254DC74F"/>
    <w:rsid w:val="2555A055"/>
    <w:rsid w:val="25584ED3"/>
    <w:rsid w:val="2558E8D0"/>
    <w:rsid w:val="255B688E"/>
    <w:rsid w:val="255BED32"/>
    <w:rsid w:val="255D58A7"/>
    <w:rsid w:val="255FC159"/>
    <w:rsid w:val="256629F0"/>
    <w:rsid w:val="2569D8C2"/>
    <w:rsid w:val="256AB253"/>
    <w:rsid w:val="25716417"/>
    <w:rsid w:val="2575D538"/>
    <w:rsid w:val="25817EC3"/>
    <w:rsid w:val="25848DE4"/>
    <w:rsid w:val="258548C8"/>
    <w:rsid w:val="2588417F"/>
    <w:rsid w:val="258C7711"/>
    <w:rsid w:val="258CE765"/>
    <w:rsid w:val="25936290"/>
    <w:rsid w:val="25945521"/>
    <w:rsid w:val="2596FA8E"/>
    <w:rsid w:val="259A7E87"/>
    <w:rsid w:val="259F72ED"/>
    <w:rsid w:val="25A3A27D"/>
    <w:rsid w:val="25A7C248"/>
    <w:rsid w:val="25A84D7E"/>
    <w:rsid w:val="25A99B8D"/>
    <w:rsid w:val="25AA38D4"/>
    <w:rsid w:val="25ADCA96"/>
    <w:rsid w:val="25ADFB09"/>
    <w:rsid w:val="25B7121B"/>
    <w:rsid w:val="25B7ABB7"/>
    <w:rsid w:val="25BE40BD"/>
    <w:rsid w:val="25BE4702"/>
    <w:rsid w:val="25BE7A38"/>
    <w:rsid w:val="25C3842C"/>
    <w:rsid w:val="25CA8C70"/>
    <w:rsid w:val="25D3F69D"/>
    <w:rsid w:val="25D67FC4"/>
    <w:rsid w:val="25DC6966"/>
    <w:rsid w:val="25E12019"/>
    <w:rsid w:val="25F5E517"/>
    <w:rsid w:val="25F96C2F"/>
    <w:rsid w:val="25FB0A70"/>
    <w:rsid w:val="26077AA1"/>
    <w:rsid w:val="2609008C"/>
    <w:rsid w:val="2618E59A"/>
    <w:rsid w:val="261CFA6B"/>
    <w:rsid w:val="261EB260"/>
    <w:rsid w:val="262726D4"/>
    <w:rsid w:val="262B22C7"/>
    <w:rsid w:val="262C31D6"/>
    <w:rsid w:val="26378775"/>
    <w:rsid w:val="2639548D"/>
    <w:rsid w:val="263AD4A1"/>
    <w:rsid w:val="263B076C"/>
    <w:rsid w:val="263B8B1F"/>
    <w:rsid w:val="2644CCA4"/>
    <w:rsid w:val="265182E2"/>
    <w:rsid w:val="26571343"/>
    <w:rsid w:val="26589B64"/>
    <w:rsid w:val="265CF16A"/>
    <w:rsid w:val="266208E2"/>
    <w:rsid w:val="2669987E"/>
    <w:rsid w:val="266ADF25"/>
    <w:rsid w:val="26702D86"/>
    <w:rsid w:val="26741C22"/>
    <w:rsid w:val="2687453A"/>
    <w:rsid w:val="26891F4B"/>
    <w:rsid w:val="268B7BBA"/>
    <w:rsid w:val="2690294B"/>
    <w:rsid w:val="26951D61"/>
    <w:rsid w:val="26A48CFF"/>
    <w:rsid w:val="26AD1A13"/>
    <w:rsid w:val="26B19E1F"/>
    <w:rsid w:val="26B277DD"/>
    <w:rsid w:val="26BE17E2"/>
    <w:rsid w:val="26BEB5B8"/>
    <w:rsid w:val="26BEC54A"/>
    <w:rsid w:val="26C42F3C"/>
    <w:rsid w:val="26CEA311"/>
    <w:rsid w:val="26D5FA5A"/>
    <w:rsid w:val="26DC5C69"/>
    <w:rsid w:val="26EA349E"/>
    <w:rsid w:val="26EE8A69"/>
    <w:rsid w:val="26F6E77F"/>
    <w:rsid w:val="26FC5C47"/>
    <w:rsid w:val="26FF674D"/>
    <w:rsid w:val="270223E8"/>
    <w:rsid w:val="2704A506"/>
    <w:rsid w:val="2708BF4E"/>
    <w:rsid w:val="27099D68"/>
    <w:rsid w:val="2710F357"/>
    <w:rsid w:val="2712DA94"/>
    <w:rsid w:val="2718405E"/>
    <w:rsid w:val="271A9F93"/>
    <w:rsid w:val="271B13A8"/>
    <w:rsid w:val="2720BB9B"/>
    <w:rsid w:val="27247BDC"/>
    <w:rsid w:val="2733644F"/>
    <w:rsid w:val="273B2608"/>
    <w:rsid w:val="2743FBA6"/>
    <w:rsid w:val="274A664D"/>
    <w:rsid w:val="274FB42D"/>
    <w:rsid w:val="2757E111"/>
    <w:rsid w:val="27597C1F"/>
    <w:rsid w:val="275F21DE"/>
    <w:rsid w:val="2761008F"/>
    <w:rsid w:val="2764C054"/>
    <w:rsid w:val="2765375C"/>
    <w:rsid w:val="2769C165"/>
    <w:rsid w:val="276B1831"/>
    <w:rsid w:val="27766022"/>
    <w:rsid w:val="277CAC74"/>
    <w:rsid w:val="277E4ED3"/>
    <w:rsid w:val="2782663F"/>
    <w:rsid w:val="2787F67C"/>
    <w:rsid w:val="2788DF24"/>
    <w:rsid w:val="2794193F"/>
    <w:rsid w:val="27944052"/>
    <w:rsid w:val="2795D9BA"/>
    <w:rsid w:val="27966B17"/>
    <w:rsid w:val="279BD195"/>
    <w:rsid w:val="27A8E691"/>
    <w:rsid w:val="27AB3977"/>
    <w:rsid w:val="27B32BFD"/>
    <w:rsid w:val="27B5C9DC"/>
    <w:rsid w:val="27B69159"/>
    <w:rsid w:val="27B700AE"/>
    <w:rsid w:val="27BE9843"/>
    <w:rsid w:val="27C1C41D"/>
    <w:rsid w:val="27C226E7"/>
    <w:rsid w:val="27CF3B2E"/>
    <w:rsid w:val="27D4B0BA"/>
    <w:rsid w:val="27D9F949"/>
    <w:rsid w:val="27E6DE51"/>
    <w:rsid w:val="27EC68E5"/>
    <w:rsid w:val="27F5242F"/>
    <w:rsid w:val="27F731C7"/>
    <w:rsid w:val="27F93366"/>
    <w:rsid w:val="27FB6081"/>
    <w:rsid w:val="28013D59"/>
    <w:rsid w:val="2803034B"/>
    <w:rsid w:val="2804B940"/>
    <w:rsid w:val="28062FB3"/>
    <w:rsid w:val="280CC932"/>
    <w:rsid w:val="280F7B20"/>
    <w:rsid w:val="281312E1"/>
    <w:rsid w:val="281502D3"/>
    <w:rsid w:val="2815A94D"/>
    <w:rsid w:val="281F50D2"/>
    <w:rsid w:val="281FFD4A"/>
    <w:rsid w:val="2821432A"/>
    <w:rsid w:val="2824A10B"/>
    <w:rsid w:val="282BF113"/>
    <w:rsid w:val="282E6E28"/>
    <w:rsid w:val="28305025"/>
    <w:rsid w:val="28348D50"/>
    <w:rsid w:val="283ED2B3"/>
    <w:rsid w:val="28468936"/>
    <w:rsid w:val="284A1993"/>
    <w:rsid w:val="284DF8D6"/>
    <w:rsid w:val="28526471"/>
    <w:rsid w:val="28534805"/>
    <w:rsid w:val="28547BA5"/>
    <w:rsid w:val="285985F0"/>
    <w:rsid w:val="285E0F98"/>
    <w:rsid w:val="28620A93"/>
    <w:rsid w:val="2876D7B7"/>
    <w:rsid w:val="2878D649"/>
    <w:rsid w:val="287DBEF6"/>
    <w:rsid w:val="2887BB59"/>
    <w:rsid w:val="288B662A"/>
    <w:rsid w:val="2891DDFF"/>
    <w:rsid w:val="2892F642"/>
    <w:rsid w:val="2895E305"/>
    <w:rsid w:val="289982D4"/>
    <w:rsid w:val="28A1BE96"/>
    <w:rsid w:val="28A2EAF9"/>
    <w:rsid w:val="28AFF49D"/>
    <w:rsid w:val="28B14C82"/>
    <w:rsid w:val="28B7FBB4"/>
    <w:rsid w:val="28B87D6B"/>
    <w:rsid w:val="28CC5FE8"/>
    <w:rsid w:val="28DBFFC9"/>
    <w:rsid w:val="28EC73CE"/>
    <w:rsid w:val="28EDD928"/>
    <w:rsid w:val="28EEE295"/>
    <w:rsid w:val="28F12108"/>
    <w:rsid w:val="28F4BABC"/>
    <w:rsid w:val="28F899EA"/>
    <w:rsid w:val="28FE4942"/>
    <w:rsid w:val="28FEB3D2"/>
    <w:rsid w:val="2906550C"/>
    <w:rsid w:val="290A5890"/>
    <w:rsid w:val="290CBF0B"/>
    <w:rsid w:val="29126000"/>
    <w:rsid w:val="29137976"/>
    <w:rsid w:val="29142A42"/>
    <w:rsid w:val="292D18A5"/>
    <w:rsid w:val="293F139A"/>
    <w:rsid w:val="29400C7C"/>
    <w:rsid w:val="294075ED"/>
    <w:rsid w:val="295077DE"/>
    <w:rsid w:val="295E3D2D"/>
    <w:rsid w:val="29628E0A"/>
    <w:rsid w:val="29631515"/>
    <w:rsid w:val="2969ED5A"/>
    <w:rsid w:val="29759D52"/>
    <w:rsid w:val="29767DD4"/>
    <w:rsid w:val="29770864"/>
    <w:rsid w:val="2978633C"/>
    <w:rsid w:val="297B34D9"/>
    <w:rsid w:val="29845918"/>
    <w:rsid w:val="2989D254"/>
    <w:rsid w:val="298EAC58"/>
    <w:rsid w:val="299D4471"/>
    <w:rsid w:val="299DA966"/>
    <w:rsid w:val="299EA6CF"/>
    <w:rsid w:val="29A23D3E"/>
    <w:rsid w:val="29A57F12"/>
    <w:rsid w:val="29A62C12"/>
    <w:rsid w:val="29A84605"/>
    <w:rsid w:val="29AB2616"/>
    <w:rsid w:val="29B49DDD"/>
    <w:rsid w:val="29B75351"/>
    <w:rsid w:val="29B873D7"/>
    <w:rsid w:val="29B9356D"/>
    <w:rsid w:val="29BD339B"/>
    <w:rsid w:val="29BEFFC8"/>
    <w:rsid w:val="29C89A3C"/>
    <w:rsid w:val="29CB4CFC"/>
    <w:rsid w:val="29CDAF28"/>
    <w:rsid w:val="29CE691C"/>
    <w:rsid w:val="29D8C763"/>
    <w:rsid w:val="29DA5C86"/>
    <w:rsid w:val="29E2C858"/>
    <w:rsid w:val="29E3145E"/>
    <w:rsid w:val="29EA2C7E"/>
    <w:rsid w:val="29EC754E"/>
    <w:rsid w:val="29ED6D53"/>
    <w:rsid w:val="29F19C27"/>
    <w:rsid w:val="29F4A70C"/>
    <w:rsid w:val="29F6453C"/>
    <w:rsid w:val="29FCE6C9"/>
    <w:rsid w:val="2A05E84B"/>
    <w:rsid w:val="2A06AC6F"/>
    <w:rsid w:val="2A09327C"/>
    <w:rsid w:val="2A205ECD"/>
    <w:rsid w:val="2A218908"/>
    <w:rsid w:val="2A24138B"/>
    <w:rsid w:val="2A24D670"/>
    <w:rsid w:val="2A25728D"/>
    <w:rsid w:val="2A33033A"/>
    <w:rsid w:val="2A3E5000"/>
    <w:rsid w:val="2A48A313"/>
    <w:rsid w:val="2A4A4BFA"/>
    <w:rsid w:val="2A4B6E9C"/>
    <w:rsid w:val="2A4D6AE1"/>
    <w:rsid w:val="2A520BEE"/>
    <w:rsid w:val="2A5E52D6"/>
    <w:rsid w:val="2A62AF47"/>
    <w:rsid w:val="2A64AA2B"/>
    <w:rsid w:val="2A66089D"/>
    <w:rsid w:val="2A68081B"/>
    <w:rsid w:val="2A6B94DC"/>
    <w:rsid w:val="2A6E2114"/>
    <w:rsid w:val="2A704FDC"/>
    <w:rsid w:val="2A7367A1"/>
    <w:rsid w:val="2A7676DA"/>
    <w:rsid w:val="2A85BE57"/>
    <w:rsid w:val="2A8BBD77"/>
    <w:rsid w:val="2A8D6A2F"/>
    <w:rsid w:val="2A8FE39D"/>
    <w:rsid w:val="2A9D0988"/>
    <w:rsid w:val="2AA6B6BB"/>
    <w:rsid w:val="2AB05EBA"/>
    <w:rsid w:val="2AB4E098"/>
    <w:rsid w:val="2AB6ECBD"/>
    <w:rsid w:val="2AB7FA23"/>
    <w:rsid w:val="2ABB5153"/>
    <w:rsid w:val="2AC49289"/>
    <w:rsid w:val="2AC725D5"/>
    <w:rsid w:val="2ACD6155"/>
    <w:rsid w:val="2AD02C4A"/>
    <w:rsid w:val="2AD4F99D"/>
    <w:rsid w:val="2AD89812"/>
    <w:rsid w:val="2AEA5330"/>
    <w:rsid w:val="2AEC9800"/>
    <w:rsid w:val="2AF5D990"/>
    <w:rsid w:val="2AFB5872"/>
    <w:rsid w:val="2AFD6B67"/>
    <w:rsid w:val="2AFEDF52"/>
    <w:rsid w:val="2B014A9C"/>
    <w:rsid w:val="2B0483FA"/>
    <w:rsid w:val="2B08FAF7"/>
    <w:rsid w:val="2B13BC08"/>
    <w:rsid w:val="2B16BA00"/>
    <w:rsid w:val="2B21C67F"/>
    <w:rsid w:val="2B23502D"/>
    <w:rsid w:val="2B27849D"/>
    <w:rsid w:val="2B2CC6ED"/>
    <w:rsid w:val="2B2E97E7"/>
    <w:rsid w:val="2B3D67F6"/>
    <w:rsid w:val="2B3DAE2B"/>
    <w:rsid w:val="2B3EB23F"/>
    <w:rsid w:val="2B3FD0B8"/>
    <w:rsid w:val="2B4A076C"/>
    <w:rsid w:val="2B52B185"/>
    <w:rsid w:val="2B566418"/>
    <w:rsid w:val="2B5B3922"/>
    <w:rsid w:val="2B5ED4F0"/>
    <w:rsid w:val="2B5FD776"/>
    <w:rsid w:val="2B639BB0"/>
    <w:rsid w:val="2B63BCB1"/>
    <w:rsid w:val="2B7018CD"/>
    <w:rsid w:val="2B7059EB"/>
    <w:rsid w:val="2B7F9E0E"/>
    <w:rsid w:val="2B812D82"/>
    <w:rsid w:val="2B892E01"/>
    <w:rsid w:val="2B8A5A4E"/>
    <w:rsid w:val="2B8A6279"/>
    <w:rsid w:val="2B8D43A0"/>
    <w:rsid w:val="2B950E98"/>
    <w:rsid w:val="2BAF2F3C"/>
    <w:rsid w:val="2BB82BA6"/>
    <w:rsid w:val="2BBC94D8"/>
    <w:rsid w:val="2BBFA23F"/>
    <w:rsid w:val="2BC4AE96"/>
    <w:rsid w:val="2BC6DEF6"/>
    <w:rsid w:val="2BC6FFB5"/>
    <w:rsid w:val="2BCF1525"/>
    <w:rsid w:val="2BD04C56"/>
    <w:rsid w:val="2BD295A2"/>
    <w:rsid w:val="2BDD726E"/>
    <w:rsid w:val="2BE10641"/>
    <w:rsid w:val="2BE52F5E"/>
    <w:rsid w:val="2BE696A2"/>
    <w:rsid w:val="2BEDB58B"/>
    <w:rsid w:val="2BF461FF"/>
    <w:rsid w:val="2BF75B08"/>
    <w:rsid w:val="2BFAF05D"/>
    <w:rsid w:val="2BFD3616"/>
    <w:rsid w:val="2BFE3260"/>
    <w:rsid w:val="2C04691C"/>
    <w:rsid w:val="2C0558F5"/>
    <w:rsid w:val="2C0A32B3"/>
    <w:rsid w:val="2C0F9E21"/>
    <w:rsid w:val="2C1C6CBB"/>
    <w:rsid w:val="2C1D4C53"/>
    <w:rsid w:val="2C254145"/>
    <w:rsid w:val="2C2B4F29"/>
    <w:rsid w:val="2C2CD7C4"/>
    <w:rsid w:val="2C3AB279"/>
    <w:rsid w:val="2C49695F"/>
    <w:rsid w:val="2C50DF7A"/>
    <w:rsid w:val="2C52C26C"/>
    <w:rsid w:val="2C57D75C"/>
    <w:rsid w:val="2C5DAD82"/>
    <w:rsid w:val="2C675375"/>
    <w:rsid w:val="2C6ADE42"/>
    <w:rsid w:val="2C6E8F77"/>
    <w:rsid w:val="2C7025CF"/>
    <w:rsid w:val="2C71C87F"/>
    <w:rsid w:val="2C764723"/>
    <w:rsid w:val="2C7A864D"/>
    <w:rsid w:val="2C7F9B66"/>
    <w:rsid w:val="2C824930"/>
    <w:rsid w:val="2C8D6502"/>
    <w:rsid w:val="2C8E0742"/>
    <w:rsid w:val="2C8E9562"/>
    <w:rsid w:val="2C944964"/>
    <w:rsid w:val="2C96311B"/>
    <w:rsid w:val="2C9783BB"/>
    <w:rsid w:val="2C9DC3EE"/>
    <w:rsid w:val="2C9E29D7"/>
    <w:rsid w:val="2CA09E45"/>
    <w:rsid w:val="2CA65B0E"/>
    <w:rsid w:val="2CBC1D6B"/>
    <w:rsid w:val="2CC8BB67"/>
    <w:rsid w:val="2CE73EE0"/>
    <w:rsid w:val="2CE9B187"/>
    <w:rsid w:val="2D021914"/>
    <w:rsid w:val="2D05AF6E"/>
    <w:rsid w:val="2D09DBF7"/>
    <w:rsid w:val="2D0C856C"/>
    <w:rsid w:val="2D125157"/>
    <w:rsid w:val="2D1C98AC"/>
    <w:rsid w:val="2D24BBE1"/>
    <w:rsid w:val="2D2DB048"/>
    <w:rsid w:val="2D34CA36"/>
    <w:rsid w:val="2D3B7180"/>
    <w:rsid w:val="2D3D0390"/>
    <w:rsid w:val="2D4414ED"/>
    <w:rsid w:val="2D4CD515"/>
    <w:rsid w:val="2D553929"/>
    <w:rsid w:val="2D5921F0"/>
    <w:rsid w:val="2D6311F3"/>
    <w:rsid w:val="2D6AF143"/>
    <w:rsid w:val="2D790035"/>
    <w:rsid w:val="2D7EFFF9"/>
    <w:rsid w:val="2D8193F8"/>
    <w:rsid w:val="2D9048B7"/>
    <w:rsid w:val="2D90F3A0"/>
    <w:rsid w:val="2DAA3AAA"/>
    <w:rsid w:val="2DAEDB01"/>
    <w:rsid w:val="2DAFE98C"/>
    <w:rsid w:val="2DB5E8E3"/>
    <w:rsid w:val="2DB8CE85"/>
    <w:rsid w:val="2DC42459"/>
    <w:rsid w:val="2DCA26BD"/>
    <w:rsid w:val="2DCB64DF"/>
    <w:rsid w:val="2DCE09BE"/>
    <w:rsid w:val="2DD2805D"/>
    <w:rsid w:val="2DDBF0A5"/>
    <w:rsid w:val="2DE141C7"/>
    <w:rsid w:val="2DE3CACC"/>
    <w:rsid w:val="2DE94D88"/>
    <w:rsid w:val="2DEFA264"/>
    <w:rsid w:val="2E000508"/>
    <w:rsid w:val="2E07AB23"/>
    <w:rsid w:val="2E0DB2D6"/>
    <w:rsid w:val="2E14CE5E"/>
    <w:rsid w:val="2E201598"/>
    <w:rsid w:val="2E25BD35"/>
    <w:rsid w:val="2E260B47"/>
    <w:rsid w:val="2E2FA0CF"/>
    <w:rsid w:val="2E33C487"/>
    <w:rsid w:val="2E342E40"/>
    <w:rsid w:val="2E375895"/>
    <w:rsid w:val="2E404C59"/>
    <w:rsid w:val="2E430651"/>
    <w:rsid w:val="2E4980D5"/>
    <w:rsid w:val="2E500D00"/>
    <w:rsid w:val="2E5F778A"/>
    <w:rsid w:val="2E61C0C3"/>
    <w:rsid w:val="2E65B899"/>
    <w:rsid w:val="2E6D46F9"/>
    <w:rsid w:val="2E72661F"/>
    <w:rsid w:val="2E7B4DB5"/>
    <w:rsid w:val="2E7DE709"/>
    <w:rsid w:val="2E89CB44"/>
    <w:rsid w:val="2E8DB451"/>
    <w:rsid w:val="2E9485C7"/>
    <w:rsid w:val="2EB2EA74"/>
    <w:rsid w:val="2EBDEF3F"/>
    <w:rsid w:val="2EC024F0"/>
    <w:rsid w:val="2EC130C8"/>
    <w:rsid w:val="2ECB6BE0"/>
    <w:rsid w:val="2ED176F2"/>
    <w:rsid w:val="2ED3BB8F"/>
    <w:rsid w:val="2EDA4CA0"/>
    <w:rsid w:val="2EE3651D"/>
    <w:rsid w:val="2EE40BAD"/>
    <w:rsid w:val="2EE9BAFD"/>
    <w:rsid w:val="2EEF2038"/>
    <w:rsid w:val="2EF01563"/>
    <w:rsid w:val="2EF3DDE0"/>
    <w:rsid w:val="2EFFC852"/>
    <w:rsid w:val="2F0F0A8B"/>
    <w:rsid w:val="2F11F44F"/>
    <w:rsid w:val="2F1F5501"/>
    <w:rsid w:val="2F21D367"/>
    <w:rsid w:val="2F23A19E"/>
    <w:rsid w:val="2F30C5CD"/>
    <w:rsid w:val="2F31A102"/>
    <w:rsid w:val="2F36C5E1"/>
    <w:rsid w:val="2F390A67"/>
    <w:rsid w:val="2F3AC354"/>
    <w:rsid w:val="2F41C018"/>
    <w:rsid w:val="2F41E20D"/>
    <w:rsid w:val="2F4DDFEB"/>
    <w:rsid w:val="2F52B271"/>
    <w:rsid w:val="2F530F50"/>
    <w:rsid w:val="2F549E62"/>
    <w:rsid w:val="2F573117"/>
    <w:rsid w:val="2F5A34A8"/>
    <w:rsid w:val="2F646DC8"/>
    <w:rsid w:val="2F651B8F"/>
    <w:rsid w:val="2F69B735"/>
    <w:rsid w:val="2F6C8409"/>
    <w:rsid w:val="2F7521A7"/>
    <w:rsid w:val="2F7618C5"/>
    <w:rsid w:val="2F7BBEB1"/>
    <w:rsid w:val="2F81CDD1"/>
    <w:rsid w:val="2F8BEBFF"/>
    <w:rsid w:val="2F8DFD80"/>
    <w:rsid w:val="2F902AEC"/>
    <w:rsid w:val="2F902D3E"/>
    <w:rsid w:val="2F941E53"/>
    <w:rsid w:val="2F98CE36"/>
    <w:rsid w:val="2F9CE960"/>
    <w:rsid w:val="2F9E82F4"/>
    <w:rsid w:val="2FA1A582"/>
    <w:rsid w:val="2FA30034"/>
    <w:rsid w:val="2FAF663E"/>
    <w:rsid w:val="2FB7D950"/>
    <w:rsid w:val="2FBA3D5D"/>
    <w:rsid w:val="2FBF5F15"/>
    <w:rsid w:val="2FC20271"/>
    <w:rsid w:val="2FCFC0DF"/>
    <w:rsid w:val="2FD580E5"/>
    <w:rsid w:val="2FD61F56"/>
    <w:rsid w:val="2FD63B00"/>
    <w:rsid w:val="2FD7EE6C"/>
    <w:rsid w:val="2FE7CCDA"/>
    <w:rsid w:val="2FF0BDF9"/>
    <w:rsid w:val="2FF19E26"/>
    <w:rsid w:val="2FF34085"/>
    <w:rsid w:val="2FFAA523"/>
    <w:rsid w:val="2FFB5122"/>
    <w:rsid w:val="2FFE7D18"/>
    <w:rsid w:val="300574A2"/>
    <w:rsid w:val="300665D0"/>
    <w:rsid w:val="300A5A40"/>
    <w:rsid w:val="300CCAB8"/>
    <w:rsid w:val="3013048C"/>
    <w:rsid w:val="30139F7E"/>
    <w:rsid w:val="301A27F0"/>
    <w:rsid w:val="301B0DFC"/>
    <w:rsid w:val="302205F2"/>
    <w:rsid w:val="3027B3A6"/>
    <w:rsid w:val="302A0A82"/>
    <w:rsid w:val="302AE202"/>
    <w:rsid w:val="302BC0AD"/>
    <w:rsid w:val="302CBDE2"/>
    <w:rsid w:val="30317E78"/>
    <w:rsid w:val="303A09B7"/>
    <w:rsid w:val="30425594"/>
    <w:rsid w:val="3042A54D"/>
    <w:rsid w:val="30499967"/>
    <w:rsid w:val="3050031B"/>
    <w:rsid w:val="3057B5D4"/>
    <w:rsid w:val="305C6769"/>
    <w:rsid w:val="306209D7"/>
    <w:rsid w:val="3067BAAC"/>
    <w:rsid w:val="306C0EC4"/>
    <w:rsid w:val="306D7401"/>
    <w:rsid w:val="306E99AC"/>
    <w:rsid w:val="307067F3"/>
    <w:rsid w:val="30780560"/>
    <w:rsid w:val="307A5720"/>
    <w:rsid w:val="309438C2"/>
    <w:rsid w:val="309D1ACC"/>
    <w:rsid w:val="309DFD1C"/>
    <w:rsid w:val="30AE65AC"/>
    <w:rsid w:val="30B05AFA"/>
    <w:rsid w:val="30B0BF7A"/>
    <w:rsid w:val="30B0D1E5"/>
    <w:rsid w:val="30BDD2D1"/>
    <w:rsid w:val="30C0A87F"/>
    <w:rsid w:val="30C62F83"/>
    <w:rsid w:val="30C8F89C"/>
    <w:rsid w:val="30C9EDF8"/>
    <w:rsid w:val="30D6F504"/>
    <w:rsid w:val="30D73DCF"/>
    <w:rsid w:val="30E57CD0"/>
    <w:rsid w:val="30E7715E"/>
    <w:rsid w:val="30E7EEAD"/>
    <w:rsid w:val="30EF3998"/>
    <w:rsid w:val="30F1C18D"/>
    <w:rsid w:val="30F9F781"/>
    <w:rsid w:val="30FD9A31"/>
    <w:rsid w:val="3104282F"/>
    <w:rsid w:val="3104B3F7"/>
    <w:rsid w:val="310B0289"/>
    <w:rsid w:val="3110B475"/>
    <w:rsid w:val="311D105B"/>
    <w:rsid w:val="311D506E"/>
    <w:rsid w:val="31206140"/>
    <w:rsid w:val="312325C3"/>
    <w:rsid w:val="31288B7E"/>
    <w:rsid w:val="312930C5"/>
    <w:rsid w:val="312B6AC2"/>
    <w:rsid w:val="313453C4"/>
    <w:rsid w:val="3139AD2D"/>
    <w:rsid w:val="31403CD7"/>
    <w:rsid w:val="3140E1C0"/>
    <w:rsid w:val="314E81C1"/>
    <w:rsid w:val="315B7CE1"/>
    <w:rsid w:val="315F1F30"/>
    <w:rsid w:val="31637832"/>
    <w:rsid w:val="316A820F"/>
    <w:rsid w:val="316E714C"/>
    <w:rsid w:val="318140A2"/>
    <w:rsid w:val="318193C1"/>
    <w:rsid w:val="318BF8CA"/>
    <w:rsid w:val="31948F2B"/>
    <w:rsid w:val="31A289AC"/>
    <w:rsid w:val="31AF24E4"/>
    <w:rsid w:val="31B069E8"/>
    <w:rsid w:val="31B3CBCE"/>
    <w:rsid w:val="31C459A4"/>
    <w:rsid w:val="31C4AADF"/>
    <w:rsid w:val="31CE671E"/>
    <w:rsid w:val="31D6B97F"/>
    <w:rsid w:val="31D7826E"/>
    <w:rsid w:val="31DF8859"/>
    <w:rsid w:val="31E024BC"/>
    <w:rsid w:val="31E1013D"/>
    <w:rsid w:val="31E7E9E8"/>
    <w:rsid w:val="31F271F8"/>
    <w:rsid w:val="31F9D331"/>
    <w:rsid w:val="32067FE5"/>
    <w:rsid w:val="320C08E2"/>
    <w:rsid w:val="320EF9B3"/>
    <w:rsid w:val="320FE82E"/>
    <w:rsid w:val="321240C6"/>
    <w:rsid w:val="32141A7F"/>
    <w:rsid w:val="321945D1"/>
    <w:rsid w:val="321CC778"/>
    <w:rsid w:val="3224E5F8"/>
    <w:rsid w:val="3226A91D"/>
    <w:rsid w:val="3230EADC"/>
    <w:rsid w:val="323B36B7"/>
    <w:rsid w:val="3243BE5A"/>
    <w:rsid w:val="326DA044"/>
    <w:rsid w:val="327574EB"/>
    <w:rsid w:val="3280B8D5"/>
    <w:rsid w:val="3281A13C"/>
    <w:rsid w:val="328460B5"/>
    <w:rsid w:val="3285E52E"/>
    <w:rsid w:val="328F3707"/>
    <w:rsid w:val="3297025B"/>
    <w:rsid w:val="329B8A4D"/>
    <w:rsid w:val="329DB363"/>
    <w:rsid w:val="32A7B624"/>
    <w:rsid w:val="32AABD5E"/>
    <w:rsid w:val="32AC8607"/>
    <w:rsid w:val="32B0257B"/>
    <w:rsid w:val="32B1748B"/>
    <w:rsid w:val="32B964E8"/>
    <w:rsid w:val="32C2A6CC"/>
    <w:rsid w:val="32C680D7"/>
    <w:rsid w:val="32C95087"/>
    <w:rsid w:val="32CADCF4"/>
    <w:rsid w:val="32CC030D"/>
    <w:rsid w:val="32CF2200"/>
    <w:rsid w:val="32D18E8B"/>
    <w:rsid w:val="32D4D12F"/>
    <w:rsid w:val="32D5C0F4"/>
    <w:rsid w:val="32D5E4B6"/>
    <w:rsid w:val="32D85B51"/>
    <w:rsid w:val="32E7595C"/>
    <w:rsid w:val="32EF5D79"/>
    <w:rsid w:val="32EFBFFC"/>
    <w:rsid w:val="32F36C48"/>
    <w:rsid w:val="32F9E0BB"/>
    <w:rsid w:val="32FD34D4"/>
    <w:rsid w:val="3301C5CC"/>
    <w:rsid w:val="33046557"/>
    <w:rsid w:val="3306EE4F"/>
    <w:rsid w:val="330BBA80"/>
    <w:rsid w:val="33148597"/>
    <w:rsid w:val="33176EFA"/>
    <w:rsid w:val="331F2745"/>
    <w:rsid w:val="332A6227"/>
    <w:rsid w:val="3338B194"/>
    <w:rsid w:val="333F23BF"/>
    <w:rsid w:val="334317EB"/>
    <w:rsid w:val="334AF6D2"/>
    <w:rsid w:val="334CC0D1"/>
    <w:rsid w:val="335FDFC6"/>
    <w:rsid w:val="3364373C"/>
    <w:rsid w:val="336DCD07"/>
    <w:rsid w:val="33710B5D"/>
    <w:rsid w:val="33724FE1"/>
    <w:rsid w:val="33746E10"/>
    <w:rsid w:val="337B994E"/>
    <w:rsid w:val="337D97F9"/>
    <w:rsid w:val="33B5521F"/>
    <w:rsid w:val="33B92871"/>
    <w:rsid w:val="33C9DFB6"/>
    <w:rsid w:val="33D237CD"/>
    <w:rsid w:val="33D6FEB4"/>
    <w:rsid w:val="33E0D4FE"/>
    <w:rsid w:val="33E3EFC9"/>
    <w:rsid w:val="33E9FD81"/>
    <w:rsid w:val="33EA7BC4"/>
    <w:rsid w:val="33EB0B95"/>
    <w:rsid w:val="33FCADCD"/>
    <w:rsid w:val="33FDAAFD"/>
    <w:rsid w:val="34055363"/>
    <w:rsid w:val="34062E24"/>
    <w:rsid w:val="340802AD"/>
    <w:rsid w:val="341A3F33"/>
    <w:rsid w:val="3420CF2C"/>
    <w:rsid w:val="342613D6"/>
    <w:rsid w:val="3427050D"/>
    <w:rsid w:val="342BC669"/>
    <w:rsid w:val="34316D8D"/>
    <w:rsid w:val="34329C5B"/>
    <w:rsid w:val="34362041"/>
    <w:rsid w:val="34366188"/>
    <w:rsid w:val="34370701"/>
    <w:rsid w:val="343B6AC8"/>
    <w:rsid w:val="34439042"/>
    <w:rsid w:val="344B25F0"/>
    <w:rsid w:val="344CABE8"/>
    <w:rsid w:val="34515605"/>
    <w:rsid w:val="3456C1D1"/>
    <w:rsid w:val="3457F033"/>
    <w:rsid w:val="3458784D"/>
    <w:rsid w:val="3464AF3A"/>
    <w:rsid w:val="3472AFC8"/>
    <w:rsid w:val="347A24F2"/>
    <w:rsid w:val="34849DDB"/>
    <w:rsid w:val="34872672"/>
    <w:rsid w:val="348A31E2"/>
    <w:rsid w:val="348E3DDE"/>
    <w:rsid w:val="348EDB94"/>
    <w:rsid w:val="34934299"/>
    <w:rsid w:val="349E67AC"/>
    <w:rsid w:val="34A17D94"/>
    <w:rsid w:val="34AB1F0B"/>
    <w:rsid w:val="34B0248F"/>
    <w:rsid w:val="34B75F74"/>
    <w:rsid w:val="34B80539"/>
    <w:rsid w:val="34BBD336"/>
    <w:rsid w:val="34BBE632"/>
    <w:rsid w:val="34BC9CEB"/>
    <w:rsid w:val="34BEDFE7"/>
    <w:rsid w:val="34BFDB86"/>
    <w:rsid w:val="34CADD82"/>
    <w:rsid w:val="34DC0149"/>
    <w:rsid w:val="34E41286"/>
    <w:rsid w:val="34E8BFD7"/>
    <w:rsid w:val="34EF6F78"/>
    <w:rsid w:val="34F19DB3"/>
    <w:rsid w:val="34F7E481"/>
    <w:rsid w:val="34F84B56"/>
    <w:rsid w:val="34FA49E8"/>
    <w:rsid w:val="34FB0FE8"/>
    <w:rsid w:val="34FC0B80"/>
    <w:rsid w:val="34FC2A38"/>
    <w:rsid w:val="34FE310A"/>
    <w:rsid w:val="35074312"/>
    <w:rsid w:val="3507F9B4"/>
    <w:rsid w:val="351442D1"/>
    <w:rsid w:val="352718BC"/>
    <w:rsid w:val="35272040"/>
    <w:rsid w:val="3536A1A0"/>
    <w:rsid w:val="353ACB56"/>
    <w:rsid w:val="3544003D"/>
    <w:rsid w:val="35462994"/>
    <w:rsid w:val="355C3961"/>
    <w:rsid w:val="355CF777"/>
    <w:rsid w:val="355DD8B7"/>
    <w:rsid w:val="355F3996"/>
    <w:rsid w:val="3562EDAA"/>
    <w:rsid w:val="35654291"/>
    <w:rsid w:val="356DAFD5"/>
    <w:rsid w:val="356F9E8D"/>
    <w:rsid w:val="35701694"/>
    <w:rsid w:val="357655A7"/>
    <w:rsid w:val="357B8CA2"/>
    <w:rsid w:val="357F45E4"/>
    <w:rsid w:val="358784A8"/>
    <w:rsid w:val="3588667D"/>
    <w:rsid w:val="358B3721"/>
    <w:rsid w:val="358EEFA3"/>
    <w:rsid w:val="3592643F"/>
    <w:rsid w:val="35A0047D"/>
    <w:rsid w:val="35A2B006"/>
    <w:rsid w:val="35A68D15"/>
    <w:rsid w:val="35A94712"/>
    <w:rsid w:val="35B89711"/>
    <w:rsid w:val="35B979E2"/>
    <w:rsid w:val="35BB79FF"/>
    <w:rsid w:val="35BEA722"/>
    <w:rsid w:val="35C10E18"/>
    <w:rsid w:val="35C788D1"/>
    <w:rsid w:val="35D7164A"/>
    <w:rsid w:val="35D7D607"/>
    <w:rsid w:val="35D8CBE3"/>
    <w:rsid w:val="35DC88F4"/>
    <w:rsid w:val="35DEBB52"/>
    <w:rsid w:val="35E3C937"/>
    <w:rsid w:val="35E65FE5"/>
    <w:rsid w:val="35E91BD3"/>
    <w:rsid w:val="35E96A02"/>
    <w:rsid w:val="35EDFA35"/>
    <w:rsid w:val="35FD06C8"/>
    <w:rsid w:val="3601EC43"/>
    <w:rsid w:val="36075853"/>
    <w:rsid w:val="360FEE57"/>
    <w:rsid w:val="361F2B44"/>
    <w:rsid w:val="362EFA22"/>
    <w:rsid w:val="36307011"/>
    <w:rsid w:val="3636AFB9"/>
    <w:rsid w:val="3637252B"/>
    <w:rsid w:val="363DCE26"/>
    <w:rsid w:val="3642109C"/>
    <w:rsid w:val="36501CFA"/>
    <w:rsid w:val="3650D3AE"/>
    <w:rsid w:val="36526019"/>
    <w:rsid w:val="365A4F71"/>
    <w:rsid w:val="3661EBE6"/>
    <w:rsid w:val="36625EE6"/>
    <w:rsid w:val="3664DA74"/>
    <w:rsid w:val="3665AB6F"/>
    <w:rsid w:val="3665F6F4"/>
    <w:rsid w:val="366BC399"/>
    <w:rsid w:val="36725459"/>
    <w:rsid w:val="367E9E39"/>
    <w:rsid w:val="3685F2DC"/>
    <w:rsid w:val="36884D65"/>
    <w:rsid w:val="368F651E"/>
    <w:rsid w:val="3694360D"/>
    <w:rsid w:val="369BCA9D"/>
    <w:rsid w:val="36A8B8F6"/>
    <w:rsid w:val="36B01525"/>
    <w:rsid w:val="36B3D05F"/>
    <w:rsid w:val="36B784BC"/>
    <w:rsid w:val="36C3DD1E"/>
    <w:rsid w:val="36CD9283"/>
    <w:rsid w:val="36D255C4"/>
    <w:rsid w:val="36D2E256"/>
    <w:rsid w:val="36D700D3"/>
    <w:rsid w:val="36E1CAC3"/>
    <w:rsid w:val="36E52FD2"/>
    <w:rsid w:val="36E71754"/>
    <w:rsid w:val="36E7421A"/>
    <w:rsid w:val="36EC6553"/>
    <w:rsid w:val="36EF105F"/>
    <w:rsid w:val="36F54078"/>
    <w:rsid w:val="36F7E81F"/>
    <w:rsid w:val="3703EDEE"/>
    <w:rsid w:val="3703FA15"/>
    <w:rsid w:val="37041D0E"/>
    <w:rsid w:val="37137EF8"/>
    <w:rsid w:val="3713F888"/>
    <w:rsid w:val="371DDE05"/>
    <w:rsid w:val="3720FECE"/>
    <w:rsid w:val="3728CA6C"/>
    <w:rsid w:val="37293983"/>
    <w:rsid w:val="372C2803"/>
    <w:rsid w:val="372E7E79"/>
    <w:rsid w:val="37319685"/>
    <w:rsid w:val="3731CE6E"/>
    <w:rsid w:val="3735EBD2"/>
    <w:rsid w:val="373A1D78"/>
    <w:rsid w:val="3741A59F"/>
    <w:rsid w:val="37452073"/>
    <w:rsid w:val="37496504"/>
    <w:rsid w:val="3751864B"/>
    <w:rsid w:val="37521C35"/>
    <w:rsid w:val="375A862B"/>
    <w:rsid w:val="377A50DE"/>
    <w:rsid w:val="377F371F"/>
    <w:rsid w:val="3782A769"/>
    <w:rsid w:val="378552B7"/>
    <w:rsid w:val="37888856"/>
    <w:rsid w:val="37899C8C"/>
    <w:rsid w:val="378B255C"/>
    <w:rsid w:val="37A4F15E"/>
    <w:rsid w:val="37A6A46E"/>
    <w:rsid w:val="37AB2DEC"/>
    <w:rsid w:val="37AC93F5"/>
    <w:rsid w:val="37C70DBB"/>
    <w:rsid w:val="37CE2A21"/>
    <w:rsid w:val="37DF891E"/>
    <w:rsid w:val="37F78DCE"/>
    <w:rsid w:val="37F83C63"/>
    <w:rsid w:val="37FBCB4A"/>
    <w:rsid w:val="37FD377A"/>
    <w:rsid w:val="3803C21C"/>
    <w:rsid w:val="3805242D"/>
    <w:rsid w:val="3810AC9D"/>
    <w:rsid w:val="3815B479"/>
    <w:rsid w:val="3817C11D"/>
    <w:rsid w:val="3821478B"/>
    <w:rsid w:val="3827F392"/>
    <w:rsid w:val="384B9D8F"/>
    <w:rsid w:val="384D7C57"/>
    <w:rsid w:val="38511234"/>
    <w:rsid w:val="38532286"/>
    <w:rsid w:val="385F5DD3"/>
    <w:rsid w:val="38633F93"/>
    <w:rsid w:val="38645263"/>
    <w:rsid w:val="386AD533"/>
    <w:rsid w:val="386D4FE0"/>
    <w:rsid w:val="3874869E"/>
    <w:rsid w:val="387C0056"/>
    <w:rsid w:val="387D2F6B"/>
    <w:rsid w:val="387DC0F5"/>
    <w:rsid w:val="387E6252"/>
    <w:rsid w:val="388232EB"/>
    <w:rsid w:val="38889B3E"/>
    <w:rsid w:val="388F488E"/>
    <w:rsid w:val="388FCCF8"/>
    <w:rsid w:val="3890601E"/>
    <w:rsid w:val="3898C576"/>
    <w:rsid w:val="38A311AF"/>
    <w:rsid w:val="38ACCE76"/>
    <w:rsid w:val="38AE0E78"/>
    <w:rsid w:val="38B5034C"/>
    <w:rsid w:val="38B8C91E"/>
    <w:rsid w:val="38C4256E"/>
    <w:rsid w:val="38C48138"/>
    <w:rsid w:val="38D8F6F9"/>
    <w:rsid w:val="38E15B88"/>
    <w:rsid w:val="38E6908A"/>
    <w:rsid w:val="38EF75ED"/>
    <w:rsid w:val="38F2001C"/>
    <w:rsid w:val="38F7E55B"/>
    <w:rsid w:val="38FBB2D4"/>
    <w:rsid w:val="3906FA5E"/>
    <w:rsid w:val="3907613C"/>
    <w:rsid w:val="3907BAFB"/>
    <w:rsid w:val="390BDD3D"/>
    <w:rsid w:val="3910AA07"/>
    <w:rsid w:val="3917F73D"/>
    <w:rsid w:val="391CE936"/>
    <w:rsid w:val="3922F98E"/>
    <w:rsid w:val="3924F6B8"/>
    <w:rsid w:val="3927A712"/>
    <w:rsid w:val="392BE8C5"/>
    <w:rsid w:val="392DEA38"/>
    <w:rsid w:val="3936E751"/>
    <w:rsid w:val="39377058"/>
    <w:rsid w:val="393B6827"/>
    <w:rsid w:val="393B95F9"/>
    <w:rsid w:val="393ED715"/>
    <w:rsid w:val="3946F6B4"/>
    <w:rsid w:val="394B633F"/>
    <w:rsid w:val="394B94BF"/>
    <w:rsid w:val="3951EF02"/>
    <w:rsid w:val="3955C05E"/>
    <w:rsid w:val="395CF373"/>
    <w:rsid w:val="395E132C"/>
    <w:rsid w:val="3960FB67"/>
    <w:rsid w:val="3963E3E1"/>
    <w:rsid w:val="3965448E"/>
    <w:rsid w:val="39658D2E"/>
    <w:rsid w:val="3972721E"/>
    <w:rsid w:val="3974158D"/>
    <w:rsid w:val="39750D6F"/>
    <w:rsid w:val="3977C47C"/>
    <w:rsid w:val="39784F13"/>
    <w:rsid w:val="397D519C"/>
    <w:rsid w:val="3981EDC9"/>
    <w:rsid w:val="3986F64A"/>
    <w:rsid w:val="39884D1A"/>
    <w:rsid w:val="398C1ED4"/>
    <w:rsid w:val="3991A23C"/>
    <w:rsid w:val="399BE652"/>
    <w:rsid w:val="399F195D"/>
    <w:rsid w:val="39A290F8"/>
    <w:rsid w:val="39AA1DE7"/>
    <w:rsid w:val="39ABBD53"/>
    <w:rsid w:val="39B60E4C"/>
    <w:rsid w:val="39BDBAA0"/>
    <w:rsid w:val="39C55119"/>
    <w:rsid w:val="39DC2D25"/>
    <w:rsid w:val="39E5F61D"/>
    <w:rsid w:val="39E8C53F"/>
    <w:rsid w:val="39EA347D"/>
    <w:rsid w:val="39EFDE44"/>
    <w:rsid w:val="39F24629"/>
    <w:rsid w:val="39F5E26D"/>
    <w:rsid w:val="39FAA976"/>
    <w:rsid w:val="3A00218A"/>
    <w:rsid w:val="3A019359"/>
    <w:rsid w:val="3A061622"/>
    <w:rsid w:val="3A146C47"/>
    <w:rsid w:val="3A18BA7F"/>
    <w:rsid w:val="3A1BF5CF"/>
    <w:rsid w:val="3A229018"/>
    <w:rsid w:val="3A27C744"/>
    <w:rsid w:val="3A3CD97C"/>
    <w:rsid w:val="3A3F9451"/>
    <w:rsid w:val="3A401EEE"/>
    <w:rsid w:val="3A51D949"/>
    <w:rsid w:val="3A531FAE"/>
    <w:rsid w:val="3A5430E1"/>
    <w:rsid w:val="3A579C10"/>
    <w:rsid w:val="3A5E4054"/>
    <w:rsid w:val="3A645F33"/>
    <w:rsid w:val="3A666A72"/>
    <w:rsid w:val="3A7CEBFA"/>
    <w:rsid w:val="3A81885D"/>
    <w:rsid w:val="3A82F2F4"/>
    <w:rsid w:val="3A837DE8"/>
    <w:rsid w:val="3A87569F"/>
    <w:rsid w:val="3A8DF796"/>
    <w:rsid w:val="3A94DB10"/>
    <w:rsid w:val="3A95FA3E"/>
    <w:rsid w:val="3AA425A7"/>
    <w:rsid w:val="3AA6591C"/>
    <w:rsid w:val="3AA6EEFD"/>
    <w:rsid w:val="3AAD7AD6"/>
    <w:rsid w:val="3AAE1B98"/>
    <w:rsid w:val="3AB3A630"/>
    <w:rsid w:val="3AB6ACA2"/>
    <w:rsid w:val="3AB6D958"/>
    <w:rsid w:val="3ABCB91E"/>
    <w:rsid w:val="3AC1C067"/>
    <w:rsid w:val="3AC273AD"/>
    <w:rsid w:val="3AC5070B"/>
    <w:rsid w:val="3AC69696"/>
    <w:rsid w:val="3ACE1B1E"/>
    <w:rsid w:val="3ACF5CA0"/>
    <w:rsid w:val="3AD6B0A1"/>
    <w:rsid w:val="3AD7B6F4"/>
    <w:rsid w:val="3AD97ED4"/>
    <w:rsid w:val="3AE3D59F"/>
    <w:rsid w:val="3AE40672"/>
    <w:rsid w:val="3AEDACEB"/>
    <w:rsid w:val="3AF0C507"/>
    <w:rsid w:val="3AF25FD8"/>
    <w:rsid w:val="3AF5C642"/>
    <w:rsid w:val="3AFF1E40"/>
    <w:rsid w:val="3AFF4660"/>
    <w:rsid w:val="3B10541B"/>
    <w:rsid w:val="3B110B03"/>
    <w:rsid w:val="3B17E953"/>
    <w:rsid w:val="3B25CD6F"/>
    <w:rsid w:val="3B2E70C0"/>
    <w:rsid w:val="3B456799"/>
    <w:rsid w:val="3B46C613"/>
    <w:rsid w:val="3B50DE9A"/>
    <w:rsid w:val="3B53EB21"/>
    <w:rsid w:val="3B550FAE"/>
    <w:rsid w:val="3B5649E4"/>
    <w:rsid w:val="3B564E88"/>
    <w:rsid w:val="3B5E1427"/>
    <w:rsid w:val="3B620A7E"/>
    <w:rsid w:val="3B69F81A"/>
    <w:rsid w:val="3B6C651B"/>
    <w:rsid w:val="3B6E1BF7"/>
    <w:rsid w:val="3B823C4D"/>
    <w:rsid w:val="3B850C79"/>
    <w:rsid w:val="3B8C931C"/>
    <w:rsid w:val="3B8DB888"/>
    <w:rsid w:val="3B8F1DE0"/>
    <w:rsid w:val="3B929607"/>
    <w:rsid w:val="3B95ECC8"/>
    <w:rsid w:val="3B995AC7"/>
    <w:rsid w:val="3BA54385"/>
    <w:rsid w:val="3BACB8D5"/>
    <w:rsid w:val="3BB1844F"/>
    <w:rsid w:val="3BB415CE"/>
    <w:rsid w:val="3BB67D92"/>
    <w:rsid w:val="3BB71BE5"/>
    <w:rsid w:val="3BBDD730"/>
    <w:rsid w:val="3BBF0015"/>
    <w:rsid w:val="3BC70A6E"/>
    <w:rsid w:val="3BC9458B"/>
    <w:rsid w:val="3BCB9FBC"/>
    <w:rsid w:val="3BCD0A9D"/>
    <w:rsid w:val="3BD410F3"/>
    <w:rsid w:val="3BE261C3"/>
    <w:rsid w:val="3BE388CF"/>
    <w:rsid w:val="3BE4737C"/>
    <w:rsid w:val="3BE8CF32"/>
    <w:rsid w:val="3BEA8F58"/>
    <w:rsid w:val="3BEFB6C6"/>
    <w:rsid w:val="3BF87B5D"/>
    <w:rsid w:val="3BF8A2FA"/>
    <w:rsid w:val="3BFECE0C"/>
    <w:rsid w:val="3BFF3D7E"/>
    <w:rsid w:val="3C05881C"/>
    <w:rsid w:val="3C14AE58"/>
    <w:rsid w:val="3C2B2810"/>
    <w:rsid w:val="3C336904"/>
    <w:rsid w:val="3C34611B"/>
    <w:rsid w:val="3C3EE889"/>
    <w:rsid w:val="3C429054"/>
    <w:rsid w:val="3C4B5117"/>
    <w:rsid w:val="3C53192B"/>
    <w:rsid w:val="3C5981F1"/>
    <w:rsid w:val="3C5D39B1"/>
    <w:rsid w:val="3C6A60B5"/>
    <w:rsid w:val="3C71FAC3"/>
    <w:rsid w:val="3C7C13C8"/>
    <w:rsid w:val="3C7F2B02"/>
    <w:rsid w:val="3C83E0B3"/>
    <w:rsid w:val="3C9BCC35"/>
    <w:rsid w:val="3CB523E2"/>
    <w:rsid w:val="3CBC23A4"/>
    <w:rsid w:val="3CC57C2F"/>
    <w:rsid w:val="3CCD7834"/>
    <w:rsid w:val="3CD5E448"/>
    <w:rsid w:val="3CD680A3"/>
    <w:rsid w:val="3CE692E5"/>
    <w:rsid w:val="3CF79CDD"/>
    <w:rsid w:val="3CFD7A5F"/>
    <w:rsid w:val="3CFD86AD"/>
    <w:rsid w:val="3CFDA0BE"/>
    <w:rsid w:val="3CFE03A1"/>
    <w:rsid w:val="3CFE78EF"/>
    <w:rsid w:val="3CFEC6D8"/>
    <w:rsid w:val="3CFF3A0C"/>
    <w:rsid w:val="3D060940"/>
    <w:rsid w:val="3D073AD0"/>
    <w:rsid w:val="3D089AB3"/>
    <w:rsid w:val="3D0B9A14"/>
    <w:rsid w:val="3D0DD2A3"/>
    <w:rsid w:val="3D15038E"/>
    <w:rsid w:val="3D1693FE"/>
    <w:rsid w:val="3D29400E"/>
    <w:rsid w:val="3D2F87BF"/>
    <w:rsid w:val="3D32CF88"/>
    <w:rsid w:val="3D3365FF"/>
    <w:rsid w:val="3D3AFC14"/>
    <w:rsid w:val="3D41AC86"/>
    <w:rsid w:val="3D4C04A1"/>
    <w:rsid w:val="3D5109F8"/>
    <w:rsid w:val="3D67ADF8"/>
    <w:rsid w:val="3D69E545"/>
    <w:rsid w:val="3D72A913"/>
    <w:rsid w:val="3D757148"/>
    <w:rsid w:val="3D7782AC"/>
    <w:rsid w:val="3D7B59A5"/>
    <w:rsid w:val="3D7DF560"/>
    <w:rsid w:val="3D9382C7"/>
    <w:rsid w:val="3DA1FA02"/>
    <w:rsid w:val="3DAB3489"/>
    <w:rsid w:val="3DAB9EC3"/>
    <w:rsid w:val="3DC66D80"/>
    <w:rsid w:val="3DC75AF9"/>
    <w:rsid w:val="3DCA40E3"/>
    <w:rsid w:val="3DCC48EA"/>
    <w:rsid w:val="3DCD9974"/>
    <w:rsid w:val="3DD206B0"/>
    <w:rsid w:val="3DE01617"/>
    <w:rsid w:val="3E00EB2B"/>
    <w:rsid w:val="3E03738B"/>
    <w:rsid w:val="3E0EB97F"/>
    <w:rsid w:val="3E0F23A5"/>
    <w:rsid w:val="3E0F9A48"/>
    <w:rsid w:val="3E246EEC"/>
    <w:rsid w:val="3E26687B"/>
    <w:rsid w:val="3E27A7B0"/>
    <w:rsid w:val="3E2F1693"/>
    <w:rsid w:val="3E43E53B"/>
    <w:rsid w:val="3E441E2B"/>
    <w:rsid w:val="3E5C1BD5"/>
    <w:rsid w:val="3E5C4A2E"/>
    <w:rsid w:val="3E610D16"/>
    <w:rsid w:val="3E61FF44"/>
    <w:rsid w:val="3E675512"/>
    <w:rsid w:val="3E6DE54A"/>
    <w:rsid w:val="3E6EB1C2"/>
    <w:rsid w:val="3E7272F1"/>
    <w:rsid w:val="3E758B7A"/>
    <w:rsid w:val="3E762BEA"/>
    <w:rsid w:val="3E775EEC"/>
    <w:rsid w:val="3E7EF6AC"/>
    <w:rsid w:val="3E93D74F"/>
    <w:rsid w:val="3E952692"/>
    <w:rsid w:val="3E982D8D"/>
    <w:rsid w:val="3E9EE6D4"/>
    <w:rsid w:val="3EA31A45"/>
    <w:rsid w:val="3EAA0B46"/>
    <w:rsid w:val="3EAC9337"/>
    <w:rsid w:val="3EAE2A3B"/>
    <w:rsid w:val="3EB43335"/>
    <w:rsid w:val="3EB4E969"/>
    <w:rsid w:val="3ED0B9C0"/>
    <w:rsid w:val="3ED10165"/>
    <w:rsid w:val="3ED73A3F"/>
    <w:rsid w:val="3ED79737"/>
    <w:rsid w:val="3EE152F8"/>
    <w:rsid w:val="3EE95C80"/>
    <w:rsid w:val="3EEA987D"/>
    <w:rsid w:val="3EF1776B"/>
    <w:rsid w:val="3EF3037F"/>
    <w:rsid w:val="3EF3D178"/>
    <w:rsid w:val="3EFC37EA"/>
    <w:rsid w:val="3F01F7FF"/>
    <w:rsid w:val="3F022B92"/>
    <w:rsid w:val="3F02702B"/>
    <w:rsid w:val="3F0AEA23"/>
    <w:rsid w:val="3F127BA4"/>
    <w:rsid w:val="3F1A02C5"/>
    <w:rsid w:val="3F26EA93"/>
    <w:rsid w:val="3F270129"/>
    <w:rsid w:val="3F270BA1"/>
    <w:rsid w:val="3F278AA3"/>
    <w:rsid w:val="3F2B70E9"/>
    <w:rsid w:val="3F2D3727"/>
    <w:rsid w:val="3F2E4350"/>
    <w:rsid w:val="3F2FCF83"/>
    <w:rsid w:val="3F3000C3"/>
    <w:rsid w:val="3F3059C0"/>
    <w:rsid w:val="3F33632D"/>
    <w:rsid w:val="3F3A885C"/>
    <w:rsid w:val="3F453E51"/>
    <w:rsid w:val="3F481684"/>
    <w:rsid w:val="3F50F167"/>
    <w:rsid w:val="3F5C0047"/>
    <w:rsid w:val="3F626E4C"/>
    <w:rsid w:val="3F6D459A"/>
    <w:rsid w:val="3F6E44EE"/>
    <w:rsid w:val="3F8BCEC8"/>
    <w:rsid w:val="3F8E2757"/>
    <w:rsid w:val="3F8F33F4"/>
    <w:rsid w:val="3F946FE8"/>
    <w:rsid w:val="3F980C70"/>
    <w:rsid w:val="3F9AD5C6"/>
    <w:rsid w:val="3F9C51CD"/>
    <w:rsid w:val="3F9F52DC"/>
    <w:rsid w:val="3F9FF2B7"/>
    <w:rsid w:val="3FA20E97"/>
    <w:rsid w:val="3FA2E12D"/>
    <w:rsid w:val="3FA4ADF3"/>
    <w:rsid w:val="3FAA92F2"/>
    <w:rsid w:val="3FAC9ECE"/>
    <w:rsid w:val="3FB04ACD"/>
    <w:rsid w:val="3FB8298B"/>
    <w:rsid w:val="3FBCB166"/>
    <w:rsid w:val="3FBFA4CD"/>
    <w:rsid w:val="3FC3DC40"/>
    <w:rsid w:val="3FC77F3A"/>
    <w:rsid w:val="3FC9CAED"/>
    <w:rsid w:val="3FCB3FD2"/>
    <w:rsid w:val="3FCCA16C"/>
    <w:rsid w:val="3FD6A86D"/>
    <w:rsid w:val="3FD702F4"/>
    <w:rsid w:val="3FEFF365"/>
    <w:rsid w:val="3FF0F1B3"/>
    <w:rsid w:val="3FF3404B"/>
    <w:rsid w:val="3FF5BB61"/>
    <w:rsid w:val="3FFA52B4"/>
    <w:rsid w:val="3FFB029E"/>
    <w:rsid w:val="4005A597"/>
    <w:rsid w:val="400B836A"/>
    <w:rsid w:val="40158439"/>
    <w:rsid w:val="4015B320"/>
    <w:rsid w:val="401F3527"/>
    <w:rsid w:val="4022B758"/>
    <w:rsid w:val="4024FB1D"/>
    <w:rsid w:val="4028DB47"/>
    <w:rsid w:val="402DB78C"/>
    <w:rsid w:val="403273F8"/>
    <w:rsid w:val="40354CED"/>
    <w:rsid w:val="4039AE0F"/>
    <w:rsid w:val="4046613D"/>
    <w:rsid w:val="4048A0F0"/>
    <w:rsid w:val="4051D1E0"/>
    <w:rsid w:val="405EF6D2"/>
    <w:rsid w:val="4061F86D"/>
    <w:rsid w:val="4062182D"/>
    <w:rsid w:val="406A47E6"/>
    <w:rsid w:val="406D948C"/>
    <w:rsid w:val="40721AD6"/>
    <w:rsid w:val="407CDC5F"/>
    <w:rsid w:val="407F0657"/>
    <w:rsid w:val="408AB4E4"/>
    <w:rsid w:val="408BB655"/>
    <w:rsid w:val="408D701A"/>
    <w:rsid w:val="408F71B7"/>
    <w:rsid w:val="4095F5E9"/>
    <w:rsid w:val="409B13C8"/>
    <w:rsid w:val="409D9EAF"/>
    <w:rsid w:val="40A2939A"/>
    <w:rsid w:val="40A2E0F2"/>
    <w:rsid w:val="40A48A55"/>
    <w:rsid w:val="40A52046"/>
    <w:rsid w:val="40A5DE1F"/>
    <w:rsid w:val="40A659B1"/>
    <w:rsid w:val="40A68F33"/>
    <w:rsid w:val="40A86397"/>
    <w:rsid w:val="40B2E9ED"/>
    <w:rsid w:val="40B64087"/>
    <w:rsid w:val="40B8A4D1"/>
    <w:rsid w:val="40BABFA0"/>
    <w:rsid w:val="40BB52C0"/>
    <w:rsid w:val="40CB61D5"/>
    <w:rsid w:val="40E14B43"/>
    <w:rsid w:val="40E34A46"/>
    <w:rsid w:val="40EE3517"/>
    <w:rsid w:val="40F15233"/>
    <w:rsid w:val="40F24ABA"/>
    <w:rsid w:val="40F30739"/>
    <w:rsid w:val="40F5B9F6"/>
    <w:rsid w:val="40F77A93"/>
    <w:rsid w:val="40F849D0"/>
    <w:rsid w:val="40FB23BD"/>
    <w:rsid w:val="41026C42"/>
    <w:rsid w:val="4103F242"/>
    <w:rsid w:val="4109714F"/>
    <w:rsid w:val="410BFD7E"/>
    <w:rsid w:val="410D0FC7"/>
    <w:rsid w:val="410F2DD0"/>
    <w:rsid w:val="41108640"/>
    <w:rsid w:val="411BACA5"/>
    <w:rsid w:val="412644B6"/>
    <w:rsid w:val="412967C0"/>
    <w:rsid w:val="41360771"/>
    <w:rsid w:val="4140DDB5"/>
    <w:rsid w:val="414A9AA2"/>
    <w:rsid w:val="414D26DE"/>
    <w:rsid w:val="414E2C15"/>
    <w:rsid w:val="414FDEFB"/>
    <w:rsid w:val="415BD6A5"/>
    <w:rsid w:val="415F57D3"/>
    <w:rsid w:val="415F63D9"/>
    <w:rsid w:val="4164F510"/>
    <w:rsid w:val="41657BC3"/>
    <w:rsid w:val="416C27A8"/>
    <w:rsid w:val="41714A6C"/>
    <w:rsid w:val="4171F02D"/>
    <w:rsid w:val="4172707A"/>
    <w:rsid w:val="417381D9"/>
    <w:rsid w:val="4174957B"/>
    <w:rsid w:val="417A2E0A"/>
    <w:rsid w:val="417A35AD"/>
    <w:rsid w:val="41969BAD"/>
    <w:rsid w:val="41A85BCB"/>
    <w:rsid w:val="41A9560C"/>
    <w:rsid w:val="41B11416"/>
    <w:rsid w:val="41B3C750"/>
    <w:rsid w:val="41B3FE32"/>
    <w:rsid w:val="41BD0636"/>
    <w:rsid w:val="41BE8911"/>
    <w:rsid w:val="41C0A25C"/>
    <w:rsid w:val="41C9413A"/>
    <w:rsid w:val="41CA2DBA"/>
    <w:rsid w:val="41CA414C"/>
    <w:rsid w:val="41CBB098"/>
    <w:rsid w:val="41CF3873"/>
    <w:rsid w:val="41D18211"/>
    <w:rsid w:val="41D43D3E"/>
    <w:rsid w:val="41D8E6E6"/>
    <w:rsid w:val="41E26623"/>
    <w:rsid w:val="41E488D8"/>
    <w:rsid w:val="41E6112A"/>
    <w:rsid w:val="41E70D14"/>
    <w:rsid w:val="41E7270B"/>
    <w:rsid w:val="41ED4C64"/>
    <w:rsid w:val="41F5ABD0"/>
    <w:rsid w:val="41F751B8"/>
    <w:rsid w:val="41FAB22E"/>
    <w:rsid w:val="41FF1928"/>
    <w:rsid w:val="421471D7"/>
    <w:rsid w:val="421BA1DB"/>
    <w:rsid w:val="421CEA72"/>
    <w:rsid w:val="421E7C5C"/>
    <w:rsid w:val="4234513B"/>
    <w:rsid w:val="4234CE00"/>
    <w:rsid w:val="42424866"/>
    <w:rsid w:val="42450C4B"/>
    <w:rsid w:val="424AB2E2"/>
    <w:rsid w:val="424BB9E9"/>
    <w:rsid w:val="424D85B3"/>
    <w:rsid w:val="4254B936"/>
    <w:rsid w:val="4258C2FB"/>
    <w:rsid w:val="425BB99F"/>
    <w:rsid w:val="42619C1E"/>
    <w:rsid w:val="426221A9"/>
    <w:rsid w:val="4262CABA"/>
    <w:rsid w:val="42679621"/>
    <w:rsid w:val="426BDF5A"/>
    <w:rsid w:val="42707088"/>
    <w:rsid w:val="4277DF61"/>
    <w:rsid w:val="427A50C9"/>
    <w:rsid w:val="427B1634"/>
    <w:rsid w:val="428C358D"/>
    <w:rsid w:val="4297BABD"/>
    <w:rsid w:val="429CA58E"/>
    <w:rsid w:val="429FDCF4"/>
    <w:rsid w:val="42AD2764"/>
    <w:rsid w:val="42B0E59A"/>
    <w:rsid w:val="42B0ED45"/>
    <w:rsid w:val="42B5B81A"/>
    <w:rsid w:val="42BABEF4"/>
    <w:rsid w:val="42C030A0"/>
    <w:rsid w:val="42D31094"/>
    <w:rsid w:val="42D51D38"/>
    <w:rsid w:val="42E2C2D3"/>
    <w:rsid w:val="42E42250"/>
    <w:rsid w:val="42F7A3E7"/>
    <w:rsid w:val="42F7B733"/>
    <w:rsid w:val="42F7CD5D"/>
    <w:rsid w:val="43068276"/>
    <w:rsid w:val="430AD984"/>
    <w:rsid w:val="430C8634"/>
    <w:rsid w:val="43102C9C"/>
    <w:rsid w:val="431C769C"/>
    <w:rsid w:val="43208EAD"/>
    <w:rsid w:val="43316B6E"/>
    <w:rsid w:val="4332C8F6"/>
    <w:rsid w:val="433431BB"/>
    <w:rsid w:val="4337A6AA"/>
    <w:rsid w:val="4345EE5C"/>
    <w:rsid w:val="434A28CE"/>
    <w:rsid w:val="4353BBC0"/>
    <w:rsid w:val="43560DF9"/>
    <w:rsid w:val="435B0CA0"/>
    <w:rsid w:val="4360F00D"/>
    <w:rsid w:val="4365188F"/>
    <w:rsid w:val="4366F633"/>
    <w:rsid w:val="4367A14A"/>
    <w:rsid w:val="4383A1C4"/>
    <w:rsid w:val="438EBA6C"/>
    <w:rsid w:val="43900FFB"/>
    <w:rsid w:val="43929462"/>
    <w:rsid w:val="439444C4"/>
    <w:rsid w:val="43970E25"/>
    <w:rsid w:val="439B180B"/>
    <w:rsid w:val="43A27D10"/>
    <w:rsid w:val="43A68FF3"/>
    <w:rsid w:val="43A7F50B"/>
    <w:rsid w:val="43A849DF"/>
    <w:rsid w:val="43AE8438"/>
    <w:rsid w:val="43B0ACB1"/>
    <w:rsid w:val="43B8B5AF"/>
    <w:rsid w:val="43BE3017"/>
    <w:rsid w:val="43C91217"/>
    <w:rsid w:val="43CCB9C3"/>
    <w:rsid w:val="43D499AE"/>
    <w:rsid w:val="43D77B77"/>
    <w:rsid w:val="43D969C4"/>
    <w:rsid w:val="43E041BA"/>
    <w:rsid w:val="43E275DC"/>
    <w:rsid w:val="43E6CA8E"/>
    <w:rsid w:val="43EB7552"/>
    <w:rsid w:val="43F0C1FF"/>
    <w:rsid w:val="43F2392E"/>
    <w:rsid w:val="43F76C09"/>
    <w:rsid w:val="43FB7C46"/>
    <w:rsid w:val="4401573E"/>
    <w:rsid w:val="44030F86"/>
    <w:rsid w:val="4404CD22"/>
    <w:rsid w:val="4406D8AB"/>
    <w:rsid w:val="44096AA1"/>
    <w:rsid w:val="440D29A3"/>
    <w:rsid w:val="44122184"/>
    <w:rsid w:val="4418DC04"/>
    <w:rsid w:val="442101DB"/>
    <w:rsid w:val="44250A9A"/>
    <w:rsid w:val="44279A93"/>
    <w:rsid w:val="442F0F46"/>
    <w:rsid w:val="44310B3A"/>
    <w:rsid w:val="4436EA67"/>
    <w:rsid w:val="444328CA"/>
    <w:rsid w:val="4456D519"/>
    <w:rsid w:val="44578407"/>
    <w:rsid w:val="44585A15"/>
    <w:rsid w:val="4464133C"/>
    <w:rsid w:val="4464D83A"/>
    <w:rsid w:val="446AA2C9"/>
    <w:rsid w:val="44717428"/>
    <w:rsid w:val="4475853A"/>
    <w:rsid w:val="447E8872"/>
    <w:rsid w:val="4482809F"/>
    <w:rsid w:val="449469C4"/>
    <w:rsid w:val="4495B3FA"/>
    <w:rsid w:val="44A66E25"/>
    <w:rsid w:val="44B6428B"/>
    <w:rsid w:val="44BE0C0E"/>
    <w:rsid w:val="44C48AFE"/>
    <w:rsid w:val="44C6455A"/>
    <w:rsid w:val="44C719E4"/>
    <w:rsid w:val="44CA147D"/>
    <w:rsid w:val="44D5FC8E"/>
    <w:rsid w:val="44D71B3F"/>
    <w:rsid w:val="44DAAE70"/>
    <w:rsid w:val="44E056B3"/>
    <w:rsid w:val="44E97B81"/>
    <w:rsid w:val="44EC1A50"/>
    <w:rsid w:val="44EFE32C"/>
    <w:rsid w:val="44F28F68"/>
    <w:rsid w:val="44F492D2"/>
    <w:rsid w:val="4504773A"/>
    <w:rsid w:val="45109E6F"/>
    <w:rsid w:val="451C7205"/>
    <w:rsid w:val="45223418"/>
    <w:rsid w:val="4525A73B"/>
    <w:rsid w:val="452690C2"/>
    <w:rsid w:val="45269703"/>
    <w:rsid w:val="452A12DC"/>
    <w:rsid w:val="452E0B3E"/>
    <w:rsid w:val="4533300D"/>
    <w:rsid w:val="453504B7"/>
    <w:rsid w:val="4537A056"/>
    <w:rsid w:val="45389F90"/>
    <w:rsid w:val="453DAB89"/>
    <w:rsid w:val="4543691B"/>
    <w:rsid w:val="454BC485"/>
    <w:rsid w:val="45506B52"/>
    <w:rsid w:val="4555E497"/>
    <w:rsid w:val="455E5874"/>
    <w:rsid w:val="45843ED4"/>
    <w:rsid w:val="458A0DA5"/>
    <w:rsid w:val="458D3308"/>
    <w:rsid w:val="458F4C84"/>
    <w:rsid w:val="4599AEDF"/>
    <w:rsid w:val="459ACC0F"/>
    <w:rsid w:val="459CE4C0"/>
    <w:rsid w:val="45B04EDE"/>
    <w:rsid w:val="45B2EB51"/>
    <w:rsid w:val="45D02F63"/>
    <w:rsid w:val="45D3A09B"/>
    <w:rsid w:val="45DCF1C0"/>
    <w:rsid w:val="45E125AF"/>
    <w:rsid w:val="45E73DA8"/>
    <w:rsid w:val="45F2CB94"/>
    <w:rsid w:val="45FC6D51"/>
    <w:rsid w:val="46049D1D"/>
    <w:rsid w:val="4604BA0A"/>
    <w:rsid w:val="46092521"/>
    <w:rsid w:val="460A7D39"/>
    <w:rsid w:val="461318CB"/>
    <w:rsid w:val="461B0552"/>
    <w:rsid w:val="461C4C40"/>
    <w:rsid w:val="46301C52"/>
    <w:rsid w:val="46353DA7"/>
    <w:rsid w:val="46392344"/>
    <w:rsid w:val="4639EB7D"/>
    <w:rsid w:val="46454680"/>
    <w:rsid w:val="4645E1BE"/>
    <w:rsid w:val="464AE750"/>
    <w:rsid w:val="464C9E4C"/>
    <w:rsid w:val="465622F3"/>
    <w:rsid w:val="465AD3CE"/>
    <w:rsid w:val="465D0387"/>
    <w:rsid w:val="4664AAAD"/>
    <w:rsid w:val="466A646E"/>
    <w:rsid w:val="46720941"/>
    <w:rsid w:val="46737331"/>
    <w:rsid w:val="46748017"/>
    <w:rsid w:val="467537CA"/>
    <w:rsid w:val="467CA904"/>
    <w:rsid w:val="467EA601"/>
    <w:rsid w:val="4680CB73"/>
    <w:rsid w:val="4684B2B7"/>
    <w:rsid w:val="468A9016"/>
    <w:rsid w:val="468C6579"/>
    <w:rsid w:val="469B8D50"/>
    <w:rsid w:val="469E0E39"/>
    <w:rsid w:val="469FEC7F"/>
    <w:rsid w:val="46A2B918"/>
    <w:rsid w:val="46A32FD8"/>
    <w:rsid w:val="46B1B480"/>
    <w:rsid w:val="46B2FDD0"/>
    <w:rsid w:val="46B6986D"/>
    <w:rsid w:val="46BCCC36"/>
    <w:rsid w:val="46BE38F7"/>
    <w:rsid w:val="46C227F2"/>
    <w:rsid w:val="46CB46AB"/>
    <w:rsid w:val="46D5C3F5"/>
    <w:rsid w:val="46DCF171"/>
    <w:rsid w:val="46E2F851"/>
    <w:rsid w:val="46E58B39"/>
    <w:rsid w:val="46E98473"/>
    <w:rsid w:val="46EA8307"/>
    <w:rsid w:val="46EBB90B"/>
    <w:rsid w:val="46EE29E2"/>
    <w:rsid w:val="46F4C936"/>
    <w:rsid w:val="46F53B99"/>
    <w:rsid w:val="46FCF3DB"/>
    <w:rsid w:val="46FF03DA"/>
    <w:rsid w:val="46FFB28F"/>
    <w:rsid w:val="47047D39"/>
    <w:rsid w:val="471EF11D"/>
    <w:rsid w:val="471F0A6A"/>
    <w:rsid w:val="471F3E0B"/>
    <w:rsid w:val="4720C21A"/>
    <w:rsid w:val="47238185"/>
    <w:rsid w:val="4725F177"/>
    <w:rsid w:val="473077BB"/>
    <w:rsid w:val="47394CA3"/>
    <w:rsid w:val="4754E6B5"/>
    <w:rsid w:val="475683EC"/>
    <w:rsid w:val="475D0083"/>
    <w:rsid w:val="475E14FF"/>
    <w:rsid w:val="475E543A"/>
    <w:rsid w:val="47633857"/>
    <w:rsid w:val="4766B9F7"/>
    <w:rsid w:val="4767A794"/>
    <w:rsid w:val="47695E4C"/>
    <w:rsid w:val="476CADE1"/>
    <w:rsid w:val="476CD32F"/>
    <w:rsid w:val="476E4D01"/>
    <w:rsid w:val="477A92D0"/>
    <w:rsid w:val="477BCF56"/>
    <w:rsid w:val="477DFF63"/>
    <w:rsid w:val="477E3B64"/>
    <w:rsid w:val="47875D0E"/>
    <w:rsid w:val="4789718B"/>
    <w:rsid w:val="478A9374"/>
    <w:rsid w:val="478F4D04"/>
    <w:rsid w:val="47911690"/>
    <w:rsid w:val="4798B579"/>
    <w:rsid w:val="4799752E"/>
    <w:rsid w:val="479B20BF"/>
    <w:rsid w:val="479D3DBA"/>
    <w:rsid w:val="479E42D0"/>
    <w:rsid w:val="47A4F540"/>
    <w:rsid w:val="47A681D0"/>
    <w:rsid w:val="47ABDBC2"/>
    <w:rsid w:val="47AF7A85"/>
    <w:rsid w:val="47B0D2B8"/>
    <w:rsid w:val="47B21D97"/>
    <w:rsid w:val="47BA683B"/>
    <w:rsid w:val="47C06249"/>
    <w:rsid w:val="47C9282E"/>
    <w:rsid w:val="47CBC126"/>
    <w:rsid w:val="47CC3BDA"/>
    <w:rsid w:val="47D28142"/>
    <w:rsid w:val="47D44584"/>
    <w:rsid w:val="47E07F26"/>
    <w:rsid w:val="47E97410"/>
    <w:rsid w:val="47EC335A"/>
    <w:rsid w:val="47EDE392"/>
    <w:rsid w:val="47F39086"/>
    <w:rsid w:val="47F9B8E8"/>
    <w:rsid w:val="47FECC02"/>
    <w:rsid w:val="48001C47"/>
    <w:rsid w:val="48070B9B"/>
    <w:rsid w:val="480B6A08"/>
    <w:rsid w:val="480E4974"/>
    <w:rsid w:val="4810B6DC"/>
    <w:rsid w:val="48155E9A"/>
    <w:rsid w:val="48176879"/>
    <w:rsid w:val="48239082"/>
    <w:rsid w:val="4829A1D2"/>
    <w:rsid w:val="482A0024"/>
    <w:rsid w:val="482AE34B"/>
    <w:rsid w:val="48417E3B"/>
    <w:rsid w:val="4841ECB7"/>
    <w:rsid w:val="484593FF"/>
    <w:rsid w:val="4851F968"/>
    <w:rsid w:val="4859A7D0"/>
    <w:rsid w:val="485A6F28"/>
    <w:rsid w:val="485B74DD"/>
    <w:rsid w:val="48647AB1"/>
    <w:rsid w:val="486B212D"/>
    <w:rsid w:val="48726CDC"/>
    <w:rsid w:val="48777571"/>
    <w:rsid w:val="487D7212"/>
    <w:rsid w:val="48847B9B"/>
    <w:rsid w:val="4886F200"/>
    <w:rsid w:val="488BE3BB"/>
    <w:rsid w:val="488CAE62"/>
    <w:rsid w:val="48A96DC8"/>
    <w:rsid w:val="48B61A2A"/>
    <w:rsid w:val="48B6506F"/>
    <w:rsid w:val="48B86613"/>
    <w:rsid w:val="48BDA9B4"/>
    <w:rsid w:val="48BE836A"/>
    <w:rsid w:val="48C0939C"/>
    <w:rsid w:val="48CC0E97"/>
    <w:rsid w:val="48D075CC"/>
    <w:rsid w:val="48D358E7"/>
    <w:rsid w:val="48D8EEC6"/>
    <w:rsid w:val="48E4B395"/>
    <w:rsid w:val="48E6C4DA"/>
    <w:rsid w:val="48E75E95"/>
    <w:rsid w:val="48E79D8A"/>
    <w:rsid w:val="48F0387C"/>
    <w:rsid w:val="48F50444"/>
    <w:rsid w:val="4904AC2C"/>
    <w:rsid w:val="4905A17B"/>
    <w:rsid w:val="4913BBB4"/>
    <w:rsid w:val="491A0259"/>
    <w:rsid w:val="491E91EB"/>
    <w:rsid w:val="491F42FF"/>
    <w:rsid w:val="49209E4B"/>
    <w:rsid w:val="4920CA2E"/>
    <w:rsid w:val="4928F593"/>
    <w:rsid w:val="492DEC43"/>
    <w:rsid w:val="49304BC5"/>
    <w:rsid w:val="49416128"/>
    <w:rsid w:val="494A1E3C"/>
    <w:rsid w:val="4953630D"/>
    <w:rsid w:val="495721EB"/>
    <w:rsid w:val="495D6052"/>
    <w:rsid w:val="495F0649"/>
    <w:rsid w:val="4960C23D"/>
    <w:rsid w:val="496A3C58"/>
    <w:rsid w:val="496ADD76"/>
    <w:rsid w:val="496C7F15"/>
    <w:rsid w:val="49763C06"/>
    <w:rsid w:val="4978F3AF"/>
    <w:rsid w:val="497ADA4B"/>
    <w:rsid w:val="497B8653"/>
    <w:rsid w:val="49812AC3"/>
    <w:rsid w:val="4984332C"/>
    <w:rsid w:val="4992D2D2"/>
    <w:rsid w:val="4996623B"/>
    <w:rsid w:val="499889E1"/>
    <w:rsid w:val="49A19D3A"/>
    <w:rsid w:val="49A53108"/>
    <w:rsid w:val="49A7C500"/>
    <w:rsid w:val="49AAE1F6"/>
    <w:rsid w:val="49AF7920"/>
    <w:rsid w:val="49C4573F"/>
    <w:rsid w:val="49CA359E"/>
    <w:rsid w:val="49D703F7"/>
    <w:rsid w:val="49D91473"/>
    <w:rsid w:val="49DACD99"/>
    <w:rsid w:val="49DE665C"/>
    <w:rsid w:val="49E0347C"/>
    <w:rsid w:val="49EEE17E"/>
    <w:rsid w:val="49F6AF08"/>
    <w:rsid w:val="49F6E167"/>
    <w:rsid w:val="49F6E492"/>
    <w:rsid w:val="4A077478"/>
    <w:rsid w:val="4A0F901D"/>
    <w:rsid w:val="4A139A2C"/>
    <w:rsid w:val="4A169256"/>
    <w:rsid w:val="4A193C3B"/>
    <w:rsid w:val="4A1CCEF7"/>
    <w:rsid w:val="4A26B054"/>
    <w:rsid w:val="4A28CE62"/>
    <w:rsid w:val="4A30A04E"/>
    <w:rsid w:val="4A30C104"/>
    <w:rsid w:val="4A325C99"/>
    <w:rsid w:val="4A3BF9E7"/>
    <w:rsid w:val="4A4540B1"/>
    <w:rsid w:val="4A45DDC6"/>
    <w:rsid w:val="4A4640E2"/>
    <w:rsid w:val="4A521C41"/>
    <w:rsid w:val="4A542917"/>
    <w:rsid w:val="4A56B4A9"/>
    <w:rsid w:val="4A59EB1B"/>
    <w:rsid w:val="4A5C706D"/>
    <w:rsid w:val="4A699C08"/>
    <w:rsid w:val="4A70D952"/>
    <w:rsid w:val="4A73DC1F"/>
    <w:rsid w:val="4A799693"/>
    <w:rsid w:val="4A7BA0C0"/>
    <w:rsid w:val="4A7D1F7C"/>
    <w:rsid w:val="4A7DE622"/>
    <w:rsid w:val="4A7EC350"/>
    <w:rsid w:val="4A8A3BE7"/>
    <w:rsid w:val="4A8F3B72"/>
    <w:rsid w:val="4A909386"/>
    <w:rsid w:val="4A990F3C"/>
    <w:rsid w:val="4A9AFE49"/>
    <w:rsid w:val="4AA05607"/>
    <w:rsid w:val="4AA1BBA8"/>
    <w:rsid w:val="4AABC107"/>
    <w:rsid w:val="4AB17620"/>
    <w:rsid w:val="4AB5AC33"/>
    <w:rsid w:val="4AB9E9EF"/>
    <w:rsid w:val="4ACF94C7"/>
    <w:rsid w:val="4AD0ECC4"/>
    <w:rsid w:val="4AD431F2"/>
    <w:rsid w:val="4AD63EA3"/>
    <w:rsid w:val="4AE292D7"/>
    <w:rsid w:val="4AE4468D"/>
    <w:rsid w:val="4AEBB24D"/>
    <w:rsid w:val="4AF247CA"/>
    <w:rsid w:val="4AF5F404"/>
    <w:rsid w:val="4AF72C23"/>
    <w:rsid w:val="4AFA8674"/>
    <w:rsid w:val="4AFFAC21"/>
    <w:rsid w:val="4AFFC26F"/>
    <w:rsid w:val="4B017F97"/>
    <w:rsid w:val="4B03C742"/>
    <w:rsid w:val="4B05197C"/>
    <w:rsid w:val="4B05F142"/>
    <w:rsid w:val="4B09852D"/>
    <w:rsid w:val="4B0D7F9E"/>
    <w:rsid w:val="4B0EFD33"/>
    <w:rsid w:val="4B100B67"/>
    <w:rsid w:val="4B154AB9"/>
    <w:rsid w:val="4B169A6A"/>
    <w:rsid w:val="4B185BB3"/>
    <w:rsid w:val="4B19DE29"/>
    <w:rsid w:val="4B211B77"/>
    <w:rsid w:val="4B21AC58"/>
    <w:rsid w:val="4B21D5D4"/>
    <w:rsid w:val="4B256C53"/>
    <w:rsid w:val="4B266FB3"/>
    <w:rsid w:val="4B2F1DE5"/>
    <w:rsid w:val="4B342E39"/>
    <w:rsid w:val="4B360EFD"/>
    <w:rsid w:val="4B3DB53C"/>
    <w:rsid w:val="4B457AA1"/>
    <w:rsid w:val="4B48DAB8"/>
    <w:rsid w:val="4B4FF3E9"/>
    <w:rsid w:val="4B540114"/>
    <w:rsid w:val="4B606797"/>
    <w:rsid w:val="4B62E372"/>
    <w:rsid w:val="4B78D37D"/>
    <w:rsid w:val="4B7B304F"/>
    <w:rsid w:val="4B8024B2"/>
    <w:rsid w:val="4B81707B"/>
    <w:rsid w:val="4B85B0EA"/>
    <w:rsid w:val="4B8C0616"/>
    <w:rsid w:val="4BA80AC3"/>
    <w:rsid w:val="4BA8860A"/>
    <w:rsid w:val="4BAE7055"/>
    <w:rsid w:val="4BB0262D"/>
    <w:rsid w:val="4BB08C31"/>
    <w:rsid w:val="4BB745B0"/>
    <w:rsid w:val="4BB94FD0"/>
    <w:rsid w:val="4BC942CB"/>
    <w:rsid w:val="4BCAA2D8"/>
    <w:rsid w:val="4BDABCFA"/>
    <w:rsid w:val="4BE57788"/>
    <w:rsid w:val="4BE7914C"/>
    <w:rsid w:val="4BEB8F1D"/>
    <w:rsid w:val="4BED1859"/>
    <w:rsid w:val="4BEEFA60"/>
    <w:rsid w:val="4BF09FAD"/>
    <w:rsid w:val="4BF1804F"/>
    <w:rsid w:val="4BF2410E"/>
    <w:rsid w:val="4BF8C51B"/>
    <w:rsid w:val="4BFF8F8A"/>
    <w:rsid w:val="4C0806F6"/>
    <w:rsid w:val="4C0BA165"/>
    <w:rsid w:val="4C145876"/>
    <w:rsid w:val="4C168F7F"/>
    <w:rsid w:val="4C177CDC"/>
    <w:rsid w:val="4C17E077"/>
    <w:rsid w:val="4C1F6C64"/>
    <w:rsid w:val="4C285256"/>
    <w:rsid w:val="4C290B47"/>
    <w:rsid w:val="4C313BBF"/>
    <w:rsid w:val="4C3264D2"/>
    <w:rsid w:val="4C32F97F"/>
    <w:rsid w:val="4C3A8CB0"/>
    <w:rsid w:val="4C44147C"/>
    <w:rsid w:val="4C511901"/>
    <w:rsid w:val="4C552556"/>
    <w:rsid w:val="4C5948E1"/>
    <w:rsid w:val="4C5FBE65"/>
    <w:rsid w:val="4C641F31"/>
    <w:rsid w:val="4C649A51"/>
    <w:rsid w:val="4C6E7851"/>
    <w:rsid w:val="4C6FBA41"/>
    <w:rsid w:val="4C7ABD9D"/>
    <w:rsid w:val="4C863020"/>
    <w:rsid w:val="4C885119"/>
    <w:rsid w:val="4C91122F"/>
    <w:rsid w:val="4C9F6B0A"/>
    <w:rsid w:val="4CA36E36"/>
    <w:rsid w:val="4CA3AFC3"/>
    <w:rsid w:val="4CA3E6AB"/>
    <w:rsid w:val="4CAC2C25"/>
    <w:rsid w:val="4CB22617"/>
    <w:rsid w:val="4CBC85E5"/>
    <w:rsid w:val="4CBE0CBA"/>
    <w:rsid w:val="4CC19C9E"/>
    <w:rsid w:val="4CCEF915"/>
    <w:rsid w:val="4CDA63BA"/>
    <w:rsid w:val="4CDEBD97"/>
    <w:rsid w:val="4CDF68D3"/>
    <w:rsid w:val="4CE1E7D1"/>
    <w:rsid w:val="4CE28B5F"/>
    <w:rsid w:val="4CF14D5C"/>
    <w:rsid w:val="4CF8B30D"/>
    <w:rsid w:val="4D01F1F5"/>
    <w:rsid w:val="4D076FD0"/>
    <w:rsid w:val="4D0ABFFB"/>
    <w:rsid w:val="4D0D13AF"/>
    <w:rsid w:val="4D11415C"/>
    <w:rsid w:val="4D135725"/>
    <w:rsid w:val="4D1424FC"/>
    <w:rsid w:val="4D163D6D"/>
    <w:rsid w:val="4D16FD39"/>
    <w:rsid w:val="4D187838"/>
    <w:rsid w:val="4D21A568"/>
    <w:rsid w:val="4D26F396"/>
    <w:rsid w:val="4D298725"/>
    <w:rsid w:val="4D2DDA71"/>
    <w:rsid w:val="4D2DE040"/>
    <w:rsid w:val="4D2E987C"/>
    <w:rsid w:val="4D2EDF15"/>
    <w:rsid w:val="4D329DE8"/>
    <w:rsid w:val="4D40620F"/>
    <w:rsid w:val="4D41491D"/>
    <w:rsid w:val="4D42088D"/>
    <w:rsid w:val="4D4AA500"/>
    <w:rsid w:val="4D5C2D8B"/>
    <w:rsid w:val="4D5DB2B7"/>
    <w:rsid w:val="4D66E1D1"/>
    <w:rsid w:val="4D72A3BE"/>
    <w:rsid w:val="4D770849"/>
    <w:rsid w:val="4D7922DC"/>
    <w:rsid w:val="4D7EBC5B"/>
    <w:rsid w:val="4D7F7309"/>
    <w:rsid w:val="4D81EBEC"/>
    <w:rsid w:val="4D85A1E0"/>
    <w:rsid w:val="4D8A8FBD"/>
    <w:rsid w:val="4D914183"/>
    <w:rsid w:val="4D92FE64"/>
    <w:rsid w:val="4D9480A2"/>
    <w:rsid w:val="4D990F72"/>
    <w:rsid w:val="4D9E0F43"/>
    <w:rsid w:val="4DAA7408"/>
    <w:rsid w:val="4DB27001"/>
    <w:rsid w:val="4DB98158"/>
    <w:rsid w:val="4DC2A705"/>
    <w:rsid w:val="4DC2C75E"/>
    <w:rsid w:val="4DC561E2"/>
    <w:rsid w:val="4DCA7784"/>
    <w:rsid w:val="4DCD5608"/>
    <w:rsid w:val="4DD2803C"/>
    <w:rsid w:val="4DDE74A3"/>
    <w:rsid w:val="4DE75066"/>
    <w:rsid w:val="4DEB9314"/>
    <w:rsid w:val="4DEE0309"/>
    <w:rsid w:val="4DEE9DDB"/>
    <w:rsid w:val="4DF6EC60"/>
    <w:rsid w:val="4DF76FEE"/>
    <w:rsid w:val="4DFA63AF"/>
    <w:rsid w:val="4E01A461"/>
    <w:rsid w:val="4E05A77C"/>
    <w:rsid w:val="4E07FAD9"/>
    <w:rsid w:val="4E0B3BAF"/>
    <w:rsid w:val="4E19146A"/>
    <w:rsid w:val="4E1A20A6"/>
    <w:rsid w:val="4E233ADD"/>
    <w:rsid w:val="4E23BEC0"/>
    <w:rsid w:val="4E27728F"/>
    <w:rsid w:val="4E28D9B1"/>
    <w:rsid w:val="4E337A1C"/>
    <w:rsid w:val="4E372F9C"/>
    <w:rsid w:val="4E3CE74D"/>
    <w:rsid w:val="4E3E63D3"/>
    <w:rsid w:val="4E4692F1"/>
    <w:rsid w:val="4E4B7AC2"/>
    <w:rsid w:val="4E4ECDC9"/>
    <w:rsid w:val="4E533F90"/>
    <w:rsid w:val="4E5DCB9F"/>
    <w:rsid w:val="4E68E27D"/>
    <w:rsid w:val="4E7757E4"/>
    <w:rsid w:val="4E7E7451"/>
    <w:rsid w:val="4E7F0771"/>
    <w:rsid w:val="4E8130D3"/>
    <w:rsid w:val="4E8AB98C"/>
    <w:rsid w:val="4E8C0B68"/>
    <w:rsid w:val="4E8F8BA3"/>
    <w:rsid w:val="4E90D1E9"/>
    <w:rsid w:val="4E9436CB"/>
    <w:rsid w:val="4E964F1D"/>
    <w:rsid w:val="4EB7D4F6"/>
    <w:rsid w:val="4EB8C30A"/>
    <w:rsid w:val="4EC68E71"/>
    <w:rsid w:val="4EC92ADD"/>
    <w:rsid w:val="4ED550BB"/>
    <w:rsid w:val="4EDD5E2C"/>
    <w:rsid w:val="4EE1F7E1"/>
    <w:rsid w:val="4EE84948"/>
    <w:rsid w:val="4EE902FE"/>
    <w:rsid w:val="4EECE03D"/>
    <w:rsid w:val="4EED40B0"/>
    <w:rsid w:val="4EEEE62A"/>
    <w:rsid w:val="4EF1DA6C"/>
    <w:rsid w:val="4EF2D89D"/>
    <w:rsid w:val="4EF62375"/>
    <w:rsid w:val="4EFB8BE6"/>
    <w:rsid w:val="4EFC498B"/>
    <w:rsid w:val="4F04B1DA"/>
    <w:rsid w:val="4F06A2A4"/>
    <w:rsid w:val="4F09D79B"/>
    <w:rsid w:val="4F0D6636"/>
    <w:rsid w:val="4F1220AF"/>
    <w:rsid w:val="4F16E9D9"/>
    <w:rsid w:val="4F1B7060"/>
    <w:rsid w:val="4F27CFC0"/>
    <w:rsid w:val="4F2C80F5"/>
    <w:rsid w:val="4F2C8EB2"/>
    <w:rsid w:val="4F2EEFBB"/>
    <w:rsid w:val="4F303807"/>
    <w:rsid w:val="4F3EABBB"/>
    <w:rsid w:val="4F3EDB88"/>
    <w:rsid w:val="4F405C2F"/>
    <w:rsid w:val="4F464805"/>
    <w:rsid w:val="4F465547"/>
    <w:rsid w:val="4F472634"/>
    <w:rsid w:val="4F4984AE"/>
    <w:rsid w:val="4F524426"/>
    <w:rsid w:val="4F563DD5"/>
    <w:rsid w:val="4F5A25F7"/>
    <w:rsid w:val="4F623FC5"/>
    <w:rsid w:val="4F645A69"/>
    <w:rsid w:val="4F649DBE"/>
    <w:rsid w:val="4F7F4305"/>
    <w:rsid w:val="4F81E9BB"/>
    <w:rsid w:val="4F89000D"/>
    <w:rsid w:val="4F93C0ED"/>
    <w:rsid w:val="4F9F84EA"/>
    <w:rsid w:val="4FA17531"/>
    <w:rsid w:val="4FA62081"/>
    <w:rsid w:val="4FA7547E"/>
    <w:rsid w:val="4FA86F17"/>
    <w:rsid w:val="4FACDEFE"/>
    <w:rsid w:val="4FAD30FB"/>
    <w:rsid w:val="4FADBED5"/>
    <w:rsid w:val="4FBBC9DD"/>
    <w:rsid w:val="4FC4A50A"/>
    <w:rsid w:val="4FCBB4AE"/>
    <w:rsid w:val="4FD082C4"/>
    <w:rsid w:val="4FD8D7A5"/>
    <w:rsid w:val="4FE19CFB"/>
    <w:rsid w:val="4FE9320D"/>
    <w:rsid w:val="4FF78EF8"/>
    <w:rsid w:val="4FF8BDA0"/>
    <w:rsid w:val="4FFC4F57"/>
    <w:rsid w:val="4FFD43C3"/>
    <w:rsid w:val="4FFEA17E"/>
    <w:rsid w:val="4FFF1F6F"/>
    <w:rsid w:val="50020703"/>
    <w:rsid w:val="500897DB"/>
    <w:rsid w:val="500A9CC4"/>
    <w:rsid w:val="5015BC5E"/>
    <w:rsid w:val="5018024D"/>
    <w:rsid w:val="501F510A"/>
    <w:rsid w:val="502144CE"/>
    <w:rsid w:val="50231875"/>
    <w:rsid w:val="502FB67F"/>
    <w:rsid w:val="5030956E"/>
    <w:rsid w:val="5032283A"/>
    <w:rsid w:val="503357B9"/>
    <w:rsid w:val="50391971"/>
    <w:rsid w:val="503A9602"/>
    <w:rsid w:val="50498CB5"/>
    <w:rsid w:val="50583E1A"/>
    <w:rsid w:val="506837F3"/>
    <w:rsid w:val="506D4D7D"/>
    <w:rsid w:val="506D9187"/>
    <w:rsid w:val="5072651F"/>
    <w:rsid w:val="5073DF5D"/>
    <w:rsid w:val="5074F2A5"/>
    <w:rsid w:val="507573AC"/>
    <w:rsid w:val="50767220"/>
    <w:rsid w:val="50774903"/>
    <w:rsid w:val="507C8ADF"/>
    <w:rsid w:val="507DA1CF"/>
    <w:rsid w:val="50876669"/>
    <w:rsid w:val="5091E2B9"/>
    <w:rsid w:val="5093F8C3"/>
    <w:rsid w:val="50A870F2"/>
    <w:rsid w:val="50ACF938"/>
    <w:rsid w:val="50ADC55F"/>
    <w:rsid w:val="50B41E52"/>
    <w:rsid w:val="50B5A7A4"/>
    <w:rsid w:val="50B86B0F"/>
    <w:rsid w:val="50BB55CE"/>
    <w:rsid w:val="50BBC126"/>
    <w:rsid w:val="50C17F0B"/>
    <w:rsid w:val="50C670C6"/>
    <w:rsid w:val="50C6C7FF"/>
    <w:rsid w:val="50CD0288"/>
    <w:rsid w:val="50CF4622"/>
    <w:rsid w:val="50D6149A"/>
    <w:rsid w:val="50D6CED5"/>
    <w:rsid w:val="50D7052C"/>
    <w:rsid w:val="50DEE656"/>
    <w:rsid w:val="50E2099A"/>
    <w:rsid w:val="50F450B2"/>
    <w:rsid w:val="50FE2607"/>
    <w:rsid w:val="5103FC9F"/>
    <w:rsid w:val="510955F9"/>
    <w:rsid w:val="5109E8B2"/>
    <w:rsid w:val="510A171C"/>
    <w:rsid w:val="510F9056"/>
    <w:rsid w:val="51123615"/>
    <w:rsid w:val="51133049"/>
    <w:rsid w:val="5123F73B"/>
    <w:rsid w:val="5127583E"/>
    <w:rsid w:val="513159D4"/>
    <w:rsid w:val="5132814A"/>
    <w:rsid w:val="51405913"/>
    <w:rsid w:val="514085DD"/>
    <w:rsid w:val="5140F633"/>
    <w:rsid w:val="51453073"/>
    <w:rsid w:val="51542EB5"/>
    <w:rsid w:val="5158541F"/>
    <w:rsid w:val="51592FA8"/>
    <w:rsid w:val="5162F624"/>
    <w:rsid w:val="51643679"/>
    <w:rsid w:val="51757583"/>
    <w:rsid w:val="5176DD7B"/>
    <w:rsid w:val="5185D823"/>
    <w:rsid w:val="5186EC3C"/>
    <w:rsid w:val="519283DD"/>
    <w:rsid w:val="51953675"/>
    <w:rsid w:val="519A9CA3"/>
    <w:rsid w:val="51A185D0"/>
    <w:rsid w:val="51A42AD6"/>
    <w:rsid w:val="51AB0EA0"/>
    <w:rsid w:val="51B53E74"/>
    <w:rsid w:val="51B7D320"/>
    <w:rsid w:val="51BABB12"/>
    <w:rsid w:val="51BB44B1"/>
    <w:rsid w:val="51BD44B4"/>
    <w:rsid w:val="51CDC369"/>
    <w:rsid w:val="51D15C7C"/>
    <w:rsid w:val="51D512E8"/>
    <w:rsid w:val="51D7585C"/>
    <w:rsid w:val="51D92774"/>
    <w:rsid w:val="51E0115E"/>
    <w:rsid w:val="51E12822"/>
    <w:rsid w:val="51E970EA"/>
    <w:rsid w:val="51EE8B15"/>
    <w:rsid w:val="51F3D0DD"/>
    <w:rsid w:val="51F6B6B4"/>
    <w:rsid w:val="51F767F7"/>
    <w:rsid w:val="51FC2EBE"/>
    <w:rsid w:val="52019793"/>
    <w:rsid w:val="520A3DCC"/>
    <w:rsid w:val="52111E89"/>
    <w:rsid w:val="521325A3"/>
    <w:rsid w:val="5216A13A"/>
    <w:rsid w:val="521D4361"/>
    <w:rsid w:val="521E16EE"/>
    <w:rsid w:val="5245951D"/>
    <w:rsid w:val="52461185"/>
    <w:rsid w:val="525BFEC2"/>
    <w:rsid w:val="525C5895"/>
    <w:rsid w:val="5264A7C2"/>
    <w:rsid w:val="5266B5D5"/>
    <w:rsid w:val="526FF6D2"/>
    <w:rsid w:val="5270CF8F"/>
    <w:rsid w:val="52733489"/>
    <w:rsid w:val="5274FB89"/>
    <w:rsid w:val="5276D274"/>
    <w:rsid w:val="527A0485"/>
    <w:rsid w:val="527A4725"/>
    <w:rsid w:val="5285662D"/>
    <w:rsid w:val="5285A2D7"/>
    <w:rsid w:val="52887A9E"/>
    <w:rsid w:val="52922253"/>
    <w:rsid w:val="52923386"/>
    <w:rsid w:val="52936CD6"/>
    <w:rsid w:val="529DFD81"/>
    <w:rsid w:val="52A3EA72"/>
    <w:rsid w:val="52A5D517"/>
    <w:rsid w:val="52A940E7"/>
    <w:rsid w:val="52B1B7F9"/>
    <w:rsid w:val="52B527F1"/>
    <w:rsid w:val="52C4B551"/>
    <w:rsid w:val="52C8464E"/>
    <w:rsid w:val="52C85E50"/>
    <w:rsid w:val="52C90DCA"/>
    <w:rsid w:val="52CBD900"/>
    <w:rsid w:val="52CC6692"/>
    <w:rsid w:val="52D7E49D"/>
    <w:rsid w:val="52D8B9E7"/>
    <w:rsid w:val="52DA83AA"/>
    <w:rsid w:val="52DB11CC"/>
    <w:rsid w:val="52DD502B"/>
    <w:rsid w:val="52E0B3CE"/>
    <w:rsid w:val="52E612A9"/>
    <w:rsid w:val="52EEC72F"/>
    <w:rsid w:val="52F1E6EE"/>
    <w:rsid w:val="52F84CB7"/>
    <w:rsid w:val="52FEB669"/>
    <w:rsid w:val="53097A1C"/>
    <w:rsid w:val="530CB791"/>
    <w:rsid w:val="530F9FB8"/>
    <w:rsid w:val="53170A68"/>
    <w:rsid w:val="53200912"/>
    <w:rsid w:val="53290733"/>
    <w:rsid w:val="53331517"/>
    <w:rsid w:val="533BD8ED"/>
    <w:rsid w:val="53472B66"/>
    <w:rsid w:val="534C9D9C"/>
    <w:rsid w:val="5351AD59"/>
    <w:rsid w:val="5360244B"/>
    <w:rsid w:val="53630283"/>
    <w:rsid w:val="536AC3C6"/>
    <w:rsid w:val="5375FD21"/>
    <w:rsid w:val="53760B2B"/>
    <w:rsid w:val="5376FA59"/>
    <w:rsid w:val="537ACA37"/>
    <w:rsid w:val="537EB592"/>
    <w:rsid w:val="53883986"/>
    <w:rsid w:val="538EF8BE"/>
    <w:rsid w:val="539B1DF0"/>
    <w:rsid w:val="539B54DD"/>
    <w:rsid w:val="539D6CC7"/>
    <w:rsid w:val="539E75D2"/>
    <w:rsid w:val="53A01885"/>
    <w:rsid w:val="53A1F849"/>
    <w:rsid w:val="53A3FD30"/>
    <w:rsid w:val="53A74244"/>
    <w:rsid w:val="53B337A2"/>
    <w:rsid w:val="53B8B189"/>
    <w:rsid w:val="53BC7A96"/>
    <w:rsid w:val="53C0191E"/>
    <w:rsid w:val="53C7FD49"/>
    <w:rsid w:val="53C9A3A5"/>
    <w:rsid w:val="53CB8BEF"/>
    <w:rsid w:val="53CBCC55"/>
    <w:rsid w:val="53DE1F45"/>
    <w:rsid w:val="53EC4471"/>
    <w:rsid w:val="53F940B4"/>
    <w:rsid w:val="53FCD8BC"/>
    <w:rsid w:val="540979C0"/>
    <w:rsid w:val="5412C7A6"/>
    <w:rsid w:val="5414D44C"/>
    <w:rsid w:val="54194DE1"/>
    <w:rsid w:val="54332657"/>
    <w:rsid w:val="543E68B0"/>
    <w:rsid w:val="543E6A31"/>
    <w:rsid w:val="543EA0A2"/>
    <w:rsid w:val="543FA1B0"/>
    <w:rsid w:val="54484534"/>
    <w:rsid w:val="544C0DBF"/>
    <w:rsid w:val="5450EABE"/>
    <w:rsid w:val="5458328A"/>
    <w:rsid w:val="545C111A"/>
    <w:rsid w:val="54629C55"/>
    <w:rsid w:val="546316B2"/>
    <w:rsid w:val="54651052"/>
    <w:rsid w:val="546DD3FC"/>
    <w:rsid w:val="546E3031"/>
    <w:rsid w:val="54709A34"/>
    <w:rsid w:val="547563D4"/>
    <w:rsid w:val="547891AF"/>
    <w:rsid w:val="5481E60A"/>
    <w:rsid w:val="5486CD27"/>
    <w:rsid w:val="5487B6A0"/>
    <w:rsid w:val="548FB1A8"/>
    <w:rsid w:val="549015A3"/>
    <w:rsid w:val="54987B25"/>
    <w:rsid w:val="5499145E"/>
    <w:rsid w:val="5499943A"/>
    <w:rsid w:val="549B0F1D"/>
    <w:rsid w:val="54AB3F03"/>
    <w:rsid w:val="54B33802"/>
    <w:rsid w:val="54BD68AA"/>
    <w:rsid w:val="54BEDA56"/>
    <w:rsid w:val="54D17101"/>
    <w:rsid w:val="54D4093B"/>
    <w:rsid w:val="54D9931A"/>
    <w:rsid w:val="54D9BB7A"/>
    <w:rsid w:val="54DEF927"/>
    <w:rsid w:val="54E37525"/>
    <w:rsid w:val="54E4D984"/>
    <w:rsid w:val="54E7E35E"/>
    <w:rsid w:val="54EF5445"/>
    <w:rsid w:val="54F362D9"/>
    <w:rsid w:val="54F4E576"/>
    <w:rsid w:val="54F72936"/>
    <w:rsid w:val="54FAEFE1"/>
    <w:rsid w:val="54FFF6B0"/>
    <w:rsid w:val="55024FB3"/>
    <w:rsid w:val="5503F140"/>
    <w:rsid w:val="5507BC67"/>
    <w:rsid w:val="55083705"/>
    <w:rsid w:val="550A4853"/>
    <w:rsid w:val="550A9C61"/>
    <w:rsid w:val="55101DC6"/>
    <w:rsid w:val="5511E1DD"/>
    <w:rsid w:val="5511F2E2"/>
    <w:rsid w:val="551A1166"/>
    <w:rsid w:val="55250095"/>
    <w:rsid w:val="55317151"/>
    <w:rsid w:val="5533C58F"/>
    <w:rsid w:val="553C4F6F"/>
    <w:rsid w:val="553E6290"/>
    <w:rsid w:val="554B5D97"/>
    <w:rsid w:val="5550BFBD"/>
    <w:rsid w:val="5558890B"/>
    <w:rsid w:val="55631968"/>
    <w:rsid w:val="556A5177"/>
    <w:rsid w:val="5575EBE6"/>
    <w:rsid w:val="557F224A"/>
    <w:rsid w:val="5587B6F2"/>
    <w:rsid w:val="55886C9F"/>
    <w:rsid w:val="558E60C6"/>
    <w:rsid w:val="55984145"/>
    <w:rsid w:val="55A3A41F"/>
    <w:rsid w:val="55AA3A9B"/>
    <w:rsid w:val="55AEC443"/>
    <w:rsid w:val="55B1B846"/>
    <w:rsid w:val="55BE3511"/>
    <w:rsid w:val="55BFF41F"/>
    <w:rsid w:val="55C36DE3"/>
    <w:rsid w:val="55C8EA46"/>
    <w:rsid w:val="55D17BEB"/>
    <w:rsid w:val="55D428C3"/>
    <w:rsid w:val="55D4B96E"/>
    <w:rsid w:val="55D64B79"/>
    <w:rsid w:val="55DCD82E"/>
    <w:rsid w:val="55EB6767"/>
    <w:rsid w:val="55EB6B72"/>
    <w:rsid w:val="55F39E69"/>
    <w:rsid w:val="55F65E6D"/>
    <w:rsid w:val="55F73A60"/>
    <w:rsid w:val="55F80244"/>
    <w:rsid w:val="560FDD58"/>
    <w:rsid w:val="561034AB"/>
    <w:rsid w:val="56160C9C"/>
    <w:rsid w:val="561B5F57"/>
    <w:rsid w:val="56297640"/>
    <w:rsid w:val="5636642A"/>
    <w:rsid w:val="56409345"/>
    <w:rsid w:val="56437F96"/>
    <w:rsid w:val="56559541"/>
    <w:rsid w:val="5662A6CA"/>
    <w:rsid w:val="5663BB19"/>
    <w:rsid w:val="566DD192"/>
    <w:rsid w:val="5678D793"/>
    <w:rsid w:val="5680A592"/>
    <w:rsid w:val="5688BF5E"/>
    <w:rsid w:val="568CC6A7"/>
    <w:rsid w:val="568CC748"/>
    <w:rsid w:val="56949D21"/>
    <w:rsid w:val="5694BC7A"/>
    <w:rsid w:val="569FDCD6"/>
    <w:rsid w:val="56A2B366"/>
    <w:rsid w:val="56AE2D0F"/>
    <w:rsid w:val="56B04BBA"/>
    <w:rsid w:val="56B2D9CD"/>
    <w:rsid w:val="56B52CD5"/>
    <w:rsid w:val="56BB116F"/>
    <w:rsid w:val="56BC1FDE"/>
    <w:rsid w:val="56C63D05"/>
    <w:rsid w:val="56C99A53"/>
    <w:rsid w:val="56CCE41E"/>
    <w:rsid w:val="56DD8C32"/>
    <w:rsid w:val="56E36910"/>
    <w:rsid w:val="56EBA16A"/>
    <w:rsid w:val="56ED7ECC"/>
    <w:rsid w:val="56EFE04F"/>
    <w:rsid w:val="56F19405"/>
    <w:rsid w:val="56F33586"/>
    <w:rsid w:val="56FBFB15"/>
    <w:rsid w:val="57014B51"/>
    <w:rsid w:val="571304C2"/>
    <w:rsid w:val="5716039E"/>
    <w:rsid w:val="571869CE"/>
    <w:rsid w:val="5721E904"/>
    <w:rsid w:val="5723F4C7"/>
    <w:rsid w:val="572684EC"/>
    <w:rsid w:val="572A6008"/>
    <w:rsid w:val="5734C346"/>
    <w:rsid w:val="57384A3E"/>
    <w:rsid w:val="573E6282"/>
    <w:rsid w:val="5740606E"/>
    <w:rsid w:val="5746A540"/>
    <w:rsid w:val="5748520F"/>
    <w:rsid w:val="5752D20D"/>
    <w:rsid w:val="575347DF"/>
    <w:rsid w:val="57534827"/>
    <w:rsid w:val="575A101E"/>
    <w:rsid w:val="5761EC7F"/>
    <w:rsid w:val="5764D2B3"/>
    <w:rsid w:val="5764E9F0"/>
    <w:rsid w:val="576B45C1"/>
    <w:rsid w:val="576D965D"/>
    <w:rsid w:val="5770888B"/>
    <w:rsid w:val="5772E3F0"/>
    <w:rsid w:val="5777B2E1"/>
    <w:rsid w:val="578011FE"/>
    <w:rsid w:val="578014DE"/>
    <w:rsid w:val="57877A8F"/>
    <w:rsid w:val="578BEAA9"/>
    <w:rsid w:val="578C0D4F"/>
    <w:rsid w:val="579C5725"/>
    <w:rsid w:val="579D3C2B"/>
    <w:rsid w:val="579DE05E"/>
    <w:rsid w:val="57A3BCC1"/>
    <w:rsid w:val="57A4AA98"/>
    <w:rsid w:val="57AB3565"/>
    <w:rsid w:val="57ABB05C"/>
    <w:rsid w:val="57ABD481"/>
    <w:rsid w:val="57BC527B"/>
    <w:rsid w:val="57C59927"/>
    <w:rsid w:val="57C80292"/>
    <w:rsid w:val="57D2AFE6"/>
    <w:rsid w:val="57D7AB51"/>
    <w:rsid w:val="57D9C3C4"/>
    <w:rsid w:val="57DC30C3"/>
    <w:rsid w:val="57DC9953"/>
    <w:rsid w:val="57E33337"/>
    <w:rsid w:val="57F1808D"/>
    <w:rsid w:val="57F3829D"/>
    <w:rsid w:val="57F63A45"/>
    <w:rsid w:val="57F86CA2"/>
    <w:rsid w:val="57FA5766"/>
    <w:rsid w:val="58041370"/>
    <w:rsid w:val="580B1F34"/>
    <w:rsid w:val="5815519D"/>
    <w:rsid w:val="5818B556"/>
    <w:rsid w:val="581EEFD9"/>
    <w:rsid w:val="58249048"/>
    <w:rsid w:val="582C6FB2"/>
    <w:rsid w:val="5836F7E4"/>
    <w:rsid w:val="583A61CE"/>
    <w:rsid w:val="583A922E"/>
    <w:rsid w:val="583B91EA"/>
    <w:rsid w:val="583DE04F"/>
    <w:rsid w:val="583F0CC3"/>
    <w:rsid w:val="5848FE4F"/>
    <w:rsid w:val="584AA557"/>
    <w:rsid w:val="584DB431"/>
    <w:rsid w:val="58558565"/>
    <w:rsid w:val="58626863"/>
    <w:rsid w:val="5865C505"/>
    <w:rsid w:val="58736E99"/>
    <w:rsid w:val="5874F9F3"/>
    <w:rsid w:val="587A457E"/>
    <w:rsid w:val="5881395E"/>
    <w:rsid w:val="5883FB71"/>
    <w:rsid w:val="58865BD5"/>
    <w:rsid w:val="588C018B"/>
    <w:rsid w:val="588DC198"/>
    <w:rsid w:val="589C6CDF"/>
    <w:rsid w:val="58A37843"/>
    <w:rsid w:val="58ABBCA4"/>
    <w:rsid w:val="58B1AF10"/>
    <w:rsid w:val="58B7BF9C"/>
    <w:rsid w:val="58B85040"/>
    <w:rsid w:val="58C0E5BF"/>
    <w:rsid w:val="58C6F76F"/>
    <w:rsid w:val="58CE62B6"/>
    <w:rsid w:val="58D546DF"/>
    <w:rsid w:val="58D5C764"/>
    <w:rsid w:val="58D92A50"/>
    <w:rsid w:val="58D9BC8A"/>
    <w:rsid w:val="58DE3738"/>
    <w:rsid w:val="590546CA"/>
    <w:rsid w:val="59164C1C"/>
    <w:rsid w:val="591C23DD"/>
    <w:rsid w:val="591CD95A"/>
    <w:rsid w:val="591FAAF8"/>
    <w:rsid w:val="5934189C"/>
    <w:rsid w:val="5936B6C1"/>
    <w:rsid w:val="5939A8EF"/>
    <w:rsid w:val="5942CC4F"/>
    <w:rsid w:val="59457C73"/>
    <w:rsid w:val="5949002B"/>
    <w:rsid w:val="594BFD76"/>
    <w:rsid w:val="59523D69"/>
    <w:rsid w:val="595878DE"/>
    <w:rsid w:val="595927FC"/>
    <w:rsid w:val="595B2F0B"/>
    <w:rsid w:val="596BB625"/>
    <w:rsid w:val="5975F4A1"/>
    <w:rsid w:val="597D5AA0"/>
    <w:rsid w:val="598259B2"/>
    <w:rsid w:val="599187E7"/>
    <w:rsid w:val="59936409"/>
    <w:rsid w:val="599495E8"/>
    <w:rsid w:val="5996FF97"/>
    <w:rsid w:val="59979E70"/>
    <w:rsid w:val="5998E2FA"/>
    <w:rsid w:val="599F7623"/>
    <w:rsid w:val="59A0B658"/>
    <w:rsid w:val="59A1EC82"/>
    <w:rsid w:val="59AC7850"/>
    <w:rsid w:val="59B029C3"/>
    <w:rsid w:val="59B1905F"/>
    <w:rsid w:val="59B8387C"/>
    <w:rsid w:val="59C1BD19"/>
    <w:rsid w:val="59C4581F"/>
    <w:rsid w:val="59D18B86"/>
    <w:rsid w:val="59DB6C10"/>
    <w:rsid w:val="59E02EA2"/>
    <w:rsid w:val="59E44643"/>
    <w:rsid w:val="59E45E7D"/>
    <w:rsid w:val="59E4D27C"/>
    <w:rsid w:val="59EBFF37"/>
    <w:rsid w:val="59F7B57F"/>
    <w:rsid w:val="59FB493E"/>
    <w:rsid w:val="59FDE209"/>
    <w:rsid w:val="59FE8738"/>
    <w:rsid w:val="5A11EDB0"/>
    <w:rsid w:val="5A1A2AB3"/>
    <w:rsid w:val="5A1AE4E7"/>
    <w:rsid w:val="5A1BB69C"/>
    <w:rsid w:val="5A213E35"/>
    <w:rsid w:val="5A23D1A6"/>
    <w:rsid w:val="5A2B041D"/>
    <w:rsid w:val="5A2EE5FF"/>
    <w:rsid w:val="5A3CD87C"/>
    <w:rsid w:val="5A43BFA7"/>
    <w:rsid w:val="5A44671B"/>
    <w:rsid w:val="5A4F5F19"/>
    <w:rsid w:val="5A517481"/>
    <w:rsid w:val="5A5B3EE7"/>
    <w:rsid w:val="5A5EEFD8"/>
    <w:rsid w:val="5A5F9A58"/>
    <w:rsid w:val="5A673240"/>
    <w:rsid w:val="5A6888EC"/>
    <w:rsid w:val="5A6AD790"/>
    <w:rsid w:val="5A6B6365"/>
    <w:rsid w:val="5A6B6679"/>
    <w:rsid w:val="5A6D0C68"/>
    <w:rsid w:val="5A6D5CBF"/>
    <w:rsid w:val="5A745AF0"/>
    <w:rsid w:val="5A783EFC"/>
    <w:rsid w:val="5A7A04E6"/>
    <w:rsid w:val="5A7ED838"/>
    <w:rsid w:val="5A8022AE"/>
    <w:rsid w:val="5A82BFFB"/>
    <w:rsid w:val="5A84D4E7"/>
    <w:rsid w:val="5A8ACD4C"/>
    <w:rsid w:val="5A93D401"/>
    <w:rsid w:val="5AA37670"/>
    <w:rsid w:val="5AAD8832"/>
    <w:rsid w:val="5AB8CDBF"/>
    <w:rsid w:val="5ABF6899"/>
    <w:rsid w:val="5ACB65C5"/>
    <w:rsid w:val="5ACBC866"/>
    <w:rsid w:val="5ACDDE60"/>
    <w:rsid w:val="5AD2AA73"/>
    <w:rsid w:val="5AD3DF24"/>
    <w:rsid w:val="5AD3F535"/>
    <w:rsid w:val="5ADF3CFD"/>
    <w:rsid w:val="5ADFF129"/>
    <w:rsid w:val="5AE68870"/>
    <w:rsid w:val="5AE8BDA5"/>
    <w:rsid w:val="5AF20066"/>
    <w:rsid w:val="5AF59BAA"/>
    <w:rsid w:val="5B09D4BF"/>
    <w:rsid w:val="5B0B0167"/>
    <w:rsid w:val="5B128AC9"/>
    <w:rsid w:val="5B13AC27"/>
    <w:rsid w:val="5B19CFC6"/>
    <w:rsid w:val="5B1A1D8E"/>
    <w:rsid w:val="5B1EC6AC"/>
    <w:rsid w:val="5B26E6A1"/>
    <w:rsid w:val="5B2A0466"/>
    <w:rsid w:val="5B2A5538"/>
    <w:rsid w:val="5B37BD52"/>
    <w:rsid w:val="5B4A8B08"/>
    <w:rsid w:val="5B4DB2BB"/>
    <w:rsid w:val="5B4FA521"/>
    <w:rsid w:val="5B51809E"/>
    <w:rsid w:val="5B529554"/>
    <w:rsid w:val="5B57FEA6"/>
    <w:rsid w:val="5B58D084"/>
    <w:rsid w:val="5B5A0647"/>
    <w:rsid w:val="5B5C3134"/>
    <w:rsid w:val="5B6C91EB"/>
    <w:rsid w:val="5B77688B"/>
    <w:rsid w:val="5B7E9564"/>
    <w:rsid w:val="5B94F574"/>
    <w:rsid w:val="5B969FE2"/>
    <w:rsid w:val="5B98710C"/>
    <w:rsid w:val="5B9CE3BF"/>
    <w:rsid w:val="5BA0CC89"/>
    <w:rsid w:val="5BA937FD"/>
    <w:rsid w:val="5BAD9A49"/>
    <w:rsid w:val="5BB42B7B"/>
    <w:rsid w:val="5BB93D24"/>
    <w:rsid w:val="5BC13E9D"/>
    <w:rsid w:val="5BC48E7D"/>
    <w:rsid w:val="5BC73D9E"/>
    <w:rsid w:val="5BC8D66C"/>
    <w:rsid w:val="5BCEA90E"/>
    <w:rsid w:val="5BD2CA33"/>
    <w:rsid w:val="5BE1C234"/>
    <w:rsid w:val="5BE76FCA"/>
    <w:rsid w:val="5BE963DF"/>
    <w:rsid w:val="5BEAFD28"/>
    <w:rsid w:val="5BEE1BA4"/>
    <w:rsid w:val="5BF13978"/>
    <w:rsid w:val="5BF25B24"/>
    <w:rsid w:val="5BF8BC87"/>
    <w:rsid w:val="5BFECF44"/>
    <w:rsid w:val="5C0347C4"/>
    <w:rsid w:val="5C066B2E"/>
    <w:rsid w:val="5C07FA98"/>
    <w:rsid w:val="5C091D23"/>
    <w:rsid w:val="5C0CFD67"/>
    <w:rsid w:val="5C1D772E"/>
    <w:rsid w:val="5C1E9EBE"/>
    <w:rsid w:val="5C26B018"/>
    <w:rsid w:val="5C2F8819"/>
    <w:rsid w:val="5C311006"/>
    <w:rsid w:val="5C3741C0"/>
    <w:rsid w:val="5C3C1AC8"/>
    <w:rsid w:val="5C3C567E"/>
    <w:rsid w:val="5C3CB0E3"/>
    <w:rsid w:val="5C486F76"/>
    <w:rsid w:val="5C4A0576"/>
    <w:rsid w:val="5C4CB3E1"/>
    <w:rsid w:val="5C4D8DF7"/>
    <w:rsid w:val="5C5866AA"/>
    <w:rsid w:val="5C617DAE"/>
    <w:rsid w:val="5C61BF67"/>
    <w:rsid w:val="5C650890"/>
    <w:rsid w:val="5C748730"/>
    <w:rsid w:val="5C750DEC"/>
    <w:rsid w:val="5C779939"/>
    <w:rsid w:val="5C79DD8D"/>
    <w:rsid w:val="5C7BD88E"/>
    <w:rsid w:val="5C7ECFBD"/>
    <w:rsid w:val="5C819558"/>
    <w:rsid w:val="5C8876FB"/>
    <w:rsid w:val="5C8F8962"/>
    <w:rsid w:val="5C95A04B"/>
    <w:rsid w:val="5C993897"/>
    <w:rsid w:val="5CB41CC8"/>
    <w:rsid w:val="5CB53881"/>
    <w:rsid w:val="5CD54787"/>
    <w:rsid w:val="5CD6EC84"/>
    <w:rsid w:val="5CD6F8BF"/>
    <w:rsid w:val="5CD7F95C"/>
    <w:rsid w:val="5CD8500D"/>
    <w:rsid w:val="5CE9FB9C"/>
    <w:rsid w:val="5CF1DD71"/>
    <w:rsid w:val="5CF30142"/>
    <w:rsid w:val="5CFA437B"/>
    <w:rsid w:val="5D01FA2C"/>
    <w:rsid w:val="5D036FCB"/>
    <w:rsid w:val="5D0C991F"/>
    <w:rsid w:val="5D0DD2EC"/>
    <w:rsid w:val="5D0F0A7A"/>
    <w:rsid w:val="5D22C5C1"/>
    <w:rsid w:val="5D2C6AF7"/>
    <w:rsid w:val="5D2CE8DF"/>
    <w:rsid w:val="5D2EF31D"/>
    <w:rsid w:val="5D2FD1F9"/>
    <w:rsid w:val="5D34D84C"/>
    <w:rsid w:val="5D354D13"/>
    <w:rsid w:val="5D3B21D1"/>
    <w:rsid w:val="5D3E32A5"/>
    <w:rsid w:val="5D42CCD2"/>
    <w:rsid w:val="5D50CA1B"/>
    <w:rsid w:val="5D516063"/>
    <w:rsid w:val="5D5A1D12"/>
    <w:rsid w:val="5D66A1DC"/>
    <w:rsid w:val="5D731FCD"/>
    <w:rsid w:val="5D73CE51"/>
    <w:rsid w:val="5D7FC6C8"/>
    <w:rsid w:val="5D80570B"/>
    <w:rsid w:val="5D80D98F"/>
    <w:rsid w:val="5D8B06A3"/>
    <w:rsid w:val="5D8F91C1"/>
    <w:rsid w:val="5D965CE9"/>
    <w:rsid w:val="5D9A8214"/>
    <w:rsid w:val="5D9E2E52"/>
    <w:rsid w:val="5DA12039"/>
    <w:rsid w:val="5DA18A88"/>
    <w:rsid w:val="5DA3661A"/>
    <w:rsid w:val="5DA911C0"/>
    <w:rsid w:val="5DAA1A60"/>
    <w:rsid w:val="5DAC342D"/>
    <w:rsid w:val="5DB011BD"/>
    <w:rsid w:val="5DB40CE3"/>
    <w:rsid w:val="5DB5E170"/>
    <w:rsid w:val="5DB9DA42"/>
    <w:rsid w:val="5DBA1FD0"/>
    <w:rsid w:val="5DCF85EC"/>
    <w:rsid w:val="5DD715FB"/>
    <w:rsid w:val="5DE20697"/>
    <w:rsid w:val="5DE59C83"/>
    <w:rsid w:val="5DEB61A4"/>
    <w:rsid w:val="5DEC3DB6"/>
    <w:rsid w:val="5E0721DB"/>
    <w:rsid w:val="5E0F386D"/>
    <w:rsid w:val="5E19EA4D"/>
    <w:rsid w:val="5E22F9F8"/>
    <w:rsid w:val="5E27423E"/>
    <w:rsid w:val="5E278726"/>
    <w:rsid w:val="5E37E984"/>
    <w:rsid w:val="5E3AA003"/>
    <w:rsid w:val="5E3B9A41"/>
    <w:rsid w:val="5E3E02DB"/>
    <w:rsid w:val="5E4A83D0"/>
    <w:rsid w:val="5E536DB8"/>
    <w:rsid w:val="5E570686"/>
    <w:rsid w:val="5E5F608E"/>
    <w:rsid w:val="5E69558A"/>
    <w:rsid w:val="5E6C1F90"/>
    <w:rsid w:val="5E6DEAC5"/>
    <w:rsid w:val="5E738E4D"/>
    <w:rsid w:val="5E7529D5"/>
    <w:rsid w:val="5E78496D"/>
    <w:rsid w:val="5E7AB4BB"/>
    <w:rsid w:val="5E7C7D46"/>
    <w:rsid w:val="5E8283F0"/>
    <w:rsid w:val="5E87D177"/>
    <w:rsid w:val="5E887FFC"/>
    <w:rsid w:val="5E8C05F7"/>
    <w:rsid w:val="5E8F2B41"/>
    <w:rsid w:val="5E8F3B55"/>
    <w:rsid w:val="5E9E0E2A"/>
    <w:rsid w:val="5E9EE0E7"/>
    <w:rsid w:val="5EA13919"/>
    <w:rsid w:val="5EA1F410"/>
    <w:rsid w:val="5EA4720C"/>
    <w:rsid w:val="5EA7E48D"/>
    <w:rsid w:val="5EAC903A"/>
    <w:rsid w:val="5EB23CFB"/>
    <w:rsid w:val="5EB78A3C"/>
    <w:rsid w:val="5EC07AE6"/>
    <w:rsid w:val="5EC30673"/>
    <w:rsid w:val="5EC897A2"/>
    <w:rsid w:val="5ECD946E"/>
    <w:rsid w:val="5ECE3027"/>
    <w:rsid w:val="5ECF119E"/>
    <w:rsid w:val="5ED91D58"/>
    <w:rsid w:val="5EDDD629"/>
    <w:rsid w:val="5EE0EF25"/>
    <w:rsid w:val="5EE560E7"/>
    <w:rsid w:val="5EE99271"/>
    <w:rsid w:val="5EF15219"/>
    <w:rsid w:val="5EF264E0"/>
    <w:rsid w:val="5EF2D641"/>
    <w:rsid w:val="5EFC3796"/>
    <w:rsid w:val="5EFE3E3C"/>
    <w:rsid w:val="5F094521"/>
    <w:rsid w:val="5F0A2A82"/>
    <w:rsid w:val="5F12A48D"/>
    <w:rsid w:val="5F17F4EA"/>
    <w:rsid w:val="5F19672B"/>
    <w:rsid w:val="5F1A26A2"/>
    <w:rsid w:val="5F251A98"/>
    <w:rsid w:val="5F277BAD"/>
    <w:rsid w:val="5F285DD3"/>
    <w:rsid w:val="5F437C70"/>
    <w:rsid w:val="5F4E18C6"/>
    <w:rsid w:val="5F57E25D"/>
    <w:rsid w:val="5F58667A"/>
    <w:rsid w:val="5F5B8DF7"/>
    <w:rsid w:val="5F5CF80B"/>
    <w:rsid w:val="5F5FD21E"/>
    <w:rsid w:val="5F65FB75"/>
    <w:rsid w:val="5F6DF862"/>
    <w:rsid w:val="5F762478"/>
    <w:rsid w:val="5F7949B0"/>
    <w:rsid w:val="5F7B734F"/>
    <w:rsid w:val="5F7C1E5A"/>
    <w:rsid w:val="5F7F55F8"/>
    <w:rsid w:val="5F87A14F"/>
    <w:rsid w:val="5F8F2386"/>
    <w:rsid w:val="5F972307"/>
    <w:rsid w:val="5FA00247"/>
    <w:rsid w:val="5FA15022"/>
    <w:rsid w:val="5FA19E38"/>
    <w:rsid w:val="5FB0961D"/>
    <w:rsid w:val="5FB8C282"/>
    <w:rsid w:val="5FC41CB9"/>
    <w:rsid w:val="5FCD7BC5"/>
    <w:rsid w:val="5FD04B4C"/>
    <w:rsid w:val="5FD6F6D3"/>
    <w:rsid w:val="5FDC6063"/>
    <w:rsid w:val="5FE3DFA6"/>
    <w:rsid w:val="5FE4B478"/>
    <w:rsid w:val="5FEF3220"/>
    <w:rsid w:val="5FF5A6F4"/>
    <w:rsid w:val="5FFB2FB4"/>
    <w:rsid w:val="600338D4"/>
    <w:rsid w:val="600643FB"/>
    <w:rsid w:val="6012D9A3"/>
    <w:rsid w:val="601B746D"/>
    <w:rsid w:val="601C16D1"/>
    <w:rsid w:val="602298ED"/>
    <w:rsid w:val="6043ECDF"/>
    <w:rsid w:val="6049C27B"/>
    <w:rsid w:val="60555BE0"/>
    <w:rsid w:val="606287F7"/>
    <w:rsid w:val="6062B0D5"/>
    <w:rsid w:val="60637904"/>
    <w:rsid w:val="60678A23"/>
    <w:rsid w:val="60697CDD"/>
    <w:rsid w:val="606D66F9"/>
    <w:rsid w:val="606DDB65"/>
    <w:rsid w:val="606EDC79"/>
    <w:rsid w:val="6072083A"/>
    <w:rsid w:val="60724D63"/>
    <w:rsid w:val="6077CE9F"/>
    <w:rsid w:val="608209DA"/>
    <w:rsid w:val="6083C03F"/>
    <w:rsid w:val="60858726"/>
    <w:rsid w:val="6088F9CA"/>
    <w:rsid w:val="60911185"/>
    <w:rsid w:val="609182A9"/>
    <w:rsid w:val="6093060B"/>
    <w:rsid w:val="6095FDA3"/>
    <w:rsid w:val="60984581"/>
    <w:rsid w:val="6098CEBC"/>
    <w:rsid w:val="609D332A"/>
    <w:rsid w:val="60A17426"/>
    <w:rsid w:val="60A344C3"/>
    <w:rsid w:val="60A502F3"/>
    <w:rsid w:val="60A58222"/>
    <w:rsid w:val="60A73965"/>
    <w:rsid w:val="60A86B8F"/>
    <w:rsid w:val="60AC0A5B"/>
    <w:rsid w:val="60ACA831"/>
    <w:rsid w:val="60AF5ABC"/>
    <w:rsid w:val="60B9876F"/>
    <w:rsid w:val="60C15491"/>
    <w:rsid w:val="60CC2BDB"/>
    <w:rsid w:val="60D7460A"/>
    <w:rsid w:val="60D74D64"/>
    <w:rsid w:val="60DEEC41"/>
    <w:rsid w:val="60E07265"/>
    <w:rsid w:val="60E1FE57"/>
    <w:rsid w:val="60E65E86"/>
    <w:rsid w:val="60ED6E73"/>
    <w:rsid w:val="60F2EF31"/>
    <w:rsid w:val="60F91B7C"/>
    <w:rsid w:val="60F9A3E9"/>
    <w:rsid w:val="60F9CA39"/>
    <w:rsid w:val="60FE1475"/>
    <w:rsid w:val="60FF7D31"/>
    <w:rsid w:val="6105645C"/>
    <w:rsid w:val="61080490"/>
    <w:rsid w:val="6108136B"/>
    <w:rsid w:val="61091858"/>
    <w:rsid w:val="6109494B"/>
    <w:rsid w:val="6109691F"/>
    <w:rsid w:val="6114E06B"/>
    <w:rsid w:val="611CD6F8"/>
    <w:rsid w:val="614010BB"/>
    <w:rsid w:val="61405ABA"/>
    <w:rsid w:val="614207C7"/>
    <w:rsid w:val="6153BCEE"/>
    <w:rsid w:val="61541FF9"/>
    <w:rsid w:val="616664A3"/>
    <w:rsid w:val="6174381B"/>
    <w:rsid w:val="6175D1A0"/>
    <w:rsid w:val="6176D2EB"/>
    <w:rsid w:val="61853758"/>
    <w:rsid w:val="6191C2FB"/>
    <w:rsid w:val="619585C3"/>
    <w:rsid w:val="619DA933"/>
    <w:rsid w:val="61A4C07C"/>
    <w:rsid w:val="61A4D04A"/>
    <w:rsid w:val="61A5BE8A"/>
    <w:rsid w:val="61A633A7"/>
    <w:rsid w:val="61AF0340"/>
    <w:rsid w:val="61B0E893"/>
    <w:rsid w:val="61B2321E"/>
    <w:rsid w:val="61BAFF19"/>
    <w:rsid w:val="61BB2BD4"/>
    <w:rsid w:val="61BEA522"/>
    <w:rsid w:val="61C01409"/>
    <w:rsid w:val="61C71A9F"/>
    <w:rsid w:val="61C83735"/>
    <w:rsid w:val="61CE2036"/>
    <w:rsid w:val="61D085AB"/>
    <w:rsid w:val="61D37EBB"/>
    <w:rsid w:val="61EFB4C6"/>
    <w:rsid w:val="61F789FA"/>
    <w:rsid w:val="61F8B306"/>
    <w:rsid w:val="61F98A81"/>
    <w:rsid w:val="61FE2C18"/>
    <w:rsid w:val="6203BAEF"/>
    <w:rsid w:val="62055CA2"/>
    <w:rsid w:val="620A1021"/>
    <w:rsid w:val="620BA2E6"/>
    <w:rsid w:val="620BD7B5"/>
    <w:rsid w:val="620FBC2A"/>
    <w:rsid w:val="62102532"/>
    <w:rsid w:val="62149B40"/>
    <w:rsid w:val="6216B821"/>
    <w:rsid w:val="6217AA01"/>
    <w:rsid w:val="621A4152"/>
    <w:rsid w:val="62204B30"/>
    <w:rsid w:val="62217351"/>
    <w:rsid w:val="622242FD"/>
    <w:rsid w:val="6223ECFD"/>
    <w:rsid w:val="62267561"/>
    <w:rsid w:val="622CD0E1"/>
    <w:rsid w:val="622F3FF6"/>
    <w:rsid w:val="623281F5"/>
    <w:rsid w:val="6235ACCF"/>
    <w:rsid w:val="623AE052"/>
    <w:rsid w:val="623E17EE"/>
    <w:rsid w:val="6242B736"/>
    <w:rsid w:val="62487D5C"/>
    <w:rsid w:val="62491C35"/>
    <w:rsid w:val="625103D1"/>
    <w:rsid w:val="62594663"/>
    <w:rsid w:val="625F2E90"/>
    <w:rsid w:val="62623116"/>
    <w:rsid w:val="62637EDC"/>
    <w:rsid w:val="62702D7C"/>
    <w:rsid w:val="62709AB4"/>
    <w:rsid w:val="627144E8"/>
    <w:rsid w:val="6271B1EF"/>
    <w:rsid w:val="6275E907"/>
    <w:rsid w:val="62761B68"/>
    <w:rsid w:val="628A5547"/>
    <w:rsid w:val="628AC682"/>
    <w:rsid w:val="6296AF69"/>
    <w:rsid w:val="629E34A5"/>
    <w:rsid w:val="62A1E576"/>
    <w:rsid w:val="62A605A5"/>
    <w:rsid w:val="62A7688A"/>
    <w:rsid w:val="62AE4143"/>
    <w:rsid w:val="62B39457"/>
    <w:rsid w:val="62BDF62E"/>
    <w:rsid w:val="62C132DC"/>
    <w:rsid w:val="62C9FAEC"/>
    <w:rsid w:val="62CD51D5"/>
    <w:rsid w:val="62CF30D5"/>
    <w:rsid w:val="62D75B0A"/>
    <w:rsid w:val="62DBD14B"/>
    <w:rsid w:val="62E2F66E"/>
    <w:rsid w:val="62EA99E0"/>
    <w:rsid w:val="62EC0267"/>
    <w:rsid w:val="62EE3252"/>
    <w:rsid w:val="62EEDCFD"/>
    <w:rsid w:val="62F128CB"/>
    <w:rsid w:val="62FEDF38"/>
    <w:rsid w:val="6300EAB8"/>
    <w:rsid w:val="6304AC09"/>
    <w:rsid w:val="630D0AE4"/>
    <w:rsid w:val="6311EC6F"/>
    <w:rsid w:val="631416EA"/>
    <w:rsid w:val="63199555"/>
    <w:rsid w:val="631D2577"/>
    <w:rsid w:val="631E8344"/>
    <w:rsid w:val="631F0989"/>
    <w:rsid w:val="6322E84C"/>
    <w:rsid w:val="632E4963"/>
    <w:rsid w:val="632F5F19"/>
    <w:rsid w:val="63343240"/>
    <w:rsid w:val="6335BC63"/>
    <w:rsid w:val="63369E97"/>
    <w:rsid w:val="633CD863"/>
    <w:rsid w:val="63403567"/>
    <w:rsid w:val="63406940"/>
    <w:rsid w:val="63416151"/>
    <w:rsid w:val="6346F5AD"/>
    <w:rsid w:val="63481EF2"/>
    <w:rsid w:val="634A298D"/>
    <w:rsid w:val="634F84D9"/>
    <w:rsid w:val="6351EB44"/>
    <w:rsid w:val="635380DC"/>
    <w:rsid w:val="63550B96"/>
    <w:rsid w:val="635D9F46"/>
    <w:rsid w:val="635DCF6A"/>
    <w:rsid w:val="6366D1ED"/>
    <w:rsid w:val="63736BF3"/>
    <w:rsid w:val="6377F95E"/>
    <w:rsid w:val="637815A0"/>
    <w:rsid w:val="637B7495"/>
    <w:rsid w:val="637BC63D"/>
    <w:rsid w:val="63884257"/>
    <w:rsid w:val="638A8700"/>
    <w:rsid w:val="638D9B96"/>
    <w:rsid w:val="63935FB2"/>
    <w:rsid w:val="63978B72"/>
    <w:rsid w:val="63A140D2"/>
    <w:rsid w:val="63A23C82"/>
    <w:rsid w:val="63AB3DF2"/>
    <w:rsid w:val="63B24AF3"/>
    <w:rsid w:val="63B2F4C4"/>
    <w:rsid w:val="63B40988"/>
    <w:rsid w:val="63B69AF0"/>
    <w:rsid w:val="63BA0318"/>
    <w:rsid w:val="63BCF8D2"/>
    <w:rsid w:val="63BD3AD2"/>
    <w:rsid w:val="63C7A2FB"/>
    <w:rsid w:val="63D6558D"/>
    <w:rsid w:val="63DA2B9A"/>
    <w:rsid w:val="63E21369"/>
    <w:rsid w:val="63E496FC"/>
    <w:rsid w:val="63EA4382"/>
    <w:rsid w:val="63EE1D31"/>
    <w:rsid w:val="63F3B93F"/>
    <w:rsid w:val="640210AA"/>
    <w:rsid w:val="6404EBE2"/>
    <w:rsid w:val="6407762E"/>
    <w:rsid w:val="6407A22C"/>
    <w:rsid w:val="640C89E7"/>
    <w:rsid w:val="6412334D"/>
    <w:rsid w:val="641FF373"/>
    <w:rsid w:val="643E78B6"/>
    <w:rsid w:val="6448C1F4"/>
    <w:rsid w:val="644B0F3B"/>
    <w:rsid w:val="644E59CB"/>
    <w:rsid w:val="6463ADB1"/>
    <w:rsid w:val="646697C6"/>
    <w:rsid w:val="646A8B63"/>
    <w:rsid w:val="646CC870"/>
    <w:rsid w:val="64724566"/>
    <w:rsid w:val="64768301"/>
    <w:rsid w:val="647A184F"/>
    <w:rsid w:val="647B711A"/>
    <w:rsid w:val="6484B7C2"/>
    <w:rsid w:val="648EBD34"/>
    <w:rsid w:val="649B5D76"/>
    <w:rsid w:val="64AC301B"/>
    <w:rsid w:val="64AD42AD"/>
    <w:rsid w:val="64BE0791"/>
    <w:rsid w:val="64D3C822"/>
    <w:rsid w:val="64E086B4"/>
    <w:rsid w:val="64E2E2E3"/>
    <w:rsid w:val="65055DBA"/>
    <w:rsid w:val="6508535C"/>
    <w:rsid w:val="650C4BDC"/>
    <w:rsid w:val="65100DA6"/>
    <w:rsid w:val="651232D8"/>
    <w:rsid w:val="6513688B"/>
    <w:rsid w:val="65170F79"/>
    <w:rsid w:val="651F46C6"/>
    <w:rsid w:val="6520996A"/>
    <w:rsid w:val="65239677"/>
    <w:rsid w:val="6524C6E2"/>
    <w:rsid w:val="6525CB86"/>
    <w:rsid w:val="65342186"/>
    <w:rsid w:val="6538C346"/>
    <w:rsid w:val="653F24D8"/>
    <w:rsid w:val="65557A2E"/>
    <w:rsid w:val="65619980"/>
    <w:rsid w:val="65634A28"/>
    <w:rsid w:val="6565A168"/>
    <w:rsid w:val="65685D6B"/>
    <w:rsid w:val="657CFB4A"/>
    <w:rsid w:val="65830D7A"/>
    <w:rsid w:val="65846AA9"/>
    <w:rsid w:val="65893DDD"/>
    <w:rsid w:val="658E36EF"/>
    <w:rsid w:val="658EB59F"/>
    <w:rsid w:val="65955F0C"/>
    <w:rsid w:val="659E7267"/>
    <w:rsid w:val="65A07F50"/>
    <w:rsid w:val="65A22A08"/>
    <w:rsid w:val="65A688FA"/>
    <w:rsid w:val="65A6AB62"/>
    <w:rsid w:val="65A795CE"/>
    <w:rsid w:val="65B3DAF2"/>
    <w:rsid w:val="65B4F0F8"/>
    <w:rsid w:val="65B96884"/>
    <w:rsid w:val="65BBE5FA"/>
    <w:rsid w:val="65BD4410"/>
    <w:rsid w:val="65C41EE7"/>
    <w:rsid w:val="65C70342"/>
    <w:rsid w:val="65C84A4A"/>
    <w:rsid w:val="65CBF9CC"/>
    <w:rsid w:val="65D39DDB"/>
    <w:rsid w:val="65D7769A"/>
    <w:rsid w:val="65DF01F7"/>
    <w:rsid w:val="65E71A5E"/>
    <w:rsid w:val="65ED5537"/>
    <w:rsid w:val="65F06A3E"/>
    <w:rsid w:val="65F1A63C"/>
    <w:rsid w:val="65F329E4"/>
    <w:rsid w:val="65FE268B"/>
    <w:rsid w:val="66068F5D"/>
    <w:rsid w:val="6608CEA1"/>
    <w:rsid w:val="660C4FCC"/>
    <w:rsid w:val="66143A69"/>
    <w:rsid w:val="6617C5A5"/>
    <w:rsid w:val="661ABE66"/>
    <w:rsid w:val="661B7DBB"/>
    <w:rsid w:val="66203328"/>
    <w:rsid w:val="66308090"/>
    <w:rsid w:val="66357D2C"/>
    <w:rsid w:val="6639CD0E"/>
    <w:rsid w:val="6647599C"/>
    <w:rsid w:val="66487759"/>
    <w:rsid w:val="6650DA66"/>
    <w:rsid w:val="66553481"/>
    <w:rsid w:val="666875BF"/>
    <w:rsid w:val="666DE429"/>
    <w:rsid w:val="667779DA"/>
    <w:rsid w:val="6678115E"/>
    <w:rsid w:val="66825DF3"/>
    <w:rsid w:val="6686E128"/>
    <w:rsid w:val="6693B64F"/>
    <w:rsid w:val="66961488"/>
    <w:rsid w:val="66987FF3"/>
    <w:rsid w:val="66A4C228"/>
    <w:rsid w:val="66A88E36"/>
    <w:rsid w:val="66A8C384"/>
    <w:rsid w:val="66C181A2"/>
    <w:rsid w:val="66CC5540"/>
    <w:rsid w:val="66D0221C"/>
    <w:rsid w:val="66DCA973"/>
    <w:rsid w:val="66E9C815"/>
    <w:rsid w:val="66EE51C4"/>
    <w:rsid w:val="66EEA8F5"/>
    <w:rsid w:val="66F61B41"/>
    <w:rsid w:val="66FC2C3E"/>
    <w:rsid w:val="670868FD"/>
    <w:rsid w:val="67133EBA"/>
    <w:rsid w:val="67149DE3"/>
    <w:rsid w:val="6714E952"/>
    <w:rsid w:val="671C2020"/>
    <w:rsid w:val="671C9B9A"/>
    <w:rsid w:val="672457CB"/>
    <w:rsid w:val="672459F0"/>
    <w:rsid w:val="672CBA24"/>
    <w:rsid w:val="673AB894"/>
    <w:rsid w:val="673E8B87"/>
    <w:rsid w:val="67522365"/>
    <w:rsid w:val="67548C0F"/>
    <w:rsid w:val="675AE695"/>
    <w:rsid w:val="675D8367"/>
    <w:rsid w:val="675EFF44"/>
    <w:rsid w:val="6767B743"/>
    <w:rsid w:val="676B08D0"/>
    <w:rsid w:val="676DC334"/>
    <w:rsid w:val="677C5597"/>
    <w:rsid w:val="677F6C63"/>
    <w:rsid w:val="6782632D"/>
    <w:rsid w:val="67845898"/>
    <w:rsid w:val="678B5927"/>
    <w:rsid w:val="6790FD6E"/>
    <w:rsid w:val="67917B44"/>
    <w:rsid w:val="67946A8F"/>
    <w:rsid w:val="67965D95"/>
    <w:rsid w:val="679D8AB1"/>
    <w:rsid w:val="67A674EA"/>
    <w:rsid w:val="67A92966"/>
    <w:rsid w:val="67B36E7A"/>
    <w:rsid w:val="67B5713D"/>
    <w:rsid w:val="67C38D9D"/>
    <w:rsid w:val="67C67221"/>
    <w:rsid w:val="67D4DEA3"/>
    <w:rsid w:val="67D97177"/>
    <w:rsid w:val="67DD202E"/>
    <w:rsid w:val="67DF06CC"/>
    <w:rsid w:val="67E29098"/>
    <w:rsid w:val="67E61BBD"/>
    <w:rsid w:val="67E66685"/>
    <w:rsid w:val="67E6C02A"/>
    <w:rsid w:val="67EFF9A6"/>
    <w:rsid w:val="67F16426"/>
    <w:rsid w:val="67F4FDA6"/>
    <w:rsid w:val="67F9552E"/>
    <w:rsid w:val="67FE319C"/>
    <w:rsid w:val="67FF1E50"/>
    <w:rsid w:val="68013849"/>
    <w:rsid w:val="6801A320"/>
    <w:rsid w:val="680FD528"/>
    <w:rsid w:val="681BC0D2"/>
    <w:rsid w:val="681FA316"/>
    <w:rsid w:val="682316F3"/>
    <w:rsid w:val="6826907E"/>
    <w:rsid w:val="682DE70D"/>
    <w:rsid w:val="682F21AA"/>
    <w:rsid w:val="6837BC4B"/>
    <w:rsid w:val="6837C1E7"/>
    <w:rsid w:val="68383D6E"/>
    <w:rsid w:val="68384A6B"/>
    <w:rsid w:val="683A726F"/>
    <w:rsid w:val="6850B115"/>
    <w:rsid w:val="6853F849"/>
    <w:rsid w:val="6857A1BA"/>
    <w:rsid w:val="68581B78"/>
    <w:rsid w:val="68651CD8"/>
    <w:rsid w:val="6876BE5A"/>
    <w:rsid w:val="6878041F"/>
    <w:rsid w:val="687BA58D"/>
    <w:rsid w:val="687E27DF"/>
    <w:rsid w:val="688C4F43"/>
    <w:rsid w:val="689D3B20"/>
    <w:rsid w:val="68A45C15"/>
    <w:rsid w:val="68A5EC40"/>
    <w:rsid w:val="68ABD3B9"/>
    <w:rsid w:val="68ACFEAB"/>
    <w:rsid w:val="68B72E43"/>
    <w:rsid w:val="68B9BAB3"/>
    <w:rsid w:val="68C83979"/>
    <w:rsid w:val="68C91FDE"/>
    <w:rsid w:val="68D48C78"/>
    <w:rsid w:val="68DB0ED9"/>
    <w:rsid w:val="68E16661"/>
    <w:rsid w:val="68F0A93A"/>
    <w:rsid w:val="68F31BBC"/>
    <w:rsid w:val="68F81250"/>
    <w:rsid w:val="68FAE3E2"/>
    <w:rsid w:val="68FCEA26"/>
    <w:rsid w:val="68FD7629"/>
    <w:rsid w:val="68FDC8B9"/>
    <w:rsid w:val="68FEEEA6"/>
    <w:rsid w:val="69000D87"/>
    <w:rsid w:val="690603C6"/>
    <w:rsid w:val="690D09F1"/>
    <w:rsid w:val="690DAEE7"/>
    <w:rsid w:val="69104251"/>
    <w:rsid w:val="6913C9B7"/>
    <w:rsid w:val="6917567C"/>
    <w:rsid w:val="6918FD5E"/>
    <w:rsid w:val="691941EA"/>
    <w:rsid w:val="691CA4BF"/>
    <w:rsid w:val="691D4498"/>
    <w:rsid w:val="692133EF"/>
    <w:rsid w:val="6924B722"/>
    <w:rsid w:val="692FEE65"/>
    <w:rsid w:val="693CC0CD"/>
    <w:rsid w:val="693EFAAF"/>
    <w:rsid w:val="6941DCD9"/>
    <w:rsid w:val="69459CB9"/>
    <w:rsid w:val="694B46A8"/>
    <w:rsid w:val="694DADFA"/>
    <w:rsid w:val="694DB8A4"/>
    <w:rsid w:val="694ECE62"/>
    <w:rsid w:val="694F69D1"/>
    <w:rsid w:val="6966F572"/>
    <w:rsid w:val="69690DF3"/>
    <w:rsid w:val="696C0024"/>
    <w:rsid w:val="696F6C9C"/>
    <w:rsid w:val="6974540D"/>
    <w:rsid w:val="697A2B0F"/>
    <w:rsid w:val="697F5137"/>
    <w:rsid w:val="698569BF"/>
    <w:rsid w:val="698EBB3B"/>
    <w:rsid w:val="699245D0"/>
    <w:rsid w:val="6993225B"/>
    <w:rsid w:val="699962C9"/>
    <w:rsid w:val="699E3F4F"/>
    <w:rsid w:val="69A123A4"/>
    <w:rsid w:val="69A3B844"/>
    <w:rsid w:val="69A8173B"/>
    <w:rsid w:val="69A9BA89"/>
    <w:rsid w:val="69AAA37C"/>
    <w:rsid w:val="69AFBA2F"/>
    <w:rsid w:val="69B7A562"/>
    <w:rsid w:val="69C14132"/>
    <w:rsid w:val="69C37345"/>
    <w:rsid w:val="69CC4F77"/>
    <w:rsid w:val="69CE175F"/>
    <w:rsid w:val="69D1BED4"/>
    <w:rsid w:val="69D64B33"/>
    <w:rsid w:val="69E1DB62"/>
    <w:rsid w:val="69E826E9"/>
    <w:rsid w:val="69E8AA6C"/>
    <w:rsid w:val="69E8CAC6"/>
    <w:rsid w:val="69E8D5E9"/>
    <w:rsid w:val="69F31917"/>
    <w:rsid w:val="69F35F88"/>
    <w:rsid w:val="69F3D2C4"/>
    <w:rsid w:val="6A096EF0"/>
    <w:rsid w:val="6A1D51CE"/>
    <w:rsid w:val="6A1FC09D"/>
    <w:rsid w:val="6A22471F"/>
    <w:rsid w:val="6A277A8D"/>
    <w:rsid w:val="6A28D7FB"/>
    <w:rsid w:val="6A341250"/>
    <w:rsid w:val="6A386908"/>
    <w:rsid w:val="6A3F95FB"/>
    <w:rsid w:val="6A4C65D8"/>
    <w:rsid w:val="6A5E8489"/>
    <w:rsid w:val="6A63986D"/>
    <w:rsid w:val="6A6CBC69"/>
    <w:rsid w:val="6A70F0B3"/>
    <w:rsid w:val="6A721C2F"/>
    <w:rsid w:val="6A7CB995"/>
    <w:rsid w:val="6A92321F"/>
    <w:rsid w:val="6A929B0E"/>
    <w:rsid w:val="6A952606"/>
    <w:rsid w:val="6A97DBD9"/>
    <w:rsid w:val="6A98EF39"/>
    <w:rsid w:val="6A9C95EC"/>
    <w:rsid w:val="6AA6998D"/>
    <w:rsid w:val="6AAD56B8"/>
    <w:rsid w:val="6AB032FB"/>
    <w:rsid w:val="6AB17D6E"/>
    <w:rsid w:val="6ABE7E37"/>
    <w:rsid w:val="6AC595C8"/>
    <w:rsid w:val="6AC688FD"/>
    <w:rsid w:val="6ACFCFEF"/>
    <w:rsid w:val="6AD8D889"/>
    <w:rsid w:val="6AE16DBD"/>
    <w:rsid w:val="6AE8B44B"/>
    <w:rsid w:val="6AED0752"/>
    <w:rsid w:val="6AF5D482"/>
    <w:rsid w:val="6AF83F18"/>
    <w:rsid w:val="6AFF9AC9"/>
    <w:rsid w:val="6B03CD0C"/>
    <w:rsid w:val="6B075A95"/>
    <w:rsid w:val="6B094757"/>
    <w:rsid w:val="6B09F68B"/>
    <w:rsid w:val="6B0B940C"/>
    <w:rsid w:val="6B0E8A8B"/>
    <w:rsid w:val="6B0E8E16"/>
    <w:rsid w:val="6B18A9DE"/>
    <w:rsid w:val="6B21633C"/>
    <w:rsid w:val="6B22837E"/>
    <w:rsid w:val="6B2C4A08"/>
    <w:rsid w:val="6B336817"/>
    <w:rsid w:val="6B3E3623"/>
    <w:rsid w:val="6B41B79E"/>
    <w:rsid w:val="6B465DA7"/>
    <w:rsid w:val="6B48A63F"/>
    <w:rsid w:val="6B53B145"/>
    <w:rsid w:val="6B5B8CCC"/>
    <w:rsid w:val="6B5F0504"/>
    <w:rsid w:val="6B618AEC"/>
    <w:rsid w:val="6B667296"/>
    <w:rsid w:val="6B6C5F92"/>
    <w:rsid w:val="6B72ED0C"/>
    <w:rsid w:val="6B7B9635"/>
    <w:rsid w:val="6B7CB045"/>
    <w:rsid w:val="6B8C2A03"/>
    <w:rsid w:val="6B8E24DE"/>
    <w:rsid w:val="6B8F7E6B"/>
    <w:rsid w:val="6B9AC3E7"/>
    <w:rsid w:val="6B9F9620"/>
    <w:rsid w:val="6BA9E021"/>
    <w:rsid w:val="6BB5055F"/>
    <w:rsid w:val="6BB9F452"/>
    <w:rsid w:val="6BCC60D7"/>
    <w:rsid w:val="6BD097C2"/>
    <w:rsid w:val="6BD20059"/>
    <w:rsid w:val="6BE10675"/>
    <w:rsid w:val="6BE2144E"/>
    <w:rsid w:val="6BE33A9D"/>
    <w:rsid w:val="6BE50F77"/>
    <w:rsid w:val="6BE81FB4"/>
    <w:rsid w:val="6BE8F055"/>
    <w:rsid w:val="6BE9EBDF"/>
    <w:rsid w:val="6BEA6C88"/>
    <w:rsid w:val="6BEB7264"/>
    <w:rsid w:val="6BF3A74D"/>
    <w:rsid w:val="6BF7AB81"/>
    <w:rsid w:val="6BFB3CD0"/>
    <w:rsid w:val="6BFF96AA"/>
    <w:rsid w:val="6C04F6B9"/>
    <w:rsid w:val="6C09956C"/>
    <w:rsid w:val="6C0D10DB"/>
    <w:rsid w:val="6C0F41BD"/>
    <w:rsid w:val="6C1421AC"/>
    <w:rsid w:val="6C16CA6F"/>
    <w:rsid w:val="6C1731F8"/>
    <w:rsid w:val="6C1B6539"/>
    <w:rsid w:val="6C1CB796"/>
    <w:rsid w:val="6C27E276"/>
    <w:rsid w:val="6C299FB5"/>
    <w:rsid w:val="6C3421A5"/>
    <w:rsid w:val="6C4424F2"/>
    <w:rsid w:val="6C47D0FC"/>
    <w:rsid w:val="6C51AA84"/>
    <w:rsid w:val="6C54E55A"/>
    <w:rsid w:val="6C55B273"/>
    <w:rsid w:val="6C5D7E69"/>
    <w:rsid w:val="6C6752E2"/>
    <w:rsid w:val="6C703EBE"/>
    <w:rsid w:val="6C74521B"/>
    <w:rsid w:val="6C767BB9"/>
    <w:rsid w:val="6C78BD93"/>
    <w:rsid w:val="6C86ABD4"/>
    <w:rsid w:val="6C89F2B4"/>
    <w:rsid w:val="6C925D0E"/>
    <w:rsid w:val="6C97AF94"/>
    <w:rsid w:val="6C98E8A3"/>
    <w:rsid w:val="6C9CBAC0"/>
    <w:rsid w:val="6C9D1D63"/>
    <w:rsid w:val="6CA4C598"/>
    <w:rsid w:val="6CA68056"/>
    <w:rsid w:val="6CB6A8F6"/>
    <w:rsid w:val="6CB7EFAF"/>
    <w:rsid w:val="6CB89781"/>
    <w:rsid w:val="6CBEB040"/>
    <w:rsid w:val="6CCCAB59"/>
    <w:rsid w:val="6CD8920A"/>
    <w:rsid w:val="6CD8EFED"/>
    <w:rsid w:val="6CDDB58A"/>
    <w:rsid w:val="6CE30EB3"/>
    <w:rsid w:val="6CE86A1E"/>
    <w:rsid w:val="6CEE8CD8"/>
    <w:rsid w:val="6CF89B3E"/>
    <w:rsid w:val="6CF8EC3C"/>
    <w:rsid w:val="6CF96A4A"/>
    <w:rsid w:val="6D017546"/>
    <w:rsid w:val="6D0727CD"/>
    <w:rsid w:val="6D156B76"/>
    <w:rsid w:val="6D1E9F0B"/>
    <w:rsid w:val="6D202A07"/>
    <w:rsid w:val="6D36137F"/>
    <w:rsid w:val="6D3FB15B"/>
    <w:rsid w:val="6D3FD037"/>
    <w:rsid w:val="6D4DA743"/>
    <w:rsid w:val="6D50EB3F"/>
    <w:rsid w:val="6D5C0DEE"/>
    <w:rsid w:val="6D5F279D"/>
    <w:rsid w:val="6D63BD3C"/>
    <w:rsid w:val="6D6A2D01"/>
    <w:rsid w:val="6D6CCC0F"/>
    <w:rsid w:val="6D7FD90E"/>
    <w:rsid w:val="6D833CDD"/>
    <w:rsid w:val="6D85A927"/>
    <w:rsid w:val="6D899297"/>
    <w:rsid w:val="6D95482B"/>
    <w:rsid w:val="6D9C87D7"/>
    <w:rsid w:val="6DA296DB"/>
    <w:rsid w:val="6DA96B22"/>
    <w:rsid w:val="6DAA3DE4"/>
    <w:rsid w:val="6DAF84B8"/>
    <w:rsid w:val="6DB47CF7"/>
    <w:rsid w:val="6DB57179"/>
    <w:rsid w:val="6DB5B33E"/>
    <w:rsid w:val="6DBE0487"/>
    <w:rsid w:val="6DBE76C6"/>
    <w:rsid w:val="6DC33589"/>
    <w:rsid w:val="6DC5E293"/>
    <w:rsid w:val="6DCB0CDC"/>
    <w:rsid w:val="6DCCFF7F"/>
    <w:rsid w:val="6DD2CA21"/>
    <w:rsid w:val="6DD92E15"/>
    <w:rsid w:val="6DE165A3"/>
    <w:rsid w:val="6DE7B6E8"/>
    <w:rsid w:val="6DF09570"/>
    <w:rsid w:val="6DF9667A"/>
    <w:rsid w:val="6DFA54F9"/>
    <w:rsid w:val="6DFCE12B"/>
    <w:rsid w:val="6DFF0466"/>
    <w:rsid w:val="6DFFC76A"/>
    <w:rsid w:val="6E00A7C5"/>
    <w:rsid w:val="6E144CC2"/>
    <w:rsid w:val="6E1DB6BE"/>
    <w:rsid w:val="6E1E4423"/>
    <w:rsid w:val="6E2411A7"/>
    <w:rsid w:val="6E275805"/>
    <w:rsid w:val="6E295826"/>
    <w:rsid w:val="6E2EB1C4"/>
    <w:rsid w:val="6E3451B8"/>
    <w:rsid w:val="6E3A3F6A"/>
    <w:rsid w:val="6E3C0CC3"/>
    <w:rsid w:val="6E468C4E"/>
    <w:rsid w:val="6E46F2DF"/>
    <w:rsid w:val="6E4C197B"/>
    <w:rsid w:val="6E4E130D"/>
    <w:rsid w:val="6E571C4F"/>
    <w:rsid w:val="6E58804A"/>
    <w:rsid w:val="6E608D08"/>
    <w:rsid w:val="6E64007F"/>
    <w:rsid w:val="6E6B6B2D"/>
    <w:rsid w:val="6E6BB225"/>
    <w:rsid w:val="6E6C055F"/>
    <w:rsid w:val="6E7C201E"/>
    <w:rsid w:val="6E7EE34D"/>
    <w:rsid w:val="6E82C627"/>
    <w:rsid w:val="6E90A6CE"/>
    <w:rsid w:val="6E9336D8"/>
    <w:rsid w:val="6E9ACB4A"/>
    <w:rsid w:val="6EA1B90F"/>
    <w:rsid w:val="6EA473D8"/>
    <w:rsid w:val="6EB58010"/>
    <w:rsid w:val="6EB73605"/>
    <w:rsid w:val="6EBD0451"/>
    <w:rsid w:val="6EC3D341"/>
    <w:rsid w:val="6ECE6991"/>
    <w:rsid w:val="6ED03F60"/>
    <w:rsid w:val="6EE67BFF"/>
    <w:rsid w:val="6EE75801"/>
    <w:rsid w:val="6EF2D6F0"/>
    <w:rsid w:val="6EFA3A03"/>
    <w:rsid w:val="6EFC52B5"/>
    <w:rsid w:val="6EFF8B7F"/>
    <w:rsid w:val="6F0170C2"/>
    <w:rsid w:val="6F0EA8AE"/>
    <w:rsid w:val="6F16E2DE"/>
    <w:rsid w:val="6F1E99C7"/>
    <w:rsid w:val="6F24281A"/>
    <w:rsid w:val="6F3CE63E"/>
    <w:rsid w:val="6F45E706"/>
    <w:rsid w:val="6F46C0E0"/>
    <w:rsid w:val="6F4EFCF3"/>
    <w:rsid w:val="6F535EA6"/>
    <w:rsid w:val="6F5710EE"/>
    <w:rsid w:val="6F582004"/>
    <w:rsid w:val="6F58DBA8"/>
    <w:rsid w:val="6F5CBA9C"/>
    <w:rsid w:val="6F60FD2F"/>
    <w:rsid w:val="6F64433F"/>
    <w:rsid w:val="6F777B31"/>
    <w:rsid w:val="6F795950"/>
    <w:rsid w:val="6F7D2BFF"/>
    <w:rsid w:val="6F7D6668"/>
    <w:rsid w:val="6F8A8603"/>
    <w:rsid w:val="6F93341E"/>
    <w:rsid w:val="6F98FFCC"/>
    <w:rsid w:val="6F9B968B"/>
    <w:rsid w:val="6F9D4D5F"/>
    <w:rsid w:val="6F9EDE97"/>
    <w:rsid w:val="6FA2C46A"/>
    <w:rsid w:val="6FA32797"/>
    <w:rsid w:val="6FB7C600"/>
    <w:rsid w:val="6FB9928E"/>
    <w:rsid w:val="6FBC3BF6"/>
    <w:rsid w:val="6FC60F34"/>
    <w:rsid w:val="6FC81673"/>
    <w:rsid w:val="6FCBF53A"/>
    <w:rsid w:val="6FCE44FD"/>
    <w:rsid w:val="6FD95D9C"/>
    <w:rsid w:val="6FDD7941"/>
    <w:rsid w:val="6FE51C3B"/>
    <w:rsid w:val="6FE61CA6"/>
    <w:rsid w:val="6FF1D40B"/>
    <w:rsid w:val="6FF44C61"/>
    <w:rsid w:val="6FF873E2"/>
    <w:rsid w:val="70057E6B"/>
    <w:rsid w:val="700A0C8E"/>
    <w:rsid w:val="7018B4AD"/>
    <w:rsid w:val="70229CA4"/>
    <w:rsid w:val="7027F27B"/>
    <w:rsid w:val="702B3996"/>
    <w:rsid w:val="70323B1C"/>
    <w:rsid w:val="7034A533"/>
    <w:rsid w:val="703EDD0F"/>
    <w:rsid w:val="703F0D1D"/>
    <w:rsid w:val="7041DA80"/>
    <w:rsid w:val="704C57B8"/>
    <w:rsid w:val="704F8FFB"/>
    <w:rsid w:val="70500D74"/>
    <w:rsid w:val="7054C6E5"/>
    <w:rsid w:val="70634AA3"/>
    <w:rsid w:val="70646043"/>
    <w:rsid w:val="7064B986"/>
    <w:rsid w:val="70658DB7"/>
    <w:rsid w:val="7067E596"/>
    <w:rsid w:val="706EBEA7"/>
    <w:rsid w:val="70769F02"/>
    <w:rsid w:val="707D7654"/>
    <w:rsid w:val="7081DFB7"/>
    <w:rsid w:val="70863F77"/>
    <w:rsid w:val="7088B97B"/>
    <w:rsid w:val="708A5DF1"/>
    <w:rsid w:val="708ADB64"/>
    <w:rsid w:val="708D7F7D"/>
    <w:rsid w:val="7094F9D9"/>
    <w:rsid w:val="7095F642"/>
    <w:rsid w:val="70982607"/>
    <w:rsid w:val="7099E68E"/>
    <w:rsid w:val="709D4ADC"/>
    <w:rsid w:val="70A1585B"/>
    <w:rsid w:val="70A9A52C"/>
    <w:rsid w:val="70AC6F0D"/>
    <w:rsid w:val="70B7ACD3"/>
    <w:rsid w:val="70BC63D7"/>
    <w:rsid w:val="70C2BEFD"/>
    <w:rsid w:val="70CB0C71"/>
    <w:rsid w:val="70CD0E09"/>
    <w:rsid w:val="70CEC158"/>
    <w:rsid w:val="70D634AA"/>
    <w:rsid w:val="70DED96B"/>
    <w:rsid w:val="70E65D10"/>
    <w:rsid w:val="70E78163"/>
    <w:rsid w:val="70ECF0AD"/>
    <w:rsid w:val="70EF33F2"/>
    <w:rsid w:val="70F831C9"/>
    <w:rsid w:val="710393B0"/>
    <w:rsid w:val="710B202F"/>
    <w:rsid w:val="7120E991"/>
    <w:rsid w:val="71255FBF"/>
    <w:rsid w:val="71267658"/>
    <w:rsid w:val="713723EF"/>
    <w:rsid w:val="713BB2ED"/>
    <w:rsid w:val="71401313"/>
    <w:rsid w:val="7141071E"/>
    <w:rsid w:val="7148014C"/>
    <w:rsid w:val="714D1ED8"/>
    <w:rsid w:val="71510B1A"/>
    <w:rsid w:val="71527685"/>
    <w:rsid w:val="71534F77"/>
    <w:rsid w:val="71642ABF"/>
    <w:rsid w:val="7166C35A"/>
    <w:rsid w:val="7168A402"/>
    <w:rsid w:val="7169DEEF"/>
    <w:rsid w:val="7169FCC0"/>
    <w:rsid w:val="7172FA8A"/>
    <w:rsid w:val="71833D0E"/>
    <w:rsid w:val="7186D3D6"/>
    <w:rsid w:val="71968C03"/>
    <w:rsid w:val="7196C71C"/>
    <w:rsid w:val="719A3B7C"/>
    <w:rsid w:val="71A52387"/>
    <w:rsid w:val="71A86D4E"/>
    <w:rsid w:val="71B16614"/>
    <w:rsid w:val="71B439EC"/>
    <w:rsid w:val="71B4860D"/>
    <w:rsid w:val="71BABDFF"/>
    <w:rsid w:val="71BAC1B5"/>
    <w:rsid w:val="71BAFE43"/>
    <w:rsid w:val="71C1A85B"/>
    <w:rsid w:val="71C41E0C"/>
    <w:rsid w:val="71C97620"/>
    <w:rsid w:val="71C9ED3D"/>
    <w:rsid w:val="71CE2683"/>
    <w:rsid w:val="71D270A9"/>
    <w:rsid w:val="71D8C39F"/>
    <w:rsid w:val="71D91EBB"/>
    <w:rsid w:val="71D982B5"/>
    <w:rsid w:val="71DA0544"/>
    <w:rsid w:val="71DA414C"/>
    <w:rsid w:val="71DAC145"/>
    <w:rsid w:val="71DCEFB2"/>
    <w:rsid w:val="71E09DCF"/>
    <w:rsid w:val="71E33B4B"/>
    <w:rsid w:val="71E83452"/>
    <w:rsid w:val="71EF4C28"/>
    <w:rsid w:val="71F59E2B"/>
    <w:rsid w:val="71FE9DCB"/>
    <w:rsid w:val="72099990"/>
    <w:rsid w:val="720CD1B1"/>
    <w:rsid w:val="721ABC44"/>
    <w:rsid w:val="7224C8B4"/>
    <w:rsid w:val="7228141A"/>
    <w:rsid w:val="722893C0"/>
    <w:rsid w:val="722EAFEF"/>
    <w:rsid w:val="7230C1D6"/>
    <w:rsid w:val="7244DED7"/>
    <w:rsid w:val="72467F60"/>
    <w:rsid w:val="7248C5A3"/>
    <w:rsid w:val="724E8D95"/>
    <w:rsid w:val="72590D1C"/>
    <w:rsid w:val="725955D0"/>
    <w:rsid w:val="72610B52"/>
    <w:rsid w:val="72635A4B"/>
    <w:rsid w:val="72674F52"/>
    <w:rsid w:val="72696BCB"/>
    <w:rsid w:val="727C56CF"/>
    <w:rsid w:val="7282C3A2"/>
    <w:rsid w:val="728A2031"/>
    <w:rsid w:val="728BC5E9"/>
    <w:rsid w:val="728EB03B"/>
    <w:rsid w:val="728F2015"/>
    <w:rsid w:val="7293B30B"/>
    <w:rsid w:val="72A0965C"/>
    <w:rsid w:val="72A3A7EA"/>
    <w:rsid w:val="72A46A86"/>
    <w:rsid w:val="72B1EABA"/>
    <w:rsid w:val="72B310AA"/>
    <w:rsid w:val="72B940E8"/>
    <w:rsid w:val="72BD414C"/>
    <w:rsid w:val="72BFF8EA"/>
    <w:rsid w:val="72C1EB09"/>
    <w:rsid w:val="72C22894"/>
    <w:rsid w:val="72C6393E"/>
    <w:rsid w:val="72CC62F7"/>
    <w:rsid w:val="72D1E5FA"/>
    <w:rsid w:val="72D399FD"/>
    <w:rsid w:val="72D3FF65"/>
    <w:rsid w:val="72DBEF01"/>
    <w:rsid w:val="72E0FC45"/>
    <w:rsid w:val="72E5CD26"/>
    <w:rsid w:val="72EA93ED"/>
    <w:rsid w:val="72ED439D"/>
    <w:rsid w:val="72F6BA88"/>
    <w:rsid w:val="72FE51EB"/>
    <w:rsid w:val="73040AC0"/>
    <w:rsid w:val="7307D47A"/>
    <w:rsid w:val="730A7938"/>
    <w:rsid w:val="730BA325"/>
    <w:rsid w:val="730D8DE4"/>
    <w:rsid w:val="730E7A1D"/>
    <w:rsid w:val="73106A1A"/>
    <w:rsid w:val="731E8707"/>
    <w:rsid w:val="733320D9"/>
    <w:rsid w:val="733AD4A8"/>
    <w:rsid w:val="7340F583"/>
    <w:rsid w:val="734471E8"/>
    <w:rsid w:val="7344F87F"/>
    <w:rsid w:val="734606EC"/>
    <w:rsid w:val="73478721"/>
    <w:rsid w:val="7352B45A"/>
    <w:rsid w:val="7354A601"/>
    <w:rsid w:val="7357D7DF"/>
    <w:rsid w:val="735F916B"/>
    <w:rsid w:val="736011C4"/>
    <w:rsid w:val="73638B19"/>
    <w:rsid w:val="7365D3BC"/>
    <w:rsid w:val="73660B26"/>
    <w:rsid w:val="736B62C3"/>
    <w:rsid w:val="73727BED"/>
    <w:rsid w:val="7380566B"/>
    <w:rsid w:val="7386CC1B"/>
    <w:rsid w:val="738BBD0B"/>
    <w:rsid w:val="7390E9F8"/>
    <w:rsid w:val="7399FE4A"/>
    <w:rsid w:val="739A0D89"/>
    <w:rsid w:val="739CA9AF"/>
    <w:rsid w:val="739EB220"/>
    <w:rsid w:val="73A28367"/>
    <w:rsid w:val="73A4D7F6"/>
    <w:rsid w:val="73A6DE58"/>
    <w:rsid w:val="73B20EA1"/>
    <w:rsid w:val="73B798BF"/>
    <w:rsid w:val="73B7C075"/>
    <w:rsid w:val="73BCFD0A"/>
    <w:rsid w:val="73BEA27B"/>
    <w:rsid w:val="73DD88F3"/>
    <w:rsid w:val="73E81EDE"/>
    <w:rsid w:val="73E86967"/>
    <w:rsid w:val="73EA8489"/>
    <w:rsid w:val="73ED2943"/>
    <w:rsid w:val="73F057BD"/>
    <w:rsid w:val="73F900BD"/>
    <w:rsid w:val="7408F091"/>
    <w:rsid w:val="74178C89"/>
    <w:rsid w:val="741C7D9E"/>
    <w:rsid w:val="74200ACC"/>
    <w:rsid w:val="74216E85"/>
    <w:rsid w:val="742CA3E5"/>
    <w:rsid w:val="7436636B"/>
    <w:rsid w:val="7436B6E6"/>
    <w:rsid w:val="743E40AE"/>
    <w:rsid w:val="743FBF2A"/>
    <w:rsid w:val="7447AC18"/>
    <w:rsid w:val="74492A2A"/>
    <w:rsid w:val="744D2C1D"/>
    <w:rsid w:val="7456B56B"/>
    <w:rsid w:val="74594472"/>
    <w:rsid w:val="7459E427"/>
    <w:rsid w:val="745AF321"/>
    <w:rsid w:val="745E465E"/>
    <w:rsid w:val="7460C0B4"/>
    <w:rsid w:val="74630C36"/>
    <w:rsid w:val="746DCB9B"/>
    <w:rsid w:val="746E638D"/>
    <w:rsid w:val="74712E40"/>
    <w:rsid w:val="7471C125"/>
    <w:rsid w:val="7479F2A5"/>
    <w:rsid w:val="747A0AD8"/>
    <w:rsid w:val="7489ECD3"/>
    <w:rsid w:val="748AA16E"/>
    <w:rsid w:val="748EB82B"/>
    <w:rsid w:val="74974742"/>
    <w:rsid w:val="749943B1"/>
    <w:rsid w:val="749E4B21"/>
    <w:rsid w:val="74A12326"/>
    <w:rsid w:val="74A36CF0"/>
    <w:rsid w:val="74A87AB2"/>
    <w:rsid w:val="74A9D377"/>
    <w:rsid w:val="74AD105F"/>
    <w:rsid w:val="74B4FE0B"/>
    <w:rsid w:val="74BFE482"/>
    <w:rsid w:val="74C19229"/>
    <w:rsid w:val="74C6AE4C"/>
    <w:rsid w:val="74CF931F"/>
    <w:rsid w:val="74D6D832"/>
    <w:rsid w:val="74D96033"/>
    <w:rsid w:val="74DF392E"/>
    <w:rsid w:val="74E14F23"/>
    <w:rsid w:val="74EE00A9"/>
    <w:rsid w:val="74F5C2DC"/>
    <w:rsid w:val="74F93894"/>
    <w:rsid w:val="75016A60"/>
    <w:rsid w:val="750B966C"/>
    <w:rsid w:val="750BF165"/>
    <w:rsid w:val="750C75E1"/>
    <w:rsid w:val="750D6B67"/>
    <w:rsid w:val="750EC4A4"/>
    <w:rsid w:val="750FF490"/>
    <w:rsid w:val="7510E5F6"/>
    <w:rsid w:val="75128A16"/>
    <w:rsid w:val="7516D780"/>
    <w:rsid w:val="75189002"/>
    <w:rsid w:val="7519B452"/>
    <w:rsid w:val="75342167"/>
    <w:rsid w:val="753FAF60"/>
    <w:rsid w:val="7547CF41"/>
    <w:rsid w:val="75481B19"/>
    <w:rsid w:val="7548B7BB"/>
    <w:rsid w:val="754B7824"/>
    <w:rsid w:val="754D6036"/>
    <w:rsid w:val="75503684"/>
    <w:rsid w:val="7558256F"/>
    <w:rsid w:val="755C0B54"/>
    <w:rsid w:val="755F4B98"/>
    <w:rsid w:val="7565D1F6"/>
    <w:rsid w:val="756DAE5C"/>
    <w:rsid w:val="7577A33A"/>
    <w:rsid w:val="75883C9B"/>
    <w:rsid w:val="7588ED33"/>
    <w:rsid w:val="75A57287"/>
    <w:rsid w:val="75A75AA5"/>
    <w:rsid w:val="75AB3852"/>
    <w:rsid w:val="75B3AB28"/>
    <w:rsid w:val="75B573A6"/>
    <w:rsid w:val="75C48178"/>
    <w:rsid w:val="75C48C2D"/>
    <w:rsid w:val="75C6D005"/>
    <w:rsid w:val="75CB64F9"/>
    <w:rsid w:val="75CF4301"/>
    <w:rsid w:val="75D16B11"/>
    <w:rsid w:val="75DB12AF"/>
    <w:rsid w:val="75DC9577"/>
    <w:rsid w:val="75E2240C"/>
    <w:rsid w:val="75EA9E7C"/>
    <w:rsid w:val="75EBFDD6"/>
    <w:rsid w:val="75EC744F"/>
    <w:rsid w:val="75F2A3DE"/>
    <w:rsid w:val="75F46162"/>
    <w:rsid w:val="75F6CC73"/>
    <w:rsid w:val="75FC3A4D"/>
    <w:rsid w:val="760001F6"/>
    <w:rsid w:val="7603F6E2"/>
    <w:rsid w:val="7613928E"/>
    <w:rsid w:val="76161360"/>
    <w:rsid w:val="76175AA4"/>
    <w:rsid w:val="76178E27"/>
    <w:rsid w:val="761D1BB7"/>
    <w:rsid w:val="7621F4AC"/>
    <w:rsid w:val="7625DA79"/>
    <w:rsid w:val="7628A600"/>
    <w:rsid w:val="762CB043"/>
    <w:rsid w:val="763580A1"/>
    <w:rsid w:val="763CBCC0"/>
    <w:rsid w:val="7641FC66"/>
    <w:rsid w:val="76499006"/>
    <w:rsid w:val="765738A4"/>
    <w:rsid w:val="765BED1D"/>
    <w:rsid w:val="76623A6B"/>
    <w:rsid w:val="76655DC6"/>
    <w:rsid w:val="7668231F"/>
    <w:rsid w:val="7669E65D"/>
    <w:rsid w:val="766B2D24"/>
    <w:rsid w:val="766B316F"/>
    <w:rsid w:val="766CF781"/>
    <w:rsid w:val="766F677E"/>
    <w:rsid w:val="767026D6"/>
    <w:rsid w:val="76747F52"/>
    <w:rsid w:val="7675F6B4"/>
    <w:rsid w:val="767ED56A"/>
    <w:rsid w:val="7685CD62"/>
    <w:rsid w:val="769566BF"/>
    <w:rsid w:val="76A35097"/>
    <w:rsid w:val="76A5366C"/>
    <w:rsid w:val="76ABC294"/>
    <w:rsid w:val="76B5D037"/>
    <w:rsid w:val="76B872CB"/>
    <w:rsid w:val="76C62E1C"/>
    <w:rsid w:val="76CA1C16"/>
    <w:rsid w:val="76CEF85D"/>
    <w:rsid w:val="76F34835"/>
    <w:rsid w:val="76F41CAA"/>
    <w:rsid w:val="76FC6EE7"/>
    <w:rsid w:val="76FFB8BD"/>
    <w:rsid w:val="77046BD9"/>
    <w:rsid w:val="7705CFC4"/>
    <w:rsid w:val="770DA9F9"/>
    <w:rsid w:val="770F06DD"/>
    <w:rsid w:val="771671E5"/>
    <w:rsid w:val="7718DC35"/>
    <w:rsid w:val="771A5A22"/>
    <w:rsid w:val="771EDB67"/>
    <w:rsid w:val="771F9FCD"/>
    <w:rsid w:val="7722924F"/>
    <w:rsid w:val="77297835"/>
    <w:rsid w:val="772F1F04"/>
    <w:rsid w:val="772F2213"/>
    <w:rsid w:val="772FC6DF"/>
    <w:rsid w:val="77361B17"/>
    <w:rsid w:val="77417FC5"/>
    <w:rsid w:val="77463848"/>
    <w:rsid w:val="774B21EC"/>
    <w:rsid w:val="774B8C36"/>
    <w:rsid w:val="7750319E"/>
    <w:rsid w:val="77506337"/>
    <w:rsid w:val="775337C9"/>
    <w:rsid w:val="7755B8BA"/>
    <w:rsid w:val="77571823"/>
    <w:rsid w:val="7757DBED"/>
    <w:rsid w:val="775B043B"/>
    <w:rsid w:val="775CC7C7"/>
    <w:rsid w:val="7760859F"/>
    <w:rsid w:val="7761A0BE"/>
    <w:rsid w:val="7763D40D"/>
    <w:rsid w:val="7763F1FC"/>
    <w:rsid w:val="77662A09"/>
    <w:rsid w:val="776C35E5"/>
    <w:rsid w:val="7770E97F"/>
    <w:rsid w:val="77731564"/>
    <w:rsid w:val="777CB578"/>
    <w:rsid w:val="77815E13"/>
    <w:rsid w:val="7787E78D"/>
    <w:rsid w:val="779C0037"/>
    <w:rsid w:val="77A5FE48"/>
    <w:rsid w:val="77B5A81B"/>
    <w:rsid w:val="77B7797C"/>
    <w:rsid w:val="77B82373"/>
    <w:rsid w:val="77BEDCDB"/>
    <w:rsid w:val="77C2484A"/>
    <w:rsid w:val="77C67384"/>
    <w:rsid w:val="77D959BE"/>
    <w:rsid w:val="77DBCA06"/>
    <w:rsid w:val="77DE062F"/>
    <w:rsid w:val="77E54862"/>
    <w:rsid w:val="77E5D87C"/>
    <w:rsid w:val="77E6D340"/>
    <w:rsid w:val="77E9B04E"/>
    <w:rsid w:val="77EF8087"/>
    <w:rsid w:val="77F1A323"/>
    <w:rsid w:val="77F7710D"/>
    <w:rsid w:val="77FBA865"/>
    <w:rsid w:val="77FF3BFB"/>
    <w:rsid w:val="780555B7"/>
    <w:rsid w:val="78060930"/>
    <w:rsid w:val="780F42C1"/>
    <w:rsid w:val="781279E3"/>
    <w:rsid w:val="78136FFF"/>
    <w:rsid w:val="7819B301"/>
    <w:rsid w:val="78270939"/>
    <w:rsid w:val="782C7902"/>
    <w:rsid w:val="7832E619"/>
    <w:rsid w:val="783333C7"/>
    <w:rsid w:val="7835BBE5"/>
    <w:rsid w:val="7835D905"/>
    <w:rsid w:val="783AA6CD"/>
    <w:rsid w:val="783CBC48"/>
    <w:rsid w:val="783D1FE9"/>
    <w:rsid w:val="784F5615"/>
    <w:rsid w:val="78590858"/>
    <w:rsid w:val="78629A38"/>
    <w:rsid w:val="7864488A"/>
    <w:rsid w:val="786CC9D8"/>
    <w:rsid w:val="786D727B"/>
    <w:rsid w:val="786F0D3A"/>
    <w:rsid w:val="78721FCC"/>
    <w:rsid w:val="7877B8ED"/>
    <w:rsid w:val="787C0E28"/>
    <w:rsid w:val="78803638"/>
    <w:rsid w:val="7883770E"/>
    <w:rsid w:val="7885B75A"/>
    <w:rsid w:val="7889CE1F"/>
    <w:rsid w:val="7889D5B6"/>
    <w:rsid w:val="788BA513"/>
    <w:rsid w:val="788C942F"/>
    <w:rsid w:val="789006B6"/>
    <w:rsid w:val="78907827"/>
    <w:rsid w:val="7894F4A7"/>
    <w:rsid w:val="789644F6"/>
    <w:rsid w:val="78973CA7"/>
    <w:rsid w:val="7897FBAD"/>
    <w:rsid w:val="7899F1F1"/>
    <w:rsid w:val="789D86AA"/>
    <w:rsid w:val="78A28421"/>
    <w:rsid w:val="78A945CA"/>
    <w:rsid w:val="78B7029A"/>
    <w:rsid w:val="78B8E610"/>
    <w:rsid w:val="78C0945A"/>
    <w:rsid w:val="78C3F370"/>
    <w:rsid w:val="78C5AF65"/>
    <w:rsid w:val="78C988DE"/>
    <w:rsid w:val="78CA69B7"/>
    <w:rsid w:val="78CC2545"/>
    <w:rsid w:val="78D3B9CA"/>
    <w:rsid w:val="78DCFE7C"/>
    <w:rsid w:val="78DE4FF2"/>
    <w:rsid w:val="78E3DD40"/>
    <w:rsid w:val="78EC66F4"/>
    <w:rsid w:val="78F38F1A"/>
    <w:rsid w:val="78FD95F9"/>
    <w:rsid w:val="78FE5CC2"/>
    <w:rsid w:val="7903FCBC"/>
    <w:rsid w:val="790AB747"/>
    <w:rsid w:val="790AF86D"/>
    <w:rsid w:val="790B6849"/>
    <w:rsid w:val="790FAF7E"/>
    <w:rsid w:val="791719D6"/>
    <w:rsid w:val="791CDE54"/>
    <w:rsid w:val="792BA1E5"/>
    <w:rsid w:val="792BECF6"/>
    <w:rsid w:val="792C90B0"/>
    <w:rsid w:val="792D636F"/>
    <w:rsid w:val="7932854F"/>
    <w:rsid w:val="7933AC50"/>
    <w:rsid w:val="793865C0"/>
    <w:rsid w:val="79388658"/>
    <w:rsid w:val="7938A830"/>
    <w:rsid w:val="793FE3DC"/>
    <w:rsid w:val="79418D79"/>
    <w:rsid w:val="7946353C"/>
    <w:rsid w:val="794937FD"/>
    <w:rsid w:val="7949E25A"/>
    <w:rsid w:val="794AF993"/>
    <w:rsid w:val="79554F0D"/>
    <w:rsid w:val="796887E5"/>
    <w:rsid w:val="7968B3CF"/>
    <w:rsid w:val="7969A95C"/>
    <w:rsid w:val="796CF84B"/>
    <w:rsid w:val="797511E3"/>
    <w:rsid w:val="797E99F1"/>
    <w:rsid w:val="79804E0F"/>
    <w:rsid w:val="798065B2"/>
    <w:rsid w:val="798275FC"/>
    <w:rsid w:val="798ED54B"/>
    <w:rsid w:val="79951989"/>
    <w:rsid w:val="79973133"/>
    <w:rsid w:val="79A3FB1A"/>
    <w:rsid w:val="79A480B4"/>
    <w:rsid w:val="79AF4A8B"/>
    <w:rsid w:val="79C7DACF"/>
    <w:rsid w:val="79D48E50"/>
    <w:rsid w:val="79D4F9B8"/>
    <w:rsid w:val="79D5ED79"/>
    <w:rsid w:val="79DE1270"/>
    <w:rsid w:val="79E65B55"/>
    <w:rsid w:val="79E874E7"/>
    <w:rsid w:val="79E996C5"/>
    <w:rsid w:val="79F5BBB9"/>
    <w:rsid w:val="79FCFCCB"/>
    <w:rsid w:val="7A02FA55"/>
    <w:rsid w:val="7A067A59"/>
    <w:rsid w:val="7A079232"/>
    <w:rsid w:val="7A08B27F"/>
    <w:rsid w:val="7A10F173"/>
    <w:rsid w:val="7A12331F"/>
    <w:rsid w:val="7A1DDC89"/>
    <w:rsid w:val="7A2003C9"/>
    <w:rsid w:val="7A262618"/>
    <w:rsid w:val="7A2817F6"/>
    <w:rsid w:val="7A2BEE6E"/>
    <w:rsid w:val="7A2C7198"/>
    <w:rsid w:val="7A4032A1"/>
    <w:rsid w:val="7A43CB75"/>
    <w:rsid w:val="7A478580"/>
    <w:rsid w:val="7A499C2C"/>
    <w:rsid w:val="7A49B73B"/>
    <w:rsid w:val="7A4C8922"/>
    <w:rsid w:val="7A5390D7"/>
    <w:rsid w:val="7A5A1714"/>
    <w:rsid w:val="7A5CB05C"/>
    <w:rsid w:val="7A618B2C"/>
    <w:rsid w:val="7A663D55"/>
    <w:rsid w:val="7A68FC51"/>
    <w:rsid w:val="7A6A6287"/>
    <w:rsid w:val="7A6EC601"/>
    <w:rsid w:val="7A7B2E2A"/>
    <w:rsid w:val="7A7B87F4"/>
    <w:rsid w:val="7A7C5442"/>
    <w:rsid w:val="7A852C8F"/>
    <w:rsid w:val="7A940A5B"/>
    <w:rsid w:val="7A9435A5"/>
    <w:rsid w:val="7A9491D5"/>
    <w:rsid w:val="7A983AF6"/>
    <w:rsid w:val="7AA1C419"/>
    <w:rsid w:val="7AA358B9"/>
    <w:rsid w:val="7AAE791B"/>
    <w:rsid w:val="7ABCF5BB"/>
    <w:rsid w:val="7AC16A91"/>
    <w:rsid w:val="7AC76870"/>
    <w:rsid w:val="7AD3E3EC"/>
    <w:rsid w:val="7AD59082"/>
    <w:rsid w:val="7AD7234E"/>
    <w:rsid w:val="7AD85FED"/>
    <w:rsid w:val="7AE03864"/>
    <w:rsid w:val="7AE0F7D4"/>
    <w:rsid w:val="7AE2B326"/>
    <w:rsid w:val="7AE38700"/>
    <w:rsid w:val="7AE74F90"/>
    <w:rsid w:val="7AEBCF4F"/>
    <w:rsid w:val="7AF17D60"/>
    <w:rsid w:val="7AF9484E"/>
    <w:rsid w:val="7AFAE716"/>
    <w:rsid w:val="7AFB3619"/>
    <w:rsid w:val="7AFBAE91"/>
    <w:rsid w:val="7AFE0E7F"/>
    <w:rsid w:val="7B04AC0D"/>
    <w:rsid w:val="7B057BAD"/>
    <w:rsid w:val="7B080E3E"/>
    <w:rsid w:val="7B152814"/>
    <w:rsid w:val="7B1D1324"/>
    <w:rsid w:val="7B239BF2"/>
    <w:rsid w:val="7B29F7F3"/>
    <w:rsid w:val="7B2D7100"/>
    <w:rsid w:val="7B31C5CF"/>
    <w:rsid w:val="7B32E677"/>
    <w:rsid w:val="7B3D0DFE"/>
    <w:rsid w:val="7B458276"/>
    <w:rsid w:val="7B45924A"/>
    <w:rsid w:val="7B4E0B13"/>
    <w:rsid w:val="7B53672D"/>
    <w:rsid w:val="7B54AE8C"/>
    <w:rsid w:val="7B57E3EE"/>
    <w:rsid w:val="7B5A82B3"/>
    <w:rsid w:val="7B617495"/>
    <w:rsid w:val="7B69A446"/>
    <w:rsid w:val="7B6B8E20"/>
    <w:rsid w:val="7B790C8E"/>
    <w:rsid w:val="7B79F66C"/>
    <w:rsid w:val="7B7D8D5A"/>
    <w:rsid w:val="7B83FC67"/>
    <w:rsid w:val="7B84F1F2"/>
    <w:rsid w:val="7B88661F"/>
    <w:rsid w:val="7B8AFC32"/>
    <w:rsid w:val="7B8F9B68"/>
    <w:rsid w:val="7B949C78"/>
    <w:rsid w:val="7B9B2369"/>
    <w:rsid w:val="7BA04D95"/>
    <w:rsid w:val="7BA4F715"/>
    <w:rsid w:val="7BAFFCE3"/>
    <w:rsid w:val="7BB05158"/>
    <w:rsid w:val="7BB27C38"/>
    <w:rsid w:val="7BBAFEB6"/>
    <w:rsid w:val="7BBD83C5"/>
    <w:rsid w:val="7BBFD51E"/>
    <w:rsid w:val="7BC271DB"/>
    <w:rsid w:val="7BC4C9AB"/>
    <w:rsid w:val="7BCB3C2A"/>
    <w:rsid w:val="7BCBD454"/>
    <w:rsid w:val="7BD623D2"/>
    <w:rsid w:val="7BDD607C"/>
    <w:rsid w:val="7BE0B0CC"/>
    <w:rsid w:val="7BF13368"/>
    <w:rsid w:val="7BF8AAF0"/>
    <w:rsid w:val="7C02AF4C"/>
    <w:rsid w:val="7C0AEFB1"/>
    <w:rsid w:val="7C0BBB68"/>
    <w:rsid w:val="7C0CF85E"/>
    <w:rsid w:val="7C0F701D"/>
    <w:rsid w:val="7C155F4A"/>
    <w:rsid w:val="7C156012"/>
    <w:rsid w:val="7C19D3A4"/>
    <w:rsid w:val="7C19E354"/>
    <w:rsid w:val="7C1A5551"/>
    <w:rsid w:val="7C1CF24A"/>
    <w:rsid w:val="7C204143"/>
    <w:rsid w:val="7C2BF737"/>
    <w:rsid w:val="7C2C3F11"/>
    <w:rsid w:val="7C308AED"/>
    <w:rsid w:val="7C309767"/>
    <w:rsid w:val="7C377A51"/>
    <w:rsid w:val="7C38FFE9"/>
    <w:rsid w:val="7C3A6857"/>
    <w:rsid w:val="7C3AAD58"/>
    <w:rsid w:val="7C429736"/>
    <w:rsid w:val="7C4EEC8A"/>
    <w:rsid w:val="7C53B52C"/>
    <w:rsid w:val="7C5A33CC"/>
    <w:rsid w:val="7C5B603C"/>
    <w:rsid w:val="7C60544C"/>
    <w:rsid w:val="7C606AFC"/>
    <w:rsid w:val="7C6130CD"/>
    <w:rsid w:val="7C67F776"/>
    <w:rsid w:val="7C680637"/>
    <w:rsid w:val="7C6BA9E8"/>
    <w:rsid w:val="7C6E0992"/>
    <w:rsid w:val="7C787F7D"/>
    <w:rsid w:val="7C7C203E"/>
    <w:rsid w:val="7C7CF943"/>
    <w:rsid w:val="7C7F26E7"/>
    <w:rsid w:val="7C86750B"/>
    <w:rsid w:val="7C8DD2A0"/>
    <w:rsid w:val="7CA1B57E"/>
    <w:rsid w:val="7CAA5073"/>
    <w:rsid w:val="7CAC0EEE"/>
    <w:rsid w:val="7CAC2BE9"/>
    <w:rsid w:val="7CAE73D2"/>
    <w:rsid w:val="7CB44B33"/>
    <w:rsid w:val="7CB6DC1C"/>
    <w:rsid w:val="7CB7D9B3"/>
    <w:rsid w:val="7CB97700"/>
    <w:rsid w:val="7CBE6BEB"/>
    <w:rsid w:val="7CBFCF80"/>
    <w:rsid w:val="7CC5DEFB"/>
    <w:rsid w:val="7CC82B3F"/>
    <w:rsid w:val="7CCE3427"/>
    <w:rsid w:val="7CD10BFB"/>
    <w:rsid w:val="7CD154F4"/>
    <w:rsid w:val="7CD244F5"/>
    <w:rsid w:val="7CDC7EAB"/>
    <w:rsid w:val="7CDF8340"/>
    <w:rsid w:val="7CE6BDEC"/>
    <w:rsid w:val="7CE7C68F"/>
    <w:rsid w:val="7CE8FEC2"/>
    <w:rsid w:val="7CEC49BF"/>
    <w:rsid w:val="7CEF9677"/>
    <w:rsid w:val="7CF60B95"/>
    <w:rsid w:val="7CFB6D42"/>
    <w:rsid w:val="7D0321C5"/>
    <w:rsid w:val="7D04219F"/>
    <w:rsid w:val="7D06A1A0"/>
    <w:rsid w:val="7D06DEAE"/>
    <w:rsid w:val="7D13A52B"/>
    <w:rsid w:val="7D15EDE4"/>
    <w:rsid w:val="7D23F36A"/>
    <w:rsid w:val="7D2B6444"/>
    <w:rsid w:val="7D2E6475"/>
    <w:rsid w:val="7D30DD36"/>
    <w:rsid w:val="7D33FAED"/>
    <w:rsid w:val="7D35E48D"/>
    <w:rsid w:val="7D363FB3"/>
    <w:rsid w:val="7D36E705"/>
    <w:rsid w:val="7D404553"/>
    <w:rsid w:val="7D41708E"/>
    <w:rsid w:val="7D45F4A4"/>
    <w:rsid w:val="7D617E13"/>
    <w:rsid w:val="7D61C5C7"/>
    <w:rsid w:val="7D688B93"/>
    <w:rsid w:val="7D6B27DC"/>
    <w:rsid w:val="7D6C54A7"/>
    <w:rsid w:val="7D6D59E8"/>
    <w:rsid w:val="7D6DA5D1"/>
    <w:rsid w:val="7D745CAC"/>
    <w:rsid w:val="7D80685C"/>
    <w:rsid w:val="7D81C735"/>
    <w:rsid w:val="7D82429E"/>
    <w:rsid w:val="7D86C4C2"/>
    <w:rsid w:val="7D8BAFA0"/>
    <w:rsid w:val="7D98552D"/>
    <w:rsid w:val="7D9B5F9B"/>
    <w:rsid w:val="7D9BFBF5"/>
    <w:rsid w:val="7DA698EE"/>
    <w:rsid w:val="7DAD91A2"/>
    <w:rsid w:val="7DB2965B"/>
    <w:rsid w:val="7DB3037F"/>
    <w:rsid w:val="7DBA03C2"/>
    <w:rsid w:val="7DBBC515"/>
    <w:rsid w:val="7DBBEE9F"/>
    <w:rsid w:val="7DC064DC"/>
    <w:rsid w:val="7DC4F79C"/>
    <w:rsid w:val="7DC6E2A6"/>
    <w:rsid w:val="7DC7D9FE"/>
    <w:rsid w:val="7DCBCBA6"/>
    <w:rsid w:val="7DCD1398"/>
    <w:rsid w:val="7DD37A68"/>
    <w:rsid w:val="7DD4BA9F"/>
    <w:rsid w:val="7DDAB67D"/>
    <w:rsid w:val="7DE8736D"/>
    <w:rsid w:val="7DEE0D0F"/>
    <w:rsid w:val="7DF3E17D"/>
    <w:rsid w:val="7DF421AF"/>
    <w:rsid w:val="7DFB1F6B"/>
    <w:rsid w:val="7DFCEED4"/>
    <w:rsid w:val="7E11C135"/>
    <w:rsid w:val="7E1735FC"/>
    <w:rsid w:val="7E35056F"/>
    <w:rsid w:val="7E3F0F41"/>
    <w:rsid w:val="7E63FB81"/>
    <w:rsid w:val="7E667BD2"/>
    <w:rsid w:val="7E790CEA"/>
    <w:rsid w:val="7E7F1263"/>
    <w:rsid w:val="7E84C27D"/>
    <w:rsid w:val="7E8921A7"/>
    <w:rsid w:val="7E8F5834"/>
    <w:rsid w:val="7E992717"/>
    <w:rsid w:val="7E9D55D9"/>
    <w:rsid w:val="7EA092CF"/>
    <w:rsid w:val="7EA2635F"/>
    <w:rsid w:val="7EA4D5EB"/>
    <w:rsid w:val="7EA7A65A"/>
    <w:rsid w:val="7EB9AEBE"/>
    <w:rsid w:val="7EC0841F"/>
    <w:rsid w:val="7EC7EC3F"/>
    <w:rsid w:val="7ECB9AD1"/>
    <w:rsid w:val="7ECC5BD4"/>
    <w:rsid w:val="7ED20B1F"/>
    <w:rsid w:val="7ED7AC72"/>
    <w:rsid w:val="7EDB1370"/>
    <w:rsid w:val="7EDDAE04"/>
    <w:rsid w:val="7EE3539B"/>
    <w:rsid w:val="7EE374D5"/>
    <w:rsid w:val="7EEA0DE8"/>
    <w:rsid w:val="7EECC62E"/>
    <w:rsid w:val="7EEE7679"/>
    <w:rsid w:val="7EEF4C88"/>
    <w:rsid w:val="7EF4F7B2"/>
    <w:rsid w:val="7EF80963"/>
    <w:rsid w:val="7EF9A3FB"/>
    <w:rsid w:val="7EFB857E"/>
    <w:rsid w:val="7F14FAA6"/>
    <w:rsid w:val="7F18A40E"/>
    <w:rsid w:val="7F190197"/>
    <w:rsid w:val="7F1EF274"/>
    <w:rsid w:val="7F2406B1"/>
    <w:rsid w:val="7F35F103"/>
    <w:rsid w:val="7F3D7047"/>
    <w:rsid w:val="7F3EB023"/>
    <w:rsid w:val="7F453FF9"/>
    <w:rsid w:val="7F5418B3"/>
    <w:rsid w:val="7F56F3D4"/>
    <w:rsid w:val="7F619E26"/>
    <w:rsid w:val="7F65F737"/>
    <w:rsid w:val="7F6871A1"/>
    <w:rsid w:val="7F70F9F1"/>
    <w:rsid w:val="7F737406"/>
    <w:rsid w:val="7F73BFE6"/>
    <w:rsid w:val="7F784DEA"/>
    <w:rsid w:val="7F7948EA"/>
    <w:rsid w:val="7F7F698A"/>
    <w:rsid w:val="7F82C962"/>
    <w:rsid w:val="7F89E307"/>
    <w:rsid w:val="7F89FC98"/>
    <w:rsid w:val="7F8B595A"/>
    <w:rsid w:val="7F92F830"/>
    <w:rsid w:val="7F9674E0"/>
    <w:rsid w:val="7F9A1F3F"/>
    <w:rsid w:val="7F9E813B"/>
    <w:rsid w:val="7FA907A6"/>
    <w:rsid w:val="7FAF6A38"/>
    <w:rsid w:val="7FB0CA1B"/>
    <w:rsid w:val="7FB23284"/>
    <w:rsid w:val="7FB2CFA7"/>
    <w:rsid w:val="7FB82980"/>
    <w:rsid w:val="7FCB19DB"/>
    <w:rsid w:val="7FCC0D7C"/>
    <w:rsid w:val="7FDC9DD1"/>
    <w:rsid w:val="7FE2D753"/>
    <w:rsid w:val="7FE67297"/>
    <w:rsid w:val="7FEB7F04"/>
    <w:rsid w:val="7FF8476B"/>
    <w:rsid w:val="7FF9F5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22DA1"/>
  <w15:docId w15:val="{A6A67FDE-89E6-4477-A903-DCF6FC56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4B"/>
    <w:pPr>
      <w:spacing w:before="120" w:after="0" w:line="264" w:lineRule="auto"/>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567C92"/>
    <w:pPr>
      <w:pageBreakBefore/>
      <w:spacing w:before="240" w:line="240" w:lineRule="auto"/>
      <w:ind w:left="2268" w:hanging="2268"/>
      <w:outlineLvl w:val="1"/>
    </w:pPr>
    <w:rPr>
      <w:rFonts w:asciiTheme="majorHAnsi" w:eastAsiaTheme="majorEastAsia" w:hAnsiTheme="majorHAnsi" w:cstheme="majorBidi"/>
      <w:bCs/>
      <w:color w:val="005A70"/>
      <w:sz w:val="40"/>
      <w:szCs w:val="26"/>
    </w:rPr>
  </w:style>
  <w:style w:type="paragraph" w:styleId="Heading3">
    <w:name w:val="heading 3"/>
    <w:basedOn w:val="Heading4"/>
    <w:next w:val="Normal"/>
    <w:link w:val="Heading3Char"/>
    <w:uiPriority w:val="2"/>
    <w:qFormat/>
    <w:rsid w:val="00EF010F"/>
    <w:pPr>
      <w:spacing w:line="271" w:lineRule="auto"/>
      <w:outlineLvl w:val="2"/>
    </w:pPr>
    <w:rPr>
      <w:bCs w:val="0"/>
      <w:iCs w:val="0"/>
      <w:color w:val="005A70"/>
      <w:sz w:val="32"/>
    </w:rPr>
  </w:style>
  <w:style w:type="paragraph" w:styleId="Heading4">
    <w:name w:val="heading 4"/>
    <w:basedOn w:val="Normal"/>
    <w:next w:val="Normal"/>
    <w:link w:val="Heading4Char"/>
    <w:uiPriority w:val="2"/>
    <w:qFormat/>
    <w:rsid w:val="00DD6506"/>
    <w:pPr>
      <w:keepNext/>
      <w:spacing w:before="200"/>
      <w:ind w:left="851" w:hanging="851"/>
      <w:outlineLvl w:val="3"/>
    </w:pPr>
    <w:rPr>
      <w:rFonts w:asciiTheme="majorHAnsi" w:eastAsiaTheme="majorEastAsia" w:hAnsiTheme="majorHAnsi" w:cstheme="majorBidi"/>
      <w:bCs/>
      <w:iCs/>
      <w:color w:val="00838A"/>
      <w:sz w:val="28"/>
    </w:rPr>
  </w:style>
  <w:style w:type="paragraph" w:styleId="Heading5">
    <w:name w:val="heading 5"/>
    <w:basedOn w:val="Normal"/>
    <w:next w:val="Normal"/>
    <w:link w:val="Heading5Char"/>
    <w:uiPriority w:val="2"/>
    <w:unhideWhenUsed/>
    <w:qFormat/>
    <w:rsid w:val="00BF4B36"/>
    <w:pPr>
      <w:keepNext/>
      <w:spacing w:before="160"/>
      <w:outlineLvl w:val="4"/>
    </w:pPr>
    <w:rPr>
      <w:rFonts w:asciiTheme="majorHAnsi" w:eastAsiaTheme="majorEastAsia" w:hAnsiTheme="majorHAnsi" w:cstheme="majorBidi"/>
      <w:bCs/>
      <w:color w:val="00838A"/>
      <w:sz w:val="24"/>
    </w:rPr>
  </w:style>
  <w:style w:type="paragraph" w:styleId="Heading6">
    <w:name w:val="heading 6"/>
    <w:basedOn w:val="Normal"/>
    <w:next w:val="Normal"/>
    <w:link w:val="Heading6Char"/>
    <w:uiPriority w:val="2"/>
    <w:unhideWhenUsed/>
    <w:qFormat/>
    <w:rsid w:val="00450DE1"/>
    <w:pPr>
      <w:spacing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567C92"/>
    <w:rPr>
      <w:rFonts w:asciiTheme="majorHAnsi" w:eastAsiaTheme="majorEastAsia" w:hAnsiTheme="majorHAnsi" w:cstheme="majorBidi"/>
      <w:bCs/>
      <w:color w:val="005A70"/>
      <w:spacing w:val="3"/>
      <w:sz w:val="40"/>
      <w:szCs w:val="26"/>
    </w:rPr>
  </w:style>
  <w:style w:type="paragraph" w:styleId="BalloonText">
    <w:name w:val="Balloon Text"/>
    <w:basedOn w:val="Normal"/>
    <w:link w:val="BalloonTextChar"/>
    <w:uiPriority w:val="99"/>
    <w:semiHidden/>
    <w:unhideWhenUsed/>
    <w:rsid w:val="00450DE1"/>
    <w:pPr>
      <w:spacing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F010F"/>
    <w:rPr>
      <w:rFonts w:asciiTheme="majorHAnsi" w:eastAsiaTheme="majorEastAsia" w:hAnsiTheme="majorHAnsi" w:cstheme="majorBidi"/>
      <w:color w:val="005A70"/>
      <w:spacing w:val="3"/>
      <w:sz w:val="32"/>
    </w:rPr>
  </w:style>
  <w:style w:type="character" w:customStyle="1" w:styleId="Heading4Char">
    <w:name w:val="Heading 4 Char"/>
    <w:basedOn w:val="DefaultParagraphFont"/>
    <w:link w:val="Heading4"/>
    <w:uiPriority w:val="2"/>
    <w:rsid w:val="00DD6506"/>
    <w:rPr>
      <w:rFonts w:asciiTheme="majorHAnsi" w:eastAsiaTheme="majorEastAsia" w:hAnsiTheme="majorHAnsi" w:cstheme="majorBidi"/>
      <w:bCs/>
      <w:iCs/>
      <w:color w:val="00838A"/>
      <w:spacing w:val="3"/>
      <w:sz w:val="28"/>
    </w:rPr>
  </w:style>
  <w:style w:type="character" w:customStyle="1" w:styleId="Heading5Char">
    <w:name w:val="Heading 5 Char"/>
    <w:basedOn w:val="DefaultParagraphFont"/>
    <w:link w:val="Heading5"/>
    <w:uiPriority w:val="2"/>
    <w:rsid w:val="00BF4B36"/>
    <w:rPr>
      <w:rFonts w:asciiTheme="majorHAnsi" w:eastAsiaTheme="majorEastAsia" w:hAnsiTheme="majorHAnsi" w:cstheme="majorBidi"/>
      <w:bCs/>
      <w:color w:val="00838A"/>
      <w:spacing w:val="3"/>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customStyle="1" w:styleId="Horizontalrule">
    <w:name w:val="Horizontal rule"/>
    <w:basedOn w:val="Normal"/>
    <w:uiPriority w:val="4"/>
    <w:semiHidden/>
    <w:qFormat/>
    <w:rsid w:val="00450DE1"/>
    <w:pPr>
      <w:pBdr>
        <w:bottom w:val="single" w:sz="24" w:space="1" w:color="005A70" w:themeColor="accent1"/>
      </w:pBdr>
      <w:spacing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192CF1"/>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593D1A"/>
    <w:rPr>
      <w:b/>
      <w:bCs/>
      <w:i w:val="0"/>
      <w:iCs/>
      <w:spacing w:val="10"/>
      <w:sz w:val="24"/>
      <w:bdr w:val="none" w:sz="0" w:space="0" w:color="auto"/>
      <w:shd w:val="clear" w:color="auto" w:fill="auto"/>
    </w:rPr>
  </w:style>
  <w:style w:type="paragraph" w:styleId="Footer">
    <w:name w:val="footer"/>
    <w:basedOn w:val="PageNumber1"/>
    <w:link w:val="FooterChar"/>
    <w:uiPriority w:val="99"/>
    <w:unhideWhenUsed/>
    <w:rsid w:val="00574D06"/>
  </w:style>
  <w:style w:type="character" w:customStyle="1" w:styleId="FooterChar">
    <w:name w:val="Footer Char"/>
    <w:basedOn w:val="DefaultParagraphFont"/>
    <w:link w:val="Footer"/>
    <w:uiPriority w:val="99"/>
    <w:rsid w:val="00574D06"/>
    <w:rPr>
      <w:noProof/>
      <w:color w:val="005A70" w:themeColor="accent1"/>
      <w:spacing w:val="3"/>
      <w:sz w:val="18"/>
      <w:lang w:eastAsia="en-AU"/>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B1BFC"/>
    <w:pPr>
      <w:tabs>
        <w:tab w:val="center" w:pos="4513"/>
        <w:tab w:val="right" w:pos="9026"/>
      </w:tabs>
      <w:spacing w:line="240" w:lineRule="auto"/>
    </w:pPr>
    <w:rPr>
      <w:rFonts w:cstheme="minorHAnsi"/>
      <w:noProof/>
      <w:color w:val="24596E"/>
      <w:lang w:eastAsia="en-AU"/>
    </w:rPr>
  </w:style>
  <w:style w:type="character" w:customStyle="1" w:styleId="HeaderChar">
    <w:name w:val="Header Char"/>
    <w:basedOn w:val="DefaultParagraphFont"/>
    <w:link w:val="Header"/>
    <w:uiPriority w:val="99"/>
    <w:rsid w:val="00CB1BFC"/>
    <w:rPr>
      <w:rFonts w:cstheme="minorHAnsi"/>
      <w:noProof/>
      <w:color w:val="24596E"/>
      <w:spacing w:val="3"/>
      <w:sz w:val="22"/>
      <w:lang w:eastAsia="en-AU"/>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qFormat/>
    <w:rsid w:val="00450DE1"/>
    <w:rPr>
      <w:rFonts w:asciiTheme="minorHAnsi" w:hAnsiTheme="minorHAnsi"/>
      <w:b w:val="0"/>
      <w:color w:val="0070C0"/>
      <w:u w:val="single"/>
    </w:r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customStyle="1" w:styleId="PageNumber1">
    <w:name w:val="Page Number1"/>
    <w:basedOn w:val="Normal"/>
    <w:uiPriority w:val="97"/>
    <w:qFormat/>
    <w:rsid w:val="00574D06"/>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usGovStyleManualList">
    <w:name w:val="AusGov Style Manual List"/>
    <w:uiPriority w:val="99"/>
    <w:rsid w:val="00E41ED7"/>
    <w:pPr>
      <w:numPr>
        <w:numId w:val="2"/>
      </w:numPr>
    </w:pPr>
  </w:style>
  <w:style w:type="table" w:styleId="TableGrid">
    <w:name w:val="Table Grid"/>
    <w:aliases w:val="Table"/>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ChartHeading">
    <w:name w:val="Table/Chart Heading"/>
    <w:basedOn w:val="Normal"/>
    <w:next w:val="Normal"/>
    <w:uiPriority w:val="4"/>
    <w:qFormat/>
    <w:rsid w:val="002E1E09"/>
    <w:pPr>
      <w:keepNext/>
      <w:spacing w:after="120"/>
    </w:pPr>
    <w:rPr>
      <w:rFonts w:asciiTheme="majorHAnsi" w:hAnsiTheme="majorHAnsi"/>
      <w:b/>
      <w:bCs/>
      <w:szCs w:val="18"/>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5E1117"/>
    <w:pPr>
      <w:keepNext/>
      <w:tabs>
        <w:tab w:val="right" w:leader="dot" w:pos="10194"/>
      </w:tabs>
      <w:spacing w:after="100"/>
    </w:pPr>
    <w:rPr>
      <w:b/>
      <w:color w:val="005A70"/>
    </w:rPr>
  </w:style>
  <w:style w:type="paragraph" w:styleId="TOC2">
    <w:name w:val="toc 2"/>
    <w:basedOn w:val="Normal"/>
    <w:next w:val="Normal"/>
    <w:autoRedefine/>
    <w:uiPriority w:val="39"/>
    <w:unhideWhenUsed/>
    <w:rsid w:val="00A93A63"/>
    <w:pPr>
      <w:keepNext/>
      <w:tabs>
        <w:tab w:val="left" w:pos="880"/>
        <w:tab w:val="right" w:leader="dot" w:pos="10194"/>
      </w:tabs>
      <w:spacing w:after="100"/>
      <w:ind w:left="198"/>
    </w:pPr>
  </w:style>
  <w:style w:type="paragraph" w:styleId="TOC3">
    <w:name w:val="toc 3"/>
    <w:basedOn w:val="Normal"/>
    <w:next w:val="Normal"/>
    <w:autoRedefine/>
    <w:uiPriority w:val="39"/>
    <w:unhideWhenUsed/>
    <w:rsid w:val="00990712"/>
    <w:pPr>
      <w:tabs>
        <w:tab w:val="left" w:pos="1320"/>
        <w:tab w:val="right" w:leader="dot" w:pos="10194"/>
      </w:tabs>
      <w:spacing w:after="100"/>
      <w:ind w:left="400"/>
    </w:pPr>
  </w:style>
  <w:style w:type="paragraph" w:styleId="TOCHeading">
    <w:name w:val="TOC Heading"/>
    <w:basedOn w:val="Heading2"/>
    <w:next w:val="Normal"/>
    <w:uiPriority w:val="39"/>
    <w:unhideWhenUsed/>
    <w:qFormat/>
    <w:rsid w:val="00450DE1"/>
  </w:style>
  <w:style w:type="paragraph" w:styleId="CommentSubject">
    <w:name w:val="annotation subject"/>
    <w:basedOn w:val="Normal"/>
    <w:next w:val="Normal"/>
    <w:link w:val="CommentSubjectChar"/>
    <w:uiPriority w:val="99"/>
    <w:semiHidden/>
    <w:unhideWhenUsed/>
    <w:rsid w:val="001951A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951AE"/>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ind w:left="440" w:hanging="440"/>
    </w:pPr>
    <w:rPr>
      <w:rFonts w:cstheme="minorHAnsi"/>
      <w:b/>
      <w:bCs/>
      <w:sz w:val="20"/>
      <w:szCs w:val="20"/>
    </w:rPr>
  </w:style>
  <w:style w:type="character" w:customStyle="1" w:styleId="UnresolvedMention1">
    <w:name w:val="Unresolved Mention1"/>
    <w:basedOn w:val="DefaultParagraphFont"/>
    <w:uiPriority w:val="99"/>
    <w:semiHidden/>
    <w:unhideWhenUsed/>
    <w:rsid w:val="00A438DE"/>
    <w:rPr>
      <w:color w:val="605E5C"/>
      <w:shd w:val="clear" w:color="auto" w:fill="E1DFDD"/>
    </w:rPr>
  </w:style>
  <w:style w:type="character" w:customStyle="1" w:styleId="Heading2Char1">
    <w:name w:val="Heading 2 Char1"/>
    <w:aliases w:val="Chapter Level 3 Char1,Chapter Level 1 Char1"/>
    <w:basedOn w:val="DefaultParagraphFont"/>
    <w:uiPriority w:val="9"/>
    <w:semiHidden/>
    <w:rsid w:val="00C04C95"/>
    <w:rPr>
      <w:rFonts w:asciiTheme="minorHAnsi" w:eastAsiaTheme="majorEastAsia" w:hAnsiTheme="minorHAnsi" w:cstheme="majorBidi"/>
      <w:i/>
      <w:color w:val="000000" w:themeColor="text1"/>
      <w:sz w:val="28"/>
      <w:szCs w:val="28"/>
    </w:rPr>
  </w:style>
  <w:style w:type="paragraph" w:customStyle="1" w:styleId="TableText">
    <w:name w:val="Table Text"/>
    <w:basedOn w:val="Normal"/>
    <w:link w:val="TableTextChar"/>
    <w:rsid w:val="002C5EDF"/>
    <w:pPr>
      <w:spacing w:before="60" w:after="60" w:line="240" w:lineRule="auto"/>
    </w:pPr>
    <w:rPr>
      <w:rFonts w:eastAsia="Times New Roman" w:cs="Times New Roman"/>
      <w:spacing w:val="0"/>
      <w:lang w:eastAsia="en-AU"/>
    </w:rPr>
  </w:style>
  <w:style w:type="paragraph" w:customStyle="1" w:styleId="SystemStep">
    <w:name w:val="System Step"/>
    <w:basedOn w:val="Normal"/>
    <w:link w:val="SystemStepChar"/>
    <w:qFormat/>
    <w:rsid w:val="000D7FA4"/>
    <w:pPr>
      <w:numPr>
        <w:numId w:val="9"/>
      </w:numPr>
    </w:pPr>
  </w:style>
  <w:style w:type="character" w:styleId="PageNumber">
    <w:name w:val="page number"/>
    <w:basedOn w:val="DefaultParagraphFont"/>
    <w:rsid w:val="00905689"/>
  </w:style>
  <w:style w:type="numbering" w:customStyle="1" w:styleId="LeftColumnBullet">
    <w:name w:val="Left Column Bullet"/>
    <w:basedOn w:val="NoList"/>
    <w:rsid w:val="00905689"/>
    <w:pPr>
      <w:numPr>
        <w:numId w:val="3"/>
      </w:numPr>
    </w:pPr>
  </w:style>
  <w:style w:type="paragraph" w:styleId="TOC4">
    <w:name w:val="toc 4"/>
    <w:basedOn w:val="Normal"/>
    <w:next w:val="Normal"/>
    <w:autoRedefine/>
    <w:uiPriority w:val="39"/>
    <w:rsid w:val="00905689"/>
    <w:pPr>
      <w:spacing w:line="240" w:lineRule="auto"/>
      <w:ind w:left="660"/>
    </w:pPr>
    <w:rPr>
      <w:rFonts w:eastAsia="Times New Roman" w:cstheme="minorHAnsi"/>
      <w:spacing w:val="0"/>
      <w:sz w:val="20"/>
      <w:szCs w:val="20"/>
      <w:lang w:eastAsia="en-AU"/>
    </w:rPr>
  </w:style>
  <w:style w:type="paragraph" w:styleId="TOC5">
    <w:name w:val="toc 5"/>
    <w:basedOn w:val="Normal"/>
    <w:next w:val="Normal"/>
    <w:autoRedefine/>
    <w:uiPriority w:val="39"/>
    <w:rsid w:val="00905689"/>
    <w:pPr>
      <w:spacing w:line="240" w:lineRule="auto"/>
      <w:ind w:left="880"/>
    </w:pPr>
    <w:rPr>
      <w:rFonts w:eastAsia="Times New Roman" w:cstheme="minorHAnsi"/>
      <w:spacing w:val="0"/>
      <w:sz w:val="20"/>
      <w:szCs w:val="20"/>
      <w:lang w:eastAsia="en-AU"/>
    </w:rPr>
  </w:style>
  <w:style w:type="paragraph" w:styleId="TOC6">
    <w:name w:val="toc 6"/>
    <w:basedOn w:val="Normal"/>
    <w:next w:val="Normal"/>
    <w:autoRedefine/>
    <w:uiPriority w:val="39"/>
    <w:rsid w:val="00905689"/>
    <w:pPr>
      <w:spacing w:line="240" w:lineRule="auto"/>
      <w:ind w:left="1100"/>
    </w:pPr>
    <w:rPr>
      <w:rFonts w:eastAsia="Times New Roman" w:cstheme="minorHAnsi"/>
      <w:spacing w:val="0"/>
      <w:sz w:val="20"/>
      <w:szCs w:val="20"/>
      <w:lang w:eastAsia="en-AU"/>
    </w:rPr>
  </w:style>
  <w:style w:type="paragraph" w:styleId="TOC7">
    <w:name w:val="toc 7"/>
    <w:basedOn w:val="Normal"/>
    <w:next w:val="Normal"/>
    <w:autoRedefine/>
    <w:uiPriority w:val="39"/>
    <w:rsid w:val="00905689"/>
    <w:pPr>
      <w:spacing w:line="240" w:lineRule="auto"/>
      <w:ind w:left="1320"/>
    </w:pPr>
    <w:rPr>
      <w:rFonts w:eastAsia="Times New Roman" w:cstheme="minorHAnsi"/>
      <w:spacing w:val="0"/>
      <w:sz w:val="20"/>
      <w:szCs w:val="20"/>
      <w:lang w:eastAsia="en-AU"/>
    </w:rPr>
  </w:style>
  <w:style w:type="paragraph" w:styleId="TOC8">
    <w:name w:val="toc 8"/>
    <w:basedOn w:val="Normal"/>
    <w:next w:val="Normal"/>
    <w:autoRedefine/>
    <w:uiPriority w:val="39"/>
    <w:rsid w:val="00905689"/>
    <w:pPr>
      <w:spacing w:line="240" w:lineRule="auto"/>
      <w:ind w:left="1540"/>
    </w:pPr>
    <w:rPr>
      <w:rFonts w:eastAsia="Times New Roman" w:cstheme="minorHAnsi"/>
      <w:spacing w:val="0"/>
      <w:sz w:val="20"/>
      <w:szCs w:val="20"/>
      <w:lang w:eastAsia="en-AU"/>
    </w:rPr>
  </w:style>
  <w:style w:type="paragraph" w:styleId="TOC9">
    <w:name w:val="toc 9"/>
    <w:basedOn w:val="Normal"/>
    <w:next w:val="Normal"/>
    <w:autoRedefine/>
    <w:uiPriority w:val="39"/>
    <w:rsid w:val="00905689"/>
    <w:pPr>
      <w:spacing w:line="240" w:lineRule="auto"/>
      <w:ind w:left="1760"/>
    </w:pPr>
    <w:rPr>
      <w:rFonts w:eastAsia="Times New Roman" w:cstheme="minorHAnsi"/>
      <w:spacing w:val="0"/>
      <w:sz w:val="20"/>
      <w:szCs w:val="20"/>
      <w:lang w:eastAsia="en-AU"/>
    </w:rPr>
  </w:style>
  <w:style w:type="numbering" w:customStyle="1" w:styleId="Style2">
    <w:name w:val="Style2"/>
    <w:uiPriority w:val="99"/>
    <w:rsid w:val="00905689"/>
    <w:pPr>
      <w:numPr>
        <w:numId w:val="5"/>
      </w:numPr>
    </w:pPr>
  </w:style>
  <w:style w:type="paragraph" w:styleId="FootnoteText">
    <w:name w:val="footnote text"/>
    <w:basedOn w:val="Normal"/>
    <w:link w:val="FootnoteTextChar"/>
    <w:uiPriority w:val="99"/>
    <w:unhideWhenUsed/>
    <w:rsid w:val="00905689"/>
    <w:pPr>
      <w:spacing w:line="240" w:lineRule="auto"/>
    </w:pPr>
    <w:rPr>
      <w:rFonts w:ascii="Calibri" w:eastAsia="Times New Roman" w:hAnsi="Calibri" w:cs="Times New Roman"/>
      <w:spacing w:val="0"/>
      <w:sz w:val="20"/>
      <w:szCs w:val="20"/>
      <w:lang w:eastAsia="en-AU"/>
    </w:rPr>
  </w:style>
  <w:style w:type="character" w:customStyle="1" w:styleId="FootnoteTextChar">
    <w:name w:val="Footnote Text Char"/>
    <w:basedOn w:val="DefaultParagraphFont"/>
    <w:link w:val="FootnoteText"/>
    <w:uiPriority w:val="99"/>
    <w:rsid w:val="00905689"/>
    <w:rPr>
      <w:rFonts w:ascii="Calibri" w:eastAsia="Times New Roman" w:hAnsi="Calibri" w:cs="Times New Roman"/>
      <w:sz w:val="20"/>
      <w:szCs w:val="20"/>
      <w:lang w:eastAsia="en-AU"/>
    </w:rPr>
  </w:style>
  <w:style w:type="character" w:styleId="FootnoteReference">
    <w:name w:val="footnote reference"/>
    <w:basedOn w:val="DefaultParagraphFont"/>
    <w:uiPriority w:val="99"/>
    <w:unhideWhenUsed/>
    <w:rsid w:val="00905689"/>
    <w:rPr>
      <w:vertAlign w:val="superscript"/>
    </w:rPr>
  </w:style>
  <w:style w:type="paragraph" w:styleId="Quote">
    <w:name w:val="Quote"/>
    <w:basedOn w:val="Normal"/>
    <w:next w:val="Normal"/>
    <w:link w:val="QuoteChar"/>
    <w:uiPriority w:val="29"/>
    <w:qFormat/>
    <w:rsid w:val="00905689"/>
    <w:pPr>
      <w:spacing w:before="200" w:line="276" w:lineRule="auto"/>
      <w:ind w:left="360" w:right="360"/>
    </w:pPr>
    <w:rPr>
      <w:rFonts w:ascii="Arial" w:hAnsi="Arial"/>
      <w:i/>
      <w:iCs/>
      <w:spacing w:val="0"/>
      <w:szCs w:val="22"/>
    </w:rPr>
  </w:style>
  <w:style w:type="character" w:customStyle="1" w:styleId="QuoteChar">
    <w:name w:val="Quote Char"/>
    <w:basedOn w:val="DefaultParagraphFont"/>
    <w:link w:val="Quote"/>
    <w:uiPriority w:val="29"/>
    <w:rsid w:val="00905689"/>
    <w:rPr>
      <w:rFonts w:ascii="Arial" w:hAnsi="Arial"/>
      <w:i/>
      <w:iCs/>
      <w:sz w:val="22"/>
      <w:szCs w:val="22"/>
    </w:rPr>
  </w:style>
  <w:style w:type="paragraph" w:customStyle="1" w:styleId="Bullet-SupportingDocument">
    <w:name w:val="Bullet - Supporting Document"/>
    <w:basedOn w:val="Normal"/>
    <w:link w:val="Bullet-SupportingDocumentChar"/>
    <w:qFormat/>
    <w:rsid w:val="00620350"/>
    <w:pPr>
      <w:numPr>
        <w:numId w:val="6"/>
      </w:numPr>
      <w:spacing w:line="240" w:lineRule="auto"/>
      <w:contextualSpacing/>
    </w:pPr>
    <w:rPr>
      <w:color w:val="000000" w:themeColor="text1"/>
      <w:spacing w:val="0"/>
      <w:szCs w:val="20"/>
    </w:rPr>
  </w:style>
  <w:style w:type="character" w:customStyle="1" w:styleId="Bullet-SupportingDocumentChar">
    <w:name w:val="Bullet - Supporting Document Char"/>
    <w:basedOn w:val="DefaultParagraphFont"/>
    <w:link w:val="Bullet-SupportingDocument"/>
    <w:locked/>
    <w:rsid w:val="00620350"/>
    <w:rPr>
      <w:color w:val="000000" w:themeColor="text1"/>
      <w:sz w:val="22"/>
      <w:szCs w:val="20"/>
    </w:rPr>
  </w:style>
  <w:style w:type="paragraph" w:customStyle="1" w:styleId="Heading-SupportingDocuments">
    <w:name w:val="Heading - Supporting Documents"/>
    <w:basedOn w:val="Heading3"/>
    <w:link w:val="Heading-SupportingDocumentsChar"/>
    <w:qFormat/>
    <w:rsid w:val="00343599"/>
    <w:rPr>
      <w:b/>
      <w:color w:val="auto"/>
      <w:sz w:val="24"/>
    </w:rPr>
  </w:style>
  <w:style w:type="character" w:customStyle="1" w:styleId="Heading-SupportingDocumentsChar">
    <w:name w:val="Heading - Supporting Documents Char"/>
    <w:basedOn w:val="Heading3Char"/>
    <w:link w:val="Heading-SupportingDocuments"/>
    <w:rsid w:val="00343599"/>
    <w:rPr>
      <w:rFonts w:asciiTheme="majorHAnsi" w:eastAsiaTheme="majorEastAsia" w:hAnsiTheme="majorHAnsi" w:cstheme="majorBidi"/>
      <w:b/>
      <w:bCs w:val="0"/>
      <w:color w:val="005A70" w:themeColor="accent1"/>
      <w:spacing w:val="3"/>
      <w:sz w:val="32"/>
    </w:rPr>
  </w:style>
  <w:style w:type="paragraph" w:customStyle="1" w:styleId="TableList-level2">
    <w:name w:val="Table List - level 2"/>
    <w:basedOn w:val="TableList-level1"/>
    <w:link w:val="TableList-level2Char"/>
    <w:qFormat/>
    <w:rsid w:val="009C4786"/>
    <w:pPr>
      <w:numPr>
        <w:ilvl w:val="1"/>
        <w:numId w:val="8"/>
      </w:numPr>
      <w:ind w:left="568" w:hanging="284"/>
    </w:pPr>
  </w:style>
  <w:style w:type="character" w:customStyle="1" w:styleId="TableTextChar">
    <w:name w:val="Table Text Char"/>
    <w:basedOn w:val="DefaultParagraphFont"/>
    <w:link w:val="TableText"/>
    <w:rsid w:val="002C5EDF"/>
    <w:rPr>
      <w:rFonts w:eastAsia="Times New Roman" w:cs="Times New Roman"/>
      <w:sz w:val="22"/>
      <w:lang w:eastAsia="en-AU"/>
    </w:rPr>
  </w:style>
  <w:style w:type="character" w:customStyle="1" w:styleId="TableList-level1Char">
    <w:name w:val="Table List - level 1 Char"/>
    <w:basedOn w:val="TableTextChar"/>
    <w:link w:val="TableList-level1"/>
    <w:rsid w:val="009C4786"/>
    <w:rPr>
      <w:rFonts w:eastAsia="Times New Roman" w:cs="Times New Roman"/>
      <w:sz w:val="22"/>
      <w:lang w:eastAsia="en-AU"/>
    </w:rPr>
  </w:style>
  <w:style w:type="character" w:customStyle="1" w:styleId="TableList-level2Char">
    <w:name w:val="Table List - level 2 Char"/>
    <w:basedOn w:val="TableList-level1Char"/>
    <w:link w:val="TableList-level2"/>
    <w:rsid w:val="009C4786"/>
    <w:rPr>
      <w:rFonts w:eastAsia="Times New Roman" w:cs="Times New Roman"/>
      <w:sz w:val="22"/>
      <w:lang w:eastAsia="en-AU"/>
    </w:rPr>
  </w:style>
  <w:style w:type="paragraph" w:customStyle="1" w:styleId="DeedReferences">
    <w:name w:val="Deed References"/>
    <w:basedOn w:val="Normal"/>
    <w:link w:val="DeedReferencesChar"/>
    <w:qFormat/>
    <w:rsid w:val="00F56909"/>
    <w:pPr>
      <w:tabs>
        <w:tab w:val="right" w:pos="1701"/>
      </w:tabs>
      <w:spacing w:after="120"/>
    </w:pPr>
    <w:rPr>
      <w:rFonts w:cstheme="minorHAnsi"/>
      <w:sz w:val="20"/>
      <w:szCs w:val="20"/>
    </w:rPr>
  </w:style>
  <w:style w:type="character" w:customStyle="1" w:styleId="DeedReferencesChar">
    <w:name w:val="Deed References Char"/>
    <w:basedOn w:val="DefaultParagraphFont"/>
    <w:link w:val="DeedReferences"/>
    <w:locked/>
    <w:rsid w:val="00F56909"/>
    <w:rPr>
      <w:rFonts w:cstheme="minorHAnsi"/>
      <w:spacing w:val="3"/>
      <w:sz w:val="20"/>
      <w:szCs w:val="20"/>
    </w:rPr>
  </w:style>
  <w:style w:type="paragraph" w:customStyle="1" w:styleId="BulletLevel1">
    <w:name w:val="Bullet Level 1"/>
    <w:link w:val="BulletLevel1Char"/>
    <w:qFormat/>
    <w:rsid w:val="00DB5AA2"/>
    <w:pPr>
      <w:numPr>
        <w:numId w:val="12"/>
      </w:numPr>
      <w:spacing w:before="60" w:after="60" w:line="264" w:lineRule="auto"/>
      <w:ind w:left="568" w:hanging="284"/>
    </w:pPr>
    <w:rPr>
      <w:spacing w:val="3"/>
      <w:sz w:val="22"/>
    </w:rPr>
  </w:style>
  <w:style w:type="character" w:customStyle="1" w:styleId="BulletLevel1Char">
    <w:name w:val="Bullet Level 1 Char"/>
    <w:basedOn w:val="DefaultParagraphFont"/>
    <w:link w:val="BulletLevel1"/>
    <w:rsid w:val="00DB5AA2"/>
    <w:rPr>
      <w:spacing w:val="3"/>
      <w:sz w:val="22"/>
    </w:rPr>
  </w:style>
  <w:style w:type="paragraph" w:customStyle="1" w:styleId="BulletLevel2">
    <w:name w:val="Bullet Level 2"/>
    <w:basedOn w:val="BulletLevel1"/>
    <w:link w:val="BulletLevel2Char"/>
    <w:qFormat/>
    <w:rsid w:val="00DB5AA2"/>
    <w:pPr>
      <w:numPr>
        <w:ilvl w:val="1"/>
        <w:numId w:val="16"/>
      </w:numPr>
      <w:ind w:left="851" w:hanging="284"/>
    </w:pPr>
    <w:rPr>
      <w:lang w:eastAsia="en-AU"/>
    </w:rPr>
  </w:style>
  <w:style w:type="character" w:customStyle="1" w:styleId="BulletLevel2Char">
    <w:name w:val="Bullet Level 2 Char"/>
    <w:basedOn w:val="BulletLevel1Char"/>
    <w:link w:val="BulletLevel2"/>
    <w:rsid w:val="00DB5AA2"/>
    <w:rPr>
      <w:spacing w:val="3"/>
      <w:sz w:val="22"/>
      <w:lang w:eastAsia="en-AU"/>
    </w:rPr>
  </w:style>
  <w:style w:type="paragraph" w:customStyle="1" w:styleId="BulletLevel3">
    <w:name w:val="Bullet Level 3"/>
    <w:basedOn w:val="BulletLevel2"/>
    <w:link w:val="BulletLevel3Char"/>
    <w:qFormat/>
    <w:rsid w:val="00C37805"/>
    <w:pPr>
      <w:numPr>
        <w:ilvl w:val="0"/>
        <w:numId w:val="15"/>
      </w:numPr>
    </w:pPr>
  </w:style>
  <w:style w:type="paragraph" w:customStyle="1" w:styleId="BulletLevel4">
    <w:name w:val="Bullet Level 4"/>
    <w:basedOn w:val="Normal"/>
    <w:link w:val="BulletLevel4Char"/>
    <w:qFormat/>
    <w:rsid w:val="00F42A72"/>
    <w:pPr>
      <w:numPr>
        <w:ilvl w:val="3"/>
        <w:numId w:val="11"/>
      </w:numPr>
      <w:tabs>
        <w:tab w:val="left" w:pos="170"/>
      </w:tabs>
      <w:spacing w:before="60" w:after="60"/>
      <w:ind w:left="1418" w:hanging="284"/>
    </w:pPr>
  </w:style>
  <w:style w:type="character" w:customStyle="1" w:styleId="BulletLevel3Char">
    <w:name w:val="Bullet Level 3 Char"/>
    <w:basedOn w:val="BulletLevel1Char"/>
    <w:link w:val="BulletLevel3"/>
    <w:rsid w:val="00F42A72"/>
    <w:rPr>
      <w:spacing w:val="3"/>
      <w:sz w:val="22"/>
      <w:lang w:eastAsia="en-AU"/>
    </w:rPr>
  </w:style>
  <w:style w:type="character" w:customStyle="1" w:styleId="BulletLevel4Char">
    <w:name w:val="Bullet Level 4 Char"/>
    <w:basedOn w:val="BulletLevel1Char"/>
    <w:link w:val="BulletLevel4"/>
    <w:rsid w:val="00F42A72"/>
    <w:rPr>
      <w:spacing w:val="3"/>
      <w:sz w:val="22"/>
    </w:rPr>
  </w:style>
  <w:style w:type="numbering" w:customStyle="1" w:styleId="BulletsList1">
    <w:name w:val="Bullets List1"/>
    <w:uiPriority w:val="99"/>
    <w:rsid w:val="00E861A7"/>
    <w:pPr>
      <w:numPr>
        <w:numId w:val="4"/>
      </w:numPr>
    </w:pPr>
  </w:style>
  <w:style w:type="numbering" w:customStyle="1" w:styleId="BulletsList2">
    <w:name w:val="Bullets List2"/>
    <w:uiPriority w:val="99"/>
    <w:rsid w:val="00E861A7"/>
    <w:pPr>
      <w:numPr>
        <w:numId w:val="7"/>
      </w:numPr>
    </w:pPr>
  </w:style>
  <w:style w:type="paragraph" w:customStyle="1" w:styleId="TableList-level1">
    <w:name w:val="Table List - level 1"/>
    <w:basedOn w:val="TableText"/>
    <w:link w:val="TableList-level1Char"/>
    <w:qFormat/>
    <w:rsid w:val="009C4786"/>
    <w:pPr>
      <w:numPr>
        <w:numId w:val="14"/>
      </w:numPr>
      <w:ind w:left="341" w:hanging="284"/>
    </w:pPr>
  </w:style>
  <w:style w:type="character" w:customStyle="1" w:styleId="SystemStepChar">
    <w:name w:val="System Step Char"/>
    <w:basedOn w:val="DefaultParagraphFont"/>
    <w:link w:val="SystemStep"/>
    <w:rsid w:val="000D7FA4"/>
    <w:rPr>
      <w:spacing w:val="3"/>
      <w:sz w:val="22"/>
    </w:rPr>
  </w:style>
  <w:style w:type="paragraph" w:customStyle="1" w:styleId="WorkHealthandSafetyStep">
    <w:name w:val="Work Health and Safety Step"/>
    <w:next w:val="Normal"/>
    <w:link w:val="WorkHealthandSafetyStepChar"/>
    <w:qFormat/>
    <w:rsid w:val="000D7FA4"/>
    <w:pPr>
      <w:numPr>
        <w:numId w:val="4"/>
      </w:numPr>
      <w:spacing w:before="120" w:after="0" w:line="264" w:lineRule="auto"/>
      <w:ind w:left="641" w:hanging="357"/>
    </w:pPr>
    <w:rPr>
      <w:spacing w:val="3"/>
      <w:sz w:val="22"/>
    </w:rPr>
  </w:style>
  <w:style w:type="character" w:customStyle="1" w:styleId="WorkHealthandSafetyStepChar">
    <w:name w:val="Work Health and Safety Step Char"/>
    <w:basedOn w:val="SystemStepChar"/>
    <w:link w:val="WorkHealthandSafetyStep"/>
    <w:rsid w:val="000D7FA4"/>
    <w:rPr>
      <w:spacing w:val="3"/>
      <w:sz w:val="22"/>
    </w:rPr>
  </w:style>
  <w:style w:type="paragraph" w:customStyle="1" w:styleId="DocumentaryEvidenceRequirement">
    <w:name w:val="Documentary Evidence Requirement"/>
    <w:basedOn w:val="WorkHealthandSafetyStep"/>
    <w:link w:val="DocumentaryEvidenceRequirementChar"/>
    <w:qFormat/>
    <w:rsid w:val="005541F5"/>
    <w:pPr>
      <w:numPr>
        <w:numId w:val="10"/>
      </w:numPr>
      <w:ind w:left="641" w:hanging="357"/>
    </w:pPr>
  </w:style>
  <w:style w:type="character" w:customStyle="1" w:styleId="DocumentaryEvidenceRequirementChar">
    <w:name w:val="Documentary Evidence Requirement Char"/>
    <w:basedOn w:val="WorkHealthandSafetyStepChar"/>
    <w:link w:val="DocumentaryEvidenceRequirement"/>
    <w:rsid w:val="005541F5"/>
    <w:rPr>
      <w:spacing w:val="3"/>
      <w:sz w:val="22"/>
    </w:rPr>
  </w:style>
  <w:style w:type="paragraph" w:customStyle="1" w:styleId="GlossaryList-level1">
    <w:name w:val="Glossary List - level 1"/>
    <w:basedOn w:val="Normal"/>
    <w:qFormat/>
    <w:rsid w:val="00FC127C"/>
    <w:pPr>
      <w:numPr>
        <w:numId w:val="13"/>
      </w:numPr>
      <w:spacing w:before="0" w:line="240" w:lineRule="auto"/>
    </w:pPr>
    <w:rPr>
      <w:rFonts w:ascii="Tahoma" w:hAnsi="Tahoma" w:cs="Tahoma"/>
      <w:sz w:val="20"/>
      <w:szCs w:val="20"/>
      <w:lang w:val="en-US"/>
    </w:rPr>
  </w:style>
  <w:style w:type="paragraph" w:styleId="Caption">
    <w:name w:val="caption"/>
    <w:basedOn w:val="Normal"/>
    <w:next w:val="Normal"/>
    <w:unhideWhenUsed/>
    <w:qFormat/>
    <w:rsid w:val="008C4070"/>
    <w:pPr>
      <w:keepNext/>
      <w:keepLines/>
      <w:spacing w:before="360" w:after="120" w:line="240" w:lineRule="atLeast"/>
    </w:pPr>
    <w:rPr>
      <w:bCs/>
      <w:szCs w:val="18"/>
    </w:rPr>
  </w:style>
  <w:style w:type="table" w:customStyle="1" w:styleId="TableGrid3">
    <w:name w:val="Table Grid3"/>
    <w:basedOn w:val="TableNormal"/>
    <w:next w:val="TableGrid"/>
    <w:uiPriority w:val="59"/>
    <w:rsid w:val="008C407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5E5453"/>
    <w:pPr>
      <w:spacing w:after="0" w:line="240" w:lineRule="auto"/>
    </w:pPr>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paragraph" w:styleId="NoSpacing">
    <w:name w:val="No Spacing"/>
    <w:uiPriority w:val="5"/>
    <w:qFormat/>
    <w:rsid w:val="001B6AA5"/>
    <w:pPr>
      <w:spacing w:after="0" w:line="240" w:lineRule="auto"/>
    </w:pPr>
    <w:rPr>
      <w:spacing w:val="3"/>
      <w:sz w:val="22"/>
    </w:rPr>
  </w:style>
  <w:style w:type="paragraph" w:customStyle="1" w:styleId="Default">
    <w:name w:val="Default"/>
    <w:rsid w:val="007B3080"/>
    <w:pPr>
      <w:autoSpaceDE w:val="0"/>
      <w:autoSpaceDN w:val="0"/>
      <w:adjustRightInd w:val="0"/>
      <w:spacing w:after="0" w:line="240" w:lineRule="auto"/>
    </w:pPr>
    <w:rPr>
      <w:rFonts w:ascii="Tahoma" w:hAnsi="Tahoma" w:cs="Tahoma"/>
      <w:color w:val="000000"/>
    </w:rPr>
  </w:style>
  <w:style w:type="paragraph" w:styleId="NormalWeb">
    <w:name w:val="Normal (Web)"/>
    <w:basedOn w:val="Normal"/>
    <w:uiPriority w:val="99"/>
    <w:semiHidden/>
    <w:unhideWhenUsed/>
    <w:rsid w:val="00FA5F84"/>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UnresolvedMention2">
    <w:name w:val="Unresolved Mention2"/>
    <w:basedOn w:val="DefaultParagraphFont"/>
    <w:uiPriority w:val="99"/>
    <w:semiHidden/>
    <w:unhideWhenUsed/>
    <w:rsid w:val="006163B9"/>
    <w:rPr>
      <w:color w:val="605E5C"/>
      <w:shd w:val="clear" w:color="auto" w:fill="E1DFDD"/>
    </w:rPr>
  </w:style>
  <w:style w:type="character" w:customStyle="1" w:styleId="UnresolvedMention3">
    <w:name w:val="Unresolved Mention3"/>
    <w:basedOn w:val="DefaultParagraphFont"/>
    <w:uiPriority w:val="99"/>
    <w:semiHidden/>
    <w:unhideWhenUsed/>
    <w:rsid w:val="00567DC2"/>
    <w:rPr>
      <w:color w:val="605E5C"/>
      <w:shd w:val="clear" w:color="auto" w:fill="E1DFDD"/>
    </w:rPr>
  </w:style>
  <w:style w:type="character" w:customStyle="1" w:styleId="UnresolvedMention4">
    <w:name w:val="Unresolved Mention4"/>
    <w:basedOn w:val="DefaultParagraphFont"/>
    <w:uiPriority w:val="99"/>
    <w:semiHidden/>
    <w:unhideWhenUsed/>
    <w:rsid w:val="00AD1DD4"/>
    <w:rPr>
      <w:color w:val="605E5C"/>
      <w:shd w:val="clear" w:color="auto" w:fill="E1DFDD"/>
    </w:rPr>
  </w:style>
  <w:style w:type="character" w:styleId="UnresolvedMention">
    <w:name w:val="Unresolved Mention"/>
    <w:basedOn w:val="DefaultParagraphFont"/>
    <w:uiPriority w:val="99"/>
    <w:semiHidden/>
    <w:unhideWhenUsed/>
    <w:rsid w:val="00882330"/>
    <w:rPr>
      <w:color w:val="605E5C"/>
      <w:shd w:val="clear" w:color="auto" w:fill="E1DFDD"/>
    </w:rPr>
  </w:style>
  <w:style w:type="character" w:styleId="FollowedHyperlink">
    <w:name w:val="FollowedHyperlink"/>
    <w:basedOn w:val="DefaultParagraphFont"/>
    <w:uiPriority w:val="99"/>
    <w:semiHidden/>
    <w:unhideWhenUsed/>
    <w:rsid w:val="00F4020F"/>
    <w:rPr>
      <w:color w:val="000000" w:themeColor="followedHyperlink"/>
      <w:u w:val="single"/>
    </w:rPr>
  </w:style>
  <w:style w:type="numbering" w:customStyle="1" w:styleId="Style10">
    <w:name w:val="Style10"/>
    <w:uiPriority w:val="99"/>
    <w:rsid w:val="00880B6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689">
      <w:bodyDiv w:val="1"/>
      <w:marLeft w:val="0"/>
      <w:marRight w:val="0"/>
      <w:marTop w:val="0"/>
      <w:marBottom w:val="0"/>
      <w:divBdr>
        <w:top w:val="none" w:sz="0" w:space="0" w:color="auto"/>
        <w:left w:val="none" w:sz="0" w:space="0" w:color="auto"/>
        <w:bottom w:val="none" w:sz="0" w:space="0" w:color="auto"/>
        <w:right w:val="none" w:sz="0" w:space="0" w:color="auto"/>
      </w:divBdr>
      <w:divsChild>
        <w:div w:id="103964461">
          <w:marLeft w:val="0"/>
          <w:marRight w:val="0"/>
          <w:marTop w:val="0"/>
          <w:marBottom w:val="0"/>
          <w:divBdr>
            <w:top w:val="none" w:sz="0" w:space="0" w:color="auto"/>
            <w:left w:val="none" w:sz="0" w:space="0" w:color="auto"/>
            <w:bottom w:val="none" w:sz="0" w:space="0" w:color="auto"/>
            <w:right w:val="none" w:sz="0" w:space="0" w:color="auto"/>
          </w:divBdr>
          <w:divsChild>
            <w:div w:id="219366258">
              <w:marLeft w:val="0"/>
              <w:marRight w:val="0"/>
              <w:marTop w:val="0"/>
              <w:marBottom w:val="0"/>
              <w:divBdr>
                <w:top w:val="none" w:sz="0" w:space="0" w:color="auto"/>
                <w:left w:val="none" w:sz="0" w:space="0" w:color="auto"/>
                <w:bottom w:val="none" w:sz="0" w:space="0" w:color="auto"/>
                <w:right w:val="none" w:sz="0" w:space="0" w:color="auto"/>
              </w:divBdr>
            </w:div>
            <w:div w:id="592053937">
              <w:marLeft w:val="0"/>
              <w:marRight w:val="0"/>
              <w:marTop w:val="0"/>
              <w:marBottom w:val="0"/>
              <w:divBdr>
                <w:top w:val="none" w:sz="0" w:space="0" w:color="auto"/>
                <w:left w:val="none" w:sz="0" w:space="0" w:color="auto"/>
                <w:bottom w:val="none" w:sz="0" w:space="0" w:color="auto"/>
                <w:right w:val="none" w:sz="0" w:space="0" w:color="auto"/>
              </w:divBdr>
            </w:div>
            <w:div w:id="808935744">
              <w:marLeft w:val="0"/>
              <w:marRight w:val="0"/>
              <w:marTop w:val="0"/>
              <w:marBottom w:val="0"/>
              <w:divBdr>
                <w:top w:val="none" w:sz="0" w:space="0" w:color="auto"/>
                <w:left w:val="none" w:sz="0" w:space="0" w:color="auto"/>
                <w:bottom w:val="none" w:sz="0" w:space="0" w:color="auto"/>
                <w:right w:val="none" w:sz="0" w:space="0" w:color="auto"/>
              </w:divBdr>
            </w:div>
            <w:div w:id="911432978">
              <w:marLeft w:val="0"/>
              <w:marRight w:val="0"/>
              <w:marTop w:val="0"/>
              <w:marBottom w:val="0"/>
              <w:divBdr>
                <w:top w:val="none" w:sz="0" w:space="0" w:color="auto"/>
                <w:left w:val="none" w:sz="0" w:space="0" w:color="auto"/>
                <w:bottom w:val="none" w:sz="0" w:space="0" w:color="auto"/>
                <w:right w:val="none" w:sz="0" w:space="0" w:color="auto"/>
              </w:divBdr>
            </w:div>
            <w:div w:id="1291665613">
              <w:marLeft w:val="0"/>
              <w:marRight w:val="0"/>
              <w:marTop w:val="0"/>
              <w:marBottom w:val="0"/>
              <w:divBdr>
                <w:top w:val="none" w:sz="0" w:space="0" w:color="auto"/>
                <w:left w:val="none" w:sz="0" w:space="0" w:color="auto"/>
                <w:bottom w:val="none" w:sz="0" w:space="0" w:color="auto"/>
                <w:right w:val="none" w:sz="0" w:space="0" w:color="auto"/>
              </w:divBdr>
            </w:div>
            <w:div w:id="1550141259">
              <w:marLeft w:val="0"/>
              <w:marRight w:val="0"/>
              <w:marTop w:val="0"/>
              <w:marBottom w:val="0"/>
              <w:divBdr>
                <w:top w:val="none" w:sz="0" w:space="0" w:color="auto"/>
                <w:left w:val="none" w:sz="0" w:space="0" w:color="auto"/>
                <w:bottom w:val="none" w:sz="0" w:space="0" w:color="auto"/>
                <w:right w:val="none" w:sz="0" w:space="0" w:color="auto"/>
              </w:divBdr>
            </w:div>
            <w:div w:id="1694920395">
              <w:marLeft w:val="0"/>
              <w:marRight w:val="0"/>
              <w:marTop w:val="0"/>
              <w:marBottom w:val="0"/>
              <w:divBdr>
                <w:top w:val="none" w:sz="0" w:space="0" w:color="auto"/>
                <w:left w:val="none" w:sz="0" w:space="0" w:color="auto"/>
                <w:bottom w:val="none" w:sz="0" w:space="0" w:color="auto"/>
                <w:right w:val="none" w:sz="0" w:space="0" w:color="auto"/>
              </w:divBdr>
            </w:div>
            <w:div w:id="1913809565">
              <w:marLeft w:val="0"/>
              <w:marRight w:val="0"/>
              <w:marTop w:val="0"/>
              <w:marBottom w:val="0"/>
              <w:divBdr>
                <w:top w:val="none" w:sz="0" w:space="0" w:color="auto"/>
                <w:left w:val="none" w:sz="0" w:space="0" w:color="auto"/>
                <w:bottom w:val="none" w:sz="0" w:space="0" w:color="auto"/>
                <w:right w:val="none" w:sz="0" w:space="0" w:color="auto"/>
              </w:divBdr>
            </w:div>
            <w:div w:id="1981306665">
              <w:marLeft w:val="0"/>
              <w:marRight w:val="0"/>
              <w:marTop w:val="0"/>
              <w:marBottom w:val="0"/>
              <w:divBdr>
                <w:top w:val="none" w:sz="0" w:space="0" w:color="auto"/>
                <w:left w:val="none" w:sz="0" w:space="0" w:color="auto"/>
                <w:bottom w:val="none" w:sz="0" w:space="0" w:color="auto"/>
                <w:right w:val="none" w:sz="0" w:space="0" w:color="auto"/>
              </w:divBdr>
            </w:div>
            <w:div w:id="2064719766">
              <w:marLeft w:val="0"/>
              <w:marRight w:val="0"/>
              <w:marTop w:val="0"/>
              <w:marBottom w:val="0"/>
              <w:divBdr>
                <w:top w:val="none" w:sz="0" w:space="0" w:color="auto"/>
                <w:left w:val="none" w:sz="0" w:space="0" w:color="auto"/>
                <w:bottom w:val="none" w:sz="0" w:space="0" w:color="auto"/>
                <w:right w:val="none" w:sz="0" w:space="0" w:color="auto"/>
              </w:divBdr>
            </w:div>
          </w:divsChild>
        </w:div>
        <w:div w:id="132867235">
          <w:marLeft w:val="0"/>
          <w:marRight w:val="0"/>
          <w:marTop w:val="0"/>
          <w:marBottom w:val="0"/>
          <w:divBdr>
            <w:top w:val="none" w:sz="0" w:space="0" w:color="auto"/>
            <w:left w:val="none" w:sz="0" w:space="0" w:color="auto"/>
            <w:bottom w:val="none" w:sz="0" w:space="0" w:color="auto"/>
            <w:right w:val="none" w:sz="0" w:space="0" w:color="auto"/>
          </w:divBdr>
          <w:divsChild>
            <w:div w:id="43140230">
              <w:marLeft w:val="0"/>
              <w:marRight w:val="0"/>
              <w:marTop w:val="0"/>
              <w:marBottom w:val="0"/>
              <w:divBdr>
                <w:top w:val="none" w:sz="0" w:space="0" w:color="auto"/>
                <w:left w:val="none" w:sz="0" w:space="0" w:color="auto"/>
                <w:bottom w:val="none" w:sz="0" w:space="0" w:color="auto"/>
                <w:right w:val="none" w:sz="0" w:space="0" w:color="auto"/>
              </w:divBdr>
            </w:div>
            <w:div w:id="109016510">
              <w:marLeft w:val="0"/>
              <w:marRight w:val="0"/>
              <w:marTop w:val="0"/>
              <w:marBottom w:val="0"/>
              <w:divBdr>
                <w:top w:val="none" w:sz="0" w:space="0" w:color="auto"/>
                <w:left w:val="none" w:sz="0" w:space="0" w:color="auto"/>
                <w:bottom w:val="none" w:sz="0" w:space="0" w:color="auto"/>
                <w:right w:val="none" w:sz="0" w:space="0" w:color="auto"/>
              </w:divBdr>
            </w:div>
            <w:div w:id="233197739">
              <w:marLeft w:val="0"/>
              <w:marRight w:val="0"/>
              <w:marTop w:val="0"/>
              <w:marBottom w:val="0"/>
              <w:divBdr>
                <w:top w:val="none" w:sz="0" w:space="0" w:color="auto"/>
                <w:left w:val="none" w:sz="0" w:space="0" w:color="auto"/>
                <w:bottom w:val="none" w:sz="0" w:space="0" w:color="auto"/>
                <w:right w:val="none" w:sz="0" w:space="0" w:color="auto"/>
              </w:divBdr>
            </w:div>
            <w:div w:id="306011689">
              <w:marLeft w:val="0"/>
              <w:marRight w:val="0"/>
              <w:marTop w:val="0"/>
              <w:marBottom w:val="0"/>
              <w:divBdr>
                <w:top w:val="none" w:sz="0" w:space="0" w:color="auto"/>
                <w:left w:val="none" w:sz="0" w:space="0" w:color="auto"/>
                <w:bottom w:val="none" w:sz="0" w:space="0" w:color="auto"/>
                <w:right w:val="none" w:sz="0" w:space="0" w:color="auto"/>
              </w:divBdr>
            </w:div>
            <w:div w:id="308363965">
              <w:marLeft w:val="0"/>
              <w:marRight w:val="0"/>
              <w:marTop w:val="0"/>
              <w:marBottom w:val="0"/>
              <w:divBdr>
                <w:top w:val="none" w:sz="0" w:space="0" w:color="auto"/>
                <w:left w:val="none" w:sz="0" w:space="0" w:color="auto"/>
                <w:bottom w:val="none" w:sz="0" w:space="0" w:color="auto"/>
                <w:right w:val="none" w:sz="0" w:space="0" w:color="auto"/>
              </w:divBdr>
            </w:div>
            <w:div w:id="580530291">
              <w:marLeft w:val="0"/>
              <w:marRight w:val="0"/>
              <w:marTop w:val="0"/>
              <w:marBottom w:val="0"/>
              <w:divBdr>
                <w:top w:val="none" w:sz="0" w:space="0" w:color="auto"/>
                <w:left w:val="none" w:sz="0" w:space="0" w:color="auto"/>
                <w:bottom w:val="none" w:sz="0" w:space="0" w:color="auto"/>
                <w:right w:val="none" w:sz="0" w:space="0" w:color="auto"/>
              </w:divBdr>
            </w:div>
            <w:div w:id="608969077">
              <w:marLeft w:val="0"/>
              <w:marRight w:val="0"/>
              <w:marTop w:val="0"/>
              <w:marBottom w:val="0"/>
              <w:divBdr>
                <w:top w:val="none" w:sz="0" w:space="0" w:color="auto"/>
                <w:left w:val="none" w:sz="0" w:space="0" w:color="auto"/>
                <w:bottom w:val="none" w:sz="0" w:space="0" w:color="auto"/>
                <w:right w:val="none" w:sz="0" w:space="0" w:color="auto"/>
              </w:divBdr>
            </w:div>
            <w:div w:id="662052431">
              <w:marLeft w:val="0"/>
              <w:marRight w:val="0"/>
              <w:marTop w:val="0"/>
              <w:marBottom w:val="0"/>
              <w:divBdr>
                <w:top w:val="none" w:sz="0" w:space="0" w:color="auto"/>
                <w:left w:val="none" w:sz="0" w:space="0" w:color="auto"/>
                <w:bottom w:val="none" w:sz="0" w:space="0" w:color="auto"/>
                <w:right w:val="none" w:sz="0" w:space="0" w:color="auto"/>
              </w:divBdr>
            </w:div>
            <w:div w:id="667710374">
              <w:marLeft w:val="0"/>
              <w:marRight w:val="0"/>
              <w:marTop w:val="0"/>
              <w:marBottom w:val="0"/>
              <w:divBdr>
                <w:top w:val="none" w:sz="0" w:space="0" w:color="auto"/>
                <w:left w:val="none" w:sz="0" w:space="0" w:color="auto"/>
                <w:bottom w:val="none" w:sz="0" w:space="0" w:color="auto"/>
                <w:right w:val="none" w:sz="0" w:space="0" w:color="auto"/>
              </w:divBdr>
            </w:div>
            <w:div w:id="717316288">
              <w:marLeft w:val="0"/>
              <w:marRight w:val="0"/>
              <w:marTop w:val="0"/>
              <w:marBottom w:val="0"/>
              <w:divBdr>
                <w:top w:val="none" w:sz="0" w:space="0" w:color="auto"/>
                <w:left w:val="none" w:sz="0" w:space="0" w:color="auto"/>
                <w:bottom w:val="none" w:sz="0" w:space="0" w:color="auto"/>
                <w:right w:val="none" w:sz="0" w:space="0" w:color="auto"/>
              </w:divBdr>
            </w:div>
            <w:div w:id="773791628">
              <w:marLeft w:val="0"/>
              <w:marRight w:val="0"/>
              <w:marTop w:val="0"/>
              <w:marBottom w:val="0"/>
              <w:divBdr>
                <w:top w:val="none" w:sz="0" w:space="0" w:color="auto"/>
                <w:left w:val="none" w:sz="0" w:space="0" w:color="auto"/>
                <w:bottom w:val="none" w:sz="0" w:space="0" w:color="auto"/>
                <w:right w:val="none" w:sz="0" w:space="0" w:color="auto"/>
              </w:divBdr>
            </w:div>
            <w:div w:id="845636786">
              <w:marLeft w:val="0"/>
              <w:marRight w:val="0"/>
              <w:marTop w:val="0"/>
              <w:marBottom w:val="0"/>
              <w:divBdr>
                <w:top w:val="none" w:sz="0" w:space="0" w:color="auto"/>
                <w:left w:val="none" w:sz="0" w:space="0" w:color="auto"/>
                <w:bottom w:val="none" w:sz="0" w:space="0" w:color="auto"/>
                <w:right w:val="none" w:sz="0" w:space="0" w:color="auto"/>
              </w:divBdr>
            </w:div>
            <w:div w:id="938608654">
              <w:marLeft w:val="0"/>
              <w:marRight w:val="0"/>
              <w:marTop w:val="0"/>
              <w:marBottom w:val="0"/>
              <w:divBdr>
                <w:top w:val="none" w:sz="0" w:space="0" w:color="auto"/>
                <w:left w:val="none" w:sz="0" w:space="0" w:color="auto"/>
                <w:bottom w:val="none" w:sz="0" w:space="0" w:color="auto"/>
                <w:right w:val="none" w:sz="0" w:space="0" w:color="auto"/>
              </w:divBdr>
            </w:div>
            <w:div w:id="1091005965">
              <w:marLeft w:val="0"/>
              <w:marRight w:val="0"/>
              <w:marTop w:val="0"/>
              <w:marBottom w:val="0"/>
              <w:divBdr>
                <w:top w:val="none" w:sz="0" w:space="0" w:color="auto"/>
                <w:left w:val="none" w:sz="0" w:space="0" w:color="auto"/>
                <w:bottom w:val="none" w:sz="0" w:space="0" w:color="auto"/>
                <w:right w:val="none" w:sz="0" w:space="0" w:color="auto"/>
              </w:divBdr>
            </w:div>
            <w:div w:id="1334335192">
              <w:marLeft w:val="0"/>
              <w:marRight w:val="0"/>
              <w:marTop w:val="0"/>
              <w:marBottom w:val="0"/>
              <w:divBdr>
                <w:top w:val="none" w:sz="0" w:space="0" w:color="auto"/>
                <w:left w:val="none" w:sz="0" w:space="0" w:color="auto"/>
                <w:bottom w:val="none" w:sz="0" w:space="0" w:color="auto"/>
                <w:right w:val="none" w:sz="0" w:space="0" w:color="auto"/>
              </w:divBdr>
            </w:div>
            <w:div w:id="1518083060">
              <w:marLeft w:val="0"/>
              <w:marRight w:val="0"/>
              <w:marTop w:val="0"/>
              <w:marBottom w:val="0"/>
              <w:divBdr>
                <w:top w:val="none" w:sz="0" w:space="0" w:color="auto"/>
                <w:left w:val="none" w:sz="0" w:space="0" w:color="auto"/>
                <w:bottom w:val="none" w:sz="0" w:space="0" w:color="auto"/>
                <w:right w:val="none" w:sz="0" w:space="0" w:color="auto"/>
              </w:divBdr>
            </w:div>
            <w:div w:id="1845781921">
              <w:marLeft w:val="0"/>
              <w:marRight w:val="0"/>
              <w:marTop w:val="0"/>
              <w:marBottom w:val="0"/>
              <w:divBdr>
                <w:top w:val="none" w:sz="0" w:space="0" w:color="auto"/>
                <w:left w:val="none" w:sz="0" w:space="0" w:color="auto"/>
                <w:bottom w:val="none" w:sz="0" w:space="0" w:color="auto"/>
                <w:right w:val="none" w:sz="0" w:space="0" w:color="auto"/>
              </w:divBdr>
            </w:div>
            <w:div w:id="1935093464">
              <w:marLeft w:val="0"/>
              <w:marRight w:val="0"/>
              <w:marTop w:val="0"/>
              <w:marBottom w:val="0"/>
              <w:divBdr>
                <w:top w:val="none" w:sz="0" w:space="0" w:color="auto"/>
                <w:left w:val="none" w:sz="0" w:space="0" w:color="auto"/>
                <w:bottom w:val="none" w:sz="0" w:space="0" w:color="auto"/>
                <w:right w:val="none" w:sz="0" w:space="0" w:color="auto"/>
              </w:divBdr>
            </w:div>
            <w:div w:id="1967813339">
              <w:marLeft w:val="0"/>
              <w:marRight w:val="0"/>
              <w:marTop w:val="0"/>
              <w:marBottom w:val="0"/>
              <w:divBdr>
                <w:top w:val="none" w:sz="0" w:space="0" w:color="auto"/>
                <w:left w:val="none" w:sz="0" w:space="0" w:color="auto"/>
                <w:bottom w:val="none" w:sz="0" w:space="0" w:color="auto"/>
                <w:right w:val="none" w:sz="0" w:space="0" w:color="auto"/>
              </w:divBdr>
            </w:div>
          </w:divsChild>
        </w:div>
        <w:div w:id="453787275">
          <w:marLeft w:val="0"/>
          <w:marRight w:val="0"/>
          <w:marTop w:val="0"/>
          <w:marBottom w:val="0"/>
          <w:divBdr>
            <w:top w:val="none" w:sz="0" w:space="0" w:color="auto"/>
            <w:left w:val="none" w:sz="0" w:space="0" w:color="auto"/>
            <w:bottom w:val="none" w:sz="0" w:space="0" w:color="auto"/>
            <w:right w:val="none" w:sz="0" w:space="0" w:color="auto"/>
          </w:divBdr>
          <w:divsChild>
            <w:div w:id="234631883">
              <w:marLeft w:val="0"/>
              <w:marRight w:val="0"/>
              <w:marTop w:val="0"/>
              <w:marBottom w:val="0"/>
              <w:divBdr>
                <w:top w:val="none" w:sz="0" w:space="0" w:color="auto"/>
                <w:left w:val="none" w:sz="0" w:space="0" w:color="auto"/>
                <w:bottom w:val="none" w:sz="0" w:space="0" w:color="auto"/>
                <w:right w:val="none" w:sz="0" w:space="0" w:color="auto"/>
              </w:divBdr>
            </w:div>
            <w:div w:id="354115446">
              <w:marLeft w:val="0"/>
              <w:marRight w:val="0"/>
              <w:marTop w:val="0"/>
              <w:marBottom w:val="0"/>
              <w:divBdr>
                <w:top w:val="none" w:sz="0" w:space="0" w:color="auto"/>
                <w:left w:val="none" w:sz="0" w:space="0" w:color="auto"/>
                <w:bottom w:val="none" w:sz="0" w:space="0" w:color="auto"/>
                <w:right w:val="none" w:sz="0" w:space="0" w:color="auto"/>
              </w:divBdr>
            </w:div>
            <w:div w:id="381825777">
              <w:marLeft w:val="0"/>
              <w:marRight w:val="0"/>
              <w:marTop w:val="0"/>
              <w:marBottom w:val="0"/>
              <w:divBdr>
                <w:top w:val="none" w:sz="0" w:space="0" w:color="auto"/>
                <w:left w:val="none" w:sz="0" w:space="0" w:color="auto"/>
                <w:bottom w:val="none" w:sz="0" w:space="0" w:color="auto"/>
                <w:right w:val="none" w:sz="0" w:space="0" w:color="auto"/>
              </w:divBdr>
            </w:div>
            <w:div w:id="427428906">
              <w:marLeft w:val="0"/>
              <w:marRight w:val="0"/>
              <w:marTop w:val="0"/>
              <w:marBottom w:val="0"/>
              <w:divBdr>
                <w:top w:val="none" w:sz="0" w:space="0" w:color="auto"/>
                <w:left w:val="none" w:sz="0" w:space="0" w:color="auto"/>
                <w:bottom w:val="none" w:sz="0" w:space="0" w:color="auto"/>
                <w:right w:val="none" w:sz="0" w:space="0" w:color="auto"/>
              </w:divBdr>
            </w:div>
            <w:div w:id="503478191">
              <w:marLeft w:val="0"/>
              <w:marRight w:val="0"/>
              <w:marTop w:val="0"/>
              <w:marBottom w:val="0"/>
              <w:divBdr>
                <w:top w:val="none" w:sz="0" w:space="0" w:color="auto"/>
                <w:left w:val="none" w:sz="0" w:space="0" w:color="auto"/>
                <w:bottom w:val="none" w:sz="0" w:space="0" w:color="auto"/>
                <w:right w:val="none" w:sz="0" w:space="0" w:color="auto"/>
              </w:divBdr>
            </w:div>
            <w:div w:id="546330994">
              <w:marLeft w:val="0"/>
              <w:marRight w:val="0"/>
              <w:marTop w:val="0"/>
              <w:marBottom w:val="0"/>
              <w:divBdr>
                <w:top w:val="none" w:sz="0" w:space="0" w:color="auto"/>
                <w:left w:val="none" w:sz="0" w:space="0" w:color="auto"/>
                <w:bottom w:val="none" w:sz="0" w:space="0" w:color="auto"/>
                <w:right w:val="none" w:sz="0" w:space="0" w:color="auto"/>
              </w:divBdr>
            </w:div>
            <w:div w:id="744229712">
              <w:marLeft w:val="0"/>
              <w:marRight w:val="0"/>
              <w:marTop w:val="0"/>
              <w:marBottom w:val="0"/>
              <w:divBdr>
                <w:top w:val="none" w:sz="0" w:space="0" w:color="auto"/>
                <w:left w:val="none" w:sz="0" w:space="0" w:color="auto"/>
                <w:bottom w:val="none" w:sz="0" w:space="0" w:color="auto"/>
                <w:right w:val="none" w:sz="0" w:space="0" w:color="auto"/>
              </w:divBdr>
            </w:div>
            <w:div w:id="1485512419">
              <w:marLeft w:val="0"/>
              <w:marRight w:val="0"/>
              <w:marTop w:val="0"/>
              <w:marBottom w:val="0"/>
              <w:divBdr>
                <w:top w:val="none" w:sz="0" w:space="0" w:color="auto"/>
                <w:left w:val="none" w:sz="0" w:space="0" w:color="auto"/>
                <w:bottom w:val="none" w:sz="0" w:space="0" w:color="auto"/>
                <w:right w:val="none" w:sz="0" w:space="0" w:color="auto"/>
              </w:divBdr>
            </w:div>
          </w:divsChild>
        </w:div>
        <w:div w:id="586841450">
          <w:marLeft w:val="0"/>
          <w:marRight w:val="0"/>
          <w:marTop w:val="0"/>
          <w:marBottom w:val="0"/>
          <w:divBdr>
            <w:top w:val="none" w:sz="0" w:space="0" w:color="auto"/>
            <w:left w:val="none" w:sz="0" w:space="0" w:color="auto"/>
            <w:bottom w:val="none" w:sz="0" w:space="0" w:color="auto"/>
            <w:right w:val="none" w:sz="0" w:space="0" w:color="auto"/>
          </w:divBdr>
          <w:divsChild>
            <w:div w:id="77144694">
              <w:marLeft w:val="0"/>
              <w:marRight w:val="0"/>
              <w:marTop w:val="0"/>
              <w:marBottom w:val="0"/>
              <w:divBdr>
                <w:top w:val="none" w:sz="0" w:space="0" w:color="auto"/>
                <w:left w:val="none" w:sz="0" w:space="0" w:color="auto"/>
                <w:bottom w:val="none" w:sz="0" w:space="0" w:color="auto"/>
                <w:right w:val="none" w:sz="0" w:space="0" w:color="auto"/>
              </w:divBdr>
            </w:div>
            <w:div w:id="321931413">
              <w:marLeft w:val="0"/>
              <w:marRight w:val="0"/>
              <w:marTop w:val="0"/>
              <w:marBottom w:val="0"/>
              <w:divBdr>
                <w:top w:val="none" w:sz="0" w:space="0" w:color="auto"/>
                <w:left w:val="none" w:sz="0" w:space="0" w:color="auto"/>
                <w:bottom w:val="none" w:sz="0" w:space="0" w:color="auto"/>
                <w:right w:val="none" w:sz="0" w:space="0" w:color="auto"/>
              </w:divBdr>
            </w:div>
            <w:div w:id="1033730875">
              <w:marLeft w:val="0"/>
              <w:marRight w:val="0"/>
              <w:marTop w:val="0"/>
              <w:marBottom w:val="0"/>
              <w:divBdr>
                <w:top w:val="none" w:sz="0" w:space="0" w:color="auto"/>
                <w:left w:val="none" w:sz="0" w:space="0" w:color="auto"/>
                <w:bottom w:val="none" w:sz="0" w:space="0" w:color="auto"/>
                <w:right w:val="none" w:sz="0" w:space="0" w:color="auto"/>
              </w:divBdr>
            </w:div>
            <w:div w:id="1237210184">
              <w:marLeft w:val="0"/>
              <w:marRight w:val="0"/>
              <w:marTop w:val="0"/>
              <w:marBottom w:val="0"/>
              <w:divBdr>
                <w:top w:val="none" w:sz="0" w:space="0" w:color="auto"/>
                <w:left w:val="none" w:sz="0" w:space="0" w:color="auto"/>
                <w:bottom w:val="none" w:sz="0" w:space="0" w:color="auto"/>
                <w:right w:val="none" w:sz="0" w:space="0" w:color="auto"/>
              </w:divBdr>
            </w:div>
            <w:div w:id="1341277251">
              <w:marLeft w:val="0"/>
              <w:marRight w:val="0"/>
              <w:marTop w:val="0"/>
              <w:marBottom w:val="0"/>
              <w:divBdr>
                <w:top w:val="none" w:sz="0" w:space="0" w:color="auto"/>
                <w:left w:val="none" w:sz="0" w:space="0" w:color="auto"/>
                <w:bottom w:val="none" w:sz="0" w:space="0" w:color="auto"/>
                <w:right w:val="none" w:sz="0" w:space="0" w:color="auto"/>
              </w:divBdr>
            </w:div>
            <w:div w:id="1368601777">
              <w:marLeft w:val="0"/>
              <w:marRight w:val="0"/>
              <w:marTop w:val="0"/>
              <w:marBottom w:val="0"/>
              <w:divBdr>
                <w:top w:val="none" w:sz="0" w:space="0" w:color="auto"/>
                <w:left w:val="none" w:sz="0" w:space="0" w:color="auto"/>
                <w:bottom w:val="none" w:sz="0" w:space="0" w:color="auto"/>
                <w:right w:val="none" w:sz="0" w:space="0" w:color="auto"/>
              </w:divBdr>
            </w:div>
            <w:div w:id="1840348870">
              <w:marLeft w:val="0"/>
              <w:marRight w:val="0"/>
              <w:marTop w:val="0"/>
              <w:marBottom w:val="0"/>
              <w:divBdr>
                <w:top w:val="none" w:sz="0" w:space="0" w:color="auto"/>
                <w:left w:val="none" w:sz="0" w:space="0" w:color="auto"/>
                <w:bottom w:val="none" w:sz="0" w:space="0" w:color="auto"/>
                <w:right w:val="none" w:sz="0" w:space="0" w:color="auto"/>
              </w:divBdr>
            </w:div>
          </w:divsChild>
        </w:div>
        <w:div w:id="698237774">
          <w:marLeft w:val="0"/>
          <w:marRight w:val="0"/>
          <w:marTop w:val="0"/>
          <w:marBottom w:val="0"/>
          <w:divBdr>
            <w:top w:val="none" w:sz="0" w:space="0" w:color="auto"/>
            <w:left w:val="none" w:sz="0" w:space="0" w:color="auto"/>
            <w:bottom w:val="none" w:sz="0" w:space="0" w:color="auto"/>
            <w:right w:val="none" w:sz="0" w:space="0" w:color="auto"/>
          </w:divBdr>
          <w:divsChild>
            <w:div w:id="443616405">
              <w:marLeft w:val="0"/>
              <w:marRight w:val="0"/>
              <w:marTop w:val="0"/>
              <w:marBottom w:val="0"/>
              <w:divBdr>
                <w:top w:val="none" w:sz="0" w:space="0" w:color="auto"/>
                <w:left w:val="none" w:sz="0" w:space="0" w:color="auto"/>
                <w:bottom w:val="none" w:sz="0" w:space="0" w:color="auto"/>
                <w:right w:val="none" w:sz="0" w:space="0" w:color="auto"/>
              </w:divBdr>
            </w:div>
            <w:div w:id="645474885">
              <w:marLeft w:val="0"/>
              <w:marRight w:val="0"/>
              <w:marTop w:val="0"/>
              <w:marBottom w:val="0"/>
              <w:divBdr>
                <w:top w:val="none" w:sz="0" w:space="0" w:color="auto"/>
                <w:left w:val="none" w:sz="0" w:space="0" w:color="auto"/>
                <w:bottom w:val="none" w:sz="0" w:space="0" w:color="auto"/>
                <w:right w:val="none" w:sz="0" w:space="0" w:color="auto"/>
              </w:divBdr>
            </w:div>
            <w:div w:id="677924070">
              <w:marLeft w:val="0"/>
              <w:marRight w:val="0"/>
              <w:marTop w:val="0"/>
              <w:marBottom w:val="0"/>
              <w:divBdr>
                <w:top w:val="none" w:sz="0" w:space="0" w:color="auto"/>
                <w:left w:val="none" w:sz="0" w:space="0" w:color="auto"/>
                <w:bottom w:val="none" w:sz="0" w:space="0" w:color="auto"/>
                <w:right w:val="none" w:sz="0" w:space="0" w:color="auto"/>
              </w:divBdr>
            </w:div>
            <w:div w:id="886916198">
              <w:marLeft w:val="0"/>
              <w:marRight w:val="0"/>
              <w:marTop w:val="0"/>
              <w:marBottom w:val="0"/>
              <w:divBdr>
                <w:top w:val="none" w:sz="0" w:space="0" w:color="auto"/>
                <w:left w:val="none" w:sz="0" w:space="0" w:color="auto"/>
                <w:bottom w:val="none" w:sz="0" w:space="0" w:color="auto"/>
                <w:right w:val="none" w:sz="0" w:space="0" w:color="auto"/>
              </w:divBdr>
            </w:div>
            <w:div w:id="891229702">
              <w:marLeft w:val="0"/>
              <w:marRight w:val="0"/>
              <w:marTop w:val="0"/>
              <w:marBottom w:val="0"/>
              <w:divBdr>
                <w:top w:val="none" w:sz="0" w:space="0" w:color="auto"/>
                <w:left w:val="none" w:sz="0" w:space="0" w:color="auto"/>
                <w:bottom w:val="none" w:sz="0" w:space="0" w:color="auto"/>
                <w:right w:val="none" w:sz="0" w:space="0" w:color="auto"/>
              </w:divBdr>
            </w:div>
            <w:div w:id="917521585">
              <w:marLeft w:val="0"/>
              <w:marRight w:val="0"/>
              <w:marTop w:val="0"/>
              <w:marBottom w:val="0"/>
              <w:divBdr>
                <w:top w:val="none" w:sz="0" w:space="0" w:color="auto"/>
                <w:left w:val="none" w:sz="0" w:space="0" w:color="auto"/>
                <w:bottom w:val="none" w:sz="0" w:space="0" w:color="auto"/>
                <w:right w:val="none" w:sz="0" w:space="0" w:color="auto"/>
              </w:divBdr>
            </w:div>
            <w:div w:id="956838738">
              <w:marLeft w:val="0"/>
              <w:marRight w:val="0"/>
              <w:marTop w:val="0"/>
              <w:marBottom w:val="0"/>
              <w:divBdr>
                <w:top w:val="none" w:sz="0" w:space="0" w:color="auto"/>
                <w:left w:val="none" w:sz="0" w:space="0" w:color="auto"/>
                <w:bottom w:val="none" w:sz="0" w:space="0" w:color="auto"/>
                <w:right w:val="none" w:sz="0" w:space="0" w:color="auto"/>
              </w:divBdr>
            </w:div>
            <w:div w:id="1085105187">
              <w:marLeft w:val="0"/>
              <w:marRight w:val="0"/>
              <w:marTop w:val="0"/>
              <w:marBottom w:val="0"/>
              <w:divBdr>
                <w:top w:val="none" w:sz="0" w:space="0" w:color="auto"/>
                <w:left w:val="none" w:sz="0" w:space="0" w:color="auto"/>
                <w:bottom w:val="none" w:sz="0" w:space="0" w:color="auto"/>
                <w:right w:val="none" w:sz="0" w:space="0" w:color="auto"/>
              </w:divBdr>
            </w:div>
            <w:div w:id="1360474203">
              <w:marLeft w:val="0"/>
              <w:marRight w:val="0"/>
              <w:marTop w:val="0"/>
              <w:marBottom w:val="0"/>
              <w:divBdr>
                <w:top w:val="none" w:sz="0" w:space="0" w:color="auto"/>
                <w:left w:val="none" w:sz="0" w:space="0" w:color="auto"/>
                <w:bottom w:val="none" w:sz="0" w:space="0" w:color="auto"/>
                <w:right w:val="none" w:sz="0" w:space="0" w:color="auto"/>
              </w:divBdr>
            </w:div>
            <w:div w:id="1462770449">
              <w:marLeft w:val="0"/>
              <w:marRight w:val="0"/>
              <w:marTop w:val="0"/>
              <w:marBottom w:val="0"/>
              <w:divBdr>
                <w:top w:val="none" w:sz="0" w:space="0" w:color="auto"/>
                <w:left w:val="none" w:sz="0" w:space="0" w:color="auto"/>
                <w:bottom w:val="none" w:sz="0" w:space="0" w:color="auto"/>
                <w:right w:val="none" w:sz="0" w:space="0" w:color="auto"/>
              </w:divBdr>
            </w:div>
            <w:div w:id="1499151977">
              <w:marLeft w:val="0"/>
              <w:marRight w:val="0"/>
              <w:marTop w:val="0"/>
              <w:marBottom w:val="0"/>
              <w:divBdr>
                <w:top w:val="none" w:sz="0" w:space="0" w:color="auto"/>
                <w:left w:val="none" w:sz="0" w:space="0" w:color="auto"/>
                <w:bottom w:val="none" w:sz="0" w:space="0" w:color="auto"/>
                <w:right w:val="none" w:sz="0" w:space="0" w:color="auto"/>
              </w:divBdr>
            </w:div>
            <w:div w:id="1714772536">
              <w:marLeft w:val="0"/>
              <w:marRight w:val="0"/>
              <w:marTop w:val="0"/>
              <w:marBottom w:val="0"/>
              <w:divBdr>
                <w:top w:val="none" w:sz="0" w:space="0" w:color="auto"/>
                <w:left w:val="none" w:sz="0" w:space="0" w:color="auto"/>
                <w:bottom w:val="none" w:sz="0" w:space="0" w:color="auto"/>
                <w:right w:val="none" w:sz="0" w:space="0" w:color="auto"/>
              </w:divBdr>
            </w:div>
            <w:div w:id="1743676857">
              <w:marLeft w:val="0"/>
              <w:marRight w:val="0"/>
              <w:marTop w:val="0"/>
              <w:marBottom w:val="0"/>
              <w:divBdr>
                <w:top w:val="none" w:sz="0" w:space="0" w:color="auto"/>
                <w:left w:val="none" w:sz="0" w:space="0" w:color="auto"/>
                <w:bottom w:val="none" w:sz="0" w:space="0" w:color="auto"/>
                <w:right w:val="none" w:sz="0" w:space="0" w:color="auto"/>
              </w:divBdr>
            </w:div>
            <w:div w:id="1773209126">
              <w:marLeft w:val="0"/>
              <w:marRight w:val="0"/>
              <w:marTop w:val="0"/>
              <w:marBottom w:val="0"/>
              <w:divBdr>
                <w:top w:val="none" w:sz="0" w:space="0" w:color="auto"/>
                <w:left w:val="none" w:sz="0" w:space="0" w:color="auto"/>
                <w:bottom w:val="none" w:sz="0" w:space="0" w:color="auto"/>
                <w:right w:val="none" w:sz="0" w:space="0" w:color="auto"/>
              </w:divBdr>
            </w:div>
            <w:div w:id="1827823928">
              <w:marLeft w:val="0"/>
              <w:marRight w:val="0"/>
              <w:marTop w:val="0"/>
              <w:marBottom w:val="0"/>
              <w:divBdr>
                <w:top w:val="none" w:sz="0" w:space="0" w:color="auto"/>
                <w:left w:val="none" w:sz="0" w:space="0" w:color="auto"/>
                <w:bottom w:val="none" w:sz="0" w:space="0" w:color="auto"/>
                <w:right w:val="none" w:sz="0" w:space="0" w:color="auto"/>
              </w:divBdr>
            </w:div>
            <w:div w:id="1839685660">
              <w:marLeft w:val="0"/>
              <w:marRight w:val="0"/>
              <w:marTop w:val="0"/>
              <w:marBottom w:val="0"/>
              <w:divBdr>
                <w:top w:val="none" w:sz="0" w:space="0" w:color="auto"/>
                <w:left w:val="none" w:sz="0" w:space="0" w:color="auto"/>
                <w:bottom w:val="none" w:sz="0" w:space="0" w:color="auto"/>
                <w:right w:val="none" w:sz="0" w:space="0" w:color="auto"/>
              </w:divBdr>
            </w:div>
            <w:div w:id="1857309283">
              <w:marLeft w:val="0"/>
              <w:marRight w:val="0"/>
              <w:marTop w:val="0"/>
              <w:marBottom w:val="0"/>
              <w:divBdr>
                <w:top w:val="none" w:sz="0" w:space="0" w:color="auto"/>
                <w:left w:val="none" w:sz="0" w:space="0" w:color="auto"/>
                <w:bottom w:val="none" w:sz="0" w:space="0" w:color="auto"/>
                <w:right w:val="none" w:sz="0" w:space="0" w:color="auto"/>
              </w:divBdr>
            </w:div>
            <w:div w:id="1916351074">
              <w:marLeft w:val="0"/>
              <w:marRight w:val="0"/>
              <w:marTop w:val="0"/>
              <w:marBottom w:val="0"/>
              <w:divBdr>
                <w:top w:val="none" w:sz="0" w:space="0" w:color="auto"/>
                <w:left w:val="none" w:sz="0" w:space="0" w:color="auto"/>
                <w:bottom w:val="none" w:sz="0" w:space="0" w:color="auto"/>
                <w:right w:val="none" w:sz="0" w:space="0" w:color="auto"/>
              </w:divBdr>
            </w:div>
            <w:div w:id="1950969643">
              <w:marLeft w:val="0"/>
              <w:marRight w:val="0"/>
              <w:marTop w:val="0"/>
              <w:marBottom w:val="0"/>
              <w:divBdr>
                <w:top w:val="none" w:sz="0" w:space="0" w:color="auto"/>
                <w:left w:val="none" w:sz="0" w:space="0" w:color="auto"/>
                <w:bottom w:val="none" w:sz="0" w:space="0" w:color="auto"/>
                <w:right w:val="none" w:sz="0" w:space="0" w:color="auto"/>
              </w:divBdr>
            </w:div>
            <w:div w:id="1975521394">
              <w:marLeft w:val="0"/>
              <w:marRight w:val="0"/>
              <w:marTop w:val="0"/>
              <w:marBottom w:val="0"/>
              <w:divBdr>
                <w:top w:val="none" w:sz="0" w:space="0" w:color="auto"/>
                <w:left w:val="none" w:sz="0" w:space="0" w:color="auto"/>
                <w:bottom w:val="none" w:sz="0" w:space="0" w:color="auto"/>
                <w:right w:val="none" w:sz="0" w:space="0" w:color="auto"/>
              </w:divBdr>
            </w:div>
            <w:div w:id="2124420651">
              <w:marLeft w:val="0"/>
              <w:marRight w:val="0"/>
              <w:marTop w:val="0"/>
              <w:marBottom w:val="0"/>
              <w:divBdr>
                <w:top w:val="none" w:sz="0" w:space="0" w:color="auto"/>
                <w:left w:val="none" w:sz="0" w:space="0" w:color="auto"/>
                <w:bottom w:val="none" w:sz="0" w:space="0" w:color="auto"/>
                <w:right w:val="none" w:sz="0" w:space="0" w:color="auto"/>
              </w:divBdr>
            </w:div>
          </w:divsChild>
        </w:div>
        <w:div w:id="725449788">
          <w:marLeft w:val="0"/>
          <w:marRight w:val="0"/>
          <w:marTop w:val="0"/>
          <w:marBottom w:val="0"/>
          <w:divBdr>
            <w:top w:val="none" w:sz="0" w:space="0" w:color="auto"/>
            <w:left w:val="none" w:sz="0" w:space="0" w:color="auto"/>
            <w:bottom w:val="none" w:sz="0" w:space="0" w:color="auto"/>
            <w:right w:val="none" w:sz="0" w:space="0" w:color="auto"/>
          </w:divBdr>
          <w:divsChild>
            <w:div w:id="139999047">
              <w:marLeft w:val="0"/>
              <w:marRight w:val="0"/>
              <w:marTop w:val="0"/>
              <w:marBottom w:val="0"/>
              <w:divBdr>
                <w:top w:val="none" w:sz="0" w:space="0" w:color="auto"/>
                <w:left w:val="none" w:sz="0" w:space="0" w:color="auto"/>
                <w:bottom w:val="none" w:sz="0" w:space="0" w:color="auto"/>
                <w:right w:val="none" w:sz="0" w:space="0" w:color="auto"/>
              </w:divBdr>
            </w:div>
            <w:div w:id="206988926">
              <w:marLeft w:val="0"/>
              <w:marRight w:val="0"/>
              <w:marTop w:val="0"/>
              <w:marBottom w:val="0"/>
              <w:divBdr>
                <w:top w:val="none" w:sz="0" w:space="0" w:color="auto"/>
                <w:left w:val="none" w:sz="0" w:space="0" w:color="auto"/>
                <w:bottom w:val="none" w:sz="0" w:space="0" w:color="auto"/>
                <w:right w:val="none" w:sz="0" w:space="0" w:color="auto"/>
              </w:divBdr>
            </w:div>
            <w:div w:id="223176393">
              <w:marLeft w:val="0"/>
              <w:marRight w:val="0"/>
              <w:marTop w:val="0"/>
              <w:marBottom w:val="0"/>
              <w:divBdr>
                <w:top w:val="none" w:sz="0" w:space="0" w:color="auto"/>
                <w:left w:val="none" w:sz="0" w:space="0" w:color="auto"/>
                <w:bottom w:val="none" w:sz="0" w:space="0" w:color="auto"/>
                <w:right w:val="none" w:sz="0" w:space="0" w:color="auto"/>
              </w:divBdr>
            </w:div>
            <w:div w:id="224296110">
              <w:marLeft w:val="0"/>
              <w:marRight w:val="0"/>
              <w:marTop w:val="0"/>
              <w:marBottom w:val="0"/>
              <w:divBdr>
                <w:top w:val="none" w:sz="0" w:space="0" w:color="auto"/>
                <w:left w:val="none" w:sz="0" w:space="0" w:color="auto"/>
                <w:bottom w:val="none" w:sz="0" w:space="0" w:color="auto"/>
                <w:right w:val="none" w:sz="0" w:space="0" w:color="auto"/>
              </w:divBdr>
            </w:div>
            <w:div w:id="317849991">
              <w:marLeft w:val="0"/>
              <w:marRight w:val="0"/>
              <w:marTop w:val="0"/>
              <w:marBottom w:val="0"/>
              <w:divBdr>
                <w:top w:val="none" w:sz="0" w:space="0" w:color="auto"/>
                <w:left w:val="none" w:sz="0" w:space="0" w:color="auto"/>
                <w:bottom w:val="none" w:sz="0" w:space="0" w:color="auto"/>
                <w:right w:val="none" w:sz="0" w:space="0" w:color="auto"/>
              </w:divBdr>
            </w:div>
            <w:div w:id="333652962">
              <w:marLeft w:val="0"/>
              <w:marRight w:val="0"/>
              <w:marTop w:val="0"/>
              <w:marBottom w:val="0"/>
              <w:divBdr>
                <w:top w:val="none" w:sz="0" w:space="0" w:color="auto"/>
                <w:left w:val="none" w:sz="0" w:space="0" w:color="auto"/>
                <w:bottom w:val="none" w:sz="0" w:space="0" w:color="auto"/>
                <w:right w:val="none" w:sz="0" w:space="0" w:color="auto"/>
              </w:divBdr>
            </w:div>
            <w:div w:id="400176476">
              <w:marLeft w:val="0"/>
              <w:marRight w:val="0"/>
              <w:marTop w:val="0"/>
              <w:marBottom w:val="0"/>
              <w:divBdr>
                <w:top w:val="none" w:sz="0" w:space="0" w:color="auto"/>
                <w:left w:val="none" w:sz="0" w:space="0" w:color="auto"/>
                <w:bottom w:val="none" w:sz="0" w:space="0" w:color="auto"/>
                <w:right w:val="none" w:sz="0" w:space="0" w:color="auto"/>
              </w:divBdr>
            </w:div>
            <w:div w:id="438330852">
              <w:marLeft w:val="0"/>
              <w:marRight w:val="0"/>
              <w:marTop w:val="0"/>
              <w:marBottom w:val="0"/>
              <w:divBdr>
                <w:top w:val="none" w:sz="0" w:space="0" w:color="auto"/>
                <w:left w:val="none" w:sz="0" w:space="0" w:color="auto"/>
                <w:bottom w:val="none" w:sz="0" w:space="0" w:color="auto"/>
                <w:right w:val="none" w:sz="0" w:space="0" w:color="auto"/>
              </w:divBdr>
            </w:div>
            <w:div w:id="486290965">
              <w:marLeft w:val="0"/>
              <w:marRight w:val="0"/>
              <w:marTop w:val="0"/>
              <w:marBottom w:val="0"/>
              <w:divBdr>
                <w:top w:val="none" w:sz="0" w:space="0" w:color="auto"/>
                <w:left w:val="none" w:sz="0" w:space="0" w:color="auto"/>
                <w:bottom w:val="none" w:sz="0" w:space="0" w:color="auto"/>
                <w:right w:val="none" w:sz="0" w:space="0" w:color="auto"/>
              </w:divBdr>
            </w:div>
            <w:div w:id="587664335">
              <w:marLeft w:val="0"/>
              <w:marRight w:val="0"/>
              <w:marTop w:val="0"/>
              <w:marBottom w:val="0"/>
              <w:divBdr>
                <w:top w:val="none" w:sz="0" w:space="0" w:color="auto"/>
                <w:left w:val="none" w:sz="0" w:space="0" w:color="auto"/>
                <w:bottom w:val="none" w:sz="0" w:space="0" w:color="auto"/>
                <w:right w:val="none" w:sz="0" w:space="0" w:color="auto"/>
              </w:divBdr>
            </w:div>
            <w:div w:id="628129236">
              <w:marLeft w:val="0"/>
              <w:marRight w:val="0"/>
              <w:marTop w:val="0"/>
              <w:marBottom w:val="0"/>
              <w:divBdr>
                <w:top w:val="none" w:sz="0" w:space="0" w:color="auto"/>
                <w:left w:val="none" w:sz="0" w:space="0" w:color="auto"/>
                <w:bottom w:val="none" w:sz="0" w:space="0" w:color="auto"/>
                <w:right w:val="none" w:sz="0" w:space="0" w:color="auto"/>
              </w:divBdr>
            </w:div>
            <w:div w:id="715349416">
              <w:marLeft w:val="0"/>
              <w:marRight w:val="0"/>
              <w:marTop w:val="0"/>
              <w:marBottom w:val="0"/>
              <w:divBdr>
                <w:top w:val="none" w:sz="0" w:space="0" w:color="auto"/>
                <w:left w:val="none" w:sz="0" w:space="0" w:color="auto"/>
                <w:bottom w:val="none" w:sz="0" w:space="0" w:color="auto"/>
                <w:right w:val="none" w:sz="0" w:space="0" w:color="auto"/>
              </w:divBdr>
            </w:div>
            <w:div w:id="920716550">
              <w:marLeft w:val="0"/>
              <w:marRight w:val="0"/>
              <w:marTop w:val="0"/>
              <w:marBottom w:val="0"/>
              <w:divBdr>
                <w:top w:val="none" w:sz="0" w:space="0" w:color="auto"/>
                <w:left w:val="none" w:sz="0" w:space="0" w:color="auto"/>
                <w:bottom w:val="none" w:sz="0" w:space="0" w:color="auto"/>
                <w:right w:val="none" w:sz="0" w:space="0" w:color="auto"/>
              </w:divBdr>
            </w:div>
            <w:div w:id="1002199942">
              <w:marLeft w:val="0"/>
              <w:marRight w:val="0"/>
              <w:marTop w:val="0"/>
              <w:marBottom w:val="0"/>
              <w:divBdr>
                <w:top w:val="none" w:sz="0" w:space="0" w:color="auto"/>
                <w:left w:val="none" w:sz="0" w:space="0" w:color="auto"/>
                <w:bottom w:val="none" w:sz="0" w:space="0" w:color="auto"/>
                <w:right w:val="none" w:sz="0" w:space="0" w:color="auto"/>
              </w:divBdr>
            </w:div>
            <w:div w:id="1056783267">
              <w:marLeft w:val="0"/>
              <w:marRight w:val="0"/>
              <w:marTop w:val="0"/>
              <w:marBottom w:val="0"/>
              <w:divBdr>
                <w:top w:val="none" w:sz="0" w:space="0" w:color="auto"/>
                <w:left w:val="none" w:sz="0" w:space="0" w:color="auto"/>
                <w:bottom w:val="none" w:sz="0" w:space="0" w:color="auto"/>
                <w:right w:val="none" w:sz="0" w:space="0" w:color="auto"/>
              </w:divBdr>
            </w:div>
            <w:div w:id="1200704798">
              <w:marLeft w:val="0"/>
              <w:marRight w:val="0"/>
              <w:marTop w:val="0"/>
              <w:marBottom w:val="0"/>
              <w:divBdr>
                <w:top w:val="none" w:sz="0" w:space="0" w:color="auto"/>
                <w:left w:val="none" w:sz="0" w:space="0" w:color="auto"/>
                <w:bottom w:val="none" w:sz="0" w:space="0" w:color="auto"/>
                <w:right w:val="none" w:sz="0" w:space="0" w:color="auto"/>
              </w:divBdr>
            </w:div>
            <w:div w:id="1230534172">
              <w:marLeft w:val="0"/>
              <w:marRight w:val="0"/>
              <w:marTop w:val="0"/>
              <w:marBottom w:val="0"/>
              <w:divBdr>
                <w:top w:val="none" w:sz="0" w:space="0" w:color="auto"/>
                <w:left w:val="none" w:sz="0" w:space="0" w:color="auto"/>
                <w:bottom w:val="none" w:sz="0" w:space="0" w:color="auto"/>
                <w:right w:val="none" w:sz="0" w:space="0" w:color="auto"/>
              </w:divBdr>
            </w:div>
            <w:div w:id="1348098920">
              <w:marLeft w:val="0"/>
              <w:marRight w:val="0"/>
              <w:marTop w:val="0"/>
              <w:marBottom w:val="0"/>
              <w:divBdr>
                <w:top w:val="none" w:sz="0" w:space="0" w:color="auto"/>
                <w:left w:val="none" w:sz="0" w:space="0" w:color="auto"/>
                <w:bottom w:val="none" w:sz="0" w:space="0" w:color="auto"/>
                <w:right w:val="none" w:sz="0" w:space="0" w:color="auto"/>
              </w:divBdr>
            </w:div>
            <w:div w:id="1380207609">
              <w:marLeft w:val="0"/>
              <w:marRight w:val="0"/>
              <w:marTop w:val="0"/>
              <w:marBottom w:val="0"/>
              <w:divBdr>
                <w:top w:val="none" w:sz="0" w:space="0" w:color="auto"/>
                <w:left w:val="none" w:sz="0" w:space="0" w:color="auto"/>
                <w:bottom w:val="none" w:sz="0" w:space="0" w:color="auto"/>
                <w:right w:val="none" w:sz="0" w:space="0" w:color="auto"/>
              </w:divBdr>
            </w:div>
            <w:div w:id="1779446040">
              <w:marLeft w:val="0"/>
              <w:marRight w:val="0"/>
              <w:marTop w:val="0"/>
              <w:marBottom w:val="0"/>
              <w:divBdr>
                <w:top w:val="none" w:sz="0" w:space="0" w:color="auto"/>
                <w:left w:val="none" w:sz="0" w:space="0" w:color="auto"/>
                <w:bottom w:val="none" w:sz="0" w:space="0" w:color="auto"/>
                <w:right w:val="none" w:sz="0" w:space="0" w:color="auto"/>
              </w:divBdr>
            </w:div>
            <w:div w:id="1843933888">
              <w:marLeft w:val="0"/>
              <w:marRight w:val="0"/>
              <w:marTop w:val="0"/>
              <w:marBottom w:val="0"/>
              <w:divBdr>
                <w:top w:val="none" w:sz="0" w:space="0" w:color="auto"/>
                <w:left w:val="none" w:sz="0" w:space="0" w:color="auto"/>
                <w:bottom w:val="none" w:sz="0" w:space="0" w:color="auto"/>
                <w:right w:val="none" w:sz="0" w:space="0" w:color="auto"/>
              </w:divBdr>
            </w:div>
            <w:div w:id="2042198293">
              <w:marLeft w:val="0"/>
              <w:marRight w:val="0"/>
              <w:marTop w:val="0"/>
              <w:marBottom w:val="0"/>
              <w:divBdr>
                <w:top w:val="none" w:sz="0" w:space="0" w:color="auto"/>
                <w:left w:val="none" w:sz="0" w:space="0" w:color="auto"/>
                <w:bottom w:val="none" w:sz="0" w:space="0" w:color="auto"/>
                <w:right w:val="none" w:sz="0" w:space="0" w:color="auto"/>
              </w:divBdr>
            </w:div>
            <w:div w:id="2071729503">
              <w:marLeft w:val="0"/>
              <w:marRight w:val="0"/>
              <w:marTop w:val="0"/>
              <w:marBottom w:val="0"/>
              <w:divBdr>
                <w:top w:val="none" w:sz="0" w:space="0" w:color="auto"/>
                <w:left w:val="none" w:sz="0" w:space="0" w:color="auto"/>
                <w:bottom w:val="none" w:sz="0" w:space="0" w:color="auto"/>
                <w:right w:val="none" w:sz="0" w:space="0" w:color="auto"/>
              </w:divBdr>
            </w:div>
            <w:div w:id="2073384992">
              <w:marLeft w:val="0"/>
              <w:marRight w:val="0"/>
              <w:marTop w:val="0"/>
              <w:marBottom w:val="0"/>
              <w:divBdr>
                <w:top w:val="none" w:sz="0" w:space="0" w:color="auto"/>
                <w:left w:val="none" w:sz="0" w:space="0" w:color="auto"/>
                <w:bottom w:val="none" w:sz="0" w:space="0" w:color="auto"/>
                <w:right w:val="none" w:sz="0" w:space="0" w:color="auto"/>
              </w:divBdr>
            </w:div>
          </w:divsChild>
        </w:div>
        <w:div w:id="1020352306">
          <w:marLeft w:val="0"/>
          <w:marRight w:val="0"/>
          <w:marTop w:val="0"/>
          <w:marBottom w:val="0"/>
          <w:divBdr>
            <w:top w:val="none" w:sz="0" w:space="0" w:color="auto"/>
            <w:left w:val="none" w:sz="0" w:space="0" w:color="auto"/>
            <w:bottom w:val="none" w:sz="0" w:space="0" w:color="auto"/>
            <w:right w:val="none" w:sz="0" w:space="0" w:color="auto"/>
          </w:divBdr>
          <w:divsChild>
            <w:div w:id="1907448096">
              <w:marLeft w:val="-75"/>
              <w:marRight w:val="0"/>
              <w:marTop w:val="30"/>
              <w:marBottom w:val="30"/>
              <w:divBdr>
                <w:top w:val="none" w:sz="0" w:space="0" w:color="auto"/>
                <w:left w:val="none" w:sz="0" w:space="0" w:color="auto"/>
                <w:bottom w:val="none" w:sz="0" w:space="0" w:color="auto"/>
                <w:right w:val="none" w:sz="0" w:space="0" w:color="auto"/>
              </w:divBdr>
              <w:divsChild>
                <w:div w:id="80689148">
                  <w:marLeft w:val="0"/>
                  <w:marRight w:val="0"/>
                  <w:marTop w:val="0"/>
                  <w:marBottom w:val="0"/>
                  <w:divBdr>
                    <w:top w:val="none" w:sz="0" w:space="0" w:color="auto"/>
                    <w:left w:val="none" w:sz="0" w:space="0" w:color="auto"/>
                    <w:bottom w:val="none" w:sz="0" w:space="0" w:color="auto"/>
                    <w:right w:val="none" w:sz="0" w:space="0" w:color="auto"/>
                  </w:divBdr>
                  <w:divsChild>
                    <w:div w:id="37291569">
                      <w:marLeft w:val="0"/>
                      <w:marRight w:val="0"/>
                      <w:marTop w:val="0"/>
                      <w:marBottom w:val="0"/>
                      <w:divBdr>
                        <w:top w:val="none" w:sz="0" w:space="0" w:color="auto"/>
                        <w:left w:val="none" w:sz="0" w:space="0" w:color="auto"/>
                        <w:bottom w:val="none" w:sz="0" w:space="0" w:color="auto"/>
                        <w:right w:val="none" w:sz="0" w:space="0" w:color="auto"/>
                      </w:divBdr>
                    </w:div>
                  </w:divsChild>
                </w:div>
                <w:div w:id="84764651">
                  <w:marLeft w:val="0"/>
                  <w:marRight w:val="0"/>
                  <w:marTop w:val="0"/>
                  <w:marBottom w:val="0"/>
                  <w:divBdr>
                    <w:top w:val="none" w:sz="0" w:space="0" w:color="auto"/>
                    <w:left w:val="none" w:sz="0" w:space="0" w:color="auto"/>
                    <w:bottom w:val="none" w:sz="0" w:space="0" w:color="auto"/>
                    <w:right w:val="none" w:sz="0" w:space="0" w:color="auto"/>
                  </w:divBdr>
                  <w:divsChild>
                    <w:div w:id="1397434501">
                      <w:marLeft w:val="0"/>
                      <w:marRight w:val="0"/>
                      <w:marTop w:val="0"/>
                      <w:marBottom w:val="0"/>
                      <w:divBdr>
                        <w:top w:val="none" w:sz="0" w:space="0" w:color="auto"/>
                        <w:left w:val="none" w:sz="0" w:space="0" w:color="auto"/>
                        <w:bottom w:val="none" w:sz="0" w:space="0" w:color="auto"/>
                        <w:right w:val="none" w:sz="0" w:space="0" w:color="auto"/>
                      </w:divBdr>
                    </w:div>
                  </w:divsChild>
                </w:div>
                <w:div w:id="135076158">
                  <w:marLeft w:val="0"/>
                  <w:marRight w:val="0"/>
                  <w:marTop w:val="0"/>
                  <w:marBottom w:val="0"/>
                  <w:divBdr>
                    <w:top w:val="none" w:sz="0" w:space="0" w:color="auto"/>
                    <w:left w:val="none" w:sz="0" w:space="0" w:color="auto"/>
                    <w:bottom w:val="none" w:sz="0" w:space="0" w:color="auto"/>
                    <w:right w:val="none" w:sz="0" w:space="0" w:color="auto"/>
                  </w:divBdr>
                  <w:divsChild>
                    <w:div w:id="451441125">
                      <w:marLeft w:val="0"/>
                      <w:marRight w:val="0"/>
                      <w:marTop w:val="0"/>
                      <w:marBottom w:val="0"/>
                      <w:divBdr>
                        <w:top w:val="none" w:sz="0" w:space="0" w:color="auto"/>
                        <w:left w:val="none" w:sz="0" w:space="0" w:color="auto"/>
                        <w:bottom w:val="none" w:sz="0" w:space="0" w:color="auto"/>
                        <w:right w:val="none" w:sz="0" w:space="0" w:color="auto"/>
                      </w:divBdr>
                    </w:div>
                  </w:divsChild>
                </w:div>
                <w:div w:id="266498922">
                  <w:marLeft w:val="0"/>
                  <w:marRight w:val="0"/>
                  <w:marTop w:val="0"/>
                  <w:marBottom w:val="0"/>
                  <w:divBdr>
                    <w:top w:val="none" w:sz="0" w:space="0" w:color="auto"/>
                    <w:left w:val="none" w:sz="0" w:space="0" w:color="auto"/>
                    <w:bottom w:val="none" w:sz="0" w:space="0" w:color="auto"/>
                    <w:right w:val="none" w:sz="0" w:space="0" w:color="auto"/>
                  </w:divBdr>
                  <w:divsChild>
                    <w:div w:id="730272174">
                      <w:marLeft w:val="0"/>
                      <w:marRight w:val="0"/>
                      <w:marTop w:val="0"/>
                      <w:marBottom w:val="0"/>
                      <w:divBdr>
                        <w:top w:val="none" w:sz="0" w:space="0" w:color="auto"/>
                        <w:left w:val="none" w:sz="0" w:space="0" w:color="auto"/>
                        <w:bottom w:val="none" w:sz="0" w:space="0" w:color="auto"/>
                        <w:right w:val="none" w:sz="0" w:space="0" w:color="auto"/>
                      </w:divBdr>
                    </w:div>
                    <w:div w:id="848640559">
                      <w:marLeft w:val="0"/>
                      <w:marRight w:val="0"/>
                      <w:marTop w:val="0"/>
                      <w:marBottom w:val="0"/>
                      <w:divBdr>
                        <w:top w:val="none" w:sz="0" w:space="0" w:color="auto"/>
                        <w:left w:val="none" w:sz="0" w:space="0" w:color="auto"/>
                        <w:bottom w:val="none" w:sz="0" w:space="0" w:color="auto"/>
                        <w:right w:val="none" w:sz="0" w:space="0" w:color="auto"/>
                      </w:divBdr>
                    </w:div>
                    <w:div w:id="1393774735">
                      <w:marLeft w:val="0"/>
                      <w:marRight w:val="0"/>
                      <w:marTop w:val="0"/>
                      <w:marBottom w:val="0"/>
                      <w:divBdr>
                        <w:top w:val="none" w:sz="0" w:space="0" w:color="auto"/>
                        <w:left w:val="none" w:sz="0" w:space="0" w:color="auto"/>
                        <w:bottom w:val="none" w:sz="0" w:space="0" w:color="auto"/>
                        <w:right w:val="none" w:sz="0" w:space="0" w:color="auto"/>
                      </w:divBdr>
                    </w:div>
                  </w:divsChild>
                </w:div>
                <w:div w:id="331027371">
                  <w:marLeft w:val="0"/>
                  <w:marRight w:val="0"/>
                  <w:marTop w:val="0"/>
                  <w:marBottom w:val="0"/>
                  <w:divBdr>
                    <w:top w:val="none" w:sz="0" w:space="0" w:color="auto"/>
                    <w:left w:val="none" w:sz="0" w:space="0" w:color="auto"/>
                    <w:bottom w:val="none" w:sz="0" w:space="0" w:color="auto"/>
                    <w:right w:val="none" w:sz="0" w:space="0" w:color="auto"/>
                  </w:divBdr>
                  <w:divsChild>
                    <w:div w:id="1601447512">
                      <w:marLeft w:val="0"/>
                      <w:marRight w:val="0"/>
                      <w:marTop w:val="0"/>
                      <w:marBottom w:val="0"/>
                      <w:divBdr>
                        <w:top w:val="none" w:sz="0" w:space="0" w:color="auto"/>
                        <w:left w:val="none" w:sz="0" w:space="0" w:color="auto"/>
                        <w:bottom w:val="none" w:sz="0" w:space="0" w:color="auto"/>
                        <w:right w:val="none" w:sz="0" w:space="0" w:color="auto"/>
                      </w:divBdr>
                    </w:div>
                  </w:divsChild>
                </w:div>
                <w:div w:id="366225742">
                  <w:marLeft w:val="0"/>
                  <w:marRight w:val="0"/>
                  <w:marTop w:val="0"/>
                  <w:marBottom w:val="0"/>
                  <w:divBdr>
                    <w:top w:val="none" w:sz="0" w:space="0" w:color="auto"/>
                    <w:left w:val="none" w:sz="0" w:space="0" w:color="auto"/>
                    <w:bottom w:val="none" w:sz="0" w:space="0" w:color="auto"/>
                    <w:right w:val="none" w:sz="0" w:space="0" w:color="auto"/>
                  </w:divBdr>
                  <w:divsChild>
                    <w:div w:id="1758282467">
                      <w:marLeft w:val="0"/>
                      <w:marRight w:val="0"/>
                      <w:marTop w:val="0"/>
                      <w:marBottom w:val="0"/>
                      <w:divBdr>
                        <w:top w:val="none" w:sz="0" w:space="0" w:color="auto"/>
                        <w:left w:val="none" w:sz="0" w:space="0" w:color="auto"/>
                        <w:bottom w:val="none" w:sz="0" w:space="0" w:color="auto"/>
                        <w:right w:val="none" w:sz="0" w:space="0" w:color="auto"/>
                      </w:divBdr>
                    </w:div>
                  </w:divsChild>
                </w:div>
                <w:div w:id="410808759">
                  <w:marLeft w:val="0"/>
                  <w:marRight w:val="0"/>
                  <w:marTop w:val="0"/>
                  <w:marBottom w:val="0"/>
                  <w:divBdr>
                    <w:top w:val="none" w:sz="0" w:space="0" w:color="auto"/>
                    <w:left w:val="none" w:sz="0" w:space="0" w:color="auto"/>
                    <w:bottom w:val="none" w:sz="0" w:space="0" w:color="auto"/>
                    <w:right w:val="none" w:sz="0" w:space="0" w:color="auto"/>
                  </w:divBdr>
                  <w:divsChild>
                    <w:div w:id="34503602">
                      <w:marLeft w:val="0"/>
                      <w:marRight w:val="0"/>
                      <w:marTop w:val="0"/>
                      <w:marBottom w:val="0"/>
                      <w:divBdr>
                        <w:top w:val="none" w:sz="0" w:space="0" w:color="auto"/>
                        <w:left w:val="none" w:sz="0" w:space="0" w:color="auto"/>
                        <w:bottom w:val="none" w:sz="0" w:space="0" w:color="auto"/>
                        <w:right w:val="none" w:sz="0" w:space="0" w:color="auto"/>
                      </w:divBdr>
                    </w:div>
                    <w:div w:id="78717191">
                      <w:marLeft w:val="0"/>
                      <w:marRight w:val="0"/>
                      <w:marTop w:val="0"/>
                      <w:marBottom w:val="0"/>
                      <w:divBdr>
                        <w:top w:val="none" w:sz="0" w:space="0" w:color="auto"/>
                        <w:left w:val="none" w:sz="0" w:space="0" w:color="auto"/>
                        <w:bottom w:val="none" w:sz="0" w:space="0" w:color="auto"/>
                        <w:right w:val="none" w:sz="0" w:space="0" w:color="auto"/>
                      </w:divBdr>
                    </w:div>
                    <w:div w:id="254486778">
                      <w:marLeft w:val="0"/>
                      <w:marRight w:val="0"/>
                      <w:marTop w:val="0"/>
                      <w:marBottom w:val="0"/>
                      <w:divBdr>
                        <w:top w:val="none" w:sz="0" w:space="0" w:color="auto"/>
                        <w:left w:val="none" w:sz="0" w:space="0" w:color="auto"/>
                        <w:bottom w:val="none" w:sz="0" w:space="0" w:color="auto"/>
                        <w:right w:val="none" w:sz="0" w:space="0" w:color="auto"/>
                      </w:divBdr>
                    </w:div>
                  </w:divsChild>
                </w:div>
                <w:div w:id="566066393">
                  <w:marLeft w:val="0"/>
                  <w:marRight w:val="0"/>
                  <w:marTop w:val="0"/>
                  <w:marBottom w:val="0"/>
                  <w:divBdr>
                    <w:top w:val="none" w:sz="0" w:space="0" w:color="auto"/>
                    <w:left w:val="none" w:sz="0" w:space="0" w:color="auto"/>
                    <w:bottom w:val="none" w:sz="0" w:space="0" w:color="auto"/>
                    <w:right w:val="none" w:sz="0" w:space="0" w:color="auto"/>
                  </w:divBdr>
                  <w:divsChild>
                    <w:div w:id="643967690">
                      <w:marLeft w:val="0"/>
                      <w:marRight w:val="0"/>
                      <w:marTop w:val="0"/>
                      <w:marBottom w:val="0"/>
                      <w:divBdr>
                        <w:top w:val="none" w:sz="0" w:space="0" w:color="auto"/>
                        <w:left w:val="none" w:sz="0" w:space="0" w:color="auto"/>
                        <w:bottom w:val="none" w:sz="0" w:space="0" w:color="auto"/>
                        <w:right w:val="none" w:sz="0" w:space="0" w:color="auto"/>
                      </w:divBdr>
                    </w:div>
                  </w:divsChild>
                </w:div>
                <w:div w:id="672226398">
                  <w:marLeft w:val="0"/>
                  <w:marRight w:val="0"/>
                  <w:marTop w:val="0"/>
                  <w:marBottom w:val="0"/>
                  <w:divBdr>
                    <w:top w:val="none" w:sz="0" w:space="0" w:color="auto"/>
                    <w:left w:val="none" w:sz="0" w:space="0" w:color="auto"/>
                    <w:bottom w:val="none" w:sz="0" w:space="0" w:color="auto"/>
                    <w:right w:val="none" w:sz="0" w:space="0" w:color="auto"/>
                  </w:divBdr>
                  <w:divsChild>
                    <w:div w:id="1514883432">
                      <w:marLeft w:val="0"/>
                      <w:marRight w:val="0"/>
                      <w:marTop w:val="0"/>
                      <w:marBottom w:val="0"/>
                      <w:divBdr>
                        <w:top w:val="none" w:sz="0" w:space="0" w:color="auto"/>
                        <w:left w:val="none" w:sz="0" w:space="0" w:color="auto"/>
                        <w:bottom w:val="none" w:sz="0" w:space="0" w:color="auto"/>
                        <w:right w:val="none" w:sz="0" w:space="0" w:color="auto"/>
                      </w:divBdr>
                    </w:div>
                  </w:divsChild>
                </w:div>
                <w:div w:id="687293510">
                  <w:marLeft w:val="0"/>
                  <w:marRight w:val="0"/>
                  <w:marTop w:val="0"/>
                  <w:marBottom w:val="0"/>
                  <w:divBdr>
                    <w:top w:val="none" w:sz="0" w:space="0" w:color="auto"/>
                    <w:left w:val="none" w:sz="0" w:space="0" w:color="auto"/>
                    <w:bottom w:val="none" w:sz="0" w:space="0" w:color="auto"/>
                    <w:right w:val="none" w:sz="0" w:space="0" w:color="auto"/>
                  </w:divBdr>
                  <w:divsChild>
                    <w:div w:id="1294942914">
                      <w:marLeft w:val="0"/>
                      <w:marRight w:val="0"/>
                      <w:marTop w:val="0"/>
                      <w:marBottom w:val="0"/>
                      <w:divBdr>
                        <w:top w:val="none" w:sz="0" w:space="0" w:color="auto"/>
                        <w:left w:val="none" w:sz="0" w:space="0" w:color="auto"/>
                        <w:bottom w:val="none" w:sz="0" w:space="0" w:color="auto"/>
                        <w:right w:val="none" w:sz="0" w:space="0" w:color="auto"/>
                      </w:divBdr>
                    </w:div>
                  </w:divsChild>
                </w:div>
                <w:div w:id="772482442">
                  <w:marLeft w:val="0"/>
                  <w:marRight w:val="0"/>
                  <w:marTop w:val="0"/>
                  <w:marBottom w:val="0"/>
                  <w:divBdr>
                    <w:top w:val="none" w:sz="0" w:space="0" w:color="auto"/>
                    <w:left w:val="none" w:sz="0" w:space="0" w:color="auto"/>
                    <w:bottom w:val="none" w:sz="0" w:space="0" w:color="auto"/>
                    <w:right w:val="none" w:sz="0" w:space="0" w:color="auto"/>
                  </w:divBdr>
                  <w:divsChild>
                    <w:div w:id="729423044">
                      <w:marLeft w:val="0"/>
                      <w:marRight w:val="0"/>
                      <w:marTop w:val="0"/>
                      <w:marBottom w:val="0"/>
                      <w:divBdr>
                        <w:top w:val="none" w:sz="0" w:space="0" w:color="auto"/>
                        <w:left w:val="none" w:sz="0" w:space="0" w:color="auto"/>
                        <w:bottom w:val="none" w:sz="0" w:space="0" w:color="auto"/>
                        <w:right w:val="none" w:sz="0" w:space="0" w:color="auto"/>
                      </w:divBdr>
                    </w:div>
                  </w:divsChild>
                </w:div>
                <w:div w:id="1005598179">
                  <w:marLeft w:val="0"/>
                  <w:marRight w:val="0"/>
                  <w:marTop w:val="0"/>
                  <w:marBottom w:val="0"/>
                  <w:divBdr>
                    <w:top w:val="none" w:sz="0" w:space="0" w:color="auto"/>
                    <w:left w:val="none" w:sz="0" w:space="0" w:color="auto"/>
                    <w:bottom w:val="none" w:sz="0" w:space="0" w:color="auto"/>
                    <w:right w:val="none" w:sz="0" w:space="0" w:color="auto"/>
                  </w:divBdr>
                  <w:divsChild>
                    <w:div w:id="1084454081">
                      <w:marLeft w:val="0"/>
                      <w:marRight w:val="0"/>
                      <w:marTop w:val="0"/>
                      <w:marBottom w:val="0"/>
                      <w:divBdr>
                        <w:top w:val="none" w:sz="0" w:space="0" w:color="auto"/>
                        <w:left w:val="none" w:sz="0" w:space="0" w:color="auto"/>
                        <w:bottom w:val="none" w:sz="0" w:space="0" w:color="auto"/>
                        <w:right w:val="none" w:sz="0" w:space="0" w:color="auto"/>
                      </w:divBdr>
                    </w:div>
                  </w:divsChild>
                </w:div>
                <w:div w:id="1024330892">
                  <w:marLeft w:val="0"/>
                  <w:marRight w:val="0"/>
                  <w:marTop w:val="0"/>
                  <w:marBottom w:val="0"/>
                  <w:divBdr>
                    <w:top w:val="none" w:sz="0" w:space="0" w:color="auto"/>
                    <w:left w:val="none" w:sz="0" w:space="0" w:color="auto"/>
                    <w:bottom w:val="none" w:sz="0" w:space="0" w:color="auto"/>
                    <w:right w:val="none" w:sz="0" w:space="0" w:color="auto"/>
                  </w:divBdr>
                  <w:divsChild>
                    <w:div w:id="1907838226">
                      <w:marLeft w:val="0"/>
                      <w:marRight w:val="0"/>
                      <w:marTop w:val="0"/>
                      <w:marBottom w:val="0"/>
                      <w:divBdr>
                        <w:top w:val="none" w:sz="0" w:space="0" w:color="auto"/>
                        <w:left w:val="none" w:sz="0" w:space="0" w:color="auto"/>
                        <w:bottom w:val="none" w:sz="0" w:space="0" w:color="auto"/>
                        <w:right w:val="none" w:sz="0" w:space="0" w:color="auto"/>
                      </w:divBdr>
                    </w:div>
                  </w:divsChild>
                </w:div>
                <w:div w:id="1048411072">
                  <w:marLeft w:val="0"/>
                  <w:marRight w:val="0"/>
                  <w:marTop w:val="0"/>
                  <w:marBottom w:val="0"/>
                  <w:divBdr>
                    <w:top w:val="none" w:sz="0" w:space="0" w:color="auto"/>
                    <w:left w:val="none" w:sz="0" w:space="0" w:color="auto"/>
                    <w:bottom w:val="none" w:sz="0" w:space="0" w:color="auto"/>
                    <w:right w:val="none" w:sz="0" w:space="0" w:color="auto"/>
                  </w:divBdr>
                  <w:divsChild>
                    <w:div w:id="547424955">
                      <w:marLeft w:val="0"/>
                      <w:marRight w:val="0"/>
                      <w:marTop w:val="0"/>
                      <w:marBottom w:val="0"/>
                      <w:divBdr>
                        <w:top w:val="none" w:sz="0" w:space="0" w:color="auto"/>
                        <w:left w:val="none" w:sz="0" w:space="0" w:color="auto"/>
                        <w:bottom w:val="none" w:sz="0" w:space="0" w:color="auto"/>
                        <w:right w:val="none" w:sz="0" w:space="0" w:color="auto"/>
                      </w:divBdr>
                    </w:div>
                  </w:divsChild>
                </w:div>
                <w:div w:id="1063453313">
                  <w:marLeft w:val="0"/>
                  <w:marRight w:val="0"/>
                  <w:marTop w:val="0"/>
                  <w:marBottom w:val="0"/>
                  <w:divBdr>
                    <w:top w:val="none" w:sz="0" w:space="0" w:color="auto"/>
                    <w:left w:val="none" w:sz="0" w:space="0" w:color="auto"/>
                    <w:bottom w:val="none" w:sz="0" w:space="0" w:color="auto"/>
                    <w:right w:val="none" w:sz="0" w:space="0" w:color="auto"/>
                  </w:divBdr>
                  <w:divsChild>
                    <w:div w:id="530530255">
                      <w:marLeft w:val="0"/>
                      <w:marRight w:val="0"/>
                      <w:marTop w:val="0"/>
                      <w:marBottom w:val="0"/>
                      <w:divBdr>
                        <w:top w:val="none" w:sz="0" w:space="0" w:color="auto"/>
                        <w:left w:val="none" w:sz="0" w:space="0" w:color="auto"/>
                        <w:bottom w:val="none" w:sz="0" w:space="0" w:color="auto"/>
                        <w:right w:val="none" w:sz="0" w:space="0" w:color="auto"/>
                      </w:divBdr>
                    </w:div>
                    <w:div w:id="2068648336">
                      <w:marLeft w:val="0"/>
                      <w:marRight w:val="0"/>
                      <w:marTop w:val="0"/>
                      <w:marBottom w:val="0"/>
                      <w:divBdr>
                        <w:top w:val="none" w:sz="0" w:space="0" w:color="auto"/>
                        <w:left w:val="none" w:sz="0" w:space="0" w:color="auto"/>
                        <w:bottom w:val="none" w:sz="0" w:space="0" w:color="auto"/>
                        <w:right w:val="none" w:sz="0" w:space="0" w:color="auto"/>
                      </w:divBdr>
                    </w:div>
                    <w:div w:id="2132280681">
                      <w:marLeft w:val="0"/>
                      <w:marRight w:val="0"/>
                      <w:marTop w:val="0"/>
                      <w:marBottom w:val="0"/>
                      <w:divBdr>
                        <w:top w:val="none" w:sz="0" w:space="0" w:color="auto"/>
                        <w:left w:val="none" w:sz="0" w:space="0" w:color="auto"/>
                        <w:bottom w:val="none" w:sz="0" w:space="0" w:color="auto"/>
                        <w:right w:val="none" w:sz="0" w:space="0" w:color="auto"/>
                      </w:divBdr>
                    </w:div>
                  </w:divsChild>
                </w:div>
                <w:div w:id="1132405711">
                  <w:marLeft w:val="0"/>
                  <w:marRight w:val="0"/>
                  <w:marTop w:val="0"/>
                  <w:marBottom w:val="0"/>
                  <w:divBdr>
                    <w:top w:val="none" w:sz="0" w:space="0" w:color="auto"/>
                    <w:left w:val="none" w:sz="0" w:space="0" w:color="auto"/>
                    <w:bottom w:val="none" w:sz="0" w:space="0" w:color="auto"/>
                    <w:right w:val="none" w:sz="0" w:space="0" w:color="auto"/>
                  </w:divBdr>
                  <w:divsChild>
                    <w:div w:id="1227573859">
                      <w:marLeft w:val="0"/>
                      <w:marRight w:val="0"/>
                      <w:marTop w:val="0"/>
                      <w:marBottom w:val="0"/>
                      <w:divBdr>
                        <w:top w:val="none" w:sz="0" w:space="0" w:color="auto"/>
                        <w:left w:val="none" w:sz="0" w:space="0" w:color="auto"/>
                        <w:bottom w:val="none" w:sz="0" w:space="0" w:color="auto"/>
                        <w:right w:val="none" w:sz="0" w:space="0" w:color="auto"/>
                      </w:divBdr>
                    </w:div>
                  </w:divsChild>
                </w:div>
                <w:div w:id="1156218039">
                  <w:marLeft w:val="0"/>
                  <w:marRight w:val="0"/>
                  <w:marTop w:val="0"/>
                  <w:marBottom w:val="0"/>
                  <w:divBdr>
                    <w:top w:val="none" w:sz="0" w:space="0" w:color="auto"/>
                    <w:left w:val="none" w:sz="0" w:space="0" w:color="auto"/>
                    <w:bottom w:val="none" w:sz="0" w:space="0" w:color="auto"/>
                    <w:right w:val="none" w:sz="0" w:space="0" w:color="auto"/>
                  </w:divBdr>
                  <w:divsChild>
                    <w:div w:id="2109692899">
                      <w:marLeft w:val="0"/>
                      <w:marRight w:val="0"/>
                      <w:marTop w:val="0"/>
                      <w:marBottom w:val="0"/>
                      <w:divBdr>
                        <w:top w:val="none" w:sz="0" w:space="0" w:color="auto"/>
                        <w:left w:val="none" w:sz="0" w:space="0" w:color="auto"/>
                        <w:bottom w:val="none" w:sz="0" w:space="0" w:color="auto"/>
                        <w:right w:val="none" w:sz="0" w:space="0" w:color="auto"/>
                      </w:divBdr>
                    </w:div>
                  </w:divsChild>
                </w:div>
                <w:div w:id="1228373791">
                  <w:marLeft w:val="0"/>
                  <w:marRight w:val="0"/>
                  <w:marTop w:val="0"/>
                  <w:marBottom w:val="0"/>
                  <w:divBdr>
                    <w:top w:val="none" w:sz="0" w:space="0" w:color="auto"/>
                    <w:left w:val="none" w:sz="0" w:space="0" w:color="auto"/>
                    <w:bottom w:val="none" w:sz="0" w:space="0" w:color="auto"/>
                    <w:right w:val="none" w:sz="0" w:space="0" w:color="auto"/>
                  </w:divBdr>
                  <w:divsChild>
                    <w:div w:id="1281254802">
                      <w:marLeft w:val="0"/>
                      <w:marRight w:val="0"/>
                      <w:marTop w:val="0"/>
                      <w:marBottom w:val="0"/>
                      <w:divBdr>
                        <w:top w:val="none" w:sz="0" w:space="0" w:color="auto"/>
                        <w:left w:val="none" w:sz="0" w:space="0" w:color="auto"/>
                        <w:bottom w:val="none" w:sz="0" w:space="0" w:color="auto"/>
                        <w:right w:val="none" w:sz="0" w:space="0" w:color="auto"/>
                      </w:divBdr>
                    </w:div>
                  </w:divsChild>
                </w:div>
                <w:div w:id="1275558977">
                  <w:marLeft w:val="0"/>
                  <w:marRight w:val="0"/>
                  <w:marTop w:val="0"/>
                  <w:marBottom w:val="0"/>
                  <w:divBdr>
                    <w:top w:val="none" w:sz="0" w:space="0" w:color="auto"/>
                    <w:left w:val="none" w:sz="0" w:space="0" w:color="auto"/>
                    <w:bottom w:val="none" w:sz="0" w:space="0" w:color="auto"/>
                    <w:right w:val="none" w:sz="0" w:space="0" w:color="auto"/>
                  </w:divBdr>
                  <w:divsChild>
                    <w:div w:id="352192175">
                      <w:marLeft w:val="0"/>
                      <w:marRight w:val="0"/>
                      <w:marTop w:val="0"/>
                      <w:marBottom w:val="0"/>
                      <w:divBdr>
                        <w:top w:val="none" w:sz="0" w:space="0" w:color="auto"/>
                        <w:left w:val="none" w:sz="0" w:space="0" w:color="auto"/>
                        <w:bottom w:val="none" w:sz="0" w:space="0" w:color="auto"/>
                        <w:right w:val="none" w:sz="0" w:space="0" w:color="auto"/>
                      </w:divBdr>
                    </w:div>
                    <w:div w:id="1704210628">
                      <w:marLeft w:val="0"/>
                      <w:marRight w:val="0"/>
                      <w:marTop w:val="0"/>
                      <w:marBottom w:val="0"/>
                      <w:divBdr>
                        <w:top w:val="none" w:sz="0" w:space="0" w:color="auto"/>
                        <w:left w:val="none" w:sz="0" w:space="0" w:color="auto"/>
                        <w:bottom w:val="none" w:sz="0" w:space="0" w:color="auto"/>
                        <w:right w:val="none" w:sz="0" w:space="0" w:color="auto"/>
                      </w:divBdr>
                    </w:div>
                    <w:div w:id="1954285307">
                      <w:marLeft w:val="0"/>
                      <w:marRight w:val="0"/>
                      <w:marTop w:val="0"/>
                      <w:marBottom w:val="0"/>
                      <w:divBdr>
                        <w:top w:val="none" w:sz="0" w:space="0" w:color="auto"/>
                        <w:left w:val="none" w:sz="0" w:space="0" w:color="auto"/>
                        <w:bottom w:val="none" w:sz="0" w:space="0" w:color="auto"/>
                        <w:right w:val="none" w:sz="0" w:space="0" w:color="auto"/>
                      </w:divBdr>
                    </w:div>
                  </w:divsChild>
                </w:div>
                <w:div w:id="1330477864">
                  <w:marLeft w:val="0"/>
                  <w:marRight w:val="0"/>
                  <w:marTop w:val="0"/>
                  <w:marBottom w:val="0"/>
                  <w:divBdr>
                    <w:top w:val="none" w:sz="0" w:space="0" w:color="auto"/>
                    <w:left w:val="none" w:sz="0" w:space="0" w:color="auto"/>
                    <w:bottom w:val="none" w:sz="0" w:space="0" w:color="auto"/>
                    <w:right w:val="none" w:sz="0" w:space="0" w:color="auto"/>
                  </w:divBdr>
                  <w:divsChild>
                    <w:div w:id="1673945123">
                      <w:marLeft w:val="0"/>
                      <w:marRight w:val="0"/>
                      <w:marTop w:val="0"/>
                      <w:marBottom w:val="0"/>
                      <w:divBdr>
                        <w:top w:val="none" w:sz="0" w:space="0" w:color="auto"/>
                        <w:left w:val="none" w:sz="0" w:space="0" w:color="auto"/>
                        <w:bottom w:val="none" w:sz="0" w:space="0" w:color="auto"/>
                        <w:right w:val="none" w:sz="0" w:space="0" w:color="auto"/>
                      </w:divBdr>
                    </w:div>
                  </w:divsChild>
                </w:div>
                <w:div w:id="1365250161">
                  <w:marLeft w:val="0"/>
                  <w:marRight w:val="0"/>
                  <w:marTop w:val="0"/>
                  <w:marBottom w:val="0"/>
                  <w:divBdr>
                    <w:top w:val="none" w:sz="0" w:space="0" w:color="auto"/>
                    <w:left w:val="none" w:sz="0" w:space="0" w:color="auto"/>
                    <w:bottom w:val="none" w:sz="0" w:space="0" w:color="auto"/>
                    <w:right w:val="none" w:sz="0" w:space="0" w:color="auto"/>
                  </w:divBdr>
                  <w:divsChild>
                    <w:div w:id="1503742069">
                      <w:marLeft w:val="0"/>
                      <w:marRight w:val="0"/>
                      <w:marTop w:val="0"/>
                      <w:marBottom w:val="0"/>
                      <w:divBdr>
                        <w:top w:val="none" w:sz="0" w:space="0" w:color="auto"/>
                        <w:left w:val="none" w:sz="0" w:space="0" w:color="auto"/>
                        <w:bottom w:val="none" w:sz="0" w:space="0" w:color="auto"/>
                        <w:right w:val="none" w:sz="0" w:space="0" w:color="auto"/>
                      </w:divBdr>
                    </w:div>
                  </w:divsChild>
                </w:div>
                <w:div w:id="1403530187">
                  <w:marLeft w:val="0"/>
                  <w:marRight w:val="0"/>
                  <w:marTop w:val="0"/>
                  <w:marBottom w:val="0"/>
                  <w:divBdr>
                    <w:top w:val="none" w:sz="0" w:space="0" w:color="auto"/>
                    <w:left w:val="none" w:sz="0" w:space="0" w:color="auto"/>
                    <w:bottom w:val="none" w:sz="0" w:space="0" w:color="auto"/>
                    <w:right w:val="none" w:sz="0" w:space="0" w:color="auto"/>
                  </w:divBdr>
                  <w:divsChild>
                    <w:div w:id="394279275">
                      <w:marLeft w:val="0"/>
                      <w:marRight w:val="0"/>
                      <w:marTop w:val="0"/>
                      <w:marBottom w:val="0"/>
                      <w:divBdr>
                        <w:top w:val="none" w:sz="0" w:space="0" w:color="auto"/>
                        <w:left w:val="none" w:sz="0" w:space="0" w:color="auto"/>
                        <w:bottom w:val="none" w:sz="0" w:space="0" w:color="auto"/>
                        <w:right w:val="none" w:sz="0" w:space="0" w:color="auto"/>
                      </w:divBdr>
                    </w:div>
                  </w:divsChild>
                </w:div>
                <w:div w:id="1454179892">
                  <w:marLeft w:val="0"/>
                  <w:marRight w:val="0"/>
                  <w:marTop w:val="0"/>
                  <w:marBottom w:val="0"/>
                  <w:divBdr>
                    <w:top w:val="none" w:sz="0" w:space="0" w:color="auto"/>
                    <w:left w:val="none" w:sz="0" w:space="0" w:color="auto"/>
                    <w:bottom w:val="none" w:sz="0" w:space="0" w:color="auto"/>
                    <w:right w:val="none" w:sz="0" w:space="0" w:color="auto"/>
                  </w:divBdr>
                  <w:divsChild>
                    <w:div w:id="627855274">
                      <w:marLeft w:val="0"/>
                      <w:marRight w:val="0"/>
                      <w:marTop w:val="0"/>
                      <w:marBottom w:val="0"/>
                      <w:divBdr>
                        <w:top w:val="none" w:sz="0" w:space="0" w:color="auto"/>
                        <w:left w:val="none" w:sz="0" w:space="0" w:color="auto"/>
                        <w:bottom w:val="none" w:sz="0" w:space="0" w:color="auto"/>
                        <w:right w:val="none" w:sz="0" w:space="0" w:color="auto"/>
                      </w:divBdr>
                    </w:div>
                  </w:divsChild>
                </w:div>
                <w:div w:id="1532180149">
                  <w:marLeft w:val="0"/>
                  <w:marRight w:val="0"/>
                  <w:marTop w:val="0"/>
                  <w:marBottom w:val="0"/>
                  <w:divBdr>
                    <w:top w:val="none" w:sz="0" w:space="0" w:color="auto"/>
                    <w:left w:val="none" w:sz="0" w:space="0" w:color="auto"/>
                    <w:bottom w:val="none" w:sz="0" w:space="0" w:color="auto"/>
                    <w:right w:val="none" w:sz="0" w:space="0" w:color="auto"/>
                  </w:divBdr>
                  <w:divsChild>
                    <w:div w:id="983509241">
                      <w:marLeft w:val="0"/>
                      <w:marRight w:val="0"/>
                      <w:marTop w:val="0"/>
                      <w:marBottom w:val="0"/>
                      <w:divBdr>
                        <w:top w:val="none" w:sz="0" w:space="0" w:color="auto"/>
                        <w:left w:val="none" w:sz="0" w:space="0" w:color="auto"/>
                        <w:bottom w:val="none" w:sz="0" w:space="0" w:color="auto"/>
                        <w:right w:val="none" w:sz="0" w:space="0" w:color="auto"/>
                      </w:divBdr>
                    </w:div>
                  </w:divsChild>
                </w:div>
                <w:div w:id="1568876678">
                  <w:marLeft w:val="0"/>
                  <w:marRight w:val="0"/>
                  <w:marTop w:val="0"/>
                  <w:marBottom w:val="0"/>
                  <w:divBdr>
                    <w:top w:val="none" w:sz="0" w:space="0" w:color="auto"/>
                    <w:left w:val="none" w:sz="0" w:space="0" w:color="auto"/>
                    <w:bottom w:val="none" w:sz="0" w:space="0" w:color="auto"/>
                    <w:right w:val="none" w:sz="0" w:space="0" w:color="auto"/>
                  </w:divBdr>
                  <w:divsChild>
                    <w:div w:id="684210946">
                      <w:marLeft w:val="0"/>
                      <w:marRight w:val="0"/>
                      <w:marTop w:val="0"/>
                      <w:marBottom w:val="0"/>
                      <w:divBdr>
                        <w:top w:val="none" w:sz="0" w:space="0" w:color="auto"/>
                        <w:left w:val="none" w:sz="0" w:space="0" w:color="auto"/>
                        <w:bottom w:val="none" w:sz="0" w:space="0" w:color="auto"/>
                        <w:right w:val="none" w:sz="0" w:space="0" w:color="auto"/>
                      </w:divBdr>
                    </w:div>
                  </w:divsChild>
                </w:div>
                <w:div w:id="1712611555">
                  <w:marLeft w:val="0"/>
                  <w:marRight w:val="0"/>
                  <w:marTop w:val="0"/>
                  <w:marBottom w:val="0"/>
                  <w:divBdr>
                    <w:top w:val="none" w:sz="0" w:space="0" w:color="auto"/>
                    <w:left w:val="none" w:sz="0" w:space="0" w:color="auto"/>
                    <w:bottom w:val="none" w:sz="0" w:space="0" w:color="auto"/>
                    <w:right w:val="none" w:sz="0" w:space="0" w:color="auto"/>
                  </w:divBdr>
                  <w:divsChild>
                    <w:div w:id="420570332">
                      <w:marLeft w:val="0"/>
                      <w:marRight w:val="0"/>
                      <w:marTop w:val="0"/>
                      <w:marBottom w:val="0"/>
                      <w:divBdr>
                        <w:top w:val="none" w:sz="0" w:space="0" w:color="auto"/>
                        <w:left w:val="none" w:sz="0" w:space="0" w:color="auto"/>
                        <w:bottom w:val="none" w:sz="0" w:space="0" w:color="auto"/>
                        <w:right w:val="none" w:sz="0" w:space="0" w:color="auto"/>
                      </w:divBdr>
                    </w:div>
                  </w:divsChild>
                </w:div>
                <w:div w:id="1851988367">
                  <w:marLeft w:val="0"/>
                  <w:marRight w:val="0"/>
                  <w:marTop w:val="0"/>
                  <w:marBottom w:val="0"/>
                  <w:divBdr>
                    <w:top w:val="none" w:sz="0" w:space="0" w:color="auto"/>
                    <w:left w:val="none" w:sz="0" w:space="0" w:color="auto"/>
                    <w:bottom w:val="none" w:sz="0" w:space="0" w:color="auto"/>
                    <w:right w:val="none" w:sz="0" w:space="0" w:color="auto"/>
                  </w:divBdr>
                  <w:divsChild>
                    <w:div w:id="1621255872">
                      <w:marLeft w:val="0"/>
                      <w:marRight w:val="0"/>
                      <w:marTop w:val="0"/>
                      <w:marBottom w:val="0"/>
                      <w:divBdr>
                        <w:top w:val="none" w:sz="0" w:space="0" w:color="auto"/>
                        <w:left w:val="none" w:sz="0" w:space="0" w:color="auto"/>
                        <w:bottom w:val="none" w:sz="0" w:space="0" w:color="auto"/>
                        <w:right w:val="none" w:sz="0" w:space="0" w:color="auto"/>
                      </w:divBdr>
                    </w:div>
                  </w:divsChild>
                </w:div>
                <w:div w:id="1917591687">
                  <w:marLeft w:val="0"/>
                  <w:marRight w:val="0"/>
                  <w:marTop w:val="0"/>
                  <w:marBottom w:val="0"/>
                  <w:divBdr>
                    <w:top w:val="none" w:sz="0" w:space="0" w:color="auto"/>
                    <w:left w:val="none" w:sz="0" w:space="0" w:color="auto"/>
                    <w:bottom w:val="none" w:sz="0" w:space="0" w:color="auto"/>
                    <w:right w:val="none" w:sz="0" w:space="0" w:color="auto"/>
                  </w:divBdr>
                  <w:divsChild>
                    <w:div w:id="968782996">
                      <w:marLeft w:val="0"/>
                      <w:marRight w:val="0"/>
                      <w:marTop w:val="0"/>
                      <w:marBottom w:val="0"/>
                      <w:divBdr>
                        <w:top w:val="none" w:sz="0" w:space="0" w:color="auto"/>
                        <w:left w:val="none" w:sz="0" w:space="0" w:color="auto"/>
                        <w:bottom w:val="none" w:sz="0" w:space="0" w:color="auto"/>
                        <w:right w:val="none" w:sz="0" w:space="0" w:color="auto"/>
                      </w:divBdr>
                    </w:div>
                  </w:divsChild>
                </w:div>
                <w:div w:id="1944681865">
                  <w:marLeft w:val="0"/>
                  <w:marRight w:val="0"/>
                  <w:marTop w:val="0"/>
                  <w:marBottom w:val="0"/>
                  <w:divBdr>
                    <w:top w:val="none" w:sz="0" w:space="0" w:color="auto"/>
                    <w:left w:val="none" w:sz="0" w:space="0" w:color="auto"/>
                    <w:bottom w:val="none" w:sz="0" w:space="0" w:color="auto"/>
                    <w:right w:val="none" w:sz="0" w:space="0" w:color="auto"/>
                  </w:divBdr>
                  <w:divsChild>
                    <w:div w:id="2041201014">
                      <w:marLeft w:val="0"/>
                      <w:marRight w:val="0"/>
                      <w:marTop w:val="0"/>
                      <w:marBottom w:val="0"/>
                      <w:divBdr>
                        <w:top w:val="none" w:sz="0" w:space="0" w:color="auto"/>
                        <w:left w:val="none" w:sz="0" w:space="0" w:color="auto"/>
                        <w:bottom w:val="none" w:sz="0" w:space="0" w:color="auto"/>
                        <w:right w:val="none" w:sz="0" w:space="0" w:color="auto"/>
                      </w:divBdr>
                    </w:div>
                  </w:divsChild>
                </w:div>
                <w:div w:id="2022123414">
                  <w:marLeft w:val="0"/>
                  <w:marRight w:val="0"/>
                  <w:marTop w:val="0"/>
                  <w:marBottom w:val="0"/>
                  <w:divBdr>
                    <w:top w:val="none" w:sz="0" w:space="0" w:color="auto"/>
                    <w:left w:val="none" w:sz="0" w:space="0" w:color="auto"/>
                    <w:bottom w:val="none" w:sz="0" w:space="0" w:color="auto"/>
                    <w:right w:val="none" w:sz="0" w:space="0" w:color="auto"/>
                  </w:divBdr>
                  <w:divsChild>
                    <w:div w:id="12343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9116">
          <w:marLeft w:val="0"/>
          <w:marRight w:val="0"/>
          <w:marTop w:val="0"/>
          <w:marBottom w:val="0"/>
          <w:divBdr>
            <w:top w:val="none" w:sz="0" w:space="0" w:color="auto"/>
            <w:left w:val="none" w:sz="0" w:space="0" w:color="auto"/>
            <w:bottom w:val="none" w:sz="0" w:space="0" w:color="auto"/>
            <w:right w:val="none" w:sz="0" w:space="0" w:color="auto"/>
          </w:divBdr>
          <w:divsChild>
            <w:div w:id="63262067">
              <w:marLeft w:val="0"/>
              <w:marRight w:val="0"/>
              <w:marTop w:val="0"/>
              <w:marBottom w:val="0"/>
              <w:divBdr>
                <w:top w:val="none" w:sz="0" w:space="0" w:color="auto"/>
                <w:left w:val="none" w:sz="0" w:space="0" w:color="auto"/>
                <w:bottom w:val="none" w:sz="0" w:space="0" w:color="auto"/>
                <w:right w:val="none" w:sz="0" w:space="0" w:color="auto"/>
              </w:divBdr>
            </w:div>
            <w:div w:id="120390942">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181170442">
              <w:marLeft w:val="0"/>
              <w:marRight w:val="0"/>
              <w:marTop w:val="0"/>
              <w:marBottom w:val="0"/>
              <w:divBdr>
                <w:top w:val="none" w:sz="0" w:space="0" w:color="auto"/>
                <w:left w:val="none" w:sz="0" w:space="0" w:color="auto"/>
                <w:bottom w:val="none" w:sz="0" w:space="0" w:color="auto"/>
                <w:right w:val="none" w:sz="0" w:space="0" w:color="auto"/>
              </w:divBdr>
            </w:div>
            <w:div w:id="216940561">
              <w:marLeft w:val="0"/>
              <w:marRight w:val="0"/>
              <w:marTop w:val="0"/>
              <w:marBottom w:val="0"/>
              <w:divBdr>
                <w:top w:val="none" w:sz="0" w:space="0" w:color="auto"/>
                <w:left w:val="none" w:sz="0" w:space="0" w:color="auto"/>
                <w:bottom w:val="none" w:sz="0" w:space="0" w:color="auto"/>
                <w:right w:val="none" w:sz="0" w:space="0" w:color="auto"/>
              </w:divBdr>
            </w:div>
            <w:div w:id="289288393">
              <w:marLeft w:val="0"/>
              <w:marRight w:val="0"/>
              <w:marTop w:val="0"/>
              <w:marBottom w:val="0"/>
              <w:divBdr>
                <w:top w:val="none" w:sz="0" w:space="0" w:color="auto"/>
                <w:left w:val="none" w:sz="0" w:space="0" w:color="auto"/>
                <w:bottom w:val="none" w:sz="0" w:space="0" w:color="auto"/>
                <w:right w:val="none" w:sz="0" w:space="0" w:color="auto"/>
              </w:divBdr>
            </w:div>
            <w:div w:id="292174070">
              <w:marLeft w:val="0"/>
              <w:marRight w:val="0"/>
              <w:marTop w:val="0"/>
              <w:marBottom w:val="0"/>
              <w:divBdr>
                <w:top w:val="none" w:sz="0" w:space="0" w:color="auto"/>
                <w:left w:val="none" w:sz="0" w:space="0" w:color="auto"/>
                <w:bottom w:val="none" w:sz="0" w:space="0" w:color="auto"/>
                <w:right w:val="none" w:sz="0" w:space="0" w:color="auto"/>
              </w:divBdr>
            </w:div>
            <w:div w:id="304161067">
              <w:marLeft w:val="0"/>
              <w:marRight w:val="0"/>
              <w:marTop w:val="0"/>
              <w:marBottom w:val="0"/>
              <w:divBdr>
                <w:top w:val="none" w:sz="0" w:space="0" w:color="auto"/>
                <w:left w:val="none" w:sz="0" w:space="0" w:color="auto"/>
                <w:bottom w:val="none" w:sz="0" w:space="0" w:color="auto"/>
                <w:right w:val="none" w:sz="0" w:space="0" w:color="auto"/>
              </w:divBdr>
            </w:div>
            <w:div w:id="665015504">
              <w:marLeft w:val="0"/>
              <w:marRight w:val="0"/>
              <w:marTop w:val="0"/>
              <w:marBottom w:val="0"/>
              <w:divBdr>
                <w:top w:val="none" w:sz="0" w:space="0" w:color="auto"/>
                <w:left w:val="none" w:sz="0" w:space="0" w:color="auto"/>
                <w:bottom w:val="none" w:sz="0" w:space="0" w:color="auto"/>
                <w:right w:val="none" w:sz="0" w:space="0" w:color="auto"/>
              </w:divBdr>
            </w:div>
            <w:div w:id="1008017353">
              <w:marLeft w:val="0"/>
              <w:marRight w:val="0"/>
              <w:marTop w:val="0"/>
              <w:marBottom w:val="0"/>
              <w:divBdr>
                <w:top w:val="none" w:sz="0" w:space="0" w:color="auto"/>
                <w:left w:val="none" w:sz="0" w:space="0" w:color="auto"/>
                <w:bottom w:val="none" w:sz="0" w:space="0" w:color="auto"/>
                <w:right w:val="none" w:sz="0" w:space="0" w:color="auto"/>
              </w:divBdr>
            </w:div>
            <w:div w:id="1044990600">
              <w:marLeft w:val="0"/>
              <w:marRight w:val="0"/>
              <w:marTop w:val="0"/>
              <w:marBottom w:val="0"/>
              <w:divBdr>
                <w:top w:val="none" w:sz="0" w:space="0" w:color="auto"/>
                <w:left w:val="none" w:sz="0" w:space="0" w:color="auto"/>
                <w:bottom w:val="none" w:sz="0" w:space="0" w:color="auto"/>
                <w:right w:val="none" w:sz="0" w:space="0" w:color="auto"/>
              </w:divBdr>
            </w:div>
            <w:div w:id="1123353889">
              <w:marLeft w:val="0"/>
              <w:marRight w:val="0"/>
              <w:marTop w:val="0"/>
              <w:marBottom w:val="0"/>
              <w:divBdr>
                <w:top w:val="none" w:sz="0" w:space="0" w:color="auto"/>
                <w:left w:val="none" w:sz="0" w:space="0" w:color="auto"/>
                <w:bottom w:val="none" w:sz="0" w:space="0" w:color="auto"/>
                <w:right w:val="none" w:sz="0" w:space="0" w:color="auto"/>
              </w:divBdr>
            </w:div>
            <w:div w:id="1198814266">
              <w:marLeft w:val="0"/>
              <w:marRight w:val="0"/>
              <w:marTop w:val="0"/>
              <w:marBottom w:val="0"/>
              <w:divBdr>
                <w:top w:val="none" w:sz="0" w:space="0" w:color="auto"/>
                <w:left w:val="none" w:sz="0" w:space="0" w:color="auto"/>
                <w:bottom w:val="none" w:sz="0" w:space="0" w:color="auto"/>
                <w:right w:val="none" w:sz="0" w:space="0" w:color="auto"/>
              </w:divBdr>
            </w:div>
            <w:div w:id="1474636294">
              <w:marLeft w:val="0"/>
              <w:marRight w:val="0"/>
              <w:marTop w:val="0"/>
              <w:marBottom w:val="0"/>
              <w:divBdr>
                <w:top w:val="none" w:sz="0" w:space="0" w:color="auto"/>
                <w:left w:val="none" w:sz="0" w:space="0" w:color="auto"/>
                <w:bottom w:val="none" w:sz="0" w:space="0" w:color="auto"/>
                <w:right w:val="none" w:sz="0" w:space="0" w:color="auto"/>
              </w:divBdr>
            </w:div>
            <w:div w:id="1507135436">
              <w:marLeft w:val="0"/>
              <w:marRight w:val="0"/>
              <w:marTop w:val="0"/>
              <w:marBottom w:val="0"/>
              <w:divBdr>
                <w:top w:val="none" w:sz="0" w:space="0" w:color="auto"/>
                <w:left w:val="none" w:sz="0" w:space="0" w:color="auto"/>
                <w:bottom w:val="none" w:sz="0" w:space="0" w:color="auto"/>
                <w:right w:val="none" w:sz="0" w:space="0" w:color="auto"/>
              </w:divBdr>
            </w:div>
            <w:div w:id="1550072672">
              <w:marLeft w:val="0"/>
              <w:marRight w:val="0"/>
              <w:marTop w:val="0"/>
              <w:marBottom w:val="0"/>
              <w:divBdr>
                <w:top w:val="none" w:sz="0" w:space="0" w:color="auto"/>
                <w:left w:val="none" w:sz="0" w:space="0" w:color="auto"/>
                <w:bottom w:val="none" w:sz="0" w:space="0" w:color="auto"/>
                <w:right w:val="none" w:sz="0" w:space="0" w:color="auto"/>
              </w:divBdr>
            </w:div>
            <w:div w:id="1585726281">
              <w:marLeft w:val="0"/>
              <w:marRight w:val="0"/>
              <w:marTop w:val="0"/>
              <w:marBottom w:val="0"/>
              <w:divBdr>
                <w:top w:val="none" w:sz="0" w:space="0" w:color="auto"/>
                <w:left w:val="none" w:sz="0" w:space="0" w:color="auto"/>
                <w:bottom w:val="none" w:sz="0" w:space="0" w:color="auto"/>
                <w:right w:val="none" w:sz="0" w:space="0" w:color="auto"/>
              </w:divBdr>
            </w:div>
            <w:div w:id="1703241892">
              <w:marLeft w:val="0"/>
              <w:marRight w:val="0"/>
              <w:marTop w:val="0"/>
              <w:marBottom w:val="0"/>
              <w:divBdr>
                <w:top w:val="none" w:sz="0" w:space="0" w:color="auto"/>
                <w:left w:val="none" w:sz="0" w:space="0" w:color="auto"/>
                <w:bottom w:val="none" w:sz="0" w:space="0" w:color="auto"/>
                <w:right w:val="none" w:sz="0" w:space="0" w:color="auto"/>
              </w:divBdr>
            </w:div>
            <w:div w:id="1989244019">
              <w:marLeft w:val="0"/>
              <w:marRight w:val="0"/>
              <w:marTop w:val="0"/>
              <w:marBottom w:val="0"/>
              <w:divBdr>
                <w:top w:val="none" w:sz="0" w:space="0" w:color="auto"/>
                <w:left w:val="none" w:sz="0" w:space="0" w:color="auto"/>
                <w:bottom w:val="none" w:sz="0" w:space="0" w:color="auto"/>
                <w:right w:val="none" w:sz="0" w:space="0" w:color="auto"/>
              </w:divBdr>
            </w:div>
            <w:div w:id="2032561413">
              <w:marLeft w:val="0"/>
              <w:marRight w:val="0"/>
              <w:marTop w:val="0"/>
              <w:marBottom w:val="0"/>
              <w:divBdr>
                <w:top w:val="none" w:sz="0" w:space="0" w:color="auto"/>
                <w:left w:val="none" w:sz="0" w:space="0" w:color="auto"/>
                <w:bottom w:val="none" w:sz="0" w:space="0" w:color="auto"/>
                <w:right w:val="none" w:sz="0" w:space="0" w:color="auto"/>
              </w:divBdr>
            </w:div>
            <w:div w:id="2087605206">
              <w:marLeft w:val="0"/>
              <w:marRight w:val="0"/>
              <w:marTop w:val="0"/>
              <w:marBottom w:val="0"/>
              <w:divBdr>
                <w:top w:val="none" w:sz="0" w:space="0" w:color="auto"/>
                <w:left w:val="none" w:sz="0" w:space="0" w:color="auto"/>
                <w:bottom w:val="none" w:sz="0" w:space="0" w:color="auto"/>
                <w:right w:val="none" w:sz="0" w:space="0" w:color="auto"/>
              </w:divBdr>
            </w:div>
          </w:divsChild>
        </w:div>
        <w:div w:id="1495608595">
          <w:marLeft w:val="0"/>
          <w:marRight w:val="0"/>
          <w:marTop w:val="0"/>
          <w:marBottom w:val="0"/>
          <w:divBdr>
            <w:top w:val="none" w:sz="0" w:space="0" w:color="auto"/>
            <w:left w:val="none" w:sz="0" w:space="0" w:color="auto"/>
            <w:bottom w:val="none" w:sz="0" w:space="0" w:color="auto"/>
            <w:right w:val="none" w:sz="0" w:space="0" w:color="auto"/>
          </w:divBdr>
          <w:divsChild>
            <w:div w:id="16740530">
              <w:marLeft w:val="0"/>
              <w:marRight w:val="0"/>
              <w:marTop w:val="0"/>
              <w:marBottom w:val="0"/>
              <w:divBdr>
                <w:top w:val="none" w:sz="0" w:space="0" w:color="auto"/>
                <w:left w:val="none" w:sz="0" w:space="0" w:color="auto"/>
                <w:bottom w:val="none" w:sz="0" w:space="0" w:color="auto"/>
                <w:right w:val="none" w:sz="0" w:space="0" w:color="auto"/>
              </w:divBdr>
            </w:div>
            <w:div w:id="211697861">
              <w:marLeft w:val="0"/>
              <w:marRight w:val="0"/>
              <w:marTop w:val="0"/>
              <w:marBottom w:val="0"/>
              <w:divBdr>
                <w:top w:val="none" w:sz="0" w:space="0" w:color="auto"/>
                <w:left w:val="none" w:sz="0" w:space="0" w:color="auto"/>
                <w:bottom w:val="none" w:sz="0" w:space="0" w:color="auto"/>
                <w:right w:val="none" w:sz="0" w:space="0" w:color="auto"/>
              </w:divBdr>
            </w:div>
            <w:div w:id="261694270">
              <w:marLeft w:val="0"/>
              <w:marRight w:val="0"/>
              <w:marTop w:val="0"/>
              <w:marBottom w:val="0"/>
              <w:divBdr>
                <w:top w:val="none" w:sz="0" w:space="0" w:color="auto"/>
                <w:left w:val="none" w:sz="0" w:space="0" w:color="auto"/>
                <w:bottom w:val="none" w:sz="0" w:space="0" w:color="auto"/>
                <w:right w:val="none" w:sz="0" w:space="0" w:color="auto"/>
              </w:divBdr>
            </w:div>
            <w:div w:id="362487305">
              <w:marLeft w:val="0"/>
              <w:marRight w:val="0"/>
              <w:marTop w:val="0"/>
              <w:marBottom w:val="0"/>
              <w:divBdr>
                <w:top w:val="none" w:sz="0" w:space="0" w:color="auto"/>
                <w:left w:val="none" w:sz="0" w:space="0" w:color="auto"/>
                <w:bottom w:val="none" w:sz="0" w:space="0" w:color="auto"/>
                <w:right w:val="none" w:sz="0" w:space="0" w:color="auto"/>
              </w:divBdr>
            </w:div>
            <w:div w:id="439498231">
              <w:marLeft w:val="0"/>
              <w:marRight w:val="0"/>
              <w:marTop w:val="0"/>
              <w:marBottom w:val="0"/>
              <w:divBdr>
                <w:top w:val="none" w:sz="0" w:space="0" w:color="auto"/>
                <w:left w:val="none" w:sz="0" w:space="0" w:color="auto"/>
                <w:bottom w:val="none" w:sz="0" w:space="0" w:color="auto"/>
                <w:right w:val="none" w:sz="0" w:space="0" w:color="auto"/>
              </w:divBdr>
            </w:div>
            <w:div w:id="552077693">
              <w:marLeft w:val="0"/>
              <w:marRight w:val="0"/>
              <w:marTop w:val="0"/>
              <w:marBottom w:val="0"/>
              <w:divBdr>
                <w:top w:val="none" w:sz="0" w:space="0" w:color="auto"/>
                <w:left w:val="none" w:sz="0" w:space="0" w:color="auto"/>
                <w:bottom w:val="none" w:sz="0" w:space="0" w:color="auto"/>
                <w:right w:val="none" w:sz="0" w:space="0" w:color="auto"/>
              </w:divBdr>
            </w:div>
            <w:div w:id="589243905">
              <w:marLeft w:val="0"/>
              <w:marRight w:val="0"/>
              <w:marTop w:val="0"/>
              <w:marBottom w:val="0"/>
              <w:divBdr>
                <w:top w:val="none" w:sz="0" w:space="0" w:color="auto"/>
                <w:left w:val="none" w:sz="0" w:space="0" w:color="auto"/>
                <w:bottom w:val="none" w:sz="0" w:space="0" w:color="auto"/>
                <w:right w:val="none" w:sz="0" w:space="0" w:color="auto"/>
              </w:divBdr>
            </w:div>
            <w:div w:id="690373787">
              <w:marLeft w:val="0"/>
              <w:marRight w:val="0"/>
              <w:marTop w:val="0"/>
              <w:marBottom w:val="0"/>
              <w:divBdr>
                <w:top w:val="none" w:sz="0" w:space="0" w:color="auto"/>
                <w:left w:val="none" w:sz="0" w:space="0" w:color="auto"/>
                <w:bottom w:val="none" w:sz="0" w:space="0" w:color="auto"/>
                <w:right w:val="none" w:sz="0" w:space="0" w:color="auto"/>
              </w:divBdr>
            </w:div>
            <w:div w:id="1087266102">
              <w:marLeft w:val="0"/>
              <w:marRight w:val="0"/>
              <w:marTop w:val="0"/>
              <w:marBottom w:val="0"/>
              <w:divBdr>
                <w:top w:val="none" w:sz="0" w:space="0" w:color="auto"/>
                <w:left w:val="none" w:sz="0" w:space="0" w:color="auto"/>
                <w:bottom w:val="none" w:sz="0" w:space="0" w:color="auto"/>
                <w:right w:val="none" w:sz="0" w:space="0" w:color="auto"/>
              </w:divBdr>
            </w:div>
            <w:div w:id="1094977665">
              <w:marLeft w:val="0"/>
              <w:marRight w:val="0"/>
              <w:marTop w:val="0"/>
              <w:marBottom w:val="0"/>
              <w:divBdr>
                <w:top w:val="none" w:sz="0" w:space="0" w:color="auto"/>
                <w:left w:val="none" w:sz="0" w:space="0" w:color="auto"/>
                <w:bottom w:val="none" w:sz="0" w:space="0" w:color="auto"/>
                <w:right w:val="none" w:sz="0" w:space="0" w:color="auto"/>
              </w:divBdr>
            </w:div>
            <w:div w:id="1255046521">
              <w:marLeft w:val="0"/>
              <w:marRight w:val="0"/>
              <w:marTop w:val="0"/>
              <w:marBottom w:val="0"/>
              <w:divBdr>
                <w:top w:val="none" w:sz="0" w:space="0" w:color="auto"/>
                <w:left w:val="none" w:sz="0" w:space="0" w:color="auto"/>
                <w:bottom w:val="none" w:sz="0" w:space="0" w:color="auto"/>
                <w:right w:val="none" w:sz="0" w:space="0" w:color="auto"/>
              </w:divBdr>
            </w:div>
            <w:div w:id="1398631195">
              <w:marLeft w:val="0"/>
              <w:marRight w:val="0"/>
              <w:marTop w:val="0"/>
              <w:marBottom w:val="0"/>
              <w:divBdr>
                <w:top w:val="none" w:sz="0" w:space="0" w:color="auto"/>
                <w:left w:val="none" w:sz="0" w:space="0" w:color="auto"/>
                <w:bottom w:val="none" w:sz="0" w:space="0" w:color="auto"/>
                <w:right w:val="none" w:sz="0" w:space="0" w:color="auto"/>
              </w:divBdr>
            </w:div>
            <w:div w:id="1648851024">
              <w:marLeft w:val="0"/>
              <w:marRight w:val="0"/>
              <w:marTop w:val="0"/>
              <w:marBottom w:val="0"/>
              <w:divBdr>
                <w:top w:val="none" w:sz="0" w:space="0" w:color="auto"/>
                <w:left w:val="none" w:sz="0" w:space="0" w:color="auto"/>
                <w:bottom w:val="none" w:sz="0" w:space="0" w:color="auto"/>
                <w:right w:val="none" w:sz="0" w:space="0" w:color="auto"/>
              </w:divBdr>
            </w:div>
            <w:div w:id="1776512668">
              <w:marLeft w:val="0"/>
              <w:marRight w:val="0"/>
              <w:marTop w:val="0"/>
              <w:marBottom w:val="0"/>
              <w:divBdr>
                <w:top w:val="none" w:sz="0" w:space="0" w:color="auto"/>
                <w:left w:val="none" w:sz="0" w:space="0" w:color="auto"/>
                <w:bottom w:val="none" w:sz="0" w:space="0" w:color="auto"/>
                <w:right w:val="none" w:sz="0" w:space="0" w:color="auto"/>
              </w:divBdr>
            </w:div>
            <w:div w:id="1783378630">
              <w:marLeft w:val="0"/>
              <w:marRight w:val="0"/>
              <w:marTop w:val="0"/>
              <w:marBottom w:val="0"/>
              <w:divBdr>
                <w:top w:val="none" w:sz="0" w:space="0" w:color="auto"/>
                <w:left w:val="none" w:sz="0" w:space="0" w:color="auto"/>
                <w:bottom w:val="none" w:sz="0" w:space="0" w:color="auto"/>
                <w:right w:val="none" w:sz="0" w:space="0" w:color="auto"/>
              </w:divBdr>
            </w:div>
            <w:div w:id="1938713542">
              <w:marLeft w:val="0"/>
              <w:marRight w:val="0"/>
              <w:marTop w:val="0"/>
              <w:marBottom w:val="0"/>
              <w:divBdr>
                <w:top w:val="none" w:sz="0" w:space="0" w:color="auto"/>
                <w:left w:val="none" w:sz="0" w:space="0" w:color="auto"/>
                <w:bottom w:val="none" w:sz="0" w:space="0" w:color="auto"/>
                <w:right w:val="none" w:sz="0" w:space="0" w:color="auto"/>
              </w:divBdr>
            </w:div>
            <w:div w:id="1952665379">
              <w:marLeft w:val="0"/>
              <w:marRight w:val="0"/>
              <w:marTop w:val="0"/>
              <w:marBottom w:val="0"/>
              <w:divBdr>
                <w:top w:val="none" w:sz="0" w:space="0" w:color="auto"/>
                <w:left w:val="none" w:sz="0" w:space="0" w:color="auto"/>
                <w:bottom w:val="none" w:sz="0" w:space="0" w:color="auto"/>
                <w:right w:val="none" w:sz="0" w:space="0" w:color="auto"/>
              </w:divBdr>
            </w:div>
            <w:div w:id="2095853846">
              <w:marLeft w:val="0"/>
              <w:marRight w:val="0"/>
              <w:marTop w:val="0"/>
              <w:marBottom w:val="0"/>
              <w:divBdr>
                <w:top w:val="none" w:sz="0" w:space="0" w:color="auto"/>
                <w:left w:val="none" w:sz="0" w:space="0" w:color="auto"/>
                <w:bottom w:val="none" w:sz="0" w:space="0" w:color="auto"/>
                <w:right w:val="none" w:sz="0" w:space="0" w:color="auto"/>
              </w:divBdr>
            </w:div>
          </w:divsChild>
        </w:div>
        <w:div w:id="1503205532">
          <w:marLeft w:val="0"/>
          <w:marRight w:val="0"/>
          <w:marTop w:val="0"/>
          <w:marBottom w:val="0"/>
          <w:divBdr>
            <w:top w:val="none" w:sz="0" w:space="0" w:color="auto"/>
            <w:left w:val="none" w:sz="0" w:space="0" w:color="auto"/>
            <w:bottom w:val="none" w:sz="0" w:space="0" w:color="auto"/>
            <w:right w:val="none" w:sz="0" w:space="0" w:color="auto"/>
          </w:divBdr>
          <w:divsChild>
            <w:div w:id="159085914">
              <w:marLeft w:val="0"/>
              <w:marRight w:val="0"/>
              <w:marTop w:val="0"/>
              <w:marBottom w:val="0"/>
              <w:divBdr>
                <w:top w:val="none" w:sz="0" w:space="0" w:color="auto"/>
                <w:left w:val="none" w:sz="0" w:space="0" w:color="auto"/>
                <w:bottom w:val="none" w:sz="0" w:space="0" w:color="auto"/>
                <w:right w:val="none" w:sz="0" w:space="0" w:color="auto"/>
              </w:divBdr>
            </w:div>
            <w:div w:id="232812022">
              <w:marLeft w:val="0"/>
              <w:marRight w:val="0"/>
              <w:marTop w:val="0"/>
              <w:marBottom w:val="0"/>
              <w:divBdr>
                <w:top w:val="none" w:sz="0" w:space="0" w:color="auto"/>
                <w:left w:val="none" w:sz="0" w:space="0" w:color="auto"/>
                <w:bottom w:val="none" w:sz="0" w:space="0" w:color="auto"/>
                <w:right w:val="none" w:sz="0" w:space="0" w:color="auto"/>
              </w:divBdr>
            </w:div>
            <w:div w:id="282931311">
              <w:marLeft w:val="0"/>
              <w:marRight w:val="0"/>
              <w:marTop w:val="0"/>
              <w:marBottom w:val="0"/>
              <w:divBdr>
                <w:top w:val="none" w:sz="0" w:space="0" w:color="auto"/>
                <w:left w:val="none" w:sz="0" w:space="0" w:color="auto"/>
                <w:bottom w:val="none" w:sz="0" w:space="0" w:color="auto"/>
                <w:right w:val="none" w:sz="0" w:space="0" w:color="auto"/>
              </w:divBdr>
            </w:div>
            <w:div w:id="301540449">
              <w:marLeft w:val="0"/>
              <w:marRight w:val="0"/>
              <w:marTop w:val="0"/>
              <w:marBottom w:val="0"/>
              <w:divBdr>
                <w:top w:val="none" w:sz="0" w:space="0" w:color="auto"/>
                <w:left w:val="none" w:sz="0" w:space="0" w:color="auto"/>
                <w:bottom w:val="none" w:sz="0" w:space="0" w:color="auto"/>
                <w:right w:val="none" w:sz="0" w:space="0" w:color="auto"/>
              </w:divBdr>
            </w:div>
            <w:div w:id="324749963">
              <w:marLeft w:val="0"/>
              <w:marRight w:val="0"/>
              <w:marTop w:val="0"/>
              <w:marBottom w:val="0"/>
              <w:divBdr>
                <w:top w:val="none" w:sz="0" w:space="0" w:color="auto"/>
                <w:left w:val="none" w:sz="0" w:space="0" w:color="auto"/>
                <w:bottom w:val="none" w:sz="0" w:space="0" w:color="auto"/>
                <w:right w:val="none" w:sz="0" w:space="0" w:color="auto"/>
              </w:divBdr>
            </w:div>
            <w:div w:id="467212208">
              <w:marLeft w:val="0"/>
              <w:marRight w:val="0"/>
              <w:marTop w:val="0"/>
              <w:marBottom w:val="0"/>
              <w:divBdr>
                <w:top w:val="none" w:sz="0" w:space="0" w:color="auto"/>
                <w:left w:val="none" w:sz="0" w:space="0" w:color="auto"/>
                <w:bottom w:val="none" w:sz="0" w:space="0" w:color="auto"/>
                <w:right w:val="none" w:sz="0" w:space="0" w:color="auto"/>
              </w:divBdr>
            </w:div>
            <w:div w:id="669404733">
              <w:marLeft w:val="0"/>
              <w:marRight w:val="0"/>
              <w:marTop w:val="0"/>
              <w:marBottom w:val="0"/>
              <w:divBdr>
                <w:top w:val="none" w:sz="0" w:space="0" w:color="auto"/>
                <w:left w:val="none" w:sz="0" w:space="0" w:color="auto"/>
                <w:bottom w:val="none" w:sz="0" w:space="0" w:color="auto"/>
                <w:right w:val="none" w:sz="0" w:space="0" w:color="auto"/>
              </w:divBdr>
            </w:div>
            <w:div w:id="697853267">
              <w:marLeft w:val="0"/>
              <w:marRight w:val="0"/>
              <w:marTop w:val="0"/>
              <w:marBottom w:val="0"/>
              <w:divBdr>
                <w:top w:val="none" w:sz="0" w:space="0" w:color="auto"/>
                <w:left w:val="none" w:sz="0" w:space="0" w:color="auto"/>
                <w:bottom w:val="none" w:sz="0" w:space="0" w:color="auto"/>
                <w:right w:val="none" w:sz="0" w:space="0" w:color="auto"/>
              </w:divBdr>
            </w:div>
            <w:div w:id="709380440">
              <w:marLeft w:val="0"/>
              <w:marRight w:val="0"/>
              <w:marTop w:val="0"/>
              <w:marBottom w:val="0"/>
              <w:divBdr>
                <w:top w:val="none" w:sz="0" w:space="0" w:color="auto"/>
                <w:left w:val="none" w:sz="0" w:space="0" w:color="auto"/>
                <w:bottom w:val="none" w:sz="0" w:space="0" w:color="auto"/>
                <w:right w:val="none" w:sz="0" w:space="0" w:color="auto"/>
              </w:divBdr>
            </w:div>
            <w:div w:id="861669506">
              <w:marLeft w:val="0"/>
              <w:marRight w:val="0"/>
              <w:marTop w:val="0"/>
              <w:marBottom w:val="0"/>
              <w:divBdr>
                <w:top w:val="none" w:sz="0" w:space="0" w:color="auto"/>
                <w:left w:val="none" w:sz="0" w:space="0" w:color="auto"/>
                <w:bottom w:val="none" w:sz="0" w:space="0" w:color="auto"/>
                <w:right w:val="none" w:sz="0" w:space="0" w:color="auto"/>
              </w:divBdr>
            </w:div>
            <w:div w:id="884294075">
              <w:marLeft w:val="0"/>
              <w:marRight w:val="0"/>
              <w:marTop w:val="0"/>
              <w:marBottom w:val="0"/>
              <w:divBdr>
                <w:top w:val="none" w:sz="0" w:space="0" w:color="auto"/>
                <w:left w:val="none" w:sz="0" w:space="0" w:color="auto"/>
                <w:bottom w:val="none" w:sz="0" w:space="0" w:color="auto"/>
                <w:right w:val="none" w:sz="0" w:space="0" w:color="auto"/>
              </w:divBdr>
            </w:div>
            <w:div w:id="973020116">
              <w:marLeft w:val="0"/>
              <w:marRight w:val="0"/>
              <w:marTop w:val="0"/>
              <w:marBottom w:val="0"/>
              <w:divBdr>
                <w:top w:val="none" w:sz="0" w:space="0" w:color="auto"/>
                <w:left w:val="none" w:sz="0" w:space="0" w:color="auto"/>
                <w:bottom w:val="none" w:sz="0" w:space="0" w:color="auto"/>
                <w:right w:val="none" w:sz="0" w:space="0" w:color="auto"/>
              </w:divBdr>
            </w:div>
            <w:div w:id="1023434392">
              <w:marLeft w:val="0"/>
              <w:marRight w:val="0"/>
              <w:marTop w:val="0"/>
              <w:marBottom w:val="0"/>
              <w:divBdr>
                <w:top w:val="none" w:sz="0" w:space="0" w:color="auto"/>
                <w:left w:val="none" w:sz="0" w:space="0" w:color="auto"/>
                <w:bottom w:val="none" w:sz="0" w:space="0" w:color="auto"/>
                <w:right w:val="none" w:sz="0" w:space="0" w:color="auto"/>
              </w:divBdr>
            </w:div>
            <w:div w:id="1057632920">
              <w:marLeft w:val="0"/>
              <w:marRight w:val="0"/>
              <w:marTop w:val="0"/>
              <w:marBottom w:val="0"/>
              <w:divBdr>
                <w:top w:val="none" w:sz="0" w:space="0" w:color="auto"/>
                <w:left w:val="none" w:sz="0" w:space="0" w:color="auto"/>
                <w:bottom w:val="none" w:sz="0" w:space="0" w:color="auto"/>
                <w:right w:val="none" w:sz="0" w:space="0" w:color="auto"/>
              </w:divBdr>
            </w:div>
            <w:div w:id="1074401043">
              <w:marLeft w:val="0"/>
              <w:marRight w:val="0"/>
              <w:marTop w:val="0"/>
              <w:marBottom w:val="0"/>
              <w:divBdr>
                <w:top w:val="none" w:sz="0" w:space="0" w:color="auto"/>
                <w:left w:val="none" w:sz="0" w:space="0" w:color="auto"/>
                <w:bottom w:val="none" w:sz="0" w:space="0" w:color="auto"/>
                <w:right w:val="none" w:sz="0" w:space="0" w:color="auto"/>
              </w:divBdr>
            </w:div>
            <w:div w:id="1104111815">
              <w:marLeft w:val="0"/>
              <w:marRight w:val="0"/>
              <w:marTop w:val="0"/>
              <w:marBottom w:val="0"/>
              <w:divBdr>
                <w:top w:val="none" w:sz="0" w:space="0" w:color="auto"/>
                <w:left w:val="none" w:sz="0" w:space="0" w:color="auto"/>
                <w:bottom w:val="none" w:sz="0" w:space="0" w:color="auto"/>
                <w:right w:val="none" w:sz="0" w:space="0" w:color="auto"/>
              </w:divBdr>
            </w:div>
            <w:div w:id="1223635930">
              <w:marLeft w:val="0"/>
              <w:marRight w:val="0"/>
              <w:marTop w:val="0"/>
              <w:marBottom w:val="0"/>
              <w:divBdr>
                <w:top w:val="none" w:sz="0" w:space="0" w:color="auto"/>
                <w:left w:val="none" w:sz="0" w:space="0" w:color="auto"/>
                <w:bottom w:val="none" w:sz="0" w:space="0" w:color="auto"/>
                <w:right w:val="none" w:sz="0" w:space="0" w:color="auto"/>
              </w:divBdr>
            </w:div>
            <w:div w:id="1495142613">
              <w:marLeft w:val="0"/>
              <w:marRight w:val="0"/>
              <w:marTop w:val="0"/>
              <w:marBottom w:val="0"/>
              <w:divBdr>
                <w:top w:val="none" w:sz="0" w:space="0" w:color="auto"/>
                <w:left w:val="none" w:sz="0" w:space="0" w:color="auto"/>
                <w:bottom w:val="none" w:sz="0" w:space="0" w:color="auto"/>
                <w:right w:val="none" w:sz="0" w:space="0" w:color="auto"/>
              </w:divBdr>
            </w:div>
            <w:div w:id="1619146012">
              <w:marLeft w:val="0"/>
              <w:marRight w:val="0"/>
              <w:marTop w:val="0"/>
              <w:marBottom w:val="0"/>
              <w:divBdr>
                <w:top w:val="none" w:sz="0" w:space="0" w:color="auto"/>
                <w:left w:val="none" w:sz="0" w:space="0" w:color="auto"/>
                <w:bottom w:val="none" w:sz="0" w:space="0" w:color="auto"/>
                <w:right w:val="none" w:sz="0" w:space="0" w:color="auto"/>
              </w:divBdr>
            </w:div>
            <w:div w:id="1795171701">
              <w:marLeft w:val="0"/>
              <w:marRight w:val="0"/>
              <w:marTop w:val="0"/>
              <w:marBottom w:val="0"/>
              <w:divBdr>
                <w:top w:val="none" w:sz="0" w:space="0" w:color="auto"/>
                <w:left w:val="none" w:sz="0" w:space="0" w:color="auto"/>
                <w:bottom w:val="none" w:sz="0" w:space="0" w:color="auto"/>
                <w:right w:val="none" w:sz="0" w:space="0" w:color="auto"/>
              </w:divBdr>
            </w:div>
            <w:div w:id="1930968115">
              <w:marLeft w:val="0"/>
              <w:marRight w:val="0"/>
              <w:marTop w:val="0"/>
              <w:marBottom w:val="0"/>
              <w:divBdr>
                <w:top w:val="none" w:sz="0" w:space="0" w:color="auto"/>
                <w:left w:val="none" w:sz="0" w:space="0" w:color="auto"/>
                <w:bottom w:val="none" w:sz="0" w:space="0" w:color="auto"/>
                <w:right w:val="none" w:sz="0" w:space="0" w:color="auto"/>
              </w:divBdr>
            </w:div>
          </w:divsChild>
        </w:div>
        <w:div w:id="1617443377">
          <w:marLeft w:val="0"/>
          <w:marRight w:val="0"/>
          <w:marTop w:val="0"/>
          <w:marBottom w:val="0"/>
          <w:divBdr>
            <w:top w:val="none" w:sz="0" w:space="0" w:color="auto"/>
            <w:left w:val="none" w:sz="0" w:space="0" w:color="auto"/>
            <w:bottom w:val="none" w:sz="0" w:space="0" w:color="auto"/>
            <w:right w:val="none" w:sz="0" w:space="0" w:color="auto"/>
          </w:divBdr>
          <w:divsChild>
            <w:div w:id="21515572">
              <w:marLeft w:val="0"/>
              <w:marRight w:val="0"/>
              <w:marTop w:val="0"/>
              <w:marBottom w:val="0"/>
              <w:divBdr>
                <w:top w:val="none" w:sz="0" w:space="0" w:color="auto"/>
                <w:left w:val="none" w:sz="0" w:space="0" w:color="auto"/>
                <w:bottom w:val="none" w:sz="0" w:space="0" w:color="auto"/>
                <w:right w:val="none" w:sz="0" w:space="0" w:color="auto"/>
              </w:divBdr>
            </w:div>
            <w:div w:id="137263818">
              <w:marLeft w:val="0"/>
              <w:marRight w:val="0"/>
              <w:marTop w:val="0"/>
              <w:marBottom w:val="0"/>
              <w:divBdr>
                <w:top w:val="none" w:sz="0" w:space="0" w:color="auto"/>
                <w:left w:val="none" w:sz="0" w:space="0" w:color="auto"/>
                <w:bottom w:val="none" w:sz="0" w:space="0" w:color="auto"/>
                <w:right w:val="none" w:sz="0" w:space="0" w:color="auto"/>
              </w:divBdr>
            </w:div>
            <w:div w:id="786660785">
              <w:marLeft w:val="0"/>
              <w:marRight w:val="0"/>
              <w:marTop w:val="0"/>
              <w:marBottom w:val="0"/>
              <w:divBdr>
                <w:top w:val="none" w:sz="0" w:space="0" w:color="auto"/>
                <w:left w:val="none" w:sz="0" w:space="0" w:color="auto"/>
                <w:bottom w:val="none" w:sz="0" w:space="0" w:color="auto"/>
                <w:right w:val="none" w:sz="0" w:space="0" w:color="auto"/>
              </w:divBdr>
            </w:div>
            <w:div w:id="861940725">
              <w:marLeft w:val="0"/>
              <w:marRight w:val="0"/>
              <w:marTop w:val="0"/>
              <w:marBottom w:val="0"/>
              <w:divBdr>
                <w:top w:val="none" w:sz="0" w:space="0" w:color="auto"/>
                <w:left w:val="none" w:sz="0" w:space="0" w:color="auto"/>
                <w:bottom w:val="none" w:sz="0" w:space="0" w:color="auto"/>
                <w:right w:val="none" w:sz="0" w:space="0" w:color="auto"/>
              </w:divBdr>
            </w:div>
            <w:div w:id="896358395">
              <w:marLeft w:val="0"/>
              <w:marRight w:val="0"/>
              <w:marTop w:val="0"/>
              <w:marBottom w:val="0"/>
              <w:divBdr>
                <w:top w:val="none" w:sz="0" w:space="0" w:color="auto"/>
                <w:left w:val="none" w:sz="0" w:space="0" w:color="auto"/>
                <w:bottom w:val="none" w:sz="0" w:space="0" w:color="auto"/>
                <w:right w:val="none" w:sz="0" w:space="0" w:color="auto"/>
              </w:divBdr>
            </w:div>
            <w:div w:id="902063545">
              <w:marLeft w:val="0"/>
              <w:marRight w:val="0"/>
              <w:marTop w:val="0"/>
              <w:marBottom w:val="0"/>
              <w:divBdr>
                <w:top w:val="none" w:sz="0" w:space="0" w:color="auto"/>
                <w:left w:val="none" w:sz="0" w:space="0" w:color="auto"/>
                <w:bottom w:val="none" w:sz="0" w:space="0" w:color="auto"/>
                <w:right w:val="none" w:sz="0" w:space="0" w:color="auto"/>
              </w:divBdr>
            </w:div>
            <w:div w:id="1031035186">
              <w:marLeft w:val="0"/>
              <w:marRight w:val="0"/>
              <w:marTop w:val="0"/>
              <w:marBottom w:val="0"/>
              <w:divBdr>
                <w:top w:val="none" w:sz="0" w:space="0" w:color="auto"/>
                <w:left w:val="none" w:sz="0" w:space="0" w:color="auto"/>
                <w:bottom w:val="none" w:sz="0" w:space="0" w:color="auto"/>
                <w:right w:val="none" w:sz="0" w:space="0" w:color="auto"/>
              </w:divBdr>
            </w:div>
            <w:div w:id="1074009991">
              <w:marLeft w:val="0"/>
              <w:marRight w:val="0"/>
              <w:marTop w:val="0"/>
              <w:marBottom w:val="0"/>
              <w:divBdr>
                <w:top w:val="none" w:sz="0" w:space="0" w:color="auto"/>
                <w:left w:val="none" w:sz="0" w:space="0" w:color="auto"/>
                <w:bottom w:val="none" w:sz="0" w:space="0" w:color="auto"/>
                <w:right w:val="none" w:sz="0" w:space="0" w:color="auto"/>
              </w:divBdr>
            </w:div>
            <w:div w:id="1181504473">
              <w:marLeft w:val="0"/>
              <w:marRight w:val="0"/>
              <w:marTop w:val="0"/>
              <w:marBottom w:val="0"/>
              <w:divBdr>
                <w:top w:val="none" w:sz="0" w:space="0" w:color="auto"/>
                <w:left w:val="none" w:sz="0" w:space="0" w:color="auto"/>
                <w:bottom w:val="none" w:sz="0" w:space="0" w:color="auto"/>
                <w:right w:val="none" w:sz="0" w:space="0" w:color="auto"/>
              </w:divBdr>
            </w:div>
            <w:div w:id="1214583665">
              <w:marLeft w:val="0"/>
              <w:marRight w:val="0"/>
              <w:marTop w:val="0"/>
              <w:marBottom w:val="0"/>
              <w:divBdr>
                <w:top w:val="none" w:sz="0" w:space="0" w:color="auto"/>
                <w:left w:val="none" w:sz="0" w:space="0" w:color="auto"/>
                <w:bottom w:val="none" w:sz="0" w:space="0" w:color="auto"/>
                <w:right w:val="none" w:sz="0" w:space="0" w:color="auto"/>
              </w:divBdr>
            </w:div>
            <w:div w:id="1226838905">
              <w:marLeft w:val="0"/>
              <w:marRight w:val="0"/>
              <w:marTop w:val="0"/>
              <w:marBottom w:val="0"/>
              <w:divBdr>
                <w:top w:val="none" w:sz="0" w:space="0" w:color="auto"/>
                <w:left w:val="none" w:sz="0" w:space="0" w:color="auto"/>
                <w:bottom w:val="none" w:sz="0" w:space="0" w:color="auto"/>
                <w:right w:val="none" w:sz="0" w:space="0" w:color="auto"/>
              </w:divBdr>
            </w:div>
            <w:div w:id="1417357953">
              <w:marLeft w:val="0"/>
              <w:marRight w:val="0"/>
              <w:marTop w:val="0"/>
              <w:marBottom w:val="0"/>
              <w:divBdr>
                <w:top w:val="none" w:sz="0" w:space="0" w:color="auto"/>
                <w:left w:val="none" w:sz="0" w:space="0" w:color="auto"/>
                <w:bottom w:val="none" w:sz="0" w:space="0" w:color="auto"/>
                <w:right w:val="none" w:sz="0" w:space="0" w:color="auto"/>
              </w:divBdr>
            </w:div>
            <w:div w:id="1570767627">
              <w:marLeft w:val="0"/>
              <w:marRight w:val="0"/>
              <w:marTop w:val="0"/>
              <w:marBottom w:val="0"/>
              <w:divBdr>
                <w:top w:val="none" w:sz="0" w:space="0" w:color="auto"/>
                <w:left w:val="none" w:sz="0" w:space="0" w:color="auto"/>
                <w:bottom w:val="none" w:sz="0" w:space="0" w:color="auto"/>
                <w:right w:val="none" w:sz="0" w:space="0" w:color="auto"/>
              </w:divBdr>
            </w:div>
            <w:div w:id="1620448364">
              <w:marLeft w:val="0"/>
              <w:marRight w:val="0"/>
              <w:marTop w:val="0"/>
              <w:marBottom w:val="0"/>
              <w:divBdr>
                <w:top w:val="none" w:sz="0" w:space="0" w:color="auto"/>
                <w:left w:val="none" w:sz="0" w:space="0" w:color="auto"/>
                <w:bottom w:val="none" w:sz="0" w:space="0" w:color="auto"/>
                <w:right w:val="none" w:sz="0" w:space="0" w:color="auto"/>
              </w:divBdr>
            </w:div>
            <w:div w:id="1694384547">
              <w:marLeft w:val="0"/>
              <w:marRight w:val="0"/>
              <w:marTop w:val="0"/>
              <w:marBottom w:val="0"/>
              <w:divBdr>
                <w:top w:val="none" w:sz="0" w:space="0" w:color="auto"/>
                <w:left w:val="none" w:sz="0" w:space="0" w:color="auto"/>
                <w:bottom w:val="none" w:sz="0" w:space="0" w:color="auto"/>
                <w:right w:val="none" w:sz="0" w:space="0" w:color="auto"/>
              </w:divBdr>
            </w:div>
            <w:div w:id="1720933087">
              <w:marLeft w:val="0"/>
              <w:marRight w:val="0"/>
              <w:marTop w:val="0"/>
              <w:marBottom w:val="0"/>
              <w:divBdr>
                <w:top w:val="none" w:sz="0" w:space="0" w:color="auto"/>
                <w:left w:val="none" w:sz="0" w:space="0" w:color="auto"/>
                <w:bottom w:val="none" w:sz="0" w:space="0" w:color="auto"/>
                <w:right w:val="none" w:sz="0" w:space="0" w:color="auto"/>
              </w:divBdr>
            </w:div>
            <w:div w:id="1793865180">
              <w:marLeft w:val="0"/>
              <w:marRight w:val="0"/>
              <w:marTop w:val="0"/>
              <w:marBottom w:val="0"/>
              <w:divBdr>
                <w:top w:val="none" w:sz="0" w:space="0" w:color="auto"/>
                <w:left w:val="none" w:sz="0" w:space="0" w:color="auto"/>
                <w:bottom w:val="none" w:sz="0" w:space="0" w:color="auto"/>
                <w:right w:val="none" w:sz="0" w:space="0" w:color="auto"/>
              </w:divBdr>
            </w:div>
            <w:div w:id="1836532006">
              <w:marLeft w:val="0"/>
              <w:marRight w:val="0"/>
              <w:marTop w:val="0"/>
              <w:marBottom w:val="0"/>
              <w:divBdr>
                <w:top w:val="none" w:sz="0" w:space="0" w:color="auto"/>
                <w:left w:val="none" w:sz="0" w:space="0" w:color="auto"/>
                <w:bottom w:val="none" w:sz="0" w:space="0" w:color="auto"/>
                <w:right w:val="none" w:sz="0" w:space="0" w:color="auto"/>
              </w:divBdr>
            </w:div>
            <w:div w:id="1926110494">
              <w:marLeft w:val="0"/>
              <w:marRight w:val="0"/>
              <w:marTop w:val="0"/>
              <w:marBottom w:val="0"/>
              <w:divBdr>
                <w:top w:val="none" w:sz="0" w:space="0" w:color="auto"/>
                <w:left w:val="none" w:sz="0" w:space="0" w:color="auto"/>
                <w:bottom w:val="none" w:sz="0" w:space="0" w:color="auto"/>
                <w:right w:val="none" w:sz="0" w:space="0" w:color="auto"/>
              </w:divBdr>
            </w:div>
            <w:div w:id="1982230962">
              <w:marLeft w:val="0"/>
              <w:marRight w:val="0"/>
              <w:marTop w:val="0"/>
              <w:marBottom w:val="0"/>
              <w:divBdr>
                <w:top w:val="none" w:sz="0" w:space="0" w:color="auto"/>
                <w:left w:val="none" w:sz="0" w:space="0" w:color="auto"/>
                <w:bottom w:val="none" w:sz="0" w:space="0" w:color="auto"/>
                <w:right w:val="none" w:sz="0" w:space="0" w:color="auto"/>
              </w:divBdr>
            </w:div>
            <w:div w:id="2107731992">
              <w:marLeft w:val="0"/>
              <w:marRight w:val="0"/>
              <w:marTop w:val="0"/>
              <w:marBottom w:val="0"/>
              <w:divBdr>
                <w:top w:val="none" w:sz="0" w:space="0" w:color="auto"/>
                <w:left w:val="none" w:sz="0" w:space="0" w:color="auto"/>
                <w:bottom w:val="none" w:sz="0" w:space="0" w:color="auto"/>
                <w:right w:val="none" w:sz="0" w:space="0" w:color="auto"/>
              </w:divBdr>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137918188">
              <w:marLeft w:val="0"/>
              <w:marRight w:val="0"/>
              <w:marTop w:val="0"/>
              <w:marBottom w:val="0"/>
              <w:divBdr>
                <w:top w:val="none" w:sz="0" w:space="0" w:color="auto"/>
                <w:left w:val="none" w:sz="0" w:space="0" w:color="auto"/>
                <w:bottom w:val="none" w:sz="0" w:space="0" w:color="auto"/>
                <w:right w:val="none" w:sz="0" w:space="0" w:color="auto"/>
              </w:divBdr>
            </w:div>
            <w:div w:id="142621887">
              <w:marLeft w:val="0"/>
              <w:marRight w:val="0"/>
              <w:marTop w:val="0"/>
              <w:marBottom w:val="0"/>
              <w:divBdr>
                <w:top w:val="none" w:sz="0" w:space="0" w:color="auto"/>
                <w:left w:val="none" w:sz="0" w:space="0" w:color="auto"/>
                <w:bottom w:val="none" w:sz="0" w:space="0" w:color="auto"/>
                <w:right w:val="none" w:sz="0" w:space="0" w:color="auto"/>
              </w:divBdr>
            </w:div>
            <w:div w:id="198250680">
              <w:marLeft w:val="0"/>
              <w:marRight w:val="0"/>
              <w:marTop w:val="0"/>
              <w:marBottom w:val="0"/>
              <w:divBdr>
                <w:top w:val="none" w:sz="0" w:space="0" w:color="auto"/>
                <w:left w:val="none" w:sz="0" w:space="0" w:color="auto"/>
                <w:bottom w:val="none" w:sz="0" w:space="0" w:color="auto"/>
                <w:right w:val="none" w:sz="0" w:space="0" w:color="auto"/>
              </w:divBdr>
            </w:div>
            <w:div w:id="311251185">
              <w:marLeft w:val="0"/>
              <w:marRight w:val="0"/>
              <w:marTop w:val="0"/>
              <w:marBottom w:val="0"/>
              <w:divBdr>
                <w:top w:val="none" w:sz="0" w:space="0" w:color="auto"/>
                <w:left w:val="none" w:sz="0" w:space="0" w:color="auto"/>
                <w:bottom w:val="none" w:sz="0" w:space="0" w:color="auto"/>
                <w:right w:val="none" w:sz="0" w:space="0" w:color="auto"/>
              </w:divBdr>
            </w:div>
            <w:div w:id="349183319">
              <w:marLeft w:val="0"/>
              <w:marRight w:val="0"/>
              <w:marTop w:val="0"/>
              <w:marBottom w:val="0"/>
              <w:divBdr>
                <w:top w:val="none" w:sz="0" w:space="0" w:color="auto"/>
                <w:left w:val="none" w:sz="0" w:space="0" w:color="auto"/>
                <w:bottom w:val="none" w:sz="0" w:space="0" w:color="auto"/>
                <w:right w:val="none" w:sz="0" w:space="0" w:color="auto"/>
              </w:divBdr>
            </w:div>
            <w:div w:id="764233921">
              <w:marLeft w:val="0"/>
              <w:marRight w:val="0"/>
              <w:marTop w:val="0"/>
              <w:marBottom w:val="0"/>
              <w:divBdr>
                <w:top w:val="none" w:sz="0" w:space="0" w:color="auto"/>
                <w:left w:val="none" w:sz="0" w:space="0" w:color="auto"/>
                <w:bottom w:val="none" w:sz="0" w:space="0" w:color="auto"/>
                <w:right w:val="none" w:sz="0" w:space="0" w:color="auto"/>
              </w:divBdr>
            </w:div>
            <w:div w:id="799959927">
              <w:marLeft w:val="0"/>
              <w:marRight w:val="0"/>
              <w:marTop w:val="0"/>
              <w:marBottom w:val="0"/>
              <w:divBdr>
                <w:top w:val="none" w:sz="0" w:space="0" w:color="auto"/>
                <w:left w:val="none" w:sz="0" w:space="0" w:color="auto"/>
                <w:bottom w:val="none" w:sz="0" w:space="0" w:color="auto"/>
                <w:right w:val="none" w:sz="0" w:space="0" w:color="auto"/>
              </w:divBdr>
            </w:div>
            <w:div w:id="884637589">
              <w:marLeft w:val="0"/>
              <w:marRight w:val="0"/>
              <w:marTop w:val="0"/>
              <w:marBottom w:val="0"/>
              <w:divBdr>
                <w:top w:val="none" w:sz="0" w:space="0" w:color="auto"/>
                <w:left w:val="none" w:sz="0" w:space="0" w:color="auto"/>
                <w:bottom w:val="none" w:sz="0" w:space="0" w:color="auto"/>
                <w:right w:val="none" w:sz="0" w:space="0" w:color="auto"/>
              </w:divBdr>
            </w:div>
            <w:div w:id="1057244353">
              <w:marLeft w:val="0"/>
              <w:marRight w:val="0"/>
              <w:marTop w:val="0"/>
              <w:marBottom w:val="0"/>
              <w:divBdr>
                <w:top w:val="none" w:sz="0" w:space="0" w:color="auto"/>
                <w:left w:val="none" w:sz="0" w:space="0" w:color="auto"/>
                <w:bottom w:val="none" w:sz="0" w:space="0" w:color="auto"/>
                <w:right w:val="none" w:sz="0" w:space="0" w:color="auto"/>
              </w:divBdr>
            </w:div>
            <w:div w:id="1122729846">
              <w:marLeft w:val="0"/>
              <w:marRight w:val="0"/>
              <w:marTop w:val="0"/>
              <w:marBottom w:val="0"/>
              <w:divBdr>
                <w:top w:val="none" w:sz="0" w:space="0" w:color="auto"/>
                <w:left w:val="none" w:sz="0" w:space="0" w:color="auto"/>
                <w:bottom w:val="none" w:sz="0" w:space="0" w:color="auto"/>
                <w:right w:val="none" w:sz="0" w:space="0" w:color="auto"/>
              </w:divBdr>
            </w:div>
            <w:div w:id="1219433133">
              <w:marLeft w:val="0"/>
              <w:marRight w:val="0"/>
              <w:marTop w:val="0"/>
              <w:marBottom w:val="0"/>
              <w:divBdr>
                <w:top w:val="none" w:sz="0" w:space="0" w:color="auto"/>
                <w:left w:val="none" w:sz="0" w:space="0" w:color="auto"/>
                <w:bottom w:val="none" w:sz="0" w:space="0" w:color="auto"/>
                <w:right w:val="none" w:sz="0" w:space="0" w:color="auto"/>
              </w:divBdr>
            </w:div>
            <w:div w:id="1221557498">
              <w:marLeft w:val="0"/>
              <w:marRight w:val="0"/>
              <w:marTop w:val="0"/>
              <w:marBottom w:val="0"/>
              <w:divBdr>
                <w:top w:val="none" w:sz="0" w:space="0" w:color="auto"/>
                <w:left w:val="none" w:sz="0" w:space="0" w:color="auto"/>
                <w:bottom w:val="none" w:sz="0" w:space="0" w:color="auto"/>
                <w:right w:val="none" w:sz="0" w:space="0" w:color="auto"/>
              </w:divBdr>
            </w:div>
            <w:div w:id="1225530701">
              <w:marLeft w:val="0"/>
              <w:marRight w:val="0"/>
              <w:marTop w:val="0"/>
              <w:marBottom w:val="0"/>
              <w:divBdr>
                <w:top w:val="none" w:sz="0" w:space="0" w:color="auto"/>
                <w:left w:val="none" w:sz="0" w:space="0" w:color="auto"/>
                <w:bottom w:val="none" w:sz="0" w:space="0" w:color="auto"/>
                <w:right w:val="none" w:sz="0" w:space="0" w:color="auto"/>
              </w:divBdr>
            </w:div>
            <w:div w:id="1413046101">
              <w:marLeft w:val="0"/>
              <w:marRight w:val="0"/>
              <w:marTop w:val="0"/>
              <w:marBottom w:val="0"/>
              <w:divBdr>
                <w:top w:val="none" w:sz="0" w:space="0" w:color="auto"/>
                <w:left w:val="none" w:sz="0" w:space="0" w:color="auto"/>
                <w:bottom w:val="none" w:sz="0" w:space="0" w:color="auto"/>
                <w:right w:val="none" w:sz="0" w:space="0" w:color="auto"/>
              </w:divBdr>
            </w:div>
            <w:div w:id="1506092311">
              <w:marLeft w:val="0"/>
              <w:marRight w:val="0"/>
              <w:marTop w:val="0"/>
              <w:marBottom w:val="0"/>
              <w:divBdr>
                <w:top w:val="none" w:sz="0" w:space="0" w:color="auto"/>
                <w:left w:val="none" w:sz="0" w:space="0" w:color="auto"/>
                <w:bottom w:val="none" w:sz="0" w:space="0" w:color="auto"/>
                <w:right w:val="none" w:sz="0" w:space="0" w:color="auto"/>
              </w:divBdr>
            </w:div>
            <w:div w:id="1726947022">
              <w:marLeft w:val="0"/>
              <w:marRight w:val="0"/>
              <w:marTop w:val="0"/>
              <w:marBottom w:val="0"/>
              <w:divBdr>
                <w:top w:val="none" w:sz="0" w:space="0" w:color="auto"/>
                <w:left w:val="none" w:sz="0" w:space="0" w:color="auto"/>
                <w:bottom w:val="none" w:sz="0" w:space="0" w:color="auto"/>
                <w:right w:val="none" w:sz="0" w:space="0" w:color="auto"/>
              </w:divBdr>
            </w:div>
            <w:div w:id="1729187787">
              <w:marLeft w:val="0"/>
              <w:marRight w:val="0"/>
              <w:marTop w:val="0"/>
              <w:marBottom w:val="0"/>
              <w:divBdr>
                <w:top w:val="none" w:sz="0" w:space="0" w:color="auto"/>
                <w:left w:val="none" w:sz="0" w:space="0" w:color="auto"/>
                <w:bottom w:val="none" w:sz="0" w:space="0" w:color="auto"/>
                <w:right w:val="none" w:sz="0" w:space="0" w:color="auto"/>
              </w:divBdr>
            </w:div>
            <w:div w:id="1731491903">
              <w:marLeft w:val="0"/>
              <w:marRight w:val="0"/>
              <w:marTop w:val="0"/>
              <w:marBottom w:val="0"/>
              <w:divBdr>
                <w:top w:val="none" w:sz="0" w:space="0" w:color="auto"/>
                <w:left w:val="none" w:sz="0" w:space="0" w:color="auto"/>
                <w:bottom w:val="none" w:sz="0" w:space="0" w:color="auto"/>
                <w:right w:val="none" w:sz="0" w:space="0" w:color="auto"/>
              </w:divBdr>
            </w:div>
            <w:div w:id="1765880691">
              <w:marLeft w:val="0"/>
              <w:marRight w:val="0"/>
              <w:marTop w:val="0"/>
              <w:marBottom w:val="0"/>
              <w:divBdr>
                <w:top w:val="none" w:sz="0" w:space="0" w:color="auto"/>
                <w:left w:val="none" w:sz="0" w:space="0" w:color="auto"/>
                <w:bottom w:val="none" w:sz="0" w:space="0" w:color="auto"/>
                <w:right w:val="none" w:sz="0" w:space="0" w:color="auto"/>
              </w:divBdr>
            </w:div>
            <w:div w:id="1834098393">
              <w:marLeft w:val="0"/>
              <w:marRight w:val="0"/>
              <w:marTop w:val="0"/>
              <w:marBottom w:val="0"/>
              <w:divBdr>
                <w:top w:val="none" w:sz="0" w:space="0" w:color="auto"/>
                <w:left w:val="none" w:sz="0" w:space="0" w:color="auto"/>
                <w:bottom w:val="none" w:sz="0" w:space="0" w:color="auto"/>
                <w:right w:val="none" w:sz="0" w:space="0" w:color="auto"/>
              </w:divBdr>
            </w:div>
            <w:div w:id="1899396211">
              <w:marLeft w:val="0"/>
              <w:marRight w:val="0"/>
              <w:marTop w:val="0"/>
              <w:marBottom w:val="0"/>
              <w:divBdr>
                <w:top w:val="none" w:sz="0" w:space="0" w:color="auto"/>
                <w:left w:val="none" w:sz="0" w:space="0" w:color="auto"/>
                <w:bottom w:val="none" w:sz="0" w:space="0" w:color="auto"/>
                <w:right w:val="none" w:sz="0" w:space="0" w:color="auto"/>
              </w:divBdr>
            </w:div>
            <w:div w:id="1932155156">
              <w:marLeft w:val="0"/>
              <w:marRight w:val="0"/>
              <w:marTop w:val="0"/>
              <w:marBottom w:val="0"/>
              <w:divBdr>
                <w:top w:val="none" w:sz="0" w:space="0" w:color="auto"/>
                <w:left w:val="none" w:sz="0" w:space="0" w:color="auto"/>
                <w:bottom w:val="none" w:sz="0" w:space="0" w:color="auto"/>
                <w:right w:val="none" w:sz="0" w:space="0" w:color="auto"/>
              </w:divBdr>
            </w:div>
            <w:div w:id="2069572285">
              <w:marLeft w:val="0"/>
              <w:marRight w:val="0"/>
              <w:marTop w:val="0"/>
              <w:marBottom w:val="0"/>
              <w:divBdr>
                <w:top w:val="none" w:sz="0" w:space="0" w:color="auto"/>
                <w:left w:val="none" w:sz="0" w:space="0" w:color="auto"/>
                <w:bottom w:val="none" w:sz="0" w:space="0" w:color="auto"/>
                <w:right w:val="none" w:sz="0" w:space="0" w:color="auto"/>
              </w:divBdr>
            </w:div>
            <w:div w:id="2089305787">
              <w:marLeft w:val="0"/>
              <w:marRight w:val="0"/>
              <w:marTop w:val="0"/>
              <w:marBottom w:val="0"/>
              <w:divBdr>
                <w:top w:val="none" w:sz="0" w:space="0" w:color="auto"/>
                <w:left w:val="none" w:sz="0" w:space="0" w:color="auto"/>
                <w:bottom w:val="none" w:sz="0" w:space="0" w:color="auto"/>
                <w:right w:val="none" w:sz="0" w:space="0" w:color="auto"/>
              </w:divBdr>
            </w:div>
            <w:div w:id="2137486657">
              <w:marLeft w:val="0"/>
              <w:marRight w:val="0"/>
              <w:marTop w:val="0"/>
              <w:marBottom w:val="0"/>
              <w:divBdr>
                <w:top w:val="none" w:sz="0" w:space="0" w:color="auto"/>
                <w:left w:val="none" w:sz="0" w:space="0" w:color="auto"/>
                <w:bottom w:val="none" w:sz="0" w:space="0" w:color="auto"/>
                <w:right w:val="none" w:sz="0" w:space="0" w:color="auto"/>
              </w:divBdr>
            </w:div>
          </w:divsChild>
        </w:div>
        <w:div w:id="1940797420">
          <w:marLeft w:val="0"/>
          <w:marRight w:val="0"/>
          <w:marTop w:val="0"/>
          <w:marBottom w:val="0"/>
          <w:divBdr>
            <w:top w:val="none" w:sz="0" w:space="0" w:color="auto"/>
            <w:left w:val="none" w:sz="0" w:space="0" w:color="auto"/>
            <w:bottom w:val="none" w:sz="0" w:space="0" w:color="auto"/>
            <w:right w:val="none" w:sz="0" w:space="0" w:color="auto"/>
          </w:divBdr>
          <w:divsChild>
            <w:div w:id="24790246">
              <w:marLeft w:val="0"/>
              <w:marRight w:val="0"/>
              <w:marTop w:val="0"/>
              <w:marBottom w:val="0"/>
              <w:divBdr>
                <w:top w:val="none" w:sz="0" w:space="0" w:color="auto"/>
                <w:left w:val="none" w:sz="0" w:space="0" w:color="auto"/>
                <w:bottom w:val="none" w:sz="0" w:space="0" w:color="auto"/>
                <w:right w:val="none" w:sz="0" w:space="0" w:color="auto"/>
              </w:divBdr>
            </w:div>
            <w:div w:id="54620874">
              <w:marLeft w:val="0"/>
              <w:marRight w:val="0"/>
              <w:marTop w:val="0"/>
              <w:marBottom w:val="0"/>
              <w:divBdr>
                <w:top w:val="none" w:sz="0" w:space="0" w:color="auto"/>
                <w:left w:val="none" w:sz="0" w:space="0" w:color="auto"/>
                <w:bottom w:val="none" w:sz="0" w:space="0" w:color="auto"/>
                <w:right w:val="none" w:sz="0" w:space="0" w:color="auto"/>
              </w:divBdr>
            </w:div>
            <w:div w:id="172689090">
              <w:marLeft w:val="0"/>
              <w:marRight w:val="0"/>
              <w:marTop w:val="0"/>
              <w:marBottom w:val="0"/>
              <w:divBdr>
                <w:top w:val="none" w:sz="0" w:space="0" w:color="auto"/>
                <w:left w:val="none" w:sz="0" w:space="0" w:color="auto"/>
                <w:bottom w:val="none" w:sz="0" w:space="0" w:color="auto"/>
                <w:right w:val="none" w:sz="0" w:space="0" w:color="auto"/>
              </w:divBdr>
            </w:div>
            <w:div w:id="484275494">
              <w:marLeft w:val="0"/>
              <w:marRight w:val="0"/>
              <w:marTop w:val="0"/>
              <w:marBottom w:val="0"/>
              <w:divBdr>
                <w:top w:val="none" w:sz="0" w:space="0" w:color="auto"/>
                <w:left w:val="none" w:sz="0" w:space="0" w:color="auto"/>
                <w:bottom w:val="none" w:sz="0" w:space="0" w:color="auto"/>
                <w:right w:val="none" w:sz="0" w:space="0" w:color="auto"/>
              </w:divBdr>
            </w:div>
            <w:div w:id="518129391">
              <w:marLeft w:val="0"/>
              <w:marRight w:val="0"/>
              <w:marTop w:val="0"/>
              <w:marBottom w:val="0"/>
              <w:divBdr>
                <w:top w:val="none" w:sz="0" w:space="0" w:color="auto"/>
                <w:left w:val="none" w:sz="0" w:space="0" w:color="auto"/>
                <w:bottom w:val="none" w:sz="0" w:space="0" w:color="auto"/>
                <w:right w:val="none" w:sz="0" w:space="0" w:color="auto"/>
              </w:divBdr>
            </w:div>
            <w:div w:id="613294585">
              <w:marLeft w:val="0"/>
              <w:marRight w:val="0"/>
              <w:marTop w:val="0"/>
              <w:marBottom w:val="0"/>
              <w:divBdr>
                <w:top w:val="none" w:sz="0" w:space="0" w:color="auto"/>
                <w:left w:val="none" w:sz="0" w:space="0" w:color="auto"/>
                <w:bottom w:val="none" w:sz="0" w:space="0" w:color="auto"/>
                <w:right w:val="none" w:sz="0" w:space="0" w:color="auto"/>
              </w:divBdr>
            </w:div>
            <w:div w:id="689377932">
              <w:marLeft w:val="0"/>
              <w:marRight w:val="0"/>
              <w:marTop w:val="0"/>
              <w:marBottom w:val="0"/>
              <w:divBdr>
                <w:top w:val="none" w:sz="0" w:space="0" w:color="auto"/>
                <w:left w:val="none" w:sz="0" w:space="0" w:color="auto"/>
                <w:bottom w:val="none" w:sz="0" w:space="0" w:color="auto"/>
                <w:right w:val="none" w:sz="0" w:space="0" w:color="auto"/>
              </w:divBdr>
            </w:div>
            <w:div w:id="717973729">
              <w:marLeft w:val="0"/>
              <w:marRight w:val="0"/>
              <w:marTop w:val="0"/>
              <w:marBottom w:val="0"/>
              <w:divBdr>
                <w:top w:val="none" w:sz="0" w:space="0" w:color="auto"/>
                <w:left w:val="none" w:sz="0" w:space="0" w:color="auto"/>
                <w:bottom w:val="none" w:sz="0" w:space="0" w:color="auto"/>
                <w:right w:val="none" w:sz="0" w:space="0" w:color="auto"/>
              </w:divBdr>
            </w:div>
            <w:div w:id="738987800">
              <w:marLeft w:val="0"/>
              <w:marRight w:val="0"/>
              <w:marTop w:val="0"/>
              <w:marBottom w:val="0"/>
              <w:divBdr>
                <w:top w:val="none" w:sz="0" w:space="0" w:color="auto"/>
                <w:left w:val="none" w:sz="0" w:space="0" w:color="auto"/>
                <w:bottom w:val="none" w:sz="0" w:space="0" w:color="auto"/>
                <w:right w:val="none" w:sz="0" w:space="0" w:color="auto"/>
              </w:divBdr>
            </w:div>
            <w:div w:id="791705632">
              <w:marLeft w:val="0"/>
              <w:marRight w:val="0"/>
              <w:marTop w:val="0"/>
              <w:marBottom w:val="0"/>
              <w:divBdr>
                <w:top w:val="none" w:sz="0" w:space="0" w:color="auto"/>
                <w:left w:val="none" w:sz="0" w:space="0" w:color="auto"/>
                <w:bottom w:val="none" w:sz="0" w:space="0" w:color="auto"/>
                <w:right w:val="none" w:sz="0" w:space="0" w:color="auto"/>
              </w:divBdr>
            </w:div>
            <w:div w:id="851190691">
              <w:marLeft w:val="0"/>
              <w:marRight w:val="0"/>
              <w:marTop w:val="0"/>
              <w:marBottom w:val="0"/>
              <w:divBdr>
                <w:top w:val="none" w:sz="0" w:space="0" w:color="auto"/>
                <w:left w:val="none" w:sz="0" w:space="0" w:color="auto"/>
                <w:bottom w:val="none" w:sz="0" w:space="0" w:color="auto"/>
                <w:right w:val="none" w:sz="0" w:space="0" w:color="auto"/>
              </w:divBdr>
            </w:div>
            <w:div w:id="926504042">
              <w:marLeft w:val="0"/>
              <w:marRight w:val="0"/>
              <w:marTop w:val="0"/>
              <w:marBottom w:val="0"/>
              <w:divBdr>
                <w:top w:val="none" w:sz="0" w:space="0" w:color="auto"/>
                <w:left w:val="none" w:sz="0" w:space="0" w:color="auto"/>
                <w:bottom w:val="none" w:sz="0" w:space="0" w:color="auto"/>
                <w:right w:val="none" w:sz="0" w:space="0" w:color="auto"/>
              </w:divBdr>
            </w:div>
            <w:div w:id="1201935553">
              <w:marLeft w:val="0"/>
              <w:marRight w:val="0"/>
              <w:marTop w:val="0"/>
              <w:marBottom w:val="0"/>
              <w:divBdr>
                <w:top w:val="none" w:sz="0" w:space="0" w:color="auto"/>
                <w:left w:val="none" w:sz="0" w:space="0" w:color="auto"/>
                <w:bottom w:val="none" w:sz="0" w:space="0" w:color="auto"/>
                <w:right w:val="none" w:sz="0" w:space="0" w:color="auto"/>
              </w:divBdr>
            </w:div>
            <w:div w:id="1253515681">
              <w:marLeft w:val="0"/>
              <w:marRight w:val="0"/>
              <w:marTop w:val="0"/>
              <w:marBottom w:val="0"/>
              <w:divBdr>
                <w:top w:val="none" w:sz="0" w:space="0" w:color="auto"/>
                <w:left w:val="none" w:sz="0" w:space="0" w:color="auto"/>
                <w:bottom w:val="none" w:sz="0" w:space="0" w:color="auto"/>
                <w:right w:val="none" w:sz="0" w:space="0" w:color="auto"/>
              </w:divBdr>
            </w:div>
            <w:div w:id="1439837395">
              <w:marLeft w:val="0"/>
              <w:marRight w:val="0"/>
              <w:marTop w:val="0"/>
              <w:marBottom w:val="0"/>
              <w:divBdr>
                <w:top w:val="none" w:sz="0" w:space="0" w:color="auto"/>
                <w:left w:val="none" w:sz="0" w:space="0" w:color="auto"/>
                <w:bottom w:val="none" w:sz="0" w:space="0" w:color="auto"/>
                <w:right w:val="none" w:sz="0" w:space="0" w:color="auto"/>
              </w:divBdr>
            </w:div>
            <w:div w:id="1486162412">
              <w:marLeft w:val="0"/>
              <w:marRight w:val="0"/>
              <w:marTop w:val="0"/>
              <w:marBottom w:val="0"/>
              <w:divBdr>
                <w:top w:val="none" w:sz="0" w:space="0" w:color="auto"/>
                <w:left w:val="none" w:sz="0" w:space="0" w:color="auto"/>
                <w:bottom w:val="none" w:sz="0" w:space="0" w:color="auto"/>
                <w:right w:val="none" w:sz="0" w:space="0" w:color="auto"/>
              </w:divBdr>
            </w:div>
            <w:div w:id="1498690879">
              <w:marLeft w:val="0"/>
              <w:marRight w:val="0"/>
              <w:marTop w:val="0"/>
              <w:marBottom w:val="0"/>
              <w:divBdr>
                <w:top w:val="none" w:sz="0" w:space="0" w:color="auto"/>
                <w:left w:val="none" w:sz="0" w:space="0" w:color="auto"/>
                <w:bottom w:val="none" w:sz="0" w:space="0" w:color="auto"/>
                <w:right w:val="none" w:sz="0" w:space="0" w:color="auto"/>
              </w:divBdr>
            </w:div>
            <w:div w:id="1584024924">
              <w:marLeft w:val="0"/>
              <w:marRight w:val="0"/>
              <w:marTop w:val="0"/>
              <w:marBottom w:val="0"/>
              <w:divBdr>
                <w:top w:val="none" w:sz="0" w:space="0" w:color="auto"/>
                <w:left w:val="none" w:sz="0" w:space="0" w:color="auto"/>
                <w:bottom w:val="none" w:sz="0" w:space="0" w:color="auto"/>
                <w:right w:val="none" w:sz="0" w:space="0" w:color="auto"/>
              </w:divBdr>
            </w:div>
            <w:div w:id="1611426928">
              <w:marLeft w:val="0"/>
              <w:marRight w:val="0"/>
              <w:marTop w:val="0"/>
              <w:marBottom w:val="0"/>
              <w:divBdr>
                <w:top w:val="none" w:sz="0" w:space="0" w:color="auto"/>
                <w:left w:val="none" w:sz="0" w:space="0" w:color="auto"/>
                <w:bottom w:val="none" w:sz="0" w:space="0" w:color="auto"/>
                <w:right w:val="none" w:sz="0" w:space="0" w:color="auto"/>
              </w:divBdr>
            </w:div>
            <w:div w:id="1728798443">
              <w:marLeft w:val="0"/>
              <w:marRight w:val="0"/>
              <w:marTop w:val="0"/>
              <w:marBottom w:val="0"/>
              <w:divBdr>
                <w:top w:val="none" w:sz="0" w:space="0" w:color="auto"/>
                <w:left w:val="none" w:sz="0" w:space="0" w:color="auto"/>
                <w:bottom w:val="none" w:sz="0" w:space="0" w:color="auto"/>
                <w:right w:val="none" w:sz="0" w:space="0" w:color="auto"/>
              </w:divBdr>
            </w:div>
            <w:div w:id="2000188555">
              <w:marLeft w:val="0"/>
              <w:marRight w:val="0"/>
              <w:marTop w:val="0"/>
              <w:marBottom w:val="0"/>
              <w:divBdr>
                <w:top w:val="none" w:sz="0" w:space="0" w:color="auto"/>
                <w:left w:val="none" w:sz="0" w:space="0" w:color="auto"/>
                <w:bottom w:val="none" w:sz="0" w:space="0" w:color="auto"/>
                <w:right w:val="none" w:sz="0" w:space="0" w:color="auto"/>
              </w:divBdr>
            </w:div>
            <w:div w:id="2019847039">
              <w:marLeft w:val="0"/>
              <w:marRight w:val="0"/>
              <w:marTop w:val="0"/>
              <w:marBottom w:val="0"/>
              <w:divBdr>
                <w:top w:val="none" w:sz="0" w:space="0" w:color="auto"/>
                <w:left w:val="none" w:sz="0" w:space="0" w:color="auto"/>
                <w:bottom w:val="none" w:sz="0" w:space="0" w:color="auto"/>
                <w:right w:val="none" w:sz="0" w:space="0" w:color="auto"/>
              </w:divBdr>
            </w:div>
          </w:divsChild>
        </w:div>
        <w:div w:id="2075152219">
          <w:marLeft w:val="0"/>
          <w:marRight w:val="0"/>
          <w:marTop w:val="0"/>
          <w:marBottom w:val="0"/>
          <w:divBdr>
            <w:top w:val="none" w:sz="0" w:space="0" w:color="auto"/>
            <w:left w:val="none" w:sz="0" w:space="0" w:color="auto"/>
            <w:bottom w:val="none" w:sz="0" w:space="0" w:color="auto"/>
            <w:right w:val="none" w:sz="0" w:space="0" w:color="auto"/>
          </w:divBdr>
          <w:divsChild>
            <w:div w:id="91900829">
              <w:marLeft w:val="0"/>
              <w:marRight w:val="0"/>
              <w:marTop w:val="0"/>
              <w:marBottom w:val="0"/>
              <w:divBdr>
                <w:top w:val="none" w:sz="0" w:space="0" w:color="auto"/>
                <w:left w:val="none" w:sz="0" w:space="0" w:color="auto"/>
                <w:bottom w:val="none" w:sz="0" w:space="0" w:color="auto"/>
                <w:right w:val="none" w:sz="0" w:space="0" w:color="auto"/>
              </w:divBdr>
            </w:div>
            <w:div w:id="212229592">
              <w:marLeft w:val="0"/>
              <w:marRight w:val="0"/>
              <w:marTop w:val="0"/>
              <w:marBottom w:val="0"/>
              <w:divBdr>
                <w:top w:val="none" w:sz="0" w:space="0" w:color="auto"/>
                <w:left w:val="none" w:sz="0" w:space="0" w:color="auto"/>
                <w:bottom w:val="none" w:sz="0" w:space="0" w:color="auto"/>
                <w:right w:val="none" w:sz="0" w:space="0" w:color="auto"/>
              </w:divBdr>
            </w:div>
            <w:div w:id="560291565">
              <w:marLeft w:val="0"/>
              <w:marRight w:val="0"/>
              <w:marTop w:val="0"/>
              <w:marBottom w:val="0"/>
              <w:divBdr>
                <w:top w:val="none" w:sz="0" w:space="0" w:color="auto"/>
                <w:left w:val="none" w:sz="0" w:space="0" w:color="auto"/>
                <w:bottom w:val="none" w:sz="0" w:space="0" w:color="auto"/>
                <w:right w:val="none" w:sz="0" w:space="0" w:color="auto"/>
              </w:divBdr>
            </w:div>
            <w:div w:id="658965847">
              <w:marLeft w:val="0"/>
              <w:marRight w:val="0"/>
              <w:marTop w:val="0"/>
              <w:marBottom w:val="0"/>
              <w:divBdr>
                <w:top w:val="none" w:sz="0" w:space="0" w:color="auto"/>
                <w:left w:val="none" w:sz="0" w:space="0" w:color="auto"/>
                <w:bottom w:val="none" w:sz="0" w:space="0" w:color="auto"/>
                <w:right w:val="none" w:sz="0" w:space="0" w:color="auto"/>
              </w:divBdr>
            </w:div>
            <w:div w:id="663557835">
              <w:marLeft w:val="0"/>
              <w:marRight w:val="0"/>
              <w:marTop w:val="0"/>
              <w:marBottom w:val="0"/>
              <w:divBdr>
                <w:top w:val="none" w:sz="0" w:space="0" w:color="auto"/>
                <w:left w:val="none" w:sz="0" w:space="0" w:color="auto"/>
                <w:bottom w:val="none" w:sz="0" w:space="0" w:color="auto"/>
                <w:right w:val="none" w:sz="0" w:space="0" w:color="auto"/>
              </w:divBdr>
            </w:div>
            <w:div w:id="670763268">
              <w:marLeft w:val="0"/>
              <w:marRight w:val="0"/>
              <w:marTop w:val="0"/>
              <w:marBottom w:val="0"/>
              <w:divBdr>
                <w:top w:val="none" w:sz="0" w:space="0" w:color="auto"/>
                <w:left w:val="none" w:sz="0" w:space="0" w:color="auto"/>
                <w:bottom w:val="none" w:sz="0" w:space="0" w:color="auto"/>
                <w:right w:val="none" w:sz="0" w:space="0" w:color="auto"/>
              </w:divBdr>
            </w:div>
            <w:div w:id="893808924">
              <w:marLeft w:val="0"/>
              <w:marRight w:val="0"/>
              <w:marTop w:val="0"/>
              <w:marBottom w:val="0"/>
              <w:divBdr>
                <w:top w:val="none" w:sz="0" w:space="0" w:color="auto"/>
                <w:left w:val="none" w:sz="0" w:space="0" w:color="auto"/>
                <w:bottom w:val="none" w:sz="0" w:space="0" w:color="auto"/>
                <w:right w:val="none" w:sz="0" w:space="0" w:color="auto"/>
              </w:divBdr>
            </w:div>
            <w:div w:id="940333940">
              <w:marLeft w:val="0"/>
              <w:marRight w:val="0"/>
              <w:marTop w:val="0"/>
              <w:marBottom w:val="0"/>
              <w:divBdr>
                <w:top w:val="none" w:sz="0" w:space="0" w:color="auto"/>
                <w:left w:val="none" w:sz="0" w:space="0" w:color="auto"/>
                <w:bottom w:val="none" w:sz="0" w:space="0" w:color="auto"/>
                <w:right w:val="none" w:sz="0" w:space="0" w:color="auto"/>
              </w:divBdr>
            </w:div>
            <w:div w:id="1126579572">
              <w:marLeft w:val="0"/>
              <w:marRight w:val="0"/>
              <w:marTop w:val="0"/>
              <w:marBottom w:val="0"/>
              <w:divBdr>
                <w:top w:val="none" w:sz="0" w:space="0" w:color="auto"/>
                <w:left w:val="none" w:sz="0" w:space="0" w:color="auto"/>
                <w:bottom w:val="none" w:sz="0" w:space="0" w:color="auto"/>
                <w:right w:val="none" w:sz="0" w:space="0" w:color="auto"/>
              </w:divBdr>
            </w:div>
            <w:div w:id="1475564923">
              <w:marLeft w:val="0"/>
              <w:marRight w:val="0"/>
              <w:marTop w:val="0"/>
              <w:marBottom w:val="0"/>
              <w:divBdr>
                <w:top w:val="none" w:sz="0" w:space="0" w:color="auto"/>
                <w:left w:val="none" w:sz="0" w:space="0" w:color="auto"/>
                <w:bottom w:val="none" w:sz="0" w:space="0" w:color="auto"/>
                <w:right w:val="none" w:sz="0" w:space="0" w:color="auto"/>
              </w:divBdr>
            </w:div>
            <w:div w:id="1578172647">
              <w:marLeft w:val="0"/>
              <w:marRight w:val="0"/>
              <w:marTop w:val="0"/>
              <w:marBottom w:val="0"/>
              <w:divBdr>
                <w:top w:val="none" w:sz="0" w:space="0" w:color="auto"/>
                <w:left w:val="none" w:sz="0" w:space="0" w:color="auto"/>
                <w:bottom w:val="none" w:sz="0" w:space="0" w:color="auto"/>
                <w:right w:val="none" w:sz="0" w:space="0" w:color="auto"/>
              </w:divBdr>
            </w:div>
            <w:div w:id="1643462543">
              <w:marLeft w:val="0"/>
              <w:marRight w:val="0"/>
              <w:marTop w:val="0"/>
              <w:marBottom w:val="0"/>
              <w:divBdr>
                <w:top w:val="none" w:sz="0" w:space="0" w:color="auto"/>
                <w:left w:val="none" w:sz="0" w:space="0" w:color="auto"/>
                <w:bottom w:val="none" w:sz="0" w:space="0" w:color="auto"/>
                <w:right w:val="none" w:sz="0" w:space="0" w:color="auto"/>
              </w:divBdr>
            </w:div>
            <w:div w:id="1645963055">
              <w:marLeft w:val="0"/>
              <w:marRight w:val="0"/>
              <w:marTop w:val="0"/>
              <w:marBottom w:val="0"/>
              <w:divBdr>
                <w:top w:val="none" w:sz="0" w:space="0" w:color="auto"/>
                <w:left w:val="none" w:sz="0" w:space="0" w:color="auto"/>
                <w:bottom w:val="none" w:sz="0" w:space="0" w:color="auto"/>
                <w:right w:val="none" w:sz="0" w:space="0" w:color="auto"/>
              </w:divBdr>
            </w:div>
            <w:div w:id="1646427026">
              <w:marLeft w:val="0"/>
              <w:marRight w:val="0"/>
              <w:marTop w:val="0"/>
              <w:marBottom w:val="0"/>
              <w:divBdr>
                <w:top w:val="none" w:sz="0" w:space="0" w:color="auto"/>
                <w:left w:val="none" w:sz="0" w:space="0" w:color="auto"/>
                <w:bottom w:val="none" w:sz="0" w:space="0" w:color="auto"/>
                <w:right w:val="none" w:sz="0" w:space="0" w:color="auto"/>
              </w:divBdr>
            </w:div>
            <w:div w:id="1671714643">
              <w:marLeft w:val="0"/>
              <w:marRight w:val="0"/>
              <w:marTop w:val="0"/>
              <w:marBottom w:val="0"/>
              <w:divBdr>
                <w:top w:val="none" w:sz="0" w:space="0" w:color="auto"/>
                <w:left w:val="none" w:sz="0" w:space="0" w:color="auto"/>
                <w:bottom w:val="none" w:sz="0" w:space="0" w:color="auto"/>
                <w:right w:val="none" w:sz="0" w:space="0" w:color="auto"/>
              </w:divBdr>
            </w:div>
            <w:div w:id="1673724369">
              <w:marLeft w:val="0"/>
              <w:marRight w:val="0"/>
              <w:marTop w:val="0"/>
              <w:marBottom w:val="0"/>
              <w:divBdr>
                <w:top w:val="none" w:sz="0" w:space="0" w:color="auto"/>
                <w:left w:val="none" w:sz="0" w:space="0" w:color="auto"/>
                <w:bottom w:val="none" w:sz="0" w:space="0" w:color="auto"/>
                <w:right w:val="none" w:sz="0" w:space="0" w:color="auto"/>
              </w:divBdr>
            </w:div>
            <w:div w:id="1726367198">
              <w:marLeft w:val="0"/>
              <w:marRight w:val="0"/>
              <w:marTop w:val="0"/>
              <w:marBottom w:val="0"/>
              <w:divBdr>
                <w:top w:val="none" w:sz="0" w:space="0" w:color="auto"/>
                <w:left w:val="none" w:sz="0" w:space="0" w:color="auto"/>
                <w:bottom w:val="none" w:sz="0" w:space="0" w:color="auto"/>
                <w:right w:val="none" w:sz="0" w:space="0" w:color="auto"/>
              </w:divBdr>
            </w:div>
            <w:div w:id="1738937462">
              <w:marLeft w:val="0"/>
              <w:marRight w:val="0"/>
              <w:marTop w:val="0"/>
              <w:marBottom w:val="0"/>
              <w:divBdr>
                <w:top w:val="none" w:sz="0" w:space="0" w:color="auto"/>
                <w:left w:val="none" w:sz="0" w:space="0" w:color="auto"/>
                <w:bottom w:val="none" w:sz="0" w:space="0" w:color="auto"/>
                <w:right w:val="none" w:sz="0" w:space="0" w:color="auto"/>
              </w:divBdr>
            </w:div>
            <w:div w:id="1838962109">
              <w:marLeft w:val="0"/>
              <w:marRight w:val="0"/>
              <w:marTop w:val="0"/>
              <w:marBottom w:val="0"/>
              <w:divBdr>
                <w:top w:val="none" w:sz="0" w:space="0" w:color="auto"/>
                <w:left w:val="none" w:sz="0" w:space="0" w:color="auto"/>
                <w:bottom w:val="none" w:sz="0" w:space="0" w:color="auto"/>
                <w:right w:val="none" w:sz="0" w:space="0" w:color="auto"/>
              </w:divBdr>
            </w:div>
          </w:divsChild>
        </w:div>
        <w:div w:id="2081098971">
          <w:marLeft w:val="0"/>
          <w:marRight w:val="0"/>
          <w:marTop w:val="0"/>
          <w:marBottom w:val="0"/>
          <w:divBdr>
            <w:top w:val="none" w:sz="0" w:space="0" w:color="auto"/>
            <w:left w:val="none" w:sz="0" w:space="0" w:color="auto"/>
            <w:bottom w:val="none" w:sz="0" w:space="0" w:color="auto"/>
            <w:right w:val="none" w:sz="0" w:space="0" w:color="auto"/>
          </w:divBdr>
          <w:divsChild>
            <w:div w:id="167060284">
              <w:marLeft w:val="0"/>
              <w:marRight w:val="0"/>
              <w:marTop w:val="0"/>
              <w:marBottom w:val="0"/>
              <w:divBdr>
                <w:top w:val="none" w:sz="0" w:space="0" w:color="auto"/>
                <w:left w:val="none" w:sz="0" w:space="0" w:color="auto"/>
                <w:bottom w:val="none" w:sz="0" w:space="0" w:color="auto"/>
                <w:right w:val="none" w:sz="0" w:space="0" w:color="auto"/>
              </w:divBdr>
            </w:div>
            <w:div w:id="219831484">
              <w:marLeft w:val="0"/>
              <w:marRight w:val="0"/>
              <w:marTop w:val="0"/>
              <w:marBottom w:val="0"/>
              <w:divBdr>
                <w:top w:val="none" w:sz="0" w:space="0" w:color="auto"/>
                <w:left w:val="none" w:sz="0" w:space="0" w:color="auto"/>
                <w:bottom w:val="none" w:sz="0" w:space="0" w:color="auto"/>
                <w:right w:val="none" w:sz="0" w:space="0" w:color="auto"/>
              </w:divBdr>
            </w:div>
            <w:div w:id="326783528">
              <w:marLeft w:val="0"/>
              <w:marRight w:val="0"/>
              <w:marTop w:val="0"/>
              <w:marBottom w:val="0"/>
              <w:divBdr>
                <w:top w:val="none" w:sz="0" w:space="0" w:color="auto"/>
                <w:left w:val="none" w:sz="0" w:space="0" w:color="auto"/>
                <w:bottom w:val="none" w:sz="0" w:space="0" w:color="auto"/>
                <w:right w:val="none" w:sz="0" w:space="0" w:color="auto"/>
              </w:divBdr>
            </w:div>
            <w:div w:id="495804247">
              <w:marLeft w:val="0"/>
              <w:marRight w:val="0"/>
              <w:marTop w:val="0"/>
              <w:marBottom w:val="0"/>
              <w:divBdr>
                <w:top w:val="none" w:sz="0" w:space="0" w:color="auto"/>
                <w:left w:val="none" w:sz="0" w:space="0" w:color="auto"/>
                <w:bottom w:val="none" w:sz="0" w:space="0" w:color="auto"/>
                <w:right w:val="none" w:sz="0" w:space="0" w:color="auto"/>
              </w:divBdr>
            </w:div>
            <w:div w:id="690422098">
              <w:marLeft w:val="0"/>
              <w:marRight w:val="0"/>
              <w:marTop w:val="0"/>
              <w:marBottom w:val="0"/>
              <w:divBdr>
                <w:top w:val="none" w:sz="0" w:space="0" w:color="auto"/>
                <w:left w:val="none" w:sz="0" w:space="0" w:color="auto"/>
                <w:bottom w:val="none" w:sz="0" w:space="0" w:color="auto"/>
                <w:right w:val="none" w:sz="0" w:space="0" w:color="auto"/>
              </w:divBdr>
            </w:div>
            <w:div w:id="709376435">
              <w:marLeft w:val="0"/>
              <w:marRight w:val="0"/>
              <w:marTop w:val="0"/>
              <w:marBottom w:val="0"/>
              <w:divBdr>
                <w:top w:val="none" w:sz="0" w:space="0" w:color="auto"/>
                <w:left w:val="none" w:sz="0" w:space="0" w:color="auto"/>
                <w:bottom w:val="none" w:sz="0" w:space="0" w:color="auto"/>
                <w:right w:val="none" w:sz="0" w:space="0" w:color="auto"/>
              </w:divBdr>
            </w:div>
            <w:div w:id="816847489">
              <w:marLeft w:val="0"/>
              <w:marRight w:val="0"/>
              <w:marTop w:val="0"/>
              <w:marBottom w:val="0"/>
              <w:divBdr>
                <w:top w:val="none" w:sz="0" w:space="0" w:color="auto"/>
                <w:left w:val="none" w:sz="0" w:space="0" w:color="auto"/>
                <w:bottom w:val="none" w:sz="0" w:space="0" w:color="auto"/>
                <w:right w:val="none" w:sz="0" w:space="0" w:color="auto"/>
              </w:divBdr>
            </w:div>
            <w:div w:id="920068968">
              <w:marLeft w:val="0"/>
              <w:marRight w:val="0"/>
              <w:marTop w:val="0"/>
              <w:marBottom w:val="0"/>
              <w:divBdr>
                <w:top w:val="none" w:sz="0" w:space="0" w:color="auto"/>
                <w:left w:val="none" w:sz="0" w:space="0" w:color="auto"/>
                <w:bottom w:val="none" w:sz="0" w:space="0" w:color="auto"/>
                <w:right w:val="none" w:sz="0" w:space="0" w:color="auto"/>
              </w:divBdr>
            </w:div>
            <w:div w:id="960569758">
              <w:marLeft w:val="0"/>
              <w:marRight w:val="0"/>
              <w:marTop w:val="0"/>
              <w:marBottom w:val="0"/>
              <w:divBdr>
                <w:top w:val="none" w:sz="0" w:space="0" w:color="auto"/>
                <w:left w:val="none" w:sz="0" w:space="0" w:color="auto"/>
                <w:bottom w:val="none" w:sz="0" w:space="0" w:color="auto"/>
                <w:right w:val="none" w:sz="0" w:space="0" w:color="auto"/>
              </w:divBdr>
            </w:div>
            <w:div w:id="1105924384">
              <w:marLeft w:val="0"/>
              <w:marRight w:val="0"/>
              <w:marTop w:val="0"/>
              <w:marBottom w:val="0"/>
              <w:divBdr>
                <w:top w:val="none" w:sz="0" w:space="0" w:color="auto"/>
                <w:left w:val="none" w:sz="0" w:space="0" w:color="auto"/>
                <w:bottom w:val="none" w:sz="0" w:space="0" w:color="auto"/>
                <w:right w:val="none" w:sz="0" w:space="0" w:color="auto"/>
              </w:divBdr>
            </w:div>
            <w:div w:id="1265528642">
              <w:marLeft w:val="0"/>
              <w:marRight w:val="0"/>
              <w:marTop w:val="0"/>
              <w:marBottom w:val="0"/>
              <w:divBdr>
                <w:top w:val="none" w:sz="0" w:space="0" w:color="auto"/>
                <w:left w:val="none" w:sz="0" w:space="0" w:color="auto"/>
                <w:bottom w:val="none" w:sz="0" w:space="0" w:color="auto"/>
                <w:right w:val="none" w:sz="0" w:space="0" w:color="auto"/>
              </w:divBdr>
            </w:div>
            <w:div w:id="1447575600">
              <w:marLeft w:val="0"/>
              <w:marRight w:val="0"/>
              <w:marTop w:val="0"/>
              <w:marBottom w:val="0"/>
              <w:divBdr>
                <w:top w:val="none" w:sz="0" w:space="0" w:color="auto"/>
                <w:left w:val="none" w:sz="0" w:space="0" w:color="auto"/>
                <w:bottom w:val="none" w:sz="0" w:space="0" w:color="auto"/>
                <w:right w:val="none" w:sz="0" w:space="0" w:color="auto"/>
              </w:divBdr>
            </w:div>
            <w:div w:id="1662736336">
              <w:marLeft w:val="0"/>
              <w:marRight w:val="0"/>
              <w:marTop w:val="0"/>
              <w:marBottom w:val="0"/>
              <w:divBdr>
                <w:top w:val="none" w:sz="0" w:space="0" w:color="auto"/>
                <w:left w:val="none" w:sz="0" w:space="0" w:color="auto"/>
                <w:bottom w:val="none" w:sz="0" w:space="0" w:color="auto"/>
                <w:right w:val="none" w:sz="0" w:space="0" w:color="auto"/>
              </w:divBdr>
            </w:div>
            <w:div w:id="1745104681">
              <w:marLeft w:val="0"/>
              <w:marRight w:val="0"/>
              <w:marTop w:val="0"/>
              <w:marBottom w:val="0"/>
              <w:divBdr>
                <w:top w:val="none" w:sz="0" w:space="0" w:color="auto"/>
                <w:left w:val="none" w:sz="0" w:space="0" w:color="auto"/>
                <w:bottom w:val="none" w:sz="0" w:space="0" w:color="auto"/>
                <w:right w:val="none" w:sz="0" w:space="0" w:color="auto"/>
              </w:divBdr>
            </w:div>
            <w:div w:id="1828325644">
              <w:marLeft w:val="0"/>
              <w:marRight w:val="0"/>
              <w:marTop w:val="0"/>
              <w:marBottom w:val="0"/>
              <w:divBdr>
                <w:top w:val="none" w:sz="0" w:space="0" w:color="auto"/>
                <w:left w:val="none" w:sz="0" w:space="0" w:color="auto"/>
                <w:bottom w:val="none" w:sz="0" w:space="0" w:color="auto"/>
                <w:right w:val="none" w:sz="0" w:space="0" w:color="auto"/>
              </w:divBdr>
            </w:div>
            <w:div w:id="1839811226">
              <w:marLeft w:val="0"/>
              <w:marRight w:val="0"/>
              <w:marTop w:val="0"/>
              <w:marBottom w:val="0"/>
              <w:divBdr>
                <w:top w:val="none" w:sz="0" w:space="0" w:color="auto"/>
                <w:left w:val="none" w:sz="0" w:space="0" w:color="auto"/>
                <w:bottom w:val="none" w:sz="0" w:space="0" w:color="auto"/>
                <w:right w:val="none" w:sz="0" w:space="0" w:color="auto"/>
              </w:divBdr>
            </w:div>
            <w:div w:id="1920291689">
              <w:marLeft w:val="0"/>
              <w:marRight w:val="0"/>
              <w:marTop w:val="0"/>
              <w:marBottom w:val="0"/>
              <w:divBdr>
                <w:top w:val="none" w:sz="0" w:space="0" w:color="auto"/>
                <w:left w:val="none" w:sz="0" w:space="0" w:color="auto"/>
                <w:bottom w:val="none" w:sz="0" w:space="0" w:color="auto"/>
                <w:right w:val="none" w:sz="0" w:space="0" w:color="auto"/>
              </w:divBdr>
            </w:div>
          </w:divsChild>
        </w:div>
        <w:div w:id="2114015589">
          <w:marLeft w:val="0"/>
          <w:marRight w:val="0"/>
          <w:marTop w:val="0"/>
          <w:marBottom w:val="0"/>
          <w:divBdr>
            <w:top w:val="none" w:sz="0" w:space="0" w:color="auto"/>
            <w:left w:val="none" w:sz="0" w:space="0" w:color="auto"/>
            <w:bottom w:val="none" w:sz="0" w:space="0" w:color="auto"/>
            <w:right w:val="none" w:sz="0" w:space="0" w:color="auto"/>
          </w:divBdr>
          <w:divsChild>
            <w:div w:id="57290485">
              <w:marLeft w:val="0"/>
              <w:marRight w:val="0"/>
              <w:marTop w:val="0"/>
              <w:marBottom w:val="0"/>
              <w:divBdr>
                <w:top w:val="none" w:sz="0" w:space="0" w:color="auto"/>
                <w:left w:val="none" w:sz="0" w:space="0" w:color="auto"/>
                <w:bottom w:val="none" w:sz="0" w:space="0" w:color="auto"/>
                <w:right w:val="none" w:sz="0" w:space="0" w:color="auto"/>
              </w:divBdr>
            </w:div>
            <w:div w:id="145359349">
              <w:marLeft w:val="0"/>
              <w:marRight w:val="0"/>
              <w:marTop w:val="0"/>
              <w:marBottom w:val="0"/>
              <w:divBdr>
                <w:top w:val="none" w:sz="0" w:space="0" w:color="auto"/>
                <w:left w:val="none" w:sz="0" w:space="0" w:color="auto"/>
                <w:bottom w:val="none" w:sz="0" w:space="0" w:color="auto"/>
                <w:right w:val="none" w:sz="0" w:space="0" w:color="auto"/>
              </w:divBdr>
            </w:div>
            <w:div w:id="169179828">
              <w:marLeft w:val="0"/>
              <w:marRight w:val="0"/>
              <w:marTop w:val="0"/>
              <w:marBottom w:val="0"/>
              <w:divBdr>
                <w:top w:val="none" w:sz="0" w:space="0" w:color="auto"/>
                <w:left w:val="none" w:sz="0" w:space="0" w:color="auto"/>
                <w:bottom w:val="none" w:sz="0" w:space="0" w:color="auto"/>
                <w:right w:val="none" w:sz="0" w:space="0" w:color="auto"/>
              </w:divBdr>
            </w:div>
            <w:div w:id="225531696">
              <w:marLeft w:val="0"/>
              <w:marRight w:val="0"/>
              <w:marTop w:val="0"/>
              <w:marBottom w:val="0"/>
              <w:divBdr>
                <w:top w:val="none" w:sz="0" w:space="0" w:color="auto"/>
                <w:left w:val="none" w:sz="0" w:space="0" w:color="auto"/>
                <w:bottom w:val="none" w:sz="0" w:space="0" w:color="auto"/>
                <w:right w:val="none" w:sz="0" w:space="0" w:color="auto"/>
              </w:divBdr>
            </w:div>
            <w:div w:id="446896971">
              <w:marLeft w:val="0"/>
              <w:marRight w:val="0"/>
              <w:marTop w:val="0"/>
              <w:marBottom w:val="0"/>
              <w:divBdr>
                <w:top w:val="none" w:sz="0" w:space="0" w:color="auto"/>
                <w:left w:val="none" w:sz="0" w:space="0" w:color="auto"/>
                <w:bottom w:val="none" w:sz="0" w:space="0" w:color="auto"/>
                <w:right w:val="none" w:sz="0" w:space="0" w:color="auto"/>
              </w:divBdr>
            </w:div>
            <w:div w:id="530266667">
              <w:marLeft w:val="0"/>
              <w:marRight w:val="0"/>
              <w:marTop w:val="0"/>
              <w:marBottom w:val="0"/>
              <w:divBdr>
                <w:top w:val="none" w:sz="0" w:space="0" w:color="auto"/>
                <w:left w:val="none" w:sz="0" w:space="0" w:color="auto"/>
                <w:bottom w:val="none" w:sz="0" w:space="0" w:color="auto"/>
                <w:right w:val="none" w:sz="0" w:space="0" w:color="auto"/>
              </w:divBdr>
            </w:div>
            <w:div w:id="928462076">
              <w:marLeft w:val="0"/>
              <w:marRight w:val="0"/>
              <w:marTop w:val="0"/>
              <w:marBottom w:val="0"/>
              <w:divBdr>
                <w:top w:val="none" w:sz="0" w:space="0" w:color="auto"/>
                <w:left w:val="none" w:sz="0" w:space="0" w:color="auto"/>
                <w:bottom w:val="none" w:sz="0" w:space="0" w:color="auto"/>
                <w:right w:val="none" w:sz="0" w:space="0" w:color="auto"/>
              </w:divBdr>
            </w:div>
            <w:div w:id="932976857">
              <w:marLeft w:val="0"/>
              <w:marRight w:val="0"/>
              <w:marTop w:val="0"/>
              <w:marBottom w:val="0"/>
              <w:divBdr>
                <w:top w:val="none" w:sz="0" w:space="0" w:color="auto"/>
                <w:left w:val="none" w:sz="0" w:space="0" w:color="auto"/>
                <w:bottom w:val="none" w:sz="0" w:space="0" w:color="auto"/>
                <w:right w:val="none" w:sz="0" w:space="0" w:color="auto"/>
              </w:divBdr>
            </w:div>
            <w:div w:id="1008563954">
              <w:marLeft w:val="0"/>
              <w:marRight w:val="0"/>
              <w:marTop w:val="0"/>
              <w:marBottom w:val="0"/>
              <w:divBdr>
                <w:top w:val="none" w:sz="0" w:space="0" w:color="auto"/>
                <w:left w:val="none" w:sz="0" w:space="0" w:color="auto"/>
                <w:bottom w:val="none" w:sz="0" w:space="0" w:color="auto"/>
                <w:right w:val="none" w:sz="0" w:space="0" w:color="auto"/>
              </w:divBdr>
            </w:div>
            <w:div w:id="1050693388">
              <w:marLeft w:val="0"/>
              <w:marRight w:val="0"/>
              <w:marTop w:val="0"/>
              <w:marBottom w:val="0"/>
              <w:divBdr>
                <w:top w:val="none" w:sz="0" w:space="0" w:color="auto"/>
                <w:left w:val="none" w:sz="0" w:space="0" w:color="auto"/>
                <w:bottom w:val="none" w:sz="0" w:space="0" w:color="auto"/>
                <w:right w:val="none" w:sz="0" w:space="0" w:color="auto"/>
              </w:divBdr>
            </w:div>
            <w:div w:id="1097798019">
              <w:marLeft w:val="0"/>
              <w:marRight w:val="0"/>
              <w:marTop w:val="0"/>
              <w:marBottom w:val="0"/>
              <w:divBdr>
                <w:top w:val="none" w:sz="0" w:space="0" w:color="auto"/>
                <w:left w:val="none" w:sz="0" w:space="0" w:color="auto"/>
                <w:bottom w:val="none" w:sz="0" w:space="0" w:color="auto"/>
                <w:right w:val="none" w:sz="0" w:space="0" w:color="auto"/>
              </w:divBdr>
            </w:div>
            <w:div w:id="1098528774">
              <w:marLeft w:val="0"/>
              <w:marRight w:val="0"/>
              <w:marTop w:val="0"/>
              <w:marBottom w:val="0"/>
              <w:divBdr>
                <w:top w:val="none" w:sz="0" w:space="0" w:color="auto"/>
                <w:left w:val="none" w:sz="0" w:space="0" w:color="auto"/>
                <w:bottom w:val="none" w:sz="0" w:space="0" w:color="auto"/>
                <w:right w:val="none" w:sz="0" w:space="0" w:color="auto"/>
              </w:divBdr>
            </w:div>
            <w:div w:id="1142575818">
              <w:marLeft w:val="0"/>
              <w:marRight w:val="0"/>
              <w:marTop w:val="0"/>
              <w:marBottom w:val="0"/>
              <w:divBdr>
                <w:top w:val="none" w:sz="0" w:space="0" w:color="auto"/>
                <w:left w:val="none" w:sz="0" w:space="0" w:color="auto"/>
                <w:bottom w:val="none" w:sz="0" w:space="0" w:color="auto"/>
                <w:right w:val="none" w:sz="0" w:space="0" w:color="auto"/>
              </w:divBdr>
            </w:div>
            <w:div w:id="1199004490">
              <w:marLeft w:val="0"/>
              <w:marRight w:val="0"/>
              <w:marTop w:val="0"/>
              <w:marBottom w:val="0"/>
              <w:divBdr>
                <w:top w:val="none" w:sz="0" w:space="0" w:color="auto"/>
                <w:left w:val="none" w:sz="0" w:space="0" w:color="auto"/>
                <w:bottom w:val="none" w:sz="0" w:space="0" w:color="auto"/>
                <w:right w:val="none" w:sz="0" w:space="0" w:color="auto"/>
              </w:divBdr>
            </w:div>
            <w:div w:id="1361007445">
              <w:marLeft w:val="0"/>
              <w:marRight w:val="0"/>
              <w:marTop w:val="0"/>
              <w:marBottom w:val="0"/>
              <w:divBdr>
                <w:top w:val="none" w:sz="0" w:space="0" w:color="auto"/>
                <w:left w:val="none" w:sz="0" w:space="0" w:color="auto"/>
                <w:bottom w:val="none" w:sz="0" w:space="0" w:color="auto"/>
                <w:right w:val="none" w:sz="0" w:space="0" w:color="auto"/>
              </w:divBdr>
            </w:div>
            <w:div w:id="1523008576">
              <w:marLeft w:val="0"/>
              <w:marRight w:val="0"/>
              <w:marTop w:val="0"/>
              <w:marBottom w:val="0"/>
              <w:divBdr>
                <w:top w:val="none" w:sz="0" w:space="0" w:color="auto"/>
                <w:left w:val="none" w:sz="0" w:space="0" w:color="auto"/>
                <w:bottom w:val="none" w:sz="0" w:space="0" w:color="auto"/>
                <w:right w:val="none" w:sz="0" w:space="0" w:color="auto"/>
              </w:divBdr>
            </w:div>
            <w:div w:id="1527715916">
              <w:marLeft w:val="0"/>
              <w:marRight w:val="0"/>
              <w:marTop w:val="0"/>
              <w:marBottom w:val="0"/>
              <w:divBdr>
                <w:top w:val="none" w:sz="0" w:space="0" w:color="auto"/>
                <w:left w:val="none" w:sz="0" w:space="0" w:color="auto"/>
                <w:bottom w:val="none" w:sz="0" w:space="0" w:color="auto"/>
                <w:right w:val="none" w:sz="0" w:space="0" w:color="auto"/>
              </w:divBdr>
            </w:div>
            <w:div w:id="1695576758">
              <w:marLeft w:val="0"/>
              <w:marRight w:val="0"/>
              <w:marTop w:val="0"/>
              <w:marBottom w:val="0"/>
              <w:divBdr>
                <w:top w:val="none" w:sz="0" w:space="0" w:color="auto"/>
                <w:left w:val="none" w:sz="0" w:space="0" w:color="auto"/>
                <w:bottom w:val="none" w:sz="0" w:space="0" w:color="auto"/>
                <w:right w:val="none" w:sz="0" w:space="0" w:color="auto"/>
              </w:divBdr>
            </w:div>
            <w:div w:id="1914510341">
              <w:marLeft w:val="0"/>
              <w:marRight w:val="0"/>
              <w:marTop w:val="0"/>
              <w:marBottom w:val="0"/>
              <w:divBdr>
                <w:top w:val="none" w:sz="0" w:space="0" w:color="auto"/>
                <w:left w:val="none" w:sz="0" w:space="0" w:color="auto"/>
                <w:bottom w:val="none" w:sz="0" w:space="0" w:color="auto"/>
                <w:right w:val="none" w:sz="0" w:space="0" w:color="auto"/>
              </w:divBdr>
            </w:div>
            <w:div w:id="2020615065">
              <w:marLeft w:val="0"/>
              <w:marRight w:val="0"/>
              <w:marTop w:val="0"/>
              <w:marBottom w:val="0"/>
              <w:divBdr>
                <w:top w:val="none" w:sz="0" w:space="0" w:color="auto"/>
                <w:left w:val="none" w:sz="0" w:space="0" w:color="auto"/>
                <w:bottom w:val="none" w:sz="0" w:space="0" w:color="auto"/>
                <w:right w:val="none" w:sz="0" w:space="0" w:color="auto"/>
              </w:divBdr>
            </w:div>
            <w:div w:id="20950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7199">
      <w:bodyDiv w:val="1"/>
      <w:marLeft w:val="0"/>
      <w:marRight w:val="0"/>
      <w:marTop w:val="0"/>
      <w:marBottom w:val="0"/>
      <w:divBdr>
        <w:top w:val="none" w:sz="0" w:space="0" w:color="auto"/>
        <w:left w:val="none" w:sz="0" w:space="0" w:color="auto"/>
        <w:bottom w:val="none" w:sz="0" w:space="0" w:color="auto"/>
        <w:right w:val="none" w:sz="0" w:space="0" w:color="auto"/>
      </w:divBdr>
    </w:div>
    <w:div w:id="60712909">
      <w:bodyDiv w:val="1"/>
      <w:marLeft w:val="0"/>
      <w:marRight w:val="0"/>
      <w:marTop w:val="0"/>
      <w:marBottom w:val="0"/>
      <w:divBdr>
        <w:top w:val="none" w:sz="0" w:space="0" w:color="auto"/>
        <w:left w:val="none" w:sz="0" w:space="0" w:color="auto"/>
        <w:bottom w:val="none" w:sz="0" w:space="0" w:color="auto"/>
        <w:right w:val="none" w:sz="0" w:space="0" w:color="auto"/>
      </w:divBdr>
    </w:div>
    <w:div w:id="141503388">
      <w:bodyDiv w:val="1"/>
      <w:marLeft w:val="0"/>
      <w:marRight w:val="0"/>
      <w:marTop w:val="0"/>
      <w:marBottom w:val="0"/>
      <w:divBdr>
        <w:top w:val="none" w:sz="0" w:space="0" w:color="auto"/>
        <w:left w:val="none" w:sz="0" w:space="0" w:color="auto"/>
        <w:bottom w:val="none" w:sz="0" w:space="0" w:color="auto"/>
        <w:right w:val="none" w:sz="0" w:space="0" w:color="auto"/>
      </w:divBdr>
    </w:div>
    <w:div w:id="182983974">
      <w:bodyDiv w:val="1"/>
      <w:marLeft w:val="0"/>
      <w:marRight w:val="0"/>
      <w:marTop w:val="0"/>
      <w:marBottom w:val="0"/>
      <w:divBdr>
        <w:top w:val="none" w:sz="0" w:space="0" w:color="auto"/>
        <w:left w:val="none" w:sz="0" w:space="0" w:color="auto"/>
        <w:bottom w:val="none" w:sz="0" w:space="0" w:color="auto"/>
        <w:right w:val="none" w:sz="0" w:space="0" w:color="auto"/>
      </w:divBdr>
    </w:div>
    <w:div w:id="201358824">
      <w:bodyDiv w:val="1"/>
      <w:marLeft w:val="0"/>
      <w:marRight w:val="0"/>
      <w:marTop w:val="0"/>
      <w:marBottom w:val="0"/>
      <w:divBdr>
        <w:top w:val="none" w:sz="0" w:space="0" w:color="auto"/>
        <w:left w:val="none" w:sz="0" w:space="0" w:color="auto"/>
        <w:bottom w:val="none" w:sz="0" w:space="0" w:color="auto"/>
        <w:right w:val="none" w:sz="0" w:space="0" w:color="auto"/>
      </w:divBdr>
      <w:divsChild>
        <w:div w:id="39134484">
          <w:marLeft w:val="0"/>
          <w:marRight w:val="0"/>
          <w:marTop w:val="0"/>
          <w:marBottom w:val="0"/>
          <w:divBdr>
            <w:top w:val="none" w:sz="0" w:space="0" w:color="auto"/>
            <w:left w:val="none" w:sz="0" w:space="0" w:color="auto"/>
            <w:bottom w:val="none" w:sz="0" w:space="0" w:color="auto"/>
            <w:right w:val="none" w:sz="0" w:space="0" w:color="auto"/>
          </w:divBdr>
          <w:divsChild>
            <w:div w:id="122698097">
              <w:marLeft w:val="0"/>
              <w:marRight w:val="0"/>
              <w:marTop w:val="0"/>
              <w:marBottom w:val="0"/>
              <w:divBdr>
                <w:top w:val="none" w:sz="0" w:space="0" w:color="auto"/>
                <w:left w:val="none" w:sz="0" w:space="0" w:color="auto"/>
                <w:bottom w:val="none" w:sz="0" w:space="0" w:color="auto"/>
                <w:right w:val="none" w:sz="0" w:space="0" w:color="auto"/>
              </w:divBdr>
            </w:div>
            <w:div w:id="404114093">
              <w:marLeft w:val="0"/>
              <w:marRight w:val="0"/>
              <w:marTop w:val="0"/>
              <w:marBottom w:val="0"/>
              <w:divBdr>
                <w:top w:val="none" w:sz="0" w:space="0" w:color="auto"/>
                <w:left w:val="none" w:sz="0" w:space="0" w:color="auto"/>
                <w:bottom w:val="none" w:sz="0" w:space="0" w:color="auto"/>
                <w:right w:val="none" w:sz="0" w:space="0" w:color="auto"/>
              </w:divBdr>
            </w:div>
            <w:div w:id="549731029">
              <w:marLeft w:val="0"/>
              <w:marRight w:val="0"/>
              <w:marTop w:val="0"/>
              <w:marBottom w:val="0"/>
              <w:divBdr>
                <w:top w:val="none" w:sz="0" w:space="0" w:color="auto"/>
                <w:left w:val="none" w:sz="0" w:space="0" w:color="auto"/>
                <w:bottom w:val="none" w:sz="0" w:space="0" w:color="auto"/>
                <w:right w:val="none" w:sz="0" w:space="0" w:color="auto"/>
              </w:divBdr>
            </w:div>
            <w:div w:id="561216613">
              <w:marLeft w:val="0"/>
              <w:marRight w:val="0"/>
              <w:marTop w:val="0"/>
              <w:marBottom w:val="0"/>
              <w:divBdr>
                <w:top w:val="none" w:sz="0" w:space="0" w:color="auto"/>
                <w:left w:val="none" w:sz="0" w:space="0" w:color="auto"/>
                <w:bottom w:val="none" w:sz="0" w:space="0" w:color="auto"/>
                <w:right w:val="none" w:sz="0" w:space="0" w:color="auto"/>
              </w:divBdr>
            </w:div>
            <w:div w:id="622543162">
              <w:marLeft w:val="0"/>
              <w:marRight w:val="0"/>
              <w:marTop w:val="0"/>
              <w:marBottom w:val="0"/>
              <w:divBdr>
                <w:top w:val="none" w:sz="0" w:space="0" w:color="auto"/>
                <w:left w:val="none" w:sz="0" w:space="0" w:color="auto"/>
                <w:bottom w:val="none" w:sz="0" w:space="0" w:color="auto"/>
                <w:right w:val="none" w:sz="0" w:space="0" w:color="auto"/>
              </w:divBdr>
            </w:div>
            <w:div w:id="765728105">
              <w:marLeft w:val="0"/>
              <w:marRight w:val="0"/>
              <w:marTop w:val="0"/>
              <w:marBottom w:val="0"/>
              <w:divBdr>
                <w:top w:val="none" w:sz="0" w:space="0" w:color="auto"/>
                <w:left w:val="none" w:sz="0" w:space="0" w:color="auto"/>
                <w:bottom w:val="none" w:sz="0" w:space="0" w:color="auto"/>
                <w:right w:val="none" w:sz="0" w:space="0" w:color="auto"/>
              </w:divBdr>
            </w:div>
            <w:div w:id="1062945604">
              <w:marLeft w:val="0"/>
              <w:marRight w:val="0"/>
              <w:marTop w:val="0"/>
              <w:marBottom w:val="0"/>
              <w:divBdr>
                <w:top w:val="none" w:sz="0" w:space="0" w:color="auto"/>
                <w:left w:val="none" w:sz="0" w:space="0" w:color="auto"/>
                <w:bottom w:val="none" w:sz="0" w:space="0" w:color="auto"/>
                <w:right w:val="none" w:sz="0" w:space="0" w:color="auto"/>
              </w:divBdr>
            </w:div>
            <w:div w:id="1464880994">
              <w:marLeft w:val="0"/>
              <w:marRight w:val="0"/>
              <w:marTop w:val="0"/>
              <w:marBottom w:val="0"/>
              <w:divBdr>
                <w:top w:val="none" w:sz="0" w:space="0" w:color="auto"/>
                <w:left w:val="none" w:sz="0" w:space="0" w:color="auto"/>
                <w:bottom w:val="none" w:sz="0" w:space="0" w:color="auto"/>
                <w:right w:val="none" w:sz="0" w:space="0" w:color="auto"/>
              </w:divBdr>
            </w:div>
            <w:div w:id="1499924630">
              <w:marLeft w:val="0"/>
              <w:marRight w:val="0"/>
              <w:marTop w:val="0"/>
              <w:marBottom w:val="0"/>
              <w:divBdr>
                <w:top w:val="none" w:sz="0" w:space="0" w:color="auto"/>
                <w:left w:val="none" w:sz="0" w:space="0" w:color="auto"/>
                <w:bottom w:val="none" w:sz="0" w:space="0" w:color="auto"/>
                <w:right w:val="none" w:sz="0" w:space="0" w:color="auto"/>
              </w:divBdr>
            </w:div>
            <w:div w:id="1737781051">
              <w:marLeft w:val="0"/>
              <w:marRight w:val="0"/>
              <w:marTop w:val="0"/>
              <w:marBottom w:val="0"/>
              <w:divBdr>
                <w:top w:val="none" w:sz="0" w:space="0" w:color="auto"/>
                <w:left w:val="none" w:sz="0" w:space="0" w:color="auto"/>
                <w:bottom w:val="none" w:sz="0" w:space="0" w:color="auto"/>
                <w:right w:val="none" w:sz="0" w:space="0" w:color="auto"/>
              </w:divBdr>
            </w:div>
          </w:divsChild>
        </w:div>
        <w:div w:id="76486062">
          <w:marLeft w:val="0"/>
          <w:marRight w:val="0"/>
          <w:marTop w:val="0"/>
          <w:marBottom w:val="0"/>
          <w:divBdr>
            <w:top w:val="none" w:sz="0" w:space="0" w:color="auto"/>
            <w:left w:val="none" w:sz="0" w:space="0" w:color="auto"/>
            <w:bottom w:val="none" w:sz="0" w:space="0" w:color="auto"/>
            <w:right w:val="none" w:sz="0" w:space="0" w:color="auto"/>
          </w:divBdr>
          <w:divsChild>
            <w:div w:id="149179755">
              <w:marLeft w:val="0"/>
              <w:marRight w:val="0"/>
              <w:marTop w:val="0"/>
              <w:marBottom w:val="0"/>
              <w:divBdr>
                <w:top w:val="none" w:sz="0" w:space="0" w:color="auto"/>
                <w:left w:val="none" w:sz="0" w:space="0" w:color="auto"/>
                <w:bottom w:val="none" w:sz="0" w:space="0" w:color="auto"/>
                <w:right w:val="none" w:sz="0" w:space="0" w:color="auto"/>
              </w:divBdr>
            </w:div>
            <w:div w:id="241069402">
              <w:marLeft w:val="0"/>
              <w:marRight w:val="0"/>
              <w:marTop w:val="0"/>
              <w:marBottom w:val="0"/>
              <w:divBdr>
                <w:top w:val="none" w:sz="0" w:space="0" w:color="auto"/>
                <w:left w:val="none" w:sz="0" w:space="0" w:color="auto"/>
                <w:bottom w:val="none" w:sz="0" w:space="0" w:color="auto"/>
                <w:right w:val="none" w:sz="0" w:space="0" w:color="auto"/>
              </w:divBdr>
            </w:div>
            <w:div w:id="262761817">
              <w:marLeft w:val="0"/>
              <w:marRight w:val="0"/>
              <w:marTop w:val="0"/>
              <w:marBottom w:val="0"/>
              <w:divBdr>
                <w:top w:val="none" w:sz="0" w:space="0" w:color="auto"/>
                <w:left w:val="none" w:sz="0" w:space="0" w:color="auto"/>
                <w:bottom w:val="none" w:sz="0" w:space="0" w:color="auto"/>
                <w:right w:val="none" w:sz="0" w:space="0" w:color="auto"/>
              </w:divBdr>
            </w:div>
            <w:div w:id="275061725">
              <w:marLeft w:val="0"/>
              <w:marRight w:val="0"/>
              <w:marTop w:val="0"/>
              <w:marBottom w:val="0"/>
              <w:divBdr>
                <w:top w:val="none" w:sz="0" w:space="0" w:color="auto"/>
                <w:left w:val="none" w:sz="0" w:space="0" w:color="auto"/>
                <w:bottom w:val="none" w:sz="0" w:space="0" w:color="auto"/>
                <w:right w:val="none" w:sz="0" w:space="0" w:color="auto"/>
              </w:divBdr>
            </w:div>
            <w:div w:id="603079377">
              <w:marLeft w:val="0"/>
              <w:marRight w:val="0"/>
              <w:marTop w:val="0"/>
              <w:marBottom w:val="0"/>
              <w:divBdr>
                <w:top w:val="none" w:sz="0" w:space="0" w:color="auto"/>
                <w:left w:val="none" w:sz="0" w:space="0" w:color="auto"/>
                <w:bottom w:val="none" w:sz="0" w:space="0" w:color="auto"/>
                <w:right w:val="none" w:sz="0" w:space="0" w:color="auto"/>
              </w:divBdr>
            </w:div>
            <w:div w:id="618874278">
              <w:marLeft w:val="0"/>
              <w:marRight w:val="0"/>
              <w:marTop w:val="0"/>
              <w:marBottom w:val="0"/>
              <w:divBdr>
                <w:top w:val="none" w:sz="0" w:space="0" w:color="auto"/>
                <w:left w:val="none" w:sz="0" w:space="0" w:color="auto"/>
                <w:bottom w:val="none" w:sz="0" w:space="0" w:color="auto"/>
                <w:right w:val="none" w:sz="0" w:space="0" w:color="auto"/>
              </w:divBdr>
            </w:div>
            <w:div w:id="742029212">
              <w:marLeft w:val="0"/>
              <w:marRight w:val="0"/>
              <w:marTop w:val="0"/>
              <w:marBottom w:val="0"/>
              <w:divBdr>
                <w:top w:val="none" w:sz="0" w:space="0" w:color="auto"/>
                <w:left w:val="none" w:sz="0" w:space="0" w:color="auto"/>
                <w:bottom w:val="none" w:sz="0" w:space="0" w:color="auto"/>
                <w:right w:val="none" w:sz="0" w:space="0" w:color="auto"/>
              </w:divBdr>
            </w:div>
            <w:div w:id="913587391">
              <w:marLeft w:val="0"/>
              <w:marRight w:val="0"/>
              <w:marTop w:val="0"/>
              <w:marBottom w:val="0"/>
              <w:divBdr>
                <w:top w:val="none" w:sz="0" w:space="0" w:color="auto"/>
                <w:left w:val="none" w:sz="0" w:space="0" w:color="auto"/>
                <w:bottom w:val="none" w:sz="0" w:space="0" w:color="auto"/>
                <w:right w:val="none" w:sz="0" w:space="0" w:color="auto"/>
              </w:divBdr>
            </w:div>
            <w:div w:id="959997837">
              <w:marLeft w:val="0"/>
              <w:marRight w:val="0"/>
              <w:marTop w:val="0"/>
              <w:marBottom w:val="0"/>
              <w:divBdr>
                <w:top w:val="none" w:sz="0" w:space="0" w:color="auto"/>
                <w:left w:val="none" w:sz="0" w:space="0" w:color="auto"/>
                <w:bottom w:val="none" w:sz="0" w:space="0" w:color="auto"/>
                <w:right w:val="none" w:sz="0" w:space="0" w:color="auto"/>
              </w:divBdr>
            </w:div>
            <w:div w:id="974263455">
              <w:marLeft w:val="0"/>
              <w:marRight w:val="0"/>
              <w:marTop w:val="0"/>
              <w:marBottom w:val="0"/>
              <w:divBdr>
                <w:top w:val="none" w:sz="0" w:space="0" w:color="auto"/>
                <w:left w:val="none" w:sz="0" w:space="0" w:color="auto"/>
                <w:bottom w:val="none" w:sz="0" w:space="0" w:color="auto"/>
                <w:right w:val="none" w:sz="0" w:space="0" w:color="auto"/>
              </w:divBdr>
            </w:div>
            <w:div w:id="1162116244">
              <w:marLeft w:val="0"/>
              <w:marRight w:val="0"/>
              <w:marTop w:val="0"/>
              <w:marBottom w:val="0"/>
              <w:divBdr>
                <w:top w:val="none" w:sz="0" w:space="0" w:color="auto"/>
                <w:left w:val="none" w:sz="0" w:space="0" w:color="auto"/>
                <w:bottom w:val="none" w:sz="0" w:space="0" w:color="auto"/>
                <w:right w:val="none" w:sz="0" w:space="0" w:color="auto"/>
              </w:divBdr>
            </w:div>
            <w:div w:id="1169902045">
              <w:marLeft w:val="0"/>
              <w:marRight w:val="0"/>
              <w:marTop w:val="0"/>
              <w:marBottom w:val="0"/>
              <w:divBdr>
                <w:top w:val="none" w:sz="0" w:space="0" w:color="auto"/>
                <w:left w:val="none" w:sz="0" w:space="0" w:color="auto"/>
                <w:bottom w:val="none" w:sz="0" w:space="0" w:color="auto"/>
                <w:right w:val="none" w:sz="0" w:space="0" w:color="auto"/>
              </w:divBdr>
            </w:div>
            <w:div w:id="1198472258">
              <w:marLeft w:val="0"/>
              <w:marRight w:val="0"/>
              <w:marTop w:val="0"/>
              <w:marBottom w:val="0"/>
              <w:divBdr>
                <w:top w:val="none" w:sz="0" w:space="0" w:color="auto"/>
                <w:left w:val="none" w:sz="0" w:space="0" w:color="auto"/>
                <w:bottom w:val="none" w:sz="0" w:space="0" w:color="auto"/>
                <w:right w:val="none" w:sz="0" w:space="0" w:color="auto"/>
              </w:divBdr>
            </w:div>
            <w:div w:id="1213494275">
              <w:marLeft w:val="0"/>
              <w:marRight w:val="0"/>
              <w:marTop w:val="0"/>
              <w:marBottom w:val="0"/>
              <w:divBdr>
                <w:top w:val="none" w:sz="0" w:space="0" w:color="auto"/>
                <w:left w:val="none" w:sz="0" w:space="0" w:color="auto"/>
                <w:bottom w:val="none" w:sz="0" w:space="0" w:color="auto"/>
                <w:right w:val="none" w:sz="0" w:space="0" w:color="auto"/>
              </w:divBdr>
            </w:div>
            <w:div w:id="1218276495">
              <w:marLeft w:val="0"/>
              <w:marRight w:val="0"/>
              <w:marTop w:val="0"/>
              <w:marBottom w:val="0"/>
              <w:divBdr>
                <w:top w:val="none" w:sz="0" w:space="0" w:color="auto"/>
                <w:left w:val="none" w:sz="0" w:space="0" w:color="auto"/>
                <w:bottom w:val="none" w:sz="0" w:space="0" w:color="auto"/>
                <w:right w:val="none" w:sz="0" w:space="0" w:color="auto"/>
              </w:divBdr>
            </w:div>
            <w:div w:id="1621380558">
              <w:marLeft w:val="0"/>
              <w:marRight w:val="0"/>
              <w:marTop w:val="0"/>
              <w:marBottom w:val="0"/>
              <w:divBdr>
                <w:top w:val="none" w:sz="0" w:space="0" w:color="auto"/>
                <w:left w:val="none" w:sz="0" w:space="0" w:color="auto"/>
                <w:bottom w:val="none" w:sz="0" w:space="0" w:color="auto"/>
                <w:right w:val="none" w:sz="0" w:space="0" w:color="auto"/>
              </w:divBdr>
            </w:div>
            <w:div w:id="1695498418">
              <w:marLeft w:val="0"/>
              <w:marRight w:val="0"/>
              <w:marTop w:val="0"/>
              <w:marBottom w:val="0"/>
              <w:divBdr>
                <w:top w:val="none" w:sz="0" w:space="0" w:color="auto"/>
                <w:left w:val="none" w:sz="0" w:space="0" w:color="auto"/>
                <w:bottom w:val="none" w:sz="0" w:space="0" w:color="auto"/>
                <w:right w:val="none" w:sz="0" w:space="0" w:color="auto"/>
              </w:divBdr>
            </w:div>
            <w:div w:id="1706060247">
              <w:marLeft w:val="0"/>
              <w:marRight w:val="0"/>
              <w:marTop w:val="0"/>
              <w:marBottom w:val="0"/>
              <w:divBdr>
                <w:top w:val="none" w:sz="0" w:space="0" w:color="auto"/>
                <w:left w:val="none" w:sz="0" w:space="0" w:color="auto"/>
                <w:bottom w:val="none" w:sz="0" w:space="0" w:color="auto"/>
                <w:right w:val="none" w:sz="0" w:space="0" w:color="auto"/>
              </w:divBdr>
            </w:div>
            <w:div w:id="1958028906">
              <w:marLeft w:val="0"/>
              <w:marRight w:val="0"/>
              <w:marTop w:val="0"/>
              <w:marBottom w:val="0"/>
              <w:divBdr>
                <w:top w:val="none" w:sz="0" w:space="0" w:color="auto"/>
                <w:left w:val="none" w:sz="0" w:space="0" w:color="auto"/>
                <w:bottom w:val="none" w:sz="0" w:space="0" w:color="auto"/>
                <w:right w:val="none" w:sz="0" w:space="0" w:color="auto"/>
              </w:divBdr>
            </w:div>
            <w:div w:id="2000573264">
              <w:marLeft w:val="0"/>
              <w:marRight w:val="0"/>
              <w:marTop w:val="0"/>
              <w:marBottom w:val="0"/>
              <w:divBdr>
                <w:top w:val="none" w:sz="0" w:space="0" w:color="auto"/>
                <w:left w:val="none" w:sz="0" w:space="0" w:color="auto"/>
                <w:bottom w:val="none" w:sz="0" w:space="0" w:color="auto"/>
                <w:right w:val="none" w:sz="0" w:space="0" w:color="auto"/>
              </w:divBdr>
            </w:div>
            <w:div w:id="2067098091">
              <w:marLeft w:val="0"/>
              <w:marRight w:val="0"/>
              <w:marTop w:val="0"/>
              <w:marBottom w:val="0"/>
              <w:divBdr>
                <w:top w:val="none" w:sz="0" w:space="0" w:color="auto"/>
                <w:left w:val="none" w:sz="0" w:space="0" w:color="auto"/>
                <w:bottom w:val="none" w:sz="0" w:space="0" w:color="auto"/>
                <w:right w:val="none" w:sz="0" w:space="0" w:color="auto"/>
              </w:divBdr>
            </w:div>
          </w:divsChild>
        </w:div>
        <w:div w:id="283661782">
          <w:marLeft w:val="0"/>
          <w:marRight w:val="0"/>
          <w:marTop w:val="0"/>
          <w:marBottom w:val="0"/>
          <w:divBdr>
            <w:top w:val="none" w:sz="0" w:space="0" w:color="auto"/>
            <w:left w:val="none" w:sz="0" w:space="0" w:color="auto"/>
            <w:bottom w:val="none" w:sz="0" w:space="0" w:color="auto"/>
            <w:right w:val="none" w:sz="0" w:space="0" w:color="auto"/>
          </w:divBdr>
          <w:divsChild>
            <w:div w:id="71896701">
              <w:marLeft w:val="0"/>
              <w:marRight w:val="0"/>
              <w:marTop w:val="0"/>
              <w:marBottom w:val="0"/>
              <w:divBdr>
                <w:top w:val="none" w:sz="0" w:space="0" w:color="auto"/>
                <w:left w:val="none" w:sz="0" w:space="0" w:color="auto"/>
                <w:bottom w:val="none" w:sz="0" w:space="0" w:color="auto"/>
                <w:right w:val="none" w:sz="0" w:space="0" w:color="auto"/>
              </w:divBdr>
            </w:div>
            <w:div w:id="118496002">
              <w:marLeft w:val="0"/>
              <w:marRight w:val="0"/>
              <w:marTop w:val="0"/>
              <w:marBottom w:val="0"/>
              <w:divBdr>
                <w:top w:val="none" w:sz="0" w:space="0" w:color="auto"/>
                <w:left w:val="none" w:sz="0" w:space="0" w:color="auto"/>
                <w:bottom w:val="none" w:sz="0" w:space="0" w:color="auto"/>
                <w:right w:val="none" w:sz="0" w:space="0" w:color="auto"/>
              </w:divBdr>
            </w:div>
            <w:div w:id="199631188">
              <w:marLeft w:val="0"/>
              <w:marRight w:val="0"/>
              <w:marTop w:val="0"/>
              <w:marBottom w:val="0"/>
              <w:divBdr>
                <w:top w:val="none" w:sz="0" w:space="0" w:color="auto"/>
                <w:left w:val="none" w:sz="0" w:space="0" w:color="auto"/>
                <w:bottom w:val="none" w:sz="0" w:space="0" w:color="auto"/>
                <w:right w:val="none" w:sz="0" w:space="0" w:color="auto"/>
              </w:divBdr>
            </w:div>
            <w:div w:id="343628730">
              <w:marLeft w:val="0"/>
              <w:marRight w:val="0"/>
              <w:marTop w:val="0"/>
              <w:marBottom w:val="0"/>
              <w:divBdr>
                <w:top w:val="none" w:sz="0" w:space="0" w:color="auto"/>
                <w:left w:val="none" w:sz="0" w:space="0" w:color="auto"/>
                <w:bottom w:val="none" w:sz="0" w:space="0" w:color="auto"/>
                <w:right w:val="none" w:sz="0" w:space="0" w:color="auto"/>
              </w:divBdr>
            </w:div>
            <w:div w:id="406616664">
              <w:marLeft w:val="0"/>
              <w:marRight w:val="0"/>
              <w:marTop w:val="0"/>
              <w:marBottom w:val="0"/>
              <w:divBdr>
                <w:top w:val="none" w:sz="0" w:space="0" w:color="auto"/>
                <w:left w:val="none" w:sz="0" w:space="0" w:color="auto"/>
                <w:bottom w:val="none" w:sz="0" w:space="0" w:color="auto"/>
                <w:right w:val="none" w:sz="0" w:space="0" w:color="auto"/>
              </w:divBdr>
            </w:div>
            <w:div w:id="474951835">
              <w:marLeft w:val="0"/>
              <w:marRight w:val="0"/>
              <w:marTop w:val="0"/>
              <w:marBottom w:val="0"/>
              <w:divBdr>
                <w:top w:val="none" w:sz="0" w:space="0" w:color="auto"/>
                <w:left w:val="none" w:sz="0" w:space="0" w:color="auto"/>
                <w:bottom w:val="none" w:sz="0" w:space="0" w:color="auto"/>
                <w:right w:val="none" w:sz="0" w:space="0" w:color="auto"/>
              </w:divBdr>
            </w:div>
            <w:div w:id="486284284">
              <w:marLeft w:val="0"/>
              <w:marRight w:val="0"/>
              <w:marTop w:val="0"/>
              <w:marBottom w:val="0"/>
              <w:divBdr>
                <w:top w:val="none" w:sz="0" w:space="0" w:color="auto"/>
                <w:left w:val="none" w:sz="0" w:space="0" w:color="auto"/>
                <w:bottom w:val="none" w:sz="0" w:space="0" w:color="auto"/>
                <w:right w:val="none" w:sz="0" w:space="0" w:color="auto"/>
              </w:divBdr>
            </w:div>
            <w:div w:id="550769555">
              <w:marLeft w:val="0"/>
              <w:marRight w:val="0"/>
              <w:marTop w:val="0"/>
              <w:marBottom w:val="0"/>
              <w:divBdr>
                <w:top w:val="none" w:sz="0" w:space="0" w:color="auto"/>
                <w:left w:val="none" w:sz="0" w:space="0" w:color="auto"/>
                <w:bottom w:val="none" w:sz="0" w:space="0" w:color="auto"/>
                <w:right w:val="none" w:sz="0" w:space="0" w:color="auto"/>
              </w:divBdr>
            </w:div>
            <w:div w:id="569312403">
              <w:marLeft w:val="0"/>
              <w:marRight w:val="0"/>
              <w:marTop w:val="0"/>
              <w:marBottom w:val="0"/>
              <w:divBdr>
                <w:top w:val="none" w:sz="0" w:space="0" w:color="auto"/>
                <w:left w:val="none" w:sz="0" w:space="0" w:color="auto"/>
                <w:bottom w:val="none" w:sz="0" w:space="0" w:color="auto"/>
                <w:right w:val="none" w:sz="0" w:space="0" w:color="auto"/>
              </w:divBdr>
            </w:div>
            <w:div w:id="675767061">
              <w:marLeft w:val="0"/>
              <w:marRight w:val="0"/>
              <w:marTop w:val="0"/>
              <w:marBottom w:val="0"/>
              <w:divBdr>
                <w:top w:val="none" w:sz="0" w:space="0" w:color="auto"/>
                <w:left w:val="none" w:sz="0" w:space="0" w:color="auto"/>
                <w:bottom w:val="none" w:sz="0" w:space="0" w:color="auto"/>
                <w:right w:val="none" w:sz="0" w:space="0" w:color="auto"/>
              </w:divBdr>
            </w:div>
            <w:div w:id="690840559">
              <w:marLeft w:val="0"/>
              <w:marRight w:val="0"/>
              <w:marTop w:val="0"/>
              <w:marBottom w:val="0"/>
              <w:divBdr>
                <w:top w:val="none" w:sz="0" w:space="0" w:color="auto"/>
                <w:left w:val="none" w:sz="0" w:space="0" w:color="auto"/>
                <w:bottom w:val="none" w:sz="0" w:space="0" w:color="auto"/>
                <w:right w:val="none" w:sz="0" w:space="0" w:color="auto"/>
              </w:divBdr>
            </w:div>
            <w:div w:id="1087770015">
              <w:marLeft w:val="0"/>
              <w:marRight w:val="0"/>
              <w:marTop w:val="0"/>
              <w:marBottom w:val="0"/>
              <w:divBdr>
                <w:top w:val="none" w:sz="0" w:space="0" w:color="auto"/>
                <w:left w:val="none" w:sz="0" w:space="0" w:color="auto"/>
                <w:bottom w:val="none" w:sz="0" w:space="0" w:color="auto"/>
                <w:right w:val="none" w:sz="0" w:space="0" w:color="auto"/>
              </w:divBdr>
            </w:div>
            <w:div w:id="1368868474">
              <w:marLeft w:val="0"/>
              <w:marRight w:val="0"/>
              <w:marTop w:val="0"/>
              <w:marBottom w:val="0"/>
              <w:divBdr>
                <w:top w:val="none" w:sz="0" w:space="0" w:color="auto"/>
                <w:left w:val="none" w:sz="0" w:space="0" w:color="auto"/>
                <w:bottom w:val="none" w:sz="0" w:space="0" w:color="auto"/>
                <w:right w:val="none" w:sz="0" w:space="0" w:color="auto"/>
              </w:divBdr>
            </w:div>
            <w:div w:id="1376469857">
              <w:marLeft w:val="0"/>
              <w:marRight w:val="0"/>
              <w:marTop w:val="0"/>
              <w:marBottom w:val="0"/>
              <w:divBdr>
                <w:top w:val="none" w:sz="0" w:space="0" w:color="auto"/>
                <w:left w:val="none" w:sz="0" w:space="0" w:color="auto"/>
                <w:bottom w:val="none" w:sz="0" w:space="0" w:color="auto"/>
                <w:right w:val="none" w:sz="0" w:space="0" w:color="auto"/>
              </w:divBdr>
            </w:div>
            <w:div w:id="1540317804">
              <w:marLeft w:val="0"/>
              <w:marRight w:val="0"/>
              <w:marTop w:val="0"/>
              <w:marBottom w:val="0"/>
              <w:divBdr>
                <w:top w:val="none" w:sz="0" w:space="0" w:color="auto"/>
                <w:left w:val="none" w:sz="0" w:space="0" w:color="auto"/>
                <w:bottom w:val="none" w:sz="0" w:space="0" w:color="auto"/>
                <w:right w:val="none" w:sz="0" w:space="0" w:color="auto"/>
              </w:divBdr>
            </w:div>
            <w:div w:id="1601523998">
              <w:marLeft w:val="0"/>
              <w:marRight w:val="0"/>
              <w:marTop w:val="0"/>
              <w:marBottom w:val="0"/>
              <w:divBdr>
                <w:top w:val="none" w:sz="0" w:space="0" w:color="auto"/>
                <w:left w:val="none" w:sz="0" w:space="0" w:color="auto"/>
                <w:bottom w:val="none" w:sz="0" w:space="0" w:color="auto"/>
                <w:right w:val="none" w:sz="0" w:space="0" w:color="auto"/>
              </w:divBdr>
            </w:div>
            <w:div w:id="1856115032">
              <w:marLeft w:val="0"/>
              <w:marRight w:val="0"/>
              <w:marTop w:val="0"/>
              <w:marBottom w:val="0"/>
              <w:divBdr>
                <w:top w:val="none" w:sz="0" w:space="0" w:color="auto"/>
                <w:left w:val="none" w:sz="0" w:space="0" w:color="auto"/>
                <w:bottom w:val="none" w:sz="0" w:space="0" w:color="auto"/>
                <w:right w:val="none" w:sz="0" w:space="0" w:color="auto"/>
              </w:divBdr>
            </w:div>
            <w:div w:id="1883858197">
              <w:marLeft w:val="0"/>
              <w:marRight w:val="0"/>
              <w:marTop w:val="0"/>
              <w:marBottom w:val="0"/>
              <w:divBdr>
                <w:top w:val="none" w:sz="0" w:space="0" w:color="auto"/>
                <w:left w:val="none" w:sz="0" w:space="0" w:color="auto"/>
                <w:bottom w:val="none" w:sz="0" w:space="0" w:color="auto"/>
                <w:right w:val="none" w:sz="0" w:space="0" w:color="auto"/>
              </w:divBdr>
            </w:div>
            <w:div w:id="1884057271">
              <w:marLeft w:val="0"/>
              <w:marRight w:val="0"/>
              <w:marTop w:val="0"/>
              <w:marBottom w:val="0"/>
              <w:divBdr>
                <w:top w:val="none" w:sz="0" w:space="0" w:color="auto"/>
                <w:left w:val="none" w:sz="0" w:space="0" w:color="auto"/>
                <w:bottom w:val="none" w:sz="0" w:space="0" w:color="auto"/>
                <w:right w:val="none" w:sz="0" w:space="0" w:color="auto"/>
              </w:divBdr>
            </w:div>
            <w:div w:id="1921333028">
              <w:marLeft w:val="0"/>
              <w:marRight w:val="0"/>
              <w:marTop w:val="0"/>
              <w:marBottom w:val="0"/>
              <w:divBdr>
                <w:top w:val="none" w:sz="0" w:space="0" w:color="auto"/>
                <w:left w:val="none" w:sz="0" w:space="0" w:color="auto"/>
                <w:bottom w:val="none" w:sz="0" w:space="0" w:color="auto"/>
                <w:right w:val="none" w:sz="0" w:space="0" w:color="auto"/>
              </w:divBdr>
            </w:div>
            <w:div w:id="2090617111">
              <w:marLeft w:val="0"/>
              <w:marRight w:val="0"/>
              <w:marTop w:val="0"/>
              <w:marBottom w:val="0"/>
              <w:divBdr>
                <w:top w:val="none" w:sz="0" w:space="0" w:color="auto"/>
                <w:left w:val="none" w:sz="0" w:space="0" w:color="auto"/>
                <w:bottom w:val="none" w:sz="0" w:space="0" w:color="auto"/>
                <w:right w:val="none" w:sz="0" w:space="0" w:color="auto"/>
              </w:divBdr>
            </w:div>
          </w:divsChild>
        </w:div>
        <w:div w:id="296643112">
          <w:marLeft w:val="0"/>
          <w:marRight w:val="0"/>
          <w:marTop w:val="0"/>
          <w:marBottom w:val="0"/>
          <w:divBdr>
            <w:top w:val="none" w:sz="0" w:space="0" w:color="auto"/>
            <w:left w:val="none" w:sz="0" w:space="0" w:color="auto"/>
            <w:bottom w:val="none" w:sz="0" w:space="0" w:color="auto"/>
            <w:right w:val="none" w:sz="0" w:space="0" w:color="auto"/>
          </w:divBdr>
          <w:divsChild>
            <w:div w:id="227692286">
              <w:marLeft w:val="0"/>
              <w:marRight w:val="0"/>
              <w:marTop w:val="0"/>
              <w:marBottom w:val="0"/>
              <w:divBdr>
                <w:top w:val="none" w:sz="0" w:space="0" w:color="auto"/>
                <w:left w:val="none" w:sz="0" w:space="0" w:color="auto"/>
                <w:bottom w:val="none" w:sz="0" w:space="0" w:color="auto"/>
                <w:right w:val="none" w:sz="0" w:space="0" w:color="auto"/>
              </w:divBdr>
            </w:div>
            <w:div w:id="771975901">
              <w:marLeft w:val="0"/>
              <w:marRight w:val="0"/>
              <w:marTop w:val="0"/>
              <w:marBottom w:val="0"/>
              <w:divBdr>
                <w:top w:val="none" w:sz="0" w:space="0" w:color="auto"/>
                <w:left w:val="none" w:sz="0" w:space="0" w:color="auto"/>
                <w:bottom w:val="none" w:sz="0" w:space="0" w:color="auto"/>
                <w:right w:val="none" w:sz="0" w:space="0" w:color="auto"/>
              </w:divBdr>
            </w:div>
            <w:div w:id="1296566025">
              <w:marLeft w:val="0"/>
              <w:marRight w:val="0"/>
              <w:marTop w:val="0"/>
              <w:marBottom w:val="0"/>
              <w:divBdr>
                <w:top w:val="none" w:sz="0" w:space="0" w:color="auto"/>
                <w:left w:val="none" w:sz="0" w:space="0" w:color="auto"/>
                <w:bottom w:val="none" w:sz="0" w:space="0" w:color="auto"/>
                <w:right w:val="none" w:sz="0" w:space="0" w:color="auto"/>
              </w:divBdr>
            </w:div>
            <w:div w:id="1313170014">
              <w:marLeft w:val="0"/>
              <w:marRight w:val="0"/>
              <w:marTop w:val="0"/>
              <w:marBottom w:val="0"/>
              <w:divBdr>
                <w:top w:val="none" w:sz="0" w:space="0" w:color="auto"/>
                <w:left w:val="none" w:sz="0" w:space="0" w:color="auto"/>
                <w:bottom w:val="none" w:sz="0" w:space="0" w:color="auto"/>
                <w:right w:val="none" w:sz="0" w:space="0" w:color="auto"/>
              </w:divBdr>
            </w:div>
            <w:div w:id="1739400678">
              <w:marLeft w:val="0"/>
              <w:marRight w:val="0"/>
              <w:marTop w:val="0"/>
              <w:marBottom w:val="0"/>
              <w:divBdr>
                <w:top w:val="none" w:sz="0" w:space="0" w:color="auto"/>
                <w:left w:val="none" w:sz="0" w:space="0" w:color="auto"/>
                <w:bottom w:val="none" w:sz="0" w:space="0" w:color="auto"/>
                <w:right w:val="none" w:sz="0" w:space="0" w:color="auto"/>
              </w:divBdr>
            </w:div>
            <w:div w:id="1771700625">
              <w:marLeft w:val="0"/>
              <w:marRight w:val="0"/>
              <w:marTop w:val="0"/>
              <w:marBottom w:val="0"/>
              <w:divBdr>
                <w:top w:val="none" w:sz="0" w:space="0" w:color="auto"/>
                <w:left w:val="none" w:sz="0" w:space="0" w:color="auto"/>
                <w:bottom w:val="none" w:sz="0" w:space="0" w:color="auto"/>
                <w:right w:val="none" w:sz="0" w:space="0" w:color="auto"/>
              </w:divBdr>
            </w:div>
            <w:div w:id="1993286712">
              <w:marLeft w:val="0"/>
              <w:marRight w:val="0"/>
              <w:marTop w:val="0"/>
              <w:marBottom w:val="0"/>
              <w:divBdr>
                <w:top w:val="none" w:sz="0" w:space="0" w:color="auto"/>
                <w:left w:val="none" w:sz="0" w:space="0" w:color="auto"/>
                <w:bottom w:val="none" w:sz="0" w:space="0" w:color="auto"/>
                <w:right w:val="none" w:sz="0" w:space="0" w:color="auto"/>
              </w:divBdr>
            </w:div>
            <w:div w:id="2005205544">
              <w:marLeft w:val="0"/>
              <w:marRight w:val="0"/>
              <w:marTop w:val="0"/>
              <w:marBottom w:val="0"/>
              <w:divBdr>
                <w:top w:val="none" w:sz="0" w:space="0" w:color="auto"/>
                <w:left w:val="none" w:sz="0" w:space="0" w:color="auto"/>
                <w:bottom w:val="none" w:sz="0" w:space="0" w:color="auto"/>
                <w:right w:val="none" w:sz="0" w:space="0" w:color="auto"/>
              </w:divBdr>
            </w:div>
          </w:divsChild>
        </w:div>
        <w:div w:id="559368394">
          <w:marLeft w:val="0"/>
          <w:marRight w:val="0"/>
          <w:marTop w:val="0"/>
          <w:marBottom w:val="0"/>
          <w:divBdr>
            <w:top w:val="none" w:sz="0" w:space="0" w:color="auto"/>
            <w:left w:val="none" w:sz="0" w:space="0" w:color="auto"/>
            <w:bottom w:val="none" w:sz="0" w:space="0" w:color="auto"/>
            <w:right w:val="none" w:sz="0" w:space="0" w:color="auto"/>
          </w:divBdr>
          <w:divsChild>
            <w:div w:id="1131696">
              <w:marLeft w:val="0"/>
              <w:marRight w:val="0"/>
              <w:marTop w:val="0"/>
              <w:marBottom w:val="0"/>
              <w:divBdr>
                <w:top w:val="none" w:sz="0" w:space="0" w:color="auto"/>
                <w:left w:val="none" w:sz="0" w:space="0" w:color="auto"/>
                <w:bottom w:val="none" w:sz="0" w:space="0" w:color="auto"/>
                <w:right w:val="none" w:sz="0" w:space="0" w:color="auto"/>
              </w:divBdr>
            </w:div>
            <w:div w:id="69351701">
              <w:marLeft w:val="0"/>
              <w:marRight w:val="0"/>
              <w:marTop w:val="0"/>
              <w:marBottom w:val="0"/>
              <w:divBdr>
                <w:top w:val="none" w:sz="0" w:space="0" w:color="auto"/>
                <w:left w:val="none" w:sz="0" w:space="0" w:color="auto"/>
                <w:bottom w:val="none" w:sz="0" w:space="0" w:color="auto"/>
                <w:right w:val="none" w:sz="0" w:space="0" w:color="auto"/>
              </w:divBdr>
            </w:div>
            <w:div w:id="120267495">
              <w:marLeft w:val="0"/>
              <w:marRight w:val="0"/>
              <w:marTop w:val="0"/>
              <w:marBottom w:val="0"/>
              <w:divBdr>
                <w:top w:val="none" w:sz="0" w:space="0" w:color="auto"/>
                <w:left w:val="none" w:sz="0" w:space="0" w:color="auto"/>
                <w:bottom w:val="none" w:sz="0" w:space="0" w:color="auto"/>
                <w:right w:val="none" w:sz="0" w:space="0" w:color="auto"/>
              </w:divBdr>
            </w:div>
            <w:div w:id="122584192">
              <w:marLeft w:val="0"/>
              <w:marRight w:val="0"/>
              <w:marTop w:val="0"/>
              <w:marBottom w:val="0"/>
              <w:divBdr>
                <w:top w:val="none" w:sz="0" w:space="0" w:color="auto"/>
                <w:left w:val="none" w:sz="0" w:space="0" w:color="auto"/>
                <w:bottom w:val="none" w:sz="0" w:space="0" w:color="auto"/>
                <w:right w:val="none" w:sz="0" w:space="0" w:color="auto"/>
              </w:divBdr>
            </w:div>
            <w:div w:id="178667234">
              <w:marLeft w:val="0"/>
              <w:marRight w:val="0"/>
              <w:marTop w:val="0"/>
              <w:marBottom w:val="0"/>
              <w:divBdr>
                <w:top w:val="none" w:sz="0" w:space="0" w:color="auto"/>
                <w:left w:val="none" w:sz="0" w:space="0" w:color="auto"/>
                <w:bottom w:val="none" w:sz="0" w:space="0" w:color="auto"/>
                <w:right w:val="none" w:sz="0" w:space="0" w:color="auto"/>
              </w:divBdr>
            </w:div>
            <w:div w:id="191193906">
              <w:marLeft w:val="0"/>
              <w:marRight w:val="0"/>
              <w:marTop w:val="0"/>
              <w:marBottom w:val="0"/>
              <w:divBdr>
                <w:top w:val="none" w:sz="0" w:space="0" w:color="auto"/>
                <w:left w:val="none" w:sz="0" w:space="0" w:color="auto"/>
                <w:bottom w:val="none" w:sz="0" w:space="0" w:color="auto"/>
                <w:right w:val="none" w:sz="0" w:space="0" w:color="auto"/>
              </w:divBdr>
            </w:div>
            <w:div w:id="222524320">
              <w:marLeft w:val="0"/>
              <w:marRight w:val="0"/>
              <w:marTop w:val="0"/>
              <w:marBottom w:val="0"/>
              <w:divBdr>
                <w:top w:val="none" w:sz="0" w:space="0" w:color="auto"/>
                <w:left w:val="none" w:sz="0" w:space="0" w:color="auto"/>
                <w:bottom w:val="none" w:sz="0" w:space="0" w:color="auto"/>
                <w:right w:val="none" w:sz="0" w:space="0" w:color="auto"/>
              </w:divBdr>
            </w:div>
            <w:div w:id="223612069">
              <w:marLeft w:val="0"/>
              <w:marRight w:val="0"/>
              <w:marTop w:val="0"/>
              <w:marBottom w:val="0"/>
              <w:divBdr>
                <w:top w:val="none" w:sz="0" w:space="0" w:color="auto"/>
                <w:left w:val="none" w:sz="0" w:space="0" w:color="auto"/>
                <w:bottom w:val="none" w:sz="0" w:space="0" w:color="auto"/>
                <w:right w:val="none" w:sz="0" w:space="0" w:color="auto"/>
              </w:divBdr>
            </w:div>
            <w:div w:id="267741447">
              <w:marLeft w:val="0"/>
              <w:marRight w:val="0"/>
              <w:marTop w:val="0"/>
              <w:marBottom w:val="0"/>
              <w:divBdr>
                <w:top w:val="none" w:sz="0" w:space="0" w:color="auto"/>
                <w:left w:val="none" w:sz="0" w:space="0" w:color="auto"/>
                <w:bottom w:val="none" w:sz="0" w:space="0" w:color="auto"/>
                <w:right w:val="none" w:sz="0" w:space="0" w:color="auto"/>
              </w:divBdr>
            </w:div>
            <w:div w:id="292567784">
              <w:marLeft w:val="0"/>
              <w:marRight w:val="0"/>
              <w:marTop w:val="0"/>
              <w:marBottom w:val="0"/>
              <w:divBdr>
                <w:top w:val="none" w:sz="0" w:space="0" w:color="auto"/>
                <w:left w:val="none" w:sz="0" w:space="0" w:color="auto"/>
                <w:bottom w:val="none" w:sz="0" w:space="0" w:color="auto"/>
                <w:right w:val="none" w:sz="0" w:space="0" w:color="auto"/>
              </w:divBdr>
            </w:div>
            <w:div w:id="328170859">
              <w:marLeft w:val="0"/>
              <w:marRight w:val="0"/>
              <w:marTop w:val="0"/>
              <w:marBottom w:val="0"/>
              <w:divBdr>
                <w:top w:val="none" w:sz="0" w:space="0" w:color="auto"/>
                <w:left w:val="none" w:sz="0" w:space="0" w:color="auto"/>
                <w:bottom w:val="none" w:sz="0" w:space="0" w:color="auto"/>
                <w:right w:val="none" w:sz="0" w:space="0" w:color="auto"/>
              </w:divBdr>
            </w:div>
            <w:div w:id="519701772">
              <w:marLeft w:val="0"/>
              <w:marRight w:val="0"/>
              <w:marTop w:val="0"/>
              <w:marBottom w:val="0"/>
              <w:divBdr>
                <w:top w:val="none" w:sz="0" w:space="0" w:color="auto"/>
                <w:left w:val="none" w:sz="0" w:space="0" w:color="auto"/>
                <w:bottom w:val="none" w:sz="0" w:space="0" w:color="auto"/>
                <w:right w:val="none" w:sz="0" w:space="0" w:color="auto"/>
              </w:divBdr>
            </w:div>
            <w:div w:id="528488895">
              <w:marLeft w:val="0"/>
              <w:marRight w:val="0"/>
              <w:marTop w:val="0"/>
              <w:marBottom w:val="0"/>
              <w:divBdr>
                <w:top w:val="none" w:sz="0" w:space="0" w:color="auto"/>
                <w:left w:val="none" w:sz="0" w:space="0" w:color="auto"/>
                <w:bottom w:val="none" w:sz="0" w:space="0" w:color="auto"/>
                <w:right w:val="none" w:sz="0" w:space="0" w:color="auto"/>
              </w:divBdr>
            </w:div>
            <w:div w:id="697966910">
              <w:marLeft w:val="0"/>
              <w:marRight w:val="0"/>
              <w:marTop w:val="0"/>
              <w:marBottom w:val="0"/>
              <w:divBdr>
                <w:top w:val="none" w:sz="0" w:space="0" w:color="auto"/>
                <w:left w:val="none" w:sz="0" w:space="0" w:color="auto"/>
                <w:bottom w:val="none" w:sz="0" w:space="0" w:color="auto"/>
                <w:right w:val="none" w:sz="0" w:space="0" w:color="auto"/>
              </w:divBdr>
            </w:div>
            <w:div w:id="832183468">
              <w:marLeft w:val="0"/>
              <w:marRight w:val="0"/>
              <w:marTop w:val="0"/>
              <w:marBottom w:val="0"/>
              <w:divBdr>
                <w:top w:val="none" w:sz="0" w:space="0" w:color="auto"/>
                <w:left w:val="none" w:sz="0" w:space="0" w:color="auto"/>
                <w:bottom w:val="none" w:sz="0" w:space="0" w:color="auto"/>
                <w:right w:val="none" w:sz="0" w:space="0" w:color="auto"/>
              </w:divBdr>
            </w:div>
            <w:div w:id="1198153620">
              <w:marLeft w:val="0"/>
              <w:marRight w:val="0"/>
              <w:marTop w:val="0"/>
              <w:marBottom w:val="0"/>
              <w:divBdr>
                <w:top w:val="none" w:sz="0" w:space="0" w:color="auto"/>
                <w:left w:val="none" w:sz="0" w:space="0" w:color="auto"/>
                <w:bottom w:val="none" w:sz="0" w:space="0" w:color="auto"/>
                <w:right w:val="none" w:sz="0" w:space="0" w:color="auto"/>
              </w:divBdr>
            </w:div>
            <w:div w:id="1450584228">
              <w:marLeft w:val="0"/>
              <w:marRight w:val="0"/>
              <w:marTop w:val="0"/>
              <w:marBottom w:val="0"/>
              <w:divBdr>
                <w:top w:val="none" w:sz="0" w:space="0" w:color="auto"/>
                <w:left w:val="none" w:sz="0" w:space="0" w:color="auto"/>
                <w:bottom w:val="none" w:sz="0" w:space="0" w:color="auto"/>
                <w:right w:val="none" w:sz="0" w:space="0" w:color="auto"/>
              </w:divBdr>
            </w:div>
            <w:div w:id="1643344003">
              <w:marLeft w:val="0"/>
              <w:marRight w:val="0"/>
              <w:marTop w:val="0"/>
              <w:marBottom w:val="0"/>
              <w:divBdr>
                <w:top w:val="none" w:sz="0" w:space="0" w:color="auto"/>
                <w:left w:val="none" w:sz="0" w:space="0" w:color="auto"/>
                <w:bottom w:val="none" w:sz="0" w:space="0" w:color="auto"/>
                <w:right w:val="none" w:sz="0" w:space="0" w:color="auto"/>
              </w:divBdr>
            </w:div>
            <w:div w:id="1691759135">
              <w:marLeft w:val="0"/>
              <w:marRight w:val="0"/>
              <w:marTop w:val="0"/>
              <w:marBottom w:val="0"/>
              <w:divBdr>
                <w:top w:val="none" w:sz="0" w:space="0" w:color="auto"/>
                <w:left w:val="none" w:sz="0" w:space="0" w:color="auto"/>
                <w:bottom w:val="none" w:sz="0" w:space="0" w:color="auto"/>
                <w:right w:val="none" w:sz="0" w:space="0" w:color="auto"/>
              </w:divBdr>
            </w:div>
            <w:div w:id="1908806782">
              <w:marLeft w:val="0"/>
              <w:marRight w:val="0"/>
              <w:marTop w:val="0"/>
              <w:marBottom w:val="0"/>
              <w:divBdr>
                <w:top w:val="none" w:sz="0" w:space="0" w:color="auto"/>
                <w:left w:val="none" w:sz="0" w:space="0" w:color="auto"/>
                <w:bottom w:val="none" w:sz="0" w:space="0" w:color="auto"/>
                <w:right w:val="none" w:sz="0" w:space="0" w:color="auto"/>
              </w:divBdr>
            </w:div>
            <w:div w:id="1943877820">
              <w:marLeft w:val="0"/>
              <w:marRight w:val="0"/>
              <w:marTop w:val="0"/>
              <w:marBottom w:val="0"/>
              <w:divBdr>
                <w:top w:val="none" w:sz="0" w:space="0" w:color="auto"/>
                <w:left w:val="none" w:sz="0" w:space="0" w:color="auto"/>
                <w:bottom w:val="none" w:sz="0" w:space="0" w:color="auto"/>
                <w:right w:val="none" w:sz="0" w:space="0" w:color="auto"/>
              </w:divBdr>
            </w:div>
            <w:div w:id="2071154717">
              <w:marLeft w:val="0"/>
              <w:marRight w:val="0"/>
              <w:marTop w:val="0"/>
              <w:marBottom w:val="0"/>
              <w:divBdr>
                <w:top w:val="none" w:sz="0" w:space="0" w:color="auto"/>
                <w:left w:val="none" w:sz="0" w:space="0" w:color="auto"/>
                <w:bottom w:val="none" w:sz="0" w:space="0" w:color="auto"/>
                <w:right w:val="none" w:sz="0" w:space="0" w:color="auto"/>
              </w:divBdr>
            </w:div>
          </w:divsChild>
        </w:div>
        <w:div w:id="597718463">
          <w:marLeft w:val="0"/>
          <w:marRight w:val="0"/>
          <w:marTop w:val="0"/>
          <w:marBottom w:val="0"/>
          <w:divBdr>
            <w:top w:val="none" w:sz="0" w:space="0" w:color="auto"/>
            <w:left w:val="none" w:sz="0" w:space="0" w:color="auto"/>
            <w:bottom w:val="none" w:sz="0" w:space="0" w:color="auto"/>
            <w:right w:val="none" w:sz="0" w:space="0" w:color="auto"/>
          </w:divBdr>
          <w:divsChild>
            <w:div w:id="250044538">
              <w:marLeft w:val="0"/>
              <w:marRight w:val="0"/>
              <w:marTop w:val="0"/>
              <w:marBottom w:val="0"/>
              <w:divBdr>
                <w:top w:val="none" w:sz="0" w:space="0" w:color="auto"/>
                <w:left w:val="none" w:sz="0" w:space="0" w:color="auto"/>
                <w:bottom w:val="none" w:sz="0" w:space="0" w:color="auto"/>
                <w:right w:val="none" w:sz="0" w:space="0" w:color="auto"/>
              </w:divBdr>
            </w:div>
            <w:div w:id="295110381">
              <w:marLeft w:val="0"/>
              <w:marRight w:val="0"/>
              <w:marTop w:val="0"/>
              <w:marBottom w:val="0"/>
              <w:divBdr>
                <w:top w:val="none" w:sz="0" w:space="0" w:color="auto"/>
                <w:left w:val="none" w:sz="0" w:space="0" w:color="auto"/>
                <w:bottom w:val="none" w:sz="0" w:space="0" w:color="auto"/>
                <w:right w:val="none" w:sz="0" w:space="0" w:color="auto"/>
              </w:divBdr>
            </w:div>
            <w:div w:id="458838204">
              <w:marLeft w:val="0"/>
              <w:marRight w:val="0"/>
              <w:marTop w:val="0"/>
              <w:marBottom w:val="0"/>
              <w:divBdr>
                <w:top w:val="none" w:sz="0" w:space="0" w:color="auto"/>
                <w:left w:val="none" w:sz="0" w:space="0" w:color="auto"/>
                <w:bottom w:val="none" w:sz="0" w:space="0" w:color="auto"/>
                <w:right w:val="none" w:sz="0" w:space="0" w:color="auto"/>
              </w:divBdr>
            </w:div>
            <w:div w:id="760686657">
              <w:marLeft w:val="0"/>
              <w:marRight w:val="0"/>
              <w:marTop w:val="0"/>
              <w:marBottom w:val="0"/>
              <w:divBdr>
                <w:top w:val="none" w:sz="0" w:space="0" w:color="auto"/>
                <w:left w:val="none" w:sz="0" w:space="0" w:color="auto"/>
                <w:bottom w:val="none" w:sz="0" w:space="0" w:color="auto"/>
                <w:right w:val="none" w:sz="0" w:space="0" w:color="auto"/>
              </w:divBdr>
            </w:div>
            <w:div w:id="836651427">
              <w:marLeft w:val="0"/>
              <w:marRight w:val="0"/>
              <w:marTop w:val="0"/>
              <w:marBottom w:val="0"/>
              <w:divBdr>
                <w:top w:val="none" w:sz="0" w:space="0" w:color="auto"/>
                <w:left w:val="none" w:sz="0" w:space="0" w:color="auto"/>
                <w:bottom w:val="none" w:sz="0" w:space="0" w:color="auto"/>
                <w:right w:val="none" w:sz="0" w:space="0" w:color="auto"/>
              </w:divBdr>
            </w:div>
            <w:div w:id="1017122189">
              <w:marLeft w:val="0"/>
              <w:marRight w:val="0"/>
              <w:marTop w:val="0"/>
              <w:marBottom w:val="0"/>
              <w:divBdr>
                <w:top w:val="none" w:sz="0" w:space="0" w:color="auto"/>
                <w:left w:val="none" w:sz="0" w:space="0" w:color="auto"/>
                <w:bottom w:val="none" w:sz="0" w:space="0" w:color="auto"/>
                <w:right w:val="none" w:sz="0" w:space="0" w:color="auto"/>
              </w:divBdr>
            </w:div>
            <w:div w:id="1069772185">
              <w:marLeft w:val="0"/>
              <w:marRight w:val="0"/>
              <w:marTop w:val="0"/>
              <w:marBottom w:val="0"/>
              <w:divBdr>
                <w:top w:val="none" w:sz="0" w:space="0" w:color="auto"/>
                <w:left w:val="none" w:sz="0" w:space="0" w:color="auto"/>
                <w:bottom w:val="none" w:sz="0" w:space="0" w:color="auto"/>
                <w:right w:val="none" w:sz="0" w:space="0" w:color="auto"/>
              </w:divBdr>
            </w:div>
            <w:div w:id="1092749761">
              <w:marLeft w:val="0"/>
              <w:marRight w:val="0"/>
              <w:marTop w:val="0"/>
              <w:marBottom w:val="0"/>
              <w:divBdr>
                <w:top w:val="none" w:sz="0" w:space="0" w:color="auto"/>
                <w:left w:val="none" w:sz="0" w:space="0" w:color="auto"/>
                <w:bottom w:val="none" w:sz="0" w:space="0" w:color="auto"/>
                <w:right w:val="none" w:sz="0" w:space="0" w:color="auto"/>
              </w:divBdr>
            </w:div>
            <w:div w:id="1096832055">
              <w:marLeft w:val="0"/>
              <w:marRight w:val="0"/>
              <w:marTop w:val="0"/>
              <w:marBottom w:val="0"/>
              <w:divBdr>
                <w:top w:val="none" w:sz="0" w:space="0" w:color="auto"/>
                <w:left w:val="none" w:sz="0" w:space="0" w:color="auto"/>
                <w:bottom w:val="none" w:sz="0" w:space="0" w:color="auto"/>
                <w:right w:val="none" w:sz="0" w:space="0" w:color="auto"/>
              </w:divBdr>
            </w:div>
            <w:div w:id="1103066126">
              <w:marLeft w:val="0"/>
              <w:marRight w:val="0"/>
              <w:marTop w:val="0"/>
              <w:marBottom w:val="0"/>
              <w:divBdr>
                <w:top w:val="none" w:sz="0" w:space="0" w:color="auto"/>
                <w:left w:val="none" w:sz="0" w:space="0" w:color="auto"/>
                <w:bottom w:val="none" w:sz="0" w:space="0" w:color="auto"/>
                <w:right w:val="none" w:sz="0" w:space="0" w:color="auto"/>
              </w:divBdr>
            </w:div>
            <w:div w:id="1295214620">
              <w:marLeft w:val="0"/>
              <w:marRight w:val="0"/>
              <w:marTop w:val="0"/>
              <w:marBottom w:val="0"/>
              <w:divBdr>
                <w:top w:val="none" w:sz="0" w:space="0" w:color="auto"/>
                <w:left w:val="none" w:sz="0" w:space="0" w:color="auto"/>
                <w:bottom w:val="none" w:sz="0" w:space="0" w:color="auto"/>
                <w:right w:val="none" w:sz="0" w:space="0" w:color="auto"/>
              </w:divBdr>
            </w:div>
            <w:div w:id="1307667002">
              <w:marLeft w:val="0"/>
              <w:marRight w:val="0"/>
              <w:marTop w:val="0"/>
              <w:marBottom w:val="0"/>
              <w:divBdr>
                <w:top w:val="none" w:sz="0" w:space="0" w:color="auto"/>
                <w:left w:val="none" w:sz="0" w:space="0" w:color="auto"/>
                <w:bottom w:val="none" w:sz="0" w:space="0" w:color="auto"/>
                <w:right w:val="none" w:sz="0" w:space="0" w:color="auto"/>
              </w:divBdr>
            </w:div>
            <w:div w:id="1341465808">
              <w:marLeft w:val="0"/>
              <w:marRight w:val="0"/>
              <w:marTop w:val="0"/>
              <w:marBottom w:val="0"/>
              <w:divBdr>
                <w:top w:val="none" w:sz="0" w:space="0" w:color="auto"/>
                <w:left w:val="none" w:sz="0" w:space="0" w:color="auto"/>
                <w:bottom w:val="none" w:sz="0" w:space="0" w:color="auto"/>
                <w:right w:val="none" w:sz="0" w:space="0" w:color="auto"/>
              </w:divBdr>
            </w:div>
            <w:div w:id="1397128783">
              <w:marLeft w:val="0"/>
              <w:marRight w:val="0"/>
              <w:marTop w:val="0"/>
              <w:marBottom w:val="0"/>
              <w:divBdr>
                <w:top w:val="none" w:sz="0" w:space="0" w:color="auto"/>
                <w:left w:val="none" w:sz="0" w:space="0" w:color="auto"/>
                <w:bottom w:val="none" w:sz="0" w:space="0" w:color="auto"/>
                <w:right w:val="none" w:sz="0" w:space="0" w:color="auto"/>
              </w:divBdr>
            </w:div>
            <w:div w:id="1519083758">
              <w:marLeft w:val="0"/>
              <w:marRight w:val="0"/>
              <w:marTop w:val="0"/>
              <w:marBottom w:val="0"/>
              <w:divBdr>
                <w:top w:val="none" w:sz="0" w:space="0" w:color="auto"/>
                <w:left w:val="none" w:sz="0" w:space="0" w:color="auto"/>
                <w:bottom w:val="none" w:sz="0" w:space="0" w:color="auto"/>
                <w:right w:val="none" w:sz="0" w:space="0" w:color="auto"/>
              </w:divBdr>
            </w:div>
            <w:div w:id="1556503875">
              <w:marLeft w:val="0"/>
              <w:marRight w:val="0"/>
              <w:marTop w:val="0"/>
              <w:marBottom w:val="0"/>
              <w:divBdr>
                <w:top w:val="none" w:sz="0" w:space="0" w:color="auto"/>
                <w:left w:val="none" w:sz="0" w:space="0" w:color="auto"/>
                <w:bottom w:val="none" w:sz="0" w:space="0" w:color="auto"/>
                <w:right w:val="none" w:sz="0" w:space="0" w:color="auto"/>
              </w:divBdr>
            </w:div>
            <w:div w:id="1566062218">
              <w:marLeft w:val="0"/>
              <w:marRight w:val="0"/>
              <w:marTop w:val="0"/>
              <w:marBottom w:val="0"/>
              <w:divBdr>
                <w:top w:val="none" w:sz="0" w:space="0" w:color="auto"/>
                <w:left w:val="none" w:sz="0" w:space="0" w:color="auto"/>
                <w:bottom w:val="none" w:sz="0" w:space="0" w:color="auto"/>
                <w:right w:val="none" w:sz="0" w:space="0" w:color="auto"/>
              </w:divBdr>
            </w:div>
            <w:div w:id="1610234891">
              <w:marLeft w:val="0"/>
              <w:marRight w:val="0"/>
              <w:marTop w:val="0"/>
              <w:marBottom w:val="0"/>
              <w:divBdr>
                <w:top w:val="none" w:sz="0" w:space="0" w:color="auto"/>
                <w:left w:val="none" w:sz="0" w:space="0" w:color="auto"/>
                <w:bottom w:val="none" w:sz="0" w:space="0" w:color="auto"/>
                <w:right w:val="none" w:sz="0" w:space="0" w:color="auto"/>
              </w:divBdr>
            </w:div>
            <w:div w:id="1651984960">
              <w:marLeft w:val="0"/>
              <w:marRight w:val="0"/>
              <w:marTop w:val="0"/>
              <w:marBottom w:val="0"/>
              <w:divBdr>
                <w:top w:val="none" w:sz="0" w:space="0" w:color="auto"/>
                <w:left w:val="none" w:sz="0" w:space="0" w:color="auto"/>
                <w:bottom w:val="none" w:sz="0" w:space="0" w:color="auto"/>
                <w:right w:val="none" w:sz="0" w:space="0" w:color="auto"/>
              </w:divBdr>
            </w:div>
          </w:divsChild>
        </w:div>
        <w:div w:id="913124259">
          <w:marLeft w:val="0"/>
          <w:marRight w:val="0"/>
          <w:marTop w:val="0"/>
          <w:marBottom w:val="0"/>
          <w:divBdr>
            <w:top w:val="none" w:sz="0" w:space="0" w:color="auto"/>
            <w:left w:val="none" w:sz="0" w:space="0" w:color="auto"/>
            <w:bottom w:val="none" w:sz="0" w:space="0" w:color="auto"/>
            <w:right w:val="none" w:sz="0" w:space="0" w:color="auto"/>
          </w:divBdr>
          <w:divsChild>
            <w:div w:id="19743328">
              <w:marLeft w:val="0"/>
              <w:marRight w:val="0"/>
              <w:marTop w:val="0"/>
              <w:marBottom w:val="0"/>
              <w:divBdr>
                <w:top w:val="none" w:sz="0" w:space="0" w:color="auto"/>
                <w:left w:val="none" w:sz="0" w:space="0" w:color="auto"/>
                <w:bottom w:val="none" w:sz="0" w:space="0" w:color="auto"/>
                <w:right w:val="none" w:sz="0" w:space="0" w:color="auto"/>
              </w:divBdr>
            </w:div>
            <w:div w:id="147870450">
              <w:marLeft w:val="0"/>
              <w:marRight w:val="0"/>
              <w:marTop w:val="0"/>
              <w:marBottom w:val="0"/>
              <w:divBdr>
                <w:top w:val="none" w:sz="0" w:space="0" w:color="auto"/>
                <w:left w:val="none" w:sz="0" w:space="0" w:color="auto"/>
                <w:bottom w:val="none" w:sz="0" w:space="0" w:color="auto"/>
                <w:right w:val="none" w:sz="0" w:space="0" w:color="auto"/>
              </w:divBdr>
            </w:div>
            <w:div w:id="148132854">
              <w:marLeft w:val="0"/>
              <w:marRight w:val="0"/>
              <w:marTop w:val="0"/>
              <w:marBottom w:val="0"/>
              <w:divBdr>
                <w:top w:val="none" w:sz="0" w:space="0" w:color="auto"/>
                <w:left w:val="none" w:sz="0" w:space="0" w:color="auto"/>
                <w:bottom w:val="none" w:sz="0" w:space="0" w:color="auto"/>
                <w:right w:val="none" w:sz="0" w:space="0" w:color="auto"/>
              </w:divBdr>
            </w:div>
            <w:div w:id="153644751">
              <w:marLeft w:val="0"/>
              <w:marRight w:val="0"/>
              <w:marTop w:val="0"/>
              <w:marBottom w:val="0"/>
              <w:divBdr>
                <w:top w:val="none" w:sz="0" w:space="0" w:color="auto"/>
                <w:left w:val="none" w:sz="0" w:space="0" w:color="auto"/>
                <w:bottom w:val="none" w:sz="0" w:space="0" w:color="auto"/>
                <w:right w:val="none" w:sz="0" w:space="0" w:color="auto"/>
              </w:divBdr>
            </w:div>
            <w:div w:id="259069898">
              <w:marLeft w:val="0"/>
              <w:marRight w:val="0"/>
              <w:marTop w:val="0"/>
              <w:marBottom w:val="0"/>
              <w:divBdr>
                <w:top w:val="none" w:sz="0" w:space="0" w:color="auto"/>
                <w:left w:val="none" w:sz="0" w:space="0" w:color="auto"/>
                <w:bottom w:val="none" w:sz="0" w:space="0" w:color="auto"/>
                <w:right w:val="none" w:sz="0" w:space="0" w:color="auto"/>
              </w:divBdr>
            </w:div>
            <w:div w:id="359012417">
              <w:marLeft w:val="0"/>
              <w:marRight w:val="0"/>
              <w:marTop w:val="0"/>
              <w:marBottom w:val="0"/>
              <w:divBdr>
                <w:top w:val="none" w:sz="0" w:space="0" w:color="auto"/>
                <w:left w:val="none" w:sz="0" w:space="0" w:color="auto"/>
                <w:bottom w:val="none" w:sz="0" w:space="0" w:color="auto"/>
                <w:right w:val="none" w:sz="0" w:space="0" w:color="auto"/>
              </w:divBdr>
            </w:div>
            <w:div w:id="463893702">
              <w:marLeft w:val="0"/>
              <w:marRight w:val="0"/>
              <w:marTop w:val="0"/>
              <w:marBottom w:val="0"/>
              <w:divBdr>
                <w:top w:val="none" w:sz="0" w:space="0" w:color="auto"/>
                <w:left w:val="none" w:sz="0" w:space="0" w:color="auto"/>
                <w:bottom w:val="none" w:sz="0" w:space="0" w:color="auto"/>
                <w:right w:val="none" w:sz="0" w:space="0" w:color="auto"/>
              </w:divBdr>
            </w:div>
            <w:div w:id="726220480">
              <w:marLeft w:val="0"/>
              <w:marRight w:val="0"/>
              <w:marTop w:val="0"/>
              <w:marBottom w:val="0"/>
              <w:divBdr>
                <w:top w:val="none" w:sz="0" w:space="0" w:color="auto"/>
                <w:left w:val="none" w:sz="0" w:space="0" w:color="auto"/>
                <w:bottom w:val="none" w:sz="0" w:space="0" w:color="auto"/>
                <w:right w:val="none" w:sz="0" w:space="0" w:color="auto"/>
              </w:divBdr>
            </w:div>
            <w:div w:id="791676779">
              <w:marLeft w:val="0"/>
              <w:marRight w:val="0"/>
              <w:marTop w:val="0"/>
              <w:marBottom w:val="0"/>
              <w:divBdr>
                <w:top w:val="none" w:sz="0" w:space="0" w:color="auto"/>
                <w:left w:val="none" w:sz="0" w:space="0" w:color="auto"/>
                <w:bottom w:val="none" w:sz="0" w:space="0" w:color="auto"/>
                <w:right w:val="none" w:sz="0" w:space="0" w:color="auto"/>
              </w:divBdr>
            </w:div>
            <w:div w:id="864178577">
              <w:marLeft w:val="0"/>
              <w:marRight w:val="0"/>
              <w:marTop w:val="0"/>
              <w:marBottom w:val="0"/>
              <w:divBdr>
                <w:top w:val="none" w:sz="0" w:space="0" w:color="auto"/>
                <w:left w:val="none" w:sz="0" w:space="0" w:color="auto"/>
                <w:bottom w:val="none" w:sz="0" w:space="0" w:color="auto"/>
                <w:right w:val="none" w:sz="0" w:space="0" w:color="auto"/>
              </w:divBdr>
            </w:div>
            <w:div w:id="883950939">
              <w:marLeft w:val="0"/>
              <w:marRight w:val="0"/>
              <w:marTop w:val="0"/>
              <w:marBottom w:val="0"/>
              <w:divBdr>
                <w:top w:val="none" w:sz="0" w:space="0" w:color="auto"/>
                <w:left w:val="none" w:sz="0" w:space="0" w:color="auto"/>
                <w:bottom w:val="none" w:sz="0" w:space="0" w:color="auto"/>
                <w:right w:val="none" w:sz="0" w:space="0" w:color="auto"/>
              </w:divBdr>
            </w:div>
            <w:div w:id="889153433">
              <w:marLeft w:val="0"/>
              <w:marRight w:val="0"/>
              <w:marTop w:val="0"/>
              <w:marBottom w:val="0"/>
              <w:divBdr>
                <w:top w:val="none" w:sz="0" w:space="0" w:color="auto"/>
                <w:left w:val="none" w:sz="0" w:space="0" w:color="auto"/>
                <w:bottom w:val="none" w:sz="0" w:space="0" w:color="auto"/>
                <w:right w:val="none" w:sz="0" w:space="0" w:color="auto"/>
              </w:divBdr>
            </w:div>
            <w:div w:id="1019619656">
              <w:marLeft w:val="0"/>
              <w:marRight w:val="0"/>
              <w:marTop w:val="0"/>
              <w:marBottom w:val="0"/>
              <w:divBdr>
                <w:top w:val="none" w:sz="0" w:space="0" w:color="auto"/>
                <w:left w:val="none" w:sz="0" w:space="0" w:color="auto"/>
                <w:bottom w:val="none" w:sz="0" w:space="0" w:color="auto"/>
                <w:right w:val="none" w:sz="0" w:space="0" w:color="auto"/>
              </w:divBdr>
            </w:div>
            <w:div w:id="1165441822">
              <w:marLeft w:val="0"/>
              <w:marRight w:val="0"/>
              <w:marTop w:val="0"/>
              <w:marBottom w:val="0"/>
              <w:divBdr>
                <w:top w:val="none" w:sz="0" w:space="0" w:color="auto"/>
                <w:left w:val="none" w:sz="0" w:space="0" w:color="auto"/>
                <w:bottom w:val="none" w:sz="0" w:space="0" w:color="auto"/>
                <w:right w:val="none" w:sz="0" w:space="0" w:color="auto"/>
              </w:divBdr>
            </w:div>
            <w:div w:id="1273591166">
              <w:marLeft w:val="0"/>
              <w:marRight w:val="0"/>
              <w:marTop w:val="0"/>
              <w:marBottom w:val="0"/>
              <w:divBdr>
                <w:top w:val="none" w:sz="0" w:space="0" w:color="auto"/>
                <w:left w:val="none" w:sz="0" w:space="0" w:color="auto"/>
                <w:bottom w:val="none" w:sz="0" w:space="0" w:color="auto"/>
                <w:right w:val="none" w:sz="0" w:space="0" w:color="auto"/>
              </w:divBdr>
            </w:div>
            <w:div w:id="1386415940">
              <w:marLeft w:val="0"/>
              <w:marRight w:val="0"/>
              <w:marTop w:val="0"/>
              <w:marBottom w:val="0"/>
              <w:divBdr>
                <w:top w:val="none" w:sz="0" w:space="0" w:color="auto"/>
                <w:left w:val="none" w:sz="0" w:space="0" w:color="auto"/>
                <w:bottom w:val="none" w:sz="0" w:space="0" w:color="auto"/>
                <w:right w:val="none" w:sz="0" w:space="0" w:color="auto"/>
              </w:divBdr>
            </w:div>
            <w:div w:id="1402217118">
              <w:marLeft w:val="0"/>
              <w:marRight w:val="0"/>
              <w:marTop w:val="0"/>
              <w:marBottom w:val="0"/>
              <w:divBdr>
                <w:top w:val="none" w:sz="0" w:space="0" w:color="auto"/>
                <w:left w:val="none" w:sz="0" w:space="0" w:color="auto"/>
                <w:bottom w:val="none" w:sz="0" w:space="0" w:color="auto"/>
                <w:right w:val="none" w:sz="0" w:space="0" w:color="auto"/>
              </w:divBdr>
            </w:div>
            <w:div w:id="1460028849">
              <w:marLeft w:val="0"/>
              <w:marRight w:val="0"/>
              <w:marTop w:val="0"/>
              <w:marBottom w:val="0"/>
              <w:divBdr>
                <w:top w:val="none" w:sz="0" w:space="0" w:color="auto"/>
                <w:left w:val="none" w:sz="0" w:space="0" w:color="auto"/>
                <w:bottom w:val="none" w:sz="0" w:space="0" w:color="auto"/>
                <w:right w:val="none" w:sz="0" w:space="0" w:color="auto"/>
              </w:divBdr>
            </w:div>
            <w:div w:id="1520776142">
              <w:marLeft w:val="0"/>
              <w:marRight w:val="0"/>
              <w:marTop w:val="0"/>
              <w:marBottom w:val="0"/>
              <w:divBdr>
                <w:top w:val="none" w:sz="0" w:space="0" w:color="auto"/>
                <w:left w:val="none" w:sz="0" w:space="0" w:color="auto"/>
                <w:bottom w:val="none" w:sz="0" w:space="0" w:color="auto"/>
                <w:right w:val="none" w:sz="0" w:space="0" w:color="auto"/>
              </w:divBdr>
            </w:div>
            <w:div w:id="1696496355">
              <w:marLeft w:val="0"/>
              <w:marRight w:val="0"/>
              <w:marTop w:val="0"/>
              <w:marBottom w:val="0"/>
              <w:divBdr>
                <w:top w:val="none" w:sz="0" w:space="0" w:color="auto"/>
                <w:left w:val="none" w:sz="0" w:space="0" w:color="auto"/>
                <w:bottom w:val="none" w:sz="0" w:space="0" w:color="auto"/>
                <w:right w:val="none" w:sz="0" w:space="0" w:color="auto"/>
              </w:divBdr>
            </w:div>
            <w:div w:id="1730837465">
              <w:marLeft w:val="0"/>
              <w:marRight w:val="0"/>
              <w:marTop w:val="0"/>
              <w:marBottom w:val="0"/>
              <w:divBdr>
                <w:top w:val="none" w:sz="0" w:space="0" w:color="auto"/>
                <w:left w:val="none" w:sz="0" w:space="0" w:color="auto"/>
                <w:bottom w:val="none" w:sz="0" w:space="0" w:color="auto"/>
                <w:right w:val="none" w:sz="0" w:space="0" w:color="auto"/>
              </w:divBdr>
            </w:div>
            <w:div w:id="1885095390">
              <w:marLeft w:val="0"/>
              <w:marRight w:val="0"/>
              <w:marTop w:val="0"/>
              <w:marBottom w:val="0"/>
              <w:divBdr>
                <w:top w:val="none" w:sz="0" w:space="0" w:color="auto"/>
                <w:left w:val="none" w:sz="0" w:space="0" w:color="auto"/>
                <w:bottom w:val="none" w:sz="0" w:space="0" w:color="auto"/>
                <w:right w:val="none" w:sz="0" w:space="0" w:color="auto"/>
              </w:divBdr>
            </w:div>
            <w:div w:id="1912426166">
              <w:marLeft w:val="0"/>
              <w:marRight w:val="0"/>
              <w:marTop w:val="0"/>
              <w:marBottom w:val="0"/>
              <w:divBdr>
                <w:top w:val="none" w:sz="0" w:space="0" w:color="auto"/>
                <w:left w:val="none" w:sz="0" w:space="0" w:color="auto"/>
                <w:bottom w:val="none" w:sz="0" w:space="0" w:color="auto"/>
                <w:right w:val="none" w:sz="0" w:space="0" w:color="auto"/>
              </w:divBdr>
            </w:div>
            <w:div w:id="2058045664">
              <w:marLeft w:val="0"/>
              <w:marRight w:val="0"/>
              <w:marTop w:val="0"/>
              <w:marBottom w:val="0"/>
              <w:divBdr>
                <w:top w:val="none" w:sz="0" w:space="0" w:color="auto"/>
                <w:left w:val="none" w:sz="0" w:space="0" w:color="auto"/>
                <w:bottom w:val="none" w:sz="0" w:space="0" w:color="auto"/>
                <w:right w:val="none" w:sz="0" w:space="0" w:color="auto"/>
              </w:divBdr>
            </w:div>
          </w:divsChild>
        </w:div>
        <w:div w:id="1002123067">
          <w:marLeft w:val="0"/>
          <w:marRight w:val="0"/>
          <w:marTop w:val="0"/>
          <w:marBottom w:val="0"/>
          <w:divBdr>
            <w:top w:val="none" w:sz="0" w:space="0" w:color="auto"/>
            <w:left w:val="none" w:sz="0" w:space="0" w:color="auto"/>
            <w:bottom w:val="none" w:sz="0" w:space="0" w:color="auto"/>
            <w:right w:val="none" w:sz="0" w:space="0" w:color="auto"/>
          </w:divBdr>
          <w:divsChild>
            <w:div w:id="27994012">
              <w:marLeft w:val="0"/>
              <w:marRight w:val="0"/>
              <w:marTop w:val="0"/>
              <w:marBottom w:val="0"/>
              <w:divBdr>
                <w:top w:val="none" w:sz="0" w:space="0" w:color="auto"/>
                <w:left w:val="none" w:sz="0" w:space="0" w:color="auto"/>
                <w:bottom w:val="none" w:sz="0" w:space="0" w:color="auto"/>
                <w:right w:val="none" w:sz="0" w:space="0" w:color="auto"/>
              </w:divBdr>
            </w:div>
            <w:div w:id="226304114">
              <w:marLeft w:val="0"/>
              <w:marRight w:val="0"/>
              <w:marTop w:val="0"/>
              <w:marBottom w:val="0"/>
              <w:divBdr>
                <w:top w:val="none" w:sz="0" w:space="0" w:color="auto"/>
                <w:left w:val="none" w:sz="0" w:space="0" w:color="auto"/>
                <w:bottom w:val="none" w:sz="0" w:space="0" w:color="auto"/>
                <w:right w:val="none" w:sz="0" w:space="0" w:color="auto"/>
              </w:divBdr>
            </w:div>
            <w:div w:id="235828207">
              <w:marLeft w:val="0"/>
              <w:marRight w:val="0"/>
              <w:marTop w:val="0"/>
              <w:marBottom w:val="0"/>
              <w:divBdr>
                <w:top w:val="none" w:sz="0" w:space="0" w:color="auto"/>
                <w:left w:val="none" w:sz="0" w:space="0" w:color="auto"/>
                <w:bottom w:val="none" w:sz="0" w:space="0" w:color="auto"/>
                <w:right w:val="none" w:sz="0" w:space="0" w:color="auto"/>
              </w:divBdr>
            </w:div>
            <w:div w:id="437913175">
              <w:marLeft w:val="0"/>
              <w:marRight w:val="0"/>
              <w:marTop w:val="0"/>
              <w:marBottom w:val="0"/>
              <w:divBdr>
                <w:top w:val="none" w:sz="0" w:space="0" w:color="auto"/>
                <w:left w:val="none" w:sz="0" w:space="0" w:color="auto"/>
                <w:bottom w:val="none" w:sz="0" w:space="0" w:color="auto"/>
                <w:right w:val="none" w:sz="0" w:space="0" w:color="auto"/>
              </w:divBdr>
            </w:div>
            <w:div w:id="892543312">
              <w:marLeft w:val="0"/>
              <w:marRight w:val="0"/>
              <w:marTop w:val="0"/>
              <w:marBottom w:val="0"/>
              <w:divBdr>
                <w:top w:val="none" w:sz="0" w:space="0" w:color="auto"/>
                <w:left w:val="none" w:sz="0" w:space="0" w:color="auto"/>
                <w:bottom w:val="none" w:sz="0" w:space="0" w:color="auto"/>
                <w:right w:val="none" w:sz="0" w:space="0" w:color="auto"/>
              </w:divBdr>
            </w:div>
            <w:div w:id="910237764">
              <w:marLeft w:val="0"/>
              <w:marRight w:val="0"/>
              <w:marTop w:val="0"/>
              <w:marBottom w:val="0"/>
              <w:divBdr>
                <w:top w:val="none" w:sz="0" w:space="0" w:color="auto"/>
                <w:left w:val="none" w:sz="0" w:space="0" w:color="auto"/>
                <w:bottom w:val="none" w:sz="0" w:space="0" w:color="auto"/>
                <w:right w:val="none" w:sz="0" w:space="0" w:color="auto"/>
              </w:divBdr>
            </w:div>
            <w:div w:id="975641384">
              <w:marLeft w:val="0"/>
              <w:marRight w:val="0"/>
              <w:marTop w:val="0"/>
              <w:marBottom w:val="0"/>
              <w:divBdr>
                <w:top w:val="none" w:sz="0" w:space="0" w:color="auto"/>
                <w:left w:val="none" w:sz="0" w:space="0" w:color="auto"/>
                <w:bottom w:val="none" w:sz="0" w:space="0" w:color="auto"/>
                <w:right w:val="none" w:sz="0" w:space="0" w:color="auto"/>
              </w:divBdr>
            </w:div>
            <w:div w:id="1019509311">
              <w:marLeft w:val="0"/>
              <w:marRight w:val="0"/>
              <w:marTop w:val="0"/>
              <w:marBottom w:val="0"/>
              <w:divBdr>
                <w:top w:val="none" w:sz="0" w:space="0" w:color="auto"/>
                <w:left w:val="none" w:sz="0" w:space="0" w:color="auto"/>
                <w:bottom w:val="none" w:sz="0" w:space="0" w:color="auto"/>
                <w:right w:val="none" w:sz="0" w:space="0" w:color="auto"/>
              </w:divBdr>
            </w:div>
            <w:div w:id="1090547451">
              <w:marLeft w:val="0"/>
              <w:marRight w:val="0"/>
              <w:marTop w:val="0"/>
              <w:marBottom w:val="0"/>
              <w:divBdr>
                <w:top w:val="none" w:sz="0" w:space="0" w:color="auto"/>
                <w:left w:val="none" w:sz="0" w:space="0" w:color="auto"/>
                <w:bottom w:val="none" w:sz="0" w:space="0" w:color="auto"/>
                <w:right w:val="none" w:sz="0" w:space="0" w:color="auto"/>
              </w:divBdr>
            </w:div>
            <w:div w:id="1232540470">
              <w:marLeft w:val="0"/>
              <w:marRight w:val="0"/>
              <w:marTop w:val="0"/>
              <w:marBottom w:val="0"/>
              <w:divBdr>
                <w:top w:val="none" w:sz="0" w:space="0" w:color="auto"/>
                <w:left w:val="none" w:sz="0" w:space="0" w:color="auto"/>
                <w:bottom w:val="none" w:sz="0" w:space="0" w:color="auto"/>
                <w:right w:val="none" w:sz="0" w:space="0" w:color="auto"/>
              </w:divBdr>
            </w:div>
            <w:div w:id="1375422621">
              <w:marLeft w:val="0"/>
              <w:marRight w:val="0"/>
              <w:marTop w:val="0"/>
              <w:marBottom w:val="0"/>
              <w:divBdr>
                <w:top w:val="none" w:sz="0" w:space="0" w:color="auto"/>
                <w:left w:val="none" w:sz="0" w:space="0" w:color="auto"/>
                <w:bottom w:val="none" w:sz="0" w:space="0" w:color="auto"/>
                <w:right w:val="none" w:sz="0" w:space="0" w:color="auto"/>
              </w:divBdr>
            </w:div>
            <w:div w:id="1453817760">
              <w:marLeft w:val="0"/>
              <w:marRight w:val="0"/>
              <w:marTop w:val="0"/>
              <w:marBottom w:val="0"/>
              <w:divBdr>
                <w:top w:val="none" w:sz="0" w:space="0" w:color="auto"/>
                <w:left w:val="none" w:sz="0" w:space="0" w:color="auto"/>
                <w:bottom w:val="none" w:sz="0" w:space="0" w:color="auto"/>
                <w:right w:val="none" w:sz="0" w:space="0" w:color="auto"/>
              </w:divBdr>
            </w:div>
            <w:div w:id="1681810373">
              <w:marLeft w:val="0"/>
              <w:marRight w:val="0"/>
              <w:marTop w:val="0"/>
              <w:marBottom w:val="0"/>
              <w:divBdr>
                <w:top w:val="none" w:sz="0" w:space="0" w:color="auto"/>
                <w:left w:val="none" w:sz="0" w:space="0" w:color="auto"/>
                <w:bottom w:val="none" w:sz="0" w:space="0" w:color="auto"/>
                <w:right w:val="none" w:sz="0" w:space="0" w:color="auto"/>
              </w:divBdr>
            </w:div>
            <w:div w:id="1776823745">
              <w:marLeft w:val="0"/>
              <w:marRight w:val="0"/>
              <w:marTop w:val="0"/>
              <w:marBottom w:val="0"/>
              <w:divBdr>
                <w:top w:val="none" w:sz="0" w:space="0" w:color="auto"/>
                <w:left w:val="none" w:sz="0" w:space="0" w:color="auto"/>
                <w:bottom w:val="none" w:sz="0" w:space="0" w:color="auto"/>
                <w:right w:val="none" w:sz="0" w:space="0" w:color="auto"/>
              </w:divBdr>
            </w:div>
            <w:div w:id="1821115445">
              <w:marLeft w:val="0"/>
              <w:marRight w:val="0"/>
              <w:marTop w:val="0"/>
              <w:marBottom w:val="0"/>
              <w:divBdr>
                <w:top w:val="none" w:sz="0" w:space="0" w:color="auto"/>
                <w:left w:val="none" w:sz="0" w:space="0" w:color="auto"/>
                <w:bottom w:val="none" w:sz="0" w:space="0" w:color="auto"/>
                <w:right w:val="none" w:sz="0" w:space="0" w:color="auto"/>
              </w:divBdr>
            </w:div>
            <w:div w:id="1894920414">
              <w:marLeft w:val="0"/>
              <w:marRight w:val="0"/>
              <w:marTop w:val="0"/>
              <w:marBottom w:val="0"/>
              <w:divBdr>
                <w:top w:val="none" w:sz="0" w:space="0" w:color="auto"/>
                <w:left w:val="none" w:sz="0" w:space="0" w:color="auto"/>
                <w:bottom w:val="none" w:sz="0" w:space="0" w:color="auto"/>
                <w:right w:val="none" w:sz="0" w:space="0" w:color="auto"/>
              </w:divBdr>
            </w:div>
            <w:div w:id="2107380103">
              <w:marLeft w:val="0"/>
              <w:marRight w:val="0"/>
              <w:marTop w:val="0"/>
              <w:marBottom w:val="0"/>
              <w:divBdr>
                <w:top w:val="none" w:sz="0" w:space="0" w:color="auto"/>
                <w:left w:val="none" w:sz="0" w:space="0" w:color="auto"/>
                <w:bottom w:val="none" w:sz="0" w:space="0" w:color="auto"/>
                <w:right w:val="none" w:sz="0" w:space="0" w:color="auto"/>
              </w:divBdr>
            </w:div>
          </w:divsChild>
        </w:div>
        <w:div w:id="1091046891">
          <w:marLeft w:val="0"/>
          <w:marRight w:val="0"/>
          <w:marTop w:val="0"/>
          <w:marBottom w:val="0"/>
          <w:divBdr>
            <w:top w:val="none" w:sz="0" w:space="0" w:color="auto"/>
            <w:left w:val="none" w:sz="0" w:space="0" w:color="auto"/>
            <w:bottom w:val="none" w:sz="0" w:space="0" w:color="auto"/>
            <w:right w:val="none" w:sz="0" w:space="0" w:color="auto"/>
          </w:divBdr>
          <w:divsChild>
            <w:div w:id="161625173">
              <w:marLeft w:val="0"/>
              <w:marRight w:val="0"/>
              <w:marTop w:val="0"/>
              <w:marBottom w:val="0"/>
              <w:divBdr>
                <w:top w:val="none" w:sz="0" w:space="0" w:color="auto"/>
                <w:left w:val="none" w:sz="0" w:space="0" w:color="auto"/>
                <w:bottom w:val="none" w:sz="0" w:space="0" w:color="auto"/>
                <w:right w:val="none" w:sz="0" w:space="0" w:color="auto"/>
              </w:divBdr>
            </w:div>
            <w:div w:id="290330485">
              <w:marLeft w:val="0"/>
              <w:marRight w:val="0"/>
              <w:marTop w:val="0"/>
              <w:marBottom w:val="0"/>
              <w:divBdr>
                <w:top w:val="none" w:sz="0" w:space="0" w:color="auto"/>
                <w:left w:val="none" w:sz="0" w:space="0" w:color="auto"/>
                <w:bottom w:val="none" w:sz="0" w:space="0" w:color="auto"/>
                <w:right w:val="none" w:sz="0" w:space="0" w:color="auto"/>
              </w:divBdr>
            </w:div>
            <w:div w:id="297422436">
              <w:marLeft w:val="0"/>
              <w:marRight w:val="0"/>
              <w:marTop w:val="0"/>
              <w:marBottom w:val="0"/>
              <w:divBdr>
                <w:top w:val="none" w:sz="0" w:space="0" w:color="auto"/>
                <w:left w:val="none" w:sz="0" w:space="0" w:color="auto"/>
                <w:bottom w:val="none" w:sz="0" w:space="0" w:color="auto"/>
                <w:right w:val="none" w:sz="0" w:space="0" w:color="auto"/>
              </w:divBdr>
            </w:div>
            <w:div w:id="821895115">
              <w:marLeft w:val="0"/>
              <w:marRight w:val="0"/>
              <w:marTop w:val="0"/>
              <w:marBottom w:val="0"/>
              <w:divBdr>
                <w:top w:val="none" w:sz="0" w:space="0" w:color="auto"/>
                <w:left w:val="none" w:sz="0" w:space="0" w:color="auto"/>
                <w:bottom w:val="none" w:sz="0" w:space="0" w:color="auto"/>
                <w:right w:val="none" w:sz="0" w:space="0" w:color="auto"/>
              </w:divBdr>
            </w:div>
            <w:div w:id="1090925782">
              <w:marLeft w:val="0"/>
              <w:marRight w:val="0"/>
              <w:marTop w:val="0"/>
              <w:marBottom w:val="0"/>
              <w:divBdr>
                <w:top w:val="none" w:sz="0" w:space="0" w:color="auto"/>
                <w:left w:val="none" w:sz="0" w:space="0" w:color="auto"/>
                <w:bottom w:val="none" w:sz="0" w:space="0" w:color="auto"/>
                <w:right w:val="none" w:sz="0" w:space="0" w:color="auto"/>
              </w:divBdr>
            </w:div>
            <w:div w:id="1361591865">
              <w:marLeft w:val="0"/>
              <w:marRight w:val="0"/>
              <w:marTop w:val="0"/>
              <w:marBottom w:val="0"/>
              <w:divBdr>
                <w:top w:val="none" w:sz="0" w:space="0" w:color="auto"/>
                <w:left w:val="none" w:sz="0" w:space="0" w:color="auto"/>
                <w:bottom w:val="none" w:sz="0" w:space="0" w:color="auto"/>
                <w:right w:val="none" w:sz="0" w:space="0" w:color="auto"/>
              </w:divBdr>
            </w:div>
            <w:div w:id="1373266072">
              <w:marLeft w:val="0"/>
              <w:marRight w:val="0"/>
              <w:marTop w:val="0"/>
              <w:marBottom w:val="0"/>
              <w:divBdr>
                <w:top w:val="none" w:sz="0" w:space="0" w:color="auto"/>
                <w:left w:val="none" w:sz="0" w:space="0" w:color="auto"/>
                <w:bottom w:val="none" w:sz="0" w:space="0" w:color="auto"/>
                <w:right w:val="none" w:sz="0" w:space="0" w:color="auto"/>
              </w:divBdr>
            </w:div>
          </w:divsChild>
        </w:div>
        <w:div w:id="1193887206">
          <w:marLeft w:val="0"/>
          <w:marRight w:val="0"/>
          <w:marTop w:val="0"/>
          <w:marBottom w:val="0"/>
          <w:divBdr>
            <w:top w:val="none" w:sz="0" w:space="0" w:color="auto"/>
            <w:left w:val="none" w:sz="0" w:space="0" w:color="auto"/>
            <w:bottom w:val="none" w:sz="0" w:space="0" w:color="auto"/>
            <w:right w:val="none" w:sz="0" w:space="0" w:color="auto"/>
          </w:divBdr>
          <w:divsChild>
            <w:div w:id="156263312">
              <w:marLeft w:val="0"/>
              <w:marRight w:val="0"/>
              <w:marTop w:val="0"/>
              <w:marBottom w:val="0"/>
              <w:divBdr>
                <w:top w:val="none" w:sz="0" w:space="0" w:color="auto"/>
                <w:left w:val="none" w:sz="0" w:space="0" w:color="auto"/>
                <w:bottom w:val="none" w:sz="0" w:space="0" w:color="auto"/>
                <w:right w:val="none" w:sz="0" w:space="0" w:color="auto"/>
              </w:divBdr>
            </w:div>
            <w:div w:id="166989707">
              <w:marLeft w:val="0"/>
              <w:marRight w:val="0"/>
              <w:marTop w:val="0"/>
              <w:marBottom w:val="0"/>
              <w:divBdr>
                <w:top w:val="none" w:sz="0" w:space="0" w:color="auto"/>
                <w:left w:val="none" w:sz="0" w:space="0" w:color="auto"/>
                <w:bottom w:val="none" w:sz="0" w:space="0" w:color="auto"/>
                <w:right w:val="none" w:sz="0" w:space="0" w:color="auto"/>
              </w:divBdr>
            </w:div>
            <w:div w:id="434134095">
              <w:marLeft w:val="0"/>
              <w:marRight w:val="0"/>
              <w:marTop w:val="0"/>
              <w:marBottom w:val="0"/>
              <w:divBdr>
                <w:top w:val="none" w:sz="0" w:space="0" w:color="auto"/>
                <w:left w:val="none" w:sz="0" w:space="0" w:color="auto"/>
                <w:bottom w:val="none" w:sz="0" w:space="0" w:color="auto"/>
                <w:right w:val="none" w:sz="0" w:space="0" w:color="auto"/>
              </w:divBdr>
            </w:div>
            <w:div w:id="479544473">
              <w:marLeft w:val="0"/>
              <w:marRight w:val="0"/>
              <w:marTop w:val="0"/>
              <w:marBottom w:val="0"/>
              <w:divBdr>
                <w:top w:val="none" w:sz="0" w:space="0" w:color="auto"/>
                <w:left w:val="none" w:sz="0" w:space="0" w:color="auto"/>
                <w:bottom w:val="none" w:sz="0" w:space="0" w:color="auto"/>
                <w:right w:val="none" w:sz="0" w:space="0" w:color="auto"/>
              </w:divBdr>
            </w:div>
            <w:div w:id="722368392">
              <w:marLeft w:val="0"/>
              <w:marRight w:val="0"/>
              <w:marTop w:val="0"/>
              <w:marBottom w:val="0"/>
              <w:divBdr>
                <w:top w:val="none" w:sz="0" w:space="0" w:color="auto"/>
                <w:left w:val="none" w:sz="0" w:space="0" w:color="auto"/>
                <w:bottom w:val="none" w:sz="0" w:space="0" w:color="auto"/>
                <w:right w:val="none" w:sz="0" w:space="0" w:color="auto"/>
              </w:divBdr>
            </w:div>
            <w:div w:id="829827204">
              <w:marLeft w:val="0"/>
              <w:marRight w:val="0"/>
              <w:marTop w:val="0"/>
              <w:marBottom w:val="0"/>
              <w:divBdr>
                <w:top w:val="none" w:sz="0" w:space="0" w:color="auto"/>
                <w:left w:val="none" w:sz="0" w:space="0" w:color="auto"/>
                <w:bottom w:val="none" w:sz="0" w:space="0" w:color="auto"/>
                <w:right w:val="none" w:sz="0" w:space="0" w:color="auto"/>
              </w:divBdr>
            </w:div>
            <w:div w:id="899557047">
              <w:marLeft w:val="0"/>
              <w:marRight w:val="0"/>
              <w:marTop w:val="0"/>
              <w:marBottom w:val="0"/>
              <w:divBdr>
                <w:top w:val="none" w:sz="0" w:space="0" w:color="auto"/>
                <w:left w:val="none" w:sz="0" w:space="0" w:color="auto"/>
                <w:bottom w:val="none" w:sz="0" w:space="0" w:color="auto"/>
                <w:right w:val="none" w:sz="0" w:space="0" w:color="auto"/>
              </w:divBdr>
            </w:div>
            <w:div w:id="1029179624">
              <w:marLeft w:val="0"/>
              <w:marRight w:val="0"/>
              <w:marTop w:val="0"/>
              <w:marBottom w:val="0"/>
              <w:divBdr>
                <w:top w:val="none" w:sz="0" w:space="0" w:color="auto"/>
                <w:left w:val="none" w:sz="0" w:space="0" w:color="auto"/>
                <w:bottom w:val="none" w:sz="0" w:space="0" w:color="auto"/>
                <w:right w:val="none" w:sz="0" w:space="0" w:color="auto"/>
              </w:divBdr>
            </w:div>
            <w:div w:id="1135560238">
              <w:marLeft w:val="0"/>
              <w:marRight w:val="0"/>
              <w:marTop w:val="0"/>
              <w:marBottom w:val="0"/>
              <w:divBdr>
                <w:top w:val="none" w:sz="0" w:space="0" w:color="auto"/>
                <w:left w:val="none" w:sz="0" w:space="0" w:color="auto"/>
                <w:bottom w:val="none" w:sz="0" w:space="0" w:color="auto"/>
                <w:right w:val="none" w:sz="0" w:space="0" w:color="auto"/>
              </w:divBdr>
            </w:div>
            <w:div w:id="1151753723">
              <w:marLeft w:val="0"/>
              <w:marRight w:val="0"/>
              <w:marTop w:val="0"/>
              <w:marBottom w:val="0"/>
              <w:divBdr>
                <w:top w:val="none" w:sz="0" w:space="0" w:color="auto"/>
                <w:left w:val="none" w:sz="0" w:space="0" w:color="auto"/>
                <w:bottom w:val="none" w:sz="0" w:space="0" w:color="auto"/>
                <w:right w:val="none" w:sz="0" w:space="0" w:color="auto"/>
              </w:divBdr>
            </w:div>
            <w:div w:id="1179196636">
              <w:marLeft w:val="0"/>
              <w:marRight w:val="0"/>
              <w:marTop w:val="0"/>
              <w:marBottom w:val="0"/>
              <w:divBdr>
                <w:top w:val="none" w:sz="0" w:space="0" w:color="auto"/>
                <w:left w:val="none" w:sz="0" w:space="0" w:color="auto"/>
                <w:bottom w:val="none" w:sz="0" w:space="0" w:color="auto"/>
                <w:right w:val="none" w:sz="0" w:space="0" w:color="auto"/>
              </w:divBdr>
            </w:div>
            <w:div w:id="1277058946">
              <w:marLeft w:val="0"/>
              <w:marRight w:val="0"/>
              <w:marTop w:val="0"/>
              <w:marBottom w:val="0"/>
              <w:divBdr>
                <w:top w:val="none" w:sz="0" w:space="0" w:color="auto"/>
                <w:left w:val="none" w:sz="0" w:space="0" w:color="auto"/>
                <w:bottom w:val="none" w:sz="0" w:space="0" w:color="auto"/>
                <w:right w:val="none" w:sz="0" w:space="0" w:color="auto"/>
              </w:divBdr>
            </w:div>
            <w:div w:id="1328561542">
              <w:marLeft w:val="0"/>
              <w:marRight w:val="0"/>
              <w:marTop w:val="0"/>
              <w:marBottom w:val="0"/>
              <w:divBdr>
                <w:top w:val="none" w:sz="0" w:space="0" w:color="auto"/>
                <w:left w:val="none" w:sz="0" w:space="0" w:color="auto"/>
                <w:bottom w:val="none" w:sz="0" w:space="0" w:color="auto"/>
                <w:right w:val="none" w:sz="0" w:space="0" w:color="auto"/>
              </w:divBdr>
            </w:div>
            <w:div w:id="1344237739">
              <w:marLeft w:val="0"/>
              <w:marRight w:val="0"/>
              <w:marTop w:val="0"/>
              <w:marBottom w:val="0"/>
              <w:divBdr>
                <w:top w:val="none" w:sz="0" w:space="0" w:color="auto"/>
                <w:left w:val="none" w:sz="0" w:space="0" w:color="auto"/>
                <w:bottom w:val="none" w:sz="0" w:space="0" w:color="auto"/>
                <w:right w:val="none" w:sz="0" w:space="0" w:color="auto"/>
              </w:divBdr>
            </w:div>
            <w:div w:id="1541669378">
              <w:marLeft w:val="0"/>
              <w:marRight w:val="0"/>
              <w:marTop w:val="0"/>
              <w:marBottom w:val="0"/>
              <w:divBdr>
                <w:top w:val="none" w:sz="0" w:space="0" w:color="auto"/>
                <w:left w:val="none" w:sz="0" w:space="0" w:color="auto"/>
                <w:bottom w:val="none" w:sz="0" w:space="0" w:color="auto"/>
                <w:right w:val="none" w:sz="0" w:space="0" w:color="auto"/>
              </w:divBdr>
            </w:div>
            <w:div w:id="1548564102">
              <w:marLeft w:val="0"/>
              <w:marRight w:val="0"/>
              <w:marTop w:val="0"/>
              <w:marBottom w:val="0"/>
              <w:divBdr>
                <w:top w:val="none" w:sz="0" w:space="0" w:color="auto"/>
                <w:left w:val="none" w:sz="0" w:space="0" w:color="auto"/>
                <w:bottom w:val="none" w:sz="0" w:space="0" w:color="auto"/>
                <w:right w:val="none" w:sz="0" w:space="0" w:color="auto"/>
              </w:divBdr>
            </w:div>
            <w:div w:id="1555309107">
              <w:marLeft w:val="0"/>
              <w:marRight w:val="0"/>
              <w:marTop w:val="0"/>
              <w:marBottom w:val="0"/>
              <w:divBdr>
                <w:top w:val="none" w:sz="0" w:space="0" w:color="auto"/>
                <w:left w:val="none" w:sz="0" w:space="0" w:color="auto"/>
                <w:bottom w:val="none" w:sz="0" w:space="0" w:color="auto"/>
                <w:right w:val="none" w:sz="0" w:space="0" w:color="auto"/>
              </w:divBdr>
            </w:div>
            <w:div w:id="1731732855">
              <w:marLeft w:val="0"/>
              <w:marRight w:val="0"/>
              <w:marTop w:val="0"/>
              <w:marBottom w:val="0"/>
              <w:divBdr>
                <w:top w:val="none" w:sz="0" w:space="0" w:color="auto"/>
                <w:left w:val="none" w:sz="0" w:space="0" w:color="auto"/>
                <w:bottom w:val="none" w:sz="0" w:space="0" w:color="auto"/>
                <w:right w:val="none" w:sz="0" w:space="0" w:color="auto"/>
              </w:divBdr>
            </w:div>
            <w:div w:id="1778140164">
              <w:marLeft w:val="0"/>
              <w:marRight w:val="0"/>
              <w:marTop w:val="0"/>
              <w:marBottom w:val="0"/>
              <w:divBdr>
                <w:top w:val="none" w:sz="0" w:space="0" w:color="auto"/>
                <w:left w:val="none" w:sz="0" w:space="0" w:color="auto"/>
                <w:bottom w:val="none" w:sz="0" w:space="0" w:color="auto"/>
                <w:right w:val="none" w:sz="0" w:space="0" w:color="auto"/>
              </w:divBdr>
            </w:div>
            <w:div w:id="1788087655">
              <w:marLeft w:val="0"/>
              <w:marRight w:val="0"/>
              <w:marTop w:val="0"/>
              <w:marBottom w:val="0"/>
              <w:divBdr>
                <w:top w:val="none" w:sz="0" w:space="0" w:color="auto"/>
                <w:left w:val="none" w:sz="0" w:space="0" w:color="auto"/>
                <w:bottom w:val="none" w:sz="0" w:space="0" w:color="auto"/>
                <w:right w:val="none" w:sz="0" w:space="0" w:color="auto"/>
              </w:divBdr>
            </w:div>
            <w:div w:id="1869178975">
              <w:marLeft w:val="0"/>
              <w:marRight w:val="0"/>
              <w:marTop w:val="0"/>
              <w:marBottom w:val="0"/>
              <w:divBdr>
                <w:top w:val="none" w:sz="0" w:space="0" w:color="auto"/>
                <w:left w:val="none" w:sz="0" w:space="0" w:color="auto"/>
                <w:bottom w:val="none" w:sz="0" w:space="0" w:color="auto"/>
                <w:right w:val="none" w:sz="0" w:space="0" w:color="auto"/>
              </w:divBdr>
            </w:div>
            <w:div w:id="1910923694">
              <w:marLeft w:val="0"/>
              <w:marRight w:val="0"/>
              <w:marTop w:val="0"/>
              <w:marBottom w:val="0"/>
              <w:divBdr>
                <w:top w:val="none" w:sz="0" w:space="0" w:color="auto"/>
                <w:left w:val="none" w:sz="0" w:space="0" w:color="auto"/>
                <w:bottom w:val="none" w:sz="0" w:space="0" w:color="auto"/>
                <w:right w:val="none" w:sz="0" w:space="0" w:color="auto"/>
              </w:divBdr>
            </w:div>
            <w:div w:id="2000115461">
              <w:marLeft w:val="0"/>
              <w:marRight w:val="0"/>
              <w:marTop w:val="0"/>
              <w:marBottom w:val="0"/>
              <w:divBdr>
                <w:top w:val="none" w:sz="0" w:space="0" w:color="auto"/>
                <w:left w:val="none" w:sz="0" w:space="0" w:color="auto"/>
                <w:bottom w:val="none" w:sz="0" w:space="0" w:color="auto"/>
                <w:right w:val="none" w:sz="0" w:space="0" w:color="auto"/>
              </w:divBdr>
            </w:div>
            <w:div w:id="2073499679">
              <w:marLeft w:val="0"/>
              <w:marRight w:val="0"/>
              <w:marTop w:val="0"/>
              <w:marBottom w:val="0"/>
              <w:divBdr>
                <w:top w:val="none" w:sz="0" w:space="0" w:color="auto"/>
                <w:left w:val="none" w:sz="0" w:space="0" w:color="auto"/>
                <w:bottom w:val="none" w:sz="0" w:space="0" w:color="auto"/>
                <w:right w:val="none" w:sz="0" w:space="0" w:color="auto"/>
              </w:divBdr>
            </w:div>
            <w:div w:id="2098624784">
              <w:marLeft w:val="0"/>
              <w:marRight w:val="0"/>
              <w:marTop w:val="0"/>
              <w:marBottom w:val="0"/>
              <w:divBdr>
                <w:top w:val="none" w:sz="0" w:space="0" w:color="auto"/>
                <w:left w:val="none" w:sz="0" w:space="0" w:color="auto"/>
                <w:bottom w:val="none" w:sz="0" w:space="0" w:color="auto"/>
                <w:right w:val="none" w:sz="0" w:space="0" w:color="auto"/>
              </w:divBdr>
            </w:div>
          </w:divsChild>
        </w:div>
        <w:div w:id="1300646118">
          <w:marLeft w:val="0"/>
          <w:marRight w:val="0"/>
          <w:marTop w:val="0"/>
          <w:marBottom w:val="0"/>
          <w:divBdr>
            <w:top w:val="none" w:sz="0" w:space="0" w:color="auto"/>
            <w:left w:val="none" w:sz="0" w:space="0" w:color="auto"/>
            <w:bottom w:val="none" w:sz="0" w:space="0" w:color="auto"/>
            <w:right w:val="none" w:sz="0" w:space="0" w:color="auto"/>
          </w:divBdr>
          <w:divsChild>
            <w:div w:id="23724351">
              <w:marLeft w:val="0"/>
              <w:marRight w:val="0"/>
              <w:marTop w:val="0"/>
              <w:marBottom w:val="0"/>
              <w:divBdr>
                <w:top w:val="none" w:sz="0" w:space="0" w:color="auto"/>
                <w:left w:val="none" w:sz="0" w:space="0" w:color="auto"/>
                <w:bottom w:val="none" w:sz="0" w:space="0" w:color="auto"/>
                <w:right w:val="none" w:sz="0" w:space="0" w:color="auto"/>
              </w:divBdr>
            </w:div>
            <w:div w:id="28147421">
              <w:marLeft w:val="0"/>
              <w:marRight w:val="0"/>
              <w:marTop w:val="0"/>
              <w:marBottom w:val="0"/>
              <w:divBdr>
                <w:top w:val="none" w:sz="0" w:space="0" w:color="auto"/>
                <w:left w:val="none" w:sz="0" w:space="0" w:color="auto"/>
                <w:bottom w:val="none" w:sz="0" w:space="0" w:color="auto"/>
                <w:right w:val="none" w:sz="0" w:space="0" w:color="auto"/>
              </w:divBdr>
            </w:div>
            <w:div w:id="145896150">
              <w:marLeft w:val="0"/>
              <w:marRight w:val="0"/>
              <w:marTop w:val="0"/>
              <w:marBottom w:val="0"/>
              <w:divBdr>
                <w:top w:val="none" w:sz="0" w:space="0" w:color="auto"/>
                <w:left w:val="none" w:sz="0" w:space="0" w:color="auto"/>
                <w:bottom w:val="none" w:sz="0" w:space="0" w:color="auto"/>
                <w:right w:val="none" w:sz="0" w:space="0" w:color="auto"/>
              </w:divBdr>
            </w:div>
            <w:div w:id="157816372">
              <w:marLeft w:val="0"/>
              <w:marRight w:val="0"/>
              <w:marTop w:val="0"/>
              <w:marBottom w:val="0"/>
              <w:divBdr>
                <w:top w:val="none" w:sz="0" w:space="0" w:color="auto"/>
                <w:left w:val="none" w:sz="0" w:space="0" w:color="auto"/>
                <w:bottom w:val="none" w:sz="0" w:space="0" w:color="auto"/>
                <w:right w:val="none" w:sz="0" w:space="0" w:color="auto"/>
              </w:divBdr>
            </w:div>
            <w:div w:id="231820407">
              <w:marLeft w:val="0"/>
              <w:marRight w:val="0"/>
              <w:marTop w:val="0"/>
              <w:marBottom w:val="0"/>
              <w:divBdr>
                <w:top w:val="none" w:sz="0" w:space="0" w:color="auto"/>
                <w:left w:val="none" w:sz="0" w:space="0" w:color="auto"/>
                <w:bottom w:val="none" w:sz="0" w:space="0" w:color="auto"/>
                <w:right w:val="none" w:sz="0" w:space="0" w:color="auto"/>
              </w:divBdr>
            </w:div>
            <w:div w:id="318659385">
              <w:marLeft w:val="0"/>
              <w:marRight w:val="0"/>
              <w:marTop w:val="0"/>
              <w:marBottom w:val="0"/>
              <w:divBdr>
                <w:top w:val="none" w:sz="0" w:space="0" w:color="auto"/>
                <w:left w:val="none" w:sz="0" w:space="0" w:color="auto"/>
                <w:bottom w:val="none" w:sz="0" w:space="0" w:color="auto"/>
                <w:right w:val="none" w:sz="0" w:space="0" w:color="auto"/>
              </w:divBdr>
            </w:div>
            <w:div w:id="548151603">
              <w:marLeft w:val="0"/>
              <w:marRight w:val="0"/>
              <w:marTop w:val="0"/>
              <w:marBottom w:val="0"/>
              <w:divBdr>
                <w:top w:val="none" w:sz="0" w:space="0" w:color="auto"/>
                <w:left w:val="none" w:sz="0" w:space="0" w:color="auto"/>
                <w:bottom w:val="none" w:sz="0" w:space="0" w:color="auto"/>
                <w:right w:val="none" w:sz="0" w:space="0" w:color="auto"/>
              </w:divBdr>
            </w:div>
            <w:div w:id="742683499">
              <w:marLeft w:val="0"/>
              <w:marRight w:val="0"/>
              <w:marTop w:val="0"/>
              <w:marBottom w:val="0"/>
              <w:divBdr>
                <w:top w:val="none" w:sz="0" w:space="0" w:color="auto"/>
                <w:left w:val="none" w:sz="0" w:space="0" w:color="auto"/>
                <w:bottom w:val="none" w:sz="0" w:space="0" w:color="auto"/>
                <w:right w:val="none" w:sz="0" w:space="0" w:color="auto"/>
              </w:divBdr>
            </w:div>
            <w:div w:id="907154579">
              <w:marLeft w:val="0"/>
              <w:marRight w:val="0"/>
              <w:marTop w:val="0"/>
              <w:marBottom w:val="0"/>
              <w:divBdr>
                <w:top w:val="none" w:sz="0" w:space="0" w:color="auto"/>
                <w:left w:val="none" w:sz="0" w:space="0" w:color="auto"/>
                <w:bottom w:val="none" w:sz="0" w:space="0" w:color="auto"/>
                <w:right w:val="none" w:sz="0" w:space="0" w:color="auto"/>
              </w:divBdr>
            </w:div>
            <w:div w:id="1007833226">
              <w:marLeft w:val="0"/>
              <w:marRight w:val="0"/>
              <w:marTop w:val="0"/>
              <w:marBottom w:val="0"/>
              <w:divBdr>
                <w:top w:val="none" w:sz="0" w:space="0" w:color="auto"/>
                <w:left w:val="none" w:sz="0" w:space="0" w:color="auto"/>
                <w:bottom w:val="none" w:sz="0" w:space="0" w:color="auto"/>
                <w:right w:val="none" w:sz="0" w:space="0" w:color="auto"/>
              </w:divBdr>
            </w:div>
            <w:div w:id="1116414112">
              <w:marLeft w:val="0"/>
              <w:marRight w:val="0"/>
              <w:marTop w:val="0"/>
              <w:marBottom w:val="0"/>
              <w:divBdr>
                <w:top w:val="none" w:sz="0" w:space="0" w:color="auto"/>
                <w:left w:val="none" w:sz="0" w:space="0" w:color="auto"/>
                <w:bottom w:val="none" w:sz="0" w:space="0" w:color="auto"/>
                <w:right w:val="none" w:sz="0" w:space="0" w:color="auto"/>
              </w:divBdr>
            </w:div>
            <w:div w:id="1401362692">
              <w:marLeft w:val="0"/>
              <w:marRight w:val="0"/>
              <w:marTop w:val="0"/>
              <w:marBottom w:val="0"/>
              <w:divBdr>
                <w:top w:val="none" w:sz="0" w:space="0" w:color="auto"/>
                <w:left w:val="none" w:sz="0" w:space="0" w:color="auto"/>
                <w:bottom w:val="none" w:sz="0" w:space="0" w:color="auto"/>
                <w:right w:val="none" w:sz="0" w:space="0" w:color="auto"/>
              </w:divBdr>
            </w:div>
            <w:div w:id="1451432271">
              <w:marLeft w:val="0"/>
              <w:marRight w:val="0"/>
              <w:marTop w:val="0"/>
              <w:marBottom w:val="0"/>
              <w:divBdr>
                <w:top w:val="none" w:sz="0" w:space="0" w:color="auto"/>
                <w:left w:val="none" w:sz="0" w:space="0" w:color="auto"/>
                <w:bottom w:val="none" w:sz="0" w:space="0" w:color="auto"/>
                <w:right w:val="none" w:sz="0" w:space="0" w:color="auto"/>
              </w:divBdr>
            </w:div>
            <w:div w:id="1711145488">
              <w:marLeft w:val="0"/>
              <w:marRight w:val="0"/>
              <w:marTop w:val="0"/>
              <w:marBottom w:val="0"/>
              <w:divBdr>
                <w:top w:val="none" w:sz="0" w:space="0" w:color="auto"/>
                <w:left w:val="none" w:sz="0" w:space="0" w:color="auto"/>
                <w:bottom w:val="none" w:sz="0" w:space="0" w:color="auto"/>
                <w:right w:val="none" w:sz="0" w:space="0" w:color="auto"/>
              </w:divBdr>
            </w:div>
            <w:div w:id="1723014738">
              <w:marLeft w:val="0"/>
              <w:marRight w:val="0"/>
              <w:marTop w:val="0"/>
              <w:marBottom w:val="0"/>
              <w:divBdr>
                <w:top w:val="none" w:sz="0" w:space="0" w:color="auto"/>
                <w:left w:val="none" w:sz="0" w:space="0" w:color="auto"/>
                <w:bottom w:val="none" w:sz="0" w:space="0" w:color="auto"/>
                <w:right w:val="none" w:sz="0" w:space="0" w:color="auto"/>
              </w:divBdr>
            </w:div>
            <w:div w:id="1760567259">
              <w:marLeft w:val="0"/>
              <w:marRight w:val="0"/>
              <w:marTop w:val="0"/>
              <w:marBottom w:val="0"/>
              <w:divBdr>
                <w:top w:val="none" w:sz="0" w:space="0" w:color="auto"/>
                <w:left w:val="none" w:sz="0" w:space="0" w:color="auto"/>
                <w:bottom w:val="none" w:sz="0" w:space="0" w:color="auto"/>
                <w:right w:val="none" w:sz="0" w:space="0" w:color="auto"/>
              </w:divBdr>
            </w:div>
            <w:div w:id="1944456113">
              <w:marLeft w:val="0"/>
              <w:marRight w:val="0"/>
              <w:marTop w:val="0"/>
              <w:marBottom w:val="0"/>
              <w:divBdr>
                <w:top w:val="none" w:sz="0" w:space="0" w:color="auto"/>
                <w:left w:val="none" w:sz="0" w:space="0" w:color="auto"/>
                <w:bottom w:val="none" w:sz="0" w:space="0" w:color="auto"/>
                <w:right w:val="none" w:sz="0" w:space="0" w:color="auto"/>
              </w:divBdr>
            </w:div>
            <w:div w:id="2010789181">
              <w:marLeft w:val="0"/>
              <w:marRight w:val="0"/>
              <w:marTop w:val="0"/>
              <w:marBottom w:val="0"/>
              <w:divBdr>
                <w:top w:val="none" w:sz="0" w:space="0" w:color="auto"/>
                <w:left w:val="none" w:sz="0" w:space="0" w:color="auto"/>
                <w:bottom w:val="none" w:sz="0" w:space="0" w:color="auto"/>
                <w:right w:val="none" w:sz="0" w:space="0" w:color="auto"/>
              </w:divBdr>
            </w:div>
          </w:divsChild>
        </w:div>
        <w:div w:id="1743218847">
          <w:marLeft w:val="0"/>
          <w:marRight w:val="0"/>
          <w:marTop w:val="0"/>
          <w:marBottom w:val="0"/>
          <w:divBdr>
            <w:top w:val="none" w:sz="0" w:space="0" w:color="auto"/>
            <w:left w:val="none" w:sz="0" w:space="0" w:color="auto"/>
            <w:bottom w:val="none" w:sz="0" w:space="0" w:color="auto"/>
            <w:right w:val="none" w:sz="0" w:space="0" w:color="auto"/>
          </w:divBdr>
          <w:divsChild>
            <w:div w:id="3897016">
              <w:marLeft w:val="0"/>
              <w:marRight w:val="0"/>
              <w:marTop w:val="0"/>
              <w:marBottom w:val="0"/>
              <w:divBdr>
                <w:top w:val="none" w:sz="0" w:space="0" w:color="auto"/>
                <w:left w:val="none" w:sz="0" w:space="0" w:color="auto"/>
                <w:bottom w:val="none" w:sz="0" w:space="0" w:color="auto"/>
                <w:right w:val="none" w:sz="0" w:space="0" w:color="auto"/>
              </w:divBdr>
            </w:div>
            <w:div w:id="17661268">
              <w:marLeft w:val="0"/>
              <w:marRight w:val="0"/>
              <w:marTop w:val="0"/>
              <w:marBottom w:val="0"/>
              <w:divBdr>
                <w:top w:val="none" w:sz="0" w:space="0" w:color="auto"/>
                <w:left w:val="none" w:sz="0" w:space="0" w:color="auto"/>
                <w:bottom w:val="none" w:sz="0" w:space="0" w:color="auto"/>
                <w:right w:val="none" w:sz="0" w:space="0" w:color="auto"/>
              </w:divBdr>
            </w:div>
            <w:div w:id="261840121">
              <w:marLeft w:val="0"/>
              <w:marRight w:val="0"/>
              <w:marTop w:val="0"/>
              <w:marBottom w:val="0"/>
              <w:divBdr>
                <w:top w:val="none" w:sz="0" w:space="0" w:color="auto"/>
                <w:left w:val="none" w:sz="0" w:space="0" w:color="auto"/>
                <w:bottom w:val="none" w:sz="0" w:space="0" w:color="auto"/>
                <w:right w:val="none" w:sz="0" w:space="0" w:color="auto"/>
              </w:divBdr>
            </w:div>
            <w:div w:id="279185685">
              <w:marLeft w:val="0"/>
              <w:marRight w:val="0"/>
              <w:marTop w:val="0"/>
              <w:marBottom w:val="0"/>
              <w:divBdr>
                <w:top w:val="none" w:sz="0" w:space="0" w:color="auto"/>
                <w:left w:val="none" w:sz="0" w:space="0" w:color="auto"/>
                <w:bottom w:val="none" w:sz="0" w:space="0" w:color="auto"/>
                <w:right w:val="none" w:sz="0" w:space="0" w:color="auto"/>
              </w:divBdr>
            </w:div>
            <w:div w:id="298919736">
              <w:marLeft w:val="0"/>
              <w:marRight w:val="0"/>
              <w:marTop w:val="0"/>
              <w:marBottom w:val="0"/>
              <w:divBdr>
                <w:top w:val="none" w:sz="0" w:space="0" w:color="auto"/>
                <w:left w:val="none" w:sz="0" w:space="0" w:color="auto"/>
                <w:bottom w:val="none" w:sz="0" w:space="0" w:color="auto"/>
                <w:right w:val="none" w:sz="0" w:space="0" w:color="auto"/>
              </w:divBdr>
            </w:div>
            <w:div w:id="356539246">
              <w:marLeft w:val="0"/>
              <w:marRight w:val="0"/>
              <w:marTop w:val="0"/>
              <w:marBottom w:val="0"/>
              <w:divBdr>
                <w:top w:val="none" w:sz="0" w:space="0" w:color="auto"/>
                <w:left w:val="none" w:sz="0" w:space="0" w:color="auto"/>
                <w:bottom w:val="none" w:sz="0" w:space="0" w:color="auto"/>
                <w:right w:val="none" w:sz="0" w:space="0" w:color="auto"/>
              </w:divBdr>
            </w:div>
            <w:div w:id="693074000">
              <w:marLeft w:val="0"/>
              <w:marRight w:val="0"/>
              <w:marTop w:val="0"/>
              <w:marBottom w:val="0"/>
              <w:divBdr>
                <w:top w:val="none" w:sz="0" w:space="0" w:color="auto"/>
                <w:left w:val="none" w:sz="0" w:space="0" w:color="auto"/>
                <w:bottom w:val="none" w:sz="0" w:space="0" w:color="auto"/>
                <w:right w:val="none" w:sz="0" w:space="0" w:color="auto"/>
              </w:divBdr>
            </w:div>
            <w:div w:id="721947958">
              <w:marLeft w:val="0"/>
              <w:marRight w:val="0"/>
              <w:marTop w:val="0"/>
              <w:marBottom w:val="0"/>
              <w:divBdr>
                <w:top w:val="none" w:sz="0" w:space="0" w:color="auto"/>
                <w:left w:val="none" w:sz="0" w:space="0" w:color="auto"/>
                <w:bottom w:val="none" w:sz="0" w:space="0" w:color="auto"/>
                <w:right w:val="none" w:sz="0" w:space="0" w:color="auto"/>
              </w:divBdr>
            </w:div>
            <w:div w:id="805664702">
              <w:marLeft w:val="0"/>
              <w:marRight w:val="0"/>
              <w:marTop w:val="0"/>
              <w:marBottom w:val="0"/>
              <w:divBdr>
                <w:top w:val="none" w:sz="0" w:space="0" w:color="auto"/>
                <w:left w:val="none" w:sz="0" w:space="0" w:color="auto"/>
                <w:bottom w:val="none" w:sz="0" w:space="0" w:color="auto"/>
                <w:right w:val="none" w:sz="0" w:space="0" w:color="auto"/>
              </w:divBdr>
            </w:div>
            <w:div w:id="844714120">
              <w:marLeft w:val="0"/>
              <w:marRight w:val="0"/>
              <w:marTop w:val="0"/>
              <w:marBottom w:val="0"/>
              <w:divBdr>
                <w:top w:val="none" w:sz="0" w:space="0" w:color="auto"/>
                <w:left w:val="none" w:sz="0" w:space="0" w:color="auto"/>
                <w:bottom w:val="none" w:sz="0" w:space="0" w:color="auto"/>
                <w:right w:val="none" w:sz="0" w:space="0" w:color="auto"/>
              </w:divBdr>
            </w:div>
            <w:div w:id="900217830">
              <w:marLeft w:val="0"/>
              <w:marRight w:val="0"/>
              <w:marTop w:val="0"/>
              <w:marBottom w:val="0"/>
              <w:divBdr>
                <w:top w:val="none" w:sz="0" w:space="0" w:color="auto"/>
                <w:left w:val="none" w:sz="0" w:space="0" w:color="auto"/>
                <w:bottom w:val="none" w:sz="0" w:space="0" w:color="auto"/>
                <w:right w:val="none" w:sz="0" w:space="0" w:color="auto"/>
              </w:divBdr>
            </w:div>
            <w:div w:id="1015885350">
              <w:marLeft w:val="0"/>
              <w:marRight w:val="0"/>
              <w:marTop w:val="0"/>
              <w:marBottom w:val="0"/>
              <w:divBdr>
                <w:top w:val="none" w:sz="0" w:space="0" w:color="auto"/>
                <w:left w:val="none" w:sz="0" w:space="0" w:color="auto"/>
                <w:bottom w:val="none" w:sz="0" w:space="0" w:color="auto"/>
                <w:right w:val="none" w:sz="0" w:space="0" w:color="auto"/>
              </w:divBdr>
            </w:div>
            <w:div w:id="1064572114">
              <w:marLeft w:val="0"/>
              <w:marRight w:val="0"/>
              <w:marTop w:val="0"/>
              <w:marBottom w:val="0"/>
              <w:divBdr>
                <w:top w:val="none" w:sz="0" w:space="0" w:color="auto"/>
                <w:left w:val="none" w:sz="0" w:space="0" w:color="auto"/>
                <w:bottom w:val="none" w:sz="0" w:space="0" w:color="auto"/>
                <w:right w:val="none" w:sz="0" w:space="0" w:color="auto"/>
              </w:divBdr>
            </w:div>
            <w:div w:id="1105341074">
              <w:marLeft w:val="0"/>
              <w:marRight w:val="0"/>
              <w:marTop w:val="0"/>
              <w:marBottom w:val="0"/>
              <w:divBdr>
                <w:top w:val="none" w:sz="0" w:space="0" w:color="auto"/>
                <w:left w:val="none" w:sz="0" w:space="0" w:color="auto"/>
                <w:bottom w:val="none" w:sz="0" w:space="0" w:color="auto"/>
                <w:right w:val="none" w:sz="0" w:space="0" w:color="auto"/>
              </w:divBdr>
            </w:div>
            <w:div w:id="1248199216">
              <w:marLeft w:val="0"/>
              <w:marRight w:val="0"/>
              <w:marTop w:val="0"/>
              <w:marBottom w:val="0"/>
              <w:divBdr>
                <w:top w:val="none" w:sz="0" w:space="0" w:color="auto"/>
                <w:left w:val="none" w:sz="0" w:space="0" w:color="auto"/>
                <w:bottom w:val="none" w:sz="0" w:space="0" w:color="auto"/>
                <w:right w:val="none" w:sz="0" w:space="0" w:color="auto"/>
              </w:divBdr>
            </w:div>
            <w:div w:id="1340423052">
              <w:marLeft w:val="0"/>
              <w:marRight w:val="0"/>
              <w:marTop w:val="0"/>
              <w:marBottom w:val="0"/>
              <w:divBdr>
                <w:top w:val="none" w:sz="0" w:space="0" w:color="auto"/>
                <w:left w:val="none" w:sz="0" w:space="0" w:color="auto"/>
                <w:bottom w:val="none" w:sz="0" w:space="0" w:color="auto"/>
                <w:right w:val="none" w:sz="0" w:space="0" w:color="auto"/>
              </w:divBdr>
            </w:div>
            <w:div w:id="1389525140">
              <w:marLeft w:val="0"/>
              <w:marRight w:val="0"/>
              <w:marTop w:val="0"/>
              <w:marBottom w:val="0"/>
              <w:divBdr>
                <w:top w:val="none" w:sz="0" w:space="0" w:color="auto"/>
                <w:left w:val="none" w:sz="0" w:space="0" w:color="auto"/>
                <w:bottom w:val="none" w:sz="0" w:space="0" w:color="auto"/>
                <w:right w:val="none" w:sz="0" w:space="0" w:color="auto"/>
              </w:divBdr>
            </w:div>
            <w:div w:id="1806661396">
              <w:marLeft w:val="0"/>
              <w:marRight w:val="0"/>
              <w:marTop w:val="0"/>
              <w:marBottom w:val="0"/>
              <w:divBdr>
                <w:top w:val="none" w:sz="0" w:space="0" w:color="auto"/>
                <w:left w:val="none" w:sz="0" w:space="0" w:color="auto"/>
                <w:bottom w:val="none" w:sz="0" w:space="0" w:color="auto"/>
                <w:right w:val="none" w:sz="0" w:space="0" w:color="auto"/>
              </w:divBdr>
            </w:div>
            <w:div w:id="1843545044">
              <w:marLeft w:val="0"/>
              <w:marRight w:val="0"/>
              <w:marTop w:val="0"/>
              <w:marBottom w:val="0"/>
              <w:divBdr>
                <w:top w:val="none" w:sz="0" w:space="0" w:color="auto"/>
                <w:left w:val="none" w:sz="0" w:space="0" w:color="auto"/>
                <w:bottom w:val="none" w:sz="0" w:space="0" w:color="auto"/>
                <w:right w:val="none" w:sz="0" w:space="0" w:color="auto"/>
              </w:divBdr>
            </w:div>
            <w:div w:id="1883638176">
              <w:marLeft w:val="0"/>
              <w:marRight w:val="0"/>
              <w:marTop w:val="0"/>
              <w:marBottom w:val="0"/>
              <w:divBdr>
                <w:top w:val="none" w:sz="0" w:space="0" w:color="auto"/>
                <w:left w:val="none" w:sz="0" w:space="0" w:color="auto"/>
                <w:bottom w:val="none" w:sz="0" w:space="0" w:color="auto"/>
                <w:right w:val="none" w:sz="0" w:space="0" w:color="auto"/>
              </w:divBdr>
            </w:div>
            <w:div w:id="1942489934">
              <w:marLeft w:val="0"/>
              <w:marRight w:val="0"/>
              <w:marTop w:val="0"/>
              <w:marBottom w:val="0"/>
              <w:divBdr>
                <w:top w:val="none" w:sz="0" w:space="0" w:color="auto"/>
                <w:left w:val="none" w:sz="0" w:space="0" w:color="auto"/>
                <w:bottom w:val="none" w:sz="0" w:space="0" w:color="auto"/>
                <w:right w:val="none" w:sz="0" w:space="0" w:color="auto"/>
              </w:divBdr>
            </w:div>
          </w:divsChild>
        </w:div>
        <w:div w:id="1803958610">
          <w:marLeft w:val="0"/>
          <w:marRight w:val="0"/>
          <w:marTop w:val="0"/>
          <w:marBottom w:val="0"/>
          <w:divBdr>
            <w:top w:val="none" w:sz="0" w:space="0" w:color="auto"/>
            <w:left w:val="none" w:sz="0" w:space="0" w:color="auto"/>
            <w:bottom w:val="none" w:sz="0" w:space="0" w:color="auto"/>
            <w:right w:val="none" w:sz="0" w:space="0" w:color="auto"/>
          </w:divBdr>
          <w:divsChild>
            <w:div w:id="172376307">
              <w:marLeft w:val="0"/>
              <w:marRight w:val="0"/>
              <w:marTop w:val="0"/>
              <w:marBottom w:val="0"/>
              <w:divBdr>
                <w:top w:val="none" w:sz="0" w:space="0" w:color="auto"/>
                <w:left w:val="none" w:sz="0" w:space="0" w:color="auto"/>
                <w:bottom w:val="none" w:sz="0" w:space="0" w:color="auto"/>
                <w:right w:val="none" w:sz="0" w:space="0" w:color="auto"/>
              </w:divBdr>
            </w:div>
            <w:div w:id="442502534">
              <w:marLeft w:val="0"/>
              <w:marRight w:val="0"/>
              <w:marTop w:val="0"/>
              <w:marBottom w:val="0"/>
              <w:divBdr>
                <w:top w:val="none" w:sz="0" w:space="0" w:color="auto"/>
                <w:left w:val="none" w:sz="0" w:space="0" w:color="auto"/>
                <w:bottom w:val="none" w:sz="0" w:space="0" w:color="auto"/>
                <w:right w:val="none" w:sz="0" w:space="0" w:color="auto"/>
              </w:divBdr>
            </w:div>
            <w:div w:id="816452556">
              <w:marLeft w:val="0"/>
              <w:marRight w:val="0"/>
              <w:marTop w:val="0"/>
              <w:marBottom w:val="0"/>
              <w:divBdr>
                <w:top w:val="none" w:sz="0" w:space="0" w:color="auto"/>
                <w:left w:val="none" w:sz="0" w:space="0" w:color="auto"/>
                <w:bottom w:val="none" w:sz="0" w:space="0" w:color="auto"/>
                <w:right w:val="none" w:sz="0" w:space="0" w:color="auto"/>
              </w:divBdr>
            </w:div>
            <w:div w:id="818808938">
              <w:marLeft w:val="0"/>
              <w:marRight w:val="0"/>
              <w:marTop w:val="0"/>
              <w:marBottom w:val="0"/>
              <w:divBdr>
                <w:top w:val="none" w:sz="0" w:space="0" w:color="auto"/>
                <w:left w:val="none" w:sz="0" w:space="0" w:color="auto"/>
                <w:bottom w:val="none" w:sz="0" w:space="0" w:color="auto"/>
                <w:right w:val="none" w:sz="0" w:space="0" w:color="auto"/>
              </w:divBdr>
            </w:div>
            <w:div w:id="857043079">
              <w:marLeft w:val="0"/>
              <w:marRight w:val="0"/>
              <w:marTop w:val="0"/>
              <w:marBottom w:val="0"/>
              <w:divBdr>
                <w:top w:val="none" w:sz="0" w:space="0" w:color="auto"/>
                <w:left w:val="none" w:sz="0" w:space="0" w:color="auto"/>
                <w:bottom w:val="none" w:sz="0" w:space="0" w:color="auto"/>
                <w:right w:val="none" w:sz="0" w:space="0" w:color="auto"/>
              </w:divBdr>
            </w:div>
            <w:div w:id="868220935">
              <w:marLeft w:val="0"/>
              <w:marRight w:val="0"/>
              <w:marTop w:val="0"/>
              <w:marBottom w:val="0"/>
              <w:divBdr>
                <w:top w:val="none" w:sz="0" w:space="0" w:color="auto"/>
                <w:left w:val="none" w:sz="0" w:space="0" w:color="auto"/>
                <w:bottom w:val="none" w:sz="0" w:space="0" w:color="auto"/>
                <w:right w:val="none" w:sz="0" w:space="0" w:color="auto"/>
              </w:divBdr>
            </w:div>
            <w:div w:id="1072655946">
              <w:marLeft w:val="0"/>
              <w:marRight w:val="0"/>
              <w:marTop w:val="0"/>
              <w:marBottom w:val="0"/>
              <w:divBdr>
                <w:top w:val="none" w:sz="0" w:space="0" w:color="auto"/>
                <w:left w:val="none" w:sz="0" w:space="0" w:color="auto"/>
                <w:bottom w:val="none" w:sz="0" w:space="0" w:color="auto"/>
                <w:right w:val="none" w:sz="0" w:space="0" w:color="auto"/>
              </w:divBdr>
            </w:div>
            <w:div w:id="1090005571">
              <w:marLeft w:val="0"/>
              <w:marRight w:val="0"/>
              <w:marTop w:val="0"/>
              <w:marBottom w:val="0"/>
              <w:divBdr>
                <w:top w:val="none" w:sz="0" w:space="0" w:color="auto"/>
                <w:left w:val="none" w:sz="0" w:space="0" w:color="auto"/>
                <w:bottom w:val="none" w:sz="0" w:space="0" w:color="auto"/>
                <w:right w:val="none" w:sz="0" w:space="0" w:color="auto"/>
              </w:divBdr>
            </w:div>
            <w:div w:id="1243101541">
              <w:marLeft w:val="0"/>
              <w:marRight w:val="0"/>
              <w:marTop w:val="0"/>
              <w:marBottom w:val="0"/>
              <w:divBdr>
                <w:top w:val="none" w:sz="0" w:space="0" w:color="auto"/>
                <w:left w:val="none" w:sz="0" w:space="0" w:color="auto"/>
                <w:bottom w:val="none" w:sz="0" w:space="0" w:color="auto"/>
                <w:right w:val="none" w:sz="0" w:space="0" w:color="auto"/>
              </w:divBdr>
            </w:div>
            <w:div w:id="1355502726">
              <w:marLeft w:val="0"/>
              <w:marRight w:val="0"/>
              <w:marTop w:val="0"/>
              <w:marBottom w:val="0"/>
              <w:divBdr>
                <w:top w:val="none" w:sz="0" w:space="0" w:color="auto"/>
                <w:left w:val="none" w:sz="0" w:space="0" w:color="auto"/>
                <w:bottom w:val="none" w:sz="0" w:space="0" w:color="auto"/>
                <w:right w:val="none" w:sz="0" w:space="0" w:color="auto"/>
              </w:divBdr>
            </w:div>
            <w:div w:id="1376003063">
              <w:marLeft w:val="0"/>
              <w:marRight w:val="0"/>
              <w:marTop w:val="0"/>
              <w:marBottom w:val="0"/>
              <w:divBdr>
                <w:top w:val="none" w:sz="0" w:space="0" w:color="auto"/>
                <w:left w:val="none" w:sz="0" w:space="0" w:color="auto"/>
                <w:bottom w:val="none" w:sz="0" w:space="0" w:color="auto"/>
                <w:right w:val="none" w:sz="0" w:space="0" w:color="auto"/>
              </w:divBdr>
            </w:div>
            <w:div w:id="1550721477">
              <w:marLeft w:val="0"/>
              <w:marRight w:val="0"/>
              <w:marTop w:val="0"/>
              <w:marBottom w:val="0"/>
              <w:divBdr>
                <w:top w:val="none" w:sz="0" w:space="0" w:color="auto"/>
                <w:left w:val="none" w:sz="0" w:space="0" w:color="auto"/>
                <w:bottom w:val="none" w:sz="0" w:space="0" w:color="auto"/>
                <w:right w:val="none" w:sz="0" w:space="0" w:color="auto"/>
              </w:divBdr>
            </w:div>
            <w:div w:id="1734812349">
              <w:marLeft w:val="0"/>
              <w:marRight w:val="0"/>
              <w:marTop w:val="0"/>
              <w:marBottom w:val="0"/>
              <w:divBdr>
                <w:top w:val="none" w:sz="0" w:space="0" w:color="auto"/>
                <w:left w:val="none" w:sz="0" w:space="0" w:color="auto"/>
                <w:bottom w:val="none" w:sz="0" w:space="0" w:color="auto"/>
                <w:right w:val="none" w:sz="0" w:space="0" w:color="auto"/>
              </w:divBdr>
            </w:div>
            <w:div w:id="1745714474">
              <w:marLeft w:val="0"/>
              <w:marRight w:val="0"/>
              <w:marTop w:val="0"/>
              <w:marBottom w:val="0"/>
              <w:divBdr>
                <w:top w:val="none" w:sz="0" w:space="0" w:color="auto"/>
                <w:left w:val="none" w:sz="0" w:space="0" w:color="auto"/>
                <w:bottom w:val="none" w:sz="0" w:space="0" w:color="auto"/>
                <w:right w:val="none" w:sz="0" w:space="0" w:color="auto"/>
              </w:divBdr>
            </w:div>
            <w:div w:id="1850101264">
              <w:marLeft w:val="0"/>
              <w:marRight w:val="0"/>
              <w:marTop w:val="0"/>
              <w:marBottom w:val="0"/>
              <w:divBdr>
                <w:top w:val="none" w:sz="0" w:space="0" w:color="auto"/>
                <w:left w:val="none" w:sz="0" w:space="0" w:color="auto"/>
                <w:bottom w:val="none" w:sz="0" w:space="0" w:color="auto"/>
                <w:right w:val="none" w:sz="0" w:space="0" w:color="auto"/>
              </w:divBdr>
            </w:div>
            <w:div w:id="1851720430">
              <w:marLeft w:val="0"/>
              <w:marRight w:val="0"/>
              <w:marTop w:val="0"/>
              <w:marBottom w:val="0"/>
              <w:divBdr>
                <w:top w:val="none" w:sz="0" w:space="0" w:color="auto"/>
                <w:left w:val="none" w:sz="0" w:space="0" w:color="auto"/>
                <w:bottom w:val="none" w:sz="0" w:space="0" w:color="auto"/>
                <w:right w:val="none" w:sz="0" w:space="0" w:color="auto"/>
              </w:divBdr>
            </w:div>
            <w:div w:id="1892302362">
              <w:marLeft w:val="0"/>
              <w:marRight w:val="0"/>
              <w:marTop w:val="0"/>
              <w:marBottom w:val="0"/>
              <w:divBdr>
                <w:top w:val="none" w:sz="0" w:space="0" w:color="auto"/>
                <w:left w:val="none" w:sz="0" w:space="0" w:color="auto"/>
                <w:bottom w:val="none" w:sz="0" w:space="0" w:color="auto"/>
                <w:right w:val="none" w:sz="0" w:space="0" w:color="auto"/>
              </w:divBdr>
            </w:div>
            <w:div w:id="2021928094">
              <w:marLeft w:val="0"/>
              <w:marRight w:val="0"/>
              <w:marTop w:val="0"/>
              <w:marBottom w:val="0"/>
              <w:divBdr>
                <w:top w:val="none" w:sz="0" w:space="0" w:color="auto"/>
                <w:left w:val="none" w:sz="0" w:space="0" w:color="auto"/>
                <w:bottom w:val="none" w:sz="0" w:space="0" w:color="auto"/>
                <w:right w:val="none" w:sz="0" w:space="0" w:color="auto"/>
              </w:divBdr>
            </w:div>
            <w:div w:id="2128425703">
              <w:marLeft w:val="0"/>
              <w:marRight w:val="0"/>
              <w:marTop w:val="0"/>
              <w:marBottom w:val="0"/>
              <w:divBdr>
                <w:top w:val="none" w:sz="0" w:space="0" w:color="auto"/>
                <w:left w:val="none" w:sz="0" w:space="0" w:color="auto"/>
                <w:bottom w:val="none" w:sz="0" w:space="0" w:color="auto"/>
                <w:right w:val="none" w:sz="0" w:space="0" w:color="auto"/>
              </w:divBdr>
            </w:div>
          </w:divsChild>
        </w:div>
        <w:div w:id="1921598594">
          <w:marLeft w:val="0"/>
          <w:marRight w:val="0"/>
          <w:marTop w:val="0"/>
          <w:marBottom w:val="0"/>
          <w:divBdr>
            <w:top w:val="none" w:sz="0" w:space="0" w:color="auto"/>
            <w:left w:val="none" w:sz="0" w:space="0" w:color="auto"/>
            <w:bottom w:val="none" w:sz="0" w:space="0" w:color="auto"/>
            <w:right w:val="none" w:sz="0" w:space="0" w:color="auto"/>
          </w:divBdr>
          <w:divsChild>
            <w:div w:id="414716782">
              <w:marLeft w:val="-75"/>
              <w:marRight w:val="0"/>
              <w:marTop w:val="30"/>
              <w:marBottom w:val="30"/>
              <w:divBdr>
                <w:top w:val="none" w:sz="0" w:space="0" w:color="auto"/>
                <w:left w:val="none" w:sz="0" w:space="0" w:color="auto"/>
                <w:bottom w:val="none" w:sz="0" w:space="0" w:color="auto"/>
                <w:right w:val="none" w:sz="0" w:space="0" w:color="auto"/>
              </w:divBdr>
              <w:divsChild>
                <w:div w:id="93017100">
                  <w:marLeft w:val="0"/>
                  <w:marRight w:val="0"/>
                  <w:marTop w:val="0"/>
                  <w:marBottom w:val="0"/>
                  <w:divBdr>
                    <w:top w:val="none" w:sz="0" w:space="0" w:color="auto"/>
                    <w:left w:val="none" w:sz="0" w:space="0" w:color="auto"/>
                    <w:bottom w:val="none" w:sz="0" w:space="0" w:color="auto"/>
                    <w:right w:val="none" w:sz="0" w:space="0" w:color="auto"/>
                  </w:divBdr>
                  <w:divsChild>
                    <w:div w:id="1836216238">
                      <w:marLeft w:val="0"/>
                      <w:marRight w:val="0"/>
                      <w:marTop w:val="0"/>
                      <w:marBottom w:val="0"/>
                      <w:divBdr>
                        <w:top w:val="none" w:sz="0" w:space="0" w:color="auto"/>
                        <w:left w:val="none" w:sz="0" w:space="0" w:color="auto"/>
                        <w:bottom w:val="none" w:sz="0" w:space="0" w:color="auto"/>
                        <w:right w:val="none" w:sz="0" w:space="0" w:color="auto"/>
                      </w:divBdr>
                    </w:div>
                  </w:divsChild>
                </w:div>
                <w:div w:id="219748616">
                  <w:marLeft w:val="0"/>
                  <w:marRight w:val="0"/>
                  <w:marTop w:val="0"/>
                  <w:marBottom w:val="0"/>
                  <w:divBdr>
                    <w:top w:val="none" w:sz="0" w:space="0" w:color="auto"/>
                    <w:left w:val="none" w:sz="0" w:space="0" w:color="auto"/>
                    <w:bottom w:val="none" w:sz="0" w:space="0" w:color="auto"/>
                    <w:right w:val="none" w:sz="0" w:space="0" w:color="auto"/>
                  </w:divBdr>
                  <w:divsChild>
                    <w:div w:id="1482114737">
                      <w:marLeft w:val="0"/>
                      <w:marRight w:val="0"/>
                      <w:marTop w:val="0"/>
                      <w:marBottom w:val="0"/>
                      <w:divBdr>
                        <w:top w:val="none" w:sz="0" w:space="0" w:color="auto"/>
                        <w:left w:val="none" w:sz="0" w:space="0" w:color="auto"/>
                        <w:bottom w:val="none" w:sz="0" w:space="0" w:color="auto"/>
                        <w:right w:val="none" w:sz="0" w:space="0" w:color="auto"/>
                      </w:divBdr>
                    </w:div>
                  </w:divsChild>
                </w:div>
                <w:div w:id="267351025">
                  <w:marLeft w:val="0"/>
                  <w:marRight w:val="0"/>
                  <w:marTop w:val="0"/>
                  <w:marBottom w:val="0"/>
                  <w:divBdr>
                    <w:top w:val="none" w:sz="0" w:space="0" w:color="auto"/>
                    <w:left w:val="none" w:sz="0" w:space="0" w:color="auto"/>
                    <w:bottom w:val="none" w:sz="0" w:space="0" w:color="auto"/>
                    <w:right w:val="none" w:sz="0" w:space="0" w:color="auto"/>
                  </w:divBdr>
                  <w:divsChild>
                    <w:div w:id="772287471">
                      <w:marLeft w:val="0"/>
                      <w:marRight w:val="0"/>
                      <w:marTop w:val="0"/>
                      <w:marBottom w:val="0"/>
                      <w:divBdr>
                        <w:top w:val="none" w:sz="0" w:space="0" w:color="auto"/>
                        <w:left w:val="none" w:sz="0" w:space="0" w:color="auto"/>
                        <w:bottom w:val="none" w:sz="0" w:space="0" w:color="auto"/>
                        <w:right w:val="none" w:sz="0" w:space="0" w:color="auto"/>
                      </w:divBdr>
                    </w:div>
                  </w:divsChild>
                </w:div>
                <w:div w:id="330715141">
                  <w:marLeft w:val="0"/>
                  <w:marRight w:val="0"/>
                  <w:marTop w:val="0"/>
                  <w:marBottom w:val="0"/>
                  <w:divBdr>
                    <w:top w:val="none" w:sz="0" w:space="0" w:color="auto"/>
                    <w:left w:val="none" w:sz="0" w:space="0" w:color="auto"/>
                    <w:bottom w:val="none" w:sz="0" w:space="0" w:color="auto"/>
                    <w:right w:val="none" w:sz="0" w:space="0" w:color="auto"/>
                  </w:divBdr>
                  <w:divsChild>
                    <w:div w:id="1570967400">
                      <w:marLeft w:val="0"/>
                      <w:marRight w:val="0"/>
                      <w:marTop w:val="0"/>
                      <w:marBottom w:val="0"/>
                      <w:divBdr>
                        <w:top w:val="none" w:sz="0" w:space="0" w:color="auto"/>
                        <w:left w:val="none" w:sz="0" w:space="0" w:color="auto"/>
                        <w:bottom w:val="none" w:sz="0" w:space="0" w:color="auto"/>
                        <w:right w:val="none" w:sz="0" w:space="0" w:color="auto"/>
                      </w:divBdr>
                    </w:div>
                  </w:divsChild>
                </w:div>
                <w:div w:id="391778497">
                  <w:marLeft w:val="0"/>
                  <w:marRight w:val="0"/>
                  <w:marTop w:val="0"/>
                  <w:marBottom w:val="0"/>
                  <w:divBdr>
                    <w:top w:val="none" w:sz="0" w:space="0" w:color="auto"/>
                    <w:left w:val="none" w:sz="0" w:space="0" w:color="auto"/>
                    <w:bottom w:val="none" w:sz="0" w:space="0" w:color="auto"/>
                    <w:right w:val="none" w:sz="0" w:space="0" w:color="auto"/>
                  </w:divBdr>
                  <w:divsChild>
                    <w:div w:id="1830972838">
                      <w:marLeft w:val="0"/>
                      <w:marRight w:val="0"/>
                      <w:marTop w:val="0"/>
                      <w:marBottom w:val="0"/>
                      <w:divBdr>
                        <w:top w:val="none" w:sz="0" w:space="0" w:color="auto"/>
                        <w:left w:val="none" w:sz="0" w:space="0" w:color="auto"/>
                        <w:bottom w:val="none" w:sz="0" w:space="0" w:color="auto"/>
                        <w:right w:val="none" w:sz="0" w:space="0" w:color="auto"/>
                      </w:divBdr>
                    </w:div>
                  </w:divsChild>
                </w:div>
                <w:div w:id="401175899">
                  <w:marLeft w:val="0"/>
                  <w:marRight w:val="0"/>
                  <w:marTop w:val="0"/>
                  <w:marBottom w:val="0"/>
                  <w:divBdr>
                    <w:top w:val="none" w:sz="0" w:space="0" w:color="auto"/>
                    <w:left w:val="none" w:sz="0" w:space="0" w:color="auto"/>
                    <w:bottom w:val="none" w:sz="0" w:space="0" w:color="auto"/>
                    <w:right w:val="none" w:sz="0" w:space="0" w:color="auto"/>
                  </w:divBdr>
                  <w:divsChild>
                    <w:div w:id="74479728">
                      <w:marLeft w:val="0"/>
                      <w:marRight w:val="0"/>
                      <w:marTop w:val="0"/>
                      <w:marBottom w:val="0"/>
                      <w:divBdr>
                        <w:top w:val="none" w:sz="0" w:space="0" w:color="auto"/>
                        <w:left w:val="none" w:sz="0" w:space="0" w:color="auto"/>
                        <w:bottom w:val="none" w:sz="0" w:space="0" w:color="auto"/>
                        <w:right w:val="none" w:sz="0" w:space="0" w:color="auto"/>
                      </w:divBdr>
                    </w:div>
                  </w:divsChild>
                </w:div>
                <w:div w:id="466360788">
                  <w:marLeft w:val="0"/>
                  <w:marRight w:val="0"/>
                  <w:marTop w:val="0"/>
                  <w:marBottom w:val="0"/>
                  <w:divBdr>
                    <w:top w:val="none" w:sz="0" w:space="0" w:color="auto"/>
                    <w:left w:val="none" w:sz="0" w:space="0" w:color="auto"/>
                    <w:bottom w:val="none" w:sz="0" w:space="0" w:color="auto"/>
                    <w:right w:val="none" w:sz="0" w:space="0" w:color="auto"/>
                  </w:divBdr>
                  <w:divsChild>
                    <w:div w:id="1836451691">
                      <w:marLeft w:val="0"/>
                      <w:marRight w:val="0"/>
                      <w:marTop w:val="0"/>
                      <w:marBottom w:val="0"/>
                      <w:divBdr>
                        <w:top w:val="none" w:sz="0" w:space="0" w:color="auto"/>
                        <w:left w:val="none" w:sz="0" w:space="0" w:color="auto"/>
                        <w:bottom w:val="none" w:sz="0" w:space="0" w:color="auto"/>
                        <w:right w:val="none" w:sz="0" w:space="0" w:color="auto"/>
                      </w:divBdr>
                    </w:div>
                  </w:divsChild>
                </w:div>
                <w:div w:id="494564960">
                  <w:marLeft w:val="0"/>
                  <w:marRight w:val="0"/>
                  <w:marTop w:val="0"/>
                  <w:marBottom w:val="0"/>
                  <w:divBdr>
                    <w:top w:val="none" w:sz="0" w:space="0" w:color="auto"/>
                    <w:left w:val="none" w:sz="0" w:space="0" w:color="auto"/>
                    <w:bottom w:val="none" w:sz="0" w:space="0" w:color="auto"/>
                    <w:right w:val="none" w:sz="0" w:space="0" w:color="auto"/>
                  </w:divBdr>
                  <w:divsChild>
                    <w:div w:id="1707292586">
                      <w:marLeft w:val="0"/>
                      <w:marRight w:val="0"/>
                      <w:marTop w:val="0"/>
                      <w:marBottom w:val="0"/>
                      <w:divBdr>
                        <w:top w:val="none" w:sz="0" w:space="0" w:color="auto"/>
                        <w:left w:val="none" w:sz="0" w:space="0" w:color="auto"/>
                        <w:bottom w:val="none" w:sz="0" w:space="0" w:color="auto"/>
                        <w:right w:val="none" w:sz="0" w:space="0" w:color="auto"/>
                      </w:divBdr>
                    </w:div>
                  </w:divsChild>
                </w:div>
                <w:div w:id="625814485">
                  <w:marLeft w:val="0"/>
                  <w:marRight w:val="0"/>
                  <w:marTop w:val="0"/>
                  <w:marBottom w:val="0"/>
                  <w:divBdr>
                    <w:top w:val="none" w:sz="0" w:space="0" w:color="auto"/>
                    <w:left w:val="none" w:sz="0" w:space="0" w:color="auto"/>
                    <w:bottom w:val="none" w:sz="0" w:space="0" w:color="auto"/>
                    <w:right w:val="none" w:sz="0" w:space="0" w:color="auto"/>
                  </w:divBdr>
                  <w:divsChild>
                    <w:div w:id="931207324">
                      <w:marLeft w:val="0"/>
                      <w:marRight w:val="0"/>
                      <w:marTop w:val="0"/>
                      <w:marBottom w:val="0"/>
                      <w:divBdr>
                        <w:top w:val="none" w:sz="0" w:space="0" w:color="auto"/>
                        <w:left w:val="none" w:sz="0" w:space="0" w:color="auto"/>
                        <w:bottom w:val="none" w:sz="0" w:space="0" w:color="auto"/>
                        <w:right w:val="none" w:sz="0" w:space="0" w:color="auto"/>
                      </w:divBdr>
                    </w:div>
                  </w:divsChild>
                </w:div>
                <w:div w:id="686054391">
                  <w:marLeft w:val="0"/>
                  <w:marRight w:val="0"/>
                  <w:marTop w:val="0"/>
                  <w:marBottom w:val="0"/>
                  <w:divBdr>
                    <w:top w:val="none" w:sz="0" w:space="0" w:color="auto"/>
                    <w:left w:val="none" w:sz="0" w:space="0" w:color="auto"/>
                    <w:bottom w:val="none" w:sz="0" w:space="0" w:color="auto"/>
                    <w:right w:val="none" w:sz="0" w:space="0" w:color="auto"/>
                  </w:divBdr>
                  <w:divsChild>
                    <w:div w:id="1032611505">
                      <w:marLeft w:val="0"/>
                      <w:marRight w:val="0"/>
                      <w:marTop w:val="0"/>
                      <w:marBottom w:val="0"/>
                      <w:divBdr>
                        <w:top w:val="none" w:sz="0" w:space="0" w:color="auto"/>
                        <w:left w:val="none" w:sz="0" w:space="0" w:color="auto"/>
                        <w:bottom w:val="none" w:sz="0" w:space="0" w:color="auto"/>
                        <w:right w:val="none" w:sz="0" w:space="0" w:color="auto"/>
                      </w:divBdr>
                    </w:div>
                  </w:divsChild>
                </w:div>
                <w:div w:id="713623588">
                  <w:marLeft w:val="0"/>
                  <w:marRight w:val="0"/>
                  <w:marTop w:val="0"/>
                  <w:marBottom w:val="0"/>
                  <w:divBdr>
                    <w:top w:val="none" w:sz="0" w:space="0" w:color="auto"/>
                    <w:left w:val="none" w:sz="0" w:space="0" w:color="auto"/>
                    <w:bottom w:val="none" w:sz="0" w:space="0" w:color="auto"/>
                    <w:right w:val="none" w:sz="0" w:space="0" w:color="auto"/>
                  </w:divBdr>
                  <w:divsChild>
                    <w:div w:id="1397506704">
                      <w:marLeft w:val="0"/>
                      <w:marRight w:val="0"/>
                      <w:marTop w:val="0"/>
                      <w:marBottom w:val="0"/>
                      <w:divBdr>
                        <w:top w:val="none" w:sz="0" w:space="0" w:color="auto"/>
                        <w:left w:val="none" w:sz="0" w:space="0" w:color="auto"/>
                        <w:bottom w:val="none" w:sz="0" w:space="0" w:color="auto"/>
                        <w:right w:val="none" w:sz="0" w:space="0" w:color="auto"/>
                      </w:divBdr>
                    </w:div>
                  </w:divsChild>
                </w:div>
                <w:div w:id="846863628">
                  <w:marLeft w:val="0"/>
                  <w:marRight w:val="0"/>
                  <w:marTop w:val="0"/>
                  <w:marBottom w:val="0"/>
                  <w:divBdr>
                    <w:top w:val="none" w:sz="0" w:space="0" w:color="auto"/>
                    <w:left w:val="none" w:sz="0" w:space="0" w:color="auto"/>
                    <w:bottom w:val="none" w:sz="0" w:space="0" w:color="auto"/>
                    <w:right w:val="none" w:sz="0" w:space="0" w:color="auto"/>
                  </w:divBdr>
                  <w:divsChild>
                    <w:div w:id="1025711841">
                      <w:marLeft w:val="0"/>
                      <w:marRight w:val="0"/>
                      <w:marTop w:val="0"/>
                      <w:marBottom w:val="0"/>
                      <w:divBdr>
                        <w:top w:val="none" w:sz="0" w:space="0" w:color="auto"/>
                        <w:left w:val="none" w:sz="0" w:space="0" w:color="auto"/>
                        <w:bottom w:val="none" w:sz="0" w:space="0" w:color="auto"/>
                        <w:right w:val="none" w:sz="0" w:space="0" w:color="auto"/>
                      </w:divBdr>
                    </w:div>
                  </w:divsChild>
                </w:div>
                <w:div w:id="891306760">
                  <w:marLeft w:val="0"/>
                  <w:marRight w:val="0"/>
                  <w:marTop w:val="0"/>
                  <w:marBottom w:val="0"/>
                  <w:divBdr>
                    <w:top w:val="none" w:sz="0" w:space="0" w:color="auto"/>
                    <w:left w:val="none" w:sz="0" w:space="0" w:color="auto"/>
                    <w:bottom w:val="none" w:sz="0" w:space="0" w:color="auto"/>
                    <w:right w:val="none" w:sz="0" w:space="0" w:color="auto"/>
                  </w:divBdr>
                  <w:divsChild>
                    <w:div w:id="1387728785">
                      <w:marLeft w:val="0"/>
                      <w:marRight w:val="0"/>
                      <w:marTop w:val="0"/>
                      <w:marBottom w:val="0"/>
                      <w:divBdr>
                        <w:top w:val="none" w:sz="0" w:space="0" w:color="auto"/>
                        <w:left w:val="none" w:sz="0" w:space="0" w:color="auto"/>
                        <w:bottom w:val="none" w:sz="0" w:space="0" w:color="auto"/>
                        <w:right w:val="none" w:sz="0" w:space="0" w:color="auto"/>
                      </w:divBdr>
                    </w:div>
                  </w:divsChild>
                </w:div>
                <w:div w:id="912131127">
                  <w:marLeft w:val="0"/>
                  <w:marRight w:val="0"/>
                  <w:marTop w:val="0"/>
                  <w:marBottom w:val="0"/>
                  <w:divBdr>
                    <w:top w:val="none" w:sz="0" w:space="0" w:color="auto"/>
                    <w:left w:val="none" w:sz="0" w:space="0" w:color="auto"/>
                    <w:bottom w:val="none" w:sz="0" w:space="0" w:color="auto"/>
                    <w:right w:val="none" w:sz="0" w:space="0" w:color="auto"/>
                  </w:divBdr>
                  <w:divsChild>
                    <w:div w:id="703293360">
                      <w:marLeft w:val="0"/>
                      <w:marRight w:val="0"/>
                      <w:marTop w:val="0"/>
                      <w:marBottom w:val="0"/>
                      <w:divBdr>
                        <w:top w:val="none" w:sz="0" w:space="0" w:color="auto"/>
                        <w:left w:val="none" w:sz="0" w:space="0" w:color="auto"/>
                        <w:bottom w:val="none" w:sz="0" w:space="0" w:color="auto"/>
                        <w:right w:val="none" w:sz="0" w:space="0" w:color="auto"/>
                      </w:divBdr>
                    </w:div>
                    <w:div w:id="1036932046">
                      <w:marLeft w:val="0"/>
                      <w:marRight w:val="0"/>
                      <w:marTop w:val="0"/>
                      <w:marBottom w:val="0"/>
                      <w:divBdr>
                        <w:top w:val="none" w:sz="0" w:space="0" w:color="auto"/>
                        <w:left w:val="none" w:sz="0" w:space="0" w:color="auto"/>
                        <w:bottom w:val="none" w:sz="0" w:space="0" w:color="auto"/>
                        <w:right w:val="none" w:sz="0" w:space="0" w:color="auto"/>
                      </w:divBdr>
                    </w:div>
                    <w:div w:id="2091658885">
                      <w:marLeft w:val="0"/>
                      <w:marRight w:val="0"/>
                      <w:marTop w:val="0"/>
                      <w:marBottom w:val="0"/>
                      <w:divBdr>
                        <w:top w:val="none" w:sz="0" w:space="0" w:color="auto"/>
                        <w:left w:val="none" w:sz="0" w:space="0" w:color="auto"/>
                        <w:bottom w:val="none" w:sz="0" w:space="0" w:color="auto"/>
                        <w:right w:val="none" w:sz="0" w:space="0" w:color="auto"/>
                      </w:divBdr>
                    </w:div>
                  </w:divsChild>
                </w:div>
                <w:div w:id="912664661">
                  <w:marLeft w:val="0"/>
                  <w:marRight w:val="0"/>
                  <w:marTop w:val="0"/>
                  <w:marBottom w:val="0"/>
                  <w:divBdr>
                    <w:top w:val="none" w:sz="0" w:space="0" w:color="auto"/>
                    <w:left w:val="none" w:sz="0" w:space="0" w:color="auto"/>
                    <w:bottom w:val="none" w:sz="0" w:space="0" w:color="auto"/>
                    <w:right w:val="none" w:sz="0" w:space="0" w:color="auto"/>
                  </w:divBdr>
                  <w:divsChild>
                    <w:div w:id="1650551613">
                      <w:marLeft w:val="0"/>
                      <w:marRight w:val="0"/>
                      <w:marTop w:val="0"/>
                      <w:marBottom w:val="0"/>
                      <w:divBdr>
                        <w:top w:val="none" w:sz="0" w:space="0" w:color="auto"/>
                        <w:left w:val="none" w:sz="0" w:space="0" w:color="auto"/>
                        <w:bottom w:val="none" w:sz="0" w:space="0" w:color="auto"/>
                        <w:right w:val="none" w:sz="0" w:space="0" w:color="auto"/>
                      </w:divBdr>
                    </w:div>
                  </w:divsChild>
                </w:div>
                <w:div w:id="928924316">
                  <w:marLeft w:val="0"/>
                  <w:marRight w:val="0"/>
                  <w:marTop w:val="0"/>
                  <w:marBottom w:val="0"/>
                  <w:divBdr>
                    <w:top w:val="none" w:sz="0" w:space="0" w:color="auto"/>
                    <w:left w:val="none" w:sz="0" w:space="0" w:color="auto"/>
                    <w:bottom w:val="none" w:sz="0" w:space="0" w:color="auto"/>
                    <w:right w:val="none" w:sz="0" w:space="0" w:color="auto"/>
                  </w:divBdr>
                  <w:divsChild>
                    <w:div w:id="1122042691">
                      <w:marLeft w:val="0"/>
                      <w:marRight w:val="0"/>
                      <w:marTop w:val="0"/>
                      <w:marBottom w:val="0"/>
                      <w:divBdr>
                        <w:top w:val="none" w:sz="0" w:space="0" w:color="auto"/>
                        <w:left w:val="none" w:sz="0" w:space="0" w:color="auto"/>
                        <w:bottom w:val="none" w:sz="0" w:space="0" w:color="auto"/>
                        <w:right w:val="none" w:sz="0" w:space="0" w:color="auto"/>
                      </w:divBdr>
                    </w:div>
                  </w:divsChild>
                </w:div>
                <w:div w:id="933172857">
                  <w:marLeft w:val="0"/>
                  <w:marRight w:val="0"/>
                  <w:marTop w:val="0"/>
                  <w:marBottom w:val="0"/>
                  <w:divBdr>
                    <w:top w:val="none" w:sz="0" w:space="0" w:color="auto"/>
                    <w:left w:val="none" w:sz="0" w:space="0" w:color="auto"/>
                    <w:bottom w:val="none" w:sz="0" w:space="0" w:color="auto"/>
                    <w:right w:val="none" w:sz="0" w:space="0" w:color="auto"/>
                  </w:divBdr>
                  <w:divsChild>
                    <w:div w:id="1723820214">
                      <w:marLeft w:val="0"/>
                      <w:marRight w:val="0"/>
                      <w:marTop w:val="0"/>
                      <w:marBottom w:val="0"/>
                      <w:divBdr>
                        <w:top w:val="none" w:sz="0" w:space="0" w:color="auto"/>
                        <w:left w:val="none" w:sz="0" w:space="0" w:color="auto"/>
                        <w:bottom w:val="none" w:sz="0" w:space="0" w:color="auto"/>
                        <w:right w:val="none" w:sz="0" w:space="0" w:color="auto"/>
                      </w:divBdr>
                    </w:div>
                  </w:divsChild>
                </w:div>
                <w:div w:id="1110467988">
                  <w:marLeft w:val="0"/>
                  <w:marRight w:val="0"/>
                  <w:marTop w:val="0"/>
                  <w:marBottom w:val="0"/>
                  <w:divBdr>
                    <w:top w:val="none" w:sz="0" w:space="0" w:color="auto"/>
                    <w:left w:val="none" w:sz="0" w:space="0" w:color="auto"/>
                    <w:bottom w:val="none" w:sz="0" w:space="0" w:color="auto"/>
                    <w:right w:val="none" w:sz="0" w:space="0" w:color="auto"/>
                  </w:divBdr>
                  <w:divsChild>
                    <w:div w:id="374237886">
                      <w:marLeft w:val="0"/>
                      <w:marRight w:val="0"/>
                      <w:marTop w:val="0"/>
                      <w:marBottom w:val="0"/>
                      <w:divBdr>
                        <w:top w:val="none" w:sz="0" w:space="0" w:color="auto"/>
                        <w:left w:val="none" w:sz="0" w:space="0" w:color="auto"/>
                        <w:bottom w:val="none" w:sz="0" w:space="0" w:color="auto"/>
                        <w:right w:val="none" w:sz="0" w:space="0" w:color="auto"/>
                      </w:divBdr>
                    </w:div>
                    <w:div w:id="437991136">
                      <w:marLeft w:val="0"/>
                      <w:marRight w:val="0"/>
                      <w:marTop w:val="0"/>
                      <w:marBottom w:val="0"/>
                      <w:divBdr>
                        <w:top w:val="none" w:sz="0" w:space="0" w:color="auto"/>
                        <w:left w:val="none" w:sz="0" w:space="0" w:color="auto"/>
                        <w:bottom w:val="none" w:sz="0" w:space="0" w:color="auto"/>
                        <w:right w:val="none" w:sz="0" w:space="0" w:color="auto"/>
                      </w:divBdr>
                    </w:div>
                    <w:div w:id="957302342">
                      <w:marLeft w:val="0"/>
                      <w:marRight w:val="0"/>
                      <w:marTop w:val="0"/>
                      <w:marBottom w:val="0"/>
                      <w:divBdr>
                        <w:top w:val="none" w:sz="0" w:space="0" w:color="auto"/>
                        <w:left w:val="none" w:sz="0" w:space="0" w:color="auto"/>
                        <w:bottom w:val="none" w:sz="0" w:space="0" w:color="auto"/>
                        <w:right w:val="none" w:sz="0" w:space="0" w:color="auto"/>
                      </w:divBdr>
                    </w:div>
                  </w:divsChild>
                </w:div>
                <w:div w:id="1139031583">
                  <w:marLeft w:val="0"/>
                  <w:marRight w:val="0"/>
                  <w:marTop w:val="0"/>
                  <w:marBottom w:val="0"/>
                  <w:divBdr>
                    <w:top w:val="none" w:sz="0" w:space="0" w:color="auto"/>
                    <w:left w:val="none" w:sz="0" w:space="0" w:color="auto"/>
                    <w:bottom w:val="none" w:sz="0" w:space="0" w:color="auto"/>
                    <w:right w:val="none" w:sz="0" w:space="0" w:color="auto"/>
                  </w:divBdr>
                  <w:divsChild>
                    <w:div w:id="390736477">
                      <w:marLeft w:val="0"/>
                      <w:marRight w:val="0"/>
                      <w:marTop w:val="0"/>
                      <w:marBottom w:val="0"/>
                      <w:divBdr>
                        <w:top w:val="none" w:sz="0" w:space="0" w:color="auto"/>
                        <w:left w:val="none" w:sz="0" w:space="0" w:color="auto"/>
                        <w:bottom w:val="none" w:sz="0" w:space="0" w:color="auto"/>
                        <w:right w:val="none" w:sz="0" w:space="0" w:color="auto"/>
                      </w:divBdr>
                    </w:div>
                  </w:divsChild>
                </w:div>
                <w:div w:id="1192835953">
                  <w:marLeft w:val="0"/>
                  <w:marRight w:val="0"/>
                  <w:marTop w:val="0"/>
                  <w:marBottom w:val="0"/>
                  <w:divBdr>
                    <w:top w:val="none" w:sz="0" w:space="0" w:color="auto"/>
                    <w:left w:val="none" w:sz="0" w:space="0" w:color="auto"/>
                    <w:bottom w:val="none" w:sz="0" w:space="0" w:color="auto"/>
                    <w:right w:val="none" w:sz="0" w:space="0" w:color="auto"/>
                  </w:divBdr>
                  <w:divsChild>
                    <w:div w:id="782457621">
                      <w:marLeft w:val="0"/>
                      <w:marRight w:val="0"/>
                      <w:marTop w:val="0"/>
                      <w:marBottom w:val="0"/>
                      <w:divBdr>
                        <w:top w:val="none" w:sz="0" w:space="0" w:color="auto"/>
                        <w:left w:val="none" w:sz="0" w:space="0" w:color="auto"/>
                        <w:bottom w:val="none" w:sz="0" w:space="0" w:color="auto"/>
                        <w:right w:val="none" w:sz="0" w:space="0" w:color="auto"/>
                      </w:divBdr>
                    </w:div>
                  </w:divsChild>
                </w:div>
                <w:div w:id="1286231938">
                  <w:marLeft w:val="0"/>
                  <w:marRight w:val="0"/>
                  <w:marTop w:val="0"/>
                  <w:marBottom w:val="0"/>
                  <w:divBdr>
                    <w:top w:val="none" w:sz="0" w:space="0" w:color="auto"/>
                    <w:left w:val="none" w:sz="0" w:space="0" w:color="auto"/>
                    <w:bottom w:val="none" w:sz="0" w:space="0" w:color="auto"/>
                    <w:right w:val="none" w:sz="0" w:space="0" w:color="auto"/>
                  </w:divBdr>
                  <w:divsChild>
                    <w:div w:id="1759671990">
                      <w:marLeft w:val="0"/>
                      <w:marRight w:val="0"/>
                      <w:marTop w:val="0"/>
                      <w:marBottom w:val="0"/>
                      <w:divBdr>
                        <w:top w:val="none" w:sz="0" w:space="0" w:color="auto"/>
                        <w:left w:val="none" w:sz="0" w:space="0" w:color="auto"/>
                        <w:bottom w:val="none" w:sz="0" w:space="0" w:color="auto"/>
                        <w:right w:val="none" w:sz="0" w:space="0" w:color="auto"/>
                      </w:divBdr>
                    </w:div>
                  </w:divsChild>
                </w:div>
                <w:div w:id="1298488424">
                  <w:marLeft w:val="0"/>
                  <w:marRight w:val="0"/>
                  <w:marTop w:val="0"/>
                  <w:marBottom w:val="0"/>
                  <w:divBdr>
                    <w:top w:val="none" w:sz="0" w:space="0" w:color="auto"/>
                    <w:left w:val="none" w:sz="0" w:space="0" w:color="auto"/>
                    <w:bottom w:val="none" w:sz="0" w:space="0" w:color="auto"/>
                    <w:right w:val="none" w:sz="0" w:space="0" w:color="auto"/>
                  </w:divBdr>
                  <w:divsChild>
                    <w:div w:id="386412613">
                      <w:marLeft w:val="0"/>
                      <w:marRight w:val="0"/>
                      <w:marTop w:val="0"/>
                      <w:marBottom w:val="0"/>
                      <w:divBdr>
                        <w:top w:val="none" w:sz="0" w:space="0" w:color="auto"/>
                        <w:left w:val="none" w:sz="0" w:space="0" w:color="auto"/>
                        <w:bottom w:val="none" w:sz="0" w:space="0" w:color="auto"/>
                        <w:right w:val="none" w:sz="0" w:space="0" w:color="auto"/>
                      </w:divBdr>
                    </w:div>
                  </w:divsChild>
                </w:div>
                <w:div w:id="1389188061">
                  <w:marLeft w:val="0"/>
                  <w:marRight w:val="0"/>
                  <w:marTop w:val="0"/>
                  <w:marBottom w:val="0"/>
                  <w:divBdr>
                    <w:top w:val="none" w:sz="0" w:space="0" w:color="auto"/>
                    <w:left w:val="none" w:sz="0" w:space="0" w:color="auto"/>
                    <w:bottom w:val="none" w:sz="0" w:space="0" w:color="auto"/>
                    <w:right w:val="none" w:sz="0" w:space="0" w:color="auto"/>
                  </w:divBdr>
                  <w:divsChild>
                    <w:div w:id="215703644">
                      <w:marLeft w:val="0"/>
                      <w:marRight w:val="0"/>
                      <w:marTop w:val="0"/>
                      <w:marBottom w:val="0"/>
                      <w:divBdr>
                        <w:top w:val="none" w:sz="0" w:space="0" w:color="auto"/>
                        <w:left w:val="none" w:sz="0" w:space="0" w:color="auto"/>
                        <w:bottom w:val="none" w:sz="0" w:space="0" w:color="auto"/>
                        <w:right w:val="none" w:sz="0" w:space="0" w:color="auto"/>
                      </w:divBdr>
                    </w:div>
                    <w:div w:id="1222908657">
                      <w:marLeft w:val="0"/>
                      <w:marRight w:val="0"/>
                      <w:marTop w:val="0"/>
                      <w:marBottom w:val="0"/>
                      <w:divBdr>
                        <w:top w:val="none" w:sz="0" w:space="0" w:color="auto"/>
                        <w:left w:val="none" w:sz="0" w:space="0" w:color="auto"/>
                        <w:bottom w:val="none" w:sz="0" w:space="0" w:color="auto"/>
                        <w:right w:val="none" w:sz="0" w:space="0" w:color="auto"/>
                      </w:divBdr>
                    </w:div>
                    <w:div w:id="1836678952">
                      <w:marLeft w:val="0"/>
                      <w:marRight w:val="0"/>
                      <w:marTop w:val="0"/>
                      <w:marBottom w:val="0"/>
                      <w:divBdr>
                        <w:top w:val="none" w:sz="0" w:space="0" w:color="auto"/>
                        <w:left w:val="none" w:sz="0" w:space="0" w:color="auto"/>
                        <w:bottom w:val="none" w:sz="0" w:space="0" w:color="auto"/>
                        <w:right w:val="none" w:sz="0" w:space="0" w:color="auto"/>
                      </w:divBdr>
                    </w:div>
                  </w:divsChild>
                </w:div>
                <w:div w:id="1466700339">
                  <w:marLeft w:val="0"/>
                  <w:marRight w:val="0"/>
                  <w:marTop w:val="0"/>
                  <w:marBottom w:val="0"/>
                  <w:divBdr>
                    <w:top w:val="none" w:sz="0" w:space="0" w:color="auto"/>
                    <w:left w:val="none" w:sz="0" w:space="0" w:color="auto"/>
                    <w:bottom w:val="none" w:sz="0" w:space="0" w:color="auto"/>
                    <w:right w:val="none" w:sz="0" w:space="0" w:color="auto"/>
                  </w:divBdr>
                  <w:divsChild>
                    <w:div w:id="492373575">
                      <w:marLeft w:val="0"/>
                      <w:marRight w:val="0"/>
                      <w:marTop w:val="0"/>
                      <w:marBottom w:val="0"/>
                      <w:divBdr>
                        <w:top w:val="none" w:sz="0" w:space="0" w:color="auto"/>
                        <w:left w:val="none" w:sz="0" w:space="0" w:color="auto"/>
                        <w:bottom w:val="none" w:sz="0" w:space="0" w:color="auto"/>
                        <w:right w:val="none" w:sz="0" w:space="0" w:color="auto"/>
                      </w:divBdr>
                    </w:div>
                  </w:divsChild>
                </w:div>
                <w:div w:id="1504083509">
                  <w:marLeft w:val="0"/>
                  <w:marRight w:val="0"/>
                  <w:marTop w:val="0"/>
                  <w:marBottom w:val="0"/>
                  <w:divBdr>
                    <w:top w:val="none" w:sz="0" w:space="0" w:color="auto"/>
                    <w:left w:val="none" w:sz="0" w:space="0" w:color="auto"/>
                    <w:bottom w:val="none" w:sz="0" w:space="0" w:color="auto"/>
                    <w:right w:val="none" w:sz="0" w:space="0" w:color="auto"/>
                  </w:divBdr>
                  <w:divsChild>
                    <w:div w:id="1014187779">
                      <w:marLeft w:val="0"/>
                      <w:marRight w:val="0"/>
                      <w:marTop w:val="0"/>
                      <w:marBottom w:val="0"/>
                      <w:divBdr>
                        <w:top w:val="none" w:sz="0" w:space="0" w:color="auto"/>
                        <w:left w:val="none" w:sz="0" w:space="0" w:color="auto"/>
                        <w:bottom w:val="none" w:sz="0" w:space="0" w:color="auto"/>
                        <w:right w:val="none" w:sz="0" w:space="0" w:color="auto"/>
                      </w:divBdr>
                    </w:div>
                  </w:divsChild>
                </w:div>
                <w:div w:id="1618365832">
                  <w:marLeft w:val="0"/>
                  <w:marRight w:val="0"/>
                  <w:marTop w:val="0"/>
                  <w:marBottom w:val="0"/>
                  <w:divBdr>
                    <w:top w:val="none" w:sz="0" w:space="0" w:color="auto"/>
                    <w:left w:val="none" w:sz="0" w:space="0" w:color="auto"/>
                    <w:bottom w:val="none" w:sz="0" w:space="0" w:color="auto"/>
                    <w:right w:val="none" w:sz="0" w:space="0" w:color="auto"/>
                  </w:divBdr>
                  <w:divsChild>
                    <w:div w:id="250090277">
                      <w:marLeft w:val="0"/>
                      <w:marRight w:val="0"/>
                      <w:marTop w:val="0"/>
                      <w:marBottom w:val="0"/>
                      <w:divBdr>
                        <w:top w:val="none" w:sz="0" w:space="0" w:color="auto"/>
                        <w:left w:val="none" w:sz="0" w:space="0" w:color="auto"/>
                        <w:bottom w:val="none" w:sz="0" w:space="0" w:color="auto"/>
                        <w:right w:val="none" w:sz="0" w:space="0" w:color="auto"/>
                      </w:divBdr>
                    </w:div>
                    <w:div w:id="1939563057">
                      <w:marLeft w:val="0"/>
                      <w:marRight w:val="0"/>
                      <w:marTop w:val="0"/>
                      <w:marBottom w:val="0"/>
                      <w:divBdr>
                        <w:top w:val="none" w:sz="0" w:space="0" w:color="auto"/>
                        <w:left w:val="none" w:sz="0" w:space="0" w:color="auto"/>
                        <w:bottom w:val="none" w:sz="0" w:space="0" w:color="auto"/>
                        <w:right w:val="none" w:sz="0" w:space="0" w:color="auto"/>
                      </w:divBdr>
                    </w:div>
                    <w:div w:id="1986427621">
                      <w:marLeft w:val="0"/>
                      <w:marRight w:val="0"/>
                      <w:marTop w:val="0"/>
                      <w:marBottom w:val="0"/>
                      <w:divBdr>
                        <w:top w:val="none" w:sz="0" w:space="0" w:color="auto"/>
                        <w:left w:val="none" w:sz="0" w:space="0" w:color="auto"/>
                        <w:bottom w:val="none" w:sz="0" w:space="0" w:color="auto"/>
                        <w:right w:val="none" w:sz="0" w:space="0" w:color="auto"/>
                      </w:divBdr>
                    </w:div>
                  </w:divsChild>
                </w:div>
                <w:div w:id="1655911285">
                  <w:marLeft w:val="0"/>
                  <w:marRight w:val="0"/>
                  <w:marTop w:val="0"/>
                  <w:marBottom w:val="0"/>
                  <w:divBdr>
                    <w:top w:val="none" w:sz="0" w:space="0" w:color="auto"/>
                    <w:left w:val="none" w:sz="0" w:space="0" w:color="auto"/>
                    <w:bottom w:val="none" w:sz="0" w:space="0" w:color="auto"/>
                    <w:right w:val="none" w:sz="0" w:space="0" w:color="auto"/>
                  </w:divBdr>
                  <w:divsChild>
                    <w:div w:id="939097183">
                      <w:marLeft w:val="0"/>
                      <w:marRight w:val="0"/>
                      <w:marTop w:val="0"/>
                      <w:marBottom w:val="0"/>
                      <w:divBdr>
                        <w:top w:val="none" w:sz="0" w:space="0" w:color="auto"/>
                        <w:left w:val="none" w:sz="0" w:space="0" w:color="auto"/>
                        <w:bottom w:val="none" w:sz="0" w:space="0" w:color="auto"/>
                        <w:right w:val="none" w:sz="0" w:space="0" w:color="auto"/>
                      </w:divBdr>
                    </w:div>
                  </w:divsChild>
                </w:div>
                <w:div w:id="1917545020">
                  <w:marLeft w:val="0"/>
                  <w:marRight w:val="0"/>
                  <w:marTop w:val="0"/>
                  <w:marBottom w:val="0"/>
                  <w:divBdr>
                    <w:top w:val="none" w:sz="0" w:space="0" w:color="auto"/>
                    <w:left w:val="none" w:sz="0" w:space="0" w:color="auto"/>
                    <w:bottom w:val="none" w:sz="0" w:space="0" w:color="auto"/>
                    <w:right w:val="none" w:sz="0" w:space="0" w:color="auto"/>
                  </w:divBdr>
                  <w:divsChild>
                    <w:div w:id="1722514730">
                      <w:marLeft w:val="0"/>
                      <w:marRight w:val="0"/>
                      <w:marTop w:val="0"/>
                      <w:marBottom w:val="0"/>
                      <w:divBdr>
                        <w:top w:val="none" w:sz="0" w:space="0" w:color="auto"/>
                        <w:left w:val="none" w:sz="0" w:space="0" w:color="auto"/>
                        <w:bottom w:val="none" w:sz="0" w:space="0" w:color="auto"/>
                        <w:right w:val="none" w:sz="0" w:space="0" w:color="auto"/>
                      </w:divBdr>
                    </w:div>
                  </w:divsChild>
                </w:div>
                <w:div w:id="2007512517">
                  <w:marLeft w:val="0"/>
                  <w:marRight w:val="0"/>
                  <w:marTop w:val="0"/>
                  <w:marBottom w:val="0"/>
                  <w:divBdr>
                    <w:top w:val="none" w:sz="0" w:space="0" w:color="auto"/>
                    <w:left w:val="none" w:sz="0" w:space="0" w:color="auto"/>
                    <w:bottom w:val="none" w:sz="0" w:space="0" w:color="auto"/>
                    <w:right w:val="none" w:sz="0" w:space="0" w:color="auto"/>
                  </w:divBdr>
                  <w:divsChild>
                    <w:div w:id="615985085">
                      <w:marLeft w:val="0"/>
                      <w:marRight w:val="0"/>
                      <w:marTop w:val="0"/>
                      <w:marBottom w:val="0"/>
                      <w:divBdr>
                        <w:top w:val="none" w:sz="0" w:space="0" w:color="auto"/>
                        <w:left w:val="none" w:sz="0" w:space="0" w:color="auto"/>
                        <w:bottom w:val="none" w:sz="0" w:space="0" w:color="auto"/>
                        <w:right w:val="none" w:sz="0" w:space="0" w:color="auto"/>
                      </w:divBdr>
                    </w:div>
                  </w:divsChild>
                </w:div>
                <w:div w:id="2040428586">
                  <w:marLeft w:val="0"/>
                  <w:marRight w:val="0"/>
                  <w:marTop w:val="0"/>
                  <w:marBottom w:val="0"/>
                  <w:divBdr>
                    <w:top w:val="none" w:sz="0" w:space="0" w:color="auto"/>
                    <w:left w:val="none" w:sz="0" w:space="0" w:color="auto"/>
                    <w:bottom w:val="none" w:sz="0" w:space="0" w:color="auto"/>
                    <w:right w:val="none" w:sz="0" w:space="0" w:color="auto"/>
                  </w:divBdr>
                  <w:divsChild>
                    <w:div w:id="11754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8554">
          <w:marLeft w:val="0"/>
          <w:marRight w:val="0"/>
          <w:marTop w:val="0"/>
          <w:marBottom w:val="0"/>
          <w:divBdr>
            <w:top w:val="none" w:sz="0" w:space="0" w:color="auto"/>
            <w:left w:val="none" w:sz="0" w:space="0" w:color="auto"/>
            <w:bottom w:val="none" w:sz="0" w:space="0" w:color="auto"/>
            <w:right w:val="none" w:sz="0" w:space="0" w:color="auto"/>
          </w:divBdr>
          <w:divsChild>
            <w:div w:id="35203149">
              <w:marLeft w:val="0"/>
              <w:marRight w:val="0"/>
              <w:marTop w:val="0"/>
              <w:marBottom w:val="0"/>
              <w:divBdr>
                <w:top w:val="none" w:sz="0" w:space="0" w:color="auto"/>
                <w:left w:val="none" w:sz="0" w:space="0" w:color="auto"/>
                <w:bottom w:val="none" w:sz="0" w:space="0" w:color="auto"/>
                <w:right w:val="none" w:sz="0" w:space="0" w:color="auto"/>
              </w:divBdr>
            </w:div>
            <w:div w:id="162473748">
              <w:marLeft w:val="0"/>
              <w:marRight w:val="0"/>
              <w:marTop w:val="0"/>
              <w:marBottom w:val="0"/>
              <w:divBdr>
                <w:top w:val="none" w:sz="0" w:space="0" w:color="auto"/>
                <w:left w:val="none" w:sz="0" w:space="0" w:color="auto"/>
                <w:bottom w:val="none" w:sz="0" w:space="0" w:color="auto"/>
                <w:right w:val="none" w:sz="0" w:space="0" w:color="auto"/>
              </w:divBdr>
            </w:div>
            <w:div w:id="243226092">
              <w:marLeft w:val="0"/>
              <w:marRight w:val="0"/>
              <w:marTop w:val="0"/>
              <w:marBottom w:val="0"/>
              <w:divBdr>
                <w:top w:val="none" w:sz="0" w:space="0" w:color="auto"/>
                <w:left w:val="none" w:sz="0" w:space="0" w:color="auto"/>
                <w:bottom w:val="none" w:sz="0" w:space="0" w:color="auto"/>
                <w:right w:val="none" w:sz="0" w:space="0" w:color="auto"/>
              </w:divBdr>
            </w:div>
            <w:div w:id="280303327">
              <w:marLeft w:val="0"/>
              <w:marRight w:val="0"/>
              <w:marTop w:val="0"/>
              <w:marBottom w:val="0"/>
              <w:divBdr>
                <w:top w:val="none" w:sz="0" w:space="0" w:color="auto"/>
                <w:left w:val="none" w:sz="0" w:space="0" w:color="auto"/>
                <w:bottom w:val="none" w:sz="0" w:space="0" w:color="auto"/>
                <w:right w:val="none" w:sz="0" w:space="0" w:color="auto"/>
              </w:divBdr>
            </w:div>
            <w:div w:id="292173781">
              <w:marLeft w:val="0"/>
              <w:marRight w:val="0"/>
              <w:marTop w:val="0"/>
              <w:marBottom w:val="0"/>
              <w:divBdr>
                <w:top w:val="none" w:sz="0" w:space="0" w:color="auto"/>
                <w:left w:val="none" w:sz="0" w:space="0" w:color="auto"/>
                <w:bottom w:val="none" w:sz="0" w:space="0" w:color="auto"/>
                <w:right w:val="none" w:sz="0" w:space="0" w:color="auto"/>
              </w:divBdr>
            </w:div>
            <w:div w:id="353193636">
              <w:marLeft w:val="0"/>
              <w:marRight w:val="0"/>
              <w:marTop w:val="0"/>
              <w:marBottom w:val="0"/>
              <w:divBdr>
                <w:top w:val="none" w:sz="0" w:space="0" w:color="auto"/>
                <w:left w:val="none" w:sz="0" w:space="0" w:color="auto"/>
                <w:bottom w:val="none" w:sz="0" w:space="0" w:color="auto"/>
                <w:right w:val="none" w:sz="0" w:space="0" w:color="auto"/>
              </w:divBdr>
            </w:div>
            <w:div w:id="472408007">
              <w:marLeft w:val="0"/>
              <w:marRight w:val="0"/>
              <w:marTop w:val="0"/>
              <w:marBottom w:val="0"/>
              <w:divBdr>
                <w:top w:val="none" w:sz="0" w:space="0" w:color="auto"/>
                <w:left w:val="none" w:sz="0" w:space="0" w:color="auto"/>
                <w:bottom w:val="none" w:sz="0" w:space="0" w:color="auto"/>
                <w:right w:val="none" w:sz="0" w:space="0" w:color="auto"/>
              </w:divBdr>
            </w:div>
            <w:div w:id="480000863">
              <w:marLeft w:val="0"/>
              <w:marRight w:val="0"/>
              <w:marTop w:val="0"/>
              <w:marBottom w:val="0"/>
              <w:divBdr>
                <w:top w:val="none" w:sz="0" w:space="0" w:color="auto"/>
                <w:left w:val="none" w:sz="0" w:space="0" w:color="auto"/>
                <w:bottom w:val="none" w:sz="0" w:space="0" w:color="auto"/>
                <w:right w:val="none" w:sz="0" w:space="0" w:color="auto"/>
              </w:divBdr>
            </w:div>
            <w:div w:id="570622441">
              <w:marLeft w:val="0"/>
              <w:marRight w:val="0"/>
              <w:marTop w:val="0"/>
              <w:marBottom w:val="0"/>
              <w:divBdr>
                <w:top w:val="none" w:sz="0" w:space="0" w:color="auto"/>
                <w:left w:val="none" w:sz="0" w:space="0" w:color="auto"/>
                <w:bottom w:val="none" w:sz="0" w:space="0" w:color="auto"/>
                <w:right w:val="none" w:sz="0" w:space="0" w:color="auto"/>
              </w:divBdr>
            </w:div>
            <w:div w:id="613096159">
              <w:marLeft w:val="0"/>
              <w:marRight w:val="0"/>
              <w:marTop w:val="0"/>
              <w:marBottom w:val="0"/>
              <w:divBdr>
                <w:top w:val="none" w:sz="0" w:space="0" w:color="auto"/>
                <w:left w:val="none" w:sz="0" w:space="0" w:color="auto"/>
                <w:bottom w:val="none" w:sz="0" w:space="0" w:color="auto"/>
                <w:right w:val="none" w:sz="0" w:space="0" w:color="auto"/>
              </w:divBdr>
            </w:div>
            <w:div w:id="976377285">
              <w:marLeft w:val="0"/>
              <w:marRight w:val="0"/>
              <w:marTop w:val="0"/>
              <w:marBottom w:val="0"/>
              <w:divBdr>
                <w:top w:val="none" w:sz="0" w:space="0" w:color="auto"/>
                <w:left w:val="none" w:sz="0" w:space="0" w:color="auto"/>
                <w:bottom w:val="none" w:sz="0" w:space="0" w:color="auto"/>
                <w:right w:val="none" w:sz="0" w:space="0" w:color="auto"/>
              </w:divBdr>
            </w:div>
            <w:div w:id="989553159">
              <w:marLeft w:val="0"/>
              <w:marRight w:val="0"/>
              <w:marTop w:val="0"/>
              <w:marBottom w:val="0"/>
              <w:divBdr>
                <w:top w:val="none" w:sz="0" w:space="0" w:color="auto"/>
                <w:left w:val="none" w:sz="0" w:space="0" w:color="auto"/>
                <w:bottom w:val="none" w:sz="0" w:space="0" w:color="auto"/>
                <w:right w:val="none" w:sz="0" w:space="0" w:color="auto"/>
              </w:divBdr>
            </w:div>
            <w:div w:id="1050230317">
              <w:marLeft w:val="0"/>
              <w:marRight w:val="0"/>
              <w:marTop w:val="0"/>
              <w:marBottom w:val="0"/>
              <w:divBdr>
                <w:top w:val="none" w:sz="0" w:space="0" w:color="auto"/>
                <w:left w:val="none" w:sz="0" w:space="0" w:color="auto"/>
                <w:bottom w:val="none" w:sz="0" w:space="0" w:color="auto"/>
                <w:right w:val="none" w:sz="0" w:space="0" w:color="auto"/>
              </w:divBdr>
            </w:div>
            <w:div w:id="1244753731">
              <w:marLeft w:val="0"/>
              <w:marRight w:val="0"/>
              <w:marTop w:val="0"/>
              <w:marBottom w:val="0"/>
              <w:divBdr>
                <w:top w:val="none" w:sz="0" w:space="0" w:color="auto"/>
                <w:left w:val="none" w:sz="0" w:space="0" w:color="auto"/>
                <w:bottom w:val="none" w:sz="0" w:space="0" w:color="auto"/>
                <w:right w:val="none" w:sz="0" w:space="0" w:color="auto"/>
              </w:divBdr>
            </w:div>
            <w:div w:id="1620408345">
              <w:marLeft w:val="0"/>
              <w:marRight w:val="0"/>
              <w:marTop w:val="0"/>
              <w:marBottom w:val="0"/>
              <w:divBdr>
                <w:top w:val="none" w:sz="0" w:space="0" w:color="auto"/>
                <w:left w:val="none" w:sz="0" w:space="0" w:color="auto"/>
                <w:bottom w:val="none" w:sz="0" w:space="0" w:color="auto"/>
                <w:right w:val="none" w:sz="0" w:space="0" w:color="auto"/>
              </w:divBdr>
            </w:div>
            <w:div w:id="1657801889">
              <w:marLeft w:val="0"/>
              <w:marRight w:val="0"/>
              <w:marTop w:val="0"/>
              <w:marBottom w:val="0"/>
              <w:divBdr>
                <w:top w:val="none" w:sz="0" w:space="0" w:color="auto"/>
                <w:left w:val="none" w:sz="0" w:space="0" w:color="auto"/>
                <w:bottom w:val="none" w:sz="0" w:space="0" w:color="auto"/>
                <w:right w:val="none" w:sz="0" w:space="0" w:color="auto"/>
              </w:divBdr>
            </w:div>
            <w:div w:id="1719208235">
              <w:marLeft w:val="0"/>
              <w:marRight w:val="0"/>
              <w:marTop w:val="0"/>
              <w:marBottom w:val="0"/>
              <w:divBdr>
                <w:top w:val="none" w:sz="0" w:space="0" w:color="auto"/>
                <w:left w:val="none" w:sz="0" w:space="0" w:color="auto"/>
                <w:bottom w:val="none" w:sz="0" w:space="0" w:color="auto"/>
                <w:right w:val="none" w:sz="0" w:space="0" w:color="auto"/>
              </w:divBdr>
            </w:div>
            <w:div w:id="1819573024">
              <w:marLeft w:val="0"/>
              <w:marRight w:val="0"/>
              <w:marTop w:val="0"/>
              <w:marBottom w:val="0"/>
              <w:divBdr>
                <w:top w:val="none" w:sz="0" w:space="0" w:color="auto"/>
                <w:left w:val="none" w:sz="0" w:space="0" w:color="auto"/>
                <w:bottom w:val="none" w:sz="0" w:space="0" w:color="auto"/>
                <w:right w:val="none" w:sz="0" w:space="0" w:color="auto"/>
              </w:divBdr>
            </w:div>
            <w:div w:id="1973710690">
              <w:marLeft w:val="0"/>
              <w:marRight w:val="0"/>
              <w:marTop w:val="0"/>
              <w:marBottom w:val="0"/>
              <w:divBdr>
                <w:top w:val="none" w:sz="0" w:space="0" w:color="auto"/>
                <w:left w:val="none" w:sz="0" w:space="0" w:color="auto"/>
                <w:bottom w:val="none" w:sz="0" w:space="0" w:color="auto"/>
                <w:right w:val="none" w:sz="0" w:space="0" w:color="auto"/>
              </w:divBdr>
            </w:div>
            <w:div w:id="2020548552">
              <w:marLeft w:val="0"/>
              <w:marRight w:val="0"/>
              <w:marTop w:val="0"/>
              <w:marBottom w:val="0"/>
              <w:divBdr>
                <w:top w:val="none" w:sz="0" w:space="0" w:color="auto"/>
                <w:left w:val="none" w:sz="0" w:space="0" w:color="auto"/>
                <w:bottom w:val="none" w:sz="0" w:space="0" w:color="auto"/>
                <w:right w:val="none" w:sz="0" w:space="0" w:color="auto"/>
              </w:divBdr>
            </w:div>
            <w:div w:id="2132358448">
              <w:marLeft w:val="0"/>
              <w:marRight w:val="0"/>
              <w:marTop w:val="0"/>
              <w:marBottom w:val="0"/>
              <w:divBdr>
                <w:top w:val="none" w:sz="0" w:space="0" w:color="auto"/>
                <w:left w:val="none" w:sz="0" w:space="0" w:color="auto"/>
                <w:bottom w:val="none" w:sz="0" w:space="0" w:color="auto"/>
                <w:right w:val="none" w:sz="0" w:space="0" w:color="auto"/>
              </w:divBdr>
            </w:div>
          </w:divsChild>
        </w:div>
        <w:div w:id="2050372791">
          <w:marLeft w:val="0"/>
          <w:marRight w:val="0"/>
          <w:marTop w:val="0"/>
          <w:marBottom w:val="0"/>
          <w:divBdr>
            <w:top w:val="none" w:sz="0" w:space="0" w:color="auto"/>
            <w:left w:val="none" w:sz="0" w:space="0" w:color="auto"/>
            <w:bottom w:val="none" w:sz="0" w:space="0" w:color="auto"/>
            <w:right w:val="none" w:sz="0" w:space="0" w:color="auto"/>
          </w:divBdr>
          <w:divsChild>
            <w:div w:id="77142505">
              <w:marLeft w:val="0"/>
              <w:marRight w:val="0"/>
              <w:marTop w:val="0"/>
              <w:marBottom w:val="0"/>
              <w:divBdr>
                <w:top w:val="none" w:sz="0" w:space="0" w:color="auto"/>
                <w:left w:val="none" w:sz="0" w:space="0" w:color="auto"/>
                <w:bottom w:val="none" w:sz="0" w:space="0" w:color="auto"/>
                <w:right w:val="none" w:sz="0" w:space="0" w:color="auto"/>
              </w:divBdr>
            </w:div>
            <w:div w:id="78135021">
              <w:marLeft w:val="0"/>
              <w:marRight w:val="0"/>
              <w:marTop w:val="0"/>
              <w:marBottom w:val="0"/>
              <w:divBdr>
                <w:top w:val="none" w:sz="0" w:space="0" w:color="auto"/>
                <w:left w:val="none" w:sz="0" w:space="0" w:color="auto"/>
                <w:bottom w:val="none" w:sz="0" w:space="0" w:color="auto"/>
                <w:right w:val="none" w:sz="0" w:space="0" w:color="auto"/>
              </w:divBdr>
            </w:div>
            <w:div w:id="98793090">
              <w:marLeft w:val="0"/>
              <w:marRight w:val="0"/>
              <w:marTop w:val="0"/>
              <w:marBottom w:val="0"/>
              <w:divBdr>
                <w:top w:val="none" w:sz="0" w:space="0" w:color="auto"/>
                <w:left w:val="none" w:sz="0" w:space="0" w:color="auto"/>
                <w:bottom w:val="none" w:sz="0" w:space="0" w:color="auto"/>
                <w:right w:val="none" w:sz="0" w:space="0" w:color="auto"/>
              </w:divBdr>
            </w:div>
            <w:div w:id="105806870">
              <w:marLeft w:val="0"/>
              <w:marRight w:val="0"/>
              <w:marTop w:val="0"/>
              <w:marBottom w:val="0"/>
              <w:divBdr>
                <w:top w:val="none" w:sz="0" w:space="0" w:color="auto"/>
                <w:left w:val="none" w:sz="0" w:space="0" w:color="auto"/>
                <w:bottom w:val="none" w:sz="0" w:space="0" w:color="auto"/>
                <w:right w:val="none" w:sz="0" w:space="0" w:color="auto"/>
              </w:divBdr>
            </w:div>
            <w:div w:id="288123037">
              <w:marLeft w:val="0"/>
              <w:marRight w:val="0"/>
              <w:marTop w:val="0"/>
              <w:marBottom w:val="0"/>
              <w:divBdr>
                <w:top w:val="none" w:sz="0" w:space="0" w:color="auto"/>
                <w:left w:val="none" w:sz="0" w:space="0" w:color="auto"/>
                <w:bottom w:val="none" w:sz="0" w:space="0" w:color="auto"/>
                <w:right w:val="none" w:sz="0" w:space="0" w:color="auto"/>
              </w:divBdr>
            </w:div>
            <w:div w:id="600794686">
              <w:marLeft w:val="0"/>
              <w:marRight w:val="0"/>
              <w:marTop w:val="0"/>
              <w:marBottom w:val="0"/>
              <w:divBdr>
                <w:top w:val="none" w:sz="0" w:space="0" w:color="auto"/>
                <w:left w:val="none" w:sz="0" w:space="0" w:color="auto"/>
                <w:bottom w:val="none" w:sz="0" w:space="0" w:color="auto"/>
                <w:right w:val="none" w:sz="0" w:space="0" w:color="auto"/>
              </w:divBdr>
            </w:div>
            <w:div w:id="653146760">
              <w:marLeft w:val="0"/>
              <w:marRight w:val="0"/>
              <w:marTop w:val="0"/>
              <w:marBottom w:val="0"/>
              <w:divBdr>
                <w:top w:val="none" w:sz="0" w:space="0" w:color="auto"/>
                <w:left w:val="none" w:sz="0" w:space="0" w:color="auto"/>
                <w:bottom w:val="none" w:sz="0" w:space="0" w:color="auto"/>
                <w:right w:val="none" w:sz="0" w:space="0" w:color="auto"/>
              </w:divBdr>
            </w:div>
            <w:div w:id="799109764">
              <w:marLeft w:val="0"/>
              <w:marRight w:val="0"/>
              <w:marTop w:val="0"/>
              <w:marBottom w:val="0"/>
              <w:divBdr>
                <w:top w:val="none" w:sz="0" w:space="0" w:color="auto"/>
                <w:left w:val="none" w:sz="0" w:space="0" w:color="auto"/>
                <w:bottom w:val="none" w:sz="0" w:space="0" w:color="auto"/>
                <w:right w:val="none" w:sz="0" w:space="0" w:color="auto"/>
              </w:divBdr>
            </w:div>
            <w:div w:id="948196945">
              <w:marLeft w:val="0"/>
              <w:marRight w:val="0"/>
              <w:marTop w:val="0"/>
              <w:marBottom w:val="0"/>
              <w:divBdr>
                <w:top w:val="none" w:sz="0" w:space="0" w:color="auto"/>
                <w:left w:val="none" w:sz="0" w:space="0" w:color="auto"/>
                <w:bottom w:val="none" w:sz="0" w:space="0" w:color="auto"/>
                <w:right w:val="none" w:sz="0" w:space="0" w:color="auto"/>
              </w:divBdr>
            </w:div>
            <w:div w:id="998191789">
              <w:marLeft w:val="0"/>
              <w:marRight w:val="0"/>
              <w:marTop w:val="0"/>
              <w:marBottom w:val="0"/>
              <w:divBdr>
                <w:top w:val="none" w:sz="0" w:space="0" w:color="auto"/>
                <w:left w:val="none" w:sz="0" w:space="0" w:color="auto"/>
                <w:bottom w:val="none" w:sz="0" w:space="0" w:color="auto"/>
                <w:right w:val="none" w:sz="0" w:space="0" w:color="auto"/>
              </w:divBdr>
            </w:div>
            <w:div w:id="1060863486">
              <w:marLeft w:val="0"/>
              <w:marRight w:val="0"/>
              <w:marTop w:val="0"/>
              <w:marBottom w:val="0"/>
              <w:divBdr>
                <w:top w:val="none" w:sz="0" w:space="0" w:color="auto"/>
                <w:left w:val="none" w:sz="0" w:space="0" w:color="auto"/>
                <w:bottom w:val="none" w:sz="0" w:space="0" w:color="auto"/>
                <w:right w:val="none" w:sz="0" w:space="0" w:color="auto"/>
              </w:divBdr>
            </w:div>
            <w:div w:id="1224029532">
              <w:marLeft w:val="0"/>
              <w:marRight w:val="0"/>
              <w:marTop w:val="0"/>
              <w:marBottom w:val="0"/>
              <w:divBdr>
                <w:top w:val="none" w:sz="0" w:space="0" w:color="auto"/>
                <w:left w:val="none" w:sz="0" w:space="0" w:color="auto"/>
                <w:bottom w:val="none" w:sz="0" w:space="0" w:color="auto"/>
                <w:right w:val="none" w:sz="0" w:space="0" w:color="auto"/>
              </w:divBdr>
            </w:div>
            <w:div w:id="1224607240">
              <w:marLeft w:val="0"/>
              <w:marRight w:val="0"/>
              <w:marTop w:val="0"/>
              <w:marBottom w:val="0"/>
              <w:divBdr>
                <w:top w:val="none" w:sz="0" w:space="0" w:color="auto"/>
                <w:left w:val="none" w:sz="0" w:space="0" w:color="auto"/>
                <w:bottom w:val="none" w:sz="0" w:space="0" w:color="auto"/>
                <w:right w:val="none" w:sz="0" w:space="0" w:color="auto"/>
              </w:divBdr>
            </w:div>
            <w:div w:id="1519655416">
              <w:marLeft w:val="0"/>
              <w:marRight w:val="0"/>
              <w:marTop w:val="0"/>
              <w:marBottom w:val="0"/>
              <w:divBdr>
                <w:top w:val="none" w:sz="0" w:space="0" w:color="auto"/>
                <w:left w:val="none" w:sz="0" w:space="0" w:color="auto"/>
                <w:bottom w:val="none" w:sz="0" w:space="0" w:color="auto"/>
                <w:right w:val="none" w:sz="0" w:space="0" w:color="auto"/>
              </w:divBdr>
            </w:div>
            <w:div w:id="1592087329">
              <w:marLeft w:val="0"/>
              <w:marRight w:val="0"/>
              <w:marTop w:val="0"/>
              <w:marBottom w:val="0"/>
              <w:divBdr>
                <w:top w:val="none" w:sz="0" w:space="0" w:color="auto"/>
                <w:left w:val="none" w:sz="0" w:space="0" w:color="auto"/>
                <w:bottom w:val="none" w:sz="0" w:space="0" w:color="auto"/>
                <w:right w:val="none" w:sz="0" w:space="0" w:color="auto"/>
              </w:divBdr>
            </w:div>
            <w:div w:id="1754550250">
              <w:marLeft w:val="0"/>
              <w:marRight w:val="0"/>
              <w:marTop w:val="0"/>
              <w:marBottom w:val="0"/>
              <w:divBdr>
                <w:top w:val="none" w:sz="0" w:space="0" w:color="auto"/>
                <w:left w:val="none" w:sz="0" w:space="0" w:color="auto"/>
                <w:bottom w:val="none" w:sz="0" w:space="0" w:color="auto"/>
                <w:right w:val="none" w:sz="0" w:space="0" w:color="auto"/>
              </w:divBdr>
            </w:div>
            <w:div w:id="1829201953">
              <w:marLeft w:val="0"/>
              <w:marRight w:val="0"/>
              <w:marTop w:val="0"/>
              <w:marBottom w:val="0"/>
              <w:divBdr>
                <w:top w:val="none" w:sz="0" w:space="0" w:color="auto"/>
                <w:left w:val="none" w:sz="0" w:space="0" w:color="auto"/>
                <w:bottom w:val="none" w:sz="0" w:space="0" w:color="auto"/>
                <w:right w:val="none" w:sz="0" w:space="0" w:color="auto"/>
              </w:divBdr>
            </w:div>
            <w:div w:id="1833522981">
              <w:marLeft w:val="0"/>
              <w:marRight w:val="0"/>
              <w:marTop w:val="0"/>
              <w:marBottom w:val="0"/>
              <w:divBdr>
                <w:top w:val="none" w:sz="0" w:space="0" w:color="auto"/>
                <w:left w:val="none" w:sz="0" w:space="0" w:color="auto"/>
                <w:bottom w:val="none" w:sz="0" w:space="0" w:color="auto"/>
                <w:right w:val="none" w:sz="0" w:space="0" w:color="auto"/>
              </w:divBdr>
            </w:div>
            <w:div w:id="2002151876">
              <w:marLeft w:val="0"/>
              <w:marRight w:val="0"/>
              <w:marTop w:val="0"/>
              <w:marBottom w:val="0"/>
              <w:divBdr>
                <w:top w:val="none" w:sz="0" w:space="0" w:color="auto"/>
                <w:left w:val="none" w:sz="0" w:space="0" w:color="auto"/>
                <w:bottom w:val="none" w:sz="0" w:space="0" w:color="auto"/>
                <w:right w:val="none" w:sz="0" w:space="0" w:color="auto"/>
              </w:divBdr>
            </w:div>
            <w:div w:id="2050298541">
              <w:marLeft w:val="0"/>
              <w:marRight w:val="0"/>
              <w:marTop w:val="0"/>
              <w:marBottom w:val="0"/>
              <w:divBdr>
                <w:top w:val="none" w:sz="0" w:space="0" w:color="auto"/>
                <w:left w:val="none" w:sz="0" w:space="0" w:color="auto"/>
                <w:bottom w:val="none" w:sz="0" w:space="0" w:color="auto"/>
                <w:right w:val="none" w:sz="0" w:space="0" w:color="auto"/>
              </w:divBdr>
            </w:div>
            <w:div w:id="20752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8046">
      <w:bodyDiv w:val="1"/>
      <w:marLeft w:val="0"/>
      <w:marRight w:val="0"/>
      <w:marTop w:val="0"/>
      <w:marBottom w:val="0"/>
      <w:divBdr>
        <w:top w:val="none" w:sz="0" w:space="0" w:color="auto"/>
        <w:left w:val="none" w:sz="0" w:space="0" w:color="auto"/>
        <w:bottom w:val="none" w:sz="0" w:space="0" w:color="auto"/>
        <w:right w:val="none" w:sz="0" w:space="0" w:color="auto"/>
      </w:divBdr>
      <w:divsChild>
        <w:div w:id="532038431">
          <w:marLeft w:val="0"/>
          <w:marRight w:val="0"/>
          <w:marTop w:val="0"/>
          <w:marBottom w:val="0"/>
          <w:divBdr>
            <w:top w:val="none" w:sz="0" w:space="0" w:color="auto"/>
            <w:left w:val="none" w:sz="0" w:space="0" w:color="auto"/>
            <w:bottom w:val="none" w:sz="0" w:space="0" w:color="auto"/>
            <w:right w:val="none" w:sz="0" w:space="0" w:color="auto"/>
          </w:divBdr>
        </w:div>
        <w:div w:id="1448428466">
          <w:marLeft w:val="0"/>
          <w:marRight w:val="0"/>
          <w:marTop w:val="0"/>
          <w:marBottom w:val="0"/>
          <w:divBdr>
            <w:top w:val="none" w:sz="0" w:space="0" w:color="auto"/>
            <w:left w:val="none" w:sz="0" w:space="0" w:color="auto"/>
            <w:bottom w:val="none" w:sz="0" w:space="0" w:color="auto"/>
            <w:right w:val="none" w:sz="0" w:space="0" w:color="auto"/>
          </w:divBdr>
        </w:div>
        <w:div w:id="2085910262">
          <w:marLeft w:val="0"/>
          <w:marRight w:val="0"/>
          <w:marTop w:val="0"/>
          <w:marBottom w:val="0"/>
          <w:divBdr>
            <w:top w:val="none" w:sz="0" w:space="0" w:color="auto"/>
            <w:left w:val="none" w:sz="0" w:space="0" w:color="auto"/>
            <w:bottom w:val="none" w:sz="0" w:space="0" w:color="auto"/>
            <w:right w:val="none" w:sz="0" w:space="0" w:color="auto"/>
          </w:divBdr>
        </w:div>
      </w:divsChild>
    </w:div>
    <w:div w:id="233860959">
      <w:bodyDiv w:val="1"/>
      <w:marLeft w:val="0"/>
      <w:marRight w:val="0"/>
      <w:marTop w:val="0"/>
      <w:marBottom w:val="0"/>
      <w:divBdr>
        <w:top w:val="none" w:sz="0" w:space="0" w:color="auto"/>
        <w:left w:val="none" w:sz="0" w:space="0" w:color="auto"/>
        <w:bottom w:val="none" w:sz="0" w:space="0" w:color="auto"/>
        <w:right w:val="none" w:sz="0" w:space="0" w:color="auto"/>
      </w:divBdr>
    </w:div>
    <w:div w:id="239410071">
      <w:bodyDiv w:val="1"/>
      <w:marLeft w:val="0"/>
      <w:marRight w:val="0"/>
      <w:marTop w:val="0"/>
      <w:marBottom w:val="0"/>
      <w:divBdr>
        <w:top w:val="none" w:sz="0" w:space="0" w:color="auto"/>
        <w:left w:val="none" w:sz="0" w:space="0" w:color="auto"/>
        <w:bottom w:val="none" w:sz="0" w:space="0" w:color="auto"/>
        <w:right w:val="none" w:sz="0" w:space="0" w:color="auto"/>
      </w:divBdr>
    </w:div>
    <w:div w:id="267735612">
      <w:bodyDiv w:val="1"/>
      <w:marLeft w:val="0"/>
      <w:marRight w:val="0"/>
      <w:marTop w:val="0"/>
      <w:marBottom w:val="0"/>
      <w:divBdr>
        <w:top w:val="none" w:sz="0" w:space="0" w:color="auto"/>
        <w:left w:val="none" w:sz="0" w:space="0" w:color="auto"/>
        <w:bottom w:val="none" w:sz="0" w:space="0" w:color="auto"/>
        <w:right w:val="none" w:sz="0" w:space="0" w:color="auto"/>
      </w:divBdr>
      <w:divsChild>
        <w:div w:id="6295097">
          <w:marLeft w:val="0"/>
          <w:marRight w:val="0"/>
          <w:marTop w:val="0"/>
          <w:marBottom w:val="0"/>
          <w:divBdr>
            <w:top w:val="none" w:sz="0" w:space="0" w:color="auto"/>
            <w:left w:val="none" w:sz="0" w:space="0" w:color="auto"/>
            <w:bottom w:val="none" w:sz="0" w:space="0" w:color="auto"/>
            <w:right w:val="none" w:sz="0" w:space="0" w:color="auto"/>
          </w:divBdr>
        </w:div>
        <w:div w:id="16782713">
          <w:marLeft w:val="0"/>
          <w:marRight w:val="0"/>
          <w:marTop w:val="0"/>
          <w:marBottom w:val="0"/>
          <w:divBdr>
            <w:top w:val="none" w:sz="0" w:space="0" w:color="auto"/>
            <w:left w:val="none" w:sz="0" w:space="0" w:color="auto"/>
            <w:bottom w:val="none" w:sz="0" w:space="0" w:color="auto"/>
            <w:right w:val="none" w:sz="0" w:space="0" w:color="auto"/>
          </w:divBdr>
        </w:div>
        <w:div w:id="22707522">
          <w:marLeft w:val="0"/>
          <w:marRight w:val="0"/>
          <w:marTop w:val="0"/>
          <w:marBottom w:val="0"/>
          <w:divBdr>
            <w:top w:val="none" w:sz="0" w:space="0" w:color="auto"/>
            <w:left w:val="none" w:sz="0" w:space="0" w:color="auto"/>
            <w:bottom w:val="none" w:sz="0" w:space="0" w:color="auto"/>
            <w:right w:val="none" w:sz="0" w:space="0" w:color="auto"/>
          </w:divBdr>
        </w:div>
        <w:div w:id="29258772">
          <w:marLeft w:val="0"/>
          <w:marRight w:val="0"/>
          <w:marTop w:val="0"/>
          <w:marBottom w:val="0"/>
          <w:divBdr>
            <w:top w:val="none" w:sz="0" w:space="0" w:color="auto"/>
            <w:left w:val="none" w:sz="0" w:space="0" w:color="auto"/>
            <w:bottom w:val="none" w:sz="0" w:space="0" w:color="auto"/>
            <w:right w:val="none" w:sz="0" w:space="0" w:color="auto"/>
          </w:divBdr>
        </w:div>
        <w:div w:id="31537435">
          <w:marLeft w:val="0"/>
          <w:marRight w:val="0"/>
          <w:marTop w:val="0"/>
          <w:marBottom w:val="0"/>
          <w:divBdr>
            <w:top w:val="none" w:sz="0" w:space="0" w:color="auto"/>
            <w:left w:val="none" w:sz="0" w:space="0" w:color="auto"/>
            <w:bottom w:val="none" w:sz="0" w:space="0" w:color="auto"/>
            <w:right w:val="none" w:sz="0" w:space="0" w:color="auto"/>
          </w:divBdr>
        </w:div>
        <w:div w:id="34044824">
          <w:marLeft w:val="0"/>
          <w:marRight w:val="0"/>
          <w:marTop w:val="0"/>
          <w:marBottom w:val="0"/>
          <w:divBdr>
            <w:top w:val="none" w:sz="0" w:space="0" w:color="auto"/>
            <w:left w:val="none" w:sz="0" w:space="0" w:color="auto"/>
            <w:bottom w:val="none" w:sz="0" w:space="0" w:color="auto"/>
            <w:right w:val="none" w:sz="0" w:space="0" w:color="auto"/>
          </w:divBdr>
        </w:div>
        <w:div w:id="42144911">
          <w:marLeft w:val="0"/>
          <w:marRight w:val="0"/>
          <w:marTop w:val="0"/>
          <w:marBottom w:val="0"/>
          <w:divBdr>
            <w:top w:val="none" w:sz="0" w:space="0" w:color="auto"/>
            <w:left w:val="none" w:sz="0" w:space="0" w:color="auto"/>
            <w:bottom w:val="none" w:sz="0" w:space="0" w:color="auto"/>
            <w:right w:val="none" w:sz="0" w:space="0" w:color="auto"/>
          </w:divBdr>
        </w:div>
        <w:div w:id="48498851">
          <w:marLeft w:val="0"/>
          <w:marRight w:val="0"/>
          <w:marTop w:val="0"/>
          <w:marBottom w:val="0"/>
          <w:divBdr>
            <w:top w:val="none" w:sz="0" w:space="0" w:color="auto"/>
            <w:left w:val="none" w:sz="0" w:space="0" w:color="auto"/>
            <w:bottom w:val="none" w:sz="0" w:space="0" w:color="auto"/>
            <w:right w:val="none" w:sz="0" w:space="0" w:color="auto"/>
          </w:divBdr>
        </w:div>
        <w:div w:id="61295664">
          <w:marLeft w:val="0"/>
          <w:marRight w:val="0"/>
          <w:marTop w:val="0"/>
          <w:marBottom w:val="0"/>
          <w:divBdr>
            <w:top w:val="none" w:sz="0" w:space="0" w:color="auto"/>
            <w:left w:val="none" w:sz="0" w:space="0" w:color="auto"/>
            <w:bottom w:val="none" w:sz="0" w:space="0" w:color="auto"/>
            <w:right w:val="none" w:sz="0" w:space="0" w:color="auto"/>
          </w:divBdr>
        </w:div>
        <w:div w:id="62265091">
          <w:marLeft w:val="0"/>
          <w:marRight w:val="0"/>
          <w:marTop w:val="0"/>
          <w:marBottom w:val="0"/>
          <w:divBdr>
            <w:top w:val="none" w:sz="0" w:space="0" w:color="auto"/>
            <w:left w:val="none" w:sz="0" w:space="0" w:color="auto"/>
            <w:bottom w:val="none" w:sz="0" w:space="0" w:color="auto"/>
            <w:right w:val="none" w:sz="0" w:space="0" w:color="auto"/>
          </w:divBdr>
        </w:div>
        <w:div w:id="66808258">
          <w:marLeft w:val="0"/>
          <w:marRight w:val="0"/>
          <w:marTop w:val="0"/>
          <w:marBottom w:val="0"/>
          <w:divBdr>
            <w:top w:val="none" w:sz="0" w:space="0" w:color="auto"/>
            <w:left w:val="none" w:sz="0" w:space="0" w:color="auto"/>
            <w:bottom w:val="none" w:sz="0" w:space="0" w:color="auto"/>
            <w:right w:val="none" w:sz="0" w:space="0" w:color="auto"/>
          </w:divBdr>
        </w:div>
        <w:div w:id="68818287">
          <w:marLeft w:val="0"/>
          <w:marRight w:val="0"/>
          <w:marTop w:val="0"/>
          <w:marBottom w:val="0"/>
          <w:divBdr>
            <w:top w:val="none" w:sz="0" w:space="0" w:color="auto"/>
            <w:left w:val="none" w:sz="0" w:space="0" w:color="auto"/>
            <w:bottom w:val="none" w:sz="0" w:space="0" w:color="auto"/>
            <w:right w:val="none" w:sz="0" w:space="0" w:color="auto"/>
          </w:divBdr>
        </w:div>
        <w:div w:id="72360559">
          <w:marLeft w:val="0"/>
          <w:marRight w:val="0"/>
          <w:marTop w:val="0"/>
          <w:marBottom w:val="0"/>
          <w:divBdr>
            <w:top w:val="none" w:sz="0" w:space="0" w:color="auto"/>
            <w:left w:val="none" w:sz="0" w:space="0" w:color="auto"/>
            <w:bottom w:val="none" w:sz="0" w:space="0" w:color="auto"/>
            <w:right w:val="none" w:sz="0" w:space="0" w:color="auto"/>
          </w:divBdr>
        </w:div>
        <w:div w:id="73015255">
          <w:marLeft w:val="0"/>
          <w:marRight w:val="0"/>
          <w:marTop w:val="0"/>
          <w:marBottom w:val="0"/>
          <w:divBdr>
            <w:top w:val="none" w:sz="0" w:space="0" w:color="auto"/>
            <w:left w:val="none" w:sz="0" w:space="0" w:color="auto"/>
            <w:bottom w:val="none" w:sz="0" w:space="0" w:color="auto"/>
            <w:right w:val="none" w:sz="0" w:space="0" w:color="auto"/>
          </w:divBdr>
        </w:div>
        <w:div w:id="78790129">
          <w:marLeft w:val="0"/>
          <w:marRight w:val="0"/>
          <w:marTop w:val="0"/>
          <w:marBottom w:val="0"/>
          <w:divBdr>
            <w:top w:val="none" w:sz="0" w:space="0" w:color="auto"/>
            <w:left w:val="none" w:sz="0" w:space="0" w:color="auto"/>
            <w:bottom w:val="none" w:sz="0" w:space="0" w:color="auto"/>
            <w:right w:val="none" w:sz="0" w:space="0" w:color="auto"/>
          </w:divBdr>
        </w:div>
        <w:div w:id="88042157">
          <w:marLeft w:val="0"/>
          <w:marRight w:val="0"/>
          <w:marTop w:val="0"/>
          <w:marBottom w:val="0"/>
          <w:divBdr>
            <w:top w:val="none" w:sz="0" w:space="0" w:color="auto"/>
            <w:left w:val="none" w:sz="0" w:space="0" w:color="auto"/>
            <w:bottom w:val="none" w:sz="0" w:space="0" w:color="auto"/>
            <w:right w:val="none" w:sz="0" w:space="0" w:color="auto"/>
          </w:divBdr>
        </w:div>
        <w:div w:id="96220548">
          <w:marLeft w:val="0"/>
          <w:marRight w:val="0"/>
          <w:marTop w:val="0"/>
          <w:marBottom w:val="0"/>
          <w:divBdr>
            <w:top w:val="none" w:sz="0" w:space="0" w:color="auto"/>
            <w:left w:val="none" w:sz="0" w:space="0" w:color="auto"/>
            <w:bottom w:val="none" w:sz="0" w:space="0" w:color="auto"/>
            <w:right w:val="none" w:sz="0" w:space="0" w:color="auto"/>
          </w:divBdr>
        </w:div>
        <w:div w:id="104084173">
          <w:marLeft w:val="0"/>
          <w:marRight w:val="0"/>
          <w:marTop w:val="0"/>
          <w:marBottom w:val="0"/>
          <w:divBdr>
            <w:top w:val="none" w:sz="0" w:space="0" w:color="auto"/>
            <w:left w:val="none" w:sz="0" w:space="0" w:color="auto"/>
            <w:bottom w:val="none" w:sz="0" w:space="0" w:color="auto"/>
            <w:right w:val="none" w:sz="0" w:space="0" w:color="auto"/>
          </w:divBdr>
        </w:div>
        <w:div w:id="105466763">
          <w:marLeft w:val="0"/>
          <w:marRight w:val="0"/>
          <w:marTop w:val="0"/>
          <w:marBottom w:val="0"/>
          <w:divBdr>
            <w:top w:val="none" w:sz="0" w:space="0" w:color="auto"/>
            <w:left w:val="none" w:sz="0" w:space="0" w:color="auto"/>
            <w:bottom w:val="none" w:sz="0" w:space="0" w:color="auto"/>
            <w:right w:val="none" w:sz="0" w:space="0" w:color="auto"/>
          </w:divBdr>
        </w:div>
        <w:div w:id="106001751">
          <w:marLeft w:val="0"/>
          <w:marRight w:val="0"/>
          <w:marTop w:val="0"/>
          <w:marBottom w:val="0"/>
          <w:divBdr>
            <w:top w:val="none" w:sz="0" w:space="0" w:color="auto"/>
            <w:left w:val="none" w:sz="0" w:space="0" w:color="auto"/>
            <w:bottom w:val="none" w:sz="0" w:space="0" w:color="auto"/>
            <w:right w:val="none" w:sz="0" w:space="0" w:color="auto"/>
          </w:divBdr>
        </w:div>
        <w:div w:id="106707012">
          <w:marLeft w:val="0"/>
          <w:marRight w:val="0"/>
          <w:marTop w:val="0"/>
          <w:marBottom w:val="0"/>
          <w:divBdr>
            <w:top w:val="none" w:sz="0" w:space="0" w:color="auto"/>
            <w:left w:val="none" w:sz="0" w:space="0" w:color="auto"/>
            <w:bottom w:val="none" w:sz="0" w:space="0" w:color="auto"/>
            <w:right w:val="none" w:sz="0" w:space="0" w:color="auto"/>
          </w:divBdr>
        </w:div>
        <w:div w:id="107434405">
          <w:marLeft w:val="0"/>
          <w:marRight w:val="0"/>
          <w:marTop w:val="0"/>
          <w:marBottom w:val="0"/>
          <w:divBdr>
            <w:top w:val="none" w:sz="0" w:space="0" w:color="auto"/>
            <w:left w:val="none" w:sz="0" w:space="0" w:color="auto"/>
            <w:bottom w:val="none" w:sz="0" w:space="0" w:color="auto"/>
            <w:right w:val="none" w:sz="0" w:space="0" w:color="auto"/>
          </w:divBdr>
        </w:div>
        <w:div w:id="124086434">
          <w:marLeft w:val="0"/>
          <w:marRight w:val="0"/>
          <w:marTop w:val="0"/>
          <w:marBottom w:val="0"/>
          <w:divBdr>
            <w:top w:val="none" w:sz="0" w:space="0" w:color="auto"/>
            <w:left w:val="none" w:sz="0" w:space="0" w:color="auto"/>
            <w:bottom w:val="none" w:sz="0" w:space="0" w:color="auto"/>
            <w:right w:val="none" w:sz="0" w:space="0" w:color="auto"/>
          </w:divBdr>
        </w:div>
        <w:div w:id="127089790">
          <w:marLeft w:val="0"/>
          <w:marRight w:val="0"/>
          <w:marTop w:val="0"/>
          <w:marBottom w:val="0"/>
          <w:divBdr>
            <w:top w:val="none" w:sz="0" w:space="0" w:color="auto"/>
            <w:left w:val="none" w:sz="0" w:space="0" w:color="auto"/>
            <w:bottom w:val="none" w:sz="0" w:space="0" w:color="auto"/>
            <w:right w:val="none" w:sz="0" w:space="0" w:color="auto"/>
          </w:divBdr>
        </w:div>
        <w:div w:id="130291891">
          <w:marLeft w:val="0"/>
          <w:marRight w:val="0"/>
          <w:marTop w:val="0"/>
          <w:marBottom w:val="0"/>
          <w:divBdr>
            <w:top w:val="none" w:sz="0" w:space="0" w:color="auto"/>
            <w:left w:val="none" w:sz="0" w:space="0" w:color="auto"/>
            <w:bottom w:val="none" w:sz="0" w:space="0" w:color="auto"/>
            <w:right w:val="none" w:sz="0" w:space="0" w:color="auto"/>
          </w:divBdr>
        </w:div>
        <w:div w:id="130906244">
          <w:marLeft w:val="0"/>
          <w:marRight w:val="0"/>
          <w:marTop w:val="0"/>
          <w:marBottom w:val="0"/>
          <w:divBdr>
            <w:top w:val="none" w:sz="0" w:space="0" w:color="auto"/>
            <w:left w:val="none" w:sz="0" w:space="0" w:color="auto"/>
            <w:bottom w:val="none" w:sz="0" w:space="0" w:color="auto"/>
            <w:right w:val="none" w:sz="0" w:space="0" w:color="auto"/>
          </w:divBdr>
        </w:div>
        <w:div w:id="135881548">
          <w:marLeft w:val="0"/>
          <w:marRight w:val="0"/>
          <w:marTop w:val="0"/>
          <w:marBottom w:val="0"/>
          <w:divBdr>
            <w:top w:val="none" w:sz="0" w:space="0" w:color="auto"/>
            <w:left w:val="none" w:sz="0" w:space="0" w:color="auto"/>
            <w:bottom w:val="none" w:sz="0" w:space="0" w:color="auto"/>
            <w:right w:val="none" w:sz="0" w:space="0" w:color="auto"/>
          </w:divBdr>
        </w:div>
        <w:div w:id="136992049">
          <w:marLeft w:val="0"/>
          <w:marRight w:val="0"/>
          <w:marTop w:val="0"/>
          <w:marBottom w:val="0"/>
          <w:divBdr>
            <w:top w:val="none" w:sz="0" w:space="0" w:color="auto"/>
            <w:left w:val="none" w:sz="0" w:space="0" w:color="auto"/>
            <w:bottom w:val="none" w:sz="0" w:space="0" w:color="auto"/>
            <w:right w:val="none" w:sz="0" w:space="0" w:color="auto"/>
          </w:divBdr>
        </w:div>
        <w:div w:id="138495684">
          <w:marLeft w:val="0"/>
          <w:marRight w:val="0"/>
          <w:marTop w:val="0"/>
          <w:marBottom w:val="0"/>
          <w:divBdr>
            <w:top w:val="none" w:sz="0" w:space="0" w:color="auto"/>
            <w:left w:val="none" w:sz="0" w:space="0" w:color="auto"/>
            <w:bottom w:val="none" w:sz="0" w:space="0" w:color="auto"/>
            <w:right w:val="none" w:sz="0" w:space="0" w:color="auto"/>
          </w:divBdr>
        </w:div>
        <w:div w:id="143400752">
          <w:marLeft w:val="0"/>
          <w:marRight w:val="0"/>
          <w:marTop w:val="0"/>
          <w:marBottom w:val="0"/>
          <w:divBdr>
            <w:top w:val="none" w:sz="0" w:space="0" w:color="auto"/>
            <w:left w:val="none" w:sz="0" w:space="0" w:color="auto"/>
            <w:bottom w:val="none" w:sz="0" w:space="0" w:color="auto"/>
            <w:right w:val="none" w:sz="0" w:space="0" w:color="auto"/>
          </w:divBdr>
        </w:div>
        <w:div w:id="145167447">
          <w:marLeft w:val="0"/>
          <w:marRight w:val="0"/>
          <w:marTop w:val="0"/>
          <w:marBottom w:val="0"/>
          <w:divBdr>
            <w:top w:val="none" w:sz="0" w:space="0" w:color="auto"/>
            <w:left w:val="none" w:sz="0" w:space="0" w:color="auto"/>
            <w:bottom w:val="none" w:sz="0" w:space="0" w:color="auto"/>
            <w:right w:val="none" w:sz="0" w:space="0" w:color="auto"/>
          </w:divBdr>
        </w:div>
        <w:div w:id="151456451">
          <w:marLeft w:val="0"/>
          <w:marRight w:val="0"/>
          <w:marTop w:val="0"/>
          <w:marBottom w:val="0"/>
          <w:divBdr>
            <w:top w:val="none" w:sz="0" w:space="0" w:color="auto"/>
            <w:left w:val="none" w:sz="0" w:space="0" w:color="auto"/>
            <w:bottom w:val="none" w:sz="0" w:space="0" w:color="auto"/>
            <w:right w:val="none" w:sz="0" w:space="0" w:color="auto"/>
          </w:divBdr>
        </w:div>
        <w:div w:id="162360092">
          <w:marLeft w:val="0"/>
          <w:marRight w:val="0"/>
          <w:marTop w:val="0"/>
          <w:marBottom w:val="0"/>
          <w:divBdr>
            <w:top w:val="none" w:sz="0" w:space="0" w:color="auto"/>
            <w:left w:val="none" w:sz="0" w:space="0" w:color="auto"/>
            <w:bottom w:val="none" w:sz="0" w:space="0" w:color="auto"/>
            <w:right w:val="none" w:sz="0" w:space="0" w:color="auto"/>
          </w:divBdr>
        </w:div>
        <w:div w:id="170801791">
          <w:marLeft w:val="0"/>
          <w:marRight w:val="0"/>
          <w:marTop w:val="0"/>
          <w:marBottom w:val="0"/>
          <w:divBdr>
            <w:top w:val="none" w:sz="0" w:space="0" w:color="auto"/>
            <w:left w:val="none" w:sz="0" w:space="0" w:color="auto"/>
            <w:bottom w:val="none" w:sz="0" w:space="0" w:color="auto"/>
            <w:right w:val="none" w:sz="0" w:space="0" w:color="auto"/>
          </w:divBdr>
        </w:div>
        <w:div w:id="178392016">
          <w:marLeft w:val="0"/>
          <w:marRight w:val="0"/>
          <w:marTop w:val="0"/>
          <w:marBottom w:val="0"/>
          <w:divBdr>
            <w:top w:val="none" w:sz="0" w:space="0" w:color="auto"/>
            <w:left w:val="none" w:sz="0" w:space="0" w:color="auto"/>
            <w:bottom w:val="none" w:sz="0" w:space="0" w:color="auto"/>
            <w:right w:val="none" w:sz="0" w:space="0" w:color="auto"/>
          </w:divBdr>
        </w:div>
        <w:div w:id="210701806">
          <w:marLeft w:val="0"/>
          <w:marRight w:val="0"/>
          <w:marTop w:val="0"/>
          <w:marBottom w:val="0"/>
          <w:divBdr>
            <w:top w:val="none" w:sz="0" w:space="0" w:color="auto"/>
            <w:left w:val="none" w:sz="0" w:space="0" w:color="auto"/>
            <w:bottom w:val="none" w:sz="0" w:space="0" w:color="auto"/>
            <w:right w:val="none" w:sz="0" w:space="0" w:color="auto"/>
          </w:divBdr>
        </w:div>
        <w:div w:id="211889725">
          <w:marLeft w:val="0"/>
          <w:marRight w:val="0"/>
          <w:marTop w:val="0"/>
          <w:marBottom w:val="0"/>
          <w:divBdr>
            <w:top w:val="none" w:sz="0" w:space="0" w:color="auto"/>
            <w:left w:val="none" w:sz="0" w:space="0" w:color="auto"/>
            <w:bottom w:val="none" w:sz="0" w:space="0" w:color="auto"/>
            <w:right w:val="none" w:sz="0" w:space="0" w:color="auto"/>
          </w:divBdr>
        </w:div>
        <w:div w:id="213277340">
          <w:marLeft w:val="0"/>
          <w:marRight w:val="0"/>
          <w:marTop w:val="0"/>
          <w:marBottom w:val="0"/>
          <w:divBdr>
            <w:top w:val="none" w:sz="0" w:space="0" w:color="auto"/>
            <w:left w:val="none" w:sz="0" w:space="0" w:color="auto"/>
            <w:bottom w:val="none" w:sz="0" w:space="0" w:color="auto"/>
            <w:right w:val="none" w:sz="0" w:space="0" w:color="auto"/>
          </w:divBdr>
        </w:div>
        <w:div w:id="221261273">
          <w:marLeft w:val="0"/>
          <w:marRight w:val="0"/>
          <w:marTop w:val="0"/>
          <w:marBottom w:val="0"/>
          <w:divBdr>
            <w:top w:val="none" w:sz="0" w:space="0" w:color="auto"/>
            <w:left w:val="none" w:sz="0" w:space="0" w:color="auto"/>
            <w:bottom w:val="none" w:sz="0" w:space="0" w:color="auto"/>
            <w:right w:val="none" w:sz="0" w:space="0" w:color="auto"/>
          </w:divBdr>
        </w:div>
        <w:div w:id="222641221">
          <w:marLeft w:val="0"/>
          <w:marRight w:val="0"/>
          <w:marTop w:val="0"/>
          <w:marBottom w:val="0"/>
          <w:divBdr>
            <w:top w:val="none" w:sz="0" w:space="0" w:color="auto"/>
            <w:left w:val="none" w:sz="0" w:space="0" w:color="auto"/>
            <w:bottom w:val="none" w:sz="0" w:space="0" w:color="auto"/>
            <w:right w:val="none" w:sz="0" w:space="0" w:color="auto"/>
          </w:divBdr>
        </w:div>
        <w:div w:id="229342980">
          <w:marLeft w:val="0"/>
          <w:marRight w:val="0"/>
          <w:marTop w:val="0"/>
          <w:marBottom w:val="0"/>
          <w:divBdr>
            <w:top w:val="none" w:sz="0" w:space="0" w:color="auto"/>
            <w:left w:val="none" w:sz="0" w:space="0" w:color="auto"/>
            <w:bottom w:val="none" w:sz="0" w:space="0" w:color="auto"/>
            <w:right w:val="none" w:sz="0" w:space="0" w:color="auto"/>
          </w:divBdr>
        </w:div>
        <w:div w:id="230310620">
          <w:marLeft w:val="0"/>
          <w:marRight w:val="0"/>
          <w:marTop w:val="0"/>
          <w:marBottom w:val="0"/>
          <w:divBdr>
            <w:top w:val="none" w:sz="0" w:space="0" w:color="auto"/>
            <w:left w:val="none" w:sz="0" w:space="0" w:color="auto"/>
            <w:bottom w:val="none" w:sz="0" w:space="0" w:color="auto"/>
            <w:right w:val="none" w:sz="0" w:space="0" w:color="auto"/>
          </w:divBdr>
        </w:div>
        <w:div w:id="244733378">
          <w:marLeft w:val="0"/>
          <w:marRight w:val="0"/>
          <w:marTop w:val="0"/>
          <w:marBottom w:val="0"/>
          <w:divBdr>
            <w:top w:val="none" w:sz="0" w:space="0" w:color="auto"/>
            <w:left w:val="none" w:sz="0" w:space="0" w:color="auto"/>
            <w:bottom w:val="none" w:sz="0" w:space="0" w:color="auto"/>
            <w:right w:val="none" w:sz="0" w:space="0" w:color="auto"/>
          </w:divBdr>
        </w:div>
        <w:div w:id="252323696">
          <w:marLeft w:val="0"/>
          <w:marRight w:val="0"/>
          <w:marTop w:val="0"/>
          <w:marBottom w:val="0"/>
          <w:divBdr>
            <w:top w:val="none" w:sz="0" w:space="0" w:color="auto"/>
            <w:left w:val="none" w:sz="0" w:space="0" w:color="auto"/>
            <w:bottom w:val="none" w:sz="0" w:space="0" w:color="auto"/>
            <w:right w:val="none" w:sz="0" w:space="0" w:color="auto"/>
          </w:divBdr>
        </w:div>
        <w:div w:id="257301241">
          <w:marLeft w:val="0"/>
          <w:marRight w:val="0"/>
          <w:marTop w:val="0"/>
          <w:marBottom w:val="0"/>
          <w:divBdr>
            <w:top w:val="none" w:sz="0" w:space="0" w:color="auto"/>
            <w:left w:val="none" w:sz="0" w:space="0" w:color="auto"/>
            <w:bottom w:val="none" w:sz="0" w:space="0" w:color="auto"/>
            <w:right w:val="none" w:sz="0" w:space="0" w:color="auto"/>
          </w:divBdr>
        </w:div>
        <w:div w:id="258880512">
          <w:marLeft w:val="0"/>
          <w:marRight w:val="0"/>
          <w:marTop w:val="0"/>
          <w:marBottom w:val="0"/>
          <w:divBdr>
            <w:top w:val="none" w:sz="0" w:space="0" w:color="auto"/>
            <w:left w:val="none" w:sz="0" w:space="0" w:color="auto"/>
            <w:bottom w:val="none" w:sz="0" w:space="0" w:color="auto"/>
            <w:right w:val="none" w:sz="0" w:space="0" w:color="auto"/>
          </w:divBdr>
        </w:div>
        <w:div w:id="266237833">
          <w:marLeft w:val="0"/>
          <w:marRight w:val="0"/>
          <w:marTop w:val="0"/>
          <w:marBottom w:val="0"/>
          <w:divBdr>
            <w:top w:val="none" w:sz="0" w:space="0" w:color="auto"/>
            <w:left w:val="none" w:sz="0" w:space="0" w:color="auto"/>
            <w:bottom w:val="none" w:sz="0" w:space="0" w:color="auto"/>
            <w:right w:val="none" w:sz="0" w:space="0" w:color="auto"/>
          </w:divBdr>
        </w:div>
        <w:div w:id="276183959">
          <w:marLeft w:val="0"/>
          <w:marRight w:val="0"/>
          <w:marTop w:val="0"/>
          <w:marBottom w:val="0"/>
          <w:divBdr>
            <w:top w:val="none" w:sz="0" w:space="0" w:color="auto"/>
            <w:left w:val="none" w:sz="0" w:space="0" w:color="auto"/>
            <w:bottom w:val="none" w:sz="0" w:space="0" w:color="auto"/>
            <w:right w:val="none" w:sz="0" w:space="0" w:color="auto"/>
          </w:divBdr>
        </w:div>
        <w:div w:id="276571276">
          <w:marLeft w:val="0"/>
          <w:marRight w:val="0"/>
          <w:marTop w:val="0"/>
          <w:marBottom w:val="0"/>
          <w:divBdr>
            <w:top w:val="none" w:sz="0" w:space="0" w:color="auto"/>
            <w:left w:val="none" w:sz="0" w:space="0" w:color="auto"/>
            <w:bottom w:val="none" w:sz="0" w:space="0" w:color="auto"/>
            <w:right w:val="none" w:sz="0" w:space="0" w:color="auto"/>
          </w:divBdr>
        </w:div>
        <w:div w:id="287200286">
          <w:marLeft w:val="0"/>
          <w:marRight w:val="0"/>
          <w:marTop w:val="0"/>
          <w:marBottom w:val="0"/>
          <w:divBdr>
            <w:top w:val="none" w:sz="0" w:space="0" w:color="auto"/>
            <w:left w:val="none" w:sz="0" w:space="0" w:color="auto"/>
            <w:bottom w:val="none" w:sz="0" w:space="0" w:color="auto"/>
            <w:right w:val="none" w:sz="0" w:space="0" w:color="auto"/>
          </w:divBdr>
        </w:div>
        <w:div w:id="299531578">
          <w:marLeft w:val="0"/>
          <w:marRight w:val="0"/>
          <w:marTop w:val="0"/>
          <w:marBottom w:val="0"/>
          <w:divBdr>
            <w:top w:val="none" w:sz="0" w:space="0" w:color="auto"/>
            <w:left w:val="none" w:sz="0" w:space="0" w:color="auto"/>
            <w:bottom w:val="none" w:sz="0" w:space="0" w:color="auto"/>
            <w:right w:val="none" w:sz="0" w:space="0" w:color="auto"/>
          </w:divBdr>
        </w:div>
        <w:div w:id="300694393">
          <w:marLeft w:val="0"/>
          <w:marRight w:val="0"/>
          <w:marTop w:val="0"/>
          <w:marBottom w:val="0"/>
          <w:divBdr>
            <w:top w:val="none" w:sz="0" w:space="0" w:color="auto"/>
            <w:left w:val="none" w:sz="0" w:space="0" w:color="auto"/>
            <w:bottom w:val="none" w:sz="0" w:space="0" w:color="auto"/>
            <w:right w:val="none" w:sz="0" w:space="0" w:color="auto"/>
          </w:divBdr>
        </w:div>
        <w:div w:id="309404953">
          <w:marLeft w:val="0"/>
          <w:marRight w:val="0"/>
          <w:marTop w:val="0"/>
          <w:marBottom w:val="0"/>
          <w:divBdr>
            <w:top w:val="none" w:sz="0" w:space="0" w:color="auto"/>
            <w:left w:val="none" w:sz="0" w:space="0" w:color="auto"/>
            <w:bottom w:val="none" w:sz="0" w:space="0" w:color="auto"/>
            <w:right w:val="none" w:sz="0" w:space="0" w:color="auto"/>
          </w:divBdr>
        </w:div>
        <w:div w:id="309870755">
          <w:marLeft w:val="0"/>
          <w:marRight w:val="0"/>
          <w:marTop w:val="0"/>
          <w:marBottom w:val="0"/>
          <w:divBdr>
            <w:top w:val="none" w:sz="0" w:space="0" w:color="auto"/>
            <w:left w:val="none" w:sz="0" w:space="0" w:color="auto"/>
            <w:bottom w:val="none" w:sz="0" w:space="0" w:color="auto"/>
            <w:right w:val="none" w:sz="0" w:space="0" w:color="auto"/>
          </w:divBdr>
        </w:div>
        <w:div w:id="310182346">
          <w:marLeft w:val="0"/>
          <w:marRight w:val="0"/>
          <w:marTop w:val="0"/>
          <w:marBottom w:val="0"/>
          <w:divBdr>
            <w:top w:val="none" w:sz="0" w:space="0" w:color="auto"/>
            <w:left w:val="none" w:sz="0" w:space="0" w:color="auto"/>
            <w:bottom w:val="none" w:sz="0" w:space="0" w:color="auto"/>
            <w:right w:val="none" w:sz="0" w:space="0" w:color="auto"/>
          </w:divBdr>
        </w:div>
        <w:div w:id="312565737">
          <w:marLeft w:val="0"/>
          <w:marRight w:val="0"/>
          <w:marTop w:val="0"/>
          <w:marBottom w:val="0"/>
          <w:divBdr>
            <w:top w:val="none" w:sz="0" w:space="0" w:color="auto"/>
            <w:left w:val="none" w:sz="0" w:space="0" w:color="auto"/>
            <w:bottom w:val="none" w:sz="0" w:space="0" w:color="auto"/>
            <w:right w:val="none" w:sz="0" w:space="0" w:color="auto"/>
          </w:divBdr>
        </w:div>
        <w:div w:id="313798980">
          <w:marLeft w:val="0"/>
          <w:marRight w:val="0"/>
          <w:marTop w:val="0"/>
          <w:marBottom w:val="0"/>
          <w:divBdr>
            <w:top w:val="none" w:sz="0" w:space="0" w:color="auto"/>
            <w:left w:val="none" w:sz="0" w:space="0" w:color="auto"/>
            <w:bottom w:val="none" w:sz="0" w:space="0" w:color="auto"/>
            <w:right w:val="none" w:sz="0" w:space="0" w:color="auto"/>
          </w:divBdr>
        </w:div>
        <w:div w:id="317854152">
          <w:marLeft w:val="0"/>
          <w:marRight w:val="0"/>
          <w:marTop w:val="0"/>
          <w:marBottom w:val="0"/>
          <w:divBdr>
            <w:top w:val="none" w:sz="0" w:space="0" w:color="auto"/>
            <w:left w:val="none" w:sz="0" w:space="0" w:color="auto"/>
            <w:bottom w:val="none" w:sz="0" w:space="0" w:color="auto"/>
            <w:right w:val="none" w:sz="0" w:space="0" w:color="auto"/>
          </w:divBdr>
        </w:div>
        <w:div w:id="323703250">
          <w:marLeft w:val="0"/>
          <w:marRight w:val="0"/>
          <w:marTop w:val="0"/>
          <w:marBottom w:val="0"/>
          <w:divBdr>
            <w:top w:val="none" w:sz="0" w:space="0" w:color="auto"/>
            <w:left w:val="none" w:sz="0" w:space="0" w:color="auto"/>
            <w:bottom w:val="none" w:sz="0" w:space="0" w:color="auto"/>
            <w:right w:val="none" w:sz="0" w:space="0" w:color="auto"/>
          </w:divBdr>
        </w:div>
        <w:div w:id="328291285">
          <w:marLeft w:val="0"/>
          <w:marRight w:val="0"/>
          <w:marTop w:val="0"/>
          <w:marBottom w:val="0"/>
          <w:divBdr>
            <w:top w:val="none" w:sz="0" w:space="0" w:color="auto"/>
            <w:left w:val="none" w:sz="0" w:space="0" w:color="auto"/>
            <w:bottom w:val="none" w:sz="0" w:space="0" w:color="auto"/>
            <w:right w:val="none" w:sz="0" w:space="0" w:color="auto"/>
          </w:divBdr>
        </w:div>
        <w:div w:id="337587865">
          <w:marLeft w:val="0"/>
          <w:marRight w:val="0"/>
          <w:marTop w:val="0"/>
          <w:marBottom w:val="0"/>
          <w:divBdr>
            <w:top w:val="none" w:sz="0" w:space="0" w:color="auto"/>
            <w:left w:val="none" w:sz="0" w:space="0" w:color="auto"/>
            <w:bottom w:val="none" w:sz="0" w:space="0" w:color="auto"/>
            <w:right w:val="none" w:sz="0" w:space="0" w:color="auto"/>
          </w:divBdr>
        </w:div>
        <w:div w:id="340359975">
          <w:marLeft w:val="0"/>
          <w:marRight w:val="0"/>
          <w:marTop w:val="0"/>
          <w:marBottom w:val="0"/>
          <w:divBdr>
            <w:top w:val="none" w:sz="0" w:space="0" w:color="auto"/>
            <w:left w:val="none" w:sz="0" w:space="0" w:color="auto"/>
            <w:bottom w:val="none" w:sz="0" w:space="0" w:color="auto"/>
            <w:right w:val="none" w:sz="0" w:space="0" w:color="auto"/>
          </w:divBdr>
        </w:div>
        <w:div w:id="347679254">
          <w:marLeft w:val="0"/>
          <w:marRight w:val="0"/>
          <w:marTop w:val="0"/>
          <w:marBottom w:val="0"/>
          <w:divBdr>
            <w:top w:val="none" w:sz="0" w:space="0" w:color="auto"/>
            <w:left w:val="none" w:sz="0" w:space="0" w:color="auto"/>
            <w:bottom w:val="none" w:sz="0" w:space="0" w:color="auto"/>
            <w:right w:val="none" w:sz="0" w:space="0" w:color="auto"/>
          </w:divBdr>
        </w:div>
        <w:div w:id="348798010">
          <w:marLeft w:val="0"/>
          <w:marRight w:val="0"/>
          <w:marTop w:val="0"/>
          <w:marBottom w:val="0"/>
          <w:divBdr>
            <w:top w:val="none" w:sz="0" w:space="0" w:color="auto"/>
            <w:left w:val="none" w:sz="0" w:space="0" w:color="auto"/>
            <w:bottom w:val="none" w:sz="0" w:space="0" w:color="auto"/>
            <w:right w:val="none" w:sz="0" w:space="0" w:color="auto"/>
          </w:divBdr>
        </w:div>
        <w:div w:id="351956230">
          <w:marLeft w:val="0"/>
          <w:marRight w:val="0"/>
          <w:marTop w:val="0"/>
          <w:marBottom w:val="0"/>
          <w:divBdr>
            <w:top w:val="none" w:sz="0" w:space="0" w:color="auto"/>
            <w:left w:val="none" w:sz="0" w:space="0" w:color="auto"/>
            <w:bottom w:val="none" w:sz="0" w:space="0" w:color="auto"/>
            <w:right w:val="none" w:sz="0" w:space="0" w:color="auto"/>
          </w:divBdr>
        </w:div>
        <w:div w:id="358623410">
          <w:marLeft w:val="0"/>
          <w:marRight w:val="0"/>
          <w:marTop w:val="0"/>
          <w:marBottom w:val="0"/>
          <w:divBdr>
            <w:top w:val="none" w:sz="0" w:space="0" w:color="auto"/>
            <w:left w:val="none" w:sz="0" w:space="0" w:color="auto"/>
            <w:bottom w:val="none" w:sz="0" w:space="0" w:color="auto"/>
            <w:right w:val="none" w:sz="0" w:space="0" w:color="auto"/>
          </w:divBdr>
        </w:div>
        <w:div w:id="360085331">
          <w:marLeft w:val="0"/>
          <w:marRight w:val="0"/>
          <w:marTop w:val="0"/>
          <w:marBottom w:val="0"/>
          <w:divBdr>
            <w:top w:val="none" w:sz="0" w:space="0" w:color="auto"/>
            <w:left w:val="none" w:sz="0" w:space="0" w:color="auto"/>
            <w:bottom w:val="none" w:sz="0" w:space="0" w:color="auto"/>
            <w:right w:val="none" w:sz="0" w:space="0" w:color="auto"/>
          </w:divBdr>
        </w:div>
        <w:div w:id="369382250">
          <w:marLeft w:val="0"/>
          <w:marRight w:val="0"/>
          <w:marTop w:val="0"/>
          <w:marBottom w:val="0"/>
          <w:divBdr>
            <w:top w:val="none" w:sz="0" w:space="0" w:color="auto"/>
            <w:left w:val="none" w:sz="0" w:space="0" w:color="auto"/>
            <w:bottom w:val="none" w:sz="0" w:space="0" w:color="auto"/>
            <w:right w:val="none" w:sz="0" w:space="0" w:color="auto"/>
          </w:divBdr>
        </w:div>
        <w:div w:id="381947403">
          <w:marLeft w:val="0"/>
          <w:marRight w:val="0"/>
          <w:marTop w:val="0"/>
          <w:marBottom w:val="0"/>
          <w:divBdr>
            <w:top w:val="none" w:sz="0" w:space="0" w:color="auto"/>
            <w:left w:val="none" w:sz="0" w:space="0" w:color="auto"/>
            <w:bottom w:val="none" w:sz="0" w:space="0" w:color="auto"/>
            <w:right w:val="none" w:sz="0" w:space="0" w:color="auto"/>
          </w:divBdr>
        </w:div>
        <w:div w:id="383064104">
          <w:marLeft w:val="0"/>
          <w:marRight w:val="0"/>
          <w:marTop w:val="0"/>
          <w:marBottom w:val="0"/>
          <w:divBdr>
            <w:top w:val="none" w:sz="0" w:space="0" w:color="auto"/>
            <w:left w:val="none" w:sz="0" w:space="0" w:color="auto"/>
            <w:bottom w:val="none" w:sz="0" w:space="0" w:color="auto"/>
            <w:right w:val="none" w:sz="0" w:space="0" w:color="auto"/>
          </w:divBdr>
        </w:div>
        <w:div w:id="392967152">
          <w:marLeft w:val="0"/>
          <w:marRight w:val="0"/>
          <w:marTop w:val="0"/>
          <w:marBottom w:val="0"/>
          <w:divBdr>
            <w:top w:val="none" w:sz="0" w:space="0" w:color="auto"/>
            <w:left w:val="none" w:sz="0" w:space="0" w:color="auto"/>
            <w:bottom w:val="none" w:sz="0" w:space="0" w:color="auto"/>
            <w:right w:val="none" w:sz="0" w:space="0" w:color="auto"/>
          </w:divBdr>
        </w:div>
        <w:div w:id="399401450">
          <w:marLeft w:val="0"/>
          <w:marRight w:val="0"/>
          <w:marTop w:val="0"/>
          <w:marBottom w:val="0"/>
          <w:divBdr>
            <w:top w:val="none" w:sz="0" w:space="0" w:color="auto"/>
            <w:left w:val="none" w:sz="0" w:space="0" w:color="auto"/>
            <w:bottom w:val="none" w:sz="0" w:space="0" w:color="auto"/>
            <w:right w:val="none" w:sz="0" w:space="0" w:color="auto"/>
          </w:divBdr>
        </w:div>
        <w:div w:id="407702178">
          <w:marLeft w:val="0"/>
          <w:marRight w:val="0"/>
          <w:marTop w:val="0"/>
          <w:marBottom w:val="0"/>
          <w:divBdr>
            <w:top w:val="none" w:sz="0" w:space="0" w:color="auto"/>
            <w:left w:val="none" w:sz="0" w:space="0" w:color="auto"/>
            <w:bottom w:val="none" w:sz="0" w:space="0" w:color="auto"/>
            <w:right w:val="none" w:sz="0" w:space="0" w:color="auto"/>
          </w:divBdr>
        </w:div>
        <w:div w:id="408774604">
          <w:marLeft w:val="0"/>
          <w:marRight w:val="0"/>
          <w:marTop w:val="0"/>
          <w:marBottom w:val="0"/>
          <w:divBdr>
            <w:top w:val="none" w:sz="0" w:space="0" w:color="auto"/>
            <w:left w:val="none" w:sz="0" w:space="0" w:color="auto"/>
            <w:bottom w:val="none" w:sz="0" w:space="0" w:color="auto"/>
            <w:right w:val="none" w:sz="0" w:space="0" w:color="auto"/>
          </w:divBdr>
        </w:div>
        <w:div w:id="420951931">
          <w:marLeft w:val="0"/>
          <w:marRight w:val="0"/>
          <w:marTop w:val="0"/>
          <w:marBottom w:val="0"/>
          <w:divBdr>
            <w:top w:val="none" w:sz="0" w:space="0" w:color="auto"/>
            <w:left w:val="none" w:sz="0" w:space="0" w:color="auto"/>
            <w:bottom w:val="none" w:sz="0" w:space="0" w:color="auto"/>
            <w:right w:val="none" w:sz="0" w:space="0" w:color="auto"/>
          </w:divBdr>
        </w:div>
        <w:div w:id="422342923">
          <w:marLeft w:val="0"/>
          <w:marRight w:val="0"/>
          <w:marTop w:val="0"/>
          <w:marBottom w:val="0"/>
          <w:divBdr>
            <w:top w:val="none" w:sz="0" w:space="0" w:color="auto"/>
            <w:left w:val="none" w:sz="0" w:space="0" w:color="auto"/>
            <w:bottom w:val="none" w:sz="0" w:space="0" w:color="auto"/>
            <w:right w:val="none" w:sz="0" w:space="0" w:color="auto"/>
          </w:divBdr>
        </w:div>
        <w:div w:id="438524115">
          <w:marLeft w:val="0"/>
          <w:marRight w:val="0"/>
          <w:marTop w:val="0"/>
          <w:marBottom w:val="0"/>
          <w:divBdr>
            <w:top w:val="none" w:sz="0" w:space="0" w:color="auto"/>
            <w:left w:val="none" w:sz="0" w:space="0" w:color="auto"/>
            <w:bottom w:val="none" w:sz="0" w:space="0" w:color="auto"/>
            <w:right w:val="none" w:sz="0" w:space="0" w:color="auto"/>
          </w:divBdr>
        </w:div>
        <w:div w:id="440687073">
          <w:marLeft w:val="0"/>
          <w:marRight w:val="0"/>
          <w:marTop w:val="0"/>
          <w:marBottom w:val="0"/>
          <w:divBdr>
            <w:top w:val="none" w:sz="0" w:space="0" w:color="auto"/>
            <w:left w:val="none" w:sz="0" w:space="0" w:color="auto"/>
            <w:bottom w:val="none" w:sz="0" w:space="0" w:color="auto"/>
            <w:right w:val="none" w:sz="0" w:space="0" w:color="auto"/>
          </w:divBdr>
        </w:div>
        <w:div w:id="443115366">
          <w:marLeft w:val="0"/>
          <w:marRight w:val="0"/>
          <w:marTop w:val="0"/>
          <w:marBottom w:val="0"/>
          <w:divBdr>
            <w:top w:val="none" w:sz="0" w:space="0" w:color="auto"/>
            <w:left w:val="none" w:sz="0" w:space="0" w:color="auto"/>
            <w:bottom w:val="none" w:sz="0" w:space="0" w:color="auto"/>
            <w:right w:val="none" w:sz="0" w:space="0" w:color="auto"/>
          </w:divBdr>
        </w:div>
        <w:div w:id="444424828">
          <w:marLeft w:val="0"/>
          <w:marRight w:val="0"/>
          <w:marTop w:val="0"/>
          <w:marBottom w:val="0"/>
          <w:divBdr>
            <w:top w:val="none" w:sz="0" w:space="0" w:color="auto"/>
            <w:left w:val="none" w:sz="0" w:space="0" w:color="auto"/>
            <w:bottom w:val="none" w:sz="0" w:space="0" w:color="auto"/>
            <w:right w:val="none" w:sz="0" w:space="0" w:color="auto"/>
          </w:divBdr>
        </w:div>
        <w:div w:id="455951999">
          <w:marLeft w:val="0"/>
          <w:marRight w:val="0"/>
          <w:marTop w:val="0"/>
          <w:marBottom w:val="0"/>
          <w:divBdr>
            <w:top w:val="none" w:sz="0" w:space="0" w:color="auto"/>
            <w:left w:val="none" w:sz="0" w:space="0" w:color="auto"/>
            <w:bottom w:val="none" w:sz="0" w:space="0" w:color="auto"/>
            <w:right w:val="none" w:sz="0" w:space="0" w:color="auto"/>
          </w:divBdr>
        </w:div>
        <w:div w:id="462230947">
          <w:marLeft w:val="0"/>
          <w:marRight w:val="0"/>
          <w:marTop w:val="0"/>
          <w:marBottom w:val="0"/>
          <w:divBdr>
            <w:top w:val="none" w:sz="0" w:space="0" w:color="auto"/>
            <w:left w:val="none" w:sz="0" w:space="0" w:color="auto"/>
            <w:bottom w:val="none" w:sz="0" w:space="0" w:color="auto"/>
            <w:right w:val="none" w:sz="0" w:space="0" w:color="auto"/>
          </w:divBdr>
        </w:div>
        <w:div w:id="466819918">
          <w:marLeft w:val="0"/>
          <w:marRight w:val="0"/>
          <w:marTop w:val="0"/>
          <w:marBottom w:val="0"/>
          <w:divBdr>
            <w:top w:val="none" w:sz="0" w:space="0" w:color="auto"/>
            <w:left w:val="none" w:sz="0" w:space="0" w:color="auto"/>
            <w:bottom w:val="none" w:sz="0" w:space="0" w:color="auto"/>
            <w:right w:val="none" w:sz="0" w:space="0" w:color="auto"/>
          </w:divBdr>
        </w:div>
        <w:div w:id="472136589">
          <w:marLeft w:val="0"/>
          <w:marRight w:val="0"/>
          <w:marTop w:val="0"/>
          <w:marBottom w:val="0"/>
          <w:divBdr>
            <w:top w:val="none" w:sz="0" w:space="0" w:color="auto"/>
            <w:left w:val="none" w:sz="0" w:space="0" w:color="auto"/>
            <w:bottom w:val="none" w:sz="0" w:space="0" w:color="auto"/>
            <w:right w:val="none" w:sz="0" w:space="0" w:color="auto"/>
          </w:divBdr>
        </w:div>
        <w:div w:id="474378210">
          <w:marLeft w:val="0"/>
          <w:marRight w:val="0"/>
          <w:marTop w:val="0"/>
          <w:marBottom w:val="0"/>
          <w:divBdr>
            <w:top w:val="none" w:sz="0" w:space="0" w:color="auto"/>
            <w:left w:val="none" w:sz="0" w:space="0" w:color="auto"/>
            <w:bottom w:val="none" w:sz="0" w:space="0" w:color="auto"/>
            <w:right w:val="none" w:sz="0" w:space="0" w:color="auto"/>
          </w:divBdr>
        </w:div>
        <w:div w:id="474757443">
          <w:marLeft w:val="0"/>
          <w:marRight w:val="0"/>
          <w:marTop w:val="0"/>
          <w:marBottom w:val="0"/>
          <w:divBdr>
            <w:top w:val="none" w:sz="0" w:space="0" w:color="auto"/>
            <w:left w:val="none" w:sz="0" w:space="0" w:color="auto"/>
            <w:bottom w:val="none" w:sz="0" w:space="0" w:color="auto"/>
            <w:right w:val="none" w:sz="0" w:space="0" w:color="auto"/>
          </w:divBdr>
        </w:div>
        <w:div w:id="475491296">
          <w:marLeft w:val="0"/>
          <w:marRight w:val="0"/>
          <w:marTop w:val="0"/>
          <w:marBottom w:val="0"/>
          <w:divBdr>
            <w:top w:val="none" w:sz="0" w:space="0" w:color="auto"/>
            <w:left w:val="none" w:sz="0" w:space="0" w:color="auto"/>
            <w:bottom w:val="none" w:sz="0" w:space="0" w:color="auto"/>
            <w:right w:val="none" w:sz="0" w:space="0" w:color="auto"/>
          </w:divBdr>
        </w:div>
        <w:div w:id="479659723">
          <w:marLeft w:val="0"/>
          <w:marRight w:val="0"/>
          <w:marTop w:val="0"/>
          <w:marBottom w:val="0"/>
          <w:divBdr>
            <w:top w:val="none" w:sz="0" w:space="0" w:color="auto"/>
            <w:left w:val="none" w:sz="0" w:space="0" w:color="auto"/>
            <w:bottom w:val="none" w:sz="0" w:space="0" w:color="auto"/>
            <w:right w:val="none" w:sz="0" w:space="0" w:color="auto"/>
          </w:divBdr>
        </w:div>
        <w:div w:id="482895989">
          <w:marLeft w:val="0"/>
          <w:marRight w:val="0"/>
          <w:marTop w:val="0"/>
          <w:marBottom w:val="0"/>
          <w:divBdr>
            <w:top w:val="none" w:sz="0" w:space="0" w:color="auto"/>
            <w:left w:val="none" w:sz="0" w:space="0" w:color="auto"/>
            <w:bottom w:val="none" w:sz="0" w:space="0" w:color="auto"/>
            <w:right w:val="none" w:sz="0" w:space="0" w:color="auto"/>
          </w:divBdr>
        </w:div>
        <w:div w:id="507064310">
          <w:marLeft w:val="0"/>
          <w:marRight w:val="0"/>
          <w:marTop w:val="0"/>
          <w:marBottom w:val="0"/>
          <w:divBdr>
            <w:top w:val="none" w:sz="0" w:space="0" w:color="auto"/>
            <w:left w:val="none" w:sz="0" w:space="0" w:color="auto"/>
            <w:bottom w:val="none" w:sz="0" w:space="0" w:color="auto"/>
            <w:right w:val="none" w:sz="0" w:space="0" w:color="auto"/>
          </w:divBdr>
        </w:div>
        <w:div w:id="511187620">
          <w:marLeft w:val="0"/>
          <w:marRight w:val="0"/>
          <w:marTop w:val="0"/>
          <w:marBottom w:val="0"/>
          <w:divBdr>
            <w:top w:val="none" w:sz="0" w:space="0" w:color="auto"/>
            <w:left w:val="none" w:sz="0" w:space="0" w:color="auto"/>
            <w:bottom w:val="none" w:sz="0" w:space="0" w:color="auto"/>
            <w:right w:val="none" w:sz="0" w:space="0" w:color="auto"/>
          </w:divBdr>
        </w:div>
        <w:div w:id="511652035">
          <w:marLeft w:val="0"/>
          <w:marRight w:val="0"/>
          <w:marTop w:val="0"/>
          <w:marBottom w:val="0"/>
          <w:divBdr>
            <w:top w:val="none" w:sz="0" w:space="0" w:color="auto"/>
            <w:left w:val="none" w:sz="0" w:space="0" w:color="auto"/>
            <w:bottom w:val="none" w:sz="0" w:space="0" w:color="auto"/>
            <w:right w:val="none" w:sz="0" w:space="0" w:color="auto"/>
          </w:divBdr>
        </w:div>
        <w:div w:id="511919255">
          <w:marLeft w:val="0"/>
          <w:marRight w:val="0"/>
          <w:marTop w:val="0"/>
          <w:marBottom w:val="0"/>
          <w:divBdr>
            <w:top w:val="none" w:sz="0" w:space="0" w:color="auto"/>
            <w:left w:val="none" w:sz="0" w:space="0" w:color="auto"/>
            <w:bottom w:val="none" w:sz="0" w:space="0" w:color="auto"/>
            <w:right w:val="none" w:sz="0" w:space="0" w:color="auto"/>
          </w:divBdr>
        </w:div>
        <w:div w:id="513038433">
          <w:marLeft w:val="0"/>
          <w:marRight w:val="0"/>
          <w:marTop w:val="0"/>
          <w:marBottom w:val="0"/>
          <w:divBdr>
            <w:top w:val="none" w:sz="0" w:space="0" w:color="auto"/>
            <w:left w:val="none" w:sz="0" w:space="0" w:color="auto"/>
            <w:bottom w:val="none" w:sz="0" w:space="0" w:color="auto"/>
            <w:right w:val="none" w:sz="0" w:space="0" w:color="auto"/>
          </w:divBdr>
        </w:div>
        <w:div w:id="518852605">
          <w:marLeft w:val="0"/>
          <w:marRight w:val="0"/>
          <w:marTop w:val="0"/>
          <w:marBottom w:val="0"/>
          <w:divBdr>
            <w:top w:val="none" w:sz="0" w:space="0" w:color="auto"/>
            <w:left w:val="none" w:sz="0" w:space="0" w:color="auto"/>
            <w:bottom w:val="none" w:sz="0" w:space="0" w:color="auto"/>
            <w:right w:val="none" w:sz="0" w:space="0" w:color="auto"/>
          </w:divBdr>
        </w:div>
        <w:div w:id="521474554">
          <w:marLeft w:val="0"/>
          <w:marRight w:val="0"/>
          <w:marTop w:val="0"/>
          <w:marBottom w:val="0"/>
          <w:divBdr>
            <w:top w:val="none" w:sz="0" w:space="0" w:color="auto"/>
            <w:left w:val="none" w:sz="0" w:space="0" w:color="auto"/>
            <w:bottom w:val="none" w:sz="0" w:space="0" w:color="auto"/>
            <w:right w:val="none" w:sz="0" w:space="0" w:color="auto"/>
          </w:divBdr>
        </w:div>
        <w:div w:id="524635539">
          <w:marLeft w:val="0"/>
          <w:marRight w:val="0"/>
          <w:marTop w:val="0"/>
          <w:marBottom w:val="0"/>
          <w:divBdr>
            <w:top w:val="none" w:sz="0" w:space="0" w:color="auto"/>
            <w:left w:val="none" w:sz="0" w:space="0" w:color="auto"/>
            <w:bottom w:val="none" w:sz="0" w:space="0" w:color="auto"/>
            <w:right w:val="none" w:sz="0" w:space="0" w:color="auto"/>
          </w:divBdr>
        </w:div>
        <w:div w:id="529220221">
          <w:marLeft w:val="0"/>
          <w:marRight w:val="0"/>
          <w:marTop w:val="0"/>
          <w:marBottom w:val="0"/>
          <w:divBdr>
            <w:top w:val="none" w:sz="0" w:space="0" w:color="auto"/>
            <w:left w:val="none" w:sz="0" w:space="0" w:color="auto"/>
            <w:bottom w:val="none" w:sz="0" w:space="0" w:color="auto"/>
            <w:right w:val="none" w:sz="0" w:space="0" w:color="auto"/>
          </w:divBdr>
        </w:div>
        <w:div w:id="531378289">
          <w:marLeft w:val="0"/>
          <w:marRight w:val="0"/>
          <w:marTop w:val="0"/>
          <w:marBottom w:val="0"/>
          <w:divBdr>
            <w:top w:val="none" w:sz="0" w:space="0" w:color="auto"/>
            <w:left w:val="none" w:sz="0" w:space="0" w:color="auto"/>
            <w:bottom w:val="none" w:sz="0" w:space="0" w:color="auto"/>
            <w:right w:val="none" w:sz="0" w:space="0" w:color="auto"/>
          </w:divBdr>
        </w:div>
        <w:div w:id="536237811">
          <w:marLeft w:val="0"/>
          <w:marRight w:val="0"/>
          <w:marTop w:val="0"/>
          <w:marBottom w:val="0"/>
          <w:divBdr>
            <w:top w:val="none" w:sz="0" w:space="0" w:color="auto"/>
            <w:left w:val="none" w:sz="0" w:space="0" w:color="auto"/>
            <w:bottom w:val="none" w:sz="0" w:space="0" w:color="auto"/>
            <w:right w:val="none" w:sz="0" w:space="0" w:color="auto"/>
          </w:divBdr>
        </w:div>
        <w:div w:id="553079053">
          <w:marLeft w:val="0"/>
          <w:marRight w:val="0"/>
          <w:marTop w:val="0"/>
          <w:marBottom w:val="0"/>
          <w:divBdr>
            <w:top w:val="none" w:sz="0" w:space="0" w:color="auto"/>
            <w:left w:val="none" w:sz="0" w:space="0" w:color="auto"/>
            <w:bottom w:val="none" w:sz="0" w:space="0" w:color="auto"/>
            <w:right w:val="none" w:sz="0" w:space="0" w:color="auto"/>
          </w:divBdr>
        </w:div>
        <w:div w:id="559949766">
          <w:marLeft w:val="0"/>
          <w:marRight w:val="0"/>
          <w:marTop w:val="0"/>
          <w:marBottom w:val="0"/>
          <w:divBdr>
            <w:top w:val="none" w:sz="0" w:space="0" w:color="auto"/>
            <w:left w:val="none" w:sz="0" w:space="0" w:color="auto"/>
            <w:bottom w:val="none" w:sz="0" w:space="0" w:color="auto"/>
            <w:right w:val="none" w:sz="0" w:space="0" w:color="auto"/>
          </w:divBdr>
        </w:div>
        <w:div w:id="562569060">
          <w:marLeft w:val="0"/>
          <w:marRight w:val="0"/>
          <w:marTop w:val="0"/>
          <w:marBottom w:val="0"/>
          <w:divBdr>
            <w:top w:val="none" w:sz="0" w:space="0" w:color="auto"/>
            <w:left w:val="none" w:sz="0" w:space="0" w:color="auto"/>
            <w:bottom w:val="none" w:sz="0" w:space="0" w:color="auto"/>
            <w:right w:val="none" w:sz="0" w:space="0" w:color="auto"/>
          </w:divBdr>
        </w:div>
        <w:div w:id="568075948">
          <w:marLeft w:val="0"/>
          <w:marRight w:val="0"/>
          <w:marTop w:val="0"/>
          <w:marBottom w:val="0"/>
          <w:divBdr>
            <w:top w:val="none" w:sz="0" w:space="0" w:color="auto"/>
            <w:left w:val="none" w:sz="0" w:space="0" w:color="auto"/>
            <w:bottom w:val="none" w:sz="0" w:space="0" w:color="auto"/>
            <w:right w:val="none" w:sz="0" w:space="0" w:color="auto"/>
          </w:divBdr>
        </w:div>
        <w:div w:id="569928575">
          <w:marLeft w:val="0"/>
          <w:marRight w:val="0"/>
          <w:marTop w:val="0"/>
          <w:marBottom w:val="0"/>
          <w:divBdr>
            <w:top w:val="none" w:sz="0" w:space="0" w:color="auto"/>
            <w:left w:val="none" w:sz="0" w:space="0" w:color="auto"/>
            <w:bottom w:val="none" w:sz="0" w:space="0" w:color="auto"/>
            <w:right w:val="none" w:sz="0" w:space="0" w:color="auto"/>
          </w:divBdr>
        </w:div>
        <w:div w:id="570192318">
          <w:marLeft w:val="0"/>
          <w:marRight w:val="0"/>
          <w:marTop w:val="0"/>
          <w:marBottom w:val="0"/>
          <w:divBdr>
            <w:top w:val="none" w:sz="0" w:space="0" w:color="auto"/>
            <w:left w:val="none" w:sz="0" w:space="0" w:color="auto"/>
            <w:bottom w:val="none" w:sz="0" w:space="0" w:color="auto"/>
            <w:right w:val="none" w:sz="0" w:space="0" w:color="auto"/>
          </w:divBdr>
        </w:div>
        <w:div w:id="584385135">
          <w:marLeft w:val="0"/>
          <w:marRight w:val="0"/>
          <w:marTop w:val="0"/>
          <w:marBottom w:val="0"/>
          <w:divBdr>
            <w:top w:val="none" w:sz="0" w:space="0" w:color="auto"/>
            <w:left w:val="none" w:sz="0" w:space="0" w:color="auto"/>
            <w:bottom w:val="none" w:sz="0" w:space="0" w:color="auto"/>
            <w:right w:val="none" w:sz="0" w:space="0" w:color="auto"/>
          </w:divBdr>
        </w:div>
        <w:div w:id="587084330">
          <w:marLeft w:val="0"/>
          <w:marRight w:val="0"/>
          <w:marTop w:val="0"/>
          <w:marBottom w:val="0"/>
          <w:divBdr>
            <w:top w:val="none" w:sz="0" w:space="0" w:color="auto"/>
            <w:left w:val="none" w:sz="0" w:space="0" w:color="auto"/>
            <w:bottom w:val="none" w:sz="0" w:space="0" w:color="auto"/>
            <w:right w:val="none" w:sz="0" w:space="0" w:color="auto"/>
          </w:divBdr>
        </w:div>
        <w:div w:id="592476960">
          <w:marLeft w:val="0"/>
          <w:marRight w:val="0"/>
          <w:marTop w:val="0"/>
          <w:marBottom w:val="0"/>
          <w:divBdr>
            <w:top w:val="none" w:sz="0" w:space="0" w:color="auto"/>
            <w:left w:val="none" w:sz="0" w:space="0" w:color="auto"/>
            <w:bottom w:val="none" w:sz="0" w:space="0" w:color="auto"/>
            <w:right w:val="none" w:sz="0" w:space="0" w:color="auto"/>
          </w:divBdr>
        </w:div>
        <w:div w:id="601451536">
          <w:marLeft w:val="0"/>
          <w:marRight w:val="0"/>
          <w:marTop w:val="0"/>
          <w:marBottom w:val="0"/>
          <w:divBdr>
            <w:top w:val="none" w:sz="0" w:space="0" w:color="auto"/>
            <w:left w:val="none" w:sz="0" w:space="0" w:color="auto"/>
            <w:bottom w:val="none" w:sz="0" w:space="0" w:color="auto"/>
            <w:right w:val="none" w:sz="0" w:space="0" w:color="auto"/>
          </w:divBdr>
        </w:div>
        <w:div w:id="602809339">
          <w:marLeft w:val="0"/>
          <w:marRight w:val="0"/>
          <w:marTop w:val="0"/>
          <w:marBottom w:val="0"/>
          <w:divBdr>
            <w:top w:val="none" w:sz="0" w:space="0" w:color="auto"/>
            <w:left w:val="none" w:sz="0" w:space="0" w:color="auto"/>
            <w:bottom w:val="none" w:sz="0" w:space="0" w:color="auto"/>
            <w:right w:val="none" w:sz="0" w:space="0" w:color="auto"/>
          </w:divBdr>
        </w:div>
        <w:div w:id="607468161">
          <w:marLeft w:val="0"/>
          <w:marRight w:val="0"/>
          <w:marTop w:val="0"/>
          <w:marBottom w:val="0"/>
          <w:divBdr>
            <w:top w:val="none" w:sz="0" w:space="0" w:color="auto"/>
            <w:left w:val="none" w:sz="0" w:space="0" w:color="auto"/>
            <w:bottom w:val="none" w:sz="0" w:space="0" w:color="auto"/>
            <w:right w:val="none" w:sz="0" w:space="0" w:color="auto"/>
          </w:divBdr>
        </w:div>
        <w:div w:id="609317546">
          <w:marLeft w:val="0"/>
          <w:marRight w:val="0"/>
          <w:marTop w:val="0"/>
          <w:marBottom w:val="0"/>
          <w:divBdr>
            <w:top w:val="none" w:sz="0" w:space="0" w:color="auto"/>
            <w:left w:val="none" w:sz="0" w:space="0" w:color="auto"/>
            <w:bottom w:val="none" w:sz="0" w:space="0" w:color="auto"/>
            <w:right w:val="none" w:sz="0" w:space="0" w:color="auto"/>
          </w:divBdr>
        </w:div>
        <w:div w:id="610089644">
          <w:marLeft w:val="0"/>
          <w:marRight w:val="0"/>
          <w:marTop w:val="0"/>
          <w:marBottom w:val="0"/>
          <w:divBdr>
            <w:top w:val="none" w:sz="0" w:space="0" w:color="auto"/>
            <w:left w:val="none" w:sz="0" w:space="0" w:color="auto"/>
            <w:bottom w:val="none" w:sz="0" w:space="0" w:color="auto"/>
            <w:right w:val="none" w:sz="0" w:space="0" w:color="auto"/>
          </w:divBdr>
        </w:div>
        <w:div w:id="620301108">
          <w:marLeft w:val="0"/>
          <w:marRight w:val="0"/>
          <w:marTop w:val="0"/>
          <w:marBottom w:val="0"/>
          <w:divBdr>
            <w:top w:val="none" w:sz="0" w:space="0" w:color="auto"/>
            <w:left w:val="none" w:sz="0" w:space="0" w:color="auto"/>
            <w:bottom w:val="none" w:sz="0" w:space="0" w:color="auto"/>
            <w:right w:val="none" w:sz="0" w:space="0" w:color="auto"/>
          </w:divBdr>
        </w:div>
        <w:div w:id="623117211">
          <w:marLeft w:val="0"/>
          <w:marRight w:val="0"/>
          <w:marTop w:val="0"/>
          <w:marBottom w:val="0"/>
          <w:divBdr>
            <w:top w:val="none" w:sz="0" w:space="0" w:color="auto"/>
            <w:left w:val="none" w:sz="0" w:space="0" w:color="auto"/>
            <w:bottom w:val="none" w:sz="0" w:space="0" w:color="auto"/>
            <w:right w:val="none" w:sz="0" w:space="0" w:color="auto"/>
          </w:divBdr>
        </w:div>
        <w:div w:id="626473281">
          <w:marLeft w:val="0"/>
          <w:marRight w:val="0"/>
          <w:marTop w:val="0"/>
          <w:marBottom w:val="0"/>
          <w:divBdr>
            <w:top w:val="none" w:sz="0" w:space="0" w:color="auto"/>
            <w:left w:val="none" w:sz="0" w:space="0" w:color="auto"/>
            <w:bottom w:val="none" w:sz="0" w:space="0" w:color="auto"/>
            <w:right w:val="none" w:sz="0" w:space="0" w:color="auto"/>
          </w:divBdr>
        </w:div>
        <w:div w:id="627392954">
          <w:marLeft w:val="0"/>
          <w:marRight w:val="0"/>
          <w:marTop w:val="0"/>
          <w:marBottom w:val="0"/>
          <w:divBdr>
            <w:top w:val="none" w:sz="0" w:space="0" w:color="auto"/>
            <w:left w:val="none" w:sz="0" w:space="0" w:color="auto"/>
            <w:bottom w:val="none" w:sz="0" w:space="0" w:color="auto"/>
            <w:right w:val="none" w:sz="0" w:space="0" w:color="auto"/>
          </w:divBdr>
        </w:div>
        <w:div w:id="629046614">
          <w:marLeft w:val="0"/>
          <w:marRight w:val="0"/>
          <w:marTop w:val="0"/>
          <w:marBottom w:val="0"/>
          <w:divBdr>
            <w:top w:val="none" w:sz="0" w:space="0" w:color="auto"/>
            <w:left w:val="none" w:sz="0" w:space="0" w:color="auto"/>
            <w:bottom w:val="none" w:sz="0" w:space="0" w:color="auto"/>
            <w:right w:val="none" w:sz="0" w:space="0" w:color="auto"/>
          </w:divBdr>
        </w:div>
        <w:div w:id="639194082">
          <w:marLeft w:val="0"/>
          <w:marRight w:val="0"/>
          <w:marTop w:val="0"/>
          <w:marBottom w:val="0"/>
          <w:divBdr>
            <w:top w:val="none" w:sz="0" w:space="0" w:color="auto"/>
            <w:left w:val="none" w:sz="0" w:space="0" w:color="auto"/>
            <w:bottom w:val="none" w:sz="0" w:space="0" w:color="auto"/>
            <w:right w:val="none" w:sz="0" w:space="0" w:color="auto"/>
          </w:divBdr>
        </w:div>
        <w:div w:id="643969177">
          <w:marLeft w:val="0"/>
          <w:marRight w:val="0"/>
          <w:marTop w:val="0"/>
          <w:marBottom w:val="0"/>
          <w:divBdr>
            <w:top w:val="none" w:sz="0" w:space="0" w:color="auto"/>
            <w:left w:val="none" w:sz="0" w:space="0" w:color="auto"/>
            <w:bottom w:val="none" w:sz="0" w:space="0" w:color="auto"/>
            <w:right w:val="none" w:sz="0" w:space="0" w:color="auto"/>
          </w:divBdr>
        </w:div>
        <w:div w:id="645553583">
          <w:marLeft w:val="0"/>
          <w:marRight w:val="0"/>
          <w:marTop w:val="0"/>
          <w:marBottom w:val="0"/>
          <w:divBdr>
            <w:top w:val="none" w:sz="0" w:space="0" w:color="auto"/>
            <w:left w:val="none" w:sz="0" w:space="0" w:color="auto"/>
            <w:bottom w:val="none" w:sz="0" w:space="0" w:color="auto"/>
            <w:right w:val="none" w:sz="0" w:space="0" w:color="auto"/>
          </w:divBdr>
        </w:div>
        <w:div w:id="648750037">
          <w:marLeft w:val="0"/>
          <w:marRight w:val="0"/>
          <w:marTop w:val="0"/>
          <w:marBottom w:val="0"/>
          <w:divBdr>
            <w:top w:val="none" w:sz="0" w:space="0" w:color="auto"/>
            <w:left w:val="none" w:sz="0" w:space="0" w:color="auto"/>
            <w:bottom w:val="none" w:sz="0" w:space="0" w:color="auto"/>
            <w:right w:val="none" w:sz="0" w:space="0" w:color="auto"/>
          </w:divBdr>
        </w:div>
        <w:div w:id="655107900">
          <w:marLeft w:val="0"/>
          <w:marRight w:val="0"/>
          <w:marTop w:val="0"/>
          <w:marBottom w:val="0"/>
          <w:divBdr>
            <w:top w:val="none" w:sz="0" w:space="0" w:color="auto"/>
            <w:left w:val="none" w:sz="0" w:space="0" w:color="auto"/>
            <w:bottom w:val="none" w:sz="0" w:space="0" w:color="auto"/>
            <w:right w:val="none" w:sz="0" w:space="0" w:color="auto"/>
          </w:divBdr>
        </w:div>
        <w:div w:id="661549388">
          <w:marLeft w:val="0"/>
          <w:marRight w:val="0"/>
          <w:marTop w:val="0"/>
          <w:marBottom w:val="0"/>
          <w:divBdr>
            <w:top w:val="none" w:sz="0" w:space="0" w:color="auto"/>
            <w:left w:val="none" w:sz="0" w:space="0" w:color="auto"/>
            <w:bottom w:val="none" w:sz="0" w:space="0" w:color="auto"/>
            <w:right w:val="none" w:sz="0" w:space="0" w:color="auto"/>
          </w:divBdr>
        </w:div>
        <w:div w:id="662389639">
          <w:marLeft w:val="0"/>
          <w:marRight w:val="0"/>
          <w:marTop w:val="0"/>
          <w:marBottom w:val="0"/>
          <w:divBdr>
            <w:top w:val="none" w:sz="0" w:space="0" w:color="auto"/>
            <w:left w:val="none" w:sz="0" w:space="0" w:color="auto"/>
            <w:bottom w:val="none" w:sz="0" w:space="0" w:color="auto"/>
            <w:right w:val="none" w:sz="0" w:space="0" w:color="auto"/>
          </w:divBdr>
        </w:div>
        <w:div w:id="663314871">
          <w:marLeft w:val="0"/>
          <w:marRight w:val="0"/>
          <w:marTop w:val="0"/>
          <w:marBottom w:val="0"/>
          <w:divBdr>
            <w:top w:val="none" w:sz="0" w:space="0" w:color="auto"/>
            <w:left w:val="none" w:sz="0" w:space="0" w:color="auto"/>
            <w:bottom w:val="none" w:sz="0" w:space="0" w:color="auto"/>
            <w:right w:val="none" w:sz="0" w:space="0" w:color="auto"/>
          </w:divBdr>
        </w:div>
        <w:div w:id="666397723">
          <w:marLeft w:val="0"/>
          <w:marRight w:val="0"/>
          <w:marTop w:val="0"/>
          <w:marBottom w:val="0"/>
          <w:divBdr>
            <w:top w:val="none" w:sz="0" w:space="0" w:color="auto"/>
            <w:left w:val="none" w:sz="0" w:space="0" w:color="auto"/>
            <w:bottom w:val="none" w:sz="0" w:space="0" w:color="auto"/>
            <w:right w:val="none" w:sz="0" w:space="0" w:color="auto"/>
          </w:divBdr>
        </w:div>
        <w:div w:id="668555317">
          <w:marLeft w:val="0"/>
          <w:marRight w:val="0"/>
          <w:marTop w:val="0"/>
          <w:marBottom w:val="0"/>
          <w:divBdr>
            <w:top w:val="none" w:sz="0" w:space="0" w:color="auto"/>
            <w:left w:val="none" w:sz="0" w:space="0" w:color="auto"/>
            <w:bottom w:val="none" w:sz="0" w:space="0" w:color="auto"/>
            <w:right w:val="none" w:sz="0" w:space="0" w:color="auto"/>
          </w:divBdr>
        </w:div>
        <w:div w:id="677733377">
          <w:marLeft w:val="0"/>
          <w:marRight w:val="0"/>
          <w:marTop w:val="0"/>
          <w:marBottom w:val="0"/>
          <w:divBdr>
            <w:top w:val="none" w:sz="0" w:space="0" w:color="auto"/>
            <w:left w:val="none" w:sz="0" w:space="0" w:color="auto"/>
            <w:bottom w:val="none" w:sz="0" w:space="0" w:color="auto"/>
            <w:right w:val="none" w:sz="0" w:space="0" w:color="auto"/>
          </w:divBdr>
        </w:div>
        <w:div w:id="681708264">
          <w:marLeft w:val="0"/>
          <w:marRight w:val="0"/>
          <w:marTop w:val="0"/>
          <w:marBottom w:val="0"/>
          <w:divBdr>
            <w:top w:val="none" w:sz="0" w:space="0" w:color="auto"/>
            <w:left w:val="none" w:sz="0" w:space="0" w:color="auto"/>
            <w:bottom w:val="none" w:sz="0" w:space="0" w:color="auto"/>
            <w:right w:val="none" w:sz="0" w:space="0" w:color="auto"/>
          </w:divBdr>
        </w:div>
        <w:div w:id="682705263">
          <w:marLeft w:val="0"/>
          <w:marRight w:val="0"/>
          <w:marTop w:val="0"/>
          <w:marBottom w:val="0"/>
          <w:divBdr>
            <w:top w:val="none" w:sz="0" w:space="0" w:color="auto"/>
            <w:left w:val="none" w:sz="0" w:space="0" w:color="auto"/>
            <w:bottom w:val="none" w:sz="0" w:space="0" w:color="auto"/>
            <w:right w:val="none" w:sz="0" w:space="0" w:color="auto"/>
          </w:divBdr>
        </w:div>
        <w:div w:id="692073806">
          <w:marLeft w:val="0"/>
          <w:marRight w:val="0"/>
          <w:marTop w:val="0"/>
          <w:marBottom w:val="0"/>
          <w:divBdr>
            <w:top w:val="none" w:sz="0" w:space="0" w:color="auto"/>
            <w:left w:val="none" w:sz="0" w:space="0" w:color="auto"/>
            <w:bottom w:val="none" w:sz="0" w:space="0" w:color="auto"/>
            <w:right w:val="none" w:sz="0" w:space="0" w:color="auto"/>
          </w:divBdr>
        </w:div>
        <w:div w:id="697395892">
          <w:marLeft w:val="0"/>
          <w:marRight w:val="0"/>
          <w:marTop w:val="0"/>
          <w:marBottom w:val="0"/>
          <w:divBdr>
            <w:top w:val="none" w:sz="0" w:space="0" w:color="auto"/>
            <w:left w:val="none" w:sz="0" w:space="0" w:color="auto"/>
            <w:bottom w:val="none" w:sz="0" w:space="0" w:color="auto"/>
            <w:right w:val="none" w:sz="0" w:space="0" w:color="auto"/>
          </w:divBdr>
        </w:div>
        <w:div w:id="728453471">
          <w:marLeft w:val="0"/>
          <w:marRight w:val="0"/>
          <w:marTop w:val="0"/>
          <w:marBottom w:val="0"/>
          <w:divBdr>
            <w:top w:val="none" w:sz="0" w:space="0" w:color="auto"/>
            <w:left w:val="none" w:sz="0" w:space="0" w:color="auto"/>
            <w:bottom w:val="none" w:sz="0" w:space="0" w:color="auto"/>
            <w:right w:val="none" w:sz="0" w:space="0" w:color="auto"/>
          </w:divBdr>
        </w:div>
        <w:div w:id="733553398">
          <w:marLeft w:val="0"/>
          <w:marRight w:val="0"/>
          <w:marTop w:val="0"/>
          <w:marBottom w:val="0"/>
          <w:divBdr>
            <w:top w:val="none" w:sz="0" w:space="0" w:color="auto"/>
            <w:left w:val="none" w:sz="0" w:space="0" w:color="auto"/>
            <w:bottom w:val="none" w:sz="0" w:space="0" w:color="auto"/>
            <w:right w:val="none" w:sz="0" w:space="0" w:color="auto"/>
          </w:divBdr>
        </w:div>
        <w:div w:id="745305135">
          <w:marLeft w:val="0"/>
          <w:marRight w:val="0"/>
          <w:marTop w:val="0"/>
          <w:marBottom w:val="0"/>
          <w:divBdr>
            <w:top w:val="none" w:sz="0" w:space="0" w:color="auto"/>
            <w:left w:val="none" w:sz="0" w:space="0" w:color="auto"/>
            <w:bottom w:val="none" w:sz="0" w:space="0" w:color="auto"/>
            <w:right w:val="none" w:sz="0" w:space="0" w:color="auto"/>
          </w:divBdr>
        </w:div>
        <w:div w:id="751658776">
          <w:marLeft w:val="0"/>
          <w:marRight w:val="0"/>
          <w:marTop w:val="0"/>
          <w:marBottom w:val="0"/>
          <w:divBdr>
            <w:top w:val="none" w:sz="0" w:space="0" w:color="auto"/>
            <w:left w:val="none" w:sz="0" w:space="0" w:color="auto"/>
            <w:bottom w:val="none" w:sz="0" w:space="0" w:color="auto"/>
            <w:right w:val="none" w:sz="0" w:space="0" w:color="auto"/>
          </w:divBdr>
        </w:div>
        <w:div w:id="757334669">
          <w:marLeft w:val="0"/>
          <w:marRight w:val="0"/>
          <w:marTop w:val="0"/>
          <w:marBottom w:val="0"/>
          <w:divBdr>
            <w:top w:val="none" w:sz="0" w:space="0" w:color="auto"/>
            <w:left w:val="none" w:sz="0" w:space="0" w:color="auto"/>
            <w:bottom w:val="none" w:sz="0" w:space="0" w:color="auto"/>
            <w:right w:val="none" w:sz="0" w:space="0" w:color="auto"/>
          </w:divBdr>
        </w:div>
        <w:div w:id="772937082">
          <w:marLeft w:val="0"/>
          <w:marRight w:val="0"/>
          <w:marTop w:val="0"/>
          <w:marBottom w:val="0"/>
          <w:divBdr>
            <w:top w:val="none" w:sz="0" w:space="0" w:color="auto"/>
            <w:left w:val="none" w:sz="0" w:space="0" w:color="auto"/>
            <w:bottom w:val="none" w:sz="0" w:space="0" w:color="auto"/>
            <w:right w:val="none" w:sz="0" w:space="0" w:color="auto"/>
          </w:divBdr>
        </w:div>
        <w:div w:id="779767183">
          <w:marLeft w:val="0"/>
          <w:marRight w:val="0"/>
          <w:marTop w:val="0"/>
          <w:marBottom w:val="0"/>
          <w:divBdr>
            <w:top w:val="none" w:sz="0" w:space="0" w:color="auto"/>
            <w:left w:val="none" w:sz="0" w:space="0" w:color="auto"/>
            <w:bottom w:val="none" w:sz="0" w:space="0" w:color="auto"/>
            <w:right w:val="none" w:sz="0" w:space="0" w:color="auto"/>
          </w:divBdr>
        </w:div>
        <w:div w:id="779842461">
          <w:marLeft w:val="0"/>
          <w:marRight w:val="0"/>
          <w:marTop w:val="0"/>
          <w:marBottom w:val="0"/>
          <w:divBdr>
            <w:top w:val="none" w:sz="0" w:space="0" w:color="auto"/>
            <w:left w:val="none" w:sz="0" w:space="0" w:color="auto"/>
            <w:bottom w:val="none" w:sz="0" w:space="0" w:color="auto"/>
            <w:right w:val="none" w:sz="0" w:space="0" w:color="auto"/>
          </w:divBdr>
        </w:div>
        <w:div w:id="781844904">
          <w:marLeft w:val="0"/>
          <w:marRight w:val="0"/>
          <w:marTop w:val="0"/>
          <w:marBottom w:val="0"/>
          <w:divBdr>
            <w:top w:val="none" w:sz="0" w:space="0" w:color="auto"/>
            <w:left w:val="none" w:sz="0" w:space="0" w:color="auto"/>
            <w:bottom w:val="none" w:sz="0" w:space="0" w:color="auto"/>
            <w:right w:val="none" w:sz="0" w:space="0" w:color="auto"/>
          </w:divBdr>
        </w:div>
        <w:div w:id="789320511">
          <w:marLeft w:val="0"/>
          <w:marRight w:val="0"/>
          <w:marTop w:val="0"/>
          <w:marBottom w:val="0"/>
          <w:divBdr>
            <w:top w:val="none" w:sz="0" w:space="0" w:color="auto"/>
            <w:left w:val="none" w:sz="0" w:space="0" w:color="auto"/>
            <w:bottom w:val="none" w:sz="0" w:space="0" w:color="auto"/>
            <w:right w:val="none" w:sz="0" w:space="0" w:color="auto"/>
          </w:divBdr>
        </w:div>
        <w:div w:id="792553750">
          <w:marLeft w:val="0"/>
          <w:marRight w:val="0"/>
          <w:marTop w:val="0"/>
          <w:marBottom w:val="0"/>
          <w:divBdr>
            <w:top w:val="none" w:sz="0" w:space="0" w:color="auto"/>
            <w:left w:val="none" w:sz="0" w:space="0" w:color="auto"/>
            <w:bottom w:val="none" w:sz="0" w:space="0" w:color="auto"/>
            <w:right w:val="none" w:sz="0" w:space="0" w:color="auto"/>
          </w:divBdr>
        </w:div>
        <w:div w:id="800808230">
          <w:marLeft w:val="0"/>
          <w:marRight w:val="0"/>
          <w:marTop w:val="0"/>
          <w:marBottom w:val="0"/>
          <w:divBdr>
            <w:top w:val="none" w:sz="0" w:space="0" w:color="auto"/>
            <w:left w:val="none" w:sz="0" w:space="0" w:color="auto"/>
            <w:bottom w:val="none" w:sz="0" w:space="0" w:color="auto"/>
            <w:right w:val="none" w:sz="0" w:space="0" w:color="auto"/>
          </w:divBdr>
        </w:div>
        <w:div w:id="801309342">
          <w:marLeft w:val="0"/>
          <w:marRight w:val="0"/>
          <w:marTop w:val="0"/>
          <w:marBottom w:val="0"/>
          <w:divBdr>
            <w:top w:val="none" w:sz="0" w:space="0" w:color="auto"/>
            <w:left w:val="none" w:sz="0" w:space="0" w:color="auto"/>
            <w:bottom w:val="none" w:sz="0" w:space="0" w:color="auto"/>
            <w:right w:val="none" w:sz="0" w:space="0" w:color="auto"/>
          </w:divBdr>
        </w:div>
        <w:div w:id="801339499">
          <w:marLeft w:val="0"/>
          <w:marRight w:val="0"/>
          <w:marTop w:val="0"/>
          <w:marBottom w:val="0"/>
          <w:divBdr>
            <w:top w:val="none" w:sz="0" w:space="0" w:color="auto"/>
            <w:left w:val="none" w:sz="0" w:space="0" w:color="auto"/>
            <w:bottom w:val="none" w:sz="0" w:space="0" w:color="auto"/>
            <w:right w:val="none" w:sz="0" w:space="0" w:color="auto"/>
          </w:divBdr>
        </w:div>
        <w:div w:id="802312222">
          <w:marLeft w:val="0"/>
          <w:marRight w:val="0"/>
          <w:marTop w:val="0"/>
          <w:marBottom w:val="0"/>
          <w:divBdr>
            <w:top w:val="none" w:sz="0" w:space="0" w:color="auto"/>
            <w:left w:val="none" w:sz="0" w:space="0" w:color="auto"/>
            <w:bottom w:val="none" w:sz="0" w:space="0" w:color="auto"/>
            <w:right w:val="none" w:sz="0" w:space="0" w:color="auto"/>
          </w:divBdr>
        </w:div>
        <w:div w:id="803158585">
          <w:marLeft w:val="0"/>
          <w:marRight w:val="0"/>
          <w:marTop w:val="0"/>
          <w:marBottom w:val="0"/>
          <w:divBdr>
            <w:top w:val="none" w:sz="0" w:space="0" w:color="auto"/>
            <w:left w:val="none" w:sz="0" w:space="0" w:color="auto"/>
            <w:bottom w:val="none" w:sz="0" w:space="0" w:color="auto"/>
            <w:right w:val="none" w:sz="0" w:space="0" w:color="auto"/>
          </w:divBdr>
        </w:div>
        <w:div w:id="804471342">
          <w:marLeft w:val="0"/>
          <w:marRight w:val="0"/>
          <w:marTop w:val="0"/>
          <w:marBottom w:val="0"/>
          <w:divBdr>
            <w:top w:val="none" w:sz="0" w:space="0" w:color="auto"/>
            <w:left w:val="none" w:sz="0" w:space="0" w:color="auto"/>
            <w:bottom w:val="none" w:sz="0" w:space="0" w:color="auto"/>
            <w:right w:val="none" w:sz="0" w:space="0" w:color="auto"/>
          </w:divBdr>
        </w:div>
        <w:div w:id="809514528">
          <w:marLeft w:val="0"/>
          <w:marRight w:val="0"/>
          <w:marTop w:val="0"/>
          <w:marBottom w:val="0"/>
          <w:divBdr>
            <w:top w:val="none" w:sz="0" w:space="0" w:color="auto"/>
            <w:left w:val="none" w:sz="0" w:space="0" w:color="auto"/>
            <w:bottom w:val="none" w:sz="0" w:space="0" w:color="auto"/>
            <w:right w:val="none" w:sz="0" w:space="0" w:color="auto"/>
          </w:divBdr>
        </w:div>
        <w:div w:id="815342471">
          <w:marLeft w:val="0"/>
          <w:marRight w:val="0"/>
          <w:marTop w:val="0"/>
          <w:marBottom w:val="0"/>
          <w:divBdr>
            <w:top w:val="none" w:sz="0" w:space="0" w:color="auto"/>
            <w:left w:val="none" w:sz="0" w:space="0" w:color="auto"/>
            <w:bottom w:val="none" w:sz="0" w:space="0" w:color="auto"/>
            <w:right w:val="none" w:sz="0" w:space="0" w:color="auto"/>
          </w:divBdr>
        </w:div>
        <w:div w:id="832912216">
          <w:marLeft w:val="0"/>
          <w:marRight w:val="0"/>
          <w:marTop w:val="0"/>
          <w:marBottom w:val="0"/>
          <w:divBdr>
            <w:top w:val="none" w:sz="0" w:space="0" w:color="auto"/>
            <w:left w:val="none" w:sz="0" w:space="0" w:color="auto"/>
            <w:bottom w:val="none" w:sz="0" w:space="0" w:color="auto"/>
            <w:right w:val="none" w:sz="0" w:space="0" w:color="auto"/>
          </w:divBdr>
        </w:div>
        <w:div w:id="844171913">
          <w:marLeft w:val="0"/>
          <w:marRight w:val="0"/>
          <w:marTop w:val="0"/>
          <w:marBottom w:val="0"/>
          <w:divBdr>
            <w:top w:val="none" w:sz="0" w:space="0" w:color="auto"/>
            <w:left w:val="none" w:sz="0" w:space="0" w:color="auto"/>
            <w:bottom w:val="none" w:sz="0" w:space="0" w:color="auto"/>
            <w:right w:val="none" w:sz="0" w:space="0" w:color="auto"/>
          </w:divBdr>
        </w:div>
        <w:div w:id="850412346">
          <w:marLeft w:val="0"/>
          <w:marRight w:val="0"/>
          <w:marTop w:val="0"/>
          <w:marBottom w:val="0"/>
          <w:divBdr>
            <w:top w:val="none" w:sz="0" w:space="0" w:color="auto"/>
            <w:left w:val="none" w:sz="0" w:space="0" w:color="auto"/>
            <w:bottom w:val="none" w:sz="0" w:space="0" w:color="auto"/>
            <w:right w:val="none" w:sz="0" w:space="0" w:color="auto"/>
          </w:divBdr>
        </w:div>
        <w:div w:id="851069938">
          <w:marLeft w:val="0"/>
          <w:marRight w:val="0"/>
          <w:marTop w:val="0"/>
          <w:marBottom w:val="0"/>
          <w:divBdr>
            <w:top w:val="none" w:sz="0" w:space="0" w:color="auto"/>
            <w:left w:val="none" w:sz="0" w:space="0" w:color="auto"/>
            <w:bottom w:val="none" w:sz="0" w:space="0" w:color="auto"/>
            <w:right w:val="none" w:sz="0" w:space="0" w:color="auto"/>
          </w:divBdr>
        </w:div>
        <w:div w:id="867722856">
          <w:marLeft w:val="0"/>
          <w:marRight w:val="0"/>
          <w:marTop w:val="0"/>
          <w:marBottom w:val="0"/>
          <w:divBdr>
            <w:top w:val="none" w:sz="0" w:space="0" w:color="auto"/>
            <w:left w:val="none" w:sz="0" w:space="0" w:color="auto"/>
            <w:bottom w:val="none" w:sz="0" w:space="0" w:color="auto"/>
            <w:right w:val="none" w:sz="0" w:space="0" w:color="auto"/>
          </w:divBdr>
        </w:div>
        <w:div w:id="873730212">
          <w:marLeft w:val="0"/>
          <w:marRight w:val="0"/>
          <w:marTop w:val="0"/>
          <w:marBottom w:val="0"/>
          <w:divBdr>
            <w:top w:val="none" w:sz="0" w:space="0" w:color="auto"/>
            <w:left w:val="none" w:sz="0" w:space="0" w:color="auto"/>
            <w:bottom w:val="none" w:sz="0" w:space="0" w:color="auto"/>
            <w:right w:val="none" w:sz="0" w:space="0" w:color="auto"/>
          </w:divBdr>
        </w:div>
        <w:div w:id="878737873">
          <w:marLeft w:val="0"/>
          <w:marRight w:val="0"/>
          <w:marTop w:val="0"/>
          <w:marBottom w:val="0"/>
          <w:divBdr>
            <w:top w:val="none" w:sz="0" w:space="0" w:color="auto"/>
            <w:left w:val="none" w:sz="0" w:space="0" w:color="auto"/>
            <w:bottom w:val="none" w:sz="0" w:space="0" w:color="auto"/>
            <w:right w:val="none" w:sz="0" w:space="0" w:color="auto"/>
          </w:divBdr>
        </w:div>
        <w:div w:id="897591027">
          <w:marLeft w:val="0"/>
          <w:marRight w:val="0"/>
          <w:marTop w:val="0"/>
          <w:marBottom w:val="0"/>
          <w:divBdr>
            <w:top w:val="none" w:sz="0" w:space="0" w:color="auto"/>
            <w:left w:val="none" w:sz="0" w:space="0" w:color="auto"/>
            <w:bottom w:val="none" w:sz="0" w:space="0" w:color="auto"/>
            <w:right w:val="none" w:sz="0" w:space="0" w:color="auto"/>
          </w:divBdr>
        </w:div>
        <w:div w:id="909461430">
          <w:marLeft w:val="0"/>
          <w:marRight w:val="0"/>
          <w:marTop w:val="0"/>
          <w:marBottom w:val="0"/>
          <w:divBdr>
            <w:top w:val="none" w:sz="0" w:space="0" w:color="auto"/>
            <w:left w:val="none" w:sz="0" w:space="0" w:color="auto"/>
            <w:bottom w:val="none" w:sz="0" w:space="0" w:color="auto"/>
            <w:right w:val="none" w:sz="0" w:space="0" w:color="auto"/>
          </w:divBdr>
        </w:div>
        <w:div w:id="913203387">
          <w:marLeft w:val="0"/>
          <w:marRight w:val="0"/>
          <w:marTop w:val="0"/>
          <w:marBottom w:val="0"/>
          <w:divBdr>
            <w:top w:val="none" w:sz="0" w:space="0" w:color="auto"/>
            <w:left w:val="none" w:sz="0" w:space="0" w:color="auto"/>
            <w:bottom w:val="none" w:sz="0" w:space="0" w:color="auto"/>
            <w:right w:val="none" w:sz="0" w:space="0" w:color="auto"/>
          </w:divBdr>
        </w:div>
        <w:div w:id="914167825">
          <w:marLeft w:val="0"/>
          <w:marRight w:val="0"/>
          <w:marTop w:val="0"/>
          <w:marBottom w:val="0"/>
          <w:divBdr>
            <w:top w:val="none" w:sz="0" w:space="0" w:color="auto"/>
            <w:left w:val="none" w:sz="0" w:space="0" w:color="auto"/>
            <w:bottom w:val="none" w:sz="0" w:space="0" w:color="auto"/>
            <w:right w:val="none" w:sz="0" w:space="0" w:color="auto"/>
          </w:divBdr>
        </w:div>
        <w:div w:id="931932190">
          <w:marLeft w:val="0"/>
          <w:marRight w:val="0"/>
          <w:marTop w:val="0"/>
          <w:marBottom w:val="0"/>
          <w:divBdr>
            <w:top w:val="none" w:sz="0" w:space="0" w:color="auto"/>
            <w:left w:val="none" w:sz="0" w:space="0" w:color="auto"/>
            <w:bottom w:val="none" w:sz="0" w:space="0" w:color="auto"/>
            <w:right w:val="none" w:sz="0" w:space="0" w:color="auto"/>
          </w:divBdr>
        </w:div>
        <w:div w:id="943541340">
          <w:marLeft w:val="0"/>
          <w:marRight w:val="0"/>
          <w:marTop w:val="0"/>
          <w:marBottom w:val="0"/>
          <w:divBdr>
            <w:top w:val="none" w:sz="0" w:space="0" w:color="auto"/>
            <w:left w:val="none" w:sz="0" w:space="0" w:color="auto"/>
            <w:bottom w:val="none" w:sz="0" w:space="0" w:color="auto"/>
            <w:right w:val="none" w:sz="0" w:space="0" w:color="auto"/>
          </w:divBdr>
        </w:div>
        <w:div w:id="945847072">
          <w:marLeft w:val="0"/>
          <w:marRight w:val="0"/>
          <w:marTop w:val="0"/>
          <w:marBottom w:val="0"/>
          <w:divBdr>
            <w:top w:val="none" w:sz="0" w:space="0" w:color="auto"/>
            <w:left w:val="none" w:sz="0" w:space="0" w:color="auto"/>
            <w:bottom w:val="none" w:sz="0" w:space="0" w:color="auto"/>
            <w:right w:val="none" w:sz="0" w:space="0" w:color="auto"/>
          </w:divBdr>
        </w:div>
        <w:div w:id="947198336">
          <w:marLeft w:val="0"/>
          <w:marRight w:val="0"/>
          <w:marTop w:val="0"/>
          <w:marBottom w:val="0"/>
          <w:divBdr>
            <w:top w:val="none" w:sz="0" w:space="0" w:color="auto"/>
            <w:left w:val="none" w:sz="0" w:space="0" w:color="auto"/>
            <w:bottom w:val="none" w:sz="0" w:space="0" w:color="auto"/>
            <w:right w:val="none" w:sz="0" w:space="0" w:color="auto"/>
          </w:divBdr>
        </w:div>
        <w:div w:id="947783201">
          <w:marLeft w:val="0"/>
          <w:marRight w:val="0"/>
          <w:marTop w:val="0"/>
          <w:marBottom w:val="0"/>
          <w:divBdr>
            <w:top w:val="none" w:sz="0" w:space="0" w:color="auto"/>
            <w:left w:val="none" w:sz="0" w:space="0" w:color="auto"/>
            <w:bottom w:val="none" w:sz="0" w:space="0" w:color="auto"/>
            <w:right w:val="none" w:sz="0" w:space="0" w:color="auto"/>
          </w:divBdr>
        </w:div>
        <w:div w:id="964699651">
          <w:marLeft w:val="0"/>
          <w:marRight w:val="0"/>
          <w:marTop w:val="0"/>
          <w:marBottom w:val="0"/>
          <w:divBdr>
            <w:top w:val="none" w:sz="0" w:space="0" w:color="auto"/>
            <w:left w:val="none" w:sz="0" w:space="0" w:color="auto"/>
            <w:bottom w:val="none" w:sz="0" w:space="0" w:color="auto"/>
            <w:right w:val="none" w:sz="0" w:space="0" w:color="auto"/>
          </w:divBdr>
        </w:div>
        <w:div w:id="965626058">
          <w:marLeft w:val="0"/>
          <w:marRight w:val="0"/>
          <w:marTop w:val="0"/>
          <w:marBottom w:val="0"/>
          <w:divBdr>
            <w:top w:val="none" w:sz="0" w:space="0" w:color="auto"/>
            <w:left w:val="none" w:sz="0" w:space="0" w:color="auto"/>
            <w:bottom w:val="none" w:sz="0" w:space="0" w:color="auto"/>
            <w:right w:val="none" w:sz="0" w:space="0" w:color="auto"/>
          </w:divBdr>
        </w:div>
        <w:div w:id="979194034">
          <w:marLeft w:val="0"/>
          <w:marRight w:val="0"/>
          <w:marTop w:val="0"/>
          <w:marBottom w:val="0"/>
          <w:divBdr>
            <w:top w:val="none" w:sz="0" w:space="0" w:color="auto"/>
            <w:left w:val="none" w:sz="0" w:space="0" w:color="auto"/>
            <w:bottom w:val="none" w:sz="0" w:space="0" w:color="auto"/>
            <w:right w:val="none" w:sz="0" w:space="0" w:color="auto"/>
          </w:divBdr>
        </w:div>
        <w:div w:id="988361592">
          <w:marLeft w:val="0"/>
          <w:marRight w:val="0"/>
          <w:marTop w:val="0"/>
          <w:marBottom w:val="0"/>
          <w:divBdr>
            <w:top w:val="none" w:sz="0" w:space="0" w:color="auto"/>
            <w:left w:val="none" w:sz="0" w:space="0" w:color="auto"/>
            <w:bottom w:val="none" w:sz="0" w:space="0" w:color="auto"/>
            <w:right w:val="none" w:sz="0" w:space="0" w:color="auto"/>
          </w:divBdr>
        </w:div>
        <w:div w:id="993679116">
          <w:marLeft w:val="0"/>
          <w:marRight w:val="0"/>
          <w:marTop w:val="0"/>
          <w:marBottom w:val="0"/>
          <w:divBdr>
            <w:top w:val="none" w:sz="0" w:space="0" w:color="auto"/>
            <w:left w:val="none" w:sz="0" w:space="0" w:color="auto"/>
            <w:bottom w:val="none" w:sz="0" w:space="0" w:color="auto"/>
            <w:right w:val="none" w:sz="0" w:space="0" w:color="auto"/>
          </w:divBdr>
        </w:div>
        <w:div w:id="1002776017">
          <w:marLeft w:val="0"/>
          <w:marRight w:val="0"/>
          <w:marTop w:val="0"/>
          <w:marBottom w:val="0"/>
          <w:divBdr>
            <w:top w:val="none" w:sz="0" w:space="0" w:color="auto"/>
            <w:left w:val="none" w:sz="0" w:space="0" w:color="auto"/>
            <w:bottom w:val="none" w:sz="0" w:space="0" w:color="auto"/>
            <w:right w:val="none" w:sz="0" w:space="0" w:color="auto"/>
          </w:divBdr>
        </w:div>
        <w:div w:id="1014840217">
          <w:marLeft w:val="0"/>
          <w:marRight w:val="0"/>
          <w:marTop w:val="0"/>
          <w:marBottom w:val="0"/>
          <w:divBdr>
            <w:top w:val="none" w:sz="0" w:space="0" w:color="auto"/>
            <w:left w:val="none" w:sz="0" w:space="0" w:color="auto"/>
            <w:bottom w:val="none" w:sz="0" w:space="0" w:color="auto"/>
            <w:right w:val="none" w:sz="0" w:space="0" w:color="auto"/>
          </w:divBdr>
        </w:div>
        <w:div w:id="1025404480">
          <w:marLeft w:val="0"/>
          <w:marRight w:val="0"/>
          <w:marTop w:val="0"/>
          <w:marBottom w:val="0"/>
          <w:divBdr>
            <w:top w:val="none" w:sz="0" w:space="0" w:color="auto"/>
            <w:left w:val="none" w:sz="0" w:space="0" w:color="auto"/>
            <w:bottom w:val="none" w:sz="0" w:space="0" w:color="auto"/>
            <w:right w:val="none" w:sz="0" w:space="0" w:color="auto"/>
          </w:divBdr>
        </w:div>
        <w:div w:id="1028406055">
          <w:marLeft w:val="0"/>
          <w:marRight w:val="0"/>
          <w:marTop w:val="0"/>
          <w:marBottom w:val="0"/>
          <w:divBdr>
            <w:top w:val="none" w:sz="0" w:space="0" w:color="auto"/>
            <w:left w:val="none" w:sz="0" w:space="0" w:color="auto"/>
            <w:bottom w:val="none" w:sz="0" w:space="0" w:color="auto"/>
            <w:right w:val="none" w:sz="0" w:space="0" w:color="auto"/>
          </w:divBdr>
        </w:div>
        <w:div w:id="1029987577">
          <w:marLeft w:val="0"/>
          <w:marRight w:val="0"/>
          <w:marTop w:val="0"/>
          <w:marBottom w:val="0"/>
          <w:divBdr>
            <w:top w:val="none" w:sz="0" w:space="0" w:color="auto"/>
            <w:left w:val="none" w:sz="0" w:space="0" w:color="auto"/>
            <w:bottom w:val="none" w:sz="0" w:space="0" w:color="auto"/>
            <w:right w:val="none" w:sz="0" w:space="0" w:color="auto"/>
          </w:divBdr>
        </w:div>
        <w:div w:id="1049302581">
          <w:marLeft w:val="0"/>
          <w:marRight w:val="0"/>
          <w:marTop w:val="0"/>
          <w:marBottom w:val="0"/>
          <w:divBdr>
            <w:top w:val="none" w:sz="0" w:space="0" w:color="auto"/>
            <w:left w:val="none" w:sz="0" w:space="0" w:color="auto"/>
            <w:bottom w:val="none" w:sz="0" w:space="0" w:color="auto"/>
            <w:right w:val="none" w:sz="0" w:space="0" w:color="auto"/>
          </w:divBdr>
        </w:div>
        <w:div w:id="1049455261">
          <w:marLeft w:val="0"/>
          <w:marRight w:val="0"/>
          <w:marTop w:val="0"/>
          <w:marBottom w:val="0"/>
          <w:divBdr>
            <w:top w:val="none" w:sz="0" w:space="0" w:color="auto"/>
            <w:left w:val="none" w:sz="0" w:space="0" w:color="auto"/>
            <w:bottom w:val="none" w:sz="0" w:space="0" w:color="auto"/>
            <w:right w:val="none" w:sz="0" w:space="0" w:color="auto"/>
          </w:divBdr>
        </w:div>
        <w:div w:id="1055927195">
          <w:marLeft w:val="0"/>
          <w:marRight w:val="0"/>
          <w:marTop w:val="0"/>
          <w:marBottom w:val="0"/>
          <w:divBdr>
            <w:top w:val="none" w:sz="0" w:space="0" w:color="auto"/>
            <w:left w:val="none" w:sz="0" w:space="0" w:color="auto"/>
            <w:bottom w:val="none" w:sz="0" w:space="0" w:color="auto"/>
            <w:right w:val="none" w:sz="0" w:space="0" w:color="auto"/>
          </w:divBdr>
        </w:div>
        <w:div w:id="1065638762">
          <w:marLeft w:val="0"/>
          <w:marRight w:val="0"/>
          <w:marTop w:val="0"/>
          <w:marBottom w:val="0"/>
          <w:divBdr>
            <w:top w:val="none" w:sz="0" w:space="0" w:color="auto"/>
            <w:left w:val="none" w:sz="0" w:space="0" w:color="auto"/>
            <w:bottom w:val="none" w:sz="0" w:space="0" w:color="auto"/>
            <w:right w:val="none" w:sz="0" w:space="0" w:color="auto"/>
          </w:divBdr>
        </w:div>
        <w:div w:id="1068841262">
          <w:marLeft w:val="0"/>
          <w:marRight w:val="0"/>
          <w:marTop w:val="0"/>
          <w:marBottom w:val="0"/>
          <w:divBdr>
            <w:top w:val="none" w:sz="0" w:space="0" w:color="auto"/>
            <w:left w:val="none" w:sz="0" w:space="0" w:color="auto"/>
            <w:bottom w:val="none" w:sz="0" w:space="0" w:color="auto"/>
            <w:right w:val="none" w:sz="0" w:space="0" w:color="auto"/>
          </w:divBdr>
        </w:div>
        <w:div w:id="1071198436">
          <w:marLeft w:val="0"/>
          <w:marRight w:val="0"/>
          <w:marTop w:val="0"/>
          <w:marBottom w:val="0"/>
          <w:divBdr>
            <w:top w:val="none" w:sz="0" w:space="0" w:color="auto"/>
            <w:left w:val="none" w:sz="0" w:space="0" w:color="auto"/>
            <w:bottom w:val="none" w:sz="0" w:space="0" w:color="auto"/>
            <w:right w:val="none" w:sz="0" w:space="0" w:color="auto"/>
          </w:divBdr>
        </w:div>
        <w:div w:id="1071778877">
          <w:marLeft w:val="0"/>
          <w:marRight w:val="0"/>
          <w:marTop w:val="0"/>
          <w:marBottom w:val="0"/>
          <w:divBdr>
            <w:top w:val="none" w:sz="0" w:space="0" w:color="auto"/>
            <w:left w:val="none" w:sz="0" w:space="0" w:color="auto"/>
            <w:bottom w:val="none" w:sz="0" w:space="0" w:color="auto"/>
            <w:right w:val="none" w:sz="0" w:space="0" w:color="auto"/>
          </w:divBdr>
        </w:div>
        <w:div w:id="1075788005">
          <w:marLeft w:val="0"/>
          <w:marRight w:val="0"/>
          <w:marTop w:val="0"/>
          <w:marBottom w:val="0"/>
          <w:divBdr>
            <w:top w:val="none" w:sz="0" w:space="0" w:color="auto"/>
            <w:left w:val="none" w:sz="0" w:space="0" w:color="auto"/>
            <w:bottom w:val="none" w:sz="0" w:space="0" w:color="auto"/>
            <w:right w:val="none" w:sz="0" w:space="0" w:color="auto"/>
          </w:divBdr>
        </w:div>
        <w:div w:id="1076316829">
          <w:marLeft w:val="0"/>
          <w:marRight w:val="0"/>
          <w:marTop w:val="0"/>
          <w:marBottom w:val="0"/>
          <w:divBdr>
            <w:top w:val="none" w:sz="0" w:space="0" w:color="auto"/>
            <w:left w:val="none" w:sz="0" w:space="0" w:color="auto"/>
            <w:bottom w:val="none" w:sz="0" w:space="0" w:color="auto"/>
            <w:right w:val="none" w:sz="0" w:space="0" w:color="auto"/>
          </w:divBdr>
        </w:div>
        <w:div w:id="1082676941">
          <w:marLeft w:val="0"/>
          <w:marRight w:val="0"/>
          <w:marTop w:val="0"/>
          <w:marBottom w:val="0"/>
          <w:divBdr>
            <w:top w:val="none" w:sz="0" w:space="0" w:color="auto"/>
            <w:left w:val="none" w:sz="0" w:space="0" w:color="auto"/>
            <w:bottom w:val="none" w:sz="0" w:space="0" w:color="auto"/>
            <w:right w:val="none" w:sz="0" w:space="0" w:color="auto"/>
          </w:divBdr>
        </w:div>
        <w:div w:id="1086615512">
          <w:marLeft w:val="0"/>
          <w:marRight w:val="0"/>
          <w:marTop w:val="0"/>
          <w:marBottom w:val="0"/>
          <w:divBdr>
            <w:top w:val="none" w:sz="0" w:space="0" w:color="auto"/>
            <w:left w:val="none" w:sz="0" w:space="0" w:color="auto"/>
            <w:bottom w:val="none" w:sz="0" w:space="0" w:color="auto"/>
            <w:right w:val="none" w:sz="0" w:space="0" w:color="auto"/>
          </w:divBdr>
        </w:div>
        <w:div w:id="1102066507">
          <w:marLeft w:val="0"/>
          <w:marRight w:val="0"/>
          <w:marTop w:val="0"/>
          <w:marBottom w:val="0"/>
          <w:divBdr>
            <w:top w:val="none" w:sz="0" w:space="0" w:color="auto"/>
            <w:left w:val="none" w:sz="0" w:space="0" w:color="auto"/>
            <w:bottom w:val="none" w:sz="0" w:space="0" w:color="auto"/>
            <w:right w:val="none" w:sz="0" w:space="0" w:color="auto"/>
          </w:divBdr>
        </w:div>
        <w:div w:id="1111516327">
          <w:marLeft w:val="0"/>
          <w:marRight w:val="0"/>
          <w:marTop w:val="0"/>
          <w:marBottom w:val="0"/>
          <w:divBdr>
            <w:top w:val="none" w:sz="0" w:space="0" w:color="auto"/>
            <w:left w:val="none" w:sz="0" w:space="0" w:color="auto"/>
            <w:bottom w:val="none" w:sz="0" w:space="0" w:color="auto"/>
            <w:right w:val="none" w:sz="0" w:space="0" w:color="auto"/>
          </w:divBdr>
        </w:div>
        <w:div w:id="1121999810">
          <w:marLeft w:val="0"/>
          <w:marRight w:val="0"/>
          <w:marTop w:val="0"/>
          <w:marBottom w:val="0"/>
          <w:divBdr>
            <w:top w:val="none" w:sz="0" w:space="0" w:color="auto"/>
            <w:left w:val="none" w:sz="0" w:space="0" w:color="auto"/>
            <w:bottom w:val="none" w:sz="0" w:space="0" w:color="auto"/>
            <w:right w:val="none" w:sz="0" w:space="0" w:color="auto"/>
          </w:divBdr>
        </w:div>
        <w:div w:id="1132748252">
          <w:marLeft w:val="0"/>
          <w:marRight w:val="0"/>
          <w:marTop w:val="0"/>
          <w:marBottom w:val="0"/>
          <w:divBdr>
            <w:top w:val="none" w:sz="0" w:space="0" w:color="auto"/>
            <w:left w:val="none" w:sz="0" w:space="0" w:color="auto"/>
            <w:bottom w:val="none" w:sz="0" w:space="0" w:color="auto"/>
            <w:right w:val="none" w:sz="0" w:space="0" w:color="auto"/>
          </w:divBdr>
        </w:div>
        <w:div w:id="1133208153">
          <w:marLeft w:val="0"/>
          <w:marRight w:val="0"/>
          <w:marTop w:val="0"/>
          <w:marBottom w:val="0"/>
          <w:divBdr>
            <w:top w:val="none" w:sz="0" w:space="0" w:color="auto"/>
            <w:left w:val="none" w:sz="0" w:space="0" w:color="auto"/>
            <w:bottom w:val="none" w:sz="0" w:space="0" w:color="auto"/>
            <w:right w:val="none" w:sz="0" w:space="0" w:color="auto"/>
          </w:divBdr>
        </w:div>
        <w:div w:id="1143041453">
          <w:marLeft w:val="0"/>
          <w:marRight w:val="0"/>
          <w:marTop w:val="0"/>
          <w:marBottom w:val="0"/>
          <w:divBdr>
            <w:top w:val="none" w:sz="0" w:space="0" w:color="auto"/>
            <w:left w:val="none" w:sz="0" w:space="0" w:color="auto"/>
            <w:bottom w:val="none" w:sz="0" w:space="0" w:color="auto"/>
            <w:right w:val="none" w:sz="0" w:space="0" w:color="auto"/>
          </w:divBdr>
        </w:div>
        <w:div w:id="1145780451">
          <w:marLeft w:val="0"/>
          <w:marRight w:val="0"/>
          <w:marTop w:val="0"/>
          <w:marBottom w:val="0"/>
          <w:divBdr>
            <w:top w:val="none" w:sz="0" w:space="0" w:color="auto"/>
            <w:left w:val="none" w:sz="0" w:space="0" w:color="auto"/>
            <w:bottom w:val="none" w:sz="0" w:space="0" w:color="auto"/>
            <w:right w:val="none" w:sz="0" w:space="0" w:color="auto"/>
          </w:divBdr>
        </w:div>
        <w:div w:id="1161431010">
          <w:marLeft w:val="0"/>
          <w:marRight w:val="0"/>
          <w:marTop w:val="0"/>
          <w:marBottom w:val="0"/>
          <w:divBdr>
            <w:top w:val="none" w:sz="0" w:space="0" w:color="auto"/>
            <w:left w:val="none" w:sz="0" w:space="0" w:color="auto"/>
            <w:bottom w:val="none" w:sz="0" w:space="0" w:color="auto"/>
            <w:right w:val="none" w:sz="0" w:space="0" w:color="auto"/>
          </w:divBdr>
        </w:div>
        <w:div w:id="1161962895">
          <w:marLeft w:val="0"/>
          <w:marRight w:val="0"/>
          <w:marTop w:val="0"/>
          <w:marBottom w:val="0"/>
          <w:divBdr>
            <w:top w:val="none" w:sz="0" w:space="0" w:color="auto"/>
            <w:left w:val="none" w:sz="0" w:space="0" w:color="auto"/>
            <w:bottom w:val="none" w:sz="0" w:space="0" w:color="auto"/>
            <w:right w:val="none" w:sz="0" w:space="0" w:color="auto"/>
          </w:divBdr>
        </w:div>
        <w:div w:id="1162237080">
          <w:marLeft w:val="0"/>
          <w:marRight w:val="0"/>
          <w:marTop w:val="0"/>
          <w:marBottom w:val="0"/>
          <w:divBdr>
            <w:top w:val="none" w:sz="0" w:space="0" w:color="auto"/>
            <w:left w:val="none" w:sz="0" w:space="0" w:color="auto"/>
            <w:bottom w:val="none" w:sz="0" w:space="0" w:color="auto"/>
            <w:right w:val="none" w:sz="0" w:space="0" w:color="auto"/>
          </w:divBdr>
        </w:div>
        <w:div w:id="1165323643">
          <w:marLeft w:val="0"/>
          <w:marRight w:val="0"/>
          <w:marTop w:val="0"/>
          <w:marBottom w:val="0"/>
          <w:divBdr>
            <w:top w:val="none" w:sz="0" w:space="0" w:color="auto"/>
            <w:left w:val="none" w:sz="0" w:space="0" w:color="auto"/>
            <w:bottom w:val="none" w:sz="0" w:space="0" w:color="auto"/>
            <w:right w:val="none" w:sz="0" w:space="0" w:color="auto"/>
          </w:divBdr>
        </w:div>
        <w:div w:id="1178692287">
          <w:marLeft w:val="0"/>
          <w:marRight w:val="0"/>
          <w:marTop w:val="0"/>
          <w:marBottom w:val="0"/>
          <w:divBdr>
            <w:top w:val="none" w:sz="0" w:space="0" w:color="auto"/>
            <w:left w:val="none" w:sz="0" w:space="0" w:color="auto"/>
            <w:bottom w:val="none" w:sz="0" w:space="0" w:color="auto"/>
            <w:right w:val="none" w:sz="0" w:space="0" w:color="auto"/>
          </w:divBdr>
        </w:div>
        <w:div w:id="1189640758">
          <w:marLeft w:val="0"/>
          <w:marRight w:val="0"/>
          <w:marTop w:val="0"/>
          <w:marBottom w:val="0"/>
          <w:divBdr>
            <w:top w:val="none" w:sz="0" w:space="0" w:color="auto"/>
            <w:left w:val="none" w:sz="0" w:space="0" w:color="auto"/>
            <w:bottom w:val="none" w:sz="0" w:space="0" w:color="auto"/>
            <w:right w:val="none" w:sz="0" w:space="0" w:color="auto"/>
          </w:divBdr>
        </w:div>
        <w:div w:id="1213036561">
          <w:marLeft w:val="0"/>
          <w:marRight w:val="0"/>
          <w:marTop w:val="0"/>
          <w:marBottom w:val="0"/>
          <w:divBdr>
            <w:top w:val="none" w:sz="0" w:space="0" w:color="auto"/>
            <w:left w:val="none" w:sz="0" w:space="0" w:color="auto"/>
            <w:bottom w:val="none" w:sz="0" w:space="0" w:color="auto"/>
            <w:right w:val="none" w:sz="0" w:space="0" w:color="auto"/>
          </w:divBdr>
        </w:div>
        <w:div w:id="1214197545">
          <w:marLeft w:val="0"/>
          <w:marRight w:val="0"/>
          <w:marTop w:val="0"/>
          <w:marBottom w:val="0"/>
          <w:divBdr>
            <w:top w:val="none" w:sz="0" w:space="0" w:color="auto"/>
            <w:left w:val="none" w:sz="0" w:space="0" w:color="auto"/>
            <w:bottom w:val="none" w:sz="0" w:space="0" w:color="auto"/>
            <w:right w:val="none" w:sz="0" w:space="0" w:color="auto"/>
          </w:divBdr>
        </w:div>
        <w:div w:id="1223056927">
          <w:marLeft w:val="0"/>
          <w:marRight w:val="0"/>
          <w:marTop w:val="0"/>
          <w:marBottom w:val="0"/>
          <w:divBdr>
            <w:top w:val="none" w:sz="0" w:space="0" w:color="auto"/>
            <w:left w:val="none" w:sz="0" w:space="0" w:color="auto"/>
            <w:bottom w:val="none" w:sz="0" w:space="0" w:color="auto"/>
            <w:right w:val="none" w:sz="0" w:space="0" w:color="auto"/>
          </w:divBdr>
        </w:div>
        <w:div w:id="1223173716">
          <w:marLeft w:val="0"/>
          <w:marRight w:val="0"/>
          <w:marTop w:val="0"/>
          <w:marBottom w:val="0"/>
          <w:divBdr>
            <w:top w:val="none" w:sz="0" w:space="0" w:color="auto"/>
            <w:left w:val="none" w:sz="0" w:space="0" w:color="auto"/>
            <w:bottom w:val="none" w:sz="0" w:space="0" w:color="auto"/>
            <w:right w:val="none" w:sz="0" w:space="0" w:color="auto"/>
          </w:divBdr>
        </w:div>
        <w:div w:id="1230921250">
          <w:marLeft w:val="0"/>
          <w:marRight w:val="0"/>
          <w:marTop w:val="0"/>
          <w:marBottom w:val="0"/>
          <w:divBdr>
            <w:top w:val="none" w:sz="0" w:space="0" w:color="auto"/>
            <w:left w:val="none" w:sz="0" w:space="0" w:color="auto"/>
            <w:bottom w:val="none" w:sz="0" w:space="0" w:color="auto"/>
            <w:right w:val="none" w:sz="0" w:space="0" w:color="auto"/>
          </w:divBdr>
        </w:div>
        <w:div w:id="1231884473">
          <w:marLeft w:val="0"/>
          <w:marRight w:val="0"/>
          <w:marTop w:val="0"/>
          <w:marBottom w:val="0"/>
          <w:divBdr>
            <w:top w:val="none" w:sz="0" w:space="0" w:color="auto"/>
            <w:left w:val="none" w:sz="0" w:space="0" w:color="auto"/>
            <w:bottom w:val="none" w:sz="0" w:space="0" w:color="auto"/>
            <w:right w:val="none" w:sz="0" w:space="0" w:color="auto"/>
          </w:divBdr>
        </w:div>
        <w:div w:id="1252352016">
          <w:marLeft w:val="0"/>
          <w:marRight w:val="0"/>
          <w:marTop w:val="0"/>
          <w:marBottom w:val="0"/>
          <w:divBdr>
            <w:top w:val="none" w:sz="0" w:space="0" w:color="auto"/>
            <w:left w:val="none" w:sz="0" w:space="0" w:color="auto"/>
            <w:bottom w:val="none" w:sz="0" w:space="0" w:color="auto"/>
            <w:right w:val="none" w:sz="0" w:space="0" w:color="auto"/>
          </w:divBdr>
        </w:div>
        <w:div w:id="1260063861">
          <w:marLeft w:val="0"/>
          <w:marRight w:val="0"/>
          <w:marTop w:val="0"/>
          <w:marBottom w:val="0"/>
          <w:divBdr>
            <w:top w:val="none" w:sz="0" w:space="0" w:color="auto"/>
            <w:left w:val="none" w:sz="0" w:space="0" w:color="auto"/>
            <w:bottom w:val="none" w:sz="0" w:space="0" w:color="auto"/>
            <w:right w:val="none" w:sz="0" w:space="0" w:color="auto"/>
          </w:divBdr>
        </w:div>
        <w:div w:id="1285574725">
          <w:marLeft w:val="0"/>
          <w:marRight w:val="0"/>
          <w:marTop w:val="0"/>
          <w:marBottom w:val="0"/>
          <w:divBdr>
            <w:top w:val="none" w:sz="0" w:space="0" w:color="auto"/>
            <w:left w:val="none" w:sz="0" w:space="0" w:color="auto"/>
            <w:bottom w:val="none" w:sz="0" w:space="0" w:color="auto"/>
            <w:right w:val="none" w:sz="0" w:space="0" w:color="auto"/>
          </w:divBdr>
        </w:div>
        <w:div w:id="1315061871">
          <w:marLeft w:val="0"/>
          <w:marRight w:val="0"/>
          <w:marTop w:val="0"/>
          <w:marBottom w:val="0"/>
          <w:divBdr>
            <w:top w:val="none" w:sz="0" w:space="0" w:color="auto"/>
            <w:left w:val="none" w:sz="0" w:space="0" w:color="auto"/>
            <w:bottom w:val="none" w:sz="0" w:space="0" w:color="auto"/>
            <w:right w:val="none" w:sz="0" w:space="0" w:color="auto"/>
          </w:divBdr>
        </w:div>
        <w:div w:id="1322198221">
          <w:marLeft w:val="0"/>
          <w:marRight w:val="0"/>
          <w:marTop w:val="0"/>
          <w:marBottom w:val="0"/>
          <w:divBdr>
            <w:top w:val="none" w:sz="0" w:space="0" w:color="auto"/>
            <w:left w:val="none" w:sz="0" w:space="0" w:color="auto"/>
            <w:bottom w:val="none" w:sz="0" w:space="0" w:color="auto"/>
            <w:right w:val="none" w:sz="0" w:space="0" w:color="auto"/>
          </w:divBdr>
        </w:div>
        <w:div w:id="1324970529">
          <w:marLeft w:val="0"/>
          <w:marRight w:val="0"/>
          <w:marTop w:val="0"/>
          <w:marBottom w:val="0"/>
          <w:divBdr>
            <w:top w:val="none" w:sz="0" w:space="0" w:color="auto"/>
            <w:left w:val="none" w:sz="0" w:space="0" w:color="auto"/>
            <w:bottom w:val="none" w:sz="0" w:space="0" w:color="auto"/>
            <w:right w:val="none" w:sz="0" w:space="0" w:color="auto"/>
          </w:divBdr>
        </w:div>
        <w:div w:id="1327320650">
          <w:marLeft w:val="0"/>
          <w:marRight w:val="0"/>
          <w:marTop w:val="0"/>
          <w:marBottom w:val="0"/>
          <w:divBdr>
            <w:top w:val="none" w:sz="0" w:space="0" w:color="auto"/>
            <w:left w:val="none" w:sz="0" w:space="0" w:color="auto"/>
            <w:bottom w:val="none" w:sz="0" w:space="0" w:color="auto"/>
            <w:right w:val="none" w:sz="0" w:space="0" w:color="auto"/>
          </w:divBdr>
        </w:div>
        <w:div w:id="1329290499">
          <w:marLeft w:val="0"/>
          <w:marRight w:val="0"/>
          <w:marTop w:val="0"/>
          <w:marBottom w:val="0"/>
          <w:divBdr>
            <w:top w:val="none" w:sz="0" w:space="0" w:color="auto"/>
            <w:left w:val="none" w:sz="0" w:space="0" w:color="auto"/>
            <w:bottom w:val="none" w:sz="0" w:space="0" w:color="auto"/>
            <w:right w:val="none" w:sz="0" w:space="0" w:color="auto"/>
          </w:divBdr>
        </w:div>
        <w:div w:id="1331367977">
          <w:marLeft w:val="0"/>
          <w:marRight w:val="0"/>
          <w:marTop w:val="0"/>
          <w:marBottom w:val="0"/>
          <w:divBdr>
            <w:top w:val="none" w:sz="0" w:space="0" w:color="auto"/>
            <w:left w:val="none" w:sz="0" w:space="0" w:color="auto"/>
            <w:bottom w:val="none" w:sz="0" w:space="0" w:color="auto"/>
            <w:right w:val="none" w:sz="0" w:space="0" w:color="auto"/>
          </w:divBdr>
        </w:div>
        <w:div w:id="1338583678">
          <w:marLeft w:val="0"/>
          <w:marRight w:val="0"/>
          <w:marTop w:val="0"/>
          <w:marBottom w:val="0"/>
          <w:divBdr>
            <w:top w:val="none" w:sz="0" w:space="0" w:color="auto"/>
            <w:left w:val="none" w:sz="0" w:space="0" w:color="auto"/>
            <w:bottom w:val="none" w:sz="0" w:space="0" w:color="auto"/>
            <w:right w:val="none" w:sz="0" w:space="0" w:color="auto"/>
          </w:divBdr>
        </w:div>
        <w:div w:id="1349066389">
          <w:marLeft w:val="0"/>
          <w:marRight w:val="0"/>
          <w:marTop w:val="0"/>
          <w:marBottom w:val="0"/>
          <w:divBdr>
            <w:top w:val="none" w:sz="0" w:space="0" w:color="auto"/>
            <w:left w:val="none" w:sz="0" w:space="0" w:color="auto"/>
            <w:bottom w:val="none" w:sz="0" w:space="0" w:color="auto"/>
            <w:right w:val="none" w:sz="0" w:space="0" w:color="auto"/>
          </w:divBdr>
        </w:div>
        <w:div w:id="1349521128">
          <w:marLeft w:val="0"/>
          <w:marRight w:val="0"/>
          <w:marTop w:val="0"/>
          <w:marBottom w:val="0"/>
          <w:divBdr>
            <w:top w:val="none" w:sz="0" w:space="0" w:color="auto"/>
            <w:left w:val="none" w:sz="0" w:space="0" w:color="auto"/>
            <w:bottom w:val="none" w:sz="0" w:space="0" w:color="auto"/>
            <w:right w:val="none" w:sz="0" w:space="0" w:color="auto"/>
          </w:divBdr>
        </w:div>
        <w:div w:id="1355421385">
          <w:marLeft w:val="0"/>
          <w:marRight w:val="0"/>
          <w:marTop w:val="0"/>
          <w:marBottom w:val="0"/>
          <w:divBdr>
            <w:top w:val="none" w:sz="0" w:space="0" w:color="auto"/>
            <w:left w:val="none" w:sz="0" w:space="0" w:color="auto"/>
            <w:bottom w:val="none" w:sz="0" w:space="0" w:color="auto"/>
            <w:right w:val="none" w:sz="0" w:space="0" w:color="auto"/>
          </w:divBdr>
        </w:div>
        <w:div w:id="1356886444">
          <w:marLeft w:val="0"/>
          <w:marRight w:val="0"/>
          <w:marTop w:val="0"/>
          <w:marBottom w:val="0"/>
          <w:divBdr>
            <w:top w:val="none" w:sz="0" w:space="0" w:color="auto"/>
            <w:left w:val="none" w:sz="0" w:space="0" w:color="auto"/>
            <w:bottom w:val="none" w:sz="0" w:space="0" w:color="auto"/>
            <w:right w:val="none" w:sz="0" w:space="0" w:color="auto"/>
          </w:divBdr>
        </w:div>
        <w:div w:id="1361324173">
          <w:marLeft w:val="0"/>
          <w:marRight w:val="0"/>
          <w:marTop w:val="0"/>
          <w:marBottom w:val="0"/>
          <w:divBdr>
            <w:top w:val="none" w:sz="0" w:space="0" w:color="auto"/>
            <w:left w:val="none" w:sz="0" w:space="0" w:color="auto"/>
            <w:bottom w:val="none" w:sz="0" w:space="0" w:color="auto"/>
            <w:right w:val="none" w:sz="0" w:space="0" w:color="auto"/>
          </w:divBdr>
        </w:div>
        <w:div w:id="1364088917">
          <w:marLeft w:val="0"/>
          <w:marRight w:val="0"/>
          <w:marTop w:val="0"/>
          <w:marBottom w:val="0"/>
          <w:divBdr>
            <w:top w:val="none" w:sz="0" w:space="0" w:color="auto"/>
            <w:left w:val="none" w:sz="0" w:space="0" w:color="auto"/>
            <w:bottom w:val="none" w:sz="0" w:space="0" w:color="auto"/>
            <w:right w:val="none" w:sz="0" w:space="0" w:color="auto"/>
          </w:divBdr>
        </w:div>
        <w:div w:id="1366826112">
          <w:marLeft w:val="0"/>
          <w:marRight w:val="0"/>
          <w:marTop w:val="0"/>
          <w:marBottom w:val="0"/>
          <w:divBdr>
            <w:top w:val="none" w:sz="0" w:space="0" w:color="auto"/>
            <w:left w:val="none" w:sz="0" w:space="0" w:color="auto"/>
            <w:bottom w:val="none" w:sz="0" w:space="0" w:color="auto"/>
            <w:right w:val="none" w:sz="0" w:space="0" w:color="auto"/>
          </w:divBdr>
        </w:div>
        <w:div w:id="1369456349">
          <w:marLeft w:val="0"/>
          <w:marRight w:val="0"/>
          <w:marTop w:val="0"/>
          <w:marBottom w:val="0"/>
          <w:divBdr>
            <w:top w:val="none" w:sz="0" w:space="0" w:color="auto"/>
            <w:left w:val="none" w:sz="0" w:space="0" w:color="auto"/>
            <w:bottom w:val="none" w:sz="0" w:space="0" w:color="auto"/>
            <w:right w:val="none" w:sz="0" w:space="0" w:color="auto"/>
          </w:divBdr>
        </w:div>
        <w:div w:id="1372457524">
          <w:marLeft w:val="0"/>
          <w:marRight w:val="0"/>
          <w:marTop w:val="0"/>
          <w:marBottom w:val="0"/>
          <w:divBdr>
            <w:top w:val="none" w:sz="0" w:space="0" w:color="auto"/>
            <w:left w:val="none" w:sz="0" w:space="0" w:color="auto"/>
            <w:bottom w:val="none" w:sz="0" w:space="0" w:color="auto"/>
            <w:right w:val="none" w:sz="0" w:space="0" w:color="auto"/>
          </w:divBdr>
        </w:div>
        <w:div w:id="1374117194">
          <w:marLeft w:val="0"/>
          <w:marRight w:val="0"/>
          <w:marTop w:val="0"/>
          <w:marBottom w:val="0"/>
          <w:divBdr>
            <w:top w:val="none" w:sz="0" w:space="0" w:color="auto"/>
            <w:left w:val="none" w:sz="0" w:space="0" w:color="auto"/>
            <w:bottom w:val="none" w:sz="0" w:space="0" w:color="auto"/>
            <w:right w:val="none" w:sz="0" w:space="0" w:color="auto"/>
          </w:divBdr>
        </w:div>
        <w:div w:id="1384719924">
          <w:marLeft w:val="0"/>
          <w:marRight w:val="0"/>
          <w:marTop w:val="0"/>
          <w:marBottom w:val="0"/>
          <w:divBdr>
            <w:top w:val="none" w:sz="0" w:space="0" w:color="auto"/>
            <w:left w:val="none" w:sz="0" w:space="0" w:color="auto"/>
            <w:bottom w:val="none" w:sz="0" w:space="0" w:color="auto"/>
            <w:right w:val="none" w:sz="0" w:space="0" w:color="auto"/>
          </w:divBdr>
        </w:div>
        <w:div w:id="1393655334">
          <w:marLeft w:val="0"/>
          <w:marRight w:val="0"/>
          <w:marTop w:val="0"/>
          <w:marBottom w:val="0"/>
          <w:divBdr>
            <w:top w:val="none" w:sz="0" w:space="0" w:color="auto"/>
            <w:left w:val="none" w:sz="0" w:space="0" w:color="auto"/>
            <w:bottom w:val="none" w:sz="0" w:space="0" w:color="auto"/>
            <w:right w:val="none" w:sz="0" w:space="0" w:color="auto"/>
          </w:divBdr>
        </w:div>
        <w:div w:id="1397168477">
          <w:marLeft w:val="0"/>
          <w:marRight w:val="0"/>
          <w:marTop w:val="0"/>
          <w:marBottom w:val="0"/>
          <w:divBdr>
            <w:top w:val="none" w:sz="0" w:space="0" w:color="auto"/>
            <w:left w:val="none" w:sz="0" w:space="0" w:color="auto"/>
            <w:bottom w:val="none" w:sz="0" w:space="0" w:color="auto"/>
            <w:right w:val="none" w:sz="0" w:space="0" w:color="auto"/>
          </w:divBdr>
        </w:div>
        <w:div w:id="1401754633">
          <w:marLeft w:val="0"/>
          <w:marRight w:val="0"/>
          <w:marTop w:val="0"/>
          <w:marBottom w:val="0"/>
          <w:divBdr>
            <w:top w:val="none" w:sz="0" w:space="0" w:color="auto"/>
            <w:left w:val="none" w:sz="0" w:space="0" w:color="auto"/>
            <w:bottom w:val="none" w:sz="0" w:space="0" w:color="auto"/>
            <w:right w:val="none" w:sz="0" w:space="0" w:color="auto"/>
          </w:divBdr>
        </w:div>
        <w:div w:id="1403674451">
          <w:marLeft w:val="0"/>
          <w:marRight w:val="0"/>
          <w:marTop w:val="0"/>
          <w:marBottom w:val="0"/>
          <w:divBdr>
            <w:top w:val="none" w:sz="0" w:space="0" w:color="auto"/>
            <w:left w:val="none" w:sz="0" w:space="0" w:color="auto"/>
            <w:bottom w:val="none" w:sz="0" w:space="0" w:color="auto"/>
            <w:right w:val="none" w:sz="0" w:space="0" w:color="auto"/>
          </w:divBdr>
        </w:div>
        <w:div w:id="1404061775">
          <w:marLeft w:val="0"/>
          <w:marRight w:val="0"/>
          <w:marTop w:val="0"/>
          <w:marBottom w:val="0"/>
          <w:divBdr>
            <w:top w:val="none" w:sz="0" w:space="0" w:color="auto"/>
            <w:left w:val="none" w:sz="0" w:space="0" w:color="auto"/>
            <w:bottom w:val="none" w:sz="0" w:space="0" w:color="auto"/>
            <w:right w:val="none" w:sz="0" w:space="0" w:color="auto"/>
          </w:divBdr>
        </w:div>
        <w:div w:id="1416780577">
          <w:marLeft w:val="0"/>
          <w:marRight w:val="0"/>
          <w:marTop w:val="0"/>
          <w:marBottom w:val="0"/>
          <w:divBdr>
            <w:top w:val="none" w:sz="0" w:space="0" w:color="auto"/>
            <w:left w:val="none" w:sz="0" w:space="0" w:color="auto"/>
            <w:bottom w:val="none" w:sz="0" w:space="0" w:color="auto"/>
            <w:right w:val="none" w:sz="0" w:space="0" w:color="auto"/>
          </w:divBdr>
        </w:div>
        <w:div w:id="1417287549">
          <w:marLeft w:val="0"/>
          <w:marRight w:val="0"/>
          <w:marTop w:val="0"/>
          <w:marBottom w:val="0"/>
          <w:divBdr>
            <w:top w:val="none" w:sz="0" w:space="0" w:color="auto"/>
            <w:left w:val="none" w:sz="0" w:space="0" w:color="auto"/>
            <w:bottom w:val="none" w:sz="0" w:space="0" w:color="auto"/>
            <w:right w:val="none" w:sz="0" w:space="0" w:color="auto"/>
          </w:divBdr>
        </w:div>
        <w:div w:id="1431311361">
          <w:marLeft w:val="0"/>
          <w:marRight w:val="0"/>
          <w:marTop w:val="0"/>
          <w:marBottom w:val="0"/>
          <w:divBdr>
            <w:top w:val="none" w:sz="0" w:space="0" w:color="auto"/>
            <w:left w:val="none" w:sz="0" w:space="0" w:color="auto"/>
            <w:bottom w:val="none" w:sz="0" w:space="0" w:color="auto"/>
            <w:right w:val="none" w:sz="0" w:space="0" w:color="auto"/>
          </w:divBdr>
        </w:div>
        <w:div w:id="1436556148">
          <w:marLeft w:val="0"/>
          <w:marRight w:val="0"/>
          <w:marTop w:val="0"/>
          <w:marBottom w:val="0"/>
          <w:divBdr>
            <w:top w:val="none" w:sz="0" w:space="0" w:color="auto"/>
            <w:left w:val="none" w:sz="0" w:space="0" w:color="auto"/>
            <w:bottom w:val="none" w:sz="0" w:space="0" w:color="auto"/>
            <w:right w:val="none" w:sz="0" w:space="0" w:color="auto"/>
          </w:divBdr>
        </w:div>
        <w:div w:id="1439837106">
          <w:marLeft w:val="0"/>
          <w:marRight w:val="0"/>
          <w:marTop w:val="0"/>
          <w:marBottom w:val="0"/>
          <w:divBdr>
            <w:top w:val="none" w:sz="0" w:space="0" w:color="auto"/>
            <w:left w:val="none" w:sz="0" w:space="0" w:color="auto"/>
            <w:bottom w:val="none" w:sz="0" w:space="0" w:color="auto"/>
            <w:right w:val="none" w:sz="0" w:space="0" w:color="auto"/>
          </w:divBdr>
        </w:div>
        <w:div w:id="1447845364">
          <w:marLeft w:val="0"/>
          <w:marRight w:val="0"/>
          <w:marTop w:val="0"/>
          <w:marBottom w:val="0"/>
          <w:divBdr>
            <w:top w:val="none" w:sz="0" w:space="0" w:color="auto"/>
            <w:left w:val="none" w:sz="0" w:space="0" w:color="auto"/>
            <w:bottom w:val="none" w:sz="0" w:space="0" w:color="auto"/>
            <w:right w:val="none" w:sz="0" w:space="0" w:color="auto"/>
          </w:divBdr>
        </w:div>
        <w:div w:id="1448280870">
          <w:marLeft w:val="0"/>
          <w:marRight w:val="0"/>
          <w:marTop w:val="0"/>
          <w:marBottom w:val="0"/>
          <w:divBdr>
            <w:top w:val="none" w:sz="0" w:space="0" w:color="auto"/>
            <w:left w:val="none" w:sz="0" w:space="0" w:color="auto"/>
            <w:bottom w:val="none" w:sz="0" w:space="0" w:color="auto"/>
            <w:right w:val="none" w:sz="0" w:space="0" w:color="auto"/>
          </w:divBdr>
        </w:div>
        <w:div w:id="1459882863">
          <w:marLeft w:val="0"/>
          <w:marRight w:val="0"/>
          <w:marTop w:val="0"/>
          <w:marBottom w:val="0"/>
          <w:divBdr>
            <w:top w:val="none" w:sz="0" w:space="0" w:color="auto"/>
            <w:left w:val="none" w:sz="0" w:space="0" w:color="auto"/>
            <w:bottom w:val="none" w:sz="0" w:space="0" w:color="auto"/>
            <w:right w:val="none" w:sz="0" w:space="0" w:color="auto"/>
          </w:divBdr>
        </w:div>
        <w:div w:id="1462263947">
          <w:marLeft w:val="0"/>
          <w:marRight w:val="0"/>
          <w:marTop w:val="0"/>
          <w:marBottom w:val="0"/>
          <w:divBdr>
            <w:top w:val="none" w:sz="0" w:space="0" w:color="auto"/>
            <w:left w:val="none" w:sz="0" w:space="0" w:color="auto"/>
            <w:bottom w:val="none" w:sz="0" w:space="0" w:color="auto"/>
            <w:right w:val="none" w:sz="0" w:space="0" w:color="auto"/>
          </w:divBdr>
        </w:div>
        <w:div w:id="1475871076">
          <w:marLeft w:val="0"/>
          <w:marRight w:val="0"/>
          <w:marTop w:val="0"/>
          <w:marBottom w:val="0"/>
          <w:divBdr>
            <w:top w:val="none" w:sz="0" w:space="0" w:color="auto"/>
            <w:left w:val="none" w:sz="0" w:space="0" w:color="auto"/>
            <w:bottom w:val="none" w:sz="0" w:space="0" w:color="auto"/>
            <w:right w:val="none" w:sz="0" w:space="0" w:color="auto"/>
          </w:divBdr>
        </w:div>
        <w:div w:id="1483041641">
          <w:marLeft w:val="0"/>
          <w:marRight w:val="0"/>
          <w:marTop w:val="0"/>
          <w:marBottom w:val="0"/>
          <w:divBdr>
            <w:top w:val="none" w:sz="0" w:space="0" w:color="auto"/>
            <w:left w:val="none" w:sz="0" w:space="0" w:color="auto"/>
            <w:bottom w:val="none" w:sz="0" w:space="0" w:color="auto"/>
            <w:right w:val="none" w:sz="0" w:space="0" w:color="auto"/>
          </w:divBdr>
        </w:div>
        <w:div w:id="1483742185">
          <w:marLeft w:val="0"/>
          <w:marRight w:val="0"/>
          <w:marTop w:val="0"/>
          <w:marBottom w:val="0"/>
          <w:divBdr>
            <w:top w:val="none" w:sz="0" w:space="0" w:color="auto"/>
            <w:left w:val="none" w:sz="0" w:space="0" w:color="auto"/>
            <w:bottom w:val="none" w:sz="0" w:space="0" w:color="auto"/>
            <w:right w:val="none" w:sz="0" w:space="0" w:color="auto"/>
          </w:divBdr>
        </w:div>
        <w:div w:id="1484278169">
          <w:marLeft w:val="0"/>
          <w:marRight w:val="0"/>
          <w:marTop w:val="0"/>
          <w:marBottom w:val="0"/>
          <w:divBdr>
            <w:top w:val="none" w:sz="0" w:space="0" w:color="auto"/>
            <w:left w:val="none" w:sz="0" w:space="0" w:color="auto"/>
            <w:bottom w:val="none" w:sz="0" w:space="0" w:color="auto"/>
            <w:right w:val="none" w:sz="0" w:space="0" w:color="auto"/>
          </w:divBdr>
        </w:div>
        <w:div w:id="1498158129">
          <w:marLeft w:val="0"/>
          <w:marRight w:val="0"/>
          <w:marTop w:val="0"/>
          <w:marBottom w:val="0"/>
          <w:divBdr>
            <w:top w:val="none" w:sz="0" w:space="0" w:color="auto"/>
            <w:left w:val="none" w:sz="0" w:space="0" w:color="auto"/>
            <w:bottom w:val="none" w:sz="0" w:space="0" w:color="auto"/>
            <w:right w:val="none" w:sz="0" w:space="0" w:color="auto"/>
          </w:divBdr>
        </w:div>
        <w:div w:id="1500656047">
          <w:marLeft w:val="0"/>
          <w:marRight w:val="0"/>
          <w:marTop w:val="0"/>
          <w:marBottom w:val="0"/>
          <w:divBdr>
            <w:top w:val="none" w:sz="0" w:space="0" w:color="auto"/>
            <w:left w:val="none" w:sz="0" w:space="0" w:color="auto"/>
            <w:bottom w:val="none" w:sz="0" w:space="0" w:color="auto"/>
            <w:right w:val="none" w:sz="0" w:space="0" w:color="auto"/>
          </w:divBdr>
        </w:div>
        <w:div w:id="1505507592">
          <w:marLeft w:val="0"/>
          <w:marRight w:val="0"/>
          <w:marTop w:val="0"/>
          <w:marBottom w:val="0"/>
          <w:divBdr>
            <w:top w:val="none" w:sz="0" w:space="0" w:color="auto"/>
            <w:left w:val="none" w:sz="0" w:space="0" w:color="auto"/>
            <w:bottom w:val="none" w:sz="0" w:space="0" w:color="auto"/>
            <w:right w:val="none" w:sz="0" w:space="0" w:color="auto"/>
          </w:divBdr>
        </w:div>
        <w:div w:id="1526290216">
          <w:marLeft w:val="0"/>
          <w:marRight w:val="0"/>
          <w:marTop w:val="0"/>
          <w:marBottom w:val="0"/>
          <w:divBdr>
            <w:top w:val="none" w:sz="0" w:space="0" w:color="auto"/>
            <w:left w:val="none" w:sz="0" w:space="0" w:color="auto"/>
            <w:bottom w:val="none" w:sz="0" w:space="0" w:color="auto"/>
            <w:right w:val="none" w:sz="0" w:space="0" w:color="auto"/>
          </w:divBdr>
        </w:div>
        <w:div w:id="1533375688">
          <w:marLeft w:val="0"/>
          <w:marRight w:val="0"/>
          <w:marTop w:val="0"/>
          <w:marBottom w:val="0"/>
          <w:divBdr>
            <w:top w:val="none" w:sz="0" w:space="0" w:color="auto"/>
            <w:left w:val="none" w:sz="0" w:space="0" w:color="auto"/>
            <w:bottom w:val="none" w:sz="0" w:space="0" w:color="auto"/>
            <w:right w:val="none" w:sz="0" w:space="0" w:color="auto"/>
          </w:divBdr>
        </w:div>
        <w:div w:id="1537503516">
          <w:marLeft w:val="0"/>
          <w:marRight w:val="0"/>
          <w:marTop w:val="0"/>
          <w:marBottom w:val="0"/>
          <w:divBdr>
            <w:top w:val="none" w:sz="0" w:space="0" w:color="auto"/>
            <w:left w:val="none" w:sz="0" w:space="0" w:color="auto"/>
            <w:bottom w:val="none" w:sz="0" w:space="0" w:color="auto"/>
            <w:right w:val="none" w:sz="0" w:space="0" w:color="auto"/>
          </w:divBdr>
        </w:div>
        <w:div w:id="1544946265">
          <w:marLeft w:val="0"/>
          <w:marRight w:val="0"/>
          <w:marTop w:val="0"/>
          <w:marBottom w:val="0"/>
          <w:divBdr>
            <w:top w:val="none" w:sz="0" w:space="0" w:color="auto"/>
            <w:left w:val="none" w:sz="0" w:space="0" w:color="auto"/>
            <w:bottom w:val="none" w:sz="0" w:space="0" w:color="auto"/>
            <w:right w:val="none" w:sz="0" w:space="0" w:color="auto"/>
          </w:divBdr>
        </w:div>
        <w:div w:id="1551258043">
          <w:marLeft w:val="0"/>
          <w:marRight w:val="0"/>
          <w:marTop w:val="0"/>
          <w:marBottom w:val="0"/>
          <w:divBdr>
            <w:top w:val="none" w:sz="0" w:space="0" w:color="auto"/>
            <w:left w:val="none" w:sz="0" w:space="0" w:color="auto"/>
            <w:bottom w:val="none" w:sz="0" w:space="0" w:color="auto"/>
            <w:right w:val="none" w:sz="0" w:space="0" w:color="auto"/>
          </w:divBdr>
        </w:div>
        <w:div w:id="1554536923">
          <w:marLeft w:val="0"/>
          <w:marRight w:val="0"/>
          <w:marTop w:val="0"/>
          <w:marBottom w:val="0"/>
          <w:divBdr>
            <w:top w:val="none" w:sz="0" w:space="0" w:color="auto"/>
            <w:left w:val="none" w:sz="0" w:space="0" w:color="auto"/>
            <w:bottom w:val="none" w:sz="0" w:space="0" w:color="auto"/>
            <w:right w:val="none" w:sz="0" w:space="0" w:color="auto"/>
          </w:divBdr>
        </w:div>
        <w:div w:id="1562057022">
          <w:marLeft w:val="0"/>
          <w:marRight w:val="0"/>
          <w:marTop w:val="0"/>
          <w:marBottom w:val="0"/>
          <w:divBdr>
            <w:top w:val="none" w:sz="0" w:space="0" w:color="auto"/>
            <w:left w:val="none" w:sz="0" w:space="0" w:color="auto"/>
            <w:bottom w:val="none" w:sz="0" w:space="0" w:color="auto"/>
            <w:right w:val="none" w:sz="0" w:space="0" w:color="auto"/>
          </w:divBdr>
        </w:div>
        <w:div w:id="1565293302">
          <w:marLeft w:val="0"/>
          <w:marRight w:val="0"/>
          <w:marTop w:val="0"/>
          <w:marBottom w:val="0"/>
          <w:divBdr>
            <w:top w:val="none" w:sz="0" w:space="0" w:color="auto"/>
            <w:left w:val="none" w:sz="0" w:space="0" w:color="auto"/>
            <w:bottom w:val="none" w:sz="0" w:space="0" w:color="auto"/>
            <w:right w:val="none" w:sz="0" w:space="0" w:color="auto"/>
          </w:divBdr>
        </w:div>
        <w:div w:id="1574699210">
          <w:marLeft w:val="0"/>
          <w:marRight w:val="0"/>
          <w:marTop w:val="0"/>
          <w:marBottom w:val="0"/>
          <w:divBdr>
            <w:top w:val="none" w:sz="0" w:space="0" w:color="auto"/>
            <w:left w:val="none" w:sz="0" w:space="0" w:color="auto"/>
            <w:bottom w:val="none" w:sz="0" w:space="0" w:color="auto"/>
            <w:right w:val="none" w:sz="0" w:space="0" w:color="auto"/>
          </w:divBdr>
        </w:div>
        <w:div w:id="1586039049">
          <w:marLeft w:val="0"/>
          <w:marRight w:val="0"/>
          <w:marTop w:val="0"/>
          <w:marBottom w:val="0"/>
          <w:divBdr>
            <w:top w:val="none" w:sz="0" w:space="0" w:color="auto"/>
            <w:left w:val="none" w:sz="0" w:space="0" w:color="auto"/>
            <w:bottom w:val="none" w:sz="0" w:space="0" w:color="auto"/>
            <w:right w:val="none" w:sz="0" w:space="0" w:color="auto"/>
          </w:divBdr>
        </w:div>
        <w:div w:id="1591619296">
          <w:marLeft w:val="0"/>
          <w:marRight w:val="0"/>
          <w:marTop w:val="0"/>
          <w:marBottom w:val="0"/>
          <w:divBdr>
            <w:top w:val="none" w:sz="0" w:space="0" w:color="auto"/>
            <w:left w:val="none" w:sz="0" w:space="0" w:color="auto"/>
            <w:bottom w:val="none" w:sz="0" w:space="0" w:color="auto"/>
            <w:right w:val="none" w:sz="0" w:space="0" w:color="auto"/>
          </w:divBdr>
        </w:div>
        <w:div w:id="1596329800">
          <w:marLeft w:val="0"/>
          <w:marRight w:val="0"/>
          <w:marTop w:val="0"/>
          <w:marBottom w:val="0"/>
          <w:divBdr>
            <w:top w:val="none" w:sz="0" w:space="0" w:color="auto"/>
            <w:left w:val="none" w:sz="0" w:space="0" w:color="auto"/>
            <w:bottom w:val="none" w:sz="0" w:space="0" w:color="auto"/>
            <w:right w:val="none" w:sz="0" w:space="0" w:color="auto"/>
          </w:divBdr>
        </w:div>
        <w:div w:id="1597980749">
          <w:marLeft w:val="0"/>
          <w:marRight w:val="0"/>
          <w:marTop w:val="0"/>
          <w:marBottom w:val="0"/>
          <w:divBdr>
            <w:top w:val="none" w:sz="0" w:space="0" w:color="auto"/>
            <w:left w:val="none" w:sz="0" w:space="0" w:color="auto"/>
            <w:bottom w:val="none" w:sz="0" w:space="0" w:color="auto"/>
            <w:right w:val="none" w:sz="0" w:space="0" w:color="auto"/>
          </w:divBdr>
        </w:div>
        <w:div w:id="1607687366">
          <w:marLeft w:val="0"/>
          <w:marRight w:val="0"/>
          <w:marTop w:val="0"/>
          <w:marBottom w:val="0"/>
          <w:divBdr>
            <w:top w:val="none" w:sz="0" w:space="0" w:color="auto"/>
            <w:left w:val="none" w:sz="0" w:space="0" w:color="auto"/>
            <w:bottom w:val="none" w:sz="0" w:space="0" w:color="auto"/>
            <w:right w:val="none" w:sz="0" w:space="0" w:color="auto"/>
          </w:divBdr>
        </w:div>
        <w:div w:id="1609311205">
          <w:marLeft w:val="0"/>
          <w:marRight w:val="0"/>
          <w:marTop w:val="0"/>
          <w:marBottom w:val="0"/>
          <w:divBdr>
            <w:top w:val="none" w:sz="0" w:space="0" w:color="auto"/>
            <w:left w:val="none" w:sz="0" w:space="0" w:color="auto"/>
            <w:bottom w:val="none" w:sz="0" w:space="0" w:color="auto"/>
            <w:right w:val="none" w:sz="0" w:space="0" w:color="auto"/>
          </w:divBdr>
        </w:div>
        <w:div w:id="1611817387">
          <w:marLeft w:val="0"/>
          <w:marRight w:val="0"/>
          <w:marTop w:val="0"/>
          <w:marBottom w:val="0"/>
          <w:divBdr>
            <w:top w:val="none" w:sz="0" w:space="0" w:color="auto"/>
            <w:left w:val="none" w:sz="0" w:space="0" w:color="auto"/>
            <w:bottom w:val="none" w:sz="0" w:space="0" w:color="auto"/>
            <w:right w:val="none" w:sz="0" w:space="0" w:color="auto"/>
          </w:divBdr>
        </w:div>
        <w:div w:id="1614284241">
          <w:marLeft w:val="0"/>
          <w:marRight w:val="0"/>
          <w:marTop w:val="0"/>
          <w:marBottom w:val="0"/>
          <w:divBdr>
            <w:top w:val="none" w:sz="0" w:space="0" w:color="auto"/>
            <w:left w:val="none" w:sz="0" w:space="0" w:color="auto"/>
            <w:bottom w:val="none" w:sz="0" w:space="0" w:color="auto"/>
            <w:right w:val="none" w:sz="0" w:space="0" w:color="auto"/>
          </w:divBdr>
        </w:div>
        <w:div w:id="1618489079">
          <w:marLeft w:val="0"/>
          <w:marRight w:val="0"/>
          <w:marTop w:val="0"/>
          <w:marBottom w:val="0"/>
          <w:divBdr>
            <w:top w:val="none" w:sz="0" w:space="0" w:color="auto"/>
            <w:left w:val="none" w:sz="0" w:space="0" w:color="auto"/>
            <w:bottom w:val="none" w:sz="0" w:space="0" w:color="auto"/>
            <w:right w:val="none" w:sz="0" w:space="0" w:color="auto"/>
          </w:divBdr>
        </w:div>
        <w:div w:id="1618565095">
          <w:marLeft w:val="0"/>
          <w:marRight w:val="0"/>
          <w:marTop w:val="0"/>
          <w:marBottom w:val="0"/>
          <w:divBdr>
            <w:top w:val="none" w:sz="0" w:space="0" w:color="auto"/>
            <w:left w:val="none" w:sz="0" w:space="0" w:color="auto"/>
            <w:bottom w:val="none" w:sz="0" w:space="0" w:color="auto"/>
            <w:right w:val="none" w:sz="0" w:space="0" w:color="auto"/>
          </w:divBdr>
        </w:div>
        <w:div w:id="1620723282">
          <w:marLeft w:val="0"/>
          <w:marRight w:val="0"/>
          <w:marTop w:val="0"/>
          <w:marBottom w:val="0"/>
          <w:divBdr>
            <w:top w:val="none" w:sz="0" w:space="0" w:color="auto"/>
            <w:left w:val="none" w:sz="0" w:space="0" w:color="auto"/>
            <w:bottom w:val="none" w:sz="0" w:space="0" w:color="auto"/>
            <w:right w:val="none" w:sz="0" w:space="0" w:color="auto"/>
          </w:divBdr>
        </w:div>
        <w:div w:id="1628319505">
          <w:marLeft w:val="0"/>
          <w:marRight w:val="0"/>
          <w:marTop w:val="0"/>
          <w:marBottom w:val="0"/>
          <w:divBdr>
            <w:top w:val="none" w:sz="0" w:space="0" w:color="auto"/>
            <w:left w:val="none" w:sz="0" w:space="0" w:color="auto"/>
            <w:bottom w:val="none" w:sz="0" w:space="0" w:color="auto"/>
            <w:right w:val="none" w:sz="0" w:space="0" w:color="auto"/>
          </w:divBdr>
        </w:div>
        <w:div w:id="1631015510">
          <w:marLeft w:val="0"/>
          <w:marRight w:val="0"/>
          <w:marTop w:val="0"/>
          <w:marBottom w:val="0"/>
          <w:divBdr>
            <w:top w:val="none" w:sz="0" w:space="0" w:color="auto"/>
            <w:left w:val="none" w:sz="0" w:space="0" w:color="auto"/>
            <w:bottom w:val="none" w:sz="0" w:space="0" w:color="auto"/>
            <w:right w:val="none" w:sz="0" w:space="0" w:color="auto"/>
          </w:divBdr>
        </w:div>
        <w:div w:id="1632705384">
          <w:marLeft w:val="0"/>
          <w:marRight w:val="0"/>
          <w:marTop w:val="0"/>
          <w:marBottom w:val="0"/>
          <w:divBdr>
            <w:top w:val="none" w:sz="0" w:space="0" w:color="auto"/>
            <w:left w:val="none" w:sz="0" w:space="0" w:color="auto"/>
            <w:bottom w:val="none" w:sz="0" w:space="0" w:color="auto"/>
            <w:right w:val="none" w:sz="0" w:space="0" w:color="auto"/>
          </w:divBdr>
        </w:div>
        <w:div w:id="1636565964">
          <w:marLeft w:val="0"/>
          <w:marRight w:val="0"/>
          <w:marTop w:val="0"/>
          <w:marBottom w:val="0"/>
          <w:divBdr>
            <w:top w:val="none" w:sz="0" w:space="0" w:color="auto"/>
            <w:left w:val="none" w:sz="0" w:space="0" w:color="auto"/>
            <w:bottom w:val="none" w:sz="0" w:space="0" w:color="auto"/>
            <w:right w:val="none" w:sz="0" w:space="0" w:color="auto"/>
          </w:divBdr>
        </w:div>
        <w:div w:id="1643270264">
          <w:marLeft w:val="0"/>
          <w:marRight w:val="0"/>
          <w:marTop w:val="0"/>
          <w:marBottom w:val="0"/>
          <w:divBdr>
            <w:top w:val="none" w:sz="0" w:space="0" w:color="auto"/>
            <w:left w:val="none" w:sz="0" w:space="0" w:color="auto"/>
            <w:bottom w:val="none" w:sz="0" w:space="0" w:color="auto"/>
            <w:right w:val="none" w:sz="0" w:space="0" w:color="auto"/>
          </w:divBdr>
        </w:div>
        <w:div w:id="1643996390">
          <w:marLeft w:val="0"/>
          <w:marRight w:val="0"/>
          <w:marTop w:val="0"/>
          <w:marBottom w:val="0"/>
          <w:divBdr>
            <w:top w:val="none" w:sz="0" w:space="0" w:color="auto"/>
            <w:left w:val="none" w:sz="0" w:space="0" w:color="auto"/>
            <w:bottom w:val="none" w:sz="0" w:space="0" w:color="auto"/>
            <w:right w:val="none" w:sz="0" w:space="0" w:color="auto"/>
          </w:divBdr>
        </w:div>
        <w:div w:id="1644457895">
          <w:marLeft w:val="0"/>
          <w:marRight w:val="0"/>
          <w:marTop w:val="0"/>
          <w:marBottom w:val="0"/>
          <w:divBdr>
            <w:top w:val="none" w:sz="0" w:space="0" w:color="auto"/>
            <w:left w:val="none" w:sz="0" w:space="0" w:color="auto"/>
            <w:bottom w:val="none" w:sz="0" w:space="0" w:color="auto"/>
            <w:right w:val="none" w:sz="0" w:space="0" w:color="auto"/>
          </w:divBdr>
        </w:div>
        <w:div w:id="1650817843">
          <w:marLeft w:val="0"/>
          <w:marRight w:val="0"/>
          <w:marTop w:val="0"/>
          <w:marBottom w:val="0"/>
          <w:divBdr>
            <w:top w:val="none" w:sz="0" w:space="0" w:color="auto"/>
            <w:left w:val="none" w:sz="0" w:space="0" w:color="auto"/>
            <w:bottom w:val="none" w:sz="0" w:space="0" w:color="auto"/>
            <w:right w:val="none" w:sz="0" w:space="0" w:color="auto"/>
          </w:divBdr>
        </w:div>
        <w:div w:id="1658921041">
          <w:marLeft w:val="0"/>
          <w:marRight w:val="0"/>
          <w:marTop w:val="0"/>
          <w:marBottom w:val="0"/>
          <w:divBdr>
            <w:top w:val="none" w:sz="0" w:space="0" w:color="auto"/>
            <w:left w:val="none" w:sz="0" w:space="0" w:color="auto"/>
            <w:bottom w:val="none" w:sz="0" w:space="0" w:color="auto"/>
            <w:right w:val="none" w:sz="0" w:space="0" w:color="auto"/>
          </w:divBdr>
        </w:div>
        <w:div w:id="1665888634">
          <w:marLeft w:val="0"/>
          <w:marRight w:val="0"/>
          <w:marTop w:val="0"/>
          <w:marBottom w:val="0"/>
          <w:divBdr>
            <w:top w:val="none" w:sz="0" w:space="0" w:color="auto"/>
            <w:left w:val="none" w:sz="0" w:space="0" w:color="auto"/>
            <w:bottom w:val="none" w:sz="0" w:space="0" w:color="auto"/>
            <w:right w:val="none" w:sz="0" w:space="0" w:color="auto"/>
          </w:divBdr>
        </w:div>
        <w:div w:id="1670138332">
          <w:marLeft w:val="0"/>
          <w:marRight w:val="0"/>
          <w:marTop w:val="0"/>
          <w:marBottom w:val="0"/>
          <w:divBdr>
            <w:top w:val="none" w:sz="0" w:space="0" w:color="auto"/>
            <w:left w:val="none" w:sz="0" w:space="0" w:color="auto"/>
            <w:bottom w:val="none" w:sz="0" w:space="0" w:color="auto"/>
            <w:right w:val="none" w:sz="0" w:space="0" w:color="auto"/>
          </w:divBdr>
        </w:div>
        <w:div w:id="1695379390">
          <w:marLeft w:val="0"/>
          <w:marRight w:val="0"/>
          <w:marTop w:val="0"/>
          <w:marBottom w:val="0"/>
          <w:divBdr>
            <w:top w:val="none" w:sz="0" w:space="0" w:color="auto"/>
            <w:left w:val="none" w:sz="0" w:space="0" w:color="auto"/>
            <w:bottom w:val="none" w:sz="0" w:space="0" w:color="auto"/>
            <w:right w:val="none" w:sz="0" w:space="0" w:color="auto"/>
          </w:divBdr>
        </w:div>
        <w:div w:id="1703942619">
          <w:marLeft w:val="0"/>
          <w:marRight w:val="0"/>
          <w:marTop w:val="0"/>
          <w:marBottom w:val="0"/>
          <w:divBdr>
            <w:top w:val="none" w:sz="0" w:space="0" w:color="auto"/>
            <w:left w:val="none" w:sz="0" w:space="0" w:color="auto"/>
            <w:bottom w:val="none" w:sz="0" w:space="0" w:color="auto"/>
            <w:right w:val="none" w:sz="0" w:space="0" w:color="auto"/>
          </w:divBdr>
        </w:div>
        <w:div w:id="1718356246">
          <w:marLeft w:val="0"/>
          <w:marRight w:val="0"/>
          <w:marTop w:val="0"/>
          <w:marBottom w:val="0"/>
          <w:divBdr>
            <w:top w:val="none" w:sz="0" w:space="0" w:color="auto"/>
            <w:left w:val="none" w:sz="0" w:space="0" w:color="auto"/>
            <w:bottom w:val="none" w:sz="0" w:space="0" w:color="auto"/>
            <w:right w:val="none" w:sz="0" w:space="0" w:color="auto"/>
          </w:divBdr>
        </w:div>
        <w:div w:id="1723365583">
          <w:marLeft w:val="0"/>
          <w:marRight w:val="0"/>
          <w:marTop w:val="0"/>
          <w:marBottom w:val="0"/>
          <w:divBdr>
            <w:top w:val="none" w:sz="0" w:space="0" w:color="auto"/>
            <w:left w:val="none" w:sz="0" w:space="0" w:color="auto"/>
            <w:bottom w:val="none" w:sz="0" w:space="0" w:color="auto"/>
            <w:right w:val="none" w:sz="0" w:space="0" w:color="auto"/>
          </w:divBdr>
        </w:div>
        <w:div w:id="1740323766">
          <w:marLeft w:val="0"/>
          <w:marRight w:val="0"/>
          <w:marTop w:val="0"/>
          <w:marBottom w:val="0"/>
          <w:divBdr>
            <w:top w:val="none" w:sz="0" w:space="0" w:color="auto"/>
            <w:left w:val="none" w:sz="0" w:space="0" w:color="auto"/>
            <w:bottom w:val="none" w:sz="0" w:space="0" w:color="auto"/>
            <w:right w:val="none" w:sz="0" w:space="0" w:color="auto"/>
          </w:divBdr>
        </w:div>
        <w:div w:id="1746025149">
          <w:marLeft w:val="0"/>
          <w:marRight w:val="0"/>
          <w:marTop w:val="0"/>
          <w:marBottom w:val="0"/>
          <w:divBdr>
            <w:top w:val="none" w:sz="0" w:space="0" w:color="auto"/>
            <w:left w:val="none" w:sz="0" w:space="0" w:color="auto"/>
            <w:bottom w:val="none" w:sz="0" w:space="0" w:color="auto"/>
            <w:right w:val="none" w:sz="0" w:space="0" w:color="auto"/>
          </w:divBdr>
        </w:div>
        <w:div w:id="1755081036">
          <w:marLeft w:val="0"/>
          <w:marRight w:val="0"/>
          <w:marTop w:val="0"/>
          <w:marBottom w:val="0"/>
          <w:divBdr>
            <w:top w:val="none" w:sz="0" w:space="0" w:color="auto"/>
            <w:left w:val="none" w:sz="0" w:space="0" w:color="auto"/>
            <w:bottom w:val="none" w:sz="0" w:space="0" w:color="auto"/>
            <w:right w:val="none" w:sz="0" w:space="0" w:color="auto"/>
          </w:divBdr>
        </w:div>
        <w:div w:id="1755544393">
          <w:marLeft w:val="0"/>
          <w:marRight w:val="0"/>
          <w:marTop w:val="0"/>
          <w:marBottom w:val="0"/>
          <w:divBdr>
            <w:top w:val="none" w:sz="0" w:space="0" w:color="auto"/>
            <w:left w:val="none" w:sz="0" w:space="0" w:color="auto"/>
            <w:bottom w:val="none" w:sz="0" w:space="0" w:color="auto"/>
            <w:right w:val="none" w:sz="0" w:space="0" w:color="auto"/>
          </w:divBdr>
        </w:div>
        <w:div w:id="1760522117">
          <w:marLeft w:val="0"/>
          <w:marRight w:val="0"/>
          <w:marTop w:val="0"/>
          <w:marBottom w:val="0"/>
          <w:divBdr>
            <w:top w:val="none" w:sz="0" w:space="0" w:color="auto"/>
            <w:left w:val="none" w:sz="0" w:space="0" w:color="auto"/>
            <w:bottom w:val="none" w:sz="0" w:space="0" w:color="auto"/>
            <w:right w:val="none" w:sz="0" w:space="0" w:color="auto"/>
          </w:divBdr>
        </w:div>
        <w:div w:id="1771508173">
          <w:marLeft w:val="0"/>
          <w:marRight w:val="0"/>
          <w:marTop w:val="0"/>
          <w:marBottom w:val="0"/>
          <w:divBdr>
            <w:top w:val="none" w:sz="0" w:space="0" w:color="auto"/>
            <w:left w:val="none" w:sz="0" w:space="0" w:color="auto"/>
            <w:bottom w:val="none" w:sz="0" w:space="0" w:color="auto"/>
            <w:right w:val="none" w:sz="0" w:space="0" w:color="auto"/>
          </w:divBdr>
        </w:div>
        <w:div w:id="1774275822">
          <w:marLeft w:val="0"/>
          <w:marRight w:val="0"/>
          <w:marTop w:val="0"/>
          <w:marBottom w:val="0"/>
          <w:divBdr>
            <w:top w:val="none" w:sz="0" w:space="0" w:color="auto"/>
            <w:left w:val="none" w:sz="0" w:space="0" w:color="auto"/>
            <w:bottom w:val="none" w:sz="0" w:space="0" w:color="auto"/>
            <w:right w:val="none" w:sz="0" w:space="0" w:color="auto"/>
          </w:divBdr>
        </w:div>
        <w:div w:id="1774670770">
          <w:marLeft w:val="0"/>
          <w:marRight w:val="0"/>
          <w:marTop w:val="0"/>
          <w:marBottom w:val="0"/>
          <w:divBdr>
            <w:top w:val="none" w:sz="0" w:space="0" w:color="auto"/>
            <w:left w:val="none" w:sz="0" w:space="0" w:color="auto"/>
            <w:bottom w:val="none" w:sz="0" w:space="0" w:color="auto"/>
            <w:right w:val="none" w:sz="0" w:space="0" w:color="auto"/>
          </w:divBdr>
        </w:div>
        <w:div w:id="1789927993">
          <w:marLeft w:val="0"/>
          <w:marRight w:val="0"/>
          <w:marTop w:val="0"/>
          <w:marBottom w:val="0"/>
          <w:divBdr>
            <w:top w:val="none" w:sz="0" w:space="0" w:color="auto"/>
            <w:left w:val="none" w:sz="0" w:space="0" w:color="auto"/>
            <w:bottom w:val="none" w:sz="0" w:space="0" w:color="auto"/>
            <w:right w:val="none" w:sz="0" w:space="0" w:color="auto"/>
          </w:divBdr>
        </w:div>
        <w:div w:id="1795322774">
          <w:marLeft w:val="0"/>
          <w:marRight w:val="0"/>
          <w:marTop w:val="0"/>
          <w:marBottom w:val="0"/>
          <w:divBdr>
            <w:top w:val="none" w:sz="0" w:space="0" w:color="auto"/>
            <w:left w:val="none" w:sz="0" w:space="0" w:color="auto"/>
            <w:bottom w:val="none" w:sz="0" w:space="0" w:color="auto"/>
            <w:right w:val="none" w:sz="0" w:space="0" w:color="auto"/>
          </w:divBdr>
        </w:div>
        <w:div w:id="1795633125">
          <w:marLeft w:val="0"/>
          <w:marRight w:val="0"/>
          <w:marTop w:val="0"/>
          <w:marBottom w:val="0"/>
          <w:divBdr>
            <w:top w:val="none" w:sz="0" w:space="0" w:color="auto"/>
            <w:left w:val="none" w:sz="0" w:space="0" w:color="auto"/>
            <w:bottom w:val="none" w:sz="0" w:space="0" w:color="auto"/>
            <w:right w:val="none" w:sz="0" w:space="0" w:color="auto"/>
          </w:divBdr>
        </w:div>
        <w:div w:id="1795829809">
          <w:marLeft w:val="0"/>
          <w:marRight w:val="0"/>
          <w:marTop w:val="0"/>
          <w:marBottom w:val="0"/>
          <w:divBdr>
            <w:top w:val="none" w:sz="0" w:space="0" w:color="auto"/>
            <w:left w:val="none" w:sz="0" w:space="0" w:color="auto"/>
            <w:bottom w:val="none" w:sz="0" w:space="0" w:color="auto"/>
            <w:right w:val="none" w:sz="0" w:space="0" w:color="auto"/>
          </w:divBdr>
        </w:div>
        <w:div w:id="1803496822">
          <w:marLeft w:val="0"/>
          <w:marRight w:val="0"/>
          <w:marTop w:val="0"/>
          <w:marBottom w:val="0"/>
          <w:divBdr>
            <w:top w:val="none" w:sz="0" w:space="0" w:color="auto"/>
            <w:left w:val="none" w:sz="0" w:space="0" w:color="auto"/>
            <w:bottom w:val="none" w:sz="0" w:space="0" w:color="auto"/>
            <w:right w:val="none" w:sz="0" w:space="0" w:color="auto"/>
          </w:divBdr>
        </w:div>
        <w:div w:id="1804343625">
          <w:marLeft w:val="0"/>
          <w:marRight w:val="0"/>
          <w:marTop w:val="0"/>
          <w:marBottom w:val="0"/>
          <w:divBdr>
            <w:top w:val="none" w:sz="0" w:space="0" w:color="auto"/>
            <w:left w:val="none" w:sz="0" w:space="0" w:color="auto"/>
            <w:bottom w:val="none" w:sz="0" w:space="0" w:color="auto"/>
            <w:right w:val="none" w:sz="0" w:space="0" w:color="auto"/>
          </w:divBdr>
        </w:div>
        <w:div w:id="1806507100">
          <w:marLeft w:val="0"/>
          <w:marRight w:val="0"/>
          <w:marTop w:val="0"/>
          <w:marBottom w:val="0"/>
          <w:divBdr>
            <w:top w:val="none" w:sz="0" w:space="0" w:color="auto"/>
            <w:left w:val="none" w:sz="0" w:space="0" w:color="auto"/>
            <w:bottom w:val="none" w:sz="0" w:space="0" w:color="auto"/>
            <w:right w:val="none" w:sz="0" w:space="0" w:color="auto"/>
          </w:divBdr>
        </w:div>
        <w:div w:id="1810172377">
          <w:marLeft w:val="0"/>
          <w:marRight w:val="0"/>
          <w:marTop w:val="0"/>
          <w:marBottom w:val="0"/>
          <w:divBdr>
            <w:top w:val="none" w:sz="0" w:space="0" w:color="auto"/>
            <w:left w:val="none" w:sz="0" w:space="0" w:color="auto"/>
            <w:bottom w:val="none" w:sz="0" w:space="0" w:color="auto"/>
            <w:right w:val="none" w:sz="0" w:space="0" w:color="auto"/>
          </w:divBdr>
        </w:div>
        <w:div w:id="1814441486">
          <w:marLeft w:val="0"/>
          <w:marRight w:val="0"/>
          <w:marTop w:val="0"/>
          <w:marBottom w:val="0"/>
          <w:divBdr>
            <w:top w:val="none" w:sz="0" w:space="0" w:color="auto"/>
            <w:left w:val="none" w:sz="0" w:space="0" w:color="auto"/>
            <w:bottom w:val="none" w:sz="0" w:space="0" w:color="auto"/>
            <w:right w:val="none" w:sz="0" w:space="0" w:color="auto"/>
          </w:divBdr>
        </w:div>
        <w:div w:id="1814449658">
          <w:marLeft w:val="0"/>
          <w:marRight w:val="0"/>
          <w:marTop w:val="0"/>
          <w:marBottom w:val="0"/>
          <w:divBdr>
            <w:top w:val="none" w:sz="0" w:space="0" w:color="auto"/>
            <w:left w:val="none" w:sz="0" w:space="0" w:color="auto"/>
            <w:bottom w:val="none" w:sz="0" w:space="0" w:color="auto"/>
            <w:right w:val="none" w:sz="0" w:space="0" w:color="auto"/>
          </w:divBdr>
        </w:div>
        <w:div w:id="1820805035">
          <w:marLeft w:val="0"/>
          <w:marRight w:val="0"/>
          <w:marTop w:val="0"/>
          <w:marBottom w:val="0"/>
          <w:divBdr>
            <w:top w:val="none" w:sz="0" w:space="0" w:color="auto"/>
            <w:left w:val="none" w:sz="0" w:space="0" w:color="auto"/>
            <w:bottom w:val="none" w:sz="0" w:space="0" w:color="auto"/>
            <w:right w:val="none" w:sz="0" w:space="0" w:color="auto"/>
          </w:divBdr>
        </w:div>
        <w:div w:id="1822573802">
          <w:marLeft w:val="0"/>
          <w:marRight w:val="0"/>
          <w:marTop w:val="0"/>
          <w:marBottom w:val="0"/>
          <w:divBdr>
            <w:top w:val="none" w:sz="0" w:space="0" w:color="auto"/>
            <w:left w:val="none" w:sz="0" w:space="0" w:color="auto"/>
            <w:bottom w:val="none" w:sz="0" w:space="0" w:color="auto"/>
            <w:right w:val="none" w:sz="0" w:space="0" w:color="auto"/>
          </w:divBdr>
        </w:div>
        <w:div w:id="1827041543">
          <w:marLeft w:val="0"/>
          <w:marRight w:val="0"/>
          <w:marTop w:val="0"/>
          <w:marBottom w:val="0"/>
          <w:divBdr>
            <w:top w:val="none" w:sz="0" w:space="0" w:color="auto"/>
            <w:left w:val="none" w:sz="0" w:space="0" w:color="auto"/>
            <w:bottom w:val="none" w:sz="0" w:space="0" w:color="auto"/>
            <w:right w:val="none" w:sz="0" w:space="0" w:color="auto"/>
          </w:divBdr>
        </w:div>
        <w:div w:id="1840072108">
          <w:marLeft w:val="0"/>
          <w:marRight w:val="0"/>
          <w:marTop w:val="0"/>
          <w:marBottom w:val="0"/>
          <w:divBdr>
            <w:top w:val="none" w:sz="0" w:space="0" w:color="auto"/>
            <w:left w:val="none" w:sz="0" w:space="0" w:color="auto"/>
            <w:bottom w:val="none" w:sz="0" w:space="0" w:color="auto"/>
            <w:right w:val="none" w:sz="0" w:space="0" w:color="auto"/>
          </w:divBdr>
        </w:div>
        <w:div w:id="1844398023">
          <w:marLeft w:val="0"/>
          <w:marRight w:val="0"/>
          <w:marTop w:val="0"/>
          <w:marBottom w:val="0"/>
          <w:divBdr>
            <w:top w:val="none" w:sz="0" w:space="0" w:color="auto"/>
            <w:left w:val="none" w:sz="0" w:space="0" w:color="auto"/>
            <w:bottom w:val="none" w:sz="0" w:space="0" w:color="auto"/>
            <w:right w:val="none" w:sz="0" w:space="0" w:color="auto"/>
          </w:divBdr>
        </w:div>
        <w:div w:id="1846817207">
          <w:marLeft w:val="0"/>
          <w:marRight w:val="0"/>
          <w:marTop w:val="0"/>
          <w:marBottom w:val="0"/>
          <w:divBdr>
            <w:top w:val="none" w:sz="0" w:space="0" w:color="auto"/>
            <w:left w:val="none" w:sz="0" w:space="0" w:color="auto"/>
            <w:bottom w:val="none" w:sz="0" w:space="0" w:color="auto"/>
            <w:right w:val="none" w:sz="0" w:space="0" w:color="auto"/>
          </w:divBdr>
        </w:div>
        <w:div w:id="1847088965">
          <w:marLeft w:val="0"/>
          <w:marRight w:val="0"/>
          <w:marTop w:val="0"/>
          <w:marBottom w:val="0"/>
          <w:divBdr>
            <w:top w:val="none" w:sz="0" w:space="0" w:color="auto"/>
            <w:left w:val="none" w:sz="0" w:space="0" w:color="auto"/>
            <w:bottom w:val="none" w:sz="0" w:space="0" w:color="auto"/>
            <w:right w:val="none" w:sz="0" w:space="0" w:color="auto"/>
          </w:divBdr>
        </w:div>
        <w:div w:id="1849252806">
          <w:marLeft w:val="0"/>
          <w:marRight w:val="0"/>
          <w:marTop w:val="0"/>
          <w:marBottom w:val="0"/>
          <w:divBdr>
            <w:top w:val="none" w:sz="0" w:space="0" w:color="auto"/>
            <w:left w:val="none" w:sz="0" w:space="0" w:color="auto"/>
            <w:bottom w:val="none" w:sz="0" w:space="0" w:color="auto"/>
            <w:right w:val="none" w:sz="0" w:space="0" w:color="auto"/>
          </w:divBdr>
        </w:div>
        <w:div w:id="1854224758">
          <w:marLeft w:val="0"/>
          <w:marRight w:val="0"/>
          <w:marTop w:val="0"/>
          <w:marBottom w:val="0"/>
          <w:divBdr>
            <w:top w:val="none" w:sz="0" w:space="0" w:color="auto"/>
            <w:left w:val="none" w:sz="0" w:space="0" w:color="auto"/>
            <w:bottom w:val="none" w:sz="0" w:space="0" w:color="auto"/>
            <w:right w:val="none" w:sz="0" w:space="0" w:color="auto"/>
          </w:divBdr>
        </w:div>
        <w:div w:id="1856459554">
          <w:marLeft w:val="0"/>
          <w:marRight w:val="0"/>
          <w:marTop w:val="0"/>
          <w:marBottom w:val="0"/>
          <w:divBdr>
            <w:top w:val="none" w:sz="0" w:space="0" w:color="auto"/>
            <w:left w:val="none" w:sz="0" w:space="0" w:color="auto"/>
            <w:bottom w:val="none" w:sz="0" w:space="0" w:color="auto"/>
            <w:right w:val="none" w:sz="0" w:space="0" w:color="auto"/>
          </w:divBdr>
        </w:div>
        <w:div w:id="1858883152">
          <w:marLeft w:val="0"/>
          <w:marRight w:val="0"/>
          <w:marTop w:val="0"/>
          <w:marBottom w:val="0"/>
          <w:divBdr>
            <w:top w:val="none" w:sz="0" w:space="0" w:color="auto"/>
            <w:left w:val="none" w:sz="0" w:space="0" w:color="auto"/>
            <w:bottom w:val="none" w:sz="0" w:space="0" w:color="auto"/>
            <w:right w:val="none" w:sz="0" w:space="0" w:color="auto"/>
          </w:divBdr>
        </w:div>
        <w:div w:id="1862549731">
          <w:marLeft w:val="0"/>
          <w:marRight w:val="0"/>
          <w:marTop w:val="0"/>
          <w:marBottom w:val="0"/>
          <w:divBdr>
            <w:top w:val="none" w:sz="0" w:space="0" w:color="auto"/>
            <w:left w:val="none" w:sz="0" w:space="0" w:color="auto"/>
            <w:bottom w:val="none" w:sz="0" w:space="0" w:color="auto"/>
            <w:right w:val="none" w:sz="0" w:space="0" w:color="auto"/>
          </w:divBdr>
        </w:div>
        <w:div w:id="1871258933">
          <w:marLeft w:val="0"/>
          <w:marRight w:val="0"/>
          <w:marTop w:val="0"/>
          <w:marBottom w:val="0"/>
          <w:divBdr>
            <w:top w:val="none" w:sz="0" w:space="0" w:color="auto"/>
            <w:left w:val="none" w:sz="0" w:space="0" w:color="auto"/>
            <w:bottom w:val="none" w:sz="0" w:space="0" w:color="auto"/>
            <w:right w:val="none" w:sz="0" w:space="0" w:color="auto"/>
          </w:divBdr>
        </w:div>
        <w:div w:id="1874885143">
          <w:marLeft w:val="0"/>
          <w:marRight w:val="0"/>
          <w:marTop w:val="0"/>
          <w:marBottom w:val="0"/>
          <w:divBdr>
            <w:top w:val="none" w:sz="0" w:space="0" w:color="auto"/>
            <w:left w:val="none" w:sz="0" w:space="0" w:color="auto"/>
            <w:bottom w:val="none" w:sz="0" w:space="0" w:color="auto"/>
            <w:right w:val="none" w:sz="0" w:space="0" w:color="auto"/>
          </w:divBdr>
        </w:div>
        <w:div w:id="1877083662">
          <w:marLeft w:val="0"/>
          <w:marRight w:val="0"/>
          <w:marTop w:val="0"/>
          <w:marBottom w:val="0"/>
          <w:divBdr>
            <w:top w:val="none" w:sz="0" w:space="0" w:color="auto"/>
            <w:left w:val="none" w:sz="0" w:space="0" w:color="auto"/>
            <w:bottom w:val="none" w:sz="0" w:space="0" w:color="auto"/>
            <w:right w:val="none" w:sz="0" w:space="0" w:color="auto"/>
          </w:divBdr>
        </w:div>
        <w:div w:id="1883012899">
          <w:marLeft w:val="0"/>
          <w:marRight w:val="0"/>
          <w:marTop w:val="0"/>
          <w:marBottom w:val="0"/>
          <w:divBdr>
            <w:top w:val="none" w:sz="0" w:space="0" w:color="auto"/>
            <w:left w:val="none" w:sz="0" w:space="0" w:color="auto"/>
            <w:bottom w:val="none" w:sz="0" w:space="0" w:color="auto"/>
            <w:right w:val="none" w:sz="0" w:space="0" w:color="auto"/>
          </w:divBdr>
        </w:div>
        <w:div w:id="1885216196">
          <w:marLeft w:val="0"/>
          <w:marRight w:val="0"/>
          <w:marTop w:val="0"/>
          <w:marBottom w:val="0"/>
          <w:divBdr>
            <w:top w:val="none" w:sz="0" w:space="0" w:color="auto"/>
            <w:left w:val="none" w:sz="0" w:space="0" w:color="auto"/>
            <w:bottom w:val="none" w:sz="0" w:space="0" w:color="auto"/>
            <w:right w:val="none" w:sz="0" w:space="0" w:color="auto"/>
          </w:divBdr>
        </w:div>
        <w:div w:id="1889566184">
          <w:marLeft w:val="0"/>
          <w:marRight w:val="0"/>
          <w:marTop w:val="0"/>
          <w:marBottom w:val="0"/>
          <w:divBdr>
            <w:top w:val="none" w:sz="0" w:space="0" w:color="auto"/>
            <w:left w:val="none" w:sz="0" w:space="0" w:color="auto"/>
            <w:bottom w:val="none" w:sz="0" w:space="0" w:color="auto"/>
            <w:right w:val="none" w:sz="0" w:space="0" w:color="auto"/>
          </w:divBdr>
        </w:div>
        <w:div w:id="1891307401">
          <w:marLeft w:val="0"/>
          <w:marRight w:val="0"/>
          <w:marTop w:val="0"/>
          <w:marBottom w:val="0"/>
          <w:divBdr>
            <w:top w:val="none" w:sz="0" w:space="0" w:color="auto"/>
            <w:left w:val="none" w:sz="0" w:space="0" w:color="auto"/>
            <w:bottom w:val="none" w:sz="0" w:space="0" w:color="auto"/>
            <w:right w:val="none" w:sz="0" w:space="0" w:color="auto"/>
          </w:divBdr>
        </w:div>
        <w:div w:id="1895968934">
          <w:marLeft w:val="0"/>
          <w:marRight w:val="0"/>
          <w:marTop w:val="0"/>
          <w:marBottom w:val="0"/>
          <w:divBdr>
            <w:top w:val="none" w:sz="0" w:space="0" w:color="auto"/>
            <w:left w:val="none" w:sz="0" w:space="0" w:color="auto"/>
            <w:bottom w:val="none" w:sz="0" w:space="0" w:color="auto"/>
            <w:right w:val="none" w:sz="0" w:space="0" w:color="auto"/>
          </w:divBdr>
        </w:div>
        <w:div w:id="1902280529">
          <w:marLeft w:val="0"/>
          <w:marRight w:val="0"/>
          <w:marTop w:val="0"/>
          <w:marBottom w:val="0"/>
          <w:divBdr>
            <w:top w:val="none" w:sz="0" w:space="0" w:color="auto"/>
            <w:left w:val="none" w:sz="0" w:space="0" w:color="auto"/>
            <w:bottom w:val="none" w:sz="0" w:space="0" w:color="auto"/>
            <w:right w:val="none" w:sz="0" w:space="0" w:color="auto"/>
          </w:divBdr>
        </w:div>
        <w:div w:id="1910726560">
          <w:marLeft w:val="0"/>
          <w:marRight w:val="0"/>
          <w:marTop w:val="0"/>
          <w:marBottom w:val="0"/>
          <w:divBdr>
            <w:top w:val="none" w:sz="0" w:space="0" w:color="auto"/>
            <w:left w:val="none" w:sz="0" w:space="0" w:color="auto"/>
            <w:bottom w:val="none" w:sz="0" w:space="0" w:color="auto"/>
            <w:right w:val="none" w:sz="0" w:space="0" w:color="auto"/>
          </w:divBdr>
        </w:div>
        <w:div w:id="1939362011">
          <w:marLeft w:val="0"/>
          <w:marRight w:val="0"/>
          <w:marTop w:val="0"/>
          <w:marBottom w:val="0"/>
          <w:divBdr>
            <w:top w:val="none" w:sz="0" w:space="0" w:color="auto"/>
            <w:left w:val="none" w:sz="0" w:space="0" w:color="auto"/>
            <w:bottom w:val="none" w:sz="0" w:space="0" w:color="auto"/>
            <w:right w:val="none" w:sz="0" w:space="0" w:color="auto"/>
          </w:divBdr>
        </w:div>
        <w:div w:id="1947079029">
          <w:marLeft w:val="0"/>
          <w:marRight w:val="0"/>
          <w:marTop w:val="0"/>
          <w:marBottom w:val="0"/>
          <w:divBdr>
            <w:top w:val="none" w:sz="0" w:space="0" w:color="auto"/>
            <w:left w:val="none" w:sz="0" w:space="0" w:color="auto"/>
            <w:bottom w:val="none" w:sz="0" w:space="0" w:color="auto"/>
            <w:right w:val="none" w:sz="0" w:space="0" w:color="auto"/>
          </w:divBdr>
        </w:div>
        <w:div w:id="1949661528">
          <w:marLeft w:val="0"/>
          <w:marRight w:val="0"/>
          <w:marTop w:val="0"/>
          <w:marBottom w:val="0"/>
          <w:divBdr>
            <w:top w:val="none" w:sz="0" w:space="0" w:color="auto"/>
            <w:left w:val="none" w:sz="0" w:space="0" w:color="auto"/>
            <w:bottom w:val="none" w:sz="0" w:space="0" w:color="auto"/>
            <w:right w:val="none" w:sz="0" w:space="0" w:color="auto"/>
          </w:divBdr>
        </w:div>
        <w:div w:id="1957832214">
          <w:marLeft w:val="0"/>
          <w:marRight w:val="0"/>
          <w:marTop w:val="0"/>
          <w:marBottom w:val="0"/>
          <w:divBdr>
            <w:top w:val="none" w:sz="0" w:space="0" w:color="auto"/>
            <w:left w:val="none" w:sz="0" w:space="0" w:color="auto"/>
            <w:bottom w:val="none" w:sz="0" w:space="0" w:color="auto"/>
            <w:right w:val="none" w:sz="0" w:space="0" w:color="auto"/>
          </w:divBdr>
        </w:div>
        <w:div w:id="1958876925">
          <w:marLeft w:val="0"/>
          <w:marRight w:val="0"/>
          <w:marTop w:val="0"/>
          <w:marBottom w:val="0"/>
          <w:divBdr>
            <w:top w:val="none" w:sz="0" w:space="0" w:color="auto"/>
            <w:left w:val="none" w:sz="0" w:space="0" w:color="auto"/>
            <w:bottom w:val="none" w:sz="0" w:space="0" w:color="auto"/>
            <w:right w:val="none" w:sz="0" w:space="0" w:color="auto"/>
          </w:divBdr>
        </w:div>
        <w:div w:id="1964310984">
          <w:marLeft w:val="0"/>
          <w:marRight w:val="0"/>
          <w:marTop w:val="0"/>
          <w:marBottom w:val="0"/>
          <w:divBdr>
            <w:top w:val="none" w:sz="0" w:space="0" w:color="auto"/>
            <w:left w:val="none" w:sz="0" w:space="0" w:color="auto"/>
            <w:bottom w:val="none" w:sz="0" w:space="0" w:color="auto"/>
            <w:right w:val="none" w:sz="0" w:space="0" w:color="auto"/>
          </w:divBdr>
        </w:div>
        <w:div w:id="1981811256">
          <w:marLeft w:val="0"/>
          <w:marRight w:val="0"/>
          <w:marTop w:val="0"/>
          <w:marBottom w:val="0"/>
          <w:divBdr>
            <w:top w:val="none" w:sz="0" w:space="0" w:color="auto"/>
            <w:left w:val="none" w:sz="0" w:space="0" w:color="auto"/>
            <w:bottom w:val="none" w:sz="0" w:space="0" w:color="auto"/>
            <w:right w:val="none" w:sz="0" w:space="0" w:color="auto"/>
          </w:divBdr>
        </w:div>
        <w:div w:id="1982728520">
          <w:marLeft w:val="0"/>
          <w:marRight w:val="0"/>
          <w:marTop w:val="0"/>
          <w:marBottom w:val="0"/>
          <w:divBdr>
            <w:top w:val="none" w:sz="0" w:space="0" w:color="auto"/>
            <w:left w:val="none" w:sz="0" w:space="0" w:color="auto"/>
            <w:bottom w:val="none" w:sz="0" w:space="0" w:color="auto"/>
            <w:right w:val="none" w:sz="0" w:space="0" w:color="auto"/>
          </w:divBdr>
        </w:div>
        <w:div w:id="1986080113">
          <w:marLeft w:val="0"/>
          <w:marRight w:val="0"/>
          <w:marTop w:val="0"/>
          <w:marBottom w:val="0"/>
          <w:divBdr>
            <w:top w:val="none" w:sz="0" w:space="0" w:color="auto"/>
            <w:left w:val="none" w:sz="0" w:space="0" w:color="auto"/>
            <w:bottom w:val="none" w:sz="0" w:space="0" w:color="auto"/>
            <w:right w:val="none" w:sz="0" w:space="0" w:color="auto"/>
          </w:divBdr>
        </w:div>
        <w:div w:id="2000380121">
          <w:marLeft w:val="0"/>
          <w:marRight w:val="0"/>
          <w:marTop w:val="0"/>
          <w:marBottom w:val="0"/>
          <w:divBdr>
            <w:top w:val="none" w:sz="0" w:space="0" w:color="auto"/>
            <w:left w:val="none" w:sz="0" w:space="0" w:color="auto"/>
            <w:bottom w:val="none" w:sz="0" w:space="0" w:color="auto"/>
            <w:right w:val="none" w:sz="0" w:space="0" w:color="auto"/>
          </w:divBdr>
        </w:div>
        <w:div w:id="2007436640">
          <w:marLeft w:val="0"/>
          <w:marRight w:val="0"/>
          <w:marTop w:val="0"/>
          <w:marBottom w:val="0"/>
          <w:divBdr>
            <w:top w:val="none" w:sz="0" w:space="0" w:color="auto"/>
            <w:left w:val="none" w:sz="0" w:space="0" w:color="auto"/>
            <w:bottom w:val="none" w:sz="0" w:space="0" w:color="auto"/>
            <w:right w:val="none" w:sz="0" w:space="0" w:color="auto"/>
          </w:divBdr>
        </w:div>
        <w:div w:id="2015642798">
          <w:marLeft w:val="0"/>
          <w:marRight w:val="0"/>
          <w:marTop w:val="0"/>
          <w:marBottom w:val="0"/>
          <w:divBdr>
            <w:top w:val="none" w:sz="0" w:space="0" w:color="auto"/>
            <w:left w:val="none" w:sz="0" w:space="0" w:color="auto"/>
            <w:bottom w:val="none" w:sz="0" w:space="0" w:color="auto"/>
            <w:right w:val="none" w:sz="0" w:space="0" w:color="auto"/>
          </w:divBdr>
        </w:div>
        <w:div w:id="2016686060">
          <w:marLeft w:val="0"/>
          <w:marRight w:val="0"/>
          <w:marTop w:val="0"/>
          <w:marBottom w:val="0"/>
          <w:divBdr>
            <w:top w:val="none" w:sz="0" w:space="0" w:color="auto"/>
            <w:left w:val="none" w:sz="0" w:space="0" w:color="auto"/>
            <w:bottom w:val="none" w:sz="0" w:space="0" w:color="auto"/>
            <w:right w:val="none" w:sz="0" w:space="0" w:color="auto"/>
          </w:divBdr>
        </w:div>
        <w:div w:id="2044860052">
          <w:marLeft w:val="0"/>
          <w:marRight w:val="0"/>
          <w:marTop w:val="0"/>
          <w:marBottom w:val="0"/>
          <w:divBdr>
            <w:top w:val="none" w:sz="0" w:space="0" w:color="auto"/>
            <w:left w:val="none" w:sz="0" w:space="0" w:color="auto"/>
            <w:bottom w:val="none" w:sz="0" w:space="0" w:color="auto"/>
            <w:right w:val="none" w:sz="0" w:space="0" w:color="auto"/>
          </w:divBdr>
        </w:div>
        <w:div w:id="2047290288">
          <w:marLeft w:val="0"/>
          <w:marRight w:val="0"/>
          <w:marTop w:val="0"/>
          <w:marBottom w:val="0"/>
          <w:divBdr>
            <w:top w:val="none" w:sz="0" w:space="0" w:color="auto"/>
            <w:left w:val="none" w:sz="0" w:space="0" w:color="auto"/>
            <w:bottom w:val="none" w:sz="0" w:space="0" w:color="auto"/>
            <w:right w:val="none" w:sz="0" w:space="0" w:color="auto"/>
          </w:divBdr>
        </w:div>
        <w:div w:id="2050255991">
          <w:marLeft w:val="0"/>
          <w:marRight w:val="0"/>
          <w:marTop w:val="0"/>
          <w:marBottom w:val="0"/>
          <w:divBdr>
            <w:top w:val="none" w:sz="0" w:space="0" w:color="auto"/>
            <w:left w:val="none" w:sz="0" w:space="0" w:color="auto"/>
            <w:bottom w:val="none" w:sz="0" w:space="0" w:color="auto"/>
            <w:right w:val="none" w:sz="0" w:space="0" w:color="auto"/>
          </w:divBdr>
        </w:div>
        <w:div w:id="2052729671">
          <w:marLeft w:val="0"/>
          <w:marRight w:val="0"/>
          <w:marTop w:val="0"/>
          <w:marBottom w:val="0"/>
          <w:divBdr>
            <w:top w:val="none" w:sz="0" w:space="0" w:color="auto"/>
            <w:left w:val="none" w:sz="0" w:space="0" w:color="auto"/>
            <w:bottom w:val="none" w:sz="0" w:space="0" w:color="auto"/>
            <w:right w:val="none" w:sz="0" w:space="0" w:color="auto"/>
          </w:divBdr>
        </w:div>
        <w:div w:id="2075737300">
          <w:marLeft w:val="0"/>
          <w:marRight w:val="0"/>
          <w:marTop w:val="0"/>
          <w:marBottom w:val="0"/>
          <w:divBdr>
            <w:top w:val="none" w:sz="0" w:space="0" w:color="auto"/>
            <w:left w:val="none" w:sz="0" w:space="0" w:color="auto"/>
            <w:bottom w:val="none" w:sz="0" w:space="0" w:color="auto"/>
            <w:right w:val="none" w:sz="0" w:space="0" w:color="auto"/>
          </w:divBdr>
        </w:div>
        <w:div w:id="2077194652">
          <w:marLeft w:val="0"/>
          <w:marRight w:val="0"/>
          <w:marTop w:val="0"/>
          <w:marBottom w:val="0"/>
          <w:divBdr>
            <w:top w:val="none" w:sz="0" w:space="0" w:color="auto"/>
            <w:left w:val="none" w:sz="0" w:space="0" w:color="auto"/>
            <w:bottom w:val="none" w:sz="0" w:space="0" w:color="auto"/>
            <w:right w:val="none" w:sz="0" w:space="0" w:color="auto"/>
          </w:divBdr>
        </w:div>
        <w:div w:id="2079590260">
          <w:marLeft w:val="0"/>
          <w:marRight w:val="0"/>
          <w:marTop w:val="0"/>
          <w:marBottom w:val="0"/>
          <w:divBdr>
            <w:top w:val="none" w:sz="0" w:space="0" w:color="auto"/>
            <w:left w:val="none" w:sz="0" w:space="0" w:color="auto"/>
            <w:bottom w:val="none" w:sz="0" w:space="0" w:color="auto"/>
            <w:right w:val="none" w:sz="0" w:space="0" w:color="auto"/>
          </w:divBdr>
        </w:div>
        <w:div w:id="2084180967">
          <w:marLeft w:val="0"/>
          <w:marRight w:val="0"/>
          <w:marTop w:val="0"/>
          <w:marBottom w:val="0"/>
          <w:divBdr>
            <w:top w:val="none" w:sz="0" w:space="0" w:color="auto"/>
            <w:left w:val="none" w:sz="0" w:space="0" w:color="auto"/>
            <w:bottom w:val="none" w:sz="0" w:space="0" w:color="auto"/>
            <w:right w:val="none" w:sz="0" w:space="0" w:color="auto"/>
          </w:divBdr>
        </w:div>
        <w:div w:id="2087411953">
          <w:marLeft w:val="0"/>
          <w:marRight w:val="0"/>
          <w:marTop w:val="0"/>
          <w:marBottom w:val="0"/>
          <w:divBdr>
            <w:top w:val="none" w:sz="0" w:space="0" w:color="auto"/>
            <w:left w:val="none" w:sz="0" w:space="0" w:color="auto"/>
            <w:bottom w:val="none" w:sz="0" w:space="0" w:color="auto"/>
            <w:right w:val="none" w:sz="0" w:space="0" w:color="auto"/>
          </w:divBdr>
        </w:div>
        <w:div w:id="2097902796">
          <w:marLeft w:val="0"/>
          <w:marRight w:val="0"/>
          <w:marTop w:val="0"/>
          <w:marBottom w:val="0"/>
          <w:divBdr>
            <w:top w:val="none" w:sz="0" w:space="0" w:color="auto"/>
            <w:left w:val="none" w:sz="0" w:space="0" w:color="auto"/>
            <w:bottom w:val="none" w:sz="0" w:space="0" w:color="auto"/>
            <w:right w:val="none" w:sz="0" w:space="0" w:color="auto"/>
          </w:divBdr>
        </w:div>
        <w:div w:id="2098091722">
          <w:marLeft w:val="0"/>
          <w:marRight w:val="0"/>
          <w:marTop w:val="0"/>
          <w:marBottom w:val="0"/>
          <w:divBdr>
            <w:top w:val="none" w:sz="0" w:space="0" w:color="auto"/>
            <w:left w:val="none" w:sz="0" w:space="0" w:color="auto"/>
            <w:bottom w:val="none" w:sz="0" w:space="0" w:color="auto"/>
            <w:right w:val="none" w:sz="0" w:space="0" w:color="auto"/>
          </w:divBdr>
        </w:div>
        <w:div w:id="2106068786">
          <w:marLeft w:val="0"/>
          <w:marRight w:val="0"/>
          <w:marTop w:val="0"/>
          <w:marBottom w:val="0"/>
          <w:divBdr>
            <w:top w:val="none" w:sz="0" w:space="0" w:color="auto"/>
            <w:left w:val="none" w:sz="0" w:space="0" w:color="auto"/>
            <w:bottom w:val="none" w:sz="0" w:space="0" w:color="auto"/>
            <w:right w:val="none" w:sz="0" w:space="0" w:color="auto"/>
          </w:divBdr>
        </w:div>
        <w:div w:id="2109229598">
          <w:marLeft w:val="0"/>
          <w:marRight w:val="0"/>
          <w:marTop w:val="0"/>
          <w:marBottom w:val="0"/>
          <w:divBdr>
            <w:top w:val="none" w:sz="0" w:space="0" w:color="auto"/>
            <w:left w:val="none" w:sz="0" w:space="0" w:color="auto"/>
            <w:bottom w:val="none" w:sz="0" w:space="0" w:color="auto"/>
            <w:right w:val="none" w:sz="0" w:space="0" w:color="auto"/>
          </w:divBdr>
        </w:div>
        <w:div w:id="2109815709">
          <w:marLeft w:val="0"/>
          <w:marRight w:val="0"/>
          <w:marTop w:val="0"/>
          <w:marBottom w:val="0"/>
          <w:divBdr>
            <w:top w:val="none" w:sz="0" w:space="0" w:color="auto"/>
            <w:left w:val="none" w:sz="0" w:space="0" w:color="auto"/>
            <w:bottom w:val="none" w:sz="0" w:space="0" w:color="auto"/>
            <w:right w:val="none" w:sz="0" w:space="0" w:color="auto"/>
          </w:divBdr>
        </w:div>
        <w:div w:id="2120098836">
          <w:marLeft w:val="0"/>
          <w:marRight w:val="0"/>
          <w:marTop w:val="0"/>
          <w:marBottom w:val="0"/>
          <w:divBdr>
            <w:top w:val="none" w:sz="0" w:space="0" w:color="auto"/>
            <w:left w:val="none" w:sz="0" w:space="0" w:color="auto"/>
            <w:bottom w:val="none" w:sz="0" w:space="0" w:color="auto"/>
            <w:right w:val="none" w:sz="0" w:space="0" w:color="auto"/>
          </w:divBdr>
        </w:div>
        <w:div w:id="2123725556">
          <w:marLeft w:val="0"/>
          <w:marRight w:val="0"/>
          <w:marTop w:val="0"/>
          <w:marBottom w:val="0"/>
          <w:divBdr>
            <w:top w:val="none" w:sz="0" w:space="0" w:color="auto"/>
            <w:left w:val="none" w:sz="0" w:space="0" w:color="auto"/>
            <w:bottom w:val="none" w:sz="0" w:space="0" w:color="auto"/>
            <w:right w:val="none" w:sz="0" w:space="0" w:color="auto"/>
          </w:divBdr>
        </w:div>
        <w:div w:id="2123959817">
          <w:marLeft w:val="0"/>
          <w:marRight w:val="0"/>
          <w:marTop w:val="0"/>
          <w:marBottom w:val="0"/>
          <w:divBdr>
            <w:top w:val="none" w:sz="0" w:space="0" w:color="auto"/>
            <w:left w:val="none" w:sz="0" w:space="0" w:color="auto"/>
            <w:bottom w:val="none" w:sz="0" w:space="0" w:color="auto"/>
            <w:right w:val="none" w:sz="0" w:space="0" w:color="auto"/>
          </w:divBdr>
        </w:div>
        <w:div w:id="2136752516">
          <w:marLeft w:val="0"/>
          <w:marRight w:val="0"/>
          <w:marTop w:val="0"/>
          <w:marBottom w:val="0"/>
          <w:divBdr>
            <w:top w:val="none" w:sz="0" w:space="0" w:color="auto"/>
            <w:left w:val="none" w:sz="0" w:space="0" w:color="auto"/>
            <w:bottom w:val="none" w:sz="0" w:space="0" w:color="auto"/>
            <w:right w:val="none" w:sz="0" w:space="0" w:color="auto"/>
          </w:divBdr>
        </w:div>
        <w:div w:id="2143646539">
          <w:marLeft w:val="0"/>
          <w:marRight w:val="0"/>
          <w:marTop w:val="0"/>
          <w:marBottom w:val="0"/>
          <w:divBdr>
            <w:top w:val="none" w:sz="0" w:space="0" w:color="auto"/>
            <w:left w:val="none" w:sz="0" w:space="0" w:color="auto"/>
            <w:bottom w:val="none" w:sz="0" w:space="0" w:color="auto"/>
            <w:right w:val="none" w:sz="0" w:space="0" w:color="auto"/>
          </w:divBdr>
        </w:div>
        <w:div w:id="2145780218">
          <w:marLeft w:val="0"/>
          <w:marRight w:val="0"/>
          <w:marTop w:val="0"/>
          <w:marBottom w:val="0"/>
          <w:divBdr>
            <w:top w:val="none" w:sz="0" w:space="0" w:color="auto"/>
            <w:left w:val="none" w:sz="0" w:space="0" w:color="auto"/>
            <w:bottom w:val="none" w:sz="0" w:space="0" w:color="auto"/>
            <w:right w:val="none" w:sz="0" w:space="0" w:color="auto"/>
          </w:divBdr>
        </w:div>
        <w:div w:id="2145923561">
          <w:marLeft w:val="0"/>
          <w:marRight w:val="0"/>
          <w:marTop w:val="0"/>
          <w:marBottom w:val="0"/>
          <w:divBdr>
            <w:top w:val="none" w:sz="0" w:space="0" w:color="auto"/>
            <w:left w:val="none" w:sz="0" w:space="0" w:color="auto"/>
            <w:bottom w:val="none" w:sz="0" w:space="0" w:color="auto"/>
            <w:right w:val="none" w:sz="0" w:space="0" w:color="auto"/>
          </w:divBdr>
        </w:div>
      </w:divsChild>
    </w:div>
    <w:div w:id="267782731">
      <w:bodyDiv w:val="1"/>
      <w:marLeft w:val="0"/>
      <w:marRight w:val="0"/>
      <w:marTop w:val="0"/>
      <w:marBottom w:val="0"/>
      <w:divBdr>
        <w:top w:val="none" w:sz="0" w:space="0" w:color="auto"/>
        <w:left w:val="none" w:sz="0" w:space="0" w:color="auto"/>
        <w:bottom w:val="none" w:sz="0" w:space="0" w:color="auto"/>
        <w:right w:val="none" w:sz="0" w:space="0" w:color="auto"/>
      </w:divBdr>
    </w:div>
    <w:div w:id="279338473">
      <w:bodyDiv w:val="1"/>
      <w:marLeft w:val="0"/>
      <w:marRight w:val="0"/>
      <w:marTop w:val="0"/>
      <w:marBottom w:val="0"/>
      <w:divBdr>
        <w:top w:val="none" w:sz="0" w:space="0" w:color="auto"/>
        <w:left w:val="none" w:sz="0" w:space="0" w:color="auto"/>
        <w:bottom w:val="none" w:sz="0" w:space="0" w:color="auto"/>
        <w:right w:val="none" w:sz="0" w:space="0" w:color="auto"/>
      </w:divBdr>
      <w:divsChild>
        <w:div w:id="178856957">
          <w:marLeft w:val="0"/>
          <w:marRight w:val="0"/>
          <w:marTop w:val="0"/>
          <w:marBottom w:val="0"/>
          <w:divBdr>
            <w:top w:val="none" w:sz="0" w:space="0" w:color="auto"/>
            <w:left w:val="none" w:sz="0" w:space="0" w:color="auto"/>
            <w:bottom w:val="none" w:sz="0" w:space="0" w:color="auto"/>
            <w:right w:val="none" w:sz="0" w:space="0" w:color="auto"/>
          </w:divBdr>
        </w:div>
        <w:div w:id="211159716">
          <w:marLeft w:val="0"/>
          <w:marRight w:val="0"/>
          <w:marTop w:val="0"/>
          <w:marBottom w:val="0"/>
          <w:divBdr>
            <w:top w:val="none" w:sz="0" w:space="0" w:color="auto"/>
            <w:left w:val="none" w:sz="0" w:space="0" w:color="auto"/>
            <w:bottom w:val="none" w:sz="0" w:space="0" w:color="auto"/>
            <w:right w:val="none" w:sz="0" w:space="0" w:color="auto"/>
          </w:divBdr>
          <w:divsChild>
            <w:div w:id="104692424">
              <w:marLeft w:val="0"/>
              <w:marRight w:val="0"/>
              <w:marTop w:val="0"/>
              <w:marBottom w:val="0"/>
              <w:divBdr>
                <w:top w:val="none" w:sz="0" w:space="0" w:color="auto"/>
                <w:left w:val="none" w:sz="0" w:space="0" w:color="auto"/>
                <w:bottom w:val="none" w:sz="0" w:space="0" w:color="auto"/>
                <w:right w:val="none" w:sz="0" w:space="0" w:color="auto"/>
              </w:divBdr>
            </w:div>
            <w:div w:id="144782993">
              <w:marLeft w:val="0"/>
              <w:marRight w:val="0"/>
              <w:marTop w:val="0"/>
              <w:marBottom w:val="0"/>
              <w:divBdr>
                <w:top w:val="none" w:sz="0" w:space="0" w:color="auto"/>
                <w:left w:val="none" w:sz="0" w:space="0" w:color="auto"/>
                <w:bottom w:val="none" w:sz="0" w:space="0" w:color="auto"/>
                <w:right w:val="none" w:sz="0" w:space="0" w:color="auto"/>
              </w:divBdr>
            </w:div>
            <w:div w:id="319699859">
              <w:marLeft w:val="0"/>
              <w:marRight w:val="0"/>
              <w:marTop w:val="0"/>
              <w:marBottom w:val="0"/>
              <w:divBdr>
                <w:top w:val="none" w:sz="0" w:space="0" w:color="auto"/>
                <w:left w:val="none" w:sz="0" w:space="0" w:color="auto"/>
                <w:bottom w:val="none" w:sz="0" w:space="0" w:color="auto"/>
                <w:right w:val="none" w:sz="0" w:space="0" w:color="auto"/>
              </w:divBdr>
            </w:div>
            <w:div w:id="642733716">
              <w:marLeft w:val="0"/>
              <w:marRight w:val="0"/>
              <w:marTop w:val="0"/>
              <w:marBottom w:val="0"/>
              <w:divBdr>
                <w:top w:val="none" w:sz="0" w:space="0" w:color="auto"/>
                <w:left w:val="none" w:sz="0" w:space="0" w:color="auto"/>
                <w:bottom w:val="none" w:sz="0" w:space="0" w:color="auto"/>
                <w:right w:val="none" w:sz="0" w:space="0" w:color="auto"/>
              </w:divBdr>
            </w:div>
            <w:div w:id="692389004">
              <w:marLeft w:val="0"/>
              <w:marRight w:val="0"/>
              <w:marTop w:val="0"/>
              <w:marBottom w:val="0"/>
              <w:divBdr>
                <w:top w:val="none" w:sz="0" w:space="0" w:color="auto"/>
                <w:left w:val="none" w:sz="0" w:space="0" w:color="auto"/>
                <w:bottom w:val="none" w:sz="0" w:space="0" w:color="auto"/>
                <w:right w:val="none" w:sz="0" w:space="0" w:color="auto"/>
              </w:divBdr>
            </w:div>
            <w:div w:id="736588368">
              <w:marLeft w:val="0"/>
              <w:marRight w:val="0"/>
              <w:marTop w:val="0"/>
              <w:marBottom w:val="0"/>
              <w:divBdr>
                <w:top w:val="none" w:sz="0" w:space="0" w:color="auto"/>
                <w:left w:val="none" w:sz="0" w:space="0" w:color="auto"/>
                <w:bottom w:val="none" w:sz="0" w:space="0" w:color="auto"/>
                <w:right w:val="none" w:sz="0" w:space="0" w:color="auto"/>
              </w:divBdr>
            </w:div>
            <w:div w:id="952129169">
              <w:marLeft w:val="0"/>
              <w:marRight w:val="0"/>
              <w:marTop w:val="0"/>
              <w:marBottom w:val="0"/>
              <w:divBdr>
                <w:top w:val="none" w:sz="0" w:space="0" w:color="auto"/>
                <w:left w:val="none" w:sz="0" w:space="0" w:color="auto"/>
                <w:bottom w:val="none" w:sz="0" w:space="0" w:color="auto"/>
                <w:right w:val="none" w:sz="0" w:space="0" w:color="auto"/>
              </w:divBdr>
            </w:div>
            <w:div w:id="1040322194">
              <w:marLeft w:val="0"/>
              <w:marRight w:val="0"/>
              <w:marTop w:val="0"/>
              <w:marBottom w:val="0"/>
              <w:divBdr>
                <w:top w:val="none" w:sz="0" w:space="0" w:color="auto"/>
                <w:left w:val="none" w:sz="0" w:space="0" w:color="auto"/>
                <w:bottom w:val="none" w:sz="0" w:space="0" w:color="auto"/>
                <w:right w:val="none" w:sz="0" w:space="0" w:color="auto"/>
              </w:divBdr>
            </w:div>
            <w:div w:id="1041172317">
              <w:marLeft w:val="0"/>
              <w:marRight w:val="0"/>
              <w:marTop w:val="0"/>
              <w:marBottom w:val="0"/>
              <w:divBdr>
                <w:top w:val="none" w:sz="0" w:space="0" w:color="auto"/>
                <w:left w:val="none" w:sz="0" w:space="0" w:color="auto"/>
                <w:bottom w:val="none" w:sz="0" w:space="0" w:color="auto"/>
                <w:right w:val="none" w:sz="0" w:space="0" w:color="auto"/>
              </w:divBdr>
            </w:div>
            <w:div w:id="1200432667">
              <w:marLeft w:val="0"/>
              <w:marRight w:val="0"/>
              <w:marTop w:val="0"/>
              <w:marBottom w:val="0"/>
              <w:divBdr>
                <w:top w:val="none" w:sz="0" w:space="0" w:color="auto"/>
                <w:left w:val="none" w:sz="0" w:space="0" w:color="auto"/>
                <w:bottom w:val="none" w:sz="0" w:space="0" w:color="auto"/>
                <w:right w:val="none" w:sz="0" w:space="0" w:color="auto"/>
              </w:divBdr>
            </w:div>
            <w:div w:id="1337922682">
              <w:marLeft w:val="0"/>
              <w:marRight w:val="0"/>
              <w:marTop w:val="0"/>
              <w:marBottom w:val="0"/>
              <w:divBdr>
                <w:top w:val="none" w:sz="0" w:space="0" w:color="auto"/>
                <w:left w:val="none" w:sz="0" w:space="0" w:color="auto"/>
                <w:bottom w:val="none" w:sz="0" w:space="0" w:color="auto"/>
                <w:right w:val="none" w:sz="0" w:space="0" w:color="auto"/>
              </w:divBdr>
            </w:div>
            <w:div w:id="1413115821">
              <w:marLeft w:val="0"/>
              <w:marRight w:val="0"/>
              <w:marTop w:val="0"/>
              <w:marBottom w:val="0"/>
              <w:divBdr>
                <w:top w:val="none" w:sz="0" w:space="0" w:color="auto"/>
                <w:left w:val="none" w:sz="0" w:space="0" w:color="auto"/>
                <w:bottom w:val="none" w:sz="0" w:space="0" w:color="auto"/>
                <w:right w:val="none" w:sz="0" w:space="0" w:color="auto"/>
              </w:divBdr>
            </w:div>
            <w:div w:id="1568027323">
              <w:marLeft w:val="0"/>
              <w:marRight w:val="0"/>
              <w:marTop w:val="0"/>
              <w:marBottom w:val="0"/>
              <w:divBdr>
                <w:top w:val="none" w:sz="0" w:space="0" w:color="auto"/>
                <w:left w:val="none" w:sz="0" w:space="0" w:color="auto"/>
                <w:bottom w:val="none" w:sz="0" w:space="0" w:color="auto"/>
                <w:right w:val="none" w:sz="0" w:space="0" w:color="auto"/>
              </w:divBdr>
            </w:div>
            <w:div w:id="1638022990">
              <w:marLeft w:val="0"/>
              <w:marRight w:val="0"/>
              <w:marTop w:val="0"/>
              <w:marBottom w:val="0"/>
              <w:divBdr>
                <w:top w:val="none" w:sz="0" w:space="0" w:color="auto"/>
                <w:left w:val="none" w:sz="0" w:space="0" w:color="auto"/>
                <w:bottom w:val="none" w:sz="0" w:space="0" w:color="auto"/>
                <w:right w:val="none" w:sz="0" w:space="0" w:color="auto"/>
              </w:divBdr>
            </w:div>
            <w:div w:id="1696925762">
              <w:marLeft w:val="0"/>
              <w:marRight w:val="0"/>
              <w:marTop w:val="0"/>
              <w:marBottom w:val="0"/>
              <w:divBdr>
                <w:top w:val="none" w:sz="0" w:space="0" w:color="auto"/>
                <w:left w:val="none" w:sz="0" w:space="0" w:color="auto"/>
                <w:bottom w:val="none" w:sz="0" w:space="0" w:color="auto"/>
                <w:right w:val="none" w:sz="0" w:space="0" w:color="auto"/>
              </w:divBdr>
            </w:div>
            <w:div w:id="1747871940">
              <w:marLeft w:val="0"/>
              <w:marRight w:val="0"/>
              <w:marTop w:val="0"/>
              <w:marBottom w:val="0"/>
              <w:divBdr>
                <w:top w:val="none" w:sz="0" w:space="0" w:color="auto"/>
                <w:left w:val="none" w:sz="0" w:space="0" w:color="auto"/>
                <w:bottom w:val="none" w:sz="0" w:space="0" w:color="auto"/>
                <w:right w:val="none" w:sz="0" w:space="0" w:color="auto"/>
              </w:divBdr>
            </w:div>
            <w:div w:id="1875774177">
              <w:marLeft w:val="0"/>
              <w:marRight w:val="0"/>
              <w:marTop w:val="0"/>
              <w:marBottom w:val="0"/>
              <w:divBdr>
                <w:top w:val="none" w:sz="0" w:space="0" w:color="auto"/>
                <w:left w:val="none" w:sz="0" w:space="0" w:color="auto"/>
                <w:bottom w:val="none" w:sz="0" w:space="0" w:color="auto"/>
                <w:right w:val="none" w:sz="0" w:space="0" w:color="auto"/>
              </w:divBdr>
            </w:div>
            <w:div w:id="1962806484">
              <w:marLeft w:val="0"/>
              <w:marRight w:val="0"/>
              <w:marTop w:val="0"/>
              <w:marBottom w:val="0"/>
              <w:divBdr>
                <w:top w:val="none" w:sz="0" w:space="0" w:color="auto"/>
                <w:left w:val="none" w:sz="0" w:space="0" w:color="auto"/>
                <w:bottom w:val="none" w:sz="0" w:space="0" w:color="auto"/>
                <w:right w:val="none" w:sz="0" w:space="0" w:color="auto"/>
              </w:divBdr>
            </w:div>
            <w:div w:id="2011909643">
              <w:marLeft w:val="0"/>
              <w:marRight w:val="0"/>
              <w:marTop w:val="0"/>
              <w:marBottom w:val="0"/>
              <w:divBdr>
                <w:top w:val="none" w:sz="0" w:space="0" w:color="auto"/>
                <w:left w:val="none" w:sz="0" w:space="0" w:color="auto"/>
                <w:bottom w:val="none" w:sz="0" w:space="0" w:color="auto"/>
                <w:right w:val="none" w:sz="0" w:space="0" w:color="auto"/>
              </w:divBdr>
            </w:div>
            <w:div w:id="2052532636">
              <w:marLeft w:val="0"/>
              <w:marRight w:val="0"/>
              <w:marTop w:val="0"/>
              <w:marBottom w:val="0"/>
              <w:divBdr>
                <w:top w:val="none" w:sz="0" w:space="0" w:color="auto"/>
                <w:left w:val="none" w:sz="0" w:space="0" w:color="auto"/>
                <w:bottom w:val="none" w:sz="0" w:space="0" w:color="auto"/>
                <w:right w:val="none" w:sz="0" w:space="0" w:color="auto"/>
              </w:divBdr>
            </w:div>
          </w:divsChild>
        </w:div>
        <w:div w:id="301235183">
          <w:marLeft w:val="0"/>
          <w:marRight w:val="0"/>
          <w:marTop w:val="0"/>
          <w:marBottom w:val="0"/>
          <w:divBdr>
            <w:top w:val="none" w:sz="0" w:space="0" w:color="auto"/>
            <w:left w:val="none" w:sz="0" w:space="0" w:color="auto"/>
            <w:bottom w:val="none" w:sz="0" w:space="0" w:color="auto"/>
            <w:right w:val="none" w:sz="0" w:space="0" w:color="auto"/>
          </w:divBdr>
        </w:div>
        <w:div w:id="446584286">
          <w:marLeft w:val="0"/>
          <w:marRight w:val="0"/>
          <w:marTop w:val="0"/>
          <w:marBottom w:val="0"/>
          <w:divBdr>
            <w:top w:val="none" w:sz="0" w:space="0" w:color="auto"/>
            <w:left w:val="none" w:sz="0" w:space="0" w:color="auto"/>
            <w:bottom w:val="none" w:sz="0" w:space="0" w:color="auto"/>
            <w:right w:val="none" w:sz="0" w:space="0" w:color="auto"/>
          </w:divBdr>
        </w:div>
        <w:div w:id="480661933">
          <w:marLeft w:val="0"/>
          <w:marRight w:val="0"/>
          <w:marTop w:val="0"/>
          <w:marBottom w:val="0"/>
          <w:divBdr>
            <w:top w:val="none" w:sz="0" w:space="0" w:color="auto"/>
            <w:left w:val="none" w:sz="0" w:space="0" w:color="auto"/>
            <w:bottom w:val="none" w:sz="0" w:space="0" w:color="auto"/>
            <w:right w:val="none" w:sz="0" w:space="0" w:color="auto"/>
          </w:divBdr>
        </w:div>
        <w:div w:id="549804628">
          <w:marLeft w:val="0"/>
          <w:marRight w:val="0"/>
          <w:marTop w:val="0"/>
          <w:marBottom w:val="0"/>
          <w:divBdr>
            <w:top w:val="none" w:sz="0" w:space="0" w:color="auto"/>
            <w:left w:val="none" w:sz="0" w:space="0" w:color="auto"/>
            <w:bottom w:val="none" w:sz="0" w:space="0" w:color="auto"/>
            <w:right w:val="none" w:sz="0" w:space="0" w:color="auto"/>
          </w:divBdr>
        </w:div>
        <w:div w:id="701638156">
          <w:marLeft w:val="0"/>
          <w:marRight w:val="0"/>
          <w:marTop w:val="0"/>
          <w:marBottom w:val="0"/>
          <w:divBdr>
            <w:top w:val="none" w:sz="0" w:space="0" w:color="auto"/>
            <w:left w:val="none" w:sz="0" w:space="0" w:color="auto"/>
            <w:bottom w:val="none" w:sz="0" w:space="0" w:color="auto"/>
            <w:right w:val="none" w:sz="0" w:space="0" w:color="auto"/>
          </w:divBdr>
          <w:divsChild>
            <w:div w:id="329451564">
              <w:marLeft w:val="0"/>
              <w:marRight w:val="0"/>
              <w:marTop w:val="0"/>
              <w:marBottom w:val="0"/>
              <w:divBdr>
                <w:top w:val="none" w:sz="0" w:space="0" w:color="auto"/>
                <w:left w:val="none" w:sz="0" w:space="0" w:color="auto"/>
                <w:bottom w:val="none" w:sz="0" w:space="0" w:color="auto"/>
                <w:right w:val="none" w:sz="0" w:space="0" w:color="auto"/>
              </w:divBdr>
            </w:div>
            <w:div w:id="391972402">
              <w:marLeft w:val="0"/>
              <w:marRight w:val="0"/>
              <w:marTop w:val="0"/>
              <w:marBottom w:val="0"/>
              <w:divBdr>
                <w:top w:val="none" w:sz="0" w:space="0" w:color="auto"/>
                <w:left w:val="none" w:sz="0" w:space="0" w:color="auto"/>
                <w:bottom w:val="none" w:sz="0" w:space="0" w:color="auto"/>
                <w:right w:val="none" w:sz="0" w:space="0" w:color="auto"/>
              </w:divBdr>
            </w:div>
            <w:div w:id="483201988">
              <w:marLeft w:val="0"/>
              <w:marRight w:val="0"/>
              <w:marTop w:val="0"/>
              <w:marBottom w:val="0"/>
              <w:divBdr>
                <w:top w:val="none" w:sz="0" w:space="0" w:color="auto"/>
                <w:left w:val="none" w:sz="0" w:space="0" w:color="auto"/>
                <w:bottom w:val="none" w:sz="0" w:space="0" w:color="auto"/>
                <w:right w:val="none" w:sz="0" w:space="0" w:color="auto"/>
              </w:divBdr>
            </w:div>
            <w:div w:id="509835888">
              <w:marLeft w:val="0"/>
              <w:marRight w:val="0"/>
              <w:marTop w:val="0"/>
              <w:marBottom w:val="0"/>
              <w:divBdr>
                <w:top w:val="none" w:sz="0" w:space="0" w:color="auto"/>
                <w:left w:val="none" w:sz="0" w:space="0" w:color="auto"/>
                <w:bottom w:val="none" w:sz="0" w:space="0" w:color="auto"/>
                <w:right w:val="none" w:sz="0" w:space="0" w:color="auto"/>
              </w:divBdr>
            </w:div>
            <w:div w:id="613906586">
              <w:marLeft w:val="0"/>
              <w:marRight w:val="0"/>
              <w:marTop w:val="0"/>
              <w:marBottom w:val="0"/>
              <w:divBdr>
                <w:top w:val="none" w:sz="0" w:space="0" w:color="auto"/>
                <w:left w:val="none" w:sz="0" w:space="0" w:color="auto"/>
                <w:bottom w:val="none" w:sz="0" w:space="0" w:color="auto"/>
                <w:right w:val="none" w:sz="0" w:space="0" w:color="auto"/>
              </w:divBdr>
            </w:div>
            <w:div w:id="895704842">
              <w:marLeft w:val="0"/>
              <w:marRight w:val="0"/>
              <w:marTop w:val="0"/>
              <w:marBottom w:val="0"/>
              <w:divBdr>
                <w:top w:val="none" w:sz="0" w:space="0" w:color="auto"/>
                <w:left w:val="none" w:sz="0" w:space="0" w:color="auto"/>
                <w:bottom w:val="none" w:sz="0" w:space="0" w:color="auto"/>
                <w:right w:val="none" w:sz="0" w:space="0" w:color="auto"/>
              </w:divBdr>
            </w:div>
            <w:div w:id="931083862">
              <w:marLeft w:val="0"/>
              <w:marRight w:val="0"/>
              <w:marTop w:val="0"/>
              <w:marBottom w:val="0"/>
              <w:divBdr>
                <w:top w:val="none" w:sz="0" w:space="0" w:color="auto"/>
                <w:left w:val="none" w:sz="0" w:space="0" w:color="auto"/>
                <w:bottom w:val="none" w:sz="0" w:space="0" w:color="auto"/>
                <w:right w:val="none" w:sz="0" w:space="0" w:color="auto"/>
              </w:divBdr>
            </w:div>
            <w:div w:id="1108310956">
              <w:marLeft w:val="0"/>
              <w:marRight w:val="0"/>
              <w:marTop w:val="0"/>
              <w:marBottom w:val="0"/>
              <w:divBdr>
                <w:top w:val="none" w:sz="0" w:space="0" w:color="auto"/>
                <w:left w:val="none" w:sz="0" w:space="0" w:color="auto"/>
                <w:bottom w:val="none" w:sz="0" w:space="0" w:color="auto"/>
                <w:right w:val="none" w:sz="0" w:space="0" w:color="auto"/>
              </w:divBdr>
            </w:div>
            <w:div w:id="1113866603">
              <w:marLeft w:val="0"/>
              <w:marRight w:val="0"/>
              <w:marTop w:val="0"/>
              <w:marBottom w:val="0"/>
              <w:divBdr>
                <w:top w:val="none" w:sz="0" w:space="0" w:color="auto"/>
                <w:left w:val="none" w:sz="0" w:space="0" w:color="auto"/>
                <w:bottom w:val="none" w:sz="0" w:space="0" w:color="auto"/>
                <w:right w:val="none" w:sz="0" w:space="0" w:color="auto"/>
              </w:divBdr>
            </w:div>
            <w:div w:id="1208641318">
              <w:marLeft w:val="0"/>
              <w:marRight w:val="0"/>
              <w:marTop w:val="0"/>
              <w:marBottom w:val="0"/>
              <w:divBdr>
                <w:top w:val="none" w:sz="0" w:space="0" w:color="auto"/>
                <w:left w:val="none" w:sz="0" w:space="0" w:color="auto"/>
                <w:bottom w:val="none" w:sz="0" w:space="0" w:color="auto"/>
                <w:right w:val="none" w:sz="0" w:space="0" w:color="auto"/>
              </w:divBdr>
            </w:div>
            <w:div w:id="1214462307">
              <w:marLeft w:val="0"/>
              <w:marRight w:val="0"/>
              <w:marTop w:val="0"/>
              <w:marBottom w:val="0"/>
              <w:divBdr>
                <w:top w:val="none" w:sz="0" w:space="0" w:color="auto"/>
                <w:left w:val="none" w:sz="0" w:space="0" w:color="auto"/>
                <w:bottom w:val="none" w:sz="0" w:space="0" w:color="auto"/>
                <w:right w:val="none" w:sz="0" w:space="0" w:color="auto"/>
              </w:divBdr>
            </w:div>
            <w:div w:id="1250113114">
              <w:marLeft w:val="0"/>
              <w:marRight w:val="0"/>
              <w:marTop w:val="0"/>
              <w:marBottom w:val="0"/>
              <w:divBdr>
                <w:top w:val="none" w:sz="0" w:space="0" w:color="auto"/>
                <w:left w:val="none" w:sz="0" w:space="0" w:color="auto"/>
                <w:bottom w:val="none" w:sz="0" w:space="0" w:color="auto"/>
                <w:right w:val="none" w:sz="0" w:space="0" w:color="auto"/>
              </w:divBdr>
            </w:div>
            <w:div w:id="1432974198">
              <w:marLeft w:val="0"/>
              <w:marRight w:val="0"/>
              <w:marTop w:val="0"/>
              <w:marBottom w:val="0"/>
              <w:divBdr>
                <w:top w:val="none" w:sz="0" w:space="0" w:color="auto"/>
                <w:left w:val="none" w:sz="0" w:space="0" w:color="auto"/>
                <w:bottom w:val="none" w:sz="0" w:space="0" w:color="auto"/>
                <w:right w:val="none" w:sz="0" w:space="0" w:color="auto"/>
              </w:divBdr>
            </w:div>
            <w:div w:id="1460496070">
              <w:marLeft w:val="0"/>
              <w:marRight w:val="0"/>
              <w:marTop w:val="0"/>
              <w:marBottom w:val="0"/>
              <w:divBdr>
                <w:top w:val="none" w:sz="0" w:space="0" w:color="auto"/>
                <w:left w:val="none" w:sz="0" w:space="0" w:color="auto"/>
                <w:bottom w:val="none" w:sz="0" w:space="0" w:color="auto"/>
                <w:right w:val="none" w:sz="0" w:space="0" w:color="auto"/>
              </w:divBdr>
            </w:div>
            <w:div w:id="1508593797">
              <w:marLeft w:val="0"/>
              <w:marRight w:val="0"/>
              <w:marTop w:val="0"/>
              <w:marBottom w:val="0"/>
              <w:divBdr>
                <w:top w:val="none" w:sz="0" w:space="0" w:color="auto"/>
                <w:left w:val="none" w:sz="0" w:space="0" w:color="auto"/>
                <w:bottom w:val="none" w:sz="0" w:space="0" w:color="auto"/>
                <w:right w:val="none" w:sz="0" w:space="0" w:color="auto"/>
              </w:divBdr>
            </w:div>
            <w:div w:id="1550340912">
              <w:marLeft w:val="0"/>
              <w:marRight w:val="0"/>
              <w:marTop w:val="0"/>
              <w:marBottom w:val="0"/>
              <w:divBdr>
                <w:top w:val="none" w:sz="0" w:space="0" w:color="auto"/>
                <w:left w:val="none" w:sz="0" w:space="0" w:color="auto"/>
                <w:bottom w:val="none" w:sz="0" w:space="0" w:color="auto"/>
                <w:right w:val="none" w:sz="0" w:space="0" w:color="auto"/>
              </w:divBdr>
            </w:div>
            <w:div w:id="1673951769">
              <w:marLeft w:val="0"/>
              <w:marRight w:val="0"/>
              <w:marTop w:val="0"/>
              <w:marBottom w:val="0"/>
              <w:divBdr>
                <w:top w:val="none" w:sz="0" w:space="0" w:color="auto"/>
                <w:left w:val="none" w:sz="0" w:space="0" w:color="auto"/>
                <w:bottom w:val="none" w:sz="0" w:space="0" w:color="auto"/>
                <w:right w:val="none" w:sz="0" w:space="0" w:color="auto"/>
              </w:divBdr>
            </w:div>
            <w:div w:id="1687318764">
              <w:marLeft w:val="0"/>
              <w:marRight w:val="0"/>
              <w:marTop w:val="0"/>
              <w:marBottom w:val="0"/>
              <w:divBdr>
                <w:top w:val="none" w:sz="0" w:space="0" w:color="auto"/>
                <w:left w:val="none" w:sz="0" w:space="0" w:color="auto"/>
                <w:bottom w:val="none" w:sz="0" w:space="0" w:color="auto"/>
                <w:right w:val="none" w:sz="0" w:space="0" w:color="auto"/>
              </w:divBdr>
            </w:div>
            <w:div w:id="1743719559">
              <w:marLeft w:val="0"/>
              <w:marRight w:val="0"/>
              <w:marTop w:val="0"/>
              <w:marBottom w:val="0"/>
              <w:divBdr>
                <w:top w:val="none" w:sz="0" w:space="0" w:color="auto"/>
                <w:left w:val="none" w:sz="0" w:space="0" w:color="auto"/>
                <w:bottom w:val="none" w:sz="0" w:space="0" w:color="auto"/>
                <w:right w:val="none" w:sz="0" w:space="0" w:color="auto"/>
              </w:divBdr>
            </w:div>
            <w:div w:id="1902280025">
              <w:marLeft w:val="0"/>
              <w:marRight w:val="0"/>
              <w:marTop w:val="0"/>
              <w:marBottom w:val="0"/>
              <w:divBdr>
                <w:top w:val="none" w:sz="0" w:space="0" w:color="auto"/>
                <w:left w:val="none" w:sz="0" w:space="0" w:color="auto"/>
                <w:bottom w:val="none" w:sz="0" w:space="0" w:color="auto"/>
                <w:right w:val="none" w:sz="0" w:space="0" w:color="auto"/>
              </w:divBdr>
            </w:div>
          </w:divsChild>
        </w:div>
        <w:div w:id="711273387">
          <w:marLeft w:val="0"/>
          <w:marRight w:val="0"/>
          <w:marTop w:val="0"/>
          <w:marBottom w:val="0"/>
          <w:divBdr>
            <w:top w:val="none" w:sz="0" w:space="0" w:color="auto"/>
            <w:left w:val="none" w:sz="0" w:space="0" w:color="auto"/>
            <w:bottom w:val="none" w:sz="0" w:space="0" w:color="auto"/>
            <w:right w:val="none" w:sz="0" w:space="0" w:color="auto"/>
          </w:divBdr>
        </w:div>
        <w:div w:id="936913220">
          <w:marLeft w:val="0"/>
          <w:marRight w:val="0"/>
          <w:marTop w:val="0"/>
          <w:marBottom w:val="0"/>
          <w:divBdr>
            <w:top w:val="none" w:sz="0" w:space="0" w:color="auto"/>
            <w:left w:val="none" w:sz="0" w:space="0" w:color="auto"/>
            <w:bottom w:val="none" w:sz="0" w:space="0" w:color="auto"/>
            <w:right w:val="none" w:sz="0" w:space="0" w:color="auto"/>
          </w:divBdr>
        </w:div>
        <w:div w:id="985624191">
          <w:marLeft w:val="0"/>
          <w:marRight w:val="0"/>
          <w:marTop w:val="0"/>
          <w:marBottom w:val="0"/>
          <w:divBdr>
            <w:top w:val="none" w:sz="0" w:space="0" w:color="auto"/>
            <w:left w:val="none" w:sz="0" w:space="0" w:color="auto"/>
            <w:bottom w:val="none" w:sz="0" w:space="0" w:color="auto"/>
            <w:right w:val="none" w:sz="0" w:space="0" w:color="auto"/>
          </w:divBdr>
        </w:div>
        <w:div w:id="1024595457">
          <w:marLeft w:val="0"/>
          <w:marRight w:val="0"/>
          <w:marTop w:val="0"/>
          <w:marBottom w:val="0"/>
          <w:divBdr>
            <w:top w:val="none" w:sz="0" w:space="0" w:color="auto"/>
            <w:left w:val="none" w:sz="0" w:space="0" w:color="auto"/>
            <w:bottom w:val="none" w:sz="0" w:space="0" w:color="auto"/>
            <w:right w:val="none" w:sz="0" w:space="0" w:color="auto"/>
          </w:divBdr>
        </w:div>
        <w:div w:id="1084761017">
          <w:marLeft w:val="0"/>
          <w:marRight w:val="0"/>
          <w:marTop w:val="0"/>
          <w:marBottom w:val="0"/>
          <w:divBdr>
            <w:top w:val="none" w:sz="0" w:space="0" w:color="auto"/>
            <w:left w:val="none" w:sz="0" w:space="0" w:color="auto"/>
            <w:bottom w:val="none" w:sz="0" w:space="0" w:color="auto"/>
            <w:right w:val="none" w:sz="0" w:space="0" w:color="auto"/>
          </w:divBdr>
        </w:div>
        <w:div w:id="1142384962">
          <w:marLeft w:val="0"/>
          <w:marRight w:val="0"/>
          <w:marTop w:val="0"/>
          <w:marBottom w:val="0"/>
          <w:divBdr>
            <w:top w:val="none" w:sz="0" w:space="0" w:color="auto"/>
            <w:left w:val="none" w:sz="0" w:space="0" w:color="auto"/>
            <w:bottom w:val="none" w:sz="0" w:space="0" w:color="auto"/>
            <w:right w:val="none" w:sz="0" w:space="0" w:color="auto"/>
          </w:divBdr>
        </w:div>
        <w:div w:id="1151629226">
          <w:marLeft w:val="0"/>
          <w:marRight w:val="0"/>
          <w:marTop w:val="0"/>
          <w:marBottom w:val="0"/>
          <w:divBdr>
            <w:top w:val="none" w:sz="0" w:space="0" w:color="auto"/>
            <w:left w:val="none" w:sz="0" w:space="0" w:color="auto"/>
            <w:bottom w:val="none" w:sz="0" w:space="0" w:color="auto"/>
            <w:right w:val="none" w:sz="0" w:space="0" w:color="auto"/>
          </w:divBdr>
        </w:div>
        <w:div w:id="1165442036">
          <w:marLeft w:val="0"/>
          <w:marRight w:val="0"/>
          <w:marTop w:val="0"/>
          <w:marBottom w:val="0"/>
          <w:divBdr>
            <w:top w:val="none" w:sz="0" w:space="0" w:color="auto"/>
            <w:left w:val="none" w:sz="0" w:space="0" w:color="auto"/>
            <w:bottom w:val="none" w:sz="0" w:space="0" w:color="auto"/>
            <w:right w:val="none" w:sz="0" w:space="0" w:color="auto"/>
          </w:divBdr>
        </w:div>
        <w:div w:id="1254052921">
          <w:marLeft w:val="0"/>
          <w:marRight w:val="0"/>
          <w:marTop w:val="0"/>
          <w:marBottom w:val="0"/>
          <w:divBdr>
            <w:top w:val="none" w:sz="0" w:space="0" w:color="auto"/>
            <w:left w:val="none" w:sz="0" w:space="0" w:color="auto"/>
            <w:bottom w:val="none" w:sz="0" w:space="0" w:color="auto"/>
            <w:right w:val="none" w:sz="0" w:space="0" w:color="auto"/>
          </w:divBdr>
        </w:div>
        <w:div w:id="1361280544">
          <w:marLeft w:val="0"/>
          <w:marRight w:val="0"/>
          <w:marTop w:val="0"/>
          <w:marBottom w:val="0"/>
          <w:divBdr>
            <w:top w:val="none" w:sz="0" w:space="0" w:color="auto"/>
            <w:left w:val="none" w:sz="0" w:space="0" w:color="auto"/>
            <w:bottom w:val="none" w:sz="0" w:space="0" w:color="auto"/>
            <w:right w:val="none" w:sz="0" w:space="0" w:color="auto"/>
          </w:divBdr>
        </w:div>
        <w:div w:id="1517883914">
          <w:marLeft w:val="0"/>
          <w:marRight w:val="0"/>
          <w:marTop w:val="0"/>
          <w:marBottom w:val="0"/>
          <w:divBdr>
            <w:top w:val="none" w:sz="0" w:space="0" w:color="auto"/>
            <w:left w:val="none" w:sz="0" w:space="0" w:color="auto"/>
            <w:bottom w:val="none" w:sz="0" w:space="0" w:color="auto"/>
            <w:right w:val="none" w:sz="0" w:space="0" w:color="auto"/>
          </w:divBdr>
        </w:div>
        <w:div w:id="1586911892">
          <w:marLeft w:val="0"/>
          <w:marRight w:val="0"/>
          <w:marTop w:val="0"/>
          <w:marBottom w:val="0"/>
          <w:divBdr>
            <w:top w:val="none" w:sz="0" w:space="0" w:color="auto"/>
            <w:left w:val="none" w:sz="0" w:space="0" w:color="auto"/>
            <w:bottom w:val="none" w:sz="0" w:space="0" w:color="auto"/>
            <w:right w:val="none" w:sz="0" w:space="0" w:color="auto"/>
          </w:divBdr>
        </w:div>
        <w:div w:id="1593003956">
          <w:marLeft w:val="0"/>
          <w:marRight w:val="0"/>
          <w:marTop w:val="0"/>
          <w:marBottom w:val="0"/>
          <w:divBdr>
            <w:top w:val="none" w:sz="0" w:space="0" w:color="auto"/>
            <w:left w:val="none" w:sz="0" w:space="0" w:color="auto"/>
            <w:bottom w:val="none" w:sz="0" w:space="0" w:color="auto"/>
            <w:right w:val="none" w:sz="0" w:space="0" w:color="auto"/>
          </w:divBdr>
        </w:div>
        <w:div w:id="1825048375">
          <w:marLeft w:val="0"/>
          <w:marRight w:val="0"/>
          <w:marTop w:val="0"/>
          <w:marBottom w:val="0"/>
          <w:divBdr>
            <w:top w:val="none" w:sz="0" w:space="0" w:color="auto"/>
            <w:left w:val="none" w:sz="0" w:space="0" w:color="auto"/>
            <w:bottom w:val="none" w:sz="0" w:space="0" w:color="auto"/>
            <w:right w:val="none" w:sz="0" w:space="0" w:color="auto"/>
          </w:divBdr>
        </w:div>
        <w:div w:id="1856576406">
          <w:marLeft w:val="0"/>
          <w:marRight w:val="0"/>
          <w:marTop w:val="0"/>
          <w:marBottom w:val="0"/>
          <w:divBdr>
            <w:top w:val="none" w:sz="0" w:space="0" w:color="auto"/>
            <w:left w:val="none" w:sz="0" w:space="0" w:color="auto"/>
            <w:bottom w:val="none" w:sz="0" w:space="0" w:color="auto"/>
            <w:right w:val="none" w:sz="0" w:space="0" w:color="auto"/>
          </w:divBdr>
          <w:divsChild>
            <w:div w:id="177085765">
              <w:marLeft w:val="0"/>
              <w:marRight w:val="0"/>
              <w:marTop w:val="0"/>
              <w:marBottom w:val="0"/>
              <w:divBdr>
                <w:top w:val="none" w:sz="0" w:space="0" w:color="auto"/>
                <w:left w:val="none" w:sz="0" w:space="0" w:color="auto"/>
                <w:bottom w:val="none" w:sz="0" w:space="0" w:color="auto"/>
                <w:right w:val="none" w:sz="0" w:space="0" w:color="auto"/>
              </w:divBdr>
            </w:div>
            <w:div w:id="358554055">
              <w:marLeft w:val="0"/>
              <w:marRight w:val="0"/>
              <w:marTop w:val="0"/>
              <w:marBottom w:val="0"/>
              <w:divBdr>
                <w:top w:val="none" w:sz="0" w:space="0" w:color="auto"/>
                <w:left w:val="none" w:sz="0" w:space="0" w:color="auto"/>
                <w:bottom w:val="none" w:sz="0" w:space="0" w:color="auto"/>
                <w:right w:val="none" w:sz="0" w:space="0" w:color="auto"/>
              </w:divBdr>
            </w:div>
            <w:div w:id="368838902">
              <w:marLeft w:val="0"/>
              <w:marRight w:val="0"/>
              <w:marTop w:val="0"/>
              <w:marBottom w:val="0"/>
              <w:divBdr>
                <w:top w:val="none" w:sz="0" w:space="0" w:color="auto"/>
                <w:left w:val="none" w:sz="0" w:space="0" w:color="auto"/>
                <w:bottom w:val="none" w:sz="0" w:space="0" w:color="auto"/>
                <w:right w:val="none" w:sz="0" w:space="0" w:color="auto"/>
              </w:divBdr>
            </w:div>
            <w:div w:id="420418542">
              <w:marLeft w:val="0"/>
              <w:marRight w:val="0"/>
              <w:marTop w:val="0"/>
              <w:marBottom w:val="0"/>
              <w:divBdr>
                <w:top w:val="none" w:sz="0" w:space="0" w:color="auto"/>
                <w:left w:val="none" w:sz="0" w:space="0" w:color="auto"/>
                <w:bottom w:val="none" w:sz="0" w:space="0" w:color="auto"/>
                <w:right w:val="none" w:sz="0" w:space="0" w:color="auto"/>
              </w:divBdr>
            </w:div>
            <w:div w:id="524098522">
              <w:marLeft w:val="0"/>
              <w:marRight w:val="0"/>
              <w:marTop w:val="0"/>
              <w:marBottom w:val="0"/>
              <w:divBdr>
                <w:top w:val="none" w:sz="0" w:space="0" w:color="auto"/>
                <w:left w:val="none" w:sz="0" w:space="0" w:color="auto"/>
                <w:bottom w:val="none" w:sz="0" w:space="0" w:color="auto"/>
                <w:right w:val="none" w:sz="0" w:space="0" w:color="auto"/>
              </w:divBdr>
            </w:div>
            <w:div w:id="657466313">
              <w:marLeft w:val="0"/>
              <w:marRight w:val="0"/>
              <w:marTop w:val="0"/>
              <w:marBottom w:val="0"/>
              <w:divBdr>
                <w:top w:val="none" w:sz="0" w:space="0" w:color="auto"/>
                <w:left w:val="none" w:sz="0" w:space="0" w:color="auto"/>
                <w:bottom w:val="none" w:sz="0" w:space="0" w:color="auto"/>
                <w:right w:val="none" w:sz="0" w:space="0" w:color="auto"/>
              </w:divBdr>
            </w:div>
            <w:div w:id="1021248116">
              <w:marLeft w:val="0"/>
              <w:marRight w:val="0"/>
              <w:marTop w:val="0"/>
              <w:marBottom w:val="0"/>
              <w:divBdr>
                <w:top w:val="none" w:sz="0" w:space="0" w:color="auto"/>
                <w:left w:val="none" w:sz="0" w:space="0" w:color="auto"/>
                <w:bottom w:val="none" w:sz="0" w:space="0" w:color="auto"/>
                <w:right w:val="none" w:sz="0" w:space="0" w:color="auto"/>
              </w:divBdr>
            </w:div>
            <w:div w:id="1207833559">
              <w:marLeft w:val="0"/>
              <w:marRight w:val="0"/>
              <w:marTop w:val="0"/>
              <w:marBottom w:val="0"/>
              <w:divBdr>
                <w:top w:val="none" w:sz="0" w:space="0" w:color="auto"/>
                <w:left w:val="none" w:sz="0" w:space="0" w:color="auto"/>
                <w:bottom w:val="none" w:sz="0" w:space="0" w:color="auto"/>
                <w:right w:val="none" w:sz="0" w:space="0" w:color="auto"/>
              </w:divBdr>
            </w:div>
            <w:div w:id="1426270084">
              <w:marLeft w:val="0"/>
              <w:marRight w:val="0"/>
              <w:marTop w:val="0"/>
              <w:marBottom w:val="0"/>
              <w:divBdr>
                <w:top w:val="none" w:sz="0" w:space="0" w:color="auto"/>
                <w:left w:val="none" w:sz="0" w:space="0" w:color="auto"/>
                <w:bottom w:val="none" w:sz="0" w:space="0" w:color="auto"/>
                <w:right w:val="none" w:sz="0" w:space="0" w:color="auto"/>
              </w:divBdr>
            </w:div>
            <w:div w:id="1437212929">
              <w:marLeft w:val="0"/>
              <w:marRight w:val="0"/>
              <w:marTop w:val="0"/>
              <w:marBottom w:val="0"/>
              <w:divBdr>
                <w:top w:val="none" w:sz="0" w:space="0" w:color="auto"/>
                <w:left w:val="none" w:sz="0" w:space="0" w:color="auto"/>
                <w:bottom w:val="none" w:sz="0" w:space="0" w:color="auto"/>
                <w:right w:val="none" w:sz="0" w:space="0" w:color="auto"/>
              </w:divBdr>
            </w:div>
            <w:div w:id="1494490033">
              <w:marLeft w:val="0"/>
              <w:marRight w:val="0"/>
              <w:marTop w:val="0"/>
              <w:marBottom w:val="0"/>
              <w:divBdr>
                <w:top w:val="none" w:sz="0" w:space="0" w:color="auto"/>
                <w:left w:val="none" w:sz="0" w:space="0" w:color="auto"/>
                <w:bottom w:val="none" w:sz="0" w:space="0" w:color="auto"/>
                <w:right w:val="none" w:sz="0" w:space="0" w:color="auto"/>
              </w:divBdr>
            </w:div>
            <w:div w:id="1541362352">
              <w:marLeft w:val="0"/>
              <w:marRight w:val="0"/>
              <w:marTop w:val="0"/>
              <w:marBottom w:val="0"/>
              <w:divBdr>
                <w:top w:val="none" w:sz="0" w:space="0" w:color="auto"/>
                <w:left w:val="none" w:sz="0" w:space="0" w:color="auto"/>
                <w:bottom w:val="none" w:sz="0" w:space="0" w:color="auto"/>
                <w:right w:val="none" w:sz="0" w:space="0" w:color="auto"/>
              </w:divBdr>
            </w:div>
            <w:div w:id="1668708773">
              <w:marLeft w:val="0"/>
              <w:marRight w:val="0"/>
              <w:marTop w:val="0"/>
              <w:marBottom w:val="0"/>
              <w:divBdr>
                <w:top w:val="none" w:sz="0" w:space="0" w:color="auto"/>
                <w:left w:val="none" w:sz="0" w:space="0" w:color="auto"/>
                <w:bottom w:val="none" w:sz="0" w:space="0" w:color="auto"/>
                <w:right w:val="none" w:sz="0" w:space="0" w:color="auto"/>
              </w:divBdr>
            </w:div>
            <w:div w:id="1834493671">
              <w:marLeft w:val="0"/>
              <w:marRight w:val="0"/>
              <w:marTop w:val="0"/>
              <w:marBottom w:val="0"/>
              <w:divBdr>
                <w:top w:val="none" w:sz="0" w:space="0" w:color="auto"/>
                <w:left w:val="none" w:sz="0" w:space="0" w:color="auto"/>
                <w:bottom w:val="none" w:sz="0" w:space="0" w:color="auto"/>
                <w:right w:val="none" w:sz="0" w:space="0" w:color="auto"/>
              </w:divBdr>
            </w:div>
            <w:div w:id="1865752120">
              <w:marLeft w:val="0"/>
              <w:marRight w:val="0"/>
              <w:marTop w:val="0"/>
              <w:marBottom w:val="0"/>
              <w:divBdr>
                <w:top w:val="none" w:sz="0" w:space="0" w:color="auto"/>
                <w:left w:val="none" w:sz="0" w:space="0" w:color="auto"/>
                <w:bottom w:val="none" w:sz="0" w:space="0" w:color="auto"/>
                <w:right w:val="none" w:sz="0" w:space="0" w:color="auto"/>
              </w:divBdr>
            </w:div>
            <w:div w:id="1986818209">
              <w:marLeft w:val="0"/>
              <w:marRight w:val="0"/>
              <w:marTop w:val="0"/>
              <w:marBottom w:val="0"/>
              <w:divBdr>
                <w:top w:val="none" w:sz="0" w:space="0" w:color="auto"/>
                <w:left w:val="none" w:sz="0" w:space="0" w:color="auto"/>
                <w:bottom w:val="none" w:sz="0" w:space="0" w:color="auto"/>
                <w:right w:val="none" w:sz="0" w:space="0" w:color="auto"/>
              </w:divBdr>
            </w:div>
            <w:div w:id="1992978992">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2011982847">
              <w:marLeft w:val="0"/>
              <w:marRight w:val="0"/>
              <w:marTop w:val="0"/>
              <w:marBottom w:val="0"/>
              <w:divBdr>
                <w:top w:val="none" w:sz="0" w:space="0" w:color="auto"/>
                <w:left w:val="none" w:sz="0" w:space="0" w:color="auto"/>
                <w:bottom w:val="none" w:sz="0" w:space="0" w:color="auto"/>
                <w:right w:val="none" w:sz="0" w:space="0" w:color="auto"/>
              </w:divBdr>
            </w:div>
            <w:div w:id="2118286729">
              <w:marLeft w:val="0"/>
              <w:marRight w:val="0"/>
              <w:marTop w:val="0"/>
              <w:marBottom w:val="0"/>
              <w:divBdr>
                <w:top w:val="none" w:sz="0" w:space="0" w:color="auto"/>
                <w:left w:val="none" w:sz="0" w:space="0" w:color="auto"/>
                <w:bottom w:val="none" w:sz="0" w:space="0" w:color="auto"/>
                <w:right w:val="none" w:sz="0" w:space="0" w:color="auto"/>
              </w:divBdr>
            </w:div>
          </w:divsChild>
        </w:div>
        <w:div w:id="1899509749">
          <w:marLeft w:val="0"/>
          <w:marRight w:val="0"/>
          <w:marTop w:val="0"/>
          <w:marBottom w:val="0"/>
          <w:divBdr>
            <w:top w:val="none" w:sz="0" w:space="0" w:color="auto"/>
            <w:left w:val="none" w:sz="0" w:space="0" w:color="auto"/>
            <w:bottom w:val="none" w:sz="0" w:space="0" w:color="auto"/>
            <w:right w:val="none" w:sz="0" w:space="0" w:color="auto"/>
          </w:divBdr>
        </w:div>
        <w:div w:id="1993173880">
          <w:marLeft w:val="0"/>
          <w:marRight w:val="0"/>
          <w:marTop w:val="0"/>
          <w:marBottom w:val="0"/>
          <w:divBdr>
            <w:top w:val="none" w:sz="0" w:space="0" w:color="auto"/>
            <w:left w:val="none" w:sz="0" w:space="0" w:color="auto"/>
            <w:bottom w:val="none" w:sz="0" w:space="0" w:color="auto"/>
            <w:right w:val="none" w:sz="0" w:space="0" w:color="auto"/>
          </w:divBdr>
        </w:div>
        <w:div w:id="2110813141">
          <w:marLeft w:val="0"/>
          <w:marRight w:val="0"/>
          <w:marTop w:val="0"/>
          <w:marBottom w:val="0"/>
          <w:divBdr>
            <w:top w:val="none" w:sz="0" w:space="0" w:color="auto"/>
            <w:left w:val="none" w:sz="0" w:space="0" w:color="auto"/>
            <w:bottom w:val="none" w:sz="0" w:space="0" w:color="auto"/>
            <w:right w:val="none" w:sz="0" w:space="0" w:color="auto"/>
          </w:divBdr>
        </w:div>
      </w:divsChild>
    </w:div>
    <w:div w:id="314846846">
      <w:bodyDiv w:val="1"/>
      <w:marLeft w:val="0"/>
      <w:marRight w:val="0"/>
      <w:marTop w:val="0"/>
      <w:marBottom w:val="0"/>
      <w:divBdr>
        <w:top w:val="none" w:sz="0" w:space="0" w:color="auto"/>
        <w:left w:val="none" w:sz="0" w:space="0" w:color="auto"/>
        <w:bottom w:val="none" w:sz="0" w:space="0" w:color="auto"/>
        <w:right w:val="none" w:sz="0" w:space="0" w:color="auto"/>
      </w:divBdr>
    </w:div>
    <w:div w:id="316034214">
      <w:bodyDiv w:val="1"/>
      <w:marLeft w:val="0"/>
      <w:marRight w:val="0"/>
      <w:marTop w:val="0"/>
      <w:marBottom w:val="0"/>
      <w:divBdr>
        <w:top w:val="none" w:sz="0" w:space="0" w:color="auto"/>
        <w:left w:val="none" w:sz="0" w:space="0" w:color="auto"/>
        <w:bottom w:val="none" w:sz="0" w:space="0" w:color="auto"/>
        <w:right w:val="none" w:sz="0" w:space="0" w:color="auto"/>
      </w:divBdr>
      <w:divsChild>
        <w:div w:id="1970940184">
          <w:marLeft w:val="0"/>
          <w:marRight w:val="0"/>
          <w:marTop w:val="0"/>
          <w:marBottom w:val="0"/>
          <w:divBdr>
            <w:top w:val="none" w:sz="0" w:space="0" w:color="auto"/>
            <w:left w:val="none" w:sz="0" w:space="0" w:color="auto"/>
            <w:bottom w:val="none" w:sz="0" w:space="0" w:color="auto"/>
            <w:right w:val="none" w:sz="0" w:space="0" w:color="auto"/>
          </w:divBdr>
        </w:div>
        <w:div w:id="2124566343">
          <w:marLeft w:val="0"/>
          <w:marRight w:val="0"/>
          <w:marTop w:val="0"/>
          <w:marBottom w:val="0"/>
          <w:divBdr>
            <w:top w:val="none" w:sz="0" w:space="0" w:color="auto"/>
            <w:left w:val="none" w:sz="0" w:space="0" w:color="auto"/>
            <w:bottom w:val="none" w:sz="0" w:space="0" w:color="auto"/>
            <w:right w:val="none" w:sz="0" w:space="0" w:color="auto"/>
          </w:divBdr>
        </w:div>
      </w:divsChild>
    </w:div>
    <w:div w:id="320042797">
      <w:bodyDiv w:val="1"/>
      <w:marLeft w:val="0"/>
      <w:marRight w:val="0"/>
      <w:marTop w:val="0"/>
      <w:marBottom w:val="0"/>
      <w:divBdr>
        <w:top w:val="none" w:sz="0" w:space="0" w:color="auto"/>
        <w:left w:val="none" w:sz="0" w:space="0" w:color="auto"/>
        <w:bottom w:val="none" w:sz="0" w:space="0" w:color="auto"/>
        <w:right w:val="none" w:sz="0" w:space="0" w:color="auto"/>
      </w:divBdr>
    </w:div>
    <w:div w:id="368459884">
      <w:bodyDiv w:val="1"/>
      <w:marLeft w:val="0"/>
      <w:marRight w:val="0"/>
      <w:marTop w:val="0"/>
      <w:marBottom w:val="0"/>
      <w:divBdr>
        <w:top w:val="none" w:sz="0" w:space="0" w:color="auto"/>
        <w:left w:val="none" w:sz="0" w:space="0" w:color="auto"/>
        <w:bottom w:val="none" w:sz="0" w:space="0" w:color="auto"/>
        <w:right w:val="none" w:sz="0" w:space="0" w:color="auto"/>
      </w:divBdr>
    </w:div>
    <w:div w:id="443037020">
      <w:bodyDiv w:val="1"/>
      <w:marLeft w:val="0"/>
      <w:marRight w:val="0"/>
      <w:marTop w:val="0"/>
      <w:marBottom w:val="0"/>
      <w:divBdr>
        <w:top w:val="none" w:sz="0" w:space="0" w:color="auto"/>
        <w:left w:val="none" w:sz="0" w:space="0" w:color="auto"/>
        <w:bottom w:val="none" w:sz="0" w:space="0" w:color="auto"/>
        <w:right w:val="none" w:sz="0" w:space="0" w:color="auto"/>
      </w:divBdr>
      <w:divsChild>
        <w:div w:id="13773657">
          <w:marLeft w:val="0"/>
          <w:marRight w:val="0"/>
          <w:marTop w:val="0"/>
          <w:marBottom w:val="0"/>
          <w:divBdr>
            <w:top w:val="none" w:sz="0" w:space="0" w:color="auto"/>
            <w:left w:val="none" w:sz="0" w:space="0" w:color="auto"/>
            <w:bottom w:val="none" w:sz="0" w:space="0" w:color="auto"/>
            <w:right w:val="none" w:sz="0" w:space="0" w:color="auto"/>
          </w:divBdr>
        </w:div>
        <w:div w:id="24797987">
          <w:marLeft w:val="0"/>
          <w:marRight w:val="0"/>
          <w:marTop w:val="0"/>
          <w:marBottom w:val="0"/>
          <w:divBdr>
            <w:top w:val="none" w:sz="0" w:space="0" w:color="auto"/>
            <w:left w:val="none" w:sz="0" w:space="0" w:color="auto"/>
            <w:bottom w:val="none" w:sz="0" w:space="0" w:color="auto"/>
            <w:right w:val="none" w:sz="0" w:space="0" w:color="auto"/>
          </w:divBdr>
        </w:div>
        <w:div w:id="39017914">
          <w:marLeft w:val="0"/>
          <w:marRight w:val="0"/>
          <w:marTop w:val="0"/>
          <w:marBottom w:val="0"/>
          <w:divBdr>
            <w:top w:val="none" w:sz="0" w:space="0" w:color="auto"/>
            <w:left w:val="none" w:sz="0" w:space="0" w:color="auto"/>
            <w:bottom w:val="none" w:sz="0" w:space="0" w:color="auto"/>
            <w:right w:val="none" w:sz="0" w:space="0" w:color="auto"/>
          </w:divBdr>
        </w:div>
        <w:div w:id="43678121">
          <w:marLeft w:val="0"/>
          <w:marRight w:val="0"/>
          <w:marTop w:val="0"/>
          <w:marBottom w:val="0"/>
          <w:divBdr>
            <w:top w:val="none" w:sz="0" w:space="0" w:color="auto"/>
            <w:left w:val="none" w:sz="0" w:space="0" w:color="auto"/>
            <w:bottom w:val="none" w:sz="0" w:space="0" w:color="auto"/>
            <w:right w:val="none" w:sz="0" w:space="0" w:color="auto"/>
          </w:divBdr>
        </w:div>
        <w:div w:id="48189517">
          <w:marLeft w:val="0"/>
          <w:marRight w:val="0"/>
          <w:marTop w:val="0"/>
          <w:marBottom w:val="0"/>
          <w:divBdr>
            <w:top w:val="none" w:sz="0" w:space="0" w:color="auto"/>
            <w:left w:val="none" w:sz="0" w:space="0" w:color="auto"/>
            <w:bottom w:val="none" w:sz="0" w:space="0" w:color="auto"/>
            <w:right w:val="none" w:sz="0" w:space="0" w:color="auto"/>
          </w:divBdr>
        </w:div>
        <w:div w:id="50689675">
          <w:marLeft w:val="0"/>
          <w:marRight w:val="0"/>
          <w:marTop w:val="0"/>
          <w:marBottom w:val="0"/>
          <w:divBdr>
            <w:top w:val="none" w:sz="0" w:space="0" w:color="auto"/>
            <w:left w:val="none" w:sz="0" w:space="0" w:color="auto"/>
            <w:bottom w:val="none" w:sz="0" w:space="0" w:color="auto"/>
            <w:right w:val="none" w:sz="0" w:space="0" w:color="auto"/>
          </w:divBdr>
        </w:div>
        <w:div w:id="61605546">
          <w:marLeft w:val="0"/>
          <w:marRight w:val="0"/>
          <w:marTop w:val="0"/>
          <w:marBottom w:val="0"/>
          <w:divBdr>
            <w:top w:val="none" w:sz="0" w:space="0" w:color="auto"/>
            <w:left w:val="none" w:sz="0" w:space="0" w:color="auto"/>
            <w:bottom w:val="none" w:sz="0" w:space="0" w:color="auto"/>
            <w:right w:val="none" w:sz="0" w:space="0" w:color="auto"/>
          </w:divBdr>
        </w:div>
        <w:div w:id="61753102">
          <w:marLeft w:val="0"/>
          <w:marRight w:val="0"/>
          <w:marTop w:val="0"/>
          <w:marBottom w:val="0"/>
          <w:divBdr>
            <w:top w:val="none" w:sz="0" w:space="0" w:color="auto"/>
            <w:left w:val="none" w:sz="0" w:space="0" w:color="auto"/>
            <w:bottom w:val="none" w:sz="0" w:space="0" w:color="auto"/>
            <w:right w:val="none" w:sz="0" w:space="0" w:color="auto"/>
          </w:divBdr>
        </w:div>
        <w:div w:id="66073200">
          <w:marLeft w:val="0"/>
          <w:marRight w:val="0"/>
          <w:marTop w:val="0"/>
          <w:marBottom w:val="0"/>
          <w:divBdr>
            <w:top w:val="none" w:sz="0" w:space="0" w:color="auto"/>
            <w:left w:val="none" w:sz="0" w:space="0" w:color="auto"/>
            <w:bottom w:val="none" w:sz="0" w:space="0" w:color="auto"/>
            <w:right w:val="none" w:sz="0" w:space="0" w:color="auto"/>
          </w:divBdr>
        </w:div>
        <w:div w:id="73206965">
          <w:marLeft w:val="0"/>
          <w:marRight w:val="0"/>
          <w:marTop w:val="0"/>
          <w:marBottom w:val="0"/>
          <w:divBdr>
            <w:top w:val="none" w:sz="0" w:space="0" w:color="auto"/>
            <w:left w:val="none" w:sz="0" w:space="0" w:color="auto"/>
            <w:bottom w:val="none" w:sz="0" w:space="0" w:color="auto"/>
            <w:right w:val="none" w:sz="0" w:space="0" w:color="auto"/>
          </w:divBdr>
        </w:div>
        <w:div w:id="73473874">
          <w:marLeft w:val="0"/>
          <w:marRight w:val="0"/>
          <w:marTop w:val="0"/>
          <w:marBottom w:val="0"/>
          <w:divBdr>
            <w:top w:val="none" w:sz="0" w:space="0" w:color="auto"/>
            <w:left w:val="none" w:sz="0" w:space="0" w:color="auto"/>
            <w:bottom w:val="none" w:sz="0" w:space="0" w:color="auto"/>
            <w:right w:val="none" w:sz="0" w:space="0" w:color="auto"/>
          </w:divBdr>
        </w:div>
        <w:div w:id="74866291">
          <w:marLeft w:val="0"/>
          <w:marRight w:val="0"/>
          <w:marTop w:val="0"/>
          <w:marBottom w:val="0"/>
          <w:divBdr>
            <w:top w:val="none" w:sz="0" w:space="0" w:color="auto"/>
            <w:left w:val="none" w:sz="0" w:space="0" w:color="auto"/>
            <w:bottom w:val="none" w:sz="0" w:space="0" w:color="auto"/>
            <w:right w:val="none" w:sz="0" w:space="0" w:color="auto"/>
          </w:divBdr>
        </w:div>
        <w:div w:id="76362756">
          <w:marLeft w:val="0"/>
          <w:marRight w:val="0"/>
          <w:marTop w:val="0"/>
          <w:marBottom w:val="0"/>
          <w:divBdr>
            <w:top w:val="none" w:sz="0" w:space="0" w:color="auto"/>
            <w:left w:val="none" w:sz="0" w:space="0" w:color="auto"/>
            <w:bottom w:val="none" w:sz="0" w:space="0" w:color="auto"/>
            <w:right w:val="none" w:sz="0" w:space="0" w:color="auto"/>
          </w:divBdr>
        </w:div>
        <w:div w:id="84109290">
          <w:marLeft w:val="0"/>
          <w:marRight w:val="0"/>
          <w:marTop w:val="0"/>
          <w:marBottom w:val="0"/>
          <w:divBdr>
            <w:top w:val="none" w:sz="0" w:space="0" w:color="auto"/>
            <w:left w:val="none" w:sz="0" w:space="0" w:color="auto"/>
            <w:bottom w:val="none" w:sz="0" w:space="0" w:color="auto"/>
            <w:right w:val="none" w:sz="0" w:space="0" w:color="auto"/>
          </w:divBdr>
        </w:div>
        <w:div w:id="101729787">
          <w:marLeft w:val="0"/>
          <w:marRight w:val="0"/>
          <w:marTop w:val="0"/>
          <w:marBottom w:val="0"/>
          <w:divBdr>
            <w:top w:val="none" w:sz="0" w:space="0" w:color="auto"/>
            <w:left w:val="none" w:sz="0" w:space="0" w:color="auto"/>
            <w:bottom w:val="none" w:sz="0" w:space="0" w:color="auto"/>
            <w:right w:val="none" w:sz="0" w:space="0" w:color="auto"/>
          </w:divBdr>
        </w:div>
        <w:div w:id="101998664">
          <w:marLeft w:val="0"/>
          <w:marRight w:val="0"/>
          <w:marTop w:val="0"/>
          <w:marBottom w:val="0"/>
          <w:divBdr>
            <w:top w:val="none" w:sz="0" w:space="0" w:color="auto"/>
            <w:left w:val="none" w:sz="0" w:space="0" w:color="auto"/>
            <w:bottom w:val="none" w:sz="0" w:space="0" w:color="auto"/>
            <w:right w:val="none" w:sz="0" w:space="0" w:color="auto"/>
          </w:divBdr>
        </w:div>
        <w:div w:id="110054887">
          <w:marLeft w:val="0"/>
          <w:marRight w:val="0"/>
          <w:marTop w:val="0"/>
          <w:marBottom w:val="0"/>
          <w:divBdr>
            <w:top w:val="none" w:sz="0" w:space="0" w:color="auto"/>
            <w:left w:val="none" w:sz="0" w:space="0" w:color="auto"/>
            <w:bottom w:val="none" w:sz="0" w:space="0" w:color="auto"/>
            <w:right w:val="none" w:sz="0" w:space="0" w:color="auto"/>
          </w:divBdr>
        </w:div>
        <w:div w:id="110248134">
          <w:marLeft w:val="0"/>
          <w:marRight w:val="0"/>
          <w:marTop w:val="0"/>
          <w:marBottom w:val="0"/>
          <w:divBdr>
            <w:top w:val="none" w:sz="0" w:space="0" w:color="auto"/>
            <w:left w:val="none" w:sz="0" w:space="0" w:color="auto"/>
            <w:bottom w:val="none" w:sz="0" w:space="0" w:color="auto"/>
            <w:right w:val="none" w:sz="0" w:space="0" w:color="auto"/>
          </w:divBdr>
        </w:div>
        <w:div w:id="122816935">
          <w:marLeft w:val="0"/>
          <w:marRight w:val="0"/>
          <w:marTop w:val="0"/>
          <w:marBottom w:val="0"/>
          <w:divBdr>
            <w:top w:val="none" w:sz="0" w:space="0" w:color="auto"/>
            <w:left w:val="none" w:sz="0" w:space="0" w:color="auto"/>
            <w:bottom w:val="none" w:sz="0" w:space="0" w:color="auto"/>
            <w:right w:val="none" w:sz="0" w:space="0" w:color="auto"/>
          </w:divBdr>
        </w:div>
        <w:div w:id="127824537">
          <w:marLeft w:val="0"/>
          <w:marRight w:val="0"/>
          <w:marTop w:val="0"/>
          <w:marBottom w:val="0"/>
          <w:divBdr>
            <w:top w:val="none" w:sz="0" w:space="0" w:color="auto"/>
            <w:left w:val="none" w:sz="0" w:space="0" w:color="auto"/>
            <w:bottom w:val="none" w:sz="0" w:space="0" w:color="auto"/>
            <w:right w:val="none" w:sz="0" w:space="0" w:color="auto"/>
          </w:divBdr>
        </w:div>
        <w:div w:id="127867531">
          <w:marLeft w:val="0"/>
          <w:marRight w:val="0"/>
          <w:marTop w:val="0"/>
          <w:marBottom w:val="0"/>
          <w:divBdr>
            <w:top w:val="none" w:sz="0" w:space="0" w:color="auto"/>
            <w:left w:val="none" w:sz="0" w:space="0" w:color="auto"/>
            <w:bottom w:val="none" w:sz="0" w:space="0" w:color="auto"/>
            <w:right w:val="none" w:sz="0" w:space="0" w:color="auto"/>
          </w:divBdr>
        </w:div>
        <w:div w:id="128018791">
          <w:marLeft w:val="0"/>
          <w:marRight w:val="0"/>
          <w:marTop w:val="0"/>
          <w:marBottom w:val="0"/>
          <w:divBdr>
            <w:top w:val="none" w:sz="0" w:space="0" w:color="auto"/>
            <w:left w:val="none" w:sz="0" w:space="0" w:color="auto"/>
            <w:bottom w:val="none" w:sz="0" w:space="0" w:color="auto"/>
            <w:right w:val="none" w:sz="0" w:space="0" w:color="auto"/>
          </w:divBdr>
        </w:div>
        <w:div w:id="129633985">
          <w:marLeft w:val="0"/>
          <w:marRight w:val="0"/>
          <w:marTop w:val="0"/>
          <w:marBottom w:val="0"/>
          <w:divBdr>
            <w:top w:val="none" w:sz="0" w:space="0" w:color="auto"/>
            <w:left w:val="none" w:sz="0" w:space="0" w:color="auto"/>
            <w:bottom w:val="none" w:sz="0" w:space="0" w:color="auto"/>
            <w:right w:val="none" w:sz="0" w:space="0" w:color="auto"/>
          </w:divBdr>
        </w:div>
        <w:div w:id="134882898">
          <w:marLeft w:val="0"/>
          <w:marRight w:val="0"/>
          <w:marTop w:val="0"/>
          <w:marBottom w:val="0"/>
          <w:divBdr>
            <w:top w:val="none" w:sz="0" w:space="0" w:color="auto"/>
            <w:left w:val="none" w:sz="0" w:space="0" w:color="auto"/>
            <w:bottom w:val="none" w:sz="0" w:space="0" w:color="auto"/>
            <w:right w:val="none" w:sz="0" w:space="0" w:color="auto"/>
          </w:divBdr>
        </w:div>
        <w:div w:id="138697725">
          <w:marLeft w:val="0"/>
          <w:marRight w:val="0"/>
          <w:marTop w:val="0"/>
          <w:marBottom w:val="0"/>
          <w:divBdr>
            <w:top w:val="none" w:sz="0" w:space="0" w:color="auto"/>
            <w:left w:val="none" w:sz="0" w:space="0" w:color="auto"/>
            <w:bottom w:val="none" w:sz="0" w:space="0" w:color="auto"/>
            <w:right w:val="none" w:sz="0" w:space="0" w:color="auto"/>
          </w:divBdr>
        </w:div>
        <w:div w:id="139729988">
          <w:marLeft w:val="0"/>
          <w:marRight w:val="0"/>
          <w:marTop w:val="0"/>
          <w:marBottom w:val="0"/>
          <w:divBdr>
            <w:top w:val="none" w:sz="0" w:space="0" w:color="auto"/>
            <w:left w:val="none" w:sz="0" w:space="0" w:color="auto"/>
            <w:bottom w:val="none" w:sz="0" w:space="0" w:color="auto"/>
            <w:right w:val="none" w:sz="0" w:space="0" w:color="auto"/>
          </w:divBdr>
        </w:div>
        <w:div w:id="141582228">
          <w:marLeft w:val="0"/>
          <w:marRight w:val="0"/>
          <w:marTop w:val="0"/>
          <w:marBottom w:val="0"/>
          <w:divBdr>
            <w:top w:val="none" w:sz="0" w:space="0" w:color="auto"/>
            <w:left w:val="none" w:sz="0" w:space="0" w:color="auto"/>
            <w:bottom w:val="none" w:sz="0" w:space="0" w:color="auto"/>
            <w:right w:val="none" w:sz="0" w:space="0" w:color="auto"/>
          </w:divBdr>
        </w:div>
        <w:div w:id="142047531">
          <w:marLeft w:val="0"/>
          <w:marRight w:val="0"/>
          <w:marTop w:val="0"/>
          <w:marBottom w:val="0"/>
          <w:divBdr>
            <w:top w:val="none" w:sz="0" w:space="0" w:color="auto"/>
            <w:left w:val="none" w:sz="0" w:space="0" w:color="auto"/>
            <w:bottom w:val="none" w:sz="0" w:space="0" w:color="auto"/>
            <w:right w:val="none" w:sz="0" w:space="0" w:color="auto"/>
          </w:divBdr>
        </w:div>
        <w:div w:id="148254070">
          <w:marLeft w:val="0"/>
          <w:marRight w:val="0"/>
          <w:marTop w:val="0"/>
          <w:marBottom w:val="0"/>
          <w:divBdr>
            <w:top w:val="none" w:sz="0" w:space="0" w:color="auto"/>
            <w:left w:val="none" w:sz="0" w:space="0" w:color="auto"/>
            <w:bottom w:val="none" w:sz="0" w:space="0" w:color="auto"/>
            <w:right w:val="none" w:sz="0" w:space="0" w:color="auto"/>
          </w:divBdr>
        </w:div>
        <w:div w:id="148443165">
          <w:marLeft w:val="0"/>
          <w:marRight w:val="0"/>
          <w:marTop w:val="0"/>
          <w:marBottom w:val="0"/>
          <w:divBdr>
            <w:top w:val="none" w:sz="0" w:space="0" w:color="auto"/>
            <w:left w:val="none" w:sz="0" w:space="0" w:color="auto"/>
            <w:bottom w:val="none" w:sz="0" w:space="0" w:color="auto"/>
            <w:right w:val="none" w:sz="0" w:space="0" w:color="auto"/>
          </w:divBdr>
        </w:div>
        <w:div w:id="156305772">
          <w:marLeft w:val="0"/>
          <w:marRight w:val="0"/>
          <w:marTop w:val="0"/>
          <w:marBottom w:val="0"/>
          <w:divBdr>
            <w:top w:val="none" w:sz="0" w:space="0" w:color="auto"/>
            <w:left w:val="none" w:sz="0" w:space="0" w:color="auto"/>
            <w:bottom w:val="none" w:sz="0" w:space="0" w:color="auto"/>
            <w:right w:val="none" w:sz="0" w:space="0" w:color="auto"/>
          </w:divBdr>
        </w:div>
        <w:div w:id="161356023">
          <w:marLeft w:val="0"/>
          <w:marRight w:val="0"/>
          <w:marTop w:val="0"/>
          <w:marBottom w:val="0"/>
          <w:divBdr>
            <w:top w:val="none" w:sz="0" w:space="0" w:color="auto"/>
            <w:left w:val="none" w:sz="0" w:space="0" w:color="auto"/>
            <w:bottom w:val="none" w:sz="0" w:space="0" w:color="auto"/>
            <w:right w:val="none" w:sz="0" w:space="0" w:color="auto"/>
          </w:divBdr>
        </w:div>
        <w:div w:id="166403228">
          <w:marLeft w:val="0"/>
          <w:marRight w:val="0"/>
          <w:marTop w:val="0"/>
          <w:marBottom w:val="0"/>
          <w:divBdr>
            <w:top w:val="none" w:sz="0" w:space="0" w:color="auto"/>
            <w:left w:val="none" w:sz="0" w:space="0" w:color="auto"/>
            <w:bottom w:val="none" w:sz="0" w:space="0" w:color="auto"/>
            <w:right w:val="none" w:sz="0" w:space="0" w:color="auto"/>
          </w:divBdr>
        </w:div>
        <w:div w:id="169176000">
          <w:marLeft w:val="0"/>
          <w:marRight w:val="0"/>
          <w:marTop w:val="0"/>
          <w:marBottom w:val="0"/>
          <w:divBdr>
            <w:top w:val="none" w:sz="0" w:space="0" w:color="auto"/>
            <w:left w:val="none" w:sz="0" w:space="0" w:color="auto"/>
            <w:bottom w:val="none" w:sz="0" w:space="0" w:color="auto"/>
            <w:right w:val="none" w:sz="0" w:space="0" w:color="auto"/>
          </w:divBdr>
        </w:div>
        <w:div w:id="174000231">
          <w:marLeft w:val="0"/>
          <w:marRight w:val="0"/>
          <w:marTop w:val="0"/>
          <w:marBottom w:val="0"/>
          <w:divBdr>
            <w:top w:val="none" w:sz="0" w:space="0" w:color="auto"/>
            <w:left w:val="none" w:sz="0" w:space="0" w:color="auto"/>
            <w:bottom w:val="none" w:sz="0" w:space="0" w:color="auto"/>
            <w:right w:val="none" w:sz="0" w:space="0" w:color="auto"/>
          </w:divBdr>
        </w:div>
        <w:div w:id="184752701">
          <w:marLeft w:val="0"/>
          <w:marRight w:val="0"/>
          <w:marTop w:val="0"/>
          <w:marBottom w:val="0"/>
          <w:divBdr>
            <w:top w:val="none" w:sz="0" w:space="0" w:color="auto"/>
            <w:left w:val="none" w:sz="0" w:space="0" w:color="auto"/>
            <w:bottom w:val="none" w:sz="0" w:space="0" w:color="auto"/>
            <w:right w:val="none" w:sz="0" w:space="0" w:color="auto"/>
          </w:divBdr>
        </w:div>
        <w:div w:id="185218988">
          <w:marLeft w:val="0"/>
          <w:marRight w:val="0"/>
          <w:marTop w:val="0"/>
          <w:marBottom w:val="0"/>
          <w:divBdr>
            <w:top w:val="none" w:sz="0" w:space="0" w:color="auto"/>
            <w:left w:val="none" w:sz="0" w:space="0" w:color="auto"/>
            <w:bottom w:val="none" w:sz="0" w:space="0" w:color="auto"/>
            <w:right w:val="none" w:sz="0" w:space="0" w:color="auto"/>
          </w:divBdr>
        </w:div>
        <w:div w:id="187259219">
          <w:marLeft w:val="0"/>
          <w:marRight w:val="0"/>
          <w:marTop w:val="0"/>
          <w:marBottom w:val="0"/>
          <w:divBdr>
            <w:top w:val="none" w:sz="0" w:space="0" w:color="auto"/>
            <w:left w:val="none" w:sz="0" w:space="0" w:color="auto"/>
            <w:bottom w:val="none" w:sz="0" w:space="0" w:color="auto"/>
            <w:right w:val="none" w:sz="0" w:space="0" w:color="auto"/>
          </w:divBdr>
        </w:div>
        <w:div w:id="188835078">
          <w:marLeft w:val="0"/>
          <w:marRight w:val="0"/>
          <w:marTop w:val="0"/>
          <w:marBottom w:val="0"/>
          <w:divBdr>
            <w:top w:val="none" w:sz="0" w:space="0" w:color="auto"/>
            <w:left w:val="none" w:sz="0" w:space="0" w:color="auto"/>
            <w:bottom w:val="none" w:sz="0" w:space="0" w:color="auto"/>
            <w:right w:val="none" w:sz="0" w:space="0" w:color="auto"/>
          </w:divBdr>
        </w:div>
        <w:div w:id="192885994">
          <w:marLeft w:val="0"/>
          <w:marRight w:val="0"/>
          <w:marTop w:val="0"/>
          <w:marBottom w:val="0"/>
          <w:divBdr>
            <w:top w:val="none" w:sz="0" w:space="0" w:color="auto"/>
            <w:left w:val="none" w:sz="0" w:space="0" w:color="auto"/>
            <w:bottom w:val="none" w:sz="0" w:space="0" w:color="auto"/>
            <w:right w:val="none" w:sz="0" w:space="0" w:color="auto"/>
          </w:divBdr>
        </w:div>
        <w:div w:id="204148866">
          <w:marLeft w:val="0"/>
          <w:marRight w:val="0"/>
          <w:marTop w:val="0"/>
          <w:marBottom w:val="0"/>
          <w:divBdr>
            <w:top w:val="none" w:sz="0" w:space="0" w:color="auto"/>
            <w:left w:val="none" w:sz="0" w:space="0" w:color="auto"/>
            <w:bottom w:val="none" w:sz="0" w:space="0" w:color="auto"/>
            <w:right w:val="none" w:sz="0" w:space="0" w:color="auto"/>
          </w:divBdr>
        </w:div>
        <w:div w:id="212891767">
          <w:marLeft w:val="0"/>
          <w:marRight w:val="0"/>
          <w:marTop w:val="0"/>
          <w:marBottom w:val="0"/>
          <w:divBdr>
            <w:top w:val="none" w:sz="0" w:space="0" w:color="auto"/>
            <w:left w:val="none" w:sz="0" w:space="0" w:color="auto"/>
            <w:bottom w:val="none" w:sz="0" w:space="0" w:color="auto"/>
            <w:right w:val="none" w:sz="0" w:space="0" w:color="auto"/>
          </w:divBdr>
        </w:div>
        <w:div w:id="223028733">
          <w:marLeft w:val="0"/>
          <w:marRight w:val="0"/>
          <w:marTop w:val="0"/>
          <w:marBottom w:val="0"/>
          <w:divBdr>
            <w:top w:val="none" w:sz="0" w:space="0" w:color="auto"/>
            <w:left w:val="none" w:sz="0" w:space="0" w:color="auto"/>
            <w:bottom w:val="none" w:sz="0" w:space="0" w:color="auto"/>
            <w:right w:val="none" w:sz="0" w:space="0" w:color="auto"/>
          </w:divBdr>
        </w:div>
        <w:div w:id="223373911">
          <w:marLeft w:val="0"/>
          <w:marRight w:val="0"/>
          <w:marTop w:val="0"/>
          <w:marBottom w:val="0"/>
          <w:divBdr>
            <w:top w:val="none" w:sz="0" w:space="0" w:color="auto"/>
            <w:left w:val="none" w:sz="0" w:space="0" w:color="auto"/>
            <w:bottom w:val="none" w:sz="0" w:space="0" w:color="auto"/>
            <w:right w:val="none" w:sz="0" w:space="0" w:color="auto"/>
          </w:divBdr>
        </w:div>
        <w:div w:id="226494174">
          <w:marLeft w:val="0"/>
          <w:marRight w:val="0"/>
          <w:marTop w:val="0"/>
          <w:marBottom w:val="0"/>
          <w:divBdr>
            <w:top w:val="none" w:sz="0" w:space="0" w:color="auto"/>
            <w:left w:val="none" w:sz="0" w:space="0" w:color="auto"/>
            <w:bottom w:val="none" w:sz="0" w:space="0" w:color="auto"/>
            <w:right w:val="none" w:sz="0" w:space="0" w:color="auto"/>
          </w:divBdr>
        </w:div>
        <w:div w:id="233782613">
          <w:marLeft w:val="0"/>
          <w:marRight w:val="0"/>
          <w:marTop w:val="0"/>
          <w:marBottom w:val="0"/>
          <w:divBdr>
            <w:top w:val="none" w:sz="0" w:space="0" w:color="auto"/>
            <w:left w:val="none" w:sz="0" w:space="0" w:color="auto"/>
            <w:bottom w:val="none" w:sz="0" w:space="0" w:color="auto"/>
            <w:right w:val="none" w:sz="0" w:space="0" w:color="auto"/>
          </w:divBdr>
        </w:div>
        <w:div w:id="237443476">
          <w:marLeft w:val="0"/>
          <w:marRight w:val="0"/>
          <w:marTop w:val="0"/>
          <w:marBottom w:val="0"/>
          <w:divBdr>
            <w:top w:val="none" w:sz="0" w:space="0" w:color="auto"/>
            <w:left w:val="none" w:sz="0" w:space="0" w:color="auto"/>
            <w:bottom w:val="none" w:sz="0" w:space="0" w:color="auto"/>
            <w:right w:val="none" w:sz="0" w:space="0" w:color="auto"/>
          </w:divBdr>
        </w:div>
        <w:div w:id="238177246">
          <w:marLeft w:val="0"/>
          <w:marRight w:val="0"/>
          <w:marTop w:val="0"/>
          <w:marBottom w:val="0"/>
          <w:divBdr>
            <w:top w:val="none" w:sz="0" w:space="0" w:color="auto"/>
            <w:left w:val="none" w:sz="0" w:space="0" w:color="auto"/>
            <w:bottom w:val="none" w:sz="0" w:space="0" w:color="auto"/>
            <w:right w:val="none" w:sz="0" w:space="0" w:color="auto"/>
          </w:divBdr>
        </w:div>
        <w:div w:id="239797486">
          <w:marLeft w:val="0"/>
          <w:marRight w:val="0"/>
          <w:marTop w:val="0"/>
          <w:marBottom w:val="0"/>
          <w:divBdr>
            <w:top w:val="none" w:sz="0" w:space="0" w:color="auto"/>
            <w:left w:val="none" w:sz="0" w:space="0" w:color="auto"/>
            <w:bottom w:val="none" w:sz="0" w:space="0" w:color="auto"/>
            <w:right w:val="none" w:sz="0" w:space="0" w:color="auto"/>
          </w:divBdr>
        </w:div>
        <w:div w:id="244386679">
          <w:marLeft w:val="0"/>
          <w:marRight w:val="0"/>
          <w:marTop w:val="0"/>
          <w:marBottom w:val="0"/>
          <w:divBdr>
            <w:top w:val="none" w:sz="0" w:space="0" w:color="auto"/>
            <w:left w:val="none" w:sz="0" w:space="0" w:color="auto"/>
            <w:bottom w:val="none" w:sz="0" w:space="0" w:color="auto"/>
            <w:right w:val="none" w:sz="0" w:space="0" w:color="auto"/>
          </w:divBdr>
        </w:div>
        <w:div w:id="246430139">
          <w:marLeft w:val="0"/>
          <w:marRight w:val="0"/>
          <w:marTop w:val="0"/>
          <w:marBottom w:val="0"/>
          <w:divBdr>
            <w:top w:val="none" w:sz="0" w:space="0" w:color="auto"/>
            <w:left w:val="none" w:sz="0" w:space="0" w:color="auto"/>
            <w:bottom w:val="none" w:sz="0" w:space="0" w:color="auto"/>
            <w:right w:val="none" w:sz="0" w:space="0" w:color="auto"/>
          </w:divBdr>
        </w:div>
        <w:div w:id="247082762">
          <w:marLeft w:val="0"/>
          <w:marRight w:val="0"/>
          <w:marTop w:val="0"/>
          <w:marBottom w:val="0"/>
          <w:divBdr>
            <w:top w:val="none" w:sz="0" w:space="0" w:color="auto"/>
            <w:left w:val="none" w:sz="0" w:space="0" w:color="auto"/>
            <w:bottom w:val="none" w:sz="0" w:space="0" w:color="auto"/>
            <w:right w:val="none" w:sz="0" w:space="0" w:color="auto"/>
          </w:divBdr>
        </w:div>
        <w:div w:id="257299682">
          <w:marLeft w:val="0"/>
          <w:marRight w:val="0"/>
          <w:marTop w:val="0"/>
          <w:marBottom w:val="0"/>
          <w:divBdr>
            <w:top w:val="none" w:sz="0" w:space="0" w:color="auto"/>
            <w:left w:val="none" w:sz="0" w:space="0" w:color="auto"/>
            <w:bottom w:val="none" w:sz="0" w:space="0" w:color="auto"/>
            <w:right w:val="none" w:sz="0" w:space="0" w:color="auto"/>
          </w:divBdr>
        </w:div>
        <w:div w:id="260918207">
          <w:marLeft w:val="0"/>
          <w:marRight w:val="0"/>
          <w:marTop w:val="0"/>
          <w:marBottom w:val="0"/>
          <w:divBdr>
            <w:top w:val="none" w:sz="0" w:space="0" w:color="auto"/>
            <w:left w:val="none" w:sz="0" w:space="0" w:color="auto"/>
            <w:bottom w:val="none" w:sz="0" w:space="0" w:color="auto"/>
            <w:right w:val="none" w:sz="0" w:space="0" w:color="auto"/>
          </w:divBdr>
        </w:div>
        <w:div w:id="264578906">
          <w:marLeft w:val="0"/>
          <w:marRight w:val="0"/>
          <w:marTop w:val="0"/>
          <w:marBottom w:val="0"/>
          <w:divBdr>
            <w:top w:val="none" w:sz="0" w:space="0" w:color="auto"/>
            <w:left w:val="none" w:sz="0" w:space="0" w:color="auto"/>
            <w:bottom w:val="none" w:sz="0" w:space="0" w:color="auto"/>
            <w:right w:val="none" w:sz="0" w:space="0" w:color="auto"/>
          </w:divBdr>
        </w:div>
        <w:div w:id="282423561">
          <w:marLeft w:val="0"/>
          <w:marRight w:val="0"/>
          <w:marTop w:val="0"/>
          <w:marBottom w:val="0"/>
          <w:divBdr>
            <w:top w:val="none" w:sz="0" w:space="0" w:color="auto"/>
            <w:left w:val="none" w:sz="0" w:space="0" w:color="auto"/>
            <w:bottom w:val="none" w:sz="0" w:space="0" w:color="auto"/>
            <w:right w:val="none" w:sz="0" w:space="0" w:color="auto"/>
          </w:divBdr>
        </w:div>
        <w:div w:id="289475666">
          <w:marLeft w:val="0"/>
          <w:marRight w:val="0"/>
          <w:marTop w:val="0"/>
          <w:marBottom w:val="0"/>
          <w:divBdr>
            <w:top w:val="none" w:sz="0" w:space="0" w:color="auto"/>
            <w:left w:val="none" w:sz="0" w:space="0" w:color="auto"/>
            <w:bottom w:val="none" w:sz="0" w:space="0" w:color="auto"/>
            <w:right w:val="none" w:sz="0" w:space="0" w:color="auto"/>
          </w:divBdr>
        </w:div>
        <w:div w:id="291063019">
          <w:marLeft w:val="0"/>
          <w:marRight w:val="0"/>
          <w:marTop w:val="0"/>
          <w:marBottom w:val="0"/>
          <w:divBdr>
            <w:top w:val="none" w:sz="0" w:space="0" w:color="auto"/>
            <w:left w:val="none" w:sz="0" w:space="0" w:color="auto"/>
            <w:bottom w:val="none" w:sz="0" w:space="0" w:color="auto"/>
            <w:right w:val="none" w:sz="0" w:space="0" w:color="auto"/>
          </w:divBdr>
        </w:div>
        <w:div w:id="299070334">
          <w:marLeft w:val="0"/>
          <w:marRight w:val="0"/>
          <w:marTop w:val="0"/>
          <w:marBottom w:val="0"/>
          <w:divBdr>
            <w:top w:val="none" w:sz="0" w:space="0" w:color="auto"/>
            <w:left w:val="none" w:sz="0" w:space="0" w:color="auto"/>
            <w:bottom w:val="none" w:sz="0" w:space="0" w:color="auto"/>
            <w:right w:val="none" w:sz="0" w:space="0" w:color="auto"/>
          </w:divBdr>
        </w:div>
        <w:div w:id="300699580">
          <w:marLeft w:val="0"/>
          <w:marRight w:val="0"/>
          <w:marTop w:val="0"/>
          <w:marBottom w:val="0"/>
          <w:divBdr>
            <w:top w:val="none" w:sz="0" w:space="0" w:color="auto"/>
            <w:left w:val="none" w:sz="0" w:space="0" w:color="auto"/>
            <w:bottom w:val="none" w:sz="0" w:space="0" w:color="auto"/>
            <w:right w:val="none" w:sz="0" w:space="0" w:color="auto"/>
          </w:divBdr>
        </w:div>
        <w:div w:id="301815478">
          <w:marLeft w:val="0"/>
          <w:marRight w:val="0"/>
          <w:marTop w:val="0"/>
          <w:marBottom w:val="0"/>
          <w:divBdr>
            <w:top w:val="none" w:sz="0" w:space="0" w:color="auto"/>
            <w:left w:val="none" w:sz="0" w:space="0" w:color="auto"/>
            <w:bottom w:val="none" w:sz="0" w:space="0" w:color="auto"/>
            <w:right w:val="none" w:sz="0" w:space="0" w:color="auto"/>
          </w:divBdr>
        </w:div>
        <w:div w:id="309215547">
          <w:marLeft w:val="0"/>
          <w:marRight w:val="0"/>
          <w:marTop w:val="0"/>
          <w:marBottom w:val="0"/>
          <w:divBdr>
            <w:top w:val="none" w:sz="0" w:space="0" w:color="auto"/>
            <w:left w:val="none" w:sz="0" w:space="0" w:color="auto"/>
            <w:bottom w:val="none" w:sz="0" w:space="0" w:color="auto"/>
            <w:right w:val="none" w:sz="0" w:space="0" w:color="auto"/>
          </w:divBdr>
        </w:div>
        <w:div w:id="317464204">
          <w:marLeft w:val="0"/>
          <w:marRight w:val="0"/>
          <w:marTop w:val="0"/>
          <w:marBottom w:val="0"/>
          <w:divBdr>
            <w:top w:val="none" w:sz="0" w:space="0" w:color="auto"/>
            <w:left w:val="none" w:sz="0" w:space="0" w:color="auto"/>
            <w:bottom w:val="none" w:sz="0" w:space="0" w:color="auto"/>
            <w:right w:val="none" w:sz="0" w:space="0" w:color="auto"/>
          </w:divBdr>
        </w:div>
        <w:div w:id="319239414">
          <w:marLeft w:val="0"/>
          <w:marRight w:val="0"/>
          <w:marTop w:val="0"/>
          <w:marBottom w:val="0"/>
          <w:divBdr>
            <w:top w:val="none" w:sz="0" w:space="0" w:color="auto"/>
            <w:left w:val="none" w:sz="0" w:space="0" w:color="auto"/>
            <w:bottom w:val="none" w:sz="0" w:space="0" w:color="auto"/>
            <w:right w:val="none" w:sz="0" w:space="0" w:color="auto"/>
          </w:divBdr>
        </w:div>
        <w:div w:id="324668125">
          <w:marLeft w:val="0"/>
          <w:marRight w:val="0"/>
          <w:marTop w:val="0"/>
          <w:marBottom w:val="0"/>
          <w:divBdr>
            <w:top w:val="none" w:sz="0" w:space="0" w:color="auto"/>
            <w:left w:val="none" w:sz="0" w:space="0" w:color="auto"/>
            <w:bottom w:val="none" w:sz="0" w:space="0" w:color="auto"/>
            <w:right w:val="none" w:sz="0" w:space="0" w:color="auto"/>
          </w:divBdr>
        </w:div>
        <w:div w:id="334461343">
          <w:marLeft w:val="0"/>
          <w:marRight w:val="0"/>
          <w:marTop w:val="0"/>
          <w:marBottom w:val="0"/>
          <w:divBdr>
            <w:top w:val="none" w:sz="0" w:space="0" w:color="auto"/>
            <w:left w:val="none" w:sz="0" w:space="0" w:color="auto"/>
            <w:bottom w:val="none" w:sz="0" w:space="0" w:color="auto"/>
            <w:right w:val="none" w:sz="0" w:space="0" w:color="auto"/>
          </w:divBdr>
        </w:div>
        <w:div w:id="338655953">
          <w:marLeft w:val="0"/>
          <w:marRight w:val="0"/>
          <w:marTop w:val="0"/>
          <w:marBottom w:val="0"/>
          <w:divBdr>
            <w:top w:val="none" w:sz="0" w:space="0" w:color="auto"/>
            <w:left w:val="none" w:sz="0" w:space="0" w:color="auto"/>
            <w:bottom w:val="none" w:sz="0" w:space="0" w:color="auto"/>
            <w:right w:val="none" w:sz="0" w:space="0" w:color="auto"/>
          </w:divBdr>
        </w:div>
        <w:div w:id="347870715">
          <w:marLeft w:val="0"/>
          <w:marRight w:val="0"/>
          <w:marTop w:val="0"/>
          <w:marBottom w:val="0"/>
          <w:divBdr>
            <w:top w:val="none" w:sz="0" w:space="0" w:color="auto"/>
            <w:left w:val="none" w:sz="0" w:space="0" w:color="auto"/>
            <w:bottom w:val="none" w:sz="0" w:space="0" w:color="auto"/>
            <w:right w:val="none" w:sz="0" w:space="0" w:color="auto"/>
          </w:divBdr>
        </w:div>
        <w:div w:id="349181831">
          <w:marLeft w:val="0"/>
          <w:marRight w:val="0"/>
          <w:marTop w:val="0"/>
          <w:marBottom w:val="0"/>
          <w:divBdr>
            <w:top w:val="none" w:sz="0" w:space="0" w:color="auto"/>
            <w:left w:val="none" w:sz="0" w:space="0" w:color="auto"/>
            <w:bottom w:val="none" w:sz="0" w:space="0" w:color="auto"/>
            <w:right w:val="none" w:sz="0" w:space="0" w:color="auto"/>
          </w:divBdr>
        </w:div>
        <w:div w:id="356153900">
          <w:marLeft w:val="0"/>
          <w:marRight w:val="0"/>
          <w:marTop w:val="0"/>
          <w:marBottom w:val="0"/>
          <w:divBdr>
            <w:top w:val="none" w:sz="0" w:space="0" w:color="auto"/>
            <w:left w:val="none" w:sz="0" w:space="0" w:color="auto"/>
            <w:bottom w:val="none" w:sz="0" w:space="0" w:color="auto"/>
            <w:right w:val="none" w:sz="0" w:space="0" w:color="auto"/>
          </w:divBdr>
        </w:div>
        <w:div w:id="357237556">
          <w:marLeft w:val="0"/>
          <w:marRight w:val="0"/>
          <w:marTop w:val="0"/>
          <w:marBottom w:val="0"/>
          <w:divBdr>
            <w:top w:val="none" w:sz="0" w:space="0" w:color="auto"/>
            <w:left w:val="none" w:sz="0" w:space="0" w:color="auto"/>
            <w:bottom w:val="none" w:sz="0" w:space="0" w:color="auto"/>
            <w:right w:val="none" w:sz="0" w:space="0" w:color="auto"/>
          </w:divBdr>
        </w:div>
        <w:div w:id="359554783">
          <w:marLeft w:val="0"/>
          <w:marRight w:val="0"/>
          <w:marTop w:val="0"/>
          <w:marBottom w:val="0"/>
          <w:divBdr>
            <w:top w:val="none" w:sz="0" w:space="0" w:color="auto"/>
            <w:left w:val="none" w:sz="0" w:space="0" w:color="auto"/>
            <w:bottom w:val="none" w:sz="0" w:space="0" w:color="auto"/>
            <w:right w:val="none" w:sz="0" w:space="0" w:color="auto"/>
          </w:divBdr>
        </w:div>
        <w:div w:id="361829554">
          <w:marLeft w:val="0"/>
          <w:marRight w:val="0"/>
          <w:marTop w:val="0"/>
          <w:marBottom w:val="0"/>
          <w:divBdr>
            <w:top w:val="none" w:sz="0" w:space="0" w:color="auto"/>
            <w:left w:val="none" w:sz="0" w:space="0" w:color="auto"/>
            <w:bottom w:val="none" w:sz="0" w:space="0" w:color="auto"/>
            <w:right w:val="none" w:sz="0" w:space="0" w:color="auto"/>
          </w:divBdr>
        </w:div>
        <w:div w:id="362292144">
          <w:marLeft w:val="0"/>
          <w:marRight w:val="0"/>
          <w:marTop w:val="0"/>
          <w:marBottom w:val="0"/>
          <w:divBdr>
            <w:top w:val="none" w:sz="0" w:space="0" w:color="auto"/>
            <w:left w:val="none" w:sz="0" w:space="0" w:color="auto"/>
            <w:bottom w:val="none" w:sz="0" w:space="0" w:color="auto"/>
            <w:right w:val="none" w:sz="0" w:space="0" w:color="auto"/>
          </w:divBdr>
        </w:div>
        <w:div w:id="374818110">
          <w:marLeft w:val="0"/>
          <w:marRight w:val="0"/>
          <w:marTop w:val="0"/>
          <w:marBottom w:val="0"/>
          <w:divBdr>
            <w:top w:val="none" w:sz="0" w:space="0" w:color="auto"/>
            <w:left w:val="none" w:sz="0" w:space="0" w:color="auto"/>
            <w:bottom w:val="none" w:sz="0" w:space="0" w:color="auto"/>
            <w:right w:val="none" w:sz="0" w:space="0" w:color="auto"/>
          </w:divBdr>
        </w:div>
        <w:div w:id="380910956">
          <w:marLeft w:val="0"/>
          <w:marRight w:val="0"/>
          <w:marTop w:val="0"/>
          <w:marBottom w:val="0"/>
          <w:divBdr>
            <w:top w:val="none" w:sz="0" w:space="0" w:color="auto"/>
            <w:left w:val="none" w:sz="0" w:space="0" w:color="auto"/>
            <w:bottom w:val="none" w:sz="0" w:space="0" w:color="auto"/>
            <w:right w:val="none" w:sz="0" w:space="0" w:color="auto"/>
          </w:divBdr>
        </w:div>
        <w:div w:id="402875620">
          <w:marLeft w:val="0"/>
          <w:marRight w:val="0"/>
          <w:marTop w:val="0"/>
          <w:marBottom w:val="0"/>
          <w:divBdr>
            <w:top w:val="none" w:sz="0" w:space="0" w:color="auto"/>
            <w:left w:val="none" w:sz="0" w:space="0" w:color="auto"/>
            <w:bottom w:val="none" w:sz="0" w:space="0" w:color="auto"/>
            <w:right w:val="none" w:sz="0" w:space="0" w:color="auto"/>
          </w:divBdr>
        </w:div>
        <w:div w:id="404837063">
          <w:marLeft w:val="0"/>
          <w:marRight w:val="0"/>
          <w:marTop w:val="0"/>
          <w:marBottom w:val="0"/>
          <w:divBdr>
            <w:top w:val="none" w:sz="0" w:space="0" w:color="auto"/>
            <w:left w:val="none" w:sz="0" w:space="0" w:color="auto"/>
            <w:bottom w:val="none" w:sz="0" w:space="0" w:color="auto"/>
            <w:right w:val="none" w:sz="0" w:space="0" w:color="auto"/>
          </w:divBdr>
        </w:div>
        <w:div w:id="410079014">
          <w:marLeft w:val="0"/>
          <w:marRight w:val="0"/>
          <w:marTop w:val="0"/>
          <w:marBottom w:val="0"/>
          <w:divBdr>
            <w:top w:val="none" w:sz="0" w:space="0" w:color="auto"/>
            <w:left w:val="none" w:sz="0" w:space="0" w:color="auto"/>
            <w:bottom w:val="none" w:sz="0" w:space="0" w:color="auto"/>
            <w:right w:val="none" w:sz="0" w:space="0" w:color="auto"/>
          </w:divBdr>
        </w:div>
        <w:div w:id="410735325">
          <w:marLeft w:val="0"/>
          <w:marRight w:val="0"/>
          <w:marTop w:val="0"/>
          <w:marBottom w:val="0"/>
          <w:divBdr>
            <w:top w:val="none" w:sz="0" w:space="0" w:color="auto"/>
            <w:left w:val="none" w:sz="0" w:space="0" w:color="auto"/>
            <w:bottom w:val="none" w:sz="0" w:space="0" w:color="auto"/>
            <w:right w:val="none" w:sz="0" w:space="0" w:color="auto"/>
          </w:divBdr>
        </w:div>
        <w:div w:id="414060206">
          <w:marLeft w:val="0"/>
          <w:marRight w:val="0"/>
          <w:marTop w:val="0"/>
          <w:marBottom w:val="0"/>
          <w:divBdr>
            <w:top w:val="none" w:sz="0" w:space="0" w:color="auto"/>
            <w:left w:val="none" w:sz="0" w:space="0" w:color="auto"/>
            <w:bottom w:val="none" w:sz="0" w:space="0" w:color="auto"/>
            <w:right w:val="none" w:sz="0" w:space="0" w:color="auto"/>
          </w:divBdr>
        </w:div>
        <w:div w:id="414665911">
          <w:marLeft w:val="0"/>
          <w:marRight w:val="0"/>
          <w:marTop w:val="0"/>
          <w:marBottom w:val="0"/>
          <w:divBdr>
            <w:top w:val="none" w:sz="0" w:space="0" w:color="auto"/>
            <w:left w:val="none" w:sz="0" w:space="0" w:color="auto"/>
            <w:bottom w:val="none" w:sz="0" w:space="0" w:color="auto"/>
            <w:right w:val="none" w:sz="0" w:space="0" w:color="auto"/>
          </w:divBdr>
        </w:div>
        <w:div w:id="414670663">
          <w:marLeft w:val="0"/>
          <w:marRight w:val="0"/>
          <w:marTop w:val="0"/>
          <w:marBottom w:val="0"/>
          <w:divBdr>
            <w:top w:val="none" w:sz="0" w:space="0" w:color="auto"/>
            <w:left w:val="none" w:sz="0" w:space="0" w:color="auto"/>
            <w:bottom w:val="none" w:sz="0" w:space="0" w:color="auto"/>
            <w:right w:val="none" w:sz="0" w:space="0" w:color="auto"/>
          </w:divBdr>
        </w:div>
        <w:div w:id="416556255">
          <w:marLeft w:val="0"/>
          <w:marRight w:val="0"/>
          <w:marTop w:val="0"/>
          <w:marBottom w:val="0"/>
          <w:divBdr>
            <w:top w:val="none" w:sz="0" w:space="0" w:color="auto"/>
            <w:left w:val="none" w:sz="0" w:space="0" w:color="auto"/>
            <w:bottom w:val="none" w:sz="0" w:space="0" w:color="auto"/>
            <w:right w:val="none" w:sz="0" w:space="0" w:color="auto"/>
          </w:divBdr>
        </w:div>
        <w:div w:id="421033285">
          <w:marLeft w:val="0"/>
          <w:marRight w:val="0"/>
          <w:marTop w:val="0"/>
          <w:marBottom w:val="0"/>
          <w:divBdr>
            <w:top w:val="none" w:sz="0" w:space="0" w:color="auto"/>
            <w:left w:val="none" w:sz="0" w:space="0" w:color="auto"/>
            <w:bottom w:val="none" w:sz="0" w:space="0" w:color="auto"/>
            <w:right w:val="none" w:sz="0" w:space="0" w:color="auto"/>
          </w:divBdr>
        </w:div>
        <w:div w:id="433865935">
          <w:marLeft w:val="0"/>
          <w:marRight w:val="0"/>
          <w:marTop w:val="0"/>
          <w:marBottom w:val="0"/>
          <w:divBdr>
            <w:top w:val="none" w:sz="0" w:space="0" w:color="auto"/>
            <w:left w:val="none" w:sz="0" w:space="0" w:color="auto"/>
            <w:bottom w:val="none" w:sz="0" w:space="0" w:color="auto"/>
            <w:right w:val="none" w:sz="0" w:space="0" w:color="auto"/>
          </w:divBdr>
        </w:div>
        <w:div w:id="434910132">
          <w:marLeft w:val="0"/>
          <w:marRight w:val="0"/>
          <w:marTop w:val="0"/>
          <w:marBottom w:val="0"/>
          <w:divBdr>
            <w:top w:val="none" w:sz="0" w:space="0" w:color="auto"/>
            <w:left w:val="none" w:sz="0" w:space="0" w:color="auto"/>
            <w:bottom w:val="none" w:sz="0" w:space="0" w:color="auto"/>
            <w:right w:val="none" w:sz="0" w:space="0" w:color="auto"/>
          </w:divBdr>
        </w:div>
        <w:div w:id="441150467">
          <w:marLeft w:val="0"/>
          <w:marRight w:val="0"/>
          <w:marTop w:val="0"/>
          <w:marBottom w:val="0"/>
          <w:divBdr>
            <w:top w:val="none" w:sz="0" w:space="0" w:color="auto"/>
            <w:left w:val="none" w:sz="0" w:space="0" w:color="auto"/>
            <w:bottom w:val="none" w:sz="0" w:space="0" w:color="auto"/>
            <w:right w:val="none" w:sz="0" w:space="0" w:color="auto"/>
          </w:divBdr>
        </w:div>
        <w:div w:id="453405198">
          <w:marLeft w:val="0"/>
          <w:marRight w:val="0"/>
          <w:marTop w:val="0"/>
          <w:marBottom w:val="0"/>
          <w:divBdr>
            <w:top w:val="none" w:sz="0" w:space="0" w:color="auto"/>
            <w:left w:val="none" w:sz="0" w:space="0" w:color="auto"/>
            <w:bottom w:val="none" w:sz="0" w:space="0" w:color="auto"/>
            <w:right w:val="none" w:sz="0" w:space="0" w:color="auto"/>
          </w:divBdr>
        </w:div>
        <w:div w:id="455835163">
          <w:marLeft w:val="0"/>
          <w:marRight w:val="0"/>
          <w:marTop w:val="0"/>
          <w:marBottom w:val="0"/>
          <w:divBdr>
            <w:top w:val="none" w:sz="0" w:space="0" w:color="auto"/>
            <w:left w:val="none" w:sz="0" w:space="0" w:color="auto"/>
            <w:bottom w:val="none" w:sz="0" w:space="0" w:color="auto"/>
            <w:right w:val="none" w:sz="0" w:space="0" w:color="auto"/>
          </w:divBdr>
        </w:div>
        <w:div w:id="463541235">
          <w:marLeft w:val="0"/>
          <w:marRight w:val="0"/>
          <w:marTop w:val="0"/>
          <w:marBottom w:val="0"/>
          <w:divBdr>
            <w:top w:val="none" w:sz="0" w:space="0" w:color="auto"/>
            <w:left w:val="none" w:sz="0" w:space="0" w:color="auto"/>
            <w:bottom w:val="none" w:sz="0" w:space="0" w:color="auto"/>
            <w:right w:val="none" w:sz="0" w:space="0" w:color="auto"/>
          </w:divBdr>
        </w:div>
        <w:div w:id="467018612">
          <w:marLeft w:val="0"/>
          <w:marRight w:val="0"/>
          <w:marTop w:val="0"/>
          <w:marBottom w:val="0"/>
          <w:divBdr>
            <w:top w:val="none" w:sz="0" w:space="0" w:color="auto"/>
            <w:left w:val="none" w:sz="0" w:space="0" w:color="auto"/>
            <w:bottom w:val="none" w:sz="0" w:space="0" w:color="auto"/>
            <w:right w:val="none" w:sz="0" w:space="0" w:color="auto"/>
          </w:divBdr>
        </w:div>
        <w:div w:id="473763677">
          <w:marLeft w:val="0"/>
          <w:marRight w:val="0"/>
          <w:marTop w:val="0"/>
          <w:marBottom w:val="0"/>
          <w:divBdr>
            <w:top w:val="none" w:sz="0" w:space="0" w:color="auto"/>
            <w:left w:val="none" w:sz="0" w:space="0" w:color="auto"/>
            <w:bottom w:val="none" w:sz="0" w:space="0" w:color="auto"/>
            <w:right w:val="none" w:sz="0" w:space="0" w:color="auto"/>
          </w:divBdr>
        </w:div>
        <w:div w:id="475486902">
          <w:marLeft w:val="0"/>
          <w:marRight w:val="0"/>
          <w:marTop w:val="0"/>
          <w:marBottom w:val="0"/>
          <w:divBdr>
            <w:top w:val="none" w:sz="0" w:space="0" w:color="auto"/>
            <w:left w:val="none" w:sz="0" w:space="0" w:color="auto"/>
            <w:bottom w:val="none" w:sz="0" w:space="0" w:color="auto"/>
            <w:right w:val="none" w:sz="0" w:space="0" w:color="auto"/>
          </w:divBdr>
        </w:div>
        <w:div w:id="487286052">
          <w:marLeft w:val="0"/>
          <w:marRight w:val="0"/>
          <w:marTop w:val="0"/>
          <w:marBottom w:val="0"/>
          <w:divBdr>
            <w:top w:val="none" w:sz="0" w:space="0" w:color="auto"/>
            <w:left w:val="none" w:sz="0" w:space="0" w:color="auto"/>
            <w:bottom w:val="none" w:sz="0" w:space="0" w:color="auto"/>
            <w:right w:val="none" w:sz="0" w:space="0" w:color="auto"/>
          </w:divBdr>
        </w:div>
        <w:div w:id="497309876">
          <w:marLeft w:val="0"/>
          <w:marRight w:val="0"/>
          <w:marTop w:val="0"/>
          <w:marBottom w:val="0"/>
          <w:divBdr>
            <w:top w:val="none" w:sz="0" w:space="0" w:color="auto"/>
            <w:left w:val="none" w:sz="0" w:space="0" w:color="auto"/>
            <w:bottom w:val="none" w:sz="0" w:space="0" w:color="auto"/>
            <w:right w:val="none" w:sz="0" w:space="0" w:color="auto"/>
          </w:divBdr>
        </w:div>
        <w:div w:id="505288372">
          <w:marLeft w:val="0"/>
          <w:marRight w:val="0"/>
          <w:marTop w:val="0"/>
          <w:marBottom w:val="0"/>
          <w:divBdr>
            <w:top w:val="none" w:sz="0" w:space="0" w:color="auto"/>
            <w:left w:val="none" w:sz="0" w:space="0" w:color="auto"/>
            <w:bottom w:val="none" w:sz="0" w:space="0" w:color="auto"/>
            <w:right w:val="none" w:sz="0" w:space="0" w:color="auto"/>
          </w:divBdr>
        </w:div>
        <w:div w:id="508102760">
          <w:marLeft w:val="0"/>
          <w:marRight w:val="0"/>
          <w:marTop w:val="0"/>
          <w:marBottom w:val="0"/>
          <w:divBdr>
            <w:top w:val="none" w:sz="0" w:space="0" w:color="auto"/>
            <w:left w:val="none" w:sz="0" w:space="0" w:color="auto"/>
            <w:bottom w:val="none" w:sz="0" w:space="0" w:color="auto"/>
            <w:right w:val="none" w:sz="0" w:space="0" w:color="auto"/>
          </w:divBdr>
        </w:div>
        <w:div w:id="512960359">
          <w:marLeft w:val="0"/>
          <w:marRight w:val="0"/>
          <w:marTop w:val="0"/>
          <w:marBottom w:val="0"/>
          <w:divBdr>
            <w:top w:val="none" w:sz="0" w:space="0" w:color="auto"/>
            <w:left w:val="none" w:sz="0" w:space="0" w:color="auto"/>
            <w:bottom w:val="none" w:sz="0" w:space="0" w:color="auto"/>
            <w:right w:val="none" w:sz="0" w:space="0" w:color="auto"/>
          </w:divBdr>
        </w:div>
        <w:div w:id="515340368">
          <w:marLeft w:val="0"/>
          <w:marRight w:val="0"/>
          <w:marTop w:val="0"/>
          <w:marBottom w:val="0"/>
          <w:divBdr>
            <w:top w:val="none" w:sz="0" w:space="0" w:color="auto"/>
            <w:left w:val="none" w:sz="0" w:space="0" w:color="auto"/>
            <w:bottom w:val="none" w:sz="0" w:space="0" w:color="auto"/>
            <w:right w:val="none" w:sz="0" w:space="0" w:color="auto"/>
          </w:divBdr>
        </w:div>
        <w:div w:id="519591847">
          <w:marLeft w:val="0"/>
          <w:marRight w:val="0"/>
          <w:marTop w:val="0"/>
          <w:marBottom w:val="0"/>
          <w:divBdr>
            <w:top w:val="none" w:sz="0" w:space="0" w:color="auto"/>
            <w:left w:val="none" w:sz="0" w:space="0" w:color="auto"/>
            <w:bottom w:val="none" w:sz="0" w:space="0" w:color="auto"/>
            <w:right w:val="none" w:sz="0" w:space="0" w:color="auto"/>
          </w:divBdr>
        </w:div>
        <w:div w:id="521286331">
          <w:marLeft w:val="0"/>
          <w:marRight w:val="0"/>
          <w:marTop w:val="0"/>
          <w:marBottom w:val="0"/>
          <w:divBdr>
            <w:top w:val="none" w:sz="0" w:space="0" w:color="auto"/>
            <w:left w:val="none" w:sz="0" w:space="0" w:color="auto"/>
            <w:bottom w:val="none" w:sz="0" w:space="0" w:color="auto"/>
            <w:right w:val="none" w:sz="0" w:space="0" w:color="auto"/>
          </w:divBdr>
        </w:div>
        <w:div w:id="523176382">
          <w:marLeft w:val="0"/>
          <w:marRight w:val="0"/>
          <w:marTop w:val="0"/>
          <w:marBottom w:val="0"/>
          <w:divBdr>
            <w:top w:val="none" w:sz="0" w:space="0" w:color="auto"/>
            <w:left w:val="none" w:sz="0" w:space="0" w:color="auto"/>
            <w:bottom w:val="none" w:sz="0" w:space="0" w:color="auto"/>
            <w:right w:val="none" w:sz="0" w:space="0" w:color="auto"/>
          </w:divBdr>
        </w:div>
        <w:div w:id="528295652">
          <w:marLeft w:val="0"/>
          <w:marRight w:val="0"/>
          <w:marTop w:val="0"/>
          <w:marBottom w:val="0"/>
          <w:divBdr>
            <w:top w:val="none" w:sz="0" w:space="0" w:color="auto"/>
            <w:left w:val="none" w:sz="0" w:space="0" w:color="auto"/>
            <w:bottom w:val="none" w:sz="0" w:space="0" w:color="auto"/>
            <w:right w:val="none" w:sz="0" w:space="0" w:color="auto"/>
          </w:divBdr>
        </w:div>
        <w:div w:id="531651402">
          <w:marLeft w:val="0"/>
          <w:marRight w:val="0"/>
          <w:marTop w:val="0"/>
          <w:marBottom w:val="0"/>
          <w:divBdr>
            <w:top w:val="none" w:sz="0" w:space="0" w:color="auto"/>
            <w:left w:val="none" w:sz="0" w:space="0" w:color="auto"/>
            <w:bottom w:val="none" w:sz="0" w:space="0" w:color="auto"/>
            <w:right w:val="none" w:sz="0" w:space="0" w:color="auto"/>
          </w:divBdr>
        </w:div>
        <w:div w:id="533739337">
          <w:marLeft w:val="0"/>
          <w:marRight w:val="0"/>
          <w:marTop w:val="0"/>
          <w:marBottom w:val="0"/>
          <w:divBdr>
            <w:top w:val="none" w:sz="0" w:space="0" w:color="auto"/>
            <w:left w:val="none" w:sz="0" w:space="0" w:color="auto"/>
            <w:bottom w:val="none" w:sz="0" w:space="0" w:color="auto"/>
            <w:right w:val="none" w:sz="0" w:space="0" w:color="auto"/>
          </w:divBdr>
        </w:div>
        <w:div w:id="534850112">
          <w:marLeft w:val="0"/>
          <w:marRight w:val="0"/>
          <w:marTop w:val="0"/>
          <w:marBottom w:val="0"/>
          <w:divBdr>
            <w:top w:val="none" w:sz="0" w:space="0" w:color="auto"/>
            <w:left w:val="none" w:sz="0" w:space="0" w:color="auto"/>
            <w:bottom w:val="none" w:sz="0" w:space="0" w:color="auto"/>
            <w:right w:val="none" w:sz="0" w:space="0" w:color="auto"/>
          </w:divBdr>
        </w:div>
        <w:div w:id="543104116">
          <w:marLeft w:val="0"/>
          <w:marRight w:val="0"/>
          <w:marTop w:val="0"/>
          <w:marBottom w:val="0"/>
          <w:divBdr>
            <w:top w:val="none" w:sz="0" w:space="0" w:color="auto"/>
            <w:left w:val="none" w:sz="0" w:space="0" w:color="auto"/>
            <w:bottom w:val="none" w:sz="0" w:space="0" w:color="auto"/>
            <w:right w:val="none" w:sz="0" w:space="0" w:color="auto"/>
          </w:divBdr>
        </w:div>
        <w:div w:id="550380804">
          <w:marLeft w:val="0"/>
          <w:marRight w:val="0"/>
          <w:marTop w:val="0"/>
          <w:marBottom w:val="0"/>
          <w:divBdr>
            <w:top w:val="none" w:sz="0" w:space="0" w:color="auto"/>
            <w:left w:val="none" w:sz="0" w:space="0" w:color="auto"/>
            <w:bottom w:val="none" w:sz="0" w:space="0" w:color="auto"/>
            <w:right w:val="none" w:sz="0" w:space="0" w:color="auto"/>
          </w:divBdr>
        </w:div>
        <w:div w:id="551308322">
          <w:marLeft w:val="0"/>
          <w:marRight w:val="0"/>
          <w:marTop w:val="0"/>
          <w:marBottom w:val="0"/>
          <w:divBdr>
            <w:top w:val="none" w:sz="0" w:space="0" w:color="auto"/>
            <w:left w:val="none" w:sz="0" w:space="0" w:color="auto"/>
            <w:bottom w:val="none" w:sz="0" w:space="0" w:color="auto"/>
            <w:right w:val="none" w:sz="0" w:space="0" w:color="auto"/>
          </w:divBdr>
        </w:div>
        <w:div w:id="554582663">
          <w:marLeft w:val="0"/>
          <w:marRight w:val="0"/>
          <w:marTop w:val="0"/>
          <w:marBottom w:val="0"/>
          <w:divBdr>
            <w:top w:val="none" w:sz="0" w:space="0" w:color="auto"/>
            <w:left w:val="none" w:sz="0" w:space="0" w:color="auto"/>
            <w:bottom w:val="none" w:sz="0" w:space="0" w:color="auto"/>
            <w:right w:val="none" w:sz="0" w:space="0" w:color="auto"/>
          </w:divBdr>
        </w:div>
        <w:div w:id="555555404">
          <w:marLeft w:val="0"/>
          <w:marRight w:val="0"/>
          <w:marTop w:val="0"/>
          <w:marBottom w:val="0"/>
          <w:divBdr>
            <w:top w:val="none" w:sz="0" w:space="0" w:color="auto"/>
            <w:left w:val="none" w:sz="0" w:space="0" w:color="auto"/>
            <w:bottom w:val="none" w:sz="0" w:space="0" w:color="auto"/>
            <w:right w:val="none" w:sz="0" w:space="0" w:color="auto"/>
          </w:divBdr>
        </w:div>
        <w:div w:id="557976971">
          <w:marLeft w:val="0"/>
          <w:marRight w:val="0"/>
          <w:marTop w:val="0"/>
          <w:marBottom w:val="0"/>
          <w:divBdr>
            <w:top w:val="none" w:sz="0" w:space="0" w:color="auto"/>
            <w:left w:val="none" w:sz="0" w:space="0" w:color="auto"/>
            <w:bottom w:val="none" w:sz="0" w:space="0" w:color="auto"/>
            <w:right w:val="none" w:sz="0" w:space="0" w:color="auto"/>
          </w:divBdr>
        </w:div>
        <w:div w:id="568923194">
          <w:marLeft w:val="0"/>
          <w:marRight w:val="0"/>
          <w:marTop w:val="0"/>
          <w:marBottom w:val="0"/>
          <w:divBdr>
            <w:top w:val="none" w:sz="0" w:space="0" w:color="auto"/>
            <w:left w:val="none" w:sz="0" w:space="0" w:color="auto"/>
            <w:bottom w:val="none" w:sz="0" w:space="0" w:color="auto"/>
            <w:right w:val="none" w:sz="0" w:space="0" w:color="auto"/>
          </w:divBdr>
        </w:div>
        <w:div w:id="582104273">
          <w:marLeft w:val="0"/>
          <w:marRight w:val="0"/>
          <w:marTop w:val="0"/>
          <w:marBottom w:val="0"/>
          <w:divBdr>
            <w:top w:val="none" w:sz="0" w:space="0" w:color="auto"/>
            <w:left w:val="none" w:sz="0" w:space="0" w:color="auto"/>
            <w:bottom w:val="none" w:sz="0" w:space="0" w:color="auto"/>
            <w:right w:val="none" w:sz="0" w:space="0" w:color="auto"/>
          </w:divBdr>
        </w:div>
        <w:div w:id="583682676">
          <w:marLeft w:val="0"/>
          <w:marRight w:val="0"/>
          <w:marTop w:val="0"/>
          <w:marBottom w:val="0"/>
          <w:divBdr>
            <w:top w:val="none" w:sz="0" w:space="0" w:color="auto"/>
            <w:left w:val="none" w:sz="0" w:space="0" w:color="auto"/>
            <w:bottom w:val="none" w:sz="0" w:space="0" w:color="auto"/>
            <w:right w:val="none" w:sz="0" w:space="0" w:color="auto"/>
          </w:divBdr>
        </w:div>
        <w:div w:id="586961368">
          <w:marLeft w:val="0"/>
          <w:marRight w:val="0"/>
          <w:marTop w:val="0"/>
          <w:marBottom w:val="0"/>
          <w:divBdr>
            <w:top w:val="none" w:sz="0" w:space="0" w:color="auto"/>
            <w:left w:val="none" w:sz="0" w:space="0" w:color="auto"/>
            <w:bottom w:val="none" w:sz="0" w:space="0" w:color="auto"/>
            <w:right w:val="none" w:sz="0" w:space="0" w:color="auto"/>
          </w:divBdr>
        </w:div>
        <w:div w:id="587927513">
          <w:marLeft w:val="0"/>
          <w:marRight w:val="0"/>
          <w:marTop w:val="0"/>
          <w:marBottom w:val="0"/>
          <w:divBdr>
            <w:top w:val="none" w:sz="0" w:space="0" w:color="auto"/>
            <w:left w:val="none" w:sz="0" w:space="0" w:color="auto"/>
            <w:bottom w:val="none" w:sz="0" w:space="0" w:color="auto"/>
            <w:right w:val="none" w:sz="0" w:space="0" w:color="auto"/>
          </w:divBdr>
        </w:div>
        <w:div w:id="590504234">
          <w:marLeft w:val="0"/>
          <w:marRight w:val="0"/>
          <w:marTop w:val="0"/>
          <w:marBottom w:val="0"/>
          <w:divBdr>
            <w:top w:val="none" w:sz="0" w:space="0" w:color="auto"/>
            <w:left w:val="none" w:sz="0" w:space="0" w:color="auto"/>
            <w:bottom w:val="none" w:sz="0" w:space="0" w:color="auto"/>
            <w:right w:val="none" w:sz="0" w:space="0" w:color="auto"/>
          </w:divBdr>
        </w:div>
        <w:div w:id="606625180">
          <w:marLeft w:val="0"/>
          <w:marRight w:val="0"/>
          <w:marTop w:val="0"/>
          <w:marBottom w:val="0"/>
          <w:divBdr>
            <w:top w:val="none" w:sz="0" w:space="0" w:color="auto"/>
            <w:left w:val="none" w:sz="0" w:space="0" w:color="auto"/>
            <w:bottom w:val="none" w:sz="0" w:space="0" w:color="auto"/>
            <w:right w:val="none" w:sz="0" w:space="0" w:color="auto"/>
          </w:divBdr>
        </w:div>
        <w:div w:id="608583751">
          <w:marLeft w:val="0"/>
          <w:marRight w:val="0"/>
          <w:marTop w:val="0"/>
          <w:marBottom w:val="0"/>
          <w:divBdr>
            <w:top w:val="none" w:sz="0" w:space="0" w:color="auto"/>
            <w:left w:val="none" w:sz="0" w:space="0" w:color="auto"/>
            <w:bottom w:val="none" w:sz="0" w:space="0" w:color="auto"/>
            <w:right w:val="none" w:sz="0" w:space="0" w:color="auto"/>
          </w:divBdr>
        </w:div>
        <w:div w:id="610362352">
          <w:marLeft w:val="0"/>
          <w:marRight w:val="0"/>
          <w:marTop w:val="0"/>
          <w:marBottom w:val="0"/>
          <w:divBdr>
            <w:top w:val="none" w:sz="0" w:space="0" w:color="auto"/>
            <w:left w:val="none" w:sz="0" w:space="0" w:color="auto"/>
            <w:bottom w:val="none" w:sz="0" w:space="0" w:color="auto"/>
            <w:right w:val="none" w:sz="0" w:space="0" w:color="auto"/>
          </w:divBdr>
        </w:div>
        <w:div w:id="636761696">
          <w:marLeft w:val="0"/>
          <w:marRight w:val="0"/>
          <w:marTop w:val="0"/>
          <w:marBottom w:val="0"/>
          <w:divBdr>
            <w:top w:val="none" w:sz="0" w:space="0" w:color="auto"/>
            <w:left w:val="none" w:sz="0" w:space="0" w:color="auto"/>
            <w:bottom w:val="none" w:sz="0" w:space="0" w:color="auto"/>
            <w:right w:val="none" w:sz="0" w:space="0" w:color="auto"/>
          </w:divBdr>
        </w:div>
        <w:div w:id="640770361">
          <w:marLeft w:val="0"/>
          <w:marRight w:val="0"/>
          <w:marTop w:val="0"/>
          <w:marBottom w:val="0"/>
          <w:divBdr>
            <w:top w:val="none" w:sz="0" w:space="0" w:color="auto"/>
            <w:left w:val="none" w:sz="0" w:space="0" w:color="auto"/>
            <w:bottom w:val="none" w:sz="0" w:space="0" w:color="auto"/>
            <w:right w:val="none" w:sz="0" w:space="0" w:color="auto"/>
          </w:divBdr>
        </w:div>
        <w:div w:id="641886608">
          <w:marLeft w:val="0"/>
          <w:marRight w:val="0"/>
          <w:marTop w:val="0"/>
          <w:marBottom w:val="0"/>
          <w:divBdr>
            <w:top w:val="none" w:sz="0" w:space="0" w:color="auto"/>
            <w:left w:val="none" w:sz="0" w:space="0" w:color="auto"/>
            <w:bottom w:val="none" w:sz="0" w:space="0" w:color="auto"/>
            <w:right w:val="none" w:sz="0" w:space="0" w:color="auto"/>
          </w:divBdr>
        </w:div>
        <w:div w:id="643659141">
          <w:marLeft w:val="0"/>
          <w:marRight w:val="0"/>
          <w:marTop w:val="0"/>
          <w:marBottom w:val="0"/>
          <w:divBdr>
            <w:top w:val="none" w:sz="0" w:space="0" w:color="auto"/>
            <w:left w:val="none" w:sz="0" w:space="0" w:color="auto"/>
            <w:bottom w:val="none" w:sz="0" w:space="0" w:color="auto"/>
            <w:right w:val="none" w:sz="0" w:space="0" w:color="auto"/>
          </w:divBdr>
        </w:div>
        <w:div w:id="644435112">
          <w:marLeft w:val="0"/>
          <w:marRight w:val="0"/>
          <w:marTop w:val="0"/>
          <w:marBottom w:val="0"/>
          <w:divBdr>
            <w:top w:val="none" w:sz="0" w:space="0" w:color="auto"/>
            <w:left w:val="none" w:sz="0" w:space="0" w:color="auto"/>
            <w:bottom w:val="none" w:sz="0" w:space="0" w:color="auto"/>
            <w:right w:val="none" w:sz="0" w:space="0" w:color="auto"/>
          </w:divBdr>
        </w:div>
        <w:div w:id="645359026">
          <w:marLeft w:val="0"/>
          <w:marRight w:val="0"/>
          <w:marTop w:val="0"/>
          <w:marBottom w:val="0"/>
          <w:divBdr>
            <w:top w:val="none" w:sz="0" w:space="0" w:color="auto"/>
            <w:left w:val="none" w:sz="0" w:space="0" w:color="auto"/>
            <w:bottom w:val="none" w:sz="0" w:space="0" w:color="auto"/>
            <w:right w:val="none" w:sz="0" w:space="0" w:color="auto"/>
          </w:divBdr>
        </w:div>
        <w:div w:id="656229778">
          <w:marLeft w:val="0"/>
          <w:marRight w:val="0"/>
          <w:marTop w:val="0"/>
          <w:marBottom w:val="0"/>
          <w:divBdr>
            <w:top w:val="none" w:sz="0" w:space="0" w:color="auto"/>
            <w:left w:val="none" w:sz="0" w:space="0" w:color="auto"/>
            <w:bottom w:val="none" w:sz="0" w:space="0" w:color="auto"/>
            <w:right w:val="none" w:sz="0" w:space="0" w:color="auto"/>
          </w:divBdr>
        </w:div>
        <w:div w:id="660740415">
          <w:marLeft w:val="0"/>
          <w:marRight w:val="0"/>
          <w:marTop w:val="0"/>
          <w:marBottom w:val="0"/>
          <w:divBdr>
            <w:top w:val="none" w:sz="0" w:space="0" w:color="auto"/>
            <w:left w:val="none" w:sz="0" w:space="0" w:color="auto"/>
            <w:bottom w:val="none" w:sz="0" w:space="0" w:color="auto"/>
            <w:right w:val="none" w:sz="0" w:space="0" w:color="auto"/>
          </w:divBdr>
        </w:div>
        <w:div w:id="668406439">
          <w:marLeft w:val="0"/>
          <w:marRight w:val="0"/>
          <w:marTop w:val="0"/>
          <w:marBottom w:val="0"/>
          <w:divBdr>
            <w:top w:val="none" w:sz="0" w:space="0" w:color="auto"/>
            <w:left w:val="none" w:sz="0" w:space="0" w:color="auto"/>
            <w:bottom w:val="none" w:sz="0" w:space="0" w:color="auto"/>
            <w:right w:val="none" w:sz="0" w:space="0" w:color="auto"/>
          </w:divBdr>
        </w:div>
        <w:div w:id="673997080">
          <w:marLeft w:val="0"/>
          <w:marRight w:val="0"/>
          <w:marTop w:val="0"/>
          <w:marBottom w:val="0"/>
          <w:divBdr>
            <w:top w:val="none" w:sz="0" w:space="0" w:color="auto"/>
            <w:left w:val="none" w:sz="0" w:space="0" w:color="auto"/>
            <w:bottom w:val="none" w:sz="0" w:space="0" w:color="auto"/>
            <w:right w:val="none" w:sz="0" w:space="0" w:color="auto"/>
          </w:divBdr>
        </w:div>
        <w:div w:id="674380496">
          <w:marLeft w:val="0"/>
          <w:marRight w:val="0"/>
          <w:marTop w:val="0"/>
          <w:marBottom w:val="0"/>
          <w:divBdr>
            <w:top w:val="none" w:sz="0" w:space="0" w:color="auto"/>
            <w:left w:val="none" w:sz="0" w:space="0" w:color="auto"/>
            <w:bottom w:val="none" w:sz="0" w:space="0" w:color="auto"/>
            <w:right w:val="none" w:sz="0" w:space="0" w:color="auto"/>
          </w:divBdr>
        </w:div>
        <w:div w:id="693775219">
          <w:marLeft w:val="0"/>
          <w:marRight w:val="0"/>
          <w:marTop w:val="0"/>
          <w:marBottom w:val="0"/>
          <w:divBdr>
            <w:top w:val="none" w:sz="0" w:space="0" w:color="auto"/>
            <w:left w:val="none" w:sz="0" w:space="0" w:color="auto"/>
            <w:bottom w:val="none" w:sz="0" w:space="0" w:color="auto"/>
            <w:right w:val="none" w:sz="0" w:space="0" w:color="auto"/>
          </w:divBdr>
        </w:div>
        <w:div w:id="697394523">
          <w:marLeft w:val="0"/>
          <w:marRight w:val="0"/>
          <w:marTop w:val="0"/>
          <w:marBottom w:val="0"/>
          <w:divBdr>
            <w:top w:val="none" w:sz="0" w:space="0" w:color="auto"/>
            <w:left w:val="none" w:sz="0" w:space="0" w:color="auto"/>
            <w:bottom w:val="none" w:sz="0" w:space="0" w:color="auto"/>
            <w:right w:val="none" w:sz="0" w:space="0" w:color="auto"/>
          </w:divBdr>
        </w:div>
        <w:div w:id="697700974">
          <w:marLeft w:val="0"/>
          <w:marRight w:val="0"/>
          <w:marTop w:val="0"/>
          <w:marBottom w:val="0"/>
          <w:divBdr>
            <w:top w:val="none" w:sz="0" w:space="0" w:color="auto"/>
            <w:left w:val="none" w:sz="0" w:space="0" w:color="auto"/>
            <w:bottom w:val="none" w:sz="0" w:space="0" w:color="auto"/>
            <w:right w:val="none" w:sz="0" w:space="0" w:color="auto"/>
          </w:divBdr>
        </w:div>
        <w:div w:id="699821001">
          <w:marLeft w:val="0"/>
          <w:marRight w:val="0"/>
          <w:marTop w:val="0"/>
          <w:marBottom w:val="0"/>
          <w:divBdr>
            <w:top w:val="none" w:sz="0" w:space="0" w:color="auto"/>
            <w:left w:val="none" w:sz="0" w:space="0" w:color="auto"/>
            <w:bottom w:val="none" w:sz="0" w:space="0" w:color="auto"/>
            <w:right w:val="none" w:sz="0" w:space="0" w:color="auto"/>
          </w:divBdr>
        </w:div>
        <w:div w:id="705762332">
          <w:marLeft w:val="0"/>
          <w:marRight w:val="0"/>
          <w:marTop w:val="0"/>
          <w:marBottom w:val="0"/>
          <w:divBdr>
            <w:top w:val="none" w:sz="0" w:space="0" w:color="auto"/>
            <w:left w:val="none" w:sz="0" w:space="0" w:color="auto"/>
            <w:bottom w:val="none" w:sz="0" w:space="0" w:color="auto"/>
            <w:right w:val="none" w:sz="0" w:space="0" w:color="auto"/>
          </w:divBdr>
        </w:div>
        <w:div w:id="709959639">
          <w:marLeft w:val="0"/>
          <w:marRight w:val="0"/>
          <w:marTop w:val="0"/>
          <w:marBottom w:val="0"/>
          <w:divBdr>
            <w:top w:val="none" w:sz="0" w:space="0" w:color="auto"/>
            <w:left w:val="none" w:sz="0" w:space="0" w:color="auto"/>
            <w:bottom w:val="none" w:sz="0" w:space="0" w:color="auto"/>
            <w:right w:val="none" w:sz="0" w:space="0" w:color="auto"/>
          </w:divBdr>
        </w:div>
        <w:div w:id="711004412">
          <w:marLeft w:val="0"/>
          <w:marRight w:val="0"/>
          <w:marTop w:val="0"/>
          <w:marBottom w:val="0"/>
          <w:divBdr>
            <w:top w:val="none" w:sz="0" w:space="0" w:color="auto"/>
            <w:left w:val="none" w:sz="0" w:space="0" w:color="auto"/>
            <w:bottom w:val="none" w:sz="0" w:space="0" w:color="auto"/>
            <w:right w:val="none" w:sz="0" w:space="0" w:color="auto"/>
          </w:divBdr>
        </w:div>
        <w:div w:id="714542282">
          <w:marLeft w:val="0"/>
          <w:marRight w:val="0"/>
          <w:marTop w:val="0"/>
          <w:marBottom w:val="0"/>
          <w:divBdr>
            <w:top w:val="none" w:sz="0" w:space="0" w:color="auto"/>
            <w:left w:val="none" w:sz="0" w:space="0" w:color="auto"/>
            <w:bottom w:val="none" w:sz="0" w:space="0" w:color="auto"/>
            <w:right w:val="none" w:sz="0" w:space="0" w:color="auto"/>
          </w:divBdr>
        </w:div>
        <w:div w:id="721709243">
          <w:marLeft w:val="0"/>
          <w:marRight w:val="0"/>
          <w:marTop w:val="0"/>
          <w:marBottom w:val="0"/>
          <w:divBdr>
            <w:top w:val="none" w:sz="0" w:space="0" w:color="auto"/>
            <w:left w:val="none" w:sz="0" w:space="0" w:color="auto"/>
            <w:bottom w:val="none" w:sz="0" w:space="0" w:color="auto"/>
            <w:right w:val="none" w:sz="0" w:space="0" w:color="auto"/>
          </w:divBdr>
        </w:div>
        <w:div w:id="743600021">
          <w:marLeft w:val="0"/>
          <w:marRight w:val="0"/>
          <w:marTop w:val="0"/>
          <w:marBottom w:val="0"/>
          <w:divBdr>
            <w:top w:val="none" w:sz="0" w:space="0" w:color="auto"/>
            <w:left w:val="none" w:sz="0" w:space="0" w:color="auto"/>
            <w:bottom w:val="none" w:sz="0" w:space="0" w:color="auto"/>
            <w:right w:val="none" w:sz="0" w:space="0" w:color="auto"/>
          </w:divBdr>
        </w:div>
        <w:div w:id="746850979">
          <w:marLeft w:val="0"/>
          <w:marRight w:val="0"/>
          <w:marTop w:val="0"/>
          <w:marBottom w:val="0"/>
          <w:divBdr>
            <w:top w:val="none" w:sz="0" w:space="0" w:color="auto"/>
            <w:left w:val="none" w:sz="0" w:space="0" w:color="auto"/>
            <w:bottom w:val="none" w:sz="0" w:space="0" w:color="auto"/>
            <w:right w:val="none" w:sz="0" w:space="0" w:color="auto"/>
          </w:divBdr>
        </w:div>
        <w:div w:id="749353577">
          <w:marLeft w:val="0"/>
          <w:marRight w:val="0"/>
          <w:marTop w:val="0"/>
          <w:marBottom w:val="0"/>
          <w:divBdr>
            <w:top w:val="none" w:sz="0" w:space="0" w:color="auto"/>
            <w:left w:val="none" w:sz="0" w:space="0" w:color="auto"/>
            <w:bottom w:val="none" w:sz="0" w:space="0" w:color="auto"/>
            <w:right w:val="none" w:sz="0" w:space="0" w:color="auto"/>
          </w:divBdr>
        </w:div>
        <w:div w:id="768156832">
          <w:marLeft w:val="0"/>
          <w:marRight w:val="0"/>
          <w:marTop w:val="0"/>
          <w:marBottom w:val="0"/>
          <w:divBdr>
            <w:top w:val="none" w:sz="0" w:space="0" w:color="auto"/>
            <w:left w:val="none" w:sz="0" w:space="0" w:color="auto"/>
            <w:bottom w:val="none" w:sz="0" w:space="0" w:color="auto"/>
            <w:right w:val="none" w:sz="0" w:space="0" w:color="auto"/>
          </w:divBdr>
        </w:div>
        <w:div w:id="784009744">
          <w:marLeft w:val="0"/>
          <w:marRight w:val="0"/>
          <w:marTop w:val="0"/>
          <w:marBottom w:val="0"/>
          <w:divBdr>
            <w:top w:val="none" w:sz="0" w:space="0" w:color="auto"/>
            <w:left w:val="none" w:sz="0" w:space="0" w:color="auto"/>
            <w:bottom w:val="none" w:sz="0" w:space="0" w:color="auto"/>
            <w:right w:val="none" w:sz="0" w:space="0" w:color="auto"/>
          </w:divBdr>
        </w:div>
        <w:div w:id="795872582">
          <w:marLeft w:val="0"/>
          <w:marRight w:val="0"/>
          <w:marTop w:val="0"/>
          <w:marBottom w:val="0"/>
          <w:divBdr>
            <w:top w:val="none" w:sz="0" w:space="0" w:color="auto"/>
            <w:left w:val="none" w:sz="0" w:space="0" w:color="auto"/>
            <w:bottom w:val="none" w:sz="0" w:space="0" w:color="auto"/>
            <w:right w:val="none" w:sz="0" w:space="0" w:color="auto"/>
          </w:divBdr>
        </w:div>
        <w:div w:id="798301152">
          <w:marLeft w:val="0"/>
          <w:marRight w:val="0"/>
          <w:marTop w:val="0"/>
          <w:marBottom w:val="0"/>
          <w:divBdr>
            <w:top w:val="none" w:sz="0" w:space="0" w:color="auto"/>
            <w:left w:val="none" w:sz="0" w:space="0" w:color="auto"/>
            <w:bottom w:val="none" w:sz="0" w:space="0" w:color="auto"/>
            <w:right w:val="none" w:sz="0" w:space="0" w:color="auto"/>
          </w:divBdr>
        </w:div>
        <w:div w:id="809128641">
          <w:marLeft w:val="0"/>
          <w:marRight w:val="0"/>
          <w:marTop w:val="0"/>
          <w:marBottom w:val="0"/>
          <w:divBdr>
            <w:top w:val="none" w:sz="0" w:space="0" w:color="auto"/>
            <w:left w:val="none" w:sz="0" w:space="0" w:color="auto"/>
            <w:bottom w:val="none" w:sz="0" w:space="0" w:color="auto"/>
            <w:right w:val="none" w:sz="0" w:space="0" w:color="auto"/>
          </w:divBdr>
        </w:div>
        <w:div w:id="818693534">
          <w:marLeft w:val="0"/>
          <w:marRight w:val="0"/>
          <w:marTop w:val="0"/>
          <w:marBottom w:val="0"/>
          <w:divBdr>
            <w:top w:val="none" w:sz="0" w:space="0" w:color="auto"/>
            <w:left w:val="none" w:sz="0" w:space="0" w:color="auto"/>
            <w:bottom w:val="none" w:sz="0" w:space="0" w:color="auto"/>
            <w:right w:val="none" w:sz="0" w:space="0" w:color="auto"/>
          </w:divBdr>
        </w:div>
        <w:div w:id="837230788">
          <w:marLeft w:val="0"/>
          <w:marRight w:val="0"/>
          <w:marTop w:val="0"/>
          <w:marBottom w:val="0"/>
          <w:divBdr>
            <w:top w:val="none" w:sz="0" w:space="0" w:color="auto"/>
            <w:left w:val="none" w:sz="0" w:space="0" w:color="auto"/>
            <w:bottom w:val="none" w:sz="0" w:space="0" w:color="auto"/>
            <w:right w:val="none" w:sz="0" w:space="0" w:color="auto"/>
          </w:divBdr>
        </w:div>
        <w:div w:id="846209558">
          <w:marLeft w:val="0"/>
          <w:marRight w:val="0"/>
          <w:marTop w:val="0"/>
          <w:marBottom w:val="0"/>
          <w:divBdr>
            <w:top w:val="none" w:sz="0" w:space="0" w:color="auto"/>
            <w:left w:val="none" w:sz="0" w:space="0" w:color="auto"/>
            <w:bottom w:val="none" w:sz="0" w:space="0" w:color="auto"/>
            <w:right w:val="none" w:sz="0" w:space="0" w:color="auto"/>
          </w:divBdr>
        </w:div>
        <w:div w:id="853150912">
          <w:marLeft w:val="0"/>
          <w:marRight w:val="0"/>
          <w:marTop w:val="0"/>
          <w:marBottom w:val="0"/>
          <w:divBdr>
            <w:top w:val="none" w:sz="0" w:space="0" w:color="auto"/>
            <w:left w:val="none" w:sz="0" w:space="0" w:color="auto"/>
            <w:bottom w:val="none" w:sz="0" w:space="0" w:color="auto"/>
            <w:right w:val="none" w:sz="0" w:space="0" w:color="auto"/>
          </w:divBdr>
        </w:div>
        <w:div w:id="854198229">
          <w:marLeft w:val="0"/>
          <w:marRight w:val="0"/>
          <w:marTop w:val="0"/>
          <w:marBottom w:val="0"/>
          <w:divBdr>
            <w:top w:val="none" w:sz="0" w:space="0" w:color="auto"/>
            <w:left w:val="none" w:sz="0" w:space="0" w:color="auto"/>
            <w:bottom w:val="none" w:sz="0" w:space="0" w:color="auto"/>
            <w:right w:val="none" w:sz="0" w:space="0" w:color="auto"/>
          </w:divBdr>
        </w:div>
        <w:div w:id="860320367">
          <w:marLeft w:val="0"/>
          <w:marRight w:val="0"/>
          <w:marTop w:val="0"/>
          <w:marBottom w:val="0"/>
          <w:divBdr>
            <w:top w:val="none" w:sz="0" w:space="0" w:color="auto"/>
            <w:left w:val="none" w:sz="0" w:space="0" w:color="auto"/>
            <w:bottom w:val="none" w:sz="0" w:space="0" w:color="auto"/>
            <w:right w:val="none" w:sz="0" w:space="0" w:color="auto"/>
          </w:divBdr>
        </w:div>
        <w:div w:id="871066669">
          <w:marLeft w:val="0"/>
          <w:marRight w:val="0"/>
          <w:marTop w:val="0"/>
          <w:marBottom w:val="0"/>
          <w:divBdr>
            <w:top w:val="none" w:sz="0" w:space="0" w:color="auto"/>
            <w:left w:val="none" w:sz="0" w:space="0" w:color="auto"/>
            <w:bottom w:val="none" w:sz="0" w:space="0" w:color="auto"/>
            <w:right w:val="none" w:sz="0" w:space="0" w:color="auto"/>
          </w:divBdr>
        </w:div>
        <w:div w:id="875196384">
          <w:marLeft w:val="0"/>
          <w:marRight w:val="0"/>
          <w:marTop w:val="0"/>
          <w:marBottom w:val="0"/>
          <w:divBdr>
            <w:top w:val="none" w:sz="0" w:space="0" w:color="auto"/>
            <w:left w:val="none" w:sz="0" w:space="0" w:color="auto"/>
            <w:bottom w:val="none" w:sz="0" w:space="0" w:color="auto"/>
            <w:right w:val="none" w:sz="0" w:space="0" w:color="auto"/>
          </w:divBdr>
        </w:div>
        <w:div w:id="881092704">
          <w:marLeft w:val="0"/>
          <w:marRight w:val="0"/>
          <w:marTop w:val="0"/>
          <w:marBottom w:val="0"/>
          <w:divBdr>
            <w:top w:val="none" w:sz="0" w:space="0" w:color="auto"/>
            <w:left w:val="none" w:sz="0" w:space="0" w:color="auto"/>
            <w:bottom w:val="none" w:sz="0" w:space="0" w:color="auto"/>
            <w:right w:val="none" w:sz="0" w:space="0" w:color="auto"/>
          </w:divBdr>
        </w:div>
        <w:div w:id="884876578">
          <w:marLeft w:val="0"/>
          <w:marRight w:val="0"/>
          <w:marTop w:val="0"/>
          <w:marBottom w:val="0"/>
          <w:divBdr>
            <w:top w:val="none" w:sz="0" w:space="0" w:color="auto"/>
            <w:left w:val="none" w:sz="0" w:space="0" w:color="auto"/>
            <w:bottom w:val="none" w:sz="0" w:space="0" w:color="auto"/>
            <w:right w:val="none" w:sz="0" w:space="0" w:color="auto"/>
          </w:divBdr>
        </w:div>
        <w:div w:id="917860936">
          <w:marLeft w:val="0"/>
          <w:marRight w:val="0"/>
          <w:marTop w:val="0"/>
          <w:marBottom w:val="0"/>
          <w:divBdr>
            <w:top w:val="none" w:sz="0" w:space="0" w:color="auto"/>
            <w:left w:val="none" w:sz="0" w:space="0" w:color="auto"/>
            <w:bottom w:val="none" w:sz="0" w:space="0" w:color="auto"/>
            <w:right w:val="none" w:sz="0" w:space="0" w:color="auto"/>
          </w:divBdr>
        </w:div>
        <w:div w:id="939871000">
          <w:marLeft w:val="0"/>
          <w:marRight w:val="0"/>
          <w:marTop w:val="0"/>
          <w:marBottom w:val="0"/>
          <w:divBdr>
            <w:top w:val="none" w:sz="0" w:space="0" w:color="auto"/>
            <w:left w:val="none" w:sz="0" w:space="0" w:color="auto"/>
            <w:bottom w:val="none" w:sz="0" w:space="0" w:color="auto"/>
            <w:right w:val="none" w:sz="0" w:space="0" w:color="auto"/>
          </w:divBdr>
        </w:div>
        <w:div w:id="946620972">
          <w:marLeft w:val="0"/>
          <w:marRight w:val="0"/>
          <w:marTop w:val="0"/>
          <w:marBottom w:val="0"/>
          <w:divBdr>
            <w:top w:val="none" w:sz="0" w:space="0" w:color="auto"/>
            <w:left w:val="none" w:sz="0" w:space="0" w:color="auto"/>
            <w:bottom w:val="none" w:sz="0" w:space="0" w:color="auto"/>
            <w:right w:val="none" w:sz="0" w:space="0" w:color="auto"/>
          </w:divBdr>
        </w:div>
        <w:div w:id="960644911">
          <w:marLeft w:val="0"/>
          <w:marRight w:val="0"/>
          <w:marTop w:val="0"/>
          <w:marBottom w:val="0"/>
          <w:divBdr>
            <w:top w:val="none" w:sz="0" w:space="0" w:color="auto"/>
            <w:left w:val="none" w:sz="0" w:space="0" w:color="auto"/>
            <w:bottom w:val="none" w:sz="0" w:space="0" w:color="auto"/>
            <w:right w:val="none" w:sz="0" w:space="0" w:color="auto"/>
          </w:divBdr>
        </w:div>
        <w:div w:id="972248904">
          <w:marLeft w:val="0"/>
          <w:marRight w:val="0"/>
          <w:marTop w:val="0"/>
          <w:marBottom w:val="0"/>
          <w:divBdr>
            <w:top w:val="none" w:sz="0" w:space="0" w:color="auto"/>
            <w:left w:val="none" w:sz="0" w:space="0" w:color="auto"/>
            <w:bottom w:val="none" w:sz="0" w:space="0" w:color="auto"/>
            <w:right w:val="none" w:sz="0" w:space="0" w:color="auto"/>
          </w:divBdr>
        </w:div>
        <w:div w:id="977758151">
          <w:marLeft w:val="0"/>
          <w:marRight w:val="0"/>
          <w:marTop w:val="0"/>
          <w:marBottom w:val="0"/>
          <w:divBdr>
            <w:top w:val="none" w:sz="0" w:space="0" w:color="auto"/>
            <w:left w:val="none" w:sz="0" w:space="0" w:color="auto"/>
            <w:bottom w:val="none" w:sz="0" w:space="0" w:color="auto"/>
            <w:right w:val="none" w:sz="0" w:space="0" w:color="auto"/>
          </w:divBdr>
        </w:div>
        <w:div w:id="978875010">
          <w:marLeft w:val="0"/>
          <w:marRight w:val="0"/>
          <w:marTop w:val="0"/>
          <w:marBottom w:val="0"/>
          <w:divBdr>
            <w:top w:val="none" w:sz="0" w:space="0" w:color="auto"/>
            <w:left w:val="none" w:sz="0" w:space="0" w:color="auto"/>
            <w:bottom w:val="none" w:sz="0" w:space="0" w:color="auto"/>
            <w:right w:val="none" w:sz="0" w:space="0" w:color="auto"/>
          </w:divBdr>
        </w:div>
        <w:div w:id="981495342">
          <w:marLeft w:val="0"/>
          <w:marRight w:val="0"/>
          <w:marTop w:val="0"/>
          <w:marBottom w:val="0"/>
          <w:divBdr>
            <w:top w:val="none" w:sz="0" w:space="0" w:color="auto"/>
            <w:left w:val="none" w:sz="0" w:space="0" w:color="auto"/>
            <w:bottom w:val="none" w:sz="0" w:space="0" w:color="auto"/>
            <w:right w:val="none" w:sz="0" w:space="0" w:color="auto"/>
          </w:divBdr>
        </w:div>
        <w:div w:id="993527599">
          <w:marLeft w:val="0"/>
          <w:marRight w:val="0"/>
          <w:marTop w:val="0"/>
          <w:marBottom w:val="0"/>
          <w:divBdr>
            <w:top w:val="none" w:sz="0" w:space="0" w:color="auto"/>
            <w:left w:val="none" w:sz="0" w:space="0" w:color="auto"/>
            <w:bottom w:val="none" w:sz="0" w:space="0" w:color="auto"/>
            <w:right w:val="none" w:sz="0" w:space="0" w:color="auto"/>
          </w:divBdr>
        </w:div>
        <w:div w:id="999888760">
          <w:marLeft w:val="0"/>
          <w:marRight w:val="0"/>
          <w:marTop w:val="0"/>
          <w:marBottom w:val="0"/>
          <w:divBdr>
            <w:top w:val="none" w:sz="0" w:space="0" w:color="auto"/>
            <w:left w:val="none" w:sz="0" w:space="0" w:color="auto"/>
            <w:bottom w:val="none" w:sz="0" w:space="0" w:color="auto"/>
            <w:right w:val="none" w:sz="0" w:space="0" w:color="auto"/>
          </w:divBdr>
        </w:div>
        <w:div w:id="1002122988">
          <w:marLeft w:val="0"/>
          <w:marRight w:val="0"/>
          <w:marTop w:val="0"/>
          <w:marBottom w:val="0"/>
          <w:divBdr>
            <w:top w:val="none" w:sz="0" w:space="0" w:color="auto"/>
            <w:left w:val="none" w:sz="0" w:space="0" w:color="auto"/>
            <w:bottom w:val="none" w:sz="0" w:space="0" w:color="auto"/>
            <w:right w:val="none" w:sz="0" w:space="0" w:color="auto"/>
          </w:divBdr>
        </w:div>
        <w:div w:id="1006397546">
          <w:marLeft w:val="0"/>
          <w:marRight w:val="0"/>
          <w:marTop w:val="0"/>
          <w:marBottom w:val="0"/>
          <w:divBdr>
            <w:top w:val="none" w:sz="0" w:space="0" w:color="auto"/>
            <w:left w:val="none" w:sz="0" w:space="0" w:color="auto"/>
            <w:bottom w:val="none" w:sz="0" w:space="0" w:color="auto"/>
            <w:right w:val="none" w:sz="0" w:space="0" w:color="auto"/>
          </w:divBdr>
        </w:div>
        <w:div w:id="1006596445">
          <w:marLeft w:val="0"/>
          <w:marRight w:val="0"/>
          <w:marTop w:val="0"/>
          <w:marBottom w:val="0"/>
          <w:divBdr>
            <w:top w:val="none" w:sz="0" w:space="0" w:color="auto"/>
            <w:left w:val="none" w:sz="0" w:space="0" w:color="auto"/>
            <w:bottom w:val="none" w:sz="0" w:space="0" w:color="auto"/>
            <w:right w:val="none" w:sz="0" w:space="0" w:color="auto"/>
          </w:divBdr>
        </w:div>
        <w:div w:id="1008218774">
          <w:marLeft w:val="0"/>
          <w:marRight w:val="0"/>
          <w:marTop w:val="0"/>
          <w:marBottom w:val="0"/>
          <w:divBdr>
            <w:top w:val="none" w:sz="0" w:space="0" w:color="auto"/>
            <w:left w:val="none" w:sz="0" w:space="0" w:color="auto"/>
            <w:bottom w:val="none" w:sz="0" w:space="0" w:color="auto"/>
            <w:right w:val="none" w:sz="0" w:space="0" w:color="auto"/>
          </w:divBdr>
        </w:div>
        <w:div w:id="1010063523">
          <w:marLeft w:val="0"/>
          <w:marRight w:val="0"/>
          <w:marTop w:val="0"/>
          <w:marBottom w:val="0"/>
          <w:divBdr>
            <w:top w:val="none" w:sz="0" w:space="0" w:color="auto"/>
            <w:left w:val="none" w:sz="0" w:space="0" w:color="auto"/>
            <w:bottom w:val="none" w:sz="0" w:space="0" w:color="auto"/>
            <w:right w:val="none" w:sz="0" w:space="0" w:color="auto"/>
          </w:divBdr>
        </w:div>
        <w:div w:id="1020013833">
          <w:marLeft w:val="0"/>
          <w:marRight w:val="0"/>
          <w:marTop w:val="0"/>
          <w:marBottom w:val="0"/>
          <w:divBdr>
            <w:top w:val="none" w:sz="0" w:space="0" w:color="auto"/>
            <w:left w:val="none" w:sz="0" w:space="0" w:color="auto"/>
            <w:bottom w:val="none" w:sz="0" w:space="0" w:color="auto"/>
            <w:right w:val="none" w:sz="0" w:space="0" w:color="auto"/>
          </w:divBdr>
        </w:div>
        <w:div w:id="1021516252">
          <w:marLeft w:val="0"/>
          <w:marRight w:val="0"/>
          <w:marTop w:val="0"/>
          <w:marBottom w:val="0"/>
          <w:divBdr>
            <w:top w:val="none" w:sz="0" w:space="0" w:color="auto"/>
            <w:left w:val="none" w:sz="0" w:space="0" w:color="auto"/>
            <w:bottom w:val="none" w:sz="0" w:space="0" w:color="auto"/>
            <w:right w:val="none" w:sz="0" w:space="0" w:color="auto"/>
          </w:divBdr>
        </w:div>
        <w:div w:id="1029457008">
          <w:marLeft w:val="0"/>
          <w:marRight w:val="0"/>
          <w:marTop w:val="0"/>
          <w:marBottom w:val="0"/>
          <w:divBdr>
            <w:top w:val="none" w:sz="0" w:space="0" w:color="auto"/>
            <w:left w:val="none" w:sz="0" w:space="0" w:color="auto"/>
            <w:bottom w:val="none" w:sz="0" w:space="0" w:color="auto"/>
            <w:right w:val="none" w:sz="0" w:space="0" w:color="auto"/>
          </w:divBdr>
        </w:div>
        <w:div w:id="1037317156">
          <w:marLeft w:val="0"/>
          <w:marRight w:val="0"/>
          <w:marTop w:val="0"/>
          <w:marBottom w:val="0"/>
          <w:divBdr>
            <w:top w:val="none" w:sz="0" w:space="0" w:color="auto"/>
            <w:left w:val="none" w:sz="0" w:space="0" w:color="auto"/>
            <w:bottom w:val="none" w:sz="0" w:space="0" w:color="auto"/>
            <w:right w:val="none" w:sz="0" w:space="0" w:color="auto"/>
          </w:divBdr>
        </w:div>
        <w:div w:id="1041125786">
          <w:marLeft w:val="0"/>
          <w:marRight w:val="0"/>
          <w:marTop w:val="0"/>
          <w:marBottom w:val="0"/>
          <w:divBdr>
            <w:top w:val="none" w:sz="0" w:space="0" w:color="auto"/>
            <w:left w:val="none" w:sz="0" w:space="0" w:color="auto"/>
            <w:bottom w:val="none" w:sz="0" w:space="0" w:color="auto"/>
            <w:right w:val="none" w:sz="0" w:space="0" w:color="auto"/>
          </w:divBdr>
        </w:div>
        <w:div w:id="1044209803">
          <w:marLeft w:val="0"/>
          <w:marRight w:val="0"/>
          <w:marTop w:val="0"/>
          <w:marBottom w:val="0"/>
          <w:divBdr>
            <w:top w:val="none" w:sz="0" w:space="0" w:color="auto"/>
            <w:left w:val="none" w:sz="0" w:space="0" w:color="auto"/>
            <w:bottom w:val="none" w:sz="0" w:space="0" w:color="auto"/>
            <w:right w:val="none" w:sz="0" w:space="0" w:color="auto"/>
          </w:divBdr>
        </w:div>
        <w:div w:id="1059279953">
          <w:marLeft w:val="0"/>
          <w:marRight w:val="0"/>
          <w:marTop w:val="0"/>
          <w:marBottom w:val="0"/>
          <w:divBdr>
            <w:top w:val="none" w:sz="0" w:space="0" w:color="auto"/>
            <w:left w:val="none" w:sz="0" w:space="0" w:color="auto"/>
            <w:bottom w:val="none" w:sz="0" w:space="0" w:color="auto"/>
            <w:right w:val="none" w:sz="0" w:space="0" w:color="auto"/>
          </w:divBdr>
        </w:div>
        <w:div w:id="1064722043">
          <w:marLeft w:val="0"/>
          <w:marRight w:val="0"/>
          <w:marTop w:val="0"/>
          <w:marBottom w:val="0"/>
          <w:divBdr>
            <w:top w:val="none" w:sz="0" w:space="0" w:color="auto"/>
            <w:left w:val="none" w:sz="0" w:space="0" w:color="auto"/>
            <w:bottom w:val="none" w:sz="0" w:space="0" w:color="auto"/>
            <w:right w:val="none" w:sz="0" w:space="0" w:color="auto"/>
          </w:divBdr>
        </w:div>
        <w:div w:id="1064988331">
          <w:marLeft w:val="0"/>
          <w:marRight w:val="0"/>
          <w:marTop w:val="0"/>
          <w:marBottom w:val="0"/>
          <w:divBdr>
            <w:top w:val="none" w:sz="0" w:space="0" w:color="auto"/>
            <w:left w:val="none" w:sz="0" w:space="0" w:color="auto"/>
            <w:bottom w:val="none" w:sz="0" w:space="0" w:color="auto"/>
            <w:right w:val="none" w:sz="0" w:space="0" w:color="auto"/>
          </w:divBdr>
        </w:div>
        <w:div w:id="1073816830">
          <w:marLeft w:val="0"/>
          <w:marRight w:val="0"/>
          <w:marTop w:val="0"/>
          <w:marBottom w:val="0"/>
          <w:divBdr>
            <w:top w:val="none" w:sz="0" w:space="0" w:color="auto"/>
            <w:left w:val="none" w:sz="0" w:space="0" w:color="auto"/>
            <w:bottom w:val="none" w:sz="0" w:space="0" w:color="auto"/>
            <w:right w:val="none" w:sz="0" w:space="0" w:color="auto"/>
          </w:divBdr>
        </w:div>
        <w:div w:id="1077560266">
          <w:marLeft w:val="0"/>
          <w:marRight w:val="0"/>
          <w:marTop w:val="0"/>
          <w:marBottom w:val="0"/>
          <w:divBdr>
            <w:top w:val="none" w:sz="0" w:space="0" w:color="auto"/>
            <w:left w:val="none" w:sz="0" w:space="0" w:color="auto"/>
            <w:bottom w:val="none" w:sz="0" w:space="0" w:color="auto"/>
            <w:right w:val="none" w:sz="0" w:space="0" w:color="auto"/>
          </w:divBdr>
        </w:div>
        <w:div w:id="1120102665">
          <w:marLeft w:val="0"/>
          <w:marRight w:val="0"/>
          <w:marTop w:val="0"/>
          <w:marBottom w:val="0"/>
          <w:divBdr>
            <w:top w:val="none" w:sz="0" w:space="0" w:color="auto"/>
            <w:left w:val="none" w:sz="0" w:space="0" w:color="auto"/>
            <w:bottom w:val="none" w:sz="0" w:space="0" w:color="auto"/>
            <w:right w:val="none" w:sz="0" w:space="0" w:color="auto"/>
          </w:divBdr>
        </w:div>
        <w:div w:id="1128165596">
          <w:marLeft w:val="0"/>
          <w:marRight w:val="0"/>
          <w:marTop w:val="0"/>
          <w:marBottom w:val="0"/>
          <w:divBdr>
            <w:top w:val="none" w:sz="0" w:space="0" w:color="auto"/>
            <w:left w:val="none" w:sz="0" w:space="0" w:color="auto"/>
            <w:bottom w:val="none" w:sz="0" w:space="0" w:color="auto"/>
            <w:right w:val="none" w:sz="0" w:space="0" w:color="auto"/>
          </w:divBdr>
        </w:div>
        <w:div w:id="1132594904">
          <w:marLeft w:val="0"/>
          <w:marRight w:val="0"/>
          <w:marTop w:val="0"/>
          <w:marBottom w:val="0"/>
          <w:divBdr>
            <w:top w:val="none" w:sz="0" w:space="0" w:color="auto"/>
            <w:left w:val="none" w:sz="0" w:space="0" w:color="auto"/>
            <w:bottom w:val="none" w:sz="0" w:space="0" w:color="auto"/>
            <w:right w:val="none" w:sz="0" w:space="0" w:color="auto"/>
          </w:divBdr>
        </w:div>
        <w:div w:id="1138306357">
          <w:marLeft w:val="0"/>
          <w:marRight w:val="0"/>
          <w:marTop w:val="0"/>
          <w:marBottom w:val="0"/>
          <w:divBdr>
            <w:top w:val="none" w:sz="0" w:space="0" w:color="auto"/>
            <w:left w:val="none" w:sz="0" w:space="0" w:color="auto"/>
            <w:bottom w:val="none" w:sz="0" w:space="0" w:color="auto"/>
            <w:right w:val="none" w:sz="0" w:space="0" w:color="auto"/>
          </w:divBdr>
        </w:div>
        <w:div w:id="1143353711">
          <w:marLeft w:val="0"/>
          <w:marRight w:val="0"/>
          <w:marTop w:val="0"/>
          <w:marBottom w:val="0"/>
          <w:divBdr>
            <w:top w:val="none" w:sz="0" w:space="0" w:color="auto"/>
            <w:left w:val="none" w:sz="0" w:space="0" w:color="auto"/>
            <w:bottom w:val="none" w:sz="0" w:space="0" w:color="auto"/>
            <w:right w:val="none" w:sz="0" w:space="0" w:color="auto"/>
          </w:divBdr>
        </w:div>
        <w:div w:id="1145851334">
          <w:marLeft w:val="0"/>
          <w:marRight w:val="0"/>
          <w:marTop w:val="0"/>
          <w:marBottom w:val="0"/>
          <w:divBdr>
            <w:top w:val="none" w:sz="0" w:space="0" w:color="auto"/>
            <w:left w:val="none" w:sz="0" w:space="0" w:color="auto"/>
            <w:bottom w:val="none" w:sz="0" w:space="0" w:color="auto"/>
            <w:right w:val="none" w:sz="0" w:space="0" w:color="auto"/>
          </w:divBdr>
        </w:div>
        <w:div w:id="1152868475">
          <w:marLeft w:val="0"/>
          <w:marRight w:val="0"/>
          <w:marTop w:val="0"/>
          <w:marBottom w:val="0"/>
          <w:divBdr>
            <w:top w:val="none" w:sz="0" w:space="0" w:color="auto"/>
            <w:left w:val="none" w:sz="0" w:space="0" w:color="auto"/>
            <w:bottom w:val="none" w:sz="0" w:space="0" w:color="auto"/>
            <w:right w:val="none" w:sz="0" w:space="0" w:color="auto"/>
          </w:divBdr>
        </w:div>
        <w:div w:id="1159080438">
          <w:marLeft w:val="0"/>
          <w:marRight w:val="0"/>
          <w:marTop w:val="0"/>
          <w:marBottom w:val="0"/>
          <w:divBdr>
            <w:top w:val="none" w:sz="0" w:space="0" w:color="auto"/>
            <w:left w:val="none" w:sz="0" w:space="0" w:color="auto"/>
            <w:bottom w:val="none" w:sz="0" w:space="0" w:color="auto"/>
            <w:right w:val="none" w:sz="0" w:space="0" w:color="auto"/>
          </w:divBdr>
        </w:div>
        <w:div w:id="1165895090">
          <w:marLeft w:val="0"/>
          <w:marRight w:val="0"/>
          <w:marTop w:val="0"/>
          <w:marBottom w:val="0"/>
          <w:divBdr>
            <w:top w:val="none" w:sz="0" w:space="0" w:color="auto"/>
            <w:left w:val="none" w:sz="0" w:space="0" w:color="auto"/>
            <w:bottom w:val="none" w:sz="0" w:space="0" w:color="auto"/>
            <w:right w:val="none" w:sz="0" w:space="0" w:color="auto"/>
          </w:divBdr>
        </w:div>
        <w:div w:id="1167289557">
          <w:marLeft w:val="0"/>
          <w:marRight w:val="0"/>
          <w:marTop w:val="0"/>
          <w:marBottom w:val="0"/>
          <w:divBdr>
            <w:top w:val="none" w:sz="0" w:space="0" w:color="auto"/>
            <w:left w:val="none" w:sz="0" w:space="0" w:color="auto"/>
            <w:bottom w:val="none" w:sz="0" w:space="0" w:color="auto"/>
            <w:right w:val="none" w:sz="0" w:space="0" w:color="auto"/>
          </w:divBdr>
        </w:div>
        <w:div w:id="1167940824">
          <w:marLeft w:val="0"/>
          <w:marRight w:val="0"/>
          <w:marTop w:val="0"/>
          <w:marBottom w:val="0"/>
          <w:divBdr>
            <w:top w:val="none" w:sz="0" w:space="0" w:color="auto"/>
            <w:left w:val="none" w:sz="0" w:space="0" w:color="auto"/>
            <w:bottom w:val="none" w:sz="0" w:space="0" w:color="auto"/>
            <w:right w:val="none" w:sz="0" w:space="0" w:color="auto"/>
          </w:divBdr>
        </w:div>
        <w:div w:id="1188836548">
          <w:marLeft w:val="0"/>
          <w:marRight w:val="0"/>
          <w:marTop w:val="0"/>
          <w:marBottom w:val="0"/>
          <w:divBdr>
            <w:top w:val="none" w:sz="0" w:space="0" w:color="auto"/>
            <w:left w:val="none" w:sz="0" w:space="0" w:color="auto"/>
            <w:bottom w:val="none" w:sz="0" w:space="0" w:color="auto"/>
            <w:right w:val="none" w:sz="0" w:space="0" w:color="auto"/>
          </w:divBdr>
        </w:div>
        <w:div w:id="1195923024">
          <w:marLeft w:val="0"/>
          <w:marRight w:val="0"/>
          <w:marTop w:val="0"/>
          <w:marBottom w:val="0"/>
          <w:divBdr>
            <w:top w:val="none" w:sz="0" w:space="0" w:color="auto"/>
            <w:left w:val="none" w:sz="0" w:space="0" w:color="auto"/>
            <w:bottom w:val="none" w:sz="0" w:space="0" w:color="auto"/>
            <w:right w:val="none" w:sz="0" w:space="0" w:color="auto"/>
          </w:divBdr>
        </w:div>
        <w:div w:id="1197043051">
          <w:marLeft w:val="0"/>
          <w:marRight w:val="0"/>
          <w:marTop w:val="0"/>
          <w:marBottom w:val="0"/>
          <w:divBdr>
            <w:top w:val="none" w:sz="0" w:space="0" w:color="auto"/>
            <w:left w:val="none" w:sz="0" w:space="0" w:color="auto"/>
            <w:bottom w:val="none" w:sz="0" w:space="0" w:color="auto"/>
            <w:right w:val="none" w:sz="0" w:space="0" w:color="auto"/>
          </w:divBdr>
        </w:div>
        <w:div w:id="1198545451">
          <w:marLeft w:val="0"/>
          <w:marRight w:val="0"/>
          <w:marTop w:val="0"/>
          <w:marBottom w:val="0"/>
          <w:divBdr>
            <w:top w:val="none" w:sz="0" w:space="0" w:color="auto"/>
            <w:left w:val="none" w:sz="0" w:space="0" w:color="auto"/>
            <w:bottom w:val="none" w:sz="0" w:space="0" w:color="auto"/>
            <w:right w:val="none" w:sz="0" w:space="0" w:color="auto"/>
          </w:divBdr>
        </w:div>
        <w:div w:id="1203051900">
          <w:marLeft w:val="0"/>
          <w:marRight w:val="0"/>
          <w:marTop w:val="0"/>
          <w:marBottom w:val="0"/>
          <w:divBdr>
            <w:top w:val="none" w:sz="0" w:space="0" w:color="auto"/>
            <w:left w:val="none" w:sz="0" w:space="0" w:color="auto"/>
            <w:bottom w:val="none" w:sz="0" w:space="0" w:color="auto"/>
            <w:right w:val="none" w:sz="0" w:space="0" w:color="auto"/>
          </w:divBdr>
        </w:div>
        <w:div w:id="1203402958">
          <w:marLeft w:val="0"/>
          <w:marRight w:val="0"/>
          <w:marTop w:val="0"/>
          <w:marBottom w:val="0"/>
          <w:divBdr>
            <w:top w:val="none" w:sz="0" w:space="0" w:color="auto"/>
            <w:left w:val="none" w:sz="0" w:space="0" w:color="auto"/>
            <w:bottom w:val="none" w:sz="0" w:space="0" w:color="auto"/>
            <w:right w:val="none" w:sz="0" w:space="0" w:color="auto"/>
          </w:divBdr>
        </w:div>
        <w:div w:id="1203634577">
          <w:marLeft w:val="0"/>
          <w:marRight w:val="0"/>
          <w:marTop w:val="0"/>
          <w:marBottom w:val="0"/>
          <w:divBdr>
            <w:top w:val="none" w:sz="0" w:space="0" w:color="auto"/>
            <w:left w:val="none" w:sz="0" w:space="0" w:color="auto"/>
            <w:bottom w:val="none" w:sz="0" w:space="0" w:color="auto"/>
            <w:right w:val="none" w:sz="0" w:space="0" w:color="auto"/>
          </w:divBdr>
        </w:div>
        <w:div w:id="1207256321">
          <w:marLeft w:val="0"/>
          <w:marRight w:val="0"/>
          <w:marTop w:val="0"/>
          <w:marBottom w:val="0"/>
          <w:divBdr>
            <w:top w:val="none" w:sz="0" w:space="0" w:color="auto"/>
            <w:left w:val="none" w:sz="0" w:space="0" w:color="auto"/>
            <w:bottom w:val="none" w:sz="0" w:space="0" w:color="auto"/>
            <w:right w:val="none" w:sz="0" w:space="0" w:color="auto"/>
          </w:divBdr>
        </w:div>
        <w:div w:id="1214537615">
          <w:marLeft w:val="0"/>
          <w:marRight w:val="0"/>
          <w:marTop w:val="0"/>
          <w:marBottom w:val="0"/>
          <w:divBdr>
            <w:top w:val="none" w:sz="0" w:space="0" w:color="auto"/>
            <w:left w:val="none" w:sz="0" w:space="0" w:color="auto"/>
            <w:bottom w:val="none" w:sz="0" w:space="0" w:color="auto"/>
            <w:right w:val="none" w:sz="0" w:space="0" w:color="auto"/>
          </w:divBdr>
        </w:div>
        <w:div w:id="1215266318">
          <w:marLeft w:val="0"/>
          <w:marRight w:val="0"/>
          <w:marTop w:val="0"/>
          <w:marBottom w:val="0"/>
          <w:divBdr>
            <w:top w:val="none" w:sz="0" w:space="0" w:color="auto"/>
            <w:left w:val="none" w:sz="0" w:space="0" w:color="auto"/>
            <w:bottom w:val="none" w:sz="0" w:space="0" w:color="auto"/>
            <w:right w:val="none" w:sz="0" w:space="0" w:color="auto"/>
          </w:divBdr>
        </w:div>
        <w:div w:id="1221868122">
          <w:marLeft w:val="0"/>
          <w:marRight w:val="0"/>
          <w:marTop w:val="0"/>
          <w:marBottom w:val="0"/>
          <w:divBdr>
            <w:top w:val="none" w:sz="0" w:space="0" w:color="auto"/>
            <w:left w:val="none" w:sz="0" w:space="0" w:color="auto"/>
            <w:bottom w:val="none" w:sz="0" w:space="0" w:color="auto"/>
            <w:right w:val="none" w:sz="0" w:space="0" w:color="auto"/>
          </w:divBdr>
        </w:div>
        <w:div w:id="1225988680">
          <w:marLeft w:val="0"/>
          <w:marRight w:val="0"/>
          <w:marTop w:val="0"/>
          <w:marBottom w:val="0"/>
          <w:divBdr>
            <w:top w:val="none" w:sz="0" w:space="0" w:color="auto"/>
            <w:left w:val="none" w:sz="0" w:space="0" w:color="auto"/>
            <w:bottom w:val="none" w:sz="0" w:space="0" w:color="auto"/>
            <w:right w:val="none" w:sz="0" w:space="0" w:color="auto"/>
          </w:divBdr>
        </w:div>
        <w:div w:id="1231888133">
          <w:marLeft w:val="0"/>
          <w:marRight w:val="0"/>
          <w:marTop w:val="0"/>
          <w:marBottom w:val="0"/>
          <w:divBdr>
            <w:top w:val="none" w:sz="0" w:space="0" w:color="auto"/>
            <w:left w:val="none" w:sz="0" w:space="0" w:color="auto"/>
            <w:bottom w:val="none" w:sz="0" w:space="0" w:color="auto"/>
            <w:right w:val="none" w:sz="0" w:space="0" w:color="auto"/>
          </w:divBdr>
        </w:div>
        <w:div w:id="1232039559">
          <w:marLeft w:val="0"/>
          <w:marRight w:val="0"/>
          <w:marTop w:val="0"/>
          <w:marBottom w:val="0"/>
          <w:divBdr>
            <w:top w:val="none" w:sz="0" w:space="0" w:color="auto"/>
            <w:left w:val="none" w:sz="0" w:space="0" w:color="auto"/>
            <w:bottom w:val="none" w:sz="0" w:space="0" w:color="auto"/>
            <w:right w:val="none" w:sz="0" w:space="0" w:color="auto"/>
          </w:divBdr>
        </w:div>
        <w:div w:id="1238320918">
          <w:marLeft w:val="0"/>
          <w:marRight w:val="0"/>
          <w:marTop w:val="0"/>
          <w:marBottom w:val="0"/>
          <w:divBdr>
            <w:top w:val="none" w:sz="0" w:space="0" w:color="auto"/>
            <w:left w:val="none" w:sz="0" w:space="0" w:color="auto"/>
            <w:bottom w:val="none" w:sz="0" w:space="0" w:color="auto"/>
            <w:right w:val="none" w:sz="0" w:space="0" w:color="auto"/>
          </w:divBdr>
        </w:div>
        <w:div w:id="1240099092">
          <w:marLeft w:val="0"/>
          <w:marRight w:val="0"/>
          <w:marTop w:val="0"/>
          <w:marBottom w:val="0"/>
          <w:divBdr>
            <w:top w:val="none" w:sz="0" w:space="0" w:color="auto"/>
            <w:left w:val="none" w:sz="0" w:space="0" w:color="auto"/>
            <w:bottom w:val="none" w:sz="0" w:space="0" w:color="auto"/>
            <w:right w:val="none" w:sz="0" w:space="0" w:color="auto"/>
          </w:divBdr>
        </w:div>
        <w:div w:id="1240290813">
          <w:marLeft w:val="0"/>
          <w:marRight w:val="0"/>
          <w:marTop w:val="0"/>
          <w:marBottom w:val="0"/>
          <w:divBdr>
            <w:top w:val="none" w:sz="0" w:space="0" w:color="auto"/>
            <w:left w:val="none" w:sz="0" w:space="0" w:color="auto"/>
            <w:bottom w:val="none" w:sz="0" w:space="0" w:color="auto"/>
            <w:right w:val="none" w:sz="0" w:space="0" w:color="auto"/>
          </w:divBdr>
        </w:div>
        <w:div w:id="1242563665">
          <w:marLeft w:val="0"/>
          <w:marRight w:val="0"/>
          <w:marTop w:val="0"/>
          <w:marBottom w:val="0"/>
          <w:divBdr>
            <w:top w:val="none" w:sz="0" w:space="0" w:color="auto"/>
            <w:left w:val="none" w:sz="0" w:space="0" w:color="auto"/>
            <w:bottom w:val="none" w:sz="0" w:space="0" w:color="auto"/>
            <w:right w:val="none" w:sz="0" w:space="0" w:color="auto"/>
          </w:divBdr>
        </w:div>
        <w:div w:id="1253859209">
          <w:marLeft w:val="0"/>
          <w:marRight w:val="0"/>
          <w:marTop w:val="0"/>
          <w:marBottom w:val="0"/>
          <w:divBdr>
            <w:top w:val="none" w:sz="0" w:space="0" w:color="auto"/>
            <w:left w:val="none" w:sz="0" w:space="0" w:color="auto"/>
            <w:bottom w:val="none" w:sz="0" w:space="0" w:color="auto"/>
            <w:right w:val="none" w:sz="0" w:space="0" w:color="auto"/>
          </w:divBdr>
        </w:div>
        <w:div w:id="1267691441">
          <w:marLeft w:val="0"/>
          <w:marRight w:val="0"/>
          <w:marTop w:val="0"/>
          <w:marBottom w:val="0"/>
          <w:divBdr>
            <w:top w:val="none" w:sz="0" w:space="0" w:color="auto"/>
            <w:left w:val="none" w:sz="0" w:space="0" w:color="auto"/>
            <w:bottom w:val="none" w:sz="0" w:space="0" w:color="auto"/>
            <w:right w:val="none" w:sz="0" w:space="0" w:color="auto"/>
          </w:divBdr>
        </w:div>
        <w:div w:id="1273200002">
          <w:marLeft w:val="0"/>
          <w:marRight w:val="0"/>
          <w:marTop w:val="0"/>
          <w:marBottom w:val="0"/>
          <w:divBdr>
            <w:top w:val="none" w:sz="0" w:space="0" w:color="auto"/>
            <w:left w:val="none" w:sz="0" w:space="0" w:color="auto"/>
            <w:bottom w:val="none" w:sz="0" w:space="0" w:color="auto"/>
            <w:right w:val="none" w:sz="0" w:space="0" w:color="auto"/>
          </w:divBdr>
        </w:div>
        <w:div w:id="1281254978">
          <w:marLeft w:val="0"/>
          <w:marRight w:val="0"/>
          <w:marTop w:val="0"/>
          <w:marBottom w:val="0"/>
          <w:divBdr>
            <w:top w:val="none" w:sz="0" w:space="0" w:color="auto"/>
            <w:left w:val="none" w:sz="0" w:space="0" w:color="auto"/>
            <w:bottom w:val="none" w:sz="0" w:space="0" w:color="auto"/>
            <w:right w:val="none" w:sz="0" w:space="0" w:color="auto"/>
          </w:divBdr>
        </w:div>
        <w:div w:id="1283220429">
          <w:marLeft w:val="0"/>
          <w:marRight w:val="0"/>
          <w:marTop w:val="0"/>
          <w:marBottom w:val="0"/>
          <w:divBdr>
            <w:top w:val="none" w:sz="0" w:space="0" w:color="auto"/>
            <w:left w:val="none" w:sz="0" w:space="0" w:color="auto"/>
            <w:bottom w:val="none" w:sz="0" w:space="0" w:color="auto"/>
            <w:right w:val="none" w:sz="0" w:space="0" w:color="auto"/>
          </w:divBdr>
        </w:div>
        <w:div w:id="1288466528">
          <w:marLeft w:val="0"/>
          <w:marRight w:val="0"/>
          <w:marTop w:val="0"/>
          <w:marBottom w:val="0"/>
          <w:divBdr>
            <w:top w:val="none" w:sz="0" w:space="0" w:color="auto"/>
            <w:left w:val="none" w:sz="0" w:space="0" w:color="auto"/>
            <w:bottom w:val="none" w:sz="0" w:space="0" w:color="auto"/>
            <w:right w:val="none" w:sz="0" w:space="0" w:color="auto"/>
          </w:divBdr>
        </w:div>
        <w:div w:id="1315333230">
          <w:marLeft w:val="0"/>
          <w:marRight w:val="0"/>
          <w:marTop w:val="0"/>
          <w:marBottom w:val="0"/>
          <w:divBdr>
            <w:top w:val="none" w:sz="0" w:space="0" w:color="auto"/>
            <w:left w:val="none" w:sz="0" w:space="0" w:color="auto"/>
            <w:bottom w:val="none" w:sz="0" w:space="0" w:color="auto"/>
            <w:right w:val="none" w:sz="0" w:space="0" w:color="auto"/>
          </w:divBdr>
        </w:div>
        <w:div w:id="1316563845">
          <w:marLeft w:val="0"/>
          <w:marRight w:val="0"/>
          <w:marTop w:val="0"/>
          <w:marBottom w:val="0"/>
          <w:divBdr>
            <w:top w:val="none" w:sz="0" w:space="0" w:color="auto"/>
            <w:left w:val="none" w:sz="0" w:space="0" w:color="auto"/>
            <w:bottom w:val="none" w:sz="0" w:space="0" w:color="auto"/>
            <w:right w:val="none" w:sz="0" w:space="0" w:color="auto"/>
          </w:divBdr>
        </w:div>
        <w:div w:id="1328558663">
          <w:marLeft w:val="0"/>
          <w:marRight w:val="0"/>
          <w:marTop w:val="0"/>
          <w:marBottom w:val="0"/>
          <w:divBdr>
            <w:top w:val="none" w:sz="0" w:space="0" w:color="auto"/>
            <w:left w:val="none" w:sz="0" w:space="0" w:color="auto"/>
            <w:bottom w:val="none" w:sz="0" w:space="0" w:color="auto"/>
            <w:right w:val="none" w:sz="0" w:space="0" w:color="auto"/>
          </w:divBdr>
        </w:div>
        <w:div w:id="1329284927">
          <w:marLeft w:val="0"/>
          <w:marRight w:val="0"/>
          <w:marTop w:val="0"/>
          <w:marBottom w:val="0"/>
          <w:divBdr>
            <w:top w:val="none" w:sz="0" w:space="0" w:color="auto"/>
            <w:left w:val="none" w:sz="0" w:space="0" w:color="auto"/>
            <w:bottom w:val="none" w:sz="0" w:space="0" w:color="auto"/>
            <w:right w:val="none" w:sz="0" w:space="0" w:color="auto"/>
          </w:divBdr>
        </w:div>
        <w:div w:id="1333726652">
          <w:marLeft w:val="0"/>
          <w:marRight w:val="0"/>
          <w:marTop w:val="0"/>
          <w:marBottom w:val="0"/>
          <w:divBdr>
            <w:top w:val="none" w:sz="0" w:space="0" w:color="auto"/>
            <w:left w:val="none" w:sz="0" w:space="0" w:color="auto"/>
            <w:bottom w:val="none" w:sz="0" w:space="0" w:color="auto"/>
            <w:right w:val="none" w:sz="0" w:space="0" w:color="auto"/>
          </w:divBdr>
        </w:div>
        <w:div w:id="1334214276">
          <w:marLeft w:val="0"/>
          <w:marRight w:val="0"/>
          <w:marTop w:val="0"/>
          <w:marBottom w:val="0"/>
          <w:divBdr>
            <w:top w:val="none" w:sz="0" w:space="0" w:color="auto"/>
            <w:left w:val="none" w:sz="0" w:space="0" w:color="auto"/>
            <w:bottom w:val="none" w:sz="0" w:space="0" w:color="auto"/>
            <w:right w:val="none" w:sz="0" w:space="0" w:color="auto"/>
          </w:divBdr>
        </w:div>
        <w:div w:id="1337263774">
          <w:marLeft w:val="0"/>
          <w:marRight w:val="0"/>
          <w:marTop w:val="0"/>
          <w:marBottom w:val="0"/>
          <w:divBdr>
            <w:top w:val="none" w:sz="0" w:space="0" w:color="auto"/>
            <w:left w:val="none" w:sz="0" w:space="0" w:color="auto"/>
            <w:bottom w:val="none" w:sz="0" w:space="0" w:color="auto"/>
            <w:right w:val="none" w:sz="0" w:space="0" w:color="auto"/>
          </w:divBdr>
        </w:div>
        <w:div w:id="1340541611">
          <w:marLeft w:val="0"/>
          <w:marRight w:val="0"/>
          <w:marTop w:val="0"/>
          <w:marBottom w:val="0"/>
          <w:divBdr>
            <w:top w:val="none" w:sz="0" w:space="0" w:color="auto"/>
            <w:left w:val="none" w:sz="0" w:space="0" w:color="auto"/>
            <w:bottom w:val="none" w:sz="0" w:space="0" w:color="auto"/>
            <w:right w:val="none" w:sz="0" w:space="0" w:color="auto"/>
          </w:divBdr>
        </w:div>
        <w:div w:id="1350335417">
          <w:marLeft w:val="0"/>
          <w:marRight w:val="0"/>
          <w:marTop w:val="0"/>
          <w:marBottom w:val="0"/>
          <w:divBdr>
            <w:top w:val="none" w:sz="0" w:space="0" w:color="auto"/>
            <w:left w:val="none" w:sz="0" w:space="0" w:color="auto"/>
            <w:bottom w:val="none" w:sz="0" w:space="0" w:color="auto"/>
            <w:right w:val="none" w:sz="0" w:space="0" w:color="auto"/>
          </w:divBdr>
        </w:div>
        <w:div w:id="1350763102">
          <w:marLeft w:val="0"/>
          <w:marRight w:val="0"/>
          <w:marTop w:val="0"/>
          <w:marBottom w:val="0"/>
          <w:divBdr>
            <w:top w:val="none" w:sz="0" w:space="0" w:color="auto"/>
            <w:left w:val="none" w:sz="0" w:space="0" w:color="auto"/>
            <w:bottom w:val="none" w:sz="0" w:space="0" w:color="auto"/>
            <w:right w:val="none" w:sz="0" w:space="0" w:color="auto"/>
          </w:divBdr>
        </w:div>
        <w:div w:id="1350791670">
          <w:marLeft w:val="0"/>
          <w:marRight w:val="0"/>
          <w:marTop w:val="0"/>
          <w:marBottom w:val="0"/>
          <w:divBdr>
            <w:top w:val="none" w:sz="0" w:space="0" w:color="auto"/>
            <w:left w:val="none" w:sz="0" w:space="0" w:color="auto"/>
            <w:bottom w:val="none" w:sz="0" w:space="0" w:color="auto"/>
            <w:right w:val="none" w:sz="0" w:space="0" w:color="auto"/>
          </w:divBdr>
        </w:div>
        <w:div w:id="1352879853">
          <w:marLeft w:val="0"/>
          <w:marRight w:val="0"/>
          <w:marTop w:val="0"/>
          <w:marBottom w:val="0"/>
          <w:divBdr>
            <w:top w:val="none" w:sz="0" w:space="0" w:color="auto"/>
            <w:left w:val="none" w:sz="0" w:space="0" w:color="auto"/>
            <w:bottom w:val="none" w:sz="0" w:space="0" w:color="auto"/>
            <w:right w:val="none" w:sz="0" w:space="0" w:color="auto"/>
          </w:divBdr>
        </w:div>
        <w:div w:id="1358853738">
          <w:marLeft w:val="0"/>
          <w:marRight w:val="0"/>
          <w:marTop w:val="0"/>
          <w:marBottom w:val="0"/>
          <w:divBdr>
            <w:top w:val="none" w:sz="0" w:space="0" w:color="auto"/>
            <w:left w:val="none" w:sz="0" w:space="0" w:color="auto"/>
            <w:bottom w:val="none" w:sz="0" w:space="0" w:color="auto"/>
            <w:right w:val="none" w:sz="0" w:space="0" w:color="auto"/>
          </w:divBdr>
        </w:div>
        <w:div w:id="1361320741">
          <w:marLeft w:val="0"/>
          <w:marRight w:val="0"/>
          <w:marTop w:val="0"/>
          <w:marBottom w:val="0"/>
          <w:divBdr>
            <w:top w:val="none" w:sz="0" w:space="0" w:color="auto"/>
            <w:left w:val="none" w:sz="0" w:space="0" w:color="auto"/>
            <w:bottom w:val="none" w:sz="0" w:space="0" w:color="auto"/>
            <w:right w:val="none" w:sz="0" w:space="0" w:color="auto"/>
          </w:divBdr>
        </w:div>
        <w:div w:id="1362821454">
          <w:marLeft w:val="0"/>
          <w:marRight w:val="0"/>
          <w:marTop w:val="0"/>
          <w:marBottom w:val="0"/>
          <w:divBdr>
            <w:top w:val="none" w:sz="0" w:space="0" w:color="auto"/>
            <w:left w:val="none" w:sz="0" w:space="0" w:color="auto"/>
            <w:bottom w:val="none" w:sz="0" w:space="0" w:color="auto"/>
            <w:right w:val="none" w:sz="0" w:space="0" w:color="auto"/>
          </w:divBdr>
        </w:div>
        <w:div w:id="1364597839">
          <w:marLeft w:val="0"/>
          <w:marRight w:val="0"/>
          <w:marTop w:val="0"/>
          <w:marBottom w:val="0"/>
          <w:divBdr>
            <w:top w:val="none" w:sz="0" w:space="0" w:color="auto"/>
            <w:left w:val="none" w:sz="0" w:space="0" w:color="auto"/>
            <w:bottom w:val="none" w:sz="0" w:space="0" w:color="auto"/>
            <w:right w:val="none" w:sz="0" w:space="0" w:color="auto"/>
          </w:divBdr>
        </w:div>
        <w:div w:id="1364671196">
          <w:marLeft w:val="0"/>
          <w:marRight w:val="0"/>
          <w:marTop w:val="0"/>
          <w:marBottom w:val="0"/>
          <w:divBdr>
            <w:top w:val="none" w:sz="0" w:space="0" w:color="auto"/>
            <w:left w:val="none" w:sz="0" w:space="0" w:color="auto"/>
            <w:bottom w:val="none" w:sz="0" w:space="0" w:color="auto"/>
            <w:right w:val="none" w:sz="0" w:space="0" w:color="auto"/>
          </w:divBdr>
        </w:div>
        <w:div w:id="1364787871">
          <w:marLeft w:val="0"/>
          <w:marRight w:val="0"/>
          <w:marTop w:val="0"/>
          <w:marBottom w:val="0"/>
          <w:divBdr>
            <w:top w:val="none" w:sz="0" w:space="0" w:color="auto"/>
            <w:left w:val="none" w:sz="0" w:space="0" w:color="auto"/>
            <w:bottom w:val="none" w:sz="0" w:space="0" w:color="auto"/>
            <w:right w:val="none" w:sz="0" w:space="0" w:color="auto"/>
          </w:divBdr>
        </w:div>
        <w:div w:id="1369530923">
          <w:marLeft w:val="0"/>
          <w:marRight w:val="0"/>
          <w:marTop w:val="0"/>
          <w:marBottom w:val="0"/>
          <w:divBdr>
            <w:top w:val="none" w:sz="0" w:space="0" w:color="auto"/>
            <w:left w:val="none" w:sz="0" w:space="0" w:color="auto"/>
            <w:bottom w:val="none" w:sz="0" w:space="0" w:color="auto"/>
            <w:right w:val="none" w:sz="0" w:space="0" w:color="auto"/>
          </w:divBdr>
        </w:div>
        <w:div w:id="1383555566">
          <w:marLeft w:val="0"/>
          <w:marRight w:val="0"/>
          <w:marTop w:val="0"/>
          <w:marBottom w:val="0"/>
          <w:divBdr>
            <w:top w:val="none" w:sz="0" w:space="0" w:color="auto"/>
            <w:left w:val="none" w:sz="0" w:space="0" w:color="auto"/>
            <w:bottom w:val="none" w:sz="0" w:space="0" w:color="auto"/>
            <w:right w:val="none" w:sz="0" w:space="0" w:color="auto"/>
          </w:divBdr>
        </w:div>
        <w:div w:id="1388064659">
          <w:marLeft w:val="0"/>
          <w:marRight w:val="0"/>
          <w:marTop w:val="0"/>
          <w:marBottom w:val="0"/>
          <w:divBdr>
            <w:top w:val="none" w:sz="0" w:space="0" w:color="auto"/>
            <w:left w:val="none" w:sz="0" w:space="0" w:color="auto"/>
            <w:bottom w:val="none" w:sz="0" w:space="0" w:color="auto"/>
            <w:right w:val="none" w:sz="0" w:space="0" w:color="auto"/>
          </w:divBdr>
        </w:div>
        <w:div w:id="1400440967">
          <w:marLeft w:val="0"/>
          <w:marRight w:val="0"/>
          <w:marTop w:val="0"/>
          <w:marBottom w:val="0"/>
          <w:divBdr>
            <w:top w:val="none" w:sz="0" w:space="0" w:color="auto"/>
            <w:left w:val="none" w:sz="0" w:space="0" w:color="auto"/>
            <w:bottom w:val="none" w:sz="0" w:space="0" w:color="auto"/>
            <w:right w:val="none" w:sz="0" w:space="0" w:color="auto"/>
          </w:divBdr>
        </w:div>
        <w:div w:id="1403219074">
          <w:marLeft w:val="0"/>
          <w:marRight w:val="0"/>
          <w:marTop w:val="0"/>
          <w:marBottom w:val="0"/>
          <w:divBdr>
            <w:top w:val="none" w:sz="0" w:space="0" w:color="auto"/>
            <w:left w:val="none" w:sz="0" w:space="0" w:color="auto"/>
            <w:bottom w:val="none" w:sz="0" w:space="0" w:color="auto"/>
            <w:right w:val="none" w:sz="0" w:space="0" w:color="auto"/>
          </w:divBdr>
        </w:div>
        <w:div w:id="1408192545">
          <w:marLeft w:val="0"/>
          <w:marRight w:val="0"/>
          <w:marTop w:val="0"/>
          <w:marBottom w:val="0"/>
          <w:divBdr>
            <w:top w:val="none" w:sz="0" w:space="0" w:color="auto"/>
            <w:left w:val="none" w:sz="0" w:space="0" w:color="auto"/>
            <w:bottom w:val="none" w:sz="0" w:space="0" w:color="auto"/>
            <w:right w:val="none" w:sz="0" w:space="0" w:color="auto"/>
          </w:divBdr>
        </w:div>
        <w:div w:id="1411805580">
          <w:marLeft w:val="0"/>
          <w:marRight w:val="0"/>
          <w:marTop w:val="0"/>
          <w:marBottom w:val="0"/>
          <w:divBdr>
            <w:top w:val="none" w:sz="0" w:space="0" w:color="auto"/>
            <w:left w:val="none" w:sz="0" w:space="0" w:color="auto"/>
            <w:bottom w:val="none" w:sz="0" w:space="0" w:color="auto"/>
            <w:right w:val="none" w:sz="0" w:space="0" w:color="auto"/>
          </w:divBdr>
        </w:div>
        <w:div w:id="1411806529">
          <w:marLeft w:val="0"/>
          <w:marRight w:val="0"/>
          <w:marTop w:val="0"/>
          <w:marBottom w:val="0"/>
          <w:divBdr>
            <w:top w:val="none" w:sz="0" w:space="0" w:color="auto"/>
            <w:left w:val="none" w:sz="0" w:space="0" w:color="auto"/>
            <w:bottom w:val="none" w:sz="0" w:space="0" w:color="auto"/>
            <w:right w:val="none" w:sz="0" w:space="0" w:color="auto"/>
          </w:divBdr>
        </w:div>
        <w:div w:id="1412049285">
          <w:marLeft w:val="0"/>
          <w:marRight w:val="0"/>
          <w:marTop w:val="0"/>
          <w:marBottom w:val="0"/>
          <w:divBdr>
            <w:top w:val="none" w:sz="0" w:space="0" w:color="auto"/>
            <w:left w:val="none" w:sz="0" w:space="0" w:color="auto"/>
            <w:bottom w:val="none" w:sz="0" w:space="0" w:color="auto"/>
            <w:right w:val="none" w:sz="0" w:space="0" w:color="auto"/>
          </w:divBdr>
        </w:div>
        <w:div w:id="1418481722">
          <w:marLeft w:val="0"/>
          <w:marRight w:val="0"/>
          <w:marTop w:val="0"/>
          <w:marBottom w:val="0"/>
          <w:divBdr>
            <w:top w:val="none" w:sz="0" w:space="0" w:color="auto"/>
            <w:left w:val="none" w:sz="0" w:space="0" w:color="auto"/>
            <w:bottom w:val="none" w:sz="0" w:space="0" w:color="auto"/>
            <w:right w:val="none" w:sz="0" w:space="0" w:color="auto"/>
          </w:divBdr>
        </w:div>
        <w:div w:id="1420058987">
          <w:marLeft w:val="0"/>
          <w:marRight w:val="0"/>
          <w:marTop w:val="0"/>
          <w:marBottom w:val="0"/>
          <w:divBdr>
            <w:top w:val="none" w:sz="0" w:space="0" w:color="auto"/>
            <w:left w:val="none" w:sz="0" w:space="0" w:color="auto"/>
            <w:bottom w:val="none" w:sz="0" w:space="0" w:color="auto"/>
            <w:right w:val="none" w:sz="0" w:space="0" w:color="auto"/>
          </w:divBdr>
        </w:div>
        <w:div w:id="1428883904">
          <w:marLeft w:val="0"/>
          <w:marRight w:val="0"/>
          <w:marTop w:val="0"/>
          <w:marBottom w:val="0"/>
          <w:divBdr>
            <w:top w:val="none" w:sz="0" w:space="0" w:color="auto"/>
            <w:left w:val="none" w:sz="0" w:space="0" w:color="auto"/>
            <w:bottom w:val="none" w:sz="0" w:space="0" w:color="auto"/>
            <w:right w:val="none" w:sz="0" w:space="0" w:color="auto"/>
          </w:divBdr>
        </w:div>
        <w:div w:id="1429426167">
          <w:marLeft w:val="0"/>
          <w:marRight w:val="0"/>
          <w:marTop w:val="0"/>
          <w:marBottom w:val="0"/>
          <w:divBdr>
            <w:top w:val="none" w:sz="0" w:space="0" w:color="auto"/>
            <w:left w:val="none" w:sz="0" w:space="0" w:color="auto"/>
            <w:bottom w:val="none" w:sz="0" w:space="0" w:color="auto"/>
            <w:right w:val="none" w:sz="0" w:space="0" w:color="auto"/>
          </w:divBdr>
        </w:div>
        <w:div w:id="1439567214">
          <w:marLeft w:val="0"/>
          <w:marRight w:val="0"/>
          <w:marTop w:val="0"/>
          <w:marBottom w:val="0"/>
          <w:divBdr>
            <w:top w:val="none" w:sz="0" w:space="0" w:color="auto"/>
            <w:left w:val="none" w:sz="0" w:space="0" w:color="auto"/>
            <w:bottom w:val="none" w:sz="0" w:space="0" w:color="auto"/>
            <w:right w:val="none" w:sz="0" w:space="0" w:color="auto"/>
          </w:divBdr>
        </w:div>
        <w:div w:id="1440947370">
          <w:marLeft w:val="0"/>
          <w:marRight w:val="0"/>
          <w:marTop w:val="0"/>
          <w:marBottom w:val="0"/>
          <w:divBdr>
            <w:top w:val="none" w:sz="0" w:space="0" w:color="auto"/>
            <w:left w:val="none" w:sz="0" w:space="0" w:color="auto"/>
            <w:bottom w:val="none" w:sz="0" w:space="0" w:color="auto"/>
            <w:right w:val="none" w:sz="0" w:space="0" w:color="auto"/>
          </w:divBdr>
        </w:div>
        <w:div w:id="1462113370">
          <w:marLeft w:val="0"/>
          <w:marRight w:val="0"/>
          <w:marTop w:val="0"/>
          <w:marBottom w:val="0"/>
          <w:divBdr>
            <w:top w:val="none" w:sz="0" w:space="0" w:color="auto"/>
            <w:left w:val="none" w:sz="0" w:space="0" w:color="auto"/>
            <w:bottom w:val="none" w:sz="0" w:space="0" w:color="auto"/>
            <w:right w:val="none" w:sz="0" w:space="0" w:color="auto"/>
          </w:divBdr>
        </w:div>
        <w:div w:id="1470710737">
          <w:marLeft w:val="0"/>
          <w:marRight w:val="0"/>
          <w:marTop w:val="0"/>
          <w:marBottom w:val="0"/>
          <w:divBdr>
            <w:top w:val="none" w:sz="0" w:space="0" w:color="auto"/>
            <w:left w:val="none" w:sz="0" w:space="0" w:color="auto"/>
            <w:bottom w:val="none" w:sz="0" w:space="0" w:color="auto"/>
            <w:right w:val="none" w:sz="0" w:space="0" w:color="auto"/>
          </w:divBdr>
        </w:div>
        <w:div w:id="1475030378">
          <w:marLeft w:val="0"/>
          <w:marRight w:val="0"/>
          <w:marTop w:val="0"/>
          <w:marBottom w:val="0"/>
          <w:divBdr>
            <w:top w:val="none" w:sz="0" w:space="0" w:color="auto"/>
            <w:left w:val="none" w:sz="0" w:space="0" w:color="auto"/>
            <w:bottom w:val="none" w:sz="0" w:space="0" w:color="auto"/>
            <w:right w:val="none" w:sz="0" w:space="0" w:color="auto"/>
          </w:divBdr>
        </w:div>
        <w:div w:id="1486360129">
          <w:marLeft w:val="0"/>
          <w:marRight w:val="0"/>
          <w:marTop w:val="0"/>
          <w:marBottom w:val="0"/>
          <w:divBdr>
            <w:top w:val="none" w:sz="0" w:space="0" w:color="auto"/>
            <w:left w:val="none" w:sz="0" w:space="0" w:color="auto"/>
            <w:bottom w:val="none" w:sz="0" w:space="0" w:color="auto"/>
            <w:right w:val="none" w:sz="0" w:space="0" w:color="auto"/>
          </w:divBdr>
        </w:div>
        <w:div w:id="1492255684">
          <w:marLeft w:val="0"/>
          <w:marRight w:val="0"/>
          <w:marTop w:val="0"/>
          <w:marBottom w:val="0"/>
          <w:divBdr>
            <w:top w:val="none" w:sz="0" w:space="0" w:color="auto"/>
            <w:left w:val="none" w:sz="0" w:space="0" w:color="auto"/>
            <w:bottom w:val="none" w:sz="0" w:space="0" w:color="auto"/>
            <w:right w:val="none" w:sz="0" w:space="0" w:color="auto"/>
          </w:divBdr>
        </w:div>
        <w:div w:id="1494294657">
          <w:marLeft w:val="0"/>
          <w:marRight w:val="0"/>
          <w:marTop w:val="0"/>
          <w:marBottom w:val="0"/>
          <w:divBdr>
            <w:top w:val="none" w:sz="0" w:space="0" w:color="auto"/>
            <w:left w:val="none" w:sz="0" w:space="0" w:color="auto"/>
            <w:bottom w:val="none" w:sz="0" w:space="0" w:color="auto"/>
            <w:right w:val="none" w:sz="0" w:space="0" w:color="auto"/>
          </w:divBdr>
        </w:div>
        <w:div w:id="1501580529">
          <w:marLeft w:val="0"/>
          <w:marRight w:val="0"/>
          <w:marTop w:val="0"/>
          <w:marBottom w:val="0"/>
          <w:divBdr>
            <w:top w:val="none" w:sz="0" w:space="0" w:color="auto"/>
            <w:left w:val="none" w:sz="0" w:space="0" w:color="auto"/>
            <w:bottom w:val="none" w:sz="0" w:space="0" w:color="auto"/>
            <w:right w:val="none" w:sz="0" w:space="0" w:color="auto"/>
          </w:divBdr>
        </w:div>
        <w:div w:id="1504971032">
          <w:marLeft w:val="0"/>
          <w:marRight w:val="0"/>
          <w:marTop w:val="0"/>
          <w:marBottom w:val="0"/>
          <w:divBdr>
            <w:top w:val="none" w:sz="0" w:space="0" w:color="auto"/>
            <w:left w:val="none" w:sz="0" w:space="0" w:color="auto"/>
            <w:bottom w:val="none" w:sz="0" w:space="0" w:color="auto"/>
            <w:right w:val="none" w:sz="0" w:space="0" w:color="auto"/>
          </w:divBdr>
        </w:div>
        <w:div w:id="1517842289">
          <w:marLeft w:val="0"/>
          <w:marRight w:val="0"/>
          <w:marTop w:val="0"/>
          <w:marBottom w:val="0"/>
          <w:divBdr>
            <w:top w:val="none" w:sz="0" w:space="0" w:color="auto"/>
            <w:left w:val="none" w:sz="0" w:space="0" w:color="auto"/>
            <w:bottom w:val="none" w:sz="0" w:space="0" w:color="auto"/>
            <w:right w:val="none" w:sz="0" w:space="0" w:color="auto"/>
          </w:divBdr>
        </w:div>
        <w:div w:id="1547569709">
          <w:marLeft w:val="0"/>
          <w:marRight w:val="0"/>
          <w:marTop w:val="0"/>
          <w:marBottom w:val="0"/>
          <w:divBdr>
            <w:top w:val="none" w:sz="0" w:space="0" w:color="auto"/>
            <w:left w:val="none" w:sz="0" w:space="0" w:color="auto"/>
            <w:bottom w:val="none" w:sz="0" w:space="0" w:color="auto"/>
            <w:right w:val="none" w:sz="0" w:space="0" w:color="auto"/>
          </w:divBdr>
        </w:div>
        <w:div w:id="1547647362">
          <w:marLeft w:val="0"/>
          <w:marRight w:val="0"/>
          <w:marTop w:val="0"/>
          <w:marBottom w:val="0"/>
          <w:divBdr>
            <w:top w:val="none" w:sz="0" w:space="0" w:color="auto"/>
            <w:left w:val="none" w:sz="0" w:space="0" w:color="auto"/>
            <w:bottom w:val="none" w:sz="0" w:space="0" w:color="auto"/>
            <w:right w:val="none" w:sz="0" w:space="0" w:color="auto"/>
          </w:divBdr>
        </w:div>
        <w:div w:id="1548375196">
          <w:marLeft w:val="0"/>
          <w:marRight w:val="0"/>
          <w:marTop w:val="0"/>
          <w:marBottom w:val="0"/>
          <w:divBdr>
            <w:top w:val="none" w:sz="0" w:space="0" w:color="auto"/>
            <w:left w:val="none" w:sz="0" w:space="0" w:color="auto"/>
            <w:bottom w:val="none" w:sz="0" w:space="0" w:color="auto"/>
            <w:right w:val="none" w:sz="0" w:space="0" w:color="auto"/>
          </w:divBdr>
        </w:div>
        <w:div w:id="1550649791">
          <w:marLeft w:val="0"/>
          <w:marRight w:val="0"/>
          <w:marTop w:val="0"/>
          <w:marBottom w:val="0"/>
          <w:divBdr>
            <w:top w:val="none" w:sz="0" w:space="0" w:color="auto"/>
            <w:left w:val="none" w:sz="0" w:space="0" w:color="auto"/>
            <w:bottom w:val="none" w:sz="0" w:space="0" w:color="auto"/>
            <w:right w:val="none" w:sz="0" w:space="0" w:color="auto"/>
          </w:divBdr>
        </w:div>
        <w:div w:id="1550993876">
          <w:marLeft w:val="0"/>
          <w:marRight w:val="0"/>
          <w:marTop w:val="0"/>
          <w:marBottom w:val="0"/>
          <w:divBdr>
            <w:top w:val="none" w:sz="0" w:space="0" w:color="auto"/>
            <w:left w:val="none" w:sz="0" w:space="0" w:color="auto"/>
            <w:bottom w:val="none" w:sz="0" w:space="0" w:color="auto"/>
            <w:right w:val="none" w:sz="0" w:space="0" w:color="auto"/>
          </w:divBdr>
        </w:div>
        <w:div w:id="1554468465">
          <w:marLeft w:val="0"/>
          <w:marRight w:val="0"/>
          <w:marTop w:val="0"/>
          <w:marBottom w:val="0"/>
          <w:divBdr>
            <w:top w:val="none" w:sz="0" w:space="0" w:color="auto"/>
            <w:left w:val="none" w:sz="0" w:space="0" w:color="auto"/>
            <w:bottom w:val="none" w:sz="0" w:space="0" w:color="auto"/>
            <w:right w:val="none" w:sz="0" w:space="0" w:color="auto"/>
          </w:divBdr>
        </w:div>
        <w:div w:id="1557738464">
          <w:marLeft w:val="0"/>
          <w:marRight w:val="0"/>
          <w:marTop w:val="0"/>
          <w:marBottom w:val="0"/>
          <w:divBdr>
            <w:top w:val="none" w:sz="0" w:space="0" w:color="auto"/>
            <w:left w:val="none" w:sz="0" w:space="0" w:color="auto"/>
            <w:bottom w:val="none" w:sz="0" w:space="0" w:color="auto"/>
            <w:right w:val="none" w:sz="0" w:space="0" w:color="auto"/>
          </w:divBdr>
        </w:div>
        <w:div w:id="1560895925">
          <w:marLeft w:val="0"/>
          <w:marRight w:val="0"/>
          <w:marTop w:val="0"/>
          <w:marBottom w:val="0"/>
          <w:divBdr>
            <w:top w:val="none" w:sz="0" w:space="0" w:color="auto"/>
            <w:left w:val="none" w:sz="0" w:space="0" w:color="auto"/>
            <w:bottom w:val="none" w:sz="0" w:space="0" w:color="auto"/>
            <w:right w:val="none" w:sz="0" w:space="0" w:color="auto"/>
          </w:divBdr>
        </w:div>
        <w:div w:id="1568615912">
          <w:marLeft w:val="0"/>
          <w:marRight w:val="0"/>
          <w:marTop w:val="0"/>
          <w:marBottom w:val="0"/>
          <w:divBdr>
            <w:top w:val="none" w:sz="0" w:space="0" w:color="auto"/>
            <w:left w:val="none" w:sz="0" w:space="0" w:color="auto"/>
            <w:bottom w:val="none" w:sz="0" w:space="0" w:color="auto"/>
            <w:right w:val="none" w:sz="0" w:space="0" w:color="auto"/>
          </w:divBdr>
        </w:div>
        <w:div w:id="1571958881">
          <w:marLeft w:val="0"/>
          <w:marRight w:val="0"/>
          <w:marTop w:val="0"/>
          <w:marBottom w:val="0"/>
          <w:divBdr>
            <w:top w:val="none" w:sz="0" w:space="0" w:color="auto"/>
            <w:left w:val="none" w:sz="0" w:space="0" w:color="auto"/>
            <w:bottom w:val="none" w:sz="0" w:space="0" w:color="auto"/>
            <w:right w:val="none" w:sz="0" w:space="0" w:color="auto"/>
          </w:divBdr>
        </w:div>
        <w:div w:id="1572082385">
          <w:marLeft w:val="0"/>
          <w:marRight w:val="0"/>
          <w:marTop w:val="0"/>
          <w:marBottom w:val="0"/>
          <w:divBdr>
            <w:top w:val="none" w:sz="0" w:space="0" w:color="auto"/>
            <w:left w:val="none" w:sz="0" w:space="0" w:color="auto"/>
            <w:bottom w:val="none" w:sz="0" w:space="0" w:color="auto"/>
            <w:right w:val="none" w:sz="0" w:space="0" w:color="auto"/>
          </w:divBdr>
        </w:div>
        <w:div w:id="1576475365">
          <w:marLeft w:val="0"/>
          <w:marRight w:val="0"/>
          <w:marTop w:val="0"/>
          <w:marBottom w:val="0"/>
          <w:divBdr>
            <w:top w:val="none" w:sz="0" w:space="0" w:color="auto"/>
            <w:left w:val="none" w:sz="0" w:space="0" w:color="auto"/>
            <w:bottom w:val="none" w:sz="0" w:space="0" w:color="auto"/>
            <w:right w:val="none" w:sz="0" w:space="0" w:color="auto"/>
          </w:divBdr>
        </w:div>
        <w:div w:id="1579364586">
          <w:marLeft w:val="0"/>
          <w:marRight w:val="0"/>
          <w:marTop w:val="0"/>
          <w:marBottom w:val="0"/>
          <w:divBdr>
            <w:top w:val="none" w:sz="0" w:space="0" w:color="auto"/>
            <w:left w:val="none" w:sz="0" w:space="0" w:color="auto"/>
            <w:bottom w:val="none" w:sz="0" w:space="0" w:color="auto"/>
            <w:right w:val="none" w:sz="0" w:space="0" w:color="auto"/>
          </w:divBdr>
        </w:div>
        <w:div w:id="1588266724">
          <w:marLeft w:val="0"/>
          <w:marRight w:val="0"/>
          <w:marTop w:val="0"/>
          <w:marBottom w:val="0"/>
          <w:divBdr>
            <w:top w:val="none" w:sz="0" w:space="0" w:color="auto"/>
            <w:left w:val="none" w:sz="0" w:space="0" w:color="auto"/>
            <w:bottom w:val="none" w:sz="0" w:space="0" w:color="auto"/>
            <w:right w:val="none" w:sz="0" w:space="0" w:color="auto"/>
          </w:divBdr>
        </w:div>
        <w:div w:id="1590652954">
          <w:marLeft w:val="0"/>
          <w:marRight w:val="0"/>
          <w:marTop w:val="0"/>
          <w:marBottom w:val="0"/>
          <w:divBdr>
            <w:top w:val="none" w:sz="0" w:space="0" w:color="auto"/>
            <w:left w:val="none" w:sz="0" w:space="0" w:color="auto"/>
            <w:bottom w:val="none" w:sz="0" w:space="0" w:color="auto"/>
            <w:right w:val="none" w:sz="0" w:space="0" w:color="auto"/>
          </w:divBdr>
        </w:div>
        <w:div w:id="1592543353">
          <w:marLeft w:val="0"/>
          <w:marRight w:val="0"/>
          <w:marTop w:val="0"/>
          <w:marBottom w:val="0"/>
          <w:divBdr>
            <w:top w:val="none" w:sz="0" w:space="0" w:color="auto"/>
            <w:left w:val="none" w:sz="0" w:space="0" w:color="auto"/>
            <w:bottom w:val="none" w:sz="0" w:space="0" w:color="auto"/>
            <w:right w:val="none" w:sz="0" w:space="0" w:color="auto"/>
          </w:divBdr>
        </w:div>
        <w:div w:id="1594629512">
          <w:marLeft w:val="0"/>
          <w:marRight w:val="0"/>
          <w:marTop w:val="0"/>
          <w:marBottom w:val="0"/>
          <w:divBdr>
            <w:top w:val="none" w:sz="0" w:space="0" w:color="auto"/>
            <w:left w:val="none" w:sz="0" w:space="0" w:color="auto"/>
            <w:bottom w:val="none" w:sz="0" w:space="0" w:color="auto"/>
            <w:right w:val="none" w:sz="0" w:space="0" w:color="auto"/>
          </w:divBdr>
        </w:div>
        <w:div w:id="1606647247">
          <w:marLeft w:val="0"/>
          <w:marRight w:val="0"/>
          <w:marTop w:val="0"/>
          <w:marBottom w:val="0"/>
          <w:divBdr>
            <w:top w:val="none" w:sz="0" w:space="0" w:color="auto"/>
            <w:left w:val="none" w:sz="0" w:space="0" w:color="auto"/>
            <w:bottom w:val="none" w:sz="0" w:space="0" w:color="auto"/>
            <w:right w:val="none" w:sz="0" w:space="0" w:color="auto"/>
          </w:divBdr>
        </w:div>
        <w:div w:id="1611662411">
          <w:marLeft w:val="0"/>
          <w:marRight w:val="0"/>
          <w:marTop w:val="0"/>
          <w:marBottom w:val="0"/>
          <w:divBdr>
            <w:top w:val="none" w:sz="0" w:space="0" w:color="auto"/>
            <w:left w:val="none" w:sz="0" w:space="0" w:color="auto"/>
            <w:bottom w:val="none" w:sz="0" w:space="0" w:color="auto"/>
            <w:right w:val="none" w:sz="0" w:space="0" w:color="auto"/>
          </w:divBdr>
        </w:div>
        <w:div w:id="1612860098">
          <w:marLeft w:val="0"/>
          <w:marRight w:val="0"/>
          <w:marTop w:val="0"/>
          <w:marBottom w:val="0"/>
          <w:divBdr>
            <w:top w:val="none" w:sz="0" w:space="0" w:color="auto"/>
            <w:left w:val="none" w:sz="0" w:space="0" w:color="auto"/>
            <w:bottom w:val="none" w:sz="0" w:space="0" w:color="auto"/>
            <w:right w:val="none" w:sz="0" w:space="0" w:color="auto"/>
          </w:divBdr>
        </w:div>
        <w:div w:id="1640839455">
          <w:marLeft w:val="0"/>
          <w:marRight w:val="0"/>
          <w:marTop w:val="0"/>
          <w:marBottom w:val="0"/>
          <w:divBdr>
            <w:top w:val="none" w:sz="0" w:space="0" w:color="auto"/>
            <w:left w:val="none" w:sz="0" w:space="0" w:color="auto"/>
            <w:bottom w:val="none" w:sz="0" w:space="0" w:color="auto"/>
            <w:right w:val="none" w:sz="0" w:space="0" w:color="auto"/>
          </w:divBdr>
        </w:div>
        <w:div w:id="1644651752">
          <w:marLeft w:val="0"/>
          <w:marRight w:val="0"/>
          <w:marTop w:val="0"/>
          <w:marBottom w:val="0"/>
          <w:divBdr>
            <w:top w:val="none" w:sz="0" w:space="0" w:color="auto"/>
            <w:left w:val="none" w:sz="0" w:space="0" w:color="auto"/>
            <w:bottom w:val="none" w:sz="0" w:space="0" w:color="auto"/>
            <w:right w:val="none" w:sz="0" w:space="0" w:color="auto"/>
          </w:divBdr>
        </w:div>
        <w:div w:id="1672101279">
          <w:marLeft w:val="0"/>
          <w:marRight w:val="0"/>
          <w:marTop w:val="0"/>
          <w:marBottom w:val="0"/>
          <w:divBdr>
            <w:top w:val="none" w:sz="0" w:space="0" w:color="auto"/>
            <w:left w:val="none" w:sz="0" w:space="0" w:color="auto"/>
            <w:bottom w:val="none" w:sz="0" w:space="0" w:color="auto"/>
            <w:right w:val="none" w:sz="0" w:space="0" w:color="auto"/>
          </w:divBdr>
        </w:div>
        <w:div w:id="1676885432">
          <w:marLeft w:val="0"/>
          <w:marRight w:val="0"/>
          <w:marTop w:val="0"/>
          <w:marBottom w:val="0"/>
          <w:divBdr>
            <w:top w:val="none" w:sz="0" w:space="0" w:color="auto"/>
            <w:left w:val="none" w:sz="0" w:space="0" w:color="auto"/>
            <w:bottom w:val="none" w:sz="0" w:space="0" w:color="auto"/>
            <w:right w:val="none" w:sz="0" w:space="0" w:color="auto"/>
          </w:divBdr>
        </w:div>
        <w:div w:id="1680692020">
          <w:marLeft w:val="0"/>
          <w:marRight w:val="0"/>
          <w:marTop w:val="0"/>
          <w:marBottom w:val="0"/>
          <w:divBdr>
            <w:top w:val="none" w:sz="0" w:space="0" w:color="auto"/>
            <w:left w:val="none" w:sz="0" w:space="0" w:color="auto"/>
            <w:bottom w:val="none" w:sz="0" w:space="0" w:color="auto"/>
            <w:right w:val="none" w:sz="0" w:space="0" w:color="auto"/>
          </w:divBdr>
        </w:div>
        <w:div w:id="1688097265">
          <w:marLeft w:val="0"/>
          <w:marRight w:val="0"/>
          <w:marTop w:val="0"/>
          <w:marBottom w:val="0"/>
          <w:divBdr>
            <w:top w:val="none" w:sz="0" w:space="0" w:color="auto"/>
            <w:left w:val="none" w:sz="0" w:space="0" w:color="auto"/>
            <w:bottom w:val="none" w:sz="0" w:space="0" w:color="auto"/>
            <w:right w:val="none" w:sz="0" w:space="0" w:color="auto"/>
          </w:divBdr>
        </w:div>
        <w:div w:id="1695811029">
          <w:marLeft w:val="0"/>
          <w:marRight w:val="0"/>
          <w:marTop w:val="0"/>
          <w:marBottom w:val="0"/>
          <w:divBdr>
            <w:top w:val="none" w:sz="0" w:space="0" w:color="auto"/>
            <w:left w:val="none" w:sz="0" w:space="0" w:color="auto"/>
            <w:bottom w:val="none" w:sz="0" w:space="0" w:color="auto"/>
            <w:right w:val="none" w:sz="0" w:space="0" w:color="auto"/>
          </w:divBdr>
        </w:div>
        <w:div w:id="1705212845">
          <w:marLeft w:val="0"/>
          <w:marRight w:val="0"/>
          <w:marTop w:val="0"/>
          <w:marBottom w:val="0"/>
          <w:divBdr>
            <w:top w:val="none" w:sz="0" w:space="0" w:color="auto"/>
            <w:left w:val="none" w:sz="0" w:space="0" w:color="auto"/>
            <w:bottom w:val="none" w:sz="0" w:space="0" w:color="auto"/>
            <w:right w:val="none" w:sz="0" w:space="0" w:color="auto"/>
          </w:divBdr>
        </w:div>
        <w:div w:id="1716662271">
          <w:marLeft w:val="0"/>
          <w:marRight w:val="0"/>
          <w:marTop w:val="0"/>
          <w:marBottom w:val="0"/>
          <w:divBdr>
            <w:top w:val="none" w:sz="0" w:space="0" w:color="auto"/>
            <w:left w:val="none" w:sz="0" w:space="0" w:color="auto"/>
            <w:bottom w:val="none" w:sz="0" w:space="0" w:color="auto"/>
            <w:right w:val="none" w:sz="0" w:space="0" w:color="auto"/>
          </w:divBdr>
        </w:div>
        <w:div w:id="1724405219">
          <w:marLeft w:val="0"/>
          <w:marRight w:val="0"/>
          <w:marTop w:val="0"/>
          <w:marBottom w:val="0"/>
          <w:divBdr>
            <w:top w:val="none" w:sz="0" w:space="0" w:color="auto"/>
            <w:left w:val="none" w:sz="0" w:space="0" w:color="auto"/>
            <w:bottom w:val="none" w:sz="0" w:space="0" w:color="auto"/>
            <w:right w:val="none" w:sz="0" w:space="0" w:color="auto"/>
          </w:divBdr>
        </w:div>
        <w:div w:id="1730227007">
          <w:marLeft w:val="0"/>
          <w:marRight w:val="0"/>
          <w:marTop w:val="0"/>
          <w:marBottom w:val="0"/>
          <w:divBdr>
            <w:top w:val="none" w:sz="0" w:space="0" w:color="auto"/>
            <w:left w:val="none" w:sz="0" w:space="0" w:color="auto"/>
            <w:bottom w:val="none" w:sz="0" w:space="0" w:color="auto"/>
            <w:right w:val="none" w:sz="0" w:space="0" w:color="auto"/>
          </w:divBdr>
        </w:div>
        <w:div w:id="1734544526">
          <w:marLeft w:val="0"/>
          <w:marRight w:val="0"/>
          <w:marTop w:val="0"/>
          <w:marBottom w:val="0"/>
          <w:divBdr>
            <w:top w:val="none" w:sz="0" w:space="0" w:color="auto"/>
            <w:left w:val="none" w:sz="0" w:space="0" w:color="auto"/>
            <w:bottom w:val="none" w:sz="0" w:space="0" w:color="auto"/>
            <w:right w:val="none" w:sz="0" w:space="0" w:color="auto"/>
          </w:divBdr>
        </w:div>
        <w:div w:id="1734889387">
          <w:marLeft w:val="0"/>
          <w:marRight w:val="0"/>
          <w:marTop w:val="0"/>
          <w:marBottom w:val="0"/>
          <w:divBdr>
            <w:top w:val="none" w:sz="0" w:space="0" w:color="auto"/>
            <w:left w:val="none" w:sz="0" w:space="0" w:color="auto"/>
            <w:bottom w:val="none" w:sz="0" w:space="0" w:color="auto"/>
            <w:right w:val="none" w:sz="0" w:space="0" w:color="auto"/>
          </w:divBdr>
        </w:div>
        <w:div w:id="1741054288">
          <w:marLeft w:val="0"/>
          <w:marRight w:val="0"/>
          <w:marTop w:val="0"/>
          <w:marBottom w:val="0"/>
          <w:divBdr>
            <w:top w:val="none" w:sz="0" w:space="0" w:color="auto"/>
            <w:left w:val="none" w:sz="0" w:space="0" w:color="auto"/>
            <w:bottom w:val="none" w:sz="0" w:space="0" w:color="auto"/>
            <w:right w:val="none" w:sz="0" w:space="0" w:color="auto"/>
          </w:divBdr>
        </w:div>
        <w:div w:id="1748724346">
          <w:marLeft w:val="0"/>
          <w:marRight w:val="0"/>
          <w:marTop w:val="0"/>
          <w:marBottom w:val="0"/>
          <w:divBdr>
            <w:top w:val="none" w:sz="0" w:space="0" w:color="auto"/>
            <w:left w:val="none" w:sz="0" w:space="0" w:color="auto"/>
            <w:bottom w:val="none" w:sz="0" w:space="0" w:color="auto"/>
            <w:right w:val="none" w:sz="0" w:space="0" w:color="auto"/>
          </w:divBdr>
        </w:div>
        <w:div w:id="1750498988">
          <w:marLeft w:val="0"/>
          <w:marRight w:val="0"/>
          <w:marTop w:val="0"/>
          <w:marBottom w:val="0"/>
          <w:divBdr>
            <w:top w:val="none" w:sz="0" w:space="0" w:color="auto"/>
            <w:left w:val="none" w:sz="0" w:space="0" w:color="auto"/>
            <w:bottom w:val="none" w:sz="0" w:space="0" w:color="auto"/>
            <w:right w:val="none" w:sz="0" w:space="0" w:color="auto"/>
          </w:divBdr>
        </w:div>
        <w:div w:id="1770854997">
          <w:marLeft w:val="0"/>
          <w:marRight w:val="0"/>
          <w:marTop w:val="0"/>
          <w:marBottom w:val="0"/>
          <w:divBdr>
            <w:top w:val="none" w:sz="0" w:space="0" w:color="auto"/>
            <w:left w:val="none" w:sz="0" w:space="0" w:color="auto"/>
            <w:bottom w:val="none" w:sz="0" w:space="0" w:color="auto"/>
            <w:right w:val="none" w:sz="0" w:space="0" w:color="auto"/>
          </w:divBdr>
        </w:div>
        <w:div w:id="1771775955">
          <w:marLeft w:val="0"/>
          <w:marRight w:val="0"/>
          <w:marTop w:val="0"/>
          <w:marBottom w:val="0"/>
          <w:divBdr>
            <w:top w:val="none" w:sz="0" w:space="0" w:color="auto"/>
            <w:left w:val="none" w:sz="0" w:space="0" w:color="auto"/>
            <w:bottom w:val="none" w:sz="0" w:space="0" w:color="auto"/>
            <w:right w:val="none" w:sz="0" w:space="0" w:color="auto"/>
          </w:divBdr>
        </w:div>
        <w:div w:id="1774670035">
          <w:marLeft w:val="0"/>
          <w:marRight w:val="0"/>
          <w:marTop w:val="0"/>
          <w:marBottom w:val="0"/>
          <w:divBdr>
            <w:top w:val="none" w:sz="0" w:space="0" w:color="auto"/>
            <w:left w:val="none" w:sz="0" w:space="0" w:color="auto"/>
            <w:bottom w:val="none" w:sz="0" w:space="0" w:color="auto"/>
            <w:right w:val="none" w:sz="0" w:space="0" w:color="auto"/>
          </w:divBdr>
        </w:div>
        <w:div w:id="1800109019">
          <w:marLeft w:val="0"/>
          <w:marRight w:val="0"/>
          <w:marTop w:val="0"/>
          <w:marBottom w:val="0"/>
          <w:divBdr>
            <w:top w:val="none" w:sz="0" w:space="0" w:color="auto"/>
            <w:left w:val="none" w:sz="0" w:space="0" w:color="auto"/>
            <w:bottom w:val="none" w:sz="0" w:space="0" w:color="auto"/>
            <w:right w:val="none" w:sz="0" w:space="0" w:color="auto"/>
          </w:divBdr>
        </w:div>
        <w:div w:id="1801259923">
          <w:marLeft w:val="0"/>
          <w:marRight w:val="0"/>
          <w:marTop w:val="0"/>
          <w:marBottom w:val="0"/>
          <w:divBdr>
            <w:top w:val="none" w:sz="0" w:space="0" w:color="auto"/>
            <w:left w:val="none" w:sz="0" w:space="0" w:color="auto"/>
            <w:bottom w:val="none" w:sz="0" w:space="0" w:color="auto"/>
            <w:right w:val="none" w:sz="0" w:space="0" w:color="auto"/>
          </w:divBdr>
        </w:div>
        <w:div w:id="1802264432">
          <w:marLeft w:val="0"/>
          <w:marRight w:val="0"/>
          <w:marTop w:val="0"/>
          <w:marBottom w:val="0"/>
          <w:divBdr>
            <w:top w:val="none" w:sz="0" w:space="0" w:color="auto"/>
            <w:left w:val="none" w:sz="0" w:space="0" w:color="auto"/>
            <w:bottom w:val="none" w:sz="0" w:space="0" w:color="auto"/>
            <w:right w:val="none" w:sz="0" w:space="0" w:color="auto"/>
          </w:divBdr>
        </w:div>
        <w:div w:id="1803110282">
          <w:marLeft w:val="0"/>
          <w:marRight w:val="0"/>
          <w:marTop w:val="0"/>
          <w:marBottom w:val="0"/>
          <w:divBdr>
            <w:top w:val="none" w:sz="0" w:space="0" w:color="auto"/>
            <w:left w:val="none" w:sz="0" w:space="0" w:color="auto"/>
            <w:bottom w:val="none" w:sz="0" w:space="0" w:color="auto"/>
            <w:right w:val="none" w:sz="0" w:space="0" w:color="auto"/>
          </w:divBdr>
        </w:div>
        <w:div w:id="1806464586">
          <w:marLeft w:val="0"/>
          <w:marRight w:val="0"/>
          <w:marTop w:val="0"/>
          <w:marBottom w:val="0"/>
          <w:divBdr>
            <w:top w:val="none" w:sz="0" w:space="0" w:color="auto"/>
            <w:left w:val="none" w:sz="0" w:space="0" w:color="auto"/>
            <w:bottom w:val="none" w:sz="0" w:space="0" w:color="auto"/>
            <w:right w:val="none" w:sz="0" w:space="0" w:color="auto"/>
          </w:divBdr>
        </w:div>
        <w:div w:id="1807310668">
          <w:marLeft w:val="0"/>
          <w:marRight w:val="0"/>
          <w:marTop w:val="0"/>
          <w:marBottom w:val="0"/>
          <w:divBdr>
            <w:top w:val="none" w:sz="0" w:space="0" w:color="auto"/>
            <w:left w:val="none" w:sz="0" w:space="0" w:color="auto"/>
            <w:bottom w:val="none" w:sz="0" w:space="0" w:color="auto"/>
            <w:right w:val="none" w:sz="0" w:space="0" w:color="auto"/>
          </w:divBdr>
        </w:div>
        <w:div w:id="1809930126">
          <w:marLeft w:val="0"/>
          <w:marRight w:val="0"/>
          <w:marTop w:val="0"/>
          <w:marBottom w:val="0"/>
          <w:divBdr>
            <w:top w:val="none" w:sz="0" w:space="0" w:color="auto"/>
            <w:left w:val="none" w:sz="0" w:space="0" w:color="auto"/>
            <w:bottom w:val="none" w:sz="0" w:space="0" w:color="auto"/>
            <w:right w:val="none" w:sz="0" w:space="0" w:color="auto"/>
          </w:divBdr>
        </w:div>
        <w:div w:id="1810517598">
          <w:marLeft w:val="0"/>
          <w:marRight w:val="0"/>
          <w:marTop w:val="0"/>
          <w:marBottom w:val="0"/>
          <w:divBdr>
            <w:top w:val="none" w:sz="0" w:space="0" w:color="auto"/>
            <w:left w:val="none" w:sz="0" w:space="0" w:color="auto"/>
            <w:bottom w:val="none" w:sz="0" w:space="0" w:color="auto"/>
            <w:right w:val="none" w:sz="0" w:space="0" w:color="auto"/>
          </w:divBdr>
        </w:div>
        <w:div w:id="1812215169">
          <w:marLeft w:val="0"/>
          <w:marRight w:val="0"/>
          <w:marTop w:val="0"/>
          <w:marBottom w:val="0"/>
          <w:divBdr>
            <w:top w:val="none" w:sz="0" w:space="0" w:color="auto"/>
            <w:left w:val="none" w:sz="0" w:space="0" w:color="auto"/>
            <w:bottom w:val="none" w:sz="0" w:space="0" w:color="auto"/>
            <w:right w:val="none" w:sz="0" w:space="0" w:color="auto"/>
          </w:divBdr>
        </w:div>
        <w:div w:id="1814449711">
          <w:marLeft w:val="0"/>
          <w:marRight w:val="0"/>
          <w:marTop w:val="0"/>
          <w:marBottom w:val="0"/>
          <w:divBdr>
            <w:top w:val="none" w:sz="0" w:space="0" w:color="auto"/>
            <w:left w:val="none" w:sz="0" w:space="0" w:color="auto"/>
            <w:bottom w:val="none" w:sz="0" w:space="0" w:color="auto"/>
            <w:right w:val="none" w:sz="0" w:space="0" w:color="auto"/>
          </w:divBdr>
        </w:div>
        <w:div w:id="1820612925">
          <w:marLeft w:val="0"/>
          <w:marRight w:val="0"/>
          <w:marTop w:val="0"/>
          <w:marBottom w:val="0"/>
          <w:divBdr>
            <w:top w:val="none" w:sz="0" w:space="0" w:color="auto"/>
            <w:left w:val="none" w:sz="0" w:space="0" w:color="auto"/>
            <w:bottom w:val="none" w:sz="0" w:space="0" w:color="auto"/>
            <w:right w:val="none" w:sz="0" w:space="0" w:color="auto"/>
          </w:divBdr>
        </w:div>
        <w:div w:id="1826773653">
          <w:marLeft w:val="0"/>
          <w:marRight w:val="0"/>
          <w:marTop w:val="0"/>
          <w:marBottom w:val="0"/>
          <w:divBdr>
            <w:top w:val="none" w:sz="0" w:space="0" w:color="auto"/>
            <w:left w:val="none" w:sz="0" w:space="0" w:color="auto"/>
            <w:bottom w:val="none" w:sz="0" w:space="0" w:color="auto"/>
            <w:right w:val="none" w:sz="0" w:space="0" w:color="auto"/>
          </w:divBdr>
        </w:div>
        <w:div w:id="1835489546">
          <w:marLeft w:val="0"/>
          <w:marRight w:val="0"/>
          <w:marTop w:val="0"/>
          <w:marBottom w:val="0"/>
          <w:divBdr>
            <w:top w:val="none" w:sz="0" w:space="0" w:color="auto"/>
            <w:left w:val="none" w:sz="0" w:space="0" w:color="auto"/>
            <w:bottom w:val="none" w:sz="0" w:space="0" w:color="auto"/>
            <w:right w:val="none" w:sz="0" w:space="0" w:color="auto"/>
          </w:divBdr>
        </w:div>
        <w:div w:id="1836456224">
          <w:marLeft w:val="0"/>
          <w:marRight w:val="0"/>
          <w:marTop w:val="0"/>
          <w:marBottom w:val="0"/>
          <w:divBdr>
            <w:top w:val="none" w:sz="0" w:space="0" w:color="auto"/>
            <w:left w:val="none" w:sz="0" w:space="0" w:color="auto"/>
            <w:bottom w:val="none" w:sz="0" w:space="0" w:color="auto"/>
            <w:right w:val="none" w:sz="0" w:space="0" w:color="auto"/>
          </w:divBdr>
        </w:div>
        <w:div w:id="1852452237">
          <w:marLeft w:val="0"/>
          <w:marRight w:val="0"/>
          <w:marTop w:val="0"/>
          <w:marBottom w:val="0"/>
          <w:divBdr>
            <w:top w:val="none" w:sz="0" w:space="0" w:color="auto"/>
            <w:left w:val="none" w:sz="0" w:space="0" w:color="auto"/>
            <w:bottom w:val="none" w:sz="0" w:space="0" w:color="auto"/>
            <w:right w:val="none" w:sz="0" w:space="0" w:color="auto"/>
          </w:divBdr>
        </w:div>
        <w:div w:id="1855342355">
          <w:marLeft w:val="0"/>
          <w:marRight w:val="0"/>
          <w:marTop w:val="0"/>
          <w:marBottom w:val="0"/>
          <w:divBdr>
            <w:top w:val="none" w:sz="0" w:space="0" w:color="auto"/>
            <w:left w:val="none" w:sz="0" w:space="0" w:color="auto"/>
            <w:bottom w:val="none" w:sz="0" w:space="0" w:color="auto"/>
            <w:right w:val="none" w:sz="0" w:space="0" w:color="auto"/>
          </w:divBdr>
        </w:div>
        <w:div w:id="1856377719">
          <w:marLeft w:val="0"/>
          <w:marRight w:val="0"/>
          <w:marTop w:val="0"/>
          <w:marBottom w:val="0"/>
          <w:divBdr>
            <w:top w:val="none" w:sz="0" w:space="0" w:color="auto"/>
            <w:left w:val="none" w:sz="0" w:space="0" w:color="auto"/>
            <w:bottom w:val="none" w:sz="0" w:space="0" w:color="auto"/>
            <w:right w:val="none" w:sz="0" w:space="0" w:color="auto"/>
          </w:divBdr>
        </w:div>
        <w:div w:id="1859780634">
          <w:marLeft w:val="0"/>
          <w:marRight w:val="0"/>
          <w:marTop w:val="0"/>
          <w:marBottom w:val="0"/>
          <w:divBdr>
            <w:top w:val="none" w:sz="0" w:space="0" w:color="auto"/>
            <w:left w:val="none" w:sz="0" w:space="0" w:color="auto"/>
            <w:bottom w:val="none" w:sz="0" w:space="0" w:color="auto"/>
            <w:right w:val="none" w:sz="0" w:space="0" w:color="auto"/>
          </w:divBdr>
        </w:div>
        <w:div w:id="1860580123">
          <w:marLeft w:val="0"/>
          <w:marRight w:val="0"/>
          <w:marTop w:val="0"/>
          <w:marBottom w:val="0"/>
          <w:divBdr>
            <w:top w:val="none" w:sz="0" w:space="0" w:color="auto"/>
            <w:left w:val="none" w:sz="0" w:space="0" w:color="auto"/>
            <w:bottom w:val="none" w:sz="0" w:space="0" w:color="auto"/>
            <w:right w:val="none" w:sz="0" w:space="0" w:color="auto"/>
          </w:divBdr>
        </w:div>
        <w:div w:id="1866091681">
          <w:marLeft w:val="0"/>
          <w:marRight w:val="0"/>
          <w:marTop w:val="0"/>
          <w:marBottom w:val="0"/>
          <w:divBdr>
            <w:top w:val="none" w:sz="0" w:space="0" w:color="auto"/>
            <w:left w:val="none" w:sz="0" w:space="0" w:color="auto"/>
            <w:bottom w:val="none" w:sz="0" w:space="0" w:color="auto"/>
            <w:right w:val="none" w:sz="0" w:space="0" w:color="auto"/>
          </w:divBdr>
        </w:div>
        <w:div w:id="1867670349">
          <w:marLeft w:val="0"/>
          <w:marRight w:val="0"/>
          <w:marTop w:val="0"/>
          <w:marBottom w:val="0"/>
          <w:divBdr>
            <w:top w:val="none" w:sz="0" w:space="0" w:color="auto"/>
            <w:left w:val="none" w:sz="0" w:space="0" w:color="auto"/>
            <w:bottom w:val="none" w:sz="0" w:space="0" w:color="auto"/>
            <w:right w:val="none" w:sz="0" w:space="0" w:color="auto"/>
          </w:divBdr>
        </w:div>
        <w:div w:id="1872257913">
          <w:marLeft w:val="0"/>
          <w:marRight w:val="0"/>
          <w:marTop w:val="0"/>
          <w:marBottom w:val="0"/>
          <w:divBdr>
            <w:top w:val="none" w:sz="0" w:space="0" w:color="auto"/>
            <w:left w:val="none" w:sz="0" w:space="0" w:color="auto"/>
            <w:bottom w:val="none" w:sz="0" w:space="0" w:color="auto"/>
            <w:right w:val="none" w:sz="0" w:space="0" w:color="auto"/>
          </w:divBdr>
        </w:div>
        <w:div w:id="1872373229">
          <w:marLeft w:val="0"/>
          <w:marRight w:val="0"/>
          <w:marTop w:val="0"/>
          <w:marBottom w:val="0"/>
          <w:divBdr>
            <w:top w:val="none" w:sz="0" w:space="0" w:color="auto"/>
            <w:left w:val="none" w:sz="0" w:space="0" w:color="auto"/>
            <w:bottom w:val="none" w:sz="0" w:space="0" w:color="auto"/>
            <w:right w:val="none" w:sz="0" w:space="0" w:color="auto"/>
          </w:divBdr>
        </w:div>
        <w:div w:id="1907884093">
          <w:marLeft w:val="0"/>
          <w:marRight w:val="0"/>
          <w:marTop w:val="0"/>
          <w:marBottom w:val="0"/>
          <w:divBdr>
            <w:top w:val="none" w:sz="0" w:space="0" w:color="auto"/>
            <w:left w:val="none" w:sz="0" w:space="0" w:color="auto"/>
            <w:bottom w:val="none" w:sz="0" w:space="0" w:color="auto"/>
            <w:right w:val="none" w:sz="0" w:space="0" w:color="auto"/>
          </w:divBdr>
        </w:div>
        <w:div w:id="1908298508">
          <w:marLeft w:val="0"/>
          <w:marRight w:val="0"/>
          <w:marTop w:val="0"/>
          <w:marBottom w:val="0"/>
          <w:divBdr>
            <w:top w:val="none" w:sz="0" w:space="0" w:color="auto"/>
            <w:left w:val="none" w:sz="0" w:space="0" w:color="auto"/>
            <w:bottom w:val="none" w:sz="0" w:space="0" w:color="auto"/>
            <w:right w:val="none" w:sz="0" w:space="0" w:color="auto"/>
          </w:divBdr>
        </w:div>
        <w:div w:id="1913008687">
          <w:marLeft w:val="0"/>
          <w:marRight w:val="0"/>
          <w:marTop w:val="0"/>
          <w:marBottom w:val="0"/>
          <w:divBdr>
            <w:top w:val="none" w:sz="0" w:space="0" w:color="auto"/>
            <w:left w:val="none" w:sz="0" w:space="0" w:color="auto"/>
            <w:bottom w:val="none" w:sz="0" w:space="0" w:color="auto"/>
            <w:right w:val="none" w:sz="0" w:space="0" w:color="auto"/>
          </w:divBdr>
        </w:div>
        <w:div w:id="1916087173">
          <w:marLeft w:val="0"/>
          <w:marRight w:val="0"/>
          <w:marTop w:val="0"/>
          <w:marBottom w:val="0"/>
          <w:divBdr>
            <w:top w:val="none" w:sz="0" w:space="0" w:color="auto"/>
            <w:left w:val="none" w:sz="0" w:space="0" w:color="auto"/>
            <w:bottom w:val="none" w:sz="0" w:space="0" w:color="auto"/>
            <w:right w:val="none" w:sz="0" w:space="0" w:color="auto"/>
          </w:divBdr>
        </w:div>
        <w:div w:id="1931810584">
          <w:marLeft w:val="0"/>
          <w:marRight w:val="0"/>
          <w:marTop w:val="0"/>
          <w:marBottom w:val="0"/>
          <w:divBdr>
            <w:top w:val="none" w:sz="0" w:space="0" w:color="auto"/>
            <w:left w:val="none" w:sz="0" w:space="0" w:color="auto"/>
            <w:bottom w:val="none" w:sz="0" w:space="0" w:color="auto"/>
            <w:right w:val="none" w:sz="0" w:space="0" w:color="auto"/>
          </w:divBdr>
        </w:div>
        <w:div w:id="1935163387">
          <w:marLeft w:val="0"/>
          <w:marRight w:val="0"/>
          <w:marTop w:val="0"/>
          <w:marBottom w:val="0"/>
          <w:divBdr>
            <w:top w:val="none" w:sz="0" w:space="0" w:color="auto"/>
            <w:left w:val="none" w:sz="0" w:space="0" w:color="auto"/>
            <w:bottom w:val="none" w:sz="0" w:space="0" w:color="auto"/>
            <w:right w:val="none" w:sz="0" w:space="0" w:color="auto"/>
          </w:divBdr>
        </w:div>
        <w:div w:id="1935354014">
          <w:marLeft w:val="0"/>
          <w:marRight w:val="0"/>
          <w:marTop w:val="0"/>
          <w:marBottom w:val="0"/>
          <w:divBdr>
            <w:top w:val="none" w:sz="0" w:space="0" w:color="auto"/>
            <w:left w:val="none" w:sz="0" w:space="0" w:color="auto"/>
            <w:bottom w:val="none" w:sz="0" w:space="0" w:color="auto"/>
            <w:right w:val="none" w:sz="0" w:space="0" w:color="auto"/>
          </w:divBdr>
        </w:div>
        <w:div w:id="1978029092">
          <w:marLeft w:val="0"/>
          <w:marRight w:val="0"/>
          <w:marTop w:val="0"/>
          <w:marBottom w:val="0"/>
          <w:divBdr>
            <w:top w:val="none" w:sz="0" w:space="0" w:color="auto"/>
            <w:left w:val="none" w:sz="0" w:space="0" w:color="auto"/>
            <w:bottom w:val="none" w:sz="0" w:space="0" w:color="auto"/>
            <w:right w:val="none" w:sz="0" w:space="0" w:color="auto"/>
          </w:divBdr>
        </w:div>
        <w:div w:id="1981417454">
          <w:marLeft w:val="0"/>
          <w:marRight w:val="0"/>
          <w:marTop w:val="0"/>
          <w:marBottom w:val="0"/>
          <w:divBdr>
            <w:top w:val="none" w:sz="0" w:space="0" w:color="auto"/>
            <w:left w:val="none" w:sz="0" w:space="0" w:color="auto"/>
            <w:bottom w:val="none" w:sz="0" w:space="0" w:color="auto"/>
            <w:right w:val="none" w:sz="0" w:space="0" w:color="auto"/>
          </w:divBdr>
        </w:div>
        <w:div w:id="1991327300">
          <w:marLeft w:val="0"/>
          <w:marRight w:val="0"/>
          <w:marTop w:val="0"/>
          <w:marBottom w:val="0"/>
          <w:divBdr>
            <w:top w:val="none" w:sz="0" w:space="0" w:color="auto"/>
            <w:left w:val="none" w:sz="0" w:space="0" w:color="auto"/>
            <w:bottom w:val="none" w:sz="0" w:space="0" w:color="auto"/>
            <w:right w:val="none" w:sz="0" w:space="0" w:color="auto"/>
          </w:divBdr>
        </w:div>
        <w:div w:id="1993752292">
          <w:marLeft w:val="0"/>
          <w:marRight w:val="0"/>
          <w:marTop w:val="0"/>
          <w:marBottom w:val="0"/>
          <w:divBdr>
            <w:top w:val="none" w:sz="0" w:space="0" w:color="auto"/>
            <w:left w:val="none" w:sz="0" w:space="0" w:color="auto"/>
            <w:bottom w:val="none" w:sz="0" w:space="0" w:color="auto"/>
            <w:right w:val="none" w:sz="0" w:space="0" w:color="auto"/>
          </w:divBdr>
        </w:div>
        <w:div w:id="1994749756">
          <w:marLeft w:val="0"/>
          <w:marRight w:val="0"/>
          <w:marTop w:val="0"/>
          <w:marBottom w:val="0"/>
          <w:divBdr>
            <w:top w:val="none" w:sz="0" w:space="0" w:color="auto"/>
            <w:left w:val="none" w:sz="0" w:space="0" w:color="auto"/>
            <w:bottom w:val="none" w:sz="0" w:space="0" w:color="auto"/>
            <w:right w:val="none" w:sz="0" w:space="0" w:color="auto"/>
          </w:divBdr>
        </w:div>
        <w:div w:id="1998651514">
          <w:marLeft w:val="0"/>
          <w:marRight w:val="0"/>
          <w:marTop w:val="0"/>
          <w:marBottom w:val="0"/>
          <w:divBdr>
            <w:top w:val="none" w:sz="0" w:space="0" w:color="auto"/>
            <w:left w:val="none" w:sz="0" w:space="0" w:color="auto"/>
            <w:bottom w:val="none" w:sz="0" w:space="0" w:color="auto"/>
            <w:right w:val="none" w:sz="0" w:space="0" w:color="auto"/>
          </w:divBdr>
        </w:div>
        <w:div w:id="2001733795">
          <w:marLeft w:val="0"/>
          <w:marRight w:val="0"/>
          <w:marTop w:val="0"/>
          <w:marBottom w:val="0"/>
          <w:divBdr>
            <w:top w:val="none" w:sz="0" w:space="0" w:color="auto"/>
            <w:left w:val="none" w:sz="0" w:space="0" w:color="auto"/>
            <w:bottom w:val="none" w:sz="0" w:space="0" w:color="auto"/>
            <w:right w:val="none" w:sz="0" w:space="0" w:color="auto"/>
          </w:divBdr>
        </w:div>
        <w:div w:id="2003312982">
          <w:marLeft w:val="0"/>
          <w:marRight w:val="0"/>
          <w:marTop w:val="0"/>
          <w:marBottom w:val="0"/>
          <w:divBdr>
            <w:top w:val="none" w:sz="0" w:space="0" w:color="auto"/>
            <w:left w:val="none" w:sz="0" w:space="0" w:color="auto"/>
            <w:bottom w:val="none" w:sz="0" w:space="0" w:color="auto"/>
            <w:right w:val="none" w:sz="0" w:space="0" w:color="auto"/>
          </w:divBdr>
        </w:div>
        <w:div w:id="2008285971">
          <w:marLeft w:val="0"/>
          <w:marRight w:val="0"/>
          <w:marTop w:val="0"/>
          <w:marBottom w:val="0"/>
          <w:divBdr>
            <w:top w:val="none" w:sz="0" w:space="0" w:color="auto"/>
            <w:left w:val="none" w:sz="0" w:space="0" w:color="auto"/>
            <w:bottom w:val="none" w:sz="0" w:space="0" w:color="auto"/>
            <w:right w:val="none" w:sz="0" w:space="0" w:color="auto"/>
          </w:divBdr>
        </w:div>
        <w:div w:id="2015060993">
          <w:marLeft w:val="0"/>
          <w:marRight w:val="0"/>
          <w:marTop w:val="0"/>
          <w:marBottom w:val="0"/>
          <w:divBdr>
            <w:top w:val="none" w:sz="0" w:space="0" w:color="auto"/>
            <w:left w:val="none" w:sz="0" w:space="0" w:color="auto"/>
            <w:bottom w:val="none" w:sz="0" w:space="0" w:color="auto"/>
            <w:right w:val="none" w:sz="0" w:space="0" w:color="auto"/>
          </w:divBdr>
        </w:div>
        <w:div w:id="2021807611">
          <w:marLeft w:val="0"/>
          <w:marRight w:val="0"/>
          <w:marTop w:val="0"/>
          <w:marBottom w:val="0"/>
          <w:divBdr>
            <w:top w:val="none" w:sz="0" w:space="0" w:color="auto"/>
            <w:left w:val="none" w:sz="0" w:space="0" w:color="auto"/>
            <w:bottom w:val="none" w:sz="0" w:space="0" w:color="auto"/>
            <w:right w:val="none" w:sz="0" w:space="0" w:color="auto"/>
          </w:divBdr>
        </w:div>
        <w:div w:id="2022051426">
          <w:marLeft w:val="0"/>
          <w:marRight w:val="0"/>
          <w:marTop w:val="0"/>
          <w:marBottom w:val="0"/>
          <w:divBdr>
            <w:top w:val="none" w:sz="0" w:space="0" w:color="auto"/>
            <w:left w:val="none" w:sz="0" w:space="0" w:color="auto"/>
            <w:bottom w:val="none" w:sz="0" w:space="0" w:color="auto"/>
            <w:right w:val="none" w:sz="0" w:space="0" w:color="auto"/>
          </w:divBdr>
        </w:div>
        <w:div w:id="2024235576">
          <w:marLeft w:val="0"/>
          <w:marRight w:val="0"/>
          <w:marTop w:val="0"/>
          <w:marBottom w:val="0"/>
          <w:divBdr>
            <w:top w:val="none" w:sz="0" w:space="0" w:color="auto"/>
            <w:left w:val="none" w:sz="0" w:space="0" w:color="auto"/>
            <w:bottom w:val="none" w:sz="0" w:space="0" w:color="auto"/>
            <w:right w:val="none" w:sz="0" w:space="0" w:color="auto"/>
          </w:divBdr>
        </w:div>
        <w:div w:id="2026978212">
          <w:marLeft w:val="0"/>
          <w:marRight w:val="0"/>
          <w:marTop w:val="0"/>
          <w:marBottom w:val="0"/>
          <w:divBdr>
            <w:top w:val="none" w:sz="0" w:space="0" w:color="auto"/>
            <w:left w:val="none" w:sz="0" w:space="0" w:color="auto"/>
            <w:bottom w:val="none" w:sz="0" w:space="0" w:color="auto"/>
            <w:right w:val="none" w:sz="0" w:space="0" w:color="auto"/>
          </w:divBdr>
        </w:div>
        <w:div w:id="2027977182">
          <w:marLeft w:val="0"/>
          <w:marRight w:val="0"/>
          <w:marTop w:val="0"/>
          <w:marBottom w:val="0"/>
          <w:divBdr>
            <w:top w:val="none" w:sz="0" w:space="0" w:color="auto"/>
            <w:left w:val="none" w:sz="0" w:space="0" w:color="auto"/>
            <w:bottom w:val="none" w:sz="0" w:space="0" w:color="auto"/>
            <w:right w:val="none" w:sz="0" w:space="0" w:color="auto"/>
          </w:divBdr>
        </w:div>
        <w:div w:id="2033917707">
          <w:marLeft w:val="0"/>
          <w:marRight w:val="0"/>
          <w:marTop w:val="0"/>
          <w:marBottom w:val="0"/>
          <w:divBdr>
            <w:top w:val="none" w:sz="0" w:space="0" w:color="auto"/>
            <w:left w:val="none" w:sz="0" w:space="0" w:color="auto"/>
            <w:bottom w:val="none" w:sz="0" w:space="0" w:color="auto"/>
            <w:right w:val="none" w:sz="0" w:space="0" w:color="auto"/>
          </w:divBdr>
        </w:div>
        <w:div w:id="2041856856">
          <w:marLeft w:val="0"/>
          <w:marRight w:val="0"/>
          <w:marTop w:val="0"/>
          <w:marBottom w:val="0"/>
          <w:divBdr>
            <w:top w:val="none" w:sz="0" w:space="0" w:color="auto"/>
            <w:left w:val="none" w:sz="0" w:space="0" w:color="auto"/>
            <w:bottom w:val="none" w:sz="0" w:space="0" w:color="auto"/>
            <w:right w:val="none" w:sz="0" w:space="0" w:color="auto"/>
          </w:divBdr>
        </w:div>
        <w:div w:id="2043553860">
          <w:marLeft w:val="0"/>
          <w:marRight w:val="0"/>
          <w:marTop w:val="0"/>
          <w:marBottom w:val="0"/>
          <w:divBdr>
            <w:top w:val="none" w:sz="0" w:space="0" w:color="auto"/>
            <w:left w:val="none" w:sz="0" w:space="0" w:color="auto"/>
            <w:bottom w:val="none" w:sz="0" w:space="0" w:color="auto"/>
            <w:right w:val="none" w:sz="0" w:space="0" w:color="auto"/>
          </w:divBdr>
        </w:div>
        <w:div w:id="2051802754">
          <w:marLeft w:val="0"/>
          <w:marRight w:val="0"/>
          <w:marTop w:val="0"/>
          <w:marBottom w:val="0"/>
          <w:divBdr>
            <w:top w:val="none" w:sz="0" w:space="0" w:color="auto"/>
            <w:left w:val="none" w:sz="0" w:space="0" w:color="auto"/>
            <w:bottom w:val="none" w:sz="0" w:space="0" w:color="auto"/>
            <w:right w:val="none" w:sz="0" w:space="0" w:color="auto"/>
          </w:divBdr>
        </w:div>
        <w:div w:id="2063403017">
          <w:marLeft w:val="0"/>
          <w:marRight w:val="0"/>
          <w:marTop w:val="0"/>
          <w:marBottom w:val="0"/>
          <w:divBdr>
            <w:top w:val="none" w:sz="0" w:space="0" w:color="auto"/>
            <w:left w:val="none" w:sz="0" w:space="0" w:color="auto"/>
            <w:bottom w:val="none" w:sz="0" w:space="0" w:color="auto"/>
            <w:right w:val="none" w:sz="0" w:space="0" w:color="auto"/>
          </w:divBdr>
        </w:div>
        <w:div w:id="2070882914">
          <w:marLeft w:val="0"/>
          <w:marRight w:val="0"/>
          <w:marTop w:val="0"/>
          <w:marBottom w:val="0"/>
          <w:divBdr>
            <w:top w:val="none" w:sz="0" w:space="0" w:color="auto"/>
            <w:left w:val="none" w:sz="0" w:space="0" w:color="auto"/>
            <w:bottom w:val="none" w:sz="0" w:space="0" w:color="auto"/>
            <w:right w:val="none" w:sz="0" w:space="0" w:color="auto"/>
          </w:divBdr>
        </w:div>
        <w:div w:id="2070956634">
          <w:marLeft w:val="0"/>
          <w:marRight w:val="0"/>
          <w:marTop w:val="0"/>
          <w:marBottom w:val="0"/>
          <w:divBdr>
            <w:top w:val="none" w:sz="0" w:space="0" w:color="auto"/>
            <w:left w:val="none" w:sz="0" w:space="0" w:color="auto"/>
            <w:bottom w:val="none" w:sz="0" w:space="0" w:color="auto"/>
            <w:right w:val="none" w:sz="0" w:space="0" w:color="auto"/>
          </w:divBdr>
        </w:div>
        <w:div w:id="2078237415">
          <w:marLeft w:val="0"/>
          <w:marRight w:val="0"/>
          <w:marTop w:val="0"/>
          <w:marBottom w:val="0"/>
          <w:divBdr>
            <w:top w:val="none" w:sz="0" w:space="0" w:color="auto"/>
            <w:left w:val="none" w:sz="0" w:space="0" w:color="auto"/>
            <w:bottom w:val="none" w:sz="0" w:space="0" w:color="auto"/>
            <w:right w:val="none" w:sz="0" w:space="0" w:color="auto"/>
          </w:divBdr>
        </w:div>
        <w:div w:id="2100060263">
          <w:marLeft w:val="0"/>
          <w:marRight w:val="0"/>
          <w:marTop w:val="0"/>
          <w:marBottom w:val="0"/>
          <w:divBdr>
            <w:top w:val="none" w:sz="0" w:space="0" w:color="auto"/>
            <w:left w:val="none" w:sz="0" w:space="0" w:color="auto"/>
            <w:bottom w:val="none" w:sz="0" w:space="0" w:color="auto"/>
            <w:right w:val="none" w:sz="0" w:space="0" w:color="auto"/>
          </w:divBdr>
        </w:div>
        <w:div w:id="2107918309">
          <w:marLeft w:val="0"/>
          <w:marRight w:val="0"/>
          <w:marTop w:val="0"/>
          <w:marBottom w:val="0"/>
          <w:divBdr>
            <w:top w:val="none" w:sz="0" w:space="0" w:color="auto"/>
            <w:left w:val="none" w:sz="0" w:space="0" w:color="auto"/>
            <w:bottom w:val="none" w:sz="0" w:space="0" w:color="auto"/>
            <w:right w:val="none" w:sz="0" w:space="0" w:color="auto"/>
          </w:divBdr>
        </w:div>
        <w:div w:id="2116124055">
          <w:marLeft w:val="0"/>
          <w:marRight w:val="0"/>
          <w:marTop w:val="0"/>
          <w:marBottom w:val="0"/>
          <w:divBdr>
            <w:top w:val="none" w:sz="0" w:space="0" w:color="auto"/>
            <w:left w:val="none" w:sz="0" w:space="0" w:color="auto"/>
            <w:bottom w:val="none" w:sz="0" w:space="0" w:color="auto"/>
            <w:right w:val="none" w:sz="0" w:space="0" w:color="auto"/>
          </w:divBdr>
        </w:div>
        <w:div w:id="2116947801">
          <w:marLeft w:val="0"/>
          <w:marRight w:val="0"/>
          <w:marTop w:val="0"/>
          <w:marBottom w:val="0"/>
          <w:divBdr>
            <w:top w:val="none" w:sz="0" w:space="0" w:color="auto"/>
            <w:left w:val="none" w:sz="0" w:space="0" w:color="auto"/>
            <w:bottom w:val="none" w:sz="0" w:space="0" w:color="auto"/>
            <w:right w:val="none" w:sz="0" w:space="0" w:color="auto"/>
          </w:divBdr>
        </w:div>
        <w:div w:id="2129155484">
          <w:marLeft w:val="0"/>
          <w:marRight w:val="0"/>
          <w:marTop w:val="0"/>
          <w:marBottom w:val="0"/>
          <w:divBdr>
            <w:top w:val="none" w:sz="0" w:space="0" w:color="auto"/>
            <w:left w:val="none" w:sz="0" w:space="0" w:color="auto"/>
            <w:bottom w:val="none" w:sz="0" w:space="0" w:color="auto"/>
            <w:right w:val="none" w:sz="0" w:space="0" w:color="auto"/>
          </w:divBdr>
        </w:div>
      </w:divsChild>
    </w:div>
    <w:div w:id="467207861">
      <w:bodyDiv w:val="1"/>
      <w:marLeft w:val="0"/>
      <w:marRight w:val="0"/>
      <w:marTop w:val="0"/>
      <w:marBottom w:val="0"/>
      <w:divBdr>
        <w:top w:val="none" w:sz="0" w:space="0" w:color="auto"/>
        <w:left w:val="none" w:sz="0" w:space="0" w:color="auto"/>
        <w:bottom w:val="none" w:sz="0" w:space="0" w:color="auto"/>
        <w:right w:val="none" w:sz="0" w:space="0" w:color="auto"/>
      </w:divBdr>
      <w:divsChild>
        <w:div w:id="8914964">
          <w:marLeft w:val="0"/>
          <w:marRight w:val="0"/>
          <w:marTop w:val="0"/>
          <w:marBottom w:val="0"/>
          <w:divBdr>
            <w:top w:val="none" w:sz="0" w:space="0" w:color="auto"/>
            <w:left w:val="none" w:sz="0" w:space="0" w:color="auto"/>
            <w:bottom w:val="none" w:sz="0" w:space="0" w:color="auto"/>
            <w:right w:val="none" w:sz="0" w:space="0" w:color="auto"/>
          </w:divBdr>
        </w:div>
        <w:div w:id="9307771">
          <w:marLeft w:val="0"/>
          <w:marRight w:val="0"/>
          <w:marTop w:val="0"/>
          <w:marBottom w:val="0"/>
          <w:divBdr>
            <w:top w:val="none" w:sz="0" w:space="0" w:color="auto"/>
            <w:left w:val="none" w:sz="0" w:space="0" w:color="auto"/>
            <w:bottom w:val="none" w:sz="0" w:space="0" w:color="auto"/>
            <w:right w:val="none" w:sz="0" w:space="0" w:color="auto"/>
          </w:divBdr>
        </w:div>
        <w:div w:id="18047395">
          <w:marLeft w:val="0"/>
          <w:marRight w:val="0"/>
          <w:marTop w:val="0"/>
          <w:marBottom w:val="0"/>
          <w:divBdr>
            <w:top w:val="none" w:sz="0" w:space="0" w:color="auto"/>
            <w:left w:val="none" w:sz="0" w:space="0" w:color="auto"/>
            <w:bottom w:val="none" w:sz="0" w:space="0" w:color="auto"/>
            <w:right w:val="none" w:sz="0" w:space="0" w:color="auto"/>
          </w:divBdr>
        </w:div>
        <w:div w:id="27335041">
          <w:marLeft w:val="0"/>
          <w:marRight w:val="0"/>
          <w:marTop w:val="0"/>
          <w:marBottom w:val="0"/>
          <w:divBdr>
            <w:top w:val="none" w:sz="0" w:space="0" w:color="auto"/>
            <w:left w:val="none" w:sz="0" w:space="0" w:color="auto"/>
            <w:bottom w:val="none" w:sz="0" w:space="0" w:color="auto"/>
            <w:right w:val="none" w:sz="0" w:space="0" w:color="auto"/>
          </w:divBdr>
        </w:div>
        <w:div w:id="45105987">
          <w:marLeft w:val="0"/>
          <w:marRight w:val="0"/>
          <w:marTop w:val="0"/>
          <w:marBottom w:val="0"/>
          <w:divBdr>
            <w:top w:val="none" w:sz="0" w:space="0" w:color="auto"/>
            <w:left w:val="none" w:sz="0" w:space="0" w:color="auto"/>
            <w:bottom w:val="none" w:sz="0" w:space="0" w:color="auto"/>
            <w:right w:val="none" w:sz="0" w:space="0" w:color="auto"/>
          </w:divBdr>
        </w:div>
        <w:div w:id="45689368">
          <w:marLeft w:val="0"/>
          <w:marRight w:val="0"/>
          <w:marTop w:val="0"/>
          <w:marBottom w:val="0"/>
          <w:divBdr>
            <w:top w:val="none" w:sz="0" w:space="0" w:color="auto"/>
            <w:left w:val="none" w:sz="0" w:space="0" w:color="auto"/>
            <w:bottom w:val="none" w:sz="0" w:space="0" w:color="auto"/>
            <w:right w:val="none" w:sz="0" w:space="0" w:color="auto"/>
          </w:divBdr>
        </w:div>
        <w:div w:id="50883766">
          <w:marLeft w:val="0"/>
          <w:marRight w:val="0"/>
          <w:marTop w:val="0"/>
          <w:marBottom w:val="0"/>
          <w:divBdr>
            <w:top w:val="none" w:sz="0" w:space="0" w:color="auto"/>
            <w:left w:val="none" w:sz="0" w:space="0" w:color="auto"/>
            <w:bottom w:val="none" w:sz="0" w:space="0" w:color="auto"/>
            <w:right w:val="none" w:sz="0" w:space="0" w:color="auto"/>
          </w:divBdr>
        </w:div>
        <w:div w:id="53938319">
          <w:marLeft w:val="0"/>
          <w:marRight w:val="0"/>
          <w:marTop w:val="0"/>
          <w:marBottom w:val="0"/>
          <w:divBdr>
            <w:top w:val="none" w:sz="0" w:space="0" w:color="auto"/>
            <w:left w:val="none" w:sz="0" w:space="0" w:color="auto"/>
            <w:bottom w:val="none" w:sz="0" w:space="0" w:color="auto"/>
            <w:right w:val="none" w:sz="0" w:space="0" w:color="auto"/>
          </w:divBdr>
        </w:div>
        <w:div w:id="56437208">
          <w:marLeft w:val="0"/>
          <w:marRight w:val="0"/>
          <w:marTop w:val="0"/>
          <w:marBottom w:val="0"/>
          <w:divBdr>
            <w:top w:val="none" w:sz="0" w:space="0" w:color="auto"/>
            <w:left w:val="none" w:sz="0" w:space="0" w:color="auto"/>
            <w:bottom w:val="none" w:sz="0" w:space="0" w:color="auto"/>
            <w:right w:val="none" w:sz="0" w:space="0" w:color="auto"/>
          </w:divBdr>
        </w:div>
        <w:div w:id="57168922">
          <w:marLeft w:val="0"/>
          <w:marRight w:val="0"/>
          <w:marTop w:val="0"/>
          <w:marBottom w:val="0"/>
          <w:divBdr>
            <w:top w:val="none" w:sz="0" w:space="0" w:color="auto"/>
            <w:left w:val="none" w:sz="0" w:space="0" w:color="auto"/>
            <w:bottom w:val="none" w:sz="0" w:space="0" w:color="auto"/>
            <w:right w:val="none" w:sz="0" w:space="0" w:color="auto"/>
          </w:divBdr>
        </w:div>
        <w:div w:id="65106551">
          <w:marLeft w:val="0"/>
          <w:marRight w:val="0"/>
          <w:marTop w:val="0"/>
          <w:marBottom w:val="0"/>
          <w:divBdr>
            <w:top w:val="none" w:sz="0" w:space="0" w:color="auto"/>
            <w:left w:val="none" w:sz="0" w:space="0" w:color="auto"/>
            <w:bottom w:val="none" w:sz="0" w:space="0" w:color="auto"/>
            <w:right w:val="none" w:sz="0" w:space="0" w:color="auto"/>
          </w:divBdr>
        </w:div>
        <w:div w:id="68311351">
          <w:marLeft w:val="0"/>
          <w:marRight w:val="0"/>
          <w:marTop w:val="0"/>
          <w:marBottom w:val="0"/>
          <w:divBdr>
            <w:top w:val="none" w:sz="0" w:space="0" w:color="auto"/>
            <w:left w:val="none" w:sz="0" w:space="0" w:color="auto"/>
            <w:bottom w:val="none" w:sz="0" w:space="0" w:color="auto"/>
            <w:right w:val="none" w:sz="0" w:space="0" w:color="auto"/>
          </w:divBdr>
        </w:div>
        <w:div w:id="75825883">
          <w:marLeft w:val="0"/>
          <w:marRight w:val="0"/>
          <w:marTop w:val="0"/>
          <w:marBottom w:val="0"/>
          <w:divBdr>
            <w:top w:val="none" w:sz="0" w:space="0" w:color="auto"/>
            <w:left w:val="none" w:sz="0" w:space="0" w:color="auto"/>
            <w:bottom w:val="none" w:sz="0" w:space="0" w:color="auto"/>
            <w:right w:val="none" w:sz="0" w:space="0" w:color="auto"/>
          </w:divBdr>
        </w:div>
        <w:div w:id="78989598">
          <w:marLeft w:val="0"/>
          <w:marRight w:val="0"/>
          <w:marTop w:val="0"/>
          <w:marBottom w:val="0"/>
          <w:divBdr>
            <w:top w:val="none" w:sz="0" w:space="0" w:color="auto"/>
            <w:left w:val="none" w:sz="0" w:space="0" w:color="auto"/>
            <w:bottom w:val="none" w:sz="0" w:space="0" w:color="auto"/>
            <w:right w:val="none" w:sz="0" w:space="0" w:color="auto"/>
          </w:divBdr>
        </w:div>
        <w:div w:id="81612277">
          <w:marLeft w:val="0"/>
          <w:marRight w:val="0"/>
          <w:marTop w:val="0"/>
          <w:marBottom w:val="0"/>
          <w:divBdr>
            <w:top w:val="none" w:sz="0" w:space="0" w:color="auto"/>
            <w:left w:val="none" w:sz="0" w:space="0" w:color="auto"/>
            <w:bottom w:val="none" w:sz="0" w:space="0" w:color="auto"/>
            <w:right w:val="none" w:sz="0" w:space="0" w:color="auto"/>
          </w:divBdr>
        </w:div>
        <w:div w:id="85276771">
          <w:marLeft w:val="0"/>
          <w:marRight w:val="0"/>
          <w:marTop w:val="0"/>
          <w:marBottom w:val="0"/>
          <w:divBdr>
            <w:top w:val="none" w:sz="0" w:space="0" w:color="auto"/>
            <w:left w:val="none" w:sz="0" w:space="0" w:color="auto"/>
            <w:bottom w:val="none" w:sz="0" w:space="0" w:color="auto"/>
            <w:right w:val="none" w:sz="0" w:space="0" w:color="auto"/>
          </w:divBdr>
        </w:div>
        <w:div w:id="86968890">
          <w:marLeft w:val="0"/>
          <w:marRight w:val="0"/>
          <w:marTop w:val="0"/>
          <w:marBottom w:val="0"/>
          <w:divBdr>
            <w:top w:val="none" w:sz="0" w:space="0" w:color="auto"/>
            <w:left w:val="none" w:sz="0" w:space="0" w:color="auto"/>
            <w:bottom w:val="none" w:sz="0" w:space="0" w:color="auto"/>
            <w:right w:val="none" w:sz="0" w:space="0" w:color="auto"/>
          </w:divBdr>
        </w:div>
        <w:div w:id="92630028">
          <w:marLeft w:val="0"/>
          <w:marRight w:val="0"/>
          <w:marTop w:val="0"/>
          <w:marBottom w:val="0"/>
          <w:divBdr>
            <w:top w:val="none" w:sz="0" w:space="0" w:color="auto"/>
            <w:left w:val="none" w:sz="0" w:space="0" w:color="auto"/>
            <w:bottom w:val="none" w:sz="0" w:space="0" w:color="auto"/>
            <w:right w:val="none" w:sz="0" w:space="0" w:color="auto"/>
          </w:divBdr>
        </w:div>
        <w:div w:id="98767054">
          <w:marLeft w:val="0"/>
          <w:marRight w:val="0"/>
          <w:marTop w:val="0"/>
          <w:marBottom w:val="0"/>
          <w:divBdr>
            <w:top w:val="none" w:sz="0" w:space="0" w:color="auto"/>
            <w:left w:val="none" w:sz="0" w:space="0" w:color="auto"/>
            <w:bottom w:val="none" w:sz="0" w:space="0" w:color="auto"/>
            <w:right w:val="none" w:sz="0" w:space="0" w:color="auto"/>
          </w:divBdr>
        </w:div>
        <w:div w:id="99423663">
          <w:marLeft w:val="0"/>
          <w:marRight w:val="0"/>
          <w:marTop w:val="0"/>
          <w:marBottom w:val="0"/>
          <w:divBdr>
            <w:top w:val="none" w:sz="0" w:space="0" w:color="auto"/>
            <w:left w:val="none" w:sz="0" w:space="0" w:color="auto"/>
            <w:bottom w:val="none" w:sz="0" w:space="0" w:color="auto"/>
            <w:right w:val="none" w:sz="0" w:space="0" w:color="auto"/>
          </w:divBdr>
        </w:div>
        <w:div w:id="104426767">
          <w:marLeft w:val="0"/>
          <w:marRight w:val="0"/>
          <w:marTop w:val="0"/>
          <w:marBottom w:val="0"/>
          <w:divBdr>
            <w:top w:val="none" w:sz="0" w:space="0" w:color="auto"/>
            <w:left w:val="none" w:sz="0" w:space="0" w:color="auto"/>
            <w:bottom w:val="none" w:sz="0" w:space="0" w:color="auto"/>
            <w:right w:val="none" w:sz="0" w:space="0" w:color="auto"/>
          </w:divBdr>
        </w:div>
        <w:div w:id="109134777">
          <w:marLeft w:val="0"/>
          <w:marRight w:val="0"/>
          <w:marTop w:val="0"/>
          <w:marBottom w:val="0"/>
          <w:divBdr>
            <w:top w:val="none" w:sz="0" w:space="0" w:color="auto"/>
            <w:left w:val="none" w:sz="0" w:space="0" w:color="auto"/>
            <w:bottom w:val="none" w:sz="0" w:space="0" w:color="auto"/>
            <w:right w:val="none" w:sz="0" w:space="0" w:color="auto"/>
          </w:divBdr>
        </w:div>
        <w:div w:id="113914735">
          <w:marLeft w:val="0"/>
          <w:marRight w:val="0"/>
          <w:marTop w:val="0"/>
          <w:marBottom w:val="0"/>
          <w:divBdr>
            <w:top w:val="none" w:sz="0" w:space="0" w:color="auto"/>
            <w:left w:val="none" w:sz="0" w:space="0" w:color="auto"/>
            <w:bottom w:val="none" w:sz="0" w:space="0" w:color="auto"/>
            <w:right w:val="none" w:sz="0" w:space="0" w:color="auto"/>
          </w:divBdr>
        </w:div>
        <w:div w:id="138033368">
          <w:marLeft w:val="0"/>
          <w:marRight w:val="0"/>
          <w:marTop w:val="0"/>
          <w:marBottom w:val="0"/>
          <w:divBdr>
            <w:top w:val="none" w:sz="0" w:space="0" w:color="auto"/>
            <w:left w:val="none" w:sz="0" w:space="0" w:color="auto"/>
            <w:bottom w:val="none" w:sz="0" w:space="0" w:color="auto"/>
            <w:right w:val="none" w:sz="0" w:space="0" w:color="auto"/>
          </w:divBdr>
        </w:div>
        <w:div w:id="138882610">
          <w:marLeft w:val="0"/>
          <w:marRight w:val="0"/>
          <w:marTop w:val="0"/>
          <w:marBottom w:val="0"/>
          <w:divBdr>
            <w:top w:val="none" w:sz="0" w:space="0" w:color="auto"/>
            <w:left w:val="none" w:sz="0" w:space="0" w:color="auto"/>
            <w:bottom w:val="none" w:sz="0" w:space="0" w:color="auto"/>
            <w:right w:val="none" w:sz="0" w:space="0" w:color="auto"/>
          </w:divBdr>
        </w:div>
        <w:div w:id="149373003">
          <w:marLeft w:val="0"/>
          <w:marRight w:val="0"/>
          <w:marTop w:val="0"/>
          <w:marBottom w:val="0"/>
          <w:divBdr>
            <w:top w:val="none" w:sz="0" w:space="0" w:color="auto"/>
            <w:left w:val="none" w:sz="0" w:space="0" w:color="auto"/>
            <w:bottom w:val="none" w:sz="0" w:space="0" w:color="auto"/>
            <w:right w:val="none" w:sz="0" w:space="0" w:color="auto"/>
          </w:divBdr>
        </w:div>
        <w:div w:id="155730981">
          <w:marLeft w:val="0"/>
          <w:marRight w:val="0"/>
          <w:marTop w:val="0"/>
          <w:marBottom w:val="0"/>
          <w:divBdr>
            <w:top w:val="none" w:sz="0" w:space="0" w:color="auto"/>
            <w:left w:val="none" w:sz="0" w:space="0" w:color="auto"/>
            <w:bottom w:val="none" w:sz="0" w:space="0" w:color="auto"/>
            <w:right w:val="none" w:sz="0" w:space="0" w:color="auto"/>
          </w:divBdr>
        </w:div>
        <w:div w:id="160855968">
          <w:marLeft w:val="0"/>
          <w:marRight w:val="0"/>
          <w:marTop w:val="0"/>
          <w:marBottom w:val="0"/>
          <w:divBdr>
            <w:top w:val="none" w:sz="0" w:space="0" w:color="auto"/>
            <w:left w:val="none" w:sz="0" w:space="0" w:color="auto"/>
            <w:bottom w:val="none" w:sz="0" w:space="0" w:color="auto"/>
            <w:right w:val="none" w:sz="0" w:space="0" w:color="auto"/>
          </w:divBdr>
        </w:div>
        <w:div w:id="167797614">
          <w:marLeft w:val="0"/>
          <w:marRight w:val="0"/>
          <w:marTop w:val="0"/>
          <w:marBottom w:val="0"/>
          <w:divBdr>
            <w:top w:val="none" w:sz="0" w:space="0" w:color="auto"/>
            <w:left w:val="none" w:sz="0" w:space="0" w:color="auto"/>
            <w:bottom w:val="none" w:sz="0" w:space="0" w:color="auto"/>
            <w:right w:val="none" w:sz="0" w:space="0" w:color="auto"/>
          </w:divBdr>
        </w:div>
        <w:div w:id="168906388">
          <w:marLeft w:val="0"/>
          <w:marRight w:val="0"/>
          <w:marTop w:val="0"/>
          <w:marBottom w:val="0"/>
          <w:divBdr>
            <w:top w:val="none" w:sz="0" w:space="0" w:color="auto"/>
            <w:left w:val="none" w:sz="0" w:space="0" w:color="auto"/>
            <w:bottom w:val="none" w:sz="0" w:space="0" w:color="auto"/>
            <w:right w:val="none" w:sz="0" w:space="0" w:color="auto"/>
          </w:divBdr>
        </w:div>
        <w:div w:id="172498403">
          <w:marLeft w:val="0"/>
          <w:marRight w:val="0"/>
          <w:marTop w:val="0"/>
          <w:marBottom w:val="0"/>
          <w:divBdr>
            <w:top w:val="none" w:sz="0" w:space="0" w:color="auto"/>
            <w:left w:val="none" w:sz="0" w:space="0" w:color="auto"/>
            <w:bottom w:val="none" w:sz="0" w:space="0" w:color="auto"/>
            <w:right w:val="none" w:sz="0" w:space="0" w:color="auto"/>
          </w:divBdr>
        </w:div>
        <w:div w:id="178784589">
          <w:marLeft w:val="0"/>
          <w:marRight w:val="0"/>
          <w:marTop w:val="0"/>
          <w:marBottom w:val="0"/>
          <w:divBdr>
            <w:top w:val="none" w:sz="0" w:space="0" w:color="auto"/>
            <w:left w:val="none" w:sz="0" w:space="0" w:color="auto"/>
            <w:bottom w:val="none" w:sz="0" w:space="0" w:color="auto"/>
            <w:right w:val="none" w:sz="0" w:space="0" w:color="auto"/>
          </w:divBdr>
        </w:div>
        <w:div w:id="187066820">
          <w:marLeft w:val="0"/>
          <w:marRight w:val="0"/>
          <w:marTop w:val="0"/>
          <w:marBottom w:val="0"/>
          <w:divBdr>
            <w:top w:val="none" w:sz="0" w:space="0" w:color="auto"/>
            <w:left w:val="none" w:sz="0" w:space="0" w:color="auto"/>
            <w:bottom w:val="none" w:sz="0" w:space="0" w:color="auto"/>
            <w:right w:val="none" w:sz="0" w:space="0" w:color="auto"/>
          </w:divBdr>
        </w:div>
        <w:div w:id="194924111">
          <w:marLeft w:val="0"/>
          <w:marRight w:val="0"/>
          <w:marTop w:val="0"/>
          <w:marBottom w:val="0"/>
          <w:divBdr>
            <w:top w:val="none" w:sz="0" w:space="0" w:color="auto"/>
            <w:left w:val="none" w:sz="0" w:space="0" w:color="auto"/>
            <w:bottom w:val="none" w:sz="0" w:space="0" w:color="auto"/>
            <w:right w:val="none" w:sz="0" w:space="0" w:color="auto"/>
          </w:divBdr>
        </w:div>
        <w:div w:id="199635861">
          <w:marLeft w:val="0"/>
          <w:marRight w:val="0"/>
          <w:marTop w:val="0"/>
          <w:marBottom w:val="0"/>
          <w:divBdr>
            <w:top w:val="none" w:sz="0" w:space="0" w:color="auto"/>
            <w:left w:val="none" w:sz="0" w:space="0" w:color="auto"/>
            <w:bottom w:val="none" w:sz="0" w:space="0" w:color="auto"/>
            <w:right w:val="none" w:sz="0" w:space="0" w:color="auto"/>
          </w:divBdr>
        </w:div>
        <w:div w:id="205148370">
          <w:marLeft w:val="0"/>
          <w:marRight w:val="0"/>
          <w:marTop w:val="0"/>
          <w:marBottom w:val="0"/>
          <w:divBdr>
            <w:top w:val="none" w:sz="0" w:space="0" w:color="auto"/>
            <w:left w:val="none" w:sz="0" w:space="0" w:color="auto"/>
            <w:bottom w:val="none" w:sz="0" w:space="0" w:color="auto"/>
            <w:right w:val="none" w:sz="0" w:space="0" w:color="auto"/>
          </w:divBdr>
        </w:div>
        <w:div w:id="209147797">
          <w:marLeft w:val="0"/>
          <w:marRight w:val="0"/>
          <w:marTop w:val="0"/>
          <w:marBottom w:val="0"/>
          <w:divBdr>
            <w:top w:val="none" w:sz="0" w:space="0" w:color="auto"/>
            <w:left w:val="none" w:sz="0" w:space="0" w:color="auto"/>
            <w:bottom w:val="none" w:sz="0" w:space="0" w:color="auto"/>
            <w:right w:val="none" w:sz="0" w:space="0" w:color="auto"/>
          </w:divBdr>
        </w:div>
        <w:div w:id="224604191">
          <w:marLeft w:val="0"/>
          <w:marRight w:val="0"/>
          <w:marTop w:val="0"/>
          <w:marBottom w:val="0"/>
          <w:divBdr>
            <w:top w:val="none" w:sz="0" w:space="0" w:color="auto"/>
            <w:left w:val="none" w:sz="0" w:space="0" w:color="auto"/>
            <w:bottom w:val="none" w:sz="0" w:space="0" w:color="auto"/>
            <w:right w:val="none" w:sz="0" w:space="0" w:color="auto"/>
          </w:divBdr>
        </w:div>
        <w:div w:id="226846715">
          <w:marLeft w:val="0"/>
          <w:marRight w:val="0"/>
          <w:marTop w:val="0"/>
          <w:marBottom w:val="0"/>
          <w:divBdr>
            <w:top w:val="none" w:sz="0" w:space="0" w:color="auto"/>
            <w:left w:val="none" w:sz="0" w:space="0" w:color="auto"/>
            <w:bottom w:val="none" w:sz="0" w:space="0" w:color="auto"/>
            <w:right w:val="none" w:sz="0" w:space="0" w:color="auto"/>
          </w:divBdr>
        </w:div>
        <w:div w:id="227303879">
          <w:marLeft w:val="0"/>
          <w:marRight w:val="0"/>
          <w:marTop w:val="0"/>
          <w:marBottom w:val="0"/>
          <w:divBdr>
            <w:top w:val="none" w:sz="0" w:space="0" w:color="auto"/>
            <w:left w:val="none" w:sz="0" w:space="0" w:color="auto"/>
            <w:bottom w:val="none" w:sz="0" w:space="0" w:color="auto"/>
            <w:right w:val="none" w:sz="0" w:space="0" w:color="auto"/>
          </w:divBdr>
        </w:div>
        <w:div w:id="230966115">
          <w:marLeft w:val="0"/>
          <w:marRight w:val="0"/>
          <w:marTop w:val="0"/>
          <w:marBottom w:val="0"/>
          <w:divBdr>
            <w:top w:val="none" w:sz="0" w:space="0" w:color="auto"/>
            <w:left w:val="none" w:sz="0" w:space="0" w:color="auto"/>
            <w:bottom w:val="none" w:sz="0" w:space="0" w:color="auto"/>
            <w:right w:val="none" w:sz="0" w:space="0" w:color="auto"/>
          </w:divBdr>
        </w:div>
        <w:div w:id="232814342">
          <w:marLeft w:val="0"/>
          <w:marRight w:val="0"/>
          <w:marTop w:val="0"/>
          <w:marBottom w:val="0"/>
          <w:divBdr>
            <w:top w:val="none" w:sz="0" w:space="0" w:color="auto"/>
            <w:left w:val="none" w:sz="0" w:space="0" w:color="auto"/>
            <w:bottom w:val="none" w:sz="0" w:space="0" w:color="auto"/>
            <w:right w:val="none" w:sz="0" w:space="0" w:color="auto"/>
          </w:divBdr>
        </w:div>
        <w:div w:id="243686289">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
        <w:div w:id="247275893">
          <w:marLeft w:val="0"/>
          <w:marRight w:val="0"/>
          <w:marTop w:val="0"/>
          <w:marBottom w:val="0"/>
          <w:divBdr>
            <w:top w:val="none" w:sz="0" w:space="0" w:color="auto"/>
            <w:left w:val="none" w:sz="0" w:space="0" w:color="auto"/>
            <w:bottom w:val="none" w:sz="0" w:space="0" w:color="auto"/>
            <w:right w:val="none" w:sz="0" w:space="0" w:color="auto"/>
          </w:divBdr>
        </w:div>
        <w:div w:id="250743365">
          <w:marLeft w:val="0"/>
          <w:marRight w:val="0"/>
          <w:marTop w:val="0"/>
          <w:marBottom w:val="0"/>
          <w:divBdr>
            <w:top w:val="none" w:sz="0" w:space="0" w:color="auto"/>
            <w:left w:val="none" w:sz="0" w:space="0" w:color="auto"/>
            <w:bottom w:val="none" w:sz="0" w:space="0" w:color="auto"/>
            <w:right w:val="none" w:sz="0" w:space="0" w:color="auto"/>
          </w:divBdr>
        </w:div>
        <w:div w:id="256448204">
          <w:marLeft w:val="0"/>
          <w:marRight w:val="0"/>
          <w:marTop w:val="0"/>
          <w:marBottom w:val="0"/>
          <w:divBdr>
            <w:top w:val="none" w:sz="0" w:space="0" w:color="auto"/>
            <w:left w:val="none" w:sz="0" w:space="0" w:color="auto"/>
            <w:bottom w:val="none" w:sz="0" w:space="0" w:color="auto"/>
            <w:right w:val="none" w:sz="0" w:space="0" w:color="auto"/>
          </w:divBdr>
        </w:div>
        <w:div w:id="261037495">
          <w:marLeft w:val="0"/>
          <w:marRight w:val="0"/>
          <w:marTop w:val="0"/>
          <w:marBottom w:val="0"/>
          <w:divBdr>
            <w:top w:val="none" w:sz="0" w:space="0" w:color="auto"/>
            <w:left w:val="none" w:sz="0" w:space="0" w:color="auto"/>
            <w:bottom w:val="none" w:sz="0" w:space="0" w:color="auto"/>
            <w:right w:val="none" w:sz="0" w:space="0" w:color="auto"/>
          </w:divBdr>
        </w:div>
        <w:div w:id="279843553">
          <w:marLeft w:val="0"/>
          <w:marRight w:val="0"/>
          <w:marTop w:val="0"/>
          <w:marBottom w:val="0"/>
          <w:divBdr>
            <w:top w:val="none" w:sz="0" w:space="0" w:color="auto"/>
            <w:left w:val="none" w:sz="0" w:space="0" w:color="auto"/>
            <w:bottom w:val="none" w:sz="0" w:space="0" w:color="auto"/>
            <w:right w:val="none" w:sz="0" w:space="0" w:color="auto"/>
          </w:divBdr>
        </w:div>
        <w:div w:id="288051868">
          <w:marLeft w:val="0"/>
          <w:marRight w:val="0"/>
          <w:marTop w:val="0"/>
          <w:marBottom w:val="0"/>
          <w:divBdr>
            <w:top w:val="none" w:sz="0" w:space="0" w:color="auto"/>
            <w:left w:val="none" w:sz="0" w:space="0" w:color="auto"/>
            <w:bottom w:val="none" w:sz="0" w:space="0" w:color="auto"/>
            <w:right w:val="none" w:sz="0" w:space="0" w:color="auto"/>
          </w:divBdr>
        </w:div>
        <w:div w:id="306327079">
          <w:marLeft w:val="0"/>
          <w:marRight w:val="0"/>
          <w:marTop w:val="0"/>
          <w:marBottom w:val="0"/>
          <w:divBdr>
            <w:top w:val="none" w:sz="0" w:space="0" w:color="auto"/>
            <w:left w:val="none" w:sz="0" w:space="0" w:color="auto"/>
            <w:bottom w:val="none" w:sz="0" w:space="0" w:color="auto"/>
            <w:right w:val="none" w:sz="0" w:space="0" w:color="auto"/>
          </w:divBdr>
        </w:div>
        <w:div w:id="314140447">
          <w:marLeft w:val="0"/>
          <w:marRight w:val="0"/>
          <w:marTop w:val="0"/>
          <w:marBottom w:val="0"/>
          <w:divBdr>
            <w:top w:val="none" w:sz="0" w:space="0" w:color="auto"/>
            <w:left w:val="none" w:sz="0" w:space="0" w:color="auto"/>
            <w:bottom w:val="none" w:sz="0" w:space="0" w:color="auto"/>
            <w:right w:val="none" w:sz="0" w:space="0" w:color="auto"/>
          </w:divBdr>
        </w:div>
        <w:div w:id="315106341">
          <w:marLeft w:val="0"/>
          <w:marRight w:val="0"/>
          <w:marTop w:val="0"/>
          <w:marBottom w:val="0"/>
          <w:divBdr>
            <w:top w:val="none" w:sz="0" w:space="0" w:color="auto"/>
            <w:left w:val="none" w:sz="0" w:space="0" w:color="auto"/>
            <w:bottom w:val="none" w:sz="0" w:space="0" w:color="auto"/>
            <w:right w:val="none" w:sz="0" w:space="0" w:color="auto"/>
          </w:divBdr>
        </w:div>
        <w:div w:id="319038167">
          <w:marLeft w:val="0"/>
          <w:marRight w:val="0"/>
          <w:marTop w:val="0"/>
          <w:marBottom w:val="0"/>
          <w:divBdr>
            <w:top w:val="none" w:sz="0" w:space="0" w:color="auto"/>
            <w:left w:val="none" w:sz="0" w:space="0" w:color="auto"/>
            <w:bottom w:val="none" w:sz="0" w:space="0" w:color="auto"/>
            <w:right w:val="none" w:sz="0" w:space="0" w:color="auto"/>
          </w:divBdr>
        </w:div>
        <w:div w:id="319160652">
          <w:marLeft w:val="0"/>
          <w:marRight w:val="0"/>
          <w:marTop w:val="0"/>
          <w:marBottom w:val="0"/>
          <w:divBdr>
            <w:top w:val="none" w:sz="0" w:space="0" w:color="auto"/>
            <w:left w:val="none" w:sz="0" w:space="0" w:color="auto"/>
            <w:bottom w:val="none" w:sz="0" w:space="0" w:color="auto"/>
            <w:right w:val="none" w:sz="0" w:space="0" w:color="auto"/>
          </w:divBdr>
        </w:div>
        <w:div w:id="330109355">
          <w:marLeft w:val="0"/>
          <w:marRight w:val="0"/>
          <w:marTop w:val="0"/>
          <w:marBottom w:val="0"/>
          <w:divBdr>
            <w:top w:val="none" w:sz="0" w:space="0" w:color="auto"/>
            <w:left w:val="none" w:sz="0" w:space="0" w:color="auto"/>
            <w:bottom w:val="none" w:sz="0" w:space="0" w:color="auto"/>
            <w:right w:val="none" w:sz="0" w:space="0" w:color="auto"/>
          </w:divBdr>
        </w:div>
        <w:div w:id="331179207">
          <w:marLeft w:val="0"/>
          <w:marRight w:val="0"/>
          <w:marTop w:val="0"/>
          <w:marBottom w:val="0"/>
          <w:divBdr>
            <w:top w:val="none" w:sz="0" w:space="0" w:color="auto"/>
            <w:left w:val="none" w:sz="0" w:space="0" w:color="auto"/>
            <w:bottom w:val="none" w:sz="0" w:space="0" w:color="auto"/>
            <w:right w:val="none" w:sz="0" w:space="0" w:color="auto"/>
          </w:divBdr>
        </w:div>
        <w:div w:id="332729361">
          <w:marLeft w:val="0"/>
          <w:marRight w:val="0"/>
          <w:marTop w:val="0"/>
          <w:marBottom w:val="0"/>
          <w:divBdr>
            <w:top w:val="none" w:sz="0" w:space="0" w:color="auto"/>
            <w:left w:val="none" w:sz="0" w:space="0" w:color="auto"/>
            <w:bottom w:val="none" w:sz="0" w:space="0" w:color="auto"/>
            <w:right w:val="none" w:sz="0" w:space="0" w:color="auto"/>
          </w:divBdr>
        </w:div>
        <w:div w:id="333143509">
          <w:marLeft w:val="0"/>
          <w:marRight w:val="0"/>
          <w:marTop w:val="0"/>
          <w:marBottom w:val="0"/>
          <w:divBdr>
            <w:top w:val="none" w:sz="0" w:space="0" w:color="auto"/>
            <w:left w:val="none" w:sz="0" w:space="0" w:color="auto"/>
            <w:bottom w:val="none" w:sz="0" w:space="0" w:color="auto"/>
            <w:right w:val="none" w:sz="0" w:space="0" w:color="auto"/>
          </w:divBdr>
        </w:div>
        <w:div w:id="347218296">
          <w:marLeft w:val="0"/>
          <w:marRight w:val="0"/>
          <w:marTop w:val="0"/>
          <w:marBottom w:val="0"/>
          <w:divBdr>
            <w:top w:val="none" w:sz="0" w:space="0" w:color="auto"/>
            <w:left w:val="none" w:sz="0" w:space="0" w:color="auto"/>
            <w:bottom w:val="none" w:sz="0" w:space="0" w:color="auto"/>
            <w:right w:val="none" w:sz="0" w:space="0" w:color="auto"/>
          </w:divBdr>
        </w:div>
        <w:div w:id="356127094">
          <w:marLeft w:val="0"/>
          <w:marRight w:val="0"/>
          <w:marTop w:val="0"/>
          <w:marBottom w:val="0"/>
          <w:divBdr>
            <w:top w:val="none" w:sz="0" w:space="0" w:color="auto"/>
            <w:left w:val="none" w:sz="0" w:space="0" w:color="auto"/>
            <w:bottom w:val="none" w:sz="0" w:space="0" w:color="auto"/>
            <w:right w:val="none" w:sz="0" w:space="0" w:color="auto"/>
          </w:divBdr>
        </w:div>
        <w:div w:id="358900773">
          <w:marLeft w:val="0"/>
          <w:marRight w:val="0"/>
          <w:marTop w:val="0"/>
          <w:marBottom w:val="0"/>
          <w:divBdr>
            <w:top w:val="none" w:sz="0" w:space="0" w:color="auto"/>
            <w:left w:val="none" w:sz="0" w:space="0" w:color="auto"/>
            <w:bottom w:val="none" w:sz="0" w:space="0" w:color="auto"/>
            <w:right w:val="none" w:sz="0" w:space="0" w:color="auto"/>
          </w:divBdr>
        </w:div>
        <w:div w:id="361055151">
          <w:marLeft w:val="0"/>
          <w:marRight w:val="0"/>
          <w:marTop w:val="0"/>
          <w:marBottom w:val="0"/>
          <w:divBdr>
            <w:top w:val="none" w:sz="0" w:space="0" w:color="auto"/>
            <w:left w:val="none" w:sz="0" w:space="0" w:color="auto"/>
            <w:bottom w:val="none" w:sz="0" w:space="0" w:color="auto"/>
            <w:right w:val="none" w:sz="0" w:space="0" w:color="auto"/>
          </w:divBdr>
        </w:div>
        <w:div w:id="364990591">
          <w:marLeft w:val="0"/>
          <w:marRight w:val="0"/>
          <w:marTop w:val="0"/>
          <w:marBottom w:val="0"/>
          <w:divBdr>
            <w:top w:val="none" w:sz="0" w:space="0" w:color="auto"/>
            <w:left w:val="none" w:sz="0" w:space="0" w:color="auto"/>
            <w:bottom w:val="none" w:sz="0" w:space="0" w:color="auto"/>
            <w:right w:val="none" w:sz="0" w:space="0" w:color="auto"/>
          </w:divBdr>
        </w:div>
        <w:div w:id="369380032">
          <w:marLeft w:val="0"/>
          <w:marRight w:val="0"/>
          <w:marTop w:val="0"/>
          <w:marBottom w:val="0"/>
          <w:divBdr>
            <w:top w:val="none" w:sz="0" w:space="0" w:color="auto"/>
            <w:left w:val="none" w:sz="0" w:space="0" w:color="auto"/>
            <w:bottom w:val="none" w:sz="0" w:space="0" w:color="auto"/>
            <w:right w:val="none" w:sz="0" w:space="0" w:color="auto"/>
          </w:divBdr>
        </w:div>
        <w:div w:id="384254126">
          <w:marLeft w:val="0"/>
          <w:marRight w:val="0"/>
          <w:marTop w:val="0"/>
          <w:marBottom w:val="0"/>
          <w:divBdr>
            <w:top w:val="none" w:sz="0" w:space="0" w:color="auto"/>
            <w:left w:val="none" w:sz="0" w:space="0" w:color="auto"/>
            <w:bottom w:val="none" w:sz="0" w:space="0" w:color="auto"/>
            <w:right w:val="none" w:sz="0" w:space="0" w:color="auto"/>
          </w:divBdr>
        </w:div>
        <w:div w:id="385573402">
          <w:marLeft w:val="0"/>
          <w:marRight w:val="0"/>
          <w:marTop w:val="0"/>
          <w:marBottom w:val="0"/>
          <w:divBdr>
            <w:top w:val="none" w:sz="0" w:space="0" w:color="auto"/>
            <w:left w:val="none" w:sz="0" w:space="0" w:color="auto"/>
            <w:bottom w:val="none" w:sz="0" w:space="0" w:color="auto"/>
            <w:right w:val="none" w:sz="0" w:space="0" w:color="auto"/>
          </w:divBdr>
        </w:div>
        <w:div w:id="387147015">
          <w:marLeft w:val="0"/>
          <w:marRight w:val="0"/>
          <w:marTop w:val="0"/>
          <w:marBottom w:val="0"/>
          <w:divBdr>
            <w:top w:val="none" w:sz="0" w:space="0" w:color="auto"/>
            <w:left w:val="none" w:sz="0" w:space="0" w:color="auto"/>
            <w:bottom w:val="none" w:sz="0" w:space="0" w:color="auto"/>
            <w:right w:val="none" w:sz="0" w:space="0" w:color="auto"/>
          </w:divBdr>
        </w:div>
        <w:div w:id="389228327">
          <w:marLeft w:val="0"/>
          <w:marRight w:val="0"/>
          <w:marTop w:val="0"/>
          <w:marBottom w:val="0"/>
          <w:divBdr>
            <w:top w:val="none" w:sz="0" w:space="0" w:color="auto"/>
            <w:left w:val="none" w:sz="0" w:space="0" w:color="auto"/>
            <w:bottom w:val="none" w:sz="0" w:space="0" w:color="auto"/>
            <w:right w:val="none" w:sz="0" w:space="0" w:color="auto"/>
          </w:divBdr>
        </w:div>
        <w:div w:id="402527443">
          <w:marLeft w:val="0"/>
          <w:marRight w:val="0"/>
          <w:marTop w:val="0"/>
          <w:marBottom w:val="0"/>
          <w:divBdr>
            <w:top w:val="none" w:sz="0" w:space="0" w:color="auto"/>
            <w:left w:val="none" w:sz="0" w:space="0" w:color="auto"/>
            <w:bottom w:val="none" w:sz="0" w:space="0" w:color="auto"/>
            <w:right w:val="none" w:sz="0" w:space="0" w:color="auto"/>
          </w:divBdr>
        </w:div>
        <w:div w:id="403260677">
          <w:marLeft w:val="0"/>
          <w:marRight w:val="0"/>
          <w:marTop w:val="0"/>
          <w:marBottom w:val="0"/>
          <w:divBdr>
            <w:top w:val="none" w:sz="0" w:space="0" w:color="auto"/>
            <w:left w:val="none" w:sz="0" w:space="0" w:color="auto"/>
            <w:bottom w:val="none" w:sz="0" w:space="0" w:color="auto"/>
            <w:right w:val="none" w:sz="0" w:space="0" w:color="auto"/>
          </w:divBdr>
        </w:div>
        <w:div w:id="407700773">
          <w:marLeft w:val="0"/>
          <w:marRight w:val="0"/>
          <w:marTop w:val="0"/>
          <w:marBottom w:val="0"/>
          <w:divBdr>
            <w:top w:val="none" w:sz="0" w:space="0" w:color="auto"/>
            <w:left w:val="none" w:sz="0" w:space="0" w:color="auto"/>
            <w:bottom w:val="none" w:sz="0" w:space="0" w:color="auto"/>
            <w:right w:val="none" w:sz="0" w:space="0" w:color="auto"/>
          </w:divBdr>
        </w:div>
        <w:div w:id="411506037">
          <w:marLeft w:val="0"/>
          <w:marRight w:val="0"/>
          <w:marTop w:val="0"/>
          <w:marBottom w:val="0"/>
          <w:divBdr>
            <w:top w:val="none" w:sz="0" w:space="0" w:color="auto"/>
            <w:left w:val="none" w:sz="0" w:space="0" w:color="auto"/>
            <w:bottom w:val="none" w:sz="0" w:space="0" w:color="auto"/>
            <w:right w:val="none" w:sz="0" w:space="0" w:color="auto"/>
          </w:divBdr>
        </w:div>
        <w:div w:id="411700776">
          <w:marLeft w:val="0"/>
          <w:marRight w:val="0"/>
          <w:marTop w:val="0"/>
          <w:marBottom w:val="0"/>
          <w:divBdr>
            <w:top w:val="none" w:sz="0" w:space="0" w:color="auto"/>
            <w:left w:val="none" w:sz="0" w:space="0" w:color="auto"/>
            <w:bottom w:val="none" w:sz="0" w:space="0" w:color="auto"/>
            <w:right w:val="none" w:sz="0" w:space="0" w:color="auto"/>
          </w:divBdr>
        </w:div>
        <w:div w:id="417753568">
          <w:marLeft w:val="0"/>
          <w:marRight w:val="0"/>
          <w:marTop w:val="0"/>
          <w:marBottom w:val="0"/>
          <w:divBdr>
            <w:top w:val="none" w:sz="0" w:space="0" w:color="auto"/>
            <w:left w:val="none" w:sz="0" w:space="0" w:color="auto"/>
            <w:bottom w:val="none" w:sz="0" w:space="0" w:color="auto"/>
            <w:right w:val="none" w:sz="0" w:space="0" w:color="auto"/>
          </w:divBdr>
        </w:div>
        <w:div w:id="418019235">
          <w:marLeft w:val="0"/>
          <w:marRight w:val="0"/>
          <w:marTop w:val="0"/>
          <w:marBottom w:val="0"/>
          <w:divBdr>
            <w:top w:val="none" w:sz="0" w:space="0" w:color="auto"/>
            <w:left w:val="none" w:sz="0" w:space="0" w:color="auto"/>
            <w:bottom w:val="none" w:sz="0" w:space="0" w:color="auto"/>
            <w:right w:val="none" w:sz="0" w:space="0" w:color="auto"/>
          </w:divBdr>
        </w:div>
        <w:div w:id="419717517">
          <w:marLeft w:val="0"/>
          <w:marRight w:val="0"/>
          <w:marTop w:val="0"/>
          <w:marBottom w:val="0"/>
          <w:divBdr>
            <w:top w:val="none" w:sz="0" w:space="0" w:color="auto"/>
            <w:left w:val="none" w:sz="0" w:space="0" w:color="auto"/>
            <w:bottom w:val="none" w:sz="0" w:space="0" w:color="auto"/>
            <w:right w:val="none" w:sz="0" w:space="0" w:color="auto"/>
          </w:divBdr>
        </w:div>
        <w:div w:id="428159994">
          <w:marLeft w:val="0"/>
          <w:marRight w:val="0"/>
          <w:marTop w:val="0"/>
          <w:marBottom w:val="0"/>
          <w:divBdr>
            <w:top w:val="none" w:sz="0" w:space="0" w:color="auto"/>
            <w:left w:val="none" w:sz="0" w:space="0" w:color="auto"/>
            <w:bottom w:val="none" w:sz="0" w:space="0" w:color="auto"/>
            <w:right w:val="none" w:sz="0" w:space="0" w:color="auto"/>
          </w:divBdr>
        </w:div>
        <w:div w:id="433332760">
          <w:marLeft w:val="0"/>
          <w:marRight w:val="0"/>
          <w:marTop w:val="0"/>
          <w:marBottom w:val="0"/>
          <w:divBdr>
            <w:top w:val="none" w:sz="0" w:space="0" w:color="auto"/>
            <w:left w:val="none" w:sz="0" w:space="0" w:color="auto"/>
            <w:bottom w:val="none" w:sz="0" w:space="0" w:color="auto"/>
            <w:right w:val="none" w:sz="0" w:space="0" w:color="auto"/>
          </w:divBdr>
        </w:div>
        <w:div w:id="438110939">
          <w:marLeft w:val="0"/>
          <w:marRight w:val="0"/>
          <w:marTop w:val="0"/>
          <w:marBottom w:val="0"/>
          <w:divBdr>
            <w:top w:val="none" w:sz="0" w:space="0" w:color="auto"/>
            <w:left w:val="none" w:sz="0" w:space="0" w:color="auto"/>
            <w:bottom w:val="none" w:sz="0" w:space="0" w:color="auto"/>
            <w:right w:val="none" w:sz="0" w:space="0" w:color="auto"/>
          </w:divBdr>
        </w:div>
        <w:div w:id="439572243">
          <w:marLeft w:val="0"/>
          <w:marRight w:val="0"/>
          <w:marTop w:val="0"/>
          <w:marBottom w:val="0"/>
          <w:divBdr>
            <w:top w:val="none" w:sz="0" w:space="0" w:color="auto"/>
            <w:left w:val="none" w:sz="0" w:space="0" w:color="auto"/>
            <w:bottom w:val="none" w:sz="0" w:space="0" w:color="auto"/>
            <w:right w:val="none" w:sz="0" w:space="0" w:color="auto"/>
          </w:divBdr>
        </w:div>
        <w:div w:id="439684011">
          <w:marLeft w:val="0"/>
          <w:marRight w:val="0"/>
          <w:marTop w:val="0"/>
          <w:marBottom w:val="0"/>
          <w:divBdr>
            <w:top w:val="none" w:sz="0" w:space="0" w:color="auto"/>
            <w:left w:val="none" w:sz="0" w:space="0" w:color="auto"/>
            <w:bottom w:val="none" w:sz="0" w:space="0" w:color="auto"/>
            <w:right w:val="none" w:sz="0" w:space="0" w:color="auto"/>
          </w:divBdr>
        </w:div>
        <w:div w:id="446193904">
          <w:marLeft w:val="0"/>
          <w:marRight w:val="0"/>
          <w:marTop w:val="0"/>
          <w:marBottom w:val="0"/>
          <w:divBdr>
            <w:top w:val="none" w:sz="0" w:space="0" w:color="auto"/>
            <w:left w:val="none" w:sz="0" w:space="0" w:color="auto"/>
            <w:bottom w:val="none" w:sz="0" w:space="0" w:color="auto"/>
            <w:right w:val="none" w:sz="0" w:space="0" w:color="auto"/>
          </w:divBdr>
        </w:div>
        <w:div w:id="457263389">
          <w:marLeft w:val="0"/>
          <w:marRight w:val="0"/>
          <w:marTop w:val="0"/>
          <w:marBottom w:val="0"/>
          <w:divBdr>
            <w:top w:val="none" w:sz="0" w:space="0" w:color="auto"/>
            <w:left w:val="none" w:sz="0" w:space="0" w:color="auto"/>
            <w:bottom w:val="none" w:sz="0" w:space="0" w:color="auto"/>
            <w:right w:val="none" w:sz="0" w:space="0" w:color="auto"/>
          </w:divBdr>
        </w:div>
        <w:div w:id="460225805">
          <w:marLeft w:val="0"/>
          <w:marRight w:val="0"/>
          <w:marTop w:val="0"/>
          <w:marBottom w:val="0"/>
          <w:divBdr>
            <w:top w:val="none" w:sz="0" w:space="0" w:color="auto"/>
            <w:left w:val="none" w:sz="0" w:space="0" w:color="auto"/>
            <w:bottom w:val="none" w:sz="0" w:space="0" w:color="auto"/>
            <w:right w:val="none" w:sz="0" w:space="0" w:color="auto"/>
          </w:divBdr>
        </w:div>
        <w:div w:id="465319547">
          <w:marLeft w:val="0"/>
          <w:marRight w:val="0"/>
          <w:marTop w:val="0"/>
          <w:marBottom w:val="0"/>
          <w:divBdr>
            <w:top w:val="none" w:sz="0" w:space="0" w:color="auto"/>
            <w:left w:val="none" w:sz="0" w:space="0" w:color="auto"/>
            <w:bottom w:val="none" w:sz="0" w:space="0" w:color="auto"/>
            <w:right w:val="none" w:sz="0" w:space="0" w:color="auto"/>
          </w:divBdr>
        </w:div>
        <w:div w:id="465706355">
          <w:marLeft w:val="0"/>
          <w:marRight w:val="0"/>
          <w:marTop w:val="0"/>
          <w:marBottom w:val="0"/>
          <w:divBdr>
            <w:top w:val="none" w:sz="0" w:space="0" w:color="auto"/>
            <w:left w:val="none" w:sz="0" w:space="0" w:color="auto"/>
            <w:bottom w:val="none" w:sz="0" w:space="0" w:color="auto"/>
            <w:right w:val="none" w:sz="0" w:space="0" w:color="auto"/>
          </w:divBdr>
        </w:div>
        <w:div w:id="466513155">
          <w:marLeft w:val="0"/>
          <w:marRight w:val="0"/>
          <w:marTop w:val="0"/>
          <w:marBottom w:val="0"/>
          <w:divBdr>
            <w:top w:val="none" w:sz="0" w:space="0" w:color="auto"/>
            <w:left w:val="none" w:sz="0" w:space="0" w:color="auto"/>
            <w:bottom w:val="none" w:sz="0" w:space="0" w:color="auto"/>
            <w:right w:val="none" w:sz="0" w:space="0" w:color="auto"/>
          </w:divBdr>
        </w:div>
        <w:div w:id="474688705">
          <w:marLeft w:val="0"/>
          <w:marRight w:val="0"/>
          <w:marTop w:val="0"/>
          <w:marBottom w:val="0"/>
          <w:divBdr>
            <w:top w:val="none" w:sz="0" w:space="0" w:color="auto"/>
            <w:left w:val="none" w:sz="0" w:space="0" w:color="auto"/>
            <w:bottom w:val="none" w:sz="0" w:space="0" w:color="auto"/>
            <w:right w:val="none" w:sz="0" w:space="0" w:color="auto"/>
          </w:divBdr>
        </w:div>
        <w:div w:id="476801593">
          <w:marLeft w:val="0"/>
          <w:marRight w:val="0"/>
          <w:marTop w:val="0"/>
          <w:marBottom w:val="0"/>
          <w:divBdr>
            <w:top w:val="none" w:sz="0" w:space="0" w:color="auto"/>
            <w:left w:val="none" w:sz="0" w:space="0" w:color="auto"/>
            <w:bottom w:val="none" w:sz="0" w:space="0" w:color="auto"/>
            <w:right w:val="none" w:sz="0" w:space="0" w:color="auto"/>
          </w:divBdr>
        </w:div>
        <w:div w:id="482355483">
          <w:marLeft w:val="0"/>
          <w:marRight w:val="0"/>
          <w:marTop w:val="0"/>
          <w:marBottom w:val="0"/>
          <w:divBdr>
            <w:top w:val="none" w:sz="0" w:space="0" w:color="auto"/>
            <w:left w:val="none" w:sz="0" w:space="0" w:color="auto"/>
            <w:bottom w:val="none" w:sz="0" w:space="0" w:color="auto"/>
            <w:right w:val="none" w:sz="0" w:space="0" w:color="auto"/>
          </w:divBdr>
        </w:div>
        <w:div w:id="483200191">
          <w:marLeft w:val="0"/>
          <w:marRight w:val="0"/>
          <w:marTop w:val="0"/>
          <w:marBottom w:val="0"/>
          <w:divBdr>
            <w:top w:val="none" w:sz="0" w:space="0" w:color="auto"/>
            <w:left w:val="none" w:sz="0" w:space="0" w:color="auto"/>
            <w:bottom w:val="none" w:sz="0" w:space="0" w:color="auto"/>
            <w:right w:val="none" w:sz="0" w:space="0" w:color="auto"/>
          </w:divBdr>
        </w:div>
        <w:div w:id="484666218">
          <w:marLeft w:val="0"/>
          <w:marRight w:val="0"/>
          <w:marTop w:val="0"/>
          <w:marBottom w:val="0"/>
          <w:divBdr>
            <w:top w:val="none" w:sz="0" w:space="0" w:color="auto"/>
            <w:left w:val="none" w:sz="0" w:space="0" w:color="auto"/>
            <w:bottom w:val="none" w:sz="0" w:space="0" w:color="auto"/>
            <w:right w:val="none" w:sz="0" w:space="0" w:color="auto"/>
          </w:divBdr>
        </w:div>
        <w:div w:id="492649350">
          <w:marLeft w:val="0"/>
          <w:marRight w:val="0"/>
          <w:marTop w:val="0"/>
          <w:marBottom w:val="0"/>
          <w:divBdr>
            <w:top w:val="none" w:sz="0" w:space="0" w:color="auto"/>
            <w:left w:val="none" w:sz="0" w:space="0" w:color="auto"/>
            <w:bottom w:val="none" w:sz="0" w:space="0" w:color="auto"/>
            <w:right w:val="none" w:sz="0" w:space="0" w:color="auto"/>
          </w:divBdr>
        </w:div>
        <w:div w:id="512453061">
          <w:marLeft w:val="0"/>
          <w:marRight w:val="0"/>
          <w:marTop w:val="0"/>
          <w:marBottom w:val="0"/>
          <w:divBdr>
            <w:top w:val="none" w:sz="0" w:space="0" w:color="auto"/>
            <w:left w:val="none" w:sz="0" w:space="0" w:color="auto"/>
            <w:bottom w:val="none" w:sz="0" w:space="0" w:color="auto"/>
            <w:right w:val="none" w:sz="0" w:space="0" w:color="auto"/>
          </w:divBdr>
        </w:div>
        <w:div w:id="534660958">
          <w:marLeft w:val="0"/>
          <w:marRight w:val="0"/>
          <w:marTop w:val="0"/>
          <w:marBottom w:val="0"/>
          <w:divBdr>
            <w:top w:val="none" w:sz="0" w:space="0" w:color="auto"/>
            <w:left w:val="none" w:sz="0" w:space="0" w:color="auto"/>
            <w:bottom w:val="none" w:sz="0" w:space="0" w:color="auto"/>
            <w:right w:val="none" w:sz="0" w:space="0" w:color="auto"/>
          </w:divBdr>
        </w:div>
        <w:div w:id="542642373">
          <w:marLeft w:val="0"/>
          <w:marRight w:val="0"/>
          <w:marTop w:val="0"/>
          <w:marBottom w:val="0"/>
          <w:divBdr>
            <w:top w:val="none" w:sz="0" w:space="0" w:color="auto"/>
            <w:left w:val="none" w:sz="0" w:space="0" w:color="auto"/>
            <w:bottom w:val="none" w:sz="0" w:space="0" w:color="auto"/>
            <w:right w:val="none" w:sz="0" w:space="0" w:color="auto"/>
          </w:divBdr>
        </w:div>
        <w:div w:id="550115612">
          <w:marLeft w:val="0"/>
          <w:marRight w:val="0"/>
          <w:marTop w:val="0"/>
          <w:marBottom w:val="0"/>
          <w:divBdr>
            <w:top w:val="none" w:sz="0" w:space="0" w:color="auto"/>
            <w:left w:val="none" w:sz="0" w:space="0" w:color="auto"/>
            <w:bottom w:val="none" w:sz="0" w:space="0" w:color="auto"/>
            <w:right w:val="none" w:sz="0" w:space="0" w:color="auto"/>
          </w:divBdr>
        </w:div>
        <w:div w:id="558056085">
          <w:marLeft w:val="0"/>
          <w:marRight w:val="0"/>
          <w:marTop w:val="0"/>
          <w:marBottom w:val="0"/>
          <w:divBdr>
            <w:top w:val="none" w:sz="0" w:space="0" w:color="auto"/>
            <w:left w:val="none" w:sz="0" w:space="0" w:color="auto"/>
            <w:bottom w:val="none" w:sz="0" w:space="0" w:color="auto"/>
            <w:right w:val="none" w:sz="0" w:space="0" w:color="auto"/>
          </w:divBdr>
        </w:div>
        <w:div w:id="560753413">
          <w:marLeft w:val="0"/>
          <w:marRight w:val="0"/>
          <w:marTop w:val="0"/>
          <w:marBottom w:val="0"/>
          <w:divBdr>
            <w:top w:val="none" w:sz="0" w:space="0" w:color="auto"/>
            <w:left w:val="none" w:sz="0" w:space="0" w:color="auto"/>
            <w:bottom w:val="none" w:sz="0" w:space="0" w:color="auto"/>
            <w:right w:val="none" w:sz="0" w:space="0" w:color="auto"/>
          </w:divBdr>
        </w:div>
        <w:div w:id="573860220">
          <w:marLeft w:val="0"/>
          <w:marRight w:val="0"/>
          <w:marTop w:val="0"/>
          <w:marBottom w:val="0"/>
          <w:divBdr>
            <w:top w:val="none" w:sz="0" w:space="0" w:color="auto"/>
            <w:left w:val="none" w:sz="0" w:space="0" w:color="auto"/>
            <w:bottom w:val="none" w:sz="0" w:space="0" w:color="auto"/>
            <w:right w:val="none" w:sz="0" w:space="0" w:color="auto"/>
          </w:divBdr>
        </w:div>
        <w:div w:id="576087616">
          <w:marLeft w:val="0"/>
          <w:marRight w:val="0"/>
          <w:marTop w:val="0"/>
          <w:marBottom w:val="0"/>
          <w:divBdr>
            <w:top w:val="none" w:sz="0" w:space="0" w:color="auto"/>
            <w:left w:val="none" w:sz="0" w:space="0" w:color="auto"/>
            <w:bottom w:val="none" w:sz="0" w:space="0" w:color="auto"/>
            <w:right w:val="none" w:sz="0" w:space="0" w:color="auto"/>
          </w:divBdr>
        </w:div>
        <w:div w:id="599993436">
          <w:marLeft w:val="0"/>
          <w:marRight w:val="0"/>
          <w:marTop w:val="0"/>
          <w:marBottom w:val="0"/>
          <w:divBdr>
            <w:top w:val="none" w:sz="0" w:space="0" w:color="auto"/>
            <w:left w:val="none" w:sz="0" w:space="0" w:color="auto"/>
            <w:bottom w:val="none" w:sz="0" w:space="0" w:color="auto"/>
            <w:right w:val="none" w:sz="0" w:space="0" w:color="auto"/>
          </w:divBdr>
        </w:div>
        <w:div w:id="601036342">
          <w:marLeft w:val="0"/>
          <w:marRight w:val="0"/>
          <w:marTop w:val="0"/>
          <w:marBottom w:val="0"/>
          <w:divBdr>
            <w:top w:val="none" w:sz="0" w:space="0" w:color="auto"/>
            <w:left w:val="none" w:sz="0" w:space="0" w:color="auto"/>
            <w:bottom w:val="none" w:sz="0" w:space="0" w:color="auto"/>
            <w:right w:val="none" w:sz="0" w:space="0" w:color="auto"/>
          </w:divBdr>
        </w:div>
        <w:div w:id="604188329">
          <w:marLeft w:val="0"/>
          <w:marRight w:val="0"/>
          <w:marTop w:val="0"/>
          <w:marBottom w:val="0"/>
          <w:divBdr>
            <w:top w:val="none" w:sz="0" w:space="0" w:color="auto"/>
            <w:left w:val="none" w:sz="0" w:space="0" w:color="auto"/>
            <w:bottom w:val="none" w:sz="0" w:space="0" w:color="auto"/>
            <w:right w:val="none" w:sz="0" w:space="0" w:color="auto"/>
          </w:divBdr>
        </w:div>
        <w:div w:id="604311592">
          <w:marLeft w:val="0"/>
          <w:marRight w:val="0"/>
          <w:marTop w:val="0"/>
          <w:marBottom w:val="0"/>
          <w:divBdr>
            <w:top w:val="none" w:sz="0" w:space="0" w:color="auto"/>
            <w:left w:val="none" w:sz="0" w:space="0" w:color="auto"/>
            <w:bottom w:val="none" w:sz="0" w:space="0" w:color="auto"/>
            <w:right w:val="none" w:sz="0" w:space="0" w:color="auto"/>
          </w:divBdr>
        </w:div>
        <w:div w:id="610554074">
          <w:marLeft w:val="0"/>
          <w:marRight w:val="0"/>
          <w:marTop w:val="0"/>
          <w:marBottom w:val="0"/>
          <w:divBdr>
            <w:top w:val="none" w:sz="0" w:space="0" w:color="auto"/>
            <w:left w:val="none" w:sz="0" w:space="0" w:color="auto"/>
            <w:bottom w:val="none" w:sz="0" w:space="0" w:color="auto"/>
            <w:right w:val="none" w:sz="0" w:space="0" w:color="auto"/>
          </w:divBdr>
        </w:div>
        <w:div w:id="614405411">
          <w:marLeft w:val="0"/>
          <w:marRight w:val="0"/>
          <w:marTop w:val="0"/>
          <w:marBottom w:val="0"/>
          <w:divBdr>
            <w:top w:val="none" w:sz="0" w:space="0" w:color="auto"/>
            <w:left w:val="none" w:sz="0" w:space="0" w:color="auto"/>
            <w:bottom w:val="none" w:sz="0" w:space="0" w:color="auto"/>
            <w:right w:val="none" w:sz="0" w:space="0" w:color="auto"/>
          </w:divBdr>
        </w:div>
        <w:div w:id="620958858">
          <w:marLeft w:val="0"/>
          <w:marRight w:val="0"/>
          <w:marTop w:val="0"/>
          <w:marBottom w:val="0"/>
          <w:divBdr>
            <w:top w:val="none" w:sz="0" w:space="0" w:color="auto"/>
            <w:left w:val="none" w:sz="0" w:space="0" w:color="auto"/>
            <w:bottom w:val="none" w:sz="0" w:space="0" w:color="auto"/>
            <w:right w:val="none" w:sz="0" w:space="0" w:color="auto"/>
          </w:divBdr>
        </w:div>
        <w:div w:id="629701768">
          <w:marLeft w:val="0"/>
          <w:marRight w:val="0"/>
          <w:marTop w:val="0"/>
          <w:marBottom w:val="0"/>
          <w:divBdr>
            <w:top w:val="none" w:sz="0" w:space="0" w:color="auto"/>
            <w:left w:val="none" w:sz="0" w:space="0" w:color="auto"/>
            <w:bottom w:val="none" w:sz="0" w:space="0" w:color="auto"/>
            <w:right w:val="none" w:sz="0" w:space="0" w:color="auto"/>
          </w:divBdr>
        </w:div>
        <w:div w:id="633024830">
          <w:marLeft w:val="0"/>
          <w:marRight w:val="0"/>
          <w:marTop w:val="0"/>
          <w:marBottom w:val="0"/>
          <w:divBdr>
            <w:top w:val="none" w:sz="0" w:space="0" w:color="auto"/>
            <w:left w:val="none" w:sz="0" w:space="0" w:color="auto"/>
            <w:bottom w:val="none" w:sz="0" w:space="0" w:color="auto"/>
            <w:right w:val="none" w:sz="0" w:space="0" w:color="auto"/>
          </w:divBdr>
        </w:div>
        <w:div w:id="633143897">
          <w:marLeft w:val="0"/>
          <w:marRight w:val="0"/>
          <w:marTop w:val="0"/>
          <w:marBottom w:val="0"/>
          <w:divBdr>
            <w:top w:val="none" w:sz="0" w:space="0" w:color="auto"/>
            <w:left w:val="none" w:sz="0" w:space="0" w:color="auto"/>
            <w:bottom w:val="none" w:sz="0" w:space="0" w:color="auto"/>
            <w:right w:val="none" w:sz="0" w:space="0" w:color="auto"/>
          </w:divBdr>
        </w:div>
        <w:div w:id="644313058">
          <w:marLeft w:val="0"/>
          <w:marRight w:val="0"/>
          <w:marTop w:val="0"/>
          <w:marBottom w:val="0"/>
          <w:divBdr>
            <w:top w:val="none" w:sz="0" w:space="0" w:color="auto"/>
            <w:left w:val="none" w:sz="0" w:space="0" w:color="auto"/>
            <w:bottom w:val="none" w:sz="0" w:space="0" w:color="auto"/>
            <w:right w:val="none" w:sz="0" w:space="0" w:color="auto"/>
          </w:divBdr>
        </w:div>
        <w:div w:id="660160326">
          <w:marLeft w:val="0"/>
          <w:marRight w:val="0"/>
          <w:marTop w:val="0"/>
          <w:marBottom w:val="0"/>
          <w:divBdr>
            <w:top w:val="none" w:sz="0" w:space="0" w:color="auto"/>
            <w:left w:val="none" w:sz="0" w:space="0" w:color="auto"/>
            <w:bottom w:val="none" w:sz="0" w:space="0" w:color="auto"/>
            <w:right w:val="none" w:sz="0" w:space="0" w:color="auto"/>
          </w:divBdr>
        </w:div>
        <w:div w:id="665016484">
          <w:marLeft w:val="0"/>
          <w:marRight w:val="0"/>
          <w:marTop w:val="0"/>
          <w:marBottom w:val="0"/>
          <w:divBdr>
            <w:top w:val="none" w:sz="0" w:space="0" w:color="auto"/>
            <w:left w:val="none" w:sz="0" w:space="0" w:color="auto"/>
            <w:bottom w:val="none" w:sz="0" w:space="0" w:color="auto"/>
            <w:right w:val="none" w:sz="0" w:space="0" w:color="auto"/>
          </w:divBdr>
        </w:div>
        <w:div w:id="669256335">
          <w:marLeft w:val="0"/>
          <w:marRight w:val="0"/>
          <w:marTop w:val="0"/>
          <w:marBottom w:val="0"/>
          <w:divBdr>
            <w:top w:val="none" w:sz="0" w:space="0" w:color="auto"/>
            <w:left w:val="none" w:sz="0" w:space="0" w:color="auto"/>
            <w:bottom w:val="none" w:sz="0" w:space="0" w:color="auto"/>
            <w:right w:val="none" w:sz="0" w:space="0" w:color="auto"/>
          </w:divBdr>
        </w:div>
        <w:div w:id="679815685">
          <w:marLeft w:val="0"/>
          <w:marRight w:val="0"/>
          <w:marTop w:val="0"/>
          <w:marBottom w:val="0"/>
          <w:divBdr>
            <w:top w:val="none" w:sz="0" w:space="0" w:color="auto"/>
            <w:left w:val="none" w:sz="0" w:space="0" w:color="auto"/>
            <w:bottom w:val="none" w:sz="0" w:space="0" w:color="auto"/>
            <w:right w:val="none" w:sz="0" w:space="0" w:color="auto"/>
          </w:divBdr>
        </w:div>
        <w:div w:id="683559873">
          <w:marLeft w:val="0"/>
          <w:marRight w:val="0"/>
          <w:marTop w:val="0"/>
          <w:marBottom w:val="0"/>
          <w:divBdr>
            <w:top w:val="none" w:sz="0" w:space="0" w:color="auto"/>
            <w:left w:val="none" w:sz="0" w:space="0" w:color="auto"/>
            <w:bottom w:val="none" w:sz="0" w:space="0" w:color="auto"/>
            <w:right w:val="none" w:sz="0" w:space="0" w:color="auto"/>
          </w:divBdr>
        </w:div>
        <w:div w:id="686101096">
          <w:marLeft w:val="0"/>
          <w:marRight w:val="0"/>
          <w:marTop w:val="0"/>
          <w:marBottom w:val="0"/>
          <w:divBdr>
            <w:top w:val="none" w:sz="0" w:space="0" w:color="auto"/>
            <w:left w:val="none" w:sz="0" w:space="0" w:color="auto"/>
            <w:bottom w:val="none" w:sz="0" w:space="0" w:color="auto"/>
            <w:right w:val="none" w:sz="0" w:space="0" w:color="auto"/>
          </w:divBdr>
        </w:div>
        <w:div w:id="686105663">
          <w:marLeft w:val="0"/>
          <w:marRight w:val="0"/>
          <w:marTop w:val="0"/>
          <w:marBottom w:val="0"/>
          <w:divBdr>
            <w:top w:val="none" w:sz="0" w:space="0" w:color="auto"/>
            <w:left w:val="none" w:sz="0" w:space="0" w:color="auto"/>
            <w:bottom w:val="none" w:sz="0" w:space="0" w:color="auto"/>
            <w:right w:val="none" w:sz="0" w:space="0" w:color="auto"/>
          </w:divBdr>
        </w:div>
        <w:div w:id="687756377">
          <w:marLeft w:val="0"/>
          <w:marRight w:val="0"/>
          <w:marTop w:val="0"/>
          <w:marBottom w:val="0"/>
          <w:divBdr>
            <w:top w:val="none" w:sz="0" w:space="0" w:color="auto"/>
            <w:left w:val="none" w:sz="0" w:space="0" w:color="auto"/>
            <w:bottom w:val="none" w:sz="0" w:space="0" w:color="auto"/>
            <w:right w:val="none" w:sz="0" w:space="0" w:color="auto"/>
          </w:divBdr>
        </w:div>
        <w:div w:id="693001340">
          <w:marLeft w:val="0"/>
          <w:marRight w:val="0"/>
          <w:marTop w:val="0"/>
          <w:marBottom w:val="0"/>
          <w:divBdr>
            <w:top w:val="none" w:sz="0" w:space="0" w:color="auto"/>
            <w:left w:val="none" w:sz="0" w:space="0" w:color="auto"/>
            <w:bottom w:val="none" w:sz="0" w:space="0" w:color="auto"/>
            <w:right w:val="none" w:sz="0" w:space="0" w:color="auto"/>
          </w:divBdr>
        </w:div>
        <w:div w:id="695808296">
          <w:marLeft w:val="0"/>
          <w:marRight w:val="0"/>
          <w:marTop w:val="0"/>
          <w:marBottom w:val="0"/>
          <w:divBdr>
            <w:top w:val="none" w:sz="0" w:space="0" w:color="auto"/>
            <w:left w:val="none" w:sz="0" w:space="0" w:color="auto"/>
            <w:bottom w:val="none" w:sz="0" w:space="0" w:color="auto"/>
            <w:right w:val="none" w:sz="0" w:space="0" w:color="auto"/>
          </w:divBdr>
        </w:div>
        <w:div w:id="700056412">
          <w:marLeft w:val="0"/>
          <w:marRight w:val="0"/>
          <w:marTop w:val="0"/>
          <w:marBottom w:val="0"/>
          <w:divBdr>
            <w:top w:val="none" w:sz="0" w:space="0" w:color="auto"/>
            <w:left w:val="none" w:sz="0" w:space="0" w:color="auto"/>
            <w:bottom w:val="none" w:sz="0" w:space="0" w:color="auto"/>
            <w:right w:val="none" w:sz="0" w:space="0" w:color="auto"/>
          </w:divBdr>
        </w:div>
        <w:div w:id="715812392">
          <w:marLeft w:val="0"/>
          <w:marRight w:val="0"/>
          <w:marTop w:val="0"/>
          <w:marBottom w:val="0"/>
          <w:divBdr>
            <w:top w:val="none" w:sz="0" w:space="0" w:color="auto"/>
            <w:left w:val="none" w:sz="0" w:space="0" w:color="auto"/>
            <w:bottom w:val="none" w:sz="0" w:space="0" w:color="auto"/>
            <w:right w:val="none" w:sz="0" w:space="0" w:color="auto"/>
          </w:divBdr>
        </w:div>
        <w:div w:id="719672408">
          <w:marLeft w:val="0"/>
          <w:marRight w:val="0"/>
          <w:marTop w:val="0"/>
          <w:marBottom w:val="0"/>
          <w:divBdr>
            <w:top w:val="none" w:sz="0" w:space="0" w:color="auto"/>
            <w:left w:val="none" w:sz="0" w:space="0" w:color="auto"/>
            <w:bottom w:val="none" w:sz="0" w:space="0" w:color="auto"/>
            <w:right w:val="none" w:sz="0" w:space="0" w:color="auto"/>
          </w:divBdr>
        </w:div>
        <w:div w:id="725492788">
          <w:marLeft w:val="0"/>
          <w:marRight w:val="0"/>
          <w:marTop w:val="0"/>
          <w:marBottom w:val="0"/>
          <w:divBdr>
            <w:top w:val="none" w:sz="0" w:space="0" w:color="auto"/>
            <w:left w:val="none" w:sz="0" w:space="0" w:color="auto"/>
            <w:bottom w:val="none" w:sz="0" w:space="0" w:color="auto"/>
            <w:right w:val="none" w:sz="0" w:space="0" w:color="auto"/>
          </w:divBdr>
        </w:div>
        <w:div w:id="736323441">
          <w:marLeft w:val="0"/>
          <w:marRight w:val="0"/>
          <w:marTop w:val="0"/>
          <w:marBottom w:val="0"/>
          <w:divBdr>
            <w:top w:val="none" w:sz="0" w:space="0" w:color="auto"/>
            <w:left w:val="none" w:sz="0" w:space="0" w:color="auto"/>
            <w:bottom w:val="none" w:sz="0" w:space="0" w:color="auto"/>
            <w:right w:val="none" w:sz="0" w:space="0" w:color="auto"/>
          </w:divBdr>
        </w:div>
        <w:div w:id="742139923">
          <w:marLeft w:val="0"/>
          <w:marRight w:val="0"/>
          <w:marTop w:val="0"/>
          <w:marBottom w:val="0"/>
          <w:divBdr>
            <w:top w:val="none" w:sz="0" w:space="0" w:color="auto"/>
            <w:left w:val="none" w:sz="0" w:space="0" w:color="auto"/>
            <w:bottom w:val="none" w:sz="0" w:space="0" w:color="auto"/>
            <w:right w:val="none" w:sz="0" w:space="0" w:color="auto"/>
          </w:divBdr>
        </w:div>
        <w:div w:id="747656740">
          <w:marLeft w:val="0"/>
          <w:marRight w:val="0"/>
          <w:marTop w:val="0"/>
          <w:marBottom w:val="0"/>
          <w:divBdr>
            <w:top w:val="none" w:sz="0" w:space="0" w:color="auto"/>
            <w:left w:val="none" w:sz="0" w:space="0" w:color="auto"/>
            <w:bottom w:val="none" w:sz="0" w:space="0" w:color="auto"/>
            <w:right w:val="none" w:sz="0" w:space="0" w:color="auto"/>
          </w:divBdr>
        </w:div>
        <w:div w:id="749543677">
          <w:marLeft w:val="0"/>
          <w:marRight w:val="0"/>
          <w:marTop w:val="0"/>
          <w:marBottom w:val="0"/>
          <w:divBdr>
            <w:top w:val="none" w:sz="0" w:space="0" w:color="auto"/>
            <w:left w:val="none" w:sz="0" w:space="0" w:color="auto"/>
            <w:bottom w:val="none" w:sz="0" w:space="0" w:color="auto"/>
            <w:right w:val="none" w:sz="0" w:space="0" w:color="auto"/>
          </w:divBdr>
        </w:div>
        <w:div w:id="753166029">
          <w:marLeft w:val="0"/>
          <w:marRight w:val="0"/>
          <w:marTop w:val="0"/>
          <w:marBottom w:val="0"/>
          <w:divBdr>
            <w:top w:val="none" w:sz="0" w:space="0" w:color="auto"/>
            <w:left w:val="none" w:sz="0" w:space="0" w:color="auto"/>
            <w:bottom w:val="none" w:sz="0" w:space="0" w:color="auto"/>
            <w:right w:val="none" w:sz="0" w:space="0" w:color="auto"/>
          </w:divBdr>
        </w:div>
        <w:div w:id="756823014">
          <w:marLeft w:val="0"/>
          <w:marRight w:val="0"/>
          <w:marTop w:val="0"/>
          <w:marBottom w:val="0"/>
          <w:divBdr>
            <w:top w:val="none" w:sz="0" w:space="0" w:color="auto"/>
            <w:left w:val="none" w:sz="0" w:space="0" w:color="auto"/>
            <w:bottom w:val="none" w:sz="0" w:space="0" w:color="auto"/>
            <w:right w:val="none" w:sz="0" w:space="0" w:color="auto"/>
          </w:divBdr>
        </w:div>
        <w:div w:id="758604785">
          <w:marLeft w:val="0"/>
          <w:marRight w:val="0"/>
          <w:marTop w:val="0"/>
          <w:marBottom w:val="0"/>
          <w:divBdr>
            <w:top w:val="none" w:sz="0" w:space="0" w:color="auto"/>
            <w:left w:val="none" w:sz="0" w:space="0" w:color="auto"/>
            <w:bottom w:val="none" w:sz="0" w:space="0" w:color="auto"/>
            <w:right w:val="none" w:sz="0" w:space="0" w:color="auto"/>
          </w:divBdr>
        </w:div>
        <w:div w:id="762803432">
          <w:marLeft w:val="0"/>
          <w:marRight w:val="0"/>
          <w:marTop w:val="0"/>
          <w:marBottom w:val="0"/>
          <w:divBdr>
            <w:top w:val="none" w:sz="0" w:space="0" w:color="auto"/>
            <w:left w:val="none" w:sz="0" w:space="0" w:color="auto"/>
            <w:bottom w:val="none" w:sz="0" w:space="0" w:color="auto"/>
            <w:right w:val="none" w:sz="0" w:space="0" w:color="auto"/>
          </w:divBdr>
        </w:div>
        <w:div w:id="767189967">
          <w:marLeft w:val="0"/>
          <w:marRight w:val="0"/>
          <w:marTop w:val="0"/>
          <w:marBottom w:val="0"/>
          <w:divBdr>
            <w:top w:val="none" w:sz="0" w:space="0" w:color="auto"/>
            <w:left w:val="none" w:sz="0" w:space="0" w:color="auto"/>
            <w:bottom w:val="none" w:sz="0" w:space="0" w:color="auto"/>
            <w:right w:val="none" w:sz="0" w:space="0" w:color="auto"/>
          </w:divBdr>
        </w:div>
        <w:div w:id="767387835">
          <w:marLeft w:val="0"/>
          <w:marRight w:val="0"/>
          <w:marTop w:val="0"/>
          <w:marBottom w:val="0"/>
          <w:divBdr>
            <w:top w:val="none" w:sz="0" w:space="0" w:color="auto"/>
            <w:left w:val="none" w:sz="0" w:space="0" w:color="auto"/>
            <w:bottom w:val="none" w:sz="0" w:space="0" w:color="auto"/>
            <w:right w:val="none" w:sz="0" w:space="0" w:color="auto"/>
          </w:divBdr>
        </w:div>
        <w:div w:id="778724188">
          <w:marLeft w:val="0"/>
          <w:marRight w:val="0"/>
          <w:marTop w:val="0"/>
          <w:marBottom w:val="0"/>
          <w:divBdr>
            <w:top w:val="none" w:sz="0" w:space="0" w:color="auto"/>
            <w:left w:val="none" w:sz="0" w:space="0" w:color="auto"/>
            <w:bottom w:val="none" w:sz="0" w:space="0" w:color="auto"/>
            <w:right w:val="none" w:sz="0" w:space="0" w:color="auto"/>
          </w:divBdr>
        </w:div>
        <w:div w:id="781919494">
          <w:marLeft w:val="0"/>
          <w:marRight w:val="0"/>
          <w:marTop w:val="0"/>
          <w:marBottom w:val="0"/>
          <w:divBdr>
            <w:top w:val="none" w:sz="0" w:space="0" w:color="auto"/>
            <w:left w:val="none" w:sz="0" w:space="0" w:color="auto"/>
            <w:bottom w:val="none" w:sz="0" w:space="0" w:color="auto"/>
            <w:right w:val="none" w:sz="0" w:space="0" w:color="auto"/>
          </w:divBdr>
        </w:div>
        <w:div w:id="787087471">
          <w:marLeft w:val="0"/>
          <w:marRight w:val="0"/>
          <w:marTop w:val="0"/>
          <w:marBottom w:val="0"/>
          <w:divBdr>
            <w:top w:val="none" w:sz="0" w:space="0" w:color="auto"/>
            <w:left w:val="none" w:sz="0" w:space="0" w:color="auto"/>
            <w:bottom w:val="none" w:sz="0" w:space="0" w:color="auto"/>
            <w:right w:val="none" w:sz="0" w:space="0" w:color="auto"/>
          </w:divBdr>
        </w:div>
        <w:div w:id="792750030">
          <w:marLeft w:val="0"/>
          <w:marRight w:val="0"/>
          <w:marTop w:val="0"/>
          <w:marBottom w:val="0"/>
          <w:divBdr>
            <w:top w:val="none" w:sz="0" w:space="0" w:color="auto"/>
            <w:left w:val="none" w:sz="0" w:space="0" w:color="auto"/>
            <w:bottom w:val="none" w:sz="0" w:space="0" w:color="auto"/>
            <w:right w:val="none" w:sz="0" w:space="0" w:color="auto"/>
          </w:divBdr>
        </w:div>
        <w:div w:id="795561258">
          <w:marLeft w:val="0"/>
          <w:marRight w:val="0"/>
          <w:marTop w:val="0"/>
          <w:marBottom w:val="0"/>
          <w:divBdr>
            <w:top w:val="none" w:sz="0" w:space="0" w:color="auto"/>
            <w:left w:val="none" w:sz="0" w:space="0" w:color="auto"/>
            <w:bottom w:val="none" w:sz="0" w:space="0" w:color="auto"/>
            <w:right w:val="none" w:sz="0" w:space="0" w:color="auto"/>
          </w:divBdr>
        </w:div>
        <w:div w:id="797842820">
          <w:marLeft w:val="0"/>
          <w:marRight w:val="0"/>
          <w:marTop w:val="0"/>
          <w:marBottom w:val="0"/>
          <w:divBdr>
            <w:top w:val="none" w:sz="0" w:space="0" w:color="auto"/>
            <w:left w:val="none" w:sz="0" w:space="0" w:color="auto"/>
            <w:bottom w:val="none" w:sz="0" w:space="0" w:color="auto"/>
            <w:right w:val="none" w:sz="0" w:space="0" w:color="auto"/>
          </w:divBdr>
        </w:div>
        <w:div w:id="812018240">
          <w:marLeft w:val="0"/>
          <w:marRight w:val="0"/>
          <w:marTop w:val="0"/>
          <w:marBottom w:val="0"/>
          <w:divBdr>
            <w:top w:val="none" w:sz="0" w:space="0" w:color="auto"/>
            <w:left w:val="none" w:sz="0" w:space="0" w:color="auto"/>
            <w:bottom w:val="none" w:sz="0" w:space="0" w:color="auto"/>
            <w:right w:val="none" w:sz="0" w:space="0" w:color="auto"/>
          </w:divBdr>
        </w:div>
        <w:div w:id="823396304">
          <w:marLeft w:val="0"/>
          <w:marRight w:val="0"/>
          <w:marTop w:val="0"/>
          <w:marBottom w:val="0"/>
          <w:divBdr>
            <w:top w:val="none" w:sz="0" w:space="0" w:color="auto"/>
            <w:left w:val="none" w:sz="0" w:space="0" w:color="auto"/>
            <w:bottom w:val="none" w:sz="0" w:space="0" w:color="auto"/>
            <w:right w:val="none" w:sz="0" w:space="0" w:color="auto"/>
          </w:divBdr>
        </w:div>
        <w:div w:id="825971484">
          <w:marLeft w:val="0"/>
          <w:marRight w:val="0"/>
          <w:marTop w:val="0"/>
          <w:marBottom w:val="0"/>
          <w:divBdr>
            <w:top w:val="none" w:sz="0" w:space="0" w:color="auto"/>
            <w:left w:val="none" w:sz="0" w:space="0" w:color="auto"/>
            <w:bottom w:val="none" w:sz="0" w:space="0" w:color="auto"/>
            <w:right w:val="none" w:sz="0" w:space="0" w:color="auto"/>
          </w:divBdr>
        </w:div>
        <w:div w:id="843252402">
          <w:marLeft w:val="0"/>
          <w:marRight w:val="0"/>
          <w:marTop w:val="0"/>
          <w:marBottom w:val="0"/>
          <w:divBdr>
            <w:top w:val="none" w:sz="0" w:space="0" w:color="auto"/>
            <w:left w:val="none" w:sz="0" w:space="0" w:color="auto"/>
            <w:bottom w:val="none" w:sz="0" w:space="0" w:color="auto"/>
            <w:right w:val="none" w:sz="0" w:space="0" w:color="auto"/>
          </w:divBdr>
        </w:div>
        <w:div w:id="843590018">
          <w:marLeft w:val="0"/>
          <w:marRight w:val="0"/>
          <w:marTop w:val="0"/>
          <w:marBottom w:val="0"/>
          <w:divBdr>
            <w:top w:val="none" w:sz="0" w:space="0" w:color="auto"/>
            <w:left w:val="none" w:sz="0" w:space="0" w:color="auto"/>
            <w:bottom w:val="none" w:sz="0" w:space="0" w:color="auto"/>
            <w:right w:val="none" w:sz="0" w:space="0" w:color="auto"/>
          </w:divBdr>
        </w:div>
        <w:div w:id="844128158">
          <w:marLeft w:val="0"/>
          <w:marRight w:val="0"/>
          <w:marTop w:val="0"/>
          <w:marBottom w:val="0"/>
          <w:divBdr>
            <w:top w:val="none" w:sz="0" w:space="0" w:color="auto"/>
            <w:left w:val="none" w:sz="0" w:space="0" w:color="auto"/>
            <w:bottom w:val="none" w:sz="0" w:space="0" w:color="auto"/>
            <w:right w:val="none" w:sz="0" w:space="0" w:color="auto"/>
          </w:divBdr>
        </w:div>
        <w:div w:id="862287016">
          <w:marLeft w:val="0"/>
          <w:marRight w:val="0"/>
          <w:marTop w:val="0"/>
          <w:marBottom w:val="0"/>
          <w:divBdr>
            <w:top w:val="none" w:sz="0" w:space="0" w:color="auto"/>
            <w:left w:val="none" w:sz="0" w:space="0" w:color="auto"/>
            <w:bottom w:val="none" w:sz="0" w:space="0" w:color="auto"/>
            <w:right w:val="none" w:sz="0" w:space="0" w:color="auto"/>
          </w:divBdr>
        </w:div>
        <w:div w:id="863634499">
          <w:marLeft w:val="0"/>
          <w:marRight w:val="0"/>
          <w:marTop w:val="0"/>
          <w:marBottom w:val="0"/>
          <w:divBdr>
            <w:top w:val="none" w:sz="0" w:space="0" w:color="auto"/>
            <w:left w:val="none" w:sz="0" w:space="0" w:color="auto"/>
            <w:bottom w:val="none" w:sz="0" w:space="0" w:color="auto"/>
            <w:right w:val="none" w:sz="0" w:space="0" w:color="auto"/>
          </w:divBdr>
        </w:div>
        <w:div w:id="865564128">
          <w:marLeft w:val="0"/>
          <w:marRight w:val="0"/>
          <w:marTop w:val="0"/>
          <w:marBottom w:val="0"/>
          <w:divBdr>
            <w:top w:val="none" w:sz="0" w:space="0" w:color="auto"/>
            <w:left w:val="none" w:sz="0" w:space="0" w:color="auto"/>
            <w:bottom w:val="none" w:sz="0" w:space="0" w:color="auto"/>
            <w:right w:val="none" w:sz="0" w:space="0" w:color="auto"/>
          </w:divBdr>
        </w:div>
        <w:div w:id="890194483">
          <w:marLeft w:val="0"/>
          <w:marRight w:val="0"/>
          <w:marTop w:val="0"/>
          <w:marBottom w:val="0"/>
          <w:divBdr>
            <w:top w:val="none" w:sz="0" w:space="0" w:color="auto"/>
            <w:left w:val="none" w:sz="0" w:space="0" w:color="auto"/>
            <w:bottom w:val="none" w:sz="0" w:space="0" w:color="auto"/>
            <w:right w:val="none" w:sz="0" w:space="0" w:color="auto"/>
          </w:divBdr>
        </w:div>
        <w:div w:id="901938934">
          <w:marLeft w:val="0"/>
          <w:marRight w:val="0"/>
          <w:marTop w:val="0"/>
          <w:marBottom w:val="0"/>
          <w:divBdr>
            <w:top w:val="none" w:sz="0" w:space="0" w:color="auto"/>
            <w:left w:val="none" w:sz="0" w:space="0" w:color="auto"/>
            <w:bottom w:val="none" w:sz="0" w:space="0" w:color="auto"/>
            <w:right w:val="none" w:sz="0" w:space="0" w:color="auto"/>
          </w:divBdr>
        </w:div>
        <w:div w:id="908029774">
          <w:marLeft w:val="0"/>
          <w:marRight w:val="0"/>
          <w:marTop w:val="0"/>
          <w:marBottom w:val="0"/>
          <w:divBdr>
            <w:top w:val="none" w:sz="0" w:space="0" w:color="auto"/>
            <w:left w:val="none" w:sz="0" w:space="0" w:color="auto"/>
            <w:bottom w:val="none" w:sz="0" w:space="0" w:color="auto"/>
            <w:right w:val="none" w:sz="0" w:space="0" w:color="auto"/>
          </w:divBdr>
        </w:div>
        <w:div w:id="909270775">
          <w:marLeft w:val="0"/>
          <w:marRight w:val="0"/>
          <w:marTop w:val="0"/>
          <w:marBottom w:val="0"/>
          <w:divBdr>
            <w:top w:val="none" w:sz="0" w:space="0" w:color="auto"/>
            <w:left w:val="none" w:sz="0" w:space="0" w:color="auto"/>
            <w:bottom w:val="none" w:sz="0" w:space="0" w:color="auto"/>
            <w:right w:val="none" w:sz="0" w:space="0" w:color="auto"/>
          </w:divBdr>
        </w:div>
        <w:div w:id="911429372">
          <w:marLeft w:val="0"/>
          <w:marRight w:val="0"/>
          <w:marTop w:val="0"/>
          <w:marBottom w:val="0"/>
          <w:divBdr>
            <w:top w:val="none" w:sz="0" w:space="0" w:color="auto"/>
            <w:left w:val="none" w:sz="0" w:space="0" w:color="auto"/>
            <w:bottom w:val="none" w:sz="0" w:space="0" w:color="auto"/>
            <w:right w:val="none" w:sz="0" w:space="0" w:color="auto"/>
          </w:divBdr>
        </w:div>
        <w:div w:id="921597229">
          <w:marLeft w:val="0"/>
          <w:marRight w:val="0"/>
          <w:marTop w:val="0"/>
          <w:marBottom w:val="0"/>
          <w:divBdr>
            <w:top w:val="none" w:sz="0" w:space="0" w:color="auto"/>
            <w:left w:val="none" w:sz="0" w:space="0" w:color="auto"/>
            <w:bottom w:val="none" w:sz="0" w:space="0" w:color="auto"/>
            <w:right w:val="none" w:sz="0" w:space="0" w:color="auto"/>
          </w:divBdr>
        </w:div>
        <w:div w:id="943420056">
          <w:marLeft w:val="0"/>
          <w:marRight w:val="0"/>
          <w:marTop w:val="0"/>
          <w:marBottom w:val="0"/>
          <w:divBdr>
            <w:top w:val="none" w:sz="0" w:space="0" w:color="auto"/>
            <w:left w:val="none" w:sz="0" w:space="0" w:color="auto"/>
            <w:bottom w:val="none" w:sz="0" w:space="0" w:color="auto"/>
            <w:right w:val="none" w:sz="0" w:space="0" w:color="auto"/>
          </w:divBdr>
        </w:div>
        <w:div w:id="944187669">
          <w:marLeft w:val="0"/>
          <w:marRight w:val="0"/>
          <w:marTop w:val="0"/>
          <w:marBottom w:val="0"/>
          <w:divBdr>
            <w:top w:val="none" w:sz="0" w:space="0" w:color="auto"/>
            <w:left w:val="none" w:sz="0" w:space="0" w:color="auto"/>
            <w:bottom w:val="none" w:sz="0" w:space="0" w:color="auto"/>
            <w:right w:val="none" w:sz="0" w:space="0" w:color="auto"/>
          </w:divBdr>
        </w:div>
        <w:div w:id="946694360">
          <w:marLeft w:val="0"/>
          <w:marRight w:val="0"/>
          <w:marTop w:val="0"/>
          <w:marBottom w:val="0"/>
          <w:divBdr>
            <w:top w:val="none" w:sz="0" w:space="0" w:color="auto"/>
            <w:left w:val="none" w:sz="0" w:space="0" w:color="auto"/>
            <w:bottom w:val="none" w:sz="0" w:space="0" w:color="auto"/>
            <w:right w:val="none" w:sz="0" w:space="0" w:color="auto"/>
          </w:divBdr>
        </w:div>
        <w:div w:id="952519176">
          <w:marLeft w:val="0"/>
          <w:marRight w:val="0"/>
          <w:marTop w:val="0"/>
          <w:marBottom w:val="0"/>
          <w:divBdr>
            <w:top w:val="none" w:sz="0" w:space="0" w:color="auto"/>
            <w:left w:val="none" w:sz="0" w:space="0" w:color="auto"/>
            <w:bottom w:val="none" w:sz="0" w:space="0" w:color="auto"/>
            <w:right w:val="none" w:sz="0" w:space="0" w:color="auto"/>
          </w:divBdr>
        </w:div>
        <w:div w:id="959872786">
          <w:marLeft w:val="0"/>
          <w:marRight w:val="0"/>
          <w:marTop w:val="0"/>
          <w:marBottom w:val="0"/>
          <w:divBdr>
            <w:top w:val="none" w:sz="0" w:space="0" w:color="auto"/>
            <w:left w:val="none" w:sz="0" w:space="0" w:color="auto"/>
            <w:bottom w:val="none" w:sz="0" w:space="0" w:color="auto"/>
            <w:right w:val="none" w:sz="0" w:space="0" w:color="auto"/>
          </w:divBdr>
        </w:div>
        <w:div w:id="969021722">
          <w:marLeft w:val="0"/>
          <w:marRight w:val="0"/>
          <w:marTop w:val="0"/>
          <w:marBottom w:val="0"/>
          <w:divBdr>
            <w:top w:val="none" w:sz="0" w:space="0" w:color="auto"/>
            <w:left w:val="none" w:sz="0" w:space="0" w:color="auto"/>
            <w:bottom w:val="none" w:sz="0" w:space="0" w:color="auto"/>
            <w:right w:val="none" w:sz="0" w:space="0" w:color="auto"/>
          </w:divBdr>
        </w:div>
        <w:div w:id="972171321">
          <w:marLeft w:val="0"/>
          <w:marRight w:val="0"/>
          <w:marTop w:val="0"/>
          <w:marBottom w:val="0"/>
          <w:divBdr>
            <w:top w:val="none" w:sz="0" w:space="0" w:color="auto"/>
            <w:left w:val="none" w:sz="0" w:space="0" w:color="auto"/>
            <w:bottom w:val="none" w:sz="0" w:space="0" w:color="auto"/>
            <w:right w:val="none" w:sz="0" w:space="0" w:color="auto"/>
          </w:divBdr>
        </w:div>
        <w:div w:id="977034602">
          <w:marLeft w:val="0"/>
          <w:marRight w:val="0"/>
          <w:marTop w:val="0"/>
          <w:marBottom w:val="0"/>
          <w:divBdr>
            <w:top w:val="none" w:sz="0" w:space="0" w:color="auto"/>
            <w:left w:val="none" w:sz="0" w:space="0" w:color="auto"/>
            <w:bottom w:val="none" w:sz="0" w:space="0" w:color="auto"/>
            <w:right w:val="none" w:sz="0" w:space="0" w:color="auto"/>
          </w:divBdr>
        </w:div>
        <w:div w:id="977152296">
          <w:marLeft w:val="0"/>
          <w:marRight w:val="0"/>
          <w:marTop w:val="0"/>
          <w:marBottom w:val="0"/>
          <w:divBdr>
            <w:top w:val="none" w:sz="0" w:space="0" w:color="auto"/>
            <w:left w:val="none" w:sz="0" w:space="0" w:color="auto"/>
            <w:bottom w:val="none" w:sz="0" w:space="0" w:color="auto"/>
            <w:right w:val="none" w:sz="0" w:space="0" w:color="auto"/>
          </w:divBdr>
        </w:div>
        <w:div w:id="993949162">
          <w:marLeft w:val="0"/>
          <w:marRight w:val="0"/>
          <w:marTop w:val="0"/>
          <w:marBottom w:val="0"/>
          <w:divBdr>
            <w:top w:val="none" w:sz="0" w:space="0" w:color="auto"/>
            <w:left w:val="none" w:sz="0" w:space="0" w:color="auto"/>
            <w:bottom w:val="none" w:sz="0" w:space="0" w:color="auto"/>
            <w:right w:val="none" w:sz="0" w:space="0" w:color="auto"/>
          </w:divBdr>
        </w:div>
        <w:div w:id="1006708356">
          <w:marLeft w:val="0"/>
          <w:marRight w:val="0"/>
          <w:marTop w:val="0"/>
          <w:marBottom w:val="0"/>
          <w:divBdr>
            <w:top w:val="none" w:sz="0" w:space="0" w:color="auto"/>
            <w:left w:val="none" w:sz="0" w:space="0" w:color="auto"/>
            <w:bottom w:val="none" w:sz="0" w:space="0" w:color="auto"/>
            <w:right w:val="none" w:sz="0" w:space="0" w:color="auto"/>
          </w:divBdr>
        </w:div>
        <w:div w:id="1008143883">
          <w:marLeft w:val="0"/>
          <w:marRight w:val="0"/>
          <w:marTop w:val="0"/>
          <w:marBottom w:val="0"/>
          <w:divBdr>
            <w:top w:val="none" w:sz="0" w:space="0" w:color="auto"/>
            <w:left w:val="none" w:sz="0" w:space="0" w:color="auto"/>
            <w:bottom w:val="none" w:sz="0" w:space="0" w:color="auto"/>
            <w:right w:val="none" w:sz="0" w:space="0" w:color="auto"/>
          </w:divBdr>
        </w:div>
        <w:div w:id="1008479655">
          <w:marLeft w:val="0"/>
          <w:marRight w:val="0"/>
          <w:marTop w:val="0"/>
          <w:marBottom w:val="0"/>
          <w:divBdr>
            <w:top w:val="none" w:sz="0" w:space="0" w:color="auto"/>
            <w:left w:val="none" w:sz="0" w:space="0" w:color="auto"/>
            <w:bottom w:val="none" w:sz="0" w:space="0" w:color="auto"/>
            <w:right w:val="none" w:sz="0" w:space="0" w:color="auto"/>
          </w:divBdr>
        </w:div>
        <w:div w:id="1011953711">
          <w:marLeft w:val="0"/>
          <w:marRight w:val="0"/>
          <w:marTop w:val="0"/>
          <w:marBottom w:val="0"/>
          <w:divBdr>
            <w:top w:val="none" w:sz="0" w:space="0" w:color="auto"/>
            <w:left w:val="none" w:sz="0" w:space="0" w:color="auto"/>
            <w:bottom w:val="none" w:sz="0" w:space="0" w:color="auto"/>
            <w:right w:val="none" w:sz="0" w:space="0" w:color="auto"/>
          </w:divBdr>
        </w:div>
        <w:div w:id="1012611442">
          <w:marLeft w:val="0"/>
          <w:marRight w:val="0"/>
          <w:marTop w:val="0"/>
          <w:marBottom w:val="0"/>
          <w:divBdr>
            <w:top w:val="none" w:sz="0" w:space="0" w:color="auto"/>
            <w:left w:val="none" w:sz="0" w:space="0" w:color="auto"/>
            <w:bottom w:val="none" w:sz="0" w:space="0" w:color="auto"/>
            <w:right w:val="none" w:sz="0" w:space="0" w:color="auto"/>
          </w:divBdr>
        </w:div>
        <w:div w:id="1017075052">
          <w:marLeft w:val="0"/>
          <w:marRight w:val="0"/>
          <w:marTop w:val="0"/>
          <w:marBottom w:val="0"/>
          <w:divBdr>
            <w:top w:val="none" w:sz="0" w:space="0" w:color="auto"/>
            <w:left w:val="none" w:sz="0" w:space="0" w:color="auto"/>
            <w:bottom w:val="none" w:sz="0" w:space="0" w:color="auto"/>
            <w:right w:val="none" w:sz="0" w:space="0" w:color="auto"/>
          </w:divBdr>
        </w:div>
        <w:div w:id="1019627734">
          <w:marLeft w:val="0"/>
          <w:marRight w:val="0"/>
          <w:marTop w:val="0"/>
          <w:marBottom w:val="0"/>
          <w:divBdr>
            <w:top w:val="none" w:sz="0" w:space="0" w:color="auto"/>
            <w:left w:val="none" w:sz="0" w:space="0" w:color="auto"/>
            <w:bottom w:val="none" w:sz="0" w:space="0" w:color="auto"/>
            <w:right w:val="none" w:sz="0" w:space="0" w:color="auto"/>
          </w:divBdr>
        </w:div>
        <w:div w:id="1022511087">
          <w:marLeft w:val="0"/>
          <w:marRight w:val="0"/>
          <w:marTop w:val="0"/>
          <w:marBottom w:val="0"/>
          <w:divBdr>
            <w:top w:val="none" w:sz="0" w:space="0" w:color="auto"/>
            <w:left w:val="none" w:sz="0" w:space="0" w:color="auto"/>
            <w:bottom w:val="none" w:sz="0" w:space="0" w:color="auto"/>
            <w:right w:val="none" w:sz="0" w:space="0" w:color="auto"/>
          </w:divBdr>
        </w:div>
        <w:div w:id="1041513061">
          <w:marLeft w:val="0"/>
          <w:marRight w:val="0"/>
          <w:marTop w:val="0"/>
          <w:marBottom w:val="0"/>
          <w:divBdr>
            <w:top w:val="none" w:sz="0" w:space="0" w:color="auto"/>
            <w:left w:val="none" w:sz="0" w:space="0" w:color="auto"/>
            <w:bottom w:val="none" w:sz="0" w:space="0" w:color="auto"/>
            <w:right w:val="none" w:sz="0" w:space="0" w:color="auto"/>
          </w:divBdr>
        </w:div>
        <w:div w:id="1043092922">
          <w:marLeft w:val="0"/>
          <w:marRight w:val="0"/>
          <w:marTop w:val="0"/>
          <w:marBottom w:val="0"/>
          <w:divBdr>
            <w:top w:val="none" w:sz="0" w:space="0" w:color="auto"/>
            <w:left w:val="none" w:sz="0" w:space="0" w:color="auto"/>
            <w:bottom w:val="none" w:sz="0" w:space="0" w:color="auto"/>
            <w:right w:val="none" w:sz="0" w:space="0" w:color="auto"/>
          </w:divBdr>
        </w:div>
        <w:div w:id="1046103579">
          <w:marLeft w:val="0"/>
          <w:marRight w:val="0"/>
          <w:marTop w:val="0"/>
          <w:marBottom w:val="0"/>
          <w:divBdr>
            <w:top w:val="none" w:sz="0" w:space="0" w:color="auto"/>
            <w:left w:val="none" w:sz="0" w:space="0" w:color="auto"/>
            <w:bottom w:val="none" w:sz="0" w:space="0" w:color="auto"/>
            <w:right w:val="none" w:sz="0" w:space="0" w:color="auto"/>
          </w:divBdr>
        </w:div>
        <w:div w:id="1059207416">
          <w:marLeft w:val="0"/>
          <w:marRight w:val="0"/>
          <w:marTop w:val="0"/>
          <w:marBottom w:val="0"/>
          <w:divBdr>
            <w:top w:val="none" w:sz="0" w:space="0" w:color="auto"/>
            <w:left w:val="none" w:sz="0" w:space="0" w:color="auto"/>
            <w:bottom w:val="none" w:sz="0" w:space="0" w:color="auto"/>
            <w:right w:val="none" w:sz="0" w:space="0" w:color="auto"/>
          </w:divBdr>
        </w:div>
        <w:div w:id="1060134810">
          <w:marLeft w:val="0"/>
          <w:marRight w:val="0"/>
          <w:marTop w:val="0"/>
          <w:marBottom w:val="0"/>
          <w:divBdr>
            <w:top w:val="none" w:sz="0" w:space="0" w:color="auto"/>
            <w:left w:val="none" w:sz="0" w:space="0" w:color="auto"/>
            <w:bottom w:val="none" w:sz="0" w:space="0" w:color="auto"/>
            <w:right w:val="none" w:sz="0" w:space="0" w:color="auto"/>
          </w:divBdr>
        </w:div>
        <w:div w:id="1081366134">
          <w:marLeft w:val="0"/>
          <w:marRight w:val="0"/>
          <w:marTop w:val="0"/>
          <w:marBottom w:val="0"/>
          <w:divBdr>
            <w:top w:val="none" w:sz="0" w:space="0" w:color="auto"/>
            <w:left w:val="none" w:sz="0" w:space="0" w:color="auto"/>
            <w:bottom w:val="none" w:sz="0" w:space="0" w:color="auto"/>
            <w:right w:val="none" w:sz="0" w:space="0" w:color="auto"/>
          </w:divBdr>
        </w:div>
        <w:div w:id="1085298922">
          <w:marLeft w:val="0"/>
          <w:marRight w:val="0"/>
          <w:marTop w:val="0"/>
          <w:marBottom w:val="0"/>
          <w:divBdr>
            <w:top w:val="none" w:sz="0" w:space="0" w:color="auto"/>
            <w:left w:val="none" w:sz="0" w:space="0" w:color="auto"/>
            <w:bottom w:val="none" w:sz="0" w:space="0" w:color="auto"/>
            <w:right w:val="none" w:sz="0" w:space="0" w:color="auto"/>
          </w:divBdr>
        </w:div>
        <w:div w:id="1091467727">
          <w:marLeft w:val="0"/>
          <w:marRight w:val="0"/>
          <w:marTop w:val="0"/>
          <w:marBottom w:val="0"/>
          <w:divBdr>
            <w:top w:val="none" w:sz="0" w:space="0" w:color="auto"/>
            <w:left w:val="none" w:sz="0" w:space="0" w:color="auto"/>
            <w:bottom w:val="none" w:sz="0" w:space="0" w:color="auto"/>
            <w:right w:val="none" w:sz="0" w:space="0" w:color="auto"/>
          </w:divBdr>
        </w:div>
        <w:div w:id="1093555777">
          <w:marLeft w:val="0"/>
          <w:marRight w:val="0"/>
          <w:marTop w:val="0"/>
          <w:marBottom w:val="0"/>
          <w:divBdr>
            <w:top w:val="none" w:sz="0" w:space="0" w:color="auto"/>
            <w:left w:val="none" w:sz="0" w:space="0" w:color="auto"/>
            <w:bottom w:val="none" w:sz="0" w:space="0" w:color="auto"/>
            <w:right w:val="none" w:sz="0" w:space="0" w:color="auto"/>
          </w:divBdr>
        </w:div>
        <w:div w:id="1109810241">
          <w:marLeft w:val="0"/>
          <w:marRight w:val="0"/>
          <w:marTop w:val="0"/>
          <w:marBottom w:val="0"/>
          <w:divBdr>
            <w:top w:val="none" w:sz="0" w:space="0" w:color="auto"/>
            <w:left w:val="none" w:sz="0" w:space="0" w:color="auto"/>
            <w:bottom w:val="none" w:sz="0" w:space="0" w:color="auto"/>
            <w:right w:val="none" w:sz="0" w:space="0" w:color="auto"/>
          </w:divBdr>
        </w:div>
        <w:div w:id="1113095213">
          <w:marLeft w:val="0"/>
          <w:marRight w:val="0"/>
          <w:marTop w:val="0"/>
          <w:marBottom w:val="0"/>
          <w:divBdr>
            <w:top w:val="none" w:sz="0" w:space="0" w:color="auto"/>
            <w:left w:val="none" w:sz="0" w:space="0" w:color="auto"/>
            <w:bottom w:val="none" w:sz="0" w:space="0" w:color="auto"/>
            <w:right w:val="none" w:sz="0" w:space="0" w:color="auto"/>
          </w:divBdr>
        </w:div>
        <w:div w:id="1118992013">
          <w:marLeft w:val="0"/>
          <w:marRight w:val="0"/>
          <w:marTop w:val="0"/>
          <w:marBottom w:val="0"/>
          <w:divBdr>
            <w:top w:val="none" w:sz="0" w:space="0" w:color="auto"/>
            <w:left w:val="none" w:sz="0" w:space="0" w:color="auto"/>
            <w:bottom w:val="none" w:sz="0" w:space="0" w:color="auto"/>
            <w:right w:val="none" w:sz="0" w:space="0" w:color="auto"/>
          </w:divBdr>
        </w:div>
        <w:div w:id="1119688204">
          <w:marLeft w:val="0"/>
          <w:marRight w:val="0"/>
          <w:marTop w:val="0"/>
          <w:marBottom w:val="0"/>
          <w:divBdr>
            <w:top w:val="none" w:sz="0" w:space="0" w:color="auto"/>
            <w:left w:val="none" w:sz="0" w:space="0" w:color="auto"/>
            <w:bottom w:val="none" w:sz="0" w:space="0" w:color="auto"/>
            <w:right w:val="none" w:sz="0" w:space="0" w:color="auto"/>
          </w:divBdr>
        </w:div>
        <w:div w:id="1123185010">
          <w:marLeft w:val="0"/>
          <w:marRight w:val="0"/>
          <w:marTop w:val="0"/>
          <w:marBottom w:val="0"/>
          <w:divBdr>
            <w:top w:val="none" w:sz="0" w:space="0" w:color="auto"/>
            <w:left w:val="none" w:sz="0" w:space="0" w:color="auto"/>
            <w:bottom w:val="none" w:sz="0" w:space="0" w:color="auto"/>
            <w:right w:val="none" w:sz="0" w:space="0" w:color="auto"/>
          </w:divBdr>
        </w:div>
        <w:div w:id="1123811933">
          <w:marLeft w:val="0"/>
          <w:marRight w:val="0"/>
          <w:marTop w:val="0"/>
          <w:marBottom w:val="0"/>
          <w:divBdr>
            <w:top w:val="none" w:sz="0" w:space="0" w:color="auto"/>
            <w:left w:val="none" w:sz="0" w:space="0" w:color="auto"/>
            <w:bottom w:val="none" w:sz="0" w:space="0" w:color="auto"/>
            <w:right w:val="none" w:sz="0" w:space="0" w:color="auto"/>
          </w:divBdr>
        </w:div>
        <w:div w:id="1124351638">
          <w:marLeft w:val="0"/>
          <w:marRight w:val="0"/>
          <w:marTop w:val="0"/>
          <w:marBottom w:val="0"/>
          <w:divBdr>
            <w:top w:val="none" w:sz="0" w:space="0" w:color="auto"/>
            <w:left w:val="none" w:sz="0" w:space="0" w:color="auto"/>
            <w:bottom w:val="none" w:sz="0" w:space="0" w:color="auto"/>
            <w:right w:val="none" w:sz="0" w:space="0" w:color="auto"/>
          </w:divBdr>
        </w:div>
        <w:div w:id="1140728420">
          <w:marLeft w:val="0"/>
          <w:marRight w:val="0"/>
          <w:marTop w:val="0"/>
          <w:marBottom w:val="0"/>
          <w:divBdr>
            <w:top w:val="none" w:sz="0" w:space="0" w:color="auto"/>
            <w:left w:val="none" w:sz="0" w:space="0" w:color="auto"/>
            <w:bottom w:val="none" w:sz="0" w:space="0" w:color="auto"/>
            <w:right w:val="none" w:sz="0" w:space="0" w:color="auto"/>
          </w:divBdr>
        </w:div>
        <w:div w:id="1141581816">
          <w:marLeft w:val="0"/>
          <w:marRight w:val="0"/>
          <w:marTop w:val="0"/>
          <w:marBottom w:val="0"/>
          <w:divBdr>
            <w:top w:val="none" w:sz="0" w:space="0" w:color="auto"/>
            <w:left w:val="none" w:sz="0" w:space="0" w:color="auto"/>
            <w:bottom w:val="none" w:sz="0" w:space="0" w:color="auto"/>
            <w:right w:val="none" w:sz="0" w:space="0" w:color="auto"/>
          </w:divBdr>
        </w:div>
        <w:div w:id="1142848090">
          <w:marLeft w:val="0"/>
          <w:marRight w:val="0"/>
          <w:marTop w:val="0"/>
          <w:marBottom w:val="0"/>
          <w:divBdr>
            <w:top w:val="none" w:sz="0" w:space="0" w:color="auto"/>
            <w:left w:val="none" w:sz="0" w:space="0" w:color="auto"/>
            <w:bottom w:val="none" w:sz="0" w:space="0" w:color="auto"/>
            <w:right w:val="none" w:sz="0" w:space="0" w:color="auto"/>
          </w:divBdr>
        </w:div>
        <w:div w:id="1147553843">
          <w:marLeft w:val="0"/>
          <w:marRight w:val="0"/>
          <w:marTop w:val="0"/>
          <w:marBottom w:val="0"/>
          <w:divBdr>
            <w:top w:val="none" w:sz="0" w:space="0" w:color="auto"/>
            <w:left w:val="none" w:sz="0" w:space="0" w:color="auto"/>
            <w:bottom w:val="none" w:sz="0" w:space="0" w:color="auto"/>
            <w:right w:val="none" w:sz="0" w:space="0" w:color="auto"/>
          </w:divBdr>
        </w:div>
        <w:div w:id="1153792562">
          <w:marLeft w:val="0"/>
          <w:marRight w:val="0"/>
          <w:marTop w:val="0"/>
          <w:marBottom w:val="0"/>
          <w:divBdr>
            <w:top w:val="none" w:sz="0" w:space="0" w:color="auto"/>
            <w:left w:val="none" w:sz="0" w:space="0" w:color="auto"/>
            <w:bottom w:val="none" w:sz="0" w:space="0" w:color="auto"/>
            <w:right w:val="none" w:sz="0" w:space="0" w:color="auto"/>
          </w:divBdr>
        </w:div>
        <w:div w:id="1159270413">
          <w:marLeft w:val="0"/>
          <w:marRight w:val="0"/>
          <w:marTop w:val="0"/>
          <w:marBottom w:val="0"/>
          <w:divBdr>
            <w:top w:val="none" w:sz="0" w:space="0" w:color="auto"/>
            <w:left w:val="none" w:sz="0" w:space="0" w:color="auto"/>
            <w:bottom w:val="none" w:sz="0" w:space="0" w:color="auto"/>
            <w:right w:val="none" w:sz="0" w:space="0" w:color="auto"/>
          </w:divBdr>
        </w:div>
        <w:div w:id="1160921051">
          <w:marLeft w:val="0"/>
          <w:marRight w:val="0"/>
          <w:marTop w:val="0"/>
          <w:marBottom w:val="0"/>
          <w:divBdr>
            <w:top w:val="none" w:sz="0" w:space="0" w:color="auto"/>
            <w:left w:val="none" w:sz="0" w:space="0" w:color="auto"/>
            <w:bottom w:val="none" w:sz="0" w:space="0" w:color="auto"/>
            <w:right w:val="none" w:sz="0" w:space="0" w:color="auto"/>
          </w:divBdr>
        </w:div>
        <w:div w:id="1162164908">
          <w:marLeft w:val="0"/>
          <w:marRight w:val="0"/>
          <w:marTop w:val="0"/>
          <w:marBottom w:val="0"/>
          <w:divBdr>
            <w:top w:val="none" w:sz="0" w:space="0" w:color="auto"/>
            <w:left w:val="none" w:sz="0" w:space="0" w:color="auto"/>
            <w:bottom w:val="none" w:sz="0" w:space="0" w:color="auto"/>
            <w:right w:val="none" w:sz="0" w:space="0" w:color="auto"/>
          </w:divBdr>
        </w:div>
        <w:div w:id="1172142813">
          <w:marLeft w:val="0"/>
          <w:marRight w:val="0"/>
          <w:marTop w:val="0"/>
          <w:marBottom w:val="0"/>
          <w:divBdr>
            <w:top w:val="none" w:sz="0" w:space="0" w:color="auto"/>
            <w:left w:val="none" w:sz="0" w:space="0" w:color="auto"/>
            <w:bottom w:val="none" w:sz="0" w:space="0" w:color="auto"/>
            <w:right w:val="none" w:sz="0" w:space="0" w:color="auto"/>
          </w:divBdr>
        </w:div>
        <w:div w:id="1187213904">
          <w:marLeft w:val="0"/>
          <w:marRight w:val="0"/>
          <w:marTop w:val="0"/>
          <w:marBottom w:val="0"/>
          <w:divBdr>
            <w:top w:val="none" w:sz="0" w:space="0" w:color="auto"/>
            <w:left w:val="none" w:sz="0" w:space="0" w:color="auto"/>
            <w:bottom w:val="none" w:sz="0" w:space="0" w:color="auto"/>
            <w:right w:val="none" w:sz="0" w:space="0" w:color="auto"/>
          </w:divBdr>
        </w:div>
        <w:div w:id="1187255640">
          <w:marLeft w:val="0"/>
          <w:marRight w:val="0"/>
          <w:marTop w:val="0"/>
          <w:marBottom w:val="0"/>
          <w:divBdr>
            <w:top w:val="none" w:sz="0" w:space="0" w:color="auto"/>
            <w:left w:val="none" w:sz="0" w:space="0" w:color="auto"/>
            <w:bottom w:val="none" w:sz="0" w:space="0" w:color="auto"/>
            <w:right w:val="none" w:sz="0" w:space="0" w:color="auto"/>
          </w:divBdr>
        </w:div>
        <w:div w:id="1190871306">
          <w:marLeft w:val="0"/>
          <w:marRight w:val="0"/>
          <w:marTop w:val="0"/>
          <w:marBottom w:val="0"/>
          <w:divBdr>
            <w:top w:val="none" w:sz="0" w:space="0" w:color="auto"/>
            <w:left w:val="none" w:sz="0" w:space="0" w:color="auto"/>
            <w:bottom w:val="none" w:sz="0" w:space="0" w:color="auto"/>
            <w:right w:val="none" w:sz="0" w:space="0" w:color="auto"/>
          </w:divBdr>
        </w:div>
        <w:div w:id="1191379147">
          <w:marLeft w:val="0"/>
          <w:marRight w:val="0"/>
          <w:marTop w:val="0"/>
          <w:marBottom w:val="0"/>
          <w:divBdr>
            <w:top w:val="none" w:sz="0" w:space="0" w:color="auto"/>
            <w:left w:val="none" w:sz="0" w:space="0" w:color="auto"/>
            <w:bottom w:val="none" w:sz="0" w:space="0" w:color="auto"/>
            <w:right w:val="none" w:sz="0" w:space="0" w:color="auto"/>
          </w:divBdr>
        </w:div>
        <w:div w:id="1193493995">
          <w:marLeft w:val="0"/>
          <w:marRight w:val="0"/>
          <w:marTop w:val="0"/>
          <w:marBottom w:val="0"/>
          <w:divBdr>
            <w:top w:val="none" w:sz="0" w:space="0" w:color="auto"/>
            <w:left w:val="none" w:sz="0" w:space="0" w:color="auto"/>
            <w:bottom w:val="none" w:sz="0" w:space="0" w:color="auto"/>
            <w:right w:val="none" w:sz="0" w:space="0" w:color="auto"/>
          </w:divBdr>
        </w:div>
        <w:div w:id="1205411721">
          <w:marLeft w:val="0"/>
          <w:marRight w:val="0"/>
          <w:marTop w:val="0"/>
          <w:marBottom w:val="0"/>
          <w:divBdr>
            <w:top w:val="none" w:sz="0" w:space="0" w:color="auto"/>
            <w:left w:val="none" w:sz="0" w:space="0" w:color="auto"/>
            <w:bottom w:val="none" w:sz="0" w:space="0" w:color="auto"/>
            <w:right w:val="none" w:sz="0" w:space="0" w:color="auto"/>
          </w:divBdr>
        </w:div>
        <w:div w:id="1205753826">
          <w:marLeft w:val="0"/>
          <w:marRight w:val="0"/>
          <w:marTop w:val="0"/>
          <w:marBottom w:val="0"/>
          <w:divBdr>
            <w:top w:val="none" w:sz="0" w:space="0" w:color="auto"/>
            <w:left w:val="none" w:sz="0" w:space="0" w:color="auto"/>
            <w:bottom w:val="none" w:sz="0" w:space="0" w:color="auto"/>
            <w:right w:val="none" w:sz="0" w:space="0" w:color="auto"/>
          </w:divBdr>
        </w:div>
        <w:div w:id="1208494428">
          <w:marLeft w:val="0"/>
          <w:marRight w:val="0"/>
          <w:marTop w:val="0"/>
          <w:marBottom w:val="0"/>
          <w:divBdr>
            <w:top w:val="none" w:sz="0" w:space="0" w:color="auto"/>
            <w:left w:val="none" w:sz="0" w:space="0" w:color="auto"/>
            <w:bottom w:val="none" w:sz="0" w:space="0" w:color="auto"/>
            <w:right w:val="none" w:sz="0" w:space="0" w:color="auto"/>
          </w:divBdr>
        </w:div>
        <w:div w:id="1220291124">
          <w:marLeft w:val="0"/>
          <w:marRight w:val="0"/>
          <w:marTop w:val="0"/>
          <w:marBottom w:val="0"/>
          <w:divBdr>
            <w:top w:val="none" w:sz="0" w:space="0" w:color="auto"/>
            <w:left w:val="none" w:sz="0" w:space="0" w:color="auto"/>
            <w:bottom w:val="none" w:sz="0" w:space="0" w:color="auto"/>
            <w:right w:val="none" w:sz="0" w:space="0" w:color="auto"/>
          </w:divBdr>
        </w:div>
        <w:div w:id="1223754215">
          <w:marLeft w:val="0"/>
          <w:marRight w:val="0"/>
          <w:marTop w:val="0"/>
          <w:marBottom w:val="0"/>
          <w:divBdr>
            <w:top w:val="none" w:sz="0" w:space="0" w:color="auto"/>
            <w:left w:val="none" w:sz="0" w:space="0" w:color="auto"/>
            <w:bottom w:val="none" w:sz="0" w:space="0" w:color="auto"/>
            <w:right w:val="none" w:sz="0" w:space="0" w:color="auto"/>
          </w:divBdr>
        </w:div>
        <w:div w:id="1225607971">
          <w:marLeft w:val="0"/>
          <w:marRight w:val="0"/>
          <w:marTop w:val="0"/>
          <w:marBottom w:val="0"/>
          <w:divBdr>
            <w:top w:val="none" w:sz="0" w:space="0" w:color="auto"/>
            <w:left w:val="none" w:sz="0" w:space="0" w:color="auto"/>
            <w:bottom w:val="none" w:sz="0" w:space="0" w:color="auto"/>
            <w:right w:val="none" w:sz="0" w:space="0" w:color="auto"/>
          </w:divBdr>
        </w:div>
        <w:div w:id="1250893298">
          <w:marLeft w:val="0"/>
          <w:marRight w:val="0"/>
          <w:marTop w:val="0"/>
          <w:marBottom w:val="0"/>
          <w:divBdr>
            <w:top w:val="none" w:sz="0" w:space="0" w:color="auto"/>
            <w:left w:val="none" w:sz="0" w:space="0" w:color="auto"/>
            <w:bottom w:val="none" w:sz="0" w:space="0" w:color="auto"/>
            <w:right w:val="none" w:sz="0" w:space="0" w:color="auto"/>
          </w:divBdr>
        </w:div>
        <w:div w:id="1264922350">
          <w:marLeft w:val="0"/>
          <w:marRight w:val="0"/>
          <w:marTop w:val="0"/>
          <w:marBottom w:val="0"/>
          <w:divBdr>
            <w:top w:val="none" w:sz="0" w:space="0" w:color="auto"/>
            <w:left w:val="none" w:sz="0" w:space="0" w:color="auto"/>
            <w:bottom w:val="none" w:sz="0" w:space="0" w:color="auto"/>
            <w:right w:val="none" w:sz="0" w:space="0" w:color="auto"/>
          </w:divBdr>
        </w:div>
        <w:div w:id="1267807508">
          <w:marLeft w:val="0"/>
          <w:marRight w:val="0"/>
          <w:marTop w:val="0"/>
          <w:marBottom w:val="0"/>
          <w:divBdr>
            <w:top w:val="none" w:sz="0" w:space="0" w:color="auto"/>
            <w:left w:val="none" w:sz="0" w:space="0" w:color="auto"/>
            <w:bottom w:val="none" w:sz="0" w:space="0" w:color="auto"/>
            <w:right w:val="none" w:sz="0" w:space="0" w:color="auto"/>
          </w:divBdr>
        </w:div>
        <w:div w:id="1270972340">
          <w:marLeft w:val="0"/>
          <w:marRight w:val="0"/>
          <w:marTop w:val="0"/>
          <w:marBottom w:val="0"/>
          <w:divBdr>
            <w:top w:val="none" w:sz="0" w:space="0" w:color="auto"/>
            <w:left w:val="none" w:sz="0" w:space="0" w:color="auto"/>
            <w:bottom w:val="none" w:sz="0" w:space="0" w:color="auto"/>
            <w:right w:val="none" w:sz="0" w:space="0" w:color="auto"/>
          </w:divBdr>
        </w:div>
        <w:div w:id="1271159023">
          <w:marLeft w:val="0"/>
          <w:marRight w:val="0"/>
          <w:marTop w:val="0"/>
          <w:marBottom w:val="0"/>
          <w:divBdr>
            <w:top w:val="none" w:sz="0" w:space="0" w:color="auto"/>
            <w:left w:val="none" w:sz="0" w:space="0" w:color="auto"/>
            <w:bottom w:val="none" w:sz="0" w:space="0" w:color="auto"/>
            <w:right w:val="none" w:sz="0" w:space="0" w:color="auto"/>
          </w:divBdr>
        </w:div>
        <w:div w:id="1272589276">
          <w:marLeft w:val="0"/>
          <w:marRight w:val="0"/>
          <w:marTop w:val="0"/>
          <w:marBottom w:val="0"/>
          <w:divBdr>
            <w:top w:val="none" w:sz="0" w:space="0" w:color="auto"/>
            <w:left w:val="none" w:sz="0" w:space="0" w:color="auto"/>
            <w:bottom w:val="none" w:sz="0" w:space="0" w:color="auto"/>
            <w:right w:val="none" w:sz="0" w:space="0" w:color="auto"/>
          </w:divBdr>
        </w:div>
        <w:div w:id="1277177969">
          <w:marLeft w:val="0"/>
          <w:marRight w:val="0"/>
          <w:marTop w:val="0"/>
          <w:marBottom w:val="0"/>
          <w:divBdr>
            <w:top w:val="none" w:sz="0" w:space="0" w:color="auto"/>
            <w:left w:val="none" w:sz="0" w:space="0" w:color="auto"/>
            <w:bottom w:val="none" w:sz="0" w:space="0" w:color="auto"/>
            <w:right w:val="none" w:sz="0" w:space="0" w:color="auto"/>
          </w:divBdr>
        </w:div>
        <w:div w:id="1279528664">
          <w:marLeft w:val="0"/>
          <w:marRight w:val="0"/>
          <w:marTop w:val="0"/>
          <w:marBottom w:val="0"/>
          <w:divBdr>
            <w:top w:val="none" w:sz="0" w:space="0" w:color="auto"/>
            <w:left w:val="none" w:sz="0" w:space="0" w:color="auto"/>
            <w:bottom w:val="none" w:sz="0" w:space="0" w:color="auto"/>
            <w:right w:val="none" w:sz="0" w:space="0" w:color="auto"/>
          </w:divBdr>
        </w:div>
        <w:div w:id="1281493480">
          <w:marLeft w:val="0"/>
          <w:marRight w:val="0"/>
          <w:marTop w:val="0"/>
          <w:marBottom w:val="0"/>
          <w:divBdr>
            <w:top w:val="none" w:sz="0" w:space="0" w:color="auto"/>
            <w:left w:val="none" w:sz="0" w:space="0" w:color="auto"/>
            <w:bottom w:val="none" w:sz="0" w:space="0" w:color="auto"/>
            <w:right w:val="none" w:sz="0" w:space="0" w:color="auto"/>
          </w:divBdr>
        </w:div>
        <w:div w:id="1282613436">
          <w:marLeft w:val="0"/>
          <w:marRight w:val="0"/>
          <w:marTop w:val="0"/>
          <w:marBottom w:val="0"/>
          <w:divBdr>
            <w:top w:val="none" w:sz="0" w:space="0" w:color="auto"/>
            <w:left w:val="none" w:sz="0" w:space="0" w:color="auto"/>
            <w:bottom w:val="none" w:sz="0" w:space="0" w:color="auto"/>
            <w:right w:val="none" w:sz="0" w:space="0" w:color="auto"/>
          </w:divBdr>
        </w:div>
        <w:div w:id="1294366090">
          <w:marLeft w:val="0"/>
          <w:marRight w:val="0"/>
          <w:marTop w:val="0"/>
          <w:marBottom w:val="0"/>
          <w:divBdr>
            <w:top w:val="none" w:sz="0" w:space="0" w:color="auto"/>
            <w:left w:val="none" w:sz="0" w:space="0" w:color="auto"/>
            <w:bottom w:val="none" w:sz="0" w:space="0" w:color="auto"/>
            <w:right w:val="none" w:sz="0" w:space="0" w:color="auto"/>
          </w:divBdr>
        </w:div>
        <w:div w:id="1320960954">
          <w:marLeft w:val="0"/>
          <w:marRight w:val="0"/>
          <w:marTop w:val="0"/>
          <w:marBottom w:val="0"/>
          <w:divBdr>
            <w:top w:val="none" w:sz="0" w:space="0" w:color="auto"/>
            <w:left w:val="none" w:sz="0" w:space="0" w:color="auto"/>
            <w:bottom w:val="none" w:sz="0" w:space="0" w:color="auto"/>
            <w:right w:val="none" w:sz="0" w:space="0" w:color="auto"/>
          </w:divBdr>
        </w:div>
        <w:div w:id="1326932477">
          <w:marLeft w:val="0"/>
          <w:marRight w:val="0"/>
          <w:marTop w:val="0"/>
          <w:marBottom w:val="0"/>
          <w:divBdr>
            <w:top w:val="none" w:sz="0" w:space="0" w:color="auto"/>
            <w:left w:val="none" w:sz="0" w:space="0" w:color="auto"/>
            <w:bottom w:val="none" w:sz="0" w:space="0" w:color="auto"/>
            <w:right w:val="none" w:sz="0" w:space="0" w:color="auto"/>
          </w:divBdr>
        </w:div>
        <w:div w:id="1329557843">
          <w:marLeft w:val="0"/>
          <w:marRight w:val="0"/>
          <w:marTop w:val="0"/>
          <w:marBottom w:val="0"/>
          <w:divBdr>
            <w:top w:val="none" w:sz="0" w:space="0" w:color="auto"/>
            <w:left w:val="none" w:sz="0" w:space="0" w:color="auto"/>
            <w:bottom w:val="none" w:sz="0" w:space="0" w:color="auto"/>
            <w:right w:val="none" w:sz="0" w:space="0" w:color="auto"/>
          </w:divBdr>
        </w:div>
        <w:div w:id="1333602237">
          <w:marLeft w:val="0"/>
          <w:marRight w:val="0"/>
          <w:marTop w:val="0"/>
          <w:marBottom w:val="0"/>
          <w:divBdr>
            <w:top w:val="none" w:sz="0" w:space="0" w:color="auto"/>
            <w:left w:val="none" w:sz="0" w:space="0" w:color="auto"/>
            <w:bottom w:val="none" w:sz="0" w:space="0" w:color="auto"/>
            <w:right w:val="none" w:sz="0" w:space="0" w:color="auto"/>
          </w:divBdr>
        </w:div>
        <w:div w:id="1334993040">
          <w:marLeft w:val="0"/>
          <w:marRight w:val="0"/>
          <w:marTop w:val="0"/>
          <w:marBottom w:val="0"/>
          <w:divBdr>
            <w:top w:val="none" w:sz="0" w:space="0" w:color="auto"/>
            <w:left w:val="none" w:sz="0" w:space="0" w:color="auto"/>
            <w:bottom w:val="none" w:sz="0" w:space="0" w:color="auto"/>
            <w:right w:val="none" w:sz="0" w:space="0" w:color="auto"/>
          </w:divBdr>
        </w:div>
        <w:div w:id="1343162349">
          <w:marLeft w:val="0"/>
          <w:marRight w:val="0"/>
          <w:marTop w:val="0"/>
          <w:marBottom w:val="0"/>
          <w:divBdr>
            <w:top w:val="none" w:sz="0" w:space="0" w:color="auto"/>
            <w:left w:val="none" w:sz="0" w:space="0" w:color="auto"/>
            <w:bottom w:val="none" w:sz="0" w:space="0" w:color="auto"/>
            <w:right w:val="none" w:sz="0" w:space="0" w:color="auto"/>
          </w:divBdr>
        </w:div>
        <w:div w:id="1347291467">
          <w:marLeft w:val="0"/>
          <w:marRight w:val="0"/>
          <w:marTop w:val="0"/>
          <w:marBottom w:val="0"/>
          <w:divBdr>
            <w:top w:val="none" w:sz="0" w:space="0" w:color="auto"/>
            <w:left w:val="none" w:sz="0" w:space="0" w:color="auto"/>
            <w:bottom w:val="none" w:sz="0" w:space="0" w:color="auto"/>
            <w:right w:val="none" w:sz="0" w:space="0" w:color="auto"/>
          </w:divBdr>
        </w:div>
        <w:div w:id="1347367771">
          <w:marLeft w:val="0"/>
          <w:marRight w:val="0"/>
          <w:marTop w:val="0"/>
          <w:marBottom w:val="0"/>
          <w:divBdr>
            <w:top w:val="none" w:sz="0" w:space="0" w:color="auto"/>
            <w:left w:val="none" w:sz="0" w:space="0" w:color="auto"/>
            <w:bottom w:val="none" w:sz="0" w:space="0" w:color="auto"/>
            <w:right w:val="none" w:sz="0" w:space="0" w:color="auto"/>
          </w:divBdr>
        </w:div>
        <w:div w:id="1349867779">
          <w:marLeft w:val="0"/>
          <w:marRight w:val="0"/>
          <w:marTop w:val="0"/>
          <w:marBottom w:val="0"/>
          <w:divBdr>
            <w:top w:val="none" w:sz="0" w:space="0" w:color="auto"/>
            <w:left w:val="none" w:sz="0" w:space="0" w:color="auto"/>
            <w:bottom w:val="none" w:sz="0" w:space="0" w:color="auto"/>
            <w:right w:val="none" w:sz="0" w:space="0" w:color="auto"/>
          </w:divBdr>
        </w:div>
        <w:div w:id="1350335539">
          <w:marLeft w:val="0"/>
          <w:marRight w:val="0"/>
          <w:marTop w:val="0"/>
          <w:marBottom w:val="0"/>
          <w:divBdr>
            <w:top w:val="none" w:sz="0" w:space="0" w:color="auto"/>
            <w:left w:val="none" w:sz="0" w:space="0" w:color="auto"/>
            <w:bottom w:val="none" w:sz="0" w:space="0" w:color="auto"/>
            <w:right w:val="none" w:sz="0" w:space="0" w:color="auto"/>
          </w:divBdr>
        </w:div>
        <w:div w:id="1358965940">
          <w:marLeft w:val="0"/>
          <w:marRight w:val="0"/>
          <w:marTop w:val="0"/>
          <w:marBottom w:val="0"/>
          <w:divBdr>
            <w:top w:val="none" w:sz="0" w:space="0" w:color="auto"/>
            <w:left w:val="none" w:sz="0" w:space="0" w:color="auto"/>
            <w:bottom w:val="none" w:sz="0" w:space="0" w:color="auto"/>
            <w:right w:val="none" w:sz="0" w:space="0" w:color="auto"/>
          </w:divBdr>
        </w:div>
        <w:div w:id="1360862281">
          <w:marLeft w:val="0"/>
          <w:marRight w:val="0"/>
          <w:marTop w:val="0"/>
          <w:marBottom w:val="0"/>
          <w:divBdr>
            <w:top w:val="none" w:sz="0" w:space="0" w:color="auto"/>
            <w:left w:val="none" w:sz="0" w:space="0" w:color="auto"/>
            <w:bottom w:val="none" w:sz="0" w:space="0" w:color="auto"/>
            <w:right w:val="none" w:sz="0" w:space="0" w:color="auto"/>
          </w:divBdr>
        </w:div>
        <w:div w:id="1362391558">
          <w:marLeft w:val="0"/>
          <w:marRight w:val="0"/>
          <w:marTop w:val="0"/>
          <w:marBottom w:val="0"/>
          <w:divBdr>
            <w:top w:val="none" w:sz="0" w:space="0" w:color="auto"/>
            <w:left w:val="none" w:sz="0" w:space="0" w:color="auto"/>
            <w:bottom w:val="none" w:sz="0" w:space="0" w:color="auto"/>
            <w:right w:val="none" w:sz="0" w:space="0" w:color="auto"/>
          </w:divBdr>
        </w:div>
        <w:div w:id="1365329713">
          <w:marLeft w:val="0"/>
          <w:marRight w:val="0"/>
          <w:marTop w:val="0"/>
          <w:marBottom w:val="0"/>
          <w:divBdr>
            <w:top w:val="none" w:sz="0" w:space="0" w:color="auto"/>
            <w:left w:val="none" w:sz="0" w:space="0" w:color="auto"/>
            <w:bottom w:val="none" w:sz="0" w:space="0" w:color="auto"/>
            <w:right w:val="none" w:sz="0" w:space="0" w:color="auto"/>
          </w:divBdr>
        </w:div>
        <w:div w:id="1388917605">
          <w:marLeft w:val="0"/>
          <w:marRight w:val="0"/>
          <w:marTop w:val="0"/>
          <w:marBottom w:val="0"/>
          <w:divBdr>
            <w:top w:val="none" w:sz="0" w:space="0" w:color="auto"/>
            <w:left w:val="none" w:sz="0" w:space="0" w:color="auto"/>
            <w:bottom w:val="none" w:sz="0" w:space="0" w:color="auto"/>
            <w:right w:val="none" w:sz="0" w:space="0" w:color="auto"/>
          </w:divBdr>
        </w:div>
        <w:div w:id="1396120214">
          <w:marLeft w:val="0"/>
          <w:marRight w:val="0"/>
          <w:marTop w:val="0"/>
          <w:marBottom w:val="0"/>
          <w:divBdr>
            <w:top w:val="none" w:sz="0" w:space="0" w:color="auto"/>
            <w:left w:val="none" w:sz="0" w:space="0" w:color="auto"/>
            <w:bottom w:val="none" w:sz="0" w:space="0" w:color="auto"/>
            <w:right w:val="none" w:sz="0" w:space="0" w:color="auto"/>
          </w:divBdr>
        </w:div>
        <w:div w:id="1413311213">
          <w:marLeft w:val="0"/>
          <w:marRight w:val="0"/>
          <w:marTop w:val="0"/>
          <w:marBottom w:val="0"/>
          <w:divBdr>
            <w:top w:val="none" w:sz="0" w:space="0" w:color="auto"/>
            <w:left w:val="none" w:sz="0" w:space="0" w:color="auto"/>
            <w:bottom w:val="none" w:sz="0" w:space="0" w:color="auto"/>
            <w:right w:val="none" w:sz="0" w:space="0" w:color="auto"/>
          </w:divBdr>
        </w:div>
        <w:div w:id="1419718819">
          <w:marLeft w:val="0"/>
          <w:marRight w:val="0"/>
          <w:marTop w:val="0"/>
          <w:marBottom w:val="0"/>
          <w:divBdr>
            <w:top w:val="none" w:sz="0" w:space="0" w:color="auto"/>
            <w:left w:val="none" w:sz="0" w:space="0" w:color="auto"/>
            <w:bottom w:val="none" w:sz="0" w:space="0" w:color="auto"/>
            <w:right w:val="none" w:sz="0" w:space="0" w:color="auto"/>
          </w:divBdr>
        </w:div>
        <w:div w:id="1432626504">
          <w:marLeft w:val="0"/>
          <w:marRight w:val="0"/>
          <w:marTop w:val="0"/>
          <w:marBottom w:val="0"/>
          <w:divBdr>
            <w:top w:val="none" w:sz="0" w:space="0" w:color="auto"/>
            <w:left w:val="none" w:sz="0" w:space="0" w:color="auto"/>
            <w:bottom w:val="none" w:sz="0" w:space="0" w:color="auto"/>
            <w:right w:val="none" w:sz="0" w:space="0" w:color="auto"/>
          </w:divBdr>
        </w:div>
        <w:div w:id="1438912412">
          <w:marLeft w:val="0"/>
          <w:marRight w:val="0"/>
          <w:marTop w:val="0"/>
          <w:marBottom w:val="0"/>
          <w:divBdr>
            <w:top w:val="none" w:sz="0" w:space="0" w:color="auto"/>
            <w:left w:val="none" w:sz="0" w:space="0" w:color="auto"/>
            <w:bottom w:val="none" w:sz="0" w:space="0" w:color="auto"/>
            <w:right w:val="none" w:sz="0" w:space="0" w:color="auto"/>
          </w:divBdr>
        </w:div>
        <w:div w:id="1446773581">
          <w:marLeft w:val="0"/>
          <w:marRight w:val="0"/>
          <w:marTop w:val="0"/>
          <w:marBottom w:val="0"/>
          <w:divBdr>
            <w:top w:val="none" w:sz="0" w:space="0" w:color="auto"/>
            <w:left w:val="none" w:sz="0" w:space="0" w:color="auto"/>
            <w:bottom w:val="none" w:sz="0" w:space="0" w:color="auto"/>
            <w:right w:val="none" w:sz="0" w:space="0" w:color="auto"/>
          </w:divBdr>
        </w:div>
        <w:div w:id="1464885769">
          <w:marLeft w:val="0"/>
          <w:marRight w:val="0"/>
          <w:marTop w:val="0"/>
          <w:marBottom w:val="0"/>
          <w:divBdr>
            <w:top w:val="none" w:sz="0" w:space="0" w:color="auto"/>
            <w:left w:val="none" w:sz="0" w:space="0" w:color="auto"/>
            <w:bottom w:val="none" w:sz="0" w:space="0" w:color="auto"/>
            <w:right w:val="none" w:sz="0" w:space="0" w:color="auto"/>
          </w:divBdr>
        </w:div>
        <w:div w:id="1467700855">
          <w:marLeft w:val="0"/>
          <w:marRight w:val="0"/>
          <w:marTop w:val="0"/>
          <w:marBottom w:val="0"/>
          <w:divBdr>
            <w:top w:val="none" w:sz="0" w:space="0" w:color="auto"/>
            <w:left w:val="none" w:sz="0" w:space="0" w:color="auto"/>
            <w:bottom w:val="none" w:sz="0" w:space="0" w:color="auto"/>
            <w:right w:val="none" w:sz="0" w:space="0" w:color="auto"/>
          </w:divBdr>
        </w:div>
        <w:div w:id="1480800330">
          <w:marLeft w:val="0"/>
          <w:marRight w:val="0"/>
          <w:marTop w:val="0"/>
          <w:marBottom w:val="0"/>
          <w:divBdr>
            <w:top w:val="none" w:sz="0" w:space="0" w:color="auto"/>
            <w:left w:val="none" w:sz="0" w:space="0" w:color="auto"/>
            <w:bottom w:val="none" w:sz="0" w:space="0" w:color="auto"/>
            <w:right w:val="none" w:sz="0" w:space="0" w:color="auto"/>
          </w:divBdr>
        </w:div>
        <w:div w:id="1481843282">
          <w:marLeft w:val="0"/>
          <w:marRight w:val="0"/>
          <w:marTop w:val="0"/>
          <w:marBottom w:val="0"/>
          <w:divBdr>
            <w:top w:val="none" w:sz="0" w:space="0" w:color="auto"/>
            <w:left w:val="none" w:sz="0" w:space="0" w:color="auto"/>
            <w:bottom w:val="none" w:sz="0" w:space="0" w:color="auto"/>
            <w:right w:val="none" w:sz="0" w:space="0" w:color="auto"/>
          </w:divBdr>
        </w:div>
        <w:div w:id="1482504599">
          <w:marLeft w:val="0"/>
          <w:marRight w:val="0"/>
          <w:marTop w:val="0"/>
          <w:marBottom w:val="0"/>
          <w:divBdr>
            <w:top w:val="none" w:sz="0" w:space="0" w:color="auto"/>
            <w:left w:val="none" w:sz="0" w:space="0" w:color="auto"/>
            <w:bottom w:val="none" w:sz="0" w:space="0" w:color="auto"/>
            <w:right w:val="none" w:sz="0" w:space="0" w:color="auto"/>
          </w:divBdr>
        </w:div>
        <w:div w:id="1491211683">
          <w:marLeft w:val="0"/>
          <w:marRight w:val="0"/>
          <w:marTop w:val="0"/>
          <w:marBottom w:val="0"/>
          <w:divBdr>
            <w:top w:val="none" w:sz="0" w:space="0" w:color="auto"/>
            <w:left w:val="none" w:sz="0" w:space="0" w:color="auto"/>
            <w:bottom w:val="none" w:sz="0" w:space="0" w:color="auto"/>
            <w:right w:val="none" w:sz="0" w:space="0" w:color="auto"/>
          </w:divBdr>
        </w:div>
        <w:div w:id="1494878449">
          <w:marLeft w:val="0"/>
          <w:marRight w:val="0"/>
          <w:marTop w:val="0"/>
          <w:marBottom w:val="0"/>
          <w:divBdr>
            <w:top w:val="none" w:sz="0" w:space="0" w:color="auto"/>
            <w:left w:val="none" w:sz="0" w:space="0" w:color="auto"/>
            <w:bottom w:val="none" w:sz="0" w:space="0" w:color="auto"/>
            <w:right w:val="none" w:sz="0" w:space="0" w:color="auto"/>
          </w:divBdr>
        </w:div>
        <w:div w:id="1497961988">
          <w:marLeft w:val="0"/>
          <w:marRight w:val="0"/>
          <w:marTop w:val="0"/>
          <w:marBottom w:val="0"/>
          <w:divBdr>
            <w:top w:val="none" w:sz="0" w:space="0" w:color="auto"/>
            <w:left w:val="none" w:sz="0" w:space="0" w:color="auto"/>
            <w:bottom w:val="none" w:sz="0" w:space="0" w:color="auto"/>
            <w:right w:val="none" w:sz="0" w:space="0" w:color="auto"/>
          </w:divBdr>
        </w:div>
        <w:div w:id="1498304540">
          <w:marLeft w:val="0"/>
          <w:marRight w:val="0"/>
          <w:marTop w:val="0"/>
          <w:marBottom w:val="0"/>
          <w:divBdr>
            <w:top w:val="none" w:sz="0" w:space="0" w:color="auto"/>
            <w:left w:val="none" w:sz="0" w:space="0" w:color="auto"/>
            <w:bottom w:val="none" w:sz="0" w:space="0" w:color="auto"/>
            <w:right w:val="none" w:sz="0" w:space="0" w:color="auto"/>
          </w:divBdr>
        </w:div>
        <w:div w:id="1504004078">
          <w:marLeft w:val="0"/>
          <w:marRight w:val="0"/>
          <w:marTop w:val="0"/>
          <w:marBottom w:val="0"/>
          <w:divBdr>
            <w:top w:val="none" w:sz="0" w:space="0" w:color="auto"/>
            <w:left w:val="none" w:sz="0" w:space="0" w:color="auto"/>
            <w:bottom w:val="none" w:sz="0" w:space="0" w:color="auto"/>
            <w:right w:val="none" w:sz="0" w:space="0" w:color="auto"/>
          </w:divBdr>
        </w:div>
        <w:div w:id="1507093434">
          <w:marLeft w:val="0"/>
          <w:marRight w:val="0"/>
          <w:marTop w:val="0"/>
          <w:marBottom w:val="0"/>
          <w:divBdr>
            <w:top w:val="none" w:sz="0" w:space="0" w:color="auto"/>
            <w:left w:val="none" w:sz="0" w:space="0" w:color="auto"/>
            <w:bottom w:val="none" w:sz="0" w:space="0" w:color="auto"/>
            <w:right w:val="none" w:sz="0" w:space="0" w:color="auto"/>
          </w:divBdr>
        </w:div>
        <w:div w:id="1512915999">
          <w:marLeft w:val="0"/>
          <w:marRight w:val="0"/>
          <w:marTop w:val="0"/>
          <w:marBottom w:val="0"/>
          <w:divBdr>
            <w:top w:val="none" w:sz="0" w:space="0" w:color="auto"/>
            <w:left w:val="none" w:sz="0" w:space="0" w:color="auto"/>
            <w:bottom w:val="none" w:sz="0" w:space="0" w:color="auto"/>
            <w:right w:val="none" w:sz="0" w:space="0" w:color="auto"/>
          </w:divBdr>
        </w:div>
        <w:div w:id="1531794578">
          <w:marLeft w:val="0"/>
          <w:marRight w:val="0"/>
          <w:marTop w:val="0"/>
          <w:marBottom w:val="0"/>
          <w:divBdr>
            <w:top w:val="none" w:sz="0" w:space="0" w:color="auto"/>
            <w:left w:val="none" w:sz="0" w:space="0" w:color="auto"/>
            <w:bottom w:val="none" w:sz="0" w:space="0" w:color="auto"/>
            <w:right w:val="none" w:sz="0" w:space="0" w:color="auto"/>
          </w:divBdr>
        </w:div>
        <w:div w:id="1532382960">
          <w:marLeft w:val="0"/>
          <w:marRight w:val="0"/>
          <w:marTop w:val="0"/>
          <w:marBottom w:val="0"/>
          <w:divBdr>
            <w:top w:val="none" w:sz="0" w:space="0" w:color="auto"/>
            <w:left w:val="none" w:sz="0" w:space="0" w:color="auto"/>
            <w:bottom w:val="none" w:sz="0" w:space="0" w:color="auto"/>
            <w:right w:val="none" w:sz="0" w:space="0" w:color="auto"/>
          </w:divBdr>
        </w:div>
        <w:div w:id="1535918643">
          <w:marLeft w:val="0"/>
          <w:marRight w:val="0"/>
          <w:marTop w:val="0"/>
          <w:marBottom w:val="0"/>
          <w:divBdr>
            <w:top w:val="none" w:sz="0" w:space="0" w:color="auto"/>
            <w:left w:val="none" w:sz="0" w:space="0" w:color="auto"/>
            <w:bottom w:val="none" w:sz="0" w:space="0" w:color="auto"/>
            <w:right w:val="none" w:sz="0" w:space="0" w:color="auto"/>
          </w:divBdr>
        </w:div>
        <w:div w:id="1536968847">
          <w:marLeft w:val="0"/>
          <w:marRight w:val="0"/>
          <w:marTop w:val="0"/>
          <w:marBottom w:val="0"/>
          <w:divBdr>
            <w:top w:val="none" w:sz="0" w:space="0" w:color="auto"/>
            <w:left w:val="none" w:sz="0" w:space="0" w:color="auto"/>
            <w:bottom w:val="none" w:sz="0" w:space="0" w:color="auto"/>
            <w:right w:val="none" w:sz="0" w:space="0" w:color="auto"/>
          </w:divBdr>
        </w:div>
        <w:div w:id="1544560029">
          <w:marLeft w:val="0"/>
          <w:marRight w:val="0"/>
          <w:marTop w:val="0"/>
          <w:marBottom w:val="0"/>
          <w:divBdr>
            <w:top w:val="none" w:sz="0" w:space="0" w:color="auto"/>
            <w:left w:val="none" w:sz="0" w:space="0" w:color="auto"/>
            <w:bottom w:val="none" w:sz="0" w:space="0" w:color="auto"/>
            <w:right w:val="none" w:sz="0" w:space="0" w:color="auto"/>
          </w:divBdr>
        </w:div>
        <w:div w:id="1544899578">
          <w:marLeft w:val="0"/>
          <w:marRight w:val="0"/>
          <w:marTop w:val="0"/>
          <w:marBottom w:val="0"/>
          <w:divBdr>
            <w:top w:val="none" w:sz="0" w:space="0" w:color="auto"/>
            <w:left w:val="none" w:sz="0" w:space="0" w:color="auto"/>
            <w:bottom w:val="none" w:sz="0" w:space="0" w:color="auto"/>
            <w:right w:val="none" w:sz="0" w:space="0" w:color="auto"/>
          </w:divBdr>
        </w:div>
        <w:div w:id="1550149954">
          <w:marLeft w:val="0"/>
          <w:marRight w:val="0"/>
          <w:marTop w:val="0"/>
          <w:marBottom w:val="0"/>
          <w:divBdr>
            <w:top w:val="none" w:sz="0" w:space="0" w:color="auto"/>
            <w:left w:val="none" w:sz="0" w:space="0" w:color="auto"/>
            <w:bottom w:val="none" w:sz="0" w:space="0" w:color="auto"/>
            <w:right w:val="none" w:sz="0" w:space="0" w:color="auto"/>
          </w:divBdr>
        </w:div>
        <w:div w:id="1554805172">
          <w:marLeft w:val="0"/>
          <w:marRight w:val="0"/>
          <w:marTop w:val="0"/>
          <w:marBottom w:val="0"/>
          <w:divBdr>
            <w:top w:val="none" w:sz="0" w:space="0" w:color="auto"/>
            <w:left w:val="none" w:sz="0" w:space="0" w:color="auto"/>
            <w:bottom w:val="none" w:sz="0" w:space="0" w:color="auto"/>
            <w:right w:val="none" w:sz="0" w:space="0" w:color="auto"/>
          </w:divBdr>
        </w:div>
        <w:div w:id="1559631672">
          <w:marLeft w:val="0"/>
          <w:marRight w:val="0"/>
          <w:marTop w:val="0"/>
          <w:marBottom w:val="0"/>
          <w:divBdr>
            <w:top w:val="none" w:sz="0" w:space="0" w:color="auto"/>
            <w:left w:val="none" w:sz="0" w:space="0" w:color="auto"/>
            <w:bottom w:val="none" w:sz="0" w:space="0" w:color="auto"/>
            <w:right w:val="none" w:sz="0" w:space="0" w:color="auto"/>
          </w:divBdr>
        </w:div>
        <w:div w:id="1561671952">
          <w:marLeft w:val="0"/>
          <w:marRight w:val="0"/>
          <w:marTop w:val="0"/>
          <w:marBottom w:val="0"/>
          <w:divBdr>
            <w:top w:val="none" w:sz="0" w:space="0" w:color="auto"/>
            <w:left w:val="none" w:sz="0" w:space="0" w:color="auto"/>
            <w:bottom w:val="none" w:sz="0" w:space="0" w:color="auto"/>
            <w:right w:val="none" w:sz="0" w:space="0" w:color="auto"/>
          </w:divBdr>
        </w:div>
        <w:div w:id="1584290997">
          <w:marLeft w:val="0"/>
          <w:marRight w:val="0"/>
          <w:marTop w:val="0"/>
          <w:marBottom w:val="0"/>
          <w:divBdr>
            <w:top w:val="none" w:sz="0" w:space="0" w:color="auto"/>
            <w:left w:val="none" w:sz="0" w:space="0" w:color="auto"/>
            <w:bottom w:val="none" w:sz="0" w:space="0" w:color="auto"/>
            <w:right w:val="none" w:sz="0" w:space="0" w:color="auto"/>
          </w:divBdr>
        </w:div>
        <w:div w:id="1584758523">
          <w:marLeft w:val="0"/>
          <w:marRight w:val="0"/>
          <w:marTop w:val="0"/>
          <w:marBottom w:val="0"/>
          <w:divBdr>
            <w:top w:val="none" w:sz="0" w:space="0" w:color="auto"/>
            <w:left w:val="none" w:sz="0" w:space="0" w:color="auto"/>
            <w:bottom w:val="none" w:sz="0" w:space="0" w:color="auto"/>
            <w:right w:val="none" w:sz="0" w:space="0" w:color="auto"/>
          </w:divBdr>
        </w:div>
        <w:div w:id="1585072452">
          <w:marLeft w:val="0"/>
          <w:marRight w:val="0"/>
          <w:marTop w:val="0"/>
          <w:marBottom w:val="0"/>
          <w:divBdr>
            <w:top w:val="none" w:sz="0" w:space="0" w:color="auto"/>
            <w:left w:val="none" w:sz="0" w:space="0" w:color="auto"/>
            <w:bottom w:val="none" w:sz="0" w:space="0" w:color="auto"/>
            <w:right w:val="none" w:sz="0" w:space="0" w:color="auto"/>
          </w:divBdr>
        </w:div>
        <w:div w:id="1592664986">
          <w:marLeft w:val="0"/>
          <w:marRight w:val="0"/>
          <w:marTop w:val="0"/>
          <w:marBottom w:val="0"/>
          <w:divBdr>
            <w:top w:val="none" w:sz="0" w:space="0" w:color="auto"/>
            <w:left w:val="none" w:sz="0" w:space="0" w:color="auto"/>
            <w:bottom w:val="none" w:sz="0" w:space="0" w:color="auto"/>
            <w:right w:val="none" w:sz="0" w:space="0" w:color="auto"/>
          </w:divBdr>
        </w:div>
        <w:div w:id="1605377539">
          <w:marLeft w:val="0"/>
          <w:marRight w:val="0"/>
          <w:marTop w:val="0"/>
          <w:marBottom w:val="0"/>
          <w:divBdr>
            <w:top w:val="none" w:sz="0" w:space="0" w:color="auto"/>
            <w:left w:val="none" w:sz="0" w:space="0" w:color="auto"/>
            <w:bottom w:val="none" w:sz="0" w:space="0" w:color="auto"/>
            <w:right w:val="none" w:sz="0" w:space="0" w:color="auto"/>
          </w:divBdr>
        </w:div>
        <w:div w:id="1608005612">
          <w:marLeft w:val="0"/>
          <w:marRight w:val="0"/>
          <w:marTop w:val="0"/>
          <w:marBottom w:val="0"/>
          <w:divBdr>
            <w:top w:val="none" w:sz="0" w:space="0" w:color="auto"/>
            <w:left w:val="none" w:sz="0" w:space="0" w:color="auto"/>
            <w:bottom w:val="none" w:sz="0" w:space="0" w:color="auto"/>
            <w:right w:val="none" w:sz="0" w:space="0" w:color="auto"/>
          </w:divBdr>
        </w:div>
        <w:div w:id="1611815344">
          <w:marLeft w:val="0"/>
          <w:marRight w:val="0"/>
          <w:marTop w:val="0"/>
          <w:marBottom w:val="0"/>
          <w:divBdr>
            <w:top w:val="none" w:sz="0" w:space="0" w:color="auto"/>
            <w:left w:val="none" w:sz="0" w:space="0" w:color="auto"/>
            <w:bottom w:val="none" w:sz="0" w:space="0" w:color="auto"/>
            <w:right w:val="none" w:sz="0" w:space="0" w:color="auto"/>
          </w:divBdr>
        </w:div>
        <w:div w:id="1618024891">
          <w:marLeft w:val="0"/>
          <w:marRight w:val="0"/>
          <w:marTop w:val="0"/>
          <w:marBottom w:val="0"/>
          <w:divBdr>
            <w:top w:val="none" w:sz="0" w:space="0" w:color="auto"/>
            <w:left w:val="none" w:sz="0" w:space="0" w:color="auto"/>
            <w:bottom w:val="none" w:sz="0" w:space="0" w:color="auto"/>
            <w:right w:val="none" w:sz="0" w:space="0" w:color="auto"/>
          </w:divBdr>
        </w:div>
        <w:div w:id="1621499302">
          <w:marLeft w:val="0"/>
          <w:marRight w:val="0"/>
          <w:marTop w:val="0"/>
          <w:marBottom w:val="0"/>
          <w:divBdr>
            <w:top w:val="none" w:sz="0" w:space="0" w:color="auto"/>
            <w:left w:val="none" w:sz="0" w:space="0" w:color="auto"/>
            <w:bottom w:val="none" w:sz="0" w:space="0" w:color="auto"/>
            <w:right w:val="none" w:sz="0" w:space="0" w:color="auto"/>
          </w:divBdr>
        </w:div>
        <w:div w:id="1623805370">
          <w:marLeft w:val="0"/>
          <w:marRight w:val="0"/>
          <w:marTop w:val="0"/>
          <w:marBottom w:val="0"/>
          <w:divBdr>
            <w:top w:val="none" w:sz="0" w:space="0" w:color="auto"/>
            <w:left w:val="none" w:sz="0" w:space="0" w:color="auto"/>
            <w:bottom w:val="none" w:sz="0" w:space="0" w:color="auto"/>
            <w:right w:val="none" w:sz="0" w:space="0" w:color="auto"/>
          </w:divBdr>
        </w:div>
        <w:div w:id="1637569168">
          <w:marLeft w:val="0"/>
          <w:marRight w:val="0"/>
          <w:marTop w:val="0"/>
          <w:marBottom w:val="0"/>
          <w:divBdr>
            <w:top w:val="none" w:sz="0" w:space="0" w:color="auto"/>
            <w:left w:val="none" w:sz="0" w:space="0" w:color="auto"/>
            <w:bottom w:val="none" w:sz="0" w:space="0" w:color="auto"/>
            <w:right w:val="none" w:sz="0" w:space="0" w:color="auto"/>
          </w:divBdr>
        </w:div>
        <w:div w:id="1643382332">
          <w:marLeft w:val="0"/>
          <w:marRight w:val="0"/>
          <w:marTop w:val="0"/>
          <w:marBottom w:val="0"/>
          <w:divBdr>
            <w:top w:val="none" w:sz="0" w:space="0" w:color="auto"/>
            <w:left w:val="none" w:sz="0" w:space="0" w:color="auto"/>
            <w:bottom w:val="none" w:sz="0" w:space="0" w:color="auto"/>
            <w:right w:val="none" w:sz="0" w:space="0" w:color="auto"/>
          </w:divBdr>
        </w:div>
        <w:div w:id="1644888760">
          <w:marLeft w:val="0"/>
          <w:marRight w:val="0"/>
          <w:marTop w:val="0"/>
          <w:marBottom w:val="0"/>
          <w:divBdr>
            <w:top w:val="none" w:sz="0" w:space="0" w:color="auto"/>
            <w:left w:val="none" w:sz="0" w:space="0" w:color="auto"/>
            <w:bottom w:val="none" w:sz="0" w:space="0" w:color="auto"/>
            <w:right w:val="none" w:sz="0" w:space="0" w:color="auto"/>
          </w:divBdr>
        </w:div>
        <w:div w:id="1657370954">
          <w:marLeft w:val="0"/>
          <w:marRight w:val="0"/>
          <w:marTop w:val="0"/>
          <w:marBottom w:val="0"/>
          <w:divBdr>
            <w:top w:val="none" w:sz="0" w:space="0" w:color="auto"/>
            <w:left w:val="none" w:sz="0" w:space="0" w:color="auto"/>
            <w:bottom w:val="none" w:sz="0" w:space="0" w:color="auto"/>
            <w:right w:val="none" w:sz="0" w:space="0" w:color="auto"/>
          </w:divBdr>
        </w:div>
        <w:div w:id="1665625160">
          <w:marLeft w:val="0"/>
          <w:marRight w:val="0"/>
          <w:marTop w:val="0"/>
          <w:marBottom w:val="0"/>
          <w:divBdr>
            <w:top w:val="none" w:sz="0" w:space="0" w:color="auto"/>
            <w:left w:val="none" w:sz="0" w:space="0" w:color="auto"/>
            <w:bottom w:val="none" w:sz="0" w:space="0" w:color="auto"/>
            <w:right w:val="none" w:sz="0" w:space="0" w:color="auto"/>
          </w:divBdr>
        </w:div>
        <w:div w:id="1678578529">
          <w:marLeft w:val="0"/>
          <w:marRight w:val="0"/>
          <w:marTop w:val="0"/>
          <w:marBottom w:val="0"/>
          <w:divBdr>
            <w:top w:val="none" w:sz="0" w:space="0" w:color="auto"/>
            <w:left w:val="none" w:sz="0" w:space="0" w:color="auto"/>
            <w:bottom w:val="none" w:sz="0" w:space="0" w:color="auto"/>
            <w:right w:val="none" w:sz="0" w:space="0" w:color="auto"/>
          </w:divBdr>
        </w:div>
        <w:div w:id="1718436674">
          <w:marLeft w:val="0"/>
          <w:marRight w:val="0"/>
          <w:marTop w:val="0"/>
          <w:marBottom w:val="0"/>
          <w:divBdr>
            <w:top w:val="none" w:sz="0" w:space="0" w:color="auto"/>
            <w:left w:val="none" w:sz="0" w:space="0" w:color="auto"/>
            <w:bottom w:val="none" w:sz="0" w:space="0" w:color="auto"/>
            <w:right w:val="none" w:sz="0" w:space="0" w:color="auto"/>
          </w:divBdr>
        </w:div>
        <w:div w:id="1719816291">
          <w:marLeft w:val="0"/>
          <w:marRight w:val="0"/>
          <w:marTop w:val="0"/>
          <w:marBottom w:val="0"/>
          <w:divBdr>
            <w:top w:val="none" w:sz="0" w:space="0" w:color="auto"/>
            <w:left w:val="none" w:sz="0" w:space="0" w:color="auto"/>
            <w:bottom w:val="none" w:sz="0" w:space="0" w:color="auto"/>
            <w:right w:val="none" w:sz="0" w:space="0" w:color="auto"/>
          </w:divBdr>
        </w:div>
        <w:div w:id="1728185321">
          <w:marLeft w:val="0"/>
          <w:marRight w:val="0"/>
          <w:marTop w:val="0"/>
          <w:marBottom w:val="0"/>
          <w:divBdr>
            <w:top w:val="none" w:sz="0" w:space="0" w:color="auto"/>
            <w:left w:val="none" w:sz="0" w:space="0" w:color="auto"/>
            <w:bottom w:val="none" w:sz="0" w:space="0" w:color="auto"/>
            <w:right w:val="none" w:sz="0" w:space="0" w:color="auto"/>
          </w:divBdr>
        </w:div>
        <w:div w:id="1745253217">
          <w:marLeft w:val="0"/>
          <w:marRight w:val="0"/>
          <w:marTop w:val="0"/>
          <w:marBottom w:val="0"/>
          <w:divBdr>
            <w:top w:val="none" w:sz="0" w:space="0" w:color="auto"/>
            <w:left w:val="none" w:sz="0" w:space="0" w:color="auto"/>
            <w:bottom w:val="none" w:sz="0" w:space="0" w:color="auto"/>
            <w:right w:val="none" w:sz="0" w:space="0" w:color="auto"/>
          </w:divBdr>
        </w:div>
        <w:div w:id="1745449507">
          <w:marLeft w:val="0"/>
          <w:marRight w:val="0"/>
          <w:marTop w:val="0"/>
          <w:marBottom w:val="0"/>
          <w:divBdr>
            <w:top w:val="none" w:sz="0" w:space="0" w:color="auto"/>
            <w:left w:val="none" w:sz="0" w:space="0" w:color="auto"/>
            <w:bottom w:val="none" w:sz="0" w:space="0" w:color="auto"/>
            <w:right w:val="none" w:sz="0" w:space="0" w:color="auto"/>
          </w:divBdr>
        </w:div>
        <w:div w:id="1755199587">
          <w:marLeft w:val="0"/>
          <w:marRight w:val="0"/>
          <w:marTop w:val="0"/>
          <w:marBottom w:val="0"/>
          <w:divBdr>
            <w:top w:val="none" w:sz="0" w:space="0" w:color="auto"/>
            <w:left w:val="none" w:sz="0" w:space="0" w:color="auto"/>
            <w:bottom w:val="none" w:sz="0" w:space="0" w:color="auto"/>
            <w:right w:val="none" w:sz="0" w:space="0" w:color="auto"/>
          </w:divBdr>
        </w:div>
        <w:div w:id="1763379962">
          <w:marLeft w:val="0"/>
          <w:marRight w:val="0"/>
          <w:marTop w:val="0"/>
          <w:marBottom w:val="0"/>
          <w:divBdr>
            <w:top w:val="none" w:sz="0" w:space="0" w:color="auto"/>
            <w:left w:val="none" w:sz="0" w:space="0" w:color="auto"/>
            <w:bottom w:val="none" w:sz="0" w:space="0" w:color="auto"/>
            <w:right w:val="none" w:sz="0" w:space="0" w:color="auto"/>
          </w:divBdr>
        </w:div>
        <w:div w:id="1765413112">
          <w:marLeft w:val="0"/>
          <w:marRight w:val="0"/>
          <w:marTop w:val="0"/>
          <w:marBottom w:val="0"/>
          <w:divBdr>
            <w:top w:val="none" w:sz="0" w:space="0" w:color="auto"/>
            <w:left w:val="none" w:sz="0" w:space="0" w:color="auto"/>
            <w:bottom w:val="none" w:sz="0" w:space="0" w:color="auto"/>
            <w:right w:val="none" w:sz="0" w:space="0" w:color="auto"/>
          </w:divBdr>
        </w:div>
        <w:div w:id="1770542616">
          <w:marLeft w:val="0"/>
          <w:marRight w:val="0"/>
          <w:marTop w:val="0"/>
          <w:marBottom w:val="0"/>
          <w:divBdr>
            <w:top w:val="none" w:sz="0" w:space="0" w:color="auto"/>
            <w:left w:val="none" w:sz="0" w:space="0" w:color="auto"/>
            <w:bottom w:val="none" w:sz="0" w:space="0" w:color="auto"/>
            <w:right w:val="none" w:sz="0" w:space="0" w:color="auto"/>
          </w:divBdr>
        </w:div>
        <w:div w:id="1770850960">
          <w:marLeft w:val="0"/>
          <w:marRight w:val="0"/>
          <w:marTop w:val="0"/>
          <w:marBottom w:val="0"/>
          <w:divBdr>
            <w:top w:val="none" w:sz="0" w:space="0" w:color="auto"/>
            <w:left w:val="none" w:sz="0" w:space="0" w:color="auto"/>
            <w:bottom w:val="none" w:sz="0" w:space="0" w:color="auto"/>
            <w:right w:val="none" w:sz="0" w:space="0" w:color="auto"/>
          </w:divBdr>
        </w:div>
        <w:div w:id="1773740275">
          <w:marLeft w:val="0"/>
          <w:marRight w:val="0"/>
          <w:marTop w:val="0"/>
          <w:marBottom w:val="0"/>
          <w:divBdr>
            <w:top w:val="none" w:sz="0" w:space="0" w:color="auto"/>
            <w:left w:val="none" w:sz="0" w:space="0" w:color="auto"/>
            <w:bottom w:val="none" w:sz="0" w:space="0" w:color="auto"/>
            <w:right w:val="none" w:sz="0" w:space="0" w:color="auto"/>
          </w:divBdr>
        </w:div>
        <w:div w:id="1783456144">
          <w:marLeft w:val="0"/>
          <w:marRight w:val="0"/>
          <w:marTop w:val="0"/>
          <w:marBottom w:val="0"/>
          <w:divBdr>
            <w:top w:val="none" w:sz="0" w:space="0" w:color="auto"/>
            <w:left w:val="none" w:sz="0" w:space="0" w:color="auto"/>
            <w:bottom w:val="none" w:sz="0" w:space="0" w:color="auto"/>
            <w:right w:val="none" w:sz="0" w:space="0" w:color="auto"/>
          </w:divBdr>
        </w:div>
        <w:div w:id="1800803766">
          <w:marLeft w:val="0"/>
          <w:marRight w:val="0"/>
          <w:marTop w:val="0"/>
          <w:marBottom w:val="0"/>
          <w:divBdr>
            <w:top w:val="none" w:sz="0" w:space="0" w:color="auto"/>
            <w:left w:val="none" w:sz="0" w:space="0" w:color="auto"/>
            <w:bottom w:val="none" w:sz="0" w:space="0" w:color="auto"/>
            <w:right w:val="none" w:sz="0" w:space="0" w:color="auto"/>
          </w:divBdr>
        </w:div>
        <w:div w:id="1803767871">
          <w:marLeft w:val="0"/>
          <w:marRight w:val="0"/>
          <w:marTop w:val="0"/>
          <w:marBottom w:val="0"/>
          <w:divBdr>
            <w:top w:val="none" w:sz="0" w:space="0" w:color="auto"/>
            <w:left w:val="none" w:sz="0" w:space="0" w:color="auto"/>
            <w:bottom w:val="none" w:sz="0" w:space="0" w:color="auto"/>
            <w:right w:val="none" w:sz="0" w:space="0" w:color="auto"/>
          </w:divBdr>
        </w:div>
        <w:div w:id="1805000832">
          <w:marLeft w:val="0"/>
          <w:marRight w:val="0"/>
          <w:marTop w:val="0"/>
          <w:marBottom w:val="0"/>
          <w:divBdr>
            <w:top w:val="none" w:sz="0" w:space="0" w:color="auto"/>
            <w:left w:val="none" w:sz="0" w:space="0" w:color="auto"/>
            <w:bottom w:val="none" w:sz="0" w:space="0" w:color="auto"/>
            <w:right w:val="none" w:sz="0" w:space="0" w:color="auto"/>
          </w:divBdr>
        </w:div>
        <w:div w:id="1814176267">
          <w:marLeft w:val="0"/>
          <w:marRight w:val="0"/>
          <w:marTop w:val="0"/>
          <w:marBottom w:val="0"/>
          <w:divBdr>
            <w:top w:val="none" w:sz="0" w:space="0" w:color="auto"/>
            <w:left w:val="none" w:sz="0" w:space="0" w:color="auto"/>
            <w:bottom w:val="none" w:sz="0" w:space="0" w:color="auto"/>
            <w:right w:val="none" w:sz="0" w:space="0" w:color="auto"/>
          </w:divBdr>
        </w:div>
        <w:div w:id="1814636187">
          <w:marLeft w:val="0"/>
          <w:marRight w:val="0"/>
          <w:marTop w:val="0"/>
          <w:marBottom w:val="0"/>
          <w:divBdr>
            <w:top w:val="none" w:sz="0" w:space="0" w:color="auto"/>
            <w:left w:val="none" w:sz="0" w:space="0" w:color="auto"/>
            <w:bottom w:val="none" w:sz="0" w:space="0" w:color="auto"/>
            <w:right w:val="none" w:sz="0" w:space="0" w:color="auto"/>
          </w:divBdr>
        </w:div>
        <w:div w:id="1821966647">
          <w:marLeft w:val="0"/>
          <w:marRight w:val="0"/>
          <w:marTop w:val="0"/>
          <w:marBottom w:val="0"/>
          <w:divBdr>
            <w:top w:val="none" w:sz="0" w:space="0" w:color="auto"/>
            <w:left w:val="none" w:sz="0" w:space="0" w:color="auto"/>
            <w:bottom w:val="none" w:sz="0" w:space="0" w:color="auto"/>
            <w:right w:val="none" w:sz="0" w:space="0" w:color="auto"/>
          </w:divBdr>
        </w:div>
        <w:div w:id="1830515575">
          <w:marLeft w:val="0"/>
          <w:marRight w:val="0"/>
          <w:marTop w:val="0"/>
          <w:marBottom w:val="0"/>
          <w:divBdr>
            <w:top w:val="none" w:sz="0" w:space="0" w:color="auto"/>
            <w:left w:val="none" w:sz="0" w:space="0" w:color="auto"/>
            <w:bottom w:val="none" w:sz="0" w:space="0" w:color="auto"/>
            <w:right w:val="none" w:sz="0" w:space="0" w:color="auto"/>
          </w:divBdr>
        </w:div>
        <w:div w:id="1833989983">
          <w:marLeft w:val="0"/>
          <w:marRight w:val="0"/>
          <w:marTop w:val="0"/>
          <w:marBottom w:val="0"/>
          <w:divBdr>
            <w:top w:val="none" w:sz="0" w:space="0" w:color="auto"/>
            <w:left w:val="none" w:sz="0" w:space="0" w:color="auto"/>
            <w:bottom w:val="none" w:sz="0" w:space="0" w:color="auto"/>
            <w:right w:val="none" w:sz="0" w:space="0" w:color="auto"/>
          </w:divBdr>
        </w:div>
        <w:div w:id="1835142192">
          <w:marLeft w:val="0"/>
          <w:marRight w:val="0"/>
          <w:marTop w:val="0"/>
          <w:marBottom w:val="0"/>
          <w:divBdr>
            <w:top w:val="none" w:sz="0" w:space="0" w:color="auto"/>
            <w:left w:val="none" w:sz="0" w:space="0" w:color="auto"/>
            <w:bottom w:val="none" w:sz="0" w:space="0" w:color="auto"/>
            <w:right w:val="none" w:sz="0" w:space="0" w:color="auto"/>
          </w:divBdr>
        </w:div>
        <w:div w:id="1840734512">
          <w:marLeft w:val="0"/>
          <w:marRight w:val="0"/>
          <w:marTop w:val="0"/>
          <w:marBottom w:val="0"/>
          <w:divBdr>
            <w:top w:val="none" w:sz="0" w:space="0" w:color="auto"/>
            <w:left w:val="none" w:sz="0" w:space="0" w:color="auto"/>
            <w:bottom w:val="none" w:sz="0" w:space="0" w:color="auto"/>
            <w:right w:val="none" w:sz="0" w:space="0" w:color="auto"/>
          </w:divBdr>
        </w:div>
        <w:div w:id="1851484242">
          <w:marLeft w:val="0"/>
          <w:marRight w:val="0"/>
          <w:marTop w:val="0"/>
          <w:marBottom w:val="0"/>
          <w:divBdr>
            <w:top w:val="none" w:sz="0" w:space="0" w:color="auto"/>
            <w:left w:val="none" w:sz="0" w:space="0" w:color="auto"/>
            <w:bottom w:val="none" w:sz="0" w:space="0" w:color="auto"/>
            <w:right w:val="none" w:sz="0" w:space="0" w:color="auto"/>
          </w:divBdr>
        </w:div>
        <w:div w:id="1860390855">
          <w:marLeft w:val="0"/>
          <w:marRight w:val="0"/>
          <w:marTop w:val="0"/>
          <w:marBottom w:val="0"/>
          <w:divBdr>
            <w:top w:val="none" w:sz="0" w:space="0" w:color="auto"/>
            <w:left w:val="none" w:sz="0" w:space="0" w:color="auto"/>
            <w:bottom w:val="none" w:sz="0" w:space="0" w:color="auto"/>
            <w:right w:val="none" w:sz="0" w:space="0" w:color="auto"/>
          </w:divBdr>
        </w:div>
        <w:div w:id="1863277947">
          <w:marLeft w:val="0"/>
          <w:marRight w:val="0"/>
          <w:marTop w:val="0"/>
          <w:marBottom w:val="0"/>
          <w:divBdr>
            <w:top w:val="none" w:sz="0" w:space="0" w:color="auto"/>
            <w:left w:val="none" w:sz="0" w:space="0" w:color="auto"/>
            <w:bottom w:val="none" w:sz="0" w:space="0" w:color="auto"/>
            <w:right w:val="none" w:sz="0" w:space="0" w:color="auto"/>
          </w:divBdr>
        </w:div>
        <w:div w:id="1869178529">
          <w:marLeft w:val="0"/>
          <w:marRight w:val="0"/>
          <w:marTop w:val="0"/>
          <w:marBottom w:val="0"/>
          <w:divBdr>
            <w:top w:val="none" w:sz="0" w:space="0" w:color="auto"/>
            <w:left w:val="none" w:sz="0" w:space="0" w:color="auto"/>
            <w:bottom w:val="none" w:sz="0" w:space="0" w:color="auto"/>
            <w:right w:val="none" w:sz="0" w:space="0" w:color="auto"/>
          </w:divBdr>
        </w:div>
        <w:div w:id="1869759254">
          <w:marLeft w:val="0"/>
          <w:marRight w:val="0"/>
          <w:marTop w:val="0"/>
          <w:marBottom w:val="0"/>
          <w:divBdr>
            <w:top w:val="none" w:sz="0" w:space="0" w:color="auto"/>
            <w:left w:val="none" w:sz="0" w:space="0" w:color="auto"/>
            <w:bottom w:val="none" w:sz="0" w:space="0" w:color="auto"/>
            <w:right w:val="none" w:sz="0" w:space="0" w:color="auto"/>
          </w:divBdr>
        </w:div>
        <w:div w:id="1874461219">
          <w:marLeft w:val="0"/>
          <w:marRight w:val="0"/>
          <w:marTop w:val="0"/>
          <w:marBottom w:val="0"/>
          <w:divBdr>
            <w:top w:val="none" w:sz="0" w:space="0" w:color="auto"/>
            <w:left w:val="none" w:sz="0" w:space="0" w:color="auto"/>
            <w:bottom w:val="none" w:sz="0" w:space="0" w:color="auto"/>
            <w:right w:val="none" w:sz="0" w:space="0" w:color="auto"/>
          </w:divBdr>
        </w:div>
        <w:div w:id="1878812566">
          <w:marLeft w:val="0"/>
          <w:marRight w:val="0"/>
          <w:marTop w:val="0"/>
          <w:marBottom w:val="0"/>
          <w:divBdr>
            <w:top w:val="none" w:sz="0" w:space="0" w:color="auto"/>
            <w:left w:val="none" w:sz="0" w:space="0" w:color="auto"/>
            <w:bottom w:val="none" w:sz="0" w:space="0" w:color="auto"/>
            <w:right w:val="none" w:sz="0" w:space="0" w:color="auto"/>
          </w:divBdr>
        </w:div>
        <w:div w:id="1879858977">
          <w:marLeft w:val="0"/>
          <w:marRight w:val="0"/>
          <w:marTop w:val="0"/>
          <w:marBottom w:val="0"/>
          <w:divBdr>
            <w:top w:val="none" w:sz="0" w:space="0" w:color="auto"/>
            <w:left w:val="none" w:sz="0" w:space="0" w:color="auto"/>
            <w:bottom w:val="none" w:sz="0" w:space="0" w:color="auto"/>
            <w:right w:val="none" w:sz="0" w:space="0" w:color="auto"/>
          </w:divBdr>
        </w:div>
        <w:div w:id="1889563697">
          <w:marLeft w:val="0"/>
          <w:marRight w:val="0"/>
          <w:marTop w:val="0"/>
          <w:marBottom w:val="0"/>
          <w:divBdr>
            <w:top w:val="none" w:sz="0" w:space="0" w:color="auto"/>
            <w:left w:val="none" w:sz="0" w:space="0" w:color="auto"/>
            <w:bottom w:val="none" w:sz="0" w:space="0" w:color="auto"/>
            <w:right w:val="none" w:sz="0" w:space="0" w:color="auto"/>
          </w:divBdr>
        </w:div>
        <w:div w:id="1892616258">
          <w:marLeft w:val="0"/>
          <w:marRight w:val="0"/>
          <w:marTop w:val="0"/>
          <w:marBottom w:val="0"/>
          <w:divBdr>
            <w:top w:val="none" w:sz="0" w:space="0" w:color="auto"/>
            <w:left w:val="none" w:sz="0" w:space="0" w:color="auto"/>
            <w:bottom w:val="none" w:sz="0" w:space="0" w:color="auto"/>
            <w:right w:val="none" w:sz="0" w:space="0" w:color="auto"/>
          </w:divBdr>
        </w:div>
        <w:div w:id="1895003554">
          <w:marLeft w:val="0"/>
          <w:marRight w:val="0"/>
          <w:marTop w:val="0"/>
          <w:marBottom w:val="0"/>
          <w:divBdr>
            <w:top w:val="none" w:sz="0" w:space="0" w:color="auto"/>
            <w:left w:val="none" w:sz="0" w:space="0" w:color="auto"/>
            <w:bottom w:val="none" w:sz="0" w:space="0" w:color="auto"/>
            <w:right w:val="none" w:sz="0" w:space="0" w:color="auto"/>
          </w:divBdr>
        </w:div>
        <w:div w:id="1897158385">
          <w:marLeft w:val="0"/>
          <w:marRight w:val="0"/>
          <w:marTop w:val="0"/>
          <w:marBottom w:val="0"/>
          <w:divBdr>
            <w:top w:val="none" w:sz="0" w:space="0" w:color="auto"/>
            <w:left w:val="none" w:sz="0" w:space="0" w:color="auto"/>
            <w:bottom w:val="none" w:sz="0" w:space="0" w:color="auto"/>
            <w:right w:val="none" w:sz="0" w:space="0" w:color="auto"/>
          </w:divBdr>
        </w:div>
        <w:div w:id="1899242977">
          <w:marLeft w:val="0"/>
          <w:marRight w:val="0"/>
          <w:marTop w:val="0"/>
          <w:marBottom w:val="0"/>
          <w:divBdr>
            <w:top w:val="none" w:sz="0" w:space="0" w:color="auto"/>
            <w:left w:val="none" w:sz="0" w:space="0" w:color="auto"/>
            <w:bottom w:val="none" w:sz="0" w:space="0" w:color="auto"/>
            <w:right w:val="none" w:sz="0" w:space="0" w:color="auto"/>
          </w:divBdr>
        </w:div>
        <w:div w:id="1918439084">
          <w:marLeft w:val="0"/>
          <w:marRight w:val="0"/>
          <w:marTop w:val="0"/>
          <w:marBottom w:val="0"/>
          <w:divBdr>
            <w:top w:val="none" w:sz="0" w:space="0" w:color="auto"/>
            <w:left w:val="none" w:sz="0" w:space="0" w:color="auto"/>
            <w:bottom w:val="none" w:sz="0" w:space="0" w:color="auto"/>
            <w:right w:val="none" w:sz="0" w:space="0" w:color="auto"/>
          </w:divBdr>
        </w:div>
        <w:div w:id="1918779475">
          <w:marLeft w:val="0"/>
          <w:marRight w:val="0"/>
          <w:marTop w:val="0"/>
          <w:marBottom w:val="0"/>
          <w:divBdr>
            <w:top w:val="none" w:sz="0" w:space="0" w:color="auto"/>
            <w:left w:val="none" w:sz="0" w:space="0" w:color="auto"/>
            <w:bottom w:val="none" w:sz="0" w:space="0" w:color="auto"/>
            <w:right w:val="none" w:sz="0" w:space="0" w:color="auto"/>
          </w:divBdr>
        </w:div>
        <w:div w:id="1924291604">
          <w:marLeft w:val="0"/>
          <w:marRight w:val="0"/>
          <w:marTop w:val="0"/>
          <w:marBottom w:val="0"/>
          <w:divBdr>
            <w:top w:val="none" w:sz="0" w:space="0" w:color="auto"/>
            <w:left w:val="none" w:sz="0" w:space="0" w:color="auto"/>
            <w:bottom w:val="none" w:sz="0" w:space="0" w:color="auto"/>
            <w:right w:val="none" w:sz="0" w:space="0" w:color="auto"/>
          </w:divBdr>
        </w:div>
        <w:div w:id="1924680931">
          <w:marLeft w:val="0"/>
          <w:marRight w:val="0"/>
          <w:marTop w:val="0"/>
          <w:marBottom w:val="0"/>
          <w:divBdr>
            <w:top w:val="none" w:sz="0" w:space="0" w:color="auto"/>
            <w:left w:val="none" w:sz="0" w:space="0" w:color="auto"/>
            <w:bottom w:val="none" w:sz="0" w:space="0" w:color="auto"/>
            <w:right w:val="none" w:sz="0" w:space="0" w:color="auto"/>
          </w:divBdr>
        </w:div>
        <w:div w:id="1927373925">
          <w:marLeft w:val="0"/>
          <w:marRight w:val="0"/>
          <w:marTop w:val="0"/>
          <w:marBottom w:val="0"/>
          <w:divBdr>
            <w:top w:val="none" w:sz="0" w:space="0" w:color="auto"/>
            <w:left w:val="none" w:sz="0" w:space="0" w:color="auto"/>
            <w:bottom w:val="none" w:sz="0" w:space="0" w:color="auto"/>
            <w:right w:val="none" w:sz="0" w:space="0" w:color="auto"/>
          </w:divBdr>
        </w:div>
        <w:div w:id="1932813942">
          <w:marLeft w:val="0"/>
          <w:marRight w:val="0"/>
          <w:marTop w:val="0"/>
          <w:marBottom w:val="0"/>
          <w:divBdr>
            <w:top w:val="none" w:sz="0" w:space="0" w:color="auto"/>
            <w:left w:val="none" w:sz="0" w:space="0" w:color="auto"/>
            <w:bottom w:val="none" w:sz="0" w:space="0" w:color="auto"/>
            <w:right w:val="none" w:sz="0" w:space="0" w:color="auto"/>
          </w:divBdr>
        </w:div>
        <w:div w:id="1937402303">
          <w:marLeft w:val="0"/>
          <w:marRight w:val="0"/>
          <w:marTop w:val="0"/>
          <w:marBottom w:val="0"/>
          <w:divBdr>
            <w:top w:val="none" w:sz="0" w:space="0" w:color="auto"/>
            <w:left w:val="none" w:sz="0" w:space="0" w:color="auto"/>
            <w:bottom w:val="none" w:sz="0" w:space="0" w:color="auto"/>
            <w:right w:val="none" w:sz="0" w:space="0" w:color="auto"/>
          </w:divBdr>
        </w:div>
        <w:div w:id="1942450169">
          <w:marLeft w:val="0"/>
          <w:marRight w:val="0"/>
          <w:marTop w:val="0"/>
          <w:marBottom w:val="0"/>
          <w:divBdr>
            <w:top w:val="none" w:sz="0" w:space="0" w:color="auto"/>
            <w:left w:val="none" w:sz="0" w:space="0" w:color="auto"/>
            <w:bottom w:val="none" w:sz="0" w:space="0" w:color="auto"/>
            <w:right w:val="none" w:sz="0" w:space="0" w:color="auto"/>
          </w:divBdr>
        </w:div>
        <w:div w:id="1947344511">
          <w:marLeft w:val="0"/>
          <w:marRight w:val="0"/>
          <w:marTop w:val="0"/>
          <w:marBottom w:val="0"/>
          <w:divBdr>
            <w:top w:val="none" w:sz="0" w:space="0" w:color="auto"/>
            <w:left w:val="none" w:sz="0" w:space="0" w:color="auto"/>
            <w:bottom w:val="none" w:sz="0" w:space="0" w:color="auto"/>
            <w:right w:val="none" w:sz="0" w:space="0" w:color="auto"/>
          </w:divBdr>
        </w:div>
        <w:div w:id="1949048374">
          <w:marLeft w:val="0"/>
          <w:marRight w:val="0"/>
          <w:marTop w:val="0"/>
          <w:marBottom w:val="0"/>
          <w:divBdr>
            <w:top w:val="none" w:sz="0" w:space="0" w:color="auto"/>
            <w:left w:val="none" w:sz="0" w:space="0" w:color="auto"/>
            <w:bottom w:val="none" w:sz="0" w:space="0" w:color="auto"/>
            <w:right w:val="none" w:sz="0" w:space="0" w:color="auto"/>
          </w:divBdr>
        </w:div>
        <w:div w:id="1952516564">
          <w:marLeft w:val="0"/>
          <w:marRight w:val="0"/>
          <w:marTop w:val="0"/>
          <w:marBottom w:val="0"/>
          <w:divBdr>
            <w:top w:val="none" w:sz="0" w:space="0" w:color="auto"/>
            <w:left w:val="none" w:sz="0" w:space="0" w:color="auto"/>
            <w:bottom w:val="none" w:sz="0" w:space="0" w:color="auto"/>
            <w:right w:val="none" w:sz="0" w:space="0" w:color="auto"/>
          </w:divBdr>
        </w:div>
        <w:div w:id="1955624966">
          <w:marLeft w:val="0"/>
          <w:marRight w:val="0"/>
          <w:marTop w:val="0"/>
          <w:marBottom w:val="0"/>
          <w:divBdr>
            <w:top w:val="none" w:sz="0" w:space="0" w:color="auto"/>
            <w:left w:val="none" w:sz="0" w:space="0" w:color="auto"/>
            <w:bottom w:val="none" w:sz="0" w:space="0" w:color="auto"/>
            <w:right w:val="none" w:sz="0" w:space="0" w:color="auto"/>
          </w:divBdr>
        </w:div>
        <w:div w:id="1967657329">
          <w:marLeft w:val="0"/>
          <w:marRight w:val="0"/>
          <w:marTop w:val="0"/>
          <w:marBottom w:val="0"/>
          <w:divBdr>
            <w:top w:val="none" w:sz="0" w:space="0" w:color="auto"/>
            <w:left w:val="none" w:sz="0" w:space="0" w:color="auto"/>
            <w:bottom w:val="none" w:sz="0" w:space="0" w:color="auto"/>
            <w:right w:val="none" w:sz="0" w:space="0" w:color="auto"/>
          </w:divBdr>
        </w:div>
        <w:div w:id="1978801078">
          <w:marLeft w:val="0"/>
          <w:marRight w:val="0"/>
          <w:marTop w:val="0"/>
          <w:marBottom w:val="0"/>
          <w:divBdr>
            <w:top w:val="none" w:sz="0" w:space="0" w:color="auto"/>
            <w:left w:val="none" w:sz="0" w:space="0" w:color="auto"/>
            <w:bottom w:val="none" w:sz="0" w:space="0" w:color="auto"/>
            <w:right w:val="none" w:sz="0" w:space="0" w:color="auto"/>
          </w:divBdr>
        </w:div>
        <w:div w:id="1992710446">
          <w:marLeft w:val="0"/>
          <w:marRight w:val="0"/>
          <w:marTop w:val="0"/>
          <w:marBottom w:val="0"/>
          <w:divBdr>
            <w:top w:val="none" w:sz="0" w:space="0" w:color="auto"/>
            <w:left w:val="none" w:sz="0" w:space="0" w:color="auto"/>
            <w:bottom w:val="none" w:sz="0" w:space="0" w:color="auto"/>
            <w:right w:val="none" w:sz="0" w:space="0" w:color="auto"/>
          </w:divBdr>
        </w:div>
        <w:div w:id="1995337000">
          <w:marLeft w:val="0"/>
          <w:marRight w:val="0"/>
          <w:marTop w:val="0"/>
          <w:marBottom w:val="0"/>
          <w:divBdr>
            <w:top w:val="none" w:sz="0" w:space="0" w:color="auto"/>
            <w:left w:val="none" w:sz="0" w:space="0" w:color="auto"/>
            <w:bottom w:val="none" w:sz="0" w:space="0" w:color="auto"/>
            <w:right w:val="none" w:sz="0" w:space="0" w:color="auto"/>
          </w:divBdr>
        </w:div>
        <w:div w:id="1996955826">
          <w:marLeft w:val="0"/>
          <w:marRight w:val="0"/>
          <w:marTop w:val="0"/>
          <w:marBottom w:val="0"/>
          <w:divBdr>
            <w:top w:val="none" w:sz="0" w:space="0" w:color="auto"/>
            <w:left w:val="none" w:sz="0" w:space="0" w:color="auto"/>
            <w:bottom w:val="none" w:sz="0" w:space="0" w:color="auto"/>
            <w:right w:val="none" w:sz="0" w:space="0" w:color="auto"/>
          </w:divBdr>
        </w:div>
        <w:div w:id="2021662663">
          <w:marLeft w:val="0"/>
          <w:marRight w:val="0"/>
          <w:marTop w:val="0"/>
          <w:marBottom w:val="0"/>
          <w:divBdr>
            <w:top w:val="none" w:sz="0" w:space="0" w:color="auto"/>
            <w:left w:val="none" w:sz="0" w:space="0" w:color="auto"/>
            <w:bottom w:val="none" w:sz="0" w:space="0" w:color="auto"/>
            <w:right w:val="none" w:sz="0" w:space="0" w:color="auto"/>
          </w:divBdr>
        </w:div>
        <w:div w:id="2031447941">
          <w:marLeft w:val="0"/>
          <w:marRight w:val="0"/>
          <w:marTop w:val="0"/>
          <w:marBottom w:val="0"/>
          <w:divBdr>
            <w:top w:val="none" w:sz="0" w:space="0" w:color="auto"/>
            <w:left w:val="none" w:sz="0" w:space="0" w:color="auto"/>
            <w:bottom w:val="none" w:sz="0" w:space="0" w:color="auto"/>
            <w:right w:val="none" w:sz="0" w:space="0" w:color="auto"/>
          </w:divBdr>
        </w:div>
        <w:div w:id="2032107005">
          <w:marLeft w:val="0"/>
          <w:marRight w:val="0"/>
          <w:marTop w:val="0"/>
          <w:marBottom w:val="0"/>
          <w:divBdr>
            <w:top w:val="none" w:sz="0" w:space="0" w:color="auto"/>
            <w:left w:val="none" w:sz="0" w:space="0" w:color="auto"/>
            <w:bottom w:val="none" w:sz="0" w:space="0" w:color="auto"/>
            <w:right w:val="none" w:sz="0" w:space="0" w:color="auto"/>
          </w:divBdr>
        </w:div>
        <w:div w:id="2035761465">
          <w:marLeft w:val="0"/>
          <w:marRight w:val="0"/>
          <w:marTop w:val="0"/>
          <w:marBottom w:val="0"/>
          <w:divBdr>
            <w:top w:val="none" w:sz="0" w:space="0" w:color="auto"/>
            <w:left w:val="none" w:sz="0" w:space="0" w:color="auto"/>
            <w:bottom w:val="none" w:sz="0" w:space="0" w:color="auto"/>
            <w:right w:val="none" w:sz="0" w:space="0" w:color="auto"/>
          </w:divBdr>
        </w:div>
        <w:div w:id="2035840516">
          <w:marLeft w:val="0"/>
          <w:marRight w:val="0"/>
          <w:marTop w:val="0"/>
          <w:marBottom w:val="0"/>
          <w:divBdr>
            <w:top w:val="none" w:sz="0" w:space="0" w:color="auto"/>
            <w:left w:val="none" w:sz="0" w:space="0" w:color="auto"/>
            <w:bottom w:val="none" w:sz="0" w:space="0" w:color="auto"/>
            <w:right w:val="none" w:sz="0" w:space="0" w:color="auto"/>
          </w:divBdr>
        </w:div>
        <w:div w:id="2040430131">
          <w:marLeft w:val="0"/>
          <w:marRight w:val="0"/>
          <w:marTop w:val="0"/>
          <w:marBottom w:val="0"/>
          <w:divBdr>
            <w:top w:val="none" w:sz="0" w:space="0" w:color="auto"/>
            <w:left w:val="none" w:sz="0" w:space="0" w:color="auto"/>
            <w:bottom w:val="none" w:sz="0" w:space="0" w:color="auto"/>
            <w:right w:val="none" w:sz="0" w:space="0" w:color="auto"/>
          </w:divBdr>
        </w:div>
        <w:div w:id="2041399077">
          <w:marLeft w:val="0"/>
          <w:marRight w:val="0"/>
          <w:marTop w:val="0"/>
          <w:marBottom w:val="0"/>
          <w:divBdr>
            <w:top w:val="none" w:sz="0" w:space="0" w:color="auto"/>
            <w:left w:val="none" w:sz="0" w:space="0" w:color="auto"/>
            <w:bottom w:val="none" w:sz="0" w:space="0" w:color="auto"/>
            <w:right w:val="none" w:sz="0" w:space="0" w:color="auto"/>
          </w:divBdr>
        </w:div>
        <w:div w:id="2049530448">
          <w:marLeft w:val="0"/>
          <w:marRight w:val="0"/>
          <w:marTop w:val="0"/>
          <w:marBottom w:val="0"/>
          <w:divBdr>
            <w:top w:val="none" w:sz="0" w:space="0" w:color="auto"/>
            <w:left w:val="none" w:sz="0" w:space="0" w:color="auto"/>
            <w:bottom w:val="none" w:sz="0" w:space="0" w:color="auto"/>
            <w:right w:val="none" w:sz="0" w:space="0" w:color="auto"/>
          </w:divBdr>
        </w:div>
        <w:div w:id="2060979122">
          <w:marLeft w:val="0"/>
          <w:marRight w:val="0"/>
          <w:marTop w:val="0"/>
          <w:marBottom w:val="0"/>
          <w:divBdr>
            <w:top w:val="none" w:sz="0" w:space="0" w:color="auto"/>
            <w:left w:val="none" w:sz="0" w:space="0" w:color="auto"/>
            <w:bottom w:val="none" w:sz="0" w:space="0" w:color="auto"/>
            <w:right w:val="none" w:sz="0" w:space="0" w:color="auto"/>
          </w:divBdr>
        </w:div>
        <w:div w:id="2065910429">
          <w:marLeft w:val="0"/>
          <w:marRight w:val="0"/>
          <w:marTop w:val="0"/>
          <w:marBottom w:val="0"/>
          <w:divBdr>
            <w:top w:val="none" w:sz="0" w:space="0" w:color="auto"/>
            <w:left w:val="none" w:sz="0" w:space="0" w:color="auto"/>
            <w:bottom w:val="none" w:sz="0" w:space="0" w:color="auto"/>
            <w:right w:val="none" w:sz="0" w:space="0" w:color="auto"/>
          </w:divBdr>
        </w:div>
        <w:div w:id="2072380936">
          <w:marLeft w:val="0"/>
          <w:marRight w:val="0"/>
          <w:marTop w:val="0"/>
          <w:marBottom w:val="0"/>
          <w:divBdr>
            <w:top w:val="none" w:sz="0" w:space="0" w:color="auto"/>
            <w:left w:val="none" w:sz="0" w:space="0" w:color="auto"/>
            <w:bottom w:val="none" w:sz="0" w:space="0" w:color="auto"/>
            <w:right w:val="none" w:sz="0" w:space="0" w:color="auto"/>
          </w:divBdr>
        </w:div>
        <w:div w:id="2072801824">
          <w:marLeft w:val="0"/>
          <w:marRight w:val="0"/>
          <w:marTop w:val="0"/>
          <w:marBottom w:val="0"/>
          <w:divBdr>
            <w:top w:val="none" w:sz="0" w:space="0" w:color="auto"/>
            <w:left w:val="none" w:sz="0" w:space="0" w:color="auto"/>
            <w:bottom w:val="none" w:sz="0" w:space="0" w:color="auto"/>
            <w:right w:val="none" w:sz="0" w:space="0" w:color="auto"/>
          </w:divBdr>
        </w:div>
        <w:div w:id="2076586209">
          <w:marLeft w:val="0"/>
          <w:marRight w:val="0"/>
          <w:marTop w:val="0"/>
          <w:marBottom w:val="0"/>
          <w:divBdr>
            <w:top w:val="none" w:sz="0" w:space="0" w:color="auto"/>
            <w:left w:val="none" w:sz="0" w:space="0" w:color="auto"/>
            <w:bottom w:val="none" w:sz="0" w:space="0" w:color="auto"/>
            <w:right w:val="none" w:sz="0" w:space="0" w:color="auto"/>
          </w:divBdr>
        </w:div>
        <w:div w:id="2078279025">
          <w:marLeft w:val="0"/>
          <w:marRight w:val="0"/>
          <w:marTop w:val="0"/>
          <w:marBottom w:val="0"/>
          <w:divBdr>
            <w:top w:val="none" w:sz="0" w:space="0" w:color="auto"/>
            <w:left w:val="none" w:sz="0" w:space="0" w:color="auto"/>
            <w:bottom w:val="none" w:sz="0" w:space="0" w:color="auto"/>
            <w:right w:val="none" w:sz="0" w:space="0" w:color="auto"/>
          </w:divBdr>
        </w:div>
        <w:div w:id="2078478239">
          <w:marLeft w:val="0"/>
          <w:marRight w:val="0"/>
          <w:marTop w:val="0"/>
          <w:marBottom w:val="0"/>
          <w:divBdr>
            <w:top w:val="none" w:sz="0" w:space="0" w:color="auto"/>
            <w:left w:val="none" w:sz="0" w:space="0" w:color="auto"/>
            <w:bottom w:val="none" w:sz="0" w:space="0" w:color="auto"/>
            <w:right w:val="none" w:sz="0" w:space="0" w:color="auto"/>
          </w:divBdr>
        </w:div>
        <w:div w:id="2081979168">
          <w:marLeft w:val="0"/>
          <w:marRight w:val="0"/>
          <w:marTop w:val="0"/>
          <w:marBottom w:val="0"/>
          <w:divBdr>
            <w:top w:val="none" w:sz="0" w:space="0" w:color="auto"/>
            <w:left w:val="none" w:sz="0" w:space="0" w:color="auto"/>
            <w:bottom w:val="none" w:sz="0" w:space="0" w:color="auto"/>
            <w:right w:val="none" w:sz="0" w:space="0" w:color="auto"/>
          </w:divBdr>
        </w:div>
        <w:div w:id="2083258557">
          <w:marLeft w:val="0"/>
          <w:marRight w:val="0"/>
          <w:marTop w:val="0"/>
          <w:marBottom w:val="0"/>
          <w:divBdr>
            <w:top w:val="none" w:sz="0" w:space="0" w:color="auto"/>
            <w:left w:val="none" w:sz="0" w:space="0" w:color="auto"/>
            <w:bottom w:val="none" w:sz="0" w:space="0" w:color="auto"/>
            <w:right w:val="none" w:sz="0" w:space="0" w:color="auto"/>
          </w:divBdr>
        </w:div>
        <w:div w:id="2092463374">
          <w:marLeft w:val="0"/>
          <w:marRight w:val="0"/>
          <w:marTop w:val="0"/>
          <w:marBottom w:val="0"/>
          <w:divBdr>
            <w:top w:val="none" w:sz="0" w:space="0" w:color="auto"/>
            <w:left w:val="none" w:sz="0" w:space="0" w:color="auto"/>
            <w:bottom w:val="none" w:sz="0" w:space="0" w:color="auto"/>
            <w:right w:val="none" w:sz="0" w:space="0" w:color="auto"/>
          </w:divBdr>
        </w:div>
        <w:div w:id="2097510937">
          <w:marLeft w:val="0"/>
          <w:marRight w:val="0"/>
          <w:marTop w:val="0"/>
          <w:marBottom w:val="0"/>
          <w:divBdr>
            <w:top w:val="none" w:sz="0" w:space="0" w:color="auto"/>
            <w:left w:val="none" w:sz="0" w:space="0" w:color="auto"/>
            <w:bottom w:val="none" w:sz="0" w:space="0" w:color="auto"/>
            <w:right w:val="none" w:sz="0" w:space="0" w:color="auto"/>
          </w:divBdr>
        </w:div>
        <w:div w:id="2103181665">
          <w:marLeft w:val="0"/>
          <w:marRight w:val="0"/>
          <w:marTop w:val="0"/>
          <w:marBottom w:val="0"/>
          <w:divBdr>
            <w:top w:val="none" w:sz="0" w:space="0" w:color="auto"/>
            <w:left w:val="none" w:sz="0" w:space="0" w:color="auto"/>
            <w:bottom w:val="none" w:sz="0" w:space="0" w:color="auto"/>
            <w:right w:val="none" w:sz="0" w:space="0" w:color="auto"/>
          </w:divBdr>
        </w:div>
        <w:div w:id="2104107603">
          <w:marLeft w:val="0"/>
          <w:marRight w:val="0"/>
          <w:marTop w:val="0"/>
          <w:marBottom w:val="0"/>
          <w:divBdr>
            <w:top w:val="none" w:sz="0" w:space="0" w:color="auto"/>
            <w:left w:val="none" w:sz="0" w:space="0" w:color="auto"/>
            <w:bottom w:val="none" w:sz="0" w:space="0" w:color="auto"/>
            <w:right w:val="none" w:sz="0" w:space="0" w:color="auto"/>
          </w:divBdr>
        </w:div>
        <w:div w:id="2112357463">
          <w:marLeft w:val="0"/>
          <w:marRight w:val="0"/>
          <w:marTop w:val="0"/>
          <w:marBottom w:val="0"/>
          <w:divBdr>
            <w:top w:val="none" w:sz="0" w:space="0" w:color="auto"/>
            <w:left w:val="none" w:sz="0" w:space="0" w:color="auto"/>
            <w:bottom w:val="none" w:sz="0" w:space="0" w:color="auto"/>
            <w:right w:val="none" w:sz="0" w:space="0" w:color="auto"/>
          </w:divBdr>
        </w:div>
        <w:div w:id="2113084291">
          <w:marLeft w:val="0"/>
          <w:marRight w:val="0"/>
          <w:marTop w:val="0"/>
          <w:marBottom w:val="0"/>
          <w:divBdr>
            <w:top w:val="none" w:sz="0" w:space="0" w:color="auto"/>
            <w:left w:val="none" w:sz="0" w:space="0" w:color="auto"/>
            <w:bottom w:val="none" w:sz="0" w:space="0" w:color="auto"/>
            <w:right w:val="none" w:sz="0" w:space="0" w:color="auto"/>
          </w:divBdr>
        </w:div>
        <w:div w:id="2124575604">
          <w:marLeft w:val="0"/>
          <w:marRight w:val="0"/>
          <w:marTop w:val="0"/>
          <w:marBottom w:val="0"/>
          <w:divBdr>
            <w:top w:val="none" w:sz="0" w:space="0" w:color="auto"/>
            <w:left w:val="none" w:sz="0" w:space="0" w:color="auto"/>
            <w:bottom w:val="none" w:sz="0" w:space="0" w:color="auto"/>
            <w:right w:val="none" w:sz="0" w:space="0" w:color="auto"/>
          </w:divBdr>
        </w:div>
        <w:div w:id="2136605876">
          <w:marLeft w:val="0"/>
          <w:marRight w:val="0"/>
          <w:marTop w:val="0"/>
          <w:marBottom w:val="0"/>
          <w:divBdr>
            <w:top w:val="none" w:sz="0" w:space="0" w:color="auto"/>
            <w:left w:val="none" w:sz="0" w:space="0" w:color="auto"/>
            <w:bottom w:val="none" w:sz="0" w:space="0" w:color="auto"/>
            <w:right w:val="none" w:sz="0" w:space="0" w:color="auto"/>
          </w:divBdr>
        </w:div>
        <w:div w:id="2146240206">
          <w:marLeft w:val="0"/>
          <w:marRight w:val="0"/>
          <w:marTop w:val="0"/>
          <w:marBottom w:val="0"/>
          <w:divBdr>
            <w:top w:val="none" w:sz="0" w:space="0" w:color="auto"/>
            <w:left w:val="none" w:sz="0" w:space="0" w:color="auto"/>
            <w:bottom w:val="none" w:sz="0" w:space="0" w:color="auto"/>
            <w:right w:val="none" w:sz="0" w:space="0" w:color="auto"/>
          </w:divBdr>
        </w:div>
      </w:divsChild>
    </w:div>
    <w:div w:id="498741699">
      <w:bodyDiv w:val="1"/>
      <w:marLeft w:val="0"/>
      <w:marRight w:val="0"/>
      <w:marTop w:val="0"/>
      <w:marBottom w:val="0"/>
      <w:divBdr>
        <w:top w:val="none" w:sz="0" w:space="0" w:color="auto"/>
        <w:left w:val="none" w:sz="0" w:space="0" w:color="auto"/>
        <w:bottom w:val="none" w:sz="0" w:space="0" w:color="auto"/>
        <w:right w:val="none" w:sz="0" w:space="0" w:color="auto"/>
      </w:divBdr>
      <w:divsChild>
        <w:div w:id="16271568">
          <w:marLeft w:val="0"/>
          <w:marRight w:val="0"/>
          <w:marTop w:val="0"/>
          <w:marBottom w:val="0"/>
          <w:divBdr>
            <w:top w:val="none" w:sz="0" w:space="0" w:color="auto"/>
            <w:left w:val="none" w:sz="0" w:space="0" w:color="auto"/>
            <w:bottom w:val="none" w:sz="0" w:space="0" w:color="auto"/>
            <w:right w:val="none" w:sz="0" w:space="0" w:color="auto"/>
          </w:divBdr>
        </w:div>
        <w:div w:id="25102321">
          <w:marLeft w:val="0"/>
          <w:marRight w:val="0"/>
          <w:marTop w:val="0"/>
          <w:marBottom w:val="0"/>
          <w:divBdr>
            <w:top w:val="none" w:sz="0" w:space="0" w:color="auto"/>
            <w:left w:val="none" w:sz="0" w:space="0" w:color="auto"/>
            <w:bottom w:val="none" w:sz="0" w:space="0" w:color="auto"/>
            <w:right w:val="none" w:sz="0" w:space="0" w:color="auto"/>
          </w:divBdr>
        </w:div>
        <w:div w:id="35787367">
          <w:marLeft w:val="0"/>
          <w:marRight w:val="0"/>
          <w:marTop w:val="0"/>
          <w:marBottom w:val="0"/>
          <w:divBdr>
            <w:top w:val="none" w:sz="0" w:space="0" w:color="auto"/>
            <w:left w:val="none" w:sz="0" w:space="0" w:color="auto"/>
            <w:bottom w:val="none" w:sz="0" w:space="0" w:color="auto"/>
            <w:right w:val="none" w:sz="0" w:space="0" w:color="auto"/>
          </w:divBdr>
        </w:div>
        <w:div w:id="40596207">
          <w:marLeft w:val="0"/>
          <w:marRight w:val="0"/>
          <w:marTop w:val="0"/>
          <w:marBottom w:val="0"/>
          <w:divBdr>
            <w:top w:val="none" w:sz="0" w:space="0" w:color="auto"/>
            <w:left w:val="none" w:sz="0" w:space="0" w:color="auto"/>
            <w:bottom w:val="none" w:sz="0" w:space="0" w:color="auto"/>
            <w:right w:val="none" w:sz="0" w:space="0" w:color="auto"/>
          </w:divBdr>
        </w:div>
        <w:div w:id="48575604">
          <w:marLeft w:val="0"/>
          <w:marRight w:val="0"/>
          <w:marTop w:val="0"/>
          <w:marBottom w:val="0"/>
          <w:divBdr>
            <w:top w:val="none" w:sz="0" w:space="0" w:color="auto"/>
            <w:left w:val="none" w:sz="0" w:space="0" w:color="auto"/>
            <w:bottom w:val="none" w:sz="0" w:space="0" w:color="auto"/>
            <w:right w:val="none" w:sz="0" w:space="0" w:color="auto"/>
          </w:divBdr>
        </w:div>
        <w:div w:id="81342783">
          <w:marLeft w:val="0"/>
          <w:marRight w:val="0"/>
          <w:marTop w:val="0"/>
          <w:marBottom w:val="0"/>
          <w:divBdr>
            <w:top w:val="none" w:sz="0" w:space="0" w:color="auto"/>
            <w:left w:val="none" w:sz="0" w:space="0" w:color="auto"/>
            <w:bottom w:val="none" w:sz="0" w:space="0" w:color="auto"/>
            <w:right w:val="none" w:sz="0" w:space="0" w:color="auto"/>
          </w:divBdr>
        </w:div>
        <w:div w:id="82649632">
          <w:marLeft w:val="0"/>
          <w:marRight w:val="0"/>
          <w:marTop w:val="0"/>
          <w:marBottom w:val="0"/>
          <w:divBdr>
            <w:top w:val="none" w:sz="0" w:space="0" w:color="auto"/>
            <w:left w:val="none" w:sz="0" w:space="0" w:color="auto"/>
            <w:bottom w:val="none" w:sz="0" w:space="0" w:color="auto"/>
            <w:right w:val="none" w:sz="0" w:space="0" w:color="auto"/>
          </w:divBdr>
        </w:div>
        <w:div w:id="83037383">
          <w:marLeft w:val="0"/>
          <w:marRight w:val="0"/>
          <w:marTop w:val="0"/>
          <w:marBottom w:val="0"/>
          <w:divBdr>
            <w:top w:val="none" w:sz="0" w:space="0" w:color="auto"/>
            <w:left w:val="none" w:sz="0" w:space="0" w:color="auto"/>
            <w:bottom w:val="none" w:sz="0" w:space="0" w:color="auto"/>
            <w:right w:val="none" w:sz="0" w:space="0" w:color="auto"/>
          </w:divBdr>
        </w:div>
        <w:div w:id="98910263">
          <w:marLeft w:val="0"/>
          <w:marRight w:val="0"/>
          <w:marTop w:val="0"/>
          <w:marBottom w:val="0"/>
          <w:divBdr>
            <w:top w:val="none" w:sz="0" w:space="0" w:color="auto"/>
            <w:left w:val="none" w:sz="0" w:space="0" w:color="auto"/>
            <w:bottom w:val="none" w:sz="0" w:space="0" w:color="auto"/>
            <w:right w:val="none" w:sz="0" w:space="0" w:color="auto"/>
          </w:divBdr>
        </w:div>
        <w:div w:id="106244297">
          <w:marLeft w:val="0"/>
          <w:marRight w:val="0"/>
          <w:marTop w:val="0"/>
          <w:marBottom w:val="0"/>
          <w:divBdr>
            <w:top w:val="none" w:sz="0" w:space="0" w:color="auto"/>
            <w:left w:val="none" w:sz="0" w:space="0" w:color="auto"/>
            <w:bottom w:val="none" w:sz="0" w:space="0" w:color="auto"/>
            <w:right w:val="none" w:sz="0" w:space="0" w:color="auto"/>
          </w:divBdr>
        </w:div>
        <w:div w:id="112797130">
          <w:marLeft w:val="0"/>
          <w:marRight w:val="0"/>
          <w:marTop w:val="0"/>
          <w:marBottom w:val="0"/>
          <w:divBdr>
            <w:top w:val="none" w:sz="0" w:space="0" w:color="auto"/>
            <w:left w:val="none" w:sz="0" w:space="0" w:color="auto"/>
            <w:bottom w:val="none" w:sz="0" w:space="0" w:color="auto"/>
            <w:right w:val="none" w:sz="0" w:space="0" w:color="auto"/>
          </w:divBdr>
        </w:div>
        <w:div w:id="116141642">
          <w:marLeft w:val="0"/>
          <w:marRight w:val="0"/>
          <w:marTop w:val="0"/>
          <w:marBottom w:val="0"/>
          <w:divBdr>
            <w:top w:val="none" w:sz="0" w:space="0" w:color="auto"/>
            <w:left w:val="none" w:sz="0" w:space="0" w:color="auto"/>
            <w:bottom w:val="none" w:sz="0" w:space="0" w:color="auto"/>
            <w:right w:val="none" w:sz="0" w:space="0" w:color="auto"/>
          </w:divBdr>
        </w:div>
        <w:div w:id="122116641">
          <w:marLeft w:val="0"/>
          <w:marRight w:val="0"/>
          <w:marTop w:val="0"/>
          <w:marBottom w:val="0"/>
          <w:divBdr>
            <w:top w:val="none" w:sz="0" w:space="0" w:color="auto"/>
            <w:left w:val="none" w:sz="0" w:space="0" w:color="auto"/>
            <w:bottom w:val="none" w:sz="0" w:space="0" w:color="auto"/>
            <w:right w:val="none" w:sz="0" w:space="0" w:color="auto"/>
          </w:divBdr>
        </w:div>
        <w:div w:id="123042808">
          <w:marLeft w:val="0"/>
          <w:marRight w:val="0"/>
          <w:marTop w:val="0"/>
          <w:marBottom w:val="0"/>
          <w:divBdr>
            <w:top w:val="none" w:sz="0" w:space="0" w:color="auto"/>
            <w:left w:val="none" w:sz="0" w:space="0" w:color="auto"/>
            <w:bottom w:val="none" w:sz="0" w:space="0" w:color="auto"/>
            <w:right w:val="none" w:sz="0" w:space="0" w:color="auto"/>
          </w:divBdr>
        </w:div>
        <w:div w:id="128590406">
          <w:marLeft w:val="0"/>
          <w:marRight w:val="0"/>
          <w:marTop w:val="0"/>
          <w:marBottom w:val="0"/>
          <w:divBdr>
            <w:top w:val="none" w:sz="0" w:space="0" w:color="auto"/>
            <w:left w:val="none" w:sz="0" w:space="0" w:color="auto"/>
            <w:bottom w:val="none" w:sz="0" w:space="0" w:color="auto"/>
            <w:right w:val="none" w:sz="0" w:space="0" w:color="auto"/>
          </w:divBdr>
        </w:div>
        <w:div w:id="132601118">
          <w:marLeft w:val="0"/>
          <w:marRight w:val="0"/>
          <w:marTop w:val="0"/>
          <w:marBottom w:val="0"/>
          <w:divBdr>
            <w:top w:val="none" w:sz="0" w:space="0" w:color="auto"/>
            <w:left w:val="none" w:sz="0" w:space="0" w:color="auto"/>
            <w:bottom w:val="none" w:sz="0" w:space="0" w:color="auto"/>
            <w:right w:val="none" w:sz="0" w:space="0" w:color="auto"/>
          </w:divBdr>
        </w:div>
        <w:div w:id="135613967">
          <w:marLeft w:val="0"/>
          <w:marRight w:val="0"/>
          <w:marTop w:val="0"/>
          <w:marBottom w:val="0"/>
          <w:divBdr>
            <w:top w:val="none" w:sz="0" w:space="0" w:color="auto"/>
            <w:left w:val="none" w:sz="0" w:space="0" w:color="auto"/>
            <w:bottom w:val="none" w:sz="0" w:space="0" w:color="auto"/>
            <w:right w:val="none" w:sz="0" w:space="0" w:color="auto"/>
          </w:divBdr>
        </w:div>
        <w:div w:id="142047465">
          <w:marLeft w:val="0"/>
          <w:marRight w:val="0"/>
          <w:marTop w:val="0"/>
          <w:marBottom w:val="0"/>
          <w:divBdr>
            <w:top w:val="none" w:sz="0" w:space="0" w:color="auto"/>
            <w:left w:val="none" w:sz="0" w:space="0" w:color="auto"/>
            <w:bottom w:val="none" w:sz="0" w:space="0" w:color="auto"/>
            <w:right w:val="none" w:sz="0" w:space="0" w:color="auto"/>
          </w:divBdr>
        </w:div>
        <w:div w:id="161707419">
          <w:marLeft w:val="0"/>
          <w:marRight w:val="0"/>
          <w:marTop w:val="0"/>
          <w:marBottom w:val="0"/>
          <w:divBdr>
            <w:top w:val="none" w:sz="0" w:space="0" w:color="auto"/>
            <w:left w:val="none" w:sz="0" w:space="0" w:color="auto"/>
            <w:bottom w:val="none" w:sz="0" w:space="0" w:color="auto"/>
            <w:right w:val="none" w:sz="0" w:space="0" w:color="auto"/>
          </w:divBdr>
        </w:div>
        <w:div w:id="162823363">
          <w:marLeft w:val="0"/>
          <w:marRight w:val="0"/>
          <w:marTop w:val="0"/>
          <w:marBottom w:val="0"/>
          <w:divBdr>
            <w:top w:val="none" w:sz="0" w:space="0" w:color="auto"/>
            <w:left w:val="none" w:sz="0" w:space="0" w:color="auto"/>
            <w:bottom w:val="none" w:sz="0" w:space="0" w:color="auto"/>
            <w:right w:val="none" w:sz="0" w:space="0" w:color="auto"/>
          </w:divBdr>
        </w:div>
        <w:div w:id="164059822">
          <w:marLeft w:val="0"/>
          <w:marRight w:val="0"/>
          <w:marTop w:val="0"/>
          <w:marBottom w:val="0"/>
          <w:divBdr>
            <w:top w:val="none" w:sz="0" w:space="0" w:color="auto"/>
            <w:left w:val="none" w:sz="0" w:space="0" w:color="auto"/>
            <w:bottom w:val="none" w:sz="0" w:space="0" w:color="auto"/>
            <w:right w:val="none" w:sz="0" w:space="0" w:color="auto"/>
          </w:divBdr>
        </w:div>
        <w:div w:id="170996231">
          <w:marLeft w:val="0"/>
          <w:marRight w:val="0"/>
          <w:marTop w:val="0"/>
          <w:marBottom w:val="0"/>
          <w:divBdr>
            <w:top w:val="none" w:sz="0" w:space="0" w:color="auto"/>
            <w:left w:val="none" w:sz="0" w:space="0" w:color="auto"/>
            <w:bottom w:val="none" w:sz="0" w:space="0" w:color="auto"/>
            <w:right w:val="none" w:sz="0" w:space="0" w:color="auto"/>
          </w:divBdr>
        </w:div>
        <w:div w:id="180780292">
          <w:marLeft w:val="0"/>
          <w:marRight w:val="0"/>
          <w:marTop w:val="0"/>
          <w:marBottom w:val="0"/>
          <w:divBdr>
            <w:top w:val="none" w:sz="0" w:space="0" w:color="auto"/>
            <w:left w:val="none" w:sz="0" w:space="0" w:color="auto"/>
            <w:bottom w:val="none" w:sz="0" w:space="0" w:color="auto"/>
            <w:right w:val="none" w:sz="0" w:space="0" w:color="auto"/>
          </w:divBdr>
        </w:div>
        <w:div w:id="185604176">
          <w:marLeft w:val="0"/>
          <w:marRight w:val="0"/>
          <w:marTop w:val="0"/>
          <w:marBottom w:val="0"/>
          <w:divBdr>
            <w:top w:val="none" w:sz="0" w:space="0" w:color="auto"/>
            <w:left w:val="none" w:sz="0" w:space="0" w:color="auto"/>
            <w:bottom w:val="none" w:sz="0" w:space="0" w:color="auto"/>
            <w:right w:val="none" w:sz="0" w:space="0" w:color="auto"/>
          </w:divBdr>
        </w:div>
        <w:div w:id="190607952">
          <w:marLeft w:val="0"/>
          <w:marRight w:val="0"/>
          <w:marTop w:val="0"/>
          <w:marBottom w:val="0"/>
          <w:divBdr>
            <w:top w:val="none" w:sz="0" w:space="0" w:color="auto"/>
            <w:left w:val="none" w:sz="0" w:space="0" w:color="auto"/>
            <w:bottom w:val="none" w:sz="0" w:space="0" w:color="auto"/>
            <w:right w:val="none" w:sz="0" w:space="0" w:color="auto"/>
          </w:divBdr>
        </w:div>
        <w:div w:id="200631623">
          <w:marLeft w:val="0"/>
          <w:marRight w:val="0"/>
          <w:marTop w:val="0"/>
          <w:marBottom w:val="0"/>
          <w:divBdr>
            <w:top w:val="none" w:sz="0" w:space="0" w:color="auto"/>
            <w:left w:val="none" w:sz="0" w:space="0" w:color="auto"/>
            <w:bottom w:val="none" w:sz="0" w:space="0" w:color="auto"/>
            <w:right w:val="none" w:sz="0" w:space="0" w:color="auto"/>
          </w:divBdr>
        </w:div>
        <w:div w:id="201677893">
          <w:marLeft w:val="0"/>
          <w:marRight w:val="0"/>
          <w:marTop w:val="0"/>
          <w:marBottom w:val="0"/>
          <w:divBdr>
            <w:top w:val="none" w:sz="0" w:space="0" w:color="auto"/>
            <w:left w:val="none" w:sz="0" w:space="0" w:color="auto"/>
            <w:bottom w:val="none" w:sz="0" w:space="0" w:color="auto"/>
            <w:right w:val="none" w:sz="0" w:space="0" w:color="auto"/>
          </w:divBdr>
        </w:div>
        <w:div w:id="204831287">
          <w:marLeft w:val="0"/>
          <w:marRight w:val="0"/>
          <w:marTop w:val="0"/>
          <w:marBottom w:val="0"/>
          <w:divBdr>
            <w:top w:val="none" w:sz="0" w:space="0" w:color="auto"/>
            <w:left w:val="none" w:sz="0" w:space="0" w:color="auto"/>
            <w:bottom w:val="none" w:sz="0" w:space="0" w:color="auto"/>
            <w:right w:val="none" w:sz="0" w:space="0" w:color="auto"/>
          </w:divBdr>
        </w:div>
        <w:div w:id="206457002">
          <w:marLeft w:val="0"/>
          <w:marRight w:val="0"/>
          <w:marTop w:val="0"/>
          <w:marBottom w:val="0"/>
          <w:divBdr>
            <w:top w:val="none" w:sz="0" w:space="0" w:color="auto"/>
            <w:left w:val="none" w:sz="0" w:space="0" w:color="auto"/>
            <w:bottom w:val="none" w:sz="0" w:space="0" w:color="auto"/>
            <w:right w:val="none" w:sz="0" w:space="0" w:color="auto"/>
          </w:divBdr>
        </w:div>
        <w:div w:id="226916517">
          <w:marLeft w:val="0"/>
          <w:marRight w:val="0"/>
          <w:marTop w:val="0"/>
          <w:marBottom w:val="0"/>
          <w:divBdr>
            <w:top w:val="none" w:sz="0" w:space="0" w:color="auto"/>
            <w:left w:val="none" w:sz="0" w:space="0" w:color="auto"/>
            <w:bottom w:val="none" w:sz="0" w:space="0" w:color="auto"/>
            <w:right w:val="none" w:sz="0" w:space="0" w:color="auto"/>
          </w:divBdr>
        </w:div>
        <w:div w:id="229080005">
          <w:marLeft w:val="0"/>
          <w:marRight w:val="0"/>
          <w:marTop w:val="0"/>
          <w:marBottom w:val="0"/>
          <w:divBdr>
            <w:top w:val="none" w:sz="0" w:space="0" w:color="auto"/>
            <w:left w:val="none" w:sz="0" w:space="0" w:color="auto"/>
            <w:bottom w:val="none" w:sz="0" w:space="0" w:color="auto"/>
            <w:right w:val="none" w:sz="0" w:space="0" w:color="auto"/>
          </w:divBdr>
        </w:div>
        <w:div w:id="248199676">
          <w:marLeft w:val="0"/>
          <w:marRight w:val="0"/>
          <w:marTop w:val="0"/>
          <w:marBottom w:val="0"/>
          <w:divBdr>
            <w:top w:val="none" w:sz="0" w:space="0" w:color="auto"/>
            <w:left w:val="none" w:sz="0" w:space="0" w:color="auto"/>
            <w:bottom w:val="none" w:sz="0" w:space="0" w:color="auto"/>
            <w:right w:val="none" w:sz="0" w:space="0" w:color="auto"/>
          </w:divBdr>
        </w:div>
        <w:div w:id="257098969">
          <w:marLeft w:val="0"/>
          <w:marRight w:val="0"/>
          <w:marTop w:val="0"/>
          <w:marBottom w:val="0"/>
          <w:divBdr>
            <w:top w:val="none" w:sz="0" w:space="0" w:color="auto"/>
            <w:left w:val="none" w:sz="0" w:space="0" w:color="auto"/>
            <w:bottom w:val="none" w:sz="0" w:space="0" w:color="auto"/>
            <w:right w:val="none" w:sz="0" w:space="0" w:color="auto"/>
          </w:divBdr>
        </w:div>
        <w:div w:id="257907523">
          <w:marLeft w:val="0"/>
          <w:marRight w:val="0"/>
          <w:marTop w:val="0"/>
          <w:marBottom w:val="0"/>
          <w:divBdr>
            <w:top w:val="none" w:sz="0" w:space="0" w:color="auto"/>
            <w:left w:val="none" w:sz="0" w:space="0" w:color="auto"/>
            <w:bottom w:val="none" w:sz="0" w:space="0" w:color="auto"/>
            <w:right w:val="none" w:sz="0" w:space="0" w:color="auto"/>
          </w:divBdr>
        </w:div>
        <w:div w:id="265040404">
          <w:marLeft w:val="0"/>
          <w:marRight w:val="0"/>
          <w:marTop w:val="0"/>
          <w:marBottom w:val="0"/>
          <w:divBdr>
            <w:top w:val="none" w:sz="0" w:space="0" w:color="auto"/>
            <w:left w:val="none" w:sz="0" w:space="0" w:color="auto"/>
            <w:bottom w:val="none" w:sz="0" w:space="0" w:color="auto"/>
            <w:right w:val="none" w:sz="0" w:space="0" w:color="auto"/>
          </w:divBdr>
        </w:div>
        <w:div w:id="267540678">
          <w:marLeft w:val="0"/>
          <w:marRight w:val="0"/>
          <w:marTop w:val="0"/>
          <w:marBottom w:val="0"/>
          <w:divBdr>
            <w:top w:val="none" w:sz="0" w:space="0" w:color="auto"/>
            <w:left w:val="none" w:sz="0" w:space="0" w:color="auto"/>
            <w:bottom w:val="none" w:sz="0" w:space="0" w:color="auto"/>
            <w:right w:val="none" w:sz="0" w:space="0" w:color="auto"/>
          </w:divBdr>
        </w:div>
        <w:div w:id="272594727">
          <w:marLeft w:val="0"/>
          <w:marRight w:val="0"/>
          <w:marTop w:val="0"/>
          <w:marBottom w:val="0"/>
          <w:divBdr>
            <w:top w:val="none" w:sz="0" w:space="0" w:color="auto"/>
            <w:left w:val="none" w:sz="0" w:space="0" w:color="auto"/>
            <w:bottom w:val="none" w:sz="0" w:space="0" w:color="auto"/>
            <w:right w:val="none" w:sz="0" w:space="0" w:color="auto"/>
          </w:divBdr>
        </w:div>
        <w:div w:id="276765758">
          <w:marLeft w:val="0"/>
          <w:marRight w:val="0"/>
          <w:marTop w:val="0"/>
          <w:marBottom w:val="0"/>
          <w:divBdr>
            <w:top w:val="none" w:sz="0" w:space="0" w:color="auto"/>
            <w:left w:val="none" w:sz="0" w:space="0" w:color="auto"/>
            <w:bottom w:val="none" w:sz="0" w:space="0" w:color="auto"/>
            <w:right w:val="none" w:sz="0" w:space="0" w:color="auto"/>
          </w:divBdr>
        </w:div>
        <w:div w:id="280652246">
          <w:marLeft w:val="0"/>
          <w:marRight w:val="0"/>
          <w:marTop w:val="0"/>
          <w:marBottom w:val="0"/>
          <w:divBdr>
            <w:top w:val="none" w:sz="0" w:space="0" w:color="auto"/>
            <w:left w:val="none" w:sz="0" w:space="0" w:color="auto"/>
            <w:bottom w:val="none" w:sz="0" w:space="0" w:color="auto"/>
            <w:right w:val="none" w:sz="0" w:space="0" w:color="auto"/>
          </w:divBdr>
        </w:div>
        <w:div w:id="281965555">
          <w:marLeft w:val="0"/>
          <w:marRight w:val="0"/>
          <w:marTop w:val="0"/>
          <w:marBottom w:val="0"/>
          <w:divBdr>
            <w:top w:val="none" w:sz="0" w:space="0" w:color="auto"/>
            <w:left w:val="none" w:sz="0" w:space="0" w:color="auto"/>
            <w:bottom w:val="none" w:sz="0" w:space="0" w:color="auto"/>
            <w:right w:val="none" w:sz="0" w:space="0" w:color="auto"/>
          </w:divBdr>
        </w:div>
        <w:div w:id="290937449">
          <w:marLeft w:val="0"/>
          <w:marRight w:val="0"/>
          <w:marTop w:val="0"/>
          <w:marBottom w:val="0"/>
          <w:divBdr>
            <w:top w:val="none" w:sz="0" w:space="0" w:color="auto"/>
            <w:left w:val="none" w:sz="0" w:space="0" w:color="auto"/>
            <w:bottom w:val="none" w:sz="0" w:space="0" w:color="auto"/>
            <w:right w:val="none" w:sz="0" w:space="0" w:color="auto"/>
          </w:divBdr>
        </w:div>
        <w:div w:id="296688070">
          <w:marLeft w:val="0"/>
          <w:marRight w:val="0"/>
          <w:marTop w:val="0"/>
          <w:marBottom w:val="0"/>
          <w:divBdr>
            <w:top w:val="none" w:sz="0" w:space="0" w:color="auto"/>
            <w:left w:val="none" w:sz="0" w:space="0" w:color="auto"/>
            <w:bottom w:val="none" w:sz="0" w:space="0" w:color="auto"/>
            <w:right w:val="none" w:sz="0" w:space="0" w:color="auto"/>
          </w:divBdr>
        </w:div>
        <w:div w:id="297300737">
          <w:marLeft w:val="0"/>
          <w:marRight w:val="0"/>
          <w:marTop w:val="0"/>
          <w:marBottom w:val="0"/>
          <w:divBdr>
            <w:top w:val="none" w:sz="0" w:space="0" w:color="auto"/>
            <w:left w:val="none" w:sz="0" w:space="0" w:color="auto"/>
            <w:bottom w:val="none" w:sz="0" w:space="0" w:color="auto"/>
            <w:right w:val="none" w:sz="0" w:space="0" w:color="auto"/>
          </w:divBdr>
        </w:div>
        <w:div w:id="297417797">
          <w:marLeft w:val="0"/>
          <w:marRight w:val="0"/>
          <w:marTop w:val="0"/>
          <w:marBottom w:val="0"/>
          <w:divBdr>
            <w:top w:val="none" w:sz="0" w:space="0" w:color="auto"/>
            <w:left w:val="none" w:sz="0" w:space="0" w:color="auto"/>
            <w:bottom w:val="none" w:sz="0" w:space="0" w:color="auto"/>
            <w:right w:val="none" w:sz="0" w:space="0" w:color="auto"/>
          </w:divBdr>
        </w:div>
        <w:div w:id="301227722">
          <w:marLeft w:val="0"/>
          <w:marRight w:val="0"/>
          <w:marTop w:val="0"/>
          <w:marBottom w:val="0"/>
          <w:divBdr>
            <w:top w:val="none" w:sz="0" w:space="0" w:color="auto"/>
            <w:left w:val="none" w:sz="0" w:space="0" w:color="auto"/>
            <w:bottom w:val="none" w:sz="0" w:space="0" w:color="auto"/>
            <w:right w:val="none" w:sz="0" w:space="0" w:color="auto"/>
          </w:divBdr>
        </w:div>
        <w:div w:id="315384544">
          <w:marLeft w:val="0"/>
          <w:marRight w:val="0"/>
          <w:marTop w:val="0"/>
          <w:marBottom w:val="0"/>
          <w:divBdr>
            <w:top w:val="none" w:sz="0" w:space="0" w:color="auto"/>
            <w:left w:val="none" w:sz="0" w:space="0" w:color="auto"/>
            <w:bottom w:val="none" w:sz="0" w:space="0" w:color="auto"/>
            <w:right w:val="none" w:sz="0" w:space="0" w:color="auto"/>
          </w:divBdr>
        </w:div>
        <w:div w:id="328097988">
          <w:marLeft w:val="0"/>
          <w:marRight w:val="0"/>
          <w:marTop w:val="0"/>
          <w:marBottom w:val="0"/>
          <w:divBdr>
            <w:top w:val="none" w:sz="0" w:space="0" w:color="auto"/>
            <w:left w:val="none" w:sz="0" w:space="0" w:color="auto"/>
            <w:bottom w:val="none" w:sz="0" w:space="0" w:color="auto"/>
            <w:right w:val="none" w:sz="0" w:space="0" w:color="auto"/>
          </w:divBdr>
        </w:div>
        <w:div w:id="344988195">
          <w:marLeft w:val="0"/>
          <w:marRight w:val="0"/>
          <w:marTop w:val="0"/>
          <w:marBottom w:val="0"/>
          <w:divBdr>
            <w:top w:val="none" w:sz="0" w:space="0" w:color="auto"/>
            <w:left w:val="none" w:sz="0" w:space="0" w:color="auto"/>
            <w:bottom w:val="none" w:sz="0" w:space="0" w:color="auto"/>
            <w:right w:val="none" w:sz="0" w:space="0" w:color="auto"/>
          </w:divBdr>
        </w:div>
        <w:div w:id="345062459">
          <w:marLeft w:val="0"/>
          <w:marRight w:val="0"/>
          <w:marTop w:val="0"/>
          <w:marBottom w:val="0"/>
          <w:divBdr>
            <w:top w:val="none" w:sz="0" w:space="0" w:color="auto"/>
            <w:left w:val="none" w:sz="0" w:space="0" w:color="auto"/>
            <w:bottom w:val="none" w:sz="0" w:space="0" w:color="auto"/>
            <w:right w:val="none" w:sz="0" w:space="0" w:color="auto"/>
          </w:divBdr>
        </w:div>
        <w:div w:id="352466018">
          <w:marLeft w:val="0"/>
          <w:marRight w:val="0"/>
          <w:marTop w:val="0"/>
          <w:marBottom w:val="0"/>
          <w:divBdr>
            <w:top w:val="none" w:sz="0" w:space="0" w:color="auto"/>
            <w:left w:val="none" w:sz="0" w:space="0" w:color="auto"/>
            <w:bottom w:val="none" w:sz="0" w:space="0" w:color="auto"/>
            <w:right w:val="none" w:sz="0" w:space="0" w:color="auto"/>
          </w:divBdr>
        </w:div>
        <w:div w:id="373845421">
          <w:marLeft w:val="0"/>
          <w:marRight w:val="0"/>
          <w:marTop w:val="0"/>
          <w:marBottom w:val="0"/>
          <w:divBdr>
            <w:top w:val="none" w:sz="0" w:space="0" w:color="auto"/>
            <w:left w:val="none" w:sz="0" w:space="0" w:color="auto"/>
            <w:bottom w:val="none" w:sz="0" w:space="0" w:color="auto"/>
            <w:right w:val="none" w:sz="0" w:space="0" w:color="auto"/>
          </w:divBdr>
        </w:div>
        <w:div w:id="375859534">
          <w:marLeft w:val="0"/>
          <w:marRight w:val="0"/>
          <w:marTop w:val="0"/>
          <w:marBottom w:val="0"/>
          <w:divBdr>
            <w:top w:val="none" w:sz="0" w:space="0" w:color="auto"/>
            <w:left w:val="none" w:sz="0" w:space="0" w:color="auto"/>
            <w:bottom w:val="none" w:sz="0" w:space="0" w:color="auto"/>
            <w:right w:val="none" w:sz="0" w:space="0" w:color="auto"/>
          </w:divBdr>
        </w:div>
        <w:div w:id="386417308">
          <w:marLeft w:val="0"/>
          <w:marRight w:val="0"/>
          <w:marTop w:val="0"/>
          <w:marBottom w:val="0"/>
          <w:divBdr>
            <w:top w:val="none" w:sz="0" w:space="0" w:color="auto"/>
            <w:left w:val="none" w:sz="0" w:space="0" w:color="auto"/>
            <w:bottom w:val="none" w:sz="0" w:space="0" w:color="auto"/>
            <w:right w:val="none" w:sz="0" w:space="0" w:color="auto"/>
          </w:divBdr>
        </w:div>
        <w:div w:id="392697515">
          <w:marLeft w:val="0"/>
          <w:marRight w:val="0"/>
          <w:marTop w:val="0"/>
          <w:marBottom w:val="0"/>
          <w:divBdr>
            <w:top w:val="none" w:sz="0" w:space="0" w:color="auto"/>
            <w:left w:val="none" w:sz="0" w:space="0" w:color="auto"/>
            <w:bottom w:val="none" w:sz="0" w:space="0" w:color="auto"/>
            <w:right w:val="none" w:sz="0" w:space="0" w:color="auto"/>
          </w:divBdr>
        </w:div>
        <w:div w:id="403643389">
          <w:marLeft w:val="0"/>
          <w:marRight w:val="0"/>
          <w:marTop w:val="0"/>
          <w:marBottom w:val="0"/>
          <w:divBdr>
            <w:top w:val="none" w:sz="0" w:space="0" w:color="auto"/>
            <w:left w:val="none" w:sz="0" w:space="0" w:color="auto"/>
            <w:bottom w:val="none" w:sz="0" w:space="0" w:color="auto"/>
            <w:right w:val="none" w:sz="0" w:space="0" w:color="auto"/>
          </w:divBdr>
        </w:div>
        <w:div w:id="405802012">
          <w:marLeft w:val="0"/>
          <w:marRight w:val="0"/>
          <w:marTop w:val="0"/>
          <w:marBottom w:val="0"/>
          <w:divBdr>
            <w:top w:val="none" w:sz="0" w:space="0" w:color="auto"/>
            <w:left w:val="none" w:sz="0" w:space="0" w:color="auto"/>
            <w:bottom w:val="none" w:sz="0" w:space="0" w:color="auto"/>
            <w:right w:val="none" w:sz="0" w:space="0" w:color="auto"/>
          </w:divBdr>
        </w:div>
        <w:div w:id="410155110">
          <w:marLeft w:val="0"/>
          <w:marRight w:val="0"/>
          <w:marTop w:val="0"/>
          <w:marBottom w:val="0"/>
          <w:divBdr>
            <w:top w:val="none" w:sz="0" w:space="0" w:color="auto"/>
            <w:left w:val="none" w:sz="0" w:space="0" w:color="auto"/>
            <w:bottom w:val="none" w:sz="0" w:space="0" w:color="auto"/>
            <w:right w:val="none" w:sz="0" w:space="0" w:color="auto"/>
          </w:divBdr>
        </w:div>
        <w:div w:id="410349154">
          <w:marLeft w:val="0"/>
          <w:marRight w:val="0"/>
          <w:marTop w:val="0"/>
          <w:marBottom w:val="0"/>
          <w:divBdr>
            <w:top w:val="none" w:sz="0" w:space="0" w:color="auto"/>
            <w:left w:val="none" w:sz="0" w:space="0" w:color="auto"/>
            <w:bottom w:val="none" w:sz="0" w:space="0" w:color="auto"/>
            <w:right w:val="none" w:sz="0" w:space="0" w:color="auto"/>
          </w:divBdr>
        </w:div>
        <w:div w:id="411706018">
          <w:marLeft w:val="0"/>
          <w:marRight w:val="0"/>
          <w:marTop w:val="0"/>
          <w:marBottom w:val="0"/>
          <w:divBdr>
            <w:top w:val="none" w:sz="0" w:space="0" w:color="auto"/>
            <w:left w:val="none" w:sz="0" w:space="0" w:color="auto"/>
            <w:bottom w:val="none" w:sz="0" w:space="0" w:color="auto"/>
            <w:right w:val="none" w:sz="0" w:space="0" w:color="auto"/>
          </w:divBdr>
        </w:div>
        <w:div w:id="422804200">
          <w:marLeft w:val="0"/>
          <w:marRight w:val="0"/>
          <w:marTop w:val="0"/>
          <w:marBottom w:val="0"/>
          <w:divBdr>
            <w:top w:val="none" w:sz="0" w:space="0" w:color="auto"/>
            <w:left w:val="none" w:sz="0" w:space="0" w:color="auto"/>
            <w:bottom w:val="none" w:sz="0" w:space="0" w:color="auto"/>
            <w:right w:val="none" w:sz="0" w:space="0" w:color="auto"/>
          </w:divBdr>
        </w:div>
        <w:div w:id="427699934">
          <w:marLeft w:val="0"/>
          <w:marRight w:val="0"/>
          <w:marTop w:val="0"/>
          <w:marBottom w:val="0"/>
          <w:divBdr>
            <w:top w:val="none" w:sz="0" w:space="0" w:color="auto"/>
            <w:left w:val="none" w:sz="0" w:space="0" w:color="auto"/>
            <w:bottom w:val="none" w:sz="0" w:space="0" w:color="auto"/>
            <w:right w:val="none" w:sz="0" w:space="0" w:color="auto"/>
          </w:divBdr>
        </w:div>
        <w:div w:id="429007775">
          <w:marLeft w:val="0"/>
          <w:marRight w:val="0"/>
          <w:marTop w:val="0"/>
          <w:marBottom w:val="0"/>
          <w:divBdr>
            <w:top w:val="none" w:sz="0" w:space="0" w:color="auto"/>
            <w:left w:val="none" w:sz="0" w:space="0" w:color="auto"/>
            <w:bottom w:val="none" w:sz="0" w:space="0" w:color="auto"/>
            <w:right w:val="none" w:sz="0" w:space="0" w:color="auto"/>
          </w:divBdr>
        </w:div>
        <w:div w:id="430469427">
          <w:marLeft w:val="0"/>
          <w:marRight w:val="0"/>
          <w:marTop w:val="0"/>
          <w:marBottom w:val="0"/>
          <w:divBdr>
            <w:top w:val="none" w:sz="0" w:space="0" w:color="auto"/>
            <w:left w:val="none" w:sz="0" w:space="0" w:color="auto"/>
            <w:bottom w:val="none" w:sz="0" w:space="0" w:color="auto"/>
            <w:right w:val="none" w:sz="0" w:space="0" w:color="auto"/>
          </w:divBdr>
        </w:div>
        <w:div w:id="436214173">
          <w:marLeft w:val="0"/>
          <w:marRight w:val="0"/>
          <w:marTop w:val="0"/>
          <w:marBottom w:val="0"/>
          <w:divBdr>
            <w:top w:val="none" w:sz="0" w:space="0" w:color="auto"/>
            <w:left w:val="none" w:sz="0" w:space="0" w:color="auto"/>
            <w:bottom w:val="none" w:sz="0" w:space="0" w:color="auto"/>
            <w:right w:val="none" w:sz="0" w:space="0" w:color="auto"/>
          </w:divBdr>
        </w:div>
        <w:div w:id="440606636">
          <w:marLeft w:val="0"/>
          <w:marRight w:val="0"/>
          <w:marTop w:val="0"/>
          <w:marBottom w:val="0"/>
          <w:divBdr>
            <w:top w:val="none" w:sz="0" w:space="0" w:color="auto"/>
            <w:left w:val="none" w:sz="0" w:space="0" w:color="auto"/>
            <w:bottom w:val="none" w:sz="0" w:space="0" w:color="auto"/>
            <w:right w:val="none" w:sz="0" w:space="0" w:color="auto"/>
          </w:divBdr>
        </w:div>
        <w:div w:id="456991185">
          <w:marLeft w:val="0"/>
          <w:marRight w:val="0"/>
          <w:marTop w:val="0"/>
          <w:marBottom w:val="0"/>
          <w:divBdr>
            <w:top w:val="none" w:sz="0" w:space="0" w:color="auto"/>
            <w:left w:val="none" w:sz="0" w:space="0" w:color="auto"/>
            <w:bottom w:val="none" w:sz="0" w:space="0" w:color="auto"/>
            <w:right w:val="none" w:sz="0" w:space="0" w:color="auto"/>
          </w:divBdr>
        </w:div>
        <w:div w:id="468401554">
          <w:marLeft w:val="0"/>
          <w:marRight w:val="0"/>
          <w:marTop w:val="0"/>
          <w:marBottom w:val="0"/>
          <w:divBdr>
            <w:top w:val="none" w:sz="0" w:space="0" w:color="auto"/>
            <w:left w:val="none" w:sz="0" w:space="0" w:color="auto"/>
            <w:bottom w:val="none" w:sz="0" w:space="0" w:color="auto"/>
            <w:right w:val="none" w:sz="0" w:space="0" w:color="auto"/>
          </w:divBdr>
        </w:div>
        <w:div w:id="471564140">
          <w:marLeft w:val="0"/>
          <w:marRight w:val="0"/>
          <w:marTop w:val="0"/>
          <w:marBottom w:val="0"/>
          <w:divBdr>
            <w:top w:val="none" w:sz="0" w:space="0" w:color="auto"/>
            <w:left w:val="none" w:sz="0" w:space="0" w:color="auto"/>
            <w:bottom w:val="none" w:sz="0" w:space="0" w:color="auto"/>
            <w:right w:val="none" w:sz="0" w:space="0" w:color="auto"/>
          </w:divBdr>
        </w:div>
        <w:div w:id="472137495">
          <w:marLeft w:val="0"/>
          <w:marRight w:val="0"/>
          <w:marTop w:val="0"/>
          <w:marBottom w:val="0"/>
          <w:divBdr>
            <w:top w:val="none" w:sz="0" w:space="0" w:color="auto"/>
            <w:left w:val="none" w:sz="0" w:space="0" w:color="auto"/>
            <w:bottom w:val="none" w:sz="0" w:space="0" w:color="auto"/>
            <w:right w:val="none" w:sz="0" w:space="0" w:color="auto"/>
          </w:divBdr>
        </w:div>
        <w:div w:id="473791175">
          <w:marLeft w:val="0"/>
          <w:marRight w:val="0"/>
          <w:marTop w:val="0"/>
          <w:marBottom w:val="0"/>
          <w:divBdr>
            <w:top w:val="none" w:sz="0" w:space="0" w:color="auto"/>
            <w:left w:val="none" w:sz="0" w:space="0" w:color="auto"/>
            <w:bottom w:val="none" w:sz="0" w:space="0" w:color="auto"/>
            <w:right w:val="none" w:sz="0" w:space="0" w:color="auto"/>
          </w:divBdr>
        </w:div>
        <w:div w:id="474370699">
          <w:marLeft w:val="0"/>
          <w:marRight w:val="0"/>
          <w:marTop w:val="0"/>
          <w:marBottom w:val="0"/>
          <w:divBdr>
            <w:top w:val="none" w:sz="0" w:space="0" w:color="auto"/>
            <w:left w:val="none" w:sz="0" w:space="0" w:color="auto"/>
            <w:bottom w:val="none" w:sz="0" w:space="0" w:color="auto"/>
            <w:right w:val="none" w:sz="0" w:space="0" w:color="auto"/>
          </w:divBdr>
        </w:div>
        <w:div w:id="480464424">
          <w:marLeft w:val="0"/>
          <w:marRight w:val="0"/>
          <w:marTop w:val="0"/>
          <w:marBottom w:val="0"/>
          <w:divBdr>
            <w:top w:val="none" w:sz="0" w:space="0" w:color="auto"/>
            <w:left w:val="none" w:sz="0" w:space="0" w:color="auto"/>
            <w:bottom w:val="none" w:sz="0" w:space="0" w:color="auto"/>
            <w:right w:val="none" w:sz="0" w:space="0" w:color="auto"/>
          </w:divBdr>
        </w:div>
        <w:div w:id="481893234">
          <w:marLeft w:val="0"/>
          <w:marRight w:val="0"/>
          <w:marTop w:val="0"/>
          <w:marBottom w:val="0"/>
          <w:divBdr>
            <w:top w:val="none" w:sz="0" w:space="0" w:color="auto"/>
            <w:left w:val="none" w:sz="0" w:space="0" w:color="auto"/>
            <w:bottom w:val="none" w:sz="0" w:space="0" w:color="auto"/>
            <w:right w:val="none" w:sz="0" w:space="0" w:color="auto"/>
          </w:divBdr>
        </w:div>
        <w:div w:id="483736442">
          <w:marLeft w:val="0"/>
          <w:marRight w:val="0"/>
          <w:marTop w:val="0"/>
          <w:marBottom w:val="0"/>
          <w:divBdr>
            <w:top w:val="none" w:sz="0" w:space="0" w:color="auto"/>
            <w:left w:val="none" w:sz="0" w:space="0" w:color="auto"/>
            <w:bottom w:val="none" w:sz="0" w:space="0" w:color="auto"/>
            <w:right w:val="none" w:sz="0" w:space="0" w:color="auto"/>
          </w:divBdr>
        </w:div>
        <w:div w:id="489296662">
          <w:marLeft w:val="0"/>
          <w:marRight w:val="0"/>
          <w:marTop w:val="0"/>
          <w:marBottom w:val="0"/>
          <w:divBdr>
            <w:top w:val="none" w:sz="0" w:space="0" w:color="auto"/>
            <w:left w:val="none" w:sz="0" w:space="0" w:color="auto"/>
            <w:bottom w:val="none" w:sz="0" w:space="0" w:color="auto"/>
            <w:right w:val="none" w:sz="0" w:space="0" w:color="auto"/>
          </w:divBdr>
        </w:div>
        <w:div w:id="494032207">
          <w:marLeft w:val="0"/>
          <w:marRight w:val="0"/>
          <w:marTop w:val="0"/>
          <w:marBottom w:val="0"/>
          <w:divBdr>
            <w:top w:val="none" w:sz="0" w:space="0" w:color="auto"/>
            <w:left w:val="none" w:sz="0" w:space="0" w:color="auto"/>
            <w:bottom w:val="none" w:sz="0" w:space="0" w:color="auto"/>
            <w:right w:val="none" w:sz="0" w:space="0" w:color="auto"/>
          </w:divBdr>
        </w:div>
        <w:div w:id="503781684">
          <w:marLeft w:val="0"/>
          <w:marRight w:val="0"/>
          <w:marTop w:val="0"/>
          <w:marBottom w:val="0"/>
          <w:divBdr>
            <w:top w:val="none" w:sz="0" w:space="0" w:color="auto"/>
            <w:left w:val="none" w:sz="0" w:space="0" w:color="auto"/>
            <w:bottom w:val="none" w:sz="0" w:space="0" w:color="auto"/>
            <w:right w:val="none" w:sz="0" w:space="0" w:color="auto"/>
          </w:divBdr>
        </w:div>
        <w:div w:id="504636259">
          <w:marLeft w:val="0"/>
          <w:marRight w:val="0"/>
          <w:marTop w:val="0"/>
          <w:marBottom w:val="0"/>
          <w:divBdr>
            <w:top w:val="none" w:sz="0" w:space="0" w:color="auto"/>
            <w:left w:val="none" w:sz="0" w:space="0" w:color="auto"/>
            <w:bottom w:val="none" w:sz="0" w:space="0" w:color="auto"/>
            <w:right w:val="none" w:sz="0" w:space="0" w:color="auto"/>
          </w:divBdr>
        </w:div>
        <w:div w:id="517892479">
          <w:marLeft w:val="0"/>
          <w:marRight w:val="0"/>
          <w:marTop w:val="0"/>
          <w:marBottom w:val="0"/>
          <w:divBdr>
            <w:top w:val="none" w:sz="0" w:space="0" w:color="auto"/>
            <w:left w:val="none" w:sz="0" w:space="0" w:color="auto"/>
            <w:bottom w:val="none" w:sz="0" w:space="0" w:color="auto"/>
            <w:right w:val="none" w:sz="0" w:space="0" w:color="auto"/>
          </w:divBdr>
        </w:div>
        <w:div w:id="524908085">
          <w:marLeft w:val="0"/>
          <w:marRight w:val="0"/>
          <w:marTop w:val="0"/>
          <w:marBottom w:val="0"/>
          <w:divBdr>
            <w:top w:val="none" w:sz="0" w:space="0" w:color="auto"/>
            <w:left w:val="none" w:sz="0" w:space="0" w:color="auto"/>
            <w:bottom w:val="none" w:sz="0" w:space="0" w:color="auto"/>
            <w:right w:val="none" w:sz="0" w:space="0" w:color="auto"/>
          </w:divBdr>
        </w:div>
        <w:div w:id="526136794">
          <w:marLeft w:val="0"/>
          <w:marRight w:val="0"/>
          <w:marTop w:val="0"/>
          <w:marBottom w:val="0"/>
          <w:divBdr>
            <w:top w:val="none" w:sz="0" w:space="0" w:color="auto"/>
            <w:left w:val="none" w:sz="0" w:space="0" w:color="auto"/>
            <w:bottom w:val="none" w:sz="0" w:space="0" w:color="auto"/>
            <w:right w:val="none" w:sz="0" w:space="0" w:color="auto"/>
          </w:divBdr>
        </w:div>
        <w:div w:id="527106349">
          <w:marLeft w:val="0"/>
          <w:marRight w:val="0"/>
          <w:marTop w:val="0"/>
          <w:marBottom w:val="0"/>
          <w:divBdr>
            <w:top w:val="none" w:sz="0" w:space="0" w:color="auto"/>
            <w:left w:val="none" w:sz="0" w:space="0" w:color="auto"/>
            <w:bottom w:val="none" w:sz="0" w:space="0" w:color="auto"/>
            <w:right w:val="none" w:sz="0" w:space="0" w:color="auto"/>
          </w:divBdr>
        </w:div>
        <w:div w:id="531765351">
          <w:marLeft w:val="0"/>
          <w:marRight w:val="0"/>
          <w:marTop w:val="0"/>
          <w:marBottom w:val="0"/>
          <w:divBdr>
            <w:top w:val="none" w:sz="0" w:space="0" w:color="auto"/>
            <w:left w:val="none" w:sz="0" w:space="0" w:color="auto"/>
            <w:bottom w:val="none" w:sz="0" w:space="0" w:color="auto"/>
            <w:right w:val="none" w:sz="0" w:space="0" w:color="auto"/>
          </w:divBdr>
        </w:div>
        <w:div w:id="535196338">
          <w:marLeft w:val="0"/>
          <w:marRight w:val="0"/>
          <w:marTop w:val="0"/>
          <w:marBottom w:val="0"/>
          <w:divBdr>
            <w:top w:val="none" w:sz="0" w:space="0" w:color="auto"/>
            <w:left w:val="none" w:sz="0" w:space="0" w:color="auto"/>
            <w:bottom w:val="none" w:sz="0" w:space="0" w:color="auto"/>
            <w:right w:val="none" w:sz="0" w:space="0" w:color="auto"/>
          </w:divBdr>
        </w:div>
        <w:div w:id="538788688">
          <w:marLeft w:val="0"/>
          <w:marRight w:val="0"/>
          <w:marTop w:val="0"/>
          <w:marBottom w:val="0"/>
          <w:divBdr>
            <w:top w:val="none" w:sz="0" w:space="0" w:color="auto"/>
            <w:left w:val="none" w:sz="0" w:space="0" w:color="auto"/>
            <w:bottom w:val="none" w:sz="0" w:space="0" w:color="auto"/>
            <w:right w:val="none" w:sz="0" w:space="0" w:color="auto"/>
          </w:divBdr>
        </w:div>
        <w:div w:id="540558264">
          <w:marLeft w:val="0"/>
          <w:marRight w:val="0"/>
          <w:marTop w:val="0"/>
          <w:marBottom w:val="0"/>
          <w:divBdr>
            <w:top w:val="none" w:sz="0" w:space="0" w:color="auto"/>
            <w:left w:val="none" w:sz="0" w:space="0" w:color="auto"/>
            <w:bottom w:val="none" w:sz="0" w:space="0" w:color="auto"/>
            <w:right w:val="none" w:sz="0" w:space="0" w:color="auto"/>
          </w:divBdr>
        </w:div>
        <w:div w:id="541551054">
          <w:marLeft w:val="0"/>
          <w:marRight w:val="0"/>
          <w:marTop w:val="0"/>
          <w:marBottom w:val="0"/>
          <w:divBdr>
            <w:top w:val="none" w:sz="0" w:space="0" w:color="auto"/>
            <w:left w:val="none" w:sz="0" w:space="0" w:color="auto"/>
            <w:bottom w:val="none" w:sz="0" w:space="0" w:color="auto"/>
            <w:right w:val="none" w:sz="0" w:space="0" w:color="auto"/>
          </w:divBdr>
        </w:div>
        <w:div w:id="547180117">
          <w:marLeft w:val="0"/>
          <w:marRight w:val="0"/>
          <w:marTop w:val="0"/>
          <w:marBottom w:val="0"/>
          <w:divBdr>
            <w:top w:val="none" w:sz="0" w:space="0" w:color="auto"/>
            <w:left w:val="none" w:sz="0" w:space="0" w:color="auto"/>
            <w:bottom w:val="none" w:sz="0" w:space="0" w:color="auto"/>
            <w:right w:val="none" w:sz="0" w:space="0" w:color="auto"/>
          </w:divBdr>
        </w:div>
        <w:div w:id="550583115">
          <w:marLeft w:val="0"/>
          <w:marRight w:val="0"/>
          <w:marTop w:val="0"/>
          <w:marBottom w:val="0"/>
          <w:divBdr>
            <w:top w:val="none" w:sz="0" w:space="0" w:color="auto"/>
            <w:left w:val="none" w:sz="0" w:space="0" w:color="auto"/>
            <w:bottom w:val="none" w:sz="0" w:space="0" w:color="auto"/>
            <w:right w:val="none" w:sz="0" w:space="0" w:color="auto"/>
          </w:divBdr>
        </w:div>
        <w:div w:id="550652942">
          <w:marLeft w:val="0"/>
          <w:marRight w:val="0"/>
          <w:marTop w:val="0"/>
          <w:marBottom w:val="0"/>
          <w:divBdr>
            <w:top w:val="none" w:sz="0" w:space="0" w:color="auto"/>
            <w:left w:val="none" w:sz="0" w:space="0" w:color="auto"/>
            <w:bottom w:val="none" w:sz="0" w:space="0" w:color="auto"/>
            <w:right w:val="none" w:sz="0" w:space="0" w:color="auto"/>
          </w:divBdr>
        </w:div>
        <w:div w:id="566915749">
          <w:marLeft w:val="0"/>
          <w:marRight w:val="0"/>
          <w:marTop w:val="0"/>
          <w:marBottom w:val="0"/>
          <w:divBdr>
            <w:top w:val="none" w:sz="0" w:space="0" w:color="auto"/>
            <w:left w:val="none" w:sz="0" w:space="0" w:color="auto"/>
            <w:bottom w:val="none" w:sz="0" w:space="0" w:color="auto"/>
            <w:right w:val="none" w:sz="0" w:space="0" w:color="auto"/>
          </w:divBdr>
        </w:div>
        <w:div w:id="568807446">
          <w:marLeft w:val="0"/>
          <w:marRight w:val="0"/>
          <w:marTop w:val="0"/>
          <w:marBottom w:val="0"/>
          <w:divBdr>
            <w:top w:val="none" w:sz="0" w:space="0" w:color="auto"/>
            <w:left w:val="none" w:sz="0" w:space="0" w:color="auto"/>
            <w:bottom w:val="none" w:sz="0" w:space="0" w:color="auto"/>
            <w:right w:val="none" w:sz="0" w:space="0" w:color="auto"/>
          </w:divBdr>
        </w:div>
        <w:div w:id="569465166">
          <w:marLeft w:val="0"/>
          <w:marRight w:val="0"/>
          <w:marTop w:val="0"/>
          <w:marBottom w:val="0"/>
          <w:divBdr>
            <w:top w:val="none" w:sz="0" w:space="0" w:color="auto"/>
            <w:left w:val="none" w:sz="0" w:space="0" w:color="auto"/>
            <w:bottom w:val="none" w:sz="0" w:space="0" w:color="auto"/>
            <w:right w:val="none" w:sz="0" w:space="0" w:color="auto"/>
          </w:divBdr>
        </w:div>
        <w:div w:id="574166782">
          <w:marLeft w:val="0"/>
          <w:marRight w:val="0"/>
          <w:marTop w:val="0"/>
          <w:marBottom w:val="0"/>
          <w:divBdr>
            <w:top w:val="none" w:sz="0" w:space="0" w:color="auto"/>
            <w:left w:val="none" w:sz="0" w:space="0" w:color="auto"/>
            <w:bottom w:val="none" w:sz="0" w:space="0" w:color="auto"/>
            <w:right w:val="none" w:sz="0" w:space="0" w:color="auto"/>
          </w:divBdr>
        </w:div>
        <w:div w:id="577131638">
          <w:marLeft w:val="0"/>
          <w:marRight w:val="0"/>
          <w:marTop w:val="0"/>
          <w:marBottom w:val="0"/>
          <w:divBdr>
            <w:top w:val="none" w:sz="0" w:space="0" w:color="auto"/>
            <w:left w:val="none" w:sz="0" w:space="0" w:color="auto"/>
            <w:bottom w:val="none" w:sz="0" w:space="0" w:color="auto"/>
            <w:right w:val="none" w:sz="0" w:space="0" w:color="auto"/>
          </w:divBdr>
        </w:div>
        <w:div w:id="588469613">
          <w:marLeft w:val="0"/>
          <w:marRight w:val="0"/>
          <w:marTop w:val="0"/>
          <w:marBottom w:val="0"/>
          <w:divBdr>
            <w:top w:val="none" w:sz="0" w:space="0" w:color="auto"/>
            <w:left w:val="none" w:sz="0" w:space="0" w:color="auto"/>
            <w:bottom w:val="none" w:sz="0" w:space="0" w:color="auto"/>
            <w:right w:val="none" w:sz="0" w:space="0" w:color="auto"/>
          </w:divBdr>
        </w:div>
        <w:div w:id="594241338">
          <w:marLeft w:val="0"/>
          <w:marRight w:val="0"/>
          <w:marTop w:val="0"/>
          <w:marBottom w:val="0"/>
          <w:divBdr>
            <w:top w:val="none" w:sz="0" w:space="0" w:color="auto"/>
            <w:left w:val="none" w:sz="0" w:space="0" w:color="auto"/>
            <w:bottom w:val="none" w:sz="0" w:space="0" w:color="auto"/>
            <w:right w:val="none" w:sz="0" w:space="0" w:color="auto"/>
          </w:divBdr>
        </w:div>
        <w:div w:id="597103838">
          <w:marLeft w:val="0"/>
          <w:marRight w:val="0"/>
          <w:marTop w:val="0"/>
          <w:marBottom w:val="0"/>
          <w:divBdr>
            <w:top w:val="none" w:sz="0" w:space="0" w:color="auto"/>
            <w:left w:val="none" w:sz="0" w:space="0" w:color="auto"/>
            <w:bottom w:val="none" w:sz="0" w:space="0" w:color="auto"/>
            <w:right w:val="none" w:sz="0" w:space="0" w:color="auto"/>
          </w:divBdr>
        </w:div>
        <w:div w:id="604533110">
          <w:marLeft w:val="0"/>
          <w:marRight w:val="0"/>
          <w:marTop w:val="0"/>
          <w:marBottom w:val="0"/>
          <w:divBdr>
            <w:top w:val="none" w:sz="0" w:space="0" w:color="auto"/>
            <w:left w:val="none" w:sz="0" w:space="0" w:color="auto"/>
            <w:bottom w:val="none" w:sz="0" w:space="0" w:color="auto"/>
            <w:right w:val="none" w:sz="0" w:space="0" w:color="auto"/>
          </w:divBdr>
        </w:div>
        <w:div w:id="607081771">
          <w:marLeft w:val="0"/>
          <w:marRight w:val="0"/>
          <w:marTop w:val="0"/>
          <w:marBottom w:val="0"/>
          <w:divBdr>
            <w:top w:val="none" w:sz="0" w:space="0" w:color="auto"/>
            <w:left w:val="none" w:sz="0" w:space="0" w:color="auto"/>
            <w:bottom w:val="none" w:sz="0" w:space="0" w:color="auto"/>
            <w:right w:val="none" w:sz="0" w:space="0" w:color="auto"/>
          </w:divBdr>
        </w:div>
        <w:div w:id="611131023">
          <w:marLeft w:val="0"/>
          <w:marRight w:val="0"/>
          <w:marTop w:val="0"/>
          <w:marBottom w:val="0"/>
          <w:divBdr>
            <w:top w:val="none" w:sz="0" w:space="0" w:color="auto"/>
            <w:left w:val="none" w:sz="0" w:space="0" w:color="auto"/>
            <w:bottom w:val="none" w:sz="0" w:space="0" w:color="auto"/>
            <w:right w:val="none" w:sz="0" w:space="0" w:color="auto"/>
          </w:divBdr>
        </w:div>
        <w:div w:id="642932965">
          <w:marLeft w:val="0"/>
          <w:marRight w:val="0"/>
          <w:marTop w:val="0"/>
          <w:marBottom w:val="0"/>
          <w:divBdr>
            <w:top w:val="none" w:sz="0" w:space="0" w:color="auto"/>
            <w:left w:val="none" w:sz="0" w:space="0" w:color="auto"/>
            <w:bottom w:val="none" w:sz="0" w:space="0" w:color="auto"/>
            <w:right w:val="none" w:sz="0" w:space="0" w:color="auto"/>
          </w:divBdr>
        </w:div>
        <w:div w:id="644898833">
          <w:marLeft w:val="0"/>
          <w:marRight w:val="0"/>
          <w:marTop w:val="0"/>
          <w:marBottom w:val="0"/>
          <w:divBdr>
            <w:top w:val="none" w:sz="0" w:space="0" w:color="auto"/>
            <w:left w:val="none" w:sz="0" w:space="0" w:color="auto"/>
            <w:bottom w:val="none" w:sz="0" w:space="0" w:color="auto"/>
            <w:right w:val="none" w:sz="0" w:space="0" w:color="auto"/>
          </w:divBdr>
        </w:div>
        <w:div w:id="646714690">
          <w:marLeft w:val="0"/>
          <w:marRight w:val="0"/>
          <w:marTop w:val="0"/>
          <w:marBottom w:val="0"/>
          <w:divBdr>
            <w:top w:val="none" w:sz="0" w:space="0" w:color="auto"/>
            <w:left w:val="none" w:sz="0" w:space="0" w:color="auto"/>
            <w:bottom w:val="none" w:sz="0" w:space="0" w:color="auto"/>
            <w:right w:val="none" w:sz="0" w:space="0" w:color="auto"/>
          </w:divBdr>
        </w:div>
        <w:div w:id="647247046">
          <w:marLeft w:val="0"/>
          <w:marRight w:val="0"/>
          <w:marTop w:val="0"/>
          <w:marBottom w:val="0"/>
          <w:divBdr>
            <w:top w:val="none" w:sz="0" w:space="0" w:color="auto"/>
            <w:left w:val="none" w:sz="0" w:space="0" w:color="auto"/>
            <w:bottom w:val="none" w:sz="0" w:space="0" w:color="auto"/>
            <w:right w:val="none" w:sz="0" w:space="0" w:color="auto"/>
          </w:divBdr>
        </w:div>
        <w:div w:id="669330323">
          <w:marLeft w:val="0"/>
          <w:marRight w:val="0"/>
          <w:marTop w:val="0"/>
          <w:marBottom w:val="0"/>
          <w:divBdr>
            <w:top w:val="none" w:sz="0" w:space="0" w:color="auto"/>
            <w:left w:val="none" w:sz="0" w:space="0" w:color="auto"/>
            <w:bottom w:val="none" w:sz="0" w:space="0" w:color="auto"/>
            <w:right w:val="none" w:sz="0" w:space="0" w:color="auto"/>
          </w:divBdr>
        </w:div>
        <w:div w:id="670254266">
          <w:marLeft w:val="0"/>
          <w:marRight w:val="0"/>
          <w:marTop w:val="0"/>
          <w:marBottom w:val="0"/>
          <w:divBdr>
            <w:top w:val="none" w:sz="0" w:space="0" w:color="auto"/>
            <w:left w:val="none" w:sz="0" w:space="0" w:color="auto"/>
            <w:bottom w:val="none" w:sz="0" w:space="0" w:color="auto"/>
            <w:right w:val="none" w:sz="0" w:space="0" w:color="auto"/>
          </w:divBdr>
        </w:div>
        <w:div w:id="685137729">
          <w:marLeft w:val="0"/>
          <w:marRight w:val="0"/>
          <w:marTop w:val="0"/>
          <w:marBottom w:val="0"/>
          <w:divBdr>
            <w:top w:val="none" w:sz="0" w:space="0" w:color="auto"/>
            <w:left w:val="none" w:sz="0" w:space="0" w:color="auto"/>
            <w:bottom w:val="none" w:sz="0" w:space="0" w:color="auto"/>
            <w:right w:val="none" w:sz="0" w:space="0" w:color="auto"/>
          </w:divBdr>
        </w:div>
        <w:div w:id="686980007">
          <w:marLeft w:val="0"/>
          <w:marRight w:val="0"/>
          <w:marTop w:val="0"/>
          <w:marBottom w:val="0"/>
          <w:divBdr>
            <w:top w:val="none" w:sz="0" w:space="0" w:color="auto"/>
            <w:left w:val="none" w:sz="0" w:space="0" w:color="auto"/>
            <w:bottom w:val="none" w:sz="0" w:space="0" w:color="auto"/>
            <w:right w:val="none" w:sz="0" w:space="0" w:color="auto"/>
          </w:divBdr>
        </w:div>
        <w:div w:id="689188002">
          <w:marLeft w:val="0"/>
          <w:marRight w:val="0"/>
          <w:marTop w:val="0"/>
          <w:marBottom w:val="0"/>
          <w:divBdr>
            <w:top w:val="none" w:sz="0" w:space="0" w:color="auto"/>
            <w:left w:val="none" w:sz="0" w:space="0" w:color="auto"/>
            <w:bottom w:val="none" w:sz="0" w:space="0" w:color="auto"/>
            <w:right w:val="none" w:sz="0" w:space="0" w:color="auto"/>
          </w:divBdr>
        </w:div>
        <w:div w:id="704714899">
          <w:marLeft w:val="0"/>
          <w:marRight w:val="0"/>
          <w:marTop w:val="0"/>
          <w:marBottom w:val="0"/>
          <w:divBdr>
            <w:top w:val="none" w:sz="0" w:space="0" w:color="auto"/>
            <w:left w:val="none" w:sz="0" w:space="0" w:color="auto"/>
            <w:bottom w:val="none" w:sz="0" w:space="0" w:color="auto"/>
            <w:right w:val="none" w:sz="0" w:space="0" w:color="auto"/>
          </w:divBdr>
        </w:div>
        <w:div w:id="712118122">
          <w:marLeft w:val="0"/>
          <w:marRight w:val="0"/>
          <w:marTop w:val="0"/>
          <w:marBottom w:val="0"/>
          <w:divBdr>
            <w:top w:val="none" w:sz="0" w:space="0" w:color="auto"/>
            <w:left w:val="none" w:sz="0" w:space="0" w:color="auto"/>
            <w:bottom w:val="none" w:sz="0" w:space="0" w:color="auto"/>
            <w:right w:val="none" w:sz="0" w:space="0" w:color="auto"/>
          </w:divBdr>
        </w:div>
        <w:div w:id="712731525">
          <w:marLeft w:val="0"/>
          <w:marRight w:val="0"/>
          <w:marTop w:val="0"/>
          <w:marBottom w:val="0"/>
          <w:divBdr>
            <w:top w:val="none" w:sz="0" w:space="0" w:color="auto"/>
            <w:left w:val="none" w:sz="0" w:space="0" w:color="auto"/>
            <w:bottom w:val="none" w:sz="0" w:space="0" w:color="auto"/>
            <w:right w:val="none" w:sz="0" w:space="0" w:color="auto"/>
          </w:divBdr>
        </w:div>
        <w:div w:id="712969985">
          <w:marLeft w:val="0"/>
          <w:marRight w:val="0"/>
          <w:marTop w:val="0"/>
          <w:marBottom w:val="0"/>
          <w:divBdr>
            <w:top w:val="none" w:sz="0" w:space="0" w:color="auto"/>
            <w:left w:val="none" w:sz="0" w:space="0" w:color="auto"/>
            <w:bottom w:val="none" w:sz="0" w:space="0" w:color="auto"/>
            <w:right w:val="none" w:sz="0" w:space="0" w:color="auto"/>
          </w:divBdr>
        </w:div>
        <w:div w:id="714503421">
          <w:marLeft w:val="0"/>
          <w:marRight w:val="0"/>
          <w:marTop w:val="0"/>
          <w:marBottom w:val="0"/>
          <w:divBdr>
            <w:top w:val="none" w:sz="0" w:space="0" w:color="auto"/>
            <w:left w:val="none" w:sz="0" w:space="0" w:color="auto"/>
            <w:bottom w:val="none" w:sz="0" w:space="0" w:color="auto"/>
            <w:right w:val="none" w:sz="0" w:space="0" w:color="auto"/>
          </w:divBdr>
        </w:div>
        <w:div w:id="723725212">
          <w:marLeft w:val="0"/>
          <w:marRight w:val="0"/>
          <w:marTop w:val="0"/>
          <w:marBottom w:val="0"/>
          <w:divBdr>
            <w:top w:val="none" w:sz="0" w:space="0" w:color="auto"/>
            <w:left w:val="none" w:sz="0" w:space="0" w:color="auto"/>
            <w:bottom w:val="none" w:sz="0" w:space="0" w:color="auto"/>
            <w:right w:val="none" w:sz="0" w:space="0" w:color="auto"/>
          </w:divBdr>
        </w:div>
        <w:div w:id="732847994">
          <w:marLeft w:val="0"/>
          <w:marRight w:val="0"/>
          <w:marTop w:val="0"/>
          <w:marBottom w:val="0"/>
          <w:divBdr>
            <w:top w:val="none" w:sz="0" w:space="0" w:color="auto"/>
            <w:left w:val="none" w:sz="0" w:space="0" w:color="auto"/>
            <w:bottom w:val="none" w:sz="0" w:space="0" w:color="auto"/>
            <w:right w:val="none" w:sz="0" w:space="0" w:color="auto"/>
          </w:divBdr>
        </w:div>
        <w:div w:id="734544231">
          <w:marLeft w:val="0"/>
          <w:marRight w:val="0"/>
          <w:marTop w:val="0"/>
          <w:marBottom w:val="0"/>
          <w:divBdr>
            <w:top w:val="none" w:sz="0" w:space="0" w:color="auto"/>
            <w:left w:val="none" w:sz="0" w:space="0" w:color="auto"/>
            <w:bottom w:val="none" w:sz="0" w:space="0" w:color="auto"/>
            <w:right w:val="none" w:sz="0" w:space="0" w:color="auto"/>
          </w:divBdr>
        </w:div>
        <w:div w:id="738787824">
          <w:marLeft w:val="0"/>
          <w:marRight w:val="0"/>
          <w:marTop w:val="0"/>
          <w:marBottom w:val="0"/>
          <w:divBdr>
            <w:top w:val="none" w:sz="0" w:space="0" w:color="auto"/>
            <w:left w:val="none" w:sz="0" w:space="0" w:color="auto"/>
            <w:bottom w:val="none" w:sz="0" w:space="0" w:color="auto"/>
            <w:right w:val="none" w:sz="0" w:space="0" w:color="auto"/>
          </w:divBdr>
        </w:div>
        <w:div w:id="745538433">
          <w:marLeft w:val="0"/>
          <w:marRight w:val="0"/>
          <w:marTop w:val="0"/>
          <w:marBottom w:val="0"/>
          <w:divBdr>
            <w:top w:val="none" w:sz="0" w:space="0" w:color="auto"/>
            <w:left w:val="none" w:sz="0" w:space="0" w:color="auto"/>
            <w:bottom w:val="none" w:sz="0" w:space="0" w:color="auto"/>
            <w:right w:val="none" w:sz="0" w:space="0" w:color="auto"/>
          </w:divBdr>
        </w:div>
        <w:div w:id="757795963">
          <w:marLeft w:val="0"/>
          <w:marRight w:val="0"/>
          <w:marTop w:val="0"/>
          <w:marBottom w:val="0"/>
          <w:divBdr>
            <w:top w:val="none" w:sz="0" w:space="0" w:color="auto"/>
            <w:left w:val="none" w:sz="0" w:space="0" w:color="auto"/>
            <w:bottom w:val="none" w:sz="0" w:space="0" w:color="auto"/>
            <w:right w:val="none" w:sz="0" w:space="0" w:color="auto"/>
          </w:divBdr>
        </w:div>
        <w:div w:id="759833837">
          <w:marLeft w:val="0"/>
          <w:marRight w:val="0"/>
          <w:marTop w:val="0"/>
          <w:marBottom w:val="0"/>
          <w:divBdr>
            <w:top w:val="none" w:sz="0" w:space="0" w:color="auto"/>
            <w:left w:val="none" w:sz="0" w:space="0" w:color="auto"/>
            <w:bottom w:val="none" w:sz="0" w:space="0" w:color="auto"/>
            <w:right w:val="none" w:sz="0" w:space="0" w:color="auto"/>
          </w:divBdr>
        </w:div>
        <w:div w:id="773984244">
          <w:marLeft w:val="0"/>
          <w:marRight w:val="0"/>
          <w:marTop w:val="0"/>
          <w:marBottom w:val="0"/>
          <w:divBdr>
            <w:top w:val="none" w:sz="0" w:space="0" w:color="auto"/>
            <w:left w:val="none" w:sz="0" w:space="0" w:color="auto"/>
            <w:bottom w:val="none" w:sz="0" w:space="0" w:color="auto"/>
            <w:right w:val="none" w:sz="0" w:space="0" w:color="auto"/>
          </w:divBdr>
        </w:div>
        <w:div w:id="778447113">
          <w:marLeft w:val="0"/>
          <w:marRight w:val="0"/>
          <w:marTop w:val="0"/>
          <w:marBottom w:val="0"/>
          <w:divBdr>
            <w:top w:val="none" w:sz="0" w:space="0" w:color="auto"/>
            <w:left w:val="none" w:sz="0" w:space="0" w:color="auto"/>
            <w:bottom w:val="none" w:sz="0" w:space="0" w:color="auto"/>
            <w:right w:val="none" w:sz="0" w:space="0" w:color="auto"/>
          </w:divBdr>
        </w:div>
        <w:div w:id="781264851">
          <w:marLeft w:val="0"/>
          <w:marRight w:val="0"/>
          <w:marTop w:val="0"/>
          <w:marBottom w:val="0"/>
          <w:divBdr>
            <w:top w:val="none" w:sz="0" w:space="0" w:color="auto"/>
            <w:left w:val="none" w:sz="0" w:space="0" w:color="auto"/>
            <w:bottom w:val="none" w:sz="0" w:space="0" w:color="auto"/>
            <w:right w:val="none" w:sz="0" w:space="0" w:color="auto"/>
          </w:divBdr>
        </w:div>
        <w:div w:id="784932290">
          <w:marLeft w:val="0"/>
          <w:marRight w:val="0"/>
          <w:marTop w:val="0"/>
          <w:marBottom w:val="0"/>
          <w:divBdr>
            <w:top w:val="none" w:sz="0" w:space="0" w:color="auto"/>
            <w:left w:val="none" w:sz="0" w:space="0" w:color="auto"/>
            <w:bottom w:val="none" w:sz="0" w:space="0" w:color="auto"/>
            <w:right w:val="none" w:sz="0" w:space="0" w:color="auto"/>
          </w:divBdr>
        </w:div>
        <w:div w:id="793864312">
          <w:marLeft w:val="0"/>
          <w:marRight w:val="0"/>
          <w:marTop w:val="0"/>
          <w:marBottom w:val="0"/>
          <w:divBdr>
            <w:top w:val="none" w:sz="0" w:space="0" w:color="auto"/>
            <w:left w:val="none" w:sz="0" w:space="0" w:color="auto"/>
            <w:bottom w:val="none" w:sz="0" w:space="0" w:color="auto"/>
            <w:right w:val="none" w:sz="0" w:space="0" w:color="auto"/>
          </w:divBdr>
        </w:div>
        <w:div w:id="816726404">
          <w:marLeft w:val="0"/>
          <w:marRight w:val="0"/>
          <w:marTop w:val="0"/>
          <w:marBottom w:val="0"/>
          <w:divBdr>
            <w:top w:val="none" w:sz="0" w:space="0" w:color="auto"/>
            <w:left w:val="none" w:sz="0" w:space="0" w:color="auto"/>
            <w:bottom w:val="none" w:sz="0" w:space="0" w:color="auto"/>
            <w:right w:val="none" w:sz="0" w:space="0" w:color="auto"/>
          </w:divBdr>
        </w:div>
        <w:div w:id="837426505">
          <w:marLeft w:val="0"/>
          <w:marRight w:val="0"/>
          <w:marTop w:val="0"/>
          <w:marBottom w:val="0"/>
          <w:divBdr>
            <w:top w:val="none" w:sz="0" w:space="0" w:color="auto"/>
            <w:left w:val="none" w:sz="0" w:space="0" w:color="auto"/>
            <w:bottom w:val="none" w:sz="0" w:space="0" w:color="auto"/>
            <w:right w:val="none" w:sz="0" w:space="0" w:color="auto"/>
          </w:divBdr>
        </w:div>
        <w:div w:id="842085797">
          <w:marLeft w:val="0"/>
          <w:marRight w:val="0"/>
          <w:marTop w:val="0"/>
          <w:marBottom w:val="0"/>
          <w:divBdr>
            <w:top w:val="none" w:sz="0" w:space="0" w:color="auto"/>
            <w:left w:val="none" w:sz="0" w:space="0" w:color="auto"/>
            <w:bottom w:val="none" w:sz="0" w:space="0" w:color="auto"/>
            <w:right w:val="none" w:sz="0" w:space="0" w:color="auto"/>
          </w:divBdr>
        </w:div>
        <w:div w:id="843280067">
          <w:marLeft w:val="0"/>
          <w:marRight w:val="0"/>
          <w:marTop w:val="0"/>
          <w:marBottom w:val="0"/>
          <w:divBdr>
            <w:top w:val="none" w:sz="0" w:space="0" w:color="auto"/>
            <w:left w:val="none" w:sz="0" w:space="0" w:color="auto"/>
            <w:bottom w:val="none" w:sz="0" w:space="0" w:color="auto"/>
            <w:right w:val="none" w:sz="0" w:space="0" w:color="auto"/>
          </w:divBdr>
        </w:div>
        <w:div w:id="848376770">
          <w:marLeft w:val="0"/>
          <w:marRight w:val="0"/>
          <w:marTop w:val="0"/>
          <w:marBottom w:val="0"/>
          <w:divBdr>
            <w:top w:val="none" w:sz="0" w:space="0" w:color="auto"/>
            <w:left w:val="none" w:sz="0" w:space="0" w:color="auto"/>
            <w:bottom w:val="none" w:sz="0" w:space="0" w:color="auto"/>
            <w:right w:val="none" w:sz="0" w:space="0" w:color="auto"/>
          </w:divBdr>
        </w:div>
        <w:div w:id="849490869">
          <w:marLeft w:val="0"/>
          <w:marRight w:val="0"/>
          <w:marTop w:val="0"/>
          <w:marBottom w:val="0"/>
          <w:divBdr>
            <w:top w:val="none" w:sz="0" w:space="0" w:color="auto"/>
            <w:left w:val="none" w:sz="0" w:space="0" w:color="auto"/>
            <w:bottom w:val="none" w:sz="0" w:space="0" w:color="auto"/>
            <w:right w:val="none" w:sz="0" w:space="0" w:color="auto"/>
          </w:divBdr>
        </w:div>
        <w:div w:id="849491225">
          <w:marLeft w:val="0"/>
          <w:marRight w:val="0"/>
          <w:marTop w:val="0"/>
          <w:marBottom w:val="0"/>
          <w:divBdr>
            <w:top w:val="none" w:sz="0" w:space="0" w:color="auto"/>
            <w:left w:val="none" w:sz="0" w:space="0" w:color="auto"/>
            <w:bottom w:val="none" w:sz="0" w:space="0" w:color="auto"/>
            <w:right w:val="none" w:sz="0" w:space="0" w:color="auto"/>
          </w:divBdr>
        </w:div>
        <w:div w:id="860976411">
          <w:marLeft w:val="0"/>
          <w:marRight w:val="0"/>
          <w:marTop w:val="0"/>
          <w:marBottom w:val="0"/>
          <w:divBdr>
            <w:top w:val="none" w:sz="0" w:space="0" w:color="auto"/>
            <w:left w:val="none" w:sz="0" w:space="0" w:color="auto"/>
            <w:bottom w:val="none" w:sz="0" w:space="0" w:color="auto"/>
            <w:right w:val="none" w:sz="0" w:space="0" w:color="auto"/>
          </w:divBdr>
        </w:div>
        <w:div w:id="861632454">
          <w:marLeft w:val="0"/>
          <w:marRight w:val="0"/>
          <w:marTop w:val="0"/>
          <w:marBottom w:val="0"/>
          <w:divBdr>
            <w:top w:val="none" w:sz="0" w:space="0" w:color="auto"/>
            <w:left w:val="none" w:sz="0" w:space="0" w:color="auto"/>
            <w:bottom w:val="none" w:sz="0" w:space="0" w:color="auto"/>
            <w:right w:val="none" w:sz="0" w:space="0" w:color="auto"/>
          </w:divBdr>
        </w:div>
        <w:div w:id="865367558">
          <w:marLeft w:val="0"/>
          <w:marRight w:val="0"/>
          <w:marTop w:val="0"/>
          <w:marBottom w:val="0"/>
          <w:divBdr>
            <w:top w:val="none" w:sz="0" w:space="0" w:color="auto"/>
            <w:left w:val="none" w:sz="0" w:space="0" w:color="auto"/>
            <w:bottom w:val="none" w:sz="0" w:space="0" w:color="auto"/>
            <w:right w:val="none" w:sz="0" w:space="0" w:color="auto"/>
          </w:divBdr>
        </w:div>
        <w:div w:id="882325661">
          <w:marLeft w:val="0"/>
          <w:marRight w:val="0"/>
          <w:marTop w:val="0"/>
          <w:marBottom w:val="0"/>
          <w:divBdr>
            <w:top w:val="none" w:sz="0" w:space="0" w:color="auto"/>
            <w:left w:val="none" w:sz="0" w:space="0" w:color="auto"/>
            <w:bottom w:val="none" w:sz="0" w:space="0" w:color="auto"/>
            <w:right w:val="none" w:sz="0" w:space="0" w:color="auto"/>
          </w:divBdr>
        </w:div>
        <w:div w:id="885994419">
          <w:marLeft w:val="0"/>
          <w:marRight w:val="0"/>
          <w:marTop w:val="0"/>
          <w:marBottom w:val="0"/>
          <w:divBdr>
            <w:top w:val="none" w:sz="0" w:space="0" w:color="auto"/>
            <w:left w:val="none" w:sz="0" w:space="0" w:color="auto"/>
            <w:bottom w:val="none" w:sz="0" w:space="0" w:color="auto"/>
            <w:right w:val="none" w:sz="0" w:space="0" w:color="auto"/>
          </w:divBdr>
        </w:div>
        <w:div w:id="888414458">
          <w:marLeft w:val="0"/>
          <w:marRight w:val="0"/>
          <w:marTop w:val="0"/>
          <w:marBottom w:val="0"/>
          <w:divBdr>
            <w:top w:val="none" w:sz="0" w:space="0" w:color="auto"/>
            <w:left w:val="none" w:sz="0" w:space="0" w:color="auto"/>
            <w:bottom w:val="none" w:sz="0" w:space="0" w:color="auto"/>
            <w:right w:val="none" w:sz="0" w:space="0" w:color="auto"/>
          </w:divBdr>
        </w:div>
        <w:div w:id="891113538">
          <w:marLeft w:val="0"/>
          <w:marRight w:val="0"/>
          <w:marTop w:val="0"/>
          <w:marBottom w:val="0"/>
          <w:divBdr>
            <w:top w:val="none" w:sz="0" w:space="0" w:color="auto"/>
            <w:left w:val="none" w:sz="0" w:space="0" w:color="auto"/>
            <w:bottom w:val="none" w:sz="0" w:space="0" w:color="auto"/>
            <w:right w:val="none" w:sz="0" w:space="0" w:color="auto"/>
          </w:divBdr>
        </w:div>
        <w:div w:id="896358147">
          <w:marLeft w:val="0"/>
          <w:marRight w:val="0"/>
          <w:marTop w:val="0"/>
          <w:marBottom w:val="0"/>
          <w:divBdr>
            <w:top w:val="none" w:sz="0" w:space="0" w:color="auto"/>
            <w:left w:val="none" w:sz="0" w:space="0" w:color="auto"/>
            <w:bottom w:val="none" w:sz="0" w:space="0" w:color="auto"/>
            <w:right w:val="none" w:sz="0" w:space="0" w:color="auto"/>
          </w:divBdr>
        </w:div>
        <w:div w:id="899169439">
          <w:marLeft w:val="0"/>
          <w:marRight w:val="0"/>
          <w:marTop w:val="0"/>
          <w:marBottom w:val="0"/>
          <w:divBdr>
            <w:top w:val="none" w:sz="0" w:space="0" w:color="auto"/>
            <w:left w:val="none" w:sz="0" w:space="0" w:color="auto"/>
            <w:bottom w:val="none" w:sz="0" w:space="0" w:color="auto"/>
            <w:right w:val="none" w:sz="0" w:space="0" w:color="auto"/>
          </w:divBdr>
        </w:div>
        <w:div w:id="907494504">
          <w:marLeft w:val="0"/>
          <w:marRight w:val="0"/>
          <w:marTop w:val="0"/>
          <w:marBottom w:val="0"/>
          <w:divBdr>
            <w:top w:val="none" w:sz="0" w:space="0" w:color="auto"/>
            <w:left w:val="none" w:sz="0" w:space="0" w:color="auto"/>
            <w:bottom w:val="none" w:sz="0" w:space="0" w:color="auto"/>
            <w:right w:val="none" w:sz="0" w:space="0" w:color="auto"/>
          </w:divBdr>
        </w:div>
        <w:div w:id="910193371">
          <w:marLeft w:val="0"/>
          <w:marRight w:val="0"/>
          <w:marTop w:val="0"/>
          <w:marBottom w:val="0"/>
          <w:divBdr>
            <w:top w:val="none" w:sz="0" w:space="0" w:color="auto"/>
            <w:left w:val="none" w:sz="0" w:space="0" w:color="auto"/>
            <w:bottom w:val="none" w:sz="0" w:space="0" w:color="auto"/>
            <w:right w:val="none" w:sz="0" w:space="0" w:color="auto"/>
          </w:divBdr>
        </w:div>
        <w:div w:id="918557547">
          <w:marLeft w:val="0"/>
          <w:marRight w:val="0"/>
          <w:marTop w:val="0"/>
          <w:marBottom w:val="0"/>
          <w:divBdr>
            <w:top w:val="none" w:sz="0" w:space="0" w:color="auto"/>
            <w:left w:val="none" w:sz="0" w:space="0" w:color="auto"/>
            <w:bottom w:val="none" w:sz="0" w:space="0" w:color="auto"/>
            <w:right w:val="none" w:sz="0" w:space="0" w:color="auto"/>
          </w:divBdr>
        </w:div>
        <w:div w:id="932933182">
          <w:marLeft w:val="0"/>
          <w:marRight w:val="0"/>
          <w:marTop w:val="0"/>
          <w:marBottom w:val="0"/>
          <w:divBdr>
            <w:top w:val="none" w:sz="0" w:space="0" w:color="auto"/>
            <w:left w:val="none" w:sz="0" w:space="0" w:color="auto"/>
            <w:bottom w:val="none" w:sz="0" w:space="0" w:color="auto"/>
            <w:right w:val="none" w:sz="0" w:space="0" w:color="auto"/>
          </w:divBdr>
        </w:div>
        <w:div w:id="935985892">
          <w:marLeft w:val="0"/>
          <w:marRight w:val="0"/>
          <w:marTop w:val="0"/>
          <w:marBottom w:val="0"/>
          <w:divBdr>
            <w:top w:val="none" w:sz="0" w:space="0" w:color="auto"/>
            <w:left w:val="none" w:sz="0" w:space="0" w:color="auto"/>
            <w:bottom w:val="none" w:sz="0" w:space="0" w:color="auto"/>
            <w:right w:val="none" w:sz="0" w:space="0" w:color="auto"/>
          </w:divBdr>
        </w:div>
        <w:div w:id="938370083">
          <w:marLeft w:val="0"/>
          <w:marRight w:val="0"/>
          <w:marTop w:val="0"/>
          <w:marBottom w:val="0"/>
          <w:divBdr>
            <w:top w:val="none" w:sz="0" w:space="0" w:color="auto"/>
            <w:left w:val="none" w:sz="0" w:space="0" w:color="auto"/>
            <w:bottom w:val="none" w:sz="0" w:space="0" w:color="auto"/>
            <w:right w:val="none" w:sz="0" w:space="0" w:color="auto"/>
          </w:divBdr>
        </w:div>
        <w:div w:id="944078439">
          <w:marLeft w:val="0"/>
          <w:marRight w:val="0"/>
          <w:marTop w:val="0"/>
          <w:marBottom w:val="0"/>
          <w:divBdr>
            <w:top w:val="none" w:sz="0" w:space="0" w:color="auto"/>
            <w:left w:val="none" w:sz="0" w:space="0" w:color="auto"/>
            <w:bottom w:val="none" w:sz="0" w:space="0" w:color="auto"/>
            <w:right w:val="none" w:sz="0" w:space="0" w:color="auto"/>
          </w:divBdr>
        </w:div>
        <w:div w:id="948390545">
          <w:marLeft w:val="0"/>
          <w:marRight w:val="0"/>
          <w:marTop w:val="0"/>
          <w:marBottom w:val="0"/>
          <w:divBdr>
            <w:top w:val="none" w:sz="0" w:space="0" w:color="auto"/>
            <w:left w:val="none" w:sz="0" w:space="0" w:color="auto"/>
            <w:bottom w:val="none" w:sz="0" w:space="0" w:color="auto"/>
            <w:right w:val="none" w:sz="0" w:space="0" w:color="auto"/>
          </w:divBdr>
        </w:div>
        <w:div w:id="956564923">
          <w:marLeft w:val="0"/>
          <w:marRight w:val="0"/>
          <w:marTop w:val="0"/>
          <w:marBottom w:val="0"/>
          <w:divBdr>
            <w:top w:val="none" w:sz="0" w:space="0" w:color="auto"/>
            <w:left w:val="none" w:sz="0" w:space="0" w:color="auto"/>
            <w:bottom w:val="none" w:sz="0" w:space="0" w:color="auto"/>
            <w:right w:val="none" w:sz="0" w:space="0" w:color="auto"/>
          </w:divBdr>
        </w:div>
        <w:div w:id="980694752">
          <w:marLeft w:val="0"/>
          <w:marRight w:val="0"/>
          <w:marTop w:val="0"/>
          <w:marBottom w:val="0"/>
          <w:divBdr>
            <w:top w:val="none" w:sz="0" w:space="0" w:color="auto"/>
            <w:left w:val="none" w:sz="0" w:space="0" w:color="auto"/>
            <w:bottom w:val="none" w:sz="0" w:space="0" w:color="auto"/>
            <w:right w:val="none" w:sz="0" w:space="0" w:color="auto"/>
          </w:divBdr>
        </w:div>
        <w:div w:id="982546586">
          <w:marLeft w:val="0"/>
          <w:marRight w:val="0"/>
          <w:marTop w:val="0"/>
          <w:marBottom w:val="0"/>
          <w:divBdr>
            <w:top w:val="none" w:sz="0" w:space="0" w:color="auto"/>
            <w:left w:val="none" w:sz="0" w:space="0" w:color="auto"/>
            <w:bottom w:val="none" w:sz="0" w:space="0" w:color="auto"/>
            <w:right w:val="none" w:sz="0" w:space="0" w:color="auto"/>
          </w:divBdr>
        </w:div>
        <w:div w:id="984507361">
          <w:marLeft w:val="0"/>
          <w:marRight w:val="0"/>
          <w:marTop w:val="0"/>
          <w:marBottom w:val="0"/>
          <w:divBdr>
            <w:top w:val="none" w:sz="0" w:space="0" w:color="auto"/>
            <w:left w:val="none" w:sz="0" w:space="0" w:color="auto"/>
            <w:bottom w:val="none" w:sz="0" w:space="0" w:color="auto"/>
            <w:right w:val="none" w:sz="0" w:space="0" w:color="auto"/>
          </w:divBdr>
        </w:div>
        <w:div w:id="987713546">
          <w:marLeft w:val="0"/>
          <w:marRight w:val="0"/>
          <w:marTop w:val="0"/>
          <w:marBottom w:val="0"/>
          <w:divBdr>
            <w:top w:val="none" w:sz="0" w:space="0" w:color="auto"/>
            <w:left w:val="none" w:sz="0" w:space="0" w:color="auto"/>
            <w:bottom w:val="none" w:sz="0" w:space="0" w:color="auto"/>
            <w:right w:val="none" w:sz="0" w:space="0" w:color="auto"/>
          </w:divBdr>
        </w:div>
        <w:div w:id="989596441">
          <w:marLeft w:val="0"/>
          <w:marRight w:val="0"/>
          <w:marTop w:val="0"/>
          <w:marBottom w:val="0"/>
          <w:divBdr>
            <w:top w:val="none" w:sz="0" w:space="0" w:color="auto"/>
            <w:left w:val="none" w:sz="0" w:space="0" w:color="auto"/>
            <w:bottom w:val="none" w:sz="0" w:space="0" w:color="auto"/>
            <w:right w:val="none" w:sz="0" w:space="0" w:color="auto"/>
          </w:divBdr>
        </w:div>
        <w:div w:id="1012993809">
          <w:marLeft w:val="0"/>
          <w:marRight w:val="0"/>
          <w:marTop w:val="0"/>
          <w:marBottom w:val="0"/>
          <w:divBdr>
            <w:top w:val="none" w:sz="0" w:space="0" w:color="auto"/>
            <w:left w:val="none" w:sz="0" w:space="0" w:color="auto"/>
            <w:bottom w:val="none" w:sz="0" w:space="0" w:color="auto"/>
            <w:right w:val="none" w:sz="0" w:space="0" w:color="auto"/>
          </w:divBdr>
        </w:div>
        <w:div w:id="1014186028">
          <w:marLeft w:val="0"/>
          <w:marRight w:val="0"/>
          <w:marTop w:val="0"/>
          <w:marBottom w:val="0"/>
          <w:divBdr>
            <w:top w:val="none" w:sz="0" w:space="0" w:color="auto"/>
            <w:left w:val="none" w:sz="0" w:space="0" w:color="auto"/>
            <w:bottom w:val="none" w:sz="0" w:space="0" w:color="auto"/>
            <w:right w:val="none" w:sz="0" w:space="0" w:color="auto"/>
          </w:divBdr>
        </w:div>
        <w:div w:id="1024942791">
          <w:marLeft w:val="0"/>
          <w:marRight w:val="0"/>
          <w:marTop w:val="0"/>
          <w:marBottom w:val="0"/>
          <w:divBdr>
            <w:top w:val="none" w:sz="0" w:space="0" w:color="auto"/>
            <w:left w:val="none" w:sz="0" w:space="0" w:color="auto"/>
            <w:bottom w:val="none" w:sz="0" w:space="0" w:color="auto"/>
            <w:right w:val="none" w:sz="0" w:space="0" w:color="auto"/>
          </w:divBdr>
        </w:div>
        <w:div w:id="1028947809">
          <w:marLeft w:val="0"/>
          <w:marRight w:val="0"/>
          <w:marTop w:val="0"/>
          <w:marBottom w:val="0"/>
          <w:divBdr>
            <w:top w:val="none" w:sz="0" w:space="0" w:color="auto"/>
            <w:left w:val="none" w:sz="0" w:space="0" w:color="auto"/>
            <w:bottom w:val="none" w:sz="0" w:space="0" w:color="auto"/>
            <w:right w:val="none" w:sz="0" w:space="0" w:color="auto"/>
          </w:divBdr>
        </w:div>
        <w:div w:id="1037661940">
          <w:marLeft w:val="0"/>
          <w:marRight w:val="0"/>
          <w:marTop w:val="0"/>
          <w:marBottom w:val="0"/>
          <w:divBdr>
            <w:top w:val="none" w:sz="0" w:space="0" w:color="auto"/>
            <w:left w:val="none" w:sz="0" w:space="0" w:color="auto"/>
            <w:bottom w:val="none" w:sz="0" w:space="0" w:color="auto"/>
            <w:right w:val="none" w:sz="0" w:space="0" w:color="auto"/>
          </w:divBdr>
        </w:div>
        <w:div w:id="1040974802">
          <w:marLeft w:val="0"/>
          <w:marRight w:val="0"/>
          <w:marTop w:val="0"/>
          <w:marBottom w:val="0"/>
          <w:divBdr>
            <w:top w:val="none" w:sz="0" w:space="0" w:color="auto"/>
            <w:left w:val="none" w:sz="0" w:space="0" w:color="auto"/>
            <w:bottom w:val="none" w:sz="0" w:space="0" w:color="auto"/>
            <w:right w:val="none" w:sz="0" w:space="0" w:color="auto"/>
          </w:divBdr>
        </w:div>
        <w:div w:id="1042746531">
          <w:marLeft w:val="0"/>
          <w:marRight w:val="0"/>
          <w:marTop w:val="0"/>
          <w:marBottom w:val="0"/>
          <w:divBdr>
            <w:top w:val="none" w:sz="0" w:space="0" w:color="auto"/>
            <w:left w:val="none" w:sz="0" w:space="0" w:color="auto"/>
            <w:bottom w:val="none" w:sz="0" w:space="0" w:color="auto"/>
            <w:right w:val="none" w:sz="0" w:space="0" w:color="auto"/>
          </w:divBdr>
        </w:div>
        <w:div w:id="1043022418">
          <w:marLeft w:val="0"/>
          <w:marRight w:val="0"/>
          <w:marTop w:val="0"/>
          <w:marBottom w:val="0"/>
          <w:divBdr>
            <w:top w:val="none" w:sz="0" w:space="0" w:color="auto"/>
            <w:left w:val="none" w:sz="0" w:space="0" w:color="auto"/>
            <w:bottom w:val="none" w:sz="0" w:space="0" w:color="auto"/>
            <w:right w:val="none" w:sz="0" w:space="0" w:color="auto"/>
          </w:divBdr>
        </w:div>
        <w:div w:id="1043023148">
          <w:marLeft w:val="0"/>
          <w:marRight w:val="0"/>
          <w:marTop w:val="0"/>
          <w:marBottom w:val="0"/>
          <w:divBdr>
            <w:top w:val="none" w:sz="0" w:space="0" w:color="auto"/>
            <w:left w:val="none" w:sz="0" w:space="0" w:color="auto"/>
            <w:bottom w:val="none" w:sz="0" w:space="0" w:color="auto"/>
            <w:right w:val="none" w:sz="0" w:space="0" w:color="auto"/>
          </w:divBdr>
        </w:div>
        <w:div w:id="1050227732">
          <w:marLeft w:val="0"/>
          <w:marRight w:val="0"/>
          <w:marTop w:val="0"/>
          <w:marBottom w:val="0"/>
          <w:divBdr>
            <w:top w:val="none" w:sz="0" w:space="0" w:color="auto"/>
            <w:left w:val="none" w:sz="0" w:space="0" w:color="auto"/>
            <w:bottom w:val="none" w:sz="0" w:space="0" w:color="auto"/>
            <w:right w:val="none" w:sz="0" w:space="0" w:color="auto"/>
          </w:divBdr>
        </w:div>
        <w:div w:id="1053240207">
          <w:marLeft w:val="0"/>
          <w:marRight w:val="0"/>
          <w:marTop w:val="0"/>
          <w:marBottom w:val="0"/>
          <w:divBdr>
            <w:top w:val="none" w:sz="0" w:space="0" w:color="auto"/>
            <w:left w:val="none" w:sz="0" w:space="0" w:color="auto"/>
            <w:bottom w:val="none" w:sz="0" w:space="0" w:color="auto"/>
            <w:right w:val="none" w:sz="0" w:space="0" w:color="auto"/>
          </w:divBdr>
        </w:div>
        <w:div w:id="1055542163">
          <w:marLeft w:val="0"/>
          <w:marRight w:val="0"/>
          <w:marTop w:val="0"/>
          <w:marBottom w:val="0"/>
          <w:divBdr>
            <w:top w:val="none" w:sz="0" w:space="0" w:color="auto"/>
            <w:left w:val="none" w:sz="0" w:space="0" w:color="auto"/>
            <w:bottom w:val="none" w:sz="0" w:space="0" w:color="auto"/>
            <w:right w:val="none" w:sz="0" w:space="0" w:color="auto"/>
          </w:divBdr>
        </w:div>
        <w:div w:id="1055856648">
          <w:marLeft w:val="0"/>
          <w:marRight w:val="0"/>
          <w:marTop w:val="0"/>
          <w:marBottom w:val="0"/>
          <w:divBdr>
            <w:top w:val="none" w:sz="0" w:space="0" w:color="auto"/>
            <w:left w:val="none" w:sz="0" w:space="0" w:color="auto"/>
            <w:bottom w:val="none" w:sz="0" w:space="0" w:color="auto"/>
            <w:right w:val="none" w:sz="0" w:space="0" w:color="auto"/>
          </w:divBdr>
        </w:div>
        <w:div w:id="1063286445">
          <w:marLeft w:val="0"/>
          <w:marRight w:val="0"/>
          <w:marTop w:val="0"/>
          <w:marBottom w:val="0"/>
          <w:divBdr>
            <w:top w:val="none" w:sz="0" w:space="0" w:color="auto"/>
            <w:left w:val="none" w:sz="0" w:space="0" w:color="auto"/>
            <w:bottom w:val="none" w:sz="0" w:space="0" w:color="auto"/>
            <w:right w:val="none" w:sz="0" w:space="0" w:color="auto"/>
          </w:divBdr>
        </w:div>
        <w:div w:id="1066996135">
          <w:marLeft w:val="0"/>
          <w:marRight w:val="0"/>
          <w:marTop w:val="0"/>
          <w:marBottom w:val="0"/>
          <w:divBdr>
            <w:top w:val="none" w:sz="0" w:space="0" w:color="auto"/>
            <w:left w:val="none" w:sz="0" w:space="0" w:color="auto"/>
            <w:bottom w:val="none" w:sz="0" w:space="0" w:color="auto"/>
            <w:right w:val="none" w:sz="0" w:space="0" w:color="auto"/>
          </w:divBdr>
        </w:div>
        <w:div w:id="1071656012">
          <w:marLeft w:val="0"/>
          <w:marRight w:val="0"/>
          <w:marTop w:val="0"/>
          <w:marBottom w:val="0"/>
          <w:divBdr>
            <w:top w:val="none" w:sz="0" w:space="0" w:color="auto"/>
            <w:left w:val="none" w:sz="0" w:space="0" w:color="auto"/>
            <w:bottom w:val="none" w:sz="0" w:space="0" w:color="auto"/>
            <w:right w:val="none" w:sz="0" w:space="0" w:color="auto"/>
          </w:divBdr>
        </w:div>
        <w:div w:id="1080712781">
          <w:marLeft w:val="0"/>
          <w:marRight w:val="0"/>
          <w:marTop w:val="0"/>
          <w:marBottom w:val="0"/>
          <w:divBdr>
            <w:top w:val="none" w:sz="0" w:space="0" w:color="auto"/>
            <w:left w:val="none" w:sz="0" w:space="0" w:color="auto"/>
            <w:bottom w:val="none" w:sz="0" w:space="0" w:color="auto"/>
            <w:right w:val="none" w:sz="0" w:space="0" w:color="auto"/>
          </w:divBdr>
        </w:div>
        <w:div w:id="1084960813">
          <w:marLeft w:val="0"/>
          <w:marRight w:val="0"/>
          <w:marTop w:val="0"/>
          <w:marBottom w:val="0"/>
          <w:divBdr>
            <w:top w:val="none" w:sz="0" w:space="0" w:color="auto"/>
            <w:left w:val="none" w:sz="0" w:space="0" w:color="auto"/>
            <w:bottom w:val="none" w:sz="0" w:space="0" w:color="auto"/>
            <w:right w:val="none" w:sz="0" w:space="0" w:color="auto"/>
          </w:divBdr>
        </w:div>
        <w:div w:id="1088114558">
          <w:marLeft w:val="0"/>
          <w:marRight w:val="0"/>
          <w:marTop w:val="0"/>
          <w:marBottom w:val="0"/>
          <w:divBdr>
            <w:top w:val="none" w:sz="0" w:space="0" w:color="auto"/>
            <w:left w:val="none" w:sz="0" w:space="0" w:color="auto"/>
            <w:bottom w:val="none" w:sz="0" w:space="0" w:color="auto"/>
            <w:right w:val="none" w:sz="0" w:space="0" w:color="auto"/>
          </w:divBdr>
        </w:div>
        <w:div w:id="1088503785">
          <w:marLeft w:val="0"/>
          <w:marRight w:val="0"/>
          <w:marTop w:val="0"/>
          <w:marBottom w:val="0"/>
          <w:divBdr>
            <w:top w:val="none" w:sz="0" w:space="0" w:color="auto"/>
            <w:left w:val="none" w:sz="0" w:space="0" w:color="auto"/>
            <w:bottom w:val="none" w:sz="0" w:space="0" w:color="auto"/>
            <w:right w:val="none" w:sz="0" w:space="0" w:color="auto"/>
          </w:divBdr>
        </w:div>
        <w:div w:id="1094744216">
          <w:marLeft w:val="0"/>
          <w:marRight w:val="0"/>
          <w:marTop w:val="0"/>
          <w:marBottom w:val="0"/>
          <w:divBdr>
            <w:top w:val="none" w:sz="0" w:space="0" w:color="auto"/>
            <w:left w:val="none" w:sz="0" w:space="0" w:color="auto"/>
            <w:bottom w:val="none" w:sz="0" w:space="0" w:color="auto"/>
            <w:right w:val="none" w:sz="0" w:space="0" w:color="auto"/>
          </w:divBdr>
        </w:div>
        <w:div w:id="1095318957">
          <w:marLeft w:val="0"/>
          <w:marRight w:val="0"/>
          <w:marTop w:val="0"/>
          <w:marBottom w:val="0"/>
          <w:divBdr>
            <w:top w:val="none" w:sz="0" w:space="0" w:color="auto"/>
            <w:left w:val="none" w:sz="0" w:space="0" w:color="auto"/>
            <w:bottom w:val="none" w:sz="0" w:space="0" w:color="auto"/>
            <w:right w:val="none" w:sz="0" w:space="0" w:color="auto"/>
          </w:divBdr>
        </w:div>
        <w:div w:id="1095321450">
          <w:marLeft w:val="0"/>
          <w:marRight w:val="0"/>
          <w:marTop w:val="0"/>
          <w:marBottom w:val="0"/>
          <w:divBdr>
            <w:top w:val="none" w:sz="0" w:space="0" w:color="auto"/>
            <w:left w:val="none" w:sz="0" w:space="0" w:color="auto"/>
            <w:bottom w:val="none" w:sz="0" w:space="0" w:color="auto"/>
            <w:right w:val="none" w:sz="0" w:space="0" w:color="auto"/>
          </w:divBdr>
        </w:div>
        <w:div w:id="1107577859">
          <w:marLeft w:val="0"/>
          <w:marRight w:val="0"/>
          <w:marTop w:val="0"/>
          <w:marBottom w:val="0"/>
          <w:divBdr>
            <w:top w:val="none" w:sz="0" w:space="0" w:color="auto"/>
            <w:left w:val="none" w:sz="0" w:space="0" w:color="auto"/>
            <w:bottom w:val="none" w:sz="0" w:space="0" w:color="auto"/>
            <w:right w:val="none" w:sz="0" w:space="0" w:color="auto"/>
          </w:divBdr>
        </w:div>
        <w:div w:id="1110126950">
          <w:marLeft w:val="0"/>
          <w:marRight w:val="0"/>
          <w:marTop w:val="0"/>
          <w:marBottom w:val="0"/>
          <w:divBdr>
            <w:top w:val="none" w:sz="0" w:space="0" w:color="auto"/>
            <w:left w:val="none" w:sz="0" w:space="0" w:color="auto"/>
            <w:bottom w:val="none" w:sz="0" w:space="0" w:color="auto"/>
            <w:right w:val="none" w:sz="0" w:space="0" w:color="auto"/>
          </w:divBdr>
        </w:div>
        <w:div w:id="1118984087">
          <w:marLeft w:val="0"/>
          <w:marRight w:val="0"/>
          <w:marTop w:val="0"/>
          <w:marBottom w:val="0"/>
          <w:divBdr>
            <w:top w:val="none" w:sz="0" w:space="0" w:color="auto"/>
            <w:left w:val="none" w:sz="0" w:space="0" w:color="auto"/>
            <w:bottom w:val="none" w:sz="0" w:space="0" w:color="auto"/>
            <w:right w:val="none" w:sz="0" w:space="0" w:color="auto"/>
          </w:divBdr>
        </w:div>
        <w:div w:id="1119911857">
          <w:marLeft w:val="0"/>
          <w:marRight w:val="0"/>
          <w:marTop w:val="0"/>
          <w:marBottom w:val="0"/>
          <w:divBdr>
            <w:top w:val="none" w:sz="0" w:space="0" w:color="auto"/>
            <w:left w:val="none" w:sz="0" w:space="0" w:color="auto"/>
            <w:bottom w:val="none" w:sz="0" w:space="0" w:color="auto"/>
            <w:right w:val="none" w:sz="0" w:space="0" w:color="auto"/>
          </w:divBdr>
        </w:div>
        <w:div w:id="1128009030">
          <w:marLeft w:val="0"/>
          <w:marRight w:val="0"/>
          <w:marTop w:val="0"/>
          <w:marBottom w:val="0"/>
          <w:divBdr>
            <w:top w:val="none" w:sz="0" w:space="0" w:color="auto"/>
            <w:left w:val="none" w:sz="0" w:space="0" w:color="auto"/>
            <w:bottom w:val="none" w:sz="0" w:space="0" w:color="auto"/>
            <w:right w:val="none" w:sz="0" w:space="0" w:color="auto"/>
          </w:divBdr>
        </w:div>
        <w:div w:id="1129012116">
          <w:marLeft w:val="0"/>
          <w:marRight w:val="0"/>
          <w:marTop w:val="0"/>
          <w:marBottom w:val="0"/>
          <w:divBdr>
            <w:top w:val="none" w:sz="0" w:space="0" w:color="auto"/>
            <w:left w:val="none" w:sz="0" w:space="0" w:color="auto"/>
            <w:bottom w:val="none" w:sz="0" w:space="0" w:color="auto"/>
            <w:right w:val="none" w:sz="0" w:space="0" w:color="auto"/>
          </w:divBdr>
        </w:div>
        <w:div w:id="1133869199">
          <w:marLeft w:val="0"/>
          <w:marRight w:val="0"/>
          <w:marTop w:val="0"/>
          <w:marBottom w:val="0"/>
          <w:divBdr>
            <w:top w:val="none" w:sz="0" w:space="0" w:color="auto"/>
            <w:left w:val="none" w:sz="0" w:space="0" w:color="auto"/>
            <w:bottom w:val="none" w:sz="0" w:space="0" w:color="auto"/>
            <w:right w:val="none" w:sz="0" w:space="0" w:color="auto"/>
          </w:divBdr>
        </w:div>
        <w:div w:id="1136023204">
          <w:marLeft w:val="0"/>
          <w:marRight w:val="0"/>
          <w:marTop w:val="0"/>
          <w:marBottom w:val="0"/>
          <w:divBdr>
            <w:top w:val="none" w:sz="0" w:space="0" w:color="auto"/>
            <w:left w:val="none" w:sz="0" w:space="0" w:color="auto"/>
            <w:bottom w:val="none" w:sz="0" w:space="0" w:color="auto"/>
            <w:right w:val="none" w:sz="0" w:space="0" w:color="auto"/>
          </w:divBdr>
        </w:div>
        <w:div w:id="1136679487">
          <w:marLeft w:val="0"/>
          <w:marRight w:val="0"/>
          <w:marTop w:val="0"/>
          <w:marBottom w:val="0"/>
          <w:divBdr>
            <w:top w:val="none" w:sz="0" w:space="0" w:color="auto"/>
            <w:left w:val="none" w:sz="0" w:space="0" w:color="auto"/>
            <w:bottom w:val="none" w:sz="0" w:space="0" w:color="auto"/>
            <w:right w:val="none" w:sz="0" w:space="0" w:color="auto"/>
          </w:divBdr>
        </w:div>
        <w:div w:id="1138650110">
          <w:marLeft w:val="0"/>
          <w:marRight w:val="0"/>
          <w:marTop w:val="0"/>
          <w:marBottom w:val="0"/>
          <w:divBdr>
            <w:top w:val="none" w:sz="0" w:space="0" w:color="auto"/>
            <w:left w:val="none" w:sz="0" w:space="0" w:color="auto"/>
            <w:bottom w:val="none" w:sz="0" w:space="0" w:color="auto"/>
            <w:right w:val="none" w:sz="0" w:space="0" w:color="auto"/>
          </w:divBdr>
        </w:div>
        <w:div w:id="1141195780">
          <w:marLeft w:val="0"/>
          <w:marRight w:val="0"/>
          <w:marTop w:val="0"/>
          <w:marBottom w:val="0"/>
          <w:divBdr>
            <w:top w:val="none" w:sz="0" w:space="0" w:color="auto"/>
            <w:left w:val="none" w:sz="0" w:space="0" w:color="auto"/>
            <w:bottom w:val="none" w:sz="0" w:space="0" w:color="auto"/>
            <w:right w:val="none" w:sz="0" w:space="0" w:color="auto"/>
          </w:divBdr>
        </w:div>
        <w:div w:id="1143544316">
          <w:marLeft w:val="0"/>
          <w:marRight w:val="0"/>
          <w:marTop w:val="0"/>
          <w:marBottom w:val="0"/>
          <w:divBdr>
            <w:top w:val="none" w:sz="0" w:space="0" w:color="auto"/>
            <w:left w:val="none" w:sz="0" w:space="0" w:color="auto"/>
            <w:bottom w:val="none" w:sz="0" w:space="0" w:color="auto"/>
            <w:right w:val="none" w:sz="0" w:space="0" w:color="auto"/>
          </w:divBdr>
        </w:div>
        <w:div w:id="1144930898">
          <w:marLeft w:val="0"/>
          <w:marRight w:val="0"/>
          <w:marTop w:val="0"/>
          <w:marBottom w:val="0"/>
          <w:divBdr>
            <w:top w:val="none" w:sz="0" w:space="0" w:color="auto"/>
            <w:left w:val="none" w:sz="0" w:space="0" w:color="auto"/>
            <w:bottom w:val="none" w:sz="0" w:space="0" w:color="auto"/>
            <w:right w:val="none" w:sz="0" w:space="0" w:color="auto"/>
          </w:divBdr>
        </w:div>
        <w:div w:id="1157262936">
          <w:marLeft w:val="0"/>
          <w:marRight w:val="0"/>
          <w:marTop w:val="0"/>
          <w:marBottom w:val="0"/>
          <w:divBdr>
            <w:top w:val="none" w:sz="0" w:space="0" w:color="auto"/>
            <w:left w:val="none" w:sz="0" w:space="0" w:color="auto"/>
            <w:bottom w:val="none" w:sz="0" w:space="0" w:color="auto"/>
            <w:right w:val="none" w:sz="0" w:space="0" w:color="auto"/>
          </w:divBdr>
        </w:div>
        <w:div w:id="1164586824">
          <w:marLeft w:val="0"/>
          <w:marRight w:val="0"/>
          <w:marTop w:val="0"/>
          <w:marBottom w:val="0"/>
          <w:divBdr>
            <w:top w:val="none" w:sz="0" w:space="0" w:color="auto"/>
            <w:left w:val="none" w:sz="0" w:space="0" w:color="auto"/>
            <w:bottom w:val="none" w:sz="0" w:space="0" w:color="auto"/>
            <w:right w:val="none" w:sz="0" w:space="0" w:color="auto"/>
          </w:divBdr>
        </w:div>
        <w:div w:id="1170951521">
          <w:marLeft w:val="0"/>
          <w:marRight w:val="0"/>
          <w:marTop w:val="0"/>
          <w:marBottom w:val="0"/>
          <w:divBdr>
            <w:top w:val="none" w:sz="0" w:space="0" w:color="auto"/>
            <w:left w:val="none" w:sz="0" w:space="0" w:color="auto"/>
            <w:bottom w:val="none" w:sz="0" w:space="0" w:color="auto"/>
            <w:right w:val="none" w:sz="0" w:space="0" w:color="auto"/>
          </w:divBdr>
        </w:div>
        <w:div w:id="1189022393">
          <w:marLeft w:val="0"/>
          <w:marRight w:val="0"/>
          <w:marTop w:val="0"/>
          <w:marBottom w:val="0"/>
          <w:divBdr>
            <w:top w:val="none" w:sz="0" w:space="0" w:color="auto"/>
            <w:left w:val="none" w:sz="0" w:space="0" w:color="auto"/>
            <w:bottom w:val="none" w:sz="0" w:space="0" w:color="auto"/>
            <w:right w:val="none" w:sz="0" w:space="0" w:color="auto"/>
          </w:divBdr>
        </w:div>
        <w:div w:id="1190678194">
          <w:marLeft w:val="0"/>
          <w:marRight w:val="0"/>
          <w:marTop w:val="0"/>
          <w:marBottom w:val="0"/>
          <w:divBdr>
            <w:top w:val="none" w:sz="0" w:space="0" w:color="auto"/>
            <w:left w:val="none" w:sz="0" w:space="0" w:color="auto"/>
            <w:bottom w:val="none" w:sz="0" w:space="0" w:color="auto"/>
            <w:right w:val="none" w:sz="0" w:space="0" w:color="auto"/>
          </w:divBdr>
        </w:div>
        <w:div w:id="1194151028">
          <w:marLeft w:val="0"/>
          <w:marRight w:val="0"/>
          <w:marTop w:val="0"/>
          <w:marBottom w:val="0"/>
          <w:divBdr>
            <w:top w:val="none" w:sz="0" w:space="0" w:color="auto"/>
            <w:left w:val="none" w:sz="0" w:space="0" w:color="auto"/>
            <w:bottom w:val="none" w:sz="0" w:space="0" w:color="auto"/>
            <w:right w:val="none" w:sz="0" w:space="0" w:color="auto"/>
          </w:divBdr>
        </w:div>
        <w:div w:id="1194732040">
          <w:marLeft w:val="0"/>
          <w:marRight w:val="0"/>
          <w:marTop w:val="0"/>
          <w:marBottom w:val="0"/>
          <w:divBdr>
            <w:top w:val="none" w:sz="0" w:space="0" w:color="auto"/>
            <w:left w:val="none" w:sz="0" w:space="0" w:color="auto"/>
            <w:bottom w:val="none" w:sz="0" w:space="0" w:color="auto"/>
            <w:right w:val="none" w:sz="0" w:space="0" w:color="auto"/>
          </w:divBdr>
        </w:div>
        <w:div w:id="1194806608">
          <w:marLeft w:val="0"/>
          <w:marRight w:val="0"/>
          <w:marTop w:val="0"/>
          <w:marBottom w:val="0"/>
          <w:divBdr>
            <w:top w:val="none" w:sz="0" w:space="0" w:color="auto"/>
            <w:left w:val="none" w:sz="0" w:space="0" w:color="auto"/>
            <w:bottom w:val="none" w:sz="0" w:space="0" w:color="auto"/>
            <w:right w:val="none" w:sz="0" w:space="0" w:color="auto"/>
          </w:divBdr>
        </w:div>
        <w:div w:id="1202666069">
          <w:marLeft w:val="0"/>
          <w:marRight w:val="0"/>
          <w:marTop w:val="0"/>
          <w:marBottom w:val="0"/>
          <w:divBdr>
            <w:top w:val="none" w:sz="0" w:space="0" w:color="auto"/>
            <w:left w:val="none" w:sz="0" w:space="0" w:color="auto"/>
            <w:bottom w:val="none" w:sz="0" w:space="0" w:color="auto"/>
            <w:right w:val="none" w:sz="0" w:space="0" w:color="auto"/>
          </w:divBdr>
        </w:div>
        <w:div w:id="1204555948">
          <w:marLeft w:val="0"/>
          <w:marRight w:val="0"/>
          <w:marTop w:val="0"/>
          <w:marBottom w:val="0"/>
          <w:divBdr>
            <w:top w:val="none" w:sz="0" w:space="0" w:color="auto"/>
            <w:left w:val="none" w:sz="0" w:space="0" w:color="auto"/>
            <w:bottom w:val="none" w:sz="0" w:space="0" w:color="auto"/>
            <w:right w:val="none" w:sz="0" w:space="0" w:color="auto"/>
          </w:divBdr>
        </w:div>
        <w:div w:id="1221752173">
          <w:marLeft w:val="0"/>
          <w:marRight w:val="0"/>
          <w:marTop w:val="0"/>
          <w:marBottom w:val="0"/>
          <w:divBdr>
            <w:top w:val="none" w:sz="0" w:space="0" w:color="auto"/>
            <w:left w:val="none" w:sz="0" w:space="0" w:color="auto"/>
            <w:bottom w:val="none" w:sz="0" w:space="0" w:color="auto"/>
            <w:right w:val="none" w:sz="0" w:space="0" w:color="auto"/>
          </w:divBdr>
        </w:div>
        <w:div w:id="1224100902">
          <w:marLeft w:val="0"/>
          <w:marRight w:val="0"/>
          <w:marTop w:val="0"/>
          <w:marBottom w:val="0"/>
          <w:divBdr>
            <w:top w:val="none" w:sz="0" w:space="0" w:color="auto"/>
            <w:left w:val="none" w:sz="0" w:space="0" w:color="auto"/>
            <w:bottom w:val="none" w:sz="0" w:space="0" w:color="auto"/>
            <w:right w:val="none" w:sz="0" w:space="0" w:color="auto"/>
          </w:divBdr>
        </w:div>
        <w:div w:id="1232085014">
          <w:marLeft w:val="0"/>
          <w:marRight w:val="0"/>
          <w:marTop w:val="0"/>
          <w:marBottom w:val="0"/>
          <w:divBdr>
            <w:top w:val="none" w:sz="0" w:space="0" w:color="auto"/>
            <w:left w:val="none" w:sz="0" w:space="0" w:color="auto"/>
            <w:bottom w:val="none" w:sz="0" w:space="0" w:color="auto"/>
            <w:right w:val="none" w:sz="0" w:space="0" w:color="auto"/>
          </w:divBdr>
        </w:div>
        <w:div w:id="1245725389">
          <w:marLeft w:val="0"/>
          <w:marRight w:val="0"/>
          <w:marTop w:val="0"/>
          <w:marBottom w:val="0"/>
          <w:divBdr>
            <w:top w:val="none" w:sz="0" w:space="0" w:color="auto"/>
            <w:left w:val="none" w:sz="0" w:space="0" w:color="auto"/>
            <w:bottom w:val="none" w:sz="0" w:space="0" w:color="auto"/>
            <w:right w:val="none" w:sz="0" w:space="0" w:color="auto"/>
          </w:divBdr>
        </w:div>
        <w:div w:id="1250701191">
          <w:marLeft w:val="0"/>
          <w:marRight w:val="0"/>
          <w:marTop w:val="0"/>
          <w:marBottom w:val="0"/>
          <w:divBdr>
            <w:top w:val="none" w:sz="0" w:space="0" w:color="auto"/>
            <w:left w:val="none" w:sz="0" w:space="0" w:color="auto"/>
            <w:bottom w:val="none" w:sz="0" w:space="0" w:color="auto"/>
            <w:right w:val="none" w:sz="0" w:space="0" w:color="auto"/>
          </w:divBdr>
        </w:div>
        <w:div w:id="1257716909">
          <w:marLeft w:val="0"/>
          <w:marRight w:val="0"/>
          <w:marTop w:val="0"/>
          <w:marBottom w:val="0"/>
          <w:divBdr>
            <w:top w:val="none" w:sz="0" w:space="0" w:color="auto"/>
            <w:left w:val="none" w:sz="0" w:space="0" w:color="auto"/>
            <w:bottom w:val="none" w:sz="0" w:space="0" w:color="auto"/>
            <w:right w:val="none" w:sz="0" w:space="0" w:color="auto"/>
          </w:divBdr>
        </w:div>
        <w:div w:id="1260064244">
          <w:marLeft w:val="0"/>
          <w:marRight w:val="0"/>
          <w:marTop w:val="0"/>
          <w:marBottom w:val="0"/>
          <w:divBdr>
            <w:top w:val="none" w:sz="0" w:space="0" w:color="auto"/>
            <w:left w:val="none" w:sz="0" w:space="0" w:color="auto"/>
            <w:bottom w:val="none" w:sz="0" w:space="0" w:color="auto"/>
            <w:right w:val="none" w:sz="0" w:space="0" w:color="auto"/>
          </w:divBdr>
        </w:div>
        <w:div w:id="1260288571">
          <w:marLeft w:val="0"/>
          <w:marRight w:val="0"/>
          <w:marTop w:val="0"/>
          <w:marBottom w:val="0"/>
          <w:divBdr>
            <w:top w:val="none" w:sz="0" w:space="0" w:color="auto"/>
            <w:left w:val="none" w:sz="0" w:space="0" w:color="auto"/>
            <w:bottom w:val="none" w:sz="0" w:space="0" w:color="auto"/>
            <w:right w:val="none" w:sz="0" w:space="0" w:color="auto"/>
          </w:divBdr>
        </w:div>
        <w:div w:id="1267956246">
          <w:marLeft w:val="0"/>
          <w:marRight w:val="0"/>
          <w:marTop w:val="0"/>
          <w:marBottom w:val="0"/>
          <w:divBdr>
            <w:top w:val="none" w:sz="0" w:space="0" w:color="auto"/>
            <w:left w:val="none" w:sz="0" w:space="0" w:color="auto"/>
            <w:bottom w:val="none" w:sz="0" w:space="0" w:color="auto"/>
            <w:right w:val="none" w:sz="0" w:space="0" w:color="auto"/>
          </w:divBdr>
        </w:div>
        <w:div w:id="1268807406">
          <w:marLeft w:val="0"/>
          <w:marRight w:val="0"/>
          <w:marTop w:val="0"/>
          <w:marBottom w:val="0"/>
          <w:divBdr>
            <w:top w:val="none" w:sz="0" w:space="0" w:color="auto"/>
            <w:left w:val="none" w:sz="0" w:space="0" w:color="auto"/>
            <w:bottom w:val="none" w:sz="0" w:space="0" w:color="auto"/>
            <w:right w:val="none" w:sz="0" w:space="0" w:color="auto"/>
          </w:divBdr>
        </w:div>
        <w:div w:id="1283346469">
          <w:marLeft w:val="0"/>
          <w:marRight w:val="0"/>
          <w:marTop w:val="0"/>
          <w:marBottom w:val="0"/>
          <w:divBdr>
            <w:top w:val="none" w:sz="0" w:space="0" w:color="auto"/>
            <w:left w:val="none" w:sz="0" w:space="0" w:color="auto"/>
            <w:bottom w:val="none" w:sz="0" w:space="0" w:color="auto"/>
            <w:right w:val="none" w:sz="0" w:space="0" w:color="auto"/>
          </w:divBdr>
        </w:div>
        <w:div w:id="1286544968">
          <w:marLeft w:val="0"/>
          <w:marRight w:val="0"/>
          <w:marTop w:val="0"/>
          <w:marBottom w:val="0"/>
          <w:divBdr>
            <w:top w:val="none" w:sz="0" w:space="0" w:color="auto"/>
            <w:left w:val="none" w:sz="0" w:space="0" w:color="auto"/>
            <w:bottom w:val="none" w:sz="0" w:space="0" w:color="auto"/>
            <w:right w:val="none" w:sz="0" w:space="0" w:color="auto"/>
          </w:divBdr>
        </w:div>
        <w:div w:id="1293946179">
          <w:marLeft w:val="0"/>
          <w:marRight w:val="0"/>
          <w:marTop w:val="0"/>
          <w:marBottom w:val="0"/>
          <w:divBdr>
            <w:top w:val="none" w:sz="0" w:space="0" w:color="auto"/>
            <w:left w:val="none" w:sz="0" w:space="0" w:color="auto"/>
            <w:bottom w:val="none" w:sz="0" w:space="0" w:color="auto"/>
            <w:right w:val="none" w:sz="0" w:space="0" w:color="auto"/>
          </w:divBdr>
        </w:div>
        <w:div w:id="1298872342">
          <w:marLeft w:val="0"/>
          <w:marRight w:val="0"/>
          <w:marTop w:val="0"/>
          <w:marBottom w:val="0"/>
          <w:divBdr>
            <w:top w:val="none" w:sz="0" w:space="0" w:color="auto"/>
            <w:left w:val="none" w:sz="0" w:space="0" w:color="auto"/>
            <w:bottom w:val="none" w:sz="0" w:space="0" w:color="auto"/>
            <w:right w:val="none" w:sz="0" w:space="0" w:color="auto"/>
          </w:divBdr>
        </w:div>
        <w:div w:id="1317105558">
          <w:marLeft w:val="0"/>
          <w:marRight w:val="0"/>
          <w:marTop w:val="0"/>
          <w:marBottom w:val="0"/>
          <w:divBdr>
            <w:top w:val="none" w:sz="0" w:space="0" w:color="auto"/>
            <w:left w:val="none" w:sz="0" w:space="0" w:color="auto"/>
            <w:bottom w:val="none" w:sz="0" w:space="0" w:color="auto"/>
            <w:right w:val="none" w:sz="0" w:space="0" w:color="auto"/>
          </w:divBdr>
        </w:div>
        <w:div w:id="1326401638">
          <w:marLeft w:val="0"/>
          <w:marRight w:val="0"/>
          <w:marTop w:val="0"/>
          <w:marBottom w:val="0"/>
          <w:divBdr>
            <w:top w:val="none" w:sz="0" w:space="0" w:color="auto"/>
            <w:left w:val="none" w:sz="0" w:space="0" w:color="auto"/>
            <w:bottom w:val="none" w:sz="0" w:space="0" w:color="auto"/>
            <w:right w:val="none" w:sz="0" w:space="0" w:color="auto"/>
          </w:divBdr>
        </w:div>
        <w:div w:id="1326664859">
          <w:marLeft w:val="0"/>
          <w:marRight w:val="0"/>
          <w:marTop w:val="0"/>
          <w:marBottom w:val="0"/>
          <w:divBdr>
            <w:top w:val="none" w:sz="0" w:space="0" w:color="auto"/>
            <w:left w:val="none" w:sz="0" w:space="0" w:color="auto"/>
            <w:bottom w:val="none" w:sz="0" w:space="0" w:color="auto"/>
            <w:right w:val="none" w:sz="0" w:space="0" w:color="auto"/>
          </w:divBdr>
        </w:div>
        <w:div w:id="1328559420">
          <w:marLeft w:val="0"/>
          <w:marRight w:val="0"/>
          <w:marTop w:val="0"/>
          <w:marBottom w:val="0"/>
          <w:divBdr>
            <w:top w:val="none" w:sz="0" w:space="0" w:color="auto"/>
            <w:left w:val="none" w:sz="0" w:space="0" w:color="auto"/>
            <w:bottom w:val="none" w:sz="0" w:space="0" w:color="auto"/>
            <w:right w:val="none" w:sz="0" w:space="0" w:color="auto"/>
          </w:divBdr>
        </w:div>
        <w:div w:id="1333680787">
          <w:marLeft w:val="0"/>
          <w:marRight w:val="0"/>
          <w:marTop w:val="0"/>
          <w:marBottom w:val="0"/>
          <w:divBdr>
            <w:top w:val="none" w:sz="0" w:space="0" w:color="auto"/>
            <w:left w:val="none" w:sz="0" w:space="0" w:color="auto"/>
            <w:bottom w:val="none" w:sz="0" w:space="0" w:color="auto"/>
            <w:right w:val="none" w:sz="0" w:space="0" w:color="auto"/>
          </w:divBdr>
        </w:div>
        <w:div w:id="1352562504">
          <w:marLeft w:val="0"/>
          <w:marRight w:val="0"/>
          <w:marTop w:val="0"/>
          <w:marBottom w:val="0"/>
          <w:divBdr>
            <w:top w:val="none" w:sz="0" w:space="0" w:color="auto"/>
            <w:left w:val="none" w:sz="0" w:space="0" w:color="auto"/>
            <w:bottom w:val="none" w:sz="0" w:space="0" w:color="auto"/>
            <w:right w:val="none" w:sz="0" w:space="0" w:color="auto"/>
          </w:divBdr>
        </w:div>
        <w:div w:id="1353148449">
          <w:marLeft w:val="0"/>
          <w:marRight w:val="0"/>
          <w:marTop w:val="0"/>
          <w:marBottom w:val="0"/>
          <w:divBdr>
            <w:top w:val="none" w:sz="0" w:space="0" w:color="auto"/>
            <w:left w:val="none" w:sz="0" w:space="0" w:color="auto"/>
            <w:bottom w:val="none" w:sz="0" w:space="0" w:color="auto"/>
            <w:right w:val="none" w:sz="0" w:space="0" w:color="auto"/>
          </w:divBdr>
        </w:div>
        <w:div w:id="1362126575">
          <w:marLeft w:val="0"/>
          <w:marRight w:val="0"/>
          <w:marTop w:val="0"/>
          <w:marBottom w:val="0"/>
          <w:divBdr>
            <w:top w:val="none" w:sz="0" w:space="0" w:color="auto"/>
            <w:left w:val="none" w:sz="0" w:space="0" w:color="auto"/>
            <w:bottom w:val="none" w:sz="0" w:space="0" w:color="auto"/>
            <w:right w:val="none" w:sz="0" w:space="0" w:color="auto"/>
          </w:divBdr>
        </w:div>
        <w:div w:id="1364096506">
          <w:marLeft w:val="0"/>
          <w:marRight w:val="0"/>
          <w:marTop w:val="0"/>
          <w:marBottom w:val="0"/>
          <w:divBdr>
            <w:top w:val="none" w:sz="0" w:space="0" w:color="auto"/>
            <w:left w:val="none" w:sz="0" w:space="0" w:color="auto"/>
            <w:bottom w:val="none" w:sz="0" w:space="0" w:color="auto"/>
            <w:right w:val="none" w:sz="0" w:space="0" w:color="auto"/>
          </w:divBdr>
        </w:div>
        <w:div w:id="1368414123">
          <w:marLeft w:val="0"/>
          <w:marRight w:val="0"/>
          <w:marTop w:val="0"/>
          <w:marBottom w:val="0"/>
          <w:divBdr>
            <w:top w:val="none" w:sz="0" w:space="0" w:color="auto"/>
            <w:left w:val="none" w:sz="0" w:space="0" w:color="auto"/>
            <w:bottom w:val="none" w:sz="0" w:space="0" w:color="auto"/>
            <w:right w:val="none" w:sz="0" w:space="0" w:color="auto"/>
          </w:divBdr>
        </w:div>
        <w:div w:id="1368481492">
          <w:marLeft w:val="0"/>
          <w:marRight w:val="0"/>
          <w:marTop w:val="0"/>
          <w:marBottom w:val="0"/>
          <w:divBdr>
            <w:top w:val="none" w:sz="0" w:space="0" w:color="auto"/>
            <w:left w:val="none" w:sz="0" w:space="0" w:color="auto"/>
            <w:bottom w:val="none" w:sz="0" w:space="0" w:color="auto"/>
            <w:right w:val="none" w:sz="0" w:space="0" w:color="auto"/>
          </w:divBdr>
        </w:div>
        <w:div w:id="1368529600">
          <w:marLeft w:val="0"/>
          <w:marRight w:val="0"/>
          <w:marTop w:val="0"/>
          <w:marBottom w:val="0"/>
          <w:divBdr>
            <w:top w:val="none" w:sz="0" w:space="0" w:color="auto"/>
            <w:left w:val="none" w:sz="0" w:space="0" w:color="auto"/>
            <w:bottom w:val="none" w:sz="0" w:space="0" w:color="auto"/>
            <w:right w:val="none" w:sz="0" w:space="0" w:color="auto"/>
          </w:divBdr>
        </w:div>
        <w:div w:id="1370495012">
          <w:marLeft w:val="0"/>
          <w:marRight w:val="0"/>
          <w:marTop w:val="0"/>
          <w:marBottom w:val="0"/>
          <w:divBdr>
            <w:top w:val="none" w:sz="0" w:space="0" w:color="auto"/>
            <w:left w:val="none" w:sz="0" w:space="0" w:color="auto"/>
            <w:bottom w:val="none" w:sz="0" w:space="0" w:color="auto"/>
            <w:right w:val="none" w:sz="0" w:space="0" w:color="auto"/>
          </w:divBdr>
        </w:div>
        <w:div w:id="1391415447">
          <w:marLeft w:val="0"/>
          <w:marRight w:val="0"/>
          <w:marTop w:val="0"/>
          <w:marBottom w:val="0"/>
          <w:divBdr>
            <w:top w:val="none" w:sz="0" w:space="0" w:color="auto"/>
            <w:left w:val="none" w:sz="0" w:space="0" w:color="auto"/>
            <w:bottom w:val="none" w:sz="0" w:space="0" w:color="auto"/>
            <w:right w:val="none" w:sz="0" w:space="0" w:color="auto"/>
          </w:divBdr>
        </w:div>
        <w:div w:id="1397388271">
          <w:marLeft w:val="0"/>
          <w:marRight w:val="0"/>
          <w:marTop w:val="0"/>
          <w:marBottom w:val="0"/>
          <w:divBdr>
            <w:top w:val="none" w:sz="0" w:space="0" w:color="auto"/>
            <w:left w:val="none" w:sz="0" w:space="0" w:color="auto"/>
            <w:bottom w:val="none" w:sz="0" w:space="0" w:color="auto"/>
            <w:right w:val="none" w:sz="0" w:space="0" w:color="auto"/>
          </w:divBdr>
        </w:div>
        <w:div w:id="1402286184">
          <w:marLeft w:val="0"/>
          <w:marRight w:val="0"/>
          <w:marTop w:val="0"/>
          <w:marBottom w:val="0"/>
          <w:divBdr>
            <w:top w:val="none" w:sz="0" w:space="0" w:color="auto"/>
            <w:left w:val="none" w:sz="0" w:space="0" w:color="auto"/>
            <w:bottom w:val="none" w:sz="0" w:space="0" w:color="auto"/>
            <w:right w:val="none" w:sz="0" w:space="0" w:color="auto"/>
          </w:divBdr>
        </w:div>
        <w:div w:id="1405178420">
          <w:marLeft w:val="0"/>
          <w:marRight w:val="0"/>
          <w:marTop w:val="0"/>
          <w:marBottom w:val="0"/>
          <w:divBdr>
            <w:top w:val="none" w:sz="0" w:space="0" w:color="auto"/>
            <w:left w:val="none" w:sz="0" w:space="0" w:color="auto"/>
            <w:bottom w:val="none" w:sz="0" w:space="0" w:color="auto"/>
            <w:right w:val="none" w:sz="0" w:space="0" w:color="auto"/>
          </w:divBdr>
        </w:div>
        <w:div w:id="1409570366">
          <w:marLeft w:val="0"/>
          <w:marRight w:val="0"/>
          <w:marTop w:val="0"/>
          <w:marBottom w:val="0"/>
          <w:divBdr>
            <w:top w:val="none" w:sz="0" w:space="0" w:color="auto"/>
            <w:left w:val="none" w:sz="0" w:space="0" w:color="auto"/>
            <w:bottom w:val="none" w:sz="0" w:space="0" w:color="auto"/>
            <w:right w:val="none" w:sz="0" w:space="0" w:color="auto"/>
          </w:divBdr>
        </w:div>
        <w:div w:id="1421828089">
          <w:marLeft w:val="0"/>
          <w:marRight w:val="0"/>
          <w:marTop w:val="0"/>
          <w:marBottom w:val="0"/>
          <w:divBdr>
            <w:top w:val="none" w:sz="0" w:space="0" w:color="auto"/>
            <w:left w:val="none" w:sz="0" w:space="0" w:color="auto"/>
            <w:bottom w:val="none" w:sz="0" w:space="0" w:color="auto"/>
            <w:right w:val="none" w:sz="0" w:space="0" w:color="auto"/>
          </w:divBdr>
        </w:div>
        <w:div w:id="1425030636">
          <w:marLeft w:val="0"/>
          <w:marRight w:val="0"/>
          <w:marTop w:val="0"/>
          <w:marBottom w:val="0"/>
          <w:divBdr>
            <w:top w:val="none" w:sz="0" w:space="0" w:color="auto"/>
            <w:left w:val="none" w:sz="0" w:space="0" w:color="auto"/>
            <w:bottom w:val="none" w:sz="0" w:space="0" w:color="auto"/>
            <w:right w:val="none" w:sz="0" w:space="0" w:color="auto"/>
          </w:divBdr>
        </w:div>
        <w:div w:id="1425418839">
          <w:marLeft w:val="0"/>
          <w:marRight w:val="0"/>
          <w:marTop w:val="0"/>
          <w:marBottom w:val="0"/>
          <w:divBdr>
            <w:top w:val="none" w:sz="0" w:space="0" w:color="auto"/>
            <w:left w:val="none" w:sz="0" w:space="0" w:color="auto"/>
            <w:bottom w:val="none" w:sz="0" w:space="0" w:color="auto"/>
            <w:right w:val="none" w:sz="0" w:space="0" w:color="auto"/>
          </w:divBdr>
        </w:div>
        <w:div w:id="1430352883">
          <w:marLeft w:val="0"/>
          <w:marRight w:val="0"/>
          <w:marTop w:val="0"/>
          <w:marBottom w:val="0"/>
          <w:divBdr>
            <w:top w:val="none" w:sz="0" w:space="0" w:color="auto"/>
            <w:left w:val="none" w:sz="0" w:space="0" w:color="auto"/>
            <w:bottom w:val="none" w:sz="0" w:space="0" w:color="auto"/>
            <w:right w:val="none" w:sz="0" w:space="0" w:color="auto"/>
          </w:divBdr>
        </w:div>
        <w:div w:id="1432237564">
          <w:marLeft w:val="0"/>
          <w:marRight w:val="0"/>
          <w:marTop w:val="0"/>
          <w:marBottom w:val="0"/>
          <w:divBdr>
            <w:top w:val="none" w:sz="0" w:space="0" w:color="auto"/>
            <w:left w:val="none" w:sz="0" w:space="0" w:color="auto"/>
            <w:bottom w:val="none" w:sz="0" w:space="0" w:color="auto"/>
            <w:right w:val="none" w:sz="0" w:space="0" w:color="auto"/>
          </w:divBdr>
        </w:div>
        <w:div w:id="1438989742">
          <w:marLeft w:val="0"/>
          <w:marRight w:val="0"/>
          <w:marTop w:val="0"/>
          <w:marBottom w:val="0"/>
          <w:divBdr>
            <w:top w:val="none" w:sz="0" w:space="0" w:color="auto"/>
            <w:left w:val="none" w:sz="0" w:space="0" w:color="auto"/>
            <w:bottom w:val="none" w:sz="0" w:space="0" w:color="auto"/>
            <w:right w:val="none" w:sz="0" w:space="0" w:color="auto"/>
          </w:divBdr>
        </w:div>
        <w:div w:id="1454710629">
          <w:marLeft w:val="0"/>
          <w:marRight w:val="0"/>
          <w:marTop w:val="0"/>
          <w:marBottom w:val="0"/>
          <w:divBdr>
            <w:top w:val="none" w:sz="0" w:space="0" w:color="auto"/>
            <w:left w:val="none" w:sz="0" w:space="0" w:color="auto"/>
            <w:bottom w:val="none" w:sz="0" w:space="0" w:color="auto"/>
            <w:right w:val="none" w:sz="0" w:space="0" w:color="auto"/>
          </w:divBdr>
        </w:div>
        <w:div w:id="1456214092">
          <w:marLeft w:val="0"/>
          <w:marRight w:val="0"/>
          <w:marTop w:val="0"/>
          <w:marBottom w:val="0"/>
          <w:divBdr>
            <w:top w:val="none" w:sz="0" w:space="0" w:color="auto"/>
            <w:left w:val="none" w:sz="0" w:space="0" w:color="auto"/>
            <w:bottom w:val="none" w:sz="0" w:space="0" w:color="auto"/>
            <w:right w:val="none" w:sz="0" w:space="0" w:color="auto"/>
          </w:divBdr>
        </w:div>
        <w:div w:id="1464927870">
          <w:marLeft w:val="0"/>
          <w:marRight w:val="0"/>
          <w:marTop w:val="0"/>
          <w:marBottom w:val="0"/>
          <w:divBdr>
            <w:top w:val="none" w:sz="0" w:space="0" w:color="auto"/>
            <w:left w:val="none" w:sz="0" w:space="0" w:color="auto"/>
            <w:bottom w:val="none" w:sz="0" w:space="0" w:color="auto"/>
            <w:right w:val="none" w:sz="0" w:space="0" w:color="auto"/>
          </w:divBdr>
        </w:div>
        <w:div w:id="1465267680">
          <w:marLeft w:val="0"/>
          <w:marRight w:val="0"/>
          <w:marTop w:val="0"/>
          <w:marBottom w:val="0"/>
          <w:divBdr>
            <w:top w:val="none" w:sz="0" w:space="0" w:color="auto"/>
            <w:left w:val="none" w:sz="0" w:space="0" w:color="auto"/>
            <w:bottom w:val="none" w:sz="0" w:space="0" w:color="auto"/>
            <w:right w:val="none" w:sz="0" w:space="0" w:color="auto"/>
          </w:divBdr>
        </w:div>
        <w:div w:id="1473137526">
          <w:marLeft w:val="0"/>
          <w:marRight w:val="0"/>
          <w:marTop w:val="0"/>
          <w:marBottom w:val="0"/>
          <w:divBdr>
            <w:top w:val="none" w:sz="0" w:space="0" w:color="auto"/>
            <w:left w:val="none" w:sz="0" w:space="0" w:color="auto"/>
            <w:bottom w:val="none" w:sz="0" w:space="0" w:color="auto"/>
            <w:right w:val="none" w:sz="0" w:space="0" w:color="auto"/>
          </w:divBdr>
        </w:div>
        <w:div w:id="1482499451">
          <w:marLeft w:val="0"/>
          <w:marRight w:val="0"/>
          <w:marTop w:val="0"/>
          <w:marBottom w:val="0"/>
          <w:divBdr>
            <w:top w:val="none" w:sz="0" w:space="0" w:color="auto"/>
            <w:left w:val="none" w:sz="0" w:space="0" w:color="auto"/>
            <w:bottom w:val="none" w:sz="0" w:space="0" w:color="auto"/>
            <w:right w:val="none" w:sz="0" w:space="0" w:color="auto"/>
          </w:divBdr>
        </w:div>
        <w:div w:id="1485005188">
          <w:marLeft w:val="0"/>
          <w:marRight w:val="0"/>
          <w:marTop w:val="0"/>
          <w:marBottom w:val="0"/>
          <w:divBdr>
            <w:top w:val="none" w:sz="0" w:space="0" w:color="auto"/>
            <w:left w:val="none" w:sz="0" w:space="0" w:color="auto"/>
            <w:bottom w:val="none" w:sz="0" w:space="0" w:color="auto"/>
            <w:right w:val="none" w:sz="0" w:space="0" w:color="auto"/>
          </w:divBdr>
        </w:div>
        <w:div w:id="1490706139">
          <w:marLeft w:val="0"/>
          <w:marRight w:val="0"/>
          <w:marTop w:val="0"/>
          <w:marBottom w:val="0"/>
          <w:divBdr>
            <w:top w:val="none" w:sz="0" w:space="0" w:color="auto"/>
            <w:left w:val="none" w:sz="0" w:space="0" w:color="auto"/>
            <w:bottom w:val="none" w:sz="0" w:space="0" w:color="auto"/>
            <w:right w:val="none" w:sz="0" w:space="0" w:color="auto"/>
          </w:divBdr>
        </w:div>
        <w:div w:id="1490756303">
          <w:marLeft w:val="0"/>
          <w:marRight w:val="0"/>
          <w:marTop w:val="0"/>
          <w:marBottom w:val="0"/>
          <w:divBdr>
            <w:top w:val="none" w:sz="0" w:space="0" w:color="auto"/>
            <w:left w:val="none" w:sz="0" w:space="0" w:color="auto"/>
            <w:bottom w:val="none" w:sz="0" w:space="0" w:color="auto"/>
            <w:right w:val="none" w:sz="0" w:space="0" w:color="auto"/>
          </w:divBdr>
        </w:div>
        <w:div w:id="1495412565">
          <w:marLeft w:val="0"/>
          <w:marRight w:val="0"/>
          <w:marTop w:val="0"/>
          <w:marBottom w:val="0"/>
          <w:divBdr>
            <w:top w:val="none" w:sz="0" w:space="0" w:color="auto"/>
            <w:left w:val="none" w:sz="0" w:space="0" w:color="auto"/>
            <w:bottom w:val="none" w:sz="0" w:space="0" w:color="auto"/>
            <w:right w:val="none" w:sz="0" w:space="0" w:color="auto"/>
          </w:divBdr>
        </w:div>
        <w:div w:id="1499224301">
          <w:marLeft w:val="0"/>
          <w:marRight w:val="0"/>
          <w:marTop w:val="0"/>
          <w:marBottom w:val="0"/>
          <w:divBdr>
            <w:top w:val="none" w:sz="0" w:space="0" w:color="auto"/>
            <w:left w:val="none" w:sz="0" w:space="0" w:color="auto"/>
            <w:bottom w:val="none" w:sz="0" w:space="0" w:color="auto"/>
            <w:right w:val="none" w:sz="0" w:space="0" w:color="auto"/>
          </w:divBdr>
        </w:div>
        <w:div w:id="1507397881">
          <w:marLeft w:val="0"/>
          <w:marRight w:val="0"/>
          <w:marTop w:val="0"/>
          <w:marBottom w:val="0"/>
          <w:divBdr>
            <w:top w:val="none" w:sz="0" w:space="0" w:color="auto"/>
            <w:left w:val="none" w:sz="0" w:space="0" w:color="auto"/>
            <w:bottom w:val="none" w:sz="0" w:space="0" w:color="auto"/>
            <w:right w:val="none" w:sz="0" w:space="0" w:color="auto"/>
          </w:divBdr>
        </w:div>
        <w:div w:id="1513061160">
          <w:marLeft w:val="0"/>
          <w:marRight w:val="0"/>
          <w:marTop w:val="0"/>
          <w:marBottom w:val="0"/>
          <w:divBdr>
            <w:top w:val="none" w:sz="0" w:space="0" w:color="auto"/>
            <w:left w:val="none" w:sz="0" w:space="0" w:color="auto"/>
            <w:bottom w:val="none" w:sz="0" w:space="0" w:color="auto"/>
            <w:right w:val="none" w:sz="0" w:space="0" w:color="auto"/>
          </w:divBdr>
        </w:div>
        <w:div w:id="1520585048">
          <w:marLeft w:val="0"/>
          <w:marRight w:val="0"/>
          <w:marTop w:val="0"/>
          <w:marBottom w:val="0"/>
          <w:divBdr>
            <w:top w:val="none" w:sz="0" w:space="0" w:color="auto"/>
            <w:left w:val="none" w:sz="0" w:space="0" w:color="auto"/>
            <w:bottom w:val="none" w:sz="0" w:space="0" w:color="auto"/>
            <w:right w:val="none" w:sz="0" w:space="0" w:color="auto"/>
          </w:divBdr>
        </w:div>
        <w:div w:id="1521045238">
          <w:marLeft w:val="0"/>
          <w:marRight w:val="0"/>
          <w:marTop w:val="0"/>
          <w:marBottom w:val="0"/>
          <w:divBdr>
            <w:top w:val="none" w:sz="0" w:space="0" w:color="auto"/>
            <w:left w:val="none" w:sz="0" w:space="0" w:color="auto"/>
            <w:bottom w:val="none" w:sz="0" w:space="0" w:color="auto"/>
            <w:right w:val="none" w:sz="0" w:space="0" w:color="auto"/>
          </w:divBdr>
        </w:div>
        <w:div w:id="1524248957">
          <w:marLeft w:val="0"/>
          <w:marRight w:val="0"/>
          <w:marTop w:val="0"/>
          <w:marBottom w:val="0"/>
          <w:divBdr>
            <w:top w:val="none" w:sz="0" w:space="0" w:color="auto"/>
            <w:left w:val="none" w:sz="0" w:space="0" w:color="auto"/>
            <w:bottom w:val="none" w:sz="0" w:space="0" w:color="auto"/>
            <w:right w:val="none" w:sz="0" w:space="0" w:color="auto"/>
          </w:divBdr>
        </w:div>
        <w:div w:id="1524367764">
          <w:marLeft w:val="0"/>
          <w:marRight w:val="0"/>
          <w:marTop w:val="0"/>
          <w:marBottom w:val="0"/>
          <w:divBdr>
            <w:top w:val="none" w:sz="0" w:space="0" w:color="auto"/>
            <w:left w:val="none" w:sz="0" w:space="0" w:color="auto"/>
            <w:bottom w:val="none" w:sz="0" w:space="0" w:color="auto"/>
            <w:right w:val="none" w:sz="0" w:space="0" w:color="auto"/>
          </w:divBdr>
        </w:div>
        <w:div w:id="1525443254">
          <w:marLeft w:val="0"/>
          <w:marRight w:val="0"/>
          <w:marTop w:val="0"/>
          <w:marBottom w:val="0"/>
          <w:divBdr>
            <w:top w:val="none" w:sz="0" w:space="0" w:color="auto"/>
            <w:left w:val="none" w:sz="0" w:space="0" w:color="auto"/>
            <w:bottom w:val="none" w:sz="0" w:space="0" w:color="auto"/>
            <w:right w:val="none" w:sz="0" w:space="0" w:color="auto"/>
          </w:divBdr>
        </w:div>
        <w:div w:id="1535578767">
          <w:marLeft w:val="0"/>
          <w:marRight w:val="0"/>
          <w:marTop w:val="0"/>
          <w:marBottom w:val="0"/>
          <w:divBdr>
            <w:top w:val="none" w:sz="0" w:space="0" w:color="auto"/>
            <w:left w:val="none" w:sz="0" w:space="0" w:color="auto"/>
            <w:bottom w:val="none" w:sz="0" w:space="0" w:color="auto"/>
            <w:right w:val="none" w:sz="0" w:space="0" w:color="auto"/>
          </w:divBdr>
        </w:div>
        <w:div w:id="1536233450">
          <w:marLeft w:val="0"/>
          <w:marRight w:val="0"/>
          <w:marTop w:val="0"/>
          <w:marBottom w:val="0"/>
          <w:divBdr>
            <w:top w:val="none" w:sz="0" w:space="0" w:color="auto"/>
            <w:left w:val="none" w:sz="0" w:space="0" w:color="auto"/>
            <w:bottom w:val="none" w:sz="0" w:space="0" w:color="auto"/>
            <w:right w:val="none" w:sz="0" w:space="0" w:color="auto"/>
          </w:divBdr>
        </w:div>
        <w:div w:id="1536699135">
          <w:marLeft w:val="0"/>
          <w:marRight w:val="0"/>
          <w:marTop w:val="0"/>
          <w:marBottom w:val="0"/>
          <w:divBdr>
            <w:top w:val="none" w:sz="0" w:space="0" w:color="auto"/>
            <w:left w:val="none" w:sz="0" w:space="0" w:color="auto"/>
            <w:bottom w:val="none" w:sz="0" w:space="0" w:color="auto"/>
            <w:right w:val="none" w:sz="0" w:space="0" w:color="auto"/>
          </w:divBdr>
        </w:div>
        <w:div w:id="1538084663">
          <w:marLeft w:val="0"/>
          <w:marRight w:val="0"/>
          <w:marTop w:val="0"/>
          <w:marBottom w:val="0"/>
          <w:divBdr>
            <w:top w:val="none" w:sz="0" w:space="0" w:color="auto"/>
            <w:left w:val="none" w:sz="0" w:space="0" w:color="auto"/>
            <w:bottom w:val="none" w:sz="0" w:space="0" w:color="auto"/>
            <w:right w:val="none" w:sz="0" w:space="0" w:color="auto"/>
          </w:divBdr>
        </w:div>
        <w:div w:id="1539972251">
          <w:marLeft w:val="0"/>
          <w:marRight w:val="0"/>
          <w:marTop w:val="0"/>
          <w:marBottom w:val="0"/>
          <w:divBdr>
            <w:top w:val="none" w:sz="0" w:space="0" w:color="auto"/>
            <w:left w:val="none" w:sz="0" w:space="0" w:color="auto"/>
            <w:bottom w:val="none" w:sz="0" w:space="0" w:color="auto"/>
            <w:right w:val="none" w:sz="0" w:space="0" w:color="auto"/>
          </w:divBdr>
        </w:div>
        <w:div w:id="1543127356">
          <w:marLeft w:val="0"/>
          <w:marRight w:val="0"/>
          <w:marTop w:val="0"/>
          <w:marBottom w:val="0"/>
          <w:divBdr>
            <w:top w:val="none" w:sz="0" w:space="0" w:color="auto"/>
            <w:left w:val="none" w:sz="0" w:space="0" w:color="auto"/>
            <w:bottom w:val="none" w:sz="0" w:space="0" w:color="auto"/>
            <w:right w:val="none" w:sz="0" w:space="0" w:color="auto"/>
          </w:divBdr>
        </w:div>
        <w:div w:id="1550801256">
          <w:marLeft w:val="0"/>
          <w:marRight w:val="0"/>
          <w:marTop w:val="0"/>
          <w:marBottom w:val="0"/>
          <w:divBdr>
            <w:top w:val="none" w:sz="0" w:space="0" w:color="auto"/>
            <w:left w:val="none" w:sz="0" w:space="0" w:color="auto"/>
            <w:bottom w:val="none" w:sz="0" w:space="0" w:color="auto"/>
            <w:right w:val="none" w:sz="0" w:space="0" w:color="auto"/>
          </w:divBdr>
        </w:div>
        <w:div w:id="1551500335">
          <w:marLeft w:val="0"/>
          <w:marRight w:val="0"/>
          <w:marTop w:val="0"/>
          <w:marBottom w:val="0"/>
          <w:divBdr>
            <w:top w:val="none" w:sz="0" w:space="0" w:color="auto"/>
            <w:left w:val="none" w:sz="0" w:space="0" w:color="auto"/>
            <w:bottom w:val="none" w:sz="0" w:space="0" w:color="auto"/>
            <w:right w:val="none" w:sz="0" w:space="0" w:color="auto"/>
          </w:divBdr>
        </w:div>
        <w:div w:id="1552186776">
          <w:marLeft w:val="0"/>
          <w:marRight w:val="0"/>
          <w:marTop w:val="0"/>
          <w:marBottom w:val="0"/>
          <w:divBdr>
            <w:top w:val="none" w:sz="0" w:space="0" w:color="auto"/>
            <w:left w:val="none" w:sz="0" w:space="0" w:color="auto"/>
            <w:bottom w:val="none" w:sz="0" w:space="0" w:color="auto"/>
            <w:right w:val="none" w:sz="0" w:space="0" w:color="auto"/>
          </w:divBdr>
        </w:div>
        <w:div w:id="1554923898">
          <w:marLeft w:val="0"/>
          <w:marRight w:val="0"/>
          <w:marTop w:val="0"/>
          <w:marBottom w:val="0"/>
          <w:divBdr>
            <w:top w:val="none" w:sz="0" w:space="0" w:color="auto"/>
            <w:left w:val="none" w:sz="0" w:space="0" w:color="auto"/>
            <w:bottom w:val="none" w:sz="0" w:space="0" w:color="auto"/>
            <w:right w:val="none" w:sz="0" w:space="0" w:color="auto"/>
          </w:divBdr>
        </w:div>
        <w:div w:id="1563327597">
          <w:marLeft w:val="0"/>
          <w:marRight w:val="0"/>
          <w:marTop w:val="0"/>
          <w:marBottom w:val="0"/>
          <w:divBdr>
            <w:top w:val="none" w:sz="0" w:space="0" w:color="auto"/>
            <w:left w:val="none" w:sz="0" w:space="0" w:color="auto"/>
            <w:bottom w:val="none" w:sz="0" w:space="0" w:color="auto"/>
            <w:right w:val="none" w:sz="0" w:space="0" w:color="auto"/>
          </w:divBdr>
        </w:div>
        <w:div w:id="1583297131">
          <w:marLeft w:val="0"/>
          <w:marRight w:val="0"/>
          <w:marTop w:val="0"/>
          <w:marBottom w:val="0"/>
          <w:divBdr>
            <w:top w:val="none" w:sz="0" w:space="0" w:color="auto"/>
            <w:left w:val="none" w:sz="0" w:space="0" w:color="auto"/>
            <w:bottom w:val="none" w:sz="0" w:space="0" w:color="auto"/>
            <w:right w:val="none" w:sz="0" w:space="0" w:color="auto"/>
          </w:divBdr>
        </w:div>
        <w:div w:id="1588028961">
          <w:marLeft w:val="0"/>
          <w:marRight w:val="0"/>
          <w:marTop w:val="0"/>
          <w:marBottom w:val="0"/>
          <w:divBdr>
            <w:top w:val="none" w:sz="0" w:space="0" w:color="auto"/>
            <w:left w:val="none" w:sz="0" w:space="0" w:color="auto"/>
            <w:bottom w:val="none" w:sz="0" w:space="0" w:color="auto"/>
            <w:right w:val="none" w:sz="0" w:space="0" w:color="auto"/>
          </w:divBdr>
        </w:div>
        <w:div w:id="1597591601">
          <w:marLeft w:val="0"/>
          <w:marRight w:val="0"/>
          <w:marTop w:val="0"/>
          <w:marBottom w:val="0"/>
          <w:divBdr>
            <w:top w:val="none" w:sz="0" w:space="0" w:color="auto"/>
            <w:left w:val="none" w:sz="0" w:space="0" w:color="auto"/>
            <w:bottom w:val="none" w:sz="0" w:space="0" w:color="auto"/>
            <w:right w:val="none" w:sz="0" w:space="0" w:color="auto"/>
          </w:divBdr>
        </w:div>
        <w:div w:id="1602452149">
          <w:marLeft w:val="0"/>
          <w:marRight w:val="0"/>
          <w:marTop w:val="0"/>
          <w:marBottom w:val="0"/>
          <w:divBdr>
            <w:top w:val="none" w:sz="0" w:space="0" w:color="auto"/>
            <w:left w:val="none" w:sz="0" w:space="0" w:color="auto"/>
            <w:bottom w:val="none" w:sz="0" w:space="0" w:color="auto"/>
            <w:right w:val="none" w:sz="0" w:space="0" w:color="auto"/>
          </w:divBdr>
        </w:div>
        <w:div w:id="1625696811">
          <w:marLeft w:val="0"/>
          <w:marRight w:val="0"/>
          <w:marTop w:val="0"/>
          <w:marBottom w:val="0"/>
          <w:divBdr>
            <w:top w:val="none" w:sz="0" w:space="0" w:color="auto"/>
            <w:left w:val="none" w:sz="0" w:space="0" w:color="auto"/>
            <w:bottom w:val="none" w:sz="0" w:space="0" w:color="auto"/>
            <w:right w:val="none" w:sz="0" w:space="0" w:color="auto"/>
          </w:divBdr>
        </w:div>
        <w:div w:id="1632589560">
          <w:marLeft w:val="0"/>
          <w:marRight w:val="0"/>
          <w:marTop w:val="0"/>
          <w:marBottom w:val="0"/>
          <w:divBdr>
            <w:top w:val="none" w:sz="0" w:space="0" w:color="auto"/>
            <w:left w:val="none" w:sz="0" w:space="0" w:color="auto"/>
            <w:bottom w:val="none" w:sz="0" w:space="0" w:color="auto"/>
            <w:right w:val="none" w:sz="0" w:space="0" w:color="auto"/>
          </w:divBdr>
        </w:div>
        <w:div w:id="1635402847">
          <w:marLeft w:val="0"/>
          <w:marRight w:val="0"/>
          <w:marTop w:val="0"/>
          <w:marBottom w:val="0"/>
          <w:divBdr>
            <w:top w:val="none" w:sz="0" w:space="0" w:color="auto"/>
            <w:left w:val="none" w:sz="0" w:space="0" w:color="auto"/>
            <w:bottom w:val="none" w:sz="0" w:space="0" w:color="auto"/>
            <w:right w:val="none" w:sz="0" w:space="0" w:color="auto"/>
          </w:divBdr>
        </w:div>
        <w:div w:id="1641109258">
          <w:marLeft w:val="0"/>
          <w:marRight w:val="0"/>
          <w:marTop w:val="0"/>
          <w:marBottom w:val="0"/>
          <w:divBdr>
            <w:top w:val="none" w:sz="0" w:space="0" w:color="auto"/>
            <w:left w:val="none" w:sz="0" w:space="0" w:color="auto"/>
            <w:bottom w:val="none" w:sz="0" w:space="0" w:color="auto"/>
            <w:right w:val="none" w:sz="0" w:space="0" w:color="auto"/>
          </w:divBdr>
        </w:div>
        <w:div w:id="1647858776">
          <w:marLeft w:val="0"/>
          <w:marRight w:val="0"/>
          <w:marTop w:val="0"/>
          <w:marBottom w:val="0"/>
          <w:divBdr>
            <w:top w:val="none" w:sz="0" w:space="0" w:color="auto"/>
            <w:left w:val="none" w:sz="0" w:space="0" w:color="auto"/>
            <w:bottom w:val="none" w:sz="0" w:space="0" w:color="auto"/>
            <w:right w:val="none" w:sz="0" w:space="0" w:color="auto"/>
          </w:divBdr>
        </w:div>
        <w:div w:id="1661229444">
          <w:marLeft w:val="0"/>
          <w:marRight w:val="0"/>
          <w:marTop w:val="0"/>
          <w:marBottom w:val="0"/>
          <w:divBdr>
            <w:top w:val="none" w:sz="0" w:space="0" w:color="auto"/>
            <w:left w:val="none" w:sz="0" w:space="0" w:color="auto"/>
            <w:bottom w:val="none" w:sz="0" w:space="0" w:color="auto"/>
            <w:right w:val="none" w:sz="0" w:space="0" w:color="auto"/>
          </w:divBdr>
        </w:div>
        <w:div w:id="1667635342">
          <w:marLeft w:val="0"/>
          <w:marRight w:val="0"/>
          <w:marTop w:val="0"/>
          <w:marBottom w:val="0"/>
          <w:divBdr>
            <w:top w:val="none" w:sz="0" w:space="0" w:color="auto"/>
            <w:left w:val="none" w:sz="0" w:space="0" w:color="auto"/>
            <w:bottom w:val="none" w:sz="0" w:space="0" w:color="auto"/>
            <w:right w:val="none" w:sz="0" w:space="0" w:color="auto"/>
          </w:divBdr>
        </w:div>
        <w:div w:id="1675380760">
          <w:marLeft w:val="0"/>
          <w:marRight w:val="0"/>
          <w:marTop w:val="0"/>
          <w:marBottom w:val="0"/>
          <w:divBdr>
            <w:top w:val="none" w:sz="0" w:space="0" w:color="auto"/>
            <w:left w:val="none" w:sz="0" w:space="0" w:color="auto"/>
            <w:bottom w:val="none" w:sz="0" w:space="0" w:color="auto"/>
            <w:right w:val="none" w:sz="0" w:space="0" w:color="auto"/>
          </w:divBdr>
        </w:div>
        <w:div w:id="1697539233">
          <w:marLeft w:val="0"/>
          <w:marRight w:val="0"/>
          <w:marTop w:val="0"/>
          <w:marBottom w:val="0"/>
          <w:divBdr>
            <w:top w:val="none" w:sz="0" w:space="0" w:color="auto"/>
            <w:left w:val="none" w:sz="0" w:space="0" w:color="auto"/>
            <w:bottom w:val="none" w:sz="0" w:space="0" w:color="auto"/>
            <w:right w:val="none" w:sz="0" w:space="0" w:color="auto"/>
          </w:divBdr>
        </w:div>
        <w:div w:id="1700162304">
          <w:marLeft w:val="0"/>
          <w:marRight w:val="0"/>
          <w:marTop w:val="0"/>
          <w:marBottom w:val="0"/>
          <w:divBdr>
            <w:top w:val="none" w:sz="0" w:space="0" w:color="auto"/>
            <w:left w:val="none" w:sz="0" w:space="0" w:color="auto"/>
            <w:bottom w:val="none" w:sz="0" w:space="0" w:color="auto"/>
            <w:right w:val="none" w:sz="0" w:space="0" w:color="auto"/>
          </w:divBdr>
        </w:div>
        <w:div w:id="1713843655">
          <w:marLeft w:val="0"/>
          <w:marRight w:val="0"/>
          <w:marTop w:val="0"/>
          <w:marBottom w:val="0"/>
          <w:divBdr>
            <w:top w:val="none" w:sz="0" w:space="0" w:color="auto"/>
            <w:left w:val="none" w:sz="0" w:space="0" w:color="auto"/>
            <w:bottom w:val="none" w:sz="0" w:space="0" w:color="auto"/>
            <w:right w:val="none" w:sz="0" w:space="0" w:color="auto"/>
          </w:divBdr>
        </w:div>
        <w:div w:id="1721635056">
          <w:marLeft w:val="0"/>
          <w:marRight w:val="0"/>
          <w:marTop w:val="0"/>
          <w:marBottom w:val="0"/>
          <w:divBdr>
            <w:top w:val="none" w:sz="0" w:space="0" w:color="auto"/>
            <w:left w:val="none" w:sz="0" w:space="0" w:color="auto"/>
            <w:bottom w:val="none" w:sz="0" w:space="0" w:color="auto"/>
            <w:right w:val="none" w:sz="0" w:space="0" w:color="auto"/>
          </w:divBdr>
        </w:div>
        <w:div w:id="1725636507">
          <w:marLeft w:val="0"/>
          <w:marRight w:val="0"/>
          <w:marTop w:val="0"/>
          <w:marBottom w:val="0"/>
          <w:divBdr>
            <w:top w:val="none" w:sz="0" w:space="0" w:color="auto"/>
            <w:left w:val="none" w:sz="0" w:space="0" w:color="auto"/>
            <w:bottom w:val="none" w:sz="0" w:space="0" w:color="auto"/>
            <w:right w:val="none" w:sz="0" w:space="0" w:color="auto"/>
          </w:divBdr>
        </w:div>
        <w:div w:id="1727801380">
          <w:marLeft w:val="0"/>
          <w:marRight w:val="0"/>
          <w:marTop w:val="0"/>
          <w:marBottom w:val="0"/>
          <w:divBdr>
            <w:top w:val="none" w:sz="0" w:space="0" w:color="auto"/>
            <w:left w:val="none" w:sz="0" w:space="0" w:color="auto"/>
            <w:bottom w:val="none" w:sz="0" w:space="0" w:color="auto"/>
            <w:right w:val="none" w:sz="0" w:space="0" w:color="auto"/>
          </w:divBdr>
        </w:div>
        <w:div w:id="1734236119">
          <w:marLeft w:val="0"/>
          <w:marRight w:val="0"/>
          <w:marTop w:val="0"/>
          <w:marBottom w:val="0"/>
          <w:divBdr>
            <w:top w:val="none" w:sz="0" w:space="0" w:color="auto"/>
            <w:left w:val="none" w:sz="0" w:space="0" w:color="auto"/>
            <w:bottom w:val="none" w:sz="0" w:space="0" w:color="auto"/>
            <w:right w:val="none" w:sz="0" w:space="0" w:color="auto"/>
          </w:divBdr>
        </w:div>
        <w:div w:id="1740711128">
          <w:marLeft w:val="0"/>
          <w:marRight w:val="0"/>
          <w:marTop w:val="0"/>
          <w:marBottom w:val="0"/>
          <w:divBdr>
            <w:top w:val="none" w:sz="0" w:space="0" w:color="auto"/>
            <w:left w:val="none" w:sz="0" w:space="0" w:color="auto"/>
            <w:bottom w:val="none" w:sz="0" w:space="0" w:color="auto"/>
            <w:right w:val="none" w:sz="0" w:space="0" w:color="auto"/>
          </w:divBdr>
        </w:div>
        <w:div w:id="1741324158">
          <w:marLeft w:val="0"/>
          <w:marRight w:val="0"/>
          <w:marTop w:val="0"/>
          <w:marBottom w:val="0"/>
          <w:divBdr>
            <w:top w:val="none" w:sz="0" w:space="0" w:color="auto"/>
            <w:left w:val="none" w:sz="0" w:space="0" w:color="auto"/>
            <w:bottom w:val="none" w:sz="0" w:space="0" w:color="auto"/>
            <w:right w:val="none" w:sz="0" w:space="0" w:color="auto"/>
          </w:divBdr>
        </w:div>
        <w:div w:id="1743337007">
          <w:marLeft w:val="0"/>
          <w:marRight w:val="0"/>
          <w:marTop w:val="0"/>
          <w:marBottom w:val="0"/>
          <w:divBdr>
            <w:top w:val="none" w:sz="0" w:space="0" w:color="auto"/>
            <w:left w:val="none" w:sz="0" w:space="0" w:color="auto"/>
            <w:bottom w:val="none" w:sz="0" w:space="0" w:color="auto"/>
            <w:right w:val="none" w:sz="0" w:space="0" w:color="auto"/>
          </w:divBdr>
        </w:div>
        <w:div w:id="1754426546">
          <w:marLeft w:val="0"/>
          <w:marRight w:val="0"/>
          <w:marTop w:val="0"/>
          <w:marBottom w:val="0"/>
          <w:divBdr>
            <w:top w:val="none" w:sz="0" w:space="0" w:color="auto"/>
            <w:left w:val="none" w:sz="0" w:space="0" w:color="auto"/>
            <w:bottom w:val="none" w:sz="0" w:space="0" w:color="auto"/>
            <w:right w:val="none" w:sz="0" w:space="0" w:color="auto"/>
          </w:divBdr>
        </w:div>
        <w:div w:id="1758093479">
          <w:marLeft w:val="0"/>
          <w:marRight w:val="0"/>
          <w:marTop w:val="0"/>
          <w:marBottom w:val="0"/>
          <w:divBdr>
            <w:top w:val="none" w:sz="0" w:space="0" w:color="auto"/>
            <w:left w:val="none" w:sz="0" w:space="0" w:color="auto"/>
            <w:bottom w:val="none" w:sz="0" w:space="0" w:color="auto"/>
            <w:right w:val="none" w:sz="0" w:space="0" w:color="auto"/>
          </w:divBdr>
        </w:div>
        <w:div w:id="1773432580">
          <w:marLeft w:val="0"/>
          <w:marRight w:val="0"/>
          <w:marTop w:val="0"/>
          <w:marBottom w:val="0"/>
          <w:divBdr>
            <w:top w:val="none" w:sz="0" w:space="0" w:color="auto"/>
            <w:left w:val="none" w:sz="0" w:space="0" w:color="auto"/>
            <w:bottom w:val="none" w:sz="0" w:space="0" w:color="auto"/>
            <w:right w:val="none" w:sz="0" w:space="0" w:color="auto"/>
          </w:divBdr>
        </w:div>
        <w:div w:id="1775205271">
          <w:marLeft w:val="0"/>
          <w:marRight w:val="0"/>
          <w:marTop w:val="0"/>
          <w:marBottom w:val="0"/>
          <w:divBdr>
            <w:top w:val="none" w:sz="0" w:space="0" w:color="auto"/>
            <w:left w:val="none" w:sz="0" w:space="0" w:color="auto"/>
            <w:bottom w:val="none" w:sz="0" w:space="0" w:color="auto"/>
            <w:right w:val="none" w:sz="0" w:space="0" w:color="auto"/>
          </w:divBdr>
        </w:div>
        <w:div w:id="1776904576">
          <w:marLeft w:val="0"/>
          <w:marRight w:val="0"/>
          <w:marTop w:val="0"/>
          <w:marBottom w:val="0"/>
          <w:divBdr>
            <w:top w:val="none" w:sz="0" w:space="0" w:color="auto"/>
            <w:left w:val="none" w:sz="0" w:space="0" w:color="auto"/>
            <w:bottom w:val="none" w:sz="0" w:space="0" w:color="auto"/>
            <w:right w:val="none" w:sz="0" w:space="0" w:color="auto"/>
          </w:divBdr>
        </w:div>
        <w:div w:id="1784232151">
          <w:marLeft w:val="0"/>
          <w:marRight w:val="0"/>
          <w:marTop w:val="0"/>
          <w:marBottom w:val="0"/>
          <w:divBdr>
            <w:top w:val="none" w:sz="0" w:space="0" w:color="auto"/>
            <w:left w:val="none" w:sz="0" w:space="0" w:color="auto"/>
            <w:bottom w:val="none" w:sz="0" w:space="0" w:color="auto"/>
            <w:right w:val="none" w:sz="0" w:space="0" w:color="auto"/>
          </w:divBdr>
        </w:div>
        <w:div w:id="1784761790">
          <w:marLeft w:val="0"/>
          <w:marRight w:val="0"/>
          <w:marTop w:val="0"/>
          <w:marBottom w:val="0"/>
          <w:divBdr>
            <w:top w:val="none" w:sz="0" w:space="0" w:color="auto"/>
            <w:left w:val="none" w:sz="0" w:space="0" w:color="auto"/>
            <w:bottom w:val="none" w:sz="0" w:space="0" w:color="auto"/>
            <w:right w:val="none" w:sz="0" w:space="0" w:color="auto"/>
          </w:divBdr>
        </w:div>
        <w:div w:id="1784768233">
          <w:marLeft w:val="0"/>
          <w:marRight w:val="0"/>
          <w:marTop w:val="0"/>
          <w:marBottom w:val="0"/>
          <w:divBdr>
            <w:top w:val="none" w:sz="0" w:space="0" w:color="auto"/>
            <w:left w:val="none" w:sz="0" w:space="0" w:color="auto"/>
            <w:bottom w:val="none" w:sz="0" w:space="0" w:color="auto"/>
            <w:right w:val="none" w:sz="0" w:space="0" w:color="auto"/>
          </w:divBdr>
        </w:div>
        <w:div w:id="1790784021">
          <w:marLeft w:val="0"/>
          <w:marRight w:val="0"/>
          <w:marTop w:val="0"/>
          <w:marBottom w:val="0"/>
          <w:divBdr>
            <w:top w:val="none" w:sz="0" w:space="0" w:color="auto"/>
            <w:left w:val="none" w:sz="0" w:space="0" w:color="auto"/>
            <w:bottom w:val="none" w:sz="0" w:space="0" w:color="auto"/>
            <w:right w:val="none" w:sz="0" w:space="0" w:color="auto"/>
          </w:divBdr>
        </w:div>
        <w:div w:id="1813475539">
          <w:marLeft w:val="0"/>
          <w:marRight w:val="0"/>
          <w:marTop w:val="0"/>
          <w:marBottom w:val="0"/>
          <w:divBdr>
            <w:top w:val="none" w:sz="0" w:space="0" w:color="auto"/>
            <w:left w:val="none" w:sz="0" w:space="0" w:color="auto"/>
            <w:bottom w:val="none" w:sz="0" w:space="0" w:color="auto"/>
            <w:right w:val="none" w:sz="0" w:space="0" w:color="auto"/>
          </w:divBdr>
        </w:div>
        <w:div w:id="1823815188">
          <w:marLeft w:val="0"/>
          <w:marRight w:val="0"/>
          <w:marTop w:val="0"/>
          <w:marBottom w:val="0"/>
          <w:divBdr>
            <w:top w:val="none" w:sz="0" w:space="0" w:color="auto"/>
            <w:left w:val="none" w:sz="0" w:space="0" w:color="auto"/>
            <w:bottom w:val="none" w:sz="0" w:space="0" w:color="auto"/>
            <w:right w:val="none" w:sz="0" w:space="0" w:color="auto"/>
          </w:divBdr>
        </w:div>
        <w:div w:id="1830486939">
          <w:marLeft w:val="0"/>
          <w:marRight w:val="0"/>
          <w:marTop w:val="0"/>
          <w:marBottom w:val="0"/>
          <w:divBdr>
            <w:top w:val="none" w:sz="0" w:space="0" w:color="auto"/>
            <w:left w:val="none" w:sz="0" w:space="0" w:color="auto"/>
            <w:bottom w:val="none" w:sz="0" w:space="0" w:color="auto"/>
            <w:right w:val="none" w:sz="0" w:space="0" w:color="auto"/>
          </w:divBdr>
        </w:div>
        <w:div w:id="1837916833">
          <w:marLeft w:val="0"/>
          <w:marRight w:val="0"/>
          <w:marTop w:val="0"/>
          <w:marBottom w:val="0"/>
          <w:divBdr>
            <w:top w:val="none" w:sz="0" w:space="0" w:color="auto"/>
            <w:left w:val="none" w:sz="0" w:space="0" w:color="auto"/>
            <w:bottom w:val="none" w:sz="0" w:space="0" w:color="auto"/>
            <w:right w:val="none" w:sz="0" w:space="0" w:color="auto"/>
          </w:divBdr>
        </w:div>
        <w:div w:id="1839037478">
          <w:marLeft w:val="0"/>
          <w:marRight w:val="0"/>
          <w:marTop w:val="0"/>
          <w:marBottom w:val="0"/>
          <w:divBdr>
            <w:top w:val="none" w:sz="0" w:space="0" w:color="auto"/>
            <w:left w:val="none" w:sz="0" w:space="0" w:color="auto"/>
            <w:bottom w:val="none" w:sz="0" w:space="0" w:color="auto"/>
            <w:right w:val="none" w:sz="0" w:space="0" w:color="auto"/>
          </w:divBdr>
        </w:div>
        <w:div w:id="1841047117">
          <w:marLeft w:val="0"/>
          <w:marRight w:val="0"/>
          <w:marTop w:val="0"/>
          <w:marBottom w:val="0"/>
          <w:divBdr>
            <w:top w:val="none" w:sz="0" w:space="0" w:color="auto"/>
            <w:left w:val="none" w:sz="0" w:space="0" w:color="auto"/>
            <w:bottom w:val="none" w:sz="0" w:space="0" w:color="auto"/>
            <w:right w:val="none" w:sz="0" w:space="0" w:color="auto"/>
          </w:divBdr>
        </w:div>
        <w:div w:id="1863008446">
          <w:marLeft w:val="0"/>
          <w:marRight w:val="0"/>
          <w:marTop w:val="0"/>
          <w:marBottom w:val="0"/>
          <w:divBdr>
            <w:top w:val="none" w:sz="0" w:space="0" w:color="auto"/>
            <w:left w:val="none" w:sz="0" w:space="0" w:color="auto"/>
            <w:bottom w:val="none" w:sz="0" w:space="0" w:color="auto"/>
            <w:right w:val="none" w:sz="0" w:space="0" w:color="auto"/>
          </w:divBdr>
        </w:div>
        <w:div w:id="1867981130">
          <w:marLeft w:val="0"/>
          <w:marRight w:val="0"/>
          <w:marTop w:val="0"/>
          <w:marBottom w:val="0"/>
          <w:divBdr>
            <w:top w:val="none" w:sz="0" w:space="0" w:color="auto"/>
            <w:left w:val="none" w:sz="0" w:space="0" w:color="auto"/>
            <w:bottom w:val="none" w:sz="0" w:space="0" w:color="auto"/>
            <w:right w:val="none" w:sz="0" w:space="0" w:color="auto"/>
          </w:divBdr>
        </w:div>
        <w:div w:id="1872722061">
          <w:marLeft w:val="0"/>
          <w:marRight w:val="0"/>
          <w:marTop w:val="0"/>
          <w:marBottom w:val="0"/>
          <w:divBdr>
            <w:top w:val="none" w:sz="0" w:space="0" w:color="auto"/>
            <w:left w:val="none" w:sz="0" w:space="0" w:color="auto"/>
            <w:bottom w:val="none" w:sz="0" w:space="0" w:color="auto"/>
            <w:right w:val="none" w:sz="0" w:space="0" w:color="auto"/>
          </w:divBdr>
        </w:div>
        <w:div w:id="1874228761">
          <w:marLeft w:val="0"/>
          <w:marRight w:val="0"/>
          <w:marTop w:val="0"/>
          <w:marBottom w:val="0"/>
          <w:divBdr>
            <w:top w:val="none" w:sz="0" w:space="0" w:color="auto"/>
            <w:left w:val="none" w:sz="0" w:space="0" w:color="auto"/>
            <w:bottom w:val="none" w:sz="0" w:space="0" w:color="auto"/>
            <w:right w:val="none" w:sz="0" w:space="0" w:color="auto"/>
          </w:divBdr>
        </w:div>
        <w:div w:id="1875342122">
          <w:marLeft w:val="0"/>
          <w:marRight w:val="0"/>
          <w:marTop w:val="0"/>
          <w:marBottom w:val="0"/>
          <w:divBdr>
            <w:top w:val="none" w:sz="0" w:space="0" w:color="auto"/>
            <w:left w:val="none" w:sz="0" w:space="0" w:color="auto"/>
            <w:bottom w:val="none" w:sz="0" w:space="0" w:color="auto"/>
            <w:right w:val="none" w:sz="0" w:space="0" w:color="auto"/>
          </w:divBdr>
        </w:div>
        <w:div w:id="1880167218">
          <w:marLeft w:val="0"/>
          <w:marRight w:val="0"/>
          <w:marTop w:val="0"/>
          <w:marBottom w:val="0"/>
          <w:divBdr>
            <w:top w:val="none" w:sz="0" w:space="0" w:color="auto"/>
            <w:left w:val="none" w:sz="0" w:space="0" w:color="auto"/>
            <w:bottom w:val="none" w:sz="0" w:space="0" w:color="auto"/>
            <w:right w:val="none" w:sz="0" w:space="0" w:color="auto"/>
          </w:divBdr>
        </w:div>
        <w:div w:id="1881474776">
          <w:marLeft w:val="0"/>
          <w:marRight w:val="0"/>
          <w:marTop w:val="0"/>
          <w:marBottom w:val="0"/>
          <w:divBdr>
            <w:top w:val="none" w:sz="0" w:space="0" w:color="auto"/>
            <w:left w:val="none" w:sz="0" w:space="0" w:color="auto"/>
            <w:bottom w:val="none" w:sz="0" w:space="0" w:color="auto"/>
            <w:right w:val="none" w:sz="0" w:space="0" w:color="auto"/>
          </w:divBdr>
        </w:div>
        <w:div w:id="1886214180">
          <w:marLeft w:val="0"/>
          <w:marRight w:val="0"/>
          <w:marTop w:val="0"/>
          <w:marBottom w:val="0"/>
          <w:divBdr>
            <w:top w:val="none" w:sz="0" w:space="0" w:color="auto"/>
            <w:left w:val="none" w:sz="0" w:space="0" w:color="auto"/>
            <w:bottom w:val="none" w:sz="0" w:space="0" w:color="auto"/>
            <w:right w:val="none" w:sz="0" w:space="0" w:color="auto"/>
          </w:divBdr>
        </w:div>
        <w:div w:id="1889680972">
          <w:marLeft w:val="0"/>
          <w:marRight w:val="0"/>
          <w:marTop w:val="0"/>
          <w:marBottom w:val="0"/>
          <w:divBdr>
            <w:top w:val="none" w:sz="0" w:space="0" w:color="auto"/>
            <w:left w:val="none" w:sz="0" w:space="0" w:color="auto"/>
            <w:bottom w:val="none" w:sz="0" w:space="0" w:color="auto"/>
            <w:right w:val="none" w:sz="0" w:space="0" w:color="auto"/>
          </w:divBdr>
        </w:div>
        <w:div w:id="1895970591">
          <w:marLeft w:val="0"/>
          <w:marRight w:val="0"/>
          <w:marTop w:val="0"/>
          <w:marBottom w:val="0"/>
          <w:divBdr>
            <w:top w:val="none" w:sz="0" w:space="0" w:color="auto"/>
            <w:left w:val="none" w:sz="0" w:space="0" w:color="auto"/>
            <w:bottom w:val="none" w:sz="0" w:space="0" w:color="auto"/>
            <w:right w:val="none" w:sz="0" w:space="0" w:color="auto"/>
          </w:divBdr>
        </w:div>
        <w:div w:id="1900509608">
          <w:marLeft w:val="0"/>
          <w:marRight w:val="0"/>
          <w:marTop w:val="0"/>
          <w:marBottom w:val="0"/>
          <w:divBdr>
            <w:top w:val="none" w:sz="0" w:space="0" w:color="auto"/>
            <w:left w:val="none" w:sz="0" w:space="0" w:color="auto"/>
            <w:bottom w:val="none" w:sz="0" w:space="0" w:color="auto"/>
            <w:right w:val="none" w:sz="0" w:space="0" w:color="auto"/>
          </w:divBdr>
        </w:div>
        <w:div w:id="1902520999">
          <w:marLeft w:val="0"/>
          <w:marRight w:val="0"/>
          <w:marTop w:val="0"/>
          <w:marBottom w:val="0"/>
          <w:divBdr>
            <w:top w:val="none" w:sz="0" w:space="0" w:color="auto"/>
            <w:left w:val="none" w:sz="0" w:space="0" w:color="auto"/>
            <w:bottom w:val="none" w:sz="0" w:space="0" w:color="auto"/>
            <w:right w:val="none" w:sz="0" w:space="0" w:color="auto"/>
          </w:divBdr>
        </w:div>
        <w:div w:id="1908227614">
          <w:marLeft w:val="0"/>
          <w:marRight w:val="0"/>
          <w:marTop w:val="0"/>
          <w:marBottom w:val="0"/>
          <w:divBdr>
            <w:top w:val="none" w:sz="0" w:space="0" w:color="auto"/>
            <w:left w:val="none" w:sz="0" w:space="0" w:color="auto"/>
            <w:bottom w:val="none" w:sz="0" w:space="0" w:color="auto"/>
            <w:right w:val="none" w:sz="0" w:space="0" w:color="auto"/>
          </w:divBdr>
        </w:div>
        <w:div w:id="1922106665">
          <w:marLeft w:val="0"/>
          <w:marRight w:val="0"/>
          <w:marTop w:val="0"/>
          <w:marBottom w:val="0"/>
          <w:divBdr>
            <w:top w:val="none" w:sz="0" w:space="0" w:color="auto"/>
            <w:left w:val="none" w:sz="0" w:space="0" w:color="auto"/>
            <w:bottom w:val="none" w:sz="0" w:space="0" w:color="auto"/>
            <w:right w:val="none" w:sz="0" w:space="0" w:color="auto"/>
          </w:divBdr>
        </w:div>
        <w:div w:id="1926379423">
          <w:marLeft w:val="0"/>
          <w:marRight w:val="0"/>
          <w:marTop w:val="0"/>
          <w:marBottom w:val="0"/>
          <w:divBdr>
            <w:top w:val="none" w:sz="0" w:space="0" w:color="auto"/>
            <w:left w:val="none" w:sz="0" w:space="0" w:color="auto"/>
            <w:bottom w:val="none" w:sz="0" w:space="0" w:color="auto"/>
            <w:right w:val="none" w:sz="0" w:space="0" w:color="auto"/>
          </w:divBdr>
        </w:div>
        <w:div w:id="1939101184">
          <w:marLeft w:val="0"/>
          <w:marRight w:val="0"/>
          <w:marTop w:val="0"/>
          <w:marBottom w:val="0"/>
          <w:divBdr>
            <w:top w:val="none" w:sz="0" w:space="0" w:color="auto"/>
            <w:left w:val="none" w:sz="0" w:space="0" w:color="auto"/>
            <w:bottom w:val="none" w:sz="0" w:space="0" w:color="auto"/>
            <w:right w:val="none" w:sz="0" w:space="0" w:color="auto"/>
          </w:divBdr>
        </w:div>
        <w:div w:id="1940287865">
          <w:marLeft w:val="0"/>
          <w:marRight w:val="0"/>
          <w:marTop w:val="0"/>
          <w:marBottom w:val="0"/>
          <w:divBdr>
            <w:top w:val="none" w:sz="0" w:space="0" w:color="auto"/>
            <w:left w:val="none" w:sz="0" w:space="0" w:color="auto"/>
            <w:bottom w:val="none" w:sz="0" w:space="0" w:color="auto"/>
            <w:right w:val="none" w:sz="0" w:space="0" w:color="auto"/>
          </w:divBdr>
        </w:div>
        <w:div w:id="1940915722">
          <w:marLeft w:val="0"/>
          <w:marRight w:val="0"/>
          <w:marTop w:val="0"/>
          <w:marBottom w:val="0"/>
          <w:divBdr>
            <w:top w:val="none" w:sz="0" w:space="0" w:color="auto"/>
            <w:left w:val="none" w:sz="0" w:space="0" w:color="auto"/>
            <w:bottom w:val="none" w:sz="0" w:space="0" w:color="auto"/>
            <w:right w:val="none" w:sz="0" w:space="0" w:color="auto"/>
          </w:divBdr>
        </w:div>
        <w:div w:id="1949920475">
          <w:marLeft w:val="0"/>
          <w:marRight w:val="0"/>
          <w:marTop w:val="0"/>
          <w:marBottom w:val="0"/>
          <w:divBdr>
            <w:top w:val="none" w:sz="0" w:space="0" w:color="auto"/>
            <w:left w:val="none" w:sz="0" w:space="0" w:color="auto"/>
            <w:bottom w:val="none" w:sz="0" w:space="0" w:color="auto"/>
            <w:right w:val="none" w:sz="0" w:space="0" w:color="auto"/>
          </w:divBdr>
        </w:div>
        <w:div w:id="1955549366">
          <w:marLeft w:val="0"/>
          <w:marRight w:val="0"/>
          <w:marTop w:val="0"/>
          <w:marBottom w:val="0"/>
          <w:divBdr>
            <w:top w:val="none" w:sz="0" w:space="0" w:color="auto"/>
            <w:left w:val="none" w:sz="0" w:space="0" w:color="auto"/>
            <w:bottom w:val="none" w:sz="0" w:space="0" w:color="auto"/>
            <w:right w:val="none" w:sz="0" w:space="0" w:color="auto"/>
          </w:divBdr>
        </w:div>
        <w:div w:id="1969236000">
          <w:marLeft w:val="0"/>
          <w:marRight w:val="0"/>
          <w:marTop w:val="0"/>
          <w:marBottom w:val="0"/>
          <w:divBdr>
            <w:top w:val="none" w:sz="0" w:space="0" w:color="auto"/>
            <w:left w:val="none" w:sz="0" w:space="0" w:color="auto"/>
            <w:bottom w:val="none" w:sz="0" w:space="0" w:color="auto"/>
            <w:right w:val="none" w:sz="0" w:space="0" w:color="auto"/>
          </w:divBdr>
        </w:div>
        <w:div w:id="1973555416">
          <w:marLeft w:val="0"/>
          <w:marRight w:val="0"/>
          <w:marTop w:val="0"/>
          <w:marBottom w:val="0"/>
          <w:divBdr>
            <w:top w:val="none" w:sz="0" w:space="0" w:color="auto"/>
            <w:left w:val="none" w:sz="0" w:space="0" w:color="auto"/>
            <w:bottom w:val="none" w:sz="0" w:space="0" w:color="auto"/>
            <w:right w:val="none" w:sz="0" w:space="0" w:color="auto"/>
          </w:divBdr>
        </w:div>
        <w:div w:id="1975213639">
          <w:marLeft w:val="0"/>
          <w:marRight w:val="0"/>
          <w:marTop w:val="0"/>
          <w:marBottom w:val="0"/>
          <w:divBdr>
            <w:top w:val="none" w:sz="0" w:space="0" w:color="auto"/>
            <w:left w:val="none" w:sz="0" w:space="0" w:color="auto"/>
            <w:bottom w:val="none" w:sz="0" w:space="0" w:color="auto"/>
            <w:right w:val="none" w:sz="0" w:space="0" w:color="auto"/>
          </w:divBdr>
        </w:div>
        <w:div w:id="1978103134">
          <w:marLeft w:val="0"/>
          <w:marRight w:val="0"/>
          <w:marTop w:val="0"/>
          <w:marBottom w:val="0"/>
          <w:divBdr>
            <w:top w:val="none" w:sz="0" w:space="0" w:color="auto"/>
            <w:left w:val="none" w:sz="0" w:space="0" w:color="auto"/>
            <w:bottom w:val="none" w:sz="0" w:space="0" w:color="auto"/>
            <w:right w:val="none" w:sz="0" w:space="0" w:color="auto"/>
          </w:divBdr>
        </w:div>
        <w:div w:id="1978139609">
          <w:marLeft w:val="0"/>
          <w:marRight w:val="0"/>
          <w:marTop w:val="0"/>
          <w:marBottom w:val="0"/>
          <w:divBdr>
            <w:top w:val="none" w:sz="0" w:space="0" w:color="auto"/>
            <w:left w:val="none" w:sz="0" w:space="0" w:color="auto"/>
            <w:bottom w:val="none" w:sz="0" w:space="0" w:color="auto"/>
            <w:right w:val="none" w:sz="0" w:space="0" w:color="auto"/>
          </w:divBdr>
        </w:div>
        <w:div w:id="1985695381">
          <w:marLeft w:val="0"/>
          <w:marRight w:val="0"/>
          <w:marTop w:val="0"/>
          <w:marBottom w:val="0"/>
          <w:divBdr>
            <w:top w:val="none" w:sz="0" w:space="0" w:color="auto"/>
            <w:left w:val="none" w:sz="0" w:space="0" w:color="auto"/>
            <w:bottom w:val="none" w:sz="0" w:space="0" w:color="auto"/>
            <w:right w:val="none" w:sz="0" w:space="0" w:color="auto"/>
          </w:divBdr>
        </w:div>
        <w:div w:id="1988362355">
          <w:marLeft w:val="0"/>
          <w:marRight w:val="0"/>
          <w:marTop w:val="0"/>
          <w:marBottom w:val="0"/>
          <w:divBdr>
            <w:top w:val="none" w:sz="0" w:space="0" w:color="auto"/>
            <w:left w:val="none" w:sz="0" w:space="0" w:color="auto"/>
            <w:bottom w:val="none" w:sz="0" w:space="0" w:color="auto"/>
            <w:right w:val="none" w:sz="0" w:space="0" w:color="auto"/>
          </w:divBdr>
        </w:div>
        <w:div w:id="2006472992">
          <w:marLeft w:val="0"/>
          <w:marRight w:val="0"/>
          <w:marTop w:val="0"/>
          <w:marBottom w:val="0"/>
          <w:divBdr>
            <w:top w:val="none" w:sz="0" w:space="0" w:color="auto"/>
            <w:left w:val="none" w:sz="0" w:space="0" w:color="auto"/>
            <w:bottom w:val="none" w:sz="0" w:space="0" w:color="auto"/>
            <w:right w:val="none" w:sz="0" w:space="0" w:color="auto"/>
          </w:divBdr>
        </w:div>
        <w:div w:id="2010601516">
          <w:marLeft w:val="0"/>
          <w:marRight w:val="0"/>
          <w:marTop w:val="0"/>
          <w:marBottom w:val="0"/>
          <w:divBdr>
            <w:top w:val="none" w:sz="0" w:space="0" w:color="auto"/>
            <w:left w:val="none" w:sz="0" w:space="0" w:color="auto"/>
            <w:bottom w:val="none" w:sz="0" w:space="0" w:color="auto"/>
            <w:right w:val="none" w:sz="0" w:space="0" w:color="auto"/>
          </w:divBdr>
        </w:div>
        <w:div w:id="2023587650">
          <w:marLeft w:val="0"/>
          <w:marRight w:val="0"/>
          <w:marTop w:val="0"/>
          <w:marBottom w:val="0"/>
          <w:divBdr>
            <w:top w:val="none" w:sz="0" w:space="0" w:color="auto"/>
            <w:left w:val="none" w:sz="0" w:space="0" w:color="auto"/>
            <w:bottom w:val="none" w:sz="0" w:space="0" w:color="auto"/>
            <w:right w:val="none" w:sz="0" w:space="0" w:color="auto"/>
          </w:divBdr>
        </w:div>
        <w:div w:id="2031762793">
          <w:marLeft w:val="0"/>
          <w:marRight w:val="0"/>
          <w:marTop w:val="0"/>
          <w:marBottom w:val="0"/>
          <w:divBdr>
            <w:top w:val="none" w:sz="0" w:space="0" w:color="auto"/>
            <w:left w:val="none" w:sz="0" w:space="0" w:color="auto"/>
            <w:bottom w:val="none" w:sz="0" w:space="0" w:color="auto"/>
            <w:right w:val="none" w:sz="0" w:space="0" w:color="auto"/>
          </w:divBdr>
        </w:div>
        <w:div w:id="2032609588">
          <w:marLeft w:val="0"/>
          <w:marRight w:val="0"/>
          <w:marTop w:val="0"/>
          <w:marBottom w:val="0"/>
          <w:divBdr>
            <w:top w:val="none" w:sz="0" w:space="0" w:color="auto"/>
            <w:left w:val="none" w:sz="0" w:space="0" w:color="auto"/>
            <w:bottom w:val="none" w:sz="0" w:space="0" w:color="auto"/>
            <w:right w:val="none" w:sz="0" w:space="0" w:color="auto"/>
          </w:divBdr>
        </w:div>
        <w:div w:id="2033651565">
          <w:marLeft w:val="0"/>
          <w:marRight w:val="0"/>
          <w:marTop w:val="0"/>
          <w:marBottom w:val="0"/>
          <w:divBdr>
            <w:top w:val="none" w:sz="0" w:space="0" w:color="auto"/>
            <w:left w:val="none" w:sz="0" w:space="0" w:color="auto"/>
            <w:bottom w:val="none" w:sz="0" w:space="0" w:color="auto"/>
            <w:right w:val="none" w:sz="0" w:space="0" w:color="auto"/>
          </w:divBdr>
        </w:div>
        <w:div w:id="2036925869">
          <w:marLeft w:val="0"/>
          <w:marRight w:val="0"/>
          <w:marTop w:val="0"/>
          <w:marBottom w:val="0"/>
          <w:divBdr>
            <w:top w:val="none" w:sz="0" w:space="0" w:color="auto"/>
            <w:left w:val="none" w:sz="0" w:space="0" w:color="auto"/>
            <w:bottom w:val="none" w:sz="0" w:space="0" w:color="auto"/>
            <w:right w:val="none" w:sz="0" w:space="0" w:color="auto"/>
          </w:divBdr>
        </w:div>
        <w:div w:id="2047021462">
          <w:marLeft w:val="0"/>
          <w:marRight w:val="0"/>
          <w:marTop w:val="0"/>
          <w:marBottom w:val="0"/>
          <w:divBdr>
            <w:top w:val="none" w:sz="0" w:space="0" w:color="auto"/>
            <w:left w:val="none" w:sz="0" w:space="0" w:color="auto"/>
            <w:bottom w:val="none" w:sz="0" w:space="0" w:color="auto"/>
            <w:right w:val="none" w:sz="0" w:space="0" w:color="auto"/>
          </w:divBdr>
        </w:div>
        <w:div w:id="2048330378">
          <w:marLeft w:val="0"/>
          <w:marRight w:val="0"/>
          <w:marTop w:val="0"/>
          <w:marBottom w:val="0"/>
          <w:divBdr>
            <w:top w:val="none" w:sz="0" w:space="0" w:color="auto"/>
            <w:left w:val="none" w:sz="0" w:space="0" w:color="auto"/>
            <w:bottom w:val="none" w:sz="0" w:space="0" w:color="auto"/>
            <w:right w:val="none" w:sz="0" w:space="0" w:color="auto"/>
          </w:divBdr>
        </w:div>
        <w:div w:id="2049136148">
          <w:marLeft w:val="0"/>
          <w:marRight w:val="0"/>
          <w:marTop w:val="0"/>
          <w:marBottom w:val="0"/>
          <w:divBdr>
            <w:top w:val="none" w:sz="0" w:space="0" w:color="auto"/>
            <w:left w:val="none" w:sz="0" w:space="0" w:color="auto"/>
            <w:bottom w:val="none" w:sz="0" w:space="0" w:color="auto"/>
            <w:right w:val="none" w:sz="0" w:space="0" w:color="auto"/>
          </w:divBdr>
        </w:div>
        <w:div w:id="2051681864">
          <w:marLeft w:val="0"/>
          <w:marRight w:val="0"/>
          <w:marTop w:val="0"/>
          <w:marBottom w:val="0"/>
          <w:divBdr>
            <w:top w:val="none" w:sz="0" w:space="0" w:color="auto"/>
            <w:left w:val="none" w:sz="0" w:space="0" w:color="auto"/>
            <w:bottom w:val="none" w:sz="0" w:space="0" w:color="auto"/>
            <w:right w:val="none" w:sz="0" w:space="0" w:color="auto"/>
          </w:divBdr>
        </w:div>
        <w:div w:id="2053454318">
          <w:marLeft w:val="0"/>
          <w:marRight w:val="0"/>
          <w:marTop w:val="0"/>
          <w:marBottom w:val="0"/>
          <w:divBdr>
            <w:top w:val="none" w:sz="0" w:space="0" w:color="auto"/>
            <w:left w:val="none" w:sz="0" w:space="0" w:color="auto"/>
            <w:bottom w:val="none" w:sz="0" w:space="0" w:color="auto"/>
            <w:right w:val="none" w:sz="0" w:space="0" w:color="auto"/>
          </w:divBdr>
        </w:div>
        <w:div w:id="2060779710">
          <w:marLeft w:val="0"/>
          <w:marRight w:val="0"/>
          <w:marTop w:val="0"/>
          <w:marBottom w:val="0"/>
          <w:divBdr>
            <w:top w:val="none" w:sz="0" w:space="0" w:color="auto"/>
            <w:left w:val="none" w:sz="0" w:space="0" w:color="auto"/>
            <w:bottom w:val="none" w:sz="0" w:space="0" w:color="auto"/>
            <w:right w:val="none" w:sz="0" w:space="0" w:color="auto"/>
          </w:divBdr>
        </w:div>
        <w:div w:id="2063749425">
          <w:marLeft w:val="0"/>
          <w:marRight w:val="0"/>
          <w:marTop w:val="0"/>
          <w:marBottom w:val="0"/>
          <w:divBdr>
            <w:top w:val="none" w:sz="0" w:space="0" w:color="auto"/>
            <w:left w:val="none" w:sz="0" w:space="0" w:color="auto"/>
            <w:bottom w:val="none" w:sz="0" w:space="0" w:color="auto"/>
            <w:right w:val="none" w:sz="0" w:space="0" w:color="auto"/>
          </w:divBdr>
        </w:div>
        <w:div w:id="2086612356">
          <w:marLeft w:val="0"/>
          <w:marRight w:val="0"/>
          <w:marTop w:val="0"/>
          <w:marBottom w:val="0"/>
          <w:divBdr>
            <w:top w:val="none" w:sz="0" w:space="0" w:color="auto"/>
            <w:left w:val="none" w:sz="0" w:space="0" w:color="auto"/>
            <w:bottom w:val="none" w:sz="0" w:space="0" w:color="auto"/>
            <w:right w:val="none" w:sz="0" w:space="0" w:color="auto"/>
          </w:divBdr>
        </w:div>
        <w:div w:id="2088960174">
          <w:marLeft w:val="0"/>
          <w:marRight w:val="0"/>
          <w:marTop w:val="0"/>
          <w:marBottom w:val="0"/>
          <w:divBdr>
            <w:top w:val="none" w:sz="0" w:space="0" w:color="auto"/>
            <w:left w:val="none" w:sz="0" w:space="0" w:color="auto"/>
            <w:bottom w:val="none" w:sz="0" w:space="0" w:color="auto"/>
            <w:right w:val="none" w:sz="0" w:space="0" w:color="auto"/>
          </w:divBdr>
        </w:div>
        <w:div w:id="2089382203">
          <w:marLeft w:val="0"/>
          <w:marRight w:val="0"/>
          <w:marTop w:val="0"/>
          <w:marBottom w:val="0"/>
          <w:divBdr>
            <w:top w:val="none" w:sz="0" w:space="0" w:color="auto"/>
            <w:left w:val="none" w:sz="0" w:space="0" w:color="auto"/>
            <w:bottom w:val="none" w:sz="0" w:space="0" w:color="auto"/>
            <w:right w:val="none" w:sz="0" w:space="0" w:color="auto"/>
          </w:divBdr>
        </w:div>
        <w:div w:id="2106069542">
          <w:marLeft w:val="0"/>
          <w:marRight w:val="0"/>
          <w:marTop w:val="0"/>
          <w:marBottom w:val="0"/>
          <w:divBdr>
            <w:top w:val="none" w:sz="0" w:space="0" w:color="auto"/>
            <w:left w:val="none" w:sz="0" w:space="0" w:color="auto"/>
            <w:bottom w:val="none" w:sz="0" w:space="0" w:color="auto"/>
            <w:right w:val="none" w:sz="0" w:space="0" w:color="auto"/>
          </w:divBdr>
        </w:div>
        <w:div w:id="2115124950">
          <w:marLeft w:val="0"/>
          <w:marRight w:val="0"/>
          <w:marTop w:val="0"/>
          <w:marBottom w:val="0"/>
          <w:divBdr>
            <w:top w:val="none" w:sz="0" w:space="0" w:color="auto"/>
            <w:left w:val="none" w:sz="0" w:space="0" w:color="auto"/>
            <w:bottom w:val="none" w:sz="0" w:space="0" w:color="auto"/>
            <w:right w:val="none" w:sz="0" w:space="0" w:color="auto"/>
          </w:divBdr>
        </w:div>
        <w:div w:id="2118208073">
          <w:marLeft w:val="0"/>
          <w:marRight w:val="0"/>
          <w:marTop w:val="0"/>
          <w:marBottom w:val="0"/>
          <w:divBdr>
            <w:top w:val="none" w:sz="0" w:space="0" w:color="auto"/>
            <w:left w:val="none" w:sz="0" w:space="0" w:color="auto"/>
            <w:bottom w:val="none" w:sz="0" w:space="0" w:color="auto"/>
            <w:right w:val="none" w:sz="0" w:space="0" w:color="auto"/>
          </w:divBdr>
        </w:div>
        <w:div w:id="2122140360">
          <w:marLeft w:val="0"/>
          <w:marRight w:val="0"/>
          <w:marTop w:val="0"/>
          <w:marBottom w:val="0"/>
          <w:divBdr>
            <w:top w:val="none" w:sz="0" w:space="0" w:color="auto"/>
            <w:left w:val="none" w:sz="0" w:space="0" w:color="auto"/>
            <w:bottom w:val="none" w:sz="0" w:space="0" w:color="auto"/>
            <w:right w:val="none" w:sz="0" w:space="0" w:color="auto"/>
          </w:divBdr>
        </w:div>
        <w:div w:id="2123958288">
          <w:marLeft w:val="0"/>
          <w:marRight w:val="0"/>
          <w:marTop w:val="0"/>
          <w:marBottom w:val="0"/>
          <w:divBdr>
            <w:top w:val="none" w:sz="0" w:space="0" w:color="auto"/>
            <w:left w:val="none" w:sz="0" w:space="0" w:color="auto"/>
            <w:bottom w:val="none" w:sz="0" w:space="0" w:color="auto"/>
            <w:right w:val="none" w:sz="0" w:space="0" w:color="auto"/>
          </w:divBdr>
        </w:div>
        <w:div w:id="2132674619">
          <w:marLeft w:val="0"/>
          <w:marRight w:val="0"/>
          <w:marTop w:val="0"/>
          <w:marBottom w:val="0"/>
          <w:divBdr>
            <w:top w:val="none" w:sz="0" w:space="0" w:color="auto"/>
            <w:left w:val="none" w:sz="0" w:space="0" w:color="auto"/>
            <w:bottom w:val="none" w:sz="0" w:space="0" w:color="auto"/>
            <w:right w:val="none" w:sz="0" w:space="0" w:color="auto"/>
          </w:divBdr>
        </w:div>
        <w:div w:id="2133673710">
          <w:marLeft w:val="0"/>
          <w:marRight w:val="0"/>
          <w:marTop w:val="0"/>
          <w:marBottom w:val="0"/>
          <w:divBdr>
            <w:top w:val="none" w:sz="0" w:space="0" w:color="auto"/>
            <w:left w:val="none" w:sz="0" w:space="0" w:color="auto"/>
            <w:bottom w:val="none" w:sz="0" w:space="0" w:color="auto"/>
            <w:right w:val="none" w:sz="0" w:space="0" w:color="auto"/>
          </w:divBdr>
        </w:div>
        <w:div w:id="2141611622">
          <w:marLeft w:val="0"/>
          <w:marRight w:val="0"/>
          <w:marTop w:val="0"/>
          <w:marBottom w:val="0"/>
          <w:divBdr>
            <w:top w:val="none" w:sz="0" w:space="0" w:color="auto"/>
            <w:left w:val="none" w:sz="0" w:space="0" w:color="auto"/>
            <w:bottom w:val="none" w:sz="0" w:space="0" w:color="auto"/>
            <w:right w:val="none" w:sz="0" w:space="0" w:color="auto"/>
          </w:divBdr>
        </w:div>
        <w:div w:id="2143647115">
          <w:marLeft w:val="0"/>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8317763">
      <w:bodyDiv w:val="1"/>
      <w:marLeft w:val="0"/>
      <w:marRight w:val="0"/>
      <w:marTop w:val="0"/>
      <w:marBottom w:val="0"/>
      <w:divBdr>
        <w:top w:val="none" w:sz="0" w:space="0" w:color="auto"/>
        <w:left w:val="none" w:sz="0" w:space="0" w:color="auto"/>
        <w:bottom w:val="none" w:sz="0" w:space="0" w:color="auto"/>
        <w:right w:val="none" w:sz="0" w:space="0" w:color="auto"/>
      </w:divBdr>
    </w:div>
    <w:div w:id="550381767">
      <w:bodyDiv w:val="1"/>
      <w:marLeft w:val="0"/>
      <w:marRight w:val="0"/>
      <w:marTop w:val="0"/>
      <w:marBottom w:val="0"/>
      <w:divBdr>
        <w:top w:val="none" w:sz="0" w:space="0" w:color="auto"/>
        <w:left w:val="none" w:sz="0" w:space="0" w:color="auto"/>
        <w:bottom w:val="none" w:sz="0" w:space="0" w:color="auto"/>
        <w:right w:val="none" w:sz="0" w:space="0" w:color="auto"/>
      </w:divBdr>
    </w:div>
    <w:div w:id="576747074">
      <w:bodyDiv w:val="1"/>
      <w:marLeft w:val="0"/>
      <w:marRight w:val="0"/>
      <w:marTop w:val="0"/>
      <w:marBottom w:val="0"/>
      <w:divBdr>
        <w:top w:val="none" w:sz="0" w:space="0" w:color="auto"/>
        <w:left w:val="none" w:sz="0" w:space="0" w:color="auto"/>
        <w:bottom w:val="none" w:sz="0" w:space="0" w:color="auto"/>
        <w:right w:val="none" w:sz="0" w:space="0" w:color="auto"/>
      </w:divBdr>
    </w:div>
    <w:div w:id="597173831">
      <w:bodyDiv w:val="1"/>
      <w:marLeft w:val="0"/>
      <w:marRight w:val="0"/>
      <w:marTop w:val="0"/>
      <w:marBottom w:val="0"/>
      <w:divBdr>
        <w:top w:val="none" w:sz="0" w:space="0" w:color="auto"/>
        <w:left w:val="none" w:sz="0" w:space="0" w:color="auto"/>
        <w:bottom w:val="none" w:sz="0" w:space="0" w:color="auto"/>
        <w:right w:val="none" w:sz="0" w:space="0" w:color="auto"/>
      </w:divBdr>
    </w:div>
    <w:div w:id="605893593">
      <w:bodyDiv w:val="1"/>
      <w:marLeft w:val="0"/>
      <w:marRight w:val="0"/>
      <w:marTop w:val="0"/>
      <w:marBottom w:val="0"/>
      <w:divBdr>
        <w:top w:val="none" w:sz="0" w:space="0" w:color="auto"/>
        <w:left w:val="none" w:sz="0" w:space="0" w:color="auto"/>
        <w:bottom w:val="none" w:sz="0" w:space="0" w:color="auto"/>
        <w:right w:val="none" w:sz="0" w:space="0" w:color="auto"/>
      </w:divBdr>
      <w:divsChild>
        <w:div w:id="465633931">
          <w:marLeft w:val="0"/>
          <w:marRight w:val="0"/>
          <w:marTop w:val="0"/>
          <w:marBottom w:val="0"/>
          <w:divBdr>
            <w:top w:val="none" w:sz="0" w:space="0" w:color="auto"/>
            <w:left w:val="none" w:sz="0" w:space="0" w:color="auto"/>
            <w:bottom w:val="none" w:sz="0" w:space="0" w:color="auto"/>
            <w:right w:val="none" w:sz="0" w:space="0" w:color="auto"/>
          </w:divBdr>
          <w:divsChild>
            <w:div w:id="2077974816">
              <w:marLeft w:val="0"/>
              <w:marRight w:val="0"/>
              <w:marTop w:val="0"/>
              <w:marBottom w:val="0"/>
              <w:divBdr>
                <w:top w:val="none" w:sz="0" w:space="0" w:color="auto"/>
                <w:left w:val="none" w:sz="0" w:space="0" w:color="auto"/>
                <w:bottom w:val="none" w:sz="0" w:space="0" w:color="auto"/>
                <w:right w:val="none" w:sz="0" w:space="0" w:color="auto"/>
              </w:divBdr>
              <w:divsChild>
                <w:div w:id="578712617">
                  <w:marLeft w:val="0"/>
                  <w:marRight w:val="0"/>
                  <w:marTop w:val="0"/>
                  <w:marBottom w:val="0"/>
                  <w:divBdr>
                    <w:top w:val="none" w:sz="0" w:space="0" w:color="auto"/>
                    <w:left w:val="single" w:sz="4" w:space="0" w:color="E0E0E0"/>
                    <w:bottom w:val="none" w:sz="0" w:space="0" w:color="auto"/>
                    <w:right w:val="none" w:sz="0" w:space="0" w:color="auto"/>
                  </w:divBdr>
                  <w:divsChild>
                    <w:div w:id="1133710855">
                      <w:marLeft w:val="0"/>
                      <w:marRight w:val="0"/>
                      <w:marTop w:val="0"/>
                      <w:marBottom w:val="0"/>
                      <w:divBdr>
                        <w:top w:val="none" w:sz="0" w:space="0" w:color="auto"/>
                        <w:left w:val="none" w:sz="0" w:space="0" w:color="auto"/>
                        <w:bottom w:val="none" w:sz="0" w:space="0" w:color="auto"/>
                        <w:right w:val="none" w:sz="0" w:space="0" w:color="auto"/>
                      </w:divBdr>
                      <w:divsChild>
                        <w:div w:id="1141190995">
                          <w:marLeft w:val="0"/>
                          <w:marRight w:val="0"/>
                          <w:marTop w:val="0"/>
                          <w:marBottom w:val="0"/>
                          <w:divBdr>
                            <w:top w:val="none" w:sz="0" w:space="0" w:color="auto"/>
                            <w:left w:val="none" w:sz="0" w:space="0" w:color="auto"/>
                            <w:bottom w:val="none" w:sz="0" w:space="0" w:color="auto"/>
                            <w:right w:val="none" w:sz="0" w:space="0" w:color="auto"/>
                          </w:divBdr>
                          <w:divsChild>
                            <w:div w:id="1047880252">
                              <w:marLeft w:val="0"/>
                              <w:marRight w:val="0"/>
                              <w:marTop w:val="0"/>
                              <w:marBottom w:val="0"/>
                              <w:divBdr>
                                <w:top w:val="none" w:sz="0" w:space="0" w:color="auto"/>
                                <w:left w:val="none" w:sz="0" w:space="0" w:color="auto"/>
                                <w:bottom w:val="none" w:sz="0" w:space="0" w:color="auto"/>
                                <w:right w:val="none" w:sz="0" w:space="0" w:color="auto"/>
                              </w:divBdr>
                              <w:divsChild>
                                <w:div w:id="915478867">
                                  <w:marLeft w:val="0"/>
                                  <w:marRight w:val="0"/>
                                  <w:marTop w:val="0"/>
                                  <w:marBottom w:val="0"/>
                                  <w:divBdr>
                                    <w:top w:val="none" w:sz="0" w:space="0" w:color="auto"/>
                                    <w:left w:val="none" w:sz="0" w:space="0" w:color="auto"/>
                                    <w:bottom w:val="none" w:sz="0" w:space="0" w:color="auto"/>
                                    <w:right w:val="none" w:sz="0" w:space="0" w:color="auto"/>
                                  </w:divBdr>
                                </w:div>
                                <w:div w:id="1773931969">
                                  <w:marLeft w:val="0"/>
                                  <w:marRight w:val="0"/>
                                  <w:marTop w:val="0"/>
                                  <w:marBottom w:val="0"/>
                                  <w:divBdr>
                                    <w:top w:val="none" w:sz="0" w:space="0" w:color="auto"/>
                                    <w:left w:val="none" w:sz="0" w:space="0" w:color="auto"/>
                                    <w:bottom w:val="none" w:sz="0" w:space="0" w:color="auto"/>
                                    <w:right w:val="none" w:sz="0" w:space="0" w:color="auto"/>
                                  </w:divBdr>
                                  <w:divsChild>
                                    <w:div w:id="1505054878">
                                      <w:marLeft w:val="0"/>
                                      <w:marRight w:val="0"/>
                                      <w:marTop w:val="0"/>
                                      <w:marBottom w:val="0"/>
                                      <w:divBdr>
                                        <w:top w:val="none" w:sz="0" w:space="0" w:color="auto"/>
                                        <w:left w:val="none" w:sz="0" w:space="0" w:color="auto"/>
                                        <w:bottom w:val="none" w:sz="0" w:space="0" w:color="auto"/>
                                        <w:right w:val="none" w:sz="0" w:space="0" w:color="auto"/>
                                      </w:divBdr>
                                      <w:divsChild>
                                        <w:div w:id="1734700312">
                                          <w:marLeft w:val="0"/>
                                          <w:marRight w:val="0"/>
                                          <w:marTop w:val="0"/>
                                          <w:marBottom w:val="0"/>
                                          <w:divBdr>
                                            <w:top w:val="none" w:sz="0" w:space="0" w:color="auto"/>
                                            <w:left w:val="none" w:sz="0" w:space="0" w:color="auto"/>
                                            <w:bottom w:val="none" w:sz="0" w:space="0" w:color="auto"/>
                                            <w:right w:val="none" w:sz="0" w:space="0" w:color="auto"/>
                                          </w:divBdr>
                                          <w:divsChild>
                                            <w:div w:id="2076778314">
                                              <w:marLeft w:val="0"/>
                                              <w:marRight w:val="0"/>
                                              <w:marTop w:val="0"/>
                                              <w:marBottom w:val="0"/>
                                              <w:divBdr>
                                                <w:top w:val="none" w:sz="0" w:space="0" w:color="auto"/>
                                                <w:left w:val="none" w:sz="0" w:space="0" w:color="auto"/>
                                                <w:bottom w:val="none" w:sz="0" w:space="0" w:color="auto"/>
                                                <w:right w:val="none" w:sz="0" w:space="0" w:color="auto"/>
                                              </w:divBdr>
                                              <w:divsChild>
                                                <w:div w:id="617952580">
                                                  <w:marLeft w:val="0"/>
                                                  <w:marRight w:val="0"/>
                                                  <w:marTop w:val="0"/>
                                                  <w:marBottom w:val="0"/>
                                                  <w:divBdr>
                                                    <w:top w:val="none" w:sz="0" w:space="0" w:color="auto"/>
                                                    <w:left w:val="none" w:sz="0" w:space="0" w:color="auto"/>
                                                    <w:bottom w:val="none" w:sz="0" w:space="0" w:color="auto"/>
                                                    <w:right w:val="none" w:sz="0" w:space="0" w:color="auto"/>
                                                  </w:divBdr>
                                                  <w:divsChild>
                                                    <w:div w:id="2000184952">
                                                      <w:marLeft w:val="0"/>
                                                      <w:marRight w:val="0"/>
                                                      <w:marTop w:val="0"/>
                                                      <w:marBottom w:val="0"/>
                                                      <w:divBdr>
                                                        <w:top w:val="none" w:sz="0" w:space="0" w:color="auto"/>
                                                        <w:left w:val="none" w:sz="0" w:space="0" w:color="auto"/>
                                                        <w:bottom w:val="none" w:sz="0" w:space="0" w:color="auto"/>
                                                        <w:right w:val="none" w:sz="0" w:space="0" w:color="auto"/>
                                                      </w:divBdr>
                                                      <w:divsChild>
                                                        <w:div w:id="1777553046">
                                                          <w:marLeft w:val="0"/>
                                                          <w:marRight w:val="0"/>
                                                          <w:marTop w:val="0"/>
                                                          <w:marBottom w:val="0"/>
                                                          <w:divBdr>
                                                            <w:top w:val="none" w:sz="0" w:space="0" w:color="auto"/>
                                                            <w:left w:val="none" w:sz="0" w:space="0" w:color="auto"/>
                                                            <w:bottom w:val="none" w:sz="0" w:space="0" w:color="auto"/>
                                                            <w:right w:val="none" w:sz="0" w:space="0" w:color="auto"/>
                                                          </w:divBdr>
                                                          <w:divsChild>
                                                            <w:div w:id="1622373433">
                                                              <w:marLeft w:val="0"/>
                                                              <w:marRight w:val="0"/>
                                                              <w:marTop w:val="0"/>
                                                              <w:marBottom w:val="0"/>
                                                              <w:divBdr>
                                                                <w:top w:val="none" w:sz="0" w:space="0" w:color="auto"/>
                                                                <w:left w:val="none" w:sz="0" w:space="0" w:color="auto"/>
                                                                <w:bottom w:val="none" w:sz="0" w:space="0" w:color="auto"/>
                                                                <w:right w:val="none" w:sz="0" w:space="0" w:color="auto"/>
                                                              </w:divBdr>
                                                              <w:divsChild>
                                                                <w:div w:id="185363049">
                                                                  <w:marLeft w:val="0"/>
                                                                  <w:marRight w:val="0"/>
                                                                  <w:marTop w:val="0"/>
                                                                  <w:marBottom w:val="0"/>
                                                                  <w:divBdr>
                                                                    <w:top w:val="none" w:sz="0" w:space="0" w:color="auto"/>
                                                                    <w:left w:val="none" w:sz="0" w:space="0" w:color="auto"/>
                                                                    <w:bottom w:val="none" w:sz="0" w:space="0" w:color="auto"/>
                                                                    <w:right w:val="none" w:sz="0" w:space="0" w:color="auto"/>
                                                                  </w:divBdr>
                                                                  <w:divsChild>
                                                                    <w:div w:id="1034966469">
                                                                      <w:marLeft w:val="0"/>
                                                                      <w:marRight w:val="0"/>
                                                                      <w:marTop w:val="0"/>
                                                                      <w:marBottom w:val="0"/>
                                                                      <w:divBdr>
                                                                        <w:top w:val="none" w:sz="0" w:space="0" w:color="auto"/>
                                                                        <w:left w:val="none" w:sz="0" w:space="0" w:color="auto"/>
                                                                        <w:bottom w:val="none" w:sz="0" w:space="0" w:color="auto"/>
                                                                        <w:right w:val="none" w:sz="0" w:space="0" w:color="auto"/>
                                                                      </w:divBdr>
                                                                      <w:divsChild>
                                                                        <w:div w:id="1295021509">
                                                                          <w:marLeft w:val="0"/>
                                                                          <w:marRight w:val="0"/>
                                                                          <w:marTop w:val="0"/>
                                                                          <w:marBottom w:val="0"/>
                                                                          <w:divBdr>
                                                                            <w:top w:val="none" w:sz="0" w:space="0" w:color="auto"/>
                                                                            <w:left w:val="none" w:sz="0" w:space="0" w:color="auto"/>
                                                                            <w:bottom w:val="none" w:sz="0" w:space="0" w:color="auto"/>
                                                                            <w:right w:val="none" w:sz="0" w:space="0" w:color="auto"/>
                                                                          </w:divBdr>
                                                                          <w:divsChild>
                                                                            <w:div w:id="1096170782">
                                                                              <w:marLeft w:val="0"/>
                                                                              <w:marRight w:val="0"/>
                                                                              <w:marTop w:val="0"/>
                                                                              <w:marBottom w:val="0"/>
                                                                              <w:divBdr>
                                                                                <w:top w:val="none" w:sz="0" w:space="0" w:color="auto"/>
                                                                                <w:left w:val="none" w:sz="0" w:space="0" w:color="auto"/>
                                                                                <w:bottom w:val="none" w:sz="0" w:space="0" w:color="auto"/>
                                                                                <w:right w:val="none" w:sz="0" w:space="0" w:color="auto"/>
                                                                              </w:divBdr>
                                                                              <w:divsChild>
                                                                                <w:div w:id="7293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3867">
                                                                  <w:marLeft w:val="0"/>
                                                                  <w:marRight w:val="0"/>
                                                                  <w:marTop w:val="0"/>
                                                                  <w:marBottom w:val="0"/>
                                                                  <w:divBdr>
                                                                    <w:top w:val="none" w:sz="0" w:space="0" w:color="auto"/>
                                                                    <w:left w:val="none" w:sz="0" w:space="0" w:color="auto"/>
                                                                    <w:bottom w:val="none" w:sz="0" w:space="0" w:color="auto"/>
                                                                    <w:right w:val="none" w:sz="0" w:space="0" w:color="auto"/>
                                                                  </w:divBdr>
                                                                  <w:divsChild>
                                                                    <w:div w:id="497428236">
                                                                      <w:marLeft w:val="0"/>
                                                                      <w:marRight w:val="0"/>
                                                                      <w:marTop w:val="0"/>
                                                                      <w:marBottom w:val="0"/>
                                                                      <w:divBdr>
                                                                        <w:top w:val="none" w:sz="0" w:space="0" w:color="auto"/>
                                                                        <w:left w:val="none" w:sz="0" w:space="0" w:color="auto"/>
                                                                        <w:bottom w:val="none" w:sz="0" w:space="0" w:color="auto"/>
                                                                        <w:right w:val="none" w:sz="0" w:space="0" w:color="auto"/>
                                                                      </w:divBdr>
                                                                      <w:divsChild>
                                                                        <w:div w:id="411858072">
                                                                          <w:marLeft w:val="0"/>
                                                                          <w:marRight w:val="0"/>
                                                                          <w:marTop w:val="0"/>
                                                                          <w:marBottom w:val="0"/>
                                                                          <w:divBdr>
                                                                            <w:top w:val="none" w:sz="0" w:space="0" w:color="auto"/>
                                                                            <w:left w:val="none" w:sz="0" w:space="0" w:color="auto"/>
                                                                            <w:bottom w:val="none" w:sz="0" w:space="0" w:color="auto"/>
                                                                            <w:right w:val="none" w:sz="0" w:space="0" w:color="auto"/>
                                                                          </w:divBdr>
                                                                          <w:divsChild>
                                                                            <w:div w:id="84812196">
                                                                              <w:marLeft w:val="0"/>
                                                                              <w:marRight w:val="0"/>
                                                                              <w:marTop w:val="0"/>
                                                                              <w:marBottom w:val="0"/>
                                                                              <w:divBdr>
                                                                                <w:top w:val="none" w:sz="0" w:space="0" w:color="auto"/>
                                                                                <w:left w:val="none" w:sz="0" w:space="0" w:color="auto"/>
                                                                                <w:bottom w:val="none" w:sz="0" w:space="0" w:color="auto"/>
                                                                                <w:right w:val="none" w:sz="0" w:space="0" w:color="auto"/>
                                                                              </w:divBdr>
                                                                              <w:divsChild>
                                                                                <w:div w:id="1970625699">
                                                                                  <w:marLeft w:val="0"/>
                                                                                  <w:marRight w:val="0"/>
                                                                                  <w:marTop w:val="0"/>
                                                                                  <w:marBottom w:val="0"/>
                                                                                  <w:divBdr>
                                                                                    <w:top w:val="none" w:sz="0" w:space="0" w:color="auto"/>
                                                                                    <w:left w:val="none" w:sz="0" w:space="0" w:color="auto"/>
                                                                                    <w:bottom w:val="none" w:sz="0" w:space="0" w:color="auto"/>
                                                                                    <w:right w:val="none" w:sz="0" w:space="0" w:color="auto"/>
                                                                                  </w:divBdr>
                                                                                  <w:divsChild>
                                                                                    <w:div w:id="560561194">
                                                                                      <w:marLeft w:val="0"/>
                                                                                      <w:marRight w:val="0"/>
                                                                                      <w:marTop w:val="0"/>
                                                                                      <w:marBottom w:val="0"/>
                                                                                      <w:divBdr>
                                                                                        <w:top w:val="none" w:sz="0" w:space="0" w:color="auto"/>
                                                                                        <w:left w:val="none" w:sz="0" w:space="0" w:color="auto"/>
                                                                                        <w:bottom w:val="none" w:sz="0" w:space="0" w:color="auto"/>
                                                                                        <w:right w:val="none" w:sz="0" w:space="0" w:color="auto"/>
                                                                                      </w:divBdr>
                                                                                      <w:divsChild>
                                                                                        <w:div w:id="19422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3600">
                                                                              <w:marLeft w:val="0"/>
                                                                              <w:marRight w:val="0"/>
                                                                              <w:marTop w:val="0"/>
                                                                              <w:marBottom w:val="0"/>
                                                                              <w:divBdr>
                                                                                <w:top w:val="none" w:sz="0" w:space="0" w:color="auto"/>
                                                                                <w:left w:val="none" w:sz="0" w:space="0" w:color="auto"/>
                                                                                <w:bottom w:val="none" w:sz="0" w:space="0" w:color="auto"/>
                                                                                <w:right w:val="none" w:sz="0" w:space="0" w:color="auto"/>
                                                                              </w:divBdr>
                                                                              <w:divsChild>
                                                                                <w:div w:id="5087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1091">
                                                                  <w:marLeft w:val="0"/>
                                                                  <w:marRight w:val="0"/>
                                                                  <w:marTop w:val="0"/>
                                                                  <w:marBottom w:val="0"/>
                                                                  <w:divBdr>
                                                                    <w:top w:val="none" w:sz="0" w:space="0" w:color="auto"/>
                                                                    <w:left w:val="none" w:sz="0" w:space="0" w:color="auto"/>
                                                                    <w:bottom w:val="none" w:sz="0" w:space="0" w:color="auto"/>
                                                                    <w:right w:val="none" w:sz="0" w:space="0" w:color="auto"/>
                                                                  </w:divBdr>
                                                                  <w:divsChild>
                                                                    <w:div w:id="1496607315">
                                                                      <w:marLeft w:val="0"/>
                                                                      <w:marRight w:val="0"/>
                                                                      <w:marTop w:val="0"/>
                                                                      <w:marBottom w:val="0"/>
                                                                      <w:divBdr>
                                                                        <w:top w:val="none" w:sz="0" w:space="0" w:color="auto"/>
                                                                        <w:left w:val="none" w:sz="0" w:space="0" w:color="auto"/>
                                                                        <w:bottom w:val="none" w:sz="0" w:space="0" w:color="auto"/>
                                                                        <w:right w:val="none" w:sz="0" w:space="0" w:color="auto"/>
                                                                      </w:divBdr>
                                                                      <w:divsChild>
                                                                        <w:div w:id="42603277">
                                                                          <w:marLeft w:val="0"/>
                                                                          <w:marRight w:val="0"/>
                                                                          <w:marTop w:val="0"/>
                                                                          <w:marBottom w:val="0"/>
                                                                          <w:divBdr>
                                                                            <w:top w:val="none" w:sz="0" w:space="0" w:color="auto"/>
                                                                            <w:left w:val="none" w:sz="0" w:space="0" w:color="auto"/>
                                                                            <w:bottom w:val="none" w:sz="0" w:space="0" w:color="auto"/>
                                                                            <w:right w:val="none" w:sz="0" w:space="0" w:color="auto"/>
                                                                          </w:divBdr>
                                                                          <w:divsChild>
                                                                            <w:div w:id="1098524034">
                                                                              <w:marLeft w:val="0"/>
                                                                              <w:marRight w:val="0"/>
                                                                              <w:marTop w:val="0"/>
                                                                              <w:marBottom w:val="0"/>
                                                                              <w:divBdr>
                                                                                <w:top w:val="none" w:sz="0" w:space="0" w:color="auto"/>
                                                                                <w:left w:val="none" w:sz="0" w:space="0" w:color="auto"/>
                                                                                <w:bottom w:val="none" w:sz="0" w:space="0" w:color="auto"/>
                                                                                <w:right w:val="none" w:sz="0" w:space="0" w:color="auto"/>
                                                                              </w:divBdr>
                                                                              <w:divsChild>
                                                                                <w:div w:id="7204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3835">
                                                                  <w:marLeft w:val="0"/>
                                                                  <w:marRight w:val="0"/>
                                                                  <w:marTop w:val="0"/>
                                                                  <w:marBottom w:val="0"/>
                                                                  <w:divBdr>
                                                                    <w:top w:val="none" w:sz="0" w:space="0" w:color="auto"/>
                                                                    <w:left w:val="none" w:sz="0" w:space="0" w:color="auto"/>
                                                                    <w:bottom w:val="none" w:sz="0" w:space="0" w:color="auto"/>
                                                                    <w:right w:val="none" w:sz="0" w:space="0" w:color="auto"/>
                                                                  </w:divBdr>
                                                                  <w:divsChild>
                                                                    <w:div w:id="1291714818">
                                                                      <w:marLeft w:val="0"/>
                                                                      <w:marRight w:val="0"/>
                                                                      <w:marTop w:val="0"/>
                                                                      <w:marBottom w:val="0"/>
                                                                      <w:divBdr>
                                                                        <w:top w:val="none" w:sz="0" w:space="0" w:color="auto"/>
                                                                        <w:left w:val="none" w:sz="0" w:space="0" w:color="auto"/>
                                                                        <w:bottom w:val="none" w:sz="0" w:space="0" w:color="auto"/>
                                                                        <w:right w:val="none" w:sz="0" w:space="0" w:color="auto"/>
                                                                      </w:divBdr>
                                                                      <w:divsChild>
                                                                        <w:div w:id="1946234121">
                                                                          <w:marLeft w:val="0"/>
                                                                          <w:marRight w:val="0"/>
                                                                          <w:marTop w:val="0"/>
                                                                          <w:marBottom w:val="0"/>
                                                                          <w:divBdr>
                                                                            <w:top w:val="none" w:sz="0" w:space="0" w:color="auto"/>
                                                                            <w:left w:val="none" w:sz="0" w:space="0" w:color="auto"/>
                                                                            <w:bottom w:val="none" w:sz="0" w:space="0" w:color="auto"/>
                                                                            <w:right w:val="none" w:sz="0" w:space="0" w:color="auto"/>
                                                                          </w:divBdr>
                                                                          <w:divsChild>
                                                                            <w:div w:id="3405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8273">
                                                                  <w:marLeft w:val="0"/>
                                                                  <w:marRight w:val="0"/>
                                                                  <w:marTop w:val="0"/>
                                                                  <w:marBottom w:val="0"/>
                                                                  <w:divBdr>
                                                                    <w:top w:val="none" w:sz="0" w:space="0" w:color="auto"/>
                                                                    <w:left w:val="none" w:sz="0" w:space="0" w:color="auto"/>
                                                                    <w:bottom w:val="none" w:sz="0" w:space="0" w:color="auto"/>
                                                                    <w:right w:val="none" w:sz="0" w:space="0" w:color="auto"/>
                                                                  </w:divBdr>
                                                                  <w:divsChild>
                                                                    <w:div w:id="878661596">
                                                                      <w:marLeft w:val="0"/>
                                                                      <w:marRight w:val="0"/>
                                                                      <w:marTop w:val="0"/>
                                                                      <w:marBottom w:val="0"/>
                                                                      <w:divBdr>
                                                                        <w:top w:val="none" w:sz="0" w:space="0" w:color="auto"/>
                                                                        <w:left w:val="none" w:sz="0" w:space="0" w:color="auto"/>
                                                                        <w:bottom w:val="none" w:sz="0" w:space="0" w:color="auto"/>
                                                                        <w:right w:val="none" w:sz="0" w:space="0" w:color="auto"/>
                                                                      </w:divBdr>
                                                                      <w:divsChild>
                                                                        <w:div w:id="1677878327">
                                                                          <w:marLeft w:val="0"/>
                                                                          <w:marRight w:val="0"/>
                                                                          <w:marTop w:val="0"/>
                                                                          <w:marBottom w:val="0"/>
                                                                          <w:divBdr>
                                                                            <w:top w:val="none" w:sz="0" w:space="0" w:color="auto"/>
                                                                            <w:left w:val="none" w:sz="0" w:space="0" w:color="auto"/>
                                                                            <w:bottom w:val="none" w:sz="0" w:space="0" w:color="auto"/>
                                                                            <w:right w:val="none" w:sz="0" w:space="0" w:color="auto"/>
                                                                          </w:divBdr>
                                                                          <w:divsChild>
                                                                            <w:div w:id="853614723">
                                                                              <w:marLeft w:val="0"/>
                                                                              <w:marRight w:val="0"/>
                                                                              <w:marTop w:val="0"/>
                                                                              <w:marBottom w:val="0"/>
                                                                              <w:divBdr>
                                                                                <w:top w:val="none" w:sz="0" w:space="0" w:color="auto"/>
                                                                                <w:left w:val="none" w:sz="0" w:space="0" w:color="auto"/>
                                                                                <w:bottom w:val="none" w:sz="0" w:space="0" w:color="auto"/>
                                                                                <w:right w:val="none" w:sz="0" w:space="0" w:color="auto"/>
                                                                              </w:divBdr>
                                                                              <w:divsChild>
                                                                                <w:div w:id="18486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3614">
                                                                  <w:marLeft w:val="0"/>
                                                                  <w:marRight w:val="0"/>
                                                                  <w:marTop w:val="0"/>
                                                                  <w:marBottom w:val="0"/>
                                                                  <w:divBdr>
                                                                    <w:top w:val="none" w:sz="0" w:space="0" w:color="auto"/>
                                                                    <w:left w:val="none" w:sz="0" w:space="0" w:color="auto"/>
                                                                    <w:bottom w:val="none" w:sz="0" w:space="0" w:color="auto"/>
                                                                    <w:right w:val="none" w:sz="0" w:space="0" w:color="auto"/>
                                                                  </w:divBdr>
                                                                  <w:divsChild>
                                                                    <w:div w:id="386879085">
                                                                      <w:marLeft w:val="0"/>
                                                                      <w:marRight w:val="0"/>
                                                                      <w:marTop w:val="0"/>
                                                                      <w:marBottom w:val="0"/>
                                                                      <w:divBdr>
                                                                        <w:top w:val="none" w:sz="0" w:space="0" w:color="auto"/>
                                                                        <w:left w:val="none" w:sz="0" w:space="0" w:color="auto"/>
                                                                        <w:bottom w:val="none" w:sz="0" w:space="0" w:color="auto"/>
                                                                        <w:right w:val="none" w:sz="0" w:space="0" w:color="auto"/>
                                                                      </w:divBdr>
                                                                      <w:divsChild>
                                                                        <w:div w:id="1889950313">
                                                                          <w:marLeft w:val="0"/>
                                                                          <w:marRight w:val="0"/>
                                                                          <w:marTop w:val="0"/>
                                                                          <w:marBottom w:val="0"/>
                                                                          <w:divBdr>
                                                                            <w:top w:val="none" w:sz="0" w:space="0" w:color="auto"/>
                                                                            <w:left w:val="none" w:sz="0" w:space="0" w:color="auto"/>
                                                                            <w:bottom w:val="none" w:sz="0" w:space="0" w:color="auto"/>
                                                                            <w:right w:val="none" w:sz="0" w:space="0" w:color="auto"/>
                                                                          </w:divBdr>
                                                                          <w:divsChild>
                                                                            <w:div w:id="1328442595">
                                                                              <w:marLeft w:val="0"/>
                                                                              <w:marRight w:val="0"/>
                                                                              <w:marTop w:val="0"/>
                                                                              <w:marBottom w:val="0"/>
                                                                              <w:divBdr>
                                                                                <w:top w:val="none" w:sz="0" w:space="0" w:color="auto"/>
                                                                                <w:left w:val="none" w:sz="0" w:space="0" w:color="auto"/>
                                                                                <w:bottom w:val="none" w:sz="0" w:space="0" w:color="auto"/>
                                                                                <w:right w:val="none" w:sz="0" w:space="0" w:color="auto"/>
                                                                              </w:divBdr>
                                                                              <w:divsChild>
                                                                                <w:div w:id="2003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0953">
                                                                  <w:marLeft w:val="0"/>
                                                                  <w:marRight w:val="0"/>
                                                                  <w:marTop w:val="0"/>
                                                                  <w:marBottom w:val="0"/>
                                                                  <w:divBdr>
                                                                    <w:top w:val="none" w:sz="0" w:space="0" w:color="auto"/>
                                                                    <w:left w:val="none" w:sz="0" w:space="0" w:color="auto"/>
                                                                    <w:bottom w:val="none" w:sz="0" w:space="0" w:color="auto"/>
                                                                    <w:right w:val="none" w:sz="0" w:space="0" w:color="auto"/>
                                                                  </w:divBdr>
                                                                  <w:divsChild>
                                                                    <w:div w:id="14814665">
                                                                      <w:marLeft w:val="0"/>
                                                                      <w:marRight w:val="0"/>
                                                                      <w:marTop w:val="0"/>
                                                                      <w:marBottom w:val="0"/>
                                                                      <w:divBdr>
                                                                        <w:top w:val="none" w:sz="0" w:space="0" w:color="auto"/>
                                                                        <w:left w:val="none" w:sz="0" w:space="0" w:color="auto"/>
                                                                        <w:bottom w:val="none" w:sz="0" w:space="0" w:color="auto"/>
                                                                        <w:right w:val="none" w:sz="0" w:space="0" w:color="auto"/>
                                                                      </w:divBdr>
                                                                      <w:divsChild>
                                                                        <w:div w:id="1846284706">
                                                                          <w:marLeft w:val="0"/>
                                                                          <w:marRight w:val="0"/>
                                                                          <w:marTop w:val="0"/>
                                                                          <w:marBottom w:val="0"/>
                                                                          <w:divBdr>
                                                                            <w:top w:val="none" w:sz="0" w:space="0" w:color="auto"/>
                                                                            <w:left w:val="none" w:sz="0" w:space="0" w:color="auto"/>
                                                                            <w:bottom w:val="none" w:sz="0" w:space="0" w:color="auto"/>
                                                                            <w:right w:val="none" w:sz="0" w:space="0" w:color="auto"/>
                                                                          </w:divBdr>
                                                                          <w:divsChild>
                                                                            <w:div w:id="1630821769">
                                                                              <w:marLeft w:val="0"/>
                                                                              <w:marRight w:val="0"/>
                                                                              <w:marTop w:val="0"/>
                                                                              <w:marBottom w:val="0"/>
                                                                              <w:divBdr>
                                                                                <w:top w:val="none" w:sz="0" w:space="0" w:color="auto"/>
                                                                                <w:left w:val="none" w:sz="0" w:space="0" w:color="auto"/>
                                                                                <w:bottom w:val="none" w:sz="0" w:space="0" w:color="auto"/>
                                                                                <w:right w:val="none" w:sz="0" w:space="0" w:color="auto"/>
                                                                              </w:divBdr>
                                                                              <w:divsChild>
                                                                                <w:div w:id="1164970778">
                                                                                  <w:marLeft w:val="0"/>
                                                                                  <w:marRight w:val="0"/>
                                                                                  <w:marTop w:val="0"/>
                                                                                  <w:marBottom w:val="0"/>
                                                                                  <w:divBdr>
                                                                                    <w:top w:val="none" w:sz="0" w:space="0" w:color="auto"/>
                                                                                    <w:left w:val="none" w:sz="0" w:space="0" w:color="auto"/>
                                                                                    <w:bottom w:val="none" w:sz="0" w:space="0" w:color="auto"/>
                                                                                    <w:right w:val="none" w:sz="0" w:space="0" w:color="auto"/>
                                                                                  </w:divBdr>
                                                                                </w:div>
                                                                              </w:divsChild>
                                                                            </w:div>
                                                                            <w:div w:id="1832139976">
                                                                              <w:marLeft w:val="0"/>
                                                                              <w:marRight w:val="0"/>
                                                                              <w:marTop w:val="0"/>
                                                                              <w:marBottom w:val="0"/>
                                                                              <w:divBdr>
                                                                                <w:top w:val="none" w:sz="0" w:space="0" w:color="auto"/>
                                                                                <w:left w:val="none" w:sz="0" w:space="0" w:color="auto"/>
                                                                                <w:bottom w:val="none" w:sz="0" w:space="0" w:color="auto"/>
                                                                                <w:right w:val="none" w:sz="0" w:space="0" w:color="auto"/>
                                                                              </w:divBdr>
                                                                              <w:divsChild>
                                                                                <w:div w:id="656812468">
                                                                                  <w:marLeft w:val="0"/>
                                                                                  <w:marRight w:val="0"/>
                                                                                  <w:marTop w:val="0"/>
                                                                                  <w:marBottom w:val="0"/>
                                                                                  <w:divBdr>
                                                                                    <w:top w:val="none" w:sz="0" w:space="0" w:color="auto"/>
                                                                                    <w:left w:val="none" w:sz="0" w:space="0" w:color="auto"/>
                                                                                    <w:bottom w:val="none" w:sz="0" w:space="0" w:color="auto"/>
                                                                                    <w:right w:val="none" w:sz="0" w:space="0" w:color="auto"/>
                                                                                  </w:divBdr>
                                                                                  <w:divsChild>
                                                                                    <w:div w:id="311909477">
                                                                                      <w:marLeft w:val="0"/>
                                                                                      <w:marRight w:val="0"/>
                                                                                      <w:marTop w:val="0"/>
                                                                                      <w:marBottom w:val="0"/>
                                                                                      <w:divBdr>
                                                                                        <w:top w:val="none" w:sz="0" w:space="0" w:color="auto"/>
                                                                                        <w:left w:val="none" w:sz="0" w:space="0" w:color="auto"/>
                                                                                        <w:bottom w:val="none" w:sz="0" w:space="0" w:color="auto"/>
                                                                                        <w:right w:val="none" w:sz="0" w:space="0" w:color="auto"/>
                                                                                      </w:divBdr>
                                                                                      <w:divsChild>
                                                                                        <w:div w:id="1854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11193">
                                                                  <w:marLeft w:val="0"/>
                                                                  <w:marRight w:val="0"/>
                                                                  <w:marTop w:val="0"/>
                                                                  <w:marBottom w:val="0"/>
                                                                  <w:divBdr>
                                                                    <w:top w:val="none" w:sz="0" w:space="0" w:color="auto"/>
                                                                    <w:left w:val="none" w:sz="0" w:space="0" w:color="auto"/>
                                                                    <w:bottom w:val="none" w:sz="0" w:space="0" w:color="auto"/>
                                                                    <w:right w:val="none" w:sz="0" w:space="0" w:color="auto"/>
                                                                  </w:divBdr>
                                                                  <w:divsChild>
                                                                    <w:div w:id="718553138">
                                                                      <w:marLeft w:val="0"/>
                                                                      <w:marRight w:val="0"/>
                                                                      <w:marTop w:val="0"/>
                                                                      <w:marBottom w:val="0"/>
                                                                      <w:divBdr>
                                                                        <w:top w:val="none" w:sz="0" w:space="0" w:color="auto"/>
                                                                        <w:left w:val="none" w:sz="0" w:space="0" w:color="auto"/>
                                                                        <w:bottom w:val="none" w:sz="0" w:space="0" w:color="auto"/>
                                                                        <w:right w:val="none" w:sz="0" w:space="0" w:color="auto"/>
                                                                      </w:divBdr>
                                                                      <w:divsChild>
                                                                        <w:div w:id="794637667">
                                                                          <w:marLeft w:val="0"/>
                                                                          <w:marRight w:val="0"/>
                                                                          <w:marTop w:val="0"/>
                                                                          <w:marBottom w:val="0"/>
                                                                          <w:divBdr>
                                                                            <w:top w:val="none" w:sz="0" w:space="0" w:color="auto"/>
                                                                            <w:left w:val="none" w:sz="0" w:space="0" w:color="auto"/>
                                                                            <w:bottom w:val="none" w:sz="0" w:space="0" w:color="auto"/>
                                                                            <w:right w:val="none" w:sz="0" w:space="0" w:color="auto"/>
                                                                          </w:divBdr>
                                                                          <w:divsChild>
                                                                            <w:div w:id="992491119">
                                                                              <w:marLeft w:val="0"/>
                                                                              <w:marRight w:val="0"/>
                                                                              <w:marTop w:val="0"/>
                                                                              <w:marBottom w:val="0"/>
                                                                              <w:divBdr>
                                                                                <w:top w:val="none" w:sz="0" w:space="0" w:color="auto"/>
                                                                                <w:left w:val="none" w:sz="0" w:space="0" w:color="auto"/>
                                                                                <w:bottom w:val="none" w:sz="0" w:space="0" w:color="auto"/>
                                                                                <w:right w:val="none" w:sz="0" w:space="0" w:color="auto"/>
                                                                              </w:divBdr>
                                                                              <w:divsChild>
                                                                                <w:div w:id="921841689">
                                                                                  <w:marLeft w:val="0"/>
                                                                                  <w:marRight w:val="0"/>
                                                                                  <w:marTop w:val="0"/>
                                                                                  <w:marBottom w:val="0"/>
                                                                                  <w:divBdr>
                                                                                    <w:top w:val="none" w:sz="0" w:space="0" w:color="auto"/>
                                                                                    <w:left w:val="none" w:sz="0" w:space="0" w:color="auto"/>
                                                                                    <w:bottom w:val="none" w:sz="0" w:space="0" w:color="auto"/>
                                                                                    <w:right w:val="none" w:sz="0" w:space="0" w:color="auto"/>
                                                                                  </w:divBdr>
                                                                                </w:div>
                                                                              </w:divsChild>
                                                                            </w:div>
                                                                            <w:div w:id="1801606428">
                                                                              <w:marLeft w:val="0"/>
                                                                              <w:marRight w:val="0"/>
                                                                              <w:marTop w:val="0"/>
                                                                              <w:marBottom w:val="0"/>
                                                                              <w:divBdr>
                                                                                <w:top w:val="none" w:sz="0" w:space="0" w:color="auto"/>
                                                                                <w:left w:val="none" w:sz="0" w:space="0" w:color="auto"/>
                                                                                <w:bottom w:val="none" w:sz="0" w:space="0" w:color="auto"/>
                                                                                <w:right w:val="none" w:sz="0" w:space="0" w:color="auto"/>
                                                                              </w:divBdr>
                                                                              <w:divsChild>
                                                                                <w:div w:id="905184282">
                                                                                  <w:marLeft w:val="0"/>
                                                                                  <w:marRight w:val="0"/>
                                                                                  <w:marTop w:val="0"/>
                                                                                  <w:marBottom w:val="0"/>
                                                                                  <w:divBdr>
                                                                                    <w:top w:val="none" w:sz="0" w:space="0" w:color="auto"/>
                                                                                    <w:left w:val="none" w:sz="0" w:space="0" w:color="auto"/>
                                                                                    <w:bottom w:val="none" w:sz="0" w:space="0" w:color="auto"/>
                                                                                    <w:right w:val="none" w:sz="0" w:space="0" w:color="auto"/>
                                                                                  </w:divBdr>
                                                                                  <w:divsChild>
                                                                                    <w:div w:id="776677510">
                                                                                      <w:marLeft w:val="0"/>
                                                                                      <w:marRight w:val="0"/>
                                                                                      <w:marTop w:val="0"/>
                                                                                      <w:marBottom w:val="0"/>
                                                                                      <w:divBdr>
                                                                                        <w:top w:val="none" w:sz="0" w:space="0" w:color="auto"/>
                                                                                        <w:left w:val="none" w:sz="0" w:space="0" w:color="auto"/>
                                                                                        <w:bottom w:val="none" w:sz="0" w:space="0" w:color="auto"/>
                                                                                        <w:right w:val="none" w:sz="0" w:space="0" w:color="auto"/>
                                                                                      </w:divBdr>
                                                                                      <w:divsChild>
                                                                                        <w:div w:id="13019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375193">
                                                                  <w:marLeft w:val="0"/>
                                                                  <w:marRight w:val="0"/>
                                                                  <w:marTop w:val="0"/>
                                                                  <w:marBottom w:val="0"/>
                                                                  <w:divBdr>
                                                                    <w:top w:val="none" w:sz="0" w:space="0" w:color="auto"/>
                                                                    <w:left w:val="none" w:sz="0" w:space="0" w:color="auto"/>
                                                                    <w:bottom w:val="none" w:sz="0" w:space="0" w:color="auto"/>
                                                                    <w:right w:val="none" w:sz="0" w:space="0" w:color="auto"/>
                                                                  </w:divBdr>
                                                                  <w:divsChild>
                                                                    <w:div w:id="16145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095659">
                              <w:marLeft w:val="0"/>
                              <w:marRight w:val="0"/>
                              <w:marTop w:val="0"/>
                              <w:marBottom w:val="0"/>
                              <w:divBdr>
                                <w:top w:val="none" w:sz="0" w:space="0" w:color="auto"/>
                                <w:left w:val="none" w:sz="0" w:space="0" w:color="auto"/>
                                <w:bottom w:val="single" w:sz="4" w:space="0" w:color="E0E0E0"/>
                                <w:right w:val="none" w:sz="0" w:space="0" w:color="auto"/>
                              </w:divBdr>
                              <w:divsChild>
                                <w:div w:id="1001854823">
                                  <w:marLeft w:val="0"/>
                                  <w:marRight w:val="0"/>
                                  <w:marTop w:val="0"/>
                                  <w:marBottom w:val="0"/>
                                  <w:divBdr>
                                    <w:top w:val="none" w:sz="0" w:space="0" w:color="auto"/>
                                    <w:left w:val="none" w:sz="0" w:space="0" w:color="auto"/>
                                    <w:bottom w:val="none" w:sz="0" w:space="0" w:color="auto"/>
                                    <w:right w:val="none" w:sz="0" w:space="0" w:color="auto"/>
                                  </w:divBdr>
                                  <w:divsChild>
                                    <w:div w:id="17227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73788">
          <w:marLeft w:val="0"/>
          <w:marRight w:val="0"/>
          <w:marTop w:val="0"/>
          <w:marBottom w:val="0"/>
          <w:divBdr>
            <w:top w:val="none" w:sz="0" w:space="0" w:color="auto"/>
            <w:left w:val="none" w:sz="0" w:space="0" w:color="auto"/>
            <w:bottom w:val="none" w:sz="0" w:space="0" w:color="auto"/>
            <w:right w:val="none" w:sz="0" w:space="0" w:color="auto"/>
          </w:divBdr>
          <w:divsChild>
            <w:div w:id="59864985">
              <w:marLeft w:val="0"/>
              <w:marRight w:val="0"/>
              <w:marTop w:val="0"/>
              <w:marBottom w:val="0"/>
              <w:divBdr>
                <w:top w:val="none" w:sz="0" w:space="0" w:color="auto"/>
                <w:left w:val="none" w:sz="0" w:space="0" w:color="auto"/>
                <w:bottom w:val="none" w:sz="0" w:space="0" w:color="auto"/>
                <w:right w:val="none" w:sz="0" w:space="0" w:color="auto"/>
              </w:divBdr>
              <w:divsChild>
                <w:div w:id="1661076560">
                  <w:marLeft w:val="0"/>
                  <w:marRight w:val="0"/>
                  <w:marTop w:val="0"/>
                  <w:marBottom w:val="0"/>
                  <w:divBdr>
                    <w:top w:val="none" w:sz="0" w:space="0" w:color="auto"/>
                    <w:left w:val="none" w:sz="0" w:space="0" w:color="auto"/>
                    <w:bottom w:val="none" w:sz="0" w:space="0" w:color="auto"/>
                    <w:right w:val="none" w:sz="0" w:space="0" w:color="auto"/>
                  </w:divBdr>
                  <w:divsChild>
                    <w:div w:id="828835342">
                      <w:marLeft w:val="0"/>
                      <w:marRight w:val="0"/>
                      <w:marTop w:val="0"/>
                      <w:marBottom w:val="0"/>
                      <w:divBdr>
                        <w:top w:val="none" w:sz="0" w:space="0" w:color="auto"/>
                        <w:left w:val="none" w:sz="0" w:space="0" w:color="auto"/>
                        <w:bottom w:val="none" w:sz="0" w:space="0" w:color="auto"/>
                        <w:right w:val="none" w:sz="0" w:space="0" w:color="auto"/>
                      </w:divBdr>
                      <w:divsChild>
                        <w:div w:id="675888934">
                          <w:marLeft w:val="0"/>
                          <w:marRight w:val="0"/>
                          <w:marTop w:val="0"/>
                          <w:marBottom w:val="0"/>
                          <w:divBdr>
                            <w:top w:val="none" w:sz="0" w:space="0" w:color="auto"/>
                            <w:left w:val="none" w:sz="0" w:space="0" w:color="auto"/>
                            <w:bottom w:val="none" w:sz="0" w:space="0" w:color="auto"/>
                            <w:right w:val="none" w:sz="0" w:space="0" w:color="auto"/>
                          </w:divBdr>
                          <w:divsChild>
                            <w:div w:id="1293026152">
                              <w:marLeft w:val="0"/>
                              <w:marRight w:val="0"/>
                              <w:marTop w:val="0"/>
                              <w:marBottom w:val="0"/>
                              <w:divBdr>
                                <w:top w:val="single" w:sz="18" w:space="0" w:color="F5F5F5"/>
                                <w:left w:val="single" w:sz="18" w:space="0" w:color="F5F5F5"/>
                                <w:bottom w:val="single" w:sz="18" w:space="0" w:color="F5F5F5"/>
                                <w:right w:val="single" w:sz="18" w:space="0" w:color="F5F5F5"/>
                              </w:divBdr>
                              <w:divsChild>
                                <w:div w:id="2085299965">
                                  <w:marLeft w:val="0"/>
                                  <w:marRight w:val="0"/>
                                  <w:marTop w:val="0"/>
                                  <w:marBottom w:val="0"/>
                                  <w:divBdr>
                                    <w:top w:val="none" w:sz="0" w:space="0" w:color="auto"/>
                                    <w:left w:val="none" w:sz="0" w:space="0" w:color="auto"/>
                                    <w:bottom w:val="none" w:sz="0" w:space="0" w:color="auto"/>
                                    <w:right w:val="none" w:sz="0" w:space="0" w:color="auto"/>
                                  </w:divBdr>
                                  <w:divsChild>
                                    <w:div w:id="1926260917">
                                      <w:marLeft w:val="0"/>
                                      <w:marRight w:val="0"/>
                                      <w:marTop w:val="0"/>
                                      <w:marBottom w:val="0"/>
                                      <w:divBdr>
                                        <w:top w:val="none" w:sz="0" w:space="0" w:color="auto"/>
                                        <w:left w:val="none" w:sz="0" w:space="0" w:color="auto"/>
                                        <w:bottom w:val="none" w:sz="0" w:space="0" w:color="auto"/>
                                        <w:right w:val="none" w:sz="0" w:space="0" w:color="auto"/>
                                      </w:divBdr>
                                      <w:divsChild>
                                        <w:div w:id="820121280">
                                          <w:marLeft w:val="0"/>
                                          <w:marRight w:val="0"/>
                                          <w:marTop w:val="0"/>
                                          <w:marBottom w:val="0"/>
                                          <w:divBdr>
                                            <w:top w:val="none" w:sz="0" w:space="0" w:color="auto"/>
                                            <w:left w:val="none" w:sz="0" w:space="0" w:color="auto"/>
                                            <w:bottom w:val="none" w:sz="0" w:space="0" w:color="auto"/>
                                            <w:right w:val="none" w:sz="0" w:space="0" w:color="auto"/>
                                          </w:divBdr>
                                          <w:divsChild>
                                            <w:div w:id="679939077">
                                              <w:marLeft w:val="0"/>
                                              <w:marRight w:val="0"/>
                                              <w:marTop w:val="0"/>
                                              <w:marBottom w:val="0"/>
                                              <w:divBdr>
                                                <w:top w:val="none" w:sz="0" w:space="0" w:color="auto"/>
                                                <w:left w:val="none" w:sz="0" w:space="0" w:color="auto"/>
                                                <w:bottom w:val="none" w:sz="0" w:space="0" w:color="auto"/>
                                                <w:right w:val="none" w:sz="0" w:space="0" w:color="auto"/>
                                              </w:divBdr>
                                              <w:divsChild>
                                                <w:div w:id="1830704872">
                                                  <w:marLeft w:val="0"/>
                                                  <w:marRight w:val="0"/>
                                                  <w:marTop w:val="0"/>
                                                  <w:marBottom w:val="0"/>
                                                  <w:divBdr>
                                                    <w:top w:val="none" w:sz="0" w:space="0" w:color="auto"/>
                                                    <w:left w:val="none" w:sz="0" w:space="0" w:color="auto"/>
                                                    <w:bottom w:val="none" w:sz="0" w:space="0" w:color="auto"/>
                                                    <w:right w:val="none" w:sz="0" w:space="0" w:color="auto"/>
                                                  </w:divBdr>
                                                  <w:divsChild>
                                                    <w:div w:id="1386366910">
                                                      <w:marLeft w:val="0"/>
                                                      <w:marRight w:val="0"/>
                                                      <w:marTop w:val="0"/>
                                                      <w:marBottom w:val="0"/>
                                                      <w:divBdr>
                                                        <w:top w:val="none" w:sz="0" w:space="0" w:color="auto"/>
                                                        <w:left w:val="none" w:sz="0" w:space="0" w:color="auto"/>
                                                        <w:bottom w:val="none" w:sz="0" w:space="0" w:color="auto"/>
                                                        <w:right w:val="none" w:sz="0" w:space="0" w:color="auto"/>
                                                      </w:divBdr>
                                                      <w:divsChild>
                                                        <w:div w:id="1648893185">
                                                          <w:marLeft w:val="0"/>
                                                          <w:marRight w:val="0"/>
                                                          <w:marTop w:val="0"/>
                                                          <w:marBottom w:val="0"/>
                                                          <w:divBdr>
                                                            <w:top w:val="none" w:sz="0" w:space="0" w:color="auto"/>
                                                            <w:left w:val="none" w:sz="0" w:space="0" w:color="auto"/>
                                                            <w:bottom w:val="none" w:sz="0" w:space="0" w:color="auto"/>
                                                            <w:right w:val="none" w:sz="0" w:space="0" w:color="auto"/>
                                                          </w:divBdr>
                                                          <w:divsChild>
                                                            <w:div w:id="96951525">
                                                              <w:marLeft w:val="0"/>
                                                              <w:marRight w:val="0"/>
                                                              <w:marTop w:val="0"/>
                                                              <w:marBottom w:val="0"/>
                                                              <w:divBdr>
                                                                <w:top w:val="none" w:sz="0" w:space="0" w:color="auto"/>
                                                                <w:left w:val="none" w:sz="0" w:space="0" w:color="auto"/>
                                                                <w:bottom w:val="none" w:sz="0" w:space="0" w:color="auto"/>
                                                                <w:right w:val="none" w:sz="0" w:space="0" w:color="auto"/>
                                                              </w:divBdr>
                                                              <w:divsChild>
                                                                <w:div w:id="453713115">
                                                                  <w:marLeft w:val="0"/>
                                                                  <w:marRight w:val="0"/>
                                                                  <w:marTop w:val="0"/>
                                                                  <w:marBottom w:val="0"/>
                                                                  <w:divBdr>
                                                                    <w:top w:val="none" w:sz="0" w:space="0" w:color="auto"/>
                                                                    <w:left w:val="none" w:sz="0" w:space="0" w:color="auto"/>
                                                                    <w:bottom w:val="none" w:sz="0" w:space="0" w:color="auto"/>
                                                                    <w:right w:val="none" w:sz="0" w:space="0" w:color="auto"/>
                                                                  </w:divBdr>
                                                                  <w:divsChild>
                                                                    <w:div w:id="1296108742">
                                                                      <w:marLeft w:val="0"/>
                                                                      <w:marRight w:val="0"/>
                                                                      <w:marTop w:val="0"/>
                                                                      <w:marBottom w:val="0"/>
                                                                      <w:divBdr>
                                                                        <w:top w:val="none" w:sz="0" w:space="0" w:color="auto"/>
                                                                        <w:left w:val="none" w:sz="0" w:space="0" w:color="auto"/>
                                                                        <w:bottom w:val="none" w:sz="0" w:space="0" w:color="auto"/>
                                                                        <w:right w:val="none" w:sz="0" w:space="0" w:color="auto"/>
                                                                      </w:divBdr>
                                                                      <w:divsChild>
                                                                        <w:div w:id="1084573085">
                                                                          <w:marLeft w:val="0"/>
                                                                          <w:marRight w:val="0"/>
                                                                          <w:marTop w:val="0"/>
                                                                          <w:marBottom w:val="0"/>
                                                                          <w:divBdr>
                                                                            <w:top w:val="none" w:sz="0" w:space="0" w:color="auto"/>
                                                                            <w:left w:val="none" w:sz="0" w:space="0" w:color="auto"/>
                                                                            <w:bottom w:val="none" w:sz="0" w:space="0" w:color="auto"/>
                                                                            <w:right w:val="none" w:sz="0" w:space="0" w:color="auto"/>
                                                                          </w:divBdr>
                                                                        </w:div>
                                                                        <w:div w:id="1951278188">
                                                                          <w:marLeft w:val="0"/>
                                                                          <w:marRight w:val="0"/>
                                                                          <w:marTop w:val="0"/>
                                                                          <w:marBottom w:val="0"/>
                                                                          <w:divBdr>
                                                                            <w:top w:val="none" w:sz="0" w:space="0" w:color="auto"/>
                                                                            <w:left w:val="none" w:sz="0" w:space="0" w:color="auto"/>
                                                                            <w:bottom w:val="none" w:sz="0" w:space="0" w:color="auto"/>
                                                                            <w:right w:val="none" w:sz="0" w:space="0" w:color="auto"/>
                                                                          </w:divBdr>
                                                                          <w:divsChild>
                                                                            <w:div w:id="664938552">
                                                                              <w:marLeft w:val="0"/>
                                                                              <w:marRight w:val="0"/>
                                                                              <w:marTop w:val="0"/>
                                                                              <w:marBottom w:val="0"/>
                                                                              <w:divBdr>
                                                                                <w:top w:val="single" w:sz="8" w:space="0" w:color="F5F5F5"/>
                                                                                <w:left w:val="single" w:sz="8" w:space="0" w:color="F5F5F5"/>
                                                                                <w:bottom w:val="single" w:sz="8" w:space="0" w:color="F5F5F5"/>
                                                                                <w:right w:val="single" w:sz="8" w:space="0" w:color="F5F5F5"/>
                                                                              </w:divBdr>
                                                                              <w:divsChild>
                                                                                <w:div w:id="467863617">
                                                                                  <w:marLeft w:val="0"/>
                                                                                  <w:marRight w:val="0"/>
                                                                                  <w:marTop w:val="0"/>
                                                                                  <w:marBottom w:val="0"/>
                                                                                  <w:divBdr>
                                                                                    <w:top w:val="none" w:sz="0" w:space="0" w:color="auto"/>
                                                                                    <w:left w:val="none" w:sz="0" w:space="0" w:color="auto"/>
                                                                                    <w:bottom w:val="none" w:sz="0" w:space="0" w:color="auto"/>
                                                                                    <w:right w:val="none" w:sz="0" w:space="0" w:color="auto"/>
                                                                                  </w:divBdr>
                                                                                  <w:divsChild>
                                                                                    <w:div w:id="1699741770">
                                                                                      <w:marLeft w:val="0"/>
                                                                                      <w:marRight w:val="0"/>
                                                                                      <w:marTop w:val="0"/>
                                                                                      <w:marBottom w:val="0"/>
                                                                                      <w:divBdr>
                                                                                        <w:top w:val="none" w:sz="0" w:space="0" w:color="auto"/>
                                                                                        <w:left w:val="none" w:sz="0" w:space="0" w:color="auto"/>
                                                                                        <w:bottom w:val="none" w:sz="0" w:space="0" w:color="auto"/>
                                                                                        <w:right w:val="none" w:sz="0" w:space="0" w:color="auto"/>
                                                                                      </w:divBdr>
                                                                                      <w:divsChild>
                                                                                        <w:div w:id="1463227429">
                                                                                          <w:marLeft w:val="0"/>
                                                                                          <w:marRight w:val="0"/>
                                                                                          <w:marTop w:val="0"/>
                                                                                          <w:marBottom w:val="0"/>
                                                                                          <w:divBdr>
                                                                                            <w:top w:val="none" w:sz="0" w:space="0" w:color="auto"/>
                                                                                            <w:left w:val="none" w:sz="0" w:space="0" w:color="auto"/>
                                                                                            <w:bottom w:val="none" w:sz="0" w:space="0" w:color="auto"/>
                                                                                            <w:right w:val="none" w:sz="0" w:space="0" w:color="auto"/>
                                                                                          </w:divBdr>
                                                                                          <w:divsChild>
                                                                                            <w:div w:id="322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4620">
                                                                              <w:marLeft w:val="0"/>
                                                                              <w:marRight w:val="0"/>
                                                                              <w:marTop w:val="0"/>
                                                                              <w:marBottom w:val="0"/>
                                                                              <w:divBdr>
                                                                                <w:top w:val="single" w:sz="8" w:space="0" w:color="F5F5F5"/>
                                                                                <w:left w:val="single" w:sz="8" w:space="0" w:color="F5F5F5"/>
                                                                                <w:bottom w:val="single" w:sz="8" w:space="0" w:color="F5F5F5"/>
                                                                                <w:right w:val="single" w:sz="8" w:space="0" w:color="F5F5F5"/>
                                                                              </w:divBdr>
                                                                              <w:divsChild>
                                                                                <w:div w:id="1135564807">
                                                                                  <w:marLeft w:val="0"/>
                                                                                  <w:marRight w:val="0"/>
                                                                                  <w:marTop w:val="0"/>
                                                                                  <w:marBottom w:val="0"/>
                                                                                  <w:divBdr>
                                                                                    <w:top w:val="single" w:sz="4" w:space="0" w:color="auto"/>
                                                                                    <w:left w:val="single" w:sz="4" w:space="0" w:color="auto"/>
                                                                                    <w:bottom w:val="single" w:sz="4" w:space="0" w:color="auto"/>
                                                                                    <w:right w:val="single" w:sz="4" w:space="0" w:color="auto"/>
                                                                                  </w:divBdr>
                                                                                  <w:divsChild>
                                                                                    <w:div w:id="593366542">
                                                                                      <w:marLeft w:val="0"/>
                                                                                      <w:marRight w:val="0"/>
                                                                                      <w:marTop w:val="0"/>
                                                                                      <w:marBottom w:val="0"/>
                                                                                      <w:divBdr>
                                                                                        <w:top w:val="none" w:sz="0" w:space="0" w:color="auto"/>
                                                                                        <w:left w:val="none" w:sz="0" w:space="0" w:color="auto"/>
                                                                                        <w:bottom w:val="none" w:sz="0" w:space="0" w:color="auto"/>
                                                                                        <w:right w:val="none" w:sz="0" w:space="0" w:color="auto"/>
                                                                                      </w:divBdr>
                                                                                      <w:divsChild>
                                                                                        <w:div w:id="1775978559">
                                                                                          <w:marLeft w:val="0"/>
                                                                                          <w:marRight w:val="0"/>
                                                                                          <w:marTop w:val="0"/>
                                                                                          <w:marBottom w:val="0"/>
                                                                                          <w:divBdr>
                                                                                            <w:top w:val="none" w:sz="0" w:space="0" w:color="auto"/>
                                                                                            <w:left w:val="none" w:sz="0" w:space="0" w:color="auto"/>
                                                                                            <w:bottom w:val="none" w:sz="0" w:space="0" w:color="auto"/>
                                                                                            <w:right w:val="none" w:sz="0" w:space="0" w:color="auto"/>
                                                                                          </w:divBdr>
                                                                                          <w:divsChild>
                                                                                            <w:div w:id="20699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7319">
                                                                                  <w:marLeft w:val="0"/>
                                                                                  <w:marRight w:val="0"/>
                                                                                  <w:marTop w:val="0"/>
                                                                                  <w:marBottom w:val="0"/>
                                                                                  <w:divBdr>
                                                                                    <w:top w:val="none" w:sz="0" w:space="0" w:color="auto"/>
                                                                                    <w:left w:val="none" w:sz="0" w:space="0" w:color="auto"/>
                                                                                    <w:bottom w:val="none" w:sz="0" w:space="0" w:color="auto"/>
                                                                                    <w:right w:val="none" w:sz="0" w:space="0" w:color="auto"/>
                                                                                  </w:divBdr>
                                                                                  <w:divsChild>
                                                                                    <w:div w:id="346493198">
                                                                                      <w:marLeft w:val="0"/>
                                                                                      <w:marRight w:val="0"/>
                                                                                      <w:marTop w:val="0"/>
                                                                                      <w:marBottom w:val="0"/>
                                                                                      <w:divBdr>
                                                                                        <w:top w:val="none" w:sz="0" w:space="0" w:color="auto"/>
                                                                                        <w:left w:val="none" w:sz="0" w:space="0" w:color="auto"/>
                                                                                        <w:bottom w:val="none" w:sz="0" w:space="0" w:color="auto"/>
                                                                                        <w:right w:val="none" w:sz="0" w:space="0" w:color="auto"/>
                                                                                      </w:divBdr>
                                                                                      <w:divsChild>
                                                                                        <w:div w:id="1124470058">
                                                                                          <w:marLeft w:val="0"/>
                                                                                          <w:marRight w:val="0"/>
                                                                                          <w:marTop w:val="0"/>
                                                                                          <w:marBottom w:val="0"/>
                                                                                          <w:divBdr>
                                                                                            <w:top w:val="none" w:sz="0" w:space="0" w:color="auto"/>
                                                                                            <w:left w:val="none" w:sz="0" w:space="0" w:color="auto"/>
                                                                                            <w:bottom w:val="none" w:sz="0" w:space="0" w:color="auto"/>
                                                                                            <w:right w:val="none" w:sz="0" w:space="0" w:color="auto"/>
                                                                                          </w:divBdr>
                                                                                          <w:divsChild>
                                                                                            <w:div w:id="5039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6971">
                                                                              <w:marLeft w:val="0"/>
                                                                              <w:marRight w:val="0"/>
                                                                              <w:marTop w:val="0"/>
                                                                              <w:marBottom w:val="0"/>
                                                                              <w:divBdr>
                                                                                <w:top w:val="single" w:sz="8" w:space="0" w:color="F5F5F5"/>
                                                                                <w:left w:val="single" w:sz="8" w:space="0" w:color="F5F5F5"/>
                                                                                <w:bottom w:val="single" w:sz="8" w:space="0" w:color="F5F5F5"/>
                                                                                <w:right w:val="single" w:sz="8" w:space="0" w:color="F5F5F5"/>
                                                                              </w:divBdr>
                                                                              <w:divsChild>
                                                                                <w:div w:id="57748121">
                                                                                  <w:marLeft w:val="0"/>
                                                                                  <w:marRight w:val="0"/>
                                                                                  <w:marTop w:val="0"/>
                                                                                  <w:marBottom w:val="0"/>
                                                                                  <w:divBdr>
                                                                                    <w:top w:val="none" w:sz="0" w:space="0" w:color="auto"/>
                                                                                    <w:left w:val="none" w:sz="0" w:space="0" w:color="auto"/>
                                                                                    <w:bottom w:val="none" w:sz="0" w:space="0" w:color="auto"/>
                                                                                    <w:right w:val="none" w:sz="0" w:space="0" w:color="auto"/>
                                                                                  </w:divBdr>
                                                                                  <w:divsChild>
                                                                                    <w:div w:id="1333219687">
                                                                                      <w:marLeft w:val="0"/>
                                                                                      <w:marRight w:val="0"/>
                                                                                      <w:marTop w:val="0"/>
                                                                                      <w:marBottom w:val="0"/>
                                                                                      <w:divBdr>
                                                                                        <w:top w:val="none" w:sz="0" w:space="0" w:color="auto"/>
                                                                                        <w:left w:val="none" w:sz="0" w:space="0" w:color="auto"/>
                                                                                        <w:bottom w:val="none" w:sz="0" w:space="0" w:color="auto"/>
                                                                                        <w:right w:val="none" w:sz="0" w:space="0" w:color="auto"/>
                                                                                      </w:divBdr>
                                                                                      <w:divsChild>
                                                                                        <w:div w:id="977758998">
                                                                                          <w:marLeft w:val="0"/>
                                                                                          <w:marRight w:val="0"/>
                                                                                          <w:marTop w:val="0"/>
                                                                                          <w:marBottom w:val="0"/>
                                                                                          <w:divBdr>
                                                                                            <w:top w:val="none" w:sz="0" w:space="0" w:color="auto"/>
                                                                                            <w:left w:val="none" w:sz="0" w:space="0" w:color="auto"/>
                                                                                            <w:bottom w:val="none" w:sz="0" w:space="0" w:color="auto"/>
                                                                                            <w:right w:val="none" w:sz="0" w:space="0" w:color="auto"/>
                                                                                          </w:divBdr>
                                                                                          <w:divsChild>
                                                                                            <w:div w:id="1312102026">
                                                                                              <w:marLeft w:val="0"/>
                                                                                              <w:marRight w:val="0"/>
                                                                                              <w:marTop w:val="0"/>
                                                                                              <w:marBottom w:val="0"/>
                                                                                              <w:divBdr>
                                                                                                <w:top w:val="none" w:sz="0" w:space="0" w:color="auto"/>
                                                                                                <w:left w:val="none" w:sz="0" w:space="0" w:color="auto"/>
                                                                                                <w:bottom w:val="none" w:sz="0" w:space="0" w:color="auto"/>
                                                                                                <w:right w:val="none" w:sz="0" w:space="0" w:color="auto"/>
                                                                                              </w:divBdr>
                                                                                              <w:divsChild>
                                                                                                <w:div w:id="1667706758">
                                                                                                  <w:marLeft w:val="0"/>
                                                                                                  <w:marRight w:val="0"/>
                                                                                                  <w:marTop w:val="0"/>
                                                                                                  <w:marBottom w:val="0"/>
                                                                                                  <w:divBdr>
                                                                                                    <w:top w:val="none" w:sz="0" w:space="0" w:color="auto"/>
                                                                                                    <w:left w:val="none" w:sz="0" w:space="0" w:color="auto"/>
                                                                                                    <w:bottom w:val="none" w:sz="0" w:space="0" w:color="auto"/>
                                                                                                    <w:right w:val="none" w:sz="0" w:space="0" w:color="auto"/>
                                                                                                  </w:divBdr>
                                                                                                  <w:divsChild>
                                                                                                    <w:div w:id="8463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415643">
                                                                              <w:marLeft w:val="0"/>
                                                                              <w:marRight w:val="0"/>
                                                                              <w:marTop w:val="0"/>
                                                                              <w:marBottom w:val="0"/>
                                                                              <w:divBdr>
                                                                                <w:top w:val="single" w:sz="8" w:space="0" w:color="F5F5F5"/>
                                                                                <w:left w:val="single" w:sz="8" w:space="0" w:color="F5F5F5"/>
                                                                                <w:bottom w:val="single" w:sz="8" w:space="0" w:color="F5F5F5"/>
                                                                                <w:right w:val="single" w:sz="8" w:space="0" w:color="F5F5F5"/>
                                                                              </w:divBdr>
                                                                              <w:divsChild>
                                                                                <w:div w:id="1675690043">
                                                                                  <w:marLeft w:val="0"/>
                                                                                  <w:marRight w:val="0"/>
                                                                                  <w:marTop w:val="0"/>
                                                                                  <w:marBottom w:val="0"/>
                                                                                  <w:divBdr>
                                                                                    <w:top w:val="none" w:sz="0" w:space="0" w:color="auto"/>
                                                                                    <w:left w:val="none" w:sz="0" w:space="0" w:color="auto"/>
                                                                                    <w:bottom w:val="none" w:sz="0" w:space="0" w:color="auto"/>
                                                                                    <w:right w:val="none" w:sz="0" w:space="0" w:color="auto"/>
                                                                                  </w:divBdr>
                                                                                  <w:divsChild>
                                                                                    <w:div w:id="310712758">
                                                                                      <w:marLeft w:val="0"/>
                                                                                      <w:marRight w:val="0"/>
                                                                                      <w:marTop w:val="0"/>
                                                                                      <w:marBottom w:val="0"/>
                                                                                      <w:divBdr>
                                                                                        <w:top w:val="none" w:sz="0" w:space="0" w:color="auto"/>
                                                                                        <w:left w:val="none" w:sz="0" w:space="0" w:color="auto"/>
                                                                                        <w:bottom w:val="none" w:sz="0" w:space="0" w:color="auto"/>
                                                                                        <w:right w:val="none" w:sz="0" w:space="0" w:color="auto"/>
                                                                                      </w:divBdr>
                                                                                      <w:divsChild>
                                                                                        <w:div w:id="1880390962">
                                                                                          <w:marLeft w:val="0"/>
                                                                                          <w:marRight w:val="0"/>
                                                                                          <w:marTop w:val="0"/>
                                                                                          <w:marBottom w:val="0"/>
                                                                                          <w:divBdr>
                                                                                            <w:top w:val="none" w:sz="0" w:space="0" w:color="auto"/>
                                                                                            <w:left w:val="none" w:sz="0" w:space="0" w:color="auto"/>
                                                                                            <w:bottom w:val="none" w:sz="0" w:space="0" w:color="auto"/>
                                                                                            <w:right w:val="none" w:sz="0" w:space="0" w:color="auto"/>
                                                                                          </w:divBdr>
                                                                                          <w:divsChild>
                                                                                            <w:div w:id="4013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7939">
                                                                                  <w:marLeft w:val="0"/>
                                                                                  <w:marRight w:val="0"/>
                                                                                  <w:marTop w:val="0"/>
                                                                                  <w:marBottom w:val="0"/>
                                                                                  <w:divBdr>
                                                                                    <w:top w:val="single" w:sz="4" w:space="0" w:color="auto"/>
                                                                                    <w:left w:val="single" w:sz="4" w:space="0" w:color="auto"/>
                                                                                    <w:bottom w:val="single" w:sz="4" w:space="0" w:color="auto"/>
                                                                                    <w:right w:val="single" w:sz="4" w:space="0" w:color="auto"/>
                                                                                  </w:divBdr>
                                                                                  <w:divsChild>
                                                                                    <w:div w:id="164442114">
                                                                                      <w:marLeft w:val="0"/>
                                                                                      <w:marRight w:val="0"/>
                                                                                      <w:marTop w:val="0"/>
                                                                                      <w:marBottom w:val="0"/>
                                                                                      <w:divBdr>
                                                                                        <w:top w:val="none" w:sz="0" w:space="0" w:color="auto"/>
                                                                                        <w:left w:val="none" w:sz="0" w:space="0" w:color="auto"/>
                                                                                        <w:bottom w:val="none" w:sz="0" w:space="0" w:color="auto"/>
                                                                                        <w:right w:val="none" w:sz="0" w:space="0" w:color="auto"/>
                                                                                      </w:divBdr>
                                                                                      <w:divsChild>
                                                                                        <w:div w:id="2058429252">
                                                                                          <w:marLeft w:val="0"/>
                                                                                          <w:marRight w:val="0"/>
                                                                                          <w:marTop w:val="0"/>
                                                                                          <w:marBottom w:val="0"/>
                                                                                          <w:divBdr>
                                                                                            <w:top w:val="none" w:sz="0" w:space="0" w:color="auto"/>
                                                                                            <w:left w:val="none" w:sz="0" w:space="0" w:color="auto"/>
                                                                                            <w:bottom w:val="none" w:sz="0" w:space="0" w:color="auto"/>
                                                                                            <w:right w:val="none" w:sz="0" w:space="0" w:color="auto"/>
                                                                                          </w:divBdr>
                                                                                          <w:divsChild>
                                                                                            <w:div w:id="21465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720965">
      <w:bodyDiv w:val="1"/>
      <w:marLeft w:val="0"/>
      <w:marRight w:val="0"/>
      <w:marTop w:val="0"/>
      <w:marBottom w:val="0"/>
      <w:divBdr>
        <w:top w:val="none" w:sz="0" w:space="0" w:color="auto"/>
        <w:left w:val="none" w:sz="0" w:space="0" w:color="auto"/>
        <w:bottom w:val="none" w:sz="0" w:space="0" w:color="auto"/>
        <w:right w:val="none" w:sz="0" w:space="0" w:color="auto"/>
      </w:divBdr>
    </w:div>
    <w:div w:id="703871671">
      <w:bodyDiv w:val="1"/>
      <w:marLeft w:val="0"/>
      <w:marRight w:val="0"/>
      <w:marTop w:val="0"/>
      <w:marBottom w:val="0"/>
      <w:divBdr>
        <w:top w:val="none" w:sz="0" w:space="0" w:color="auto"/>
        <w:left w:val="none" w:sz="0" w:space="0" w:color="auto"/>
        <w:bottom w:val="none" w:sz="0" w:space="0" w:color="auto"/>
        <w:right w:val="none" w:sz="0" w:space="0" w:color="auto"/>
      </w:divBdr>
    </w:div>
    <w:div w:id="740059770">
      <w:bodyDiv w:val="1"/>
      <w:marLeft w:val="0"/>
      <w:marRight w:val="0"/>
      <w:marTop w:val="0"/>
      <w:marBottom w:val="0"/>
      <w:divBdr>
        <w:top w:val="none" w:sz="0" w:space="0" w:color="auto"/>
        <w:left w:val="none" w:sz="0" w:space="0" w:color="auto"/>
        <w:bottom w:val="none" w:sz="0" w:space="0" w:color="auto"/>
        <w:right w:val="none" w:sz="0" w:space="0" w:color="auto"/>
      </w:divBdr>
    </w:div>
    <w:div w:id="759251331">
      <w:bodyDiv w:val="1"/>
      <w:marLeft w:val="0"/>
      <w:marRight w:val="0"/>
      <w:marTop w:val="0"/>
      <w:marBottom w:val="0"/>
      <w:divBdr>
        <w:top w:val="none" w:sz="0" w:space="0" w:color="auto"/>
        <w:left w:val="none" w:sz="0" w:space="0" w:color="auto"/>
        <w:bottom w:val="none" w:sz="0" w:space="0" w:color="auto"/>
        <w:right w:val="none" w:sz="0" w:space="0" w:color="auto"/>
      </w:divBdr>
    </w:div>
    <w:div w:id="883298802">
      <w:bodyDiv w:val="1"/>
      <w:marLeft w:val="0"/>
      <w:marRight w:val="0"/>
      <w:marTop w:val="0"/>
      <w:marBottom w:val="0"/>
      <w:divBdr>
        <w:top w:val="none" w:sz="0" w:space="0" w:color="auto"/>
        <w:left w:val="none" w:sz="0" w:space="0" w:color="auto"/>
        <w:bottom w:val="none" w:sz="0" w:space="0" w:color="auto"/>
        <w:right w:val="none" w:sz="0" w:space="0" w:color="auto"/>
      </w:divBdr>
      <w:divsChild>
        <w:div w:id="521088405">
          <w:marLeft w:val="0"/>
          <w:marRight w:val="0"/>
          <w:marTop w:val="0"/>
          <w:marBottom w:val="0"/>
          <w:divBdr>
            <w:top w:val="none" w:sz="0" w:space="0" w:color="auto"/>
            <w:left w:val="none" w:sz="0" w:space="0" w:color="auto"/>
            <w:bottom w:val="none" w:sz="0" w:space="0" w:color="auto"/>
            <w:right w:val="none" w:sz="0" w:space="0" w:color="auto"/>
          </w:divBdr>
          <w:divsChild>
            <w:div w:id="76946476">
              <w:marLeft w:val="0"/>
              <w:marRight w:val="0"/>
              <w:marTop w:val="0"/>
              <w:marBottom w:val="0"/>
              <w:divBdr>
                <w:top w:val="none" w:sz="0" w:space="0" w:color="auto"/>
                <w:left w:val="none" w:sz="0" w:space="0" w:color="auto"/>
                <w:bottom w:val="none" w:sz="0" w:space="0" w:color="auto"/>
                <w:right w:val="none" w:sz="0" w:space="0" w:color="auto"/>
              </w:divBdr>
            </w:div>
            <w:div w:id="1098675509">
              <w:marLeft w:val="0"/>
              <w:marRight w:val="0"/>
              <w:marTop w:val="0"/>
              <w:marBottom w:val="0"/>
              <w:divBdr>
                <w:top w:val="none" w:sz="0" w:space="0" w:color="auto"/>
                <w:left w:val="none" w:sz="0" w:space="0" w:color="auto"/>
                <w:bottom w:val="none" w:sz="0" w:space="0" w:color="auto"/>
                <w:right w:val="none" w:sz="0" w:space="0" w:color="auto"/>
              </w:divBdr>
            </w:div>
            <w:div w:id="1472870838">
              <w:marLeft w:val="0"/>
              <w:marRight w:val="0"/>
              <w:marTop w:val="0"/>
              <w:marBottom w:val="0"/>
              <w:divBdr>
                <w:top w:val="none" w:sz="0" w:space="0" w:color="auto"/>
                <w:left w:val="none" w:sz="0" w:space="0" w:color="auto"/>
                <w:bottom w:val="none" w:sz="0" w:space="0" w:color="auto"/>
                <w:right w:val="none" w:sz="0" w:space="0" w:color="auto"/>
              </w:divBdr>
            </w:div>
          </w:divsChild>
        </w:div>
        <w:div w:id="780104698">
          <w:marLeft w:val="0"/>
          <w:marRight w:val="0"/>
          <w:marTop w:val="0"/>
          <w:marBottom w:val="0"/>
          <w:divBdr>
            <w:top w:val="none" w:sz="0" w:space="0" w:color="auto"/>
            <w:left w:val="none" w:sz="0" w:space="0" w:color="auto"/>
            <w:bottom w:val="none" w:sz="0" w:space="0" w:color="auto"/>
            <w:right w:val="none" w:sz="0" w:space="0" w:color="auto"/>
          </w:divBdr>
          <w:divsChild>
            <w:div w:id="2438072">
              <w:marLeft w:val="0"/>
              <w:marRight w:val="0"/>
              <w:marTop w:val="0"/>
              <w:marBottom w:val="0"/>
              <w:divBdr>
                <w:top w:val="none" w:sz="0" w:space="0" w:color="auto"/>
                <w:left w:val="none" w:sz="0" w:space="0" w:color="auto"/>
                <w:bottom w:val="none" w:sz="0" w:space="0" w:color="auto"/>
                <w:right w:val="none" w:sz="0" w:space="0" w:color="auto"/>
              </w:divBdr>
            </w:div>
            <w:div w:id="734816410">
              <w:marLeft w:val="0"/>
              <w:marRight w:val="0"/>
              <w:marTop w:val="0"/>
              <w:marBottom w:val="0"/>
              <w:divBdr>
                <w:top w:val="none" w:sz="0" w:space="0" w:color="auto"/>
                <w:left w:val="none" w:sz="0" w:space="0" w:color="auto"/>
                <w:bottom w:val="none" w:sz="0" w:space="0" w:color="auto"/>
                <w:right w:val="none" w:sz="0" w:space="0" w:color="auto"/>
              </w:divBdr>
            </w:div>
            <w:div w:id="831987117">
              <w:marLeft w:val="0"/>
              <w:marRight w:val="0"/>
              <w:marTop w:val="0"/>
              <w:marBottom w:val="0"/>
              <w:divBdr>
                <w:top w:val="none" w:sz="0" w:space="0" w:color="auto"/>
                <w:left w:val="none" w:sz="0" w:space="0" w:color="auto"/>
                <w:bottom w:val="none" w:sz="0" w:space="0" w:color="auto"/>
                <w:right w:val="none" w:sz="0" w:space="0" w:color="auto"/>
              </w:divBdr>
            </w:div>
            <w:div w:id="868908845">
              <w:marLeft w:val="0"/>
              <w:marRight w:val="0"/>
              <w:marTop w:val="0"/>
              <w:marBottom w:val="0"/>
              <w:divBdr>
                <w:top w:val="none" w:sz="0" w:space="0" w:color="auto"/>
                <w:left w:val="none" w:sz="0" w:space="0" w:color="auto"/>
                <w:bottom w:val="none" w:sz="0" w:space="0" w:color="auto"/>
                <w:right w:val="none" w:sz="0" w:space="0" w:color="auto"/>
              </w:divBdr>
            </w:div>
            <w:div w:id="1694843743">
              <w:marLeft w:val="0"/>
              <w:marRight w:val="0"/>
              <w:marTop w:val="0"/>
              <w:marBottom w:val="0"/>
              <w:divBdr>
                <w:top w:val="none" w:sz="0" w:space="0" w:color="auto"/>
                <w:left w:val="none" w:sz="0" w:space="0" w:color="auto"/>
                <w:bottom w:val="none" w:sz="0" w:space="0" w:color="auto"/>
                <w:right w:val="none" w:sz="0" w:space="0" w:color="auto"/>
              </w:divBdr>
            </w:div>
            <w:div w:id="21424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730">
      <w:bodyDiv w:val="1"/>
      <w:marLeft w:val="0"/>
      <w:marRight w:val="0"/>
      <w:marTop w:val="0"/>
      <w:marBottom w:val="0"/>
      <w:divBdr>
        <w:top w:val="none" w:sz="0" w:space="0" w:color="auto"/>
        <w:left w:val="none" w:sz="0" w:space="0" w:color="auto"/>
        <w:bottom w:val="none" w:sz="0" w:space="0" w:color="auto"/>
        <w:right w:val="none" w:sz="0" w:space="0" w:color="auto"/>
      </w:divBdr>
      <w:divsChild>
        <w:div w:id="20128134">
          <w:marLeft w:val="0"/>
          <w:marRight w:val="0"/>
          <w:marTop w:val="0"/>
          <w:marBottom w:val="0"/>
          <w:divBdr>
            <w:top w:val="none" w:sz="0" w:space="0" w:color="auto"/>
            <w:left w:val="none" w:sz="0" w:space="0" w:color="auto"/>
            <w:bottom w:val="none" w:sz="0" w:space="0" w:color="auto"/>
            <w:right w:val="none" w:sz="0" w:space="0" w:color="auto"/>
          </w:divBdr>
        </w:div>
        <w:div w:id="225261894">
          <w:marLeft w:val="0"/>
          <w:marRight w:val="0"/>
          <w:marTop w:val="0"/>
          <w:marBottom w:val="0"/>
          <w:divBdr>
            <w:top w:val="none" w:sz="0" w:space="0" w:color="auto"/>
            <w:left w:val="none" w:sz="0" w:space="0" w:color="auto"/>
            <w:bottom w:val="none" w:sz="0" w:space="0" w:color="auto"/>
            <w:right w:val="none" w:sz="0" w:space="0" w:color="auto"/>
          </w:divBdr>
        </w:div>
        <w:div w:id="290210302">
          <w:marLeft w:val="0"/>
          <w:marRight w:val="0"/>
          <w:marTop w:val="0"/>
          <w:marBottom w:val="0"/>
          <w:divBdr>
            <w:top w:val="none" w:sz="0" w:space="0" w:color="auto"/>
            <w:left w:val="none" w:sz="0" w:space="0" w:color="auto"/>
            <w:bottom w:val="none" w:sz="0" w:space="0" w:color="auto"/>
            <w:right w:val="none" w:sz="0" w:space="0" w:color="auto"/>
          </w:divBdr>
        </w:div>
        <w:div w:id="302465881">
          <w:marLeft w:val="0"/>
          <w:marRight w:val="0"/>
          <w:marTop w:val="0"/>
          <w:marBottom w:val="0"/>
          <w:divBdr>
            <w:top w:val="none" w:sz="0" w:space="0" w:color="auto"/>
            <w:left w:val="none" w:sz="0" w:space="0" w:color="auto"/>
            <w:bottom w:val="none" w:sz="0" w:space="0" w:color="auto"/>
            <w:right w:val="none" w:sz="0" w:space="0" w:color="auto"/>
          </w:divBdr>
          <w:divsChild>
            <w:div w:id="51657614">
              <w:marLeft w:val="0"/>
              <w:marRight w:val="0"/>
              <w:marTop w:val="0"/>
              <w:marBottom w:val="0"/>
              <w:divBdr>
                <w:top w:val="none" w:sz="0" w:space="0" w:color="auto"/>
                <w:left w:val="none" w:sz="0" w:space="0" w:color="auto"/>
                <w:bottom w:val="none" w:sz="0" w:space="0" w:color="auto"/>
                <w:right w:val="none" w:sz="0" w:space="0" w:color="auto"/>
              </w:divBdr>
            </w:div>
            <w:div w:id="129637177">
              <w:marLeft w:val="0"/>
              <w:marRight w:val="0"/>
              <w:marTop w:val="0"/>
              <w:marBottom w:val="0"/>
              <w:divBdr>
                <w:top w:val="none" w:sz="0" w:space="0" w:color="auto"/>
                <w:left w:val="none" w:sz="0" w:space="0" w:color="auto"/>
                <w:bottom w:val="none" w:sz="0" w:space="0" w:color="auto"/>
                <w:right w:val="none" w:sz="0" w:space="0" w:color="auto"/>
              </w:divBdr>
            </w:div>
            <w:div w:id="179853692">
              <w:marLeft w:val="0"/>
              <w:marRight w:val="0"/>
              <w:marTop w:val="0"/>
              <w:marBottom w:val="0"/>
              <w:divBdr>
                <w:top w:val="none" w:sz="0" w:space="0" w:color="auto"/>
                <w:left w:val="none" w:sz="0" w:space="0" w:color="auto"/>
                <w:bottom w:val="none" w:sz="0" w:space="0" w:color="auto"/>
                <w:right w:val="none" w:sz="0" w:space="0" w:color="auto"/>
              </w:divBdr>
            </w:div>
            <w:div w:id="196623141">
              <w:marLeft w:val="0"/>
              <w:marRight w:val="0"/>
              <w:marTop w:val="0"/>
              <w:marBottom w:val="0"/>
              <w:divBdr>
                <w:top w:val="none" w:sz="0" w:space="0" w:color="auto"/>
                <w:left w:val="none" w:sz="0" w:space="0" w:color="auto"/>
                <w:bottom w:val="none" w:sz="0" w:space="0" w:color="auto"/>
                <w:right w:val="none" w:sz="0" w:space="0" w:color="auto"/>
              </w:divBdr>
            </w:div>
            <w:div w:id="361630531">
              <w:marLeft w:val="0"/>
              <w:marRight w:val="0"/>
              <w:marTop w:val="0"/>
              <w:marBottom w:val="0"/>
              <w:divBdr>
                <w:top w:val="none" w:sz="0" w:space="0" w:color="auto"/>
                <w:left w:val="none" w:sz="0" w:space="0" w:color="auto"/>
                <w:bottom w:val="none" w:sz="0" w:space="0" w:color="auto"/>
                <w:right w:val="none" w:sz="0" w:space="0" w:color="auto"/>
              </w:divBdr>
            </w:div>
            <w:div w:id="414716091">
              <w:marLeft w:val="0"/>
              <w:marRight w:val="0"/>
              <w:marTop w:val="0"/>
              <w:marBottom w:val="0"/>
              <w:divBdr>
                <w:top w:val="none" w:sz="0" w:space="0" w:color="auto"/>
                <w:left w:val="none" w:sz="0" w:space="0" w:color="auto"/>
                <w:bottom w:val="none" w:sz="0" w:space="0" w:color="auto"/>
                <w:right w:val="none" w:sz="0" w:space="0" w:color="auto"/>
              </w:divBdr>
            </w:div>
            <w:div w:id="475728174">
              <w:marLeft w:val="0"/>
              <w:marRight w:val="0"/>
              <w:marTop w:val="0"/>
              <w:marBottom w:val="0"/>
              <w:divBdr>
                <w:top w:val="none" w:sz="0" w:space="0" w:color="auto"/>
                <w:left w:val="none" w:sz="0" w:space="0" w:color="auto"/>
                <w:bottom w:val="none" w:sz="0" w:space="0" w:color="auto"/>
                <w:right w:val="none" w:sz="0" w:space="0" w:color="auto"/>
              </w:divBdr>
            </w:div>
            <w:div w:id="660887609">
              <w:marLeft w:val="0"/>
              <w:marRight w:val="0"/>
              <w:marTop w:val="0"/>
              <w:marBottom w:val="0"/>
              <w:divBdr>
                <w:top w:val="none" w:sz="0" w:space="0" w:color="auto"/>
                <w:left w:val="none" w:sz="0" w:space="0" w:color="auto"/>
                <w:bottom w:val="none" w:sz="0" w:space="0" w:color="auto"/>
                <w:right w:val="none" w:sz="0" w:space="0" w:color="auto"/>
              </w:divBdr>
            </w:div>
            <w:div w:id="976029959">
              <w:marLeft w:val="0"/>
              <w:marRight w:val="0"/>
              <w:marTop w:val="0"/>
              <w:marBottom w:val="0"/>
              <w:divBdr>
                <w:top w:val="none" w:sz="0" w:space="0" w:color="auto"/>
                <w:left w:val="none" w:sz="0" w:space="0" w:color="auto"/>
                <w:bottom w:val="none" w:sz="0" w:space="0" w:color="auto"/>
                <w:right w:val="none" w:sz="0" w:space="0" w:color="auto"/>
              </w:divBdr>
            </w:div>
            <w:div w:id="1023017579">
              <w:marLeft w:val="0"/>
              <w:marRight w:val="0"/>
              <w:marTop w:val="0"/>
              <w:marBottom w:val="0"/>
              <w:divBdr>
                <w:top w:val="none" w:sz="0" w:space="0" w:color="auto"/>
                <w:left w:val="none" w:sz="0" w:space="0" w:color="auto"/>
                <w:bottom w:val="none" w:sz="0" w:space="0" w:color="auto"/>
                <w:right w:val="none" w:sz="0" w:space="0" w:color="auto"/>
              </w:divBdr>
            </w:div>
            <w:div w:id="1245870931">
              <w:marLeft w:val="0"/>
              <w:marRight w:val="0"/>
              <w:marTop w:val="0"/>
              <w:marBottom w:val="0"/>
              <w:divBdr>
                <w:top w:val="none" w:sz="0" w:space="0" w:color="auto"/>
                <w:left w:val="none" w:sz="0" w:space="0" w:color="auto"/>
                <w:bottom w:val="none" w:sz="0" w:space="0" w:color="auto"/>
                <w:right w:val="none" w:sz="0" w:space="0" w:color="auto"/>
              </w:divBdr>
            </w:div>
            <w:div w:id="1355964468">
              <w:marLeft w:val="0"/>
              <w:marRight w:val="0"/>
              <w:marTop w:val="0"/>
              <w:marBottom w:val="0"/>
              <w:divBdr>
                <w:top w:val="none" w:sz="0" w:space="0" w:color="auto"/>
                <w:left w:val="none" w:sz="0" w:space="0" w:color="auto"/>
                <w:bottom w:val="none" w:sz="0" w:space="0" w:color="auto"/>
                <w:right w:val="none" w:sz="0" w:space="0" w:color="auto"/>
              </w:divBdr>
            </w:div>
            <w:div w:id="1510488745">
              <w:marLeft w:val="0"/>
              <w:marRight w:val="0"/>
              <w:marTop w:val="0"/>
              <w:marBottom w:val="0"/>
              <w:divBdr>
                <w:top w:val="none" w:sz="0" w:space="0" w:color="auto"/>
                <w:left w:val="none" w:sz="0" w:space="0" w:color="auto"/>
                <w:bottom w:val="none" w:sz="0" w:space="0" w:color="auto"/>
                <w:right w:val="none" w:sz="0" w:space="0" w:color="auto"/>
              </w:divBdr>
            </w:div>
            <w:div w:id="1564100700">
              <w:marLeft w:val="0"/>
              <w:marRight w:val="0"/>
              <w:marTop w:val="0"/>
              <w:marBottom w:val="0"/>
              <w:divBdr>
                <w:top w:val="none" w:sz="0" w:space="0" w:color="auto"/>
                <w:left w:val="none" w:sz="0" w:space="0" w:color="auto"/>
                <w:bottom w:val="none" w:sz="0" w:space="0" w:color="auto"/>
                <w:right w:val="none" w:sz="0" w:space="0" w:color="auto"/>
              </w:divBdr>
            </w:div>
            <w:div w:id="1602105566">
              <w:marLeft w:val="0"/>
              <w:marRight w:val="0"/>
              <w:marTop w:val="0"/>
              <w:marBottom w:val="0"/>
              <w:divBdr>
                <w:top w:val="none" w:sz="0" w:space="0" w:color="auto"/>
                <w:left w:val="none" w:sz="0" w:space="0" w:color="auto"/>
                <w:bottom w:val="none" w:sz="0" w:space="0" w:color="auto"/>
                <w:right w:val="none" w:sz="0" w:space="0" w:color="auto"/>
              </w:divBdr>
            </w:div>
            <w:div w:id="1749039586">
              <w:marLeft w:val="0"/>
              <w:marRight w:val="0"/>
              <w:marTop w:val="0"/>
              <w:marBottom w:val="0"/>
              <w:divBdr>
                <w:top w:val="none" w:sz="0" w:space="0" w:color="auto"/>
                <w:left w:val="none" w:sz="0" w:space="0" w:color="auto"/>
                <w:bottom w:val="none" w:sz="0" w:space="0" w:color="auto"/>
                <w:right w:val="none" w:sz="0" w:space="0" w:color="auto"/>
              </w:divBdr>
            </w:div>
            <w:div w:id="1947078477">
              <w:marLeft w:val="0"/>
              <w:marRight w:val="0"/>
              <w:marTop w:val="0"/>
              <w:marBottom w:val="0"/>
              <w:divBdr>
                <w:top w:val="none" w:sz="0" w:space="0" w:color="auto"/>
                <w:left w:val="none" w:sz="0" w:space="0" w:color="auto"/>
                <w:bottom w:val="none" w:sz="0" w:space="0" w:color="auto"/>
                <w:right w:val="none" w:sz="0" w:space="0" w:color="auto"/>
              </w:divBdr>
            </w:div>
            <w:div w:id="1955094442">
              <w:marLeft w:val="0"/>
              <w:marRight w:val="0"/>
              <w:marTop w:val="0"/>
              <w:marBottom w:val="0"/>
              <w:divBdr>
                <w:top w:val="none" w:sz="0" w:space="0" w:color="auto"/>
                <w:left w:val="none" w:sz="0" w:space="0" w:color="auto"/>
                <w:bottom w:val="none" w:sz="0" w:space="0" w:color="auto"/>
                <w:right w:val="none" w:sz="0" w:space="0" w:color="auto"/>
              </w:divBdr>
            </w:div>
            <w:div w:id="2107922384">
              <w:marLeft w:val="0"/>
              <w:marRight w:val="0"/>
              <w:marTop w:val="0"/>
              <w:marBottom w:val="0"/>
              <w:divBdr>
                <w:top w:val="none" w:sz="0" w:space="0" w:color="auto"/>
                <w:left w:val="none" w:sz="0" w:space="0" w:color="auto"/>
                <w:bottom w:val="none" w:sz="0" w:space="0" w:color="auto"/>
                <w:right w:val="none" w:sz="0" w:space="0" w:color="auto"/>
              </w:divBdr>
            </w:div>
            <w:div w:id="2114284599">
              <w:marLeft w:val="0"/>
              <w:marRight w:val="0"/>
              <w:marTop w:val="0"/>
              <w:marBottom w:val="0"/>
              <w:divBdr>
                <w:top w:val="none" w:sz="0" w:space="0" w:color="auto"/>
                <w:left w:val="none" w:sz="0" w:space="0" w:color="auto"/>
                <w:bottom w:val="none" w:sz="0" w:space="0" w:color="auto"/>
                <w:right w:val="none" w:sz="0" w:space="0" w:color="auto"/>
              </w:divBdr>
            </w:div>
          </w:divsChild>
        </w:div>
        <w:div w:id="326059328">
          <w:marLeft w:val="0"/>
          <w:marRight w:val="0"/>
          <w:marTop w:val="0"/>
          <w:marBottom w:val="0"/>
          <w:divBdr>
            <w:top w:val="none" w:sz="0" w:space="0" w:color="auto"/>
            <w:left w:val="none" w:sz="0" w:space="0" w:color="auto"/>
            <w:bottom w:val="none" w:sz="0" w:space="0" w:color="auto"/>
            <w:right w:val="none" w:sz="0" w:space="0" w:color="auto"/>
          </w:divBdr>
        </w:div>
        <w:div w:id="359401362">
          <w:marLeft w:val="0"/>
          <w:marRight w:val="0"/>
          <w:marTop w:val="0"/>
          <w:marBottom w:val="0"/>
          <w:divBdr>
            <w:top w:val="none" w:sz="0" w:space="0" w:color="auto"/>
            <w:left w:val="none" w:sz="0" w:space="0" w:color="auto"/>
            <w:bottom w:val="none" w:sz="0" w:space="0" w:color="auto"/>
            <w:right w:val="none" w:sz="0" w:space="0" w:color="auto"/>
          </w:divBdr>
        </w:div>
        <w:div w:id="653263103">
          <w:marLeft w:val="0"/>
          <w:marRight w:val="0"/>
          <w:marTop w:val="0"/>
          <w:marBottom w:val="0"/>
          <w:divBdr>
            <w:top w:val="none" w:sz="0" w:space="0" w:color="auto"/>
            <w:left w:val="none" w:sz="0" w:space="0" w:color="auto"/>
            <w:bottom w:val="none" w:sz="0" w:space="0" w:color="auto"/>
            <w:right w:val="none" w:sz="0" w:space="0" w:color="auto"/>
          </w:divBdr>
        </w:div>
        <w:div w:id="764887179">
          <w:marLeft w:val="0"/>
          <w:marRight w:val="0"/>
          <w:marTop w:val="0"/>
          <w:marBottom w:val="0"/>
          <w:divBdr>
            <w:top w:val="none" w:sz="0" w:space="0" w:color="auto"/>
            <w:left w:val="none" w:sz="0" w:space="0" w:color="auto"/>
            <w:bottom w:val="none" w:sz="0" w:space="0" w:color="auto"/>
            <w:right w:val="none" w:sz="0" w:space="0" w:color="auto"/>
          </w:divBdr>
        </w:div>
        <w:div w:id="866797316">
          <w:marLeft w:val="0"/>
          <w:marRight w:val="0"/>
          <w:marTop w:val="0"/>
          <w:marBottom w:val="0"/>
          <w:divBdr>
            <w:top w:val="none" w:sz="0" w:space="0" w:color="auto"/>
            <w:left w:val="none" w:sz="0" w:space="0" w:color="auto"/>
            <w:bottom w:val="none" w:sz="0" w:space="0" w:color="auto"/>
            <w:right w:val="none" w:sz="0" w:space="0" w:color="auto"/>
          </w:divBdr>
        </w:div>
        <w:div w:id="872959845">
          <w:marLeft w:val="0"/>
          <w:marRight w:val="0"/>
          <w:marTop w:val="0"/>
          <w:marBottom w:val="0"/>
          <w:divBdr>
            <w:top w:val="none" w:sz="0" w:space="0" w:color="auto"/>
            <w:left w:val="none" w:sz="0" w:space="0" w:color="auto"/>
            <w:bottom w:val="none" w:sz="0" w:space="0" w:color="auto"/>
            <w:right w:val="none" w:sz="0" w:space="0" w:color="auto"/>
          </w:divBdr>
        </w:div>
        <w:div w:id="875384408">
          <w:marLeft w:val="0"/>
          <w:marRight w:val="0"/>
          <w:marTop w:val="0"/>
          <w:marBottom w:val="0"/>
          <w:divBdr>
            <w:top w:val="none" w:sz="0" w:space="0" w:color="auto"/>
            <w:left w:val="none" w:sz="0" w:space="0" w:color="auto"/>
            <w:bottom w:val="none" w:sz="0" w:space="0" w:color="auto"/>
            <w:right w:val="none" w:sz="0" w:space="0" w:color="auto"/>
          </w:divBdr>
        </w:div>
        <w:div w:id="878590102">
          <w:marLeft w:val="0"/>
          <w:marRight w:val="0"/>
          <w:marTop w:val="0"/>
          <w:marBottom w:val="0"/>
          <w:divBdr>
            <w:top w:val="none" w:sz="0" w:space="0" w:color="auto"/>
            <w:left w:val="none" w:sz="0" w:space="0" w:color="auto"/>
            <w:bottom w:val="none" w:sz="0" w:space="0" w:color="auto"/>
            <w:right w:val="none" w:sz="0" w:space="0" w:color="auto"/>
          </w:divBdr>
        </w:div>
        <w:div w:id="975142131">
          <w:marLeft w:val="0"/>
          <w:marRight w:val="0"/>
          <w:marTop w:val="0"/>
          <w:marBottom w:val="0"/>
          <w:divBdr>
            <w:top w:val="none" w:sz="0" w:space="0" w:color="auto"/>
            <w:left w:val="none" w:sz="0" w:space="0" w:color="auto"/>
            <w:bottom w:val="none" w:sz="0" w:space="0" w:color="auto"/>
            <w:right w:val="none" w:sz="0" w:space="0" w:color="auto"/>
          </w:divBdr>
        </w:div>
        <w:div w:id="1021667805">
          <w:marLeft w:val="0"/>
          <w:marRight w:val="0"/>
          <w:marTop w:val="0"/>
          <w:marBottom w:val="0"/>
          <w:divBdr>
            <w:top w:val="none" w:sz="0" w:space="0" w:color="auto"/>
            <w:left w:val="none" w:sz="0" w:space="0" w:color="auto"/>
            <w:bottom w:val="none" w:sz="0" w:space="0" w:color="auto"/>
            <w:right w:val="none" w:sz="0" w:space="0" w:color="auto"/>
          </w:divBdr>
        </w:div>
        <w:div w:id="1107773694">
          <w:marLeft w:val="0"/>
          <w:marRight w:val="0"/>
          <w:marTop w:val="0"/>
          <w:marBottom w:val="0"/>
          <w:divBdr>
            <w:top w:val="none" w:sz="0" w:space="0" w:color="auto"/>
            <w:left w:val="none" w:sz="0" w:space="0" w:color="auto"/>
            <w:bottom w:val="none" w:sz="0" w:space="0" w:color="auto"/>
            <w:right w:val="none" w:sz="0" w:space="0" w:color="auto"/>
          </w:divBdr>
          <w:divsChild>
            <w:div w:id="158426638">
              <w:marLeft w:val="0"/>
              <w:marRight w:val="0"/>
              <w:marTop w:val="0"/>
              <w:marBottom w:val="0"/>
              <w:divBdr>
                <w:top w:val="none" w:sz="0" w:space="0" w:color="auto"/>
                <w:left w:val="none" w:sz="0" w:space="0" w:color="auto"/>
                <w:bottom w:val="none" w:sz="0" w:space="0" w:color="auto"/>
                <w:right w:val="none" w:sz="0" w:space="0" w:color="auto"/>
              </w:divBdr>
            </w:div>
            <w:div w:id="333260973">
              <w:marLeft w:val="0"/>
              <w:marRight w:val="0"/>
              <w:marTop w:val="0"/>
              <w:marBottom w:val="0"/>
              <w:divBdr>
                <w:top w:val="none" w:sz="0" w:space="0" w:color="auto"/>
                <w:left w:val="none" w:sz="0" w:space="0" w:color="auto"/>
                <w:bottom w:val="none" w:sz="0" w:space="0" w:color="auto"/>
                <w:right w:val="none" w:sz="0" w:space="0" w:color="auto"/>
              </w:divBdr>
            </w:div>
            <w:div w:id="441610343">
              <w:marLeft w:val="0"/>
              <w:marRight w:val="0"/>
              <w:marTop w:val="0"/>
              <w:marBottom w:val="0"/>
              <w:divBdr>
                <w:top w:val="none" w:sz="0" w:space="0" w:color="auto"/>
                <w:left w:val="none" w:sz="0" w:space="0" w:color="auto"/>
                <w:bottom w:val="none" w:sz="0" w:space="0" w:color="auto"/>
                <w:right w:val="none" w:sz="0" w:space="0" w:color="auto"/>
              </w:divBdr>
            </w:div>
            <w:div w:id="522480384">
              <w:marLeft w:val="0"/>
              <w:marRight w:val="0"/>
              <w:marTop w:val="0"/>
              <w:marBottom w:val="0"/>
              <w:divBdr>
                <w:top w:val="none" w:sz="0" w:space="0" w:color="auto"/>
                <w:left w:val="none" w:sz="0" w:space="0" w:color="auto"/>
                <w:bottom w:val="none" w:sz="0" w:space="0" w:color="auto"/>
                <w:right w:val="none" w:sz="0" w:space="0" w:color="auto"/>
              </w:divBdr>
            </w:div>
            <w:div w:id="820803463">
              <w:marLeft w:val="0"/>
              <w:marRight w:val="0"/>
              <w:marTop w:val="0"/>
              <w:marBottom w:val="0"/>
              <w:divBdr>
                <w:top w:val="none" w:sz="0" w:space="0" w:color="auto"/>
                <w:left w:val="none" w:sz="0" w:space="0" w:color="auto"/>
                <w:bottom w:val="none" w:sz="0" w:space="0" w:color="auto"/>
                <w:right w:val="none" w:sz="0" w:space="0" w:color="auto"/>
              </w:divBdr>
            </w:div>
            <w:div w:id="1085229847">
              <w:marLeft w:val="0"/>
              <w:marRight w:val="0"/>
              <w:marTop w:val="0"/>
              <w:marBottom w:val="0"/>
              <w:divBdr>
                <w:top w:val="none" w:sz="0" w:space="0" w:color="auto"/>
                <w:left w:val="none" w:sz="0" w:space="0" w:color="auto"/>
                <w:bottom w:val="none" w:sz="0" w:space="0" w:color="auto"/>
                <w:right w:val="none" w:sz="0" w:space="0" w:color="auto"/>
              </w:divBdr>
            </w:div>
            <w:div w:id="1092554173">
              <w:marLeft w:val="0"/>
              <w:marRight w:val="0"/>
              <w:marTop w:val="0"/>
              <w:marBottom w:val="0"/>
              <w:divBdr>
                <w:top w:val="none" w:sz="0" w:space="0" w:color="auto"/>
                <w:left w:val="none" w:sz="0" w:space="0" w:color="auto"/>
                <w:bottom w:val="none" w:sz="0" w:space="0" w:color="auto"/>
                <w:right w:val="none" w:sz="0" w:space="0" w:color="auto"/>
              </w:divBdr>
            </w:div>
            <w:div w:id="1141264549">
              <w:marLeft w:val="0"/>
              <w:marRight w:val="0"/>
              <w:marTop w:val="0"/>
              <w:marBottom w:val="0"/>
              <w:divBdr>
                <w:top w:val="none" w:sz="0" w:space="0" w:color="auto"/>
                <w:left w:val="none" w:sz="0" w:space="0" w:color="auto"/>
                <w:bottom w:val="none" w:sz="0" w:space="0" w:color="auto"/>
                <w:right w:val="none" w:sz="0" w:space="0" w:color="auto"/>
              </w:divBdr>
            </w:div>
            <w:div w:id="1212769281">
              <w:marLeft w:val="0"/>
              <w:marRight w:val="0"/>
              <w:marTop w:val="0"/>
              <w:marBottom w:val="0"/>
              <w:divBdr>
                <w:top w:val="none" w:sz="0" w:space="0" w:color="auto"/>
                <w:left w:val="none" w:sz="0" w:space="0" w:color="auto"/>
                <w:bottom w:val="none" w:sz="0" w:space="0" w:color="auto"/>
                <w:right w:val="none" w:sz="0" w:space="0" w:color="auto"/>
              </w:divBdr>
            </w:div>
            <w:div w:id="1311595424">
              <w:marLeft w:val="0"/>
              <w:marRight w:val="0"/>
              <w:marTop w:val="0"/>
              <w:marBottom w:val="0"/>
              <w:divBdr>
                <w:top w:val="none" w:sz="0" w:space="0" w:color="auto"/>
                <w:left w:val="none" w:sz="0" w:space="0" w:color="auto"/>
                <w:bottom w:val="none" w:sz="0" w:space="0" w:color="auto"/>
                <w:right w:val="none" w:sz="0" w:space="0" w:color="auto"/>
              </w:divBdr>
            </w:div>
            <w:div w:id="1313216263">
              <w:marLeft w:val="0"/>
              <w:marRight w:val="0"/>
              <w:marTop w:val="0"/>
              <w:marBottom w:val="0"/>
              <w:divBdr>
                <w:top w:val="none" w:sz="0" w:space="0" w:color="auto"/>
                <w:left w:val="none" w:sz="0" w:space="0" w:color="auto"/>
                <w:bottom w:val="none" w:sz="0" w:space="0" w:color="auto"/>
                <w:right w:val="none" w:sz="0" w:space="0" w:color="auto"/>
              </w:divBdr>
            </w:div>
            <w:div w:id="1451825812">
              <w:marLeft w:val="0"/>
              <w:marRight w:val="0"/>
              <w:marTop w:val="0"/>
              <w:marBottom w:val="0"/>
              <w:divBdr>
                <w:top w:val="none" w:sz="0" w:space="0" w:color="auto"/>
                <w:left w:val="none" w:sz="0" w:space="0" w:color="auto"/>
                <w:bottom w:val="none" w:sz="0" w:space="0" w:color="auto"/>
                <w:right w:val="none" w:sz="0" w:space="0" w:color="auto"/>
              </w:divBdr>
            </w:div>
            <w:div w:id="1530097245">
              <w:marLeft w:val="0"/>
              <w:marRight w:val="0"/>
              <w:marTop w:val="0"/>
              <w:marBottom w:val="0"/>
              <w:divBdr>
                <w:top w:val="none" w:sz="0" w:space="0" w:color="auto"/>
                <w:left w:val="none" w:sz="0" w:space="0" w:color="auto"/>
                <w:bottom w:val="none" w:sz="0" w:space="0" w:color="auto"/>
                <w:right w:val="none" w:sz="0" w:space="0" w:color="auto"/>
              </w:divBdr>
            </w:div>
            <w:div w:id="1785346405">
              <w:marLeft w:val="0"/>
              <w:marRight w:val="0"/>
              <w:marTop w:val="0"/>
              <w:marBottom w:val="0"/>
              <w:divBdr>
                <w:top w:val="none" w:sz="0" w:space="0" w:color="auto"/>
                <w:left w:val="none" w:sz="0" w:space="0" w:color="auto"/>
                <w:bottom w:val="none" w:sz="0" w:space="0" w:color="auto"/>
                <w:right w:val="none" w:sz="0" w:space="0" w:color="auto"/>
              </w:divBdr>
            </w:div>
            <w:div w:id="1924794168">
              <w:marLeft w:val="0"/>
              <w:marRight w:val="0"/>
              <w:marTop w:val="0"/>
              <w:marBottom w:val="0"/>
              <w:divBdr>
                <w:top w:val="none" w:sz="0" w:space="0" w:color="auto"/>
                <w:left w:val="none" w:sz="0" w:space="0" w:color="auto"/>
                <w:bottom w:val="none" w:sz="0" w:space="0" w:color="auto"/>
                <w:right w:val="none" w:sz="0" w:space="0" w:color="auto"/>
              </w:divBdr>
            </w:div>
            <w:div w:id="1947736437">
              <w:marLeft w:val="0"/>
              <w:marRight w:val="0"/>
              <w:marTop w:val="0"/>
              <w:marBottom w:val="0"/>
              <w:divBdr>
                <w:top w:val="none" w:sz="0" w:space="0" w:color="auto"/>
                <w:left w:val="none" w:sz="0" w:space="0" w:color="auto"/>
                <w:bottom w:val="none" w:sz="0" w:space="0" w:color="auto"/>
                <w:right w:val="none" w:sz="0" w:space="0" w:color="auto"/>
              </w:divBdr>
            </w:div>
            <w:div w:id="1974482601">
              <w:marLeft w:val="0"/>
              <w:marRight w:val="0"/>
              <w:marTop w:val="0"/>
              <w:marBottom w:val="0"/>
              <w:divBdr>
                <w:top w:val="none" w:sz="0" w:space="0" w:color="auto"/>
                <w:left w:val="none" w:sz="0" w:space="0" w:color="auto"/>
                <w:bottom w:val="none" w:sz="0" w:space="0" w:color="auto"/>
                <w:right w:val="none" w:sz="0" w:space="0" w:color="auto"/>
              </w:divBdr>
            </w:div>
            <w:div w:id="2017925096">
              <w:marLeft w:val="0"/>
              <w:marRight w:val="0"/>
              <w:marTop w:val="0"/>
              <w:marBottom w:val="0"/>
              <w:divBdr>
                <w:top w:val="none" w:sz="0" w:space="0" w:color="auto"/>
                <w:left w:val="none" w:sz="0" w:space="0" w:color="auto"/>
                <w:bottom w:val="none" w:sz="0" w:space="0" w:color="auto"/>
                <w:right w:val="none" w:sz="0" w:space="0" w:color="auto"/>
              </w:divBdr>
            </w:div>
            <w:div w:id="2038122845">
              <w:marLeft w:val="0"/>
              <w:marRight w:val="0"/>
              <w:marTop w:val="0"/>
              <w:marBottom w:val="0"/>
              <w:divBdr>
                <w:top w:val="none" w:sz="0" w:space="0" w:color="auto"/>
                <w:left w:val="none" w:sz="0" w:space="0" w:color="auto"/>
                <w:bottom w:val="none" w:sz="0" w:space="0" w:color="auto"/>
                <w:right w:val="none" w:sz="0" w:space="0" w:color="auto"/>
              </w:divBdr>
            </w:div>
            <w:div w:id="2083552981">
              <w:marLeft w:val="0"/>
              <w:marRight w:val="0"/>
              <w:marTop w:val="0"/>
              <w:marBottom w:val="0"/>
              <w:divBdr>
                <w:top w:val="none" w:sz="0" w:space="0" w:color="auto"/>
                <w:left w:val="none" w:sz="0" w:space="0" w:color="auto"/>
                <w:bottom w:val="none" w:sz="0" w:space="0" w:color="auto"/>
                <w:right w:val="none" w:sz="0" w:space="0" w:color="auto"/>
              </w:divBdr>
            </w:div>
          </w:divsChild>
        </w:div>
        <w:div w:id="1228491135">
          <w:marLeft w:val="0"/>
          <w:marRight w:val="0"/>
          <w:marTop w:val="0"/>
          <w:marBottom w:val="0"/>
          <w:divBdr>
            <w:top w:val="none" w:sz="0" w:space="0" w:color="auto"/>
            <w:left w:val="none" w:sz="0" w:space="0" w:color="auto"/>
            <w:bottom w:val="none" w:sz="0" w:space="0" w:color="auto"/>
            <w:right w:val="none" w:sz="0" w:space="0" w:color="auto"/>
          </w:divBdr>
        </w:div>
        <w:div w:id="1383138645">
          <w:marLeft w:val="0"/>
          <w:marRight w:val="0"/>
          <w:marTop w:val="0"/>
          <w:marBottom w:val="0"/>
          <w:divBdr>
            <w:top w:val="none" w:sz="0" w:space="0" w:color="auto"/>
            <w:left w:val="none" w:sz="0" w:space="0" w:color="auto"/>
            <w:bottom w:val="none" w:sz="0" w:space="0" w:color="auto"/>
            <w:right w:val="none" w:sz="0" w:space="0" w:color="auto"/>
          </w:divBdr>
        </w:div>
        <w:div w:id="1675299912">
          <w:marLeft w:val="0"/>
          <w:marRight w:val="0"/>
          <w:marTop w:val="0"/>
          <w:marBottom w:val="0"/>
          <w:divBdr>
            <w:top w:val="none" w:sz="0" w:space="0" w:color="auto"/>
            <w:left w:val="none" w:sz="0" w:space="0" w:color="auto"/>
            <w:bottom w:val="none" w:sz="0" w:space="0" w:color="auto"/>
            <w:right w:val="none" w:sz="0" w:space="0" w:color="auto"/>
          </w:divBdr>
        </w:div>
        <w:div w:id="1682004197">
          <w:marLeft w:val="0"/>
          <w:marRight w:val="0"/>
          <w:marTop w:val="0"/>
          <w:marBottom w:val="0"/>
          <w:divBdr>
            <w:top w:val="none" w:sz="0" w:space="0" w:color="auto"/>
            <w:left w:val="none" w:sz="0" w:space="0" w:color="auto"/>
            <w:bottom w:val="none" w:sz="0" w:space="0" w:color="auto"/>
            <w:right w:val="none" w:sz="0" w:space="0" w:color="auto"/>
          </w:divBdr>
        </w:div>
        <w:div w:id="1691174930">
          <w:marLeft w:val="0"/>
          <w:marRight w:val="0"/>
          <w:marTop w:val="0"/>
          <w:marBottom w:val="0"/>
          <w:divBdr>
            <w:top w:val="none" w:sz="0" w:space="0" w:color="auto"/>
            <w:left w:val="none" w:sz="0" w:space="0" w:color="auto"/>
            <w:bottom w:val="none" w:sz="0" w:space="0" w:color="auto"/>
            <w:right w:val="none" w:sz="0" w:space="0" w:color="auto"/>
          </w:divBdr>
        </w:div>
        <w:div w:id="1770350939">
          <w:marLeft w:val="0"/>
          <w:marRight w:val="0"/>
          <w:marTop w:val="0"/>
          <w:marBottom w:val="0"/>
          <w:divBdr>
            <w:top w:val="none" w:sz="0" w:space="0" w:color="auto"/>
            <w:left w:val="none" w:sz="0" w:space="0" w:color="auto"/>
            <w:bottom w:val="none" w:sz="0" w:space="0" w:color="auto"/>
            <w:right w:val="none" w:sz="0" w:space="0" w:color="auto"/>
          </w:divBdr>
        </w:div>
        <w:div w:id="1776051681">
          <w:marLeft w:val="0"/>
          <w:marRight w:val="0"/>
          <w:marTop w:val="0"/>
          <w:marBottom w:val="0"/>
          <w:divBdr>
            <w:top w:val="none" w:sz="0" w:space="0" w:color="auto"/>
            <w:left w:val="none" w:sz="0" w:space="0" w:color="auto"/>
            <w:bottom w:val="none" w:sz="0" w:space="0" w:color="auto"/>
            <w:right w:val="none" w:sz="0" w:space="0" w:color="auto"/>
          </w:divBdr>
        </w:div>
        <w:div w:id="1776485411">
          <w:marLeft w:val="0"/>
          <w:marRight w:val="0"/>
          <w:marTop w:val="0"/>
          <w:marBottom w:val="0"/>
          <w:divBdr>
            <w:top w:val="none" w:sz="0" w:space="0" w:color="auto"/>
            <w:left w:val="none" w:sz="0" w:space="0" w:color="auto"/>
            <w:bottom w:val="none" w:sz="0" w:space="0" w:color="auto"/>
            <w:right w:val="none" w:sz="0" w:space="0" w:color="auto"/>
          </w:divBdr>
        </w:div>
        <w:div w:id="1897664599">
          <w:marLeft w:val="0"/>
          <w:marRight w:val="0"/>
          <w:marTop w:val="0"/>
          <w:marBottom w:val="0"/>
          <w:divBdr>
            <w:top w:val="none" w:sz="0" w:space="0" w:color="auto"/>
            <w:left w:val="none" w:sz="0" w:space="0" w:color="auto"/>
            <w:bottom w:val="none" w:sz="0" w:space="0" w:color="auto"/>
            <w:right w:val="none" w:sz="0" w:space="0" w:color="auto"/>
          </w:divBdr>
        </w:div>
        <w:div w:id="2064326811">
          <w:marLeft w:val="0"/>
          <w:marRight w:val="0"/>
          <w:marTop w:val="0"/>
          <w:marBottom w:val="0"/>
          <w:divBdr>
            <w:top w:val="none" w:sz="0" w:space="0" w:color="auto"/>
            <w:left w:val="none" w:sz="0" w:space="0" w:color="auto"/>
            <w:bottom w:val="none" w:sz="0" w:space="0" w:color="auto"/>
            <w:right w:val="none" w:sz="0" w:space="0" w:color="auto"/>
          </w:divBdr>
          <w:divsChild>
            <w:div w:id="133641149">
              <w:marLeft w:val="0"/>
              <w:marRight w:val="0"/>
              <w:marTop w:val="0"/>
              <w:marBottom w:val="0"/>
              <w:divBdr>
                <w:top w:val="none" w:sz="0" w:space="0" w:color="auto"/>
                <w:left w:val="none" w:sz="0" w:space="0" w:color="auto"/>
                <w:bottom w:val="none" w:sz="0" w:space="0" w:color="auto"/>
                <w:right w:val="none" w:sz="0" w:space="0" w:color="auto"/>
              </w:divBdr>
            </w:div>
            <w:div w:id="231889469">
              <w:marLeft w:val="0"/>
              <w:marRight w:val="0"/>
              <w:marTop w:val="0"/>
              <w:marBottom w:val="0"/>
              <w:divBdr>
                <w:top w:val="none" w:sz="0" w:space="0" w:color="auto"/>
                <w:left w:val="none" w:sz="0" w:space="0" w:color="auto"/>
                <w:bottom w:val="none" w:sz="0" w:space="0" w:color="auto"/>
                <w:right w:val="none" w:sz="0" w:space="0" w:color="auto"/>
              </w:divBdr>
            </w:div>
            <w:div w:id="288779709">
              <w:marLeft w:val="0"/>
              <w:marRight w:val="0"/>
              <w:marTop w:val="0"/>
              <w:marBottom w:val="0"/>
              <w:divBdr>
                <w:top w:val="none" w:sz="0" w:space="0" w:color="auto"/>
                <w:left w:val="none" w:sz="0" w:space="0" w:color="auto"/>
                <w:bottom w:val="none" w:sz="0" w:space="0" w:color="auto"/>
                <w:right w:val="none" w:sz="0" w:space="0" w:color="auto"/>
              </w:divBdr>
            </w:div>
            <w:div w:id="298997482">
              <w:marLeft w:val="0"/>
              <w:marRight w:val="0"/>
              <w:marTop w:val="0"/>
              <w:marBottom w:val="0"/>
              <w:divBdr>
                <w:top w:val="none" w:sz="0" w:space="0" w:color="auto"/>
                <w:left w:val="none" w:sz="0" w:space="0" w:color="auto"/>
                <w:bottom w:val="none" w:sz="0" w:space="0" w:color="auto"/>
                <w:right w:val="none" w:sz="0" w:space="0" w:color="auto"/>
              </w:divBdr>
            </w:div>
            <w:div w:id="328794237">
              <w:marLeft w:val="0"/>
              <w:marRight w:val="0"/>
              <w:marTop w:val="0"/>
              <w:marBottom w:val="0"/>
              <w:divBdr>
                <w:top w:val="none" w:sz="0" w:space="0" w:color="auto"/>
                <w:left w:val="none" w:sz="0" w:space="0" w:color="auto"/>
                <w:bottom w:val="none" w:sz="0" w:space="0" w:color="auto"/>
                <w:right w:val="none" w:sz="0" w:space="0" w:color="auto"/>
              </w:divBdr>
            </w:div>
            <w:div w:id="338196359">
              <w:marLeft w:val="0"/>
              <w:marRight w:val="0"/>
              <w:marTop w:val="0"/>
              <w:marBottom w:val="0"/>
              <w:divBdr>
                <w:top w:val="none" w:sz="0" w:space="0" w:color="auto"/>
                <w:left w:val="none" w:sz="0" w:space="0" w:color="auto"/>
                <w:bottom w:val="none" w:sz="0" w:space="0" w:color="auto"/>
                <w:right w:val="none" w:sz="0" w:space="0" w:color="auto"/>
              </w:divBdr>
            </w:div>
            <w:div w:id="426463471">
              <w:marLeft w:val="0"/>
              <w:marRight w:val="0"/>
              <w:marTop w:val="0"/>
              <w:marBottom w:val="0"/>
              <w:divBdr>
                <w:top w:val="none" w:sz="0" w:space="0" w:color="auto"/>
                <w:left w:val="none" w:sz="0" w:space="0" w:color="auto"/>
                <w:bottom w:val="none" w:sz="0" w:space="0" w:color="auto"/>
                <w:right w:val="none" w:sz="0" w:space="0" w:color="auto"/>
              </w:divBdr>
            </w:div>
            <w:div w:id="765612042">
              <w:marLeft w:val="0"/>
              <w:marRight w:val="0"/>
              <w:marTop w:val="0"/>
              <w:marBottom w:val="0"/>
              <w:divBdr>
                <w:top w:val="none" w:sz="0" w:space="0" w:color="auto"/>
                <w:left w:val="none" w:sz="0" w:space="0" w:color="auto"/>
                <w:bottom w:val="none" w:sz="0" w:space="0" w:color="auto"/>
                <w:right w:val="none" w:sz="0" w:space="0" w:color="auto"/>
              </w:divBdr>
            </w:div>
            <w:div w:id="822546095">
              <w:marLeft w:val="0"/>
              <w:marRight w:val="0"/>
              <w:marTop w:val="0"/>
              <w:marBottom w:val="0"/>
              <w:divBdr>
                <w:top w:val="none" w:sz="0" w:space="0" w:color="auto"/>
                <w:left w:val="none" w:sz="0" w:space="0" w:color="auto"/>
                <w:bottom w:val="none" w:sz="0" w:space="0" w:color="auto"/>
                <w:right w:val="none" w:sz="0" w:space="0" w:color="auto"/>
              </w:divBdr>
            </w:div>
            <w:div w:id="882404186">
              <w:marLeft w:val="0"/>
              <w:marRight w:val="0"/>
              <w:marTop w:val="0"/>
              <w:marBottom w:val="0"/>
              <w:divBdr>
                <w:top w:val="none" w:sz="0" w:space="0" w:color="auto"/>
                <w:left w:val="none" w:sz="0" w:space="0" w:color="auto"/>
                <w:bottom w:val="none" w:sz="0" w:space="0" w:color="auto"/>
                <w:right w:val="none" w:sz="0" w:space="0" w:color="auto"/>
              </w:divBdr>
            </w:div>
            <w:div w:id="1133519723">
              <w:marLeft w:val="0"/>
              <w:marRight w:val="0"/>
              <w:marTop w:val="0"/>
              <w:marBottom w:val="0"/>
              <w:divBdr>
                <w:top w:val="none" w:sz="0" w:space="0" w:color="auto"/>
                <w:left w:val="none" w:sz="0" w:space="0" w:color="auto"/>
                <w:bottom w:val="none" w:sz="0" w:space="0" w:color="auto"/>
                <w:right w:val="none" w:sz="0" w:space="0" w:color="auto"/>
              </w:divBdr>
            </w:div>
            <w:div w:id="1163551705">
              <w:marLeft w:val="0"/>
              <w:marRight w:val="0"/>
              <w:marTop w:val="0"/>
              <w:marBottom w:val="0"/>
              <w:divBdr>
                <w:top w:val="none" w:sz="0" w:space="0" w:color="auto"/>
                <w:left w:val="none" w:sz="0" w:space="0" w:color="auto"/>
                <w:bottom w:val="none" w:sz="0" w:space="0" w:color="auto"/>
                <w:right w:val="none" w:sz="0" w:space="0" w:color="auto"/>
              </w:divBdr>
            </w:div>
            <w:div w:id="1299144953">
              <w:marLeft w:val="0"/>
              <w:marRight w:val="0"/>
              <w:marTop w:val="0"/>
              <w:marBottom w:val="0"/>
              <w:divBdr>
                <w:top w:val="none" w:sz="0" w:space="0" w:color="auto"/>
                <w:left w:val="none" w:sz="0" w:space="0" w:color="auto"/>
                <w:bottom w:val="none" w:sz="0" w:space="0" w:color="auto"/>
                <w:right w:val="none" w:sz="0" w:space="0" w:color="auto"/>
              </w:divBdr>
            </w:div>
            <w:div w:id="1304309587">
              <w:marLeft w:val="0"/>
              <w:marRight w:val="0"/>
              <w:marTop w:val="0"/>
              <w:marBottom w:val="0"/>
              <w:divBdr>
                <w:top w:val="none" w:sz="0" w:space="0" w:color="auto"/>
                <w:left w:val="none" w:sz="0" w:space="0" w:color="auto"/>
                <w:bottom w:val="none" w:sz="0" w:space="0" w:color="auto"/>
                <w:right w:val="none" w:sz="0" w:space="0" w:color="auto"/>
              </w:divBdr>
            </w:div>
            <w:div w:id="1326738105">
              <w:marLeft w:val="0"/>
              <w:marRight w:val="0"/>
              <w:marTop w:val="0"/>
              <w:marBottom w:val="0"/>
              <w:divBdr>
                <w:top w:val="none" w:sz="0" w:space="0" w:color="auto"/>
                <w:left w:val="none" w:sz="0" w:space="0" w:color="auto"/>
                <w:bottom w:val="none" w:sz="0" w:space="0" w:color="auto"/>
                <w:right w:val="none" w:sz="0" w:space="0" w:color="auto"/>
              </w:divBdr>
            </w:div>
            <w:div w:id="1692294837">
              <w:marLeft w:val="0"/>
              <w:marRight w:val="0"/>
              <w:marTop w:val="0"/>
              <w:marBottom w:val="0"/>
              <w:divBdr>
                <w:top w:val="none" w:sz="0" w:space="0" w:color="auto"/>
                <w:left w:val="none" w:sz="0" w:space="0" w:color="auto"/>
                <w:bottom w:val="none" w:sz="0" w:space="0" w:color="auto"/>
                <w:right w:val="none" w:sz="0" w:space="0" w:color="auto"/>
              </w:divBdr>
            </w:div>
            <w:div w:id="1696229980">
              <w:marLeft w:val="0"/>
              <w:marRight w:val="0"/>
              <w:marTop w:val="0"/>
              <w:marBottom w:val="0"/>
              <w:divBdr>
                <w:top w:val="none" w:sz="0" w:space="0" w:color="auto"/>
                <w:left w:val="none" w:sz="0" w:space="0" w:color="auto"/>
                <w:bottom w:val="none" w:sz="0" w:space="0" w:color="auto"/>
                <w:right w:val="none" w:sz="0" w:space="0" w:color="auto"/>
              </w:divBdr>
            </w:div>
            <w:div w:id="1749578347">
              <w:marLeft w:val="0"/>
              <w:marRight w:val="0"/>
              <w:marTop w:val="0"/>
              <w:marBottom w:val="0"/>
              <w:divBdr>
                <w:top w:val="none" w:sz="0" w:space="0" w:color="auto"/>
                <w:left w:val="none" w:sz="0" w:space="0" w:color="auto"/>
                <w:bottom w:val="none" w:sz="0" w:space="0" w:color="auto"/>
                <w:right w:val="none" w:sz="0" w:space="0" w:color="auto"/>
              </w:divBdr>
            </w:div>
            <w:div w:id="1794708272">
              <w:marLeft w:val="0"/>
              <w:marRight w:val="0"/>
              <w:marTop w:val="0"/>
              <w:marBottom w:val="0"/>
              <w:divBdr>
                <w:top w:val="none" w:sz="0" w:space="0" w:color="auto"/>
                <w:left w:val="none" w:sz="0" w:space="0" w:color="auto"/>
                <w:bottom w:val="none" w:sz="0" w:space="0" w:color="auto"/>
                <w:right w:val="none" w:sz="0" w:space="0" w:color="auto"/>
              </w:divBdr>
            </w:div>
            <w:div w:id="19052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522">
      <w:bodyDiv w:val="1"/>
      <w:marLeft w:val="0"/>
      <w:marRight w:val="0"/>
      <w:marTop w:val="0"/>
      <w:marBottom w:val="0"/>
      <w:divBdr>
        <w:top w:val="none" w:sz="0" w:space="0" w:color="auto"/>
        <w:left w:val="none" w:sz="0" w:space="0" w:color="auto"/>
        <w:bottom w:val="none" w:sz="0" w:space="0" w:color="auto"/>
        <w:right w:val="none" w:sz="0" w:space="0" w:color="auto"/>
      </w:divBdr>
    </w:div>
    <w:div w:id="930964249">
      <w:bodyDiv w:val="1"/>
      <w:marLeft w:val="0"/>
      <w:marRight w:val="0"/>
      <w:marTop w:val="0"/>
      <w:marBottom w:val="0"/>
      <w:divBdr>
        <w:top w:val="none" w:sz="0" w:space="0" w:color="auto"/>
        <w:left w:val="none" w:sz="0" w:space="0" w:color="auto"/>
        <w:bottom w:val="none" w:sz="0" w:space="0" w:color="auto"/>
        <w:right w:val="none" w:sz="0" w:space="0" w:color="auto"/>
      </w:divBdr>
    </w:div>
    <w:div w:id="976378987">
      <w:bodyDiv w:val="1"/>
      <w:marLeft w:val="0"/>
      <w:marRight w:val="0"/>
      <w:marTop w:val="0"/>
      <w:marBottom w:val="0"/>
      <w:divBdr>
        <w:top w:val="none" w:sz="0" w:space="0" w:color="auto"/>
        <w:left w:val="none" w:sz="0" w:space="0" w:color="auto"/>
        <w:bottom w:val="none" w:sz="0" w:space="0" w:color="auto"/>
        <w:right w:val="none" w:sz="0" w:space="0" w:color="auto"/>
      </w:divBdr>
    </w:div>
    <w:div w:id="1043095792">
      <w:bodyDiv w:val="1"/>
      <w:marLeft w:val="0"/>
      <w:marRight w:val="0"/>
      <w:marTop w:val="0"/>
      <w:marBottom w:val="0"/>
      <w:divBdr>
        <w:top w:val="none" w:sz="0" w:space="0" w:color="auto"/>
        <w:left w:val="none" w:sz="0" w:space="0" w:color="auto"/>
        <w:bottom w:val="none" w:sz="0" w:space="0" w:color="auto"/>
        <w:right w:val="none" w:sz="0" w:space="0" w:color="auto"/>
      </w:divBdr>
      <w:divsChild>
        <w:div w:id="75175857">
          <w:marLeft w:val="0"/>
          <w:marRight w:val="0"/>
          <w:marTop w:val="0"/>
          <w:marBottom w:val="0"/>
          <w:divBdr>
            <w:top w:val="none" w:sz="0" w:space="0" w:color="auto"/>
            <w:left w:val="none" w:sz="0" w:space="0" w:color="auto"/>
            <w:bottom w:val="none" w:sz="0" w:space="0" w:color="auto"/>
            <w:right w:val="none" w:sz="0" w:space="0" w:color="auto"/>
          </w:divBdr>
        </w:div>
        <w:div w:id="96755852">
          <w:marLeft w:val="0"/>
          <w:marRight w:val="0"/>
          <w:marTop w:val="0"/>
          <w:marBottom w:val="0"/>
          <w:divBdr>
            <w:top w:val="none" w:sz="0" w:space="0" w:color="auto"/>
            <w:left w:val="none" w:sz="0" w:space="0" w:color="auto"/>
            <w:bottom w:val="none" w:sz="0" w:space="0" w:color="auto"/>
            <w:right w:val="none" w:sz="0" w:space="0" w:color="auto"/>
          </w:divBdr>
        </w:div>
        <w:div w:id="97216432">
          <w:marLeft w:val="0"/>
          <w:marRight w:val="0"/>
          <w:marTop w:val="0"/>
          <w:marBottom w:val="0"/>
          <w:divBdr>
            <w:top w:val="none" w:sz="0" w:space="0" w:color="auto"/>
            <w:left w:val="none" w:sz="0" w:space="0" w:color="auto"/>
            <w:bottom w:val="none" w:sz="0" w:space="0" w:color="auto"/>
            <w:right w:val="none" w:sz="0" w:space="0" w:color="auto"/>
          </w:divBdr>
        </w:div>
        <w:div w:id="153835795">
          <w:marLeft w:val="0"/>
          <w:marRight w:val="0"/>
          <w:marTop w:val="0"/>
          <w:marBottom w:val="0"/>
          <w:divBdr>
            <w:top w:val="none" w:sz="0" w:space="0" w:color="auto"/>
            <w:left w:val="none" w:sz="0" w:space="0" w:color="auto"/>
            <w:bottom w:val="none" w:sz="0" w:space="0" w:color="auto"/>
            <w:right w:val="none" w:sz="0" w:space="0" w:color="auto"/>
          </w:divBdr>
        </w:div>
        <w:div w:id="238755891">
          <w:marLeft w:val="0"/>
          <w:marRight w:val="0"/>
          <w:marTop w:val="0"/>
          <w:marBottom w:val="0"/>
          <w:divBdr>
            <w:top w:val="none" w:sz="0" w:space="0" w:color="auto"/>
            <w:left w:val="none" w:sz="0" w:space="0" w:color="auto"/>
            <w:bottom w:val="none" w:sz="0" w:space="0" w:color="auto"/>
            <w:right w:val="none" w:sz="0" w:space="0" w:color="auto"/>
          </w:divBdr>
        </w:div>
        <w:div w:id="262805448">
          <w:marLeft w:val="0"/>
          <w:marRight w:val="0"/>
          <w:marTop w:val="0"/>
          <w:marBottom w:val="0"/>
          <w:divBdr>
            <w:top w:val="none" w:sz="0" w:space="0" w:color="auto"/>
            <w:left w:val="none" w:sz="0" w:space="0" w:color="auto"/>
            <w:bottom w:val="none" w:sz="0" w:space="0" w:color="auto"/>
            <w:right w:val="none" w:sz="0" w:space="0" w:color="auto"/>
          </w:divBdr>
        </w:div>
        <w:div w:id="422802921">
          <w:marLeft w:val="0"/>
          <w:marRight w:val="0"/>
          <w:marTop w:val="0"/>
          <w:marBottom w:val="0"/>
          <w:divBdr>
            <w:top w:val="none" w:sz="0" w:space="0" w:color="auto"/>
            <w:left w:val="none" w:sz="0" w:space="0" w:color="auto"/>
            <w:bottom w:val="none" w:sz="0" w:space="0" w:color="auto"/>
            <w:right w:val="none" w:sz="0" w:space="0" w:color="auto"/>
          </w:divBdr>
        </w:div>
        <w:div w:id="553738403">
          <w:marLeft w:val="0"/>
          <w:marRight w:val="0"/>
          <w:marTop w:val="0"/>
          <w:marBottom w:val="0"/>
          <w:divBdr>
            <w:top w:val="none" w:sz="0" w:space="0" w:color="auto"/>
            <w:left w:val="none" w:sz="0" w:space="0" w:color="auto"/>
            <w:bottom w:val="none" w:sz="0" w:space="0" w:color="auto"/>
            <w:right w:val="none" w:sz="0" w:space="0" w:color="auto"/>
          </w:divBdr>
        </w:div>
        <w:div w:id="572736154">
          <w:marLeft w:val="0"/>
          <w:marRight w:val="0"/>
          <w:marTop w:val="0"/>
          <w:marBottom w:val="0"/>
          <w:divBdr>
            <w:top w:val="none" w:sz="0" w:space="0" w:color="auto"/>
            <w:left w:val="none" w:sz="0" w:space="0" w:color="auto"/>
            <w:bottom w:val="none" w:sz="0" w:space="0" w:color="auto"/>
            <w:right w:val="none" w:sz="0" w:space="0" w:color="auto"/>
          </w:divBdr>
        </w:div>
        <w:div w:id="831674821">
          <w:marLeft w:val="0"/>
          <w:marRight w:val="0"/>
          <w:marTop w:val="0"/>
          <w:marBottom w:val="0"/>
          <w:divBdr>
            <w:top w:val="none" w:sz="0" w:space="0" w:color="auto"/>
            <w:left w:val="none" w:sz="0" w:space="0" w:color="auto"/>
            <w:bottom w:val="none" w:sz="0" w:space="0" w:color="auto"/>
            <w:right w:val="none" w:sz="0" w:space="0" w:color="auto"/>
          </w:divBdr>
        </w:div>
        <w:div w:id="1083799799">
          <w:marLeft w:val="0"/>
          <w:marRight w:val="0"/>
          <w:marTop w:val="0"/>
          <w:marBottom w:val="0"/>
          <w:divBdr>
            <w:top w:val="none" w:sz="0" w:space="0" w:color="auto"/>
            <w:left w:val="none" w:sz="0" w:space="0" w:color="auto"/>
            <w:bottom w:val="none" w:sz="0" w:space="0" w:color="auto"/>
            <w:right w:val="none" w:sz="0" w:space="0" w:color="auto"/>
          </w:divBdr>
        </w:div>
        <w:div w:id="1243567185">
          <w:marLeft w:val="0"/>
          <w:marRight w:val="0"/>
          <w:marTop w:val="0"/>
          <w:marBottom w:val="0"/>
          <w:divBdr>
            <w:top w:val="none" w:sz="0" w:space="0" w:color="auto"/>
            <w:left w:val="none" w:sz="0" w:space="0" w:color="auto"/>
            <w:bottom w:val="none" w:sz="0" w:space="0" w:color="auto"/>
            <w:right w:val="none" w:sz="0" w:space="0" w:color="auto"/>
          </w:divBdr>
        </w:div>
        <w:div w:id="1361587383">
          <w:marLeft w:val="0"/>
          <w:marRight w:val="0"/>
          <w:marTop w:val="0"/>
          <w:marBottom w:val="0"/>
          <w:divBdr>
            <w:top w:val="none" w:sz="0" w:space="0" w:color="auto"/>
            <w:left w:val="none" w:sz="0" w:space="0" w:color="auto"/>
            <w:bottom w:val="none" w:sz="0" w:space="0" w:color="auto"/>
            <w:right w:val="none" w:sz="0" w:space="0" w:color="auto"/>
          </w:divBdr>
        </w:div>
        <w:div w:id="1380665967">
          <w:marLeft w:val="0"/>
          <w:marRight w:val="0"/>
          <w:marTop w:val="0"/>
          <w:marBottom w:val="0"/>
          <w:divBdr>
            <w:top w:val="none" w:sz="0" w:space="0" w:color="auto"/>
            <w:left w:val="none" w:sz="0" w:space="0" w:color="auto"/>
            <w:bottom w:val="none" w:sz="0" w:space="0" w:color="auto"/>
            <w:right w:val="none" w:sz="0" w:space="0" w:color="auto"/>
          </w:divBdr>
        </w:div>
        <w:div w:id="1400901016">
          <w:marLeft w:val="0"/>
          <w:marRight w:val="0"/>
          <w:marTop w:val="0"/>
          <w:marBottom w:val="0"/>
          <w:divBdr>
            <w:top w:val="none" w:sz="0" w:space="0" w:color="auto"/>
            <w:left w:val="none" w:sz="0" w:space="0" w:color="auto"/>
            <w:bottom w:val="none" w:sz="0" w:space="0" w:color="auto"/>
            <w:right w:val="none" w:sz="0" w:space="0" w:color="auto"/>
          </w:divBdr>
        </w:div>
        <w:div w:id="1412849838">
          <w:marLeft w:val="0"/>
          <w:marRight w:val="0"/>
          <w:marTop w:val="0"/>
          <w:marBottom w:val="0"/>
          <w:divBdr>
            <w:top w:val="none" w:sz="0" w:space="0" w:color="auto"/>
            <w:left w:val="none" w:sz="0" w:space="0" w:color="auto"/>
            <w:bottom w:val="none" w:sz="0" w:space="0" w:color="auto"/>
            <w:right w:val="none" w:sz="0" w:space="0" w:color="auto"/>
          </w:divBdr>
        </w:div>
        <w:div w:id="1418014199">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
            <w:div w:id="59258198">
              <w:marLeft w:val="0"/>
              <w:marRight w:val="0"/>
              <w:marTop w:val="0"/>
              <w:marBottom w:val="0"/>
              <w:divBdr>
                <w:top w:val="none" w:sz="0" w:space="0" w:color="auto"/>
                <w:left w:val="none" w:sz="0" w:space="0" w:color="auto"/>
                <w:bottom w:val="none" w:sz="0" w:space="0" w:color="auto"/>
                <w:right w:val="none" w:sz="0" w:space="0" w:color="auto"/>
              </w:divBdr>
            </w:div>
            <w:div w:id="166945650">
              <w:marLeft w:val="0"/>
              <w:marRight w:val="0"/>
              <w:marTop w:val="0"/>
              <w:marBottom w:val="0"/>
              <w:divBdr>
                <w:top w:val="none" w:sz="0" w:space="0" w:color="auto"/>
                <w:left w:val="none" w:sz="0" w:space="0" w:color="auto"/>
                <w:bottom w:val="none" w:sz="0" w:space="0" w:color="auto"/>
                <w:right w:val="none" w:sz="0" w:space="0" w:color="auto"/>
              </w:divBdr>
            </w:div>
            <w:div w:id="223226151">
              <w:marLeft w:val="0"/>
              <w:marRight w:val="0"/>
              <w:marTop w:val="0"/>
              <w:marBottom w:val="0"/>
              <w:divBdr>
                <w:top w:val="none" w:sz="0" w:space="0" w:color="auto"/>
                <w:left w:val="none" w:sz="0" w:space="0" w:color="auto"/>
                <w:bottom w:val="none" w:sz="0" w:space="0" w:color="auto"/>
                <w:right w:val="none" w:sz="0" w:space="0" w:color="auto"/>
              </w:divBdr>
            </w:div>
            <w:div w:id="422726058">
              <w:marLeft w:val="0"/>
              <w:marRight w:val="0"/>
              <w:marTop w:val="0"/>
              <w:marBottom w:val="0"/>
              <w:divBdr>
                <w:top w:val="none" w:sz="0" w:space="0" w:color="auto"/>
                <w:left w:val="none" w:sz="0" w:space="0" w:color="auto"/>
                <w:bottom w:val="none" w:sz="0" w:space="0" w:color="auto"/>
                <w:right w:val="none" w:sz="0" w:space="0" w:color="auto"/>
              </w:divBdr>
            </w:div>
            <w:div w:id="795953909">
              <w:marLeft w:val="0"/>
              <w:marRight w:val="0"/>
              <w:marTop w:val="0"/>
              <w:marBottom w:val="0"/>
              <w:divBdr>
                <w:top w:val="none" w:sz="0" w:space="0" w:color="auto"/>
                <w:left w:val="none" w:sz="0" w:space="0" w:color="auto"/>
                <w:bottom w:val="none" w:sz="0" w:space="0" w:color="auto"/>
                <w:right w:val="none" w:sz="0" w:space="0" w:color="auto"/>
              </w:divBdr>
            </w:div>
            <w:div w:id="1026323396">
              <w:marLeft w:val="0"/>
              <w:marRight w:val="0"/>
              <w:marTop w:val="0"/>
              <w:marBottom w:val="0"/>
              <w:divBdr>
                <w:top w:val="none" w:sz="0" w:space="0" w:color="auto"/>
                <w:left w:val="none" w:sz="0" w:space="0" w:color="auto"/>
                <w:bottom w:val="none" w:sz="0" w:space="0" w:color="auto"/>
                <w:right w:val="none" w:sz="0" w:space="0" w:color="auto"/>
              </w:divBdr>
            </w:div>
            <w:div w:id="1199508816">
              <w:marLeft w:val="0"/>
              <w:marRight w:val="0"/>
              <w:marTop w:val="0"/>
              <w:marBottom w:val="0"/>
              <w:divBdr>
                <w:top w:val="none" w:sz="0" w:space="0" w:color="auto"/>
                <w:left w:val="none" w:sz="0" w:space="0" w:color="auto"/>
                <w:bottom w:val="none" w:sz="0" w:space="0" w:color="auto"/>
                <w:right w:val="none" w:sz="0" w:space="0" w:color="auto"/>
              </w:divBdr>
            </w:div>
            <w:div w:id="1207446824">
              <w:marLeft w:val="0"/>
              <w:marRight w:val="0"/>
              <w:marTop w:val="0"/>
              <w:marBottom w:val="0"/>
              <w:divBdr>
                <w:top w:val="none" w:sz="0" w:space="0" w:color="auto"/>
                <w:left w:val="none" w:sz="0" w:space="0" w:color="auto"/>
                <w:bottom w:val="none" w:sz="0" w:space="0" w:color="auto"/>
                <w:right w:val="none" w:sz="0" w:space="0" w:color="auto"/>
              </w:divBdr>
            </w:div>
            <w:div w:id="1278679688">
              <w:marLeft w:val="0"/>
              <w:marRight w:val="0"/>
              <w:marTop w:val="0"/>
              <w:marBottom w:val="0"/>
              <w:divBdr>
                <w:top w:val="none" w:sz="0" w:space="0" w:color="auto"/>
                <w:left w:val="none" w:sz="0" w:space="0" w:color="auto"/>
                <w:bottom w:val="none" w:sz="0" w:space="0" w:color="auto"/>
                <w:right w:val="none" w:sz="0" w:space="0" w:color="auto"/>
              </w:divBdr>
            </w:div>
            <w:div w:id="1415935453">
              <w:marLeft w:val="0"/>
              <w:marRight w:val="0"/>
              <w:marTop w:val="0"/>
              <w:marBottom w:val="0"/>
              <w:divBdr>
                <w:top w:val="none" w:sz="0" w:space="0" w:color="auto"/>
                <w:left w:val="none" w:sz="0" w:space="0" w:color="auto"/>
                <w:bottom w:val="none" w:sz="0" w:space="0" w:color="auto"/>
                <w:right w:val="none" w:sz="0" w:space="0" w:color="auto"/>
              </w:divBdr>
            </w:div>
            <w:div w:id="1629362147">
              <w:marLeft w:val="0"/>
              <w:marRight w:val="0"/>
              <w:marTop w:val="0"/>
              <w:marBottom w:val="0"/>
              <w:divBdr>
                <w:top w:val="none" w:sz="0" w:space="0" w:color="auto"/>
                <w:left w:val="none" w:sz="0" w:space="0" w:color="auto"/>
                <w:bottom w:val="none" w:sz="0" w:space="0" w:color="auto"/>
                <w:right w:val="none" w:sz="0" w:space="0" w:color="auto"/>
              </w:divBdr>
            </w:div>
            <w:div w:id="1704594173">
              <w:marLeft w:val="0"/>
              <w:marRight w:val="0"/>
              <w:marTop w:val="0"/>
              <w:marBottom w:val="0"/>
              <w:divBdr>
                <w:top w:val="none" w:sz="0" w:space="0" w:color="auto"/>
                <w:left w:val="none" w:sz="0" w:space="0" w:color="auto"/>
                <w:bottom w:val="none" w:sz="0" w:space="0" w:color="auto"/>
                <w:right w:val="none" w:sz="0" w:space="0" w:color="auto"/>
              </w:divBdr>
            </w:div>
            <w:div w:id="1740515896">
              <w:marLeft w:val="0"/>
              <w:marRight w:val="0"/>
              <w:marTop w:val="0"/>
              <w:marBottom w:val="0"/>
              <w:divBdr>
                <w:top w:val="none" w:sz="0" w:space="0" w:color="auto"/>
                <w:left w:val="none" w:sz="0" w:space="0" w:color="auto"/>
                <w:bottom w:val="none" w:sz="0" w:space="0" w:color="auto"/>
                <w:right w:val="none" w:sz="0" w:space="0" w:color="auto"/>
              </w:divBdr>
            </w:div>
            <w:div w:id="1889798601">
              <w:marLeft w:val="0"/>
              <w:marRight w:val="0"/>
              <w:marTop w:val="0"/>
              <w:marBottom w:val="0"/>
              <w:divBdr>
                <w:top w:val="none" w:sz="0" w:space="0" w:color="auto"/>
                <w:left w:val="none" w:sz="0" w:space="0" w:color="auto"/>
                <w:bottom w:val="none" w:sz="0" w:space="0" w:color="auto"/>
                <w:right w:val="none" w:sz="0" w:space="0" w:color="auto"/>
              </w:divBdr>
            </w:div>
            <w:div w:id="1898584122">
              <w:marLeft w:val="0"/>
              <w:marRight w:val="0"/>
              <w:marTop w:val="0"/>
              <w:marBottom w:val="0"/>
              <w:divBdr>
                <w:top w:val="none" w:sz="0" w:space="0" w:color="auto"/>
                <w:left w:val="none" w:sz="0" w:space="0" w:color="auto"/>
                <w:bottom w:val="none" w:sz="0" w:space="0" w:color="auto"/>
                <w:right w:val="none" w:sz="0" w:space="0" w:color="auto"/>
              </w:divBdr>
            </w:div>
            <w:div w:id="1906840728">
              <w:marLeft w:val="0"/>
              <w:marRight w:val="0"/>
              <w:marTop w:val="0"/>
              <w:marBottom w:val="0"/>
              <w:divBdr>
                <w:top w:val="none" w:sz="0" w:space="0" w:color="auto"/>
                <w:left w:val="none" w:sz="0" w:space="0" w:color="auto"/>
                <w:bottom w:val="none" w:sz="0" w:space="0" w:color="auto"/>
                <w:right w:val="none" w:sz="0" w:space="0" w:color="auto"/>
              </w:divBdr>
            </w:div>
            <w:div w:id="1918972416">
              <w:marLeft w:val="0"/>
              <w:marRight w:val="0"/>
              <w:marTop w:val="0"/>
              <w:marBottom w:val="0"/>
              <w:divBdr>
                <w:top w:val="none" w:sz="0" w:space="0" w:color="auto"/>
                <w:left w:val="none" w:sz="0" w:space="0" w:color="auto"/>
                <w:bottom w:val="none" w:sz="0" w:space="0" w:color="auto"/>
                <w:right w:val="none" w:sz="0" w:space="0" w:color="auto"/>
              </w:divBdr>
            </w:div>
            <w:div w:id="1931891651">
              <w:marLeft w:val="0"/>
              <w:marRight w:val="0"/>
              <w:marTop w:val="0"/>
              <w:marBottom w:val="0"/>
              <w:divBdr>
                <w:top w:val="none" w:sz="0" w:space="0" w:color="auto"/>
                <w:left w:val="none" w:sz="0" w:space="0" w:color="auto"/>
                <w:bottom w:val="none" w:sz="0" w:space="0" w:color="auto"/>
                <w:right w:val="none" w:sz="0" w:space="0" w:color="auto"/>
              </w:divBdr>
            </w:div>
            <w:div w:id="2145927622">
              <w:marLeft w:val="0"/>
              <w:marRight w:val="0"/>
              <w:marTop w:val="0"/>
              <w:marBottom w:val="0"/>
              <w:divBdr>
                <w:top w:val="none" w:sz="0" w:space="0" w:color="auto"/>
                <w:left w:val="none" w:sz="0" w:space="0" w:color="auto"/>
                <w:bottom w:val="none" w:sz="0" w:space="0" w:color="auto"/>
                <w:right w:val="none" w:sz="0" w:space="0" w:color="auto"/>
              </w:divBdr>
            </w:div>
          </w:divsChild>
        </w:div>
        <w:div w:id="1448936052">
          <w:marLeft w:val="0"/>
          <w:marRight w:val="0"/>
          <w:marTop w:val="0"/>
          <w:marBottom w:val="0"/>
          <w:divBdr>
            <w:top w:val="none" w:sz="0" w:space="0" w:color="auto"/>
            <w:left w:val="none" w:sz="0" w:space="0" w:color="auto"/>
            <w:bottom w:val="none" w:sz="0" w:space="0" w:color="auto"/>
            <w:right w:val="none" w:sz="0" w:space="0" w:color="auto"/>
          </w:divBdr>
        </w:div>
        <w:div w:id="1549880185">
          <w:marLeft w:val="0"/>
          <w:marRight w:val="0"/>
          <w:marTop w:val="0"/>
          <w:marBottom w:val="0"/>
          <w:divBdr>
            <w:top w:val="none" w:sz="0" w:space="0" w:color="auto"/>
            <w:left w:val="none" w:sz="0" w:space="0" w:color="auto"/>
            <w:bottom w:val="none" w:sz="0" w:space="0" w:color="auto"/>
            <w:right w:val="none" w:sz="0" w:space="0" w:color="auto"/>
          </w:divBdr>
          <w:divsChild>
            <w:div w:id="64957168">
              <w:marLeft w:val="0"/>
              <w:marRight w:val="0"/>
              <w:marTop w:val="0"/>
              <w:marBottom w:val="0"/>
              <w:divBdr>
                <w:top w:val="none" w:sz="0" w:space="0" w:color="auto"/>
                <w:left w:val="none" w:sz="0" w:space="0" w:color="auto"/>
                <w:bottom w:val="none" w:sz="0" w:space="0" w:color="auto"/>
                <w:right w:val="none" w:sz="0" w:space="0" w:color="auto"/>
              </w:divBdr>
            </w:div>
            <w:div w:id="158734781">
              <w:marLeft w:val="0"/>
              <w:marRight w:val="0"/>
              <w:marTop w:val="0"/>
              <w:marBottom w:val="0"/>
              <w:divBdr>
                <w:top w:val="none" w:sz="0" w:space="0" w:color="auto"/>
                <w:left w:val="none" w:sz="0" w:space="0" w:color="auto"/>
                <w:bottom w:val="none" w:sz="0" w:space="0" w:color="auto"/>
                <w:right w:val="none" w:sz="0" w:space="0" w:color="auto"/>
              </w:divBdr>
            </w:div>
            <w:div w:id="332103458">
              <w:marLeft w:val="0"/>
              <w:marRight w:val="0"/>
              <w:marTop w:val="0"/>
              <w:marBottom w:val="0"/>
              <w:divBdr>
                <w:top w:val="none" w:sz="0" w:space="0" w:color="auto"/>
                <w:left w:val="none" w:sz="0" w:space="0" w:color="auto"/>
                <w:bottom w:val="none" w:sz="0" w:space="0" w:color="auto"/>
                <w:right w:val="none" w:sz="0" w:space="0" w:color="auto"/>
              </w:divBdr>
            </w:div>
            <w:div w:id="417288289">
              <w:marLeft w:val="0"/>
              <w:marRight w:val="0"/>
              <w:marTop w:val="0"/>
              <w:marBottom w:val="0"/>
              <w:divBdr>
                <w:top w:val="none" w:sz="0" w:space="0" w:color="auto"/>
                <w:left w:val="none" w:sz="0" w:space="0" w:color="auto"/>
                <w:bottom w:val="none" w:sz="0" w:space="0" w:color="auto"/>
                <w:right w:val="none" w:sz="0" w:space="0" w:color="auto"/>
              </w:divBdr>
            </w:div>
            <w:div w:id="510223721">
              <w:marLeft w:val="0"/>
              <w:marRight w:val="0"/>
              <w:marTop w:val="0"/>
              <w:marBottom w:val="0"/>
              <w:divBdr>
                <w:top w:val="none" w:sz="0" w:space="0" w:color="auto"/>
                <w:left w:val="none" w:sz="0" w:space="0" w:color="auto"/>
                <w:bottom w:val="none" w:sz="0" w:space="0" w:color="auto"/>
                <w:right w:val="none" w:sz="0" w:space="0" w:color="auto"/>
              </w:divBdr>
            </w:div>
            <w:div w:id="697704211">
              <w:marLeft w:val="0"/>
              <w:marRight w:val="0"/>
              <w:marTop w:val="0"/>
              <w:marBottom w:val="0"/>
              <w:divBdr>
                <w:top w:val="none" w:sz="0" w:space="0" w:color="auto"/>
                <w:left w:val="none" w:sz="0" w:space="0" w:color="auto"/>
                <w:bottom w:val="none" w:sz="0" w:space="0" w:color="auto"/>
                <w:right w:val="none" w:sz="0" w:space="0" w:color="auto"/>
              </w:divBdr>
            </w:div>
            <w:div w:id="745147812">
              <w:marLeft w:val="0"/>
              <w:marRight w:val="0"/>
              <w:marTop w:val="0"/>
              <w:marBottom w:val="0"/>
              <w:divBdr>
                <w:top w:val="none" w:sz="0" w:space="0" w:color="auto"/>
                <w:left w:val="none" w:sz="0" w:space="0" w:color="auto"/>
                <w:bottom w:val="none" w:sz="0" w:space="0" w:color="auto"/>
                <w:right w:val="none" w:sz="0" w:space="0" w:color="auto"/>
              </w:divBdr>
            </w:div>
            <w:div w:id="787549020">
              <w:marLeft w:val="0"/>
              <w:marRight w:val="0"/>
              <w:marTop w:val="0"/>
              <w:marBottom w:val="0"/>
              <w:divBdr>
                <w:top w:val="none" w:sz="0" w:space="0" w:color="auto"/>
                <w:left w:val="none" w:sz="0" w:space="0" w:color="auto"/>
                <w:bottom w:val="none" w:sz="0" w:space="0" w:color="auto"/>
                <w:right w:val="none" w:sz="0" w:space="0" w:color="auto"/>
              </w:divBdr>
            </w:div>
            <w:div w:id="961768815">
              <w:marLeft w:val="0"/>
              <w:marRight w:val="0"/>
              <w:marTop w:val="0"/>
              <w:marBottom w:val="0"/>
              <w:divBdr>
                <w:top w:val="none" w:sz="0" w:space="0" w:color="auto"/>
                <w:left w:val="none" w:sz="0" w:space="0" w:color="auto"/>
                <w:bottom w:val="none" w:sz="0" w:space="0" w:color="auto"/>
                <w:right w:val="none" w:sz="0" w:space="0" w:color="auto"/>
              </w:divBdr>
            </w:div>
            <w:div w:id="969702895">
              <w:marLeft w:val="0"/>
              <w:marRight w:val="0"/>
              <w:marTop w:val="0"/>
              <w:marBottom w:val="0"/>
              <w:divBdr>
                <w:top w:val="none" w:sz="0" w:space="0" w:color="auto"/>
                <w:left w:val="none" w:sz="0" w:space="0" w:color="auto"/>
                <w:bottom w:val="none" w:sz="0" w:space="0" w:color="auto"/>
                <w:right w:val="none" w:sz="0" w:space="0" w:color="auto"/>
              </w:divBdr>
            </w:div>
            <w:div w:id="1136607712">
              <w:marLeft w:val="0"/>
              <w:marRight w:val="0"/>
              <w:marTop w:val="0"/>
              <w:marBottom w:val="0"/>
              <w:divBdr>
                <w:top w:val="none" w:sz="0" w:space="0" w:color="auto"/>
                <w:left w:val="none" w:sz="0" w:space="0" w:color="auto"/>
                <w:bottom w:val="none" w:sz="0" w:space="0" w:color="auto"/>
                <w:right w:val="none" w:sz="0" w:space="0" w:color="auto"/>
              </w:divBdr>
            </w:div>
            <w:div w:id="1142309384">
              <w:marLeft w:val="0"/>
              <w:marRight w:val="0"/>
              <w:marTop w:val="0"/>
              <w:marBottom w:val="0"/>
              <w:divBdr>
                <w:top w:val="none" w:sz="0" w:space="0" w:color="auto"/>
                <w:left w:val="none" w:sz="0" w:space="0" w:color="auto"/>
                <w:bottom w:val="none" w:sz="0" w:space="0" w:color="auto"/>
                <w:right w:val="none" w:sz="0" w:space="0" w:color="auto"/>
              </w:divBdr>
            </w:div>
            <w:div w:id="1183010027">
              <w:marLeft w:val="0"/>
              <w:marRight w:val="0"/>
              <w:marTop w:val="0"/>
              <w:marBottom w:val="0"/>
              <w:divBdr>
                <w:top w:val="none" w:sz="0" w:space="0" w:color="auto"/>
                <w:left w:val="none" w:sz="0" w:space="0" w:color="auto"/>
                <w:bottom w:val="none" w:sz="0" w:space="0" w:color="auto"/>
                <w:right w:val="none" w:sz="0" w:space="0" w:color="auto"/>
              </w:divBdr>
            </w:div>
            <w:div w:id="1249776292">
              <w:marLeft w:val="0"/>
              <w:marRight w:val="0"/>
              <w:marTop w:val="0"/>
              <w:marBottom w:val="0"/>
              <w:divBdr>
                <w:top w:val="none" w:sz="0" w:space="0" w:color="auto"/>
                <w:left w:val="none" w:sz="0" w:space="0" w:color="auto"/>
                <w:bottom w:val="none" w:sz="0" w:space="0" w:color="auto"/>
                <w:right w:val="none" w:sz="0" w:space="0" w:color="auto"/>
              </w:divBdr>
            </w:div>
            <w:div w:id="1395741823">
              <w:marLeft w:val="0"/>
              <w:marRight w:val="0"/>
              <w:marTop w:val="0"/>
              <w:marBottom w:val="0"/>
              <w:divBdr>
                <w:top w:val="none" w:sz="0" w:space="0" w:color="auto"/>
                <w:left w:val="none" w:sz="0" w:space="0" w:color="auto"/>
                <w:bottom w:val="none" w:sz="0" w:space="0" w:color="auto"/>
                <w:right w:val="none" w:sz="0" w:space="0" w:color="auto"/>
              </w:divBdr>
            </w:div>
            <w:div w:id="1494832713">
              <w:marLeft w:val="0"/>
              <w:marRight w:val="0"/>
              <w:marTop w:val="0"/>
              <w:marBottom w:val="0"/>
              <w:divBdr>
                <w:top w:val="none" w:sz="0" w:space="0" w:color="auto"/>
                <w:left w:val="none" w:sz="0" w:space="0" w:color="auto"/>
                <w:bottom w:val="none" w:sz="0" w:space="0" w:color="auto"/>
                <w:right w:val="none" w:sz="0" w:space="0" w:color="auto"/>
              </w:divBdr>
            </w:div>
            <w:div w:id="1541822449">
              <w:marLeft w:val="0"/>
              <w:marRight w:val="0"/>
              <w:marTop w:val="0"/>
              <w:marBottom w:val="0"/>
              <w:divBdr>
                <w:top w:val="none" w:sz="0" w:space="0" w:color="auto"/>
                <w:left w:val="none" w:sz="0" w:space="0" w:color="auto"/>
                <w:bottom w:val="none" w:sz="0" w:space="0" w:color="auto"/>
                <w:right w:val="none" w:sz="0" w:space="0" w:color="auto"/>
              </w:divBdr>
            </w:div>
            <w:div w:id="1672830659">
              <w:marLeft w:val="0"/>
              <w:marRight w:val="0"/>
              <w:marTop w:val="0"/>
              <w:marBottom w:val="0"/>
              <w:divBdr>
                <w:top w:val="none" w:sz="0" w:space="0" w:color="auto"/>
                <w:left w:val="none" w:sz="0" w:space="0" w:color="auto"/>
                <w:bottom w:val="none" w:sz="0" w:space="0" w:color="auto"/>
                <w:right w:val="none" w:sz="0" w:space="0" w:color="auto"/>
              </w:divBdr>
            </w:div>
            <w:div w:id="1733502220">
              <w:marLeft w:val="0"/>
              <w:marRight w:val="0"/>
              <w:marTop w:val="0"/>
              <w:marBottom w:val="0"/>
              <w:divBdr>
                <w:top w:val="none" w:sz="0" w:space="0" w:color="auto"/>
                <w:left w:val="none" w:sz="0" w:space="0" w:color="auto"/>
                <w:bottom w:val="none" w:sz="0" w:space="0" w:color="auto"/>
                <w:right w:val="none" w:sz="0" w:space="0" w:color="auto"/>
              </w:divBdr>
            </w:div>
            <w:div w:id="2109544522">
              <w:marLeft w:val="0"/>
              <w:marRight w:val="0"/>
              <w:marTop w:val="0"/>
              <w:marBottom w:val="0"/>
              <w:divBdr>
                <w:top w:val="none" w:sz="0" w:space="0" w:color="auto"/>
                <w:left w:val="none" w:sz="0" w:space="0" w:color="auto"/>
                <w:bottom w:val="none" w:sz="0" w:space="0" w:color="auto"/>
                <w:right w:val="none" w:sz="0" w:space="0" w:color="auto"/>
              </w:divBdr>
            </w:div>
          </w:divsChild>
        </w:div>
        <w:div w:id="1691253575">
          <w:marLeft w:val="0"/>
          <w:marRight w:val="0"/>
          <w:marTop w:val="0"/>
          <w:marBottom w:val="0"/>
          <w:divBdr>
            <w:top w:val="none" w:sz="0" w:space="0" w:color="auto"/>
            <w:left w:val="none" w:sz="0" w:space="0" w:color="auto"/>
            <w:bottom w:val="none" w:sz="0" w:space="0" w:color="auto"/>
            <w:right w:val="none" w:sz="0" w:space="0" w:color="auto"/>
          </w:divBdr>
        </w:div>
        <w:div w:id="1698658377">
          <w:marLeft w:val="0"/>
          <w:marRight w:val="0"/>
          <w:marTop w:val="0"/>
          <w:marBottom w:val="0"/>
          <w:divBdr>
            <w:top w:val="none" w:sz="0" w:space="0" w:color="auto"/>
            <w:left w:val="none" w:sz="0" w:space="0" w:color="auto"/>
            <w:bottom w:val="none" w:sz="0" w:space="0" w:color="auto"/>
            <w:right w:val="none" w:sz="0" w:space="0" w:color="auto"/>
          </w:divBdr>
        </w:div>
        <w:div w:id="1964536265">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sChild>
            <w:div w:id="71316548">
              <w:marLeft w:val="0"/>
              <w:marRight w:val="0"/>
              <w:marTop w:val="0"/>
              <w:marBottom w:val="0"/>
              <w:divBdr>
                <w:top w:val="none" w:sz="0" w:space="0" w:color="auto"/>
                <w:left w:val="none" w:sz="0" w:space="0" w:color="auto"/>
                <w:bottom w:val="none" w:sz="0" w:space="0" w:color="auto"/>
                <w:right w:val="none" w:sz="0" w:space="0" w:color="auto"/>
              </w:divBdr>
            </w:div>
            <w:div w:id="119881166">
              <w:marLeft w:val="0"/>
              <w:marRight w:val="0"/>
              <w:marTop w:val="0"/>
              <w:marBottom w:val="0"/>
              <w:divBdr>
                <w:top w:val="none" w:sz="0" w:space="0" w:color="auto"/>
                <w:left w:val="none" w:sz="0" w:space="0" w:color="auto"/>
                <w:bottom w:val="none" w:sz="0" w:space="0" w:color="auto"/>
                <w:right w:val="none" w:sz="0" w:space="0" w:color="auto"/>
              </w:divBdr>
            </w:div>
            <w:div w:id="319893327">
              <w:marLeft w:val="0"/>
              <w:marRight w:val="0"/>
              <w:marTop w:val="0"/>
              <w:marBottom w:val="0"/>
              <w:divBdr>
                <w:top w:val="none" w:sz="0" w:space="0" w:color="auto"/>
                <w:left w:val="none" w:sz="0" w:space="0" w:color="auto"/>
                <w:bottom w:val="none" w:sz="0" w:space="0" w:color="auto"/>
                <w:right w:val="none" w:sz="0" w:space="0" w:color="auto"/>
              </w:divBdr>
            </w:div>
            <w:div w:id="343482702">
              <w:marLeft w:val="0"/>
              <w:marRight w:val="0"/>
              <w:marTop w:val="0"/>
              <w:marBottom w:val="0"/>
              <w:divBdr>
                <w:top w:val="none" w:sz="0" w:space="0" w:color="auto"/>
                <w:left w:val="none" w:sz="0" w:space="0" w:color="auto"/>
                <w:bottom w:val="none" w:sz="0" w:space="0" w:color="auto"/>
                <w:right w:val="none" w:sz="0" w:space="0" w:color="auto"/>
              </w:divBdr>
            </w:div>
            <w:div w:id="506946078">
              <w:marLeft w:val="0"/>
              <w:marRight w:val="0"/>
              <w:marTop w:val="0"/>
              <w:marBottom w:val="0"/>
              <w:divBdr>
                <w:top w:val="none" w:sz="0" w:space="0" w:color="auto"/>
                <w:left w:val="none" w:sz="0" w:space="0" w:color="auto"/>
                <w:bottom w:val="none" w:sz="0" w:space="0" w:color="auto"/>
                <w:right w:val="none" w:sz="0" w:space="0" w:color="auto"/>
              </w:divBdr>
            </w:div>
            <w:div w:id="659384907">
              <w:marLeft w:val="0"/>
              <w:marRight w:val="0"/>
              <w:marTop w:val="0"/>
              <w:marBottom w:val="0"/>
              <w:divBdr>
                <w:top w:val="none" w:sz="0" w:space="0" w:color="auto"/>
                <w:left w:val="none" w:sz="0" w:space="0" w:color="auto"/>
                <w:bottom w:val="none" w:sz="0" w:space="0" w:color="auto"/>
                <w:right w:val="none" w:sz="0" w:space="0" w:color="auto"/>
              </w:divBdr>
            </w:div>
            <w:div w:id="861362170">
              <w:marLeft w:val="0"/>
              <w:marRight w:val="0"/>
              <w:marTop w:val="0"/>
              <w:marBottom w:val="0"/>
              <w:divBdr>
                <w:top w:val="none" w:sz="0" w:space="0" w:color="auto"/>
                <w:left w:val="none" w:sz="0" w:space="0" w:color="auto"/>
                <w:bottom w:val="none" w:sz="0" w:space="0" w:color="auto"/>
                <w:right w:val="none" w:sz="0" w:space="0" w:color="auto"/>
              </w:divBdr>
            </w:div>
            <w:div w:id="1006203611">
              <w:marLeft w:val="0"/>
              <w:marRight w:val="0"/>
              <w:marTop w:val="0"/>
              <w:marBottom w:val="0"/>
              <w:divBdr>
                <w:top w:val="none" w:sz="0" w:space="0" w:color="auto"/>
                <w:left w:val="none" w:sz="0" w:space="0" w:color="auto"/>
                <w:bottom w:val="none" w:sz="0" w:space="0" w:color="auto"/>
                <w:right w:val="none" w:sz="0" w:space="0" w:color="auto"/>
              </w:divBdr>
            </w:div>
            <w:div w:id="1094865611">
              <w:marLeft w:val="0"/>
              <w:marRight w:val="0"/>
              <w:marTop w:val="0"/>
              <w:marBottom w:val="0"/>
              <w:divBdr>
                <w:top w:val="none" w:sz="0" w:space="0" w:color="auto"/>
                <w:left w:val="none" w:sz="0" w:space="0" w:color="auto"/>
                <w:bottom w:val="none" w:sz="0" w:space="0" w:color="auto"/>
                <w:right w:val="none" w:sz="0" w:space="0" w:color="auto"/>
              </w:divBdr>
            </w:div>
            <w:div w:id="1098058402">
              <w:marLeft w:val="0"/>
              <w:marRight w:val="0"/>
              <w:marTop w:val="0"/>
              <w:marBottom w:val="0"/>
              <w:divBdr>
                <w:top w:val="none" w:sz="0" w:space="0" w:color="auto"/>
                <w:left w:val="none" w:sz="0" w:space="0" w:color="auto"/>
                <w:bottom w:val="none" w:sz="0" w:space="0" w:color="auto"/>
                <w:right w:val="none" w:sz="0" w:space="0" w:color="auto"/>
              </w:divBdr>
            </w:div>
            <w:div w:id="1216967471">
              <w:marLeft w:val="0"/>
              <w:marRight w:val="0"/>
              <w:marTop w:val="0"/>
              <w:marBottom w:val="0"/>
              <w:divBdr>
                <w:top w:val="none" w:sz="0" w:space="0" w:color="auto"/>
                <w:left w:val="none" w:sz="0" w:space="0" w:color="auto"/>
                <w:bottom w:val="none" w:sz="0" w:space="0" w:color="auto"/>
                <w:right w:val="none" w:sz="0" w:space="0" w:color="auto"/>
              </w:divBdr>
            </w:div>
            <w:div w:id="1470903573">
              <w:marLeft w:val="0"/>
              <w:marRight w:val="0"/>
              <w:marTop w:val="0"/>
              <w:marBottom w:val="0"/>
              <w:divBdr>
                <w:top w:val="none" w:sz="0" w:space="0" w:color="auto"/>
                <w:left w:val="none" w:sz="0" w:space="0" w:color="auto"/>
                <w:bottom w:val="none" w:sz="0" w:space="0" w:color="auto"/>
                <w:right w:val="none" w:sz="0" w:space="0" w:color="auto"/>
              </w:divBdr>
            </w:div>
            <w:div w:id="1691105097">
              <w:marLeft w:val="0"/>
              <w:marRight w:val="0"/>
              <w:marTop w:val="0"/>
              <w:marBottom w:val="0"/>
              <w:divBdr>
                <w:top w:val="none" w:sz="0" w:space="0" w:color="auto"/>
                <w:left w:val="none" w:sz="0" w:space="0" w:color="auto"/>
                <w:bottom w:val="none" w:sz="0" w:space="0" w:color="auto"/>
                <w:right w:val="none" w:sz="0" w:space="0" w:color="auto"/>
              </w:divBdr>
            </w:div>
            <w:div w:id="1728450846">
              <w:marLeft w:val="0"/>
              <w:marRight w:val="0"/>
              <w:marTop w:val="0"/>
              <w:marBottom w:val="0"/>
              <w:divBdr>
                <w:top w:val="none" w:sz="0" w:space="0" w:color="auto"/>
                <w:left w:val="none" w:sz="0" w:space="0" w:color="auto"/>
                <w:bottom w:val="none" w:sz="0" w:space="0" w:color="auto"/>
                <w:right w:val="none" w:sz="0" w:space="0" w:color="auto"/>
              </w:divBdr>
            </w:div>
            <w:div w:id="1770658390">
              <w:marLeft w:val="0"/>
              <w:marRight w:val="0"/>
              <w:marTop w:val="0"/>
              <w:marBottom w:val="0"/>
              <w:divBdr>
                <w:top w:val="none" w:sz="0" w:space="0" w:color="auto"/>
                <w:left w:val="none" w:sz="0" w:space="0" w:color="auto"/>
                <w:bottom w:val="none" w:sz="0" w:space="0" w:color="auto"/>
                <w:right w:val="none" w:sz="0" w:space="0" w:color="auto"/>
              </w:divBdr>
            </w:div>
            <w:div w:id="1817188794">
              <w:marLeft w:val="0"/>
              <w:marRight w:val="0"/>
              <w:marTop w:val="0"/>
              <w:marBottom w:val="0"/>
              <w:divBdr>
                <w:top w:val="none" w:sz="0" w:space="0" w:color="auto"/>
                <w:left w:val="none" w:sz="0" w:space="0" w:color="auto"/>
                <w:bottom w:val="none" w:sz="0" w:space="0" w:color="auto"/>
                <w:right w:val="none" w:sz="0" w:space="0" w:color="auto"/>
              </w:divBdr>
            </w:div>
            <w:div w:id="1844516613">
              <w:marLeft w:val="0"/>
              <w:marRight w:val="0"/>
              <w:marTop w:val="0"/>
              <w:marBottom w:val="0"/>
              <w:divBdr>
                <w:top w:val="none" w:sz="0" w:space="0" w:color="auto"/>
                <w:left w:val="none" w:sz="0" w:space="0" w:color="auto"/>
                <w:bottom w:val="none" w:sz="0" w:space="0" w:color="auto"/>
                <w:right w:val="none" w:sz="0" w:space="0" w:color="auto"/>
              </w:divBdr>
            </w:div>
            <w:div w:id="1905413261">
              <w:marLeft w:val="0"/>
              <w:marRight w:val="0"/>
              <w:marTop w:val="0"/>
              <w:marBottom w:val="0"/>
              <w:divBdr>
                <w:top w:val="none" w:sz="0" w:space="0" w:color="auto"/>
                <w:left w:val="none" w:sz="0" w:space="0" w:color="auto"/>
                <w:bottom w:val="none" w:sz="0" w:space="0" w:color="auto"/>
                <w:right w:val="none" w:sz="0" w:space="0" w:color="auto"/>
              </w:divBdr>
            </w:div>
            <w:div w:id="2033845140">
              <w:marLeft w:val="0"/>
              <w:marRight w:val="0"/>
              <w:marTop w:val="0"/>
              <w:marBottom w:val="0"/>
              <w:divBdr>
                <w:top w:val="none" w:sz="0" w:space="0" w:color="auto"/>
                <w:left w:val="none" w:sz="0" w:space="0" w:color="auto"/>
                <w:bottom w:val="none" w:sz="0" w:space="0" w:color="auto"/>
                <w:right w:val="none" w:sz="0" w:space="0" w:color="auto"/>
              </w:divBdr>
            </w:div>
            <w:div w:id="2080201630">
              <w:marLeft w:val="0"/>
              <w:marRight w:val="0"/>
              <w:marTop w:val="0"/>
              <w:marBottom w:val="0"/>
              <w:divBdr>
                <w:top w:val="none" w:sz="0" w:space="0" w:color="auto"/>
                <w:left w:val="none" w:sz="0" w:space="0" w:color="auto"/>
                <w:bottom w:val="none" w:sz="0" w:space="0" w:color="auto"/>
                <w:right w:val="none" w:sz="0" w:space="0" w:color="auto"/>
              </w:divBdr>
            </w:div>
          </w:divsChild>
        </w:div>
        <w:div w:id="2000769524">
          <w:marLeft w:val="0"/>
          <w:marRight w:val="0"/>
          <w:marTop w:val="0"/>
          <w:marBottom w:val="0"/>
          <w:divBdr>
            <w:top w:val="none" w:sz="0" w:space="0" w:color="auto"/>
            <w:left w:val="none" w:sz="0" w:space="0" w:color="auto"/>
            <w:bottom w:val="none" w:sz="0" w:space="0" w:color="auto"/>
            <w:right w:val="none" w:sz="0" w:space="0" w:color="auto"/>
          </w:divBdr>
        </w:div>
        <w:div w:id="2098549893">
          <w:marLeft w:val="0"/>
          <w:marRight w:val="0"/>
          <w:marTop w:val="0"/>
          <w:marBottom w:val="0"/>
          <w:divBdr>
            <w:top w:val="none" w:sz="0" w:space="0" w:color="auto"/>
            <w:left w:val="none" w:sz="0" w:space="0" w:color="auto"/>
            <w:bottom w:val="none" w:sz="0" w:space="0" w:color="auto"/>
            <w:right w:val="none" w:sz="0" w:space="0" w:color="auto"/>
          </w:divBdr>
        </w:div>
      </w:divsChild>
    </w:div>
    <w:div w:id="1052772488">
      <w:bodyDiv w:val="1"/>
      <w:marLeft w:val="0"/>
      <w:marRight w:val="0"/>
      <w:marTop w:val="0"/>
      <w:marBottom w:val="0"/>
      <w:divBdr>
        <w:top w:val="none" w:sz="0" w:space="0" w:color="auto"/>
        <w:left w:val="none" w:sz="0" w:space="0" w:color="auto"/>
        <w:bottom w:val="none" w:sz="0" w:space="0" w:color="auto"/>
        <w:right w:val="none" w:sz="0" w:space="0" w:color="auto"/>
      </w:divBdr>
    </w:div>
    <w:div w:id="1053457779">
      <w:bodyDiv w:val="1"/>
      <w:marLeft w:val="0"/>
      <w:marRight w:val="0"/>
      <w:marTop w:val="0"/>
      <w:marBottom w:val="0"/>
      <w:divBdr>
        <w:top w:val="none" w:sz="0" w:space="0" w:color="auto"/>
        <w:left w:val="none" w:sz="0" w:space="0" w:color="auto"/>
        <w:bottom w:val="none" w:sz="0" w:space="0" w:color="auto"/>
        <w:right w:val="none" w:sz="0" w:space="0" w:color="auto"/>
      </w:divBdr>
    </w:div>
    <w:div w:id="1140272195">
      <w:bodyDiv w:val="1"/>
      <w:marLeft w:val="0"/>
      <w:marRight w:val="0"/>
      <w:marTop w:val="0"/>
      <w:marBottom w:val="0"/>
      <w:divBdr>
        <w:top w:val="none" w:sz="0" w:space="0" w:color="auto"/>
        <w:left w:val="none" w:sz="0" w:space="0" w:color="auto"/>
        <w:bottom w:val="none" w:sz="0" w:space="0" w:color="auto"/>
        <w:right w:val="none" w:sz="0" w:space="0" w:color="auto"/>
      </w:divBdr>
    </w:div>
    <w:div w:id="1153180038">
      <w:bodyDiv w:val="1"/>
      <w:marLeft w:val="0"/>
      <w:marRight w:val="0"/>
      <w:marTop w:val="0"/>
      <w:marBottom w:val="0"/>
      <w:divBdr>
        <w:top w:val="none" w:sz="0" w:space="0" w:color="auto"/>
        <w:left w:val="none" w:sz="0" w:space="0" w:color="auto"/>
        <w:bottom w:val="none" w:sz="0" w:space="0" w:color="auto"/>
        <w:right w:val="none" w:sz="0" w:space="0" w:color="auto"/>
      </w:divBdr>
    </w:div>
    <w:div w:id="1285845805">
      <w:bodyDiv w:val="1"/>
      <w:marLeft w:val="0"/>
      <w:marRight w:val="0"/>
      <w:marTop w:val="0"/>
      <w:marBottom w:val="0"/>
      <w:divBdr>
        <w:top w:val="none" w:sz="0" w:space="0" w:color="auto"/>
        <w:left w:val="none" w:sz="0" w:space="0" w:color="auto"/>
        <w:bottom w:val="none" w:sz="0" w:space="0" w:color="auto"/>
        <w:right w:val="none" w:sz="0" w:space="0" w:color="auto"/>
      </w:divBdr>
    </w:div>
    <w:div w:id="1332028045">
      <w:bodyDiv w:val="1"/>
      <w:marLeft w:val="0"/>
      <w:marRight w:val="0"/>
      <w:marTop w:val="0"/>
      <w:marBottom w:val="0"/>
      <w:divBdr>
        <w:top w:val="none" w:sz="0" w:space="0" w:color="auto"/>
        <w:left w:val="none" w:sz="0" w:space="0" w:color="auto"/>
        <w:bottom w:val="none" w:sz="0" w:space="0" w:color="auto"/>
        <w:right w:val="none" w:sz="0" w:space="0" w:color="auto"/>
      </w:divBdr>
    </w:div>
    <w:div w:id="1356423508">
      <w:bodyDiv w:val="1"/>
      <w:marLeft w:val="0"/>
      <w:marRight w:val="0"/>
      <w:marTop w:val="0"/>
      <w:marBottom w:val="0"/>
      <w:divBdr>
        <w:top w:val="none" w:sz="0" w:space="0" w:color="auto"/>
        <w:left w:val="none" w:sz="0" w:space="0" w:color="auto"/>
        <w:bottom w:val="none" w:sz="0" w:space="0" w:color="auto"/>
        <w:right w:val="none" w:sz="0" w:space="0" w:color="auto"/>
      </w:divBdr>
      <w:divsChild>
        <w:div w:id="7757628">
          <w:marLeft w:val="0"/>
          <w:marRight w:val="0"/>
          <w:marTop w:val="0"/>
          <w:marBottom w:val="0"/>
          <w:divBdr>
            <w:top w:val="none" w:sz="0" w:space="0" w:color="auto"/>
            <w:left w:val="none" w:sz="0" w:space="0" w:color="auto"/>
            <w:bottom w:val="none" w:sz="0" w:space="0" w:color="auto"/>
            <w:right w:val="none" w:sz="0" w:space="0" w:color="auto"/>
          </w:divBdr>
        </w:div>
        <w:div w:id="203106170">
          <w:marLeft w:val="0"/>
          <w:marRight w:val="0"/>
          <w:marTop w:val="0"/>
          <w:marBottom w:val="0"/>
          <w:divBdr>
            <w:top w:val="none" w:sz="0" w:space="0" w:color="auto"/>
            <w:left w:val="none" w:sz="0" w:space="0" w:color="auto"/>
            <w:bottom w:val="none" w:sz="0" w:space="0" w:color="auto"/>
            <w:right w:val="none" w:sz="0" w:space="0" w:color="auto"/>
          </w:divBdr>
        </w:div>
        <w:div w:id="293684208">
          <w:marLeft w:val="0"/>
          <w:marRight w:val="0"/>
          <w:marTop w:val="0"/>
          <w:marBottom w:val="0"/>
          <w:divBdr>
            <w:top w:val="none" w:sz="0" w:space="0" w:color="auto"/>
            <w:left w:val="none" w:sz="0" w:space="0" w:color="auto"/>
            <w:bottom w:val="none" w:sz="0" w:space="0" w:color="auto"/>
            <w:right w:val="none" w:sz="0" w:space="0" w:color="auto"/>
          </w:divBdr>
        </w:div>
        <w:div w:id="302585821">
          <w:marLeft w:val="0"/>
          <w:marRight w:val="0"/>
          <w:marTop w:val="0"/>
          <w:marBottom w:val="0"/>
          <w:divBdr>
            <w:top w:val="none" w:sz="0" w:space="0" w:color="auto"/>
            <w:left w:val="none" w:sz="0" w:space="0" w:color="auto"/>
            <w:bottom w:val="none" w:sz="0" w:space="0" w:color="auto"/>
            <w:right w:val="none" w:sz="0" w:space="0" w:color="auto"/>
          </w:divBdr>
        </w:div>
        <w:div w:id="330059439">
          <w:marLeft w:val="0"/>
          <w:marRight w:val="0"/>
          <w:marTop w:val="0"/>
          <w:marBottom w:val="0"/>
          <w:divBdr>
            <w:top w:val="none" w:sz="0" w:space="0" w:color="auto"/>
            <w:left w:val="none" w:sz="0" w:space="0" w:color="auto"/>
            <w:bottom w:val="none" w:sz="0" w:space="0" w:color="auto"/>
            <w:right w:val="none" w:sz="0" w:space="0" w:color="auto"/>
          </w:divBdr>
        </w:div>
        <w:div w:id="421997742">
          <w:marLeft w:val="0"/>
          <w:marRight w:val="0"/>
          <w:marTop w:val="0"/>
          <w:marBottom w:val="0"/>
          <w:divBdr>
            <w:top w:val="none" w:sz="0" w:space="0" w:color="auto"/>
            <w:left w:val="none" w:sz="0" w:space="0" w:color="auto"/>
            <w:bottom w:val="none" w:sz="0" w:space="0" w:color="auto"/>
            <w:right w:val="none" w:sz="0" w:space="0" w:color="auto"/>
          </w:divBdr>
        </w:div>
        <w:div w:id="508373682">
          <w:marLeft w:val="0"/>
          <w:marRight w:val="0"/>
          <w:marTop w:val="0"/>
          <w:marBottom w:val="0"/>
          <w:divBdr>
            <w:top w:val="none" w:sz="0" w:space="0" w:color="auto"/>
            <w:left w:val="none" w:sz="0" w:space="0" w:color="auto"/>
            <w:bottom w:val="none" w:sz="0" w:space="0" w:color="auto"/>
            <w:right w:val="none" w:sz="0" w:space="0" w:color="auto"/>
          </w:divBdr>
        </w:div>
        <w:div w:id="779833040">
          <w:marLeft w:val="0"/>
          <w:marRight w:val="0"/>
          <w:marTop w:val="0"/>
          <w:marBottom w:val="0"/>
          <w:divBdr>
            <w:top w:val="none" w:sz="0" w:space="0" w:color="auto"/>
            <w:left w:val="none" w:sz="0" w:space="0" w:color="auto"/>
            <w:bottom w:val="none" w:sz="0" w:space="0" w:color="auto"/>
            <w:right w:val="none" w:sz="0" w:space="0" w:color="auto"/>
          </w:divBdr>
        </w:div>
        <w:div w:id="789973739">
          <w:marLeft w:val="0"/>
          <w:marRight w:val="0"/>
          <w:marTop w:val="0"/>
          <w:marBottom w:val="0"/>
          <w:divBdr>
            <w:top w:val="none" w:sz="0" w:space="0" w:color="auto"/>
            <w:left w:val="none" w:sz="0" w:space="0" w:color="auto"/>
            <w:bottom w:val="none" w:sz="0" w:space="0" w:color="auto"/>
            <w:right w:val="none" w:sz="0" w:space="0" w:color="auto"/>
          </w:divBdr>
        </w:div>
        <w:div w:id="895507845">
          <w:marLeft w:val="0"/>
          <w:marRight w:val="0"/>
          <w:marTop w:val="0"/>
          <w:marBottom w:val="0"/>
          <w:divBdr>
            <w:top w:val="none" w:sz="0" w:space="0" w:color="auto"/>
            <w:left w:val="none" w:sz="0" w:space="0" w:color="auto"/>
            <w:bottom w:val="none" w:sz="0" w:space="0" w:color="auto"/>
            <w:right w:val="none" w:sz="0" w:space="0" w:color="auto"/>
          </w:divBdr>
        </w:div>
        <w:div w:id="916013834">
          <w:marLeft w:val="0"/>
          <w:marRight w:val="0"/>
          <w:marTop w:val="0"/>
          <w:marBottom w:val="0"/>
          <w:divBdr>
            <w:top w:val="none" w:sz="0" w:space="0" w:color="auto"/>
            <w:left w:val="none" w:sz="0" w:space="0" w:color="auto"/>
            <w:bottom w:val="none" w:sz="0" w:space="0" w:color="auto"/>
            <w:right w:val="none" w:sz="0" w:space="0" w:color="auto"/>
          </w:divBdr>
        </w:div>
        <w:div w:id="987780846">
          <w:marLeft w:val="0"/>
          <w:marRight w:val="0"/>
          <w:marTop w:val="0"/>
          <w:marBottom w:val="0"/>
          <w:divBdr>
            <w:top w:val="none" w:sz="0" w:space="0" w:color="auto"/>
            <w:left w:val="none" w:sz="0" w:space="0" w:color="auto"/>
            <w:bottom w:val="none" w:sz="0" w:space="0" w:color="auto"/>
            <w:right w:val="none" w:sz="0" w:space="0" w:color="auto"/>
          </w:divBdr>
        </w:div>
        <w:div w:id="1118643588">
          <w:marLeft w:val="0"/>
          <w:marRight w:val="0"/>
          <w:marTop w:val="0"/>
          <w:marBottom w:val="0"/>
          <w:divBdr>
            <w:top w:val="none" w:sz="0" w:space="0" w:color="auto"/>
            <w:left w:val="none" w:sz="0" w:space="0" w:color="auto"/>
            <w:bottom w:val="none" w:sz="0" w:space="0" w:color="auto"/>
            <w:right w:val="none" w:sz="0" w:space="0" w:color="auto"/>
          </w:divBdr>
          <w:divsChild>
            <w:div w:id="38745938">
              <w:marLeft w:val="0"/>
              <w:marRight w:val="0"/>
              <w:marTop w:val="0"/>
              <w:marBottom w:val="0"/>
              <w:divBdr>
                <w:top w:val="none" w:sz="0" w:space="0" w:color="auto"/>
                <w:left w:val="none" w:sz="0" w:space="0" w:color="auto"/>
                <w:bottom w:val="none" w:sz="0" w:space="0" w:color="auto"/>
                <w:right w:val="none" w:sz="0" w:space="0" w:color="auto"/>
              </w:divBdr>
            </w:div>
            <w:div w:id="436870082">
              <w:marLeft w:val="0"/>
              <w:marRight w:val="0"/>
              <w:marTop w:val="0"/>
              <w:marBottom w:val="0"/>
              <w:divBdr>
                <w:top w:val="none" w:sz="0" w:space="0" w:color="auto"/>
                <w:left w:val="none" w:sz="0" w:space="0" w:color="auto"/>
                <w:bottom w:val="none" w:sz="0" w:space="0" w:color="auto"/>
                <w:right w:val="none" w:sz="0" w:space="0" w:color="auto"/>
              </w:divBdr>
            </w:div>
            <w:div w:id="467212024">
              <w:marLeft w:val="0"/>
              <w:marRight w:val="0"/>
              <w:marTop w:val="0"/>
              <w:marBottom w:val="0"/>
              <w:divBdr>
                <w:top w:val="none" w:sz="0" w:space="0" w:color="auto"/>
                <w:left w:val="none" w:sz="0" w:space="0" w:color="auto"/>
                <w:bottom w:val="none" w:sz="0" w:space="0" w:color="auto"/>
                <w:right w:val="none" w:sz="0" w:space="0" w:color="auto"/>
              </w:divBdr>
            </w:div>
            <w:div w:id="542258215">
              <w:marLeft w:val="0"/>
              <w:marRight w:val="0"/>
              <w:marTop w:val="0"/>
              <w:marBottom w:val="0"/>
              <w:divBdr>
                <w:top w:val="none" w:sz="0" w:space="0" w:color="auto"/>
                <w:left w:val="none" w:sz="0" w:space="0" w:color="auto"/>
                <w:bottom w:val="none" w:sz="0" w:space="0" w:color="auto"/>
                <w:right w:val="none" w:sz="0" w:space="0" w:color="auto"/>
              </w:divBdr>
            </w:div>
            <w:div w:id="591010312">
              <w:marLeft w:val="0"/>
              <w:marRight w:val="0"/>
              <w:marTop w:val="0"/>
              <w:marBottom w:val="0"/>
              <w:divBdr>
                <w:top w:val="none" w:sz="0" w:space="0" w:color="auto"/>
                <w:left w:val="none" w:sz="0" w:space="0" w:color="auto"/>
                <w:bottom w:val="none" w:sz="0" w:space="0" w:color="auto"/>
                <w:right w:val="none" w:sz="0" w:space="0" w:color="auto"/>
              </w:divBdr>
            </w:div>
            <w:div w:id="713581975">
              <w:marLeft w:val="0"/>
              <w:marRight w:val="0"/>
              <w:marTop w:val="0"/>
              <w:marBottom w:val="0"/>
              <w:divBdr>
                <w:top w:val="none" w:sz="0" w:space="0" w:color="auto"/>
                <w:left w:val="none" w:sz="0" w:space="0" w:color="auto"/>
                <w:bottom w:val="none" w:sz="0" w:space="0" w:color="auto"/>
                <w:right w:val="none" w:sz="0" w:space="0" w:color="auto"/>
              </w:divBdr>
            </w:div>
            <w:div w:id="862286686">
              <w:marLeft w:val="0"/>
              <w:marRight w:val="0"/>
              <w:marTop w:val="0"/>
              <w:marBottom w:val="0"/>
              <w:divBdr>
                <w:top w:val="none" w:sz="0" w:space="0" w:color="auto"/>
                <w:left w:val="none" w:sz="0" w:space="0" w:color="auto"/>
                <w:bottom w:val="none" w:sz="0" w:space="0" w:color="auto"/>
                <w:right w:val="none" w:sz="0" w:space="0" w:color="auto"/>
              </w:divBdr>
            </w:div>
            <w:div w:id="991953998">
              <w:marLeft w:val="0"/>
              <w:marRight w:val="0"/>
              <w:marTop w:val="0"/>
              <w:marBottom w:val="0"/>
              <w:divBdr>
                <w:top w:val="none" w:sz="0" w:space="0" w:color="auto"/>
                <w:left w:val="none" w:sz="0" w:space="0" w:color="auto"/>
                <w:bottom w:val="none" w:sz="0" w:space="0" w:color="auto"/>
                <w:right w:val="none" w:sz="0" w:space="0" w:color="auto"/>
              </w:divBdr>
            </w:div>
            <w:div w:id="999623133">
              <w:marLeft w:val="0"/>
              <w:marRight w:val="0"/>
              <w:marTop w:val="0"/>
              <w:marBottom w:val="0"/>
              <w:divBdr>
                <w:top w:val="none" w:sz="0" w:space="0" w:color="auto"/>
                <w:left w:val="none" w:sz="0" w:space="0" w:color="auto"/>
                <w:bottom w:val="none" w:sz="0" w:space="0" w:color="auto"/>
                <w:right w:val="none" w:sz="0" w:space="0" w:color="auto"/>
              </w:divBdr>
            </w:div>
            <w:div w:id="1110467922">
              <w:marLeft w:val="0"/>
              <w:marRight w:val="0"/>
              <w:marTop w:val="0"/>
              <w:marBottom w:val="0"/>
              <w:divBdr>
                <w:top w:val="none" w:sz="0" w:space="0" w:color="auto"/>
                <w:left w:val="none" w:sz="0" w:space="0" w:color="auto"/>
                <w:bottom w:val="none" w:sz="0" w:space="0" w:color="auto"/>
                <w:right w:val="none" w:sz="0" w:space="0" w:color="auto"/>
              </w:divBdr>
            </w:div>
            <w:div w:id="1306739873">
              <w:marLeft w:val="0"/>
              <w:marRight w:val="0"/>
              <w:marTop w:val="0"/>
              <w:marBottom w:val="0"/>
              <w:divBdr>
                <w:top w:val="none" w:sz="0" w:space="0" w:color="auto"/>
                <w:left w:val="none" w:sz="0" w:space="0" w:color="auto"/>
                <w:bottom w:val="none" w:sz="0" w:space="0" w:color="auto"/>
                <w:right w:val="none" w:sz="0" w:space="0" w:color="auto"/>
              </w:divBdr>
            </w:div>
            <w:div w:id="1514299723">
              <w:marLeft w:val="0"/>
              <w:marRight w:val="0"/>
              <w:marTop w:val="0"/>
              <w:marBottom w:val="0"/>
              <w:divBdr>
                <w:top w:val="none" w:sz="0" w:space="0" w:color="auto"/>
                <w:left w:val="none" w:sz="0" w:space="0" w:color="auto"/>
                <w:bottom w:val="none" w:sz="0" w:space="0" w:color="auto"/>
                <w:right w:val="none" w:sz="0" w:space="0" w:color="auto"/>
              </w:divBdr>
            </w:div>
            <w:div w:id="1611469958">
              <w:marLeft w:val="0"/>
              <w:marRight w:val="0"/>
              <w:marTop w:val="0"/>
              <w:marBottom w:val="0"/>
              <w:divBdr>
                <w:top w:val="none" w:sz="0" w:space="0" w:color="auto"/>
                <w:left w:val="none" w:sz="0" w:space="0" w:color="auto"/>
                <w:bottom w:val="none" w:sz="0" w:space="0" w:color="auto"/>
                <w:right w:val="none" w:sz="0" w:space="0" w:color="auto"/>
              </w:divBdr>
            </w:div>
            <w:div w:id="1680349062">
              <w:marLeft w:val="0"/>
              <w:marRight w:val="0"/>
              <w:marTop w:val="0"/>
              <w:marBottom w:val="0"/>
              <w:divBdr>
                <w:top w:val="none" w:sz="0" w:space="0" w:color="auto"/>
                <w:left w:val="none" w:sz="0" w:space="0" w:color="auto"/>
                <w:bottom w:val="none" w:sz="0" w:space="0" w:color="auto"/>
                <w:right w:val="none" w:sz="0" w:space="0" w:color="auto"/>
              </w:divBdr>
            </w:div>
            <w:div w:id="1754938495">
              <w:marLeft w:val="0"/>
              <w:marRight w:val="0"/>
              <w:marTop w:val="0"/>
              <w:marBottom w:val="0"/>
              <w:divBdr>
                <w:top w:val="none" w:sz="0" w:space="0" w:color="auto"/>
                <w:left w:val="none" w:sz="0" w:space="0" w:color="auto"/>
                <w:bottom w:val="none" w:sz="0" w:space="0" w:color="auto"/>
                <w:right w:val="none" w:sz="0" w:space="0" w:color="auto"/>
              </w:divBdr>
            </w:div>
            <w:div w:id="1797603545">
              <w:marLeft w:val="0"/>
              <w:marRight w:val="0"/>
              <w:marTop w:val="0"/>
              <w:marBottom w:val="0"/>
              <w:divBdr>
                <w:top w:val="none" w:sz="0" w:space="0" w:color="auto"/>
                <w:left w:val="none" w:sz="0" w:space="0" w:color="auto"/>
                <w:bottom w:val="none" w:sz="0" w:space="0" w:color="auto"/>
                <w:right w:val="none" w:sz="0" w:space="0" w:color="auto"/>
              </w:divBdr>
            </w:div>
            <w:div w:id="1845898195">
              <w:marLeft w:val="0"/>
              <w:marRight w:val="0"/>
              <w:marTop w:val="0"/>
              <w:marBottom w:val="0"/>
              <w:divBdr>
                <w:top w:val="none" w:sz="0" w:space="0" w:color="auto"/>
                <w:left w:val="none" w:sz="0" w:space="0" w:color="auto"/>
                <w:bottom w:val="none" w:sz="0" w:space="0" w:color="auto"/>
                <w:right w:val="none" w:sz="0" w:space="0" w:color="auto"/>
              </w:divBdr>
            </w:div>
            <w:div w:id="1928876887">
              <w:marLeft w:val="0"/>
              <w:marRight w:val="0"/>
              <w:marTop w:val="0"/>
              <w:marBottom w:val="0"/>
              <w:divBdr>
                <w:top w:val="none" w:sz="0" w:space="0" w:color="auto"/>
                <w:left w:val="none" w:sz="0" w:space="0" w:color="auto"/>
                <w:bottom w:val="none" w:sz="0" w:space="0" w:color="auto"/>
                <w:right w:val="none" w:sz="0" w:space="0" w:color="auto"/>
              </w:divBdr>
            </w:div>
            <w:div w:id="1978677505">
              <w:marLeft w:val="0"/>
              <w:marRight w:val="0"/>
              <w:marTop w:val="0"/>
              <w:marBottom w:val="0"/>
              <w:divBdr>
                <w:top w:val="none" w:sz="0" w:space="0" w:color="auto"/>
                <w:left w:val="none" w:sz="0" w:space="0" w:color="auto"/>
                <w:bottom w:val="none" w:sz="0" w:space="0" w:color="auto"/>
                <w:right w:val="none" w:sz="0" w:space="0" w:color="auto"/>
              </w:divBdr>
            </w:div>
            <w:div w:id="1979021031">
              <w:marLeft w:val="0"/>
              <w:marRight w:val="0"/>
              <w:marTop w:val="0"/>
              <w:marBottom w:val="0"/>
              <w:divBdr>
                <w:top w:val="none" w:sz="0" w:space="0" w:color="auto"/>
                <w:left w:val="none" w:sz="0" w:space="0" w:color="auto"/>
                <w:bottom w:val="none" w:sz="0" w:space="0" w:color="auto"/>
                <w:right w:val="none" w:sz="0" w:space="0" w:color="auto"/>
              </w:divBdr>
            </w:div>
          </w:divsChild>
        </w:div>
        <w:div w:id="1166894321">
          <w:marLeft w:val="0"/>
          <w:marRight w:val="0"/>
          <w:marTop w:val="0"/>
          <w:marBottom w:val="0"/>
          <w:divBdr>
            <w:top w:val="none" w:sz="0" w:space="0" w:color="auto"/>
            <w:left w:val="none" w:sz="0" w:space="0" w:color="auto"/>
            <w:bottom w:val="none" w:sz="0" w:space="0" w:color="auto"/>
            <w:right w:val="none" w:sz="0" w:space="0" w:color="auto"/>
          </w:divBdr>
        </w:div>
        <w:div w:id="1307587062">
          <w:marLeft w:val="0"/>
          <w:marRight w:val="0"/>
          <w:marTop w:val="0"/>
          <w:marBottom w:val="0"/>
          <w:divBdr>
            <w:top w:val="none" w:sz="0" w:space="0" w:color="auto"/>
            <w:left w:val="none" w:sz="0" w:space="0" w:color="auto"/>
            <w:bottom w:val="none" w:sz="0" w:space="0" w:color="auto"/>
            <w:right w:val="none" w:sz="0" w:space="0" w:color="auto"/>
          </w:divBdr>
          <w:divsChild>
            <w:div w:id="137459464">
              <w:marLeft w:val="0"/>
              <w:marRight w:val="0"/>
              <w:marTop w:val="0"/>
              <w:marBottom w:val="0"/>
              <w:divBdr>
                <w:top w:val="none" w:sz="0" w:space="0" w:color="auto"/>
                <w:left w:val="none" w:sz="0" w:space="0" w:color="auto"/>
                <w:bottom w:val="none" w:sz="0" w:space="0" w:color="auto"/>
                <w:right w:val="none" w:sz="0" w:space="0" w:color="auto"/>
              </w:divBdr>
            </w:div>
            <w:div w:id="143934125">
              <w:marLeft w:val="0"/>
              <w:marRight w:val="0"/>
              <w:marTop w:val="0"/>
              <w:marBottom w:val="0"/>
              <w:divBdr>
                <w:top w:val="none" w:sz="0" w:space="0" w:color="auto"/>
                <w:left w:val="none" w:sz="0" w:space="0" w:color="auto"/>
                <w:bottom w:val="none" w:sz="0" w:space="0" w:color="auto"/>
                <w:right w:val="none" w:sz="0" w:space="0" w:color="auto"/>
              </w:divBdr>
            </w:div>
            <w:div w:id="243152917">
              <w:marLeft w:val="0"/>
              <w:marRight w:val="0"/>
              <w:marTop w:val="0"/>
              <w:marBottom w:val="0"/>
              <w:divBdr>
                <w:top w:val="none" w:sz="0" w:space="0" w:color="auto"/>
                <w:left w:val="none" w:sz="0" w:space="0" w:color="auto"/>
                <w:bottom w:val="none" w:sz="0" w:space="0" w:color="auto"/>
                <w:right w:val="none" w:sz="0" w:space="0" w:color="auto"/>
              </w:divBdr>
            </w:div>
            <w:div w:id="341278301">
              <w:marLeft w:val="0"/>
              <w:marRight w:val="0"/>
              <w:marTop w:val="0"/>
              <w:marBottom w:val="0"/>
              <w:divBdr>
                <w:top w:val="none" w:sz="0" w:space="0" w:color="auto"/>
                <w:left w:val="none" w:sz="0" w:space="0" w:color="auto"/>
                <w:bottom w:val="none" w:sz="0" w:space="0" w:color="auto"/>
                <w:right w:val="none" w:sz="0" w:space="0" w:color="auto"/>
              </w:divBdr>
            </w:div>
            <w:div w:id="404379297">
              <w:marLeft w:val="0"/>
              <w:marRight w:val="0"/>
              <w:marTop w:val="0"/>
              <w:marBottom w:val="0"/>
              <w:divBdr>
                <w:top w:val="none" w:sz="0" w:space="0" w:color="auto"/>
                <w:left w:val="none" w:sz="0" w:space="0" w:color="auto"/>
                <w:bottom w:val="none" w:sz="0" w:space="0" w:color="auto"/>
                <w:right w:val="none" w:sz="0" w:space="0" w:color="auto"/>
              </w:divBdr>
            </w:div>
            <w:div w:id="431317989">
              <w:marLeft w:val="0"/>
              <w:marRight w:val="0"/>
              <w:marTop w:val="0"/>
              <w:marBottom w:val="0"/>
              <w:divBdr>
                <w:top w:val="none" w:sz="0" w:space="0" w:color="auto"/>
                <w:left w:val="none" w:sz="0" w:space="0" w:color="auto"/>
                <w:bottom w:val="none" w:sz="0" w:space="0" w:color="auto"/>
                <w:right w:val="none" w:sz="0" w:space="0" w:color="auto"/>
              </w:divBdr>
            </w:div>
            <w:div w:id="545416242">
              <w:marLeft w:val="0"/>
              <w:marRight w:val="0"/>
              <w:marTop w:val="0"/>
              <w:marBottom w:val="0"/>
              <w:divBdr>
                <w:top w:val="none" w:sz="0" w:space="0" w:color="auto"/>
                <w:left w:val="none" w:sz="0" w:space="0" w:color="auto"/>
                <w:bottom w:val="none" w:sz="0" w:space="0" w:color="auto"/>
                <w:right w:val="none" w:sz="0" w:space="0" w:color="auto"/>
              </w:divBdr>
            </w:div>
            <w:div w:id="556626300">
              <w:marLeft w:val="0"/>
              <w:marRight w:val="0"/>
              <w:marTop w:val="0"/>
              <w:marBottom w:val="0"/>
              <w:divBdr>
                <w:top w:val="none" w:sz="0" w:space="0" w:color="auto"/>
                <w:left w:val="none" w:sz="0" w:space="0" w:color="auto"/>
                <w:bottom w:val="none" w:sz="0" w:space="0" w:color="auto"/>
                <w:right w:val="none" w:sz="0" w:space="0" w:color="auto"/>
              </w:divBdr>
            </w:div>
            <w:div w:id="602882577">
              <w:marLeft w:val="0"/>
              <w:marRight w:val="0"/>
              <w:marTop w:val="0"/>
              <w:marBottom w:val="0"/>
              <w:divBdr>
                <w:top w:val="none" w:sz="0" w:space="0" w:color="auto"/>
                <w:left w:val="none" w:sz="0" w:space="0" w:color="auto"/>
                <w:bottom w:val="none" w:sz="0" w:space="0" w:color="auto"/>
                <w:right w:val="none" w:sz="0" w:space="0" w:color="auto"/>
              </w:divBdr>
            </w:div>
            <w:div w:id="789976753">
              <w:marLeft w:val="0"/>
              <w:marRight w:val="0"/>
              <w:marTop w:val="0"/>
              <w:marBottom w:val="0"/>
              <w:divBdr>
                <w:top w:val="none" w:sz="0" w:space="0" w:color="auto"/>
                <w:left w:val="none" w:sz="0" w:space="0" w:color="auto"/>
                <w:bottom w:val="none" w:sz="0" w:space="0" w:color="auto"/>
                <w:right w:val="none" w:sz="0" w:space="0" w:color="auto"/>
              </w:divBdr>
            </w:div>
            <w:div w:id="874076326">
              <w:marLeft w:val="0"/>
              <w:marRight w:val="0"/>
              <w:marTop w:val="0"/>
              <w:marBottom w:val="0"/>
              <w:divBdr>
                <w:top w:val="none" w:sz="0" w:space="0" w:color="auto"/>
                <w:left w:val="none" w:sz="0" w:space="0" w:color="auto"/>
                <w:bottom w:val="none" w:sz="0" w:space="0" w:color="auto"/>
                <w:right w:val="none" w:sz="0" w:space="0" w:color="auto"/>
              </w:divBdr>
            </w:div>
            <w:div w:id="894854571">
              <w:marLeft w:val="0"/>
              <w:marRight w:val="0"/>
              <w:marTop w:val="0"/>
              <w:marBottom w:val="0"/>
              <w:divBdr>
                <w:top w:val="none" w:sz="0" w:space="0" w:color="auto"/>
                <w:left w:val="none" w:sz="0" w:space="0" w:color="auto"/>
                <w:bottom w:val="none" w:sz="0" w:space="0" w:color="auto"/>
                <w:right w:val="none" w:sz="0" w:space="0" w:color="auto"/>
              </w:divBdr>
            </w:div>
            <w:div w:id="961568971">
              <w:marLeft w:val="0"/>
              <w:marRight w:val="0"/>
              <w:marTop w:val="0"/>
              <w:marBottom w:val="0"/>
              <w:divBdr>
                <w:top w:val="none" w:sz="0" w:space="0" w:color="auto"/>
                <w:left w:val="none" w:sz="0" w:space="0" w:color="auto"/>
                <w:bottom w:val="none" w:sz="0" w:space="0" w:color="auto"/>
                <w:right w:val="none" w:sz="0" w:space="0" w:color="auto"/>
              </w:divBdr>
            </w:div>
            <w:div w:id="1146356767">
              <w:marLeft w:val="0"/>
              <w:marRight w:val="0"/>
              <w:marTop w:val="0"/>
              <w:marBottom w:val="0"/>
              <w:divBdr>
                <w:top w:val="none" w:sz="0" w:space="0" w:color="auto"/>
                <w:left w:val="none" w:sz="0" w:space="0" w:color="auto"/>
                <w:bottom w:val="none" w:sz="0" w:space="0" w:color="auto"/>
                <w:right w:val="none" w:sz="0" w:space="0" w:color="auto"/>
              </w:divBdr>
            </w:div>
            <w:div w:id="1401322163">
              <w:marLeft w:val="0"/>
              <w:marRight w:val="0"/>
              <w:marTop w:val="0"/>
              <w:marBottom w:val="0"/>
              <w:divBdr>
                <w:top w:val="none" w:sz="0" w:space="0" w:color="auto"/>
                <w:left w:val="none" w:sz="0" w:space="0" w:color="auto"/>
                <w:bottom w:val="none" w:sz="0" w:space="0" w:color="auto"/>
                <w:right w:val="none" w:sz="0" w:space="0" w:color="auto"/>
              </w:divBdr>
            </w:div>
            <w:div w:id="1471708873">
              <w:marLeft w:val="0"/>
              <w:marRight w:val="0"/>
              <w:marTop w:val="0"/>
              <w:marBottom w:val="0"/>
              <w:divBdr>
                <w:top w:val="none" w:sz="0" w:space="0" w:color="auto"/>
                <w:left w:val="none" w:sz="0" w:space="0" w:color="auto"/>
                <w:bottom w:val="none" w:sz="0" w:space="0" w:color="auto"/>
                <w:right w:val="none" w:sz="0" w:space="0" w:color="auto"/>
              </w:divBdr>
            </w:div>
            <w:div w:id="1756436729">
              <w:marLeft w:val="0"/>
              <w:marRight w:val="0"/>
              <w:marTop w:val="0"/>
              <w:marBottom w:val="0"/>
              <w:divBdr>
                <w:top w:val="none" w:sz="0" w:space="0" w:color="auto"/>
                <w:left w:val="none" w:sz="0" w:space="0" w:color="auto"/>
                <w:bottom w:val="none" w:sz="0" w:space="0" w:color="auto"/>
                <w:right w:val="none" w:sz="0" w:space="0" w:color="auto"/>
              </w:divBdr>
            </w:div>
            <w:div w:id="1859998230">
              <w:marLeft w:val="0"/>
              <w:marRight w:val="0"/>
              <w:marTop w:val="0"/>
              <w:marBottom w:val="0"/>
              <w:divBdr>
                <w:top w:val="none" w:sz="0" w:space="0" w:color="auto"/>
                <w:left w:val="none" w:sz="0" w:space="0" w:color="auto"/>
                <w:bottom w:val="none" w:sz="0" w:space="0" w:color="auto"/>
                <w:right w:val="none" w:sz="0" w:space="0" w:color="auto"/>
              </w:divBdr>
            </w:div>
            <w:div w:id="1983659835">
              <w:marLeft w:val="0"/>
              <w:marRight w:val="0"/>
              <w:marTop w:val="0"/>
              <w:marBottom w:val="0"/>
              <w:divBdr>
                <w:top w:val="none" w:sz="0" w:space="0" w:color="auto"/>
                <w:left w:val="none" w:sz="0" w:space="0" w:color="auto"/>
                <w:bottom w:val="none" w:sz="0" w:space="0" w:color="auto"/>
                <w:right w:val="none" w:sz="0" w:space="0" w:color="auto"/>
              </w:divBdr>
            </w:div>
            <w:div w:id="2055421952">
              <w:marLeft w:val="0"/>
              <w:marRight w:val="0"/>
              <w:marTop w:val="0"/>
              <w:marBottom w:val="0"/>
              <w:divBdr>
                <w:top w:val="none" w:sz="0" w:space="0" w:color="auto"/>
                <w:left w:val="none" w:sz="0" w:space="0" w:color="auto"/>
                <w:bottom w:val="none" w:sz="0" w:space="0" w:color="auto"/>
                <w:right w:val="none" w:sz="0" w:space="0" w:color="auto"/>
              </w:divBdr>
            </w:div>
          </w:divsChild>
        </w:div>
        <w:div w:id="1316837416">
          <w:marLeft w:val="0"/>
          <w:marRight w:val="0"/>
          <w:marTop w:val="0"/>
          <w:marBottom w:val="0"/>
          <w:divBdr>
            <w:top w:val="none" w:sz="0" w:space="0" w:color="auto"/>
            <w:left w:val="none" w:sz="0" w:space="0" w:color="auto"/>
            <w:bottom w:val="none" w:sz="0" w:space="0" w:color="auto"/>
            <w:right w:val="none" w:sz="0" w:space="0" w:color="auto"/>
          </w:divBdr>
        </w:div>
        <w:div w:id="1378626376">
          <w:marLeft w:val="0"/>
          <w:marRight w:val="0"/>
          <w:marTop w:val="0"/>
          <w:marBottom w:val="0"/>
          <w:divBdr>
            <w:top w:val="none" w:sz="0" w:space="0" w:color="auto"/>
            <w:left w:val="none" w:sz="0" w:space="0" w:color="auto"/>
            <w:bottom w:val="none" w:sz="0" w:space="0" w:color="auto"/>
            <w:right w:val="none" w:sz="0" w:space="0" w:color="auto"/>
          </w:divBdr>
        </w:div>
        <w:div w:id="1400983092">
          <w:marLeft w:val="0"/>
          <w:marRight w:val="0"/>
          <w:marTop w:val="0"/>
          <w:marBottom w:val="0"/>
          <w:divBdr>
            <w:top w:val="none" w:sz="0" w:space="0" w:color="auto"/>
            <w:left w:val="none" w:sz="0" w:space="0" w:color="auto"/>
            <w:bottom w:val="none" w:sz="0" w:space="0" w:color="auto"/>
            <w:right w:val="none" w:sz="0" w:space="0" w:color="auto"/>
          </w:divBdr>
        </w:div>
        <w:div w:id="1468474721">
          <w:marLeft w:val="0"/>
          <w:marRight w:val="0"/>
          <w:marTop w:val="0"/>
          <w:marBottom w:val="0"/>
          <w:divBdr>
            <w:top w:val="none" w:sz="0" w:space="0" w:color="auto"/>
            <w:left w:val="none" w:sz="0" w:space="0" w:color="auto"/>
            <w:bottom w:val="none" w:sz="0" w:space="0" w:color="auto"/>
            <w:right w:val="none" w:sz="0" w:space="0" w:color="auto"/>
          </w:divBdr>
        </w:div>
        <w:div w:id="1810903138">
          <w:marLeft w:val="0"/>
          <w:marRight w:val="0"/>
          <w:marTop w:val="0"/>
          <w:marBottom w:val="0"/>
          <w:divBdr>
            <w:top w:val="none" w:sz="0" w:space="0" w:color="auto"/>
            <w:left w:val="none" w:sz="0" w:space="0" w:color="auto"/>
            <w:bottom w:val="none" w:sz="0" w:space="0" w:color="auto"/>
            <w:right w:val="none" w:sz="0" w:space="0" w:color="auto"/>
          </w:divBdr>
        </w:div>
        <w:div w:id="1821077360">
          <w:marLeft w:val="0"/>
          <w:marRight w:val="0"/>
          <w:marTop w:val="0"/>
          <w:marBottom w:val="0"/>
          <w:divBdr>
            <w:top w:val="none" w:sz="0" w:space="0" w:color="auto"/>
            <w:left w:val="none" w:sz="0" w:space="0" w:color="auto"/>
            <w:bottom w:val="none" w:sz="0" w:space="0" w:color="auto"/>
            <w:right w:val="none" w:sz="0" w:space="0" w:color="auto"/>
          </w:divBdr>
          <w:divsChild>
            <w:div w:id="1058062">
              <w:marLeft w:val="0"/>
              <w:marRight w:val="0"/>
              <w:marTop w:val="0"/>
              <w:marBottom w:val="0"/>
              <w:divBdr>
                <w:top w:val="none" w:sz="0" w:space="0" w:color="auto"/>
                <w:left w:val="none" w:sz="0" w:space="0" w:color="auto"/>
                <w:bottom w:val="none" w:sz="0" w:space="0" w:color="auto"/>
                <w:right w:val="none" w:sz="0" w:space="0" w:color="auto"/>
              </w:divBdr>
            </w:div>
            <w:div w:id="23752812">
              <w:marLeft w:val="0"/>
              <w:marRight w:val="0"/>
              <w:marTop w:val="0"/>
              <w:marBottom w:val="0"/>
              <w:divBdr>
                <w:top w:val="none" w:sz="0" w:space="0" w:color="auto"/>
                <w:left w:val="none" w:sz="0" w:space="0" w:color="auto"/>
                <w:bottom w:val="none" w:sz="0" w:space="0" w:color="auto"/>
                <w:right w:val="none" w:sz="0" w:space="0" w:color="auto"/>
              </w:divBdr>
            </w:div>
            <w:div w:id="25377496">
              <w:marLeft w:val="0"/>
              <w:marRight w:val="0"/>
              <w:marTop w:val="0"/>
              <w:marBottom w:val="0"/>
              <w:divBdr>
                <w:top w:val="none" w:sz="0" w:space="0" w:color="auto"/>
                <w:left w:val="none" w:sz="0" w:space="0" w:color="auto"/>
                <w:bottom w:val="none" w:sz="0" w:space="0" w:color="auto"/>
                <w:right w:val="none" w:sz="0" w:space="0" w:color="auto"/>
              </w:divBdr>
            </w:div>
            <w:div w:id="109977262">
              <w:marLeft w:val="0"/>
              <w:marRight w:val="0"/>
              <w:marTop w:val="0"/>
              <w:marBottom w:val="0"/>
              <w:divBdr>
                <w:top w:val="none" w:sz="0" w:space="0" w:color="auto"/>
                <w:left w:val="none" w:sz="0" w:space="0" w:color="auto"/>
                <w:bottom w:val="none" w:sz="0" w:space="0" w:color="auto"/>
                <w:right w:val="none" w:sz="0" w:space="0" w:color="auto"/>
              </w:divBdr>
            </w:div>
            <w:div w:id="190385435">
              <w:marLeft w:val="0"/>
              <w:marRight w:val="0"/>
              <w:marTop w:val="0"/>
              <w:marBottom w:val="0"/>
              <w:divBdr>
                <w:top w:val="none" w:sz="0" w:space="0" w:color="auto"/>
                <w:left w:val="none" w:sz="0" w:space="0" w:color="auto"/>
                <w:bottom w:val="none" w:sz="0" w:space="0" w:color="auto"/>
                <w:right w:val="none" w:sz="0" w:space="0" w:color="auto"/>
              </w:divBdr>
            </w:div>
            <w:div w:id="369695588">
              <w:marLeft w:val="0"/>
              <w:marRight w:val="0"/>
              <w:marTop w:val="0"/>
              <w:marBottom w:val="0"/>
              <w:divBdr>
                <w:top w:val="none" w:sz="0" w:space="0" w:color="auto"/>
                <w:left w:val="none" w:sz="0" w:space="0" w:color="auto"/>
                <w:bottom w:val="none" w:sz="0" w:space="0" w:color="auto"/>
                <w:right w:val="none" w:sz="0" w:space="0" w:color="auto"/>
              </w:divBdr>
            </w:div>
            <w:div w:id="401299952">
              <w:marLeft w:val="0"/>
              <w:marRight w:val="0"/>
              <w:marTop w:val="0"/>
              <w:marBottom w:val="0"/>
              <w:divBdr>
                <w:top w:val="none" w:sz="0" w:space="0" w:color="auto"/>
                <w:left w:val="none" w:sz="0" w:space="0" w:color="auto"/>
                <w:bottom w:val="none" w:sz="0" w:space="0" w:color="auto"/>
                <w:right w:val="none" w:sz="0" w:space="0" w:color="auto"/>
              </w:divBdr>
            </w:div>
            <w:div w:id="406997494">
              <w:marLeft w:val="0"/>
              <w:marRight w:val="0"/>
              <w:marTop w:val="0"/>
              <w:marBottom w:val="0"/>
              <w:divBdr>
                <w:top w:val="none" w:sz="0" w:space="0" w:color="auto"/>
                <w:left w:val="none" w:sz="0" w:space="0" w:color="auto"/>
                <w:bottom w:val="none" w:sz="0" w:space="0" w:color="auto"/>
                <w:right w:val="none" w:sz="0" w:space="0" w:color="auto"/>
              </w:divBdr>
            </w:div>
            <w:div w:id="595483037">
              <w:marLeft w:val="0"/>
              <w:marRight w:val="0"/>
              <w:marTop w:val="0"/>
              <w:marBottom w:val="0"/>
              <w:divBdr>
                <w:top w:val="none" w:sz="0" w:space="0" w:color="auto"/>
                <w:left w:val="none" w:sz="0" w:space="0" w:color="auto"/>
                <w:bottom w:val="none" w:sz="0" w:space="0" w:color="auto"/>
                <w:right w:val="none" w:sz="0" w:space="0" w:color="auto"/>
              </w:divBdr>
            </w:div>
            <w:div w:id="656107768">
              <w:marLeft w:val="0"/>
              <w:marRight w:val="0"/>
              <w:marTop w:val="0"/>
              <w:marBottom w:val="0"/>
              <w:divBdr>
                <w:top w:val="none" w:sz="0" w:space="0" w:color="auto"/>
                <w:left w:val="none" w:sz="0" w:space="0" w:color="auto"/>
                <w:bottom w:val="none" w:sz="0" w:space="0" w:color="auto"/>
                <w:right w:val="none" w:sz="0" w:space="0" w:color="auto"/>
              </w:divBdr>
            </w:div>
            <w:div w:id="1213154340">
              <w:marLeft w:val="0"/>
              <w:marRight w:val="0"/>
              <w:marTop w:val="0"/>
              <w:marBottom w:val="0"/>
              <w:divBdr>
                <w:top w:val="none" w:sz="0" w:space="0" w:color="auto"/>
                <w:left w:val="none" w:sz="0" w:space="0" w:color="auto"/>
                <w:bottom w:val="none" w:sz="0" w:space="0" w:color="auto"/>
                <w:right w:val="none" w:sz="0" w:space="0" w:color="auto"/>
              </w:divBdr>
            </w:div>
            <w:div w:id="1246037722">
              <w:marLeft w:val="0"/>
              <w:marRight w:val="0"/>
              <w:marTop w:val="0"/>
              <w:marBottom w:val="0"/>
              <w:divBdr>
                <w:top w:val="none" w:sz="0" w:space="0" w:color="auto"/>
                <w:left w:val="none" w:sz="0" w:space="0" w:color="auto"/>
                <w:bottom w:val="none" w:sz="0" w:space="0" w:color="auto"/>
                <w:right w:val="none" w:sz="0" w:space="0" w:color="auto"/>
              </w:divBdr>
            </w:div>
            <w:div w:id="1343699880">
              <w:marLeft w:val="0"/>
              <w:marRight w:val="0"/>
              <w:marTop w:val="0"/>
              <w:marBottom w:val="0"/>
              <w:divBdr>
                <w:top w:val="none" w:sz="0" w:space="0" w:color="auto"/>
                <w:left w:val="none" w:sz="0" w:space="0" w:color="auto"/>
                <w:bottom w:val="none" w:sz="0" w:space="0" w:color="auto"/>
                <w:right w:val="none" w:sz="0" w:space="0" w:color="auto"/>
              </w:divBdr>
            </w:div>
            <w:div w:id="1394935390">
              <w:marLeft w:val="0"/>
              <w:marRight w:val="0"/>
              <w:marTop w:val="0"/>
              <w:marBottom w:val="0"/>
              <w:divBdr>
                <w:top w:val="none" w:sz="0" w:space="0" w:color="auto"/>
                <w:left w:val="none" w:sz="0" w:space="0" w:color="auto"/>
                <w:bottom w:val="none" w:sz="0" w:space="0" w:color="auto"/>
                <w:right w:val="none" w:sz="0" w:space="0" w:color="auto"/>
              </w:divBdr>
            </w:div>
            <w:div w:id="1567180691">
              <w:marLeft w:val="0"/>
              <w:marRight w:val="0"/>
              <w:marTop w:val="0"/>
              <w:marBottom w:val="0"/>
              <w:divBdr>
                <w:top w:val="none" w:sz="0" w:space="0" w:color="auto"/>
                <w:left w:val="none" w:sz="0" w:space="0" w:color="auto"/>
                <w:bottom w:val="none" w:sz="0" w:space="0" w:color="auto"/>
                <w:right w:val="none" w:sz="0" w:space="0" w:color="auto"/>
              </w:divBdr>
            </w:div>
            <w:div w:id="1584530400">
              <w:marLeft w:val="0"/>
              <w:marRight w:val="0"/>
              <w:marTop w:val="0"/>
              <w:marBottom w:val="0"/>
              <w:divBdr>
                <w:top w:val="none" w:sz="0" w:space="0" w:color="auto"/>
                <w:left w:val="none" w:sz="0" w:space="0" w:color="auto"/>
                <w:bottom w:val="none" w:sz="0" w:space="0" w:color="auto"/>
                <w:right w:val="none" w:sz="0" w:space="0" w:color="auto"/>
              </w:divBdr>
            </w:div>
            <w:div w:id="1677993980">
              <w:marLeft w:val="0"/>
              <w:marRight w:val="0"/>
              <w:marTop w:val="0"/>
              <w:marBottom w:val="0"/>
              <w:divBdr>
                <w:top w:val="none" w:sz="0" w:space="0" w:color="auto"/>
                <w:left w:val="none" w:sz="0" w:space="0" w:color="auto"/>
                <w:bottom w:val="none" w:sz="0" w:space="0" w:color="auto"/>
                <w:right w:val="none" w:sz="0" w:space="0" w:color="auto"/>
              </w:divBdr>
            </w:div>
            <w:div w:id="2099594042">
              <w:marLeft w:val="0"/>
              <w:marRight w:val="0"/>
              <w:marTop w:val="0"/>
              <w:marBottom w:val="0"/>
              <w:divBdr>
                <w:top w:val="none" w:sz="0" w:space="0" w:color="auto"/>
                <w:left w:val="none" w:sz="0" w:space="0" w:color="auto"/>
                <w:bottom w:val="none" w:sz="0" w:space="0" w:color="auto"/>
                <w:right w:val="none" w:sz="0" w:space="0" w:color="auto"/>
              </w:divBdr>
            </w:div>
            <w:div w:id="2100446292">
              <w:marLeft w:val="0"/>
              <w:marRight w:val="0"/>
              <w:marTop w:val="0"/>
              <w:marBottom w:val="0"/>
              <w:divBdr>
                <w:top w:val="none" w:sz="0" w:space="0" w:color="auto"/>
                <w:left w:val="none" w:sz="0" w:space="0" w:color="auto"/>
                <w:bottom w:val="none" w:sz="0" w:space="0" w:color="auto"/>
                <w:right w:val="none" w:sz="0" w:space="0" w:color="auto"/>
              </w:divBdr>
            </w:div>
            <w:div w:id="2111587589">
              <w:marLeft w:val="0"/>
              <w:marRight w:val="0"/>
              <w:marTop w:val="0"/>
              <w:marBottom w:val="0"/>
              <w:divBdr>
                <w:top w:val="none" w:sz="0" w:space="0" w:color="auto"/>
                <w:left w:val="none" w:sz="0" w:space="0" w:color="auto"/>
                <w:bottom w:val="none" w:sz="0" w:space="0" w:color="auto"/>
                <w:right w:val="none" w:sz="0" w:space="0" w:color="auto"/>
              </w:divBdr>
            </w:div>
          </w:divsChild>
        </w:div>
        <w:div w:id="1982225716">
          <w:marLeft w:val="0"/>
          <w:marRight w:val="0"/>
          <w:marTop w:val="0"/>
          <w:marBottom w:val="0"/>
          <w:divBdr>
            <w:top w:val="none" w:sz="0" w:space="0" w:color="auto"/>
            <w:left w:val="none" w:sz="0" w:space="0" w:color="auto"/>
            <w:bottom w:val="none" w:sz="0" w:space="0" w:color="auto"/>
            <w:right w:val="none" w:sz="0" w:space="0" w:color="auto"/>
          </w:divBdr>
        </w:div>
        <w:div w:id="2013288948">
          <w:marLeft w:val="0"/>
          <w:marRight w:val="0"/>
          <w:marTop w:val="0"/>
          <w:marBottom w:val="0"/>
          <w:divBdr>
            <w:top w:val="none" w:sz="0" w:space="0" w:color="auto"/>
            <w:left w:val="none" w:sz="0" w:space="0" w:color="auto"/>
            <w:bottom w:val="none" w:sz="0" w:space="0" w:color="auto"/>
            <w:right w:val="none" w:sz="0" w:space="0" w:color="auto"/>
          </w:divBdr>
        </w:div>
        <w:div w:id="2065829260">
          <w:marLeft w:val="0"/>
          <w:marRight w:val="0"/>
          <w:marTop w:val="0"/>
          <w:marBottom w:val="0"/>
          <w:divBdr>
            <w:top w:val="none" w:sz="0" w:space="0" w:color="auto"/>
            <w:left w:val="none" w:sz="0" w:space="0" w:color="auto"/>
            <w:bottom w:val="none" w:sz="0" w:space="0" w:color="auto"/>
            <w:right w:val="none" w:sz="0" w:space="0" w:color="auto"/>
          </w:divBdr>
        </w:div>
        <w:div w:id="2069641482">
          <w:marLeft w:val="0"/>
          <w:marRight w:val="0"/>
          <w:marTop w:val="0"/>
          <w:marBottom w:val="0"/>
          <w:divBdr>
            <w:top w:val="none" w:sz="0" w:space="0" w:color="auto"/>
            <w:left w:val="none" w:sz="0" w:space="0" w:color="auto"/>
            <w:bottom w:val="none" w:sz="0" w:space="0" w:color="auto"/>
            <w:right w:val="none" w:sz="0" w:space="0" w:color="auto"/>
          </w:divBdr>
        </w:div>
      </w:divsChild>
    </w:div>
    <w:div w:id="1380014297">
      <w:bodyDiv w:val="1"/>
      <w:marLeft w:val="0"/>
      <w:marRight w:val="0"/>
      <w:marTop w:val="0"/>
      <w:marBottom w:val="0"/>
      <w:divBdr>
        <w:top w:val="none" w:sz="0" w:space="0" w:color="auto"/>
        <w:left w:val="none" w:sz="0" w:space="0" w:color="auto"/>
        <w:bottom w:val="none" w:sz="0" w:space="0" w:color="auto"/>
        <w:right w:val="none" w:sz="0" w:space="0" w:color="auto"/>
      </w:divBdr>
    </w:div>
    <w:div w:id="1398893090">
      <w:bodyDiv w:val="1"/>
      <w:marLeft w:val="0"/>
      <w:marRight w:val="0"/>
      <w:marTop w:val="0"/>
      <w:marBottom w:val="0"/>
      <w:divBdr>
        <w:top w:val="none" w:sz="0" w:space="0" w:color="auto"/>
        <w:left w:val="none" w:sz="0" w:space="0" w:color="auto"/>
        <w:bottom w:val="none" w:sz="0" w:space="0" w:color="auto"/>
        <w:right w:val="none" w:sz="0" w:space="0" w:color="auto"/>
      </w:divBdr>
    </w:div>
    <w:div w:id="1410612609">
      <w:bodyDiv w:val="1"/>
      <w:marLeft w:val="0"/>
      <w:marRight w:val="0"/>
      <w:marTop w:val="0"/>
      <w:marBottom w:val="0"/>
      <w:divBdr>
        <w:top w:val="none" w:sz="0" w:space="0" w:color="auto"/>
        <w:left w:val="none" w:sz="0" w:space="0" w:color="auto"/>
        <w:bottom w:val="none" w:sz="0" w:space="0" w:color="auto"/>
        <w:right w:val="none" w:sz="0" w:space="0" w:color="auto"/>
      </w:divBdr>
      <w:divsChild>
        <w:div w:id="521825238">
          <w:marLeft w:val="0"/>
          <w:marRight w:val="0"/>
          <w:marTop w:val="0"/>
          <w:marBottom w:val="0"/>
          <w:divBdr>
            <w:top w:val="none" w:sz="0" w:space="0" w:color="auto"/>
            <w:left w:val="none" w:sz="0" w:space="0" w:color="auto"/>
            <w:bottom w:val="none" w:sz="0" w:space="0" w:color="auto"/>
            <w:right w:val="none" w:sz="0" w:space="0" w:color="auto"/>
          </w:divBdr>
          <w:divsChild>
            <w:div w:id="76052219">
              <w:marLeft w:val="0"/>
              <w:marRight w:val="0"/>
              <w:marTop w:val="0"/>
              <w:marBottom w:val="0"/>
              <w:divBdr>
                <w:top w:val="none" w:sz="0" w:space="0" w:color="auto"/>
                <w:left w:val="none" w:sz="0" w:space="0" w:color="auto"/>
                <w:bottom w:val="none" w:sz="0" w:space="0" w:color="auto"/>
                <w:right w:val="none" w:sz="0" w:space="0" w:color="auto"/>
              </w:divBdr>
            </w:div>
            <w:div w:id="274678188">
              <w:marLeft w:val="0"/>
              <w:marRight w:val="0"/>
              <w:marTop w:val="0"/>
              <w:marBottom w:val="0"/>
              <w:divBdr>
                <w:top w:val="none" w:sz="0" w:space="0" w:color="auto"/>
                <w:left w:val="none" w:sz="0" w:space="0" w:color="auto"/>
                <w:bottom w:val="none" w:sz="0" w:space="0" w:color="auto"/>
                <w:right w:val="none" w:sz="0" w:space="0" w:color="auto"/>
              </w:divBdr>
            </w:div>
            <w:div w:id="512115168">
              <w:marLeft w:val="0"/>
              <w:marRight w:val="0"/>
              <w:marTop w:val="0"/>
              <w:marBottom w:val="0"/>
              <w:divBdr>
                <w:top w:val="none" w:sz="0" w:space="0" w:color="auto"/>
                <w:left w:val="none" w:sz="0" w:space="0" w:color="auto"/>
                <w:bottom w:val="none" w:sz="0" w:space="0" w:color="auto"/>
                <w:right w:val="none" w:sz="0" w:space="0" w:color="auto"/>
              </w:divBdr>
            </w:div>
            <w:div w:id="986975825">
              <w:marLeft w:val="0"/>
              <w:marRight w:val="0"/>
              <w:marTop w:val="0"/>
              <w:marBottom w:val="0"/>
              <w:divBdr>
                <w:top w:val="none" w:sz="0" w:space="0" w:color="auto"/>
                <w:left w:val="none" w:sz="0" w:space="0" w:color="auto"/>
                <w:bottom w:val="none" w:sz="0" w:space="0" w:color="auto"/>
                <w:right w:val="none" w:sz="0" w:space="0" w:color="auto"/>
              </w:divBdr>
            </w:div>
            <w:div w:id="994844310">
              <w:marLeft w:val="0"/>
              <w:marRight w:val="0"/>
              <w:marTop w:val="0"/>
              <w:marBottom w:val="0"/>
              <w:divBdr>
                <w:top w:val="none" w:sz="0" w:space="0" w:color="auto"/>
                <w:left w:val="none" w:sz="0" w:space="0" w:color="auto"/>
                <w:bottom w:val="none" w:sz="0" w:space="0" w:color="auto"/>
                <w:right w:val="none" w:sz="0" w:space="0" w:color="auto"/>
              </w:divBdr>
            </w:div>
            <w:div w:id="1726223645">
              <w:marLeft w:val="0"/>
              <w:marRight w:val="0"/>
              <w:marTop w:val="0"/>
              <w:marBottom w:val="0"/>
              <w:divBdr>
                <w:top w:val="none" w:sz="0" w:space="0" w:color="auto"/>
                <w:left w:val="none" w:sz="0" w:space="0" w:color="auto"/>
                <w:bottom w:val="none" w:sz="0" w:space="0" w:color="auto"/>
                <w:right w:val="none" w:sz="0" w:space="0" w:color="auto"/>
              </w:divBdr>
            </w:div>
          </w:divsChild>
        </w:div>
        <w:div w:id="1787384726">
          <w:marLeft w:val="0"/>
          <w:marRight w:val="0"/>
          <w:marTop w:val="0"/>
          <w:marBottom w:val="0"/>
          <w:divBdr>
            <w:top w:val="none" w:sz="0" w:space="0" w:color="auto"/>
            <w:left w:val="none" w:sz="0" w:space="0" w:color="auto"/>
            <w:bottom w:val="none" w:sz="0" w:space="0" w:color="auto"/>
            <w:right w:val="none" w:sz="0" w:space="0" w:color="auto"/>
          </w:divBdr>
          <w:divsChild>
            <w:div w:id="177548961">
              <w:marLeft w:val="0"/>
              <w:marRight w:val="0"/>
              <w:marTop w:val="0"/>
              <w:marBottom w:val="0"/>
              <w:divBdr>
                <w:top w:val="none" w:sz="0" w:space="0" w:color="auto"/>
                <w:left w:val="none" w:sz="0" w:space="0" w:color="auto"/>
                <w:bottom w:val="none" w:sz="0" w:space="0" w:color="auto"/>
                <w:right w:val="none" w:sz="0" w:space="0" w:color="auto"/>
              </w:divBdr>
            </w:div>
            <w:div w:id="961035822">
              <w:marLeft w:val="0"/>
              <w:marRight w:val="0"/>
              <w:marTop w:val="0"/>
              <w:marBottom w:val="0"/>
              <w:divBdr>
                <w:top w:val="none" w:sz="0" w:space="0" w:color="auto"/>
                <w:left w:val="none" w:sz="0" w:space="0" w:color="auto"/>
                <w:bottom w:val="none" w:sz="0" w:space="0" w:color="auto"/>
                <w:right w:val="none" w:sz="0" w:space="0" w:color="auto"/>
              </w:divBdr>
            </w:div>
            <w:div w:id="20879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9469">
      <w:bodyDiv w:val="1"/>
      <w:marLeft w:val="0"/>
      <w:marRight w:val="0"/>
      <w:marTop w:val="0"/>
      <w:marBottom w:val="0"/>
      <w:divBdr>
        <w:top w:val="none" w:sz="0" w:space="0" w:color="auto"/>
        <w:left w:val="none" w:sz="0" w:space="0" w:color="auto"/>
        <w:bottom w:val="none" w:sz="0" w:space="0" w:color="auto"/>
        <w:right w:val="none" w:sz="0" w:space="0" w:color="auto"/>
      </w:divBdr>
    </w:div>
    <w:div w:id="1473643271">
      <w:bodyDiv w:val="1"/>
      <w:marLeft w:val="0"/>
      <w:marRight w:val="0"/>
      <w:marTop w:val="0"/>
      <w:marBottom w:val="0"/>
      <w:divBdr>
        <w:top w:val="none" w:sz="0" w:space="0" w:color="auto"/>
        <w:left w:val="none" w:sz="0" w:space="0" w:color="auto"/>
        <w:bottom w:val="none" w:sz="0" w:space="0" w:color="auto"/>
        <w:right w:val="none" w:sz="0" w:space="0" w:color="auto"/>
      </w:divBdr>
    </w:div>
    <w:div w:id="1490560172">
      <w:bodyDiv w:val="1"/>
      <w:marLeft w:val="0"/>
      <w:marRight w:val="0"/>
      <w:marTop w:val="0"/>
      <w:marBottom w:val="0"/>
      <w:divBdr>
        <w:top w:val="none" w:sz="0" w:space="0" w:color="auto"/>
        <w:left w:val="none" w:sz="0" w:space="0" w:color="auto"/>
        <w:bottom w:val="none" w:sz="0" w:space="0" w:color="auto"/>
        <w:right w:val="none" w:sz="0" w:space="0" w:color="auto"/>
      </w:divBdr>
    </w:div>
    <w:div w:id="1502358281">
      <w:bodyDiv w:val="1"/>
      <w:marLeft w:val="0"/>
      <w:marRight w:val="0"/>
      <w:marTop w:val="0"/>
      <w:marBottom w:val="0"/>
      <w:divBdr>
        <w:top w:val="none" w:sz="0" w:space="0" w:color="auto"/>
        <w:left w:val="none" w:sz="0" w:space="0" w:color="auto"/>
        <w:bottom w:val="none" w:sz="0" w:space="0" w:color="auto"/>
        <w:right w:val="none" w:sz="0" w:space="0" w:color="auto"/>
      </w:divBdr>
    </w:div>
    <w:div w:id="1521581650">
      <w:bodyDiv w:val="1"/>
      <w:marLeft w:val="0"/>
      <w:marRight w:val="0"/>
      <w:marTop w:val="0"/>
      <w:marBottom w:val="0"/>
      <w:divBdr>
        <w:top w:val="none" w:sz="0" w:space="0" w:color="auto"/>
        <w:left w:val="none" w:sz="0" w:space="0" w:color="auto"/>
        <w:bottom w:val="none" w:sz="0" w:space="0" w:color="auto"/>
        <w:right w:val="none" w:sz="0" w:space="0" w:color="auto"/>
      </w:divBdr>
    </w:div>
    <w:div w:id="1550721383">
      <w:bodyDiv w:val="1"/>
      <w:marLeft w:val="0"/>
      <w:marRight w:val="0"/>
      <w:marTop w:val="0"/>
      <w:marBottom w:val="0"/>
      <w:divBdr>
        <w:top w:val="none" w:sz="0" w:space="0" w:color="auto"/>
        <w:left w:val="none" w:sz="0" w:space="0" w:color="auto"/>
        <w:bottom w:val="none" w:sz="0" w:space="0" w:color="auto"/>
        <w:right w:val="none" w:sz="0" w:space="0" w:color="auto"/>
      </w:divBdr>
    </w:div>
    <w:div w:id="1550845252">
      <w:bodyDiv w:val="1"/>
      <w:marLeft w:val="0"/>
      <w:marRight w:val="0"/>
      <w:marTop w:val="0"/>
      <w:marBottom w:val="0"/>
      <w:divBdr>
        <w:top w:val="none" w:sz="0" w:space="0" w:color="auto"/>
        <w:left w:val="none" w:sz="0" w:space="0" w:color="auto"/>
        <w:bottom w:val="none" w:sz="0" w:space="0" w:color="auto"/>
        <w:right w:val="none" w:sz="0" w:space="0" w:color="auto"/>
      </w:divBdr>
    </w:div>
    <w:div w:id="1590119547">
      <w:bodyDiv w:val="1"/>
      <w:marLeft w:val="0"/>
      <w:marRight w:val="0"/>
      <w:marTop w:val="0"/>
      <w:marBottom w:val="0"/>
      <w:divBdr>
        <w:top w:val="none" w:sz="0" w:space="0" w:color="auto"/>
        <w:left w:val="none" w:sz="0" w:space="0" w:color="auto"/>
        <w:bottom w:val="none" w:sz="0" w:space="0" w:color="auto"/>
        <w:right w:val="none" w:sz="0" w:space="0" w:color="auto"/>
      </w:divBdr>
    </w:div>
    <w:div w:id="1615594674">
      <w:bodyDiv w:val="1"/>
      <w:marLeft w:val="0"/>
      <w:marRight w:val="0"/>
      <w:marTop w:val="0"/>
      <w:marBottom w:val="0"/>
      <w:divBdr>
        <w:top w:val="none" w:sz="0" w:space="0" w:color="auto"/>
        <w:left w:val="none" w:sz="0" w:space="0" w:color="auto"/>
        <w:bottom w:val="none" w:sz="0" w:space="0" w:color="auto"/>
        <w:right w:val="none" w:sz="0" w:space="0" w:color="auto"/>
      </w:divBdr>
    </w:div>
    <w:div w:id="1636717124">
      <w:bodyDiv w:val="1"/>
      <w:marLeft w:val="0"/>
      <w:marRight w:val="0"/>
      <w:marTop w:val="0"/>
      <w:marBottom w:val="0"/>
      <w:divBdr>
        <w:top w:val="none" w:sz="0" w:space="0" w:color="auto"/>
        <w:left w:val="none" w:sz="0" w:space="0" w:color="auto"/>
        <w:bottom w:val="none" w:sz="0" w:space="0" w:color="auto"/>
        <w:right w:val="none" w:sz="0" w:space="0" w:color="auto"/>
      </w:divBdr>
      <w:divsChild>
        <w:div w:id="368917774">
          <w:marLeft w:val="0"/>
          <w:marRight w:val="0"/>
          <w:marTop w:val="0"/>
          <w:marBottom w:val="0"/>
          <w:divBdr>
            <w:top w:val="none" w:sz="0" w:space="0" w:color="auto"/>
            <w:left w:val="none" w:sz="0" w:space="0" w:color="auto"/>
            <w:bottom w:val="none" w:sz="0" w:space="0" w:color="auto"/>
            <w:right w:val="none" w:sz="0" w:space="0" w:color="auto"/>
          </w:divBdr>
        </w:div>
        <w:div w:id="577054869">
          <w:marLeft w:val="0"/>
          <w:marRight w:val="0"/>
          <w:marTop w:val="0"/>
          <w:marBottom w:val="0"/>
          <w:divBdr>
            <w:top w:val="none" w:sz="0" w:space="0" w:color="auto"/>
            <w:left w:val="none" w:sz="0" w:space="0" w:color="auto"/>
            <w:bottom w:val="none" w:sz="0" w:space="0" w:color="auto"/>
            <w:right w:val="none" w:sz="0" w:space="0" w:color="auto"/>
          </w:divBdr>
        </w:div>
        <w:div w:id="953554619">
          <w:marLeft w:val="0"/>
          <w:marRight w:val="0"/>
          <w:marTop w:val="0"/>
          <w:marBottom w:val="0"/>
          <w:divBdr>
            <w:top w:val="none" w:sz="0" w:space="0" w:color="auto"/>
            <w:left w:val="none" w:sz="0" w:space="0" w:color="auto"/>
            <w:bottom w:val="none" w:sz="0" w:space="0" w:color="auto"/>
            <w:right w:val="none" w:sz="0" w:space="0" w:color="auto"/>
          </w:divBdr>
        </w:div>
        <w:div w:id="1225293223">
          <w:marLeft w:val="0"/>
          <w:marRight w:val="0"/>
          <w:marTop w:val="0"/>
          <w:marBottom w:val="0"/>
          <w:divBdr>
            <w:top w:val="none" w:sz="0" w:space="0" w:color="auto"/>
            <w:left w:val="none" w:sz="0" w:space="0" w:color="auto"/>
            <w:bottom w:val="none" w:sz="0" w:space="0" w:color="auto"/>
            <w:right w:val="none" w:sz="0" w:space="0" w:color="auto"/>
          </w:divBdr>
        </w:div>
        <w:div w:id="1451628290">
          <w:marLeft w:val="0"/>
          <w:marRight w:val="0"/>
          <w:marTop w:val="0"/>
          <w:marBottom w:val="0"/>
          <w:divBdr>
            <w:top w:val="none" w:sz="0" w:space="0" w:color="auto"/>
            <w:left w:val="none" w:sz="0" w:space="0" w:color="auto"/>
            <w:bottom w:val="none" w:sz="0" w:space="0" w:color="auto"/>
            <w:right w:val="none" w:sz="0" w:space="0" w:color="auto"/>
          </w:divBdr>
        </w:div>
      </w:divsChild>
    </w:div>
    <w:div w:id="1709915716">
      <w:bodyDiv w:val="1"/>
      <w:marLeft w:val="0"/>
      <w:marRight w:val="0"/>
      <w:marTop w:val="0"/>
      <w:marBottom w:val="0"/>
      <w:divBdr>
        <w:top w:val="none" w:sz="0" w:space="0" w:color="auto"/>
        <w:left w:val="none" w:sz="0" w:space="0" w:color="auto"/>
        <w:bottom w:val="none" w:sz="0" w:space="0" w:color="auto"/>
        <w:right w:val="none" w:sz="0" w:space="0" w:color="auto"/>
      </w:divBdr>
    </w:div>
    <w:div w:id="1767388591">
      <w:bodyDiv w:val="1"/>
      <w:marLeft w:val="0"/>
      <w:marRight w:val="0"/>
      <w:marTop w:val="0"/>
      <w:marBottom w:val="0"/>
      <w:divBdr>
        <w:top w:val="none" w:sz="0" w:space="0" w:color="auto"/>
        <w:left w:val="none" w:sz="0" w:space="0" w:color="auto"/>
        <w:bottom w:val="none" w:sz="0" w:space="0" w:color="auto"/>
        <w:right w:val="none" w:sz="0" w:space="0" w:color="auto"/>
      </w:divBdr>
      <w:divsChild>
        <w:div w:id="77410705">
          <w:marLeft w:val="0"/>
          <w:marRight w:val="0"/>
          <w:marTop w:val="0"/>
          <w:marBottom w:val="0"/>
          <w:divBdr>
            <w:top w:val="none" w:sz="0" w:space="0" w:color="auto"/>
            <w:left w:val="none" w:sz="0" w:space="0" w:color="auto"/>
            <w:bottom w:val="none" w:sz="0" w:space="0" w:color="auto"/>
            <w:right w:val="none" w:sz="0" w:space="0" w:color="auto"/>
          </w:divBdr>
        </w:div>
        <w:div w:id="569075775">
          <w:marLeft w:val="0"/>
          <w:marRight w:val="0"/>
          <w:marTop w:val="0"/>
          <w:marBottom w:val="0"/>
          <w:divBdr>
            <w:top w:val="none" w:sz="0" w:space="0" w:color="auto"/>
            <w:left w:val="none" w:sz="0" w:space="0" w:color="auto"/>
            <w:bottom w:val="none" w:sz="0" w:space="0" w:color="auto"/>
            <w:right w:val="none" w:sz="0" w:space="0" w:color="auto"/>
          </w:divBdr>
        </w:div>
        <w:div w:id="945039014">
          <w:marLeft w:val="0"/>
          <w:marRight w:val="0"/>
          <w:marTop w:val="0"/>
          <w:marBottom w:val="0"/>
          <w:divBdr>
            <w:top w:val="none" w:sz="0" w:space="0" w:color="auto"/>
            <w:left w:val="none" w:sz="0" w:space="0" w:color="auto"/>
            <w:bottom w:val="none" w:sz="0" w:space="0" w:color="auto"/>
            <w:right w:val="none" w:sz="0" w:space="0" w:color="auto"/>
          </w:divBdr>
        </w:div>
        <w:div w:id="952981877">
          <w:marLeft w:val="0"/>
          <w:marRight w:val="0"/>
          <w:marTop w:val="0"/>
          <w:marBottom w:val="0"/>
          <w:divBdr>
            <w:top w:val="none" w:sz="0" w:space="0" w:color="auto"/>
            <w:left w:val="none" w:sz="0" w:space="0" w:color="auto"/>
            <w:bottom w:val="none" w:sz="0" w:space="0" w:color="auto"/>
            <w:right w:val="none" w:sz="0" w:space="0" w:color="auto"/>
          </w:divBdr>
        </w:div>
        <w:div w:id="1586457300">
          <w:marLeft w:val="0"/>
          <w:marRight w:val="0"/>
          <w:marTop w:val="0"/>
          <w:marBottom w:val="0"/>
          <w:divBdr>
            <w:top w:val="none" w:sz="0" w:space="0" w:color="auto"/>
            <w:left w:val="none" w:sz="0" w:space="0" w:color="auto"/>
            <w:bottom w:val="none" w:sz="0" w:space="0" w:color="auto"/>
            <w:right w:val="none" w:sz="0" w:space="0" w:color="auto"/>
          </w:divBdr>
        </w:div>
      </w:divsChild>
    </w:div>
    <w:div w:id="1781677024">
      <w:bodyDiv w:val="1"/>
      <w:marLeft w:val="0"/>
      <w:marRight w:val="0"/>
      <w:marTop w:val="0"/>
      <w:marBottom w:val="0"/>
      <w:divBdr>
        <w:top w:val="none" w:sz="0" w:space="0" w:color="auto"/>
        <w:left w:val="none" w:sz="0" w:space="0" w:color="auto"/>
        <w:bottom w:val="none" w:sz="0" w:space="0" w:color="auto"/>
        <w:right w:val="none" w:sz="0" w:space="0" w:color="auto"/>
      </w:divBdr>
    </w:div>
    <w:div w:id="1815678712">
      <w:bodyDiv w:val="1"/>
      <w:marLeft w:val="0"/>
      <w:marRight w:val="0"/>
      <w:marTop w:val="0"/>
      <w:marBottom w:val="0"/>
      <w:divBdr>
        <w:top w:val="none" w:sz="0" w:space="0" w:color="auto"/>
        <w:left w:val="none" w:sz="0" w:space="0" w:color="auto"/>
        <w:bottom w:val="none" w:sz="0" w:space="0" w:color="auto"/>
        <w:right w:val="none" w:sz="0" w:space="0" w:color="auto"/>
      </w:divBdr>
    </w:div>
    <w:div w:id="1854100420">
      <w:bodyDiv w:val="1"/>
      <w:marLeft w:val="0"/>
      <w:marRight w:val="0"/>
      <w:marTop w:val="0"/>
      <w:marBottom w:val="0"/>
      <w:divBdr>
        <w:top w:val="none" w:sz="0" w:space="0" w:color="auto"/>
        <w:left w:val="none" w:sz="0" w:space="0" w:color="auto"/>
        <w:bottom w:val="none" w:sz="0" w:space="0" w:color="auto"/>
        <w:right w:val="none" w:sz="0" w:space="0" w:color="auto"/>
      </w:divBdr>
    </w:div>
    <w:div w:id="1854414791">
      <w:bodyDiv w:val="1"/>
      <w:marLeft w:val="0"/>
      <w:marRight w:val="0"/>
      <w:marTop w:val="0"/>
      <w:marBottom w:val="0"/>
      <w:divBdr>
        <w:top w:val="none" w:sz="0" w:space="0" w:color="auto"/>
        <w:left w:val="none" w:sz="0" w:space="0" w:color="auto"/>
        <w:bottom w:val="none" w:sz="0" w:space="0" w:color="auto"/>
        <w:right w:val="none" w:sz="0" w:space="0" w:color="auto"/>
      </w:divBdr>
      <w:divsChild>
        <w:div w:id="335311098">
          <w:marLeft w:val="0"/>
          <w:marRight w:val="0"/>
          <w:marTop w:val="0"/>
          <w:marBottom w:val="0"/>
          <w:divBdr>
            <w:top w:val="none" w:sz="0" w:space="0" w:color="auto"/>
            <w:left w:val="none" w:sz="0" w:space="0" w:color="auto"/>
            <w:bottom w:val="none" w:sz="0" w:space="0" w:color="auto"/>
            <w:right w:val="none" w:sz="0" w:space="0" w:color="auto"/>
          </w:divBdr>
          <w:divsChild>
            <w:div w:id="383455930">
              <w:marLeft w:val="0"/>
              <w:marRight w:val="0"/>
              <w:marTop w:val="0"/>
              <w:marBottom w:val="0"/>
              <w:divBdr>
                <w:top w:val="none" w:sz="0" w:space="0" w:color="auto"/>
                <w:left w:val="none" w:sz="0" w:space="0" w:color="auto"/>
                <w:bottom w:val="none" w:sz="0" w:space="0" w:color="auto"/>
                <w:right w:val="none" w:sz="0" w:space="0" w:color="auto"/>
              </w:divBdr>
            </w:div>
            <w:div w:id="441657572">
              <w:marLeft w:val="0"/>
              <w:marRight w:val="0"/>
              <w:marTop w:val="0"/>
              <w:marBottom w:val="0"/>
              <w:divBdr>
                <w:top w:val="none" w:sz="0" w:space="0" w:color="auto"/>
                <w:left w:val="none" w:sz="0" w:space="0" w:color="auto"/>
                <w:bottom w:val="none" w:sz="0" w:space="0" w:color="auto"/>
                <w:right w:val="none" w:sz="0" w:space="0" w:color="auto"/>
              </w:divBdr>
            </w:div>
            <w:div w:id="575940842">
              <w:marLeft w:val="0"/>
              <w:marRight w:val="0"/>
              <w:marTop w:val="0"/>
              <w:marBottom w:val="0"/>
              <w:divBdr>
                <w:top w:val="none" w:sz="0" w:space="0" w:color="auto"/>
                <w:left w:val="none" w:sz="0" w:space="0" w:color="auto"/>
                <w:bottom w:val="none" w:sz="0" w:space="0" w:color="auto"/>
                <w:right w:val="none" w:sz="0" w:space="0" w:color="auto"/>
              </w:divBdr>
            </w:div>
            <w:div w:id="750585475">
              <w:marLeft w:val="0"/>
              <w:marRight w:val="0"/>
              <w:marTop w:val="0"/>
              <w:marBottom w:val="0"/>
              <w:divBdr>
                <w:top w:val="none" w:sz="0" w:space="0" w:color="auto"/>
                <w:left w:val="none" w:sz="0" w:space="0" w:color="auto"/>
                <w:bottom w:val="none" w:sz="0" w:space="0" w:color="auto"/>
                <w:right w:val="none" w:sz="0" w:space="0" w:color="auto"/>
              </w:divBdr>
            </w:div>
            <w:div w:id="798112249">
              <w:marLeft w:val="0"/>
              <w:marRight w:val="0"/>
              <w:marTop w:val="0"/>
              <w:marBottom w:val="0"/>
              <w:divBdr>
                <w:top w:val="none" w:sz="0" w:space="0" w:color="auto"/>
                <w:left w:val="none" w:sz="0" w:space="0" w:color="auto"/>
                <w:bottom w:val="none" w:sz="0" w:space="0" w:color="auto"/>
                <w:right w:val="none" w:sz="0" w:space="0" w:color="auto"/>
              </w:divBdr>
            </w:div>
            <w:div w:id="854920700">
              <w:marLeft w:val="0"/>
              <w:marRight w:val="0"/>
              <w:marTop w:val="0"/>
              <w:marBottom w:val="0"/>
              <w:divBdr>
                <w:top w:val="none" w:sz="0" w:space="0" w:color="auto"/>
                <w:left w:val="none" w:sz="0" w:space="0" w:color="auto"/>
                <w:bottom w:val="none" w:sz="0" w:space="0" w:color="auto"/>
                <w:right w:val="none" w:sz="0" w:space="0" w:color="auto"/>
              </w:divBdr>
            </w:div>
            <w:div w:id="856769862">
              <w:marLeft w:val="0"/>
              <w:marRight w:val="0"/>
              <w:marTop w:val="0"/>
              <w:marBottom w:val="0"/>
              <w:divBdr>
                <w:top w:val="none" w:sz="0" w:space="0" w:color="auto"/>
                <w:left w:val="none" w:sz="0" w:space="0" w:color="auto"/>
                <w:bottom w:val="none" w:sz="0" w:space="0" w:color="auto"/>
                <w:right w:val="none" w:sz="0" w:space="0" w:color="auto"/>
              </w:divBdr>
            </w:div>
            <w:div w:id="881402021">
              <w:marLeft w:val="0"/>
              <w:marRight w:val="0"/>
              <w:marTop w:val="0"/>
              <w:marBottom w:val="0"/>
              <w:divBdr>
                <w:top w:val="none" w:sz="0" w:space="0" w:color="auto"/>
                <w:left w:val="none" w:sz="0" w:space="0" w:color="auto"/>
                <w:bottom w:val="none" w:sz="0" w:space="0" w:color="auto"/>
                <w:right w:val="none" w:sz="0" w:space="0" w:color="auto"/>
              </w:divBdr>
            </w:div>
            <w:div w:id="1094739382">
              <w:marLeft w:val="0"/>
              <w:marRight w:val="0"/>
              <w:marTop w:val="0"/>
              <w:marBottom w:val="0"/>
              <w:divBdr>
                <w:top w:val="none" w:sz="0" w:space="0" w:color="auto"/>
                <w:left w:val="none" w:sz="0" w:space="0" w:color="auto"/>
                <w:bottom w:val="none" w:sz="0" w:space="0" w:color="auto"/>
                <w:right w:val="none" w:sz="0" w:space="0" w:color="auto"/>
              </w:divBdr>
            </w:div>
            <w:div w:id="1116290218">
              <w:marLeft w:val="0"/>
              <w:marRight w:val="0"/>
              <w:marTop w:val="0"/>
              <w:marBottom w:val="0"/>
              <w:divBdr>
                <w:top w:val="none" w:sz="0" w:space="0" w:color="auto"/>
                <w:left w:val="none" w:sz="0" w:space="0" w:color="auto"/>
                <w:bottom w:val="none" w:sz="0" w:space="0" w:color="auto"/>
                <w:right w:val="none" w:sz="0" w:space="0" w:color="auto"/>
              </w:divBdr>
            </w:div>
            <w:div w:id="1146632283">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 w:id="1369768030">
              <w:marLeft w:val="0"/>
              <w:marRight w:val="0"/>
              <w:marTop w:val="0"/>
              <w:marBottom w:val="0"/>
              <w:divBdr>
                <w:top w:val="none" w:sz="0" w:space="0" w:color="auto"/>
                <w:left w:val="none" w:sz="0" w:space="0" w:color="auto"/>
                <w:bottom w:val="none" w:sz="0" w:space="0" w:color="auto"/>
                <w:right w:val="none" w:sz="0" w:space="0" w:color="auto"/>
              </w:divBdr>
            </w:div>
            <w:div w:id="1401098563">
              <w:marLeft w:val="0"/>
              <w:marRight w:val="0"/>
              <w:marTop w:val="0"/>
              <w:marBottom w:val="0"/>
              <w:divBdr>
                <w:top w:val="none" w:sz="0" w:space="0" w:color="auto"/>
                <w:left w:val="none" w:sz="0" w:space="0" w:color="auto"/>
                <w:bottom w:val="none" w:sz="0" w:space="0" w:color="auto"/>
                <w:right w:val="none" w:sz="0" w:space="0" w:color="auto"/>
              </w:divBdr>
            </w:div>
            <w:div w:id="1546912020">
              <w:marLeft w:val="0"/>
              <w:marRight w:val="0"/>
              <w:marTop w:val="0"/>
              <w:marBottom w:val="0"/>
              <w:divBdr>
                <w:top w:val="none" w:sz="0" w:space="0" w:color="auto"/>
                <w:left w:val="none" w:sz="0" w:space="0" w:color="auto"/>
                <w:bottom w:val="none" w:sz="0" w:space="0" w:color="auto"/>
                <w:right w:val="none" w:sz="0" w:space="0" w:color="auto"/>
              </w:divBdr>
            </w:div>
            <w:div w:id="1564752777">
              <w:marLeft w:val="0"/>
              <w:marRight w:val="0"/>
              <w:marTop w:val="0"/>
              <w:marBottom w:val="0"/>
              <w:divBdr>
                <w:top w:val="none" w:sz="0" w:space="0" w:color="auto"/>
                <w:left w:val="none" w:sz="0" w:space="0" w:color="auto"/>
                <w:bottom w:val="none" w:sz="0" w:space="0" w:color="auto"/>
                <w:right w:val="none" w:sz="0" w:space="0" w:color="auto"/>
              </w:divBdr>
            </w:div>
            <w:div w:id="1703945244">
              <w:marLeft w:val="0"/>
              <w:marRight w:val="0"/>
              <w:marTop w:val="0"/>
              <w:marBottom w:val="0"/>
              <w:divBdr>
                <w:top w:val="none" w:sz="0" w:space="0" w:color="auto"/>
                <w:left w:val="none" w:sz="0" w:space="0" w:color="auto"/>
                <w:bottom w:val="none" w:sz="0" w:space="0" w:color="auto"/>
                <w:right w:val="none" w:sz="0" w:space="0" w:color="auto"/>
              </w:divBdr>
            </w:div>
            <w:div w:id="1716808476">
              <w:marLeft w:val="0"/>
              <w:marRight w:val="0"/>
              <w:marTop w:val="0"/>
              <w:marBottom w:val="0"/>
              <w:divBdr>
                <w:top w:val="none" w:sz="0" w:space="0" w:color="auto"/>
                <w:left w:val="none" w:sz="0" w:space="0" w:color="auto"/>
                <w:bottom w:val="none" w:sz="0" w:space="0" w:color="auto"/>
                <w:right w:val="none" w:sz="0" w:space="0" w:color="auto"/>
              </w:divBdr>
            </w:div>
            <w:div w:id="1818372129">
              <w:marLeft w:val="0"/>
              <w:marRight w:val="0"/>
              <w:marTop w:val="0"/>
              <w:marBottom w:val="0"/>
              <w:divBdr>
                <w:top w:val="none" w:sz="0" w:space="0" w:color="auto"/>
                <w:left w:val="none" w:sz="0" w:space="0" w:color="auto"/>
                <w:bottom w:val="none" w:sz="0" w:space="0" w:color="auto"/>
                <w:right w:val="none" w:sz="0" w:space="0" w:color="auto"/>
              </w:divBdr>
            </w:div>
            <w:div w:id="1972785413">
              <w:marLeft w:val="0"/>
              <w:marRight w:val="0"/>
              <w:marTop w:val="0"/>
              <w:marBottom w:val="0"/>
              <w:divBdr>
                <w:top w:val="none" w:sz="0" w:space="0" w:color="auto"/>
                <w:left w:val="none" w:sz="0" w:space="0" w:color="auto"/>
                <w:bottom w:val="none" w:sz="0" w:space="0" w:color="auto"/>
                <w:right w:val="none" w:sz="0" w:space="0" w:color="auto"/>
              </w:divBdr>
            </w:div>
            <w:div w:id="2106412862">
              <w:marLeft w:val="0"/>
              <w:marRight w:val="0"/>
              <w:marTop w:val="0"/>
              <w:marBottom w:val="0"/>
              <w:divBdr>
                <w:top w:val="none" w:sz="0" w:space="0" w:color="auto"/>
                <w:left w:val="none" w:sz="0" w:space="0" w:color="auto"/>
                <w:bottom w:val="none" w:sz="0" w:space="0" w:color="auto"/>
                <w:right w:val="none" w:sz="0" w:space="0" w:color="auto"/>
              </w:divBdr>
            </w:div>
          </w:divsChild>
        </w:div>
        <w:div w:id="556474618">
          <w:marLeft w:val="0"/>
          <w:marRight w:val="0"/>
          <w:marTop w:val="0"/>
          <w:marBottom w:val="0"/>
          <w:divBdr>
            <w:top w:val="none" w:sz="0" w:space="0" w:color="auto"/>
            <w:left w:val="none" w:sz="0" w:space="0" w:color="auto"/>
            <w:bottom w:val="none" w:sz="0" w:space="0" w:color="auto"/>
            <w:right w:val="none" w:sz="0" w:space="0" w:color="auto"/>
          </w:divBdr>
          <w:divsChild>
            <w:div w:id="64030666">
              <w:marLeft w:val="0"/>
              <w:marRight w:val="0"/>
              <w:marTop w:val="0"/>
              <w:marBottom w:val="0"/>
              <w:divBdr>
                <w:top w:val="none" w:sz="0" w:space="0" w:color="auto"/>
                <w:left w:val="none" w:sz="0" w:space="0" w:color="auto"/>
                <w:bottom w:val="none" w:sz="0" w:space="0" w:color="auto"/>
                <w:right w:val="none" w:sz="0" w:space="0" w:color="auto"/>
              </w:divBdr>
            </w:div>
            <w:div w:id="112748802">
              <w:marLeft w:val="0"/>
              <w:marRight w:val="0"/>
              <w:marTop w:val="0"/>
              <w:marBottom w:val="0"/>
              <w:divBdr>
                <w:top w:val="none" w:sz="0" w:space="0" w:color="auto"/>
                <w:left w:val="none" w:sz="0" w:space="0" w:color="auto"/>
                <w:bottom w:val="none" w:sz="0" w:space="0" w:color="auto"/>
                <w:right w:val="none" w:sz="0" w:space="0" w:color="auto"/>
              </w:divBdr>
            </w:div>
            <w:div w:id="171990318">
              <w:marLeft w:val="0"/>
              <w:marRight w:val="0"/>
              <w:marTop w:val="0"/>
              <w:marBottom w:val="0"/>
              <w:divBdr>
                <w:top w:val="none" w:sz="0" w:space="0" w:color="auto"/>
                <w:left w:val="none" w:sz="0" w:space="0" w:color="auto"/>
                <w:bottom w:val="none" w:sz="0" w:space="0" w:color="auto"/>
                <w:right w:val="none" w:sz="0" w:space="0" w:color="auto"/>
              </w:divBdr>
            </w:div>
            <w:div w:id="254939972">
              <w:marLeft w:val="0"/>
              <w:marRight w:val="0"/>
              <w:marTop w:val="0"/>
              <w:marBottom w:val="0"/>
              <w:divBdr>
                <w:top w:val="none" w:sz="0" w:space="0" w:color="auto"/>
                <w:left w:val="none" w:sz="0" w:space="0" w:color="auto"/>
                <w:bottom w:val="none" w:sz="0" w:space="0" w:color="auto"/>
                <w:right w:val="none" w:sz="0" w:space="0" w:color="auto"/>
              </w:divBdr>
            </w:div>
            <w:div w:id="333459082">
              <w:marLeft w:val="0"/>
              <w:marRight w:val="0"/>
              <w:marTop w:val="0"/>
              <w:marBottom w:val="0"/>
              <w:divBdr>
                <w:top w:val="none" w:sz="0" w:space="0" w:color="auto"/>
                <w:left w:val="none" w:sz="0" w:space="0" w:color="auto"/>
                <w:bottom w:val="none" w:sz="0" w:space="0" w:color="auto"/>
                <w:right w:val="none" w:sz="0" w:space="0" w:color="auto"/>
              </w:divBdr>
            </w:div>
            <w:div w:id="422534591">
              <w:marLeft w:val="0"/>
              <w:marRight w:val="0"/>
              <w:marTop w:val="0"/>
              <w:marBottom w:val="0"/>
              <w:divBdr>
                <w:top w:val="none" w:sz="0" w:space="0" w:color="auto"/>
                <w:left w:val="none" w:sz="0" w:space="0" w:color="auto"/>
                <w:bottom w:val="none" w:sz="0" w:space="0" w:color="auto"/>
                <w:right w:val="none" w:sz="0" w:space="0" w:color="auto"/>
              </w:divBdr>
            </w:div>
            <w:div w:id="448008341">
              <w:marLeft w:val="0"/>
              <w:marRight w:val="0"/>
              <w:marTop w:val="0"/>
              <w:marBottom w:val="0"/>
              <w:divBdr>
                <w:top w:val="none" w:sz="0" w:space="0" w:color="auto"/>
                <w:left w:val="none" w:sz="0" w:space="0" w:color="auto"/>
                <w:bottom w:val="none" w:sz="0" w:space="0" w:color="auto"/>
                <w:right w:val="none" w:sz="0" w:space="0" w:color="auto"/>
              </w:divBdr>
            </w:div>
            <w:div w:id="519777464">
              <w:marLeft w:val="0"/>
              <w:marRight w:val="0"/>
              <w:marTop w:val="0"/>
              <w:marBottom w:val="0"/>
              <w:divBdr>
                <w:top w:val="none" w:sz="0" w:space="0" w:color="auto"/>
                <w:left w:val="none" w:sz="0" w:space="0" w:color="auto"/>
                <w:bottom w:val="none" w:sz="0" w:space="0" w:color="auto"/>
                <w:right w:val="none" w:sz="0" w:space="0" w:color="auto"/>
              </w:divBdr>
            </w:div>
            <w:div w:id="698091407">
              <w:marLeft w:val="0"/>
              <w:marRight w:val="0"/>
              <w:marTop w:val="0"/>
              <w:marBottom w:val="0"/>
              <w:divBdr>
                <w:top w:val="none" w:sz="0" w:space="0" w:color="auto"/>
                <w:left w:val="none" w:sz="0" w:space="0" w:color="auto"/>
                <w:bottom w:val="none" w:sz="0" w:space="0" w:color="auto"/>
                <w:right w:val="none" w:sz="0" w:space="0" w:color="auto"/>
              </w:divBdr>
            </w:div>
            <w:div w:id="762842589">
              <w:marLeft w:val="0"/>
              <w:marRight w:val="0"/>
              <w:marTop w:val="0"/>
              <w:marBottom w:val="0"/>
              <w:divBdr>
                <w:top w:val="none" w:sz="0" w:space="0" w:color="auto"/>
                <w:left w:val="none" w:sz="0" w:space="0" w:color="auto"/>
                <w:bottom w:val="none" w:sz="0" w:space="0" w:color="auto"/>
                <w:right w:val="none" w:sz="0" w:space="0" w:color="auto"/>
              </w:divBdr>
            </w:div>
            <w:div w:id="784545501">
              <w:marLeft w:val="0"/>
              <w:marRight w:val="0"/>
              <w:marTop w:val="0"/>
              <w:marBottom w:val="0"/>
              <w:divBdr>
                <w:top w:val="none" w:sz="0" w:space="0" w:color="auto"/>
                <w:left w:val="none" w:sz="0" w:space="0" w:color="auto"/>
                <w:bottom w:val="none" w:sz="0" w:space="0" w:color="auto"/>
                <w:right w:val="none" w:sz="0" w:space="0" w:color="auto"/>
              </w:divBdr>
            </w:div>
            <w:div w:id="830292327">
              <w:marLeft w:val="0"/>
              <w:marRight w:val="0"/>
              <w:marTop w:val="0"/>
              <w:marBottom w:val="0"/>
              <w:divBdr>
                <w:top w:val="none" w:sz="0" w:space="0" w:color="auto"/>
                <w:left w:val="none" w:sz="0" w:space="0" w:color="auto"/>
                <w:bottom w:val="none" w:sz="0" w:space="0" w:color="auto"/>
                <w:right w:val="none" w:sz="0" w:space="0" w:color="auto"/>
              </w:divBdr>
            </w:div>
            <w:div w:id="1235236211">
              <w:marLeft w:val="0"/>
              <w:marRight w:val="0"/>
              <w:marTop w:val="0"/>
              <w:marBottom w:val="0"/>
              <w:divBdr>
                <w:top w:val="none" w:sz="0" w:space="0" w:color="auto"/>
                <w:left w:val="none" w:sz="0" w:space="0" w:color="auto"/>
                <w:bottom w:val="none" w:sz="0" w:space="0" w:color="auto"/>
                <w:right w:val="none" w:sz="0" w:space="0" w:color="auto"/>
              </w:divBdr>
            </w:div>
            <w:div w:id="1441872265">
              <w:marLeft w:val="0"/>
              <w:marRight w:val="0"/>
              <w:marTop w:val="0"/>
              <w:marBottom w:val="0"/>
              <w:divBdr>
                <w:top w:val="none" w:sz="0" w:space="0" w:color="auto"/>
                <w:left w:val="none" w:sz="0" w:space="0" w:color="auto"/>
                <w:bottom w:val="none" w:sz="0" w:space="0" w:color="auto"/>
                <w:right w:val="none" w:sz="0" w:space="0" w:color="auto"/>
              </w:divBdr>
            </w:div>
            <w:div w:id="1573812419">
              <w:marLeft w:val="0"/>
              <w:marRight w:val="0"/>
              <w:marTop w:val="0"/>
              <w:marBottom w:val="0"/>
              <w:divBdr>
                <w:top w:val="none" w:sz="0" w:space="0" w:color="auto"/>
                <w:left w:val="none" w:sz="0" w:space="0" w:color="auto"/>
                <w:bottom w:val="none" w:sz="0" w:space="0" w:color="auto"/>
                <w:right w:val="none" w:sz="0" w:space="0" w:color="auto"/>
              </w:divBdr>
            </w:div>
            <w:div w:id="1661881235">
              <w:marLeft w:val="0"/>
              <w:marRight w:val="0"/>
              <w:marTop w:val="0"/>
              <w:marBottom w:val="0"/>
              <w:divBdr>
                <w:top w:val="none" w:sz="0" w:space="0" w:color="auto"/>
                <w:left w:val="none" w:sz="0" w:space="0" w:color="auto"/>
                <w:bottom w:val="none" w:sz="0" w:space="0" w:color="auto"/>
                <w:right w:val="none" w:sz="0" w:space="0" w:color="auto"/>
              </w:divBdr>
            </w:div>
            <w:div w:id="1769882958">
              <w:marLeft w:val="0"/>
              <w:marRight w:val="0"/>
              <w:marTop w:val="0"/>
              <w:marBottom w:val="0"/>
              <w:divBdr>
                <w:top w:val="none" w:sz="0" w:space="0" w:color="auto"/>
                <w:left w:val="none" w:sz="0" w:space="0" w:color="auto"/>
                <w:bottom w:val="none" w:sz="0" w:space="0" w:color="auto"/>
                <w:right w:val="none" w:sz="0" w:space="0" w:color="auto"/>
              </w:divBdr>
            </w:div>
            <w:div w:id="1838762250">
              <w:marLeft w:val="0"/>
              <w:marRight w:val="0"/>
              <w:marTop w:val="0"/>
              <w:marBottom w:val="0"/>
              <w:divBdr>
                <w:top w:val="none" w:sz="0" w:space="0" w:color="auto"/>
                <w:left w:val="none" w:sz="0" w:space="0" w:color="auto"/>
                <w:bottom w:val="none" w:sz="0" w:space="0" w:color="auto"/>
                <w:right w:val="none" w:sz="0" w:space="0" w:color="auto"/>
              </w:divBdr>
            </w:div>
          </w:divsChild>
        </w:div>
        <w:div w:id="676663269">
          <w:marLeft w:val="0"/>
          <w:marRight w:val="0"/>
          <w:marTop w:val="0"/>
          <w:marBottom w:val="0"/>
          <w:divBdr>
            <w:top w:val="none" w:sz="0" w:space="0" w:color="auto"/>
            <w:left w:val="none" w:sz="0" w:space="0" w:color="auto"/>
            <w:bottom w:val="none" w:sz="0" w:space="0" w:color="auto"/>
            <w:right w:val="none" w:sz="0" w:space="0" w:color="auto"/>
          </w:divBdr>
          <w:divsChild>
            <w:div w:id="204373749">
              <w:marLeft w:val="0"/>
              <w:marRight w:val="0"/>
              <w:marTop w:val="0"/>
              <w:marBottom w:val="0"/>
              <w:divBdr>
                <w:top w:val="none" w:sz="0" w:space="0" w:color="auto"/>
                <w:left w:val="none" w:sz="0" w:space="0" w:color="auto"/>
                <w:bottom w:val="none" w:sz="0" w:space="0" w:color="auto"/>
                <w:right w:val="none" w:sz="0" w:space="0" w:color="auto"/>
              </w:divBdr>
            </w:div>
            <w:div w:id="224488766">
              <w:marLeft w:val="0"/>
              <w:marRight w:val="0"/>
              <w:marTop w:val="0"/>
              <w:marBottom w:val="0"/>
              <w:divBdr>
                <w:top w:val="none" w:sz="0" w:space="0" w:color="auto"/>
                <w:left w:val="none" w:sz="0" w:space="0" w:color="auto"/>
                <w:bottom w:val="none" w:sz="0" w:space="0" w:color="auto"/>
                <w:right w:val="none" w:sz="0" w:space="0" w:color="auto"/>
              </w:divBdr>
            </w:div>
            <w:div w:id="468128035">
              <w:marLeft w:val="0"/>
              <w:marRight w:val="0"/>
              <w:marTop w:val="0"/>
              <w:marBottom w:val="0"/>
              <w:divBdr>
                <w:top w:val="none" w:sz="0" w:space="0" w:color="auto"/>
                <w:left w:val="none" w:sz="0" w:space="0" w:color="auto"/>
                <w:bottom w:val="none" w:sz="0" w:space="0" w:color="auto"/>
                <w:right w:val="none" w:sz="0" w:space="0" w:color="auto"/>
              </w:divBdr>
            </w:div>
            <w:div w:id="480006929">
              <w:marLeft w:val="0"/>
              <w:marRight w:val="0"/>
              <w:marTop w:val="0"/>
              <w:marBottom w:val="0"/>
              <w:divBdr>
                <w:top w:val="none" w:sz="0" w:space="0" w:color="auto"/>
                <w:left w:val="none" w:sz="0" w:space="0" w:color="auto"/>
                <w:bottom w:val="none" w:sz="0" w:space="0" w:color="auto"/>
                <w:right w:val="none" w:sz="0" w:space="0" w:color="auto"/>
              </w:divBdr>
            </w:div>
            <w:div w:id="531118600">
              <w:marLeft w:val="0"/>
              <w:marRight w:val="0"/>
              <w:marTop w:val="0"/>
              <w:marBottom w:val="0"/>
              <w:divBdr>
                <w:top w:val="none" w:sz="0" w:space="0" w:color="auto"/>
                <w:left w:val="none" w:sz="0" w:space="0" w:color="auto"/>
                <w:bottom w:val="none" w:sz="0" w:space="0" w:color="auto"/>
                <w:right w:val="none" w:sz="0" w:space="0" w:color="auto"/>
              </w:divBdr>
            </w:div>
            <w:div w:id="628169018">
              <w:marLeft w:val="0"/>
              <w:marRight w:val="0"/>
              <w:marTop w:val="0"/>
              <w:marBottom w:val="0"/>
              <w:divBdr>
                <w:top w:val="none" w:sz="0" w:space="0" w:color="auto"/>
                <w:left w:val="none" w:sz="0" w:space="0" w:color="auto"/>
                <w:bottom w:val="none" w:sz="0" w:space="0" w:color="auto"/>
                <w:right w:val="none" w:sz="0" w:space="0" w:color="auto"/>
              </w:divBdr>
            </w:div>
            <w:div w:id="683288549">
              <w:marLeft w:val="0"/>
              <w:marRight w:val="0"/>
              <w:marTop w:val="0"/>
              <w:marBottom w:val="0"/>
              <w:divBdr>
                <w:top w:val="none" w:sz="0" w:space="0" w:color="auto"/>
                <w:left w:val="none" w:sz="0" w:space="0" w:color="auto"/>
                <w:bottom w:val="none" w:sz="0" w:space="0" w:color="auto"/>
                <w:right w:val="none" w:sz="0" w:space="0" w:color="auto"/>
              </w:divBdr>
            </w:div>
            <w:div w:id="933904056">
              <w:marLeft w:val="0"/>
              <w:marRight w:val="0"/>
              <w:marTop w:val="0"/>
              <w:marBottom w:val="0"/>
              <w:divBdr>
                <w:top w:val="none" w:sz="0" w:space="0" w:color="auto"/>
                <w:left w:val="none" w:sz="0" w:space="0" w:color="auto"/>
                <w:bottom w:val="none" w:sz="0" w:space="0" w:color="auto"/>
                <w:right w:val="none" w:sz="0" w:space="0" w:color="auto"/>
              </w:divBdr>
            </w:div>
            <w:div w:id="963268384">
              <w:marLeft w:val="0"/>
              <w:marRight w:val="0"/>
              <w:marTop w:val="0"/>
              <w:marBottom w:val="0"/>
              <w:divBdr>
                <w:top w:val="none" w:sz="0" w:space="0" w:color="auto"/>
                <w:left w:val="none" w:sz="0" w:space="0" w:color="auto"/>
                <w:bottom w:val="none" w:sz="0" w:space="0" w:color="auto"/>
                <w:right w:val="none" w:sz="0" w:space="0" w:color="auto"/>
              </w:divBdr>
            </w:div>
            <w:div w:id="1160930241">
              <w:marLeft w:val="0"/>
              <w:marRight w:val="0"/>
              <w:marTop w:val="0"/>
              <w:marBottom w:val="0"/>
              <w:divBdr>
                <w:top w:val="none" w:sz="0" w:space="0" w:color="auto"/>
                <w:left w:val="none" w:sz="0" w:space="0" w:color="auto"/>
                <w:bottom w:val="none" w:sz="0" w:space="0" w:color="auto"/>
                <w:right w:val="none" w:sz="0" w:space="0" w:color="auto"/>
              </w:divBdr>
            </w:div>
            <w:div w:id="1202789499">
              <w:marLeft w:val="0"/>
              <w:marRight w:val="0"/>
              <w:marTop w:val="0"/>
              <w:marBottom w:val="0"/>
              <w:divBdr>
                <w:top w:val="none" w:sz="0" w:space="0" w:color="auto"/>
                <w:left w:val="none" w:sz="0" w:space="0" w:color="auto"/>
                <w:bottom w:val="none" w:sz="0" w:space="0" w:color="auto"/>
                <w:right w:val="none" w:sz="0" w:space="0" w:color="auto"/>
              </w:divBdr>
            </w:div>
            <w:div w:id="1283002225">
              <w:marLeft w:val="0"/>
              <w:marRight w:val="0"/>
              <w:marTop w:val="0"/>
              <w:marBottom w:val="0"/>
              <w:divBdr>
                <w:top w:val="none" w:sz="0" w:space="0" w:color="auto"/>
                <w:left w:val="none" w:sz="0" w:space="0" w:color="auto"/>
                <w:bottom w:val="none" w:sz="0" w:space="0" w:color="auto"/>
                <w:right w:val="none" w:sz="0" w:space="0" w:color="auto"/>
              </w:divBdr>
            </w:div>
            <w:div w:id="1336418063">
              <w:marLeft w:val="0"/>
              <w:marRight w:val="0"/>
              <w:marTop w:val="0"/>
              <w:marBottom w:val="0"/>
              <w:divBdr>
                <w:top w:val="none" w:sz="0" w:space="0" w:color="auto"/>
                <w:left w:val="none" w:sz="0" w:space="0" w:color="auto"/>
                <w:bottom w:val="none" w:sz="0" w:space="0" w:color="auto"/>
                <w:right w:val="none" w:sz="0" w:space="0" w:color="auto"/>
              </w:divBdr>
            </w:div>
            <w:div w:id="1474833666">
              <w:marLeft w:val="0"/>
              <w:marRight w:val="0"/>
              <w:marTop w:val="0"/>
              <w:marBottom w:val="0"/>
              <w:divBdr>
                <w:top w:val="none" w:sz="0" w:space="0" w:color="auto"/>
                <w:left w:val="none" w:sz="0" w:space="0" w:color="auto"/>
                <w:bottom w:val="none" w:sz="0" w:space="0" w:color="auto"/>
                <w:right w:val="none" w:sz="0" w:space="0" w:color="auto"/>
              </w:divBdr>
            </w:div>
            <w:div w:id="1628661282">
              <w:marLeft w:val="0"/>
              <w:marRight w:val="0"/>
              <w:marTop w:val="0"/>
              <w:marBottom w:val="0"/>
              <w:divBdr>
                <w:top w:val="none" w:sz="0" w:space="0" w:color="auto"/>
                <w:left w:val="none" w:sz="0" w:space="0" w:color="auto"/>
                <w:bottom w:val="none" w:sz="0" w:space="0" w:color="auto"/>
                <w:right w:val="none" w:sz="0" w:space="0" w:color="auto"/>
              </w:divBdr>
            </w:div>
            <w:div w:id="1744839855">
              <w:marLeft w:val="0"/>
              <w:marRight w:val="0"/>
              <w:marTop w:val="0"/>
              <w:marBottom w:val="0"/>
              <w:divBdr>
                <w:top w:val="none" w:sz="0" w:space="0" w:color="auto"/>
                <w:left w:val="none" w:sz="0" w:space="0" w:color="auto"/>
                <w:bottom w:val="none" w:sz="0" w:space="0" w:color="auto"/>
                <w:right w:val="none" w:sz="0" w:space="0" w:color="auto"/>
              </w:divBdr>
            </w:div>
            <w:div w:id="1906986169">
              <w:marLeft w:val="0"/>
              <w:marRight w:val="0"/>
              <w:marTop w:val="0"/>
              <w:marBottom w:val="0"/>
              <w:divBdr>
                <w:top w:val="none" w:sz="0" w:space="0" w:color="auto"/>
                <w:left w:val="none" w:sz="0" w:space="0" w:color="auto"/>
                <w:bottom w:val="none" w:sz="0" w:space="0" w:color="auto"/>
                <w:right w:val="none" w:sz="0" w:space="0" w:color="auto"/>
              </w:divBdr>
            </w:div>
            <w:div w:id="1933276088">
              <w:marLeft w:val="0"/>
              <w:marRight w:val="0"/>
              <w:marTop w:val="0"/>
              <w:marBottom w:val="0"/>
              <w:divBdr>
                <w:top w:val="none" w:sz="0" w:space="0" w:color="auto"/>
                <w:left w:val="none" w:sz="0" w:space="0" w:color="auto"/>
                <w:bottom w:val="none" w:sz="0" w:space="0" w:color="auto"/>
                <w:right w:val="none" w:sz="0" w:space="0" w:color="auto"/>
              </w:divBdr>
            </w:div>
            <w:div w:id="1949266021">
              <w:marLeft w:val="0"/>
              <w:marRight w:val="0"/>
              <w:marTop w:val="0"/>
              <w:marBottom w:val="0"/>
              <w:divBdr>
                <w:top w:val="none" w:sz="0" w:space="0" w:color="auto"/>
                <w:left w:val="none" w:sz="0" w:space="0" w:color="auto"/>
                <w:bottom w:val="none" w:sz="0" w:space="0" w:color="auto"/>
                <w:right w:val="none" w:sz="0" w:space="0" w:color="auto"/>
              </w:divBdr>
            </w:div>
          </w:divsChild>
        </w:div>
        <w:div w:id="832992529">
          <w:marLeft w:val="0"/>
          <w:marRight w:val="0"/>
          <w:marTop w:val="0"/>
          <w:marBottom w:val="0"/>
          <w:divBdr>
            <w:top w:val="none" w:sz="0" w:space="0" w:color="auto"/>
            <w:left w:val="none" w:sz="0" w:space="0" w:color="auto"/>
            <w:bottom w:val="none" w:sz="0" w:space="0" w:color="auto"/>
            <w:right w:val="none" w:sz="0" w:space="0" w:color="auto"/>
          </w:divBdr>
          <w:divsChild>
            <w:div w:id="84032654">
              <w:marLeft w:val="0"/>
              <w:marRight w:val="0"/>
              <w:marTop w:val="0"/>
              <w:marBottom w:val="0"/>
              <w:divBdr>
                <w:top w:val="none" w:sz="0" w:space="0" w:color="auto"/>
                <w:left w:val="none" w:sz="0" w:space="0" w:color="auto"/>
                <w:bottom w:val="none" w:sz="0" w:space="0" w:color="auto"/>
                <w:right w:val="none" w:sz="0" w:space="0" w:color="auto"/>
              </w:divBdr>
            </w:div>
            <w:div w:id="278800478">
              <w:marLeft w:val="0"/>
              <w:marRight w:val="0"/>
              <w:marTop w:val="0"/>
              <w:marBottom w:val="0"/>
              <w:divBdr>
                <w:top w:val="none" w:sz="0" w:space="0" w:color="auto"/>
                <w:left w:val="none" w:sz="0" w:space="0" w:color="auto"/>
                <w:bottom w:val="none" w:sz="0" w:space="0" w:color="auto"/>
                <w:right w:val="none" w:sz="0" w:space="0" w:color="auto"/>
              </w:divBdr>
            </w:div>
            <w:div w:id="317878464">
              <w:marLeft w:val="0"/>
              <w:marRight w:val="0"/>
              <w:marTop w:val="0"/>
              <w:marBottom w:val="0"/>
              <w:divBdr>
                <w:top w:val="none" w:sz="0" w:space="0" w:color="auto"/>
                <w:left w:val="none" w:sz="0" w:space="0" w:color="auto"/>
                <w:bottom w:val="none" w:sz="0" w:space="0" w:color="auto"/>
                <w:right w:val="none" w:sz="0" w:space="0" w:color="auto"/>
              </w:divBdr>
            </w:div>
            <w:div w:id="387193212">
              <w:marLeft w:val="0"/>
              <w:marRight w:val="0"/>
              <w:marTop w:val="0"/>
              <w:marBottom w:val="0"/>
              <w:divBdr>
                <w:top w:val="none" w:sz="0" w:space="0" w:color="auto"/>
                <w:left w:val="none" w:sz="0" w:space="0" w:color="auto"/>
                <w:bottom w:val="none" w:sz="0" w:space="0" w:color="auto"/>
                <w:right w:val="none" w:sz="0" w:space="0" w:color="auto"/>
              </w:divBdr>
            </w:div>
            <w:div w:id="637761615">
              <w:marLeft w:val="0"/>
              <w:marRight w:val="0"/>
              <w:marTop w:val="0"/>
              <w:marBottom w:val="0"/>
              <w:divBdr>
                <w:top w:val="none" w:sz="0" w:space="0" w:color="auto"/>
                <w:left w:val="none" w:sz="0" w:space="0" w:color="auto"/>
                <w:bottom w:val="none" w:sz="0" w:space="0" w:color="auto"/>
                <w:right w:val="none" w:sz="0" w:space="0" w:color="auto"/>
              </w:divBdr>
            </w:div>
            <w:div w:id="797383473">
              <w:marLeft w:val="0"/>
              <w:marRight w:val="0"/>
              <w:marTop w:val="0"/>
              <w:marBottom w:val="0"/>
              <w:divBdr>
                <w:top w:val="none" w:sz="0" w:space="0" w:color="auto"/>
                <w:left w:val="none" w:sz="0" w:space="0" w:color="auto"/>
                <w:bottom w:val="none" w:sz="0" w:space="0" w:color="auto"/>
                <w:right w:val="none" w:sz="0" w:space="0" w:color="auto"/>
              </w:divBdr>
            </w:div>
            <w:div w:id="844397662">
              <w:marLeft w:val="0"/>
              <w:marRight w:val="0"/>
              <w:marTop w:val="0"/>
              <w:marBottom w:val="0"/>
              <w:divBdr>
                <w:top w:val="none" w:sz="0" w:space="0" w:color="auto"/>
                <w:left w:val="none" w:sz="0" w:space="0" w:color="auto"/>
                <w:bottom w:val="none" w:sz="0" w:space="0" w:color="auto"/>
                <w:right w:val="none" w:sz="0" w:space="0" w:color="auto"/>
              </w:divBdr>
            </w:div>
            <w:div w:id="877011099">
              <w:marLeft w:val="0"/>
              <w:marRight w:val="0"/>
              <w:marTop w:val="0"/>
              <w:marBottom w:val="0"/>
              <w:divBdr>
                <w:top w:val="none" w:sz="0" w:space="0" w:color="auto"/>
                <w:left w:val="none" w:sz="0" w:space="0" w:color="auto"/>
                <w:bottom w:val="none" w:sz="0" w:space="0" w:color="auto"/>
                <w:right w:val="none" w:sz="0" w:space="0" w:color="auto"/>
              </w:divBdr>
            </w:div>
            <w:div w:id="1155877068">
              <w:marLeft w:val="0"/>
              <w:marRight w:val="0"/>
              <w:marTop w:val="0"/>
              <w:marBottom w:val="0"/>
              <w:divBdr>
                <w:top w:val="none" w:sz="0" w:space="0" w:color="auto"/>
                <w:left w:val="none" w:sz="0" w:space="0" w:color="auto"/>
                <w:bottom w:val="none" w:sz="0" w:space="0" w:color="auto"/>
                <w:right w:val="none" w:sz="0" w:space="0" w:color="auto"/>
              </w:divBdr>
            </w:div>
            <w:div w:id="1191996296">
              <w:marLeft w:val="0"/>
              <w:marRight w:val="0"/>
              <w:marTop w:val="0"/>
              <w:marBottom w:val="0"/>
              <w:divBdr>
                <w:top w:val="none" w:sz="0" w:space="0" w:color="auto"/>
                <w:left w:val="none" w:sz="0" w:space="0" w:color="auto"/>
                <w:bottom w:val="none" w:sz="0" w:space="0" w:color="auto"/>
                <w:right w:val="none" w:sz="0" w:space="0" w:color="auto"/>
              </w:divBdr>
            </w:div>
            <w:div w:id="1308559151">
              <w:marLeft w:val="0"/>
              <w:marRight w:val="0"/>
              <w:marTop w:val="0"/>
              <w:marBottom w:val="0"/>
              <w:divBdr>
                <w:top w:val="none" w:sz="0" w:space="0" w:color="auto"/>
                <w:left w:val="none" w:sz="0" w:space="0" w:color="auto"/>
                <w:bottom w:val="none" w:sz="0" w:space="0" w:color="auto"/>
                <w:right w:val="none" w:sz="0" w:space="0" w:color="auto"/>
              </w:divBdr>
            </w:div>
            <w:div w:id="1407193793">
              <w:marLeft w:val="0"/>
              <w:marRight w:val="0"/>
              <w:marTop w:val="0"/>
              <w:marBottom w:val="0"/>
              <w:divBdr>
                <w:top w:val="none" w:sz="0" w:space="0" w:color="auto"/>
                <w:left w:val="none" w:sz="0" w:space="0" w:color="auto"/>
                <w:bottom w:val="none" w:sz="0" w:space="0" w:color="auto"/>
                <w:right w:val="none" w:sz="0" w:space="0" w:color="auto"/>
              </w:divBdr>
            </w:div>
            <w:div w:id="1409231312">
              <w:marLeft w:val="0"/>
              <w:marRight w:val="0"/>
              <w:marTop w:val="0"/>
              <w:marBottom w:val="0"/>
              <w:divBdr>
                <w:top w:val="none" w:sz="0" w:space="0" w:color="auto"/>
                <w:left w:val="none" w:sz="0" w:space="0" w:color="auto"/>
                <w:bottom w:val="none" w:sz="0" w:space="0" w:color="auto"/>
                <w:right w:val="none" w:sz="0" w:space="0" w:color="auto"/>
              </w:divBdr>
            </w:div>
            <w:div w:id="1446271854">
              <w:marLeft w:val="0"/>
              <w:marRight w:val="0"/>
              <w:marTop w:val="0"/>
              <w:marBottom w:val="0"/>
              <w:divBdr>
                <w:top w:val="none" w:sz="0" w:space="0" w:color="auto"/>
                <w:left w:val="none" w:sz="0" w:space="0" w:color="auto"/>
                <w:bottom w:val="none" w:sz="0" w:space="0" w:color="auto"/>
                <w:right w:val="none" w:sz="0" w:space="0" w:color="auto"/>
              </w:divBdr>
            </w:div>
            <w:div w:id="1552502041">
              <w:marLeft w:val="0"/>
              <w:marRight w:val="0"/>
              <w:marTop w:val="0"/>
              <w:marBottom w:val="0"/>
              <w:divBdr>
                <w:top w:val="none" w:sz="0" w:space="0" w:color="auto"/>
                <w:left w:val="none" w:sz="0" w:space="0" w:color="auto"/>
                <w:bottom w:val="none" w:sz="0" w:space="0" w:color="auto"/>
                <w:right w:val="none" w:sz="0" w:space="0" w:color="auto"/>
              </w:divBdr>
            </w:div>
            <w:div w:id="1594969976">
              <w:marLeft w:val="0"/>
              <w:marRight w:val="0"/>
              <w:marTop w:val="0"/>
              <w:marBottom w:val="0"/>
              <w:divBdr>
                <w:top w:val="none" w:sz="0" w:space="0" w:color="auto"/>
                <w:left w:val="none" w:sz="0" w:space="0" w:color="auto"/>
                <w:bottom w:val="none" w:sz="0" w:space="0" w:color="auto"/>
                <w:right w:val="none" w:sz="0" w:space="0" w:color="auto"/>
              </w:divBdr>
            </w:div>
            <w:div w:id="1602370155">
              <w:marLeft w:val="0"/>
              <w:marRight w:val="0"/>
              <w:marTop w:val="0"/>
              <w:marBottom w:val="0"/>
              <w:divBdr>
                <w:top w:val="none" w:sz="0" w:space="0" w:color="auto"/>
                <w:left w:val="none" w:sz="0" w:space="0" w:color="auto"/>
                <w:bottom w:val="none" w:sz="0" w:space="0" w:color="auto"/>
                <w:right w:val="none" w:sz="0" w:space="0" w:color="auto"/>
              </w:divBdr>
            </w:div>
            <w:div w:id="1688797666">
              <w:marLeft w:val="0"/>
              <w:marRight w:val="0"/>
              <w:marTop w:val="0"/>
              <w:marBottom w:val="0"/>
              <w:divBdr>
                <w:top w:val="none" w:sz="0" w:space="0" w:color="auto"/>
                <w:left w:val="none" w:sz="0" w:space="0" w:color="auto"/>
                <w:bottom w:val="none" w:sz="0" w:space="0" w:color="auto"/>
                <w:right w:val="none" w:sz="0" w:space="0" w:color="auto"/>
              </w:divBdr>
            </w:div>
            <w:div w:id="1843201698">
              <w:marLeft w:val="0"/>
              <w:marRight w:val="0"/>
              <w:marTop w:val="0"/>
              <w:marBottom w:val="0"/>
              <w:divBdr>
                <w:top w:val="none" w:sz="0" w:space="0" w:color="auto"/>
                <w:left w:val="none" w:sz="0" w:space="0" w:color="auto"/>
                <w:bottom w:val="none" w:sz="0" w:space="0" w:color="auto"/>
                <w:right w:val="none" w:sz="0" w:space="0" w:color="auto"/>
              </w:divBdr>
            </w:div>
            <w:div w:id="1912306692">
              <w:marLeft w:val="0"/>
              <w:marRight w:val="0"/>
              <w:marTop w:val="0"/>
              <w:marBottom w:val="0"/>
              <w:divBdr>
                <w:top w:val="none" w:sz="0" w:space="0" w:color="auto"/>
                <w:left w:val="none" w:sz="0" w:space="0" w:color="auto"/>
                <w:bottom w:val="none" w:sz="0" w:space="0" w:color="auto"/>
                <w:right w:val="none" w:sz="0" w:space="0" w:color="auto"/>
              </w:divBdr>
            </w:div>
            <w:div w:id="2099986611">
              <w:marLeft w:val="0"/>
              <w:marRight w:val="0"/>
              <w:marTop w:val="0"/>
              <w:marBottom w:val="0"/>
              <w:divBdr>
                <w:top w:val="none" w:sz="0" w:space="0" w:color="auto"/>
                <w:left w:val="none" w:sz="0" w:space="0" w:color="auto"/>
                <w:bottom w:val="none" w:sz="0" w:space="0" w:color="auto"/>
                <w:right w:val="none" w:sz="0" w:space="0" w:color="auto"/>
              </w:divBdr>
            </w:div>
            <w:div w:id="2146459982">
              <w:marLeft w:val="0"/>
              <w:marRight w:val="0"/>
              <w:marTop w:val="0"/>
              <w:marBottom w:val="0"/>
              <w:divBdr>
                <w:top w:val="none" w:sz="0" w:space="0" w:color="auto"/>
                <w:left w:val="none" w:sz="0" w:space="0" w:color="auto"/>
                <w:bottom w:val="none" w:sz="0" w:space="0" w:color="auto"/>
                <w:right w:val="none" w:sz="0" w:space="0" w:color="auto"/>
              </w:divBdr>
            </w:div>
          </w:divsChild>
        </w:div>
        <w:div w:id="850686969">
          <w:marLeft w:val="0"/>
          <w:marRight w:val="0"/>
          <w:marTop w:val="0"/>
          <w:marBottom w:val="0"/>
          <w:divBdr>
            <w:top w:val="none" w:sz="0" w:space="0" w:color="auto"/>
            <w:left w:val="none" w:sz="0" w:space="0" w:color="auto"/>
            <w:bottom w:val="none" w:sz="0" w:space="0" w:color="auto"/>
            <w:right w:val="none" w:sz="0" w:space="0" w:color="auto"/>
          </w:divBdr>
          <w:divsChild>
            <w:div w:id="39743776">
              <w:marLeft w:val="0"/>
              <w:marRight w:val="0"/>
              <w:marTop w:val="0"/>
              <w:marBottom w:val="0"/>
              <w:divBdr>
                <w:top w:val="none" w:sz="0" w:space="0" w:color="auto"/>
                <w:left w:val="none" w:sz="0" w:space="0" w:color="auto"/>
                <w:bottom w:val="none" w:sz="0" w:space="0" w:color="auto"/>
                <w:right w:val="none" w:sz="0" w:space="0" w:color="auto"/>
              </w:divBdr>
            </w:div>
            <w:div w:id="74667344">
              <w:marLeft w:val="0"/>
              <w:marRight w:val="0"/>
              <w:marTop w:val="0"/>
              <w:marBottom w:val="0"/>
              <w:divBdr>
                <w:top w:val="none" w:sz="0" w:space="0" w:color="auto"/>
                <w:left w:val="none" w:sz="0" w:space="0" w:color="auto"/>
                <w:bottom w:val="none" w:sz="0" w:space="0" w:color="auto"/>
                <w:right w:val="none" w:sz="0" w:space="0" w:color="auto"/>
              </w:divBdr>
            </w:div>
            <w:div w:id="96491602">
              <w:marLeft w:val="0"/>
              <w:marRight w:val="0"/>
              <w:marTop w:val="0"/>
              <w:marBottom w:val="0"/>
              <w:divBdr>
                <w:top w:val="none" w:sz="0" w:space="0" w:color="auto"/>
                <w:left w:val="none" w:sz="0" w:space="0" w:color="auto"/>
                <w:bottom w:val="none" w:sz="0" w:space="0" w:color="auto"/>
                <w:right w:val="none" w:sz="0" w:space="0" w:color="auto"/>
              </w:divBdr>
            </w:div>
            <w:div w:id="257836882">
              <w:marLeft w:val="0"/>
              <w:marRight w:val="0"/>
              <w:marTop w:val="0"/>
              <w:marBottom w:val="0"/>
              <w:divBdr>
                <w:top w:val="none" w:sz="0" w:space="0" w:color="auto"/>
                <w:left w:val="none" w:sz="0" w:space="0" w:color="auto"/>
                <w:bottom w:val="none" w:sz="0" w:space="0" w:color="auto"/>
                <w:right w:val="none" w:sz="0" w:space="0" w:color="auto"/>
              </w:divBdr>
            </w:div>
            <w:div w:id="289436945">
              <w:marLeft w:val="0"/>
              <w:marRight w:val="0"/>
              <w:marTop w:val="0"/>
              <w:marBottom w:val="0"/>
              <w:divBdr>
                <w:top w:val="none" w:sz="0" w:space="0" w:color="auto"/>
                <w:left w:val="none" w:sz="0" w:space="0" w:color="auto"/>
                <w:bottom w:val="none" w:sz="0" w:space="0" w:color="auto"/>
                <w:right w:val="none" w:sz="0" w:space="0" w:color="auto"/>
              </w:divBdr>
            </w:div>
            <w:div w:id="319428588">
              <w:marLeft w:val="0"/>
              <w:marRight w:val="0"/>
              <w:marTop w:val="0"/>
              <w:marBottom w:val="0"/>
              <w:divBdr>
                <w:top w:val="none" w:sz="0" w:space="0" w:color="auto"/>
                <w:left w:val="none" w:sz="0" w:space="0" w:color="auto"/>
                <w:bottom w:val="none" w:sz="0" w:space="0" w:color="auto"/>
                <w:right w:val="none" w:sz="0" w:space="0" w:color="auto"/>
              </w:divBdr>
            </w:div>
            <w:div w:id="324475307">
              <w:marLeft w:val="0"/>
              <w:marRight w:val="0"/>
              <w:marTop w:val="0"/>
              <w:marBottom w:val="0"/>
              <w:divBdr>
                <w:top w:val="none" w:sz="0" w:space="0" w:color="auto"/>
                <w:left w:val="none" w:sz="0" w:space="0" w:color="auto"/>
                <w:bottom w:val="none" w:sz="0" w:space="0" w:color="auto"/>
                <w:right w:val="none" w:sz="0" w:space="0" w:color="auto"/>
              </w:divBdr>
            </w:div>
            <w:div w:id="366876305">
              <w:marLeft w:val="0"/>
              <w:marRight w:val="0"/>
              <w:marTop w:val="0"/>
              <w:marBottom w:val="0"/>
              <w:divBdr>
                <w:top w:val="none" w:sz="0" w:space="0" w:color="auto"/>
                <w:left w:val="none" w:sz="0" w:space="0" w:color="auto"/>
                <w:bottom w:val="none" w:sz="0" w:space="0" w:color="auto"/>
                <w:right w:val="none" w:sz="0" w:space="0" w:color="auto"/>
              </w:divBdr>
            </w:div>
            <w:div w:id="540433927">
              <w:marLeft w:val="0"/>
              <w:marRight w:val="0"/>
              <w:marTop w:val="0"/>
              <w:marBottom w:val="0"/>
              <w:divBdr>
                <w:top w:val="none" w:sz="0" w:space="0" w:color="auto"/>
                <w:left w:val="none" w:sz="0" w:space="0" w:color="auto"/>
                <w:bottom w:val="none" w:sz="0" w:space="0" w:color="auto"/>
                <w:right w:val="none" w:sz="0" w:space="0" w:color="auto"/>
              </w:divBdr>
            </w:div>
            <w:div w:id="595139121">
              <w:marLeft w:val="0"/>
              <w:marRight w:val="0"/>
              <w:marTop w:val="0"/>
              <w:marBottom w:val="0"/>
              <w:divBdr>
                <w:top w:val="none" w:sz="0" w:space="0" w:color="auto"/>
                <w:left w:val="none" w:sz="0" w:space="0" w:color="auto"/>
                <w:bottom w:val="none" w:sz="0" w:space="0" w:color="auto"/>
                <w:right w:val="none" w:sz="0" w:space="0" w:color="auto"/>
              </w:divBdr>
            </w:div>
            <w:div w:id="632293055">
              <w:marLeft w:val="0"/>
              <w:marRight w:val="0"/>
              <w:marTop w:val="0"/>
              <w:marBottom w:val="0"/>
              <w:divBdr>
                <w:top w:val="none" w:sz="0" w:space="0" w:color="auto"/>
                <w:left w:val="none" w:sz="0" w:space="0" w:color="auto"/>
                <w:bottom w:val="none" w:sz="0" w:space="0" w:color="auto"/>
                <w:right w:val="none" w:sz="0" w:space="0" w:color="auto"/>
              </w:divBdr>
            </w:div>
            <w:div w:id="747459807">
              <w:marLeft w:val="0"/>
              <w:marRight w:val="0"/>
              <w:marTop w:val="0"/>
              <w:marBottom w:val="0"/>
              <w:divBdr>
                <w:top w:val="none" w:sz="0" w:space="0" w:color="auto"/>
                <w:left w:val="none" w:sz="0" w:space="0" w:color="auto"/>
                <w:bottom w:val="none" w:sz="0" w:space="0" w:color="auto"/>
                <w:right w:val="none" w:sz="0" w:space="0" w:color="auto"/>
              </w:divBdr>
            </w:div>
            <w:div w:id="800996840">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951549230">
              <w:marLeft w:val="0"/>
              <w:marRight w:val="0"/>
              <w:marTop w:val="0"/>
              <w:marBottom w:val="0"/>
              <w:divBdr>
                <w:top w:val="none" w:sz="0" w:space="0" w:color="auto"/>
                <w:left w:val="none" w:sz="0" w:space="0" w:color="auto"/>
                <w:bottom w:val="none" w:sz="0" w:space="0" w:color="auto"/>
                <w:right w:val="none" w:sz="0" w:space="0" w:color="auto"/>
              </w:divBdr>
            </w:div>
            <w:div w:id="971669297">
              <w:marLeft w:val="0"/>
              <w:marRight w:val="0"/>
              <w:marTop w:val="0"/>
              <w:marBottom w:val="0"/>
              <w:divBdr>
                <w:top w:val="none" w:sz="0" w:space="0" w:color="auto"/>
                <w:left w:val="none" w:sz="0" w:space="0" w:color="auto"/>
                <w:bottom w:val="none" w:sz="0" w:space="0" w:color="auto"/>
                <w:right w:val="none" w:sz="0" w:space="0" w:color="auto"/>
              </w:divBdr>
            </w:div>
            <w:div w:id="1026714885">
              <w:marLeft w:val="0"/>
              <w:marRight w:val="0"/>
              <w:marTop w:val="0"/>
              <w:marBottom w:val="0"/>
              <w:divBdr>
                <w:top w:val="none" w:sz="0" w:space="0" w:color="auto"/>
                <w:left w:val="none" w:sz="0" w:space="0" w:color="auto"/>
                <w:bottom w:val="none" w:sz="0" w:space="0" w:color="auto"/>
                <w:right w:val="none" w:sz="0" w:space="0" w:color="auto"/>
              </w:divBdr>
            </w:div>
            <w:div w:id="1084568106">
              <w:marLeft w:val="0"/>
              <w:marRight w:val="0"/>
              <w:marTop w:val="0"/>
              <w:marBottom w:val="0"/>
              <w:divBdr>
                <w:top w:val="none" w:sz="0" w:space="0" w:color="auto"/>
                <w:left w:val="none" w:sz="0" w:space="0" w:color="auto"/>
                <w:bottom w:val="none" w:sz="0" w:space="0" w:color="auto"/>
                <w:right w:val="none" w:sz="0" w:space="0" w:color="auto"/>
              </w:divBdr>
            </w:div>
            <w:div w:id="1165322929">
              <w:marLeft w:val="0"/>
              <w:marRight w:val="0"/>
              <w:marTop w:val="0"/>
              <w:marBottom w:val="0"/>
              <w:divBdr>
                <w:top w:val="none" w:sz="0" w:space="0" w:color="auto"/>
                <w:left w:val="none" w:sz="0" w:space="0" w:color="auto"/>
                <w:bottom w:val="none" w:sz="0" w:space="0" w:color="auto"/>
                <w:right w:val="none" w:sz="0" w:space="0" w:color="auto"/>
              </w:divBdr>
            </w:div>
            <w:div w:id="1273514049">
              <w:marLeft w:val="0"/>
              <w:marRight w:val="0"/>
              <w:marTop w:val="0"/>
              <w:marBottom w:val="0"/>
              <w:divBdr>
                <w:top w:val="none" w:sz="0" w:space="0" w:color="auto"/>
                <w:left w:val="none" w:sz="0" w:space="0" w:color="auto"/>
                <w:bottom w:val="none" w:sz="0" w:space="0" w:color="auto"/>
                <w:right w:val="none" w:sz="0" w:space="0" w:color="auto"/>
              </w:divBdr>
            </w:div>
            <w:div w:id="1285312469">
              <w:marLeft w:val="0"/>
              <w:marRight w:val="0"/>
              <w:marTop w:val="0"/>
              <w:marBottom w:val="0"/>
              <w:divBdr>
                <w:top w:val="none" w:sz="0" w:space="0" w:color="auto"/>
                <w:left w:val="none" w:sz="0" w:space="0" w:color="auto"/>
                <w:bottom w:val="none" w:sz="0" w:space="0" w:color="auto"/>
                <w:right w:val="none" w:sz="0" w:space="0" w:color="auto"/>
              </w:divBdr>
            </w:div>
            <w:div w:id="1413817404">
              <w:marLeft w:val="0"/>
              <w:marRight w:val="0"/>
              <w:marTop w:val="0"/>
              <w:marBottom w:val="0"/>
              <w:divBdr>
                <w:top w:val="none" w:sz="0" w:space="0" w:color="auto"/>
                <w:left w:val="none" w:sz="0" w:space="0" w:color="auto"/>
                <w:bottom w:val="none" w:sz="0" w:space="0" w:color="auto"/>
                <w:right w:val="none" w:sz="0" w:space="0" w:color="auto"/>
              </w:divBdr>
            </w:div>
            <w:div w:id="1489442180">
              <w:marLeft w:val="0"/>
              <w:marRight w:val="0"/>
              <w:marTop w:val="0"/>
              <w:marBottom w:val="0"/>
              <w:divBdr>
                <w:top w:val="none" w:sz="0" w:space="0" w:color="auto"/>
                <w:left w:val="none" w:sz="0" w:space="0" w:color="auto"/>
                <w:bottom w:val="none" w:sz="0" w:space="0" w:color="auto"/>
                <w:right w:val="none" w:sz="0" w:space="0" w:color="auto"/>
              </w:divBdr>
            </w:div>
            <w:div w:id="1521318359">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
          </w:divsChild>
        </w:div>
        <w:div w:id="946502400">
          <w:marLeft w:val="0"/>
          <w:marRight w:val="0"/>
          <w:marTop w:val="0"/>
          <w:marBottom w:val="0"/>
          <w:divBdr>
            <w:top w:val="none" w:sz="0" w:space="0" w:color="auto"/>
            <w:left w:val="none" w:sz="0" w:space="0" w:color="auto"/>
            <w:bottom w:val="none" w:sz="0" w:space="0" w:color="auto"/>
            <w:right w:val="none" w:sz="0" w:space="0" w:color="auto"/>
          </w:divBdr>
          <w:divsChild>
            <w:div w:id="70517041">
              <w:marLeft w:val="0"/>
              <w:marRight w:val="0"/>
              <w:marTop w:val="0"/>
              <w:marBottom w:val="0"/>
              <w:divBdr>
                <w:top w:val="none" w:sz="0" w:space="0" w:color="auto"/>
                <w:left w:val="none" w:sz="0" w:space="0" w:color="auto"/>
                <w:bottom w:val="none" w:sz="0" w:space="0" w:color="auto"/>
                <w:right w:val="none" w:sz="0" w:space="0" w:color="auto"/>
              </w:divBdr>
            </w:div>
            <w:div w:id="117263245">
              <w:marLeft w:val="0"/>
              <w:marRight w:val="0"/>
              <w:marTop w:val="0"/>
              <w:marBottom w:val="0"/>
              <w:divBdr>
                <w:top w:val="none" w:sz="0" w:space="0" w:color="auto"/>
                <w:left w:val="none" w:sz="0" w:space="0" w:color="auto"/>
                <w:bottom w:val="none" w:sz="0" w:space="0" w:color="auto"/>
                <w:right w:val="none" w:sz="0" w:space="0" w:color="auto"/>
              </w:divBdr>
            </w:div>
            <w:div w:id="399259036">
              <w:marLeft w:val="0"/>
              <w:marRight w:val="0"/>
              <w:marTop w:val="0"/>
              <w:marBottom w:val="0"/>
              <w:divBdr>
                <w:top w:val="none" w:sz="0" w:space="0" w:color="auto"/>
                <w:left w:val="none" w:sz="0" w:space="0" w:color="auto"/>
                <w:bottom w:val="none" w:sz="0" w:space="0" w:color="auto"/>
                <w:right w:val="none" w:sz="0" w:space="0" w:color="auto"/>
              </w:divBdr>
            </w:div>
            <w:div w:id="964238964">
              <w:marLeft w:val="0"/>
              <w:marRight w:val="0"/>
              <w:marTop w:val="0"/>
              <w:marBottom w:val="0"/>
              <w:divBdr>
                <w:top w:val="none" w:sz="0" w:space="0" w:color="auto"/>
                <w:left w:val="none" w:sz="0" w:space="0" w:color="auto"/>
                <w:bottom w:val="none" w:sz="0" w:space="0" w:color="auto"/>
                <w:right w:val="none" w:sz="0" w:space="0" w:color="auto"/>
              </w:divBdr>
            </w:div>
            <w:div w:id="1082675560">
              <w:marLeft w:val="0"/>
              <w:marRight w:val="0"/>
              <w:marTop w:val="0"/>
              <w:marBottom w:val="0"/>
              <w:divBdr>
                <w:top w:val="none" w:sz="0" w:space="0" w:color="auto"/>
                <w:left w:val="none" w:sz="0" w:space="0" w:color="auto"/>
                <w:bottom w:val="none" w:sz="0" w:space="0" w:color="auto"/>
                <w:right w:val="none" w:sz="0" w:space="0" w:color="auto"/>
              </w:divBdr>
            </w:div>
            <w:div w:id="1290162132">
              <w:marLeft w:val="0"/>
              <w:marRight w:val="0"/>
              <w:marTop w:val="0"/>
              <w:marBottom w:val="0"/>
              <w:divBdr>
                <w:top w:val="none" w:sz="0" w:space="0" w:color="auto"/>
                <w:left w:val="none" w:sz="0" w:space="0" w:color="auto"/>
                <w:bottom w:val="none" w:sz="0" w:space="0" w:color="auto"/>
                <w:right w:val="none" w:sz="0" w:space="0" w:color="auto"/>
              </w:divBdr>
            </w:div>
            <w:div w:id="1974865448">
              <w:marLeft w:val="0"/>
              <w:marRight w:val="0"/>
              <w:marTop w:val="0"/>
              <w:marBottom w:val="0"/>
              <w:divBdr>
                <w:top w:val="none" w:sz="0" w:space="0" w:color="auto"/>
                <w:left w:val="none" w:sz="0" w:space="0" w:color="auto"/>
                <w:bottom w:val="none" w:sz="0" w:space="0" w:color="auto"/>
                <w:right w:val="none" w:sz="0" w:space="0" w:color="auto"/>
              </w:divBdr>
            </w:div>
          </w:divsChild>
        </w:div>
        <w:div w:id="976955429">
          <w:marLeft w:val="0"/>
          <w:marRight w:val="0"/>
          <w:marTop w:val="0"/>
          <w:marBottom w:val="0"/>
          <w:divBdr>
            <w:top w:val="none" w:sz="0" w:space="0" w:color="auto"/>
            <w:left w:val="none" w:sz="0" w:space="0" w:color="auto"/>
            <w:bottom w:val="none" w:sz="0" w:space="0" w:color="auto"/>
            <w:right w:val="none" w:sz="0" w:space="0" w:color="auto"/>
          </w:divBdr>
          <w:divsChild>
            <w:div w:id="425031826">
              <w:marLeft w:val="0"/>
              <w:marRight w:val="0"/>
              <w:marTop w:val="0"/>
              <w:marBottom w:val="0"/>
              <w:divBdr>
                <w:top w:val="none" w:sz="0" w:space="0" w:color="auto"/>
                <w:left w:val="none" w:sz="0" w:space="0" w:color="auto"/>
                <w:bottom w:val="none" w:sz="0" w:space="0" w:color="auto"/>
                <w:right w:val="none" w:sz="0" w:space="0" w:color="auto"/>
              </w:divBdr>
            </w:div>
            <w:div w:id="586620259">
              <w:marLeft w:val="0"/>
              <w:marRight w:val="0"/>
              <w:marTop w:val="0"/>
              <w:marBottom w:val="0"/>
              <w:divBdr>
                <w:top w:val="none" w:sz="0" w:space="0" w:color="auto"/>
                <w:left w:val="none" w:sz="0" w:space="0" w:color="auto"/>
                <w:bottom w:val="none" w:sz="0" w:space="0" w:color="auto"/>
                <w:right w:val="none" w:sz="0" w:space="0" w:color="auto"/>
              </w:divBdr>
            </w:div>
            <w:div w:id="725489220">
              <w:marLeft w:val="0"/>
              <w:marRight w:val="0"/>
              <w:marTop w:val="0"/>
              <w:marBottom w:val="0"/>
              <w:divBdr>
                <w:top w:val="none" w:sz="0" w:space="0" w:color="auto"/>
                <w:left w:val="none" w:sz="0" w:space="0" w:color="auto"/>
                <w:bottom w:val="none" w:sz="0" w:space="0" w:color="auto"/>
                <w:right w:val="none" w:sz="0" w:space="0" w:color="auto"/>
              </w:divBdr>
            </w:div>
            <w:div w:id="746880411">
              <w:marLeft w:val="0"/>
              <w:marRight w:val="0"/>
              <w:marTop w:val="0"/>
              <w:marBottom w:val="0"/>
              <w:divBdr>
                <w:top w:val="none" w:sz="0" w:space="0" w:color="auto"/>
                <w:left w:val="none" w:sz="0" w:space="0" w:color="auto"/>
                <w:bottom w:val="none" w:sz="0" w:space="0" w:color="auto"/>
                <w:right w:val="none" w:sz="0" w:space="0" w:color="auto"/>
              </w:divBdr>
            </w:div>
            <w:div w:id="891118879">
              <w:marLeft w:val="0"/>
              <w:marRight w:val="0"/>
              <w:marTop w:val="0"/>
              <w:marBottom w:val="0"/>
              <w:divBdr>
                <w:top w:val="none" w:sz="0" w:space="0" w:color="auto"/>
                <w:left w:val="none" w:sz="0" w:space="0" w:color="auto"/>
                <w:bottom w:val="none" w:sz="0" w:space="0" w:color="auto"/>
                <w:right w:val="none" w:sz="0" w:space="0" w:color="auto"/>
              </w:divBdr>
            </w:div>
            <w:div w:id="1142969675">
              <w:marLeft w:val="0"/>
              <w:marRight w:val="0"/>
              <w:marTop w:val="0"/>
              <w:marBottom w:val="0"/>
              <w:divBdr>
                <w:top w:val="none" w:sz="0" w:space="0" w:color="auto"/>
                <w:left w:val="none" w:sz="0" w:space="0" w:color="auto"/>
                <w:bottom w:val="none" w:sz="0" w:space="0" w:color="auto"/>
                <w:right w:val="none" w:sz="0" w:space="0" w:color="auto"/>
              </w:divBdr>
            </w:div>
            <w:div w:id="1229073087">
              <w:marLeft w:val="0"/>
              <w:marRight w:val="0"/>
              <w:marTop w:val="0"/>
              <w:marBottom w:val="0"/>
              <w:divBdr>
                <w:top w:val="none" w:sz="0" w:space="0" w:color="auto"/>
                <w:left w:val="none" w:sz="0" w:space="0" w:color="auto"/>
                <w:bottom w:val="none" w:sz="0" w:space="0" w:color="auto"/>
                <w:right w:val="none" w:sz="0" w:space="0" w:color="auto"/>
              </w:divBdr>
            </w:div>
            <w:div w:id="1399477909">
              <w:marLeft w:val="0"/>
              <w:marRight w:val="0"/>
              <w:marTop w:val="0"/>
              <w:marBottom w:val="0"/>
              <w:divBdr>
                <w:top w:val="none" w:sz="0" w:space="0" w:color="auto"/>
                <w:left w:val="none" w:sz="0" w:space="0" w:color="auto"/>
                <w:bottom w:val="none" w:sz="0" w:space="0" w:color="auto"/>
                <w:right w:val="none" w:sz="0" w:space="0" w:color="auto"/>
              </w:divBdr>
            </w:div>
            <w:div w:id="1582985038">
              <w:marLeft w:val="0"/>
              <w:marRight w:val="0"/>
              <w:marTop w:val="0"/>
              <w:marBottom w:val="0"/>
              <w:divBdr>
                <w:top w:val="none" w:sz="0" w:space="0" w:color="auto"/>
                <w:left w:val="none" w:sz="0" w:space="0" w:color="auto"/>
                <w:bottom w:val="none" w:sz="0" w:space="0" w:color="auto"/>
                <w:right w:val="none" w:sz="0" w:space="0" w:color="auto"/>
              </w:divBdr>
            </w:div>
            <w:div w:id="2030597870">
              <w:marLeft w:val="0"/>
              <w:marRight w:val="0"/>
              <w:marTop w:val="0"/>
              <w:marBottom w:val="0"/>
              <w:divBdr>
                <w:top w:val="none" w:sz="0" w:space="0" w:color="auto"/>
                <w:left w:val="none" w:sz="0" w:space="0" w:color="auto"/>
                <w:bottom w:val="none" w:sz="0" w:space="0" w:color="auto"/>
                <w:right w:val="none" w:sz="0" w:space="0" w:color="auto"/>
              </w:divBdr>
            </w:div>
          </w:divsChild>
        </w:div>
        <w:div w:id="1017344475">
          <w:marLeft w:val="0"/>
          <w:marRight w:val="0"/>
          <w:marTop w:val="0"/>
          <w:marBottom w:val="0"/>
          <w:divBdr>
            <w:top w:val="none" w:sz="0" w:space="0" w:color="auto"/>
            <w:left w:val="none" w:sz="0" w:space="0" w:color="auto"/>
            <w:bottom w:val="none" w:sz="0" w:space="0" w:color="auto"/>
            <w:right w:val="none" w:sz="0" w:space="0" w:color="auto"/>
          </w:divBdr>
          <w:divsChild>
            <w:div w:id="1230270106">
              <w:marLeft w:val="-75"/>
              <w:marRight w:val="0"/>
              <w:marTop w:val="30"/>
              <w:marBottom w:val="30"/>
              <w:divBdr>
                <w:top w:val="none" w:sz="0" w:space="0" w:color="auto"/>
                <w:left w:val="none" w:sz="0" w:space="0" w:color="auto"/>
                <w:bottom w:val="none" w:sz="0" w:space="0" w:color="auto"/>
                <w:right w:val="none" w:sz="0" w:space="0" w:color="auto"/>
              </w:divBdr>
              <w:divsChild>
                <w:div w:id="39017460">
                  <w:marLeft w:val="0"/>
                  <w:marRight w:val="0"/>
                  <w:marTop w:val="0"/>
                  <w:marBottom w:val="0"/>
                  <w:divBdr>
                    <w:top w:val="none" w:sz="0" w:space="0" w:color="auto"/>
                    <w:left w:val="none" w:sz="0" w:space="0" w:color="auto"/>
                    <w:bottom w:val="none" w:sz="0" w:space="0" w:color="auto"/>
                    <w:right w:val="none" w:sz="0" w:space="0" w:color="auto"/>
                  </w:divBdr>
                  <w:divsChild>
                    <w:div w:id="2039116785">
                      <w:marLeft w:val="0"/>
                      <w:marRight w:val="0"/>
                      <w:marTop w:val="0"/>
                      <w:marBottom w:val="0"/>
                      <w:divBdr>
                        <w:top w:val="none" w:sz="0" w:space="0" w:color="auto"/>
                        <w:left w:val="none" w:sz="0" w:space="0" w:color="auto"/>
                        <w:bottom w:val="none" w:sz="0" w:space="0" w:color="auto"/>
                        <w:right w:val="none" w:sz="0" w:space="0" w:color="auto"/>
                      </w:divBdr>
                    </w:div>
                  </w:divsChild>
                </w:div>
                <w:div w:id="68961862">
                  <w:marLeft w:val="0"/>
                  <w:marRight w:val="0"/>
                  <w:marTop w:val="0"/>
                  <w:marBottom w:val="0"/>
                  <w:divBdr>
                    <w:top w:val="none" w:sz="0" w:space="0" w:color="auto"/>
                    <w:left w:val="none" w:sz="0" w:space="0" w:color="auto"/>
                    <w:bottom w:val="none" w:sz="0" w:space="0" w:color="auto"/>
                    <w:right w:val="none" w:sz="0" w:space="0" w:color="auto"/>
                  </w:divBdr>
                  <w:divsChild>
                    <w:div w:id="1191144028">
                      <w:marLeft w:val="0"/>
                      <w:marRight w:val="0"/>
                      <w:marTop w:val="0"/>
                      <w:marBottom w:val="0"/>
                      <w:divBdr>
                        <w:top w:val="none" w:sz="0" w:space="0" w:color="auto"/>
                        <w:left w:val="none" w:sz="0" w:space="0" w:color="auto"/>
                        <w:bottom w:val="none" w:sz="0" w:space="0" w:color="auto"/>
                        <w:right w:val="none" w:sz="0" w:space="0" w:color="auto"/>
                      </w:divBdr>
                    </w:div>
                  </w:divsChild>
                </w:div>
                <w:div w:id="118426765">
                  <w:marLeft w:val="0"/>
                  <w:marRight w:val="0"/>
                  <w:marTop w:val="0"/>
                  <w:marBottom w:val="0"/>
                  <w:divBdr>
                    <w:top w:val="none" w:sz="0" w:space="0" w:color="auto"/>
                    <w:left w:val="none" w:sz="0" w:space="0" w:color="auto"/>
                    <w:bottom w:val="none" w:sz="0" w:space="0" w:color="auto"/>
                    <w:right w:val="none" w:sz="0" w:space="0" w:color="auto"/>
                  </w:divBdr>
                  <w:divsChild>
                    <w:div w:id="1882205527">
                      <w:marLeft w:val="0"/>
                      <w:marRight w:val="0"/>
                      <w:marTop w:val="0"/>
                      <w:marBottom w:val="0"/>
                      <w:divBdr>
                        <w:top w:val="none" w:sz="0" w:space="0" w:color="auto"/>
                        <w:left w:val="none" w:sz="0" w:space="0" w:color="auto"/>
                        <w:bottom w:val="none" w:sz="0" w:space="0" w:color="auto"/>
                        <w:right w:val="none" w:sz="0" w:space="0" w:color="auto"/>
                      </w:divBdr>
                    </w:div>
                  </w:divsChild>
                </w:div>
                <w:div w:id="250314274">
                  <w:marLeft w:val="0"/>
                  <w:marRight w:val="0"/>
                  <w:marTop w:val="0"/>
                  <w:marBottom w:val="0"/>
                  <w:divBdr>
                    <w:top w:val="none" w:sz="0" w:space="0" w:color="auto"/>
                    <w:left w:val="none" w:sz="0" w:space="0" w:color="auto"/>
                    <w:bottom w:val="none" w:sz="0" w:space="0" w:color="auto"/>
                    <w:right w:val="none" w:sz="0" w:space="0" w:color="auto"/>
                  </w:divBdr>
                  <w:divsChild>
                    <w:div w:id="1830360536">
                      <w:marLeft w:val="0"/>
                      <w:marRight w:val="0"/>
                      <w:marTop w:val="0"/>
                      <w:marBottom w:val="0"/>
                      <w:divBdr>
                        <w:top w:val="none" w:sz="0" w:space="0" w:color="auto"/>
                        <w:left w:val="none" w:sz="0" w:space="0" w:color="auto"/>
                        <w:bottom w:val="none" w:sz="0" w:space="0" w:color="auto"/>
                        <w:right w:val="none" w:sz="0" w:space="0" w:color="auto"/>
                      </w:divBdr>
                    </w:div>
                  </w:divsChild>
                </w:div>
                <w:div w:id="390692626">
                  <w:marLeft w:val="0"/>
                  <w:marRight w:val="0"/>
                  <w:marTop w:val="0"/>
                  <w:marBottom w:val="0"/>
                  <w:divBdr>
                    <w:top w:val="none" w:sz="0" w:space="0" w:color="auto"/>
                    <w:left w:val="none" w:sz="0" w:space="0" w:color="auto"/>
                    <w:bottom w:val="none" w:sz="0" w:space="0" w:color="auto"/>
                    <w:right w:val="none" w:sz="0" w:space="0" w:color="auto"/>
                  </w:divBdr>
                  <w:divsChild>
                    <w:div w:id="762607845">
                      <w:marLeft w:val="0"/>
                      <w:marRight w:val="0"/>
                      <w:marTop w:val="0"/>
                      <w:marBottom w:val="0"/>
                      <w:divBdr>
                        <w:top w:val="none" w:sz="0" w:space="0" w:color="auto"/>
                        <w:left w:val="none" w:sz="0" w:space="0" w:color="auto"/>
                        <w:bottom w:val="none" w:sz="0" w:space="0" w:color="auto"/>
                        <w:right w:val="none" w:sz="0" w:space="0" w:color="auto"/>
                      </w:divBdr>
                    </w:div>
                  </w:divsChild>
                </w:div>
                <w:div w:id="536967373">
                  <w:marLeft w:val="0"/>
                  <w:marRight w:val="0"/>
                  <w:marTop w:val="0"/>
                  <w:marBottom w:val="0"/>
                  <w:divBdr>
                    <w:top w:val="none" w:sz="0" w:space="0" w:color="auto"/>
                    <w:left w:val="none" w:sz="0" w:space="0" w:color="auto"/>
                    <w:bottom w:val="none" w:sz="0" w:space="0" w:color="auto"/>
                    <w:right w:val="none" w:sz="0" w:space="0" w:color="auto"/>
                  </w:divBdr>
                  <w:divsChild>
                    <w:div w:id="852383824">
                      <w:marLeft w:val="0"/>
                      <w:marRight w:val="0"/>
                      <w:marTop w:val="0"/>
                      <w:marBottom w:val="0"/>
                      <w:divBdr>
                        <w:top w:val="none" w:sz="0" w:space="0" w:color="auto"/>
                        <w:left w:val="none" w:sz="0" w:space="0" w:color="auto"/>
                        <w:bottom w:val="none" w:sz="0" w:space="0" w:color="auto"/>
                        <w:right w:val="none" w:sz="0" w:space="0" w:color="auto"/>
                      </w:divBdr>
                    </w:div>
                  </w:divsChild>
                </w:div>
                <w:div w:id="541982948">
                  <w:marLeft w:val="0"/>
                  <w:marRight w:val="0"/>
                  <w:marTop w:val="0"/>
                  <w:marBottom w:val="0"/>
                  <w:divBdr>
                    <w:top w:val="none" w:sz="0" w:space="0" w:color="auto"/>
                    <w:left w:val="none" w:sz="0" w:space="0" w:color="auto"/>
                    <w:bottom w:val="none" w:sz="0" w:space="0" w:color="auto"/>
                    <w:right w:val="none" w:sz="0" w:space="0" w:color="auto"/>
                  </w:divBdr>
                  <w:divsChild>
                    <w:div w:id="979924754">
                      <w:marLeft w:val="0"/>
                      <w:marRight w:val="0"/>
                      <w:marTop w:val="0"/>
                      <w:marBottom w:val="0"/>
                      <w:divBdr>
                        <w:top w:val="none" w:sz="0" w:space="0" w:color="auto"/>
                        <w:left w:val="none" w:sz="0" w:space="0" w:color="auto"/>
                        <w:bottom w:val="none" w:sz="0" w:space="0" w:color="auto"/>
                        <w:right w:val="none" w:sz="0" w:space="0" w:color="auto"/>
                      </w:divBdr>
                    </w:div>
                  </w:divsChild>
                </w:div>
                <w:div w:id="543718222">
                  <w:marLeft w:val="0"/>
                  <w:marRight w:val="0"/>
                  <w:marTop w:val="0"/>
                  <w:marBottom w:val="0"/>
                  <w:divBdr>
                    <w:top w:val="none" w:sz="0" w:space="0" w:color="auto"/>
                    <w:left w:val="none" w:sz="0" w:space="0" w:color="auto"/>
                    <w:bottom w:val="none" w:sz="0" w:space="0" w:color="auto"/>
                    <w:right w:val="none" w:sz="0" w:space="0" w:color="auto"/>
                  </w:divBdr>
                  <w:divsChild>
                    <w:div w:id="1136798161">
                      <w:marLeft w:val="0"/>
                      <w:marRight w:val="0"/>
                      <w:marTop w:val="0"/>
                      <w:marBottom w:val="0"/>
                      <w:divBdr>
                        <w:top w:val="none" w:sz="0" w:space="0" w:color="auto"/>
                        <w:left w:val="none" w:sz="0" w:space="0" w:color="auto"/>
                        <w:bottom w:val="none" w:sz="0" w:space="0" w:color="auto"/>
                        <w:right w:val="none" w:sz="0" w:space="0" w:color="auto"/>
                      </w:divBdr>
                    </w:div>
                    <w:div w:id="1270890027">
                      <w:marLeft w:val="0"/>
                      <w:marRight w:val="0"/>
                      <w:marTop w:val="0"/>
                      <w:marBottom w:val="0"/>
                      <w:divBdr>
                        <w:top w:val="none" w:sz="0" w:space="0" w:color="auto"/>
                        <w:left w:val="none" w:sz="0" w:space="0" w:color="auto"/>
                        <w:bottom w:val="none" w:sz="0" w:space="0" w:color="auto"/>
                        <w:right w:val="none" w:sz="0" w:space="0" w:color="auto"/>
                      </w:divBdr>
                    </w:div>
                    <w:div w:id="1549754984">
                      <w:marLeft w:val="0"/>
                      <w:marRight w:val="0"/>
                      <w:marTop w:val="0"/>
                      <w:marBottom w:val="0"/>
                      <w:divBdr>
                        <w:top w:val="none" w:sz="0" w:space="0" w:color="auto"/>
                        <w:left w:val="none" w:sz="0" w:space="0" w:color="auto"/>
                        <w:bottom w:val="none" w:sz="0" w:space="0" w:color="auto"/>
                        <w:right w:val="none" w:sz="0" w:space="0" w:color="auto"/>
                      </w:divBdr>
                    </w:div>
                  </w:divsChild>
                </w:div>
                <w:div w:id="695276046">
                  <w:marLeft w:val="0"/>
                  <w:marRight w:val="0"/>
                  <w:marTop w:val="0"/>
                  <w:marBottom w:val="0"/>
                  <w:divBdr>
                    <w:top w:val="none" w:sz="0" w:space="0" w:color="auto"/>
                    <w:left w:val="none" w:sz="0" w:space="0" w:color="auto"/>
                    <w:bottom w:val="none" w:sz="0" w:space="0" w:color="auto"/>
                    <w:right w:val="none" w:sz="0" w:space="0" w:color="auto"/>
                  </w:divBdr>
                  <w:divsChild>
                    <w:div w:id="1533766044">
                      <w:marLeft w:val="0"/>
                      <w:marRight w:val="0"/>
                      <w:marTop w:val="0"/>
                      <w:marBottom w:val="0"/>
                      <w:divBdr>
                        <w:top w:val="none" w:sz="0" w:space="0" w:color="auto"/>
                        <w:left w:val="none" w:sz="0" w:space="0" w:color="auto"/>
                        <w:bottom w:val="none" w:sz="0" w:space="0" w:color="auto"/>
                        <w:right w:val="none" w:sz="0" w:space="0" w:color="auto"/>
                      </w:divBdr>
                    </w:div>
                  </w:divsChild>
                </w:div>
                <w:div w:id="778914962">
                  <w:marLeft w:val="0"/>
                  <w:marRight w:val="0"/>
                  <w:marTop w:val="0"/>
                  <w:marBottom w:val="0"/>
                  <w:divBdr>
                    <w:top w:val="none" w:sz="0" w:space="0" w:color="auto"/>
                    <w:left w:val="none" w:sz="0" w:space="0" w:color="auto"/>
                    <w:bottom w:val="none" w:sz="0" w:space="0" w:color="auto"/>
                    <w:right w:val="none" w:sz="0" w:space="0" w:color="auto"/>
                  </w:divBdr>
                  <w:divsChild>
                    <w:div w:id="770859373">
                      <w:marLeft w:val="0"/>
                      <w:marRight w:val="0"/>
                      <w:marTop w:val="0"/>
                      <w:marBottom w:val="0"/>
                      <w:divBdr>
                        <w:top w:val="none" w:sz="0" w:space="0" w:color="auto"/>
                        <w:left w:val="none" w:sz="0" w:space="0" w:color="auto"/>
                        <w:bottom w:val="none" w:sz="0" w:space="0" w:color="auto"/>
                        <w:right w:val="none" w:sz="0" w:space="0" w:color="auto"/>
                      </w:divBdr>
                    </w:div>
                  </w:divsChild>
                </w:div>
                <w:div w:id="804851305">
                  <w:marLeft w:val="0"/>
                  <w:marRight w:val="0"/>
                  <w:marTop w:val="0"/>
                  <w:marBottom w:val="0"/>
                  <w:divBdr>
                    <w:top w:val="none" w:sz="0" w:space="0" w:color="auto"/>
                    <w:left w:val="none" w:sz="0" w:space="0" w:color="auto"/>
                    <w:bottom w:val="none" w:sz="0" w:space="0" w:color="auto"/>
                    <w:right w:val="none" w:sz="0" w:space="0" w:color="auto"/>
                  </w:divBdr>
                  <w:divsChild>
                    <w:div w:id="11613552">
                      <w:marLeft w:val="0"/>
                      <w:marRight w:val="0"/>
                      <w:marTop w:val="0"/>
                      <w:marBottom w:val="0"/>
                      <w:divBdr>
                        <w:top w:val="none" w:sz="0" w:space="0" w:color="auto"/>
                        <w:left w:val="none" w:sz="0" w:space="0" w:color="auto"/>
                        <w:bottom w:val="none" w:sz="0" w:space="0" w:color="auto"/>
                        <w:right w:val="none" w:sz="0" w:space="0" w:color="auto"/>
                      </w:divBdr>
                    </w:div>
                  </w:divsChild>
                </w:div>
                <w:div w:id="806968045">
                  <w:marLeft w:val="0"/>
                  <w:marRight w:val="0"/>
                  <w:marTop w:val="0"/>
                  <w:marBottom w:val="0"/>
                  <w:divBdr>
                    <w:top w:val="none" w:sz="0" w:space="0" w:color="auto"/>
                    <w:left w:val="none" w:sz="0" w:space="0" w:color="auto"/>
                    <w:bottom w:val="none" w:sz="0" w:space="0" w:color="auto"/>
                    <w:right w:val="none" w:sz="0" w:space="0" w:color="auto"/>
                  </w:divBdr>
                  <w:divsChild>
                    <w:div w:id="479808029">
                      <w:marLeft w:val="0"/>
                      <w:marRight w:val="0"/>
                      <w:marTop w:val="0"/>
                      <w:marBottom w:val="0"/>
                      <w:divBdr>
                        <w:top w:val="none" w:sz="0" w:space="0" w:color="auto"/>
                        <w:left w:val="none" w:sz="0" w:space="0" w:color="auto"/>
                        <w:bottom w:val="none" w:sz="0" w:space="0" w:color="auto"/>
                        <w:right w:val="none" w:sz="0" w:space="0" w:color="auto"/>
                      </w:divBdr>
                    </w:div>
                    <w:div w:id="1235629599">
                      <w:marLeft w:val="0"/>
                      <w:marRight w:val="0"/>
                      <w:marTop w:val="0"/>
                      <w:marBottom w:val="0"/>
                      <w:divBdr>
                        <w:top w:val="none" w:sz="0" w:space="0" w:color="auto"/>
                        <w:left w:val="none" w:sz="0" w:space="0" w:color="auto"/>
                        <w:bottom w:val="none" w:sz="0" w:space="0" w:color="auto"/>
                        <w:right w:val="none" w:sz="0" w:space="0" w:color="auto"/>
                      </w:divBdr>
                    </w:div>
                    <w:div w:id="1556892732">
                      <w:marLeft w:val="0"/>
                      <w:marRight w:val="0"/>
                      <w:marTop w:val="0"/>
                      <w:marBottom w:val="0"/>
                      <w:divBdr>
                        <w:top w:val="none" w:sz="0" w:space="0" w:color="auto"/>
                        <w:left w:val="none" w:sz="0" w:space="0" w:color="auto"/>
                        <w:bottom w:val="none" w:sz="0" w:space="0" w:color="auto"/>
                        <w:right w:val="none" w:sz="0" w:space="0" w:color="auto"/>
                      </w:divBdr>
                    </w:div>
                  </w:divsChild>
                </w:div>
                <w:div w:id="825437051">
                  <w:marLeft w:val="0"/>
                  <w:marRight w:val="0"/>
                  <w:marTop w:val="0"/>
                  <w:marBottom w:val="0"/>
                  <w:divBdr>
                    <w:top w:val="none" w:sz="0" w:space="0" w:color="auto"/>
                    <w:left w:val="none" w:sz="0" w:space="0" w:color="auto"/>
                    <w:bottom w:val="none" w:sz="0" w:space="0" w:color="auto"/>
                    <w:right w:val="none" w:sz="0" w:space="0" w:color="auto"/>
                  </w:divBdr>
                  <w:divsChild>
                    <w:div w:id="437876485">
                      <w:marLeft w:val="0"/>
                      <w:marRight w:val="0"/>
                      <w:marTop w:val="0"/>
                      <w:marBottom w:val="0"/>
                      <w:divBdr>
                        <w:top w:val="none" w:sz="0" w:space="0" w:color="auto"/>
                        <w:left w:val="none" w:sz="0" w:space="0" w:color="auto"/>
                        <w:bottom w:val="none" w:sz="0" w:space="0" w:color="auto"/>
                        <w:right w:val="none" w:sz="0" w:space="0" w:color="auto"/>
                      </w:divBdr>
                    </w:div>
                  </w:divsChild>
                </w:div>
                <w:div w:id="827481564">
                  <w:marLeft w:val="0"/>
                  <w:marRight w:val="0"/>
                  <w:marTop w:val="0"/>
                  <w:marBottom w:val="0"/>
                  <w:divBdr>
                    <w:top w:val="none" w:sz="0" w:space="0" w:color="auto"/>
                    <w:left w:val="none" w:sz="0" w:space="0" w:color="auto"/>
                    <w:bottom w:val="none" w:sz="0" w:space="0" w:color="auto"/>
                    <w:right w:val="none" w:sz="0" w:space="0" w:color="auto"/>
                  </w:divBdr>
                  <w:divsChild>
                    <w:div w:id="1497109400">
                      <w:marLeft w:val="0"/>
                      <w:marRight w:val="0"/>
                      <w:marTop w:val="0"/>
                      <w:marBottom w:val="0"/>
                      <w:divBdr>
                        <w:top w:val="none" w:sz="0" w:space="0" w:color="auto"/>
                        <w:left w:val="none" w:sz="0" w:space="0" w:color="auto"/>
                        <w:bottom w:val="none" w:sz="0" w:space="0" w:color="auto"/>
                        <w:right w:val="none" w:sz="0" w:space="0" w:color="auto"/>
                      </w:divBdr>
                    </w:div>
                  </w:divsChild>
                </w:div>
                <w:div w:id="958993604">
                  <w:marLeft w:val="0"/>
                  <w:marRight w:val="0"/>
                  <w:marTop w:val="0"/>
                  <w:marBottom w:val="0"/>
                  <w:divBdr>
                    <w:top w:val="none" w:sz="0" w:space="0" w:color="auto"/>
                    <w:left w:val="none" w:sz="0" w:space="0" w:color="auto"/>
                    <w:bottom w:val="none" w:sz="0" w:space="0" w:color="auto"/>
                    <w:right w:val="none" w:sz="0" w:space="0" w:color="auto"/>
                  </w:divBdr>
                  <w:divsChild>
                    <w:div w:id="1597447738">
                      <w:marLeft w:val="0"/>
                      <w:marRight w:val="0"/>
                      <w:marTop w:val="0"/>
                      <w:marBottom w:val="0"/>
                      <w:divBdr>
                        <w:top w:val="none" w:sz="0" w:space="0" w:color="auto"/>
                        <w:left w:val="none" w:sz="0" w:space="0" w:color="auto"/>
                        <w:bottom w:val="none" w:sz="0" w:space="0" w:color="auto"/>
                        <w:right w:val="none" w:sz="0" w:space="0" w:color="auto"/>
                      </w:divBdr>
                    </w:div>
                  </w:divsChild>
                </w:div>
                <w:div w:id="1044213546">
                  <w:marLeft w:val="0"/>
                  <w:marRight w:val="0"/>
                  <w:marTop w:val="0"/>
                  <w:marBottom w:val="0"/>
                  <w:divBdr>
                    <w:top w:val="none" w:sz="0" w:space="0" w:color="auto"/>
                    <w:left w:val="none" w:sz="0" w:space="0" w:color="auto"/>
                    <w:bottom w:val="none" w:sz="0" w:space="0" w:color="auto"/>
                    <w:right w:val="none" w:sz="0" w:space="0" w:color="auto"/>
                  </w:divBdr>
                  <w:divsChild>
                    <w:div w:id="681933881">
                      <w:marLeft w:val="0"/>
                      <w:marRight w:val="0"/>
                      <w:marTop w:val="0"/>
                      <w:marBottom w:val="0"/>
                      <w:divBdr>
                        <w:top w:val="none" w:sz="0" w:space="0" w:color="auto"/>
                        <w:left w:val="none" w:sz="0" w:space="0" w:color="auto"/>
                        <w:bottom w:val="none" w:sz="0" w:space="0" w:color="auto"/>
                        <w:right w:val="none" w:sz="0" w:space="0" w:color="auto"/>
                      </w:divBdr>
                    </w:div>
                    <w:div w:id="1369452428">
                      <w:marLeft w:val="0"/>
                      <w:marRight w:val="0"/>
                      <w:marTop w:val="0"/>
                      <w:marBottom w:val="0"/>
                      <w:divBdr>
                        <w:top w:val="none" w:sz="0" w:space="0" w:color="auto"/>
                        <w:left w:val="none" w:sz="0" w:space="0" w:color="auto"/>
                        <w:bottom w:val="none" w:sz="0" w:space="0" w:color="auto"/>
                        <w:right w:val="none" w:sz="0" w:space="0" w:color="auto"/>
                      </w:divBdr>
                    </w:div>
                    <w:div w:id="1901404081">
                      <w:marLeft w:val="0"/>
                      <w:marRight w:val="0"/>
                      <w:marTop w:val="0"/>
                      <w:marBottom w:val="0"/>
                      <w:divBdr>
                        <w:top w:val="none" w:sz="0" w:space="0" w:color="auto"/>
                        <w:left w:val="none" w:sz="0" w:space="0" w:color="auto"/>
                        <w:bottom w:val="none" w:sz="0" w:space="0" w:color="auto"/>
                        <w:right w:val="none" w:sz="0" w:space="0" w:color="auto"/>
                      </w:divBdr>
                    </w:div>
                  </w:divsChild>
                </w:div>
                <w:div w:id="1080953705">
                  <w:marLeft w:val="0"/>
                  <w:marRight w:val="0"/>
                  <w:marTop w:val="0"/>
                  <w:marBottom w:val="0"/>
                  <w:divBdr>
                    <w:top w:val="none" w:sz="0" w:space="0" w:color="auto"/>
                    <w:left w:val="none" w:sz="0" w:space="0" w:color="auto"/>
                    <w:bottom w:val="none" w:sz="0" w:space="0" w:color="auto"/>
                    <w:right w:val="none" w:sz="0" w:space="0" w:color="auto"/>
                  </w:divBdr>
                  <w:divsChild>
                    <w:div w:id="1393000232">
                      <w:marLeft w:val="0"/>
                      <w:marRight w:val="0"/>
                      <w:marTop w:val="0"/>
                      <w:marBottom w:val="0"/>
                      <w:divBdr>
                        <w:top w:val="none" w:sz="0" w:space="0" w:color="auto"/>
                        <w:left w:val="none" w:sz="0" w:space="0" w:color="auto"/>
                        <w:bottom w:val="none" w:sz="0" w:space="0" w:color="auto"/>
                        <w:right w:val="none" w:sz="0" w:space="0" w:color="auto"/>
                      </w:divBdr>
                    </w:div>
                  </w:divsChild>
                </w:div>
                <w:div w:id="1095983389">
                  <w:marLeft w:val="0"/>
                  <w:marRight w:val="0"/>
                  <w:marTop w:val="0"/>
                  <w:marBottom w:val="0"/>
                  <w:divBdr>
                    <w:top w:val="none" w:sz="0" w:space="0" w:color="auto"/>
                    <w:left w:val="none" w:sz="0" w:space="0" w:color="auto"/>
                    <w:bottom w:val="none" w:sz="0" w:space="0" w:color="auto"/>
                    <w:right w:val="none" w:sz="0" w:space="0" w:color="auto"/>
                  </w:divBdr>
                  <w:divsChild>
                    <w:div w:id="472794989">
                      <w:marLeft w:val="0"/>
                      <w:marRight w:val="0"/>
                      <w:marTop w:val="0"/>
                      <w:marBottom w:val="0"/>
                      <w:divBdr>
                        <w:top w:val="none" w:sz="0" w:space="0" w:color="auto"/>
                        <w:left w:val="none" w:sz="0" w:space="0" w:color="auto"/>
                        <w:bottom w:val="none" w:sz="0" w:space="0" w:color="auto"/>
                        <w:right w:val="none" w:sz="0" w:space="0" w:color="auto"/>
                      </w:divBdr>
                    </w:div>
                  </w:divsChild>
                </w:div>
                <w:div w:id="1128666446">
                  <w:marLeft w:val="0"/>
                  <w:marRight w:val="0"/>
                  <w:marTop w:val="0"/>
                  <w:marBottom w:val="0"/>
                  <w:divBdr>
                    <w:top w:val="none" w:sz="0" w:space="0" w:color="auto"/>
                    <w:left w:val="none" w:sz="0" w:space="0" w:color="auto"/>
                    <w:bottom w:val="none" w:sz="0" w:space="0" w:color="auto"/>
                    <w:right w:val="none" w:sz="0" w:space="0" w:color="auto"/>
                  </w:divBdr>
                  <w:divsChild>
                    <w:div w:id="114638440">
                      <w:marLeft w:val="0"/>
                      <w:marRight w:val="0"/>
                      <w:marTop w:val="0"/>
                      <w:marBottom w:val="0"/>
                      <w:divBdr>
                        <w:top w:val="none" w:sz="0" w:space="0" w:color="auto"/>
                        <w:left w:val="none" w:sz="0" w:space="0" w:color="auto"/>
                        <w:bottom w:val="none" w:sz="0" w:space="0" w:color="auto"/>
                        <w:right w:val="none" w:sz="0" w:space="0" w:color="auto"/>
                      </w:divBdr>
                    </w:div>
                  </w:divsChild>
                </w:div>
                <w:div w:id="1147164115">
                  <w:marLeft w:val="0"/>
                  <w:marRight w:val="0"/>
                  <w:marTop w:val="0"/>
                  <w:marBottom w:val="0"/>
                  <w:divBdr>
                    <w:top w:val="none" w:sz="0" w:space="0" w:color="auto"/>
                    <w:left w:val="none" w:sz="0" w:space="0" w:color="auto"/>
                    <w:bottom w:val="none" w:sz="0" w:space="0" w:color="auto"/>
                    <w:right w:val="none" w:sz="0" w:space="0" w:color="auto"/>
                  </w:divBdr>
                  <w:divsChild>
                    <w:div w:id="1451976566">
                      <w:marLeft w:val="0"/>
                      <w:marRight w:val="0"/>
                      <w:marTop w:val="0"/>
                      <w:marBottom w:val="0"/>
                      <w:divBdr>
                        <w:top w:val="none" w:sz="0" w:space="0" w:color="auto"/>
                        <w:left w:val="none" w:sz="0" w:space="0" w:color="auto"/>
                        <w:bottom w:val="none" w:sz="0" w:space="0" w:color="auto"/>
                        <w:right w:val="none" w:sz="0" w:space="0" w:color="auto"/>
                      </w:divBdr>
                    </w:div>
                  </w:divsChild>
                </w:div>
                <w:div w:id="1176260761">
                  <w:marLeft w:val="0"/>
                  <w:marRight w:val="0"/>
                  <w:marTop w:val="0"/>
                  <w:marBottom w:val="0"/>
                  <w:divBdr>
                    <w:top w:val="none" w:sz="0" w:space="0" w:color="auto"/>
                    <w:left w:val="none" w:sz="0" w:space="0" w:color="auto"/>
                    <w:bottom w:val="none" w:sz="0" w:space="0" w:color="auto"/>
                    <w:right w:val="none" w:sz="0" w:space="0" w:color="auto"/>
                  </w:divBdr>
                  <w:divsChild>
                    <w:div w:id="424810629">
                      <w:marLeft w:val="0"/>
                      <w:marRight w:val="0"/>
                      <w:marTop w:val="0"/>
                      <w:marBottom w:val="0"/>
                      <w:divBdr>
                        <w:top w:val="none" w:sz="0" w:space="0" w:color="auto"/>
                        <w:left w:val="none" w:sz="0" w:space="0" w:color="auto"/>
                        <w:bottom w:val="none" w:sz="0" w:space="0" w:color="auto"/>
                        <w:right w:val="none" w:sz="0" w:space="0" w:color="auto"/>
                      </w:divBdr>
                    </w:div>
                  </w:divsChild>
                </w:div>
                <w:div w:id="1526014541">
                  <w:marLeft w:val="0"/>
                  <w:marRight w:val="0"/>
                  <w:marTop w:val="0"/>
                  <w:marBottom w:val="0"/>
                  <w:divBdr>
                    <w:top w:val="none" w:sz="0" w:space="0" w:color="auto"/>
                    <w:left w:val="none" w:sz="0" w:space="0" w:color="auto"/>
                    <w:bottom w:val="none" w:sz="0" w:space="0" w:color="auto"/>
                    <w:right w:val="none" w:sz="0" w:space="0" w:color="auto"/>
                  </w:divBdr>
                  <w:divsChild>
                    <w:div w:id="110243435">
                      <w:marLeft w:val="0"/>
                      <w:marRight w:val="0"/>
                      <w:marTop w:val="0"/>
                      <w:marBottom w:val="0"/>
                      <w:divBdr>
                        <w:top w:val="none" w:sz="0" w:space="0" w:color="auto"/>
                        <w:left w:val="none" w:sz="0" w:space="0" w:color="auto"/>
                        <w:bottom w:val="none" w:sz="0" w:space="0" w:color="auto"/>
                        <w:right w:val="none" w:sz="0" w:space="0" w:color="auto"/>
                      </w:divBdr>
                    </w:div>
                  </w:divsChild>
                </w:div>
                <w:div w:id="1623533981">
                  <w:marLeft w:val="0"/>
                  <w:marRight w:val="0"/>
                  <w:marTop w:val="0"/>
                  <w:marBottom w:val="0"/>
                  <w:divBdr>
                    <w:top w:val="none" w:sz="0" w:space="0" w:color="auto"/>
                    <w:left w:val="none" w:sz="0" w:space="0" w:color="auto"/>
                    <w:bottom w:val="none" w:sz="0" w:space="0" w:color="auto"/>
                    <w:right w:val="none" w:sz="0" w:space="0" w:color="auto"/>
                  </w:divBdr>
                  <w:divsChild>
                    <w:div w:id="923879361">
                      <w:marLeft w:val="0"/>
                      <w:marRight w:val="0"/>
                      <w:marTop w:val="0"/>
                      <w:marBottom w:val="0"/>
                      <w:divBdr>
                        <w:top w:val="none" w:sz="0" w:space="0" w:color="auto"/>
                        <w:left w:val="none" w:sz="0" w:space="0" w:color="auto"/>
                        <w:bottom w:val="none" w:sz="0" w:space="0" w:color="auto"/>
                        <w:right w:val="none" w:sz="0" w:space="0" w:color="auto"/>
                      </w:divBdr>
                    </w:div>
                  </w:divsChild>
                </w:div>
                <w:div w:id="1633827820">
                  <w:marLeft w:val="0"/>
                  <w:marRight w:val="0"/>
                  <w:marTop w:val="0"/>
                  <w:marBottom w:val="0"/>
                  <w:divBdr>
                    <w:top w:val="none" w:sz="0" w:space="0" w:color="auto"/>
                    <w:left w:val="none" w:sz="0" w:space="0" w:color="auto"/>
                    <w:bottom w:val="none" w:sz="0" w:space="0" w:color="auto"/>
                    <w:right w:val="none" w:sz="0" w:space="0" w:color="auto"/>
                  </w:divBdr>
                  <w:divsChild>
                    <w:div w:id="1732188598">
                      <w:marLeft w:val="0"/>
                      <w:marRight w:val="0"/>
                      <w:marTop w:val="0"/>
                      <w:marBottom w:val="0"/>
                      <w:divBdr>
                        <w:top w:val="none" w:sz="0" w:space="0" w:color="auto"/>
                        <w:left w:val="none" w:sz="0" w:space="0" w:color="auto"/>
                        <w:bottom w:val="none" w:sz="0" w:space="0" w:color="auto"/>
                        <w:right w:val="none" w:sz="0" w:space="0" w:color="auto"/>
                      </w:divBdr>
                    </w:div>
                  </w:divsChild>
                </w:div>
                <w:div w:id="1720864356">
                  <w:marLeft w:val="0"/>
                  <w:marRight w:val="0"/>
                  <w:marTop w:val="0"/>
                  <w:marBottom w:val="0"/>
                  <w:divBdr>
                    <w:top w:val="none" w:sz="0" w:space="0" w:color="auto"/>
                    <w:left w:val="none" w:sz="0" w:space="0" w:color="auto"/>
                    <w:bottom w:val="none" w:sz="0" w:space="0" w:color="auto"/>
                    <w:right w:val="none" w:sz="0" w:space="0" w:color="auto"/>
                  </w:divBdr>
                  <w:divsChild>
                    <w:div w:id="373964227">
                      <w:marLeft w:val="0"/>
                      <w:marRight w:val="0"/>
                      <w:marTop w:val="0"/>
                      <w:marBottom w:val="0"/>
                      <w:divBdr>
                        <w:top w:val="none" w:sz="0" w:space="0" w:color="auto"/>
                        <w:left w:val="none" w:sz="0" w:space="0" w:color="auto"/>
                        <w:bottom w:val="none" w:sz="0" w:space="0" w:color="auto"/>
                        <w:right w:val="none" w:sz="0" w:space="0" w:color="auto"/>
                      </w:divBdr>
                    </w:div>
                    <w:div w:id="1687445120">
                      <w:marLeft w:val="0"/>
                      <w:marRight w:val="0"/>
                      <w:marTop w:val="0"/>
                      <w:marBottom w:val="0"/>
                      <w:divBdr>
                        <w:top w:val="none" w:sz="0" w:space="0" w:color="auto"/>
                        <w:left w:val="none" w:sz="0" w:space="0" w:color="auto"/>
                        <w:bottom w:val="none" w:sz="0" w:space="0" w:color="auto"/>
                        <w:right w:val="none" w:sz="0" w:space="0" w:color="auto"/>
                      </w:divBdr>
                    </w:div>
                    <w:div w:id="1825707229">
                      <w:marLeft w:val="0"/>
                      <w:marRight w:val="0"/>
                      <w:marTop w:val="0"/>
                      <w:marBottom w:val="0"/>
                      <w:divBdr>
                        <w:top w:val="none" w:sz="0" w:space="0" w:color="auto"/>
                        <w:left w:val="none" w:sz="0" w:space="0" w:color="auto"/>
                        <w:bottom w:val="none" w:sz="0" w:space="0" w:color="auto"/>
                        <w:right w:val="none" w:sz="0" w:space="0" w:color="auto"/>
                      </w:divBdr>
                    </w:div>
                  </w:divsChild>
                </w:div>
                <w:div w:id="1728383274">
                  <w:marLeft w:val="0"/>
                  <w:marRight w:val="0"/>
                  <w:marTop w:val="0"/>
                  <w:marBottom w:val="0"/>
                  <w:divBdr>
                    <w:top w:val="none" w:sz="0" w:space="0" w:color="auto"/>
                    <w:left w:val="none" w:sz="0" w:space="0" w:color="auto"/>
                    <w:bottom w:val="none" w:sz="0" w:space="0" w:color="auto"/>
                    <w:right w:val="none" w:sz="0" w:space="0" w:color="auto"/>
                  </w:divBdr>
                  <w:divsChild>
                    <w:div w:id="636226356">
                      <w:marLeft w:val="0"/>
                      <w:marRight w:val="0"/>
                      <w:marTop w:val="0"/>
                      <w:marBottom w:val="0"/>
                      <w:divBdr>
                        <w:top w:val="none" w:sz="0" w:space="0" w:color="auto"/>
                        <w:left w:val="none" w:sz="0" w:space="0" w:color="auto"/>
                        <w:bottom w:val="none" w:sz="0" w:space="0" w:color="auto"/>
                        <w:right w:val="none" w:sz="0" w:space="0" w:color="auto"/>
                      </w:divBdr>
                    </w:div>
                  </w:divsChild>
                </w:div>
                <w:div w:id="1767073369">
                  <w:marLeft w:val="0"/>
                  <w:marRight w:val="0"/>
                  <w:marTop w:val="0"/>
                  <w:marBottom w:val="0"/>
                  <w:divBdr>
                    <w:top w:val="none" w:sz="0" w:space="0" w:color="auto"/>
                    <w:left w:val="none" w:sz="0" w:space="0" w:color="auto"/>
                    <w:bottom w:val="none" w:sz="0" w:space="0" w:color="auto"/>
                    <w:right w:val="none" w:sz="0" w:space="0" w:color="auto"/>
                  </w:divBdr>
                  <w:divsChild>
                    <w:div w:id="2060736771">
                      <w:marLeft w:val="0"/>
                      <w:marRight w:val="0"/>
                      <w:marTop w:val="0"/>
                      <w:marBottom w:val="0"/>
                      <w:divBdr>
                        <w:top w:val="none" w:sz="0" w:space="0" w:color="auto"/>
                        <w:left w:val="none" w:sz="0" w:space="0" w:color="auto"/>
                        <w:bottom w:val="none" w:sz="0" w:space="0" w:color="auto"/>
                        <w:right w:val="none" w:sz="0" w:space="0" w:color="auto"/>
                      </w:divBdr>
                    </w:div>
                  </w:divsChild>
                </w:div>
                <w:div w:id="1821462035">
                  <w:marLeft w:val="0"/>
                  <w:marRight w:val="0"/>
                  <w:marTop w:val="0"/>
                  <w:marBottom w:val="0"/>
                  <w:divBdr>
                    <w:top w:val="none" w:sz="0" w:space="0" w:color="auto"/>
                    <w:left w:val="none" w:sz="0" w:space="0" w:color="auto"/>
                    <w:bottom w:val="none" w:sz="0" w:space="0" w:color="auto"/>
                    <w:right w:val="none" w:sz="0" w:space="0" w:color="auto"/>
                  </w:divBdr>
                  <w:divsChild>
                    <w:div w:id="109512347">
                      <w:marLeft w:val="0"/>
                      <w:marRight w:val="0"/>
                      <w:marTop w:val="0"/>
                      <w:marBottom w:val="0"/>
                      <w:divBdr>
                        <w:top w:val="none" w:sz="0" w:space="0" w:color="auto"/>
                        <w:left w:val="none" w:sz="0" w:space="0" w:color="auto"/>
                        <w:bottom w:val="none" w:sz="0" w:space="0" w:color="auto"/>
                        <w:right w:val="none" w:sz="0" w:space="0" w:color="auto"/>
                      </w:divBdr>
                    </w:div>
                  </w:divsChild>
                </w:div>
                <w:div w:id="1930191585">
                  <w:marLeft w:val="0"/>
                  <w:marRight w:val="0"/>
                  <w:marTop w:val="0"/>
                  <w:marBottom w:val="0"/>
                  <w:divBdr>
                    <w:top w:val="none" w:sz="0" w:space="0" w:color="auto"/>
                    <w:left w:val="none" w:sz="0" w:space="0" w:color="auto"/>
                    <w:bottom w:val="none" w:sz="0" w:space="0" w:color="auto"/>
                    <w:right w:val="none" w:sz="0" w:space="0" w:color="auto"/>
                  </w:divBdr>
                  <w:divsChild>
                    <w:div w:id="1761948965">
                      <w:marLeft w:val="0"/>
                      <w:marRight w:val="0"/>
                      <w:marTop w:val="0"/>
                      <w:marBottom w:val="0"/>
                      <w:divBdr>
                        <w:top w:val="none" w:sz="0" w:space="0" w:color="auto"/>
                        <w:left w:val="none" w:sz="0" w:space="0" w:color="auto"/>
                        <w:bottom w:val="none" w:sz="0" w:space="0" w:color="auto"/>
                        <w:right w:val="none" w:sz="0" w:space="0" w:color="auto"/>
                      </w:divBdr>
                    </w:div>
                  </w:divsChild>
                </w:div>
                <w:div w:id="1947929971">
                  <w:marLeft w:val="0"/>
                  <w:marRight w:val="0"/>
                  <w:marTop w:val="0"/>
                  <w:marBottom w:val="0"/>
                  <w:divBdr>
                    <w:top w:val="none" w:sz="0" w:space="0" w:color="auto"/>
                    <w:left w:val="none" w:sz="0" w:space="0" w:color="auto"/>
                    <w:bottom w:val="none" w:sz="0" w:space="0" w:color="auto"/>
                    <w:right w:val="none" w:sz="0" w:space="0" w:color="auto"/>
                  </w:divBdr>
                  <w:divsChild>
                    <w:div w:id="19105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2945">
          <w:marLeft w:val="0"/>
          <w:marRight w:val="0"/>
          <w:marTop w:val="0"/>
          <w:marBottom w:val="0"/>
          <w:divBdr>
            <w:top w:val="none" w:sz="0" w:space="0" w:color="auto"/>
            <w:left w:val="none" w:sz="0" w:space="0" w:color="auto"/>
            <w:bottom w:val="none" w:sz="0" w:space="0" w:color="auto"/>
            <w:right w:val="none" w:sz="0" w:space="0" w:color="auto"/>
          </w:divBdr>
          <w:divsChild>
            <w:div w:id="8218568">
              <w:marLeft w:val="0"/>
              <w:marRight w:val="0"/>
              <w:marTop w:val="0"/>
              <w:marBottom w:val="0"/>
              <w:divBdr>
                <w:top w:val="none" w:sz="0" w:space="0" w:color="auto"/>
                <w:left w:val="none" w:sz="0" w:space="0" w:color="auto"/>
                <w:bottom w:val="none" w:sz="0" w:space="0" w:color="auto"/>
                <w:right w:val="none" w:sz="0" w:space="0" w:color="auto"/>
              </w:divBdr>
            </w:div>
            <w:div w:id="15037703">
              <w:marLeft w:val="0"/>
              <w:marRight w:val="0"/>
              <w:marTop w:val="0"/>
              <w:marBottom w:val="0"/>
              <w:divBdr>
                <w:top w:val="none" w:sz="0" w:space="0" w:color="auto"/>
                <w:left w:val="none" w:sz="0" w:space="0" w:color="auto"/>
                <w:bottom w:val="none" w:sz="0" w:space="0" w:color="auto"/>
                <w:right w:val="none" w:sz="0" w:space="0" w:color="auto"/>
              </w:divBdr>
            </w:div>
            <w:div w:id="61829917">
              <w:marLeft w:val="0"/>
              <w:marRight w:val="0"/>
              <w:marTop w:val="0"/>
              <w:marBottom w:val="0"/>
              <w:divBdr>
                <w:top w:val="none" w:sz="0" w:space="0" w:color="auto"/>
                <w:left w:val="none" w:sz="0" w:space="0" w:color="auto"/>
                <w:bottom w:val="none" w:sz="0" w:space="0" w:color="auto"/>
                <w:right w:val="none" w:sz="0" w:space="0" w:color="auto"/>
              </w:divBdr>
            </w:div>
            <w:div w:id="91097899">
              <w:marLeft w:val="0"/>
              <w:marRight w:val="0"/>
              <w:marTop w:val="0"/>
              <w:marBottom w:val="0"/>
              <w:divBdr>
                <w:top w:val="none" w:sz="0" w:space="0" w:color="auto"/>
                <w:left w:val="none" w:sz="0" w:space="0" w:color="auto"/>
                <w:bottom w:val="none" w:sz="0" w:space="0" w:color="auto"/>
                <w:right w:val="none" w:sz="0" w:space="0" w:color="auto"/>
              </w:divBdr>
            </w:div>
            <w:div w:id="224339650">
              <w:marLeft w:val="0"/>
              <w:marRight w:val="0"/>
              <w:marTop w:val="0"/>
              <w:marBottom w:val="0"/>
              <w:divBdr>
                <w:top w:val="none" w:sz="0" w:space="0" w:color="auto"/>
                <w:left w:val="none" w:sz="0" w:space="0" w:color="auto"/>
                <w:bottom w:val="none" w:sz="0" w:space="0" w:color="auto"/>
                <w:right w:val="none" w:sz="0" w:space="0" w:color="auto"/>
              </w:divBdr>
            </w:div>
            <w:div w:id="280308144">
              <w:marLeft w:val="0"/>
              <w:marRight w:val="0"/>
              <w:marTop w:val="0"/>
              <w:marBottom w:val="0"/>
              <w:divBdr>
                <w:top w:val="none" w:sz="0" w:space="0" w:color="auto"/>
                <w:left w:val="none" w:sz="0" w:space="0" w:color="auto"/>
                <w:bottom w:val="none" w:sz="0" w:space="0" w:color="auto"/>
                <w:right w:val="none" w:sz="0" w:space="0" w:color="auto"/>
              </w:divBdr>
            </w:div>
            <w:div w:id="295793206">
              <w:marLeft w:val="0"/>
              <w:marRight w:val="0"/>
              <w:marTop w:val="0"/>
              <w:marBottom w:val="0"/>
              <w:divBdr>
                <w:top w:val="none" w:sz="0" w:space="0" w:color="auto"/>
                <w:left w:val="none" w:sz="0" w:space="0" w:color="auto"/>
                <w:bottom w:val="none" w:sz="0" w:space="0" w:color="auto"/>
                <w:right w:val="none" w:sz="0" w:space="0" w:color="auto"/>
              </w:divBdr>
            </w:div>
            <w:div w:id="298654468">
              <w:marLeft w:val="0"/>
              <w:marRight w:val="0"/>
              <w:marTop w:val="0"/>
              <w:marBottom w:val="0"/>
              <w:divBdr>
                <w:top w:val="none" w:sz="0" w:space="0" w:color="auto"/>
                <w:left w:val="none" w:sz="0" w:space="0" w:color="auto"/>
                <w:bottom w:val="none" w:sz="0" w:space="0" w:color="auto"/>
                <w:right w:val="none" w:sz="0" w:space="0" w:color="auto"/>
              </w:divBdr>
            </w:div>
            <w:div w:id="728769944">
              <w:marLeft w:val="0"/>
              <w:marRight w:val="0"/>
              <w:marTop w:val="0"/>
              <w:marBottom w:val="0"/>
              <w:divBdr>
                <w:top w:val="none" w:sz="0" w:space="0" w:color="auto"/>
                <w:left w:val="none" w:sz="0" w:space="0" w:color="auto"/>
                <w:bottom w:val="none" w:sz="0" w:space="0" w:color="auto"/>
                <w:right w:val="none" w:sz="0" w:space="0" w:color="auto"/>
              </w:divBdr>
            </w:div>
            <w:div w:id="807019092">
              <w:marLeft w:val="0"/>
              <w:marRight w:val="0"/>
              <w:marTop w:val="0"/>
              <w:marBottom w:val="0"/>
              <w:divBdr>
                <w:top w:val="none" w:sz="0" w:space="0" w:color="auto"/>
                <w:left w:val="none" w:sz="0" w:space="0" w:color="auto"/>
                <w:bottom w:val="none" w:sz="0" w:space="0" w:color="auto"/>
                <w:right w:val="none" w:sz="0" w:space="0" w:color="auto"/>
              </w:divBdr>
            </w:div>
            <w:div w:id="1139146911">
              <w:marLeft w:val="0"/>
              <w:marRight w:val="0"/>
              <w:marTop w:val="0"/>
              <w:marBottom w:val="0"/>
              <w:divBdr>
                <w:top w:val="none" w:sz="0" w:space="0" w:color="auto"/>
                <w:left w:val="none" w:sz="0" w:space="0" w:color="auto"/>
                <w:bottom w:val="none" w:sz="0" w:space="0" w:color="auto"/>
                <w:right w:val="none" w:sz="0" w:space="0" w:color="auto"/>
              </w:divBdr>
            </w:div>
            <w:div w:id="1188983698">
              <w:marLeft w:val="0"/>
              <w:marRight w:val="0"/>
              <w:marTop w:val="0"/>
              <w:marBottom w:val="0"/>
              <w:divBdr>
                <w:top w:val="none" w:sz="0" w:space="0" w:color="auto"/>
                <w:left w:val="none" w:sz="0" w:space="0" w:color="auto"/>
                <w:bottom w:val="none" w:sz="0" w:space="0" w:color="auto"/>
                <w:right w:val="none" w:sz="0" w:space="0" w:color="auto"/>
              </w:divBdr>
            </w:div>
            <w:div w:id="1309171824">
              <w:marLeft w:val="0"/>
              <w:marRight w:val="0"/>
              <w:marTop w:val="0"/>
              <w:marBottom w:val="0"/>
              <w:divBdr>
                <w:top w:val="none" w:sz="0" w:space="0" w:color="auto"/>
                <w:left w:val="none" w:sz="0" w:space="0" w:color="auto"/>
                <w:bottom w:val="none" w:sz="0" w:space="0" w:color="auto"/>
                <w:right w:val="none" w:sz="0" w:space="0" w:color="auto"/>
              </w:divBdr>
            </w:div>
            <w:div w:id="1324507393">
              <w:marLeft w:val="0"/>
              <w:marRight w:val="0"/>
              <w:marTop w:val="0"/>
              <w:marBottom w:val="0"/>
              <w:divBdr>
                <w:top w:val="none" w:sz="0" w:space="0" w:color="auto"/>
                <w:left w:val="none" w:sz="0" w:space="0" w:color="auto"/>
                <w:bottom w:val="none" w:sz="0" w:space="0" w:color="auto"/>
                <w:right w:val="none" w:sz="0" w:space="0" w:color="auto"/>
              </w:divBdr>
            </w:div>
            <w:div w:id="1354065032">
              <w:marLeft w:val="0"/>
              <w:marRight w:val="0"/>
              <w:marTop w:val="0"/>
              <w:marBottom w:val="0"/>
              <w:divBdr>
                <w:top w:val="none" w:sz="0" w:space="0" w:color="auto"/>
                <w:left w:val="none" w:sz="0" w:space="0" w:color="auto"/>
                <w:bottom w:val="none" w:sz="0" w:space="0" w:color="auto"/>
                <w:right w:val="none" w:sz="0" w:space="0" w:color="auto"/>
              </w:divBdr>
            </w:div>
            <w:div w:id="1389450009">
              <w:marLeft w:val="0"/>
              <w:marRight w:val="0"/>
              <w:marTop w:val="0"/>
              <w:marBottom w:val="0"/>
              <w:divBdr>
                <w:top w:val="none" w:sz="0" w:space="0" w:color="auto"/>
                <w:left w:val="none" w:sz="0" w:space="0" w:color="auto"/>
                <w:bottom w:val="none" w:sz="0" w:space="0" w:color="auto"/>
                <w:right w:val="none" w:sz="0" w:space="0" w:color="auto"/>
              </w:divBdr>
            </w:div>
            <w:div w:id="1515001084">
              <w:marLeft w:val="0"/>
              <w:marRight w:val="0"/>
              <w:marTop w:val="0"/>
              <w:marBottom w:val="0"/>
              <w:divBdr>
                <w:top w:val="none" w:sz="0" w:space="0" w:color="auto"/>
                <w:left w:val="none" w:sz="0" w:space="0" w:color="auto"/>
                <w:bottom w:val="none" w:sz="0" w:space="0" w:color="auto"/>
                <w:right w:val="none" w:sz="0" w:space="0" w:color="auto"/>
              </w:divBdr>
            </w:div>
            <w:div w:id="1576280379">
              <w:marLeft w:val="0"/>
              <w:marRight w:val="0"/>
              <w:marTop w:val="0"/>
              <w:marBottom w:val="0"/>
              <w:divBdr>
                <w:top w:val="none" w:sz="0" w:space="0" w:color="auto"/>
                <w:left w:val="none" w:sz="0" w:space="0" w:color="auto"/>
                <w:bottom w:val="none" w:sz="0" w:space="0" w:color="auto"/>
                <w:right w:val="none" w:sz="0" w:space="0" w:color="auto"/>
              </w:divBdr>
            </w:div>
            <w:div w:id="1698778693">
              <w:marLeft w:val="0"/>
              <w:marRight w:val="0"/>
              <w:marTop w:val="0"/>
              <w:marBottom w:val="0"/>
              <w:divBdr>
                <w:top w:val="none" w:sz="0" w:space="0" w:color="auto"/>
                <w:left w:val="none" w:sz="0" w:space="0" w:color="auto"/>
                <w:bottom w:val="none" w:sz="0" w:space="0" w:color="auto"/>
                <w:right w:val="none" w:sz="0" w:space="0" w:color="auto"/>
              </w:divBdr>
            </w:div>
            <w:div w:id="1706443186">
              <w:marLeft w:val="0"/>
              <w:marRight w:val="0"/>
              <w:marTop w:val="0"/>
              <w:marBottom w:val="0"/>
              <w:divBdr>
                <w:top w:val="none" w:sz="0" w:space="0" w:color="auto"/>
                <w:left w:val="none" w:sz="0" w:space="0" w:color="auto"/>
                <w:bottom w:val="none" w:sz="0" w:space="0" w:color="auto"/>
                <w:right w:val="none" w:sz="0" w:space="0" w:color="auto"/>
              </w:divBdr>
            </w:div>
            <w:div w:id="1721636163">
              <w:marLeft w:val="0"/>
              <w:marRight w:val="0"/>
              <w:marTop w:val="0"/>
              <w:marBottom w:val="0"/>
              <w:divBdr>
                <w:top w:val="none" w:sz="0" w:space="0" w:color="auto"/>
                <w:left w:val="none" w:sz="0" w:space="0" w:color="auto"/>
                <w:bottom w:val="none" w:sz="0" w:space="0" w:color="auto"/>
                <w:right w:val="none" w:sz="0" w:space="0" w:color="auto"/>
              </w:divBdr>
            </w:div>
          </w:divsChild>
        </w:div>
        <w:div w:id="1231769149">
          <w:marLeft w:val="0"/>
          <w:marRight w:val="0"/>
          <w:marTop w:val="0"/>
          <w:marBottom w:val="0"/>
          <w:divBdr>
            <w:top w:val="none" w:sz="0" w:space="0" w:color="auto"/>
            <w:left w:val="none" w:sz="0" w:space="0" w:color="auto"/>
            <w:bottom w:val="none" w:sz="0" w:space="0" w:color="auto"/>
            <w:right w:val="none" w:sz="0" w:space="0" w:color="auto"/>
          </w:divBdr>
          <w:divsChild>
            <w:div w:id="240649741">
              <w:marLeft w:val="0"/>
              <w:marRight w:val="0"/>
              <w:marTop w:val="0"/>
              <w:marBottom w:val="0"/>
              <w:divBdr>
                <w:top w:val="none" w:sz="0" w:space="0" w:color="auto"/>
                <w:left w:val="none" w:sz="0" w:space="0" w:color="auto"/>
                <w:bottom w:val="none" w:sz="0" w:space="0" w:color="auto"/>
                <w:right w:val="none" w:sz="0" w:space="0" w:color="auto"/>
              </w:divBdr>
            </w:div>
            <w:div w:id="260113987">
              <w:marLeft w:val="0"/>
              <w:marRight w:val="0"/>
              <w:marTop w:val="0"/>
              <w:marBottom w:val="0"/>
              <w:divBdr>
                <w:top w:val="none" w:sz="0" w:space="0" w:color="auto"/>
                <w:left w:val="none" w:sz="0" w:space="0" w:color="auto"/>
                <w:bottom w:val="none" w:sz="0" w:space="0" w:color="auto"/>
                <w:right w:val="none" w:sz="0" w:space="0" w:color="auto"/>
              </w:divBdr>
            </w:div>
            <w:div w:id="467669739">
              <w:marLeft w:val="0"/>
              <w:marRight w:val="0"/>
              <w:marTop w:val="0"/>
              <w:marBottom w:val="0"/>
              <w:divBdr>
                <w:top w:val="none" w:sz="0" w:space="0" w:color="auto"/>
                <w:left w:val="none" w:sz="0" w:space="0" w:color="auto"/>
                <w:bottom w:val="none" w:sz="0" w:space="0" w:color="auto"/>
                <w:right w:val="none" w:sz="0" w:space="0" w:color="auto"/>
              </w:divBdr>
            </w:div>
            <w:div w:id="562062522">
              <w:marLeft w:val="0"/>
              <w:marRight w:val="0"/>
              <w:marTop w:val="0"/>
              <w:marBottom w:val="0"/>
              <w:divBdr>
                <w:top w:val="none" w:sz="0" w:space="0" w:color="auto"/>
                <w:left w:val="none" w:sz="0" w:space="0" w:color="auto"/>
                <w:bottom w:val="none" w:sz="0" w:space="0" w:color="auto"/>
                <w:right w:val="none" w:sz="0" w:space="0" w:color="auto"/>
              </w:divBdr>
            </w:div>
            <w:div w:id="657928431">
              <w:marLeft w:val="0"/>
              <w:marRight w:val="0"/>
              <w:marTop w:val="0"/>
              <w:marBottom w:val="0"/>
              <w:divBdr>
                <w:top w:val="none" w:sz="0" w:space="0" w:color="auto"/>
                <w:left w:val="none" w:sz="0" w:space="0" w:color="auto"/>
                <w:bottom w:val="none" w:sz="0" w:space="0" w:color="auto"/>
                <w:right w:val="none" w:sz="0" w:space="0" w:color="auto"/>
              </w:divBdr>
            </w:div>
            <w:div w:id="833491608">
              <w:marLeft w:val="0"/>
              <w:marRight w:val="0"/>
              <w:marTop w:val="0"/>
              <w:marBottom w:val="0"/>
              <w:divBdr>
                <w:top w:val="none" w:sz="0" w:space="0" w:color="auto"/>
                <w:left w:val="none" w:sz="0" w:space="0" w:color="auto"/>
                <w:bottom w:val="none" w:sz="0" w:space="0" w:color="auto"/>
                <w:right w:val="none" w:sz="0" w:space="0" w:color="auto"/>
              </w:divBdr>
            </w:div>
            <w:div w:id="956789300">
              <w:marLeft w:val="0"/>
              <w:marRight w:val="0"/>
              <w:marTop w:val="0"/>
              <w:marBottom w:val="0"/>
              <w:divBdr>
                <w:top w:val="none" w:sz="0" w:space="0" w:color="auto"/>
                <w:left w:val="none" w:sz="0" w:space="0" w:color="auto"/>
                <w:bottom w:val="none" w:sz="0" w:space="0" w:color="auto"/>
                <w:right w:val="none" w:sz="0" w:space="0" w:color="auto"/>
              </w:divBdr>
            </w:div>
            <w:div w:id="1043015484">
              <w:marLeft w:val="0"/>
              <w:marRight w:val="0"/>
              <w:marTop w:val="0"/>
              <w:marBottom w:val="0"/>
              <w:divBdr>
                <w:top w:val="none" w:sz="0" w:space="0" w:color="auto"/>
                <w:left w:val="none" w:sz="0" w:space="0" w:color="auto"/>
                <w:bottom w:val="none" w:sz="0" w:space="0" w:color="auto"/>
                <w:right w:val="none" w:sz="0" w:space="0" w:color="auto"/>
              </w:divBdr>
            </w:div>
            <w:div w:id="1059591852">
              <w:marLeft w:val="0"/>
              <w:marRight w:val="0"/>
              <w:marTop w:val="0"/>
              <w:marBottom w:val="0"/>
              <w:divBdr>
                <w:top w:val="none" w:sz="0" w:space="0" w:color="auto"/>
                <w:left w:val="none" w:sz="0" w:space="0" w:color="auto"/>
                <w:bottom w:val="none" w:sz="0" w:space="0" w:color="auto"/>
                <w:right w:val="none" w:sz="0" w:space="0" w:color="auto"/>
              </w:divBdr>
            </w:div>
            <w:div w:id="1235890396">
              <w:marLeft w:val="0"/>
              <w:marRight w:val="0"/>
              <w:marTop w:val="0"/>
              <w:marBottom w:val="0"/>
              <w:divBdr>
                <w:top w:val="none" w:sz="0" w:space="0" w:color="auto"/>
                <w:left w:val="none" w:sz="0" w:space="0" w:color="auto"/>
                <w:bottom w:val="none" w:sz="0" w:space="0" w:color="auto"/>
                <w:right w:val="none" w:sz="0" w:space="0" w:color="auto"/>
              </w:divBdr>
            </w:div>
            <w:div w:id="1256330379">
              <w:marLeft w:val="0"/>
              <w:marRight w:val="0"/>
              <w:marTop w:val="0"/>
              <w:marBottom w:val="0"/>
              <w:divBdr>
                <w:top w:val="none" w:sz="0" w:space="0" w:color="auto"/>
                <w:left w:val="none" w:sz="0" w:space="0" w:color="auto"/>
                <w:bottom w:val="none" w:sz="0" w:space="0" w:color="auto"/>
                <w:right w:val="none" w:sz="0" w:space="0" w:color="auto"/>
              </w:divBdr>
            </w:div>
            <w:div w:id="1330906080">
              <w:marLeft w:val="0"/>
              <w:marRight w:val="0"/>
              <w:marTop w:val="0"/>
              <w:marBottom w:val="0"/>
              <w:divBdr>
                <w:top w:val="none" w:sz="0" w:space="0" w:color="auto"/>
                <w:left w:val="none" w:sz="0" w:space="0" w:color="auto"/>
                <w:bottom w:val="none" w:sz="0" w:space="0" w:color="auto"/>
                <w:right w:val="none" w:sz="0" w:space="0" w:color="auto"/>
              </w:divBdr>
            </w:div>
            <w:div w:id="1356274485">
              <w:marLeft w:val="0"/>
              <w:marRight w:val="0"/>
              <w:marTop w:val="0"/>
              <w:marBottom w:val="0"/>
              <w:divBdr>
                <w:top w:val="none" w:sz="0" w:space="0" w:color="auto"/>
                <w:left w:val="none" w:sz="0" w:space="0" w:color="auto"/>
                <w:bottom w:val="none" w:sz="0" w:space="0" w:color="auto"/>
                <w:right w:val="none" w:sz="0" w:space="0" w:color="auto"/>
              </w:divBdr>
            </w:div>
            <w:div w:id="1376152023">
              <w:marLeft w:val="0"/>
              <w:marRight w:val="0"/>
              <w:marTop w:val="0"/>
              <w:marBottom w:val="0"/>
              <w:divBdr>
                <w:top w:val="none" w:sz="0" w:space="0" w:color="auto"/>
                <w:left w:val="none" w:sz="0" w:space="0" w:color="auto"/>
                <w:bottom w:val="none" w:sz="0" w:space="0" w:color="auto"/>
                <w:right w:val="none" w:sz="0" w:space="0" w:color="auto"/>
              </w:divBdr>
            </w:div>
            <w:div w:id="1490367406">
              <w:marLeft w:val="0"/>
              <w:marRight w:val="0"/>
              <w:marTop w:val="0"/>
              <w:marBottom w:val="0"/>
              <w:divBdr>
                <w:top w:val="none" w:sz="0" w:space="0" w:color="auto"/>
                <w:left w:val="none" w:sz="0" w:space="0" w:color="auto"/>
                <w:bottom w:val="none" w:sz="0" w:space="0" w:color="auto"/>
                <w:right w:val="none" w:sz="0" w:space="0" w:color="auto"/>
              </w:divBdr>
            </w:div>
            <w:div w:id="1493714526">
              <w:marLeft w:val="0"/>
              <w:marRight w:val="0"/>
              <w:marTop w:val="0"/>
              <w:marBottom w:val="0"/>
              <w:divBdr>
                <w:top w:val="none" w:sz="0" w:space="0" w:color="auto"/>
                <w:left w:val="none" w:sz="0" w:space="0" w:color="auto"/>
                <w:bottom w:val="none" w:sz="0" w:space="0" w:color="auto"/>
                <w:right w:val="none" w:sz="0" w:space="0" w:color="auto"/>
              </w:divBdr>
            </w:div>
            <w:div w:id="1511337615">
              <w:marLeft w:val="0"/>
              <w:marRight w:val="0"/>
              <w:marTop w:val="0"/>
              <w:marBottom w:val="0"/>
              <w:divBdr>
                <w:top w:val="none" w:sz="0" w:space="0" w:color="auto"/>
                <w:left w:val="none" w:sz="0" w:space="0" w:color="auto"/>
                <w:bottom w:val="none" w:sz="0" w:space="0" w:color="auto"/>
                <w:right w:val="none" w:sz="0" w:space="0" w:color="auto"/>
              </w:divBdr>
            </w:div>
            <w:div w:id="1547066774">
              <w:marLeft w:val="0"/>
              <w:marRight w:val="0"/>
              <w:marTop w:val="0"/>
              <w:marBottom w:val="0"/>
              <w:divBdr>
                <w:top w:val="none" w:sz="0" w:space="0" w:color="auto"/>
                <w:left w:val="none" w:sz="0" w:space="0" w:color="auto"/>
                <w:bottom w:val="none" w:sz="0" w:space="0" w:color="auto"/>
                <w:right w:val="none" w:sz="0" w:space="0" w:color="auto"/>
              </w:divBdr>
            </w:div>
            <w:div w:id="1687319969">
              <w:marLeft w:val="0"/>
              <w:marRight w:val="0"/>
              <w:marTop w:val="0"/>
              <w:marBottom w:val="0"/>
              <w:divBdr>
                <w:top w:val="none" w:sz="0" w:space="0" w:color="auto"/>
                <w:left w:val="none" w:sz="0" w:space="0" w:color="auto"/>
                <w:bottom w:val="none" w:sz="0" w:space="0" w:color="auto"/>
                <w:right w:val="none" w:sz="0" w:space="0" w:color="auto"/>
              </w:divBdr>
            </w:div>
            <w:div w:id="1736973887">
              <w:marLeft w:val="0"/>
              <w:marRight w:val="0"/>
              <w:marTop w:val="0"/>
              <w:marBottom w:val="0"/>
              <w:divBdr>
                <w:top w:val="none" w:sz="0" w:space="0" w:color="auto"/>
                <w:left w:val="none" w:sz="0" w:space="0" w:color="auto"/>
                <w:bottom w:val="none" w:sz="0" w:space="0" w:color="auto"/>
                <w:right w:val="none" w:sz="0" w:space="0" w:color="auto"/>
              </w:divBdr>
            </w:div>
            <w:div w:id="1864976607">
              <w:marLeft w:val="0"/>
              <w:marRight w:val="0"/>
              <w:marTop w:val="0"/>
              <w:marBottom w:val="0"/>
              <w:divBdr>
                <w:top w:val="none" w:sz="0" w:space="0" w:color="auto"/>
                <w:left w:val="none" w:sz="0" w:space="0" w:color="auto"/>
                <w:bottom w:val="none" w:sz="0" w:space="0" w:color="auto"/>
                <w:right w:val="none" w:sz="0" w:space="0" w:color="auto"/>
              </w:divBdr>
            </w:div>
          </w:divsChild>
        </w:div>
        <w:div w:id="128831483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
            <w:div w:id="35545527">
              <w:marLeft w:val="0"/>
              <w:marRight w:val="0"/>
              <w:marTop w:val="0"/>
              <w:marBottom w:val="0"/>
              <w:divBdr>
                <w:top w:val="none" w:sz="0" w:space="0" w:color="auto"/>
                <w:left w:val="none" w:sz="0" w:space="0" w:color="auto"/>
                <w:bottom w:val="none" w:sz="0" w:space="0" w:color="auto"/>
                <w:right w:val="none" w:sz="0" w:space="0" w:color="auto"/>
              </w:divBdr>
            </w:div>
            <w:div w:id="179051410">
              <w:marLeft w:val="0"/>
              <w:marRight w:val="0"/>
              <w:marTop w:val="0"/>
              <w:marBottom w:val="0"/>
              <w:divBdr>
                <w:top w:val="none" w:sz="0" w:space="0" w:color="auto"/>
                <w:left w:val="none" w:sz="0" w:space="0" w:color="auto"/>
                <w:bottom w:val="none" w:sz="0" w:space="0" w:color="auto"/>
                <w:right w:val="none" w:sz="0" w:space="0" w:color="auto"/>
              </w:divBdr>
            </w:div>
            <w:div w:id="250967394">
              <w:marLeft w:val="0"/>
              <w:marRight w:val="0"/>
              <w:marTop w:val="0"/>
              <w:marBottom w:val="0"/>
              <w:divBdr>
                <w:top w:val="none" w:sz="0" w:space="0" w:color="auto"/>
                <w:left w:val="none" w:sz="0" w:space="0" w:color="auto"/>
                <w:bottom w:val="none" w:sz="0" w:space="0" w:color="auto"/>
                <w:right w:val="none" w:sz="0" w:space="0" w:color="auto"/>
              </w:divBdr>
            </w:div>
            <w:div w:id="276833100">
              <w:marLeft w:val="0"/>
              <w:marRight w:val="0"/>
              <w:marTop w:val="0"/>
              <w:marBottom w:val="0"/>
              <w:divBdr>
                <w:top w:val="none" w:sz="0" w:space="0" w:color="auto"/>
                <w:left w:val="none" w:sz="0" w:space="0" w:color="auto"/>
                <w:bottom w:val="none" w:sz="0" w:space="0" w:color="auto"/>
                <w:right w:val="none" w:sz="0" w:space="0" w:color="auto"/>
              </w:divBdr>
            </w:div>
            <w:div w:id="431902429">
              <w:marLeft w:val="0"/>
              <w:marRight w:val="0"/>
              <w:marTop w:val="0"/>
              <w:marBottom w:val="0"/>
              <w:divBdr>
                <w:top w:val="none" w:sz="0" w:space="0" w:color="auto"/>
                <w:left w:val="none" w:sz="0" w:space="0" w:color="auto"/>
                <w:bottom w:val="none" w:sz="0" w:space="0" w:color="auto"/>
                <w:right w:val="none" w:sz="0" w:space="0" w:color="auto"/>
              </w:divBdr>
            </w:div>
            <w:div w:id="441340113">
              <w:marLeft w:val="0"/>
              <w:marRight w:val="0"/>
              <w:marTop w:val="0"/>
              <w:marBottom w:val="0"/>
              <w:divBdr>
                <w:top w:val="none" w:sz="0" w:space="0" w:color="auto"/>
                <w:left w:val="none" w:sz="0" w:space="0" w:color="auto"/>
                <w:bottom w:val="none" w:sz="0" w:space="0" w:color="auto"/>
                <w:right w:val="none" w:sz="0" w:space="0" w:color="auto"/>
              </w:divBdr>
            </w:div>
            <w:div w:id="569384129">
              <w:marLeft w:val="0"/>
              <w:marRight w:val="0"/>
              <w:marTop w:val="0"/>
              <w:marBottom w:val="0"/>
              <w:divBdr>
                <w:top w:val="none" w:sz="0" w:space="0" w:color="auto"/>
                <w:left w:val="none" w:sz="0" w:space="0" w:color="auto"/>
                <w:bottom w:val="none" w:sz="0" w:space="0" w:color="auto"/>
                <w:right w:val="none" w:sz="0" w:space="0" w:color="auto"/>
              </w:divBdr>
            </w:div>
            <w:div w:id="624775364">
              <w:marLeft w:val="0"/>
              <w:marRight w:val="0"/>
              <w:marTop w:val="0"/>
              <w:marBottom w:val="0"/>
              <w:divBdr>
                <w:top w:val="none" w:sz="0" w:space="0" w:color="auto"/>
                <w:left w:val="none" w:sz="0" w:space="0" w:color="auto"/>
                <w:bottom w:val="none" w:sz="0" w:space="0" w:color="auto"/>
                <w:right w:val="none" w:sz="0" w:space="0" w:color="auto"/>
              </w:divBdr>
            </w:div>
            <w:div w:id="839539329">
              <w:marLeft w:val="0"/>
              <w:marRight w:val="0"/>
              <w:marTop w:val="0"/>
              <w:marBottom w:val="0"/>
              <w:divBdr>
                <w:top w:val="none" w:sz="0" w:space="0" w:color="auto"/>
                <w:left w:val="none" w:sz="0" w:space="0" w:color="auto"/>
                <w:bottom w:val="none" w:sz="0" w:space="0" w:color="auto"/>
                <w:right w:val="none" w:sz="0" w:space="0" w:color="auto"/>
              </w:divBdr>
            </w:div>
            <w:div w:id="967861440">
              <w:marLeft w:val="0"/>
              <w:marRight w:val="0"/>
              <w:marTop w:val="0"/>
              <w:marBottom w:val="0"/>
              <w:divBdr>
                <w:top w:val="none" w:sz="0" w:space="0" w:color="auto"/>
                <w:left w:val="none" w:sz="0" w:space="0" w:color="auto"/>
                <w:bottom w:val="none" w:sz="0" w:space="0" w:color="auto"/>
                <w:right w:val="none" w:sz="0" w:space="0" w:color="auto"/>
              </w:divBdr>
            </w:div>
            <w:div w:id="1014068540">
              <w:marLeft w:val="0"/>
              <w:marRight w:val="0"/>
              <w:marTop w:val="0"/>
              <w:marBottom w:val="0"/>
              <w:divBdr>
                <w:top w:val="none" w:sz="0" w:space="0" w:color="auto"/>
                <w:left w:val="none" w:sz="0" w:space="0" w:color="auto"/>
                <w:bottom w:val="none" w:sz="0" w:space="0" w:color="auto"/>
                <w:right w:val="none" w:sz="0" w:space="0" w:color="auto"/>
              </w:divBdr>
            </w:div>
            <w:div w:id="1085103184">
              <w:marLeft w:val="0"/>
              <w:marRight w:val="0"/>
              <w:marTop w:val="0"/>
              <w:marBottom w:val="0"/>
              <w:divBdr>
                <w:top w:val="none" w:sz="0" w:space="0" w:color="auto"/>
                <w:left w:val="none" w:sz="0" w:space="0" w:color="auto"/>
                <w:bottom w:val="none" w:sz="0" w:space="0" w:color="auto"/>
                <w:right w:val="none" w:sz="0" w:space="0" w:color="auto"/>
              </w:divBdr>
            </w:div>
            <w:div w:id="1176647437">
              <w:marLeft w:val="0"/>
              <w:marRight w:val="0"/>
              <w:marTop w:val="0"/>
              <w:marBottom w:val="0"/>
              <w:divBdr>
                <w:top w:val="none" w:sz="0" w:space="0" w:color="auto"/>
                <w:left w:val="none" w:sz="0" w:space="0" w:color="auto"/>
                <w:bottom w:val="none" w:sz="0" w:space="0" w:color="auto"/>
                <w:right w:val="none" w:sz="0" w:space="0" w:color="auto"/>
              </w:divBdr>
            </w:div>
            <w:div w:id="1335455422">
              <w:marLeft w:val="0"/>
              <w:marRight w:val="0"/>
              <w:marTop w:val="0"/>
              <w:marBottom w:val="0"/>
              <w:divBdr>
                <w:top w:val="none" w:sz="0" w:space="0" w:color="auto"/>
                <w:left w:val="none" w:sz="0" w:space="0" w:color="auto"/>
                <w:bottom w:val="none" w:sz="0" w:space="0" w:color="auto"/>
                <w:right w:val="none" w:sz="0" w:space="0" w:color="auto"/>
              </w:divBdr>
            </w:div>
            <w:div w:id="1361663516">
              <w:marLeft w:val="0"/>
              <w:marRight w:val="0"/>
              <w:marTop w:val="0"/>
              <w:marBottom w:val="0"/>
              <w:divBdr>
                <w:top w:val="none" w:sz="0" w:space="0" w:color="auto"/>
                <w:left w:val="none" w:sz="0" w:space="0" w:color="auto"/>
                <w:bottom w:val="none" w:sz="0" w:space="0" w:color="auto"/>
                <w:right w:val="none" w:sz="0" w:space="0" w:color="auto"/>
              </w:divBdr>
            </w:div>
            <w:div w:id="1605649476">
              <w:marLeft w:val="0"/>
              <w:marRight w:val="0"/>
              <w:marTop w:val="0"/>
              <w:marBottom w:val="0"/>
              <w:divBdr>
                <w:top w:val="none" w:sz="0" w:space="0" w:color="auto"/>
                <w:left w:val="none" w:sz="0" w:space="0" w:color="auto"/>
                <w:bottom w:val="none" w:sz="0" w:space="0" w:color="auto"/>
                <w:right w:val="none" w:sz="0" w:space="0" w:color="auto"/>
              </w:divBdr>
            </w:div>
          </w:divsChild>
        </w:div>
        <w:div w:id="1517379573">
          <w:marLeft w:val="0"/>
          <w:marRight w:val="0"/>
          <w:marTop w:val="0"/>
          <w:marBottom w:val="0"/>
          <w:divBdr>
            <w:top w:val="none" w:sz="0" w:space="0" w:color="auto"/>
            <w:left w:val="none" w:sz="0" w:space="0" w:color="auto"/>
            <w:bottom w:val="none" w:sz="0" w:space="0" w:color="auto"/>
            <w:right w:val="none" w:sz="0" w:space="0" w:color="auto"/>
          </w:divBdr>
          <w:divsChild>
            <w:div w:id="46030016">
              <w:marLeft w:val="0"/>
              <w:marRight w:val="0"/>
              <w:marTop w:val="0"/>
              <w:marBottom w:val="0"/>
              <w:divBdr>
                <w:top w:val="none" w:sz="0" w:space="0" w:color="auto"/>
                <w:left w:val="none" w:sz="0" w:space="0" w:color="auto"/>
                <w:bottom w:val="none" w:sz="0" w:space="0" w:color="auto"/>
                <w:right w:val="none" w:sz="0" w:space="0" w:color="auto"/>
              </w:divBdr>
            </w:div>
            <w:div w:id="186214607">
              <w:marLeft w:val="0"/>
              <w:marRight w:val="0"/>
              <w:marTop w:val="0"/>
              <w:marBottom w:val="0"/>
              <w:divBdr>
                <w:top w:val="none" w:sz="0" w:space="0" w:color="auto"/>
                <w:left w:val="none" w:sz="0" w:space="0" w:color="auto"/>
                <w:bottom w:val="none" w:sz="0" w:space="0" w:color="auto"/>
                <w:right w:val="none" w:sz="0" w:space="0" w:color="auto"/>
              </w:divBdr>
            </w:div>
            <w:div w:id="282470212">
              <w:marLeft w:val="0"/>
              <w:marRight w:val="0"/>
              <w:marTop w:val="0"/>
              <w:marBottom w:val="0"/>
              <w:divBdr>
                <w:top w:val="none" w:sz="0" w:space="0" w:color="auto"/>
                <w:left w:val="none" w:sz="0" w:space="0" w:color="auto"/>
                <w:bottom w:val="none" w:sz="0" w:space="0" w:color="auto"/>
                <w:right w:val="none" w:sz="0" w:space="0" w:color="auto"/>
              </w:divBdr>
            </w:div>
            <w:div w:id="312173989">
              <w:marLeft w:val="0"/>
              <w:marRight w:val="0"/>
              <w:marTop w:val="0"/>
              <w:marBottom w:val="0"/>
              <w:divBdr>
                <w:top w:val="none" w:sz="0" w:space="0" w:color="auto"/>
                <w:left w:val="none" w:sz="0" w:space="0" w:color="auto"/>
                <w:bottom w:val="none" w:sz="0" w:space="0" w:color="auto"/>
                <w:right w:val="none" w:sz="0" w:space="0" w:color="auto"/>
              </w:divBdr>
            </w:div>
            <w:div w:id="342321168">
              <w:marLeft w:val="0"/>
              <w:marRight w:val="0"/>
              <w:marTop w:val="0"/>
              <w:marBottom w:val="0"/>
              <w:divBdr>
                <w:top w:val="none" w:sz="0" w:space="0" w:color="auto"/>
                <w:left w:val="none" w:sz="0" w:space="0" w:color="auto"/>
                <w:bottom w:val="none" w:sz="0" w:space="0" w:color="auto"/>
                <w:right w:val="none" w:sz="0" w:space="0" w:color="auto"/>
              </w:divBdr>
            </w:div>
            <w:div w:id="1299456934">
              <w:marLeft w:val="0"/>
              <w:marRight w:val="0"/>
              <w:marTop w:val="0"/>
              <w:marBottom w:val="0"/>
              <w:divBdr>
                <w:top w:val="none" w:sz="0" w:space="0" w:color="auto"/>
                <w:left w:val="none" w:sz="0" w:space="0" w:color="auto"/>
                <w:bottom w:val="none" w:sz="0" w:space="0" w:color="auto"/>
                <w:right w:val="none" w:sz="0" w:space="0" w:color="auto"/>
              </w:divBdr>
            </w:div>
            <w:div w:id="1839493352">
              <w:marLeft w:val="0"/>
              <w:marRight w:val="0"/>
              <w:marTop w:val="0"/>
              <w:marBottom w:val="0"/>
              <w:divBdr>
                <w:top w:val="none" w:sz="0" w:space="0" w:color="auto"/>
                <w:left w:val="none" w:sz="0" w:space="0" w:color="auto"/>
                <w:bottom w:val="none" w:sz="0" w:space="0" w:color="auto"/>
                <w:right w:val="none" w:sz="0" w:space="0" w:color="auto"/>
              </w:divBdr>
            </w:div>
            <w:div w:id="1934170314">
              <w:marLeft w:val="0"/>
              <w:marRight w:val="0"/>
              <w:marTop w:val="0"/>
              <w:marBottom w:val="0"/>
              <w:divBdr>
                <w:top w:val="none" w:sz="0" w:space="0" w:color="auto"/>
                <w:left w:val="none" w:sz="0" w:space="0" w:color="auto"/>
                <w:bottom w:val="none" w:sz="0" w:space="0" w:color="auto"/>
                <w:right w:val="none" w:sz="0" w:space="0" w:color="auto"/>
              </w:divBdr>
            </w:div>
          </w:divsChild>
        </w:div>
        <w:div w:id="1804427571">
          <w:marLeft w:val="0"/>
          <w:marRight w:val="0"/>
          <w:marTop w:val="0"/>
          <w:marBottom w:val="0"/>
          <w:divBdr>
            <w:top w:val="none" w:sz="0" w:space="0" w:color="auto"/>
            <w:left w:val="none" w:sz="0" w:space="0" w:color="auto"/>
            <w:bottom w:val="none" w:sz="0" w:space="0" w:color="auto"/>
            <w:right w:val="none" w:sz="0" w:space="0" w:color="auto"/>
          </w:divBdr>
          <w:divsChild>
            <w:div w:id="189340011">
              <w:marLeft w:val="0"/>
              <w:marRight w:val="0"/>
              <w:marTop w:val="0"/>
              <w:marBottom w:val="0"/>
              <w:divBdr>
                <w:top w:val="none" w:sz="0" w:space="0" w:color="auto"/>
                <w:left w:val="none" w:sz="0" w:space="0" w:color="auto"/>
                <w:bottom w:val="none" w:sz="0" w:space="0" w:color="auto"/>
                <w:right w:val="none" w:sz="0" w:space="0" w:color="auto"/>
              </w:divBdr>
            </w:div>
            <w:div w:id="386491067">
              <w:marLeft w:val="0"/>
              <w:marRight w:val="0"/>
              <w:marTop w:val="0"/>
              <w:marBottom w:val="0"/>
              <w:divBdr>
                <w:top w:val="none" w:sz="0" w:space="0" w:color="auto"/>
                <w:left w:val="none" w:sz="0" w:space="0" w:color="auto"/>
                <w:bottom w:val="none" w:sz="0" w:space="0" w:color="auto"/>
                <w:right w:val="none" w:sz="0" w:space="0" w:color="auto"/>
              </w:divBdr>
            </w:div>
            <w:div w:id="519130318">
              <w:marLeft w:val="0"/>
              <w:marRight w:val="0"/>
              <w:marTop w:val="0"/>
              <w:marBottom w:val="0"/>
              <w:divBdr>
                <w:top w:val="none" w:sz="0" w:space="0" w:color="auto"/>
                <w:left w:val="none" w:sz="0" w:space="0" w:color="auto"/>
                <w:bottom w:val="none" w:sz="0" w:space="0" w:color="auto"/>
                <w:right w:val="none" w:sz="0" w:space="0" w:color="auto"/>
              </w:divBdr>
            </w:div>
            <w:div w:id="580257681">
              <w:marLeft w:val="0"/>
              <w:marRight w:val="0"/>
              <w:marTop w:val="0"/>
              <w:marBottom w:val="0"/>
              <w:divBdr>
                <w:top w:val="none" w:sz="0" w:space="0" w:color="auto"/>
                <w:left w:val="none" w:sz="0" w:space="0" w:color="auto"/>
                <w:bottom w:val="none" w:sz="0" w:space="0" w:color="auto"/>
                <w:right w:val="none" w:sz="0" w:space="0" w:color="auto"/>
              </w:divBdr>
            </w:div>
            <w:div w:id="581525010">
              <w:marLeft w:val="0"/>
              <w:marRight w:val="0"/>
              <w:marTop w:val="0"/>
              <w:marBottom w:val="0"/>
              <w:divBdr>
                <w:top w:val="none" w:sz="0" w:space="0" w:color="auto"/>
                <w:left w:val="none" w:sz="0" w:space="0" w:color="auto"/>
                <w:bottom w:val="none" w:sz="0" w:space="0" w:color="auto"/>
                <w:right w:val="none" w:sz="0" w:space="0" w:color="auto"/>
              </w:divBdr>
            </w:div>
            <w:div w:id="622468483">
              <w:marLeft w:val="0"/>
              <w:marRight w:val="0"/>
              <w:marTop w:val="0"/>
              <w:marBottom w:val="0"/>
              <w:divBdr>
                <w:top w:val="none" w:sz="0" w:space="0" w:color="auto"/>
                <w:left w:val="none" w:sz="0" w:space="0" w:color="auto"/>
                <w:bottom w:val="none" w:sz="0" w:space="0" w:color="auto"/>
                <w:right w:val="none" w:sz="0" w:space="0" w:color="auto"/>
              </w:divBdr>
            </w:div>
            <w:div w:id="629360599">
              <w:marLeft w:val="0"/>
              <w:marRight w:val="0"/>
              <w:marTop w:val="0"/>
              <w:marBottom w:val="0"/>
              <w:divBdr>
                <w:top w:val="none" w:sz="0" w:space="0" w:color="auto"/>
                <w:left w:val="none" w:sz="0" w:space="0" w:color="auto"/>
                <w:bottom w:val="none" w:sz="0" w:space="0" w:color="auto"/>
                <w:right w:val="none" w:sz="0" w:space="0" w:color="auto"/>
              </w:divBdr>
            </w:div>
            <w:div w:id="672730584">
              <w:marLeft w:val="0"/>
              <w:marRight w:val="0"/>
              <w:marTop w:val="0"/>
              <w:marBottom w:val="0"/>
              <w:divBdr>
                <w:top w:val="none" w:sz="0" w:space="0" w:color="auto"/>
                <w:left w:val="none" w:sz="0" w:space="0" w:color="auto"/>
                <w:bottom w:val="none" w:sz="0" w:space="0" w:color="auto"/>
                <w:right w:val="none" w:sz="0" w:space="0" w:color="auto"/>
              </w:divBdr>
            </w:div>
            <w:div w:id="865480236">
              <w:marLeft w:val="0"/>
              <w:marRight w:val="0"/>
              <w:marTop w:val="0"/>
              <w:marBottom w:val="0"/>
              <w:divBdr>
                <w:top w:val="none" w:sz="0" w:space="0" w:color="auto"/>
                <w:left w:val="none" w:sz="0" w:space="0" w:color="auto"/>
                <w:bottom w:val="none" w:sz="0" w:space="0" w:color="auto"/>
                <w:right w:val="none" w:sz="0" w:space="0" w:color="auto"/>
              </w:divBdr>
            </w:div>
            <w:div w:id="885340328">
              <w:marLeft w:val="0"/>
              <w:marRight w:val="0"/>
              <w:marTop w:val="0"/>
              <w:marBottom w:val="0"/>
              <w:divBdr>
                <w:top w:val="none" w:sz="0" w:space="0" w:color="auto"/>
                <w:left w:val="none" w:sz="0" w:space="0" w:color="auto"/>
                <w:bottom w:val="none" w:sz="0" w:space="0" w:color="auto"/>
                <w:right w:val="none" w:sz="0" w:space="0" w:color="auto"/>
              </w:divBdr>
            </w:div>
            <w:div w:id="965231400">
              <w:marLeft w:val="0"/>
              <w:marRight w:val="0"/>
              <w:marTop w:val="0"/>
              <w:marBottom w:val="0"/>
              <w:divBdr>
                <w:top w:val="none" w:sz="0" w:space="0" w:color="auto"/>
                <w:left w:val="none" w:sz="0" w:space="0" w:color="auto"/>
                <w:bottom w:val="none" w:sz="0" w:space="0" w:color="auto"/>
                <w:right w:val="none" w:sz="0" w:space="0" w:color="auto"/>
              </w:divBdr>
            </w:div>
            <w:div w:id="1101535936">
              <w:marLeft w:val="0"/>
              <w:marRight w:val="0"/>
              <w:marTop w:val="0"/>
              <w:marBottom w:val="0"/>
              <w:divBdr>
                <w:top w:val="none" w:sz="0" w:space="0" w:color="auto"/>
                <w:left w:val="none" w:sz="0" w:space="0" w:color="auto"/>
                <w:bottom w:val="none" w:sz="0" w:space="0" w:color="auto"/>
                <w:right w:val="none" w:sz="0" w:space="0" w:color="auto"/>
              </w:divBdr>
            </w:div>
            <w:div w:id="1147937728">
              <w:marLeft w:val="0"/>
              <w:marRight w:val="0"/>
              <w:marTop w:val="0"/>
              <w:marBottom w:val="0"/>
              <w:divBdr>
                <w:top w:val="none" w:sz="0" w:space="0" w:color="auto"/>
                <w:left w:val="none" w:sz="0" w:space="0" w:color="auto"/>
                <w:bottom w:val="none" w:sz="0" w:space="0" w:color="auto"/>
                <w:right w:val="none" w:sz="0" w:space="0" w:color="auto"/>
              </w:divBdr>
            </w:div>
            <w:div w:id="1233005762">
              <w:marLeft w:val="0"/>
              <w:marRight w:val="0"/>
              <w:marTop w:val="0"/>
              <w:marBottom w:val="0"/>
              <w:divBdr>
                <w:top w:val="none" w:sz="0" w:space="0" w:color="auto"/>
                <w:left w:val="none" w:sz="0" w:space="0" w:color="auto"/>
                <w:bottom w:val="none" w:sz="0" w:space="0" w:color="auto"/>
                <w:right w:val="none" w:sz="0" w:space="0" w:color="auto"/>
              </w:divBdr>
            </w:div>
            <w:div w:id="1312520569">
              <w:marLeft w:val="0"/>
              <w:marRight w:val="0"/>
              <w:marTop w:val="0"/>
              <w:marBottom w:val="0"/>
              <w:divBdr>
                <w:top w:val="none" w:sz="0" w:space="0" w:color="auto"/>
                <w:left w:val="none" w:sz="0" w:space="0" w:color="auto"/>
                <w:bottom w:val="none" w:sz="0" w:space="0" w:color="auto"/>
                <w:right w:val="none" w:sz="0" w:space="0" w:color="auto"/>
              </w:divBdr>
            </w:div>
            <w:div w:id="1517580095">
              <w:marLeft w:val="0"/>
              <w:marRight w:val="0"/>
              <w:marTop w:val="0"/>
              <w:marBottom w:val="0"/>
              <w:divBdr>
                <w:top w:val="none" w:sz="0" w:space="0" w:color="auto"/>
                <w:left w:val="none" w:sz="0" w:space="0" w:color="auto"/>
                <w:bottom w:val="none" w:sz="0" w:space="0" w:color="auto"/>
                <w:right w:val="none" w:sz="0" w:space="0" w:color="auto"/>
              </w:divBdr>
            </w:div>
            <w:div w:id="1806509752">
              <w:marLeft w:val="0"/>
              <w:marRight w:val="0"/>
              <w:marTop w:val="0"/>
              <w:marBottom w:val="0"/>
              <w:divBdr>
                <w:top w:val="none" w:sz="0" w:space="0" w:color="auto"/>
                <w:left w:val="none" w:sz="0" w:space="0" w:color="auto"/>
                <w:bottom w:val="none" w:sz="0" w:space="0" w:color="auto"/>
                <w:right w:val="none" w:sz="0" w:space="0" w:color="auto"/>
              </w:divBdr>
            </w:div>
            <w:div w:id="1914045110">
              <w:marLeft w:val="0"/>
              <w:marRight w:val="0"/>
              <w:marTop w:val="0"/>
              <w:marBottom w:val="0"/>
              <w:divBdr>
                <w:top w:val="none" w:sz="0" w:space="0" w:color="auto"/>
                <w:left w:val="none" w:sz="0" w:space="0" w:color="auto"/>
                <w:bottom w:val="none" w:sz="0" w:space="0" w:color="auto"/>
                <w:right w:val="none" w:sz="0" w:space="0" w:color="auto"/>
              </w:divBdr>
            </w:div>
            <w:div w:id="1982536325">
              <w:marLeft w:val="0"/>
              <w:marRight w:val="0"/>
              <w:marTop w:val="0"/>
              <w:marBottom w:val="0"/>
              <w:divBdr>
                <w:top w:val="none" w:sz="0" w:space="0" w:color="auto"/>
                <w:left w:val="none" w:sz="0" w:space="0" w:color="auto"/>
                <w:bottom w:val="none" w:sz="0" w:space="0" w:color="auto"/>
                <w:right w:val="none" w:sz="0" w:space="0" w:color="auto"/>
              </w:divBdr>
            </w:div>
            <w:div w:id="2025664300">
              <w:marLeft w:val="0"/>
              <w:marRight w:val="0"/>
              <w:marTop w:val="0"/>
              <w:marBottom w:val="0"/>
              <w:divBdr>
                <w:top w:val="none" w:sz="0" w:space="0" w:color="auto"/>
                <w:left w:val="none" w:sz="0" w:space="0" w:color="auto"/>
                <w:bottom w:val="none" w:sz="0" w:space="0" w:color="auto"/>
                <w:right w:val="none" w:sz="0" w:space="0" w:color="auto"/>
              </w:divBdr>
            </w:div>
            <w:div w:id="2035156930">
              <w:marLeft w:val="0"/>
              <w:marRight w:val="0"/>
              <w:marTop w:val="0"/>
              <w:marBottom w:val="0"/>
              <w:divBdr>
                <w:top w:val="none" w:sz="0" w:space="0" w:color="auto"/>
                <w:left w:val="none" w:sz="0" w:space="0" w:color="auto"/>
                <w:bottom w:val="none" w:sz="0" w:space="0" w:color="auto"/>
                <w:right w:val="none" w:sz="0" w:space="0" w:color="auto"/>
              </w:divBdr>
            </w:div>
          </w:divsChild>
        </w:div>
        <w:div w:id="1956473441">
          <w:marLeft w:val="0"/>
          <w:marRight w:val="0"/>
          <w:marTop w:val="0"/>
          <w:marBottom w:val="0"/>
          <w:divBdr>
            <w:top w:val="none" w:sz="0" w:space="0" w:color="auto"/>
            <w:left w:val="none" w:sz="0" w:space="0" w:color="auto"/>
            <w:bottom w:val="none" w:sz="0" w:space="0" w:color="auto"/>
            <w:right w:val="none" w:sz="0" w:space="0" w:color="auto"/>
          </w:divBdr>
          <w:divsChild>
            <w:div w:id="26375453">
              <w:marLeft w:val="0"/>
              <w:marRight w:val="0"/>
              <w:marTop w:val="0"/>
              <w:marBottom w:val="0"/>
              <w:divBdr>
                <w:top w:val="none" w:sz="0" w:space="0" w:color="auto"/>
                <w:left w:val="none" w:sz="0" w:space="0" w:color="auto"/>
                <w:bottom w:val="none" w:sz="0" w:space="0" w:color="auto"/>
                <w:right w:val="none" w:sz="0" w:space="0" w:color="auto"/>
              </w:divBdr>
            </w:div>
            <w:div w:id="29114704">
              <w:marLeft w:val="0"/>
              <w:marRight w:val="0"/>
              <w:marTop w:val="0"/>
              <w:marBottom w:val="0"/>
              <w:divBdr>
                <w:top w:val="none" w:sz="0" w:space="0" w:color="auto"/>
                <w:left w:val="none" w:sz="0" w:space="0" w:color="auto"/>
                <w:bottom w:val="none" w:sz="0" w:space="0" w:color="auto"/>
                <w:right w:val="none" w:sz="0" w:space="0" w:color="auto"/>
              </w:divBdr>
            </w:div>
            <w:div w:id="117846134">
              <w:marLeft w:val="0"/>
              <w:marRight w:val="0"/>
              <w:marTop w:val="0"/>
              <w:marBottom w:val="0"/>
              <w:divBdr>
                <w:top w:val="none" w:sz="0" w:space="0" w:color="auto"/>
                <w:left w:val="none" w:sz="0" w:space="0" w:color="auto"/>
                <w:bottom w:val="none" w:sz="0" w:space="0" w:color="auto"/>
                <w:right w:val="none" w:sz="0" w:space="0" w:color="auto"/>
              </w:divBdr>
            </w:div>
            <w:div w:id="214245007">
              <w:marLeft w:val="0"/>
              <w:marRight w:val="0"/>
              <w:marTop w:val="0"/>
              <w:marBottom w:val="0"/>
              <w:divBdr>
                <w:top w:val="none" w:sz="0" w:space="0" w:color="auto"/>
                <w:left w:val="none" w:sz="0" w:space="0" w:color="auto"/>
                <w:bottom w:val="none" w:sz="0" w:space="0" w:color="auto"/>
                <w:right w:val="none" w:sz="0" w:space="0" w:color="auto"/>
              </w:divBdr>
            </w:div>
            <w:div w:id="218325867">
              <w:marLeft w:val="0"/>
              <w:marRight w:val="0"/>
              <w:marTop w:val="0"/>
              <w:marBottom w:val="0"/>
              <w:divBdr>
                <w:top w:val="none" w:sz="0" w:space="0" w:color="auto"/>
                <w:left w:val="none" w:sz="0" w:space="0" w:color="auto"/>
                <w:bottom w:val="none" w:sz="0" w:space="0" w:color="auto"/>
                <w:right w:val="none" w:sz="0" w:space="0" w:color="auto"/>
              </w:divBdr>
            </w:div>
            <w:div w:id="244650945">
              <w:marLeft w:val="0"/>
              <w:marRight w:val="0"/>
              <w:marTop w:val="0"/>
              <w:marBottom w:val="0"/>
              <w:divBdr>
                <w:top w:val="none" w:sz="0" w:space="0" w:color="auto"/>
                <w:left w:val="none" w:sz="0" w:space="0" w:color="auto"/>
                <w:bottom w:val="none" w:sz="0" w:space="0" w:color="auto"/>
                <w:right w:val="none" w:sz="0" w:space="0" w:color="auto"/>
              </w:divBdr>
            </w:div>
            <w:div w:id="284695136">
              <w:marLeft w:val="0"/>
              <w:marRight w:val="0"/>
              <w:marTop w:val="0"/>
              <w:marBottom w:val="0"/>
              <w:divBdr>
                <w:top w:val="none" w:sz="0" w:space="0" w:color="auto"/>
                <w:left w:val="none" w:sz="0" w:space="0" w:color="auto"/>
                <w:bottom w:val="none" w:sz="0" w:space="0" w:color="auto"/>
                <w:right w:val="none" w:sz="0" w:space="0" w:color="auto"/>
              </w:divBdr>
            </w:div>
            <w:div w:id="471218945">
              <w:marLeft w:val="0"/>
              <w:marRight w:val="0"/>
              <w:marTop w:val="0"/>
              <w:marBottom w:val="0"/>
              <w:divBdr>
                <w:top w:val="none" w:sz="0" w:space="0" w:color="auto"/>
                <w:left w:val="none" w:sz="0" w:space="0" w:color="auto"/>
                <w:bottom w:val="none" w:sz="0" w:space="0" w:color="auto"/>
                <w:right w:val="none" w:sz="0" w:space="0" w:color="auto"/>
              </w:divBdr>
            </w:div>
            <w:div w:id="578945089">
              <w:marLeft w:val="0"/>
              <w:marRight w:val="0"/>
              <w:marTop w:val="0"/>
              <w:marBottom w:val="0"/>
              <w:divBdr>
                <w:top w:val="none" w:sz="0" w:space="0" w:color="auto"/>
                <w:left w:val="none" w:sz="0" w:space="0" w:color="auto"/>
                <w:bottom w:val="none" w:sz="0" w:space="0" w:color="auto"/>
                <w:right w:val="none" w:sz="0" w:space="0" w:color="auto"/>
              </w:divBdr>
            </w:div>
            <w:div w:id="620960756">
              <w:marLeft w:val="0"/>
              <w:marRight w:val="0"/>
              <w:marTop w:val="0"/>
              <w:marBottom w:val="0"/>
              <w:divBdr>
                <w:top w:val="none" w:sz="0" w:space="0" w:color="auto"/>
                <w:left w:val="none" w:sz="0" w:space="0" w:color="auto"/>
                <w:bottom w:val="none" w:sz="0" w:space="0" w:color="auto"/>
                <w:right w:val="none" w:sz="0" w:space="0" w:color="auto"/>
              </w:divBdr>
            </w:div>
            <w:div w:id="667446547">
              <w:marLeft w:val="0"/>
              <w:marRight w:val="0"/>
              <w:marTop w:val="0"/>
              <w:marBottom w:val="0"/>
              <w:divBdr>
                <w:top w:val="none" w:sz="0" w:space="0" w:color="auto"/>
                <w:left w:val="none" w:sz="0" w:space="0" w:color="auto"/>
                <w:bottom w:val="none" w:sz="0" w:space="0" w:color="auto"/>
                <w:right w:val="none" w:sz="0" w:space="0" w:color="auto"/>
              </w:divBdr>
            </w:div>
            <w:div w:id="675613817">
              <w:marLeft w:val="0"/>
              <w:marRight w:val="0"/>
              <w:marTop w:val="0"/>
              <w:marBottom w:val="0"/>
              <w:divBdr>
                <w:top w:val="none" w:sz="0" w:space="0" w:color="auto"/>
                <w:left w:val="none" w:sz="0" w:space="0" w:color="auto"/>
                <w:bottom w:val="none" w:sz="0" w:space="0" w:color="auto"/>
                <w:right w:val="none" w:sz="0" w:space="0" w:color="auto"/>
              </w:divBdr>
            </w:div>
            <w:div w:id="995689878">
              <w:marLeft w:val="0"/>
              <w:marRight w:val="0"/>
              <w:marTop w:val="0"/>
              <w:marBottom w:val="0"/>
              <w:divBdr>
                <w:top w:val="none" w:sz="0" w:space="0" w:color="auto"/>
                <w:left w:val="none" w:sz="0" w:space="0" w:color="auto"/>
                <w:bottom w:val="none" w:sz="0" w:space="0" w:color="auto"/>
                <w:right w:val="none" w:sz="0" w:space="0" w:color="auto"/>
              </w:divBdr>
            </w:div>
            <w:div w:id="1183282814">
              <w:marLeft w:val="0"/>
              <w:marRight w:val="0"/>
              <w:marTop w:val="0"/>
              <w:marBottom w:val="0"/>
              <w:divBdr>
                <w:top w:val="none" w:sz="0" w:space="0" w:color="auto"/>
                <w:left w:val="none" w:sz="0" w:space="0" w:color="auto"/>
                <w:bottom w:val="none" w:sz="0" w:space="0" w:color="auto"/>
                <w:right w:val="none" w:sz="0" w:space="0" w:color="auto"/>
              </w:divBdr>
            </w:div>
            <w:div w:id="1333798388">
              <w:marLeft w:val="0"/>
              <w:marRight w:val="0"/>
              <w:marTop w:val="0"/>
              <w:marBottom w:val="0"/>
              <w:divBdr>
                <w:top w:val="none" w:sz="0" w:space="0" w:color="auto"/>
                <w:left w:val="none" w:sz="0" w:space="0" w:color="auto"/>
                <w:bottom w:val="none" w:sz="0" w:space="0" w:color="auto"/>
                <w:right w:val="none" w:sz="0" w:space="0" w:color="auto"/>
              </w:divBdr>
            </w:div>
            <w:div w:id="1621641797">
              <w:marLeft w:val="0"/>
              <w:marRight w:val="0"/>
              <w:marTop w:val="0"/>
              <w:marBottom w:val="0"/>
              <w:divBdr>
                <w:top w:val="none" w:sz="0" w:space="0" w:color="auto"/>
                <w:left w:val="none" w:sz="0" w:space="0" w:color="auto"/>
                <w:bottom w:val="none" w:sz="0" w:space="0" w:color="auto"/>
                <w:right w:val="none" w:sz="0" w:space="0" w:color="auto"/>
              </w:divBdr>
            </w:div>
            <w:div w:id="1705132266">
              <w:marLeft w:val="0"/>
              <w:marRight w:val="0"/>
              <w:marTop w:val="0"/>
              <w:marBottom w:val="0"/>
              <w:divBdr>
                <w:top w:val="none" w:sz="0" w:space="0" w:color="auto"/>
                <w:left w:val="none" w:sz="0" w:space="0" w:color="auto"/>
                <w:bottom w:val="none" w:sz="0" w:space="0" w:color="auto"/>
                <w:right w:val="none" w:sz="0" w:space="0" w:color="auto"/>
              </w:divBdr>
            </w:div>
            <w:div w:id="1856962653">
              <w:marLeft w:val="0"/>
              <w:marRight w:val="0"/>
              <w:marTop w:val="0"/>
              <w:marBottom w:val="0"/>
              <w:divBdr>
                <w:top w:val="none" w:sz="0" w:space="0" w:color="auto"/>
                <w:left w:val="none" w:sz="0" w:space="0" w:color="auto"/>
                <w:bottom w:val="none" w:sz="0" w:space="0" w:color="auto"/>
                <w:right w:val="none" w:sz="0" w:space="0" w:color="auto"/>
              </w:divBdr>
            </w:div>
            <w:div w:id="1885021022">
              <w:marLeft w:val="0"/>
              <w:marRight w:val="0"/>
              <w:marTop w:val="0"/>
              <w:marBottom w:val="0"/>
              <w:divBdr>
                <w:top w:val="none" w:sz="0" w:space="0" w:color="auto"/>
                <w:left w:val="none" w:sz="0" w:space="0" w:color="auto"/>
                <w:bottom w:val="none" w:sz="0" w:space="0" w:color="auto"/>
                <w:right w:val="none" w:sz="0" w:space="0" w:color="auto"/>
              </w:divBdr>
            </w:div>
            <w:div w:id="1900748002">
              <w:marLeft w:val="0"/>
              <w:marRight w:val="0"/>
              <w:marTop w:val="0"/>
              <w:marBottom w:val="0"/>
              <w:divBdr>
                <w:top w:val="none" w:sz="0" w:space="0" w:color="auto"/>
                <w:left w:val="none" w:sz="0" w:space="0" w:color="auto"/>
                <w:bottom w:val="none" w:sz="0" w:space="0" w:color="auto"/>
                <w:right w:val="none" w:sz="0" w:space="0" w:color="auto"/>
              </w:divBdr>
            </w:div>
            <w:div w:id="1902129639">
              <w:marLeft w:val="0"/>
              <w:marRight w:val="0"/>
              <w:marTop w:val="0"/>
              <w:marBottom w:val="0"/>
              <w:divBdr>
                <w:top w:val="none" w:sz="0" w:space="0" w:color="auto"/>
                <w:left w:val="none" w:sz="0" w:space="0" w:color="auto"/>
                <w:bottom w:val="none" w:sz="0" w:space="0" w:color="auto"/>
                <w:right w:val="none" w:sz="0" w:space="0" w:color="auto"/>
              </w:divBdr>
            </w:div>
            <w:div w:id="1905482669">
              <w:marLeft w:val="0"/>
              <w:marRight w:val="0"/>
              <w:marTop w:val="0"/>
              <w:marBottom w:val="0"/>
              <w:divBdr>
                <w:top w:val="none" w:sz="0" w:space="0" w:color="auto"/>
                <w:left w:val="none" w:sz="0" w:space="0" w:color="auto"/>
                <w:bottom w:val="none" w:sz="0" w:space="0" w:color="auto"/>
                <w:right w:val="none" w:sz="0" w:space="0" w:color="auto"/>
              </w:divBdr>
            </w:div>
            <w:div w:id="2000620021">
              <w:marLeft w:val="0"/>
              <w:marRight w:val="0"/>
              <w:marTop w:val="0"/>
              <w:marBottom w:val="0"/>
              <w:divBdr>
                <w:top w:val="none" w:sz="0" w:space="0" w:color="auto"/>
                <w:left w:val="none" w:sz="0" w:space="0" w:color="auto"/>
                <w:bottom w:val="none" w:sz="0" w:space="0" w:color="auto"/>
                <w:right w:val="none" w:sz="0" w:space="0" w:color="auto"/>
              </w:divBdr>
            </w:div>
            <w:div w:id="2059501541">
              <w:marLeft w:val="0"/>
              <w:marRight w:val="0"/>
              <w:marTop w:val="0"/>
              <w:marBottom w:val="0"/>
              <w:divBdr>
                <w:top w:val="none" w:sz="0" w:space="0" w:color="auto"/>
                <w:left w:val="none" w:sz="0" w:space="0" w:color="auto"/>
                <w:bottom w:val="none" w:sz="0" w:space="0" w:color="auto"/>
                <w:right w:val="none" w:sz="0" w:space="0" w:color="auto"/>
              </w:divBdr>
            </w:div>
          </w:divsChild>
        </w:div>
        <w:div w:id="2001620097">
          <w:marLeft w:val="0"/>
          <w:marRight w:val="0"/>
          <w:marTop w:val="0"/>
          <w:marBottom w:val="0"/>
          <w:divBdr>
            <w:top w:val="none" w:sz="0" w:space="0" w:color="auto"/>
            <w:left w:val="none" w:sz="0" w:space="0" w:color="auto"/>
            <w:bottom w:val="none" w:sz="0" w:space="0" w:color="auto"/>
            <w:right w:val="none" w:sz="0" w:space="0" w:color="auto"/>
          </w:divBdr>
          <w:divsChild>
            <w:div w:id="9643268">
              <w:marLeft w:val="0"/>
              <w:marRight w:val="0"/>
              <w:marTop w:val="0"/>
              <w:marBottom w:val="0"/>
              <w:divBdr>
                <w:top w:val="none" w:sz="0" w:space="0" w:color="auto"/>
                <w:left w:val="none" w:sz="0" w:space="0" w:color="auto"/>
                <w:bottom w:val="none" w:sz="0" w:space="0" w:color="auto"/>
                <w:right w:val="none" w:sz="0" w:space="0" w:color="auto"/>
              </w:divBdr>
            </w:div>
            <w:div w:id="50425284">
              <w:marLeft w:val="0"/>
              <w:marRight w:val="0"/>
              <w:marTop w:val="0"/>
              <w:marBottom w:val="0"/>
              <w:divBdr>
                <w:top w:val="none" w:sz="0" w:space="0" w:color="auto"/>
                <w:left w:val="none" w:sz="0" w:space="0" w:color="auto"/>
                <w:bottom w:val="none" w:sz="0" w:space="0" w:color="auto"/>
                <w:right w:val="none" w:sz="0" w:space="0" w:color="auto"/>
              </w:divBdr>
            </w:div>
            <w:div w:id="105972792">
              <w:marLeft w:val="0"/>
              <w:marRight w:val="0"/>
              <w:marTop w:val="0"/>
              <w:marBottom w:val="0"/>
              <w:divBdr>
                <w:top w:val="none" w:sz="0" w:space="0" w:color="auto"/>
                <w:left w:val="none" w:sz="0" w:space="0" w:color="auto"/>
                <w:bottom w:val="none" w:sz="0" w:space="0" w:color="auto"/>
                <w:right w:val="none" w:sz="0" w:space="0" w:color="auto"/>
              </w:divBdr>
            </w:div>
            <w:div w:id="207962733">
              <w:marLeft w:val="0"/>
              <w:marRight w:val="0"/>
              <w:marTop w:val="0"/>
              <w:marBottom w:val="0"/>
              <w:divBdr>
                <w:top w:val="none" w:sz="0" w:space="0" w:color="auto"/>
                <w:left w:val="none" w:sz="0" w:space="0" w:color="auto"/>
                <w:bottom w:val="none" w:sz="0" w:space="0" w:color="auto"/>
                <w:right w:val="none" w:sz="0" w:space="0" w:color="auto"/>
              </w:divBdr>
            </w:div>
            <w:div w:id="242758557">
              <w:marLeft w:val="0"/>
              <w:marRight w:val="0"/>
              <w:marTop w:val="0"/>
              <w:marBottom w:val="0"/>
              <w:divBdr>
                <w:top w:val="none" w:sz="0" w:space="0" w:color="auto"/>
                <w:left w:val="none" w:sz="0" w:space="0" w:color="auto"/>
                <w:bottom w:val="none" w:sz="0" w:space="0" w:color="auto"/>
                <w:right w:val="none" w:sz="0" w:space="0" w:color="auto"/>
              </w:divBdr>
            </w:div>
            <w:div w:id="426925633">
              <w:marLeft w:val="0"/>
              <w:marRight w:val="0"/>
              <w:marTop w:val="0"/>
              <w:marBottom w:val="0"/>
              <w:divBdr>
                <w:top w:val="none" w:sz="0" w:space="0" w:color="auto"/>
                <w:left w:val="none" w:sz="0" w:space="0" w:color="auto"/>
                <w:bottom w:val="none" w:sz="0" w:space="0" w:color="auto"/>
                <w:right w:val="none" w:sz="0" w:space="0" w:color="auto"/>
              </w:divBdr>
            </w:div>
            <w:div w:id="586571616">
              <w:marLeft w:val="0"/>
              <w:marRight w:val="0"/>
              <w:marTop w:val="0"/>
              <w:marBottom w:val="0"/>
              <w:divBdr>
                <w:top w:val="none" w:sz="0" w:space="0" w:color="auto"/>
                <w:left w:val="none" w:sz="0" w:space="0" w:color="auto"/>
                <w:bottom w:val="none" w:sz="0" w:space="0" w:color="auto"/>
                <w:right w:val="none" w:sz="0" w:space="0" w:color="auto"/>
              </w:divBdr>
            </w:div>
            <w:div w:id="827211636">
              <w:marLeft w:val="0"/>
              <w:marRight w:val="0"/>
              <w:marTop w:val="0"/>
              <w:marBottom w:val="0"/>
              <w:divBdr>
                <w:top w:val="none" w:sz="0" w:space="0" w:color="auto"/>
                <w:left w:val="none" w:sz="0" w:space="0" w:color="auto"/>
                <w:bottom w:val="none" w:sz="0" w:space="0" w:color="auto"/>
                <w:right w:val="none" w:sz="0" w:space="0" w:color="auto"/>
              </w:divBdr>
            </w:div>
            <w:div w:id="854809422">
              <w:marLeft w:val="0"/>
              <w:marRight w:val="0"/>
              <w:marTop w:val="0"/>
              <w:marBottom w:val="0"/>
              <w:divBdr>
                <w:top w:val="none" w:sz="0" w:space="0" w:color="auto"/>
                <w:left w:val="none" w:sz="0" w:space="0" w:color="auto"/>
                <w:bottom w:val="none" w:sz="0" w:space="0" w:color="auto"/>
                <w:right w:val="none" w:sz="0" w:space="0" w:color="auto"/>
              </w:divBdr>
            </w:div>
            <w:div w:id="898974061">
              <w:marLeft w:val="0"/>
              <w:marRight w:val="0"/>
              <w:marTop w:val="0"/>
              <w:marBottom w:val="0"/>
              <w:divBdr>
                <w:top w:val="none" w:sz="0" w:space="0" w:color="auto"/>
                <w:left w:val="none" w:sz="0" w:space="0" w:color="auto"/>
                <w:bottom w:val="none" w:sz="0" w:space="0" w:color="auto"/>
                <w:right w:val="none" w:sz="0" w:space="0" w:color="auto"/>
              </w:divBdr>
            </w:div>
            <w:div w:id="1303996950">
              <w:marLeft w:val="0"/>
              <w:marRight w:val="0"/>
              <w:marTop w:val="0"/>
              <w:marBottom w:val="0"/>
              <w:divBdr>
                <w:top w:val="none" w:sz="0" w:space="0" w:color="auto"/>
                <w:left w:val="none" w:sz="0" w:space="0" w:color="auto"/>
                <w:bottom w:val="none" w:sz="0" w:space="0" w:color="auto"/>
                <w:right w:val="none" w:sz="0" w:space="0" w:color="auto"/>
              </w:divBdr>
            </w:div>
            <w:div w:id="1398699552">
              <w:marLeft w:val="0"/>
              <w:marRight w:val="0"/>
              <w:marTop w:val="0"/>
              <w:marBottom w:val="0"/>
              <w:divBdr>
                <w:top w:val="none" w:sz="0" w:space="0" w:color="auto"/>
                <w:left w:val="none" w:sz="0" w:space="0" w:color="auto"/>
                <w:bottom w:val="none" w:sz="0" w:space="0" w:color="auto"/>
                <w:right w:val="none" w:sz="0" w:space="0" w:color="auto"/>
              </w:divBdr>
            </w:div>
            <w:div w:id="1402563535">
              <w:marLeft w:val="0"/>
              <w:marRight w:val="0"/>
              <w:marTop w:val="0"/>
              <w:marBottom w:val="0"/>
              <w:divBdr>
                <w:top w:val="none" w:sz="0" w:space="0" w:color="auto"/>
                <w:left w:val="none" w:sz="0" w:space="0" w:color="auto"/>
                <w:bottom w:val="none" w:sz="0" w:space="0" w:color="auto"/>
                <w:right w:val="none" w:sz="0" w:space="0" w:color="auto"/>
              </w:divBdr>
            </w:div>
            <w:div w:id="1434977980">
              <w:marLeft w:val="0"/>
              <w:marRight w:val="0"/>
              <w:marTop w:val="0"/>
              <w:marBottom w:val="0"/>
              <w:divBdr>
                <w:top w:val="none" w:sz="0" w:space="0" w:color="auto"/>
                <w:left w:val="none" w:sz="0" w:space="0" w:color="auto"/>
                <w:bottom w:val="none" w:sz="0" w:space="0" w:color="auto"/>
                <w:right w:val="none" w:sz="0" w:space="0" w:color="auto"/>
              </w:divBdr>
            </w:div>
            <w:div w:id="1505973589">
              <w:marLeft w:val="0"/>
              <w:marRight w:val="0"/>
              <w:marTop w:val="0"/>
              <w:marBottom w:val="0"/>
              <w:divBdr>
                <w:top w:val="none" w:sz="0" w:space="0" w:color="auto"/>
                <w:left w:val="none" w:sz="0" w:space="0" w:color="auto"/>
                <w:bottom w:val="none" w:sz="0" w:space="0" w:color="auto"/>
                <w:right w:val="none" w:sz="0" w:space="0" w:color="auto"/>
              </w:divBdr>
            </w:div>
            <w:div w:id="1513689329">
              <w:marLeft w:val="0"/>
              <w:marRight w:val="0"/>
              <w:marTop w:val="0"/>
              <w:marBottom w:val="0"/>
              <w:divBdr>
                <w:top w:val="none" w:sz="0" w:space="0" w:color="auto"/>
                <w:left w:val="none" w:sz="0" w:space="0" w:color="auto"/>
                <w:bottom w:val="none" w:sz="0" w:space="0" w:color="auto"/>
                <w:right w:val="none" w:sz="0" w:space="0" w:color="auto"/>
              </w:divBdr>
            </w:div>
            <w:div w:id="1580753434">
              <w:marLeft w:val="0"/>
              <w:marRight w:val="0"/>
              <w:marTop w:val="0"/>
              <w:marBottom w:val="0"/>
              <w:divBdr>
                <w:top w:val="none" w:sz="0" w:space="0" w:color="auto"/>
                <w:left w:val="none" w:sz="0" w:space="0" w:color="auto"/>
                <w:bottom w:val="none" w:sz="0" w:space="0" w:color="auto"/>
                <w:right w:val="none" w:sz="0" w:space="0" w:color="auto"/>
              </w:divBdr>
            </w:div>
            <w:div w:id="1625765571">
              <w:marLeft w:val="0"/>
              <w:marRight w:val="0"/>
              <w:marTop w:val="0"/>
              <w:marBottom w:val="0"/>
              <w:divBdr>
                <w:top w:val="none" w:sz="0" w:space="0" w:color="auto"/>
                <w:left w:val="none" w:sz="0" w:space="0" w:color="auto"/>
                <w:bottom w:val="none" w:sz="0" w:space="0" w:color="auto"/>
                <w:right w:val="none" w:sz="0" w:space="0" w:color="auto"/>
              </w:divBdr>
            </w:div>
            <w:div w:id="1760902329">
              <w:marLeft w:val="0"/>
              <w:marRight w:val="0"/>
              <w:marTop w:val="0"/>
              <w:marBottom w:val="0"/>
              <w:divBdr>
                <w:top w:val="none" w:sz="0" w:space="0" w:color="auto"/>
                <w:left w:val="none" w:sz="0" w:space="0" w:color="auto"/>
                <w:bottom w:val="none" w:sz="0" w:space="0" w:color="auto"/>
                <w:right w:val="none" w:sz="0" w:space="0" w:color="auto"/>
              </w:divBdr>
            </w:div>
            <w:div w:id="1794054184">
              <w:marLeft w:val="0"/>
              <w:marRight w:val="0"/>
              <w:marTop w:val="0"/>
              <w:marBottom w:val="0"/>
              <w:divBdr>
                <w:top w:val="none" w:sz="0" w:space="0" w:color="auto"/>
                <w:left w:val="none" w:sz="0" w:space="0" w:color="auto"/>
                <w:bottom w:val="none" w:sz="0" w:space="0" w:color="auto"/>
                <w:right w:val="none" w:sz="0" w:space="0" w:color="auto"/>
              </w:divBdr>
            </w:div>
            <w:div w:id="1911385550">
              <w:marLeft w:val="0"/>
              <w:marRight w:val="0"/>
              <w:marTop w:val="0"/>
              <w:marBottom w:val="0"/>
              <w:divBdr>
                <w:top w:val="none" w:sz="0" w:space="0" w:color="auto"/>
                <w:left w:val="none" w:sz="0" w:space="0" w:color="auto"/>
                <w:bottom w:val="none" w:sz="0" w:space="0" w:color="auto"/>
                <w:right w:val="none" w:sz="0" w:space="0" w:color="auto"/>
              </w:divBdr>
            </w:div>
          </w:divsChild>
        </w:div>
        <w:div w:id="2101828526">
          <w:marLeft w:val="0"/>
          <w:marRight w:val="0"/>
          <w:marTop w:val="0"/>
          <w:marBottom w:val="0"/>
          <w:divBdr>
            <w:top w:val="none" w:sz="0" w:space="0" w:color="auto"/>
            <w:left w:val="none" w:sz="0" w:space="0" w:color="auto"/>
            <w:bottom w:val="none" w:sz="0" w:space="0" w:color="auto"/>
            <w:right w:val="none" w:sz="0" w:space="0" w:color="auto"/>
          </w:divBdr>
          <w:divsChild>
            <w:div w:id="193538009">
              <w:marLeft w:val="0"/>
              <w:marRight w:val="0"/>
              <w:marTop w:val="0"/>
              <w:marBottom w:val="0"/>
              <w:divBdr>
                <w:top w:val="none" w:sz="0" w:space="0" w:color="auto"/>
                <w:left w:val="none" w:sz="0" w:space="0" w:color="auto"/>
                <w:bottom w:val="none" w:sz="0" w:space="0" w:color="auto"/>
                <w:right w:val="none" w:sz="0" w:space="0" w:color="auto"/>
              </w:divBdr>
            </w:div>
            <w:div w:id="348913907">
              <w:marLeft w:val="0"/>
              <w:marRight w:val="0"/>
              <w:marTop w:val="0"/>
              <w:marBottom w:val="0"/>
              <w:divBdr>
                <w:top w:val="none" w:sz="0" w:space="0" w:color="auto"/>
                <w:left w:val="none" w:sz="0" w:space="0" w:color="auto"/>
                <w:bottom w:val="none" w:sz="0" w:space="0" w:color="auto"/>
                <w:right w:val="none" w:sz="0" w:space="0" w:color="auto"/>
              </w:divBdr>
            </w:div>
            <w:div w:id="394663436">
              <w:marLeft w:val="0"/>
              <w:marRight w:val="0"/>
              <w:marTop w:val="0"/>
              <w:marBottom w:val="0"/>
              <w:divBdr>
                <w:top w:val="none" w:sz="0" w:space="0" w:color="auto"/>
                <w:left w:val="none" w:sz="0" w:space="0" w:color="auto"/>
                <w:bottom w:val="none" w:sz="0" w:space="0" w:color="auto"/>
                <w:right w:val="none" w:sz="0" w:space="0" w:color="auto"/>
              </w:divBdr>
            </w:div>
            <w:div w:id="563107633">
              <w:marLeft w:val="0"/>
              <w:marRight w:val="0"/>
              <w:marTop w:val="0"/>
              <w:marBottom w:val="0"/>
              <w:divBdr>
                <w:top w:val="none" w:sz="0" w:space="0" w:color="auto"/>
                <w:left w:val="none" w:sz="0" w:space="0" w:color="auto"/>
                <w:bottom w:val="none" w:sz="0" w:space="0" w:color="auto"/>
                <w:right w:val="none" w:sz="0" w:space="0" w:color="auto"/>
              </w:divBdr>
            </w:div>
            <w:div w:id="609899673">
              <w:marLeft w:val="0"/>
              <w:marRight w:val="0"/>
              <w:marTop w:val="0"/>
              <w:marBottom w:val="0"/>
              <w:divBdr>
                <w:top w:val="none" w:sz="0" w:space="0" w:color="auto"/>
                <w:left w:val="none" w:sz="0" w:space="0" w:color="auto"/>
                <w:bottom w:val="none" w:sz="0" w:space="0" w:color="auto"/>
                <w:right w:val="none" w:sz="0" w:space="0" w:color="auto"/>
              </w:divBdr>
            </w:div>
            <w:div w:id="1031109659">
              <w:marLeft w:val="0"/>
              <w:marRight w:val="0"/>
              <w:marTop w:val="0"/>
              <w:marBottom w:val="0"/>
              <w:divBdr>
                <w:top w:val="none" w:sz="0" w:space="0" w:color="auto"/>
                <w:left w:val="none" w:sz="0" w:space="0" w:color="auto"/>
                <w:bottom w:val="none" w:sz="0" w:space="0" w:color="auto"/>
                <w:right w:val="none" w:sz="0" w:space="0" w:color="auto"/>
              </w:divBdr>
            </w:div>
            <w:div w:id="1046366979">
              <w:marLeft w:val="0"/>
              <w:marRight w:val="0"/>
              <w:marTop w:val="0"/>
              <w:marBottom w:val="0"/>
              <w:divBdr>
                <w:top w:val="none" w:sz="0" w:space="0" w:color="auto"/>
                <w:left w:val="none" w:sz="0" w:space="0" w:color="auto"/>
                <w:bottom w:val="none" w:sz="0" w:space="0" w:color="auto"/>
                <w:right w:val="none" w:sz="0" w:space="0" w:color="auto"/>
              </w:divBdr>
            </w:div>
            <w:div w:id="120560214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256667953">
              <w:marLeft w:val="0"/>
              <w:marRight w:val="0"/>
              <w:marTop w:val="0"/>
              <w:marBottom w:val="0"/>
              <w:divBdr>
                <w:top w:val="none" w:sz="0" w:space="0" w:color="auto"/>
                <w:left w:val="none" w:sz="0" w:space="0" w:color="auto"/>
                <w:bottom w:val="none" w:sz="0" w:space="0" w:color="auto"/>
                <w:right w:val="none" w:sz="0" w:space="0" w:color="auto"/>
              </w:divBdr>
            </w:div>
            <w:div w:id="1341004201">
              <w:marLeft w:val="0"/>
              <w:marRight w:val="0"/>
              <w:marTop w:val="0"/>
              <w:marBottom w:val="0"/>
              <w:divBdr>
                <w:top w:val="none" w:sz="0" w:space="0" w:color="auto"/>
                <w:left w:val="none" w:sz="0" w:space="0" w:color="auto"/>
                <w:bottom w:val="none" w:sz="0" w:space="0" w:color="auto"/>
                <w:right w:val="none" w:sz="0" w:space="0" w:color="auto"/>
              </w:divBdr>
            </w:div>
            <w:div w:id="1359699972">
              <w:marLeft w:val="0"/>
              <w:marRight w:val="0"/>
              <w:marTop w:val="0"/>
              <w:marBottom w:val="0"/>
              <w:divBdr>
                <w:top w:val="none" w:sz="0" w:space="0" w:color="auto"/>
                <w:left w:val="none" w:sz="0" w:space="0" w:color="auto"/>
                <w:bottom w:val="none" w:sz="0" w:space="0" w:color="auto"/>
                <w:right w:val="none" w:sz="0" w:space="0" w:color="auto"/>
              </w:divBdr>
            </w:div>
            <w:div w:id="1373337958">
              <w:marLeft w:val="0"/>
              <w:marRight w:val="0"/>
              <w:marTop w:val="0"/>
              <w:marBottom w:val="0"/>
              <w:divBdr>
                <w:top w:val="none" w:sz="0" w:space="0" w:color="auto"/>
                <w:left w:val="none" w:sz="0" w:space="0" w:color="auto"/>
                <w:bottom w:val="none" w:sz="0" w:space="0" w:color="auto"/>
                <w:right w:val="none" w:sz="0" w:space="0" w:color="auto"/>
              </w:divBdr>
            </w:div>
            <w:div w:id="1420298575">
              <w:marLeft w:val="0"/>
              <w:marRight w:val="0"/>
              <w:marTop w:val="0"/>
              <w:marBottom w:val="0"/>
              <w:divBdr>
                <w:top w:val="none" w:sz="0" w:space="0" w:color="auto"/>
                <w:left w:val="none" w:sz="0" w:space="0" w:color="auto"/>
                <w:bottom w:val="none" w:sz="0" w:space="0" w:color="auto"/>
                <w:right w:val="none" w:sz="0" w:space="0" w:color="auto"/>
              </w:divBdr>
            </w:div>
            <w:div w:id="1481774428">
              <w:marLeft w:val="0"/>
              <w:marRight w:val="0"/>
              <w:marTop w:val="0"/>
              <w:marBottom w:val="0"/>
              <w:divBdr>
                <w:top w:val="none" w:sz="0" w:space="0" w:color="auto"/>
                <w:left w:val="none" w:sz="0" w:space="0" w:color="auto"/>
                <w:bottom w:val="none" w:sz="0" w:space="0" w:color="auto"/>
                <w:right w:val="none" w:sz="0" w:space="0" w:color="auto"/>
              </w:divBdr>
            </w:div>
            <w:div w:id="1594972368">
              <w:marLeft w:val="0"/>
              <w:marRight w:val="0"/>
              <w:marTop w:val="0"/>
              <w:marBottom w:val="0"/>
              <w:divBdr>
                <w:top w:val="none" w:sz="0" w:space="0" w:color="auto"/>
                <w:left w:val="none" w:sz="0" w:space="0" w:color="auto"/>
                <w:bottom w:val="none" w:sz="0" w:space="0" w:color="auto"/>
                <w:right w:val="none" w:sz="0" w:space="0" w:color="auto"/>
              </w:divBdr>
            </w:div>
            <w:div w:id="1800687918">
              <w:marLeft w:val="0"/>
              <w:marRight w:val="0"/>
              <w:marTop w:val="0"/>
              <w:marBottom w:val="0"/>
              <w:divBdr>
                <w:top w:val="none" w:sz="0" w:space="0" w:color="auto"/>
                <w:left w:val="none" w:sz="0" w:space="0" w:color="auto"/>
                <w:bottom w:val="none" w:sz="0" w:space="0" w:color="auto"/>
                <w:right w:val="none" w:sz="0" w:space="0" w:color="auto"/>
              </w:divBdr>
            </w:div>
            <w:div w:id="1991445960">
              <w:marLeft w:val="0"/>
              <w:marRight w:val="0"/>
              <w:marTop w:val="0"/>
              <w:marBottom w:val="0"/>
              <w:divBdr>
                <w:top w:val="none" w:sz="0" w:space="0" w:color="auto"/>
                <w:left w:val="none" w:sz="0" w:space="0" w:color="auto"/>
                <w:bottom w:val="none" w:sz="0" w:space="0" w:color="auto"/>
                <w:right w:val="none" w:sz="0" w:space="0" w:color="auto"/>
              </w:divBdr>
            </w:div>
            <w:div w:id="21374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8836">
      <w:bodyDiv w:val="1"/>
      <w:marLeft w:val="0"/>
      <w:marRight w:val="0"/>
      <w:marTop w:val="0"/>
      <w:marBottom w:val="0"/>
      <w:divBdr>
        <w:top w:val="none" w:sz="0" w:space="0" w:color="auto"/>
        <w:left w:val="none" w:sz="0" w:space="0" w:color="auto"/>
        <w:bottom w:val="none" w:sz="0" w:space="0" w:color="auto"/>
        <w:right w:val="none" w:sz="0" w:space="0" w:color="auto"/>
      </w:divBdr>
    </w:div>
    <w:div w:id="2070614746">
      <w:bodyDiv w:val="1"/>
      <w:marLeft w:val="0"/>
      <w:marRight w:val="0"/>
      <w:marTop w:val="0"/>
      <w:marBottom w:val="0"/>
      <w:divBdr>
        <w:top w:val="none" w:sz="0" w:space="0" w:color="auto"/>
        <w:left w:val="none" w:sz="0" w:space="0" w:color="auto"/>
        <w:bottom w:val="none" w:sz="0" w:space="0" w:color="auto"/>
        <w:right w:val="none" w:sz="0" w:space="0" w:color="auto"/>
      </w:divBdr>
    </w:div>
    <w:div w:id="2078939506">
      <w:bodyDiv w:val="1"/>
      <w:marLeft w:val="0"/>
      <w:marRight w:val="0"/>
      <w:marTop w:val="0"/>
      <w:marBottom w:val="0"/>
      <w:divBdr>
        <w:top w:val="none" w:sz="0" w:space="0" w:color="auto"/>
        <w:left w:val="none" w:sz="0" w:space="0" w:color="auto"/>
        <w:bottom w:val="none" w:sz="0" w:space="0" w:color="auto"/>
        <w:right w:val="none" w:sz="0" w:space="0" w:color="auto"/>
      </w:divBdr>
    </w:div>
    <w:div w:id="2085373147">
      <w:bodyDiv w:val="1"/>
      <w:marLeft w:val="0"/>
      <w:marRight w:val="0"/>
      <w:marTop w:val="0"/>
      <w:marBottom w:val="0"/>
      <w:divBdr>
        <w:top w:val="none" w:sz="0" w:space="0" w:color="auto"/>
        <w:left w:val="none" w:sz="0" w:space="0" w:color="auto"/>
        <w:bottom w:val="none" w:sz="0" w:space="0" w:color="auto"/>
        <w:right w:val="none" w:sz="0" w:space="0" w:color="auto"/>
      </w:divBdr>
      <w:divsChild>
        <w:div w:id="89012127">
          <w:marLeft w:val="0"/>
          <w:marRight w:val="0"/>
          <w:marTop w:val="0"/>
          <w:marBottom w:val="0"/>
          <w:divBdr>
            <w:top w:val="none" w:sz="0" w:space="0" w:color="auto"/>
            <w:left w:val="none" w:sz="0" w:space="0" w:color="auto"/>
            <w:bottom w:val="none" w:sz="0" w:space="0" w:color="auto"/>
            <w:right w:val="none" w:sz="0" w:space="0" w:color="auto"/>
          </w:divBdr>
        </w:div>
        <w:div w:id="101000065">
          <w:marLeft w:val="0"/>
          <w:marRight w:val="0"/>
          <w:marTop w:val="0"/>
          <w:marBottom w:val="0"/>
          <w:divBdr>
            <w:top w:val="none" w:sz="0" w:space="0" w:color="auto"/>
            <w:left w:val="none" w:sz="0" w:space="0" w:color="auto"/>
            <w:bottom w:val="none" w:sz="0" w:space="0" w:color="auto"/>
            <w:right w:val="none" w:sz="0" w:space="0" w:color="auto"/>
          </w:divBdr>
        </w:div>
        <w:div w:id="141627403">
          <w:marLeft w:val="0"/>
          <w:marRight w:val="0"/>
          <w:marTop w:val="0"/>
          <w:marBottom w:val="0"/>
          <w:divBdr>
            <w:top w:val="none" w:sz="0" w:space="0" w:color="auto"/>
            <w:left w:val="none" w:sz="0" w:space="0" w:color="auto"/>
            <w:bottom w:val="none" w:sz="0" w:space="0" w:color="auto"/>
            <w:right w:val="none" w:sz="0" w:space="0" w:color="auto"/>
          </w:divBdr>
        </w:div>
        <w:div w:id="225268157">
          <w:marLeft w:val="0"/>
          <w:marRight w:val="0"/>
          <w:marTop w:val="0"/>
          <w:marBottom w:val="0"/>
          <w:divBdr>
            <w:top w:val="none" w:sz="0" w:space="0" w:color="auto"/>
            <w:left w:val="none" w:sz="0" w:space="0" w:color="auto"/>
            <w:bottom w:val="none" w:sz="0" w:space="0" w:color="auto"/>
            <w:right w:val="none" w:sz="0" w:space="0" w:color="auto"/>
          </w:divBdr>
        </w:div>
        <w:div w:id="276064132">
          <w:marLeft w:val="0"/>
          <w:marRight w:val="0"/>
          <w:marTop w:val="0"/>
          <w:marBottom w:val="0"/>
          <w:divBdr>
            <w:top w:val="none" w:sz="0" w:space="0" w:color="auto"/>
            <w:left w:val="none" w:sz="0" w:space="0" w:color="auto"/>
            <w:bottom w:val="none" w:sz="0" w:space="0" w:color="auto"/>
            <w:right w:val="none" w:sz="0" w:space="0" w:color="auto"/>
          </w:divBdr>
        </w:div>
        <w:div w:id="295717818">
          <w:marLeft w:val="0"/>
          <w:marRight w:val="0"/>
          <w:marTop w:val="0"/>
          <w:marBottom w:val="0"/>
          <w:divBdr>
            <w:top w:val="none" w:sz="0" w:space="0" w:color="auto"/>
            <w:left w:val="none" w:sz="0" w:space="0" w:color="auto"/>
            <w:bottom w:val="none" w:sz="0" w:space="0" w:color="auto"/>
            <w:right w:val="none" w:sz="0" w:space="0" w:color="auto"/>
          </w:divBdr>
        </w:div>
        <w:div w:id="325279738">
          <w:marLeft w:val="0"/>
          <w:marRight w:val="0"/>
          <w:marTop w:val="0"/>
          <w:marBottom w:val="0"/>
          <w:divBdr>
            <w:top w:val="none" w:sz="0" w:space="0" w:color="auto"/>
            <w:left w:val="none" w:sz="0" w:space="0" w:color="auto"/>
            <w:bottom w:val="none" w:sz="0" w:space="0" w:color="auto"/>
            <w:right w:val="none" w:sz="0" w:space="0" w:color="auto"/>
          </w:divBdr>
          <w:divsChild>
            <w:div w:id="150416698">
              <w:marLeft w:val="0"/>
              <w:marRight w:val="0"/>
              <w:marTop w:val="0"/>
              <w:marBottom w:val="0"/>
              <w:divBdr>
                <w:top w:val="none" w:sz="0" w:space="0" w:color="auto"/>
                <w:left w:val="none" w:sz="0" w:space="0" w:color="auto"/>
                <w:bottom w:val="none" w:sz="0" w:space="0" w:color="auto"/>
                <w:right w:val="none" w:sz="0" w:space="0" w:color="auto"/>
              </w:divBdr>
            </w:div>
            <w:div w:id="220798846">
              <w:marLeft w:val="0"/>
              <w:marRight w:val="0"/>
              <w:marTop w:val="0"/>
              <w:marBottom w:val="0"/>
              <w:divBdr>
                <w:top w:val="none" w:sz="0" w:space="0" w:color="auto"/>
                <w:left w:val="none" w:sz="0" w:space="0" w:color="auto"/>
                <w:bottom w:val="none" w:sz="0" w:space="0" w:color="auto"/>
                <w:right w:val="none" w:sz="0" w:space="0" w:color="auto"/>
              </w:divBdr>
            </w:div>
            <w:div w:id="262959793">
              <w:marLeft w:val="0"/>
              <w:marRight w:val="0"/>
              <w:marTop w:val="0"/>
              <w:marBottom w:val="0"/>
              <w:divBdr>
                <w:top w:val="none" w:sz="0" w:space="0" w:color="auto"/>
                <w:left w:val="none" w:sz="0" w:space="0" w:color="auto"/>
                <w:bottom w:val="none" w:sz="0" w:space="0" w:color="auto"/>
                <w:right w:val="none" w:sz="0" w:space="0" w:color="auto"/>
              </w:divBdr>
            </w:div>
            <w:div w:id="321545078">
              <w:marLeft w:val="0"/>
              <w:marRight w:val="0"/>
              <w:marTop w:val="0"/>
              <w:marBottom w:val="0"/>
              <w:divBdr>
                <w:top w:val="none" w:sz="0" w:space="0" w:color="auto"/>
                <w:left w:val="none" w:sz="0" w:space="0" w:color="auto"/>
                <w:bottom w:val="none" w:sz="0" w:space="0" w:color="auto"/>
                <w:right w:val="none" w:sz="0" w:space="0" w:color="auto"/>
              </w:divBdr>
            </w:div>
            <w:div w:id="414017166">
              <w:marLeft w:val="0"/>
              <w:marRight w:val="0"/>
              <w:marTop w:val="0"/>
              <w:marBottom w:val="0"/>
              <w:divBdr>
                <w:top w:val="none" w:sz="0" w:space="0" w:color="auto"/>
                <w:left w:val="none" w:sz="0" w:space="0" w:color="auto"/>
                <w:bottom w:val="none" w:sz="0" w:space="0" w:color="auto"/>
                <w:right w:val="none" w:sz="0" w:space="0" w:color="auto"/>
              </w:divBdr>
            </w:div>
            <w:div w:id="434911420">
              <w:marLeft w:val="0"/>
              <w:marRight w:val="0"/>
              <w:marTop w:val="0"/>
              <w:marBottom w:val="0"/>
              <w:divBdr>
                <w:top w:val="none" w:sz="0" w:space="0" w:color="auto"/>
                <w:left w:val="none" w:sz="0" w:space="0" w:color="auto"/>
                <w:bottom w:val="none" w:sz="0" w:space="0" w:color="auto"/>
                <w:right w:val="none" w:sz="0" w:space="0" w:color="auto"/>
              </w:divBdr>
            </w:div>
            <w:div w:id="538129147">
              <w:marLeft w:val="0"/>
              <w:marRight w:val="0"/>
              <w:marTop w:val="0"/>
              <w:marBottom w:val="0"/>
              <w:divBdr>
                <w:top w:val="none" w:sz="0" w:space="0" w:color="auto"/>
                <w:left w:val="none" w:sz="0" w:space="0" w:color="auto"/>
                <w:bottom w:val="none" w:sz="0" w:space="0" w:color="auto"/>
                <w:right w:val="none" w:sz="0" w:space="0" w:color="auto"/>
              </w:divBdr>
            </w:div>
            <w:div w:id="770013026">
              <w:marLeft w:val="0"/>
              <w:marRight w:val="0"/>
              <w:marTop w:val="0"/>
              <w:marBottom w:val="0"/>
              <w:divBdr>
                <w:top w:val="none" w:sz="0" w:space="0" w:color="auto"/>
                <w:left w:val="none" w:sz="0" w:space="0" w:color="auto"/>
                <w:bottom w:val="none" w:sz="0" w:space="0" w:color="auto"/>
                <w:right w:val="none" w:sz="0" w:space="0" w:color="auto"/>
              </w:divBdr>
            </w:div>
            <w:div w:id="777917705">
              <w:marLeft w:val="0"/>
              <w:marRight w:val="0"/>
              <w:marTop w:val="0"/>
              <w:marBottom w:val="0"/>
              <w:divBdr>
                <w:top w:val="none" w:sz="0" w:space="0" w:color="auto"/>
                <w:left w:val="none" w:sz="0" w:space="0" w:color="auto"/>
                <w:bottom w:val="none" w:sz="0" w:space="0" w:color="auto"/>
                <w:right w:val="none" w:sz="0" w:space="0" w:color="auto"/>
              </w:divBdr>
            </w:div>
            <w:div w:id="836965634">
              <w:marLeft w:val="0"/>
              <w:marRight w:val="0"/>
              <w:marTop w:val="0"/>
              <w:marBottom w:val="0"/>
              <w:divBdr>
                <w:top w:val="none" w:sz="0" w:space="0" w:color="auto"/>
                <w:left w:val="none" w:sz="0" w:space="0" w:color="auto"/>
                <w:bottom w:val="none" w:sz="0" w:space="0" w:color="auto"/>
                <w:right w:val="none" w:sz="0" w:space="0" w:color="auto"/>
              </w:divBdr>
            </w:div>
            <w:div w:id="954096743">
              <w:marLeft w:val="0"/>
              <w:marRight w:val="0"/>
              <w:marTop w:val="0"/>
              <w:marBottom w:val="0"/>
              <w:divBdr>
                <w:top w:val="none" w:sz="0" w:space="0" w:color="auto"/>
                <w:left w:val="none" w:sz="0" w:space="0" w:color="auto"/>
                <w:bottom w:val="none" w:sz="0" w:space="0" w:color="auto"/>
                <w:right w:val="none" w:sz="0" w:space="0" w:color="auto"/>
              </w:divBdr>
            </w:div>
            <w:div w:id="987975345">
              <w:marLeft w:val="0"/>
              <w:marRight w:val="0"/>
              <w:marTop w:val="0"/>
              <w:marBottom w:val="0"/>
              <w:divBdr>
                <w:top w:val="none" w:sz="0" w:space="0" w:color="auto"/>
                <w:left w:val="none" w:sz="0" w:space="0" w:color="auto"/>
                <w:bottom w:val="none" w:sz="0" w:space="0" w:color="auto"/>
                <w:right w:val="none" w:sz="0" w:space="0" w:color="auto"/>
              </w:divBdr>
            </w:div>
            <w:div w:id="1013410410">
              <w:marLeft w:val="0"/>
              <w:marRight w:val="0"/>
              <w:marTop w:val="0"/>
              <w:marBottom w:val="0"/>
              <w:divBdr>
                <w:top w:val="none" w:sz="0" w:space="0" w:color="auto"/>
                <w:left w:val="none" w:sz="0" w:space="0" w:color="auto"/>
                <w:bottom w:val="none" w:sz="0" w:space="0" w:color="auto"/>
                <w:right w:val="none" w:sz="0" w:space="0" w:color="auto"/>
              </w:divBdr>
            </w:div>
            <w:div w:id="1062603233">
              <w:marLeft w:val="0"/>
              <w:marRight w:val="0"/>
              <w:marTop w:val="0"/>
              <w:marBottom w:val="0"/>
              <w:divBdr>
                <w:top w:val="none" w:sz="0" w:space="0" w:color="auto"/>
                <w:left w:val="none" w:sz="0" w:space="0" w:color="auto"/>
                <w:bottom w:val="none" w:sz="0" w:space="0" w:color="auto"/>
                <w:right w:val="none" w:sz="0" w:space="0" w:color="auto"/>
              </w:divBdr>
            </w:div>
            <w:div w:id="1239289164">
              <w:marLeft w:val="0"/>
              <w:marRight w:val="0"/>
              <w:marTop w:val="0"/>
              <w:marBottom w:val="0"/>
              <w:divBdr>
                <w:top w:val="none" w:sz="0" w:space="0" w:color="auto"/>
                <w:left w:val="none" w:sz="0" w:space="0" w:color="auto"/>
                <w:bottom w:val="none" w:sz="0" w:space="0" w:color="auto"/>
                <w:right w:val="none" w:sz="0" w:space="0" w:color="auto"/>
              </w:divBdr>
            </w:div>
            <w:div w:id="1250702274">
              <w:marLeft w:val="0"/>
              <w:marRight w:val="0"/>
              <w:marTop w:val="0"/>
              <w:marBottom w:val="0"/>
              <w:divBdr>
                <w:top w:val="none" w:sz="0" w:space="0" w:color="auto"/>
                <w:left w:val="none" w:sz="0" w:space="0" w:color="auto"/>
                <w:bottom w:val="none" w:sz="0" w:space="0" w:color="auto"/>
                <w:right w:val="none" w:sz="0" w:space="0" w:color="auto"/>
              </w:divBdr>
            </w:div>
            <w:div w:id="1562521748">
              <w:marLeft w:val="0"/>
              <w:marRight w:val="0"/>
              <w:marTop w:val="0"/>
              <w:marBottom w:val="0"/>
              <w:divBdr>
                <w:top w:val="none" w:sz="0" w:space="0" w:color="auto"/>
                <w:left w:val="none" w:sz="0" w:space="0" w:color="auto"/>
                <w:bottom w:val="none" w:sz="0" w:space="0" w:color="auto"/>
                <w:right w:val="none" w:sz="0" w:space="0" w:color="auto"/>
              </w:divBdr>
            </w:div>
            <w:div w:id="1799058602">
              <w:marLeft w:val="0"/>
              <w:marRight w:val="0"/>
              <w:marTop w:val="0"/>
              <w:marBottom w:val="0"/>
              <w:divBdr>
                <w:top w:val="none" w:sz="0" w:space="0" w:color="auto"/>
                <w:left w:val="none" w:sz="0" w:space="0" w:color="auto"/>
                <w:bottom w:val="none" w:sz="0" w:space="0" w:color="auto"/>
                <w:right w:val="none" w:sz="0" w:space="0" w:color="auto"/>
              </w:divBdr>
            </w:div>
            <w:div w:id="1828353781">
              <w:marLeft w:val="0"/>
              <w:marRight w:val="0"/>
              <w:marTop w:val="0"/>
              <w:marBottom w:val="0"/>
              <w:divBdr>
                <w:top w:val="none" w:sz="0" w:space="0" w:color="auto"/>
                <w:left w:val="none" w:sz="0" w:space="0" w:color="auto"/>
                <w:bottom w:val="none" w:sz="0" w:space="0" w:color="auto"/>
                <w:right w:val="none" w:sz="0" w:space="0" w:color="auto"/>
              </w:divBdr>
            </w:div>
            <w:div w:id="1997493591">
              <w:marLeft w:val="0"/>
              <w:marRight w:val="0"/>
              <w:marTop w:val="0"/>
              <w:marBottom w:val="0"/>
              <w:divBdr>
                <w:top w:val="none" w:sz="0" w:space="0" w:color="auto"/>
                <w:left w:val="none" w:sz="0" w:space="0" w:color="auto"/>
                <w:bottom w:val="none" w:sz="0" w:space="0" w:color="auto"/>
                <w:right w:val="none" w:sz="0" w:space="0" w:color="auto"/>
              </w:divBdr>
            </w:div>
          </w:divsChild>
        </w:div>
        <w:div w:id="527568576">
          <w:marLeft w:val="0"/>
          <w:marRight w:val="0"/>
          <w:marTop w:val="0"/>
          <w:marBottom w:val="0"/>
          <w:divBdr>
            <w:top w:val="none" w:sz="0" w:space="0" w:color="auto"/>
            <w:left w:val="none" w:sz="0" w:space="0" w:color="auto"/>
            <w:bottom w:val="none" w:sz="0" w:space="0" w:color="auto"/>
            <w:right w:val="none" w:sz="0" w:space="0" w:color="auto"/>
          </w:divBdr>
        </w:div>
        <w:div w:id="799151609">
          <w:marLeft w:val="0"/>
          <w:marRight w:val="0"/>
          <w:marTop w:val="0"/>
          <w:marBottom w:val="0"/>
          <w:divBdr>
            <w:top w:val="none" w:sz="0" w:space="0" w:color="auto"/>
            <w:left w:val="none" w:sz="0" w:space="0" w:color="auto"/>
            <w:bottom w:val="none" w:sz="0" w:space="0" w:color="auto"/>
            <w:right w:val="none" w:sz="0" w:space="0" w:color="auto"/>
          </w:divBdr>
        </w:div>
        <w:div w:id="992295166">
          <w:marLeft w:val="0"/>
          <w:marRight w:val="0"/>
          <w:marTop w:val="0"/>
          <w:marBottom w:val="0"/>
          <w:divBdr>
            <w:top w:val="none" w:sz="0" w:space="0" w:color="auto"/>
            <w:left w:val="none" w:sz="0" w:space="0" w:color="auto"/>
            <w:bottom w:val="none" w:sz="0" w:space="0" w:color="auto"/>
            <w:right w:val="none" w:sz="0" w:space="0" w:color="auto"/>
          </w:divBdr>
        </w:div>
        <w:div w:id="1043676839">
          <w:marLeft w:val="0"/>
          <w:marRight w:val="0"/>
          <w:marTop w:val="0"/>
          <w:marBottom w:val="0"/>
          <w:divBdr>
            <w:top w:val="none" w:sz="0" w:space="0" w:color="auto"/>
            <w:left w:val="none" w:sz="0" w:space="0" w:color="auto"/>
            <w:bottom w:val="none" w:sz="0" w:space="0" w:color="auto"/>
            <w:right w:val="none" w:sz="0" w:space="0" w:color="auto"/>
          </w:divBdr>
        </w:div>
        <w:div w:id="1228224228">
          <w:marLeft w:val="0"/>
          <w:marRight w:val="0"/>
          <w:marTop w:val="0"/>
          <w:marBottom w:val="0"/>
          <w:divBdr>
            <w:top w:val="none" w:sz="0" w:space="0" w:color="auto"/>
            <w:left w:val="none" w:sz="0" w:space="0" w:color="auto"/>
            <w:bottom w:val="none" w:sz="0" w:space="0" w:color="auto"/>
            <w:right w:val="none" w:sz="0" w:space="0" w:color="auto"/>
          </w:divBdr>
        </w:div>
        <w:div w:id="1262226180">
          <w:marLeft w:val="0"/>
          <w:marRight w:val="0"/>
          <w:marTop w:val="0"/>
          <w:marBottom w:val="0"/>
          <w:divBdr>
            <w:top w:val="none" w:sz="0" w:space="0" w:color="auto"/>
            <w:left w:val="none" w:sz="0" w:space="0" w:color="auto"/>
            <w:bottom w:val="none" w:sz="0" w:space="0" w:color="auto"/>
            <w:right w:val="none" w:sz="0" w:space="0" w:color="auto"/>
          </w:divBdr>
          <w:divsChild>
            <w:div w:id="4868766">
              <w:marLeft w:val="0"/>
              <w:marRight w:val="0"/>
              <w:marTop w:val="0"/>
              <w:marBottom w:val="0"/>
              <w:divBdr>
                <w:top w:val="none" w:sz="0" w:space="0" w:color="auto"/>
                <w:left w:val="none" w:sz="0" w:space="0" w:color="auto"/>
                <w:bottom w:val="none" w:sz="0" w:space="0" w:color="auto"/>
                <w:right w:val="none" w:sz="0" w:space="0" w:color="auto"/>
              </w:divBdr>
            </w:div>
            <w:div w:id="28649396">
              <w:marLeft w:val="0"/>
              <w:marRight w:val="0"/>
              <w:marTop w:val="0"/>
              <w:marBottom w:val="0"/>
              <w:divBdr>
                <w:top w:val="none" w:sz="0" w:space="0" w:color="auto"/>
                <w:left w:val="none" w:sz="0" w:space="0" w:color="auto"/>
                <w:bottom w:val="none" w:sz="0" w:space="0" w:color="auto"/>
                <w:right w:val="none" w:sz="0" w:space="0" w:color="auto"/>
              </w:divBdr>
            </w:div>
            <w:div w:id="102042025">
              <w:marLeft w:val="0"/>
              <w:marRight w:val="0"/>
              <w:marTop w:val="0"/>
              <w:marBottom w:val="0"/>
              <w:divBdr>
                <w:top w:val="none" w:sz="0" w:space="0" w:color="auto"/>
                <w:left w:val="none" w:sz="0" w:space="0" w:color="auto"/>
                <w:bottom w:val="none" w:sz="0" w:space="0" w:color="auto"/>
                <w:right w:val="none" w:sz="0" w:space="0" w:color="auto"/>
              </w:divBdr>
            </w:div>
            <w:div w:id="190803218">
              <w:marLeft w:val="0"/>
              <w:marRight w:val="0"/>
              <w:marTop w:val="0"/>
              <w:marBottom w:val="0"/>
              <w:divBdr>
                <w:top w:val="none" w:sz="0" w:space="0" w:color="auto"/>
                <w:left w:val="none" w:sz="0" w:space="0" w:color="auto"/>
                <w:bottom w:val="none" w:sz="0" w:space="0" w:color="auto"/>
                <w:right w:val="none" w:sz="0" w:space="0" w:color="auto"/>
              </w:divBdr>
            </w:div>
            <w:div w:id="356660066">
              <w:marLeft w:val="0"/>
              <w:marRight w:val="0"/>
              <w:marTop w:val="0"/>
              <w:marBottom w:val="0"/>
              <w:divBdr>
                <w:top w:val="none" w:sz="0" w:space="0" w:color="auto"/>
                <w:left w:val="none" w:sz="0" w:space="0" w:color="auto"/>
                <w:bottom w:val="none" w:sz="0" w:space="0" w:color="auto"/>
                <w:right w:val="none" w:sz="0" w:space="0" w:color="auto"/>
              </w:divBdr>
            </w:div>
            <w:div w:id="479930106">
              <w:marLeft w:val="0"/>
              <w:marRight w:val="0"/>
              <w:marTop w:val="0"/>
              <w:marBottom w:val="0"/>
              <w:divBdr>
                <w:top w:val="none" w:sz="0" w:space="0" w:color="auto"/>
                <w:left w:val="none" w:sz="0" w:space="0" w:color="auto"/>
                <w:bottom w:val="none" w:sz="0" w:space="0" w:color="auto"/>
                <w:right w:val="none" w:sz="0" w:space="0" w:color="auto"/>
              </w:divBdr>
            </w:div>
            <w:div w:id="523203419">
              <w:marLeft w:val="0"/>
              <w:marRight w:val="0"/>
              <w:marTop w:val="0"/>
              <w:marBottom w:val="0"/>
              <w:divBdr>
                <w:top w:val="none" w:sz="0" w:space="0" w:color="auto"/>
                <w:left w:val="none" w:sz="0" w:space="0" w:color="auto"/>
                <w:bottom w:val="none" w:sz="0" w:space="0" w:color="auto"/>
                <w:right w:val="none" w:sz="0" w:space="0" w:color="auto"/>
              </w:divBdr>
            </w:div>
            <w:div w:id="574706847">
              <w:marLeft w:val="0"/>
              <w:marRight w:val="0"/>
              <w:marTop w:val="0"/>
              <w:marBottom w:val="0"/>
              <w:divBdr>
                <w:top w:val="none" w:sz="0" w:space="0" w:color="auto"/>
                <w:left w:val="none" w:sz="0" w:space="0" w:color="auto"/>
                <w:bottom w:val="none" w:sz="0" w:space="0" w:color="auto"/>
                <w:right w:val="none" w:sz="0" w:space="0" w:color="auto"/>
              </w:divBdr>
            </w:div>
            <w:div w:id="718551457">
              <w:marLeft w:val="0"/>
              <w:marRight w:val="0"/>
              <w:marTop w:val="0"/>
              <w:marBottom w:val="0"/>
              <w:divBdr>
                <w:top w:val="none" w:sz="0" w:space="0" w:color="auto"/>
                <w:left w:val="none" w:sz="0" w:space="0" w:color="auto"/>
                <w:bottom w:val="none" w:sz="0" w:space="0" w:color="auto"/>
                <w:right w:val="none" w:sz="0" w:space="0" w:color="auto"/>
              </w:divBdr>
            </w:div>
            <w:div w:id="812914497">
              <w:marLeft w:val="0"/>
              <w:marRight w:val="0"/>
              <w:marTop w:val="0"/>
              <w:marBottom w:val="0"/>
              <w:divBdr>
                <w:top w:val="none" w:sz="0" w:space="0" w:color="auto"/>
                <w:left w:val="none" w:sz="0" w:space="0" w:color="auto"/>
                <w:bottom w:val="none" w:sz="0" w:space="0" w:color="auto"/>
                <w:right w:val="none" w:sz="0" w:space="0" w:color="auto"/>
              </w:divBdr>
            </w:div>
            <w:div w:id="880627022">
              <w:marLeft w:val="0"/>
              <w:marRight w:val="0"/>
              <w:marTop w:val="0"/>
              <w:marBottom w:val="0"/>
              <w:divBdr>
                <w:top w:val="none" w:sz="0" w:space="0" w:color="auto"/>
                <w:left w:val="none" w:sz="0" w:space="0" w:color="auto"/>
                <w:bottom w:val="none" w:sz="0" w:space="0" w:color="auto"/>
                <w:right w:val="none" w:sz="0" w:space="0" w:color="auto"/>
              </w:divBdr>
            </w:div>
            <w:div w:id="955063358">
              <w:marLeft w:val="0"/>
              <w:marRight w:val="0"/>
              <w:marTop w:val="0"/>
              <w:marBottom w:val="0"/>
              <w:divBdr>
                <w:top w:val="none" w:sz="0" w:space="0" w:color="auto"/>
                <w:left w:val="none" w:sz="0" w:space="0" w:color="auto"/>
                <w:bottom w:val="none" w:sz="0" w:space="0" w:color="auto"/>
                <w:right w:val="none" w:sz="0" w:space="0" w:color="auto"/>
              </w:divBdr>
            </w:div>
            <w:div w:id="1193298088">
              <w:marLeft w:val="0"/>
              <w:marRight w:val="0"/>
              <w:marTop w:val="0"/>
              <w:marBottom w:val="0"/>
              <w:divBdr>
                <w:top w:val="none" w:sz="0" w:space="0" w:color="auto"/>
                <w:left w:val="none" w:sz="0" w:space="0" w:color="auto"/>
                <w:bottom w:val="none" w:sz="0" w:space="0" w:color="auto"/>
                <w:right w:val="none" w:sz="0" w:space="0" w:color="auto"/>
              </w:divBdr>
            </w:div>
            <w:div w:id="1342970717">
              <w:marLeft w:val="0"/>
              <w:marRight w:val="0"/>
              <w:marTop w:val="0"/>
              <w:marBottom w:val="0"/>
              <w:divBdr>
                <w:top w:val="none" w:sz="0" w:space="0" w:color="auto"/>
                <w:left w:val="none" w:sz="0" w:space="0" w:color="auto"/>
                <w:bottom w:val="none" w:sz="0" w:space="0" w:color="auto"/>
                <w:right w:val="none" w:sz="0" w:space="0" w:color="auto"/>
              </w:divBdr>
            </w:div>
            <w:div w:id="1420366156">
              <w:marLeft w:val="0"/>
              <w:marRight w:val="0"/>
              <w:marTop w:val="0"/>
              <w:marBottom w:val="0"/>
              <w:divBdr>
                <w:top w:val="none" w:sz="0" w:space="0" w:color="auto"/>
                <w:left w:val="none" w:sz="0" w:space="0" w:color="auto"/>
                <w:bottom w:val="none" w:sz="0" w:space="0" w:color="auto"/>
                <w:right w:val="none" w:sz="0" w:space="0" w:color="auto"/>
              </w:divBdr>
            </w:div>
            <w:div w:id="1436100634">
              <w:marLeft w:val="0"/>
              <w:marRight w:val="0"/>
              <w:marTop w:val="0"/>
              <w:marBottom w:val="0"/>
              <w:divBdr>
                <w:top w:val="none" w:sz="0" w:space="0" w:color="auto"/>
                <w:left w:val="none" w:sz="0" w:space="0" w:color="auto"/>
                <w:bottom w:val="none" w:sz="0" w:space="0" w:color="auto"/>
                <w:right w:val="none" w:sz="0" w:space="0" w:color="auto"/>
              </w:divBdr>
            </w:div>
            <w:div w:id="1667709490">
              <w:marLeft w:val="0"/>
              <w:marRight w:val="0"/>
              <w:marTop w:val="0"/>
              <w:marBottom w:val="0"/>
              <w:divBdr>
                <w:top w:val="none" w:sz="0" w:space="0" w:color="auto"/>
                <w:left w:val="none" w:sz="0" w:space="0" w:color="auto"/>
                <w:bottom w:val="none" w:sz="0" w:space="0" w:color="auto"/>
                <w:right w:val="none" w:sz="0" w:space="0" w:color="auto"/>
              </w:divBdr>
            </w:div>
            <w:div w:id="1954511737">
              <w:marLeft w:val="0"/>
              <w:marRight w:val="0"/>
              <w:marTop w:val="0"/>
              <w:marBottom w:val="0"/>
              <w:divBdr>
                <w:top w:val="none" w:sz="0" w:space="0" w:color="auto"/>
                <w:left w:val="none" w:sz="0" w:space="0" w:color="auto"/>
                <w:bottom w:val="none" w:sz="0" w:space="0" w:color="auto"/>
                <w:right w:val="none" w:sz="0" w:space="0" w:color="auto"/>
              </w:divBdr>
            </w:div>
            <w:div w:id="2024089131">
              <w:marLeft w:val="0"/>
              <w:marRight w:val="0"/>
              <w:marTop w:val="0"/>
              <w:marBottom w:val="0"/>
              <w:divBdr>
                <w:top w:val="none" w:sz="0" w:space="0" w:color="auto"/>
                <w:left w:val="none" w:sz="0" w:space="0" w:color="auto"/>
                <w:bottom w:val="none" w:sz="0" w:space="0" w:color="auto"/>
                <w:right w:val="none" w:sz="0" w:space="0" w:color="auto"/>
              </w:divBdr>
            </w:div>
            <w:div w:id="2078936417">
              <w:marLeft w:val="0"/>
              <w:marRight w:val="0"/>
              <w:marTop w:val="0"/>
              <w:marBottom w:val="0"/>
              <w:divBdr>
                <w:top w:val="none" w:sz="0" w:space="0" w:color="auto"/>
                <w:left w:val="none" w:sz="0" w:space="0" w:color="auto"/>
                <w:bottom w:val="none" w:sz="0" w:space="0" w:color="auto"/>
                <w:right w:val="none" w:sz="0" w:space="0" w:color="auto"/>
              </w:divBdr>
            </w:div>
          </w:divsChild>
        </w:div>
        <w:div w:id="1329795130">
          <w:marLeft w:val="0"/>
          <w:marRight w:val="0"/>
          <w:marTop w:val="0"/>
          <w:marBottom w:val="0"/>
          <w:divBdr>
            <w:top w:val="none" w:sz="0" w:space="0" w:color="auto"/>
            <w:left w:val="none" w:sz="0" w:space="0" w:color="auto"/>
            <w:bottom w:val="none" w:sz="0" w:space="0" w:color="auto"/>
            <w:right w:val="none" w:sz="0" w:space="0" w:color="auto"/>
          </w:divBdr>
        </w:div>
        <w:div w:id="1348288732">
          <w:marLeft w:val="0"/>
          <w:marRight w:val="0"/>
          <w:marTop w:val="0"/>
          <w:marBottom w:val="0"/>
          <w:divBdr>
            <w:top w:val="none" w:sz="0" w:space="0" w:color="auto"/>
            <w:left w:val="none" w:sz="0" w:space="0" w:color="auto"/>
            <w:bottom w:val="none" w:sz="0" w:space="0" w:color="auto"/>
            <w:right w:val="none" w:sz="0" w:space="0" w:color="auto"/>
          </w:divBdr>
        </w:div>
        <w:div w:id="1459761015">
          <w:marLeft w:val="0"/>
          <w:marRight w:val="0"/>
          <w:marTop w:val="0"/>
          <w:marBottom w:val="0"/>
          <w:divBdr>
            <w:top w:val="none" w:sz="0" w:space="0" w:color="auto"/>
            <w:left w:val="none" w:sz="0" w:space="0" w:color="auto"/>
            <w:bottom w:val="none" w:sz="0" w:space="0" w:color="auto"/>
            <w:right w:val="none" w:sz="0" w:space="0" w:color="auto"/>
          </w:divBdr>
        </w:div>
        <w:div w:id="1465661223">
          <w:marLeft w:val="0"/>
          <w:marRight w:val="0"/>
          <w:marTop w:val="0"/>
          <w:marBottom w:val="0"/>
          <w:divBdr>
            <w:top w:val="none" w:sz="0" w:space="0" w:color="auto"/>
            <w:left w:val="none" w:sz="0" w:space="0" w:color="auto"/>
            <w:bottom w:val="none" w:sz="0" w:space="0" w:color="auto"/>
            <w:right w:val="none" w:sz="0" w:space="0" w:color="auto"/>
          </w:divBdr>
        </w:div>
        <w:div w:id="1530222068">
          <w:marLeft w:val="0"/>
          <w:marRight w:val="0"/>
          <w:marTop w:val="0"/>
          <w:marBottom w:val="0"/>
          <w:divBdr>
            <w:top w:val="none" w:sz="0" w:space="0" w:color="auto"/>
            <w:left w:val="none" w:sz="0" w:space="0" w:color="auto"/>
            <w:bottom w:val="none" w:sz="0" w:space="0" w:color="auto"/>
            <w:right w:val="none" w:sz="0" w:space="0" w:color="auto"/>
          </w:divBdr>
        </w:div>
        <w:div w:id="1551186326">
          <w:marLeft w:val="0"/>
          <w:marRight w:val="0"/>
          <w:marTop w:val="0"/>
          <w:marBottom w:val="0"/>
          <w:divBdr>
            <w:top w:val="none" w:sz="0" w:space="0" w:color="auto"/>
            <w:left w:val="none" w:sz="0" w:space="0" w:color="auto"/>
            <w:bottom w:val="none" w:sz="0" w:space="0" w:color="auto"/>
            <w:right w:val="none" w:sz="0" w:space="0" w:color="auto"/>
          </w:divBdr>
        </w:div>
        <w:div w:id="1727950413">
          <w:marLeft w:val="0"/>
          <w:marRight w:val="0"/>
          <w:marTop w:val="0"/>
          <w:marBottom w:val="0"/>
          <w:divBdr>
            <w:top w:val="none" w:sz="0" w:space="0" w:color="auto"/>
            <w:left w:val="none" w:sz="0" w:space="0" w:color="auto"/>
            <w:bottom w:val="none" w:sz="0" w:space="0" w:color="auto"/>
            <w:right w:val="none" w:sz="0" w:space="0" w:color="auto"/>
          </w:divBdr>
        </w:div>
        <w:div w:id="1756322787">
          <w:marLeft w:val="0"/>
          <w:marRight w:val="0"/>
          <w:marTop w:val="0"/>
          <w:marBottom w:val="0"/>
          <w:divBdr>
            <w:top w:val="none" w:sz="0" w:space="0" w:color="auto"/>
            <w:left w:val="none" w:sz="0" w:space="0" w:color="auto"/>
            <w:bottom w:val="none" w:sz="0" w:space="0" w:color="auto"/>
            <w:right w:val="none" w:sz="0" w:space="0" w:color="auto"/>
          </w:divBdr>
        </w:div>
        <w:div w:id="1892034092">
          <w:marLeft w:val="0"/>
          <w:marRight w:val="0"/>
          <w:marTop w:val="0"/>
          <w:marBottom w:val="0"/>
          <w:divBdr>
            <w:top w:val="none" w:sz="0" w:space="0" w:color="auto"/>
            <w:left w:val="none" w:sz="0" w:space="0" w:color="auto"/>
            <w:bottom w:val="none" w:sz="0" w:space="0" w:color="auto"/>
            <w:right w:val="none" w:sz="0" w:space="0" w:color="auto"/>
          </w:divBdr>
        </w:div>
        <w:div w:id="1949896931">
          <w:marLeft w:val="0"/>
          <w:marRight w:val="0"/>
          <w:marTop w:val="0"/>
          <w:marBottom w:val="0"/>
          <w:divBdr>
            <w:top w:val="none" w:sz="0" w:space="0" w:color="auto"/>
            <w:left w:val="none" w:sz="0" w:space="0" w:color="auto"/>
            <w:bottom w:val="none" w:sz="0" w:space="0" w:color="auto"/>
            <w:right w:val="none" w:sz="0" w:space="0" w:color="auto"/>
          </w:divBdr>
          <w:divsChild>
            <w:div w:id="26100498">
              <w:marLeft w:val="0"/>
              <w:marRight w:val="0"/>
              <w:marTop w:val="0"/>
              <w:marBottom w:val="0"/>
              <w:divBdr>
                <w:top w:val="none" w:sz="0" w:space="0" w:color="auto"/>
                <w:left w:val="none" w:sz="0" w:space="0" w:color="auto"/>
                <w:bottom w:val="none" w:sz="0" w:space="0" w:color="auto"/>
                <w:right w:val="none" w:sz="0" w:space="0" w:color="auto"/>
              </w:divBdr>
            </w:div>
            <w:div w:id="221985014">
              <w:marLeft w:val="0"/>
              <w:marRight w:val="0"/>
              <w:marTop w:val="0"/>
              <w:marBottom w:val="0"/>
              <w:divBdr>
                <w:top w:val="none" w:sz="0" w:space="0" w:color="auto"/>
                <w:left w:val="none" w:sz="0" w:space="0" w:color="auto"/>
                <w:bottom w:val="none" w:sz="0" w:space="0" w:color="auto"/>
                <w:right w:val="none" w:sz="0" w:space="0" w:color="auto"/>
              </w:divBdr>
            </w:div>
            <w:div w:id="321784269">
              <w:marLeft w:val="0"/>
              <w:marRight w:val="0"/>
              <w:marTop w:val="0"/>
              <w:marBottom w:val="0"/>
              <w:divBdr>
                <w:top w:val="none" w:sz="0" w:space="0" w:color="auto"/>
                <w:left w:val="none" w:sz="0" w:space="0" w:color="auto"/>
                <w:bottom w:val="none" w:sz="0" w:space="0" w:color="auto"/>
                <w:right w:val="none" w:sz="0" w:space="0" w:color="auto"/>
              </w:divBdr>
            </w:div>
            <w:div w:id="433748750">
              <w:marLeft w:val="0"/>
              <w:marRight w:val="0"/>
              <w:marTop w:val="0"/>
              <w:marBottom w:val="0"/>
              <w:divBdr>
                <w:top w:val="none" w:sz="0" w:space="0" w:color="auto"/>
                <w:left w:val="none" w:sz="0" w:space="0" w:color="auto"/>
                <w:bottom w:val="none" w:sz="0" w:space="0" w:color="auto"/>
                <w:right w:val="none" w:sz="0" w:space="0" w:color="auto"/>
              </w:divBdr>
            </w:div>
            <w:div w:id="538667506">
              <w:marLeft w:val="0"/>
              <w:marRight w:val="0"/>
              <w:marTop w:val="0"/>
              <w:marBottom w:val="0"/>
              <w:divBdr>
                <w:top w:val="none" w:sz="0" w:space="0" w:color="auto"/>
                <w:left w:val="none" w:sz="0" w:space="0" w:color="auto"/>
                <w:bottom w:val="none" w:sz="0" w:space="0" w:color="auto"/>
                <w:right w:val="none" w:sz="0" w:space="0" w:color="auto"/>
              </w:divBdr>
            </w:div>
            <w:div w:id="574127248">
              <w:marLeft w:val="0"/>
              <w:marRight w:val="0"/>
              <w:marTop w:val="0"/>
              <w:marBottom w:val="0"/>
              <w:divBdr>
                <w:top w:val="none" w:sz="0" w:space="0" w:color="auto"/>
                <w:left w:val="none" w:sz="0" w:space="0" w:color="auto"/>
                <w:bottom w:val="none" w:sz="0" w:space="0" w:color="auto"/>
                <w:right w:val="none" w:sz="0" w:space="0" w:color="auto"/>
              </w:divBdr>
            </w:div>
            <w:div w:id="716665460">
              <w:marLeft w:val="0"/>
              <w:marRight w:val="0"/>
              <w:marTop w:val="0"/>
              <w:marBottom w:val="0"/>
              <w:divBdr>
                <w:top w:val="none" w:sz="0" w:space="0" w:color="auto"/>
                <w:left w:val="none" w:sz="0" w:space="0" w:color="auto"/>
                <w:bottom w:val="none" w:sz="0" w:space="0" w:color="auto"/>
                <w:right w:val="none" w:sz="0" w:space="0" w:color="auto"/>
              </w:divBdr>
            </w:div>
            <w:div w:id="818577343">
              <w:marLeft w:val="0"/>
              <w:marRight w:val="0"/>
              <w:marTop w:val="0"/>
              <w:marBottom w:val="0"/>
              <w:divBdr>
                <w:top w:val="none" w:sz="0" w:space="0" w:color="auto"/>
                <w:left w:val="none" w:sz="0" w:space="0" w:color="auto"/>
                <w:bottom w:val="none" w:sz="0" w:space="0" w:color="auto"/>
                <w:right w:val="none" w:sz="0" w:space="0" w:color="auto"/>
              </w:divBdr>
            </w:div>
            <w:div w:id="843394635">
              <w:marLeft w:val="0"/>
              <w:marRight w:val="0"/>
              <w:marTop w:val="0"/>
              <w:marBottom w:val="0"/>
              <w:divBdr>
                <w:top w:val="none" w:sz="0" w:space="0" w:color="auto"/>
                <w:left w:val="none" w:sz="0" w:space="0" w:color="auto"/>
                <w:bottom w:val="none" w:sz="0" w:space="0" w:color="auto"/>
                <w:right w:val="none" w:sz="0" w:space="0" w:color="auto"/>
              </w:divBdr>
            </w:div>
            <w:div w:id="1031609742">
              <w:marLeft w:val="0"/>
              <w:marRight w:val="0"/>
              <w:marTop w:val="0"/>
              <w:marBottom w:val="0"/>
              <w:divBdr>
                <w:top w:val="none" w:sz="0" w:space="0" w:color="auto"/>
                <w:left w:val="none" w:sz="0" w:space="0" w:color="auto"/>
                <w:bottom w:val="none" w:sz="0" w:space="0" w:color="auto"/>
                <w:right w:val="none" w:sz="0" w:space="0" w:color="auto"/>
              </w:divBdr>
            </w:div>
            <w:div w:id="1034771644">
              <w:marLeft w:val="0"/>
              <w:marRight w:val="0"/>
              <w:marTop w:val="0"/>
              <w:marBottom w:val="0"/>
              <w:divBdr>
                <w:top w:val="none" w:sz="0" w:space="0" w:color="auto"/>
                <w:left w:val="none" w:sz="0" w:space="0" w:color="auto"/>
                <w:bottom w:val="none" w:sz="0" w:space="0" w:color="auto"/>
                <w:right w:val="none" w:sz="0" w:space="0" w:color="auto"/>
              </w:divBdr>
            </w:div>
            <w:div w:id="1212576263">
              <w:marLeft w:val="0"/>
              <w:marRight w:val="0"/>
              <w:marTop w:val="0"/>
              <w:marBottom w:val="0"/>
              <w:divBdr>
                <w:top w:val="none" w:sz="0" w:space="0" w:color="auto"/>
                <w:left w:val="none" w:sz="0" w:space="0" w:color="auto"/>
                <w:bottom w:val="none" w:sz="0" w:space="0" w:color="auto"/>
                <w:right w:val="none" w:sz="0" w:space="0" w:color="auto"/>
              </w:divBdr>
            </w:div>
            <w:div w:id="1250888285">
              <w:marLeft w:val="0"/>
              <w:marRight w:val="0"/>
              <w:marTop w:val="0"/>
              <w:marBottom w:val="0"/>
              <w:divBdr>
                <w:top w:val="none" w:sz="0" w:space="0" w:color="auto"/>
                <w:left w:val="none" w:sz="0" w:space="0" w:color="auto"/>
                <w:bottom w:val="none" w:sz="0" w:space="0" w:color="auto"/>
                <w:right w:val="none" w:sz="0" w:space="0" w:color="auto"/>
              </w:divBdr>
            </w:div>
            <w:div w:id="1311598062">
              <w:marLeft w:val="0"/>
              <w:marRight w:val="0"/>
              <w:marTop w:val="0"/>
              <w:marBottom w:val="0"/>
              <w:divBdr>
                <w:top w:val="none" w:sz="0" w:space="0" w:color="auto"/>
                <w:left w:val="none" w:sz="0" w:space="0" w:color="auto"/>
                <w:bottom w:val="none" w:sz="0" w:space="0" w:color="auto"/>
                <w:right w:val="none" w:sz="0" w:space="0" w:color="auto"/>
              </w:divBdr>
            </w:div>
            <w:div w:id="1623924715">
              <w:marLeft w:val="0"/>
              <w:marRight w:val="0"/>
              <w:marTop w:val="0"/>
              <w:marBottom w:val="0"/>
              <w:divBdr>
                <w:top w:val="none" w:sz="0" w:space="0" w:color="auto"/>
                <w:left w:val="none" w:sz="0" w:space="0" w:color="auto"/>
                <w:bottom w:val="none" w:sz="0" w:space="0" w:color="auto"/>
                <w:right w:val="none" w:sz="0" w:space="0" w:color="auto"/>
              </w:divBdr>
            </w:div>
            <w:div w:id="1885172212">
              <w:marLeft w:val="0"/>
              <w:marRight w:val="0"/>
              <w:marTop w:val="0"/>
              <w:marBottom w:val="0"/>
              <w:divBdr>
                <w:top w:val="none" w:sz="0" w:space="0" w:color="auto"/>
                <w:left w:val="none" w:sz="0" w:space="0" w:color="auto"/>
                <w:bottom w:val="none" w:sz="0" w:space="0" w:color="auto"/>
                <w:right w:val="none" w:sz="0" w:space="0" w:color="auto"/>
              </w:divBdr>
            </w:div>
            <w:div w:id="1888058399">
              <w:marLeft w:val="0"/>
              <w:marRight w:val="0"/>
              <w:marTop w:val="0"/>
              <w:marBottom w:val="0"/>
              <w:divBdr>
                <w:top w:val="none" w:sz="0" w:space="0" w:color="auto"/>
                <w:left w:val="none" w:sz="0" w:space="0" w:color="auto"/>
                <w:bottom w:val="none" w:sz="0" w:space="0" w:color="auto"/>
                <w:right w:val="none" w:sz="0" w:space="0" w:color="auto"/>
              </w:divBdr>
            </w:div>
            <w:div w:id="1953053046">
              <w:marLeft w:val="0"/>
              <w:marRight w:val="0"/>
              <w:marTop w:val="0"/>
              <w:marBottom w:val="0"/>
              <w:divBdr>
                <w:top w:val="none" w:sz="0" w:space="0" w:color="auto"/>
                <w:left w:val="none" w:sz="0" w:space="0" w:color="auto"/>
                <w:bottom w:val="none" w:sz="0" w:space="0" w:color="auto"/>
                <w:right w:val="none" w:sz="0" w:space="0" w:color="auto"/>
              </w:divBdr>
            </w:div>
            <w:div w:id="2057389050">
              <w:marLeft w:val="0"/>
              <w:marRight w:val="0"/>
              <w:marTop w:val="0"/>
              <w:marBottom w:val="0"/>
              <w:divBdr>
                <w:top w:val="none" w:sz="0" w:space="0" w:color="auto"/>
                <w:left w:val="none" w:sz="0" w:space="0" w:color="auto"/>
                <w:bottom w:val="none" w:sz="0" w:space="0" w:color="auto"/>
                <w:right w:val="none" w:sz="0" w:space="0" w:color="auto"/>
              </w:divBdr>
            </w:div>
            <w:div w:id="2098551637">
              <w:marLeft w:val="0"/>
              <w:marRight w:val="0"/>
              <w:marTop w:val="0"/>
              <w:marBottom w:val="0"/>
              <w:divBdr>
                <w:top w:val="none" w:sz="0" w:space="0" w:color="auto"/>
                <w:left w:val="none" w:sz="0" w:space="0" w:color="auto"/>
                <w:bottom w:val="none" w:sz="0" w:space="0" w:color="auto"/>
                <w:right w:val="none" w:sz="0" w:space="0" w:color="auto"/>
              </w:divBdr>
            </w:div>
          </w:divsChild>
        </w:div>
        <w:div w:id="2126463205">
          <w:marLeft w:val="0"/>
          <w:marRight w:val="0"/>
          <w:marTop w:val="0"/>
          <w:marBottom w:val="0"/>
          <w:divBdr>
            <w:top w:val="none" w:sz="0" w:space="0" w:color="auto"/>
            <w:left w:val="none" w:sz="0" w:space="0" w:color="auto"/>
            <w:bottom w:val="none" w:sz="0" w:space="0" w:color="auto"/>
            <w:right w:val="none" w:sz="0" w:space="0" w:color="auto"/>
          </w:divBdr>
        </w:div>
        <w:div w:id="2130119924">
          <w:marLeft w:val="0"/>
          <w:marRight w:val="0"/>
          <w:marTop w:val="0"/>
          <w:marBottom w:val="0"/>
          <w:divBdr>
            <w:top w:val="none" w:sz="0" w:space="0" w:color="auto"/>
            <w:left w:val="none" w:sz="0" w:space="0" w:color="auto"/>
            <w:bottom w:val="none" w:sz="0" w:space="0" w:color="auto"/>
            <w:right w:val="none" w:sz="0" w:space="0" w:color="auto"/>
          </w:divBdr>
        </w:div>
      </w:divsChild>
    </w:div>
    <w:div w:id="2105875692">
      <w:bodyDiv w:val="1"/>
      <w:marLeft w:val="0"/>
      <w:marRight w:val="0"/>
      <w:marTop w:val="0"/>
      <w:marBottom w:val="0"/>
      <w:divBdr>
        <w:top w:val="none" w:sz="0" w:space="0" w:color="auto"/>
        <w:left w:val="none" w:sz="0" w:space="0" w:color="auto"/>
        <w:bottom w:val="none" w:sz="0" w:space="0" w:color="auto"/>
        <w:right w:val="none" w:sz="0" w:space="0" w:color="auto"/>
      </w:divBdr>
    </w:div>
    <w:div w:id="2106729315">
      <w:bodyDiv w:val="1"/>
      <w:marLeft w:val="0"/>
      <w:marRight w:val="0"/>
      <w:marTop w:val="0"/>
      <w:marBottom w:val="0"/>
      <w:divBdr>
        <w:top w:val="none" w:sz="0" w:space="0" w:color="auto"/>
        <w:left w:val="none" w:sz="0" w:space="0" w:color="auto"/>
        <w:bottom w:val="none" w:sz="0" w:space="0" w:color="auto"/>
        <w:right w:val="none" w:sz="0" w:space="0" w:color="auto"/>
      </w:divBdr>
      <w:divsChild>
        <w:div w:id="2359908">
          <w:marLeft w:val="0"/>
          <w:marRight w:val="0"/>
          <w:marTop w:val="0"/>
          <w:marBottom w:val="0"/>
          <w:divBdr>
            <w:top w:val="none" w:sz="0" w:space="0" w:color="auto"/>
            <w:left w:val="none" w:sz="0" w:space="0" w:color="auto"/>
            <w:bottom w:val="none" w:sz="0" w:space="0" w:color="auto"/>
            <w:right w:val="none" w:sz="0" w:space="0" w:color="auto"/>
          </w:divBdr>
        </w:div>
        <w:div w:id="17002736">
          <w:marLeft w:val="0"/>
          <w:marRight w:val="0"/>
          <w:marTop w:val="0"/>
          <w:marBottom w:val="0"/>
          <w:divBdr>
            <w:top w:val="none" w:sz="0" w:space="0" w:color="auto"/>
            <w:left w:val="none" w:sz="0" w:space="0" w:color="auto"/>
            <w:bottom w:val="none" w:sz="0" w:space="0" w:color="auto"/>
            <w:right w:val="none" w:sz="0" w:space="0" w:color="auto"/>
          </w:divBdr>
        </w:div>
        <w:div w:id="23337495">
          <w:marLeft w:val="0"/>
          <w:marRight w:val="0"/>
          <w:marTop w:val="0"/>
          <w:marBottom w:val="0"/>
          <w:divBdr>
            <w:top w:val="none" w:sz="0" w:space="0" w:color="auto"/>
            <w:left w:val="none" w:sz="0" w:space="0" w:color="auto"/>
            <w:bottom w:val="none" w:sz="0" w:space="0" w:color="auto"/>
            <w:right w:val="none" w:sz="0" w:space="0" w:color="auto"/>
          </w:divBdr>
        </w:div>
        <w:div w:id="37898341">
          <w:marLeft w:val="0"/>
          <w:marRight w:val="0"/>
          <w:marTop w:val="0"/>
          <w:marBottom w:val="0"/>
          <w:divBdr>
            <w:top w:val="none" w:sz="0" w:space="0" w:color="auto"/>
            <w:left w:val="none" w:sz="0" w:space="0" w:color="auto"/>
            <w:bottom w:val="none" w:sz="0" w:space="0" w:color="auto"/>
            <w:right w:val="none" w:sz="0" w:space="0" w:color="auto"/>
          </w:divBdr>
        </w:div>
        <w:div w:id="41441009">
          <w:marLeft w:val="0"/>
          <w:marRight w:val="0"/>
          <w:marTop w:val="0"/>
          <w:marBottom w:val="0"/>
          <w:divBdr>
            <w:top w:val="none" w:sz="0" w:space="0" w:color="auto"/>
            <w:left w:val="none" w:sz="0" w:space="0" w:color="auto"/>
            <w:bottom w:val="none" w:sz="0" w:space="0" w:color="auto"/>
            <w:right w:val="none" w:sz="0" w:space="0" w:color="auto"/>
          </w:divBdr>
        </w:div>
        <w:div w:id="45372261">
          <w:marLeft w:val="0"/>
          <w:marRight w:val="0"/>
          <w:marTop w:val="0"/>
          <w:marBottom w:val="0"/>
          <w:divBdr>
            <w:top w:val="none" w:sz="0" w:space="0" w:color="auto"/>
            <w:left w:val="none" w:sz="0" w:space="0" w:color="auto"/>
            <w:bottom w:val="none" w:sz="0" w:space="0" w:color="auto"/>
            <w:right w:val="none" w:sz="0" w:space="0" w:color="auto"/>
          </w:divBdr>
        </w:div>
        <w:div w:id="49232025">
          <w:marLeft w:val="0"/>
          <w:marRight w:val="0"/>
          <w:marTop w:val="0"/>
          <w:marBottom w:val="0"/>
          <w:divBdr>
            <w:top w:val="none" w:sz="0" w:space="0" w:color="auto"/>
            <w:left w:val="none" w:sz="0" w:space="0" w:color="auto"/>
            <w:bottom w:val="none" w:sz="0" w:space="0" w:color="auto"/>
            <w:right w:val="none" w:sz="0" w:space="0" w:color="auto"/>
          </w:divBdr>
        </w:div>
        <w:div w:id="51084275">
          <w:marLeft w:val="0"/>
          <w:marRight w:val="0"/>
          <w:marTop w:val="0"/>
          <w:marBottom w:val="0"/>
          <w:divBdr>
            <w:top w:val="none" w:sz="0" w:space="0" w:color="auto"/>
            <w:left w:val="none" w:sz="0" w:space="0" w:color="auto"/>
            <w:bottom w:val="none" w:sz="0" w:space="0" w:color="auto"/>
            <w:right w:val="none" w:sz="0" w:space="0" w:color="auto"/>
          </w:divBdr>
        </w:div>
        <w:div w:id="52781744">
          <w:marLeft w:val="0"/>
          <w:marRight w:val="0"/>
          <w:marTop w:val="0"/>
          <w:marBottom w:val="0"/>
          <w:divBdr>
            <w:top w:val="none" w:sz="0" w:space="0" w:color="auto"/>
            <w:left w:val="none" w:sz="0" w:space="0" w:color="auto"/>
            <w:bottom w:val="none" w:sz="0" w:space="0" w:color="auto"/>
            <w:right w:val="none" w:sz="0" w:space="0" w:color="auto"/>
          </w:divBdr>
        </w:div>
        <w:div w:id="71893640">
          <w:marLeft w:val="0"/>
          <w:marRight w:val="0"/>
          <w:marTop w:val="0"/>
          <w:marBottom w:val="0"/>
          <w:divBdr>
            <w:top w:val="none" w:sz="0" w:space="0" w:color="auto"/>
            <w:left w:val="none" w:sz="0" w:space="0" w:color="auto"/>
            <w:bottom w:val="none" w:sz="0" w:space="0" w:color="auto"/>
            <w:right w:val="none" w:sz="0" w:space="0" w:color="auto"/>
          </w:divBdr>
        </w:div>
        <w:div w:id="72750856">
          <w:marLeft w:val="0"/>
          <w:marRight w:val="0"/>
          <w:marTop w:val="0"/>
          <w:marBottom w:val="0"/>
          <w:divBdr>
            <w:top w:val="none" w:sz="0" w:space="0" w:color="auto"/>
            <w:left w:val="none" w:sz="0" w:space="0" w:color="auto"/>
            <w:bottom w:val="none" w:sz="0" w:space="0" w:color="auto"/>
            <w:right w:val="none" w:sz="0" w:space="0" w:color="auto"/>
          </w:divBdr>
        </w:div>
        <w:div w:id="75638708">
          <w:marLeft w:val="0"/>
          <w:marRight w:val="0"/>
          <w:marTop w:val="0"/>
          <w:marBottom w:val="0"/>
          <w:divBdr>
            <w:top w:val="none" w:sz="0" w:space="0" w:color="auto"/>
            <w:left w:val="none" w:sz="0" w:space="0" w:color="auto"/>
            <w:bottom w:val="none" w:sz="0" w:space="0" w:color="auto"/>
            <w:right w:val="none" w:sz="0" w:space="0" w:color="auto"/>
          </w:divBdr>
        </w:div>
        <w:div w:id="78404867">
          <w:marLeft w:val="0"/>
          <w:marRight w:val="0"/>
          <w:marTop w:val="0"/>
          <w:marBottom w:val="0"/>
          <w:divBdr>
            <w:top w:val="none" w:sz="0" w:space="0" w:color="auto"/>
            <w:left w:val="none" w:sz="0" w:space="0" w:color="auto"/>
            <w:bottom w:val="none" w:sz="0" w:space="0" w:color="auto"/>
            <w:right w:val="none" w:sz="0" w:space="0" w:color="auto"/>
          </w:divBdr>
        </w:div>
        <w:div w:id="79763712">
          <w:marLeft w:val="0"/>
          <w:marRight w:val="0"/>
          <w:marTop w:val="0"/>
          <w:marBottom w:val="0"/>
          <w:divBdr>
            <w:top w:val="none" w:sz="0" w:space="0" w:color="auto"/>
            <w:left w:val="none" w:sz="0" w:space="0" w:color="auto"/>
            <w:bottom w:val="none" w:sz="0" w:space="0" w:color="auto"/>
            <w:right w:val="none" w:sz="0" w:space="0" w:color="auto"/>
          </w:divBdr>
        </w:div>
        <w:div w:id="81075355">
          <w:marLeft w:val="0"/>
          <w:marRight w:val="0"/>
          <w:marTop w:val="0"/>
          <w:marBottom w:val="0"/>
          <w:divBdr>
            <w:top w:val="none" w:sz="0" w:space="0" w:color="auto"/>
            <w:left w:val="none" w:sz="0" w:space="0" w:color="auto"/>
            <w:bottom w:val="none" w:sz="0" w:space="0" w:color="auto"/>
            <w:right w:val="none" w:sz="0" w:space="0" w:color="auto"/>
          </w:divBdr>
        </w:div>
        <w:div w:id="94906627">
          <w:marLeft w:val="0"/>
          <w:marRight w:val="0"/>
          <w:marTop w:val="0"/>
          <w:marBottom w:val="0"/>
          <w:divBdr>
            <w:top w:val="none" w:sz="0" w:space="0" w:color="auto"/>
            <w:left w:val="none" w:sz="0" w:space="0" w:color="auto"/>
            <w:bottom w:val="none" w:sz="0" w:space="0" w:color="auto"/>
            <w:right w:val="none" w:sz="0" w:space="0" w:color="auto"/>
          </w:divBdr>
        </w:div>
        <w:div w:id="97216629">
          <w:marLeft w:val="0"/>
          <w:marRight w:val="0"/>
          <w:marTop w:val="0"/>
          <w:marBottom w:val="0"/>
          <w:divBdr>
            <w:top w:val="none" w:sz="0" w:space="0" w:color="auto"/>
            <w:left w:val="none" w:sz="0" w:space="0" w:color="auto"/>
            <w:bottom w:val="none" w:sz="0" w:space="0" w:color="auto"/>
            <w:right w:val="none" w:sz="0" w:space="0" w:color="auto"/>
          </w:divBdr>
        </w:div>
        <w:div w:id="100996497">
          <w:marLeft w:val="0"/>
          <w:marRight w:val="0"/>
          <w:marTop w:val="0"/>
          <w:marBottom w:val="0"/>
          <w:divBdr>
            <w:top w:val="none" w:sz="0" w:space="0" w:color="auto"/>
            <w:left w:val="none" w:sz="0" w:space="0" w:color="auto"/>
            <w:bottom w:val="none" w:sz="0" w:space="0" w:color="auto"/>
            <w:right w:val="none" w:sz="0" w:space="0" w:color="auto"/>
          </w:divBdr>
        </w:div>
        <w:div w:id="108209931">
          <w:marLeft w:val="0"/>
          <w:marRight w:val="0"/>
          <w:marTop w:val="0"/>
          <w:marBottom w:val="0"/>
          <w:divBdr>
            <w:top w:val="none" w:sz="0" w:space="0" w:color="auto"/>
            <w:left w:val="none" w:sz="0" w:space="0" w:color="auto"/>
            <w:bottom w:val="none" w:sz="0" w:space="0" w:color="auto"/>
            <w:right w:val="none" w:sz="0" w:space="0" w:color="auto"/>
          </w:divBdr>
        </w:div>
        <w:div w:id="110982924">
          <w:marLeft w:val="0"/>
          <w:marRight w:val="0"/>
          <w:marTop w:val="0"/>
          <w:marBottom w:val="0"/>
          <w:divBdr>
            <w:top w:val="none" w:sz="0" w:space="0" w:color="auto"/>
            <w:left w:val="none" w:sz="0" w:space="0" w:color="auto"/>
            <w:bottom w:val="none" w:sz="0" w:space="0" w:color="auto"/>
            <w:right w:val="none" w:sz="0" w:space="0" w:color="auto"/>
          </w:divBdr>
        </w:div>
        <w:div w:id="113595894">
          <w:marLeft w:val="0"/>
          <w:marRight w:val="0"/>
          <w:marTop w:val="0"/>
          <w:marBottom w:val="0"/>
          <w:divBdr>
            <w:top w:val="none" w:sz="0" w:space="0" w:color="auto"/>
            <w:left w:val="none" w:sz="0" w:space="0" w:color="auto"/>
            <w:bottom w:val="none" w:sz="0" w:space="0" w:color="auto"/>
            <w:right w:val="none" w:sz="0" w:space="0" w:color="auto"/>
          </w:divBdr>
        </w:div>
        <w:div w:id="117650470">
          <w:marLeft w:val="0"/>
          <w:marRight w:val="0"/>
          <w:marTop w:val="0"/>
          <w:marBottom w:val="0"/>
          <w:divBdr>
            <w:top w:val="none" w:sz="0" w:space="0" w:color="auto"/>
            <w:left w:val="none" w:sz="0" w:space="0" w:color="auto"/>
            <w:bottom w:val="none" w:sz="0" w:space="0" w:color="auto"/>
            <w:right w:val="none" w:sz="0" w:space="0" w:color="auto"/>
          </w:divBdr>
        </w:div>
        <w:div w:id="119541333">
          <w:marLeft w:val="0"/>
          <w:marRight w:val="0"/>
          <w:marTop w:val="0"/>
          <w:marBottom w:val="0"/>
          <w:divBdr>
            <w:top w:val="none" w:sz="0" w:space="0" w:color="auto"/>
            <w:left w:val="none" w:sz="0" w:space="0" w:color="auto"/>
            <w:bottom w:val="none" w:sz="0" w:space="0" w:color="auto"/>
            <w:right w:val="none" w:sz="0" w:space="0" w:color="auto"/>
          </w:divBdr>
        </w:div>
        <w:div w:id="122815451">
          <w:marLeft w:val="0"/>
          <w:marRight w:val="0"/>
          <w:marTop w:val="0"/>
          <w:marBottom w:val="0"/>
          <w:divBdr>
            <w:top w:val="none" w:sz="0" w:space="0" w:color="auto"/>
            <w:left w:val="none" w:sz="0" w:space="0" w:color="auto"/>
            <w:bottom w:val="none" w:sz="0" w:space="0" w:color="auto"/>
            <w:right w:val="none" w:sz="0" w:space="0" w:color="auto"/>
          </w:divBdr>
        </w:div>
        <w:div w:id="124395496">
          <w:marLeft w:val="0"/>
          <w:marRight w:val="0"/>
          <w:marTop w:val="0"/>
          <w:marBottom w:val="0"/>
          <w:divBdr>
            <w:top w:val="none" w:sz="0" w:space="0" w:color="auto"/>
            <w:left w:val="none" w:sz="0" w:space="0" w:color="auto"/>
            <w:bottom w:val="none" w:sz="0" w:space="0" w:color="auto"/>
            <w:right w:val="none" w:sz="0" w:space="0" w:color="auto"/>
          </w:divBdr>
        </w:div>
        <w:div w:id="128790838">
          <w:marLeft w:val="0"/>
          <w:marRight w:val="0"/>
          <w:marTop w:val="0"/>
          <w:marBottom w:val="0"/>
          <w:divBdr>
            <w:top w:val="none" w:sz="0" w:space="0" w:color="auto"/>
            <w:left w:val="none" w:sz="0" w:space="0" w:color="auto"/>
            <w:bottom w:val="none" w:sz="0" w:space="0" w:color="auto"/>
            <w:right w:val="none" w:sz="0" w:space="0" w:color="auto"/>
          </w:divBdr>
        </w:div>
        <w:div w:id="129514669">
          <w:marLeft w:val="0"/>
          <w:marRight w:val="0"/>
          <w:marTop w:val="0"/>
          <w:marBottom w:val="0"/>
          <w:divBdr>
            <w:top w:val="none" w:sz="0" w:space="0" w:color="auto"/>
            <w:left w:val="none" w:sz="0" w:space="0" w:color="auto"/>
            <w:bottom w:val="none" w:sz="0" w:space="0" w:color="auto"/>
            <w:right w:val="none" w:sz="0" w:space="0" w:color="auto"/>
          </w:divBdr>
        </w:div>
        <w:div w:id="134035110">
          <w:marLeft w:val="0"/>
          <w:marRight w:val="0"/>
          <w:marTop w:val="0"/>
          <w:marBottom w:val="0"/>
          <w:divBdr>
            <w:top w:val="none" w:sz="0" w:space="0" w:color="auto"/>
            <w:left w:val="none" w:sz="0" w:space="0" w:color="auto"/>
            <w:bottom w:val="none" w:sz="0" w:space="0" w:color="auto"/>
            <w:right w:val="none" w:sz="0" w:space="0" w:color="auto"/>
          </w:divBdr>
        </w:div>
        <w:div w:id="141434375">
          <w:marLeft w:val="0"/>
          <w:marRight w:val="0"/>
          <w:marTop w:val="0"/>
          <w:marBottom w:val="0"/>
          <w:divBdr>
            <w:top w:val="none" w:sz="0" w:space="0" w:color="auto"/>
            <w:left w:val="none" w:sz="0" w:space="0" w:color="auto"/>
            <w:bottom w:val="none" w:sz="0" w:space="0" w:color="auto"/>
            <w:right w:val="none" w:sz="0" w:space="0" w:color="auto"/>
          </w:divBdr>
        </w:div>
        <w:div w:id="148595576">
          <w:marLeft w:val="0"/>
          <w:marRight w:val="0"/>
          <w:marTop w:val="0"/>
          <w:marBottom w:val="0"/>
          <w:divBdr>
            <w:top w:val="none" w:sz="0" w:space="0" w:color="auto"/>
            <w:left w:val="none" w:sz="0" w:space="0" w:color="auto"/>
            <w:bottom w:val="none" w:sz="0" w:space="0" w:color="auto"/>
            <w:right w:val="none" w:sz="0" w:space="0" w:color="auto"/>
          </w:divBdr>
        </w:div>
        <w:div w:id="166099299">
          <w:marLeft w:val="0"/>
          <w:marRight w:val="0"/>
          <w:marTop w:val="0"/>
          <w:marBottom w:val="0"/>
          <w:divBdr>
            <w:top w:val="none" w:sz="0" w:space="0" w:color="auto"/>
            <w:left w:val="none" w:sz="0" w:space="0" w:color="auto"/>
            <w:bottom w:val="none" w:sz="0" w:space="0" w:color="auto"/>
            <w:right w:val="none" w:sz="0" w:space="0" w:color="auto"/>
          </w:divBdr>
        </w:div>
        <w:div w:id="186261482">
          <w:marLeft w:val="0"/>
          <w:marRight w:val="0"/>
          <w:marTop w:val="0"/>
          <w:marBottom w:val="0"/>
          <w:divBdr>
            <w:top w:val="none" w:sz="0" w:space="0" w:color="auto"/>
            <w:left w:val="none" w:sz="0" w:space="0" w:color="auto"/>
            <w:bottom w:val="none" w:sz="0" w:space="0" w:color="auto"/>
            <w:right w:val="none" w:sz="0" w:space="0" w:color="auto"/>
          </w:divBdr>
        </w:div>
        <w:div w:id="203446770">
          <w:marLeft w:val="0"/>
          <w:marRight w:val="0"/>
          <w:marTop w:val="0"/>
          <w:marBottom w:val="0"/>
          <w:divBdr>
            <w:top w:val="none" w:sz="0" w:space="0" w:color="auto"/>
            <w:left w:val="none" w:sz="0" w:space="0" w:color="auto"/>
            <w:bottom w:val="none" w:sz="0" w:space="0" w:color="auto"/>
            <w:right w:val="none" w:sz="0" w:space="0" w:color="auto"/>
          </w:divBdr>
        </w:div>
        <w:div w:id="208735879">
          <w:marLeft w:val="0"/>
          <w:marRight w:val="0"/>
          <w:marTop w:val="0"/>
          <w:marBottom w:val="0"/>
          <w:divBdr>
            <w:top w:val="none" w:sz="0" w:space="0" w:color="auto"/>
            <w:left w:val="none" w:sz="0" w:space="0" w:color="auto"/>
            <w:bottom w:val="none" w:sz="0" w:space="0" w:color="auto"/>
            <w:right w:val="none" w:sz="0" w:space="0" w:color="auto"/>
          </w:divBdr>
        </w:div>
        <w:div w:id="211502861">
          <w:marLeft w:val="0"/>
          <w:marRight w:val="0"/>
          <w:marTop w:val="0"/>
          <w:marBottom w:val="0"/>
          <w:divBdr>
            <w:top w:val="none" w:sz="0" w:space="0" w:color="auto"/>
            <w:left w:val="none" w:sz="0" w:space="0" w:color="auto"/>
            <w:bottom w:val="none" w:sz="0" w:space="0" w:color="auto"/>
            <w:right w:val="none" w:sz="0" w:space="0" w:color="auto"/>
          </w:divBdr>
        </w:div>
        <w:div w:id="212428453">
          <w:marLeft w:val="0"/>
          <w:marRight w:val="0"/>
          <w:marTop w:val="0"/>
          <w:marBottom w:val="0"/>
          <w:divBdr>
            <w:top w:val="none" w:sz="0" w:space="0" w:color="auto"/>
            <w:left w:val="none" w:sz="0" w:space="0" w:color="auto"/>
            <w:bottom w:val="none" w:sz="0" w:space="0" w:color="auto"/>
            <w:right w:val="none" w:sz="0" w:space="0" w:color="auto"/>
          </w:divBdr>
        </w:div>
        <w:div w:id="213585990">
          <w:marLeft w:val="0"/>
          <w:marRight w:val="0"/>
          <w:marTop w:val="0"/>
          <w:marBottom w:val="0"/>
          <w:divBdr>
            <w:top w:val="none" w:sz="0" w:space="0" w:color="auto"/>
            <w:left w:val="none" w:sz="0" w:space="0" w:color="auto"/>
            <w:bottom w:val="none" w:sz="0" w:space="0" w:color="auto"/>
            <w:right w:val="none" w:sz="0" w:space="0" w:color="auto"/>
          </w:divBdr>
        </w:div>
        <w:div w:id="216360672">
          <w:marLeft w:val="0"/>
          <w:marRight w:val="0"/>
          <w:marTop w:val="0"/>
          <w:marBottom w:val="0"/>
          <w:divBdr>
            <w:top w:val="none" w:sz="0" w:space="0" w:color="auto"/>
            <w:left w:val="none" w:sz="0" w:space="0" w:color="auto"/>
            <w:bottom w:val="none" w:sz="0" w:space="0" w:color="auto"/>
            <w:right w:val="none" w:sz="0" w:space="0" w:color="auto"/>
          </w:divBdr>
        </w:div>
        <w:div w:id="217673238">
          <w:marLeft w:val="0"/>
          <w:marRight w:val="0"/>
          <w:marTop w:val="0"/>
          <w:marBottom w:val="0"/>
          <w:divBdr>
            <w:top w:val="none" w:sz="0" w:space="0" w:color="auto"/>
            <w:left w:val="none" w:sz="0" w:space="0" w:color="auto"/>
            <w:bottom w:val="none" w:sz="0" w:space="0" w:color="auto"/>
            <w:right w:val="none" w:sz="0" w:space="0" w:color="auto"/>
          </w:divBdr>
        </w:div>
        <w:div w:id="241647385">
          <w:marLeft w:val="0"/>
          <w:marRight w:val="0"/>
          <w:marTop w:val="0"/>
          <w:marBottom w:val="0"/>
          <w:divBdr>
            <w:top w:val="none" w:sz="0" w:space="0" w:color="auto"/>
            <w:left w:val="none" w:sz="0" w:space="0" w:color="auto"/>
            <w:bottom w:val="none" w:sz="0" w:space="0" w:color="auto"/>
            <w:right w:val="none" w:sz="0" w:space="0" w:color="auto"/>
          </w:divBdr>
        </w:div>
        <w:div w:id="247807076">
          <w:marLeft w:val="0"/>
          <w:marRight w:val="0"/>
          <w:marTop w:val="0"/>
          <w:marBottom w:val="0"/>
          <w:divBdr>
            <w:top w:val="none" w:sz="0" w:space="0" w:color="auto"/>
            <w:left w:val="none" w:sz="0" w:space="0" w:color="auto"/>
            <w:bottom w:val="none" w:sz="0" w:space="0" w:color="auto"/>
            <w:right w:val="none" w:sz="0" w:space="0" w:color="auto"/>
          </w:divBdr>
        </w:div>
        <w:div w:id="262499109">
          <w:marLeft w:val="0"/>
          <w:marRight w:val="0"/>
          <w:marTop w:val="0"/>
          <w:marBottom w:val="0"/>
          <w:divBdr>
            <w:top w:val="none" w:sz="0" w:space="0" w:color="auto"/>
            <w:left w:val="none" w:sz="0" w:space="0" w:color="auto"/>
            <w:bottom w:val="none" w:sz="0" w:space="0" w:color="auto"/>
            <w:right w:val="none" w:sz="0" w:space="0" w:color="auto"/>
          </w:divBdr>
        </w:div>
        <w:div w:id="267003264">
          <w:marLeft w:val="0"/>
          <w:marRight w:val="0"/>
          <w:marTop w:val="0"/>
          <w:marBottom w:val="0"/>
          <w:divBdr>
            <w:top w:val="none" w:sz="0" w:space="0" w:color="auto"/>
            <w:left w:val="none" w:sz="0" w:space="0" w:color="auto"/>
            <w:bottom w:val="none" w:sz="0" w:space="0" w:color="auto"/>
            <w:right w:val="none" w:sz="0" w:space="0" w:color="auto"/>
          </w:divBdr>
        </w:div>
        <w:div w:id="269970250">
          <w:marLeft w:val="0"/>
          <w:marRight w:val="0"/>
          <w:marTop w:val="0"/>
          <w:marBottom w:val="0"/>
          <w:divBdr>
            <w:top w:val="none" w:sz="0" w:space="0" w:color="auto"/>
            <w:left w:val="none" w:sz="0" w:space="0" w:color="auto"/>
            <w:bottom w:val="none" w:sz="0" w:space="0" w:color="auto"/>
            <w:right w:val="none" w:sz="0" w:space="0" w:color="auto"/>
          </w:divBdr>
        </w:div>
        <w:div w:id="298003480">
          <w:marLeft w:val="0"/>
          <w:marRight w:val="0"/>
          <w:marTop w:val="0"/>
          <w:marBottom w:val="0"/>
          <w:divBdr>
            <w:top w:val="none" w:sz="0" w:space="0" w:color="auto"/>
            <w:left w:val="none" w:sz="0" w:space="0" w:color="auto"/>
            <w:bottom w:val="none" w:sz="0" w:space="0" w:color="auto"/>
            <w:right w:val="none" w:sz="0" w:space="0" w:color="auto"/>
          </w:divBdr>
        </w:div>
        <w:div w:id="306978087">
          <w:marLeft w:val="0"/>
          <w:marRight w:val="0"/>
          <w:marTop w:val="0"/>
          <w:marBottom w:val="0"/>
          <w:divBdr>
            <w:top w:val="none" w:sz="0" w:space="0" w:color="auto"/>
            <w:left w:val="none" w:sz="0" w:space="0" w:color="auto"/>
            <w:bottom w:val="none" w:sz="0" w:space="0" w:color="auto"/>
            <w:right w:val="none" w:sz="0" w:space="0" w:color="auto"/>
          </w:divBdr>
        </w:div>
        <w:div w:id="318463267">
          <w:marLeft w:val="0"/>
          <w:marRight w:val="0"/>
          <w:marTop w:val="0"/>
          <w:marBottom w:val="0"/>
          <w:divBdr>
            <w:top w:val="none" w:sz="0" w:space="0" w:color="auto"/>
            <w:left w:val="none" w:sz="0" w:space="0" w:color="auto"/>
            <w:bottom w:val="none" w:sz="0" w:space="0" w:color="auto"/>
            <w:right w:val="none" w:sz="0" w:space="0" w:color="auto"/>
          </w:divBdr>
        </w:div>
        <w:div w:id="345182283">
          <w:marLeft w:val="0"/>
          <w:marRight w:val="0"/>
          <w:marTop w:val="0"/>
          <w:marBottom w:val="0"/>
          <w:divBdr>
            <w:top w:val="none" w:sz="0" w:space="0" w:color="auto"/>
            <w:left w:val="none" w:sz="0" w:space="0" w:color="auto"/>
            <w:bottom w:val="none" w:sz="0" w:space="0" w:color="auto"/>
            <w:right w:val="none" w:sz="0" w:space="0" w:color="auto"/>
          </w:divBdr>
        </w:div>
        <w:div w:id="345332285">
          <w:marLeft w:val="0"/>
          <w:marRight w:val="0"/>
          <w:marTop w:val="0"/>
          <w:marBottom w:val="0"/>
          <w:divBdr>
            <w:top w:val="none" w:sz="0" w:space="0" w:color="auto"/>
            <w:left w:val="none" w:sz="0" w:space="0" w:color="auto"/>
            <w:bottom w:val="none" w:sz="0" w:space="0" w:color="auto"/>
            <w:right w:val="none" w:sz="0" w:space="0" w:color="auto"/>
          </w:divBdr>
        </w:div>
        <w:div w:id="360984631">
          <w:marLeft w:val="0"/>
          <w:marRight w:val="0"/>
          <w:marTop w:val="0"/>
          <w:marBottom w:val="0"/>
          <w:divBdr>
            <w:top w:val="none" w:sz="0" w:space="0" w:color="auto"/>
            <w:left w:val="none" w:sz="0" w:space="0" w:color="auto"/>
            <w:bottom w:val="none" w:sz="0" w:space="0" w:color="auto"/>
            <w:right w:val="none" w:sz="0" w:space="0" w:color="auto"/>
          </w:divBdr>
        </w:div>
        <w:div w:id="366873936">
          <w:marLeft w:val="0"/>
          <w:marRight w:val="0"/>
          <w:marTop w:val="0"/>
          <w:marBottom w:val="0"/>
          <w:divBdr>
            <w:top w:val="none" w:sz="0" w:space="0" w:color="auto"/>
            <w:left w:val="none" w:sz="0" w:space="0" w:color="auto"/>
            <w:bottom w:val="none" w:sz="0" w:space="0" w:color="auto"/>
            <w:right w:val="none" w:sz="0" w:space="0" w:color="auto"/>
          </w:divBdr>
        </w:div>
        <w:div w:id="367803376">
          <w:marLeft w:val="0"/>
          <w:marRight w:val="0"/>
          <w:marTop w:val="0"/>
          <w:marBottom w:val="0"/>
          <w:divBdr>
            <w:top w:val="none" w:sz="0" w:space="0" w:color="auto"/>
            <w:left w:val="none" w:sz="0" w:space="0" w:color="auto"/>
            <w:bottom w:val="none" w:sz="0" w:space="0" w:color="auto"/>
            <w:right w:val="none" w:sz="0" w:space="0" w:color="auto"/>
          </w:divBdr>
        </w:div>
        <w:div w:id="369230763">
          <w:marLeft w:val="0"/>
          <w:marRight w:val="0"/>
          <w:marTop w:val="0"/>
          <w:marBottom w:val="0"/>
          <w:divBdr>
            <w:top w:val="none" w:sz="0" w:space="0" w:color="auto"/>
            <w:left w:val="none" w:sz="0" w:space="0" w:color="auto"/>
            <w:bottom w:val="none" w:sz="0" w:space="0" w:color="auto"/>
            <w:right w:val="none" w:sz="0" w:space="0" w:color="auto"/>
          </w:divBdr>
        </w:div>
        <w:div w:id="373770493">
          <w:marLeft w:val="0"/>
          <w:marRight w:val="0"/>
          <w:marTop w:val="0"/>
          <w:marBottom w:val="0"/>
          <w:divBdr>
            <w:top w:val="none" w:sz="0" w:space="0" w:color="auto"/>
            <w:left w:val="none" w:sz="0" w:space="0" w:color="auto"/>
            <w:bottom w:val="none" w:sz="0" w:space="0" w:color="auto"/>
            <w:right w:val="none" w:sz="0" w:space="0" w:color="auto"/>
          </w:divBdr>
        </w:div>
        <w:div w:id="378284638">
          <w:marLeft w:val="0"/>
          <w:marRight w:val="0"/>
          <w:marTop w:val="0"/>
          <w:marBottom w:val="0"/>
          <w:divBdr>
            <w:top w:val="none" w:sz="0" w:space="0" w:color="auto"/>
            <w:left w:val="none" w:sz="0" w:space="0" w:color="auto"/>
            <w:bottom w:val="none" w:sz="0" w:space="0" w:color="auto"/>
            <w:right w:val="none" w:sz="0" w:space="0" w:color="auto"/>
          </w:divBdr>
        </w:div>
        <w:div w:id="386536458">
          <w:marLeft w:val="0"/>
          <w:marRight w:val="0"/>
          <w:marTop w:val="0"/>
          <w:marBottom w:val="0"/>
          <w:divBdr>
            <w:top w:val="none" w:sz="0" w:space="0" w:color="auto"/>
            <w:left w:val="none" w:sz="0" w:space="0" w:color="auto"/>
            <w:bottom w:val="none" w:sz="0" w:space="0" w:color="auto"/>
            <w:right w:val="none" w:sz="0" w:space="0" w:color="auto"/>
          </w:divBdr>
        </w:div>
        <w:div w:id="387801704">
          <w:marLeft w:val="0"/>
          <w:marRight w:val="0"/>
          <w:marTop w:val="0"/>
          <w:marBottom w:val="0"/>
          <w:divBdr>
            <w:top w:val="none" w:sz="0" w:space="0" w:color="auto"/>
            <w:left w:val="none" w:sz="0" w:space="0" w:color="auto"/>
            <w:bottom w:val="none" w:sz="0" w:space="0" w:color="auto"/>
            <w:right w:val="none" w:sz="0" w:space="0" w:color="auto"/>
          </w:divBdr>
        </w:div>
        <w:div w:id="389501151">
          <w:marLeft w:val="0"/>
          <w:marRight w:val="0"/>
          <w:marTop w:val="0"/>
          <w:marBottom w:val="0"/>
          <w:divBdr>
            <w:top w:val="none" w:sz="0" w:space="0" w:color="auto"/>
            <w:left w:val="none" w:sz="0" w:space="0" w:color="auto"/>
            <w:bottom w:val="none" w:sz="0" w:space="0" w:color="auto"/>
            <w:right w:val="none" w:sz="0" w:space="0" w:color="auto"/>
          </w:divBdr>
        </w:div>
        <w:div w:id="397246415">
          <w:marLeft w:val="0"/>
          <w:marRight w:val="0"/>
          <w:marTop w:val="0"/>
          <w:marBottom w:val="0"/>
          <w:divBdr>
            <w:top w:val="none" w:sz="0" w:space="0" w:color="auto"/>
            <w:left w:val="none" w:sz="0" w:space="0" w:color="auto"/>
            <w:bottom w:val="none" w:sz="0" w:space="0" w:color="auto"/>
            <w:right w:val="none" w:sz="0" w:space="0" w:color="auto"/>
          </w:divBdr>
        </w:div>
        <w:div w:id="407583462">
          <w:marLeft w:val="0"/>
          <w:marRight w:val="0"/>
          <w:marTop w:val="0"/>
          <w:marBottom w:val="0"/>
          <w:divBdr>
            <w:top w:val="none" w:sz="0" w:space="0" w:color="auto"/>
            <w:left w:val="none" w:sz="0" w:space="0" w:color="auto"/>
            <w:bottom w:val="none" w:sz="0" w:space="0" w:color="auto"/>
            <w:right w:val="none" w:sz="0" w:space="0" w:color="auto"/>
          </w:divBdr>
        </w:div>
        <w:div w:id="407919368">
          <w:marLeft w:val="0"/>
          <w:marRight w:val="0"/>
          <w:marTop w:val="0"/>
          <w:marBottom w:val="0"/>
          <w:divBdr>
            <w:top w:val="none" w:sz="0" w:space="0" w:color="auto"/>
            <w:left w:val="none" w:sz="0" w:space="0" w:color="auto"/>
            <w:bottom w:val="none" w:sz="0" w:space="0" w:color="auto"/>
            <w:right w:val="none" w:sz="0" w:space="0" w:color="auto"/>
          </w:divBdr>
        </w:div>
        <w:div w:id="407969126">
          <w:marLeft w:val="0"/>
          <w:marRight w:val="0"/>
          <w:marTop w:val="0"/>
          <w:marBottom w:val="0"/>
          <w:divBdr>
            <w:top w:val="none" w:sz="0" w:space="0" w:color="auto"/>
            <w:left w:val="none" w:sz="0" w:space="0" w:color="auto"/>
            <w:bottom w:val="none" w:sz="0" w:space="0" w:color="auto"/>
            <w:right w:val="none" w:sz="0" w:space="0" w:color="auto"/>
          </w:divBdr>
        </w:div>
        <w:div w:id="412892890">
          <w:marLeft w:val="0"/>
          <w:marRight w:val="0"/>
          <w:marTop w:val="0"/>
          <w:marBottom w:val="0"/>
          <w:divBdr>
            <w:top w:val="none" w:sz="0" w:space="0" w:color="auto"/>
            <w:left w:val="none" w:sz="0" w:space="0" w:color="auto"/>
            <w:bottom w:val="none" w:sz="0" w:space="0" w:color="auto"/>
            <w:right w:val="none" w:sz="0" w:space="0" w:color="auto"/>
          </w:divBdr>
        </w:div>
        <w:div w:id="417017074">
          <w:marLeft w:val="0"/>
          <w:marRight w:val="0"/>
          <w:marTop w:val="0"/>
          <w:marBottom w:val="0"/>
          <w:divBdr>
            <w:top w:val="none" w:sz="0" w:space="0" w:color="auto"/>
            <w:left w:val="none" w:sz="0" w:space="0" w:color="auto"/>
            <w:bottom w:val="none" w:sz="0" w:space="0" w:color="auto"/>
            <w:right w:val="none" w:sz="0" w:space="0" w:color="auto"/>
          </w:divBdr>
        </w:div>
        <w:div w:id="420954856">
          <w:marLeft w:val="0"/>
          <w:marRight w:val="0"/>
          <w:marTop w:val="0"/>
          <w:marBottom w:val="0"/>
          <w:divBdr>
            <w:top w:val="none" w:sz="0" w:space="0" w:color="auto"/>
            <w:left w:val="none" w:sz="0" w:space="0" w:color="auto"/>
            <w:bottom w:val="none" w:sz="0" w:space="0" w:color="auto"/>
            <w:right w:val="none" w:sz="0" w:space="0" w:color="auto"/>
          </w:divBdr>
        </w:div>
        <w:div w:id="425687784">
          <w:marLeft w:val="0"/>
          <w:marRight w:val="0"/>
          <w:marTop w:val="0"/>
          <w:marBottom w:val="0"/>
          <w:divBdr>
            <w:top w:val="none" w:sz="0" w:space="0" w:color="auto"/>
            <w:left w:val="none" w:sz="0" w:space="0" w:color="auto"/>
            <w:bottom w:val="none" w:sz="0" w:space="0" w:color="auto"/>
            <w:right w:val="none" w:sz="0" w:space="0" w:color="auto"/>
          </w:divBdr>
        </w:div>
        <w:div w:id="430203920">
          <w:marLeft w:val="0"/>
          <w:marRight w:val="0"/>
          <w:marTop w:val="0"/>
          <w:marBottom w:val="0"/>
          <w:divBdr>
            <w:top w:val="none" w:sz="0" w:space="0" w:color="auto"/>
            <w:left w:val="none" w:sz="0" w:space="0" w:color="auto"/>
            <w:bottom w:val="none" w:sz="0" w:space="0" w:color="auto"/>
            <w:right w:val="none" w:sz="0" w:space="0" w:color="auto"/>
          </w:divBdr>
        </w:div>
        <w:div w:id="432437505">
          <w:marLeft w:val="0"/>
          <w:marRight w:val="0"/>
          <w:marTop w:val="0"/>
          <w:marBottom w:val="0"/>
          <w:divBdr>
            <w:top w:val="none" w:sz="0" w:space="0" w:color="auto"/>
            <w:left w:val="none" w:sz="0" w:space="0" w:color="auto"/>
            <w:bottom w:val="none" w:sz="0" w:space="0" w:color="auto"/>
            <w:right w:val="none" w:sz="0" w:space="0" w:color="auto"/>
          </w:divBdr>
        </w:div>
        <w:div w:id="442459814">
          <w:marLeft w:val="0"/>
          <w:marRight w:val="0"/>
          <w:marTop w:val="0"/>
          <w:marBottom w:val="0"/>
          <w:divBdr>
            <w:top w:val="none" w:sz="0" w:space="0" w:color="auto"/>
            <w:left w:val="none" w:sz="0" w:space="0" w:color="auto"/>
            <w:bottom w:val="none" w:sz="0" w:space="0" w:color="auto"/>
            <w:right w:val="none" w:sz="0" w:space="0" w:color="auto"/>
          </w:divBdr>
        </w:div>
        <w:div w:id="445780527">
          <w:marLeft w:val="0"/>
          <w:marRight w:val="0"/>
          <w:marTop w:val="0"/>
          <w:marBottom w:val="0"/>
          <w:divBdr>
            <w:top w:val="none" w:sz="0" w:space="0" w:color="auto"/>
            <w:left w:val="none" w:sz="0" w:space="0" w:color="auto"/>
            <w:bottom w:val="none" w:sz="0" w:space="0" w:color="auto"/>
            <w:right w:val="none" w:sz="0" w:space="0" w:color="auto"/>
          </w:divBdr>
        </w:div>
        <w:div w:id="447311044">
          <w:marLeft w:val="0"/>
          <w:marRight w:val="0"/>
          <w:marTop w:val="0"/>
          <w:marBottom w:val="0"/>
          <w:divBdr>
            <w:top w:val="none" w:sz="0" w:space="0" w:color="auto"/>
            <w:left w:val="none" w:sz="0" w:space="0" w:color="auto"/>
            <w:bottom w:val="none" w:sz="0" w:space="0" w:color="auto"/>
            <w:right w:val="none" w:sz="0" w:space="0" w:color="auto"/>
          </w:divBdr>
        </w:div>
        <w:div w:id="451168764">
          <w:marLeft w:val="0"/>
          <w:marRight w:val="0"/>
          <w:marTop w:val="0"/>
          <w:marBottom w:val="0"/>
          <w:divBdr>
            <w:top w:val="none" w:sz="0" w:space="0" w:color="auto"/>
            <w:left w:val="none" w:sz="0" w:space="0" w:color="auto"/>
            <w:bottom w:val="none" w:sz="0" w:space="0" w:color="auto"/>
            <w:right w:val="none" w:sz="0" w:space="0" w:color="auto"/>
          </w:divBdr>
        </w:div>
        <w:div w:id="452747669">
          <w:marLeft w:val="0"/>
          <w:marRight w:val="0"/>
          <w:marTop w:val="0"/>
          <w:marBottom w:val="0"/>
          <w:divBdr>
            <w:top w:val="none" w:sz="0" w:space="0" w:color="auto"/>
            <w:left w:val="none" w:sz="0" w:space="0" w:color="auto"/>
            <w:bottom w:val="none" w:sz="0" w:space="0" w:color="auto"/>
            <w:right w:val="none" w:sz="0" w:space="0" w:color="auto"/>
          </w:divBdr>
        </w:div>
        <w:div w:id="461732487">
          <w:marLeft w:val="0"/>
          <w:marRight w:val="0"/>
          <w:marTop w:val="0"/>
          <w:marBottom w:val="0"/>
          <w:divBdr>
            <w:top w:val="none" w:sz="0" w:space="0" w:color="auto"/>
            <w:left w:val="none" w:sz="0" w:space="0" w:color="auto"/>
            <w:bottom w:val="none" w:sz="0" w:space="0" w:color="auto"/>
            <w:right w:val="none" w:sz="0" w:space="0" w:color="auto"/>
          </w:divBdr>
        </w:div>
        <w:div w:id="466633668">
          <w:marLeft w:val="0"/>
          <w:marRight w:val="0"/>
          <w:marTop w:val="0"/>
          <w:marBottom w:val="0"/>
          <w:divBdr>
            <w:top w:val="none" w:sz="0" w:space="0" w:color="auto"/>
            <w:left w:val="none" w:sz="0" w:space="0" w:color="auto"/>
            <w:bottom w:val="none" w:sz="0" w:space="0" w:color="auto"/>
            <w:right w:val="none" w:sz="0" w:space="0" w:color="auto"/>
          </w:divBdr>
        </w:div>
        <w:div w:id="474377365">
          <w:marLeft w:val="0"/>
          <w:marRight w:val="0"/>
          <w:marTop w:val="0"/>
          <w:marBottom w:val="0"/>
          <w:divBdr>
            <w:top w:val="none" w:sz="0" w:space="0" w:color="auto"/>
            <w:left w:val="none" w:sz="0" w:space="0" w:color="auto"/>
            <w:bottom w:val="none" w:sz="0" w:space="0" w:color="auto"/>
            <w:right w:val="none" w:sz="0" w:space="0" w:color="auto"/>
          </w:divBdr>
        </w:div>
        <w:div w:id="482240441">
          <w:marLeft w:val="0"/>
          <w:marRight w:val="0"/>
          <w:marTop w:val="0"/>
          <w:marBottom w:val="0"/>
          <w:divBdr>
            <w:top w:val="none" w:sz="0" w:space="0" w:color="auto"/>
            <w:left w:val="none" w:sz="0" w:space="0" w:color="auto"/>
            <w:bottom w:val="none" w:sz="0" w:space="0" w:color="auto"/>
            <w:right w:val="none" w:sz="0" w:space="0" w:color="auto"/>
          </w:divBdr>
        </w:div>
        <w:div w:id="488643950">
          <w:marLeft w:val="0"/>
          <w:marRight w:val="0"/>
          <w:marTop w:val="0"/>
          <w:marBottom w:val="0"/>
          <w:divBdr>
            <w:top w:val="none" w:sz="0" w:space="0" w:color="auto"/>
            <w:left w:val="none" w:sz="0" w:space="0" w:color="auto"/>
            <w:bottom w:val="none" w:sz="0" w:space="0" w:color="auto"/>
            <w:right w:val="none" w:sz="0" w:space="0" w:color="auto"/>
          </w:divBdr>
        </w:div>
        <w:div w:id="494146158">
          <w:marLeft w:val="0"/>
          <w:marRight w:val="0"/>
          <w:marTop w:val="0"/>
          <w:marBottom w:val="0"/>
          <w:divBdr>
            <w:top w:val="none" w:sz="0" w:space="0" w:color="auto"/>
            <w:left w:val="none" w:sz="0" w:space="0" w:color="auto"/>
            <w:bottom w:val="none" w:sz="0" w:space="0" w:color="auto"/>
            <w:right w:val="none" w:sz="0" w:space="0" w:color="auto"/>
          </w:divBdr>
        </w:div>
        <w:div w:id="498815888">
          <w:marLeft w:val="0"/>
          <w:marRight w:val="0"/>
          <w:marTop w:val="0"/>
          <w:marBottom w:val="0"/>
          <w:divBdr>
            <w:top w:val="none" w:sz="0" w:space="0" w:color="auto"/>
            <w:left w:val="none" w:sz="0" w:space="0" w:color="auto"/>
            <w:bottom w:val="none" w:sz="0" w:space="0" w:color="auto"/>
            <w:right w:val="none" w:sz="0" w:space="0" w:color="auto"/>
          </w:divBdr>
        </w:div>
        <w:div w:id="506601431">
          <w:marLeft w:val="0"/>
          <w:marRight w:val="0"/>
          <w:marTop w:val="0"/>
          <w:marBottom w:val="0"/>
          <w:divBdr>
            <w:top w:val="none" w:sz="0" w:space="0" w:color="auto"/>
            <w:left w:val="none" w:sz="0" w:space="0" w:color="auto"/>
            <w:bottom w:val="none" w:sz="0" w:space="0" w:color="auto"/>
            <w:right w:val="none" w:sz="0" w:space="0" w:color="auto"/>
          </w:divBdr>
        </w:div>
        <w:div w:id="508562947">
          <w:marLeft w:val="0"/>
          <w:marRight w:val="0"/>
          <w:marTop w:val="0"/>
          <w:marBottom w:val="0"/>
          <w:divBdr>
            <w:top w:val="none" w:sz="0" w:space="0" w:color="auto"/>
            <w:left w:val="none" w:sz="0" w:space="0" w:color="auto"/>
            <w:bottom w:val="none" w:sz="0" w:space="0" w:color="auto"/>
            <w:right w:val="none" w:sz="0" w:space="0" w:color="auto"/>
          </w:divBdr>
        </w:div>
        <w:div w:id="512232896">
          <w:marLeft w:val="0"/>
          <w:marRight w:val="0"/>
          <w:marTop w:val="0"/>
          <w:marBottom w:val="0"/>
          <w:divBdr>
            <w:top w:val="none" w:sz="0" w:space="0" w:color="auto"/>
            <w:left w:val="none" w:sz="0" w:space="0" w:color="auto"/>
            <w:bottom w:val="none" w:sz="0" w:space="0" w:color="auto"/>
            <w:right w:val="none" w:sz="0" w:space="0" w:color="auto"/>
          </w:divBdr>
        </w:div>
        <w:div w:id="523323207">
          <w:marLeft w:val="0"/>
          <w:marRight w:val="0"/>
          <w:marTop w:val="0"/>
          <w:marBottom w:val="0"/>
          <w:divBdr>
            <w:top w:val="none" w:sz="0" w:space="0" w:color="auto"/>
            <w:left w:val="none" w:sz="0" w:space="0" w:color="auto"/>
            <w:bottom w:val="none" w:sz="0" w:space="0" w:color="auto"/>
            <w:right w:val="none" w:sz="0" w:space="0" w:color="auto"/>
          </w:divBdr>
        </w:div>
        <w:div w:id="546333245">
          <w:marLeft w:val="0"/>
          <w:marRight w:val="0"/>
          <w:marTop w:val="0"/>
          <w:marBottom w:val="0"/>
          <w:divBdr>
            <w:top w:val="none" w:sz="0" w:space="0" w:color="auto"/>
            <w:left w:val="none" w:sz="0" w:space="0" w:color="auto"/>
            <w:bottom w:val="none" w:sz="0" w:space="0" w:color="auto"/>
            <w:right w:val="none" w:sz="0" w:space="0" w:color="auto"/>
          </w:divBdr>
        </w:div>
        <w:div w:id="553470830">
          <w:marLeft w:val="0"/>
          <w:marRight w:val="0"/>
          <w:marTop w:val="0"/>
          <w:marBottom w:val="0"/>
          <w:divBdr>
            <w:top w:val="none" w:sz="0" w:space="0" w:color="auto"/>
            <w:left w:val="none" w:sz="0" w:space="0" w:color="auto"/>
            <w:bottom w:val="none" w:sz="0" w:space="0" w:color="auto"/>
            <w:right w:val="none" w:sz="0" w:space="0" w:color="auto"/>
          </w:divBdr>
        </w:div>
        <w:div w:id="554003188">
          <w:marLeft w:val="0"/>
          <w:marRight w:val="0"/>
          <w:marTop w:val="0"/>
          <w:marBottom w:val="0"/>
          <w:divBdr>
            <w:top w:val="none" w:sz="0" w:space="0" w:color="auto"/>
            <w:left w:val="none" w:sz="0" w:space="0" w:color="auto"/>
            <w:bottom w:val="none" w:sz="0" w:space="0" w:color="auto"/>
            <w:right w:val="none" w:sz="0" w:space="0" w:color="auto"/>
          </w:divBdr>
        </w:div>
        <w:div w:id="555628169">
          <w:marLeft w:val="0"/>
          <w:marRight w:val="0"/>
          <w:marTop w:val="0"/>
          <w:marBottom w:val="0"/>
          <w:divBdr>
            <w:top w:val="none" w:sz="0" w:space="0" w:color="auto"/>
            <w:left w:val="none" w:sz="0" w:space="0" w:color="auto"/>
            <w:bottom w:val="none" w:sz="0" w:space="0" w:color="auto"/>
            <w:right w:val="none" w:sz="0" w:space="0" w:color="auto"/>
          </w:divBdr>
        </w:div>
        <w:div w:id="568656152">
          <w:marLeft w:val="0"/>
          <w:marRight w:val="0"/>
          <w:marTop w:val="0"/>
          <w:marBottom w:val="0"/>
          <w:divBdr>
            <w:top w:val="none" w:sz="0" w:space="0" w:color="auto"/>
            <w:left w:val="none" w:sz="0" w:space="0" w:color="auto"/>
            <w:bottom w:val="none" w:sz="0" w:space="0" w:color="auto"/>
            <w:right w:val="none" w:sz="0" w:space="0" w:color="auto"/>
          </w:divBdr>
        </w:div>
        <w:div w:id="581108164">
          <w:marLeft w:val="0"/>
          <w:marRight w:val="0"/>
          <w:marTop w:val="0"/>
          <w:marBottom w:val="0"/>
          <w:divBdr>
            <w:top w:val="none" w:sz="0" w:space="0" w:color="auto"/>
            <w:left w:val="none" w:sz="0" w:space="0" w:color="auto"/>
            <w:bottom w:val="none" w:sz="0" w:space="0" w:color="auto"/>
            <w:right w:val="none" w:sz="0" w:space="0" w:color="auto"/>
          </w:divBdr>
        </w:div>
        <w:div w:id="596060613">
          <w:marLeft w:val="0"/>
          <w:marRight w:val="0"/>
          <w:marTop w:val="0"/>
          <w:marBottom w:val="0"/>
          <w:divBdr>
            <w:top w:val="none" w:sz="0" w:space="0" w:color="auto"/>
            <w:left w:val="none" w:sz="0" w:space="0" w:color="auto"/>
            <w:bottom w:val="none" w:sz="0" w:space="0" w:color="auto"/>
            <w:right w:val="none" w:sz="0" w:space="0" w:color="auto"/>
          </w:divBdr>
        </w:div>
        <w:div w:id="601452293">
          <w:marLeft w:val="0"/>
          <w:marRight w:val="0"/>
          <w:marTop w:val="0"/>
          <w:marBottom w:val="0"/>
          <w:divBdr>
            <w:top w:val="none" w:sz="0" w:space="0" w:color="auto"/>
            <w:left w:val="none" w:sz="0" w:space="0" w:color="auto"/>
            <w:bottom w:val="none" w:sz="0" w:space="0" w:color="auto"/>
            <w:right w:val="none" w:sz="0" w:space="0" w:color="auto"/>
          </w:divBdr>
        </w:div>
        <w:div w:id="607196911">
          <w:marLeft w:val="0"/>
          <w:marRight w:val="0"/>
          <w:marTop w:val="0"/>
          <w:marBottom w:val="0"/>
          <w:divBdr>
            <w:top w:val="none" w:sz="0" w:space="0" w:color="auto"/>
            <w:left w:val="none" w:sz="0" w:space="0" w:color="auto"/>
            <w:bottom w:val="none" w:sz="0" w:space="0" w:color="auto"/>
            <w:right w:val="none" w:sz="0" w:space="0" w:color="auto"/>
          </w:divBdr>
        </w:div>
        <w:div w:id="613025664">
          <w:marLeft w:val="0"/>
          <w:marRight w:val="0"/>
          <w:marTop w:val="0"/>
          <w:marBottom w:val="0"/>
          <w:divBdr>
            <w:top w:val="none" w:sz="0" w:space="0" w:color="auto"/>
            <w:left w:val="none" w:sz="0" w:space="0" w:color="auto"/>
            <w:bottom w:val="none" w:sz="0" w:space="0" w:color="auto"/>
            <w:right w:val="none" w:sz="0" w:space="0" w:color="auto"/>
          </w:divBdr>
        </w:div>
        <w:div w:id="617564821">
          <w:marLeft w:val="0"/>
          <w:marRight w:val="0"/>
          <w:marTop w:val="0"/>
          <w:marBottom w:val="0"/>
          <w:divBdr>
            <w:top w:val="none" w:sz="0" w:space="0" w:color="auto"/>
            <w:left w:val="none" w:sz="0" w:space="0" w:color="auto"/>
            <w:bottom w:val="none" w:sz="0" w:space="0" w:color="auto"/>
            <w:right w:val="none" w:sz="0" w:space="0" w:color="auto"/>
          </w:divBdr>
        </w:div>
        <w:div w:id="617958170">
          <w:marLeft w:val="0"/>
          <w:marRight w:val="0"/>
          <w:marTop w:val="0"/>
          <w:marBottom w:val="0"/>
          <w:divBdr>
            <w:top w:val="none" w:sz="0" w:space="0" w:color="auto"/>
            <w:left w:val="none" w:sz="0" w:space="0" w:color="auto"/>
            <w:bottom w:val="none" w:sz="0" w:space="0" w:color="auto"/>
            <w:right w:val="none" w:sz="0" w:space="0" w:color="auto"/>
          </w:divBdr>
        </w:div>
        <w:div w:id="619730118">
          <w:marLeft w:val="0"/>
          <w:marRight w:val="0"/>
          <w:marTop w:val="0"/>
          <w:marBottom w:val="0"/>
          <w:divBdr>
            <w:top w:val="none" w:sz="0" w:space="0" w:color="auto"/>
            <w:left w:val="none" w:sz="0" w:space="0" w:color="auto"/>
            <w:bottom w:val="none" w:sz="0" w:space="0" w:color="auto"/>
            <w:right w:val="none" w:sz="0" w:space="0" w:color="auto"/>
          </w:divBdr>
        </w:div>
        <w:div w:id="619798042">
          <w:marLeft w:val="0"/>
          <w:marRight w:val="0"/>
          <w:marTop w:val="0"/>
          <w:marBottom w:val="0"/>
          <w:divBdr>
            <w:top w:val="none" w:sz="0" w:space="0" w:color="auto"/>
            <w:left w:val="none" w:sz="0" w:space="0" w:color="auto"/>
            <w:bottom w:val="none" w:sz="0" w:space="0" w:color="auto"/>
            <w:right w:val="none" w:sz="0" w:space="0" w:color="auto"/>
          </w:divBdr>
        </w:div>
        <w:div w:id="623124697">
          <w:marLeft w:val="0"/>
          <w:marRight w:val="0"/>
          <w:marTop w:val="0"/>
          <w:marBottom w:val="0"/>
          <w:divBdr>
            <w:top w:val="none" w:sz="0" w:space="0" w:color="auto"/>
            <w:left w:val="none" w:sz="0" w:space="0" w:color="auto"/>
            <w:bottom w:val="none" w:sz="0" w:space="0" w:color="auto"/>
            <w:right w:val="none" w:sz="0" w:space="0" w:color="auto"/>
          </w:divBdr>
        </w:div>
        <w:div w:id="629167077">
          <w:marLeft w:val="0"/>
          <w:marRight w:val="0"/>
          <w:marTop w:val="0"/>
          <w:marBottom w:val="0"/>
          <w:divBdr>
            <w:top w:val="none" w:sz="0" w:space="0" w:color="auto"/>
            <w:left w:val="none" w:sz="0" w:space="0" w:color="auto"/>
            <w:bottom w:val="none" w:sz="0" w:space="0" w:color="auto"/>
            <w:right w:val="none" w:sz="0" w:space="0" w:color="auto"/>
          </w:divBdr>
        </w:div>
        <w:div w:id="630986860">
          <w:marLeft w:val="0"/>
          <w:marRight w:val="0"/>
          <w:marTop w:val="0"/>
          <w:marBottom w:val="0"/>
          <w:divBdr>
            <w:top w:val="none" w:sz="0" w:space="0" w:color="auto"/>
            <w:left w:val="none" w:sz="0" w:space="0" w:color="auto"/>
            <w:bottom w:val="none" w:sz="0" w:space="0" w:color="auto"/>
            <w:right w:val="none" w:sz="0" w:space="0" w:color="auto"/>
          </w:divBdr>
        </w:div>
        <w:div w:id="631522750">
          <w:marLeft w:val="0"/>
          <w:marRight w:val="0"/>
          <w:marTop w:val="0"/>
          <w:marBottom w:val="0"/>
          <w:divBdr>
            <w:top w:val="none" w:sz="0" w:space="0" w:color="auto"/>
            <w:left w:val="none" w:sz="0" w:space="0" w:color="auto"/>
            <w:bottom w:val="none" w:sz="0" w:space="0" w:color="auto"/>
            <w:right w:val="none" w:sz="0" w:space="0" w:color="auto"/>
          </w:divBdr>
        </w:div>
        <w:div w:id="635837007">
          <w:marLeft w:val="0"/>
          <w:marRight w:val="0"/>
          <w:marTop w:val="0"/>
          <w:marBottom w:val="0"/>
          <w:divBdr>
            <w:top w:val="none" w:sz="0" w:space="0" w:color="auto"/>
            <w:left w:val="none" w:sz="0" w:space="0" w:color="auto"/>
            <w:bottom w:val="none" w:sz="0" w:space="0" w:color="auto"/>
            <w:right w:val="none" w:sz="0" w:space="0" w:color="auto"/>
          </w:divBdr>
        </w:div>
        <w:div w:id="651566104">
          <w:marLeft w:val="0"/>
          <w:marRight w:val="0"/>
          <w:marTop w:val="0"/>
          <w:marBottom w:val="0"/>
          <w:divBdr>
            <w:top w:val="none" w:sz="0" w:space="0" w:color="auto"/>
            <w:left w:val="none" w:sz="0" w:space="0" w:color="auto"/>
            <w:bottom w:val="none" w:sz="0" w:space="0" w:color="auto"/>
            <w:right w:val="none" w:sz="0" w:space="0" w:color="auto"/>
          </w:divBdr>
        </w:div>
        <w:div w:id="652291894">
          <w:marLeft w:val="0"/>
          <w:marRight w:val="0"/>
          <w:marTop w:val="0"/>
          <w:marBottom w:val="0"/>
          <w:divBdr>
            <w:top w:val="none" w:sz="0" w:space="0" w:color="auto"/>
            <w:left w:val="none" w:sz="0" w:space="0" w:color="auto"/>
            <w:bottom w:val="none" w:sz="0" w:space="0" w:color="auto"/>
            <w:right w:val="none" w:sz="0" w:space="0" w:color="auto"/>
          </w:divBdr>
        </w:div>
        <w:div w:id="652561619">
          <w:marLeft w:val="0"/>
          <w:marRight w:val="0"/>
          <w:marTop w:val="0"/>
          <w:marBottom w:val="0"/>
          <w:divBdr>
            <w:top w:val="none" w:sz="0" w:space="0" w:color="auto"/>
            <w:left w:val="none" w:sz="0" w:space="0" w:color="auto"/>
            <w:bottom w:val="none" w:sz="0" w:space="0" w:color="auto"/>
            <w:right w:val="none" w:sz="0" w:space="0" w:color="auto"/>
          </w:divBdr>
        </w:div>
        <w:div w:id="667515350">
          <w:marLeft w:val="0"/>
          <w:marRight w:val="0"/>
          <w:marTop w:val="0"/>
          <w:marBottom w:val="0"/>
          <w:divBdr>
            <w:top w:val="none" w:sz="0" w:space="0" w:color="auto"/>
            <w:left w:val="none" w:sz="0" w:space="0" w:color="auto"/>
            <w:bottom w:val="none" w:sz="0" w:space="0" w:color="auto"/>
            <w:right w:val="none" w:sz="0" w:space="0" w:color="auto"/>
          </w:divBdr>
        </w:div>
        <w:div w:id="677848674">
          <w:marLeft w:val="0"/>
          <w:marRight w:val="0"/>
          <w:marTop w:val="0"/>
          <w:marBottom w:val="0"/>
          <w:divBdr>
            <w:top w:val="none" w:sz="0" w:space="0" w:color="auto"/>
            <w:left w:val="none" w:sz="0" w:space="0" w:color="auto"/>
            <w:bottom w:val="none" w:sz="0" w:space="0" w:color="auto"/>
            <w:right w:val="none" w:sz="0" w:space="0" w:color="auto"/>
          </w:divBdr>
        </w:div>
        <w:div w:id="682439932">
          <w:marLeft w:val="0"/>
          <w:marRight w:val="0"/>
          <w:marTop w:val="0"/>
          <w:marBottom w:val="0"/>
          <w:divBdr>
            <w:top w:val="none" w:sz="0" w:space="0" w:color="auto"/>
            <w:left w:val="none" w:sz="0" w:space="0" w:color="auto"/>
            <w:bottom w:val="none" w:sz="0" w:space="0" w:color="auto"/>
            <w:right w:val="none" w:sz="0" w:space="0" w:color="auto"/>
          </w:divBdr>
        </w:div>
        <w:div w:id="688608522">
          <w:marLeft w:val="0"/>
          <w:marRight w:val="0"/>
          <w:marTop w:val="0"/>
          <w:marBottom w:val="0"/>
          <w:divBdr>
            <w:top w:val="none" w:sz="0" w:space="0" w:color="auto"/>
            <w:left w:val="none" w:sz="0" w:space="0" w:color="auto"/>
            <w:bottom w:val="none" w:sz="0" w:space="0" w:color="auto"/>
            <w:right w:val="none" w:sz="0" w:space="0" w:color="auto"/>
          </w:divBdr>
        </w:div>
        <w:div w:id="694119928">
          <w:marLeft w:val="0"/>
          <w:marRight w:val="0"/>
          <w:marTop w:val="0"/>
          <w:marBottom w:val="0"/>
          <w:divBdr>
            <w:top w:val="none" w:sz="0" w:space="0" w:color="auto"/>
            <w:left w:val="none" w:sz="0" w:space="0" w:color="auto"/>
            <w:bottom w:val="none" w:sz="0" w:space="0" w:color="auto"/>
            <w:right w:val="none" w:sz="0" w:space="0" w:color="auto"/>
          </w:divBdr>
        </w:div>
        <w:div w:id="694889607">
          <w:marLeft w:val="0"/>
          <w:marRight w:val="0"/>
          <w:marTop w:val="0"/>
          <w:marBottom w:val="0"/>
          <w:divBdr>
            <w:top w:val="none" w:sz="0" w:space="0" w:color="auto"/>
            <w:left w:val="none" w:sz="0" w:space="0" w:color="auto"/>
            <w:bottom w:val="none" w:sz="0" w:space="0" w:color="auto"/>
            <w:right w:val="none" w:sz="0" w:space="0" w:color="auto"/>
          </w:divBdr>
        </w:div>
        <w:div w:id="696080418">
          <w:marLeft w:val="0"/>
          <w:marRight w:val="0"/>
          <w:marTop w:val="0"/>
          <w:marBottom w:val="0"/>
          <w:divBdr>
            <w:top w:val="none" w:sz="0" w:space="0" w:color="auto"/>
            <w:left w:val="none" w:sz="0" w:space="0" w:color="auto"/>
            <w:bottom w:val="none" w:sz="0" w:space="0" w:color="auto"/>
            <w:right w:val="none" w:sz="0" w:space="0" w:color="auto"/>
          </w:divBdr>
        </w:div>
        <w:div w:id="699015844">
          <w:marLeft w:val="0"/>
          <w:marRight w:val="0"/>
          <w:marTop w:val="0"/>
          <w:marBottom w:val="0"/>
          <w:divBdr>
            <w:top w:val="none" w:sz="0" w:space="0" w:color="auto"/>
            <w:left w:val="none" w:sz="0" w:space="0" w:color="auto"/>
            <w:bottom w:val="none" w:sz="0" w:space="0" w:color="auto"/>
            <w:right w:val="none" w:sz="0" w:space="0" w:color="auto"/>
          </w:divBdr>
        </w:div>
        <w:div w:id="702756308">
          <w:marLeft w:val="0"/>
          <w:marRight w:val="0"/>
          <w:marTop w:val="0"/>
          <w:marBottom w:val="0"/>
          <w:divBdr>
            <w:top w:val="none" w:sz="0" w:space="0" w:color="auto"/>
            <w:left w:val="none" w:sz="0" w:space="0" w:color="auto"/>
            <w:bottom w:val="none" w:sz="0" w:space="0" w:color="auto"/>
            <w:right w:val="none" w:sz="0" w:space="0" w:color="auto"/>
          </w:divBdr>
        </w:div>
        <w:div w:id="705905373">
          <w:marLeft w:val="0"/>
          <w:marRight w:val="0"/>
          <w:marTop w:val="0"/>
          <w:marBottom w:val="0"/>
          <w:divBdr>
            <w:top w:val="none" w:sz="0" w:space="0" w:color="auto"/>
            <w:left w:val="none" w:sz="0" w:space="0" w:color="auto"/>
            <w:bottom w:val="none" w:sz="0" w:space="0" w:color="auto"/>
            <w:right w:val="none" w:sz="0" w:space="0" w:color="auto"/>
          </w:divBdr>
        </w:div>
        <w:div w:id="722944572">
          <w:marLeft w:val="0"/>
          <w:marRight w:val="0"/>
          <w:marTop w:val="0"/>
          <w:marBottom w:val="0"/>
          <w:divBdr>
            <w:top w:val="none" w:sz="0" w:space="0" w:color="auto"/>
            <w:left w:val="none" w:sz="0" w:space="0" w:color="auto"/>
            <w:bottom w:val="none" w:sz="0" w:space="0" w:color="auto"/>
            <w:right w:val="none" w:sz="0" w:space="0" w:color="auto"/>
          </w:divBdr>
        </w:div>
        <w:div w:id="735981697">
          <w:marLeft w:val="0"/>
          <w:marRight w:val="0"/>
          <w:marTop w:val="0"/>
          <w:marBottom w:val="0"/>
          <w:divBdr>
            <w:top w:val="none" w:sz="0" w:space="0" w:color="auto"/>
            <w:left w:val="none" w:sz="0" w:space="0" w:color="auto"/>
            <w:bottom w:val="none" w:sz="0" w:space="0" w:color="auto"/>
            <w:right w:val="none" w:sz="0" w:space="0" w:color="auto"/>
          </w:divBdr>
        </w:div>
        <w:div w:id="736128522">
          <w:marLeft w:val="0"/>
          <w:marRight w:val="0"/>
          <w:marTop w:val="0"/>
          <w:marBottom w:val="0"/>
          <w:divBdr>
            <w:top w:val="none" w:sz="0" w:space="0" w:color="auto"/>
            <w:left w:val="none" w:sz="0" w:space="0" w:color="auto"/>
            <w:bottom w:val="none" w:sz="0" w:space="0" w:color="auto"/>
            <w:right w:val="none" w:sz="0" w:space="0" w:color="auto"/>
          </w:divBdr>
        </w:div>
        <w:div w:id="753359408">
          <w:marLeft w:val="0"/>
          <w:marRight w:val="0"/>
          <w:marTop w:val="0"/>
          <w:marBottom w:val="0"/>
          <w:divBdr>
            <w:top w:val="none" w:sz="0" w:space="0" w:color="auto"/>
            <w:left w:val="none" w:sz="0" w:space="0" w:color="auto"/>
            <w:bottom w:val="none" w:sz="0" w:space="0" w:color="auto"/>
            <w:right w:val="none" w:sz="0" w:space="0" w:color="auto"/>
          </w:divBdr>
        </w:div>
        <w:div w:id="765998583">
          <w:marLeft w:val="0"/>
          <w:marRight w:val="0"/>
          <w:marTop w:val="0"/>
          <w:marBottom w:val="0"/>
          <w:divBdr>
            <w:top w:val="none" w:sz="0" w:space="0" w:color="auto"/>
            <w:left w:val="none" w:sz="0" w:space="0" w:color="auto"/>
            <w:bottom w:val="none" w:sz="0" w:space="0" w:color="auto"/>
            <w:right w:val="none" w:sz="0" w:space="0" w:color="auto"/>
          </w:divBdr>
        </w:div>
        <w:div w:id="775640440">
          <w:marLeft w:val="0"/>
          <w:marRight w:val="0"/>
          <w:marTop w:val="0"/>
          <w:marBottom w:val="0"/>
          <w:divBdr>
            <w:top w:val="none" w:sz="0" w:space="0" w:color="auto"/>
            <w:left w:val="none" w:sz="0" w:space="0" w:color="auto"/>
            <w:bottom w:val="none" w:sz="0" w:space="0" w:color="auto"/>
            <w:right w:val="none" w:sz="0" w:space="0" w:color="auto"/>
          </w:divBdr>
        </w:div>
        <w:div w:id="783427922">
          <w:marLeft w:val="0"/>
          <w:marRight w:val="0"/>
          <w:marTop w:val="0"/>
          <w:marBottom w:val="0"/>
          <w:divBdr>
            <w:top w:val="none" w:sz="0" w:space="0" w:color="auto"/>
            <w:left w:val="none" w:sz="0" w:space="0" w:color="auto"/>
            <w:bottom w:val="none" w:sz="0" w:space="0" w:color="auto"/>
            <w:right w:val="none" w:sz="0" w:space="0" w:color="auto"/>
          </w:divBdr>
        </w:div>
        <w:div w:id="791820951">
          <w:marLeft w:val="0"/>
          <w:marRight w:val="0"/>
          <w:marTop w:val="0"/>
          <w:marBottom w:val="0"/>
          <w:divBdr>
            <w:top w:val="none" w:sz="0" w:space="0" w:color="auto"/>
            <w:left w:val="none" w:sz="0" w:space="0" w:color="auto"/>
            <w:bottom w:val="none" w:sz="0" w:space="0" w:color="auto"/>
            <w:right w:val="none" w:sz="0" w:space="0" w:color="auto"/>
          </w:divBdr>
        </w:div>
        <w:div w:id="802314747">
          <w:marLeft w:val="0"/>
          <w:marRight w:val="0"/>
          <w:marTop w:val="0"/>
          <w:marBottom w:val="0"/>
          <w:divBdr>
            <w:top w:val="none" w:sz="0" w:space="0" w:color="auto"/>
            <w:left w:val="none" w:sz="0" w:space="0" w:color="auto"/>
            <w:bottom w:val="none" w:sz="0" w:space="0" w:color="auto"/>
            <w:right w:val="none" w:sz="0" w:space="0" w:color="auto"/>
          </w:divBdr>
        </w:div>
        <w:div w:id="821043055">
          <w:marLeft w:val="0"/>
          <w:marRight w:val="0"/>
          <w:marTop w:val="0"/>
          <w:marBottom w:val="0"/>
          <w:divBdr>
            <w:top w:val="none" w:sz="0" w:space="0" w:color="auto"/>
            <w:left w:val="none" w:sz="0" w:space="0" w:color="auto"/>
            <w:bottom w:val="none" w:sz="0" w:space="0" w:color="auto"/>
            <w:right w:val="none" w:sz="0" w:space="0" w:color="auto"/>
          </w:divBdr>
        </w:div>
        <w:div w:id="821386445">
          <w:marLeft w:val="0"/>
          <w:marRight w:val="0"/>
          <w:marTop w:val="0"/>
          <w:marBottom w:val="0"/>
          <w:divBdr>
            <w:top w:val="none" w:sz="0" w:space="0" w:color="auto"/>
            <w:left w:val="none" w:sz="0" w:space="0" w:color="auto"/>
            <w:bottom w:val="none" w:sz="0" w:space="0" w:color="auto"/>
            <w:right w:val="none" w:sz="0" w:space="0" w:color="auto"/>
          </w:divBdr>
        </w:div>
        <w:div w:id="827400450">
          <w:marLeft w:val="0"/>
          <w:marRight w:val="0"/>
          <w:marTop w:val="0"/>
          <w:marBottom w:val="0"/>
          <w:divBdr>
            <w:top w:val="none" w:sz="0" w:space="0" w:color="auto"/>
            <w:left w:val="none" w:sz="0" w:space="0" w:color="auto"/>
            <w:bottom w:val="none" w:sz="0" w:space="0" w:color="auto"/>
            <w:right w:val="none" w:sz="0" w:space="0" w:color="auto"/>
          </w:divBdr>
        </w:div>
        <w:div w:id="836505934">
          <w:marLeft w:val="0"/>
          <w:marRight w:val="0"/>
          <w:marTop w:val="0"/>
          <w:marBottom w:val="0"/>
          <w:divBdr>
            <w:top w:val="none" w:sz="0" w:space="0" w:color="auto"/>
            <w:left w:val="none" w:sz="0" w:space="0" w:color="auto"/>
            <w:bottom w:val="none" w:sz="0" w:space="0" w:color="auto"/>
            <w:right w:val="none" w:sz="0" w:space="0" w:color="auto"/>
          </w:divBdr>
        </w:div>
        <w:div w:id="843087051">
          <w:marLeft w:val="0"/>
          <w:marRight w:val="0"/>
          <w:marTop w:val="0"/>
          <w:marBottom w:val="0"/>
          <w:divBdr>
            <w:top w:val="none" w:sz="0" w:space="0" w:color="auto"/>
            <w:left w:val="none" w:sz="0" w:space="0" w:color="auto"/>
            <w:bottom w:val="none" w:sz="0" w:space="0" w:color="auto"/>
            <w:right w:val="none" w:sz="0" w:space="0" w:color="auto"/>
          </w:divBdr>
        </w:div>
        <w:div w:id="851525855">
          <w:marLeft w:val="0"/>
          <w:marRight w:val="0"/>
          <w:marTop w:val="0"/>
          <w:marBottom w:val="0"/>
          <w:divBdr>
            <w:top w:val="none" w:sz="0" w:space="0" w:color="auto"/>
            <w:left w:val="none" w:sz="0" w:space="0" w:color="auto"/>
            <w:bottom w:val="none" w:sz="0" w:space="0" w:color="auto"/>
            <w:right w:val="none" w:sz="0" w:space="0" w:color="auto"/>
          </w:divBdr>
        </w:div>
        <w:div w:id="854001711">
          <w:marLeft w:val="0"/>
          <w:marRight w:val="0"/>
          <w:marTop w:val="0"/>
          <w:marBottom w:val="0"/>
          <w:divBdr>
            <w:top w:val="none" w:sz="0" w:space="0" w:color="auto"/>
            <w:left w:val="none" w:sz="0" w:space="0" w:color="auto"/>
            <w:bottom w:val="none" w:sz="0" w:space="0" w:color="auto"/>
            <w:right w:val="none" w:sz="0" w:space="0" w:color="auto"/>
          </w:divBdr>
        </w:div>
        <w:div w:id="855801475">
          <w:marLeft w:val="0"/>
          <w:marRight w:val="0"/>
          <w:marTop w:val="0"/>
          <w:marBottom w:val="0"/>
          <w:divBdr>
            <w:top w:val="none" w:sz="0" w:space="0" w:color="auto"/>
            <w:left w:val="none" w:sz="0" w:space="0" w:color="auto"/>
            <w:bottom w:val="none" w:sz="0" w:space="0" w:color="auto"/>
            <w:right w:val="none" w:sz="0" w:space="0" w:color="auto"/>
          </w:divBdr>
        </w:div>
        <w:div w:id="857548522">
          <w:marLeft w:val="0"/>
          <w:marRight w:val="0"/>
          <w:marTop w:val="0"/>
          <w:marBottom w:val="0"/>
          <w:divBdr>
            <w:top w:val="none" w:sz="0" w:space="0" w:color="auto"/>
            <w:left w:val="none" w:sz="0" w:space="0" w:color="auto"/>
            <w:bottom w:val="none" w:sz="0" w:space="0" w:color="auto"/>
            <w:right w:val="none" w:sz="0" w:space="0" w:color="auto"/>
          </w:divBdr>
        </w:div>
        <w:div w:id="860508852">
          <w:marLeft w:val="0"/>
          <w:marRight w:val="0"/>
          <w:marTop w:val="0"/>
          <w:marBottom w:val="0"/>
          <w:divBdr>
            <w:top w:val="none" w:sz="0" w:space="0" w:color="auto"/>
            <w:left w:val="none" w:sz="0" w:space="0" w:color="auto"/>
            <w:bottom w:val="none" w:sz="0" w:space="0" w:color="auto"/>
            <w:right w:val="none" w:sz="0" w:space="0" w:color="auto"/>
          </w:divBdr>
        </w:div>
        <w:div w:id="898708795">
          <w:marLeft w:val="0"/>
          <w:marRight w:val="0"/>
          <w:marTop w:val="0"/>
          <w:marBottom w:val="0"/>
          <w:divBdr>
            <w:top w:val="none" w:sz="0" w:space="0" w:color="auto"/>
            <w:left w:val="none" w:sz="0" w:space="0" w:color="auto"/>
            <w:bottom w:val="none" w:sz="0" w:space="0" w:color="auto"/>
            <w:right w:val="none" w:sz="0" w:space="0" w:color="auto"/>
          </w:divBdr>
        </w:div>
        <w:div w:id="916599707">
          <w:marLeft w:val="0"/>
          <w:marRight w:val="0"/>
          <w:marTop w:val="0"/>
          <w:marBottom w:val="0"/>
          <w:divBdr>
            <w:top w:val="none" w:sz="0" w:space="0" w:color="auto"/>
            <w:left w:val="none" w:sz="0" w:space="0" w:color="auto"/>
            <w:bottom w:val="none" w:sz="0" w:space="0" w:color="auto"/>
            <w:right w:val="none" w:sz="0" w:space="0" w:color="auto"/>
          </w:divBdr>
        </w:div>
        <w:div w:id="942959377">
          <w:marLeft w:val="0"/>
          <w:marRight w:val="0"/>
          <w:marTop w:val="0"/>
          <w:marBottom w:val="0"/>
          <w:divBdr>
            <w:top w:val="none" w:sz="0" w:space="0" w:color="auto"/>
            <w:left w:val="none" w:sz="0" w:space="0" w:color="auto"/>
            <w:bottom w:val="none" w:sz="0" w:space="0" w:color="auto"/>
            <w:right w:val="none" w:sz="0" w:space="0" w:color="auto"/>
          </w:divBdr>
        </w:div>
        <w:div w:id="961036190">
          <w:marLeft w:val="0"/>
          <w:marRight w:val="0"/>
          <w:marTop w:val="0"/>
          <w:marBottom w:val="0"/>
          <w:divBdr>
            <w:top w:val="none" w:sz="0" w:space="0" w:color="auto"/>
            <w:left w:val="none" w:sz="0" w:space="0" w:color="auto"/>
            <w:bottom w:val="none" w:sz="0" w:space="0" w:color="auto"/>
            <w:right w:val="none" w:sz="0" w:space="0" w:color="auto"/>
          </w:divBdr>
        </w:div>
        <w:div w:id="965745559">
          <w:marLeft w:val="0"/>
          <w:marRight w:val="0"/>
          <w:marTop w:val="0"/>
          <w:marBottom w:val="0"/>
          <w:divBdr>
            <w:top w:val="none" w:sz="0" w:space="0" w:color="auto"/>
            <w:left w:val="none" w:sz="0" w:space="0" w:color="auto"/>
            <w:bottom w:val="none" w:sz="0" w:space="0" w:color="auto"/>
            <w:right w:val="none" w:sz="0" w:space="0" w:color="auto"/>
          </w:divBdr>
        </w:div>
        <w:div w:id="969094128">
          <w:marLeft w:val="0"/>
          <w:marRight w:val="0"/>
          <w:marTop w:val="0"/>
          <w:marBottom w:val="0"/>
          <w:divBdr>
            <w:top w:val="none" w:sz="0" w:space="0" w:color="auto"/>
            <w:left w:val="none" w:sz="0" w:space="0" w:color="auto"/>
            <w:bottom w:val="none" w:sz="0" w:space="0" w:color="auto"/>
            <w:right w:val="none" w:sz="0" w:space="0" w:color="auto"/>
          </w:divBdr>
        </w:div>
        <w:div w:id="973291573">
          <w:marLeft w:val="0"/>
          <w:marRight w:val="0"/>
          <w:marTop w:val="0"/>
          <w:marBottom w:val="0"/>
          <w:divBdr>
            <w:top w:val="none" w:sz="0" w:space="0" w:color="auto"/>
            <w:left w:val="none" w:sz="0" w:space="0" w:color="auto"/>
            <w:bottom w:val="none" w:sz="0" w:space="0" w:color="auto"/>
            <w:right w:val="none" w:sz="0" w:space="0" w:color="auto"/>
          </w:divBdr>
        </w:div>
        <w:div w:id="976571842">
          <w:marLeft w:val="0"/>
          <w:marRight w:val="0"/>
          <w:marTop w:val="0"/>
          <w:marBottom w:val="0"/>
          <w:divBdr>
            <w:top w:val="none" w:sz="0" w:space="0" w:color="auto"/>
            <w:left w:val="none" w:sz="0" w:space="0" w:color="auto"/>
            <w:bottom w:val="none" w:sz="0" w:space="0" w:color="auto"/>
            <w:right w:val="none" w:sz="0" w:space="0" w:color="auto"/>
          </w:divBdr>
        </w:div>
        <w:div w:id="984820801">
          <w:marLeft w:val="0"/>
          <w:marRight w:val="0"/>
          <w:marTop w:val="0"/>
          <w:marBottom w:val="0"/>
          <w:divBdr>
            <w:top w:val="none" w:sz="0" w:space="0" w:color="auto"/>
            <w:left w:val="none" w:sz="0" w:space="0" w:color="auto"/>
            <w:bottom w:val="none" w:sz="0" w:space="0" w:color="auto"/>
            <w:right w:val="none" w:sz="0" w:space="0" w:color="auto"/>
          </w:divBdr>
        </w:div>
        <w:div w:id="988437326">
          <w:marLeft w:val="0"/>
          <w:marRight w:val="0"/>
          <w:marTop w:val="0"/>
          <w:marBottom w:val="0"/>
          <w:divBdr>
            <w:top w:val="none" w:sz="0" w:space="0" w:color="auto"/>
            <w:left w:val="none" w:sz="0" w:space="0" w:color="auto"/>
            <w:bottom w:val="none" w:sz="0" w:space="0" w:color="auto"/>
            <w:right w:val="none" w:sz="0" w:space="0" w:color="auto"/>
          </w:divBdr>
        </w:div>
        <w:div w:id="992219666">
          <w:marLeft w:val="0"/>
          <w:marRight w:val="0"/>
          <w:marTop w:val="0"/>
          <w:marBottom w:val="0"/>
          <w:divBdr>
            <w:top w:val="none" w:sz="0" w:space="0" w:color="auto"/>
            <w:left w:val="none" w:sz="0" w:space="0" w:color="auto"/>
            <w:bottom w:val="none" w:sz="0" w:space="0" w:color="auto"/>
            <w:right w:val="none" w:sz="0" w:space="0" w:color="auto"/>
          </w:divBdr>
        </w:div>
        <w:div w:id="999626162">
          <w:marLeft w:val="0"/>
          <w:marRight w:val="0"/>
          <w:marTop w:val="0"/>
          <w:marBottom w:val="0"/>
          <w:divBdr>
            <w:top w:val="none" w:sz="0" w:space="0" w:color="auto"/>
            <w:left w:val="none" w:sz="0" w:space="0" w:color="auto"/>
            <w:bottom w:val="none" w:sz="0" w:space="0" w:color="auto"/>
            <w:right w:val="none" w:sz="0" w:space="0" w:color="auto"/>
          </w:divBdr>
        </w:div>
        <w:div w:id="1000233534">
          <w:marLeft w:val="0"/>
          <w:marRight w:val="0"/>
          <w:marTop w:val="0"/>
          <w:marBottom w:val="0"/>
          <w:divBdr>
            <w:top w:val="none" w:sz="0" w:space="0" w:color="auto"/>
            <w:left w:val="none" w:sz="0" w:space="0" w:color="auto"/>
            <w:bottom w:val="none" w:sz="0" w:space="0" w:color="auto"/>
            <w:right w:val="none" w:sz="0" w:space="0" w:color="auto"/>
          </w:divBdr>
        </w:div>
        <w:div w:id="1000818926">
          <w:marLeft w:val="0"/>
          <w:marRight w:val="0"/>
          <w:marTop w:val="0"/>
          <w:marBottom w:val="0"/>
          <w:divBdr>
            <w:top w:val="none" w:sz="0" w:space="0" w:color="auto"/>
            <w:left w:val="none" w:sz="0" w:space="0" w:color="auto"/>
            <w:bottom w:val="none" w:sz="0" w:space="0" w:color="auto"/>
            <w:right w:val="none" w:sz="0" w:space="0" w:color="auto"/>
          </w:divBdr>
        </w:div>
        <w:div w:id="1002319784">
          <w:marLeft w:val="0"/>
          <w:marRight w:val="0"/>
          <w:marTop w:val="0"/>
          <w:marBottom w:val="0"/>
          <w:divBdr>
            <w:top w:val="none" w:sz="0" w:space="0" w:color="auto"/>
            <w:left w:val="none" w:sz="0" w:space="0" w:color="auto"/>
            <w:bottom w:val="none" w:sz="0" w:space="0" w:color="auto"/>
            <w:right w:val="none" w:sz="0" w:space="0" w:color="auto"/>
          </w:divBdr>
        </w:div>
        <w:div w:id="1008479628">
          <w:marLeft w:val="0"/>
          <w:marRight w:val="0"/>
          <w:marTop w:val="0"/>
          <w:marBottom w:val="0"/>
          <w:divBdr>
            <w:top w:val="none" w:sz="0" w:space="0" w:color="auto"/>
            <w:left w:val="none" w:sz="0" w:space="0" w:color="auto"/>
            <w:bottom w:val="none" w:sz="0" w:space="0" w:color="auto"/>
            <w:right w:val="none" w:sz="0" w:space="0" w:color="auto"/>
          </w:divBdr>
        </w:div>
        <w:div w:id="1009679931">
          <w:marLeft w:val="0"/>
          <w:marRight w:val="0"/>
          <w:marTop w:val="0"/>
          <w:marBottom w:val="0"/>
          <w:divBdr>
            <w:top w:val="none" w:sz="0" w:space="0" w:color="auto"/>
            <w:left w:val="none" w:sz="0" w:space="0" w:color="auto"/>
            <w:bottom w:val="none" w:sz="0" w:space="0" w:color="auto"/>
            <w:right w:val="none" w:sz="0" w:space="0" w:color="auto"/>
          </w:divBdr>
        </w:div>
        <w:div w:id="1024867305">
          <w:marLeft w:val="0"/>
          <w:marRight w:val="0"/>
          <w:marTop w:val="0"/>
          <w:marBottom w:val="0"/>
          <w:divBdr>
            <w:top w:val="none" w:sz="0" w:space="0" w:color="auto"/>
            <w:left w:val="none" w:sz="0" w:space="0" w:color="auto"/>
            <w:bottom w:val="none" w:sz="0" w:space="0" w:color="auto"/>
            <w:right w:val="none" w:sz="0" w:space="0" w:color="auto"/>
          </w:divBdr>
        </w:div>
        <w:div w:id="1026708782">
          <w:marLeft w:val="0"/>
          <w:marRight w:val="0"/>
          <w:marTop w:val="0"/>
          <w:marBottom w:val="0"/>
          <w:divBdr>
            <w:top w:val="none" w:sz="0" w:space="0" w:color="auto"/>
            <w:left w:val="none" w:sz="0" w:space="0" w:color="auto"/>
            <w:bottom w:val="none" w:sz="0" w:space="0" w:color="auto"/>
            <w:right w:val="none" w:sz="0" w:space="0" w:color="auto"/>
          </w:divBdr>
        </w:div>
        <w:div w:id="1026979429">
          <w:marLeft w:val="0"/>
          <w:marRight w:val="0"/>
          <w:marTop w:val="0"/>
          <w:marBottom w:val="0"/>
          <w:divBdr>
            <w:top w:val="none" w:sz="0" w:space="0" w:color="auto"/>
            <w:left w:val="none" w:sz="0" w:space="0" w:color="auto"/>
            <w:bottom w:val="none" w:sz="0" w:space="0" w:color="auto"/>
            <w:right w:val="none" w:sz="0" w:space="0" w:color="auto"/>
          </w:divBdr>
        </w:div>
        <w:div w:id="1034230019">
          <w:marLeft w:val="0"/>
          <w:marRight w:val="0"/>
          <w:marTop w:val="0"/>
          <w:marBottom w:val="0"/>
          <w:divBdr>
            <w:top w:val="none" w:sz="0" w:space="0" w:color="auto"/>
            <w:left w:val="none" w:sz="0" w:space="0" w:color="auto"/>
            <w:bottom w:val="none" w:sz="0" w:space="0" w:color="auto"/>
            <w:right w:val="none" w:sz="0" w:space="0" w:color="auto"/>
          </w:divBdr>
        </w:div>
        <w:div w:id="1037658981">
          <w:marLeft w:val="0"/>
          <w:marRight w:val="0"/>
          <w:marTop w:val="0"/>
          <w:marBottom w:val="0"/>
          <w:divBdr>
            <w:top w:val="none" w:sz="0" w:space="0" w:color="auto"/>
            <w:left w:val="none" w:sz="0" w:space="0" w:color="auto"/>
            <w:bottom w:val="none" w:sz="0" w:space="0" w:color="auto"/>
            <w:right w:val="none" w:sz="0" w:space="0" w:color="auto"/>
          </w:divBdr>
        </w:div>
        <w:div w:id="1045717171">
          <w:marLeft w:val="0"/>
          <w:marRight w:val="0"/>
          <w:marTop w:val="0"/>
          <w:marBottom w:val="0"/>
          <w:divBdr>
            <w:top w:val="none" w:sz="0" w:space="0" w:color="auto"/>
            <w:left w:val="none" w:sz="0" w:space="0" w:color="auto"/>
            <w:bottom w:val="none" w:sz="0" w:space="0" w:color="auto"/>
            <w:right w:val="none" w:sz="0" w:space="0" w:color="auto"/>
          </w:divBdr>
        </w:div>
        <w:div w:id="1046181003">
          <w:marLeft w:val="0"/>
          <w:marRight w:val="0"/>
          <w:marTop w:val="0"/>
          <w:marBottom w:val="0"/>
          <w:divBdr>
            <w:top w:val="none" w:sz="0" w:space="0" w:color="auto"/>
            <w:left w:val="none" w:sz="0" w:space="0" w:color="auto"/>
            <w:bottom w:val="none" w:sz="0" w:space="0" w:color="auto"/>
            <w:right w:val="none" w:sz="0" w:space="0" w:color="auto"/>
          </w:divBdr>
        </w:div>
        <w:div w:id="1046221452">
          <w:marLeft w:val="0"/>
          <w:marRight w:val="0"/>
          <w:marTop w:val="0"/>
          <w:marBottom w:val="0"/>
          <w:divBdr>
            <w:top w:val="none" w:sz="0" w:space="0" w:color="auto"/>
            <w:left w:val="none" w:sz="0" w:space="0" w:color="auto"/>
            <w:bottom w:val="none" w:sz="0" w:space="0" w:color="auto"/>
            <w:right w:val="none" w:sz="0" w:space="0" w:color="auto"/>
          </w:divBdr>
        </w:div>
        <w:div w:id="1054112034">
          <w:marLeft w:val="0"/>
          <w:marRight w:val="0"/>
          <w:marTop w:val="0"/>
          <w:marBottom w:val="0"/>
          <w:divBdr>
            <w:top w:val="none" w:sz="0" w:space="0" w:color="auto"/>
            <w:left w:val="none" w:sz="0" w:space="0" w:color="auto"/>
            <w:bottom w:val="none" w:sz="0" w:space="0" w:color="auto"/>
            <w:right w:val="none" w:sz="0" w:space="0" w:color="auto"/>
          </w:divBdr>
        </w:div>
        <w:div w:id="1060521384">
          <w:marLeft w:val="0"/>
          <w:marRight w:val="0"/>
          <w:marTop w:val="0"/>
          <w:marBottom w:val="0"/>
          <w:divBdr>
            <w:top w:val="none" w:sz="0" w:space="0" w:color="auto"/>
            <w:left w:val="none" w:sz="0" w:space="0" w:color="auto"/>
            <w:bottom w:val="none" w:sz="0" w:space="0" w:color="auto"/>
            <w:right w:val="none" w:sz="0" w:space="0" w:color="auto"/>
          </w:divBdr>
        </w:div>
        <w:div w:id="1068579672">
          <w:marLeft w:val="0"/>
          <w:marRight w:val="0"/>
          <w:marTop w:val="0"/>
          <w:marBottom w:val="0"/>
          <w:divBdr>
            <w:top w:val="none" w:sz="0" w:space="0" w:color="auto"/>
            <w:left w:val="none" w:sz="0" w:space="0" w:color="auto"/>
            <w:bottom w:val="none" w:sz="0" w:space="0" w:color="auto"/>
            <w:right w:val="none" w:sz="0" w:space="0" w:color="auto"/>
          </w:divBdr>
        </w:div>
        <w:div w:id="1073771092">
          <w:marLeft w:val="0"/>
          <w:marRight w:val="0"/>
          <w:marTop w:val="0"/>
          <w:marBottom w:val="0"/>
          <w:divBdr>
            <w:top w:val="none" w:sz="0" w:space="0" w:color="auto"/>
            <w:left w:val="none" w:sz="0" w:space="0" w:color="auto"/>
            <w:bottom w:val="none" w:sz="0" w:space="0" w:color="auto"/>
            <w:right w:val="none" w:sz="0" w:space="0" w:color="auto"/>
          </w:divBdr>
        </w:div>
        <w:div w:id="1074277886">
          <w:marLeft w:val="0"/>
          <w:marRight w:val="0"/>
          <w:marTop w:val="0"/>
          <w:marBottom w:val="0"/>
          <w:divBdr>
            <w:top w:val="none" w:sz="0" w:space="0" w:color="auto"/>
            <w:left w:val="none" w:sz="0" w:space="0" w:color="auto"/>
            <w:bottom w:val="none" w:sz="0" w:space="0" w:color="auto"/>
            <w:right w:val="none" w:sz="0" w:space="0" w:color="auto"/>
          </w:divBdr>
        </w:div>
        <w:div w:id="1077901657">
          <w:marLeft w:val="0"/>
          <w:marRight w:val="0"/>
          <w:marTop w:val="0"/>
          <w:marBottom w:val="0"/>
          <w:divBdr>
            <w:top w:val="none" w:sz="0" w:space="0" w:color="auto"/>
            <w:left w:val="none" w:sz="0" w:space="0" w:color="auto"/>
            <w:bottom w:val="none" w:sz="0" w:space="0" w:color="auto"/>
            <w:right w:val="none" w:sz="0" w:space="0" w:color="auto"/>
          </w:divBdr>
        </w:div>
        <w:div w:id="1091272317">
          <w:marLeft w:val="0"/>
          <w:marRight w:val="0"/>
          <w:marTop w:val="0"/>
          <w:marBottom w:val="0"/>
          <w:divBdr>
            <w:top w:val="none" w:sz="0" w:space="0" w:color="auto"/>
            <w:left w:val="none" w:sz="0" w:space="0" w:color="auto"/>
            <w:bottom w:val="none" w:sz="0" w:space="0" w:color="auto"/>
            <w:right w:val="none" w:sz="0" w:space="0" w:color="auto"/>
          </w:divBdr>
        </w:div>
        <w:div w:id="1099451274">
          <w:marLeft w:val="0"/>
          <w:marRight w:val="0"/>
          <w:marTop w:val="0"/>
          <w:marBottom w:val="0"/>
          <w:divBdr>
            <w:top w:val="none" w:sz="0" w:space="0" w:color="auto"/>
            <w:left w:val="none" w:sz="0" w:space="0" w:color="auto"/>
            <w:bottom w:val="none" w:sz="0" w:space="0" w:color="auto"/>
            <w:right w:val="none" w:sz="0" w:space="0" w:color="auto"/>
          </w:divBdr>
        </w:div>
        <w:div w:id="1127239278">
          <w:marLeft w:val="0"/>
          <w:marRight w:val="0"/>
          <w:marTop w:val="0"/>
          <w:marBottom w:val="0"/>
          <w:divBdr>
            <w:top w:val="none" w:sz="0" w:space="0" w:color="auto"/>
            <w:left w:val="none" w:sz="0" w:space="0" w:color="auto"/>
            <w:bottom w:val="none" w:sz="0" w:space="0" w:color="auto"/>
            <w:right w:val="none" w:sz="0" w:space="0" w:color="auto"/>
          </w:divBdr>
        </w:div>
        <w:div w:id="1131245255">
          <w:marLeft w:val="0"/>
          <w:marRight w:val="0"/>
          <w:marTop w:val="0"/>
          <w:marBottom w:val="0"/>
          <w:divBdr>
            <w:top w:val="none" w:sz="0" w:space="0" w:color="auto"/>
            <w:left w:val="none" w:sz="0" w:space="0" w:color="auto"/>
            <w:bottom w:val="none" w:sz="0" w:space="0" w:color="auto"/>
            <w:right w:val="none" w:sz="0" w:space="0" w:color="auto"/>
          </w:divBdr>
        </w:div>
        <w:div w:id="1151403694">
          <w:marLeft w:val="0"/>
          <w:marRight w:val="0"/>
          <w:marTop w:val="0"/>
          <w:marBottom w:val="0"/>
          <w:divBdr>
            <w:top w:val="none" w:sz="0" w:space="0" w:color="auto"/>
            <w:left w:val="none" w:sz="0" w:space="0" w:color="auto"/>
            <w:bottom w:val="none" w:sz="0" w:space="0" w:color="auto"/>
            <w:right w:val="none" w:sz="0" w:space="0" w:color="auto"/>
          </w:divBdr>
        </w:div>
        <w:div w:id="1155028480">
          <w:marLeft w:val="0"/>
          <w:marRight w:val="0"/>
          <w:marTop w:val="0"/>
          <w:marBottom w:val="0"/>
          <w:divBdr>
            <w:top w:val="none" w:sz="0" w:space="0" w:color="auto"/>
            <w:left w:val="none" w:sz="0" w:space="0" w:color="auto"/>
            <w:bottom w:val="none" w:sz="0" w:space="0" w:color="auto"/>
            <w:right w:val="none" w:sz="0" w:space="0" w:color="auto"/>
          </w:divBdr>
        </w:div>
        <w:div w:id="1156847137">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1158887594">
          <w:marLeft w:val="0"/>
          <w:marRight w:val="0"/>
          <w:marTop w:val="0"/>
          <w:marBottom w:val="0"/>
          <w:divBdr>
            <w:top w:val="none" w:sz="0" w:space="0" w:color="auto"/>
            <w:left w:val="none" w:sz="0" w:space="0" w:color="auto"/>
            <w:bottom w:val="none" w:sz="0" w:space="0" w:color="auto"/>
            <w:right w:val="none" w:sz="0" w:space="0" w:color="auto"/>
          </w:divBdr>
        </w:div>
        <w:div w:id="1158956455">
          <w:marLeft w:val="0"/>
          <w:marRight w:val="0"/>
          <w:marTop w:val="0"/>
          <w:marBottom w:val="0"/>
          <w:divBdr>
            <w:top w:val="none" w:sz="0" w:space="0" w:color="auto"/>
            <w:left w:val="none" w:sz="0" w:space="0" w:color="auto"/>
            <w:bottom w:val="none" w:sz="0" w:space="0" w:color="auto"/>
            <w:right w:val="none" w:sz="0" w:space="0" w:color="auto"/>
          </w:divBdr>
        </w:div>
        <w:div w:id="1166826934">
          <w:marLeft w:val="0"/>
          <w:marRight w:val="0"/>
          <w:marTop w:val="0"/>
          <w:marBottom w:val="0"/>
          <w:divBdr>
            <w:top w:val="none" w:sz="0" w:space="0" w:color="auto"/>
            <w:left w:val="none" w:sz="0" w:space="0" w:color="auto"/>
            <w:bottom w:val="none" w:sz="0" w:space="0" w:color="auto"/>
            <w:right w:val="none" w:sz="0" w:space="0" w:color="auto"/>
          </w:divBdr>
        </w:div>
        <w:div w:id="1167474943">
          <w:marLeft w:val="0"/>
          <w:marRight w:val="0"/>
          <w:marTop w:val="0"/>
          <w:marBottom w:val="0"/>
          <w:divBdr>
            <w:top w:val="none" w:sz="0" w:space="0" w:color="auto"/>
            <w:left w:val="none" w:sz="0" w:space="0" w:color="auto"/>
            <w:bottom w:val="none" w:sz="0" w:space="0" w:color="auto"/>
            <w:right w:val="none" w:sz="0" w:space="0" w:color="auto"/>
          </w:divBdr>
        </w:div>
        <w:div w:id="1170365732">
          <w:marLeft w:val="0"/>
          <w:marRight w:val="0"/>
          <w:marTop w:val="0"/>
          <w:marBottom w:val="0"/>
          <w:divBdr>
            <w:top w:val="none" w:sz="0" w:space="0" w:color="auto"/>
            <w:left w:val="none" w:sz="0" w:space="0" w:color="auto"/>
            <w:bottom w:val="none" w:sz="0" w:space="0" w:color="auto"/>
            <w:right w:val="none" w:sz="0" w:space="0" w:color="auto"/>
          </w:divBdr>
        </w:div>
        <w:div w:id="1191528493">
          <w:marLeft w:val="0"/>
          <w:marRight w:val="0"/>
          <w:marTop w:val="0"/>
          <w:marBottom w:val="0"/>
          <w:divBdr>
            <w:top w:val="none" w:sz="0" w:space="0" w:color="auto"/>
            <w:left w:val="none" w:sz="0" w:space="0" w:color="auto"/>
            <w:bottom w:val="none" w:sz="0" w:space="0" w:color="auto"/>
            <w:right w:val="none" w:sz="0" w:space="0" w:color="auto"/>
          </w:divBdr>
        </w:div>
        <w:div w:id="1199314805">
          <w:marLeft w:val="0"/>
          <w:marRight w:val="0"/>
          <w:marTop w:val="0"/>
          <w:marBottom w:val="0"/>
          <w:divBdr>
            <w:top w:val="none" w:sz="0" w:space="0" w:color="auto"/>
            <w:left w:val="none" w:sz="0" w:space="0" w:color="auto"/>
            <w:bottom w:val="none" w:sz="0" w:space="0" w:color="auto"/>
            <w:right w:val="none" w:sz="0" w:space="0" w:color="auto"/>
          </w:divBdr>
        </w:div>
        <w:div w:id="1202599182">
          <w:marLeft w:val="0"/>
          <w:marRight w:val="0"/>
          <w:marTop w:val="0"/>
          <w:marBottom w:val="0"/>
          <w:divBdr>
            <w:top w:val="none" w:sz="0" w:space="0" w:color="auto"/>
            <w:left w:val="none" w:sz="0" w:space="0" w:color="auto"/>
            <w:bottom w:val="none" w:sz="0" w:space="0" w:color="auto"/>
            <w:right w:val="none" w:sz="0" w:space="0" w:color="auto"/>
          </w:divBdr>
        </w:div>
        <w:div w:id="1203245673">
          <w:marLeft w:val="0"/>
          <w:marRight w:val="0"/>
          <w:marTop w:val="0"/>
          <w:marBottom w:val="0"/>
          <w:divBdr>
            <w:top w:val="none" w:sz="0" w:space="0" w:color="auto"/>
            <w:left w:val="none" w:sz="0" w:space="0" w:color="auto"/>
            <w:bottom w:val="none" w:sz="0" w:space="0" w:color="auto"/>
            <w:right w:val="none" w:sz="0" w:space="0" w:color="auto"/>
          </w:divBdr>
        </w:div>
        <w:div w:id="1213346850">
          <w:marLeft w:val="0"/>
          <w:marRight w:val="0"/>
          <w:marTop w:val="0"/>
          <w:marBottom w:val="0"/>
          <w:divBdr>
            <w:top w:val="none" w:sz="0" w:space="0" w:color="auto"/>
            <w:left w:val="none" w:sz="0" w:space="0" w:color="auto"/>
            <w:bottom w:val="none" w:sz="0" w:space="0" w:color="auto"/>
            <w:right w:val="none" w:sz="0" w:space="0" w:color="auto"/>
          </w:divBdr>
        </w:div>
        <w:div w:id="1218592305">
          <w:marLeft w:val="0"/>
          <w:marRight w:val="0"/>
          <w:marTop w:val="0"/>
          <w:marBottom w:val="0"/>
          <w:divBdr>
            <w:top w:val="none" w:sz="0" w:space="0" w:color="auto"/>
            <w:left w:val="none" w:sz="0" w:space="0" w:color="auto"/>
            <w:bottom w:val="none" w:sz="0" w:space="0" w:color="auto"/>
            <w:right w:val="none" w:sz="0" w:space="0" w:color="auto"/>
          </w:divBdr>
        </w:div>
        <w:div w:id="1225020339">
          <w:marLeft w:val="0"/>
          <w:marRight w:val="0"/>
          <w:marTop w:val="0"/>
          <w:marBottom w:val="0"/>
          <w:divBdr>
            <w:top w:val="none" w:sz="0" w:space="0" w:color="auto"/>
            <w:left w:val="none" w:sz="0" w:space="0" w:color="auto"/>
            <w:bottom w:val="none" w:sz="0" w:space="0" w:color="auto"/>
            <w:right w:val="none" w:sz="0" w:space="0" w:color="auto"/>
          </w:divBdr>
        </w:div>
        <w:div w:id="1229069203">
          <w:marLeft w:val="0"/>
          <w:marRight w:val="0"/>
          <w:marTop w:val="0"/>
          <w:marBottom w:val="0"/>
          <w:divBdr>
            <w:top w:val="none" w:sz="0" w:space="0" w:color="auto"/>
            <w:left w:val="none" w:sz="0" w:space="0" w:color="auto"/>
            <w:bottom w:val="none" w:sz="0" w:space="0" w:color="auto"/>
            <w:right w:val="none" w:sz="0" w:space="0" w:color="auto"/>
          </w:divBdr>
        </w:div>
        <w:div w:id="1231773080">
          <w:marLeft w:val="0"/>
          <w:marRight w:val="0"/>
          <w:marTop w:val="0"/>
          <w:marBottom w:val="0"/>
          <w:divBdr>
            <w:top w:val="none" w:sz="0" w:space="0" w:color="auto"/>
            <w:left w:val="none" w:sz="0" w:space="0" w:color="auto"/>
            <w:bottom w:val="none" w:sz="0" w:space="0" w:color="auto"/>
            <w:right w:val="none" w:sz="0" w:space="0" w:color="auto"/>
          </w:divBdr>
        </w:div>
        <w:div w:id="1241869241">
          <w:marLeft w:val="0"/>
          <w:marRight w:val="0"/>
          <w:marTop w:val="0"/>
          <w:marBottom w:val="0"/>
          <w:divBdr>
            <w:top w:val="none" w:sz="0" w:space="0" w:color="auto"/>
            <w:left w:val="none" w:sz="0" w:space="0" w:color="auto"/>
            <w:bottom w:val="none" w:sz="0" w:space="0" w:color="auto"/>
            <w:right w:val="none" w:sz="0" w:space="0" w:color="auto"/>
          </w:divBdr>
        </w:div>
        <w:div w:id="1242060195">
          <w:marLeft w:val="0"/>
          <w:marRight w:val="0"/>
          <w:marTop w:val="0"/>
          <w:marBottom w:val="0"/>
          <w:divBdr>
            <w:top w:val="none" w:sz="0" w:space="0" w:color="auto"/>
            <w:left w:val="none" w:sz="0" w:space="0" w:color="auto"/>
            <w:bottom w:val="none" w:sz="0" w:space="0" w:color="auto"/>
            <w:right w:val="none" w:sz="0" w:space="0" w:color="auto"/>
          </w:divBdr>
        </w:div>
        <w:div w:id="1244802071">
          <w:marLeft w:val="0"/>
          <w:marRight w:val="0"/>
          <w:marTop w:val="0"/>
          <w:marBottom w:val="0"/>
          <w:divBdr>
            <w:top w:val="none" w:sz="0" w:space="0" w:color="auto"/>
            <w:left w:val="none" w:sz="0" w:space="0" w:color="auto"/>
            <w:bottom w:val="none" w:sz="0" w:space="0" w:color="auto"/>
            <w:right w:val="none" w:sz="0" w:space="0" w:color="auto"/>
          </w:divBdr>
        </w:div>
        <w:div w:id="1249509467">
          <w:marLeft w:val="0"/>
          <w:marRight w:val="0"/>
          <w:marTop w:val="0"/>
          <w:marBottom w:val="0"/>
          <w:divBdr>
            <w:top w:val="none" w:sz="0" w:space="0" w:color="auto"/>
            <w:left w:val="none" w:sz="0" w:space="0" w:color="auto"/>
            <w:bottom w:val="none" w:sz="0" w:space="0" w:color="auto"/>
            <w:right w:val="none" w:sz="0" w:space="0" w:color="auto"/>
          </w:divBdr>
        </w:div>
        <w:div w:id="1249851457">
          <w:marLeft w:val="0"/>
          <w:marRight w:val="0"/>
          <w:marTop w:val="0"/>
          <w:marBottom w:val="0"/>
          <w:divBdr>
            <w:top w:val="none" w:sz="0" w:space="0" w:color="auto"/>
            <w:left w:val="none" w:sz="0" w:space="0" w:color="auto"/>
            <w:bottom w:val="none" w:sz="0" w:space="0" w:color="auto"/>
            <w:right w:val="none" w:sz="0" w:space="0" w:color="auto"/>
          </w:divBdr>
        </w:div>
        <w:div w:id="1254582360">
          <w:marLeft w:val="0"/>
          <w:marRight w:val="0"/>
          <w:marTop w:val="0"/>
          <w:marBottom w:val="0"/>
          <w:divBdr>
            <w:top w:val="none" w:sz="0" w:space="0" w:color="auto"/>
            <w:left w:val="none" w:sz="0" w:space="0" w:color="auto"/>
            <w:bottom w:val="none" w:sz="0" w:space="0" w:color="auto"/>
            <w:right w:val="none" w:sz="0" w:space="0" w:color="auto"/>
          </w:divBdr>
        </w:div>
        <w:div w:id="1263563282">
          <w:marLeft w:val="0"/>
          <w:marRight w:val="0"/>
          <w:marTop w:val="0"/>
          <w:marBottom w:val="0"/>
          <w:divBdr>
            <w:top w:val="none" w:sz="0" w:space="0" w:color="auto"/>
            <w:left w:val="none" w:sz="0" w:space="0" w:color="auto"/>
            <w:bottom w:val="none" w:sz="0" w:space="0" w:color="auto"/>
            <w:right w:val="none" w:sz="0" w:space="0" w:color="auto"/>
          </w:divBdr>
        </w:div>
        <w:div w:id="1270162746">
          <w:marLeft w:val="0"/>
          <w:marRight w:val="0"/>
          <w:marTop w:val="0"/>
          <w:marBottom w:val="0"/>
          <w:divBdr>
            <w:top w:val="none" w:sz="0" w:space="0" w:color="auto"/>
            <w:left w:val="none" w:sz="0" w:space="0" w:color="auto"/>
            <w:bottom w:val="none" w:sz="0" w:space="0" w:color="auto"/>
            <w:right w:val="none" w:sz="0" w:space="0" w:color="auto"/>
          </w:divBdr>
        </w:div>
        <w:div w:id="1270426936">
          <w:marLeft w:val="0"/>
          <w:marRight w:val="0"/>
          <w:marTop w:val="0"/>
          <w:marBottom w:val="0"/>
          <w:divBdr>
            <w:top w:val="none" w:sz="0" w:space="0" w:color="auto"/>
            <w:left w:val="none" w:sz="0" w:space="0" w:color="auto"/>
            <w:bottom w:val="none" w:sz="0" w:space="0" w:color="auto"/>
            <w:right w:val="none" w:sz="0" w:space="0" w:color="auto"/>
          </w:divBdr>
        </w:div>
        <w:div w:id="1270620686">
          <w:marLeft w:val="0"/>
          <w:marRight w:val="0"/>
          <w:marTop w:val="0"/>
          <w:marBottom w:val="0"/>
          <w:divBdr>
            <w:top w:val="none" w:sz="0" w:space="0" w:color="auto"/>
            <w:left w:val="none" w:sz="0" w:space="0" w:color="auto"/>
            <w:bottom w:val="none" w:sz="0" w:space="0" w:color="auto"/>
            <w:right w:val="none" w:sz="0" w:space="0" w:color="auto"/>
          </w:divBdr>
        </w:div>
        <w:div w:id="1270744734">
          <w:marLeft w:val="0"/>
          <w:marRight w:val="0"/>
          <w:marTop w:val="0"/>
          <w:marBottom w:val="0"/>
          <w:divBdr>
            <w:top w:val="none" w:sz="0" w:space="0" w:color="auto"/>
            <w:left w:val="none" w:sz="0" w:space="0" w:color="auto"/>
            <w:bottom w:val="none" w:sz="0" w:space="0" w:color="auto"/>
            <w:right w:val="none" w:sz="0" w:space="0" w:color="auto"/>
          </w:divBdr>
        </w:div>
        <w:div w:id="1276450579">
          <w:marLeft w:val="0"/>
          <w:marRight w:val="0"/>
          <w:marTop w:val="0"/>
          <w:marBottom w:val="0"/>
          <w:divBdr>
            <w:top w:val="none" w:sz="0" w:space="0" w:color="auto"/>
            <w:left w:val="none" w:sz="0" w:space="0" w:color="auto"/>
            <w:bottom w:val="none" w:sz="0" w:space="0" w:color="auto"/>
            <w:right w:val="none" w:sz="0" w:space="0" w:color="auto"/>
          </w:divBdr>
        </w:div>
        <w:div w:id="1278875600">
          <w:marLeft w:val="0"/>
          <w:marRight w:val="0"/>
          <w:marTop w:val="0"/>
          <w:marBottom w:val="0"/>
          <w:divBdr>
            <w:top w:val="none" w:sz="0" w:space="0" w:color="auto"/>
            <w:left w:val="none" w:sz="0" w:space="0" w:color="auto"/>
            <w:bottom w:val="none" w:sz="0" w:space="0" w:color="auto"/>
            <w:right w:val="none" w:sz="0" w:space="0" w:color="auto"/>
          </w:divBdr>
        </w:div>
        <w:div w:id="1288582762">
          <w:marLeft w:val="0"/>
          <w:marRight w:val="0"/>
          <w:marTop w:val="0"/>
          <w:marBottom w:val="0"/>
          <w:divBdr>
            <w:top w:val="none" w:sz="0" w:space="0" w:color="auto"/>
            <w:left w:val="none" w:sz="0" w:space="0" w:color="auto"/>
            <w:bottom w:val="none" w:sz="0" w:space="0" w:color="auto"/>
            <w:right w:val="none" w:sz="0" w:space="0" w:color="auto"/>
          </w:divBdr>
        </w:div>
        <w:div w:id="1289698471">
          <w:marLeft w:val="0"/>
          <w:marRight w:val="0"/>
          <w:marTop w:val="0"/>
          <w:marBottom w:val="0"/>
          <w:divBdr>
            <w:top w:val="none" w:sz="0" w:space="0" w:color="auto"/>
            <w:left w:val="none" w:sz="0" w:space="0" w:color="auto"/>
            <w:bottom w:val="none" w:sz="0" w:space="0" w:color="auto"/>
            <w:right w:val="none" w:sz="0" w:space="0" w:color="auto"/>
          </w:divBdr>
        </w:div>
        <w:div w:id="1299609401">
          <w:marLeft w:val="0"/>
          <w:marRight w:val="0"/>
          <w:marTop w:val="0"/>
          <w:marBottom w:val="0"/>
          <w:divBdr>
            <w:top w:val="none" w:sz="0" w:space="0" w:color="auto"/>
            <w:left w:val="none" w:sz="0" w:space="0" w:color="auto"/>
            <w:bottom w:val="none" w:sz="0" w:space="0" w:color="auto"/>
            <w:right w:val="none" w:sz="0" w:space="0" w:color="auto"/>
          </w:divBdr>
        </w:div>
        <w:div w:id="1303385863">
          <w:marLeft w:val="0"/>
          <w:marRight w:val="0"/>
          <w:marTop w:val="0"/>
          <w:marBottom w:val="0"/>
          <w:divBdr>
            <w:top w:val="none" w:sz="0" w:space="0" w:color="auto"/>
            <w:left w:val="none" w:sz="0" w:space="0" w:color="auto"/>
            <w:bottom w:val="none" w:sz="0" w:space="0" w:color="auto"/>
            <w:right w:val="none" w:sz="0" w:space="0" w:color="auto"/>
          </w:divBdr>
        </w:div>
        <w:div w:id="1304695861">
          <w:marLeft w:val="0"/>
          <w:marRight w:val="0"/>
          <w:marTop w:val="0"/>
          <w:marBottom w:val="0"/>
          <w:divBdr>
            <w:top w:val="none" w:sz="0" w:space="0" w:color="auto"/>
            <w:left w:val="none" w:sz="0" w:space="0" w:color="auto"/>
            <w:bottom w:val="none" w:sz="0" w:space="0" w:color="auto"/>
            <w:right w:val="none" w:sz="0" w:space="0" w:color="auto"/>
          </w:divBdr>
        </w:div>
        <w:div w:id="1309557357">
          <w:marLeft w:val="0"/>
          <w:marRight w:val="0"/>
          <w:marTop w:val="0"/>
          <w:marBottom w:val="0"/>
          <w:divBdr>
            <w:top w:val="none" w:sz="0" w:space="0" w:color="auto"/>
            <w:left w:val="none" w:sz="0" w:space="0" w:color="auto"/>
            <w:bottom w:val="none" w:sz="0" w:space="0" w:color="auto"/>
            <w:right w:val="none" w:sz="0" w:space="0" w:color="auto"/>
          </w:divBdr>
        </w:div>
        <w:div w:id="1312297542">
          <w:marLeft w:val="0"/>
          <w:marRight w:val="0"/>
          <w:marTop w:val="0"/>
          <w:marBottom w:val="0"/>
          <w:divBdr>
            <w:top w:val="none" w:sz="0" w:space="0" w:color="auto"/>
            <w:left w:val="none" w:sz="0" w:space="0" w:color="auto"/>
            <w:bottom w:val="none" w:sz="0" w:space="0" w:color="auto"/>
            <w:right w:val="none" w:sz="0" w:space="0" w:color="auto"/>
          </w:divBdr>
        </w:div>
        <w:div w:id="1313750767">
          <w:marLeft w:val="0"/>
          <w:marRight w:val="0"/>
          <w:marTop w:val="0"/>
          <w:marBottom w:val="0"/>
          <w:divBdr>
            <w:top w:val="none" w:sz="0" w:space="0" w:color="auto"/>
            <w:left w:val="none" w:sz="0" w:space="0" w:color="auto"/>
            <w:bottom w:val="none" w:sz="0" w:space="0" w:color="auto"/>
            <w:right w:val="none" w:sz="0" w:space="0" w:color="auto"/>
          </w:divBdr>
        </w:div>
        <w:div w:id="1315645523">
          <w:marLeft w:val="0"/>
          <w:marRight w:val="0"/>
          <w:marTop w:val="0"/>
          <w:marBottom w:val="0"/>
          <w:divBdr>
            <w:top w:val="none" w:sz="0" w:space="0" w:color="auto"/>
            <w:left w:val="none" w:sz="0" w:space="0" w:color="auto"/>
            <w:bottom w:val="none" w:sz="0" w:space="0" w:color="auto"/>
            <w:right w:val="none" w:sz="0" w:space="0" w:color="auto"/>
          </w:divBdr>
        </w:div>
        <w:div w:id="1318344886">
          <w:marLeft w:val="0"/>
          <w:marRight w:val="0"/>
          <w:marTop w:val="0"/>
          <w:marBottom w:val="0"/>
          <w:divBdr>
            <w:top w:val="none" w:sz="0" w:space="0" w:color="auto"/>
            <w:left w:val="none" w:sz="0" w:space="0" w:color="auto"/>
            <w:bottom w:val="none" w:sz="0" w:space="0" w:color="auto"/>
            <w:right w:val="none" w:sz="0" w:space="0" w:color="auto"/>
          </w:divBdr>
        </w:div>
        <w:div w:id="1320041941">
          <w:marLeft w:val="0"/>
          <w:marRight w:val="0"/>
          <w:marTop w:val="0"/>
          <w:marBottom w:val="0"/>
          <w:divBdr>
            <w:top w:val="none" w:sz="0" w:space="0" w:color="auto"/>
            <w:left w:val="none" w:sz="0" w:space="0" w:color="auto"/>
            <w:bottom w:val="none" w:sz="0" w:space="0" w:color="auto"/>
            <w:right w:val="none" w:sz="0" w:space="0" w:color="auto"/>
          </w:divBdr>
        </w:div>
        <w:div w:id="1322923668">
          <w:marLeft w:val="0"/>
          <w:marRight w:val="0"/>
          <w:marTop w:val="0"/>
          <w:marBottom w:val="0"/>
          <w:divBdr>
            <w:top w:val="none" w:sz="0" w:space="0" w:color="auto"/>
            <w:left w:val="none" w:sz="0" w:space="0" w:color="auto"/>
            <w:bottom w:val="none" w:sz="0" w:space="0" w:color="auto"/>
            <w:right w:val="none" w:sz="0" w:space="0" w:color="auto"/>
          </w:divBdr>
        </w:div>
        <w:div w:id="1326854995">
          <w:marLeft w:val="0"/>
          <w:marRight w:val="0"/>
          <w:marTop w:val="0"/>
          <w:marBottom w:val="0"/>
          <w:divBdr>
            <w:top w:val="none" w:sz="0" w:space="0" w:color="auto"/>
            <w:left w:val="none" w:sz="0" w:space="0" w:color="auto"/>
            <w:bottom w:val="none" w:sz="0" w:space="0" w:color="auto"/>
            <w:right w:val="none" w:sz="0" w:space="0" w:color="auto"/>
          </w:divBdr>
        </w:div>
        <w:div w:id="1329097359">
          <w:marLeft w:val="0"/>
          <w:marRight w:val="0"/>
          <w:marTop w:val="0"/>
          <w:marBottom w:val="0"/>
          <w:divBdr>
            <w:top w:val="none" w:sz="0" w:space="0" w:color="auto"/>
            <w:left w:val="none" w:sz="0" w:space="0" w:color="auto"/>
            <w:bottom w:val="none" w:sz="0" w:space="0" w:color="auto"/>
            <w:right w:val="none" w:sz="0" w:space="0" w:color="auto"/>
          </w:divBdr>
        </w:div>
        <w:div w:id="1332294457">
          <w:marLeft w:val="0"/>
          <w:marRight w:val="0"/>
          <w:marTop w:val="0"/>
          <w:marBottom w:val="0"/>
          <w:divBdr>
            <w:top w:val="none" w:sz="0" w:space="0" w:color="auto"/>
            <w:left w:val="none" w:sz="0" w:space="0" w:color="auto"/>
            <w:bottom w:val="none" w:sz="0" w:space="0" w:color="auto"/>
            <w:right w:val="none" w:sz="0" w:space="0" w:color="auto"/>
          </w:divBdr>
        </w:div>
        <w:div w:id="1342199167">
          <w:marLeft w:val="0"/>
          <w:marRight w:val="0"/>
          <w:marTop w:val="0"/>
          <w:marBottom w:val="0"/>
          <w:divBdr>
            <w:top w:val="none" w:sz="0" w:space="0" w:color="auto"/>
            <w:left w:val="none" w:sz="0" w:space="0" w:color="auto"/>
            <w:bottom w:val="none" w:sz="0" w:space="0" w:color="auto"/>
            <w:right w:val="none" w:sz="0" w:space="0" w:color="auto"/>
          </w:divBdr>
        </w:div>
        <w:div w:id="1349483246">
          <w:marLeft w:val="0"/>
          <w:marRight w:val="0"/>
          <w:marTop w:val="0"/>
          <w:marBottom w:val="0"/>
          <w:divBdr>
            <w:top w:val="none" w:sz="0" w:space="0" w:color="auto"/>
            <w:left w:val="none" w:sz="0" w:space="0" w:color="auto"/>
            <w:bottom w:val="none" w:sz="0" w:space="0" w:color="auto"/>
            <w:right w:val="none" w:sz="0" w:space="0" w:color="auto"/>
          </w:divBdr>
        </w:div>
        <w:div w:id="1351296699">
          <w:marLeft w:val="0"/>
          <w:marRight w:val="0"/>
          <w:marTop w:val="0"/>
          <w:marBottom w:val="0"/>
          <w:divBdr>
            <w:top w:val="none" w:sz="0" w:space="0" w:color="auto"/>
            <w:left w:val="none" w:sz="0" w:space="0" w:color="auto"/>
            <w:bottom w:val="none" w:sz="0" w:space="0" w:color="auto"/>
            <w:right w:val="none" w:sz="0" w:space="0" w:color="auto"/>
          </w:divBdr>
        </w:div>
        <w:div w:id="1364668125">
          <w:marLeft w:val="0"/>
          <w:marRight w:val="0"/>
          <w:marTop w:val="0"/>
          <w:marBottom w:val="0"/>
          <w:divBdr>
            <w:top w:val="none" w:sz="0" w:space="0" w:color="auto"/>
            <w:left w:val="none" w:sz="0" w:space="0" w:color="auto"/>
            <w:bottom w:val="none" w:sz="0" w:space="0" w:color="auto"/>
            <w:right w:val="none" w:sz="0" w:space="0" w:color="auto"/>
          </w:divBdr>
        </w:div>
        <w:div w:id="1372851128">
          <w:marLeft w:val="0"/>
          <w:marRight w:val="0"/>
          <w:marTop w:val="0"/>
          <w:marBottom w:val="0"/>
          <w:divBdr>
            <w:top w:val="none" w:sz="0" w:space="0" w:color="auto"/>
            <w:left w:val="none" w:sz="0" w:space="0" w:color="auto"/>
            <w:bottom w:val="none" w:sz="0" w:space="0" w:color="auto"/>
            <w:right w:val="none" w:sz="0" w:space="0" w:color="auto"/>
          </w:divBdr>
        </w:div>
        <w:div w:id="1376471448">
          <w:marLeft w:val="0"/>
          <w:marRight w:val="0"/>
          <w:marTop w:val="0"/>
          <w:marBottom w:val="0"/>
          <w:divBdr>
            <w:top w:val="none" w:sz="0" w:space="0" w:color="auto"/>
            <w:left w:val="none" w:sz="0" w:space="0" w:color="auto"/>
            <w:bottom w:val="none" w:sz="0" w:space="0" w:color="auto"/>
            <w:right w:val="none" w:sz="0" w:space="0" w:color="auto"/>
          </w:divBdr>
        </w:div>
        <w:div w:id="1381981542">
          <w:marLeft w:val="0"/>
          <w:marRight w:val="0"/>
          <w:marTop w:val="0"/>
          <w:marBottom w:val="0"/>
          <w:divBdr>
            <w:top w:val="none" w:sz="0" w:space="0" w:color="auto"/>
            <w:left w:val="none" w:sz="0" w:space="0" w:color="auto"/>
            <w:bottom w:val="none" w:sz="0" w:space="0" w:color="auto"/>
            <w:right w:val="none" w:sz="0" w:space="0" w:color="auto"/>
          </w:divBdr>
        </w:div>
        <w:div w:id="1386681498">
          <w:marLeft w:val="0"/>
          <w:marRight w:val="0"/>
          <w:marTop w:val="0"/>
          <w:marBottom w:val="0"/>
          <w:divBdr>
            <w:top w:val="none" w:sz="0" w:space="0" w:color="auto"/>
            <w:left w:val="none" w:sz="0" w:space="0" w:color="auto"/>
            <w:bottom w:val="none" w:sz="0" w:space="0" w:color="auto"/>
            <w:right w:val="none" w:sz="0" w:space="0" w:color="auto"/>
          </w:divBdr>
        </w:div>
        <w:div w:id="1392273294">
          <w:marLeft w:val="0"/>
          <w:marRight w:val="0"/>
          <w:marTop w:val="0"/>
          <w:marBottom w:val="0"/>
          <w:divBdr>
            <w:top w:val="none" w:sz="0" w:space="0" w:color="auto"/>
            <w:left w:val="none" w:sz="0" w:space="0" w:color="auto"/>
            <w:bottom w:val="none" w:sz="0" w:space="0" w:color="auto"/>
            <w:right w:val="none" w:sz="0" w:space="0" w:color="auto"/>
          </w:divBdr>
        </w:div>
        <w:div w:id="1402488994">
          <w:marLeft w:val="0"/>
          <w:marRight w:val="0"/>
          <w:marTop w:val="0"/>
          <w:marBottom w:val="0"/>
          <w:divBdr>
            <w:top w:val="none" w:sz="0" w:space="0" w:color="auto"/>
            <w:left w:val="none" w:sz="0" w:space="0" w:color="auto"/>
            <w:bottom w:val="none" w:sz="0" w:space="0" w:color="auto"/>
            <w:right w:val="none" w:sz="0" w:space="0" w:color="auto"/>
          </w:divBdr>
        </w:div>
        <w:div w:id="1405948877">
          <w:marLeft w:val="0"/>
          <w:marRight w:val="0"/>
          <w:marTop w:val="0"/>
          <w:marBottom w:val="0"/>
          <w:divBdr>
            <w:top w:val="none" w:sz="0" w:space="0" w:color="auto"/>
            <w:left w:val="none" w:sz="0" w:space="0" w:color="auto"/>
            <w:bottom w:val="none" w:sz="0" w:space="0" w:color="auto"/>
            <w:right w:val="none" w:sz="0" w:space="0" w:color="auto"/>
          </w:divBdr>
        </w:div>
        <w:div w:id="1408729010">
          <w:marLeft w:val="0"/>
          <w:marRight w:val="0"/>
          <w:marTop w:val="0"/>
          <w:marBottom w:val="0"/>
          <w:divBdr>
            <w:top w:val="none" w:sz="0" w:space="0" w:color="auto"/>
            <w:left w:val="none" w:sz="0" w:space="0" w:color="auto"/>
            <w:bottom w:val="none" w:sz="0" w:space="0" w:color="auto"/>
            <w:right w:val="none" w:sz="0" w:space="0" w:color="auto"/>
          </w:divBdr>
        </w:div>
        <w:div w:id="1409383708">
          <w:marLeft w:val="0"/>
          <w:marRight w:val="0"/>
          <w:marTop w:val="0"/>
          <w:marBottom w:val="0"/>
          <w:divBdr>
            <w:top w:val="none" w:sz="0" w:space="0" w:color="auto"/>
            <w:left w:val="none" w:sz="0" w:space="0" w:color="auto"/>
            <w:bottom w:val="none" w:sz="0" w:space="0" w:color="auto"/>
            <w:right w:val="none" w:sz="0" w:space="0" w:color="auto"/>
          </w:divBdr>
        </w:div>
        <w:div w:id="1419400603">
          <w:marLeft w:val="0"/>
          <w:marRight w:val="0"/>
          <w:marTop w:val="0"/>
          <w:marBottom w:val="0"/>
          <w:divBdr>
            <w:top w:val="none" w:sz="0" w:space="0" w:color="auto"/>
            <w:left w:val="none" w:sz="0" w:space="0" w:color="auto"/>
            <w:bottom w:val="none" w:sz="0" w:space="0" w:color="auto"/>
            <w:right w:val="none" w:sz="0" w:space="0" w:color="auto"/>
          </w:divBdr>
        </w:div>
        <w:div w:id="1420759271">
          <w:marLeft w:val="0"/>
          <w:marRight w:val="0"/>
          <w:marTop w:val="0"/>
          <w:marBottom w:val="0"/>
          <w:divBdr>
            <w:top w:val="none" w:sz="0" w:space="0" w:color="auto"/>
            <w:left w:val="none" w:sz="0" w:space="0" w:color="auto"/>
            <w:bottom w:val="none" w:sz="0" w:space="0" w:color="auto"/>
            <w:right w:val="none" w:sz="0" w:space="0" w:color="auto"/>
          </w:divBdr>
        </w:div>
        <w:div w:id="1424649444">
          <w:marLeft w:val="0"/>
          <w:marRight w:val="0"/>
          <w:marTop w:val="0"/>
          <w:marBottom w:val="0"/>
          <w:divBdr>
            <w:top w:val="none" w:sz="0" w:space="0" w:color="auto"/>
            <w:left w:val="none" w:sz="0" w:space="0" w:color="auto"/>
            <w:bottom w:val="none" w:sz="0" w:space="0" w:color="auto"/>
            <w:right w:val="none" w:sz="0" w:space="0" w:color="auto"/>
          </w:divBdr>
        </w:div>
        <w:div w:id="1431076298">
          <w:marLeft w:val="0"/>
          <w:marRight w:val="0"/>
          <w:marTop w:val="0"/>
          <w:marBottom w:val="0"/>
          <w:divBdr>
            <w:top w:val="none" w:sz="0" w:space="0" w:color="auto"/>
            <w:left w:val="none" w:sz="0" w:space="0" w:color="auto"/>
            <w:bottom w:val="none" w:sz="0" w:space="0" w:color="auto"/>
            <w:right w:val="none" w:sz="0" w:space="0" w:color="auto"/>
          </w:divBdr>
        </w:div>
        <w:div w:id="1431194594">
          <w:marLeft w:val="0"/>
          <w:marRight w:val="0"/>
          <w:marTop w:val="0"/>
          <w:marBottom w:val="0"/>
          <w:divBdr>
            <w:top w:val="none" w:sz="0" w:space="0" w:color="auto"/>
            <w:left w:val="none" w:sz="0" w:space="0" w:color="auto"/>
            <w:bottom w:val="none" w:sz="0" w:space="0" w:color="auto"/>
            <w:right w:val="none" w:sz="0" w:space="0" w:color="auto"/>
          </w:divBdr>
        </w:div>
        <w:div w:id="1451165349">
          <w:marLeft w:val="0"/>
          <w:marRight w:val="0"/>
          <w:marTop w:val="0"/>
          <w:marBottom w:val="0"/>
          <w:divBdr>
            <w:top w:val="none" w:sz="0" w:space="0" w:color="auto"/>
            <w:left w:val="none" w:sz="0" w:space="0" w:color="auto"/>
            <w:bottom w:val="none" w:sz="0" w:space="0" w:color="auto"/>
            <w:right w:val="none" w:sz="0" w:space="0" w:color="auto"/>
          </w:divBdr>
        </w:div>
        <w:div w:id="1456483095">
          <w:marLeft w:val="0"/>
          <w:marRight w:val="0"/>
          <w:marTop w:val="0"/>
          <w:marBottom w:val="0"/>
          <w:divBdr>
            <w:top w:val="none" w:sz="0" w:space="0" w:color="auto"/>
            <w:left w:val="none" w:sz="0" w:space="0" w:color="auto"/>
            <w:bottom w:val="none" w:sz="0" w:space="0" w:color="auto"/>
            <w:right w:val="none" w:sz="0" w:space="0" w:color="auto"/>
          </w:divBdr>
        </w:div>
        <w:div w:id="1458838232">
          <w:marLeft w:val="0"/>
          <w:marRight w:val="0"/>
          <w:marTop w:val="0"/>
          <w:marBottom w:val="0"/>
          <w:divBdr>
            <w:top w:val="none" w:sz="0" w:space="0" w:color="auto"/>
            <w:left w:val="none" w:sz="0" w:space="0" w:color="auto"/>
            <w:bottom w:val="none" w:sz="0" w:space="0" w:color="auto"/>
            <w:right w:val="none" w:sz="0" w:space="0" w:color="auto"/>
          </w:divBdr>
        </w:div>
        <w:div w:id="1460613191">
          <w:marLeft w:val="0"/>
          <w:marRight w:val="0"/>
          <w:marTop w:val="0"/>
          <w:marBottom w:val="0"/>
          <w:divBdr>
            <w:top w:val="none" w:sz="0" w:space="0" w:color="auto"/>
            <w:left w:val="none" w:sz="0" w:space="0" w:color="auto"/>
            <w:bottom w:val="none" w:sz="0" w:space="0" w:color="auto"/>
            <w:right w:val="none" w:sz="0" w:space="0" w:color="auto"/>
          </w:divBdr>
        </w:div>
        <w:div w:id="1465348879">
          <w:marLeft w:val="0"/>
          <w:marRight w:val="0"/>
          <w:marTop w:val="0"/>
          <w:marBottom w:val="0"/>
          <w:divBdr>
            <w:top w:val="none" w:sz="0" w:space="0" w:color="auto"/>
            <w:left w:val="none" w:sz="0" w:space="0" w:color="auto"/>
            <w:bottom w:val="none" w:sz="0" w:space="0" w:color="auto"/>
            <w:right w:val="none" w:sz="0" w:space="0" w:color="auto"/>
          </w:divBdr>
        </w:div>
        <w:div w:id="1478572224">
          <w:marLeft w:val="0"/>
          <w:marRight w:val="0"/>
          <w:marTop w:val="0"/>
          <w:marBottom w:val="0"/>
          <w:divBdr>
            <w:top w:val="none" w:sz="0" w:space="0" w:color="auto"/>
            <w:left w:val="none" w:sz="0" w:space="0" w:color="auto"/>
            <w:bottom w:val="none" w:sz="0" w:space="0" w:color="auto"/>
            <w:right w:val="none" w:sz="0" w:space="0" w:color="auto"/>
          </w:divBdr>
        </w:div>
        <w:div w:id="1478912245">
          <w:marLeft w:val="0"/>
          <w:marRight w:val="0"/>
          <w:marTop w:val="0"/>
          <w:marBottom w:val="0"/>
          <w:divBdr>
            <w:top w:val="none" w:sz="0" w:space="0" w:color="auto"/>
            <w:left w:val="none" w:sz="0" w:space="0" w:color="auto"/>
            <w:bottom w:val="none" w:sz="0" w:space="0" w:color="auto"/>
            <w:right w:val="none" w:sz="0" w:space="0" w:color="auto"/>
          </w:divBdr>
        </w:div>
        <w:div w:id="1493253947">
          <w:marLeft w:val="0"/>
          <w:marRight w:val="0"/>
          <w:marTop w:val="0"/>
          <w:marBottom w:val="0"/>
          <w:divBdr>
            <w:top w:val="none" w:sz="0" w:space="0" w:color="auto"/>
            <w:left w:val="none" w:sz="0" w:space="0" w:color="auto"/>
            <w:bottom w:val="none" w:sz="0" w:space="0" w:color="auto"/>
            <w:right w:val="none" w:sz="0" w:space="0" w:color="auto"/>
          </w:divBdr>
        </w:div>
        <w:div w:id="1493715289">
          <w:marLeft w:val="0"/>
          <w:marRight w:val="0"/>
          <w:marTop w:val="0"/>
          <w:marBottom w:val="0"/>
          <w:divBdr>
            <w:top w:val="none" w:sz="0" w:space="0" w:color="auto"/>
            <w:left w:val="none" w:sz="0" w:space="0" w:color="auto"/>
            <w:bottom w:val="none" w:sz="0" w:space="0" w:color="auto"/>
            <w:right w:val="none" w:sz="0" w:space="0" w:color="auto"/>
          </w:divBdr>
        </w:div>
        <w:div w:id="1497451890">
          <w:marLeft w:val="0"/>
          <w:marRight w:val="0"/>
          <w:marTop w:val="0"/>
          <w:marBottom w:val="0"/>
          <w:divBdr>
            <w:top w:val="none" w:sz="0" w:space="0" w:color="auto"/>
            <w:left w:val="none" w:sz="0" w:space="0" w:color="auto"/>
            <w:bottom w:val="none" w:sz="0" w:space="0" w:color="auto"/>
            <w:right w:val="none" w:sz="0" w:space="0" w:color="auto"/>
          </w:divBdr>
        </w:div>
        <w:div w:id="1497725636">
          <w:marLeft w:val="0"/>
          <w:marRight w:val="0"/>
          <w:marTop w:val="0"/>
          <w:marBottom w:val="0"/>
          <w:divBdr>
            <w:top w:val="none" w:sz="0" w:space="0" w:color="auto"/>
            <w:left w:val="none" w:sz="0" w:space="0" w:color="auto"/>
            <w:bottom w:val="none" w:sz="0" w:space="0" w:color="auto"/>
            <w:right w:val="none" w:sz="0" w:space="0" w:color="auto"/>
          </w:divBdr>
        </w:div>
        <w:div w:id="1526823094">
          <w:marLeft w:val="0"/>
          <w:marRight w:val="0"/>
          <w:marTop w:val="0"/>
          <w:marBottom w:val="0"/>
          <w:divBdr>
            <w:top w:val="none" w:sz="0" w:space="0" w:color="auto"/>
            <w:left w:val="none" w:sz="0" w:space="0" w:color="auto"/>
            <w:bottom w:val="none" w:sz="0" w:space="0" w:color="auto"/>
            <w:right w:val="none" w:sz="0" w:space="0" w:color="auto"/>
          </w:divBdr>
        </w:div>
        <w:div w:id="1530605949">
          <w:marLeft w:val="0"/>
          <w:marRight w:val="0"/>
          <w:marTop w:val="0"/>
          <w:marBottom w:val="0"/>
          <w:divBdr>
            <w:top w:val="none" w:sz="0" w:space="0" w:color="auto"/>
            <w:left w:val="none" w:sz="0" w:space="0" w:color="auto"/>
            <w:bottom w:val="none" w:sz="0" w:space="0" w:color="auto"/>
            <w:right w:val="none" w:sz="0" w:space="0" w:color="auto"/>
          </w:divBdr>
        </w:div>
        <w:div w:id="1531915642">
          <w:marLeft w:val="0"/>
          <w:marRight w:val="0"/>
          <w:marTop w:val="0"/>
          <w:marBottom w:val="0"/>
          <w:divBdr>
            <w:top w:val="none" w:sz="0" w:space="0" w:color="auto"/>
            <w:left w:val="none" w:sz="0" w:space="0" w:color="auto"/>
            <w:bottom w:val="none" w:sz="0" w:space="0" w:color="auto"/>
            <w:right w:val="none" w:sz="0" w:space="0" w:color="auto"/>
          </w:divBdr>
        </w:div>
        <w:div w:id="1538466632">
          <w:marLeft w:val="0"/>
          <w:marRight w:val="0"/>
          <w:marTop w:val="0"/>
          <w:marBottom w:val="0"/>
          <w:divBdr>
            <w:top w:val="none" w:sz="0" w:space="0" w:color="auto"/>
            <w:left w:val="none" w:sz="0" w:space="0" w:color="auto"/>
            <w:bottom w:val="none" w:sz="0" w:space="0" w:color="auto"/>
            <w:right w:val="none" w:sz="0" w:space="0" w:color="auto"/>
          </w:divBdr>
        </w:div>
        <w:div w:id="1543442454">
          <w:marLeft w:val="0"/>
          <w:marRight w:val="0"/>
          <w:marTop w:val="0"/>
          <w:marBottom w:val="0"/>
          <w:divBdr>
            <w:top w:val="none" w:sz="0" w:space="0" w:color="auto"/>
            <w:left w:val="none" w:sz="0" w:space="0" w:color="auto"/>
            <w:bottom w:val="none" w:sz="0" w:space="0" w:color="auto"/>
            <w:right w:val="none" w:sz="0" w:space="0" w:color="auto"/>
          </w:divBdr>
        </w:div>
        <w:div w:id="1544900343">
          <w:marLeft w:val="0"/>
          <w:marRight w:val="0"/>
          <w:marTop w:val="0"/>
          <w:marBottom w:val="0"/>
          <w:divBdr>
            <w:top w:val="none" w:sz="0" w:space="0" w:color="auto"/>
            <w:left w:val="none" w:sz="0" w:space="0" w:color="auto"/>
            <w:bottom w:val="none" w:sz="0" w:space="0" w:color="auto"/>
            <w:right w:val="none" w:sz="0" w:space="0" w:color="auto"/>
          </w:divBdr>
        </w:div>
        <w:div w:id="1569611389">
          <w:marLeft w:val="0"/>
          <w:marRight w:val="0"/>
          <w:marTop w:val="0"/>
          <w:marBottom w:val="0"/>
          <w:divBdr>
            <w:top w:val="none" w:sz="0" w:space="0" w:color="auto"/>
            <w:left w:val="none" w:sz="0" w:space="0" w:color="auto"/>
            <w:bottom w:val="none" w:sz="0" w:space="0" w:color="auto"/>
            <w:right w:val="none" w:sz="0" w:space="0" w:color="auto"/>
          </w:divBdr>
        </w:div>
        <w:div w:id="1576935286">
          <w:marLeft w:val="0"/>
          <w:marRight w:val="0"/>
          <w:marTop w:val="0"/>
          <w:marBottom w:val="0"/>
          <w:divBdr>
            <w:top w:val="none" w:sz="0" w:space="0" w:color="auto"/>
            <w:left w:val="none" w:sz="0" w:space="0" w:color="auto"/>
            <w:bottom w:val="none" w:sz="0" w:space="0" w:color="auto"/>
            <w:right w:val="none" w:sz="0" w:space="0" w:color="auto"/>
          </w:divBdr>
        </w:div>
        <w:div w:id="1588997924">
          <w:marLeft w:val="0"/>
          <w:marRight w:val="0"/>
          <w:marTop w:val="0"/>
          <w:marBottom w:val="0"/>
          <w:divBdr>
            <w:top w:val="none" w:sz="0" w:space="0" w:color="auto"/>
            <w:left w:val="none" w:sz="0" w:space="0" w:color="auto"/>
            <w:bottom w:val="none" w:sz="0" w:space="0" w:color="auto"/>
            <w:right w:val="none" w:sz="0" w:space="0" w:color="auto"/>
          </w:divBdr>
        </w:div>
        <w:div w:id="1594851051">
          <w:marLeft w:val="0"/>
          <w:marRight w:val="0"/>
          <w:marTop w:val="0"/>
          <w:marBottom w:val="0"/>
          <w:divBdr>
            <w:top w:val="none" w:sz="0" w:space="0" w:color="auto"/>
            <w:left w:val="none" w:sz="0" w:space="0" w:color="auto"/>
            <w:bottom w:val="none" w:sz="0" w:space="0" w:color="auto"/>
            <w:right w:val="none" w:sz="0" w:space="0" w:color="auto"/>
          </w:divBdr>
        </w:div>
        <w:div w:id="1598366350">
          <w:marLeft w:val="0"/>
          <w:marRight w:val="0"/>
          <w:marTop w:val="0"/>
          <w:marBottom w:val="0"/>
          <w:divBdr>
            <w:top w:val="none" w:sz="0" w:space="0" w:color="auto"/>
            <w:left w:val="none" w:sz="0" w:space="0" w:color="auto"/>
            <w:bottom w:val="none" w:sz="0" w:space="0" w:color="auto"/>
            <w:right w:val="none" w:sz="0" w:space="0" w:color="auto"/>
          </w:divBdr>
        </w:div>
        <w:div w:id="1601913936">
          <w:marLeft w:val="0"/>
          <w:marRight w:val="0"/>
          <w:marTop w:val="0"/>
          <w:marBottom w:val="0"/>
          <w:divBdr>
            <w:top w:val="none" w:sz="0" w:space="0" w:color="auto"/>
            <w:left w:val="none" w:sz="0" w:space="0" w:color="auto"/>
            <w:bottom w:val="none" w:sz="0" w:space="0" w:color="auto"/>
            <w:right w:val="none" w:sz="0" w:space="0" w:color="auto"/>
          </w:divBdr>
        </w:div>
        <w:div w:id="1608125414">
          <w:marLeft w:val="0"/>
          <w:marRight w:val="0"/>
          <w:marTop w:val="0"/>
          <w:marBottom w:val="0"/>
          <w:divBdr>
            <w:top w:val="none" w:sz="0" w:space="0" w:color="auto"/>
            <w:left w:val="none" w:sz="0" w:space="0" w:color="auto"/>
            <w:bottom w:val="none" w:sz="0" w:space="0" w:color="auto"/>
            <w:right w:val="none" w:sz="0" w:space="0" w:color="auto"/>
          </w:divBdr>
        </w:div>
        <w:div w:id="1608538091">
          <w:marLeft w:val="0"/>
          <w:marRight w:val="0"/>
          <w:marTop w:val="0"/>
          <w:marBottom w:val="0"/>
          <w:divBdr>
            <w:top w:val="none" w:sz="0" w:space="0" w:color="auto"/>
            <w:left w:val="none" w:sz="0" w:space="0" w:color="auto"/>
            <w:bottom w:val="none" w:sz="0" w:space="0" w:color="auto"/>
            <w:right w:val="none" w:sz="0" w:space="0" w:color="auto"/>
          </w:divBdr>
        </w:div>
        <w:div w:id="1609965211">
          <w:marLeft w:val="0"/>
          <w:marRight w:val="0"/>
          <w:marTop w:val="0"/>
          <w:marBottom w:val="0"/>
          <w:divBdr>
            <w:top w:val="none" w:sz="0" w:space="0" w:color="auto"/>
            <w:left w:val="none" w:sz="0" w:space="0" w:color="auto"/>
            <w:bottom w:val="none" w:sz="0" w:space="0" w:color="auto"/>
            <w:right w:val="none" w:sz="0" w:space="0" w:color="auto"/>
          </w:divBdr>
        </w:div>
        <w:div w:id="1612317808">
          <w:marLeft w:val="0"/>
          <w:marRight w:val="0"/>
          <w:marTop w:val="0"/>
          <w:marBottom w:val="0"/>
          <w:divBdr>
            <w:top w:val="none" w:sz="0" w:space="0" w:color="auto"/>
            <w:left w:val="none" w:sz="0" w:space="0" w:color="auto"/>
            <w:bottom w:val="none" w:sz="0" w:space="0" w:color="auto"/>
            <w:right w:val="none" w:sz="0" w:space="0" w:color="auto"/>
          </w:divBdr>
        </w:div>
        <w:div w:id="1617640776">
          <w:marLeft w:val="0"/>
          <w:marRight w:val="0"/>
          <w:marTop w:val="0"/>
          <w:marBottom w:val="0"/>
          <w:divBdr>
            <w:top w:val="none" w:sz="0" w:space="0" w:color="auto"/>
            <w:left w:val="none" w:sz="0" w:space="0" w:color="auto"/>
            <w:bottom w:val="none" w:sz="0" w:space="0" w:color="auto"/>
            <w:right w:val="none" w:sz="0" w:space="0" w:color="auto"/>
          </w:divBdr>
        </w:div>
        <w:div w:id="1620836738">
          <w:marLeft w:val="0"/>
          <w:marRight w:val="0"/>
          <w:marTop w:val="0"/>
          <w:marBottom w:val="0"/>
          <w:divBdr>
            <w:top w:val="none" w:sz="0" w:space="0" w:color="auto"/>
            <w:left w:val="none" w:sz="0" w:space="0" w:color="auto"/>
            <w:bottom w:val="none" w:sz="0" w:space="0" w:color="auto"/>
            <w:right w:val="none" w:sz="0" w:space="0" w:color="auto"/>
          </w:divBdr>
        </w:div>
        <w:div w:id="1623419265">
          <w:marLeft w:val="0"/>
          <w:marRight w:val="0"/>
          <w:marTop w:val="0"/>
          <w:marBottom w:val="0"/>
          <w:divBdr>
            <w:top w:val="none" w:sz="0" w:space="0" w:color="auto"/>
            <w:left w:val="none" w:sz="0" w:space="0" w:color="auto"/>
            <w:bottom w:val="none" w:sz="0" w:space="0" w:color="auto"/>
            <w:right w:val="none" w:sz="0" w:space="0" w:color="auto"/>
          </w:divBdr>
        </w:div>
        <w:div w:id="1624338310">
          <w:marLeft w:val="0"/>
          <w:marRight w:val="0"/>
          <w:marTop w:val="0"/>
          <w:marBottom w:val="0"/>
          <w:divBdr>
            <w:top w:val="none" w:sz="0" w:space="0" w:color="auto"/>
            <w:left w:val="none" w:sz="0" w:space="0" w:color="auto"/>
            <w:bottom w:val="none" w:sz="0" w:space="0" w:color="auto"/>
            <w:right w:val="none" w:sz="0" w:space="0" w:color="auto"/>
          </w:divBdr>
        </w:div>
        <w:div w:id="1624458787">
          <w:marLeft w:val="0"/>
          <w:marRight w:val="0"/>
          <w:marTop w:val="0"/>
          <w:marBottom w:val="0"/>
          <w:divBdr>
            <w:top w:val="none" w:sz="0" w:space="0" w:color="auto"/>
            <w:left w:val="none" w:sz="0" w:space="0" w:color="auto"/>
            <w:bottom w:val="none" w:sz="0" w:space="0" w:color="auto"/>
            <w:right w:val="none" w:sz="0" w:space="0" w:color="auto"/>
          </w:divBdr>
        </w:div>
        <w:div w:id="1630622373">
          <w:marLeft w:val="0"/>
          <w:marRight w:val="0"/>
          <w:marTop w:val="0"/>
          <w:marBottom w:val="0"/>
          <w:divBdr>
            <w:top w:val="none" w:sz="0" w:space="0" w:color="auto"/>
            <w:left w:val="none" w:sz="0" w:space="0" w:color="auto"/>
            <w:bottom w:val="none" w:sz="0" w:space="0" w:color="auto"/>
            <w:right w:val="none" w:sz="0" w:space="0" w:color="auto"/>
          </w:divBdr>
        </w:div>
        <w:div w:id="1633096006">
          <w:marLeft w:val="0"/>
          <w:marRight w:val="0"/>
          <w:marTop w:val="0"/>
          <w:marBottom w:val="0"/>
          <w:divBdr>
            <w:top w:val="none" w:sz="0" w:space="0" w:color="auto"/>
            <w:left w:val="none" w:sz="0" w:space="0" w:color="auto"/>
            <w:bottom w:val="none" w:sz="0" w:space="0" w:color="auto"/>
            <w:right w:val="none" w:sz="0" w:space="0" w:color="auto"/>
          </w:divBdr>
        </w:div>
        <w:div w:id="1635871937">
          <w:marLeft w:val="0"/>
          <w:marRight w:val="0"/>
          <w:marTop w:val="0"/>
          <w:marBottom w:val="0"/>
          <w:divBdr>
            <w:top w:val="none" w:sz="0" w:space="0" w:color="auto"/>
            <w:left w:val="none" w:sz="0" w:space="0" w:color="auto"/>
            <w:bottom w:val="none" w:sz="0" w:space="0" w:color="auto"/>
            <w:right w:val="none" w:sz="0" w:space="0" w:color="auto"/>
          </w:divBdr>
        </w:div>
        <w:div w:id="1636569041">
          <w:marLeft w:val="0"/>
          <w:marRight w:val="0"/>
          <w:marTop w:val="0"/>
          <w:marBottom w:val="0"/>
          <w:divBdr>
            <w:top w:val="none" w:sz="0" w:space="0" w:color="auto"/>
            <w:left w:val="none" w:sz="0" w:space="0" w:color="auto"/>
            <w:bottom w:val="none" w:sz="0" w:space="0" w:color="auto"/>
            <w:right w:val="none" w:sz="0" w:space="0" w:color="auto"/>
          </w:divBdr>
        </w:div>
        <w:div w:id="1637838077">
          <w:marLeft w:val="0"/>
          <w:marRight w:val="0"/>
          <w:marTop w:val="0"/>
          <w:marBottom w:val="0"/>
          <w:divBdr>
            <w:top w:val="none" w:sz="0" w:space="0" w:color="auto"/>
            <w:left w:val="none" w:sz="0" w:space="0" w:color="auto"/>
            <w:bottom w:val="none" w:sz="0" w:space="0" w:color="auto"/>
            <w:right w:val="none" w:sz="0" w:space="0" w:color="auto"/>
          </w:divBdr>
        </w:div>
        <w:div w:id="1645427641">
          <w:marLeft w:val="0"/>
          <w:marRight w:val="0"/>
          <w:marTop w:val="0"/>
          <w:marBottom w:val="0"/>
          <w:divBdr>
            <w:top w:val="none" w:sz="0" w:space="0" w:color="auto"/>
            <w:left w:val="none" w:sz="0" w:space="0" w:color="auto"/>
            <w:bottom w:val="none" w:sz="0" w:space="0" w:color="auto"/>
            <w:right w:val="none" w:sz="0" w:space="0" w:color="auto"/>
          </w:divBdr>
        </w:div>
        <w:div w:id="1650673551">
          <w:marLeft w:val="0"/>
          <w:marRight w:val="0"/>
          <w:marTop w:val="0"/>
          <w:marBottom w:val="0"/>
          <w:divBdr>
            <w:top w:val="none" w:sz="0" w:space="0" w:color="auto"/>
            <w:left w:val="none" w:sz="0" w:space="0" w:color="auto"/>
            <w:bottom w:val="none" w:sz="0" w:space="0" w:color="auto"/>
            <w:right w:val="none" w:sz="0" w:space="0" w:color="auto"/>
          </w:divBdr>
        </w:div>
        <w:div w:id="1652708597">
          <w:marLeft w:val="0"/>
          <w:marRight w:val="0"/>
          <w:marTop w:val="0"/>
          <w:marBottom w:val="0"/>
          <w:divBdr>
            <w:top w:val="none" w:sz="0" w:space="0" w:color="auto"/>
            <w:left w:val="none" w:sz="0" w:space="0" w:color="auto"/>
            <w:bottom w:val="none" w:sz="0" w:space="0" w:color="auto"/>
            <w:right w:val="none" w:sz="0" w:space="0" w:color="auto"/>
          </w:divBdr>
        </w:div>
        <w:div w:id="1655062427">
          <w:marLeft w:val="0"/>
          <w:marRight w:val="0"/>
          <w:marTop w:val="0"/>
          <w:marBottom w:val="0"/>
          <w:divBdr>
            <w:top w:val="none" w:sz="0" w:space="0" w:color="auto"/>
            <w:left w:val="none" w:sz="0" w:space="0" w:color="auto"/>
            <w:bottom w:val="none" w:sz="0" w:space="0" w:color="auto"/>
            <w:right w:val="none" w:sz="0" w:space="0" w:color="auto"/>
          </w:divBdr>
        </w:div>
        <w:div w:id="1660421615">
          <w:marLeft w:val="0"/>
          <w:marRight w:val="0"/>
          <w:marTop w:val="0"/>
          <w:marBottom w:val="0"/>
          <w:divBdr>
            <w:top w:val="none" w:sz="0" w:space="0" w:color="auto"/>
            <w:left w:val="none" w:sz="0" w:space="0" w:color="auto"/>
            <w:bottom w:val="none" w:sz="0" w:space="0" w:color="auto"/>
            <w:right w:val="none" w:sz="0" w:space="0" w:color="auto"/>
          </w:divBdr>
        </w:div>
        <w:div w:id="1662001539">
          <w:marLeft w:val="0"/>
          <w:marRight w:val="0"/>
          <w:marTop w:val="0"/>
          <w:marBottom w:val="0"/>
          <w:divBdr>
            <w:top w:val="none" w:sz="0" w:space="0" w:color="auto"/>
            <w:left w:val="none" w:sz="0" w:space="0" w:color="auto"/>
            <w:bottom w:val="none" w:sz="0" w:space="0" w:color="auto"/>
            <w:right w:val="none" w:sz="0" w:space="0" w:color="auto"/>
          </w:divBdr>
        </w:div>
        <w:div w:id="1668090866">
          <w:marLeft w:val="0"/>
          <w:marRight w:val="0"/>
          <w:marTop w:val="0"/>
          <w:marBottom w:val="0"/>
          <w:divBdr>
            <w:top w:val="none" w:sz="0" w:space="0" w:color="auto"/>
            <w:left w:val="none" w:sz="0" w:space="0" w:color="auto"/>
            <w:bottom w:val="none" w:sz="0" w:space="0" w:color="auto"/>
            <w:right w:val="none" w:sz="0" w:space="0" w:color="auto"/>
          </w:divBdr>
        </w:div>
        <w:div w:id="1683554611">
          <w:marLeft w:val="0"/>
          <w:marRight w:val="0"/>
          <w:marTop w:val="0"/>
          <w:marBottom w:val="0"/>
          <w:divBdr>
            <w:top w:val="none" w:sz="0" w:space="0" w:color="auto"/>
            <w:left w:val="none" w:sz="0" w:space="0" w:color="auto"/>
            <w:bottom w:val="none" w:sz="0" w:space="0" w:color="auto"/>
            <w:right w:val="none" w:sz="0" w:space="0" w:color="auto"/>
          </w:divBdr>
        </w:div>
        <w:div w:id="1683899254">
          <w:marLeft w:val="0"/>
          <w:marRight w:val="0"/>
          <w:marTop w:val="0"/>
          <w:marBottom w:val="0"/>
          <w:divBdr>
            <w:top w:val="none" w:sz="0" w:space="0" w:color="auto"/>
            <w:left w:val="none" w:sz="0" w:space="0" w:color="auto"/>
            <w:bottom w:val="none" w:sz="0" w:space="0" w:color="auto"/>
            <w:right w:val="none" w:sz="0" w:space="0" w:color="auto"/>
          </w:divBdr>
        </w:div>
        <w:div w:id="1706323374">
          <w:marLeft w:val="0"/>
          <w:marRight w:val="0"/>
          <w:marTop w:val="0"/>
          <w:marBottom w:val="0"/>
          <w:divBdr>
            <w:top w:val="none" w:sz="0" w:space="0" w:color="auto"/>
            <w:left w:val="none" w:sz="0" w:space="0" w:color="auto"/>
            <w:bottom w:val="none" w:sz="0" w:space="0" w:color="auto"/>
            <w:right w:val="none" w:sz="0" w:space="0" w:color="auto"/>
          </w:divBdr>
        </w:div>
        <w:div w:id="1711371304">
          <w:marLeft w:val="0"/>
          <w:marRight w:val="0"/>
          <w:marTop w:val="0"/>
          <w:marBottom w:val="0"/>
          <w:divBdr>
            <w:top w:val="none" w:sz="0" w:space="0" w:color="auto"/>
            <w:left w:val="none" w:sz="0" w:space="0" w:color="auto"/>
            <w:bottom w:val="none" w:sz="0" w:space="0" w:color="auto"/>
            <w:right w:val="none" w:sz="0" w:space="0" w:color="auto"/>
          </w:divBdr>
        </w:div>
        <w:div w:id="1716007085">
          <w:marLeft w:val="0"/>
          <w:marRight w:val="0"/>
          <w:marTop w:val="0"/>
          <w:marBottom w:val="0"/>
          <w:divBdr>
            <w:top w:val="none" w:sz="0" w:space="0" w:color="auto"/>
            <w:left w:val="none" w:sz="0" w:space="0" w:color="auto"/>
            <w:bottom w:val="none" w:sz="0" w:space="0" w:color="auto"/>
            <w:right w:val="none" w:sz="0" w:space="0" w:color="auto"/>
          </w:divBdr>
        </w:div>
        <w:div w:id="1716656752">
          <w:marLeft w:val="0"/>
          <w:marRight w:val="0"/>
          <w:marTop w:val="0"/>
          <w:marBottom w:val="0"/>
          <w:divBdr>
            <w:top w:val="none" w:sz="0" w:space="0" w:color="auto"/>
            <w:left w:val="none" w:sz="0" w:space="0" w:color="auto"/>
            <w:bottom w:val="none" w:sz="0" w:space="0" w:color="auto"/>
            <w:right w:val="none" w:sz="0" w:space="0" w:color="auto"/>
          </w:divBdr>
        </w:div>
        <w:div w:id="1726486500">
          <w:marLeft w:val="0"/>
          <w:marRight w:val="0"/>
          <w:marTop w:val="0"/>
          <w:marBottom w:val="0"/>
          <w:divBdr>
            <w:top w:val="none" w:sz="0" w:space="0" w:color="auto"/>
            <w:left w:val="none" w:sz="0" w:space="0" w:color="auto"/>
            <w:bottom w:val="none" w:sz="0" w:space="0" w:color="auto"/>
            <w:right w:val="none" w:sz="0" w:space="0" w:color="auto"/>
          </w:divBdr>
        </w:div>
        <w:div w:id="1728987202">
          <w:marLeft w:val="0"/>
          <w:marRight w:val="0"/>
          <w:marTop w:val="0"/>
          <w:marBottom w:val="0"/>
          <w:divBdr>
            <w:top w:val="none" w:sz="0" w:space="0" w:color="auto"/>
            <w:left w:val="none" w:sz="0" w:space="0" w:color="auto"/>
            <w:bottom w:val="none" w:sz="0" w:space="0" w:color="auto"/>
            <w:right w:val="none" w:sz="0" w:space="0" w:color="auto"/>
          </w:divBdr>
        </w:div>
        <w:div w:id="1730761703">
          <w:marLeft w:val="0"/>
          <w:marRight w:val="0"/>
          <w:marTop w:val="0"/>
          <w:marBottom w:val="0"/>
          <w:divBdr>
            <w:top w:val="none" w:sz="0" w:space="0" w:color="auto"/>
            <w:left w:val="none" w:sz="0" w:space="0" w:color="auto"/>
            <w:bottom w:val="none" w:sz="0" w:space="0" w:color="auto"/>
            <w:right w:val="none" w:sz="0" w:space="0" w:color="auto"/>
          </w:divBdr>
        </w:div>
        <w:div w:id="1730884336">
          <w:marLeft w:val="0"/>
          <w:marRight w:val="0"/>
          <w:marTop w:val="0"/>
          <w:marBottom w:val="0"/>
          <w:divBdr>
            <w:top w:val="none" w:sz="0" w:space="0" w:color="auto"/>
            <w:left w:val="none" w:sz="0" w:space="0" w:color="auto"/>
            <w:bottom w:val="none" w:sz="0" w:space="0" w:color="auto"/>
            <w:right w:val="none" w:sz="0" w:space="0" w:color="auto"/>
          </w:divBdr>
        </w:div>
        <w:div w:id="1732314365">
          <w:marLeft w:val="0"/>
          <w:marRight w:val="0"/>
          <w:marTop w:val="0"/>
          <w:marBottom w:val="0"/>
          <w:divBdr>
            <w:top w:val="none" w:sz="0" w:space="0" w:color="auto"/>
            <w:left w:val="none" w:sz="0" w:space="0" w:color="auto"/>
            <w:bottom w:val="none" w:sz="0" w:space="0" w:color="auto"/>
            <w:right w:val="none" w:sz="0" w:space="0" w:color="auto"/>
          </w:divBdr>
        </w:div>
        <w:div w:id="1741247254">
          <w:marLeft w:val="0"/>
          <w:marRight w:val="0"/>
          <w:marTop w:val="0"/>
          <w:marBottom w:val="0"/>
          <w:divBdr>
            <w:top w:val="none" w:sz="0" w:space="0" w:color="auto"/>
            <w:left w:val="none" w:sz="0" w:space="0" w:color="auto"/>
            <w:bottom w:val="none" w:sz="0" w:space="0" w:color="auto"/>
            <w:right w:val="none" w:sz="0" w:space="0" w:color="auto"/>
          </w:divBdr>
        </w:div>
        <w:div w:id="1746686649">
          <w:marLeft w:val="0"/>
          <w:marRight w:val="0"/>
          <w:marTop w:val="0"/>
          <w:marBottom w:val="0"/>
          <w:divBdr>
            <w:top w:val="none" w:sz="0" w:space="0" w:color="auto"/>
            <w:left w:val="none" w:sz="0" w:space="0" w:color="auto"/>
            <w:bottom w:val="none" w:sz="0" w:space="0" w:color="auto"/>
            <w:right w:val="none" w:sz="0" w:space="0" w:color="auto"/>
          </w:divBdr>
        </w:div>
        <w:div w:id="1747074227">
          <w:marLeft w:val="0"/>
          <w:marRight w:val="0"/>
          <w:marTop w:val="0"/>
          <w:marBottom w:val="0"/>
          <w:divBdr>
            <w:top w:val="none" w:sz="0" w:space="0" w:color="auto"/>
            <w:left w:val="none" w:sz="0" w:space="0" w:color="auto"/>
            <w:bottom w:val="none" w:sz="0" w:space="0" w:color="auto"/>
            <w:right w:val="none" w:sz="0" w:space="0" w:color="auto"/>
          </w:divBdr>
        </w:div>
        <w:div w:id="1748963883">
          <w:marLeft w:val="0"/>
          <w:marRight w:val="0"/>
          <w:marTop w:val="0"/>
          <w:marBottom w:val="0"/>
          <w:divBdr>
            <w:top w:val="none" w:sz="0" w:space="0" w:color="auto"/>
            <w:left w:val="none" w:sz="0" w:space="0" w:color="auto"/>
            <w:bottom w:val="none" w:sz="0" w:space="0" w:color="auto"/>
            <w:right w:val="none" w:sz="0" w:space="0" w:color="auto"/>
          </w:divBdr>
        </w:div>
        <w:div w:id="1751924538">
          <w:marLeft w:val="0"/>
          <w:marRight w:val="0"/>
          <w:marTop w:val="0"/>
          <w:marBottom w:val="0"/>
          <w:divBdr>
            <w:top w:val="none" w:sz="0" w:space="0" w:color="auto"/>
            <w:left w:val="none" w:sz="0" w:space="0" w:color="auto"/>
            <w:bottom w:val="none" w:sz="0" w:space="0" w:color="auto"/>
            <w:right w:val="none" w:sz="0" w:space="0" w:color="auto"/>
          </w:divBdr>
        </w:div>
        <w:div w:id="1758554577">
          <w:marLeft w:val="0"/>
          <w:marRight w:val="0"/>
          <w:marTop w:val="0"/>
          <w:marBottom w:val="0"/>
          <w:divBdr>
            <w:top w:val="none" w:sz="0" w:space="0" w:color="auto"/>
            <w:left w:val="none" w:sz="0" w:space="0" w:color="auto"/>
            <w:bottom w:val="none" w:sz="0" w:space="0" w:color="auto"/>
            <w:right w:val="none" w:sz="0" w:space="0" w:color="auto"/>
          </w:divBdr>
        </w:div>
        <w:div w:id="1758940268">
          <w:marLeft w:val="0"/>
          <w:marRight w:val="0"/>
          <w:marTop w:val="0"/>
          <w:marBottom w:val="0"/>
          <w:divBdr>
            <w:top w:val="none" w:sz="0" w:space="0" w:color="auto"/>
            <w:left w:val="none" w:sz="0" w:space="0" w:color="auto"/>
            <w:bottom w:val="none" w:sz="0" w:space="0" w:color="auto"/>
            <w:right w:val="none" w:sz="0" w:space="0" w:color="auto"/>
          </w:divBdr>
        </w:div>
        <w:div w:id="1760364832">
          <w:marLeft w:val="0"/>
          <w:marRight w:val="0"/>
          <w:marTop w:val="0"/>
          <w:marBottom w:val="0"/>
          <w:divBdr>
            <w:top w:val="none" w:sz="0" w:space="0" w:color="auto"/>
            <w:left w:val="none" w:sz="0" w:space="0" w:color="auto"/>
            <w:bottom w:val="none" w:sz="0" w:space="0" w:color="auto"/>
            <w:right w:val="none" w:sz="0" w:space="0" w:color="auto"/>
          </w:divBdr>
        </w:div>
        <w:div w:id="1762291109">
          <w:marLeft w:val="0"/>
          <w:marRight w:val="0"/>
          <w:marTop w:val="0"/>
          <w:marBottom w:val="0"/>
          <w:divBdr>
            <w:top w:val="none" w:sz="0" w:space="0" w:color="auto"/>
            <w:left w:val="none" w:sz="0" w:space="0" w:color="auto"/>
            <w:bottom w:val="none" w:sz="0" w:space="0" w:color="auto"/>
            <w:right w:val="none" w:sz="0" w:space="0" w:color="auto"/>
          </w:divBdr>
        </w:div>
        <w:div w:id="1769110457">
          <w:marLeft w:val="0"/>
          <w:marRight w:val="0"/>
          <w:marTop w:val="0"/>
          <w:marBottom w:val="0"/>
          <w:divBdr>
            <w:top w:val="none" w:sz="0" w:space="0" w:color="auto"/>
            <w:left w:val="none" w:sz="0" w:space="0" w:color="auto"/>
            <w:bottom w:val="none" w:sz="0" w:space="0" w:color="auto"/>
            <w:right w:val="none" w:sz="0" w:space="0" w:color="auto"/>
          </w:divBdr>
        </w:div>
        <w:div w:id="1769690233">
          <w:marLeft w:val="0"/>
          <w:marRight w:val="0"/>
          <w:marTop w:val="0"/>
          <w:marBottom w:val="0"/>
          <w:divBdr>
            <w:top w:val="none" w:sz="0" w:space="0" w:color="auto"/>
            <w:left w:val="none" w:sz="0" w:space="0" w:color="auto"/>
            <w:bottom w:val="none" w:sz="0" w:space="0" w:color="auto"/>
            <w:right w:val="none" w:sz="0" w:space="0" w:color="auto"/>
          </w:divBdr>
        </w:div>
        <w:div w:id="1787381069">
          <w:marLeft w:val="0"/>
          <w:marRight w:val="0"/>
          <w:marTop w:val="0"/>
          <w:marBottom w:val="0"/>
          <w:divBdr>
            <w:top w:val="none" w:sz="0" w:space="0" w:color="auto"/>
            <w:left w:val="none" w:sz="0" w:space="0" w:color="auto"/>
            <w:bottom w:val="none" w:sz="0" w:space="0" w:color="auto"/>
            <w:right w:val="none" w:sz="0" w:space="0" w:color="auto"/>
          </w:divBdr>
        </w:div>
        <w:div w:id="1796481822">
          <w:marLeft w:val="0"/>
          <w:marRight w:val="0"/>
          <w:marTop w:val="0"/>
          <w:marBottom w:val="0"/>
          <w:divBdr>
            <w:top w:val="none" w:sz="0" w:space="0" w:color="auto"/>
            <w:left w:val="none" w:sz="0" w:space="0" w:color="auto"/>
            <w:bottom w:val="none" w:sz="0" w:space="0" w:color="auto"/>
            <w:right w:val="none" w:sz="0" w:space="0" w:color="auto"/>
          </w:divBdr>
        </w:div>
        <w:div w:id="1797944100">
          <w:marLeft w:val="0"/>
          <w:marRight w:val="0"/>
          <w:marTop w:val="0"/>
          <w:marBottom w:val="0"/>
          <w:divBdr>
            <w:top w:val="none" w:sz="0" w:space="0" w:color="auto"/>
            <w:left w:val="none" w:sz="0" w:space="0" w:color="auto"/>
            <w:bottom w:val="none" w:sz="0" w:space="0" w:color="auto"/>
            <w:right w:val="none" w:sz="0" w:space="0" w:color="auto"/>
          </w:divBdr>
        </w:div>
        <w:div w:id="1804424977">
          <w:marLeft w:val="0"/>
          <w:marRight w:val="0"/>
          <w:marTop w:val="0"/>
          <w:marBottom w:val="0"/>
          <w:divBdr>
            <w:top w:val="none" w:sz="0" w:space="0" w:color="auto"/>
            <w:left w:val="none" w:sz="0" w:space="0" w:color="auto"/>
            <w:bottom w:val="none" w:sz="0" w:space="0" w:color="auto"/>
            <w:right w:val="none" w:sz="0" w:space="0" w:color="auto"/>
          </w:divBdr>
        </w:div>
        <w:div w:id="1818647511">
          <w:marLeft w:val="0"/>
          <w:marRight w:val="0"/>
          <w:marTop w:val="0"/>
          <w:marBottom w:val="0"/>
          <w:divBdr>
            <w:top w:val="none" w:sz="0" w:space="0" w:color="auto"/>
            <w:left w:val="none" w:sz="0" w:space="0" w:color="auto"/>
            <w:bottom w:val="none" w:sz="0" w:space="0" w:color="auto"/>
            <w:right w:val="none" w:sz="0" w:space="0" w:color="auto"/>
          </w:divBdr>
        </w:div>
        <w:div w:id="1822194041">
          <w:marLeft w:val="0"/>
          <w:marRight w:val="0"/>
          <w:marTop w:val="0"/>
          <w:marBottom w:val="0"/>
          <w:divBdr>
            <w:top w:val="none" w:sz="0" w:space="0" w:color="auto"/>
            <w:left w:val="none" w:sz="0" w:space="0" w:color="auto"/>
            <w:bottom w:val="none" w:sz="0" w:space="0" w:color="auto"/>
            <w:right w:val="none" w:sz="0" w:space="0" w:color="auto"/>
          </w:divBdr>
        </w:div>
        <w:div w:id="1822383399">
          <w:marLeft w:val="0"/>
          <w:marRight w:val="0"/>
          <w:marTop w:val="0"/>
          <w:marBottom w:val="0"/>
          <w:divBdr>
            <w:top w:val="none" w:sz="0" w:space="0" w:color="auto"/>
            <w:left w:val="none" w:sz="0" w:space="0" w:color="auto"/>
            <w:bottom w:val="none" w:sz="0" w:space="0" w:color="auto"/>
            <w:right w:val="none" w:sz="0" w:space="0" w:color="auto"/>
          </w:divBdr>
        </w:div>
        <w:div w:id="1824737683">
          <w:marLeft w:val="0"/>
          <w:marRight w:val="0"/>
          <w:marTop w:val="0"/>
          <w:marBottom w:val="0"/>
          <w:divBdr>
            <w:top w:val="none" w:sz="0" w:space="0" w:color="auto"/>
            <w:left w:val="none" w:sz="0" w:space="0" w:color="auto"/>
            <w:bottom w:val="none" w:sz="0" w:space="0" w:color="auto"/>
            <w:right w:val="none" w:sz="0" w:space="0" w:color="auto"/>
          </w:divBdr>
        </w:div>
        <w:div w:id="1830632801">
          <w:marLeft w:val="0"/>
          <w:marRight w:val="0"/>
          <w:marTop w:val="0"/>
          <w:marBottom w:val="0"/>
          <w:divBdr>
            <w:top w:val="none" w:sz="0" w:space="0" w:color="auto"/>
            <w:left w:val="none" w:sz="0" w:space="0" w:color="auto"/>
            <w:bottom w:val="none" w:sz="0" w:space="0" w:color="auto"/>
            <w:right w:val="none" w:sz="0" w:space="0" w:color="auto"/>
          </w:divBdr>
        </w:div>
        <w:div w:id="1833794239">
          <w:marLeft w:val="0"/>
          <w:marRight w:val="0"/>
          <w:marTop w:val="0"/>
          <w:marBottom w:val="0"/>
          <w:divBdr>
            <w:top w:val="none" w:sz="0" w:space="0" w:color="auto"/>
            <w:left w:val="none" w:sz="0" w:space="0" w:color="auto"/>
            <w:bottom w:val="none" w:sz="0" w:space="0" w:color="auto"/>
            <w:right w:val="none" w:sz="0" w:space="0" w:color="auto"/>
          </w:divBdr>
        </w:div>
        <w:div w:id="1837765868">
          <w:marLeft w:val="0"/>
          <w:marRight w:val="0"/>
          <w:marTop w:val="0"/>
          <w:marBottom w:val="0"/>
          <w:divBdr>
            <w:top w:val="none" w:sz="0" w:space="0" w:color="auto"/>
            <w:left w:val="none" w:sz="0" w:space="0" w:color="auto"/>
            <w:bottom w:val="none" w:sz="0" w:space="0" w:color="auto"/>
            <w:right w:val="none" w:sz="0" w:space="0" w:color="auto"/>
          </w:divBdr>
        </w:div>
        <w:div w:id="1839155001">
          <w:marLeft w:val="0"/>
          <w:marRight w:val="0"/>
          <w:marTop w:val="0"/>
          <w:marBottom w:val="0"/>
          <w:divBdr>
            <w:top w:val="none" w:sz="0" w:space="0" w:color="auto"/>
            <w:left w:val="none" w:sz="0" w:space="0" w:color="auto"/>
            <w:bottom w:val="none" w:sz="0" w:space="0" w:color="auto"/>
            <w:right w:val="none" w:sz="0" w:space="0" w:color="auto"/>
          </w:divBdr>
        </w:div>
        <w:div w:id="1848327690">
          <w:marLeft w:val="0"/>
          <w:marRight w:val="0"/>
          <w:marTop w:val="0"/>
          <w:marBottom w:val="0"/>
          <w:divBdr>
            <w:top w:val="none" w:sz="0" w:space="0" w:color="auto"/>
            <w:left w:val="none" w:sz="0" w:space="0" w:color="auto"/>
            <w:bottom w:val="none" w:sz="0" w:space="0" w:color="auto"/>
            <w:right w:val="none" w:sz="0" w:space="0" w:color="auto"/>
          </w:divBdr>
        </w:div>
        <w:div w:id="1852572515">
          <w:marLeft w:val="0"/>
          <w:marRight w:val="0"/>
          <w:marTop w:val="0"/>
          <w:marBottom w:val="0"/>
          <w:divBdr>
            <w:top w:val="none" w:sz="0" w:space="0" w:color="auto"/>
            <w:left w:val="none" w:sz="0" w:space="0" w:color="auto"/>
            <w:bottom w:val="none" w:sz="0" w:space="0" w:color="auto"/>
            <w:right w:val="none" w:sz="0" w:space="0" w:color="auto"/>
          </w:divBdr>
        </w:div>
        <w:div w:id="1856796889">
          <w:marLeft w:val="0"/>
          <w:marRight w:val="0"/>
          <w:marTop w:val="0"/>
          <w:marBottom w:val="0"/>
          <w:divBdr>
            <w:top w:val="none" w:sz="0" w:space="0" w:color="auto"/>
            <w:left w:val="none" w:sz="0" w:space="0" w:color="auto"/>
            <w:bottom w:val="none" w:sz="0" w:space="0" w:color="auto"/>
            <w:right w:val="none" w:sz="0" w:space="0" w:color="auto"/>
          </w:divBdr>
        </w:div>
        <w:div w:id="1858618268">
          <w:marLeft w:val="0"/>
          <w:marRight w:val="0"/>
          <w:marTop w:val="0"/>
          <w:marBottom w:val="0"/>
          <w:divBdr>
            <w:top w:val="none" w:sz="0" w:space="0" w:color="auto"/>
            <w:left w:val="none" w:sz="0" w:space="0" w:color="auto"/>
            <w:bottom w:val="none" w:sz="0" w:space="0" w:color="auto"/>
            <w:right w:val="none" w:sz="0" w:space="0" w:color="auto"/>
          </w:divBdr>
        </w:div>
        <w:div w:id="1864856016">
          <w:marLeft w:val="0"/>
          <w:marRight w:val="0"/>
          <w:marTop w:val="0"/>
          <w:marBottom w:val="0"/>
          <w:divBdr>
            <w:top w:val="none" w:sz="0" w:space="0" w:color="auto"/>
            <w:left w:val="none" w:sz="0" w:space="0" w:color="auto"/>
            <w:bottom w:val="none" w:sz="0" w:space="0" w:color="auto"/>
            <w:right w:val="none" w:sz="0" w:space="0" w:color="auto"/>
          </w:divBdr>
        </w:div>
        <w:div w:id="1886480134">
          <w:marLeft w:val="0"/>
          <w:marRight w:val="0"/>
          <w:marTop w:val="0"/>
          <w:marBottom w:val="0"/>
          <w:divBdr>
            <w:top w:val="none" w:sz="0" w:space="0" w:color="auto"/>
            <w:left w:val="none" w:sz="0" w:space="0" w:color="auto"/>
            <w:bottom w:val="none" w:sz="0" w:space="0" w:color="auto"/>
            <w:right w:val="none" w:sz="0" w:space="0" w:color="auto"/>
          </w:divBdr>
        </w:div>
        <w:div w:id="1887403023">
          <w:marLeft w:val="0"/>
          <w:marRight w:val="0"/>
          <w:marTop w:val="0"/>
          <w:marBottom w:val="0"/>
          <w:divBdr>
            <w:top w:val="none" w:sz="0" w:space="0" w:color="auto"/>
            <w:left w:val="none" w:sz="0" w:space="0" w:color="auto"/>
            <w:bottom w:val="none" w:sz="0" w:space="0" w:color="auto"/>
            <w:right w:val="none" w:sz="0" w:space="0" w:color="auto"/>
          </w:divBdr>
        </w:div>
        <w:div w:id="1889955454">
          <w:marLeft w:val="0"/>
          <w:marRight w:val="0"/>
          <w:marTop w:val="0"/>
          <w:marBottom w:val="0"/>
          <w:divBdr>
            <w:top w:val="none" w:sz="0" w:space="0" w:color="auto"/>
            <w:left w:val="none" w:sz="0" w:space="0" w:color="auto"/>
            <w:bottom w:val="none" w:sz="0" w:space="0" w:color="auto"/>
            <w:right w:val="none" w:sz="0" w:space="0" w:color="auto"/>
          </w:divBdr>
        </w:div>
        <w:div w:id="1895238568">
          <w:marLeft w:val="0"/>
          <w:marRight w:val="0"/>
          <w:marTop w:val="0"/>
          <w:marBottom w:val="0"/>
          <w:divBdr>
            <w:top w:val="none" w:sz="0" w:space="0" w:color="auto"/>
            <w:left w:val="none" w:sz="0" w:space="0" w:color="auto"/>
            <w:bottom w:val="none" w:sz="0" w:space="0" w:color="auto"/>
            <w:right w:val="none" w:sz="0" w:space="0" w:color="auto"/>
          </w:divBdr>
        </w:div>
        <w:div w:id="1897010578">
          <w:marLeft w:val="0"/>
          <w:marRight w:val="0"/>
          <w:marTop w:val="0"/>
          <w:marBottom w:val="0"/>
          <w:divBdr>
            <w:top w:val="none" w:sz="0" w:space="0" w:color="auto"/>
            <w:left w:val="none" w:sz="0" w:space="0" w:color="auto"/>
            <w:bottom w:val="none" w:sz="0" w:space="0" w:color="auto"/>
            <w:right w:val="none" w:sz="0" w:space="0" w:color="auto"/>
          </w:divBdr>
        </w:div>
        <w:div w:id="1913195018">
          <w:marLeft w:val="0"/>
          <w:marRight w:val="0"/>
          <w:marTop w:val="0"/>
          <w:marBottom w:val="0"/>
          <w:divBdr>
            <w:top w:val="none" w:sz="0" w:space="0" w:color="auto"/>
            <w:left w:val="none" w:sz="0" w:space="0" w:color="auto"/>
            <w:bottom w:val="none" w:sz="0" w:space="0" w:color="auto"/>
            <w:right w:val="none" w:sz="0" w:space="0" w:color="auto"/>
          </w:divBdr>
        </w:div>
        <w:div w:id="1916894635">
          <w:marLeft w:val="0"/>
          <w:marRight w:val="0"/>
          <w:marTop w:val="0"/>
          <w:marBottom w:val="0"/>
          <w:divBdr>
            <w:top w:val="none" w:sz="0" w:space="0" w:color="auto"/>
            <w:left w:val="none" w:sz="0" w:space="0" w:color="auto"/>
            <w:bottom w:val="none" w:sz="0" w:space="0" w:color="auto"/>
            <w:right w:val="none" w:sz="0" w:space="0" w:color="auto"/>
          </w:divBdr>
        </w:div>
        <w:div w:id="1924796589">
          <w:marLeft w:val="0"/>
          <w:marRight w:val="0"/>
          <w:marTop w:val="0"/>
          <w:marBottom w:val="0"/>
          <w:divBdr>
            <w:top w:val="none" w:sz="0" w:space="0" w:color="auto"/>
            <w:left w:val="none" w:sz="0" w:space="0" w:color="auto"/>
            <w:bottom w:val="none" w:sz="0" w:space="0" w:color="auto"/>
            <w:right w:val="none" w:sz="0" w:space="0" w:color="auto"/>
          </w:divBdr>
        </w:div>
        <w:div w:id="1935555805">
          <w:marLeft w:val="0"/>
          <w:marRight w:val="0"/>
          <w:marTop w:val="0"/>
          <w:marBottom w:val="0"/>
          <w:divBdr>
            <w:top w:val="none" w:sz="0" w:space="0" w:color="auto"/>
            <w:left w:val="none" w:sz="0" w:space="0" w:color="auto"/>
            <w:bottom w:val="none" w:sz="0" w:space="0" w:color="auto"/>
            <w:right w:val="none" w:sz="0" w:space="0" w:color="auto"/>
          </w:divBdr>
        </w:div>
        <w:div w:id="1936401456">
          <w:marLeft w:val="0"/>
          <w:marRight w:val="0"/>
          <w:marTop w:val="0"/>
          <w:marBottom w:val="0"/>
          <w:divBdr>
            <w:top w:val="none" w:sz="0" w:space="0" w:color="auto"/>
            <w:left w:val="none" w:sz="0" w:space="0" w:color="auto"/>
            <w:bottom w:val="none" w:sz="0" w:space="0" w:color="auto"/>
            <w:right w:val="none" w:sz="0" w:space="0" w:color="auto"/>
          </w:divBdr>
        </w:div>
        <w:div w:id="1940063264">
          <w:marLeft w:val="0"/>
          <w:marRight w:val="0"/>
          <w:marTop w:val="0"/>
          <w:marBottom w:val="0"/>
          <w:divBdr>
            <w:top w:val="none" w:sz="0" w:space="0" w:color="auto"/>
            <w:left w:val="none" w:sz="0" w:space="0" w:color="auto"/>
            <w:bottom w:val="none" w:sz="0" w:space="0" w:color="auto"/>
            <w:right w:val="none" w:sz="0" w:space="0" w:color="auto"/>
          </w:divBdr>
        </w:div>
        <w:div w:id="1945767492">
          <w:marLeft w:val="0"/>
          <w:marRight w:val="0"/>
          <w:marTop w:val="0"/>
          <w:marBottom w:val="0"/>
          <w:divBdr>
            <w:top w:val="none" w:sz="0" w:space="0" w:color="auto"/>
            <w:left w:val="none" w:sz="0" w:space="0" w:color="auto"/>
            <w:bottom w:val="none" w:sz="0" w:space="0" w:color="auto"/>
            <w:right w:val="none" w:sz="0" w:space="0" w:color="auto"/>
          </w:divBdr>
        </w:div>
        <w:div w:id="1949966846">
          <w:marLeft w:val="0"/>
          <w:marRight w:val="0"/>
          <w:marTop w:val="0"/>
          <w:marBottom w:val="0"/>
          <w:divBdr>
            <w:top w:val="none" w:sz="0" w:space="0" w:color="auto"/>
            <w:left w:val="none" w:sz="0" w:space="0" w:color="auto"/>
            <w:bottom w:val="none" w:sz="0" w:space="0" w:color="auto"/>
            <w:right w:val="none" w:sz="0" w:space="0" w:color="auto"/>
          </w:divBdr>
        </w:div>
        <w:div w:id="1952083007">
          <w:marLeft w:val="0"/>
          <w:marRight w:val="0"/>
          <w:marTop w:val="0"/>
          <w:marBottom w:val="0"/>
          <w:divBdr>
            <w:top w:val="none" w:sz="0" w:space="0" w:color="auto"/>
            <w:left w:val="none" w:sz="0" w:space="0" w:color="auto"/>
            <w:bottom w:val="none" w:sz="0" w:space="0" w:color="auto"/>
            <w:right w:val="none" w:sz="0" w:space="0" w:color="auto"/>
          </w:divBdr>
        </w:div>
        <w:div w:id="1958440660">
          <w:marLeft w:val="0"/>
          <w:marRight w:val="0"/>
          <w:marTop w:val="0"/>
          <w:marBottom w:val="0"/>
          <w:divBdr>
            <w:top w:val="none" w:sz="0" w:space="0" w:color="auto"/>
            <w:left w:val="none" w:sz="0" w:space="0" w:color="auto"/>
            <w:bottom w:val="none" w:sz="0" w:space="0" w:color="auto"/>
            <w:right w:val="none" w:sz="0" w:space="0" w:color="auto"/>
          </w:divBdr>
        </w:div>
        <w:div w:id="1965191768">
          <w:marLeft w:val="0"/>
          <w:marRight w:val="0"/>
          <w:marTop w:val="0"/>
          <w:marBottom w:val="0"/>
          <w:divBdr>
            <w:top w:val="none" w:sz="0" w:space="0" w:color="auto"/>
            <w:left w:val="none" w:sz="0" w:space="0" w:color="auto"/>
            <w:bottom w:val="none" w:sz="0" w:space="0" w:color="auto"/>
            <w:right w:val="none" w:sz="0" w:space="0" w:color="auto"/>
          </w:divBdr>
        </w:div>
        <w:div w:id="1966501755">
          <w:marLeft w:val="0"/>
          <w:marRight w:val="0"/>
          <w:marTop w:val="0"/>
          <w:marBottom w:val="0"/>
          <w:divBdr>
            <w:top w:val="none" w:sz="0" w:space="0" w:color="auto"/>
            <w:left w:val="none" w:sz="0" w:space="0" w:color="auto"/>
            <w:bottom w:val="none" w:sz="0" w:space="0" w:color="auto"/>
            <w:right w:val="none" w:sz="0" w:space="0" w:color="auto"/>
          </w:divBdr>
        </w:div>
        <w:div w:id="1981643239">
          <w:marLeft w:val="0"/>
          <w:marRight w:val="0"/>
          <w:marTop w:val="0"/>
          <w:marBottom w:val="0"/>
          <w:divBdr>
            <w:top w:val="none" w:sz="0" w:space="0" w:color="auto"/>
            <w:left w:val="none" w:sz="0" w:space="0" w:color="auto"/>
            <w:bottom w:val="none" w:sz="0" w:space="0" w:color="auto"/>
            <w:right w:val="none" w:sz="0" w:space="0" w:color="auto"/>
          </w:divBdr>
        </w:div>
        <w:div w:id="1995451940">
          <w:marLeft w:val="0"/>
          <w:marRight w:val="0"/>
          <w:marTop w:val="0"/>
          <w:marBottom w:val="0"/>
          <w:divBdr>
            <w:top w:val="none" w:sz="0" w:space="0" w:color="auto"/>
            <w:left w:val="none" w:sz="0" w:space="0" w:color="auto"/>
            <w:bottom w:val="none" w:sz="0" w:space="0" w:color="auto"/>
            <w:right w:val="none" w:sz="0" w:space="0" w:color="auto"/>
          </w:divBdr>
        </w:div>
        <w:div w:id="1995530182">
          <w:marLeft w:val="0"/>
          <w:marRight w:val="0"/>
          <w:marTop w:val="0"/>
          <w:marBottom w:val="0"/>
          <w:divBdr>
            <w:top w:val="none" w:sz="0" w:space="0" w:color="auto"/>
            <w:left w:val="none" w:sz="0" w:space="0" w:color="auto"/>
            <w:bottom w:val="none" w:sz="0" w:space="0" w:color="auto"/>
            <w:right w:val="none" w:sz="0" w:space="0" w:color="auto"/>
          </w:divBdr>
        </w:div>
        <w:div w:id="2006473935">
          <w:marLeft w:val="0"/>
          <w:marRight w:val="0"/>
          <w:marTop w:val="0"/>
          <w:marBottom w:val="0"/>
          <w:divBdr>
            <w:top w:val="none" w:sz="0" w:space="0" w:color="auto"/>
            <w:left w:val="none" w:sz="0" w:space="0" w:color="auto"/>
            <w:bottom w:val="none" w:sz="0" w:space="0" w:color="auto"/>
            <w:right w:val="none" w:sz="0" w:space="0" w:color="auto"/>
          </w:divBdr>
        </w:div>
        <w:div w:id="2010055962">
          <w:marLeft w:val="0"/>
          <w:marRight w:val="0"/>
          <w:marTop w:val="0"/>
          <w:marBottom w:val="0"/>
          <w:divBdr>
            <w:top w:val="none" w:sz="0" w:space="0" w:color="auto"/>
            <w:left w:val="none" w:sz="0" w:space="0" w:color="auto"/>
            <w:bottom w:val="none" w:sz="0" w:space="0" w:color="auto"/>
            <w:right w:val="none" w:sz="0" w:space="0" w:color="auto"/>
          </w:divBdr>
        </w:div>
        <w:div w:id="2012559344">
          <w:marLeft w:val="0"/>
          <w:marRight w:val="0"/>
          <w:marTop w:val="0"/>
          <w:marBottom w:val="0"/>
          <w:divBdr>
            <w:top w:val="none" w:sz="0" w:space="0" w:color="auto"/>
            <w:left w:val="none" w:sz="0" w:space="0" w:color="auto"/>
            <w:bottom w:val="none" w:sz="0" w:space="0" w:color="auto"/>
            <w:right w:val="none" w:sz="0" w:space="0" w:color="auto"/>
          </w:divBdr>
        </w:div>
        <w:div w:id="2014993045">
          <w:marLeft w:val="0"/>
          <w:marRight w:val="0"/>
          <w:marTop w:val="0"/>
          <w:marBottom w:val="0"/>
          <w:divBdr>
            <w:top w:val="none" w:sz="0" w:space="0" w:color="auto"/>
            <w:left w:val="none" w:sz="0" w:space="0" w:color="auto"/>
            <w:bottom w:val="none" w:sz="0" w:space="0" w:color="auto"/>
            <w:right w:val="none" w:sz="0" w:space="0" w:color="auto"/>
          </w:divBdr>
        </w:div>
        <w:div w:id="2031369995">
          <w:marLeft w:val="0"/>
          <w:marRight w:val="0"/>
          <w:marTop w:val="0"/>
          <w:marBottom w:val="0"/>
          <w:divBdr>
            <w:top w:val="none" w:sz="0" w:space="0" w:color="auto"/>
            <w:left w:val="none" w:sz="0" w:space="0" w:color="auto"/>
            <w:bottom w:val="none" w:sz="0" w:space="0" w:color="auto"/>
            <w:right w:val="none" w:sz="0" w:space="0" w:color="auto"/>
          </w:divBdr>
        </w:div>
        <w:div w:id="2035841473">
          <w:marLeft w:val="0"/>
          <w:marRight w:val="0"/>
          <w:marTop w:val="0"/>
          <w:marBottom w:val="0"/>
          <w:divBdr>
            <w:top w:val="none" w:sz="0" w:space="0" w:color="auto"/>
            <w:left w:val="none" w:sz="0" w:space="0" w:color="auto"/>
            <w:bottom w:val="none" w:sz="0" w:space="0" w:color="auto"/>
            <w:right w:val="none" w:sz="0" w:space="0" w:color="auto"/>
          </w:divBdr>
        </w:div>
        <w:div w:id="2043822630">
          <w:marLeft w:val="0"/>
          <w:marRight w:val="0"/>
          <w:marTop w:val="0"/>
          <w:marBottom w:val="0"/>
          <w:divBdr>
            <w:top w:val="none" w:sz="0" w:space="0" w:color="auto"/>
            <w:left w:val="none" w:sz="0" w:space="0" w:color="auto"/>
            <w:bottom w:val="none" w:sz="0" w:space="0" w:color="auto"/>
            <w:right w:val="none" w:sz="0" w:space="0" w:color="auto"/>
          </w:divBdr>
        </w:div>
        <w:div w:id="2045983569">
          <w:marLeft w:val="0"/>
          <w:marRight w:val="0"/>
          <w:marTop w:val="0"/>
          <w:marBottom w:val="0"/>
          <w:divBdr>
            <w:top w:val="none" w:sz="0" w:space="0" w:color="auto"/>
            <w:left w:val="none" w:sz="0" w:space="0" w:color="auto"/>
            <w:bottom w:val="none" w:sz="0" w:space="0" w:color="auto"/>
            <w:right w:val="none" w:sz="0" w:space="0" w:color="auto"/>
          </w:divBdr>
        </w:div>
        <w:div w:id="2048874063">
          <w:marLeft w:val="0"/>
          <w:marRight w:val="0"/>
          <w:marTop w:val="0"/>
          <w:marBottom w:val="0"/>
          <w:divBdr>
            <w:top w:val="none" w:sz="0" w:space="0" w:color="auto"/>
            <w:left w:val="none" w:sz="0" w:space="0" w:color="auto"/>
            <w:bottom w:val="none" w:sz="0" w:space="0" w:color="auto"/>
            <w:right w:val="none" w:sz="0" w:space="0" w:color="auto"/>
          </w:divBdr>
        </w:div>
        <w:div w:id="2052146299">
          <w:marLeft w:val="0"/>
          <w:marRight w:val="0"/>
          <w:marTop w:val="0"/>
          <w:marBottom w:val="0"/>
          <w:divBdr>
            <w:top w:val="none" w:sz="0" w:space="0" w:color="auto"/>
            <w:left w:val="none" w:sz="0" w:space="0" w:color="auto"/>
            <w:bottom w:val="none" w:sz="0" w:space="0" w:color="auto"/>
            <w:right w:val="none" w:sz="0" w:space="0" w:color="auto"/>
          </w:divBdr>
        </w:div>
        <w:div w:id="2054773243">
          <w:marLeft w:val="0"/>
          <w:marRight w:val="0"/>
          <w:marTop w:val="0"/>
          <w:marBottom w:val="0"/>
          <w:divBdr>
            <w:top w:val="none" w:sz="0" w:space="0" w:color="auto"/>
            <w:left w:val="none" w:sz="0" w:space="0" w:color="auto"/>
            <w:bottom w:val="none" w:sz="0" w:space="0" w:color="auto"/>
            <w:right w:val="none" w:sz="0" w:space="0" w:color="auto"/>
          </w:divBdr>
        </w:div>
        <w:div w:id="2065369482">
          <w:marLeft w:val="0"/>
          <w:marRight w:val="0"/>
          <w:marTop w:val="0"/>
          <w:marBottom w:val="0"/>
          <w:divBdr>
            <w:top w:val="none" w:sz="0" w:space="0" w:color="auto"/>
            <w:left w:val="none" w:sz="0" w:space="0" w:color="auto"/>
            <w:bottom w:val="none" w:sz="0" w:space="0" w:color="auto"/>
            <w:right w:val="none" w:sz="0" w:space="0" w:color="auto"/>
          </w:divBdr>
        </w:div>
        <w:div w:id="2074500846">
          <w:marLeft w:val="0"/>
          <w:marRight w:val="0"/>
          <w:marTop w:val="0"/>
          <w:marBottom w:val="0"/>
          <w:divBdr>
            <w:top w:val="none" w:sz="0" w:space="0" w:color="auto"/>
            <w:left w:val="none" w:sz="0" w:space="0" w:color="auto"/>
            <w:bottom w:val="none" w:sz="0" w:space="0" w:color="auto"/>
            <w:right w:val="none" w:sz="0" w:space="0" w:color="auto"/>
          </w:divBdr>
        </w:div>
        <w:div w:id="2076933603">
          <w:marLeft w:val="0"/>
          <w:marRight w:val="0"/>
          <w:marTop w:val="0"/>
          <w:marBottom w:val="0"/>
          <w:divBdr>
            <w:top w:val="none" w:sz="0" w:space="0" w:color="auto"/>
            <w:left w:val="none" w:sz="0" w:space="0" w:color="auto"/>
            <w:bottom w:val="none" w:sz="0" w:space="0" w:color="auto"/>
            <w:right w:val="none" w:sz="0" w:space="0" w:color="auto"/>
          </w:divBdr>
        </w:div>
        <w:div w:id="2082751719">
          <w:marLeft w:val="0"/>
          <w:marRight w:val="0"/>
          <w:marTop w:val="0"/>
          <w:marBottom w:val="0"/>
          <w:divBdr>
            <w:top w:val="none" w:sz="0" w:space="0" w:color="auto"/>
            <w:left w:val="none" w:sz="0" w:space="0" w:color="auto"/>
            <w:bottom w:val="none" w:sz="0" w:space="0" w:color="auto"/>
            <w:right w:val="none" w:sz="0" w:space="0" w:color="auto"/>
          </w:divBdr>
        </w:div>
        <w:div w:id="2083675375">
          <w:marLeft w:val="0"/>
          <w:marRight w:val="0"/>
          <w:marTop w:val="0"/>
          <w:marBottom w:val="0"/>
          <w:divBdr>
            <w:top w:val="none" w:sz="0" w:space="0" w:color="auto"/>
            <w:left w:val="none" w:sz="0" w:space="0" w:color="auto"/>
            <w:bottom w:val="none" w:sz="0" w:space="0" w:color="auto"/>
            <w:right w:val="none" w:sz="0" w:space="0" w:color="auto"/>
          </w:divBdr>
        </w:div>
        <w:div w:id="2090081602">
          <w:marLeft w:val="0"/>
          <w:marRight w:val="0"/>
          <w:marTop w:val="0"/>
          <w:marBottom w:val="0"/>
          <w:divBdr>
            <w:top w:val="none" w:sz="0" w:space="0" w:color="auto"/>
            <w:left w:val="none" w:sz="0" w:space="0" w:color="auto"/>
            <w:bottom w:val="none" w:sz="0" w:space="0" w:color="auto"/>
            <w:right w:val="none" w:sz="0" w:space="0" w:color="auto"/>
          </w:divBdr>
        </w:div>
        <w:div w:id="2105764960">
          <w:marLeft w:val="0"/>
          <w:marRight w:val="0"/>
          <w:marTop w:val="0"/>
          <w:marBottom w:val="0"/>
          <w:divBdr>
            <w:top w:val="none" w:sz="0" w:space="0" w:color="auto"/>
            <w:left w:val="none" w:sz="0" w:space="0" w:color="auto"/>
            <w:bottom w:val="none" w:sz="0" w:space="0" w:color="auto"/>
            <w:right w:val="none" w:sz="0" w:space="0" w:color="auto"/>
          </w:divBdr>
        </w:div>
        <w:div w:id="2115006507">
          <w:marLeft w:val="0"/>
          <w:marRight w:val="0"/>
          <w:marTop w:val="0"/>
          <w:marBottom w:val="0"/>
          <w:divBdr>
            <w:top w:val="none" w:sz="0" w:space="0" w:color="auto"/>
            <w:left w:val="none" w:sz="0" w:space="0" w:color="auto"/>
            <w:bottom w:val="none" w:sz="0" w:space="0" w:color="auto"/>
            <w:right w:val="none" w:sz="0" w:space="0" w:color="auto"/>
          </w:divBdr>
        </w:div>
        <w:div w:id="2119521844">
          <w:marLeft w:val="0"/>
          <w:marRight w:val="0"/>
          <w:marTop w:val="0"/>
          <w:marBottom w:val="0"/>
          <w:divBdr>
            <w:top w:val="none" w:sz="0" w:space="0" w:color="auto"/>
            <w:left w:val="none" w:sz="0" w:space="0" w:color="auto"/>
            <w:bottom w:val="none" w:sz="0" w:space="0" w:color="auto"/>
            <w:right w:val="none" w:sz="0" w:space="0" w:color="auto"/>
          </w:divBdr>
        </w:div>
        <w:div w:id="2128431790">
          <w:marLeft w:val="0"/>
          <w:marRight w:val="0"/>
          <w:marTop w:val="0"/>
          <w:marBottom w:val="0"/>
          <w:divBdr>
            <w:top w:val="none" w:sz="0" w:space="0" w:color="auto"/>
            <w:left w:val="none" w:sz="0" w:space="0" w:color="auto"/>
            <w:bottom w:val="none" w:sz="0" w:space="0" w:color="auto"/>
            <w:right w:val="none" w:sz="0" w:space="0" w:color="auto"/>
          </w:divBdr>
        </w:div>
        <w:div w:id="2136562530">
          <w:marLeft w:val="0"/>
          <w:marRight w:val="0"/>
          <w:marTop w:val="0"/>
          <w:marBottom w:val="0"/>
          <w:divBdr>
            <w:top w:val="none" w:sz="0" w:space="0" w:color="auto"/>
            <w:left w:val="none" w:sz="0" w:space="0" w:color="auto"/>
            <w:bottom w:val="none" w:sz="0" w:space="0" w:color="auto"/>
            <w:right w:val="none" w:sz="0" w:space="0" w:color="auto"/>
          </w:divBdr>
        </w:div>
        <w:div w:id="214541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C2004A03712" TargetMode="External"/><Relationship Id="rId21" Type="http://schemas.openxmlformats.org/officeDocument/2006/relationships/hyperlink" Target="https://guides.dss.gov.au/social-security-guide" TargetMode="External"/><Relationship Id="rId42" Type="http://schemas.openxmlformats.org/officeDocument/2006/relationships/hyperlink" Target="https://www.jobaccess.gov.au/wages-based-productivity/how-supported-wage-system-works" TargetMode="External"/><Relationship Id="rId47" Type="http://schemas.openxmlformats.org/officeDocument/2006/relationships/hyperlink" Target="https://www.servicesaustralia.gov.au/mobility-allowance" TargetMode="External"/><Relationship Id="rId63" Type="http://schemas.openxmlformats.org/officeDocument/2006/relationships/hyperlink" Target="https://guides.dss.gov.au/social-security-guide/3/11/3/10" TargetMode="External"/><Relationship Id="rId68" Type="http://schemas.openxmlformats.org/officeDocument/2006/relationships/hyperlink" Target="https://www.myid.gov.au/help" TargetMode="External"/><Relationship Id="rId84" Type="http://schemas.openxmlformats.org/officeDocument/2006/relationships/hyperlink" Target="https://guides.dss.gov.au/social-security-guide/3/11/13/30" TargetMode="External"/><Relationship Id="rId89" Type="http://schemas.openxmlformats.org/officeDocument/2006/relationships/hyperlink" Target="https://www.servicesaustralia.gov.au/ss351" TargetMode="External"/><Relationship Id="rId7" Type="http://schemas.openxmlformats.org/officeDocument/2006/relationships/settings" Target="settings.xml"/><Relationship Id="rId71" Type="http://schemas.openxmlformats.org/officeDocument/2006/relationships/hyperlink" Target="https://www.fairwork.gov.au/employment-conditions/national-employment-standards" TargetMode="External"/><Relationship Id="rId92" Type="http://schemas.openxmlformats.org/officeDocument/2006/relationships/hyperlink" Target="https://www.workforceaustralia.gov.au/individuals/contact-us/" TargetMode="External"/><Relationship Id="rId2" Type="http://schemas.openxmlformats.org/officeDocument/2006/relationships/customXml" Target="../customXml/item2.xml"/><Relationship Id="rId16" Type="http://schemas.openxmlformats.org/officeDocument/2006/relationships/hyperlink" Target="https://www.legislation.gov.au/C2023A00107" TargetMode="External"/><Relationship Id="rId29" Type="http://schemas.openxmlformats.org/officeDocument/2006/relationships/hyperlink" Target="https://immi.homeaffairs.gov.au/visas/getting-a-visa/visa-listing/temporary-protection-785" TargetMode="External"/><Relationship Id="rId11" Type="http://schemas.openxmlformats.org/officeDocument/2006/relationships/image" Target="media/image1.jpg"/><Relationship Id="rId24" Type="http://schemas.openxmlformats.org/officeDocument/2006/relationships/hyperlink" Target="https://www.legislation.gov.au/C2004A04402" TargetMode="External"/><Relationship Id="rId32" Type="http://schemas.openxmlformats.org/officeDocument/2006/relationships/hyperlink" Target="https://guides.dss.gov.au/social-security-guide/1/1/j/10" TargetMode="External"/><Relationship Id="rId37" Type="http://schemas.openxmlformats.org/officeDocument/2006/relationships/hyperlink" Target="mailto:FOCUS.RESPONSE.TEAM@servicesaustralia.gov.au" TargetMode="External"/><Relationship Id="rId40" Type="http://schemas.openxmlformats.org/officeDocument/2006/relationships/hyperlink" Target="https://www.servicesaustralia.gov.au/freedom-information?context=22" TargetMode="External"/><Relationship Id="rId45" Type="http://schemas.openxmlformats.org/officeDocument/2006/relationships/hyperlink" Target="https://guides.dss.gov.au/social-security-guide/3/11/13/30" TargetMode="External"/><Relationship Id="rId53" Type="http://schemas.openxmlformats.org/officeDocument/2006/relationships/hyperlink" Target="https://www.naati.com.au/" TargetMode="External"/><Relationship Id="rId58" Type="http://schemas.openxmlformats.org/officeDocument/2006/relationships/hyperlink" Target="https://auslanservices.com/" TargetMode="External"/><Relationship Id="rId66" Type="http://schemas.openxmlformats.org/officeDocument/2006/relationships/hyperlink" Target="https://info.authorisationmanager.gov.au/get-started" TargetMode="External"/><Relationship Id="rId74" Type="http://schemas.openxmlformats.org/officeDocument/2006/relationships/hyperlink" Target="https://www.fairwork.gov.au/pay-and-wages/minimum-wages" TargetMode="External"/><Relationship Id="rId79" Type="http://schemas.openxmlformats.org/officeDocument/2006/relationships/hyperlink" Target="https://www.servicesaustralia.gov.au/su580" TargetMode="External"/><Relationship Id="rId87" Type="http://schemas.openxmlformats.org/officeDocument/2006/relationships/image" Target="media/image5.png"/><Relationship Id="rId102"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immi.homeaffairs.gov.au/settling-in-australia/amep/find-a-class/distance-learning" TargetMode="External"/><Relationship Id="rId82" Type="http://schemas.openxmlformats.org/officeDocument/2006/relationships/hyperlink" Target="https://www.workforceaustralia.gov.au/individuals/obligations/learn/dont-meet-your-obligations/compliance-demerits" TargetMode="External"/><Relationship Id="rId90" Type="http://schemas.openxmlformats.org/officeDocument/2006/relationships/hyperlink" Target="http://www.servicesaustralia.gov.au/explanations-and-formal-reviews-centrelink-decision" TargetMode="External"/><Relationship Id="rId95" Type="http://schemas.openxmlformats.org/officeDocument/2006/relationships/hyperlink" Target="https://ecsnaccess.gov.au/ProviderPortal/PRO6/Targeted-Compliance-Framework/Pages/default.aspx" TargetMode="External"/><Relationship Id="rId19" Type="http://schemas.openxmlformats.org/officeDocument/2006/relationships/hyperlink" Target="https://www.legislation.gov.au/C2004A04121" TargetMode="External"/><Relationship Id="rId14" Type="http://schemas.openxmlformats.org/officeDocument/2006/relationships/header" Target="header2.xml"/><Relationship Id="rId22" Type="http://schemas.openxmlformats.org/officeDocument/2006/relationships/hyperlink" Target="https://www.legislation.gov.au/C2009A00028" TargetMode="External"/><Relationship Id="rId27" Type="http://schemas.openxmlformats.org/officeDocument/2006/relationships/hyperlink" Target="https://immi.homeaffairs.gov.au/visas/permanent-resident" TargetMode="External"/><Relationship Id="rId30" Type="http://schemas.openxmlformats.org/officeDocument/2006/relationships/hyperlink" Target="https://immi.homeaffairs.gov.au/visas/getting-a-visa/visa-listing/safe-haven-enterprise-790" TargetMode="External"/><Relationship Id="rId35" Type="http://schemas.openxmlformats.org/officeDocument/2006/relationships/hyperlink" Target="https://www.servicesaustralia.gov.au/su684" TargetMode="External"/><Relationship Id="rId43" Type="http://schemas.openxmlformats.org/officeDocument/2006/relationships/hyperlink" Target="https://www.workforceaustralia.gov.au/?all" TargetMode="External"/><Relationship Id="rId48" Type="http://schemas.openxmlformats.org/officeDocument/2006/relationships/hyperlink" Target="https://www.servicesaustralia.gov.au/phone-us?context=64107" TargetMode="External"/><Relationship Id="rId56" Type="http://schemas.openxmlformats.org/officeDocument/2006/relationships/hyperlink" Target="https://deafnav.com.au/services/deaf-accessible-business-network" TargetMode="External"/><Relationship Id="rId64" Type="http://schemas.openxmlformats.org/officeDocument/2006/relationships/hyperlink" Target="https://www.jobsandskills.gov.au/data/occupation-shortages-analysis/occupation-shortage-list" TargetMode="External"/><Relationship Id="rId69" Type="http://schemas.openxmlformats.org/officeDocument/2006/relationships/hyperlink" Target="https://auc-word-edit.officeapps.live.com/we/wordeditorframe.aspx?ui=en-AU&amp;rs=en-US&amp;wopisrc=https%3A%2F%2Fsocialservicesau.sharepoint.com%2Fsites%2FTeams-DESReforms2023Project%2F_vti_bin%2Fwopi.ashx%2Ffiles%2Fdaacca42904c42159f8203dead7a1d7c&amp;wdlor=cCC5C9CE9-1A5E-49A6-B615-8F73AB12890D&amp;wdenableroaming=1&amp;mscc=1&amp;hid=DC707DA1-B0C9-4000-9C7E-DE6821E7CFF9.0&amp;uih=sharepointcom&amp;wdlcid=en-AU&amp;jsapi=1&amp;jsapiver=v2&amp;corrid=ce549db6-8221-8894-760e-e7fb16c3489c&amp;usid=ce549db6-8221-8894-760e-e7fb16c3489c&amp;newsession=1&amp;sftc=1&amp;uihit=docaspx&amp;muv=1&amp;cac=1&amp;sams=1&amp;mtf=1&amp;sfp=1&amp;sdp=1&amp;hch=1&amp;hwfh=1&amp;dchat=1&amp;sc=%7B%22pmo%22%3A%22https%3A%2F%2Fsocialservicesau.sharepoint.com%22%2C%22pmshare%22%3Atrue%7D&amp;ctp=LeastProtected&amp;rct=Normal&amp;wdorigin=AuthPrompt.Outlook-Body.Sharing.ServerTransfer&amp;csc=1&amp;instantedit=1&amp;wopicomplete=1&amp;wdredirectionreason=Unified_SingleFlush" TargetMode="External"/><Relationship Id="rId77" Type="http://schemas.openxmlformats.org/officeDocument/2006/relationships/hyperlink" Target="https://www.dewr.gov.au/skills-information-training-providers/resources/acsf-prelevel-1-2017" TargetMode="External"/><Relationship Id="rId100" Type="http://schemas.openxmlformats.org/officeDocument/2006/relationships/footer" Target="footer3.xml"/><Relationship Id="rId105"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guides.dss.gov.au/social-security-guide/3/11/1/30" TargetMode="External"/><Relationship Id="rId72" Type="http://schemas.openxmlformats.org/officeDocument/2006/relationships/hyperlink" Target="https://www.fairwork.gov.au/pay-and-wages/minimum-wages%22%20/l%20%22national" TargetMode="External"/><Relationship Id="rId80" Type="http://schemas.openxmlformats.org/officeDocument/2006/relationships/hyperlink" Target="https://www.ato.gov.au/forms-and-instructions/approved-forms-consolidated-list-by-tax-topic/business-activity-statements-bas" TargetMode="External"/><Relationship Id="rId85" Type="http://schemas.openxmlformats.org/officeDocument/2006/relationships/image" Target="media/image3.png"/><Relationship Id="rId93" Type="http://schemas.openxmlformats.org/officeDocument/2006/relationships/hyperlink" Target="https://auc-word-edit.officeapps.live.com/we/wordeditorframe.aspx?ui=en-GB&amp;rs=en-US&amp;wopisrc=https%3A%2F%2Fsocialservicesau.sharepoint.com%2Fsites%2FTeams-DESReforms2023Project%2F_vti_bin%2Fwopi.ashx%2Ffiles%2F05d88d0774494de894cd9f89f9f47331&amp;wdenableroaming=1&amp;mscc=1&amp;hid=12B275A1-908D-4000-6184-6EAD939AAE61.0&amp;uih=sharepointcom&amp;wdlcid=en-GB&amp;jsapi=1&amp;jsapiver=v2&amp;corrid=88a0c042-6ae2-1d40-7b6c-d018029da1f7&amp;usid=88a0c042-6ae2-1d40-7b6c-d018029da1f7&amp;newsession=1&amp;sftc=1&amp;uihit=docaspx&amp;muv=1&amp;cac=1&amp;sams=1&amp;mtf=1&amp;sfp=1&amp;sdp=1&amp;hch=1&amp;hwfh=1&amp;dchat=1&amp;sc=%7B%22pmo%22%3A%22https%3A%2F%2Fsocialservicesau.sharepoint.com%22%2C%22pmshare%22%3Atrue%7D&amp;ctp=LeastProtected&amp;rct=Normal&amp;wdorigin=ItemsView&amp;wdhostclicktime=1736390758552&amp;csc=1&amp;instantedit=1&amp;wopicomplete=1&amp;wdredirectionreason=Unified_SingleFlush" TargetMode="External"/><Relationship Id="rId98" Type="http://schemas.openxmlformats.org/officeDocument/2006/relationships/hyperlink" Target="https://findus.servicesaustralia.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ss.gov.au/disability-advocacy/resource/national-standards-disability-services" TargetMode="External"/><Relationship Id="rId25" Type="http://schemas.openxmlformats.org/officeDocument/2006/relationships/hyperlink" Target="https://www.legislation.gov.au/C2004A04426" TargetMode="External"/><Relationship Id="rId33" Type="http://schemas.openxmlformats.org/officeDocument/2006/relationships/hyperlink" Target="https://guides.dss.gov.au/social-security-guide/1/1/e/104" TargetMode="External"/><Relationship Id="rId38" Type="http://schemas.openxmlformats.org/officeDocument/2006/relationships/hyperlink" Target="mailto:FOCUS.RESPONSE.TEAM@servicesaustralia.gov.au" TargetMode="External"/><Relationship Id="rId46" Type="http://schemas.openxmlformats.org/officeDocument/2006/relationships/hyperlink" Target="https://www.servicesaustralia.gov.au/mobility-allowance" TargetMode="External"/><Relationship Id="rId59" Type="http://schemas.openxmlformats.org/officeDocument/2006/relationships/hyperlink" Target="https://www.dese.gov.au/skills-education-and-employment/providers" TargetMode="External"/><Relationship Id="rId67" Type="http://schemas.openxmlformats.org/officeDocument/2006/relationships/hyperlink" Target="https://www.workforceaustralia.gov.au/businesses/login" TargetMode="External"/><Relationship Id="rId103" Type="http://schemas.openxmlformats.org/officeDocument/2006/relationships/fontTable" Target="fontTable.xml"/><Relationship Id="rId20" Type="http://schemas.openxmlformats.org/officeDocument/2006/relationships/hyperlink" Target="https://www.legislation.gov.au/C2004A00580" TargetMode="External"/><Relationship Id="rId41" Type="http://schemas.openxmlformats.org/officeDocument/2006/relationships/hyperlink" Target="https://www.jobaccess.gov.au/i-am-a-person-with-disability/looking-applying-job/government-services-help-you/funding-workplace-changes/what-eaf" TargetMode="External"/><Relationship Id="rId54" Type="http://schemas.openxmlformats.org/officeDocument/2006/relationships/hyperlink" Target="https://deafconnect.org.au/services/interpreting" TargetMode="External"/><Relationship Id="rId62" Type="http://schemas.openxmlformats.org/officeDocument/2006/relationships/hyperlink" Target="https://www.yourcareer.gov.au/learn-and-train/courses" TargetMode="External"/><Relationship Id="rId70" Type="http://schemas.openxmlformats.org/officeDocument/2006/relationships/hyperlink" Target="https://abr.business.gov.au/" TargetMode="External"/><Relationship Id="rId75" Type="http://schemas.openxmlformats.org/officeDocument/2006/relationships/hyperlink" Target="https://www.jobaccess.gov.au/i-am-a-person-with-disability/looking-applying-job/government-services-help-you/funding-workplace-changes/what-eaf" TargetMode="External"/><Relationship Id="rId83" Type="http://schemas.openxmlformats.org/officeDocument/2006/relationships/hyperlink" Target="http://www.dewr.gov.au/assuring-integrity-targeted-compliance-framework" TargetMode="External"/><Relationship Id="rId88" Type="http://schemas.openxmlformats.org/officeDocument/2006/relationships/hyperlink" Target="https://www.servicesaustralia.gov.au/phone-us?context=64107" TargetMode="External"/><Relationship Id="rId91" Type="http://schemas.openxmlformats.org/officeDocument/2006/relationships/hyperlink" Target="https://www.workforceaustralia.gov.au/individuals/contact-us/" TargetMode="External"/><Relationship Id="rId96" Type="http://schemas.openxmlformats.org/officeDocument/2006/relationships/hyperlink" Target="https://www.workforceaustralia.gov.au/individuals/contact-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fairwork.gov.au/pay-and-wages/minimum-wages" TargetMode="External"/><Relationship Id="rId28" Type="http://schemas.openxmlformats.org/officeDocument/2006/relationships/hyperlink" Target="https://immi.homeaffairs.gov.au/visas/getting-a-visa/visa-listing/special-category-visa-subclass-444" TargetMode="External"/><Relationship Id="rId36" Type="http://schemas.openxmlformats.org/officeDocument/2006/relationships/hyperlink" Target="https://www.servicesaustralia.gov.au/upload-your-centrelink-documents-online?context=64107" TargetMode="External"/><Relationship Id="rId49" Type="http://schemas.openxmlformats.org/officeDocument/2006/relationships/hyperlink" Target="https://guides.dss.gov.au/social-security-guide/3/11/6" TargetMode="External"/><Relationship Id="rId57" Type="http://schemas.openxmlformats.org/officeDocument/2006/relationships/hyperlink" Target="https://www.jobaccess.gov.au/downloads/employment-assistance-fund-guidelines" TargetMode="External"/><Relationship Id="rId106"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servicesaustralia.gov.au/su684" TargetMode="External"/><Relationship Id="rId44" Type="http://schemas.openxmlformats.org/officeDocument/2006/relationships/hyperlink" Target="https://ecsnaccess.gov.au/ProviderPortal/PRO6/Contractual-Information/Pages/Quality-Assurance-Framework.aspx" TargetMode="External"/><Relationship Id="rId52" Type="http://schemas.openxmlformats.org/officeDocument/2006/relationships/hyperlink" Target="https://www.tisnational.gov.au/en/" TargetMode="External"/><Relationship Id="rId60" Type="http://schemas.openxmlformats.org/officeDocument/2006/relationships/hyperlink" Target="https://immi.homeaffairs.gov.au/settling-in-australia/amep/find-a-class/providers-and-locations" TargetMode="External"/><Relationship Id="rId65" Type="http://schemas.openxmlformats.org/officeDocument/2006/relationships/hyperlink" Target="https://www.servicesaustralia.gov.au/su462" TargetMode="External"/><Relationship Id="rId73" Type="http://schemas.openxmlformats.org/officeDocument/2006/relationships/hyperlink" Target="https://www.jobaccess.gov.au/resource/employment-assistance-fund-guide" TargetMode="External"/><Relationship Id="rId78" Type="http://schemas.openxmlformats.org/officeDocument/2006/relationships/hyperlink" Target="https://www.usi.gov.au/" TargetMode="External"/><Relationship Id="rId81" Type="http://schemas.openxmlformats.org/officeDocument/2006/relationships/hyperlink" Target="mailto:desadmin@dss.gov.au" TargetMode="External"/><Relationship Id="rId86" Type="http://schemas.openxmlformats.org/officeDocument/2006/relationships/image" Target="media/image4.png"/><Relationship Id="rId94" Type="http://schemas.openxmlformats.org/officeDocument/2006/relationships/hyperlink" Target="https://ecsnaccess.gov.au/ProviderPortal/PRO6/Targeted-Compliance-Framework/Pages/default.aspx" TargetMode="External"/><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legislation.gov.au/Details/C2021C00202" TargetMode="External"/><Relationship Id="rId39" Type="http://schemas.openxmlformats.org/officeDocument/2006/relationships/hyperlink" Target="https://www.dss.gov.au/about-the-department/freedom-of-information" TargetMode="External"/><Relationship Id="rId34" Type="http://schemas.openxmlformats.org/officeDocument/2006/relationships/hyperlink" Target="https://www.servicesaustralia.gov.au/employment-services-assessments?context=22276" TargetMode="External"/><Relationship Id="rId50" Type="http://schemas.openxmlformats.org/officeDocument/2006/relationships/hyperlink" Target="https://www.servicesaustralia.gov.au/phone-us?context=64107" TargetMode="External"/><Relationship Id="rId55" Type="http://schemas.openxmlformats.org/officeDocument/2006/relationships/hyperlink" Target="https://www.expression.com.au/services/interpreting-and-captioning" TargetMode="External"/><Relationship Id="rId76" Type="http://schemas.openxmlformats.org/officeDocument/2006/relationships/hyperlink" Target="https://www.jobaccess.gov.au/resource/employment-assistance-fund-guide" TargetMode="External"/><Relationship Id="rId97" Type="http://schemas.openxmlformats.org/officeDocument/2006/relationships/hyperlink" Target="https://www.workforceaustralia.gov.au/individuals/contact-us/" TargetMode="Externa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Long%20Report%20Template.dotx" TargetMode="External"/></Relationships>
</file>

<file path=word/documenttasks/documenttasks1.xml><?xml version="1.0" encoding="utf-8"?>
<t:Tasks xmlns:t="http://schemas.microsoft.com/office/tasks/2019/documenttasks" xmlns:oel="http://schemas.microsoft.com/office/2019/extlst">
  <t:Task id="{8936D9CD-B0E4-410A-87DF-F8A2A0D35A32}">
    <t:Anchor>
      <t:Comment id="1257304139"/>
    </t:Anchor>
    <t:History>
      <t:Event id="{705AA220-BE9B-413F-AE1A-ECC01AC7058D}" time="2025-04-15T04:37:09.09Z">
        <t:Attribution userId="S::Amber.COLE@dss.gov.au::dc57147f-47a2-4995-aca3-b5de25be4b9b" userProvider="AD" userName="COLE, Amber"/>
        <t:Anchor>
          <t:Comment id="1257304139"/>
        </t:Anchor>
        <t:Create/>
      </t:Event>
      <t:Event id="{E90A0A38-AFA0-45DF-B63B-DF04E979438C}" time="2025-04-15T04:37:09.09Z">
        <t:Attribution userId="S::Amber.COLE@dss.gov.au::dc57147f-47a2-4995-aca3-b5de25be4b9b" userProvider="AD" userName="COLE, Amber"/>
        <t:Anchor>
          <t:Comment id="1257304139"/>
        </t:Anchor>
        <t:Assign userId="S::Mike.JACKSON@dss.gov.au::55432ec2-c3d3-40b5-a2ef-2241d91c53e9" userProvider="AD" userName="JACKSON, Mike"/>
      </t:Event>
      <t:Event id="{7F415D3A-0BE9-40CB-8FC3-9E1ADA48E6FE}" time="2025-04-15T04:37:09.09Z">
        <t:Attribution userId="S::Amber.COLE@dss.gov.au::dc57147f-47a2-4995-aca3-b5de25be4b9b" userProvider="AD" userName="COLE, Amber"/>
        <t:Anchor>
          <t:Comment id="1257304139"/>
        </t:Anchor>
        <t:SetTitle title="@JACKSON, Mike Sam Fish comment: “Should this sit in a Quality—specific section above?”I’m not sure and if it should, then I’m not currently sure where this best sits.."/>
      </t:Event>
      <t:Event id="{2CF9A84E-4537-4CE0-9F54-46D17A6677E3}" time="2025-05-12T05:10:32.909Z">
        <t:Attribution userId="S::kathy.abraham@dss.gov.au::912cc219-d40b-4414-8ca2-fa466691f24f" userProvider="AD" userName="ABRAHAM, Kathy"/>
        <t:Progress percentComplete="100"/>
      </t:Event>
    </t:History>
  </t:Task>
</t:Task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40187c-9613-41dd-a559-2c1fb6ee1869" xsi:nil="true"/>
    <lcf76f155ced4ddcb4097134ff3c332f xmlns="ddc7f789-5dbf-4126-8d91-62ddb5bd456f">
      <Terms xmlns="http://schemas.microsoft.com/office/infopath/2007/PartnerControls"/>
    </lcf76f155ced4ddcb4097134ff3c332f>
    <Contentteam xmlns="ddc7f789-5dbf-4126-8d91-62ddb5bd456f">
      <UserInfo>
        <DisplayName/>
        <AccountId xsi:nil="true"/>
        <AccountType/>
      </UserInfo>
    </Contentteam>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3BDC25DC4290408219839857B0368A" ma:contentTypeVersion="15" ma:contentTypeDescription="Create a new document." ma:contentTypeScope="" ma:versionID="765bdf0d37dcec754114f32d90855ee1">
  <xsd:schema xmlns:xsd="http://www.w3.org/2001/XMLSchema" xmlns:xs="http://www.w3.org/2001/XMLSchema" xmlns:p="http://schemas.microsoft.com/office/2006/metadata/properties" xmlns:ns2="ddc7f789-5dbf-4126-8d91-62ddb5bd456f" xmlns:ns3="0540187c-9613-41dd-a559-2c1fb6ee1869" targetNamespace="http://schemas.microsoft.com/office/2006/metadata/properties" ma:root="true" ma:fieldsID="9989a81e37c3510d7f3cfdbb92ce52e0" ns2:_="" ns3:_="">
    <xsd:import namespace="ddc7f789-5dbf-4126-8d91-62ddb5bd456f"/>
    <xsd:import namespace="0540187c-9613-41dd-a559-2c1fb6ee1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ntentte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7f789-5dbf-4126-8d91-62ddb5bd4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team" ma:index="14" nillable="true" ma:displayName="Content team" ma:format="Dropdown" ma:list="UserInfo" ma:SharePointGroup="0" ma:internalName="Content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187c-9613-41dd-a559-2c1fb6ee18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a873f7d-4706-41ab-9442-39b2636f78fd}" ma:internalName="TaxCatchAll" ma:showField="CatchAllData" ma:web="0540187c-9613-41dd-a559-2c1fb6ee1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efb9b5-01f2-423f-88ce-de8ed571e942"/>
    <ds:schemaRef ds:uri="581498f5-73d7-49e3-98ea-234d6dc7ed43"/>
    <ds:schemaRef ds:uri="http://www.w3.org/XML/1998/namespace"/>
    <ds:schemaRef ds:uri="http://purl.org/dc/dcmitype/"/>
  </ds:schemaRefs>
</ds:datastoreItem>
</file>

<file path=customXml/itemProps2.xml><?xml version="1.0" encoding="utf-8"?>
<ds:datastoreItem xmlns:ds="http://schemas.openxmlformats.org/officeDocument/2006/customXml" ds:itemID="{CC5B9B94-5DE3-430C-9D49-F35796B359DA}">
  <ds:schemaRefs>
    <ds:schemaRef ds:uri="http://schemas.openxmlformats.org/officeDocument/2006/bibliography"/>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FE67ABF1-09EA-4D61-8C06-1D8BA6A178D2}"/>
</file>

<file path=docProps/app.xml><?xml version="1.0" encoding="utf-8"?>
<Properties xmlns="http://schemas.openxmlformats.org/officeDocument/2006/extended-properties" xmlns:vt="http://schemas.openxmlformats.org/officeDocument/2006/docPropsVTypes">
  <Template>DSS%20-%20A4%20Long%20Report%20Template</Template>
  <TotalTime>1</TotalTime>
  <Pages>12</Pages>
  <Words>118653</Words>
  <Characters>669230</Characters>
  <Application>Microsoft Office Word</Application>
  <DocSecurity>0</DocSecurity>
  <Lines>11920</Lines>
  <Paragraphs>6478</Paragraphs>
  <ScaleCrop>false</ScaleCrop>
  <Company/>
  <LinksUpToDate>false</LinksUpToDate>
  <CharactersWithSpaces>784469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CORTEZ, James</dc:creator>
  <cp:keywords>[SEC=OFFICIAL]</cp:keywords>
  <cp:lastModifiedBy>DAVIES, Bron</cp:lastModifiedBy>
  <cp:revision>2</cp:revision>
  <cp:lastPrinted>2025-07-10T11:55:00Z</cp:lastPrinted>
  <dcterms:created xsi:type="dcterms:W3CDTF">2025-08-18T11:30:00Z</dcterms:created>
  <dcterms:modified xsi:type="dcterms:W3CDTF">2025-08-18T11:30:00Z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2024-03-06T04:11:27Z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0x010100D13BDC25DC4290408219839857B0368A</vt:lpwstr>
  </property>
  <property fmtid="{D5CDD505-2E9C-101B-9397-08002B2CF9AE}" pid="23" name="MediaServiceImageTags">
    <vt:lpwstr/>
  </property>
  <property fmtid="{D5CDD505-2E9C-101B-9397-08002B2CF9AE}" pid="24" name="MSIP_Label_eb34d90b-fc41-464d-af60-f74d721d0790_Enabled">
    <vt:lpwstr>true</vt:lpwstr>
  </property>
  <property fmtid="{D5CDD505-2E9C-101B-9397-08002B2CF9AE}" pid="25" name="MSIP_Label_eb34d90b-fc41-464d-af60-f74d721d0790_SetDate">
    <vt:lpwstr>2024-03-06T04:11:27Z</vt:lpwstr>
  </property>
  <property fmtid="{D5CDD505-2E9C-101B-9397-08002B2CF9AE}" pid="26" name="MSIP_Label_eb34d90b-fc41-464d-af60-f74d721d0790_Method">
    <vt:lpwstr>Privileged</vt:lpwstr>
  </property>
  <property fmtid="{D5CDD505-2E9C-101B-9397-08002B2CF9AE}" pid="27" name="MSIP_Label_eb34d90b-fc41-464d-af60-f74d721d0790_Name">
    <vt:lpwstr>OFFICIAL</vt:lpwstr>
  </property>
  <property fmtid="{D5CDD505-2E9C-101B-9397-08002B2CF9AE}" pid="28" name="MSIP_Label_eb34d90b-fc41-464d-af60-f74d721d0790_SiteId">
    <vt:lpwstr>61e36dd1-ca6e-4d61-aa0a-2b4eb88317a3</vt:lpwstr>
  </property>
  <property fmtid="{D5CDD505-2E9C-101B-9397-08002B2CF9AE}" pid="29" name="MSIP_Label_eb34d90b-fc41-464d-af60-f74d721d0790_ContentBits">
    <vt:lpwstr>0</vt:lpwstr>
  </property>
  <property fmtid="{D5CDD505-2E9C-101B-9397-08002B2CF9AE}" pid="30" name="PMUuid">
    <vt:lpwstr>v=2022.2;d=gov.au;g=46DD6D7C-8107-577B-BC6E-F348953B2E44</vt:lpwstr>
  </property>
  <property fmtid="{D5CDD505-2E9C-101B-9397-08002B2CF9AE}" pid="31" name="PM_Expires">
    <vt:lpwstr/>
  </property>
  <property fmtid="{D5CDD505-2E9C-101B-9397-08002B2CF9AE}" pid="32" name="PM_DownTo">
    <vt:lpwstr/>
  </property>
  <property fmtid="{D5CDD505-2E9C-101B-9397-08002B2CF9AE}" pid="33" name="PM_Originator_Hash_SHA1">
    <vt:lpwstr>DA5BF646622D8F830B01F807B65E3A8252B45F0C</vt:lpwstr>
  </property>
  <property fmtid="{D5CDD505-2E9C-101B-9397-08002B2CF9AE}" pid="34" name="PM_OriginatorUserAccountName_SHA256">
    <vt:lpwstr>5856D3679445B4C15E96D753B275F1360C21E051BA3D2EC57760A305FDCC0325</vt:lpwstr>
  </property>
  <property fmtid="{D5CDD505-2E9C-101B-9397-08002B2CF9AE}" pid="35" name="PM_Hash_Salt_Prev">
    <vt:lpwstr>8910CDB69381C4C63AE6CDD86B7D0ADC</vt:lpwstr>
  </property>
  <property fmtid="{D5CDD505-2E9C-101B-9397-08002B2CF9AE}" pid="36" name="PM_Hash_Salt">
    <vt:lpwstr>5434727A1446A9DEA24CE4761801829D</vt:lpwstr>
  </property>
  <property fmtid="{D5CDD505-2E9C-101B-9397-08002B2CF9AE}" pid="37" name="PM_Hash_SHA1">
    <vt:lpwstr>B1A156CC539591BEDDBE04970B872DF490BE55F8</vt:lpwstr>
  </property>
  <property fmtid="{D5CDD505-2E9C-101B-9397-08002B2CF9AE}" pid="38" name="MSIP_Label_eb34d90b-fc41-464d-af60-f74d721d0790_ActionId">
    <vt:lpwstr>c3fedd393a914ba8837b50bf27b0c57b</vt:lpwstr>
  </property>
  <property fmtid="{D5CDD505-2E9C-101B-9397-08002B2CF9AE}" pid="39" name="PMHMAC">
    <vt:lpwstr>v=2022.1;a=SHA256;h=960A58573CC6ADE6E0FAB5229A15D530BEE14BEAED3B33D2F5B549033097FCEB</vt:lpwstr>
  </property>
</Properties>
</file>